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D6" w:rsidRPr="002249F3" w:rsidRDefault="006E5FB0" w:rsidP="00D668F1">
      <w:pPr>
        <w:spacing w:after="0" w:line="240" w:lineRule="auto"/>
        <w:jc w:val="both"/>
        <w:rPr>
          <w:rFonts w:ascii="ITC Avant Garde" w:hAnsi="ITC Avant Garde"/>
          <w:b/>
        </w:rPr>
      </w:pPr>
      <w:r w:rsidRPr="0004164A">
        <w:rPr>
          <w:rFonts w:ascii="ITC Avant Garde" w:hAnsi="ITC Avant Garde"/>
          <w:b/>
        </w:rPr>
        <w:t xml:space="preserve">ACUERDO MEDIANTE EL CUAL EL PLENO DEL INSTITUTO FEDERAL DE TELECOMUNICACIONES </w:t>
      </w:r>
      <w:r w:rsidR="00C20F2A" w:rsidRPr="0004164A">
        <w:rPr>
          <w:rFonts w:ascii="ITC Avant Garde" w:hAnsi="ITC Avant Garde"/>
          <w:b/>
        </w:rPr>
        <w:t xml:space="preserve">DETERMINA </w:t>
      </w:r>
      <w:r w:rsidRPr="0004164A">
        <w:rPr>
          <w:rFonts w:ascii="ITC Avant Garde" w:hAnsi="ITC Avant Garde"/>
          <w:b/>
        </w:rPr>
        <w:t>SOMETE</w:t>
      </w:r>
      <w:r w:rsidR="00C20F2A" w:rsidRPr="0004164A">
        <w:rPr>
          <w:rFonts w:ascii="ITC Avant Garde" w:hAnsi="ITC Avant Garde"/>
          <w:b/>
        </w:rPr>
        <w:t>R</w:t>
      </w:r>
      <w:r w:rsidRPr="0004164A">
        <w:rPr>
          <w:rFonts w:ascii="ITC Avant Garde" w:hAnsi="ITC Avant Garde"/>
          <w:b/>
        </w:rPr>
        <w:t xml:space="preserve"> A CONSULTA PÚBLICA EL </w:t>
      </w:r>
      <w:r w:rsidR="00400CD6" w:rsidRPr="0004164A">
        <w:rPr>
          <w:rFonts w:ascii="ITC Avant Garde" w:hAnsi="ITC Avant Garde"/>
          <w:b/>
        </w:rPr>
        <w:t>“</w:t>
      </w:r>
      <w:r w:rsidR="004E4B29" w:rsidRPr="002249F3">
        <w:rPr>
          <w:rFonts w:ascii="ITC Avant Garde" w:hAnsi="ITC Avant Garde"/>
          <w:b/>
          <w:i/>
        </w:rPr>
        <w:t xml:space="preserve">ANTEPROYECTO DE MODIFICACIONES A LAS DISPOSICIONES REGULATORIAS DE LA LEY FEDERAL DE COMPETENCIA ECONÓMICA PARA LOS SECTORES DE TELECOMUNICACIONES Y RADIODIFUSIÓN, PUBLICADAS EN EL DIARIO OFICIAL DE LA FEDERACIÓN EL </w:t>
      </w:r>
      <w:r w:rsidR="00957036">
        <w:rPr>
          <w:rFonts w:ascii="ITC Avant Garde" w:hAnsi="ITC Avant Garde"/>
          <w:b/>
          <w:i/>
        </w:rPr>
        <w:t>DOCE</w:t>
      </w:r>
      <w:r w:rsidR="00957036" w:rsidRPr="002249F3">
        <w:rPr>
          <w:rFonts w:ascii="ITC Avant Garde" w:hAnsi="ITC Avant Garde"/>
          <w:b/>
          <w:i/>
        </w:rPr>
        <w:t xml:space="preserve"> </w:t>
      </w:r>
      <w:r w:rsidR="004E4B29" w:rsidRPr="002249F3">
        <w:rPr>
          <w:rFonts w:ascii="ITC Avant Garde" w:hAnsi="ITC Avant Garde"/>
          <w:b/>
          <w:i/>
        </w:rPr>
        <w:t xml:space="preserve">DE ENERO DE </w:t>
      </w:r>
      <w:r w:rsidR="00957036">
        <w:rPr>
          <w:rFonts w:ascii="ITC Avant Garde" w:hAnsi="ITC Avant Garde"/>
          <w:b/>
          <w:i/>
        </w:rPr>
        <w:t>DOS MIL QUINCE</w:t>
      </w:r>
      <w:r w:rsidR="004E4B29" w:rsidRPr="002249F3">
        <w:rPr>
          <w:rFonts w:ascii="ITC Avant Garde" w:hAnsi="ITC Avant Garde"/>
          <w:b/>
          <w:i/>
        </w:rPr>
        <w:t>, RESPECTO DE LOS PROCEDIMIENTOS QUE LLEVAN A CABO LA AUTORIDAD INVESTIGADORA Y LA UNIDAD DE COMPETENCIA ECONÓMICA</w:t>
      </w:r>
      <w:r w:rsidR="003E6139">
        <w:rPr>
          <w:rFonts w:ascii="ITC Avant Garde" w:hAnsi="ITC Avant Garde"/>
          <w:b/>
          <w:i/>
        </w:rPr>
        <w:t>”</w:t>
      </w:r>
      <w:r w:rsidR="003E6139">
        <w:rPr>
          <w:rFonts w:ascii="ITC Avant Garde" w:hAnsi="ITC Avant Garde"/>
          <w:b/>
        </w:rPr>
        <w:t xml:space="preserve"> Y EL “</w:t>
      </w:r>
      <w:r w:rsidR="003E6139" w:rsidRPr="003E6139">
        <w:rPr>
          <w:rFonts w:ascii="ITC Avant Garde" w:hAnsi="ITC Avant Garde"/>
          <w:b/>
          <w:i/>
        </w:rPr>
        <w:t>ANTEPROYECTO DE</w:t>
      </w:r>
      <w:r w:rsidR="009C3FF9" w:rsidRPr="002249F3">
        <w:rPr>
          <w:rFonts w:ascii="ITC Avant Garde" w:hAnsi="ITC Avant Garde"/>
          <w:b/>
          <w:i/>
        </w:rPr>
        <w:t xml:space="preserve"> MODIFICACIONES A LOS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400CD6" w:rsidRPr="002249F3">
        <w:rPr>
          <w:rFonts w:ascii="ITC Avant Garde" w:hAnsi="ITC Avant Garde"/>
          <w:b/>
        </w:rPr>
        <w:t>”.</w:t>
      </w:r>
    </w:p>
    <w:p w:rsidR="00540EC7" w:rsidRPr="002249F3" w:rsidRDefault="00540EC7" w:rsidP="00D668F1">
      <w:pPr>
        <w:spacing w:after="0" w:line="240" w:lineRule="auto"/>
        <w:jc w:val="both"/>
        <w:rPr>
          <w:rFonts w:ascii="ITC Avant Garde" w:hAnsi="ITC Avant Garde"/>
          <w:b/>
        </w:rPr>
      </w:pPr>
    </w:p>
    <w:p w:rsidR="00957036" w:rsidRDefault="00957036" w:rsidP="00D668F1">
      <w:pPr>
        <w:pStyle w:val="Default"/>
        <w:spacing w:after="120"/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  <w:r w:rsidRPr="009E7FAA">
        <w:rPr>
          <w:rFonts w:ascii="ITC Avant Garde" w:hAnsi="ITC Avant Garde"/>
          <w:b/>
          <w:bCs/>
          <w:sz w:val="22"/>
          <w:szCs w:val="22"/>
          <w:lang w:val="pt-BR"/>
        </w:rPr>
        <w:t>A N T E C E D E N T E S</w:t>
      </w:r>
    </w:p>
    <w:p w:rsidR="00BD78CD" w:rsidRPr="009E7FAA" w:rsidRDefault="00BD78CD" w:rsidP="00D668F1">
      <w:pPr>
        <w:pStyle w:val="Default"/>
        <w:spacing w:after="120"/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</w:p>
    <w:p w:rsidR="00957036" w:rsidRPr="009E7FAA" w:rsidRDefault="00957036" w:rsidP="00D668F1">
      <w:pPr>
        <w:spacing w:after="120" w:line="240" w:lineRule="auto"/>
        <w:jc w:val="both"/>
        <w:rPr>
          <w:rFonts w:ascii="ITC Avant Garde" w:hAnsi="ITC Avant Garde"/>
        </w:rPr>
      </w:pPr>
      <w:r w:rsidRPr="009E7FAA">
        <w:rPr>
          <w:rFonts w:ascii="ITC Avant Garde" w:hAnsi="ITC Avant Garde"/>
          <w:b/>
        </w:rPr>
        <w:t>I.</w:t>
      </w:r>
      <w:r w:rsidRPr="009E7FAA">
        <w:rPr>
          <w:rFonts w:ascii="ITC Avant Garde" w:hAnsi="ITC Avant Garde"/>
        </w:rPr>
        <w:t xml:space="preserve"> El </w:t>
      </w:r>
      <w:r>
        <w:rPr>
          <w:rFonts w:ascii="ITC Avant Garde" w:hAnsi="ITC Avant Garde"/>
        </w:rPr>
        <w:t xml:space="preserve">once </w:t>
      </w:r>
      <w:r w:rsidRPr="009E7FAA">
        <w:rPr>
          <w:rFonts w:ascii="ITC Avant Garde" w:hAnsi="ITC Avant Garde"/>
        </w:rPr>
        <w:t xml:space="preserve">de junio de </w:t>
      </w:r>
      <w:r w:rsidR="003E6139">
        <w:rPr>
          <w:rFonts w:ascii="ITC Avant Garde" w:hAnsi="ITC Avant Garde"/>
        </w:rPr>
        <w:t>dos mil trece</w:t>
      </w:r>
      <w:r>
        <w:rPr>
          <w:rFonts w:ascii="ITC Avant Garde" w:hAnsi="ITC Avant Garde"/>
        </w:rPr>
        <w:t xml:space="preserve"> se publicó en el </w:t>
      </w:r>
      <w:r w:rsidRPr="009E7FAA">
        <w:rPr>
          <w:rFonts w:ascii="ITC Avant Garde" w:hAnsi="ITC Avant Garde"/>
        </w:rPr>
        <w:t xml:space="preserve">Diario Oficial de la Federación (DOF) </w:t>
      </w:r>
      <w:r>
        <w:rPr>
          <w:rFonts w:ascii="ITC Avant Garde" w:hAnsi="ITC Avant Garde"/>
        </w:rPr>
        <w:t xml:space="preserve">el </w:t>
      </w:r>
      <w:r w:rsidRPr="00E26E57">
        <w:rPr>
          <w:rFonts w:ascii="ITC Avant Garde" w:hAnsi="ITC Avant Garde"/>
          <w:i/>
        </w:rPr>
        <w:t>“Decreto por el que se reforman y adicionan diversas disposiciones de los artículos 6o., 7o., 27, 28, 73, 78, 94 y 105 de la Constitución Política de los Estados Unidos Mexicanos, en materia de telecomunicaciones”</w:t>
      </w:r>
      <w:r>
        <w:rPr>
          <w:rFonts w:ascii="ITC Avant Garde" w:hAnsi="ITC Avant Garde"/>
          <w:i/>
        </w:rPr>
        <w:t>,</w:t>
      </w:r>
      <w:r w:rsidRPr="009E7FAA">
        <w:rPr>
          <w:rFonts w:ascii="ITC Avant Garde" w:hAnsi="ITC Avant Garde"/>
        </w:rPr>
        <w:t xml:space="preserve"> por </w:t>
      </w:r>
      <w:r>
        <w:rPr>
          <w:rFonts w:ascii="ITC Avant Garde" w:hAnsi="ITC Avant Garde"/>
        </w:rPr>
        <w:t>medio del cual</w:t>
      </w:r>
      <w:r w:rsidRPr="009E7FAA">
        <w:rPr>
          <w:rFonts w:ascii="ITC Avant Garde" w:hAnsi="ITC Avant Garde"/>
        </w:rPr>
        <w:t xml:space="preserve"> se cre</w:t>
      </w:r>
      <w:r>
        <w:rPr>
          <w:rFonts w:ascii="ITC Avant Garde" w:hAnsi="ITC Avant Garde"/>
        </w:rPr>
        <w:t>ó</w:t>
      </w:r>
      <w:r w:rsidRPr="009E7FAA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a</w:t>
      </w:r>
      <w:r w:rsidRPr="009E7FAA">
        <w:rPr>
          <w:rFonts w:ascii="ITC Avant Garde" w:hAnsi="ITC Avant Garde"/>
        </w:rPr>
        <w:t xml:space="preserve">l Instituto Federal de Telecomunicaciones (Instituto) como un órgano autónomo con personalidad jurídica y patrimonio propio </w:t>
      </w:r>
      <w:r>
        <w:rPr>
          <w:rFonts w:ascii="ITC Avant Garde" w:hAnsi="ITC Avant Garde"/>
        </w:rPr>
        <w:t>que tiene por objeto el desarrollo eficiente de la radiodifusión y las telecomunicaciones, para lo cual tiene a su cargo la regulación, promoción y supervisión del</w:t>
      </w:r>
      <w:r w:rsidRPr="009E7FAA">
        <w:rPr>
          <w:rFonts w:ascii="ITC Avant Garde" w:hAnsi="ITC Avant Garde"/>
        </w:rPr>
        <w:t xml:space="preserve"> uso, aprovechamiento y explotación </w:t>
      </w:r>
      <w:r>
        <w:rPr>
          <w:rFonts w:ascii="ITC Avant Garde" w:hAnsi="ITC Avant Garde"/>
        </w:rPr>
        <w:t xml:space="preserve">del espectro radioeléctrico, las redes y la prestación </w:t>
      </w:r>
      <w:r w:rsidRPr="009E7FAA">
        <w:rPr>
          <w:rFonts w:ascii="ITC Avant Garde" w:hAnsi="ITC Avant Garde"/>
        </w:rPr>
        <w:t>de los servicios de radiodifusión y telecomunicaciones</w:t>
      </w:r>
      <w:r>
        <w:rPr>
          <w:rFonts w:ascii="ITC Avant Garde" w:hAnsi="ITC Avant Garde"/>
        </w:rPr>
        <w:t>;</w:t>
      </w:r>
      <w:r w:rsidRPr="009E7FAA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y es </w:t>
      </w:r>
      <w:r w:rsidRPr="009E7FAA">
        <w:rPr>
          <w:rFonts w:ascii="ITC Avant Garde" w:hAnsi="ITC Avant Garde"/>
        </w:rPr>
        <w:t>la autoridad en materia de competencia económica en los sectores</w:t>
      </w:r>
      <w:r>
        <w:rPr>
          <w:rFonts w:ascii="ITC Avant Garde" w:hAnsi="ITC Avant Garde"/>
        </w:rPr>
        <w:t xml:space="preserve"> de telecomunicaciones y radiodifusión</w:t>
      </w:r>
      <w:r w:rsidRPr="009E7FAA">
        <w:rPr>
          <w:rFonts w:ascii="ITC Avant Garde" w:hAnsi="ITC Avant Garde"/>
        </w:rPr>
        <w:t>.</w:t>
      </w:r>
    </w:p>
    <w:p w:rsidR="00957036" w:rsidRPr="009E7FAA" w:rsidRDefault="00E22CEE" w:rsidP="00D668F1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II.</w:t>
      </w:r>
      <w:r w:rsidR="00957036" w:rsidRPr="009E7FAA">
        <w:rPr>
          <w:rFonts w:ascii="ITC Avant Garde" w:hAnsi="ITC Avant Garde"/>
        </w:rPr>
        <w:t xml:space="preserve"> El </w:t>
      </w:r>
      <w:r w:rsidR="00957036">
        <w:rPr>
          <w:rFonts w:ascii="ITC Avant Garde" w:hAnsi="ITC Avant Garde"/>
        </w:rPr>
        <w:t xml:space="preserve">veintitrés </w:t>
      </w:r>
      <w:r w:rsidR="00957036" w:rsidRPr="009E7FAA">
        <w:rPr>
          <w:rFonts w:ascii="ITC Avant Garde" w:hAnsi="ITC Avant Garde"/>
        </w:rPr>
        <w:t xml:space="preserve">de mayo de </w:t>
      </w:r>
      <w:r w:rsidR="00957036">
        <w:rPr>
          <w:rFonts w:ascii="ITC Avant Garde" w:hAnsi="ITC Avant Garde"/>
        </w:rPr>
        <w:t>dos mil catorce</w:t>
      </w:r>
      <w:r w:rsidR="00957036" w:rsidRPr="009E7FAA">
        <w:rPr>
          <w:rFonts w:ascii="ITC Avant Garde" w:hAnsi="ITC Avant Garde"/>
        </w:rPr>
        <w:t xml:space="preserve"> se publicó en el DOF el </w:t>
      </w:r>
      <w:r w:rsidR="00957036" w:rsidRPr="00E26E57">
        <w:rPr>
          <w:rFonts w:ascii="ITC Avant Garde" w:hAnsi="ITC Avant Garde"/>
          <w:i/>
        </w:rPr>
        <w:t>“Decreto por el que se expide la Ley Federal de Competencia Económica y se reforman y adicionan diversos artículos del Código Penal Federal”</w:t>
      </w:r>
      <w:r w:rsidR="00957036" w:rsidRPr="009E7FAA">
        <w:rPr>
          <w:rFonts w:ascii="ITC Avant Garde" w:hAnsi="ITC Avant Garde"/>
        </w:rPr>
        <w:t>.</w:t>
      </w:r>
    </w:p>
    <w:p w:rsidR="00957036" w:rsidRPr="00387567" w:rsidRDefault="00957036" w:rsidP="00D668F1">
      <w:pPr>
        <w:spacing w:after="120" w:line="240" w:lineRule="auto"/>
        <w:jc w:val="both"/>
        <w:rPr>
          <w:rFonts w:ascii="ITC Avant Garde" w:hAnsi="ITC Avant Garde"/>
        </w:rPr>
      </w:pPr>
      <w:r w:rsidRPr="009E7FAA">
        <w:rPr>
          <w:rFonts w:ascii="ITC Avant Garde" w:hAnsi="ITC Avant Garde"/>
          <w:b/>
        </w:rPr>
        <w:t>III</w:t>
      </w:r>
      <w:r w:rsidR="00E22CEE">
        <w:rPr>
          <w:rFonts w:ascii="ITC Avant Garde" w:hAnsi="ITC Avant Garde"/>
        </w:rPr>
        <w:t>.</w:t>
      </w:r>
      <w:r w:rsidRPr="009E7FAA">
        <w:rPr>
          <w:rFonts w:ascii="ITC Avant Garde" w:hAnsi="ITC Avant Garde"/>
        </w:rPr>
        <w:t xml:space="preserve"> El </w:t>
      </w:r>
      <w:r>
        <w:rPr>
          <w:rFonts w:ascii="ITC Avant Garde" w:hAnsi="ITC Avant Garde"/>
        </w:rPr>
        <w:t xml:space="preserve">catorce </w:t>
      </w:r>
      <w:r w:rsidRPr="009E7FAA">
        <w:rPr>
          <w:rFonts w:ascii="ITC Avant Garde" w:hAnsi="ITC Avant Garde"/>
        </w:rPr>
        <w:t xml:space="preserve">de julio de </w:t>
      </w:r>
      <w:r>
        <w:rPr>
          <w:rFonts w:ascii="ITC Avant Garde" w:hAnsi="ITC Avant Garde"/>
        </w:rPr>
        <w:t>dos mil catorce</w:t>
      </w:r>
      <w:r w:rsidRPr="009E7FAA">
        <w:rPr>
          <w:rFonts w:ascii="ITC Avant Garde" w:hAnsi="ITC Avant Garde"/>
        </w:rPr>
        <w:t xml:space="preserve"> se publicó en el DOF el </w:t>
      </w:r>
      <w:r w:rsidRPr="00E26E57">
        <w:rPr>
          <w:rFonts w:ascii="ITC Avant Garde" w:hAnsi="ITC Avant Garde"/>
          <w:i/>
        </w:rPr>
        <w:t xml:space="preserve">“Decreto por el que se expiden la Ley Federal de Telecomunicaciones y Radiodifusión, y la Ley del Sistema Público de Radiodifusión del Estado Mexicano; y se reforman, adicionan y derogan </w:t>
      </w:r>
      <w:r w:rsidRPr="00387567">
        <w:rPr>
          <w:rFonts w:ascii="ITC Avant Garde" w:hAnsi="ITC Avant Garde"/>
          <w:i/>
        </w:rPr>
        <w:t>diversas disposiciones en materia de telecomunicaciones y radiodifusión”</w:t>
      </w:r>
      <w:r w:rsidRPr="00387567">
        <w:rPr>
          <w:rFonts w:ascii="ITC Avant Garde" w:hAnsi="ITC Avant Garde"/>
        </w:rPr>
        <w:t>.</w:t>
      </w:r>
    </w:p>
    <w:p w:rsidR="00957036" w:rsidRPr="00387567" w:rsidRDefault="00E22CEE" w:rsidP="00D668F1">
      <w:pPr>
        <w:pStyle w:val="ROMANOS"/>
        <w:tabs>
          <w:tab w:val="clear" w:pos="720"/>
        </w:tabs>
        <w:spacing w:after="120" w:line="240" w:lineRule="auto"/>
        <w:ind w:left="0" w:firstLine="0"/>
        <w:rPr>
          <w:rFonts w:ascii="ITC Avant Garde" w:hAnsi="ITC Avant Garde"/>
          <w:sz w:val="22"/>
          <w:szCs w:val="22"/>
          <w:lang w:val="es-MX"/>
        </w:rPr>
      </w:pPr>
      <w:r>
        <w:rPr>
          <w:rFonts w:ascii="ITC Avant Garde" w:hAnsi="ITC Avant Garde"/>
          <w:b/>
          <w:sz w:val="22"/>
          <w:szCs w:val="22"/>
          <w:lang w:val="es-MX"/>
        </w:rPr>
        <w:t>IV.</w:t>
      </w:r>
      <w:r w:rsidR="00957036" w:rsidRPr="00387567">
        <w:rPr>
          <w:rFonts w:ascii="ITC Avant Garde" w:hAnsi="ITC Avant Garde"/>
          <w:b/>
          <w:sz w:val="22"/>
          <w:szCs w:val="22"/>
          <w:lang w:val="es-MX"/>
        </w:rPr>
        <w:t xml:space="preserve"> </w:t>
      </w:r>
      <w:r w:rsidR="00957036" w:rsidRPr="00387567">
        <w:rPr>
          <w:rFonts w:ascii="ITC Avant Garde" w:hAnsi="ITC Avant Garde"/>
          <w:sz w:val="22"/>
          <w:szCs w:val="22"/>
          <w:lang w:val="es-MX"/>
        </w:rPr>
        <w:t>El cuatro d</w:t>
      </w:r>
      <w:r w:rsidR="00E81EAE" w:rsidRPr="00387567">
        <w:rPr>
          <w:rFonts w:ascii="ITC Avant Garde" w:hAnsi="ITC Avant Garde"/>
          <w:sz w:val="22"/>
          <w:szCs w:val="22"/>
          <w:lang w:val="es-MX"/>
        </w:rPr>
        <w:t>e septiembre de dos mil catorce</w:t>
      </w:r>
      <w:r w:rsidR="00957036" w:rsidRPr="00387567">
        <w:rPr>
          <w:rFonts w:ascii="ITC Avant Garde" w:hAnsi="ITC Avant Garde"/>
          <w:sz w:val="22"/>
          <w:szCs w:val="22"/>
          <w:lang w:val="es-MX"/>
        </w:rPr>
        <w:t xml:space="preserve"> </w:t>
      </w:r>
      <w:r w:rsidR="00957036" w:rsidRPr="00387567">
        <w:rPr>
          <w:rFonts w:ascii="ITC Avant Garde" w:hAnsi="ITC Avant Garde"/>
          <w:sz w:val="22"/>
          <w:szCs w:val="22"/>
        </w:rPr>
        <w:t>se publicó en el DOF el “</w:t>
      </w:r>
      <w:r w:rsidR="00957036" w:rsidRPr="00387567">
        <w:rPr>
          <w:rFonts w:ascii="ITC Avant Garde" w:hAnsi="ITC Avant Garde"/>
          <w:i/>
          <w:sz w:val="22"/>
          <w:szCs w:val="22"/>
        </w:rPr>
        <w:t>Estatuto Orgánico del Instituto Federal de Telecomunicaciones”</w:t>
      </w:r>
      <w:r w:rsidR="00957036" w:rsidRPr="00387567">
        <w:rPr>
          <w:rFonts w:ascii="ITC Avant Garde" w:hAnsi="ITC Avant Garde"/>
          <w:sz w:val="22"/>
          <w:szCs w:val="22"/>
        </w:rPr>
        <w:t xml:space="preserve"> </w:t>
      </w:r>
      <w:r w:rsidR="00957036" w:rsidRPr="00387567">
        <w:rPr>
          <w:rFonts w:ascii="ITC Avant Garde" w:hAnsi="ITC Avant Garde"/>
          <w:sz w:val="22"/>
          <w:szCs w:val="22"/>
          <w:lang w:val="es-MX"/>
        </w:rPr>
        <w:t>(Estatuto Orgánico).</w:t>
      </w:r>
    </w:p>
    <w:p w:rsidR="00957036" w:rsidRDefault="00E22CEE" w:rsidP="00D668F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b/>
          <w:sz w:val="22"/>
          <w:szCs w:val="22"/>
        </w:rPr>
        <w:t>V.</w:t>
      </w:r>
      <w:r w:rsidR="00957036" w:rsidRPr="00387567">
        <w:rPr>
          <w:rFonts w:ascii="ITC Avant Garde" w:hAnsi="ITC Avant Garde"/>
          <w:b/>
          <w:sz w:val="22"/>
          <w:szCs w:val="22"/>
        </w:rPr>
        <w:t xml:space="preserve"> </w:t>
      </w:r>
      <w:r w:rsidR="00957036" w:rsidRPr="00387567">
        <w:rPr>
          <w:rFonts w:ascii="ITC Avant Garde" w:hAnsi="ITC Avant Garde"/>
          <w:sz w:val="22"/>
          <w:szCs w:val="22"/>
        </w:rPr>
        <w:t xml:space="preserve">El doce de enero de dos mil quince se publicó en el DOF el </w:t>
      </w:r>
      <w:r w:rsidR="00957036" w:rsidRPr="00387567">
        <w:rPr>
          <w:rFonts w:ascii="ITC Avant Garde" w:hAnsi="ITC Avant Garde"/>
          <w:i/>
          <w:sz w:val="22"/>
          <w:szCs w:val="22"/>
        </w:rPr>
        <w:t xml:space="preserve">“Acuerdo mediante el cual el Pleno del Instituto Federal de Telecomunicaciones expide las Disposiciones </w:t>
      </w:r>
      <w:r w:rsidR="00957036" w:rsidRPr="00387567">
        <w:rPr>
          <w:rFonts w:ascii="ITC Avant Garde" w:hAnsi="ITC Avant Garde"/>
          <w:i/>
          <w:sz w:val="22"/>
          <w:szCs w:val="22"/>
        </w:rPr>
        <w:lastRenderedPageBreak/>
        <w:t>Regulatorias de la Ley Federal de Competencia Económica para los sectores de telecomunicaciones y radiodifusión”</w:t>
      </w:r>
      <w:r w:rsidR="00957036" w:rsidRPr="00387567">
        <w:rPr>
          <w:rFonts w:ascii="ITC Avant Garde" w:hAnsi="ITC Avant Garde"/>
          <w:sz w:val="22"/>
          <w:szCs w:val="22"/>
        </w:rPr>
        <w:t xml:space="preserve"> (Disposiciones Regulatorias).</w:t>
      </w:r>
    </w:p>
    <w:p w:rsidR="006B49E1" w:rsidRDefault="006B49E1" w:rsidP="00D668F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sz w:val="22"/>
          <w:szCs w:val="22"/>
        </w:rPr>
      </w:pPr>
      <w:r w:rsidRPr="00C822F9">
        <w:rPr>
          <w:rFonts w:ascii="ITC Avant Garde" w:hAnsi="ITC Avant Garde"/>
          <w:b/>
          <w:sz w:val="22"/>
          <w:szCs w:val="22"/>
        </w:rPr>
        <w:t>VI</w:t>
      </w:r>
      <w:r w:rsidR="00E22CEE">
        <w:rPr>
          <w:rFonts w:ascii="ITC Avant Garde" w:hAnsi="ITC Avant Garde"/>
          <w:b/>
          <w:sz w:val="22"/>
          <w:szCs w:val="22"/>
        </w:rPr>
        <w:t>.</w:t>
      </w:r>
      <w:r>
        <w:rPr>
          <w:rFonts w:ascii="ITC Avant Garde" w:hAnsi="ITC Avant Garde"/>
          <w:b/>
          <w:sz w:val="22"/>
          <w:szCs w:val="22"/>
        </w:rPr>
        <w:t xml:space="preserve"> </w:t>
      </w:r>
      <w:r>
        <w:rPr>
          <w:rFonts w:ascii="ITC Avant Garde" w:hAnsi="ITC Avant Garde"/>
          <w:sz w:val="22"/>
          <w:szCs w:val="22"/>
        </w:rPr>
        <w:t>El diez</w:t>
      </w:r>
      <w:r w:rsidR="00065661">
        <w:rPr>
          <w:rFonts w:ascii="ITC Avant Garde" w:hAnsi="ITC Avant Garde"/>
          <w:sz w:val="22"/>
          <w:szCs w:val="22"/>
        </w:rPr>
        <w:t xml:space="preserve"> de</w:t>
      </w:r>
      <w:r w:rsidR="006E1A52">
        <w:rPr>
          <w:rFonts w:ascii="ITC Avant Garde" w:hAnsi="ITC Avant Garde"/>
          <w:sz w:val="22"/>
          <w:szCs w:val="22"/>
        </w:rPr>
        <w:t xml:space="preserve"> diciembre de dos mil dieciocho</w:t>
      </w:r>
      <w:r w:rsidR="00065661">
        <w:rPr>
          <w:rFonts w:ascii="ITC Avant Garde" w:hAnsi="ITC Avant Garde"/>
          <w:sz w:val="22"/>
          <w:szCs w:val="22"/>
        </w:rPr>
        <w:t xml:space="preserve"> se publicó en el DOF el “</w:t>
      </w:r>
      <w:r w:rsidR="00065661" w:rsidRPr="003A2B49">
        <w:rPr>
          <w:rFonts w:ascii="ITC Avant Garde" w:hAnsi="ITC Avant Garde"/>
          <w:i/>
          <w:sz w:val="22"/>
          <w:szCs w:val="22"/>
        </w:rPr>
        <w:t>Acuerdo mediante el cual el Pleno del Instituto Federal de Telecomunicaciones expide los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3A2B49">
        <w:rPr>
          <w:rFonts w:ascii="ITC Avant Garde" w:hAnsi="ITC Avant Garde"/>
          <w:sz w:val="22"/>
          <w:szCs w:val="22"/>
        </w:rPr>
        <w:t>”</w:t>
      </w:r>
      <w:r w:rsidR="00065661">
        <w:rPr>
          <w:rFonts w:ascii="ITC Avant Garde" w:hAnsi="ITC Avant Garde"/>
          <w:sz w:val="22"/>
          <w:szCs w:val="22"/>
        </w:rPr>
        <w:t xml:space="preserve">. </w:t>
      </w:r>
    </w:p>
    <w:p w:rsidR="00B7176F" w:rsidRDefault="00B7176F" w:rsidP="00D668F1">
      <w:pPr>
        <w:autoSpaceDE w:val="0"/>
        <w:autoSpaceDN w:val="0"/>
        <w:adjustRightInd w:val="0"/>
        <w:spacing w:after="120" w:line="24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B7176F">
        <w:rPr>
          <w:rFonts w:ascii="ITC Avant Garde" w:hAnsi="ITC Avant Garde"/>
          <w:b/>
        </w:rPr>
        <w:t>VII.</w:t>
      </w:r>
      <w:r>
        <w:rPr>
          <w:rFonts w:ascii="ITC Avant Garde" w:hAnsi="ITC Avant Garde"/>
        </w:rPr>
        <w:t xml:space="preserve"> </w:t>
      </w:r>
      <w:r w:rsidRPr="00981F90">
        <w:rPr>
          <w:rFonts w:ascii="ITC Avant Garde" w:hAnsi="ITC Avant Garde"/>
          <w:bCs/>
          <w:color w:val="000000"/>
          <w:lang w:eastAsia="es-MX"/>
        </w:rPr>
        <w:t>El treinta y uno de enero de dos mil diecinueve</w:t>
      </w:r>
      <w:r>
        <w:rPr>
          <w:rFonts w:ascii="ITC Avant Garde" w:hAnsi="ITC Avant Garde"/>
          <w:bCs/>
          <w:color w:val="000000"/>
          <w:lang w:eastAsia="es-MX"/>
        </w:rPr>
        <w:t>,</w:t>
      </w:r>
      <w:r w:rsidRPr="00981F90">
        <w:rPr>
          <w:rFonts w:ascii="ITC Avant Garde" w:hAnsi="ITC Avant Garde"/>
          <w:bCs/>
          <w:color w:val="000000"/>
          <w:lang w:eastAsia="es-MX"/>
        </w:rPr>
        <w:t xml:space="preserve"> </w:t>
      </w:r>
      <w:r w:rsidRPr="00981F90">
        <w:rPr>
          <w:rFonts w:ascii="ITC Avant Garde" w:eastAsia="Times New Roman" w:hAnsi="ITC Avant Garde" w:cs="Times New Roman"/>
          <w:bCs/>
          <w:color w:val="000000"/>
          <w:lang w:eastAsia="es-MX"/>
        </w:rPr>
        <w:t>mediante acuerdo número P/IFT/310119/43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,</w:t>
      </w:r>
      <w:r w:rsidRPr="00981F90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el Pleno del Instituto emitió el Programa Anual de Trabajo 2019 (PAT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981F90">
        <w:rPr>
          <w:rFonts w:ascii="ITC Avant Garde" w:eastAsia="Times New Roman" w:hAnsi="ITC Avant Garde" w:cs="Times New Roman"/>
          <w:bCs/>
          <w:color w:val="000000"/>
          <w:lang w:eastAsia="es-MX"/>
        </w:rPr>
        <w:t>2019).</w:t>
      </w:r>
    </w:p>
    <w:p w:rsidR="00B7176F" w:rsidRDefault="00B7176F" w:rsidP="00D668F1">
      <w:pPr>
        <w:autoSpaceDE w:val="0"/>
        <w:autoSpaceDN w:val="0"/>
        <w:adjustRightInd w:val="0"/>
        <w:spacing w:after="120" w:line="24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0B730F">
        <w:rPr>
          <w:rFonts w:ascii="ITC Avant Garde" w:eastAsia="Times New Roman" w:hAnsi="ITC Avant Garde" w:cs="Times New Roman"/>
          <w:bCs/>
          <w:color w:val="000000"/>
          <w:lang w:eastAsia="es-MX"/>
        </w:rPr>
        <w:t>En el apartado denominado “OBJETIVO 1” del PAT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0B730F">
        <w:rPr>
          <w:rFonts w:ascii="ITC Avant Garde" w:eastAsia="Times New Roman" w:hAnsi="ITC Avant Garde" w:cs="Times New Roman"/>
          <w:bCs/>
          <w:color w:val="000000"/>
          <w:lang w:eastAsia="es-MX"/>
        </w:rPr>
        <w:t>2019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, se</w:t>
      </w:r>
      <w:r w:rsidRPr="000B730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previó la realización de 14 proyectos, de los cuales ocho están alineados con la estrategia 1.1.</w:t>
      </w:r>
      <w:r w:rsidR="0070510E">
        <w:rPr>
          <w:rFonts w:ascii="ITC Avant Garde" w:eastAsia="Times New Roman" w:hAnsi="ITC Avant Garde" w:cs="Times New Roman"/>
          <w:bCs/>
          <w:color w:val="000000"/>
          <w:lang w:eastAsia="es-MX"/>
        </w:rPr>
        <w:t>, entre los que se encuentra el relativo a las modificaciones a las Disposiciones Regulatorias.</w:t>
      </w:r>
    </w:p>
    <w:p w:rsidR="00957036" w:rsidRDefault="00957036" w:rsidP="00D668F1">
      <w:pPr>
        <w:pStyle w:val="Default"/>
        <w:tabs>
          <w:tab w:val="left" w:pos="0"/>
        </w:tabs>
        <w:rPr>
          <w:rFonts w:ascii="ITC Avant Garde" w:hAnsi="ITC Avant Garde"/>
          <w:b/>
          <w:bCs/>
          <w:color w:val="auto"/>
          <w:sz w:val="22"/>
          <w:szCs w:val="22"/>
          <w:lang w:val="pt-BR"/>
        </w:rPr>
      </w:pPr>
    </w:p>
    <w:p w:rsidR="0008012B" w:rsidRPr="002249F3" w:rsidRDefault="0008012B" w:rsidP="00D668F1">
      <w:pPr>
        <w:pStyle w:val="Default"/>
        <w:tabs>
          <w:tab w:val="left" w:pos="0"/>
        </w:tabs>
        <w:jc w:val="center"/>
        <w:rPr>
          <w:rFonts w:ascii="ITC Avant Garde" w:hAnsi="ITC Avant Garde"/>
          <w:b/>
          <w:bCs/>
          <w:color w:val="auto"/>
          <w:sz w:val="22"/>
          <w:szCs w:val="22"/>
          <w:lang w:val="pt-BR"/>
        </w:rPr>
      </w:pP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C O N S I D E R A N D O</w:t>
      </w:r>
      <w:r w:rsidR="004D2189"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 xml:space="preserve"> </w:t>
      </w:r>
    </w:p>
    <w:p w:rsidR="00540EC7" w:rsidRPr="002249F3" w:rsidRDefault="00540EC7" w:rsidP="00D668F1">
      <w:pPr>
        <w:pStyle w:val="Default"/>
        <w:tabs>
          <w:tab w:val="left" w:pos="0"/>
        </w:tabs>
        <w:jc w:val="center"/>
        <w:rPr>
          <w:rFonts w:ascii="ITC Avant Garde" w:hAnsi="ITC Avant Garde"/>
          <w:b/>
          <w:bCs/>
          <w:color w:val="auto"/>
          <w:sz w:val="22"/>
          <w:szCs w:val="22"/>
          <w:lang w:val="pt-BR"/>
        </w:rPr>
      </w:pPr>
    </w:p>
    <w:p w:rsidR="004B0A08" w:rsidRPr="002249F3" w:rsidRDefault="004B0A08" w:rsidP="00D668F1">
      <w:pPr>
        <w:spacing w:after="0" w:line="240" w:lineRule="auto"/>
        <w:jc w:val="both"/>
        <w:rPr>
          <w:rFonts w:ascii="ITC Avant Garde" w:hAnsi="ITC Avant Garde"/>
        </w:rPr>
      </w:pPr>
      <w:r w:rsidRPr="002249F3">
        <w:rPr>
          <w:rFonts w:ascii="ITC Avant Garde" w:hAnsi="ITC Avant Garde"/>
          <w:b/>
        </w:rPr>
        <w:t>PRIMERO. Competencia del Instituto</w:t>
      </w:r>
      <w:r w:rsidRPr="002249F3">
        <w:rPr>
          <w:rFonts w:ascii="ITC Avant Garde" w:hAnsi="ITC Avant Garde"/>
        </w:rPr>
        <w:t xml:space="preserve">. De conformidad con los artículos 28, párrafos décimo quinto y décimo sexto, de la Constitución Política de los Estados Unidos Mexicanos; </w:t>
      </w:r>
      <w:r w:rsidRPr="002249F3">
        <w:rPr>
          <w:rFonts w:ascii="ITC Avant Garde" w:hAnsi="ITC Avant Garde"/>
          <w:bCs/>
        </w:rPr>
        <w:t xml:space="preserve">7, párrafos primero y tercero, </w:t>
      </w:r>
      <w:r w:rsidRPr="002249F3">
        <w:rPr>
          <w:rFonts w:ascii="ITC Avant Garde" w:hAnsi="ITC Avant Garde"/>
        </w:rPr>
        <w:t>de la</w:t>
      </w:r>
      <w:r w:rsidR="006F0CFF">
        <w:rPr>
          <w:rFonts w:ascii="ITC Avant Garde" w:hAnsi="ITC Avant Garde"/>
        </w:rPr>
        <w:t xml:space="preserve"> </w:t>
      </w:r>
      <w:r w:rsidR="007C66BF">
        <w:rPr>
          <w:rFonts w:ascii="ITC Avant Garde" w:hAnsi="ITC Avant Garde"/>
        </w:rPr>
        <w:t>Ley Federal de Telecomunicaciones y Radiodifusión</w:t>
      </w:r>
      <w:r w:rsidRPr="002249F3">
        <w:rPr>
          <w:rFonts w:ascii="ITC Avant Garde" w:hAnsi="ITC Avant Garde"/>
        </w:rPr>
        <w:t xml:space="preserve">, y 5, párrafo primero, de la </w:t>
      </w:r>
      <w:r w:rsidR="007C66BF">
        <w:rPr>
          <w:rFonts w:ascii="ITC Avant Garde" w:hAnsi="ITC Avant Garde"/>
        </w:rPr>
        <w:t>Ley Federal de Competencia Económica (</w:t>
      </w:r>
      <w:r w:rsidRPr="002249F3">
        <w:rPr>
          <w:rFonts w:ascii="ITC Avant Garde" w:hAnsi="ITC Avant Garde"/>
        </w:rPr>
        <w:t>LFCE),</w:t>
      </w:r>
      <w:r w:rsidR="00A5502F" w:rsidRPr="002249F3">
        <w:rPr>
          <w:rFonts w:ascii="ITC Avant Garde" w:hAnsi="ITC Avant Garde"/>
        </w:rPr>
        <w:t xml:space="preserve"> </w:t>
      </w:r>
      <w:r w:rsidR="003A2B49">
        <w:rPr>
          <w:rFonts w:ascii="ITC Avant Garde" w:hAnsi="ITC Avant Garde"/>
        </w:rPr>
        <w:t>el Instituto</w:t>
      </w:r>
      <w:r w:rsidRPr="002249F3">
        <w:rPr>
          <w:rFonts w:ascii="ITC Avant Garde" w:hAnsi="ITC Avant Garde"/>
        </w:rPr>
        <w:t xml:space="preserve"> es un órgano autónomo con personalid</w:t>
      </w:r>
      <w:r w:rsidR="00740332">
        <w:rPr>
          <w:rFonts w:ascii="ITC Avant Garde" w:hAnsi="ITC Avant Garde"/>
        </w:rPr>
        <w:t>ad jurídica y patrimonio propio</w:t>
      </w:r>
      <w:r w:rsidRPr="002249F3">
        <w:rPr>
          <w:rFonts w:ascii="ITC Avant Garde" w:hAnsi="ITC Avant Garde"/>
        </w:rPr>
        <w:t xml:space="preserve"> que tiene por objeto el desarrollo eficiente de la radiodifusión y las telecomunicaciones; y es la autoridad en materia de competencia económica en dichos sectores, por lo que en ellos ejerce de forma exclusiva las facultades que el artículo 28 constitucional y las leyes establecen para la Comisión Federal de Competencia Económica.</w:t>
      </w:r>
    </w:p>
    <w:p w:rsidR="00540EC7" w:rsidRPr="002249F3" w:rsidRDefault="00540EC7" w:rsidP="00D668F1">
      <w:pPr>
        <w:spacing w:after="0" w:line="240" w:lineRule="auto"/>
        <w:jc w:val="both"/>
        <w:rPr>
          <w:rFonts w:ascii="ITC Avant Garde" w:hAnsi="ITC Avant Garde"/>
          <w:bCs/>
        </w:rPr>
      </w:pPr>
    </w:p>
    <w:p w:rsidR="00400CD6" w:rsidRPr="002249F3" w:rsidRDefault="00075691" w:rsidP="00D668F1">
      <w:pPr>
        <w:spacing w:after="0" w:line="240" w:lineRule="auto"/>
        <w:jc w:val="both"/>
        <w:rPr>
          <w:rFonts w:ascii="ITC Avant Garde" w:eastAsia="Calibri" w:hAnsi="ITC Avant Garde" w:cs="Arial"/>
        </w:rPr>
      </w:pPr>
      <w:r w:rsidRPr="002249F3">
        <w:rPr>
          <w:rFonts w:ascii="ITC Avant Garde" w:hAnsi="ITC Avant Garde"/>
        </w:rPr>
        <w:t xml:space="preserve">En términos de lo dispuesto por </w:t>
      </w:r>
      <w:r w:rsidR="00387567">
        <w:rPr>
          <w:rFonts w:ascii="ITC Avant Garde" w:hAnsi="ITC Avant Garde"/>
        </w:rPr>
        <w:t>el art</w:t>
      </w:r>
      <w:r w:rsidR="00FD606E">
        <w:rPr>
          <w:rFonts w:ascii="ITC Avant Garde" w:hAnsi="ITC Avant Garde"/>
        </w:rPr>
        <w:t>ículo</w:t>
      </w:r>
      <w:r w:rsidR="00267A5F" w:rsidRPr="002249F3">
        <w:rPr>
          <w:rFonts w:ascii="ITC Avant Garde" w:hAnsi="ITC Avant Garde"/>
        </w:rPr>
        <w:t xml:space="preserve"> 12, </w:t>
      </w:r>
      <w:r w:rsidR="00400CD6" w:rsidRPr="002249F3">
        <w:rPr>
          <w:rFonts w:ascii="ITC Avant Garde" w:eastAsia="Calibri" w:hAnsi="ITC Avant Garde" w:cs="Arial"/>
        </w:rPr>
        <w:t>fracciones XVII y XXII</w:t>
      </w:r>
      <w:r w:rsidR="00FD606E">
        <w:rPr>
          <w:rFonts w:ascii="ITC Avant Garde" w:eastAsia="Calibri" w:hAnsi="ITC Avant Garde" w:cs="Arial"/>
        </w:rPr>
        <w:t xml:space="preserve">, </w:t>
      </w:r>
      <w:r w:rsidR="00400CD6" w:rsidRPr="002249F3">
        <w:rPr>
          <w:rFonts w:ascii="ITC Avant Garde" w:eastAsia="Calibri" w:hAnsi="ITC Avant Garde" w:cs="Arial"/>
        </w:rPr>
        <w:t>de la L</w:t>
      </w:r>
      <w:r w:rsidR="00600814" w:rsidRPr="002249F3">
        <w:rPr>
          <w:rFonts w:ascii="ITC Avant Garde" w:eastAsia="Calibri" w:hAnsi="ITC Avant Garde" w:cs="Arial"/>
        </w:rPr>
        <w:t>FCE</w:t>
      </w:r>
      <w:r w:rsidR="004B0A08" w:rsidRPr="002249F3">
        <w:rPr>
          <w:rFonts w:ascii="ITC Avant Garde" w:hAnsi="ITC Avant Garde"/>
        </w:rPr>
        <w:t>,</w:t>
      </w:r>
      <w:r w:rsidR="0070224C" w:rsidRPr="002249F3">
        <w:rPr>
          <w:rFonts w:ascii="ITC Avant Garde" w:hAnsi="ITC Avant Garde"/>
        </w:rPr>
        <w:t xml:space="preserve"> </w:t>
      </w:r>
      <w:r w:rsidR="00267A5F" w:rsidRPr="002249F3">
        <w:rPr>
          <w:rFonts w:ascii="ITC Avant Garde" w:hAnsi="ITC Avant Garde"/>
        </w:rPr>
        <w:t>el Instituto tiene la atribución de</w:t>
      </w:r>
      <w:r w:rsidR="00BF22F4" w:rsidRPr="002249F3">
        <w:rPr>
          <w:rFonts w:ascii="ITC Avant Garde" w:hAnsi="ITC Avant Garde"/>
        </w:rPr>
        <w:t xml:space="preserve"> </w:t>
      </w:r>
      <w:r w:rsidR="00267A5F" w:rsidRPr="002249F3">
        <w:rPr>
          <w:rFonts w:ascii="ITC Avant Garde" w:hAnsi="ITC Avant Garde"/>
        </w:rPr>
        <w:t>expedir</w:t>
      </w:r>
      <w:r w:rsidR="00400CD6" w:rsidRPr="002249F3">
        <w:rPr>
          <w:rFonts w:ascii="ITC Avant Garde" w:eastAsia="Calibri" w:hAnsi="ITC Avant Garde" w:cs="Arial"/>
        </w:rPr>
        <w:t>, previa consulta pública,</w:t>
      </w:r>
      <w:r w:rsidR="00087E9F" w:rsidRPr="002249F3">
        <w:rPr>
          <w:rFonts w:ascii="ITC Avant Garde" w:eastAsia="Calibri" w:hAnsi="ITC Avant Garde" w:cs="Arial"/>
        </w:rPr>
        <w:t xml:space="preserve"> </w:t>
      </w:r>
      <w:r w:rsidR="00FD606E">
        <w:rPr>
          <w:rFonts w:ascii="ITC Avant Garde" w:eastAsia="Calibri" w:hAnsi="ITC Avant Garde" w:cs="Arial"/>
        </w:rPr>
        <w:t xml:space="preserve">las </w:t>
      </w:r>
      <w:r w:rsidR="00001E63">
        <w:rPr>
          <w:rFonts w:ascii="ITC Avant Garde" w:eastAsia="Calibri" w:hAnsi="ITC Avant Garde" w:cs="Arial"/>
        </w:rPr>
        <w:t>disposiciones r</w:t>
      </w:r>
      <w:r w:rsidR="00087E9F" w:rsidRPr="002249F3">
        <w:rPr>
          <w:rFonts w:ascii="ITC Avant Garde" w:eastAsia="Calibri" w:hAnsi="ITC Avant Garde" w:cs="Arial"/>
        </w:rPr>
        <w:t>egulatorias</w:t>
      </w:r>
      <w:r w:rsidR="00400CD6" w:rsidRPr="002249F3">
        <w:rPr>
          <w:rFonts w:ascii="ITC Avant Garde" w:eastAsia="Calibri" w:hAnsi="ITC Avant Garde" w:cs="Arial"/>
        </w:rPr>
        <w:t xml:space="preserve"> que sean necesarias para el cumplimiento de sus atribuciones</w:t>
      </w:r>
      <w:r w:rsidR="009C3FF9" w:rsidRPr="002249F3">
        <w:rPr>
          <w:rFonts w:ascii="ITC Avant Garde" w:eastAsia="Calibri" w:hAnsi="ITC Avant Garde" w:cs="Arial"/>
        </w:rPr>
        <w:t>, así como lineamientos</w:t>
      </w:r>
      <w:r w:rsidR="00791517" w:rsidRPr="002249F3">
        <w:rPr>
          <w:rFonts w:ascii="ITC Avant Garde" w:eastAsia="Calibri" w:hAnsi="ITC Avant Garde" w:cs="Arial"/>
        </w:rPr>
        <w:t>.</w:t>
      </w:r>
    </w:p>
    <w:p w:rsidR="00540EC7" w:rsidRPr="002249F3" w:rsidRDefault="00540EC7" w:rsidP="00D668F1">
      <w:pPr>
        <w:spacing w:after="0" w:line="240" w:lineRule="auto"/>
        <w:jc w:val="both"/>
        <w:rPr>
          <w:rFonts w:ascii="ITC Avant Garde" w:eastAsia="Calibri" w:hAnsi="ITC Avant Garde" w:cs="Arial"/>
        </w:rPr>
      </w:pPr>
    </w:p>
    <w:p w:rsidR="00AC54B2" w:rsidRPr="002249F3" w:rsidRDefault="00EF7C94" w:rsidP="00D668F1">
      <w:pPr>
        <w:spacing w:after="0" w:line="240" w:lineRule="auto"/>
        <w:jc w:val="both"/>
        <w:rPr>
          <w:rFonts w:ascii="ITC Avant Garde" w:hAnsi="ITC Avant Garde"/>
        </w:rPr>
      </w:pPr>
      <w:r w:rsidRPr="002249F3">
        <w:rPr>
          <w:rFonts w:ascii="ITC Avant Garde" w:hAnsi="ITC Avant Garde"/>
        </w:rPr>
        <w:t>Por tanto</w:t>
      </w:r>
      <w:r w:rsidR="002D71E0" w:rsidRPr="002249F3">
        <w:rPr>
          <w:rFonts w:ascii="ITC Avant Garde" w:hAnsi="ITC Avant Garde"/>
        </w:rPr>
        <w:t>, c</w:t>
      </w:r>
      <w:r w:rsidR="004D2189" w:rsidRPr="002249F3">
        <w:rPr>
          <w:rFonts w:ascii="ITC Avant Garde" w:hAnsi="ITC Avant Garde"/>
        </w:rPr>
        <w:t>o</w:t>
      </w:r>
      <w:r w:rsidR="007031D7" w:rsidRPr="002249F3">
        <w:rPr>
          <w:rFonts w:ascii="ITC Avant Garde" w:hAnsi="ITC Avant Garde"/>
        </w:rPr>
        <w:t xml:space="preserve">n </w:t>
      </w:r>
      <w:r w:rsidR="00C9292A" w:rsidRPr="002249F3">
        <w:rPr>
          <w:rFonts w:ascii="ITC Avant Garde" w:hAnsi="ITC Avant Garde"/>
        </w:rPr>
        <w:t xml:space="preserve">fundamento en </w:t>
      </w:r>
      <w:r w:rsidR="009C3FF9" w:rsidRPr="002249F3">
        <w:rPr>
          <w:rFonts w:ascii="ITC Avant Garde" w:hAnsi="ITC Avant Garde"/>
        </w:rPr>
        <w:t>los</w:t>
      </w:r>
      <w:r w:rsidR="001C46E9" w:rsidRPr="002249F3">
        <w:rPr>
          <w:rFonts w:ascii="ITC Avant Garde" w:hAnsi="ITC Avant Garde"/>
        </w:rPr>
        <w:t xml:space="preserve"> </w:t>
      </w:r>
      <w:r w:rsidR="00C9292A" w:rsidRPr="002249F3">
        <w:rPr>
          <w:rFonts w:ascii="ITC Avant Garde" w:hAnsi="ITC Avant Garde"/>
        </w:rPr>
        <w:t>artículo</w:t>
      </w:r>
      <w:r w:rsidR="00001E63">
        <w:rPr>
          <w:rFonts w:ascii="ITC Avant Garde" w:hAnsi="ITC Avant Garde"/>
        </w:rPr>
        <w:t>s</w:t>
      </w:r>
      <w:r w:rsidR="00C9292A" w:rsidRPr="002249F3">
        <w:rPr>
          <w:rFonts w:ascii="ITC Avant Garde" w:hAnsi="ITC Avant Garde"/>
        </w:rPr>
        <w:t xml:space="preserve"> </w:t>
      </w:r>
      <w:r w:rsidR="009C3FF9" w:rsidRPr="002249F3">
        <w:rPr>
          <w:rFonts w:ascii="ITC Avant Garde" w:hAnsi="ITC Avant Garde"/>
        </w:rPr>
        <w:t>138 de la LFCE</w:t>
      </w:r>
      <w:r w:rsidR="00001E63">
        <w:rPr>
          <w:rFonts w:ascii="ITC Avant Garde" w:hAnsi="ITC Avant Garde"/>
        </w:rPr>
        <w:t>, así como</w:t>
      </w:r>
      <w:r w:rsidR="009E0977">
        <w:rPr>
          <w:rFonts w:ascii="ITC Avant Garde" w:hAnsi="ITC Avant Garde"/>
        </w:rPr>
        <w:t xml:space="preserve"> 187 y </w:t>
      </w:r>
      <w:r w:rsidR="005239CE" w:rsidRPr="002249F3">
        <w:rPr>
          <w:rFonts w:ascii="ITC Avant Garde" w:hAnsi="ITC Avant Garde"/>
        </w:rPr>
        <w:t>1</w:t>
      </w:r>
      <w:r w:rsidR="00791517" w:rsidRPr="002249F3">
        <w:rPr>
          <w:rFonts w:ascii="ITC Avant Garde" w:hAnsi="ITC Avant Garde"/>
        </w:rPr>
        <w:t>89</w:t>
      </w:r>
      <w:r w:rsidR="005239CE" w:rsidRPr="002249F3">
        <w:rPr>
          <w:rFonts w:ascii="ITC Avant Garde" w:hAnsi="ITC Avant Garde"/>
        </w:rPr>
        <w:t xml:space="preserve"> </w:t>
      </w:r>
      <w:r w:rsidR="00001E63">
        <w:rPr>
          <w:rFonts w:ascii="ITC Avant Garde" w:hAnsi="ITC Avant Garde"/>
        </w:rPr>
        <w:t xml:space="preserve">de las </w:t>
      </w:r>
      <w:r w:rsidR="002C744A">
        <w:rPr>
          <w:rFonts w:ascii="ITC Avant Garde" w:hAnsi="ITC Avant Garde"/>
        </w:rPr>
        <w:t>Disposiciones Regulatorias</w:t>
      </w:r>
      <w:r w:rsidR="005239CE" w:rsidRPr="002249F3">
        <w:rPr>
          <w:rFonts w:ascii="ITC Avant Garde" w:hAnsi="ITC Avant Garde"/>
        </w:rPr>
        <w:t>,</w:t>
      </w:r>
      <w:r w:rsidR="007031D7" w:rsidRPr="002249F3">
        <w:rPr>
          <w:rFonts w:ascii="ITC Avant Garde" w:hAnsi="ITC Avant Garde"/>
        </w:rPr>
        <w:t xml:space="preserve"> el </w:t>
      </w:r>
      <w:r w:rsidR="005239CE" w:rsidRPr="002249F3">
        <w:rPr>
          <w:rFonts w:ascii="ITC Avant Garde" w:hAnsi="ITC Avant Garde"/>
        </w:rPr>
        <w:t xml:space="preserve">Pleno del </w:t>
      </w:r>
      <w:r w:rsidR="007031D7" w:rsidRPr="002249F3">
        <w:rPr>
          <w:rFonts w:ascii="ITC Avant Garde" w:hAnsi="ITC Avant Garde"/>
        </w:rPr>
        <w:t>Instituto</w:t>
      </w:r>
      <w:r w:rsidR="006A1920" w:rsidRPr="002249F3">
        <w:rPr>
          <w:rFonts w:ascii="ITC Avant Garde" w:hAnsi="ITC Avant Garde"/>
        </w:rPr>
        <w:t xml:space="preserve"> </w:t>
      </w:r>
      <w:r w:rsidR="0008012B" w:rsidRPr="002249F3">
        <w:rPr>
          <w:rFonts w:ascii="ITC Avant Garde" w:hAnsi="ITC Avant Garde"/>
        </w:rPr>
        <w:t xml:space="preserve">cuenta con atribuciones para emitir el presente Acuerdo </w:t>
      </w:r>
      <w:r w:rsidR="008528D9" w:rsidRPr="002249F3">
        <w:rPr>
          <w:rFonts w:ascii="ITC Avant Garde" w:hAnsi="ITC Avant Garde"/>
        </w:rPr>
        <w:t xml:space="preserve">a efecto de someter a </w:t>
      </w:r>
      <w:r w:rsidR="0008012B" w:rsidRPr="002249F3">
        <w:rPr>
          <w:rFonts w:ascii="ITC Avant Garde" w:hAnsi="ITC Avant Garde"/>
        </w:rPr>
        <w:t xml:space="preserve">consulta pública el </w:t>
      </w:r>
      <w:r w:rsidR="00791517" w:rsidRPr="002249F3">
        <w:rPr>
          <w:rFonts w:ascii="ITC Avant Garde" w:hAnsi="ITC Avant Garde"/>
        </w:rPr>
        <w:t>“</w:t>
      </w:r>
      <w:r w:rsidR="00D72623" w:rsidRPr="002249F3">
        <w:rPr>
          <w:rFonts w:ascii="ITC Avant Garde" w:hAnsi="ITC Avant Garde"/>
          <w:i/>
        </w:rPr>
        <w:t>ANTEPROYECTO DE MODIFICACIONES A LAS DISPOSICIONES REGULATORIAS DE LA LEY FEDERAL DE COMPETENCIA ECONÓMICA PARA LOS SECTORES DE TELECOMUNICACIONES Y RADIODIFUSIÓN, PUBLICADAS EN EL DIARI</w:t>
      </w:r>
      <w:r w:rsidR="002C744A">
        <w:rPr>
          <w:rFonts w:ascii="ITC Avant Garde" w:hAnsi="ITC Avant Garde"/>
          <w:i/>
        </w:rPr>
        <w:t>O OFICIAL DE LA FEDERACIÓN EL DOCE</w:t>
      </w:r>
      <w:r w:rsidR="00D72623" w:rsidRPr="002249F3">
        <w:rPr>
          <w:rFonts w:ascii="ITC Avant Garde" w:hAnsi="ITC Avant Garde"/>
          <w:i/>
        </w:rPr>
        <w:t xml:space="preserve"> DE </w:t>
      </w:r>
      <w:r w:rsidR="002C744A">
        <w:rPr>
          <w:rFonts w:ascii="ITC Avant Garde" w:hAnsi="ITC Avant Garde"/>
          <w:i/>
        </w:rPr>
        <w:t>ENERO DE DOS MIL QUINCE</w:t>
      </w:r>
      <w:r w:rsidR="00D72623" w:rsidRPr="002249F3">
        <w:rPr>
          <w:rFonts w:ascii="ITC Avant Garde" w:hAnsi="ITC Avant Garde"/>
          <w:i/>
        </w:rPr>
        <w:t>, RESPECTO DE LOS PROCEDIMIENTOS QUE LLEVAN A CABO LA AUTORIDAD INVESTIGADORA Y LA UNIDAD DE COMPETENCIA ECONÓMICA</w:t>
      </w:r>
      <w:r w:rsidR="00001E63">
        <w:rPr>
          <w:rFonts w:ascii="ITC Avant Garde" w:hAnsi="ITC Avant Garde"/>
        </w:rPr>
        <w:t>”</w:t>
      </w:r>
      <w:r w:rsidR="009F32BF">
        <w:rPr>
          <w:rFonts w:ascii="ITC Avant Garde" w:hAnsi="ITC Avant Garde"/>
        </w:rPr>
        <w:t xml:space="preserve"> </w:t>
      </w:r>
      <w:r w:rsidR="009F32BF">
        <w:rPr>
          <w:rFonts w:ascii="ITC Avant Garde" w:hAnsi="ITC Avant Garde"/>
        </w:rPr>
        <w:lastRenderedPageBreak/>
        <w:t>(Anteproyecto de modificaci</w:t>
      </w:r>
      <w:r w:rsidR="0076705F">
        <w:rPr>
          <w:rFonts w:ascii="ITC Avant Garde" w:hAnsi="ITC Avant Garde"/>
        </w:rPr>
        <w:t>ones</w:t>
      </w:r>
      <w:r w:rsidR="009F32BF">
        <w:rPr>
          <w:rFonts w:ascii="ITC Avant Garde" w:hAnsi="ITC Avant Garde"/>
        </w:rPr>
        <w:t xml:space="preserve"> a las Disposiciones Regulatorias)</w:t>
      </w:r>
      <w:r w:rsidR="009C3FF9" w:rsidRPr="002249F3">
        <w:rPr>
          <w:rFonts w:ascii="ITC Avant Garde" w:hAnsi="ITC Avant Garde"/>
          <w:i/>
        </w:rPr>
        <w:t xml:space="preserve"> </w:t>
      </w:r>
      <w:r w:rsidR="009C3FF9" w:rsidRPr="00001E63">
        <w:rPr>
          <w:rFonts w:ascii="ITC Avant Garde" w:hAnsi="ITC Avant Garde"/>
        </w:rPr>
        <w:t>Y</w:t>
      </w:r>
      <w:r w:rsidR="00001E63">
        <w:rPr>
          <w:rFonts w:ascii="ITC Avant Garde" w:hAnsi="ITC Avant Garde"/>
        </w:rPr>
        <w:t xml:space="preserve"> EL “</w:t>
      </w:r>
      <w:r w:rsidR="00001E63">
        <w:rPr>
          <w:rFonts w:ascii="ITC Avant Garde" w:hAnsi="ITC Avant Garde"/>
          <w:i/>
        </w:rPr>
        <w:t>ANTEPROYECTO DE</w:t>
      </w:r>
      <w:r w:rsidR="009C3FF9" w:rsidRPr="0004164A">
        <w:rPr>
          <w:rFonts w:ascii="ITC Avant Garde" w:hAnsi="ITC Avant Garde"/>
          <w:i/>
        </w:rPr>
        <w:t xml:space="preserve"> MODIFICACIONES A LOS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791517" w:rsidRPr="0004164A">
        <w:rPr>
          <w:rFonts w:ascii="ITC Avant Garde" w:hAnsi="ITC Avant Garde"/>
        </w:rPr>
        <w:t>”</w:t>
      </w:r>
      <w:r w:rsidR="0008012B" w:rsidRPr="0004164A">
        <w:rPr>
          <w:rFonts w:ascii="ITC Avant Garde" w:hAnsi="ITC Avant Garde"/>
          <w:bCs/>
        </w:rPr>
        <w:t xml:space="preserve"> </w:t>
      </w:r>
      <w:r w:rsidR="009F32BF">
        <w:rPr>
          <w:rFonts w:ascii="ITC Avant Garde" w:hAnsi="ITC Avant Garde"/>
          <w:bCs/>
        </w:rPr>
        <w:t>(Anteproyecto de modificaci</w:t>
      </w:r>
      <w:r w:rsidR="0076705F">
        <w:rPr>
          <w:rFonts w:ascii="ITC Avant Garde" w:hAnsi="ITC Avant Garde"/>
          <w:bCs/>
        </w:rPr>
        <w:t>ones</w:t>
      </w:r>
      <w:r w:rsidR="009F32BF">
        <w:rPr>
          <w:rFonts w:ascii="ITC Avant Garde" w:hAnsi="ITC Avant Garde"/>
          <w:bCs/>
        </w:rPr>
        <w:t xml:space="preserve"> a los Lineamientos), </w:t>
      </w:r>
      <w:r w:rsidR="0008012B" w:rsidRPr="0004164A">
        <w:rPr>
          <w:rFonts w:ascii="ITC Avant Garde" w:hAnsi="ITC Avant Garde"/>
          <w:bCs/>
        </w:rPr>
        <w:t>propuesto</w:t>
      </w:r>
      <w:r w:rsidR="00001E63">
        <w:rPr>
          <w:rFonts w:ascii="ITC Avant Garde" w:hAnsi="ITC Avant Garde"/>
          <w:bCs/>
        </w:rPr>
        <w:t>s</w:t>
      </w:r>
      <w:r w:rsidR="007B2390">
        <w:rPr>
          <w:rFonts w:ascii="ITC Avant Garde" w:hAnsi="ITC Avant Garde"/>
          <w:bCs/>
        </w:rPr>
        <w:t xml:space="preserve"> </w:t>
      </w:r>
      <w:r w:rsidR="0008012B" w:rsidRPr="0004164A">
        <w:rPr>
          <w:rFonts w:ascii="ITC Avant Garde" w:hAnsi="ITC Avant Garde"/>
          <w:bCs/>
        </w:rPr>
        <w:t xml:space="preserve">por la </w:t>
      </w:r>
      <w:r w:rsidR="00A10F81" w:rsidRPr="0004164A">
        <w:rPr>
          <w:rFonts w:ascii="ITC Avant Garde" w:hAnsi="ITC Avant Garde"/>
          <w:bCs/>
        </w:rPr>
        <w:t>Autoridad Investigadora</w:t>
      </w:r>
      <w:r w:rsidR="007B38A0">
        <w:rPr>
          <w:rFonts w:ascii="ITC Avant Garde" w:hAnsi="ITC Avant Garde"/>
          <w:bCs/>
        </w:rPr>
        <w:t xml:space="preserve"> con fundamento en lo dispuesto por el artículo 28, fracción X, de la LFCE y 62, fracción IV, del Estatuto Org</w:t>
      </w:r>
      <w:r w:rsidR="00162E4E">
        <w:rPr>
          <w:rFonts w:ascii="ITC Avant Garde" w:hAnsi="ITC Avant Garde"/>
          <w:bCs/>
        </w:rPr>
        <w:t>ánico,</w:t>
      </w:r>
      <w:r w:rsidR="008528D9" w:rsidRPr="0004164A">
        <w:rPr>
          <w:rFonts w:ascii="ITC Avant Garde" w:hAnsi="ITC Avant Garde"/>
          <w:bCs/>
        </w:rPr>
        <w:t xml:space="preserve"> </w:t>
      </w:r>
      <w:r w:rsidR="00D72623" w:rsidRPr="0004164A">
        <w:rPr>
          <w:rFonts w:ascii="ITC Avant Garde" w:hAnsi="ITC Avant Garde"/>
          <w:bCs/>
        </w:rPr>
        <w:t xml:space="preserve">y </w:t>
      </w:r>
      <w:r w:rsidR="007B38A0">
        <w:rPr>
          <w:rFonts w:ascii="ITC Avant Garde" w:hAnsi="ITC Avant Garde"/>
          <w:bCs/>
        </w:rPr>
        <w:t xml:space="preserve">por </w:t>
      </w:r>
      <w:r w:rsidR="00D72623" w:rsidRPr="0004164A">
        <w:rPr>
          <w:rFonts w:ascii="ITC Avant Garde" w:hAnsi="ITC Avant Garde"/>
          <w:bCs/>
        </w:rPr>
        <w:t xml:space="preserve">la Unidad de Competencia Económica </w:t>
      </w:r>
      <w:r w:rsidR="007B38A0">
        <w:rPr>
          <w:rFonts w:ascii="ITC Avant Garde" w:hAnsi="ITC Avant Garde"/>
          <w:bCs/>
        </w:rPr>
        <w:t>con fundamento en lo dispuesto por el artículo</w:t>
      </w:r>
      <w:r w:rsidR="00D72623" w:rsidRPr="002249F3">
        <w:rPr>
          <w:rFonts w:ascii="ITC Avant Garde" w:hAnsi="ITC Avant Garde"/>
          <w:bCs/>
        </w:rPr>
        <w:t xml:space="preserve"> 47, fracción VI</w:t>
      </w:r>
      <w:r w:rsidR="007B38A0">
        <w:rPr>
          <w:rFonts w:ascii="ITC Avant Garde" w:hAnsi="ITC Avant Garde"/>
          <w:bCs/>
        </w:rPr>
        <w:t xml:space="preserve">, </w:t>
      </w:r>
      <w:r w:rsidR="0008012B" w:rsidRPr="002249F3">
        <w:rPr>
          <w:rFonts w:ascii="ITC Avant Garde" w:hAnsi="ITC Avant Garde"/>
          <w:bCs/>
        </w:rPr>
        <w:t>del Estatuto Orgánico</w:t>
      </w:r>
      <w:r w:rsidR="00162E4E">
        <w:rPr>
          <w:rFonts w:ascii="ITC Avant Garde" w:hAnsi="ITC Avant Garde"/>
          <w:bCs/>
        </w:rPr>
        <w:t>;</w:t>
      </w:r>
      <w:r w:rsidR="007B2390" w:rsidRPr="007B2390">
        <w:rPr>
          <w:rFonts w:ascii="ITC Avant Garde" w:hAnsi="ITC Avant Garde"/>
          <w:bCs/>
        </w:rPr>
        <w:t xml:space="preserve"> </w:t>
      </w:r>
      <w:r w:rsidR="007B2390">
        <w:rPr>
          <w:rFonts w:ascii="ITC Avant Garde" w:hAnsi="ITC Avant Garde"/>
          <w:bCs/>
        </w:rPr>
        <w:t>en el ámbito de sus respectivas competencias</w:t>
      </w:r>
      <w:r w:rsidR="007B38A0">
        <w:rPr>
          <w:rFonts w:ascii="ITC Avant Garde" w:hAnsi="ITC Avant Garde"/>
          <w:bCs/>
        </w:rPr>
        <w:t>.</w:t>
      </w:r>
    </w:p>
    <w:p w:rsidR="00540EC7" w:rsidRPr="002249F3" w:rsidRDefault="00540EC7" w:rsidP="00D668F1">
      <w:pPr>
        <w:spacing w:after="0" w:line="240" w:lineRule="auto"/>
        <w:jc w:val="both"/>
        <w:rPr>
          <w:rFonts w:ascii="ITC Avant Garde" w:hAnsi="ITC Avant Garde"/>
        </w:rPr>
      </w:pPr>
    </w:p>
    <w:p w:rsidR="00791517" w:rsidRDefault="0093427B" w:rsidP="00D668F1">
      <w:pPr>
        <w:spacing w:after="0" w:line="240" w:lineRule="auto"/>
        <w:jc w:val="both"/>
        <w:rPr>
          <w:rFonts w:ascii="ITC Avant Garde" w:hAnsi="ITC Avant Garde"/>
        </w:rPr>
      </w:pPr>
      <w:r w:rsidRPr="002249F3">
        <w:rPr>
          <w:rFonts w:ascii="ITC Avant Garde" w:hAnsi="ITC Avant Garde"/>
          <w:b/>
        </w:rPr>
        <w:t>SEGUNDO</w:t>
      </w:r>
      <w:r w:rsidR="00BC29F8" w:rsidRPr="002249F3">
        <w:rPr>
          <w:rFonts w:ascii="ITC Avant Garde" w:hAnsi="ITC Avant Garde"/>
          <w:b/>
        </w:rPr>
        <w:t>.</w:t>
      </w:r>
      <w:r w:rsidR="0008012B" w:rsidRPr="002249F3">
        <w:rPr>
          <w:rFonts w:ascii="ITC Avant Garde" w:hAnsi="ITC Avant Garde"/>
          <w:b/>
        </w:rPr>
        <w:t xml:space="preserve"> </w:t>
      </w:r>
      <w:r w:rsidR="00963167" w:rsidRPr="007B2390">
        <w:rPr>
          <w:rFonts w:ascii="ITC Avant Garde" w:hAnsi="ITC Avant Garde"/>
          <w:b/>
        </w:rPr>
        <w:t xml:space="preserve">Procedencia </w:t>
      </w:r>
      <w:r w:rsidR="0008012B" w:rsidRPr="007B2390">
        <w:rPr>
          <w:rFonts w:ascii="ITC Avant Garde" w:hAnsi="ITC Avant Garde"/>
          <w:b/>
        </w:rPr>
        <w:t>de</w:t>
      </w:r>
      <w:r w:rsidR="00596A18">
        <w:rPr>
          <w:rFonts w:ascii="ITC Avant Garde" w:hAnsi="ITC Avant Garde"/>
          <w:b/>
        </w:rPr>
        <w:t xml:space="preserve"> emitir</w:t>
      </w:r>
      <w:r w:rsidR="00C50A99">
        <w:rPr>
          <w:rFonts w:ascii="ITC Avant Garde" w:hAnsi="ITC Avant Garde"/>
          <w:b/>
        </w:rPr>
        <w:t xml:space="preserve"> el</w:t>
      </w:r>
      <w:r w:rsidR="009F32BF">
        <w:rPr>
          <w:rFonts w:ascii="ITC Avant Garde" w:hAnsi="ITC Avant Garde"/>
          <w:b/>
        </w:rPr>
        <w:t xml:space="preserve"> Anteproyecto de modificaci</w:t>
      </w:r>
      <w:r w:rsidR="0076705F">
        <w:rPr>
          <w:rFonts w:ascii="ITC Avant Garde" w:hAnsi="ITC Avant Garde"/>
          <w:b/>
        </w:rPr>
        <w:t>ones</w:t>
      </w:r>
      <w:r w:rsidR="009F32BF">
        <w:rPr>
          <w:rFonts w:ascii="ITC Avant Garde" w:hAnsi="ITC Avant Garde"/>
          <w:b/>
        </w:rPr>
        <w:t xml:space="preserve"> a las Disposiciones Regulatorias</w:t>
      </w:r>
      <w:r w:rsidR="00596A18" w:rsidRPr="00596A18">
        <w:rPr>
          <w:rFonts w:ascii="ITC Avant Garde" w:hAnsi="ITC Avant Garde"/>
        </w:rPr>
        <w:t>.</w:t>
      </w:r>
      <w:r w:rsidR="00596A18">
        <w:rPr>
          <w:rFonts w:ascii="ITC Avant Garde" w:hAnsi="ITC Avant Garde"/>
        </w:rPr>
        <w:t xml:space="preserve"> </w:t>
      </w:r>
      <w:r w:rsidR="005231B9">
        <w:rPr>
          <w:rFonts w:ascii="ITC Avant Garde" w:hAnsi="ITC Avant Garde"/>
        </w:rPr>
        <w:t>D</w:t>
      </w:r>
      <w:r w:rsidR="00CA6FB0" w:rsidRPr="009E0977">
        <w:rPr>
          <w:rFonts w:ascii="ITC Avant Garde" w:hAnsi="ITC Avant Garde"/>
        </w:rPr>
        <w:t>erivado de la implementación de las Disposiciones Regulatorias, se consider</w:t>
      </w:r>
      <w:r w:rsidR="00033806">
        <w:rPr>
          <w:rFonts w:ascii="ITC Avant Garde" w:hAnsi="ITC Avant Garde"/>
        </w:rPr>
        <w:t>a</w:t>
      </w:r>
      <w:r w:rsidR="00CA6FB0" w:rsidRPr="002249F3">
        <w:rPr>
          <w:rFonts w:ascii="ITC Avant Garde" w:hAnsi="ITC Avant Garde"/>
        </w:rPr>
        <w:t xml:space="preserve"> necesari</w:t>
      </w:r>
      <w:r w:rsidR="00032544" w:rsidRPr="002249F3">
        <w:rPr>
          <w:rFonts w:ascii="ITC Avant Garde" w:hAnsi="ITC Avant Garde"/>
        </w:rPr>
        <w:t>a</w:t>
      </w:r>
      <w:r w:rsidR="00CA6FB0" w:rsidRPr="002249F3">
        <w:rPr>
          <w:rFonts w:ascii="ITC Avant Garde" w:hAnsi="ITC Avant Garde"/>
        </w:rPr>
        <w:t xml:space="preserve"> su revisión </w:t>
      </w:r>
      <w:r w:rsidR="00C50A99">
        <w:rPr>
          <w:rFonts w:ascii="ITC Avant Garde" w:hAnsi="ITC Avant Garde"/>
        </w:rPr>
        <w:t>para</w:t>
      </w:r>
      <w:r w:rsidR="00CA6FB0" w:rsidRPr="002249F3">
        <w:rPr>
          <w:rFonts w:ascii="ITC Avant Garde" w:hAnsi="ITC Avant Garde"/>
        </w:rPr>
        <w:t xml:space="preserve"> identificar aquellos elemen</w:t>
      </w:r>
      <w:r w:rsidR="00596A18">
        <w:rPr>
          <w:rFonts w:ascii="ITC Avant Garde" w:hAnsi="ITC Avant Garde"/>
        </w:rPr>
        <w:t xml:space="preserve">tos que </w:t>
      </w:r>
      <w:r w:rsidR="00390A2E">
        <w:rPr>
          <w:rFonts w:ascii="ITC Avant Garde" w:hAnsi="ITC Avant Garde"/>
        </w:rPr>
        <w:t>requieran</w:t>
      </w:r>
      <w:r w:rsidR="00596A18">
        <w:rPr>
          <w:rFonts w:ascii="ITC Avant Garde" w:hAnsi="ITC Avant Garde"/>
        </w:rPr>
        <w:t xml:space="preserve"> ser actualizados</w:t>
      </w:r>
      <w:r w:rsidR="00CA6FB0" w:rsidRPr="002249F3">
        <w:rPr>
          <w:rFonts w:ascii="ITC Avant Garde" w:hAnsi="ITC Avant Garde"/>
        </w:rPr>
        <w:t xml:space="preserve"> </w:t>
      </w:r>
      <w:r w:rsidR="00C50A99">
        <w:rPr>
          <w:rFonts w:ascii="ITC Avant Garde" w:hAnsi="ITC Avant Garde"/>
        </w:rPr>
        <w:t>a efecto</w:t>
      </w:r>
      <w:r w:rsidR="00CA6FB0" w:rsidRPr="002249F3">
        <w:rPr>
          <w:rFonts w:ascii="ITC Avant Garde" w:hAnsi="ITC Avant Garde"/>
        </w:rPr>
        <w:t xml:space="preserve"> de hacer más eficiente el funcionamiento del Instituto</w:t>
      </w:r>
      <w:r w:rsidR="00390A2E">
        <w:rPr>
          <w:rFonts w:ascii="ITC Avant Garde" w:hAnsi="ITC Avant Garde"/>
        </w:rPr>
        <w:t xml:space="preserve"> en el ejercicio de sus atribuciones como autoridad en materia de competencia económica en los sectores de telecomunicaciones y radiodifusión</w:t>
      </w:r>
      <w:r w:rsidR="00791517" w:rsidRPr="009E0977">
        <w:rPr>
          <w:rFonts w:ascii="ITC Avant Garde" w:hAnsi="ITC Avant Garde"/>
        </w:rPr>
        <w:t>.</w:t>
      </w:r>
    </w:p>
    <w:p w:rsidR="00E570B9" w:rsidRDefault="00E570B9" w:rsidP="00D668F1">
      <w:pPr>
        <w:spacing w:after="0" w:line="240" w:lineRule="auto"/>
        <w:jc w:val="both"/>
        <w:rPr>
          <w:rFonts w:ascii="ITC Avant Garde" w:hAnsi="ITC Avant Garde"/>
        </w:rPr>
      </w:pPr>
    </w:p>
    <w:p w:rsidR="00E570B9" w:rsidRDefault="00E570B9" w:rsidP="00D668F1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El PAT 2019 contempla la revisión de las Disposiciones Regulatorias, a efecto de identificar y proponer al Pleno del Instituto las modificaciones que resulten necesarias, en el ámbito de las atribuciones de la Autoridad Investigadora y de la Unidad de Competencia Económica, con la finalidad de mejorar</w:t>
      </w:r>
      <w:r w:rsidRPr="00E570B9">
        <w:rPr>
          <w:rFonts w:ascii="ITC Avant Garde" w:hAnsi="ITC Avant Garde"/>
        </w:rPr>
        <w:t xml:space="preserve"> y hacer más eficiente la gestión de los procedimientos en materia de competencia </w:t>
      </w:r>
      <w:r>
        <w:rPr>
          <w:rFonts w:ascii="ITC Avant Garde" w:hAnsi="ITC Avant Garde"/>
        </w:rPr>
        <w:t>económica</w:t>
      </w:r>
      <w:r w:rsidRPr="00E570B9">
        <w:rPr>
          <w:rFonts w:ascii="ITC Avant Garde" w:hAnsi="ITC Avant Garde"/>
        </w:rPr>
        <w:t xml:space="preserve"> a cargo del Instituto.</w:t>
      </w:r>
    </w:p>
    <w:p w:rsidR="00540EC7" w:rsidRPr="002249F3" w:rsidRDefault="00540EC7" w:rsidP="00D668F1">
      <w:pPr>
        <w:spacing w:after="0" w:line="240" w:lineRule="auto"/>
        <w:jc w:val="both"/>
        <w:rPr>
          <w:rFonts w:ascii="ITC Avant Garde" w:hAnsi="ITC Avant Garde"/>
        </w:rPr>
      </w:pPr>
    </w:p>
    <w:p w:rsidR="008560ED" w:rsidRPr="002249F3" w:rsidRDefault="00DA3C15" w:rsidP="00D668F1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Así, en el Anteproyecto </w:t>
      </w:r>
      <w:r w:rsidRPr="00DA3C15">
        <w:rPr>
          <w:rFonts w:ascii="ITC Avant Garde" w:eastAsia="Calibri" w:hAnsi="ITC Avant Garde" w:cs="Arial"/>
        </w:rPr>
        <w:t>se reforman, adicionan y derogan diversos artículos de las Disposiciones Regulatorias</w:t>
      </w:r>
      <w:r>
        <w:rPr>
          <w:rFonts w:ascii="ITC Avant Garde" w:hAnsi="ITC Avant Garde"/>
        </w:rPr>
        <w:t xml:space="preserve"> </w:t>
      </w:r>
      <w:r w:rsidR="00C50A99">
        <w:rPr>
          <w:rFonts w:ascii="ITC Avant Garde" w:hAnsi="ITC Avant Garde"/>
        </w:rPr>
        <w:t xml:space="preserve">con la finalidad de </w:t>
      </w:r>
      <w:r w:rsidR="00CA6FB0" w:rsidRPr="002249F3">
        <w:rPr>
          <w:rFonts w:ascii="ITC Avant Garde" w:hAnsi="ITC Avant Garde"/>
        </w:rPr>
        <w:t xml:space="preserve">brindar </w:t>
      </w:r>
      <w:r w:rsidR="00C50A99">
        <w:rPr>
          <w:rFonts w:ascii="ITC Avant Garde" w:hAnsi="ITC Avant Garde"/>
        </w:rPr>
        <w:t xml:space="preserve">mayor </w:t>
      </w:r>
      <w:r w:rsidR="00CA6FB0" w:rsidRPr="002249F3">
        <w:rPr>
          <w:rFonts w:ascii="ITC Avant Garde" w:hAnsi="ITC Avant Garde"/>
        </w:rPr>
        <w:t xml:space="preserve">certeza y seguridad jurídica a los agentes económicos </w:t>
      </w:r>
      <w:r w:rsidR="00C50A99">
        <w:rPr>
          <w:rFonts w:ascii="ITC Avant Garde" w:hAnsi="ITC Avant Garde"/>
        </w:rPr>
        <w:t>a los que les resultan aplicables,</w:t>
      </w:r>
      <w:r w:rsidR="00FC4024">
        <w:rPr>
          <w:rFonts w:ascii="ITC Avant Garde" w:hAnsi="ITC Avant Garde"/>
        </w:rPr>
        <w:t xml:space="preserve"> así como a los procedimientos que sustancia</w:t>
      </w:r>
      <w:r w:rsidR="00C50A99">
        <w:rPr>
          <w:rFonts w:ascii="ITC Avant Garde" w:hAnsi="ITC Avant Garde"/>
        </w:rPr>
        <w:t xml:space="preserve"> el Instituto</w:t>
      </w:r>
      <w:r w:rsidR="008560ED" w:rsidRPr="002249F3">
        <w:rPr>
          <w:rFonts w:ascii="ITC Avant Garde" w:hAnsi="ITC Avant Garde"/>
        </w:rPr>
        <w:t>.</w:t>
      </w:r>
    </w:p>
    <w:p w:rsidR="004F5855" w:rsidRDefault="004F5855" w:rsidP="00D668F1">
      <w:pPr>
        <w:tabs>
          <w:tab w:val="left" w:pos="1710"/>
          <w:tab w:val="center" w:pos="4419"/>
        </w:tabs>
        <w:spacing w:after="0" w:line="240" w:lineRule="auto"/>
        <w:jc w:val="both"/>
        <w:rPr>
          <w:rFonts w:ascii="ITC Avant Garde" w:eastAsia="Calibri" w:hAnsi="ITC Avant Garde" w:cs="Arial"/>
        </w:rPr>
      </w:pPr>
    </w:p>
    <w:p w:rsidR="003B2017" w:rsidRDefault="00E22CEE" w:rsidP="00D668F1">
      <w:pPr>
        <w:tabs>
          <w:tab w:val="left" w:pos="1710"/>
          <w:tab w:val="center" w:pos="4419"/>
        </w:tabs>
        <w:spacing w:after="0" w:line="240" w:lineRule="auto"/>
        <w:jc w:val="both"/>
        <w:rPr>
          <w:rFonts w:ascii="ITC Avant Garde" w:eastAsia="Calibri" w:hAnsi="ITC Avant Garde" w:cs="Arial"/>
        </w:rPr>
      </w:pPr>
      <w:r>
        <w:rPr>
          <w:rFonts w:ascii="ITC Avant Garde" w:hAnsi="ITC Avant Garde"/>
          <w:b/>
        </w:rPr>
        <w:t>TERCERO</w:t>
      </w:r>
      <w:r w:rsidR="00C50A99" w:rsidRPr="002249F3">
        <w:rPr>
          <w:rFonts w:ascii="ITC Avant Garde" w:hAnsi="ITC Avant Garde"/>
          <w:b/>
        </w:rPr>
        <w:t xml:space="preserve">. </w:t>
      </w:r>
      <w:r w:rsidR="00C50A99" w:rsidRPr="007B2390">
        <w:rPr>
          <w:rFonts w:ascii="ITC Avant Garde" w:hAnsi="ITC Avant Garde"/>
          <w:b/>
        </w:rPr>
        <w:t>Procedencia de</w:t>
      </w:r>
      <w:r w:rsidR="00C50A99">
        <w:rPr>
          <w:rFonts w:ascii="ITC Avant Garde" w:hAnsi="ITC Avant Garde"/>
          <w:b/>
        </w:rPr>
        <w:t xml:space="preserve"> emitir el </w:t>
      </w:r>
      <w:r w:rsidR="009F32BF">
        <w:rPr>
          <w:rFonts w:ascii="ITC Avant Garde" w:hAnsi="ITC Avant Garde"/>
          <w:b/>
        </w:rPr>
        <w:t>Anteproyecto de modificaci</w:t>
      </w:r>
      <w:r w:rsidR="0076705F">
        <w:rPr>
          <w:rFonts w:ascii="ITC Avant Garde" w:hAnsi="ITC Avant Garde"/>
          <w:b/>
        </w:rPr>
        <w:t>ones</w:t>
      </w:r>
      <w:r w:rsidR="009F32BF">
        <w:rPr>
          <w:rFonts w:ascii="ITC Avant Garde" w:hAnsi="ITC Avant Garde"/>
          <w:b/>
        </w:rPr>
        <w:t xml:space="preserve"> a los Lineamientos</w:t>
      </w:r>
      <w:r w:rsidR="003B2017">
        <w:rPr>
          <w:rFonts w:ascii="ITC Avant Garde" w:hAnsi="ITC Avant Garde"/>
          <w:b/>
        </w:rPr>
        <w:t xml:space="preserve">. </w:t>
      </w:r>
      <w:r w:rsidR="003B2017" w:rsidRPr="003B2017">
        <w:rPr>
          <w:rFonts w:ascii="ITC Avant Garde" w:hAnsi="ITC Avant Garde"/>
        </w:rPr>
        <w:t>Por</w:t>
      </w:r>
      <w:r w:rsidR="003B2017">
        <w:rPr>
          <w:rFonts w:ascii="ITC Avant Garde" w:eastAsia="Calibri" w:hAnsi="ITC Avant Garde" w:cs="Arial"/>
        </w:rPr>
        <w:t xml:space="preserve"> consistencia con la propuesta de adición </w:t>
      </w:r>
      <w:r w:rsidR="003B2017" w:rsidRPr="007F3330">
        <w:rPr>
          <w:rFonts w:ascii="ITC Avant Garde" w:eastAsia="Calibri" w:hAnsi="ITC Avant Garde" w:cs="Arial"/>
        </w:rPr>
        <w:t>al artículo 165, fracción VI, de las Disposiciones Regulatorias, que c</w:t>
      </w:r>
      <w:r w:rsidR="003B2017">
        <w:rPr>
          <w:rFonts w:ascii="ITC Avant Garde" w:eastAsia="Calibri" w:hAnsi="ITC Avant Garde" w:cs="Arial"/>
        </w:rPr>
        <w:t xml:space="preserve">ontempla que las notificaciones </w:t>
      </w:r>
      <w:r w:rsidR="003B2017" w:rsidRPr="007F3330">
        <w:rPr>
          <w:rFonts w:ascii="ITC Avant Garde" w:eastAsia="Calibri" w:hAnsi="ITC Avant Garde" w:cs="Arial"/>
        </w:rPr>
        <w:t>pueden realizarse por medios electrónicos</w:t>
      </w:r>
      <w:r w:rsidR="003B2017" w:rsidRPr="004B2AF4">
        <w:t xml:space="preserve"> </w:t>
      </w:r>
      <w:r w:rsidR="003B2017" w:rsidRPr="004B2AF4">
        <w:rPr>
          <w:rFonts w:ascii="ITC Avant Garde" w:eastAsia="Calibri" w:hAnsi="ITC Avant Garde" w:cs="Arial"/>
        </w:rPr>
        <w:t xml:space="preserve">de conformidad con </w:t>
      </w:r>
      <w:r w:rsidR="003B2017">
        <w:rPr>
          <w:rFonts w:ascii="ITC Avant Garde" w:eastAsia="Calibri" w:hAnsi="ITC Avant Garde" w:cs="Arial"/>
        </w:rPr>
        <w:t xml:space="preserve">las disposiciones de carácter general </w:t>
      </w:r>
      <w:r w:rsidR="003B2017" w:rsidRPr="004B2AF4">
        <w:rPr>
          <w:rFonts w:ascii="ITC Avant Garde" w:eastAsia="Calibri" w:hAnsi="ITC Avant Garde" w:cs="Arial"/>
        </w:rPr>
        <w:t xml:space="preserve">que para tal efecto apruebe el </w:t>
      </w:r>
      <w:r w:rsidR="003B2017">
        <w:rPr>
          <w:rFonts w:ascii="ITC Avant Garde" w:eastAsia="Calibri" w:hAnsi="ITC Avant Garde" w:cs="Arial"/>
        </w:rPr>
        <w:t xml:space="preserve">Pleno del </w:t>
      </w:r>
      <w:r w:rsidR="003B2017" w:rsidRPr="004B2AF4">
        <w:rPr>
          <w:rFonts w:ascii="ITC Avant Garde" w:eastAsia="Calibri" w:hAnsi="ITC Avant Garde" w:cs="Arial"/>
        </w:rPr>
        <w:t>Instituto</w:t>
      </w:r>
      <w:r w:rsidR="003B2017">
        <w:rPr>
          <w:rFonts w:ascii="ITC Avant Garde" w:eastAsia="Calibri" w:hAnsi="ITC Avant Garde" w:cs="Arial"/>
        </w:rPr>
        <w:t xml:space="preserve">, </w:t>
      </w:r>
      <w:r w:rsidR="002C254E">
        <w:rPr>
          <w:rFonts w:ascii="ITC Avant Garde" w:eastAsia="Calibri" w:hAnsi="ITC Avant Garde" w:cs="Arial"/>
        </w:rPr>
        <w:t xml:space="preserve">la Autoridad Investigadora considera oportuno proponer la </w:t>
      </w:r>
      <w:r w:rsidR="003B2017">
        <w:rPr>
          <w:rFonts w:ascii="ITC Avant Garde" w:eastAsia="Calibri" w:hAnsi="ITC Avant Garde" w:cs="Arial"/>
        </w:rPr>
        <w:t>deroga</w:t>
      </w:r>
      <w:r w:rsidR="002C254E">
        <w:rPr>
          <w:rFonts w:ascii="ITC Avant Garde" w:eastAsia="Calibri" w:hAnsi="ITC Avant Garde" w:cs="Arial"/>
        </w:rPr>
        <w:t>ción</w:t>
      </w:r>
      <w:r w:rsidR="003B2017">
        <w:rPr>
          <w:rFonts w:ascii="ITC Avant Garde" w:eastAsia="Calibri" w:hAnsi="ITC Avant Garde" w:cs="Arial"/>
        </w:rPr>
        <w:t xml:space="preserve"> </w:t>
      </w:r>
      <w:r w:rsidR="002C254E">
        <w:rPr>
          <w:rFonts w:ascii="ITC Avant Garde" w:eastAsia="Calibri" w:hAnsi="ITC Avant Garde" w:cs="Arial"/>
        </w:rPr>
        <w:t>d</w:t>
      </w:r>
      <w:r w:rsidR="003B2017">
        <w:rPr>
          <w:rFonts w:ascii="ITC Avant Garde" w:eastAsia="Calibri" w:hAnsi="ITC Avant Garde" w:cs="Arial"/>
        </w:rPr>
        <w:t xml:space="preserve">el </w:t>
      </w:r>
      <w:r w:rsidR="00F90AE1">
        <w:rPr>
          <w:rFonts w:ascii="ITC Avant Garde" w:eastAsia="Calibri" w:hAnsi="ITC Avant Garde" w:cs="Arial"/>
        </w:rPr>
        <w:t>cuarto</w:t>
      </w:r>
      <w:r w:rsidR="003B2017">
        <w:rPr>
          <w:rFonts w:ascii="ITC Avant Garde" w:eastAsia="Calibri" w:hAnsi="ITC Avant Garde" w:cs="Arial"/>
        </w:rPr>
        <w:t xml:space="preserve"> párrafo del artículo 9 de los </w:t>
      </w:r>
      <w:r w:rsidR="003B2017" w:rsidRPr="007F3330">
        <w:rPr>
          <w:rFonts w:ascii="ITC Avant Garde" w:eastAsia="Calibri" w:hAnsi="ITC Avant Garde" w:cs="Arial"/>
        </w:rPr>
        <w:t>“</w:t>
      </w:r>
      <w:r w:rsidR="003B2017" w:rsidRPr="0004164A">
        <w:rPr>
          <w:rFonts w:ascii="ITC Avant Garde" w:eastAsia="Calibri" w:hAnsi="ITC Avant Garde" w:cs="Arial"/>
          <w:i/>
        </w:rPr>
        <w:t>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3B2017">
        <w:rPr>
          <w:rFonts w:ascii="ITC Avant Garde" w:eastAsia="Calibri" w:hAnsi="ITC Avant Garde" w:cs="Arial"/>
        </w:rPr>
        <w:t xml:space="preserve">”. </w:t>
      </w:r>
    </w:p>
    <w:p w:rsidR="003B2017" w:rsidRDefault="003B2017" w:rsidP="00D668F1">
      <w:pPr>
        <w:tabs>
          <w:tab w:val="left" w:pos="1710"/>
          <w:tab w:val="center" w:pos="4419"/>
        </w:tabs>
        <w:spacing w:after="0" w:line="240" w:lineRule="auto"/>
        <w:jc w:val="both"/>
        <w:rPr>
          <w:rFonts w:ascii="ITC Avant Garde" w:eastAsia="Calibri" w:hAnsi="ITC Avant Garde" w:cs="Arial"/>
        </w:rPr>
      </w:pPr>
    </w:p>
    <w:p w:rsidR="00C50A99" w:rsidRDefault="003B2017" w:rsidP="00D668F1">
      <w:pPr>
        <w:tabs>
          <w:tab w:val="left" w:pos="1710"/>
          <w:tab w:val="center" w:pos="4419"/>
        </w:tabs>
        <w:spacing w:after="0" w:line="240" w:lineRule="auto"/>
        <w:jc w:val="both"/>
        <w:rPr>
          <w:rFonts w:ascii="ITC Avant Garde" w:eastAsia="Calibri" w:hAnsi="ITC Avant Garde" w:cs="Arial"/>
        </w:rPr>
      </w:pPr>
      <w:r>
        <w:rPr>
          <w:rFonts w:ascii="ITC Avant Garde" w:eastAsia="Calibri" w:hAnsi="ITC Avant Garde" w:cs="Arial"/>
        </w:rPr>
        <w:lastRenderedPageBreak/>
        <w:t xml:space="preserve">Dicho artículo </w:t>
      </w:r>
      <w:r w:rsidRPr="009E0977">
        <w:rPr>
          <w:rFonts w:ascii="ITC Avant Garde" w:eastAsia="Calibri" w:hAnsi="ITC Avant Garde" w:cs="Arial"/>
        </w:rPr>
        <w:t>contempla</w:t>
      </w:r>
      <w:r w:rsidRPr="007F3330">
        <w:rPr>
          <w:rFonts w:ascii="ITC Avant Garde" w:eastAsia="Calibri" w:hAnsi="ITC Avant Garde" w:cs="Arial"/>
        </w:rPr>
        <w:t xml:space="preserve"> que los acuerdos de prevención, desechamiento o e</w:t>
      </w:r>
      <w:r w:rsidR="00F90AE1">
        <w:rPr>
          <w:rFonts w:ascii="ITC Avant Garde" w:eastAsia="Calibri" w:hAnsi="ITC Avant Garde" w:cs="Arial"/>
        </w:rPr>
        <w:t>l que tenga por no presentada una</w:t>
      </w:r>
      <w:r w:rsidRPr="007F3330">
        <w:rPr>
          <w:rFonts w:ascii="ITC Avant Garde" w:eastAsia="Calibri" w:hAnsi="ITC Avant Garde" w:cs="Arial"/>
        </w:rPr>
        <w:t xml:space="preserve"> denuncia, además de ser notificados a través del Sistema Electrónico de Presentación de Denuncias ante la Autoridad Investigadora del Instituto Federal de Telecomunicaciones (SEPDAI), deberán ser notificados de manera personal</w:t>
      </w:r>
      <w:r>
        <w:rPr>
          <w:rFonts w:ascii="ITC Avant Garde" w:eastAsia="Calibri" w:hAnsi="ITC Avant Garde" w:cs="Arial"/>
        </w:rPr>
        <w:t xml:space="preserve">, </w:t>
      </w:r>
      <w:r w:rsidR="003F1FE0" w:rsidRPr="003F1FE0">
        <w:rPr>
          <w:rFonts w:ascii="ITC Avant Garde" w:eastAsia="Calibri" w:hAnsi="ITC Avant Garde" w:cs="Arial"/>
        </w:rPr>
        <w:t>lo que</w:t>
      </w:r>
      <w:r w:rsidR="002C254E">
        <w:rPr>
          <w:rFonts w:ascii="ITC Avant Garde" w:eastAsia="Calibri" w:hAnsi="ITC Avant Garde" w:cs="Arial"/>
        </w:rPr>
        <w:t>, a consideración de la Autoridad Investigadora,</w:t>
      </w:r>
      <w:r w:rsidR="003F1FE0" w:rsidRPr="003F1FE0">
        <w:rPr>
          <w:rFonts w:ascii="ITC Avant Garde" w:eastAsia="Calibri" w:hAnsi="ITC Avant Garde" w:cs="Arial"/>
        </w:rPr>
        <w:t xml:space="preserve"> evita cumplir eficazmente con la finalidad de los Lineamientos para la presentación de denuncias por medios electrónicos, consistente en poner a disposición del público, de manera opcional, un mecanismo alternativo que reduzca la carga administrativa y facilite denunciar la posible existencia de conductas anticompetitivas, haciendo uso de las tecnologías de la información y comunicaciones.</w:t>
      </w:r>
    </w:p>
    <w:p w:rsidR="003F1FE0" w:rsidRPr="002249F3" w:rsidRDefault="003F1FE0" w:rsidP="00D668F1">
      <w:pPr>
        <w:tabs>
          <w:tab w:val="left" w:pos="1710"/>
          <w:tab w:val="center" w:pos="4419"/>
        </w:tabs>
        <w:spacing w:after="0" w:line="240" w:lineRule="auto"/>
        <w:jc w:val="both"/>
        <w:rPr>
          <w:rFonts w:ascii="ITC Avant Garde" w:eastAsia="Calibri" w:hAnsi="ITC Avant Garde" w:cs="Arial"/>
        </w:rPr>
      </w:pPr>
    </w:p>
    <w:p w:rsidR="0008012B" w:rsidRPr="002249F3" w:rsidRDefault="00C50A99" w:rsidP="00D668F1">
      <w:pPr>
        <w:pStyle w:val="Default"/>
        <w:tabs>
          <w:tab w:val="left" w:pos="0"/>
        </w:tabs>
        <w:jc w:val="both"/>
        <w:rPr>
          <w:rFonts w:ascii="ITC Avant Garde" w:hAnsi="ITC Avant Garde"/>
          <w:color w:val="auto"/>
          <w:sz w:val="22"/>
          <w:szCs w:val="22"/>
          <w:lang w:val="es-ES_tradnl"/>
        </w:rPr>
      </w:pPr>
      <w:r>
        <w:rPr>
          <w:rFonts w:ascii="ITC Avant Garde" w:hAnsi="ITC Avant Garde"/>
          <w:b/>
          <w:color w:val="auto"/>
          <w:sz w:val="22"/>
          <w:szCs w:val="22"/>
          <w:lang w:val="es-ES_tradnl"/>
        </w:rPr>
        <w:t>CUART</w:t>
      </w:r>
      <w:r w:rsidR="0093427B" w:rsidRPr="002249F3">
        <w:rPr>
          <w:rFonts w:ascii="ITC Avant Garde" w:hAnsi="ITC Avant Garde"/>
          <w:b/>
          <w:color w:val="auto"/>
          <w:sz w:val="22"/>
          <w:szCs w:val="22"/>
          <w:lang w:val="es-ES_tradnl"/>
        </w:rPr>
        <w:t>O</w:t>
      </w:r>
      <w:r w:rsidR="007A0433" w:rsidRPr="002249F3">
        <w:rPr>
          <w:rFonts w:ascii="ITC Avant Garde" w:hAnsi="ITC Avant Garde"/>
          <w:b/>
          <w:color w:val="auto"/>
          <w:sz w:val="22"/>
          <w:szCs w:val="22"/>
          <w:lang w:val="es-ES_tradnl"/>
        </w:rPr>
        <w:t>.</w:t>
      </w:r>
      <w:r w:rsidR="0008012B" w:rsidRPr="002249F3">
        <w:rPr>
          <w:rFonts w:ascii="ITC Avant Garde" w:hAnsi="ITC Avant Garde"/>
          <w:b/>
          <w:color w:val="auto"/>
          <w:sz w:val="22"/>
          <w:szCs w:val="22"/>
          <w:lang w:val="es-ES_tradnl"/>
        </w:rPr>
        <w:t xml:space="preserve"> Consulta </w:t>
      </w:r>
      <w:r w:rsidR="001E7912" w:rsidRPr="002249F3">
        <w:rPr>
          <w:rFonts w:ascii="ITC Avant Garde" w:hAnsi="ITC Avant Garde"/>
          <w:b/>
          <w:color w:val="auto"/>
          <w:sz w:val="22"/>
          <w:szCs w:val="22"/>
          <w:lang w:val="es-ES_tradnl"/>
        </w:rPr>
        <w:t>p</w:t>
      </w:r>
      <w:r w:rsidR="0008012B" w:rsidRPr="002249F3">
        <w:rPr>
          <w:rFonts w:ascii="ITC Avant Garde" w:hAnsi="ITC Avant Garde"/>
          <w:b/>
          <w:color w:val="auto"/>
          <w:sz w:val="22"/>
          <w:szCs w:val="22"/>
          <w:lang w:val="es-ES_tradnl"/>
        </w:rPr>
        <w:t>ública.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</w:t>
      </w:r>
      <w:r w:rsidR="008E395B" w:rsidRPr="002249F3">
        <w:rPr>
          <w:rFonts w:ascii="ITC Avant Garde" w:hAnsi="ITC Avant Garde"/>
          <w:color w:val="auto"/>
          <w:sz w:val="22"/>
          <w:szCs w:val="22"/>
          <w:lang w:val="es-ES_tradnl"/>
        </w:rPr>
        <w:t>C</w:t>
      </w:r>
      <w:r w:rsidR="00B72838">
        <w:rPr>
          <w:rFonts w:ascii="ITC Avant Garde" w:hAnsi="ITC Avant Garde"/>
          <w:color w:val="auto"/>
          <w:sz w:val="22"/>
          <w:szCs w:val="22"/>
          <w:lang w:val="es-ES_tradnl"/>
        </w:rPr>
        <w:t>on la consulta pública de los a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>nteproyecto</w:t>
      </w:r>
      <w:r w:rsidR="00B72838">
        <w:rPr>
          <w:rFonts w:ascii="ITC Avant Garde" w:hAnsi="ITC Avant Garde"/>
          <w:color w:val="auto"/>
          <w:sz w:val="22"/>
          <w:szCs w:val="22"/>
          <w:lang w:val="es-ES_tradnl"/>
        </w:rPr>
        <w:t>s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se alcanza</w:t>
      </w:r>
      <w:r w:rsidR="009653D7" w:rsidRPr="002249F3">
        <w:rPr>
          <w:rFonts w:ascii="ITC Avant Garde" w:hAnsi="ITC Avant Garde"/>
          <w:color w:val="auto"/>
          <w:sz w:val="22"/>
          <w:szCs w:val="22"/>
          <w:lang w:val="es-ES_tradnl"/>
        </w:rPr>
        <w:t>rá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n los siguientes objetivos: </w:t>
      </w:r>
    </w:p>
    <w:p w:rsidR="00540EC7" w:rsidRPr="002249F3" w:rsidRDefault="00540EC7" w:rsidP="00D668F1">
      <w:pPr>
        <w:pStyle w:val="Default"/>
        <w:tabs>
          <w:tab w:val="left" w:pos="0"/>
        </w:tabs>
        <w:jc w:val="both"/>
        <w:rPr>
          <w:rFonts w:ascii="ITC Avant Garde" w:hAnsi="ITC Avant Garde"/>
          <w:color w:val="auto"/>
          <w:sz w:val="22"/>
          <w:szCs w:val="22"/>
          <w:lang w:val="es-ES_tradnl"/>
        </w:rPr>
      </w:pPr>
    </w:p>
    <w:p w:rsidR="0085128A" w:rsidRPr="002249F3" w:rsidRDefault="00FF2127" w:rsidP="00D668F1">
      <w:pPr>
        <w:pStyle w:val="Default"/>
        <w:numPr>
          <w:ilvl w:val="0"/>
          <w:numId w:val="1"/>
        </w:numPr>
        <w:tabs>
          <w:tab w:val="left" w:pos="0"/>
        </w:tabs>
        <w:ind w:left="709" w:hanging="425"/>
        <w:jc w:val="both"/>
        <w:rPr>
          <w:rFonts w:ascii="ITC Avant Garde" w:hAnsi="ITC Avant Garde"/>
          <w:color w:val="auto"/>
          <w:sz w:val="22"/>
          <w:szCs w:val="22"/>
          <w:lang w:val="es-ES_tradnl"/>
        </w:rPr>
      </w:pPr>
      <w:r w:rsidRPr="002249F3">
        <w:rPr>
          <w:rFonts w:ascii="ITC Avant Garde" w:hAnsi="ITC Avant Garde"/>
          <w:color w:val="auto"/>
          <w:sz w:val="22"/>
          <w:szCs w:val="22"/>
          <w:lang w:val="es-ES_tradnl"/>
        </w:rPr>
        <w:t>F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>ortalecer el principio de transparencia</w:t>
      </w:r>
      <w:r w:rsidR="006D4FBB" w:rsidRPr="002249F3">
        <w:rPr>
          <w:rFonts w:ascii="ITC Avant Garde" w:hAnsi="ITC Avant Garde"/>
          <w:color w:val="auto"/>
          <w:sz w:val="22"/>
          <w:szCs w:val="22"/>
          <w:lang w:val="es-ES_tradnl"/>
        </w:rPr>
        <w:t>, y</w:t>
      </w:r>
    </w:p>
    <w:p w:rsidR="0008012B" w:rsidRPr="002249F3" w:rsidRDefault="00FF2127" w:rsidP="00D668F1">
      <w:pPr>
        <w:pStyle w:val="Default"/>
        <w:numPr>
          <w:ilvl w:val="0"/>
          <w:numId w:val="1"/>
        </w:numPr>
        <w:tabs>
          <w:tab w:val="left" w:pos="0"/>
        </w:tabs>
        <w:ind w:left="709" w:hanging="425"/>
        <w:jc w:val="both"/>
        <w:rPr>
          <w:rFonts w:ascii="ITC Avant Garde" w:hAnsi="ITC Avant Garde"/>
          <w:color w:val="auto"/>
          <w:sz w:val="22"/>
          <w:szCs w:val="22"/>
          <w:lang w:val="es-ES_tradnl"/>
        </w:rPr>
      </w:pPr>
      <w:r w:rsidRPr="002249F3">
        <w:rPr>
          <w:rFonts w:ascii="ITC Avant Garde" w:hAnsi="ITC Avant Garde"/>
          <w:color w:val="auto"/>
          <w:sz w:val="22"/>
          <w:szCs w:val="22"/>
          <w:lang w:val="es-ES_tradnl"/>
        </w:rPr>
        <w:t>P</w:t>
      </w:r>
      <w:r w:rsidR="000C481C" w:rsidRPr="002249F3">
        <w:rPr>
          <w:rFonts w:ascii="ITC Avant Garde" w:hAnsi="ITC Avant Garde"/>
          <w:color w:val="auto"/>
          <w:sz w:val="22"/>
          <w:szCs w:val="22"/>
          <w:lang w:val="es-ES_tradnl"/>
        </w:rPr>
        <w:t>romover</w:t>
      </w:r>
      <w:r w:rsidR="00B72838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la participación ciudadana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gener</w:t>
      </w:r>
      <w:r w:rsidR="00A463A4" w:rsidRPr="002249F3">
        <w:rPr>
          <w:rFonts w:ascii="ITC Avant Garde" w:hAnsi="ITC Avant Garde"/>
          <w:color w:val="auto"/>
          <w:sz w:val="22"/>
          <w:szCs w:val="22"/>
          <w:lang w:val="es-ES_tradnl"/>
        </w:rPr>
        <w:t>ando</w:t>
      </w:r>
      <w:r w:rsidR="00B72838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>documento</w:t>
      </w:r>
      <w:r w:rsidR="00B72838">
        <w:rPr>
          <w:rFonts w:ascii="ITC Avant Garde" w:hAnsi="ITC Avant Garde"/>
          <w:color w:val="auto"/>
          <w:sz w:val="22"/>
          <w:szCs w:val="22"/>
          <w:lang w:val="es-ES_tradnl"/>
        </w:rPr>
        <w:t>s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más </w:t>
      </w:r>
      <w:r w:rsidR="00B72838">
        <w:rPr>
          <w:rFonts w:ascii="ITC Avant Garde" w:hAnsi="ITC Avant Garde"/>
          <w:color w:val="auto"/>
          <w:sz w:val="22"/>
          <w:szCs w:val="22"/>
          <w:lang w:val="es-ES_tradnl"/>
        </w:rPr>
        <w:t>eficaces</w:t>
      </w:r>
      <w:r w:rsidR="009653D7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</w:t>
      </w:r>
      <w:r w:rsidR="0016314E" w:rsidRPr="002249F3">
        <w:rPr>
          <w:rFonts w:ascii="ITC Avant Garde" w:hAnsi="ITC Avant Garde"/>
          <w:color w:val="auto"/>
          <w:sz w:val="22"/>
          <w:szCs w:val="22"/>
          <w:lang w:val="es-ES_tradnl"/>
        </w:rPr>
        <w:t>que</w:t>
      </w:r>
      <w:r w:rsidR="000C481C" w:rsidRPr="002249F3">
        <w:rPr>
          <w:rFonts w:ascii="ITC Avant Garde" w:hAnsi="ITC Avant Garde"/>
          <w:color w:val="auto"/>
          <w:sz w:val="22"/>
          <w:szCs w:val="22"/>
          <w:lang w:val="es-ES_tradnl"/>
        </w:rPr>
        <w:t>, en lo procedente,</w:t>
      </w:r>
      <w:r w:rsidR="00611AD8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considere</w:t>
      </w:r>
      <w:r w:rsidR="00B72838">
        <w:rPr>
          <w:rFonts w:ascii="ITC Avant Garde" w:hAnsi="ITC Avant Garde"/>
          <w:color w:val="auto"/>
          <w:sz w:val="22"/>
          <w:szCs w:val="22"/>
          <w:lang w:val="es-ES_tradnl"/>
        </w:rPr>
        <w:t>n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las sugerencias</w:t>
      </w:r>
      <w:r w:rsidR="000D2C0F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de los participantes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. </w:t>
      </w:r>
    </w:p>
    <w:p w:rsidR="00540EC7" w:rsidRPr="002249F3" w:rsidRDefault="00540EC7" w:rsidP="00D668F1">
      <w:pPr>
        <w:pStyle w:val="Default"/>
        <w:tabs>
          <w:tab w:val="left" w:pos="0"/>
        </w:tabs>
        <w:jc w:val="both"/>
        <w:rPr>
          <w:rFonts w:ascii="ITC Avant Garde" w:hAnsi="ITC Avant Garde"/>
          <w:color w:val="auto"/>
          <w:sz w:val="22"/>
          <w:szCs w:val="22"/>
          <w:lang w:val="es-ES_tradnl"/>
        </w:rPr>
      </w:pPr>
    </w:p>
    <w:p w:rsidR="0076705F" w:rsidRPr="0076705F" w:rsidRDefault="0076705F" w:rsidP="00D668F1">
      <w:pPr>
        <w:pStyle w:val="Default"/>
        <w:tabs>
          <w:tab w:val="left" w:pos="0"/>
        </w:tabs>
        <w:jc w:val="both"/>
        <w:rPr>
          <w:rFonts w:ascii="ITC Avant Garde" w:hAnsi="ITC Avant Garde"/>
          <w:color w:val="auto"/>
          <w:sz w:val="22"/>
          <w:szCs w:val="22"/>
          <w:lang w:val="es-ES_tradnl"/>
        </w:rPr>
      </w:pPr>
      <w:r>
        <w:rPr>
          <w:rFonts w:ascii="ITC Avant Garde" w:hAnsi="ITC Avant Garde"/>
          <w:color w:val="auto"/>
          <w:sz w:val="22"/>
          <w:szCs w:val="22"/>
          <w:lang w:val="es-ES_tradnl"/>
        </w:rPr>
        <w:t>El</w:t>
      </w:r>
      <w:r w:rsidR="000C481C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Pleno del Instituto</w:t>
      </w:r>
      <w:r w:rsidR="00FC16E5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estima </w:t>
      </w:r>
      <w:r w:rsidR="000C481C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procedente 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>someter a consulta pública</w:t>
      </w:r>
      <w:r w:rsidR="00B93DAE" w:rsidRPr="002249F3">
        <w:rPr>
          <w:rFonts w:ascii="ITC Avant Garde" w:hAnsi="ITC Avant Garde"/>
          <w:color w:val="auto"/>
          <w:sz w:val="22"/>
          <w:szCs w:val="22"/>
          <w:lang w:val="es-ES_tradnl"/>
        </w:rPr>
        <w:t>,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</w:t>
      </w:r>
      <w:r w:rsidR="00A16A6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con fundamento en el artículo 138, fracción I, de la LFCE, </w:t>
      </w:r>
      <w:r w:rsidR="00B93DAE" w:rsidRPr="002249F3">
        <w:rPr>
          <w:rFonts w:ascii="ITC Avant Garde" w:hAnsi="ITC Avant Garde"/>
          <w:color w:val="auto"/>
          <w:sz w:val="22"/>
          <w:szCs w:val="22"/>
          <w:lang w:val="es-ES_tradnl"/>
        </w:rPr>
        <w:t>por un periodo de treinta días hábiles</w:t>
      </w:r>
      <w:r w:rsidR="000C481C" w:rsidRPr="002249F3">
        <w:rPr>
          <w:rFonts w:ascii="ITC Avant Garde" w:hAnsi="ITC Avant Garde"/>
          <w:color w:val="auto"/>
          <w:sz w:val="22"/>
          <w:szCs w:val="22"/>
          <w:lang w:val="es-ES_tradnl"/>
        </w:rPr>
        <w:t>,</w:t>
      </w:r>
      <w:r w:rsidR="00B93DAE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 </w:t>
      </w:r>
      <w:r w:rsidR="0008012B" w:rsidRPr="002249F3">
        <w:rPr>
          <w:rFonts w:ascii="ITC Avant Garde" w:hAnsi="ITC Avant Garde"/>
          <w:color w:val="auto"/>
          <w:sz w:val="22"/>
          <w:szCs w:val="22"/>
          <w:lang w:val="es-ES_tradnl"/>
        </w:rPr>
        <w:t xml:space="preserve">el Anteproyecto </w:t>
      </w:r>
      <w:r>
        <w:rPr>
          <w:rFonts w:ascii="ITC Avant Garde" w:hAnsi="ITC Avant Garde"/>
          <w:color w:val="auto"/>
          <w:sz w:val="22"/>
          <w:szCs w:val="22"/>
          <w:lang w:val="es-ES_tradnl"/>
        </w:rPr>
        <w:t xml:space="preserve">de modificaciones a las Disposiciones Regulatorias </w:t>
      </w:r>
      <w:r w:rsidR="00DA3C15">
        <w:rPr>
          <w:rFonts w:ascii="ITC Avant Garde" w:hAnsi="ITC Avant Garde"/>
          <w:color w:val="auto"/>
          <w:sz w:val="22"/>
          <w:szCs w:val="22"/>
          <w:lang w:val="es-ES_tradnl"/>
        </w:rPr>
        <w:t xml:space="preserve">(que se adjunta como </w:t>
      </w:r>
      <w:r w:rsidR="00DA3C15">
        <w:rPr>
          <w:rFonts w:ascii="ITC Avant Garde" w:hAnsi="ITC Avant Garde"/>
          <w:b/>
          <w:color w:val="auto"/>
          <w:sz w:val="22"/>
          <w:szCs w:val="22"/>
          <w:lang w:val="es-ES_tradnl"/>
        </w:rPr>
        <w:t>Anexo 1</w:t>
      </w:r>
      <w:r w:rsidR="00DA3C15" w:rsidRPr="00DA3C15">
        <w:rPr>
          <w:rFonts w:ascii="ITC Avant Garde" w:hAnsi="ITC Avant Garde"/>
          <w:color w:val="auto"/>
          <w:sz w:val="22"/>
          <w:szCs w:val="22"/>
          <w:lang w:val="es-ES_tradnl"/>
        </w:rPr>
        <w:t>)</w:t>
      </w:r>
      <w:r>
        <w:rPr>
          <w:rFonts w:ascii="ITC Avant Garde" w:hAnsi="ITC Avant Garde"/>
          <w:color w:val="auto"/>
          <w:sz w:val="22"/>
          <w:szCs w:val="22"/>
          <w:lang w:val="es-ES_tradnl"/>
        </w:rPr>
        <w:t xml:space="preserve">; y el Anteproyecto de modificaciones a los Lineamientos </w:t>
      </w:r>
      <w:r w:rsidR="00DA3C15">
        <w:rPr>
          <w:rFonts w:ascii="ITC Avant Garde" w:hAnsi="ITC Avant Garde"/>
          <w:color w:val="auto"/>
          <w:sz w:val="22"/>
          <w:szCs w:val="22"/>
          <w:lang w:val="es-ES_tradnl"/>
        </w:rPr>
        <w:t>(</w:t>
      </w:r>
      <w:r>
        <w:rPr>
          <w:rFonts w:ascii="ITC Avant Garde" w:hAnsi="ITC Avant Garde"/>
          <w:color w:val="auto"/>
          <w:sz w:val="22"/>
          <w:szCs w:val="22"/>
          <w:lang w:val="es-ES_tradnl"/>
        </w:rPr>
        <w:t xml:space="preserve">que se adjunta como </w:t>
      </w:r>
      <w:r>
        <w:rPr>
          <w:rFonts w:ascii="ITC Avant Garde" w:hAnsi="ITC Avant Garde"/>
          <w:b/>
          <w:color w:val="auto"/>
          <w:sz w:val="22"/>
          <w:szCs w:val="22"/>
          <w:lang w:val="es-ES_tradnl"/>
        </w:rPr>
        <w:t xml:space="preserve">Anexo </w:t>
      </w:r>
      <w:r w:rsidR="00074E47">
        <w:rPr>
          <w:rFonts w:ascii="ITC Avant Garde" w:hAnsi="ITC Avant Garde"/>
          <w:b/>
          <w:color w:val="auto"/>
          <w:sz w:val="22"/>
          <w:szCs w:val="22"/>
          <w:lang w:val="es-ES_tradnl"/>
        </w:rPr>
        <w:t>2</w:t>
      </w:r>
      <w:r w:rsidR="00DA3C15" w:rsidRPr="00DA3C15">
        <w:rPr>
          <w:rFonts w:ascii="ITC Avant Garde" w:hAnsi="ITC Avant Garde"/>
          <w:color w:val="auto"/>
          <w:sz w:val="22"/>
          <w:szCs w:val="22"/>
          <w:lang w:val="es-ES_tradnl"/>
        </w:rPr>
        <w:t>)</w:t>
      </w:r>
      <w:r>
        <w:rPr>
          <w:rFonts w:ascii="ITC Avant Garde" w:hAnsi="ITC Avant Garde"/>
          <w:color w:val="auto"/>
          <w:sz w:val="22"/>
          <w:szCs w:val="22"/>
          <w:lang w:val="es-ES_tradnl"/>
        </w:rPr>
        <w:t>.</w:t>
      </w:r>
    </w:p>
    <w:p w:rsidR="00540EC7" w:rsidRPr="002249F3" w:rsidRDefault="00540EC7" w:rsidP="00D668F1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color w:val="auto"/>
          <w:sz w:val="22"/>
          <w:szCs w:val="22"/>
          <w:highlight w:val="yellow"/>
          <w:lang w:val="es-ES_tradnl"/>
        </w:rPr>
      </w:pPr>
    </w:p>
    <w:p w:rsidR="0008012B" w:rsidRPr="002249F3" w:rsidRDefault="00AB731B" w:rsidP="00D668F1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Por las razones antes expuestas, con fundamento en los artículos 28, párrafos décimo </w:t>
      </w:r>
      <w:r w:rsidR="00943F50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cuarto, décimo 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quinto</w:t>
      </w:r>
      <w:r w:rsidR="00CB5571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décimo sexto</w:t>
      </w:r>
      <w:r w:rsidR="004A417B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 la </w:t>
      </w:r>
      <w:r w:rsidR="00D1467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Constitución Política de los Estados Unidos Mexicanos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;</w:t>
      </w:r>
      <w:r w:rsidR="009C776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="00943F50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1, </w:t>
      </w:r>
      <w:r w:rsidR="009C776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7, párrafos primero y tercero, y</w:t>
      </w:r>
      <w:r w:rsidR="00835F89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="00611AD8">
        <w:rPr>
          <w:rFonts w:ascii="ITC Avant Garde" w:hAnsi="ITC Avant Garde"/>
          <w:bCs/>
          <w:color w:val="auto"/>
          <w:sz w:val="22"/>
          <w:szCs w:val="22"/>
          <w:lang w:val="es-ES_tradnl"/>
        </w:rPr>
        <w:t>15, fracciones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I</w:t>
      </w:r>
      <w:r w:rsidR="00611AD8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 XVIII</w:t>
      </w:r>
      <w:r w:rsidR="00EF0D9B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de la </w:t>
      </w:r>
      <w:r w:rsidR="00D1467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Ley Federal de Telecomunicaciones y Radiodifusión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; 5, párrafo</w:t>
      </w:r>
      <w:r w:rsidR="00644837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primero</w:t>
      </w:r>
      <w:r w:rsidR="00CE62B1" w:rsidRPr="0004164A">
        <w:rPr>
          <w:rFonts w:ascii="ITC Avant Garde" w:eastAsia="Calibri" w:hAnsi="ITC Avant Garde" w:cs="Arial"/>
          <w:sz w:val="22"/>
          <w:szCs w:val="22"/>
          <w:lang w:val="es-ES_tradnl"/>
        </w:rPr>
        <w:t xml:space="preserve">, </w:t>
      </w:r>
      <w:r w:rsidR="000A6BBB" w:rsidRPr="0004164A">
        <w:rPr>
          <w:rFonts w:ascii="ITC Avant Garde" w:eastAsia="Calibri" w:hAnsi="ITC Avant Garde" w:cs="Arial"/>
          <w:sz w:val="22"/>
          <w:szCs w:val="22"/>
        </w:rPr>
        <w:t>12, fracciones XVII y XXII</w:t>
      </w:r>
      <w:r w:rsidR="00943F50">
        <w:rPr>
          <w:rFonts w:ascii="ITC Avant Garde" w:eastAsia="Calibri" w:hAnsi="ITC Avant Garde" w:cs="Arial"/>
          <w:sz w:val="22"/>
          <w:szCs w:val="22"/>
        </w:rPr>
        <w:t>,</w:t>
      </w:r>
      <w:r w:rsidR="00954EC5">
        <w:rPr>
          <w:rFonts w:ascii="ITC Avant Garde" w:eastAsia="Calibri" w:hAnsi="ITC Avant Garde" w:cs="Arial"/>
          <w:sz w:val="22"/>
          <w:szCs w:val="22"/>
        </w:rPr>
        <w:t xml:space="preserve"> </w:t>
      </w:r>
      <w:r w:rsidR="00CE62B1" w:rsidRPr="0004164A">
        <w:rPr>
          <w:rFonts w:ascii="ITC Avant Garde" w:eastAsia="Calibri" w:hAnsi="ITC Avant Garde" w:cs="Arial"/>
          <w:sz w:val="22"/>
          <w:szCs w:val="22"/>
        </w:rPr>
        <w:t>y 138</w:t>
      </w:r>
      <w:r w:rsidR="000A6BBB" w:rsidRPr="0004164A">
        <w:rPr>
          <w:rFonts w:ascii="ITC Avant Garde" w:eastAsia="Calibri" w:hAnsi="ITC Avant Garde" w:cs="Arial"/>
          <w:sz w:val="22"/>
          <w:szCs w:val="22"/>
        </w:rPr>
        <w:t xml:space="preserve"> </w:t>
      </w:r>
      <w:r w:rsidRPr="0004164A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de la </w:t>
      </w:r>
      <w:r w:rsidR="00600814" w:rsidRPr="0004164A">
        <w:rPr>
          <w:rFonts w:ascii="ITC Avant Garde" w:eastAsia="Calibri" w:hAnsi="ITC Avant Garde" w:cs="Arial"/>
          <w:sz w:val="22"/>
          <w:szCs w:val="22"/>
        </w:rPr>
        <w:t>L</w:t>
      </w:r>
      <w:r w:rsidR="00D72623" w:rsidRPr="0004164A">
        <w:rPr>
          <w:rFonts w:ascii="ITC Avant Garde" w:eastAsia="Calibri" w:hAnsi="ITC Avant Garde" w:cs="Arial"/>
          <w:sz w:val="22"/>
          <w:szCs w:val="22"/>
        </w:rPr>
        <w:t xml:space="preserve">ey </w:t>
      </w:r>
      <w:r w:rsidR="00600814" w:rsidRPr="0004164A">
        <w:rPr>
          <w:rFonts w:ascii="ITC Avant Garde" w:eastAsia="Calibri" w:hAnsi="ITC Avant Garde" w:cs="Arial"/>
          <w:sz w:val="22"/>
          <w:szCs w:val="22"/>
        </w:rPr>
        <w:t>F</w:t>
      </w:r>
      <w:r w:rsidR="00D72623" w:rsidRPr="0004164A">
        <w:rPr>
          <w:rFonts w:ascii="ITC Avant Garde" w:eastAsia="Calibri" w:hAnsi="ITC Avant Garde" w:cs="Arial"/>
          <w:sz w:val="22"/>
          <w:szCs w:val="22"/>
        </w:rPr>
        <w:t xml:space="preserve">ederal de </w:t>
      </w:r>
      <w:r w:rsidR="00600814" w:rsidRPr="0004164A">
        <w:rPr>
          <w:rFonts w:ascii="ITC Avant Garde" w:eastAsia="Calibri" w:hAnsi="ITC Avant Garde" w:cs="Arial"/>
          <w:sz w:val="22"/>
          <w:szCs w:val="22"/>
        </w:rPr>
        <w:t>C</w:t>
      </w:r>
      <w:r w:rsidR="00D72623" w:rsidRPr="0004164A">
        <w:rPr>
          <w:rFonts w:ascii="ITC Avant Garde" w:eastAsia="Calibri" w:hAnsi="ITC Avant Garde" w:cs="Arial"/>
          <w:sz w:val="22"/>
          <w:szCs w:val="22"/>
        </w:rPr>
        <w:t xml:space="preserve">ompetencia </w:t>
      </w:r>
      <w:r w:rsidR="00600814" w:rsidRPr="0004164A">
        <w:rPr>
          <w:rFonts w:ascii="ITC Avant Garde" w:eastAsia="Calibri" w:hAnsi="ITC Avant Garde" w:cs="Arial"/>
          <w:sz w:val="22"/>
          <w:szCs w:val="22"/>
        </w:rPr>
        <w:t>E</w:t>
      </w:r>
      <w:r w:rsidR="00D72623" w:rsidRPr="0004164A">
        <w:rPr>
          <w:rFonts w:ascii="ITC Avant Garde" w:eastAsia="Calibri" w:hAnsi="ITC Avant Garde" w:cs="Arial"/>
          <w:sz w:val="22"/>
          <w:szCs w:val="22"/>
        </w:rPr>
        <w:t>conómica</w:t>
      </w:r>
      <w:r w:rsidR="000A6BBB" w:rsidRPr="0004164A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; </w:t>
      </w:r>
      <w:r w:rsidR="00CE62B1" w:rsidRPr="0004164A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187 y </w:t>
      </w:r>
      <w:r w:rsidR="000A6BBB" w:rsidRPr="0004164A">
        <w:rPr>
          <w:rFonts w:ascii="ITC Avant Garde" w:hAnsi="ITC Avant Garde"/>
          <w:bCs/>
          <w:color w:val="auto"/>
          <w:sz w:val="22"/>
          <w:szCs w:val="22"/>
          <w:lang w:val="es-ES_tradnl"/>
        </w:rPr>
        <w:t>189</w:t>
      </w:r>
      <w:r w:rsidRPr="0004164A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</w:t>
      </w:r>
      <w:r w:rsidRPr="0004164A">
        <w:rPr>
          <w:rFonts w:ascii="ITC Avant Garde" w:hAnsi="ITC Avant Garde"/>
          <w:color w:val="auto"/>
          <w:sz w:val="22"/>
          <w:szCs w:val="22"/>
        </w:rPr>
        <w:t xml:space="preserve"> las Disposiciones Regulatorias</w:t>
      </w:r>
      <w:r w:rsidR="00D1467D" w:rsidRPr="0004164A">
        <w:rPr>
          <w:rFonts w:ascii="ITC Avant Garde" w:hAnsi="ITC Avant Garde"/>
          <w:color w:val="auto"/>
          <w:sz w:val="22"/>
          <w:szCs w:val="22"/>
        </w:rPr>
        <w:t xml:space="preserve"> de la Ley Federal de Competencia Económica para los sectores de telecomunicaciones y radiodifusión</w:t>
      </w:r>
      <w:r w:rsidR="006D4FBB" w:rsidRPr="009E0977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9E0977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="00D1467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así como</w:t>
      </w:r>
      <w:r w:rsidR="00501CBC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1, párrafos primero y tercero, 4, fracción I</w:t>
      </w:r>
      <w:r w:rsidR="006D4FBB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 6, fracción </w:t>
      </w:r>
      <w:r w:rsidR="00152B64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XXXVIII</w:t>
      </w:r>
      <w:r w:rsidR="00B318D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del Estatuto Orgánico</w:t>
      </w:r>
      <w:r w:rsidR="00D1467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del Instituto</w:t>
      </w:r>
      <w:r w:rsidR="006F0CFF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Federal de Telecomunicaciones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, el Pleno </w:t>
      </w:r>
      <w:r w:rsidR="00CB5571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emite </w:t>
      </w:r>
      <w:r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el siguiente</w:t>
      </w:r>
      <w:r w:rsidR="007569FD" w:rsidRPr="002249F3">
        <w:rPr>
          <w:rFonts w:ascii="ITC Avant Garde" w:hAnsi="ITC Avant Garde"/>
          <w:bCs/>
          <w:color w:val="auto"/>
          <w:sz w:val="22"/>
          <w:szCs w:val="22"/>
          <w:lang w:val="es-ES_tradnl"/>
        </w:rPr>
        <w:t>:</w:t>
      </w:r>
    </w:p>
    <w:p w:rsidR="00540EC7" w:rsidRPr="002249F3" w:rsidRDefault="00540EC7" w:rsidP="00D668F1">
      <w:pPr>
        <w:pStyle w:val="Default"/>
        <w:tabs>
          <w:tab w:val="left" w:pos="0"/>
        </w:tabs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:rsidR="0008012B" w:rsidRPr="002249F3" w:rsidRDefault="0008012B" w:rsidP="00D668F1">
      <w:pPr>
        <w:pStyle w:val="Default"/>
        <w:tabs>
          <w:tab w:val="left" w:pos="0"/>
        </w:tabs>
        <w:jc w:val="center"/>
        <w:rPr>
          <w:rFonts w:ascii="ITC Avant Garde" w:hAnsi="ITC Avant Garde"/>
          <w:b/>
          <w:bCs/>
          <w:color w:val="auto"/>
          <w:sz w:val="22"/>
          <w:szCs w:val="22"/>
          <w:lang w:val="pt-BR"/>
        </w:rPr>
      </w:pP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A</w:t>
      </w:r>
      <w:r w:rsidR="008265D8"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 xml:space="preserve"> </w:t>
      </w: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C</w:t>
      </w:r>
      <w:r w:rsidR="008265D8"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 xml:space="preserve"> </w:t>
      </w: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U</w:t>
      </w:r>
      <w:r w:rsidR="008265D8"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 xml:space="preserve"> </w:t>
      </w: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E</w:t>
      </w:r>
      <w:r w:rsidR="008265D8"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 xml:space="preserve"> </w:t>
      </w: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R</w:t>
      </w:r>
      <w:r w:rsidR="008265D8"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 xml:space="preserve"> </w:t>
      </w: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D</w:t>
      </w:r>
      <w:r w:rsidR="008265D8"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 xml:space="preserve"> </w:t>
      </w:r>
      <w:r w:rsidRPr="002249F3">
        <w:rPr>
          <w:rFonts w:ascii="ITC Avant Garde" w:hAnsi="ITC Avant Garde"/>
          <w:b/>
          <w:bCs/>
          <w:color w:val="auto"/>
          <w:sz w:val="22"/>
          <w:szCs w:val="22"/>
          <w:lang w:val="pt-BR"/>
        </w:rPr>
        <w:t>O</w:t>
      </w:r>
    </w:p>
    <w:p w:rsidR="00540EC7" w:rsidRPr="002249F3" w:rsidRDefault="00540EC7" w:rsidP="00D668F1">
      <w:pPr>
        <w:pStyle w:val="Default"/>
        <w:tabs>
          <w:tab w:val="left" w:pos="0"/>
        </w:tabs>
        <w:jc w:val="center"/>
        <w:rPr>
          <w:rFonts w:ascii="ITC Avant Garde" w:hAnsi="ITC Avant Garde"/>
          <w:b/>
          <w:bCs/>
          <w:color w:val="auto"/>
          <w:sz w:val="22"/>
          <w:szCs w:val="22"/>
          <w:lang w:val="pt-BR"/>
        </w:rPr>
      </w:pPr>
    </w:p>
    <w:p w:rsidR="00A41349" w:rsidRPr="002249F3" w:rsidRDefault="0008012B" w:rsidP="00D668F1">
      <w:pPr>
        <w:pStyle w:val="Default"/>
        <w:tabs>
          <w:tab w:val="left" w:pos="0"/>
        </w:tabs>
        <w:jc w:val="both"/>
        <w:rPr>
          <w:rFonts w:ascii="ITC Avant Garde" w:hAnsi="ITC Avant Garde" w:cs="Tahoma"/>
          <w:bCs/>
          <w:color w:val="auto"/>
          <w:sz w:val="22"/>
          <w:szCs w:val="22"/>
        </w:rPr>
      </w:pPr>
      <w:r w:rsidRPr="002249F3">
        <w:rPr>
          <w:rFonts w:ascii="ITC Avant Garde" w:hAnsi="ITC Avant Garde" w:cs="Tahoma"/>
          <w:b/>
          <w:bCs/>
          <w:color w:val="auto"/>
          <w:sz w:val="22"/>
          <w:szCs w:val="22"/>
        </w:rPr>
        <w:t>PRIMERO</w:t>
      </w:r>
      <w:r w:rsidR="00152B64" w:rsidRPr="002249F3">
        <w:rPr>
          <w:rFonts w:ascii="ITC Avant Garde" w:hAnsi="ITC Avant Garde" w:cs="Tahoma"/>
          <w:bCs/>
          <w:color w:val="auto"/>
          <w:sz w:val="22"/>
          <w:szCs w:val="22"/>
        </w:rPr>
        <w:t xml:space="preserve">. </w:t>
      </w:r>
      <w:r w:rsidRPr="002249F3">
        <w:rPr>
          <w:rFonts w:ascii="ITC Avant Garde" w:hAnsi="ITC Avant Garde" w:cs="Tahoma"/>
          <w:bCs/>
          <w:color w:val="auto"/>
          <w:sz w:val="22"/>
          <w:szCs w:val="22"/>
        </w:rPr>
        <w:t>Se determina someter a consulta pública</w:t>
      </w:r>
      <w:r w:rsidR="00A32FDA" w:rsidRPr="002249F3">
        <w:rPr>
          <w:rFonts w:ascii="ITC Avant Garde" w:hAnsi="ITC Avant Garde"/>
          <w:color w:val="auto"/>
          <w:sz w:val="22"/>
          <w:szCs w:val="22"/>
        </w:rPr>
        <w:t xml:space="preserve"> el</w:t>
      </w:r>
      <w:r w:rsidR="000A6BBB" w:rsidRPr="002249F3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0A6BBB" w:rsidRPr="0004164A">
        <w:rPr>
          <w:rFonts w:ascii="ITC Avant Garde" w:hAnsi="ITC Avant Garde"/>
          <w:sz w:val="22"/>
          <w:szCs w:val="22"/>
        </w:rPr>
        <w:t>“</w:t>
      </w:r>
      <w:r w:rsidR="00FD1A22" w:rsidRPr="0004164A">
        <w:rPr>
          <w:rFonts w:ascii="ITC Avant Garde" w:hAnsi="ITC Avant Garde"/>
          <w:i/>
          <w:sz w:val="22"/>
          <w:szCs w:val="22"/>
        </w:rPr>
        <w:t xml:space="preserve">ANTEPROYECTO DE MODIFICACIONES A LAS DISPOSICIONES REGULATORIAS DE LA LEY FEDERAL DE COMPETENCIA ECONÓMICA PARA LOS SECTORES DE TELECOMUNICACIONES Y </w:t>
      </w:r>
      <w:r w:rsidR="00FD1A22" w:rsidRPr="0004164A">
        <w:rPr>
          <w:rFonts w:ascii="ITC Avant Garde" w:hAnsi="ITC Avant Garde"/>
          <w:i/>
          <w:sz w:val="22"/>
          <w:szCs w:val="22"/>
        </w:rPr>
        <w:lastRenderedPageBreak/>
        <w:t>RADIODIFUSIÓN, PUBLICADAS EN EL DIARIO OFICIAL DE LA F</w:t>
      </w:r>
      <w:r w:rsidR="00954EC5">
        <w:rPr>
          <w:rFonts w:ascii="ITC Avant Garde" w:hAnsi="ITC Avant Garde"/>
          <w:i/>
          <w:sz w:val="22"/>
          <w:szCs w:val="22"/>
        </w:rPr>
        <w:t>EDERACIÓN EL DOCE DE ENERO DE DOS MIL QUINCE</w:t>
      </w:r>
      <w:r w:rsidR="00FD1A22" w:rsidRPr="0004164A">
        <w:rPr>
          <w:rFonts w:ascii="ITC Avant Garde" w:hAnsi="ITC Avant Garde"/>
          <w:i/>
          <w:sz w:val="22"/>
          <w:szCs w:val="22"/>
        </w:rPr>
        <w:t>, RESPECTO DE LOS PROCEDIMIENTOS QUE LLEVAN A CABO LA AUTORIDAD INVESTIGADORA Y LA UNIDAD DE COMPETENCIA ECONÓMICA</w:t>
      </w:r>
      <w:r w:rsidR="003E6139" w:rsidRPr="003E6139">
        <w:rPr>
          <w:rFonts w:ascii="ITC Avant Garde" w:hAnsi="ITC Avant Garde"/>
          <w:sz w:val="22"/>
          <w:szCs w:val="22"/>
        </w:rPr>
        <w:t>”</w:t>
      </w:r>
      <w:r w:rsidR="0076705F" w:rsidRPr="0076705F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76705F">
        <w:rPr>
          <w:rFonts w:ascii="ITC Avant Garde" w:hAnsi="ITC Avant Garde"/>
          <w:color w:val="auto"/>
          <w:sz w:val="22"/>
          <w:szCs w:val="22"/>
        </w:rPr>
        <w:t>(</w:t>
      </w:r>
      <w:r w:rsidR="0076705F" w:rsidRPr="0076705F">
        <w:rPr>
          <w:rFonts w:ascii="ITC Avant Garde" w:hAnsi="ITC Avant Garde"/>
          <w:b/>
          <w:color w:val="auto"/>
          <w:sz w:val="22"/>
          <w:szCs w:val="22"/>
        </w:rPr>
        <w:t>Anexo 1</w:t>
      </w:r>
      <w:r w:rsidR="0076705F" w:rsidRPr="0076705F">
        <w:rPr>
          <w:rFonts w:ascii="ITC Avant Garde" w:hAnsi="ITC Avant Garde"/>
          <w:color w:val="auto"/>
          <w:sz w:val="22"/>
          <w:szCs w:val="22"/>
        </w:rPr>
        <w:t>)</w:t>
      </w:r>
      <w:r w:rsidR="0076705F">
        <w:rPr>
          <w:rFonts w:ascii="ITC Avant Garde" w:hAnsi="ITC Avant Garde"/>
          <w:color w:val="auto"/>
          <w:sz w:val="22"/>
          <w:szCs w:val="22"/>
        </w:rPr>
        <w:t xml:space="preserve"> </w:t>
      </w:r>
      <w:r w:rsidR="003E6139">
        <w:rPr>
          <w:rFonts w:ascii="ITC Avant Garde" w:hAnsi="ITC Avant Garde"/>
          <w:sz w:val="22"/>
          <w:szCs w:val="22"/>
        </w:rPr>
        <w:t xml:space="preserve"> </w:t>
      </w:r>
      <w:r w:rsidR="0076705F">
        <w:rPr>
          <w:rFonts w:ascii="ITC Avant Garde" w:hAnsi="ITC Avant Garde"/>
          <w:sz w:val="22"/>
          <w:szCs w:val="22"/>
        </w:rPr>
        <w:t>y el</w:t>
      </w:r>
      <w:r w:rsidR="003E6139">
        <w:rPr>
          <w:rFonts w:ascii="ITC Avant Garde" w:hAnsi="ITC Avant Garde"/>
          <w:sz w:val="22"/>
          <w:szCs w:val="22"/>
        </w:rPr>
        <w:t xml:space="preserve"> “</w:t>
      </w:r>
      <w:r w:rsidR="003E6139">
        <w:rPr>
          <w:rFonts w:ascii="ITC Avant Garde" w:hAnsi="ITC Avant Garde"/>
          <w:i/>
          <w:sz w:val="22"/>
          <w:szCs w:val="22"/>
        </w:rPr>
        <w:t>ANTEPROYECTO DE</w:t>
      </w:r>
      <w:r w:rsidR="0004164A" w:rsidRPr="0004164A">
        <w:rPr>
          <w:rFonts w:ascii="ITC Avant Garde" w:hAnsi="ITC Avant Garde"/>
          <w:i/>
          <w:sz w:val="22"/>
          <w:szCs w:val="22"/>
        </w:rPr>
        <w:t xml:space="preserve"> MODIFICACIONES A LOS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0A6BBB" w:rsidRPr="0004164A">
        <w:rPr>
          <w:rFonts w:ascii="ITC Avant Garde" w:hAnsi="ITC Avant Garde"/>
          <w:sz w:val="22"/>
          <w:szCs w:val="22"/>
        </w:rPr>
        <w:t>”</w:t>
      </w:r>
      <w:r w:rsidR="0076705F">
        <w:rPr>
          <w:rFonts w:ascii="ITC Avant Garde" w:hAnsi="ITC Avant Garde"/>
          <w:color w:val="auto"/>
          <w:sz w:val="22"/>
          <w:szCs w:val="22"/>
        </w:rPr>
        <w:t xml:space="preserve"> (</w:t>
      </w:r>
      <w:r w:rsidR="00954EC5" w:rsidRPr="0076705F">
        <w:rPr>
          <w:rFonts w:ascii="ITC Avant Garde" w:hAnsi="ITC Avant Garde"/>
          <w:b/>
          <w:color w:val="auto"/>
          <w:sz w:val="22"/>
          <w:szCs w:val="22"/>
        </w:rPr>
        <w:t xml:space="preserve">Anexo </w:t>
      </w:r>
      <w:r w:rsidR="00074E47">
        <w:rPr>
          <w:rFonts w:ascii="ITC Avant Garde" w:hAnsi="ITC Avant Garde"/>
          <w:b/>
          <w:color w:val="auto"/>
          <w:sz w:val="22"/>
          <w:szCs w:val="22"/>
        </w:rPr>
        <w:t>2</w:t>
      </w:r>
      <w:r w:rsidR="00A32FDA" w:rsidRPr="0004164A">
        <w:rPr>
          <w:rFonts w:ascii="ITC Avant Garde" w:hAnsi="ITC Avant Garde"/>
          <w:color w:val="auto"/>
          <w:sz w:val="22"/>
          <w:szCs w:val="22"/>
        </w:rPr>
        <w:t>)</w:t>
      </w:r>
      <w:r w:rsidR="0076705F">
        <w:rPr>
          <w:rFonts w:ascii="ITC Avant Garde" w:hAnsi="ITC Avant Garde"/>
          <w:color w:val="auto"/>
          <w:sz w:val="22"/>
          <w:szCs w:val="22"/>
        </w:rPr>
        <w:t>,</w:t>
      </w:r>
      <w:r w:rsidR="0001319F" w:rsidRPr="0004164A">
        <w:rPr>
          <w:rFonts w:ascii="ITC Avant Garde" w:hAnsi="ITC Avant Garde" w:cs="Tahoma"/>
          <w:bCs/>
          <w:color w:val="auto"/>
          <w:sz w:val="22"/>
          <w:szCs w:val="22"/>
        </w:rPr>
        <w:t xml:space="preserve"> por un </w:t>
      </w:r>
      <w:r w:rsidR="00D1467D" w:rsidRPr="0004164A">
        <w:rPr>
          <w:rFonts w:ascii="ITC Avant Garde" w:hAnsi="ITC Avant Garde" w:cs="Tahoma"/>
          <w:bCs/>
          <w:color w:val="auto"/>
          <w:sz w:val="22"/>
          <w:szCs w:val="22"/>
        </w:rPr>
        <w:t xml:space="preserve">periodo </w:t>
      </w:r>
      <w:r w:rsidR="0001319F" w:rsidRPr="0004164A">
        <w:rPr>
          <w:rFonts w:ascii="ITC Avant Garde" w:hAnsi="ITC Avant Garde" w:cs="Tahoma"/>
          <w:bCs/>
          <w:color w:val="auto"/>
          <w:sz w:val="22"/>
          <w:szCs w:val="22"/>
        </w:rPr>
        <w:t xml:space="preserve">de </w:t>
      </w:r>
      <w:r w:rsidR="00474313" w:rsidRPr="0004164A">
        <w:rPr>
          <w:rFonts w:ascii="ITC Avant Garde" w:hAnsi="ITC Avant Garde" w:cs="Tahoma"/>
          <w:bCs/>
          <w:color w:val="auto"/>
          <w:sz w:val="22"/>
          <w:szCs w:val="22"/>
        </w:rPr>
        <w:t>treinta</w:t>
      </w:r>
      <w:r w:rsidR="0001319F" w:rsidRPr="0004164A">
        <w:rPr>
          <w:rFonts w:ascii="ITC Avant Garde" w:hAnsi="ITC Avant Garde" w:cs="Tahoma"/>
          <w:bCs/>
          <w:color w:val="auto"/>
          <w:sz w:val="22"/>
          <w:szCs w:val="22"/>
        </w:rPr>
        <w:t xml:space="preserve"> </w:t>
      </w:r>
      <w:r w:rsidR="002205AE" w:rsidRPr="0004164A">
        <w:rPr>
          <w:rFonts w:ascii="ITC Avant Garde" w:hAnsi="ITC Avant Garde" w:cs="Tahoma"/>
          <w:bCs/>
          <w:color w:val="auto"/>
          <w:sz w:val="22"/>
          <w:szCs w:val="22"/>
        </w:rPr>
        <w:t>días hábiles</w:t>
      </w:r>
      <w:r w:rsidR="002205AE" w:rsidRPr="009E0977">
        <w:rPr>
          <w:rFonts w:ascii="ITC Avant Garde" w:hAnsi="ITC Avant Garde" w:cs="Tahoma"/>
          <w:bCs/>
          <w:color w:val="auto"/>
          <w:sz w:val="22"/>
          <w:szCs w:val="22"/>
        </w:rPr>
        <w:t xml:space="preserve"> contados a partir del día </w:t>
      </w:r>
      <w:r w:rsidR="00283627" w:rsidRPr="002249F3">
        <w:rPr>
          <w:rFonts w:ascii="ITC Avant Garde" w:hAnsi="ITC Avant Garde" w:cs="Tahoma"/>
          <w:bCs/>
          <w:color w:val="auto"/>
          <w:sz w:val="22"/>
          <w:szCs w:val="22"/>
        </w:rPr>
        <w:t>hábil siguiente a</w:t>
      </w:r>
      <w:r w:rsidR="002205AE" w:rsidRPr="002249F3">
        <w:rPr>
          <w:rFonts w:ascii="ITC Avant Garde" w:hAnsi="ITC Avant Garde" w:cs="Tahoma"/>
          <w:bCs/>
          <w:color w:val="auto"/>
          <w:sz w:val="22"/>
          <w:szCs w:val="22"/>
        </w:rPr>
        <w:t xml:space="preserve"> </w:t>
      </w:r>
      <w:r w:rsidR="00CB5571" w:rsidRPr="002249F3">
        <w:rPr>
          <w:rFonts w:ascii="ITC Avant Garde" w:hAnsi="ITC Avant Garde" w:cs="Tahoma"/>
          <w:bCs/>
          <w:color w:val="auto"/>
          <w:sz w:val="22"/>
          <w:szCs w:val="22"/>
        </w:rPr>
        <w:t xml:space="preserve">aquél en que se publique </w:t>
      </w:r>
      <w:r w:rsidR="003E6139">
        <w:rPr>
          <w:rFonts w:ascii="ITC Avant Garde" w:hAnsi="ITC Avant Garde" w:cs="Tahoma"/>
          <w:bCs/>
          <w:color w:val="auto"/>
          <w:sz w:val="22"/>
          <w:szCs w:val="22"/>
        </w:rPr>
        <w:t>su</w:t>
      </w:r>
      <w:r w:rsidR="00721CC0" w:rsidRPr="002249F3">
        <w:rPr>
          <w:rFonts w:ascii="ITC Avant Garde" w:hAnsi="ITC Avant Garde" w:cs="Tahoma"/>
          <w:bCs/>
          <w:color w:val="auto"/>
          <w:sz w:val="22"/>
          <w:szCs w:val="22"/>
        </w:rPr>
        <w:t xml:space="preserve"> extracto</w:t>
      </w:r>
      <w:r w:rsidR="002205AE" w:rsidRPr="002249F3">
        <w:rPr>
          <w:rFonts w:ascii="ITC Avant Garde" w:hAnsi="ITC Avant Garde" w:cs="Tahoma"/>
          <w:bCs/>
          <w:color w:val="auto"/>
          <w:sz w:val="22"/>
          <w:szCs w:val="22"/>
        </w:rPr>
        <w:t xml:space="preserve"> en el </w:t>
      </w:r>
      <w:r w:rsidR="00D1467D" w:rsidRPr="002249F3">
        <w:rPr>
          <w:rFonts w:ascii="ITC Avant Garde" w:hAnsi="ITC Avant Garde" w:cs="Tahoma"/>
          <w:bCs/>
          <w:color w:val="auto"/>
          <w:sz w:val="22"/>
          <w:szCs w:val="22"/>
        </w:rPr>
        <w:t>Diario Oficial de la Federación</w:t>
      </w:r>
      <w:r w:rsidR="00704D8E" w:rsidRPr="002249F3">
        <w:rPr>
          <w:rFonts w:ascii="ITC Avant Garde" w:hAnsi="ITC Avant Garde" w:cs="Tahoma"/>
          <w:bCs/>
          <w:color w:val="auto"/>
          <w:sz w:val="22"/>
          <w:szCs w:val="22"/>
        </w:rPr>
        <w:t>.</w:t>
      </w:r>
    </w:p>
    <w:p w:rsidR="00540EC7" w:rsidRPr="002249F3" w:rsidRDefault="00540EC7" w:rsidP="00D668F1">
      <w:pPr>
        <w:pStyle w:val="Default"/>
        <w:tabs>
          <w:tab w:val="left" w:pos="0"/>
        </w:tabs>
        <w:jc w:val="both"/>
        <w:rPr>
          <w:rFonts w:ascii="ITC Avant Garde" w:hAnsi="ITC Avant Garde" w:cs="Tahoma"/>
          <w:bCs/>
          <w:color w:val="auto"/>
          <w:sz w:val="22"/>
          <w:szCs w:val="22"/>
        </w:rPr>
      </w:pPr>
    </w:p>
    <w:p w:rsidR="0008012B" w:rsidRPr="002249F3" w:rsidRDefault="0008012B" w:rsidP="00D668F1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eastAsia="MS Mincho" w:hAnsi="ITC Avant Garde" w:cs="Times New Roman"/>
          <w:bCs/>
          <w:lang w:val="es-ES_tradnl" w:eastAsia="es-MX"/>
        </w:rPr>
      </w:pPr>
      <w:r w:rsidRPr="002249F3">
        <w:rPr>
          <w:rFonts w:ascii="ITC Avant Garde" w:hAnsi="ITC Avant Garde" w:cs="Tahoma"/>
          <w:b/>
          <w:bCs/>
          <w:lang w:eastAsia="es-MX"/>
        </w:rPr>
        <w:t>SEGUNDO.</w:t>
      </w:r>
      <w:r w:rsidRPr="002249F3">
        <w:rPr>
          <w:rFonts w:ascii="ITC Avant Garde" w:hAnsi="ITC Avant Garde" w:cs="Tahoma"/>
          <w:bCs/>
          <w:lang w:eastAsia="es-MX"/>
        </w:rPr>
        <w:t xml:space="preserve"> </w:t>
      </w:r>
      <w:r w:rsidR="00283627" w:rsidRPr="002249F3">
        <w:rPr>
          <w:rFonts w:ascii="ITC Avant Garde" w:eastAsia="MS Mincho" w:hAnsi="ITC Avant Garde" w:cs="Times New Roman"/>
          <w:bCs/>
          <w:lang w:val="es-ES_tradnl" w:eastAsia="es-MX"/>
        </w:rPr>
        <w:t xml:space="preserve">Publíquese un extracto del </w:t>
      </w:r>
      <w:r w:rsidR="000A6BBB" w:rsidRPr="002249F3">
        <w:rPr>
          <w:rFonts w:ascii="ITC Avant Garde" w:hAnsi="ITC Avant Garde"/>
        </w:rPr>
        <w:t>“</w:t>
      </w:r>
      <w:r w:rsidR="00FD1A22" w:rsidRPr="002249F3">
        <w:rPr>
          <w:rFonts w:ascii="ITC Avant Garde" w:hAnsi="ITC Avant Garde"/>
          <w:i/>
        </w:rPr>
        <w:t>ANTEPROYECTO DE MODIFICACIONES A LAS DISPOSICIONES REGULATORIAS DE LA LEY FEDERAL DE COMPETENCIA ECONÓMICA PARA LOS SECTORES DE TELECOMUNICACIONES Y RADIODIFUSIÓN, PUBLICADAS EN EL DIARI</w:t>
      </w:r>
      <w:r w:rsidR="00954EC5">
        <w:rPr>
          <w:rFonts w:ascii="ITC Avant Garde" w:hAnsi="ITC Avant Garde"/>
          <w:i/>
        </w:rPr>
        <w:t>O OFICIAL DE LA FEDERACIÓN EL DOCE DE ENERO DE DOS MIL QUINCE</w:t>
      </w:r>
      <w:r w:rsidR="00FD1A22" w:rsidRPr="002249F3">
        <w:rPr>
          <w:rFonts w:ascii="ITC Avant Garde" w:hAnsi="ITC Avant Garde"/>
          <w:i/>
        </w:rPr>
        <w:t>, RESPECTO DE LOS PROCEDIMIENTOS QUE LLEVAN A CABO LA AUTORIDAD INVESTIGADORA Y LA UNIDAD DE COMPETENCIA ECONÓMICA</w:t>
      </w:r>
      <w:r w:rsidR="003E6139" w:rsidRPr="003E6139">
        <w:rPr>
          <w:rFonts w:ascii="ITC Avant Garde" w:hAnsi="ITC Avant Garde"/>
        </w:rPr>
        <w:t>”</w:t>
      </w:r>
      <w:r w:rsidR="00457C14">
        <w:rPr>
          <w:rFonts w:ascii="ITC Avant Garde" w:hAnsi="ITC Avant Garde"/>
        </w:rPr>
        <w:t xml:space="preserve"> </w:t>
      </w:r>
      <w:r w:rsidR="0076705F">
        <w:rPr>
          <w:rFonts w:ascii="ITC Avant Garde" w:hAnsi="ITC Avant Garde"/>
        </w:rPr>
        <w:t xml:space="preserve">y </w:t>
      </w:r>
      <w:r w:rsidR="00CE4688">
        <w:rPr>
          <w:rFonts w:ascii="ITC Avant Garde" w:hAnsi="ITC Avant Garde"/>
        </w:rPr>
        <w:t xml:space="preserve">un extracto </w:t>
      </w:r>
      <w:r w:rsidR="0076705F">
        <w:rPr>
          <w:rFonts w:ascii="ITC Avant Garde" w:hAnsi="ITC Avant Garde"/>
        </w:rPr>
        <w:t>del</w:t>
      </w:r>
      <w:r w:rsidR="003E6139">
        <w:rPr>
          <w:rFonts w:ascii="ITC Avant Garde" w:hAnsi="ITC Avant Garde"/>
        </w:rPr>
        <w:t xml:space="preserve"> “</w:t>
      </w:r>
      <w:r w:rsidR="003E6139">
        <w:rPr>
          <w:rFonts w:ascii="ITC Avant Garde" w:hAnsi="ITC Avant Garde"/>
          <w:i/>
        </w:rPr>
        <w:t>ANTEPROYECTO DE</w:t>
      </w:r>
      <w:r w:rsidR="0004164A" w:rsidRPr="0004164A">
        <w:rPr>
          <w:rFonts w:ascii="ITC Avant Garde" w:hAnsi="ITC Avant Garde"/>
          <w:i/>
        </w:rPr>
        <w:t xml:space="preserve"> MODIFICACIONES A LOS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0A6BBB" w:rsidRPr="0004164A">
        <w:rPr>
          <w:rFonts w:ascii="ITC Avant Garde" w:hAnsi="ITC Avant Garde"/>
        </w:rPr>
        <w:t>”</w:t>
      </w:r>
      <w:r w:rsidR="00457C14">
        <w:rPr>
          <w:rFonts w:ascii="ITC Avant Garde" w:hAnsi="ITC Avant Garde"/>
        </w:rPr>
        <w:t xml:space="preserve">, </w:t>
      </w:r>
      <w:r w:rsidR="00283627" w:rsidRPr="0004164A">
        <w:rPr>
          <w:rFonts w:ascii="ITC Avant Garde" w:eastAsia="MS Mincho" w:hAnsi="ITC Avant Garde" w:cs="Times New Roman"/>
          <w:bCs/>
          <w:lang w:val="es-ES_tradnl" w:eastAsia="es-MX"/>
        </w:rPr>
        <w:t xml:space="preserve">en el </w:t>
      </w:r>
      <w:r w:rsidR="00D1467D" w:rsidRPr="0004164A">
        <w:rPr>
          <w:rFonts w:ascii="ITC Avant Garde" w:eastAsia="MS Mincho" w:hAnsi="ITC Avant Garde" w:cs="Times New Roman"/>
          <w:bCs/>
          <w:lang w:val="es-ES_tradnl" w:eastAsia="es-MX"/>
        </w:rPr>
        <w:t>Diario Oficial de la Federación</w:t>
      </w:r>
      <w:r w:rsidR="003A5842" w:rsidRPr="0004164A">
        <w:rPr>
          <w:rFonts w:ascii="ITC Avant Garde" w:eastAsia="MS Mincho" w:hAnsi="ITC Avant Garde" w:cs="Times New Roman"/>
          <w:bCs/>
          <w:lang w:val="es-ES_tradnl" w:eastAsia="es-MX"/>
        </w:rPr>
        <w:t xml:space="preserve"> </w:t>
      </w:r>
      <w:r w:rsidR="00283627" w:rsidRPr="0004164A">
        <w:rPr>
          <w:rFonts w:ascii="ITC Avant Garde" w:eastAsia="MS Mincho" w:hAnsi="ITC Avant Garde" w:cs="Times New Roman"/>
          <w:bCs/>
          <w:lang w:val="es-ES_tradnl" w:eastAsia="es-MX"/>
        </w:rPr>
        <w:t xml:space="preserve">e íntegramente en el </w:t>
      </w:r>
      <w:r w:rsidR="00704D8E" w:rsidRPr="009E0977">
        <w:rPr>
          <w:rFonts w:ascii="ITC Avant Garde" w:eastAsia="MS Mincho" w:hAnsi="ITC Avant Garde" w:cs="Times New Roman"/>
          <w:bCs/>
          <w:lang w:val="es-ES_tradnl" w:eastAsia="es-MX"/>
        </w:rPr>
        <w:t xml:space="preserve">portal </w:t>
      </w:r>
      <w:r w:rsidR="00283627" w:rsidRPr="009E0977">
        <w:rPr>
          <w:rFonts w:ascii="ITC Avant Garde" w:eastAsia="MS Mincho" w:hAnsi="ITC Avant Garde" w:cs="Times New Roman"/>
          <w:bCs/>
          <w:lang w:val="es-ES_tradnl" w:eastAsia="es-MX"/>
        </w:rPr>
        <w:t>de Internet del Instituto</w:t>
      </w:r>
      <w:r w:rsidR="00BC39C3">
        <w:rPr>
          <w:rFonts w:ascii="ITC Avant Garde" w:eastAsia="MS Mincho" w:hAnsi="ITC Avant Garde" w:cs="Times New Roman"/>
          <w:bCs/>
          <w:lang w:val="es-ES_tradnl" w:eastAsia="es-MX"/>
        </w:rPr>
        <w:t xml:space="preserve"> Federal de Tel</w:t>
      </w:r>
      <w:r w:rsidR="00DA3C15">
        <w:rPr>
          <w:rFonts w:ascii="ITC Avant Garde" w:eastAsia="MS Mincho" w:hAnsi="ITC Avant Garde" w:cs="Times New Roman"/>
          <w:bCs/>
          <w:lang w:val="es-ES_tradnl" w:eastAsia="es-MX"/>
        </w:rPr>
        <w:t>ecomunic</w:t>
      </w:r>
      <w:r w:rsidR="00BC39C3">
        <w:rPr>
          <w:rFonts w:ascii="ITC Avant Garde" w:eastAsia="MS Mincho" w:hAnsi="ITC Avant Garde" w:cs="Times New Roman"/>
          <w:bCs/>
          <w:lang w:val="es-ES_tradnl" w:eastAsia="es-MX"/>
        </w:rPr>
        <w:t>aciones</w:t>
      </w:r>
      <w:r w:rsidR="00283627" w:rsidRPr="009E0977">
        <w:rPr>
          <w:rFonts w:ascii="ITC Avant Garde" w:eastAsia="MS Mincho" w:hAnsi="ITC Avant Garde" w:cs="Times New Roman"/>
          <w:bCs/>
          <w:lang w:val="es-ES_tradnl" w:eastAsia="es-MX"/>
        </w:rPr>
        <w:t xml:space="preserve">. </w:t>
      </w:r>
    </w:p>
    <w:p w:rsidR="00FD1A22" w:rsidRPr="002249F3" w:rsidRDefault="00FD1A22" w:rsidP="00D668F1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</w:rPr>
      </w:pPr>
    </w:p>
    <w:p w:rsidR="00721CC0" w:rsidRPr="002249F3" w:rsidRDefault="00721CC0" w:rsidP="00D668F1">
      <w:pPr>
        <w:spacing w:after="0" w:line="240" w:lineRule="auto"/>
        <w:jc w:val="both"/>
        <w:rPr>
          <w:rFonts w:ascii="ITC Avant Garde" w:hAnsi="ITC Avant Garde"/>
          <w:lang w:val="es-ES_tradnl"/>
        </w:rPr>
      </w:pPr>
      <w:r w:rsidRPr="002249F3">
        <w:rPr>
          <w:rFonts w:ascii="ITC Avant Garde" w:hAnsi="ITC Avant Garde" w:cs="Tahoma"/>
          <w:b/>
          <w:bCs/>
          <w:lang w:eastAsia="es-MX"/>
        </w:rPr>
        <w:t>T</w:t>
      </w:r>
      <w:r w:rsidR="00152B64" w:rsidRPr="002249F3">
        <w:rPr>
          <w:rFonts w:ascii="ITC Avant Garde" w:hAnsi="ITC Avant Garde" w:cs="Tahoma"/>
          <w:b/>
          <w:bCs/>
          <w:lang w:eastAsia="es-MX"/>
        </w:rPr>
        <w:t>ERCERO.</w:t>
      </w:r>
      <w:r w:rsidRPr="002249F3">
        <w:rPr>
          <w:rFonts w:ascii="ITC Avant Garde" w:hAnsi="ITC Avant Garde" w:cs="Tahoma"/>
          <w:bCs/>
          <w:lang w:eastAsia="es-MX"/>
        </w:rPr>
        <w:t xml:space="preserve"> </w:t>
      </w:r>
      <w:r w:rsidR="00210B0C" w:rsidRPr="002249F3">
        <w:rPr>
          <w:rFonts w:ascii="ITC Avant Garde" w:hAnsi="ITC Avant Garde" w:cs="Tahoma"/>
          <w:bCs/>
          <w:lang w:eastAsia="es-MX"/>
        </w:rPr>
        <w:t>L</w:t>
      </w:r>
      <w:r w:rsidR="00283627" w:rsidRPr="002249F3">
        <w:rPr>
          <w:rFonts w:ascii="ITC Avant Garde" w:hAnsi="ITC Avant Garde" w:cs="Tahoma"/>
          <w:bCs/>
          <w:lang w:eastAsia="es-MX"/>
        </w:rPr>
        <w:t>a Autoridad Investigadora</w:t>
      </w:r>
      <w:r w:rsidR="006D4FBB" w:rsidRPr="002249F3">
        <w:rPr>
          <w:rFonts w:ascii="ITC Avant Garde" w:hAnsi="ITC Avant Garde" w:cs="Tahoma"/>
          <w:bCs/>
          <w:lang w:eastAsia="es-MX"/>
        </w:rPr>
        <w:t xml:space="preserve"> </w:t>
      </w:r>
      <w:r w:rsidR="00FD1A22" w:rsidRPr="002249F3">
        <w:rPr>
          <w:rFonts w:ascii="ITC Avant Garde" w:hAnsi="ITC Avant Garde" w:cs="Tahoma"/>
          <w:bCs/>
          <w:lang w:eastAsia="es-MX"/>
        </w:rPr>
        <w:t>y la Unidad de Competencia Económica</w:t>
      </w:r>
      <w:r w:rsidR="00283627" w:rsidRPr="002249F3">
        <w:rPr>
          <w:rFonts w:ascii="ITC Avant Garde" w:hAnsi="ITC Avant Garde" w:cs="Tahoma"/>
          <w:bCs/>
          <w:lang w:eastAsia="es-MX"/>
        </w:rPr>
        <w:t>, en su calidad de área</w:t>
      </w:r>
      <w:r w:rsidR="00FD1A22" w:rsidRPr="002249F3">
        <w:rPr>
          <w:rFonts w:ascii="ITC Avant Garde" w:hAnsi="ITC Avant Garde" w:cs="Tahoma"/>
          <w:bCs/>
          <w:lang w:eastAsia="es-MX"/>
        </w:rPr>
        <w:t xml:space="preserve">s </w:t>
      </w:r>
      <w:r w:rsidR="00283627" w:rsidRPr="002249F3">
        <w:rPr>
          <w:rFonts w:ascii="ITC Avant Garde" w:hAnsi="ITC Avant Garde" w:cs="Tahoma"/>
          <w:bCs/>
          <w:lang w:eastAsia="es-MX"/>
        </w:rPr>
        <w:t>proponente</w:t>
      </w:r>
      <w:r w:rsidR="00FD1A22" w:rsidRPr="002249F3">
        <w:rPr>
          <w:rFonts w:ascii="ITC Avant Garde" w:hAnsi="ITC Avant Garde" w:cs="Tahoma"/>
          <w:bCs/>
          <w:lang w:eastAsia="es-MX"/>
        </w:rPr>
        <w:t>s</w:t>
      </w:r>
      <w:r w:rsidR="00D548E2">
        <w:rPr>
          <w:rFonts w:ascii="ITC Avant Garde" w:hAnsi="ITC Avant Garde" w:cs="Tahoma"/>
          <w:bCs/>
          <w:lang w:eastAsia="es-MX"/>
        </w:rPr>
        <w:t xml:space="preserve"> respecto de los procedimientos a su cargo</w:t>
      </w:r>
      <w:r w:rsidR="00283627" w:rsidRPr="002249F3">
        <w:rPr>
          <w:rFonts w:ascii="ITC Avant Garde" w:hAnsi="ITC Avant Garde" w:cs="Tahoma"/>
          <w:bCs/>
          <w:lang w:eastAsia="es-MX"/>
        </w:rPr>
        <w:t>, ejecut</w:t>
      </w:r>
      <w:r w:rsidR="00210B0C" w:rsidRPr="002249F3">
        <w:rPr>
          <w:rFonts w:ascii="ITC Avant Garde" w:hAnsi="ITC Avant Garde" w:cs="Tahoma"/>
          <w:bCs/>
          <w:lang w:eastAsia="es-MX"/>
        </w:rPr>
        <w:t>ará</w:t>
      </w:r>
      <w:r w:rsidR="00FD1A22" w:rsidRPr="002249F3">
        <w:rPr>
          <w:rFonts w:ascii="ITC Avant Garde" w:hAnsi="ITC Avant Garde" w:cs="Tahoma"/>
          <w:bCs/>
          <w:lang w:eastAsia="es-MX"/>
        </w:rPr>
        <w:t>n</w:t>
      </w:r>
      <w:r w:rsidR="00D1467D" w:rsidRPr="002249F3">
        <w:rPr>
          <w:rFonts w:ascii="ITC Avant Garde" w:hAnsi="ITC Avant Garde" w:cs="Tahoma"/>
          <w:bCs/>
          <w:lang w:eastAsia="es-MX"/>
        </w:rPr>
        <w:t xml:space="preserve"> y proces</w:t>
      </w:r>
      <w:r w:rsidR="00210B0C" w:rsidRPr="002249F3">
        <w:rPr>
          <w:rFonts w:ascii="ITC Avant Garde" w:hAnsi="ITC Avant Garde" w:cs="Tahoma"/>
          <w:bCs/>
          <w:lang w:eastAsia="es-MX"/>
        </w:rPr>
        <w:t>ará</w:t>
      </w:r>
      <w:r w:rsidR="00FD1A22" w:rsidRPr="002249F3">
        <w:rPr>
          <w:rFonts w:ascii="ITC Avant Garde" w:hAnsi="ITC Avant Garde" w:cs="Tahoma"/>
          <w:bCs/>
          <w:lang w:eastAsia="es-MX"/>
        </w:rPr>
        <w:t>n</w:t>
      </w:r>
      <w:r w:rsidR="00283627" w:rsidRPr="002249F3">
        <w:rPr>
          <w:rFonts w:ascii="ITC Avant Garde" w:hAnsi="ITC Avant Garde" w:cs="Tahoma"/>
          <w:bCs/>
          <w:lang w:eastAsia="es-MX"/>
        </w:rPr>
        <w:t xml:space="preserve"> la consulta pública materia del presente Acuerdo</w:t>
      </w:r>
      <w:r w:rsidR="003E6139">
        <w:rPr>
          <w:rFonts w:ascii="ITC Avant Garde" w:hAnsi="ITC Avant Garde" w:cs="Tahoma"/>
          <w:bCs/>
          <w:lang w:eastAsia="es-MX"/>
        </w:rPr>
        <w:t>, en el ámbito de sus respectivas competencias</w:t>
      </w:r>
      <w:r w:rsidR="00283627" w:rsidRPr="002249F3">
        <w:rPr>
          <w:rFonts w:ascii="ITC Avant Garde" w:hAnsi="ITC Avant Garde" w:cs="Tahoma"/>
          <w:bCs/>
          <w:lang w:eastAsia="es-MX"/>
        </w:rPr>
        <w:t>.</w:t>
      </w:r>
    </w:p>
    <w:tbl>
      <w:tblPr>
        <w:tblStyle w:val="Tablaconcuadrcula"/>
        <w:tblW w:w="9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4A417B" w:rsidRPr="002249F3" w:rsidTr="00D668F1">
        <w:trPr>
          <w:trHeight w:val="1746"/>
          <w:jc w:val="center"/>
        </w:trPr>
        <w:tc>
          <w:tcPr>
            <w:tcW w:w="9463" w:type="dxa"/>
            <w:gridSpan w:val="2"/>
          </w:tcPr>
          <w:p w:rsidR="00540EC7" w:rsidRPr="002249F3" w:rsidRDefault="00540EC7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540EC7" w:rsidRPr="002249F3" w:rsidRDefault="00540EC7" w:rsidP="00D668F1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CE4688" w:rsidRDefault="00CE4688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D668F1" w:rsidRDefault="00D668F1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D668F1" w:rsidRDefault="00D668F1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906218" w:rsidRDefault="00906218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D668F1" w:rsidRDefault="00D668F1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D668F1" w:rsidRDefault="00D668F1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D668F1" w:rsidRDefault="00D668F1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D668F1" w:rsidRPr="002249F3" w:rsidRDefault="00D668F1" w:rsidP="00D668F1">
            <w:pPr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686184" w:rsidRPr="002249F3" w:rsidRDefault="00686184" w:rsidP="00D668F1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686184" w:rsidRPr="002249F3" w:rsidRDefault="00686184" w:rsidP="00D668F1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:rsidR="004A417B" w:rsidRPr="002249F3" w:rsidRDefault="004A417B" w:rsidP="00D668F1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r w:rsidRPr="002249F3">
              <w:rPr>
                <w:rFonts w:ascii="ITC Avant Garde" w:hAnsi="ITC Avant Garde" w:cs="Arial"/>
                <w:b/>
                <w:bCs/>
                <w:sz w:val="22"/>
                <w:szCs w:val="22"/>
              </w:rPr>
              <w:t>Gabriel Oswaldo Contreras Saldívar</w:t>
            </w:r>
          </w:p>
          <w:p w:rsidR="004A417B" w:rsidRPr="002249F3" w:rsidRDefault="004A417B" w:rsidP="00D668F1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r w:rsidRPr="002249F3">
              <w:rPr>
                <w:rFonts w:ascii="ITC Avant Garde" w:hAnsi="ITC Avant Garde" w:cs="Arial"/>
                <w:b/>
                <w:bCs/>
                <w:sz w:val="22"/>
                <w:szCs w:val="22"/>
              </w:rPr>
              <w:t>Comisionado Presidente</w:t>
            </w:r>
          </w:p>
        </w:tc>
      </w:tr>
      <w:tr w:rsidR="004A417B" w:rsidRPr="002249F3" w:rsidTr="00D668F1">
        <w:trPr>
          <w:trHeight w:val="1667"/>
          <w:jc w:val="center"/>
        </w:trPr>
        <w:tc>
          <w:tcPr>
            <w:tcW w:w="4731" w:type="dxa"/>
          </w:tcPr>
          <w:p w:rsidR="004A417B" w:rsidRPr="0004164A" w:rsidRDefault="004A417B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0A6BBB" w:rsidRPr="009E0977" w:rsidRDefault="000A6BBB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2249F3" w:rsidRDefault="008560ED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2249F3" w:rsidRDefault="008560ED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E4B29" w:rsidRPr="002249F3" w:rsidRDefault="004E4B29" w:rsidP="00D668F1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249F3">
              <w:rPr>
                <w:rFonts w:ascii="ITC Avant Garde" w:hAnsi="ITC Avant Garde"/>
                <w:b/>
                <w:bCs/>
                <w:sz w:val="22"/>
                <w:szCs w:val="22"/>
              </w:rPr>
              <w:t>Mario Germán Fromow Rangel</w:t>
            </w:r>
          </w:p>
          <w:p w:rsidR="004A417B" w:rsidRPr="002249F3" w:rsidRDefault="004E4B29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  <w:r w:rsidRPr="002249F3" w:rsidDel="004E4B29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</w:tcPr>
          <w:p w:rsidR="004A417B" w:rsidRPr="002249F3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A417B" w:rsidRPr="002249F3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2249F3" w:rsidRDefault="008560ED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A417B" w:rsidRPr="002249F3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E4B29" w:rsidRPr="002249F3" w:rsidRDefault="004E4B29" w:rsidP="00D668F1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249F3">
              <w:rPr>
                <w:rFonts w:ascii="ITC Avant Garde" w:hAnsi="ITC Avant Garde"/>
                <w:b/>
                <w:bCs/>
                <w:sz w:val="22"/>
                <w:szCs w:val="22"/>
              </w:rPr>
              <w:t>Adolfo Cuevas Teja</w:t>
            </w:r>
          </w:p>
          <w:p w:rsidR="004A417B" w:rsidRPr="002249F3" w:rsidRDefault="004E4B29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  <w:r w:rsidRPr="002249F3" w:rsidDel="004E4B29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417B" w:rsidRPr="002249F3" w:rsidTr="00D668F1">
        <w:trPr>
          <w:trHeight w:val="1679"/>
          <w:jc w:val="center"/>
        </w:trPr>
        <w:tc>
          <w:tcPr>
            <w:tcW w:w="4731" w:type="dxa"/>
          </w:tcPr>
          <w:p w:rsidR="004A417B" w:rsidRPr="0004164A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A417B" w:rsidRPr="009E0977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2249F3" w:rsidRDefault="008560ED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A417B" w:rsidRPr="002249F3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E4B29" w:rsidRPr="002249F3" w:rsidRDefault="004E4B29" w:rsidP="00D668F1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249F3">
              <w:rPr>
                <w:rFonts w:ascii="ITC Avant Garde" w:hAnsi="ITC Avant Garde"/>
                <w:b/>
                <w:bCs/>
                <w:sz w:val="22"/>
                <w:szCs w:val="22"/>
              </w:rPr>
              <w:t>Javier Juárez Mojica</w:t>
            </w:r>
          </w:p>
          <w:p w:rsidR="004A417B" w:rsidRPr="002249F3" w:rsidRDefault="004E4B29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  <w:r w:rsidRPr="002249F3" w:rsidDel="004E4B29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</w:tcPr>
          <w:p w:rsidR="004A417B" w:rsidRPr="002249F3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2249F3" w:rsidRDefault="008560ED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2249F3" w:rsidRDefault="008560ED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A417B" w:rsidRPr="002249F3" w:rsidRDefault="004A417B" w:rsidP="00D668F1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E4B29" w:rsidRPr="002249F3" w:rsidRDefault="004E4B29" w:rsidP="00D668F1">
            <w:pPr>
              <w:jc w:val="center"/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Arturo Robles Rovalo</w:t>
            </w:r>
          </w:p>
          <w:p w:rsidR="004A417B" w:rsidRPr="002249F3" w:rsidRDefault="004E4B29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Comisionado</w:t>
            </w:r>
            <w:r w:rsidRPr="002249F3" w:rsidDel="004E4B29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417B" w:rsidRPr="002249F3" w:rsidTr="00D668F1">
        <w:trPr>
          <w:trHeight w:val="1679"/>
          <w:jc w:val="center"/>
        </w:trPr>
        <w:tc>
          <w:tcPr>
            <w:tcW w:w="4731" w:type="dxa"/>
          </w:tcPr>
          <w:p w:rsidR="008560ED" w:rsidRPr="0004164A" w:rsidRDefault="008560ED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9E0977" w:rsidRDefault="008560ED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A417B" w:rsidRPr="002249F3" w:rsidRDefault="004A417B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540EC7" w:rsidRPr="002249F3" w:rsidRDefault="00540EC7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E4B29" w:rsidRPr="002249F3" w:rsidRDefault="004E4B29" w:rsidP="00D668F1">
            <w:pPr>
              <w:jc w:val="center"/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Sóstenes Díaz González</w:t>
            </w:r>
          </w:p>
          <w:p w:rsidR="004A417B" w:rsidRPr="002249F3" w:rsidRDefault="004E4B29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Comisionado</w:t>
            </w:r>
            <w:r w:rsidRPr="002249F3" w:rsidDel="004E4B29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731" w:type="dxa"/>
            <w:vAlign w:val="center"/>
          </w:tcPr>
          <w:p w:rsidR="004A417B" w:rsidRPr="002249F3" w:rsidRDefault="004A417B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540EC7" w:rsidRPr="002249F3" w:rsidRDefault="00540EC7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8560ED" w:rsidRPr="002249F3" w:rsidRDefault="008560ED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A417B" w:rsidRPr="002249F3" w:rsidRDefault="004A417B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:rsidR="004E4B29" w:rsidRPr="002249F3" w:rsidRDefault="004E4B29" w:rsidP="00D668F1">
            <w:pPr>
              <w:jc w:val="center"/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Ramiro Camacho Castillo</w:t>
            </w:r>
          </w:p>
          <w:p w:rsidR="004A417B" w:rsidRPr="002249F3" w:rsidRDefault="004E4B29" w:rsidP="00D668F1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249F3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Comisionado</w:t>
            </w:r>
          </w:p>
        </w:tc>
      </w:tr>
    </w:tbl>
    <w:p w:rsidR="00540EC7" w:rsidRDefault="00540EC7" w:rsidP="008560ED">
      <w:pPr>
        <w:adjustRightInd w:val="0"/>
        <w:spacing w:after="120" w:line="240" w:lineRule="auto"/>
        <w:ind w:right="20"/>
        <w:rPr>
          <w:rFonts w:ascii="ITC Avant Garde" w:eastAsia="Times New Roman" w:hAnsi="ITC Avant Garde" w:cs="Arial"/>
          <w:b/>
          <w:bCs/>
          <w:lang w:val="es-ES" w:eastAsia="es-ES"/>
        </w:rPr>
      </w:pPr>
    </w:p>
    <w:p w:rsidR="00906218" w:rsidRDefault="00906218" w:rsidP="008560ED">
      <w:pPr>
        <w:adjustRightInd w:val="0"/>
        <w:spacing w:after="120" w:line="240" w:lineRule="auto"/>
        <w:ind w:right="20"/>
        <w:rPr>
          <w:rFonts w:ascii="ITC Avant Garde" w:eastAsia="Times New Roman" w:hAnsi="ITC Avant Garde" w:cs="Arial"/>
          <w:b/>
          <w:bCs/>
          <w:lang w:val="es-ES" w:eastAsia="es-ES"/>
        </w:rPr>
      </w:pPr>
    </w:p>
    <w:p w:rsidR="00906218" w:rsidRDefault="00906218" w:rsidP="00906218">
      <w:pPr>
        <w:spacing w:after="0" w:line="240" w:lineRule="auto"/>
        <w:jc w:val="both"/>
        <w:rPr>
          <w:rFonts w:ascii="ITC Avant Garde" w:hAnsi="ITC Avant Garde"/>
          <w:sz w:val="14"/>
          <w:lang w:val="es-ES"/>
        </w:rPr>
      </w:pPr>
    </w:p>
    <w:p w:rsidR="00906218" w:rsidRDefault="00906218" w:rsidP="00906218">
      <w:pPr>
        <w:spacing w:after="0" w:line="240" w:lineRule="auto"/>
        <w:jc w:val="both"/>
        <w:rPr>
          <w:rFonts w:ascii="ITC Avant Garde" w:hAnsi="ITC Avant Garde"/>
          <w:sz w:val="14"/>
          <w:lang w:val="es-ES"/>
        </w:rPr>
      </w:pPr>
    </w:p>
    <w:p w:rsidR="00906218" w:rsidRPr="00906218" w:rsidRDefault="00906218" w:rsidP="00906218">
      <w:pPr>
        <w:spacing w:after="0" w:line="240" w:lineRule="auto"/>
        <w:jc w:val="both"/>
        <w:rPr>
          <w:sz w:val="14"/>
        </w:rPr>
      </w:pPr>
      <w:bookmarkStart w:id="0" w:name="_GoBack"/>
      <w:bookmarkEnd w:id="0"/>
      <w:r w:rsidRPr="00906218">
        <w:rPr>
          <w:rFonts w:ascii="ITC Avant Garde" w:hAnsi="ITC Avant Garde"/>
          <w:sz w:val="14"/>
          <w:lang w:val="es-ES"/>
        </w:rPr>
        <w:t xml:space="preserve">El presente Acuerdo fue aprobado por el </w:t>
      </w:r>
      <w:r w:rsidRPr="00906218">
        <w:rPr>
          <w:rFonts w:ascii="ITC Avant Garde" w:hAnsi="ITC Avant Garde"/>
          <w:sz w:val="14"/>
        </w:rPr>
        <w:t xml:space="preserve">Pleno del Instituto Federal de Telecomunicaciones en su XII Sesión Ordinaria celebrada el 8 de mayo de 2019, </w:t>
      </w:r>
      <w:r w:rsidRPr="00906218">
        <w:rPr>
          <w:rFonts w:ascii="ITC Avant Garde" w:hAnsi="ITC Avant Garde"/>
          <w:bCs/>
          <w:sz w:val="14"/>
        </w:rPr>
        <w:t xml:space="preserve">por unanimidad </w:t>
      </w:r>
      <w:r w:rsidRPr="00906218">
        <w:rPr>
          <w:rFonts w:ascii="ITC Avant Garde" w:hAnsi="ITC Avant Garde"/>
          <w:sz w:val="14"/>
        </w:rPr>
        <w:t xml:space="preserve">de votos de los Comisionados Gabriel Oswaldo Contreras Saldívar, Mario Germán Fromow Rangel, Adolfo Cuevas Teja, Javier Juárez Mojica, Arturo Robles Rovalo, Sóstenes Díaz González y Ramiro Camacho Castillo; con fundamento en los párrafos vigésimo, fracciones I y III; y vigésimo primero, del artículo 28 de la Constitución Política de los Estados Unidos Mexicanos; artículos 7, 16 y 45 de la Ley Federal de Telecomunicaciones y Radiodifusión; 5 y 18 de la Ley Federal de Competencia Económica; así como en los artículos 1, 7, 8 y 12 del Estatuto Orgánico del Instituto Federal de Telecomunicaciones, mediante Acuerdo </w:t>
      </w:r>
      <w:r w:rsidRPr="00906218">
        <w:rPr>
          <w:rFonts w:ascii="ITC Avant Garde" w:hAnsi="ITC Avant Garde"/>
          <w:bCs/>
          <w:sz w:val="14"/>
        </w:rPr>
        <w:t>P/IFT/080519/247.</w:t>
      </w:r>
    </w:p>
    <w:p w:rsidR="00906218" w:rsidRPr="009E0977" w:rsidRDefault="00906218" w:rsidP="008560ED">
      <w:pPr>
        <w:adjustRightInd w:val="0"/>
        <w:spacing w:after="120" w:line="240" w:lineRule="auto"/>
        <w:ind w:right="20"/>
        <w:rPr>
          <w:rFonts w:ascii="ITC Avant Garde" w:eastAsia="Times New Roman" w:hAnsi="ITC Avant Garde" w:cs="Arial"/>
          <w:b/>
          <w:bCs/>
          <w:lang w:val="es-ES" w:eastAsia="es-ES"/>
        </w:rPr>
      </w:pPr>
    </w:p>
    <w:sectPr w:rsidR="00906218" w:rsidRPr="009E0977" w:rsidSect="00D668F1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54" w:rsidRDefault="003E3754" w:rsidP="001C50B2">
      <w:pPr>
        <w:spacing w:after="0" w:line="240" w:lineRule="auto"/>
      </w:pPr>
      <w:r>
        <w:separator/>
      </w:r>
    </w:p>
  </w:endnote>
  <w:endnote w:type="continuationSeparator" w:id="0">
    <w:p w:rsidR="003E3754" w:rsidRDefault="003E3754" w:rsidP="001C50B2">
      <w:pPr>
        <w:spacing w:after="0" w:line="240" w:lineRule="auto"/>
      </w:pPr>
      <w:r>
        <w:continuationSeparator/>
      </w:r>
    </w:p>
  </w:endnote>
  <w:endnote w:type="continuationNotice" w:id="1">
    <w:p w:rsidR="003E3754" w:rsidRDefault="003E3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7061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8"/>
      </w:rPr>
    </w:sdtEndPr>
    <w:sdtContent>
      <w:p w:rsidR="00D668F1" w:rsidRPr="00D668F1" w:rsidRDefault="00D668F1">
        <w:pPr>
          <w:pStyle w:val="Piedepgina"/>
          <w:jc w:val="right"/>
          <w:rPr>
            <w:rFonts w:ascii="ITC Avant Garde" w:hAnsi="ITC Avant Garde"/>
            <w:sz w:val="18"/>
          </w:rPr>
        </w:pPr>
        <w:r w:rsidRPr="00D668F1">
          <w:rPr>
            <w:rFonts w:ascii="ITC Avant Garde" w:hAnsi="ITC Avant Garde"/>
            <w:sz w:val="18"/>
          </w:rPr>
          <w:fldChar w:fldCharType="begin"/>
        </w:r>
        <w:r w:rsidRPr="00D668F1">
          <w:rPr>
            <w:rFonts w:ascii="ITC Avant Garde" w:hAnsi="ITC Avant Garde"/>
            <w:sz w:val="18"/>
          </w:rPr>
          <w:instrText>PAGE   \* MERGEFORMAT</w:instrText>
        </w:r>
        <w:r w:rsidRPr="00D668F1">
          <w:rPr>
            <w:rFonts w:ascii="ITC Avant Garde" w:hAnsi="ITC Avant Garde"/>
            <w:sz w:val="18"/>
          </w:rPr>
          <w:fldChar w:fldCharType="separate"/>
        </w:r>
        <w:r w:rsidR="00906218" w:rsidRPr="00906218">
          <w:rPr>
            <w:rFonts w:ascii="ITC Avant Garde" w:hAnsi="ITC Avant Garde"/>
            <w:noProof/>
            <w:sz w:val="18"/>
            <w:lang w:val="es-ES"/>
          </w:rPr>
          <w:t>2</w:t>
        </w:r>
        <w:r w:rsidRPr="00D668F1">
          <w:rPr>
            <w:rFonts w:ascii="ITC Avant Garde" w:hAnsi="ITC Avant Garde"/>
            <w:sz w:val="18"/>
          </w:rPr>
          <w:fldChar w:fldCharType="end"/>
        </w:r>
      </w:p>
    </w:sdtContent>
  </w:sdt>
  <w:p w:rsidR="001C50B2" w:rsidRPr="00540EC7" w:rsidRDefault="001C50B2" w:rsidP="00D668F1">
    <w:pPr>
      <w:pStyle w:val="Piedepgin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54" w:rsidRDefault="003E3754" w:rsidP="001C50B2">
      <w:pPr>
        <w:spacing w:after="0" w:line="240" w:lineRule="auto"/>
      </w:pPr>
      <w:r>
        <w:separator/>
      </w:r>
    </w:p>
  </w:footnote>
  <w:footnote w:type="continuationSeparator" w:id="0">
    <w:p w:rsidR="003E3754" w:rsidRDefault="003E3754" w:rsidP="001C50B2">
      <w:pPr>
        <w:spacing w:after="0" w:line="240" w:lineRule="auto"/>
      </w:pPr>
      <w:r>
        <w:continuationSeparator/>
      </w:r>
    </w:p>
  </w:footnote>
  <w:footnote w:type="continuationNotice" w:id="1">
    <w:p w:rsidR="003E3754" w:rsidRDefault="003E37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630"/>
    <w:multiLevelType w:val="hybridMultilevel"/>
    <w:tmpl w:val="1A00E1A0"/>
    <w:lvl w:ilvl="0" w:tplc="5BC88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1A37"/>
    <w:multiLevelType w:val="hybridMultilevel"/>
    <w:tmpl w:val="C66A5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36396"/>
    <w:multiLevelType w:val="hybridMultilevel"/>
    <w:tmpl w:val="5AC82B56"/>
    <w:lvl w:ilvl="0" w:tplc="5BC88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BD7"/>
    <w:multiLevelType w:val="hybridMultilevel"/>
    <w:tmpl w:val="1494C66C"/>
    <w:lvl w:ilvl="0" w:tplc="7B76EF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F4986"/>
    <w:multiLevelType w:val="hybridMultilevel"/>
    <w:tmpl w:val="62B88296"/>
    <w:lvl w:ilvl="0" w:tplc="30E2C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90E73"/>
    <w:multiLevelType w:val="hybridMultilevel"/>
    <w:tmpl w:val="0BE2409C"/>
    <w:lvl w:ilvl="0" w:tplc="8E5C0740">
      <w:start w:val="1"/>
      <w:numFmt w:val="lowerRoman"/>
      <w:lvlText w:val="%1)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0"/>
    <w:rsid w:val="00001E63"/>
    <w:rsid w:val="00005E06"/>
    <w:rsid w:val="0001319F"/>
    <w:rsid w:val="00017EDC"/>
    <w:rsid w:val="00032544"/>
    <w:rsid w:val="00032E14"/>
    <w:rsid w:val="00033806"/>
    <w:rsid w:val="0003513A"/>
    <w:rsid w:val="000355CF"/>
    <w:rsid w:val="0004164A"/>
    <w:rsid w:val="0004418F"/>
    <w:rsid w:val="00050110"/>
    <w:rsid w:val="0005415C"/>
    <w:rsid w:val="00056352"/>
    <w:rsid w:val="0005721E"/>
    <w:rsid w:val="0006132A"/>
    <w:rsid w:val="000625E1"/>
    <w:rsid w:val="000638B3"/>
    <w:rsid w:val="00065661"/>
    <w:rsid w:val="0007012A"/>
    <w:rsid w:val="00074E47"/>
    <w:rsid w:val="00075691"/>
    <w:rsid w:val="0008012B"/>
    <w:rsid w:val="00082140"/>
    <w:rsid w:val="000878F0"/>
    <w:rsid w:val="00087E9F"/>
    <w:rsid w:val="000917ED"/>
    <w:rsid w:val="0009183D"/>
    <w:rsid w:val="000965BD"/>
    <w:rsid w:val="000A2488"/>
    <w:rsid w:val="000A45B2"/>
    <w:rsid w:val="000A6BBB"/>
    <w:rsid w:val="000C481C"/>
    <w:rsid w:val="000C5A3A"/>
    <w:rsid w:val="000D00FA"/>
    <w:rsid w:val="000D2C0F"/>
    <w:rsid w:val="000D5177"/>
    <w:rsid w:val="000D6C32"/>
    <w:rsid w:val="000D7E6E"/>
    <w:rsid w:val="000E5529"/>
    <w:rsid w:val="000F14FB"/>
    <w:rsid w:val="00101078"/>
    <w:rsid w:val="00101B30"/>
    <w:rsid w:val="001061F6"/>
    <w:rsid w:val="00110676"/>
    <w:rsid w:val="001112C9"/>
    <w:rsid w:val="00111F7A"/>
    <w:rsid w:val="001235A1"/>
    <w:rsid w:val="00123BFC"/>
    <w:rsid w:val="00123CF6"/>
    <w:rsid w:val="00141126"/>
    <w:rsid w:val="00146CB5"/>
    <w:rsid w:val="0015186E"/>
    <w:rsid w:val="00152B64"/>
    <w:rsid w:val="0015391F"/>
    <w:rsid w:val="001559E3"/>
    <w:rsid w:val="0015678B"/>
    <w:rsid w:val="00162E4E"/>
    <w:rsid w:val="0016314E"/>
    <w:rsid w:val="00171B34"/>
    <w:rsid w:val="00175198"/>
    <w:rsid w:val="00175FEB"/>
    <w:rsid w:val="001838BA"/>
    <w:rsid w:val="001859DC"/>
    <w:rsid w:val="001864B5"/>
    <w:rsid w:val="00193044"/>
    <w:rsid w:val="001A0152"/>
    <w:rsid w:val="001A2462"/>
    <w:rsid w:val="001A6E7D"/>
    <w:rsid w:val="001B7729"/>
    <w:rsid w:val="001C2450"/>
    <w:rsid w:val="001C354A"/>
    <w:rsid w:val="001C46E9"/>
    <w:rsid w:val="001C50B2"/>
    <w:rsid w:val="001C5115"/>
    <w:rsid w:val="001C649C"/>
    <w:rsid w:val="001C7230"/>
    <w:rsid w:val="001D03EB"/>
    <w:rsid w:val="001D07D2"/>
    <w:rsid w:val="001E481B"/>
    <w:rsid w:val="001E5050"/>
    <w:rsid w:val="001E641E"/>
    <w:rsid w:val="001E7532"/>
    <w:rsid w:val="001E7912"/>
    <w:rsid w:val="001F588C"/>
    <w:rsid w:val="001F6D34"/>
    <w:rsid w:val="00205DFA"/>
    <w:rsid w:val="00210B0C"/>
    <w:rsid w:val="002132A7"/>
    <w:rsid w:val="002205AE"/>
    <w:rsid w:val="00224684"/>
    <w:rsid w:val="002249F3"/>
    <w:rsid w:val="0022632E"/>
    <w:rsid w:val="00227804"/>
    <w:rsid w:val="00231F8A"/>
    <w:rsid w:val="002361DB"/>
    <w:rsid w:val="00236EB6"/>
    <w:rsid w:val="00237345"/>
    <w:rsid w:val="002431A1"/>
    <w:rsid w:val="00244C6A"/>
    <w:rsid w:val="00251BB2"/>
    <w:rsid w:val="00252C7E"/>
    <w:rsid w:val="00253102"/>
    <w:rsid w:val="00255C24"/>
    <w:rsid w:val="002630D2"/>
    <w:rsid w:val="00264169"/>
    <w:rsid w:val="00267A5F"/>
    <w:rsid w:val="00273026"/>
    <w:rsid w:val="00276A2F"/>
    <w:rsid w:val="002774CE"/>
    <w:rsid w:val="0028282F"/>
    <w:rsid w:val="00283627"/>
    <w:rsid w:val="00286D32"/>
    <w:rsid w:val="002A1416"/>
    <w:rsid w:val="002C254E"/>
    <w:rsid w:val="002C57CD"/>
    <w:rsid w:val="002C744A"/>
    <w:rsid w:val="002D71E0"/>
    <w:rsid w:val="002E3197"/>
    <w:rsid w:val="002E602C"/>
    <w:rsid w:val="002E7491"/>
    <w:rsid w:val="00300823"/>
    <w:rsid w:val="0030346C"/>
    <w:rsid w:val="00311B8F"/>
    <w:rsid w:val="0031489F"/>
    <w:rsid w:val="003166E7"/>
    <w:rsid w:val="0032308A"/>
    <w:rsid w:val="00325D2C"/>
    <w:rsid w:val="003268AC"/>
    <w:rsid w:val="003374DB"/>
    <w:rsid w:val="0034389F"/>
    <w:rsid w:val="00343FB5"/>
    <w:rsid w:val="003440DD"/>
    <w:rsid w:val="00345EE8"/>
    <w:rsid w:val="00350191"/>
    <w:rsid w:val="003519E5"/>
    <w:rsid w:val="003552B3"/>
    <w:rsid w:val="00357D8A"/>
    <w:rsid w:val="00362D19"/>
    <w:rsid w:val="00365277"/>
    <w:rsid w:val="00374984"/>
    <w:rsid w:val="00387567"/>
    <w:rsid w:val="00390A2E"/>
    <w:rsid w:val="003941B6"/>
    <w:rsid w:val="00396941"/>
    <w:rsid w:val="003A2B49"/>
    <w:rsid w:val="003A47A4"/>
    <w:rsid w:val="003A5842"/>
    <w:rsid w:val="003B2017"/>
    <w:rsid w:val="003B5CC9"/>
    <w:rsid w:val="003C14DF"/>
    <w:rsid w:val="003C22F5"/>
    <w:rsid w:val="003C293B"/>
    <w:rsid w:val="003C4506"/>
    <w:rsid w:val="003C69F6"/>
    <w:rsid w:val="003C7E6F"/>
    <w:rsid w:val="003D1A58"/>
    <w:rsid w:val="003D1DC0"/>
    <w:rsid w:val="003E3754"/>
    <w:rsid w:val="003E6139"/>
    <w:rsid w:val="003F1FE0"/>
    <w:rsid w:val="003F5868"/>
    <w:rsid w:val="00400CD6"/>
    <w:rsid w:val="00402BE2"/>
    <w:rsid w:val="00404ADB"/>
    <w:rsid w:val="004062A6"/>
    <w:rsid w:val="00406877"/>
    <w:rsid w:val="00410398"/>
    <w:rsid w:val="004165DF"/>
    <w:rsid w:val="00431E6A"/>
    <w:rsid w:val="00431EFD"/>
    <w:rsid w:val="004333F7"/>
    <w:rsid w:val="00441C6C"/>
    <w:rsid w:val="00446D32"/>
    <w:rsid w:val="00454212"/>
    <w:rsid w:val="0045473D"/>
    <w:rsid w:val="00457C14"/>
    <w:rsid w:val="00462359"/>
    <w:rsid w:val="0046590A"/>
    <w:rsid w:val="004667DE"/>
    <w:rsid w:val="00474313"/>
    <w:rsid w:val="00475DD4"/>
    <w:rsid w:val="00480677"/>
    <w:rsid w:val="00481676"/>
    <w:rsid w:val="00486F75"/>
    <w:rsid w:val="004A417B"/>
    <w:rsid w:val="004A4BFD"/>
    <w:rsid w:val="004B0A08"/>
    <w:rsid w:val="004B1830"/>
    <w:rsid w:val="004B2AF4"/>
    <w:rsid w:val="004B2EED"/>
    <w:rsid w:val="004C1065"/>
    <w:rsid w:val="004C74C2"/>
    <w:rsid w:val="004D1C25"/>
    <w:rsid w:val="004D2189"/>
    <w:rsid w:val="004E4B29"/>
    <w:rsid w:val="004E60BE"/>
    <w:rsid w:val="004E6B87"/>
    <w:rsid w:val="004F3040"/>
    <w:rsid w:val="004F4F31"/>
    <w:rsid w:val="004F5855"/>
    <w:rsid w:val="004F6D29"/>
    <w:rsid w:val="005001DC"/>
    <w:rsid w:val="00500CED"/>
    <w:rsid w:val="00501CBC"/>
    <w:rsid w:val="00506576"/>
    <w:rsid w:val="005137F3"/>
    <w:rsid w:val="00513DBF"/>
    <w:rsid w:val="00514B38"/>
    <w:rsid w:val="005231B9"/>
    <w:rsid w:val="005239CE"/>
    <w:rsid w:val="00524EF9"/>
    <w:rsid w:val="00540EC7"/>
    <w:rsid w:val="00545A41"/>
    <w:rsid w:val="00545ADD"/>
    <w:rsid w:val="00546E1C"/>
    <w:rsid w:val="005540A4"/>
    <w:rsid w:val="005668CE"/>
    <w:rsid w:val="00571BDE"/>
    <w:rsid w:val="005724C8"/>
    <w:rsid w:val="00577656"/>
    <w:rsid w:val="0058552E"/>
    <w:rsid w:val="00586C66"/>
    <w:rsid w:val="005946CE"/>
    <w:rsid w:val="00596A18"/>
    <w:rsid w:val="005A0F8B"/>
    <w:rsid w:val="005A1584"/>
    <w:rsid w:val="005A467B"/>
    <w:rsid w:val="005B7AE1"/>
    <w:rsid w:val="005C4063"/>
    <w:rsid w:val="005D128A"/>
    <w:rsid w:val="005D1F20"/>
    <w:rsid w:val="005E1978"/>
    <w:rsid w:val="005F00D3"/>
    <w:rsid w:val="005F2F00"/>
    <w:rsid w:val="005F46B1"/>
    <w:rsid w:val="005F57D4"/>
    <w:rsid w:val="00600814"/>
    <w:rsid w:val="00604D3D"/>
    <w:rsid w:val="00604FA0"/>
    <w:rsid w:val="00611AD8"/>
    <w:rsid w:val="00613469"/>
    <w:rsid w:val="006139C3"/>
    <w:rsid w:val="00615D0F"/>
    <w:rsid w:val="0061750A"/>
    <w:rsid w:val="00623656"/>
    <w:rsid w:val="00630BD3"/>
    <w:rsid w:val="00644837"/>
    <w:rsid w:val="00644CA7"/>
    <w:rsid w:val="006461D2"/>
    <w:rsid w:val="00651FD9"/>
    <w:rsid w:val="00656B43"/>
    <w:rsid w:val="00660BC3"/>
    <w:rsid w:val="00662160"/>
    <w:rsid w:val="006624A1"/>
    <w:rsid w:val="006814D7"/>
    <w:rsid w:val="00682B82"/>
    <w:rsid w:val="00684E01"/>
    <w:rsid w:val="00686184"/>
    <w:rsid w:val="00696B82"/>
    <w:rsid w:val="006A1920"/>
    <w:rsid w:val="006A3A9D"/>
    <w:rsid w:val="006B49E1"/>
    <w:rsid w:val="006C0AEF"/>
    <w:rsid w:val="006C2F1D"/>
    <w:rsid w:val="006C4E7D"/>
    <w:rsid w:val="006D33AC"/>
    <w:rsid w:val="006D4FBB"/>
    <w:rsid w:val="006E0CF8"/>
    <w:rsid w:val="006E1A52"/>
    <w:rsid w:val="006E4978"/>
    <w:rsid w:val="006E5FB0"/>
    <w:rsid w:val="006E69CE"/>
    <w:rsid w:val="006F0CFF"/>
    <w:rsid w:val="006F1671"/>
    <w:rsid w:val="0070224C"/>
    <w:rsid w:val="007031D7"/>
    <w:rsid w:val="007044D6"/>
    <w:rsid w:val="00704D8E"/>
    <w:rsid w:val="0070510E"/>
    <w:rsid w:val="00705F9D"/>
    <w:rsid w:val="007060CF"/>
    <w:rsid w:val="00706C90"/>
    <w:rsid w:val="00713343"/>
    <w:rsid w:val="00714F50"/>
    <w:rsid w:val="00721CC0"/>
    <w:rsid w:val="00724618"/>
    <w:rsid w:val="007324E6"/>
    <w:rsid w:val="00732B06"/>
    <w:rsid w:val="00732FE8"/>
    <w:rsid w:val="007349EF"/>
    <w:rsid w:val="007358FB"/>
    <w:rsid w:val="00735B04"/>
    <w:rsid w:val="00735F22"/>
    <w:rsid w:val="0073607F"/>
    <w:rsid w:val="00740332"/>
    <w:rsid w:val="0074223B"/>
    <w:rsid w:val="00743E58"/>
    <w:rsid w:val="00747534"/>
    <w:rsid w:val="00751886"/>
    <w:rsid w:val="007569FD"/>
    <w:rsid w:val="00763DD8"/>
    <w:rsid w:val="0076705F"/>
    <w:rsid w:val="00770650"/>
    <w:rsid w:val="007708D3"/>
    <w:rsid w:val="00780784"/>
    <w:rsid w:val="007813A8"/>
    <w:rsid w:val="00783275"/>
    <w:rsid w:val="0078602A"/>
    <w:rsid w:val="00787949"/>
    <w:rsid w:val="00791517"/>
    <w:rsid w:val="00791828"/>
    <w:rsid w:val="007922D7"/>
    <w:rsid w:val="00792EB9"/>
    <w:rsid w:val="007974C8"/>
    <w:rsid w:val="007A0433"/>
    <w:rsid w:val="007A1207"/>
    <w:rsid w:val="007B2390"/>
    <w:rsid w:val="007B38A0"/>
    <w:rsid w:val="007B61BC"/>
    <w:rsid w:val="007C0746"/>
    <w:rsid w:val="007C214E"/>
    <w:rsid w:val="007C233F"/>
    <w:rsid w:val="007C6290"/>
    <w:rsid w:val="007C66BF"/>
    <w:rsid w:val="007D1992"/>
    <w:rsid w:val="007D3B53"/>
    <w:rsid w:val="007D5E43"/>
    <w:rsid w:val="007E4221"/>
    <w:rsid w:val="007E4DF6"/>
    <w:rsid w:val="007E53DA"/>
    <w:rsid w:val="007F09AC"/>
    <w:rsid w:val="007F423E"/>
    <w:rsid w:val="007F5051"/>
    <w:rsid w:val="008006AA"/>
    <w:rsid w:val="008053B0"/>
    <w:rsid w:val="00813A48"/>
    <w:rsid w:val="00815518"/>
    <w:rsid w:val="008159A9"/>
    <w:rsid w:val="008265D8"/>
    <w:rsid w:val="00827731"/>
    <w:rsid w:val="00835F89"/>
    <w:rsid w:val="008362A8"/>
    <w:rsid w:val="008367B1"/>
    <w:rsid w:val="00840B37"/>
    <w:rsid w:val="00841F83"/>
    <w:rsid w:val="00843565"/>
    <w:rsid w:val="0085128A"/>
    <w:rsid w:val="008528D9"/>
    <w:rsid w:val="00853757"/>
    <w:rsid w:val="008560ED"/>
    <w:rsid w:val="0086004E"/>
    <w:rsid w:val="008618B1"/>
    <w:rsid w:val="008651ED"/>
    <w:rsid w:val="008663B2"/>
    <w:rsid w:val="00867A56"/>
    <w:rsid w:val="008710C5"/>
    <w:rsid w:val="00873E9D"/>
    <w:rsid w:val="0087726F"/>
    <w:rsid w:val="00882D2D"/>
    <w:rsid w:val="00897B53"/>
    <w:rsid w:val="008B4BF1"/>
    <w:rsid w:val="008B6905"/>
    <w:rsid w:val="008C6517"/>
    <w:rsid w:val="008D5CAA"/>
    <w:rsid w:val="008E1351"/>
    <w:rsid w:val="008E395B"/>
    <w:rsid w:val="008E3C88"/>
    <w:rsid w:val="008E3F13"/>
    <w:rsid w:val="008F08A5"/>
    <w:rsid w:val="008F09FE"/>
    <w:rsid w:val="008F10FD"/>
    <w:rsid w:val="008F3F1E"/>
    <w:rsid w:val="008F5364"/>
    <w:rsid w:val="008F66B3"/>
    <w:rsid w:val="008F7A0E"/>
    <w:rsid w:val="009013B3"/>
    <w:rsid w:val="00906218"/>
    <w:rsid w:val="00907C44"/>
    <w:rsid w:val="0091276A"/>
    <w:rsid w:val="00914BC1"/>
    <w:rsid w:val="009210DA"/>
    <w:rsid w:val="009238FB"/>
    <w:rsid w:val="0092617A"/>
    <w:rsid w:val="009270D5"/>
    <w:rsid w:val="0092733A"/>
    <w:rsid w:val="00932A0E"/>
    <w:rsid w:val="0093427B"/>
    <w:rsid w:val="0093668F"/>
    <w:rsid w:val="009379A2"/>
    <w:rsid w:val="00943F50"/>
    <w:rsid w:val="009468AB"/>
    <w:rsid w:val="00953758"/>
    <w:rsid w:val="00954EC5"/>
    <w:rsid w:val="00957036"/>
    <w:rsid w:val="0096118A"/>
    <w:rsid w:val="00963167"/>
    <w:rsid w:val="0096488C"/>
    <w:rsid w:val="009653D7"/>
    <w:rsid w:val="009660C1"/>
    <w:rsid w:val="009700B3"/>
    <w:rsid w:val="0097250C"/>
    <w:rsid w:val="00975511"/>
    <w:rsid w:val="00975E37"/>
    <w:rsid w:val="009767FF"/>
    <w:rsid w:val="009817BD"/>
    <w:rsid w:val="009851E5"/>
    <w:rsid w:val="00991B29"/>
    <w:rsid w:val="009934B4"/>
    <w:rsid w:val="0099412D"/>
    <w:rsid w:val="009A0801"/>
    <w:rsid w:val="009A0DCD"/>
    <w:rsid w:val="009A19DE"/>
    <w:rsid w:val="009A1B60"/>
    <w:rsid w:val="009A563A"/>
    <w:rsid w:val="009C0279"/>
    <w:rsid w:val="009C0C01"/>
    <w:rsid w:val="009C2C80"/>
    <w:rsid w:val="009C3FF9"/>
    <w:rsid w:val="009C776D"/>
    <w:rsid w:val="009D1450"/>
    <w:rsid w:val="009D1D55"/>
    <w:rsid w:val="009D67BA"/>
    <w:rsid w:val="009E0977"/>
    <w:rsid w:val="009E34E9"/>
    <w:rsid w:val="009E536F"/>
    <w:rsid w:val="009E7FAA"/>
    <w:rsid w:val="009F1D9F"/>
    <w:rsid w:val="009F32BF"/>
    <w:rsid w:val="00A00B3C"/>
    <w:rsid w:val="00A00E15"/>
    <w:rsid w:val="00A0251D"/>
    <w:rsid w:val="00A049D5"/>
    <w:rsid w:val="00A051F7"/>
    <w:rsid w:val="00A10F81"/>
    <w:rsid w:val="00A122C8"/>
    <w:rsid w:val="00A1237F"/>
    <w:rsid w:val="00A136D5"/>
    <w:rsid w:val="00A14155"/>
    <w:rsid w:val="00A145A2"/>
    <w:rsid w:val="00A14719"/>
    <w:rsid w:val="00A16A63"/>
    <w:rsid w:val="00A20E8F"/>
    <w:rsid w:val="00A22128"/>
    <w:rsid w:val="00A32FDA"/>
    <w:rsid w:val="00A41349"/>
    <w:rsid w:val="00A415A4"/>
    <w:rsid w:val="00A463A4"/>
    <w:rsid w:val="00A477B2"/>
    <w:rsid w:val="00A5502F"/>
    <w:rsid w:val="00A66F57"/>
    <w:rsid w:val="00A701DA"/>
    <w:rsid w:val="00A706C7"/>
    <w:rsid w:val="00A72E3A"/>
    <w:rsid w:val="00A7559F"/>
    <w:rsid w:val="00A80E20"/>
    <w:rsid w:val="00A80F90"/>
    <w:rsid w:val="00A81AFB"/>
    <w:rsid w:val="00A81BFA"/>
    <w:rsid w:val="00A863C1"/>
    <w:rsid w:val="00A876CA"/>
    <w:rsid w:val="00A9666E"/>
    <w:rsid w:val="00A968EC"/>
    <w:rsid w:val="00AA5B85"/>
    <w:rsid w:val="00AA6D54"/>
    <w:rsid w:val="00AB124C"/>
    <w:rsid w:val="00AB5824"/>
    <w:rsid w:val="00AB731B"/>
    <w:rsid w:val="00AC27D8"/>
    <w:rsid w:val="00AC54B2"/>
    <w:rsid w:val="00AC7263"/>
    <w:rsid w:val="00AD204F"/>
    <w:rsid w:val="00AD47C0"/>
    <w:rsid w:val="00AD7A87"/>
    <w:rsid w:val="00AE61D4"/>
    <w:rsid w:val="00AF4958"/>
    <w:rsid w:val="00B01A0D"/>
    <w:rsid w:val="00B11180"/>
    <w:rsid w:val="00B13C60"/>
    <w:rsid w:val="00B16B4A"/>
    <w:rsid w:val="00B229A2"/>
    <w:rsid w:val="00B26507"/>
    <w:rsid w:val="00B26EAF"/>
    <w:rsid w:val="00B318DD"/>
    <w:rsid w:val="00B31CAD"/>
    <w:rsid w:val="00B37A10"/>
    <w:rsid w:val="00B61003"/>
    <w:rsid w:val="00B7176F"/>
    <w:rsid w:val="00B72838"/>
    <w:rsid w:val="00B76F93"/>
    <w:rsid w:val="00B77D8E"/>
    <w:rsid w:val="00B815D8"/>
    <w:rsid w:val="00B91E09"/>
    <w:rsid w:val="00B93DAE"/>
    <w:rsid w:val="00BA2E32"/>
    <w:rsid w:val="00BA6A75"/>
    <w:rsid w:val="00BA7BBC"/>
    <w:rsid w:val="00BB2A8A"/>
    <w:rsid w:val="00BB568C"/>
    <w:rsid w:val="00BC247B"/>
    <w:rsid w:val="00BC29F8"/>
    <w:rsid w:val="00BC39C3"/>
    <w:rsid w:val="00BC5A6C"/>
    <w:rsid w:val="00BD56B5"/>
    <w:rsid w:val="00BD72C2"/>
    <w:rsid w:val="00BD78CD"/>
    <w:rsid w:val="00BE1945"/>
    <w:rsid w:val="00BF0BCA"/>
    <w:rsid w:val="00BF22F4"/>
    <w:rsid w:val="00BF57BF"/>
    <w:rsid w:val="00C0041D"/>
    <w:rsid w:val="00C02650"/>
    <w:rsid w:val="00C06BBF"/>
    <w:rsid w:val="00C06D24"/>
    <w:rsid w:val="00C1003C"/>
    <w:rsid w:val="00C10718"/>
    <w:rsid w:val="00C130FF"/>
    <w:rsid w:val="00C131B6"/>
    <w:rsid w:val="00C14597"/>
    <w:rsid w:val="00C20A68"/>
    <w:rsid w:val="00C20F2A"/>
    <w:rsid w:val="00C22CA2"/>
    <w:rsid w:val="00C23D81"/>
    <w:rsid w:val="00C34C7B"/>
    <w:rsid w:val="00C35016"/>
    <w:rsid w:val="00C35389"/>
    <w:rsid w:val="00C459F4"/>
    <w:rsid w:val="00C50A99"/>
    <w:rsid w:val="00C54339"/>
    <w:rsid w:val="00C57402"/>
    <w:rsid w:val="00C62CB2"/>
    <w:rsid w:val="00C678D2"/>
    <w:rsid w:val="00C7018C"/>
    <w:rsid w:val="00C822F9"/>
    <w:rsid w:val="00C9292A"/>
    <w:rsid w:val="00C95FA1"/>
    <w:rsid w:val="00CA49A4"/>
    <w:rsid w:val="00CA6FB0"/>
    <w:rsid w:val="00CA7A01"/>
    <w:rsid w:val="00CB49A0"/>
    <w:rsid w:val="00CB4B18"/>
    <w:rsid w:val="00CB5571"/>
    <w:rsid w:val="00CB589D"/>
    <w:rsid w:val="00CB639B"/>
    <w:rsid w:val="00CE39D9"/>
    <w:rsid w:val="00CE4688"/>
    <w:rsid w:val="00CE62B1"/>
    <w:rsid w:val="00CF0C3D"/>
    <w:rsid w:val="00CF0F90"/>
    <w:rsid w:val="00CF3FE4"/>
    <w:rsid w:val="00CF74A4"/>
    <w:rsid w:val="00D01FBC"/>
    <w:rsid w:val="00D04229"/>
    <w:rsid w:val="00D11117"/>
    <w:rsid w:val="00D1339E"/>
    <w:rsid w:val="00D1467D"/>
    <w:rsid w:val="00D15E50"/>
    <w:rsid w:val="00D16223"/>
    <w:rsid w:val="00D1772B"/>
    <w:rsid w:val="00D20C26"/>
    <w:rsid w:val="00D21B1B"/>
    <w:rsid w:val="00D21E7A"/>
    <w:rsid w:val="00D3515E"/>
    <w:rsid w:val="00D417B4"/>
    <w:rsid w:val="00D434ED"/>
    <w:rsid w:val="00D507B1"/>
    <w:rsid w:val="00D51144"/>
    <w:rsid w:val="00D548E2"/>
    <w:rsid w:val="00D61895"/>
    <w:rsid w:val="00D64285"/>
    <w:rsid w:val="00D668F1"/>
    <w:rsid w:val="00D72623"/>
    <w:rsid w:val="00D73837"/>
    <w:rsid w:val="00D756C5"/>
    <w:rsid w:val="00D77FCD"/>
    <w:rsid w:val="00D85364"/>
    <w:rsid w:val="00D92CB2"/>
    <w:rsid w:val="00D9482E"/>
    <w:rsid w:val="00D978BA"/>
    <w:rsid w:val="00D97C40"/>
    <w:rsid w:val="00D97EEA"/>
    <w:rsid w:val="00DA0260"/>
    <w:rsid w:val="00DA2424"/>
    <w:rsid w:val="00DA323F"/>
    <w:rsid w:val="00DA3C15"/>
    <w:rsid w:val="00DB10CB"/>
    <w:rsid w:val="00DB40A2"/>
    <w:rsid w:val="00DB5B4F"/>
    <w:rsid w:val="00DB70C0"/>
    <w:rsid w:val="00DC15FE"/>
    <w:rsid w:val="00DD077C"/>
    <w:rsid w:val="00DD297C"/>
    <w:rsid w:val="00DE32E4"/>
    <w:rsid w:val="00DE3E80"/>
    <w:rsid w:val="00DE68D4"/>
    <w:rsid w:val="00DE6AC3"/>
    <w:rsid w:val="00DF209C"/>
    <w:rsid w:val="00DF3112"/>
    <w:rsid w:val="00E135DA"/>
    <w:rsid w:val="00E17C81"/>
    <w:rsid w:val="00E2231C"/>
    <w:rsid w:val="00E22CEE"/>
    <w:rsid w:val="00E26E57"/>
    <w:rsid w:val="00E30016"/>
    <w:rsid w:val="00E3230B"/>
    <w:rsid w:val="00E3600A"/>
    <w:rsid w:val="00E471EE"/>
    <w:rsid w:val="00E56287"/>
    <w:rsid w:val="00E56455"/>
    <w:rsid w:val="00E570B9"/>
    <w:rsid w:val="00E65607"/>
    <w:rsid w:val="00E70FEB"/>
    <w:rsid w:val="00E80442"/>
    <w:rsid w:val="00E80BF9"/>
    <w:rsid w:val="00E81EAE"/>
    <w:rsid w:val="00E91B4A"/>
    <w:rsid w:val="00E97282"/>
    <w:rsid w:val="00EA64BF"/>
    <w:rsid w:val="00EB1058"/>
    <w:rsid w:val="00EC1127"/>
    <w:rsid w:val="00EC2241"/>
    <w:rsid w:val="00EC25D6"/>
    <w:rsid w:val="00EC3702"/>
    <w:rsid w:val="00EC609B"/>
    <w:rsid w:val="00EC7311"/>
    <w:rsid w:val="00ED20CE"/>
    <w:rsid w:val="00EE0122"/>
    <w:rsid w:val="00EE29D9"/>
    <w:rsid w:val="00EE34B6"/>
    <w:rsid w:val="00EE7C39"/>
    <w:rsid w:val="00EF0D9B"/>
    <w:rsid w:val="00EF3F77"/>
    <w:rsid w:val="00EF4EC0"/>
    <w:rsid w:val="00EF4F81"/>
    <w:rsid w:val="00EF7C94"/>
    <w:rsid w:val="00F05F2A"/>
    <w:rsid w:val="00F06A45"/>
    <w:rsid w:val="00F10A03"/>
    <w:rsid w:val="00F1498B"/>
    <w:rsid w:val="00F216E4"/>
    <w:rsid w:val="00F225EE"/>
    <w:rsid w:val="00F26A46"/>
    <w:rsid w:val="00F32D13"/>
    <w:rsid w:val="00F33F99"/>
    <w:rsid w:val="00F36DEF"/>
    <w:rsid w:val="00F40AC9"/>
    <w:rsid w:val="00F44E98"/>
    <w:rsid w:val="00F50934"/>
    <w:rsid w:val="00F5182C"/>
    <w:rsid w:val="00F55A7D"/>
    <w:rsid w:val="00F57134"/>
    <w:rsid w:val="00F60170"/>
    <w:rsid w:val="00F60582"/>
    <w:rsid w:val="00F6060C"/>
    <w:rsid w:val="00F62054"/>
    <w:rsid w:val="00F66ECC"/>
    <w:rsid w:val="00F7682E"/>
    <w:rsid w:val="00F84245"/>
    <w:rsid w:val="00F86B70"/>
    <w:rsid w:val="00F90AE1"/>
    <w:rsid w:val="00F91109"/>
    <w:rsid w:val="00FA4601"/>
    <w:rsid w:val="00FA4835"/>
    <w:rsid w:val="00FA511F"/>
    <w:rsid w:val="00FA7117"/>
    <w:rsid w:val="00FA791F"/>
    <w:rsid w:val="00FB278E"/>
    <w:rsid w:val="00FB2B2D"/>
    <w:rsid w:val="00FB3251"/>
    <w:rsid w:val="00FB6D3B"/>
    <w:rsid w:val="00FC16E5"/>
    <w:rsid w:val="00FC3CDF"/>
    <w:rsid w:val="00FC4024"/>
    <w:rsid w:val="00FC409D"/>
    <w:rsid w:val="00FC5FFC"/>
    <w:rsid w:val="00FD1A22"/>
    <w:rsid w:val="00FD606E"/>
    <w:rsid w:val="00FE2B10"/>
    <w:rsid w:val="00FF2127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0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08012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paragraph" w:customStyle="1" w:styleId="Default">
    <w:name w:val="Default"/>
    <w:rsid w:val="0008012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customStyle="1" w:styleId="ROMANOSCar">
    <w:name w:val="ROMANOS Car"/>
    <w:link w:val="ROMANOS"/>
    <w:locked/>
    <w:rsid w:val="0008012B"/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A81B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B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BF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BFA"/>
    <w:rPr>
      <w:rFonts w:ascii="Segoe UI" w:hAnsi="Segoe UI" w:cs="Segoe UI"/>
      <w:sz w:val="18"/>
      <w:szCs w:val="18"/>
    </w:rPr>
  </w:style>
  <w:style w:type="character" w:styleId="Refdenotaalpie">
    <w:name w:val="footnote reference"/>
    <w:aliases w:val="Ref,de nota al pie,(NECG) Footnote Reference,o,fr,Style 3,Appel note de bas de p,Style 12,Style 124"/>
    <w:basedOn w:val="Fuentedeprrafopredeter"/>
    <w:uiPriority w:val="99"/>
    <w:unhideWhenUsed/>
    <w:qFormat/>
    <w:rsid w:val="00732FE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732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2FE8"/>
  </w:style>
  <w:style w:type="paragraph" w:styleId="Prrafodelista">
    <w:name w:val="List Paragraph"/>
    <w:basedOn w:val="Normal"/>
    <w:link w:val="PrrafodelistaCar"/>
    <w:uiPriority w:val="34"/>
    <w:qFormat/>
    <w:rsid w:val="00F50934"/>
    <w:pPr>
      <w:ind w:left="720"/>
      <w:contextualSpacing/>
    </w:pPr>
  </w:style>
  <w:style w:type="paragraph" w:customStyle="1" w:styleId="Texto">
    <w:name w:val="Texto"/>
    <w:basedOn w:val="Normal"/>
    <w:link w:val="TextoCar"/>
    <w:rsid w:val="00F5093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50934"/>
    <w:rPr>
      <w:rFonts w:ascii="Arial" w:eastAsia="Times New Roman" w:hAnsi="Arial" w:cs="Arial"/>
      <w:sz w:val="18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6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04A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0B2"/>
  </w:style>
  <w:style w:type="paragraph" w:styleId="Piedepgina">
    <w:name w:val="footer"/>
    <w:basedOn w:val="Normal"/>
    <w:link w:val="Piedepgina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0B2"/>
  </w:style>
  <w:style w:type="character" w:customStyle="1" w:styleId="apple-converted-space">
    <w:name w:val="apple-converted-space"/>
    <w:basedOn w:val="Fuentedeprrafopredeter"/>
    <w:rsid w:val="00454212"/>
  </w:style>
  <w:style w:type="paragraph" w:styleId="Textonotapie">
    <w:name w:val="footnote text"/>
    <w:basedOn w:val="Normal"/>
    <w:link w:val="TextonotapieCar"/>
    <w:uiPriority w:val="99"/>
    <w:semiHidden/>
    <w:unhideWhenUsed/>
    <w:rsid w:val="00AD7A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7A87"/>
    <w:rPr>
      <w:sz w:val="20"/>
      <w:szCs w:val="20"/>
    </w:rPr>
  </w:style>
  <w:style w:type="character" w:customStyle="1" w:styleId="PieAbreviatura">
    <w:name w:val="Pie Abreviatura"/>
    <w:uiPriority w:val="1"/>
    <w:qFormat/>
    <w:rsid w:val="007A0433"/>
    <w:rPr>
      <w:rFonts w:ascii="ITC Avant Garde" w:hAnsi="ITC Avant Garde" w:cs="Arial"/>
      <w:smallCaps/>
      <w:sz w:val="16"/>
      <w:szCs w:val="16"/>
    </w:rPr>
  </w:style>
  <w:style w:type="table" w:styleId="Tablaconcuadrcula">
    <w:name w:val="Table Grid"/>
    <w:basedOn w:val="Tablanormal"/>
    <w:uiPriority w:val="59"/>
    <w:rsid w:val="004A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A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5C3C-7742-4427-9765-823DD4647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913309-8DEC-4E1D-A2C2-0302BF802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FF496-26F6-413A-BA24-23C18439B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A3FCA-11F9-4D79-843E-562ED29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2031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2019-05-08T01:53:00Z</dcterms:created>
  <dcterms:modified xsi:type="dcterms:W3CDTF">2019-05-13T17:18:00Z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