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9946F" w14:textId="6EF3278A" w:rsidR="00AE7499" w:rsidRDefault="00AE7499" w:rsidP="00E53C1B">
      <w:pPr>
        <w:spacing w:after="0" w:line="276" w:lineRule="auto"/>
        <w:rPr>
          <w:rFonts w:ascii="ITC Avant Garde" w:eastAsia="Times New Roman" w:hAnsi="ITC Avant Garde"/>
          <w:b/>
          <w:i/>
          <w:sz w:val="24"/>
          <w:szCs w:val="24"/>
        </w:rPr>
      </w:pPr>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sidR="009319E6">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w:t>
      </w:r>
      <w:r w:rsidR="00E514A3">
        <w:rPr>
          <w:rFonts w:ascii="ITC Avant Garde" w:eastAsia="Times New Roman" w:hAnsi="ITC Avant Garde"/>
          <w:b/>
          <w:i/>
          <w:sz w:val="24"/>
          <w:szCs w:val="24"/>
        </w:rPr>
        <w:t>ICACIONES APLICABLES AL AÑO 2020</w:t>
      </w:r>
      <w:r w:rsidRPr="0053503B">
        <w:rPr>
          <w:rFonts w:ascii="ITC Avant Garde" w:eastAsia="Times New Roman" w:hAnsi="ITC Avant Garde"/>
          <w:b/>
          <w:i/>
          <w:sz w:val="24"/>
          <w:szCs w:val="24"/>
        </w:rPr>
        <w:t>”.</w:t>
      </w:r>
    </w:p>
    <w:p w14:paraId="0140C4CF" w14:textId="77777777" w:rsidR="00E53C1B" w:rsidRPr="0053503B" w:rsidRDefault="00E53C1B" w:rsidP="00E53C1B">
      <w:pPr>
        <w:spacing w:after="0" w:line="276" w:lineRule="auto"/>
        <w:rPr>
          <w:rFonts w:ascii="ITC Avant Garde" w:eastAsia="Times New Roman" w:hAnsi="ITC Avant Garde"/>
          <w:b/>
          <w:i/>
          <w:sz w:val="24"/>
          <w:szCs w:val="24"/>
        </w:rPr>
      </w:pPr>
    </w:p>
    <w:p w14:paraId="35DE78F8" w14:textId="2CCAED6D" w:rsidR="00C41FE0" w:rsidRDefault="00C41FE0" w:rsidP="00E53C1B">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 xml:space="preserve">Fecha de Elaboración del Informe de Consideraciones sobre los comentarios, opiniones y </w:t>
      </w:r>
      <w:r w:rsidR="00E92CFC">
        <w:rPr>
          <w:rFonts w:ascii="ITC Avant Garde" w:hAnsi="ITC Avant Garde" w:cs="ITC Avant Garde"/>
          <w:b/>
          <w:color w:val="000000"/>
        </w:rPr>
        <w:t xml:space="preserve">aportaciones recibidos en relación a la presente Consulta Pública: </w:t>
      </w:r>
      <w:r w:rsidR="00E514A3">
        <w:rPr>
          <w:rFonts w:ascii="ITC Avant Garde" w:hAnsi="ITC Avant Garde" w:cs="ITC Avant Garde"/>
          <w:color w:val="000000"/>
        </w:rPr>
        <w:t>1 de octubre del 2019</w:t>
      </w:r>
      <w:r w:rsidR="00E92CFC" w:rsidRPr="00E92CFC">
        <w:rPr>
          <w:rFonts w:ascii="ITC Avant Garde" w:hAnsi="ITC Avant Garde" w:cs="ITC Avant Garde"/>
          <w:color w:val="000000"/>
        </w:rPr>
        <w:t>.</w:t>
      </w:r>
    </w:p>
    <w:p w14:paraId="0003393B" w14:textId="77777777" w:rsidR="00E53C1B" w:rsidRPr="00E92CFC" w:rsidRDefault="00E53C1B" w:rsidP="00E53C1B">
      <w:pPr>
        <w:spacing w:after="0" w:line="276" w:lineRule="auto"/>
        <w:ind w:left="-6" w:hanging="11"/>
        <w:rPr>
          <w:rFonts w:ascii="ITC Avant Garde" w:hAnsi="ITC Avant Garde" w:cs="ITC Avant Garde"/>
          <w:color w:val="000000"/>
        </w:rPr>
      </w:pPr>
    </w:p>
    <w:p w14:paraId="0BF0C212" w14:textId="32D3859B" w:rsidR="0093058C" w:rsidRDefault="0093058C"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Descripción de la Consulta Pública:</w:t>
      </w:r>
    </w:p>
    <w:p w14:paraId="07193D11" w14:textId="7A6748C2" w:rsidR="00AE7499" w:rsidRDefault="007A5D7A" w:rsidP="00E53C1B">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00AE7499" w:rsidRPr="007A5D7A">
        <w:rPr>
          <w:rFonts w:ascii="ITC Avant Garde" w:hAnsi="ITC Avant Garde" w:cs="ITC Avant Garde"/>
          <w:b/>
          <w:bCs/>
          <w:i/>
          <w:color w:val="000000"/>
        </w:rPr>
        <w:t>Propuestas de Convenio Marco de Interconexión presentado por el Agente Económico Preponderante en el Sector de las Telecomun</w:t>
      </w:r>
      <w:r w:rsidR="00E514A3">
        <w:rPr>
          <w:rFonts w:ascii="ITC Avant Garde" w:hAnsi="ITC Avant Garde" w:cs="ITC Avant Garde"/>
          <w:b/>
          <w:bCs/>
          <w:i/>
          <w:color w:val="000000"/>
        </w:rPr>
        <w:t>icaciones Aplicables al Año 2020</w:t>
      </w:r>
      <w:r w:rsidRPr="007A5D7A">
        <w:rPr>
          <w:rFonts w:ascii="ITC Avant Garde" w:hAnsi="ITC Avant Garde" w:cs="ITC Avant Garde"/>
          <w:b/>
          <w:bCs/>
          <w:i/>
          <w:color w:val="000000"/>
        </w:rPr>
        <w:t>”</w:t>
      </w:r>
      <w:r w:rsidR="00AE7499" w:rsidRPr="0053503B">
        <w:rPr>
          <w:rFonts w:ascii="ITC Avant Garde" w:hAnsi="ITC Avant Garde" w:cs="ITC Avant Garde"/>
          <w:b/>
          <w:bCs/>
          <w:color w:val="000000"/>
        </w:rPr>
        <w:t xml:space="preserve"> </w:t>
      </w:r>
      <w:r w:rsidR="00AF3E32" w:rsidRPr="0053503B">
        <w:rPr>
          <w:rFonts w:ascii="ITC Avant Garde" w:hAnsi="ITC Avant Garde" w:cs="ITC Avant Garde"/>
          <w:bCs/>
          <w:color w:val="000000"/>
        </w:rPr>
        <w:t>(en lo sucesivo,</w:t>
      </w:r>
      <w:r w:rsidR="00AE7499" w:rsidRPr="0053503B">
        <w:rPr>
          <w:rFonts w:ascii="ITC Avant Garde" w:hAnsi="ITC Avant Garde" w:cs="ITC Avant Garde"/>
          <w:bCs/>
          <w:color w:val="000000"/>
        </w:rPr>
        <w:t xml:space="preserve"> </w:t>
      </w:r>
      <w:r w:rsidR="00A93783">
        <w:rPr>
          <w:rFonts w:ascii="ITC Avant Garde" w:hAnsi="ITC Avant Garde" w:cs="ITC Avant Garde"/>
          <w:bCs/>
          <w:color w:val="000000"/>
        </w:rPr>
        <w:t>la</w:t>
      </w:r>
      <w:r w:rsidR="00F633CD">
        <w:rPr>
          <w:rFonts w:ascii="ITC Avant Garde" w:hAnsi="ITC Avant Garde" w:cs="ITC Avant Garde"/>
          <w:bCs/>
          <w:color w:val="000000"/>
        </w:rPr>
        <w:t xml:space="preserve"> </w:t>
      </w:r>
      <w:r w:rsidR="00F633CD" w:rsidRPr="00A93783">
        <w:rPr>
          <w:rFonts w:ascii="ITC Avant Garde" w:hAnsi="ITC Avant Garde" w:cs="ITC Avant Garde"/>
          <w:bCs/>
          <w:color w:val="000000"/>
        </w:rPr>
        <w:t>“</w:t>
      </w:r>
      <w:r w:rsidR="00A93783" w:rsidRPr="00A93783">
        <w:rPr>
          <w:rFonts w:ascii="ITC Avant Garde" w:eastAsia="Avant Garde" w:hAnsi="ITC Avant Garde" w:cs="Avant Garde"/>
          <w:color w:val="000000"/>
          <w:lang w:eastAsia="es-MX"/>
        </w:rPr>
        <w:t>Propuesta de CMI</w:t>
      </w:r>
      <w:r w:rsidR="00AE7499" w:rsidRPr="00A93783">
        <w:rPr>
          <w:rFonts w:ascii="ITC Avant Garde" w:hAnsi="ITC Avant Garde" w:cs="ITC Avant Garde"/>
          <w:bCs/>
          <w:color w:val="000000"/>
        </w:rPr>
        <w:t>”</w:t>
      </w:r>
      <w:r w:rsidR="00AE7499" w:rsidRPr="0053503B">
        <w:rPr>
          <w:rFonts w:ascii="ITC Avant Garde" w:hAnsi="ITC Avant Garde" w:cs="ITC Avant Garde"/>
          <w:bCs/>
          <w:color w:val="000000"/>
        </w:rPr>
        <w:t xml:space="preserve">) </w:t>
      </w:r>
      <w:r w:rsidR="00AE7499" w:rsidRPr="0053503B">
        <w:rPr>
          <w:rFonts w:ascii="ITC Avant Garde" w:hAnsi="ITC Avant Garde" w:cs="ITC Avant Garde"/>
          <w:color w:val="000000"/>
        </w:rPr>
        <w:t xml:space="preserve">presentada por Radiomóvil Dipsa, S.A. de C.V. (en adelante, “Telcel”) materia de la consulta pública de mérito, recibidas durante el periodo </w:t>
      </w:r>
      <w:r w:rsidR="00E514A3">
        <w:rPr>
          <w:rFonts w:ascii="ITC Avant Garde" w:hAnsi="ITC Avant Garde" w:cs="ITC Avant Garde"/>
          <w:color w:val="000000"/>
        </w:rPr>
        <w:t>comprendido del 2</w:t>
      </w:r>
      <w:r w:rsidR="00AE7499" w:rsidRPr="0053503B">
        <w:rPr>
          <w:rFonts w:ascii="ITC Avant Garde" w:hAnsi="ITC Avant Garde" w:cs="ITC Avant Garde"/>
          <w:color w:val="000000"/>
        </w:rPr>
        <w:t xml:space="preserve">2 </w:t>
      </w:r>
      <w:r w:rsidR="00E514A3">
        <w:rPr>
          <w:rFonts w:ascii="ITC Avant Garde" w:hAnsi="ITC Avant Garde" w:cs="ITC Avant Garde"/>
          <w:color w:val="000000"/>
        </w:rPr>
        <w:t>de abril al 21 de mayo de 2019</w:t>
      </w:r>
      <w:r w:rsidR="00124FE9">
        <w:rPr>
          <w:rFonts w:ascii="ITC Avant Garde" w:hAnsi="ITC Avant Garde" w:cs="ITC Avant Garde"/>
          <w:color w:val="000000"/>
        </w:rPr>
        <w:t xml:space="preserve"> </w:t>
      </w:r>
      <w:r w:rsidR="0093058C">
        <w:rPr>
          <w:rFonts w:ascii="ITC Avant Garde" w:hAnsi="ITC Avant Garde" w:cs="ITC Avant Garde"/>
          <w:color w:val="000000"/>
        </w:rPr>
        <w:t>a través de la</w:t>
      </w:r>
      <w:r w:rsidR="00124FE9" w:rsidRPr="007A5D7A">
        <w:rPr>
          <w:rFonts w:ascii="ITC Avant Garde" w:hAnsi="ITC Avant Garde" w:cs="ITC Avant Garde"/>
          <w:color w:val="000000"/>
        </w:rPr>
        <w:t xml:space="preserve"> dirección de correo electrónico </w:t>
      </w:r>
      <w:hyperlink r:id="rId8" w:tgtFrame="_blank" w:tooltip="Envío de correo" w:history="1">
        <w:r w:rsidR="00124FE9" w:rsidRPr="007A5D7A">
          <w:rPr>
            <w:rFonts w:ascii="ITC Avant Garde" w:hAnsi="ITC Avant Garde" w:cs="ITC Avant Garde"/>
            <w:color w:val="000000"/>
          </w:rPr>
          <w:t>cmi@ift.org.mx</w:t>
        </w:r>
      </w:hyperlink>
      <w:r w:rsidR="00124FE9" w:rsidRPr="007A5D7A">
        <w:rPr>
          <w:rFonts w:ascii="ITC Avant Garde" w:hAnsi="ITC Avant Garde" w:cs="ITC Avant Garde"/>
          <w:color w:val="000000"/>
        </w:rPr>
        <w:t>,o bien, mediante escrito presentado en la Oficialía de Partes Común del Instituto ubicada en Insurgentes Sur 1143</w:t>
      </w:r>
      <w:r w:rsidR="005506E0">
        <w:rPr>
          <w:rFonts w:ascii="ITC Avant Garde" w:hAnsi="ITC Avant Garde" w:cs="ITC Avant Garde"/>
          <w:color w:val="000000"/>
        </w:rPr>
        <w:t>, colonia Nochebuena, Demarcación</w:t>
      </w:r>
      <w:r w:rsidR="00124FE9" w:rsidRPr="007A5D7A">
        <w:rPr>
          <w:rFonts w:ascii="ITC Avant Garde" w:hAnsi="ITC Avant Garde" w:cs="ITC Avant Garde"/>
          <w:color w:val="000000"/>
        </w:rPr>
        <w:t xml:space="preserve"> Benito Juárez, C.P. 03720, Ciudad de Méxic</w:t>
      </w:r>
      <w:r w:rsidR="00E53C1B">
        <w:rPr>
          <w:rFonts w:ascii="ITC Avant Garde" w:hAnsi="ITC Avant Garde" w:cs="ITC Avant Garde"/>
          <w:color w:val="000000"/>
        </w:rPr>
        <w:t>o.</w:t>
      </w:r>
    </w:p>
    <w:p w14:paraId="7FD1AAA6" w14:textId="77777777" w:rsidR="00E53C1B" w:rsidRDefault="00E53C1B" w:rsidP="00E53C1B">
      <w:pPr>
        <w:spacing w:after="0" w:line="276" w:lineRule="auto"/>
        <w:ind w:left="-6" w:hanging="11"/>
        <w:rPr>
          <w:rFonts w:ascii="ITC Avant Garde" w:hAnsi="ITC Avant Garde" w:cs="ITC Avant Garde"/>
          <w:color w:val="000000"/>
        </w:rPr>
      </w:pPr>
    </w:p>
    <w:p w14:paraId="573BAA7E" w14:textId="621CCE43" w:rsidR="003B63F4" w:rsidRDefault="003B63F4" w:rsidP="00E53C1B">
      <w:pPr>
        <w:spacing w:after="0" w:line="276" w:lineRule="auto"/>
        <w:ind w:left="-5" w:hanging="10"/>
        <w:rPr>
          <w:rFonts w:ascii="ITC Avant Garde" w:hAnsi="ITC Avant Garde" w:cs="ITC Avant Garde"/>
          <w:b/>
          <w:color w:val="000000"/>
        </w:rPr>
      </w:pPr>
      <w:r w:rsidRPr="003B63F4">
        <w:rPr>
          <w:rFonts w:ascii="ITC Avant Garde" w:hAnsi="ITC Avant Garde" w:cs="ITC Avant Garde"/>
          <w:b/>
          <w:color w:val="000000"/>
        </w:rPr>
        <w:t>Objetivo</w:t>
      </w:r>
      <w:r w:rsidR="0027548E">
        <w:rPr>
          <w:rFonts w:ascii="ITC Avant Garde" w:hAnsi="ITC Avant Garde" w:cs="ITC Avant Garde"/>
          <w:b/>
          <w:color w:val="000000"/>
        </w:rPr>
        <w:t xml:space="preserve"> de la Consulta Pública</w:t>
      </w:r>
      <w:r>
        <w:rPr>
          <w:rFonts w:ascii="ITC Avant Garde" w:hAnsi="ITC Avant Garde" w:cs="ITC Avant Garde"/>
          <w:b/>
          <w:color w:val="000000"/>
        </w:rPr>
        <w:t>:</w:t>
      </w:r>
    </w:p>
    <w:p w14:paraId="12B057A9" w14:textId="4425B4E6" w:rsidR="003B63F4" w:rsidRDefault="003B63F4" w:rsidP="00E53C1B">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w:t>
      </w:r>
      <w:r w:rsidR="00557FC6">
        <w:rPr>
          <w:rFonts w:ascii="ITC Avant Garde" w:hAnsi="ITC Avant Garde" w:cs="ITC Avant Garde"/>
          <w:color w:val="000000"/>
        </w:rPr>
        <w:t>s</w:t>
      </w:r>
      <w:r>
        <w:rPr>
          <w:rFonts w:ascii="ITC Avant Garde" w:hAnsi="ITC Avant Garde" w:cs="ITC Avant Garde"/>
          <w:color w:val="000000"/>
        </w:rPr>
        <w:t xml:space="preserve"> </w:t>
      </w:r>
      <w:r w:rsidR="006F7ACA" w:rsidRPr="0053503B">
        <w:rPr>
          <w:rFonts w:ascii="ITC Avant Garde" w:hAnsi="ITC Avant Garde" w:cs="ITC Avant Garde"/>
          <w:bCs/>
          <w:color w:val="000000"/>
        </w:rPr>
        <w:t>Propuesta</w:t>
      </w:r>
      <w:r w:rsidR="001951DF">
        <w:rPr>
          <w:rFonts w:ascii="ITC Avant Garde" w:hAnsi="ITC Avant Garde" w:cs="ITC Avant Garde"/>
          <w:bCs/>
          <w:color w:val="000000"/>
        </w:rPr>
        <w:t>s</w:t>
      </w:r>
      <w:r w:rsidR="006F7ACA" w:rsidRPr="0053503B">
        <w:rPr>
          <w:rFonts w:ascii="ITC Avant Garde" w:hAnsi="ITC Avant Garde" w:cs="ITC Avant Garde"/>
          <w:bCs/>
          <w:color w:val="000000"/>
        </w:rPr>
        <w:t xml:space="preserve"> de </w:t>
      </w:r>
      <w:r w:rsidR="006F7ACA">
        <w:rPr>
          <w:rFonts w:ascii="ITC Avant Garde" w:hAnsi="ITC Avant Garde" w:cs="ITC Avant Garde"/>
          <w:bCs/>
          <w:color w:val="000000"/>
        </w:rPr>
        <w:t>CMI</w:t>
      </w:r>
      <w:r w:rsidRPr="006F7ACA">
        <w:rPr>
          <w:rFonts w:ascii="ITC Avant Garde" w:hAnsi="ITC Avant Garde" w:cs="ITC Avant Garde"/>
          <w:bCs/>
        </w:rPr>
        <w:t>.</w:t>
      </w:r>
      <w:r w:rsidR="00024950">
        <w:rPr>
          <w:rFonts w:ascii="ITC Avant Garde" w:hAnsi="ITC Avant Garde" w:cs="ITC Avant Garde"/>
          <w:b/>
          <w:bCs/>
        </w:rPr>
        <w:t xml:space="preserve"> </w:t>
      </w:r>
      <w:r w:rsidR="009F297B">
        <w:rPr>
          <w:rFonts w:ascii="ITC Avant Garde" w:hAnsi="ITC Avant Garde" w:cs="ITC Avant Garde"/>
          <w:color w:val="000000"/>
        </w:rPr>
        <w:t xml:space="preserve">Dichas propuestas se </w:t>
      </w:r>
      <w:r w:rsidR="00320377">
        <w:rPr>
          <w:rFonts w:ascii="ITC Avant Garde" w:hAnsi="ITC Avant Garde" w:cs="ITC Avant Garde"/>
          <w:color w:val="000000"/>
        </w:rPr>
        <w:t>sometieron</w:t>
      </w:r>
      <w:r w:rsidRPr="003B63F4">
        <w:rPr>
          <w:rFonts w:ascii="ITC Avant Garde" w:hAnsi="ITC Avant Garde" w:cs="ITC Avant Garde"/>
          <w:color w:val="000000"/>
        </w:rPr>
        <w:t xml:space="preserve"> a consulta pública con base en lo establecido en</w:t>
      </w:r>
      <w:r w:rsidR="001A4EA4">
        <w:rPr>
          <w:rFonts w:ascii="ITC Avant Garde" w:hAnsi="ITC Avant Garde" w:cs="ITC Avant Garde"/>
          <w:color w:val="000000"/>
        </w:rPr>
        <w:t xml:space="preserve"> </w:t>
      </w:r>
      <w:r w:rsidR="001A4EA4" w:rsidRPr="001A4EA4">
        <w:rPr>
          <w:rFonts w:ascii="ITC Avant Garde" w:hAnsi="ITC Avant Garde" w:cs="ITC Avant Garde"/>
          <w:color w:val="000000"/>
        </w:rPr>
        <w:t>los artículos 1, 2, 7, 15, fracciones XL y LXIII, 51, 267, fracción I y 268 de la Ley Federal de Telecomunicac</w:t>
      </w:r>
      <w:r w:rsidR="001A4EA4">
        <w:rPr>
          <w:rFonts w:ascii="ITC Avant Garde" w:hAnsi="ITC Avant Garde" w:cs="ITC Avant Garde"/>
          <w:color w:val="000000"/>
        </w:rPr>
        <w:t>iones y Radiodifusión (en lo sucesivo, la “LFTR”); así como</w:t>
      </w:r>
      <w:r w:rsidR="001A4EA4" w:rsidRPr="001A4EA4">
        <w:rPr>
          <w:rFonts w:ascii="ITC Avant Garde" w:hAnsi="ITC Avant Garde" w:cs="ITC Avant Garde"/>
          <w:color w:val="000000"/>
        </w:rPr>
        <w:t> 1, 4, fracción I, 6, fracción XXXVIII y 25, fracción XI del Estatuto Orgánico del Instituto Federal de Telecomunicaciones</w:t>
      </w:r>
      <w:r w:rsidR="001A4EA4">
        <w:rPr>
          <w:rFonts w:ascii="ITC Avant Garde" w:hAnsi="ITC Avant Garde" w:cs="ITC Avant Garde"/>
          <w:color w:val="000000"/>
        </w:rPr>
        <w:t xml:space="preserve"> </w:t>
      </w:r>
      <w:r w:rsidRPr="003B63F4">
        <w:rPr>
          <w:rFonts w:ascii="ITC Avant Garde" w:hAnsi="ITC Avant Garde" w:cs="ITC Avant Garde"/>
          <w:color w:val="000000"/>
        </w:rPr>
        <w:t xml:space="preserve">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w:t>
      </w:r>
      <w:r w:rsidRPr="003B63F4">
        <w:rPr>
          <w:rFonts w:ascii="ITC Avant Garde" w:hAnsi="ITC Avant Garde" w:cs="ITC Avant Garde"/>
          <w:color w:val="000000"/>
        </w:rPr>
        <w:lastRenderedPageBreak/>
        <w:t xml:space="preserve">por lo establecido en la </w:t>
      </w:r>
      <w:r w:rsidRPr="005D110C">
        <w:rPr>
          <w:rFonts w:ascii="ITC Avant Garde" w:hAnsi="ITC Avant Garde" w:cs="ITC Avant Garde"/>
          <w:i/>
          <w:color w:val="000000"/>
        </w:rPr>
        <w:t>“Resolución mediante la cual el Pleno del Instituto Federal de Telecomunicaciones suprime, modifica y adiciona las medidas impuestas al Agente Económico Preponderante en el sector de telecomunicaciones mediante resolución de fecha 6 de marzo de 2014”</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w:t>
      </w:r>
      <w:r w:rsidR="000E4FAB">
        <w:rPr>
          <w:rFonts w:ascii="ITC Avant Garde" w:hAnsi="ITC Avant Garde" w:cs="ITC Avant Garde"/>
          <w:color w:val="000000"/>
        </w:rPr>
        <w:t xml:space="preserve">te acuerdo P/IFT/EXT/270217/119 </w:t>
      </w:r>
      <w:r w:rsidR="000E4FAB" w:rsidRPr="004E29BF">
        <w:rPr>
          <w:rFonts w:ascii="ITC Avant Garde" w:hAnsi="ITC Avant Garde" w:cs="ITC Avant Garde"/>
          <w:color w:val="000000"/>
          <w:highlight w:val="yellow"/>
        </w:rPr>
        <w:t>(en lo sucesivo, las “Medidas Móviles”)</w:t>
      </w:r>
      <w:r w:rsidR="000E4FAB">
        <w:rPr>
          <w:rFonts w:ascii="ITC Avant Garde" w:hAnsi="ITC Avant Garde" w:cs="ITC Avant Garde"/>
          <w:color w:val="000000"/>
        </w:rPr>
        <w:t>.</w:t>
      </w:r>
    </w:p>
    <w:p w14:paraId="13FDFE7F" w14:textId="77777777" w:rsidR="00E53C1B" w:rsidRDefault="00E53C1B" w:rsidP="00E53C1B">
      <w:pPr>
        <w:spacing w:after="0" w:line="276" w:lineRule="auto"/>
        <w:ind w:left="-6" w:hanging="11"/>
        <w:rPr>
          <w:rFonts w:ascii="ITC Avant Garde" w:hAnsi="ITC Avant Garde" w:cs="ITC Avant Garde"/>
          <w:color w:val="000000"/>
        </w:rPr>
      </w:pPr>
    </w:p>
    <w:p w14:paraId="4B4A11B6" w14:textId="1EE942D5" w:rsidR="002173A0" w:rsidRDefault="00C27606" w:rsidP="00E53C1B">
      <w:pPr>
        <w:spacing w:after="0" w:line="276" w:lineRule="auto"/>
        <w:ind w:left="-6" w:hanging="11"/>
        <w:rPr>
          <w:rFonts w:ascii="ITC Avant Garde" w:hAnsi="ITC Avant Garde" w:cs="ITC Avant Garde"/>
          <w:color w:val="000000"/>
        </w:rPr>
      </w:pPr>
      <w:r w:rsidRPr="003B63F4">
        <w:rPr>
          <w:rFonts w:ascii="ITC Avant Garde" w:hAnsi="ITC Avant Garde" w:cs="ITC Avant Garde"/>
          <w:color w:val="000000"/>
        </w:rPr>
        <w:t>En virtud de lo anterior, la presente consulta pública tiene el objetivo de contar con mayores elementos que le permitan al Instituto determinar las condiciones bajo las cuales se deberán aprobar los Convenios Marco de Interconexión del Agente Económico Preponderant</w:t>
      </w:r>
      <w:r w:rsidR="00E514A3">
        <w:rPr>
          <w:rFonts w:ascii="ITC Avant Garde" w:hAnsi="ITC Avant Garde" w:cs="ITC Avant Garde"/>
          <w:color w:val="000000"/>
        </w:rPr>
        <w:t>e aplicables durante el año 2020</w:t>
      </w:r>
      <w:r w:rsidRPr="003B63F4">
        <w:rPr>
          <w:rFonts w:ascii="ITC Avant Garde" w:hAnsi="ITC Avant Garde" w:cs="ITC Avant Garde"/>
          <w:color w:val="000000"/>
        </w:rPr>
        <w:t>,</w:t>
      </w:r>
      <w:r w:rsidR="002173A0">
        <w:rPr>
          <w:rFonts w:ascii="ITC Avant Garde" w:hAnsi="ITC Avant Garde" w:cs="ITC Avant Garde"/>
          <w:color w:val="000000"/>
        </w:rPr>
        <w:t xml:space="preserve"> así como</w:t>
      </w:r>
      <w:r w:rsidRPr="003B63F4">
        <w:rPr>
          <w:rFonts w:ascii="ITC Avant Garde" w:hAnsi="ITC Avant Garde" w:cs="ITC Avant Garde"/>
          <w:color w:val="000000"/>
        </w:rPr>
        <w:t xml:space="preserve"> </w:t>
      </w:r>
      <w:r w:rsidR="002173A0" w:rsidRPr="002173A0">
        <w:rPr>
          <w:rFonts w:ascii="ITC Avant Garde" w:hAnsi="ITC Avant Garde" w:cs="ITC Avant Garde"/>
          <w:color w:val="000000"/>
        </w:rPr>
        <w:t>favorecer la transparencia y participación ciudadana con el fin de recibir los comentarios y opiniones de regulados, cámaras, usuarios y audiencias sobre los</w:t>
      </w:r>
      <w:r w:rsidR="002173A0">
        <w:rPr>
          <w:rFonts w:ascii="ITC Avant Garde" w:hAnsi="ITC Avant Garde" w:cs="ITC Avant Garde"/>
          <w:color w:val="000000"/>
        </w:rPr>
        <w:t xml:space="preserve"> Convenios de Interconexión; y </w:t>
      </w:r>
      <w:r w:rsidR="002173A0" w:rsidRPr="002173A0">
        <w:rPr>
          <w:rFonts w:ascii="ITC Avant Garde" w:hAnsi="ITC Avant Garde" w:cs="ITC Avant Garde"/>
          <w:color w:val="000000"/>
        </w:rPr>
        <w:t>establecer las bases para aprobar o modificar los mismos.</w:t>
      </w:r>
    </w:p>
    <w:p w14:paraId="64685551" w14:textId="77777777" w:rsidR="00E53C1B" w:rsidRDefault="00E53C1B" w:rsidP="00E53C1B">
      <w:pPr>
        <w:spacing w:after="0" w:line="276" w:lineRule="auto"/>
        <w:ind w:left="-6" w:hanging="11"/>
        <w:rPr>
          <w:rFonts w:ascii="ITC Avant Garde" w:hAnsi="ITC Avant Garde" w:cs="ITC Avant Garde"/>
          <w:color w:val="000000"/>
        </w:rPr>
      </w:pPr>
    </w:p>
    <w:p w14:paraId="48712C73" w14:textId="2B426BA4" w:rsidR="00024950" w:rsidRDefault="00024950" w:rsidP="00E53C1B">
      <w:pPr>
        <w:spacing w:after="0" w:line="276" w:lineRule="auto"/>
        <w:ind w:left="-5" w:hanging="10"/>
        <w:rPr>
          <w:rFonts w:ascii="ITC Avant Garde" w:hAnsi="ITC Avant Garde" w:cs="ITC Avant Garde"/>
          <w:color w:val="000000"/>
        </w:rPr>
      </w:pPr>
      <w:r>
        <w:rPr>
          <w:rFonts w:ascii="ITC Avant Garde" w:hAnsi="ITC Avant Garde" w:cs="ITC Avant Garde"/>
          <w:b/>
          <w:color w:val="000000"/>
        </w:rPr>
        <w:t>Unidad Administrativa que promueve el proyecto:</w:t>
      </w:r>
      <w:r w:rsidR="00F7338C">
        <w:rPr>
          <w:rFonts w:ascii="ITC Avant Garde" w:hAnsi="ITC Avant Garde" w:cs="ITC Avant Garde"/>
          <w:b/>
          <w:color w:val="000000"/>
        </w:rPr>
        <w:t xml:space="preserve"> </w:t>
      </w:r>
      <w:r w:rsidR="00F7338C" w:rsidRPr="00F7338C">
        <w:rPr>
          <w:rFonts w:ascii="ITC Avant Garde" w:hAnsi="ITC Avant Garde" w:cs="ITC Avant Garde"/>
          <w:color w:val="000000"/>
        </w:rPr>
        <w:t>Unidad de Política Regulatoria.</w:t>
      </w:r>
    </w:p>
    <w:p w14:paraId="2E284B72" w14:textId="77777777" w:rsidR="005506E0" w:rsidRDefault="005506E0" w:rsidP="00E53C1B">
      <w:pPr>
        <w:spacing w:after="0" w:line="276" w:lineRule="auto"/>
        <w:ind w:left="-5" w:hanging="10"/>
        <w:rPr>
          <w:rFonts w:ascii="ITC Avant Garde" w:hAnsi="ITC Avant Garde" w:cs="ITC Avant Garde"/>
          <w:b/>
          <w:color w:val="000000"/>
        </w:rPr>
      </w:pPr>
    </w:p>
    <w:p w14:paraId="4F12B402" w14:textId="119DF7D2" w:rsidR="003B63F4" w:rsidRDefault="007A7B89"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Participantes de la Consulta Pública:</w:t>
      </w:r>
    </w:p>
    <w:p w14:paraId="6BE93492" w14:textId="446750FB" w:rsidR="00AE7499" w:rsidRDefault="00AE7499" w:rsidP="00E53C1B">
      <w:pPr>
        <w:spacing w:after="0" w:line="276" w:lineRule="auto"/>
        <w:ind w:left="-5" w:hanging="10"/>
        <w:rPr>
          <w:rFonts w:ascii="ITC Avant Garde" w:hAnsi="ITC Avant Garde" w:cs="ITC Avant Garde"/>
          <w:color w:val="000000"/>
        </w:rPr>
      </w:pPr>
      <w:r w:rsidRPr="0053503B">
        <w:rPr>
          <w:rFonts w:ascii="ITC Avant Garde" w:hAnsi="ITC Avant Garde" w:cs="ITC Avant Garde"/>
          <w:color w:val="000000"/>
        </w:rPr>
        <w:t>Durante el periodo de la consulta pú</w:t>
      </w:r>
      <w:r w:rsidR="00F333DA">
        <w:rPr>
          <w:rFonts w:ascii="ITC Avant Garde" w:hAnsi="ITC Avant Garde" w:cs="ITC Avant Garde"/>
          <w:color w:val="000000"/>
        </w:rPr>
        <w:t xml:space="preserve">blica de mérito, se recibieron </w:t>
      </w:r>
      <w:r w:rsidR="00E514A3" w:rsidRPr="00E514A3">
        <w:rPr>
          <w:rFonts w:ascii="ITC Avant Garde" w:hAnsi="ITC Avant Garde" w:cs="ITC Avant Garde"/>
          <w:color w:val="000000"/>
        </w:rPr>
        <w:t>6</w:t>
      </w:r>
      <w:r w:rsidRPr="00E514A3">
        <w:rPr>
          <w:rFonts w:ascii="ITC Avant Garde" w:hAnsi="ITC Avant Garde" w:cs="ITC Avant Garde"/>
          <w:color w:val="000000"/>
        </w:rPr>
        <w:t xml:space="preserve"> participaciones</w:t>
      </w:r>
      <w:r w:rsidRPr="0053503B">
        <w:rPr>
          <w:rFonts w:ascii="ITC Avant Garde" w:hAnsi="ITC Avant Garde" w:cs="ITC Avant Garde"/>
          <w:color w:val="000000"/>
        </w:rPr>
        <w:t>, por parte de las siguientes personas morales:</w:t>
      </w:r>
    </w:p>
    <w:p w14:paraId="4A9A8839" w14:textId="77777777" w:rsidR="00E53C1B" w:rsidRPr="0053503B" w:rsidRDefault="00E53C1B" w:rsidP="00E53C1B">
      <w:pPr>
        <w:spacing w:after="0" w:line="276" w:lineRule="auto"/>
        <w:ind w:left="-5" w:hanging="10"/>
        <w:rPr>
          <w:rFonts w:ascii="ITC Avant Garde" w:hAnsi="ITC Avant Garde" w:cs="ITC Avant Garde"/>
          <w:color w:val="000000"/>
        </w:rPr>
      </w:pPr>
    </w:p>
    <w:p w14:paraId="51222142" w14:textId="73ADD0FD" w:rsidR="00AE7499" w:rsidRPr="0053503B" w:rsidRDefault="00AE7499" w:rsidP="00E53C1B">
      <w:pPr>
        <w:pStyle w:val="ListBulletCompact"/>
        <w:spacing w:line="276" w:lineRule="auto"/>
        <w:rPr>
          <w:rFonts w:ascii="ITC Avant Garde" w:hAnsi="ITC Avant Garde"/>
          <w:lang w:val="es-ES"/>
        </w:rPr>
      </w:pPr>
      <w:r w:rsidRPr="0053503B">
        <w:rPr>
          <w:rFonts w:ascii="ITC Avant Garde" w:hAnsi="ITC Avant Garde"/>
          <w:lang w:val="es-ES"/>
        </w:rPr>
        <w:t xml:space="preserve">Mega Cable, S.A. de </w:t>
      </w:r>
      <w:r w:rsidR="00F1102E">
        <w:rPr>
          <w:rFonts w:ascii="ITC Avant Garde" w:hAnsi="ITC Avant Garde"/>
          <w:lang w:val="es-ES"/>
        </w:rPr>
        <w:t>C.V. (en lo sucesivo, “Megacable</w:t>
      </w:r>
      <w:r w:rsidRPr="0053503B">
        <w:rPr>
          <w:rFonts w:ascii="ITC Avant Garde" w:hAnsi="ITC Avant Garde"/>
          <w:lang w:val="es-ES"/>
        </w:rPr>
        <w:t>”)</w:t>
      </w:r>
    </w:p>
    <w:p w14:paraId="2562C874" w14:textId="77777777" w:rsidR="00AE7499" w:rsidRPr="0053503B" w:rsidRDefault="00AE7499" w:rsidP="00E53C1B">
      <w:pPr>
        <w:pStyle w:val="Listaconvietas"/>
        <w:spacing w:after="0" w:line="276" w:lineRule="auto"/>
        <w:rPr>
          <w:rFonts w:ascii="ITC Avant Garde" w:hAnsi="ITC Avant Garde" w:cs="Times New Roman"/>
          <w:lang w:val="es-ES"/>
        </w:rPr>
      </w:pPr>
      <w:r w:rsidRPr="0053503B">
        <w:rPr>
          <w:rFonts w:ascii="ITC Avant Garde" w:hAnsi="ITC Avant Garde" w:cs="Times New Roman"/>
          <w:lang w:val="es-ES"/>
        </w:rPr>
        <w:t>Cámara Nacional de la Industria Electrónica, de Telecomunicaciones y Tecnologías de la Información (en lo sucesivo, “CANIETI”)</w:t>
      </w:r>
    </w:p>
    <w:p w14:paraId="59B0DE0F" w14:textId="453A1236" w:rsidR="00AE7499" w:rsidRPr="00BF40B3" w:rsidRDefault="00AE7499" w:rsidP="00E53C1B">
      <w:pPr>
        <w:pStyle w:val="Listaconvietas"/>
        <w:autoSpaceDE w:val="0"/>
        <w:autoSpaceDN w:val="0"/>
        <w:adjustRightInd w:val="0"/>
        <w:spacing w:after="0" w:line="276" w:lineRule="auto"/>
        <w:rPr>
          <w:rFonts w:ascii="ITC Avant Garde" w:hAnsi="ITC Avant Garde" w:cs="ITC Avant Garde"/>
        </w:rPr>
      </w:pPr>
      <w:r w:rsidRPr="0053503B">
        <w:rPr>
          <w:rFonts w:ascii="ITC Avant Garde" w:hAnsi="ITC Avant Garde" w:cs="Times New Roman"/>
          <w:lang w:val="es-ES"/>
        </w:rPr>
        <w:t>Altán Redes, S.A.P.I. de C.V. (en lo sucesivo, “Altán”)</w:t>
      </w:r>
    </w:p>
    <w:p w14:paraId="5FD97DED" w14:textId="3D2F431B" w:rsidR="00BF40B3" w:rsidRPr="0053503B" w:rsidRDefault="00BF40B3" w:rsidP="00E53C1B">
      <w:pPr>
        <w:pStyle w:val="Listaconvietas"/>
        <w:autoSpaceDE w:val="0"/>
        <w:autoSpaceDN w:val="0"/>
        <w:adjustRightInd w:val="0"/>
        <w:spacing w:after="0" w:line="276" w:lineRule="auto"/>
        <w:rPr>
          <w:rFonts w:ascii="ITC Avant Garde" w:hAnsi="ITC Avant Garde" w:cs="ITC Avant Garde"/>
        </w:rPr>
      </w:pPr>
      <w:r w:rsidRPr="00BF40B3">
        <w:rPr>
          <w:rFonts w:ascii="ITC Avant Garde" w:hAnsi="ITC Avant Garde" w:cs="ITC Avant Garde"/>
        </w:rPr>
        <w:t xml:space="preserve">Cablevisión, S.A. de C.V., </w:t>
      </w:r>
      <w:proofErr w:type="spellStart"/>
      <w:r w:rsidRPr="00BF40B3">
        <w:rPr>
          <w:rFonts w:ascii="ITC Avant Garde" w:hAnsi="ITC Avant Garde" w:cs="ITC Avant Garde"/>
        </w:rPr>
        <w:t>Operbes</w:t>
      </w:r>
      <w:proofErr w:type="spellEnd"/>
      <w:r w:rsidRPr="00BF40B3">
        <w:rPr>
          <w:rFonts w:ascii="ITC Avant Garde" w:hAnsi="ITC Avant Garde" w:cs="ITC Avant Garde"/>
        </w:rPr>
        <w:t xml:space="preserve">, S.A. de C.V., Cable y Comunicación de Campeche, S.A. de C.V., </w:t>
      </w:r>
      <w:proofErr w:type="spellStart"/>
      <w:r w:rsidRPr="00BF40B3">
        <w:rPr>
          <w:rFonts w:ascii="ITC Avant Garde" w:hAnsi="ITC Avant Garde" w:cs="ITC Avant Garde"/>
        </w:rPr>
        <w:t>Bestphone</w:t>
      </w:r>
      <w:proofErr w:type="spellEnd"/>
      <w:r w:rsidRPr="00BF40B3">
        <w:rPr>
          <w:rFonts w:ascii="ITC Avant Garde" w:hAnsi="ITC Avant Garde" w:cs="ITC Avant Garde"/>
        </w:rPr>
        <w:t xml:space="preserve">, S.A. de C.V., </w:t>
      </w:r>
      <w:proofErr w:type="spellStart"/>
      <w:r w:rsidRPr="00BF40B3">
        <w:rPr>
          <w:rFonts w:ascii="ITC Avant Garde" w:hAnsi="ITC Avant Garde" w:cs="ITC Avant Garde"/>
        </w:rPr>
        <w:t>Cablemás</w:t>
      </w:r>
      <w:proofErr w:type="spellEnd"/>
      <w:r w:rsidRPr="00BF40B3">
        <w:rPr>
          <w:rFonts w:ascii="ITC Avant Garde" w:hAnsi="ITC Avant Garde" w:cs="ITC Avant Garde"/>
        </w:rPr>
        <w:t xml:space="preserve"> Telecomunicaciones, S.A. de C.V., Tele Azteca, S.A. de C.V., México Red de Telecomunicaciones, S. de R.L. de C.V., Televisión Internacional, S.A. de C.V., Cablevisión Red, S.A. de C.V., y TV Cable de Oriente, S.A. de C.V.</w:t>
      </w:r>
      <w:r>
        <w:rPr>
          <w:rFonts w:ascii="ITC Avant Garde" w:hAnsi="ITC Avant Garde" w:cs="ITC Avant Garde"/>
        </w:rPr>
        <w:t xml:space="preserve"> (en lo sucesivo, “</w:t>
      </w:r>
      <w:r w:rsidRPr="0053503B">
        <w:rPr>
          <w:rFonts w:ascii="ITC Avant Garde" w:hAnsi="ITC Avant Garde" w:cs="ITC Avant Garde"/>
        </w:rPr>
        <w:t>Televisa”)</w:t>
      </w:r>
    </w:p>
    <w:p w14:paraId="51922E96" w14:textId="79D05D23" w:rsidR="00AE7499" w:rsidRPr="0053503B" w:rsidRDefault="00AE7499" w:rsidP="00E53C1B">
      <w:pPr>
        <w:pStyle w:val="Listaconvietas"/>
        <w:autoSpaceDE w:val="0"/>
        <w:autoSpaceDN w:val="0"/>
        <w:adjustRightInd w:val="0"/>
        <w:spacing w:after="0" w:line="276" w:lineRule="auto"/>
        <w:rPr>
          <w:rFonts w:ascii="ITC Avant Garde" w:hAnsi="ITC Avant Garde"/>
        </w:rPr>
      </w:pPr>
      <w:r w:rsidRPr="0053503B">
        <w:rPr>
          <w:rFonts w:ascii="ITC Avant Garde" w:hAnsi="ITC Avant Garde"/>
        </w:rPr>
        <w:t>Pegaso PCS, S.A. de C.V. (en lo sucesivo, “Telefónica”)</w:t>
      </w:r>
    </w:p>
    <w:p w14:paraId="701207A2" w14:textId="1BF4F2DA" w:rsidR="00AE7499" w:rsidRDefault="00AE7499" w:rsidP="00E53C1B">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3503B">
        <w:rPr>
          <w:rFonts w:ascii="ITC Avant Garde" w:eastAsiaTheme="minorHAnsi" w:hAnsi="ITC Avant Garde" w:cs="ITC Avant Garde"/>
          <w:lang w:eastAsia="en-US"/>
        </w:rPr>
        <w:t xml:space="preserve">AT&amp;T Comunicaciones Digitales, S. de R.L. de C.V., Grupo AT&amp;T </w:t>
      </w:r>
      <w:proofErr w:type="spellStart"/>
      <w:r w:rsidRPr="0053503B">
        <w:rPr>
          <w:rFonts w:ascii="ITC Avant Garde" w:eastAsiaTheme="minorHAnsi" w:hAnsi="ITC Avant Garde" w:cs="ITC Avant Garde"/>
          <w:lang w:eastAsia="en-US"/>
        </w:rPr>
        <w:t>Celullar</w:t>
      </w:r>
      <w:proofErr w:type="spellEnd"/>
      <w:r w:rsidRPr="0053503B">
        <w:rPr>
          <w:rFonts w:ascii="ITC Avant Garde" w:eastAsiaTheme="minorHAnsi" w:hAnsi="ITC Avant Garde" w:cs="ITC Avant Garde"/>
          <w:lang w:eastAsia="en-US"/>
        </w:rPr>
        <w:t>, S. de R.L. de C.V., AT&amp;T Norte, S. de R.L. de C.V., AT&amp;T Comercialización Móvil, S. de R.L. de C.V. y AT&amp;T Desarrollo en Comunicaciones de México, S. de R.L. de C.V. (en lo sucesivo conjuntamente, “AT&amp;T”)</w:t>
      </w:r>
    </w:p>
    <w:p w14:paraId="7EBBB534" w14:textId="50451699" w:rsidR="00AE7499" w:rsidRPr="0053503B" w:rsidRDefault="00AE7499" w:rsidP="00E53C1B">
      <w:pPr>
        <w:autoSpaceDE w:val="0"/>
        <w:autoSpaceDN w:val="0"/>
        <w:adjustRightInd w:val="0"/>
        <w:spacing w:after="0" w:line="276" w:lineRule="auto"/>
        <w:ind w:left="360"/>
        <w:rPr>
          <w:rFonts w:ascii="ITC Avant Garde" w:hAnsi="ITC Avant Garde" w:cs="ITC Avant Garde"/>
        </w:rPr>
      </w:pPr>
    </w:p>
    <w:p w14:paraId="260490B2" w14:textId="2C13363C" w:rsidR="00502BF7" w:rsidRPr="0053503B" w:rsidRDefault="00502BF7" w:rsidP="00E53C1B">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Respuestas y posicionamientos por parte del Instituto:</w:t>
      </w:r>
    </w:p>
    <w:p w14:paraId="27F34FC7" w14:textId="43C7F480" w:rsidR="00AE7499" w:rsidRPr="0053503B" w:rsidRDefault="00AE7499" w:rsidP="00E53C1B">
      <w:pPr>
        <w:spacing w:after="0" w:line="276" w:lineRule="auto"/>
        <w:rPr>
          <w:rFonts w:ascii="ITC Avant Garde" w:hAnsi="ITC Avant Garde" w:cs="ITC Avant Garde"/>
        </w:rPr>
      </w:pPr>
      <w:r w:rsidRPr="0053503B">
        <w:rPr>
          <w:rFonts w:ascii="ITC Avant Garde" w:hAnsi="ITC Avant Garde" w:cs="ITC Avant Garde"/>
        </w:rPr>
        <w:t>Se señala que las presentes Respuestas Generales atiende</w:t>
      </w:r>
      <w:r w:rsidR="008B5C23">
        <w:rPr>
          <w:rFonts w:ascii="ITC Avant Garde" w:hAnsi="ITC Avant Garde" w:cs="ITC Avant Garde"/>
        </w:rPr>
        <w:t>n</w:t>
      </w:r>
      <w:r w:rsidRPr="0053503B">
        <w:rPr>
          <w:rFonts w:ascii="ITC Avant Garde" w:hAnsi="ITC Avant Garde" w:cs="ITC Avant Garde"/>
        </w:rPr>
        <w:t xml:space="preserve"> únicamente lo relacionado con las observaciones realizadas</w:t>
      </w:r>
      <w:r w:rsidR="004E29BF">
        <w:rPr>
          <w:rFonts w:ascii="ITC Avant Garde" w:hAnsi="ITC Avant Garde" w:cs="ITC Avant Garde"/>
        </w:rPr>
        <w:t xml:space="preserve"> por los concesionarios en la consulta p</w:t>
      </w:r>
      <w:r w:rsidRPr="0053503B">
        <w:rPr>
          <w:rFonts w:ascii="ITC Avant Garde" w:hAnsi="ITC Avant Garde" w:cs="ITC Avant Garde"/>
        </w:rPr>
        <w:t xml:space="preserve">ública referente a los asuntos relacionados con la Propuesta de Convenio Marco </w:t>
      </w:r>
      <w:r w:rsidRPr="0053503B">
        <w:rPr>
          <w:rFonts w:ascii="ITC Avant Garde" w:hAnsi="ITC Avant Garde" w:cs="ITC Avant Garde"/>
        </w:rPr>
        <w:lastRenderedPageBreak/>
        <w:t>de Interconexión presentada por el Agente Económico Preponderante en el Sector de las Telecomunicaciones Móvil</w:t>
      </w:r>
      <w:r w:rsidR="003D79A2">
        <w:rPr>
          <w:rFonts w:ascii="ITC Avant Garde" w:hAnsi="ITC Avant Garde" w:cs="ITC Avant Garde"/>
        </w:rPr>
        <w:t xml:space="preserve"> </w:t>
      </w:r>
      <w:r w:rsidR="003D79A2" w:rsidRPr="00E16359">
        <w:rPr>
          <w:rFonts w:ascii="ITC Avant Garde" w:hAnsi="ITC Avant Garde"/>
        </w:rPr>
        <w:t>(en lo sucesivo, el “AEP”)</w:t>
      </w:r>
      <w:r w:rsidRPr="0053503B">
        <w:rPr>
          <w:rFonts w:ascii="ITC Avant Garde" w:hAnsi="ITC Avant Garde" w:cs="ITC Avant Garde"/>
        </w:rPr>
        <w:t>.</w:t>
      </w:r>
    </w:p>
    <w:p w14:paraId="3C485B77" w14:textId="77777777" w:rsidR="00AE7499" w:rsidRPr="0053503B" w:rsidRDefault="00AE7499" w:rsidP="00E53C1B">
      <w:pPr>
        <w:spacing w:after="0" w:line="276" w:lineRule="auto"/>
        <w:ind w:left="10"/>
        <w:rPr>
          <w:rFonts w:ascii="ITC Avant Garde" w:hAnsi="ITC Avant Garde"/>
        </w:rPr>
      </w:pPr>
    </w:p>
    <w:p w14:paraId="3EE9AA5D" w14:textId="1CEB9206" w:rsidR="00AE7499" w:rsidRDefault="00AE7499" w:rsidP="00E53C1B">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Por lo anterior, el Instituto emite las siguientes respuestas y consideraciones para cada una de las participaciones recibidas:  </w:t>
      </w:r>
    </w:p>
    <w:p w14:paraId="1A071634" w14:textId="77777777" w:rsidR="00962266" w:rsidRDefault="00962266" w:rsidP="00E53C1B">
      <w:pPr>
        <w:spacing w:after="0" w:line="276" w:lineRule="auto"/>
        <w:ind w:left="-5"/>
        <w:rPr>
          <w:rFonts w:ascii="ITC Avant Garde" w:eastAsia="Avant Garde" w:hAnsi="ITC Avant Garde" w:cs="Avant Garde"/>
          <w:color w:val="000000"/>
          <w:lang w:eastAsia="es-MX"/>
        </w:rPr>
      </w:pPr>
    </w:p>
    <w:p w14:paraId="0CFF8637" w14:textId="3994ECFC" w:rsidR="00962266" w:rsidRPr="00377423" w:rsidRDefault="00377423" w:rsidP="00E53C1B">
      <w:pPr>
        <w:spacing w:after="0" w:line="276" w:lineRule="auto"/>
        <w:rPr>
          <w:rFonts w:ascii="ITC Avant Garde" w:hAnsi="ITC Avant Garde"/>
          <w:b/>
          <w:sz w:val="24"/>
          <w:u w:val="single"/>
        </w:rPr>
      </w:pPr>
      <w:r w:rsidRPr="00377423">
        <w:rPr>
          <w:rFonts w:ascii="ITC Avant Garde" w:hAnsi="ITC Avant Garde"/>
          <w:b/>
          <w:sz w:val="24"/>
          <w:u w:val="single"/>
        </w:rPr>
        <w:t>Convenio Marco de Interconexión</w:t>
      </w:r>
    </w:p>
    <w:p w14:paraId="601DCF61" w14:textId="04D1A6D1" w:rsidR="00AE7499" w:rsidRDefault="00AE7499" w:rsidP="00E53C1B">
      <w:pPr>
        <w:spacing w:after="0" w:line="276" w:lineRule="auto"/>
        <w:rPr>
          <w:rFonts w:ascii="ITC Avant Garde" w:hAnsi="ITC Avant Garde"/>
          <w:b/>
          <w:sz w:val="24"/>
          <w:szCs w:val="24"/>
        </w:rPr>
      </w:pPr>
      <w:r w:rsidRPr="00377423">
        <w:rPr>
          <w:rFonts w:ascii="ITC Avant Garde" w:hAnsi="ITC Avant Garde"/>
          <w:b/>
          <w:sz w:val="24"/>
          <w:szCs w:val="24"/>
        </w:rPr>
        <w:t xml:space="preserve">Cláusula Primera Definiciones </w:t>
      </w:r>
    </w:p>
    <w:p w14:paraId="6DAB0075" w14:textId="77777777" w:rsidR="008A3F7E" w:rsidRPr="00A93783" w:rsidRDefault="008A3F7E" w:rsidP="00E53C1B">
      <w:pPr>
        <w:spacing w:after="0" w:line="276" w:lineRule="auto"/>
        <w:rPr>
          <w:rFonts w:ascii="ITC Avant Garde" w:hAnsi="ITC Avant Garde"/>
          <w:b/>
        </w:rPr>
      </w:pPr>
      <w:r w:rsidRPr="00A93783">
        <w:rPr>
          <w:rFonts w:ascii="ITC Avant Garde" w:hAnsi="ITC Avant Garde"/>
          <w:b/>
        </w:rPr>
        <w:t>CANIETI, ALTÁN</w:t>
      </w:r>
    </w:p>
    <w:p w14:paraId="52EEA761" w14:textId="2113557E" w:rsidR="007F0647" w:rsidRDefault="007F0647" w:rsidP="00E53C1B">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008A3F7E" w:rsidRPr="00A17C83">
        <w:rPr>
          <w:rFonts w:ascii="ITC Avant Garde" w:eastAsia="Avant Garde" w:hAnsi="ITC Avant Garde" w:cs="Avant Garde"/>
          <w:color w:val="000000"/>
          <w:lang w:eastAsia="es-MX"/>
        </w:rPr>
        <w:t xml:space="preserve">olicitan eliminar la condición </w:t>
      </w:r>
      <w:r w:rsidR="008A3F7E">
        <w:rPr>
          <w:rFonts w:ascii="ITC Avant Garde" w:eastAsia="Avant Garde" w:hAnsi="ITC Avant Garde" w:cs="Avant Garde"/>
          <w:color w:val="000000"/>
          <w:lang w:eastAsia="es-MX"/>
        </w:rPr>
        <w:t xml:space="preserve">referente a que los </w:t>
      </w:r>
      <w:r w:rsidR="008A3F7E" w:rsidRPr="00A17C83">
        <w:rPr>
          <w:rFonts w:ascii="ITC Avant Garde" w:eastAsia="Avant Garde" w:hAnsi="ITC Avant Garde" w:cs="Avant Garde"/>
          <w:color w:val="000000"/>
          <w:lang w:eastAsia="es-MX"/>
        </w:rPr>
        <w:t>mensajes cortos serán "persona a persona"</w:t>
      </w:r>
      <w:r>
        <w:rPr>
          <w:rFonts w:ascii="ITC Avant Garde" w:eastAsia="Avant Garde" w:hAnsi="ITC Avant Garde" w:cs="Avant Garde"/>
          <w:color w:val="000000"/>
          <w:lang w:eastAsia="es-MX"/>
        </w:rPr>
        <w:t xml:space="preserve"> tanto e</w:t>
      </w:r>
      <w:r w:rsidRPr="00A17C83">
        <w:rPr>
          <w:rFonts w:ascii="ITC Avant Garde" w:eastAsia="Avant Garde" w:hAnsi="ITC Avant Garde" w:cs="Avant Garde"/>
          <w:color w:val="000000"/>
          <w:lang w:eastAsia="es-MX"/>
        </w:rPr>
        <w:t>n la definición de "Contrato SIEMC"</w:t>
      </w:r>
      <w:r>
        <w:rPr>
          <w:rFonts w:ascii="ITC Avant Garde" w:eastAsia="Avant Garde" w:hAnsi="ITC Avant Garde" w:cs="Avant Garde"/>
          <w:color w:val="000000"/>
          <w:lang w:eastAsia="es-MX"/>
        </w:rPr>
        <w:t xml:space="preserve"> como en la cláusula 2.2, ya que el Instituto no ha otorgado esta clasificación.</w:t>
      </w:r>
    </w:p>
    <w:p w14:paraId="55B2B085" w14:textId="77777777" w:rsidR="008A3F7E" w:rsidRDefault="008A3F7E" w:rsidP="00E53C1B">
      <w:pPr>
        <w:spacing w:after="0" w:line="276" w:lineRule="auto"/>
        <w:ind w:left="10"/>
        <w:rPr>
          <w:rFonts w:ascii="ITC Avant Garde" w:eastAsia="Avant Garde" w:hAnsi="ITC Avant Garde" w:cs="Avant Garde"/>
          <w:color w:val="000000"/>
          <w:lang w:eastAsia="es-MX"/>
        </w:rPr>
      </w:pPr>
    </w:p>
    <w:p w14:paraId="432AC352" w14:textId="77777777" w:rsidR="008A3F7E" w:rsidRPr="004163C6" w:rsidRDefault="008A3F7E" w:rsidP="00E53C1B">
      <w:pPr>
        <w:spacing w:after="0" w:line="276" w:lineRule="auto"/>
        <w:rPr>
          <w:rFonts w:ascii="ITC Avant Garde" w:hAnsi="ITC Avant Garde"/>
          <w:b/>
        </w:rPr>
      </w:pPr>
      <w:r w:rsidRPr="004163C6">
        <w:rPr>
          <w:rFonts w:ascii="ITC Avant Garde" w:hAnsi="ITC Avant Garde"/>
          <w:b/>
        </w:rPr>
        <w:t xml:space="preserve">Consideraciones del Instituto </w:t>
      </w:r>
    </w:p>
    <w:p w14:paraId="5A93F4EF" w14:textId="77EDBD6F" w:rsidR="008A3F7E" w:rsidRPr="004163C6" w:rsidRDefault="008A3F7E" w:rsidP="00E53C1B">
      <w:pPr>
        <w:spacing w:after="0" w:line="276" w:lineRule="auto"/>
        <w:rPr>
          <w:rFonts w:ascii="ITC Avant Garde" w:hAnsi="ITC Avant Garde"/>
        </w:rPr>
      </w:pPr>
      <w:r w:rsidRPr="004163C6">
        <w:rPr>
          <w:rFonts w:ascii="ITC Avant Garde" w:eastAsia="Avant Garde" w:hAnsi="ITC Avant Garde" w:cs="Avant Garde"/>
          <w:color w:val="000000"/>
          <w:lang w:eastAsia="es-MX"/>
        </w:rPr>
        <w:t>Se modificó la Propuesta de CMI en su conjunto ya que, conforme al marco regulatorio vigente, el servicio de mensajes cortos no se encuentra limitado a que éste se prestará</w:t>
      </w:r>
      <w:r w:rsidR="0075079E">
        <w:rPr>
          <w:rFonts w:ascii="ITC Avant Garde" w:eastAsia="Avant Garde" w:hAnsi="ITC Avant Garde" w:cs="Avant Garde"/>
          <w:color w:val="000000"/>
          <w:lang w:eastAsia="es-MX"/>
        </w:rPr>
        <w:t xml:space="preserve"> exclusivamente</w:t>
      </w:r>
      <w:r w:rsidRPr="004163C6">
        <w:rPr>
          <w:rFonts w:ascii="ITC Avant Garde" w:eastAsia="Avant Garde" w:hAnsi="ITC Avant Garde" w:cs="Avant Garde"/>
          <w:color w:val="000000"/>
          <w:lang w:eastAsia="es-MX"/>
        </w:rPr>
        <w:t xml:space="preserve"> entre personas. </w:t>
      </w:r>
    </w:p>
    <w:p w14:paraId="79284DFC" w14:textId="276FD072" w:rsidR="008A3F7E" w:rsidRPr="004163C6" w:rsidRDefault="008A3F7E" w:rsidP="00E53C1B">
      <w:pPr>
        <w:spacing w:after="0" w:line="276" w:lineRule="auto"/>
        <w:rPr>
          <w:rFonts w:ascii="ITC Avant Garde" w:eastAsia="Avant Garde" w:hAnsi="ITC Avant Garde" w:cs="Avant Garde"/>
          <w:color w:val="000000"/>
          <w:lang w:eastAsia="es-MX"/>
        </w:rPr>
      </w:pPr>
      <w:r w:rsidRPr="004163C6">
        <w:rPr>
          <w:rFonts w:ascii="ITC Avant Garde" w:eastAsia="Avant Garde" w:hAnsi="ITC Avant Garde" w:cs="Avant Garde"/>
          <w:color w:val="000000"/>
          <w:lang w:eastAsia="es-MX"/>
        </w:rPr>
        <w:t xml:space="preserve">Por lo anterior, se modificó la definición de </w:t>
      </w:r>
      <w:r w:rsidR="00980B27">
        <w:rPr>
          <w:rFonts w:ascii="ITC Avant Garde" w:eastAsia="Avant Garde" w:hAnsi="ITC Avant Garde" w:cs="Avant Garde"/>
          <w:color w:val="000000"/>
          <w:lang w:eastAsia="es-MX"/>
        </w:rPr>
        <w:t>“</w:t>
      </w:r>
      <w:r w:rsidRPr="004163C6">
        <w:rPr>
          <w:rFonts w:ascii="ITC Avant Garde" w:eastAsia="Avant Garde" w:hAnsi="ITC Avant Garde" w:cs="Avant Garde"/>
          <w:color w:val="000000"/>
          <w:lang w:eastAsia="es-MX"/>
        </w:rPr>
        <w:t>Contrato SIEMC</w:t>
      </w:r>
      <w:r w:rsidR="00980B27">
        <w:rPr>
          <w:rFonts w:ascii="ITC Avant Garde" w:eastAsia="Avant Garde" w:hAnsi="ITC Avant Garde" w:cs="Avant Garde"/>
          <w:color w:val="000000"/>
          <w:lang w:eastAsia="es-MX"/>
        </w:rPr>
        <w:t>” y la lista de anexos de la cláusula 2.2</w:t>
      </w:r>
      <w:r w:rsidRPr="004163C6">
        <w:rPr>
          <w:rFonts w:ascii="ITC Avant Garde" w:eastAsia="Avant Garde" w:hAnsi="ITC Avant Garde" w:cs="Avant Garde"/>
          <w:color w:val="000000"/>
          <w:lang w:eastAsia="es-MX"/>
        </w:rPr>
        <w:t xml:space="preserve"> en los siguientes términos:</w:t>
      </w:r>
    </w:p>
    <w:p w14:paraId="1A44C299" w14:textId="77777777" w:rsidR="008A3F7E" w:rsidRPr="004163C6" w:rsidRDefault="008A3F7E" w:rsidP="00E53C1B">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47"/>
        <w:gridCol w:w="6191"/>
      </w:tblGrid>
      <w:tr w:rsidR="008A3F7E" w:rsidRPr="004163C6" w14:paraId="0EC1C50F" w14:textId="77777777" w:rsidTr="004D146E">
        <w:tc>
          <w:tcPr>
            <w:tcW w:w="2647" w:type="dxa"/>
            <w:shd w:val="clear" w:color="auto" w:fill="auto"/>
          </w:tcPr>
          <w:p w14:paraId="5AEA1968" w14:textId="77777777" w:rsidR="008A3F7E" w:rsidRPr="004163C6" w:rsidRDefault="008A3F7E" w:rsidP="00E53C1B">
            <w:pPr>
              <w:spacing w:after="0" w:line="276" w:lineRule="auto"/>
              <w:ind w:left="567" w:right="616" w:hanging="11"/>
              <w:rPr>
                <w:rFonts w:ascii="ITC Avant Garde" w:hAnsi="ITC Avant Garde"/>
                <w:i/>
                <w:sz w:val="18"/>
                <w:szCs w:val="18"/>
              </w:rPr>
            </w:pPr>
            <w:r w:rsidRPr="004163C6">
              <w:rPr>
                <w:rFonts w:ascii="ITC Avant Garde" w:hAnsi="ITC Avant Garde"/>
                <w:i/>
                <w:sz w:val="18"/>
                <w:szCs w:val="18"/>
              </w:rPr>
              <w:t>“Contrato SIEMC</w:t>
            </w:r>
          </w:p>
        </w:tc>
        <w:tc>
          <w:tcPr>
            <w:tcW w:w="6191" w:type="dxa"/>
            <w:shd w:val="clear" w:color="auto" w:fill="auto"/>
          </w:tcPr>
          <w:p w14:paraId="61DDA2F7" w14:textId="77777777" w:rsidR="008A3F7E" w:rsidRPr="004163C6" w:rsidRDefault="008A3F7E" w:rsidP="00E53C1B">
            <w:pPr>
              <w:spacing w:after="0" w:line="276" w:lineRule="auto"/>
              <w:ind w:left="567" w:right="616" w:hanging="11"/>
              <w:rPr>
                <w:rFonts w:ascii="ITC Avant Garde" w:hAnsi="ITC Avant Garde"/>
                <w:i/>
                <w:sz w:val="18"/>
                <w:szCs w:val="18"/>
              </w:rPr>
            </w:pPr>
            <w:r w:rsidRPr="004163C6">
              <w:rPr>
                <w:rFonts w:ascii="ITC Avant Garde" w:hAnsi="ITC Avant Garde"/>
                <w:i/>
                <w:sz w:val="18"/>
                <w:szCs w:val="18"/>
              </w:rPr>
              <w:t xml:space="preserve">Es el </w:t>
            </w:r>
            <w:r w:rsidRPr="004163C6">
              <w:rPr>
                <w:rFonts w:ascii="ITC Avant Garde" w:hAnsi="ITC Avant Garde"/>
                <w:i/>
                <w:strike/>
                <w:sz w:val="18"/>
                <w:szCs w:val="18"/>
              </w:rPr>
              <w:t>Contrato</w:t>
            </w:r>
            <w:r w:rsidRPr="004163C6">
              <w:rPr>
                <w:rFonts w:ascii="ITC Avant Garde" w:hAnsi="ITC Avant Garde"/>
                <w:i/>
                <w:sz w:val="18"/>
                <w:szCs w:val="18"/>
              </w:rPr>
              <w:t xml:space="preserve"> </w:t>
            </w:r>
            <w:r w:rsidRPr="004163C6">
              <w:rPr>
                <w:rFonts w:ascii="ITC Avant Garde" w:hAnsi="ITC Avant Garde"/>
                <w:i/>
                <w:sz w:val="18"/>
                <w:szCs w:val="18"/>
                <w:u w:val="single"/>
              </w:rPr>
              <w:t>Anexo G</w:t>
            </w:r>
            <w:r w:rsidRPr="004163C6">
              <w:rPr>
                <w:rFonts w:ascii="ITC Avant Garde" w:hAnsi="ITC Avant Garde"/>
                <w:i/>
                <w:sz w:val="18"/>
                <w:szCs w:val="18"/>
              </w:rPr>
              <w:t xml:space="preserve"> para la prestación del Servicio de Intercambio de Mensajes Cortos </w:t>
            </w:r>
            <w:r w:rsidRPr="004163C6">
              <w:rPr>
                <w:rFonts w:ascii="ITC Avant Garde" w:hAnsi="ITC Avant Garde"/>
                <w:i/>
                <w:strike/>
                <w:sz w:val="18"/>
                <w:szCs w:val="18"/>
              </w:rPr>
              <w:t>Persona a Persona</w:t>
            </w:r>
            <w:r w:rsidRPr="004163C6">
              <w:rPr>
                <w:rFonts w:ascii="ITC Avant Garde" w:hAnsi="ITC Avant Garde"/>
                <w:i/>
                <w:sz w:val="18"/>
                <w:szCs w:val="18"/>
              </w:rPr>
              <w:t xml:space="preserve"> que establece los términos y condiciones de dicho servicio, </w:t>
            </w:r>
            <w:r w:rsidRPr="004163C6">
              <w:rPr>
                <w:rFonts w:ascii="ITC Avant Garde" w:hAnsi="ITC Avant Garde"/>
                <w:i/>
                <w:strike/>
                <w:sz w:val="18"/>
                <w:szCs w:val="18"/>
              </w:rPr>
              <w:t>cuyo modelo se agrega al presente Convenio como Anexo “G”</w:t>
            </w:r>
            <w:r w:rsidRPr="004163C6">
              <w:rPr>
                <w:rFonts w:ascii="ITC Avant Garde" w:hAnsi="ITC Avant Garde"/>
                <w:i/>
                <w:sz w:val="18"/>
                <w:szCs w:val="18"/>
              </w:rPr>
              <w:t>.”</w:t>
            </w:r>
          </w:p>
        </w:tc>
      </w:tr>
    </w:tbl>
    <w:p w14:paraId="107D4FB5"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FE5A887" w14:textId="77777777" w:rsidR="00980B27" w:rsidRPr="004163C6" w:rsidRDefault="00980B27" w:rsidP="00E53C1B">
      <w:pPr>
        <w:spacing w:after="0" w:line="276" w:lineRule="auto"/>
        <w:ind w:left="567" w:right="616" w:hanging="11"/>
        <w:jc w:val="right"/>
        <w:rPr>
          <w:rFonts w:ascii="ITC Avant Garde" w:hAnsi="ITC Avant Garde"/>
          <w:i/>
          <w:sz w:val="18"/>
          <w:szCs w:val="18"/>
        </w:rPr>
      </w:pPr>
    </w:p>
    <w:p w14:paraId="2AA012F4" w14:textId="77777777" w:rsidR="00980B27" w:rsidRDefault="00980B27"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AE65A0">
        <w:rPr>
          <w:rFonts w:ascii="ITC Avant Garde" w:hAnsi="ITC Avant Garde"/>
          <w:i/>
          <w:sz w:val="18"/>
          <w:szCs w:val="18"/>
        </w:rPr>
        <w:t>“G”</w:t>
      </w:r>
      <w:r w:rsidRPr="00AE65A0">
        <w:rPr>
          <w:rFonts w:ascii="ITC Avant Garde" w:hAnsi="ITC Avant Garde"/>
          <w:i/>
          <w:sz w:val="18"/>
          <w:szCs w:val="18"/>
        </w:rPr>
        <w:tab/>
      </w:r>
      <w:r w:rsidRPr="00AE65A0">
        <w:rPr>
          <w:rFonts w:ascii="ITC Avant Garde" w:hAnsi="ITC Avant Garde"/>
          <w:i/>
          <w:strike/>
          <w:sz w:val="18"/>
          <w:szCs w:val="18"/>
        </w:rPr>
        <w:t>Modelo del Contrato para el</w:t>
      </w:r>
      <w:r w:rsidRPr="00AE65A0">
        <w:rPr>
          <w:rFonts w:ascii="ITC Avant Garde" w:hAnsi="ITC Avant Garde"/>
          <w:i/>
          <w:sz w:val="18"/>
          <w:szCs w:val="18"/>
        </w:rPr>
        <w:t xml:space="preserve"> Servicio de Intercambio </w:t>
      </w:r>
      <w:r w:rsidRPr="00980B27">
        <w:rPr>
          <w:rFonts w:ascii="ITC Avant Garde" w:hAnsi="ITC Avant Garde"/>
          <w:i/>
          <w:sz w:val="18"/>
          <w:szCs w:val="18"/>
        </w:rPr>
        <w:t>Electrónico</w:t>
      </w:r>
      <w:r w:rsidRPr="00AE65A0">
        <w:rPr>
          <w:rFonts w:ascii="ITC Avant Garde" w:hAnsi="ITC Avant Garde"/>
          <w:i/>
          <w:sz w:val="18"/>
          <w:szCs w:val="18"/>
        </w:rPr>
        <w:t xml:space="preserve"> de Mensajes Cortos </w:t>
      </w:r>
      <w:r w:rsidRPr="00AE65A0">
        <w:rPr>
          <w:rFonts w:ascii="ITC Avant Garde" w:hAnsi="ITC Avant Garde"/>
          <w:i/>
          <w:strike/>
          <w:sz w:val="18"/>
          <w:szCs w:val="18"/>
        </w:rPr>
        <w:t>Persona a Persona</w:t>
      </w:r>
      <w:r w:rsidRPr="00AE65A0">
        <w:rPr>
          <w:rFonts w:ascii="ITC Avant Garde" w:hAnsi="ITC Avant Garde"/>
          <w:i/>
          <w:sz w:val="18"/>
          <w:szCs w:val="18"/>
        </w:rPr>
        <w:t xml:space="preserve"> (SIEMC)</w:t>
      </w:r>
      <w:r>
        <w:rPr>
          <w:rFonts w:ascii="ITC Avant Garde" w:hAnsi="ITC Avant Garde"/>
          <w:i/>
          <w:sz w:val="18"/>
          <w:szCs w:val="18"/>
        </w:rPr>
        <w:t>”</w:t>
      </w:r>
    </w:p>
    <w:p w14:paraId="642F953E"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9F957D2" w14:textId="77777777" w:rsidR="008A3F7E" w:rsidRPr="00377423" w:rsidRDefault="008A3F7E" w:rsidP="00E53C1B">
      <w:pPr>
        <w:spacing w:after="0" w:line="276" w:lineRule="auto"/>
        <w:rPr>
          <w:rFonts w:ascii="ITC Avant Garde" w:hAnsi="ITC Avant Garde"/>
          <w:b/>
          <w:sz w:val="24"/>
          <w:szCs w:val="24"/>
        </w:rPr>
      </w:pPr>
    </w:p>
    <w:p w14:paraId="72A9AC1A" w14:textId="77777777" w:rsidR="00AE7499" w:rsidRPr="0053503B" w:rsidRDefault="00AE7499" w:rsidP="00E53C1B">
      <w:pPr>
        <w:spacing w:after="0" w:line="276" w:lineRule="auto"/>
        <w:rPr>
          <w:rFonts w:ascii="ITC Avant Garde" w:hAnsi="ITC Avant Garde"/>
          <w:b/>
        </w:rPr>
      </w:pPr>
      <w:r w:rsidRPr="0053503B">
        <w:rPr>
          <w:rFonts w:ascii="ITC Avant Garde" w:hAnsi="ITC Avant Garde"/>
          <w:b/>
        </w:rPr>
        <w:t xml:space="preserve">CANIETI, ALTÁN, TELEVISA Y TELFÓNICA </w:t>
      </w:r>
    </w:p>
    <w:p w14:paraId="509F6F50" w14:textId="576BF95E" w:rsidR="006771B5" w:rsidRPr="006771B5" w:rsidRDefault="006771B5" w:rsidP="00E53C1B">
      <w:pPr>
        <w:spacing w:after="0" w:line="276" w:lineRule="auto"/>
        <w:ind w:left="10"/>
        <w:rPr>
          <w:rFonts w:ascii="ITC Avant Garde" w:hAnsi="ITC Avant Garde"/>
        </w:rPr>
      </w:pPr>
      <w:r w:rsidRPr="006771B5">
        <w:rPr>
          <w:rFonts w:ascii="ITC Avant Garde" w:hAnsi="ITC Avant Garde"/>
        </w:rPr>
        <w:t xml:space="preserve">Solicitan modificar la definición de </w:t>
      </w:r>
      <w:r w:rsidR="004E29BF">
        <w:rPr>
          <w:rFonts w:ascii="ITC Avant Garde" w:hAnsi="ITC Avant Garde"/>
        </w:rPr>
        <w:t>“</w:t>
      </w:r>
      <w:r w:rsidRPr="006771B5">
        <w:rPr>
          <w:rFonts w:ascii="ITC Avant Garde" w:hAnsi="ITC Avant Garde"/>
        </w:rPr>
        <w:t>Servicios de Interco</w:t>
      </w:r>
      <w:r w:rsidR="004E29BF">
        <w:rPr>
          <w:rFonts w:ascii="ITC Avant Garde" w:hAnsi="ITC Avant Garde"/>
        </w:rPr>
        <w:t>nexión”</w:t>
      </w:r>
      <w:r>
        <w:rPr>
          <w:rFonts w:ascii="ITC Avant Garde" w:hAnsi="ITC Avant Garde"/>
        </w:rPr>
        <w:t xml:space="preserve"> conforme a lo siguiente:</w:t>
      </w:r>
    </w:p>
    <w:p w14:paraId="16F1C2E6" w14:textId="77777777" w:rsidR="000371C6" w:rsidRDefault="000371C6" w:rsidP="00E53C1B">
      <w:pPr>
        <w:spacing w:after="0" w:line="276" w:lineRule="auto"/>
        <w:ind w:left="567" w:right="616" w:hanging="11"/>
        <w:rPr>
          <w:rFonts w:ascii="ITC Avant Garde" w:hAnsi="ITC Avant Garde"/>
          <w:i/>
          <w:sz w:val="18"/>
          <w:szCs w:val="18"/>
        </w:rPr>
      </w:pPr>
    </w:p>
    <w:p w14:paraId="6382B1BF" w14:textId="793C3CB4" w:rsidR="006771B5" w:rsidRPr="006771B5" w:rsidRDefault="006771B5" w:rsidP="00E53C1B">
      <w:pPr>
        <w:spacing w:after="0" w:line="276" w:lineRule="auto"/>
        <w:ind w:left="567" w:right="616" w:hanging="11"/>
        <w:rPr>
          <w:rFonts w:ascii="ITC Avant Garde" w:hAnsi="ITC Avant Garde"/>
          <w:i/>
          <w:sz w:val="18"/>
          <w:szCs w:val="18"/>
        </w:rPr>
      </w:pPr>
      <w:r w:rsidRPr="006771B5">
        <w:rPr>
          <w:rFonts w:ascii="ITC Avant Garde" w:hAnsi="ITC Avant Garde"/>
          <w:i/>
          <w:sz w:val="18"/>
          <w:szCs w:val="18"/>
        </w:rPr>
        <w:t>“Todos los servicios de interconexión serán obligatorios para el agente económico preponderante, mientras que sólo los servicios de conducción de tráfico, enlaces de transmisión, puertos de acceso y señalización, serán obligatorios para el resto de los concesionarios”</w:t>
      </w:r>
    </w:p>
    <w:p w14:paraId="1BEDC9E7" w14:textId="77777777" w:rsidR="006771B5" w:rsidRDefault="006771B5" w:rsidP="00E53C1B">
      <w:pPr>
        <w:spacing w:after="0" w:line="276" w:lineRule="auto"/>
        <w:rPr>
          <w:rFonts w:ascii="ITC Avant Garde" w:hAnsi="ITC Avant Garde"/>
          <w:b/>
        </w:rPr>
      </w:pPr>
    </w:p>
    <w:p w14:paraId="37E1D60E" w14:textId="500B80DD" w:rsidR="00AE7499" w:rsidRDefault="00AE7499"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645B90B3" w14:textId="71F197FF" w:rsidR="003E5658" w:rsidRDefault="003E5658" w:rsidP="00E53C1B">
      <w:pPr>
        <w:spacing w:after="0" w:line="276" w:lineRule="auto"/>
        <w:ind w:left="-5"/>
        <w:rPr>
          <w:rFonts w:ascii="ITC Avant Garde" w:eastAsia="Avant Garde" w:hAnsi="ITC Avant Garde" w:cs="Avant Garde"/>
          <w:color w:val="000000"/>
          <w:lang w:eastAsia="es-MX"/>
        </w:rPr>
      </w:pPr>
      <w:r w:rsidRPr="003E5658">
        <w:rPr>
          <w:rFonts w:ascii="ITC Avant Garde" w:eastAsia="Avant Garde" w:hAnsi="ITC Avant Garde" w:cs="Avant Garde"/>
          <w:color w:val="000000"/>
          <w:lang w:eastAsia="es-MX"/>
        </w:rPr>
        <w:t>La definición ya establece que</w:t>
      </w:r>
      <w:r>
        <w:rPr>
          <w:rFonts w:ascii="ITC Avant Garde" w:eastAsia="Avant Garde" w:hAnsi="ITC Avant Garde" w:cs="Avant Garde"/>
          <w:color w:val="000000"/>
          <w:lang w:eastAsia="es-MX"/>
        </w:rPr>
        <w:t>,</w:t>
      </w:r>
      <w:r w:rsidRPr="003E5658">
        <w:rPr>
          <w:rFonts w:ascii="ITC Avant Garde" w:eastAsia="Avant Garde" w:hAnsi="ITC Avant Garde" w:cs="Avant Garde"/>
          <w:color w:val="000000"/>
          <w:lang w:eastAsia="es-MX"/>
        </w:rPr>
        <w:t xml:space="preserve"> de conformidad a los artículos 127 y 133 de la LFTR</w:t>
      </w:r>
      <w:r w:rsidR="00F633CD">
        <w:rPr>
          <w:rFonts w:ascii="ITC Avant Garde" w:eastAsia="Avant Garde" w:hAnsi="ITC Avant Garde" w:cs="Avant Garde"/>
          <w:color w:val="000000"/>
          <w:lang w:eastAsia="es-MX"/>
        </w:rPr>
        <w:t>,</w:t>
      </w:r>
      <w:r w:rsidRPr="003E5658">
        <w:rPr>
          <w:rFonts w:ascii="ITC Avant Garde" w:eastAsia="Avant Garde" w:hAnsi="ITC Avant Garde" w:cs="Avant Garde"/>
          <w:color w:val="000000"/>
          <w:lang w:eastAsia="es-MX"/>
        </w:rPr>
        <w:t xml:space="preserve"> todos los servicios de interconexi</w:t>
      </w:r>
      <w:r w:rsidR="00F633CD">
        <w:rPr>
          <w:rFonts w:ascii="ITC Avant Garde" w:eastAsia="Avant Garde" w:hAnsi="ITC Avant Garde" w:cs="Avant Garde"/>
          <w:color w:val="000000"/>
          <w:lang w:eastAsia="es-MX"/>
        </w:rPr>
        <w:t>ón son obligatorios para el AEP</w:t>
      </w:r>
      <w:r w:rsidRPr="003E5658">
        <w:rPr>
          <w:rFonts w:ascii="ITC Avant Garde" w:eastAsia="Avant Garde" w:hAnsi="ITC Avant Garde" w:cs="Avant Garde"/>
          <w:color w:val="000000"/>
          <w:lang w:eastAsia="es-MX"/>
        </w:rPr>
        <w:t xml:space="preserve"> mientras que los servicios de conducción de tráfico, enlaces de transmisión, puertos de acceso y </w:t>
      </w:r>
      <w:r w:rsidRPr="003E5658">
        <w:rPr>
          <w:rFonts w:ascii="ITC Avant Garde" w:eastAsia="Avant Garde" w:hAnsi="ITC Avant Garde" w:cs="Avant Garde"/>
          <w:color w:val="000000"/>
          <w:lang w:eastAsia="es-MX"/>
        </w:rPr>
        <w:lastRenderedPageBreak/>
        <w:t>señalización serán obligatorios para el resto de los concesionarios</w:t>
      </w:r>
      <w:r w:rsidR="00F633CD">
        <w:rPr>
          <w:rFonts w:ascii="ITC Avant Garde" w:eastAsia="Avant Garde" w:hAnsi="ITC Avant Garde" w:cs="Avant Garde"/>
          <w:color w:val="000000"/>
          <w:lang w:eastAsia="es-MX"/>
        </w:rPr>
        <w:t>, tal como se muestra a continuación:</w:t>
      </w:r>
    </w:p>
    <w:p w14:paraId="7CDE39F2" w14:textId="67939A23" w:rsidR="00935B3E" w:rsidRDefault="00935B3E" w:rsidP="00E53C1B">
      <w:pPr>
        <w:spacing w:after="0" w:line="276" w:lineRule="auto"/>
        <w:ind w:left="-5"/>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57"/>
        <w:gridCol w:w="6181"/>
      </w:tblGrid>
      <w:tr w:rsidR="00BE5F6A" w:rsidRPr="00BE5F6A" w14:paraId="0AFCDBC3" w14:textId="77777777" w:rsidTr="00A27F4B">
        <w:tc>
          <w:tcPr>
            <w:tcW w:w="2657" w:type="dxa"/>
            <w:shd w:val="clear" w:color="auto" w:fill="auto"/>
          </w:tcPr>
          <w:p w14:paraId="57751AB9" w14:textId="77777777" w:rsidR="00BE5F6A" w:rsidRPr="00BE5F6A" w:rsidRDefault="00BE5F6A" w:rsidP="00E53C1B">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“Servicios de</w:t>
            </w:r>
          </w:p>
          <w:p w14:paraId="428F13CF" w14:textId="77777777" w:rsidR="00BE5F6A" w:rsidRPr="00BE5F6A" w:rsidRDefault="00BE5F6A" w:rsidP="00E53C1B">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Interconexión</w:t>
            </w:r>
          </w:p>
        </w:tc>
        <w:tc>
          <w:tcPr>
            <w:tcW w:w="6181" w:type="dxa"/>
            <w:shd w:val="clear" w:color="auto" w:fill="auto"/>
          </w:tcPr>
          <w:p w14:paraId="66036161" w14:textId="77777777" w:rsidR="00BE5F6A" w:rsidRDefault="00BE5F6A" w:rsidP="00E53C1B">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 xml:space="preserve">Los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 </w:t>
            </w:r>
            <w:r w:rsidRPr="00FE37D2">
              <w:rPr>
                <w:rFonts w:ascii="ITC Avant Garde" w:hAnsi="ITC Avant Garde"/>
                <w:i/>
                <w:sz w:val="18"/>
                <w:szCs w:val="18"/>
                <w:u w:val="single"/>
              </w:rPr>
              <w:t>Conforme a los artículos 127 y 133 de la Ley, todos los servicios de interconexión serán obligatorios para el Agente Económico Preponderante, mientras que los servicios de conducción de tráfico, enlaces de transmisión, puertos de acceso y señalización serán obligatorios para el resto de los concesionarios</w:t>
            </w:r>
            <w:r w:rsidRPr="00FE37D2">
              <w:rPr>
                <w:rFonts w:ascii="ITC Avant Garde" w:hAnsi="ITC Avant Garde"/>
                <w:i/>
                <w:sz w:val="18"/>
                <w:szCs w:val="18"/>
              </w:rPr>
              <w:t>”</w:t>
            </w:r>
          </w:p>
          <w:p w14:paraId="05F7B58F" w14:textId="04345090" w:rsidR="00FE37D2" w:rsidRPr="00BE5F6A" w:rsidRDefault="00FE37D2" w:rsidP="00E53C1B">
            <w:pPr>
              <w:spacing w:after="0" w:line="276" w:lineRule="auto"/>
              <w:ind w:left="567" w:right="616" w:hanging="11"/>
              <w:rPr>
                <w:rFonts w:ascii="ITC Avant Garde" w:hAnsi="ITC Avant Garde"/>
                <w:i/>
                <w:sz w:val="18"/>
                <w:szCs w:val="18"/>
              </w:rPr>
            </w:pPr>
          </w:p>
        </w:tc>
      </w:tr>
    </w:tbl>
    <w:p w14:paraId="0203BB28"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2120073" w14:textId="77777777" w:rsidR="00FE7D6B" w:rsidRDefault="00FE7D6B" w:rsidP="00E53C1B">
      <w:pPr>
        <w:spacing w:after="0" w:line="276" w:lineRule="auto"/>
        <w:ind w:left="10"/>
        <w:rPr>
          <w:rFonts w:ascii="ITC Avant Garde" w:eastAsia="Avant Garde" w:hAnsi="ITC Avant Garde" w:cs="Avant Garde"/>
          <w:color w:val="000000"/>
          <w:lang w:eastAsia="es-MX"/>
        </w:rPr>
      </w:pPr>
    </w:p>
    <w:p w14:paraId="6C57EB96" w14:textId="7E001D83" w:rsidR="00AE7499" w:rsidRDefault="00D2332B" w:rsidP="00E53C1B">
      <w:pPr>
        <w:spacing w:after="0" w:line="276" w:lineRule="auto"/>
        <w:ind w:left="10"/>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lo anterior, la definición de “Servicios de Interconexión” se mantiene en sus términos.</w:t>
      </w:r>
    </w:p>
    <w:p w14:paraId="65792D1D" w14:textId="74C4A6F2" w:rsidR="00A17C83" w:rsidRDefault="00A17C83" w:rsidP="00E53C1B">
      <w:pPr>
        <w:spacing w:after="0" w:line="276" w:lineRule="auto"/>
        <w:ind w:left="10"/>
        <w:rPr>
          <w:rFonts w:ascii="ITC Avant Garde" w:eastAsia="Avant Garde" w:hAnsi="ITC Avant Garde" w:cs="Avant Garde"/>
          <w:color w:val="000000"/>
          <w:lang w:eastAsia="es-MX"/>
        </w:rPr>
      </w:pPr>
    </w:p>
    <w:p w14:paraId="00E4132B" w14:textId="290A5262" w:rsidR="00A17C83" w:rsidRPr="0053503B" w:rsidRDefault="00A17C83"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AT&amp;T</w:t>
      </w:r>
      <w:r>
        <w:rPr>
          <w:rFonts w:ascii="ITC Avant Garde" w:eastAsia="Avant Garde" w:hAnsi="ITC Avant Garde" w:cs="Avant Garde"/>
          <w:b/>
          <w:color w:val="000000"/>
          <w:lang w:eastAsia="es-MX"/>
        </w:rPr>
        <w:t>, CANIETI, TELEVISA, ALTÁN</w:t>
      </w:r>
    </w:p>
    <w:p w14:paraId="48BFFED6" w14:textId="21814B18" w:rsidR="00A17C83" w:rsidRDefault="004E29BF"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00A17C83" w:rsidRPr="00C7390C">
        <w:rPr>
          <w:rFonts w:ascii="ITC Avant Garde" w:eastAsia="Avant Garde" w:hAnsi="ITC Avant Garde" w:cs="Avant Garde"/>
          <w:color w:val="000000"/>
          <w:lang w:eastAsia="es-MX"/>
        </w:rPr>
        <w:t>Us</w:t>
      </w:r>
      <w:r>
        <w:rPr>
          <w:rFonts w:ascii="ITC Avant Garde" w:eastAsia="Avant Garde" w:hAnsi="ITC Avant Garde" w:cs="Avant Garde"/>
          <w:color w:val="000000"/>
          <w:lang w:eastAsia="es-MX"/>
        </w:rPr>
        <w:t>o Compartido de Infraestructura”</w:t>
      </w:r>
      <w:r w:rsidR="00A17C83">
        <w:rPr>
          <w:rFonts w:ascii="ITC Avant Garde" w:eastAsia="Avant Garde" w:hAnsi="ITC Avant Garde" w:cs="Avant Garde"/>
          <w:color w:val="000000"/>
          <w:lang w:eastAsia="es-MX"/>
        </w:rPr>
        <w:t>,</w:t>
      </w:r>
      <w:r w:rsidR="00A17C83" w:rsidRPr="00C7390C">
        <w:rPr>
          <w:rFonts w:ascii="ITC Avant Garde" w:eastAsia="Avant Garde" w:hAnsi="ITC Avant Garde" w:cs="Avant Garde"/>
          <w:color w:val="000000"/>
          <w:lang w:eastAsia="es-MX"/>
        </w:rPr>
        <w:t xml:space="preserve"> so</w:t>
      </w:r>
      <w:r w:rsidR="00A17C83">
        <w:rPr>
          <w:rFonts w:ascii="ITC Avant Garde" w:eastAsia="Avant Garde" w:hAnsi="ITC Avant Garde" w:cs="Avant Garde"/>
          <w:color w:val="000000"/>
          <w:lang w:eastAsia="es-MX"/>
        </w:rPr>
        <w:t>licitan eliminar la condición referente a</w:t>
      </w:r>
      <w:r>
        <w:rPr>
          <w:rFonts w:ascii="ITC Avant Garde" w:eastAsia="Avant Garde" w:hAnsi="ITC Avant Garde" w:cs="Avant Garde"/>
          <w:color w:val="000000"/>
          <w:lang w:eastAsia="es-MX"/>
        </w:rPr>
        <w:t xml:space="preserve"> que “</w:t>
      </w:r>
      <w:r w:rsidR="00A17C83" w:rsidRPr="00C7390C">
        <w:rPr>
          <w:rFonts w:ascii="ITC Avant Garde" w:eastAsia="Avant Garde" w:hAnsi="ITC Avant Garde" w:cs="Avant Garde"/>
          <w:color w:val="000000"/>
          <w:lang w:eastAsia="es-MX"/>
        </w:rPr>
        <w:t>en tanto ell</w:t>
      </w:r>
      <w:r>
        <w:rPr>
          <w:rFonts w:ascii="ITC Avant Garde" w:eastAsia="Avant Garde" w:hAnsi="ITC Avant Garde" w:cs="Avant Garde"/>
          <w:color w:val="000000"/>
          <w:lang w:eastAsia="es-MX"/>
        </w:rPr>
        <w:t>o resulte técnicamente factible”</w:t>
      </w:r>
      <w:r w:rsidR="00A17C83">
        <w:rPr>
          <w:rFonts w:ascii="ITC Avant Garde" w:eastAsia="Avant Garde" w:hAnsi="ITC Avant Garde" w:cs="Avant Garde"/>
          <w:color w:val="000000"/>
          <w:lang w:eastAsia="es-MX"/>
        </w:rPr>
        <w:t xml:space="preserve"> para mantener la redacción del CMI vigente</w:t>
      </w:r>
      <w:r w:rsidR="000B557A">
        <w:rPr>
          <w:rStyle w:val="Refdenotaalpie"/>
          <w:rFonts w:ascii="ITC Avant Garde" w:eastAsia="Avant Garde" w:hAnsi="ITC Avant Garde" w:cs="Avant Garde"/>
          <w:color w:val="000000"/>
          <w:lang w:eastAsia="es-MX"/>
        </w:rPr>
        <w:footnoteReference w:id="1"/>
      </w:r>
      <w:r w:rsidR="00A17C83">
        <w:rPr>
          <w:rFonts w:ascii="ITC Avant Garde" w:eastAsia="Avant Garde" w:hAnsi="ITC Avant Garde" w:cs="Avant Garde"/>
          <w:color w:val="000000"/>
          <w:lang w:eastAsia="es-MX"/>
        </w:rPr>
        <w:t>.</w:t>
      </w:r>
    </w:p>
    <w:p w14:paraId="4957E4A7" w14:textId="77777777" w:rsidR="007B51ED" w:rsidRDefault="007B51ED" w:rsidP="00E53C1B">
      <w:pPr>
        <w:spacing w:after="0" w:line="276" w:lineRule="auto"/>
        <w:rPr>
          <w:rFonts w:ascii="ITC Avant Garde" w:eastAsia="Avant Garde" w:hAnsi="ITC Avant Garde" w:cs="Avant Garde"/>
          <w:color w:val="000000"/>
          <w:lang w:eastAsia="es-MX"/>
        </w:rPr>
      </w:pPr>
    </w:p>
    <w:p w14:paraId="08A023A6" w14:textId="77777777" w:rsidR="00A17C83" w:rsidRDefault="00A17C83"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02845653" w14:textId="35514ADB" w:rsidR="00A17C83" w:rsidRDefault="00A17C83" w:rsidP="00E53C1B">
      <w:pPr>
        <w:spacing w:after="0" w:line="276" w:lineRule="auto"/>
        <w:ind w:right="49"/>
        <w:rPr>
          <w:rFonts w:ascii="ITC Avant Garde" w:hAnsi="ITC Avant Garde" w:cs="Arial"/>
          <w:lang w:eastAsia="es-MX"/>
        </w:rPr>
      </w:pPr>
      <w:r>
        <w:rPr>
          <w:rFonts w:ascii="ITC Avant Garde" w:hAnsi="ITC Avant Garde" w:cs="Arial"/>
          <w:lang w:eastAsia="es-MX"/>
        </w:rPr>
        <w:t>De acuerdo a lo establecido en el artículo 138 de la LFTR, es obligación del AEP la celebración de acuerdos para compartición de sitios de coubicación y uso compartido de infraestructura. Conforme lo anterior, se elimina la precisión realizada por Telcel en el sentido de que se realizará cuando esto sea “técnicamente factible”, ya que dicha condición resulta ambigua al no establecer criterios claros sobre los aspectos que se considerarán para determinar dicha condición.</w:t>
      </w:r>
      <w:r w:rsidR="00262696">
        <w:rPr>
          <w:rFonts w:ascii="ITC Avant Garde" w:hAnsi="ITC Avant Garde" w:cs="Arial"/>
          <w:lang w:eastAsia="es-MX"/>
        </w:rPr>
        <w:t xml:space="preserve"> Por lo anterior, se modifica la definición en los siguientes términos:</w:t>
      </w:r>
    </w:p>
    <w:p w14:paraId="0AB17905" w14:textId="77777777" w:rsidR="005533CB" w:rsidRDefault="005533CB" w:rsidP="00E53C1B">
      <w:pPr>
        <w:spacing w:after="0" w:line="276" w:lineRule="auto"/>
        <w:ind w:right="49"/>
        <w:rPr>
          <w:rFonts w:ascii="ITC Avant Garde" w:hAnsi="ITC Avant Garde" w:cs="Arial"/>
          <w:lang w:eastAsia="es-MX"/>
        </w:rPr>
      </w:pPr>
    </w:p>
    <w:tbl>
      <w:tblPr>
        <w:tblW w:w="0" w:type="auto"/>
        <w:tblLook w:val="04A0" w:firstRow="1" w:lastRow="0" w:firstColumn="1" w:lastColumn="0" w:noHBand="0" w:noVBand="1"/>
      </w:tblPr>
      <w:tblGrid>
        <w:gridCol w:w="2659"/>
        <w:gridCol w:w="6179"/>
      </w:tblGrid>
      <w:tr w:rsidR="005533CB" w:rsidRPr="008400DF" w14:paraId="75E034AA" w14:textId="77777777" w:rsidTr="005533CB">
        <w:tc>
          <w:tcPr>
            <w:tcW w:w="2659" w:type="dxa"/>
            <w:shd w:val="clear" w:color="auto" w:fill="auto"/>
          </w:tcPr>
          <w:p w14:paraId="4D00DB5C" w14:textId="49634630" w:rsidR="005533CB" w:rsidRPr="005533CB" w:rsidRDefault="005533CB"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5533CB">
              <w:rPr>
                <w:rFonts w:ascii="ITC Avant Garde" w:hAnsi="ITC Avant Garde"/>
                <w:i/>
                <w:sz w:val="18"/>
                <w:szCs w:val="18"/>
              </w:rPr>
              <w:t>Uso Compartido</w:t>
            </w:r>
          </w:p>
          <w:p w14:paraId="34EC30C3" w14:textId="77777777" w:rsidR="005533CB" w:rsidRPr="005533CB" w:rsidRDefault="005533CB" w:rsidP="00E53C1B">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de Infraestructura</w:t>
            </w:r>
          </w:p>
        </w:tc>
        <w:tc>
          <w:tcPr>
            <w:tcW w:w="6179" w:type="dxa"/>
            <w:shd w:val="clear" w:color="auto" w:fill="auto"/>
          </w:tcPr>
          <w:p w14:paraId="64178899" w14:textId="30001951" w:rsidR="005533CB" w:rsidRPr="005533CB" w:rsidRDefault="005533CB" w:rsidP="00E53C1B">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 xml:space="preserve">El derecho del CONCESIONARIO de utilizar en forma conjunta y simultánea con otro concesionario, la infraestructura que le haya provisto TELCEL, para fines </w:t>
            </w:r>
            <w:r w:rsidRPr="005533CB">
              <w:rPr>
                <w:rFonts w:ascii="ITC Avant Garde" w:hAnsi="ITC Avant Garde"/>
                <w:i/>
                <w:sz w:val="18"/>
                <w:szCs w:val="18"/>
              </w:rPr>
              <w:lastRenderedPageBreak/>
              <w:t>de interconexión</w:t>
            </w:r>
            <w:r>
              <w:rPr>
                <w:rFonts w:ascii="ITC Avant Garde" w:hAnsi="ITC Avant Garde"/>
                <w:i/>
                <w:strike/>
                <w:sz w:val="18"/>
                <w:szCs w:val="18"/>
              </w:rPr>
              <w:t>, en tanto ello resulte técnicamente factible</w:t>
            </w:r>
            <w:r w:rsidRPr="005533CB">
              <w:rPr>
                <w:rFonts w:ascii="ITC Avant Garde" w:hAnsi="ITC Avant Garde"/>
                <w:i/>
                <w:sz w:val="18"/>
                <w:szCs w:val="18"/>
              </w:rPr>
              <w:t>.</w:t>
            </w:r>
            <w:r>
              <w:rPr>
                <w:rFonts w:ascii="ITC Avant Garde" w:hAnsi="ITC Avant Garde"/>
                <w:i/>
                <w:sz w:val="18"/>
                <w:szCs w:val="18"/>
              </w:rPr>
              <w:t>”</w:t>
            </w:r>
          </w:p>
        </w:tc>
      </w:tr>
    </w:tbl>
    <w:p w14:paraId="0E99E679" w14:textId="77777777" w:rsidR="005533CB" w:rsidRPr="00A27F4B" w:rsidRDefault="005533C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lastRenderedPageBreak/>
        <w:t>Énfasis añadido</w:t>
      </w:r>
    </w:p>
    <w:p w14:paraId="33312B8E" w14:textId="77777777" w:rsidR="00A12766" w:rsidRDefault="00A12766" w:rsidP="00E53C1B">
      <w:pPr>
        <w:spacing w:after="0" w:line="276" w:lineRule="auto"/>
        <w:ind w:right="49"/>
        <w:rPr>
          <w:rFonts w:ascii="ITC Avant Garde" w:hAnsi="ITC Avant Garde" w:cs="Arial"/>
          <w:lang w:eastAsia="es-MX"/>
        </w:rPr>
      </w:pPr>
    </w:p>
    <w:p w14:paraId="405A7F63" w14:textId="5E4F1F8F" w:rsidR="00EC66A5" w:rsidRPr="0053503B" w:rsidRDefault="00EC66A5"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p>
    <w:p w14:paraId="1C826B32" w14:textId="123A47FF" w:rsidR="009E3A1F" w:rsidRDefault="009E3A1F" w:rsidP="00E53C1B">
      <w:pPr>
        <w:spacing w:after="0" w:line="276" w:lineRule="auto"/>
        <w:rPr>
          <w:rFonts w:ascii="ITC Avant Garde" w:eastAsia="Avant Garde" w:hAnsi="ITC Avant Garde" w:cs="Avant Garde"/>
          <w:color w:val="000000"/>
          <w:lang w:eastAsia="es-MX"/>
        </w:rPr>
      </w:pPr>
      <w:r w:rsidRPr="009E3A1F">
        <w:rPr>
          <w:rFonts w:ascii="ITC Avant Garde" w:eastAsia="Avant Garde" w:hAnsi="ITC Avant Garde" w:cs="Avant Garde"/>
          <w:color w:val="000000"/>
          <w:lang w:eastAsia="es-MX"/>
        </w:rPr>
        <w:t>Señalan que la inclusión de las definicione</w:t>
      </w:r>
      <w:r w:rsidR="004E29BF">
        <w:rPr>
          <w:rFonts w:ascii="ITC Avant Garde" w:eastAsia="Avant Garde" w:hAnsi="ITC Avant Garde" w:cs="Avant Garde"/>
          <w:color w:val="000000"/>
          <w:lang w:eastAsia="es-MX"/>
        </w:rPr>
        <w:t>s de “Operador Móvil Virtual”</w:t>
      </w:r>
      <w:r w:rsidR="00884C52">
        <w:rPr>
          <w:rFonts w:ascii="ITC Avant Garde" w:eastAsia="Avant Garde" w:hAnsi="ITC Avant Garde" w:cs="Avant Garde"/>
          <w:color w:val="000000"/>
          <w:lang w:eastAsia="es-MX"/>
        </w:rPr>
        <w:t xml:space="preserve">, </w:t>
      </w:r>
      <w:r w:rsidR="004E29BF">
        <w:rPr>
          <w:rFonts w:ascii="ITC Avant Garde" w:eastAsia="Avant Garde" w:hAnsi="ITC Avant Garde" w:cs="Avant Garde"/>
          <w:color w:val="000000"/>
          <w:lang w:eastAsia="es-MX"/>
        </w:rPr>
        <w:t>“Concesionario Mayorista Móvil”</w:t>
      </w:r>
      <w:r w:rsidR="00884C52">
        <w:rPr>
          <w:rFonts w:ascii="ITC Avant Garde" w:eastAsia="Avant Garde" w:hAnsi="ITC Avant Garde" w:cs="Avant Garde"/>
          <w:color w:val="000000"/>
          <w:lang w:eastAsia="es-MX"/>
        </w:rPr>
        <w:t xml:space="preserve"> y la condición de la cláusula 2.1 referente a los Operadores Móviles Virtuales que podrán celebrar el Convenio </w:t>
      </w:r>
      <w:r w:rsidRPr="009E3A1F">
        <w:rPr>
          <w:rFonts w:ascii="ITC Avant Garde" w:eastAsia="Avant Garde" w:hAnsi="ITC Avant Garde" w:cs="Avant Garde"/>
          <w:color w:val="000000"/>
          <w:lang w:eastAsia="es-MX"/>
        </w:rPr>
        <w:t>no es procedente, ya que el a</w:t>
      </w:r>
      <w:r>
        <w:rPr>
          <w:rFonts w:ascii="ITC Avant Garde" w:eastAsia="Avant Garde" w:hAnsi="ITC Avant Garde" w:cs="Avant Garde"/>
          <w:color w:val="000000"/>
          <w:lang w:eastAsia="es-MX"/>
        </w:rPr>
        <w:t xml:space="preserve">rtículo 15 de los Lineamientos </w:t>
      </w:r>
      <w:r w:rsidRPr="009E3A1F">
        <w:rPr>
          <w:rFonts w:ascii="ITC Avant Garde" w:eastAsia="Avant Garde" w:hAnsi="ITC Avant Garde" w:cs="Avant Garde"/>
          <w:color w:val="000000"/>
          <w:lang w:eastAsia="es-MX"/>
        </w:rPr>
        <w:t>de OMV</w:t>
      </w:r>
      <w:r w:rsidR="005E369D">
        <w:rPr>
          <w:rStyle w:val="Refdenotaalpie"/>
          <w:rFonts w:ascii="ITC Avant Garde" w:eastAsia="Avant Garde" w:hAnsi="ITC Avant Garde" w:cs="Avant Garde"/>
          <w:color w:val="000000"/>
          <w:lang w:eastAsia="es-MX"/>
        </w:rPr>
        <w:footnoteReference w:id="2"/>
      </w:r>
      <w:r w:rsidRPr="009E3A1F">
        <w:rPr>
          <w:rFonts w:ascii="ITC Avant Garde" w:eastAsia="Avant Garde" w:hAnsi="ITC Avant Garde" w:cs="Avant Garde"/>
          <w:color w:val="000000"/>
          <w:lang w:eastAsia="es-MX"/>
        </w:rPr>
        <w:t xml:space="preserve"> prevé que los OM</w:t>
      </w:r>
      <w:r>
        <w:rPr>
          <w:rFonts w:ascii="ITC Avant Garde" w:eastAsia="Avant Garde" w:hAnsi="ITC Avant Garde" w:cs="Avant Garde"/>
          <w:color w:val="000000"/>
          <w:lang w:eastAsia="es-MX"/>
        </w:rPr>
        <w:t>V que sean concesionarios podrán</w:t>
      </w:r>
      <w:r w:rsidRPr="009E3A1F">
        <w:rPr>
          <w:rFonts w:ascii="ITC Avant Garde" w:eastAsia="Avant Garde" w:hAnsi="ITC Avant Garde" w:cs="Avant Garde"/>
          <w:color w:val="000000"/>
          <w:lang w:eastAsia="es-MX"/>
        </w:rPr>
        <w:t xml:space="preserve"> celebrar sus propios acuerdos de interconexión.</w:t>
      </w:r>
    </w:p>
    <w:p w14:paraId="2E729A23" w14:textId="77777777" w:rsidR="007B51ED" w:rsidRDefault="007B51ED" w:rsidP="00E53C1B">
      <w:pPr>
        <w:spacing w:after="0" w:line="276" w:lineRule="auto"/>
        <w:rPr>
          <w:rFonts w:ascii="ITC Avant Garde" w:eastAsia="Avant Garde" w:hAnsi="ITC Avant Garde" w:cs="Avant Garde"/>
          <w:color w:val="000000"/>
          <w:lang w:eastAsia="es-MX"/>
        </w:rPr>
      </w:pPr>
    </w:p>
    <w:p w14:paraId="290C5192" w14:textId="77777777" w:rsidR="005E369D" w:rsidRPr="005E369D" w:rsidRDefault="005E369D" w:rsidP="00E53C1B">
      <w:pPr>
        <w:spacing w:after="0" w:line="276" w:lineRule="auto"/>
        <w:rPr>
          <w:rFonts w:ascii="ITC Avant Garde" w:hAnsi="ITC Avant Garde"/>
          <w:b/>
        </w:rPr>
      </w:pPr>
      <w:r w:rsidRPr="005E369D">
        <w:rPr>
          <w:rFonts w:ascii="ITC Avant Garde" w:hAnsi="ITC Avant Garde"/>
          <w:b/>
        </w:rPr>
        <w:t xml:space="preserve">Consideraciones del Instituto </w:t>
      </w:r>
    </w:p>
    <w:p w14:paraId="5D3A52EE" w14:textId="3AE37B62" w:rsidR="005E369D" w:rsidRDefault="005E369D" w:rsidP="00E53C1B">
      <w:pPr>
        <w:spacing w:after="0" w:line="276" w:lineRule="auto"/>
        <w:rPr>
          <w:rFonts w:ascii="ITC Avant Garde" w:eastAsia="Avant Garde" w:hAnsi="ITC Avant Garde" w:cs="Avant Garde"/>
          <w:color w:val="000000"/>
          <w:lang w:eastAsia="es-MX"/>
        </w:rPr>
      </w:pPr>
      <w:r w:rsidRPr="00106D55">
        <w:rPr>
          <w:rFonts w:ascii="ITC Avant Garde" w:eastAsia="Avant Garde" w:hAnsi="ITC Avant Garde" w:cs="Avant Garde"/>
          <w:color w:val="000000"/>
          <w:lang w:eastAsia="es-MX"/>
        </w:rPr>
        <w:t>De conformidad a los Lineamientos de OMV, aquellos operadores móviles virtuales que sean concesionarios y operen una red pública de telecomunicaciones podrán solicitar sus propios acuerdos de interconexión con otros concesionarios. Por lo anterior, se eliminó la definición de “Operador Móvil Virtual”, “Concesionario Mayorista Móvil”</w:t>
      </w:r>
      <w:r w:rsidR="00884C52" w:rsidRPr="00106D55">
        <w:rPr>
          <w:rFonts w:ascii="ITC Avant Garde" w:eastAsia="Avant Garde" w:hAnsi="ITC Avant Garde" w:cs="Avant Garde"/>
          <w:color w:val="000000"/>
          <w:lang w:eastAsia="es-MX"/>
        </w:rPr>
        <w:t xml:space="preserve"> y la precisión realizada por Telcel en la cláusula 2.1 referente a los Operadores Móviles Virtuales que podrán suscribir el Convenio,</w:t>
      </w:r>
      <w:r w:rsidRPr="00106D55">
        <w:rPr>
          <w:rFonts w:ascii="ITC Avant Garde" w:eastAsia="Avant Garde" w:hAnsi="ITC Avant Garde" w:cs="Avant Garde"/>
          <w:color w:val="000000"/>
          <w:lang w:eastAsia="es-MX"/>
        </w:rPr>
        <w:t xml:space="preserve"> ya que</w:t>
      </w:r>
      <w:r w:rsidRPr="00106D55">
        <w:rPr>
          <w:rFonts w:ascii="ITC Avant Garde" w:hAnsi="ITC Avant Garde"/>
          <w:b/>
          <w:sz w:val="20"/>
          <w:szCs w:val="20"/>
        </w:rPr>
        <w:t xml:space="preserve"> </w:t>
      </w:r>
      <w:r w:rsidRPr="00106D55">
        <w:rPr>
          <w:rFonts w:ascii="ITC Avant Garde" w:eastAsia="Avant Garde" w:hAnsi="ITC Avant Garde" w:cs="Avant Garde"/>
          <w:color w:val="000000"/>
          <w:lang w:eastAsia="es-MX"/>
        </w:rPr>
        <w:t>cualquier concesionario que opere una red pública de telecomunicaciones podrá suscribir el Convenio.</w:t>
      </w:r>
      <w:r w:rsidR="00106D55" w:rsidRPr="00106D55">
        <w:rPr>
          <w:rFonts w:ascii="ITC Avant Garde" w:eastAsia="Avant Garde" w:hAnsi="ITC Avant Garde" w:cs="Avant Garde"/>
          <w:color w:val="000000"/>
          <w:lang w:eastAsia="es-MX"/>
        </w:rPr>
        <w:t xml:space="preserve"> Por lo anterior, se modificó la</w:t>
      </w:r>
      <w:r w:rsidR="00106D55">
        <w:rPr>
          <w:rFonts w:ascii="ITC Avant Garde" w:eastAsia="Avant Garde" w:hAnsi="ITC Avant Garde" w:cs="Avant Garde"/>
          <w:color w:val="000000"/>
          <w:lang w:eastAsia="es-MX"/>
        </w:rPr>
        <w:t xml:space="preserve"> Propuesta de CMI en los siguientes términos:</w:t>
      </w:r>
    </w:p>
    <w:tbl>
      <w:tblPr>
        <w:tblW w:w="0" w:type="auto"/>
        <w:tblLook w:val="04A0" w:firstRow="1" w:lastRow="0" w:firstColumn="1" w:lastColumn="0" w:noHBand="0" w:noVBand="1"/>
      </w:tblPr>
      <w:tblGrid>
        <w:gridCol w:w="2751"/>
        <w:gridCol w:w="6087"/>
      </w:tblGrid>
      <w:tr w:rsidR="00106D55" w:rsidRPr="0066572A" w14:paraId="343E44BA" w14:textId="77777777" w:rsidTr="00106D55">
        <w:tc>
          <w:tcPr>
            <w:tcW w:w="2751" w:type="dxa"/>
            <w:shd w:val="clear" w:color="auto" w:fill="auto"/>
          </w:tcPr>
          <w:p w14:paraId="33D8A9DD" w14:textId="77777777" w:rsidR="00106D55" w:rsidRPr="00106D55" w:rsidRDefault="00106D55" w:rsidP="00E53C1B">
            <w:pPr>
              <w:spacing w:after="0" w:line="276" w:lineRule="auto"/>
              <w:ind w:left="567" w:right="616" w:hanging="11"/>
              <w:rPr>
                <w:rFonts w:ascii="ITC Avant Garde" w:hAnsi="ITC Avant Garde"/>
                <w:i/>
                <w:sz w:val="18"/>
                <w:szCs w:val="18"/>
              </w:rPr>
            </w:pPr>
          </w:p>
          <w:p w14:paraId="19F94D3E" w14:textId="01E64ED7" w:rsidR="00106D55" w:rsidRPr="00106D55" w:rsidRDefault="00106D55"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106D55">
              <w:rPr>
                <w:rFonts w:ascii="ITC Avant Garde" w:hAnsi="ITC Avant Garde"/>
                <w:i/>
                <w:strike/>
                <w:sz w:val="18"/>
                <w:szCs w:val="18"/>
              </w:rPr>
              <w:t>Concesionario Mayorista Móvil</w:t>
            </w:r>
          </w:p>
          <w:p w14:paraId="0C1501B8" w14:textId="77777777" w:rsidR="00106D55" w:rsidRPr="00106D55" w:rsidRDefault="00106D55" w:rsidP="00E53C1B">
            <w:pPr>
              <w:spacing w:after="0" w:line="276" w:lineRule="auto"/>
              <w:ind w:left="567" w:right="616" w:hanging="11"/>
              <w:rPr>
                <w:rFonts w:ascii="ITC Avant Garde" w:hAnsi="ITC Avant Garde"/>
                <w:i/>
                <w:sz w:val="18"/>
                <w:szCs w:val="18"/>
              </w:rPr>
            </w:pPr>
          </w:p>
          <w:p w14:paraId="1CEF9A2E" w14:textId="77777777" w:rsidR="00106D55" w:rsidRPr="00106D55" w:rsidRDefault="00106D55" w:rsidP="00E53C1B">
            <w:pPr>
              <w:spacing w:after="0" w:line="276" w:lineRule="auto"/>
              <w:ind w:left="567" w:right="616" w:hanging="11"/>
              <w:rPr>
                <w:rFonts w:ascii="ITC Avant Garde" w:hAnsi="ITC Avant Garde"/>
                <w:i/>
                <w:sz w:val="18"/>
                <w:szCs w:val="18"/>
              </w:rPr>
            </w:pPr>
          </w:p>
          <w:p w14:paraId="602EDB98" w14:textId="3DFC40BD" w:rsidR="00106D55" w:rsidRPr="00106D55" w:rsidRDefault="00106D55" w:rsidP="00E53C1B">
            <w:pPr>
              <w:spacing w:after="0" w:line="276" w:lineRule="auto"/>
              <w:ind w:left="567" w:right="616" w:hanging="11"/>
              <w:rPr>
                <w:rFonts w:ascii="ITC Avant Garde" w:hAnsi="ITC Avant Garde"/>
                <w:i/>
                <w:sz w:val="18"/>
                <w:szCs w:val="18"/>
              </w:rPr>
            </w:pPr>
          </w:p>
        </w:tc>
        <w:tc>
          <w:tcPr>
            <w:tcW w:w="6087" w:type="dxa"/>
            <w:shd w:val="clear" w:color="auto" w:fill="auto"/>
          </w:tcPr>
          <w:p w14:paraId="00AB4378" w14:textId="77777777" w:rsidR="00106D55" w:rsidRPr="00106D55" w:rsidRDefault="00106D55" w:rsidP="00E53C1B">
            <w:pPr>
              <w:spacing w:after="0" w:line="276" w:lineRule="auto"/>
              <w:ind w:left="567" w:right="616" w:hanging="11"/>
              <w:rPr>
                <w:rFonts w:ascii="ITC Avant Garde" w:hAnsi="ITC Avant Garde"/>
                <w:i/>
                <w:sz w:val="18"/>
                <w:szCs w:val="18"/>
              </w:rPr>
            </w:pPr>
          </w:p>
          <w:p w14:paraId="4547FFA0" w14:textId="07170A80" w:rsidR="00106D55" w:rsidRPr="00106D55" w:rsidRDefault="00106D55" w:rsidP="00E53C1B">
            <w:pPr>
              <w:spacing w:after="0" w:line="276" w:lineRule="auto"/>
              <w:ind w:left="567" w:right="616" w:hanging="11"/>
              <w:rPr>
                <w:rFonts w:ascii="ITC Avant Garde" w:hAnsi="ITC Avant Garde"/>
                <w:i/>
                <w:strike/>
                <w:sz w:val="18"/>
                <w:szCs w:val="18"/>
              </w:rPr>
            </w:pPr>
            <w:r w:rsidRPr="00106D55">
              <w:rPr>
                <w:rFonts w:ascii="ITC Avant Garde" w:hAnsi="ITC Avant Garde"/>
                <w:i/>
                <w:strike/>
                <w:sz w:val="18"/>
                <w:szCs w:val="18"/>
              </w:rPr>
              <w:t xml:space="preserve">Titular de una concesión de las previstas en la Ley Federal de Telecomunicaciones y </w:t>
            </w:r>
            <w:proofErr w:type="spellStart"/>
            <w:r w:rsidRPr="00106D55">
              <w:rPr>
                <w:rFonts w:ascii="ITC Avant Garde" w:hAnsi="ITC Avant Garde"/>
                <w:i/>
                <w:strike/>
                <w:sz w:val="18"/>
                <w:szCs w:val="18"/>
              </w:rPr>
              <w:t>Radioduifusión</w:t>
            </w:r>
            <w:proofErr w:type="spellEnd"/>
            <w:r w:rsidRPr="00106D55">
              <w:rPr>
                <w:rFonts w:ascii="ITC Avant Garde" w:hAnsi="ITC Avant Garde"/>
                <w:i/>
                <w:strike/>
                <w:sz w:val="18"/>
                <w:szCs w:val="18"/>
              </w:rPr>
              <w:t xml:space="preserve"> que le permite la prestación del Servicio Móvil y ofrece Servicios Mayoristas de Telecomunicaciones Móviles, en este caso, TELCEL.”</w:t>
            </w:r>
          </w:p>
          <w:p w14:paraId="76267D55" w14:textId="77777777" w:rsidR="00106D55" w:rsidRPr="00106D55" w:rsidRDefault="00106D55" w:rsidP="00E53C1B">
            <w:pPr>
              <w:spacing w:after="0" w:line="276" w:lineRule="auto"/>
              <w:ind w:left="567" w:right="616" w:hanging="11"/>
              <w:rPr>
                <w:rFonts w:ascii="ITC Avant Garde" w:hAnsi="ITC Avant Garde"/>
                <w:i/>
                <w:sz w:val="18"/>
                <w:szCs w:val="18"/>
              </w:rPr>
            </w:pPr>
          </w:p>
          <w:p w14:paraId="3DA313E0" w14:textId="53DF70EE" w:rsidR="00106D55" w:rsidRPr="00106D55" w:rsidRDefault="00106D55" w:rsidP="00E53C1B">
            <w:pPr>
              <w:spacing w:after="0" w:line="276" w:lineRule="auto"/>
              <w:ind w:left="567" w:right="616" w:hanging="11"/>
              <w:rPr>
                <w:rFonts w:ascii="ITC Avant Garde" w:hAnsi="ITC Avant Garde"/>
                <w:i/>
                <w:sz w:val="18"/>
                <w:szCs w:val="18"/>
              </w:rPr>
            </w:pPr>
          </w:p>
        </w:tc>
      </w:tr>
    </w:tbl>
    <w:p w14:paraId="3994CBC7" w14:textId="77777777" w:rsidR="00106D55" w:rsidRPr="00A27F4B" w:rsidRDefault="00106D55"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tbl>
      <w:tblPr>
        <w:tblW w:w="0" w:type="auto"/>
        <w:tblLook w:val="04A0" w:firstRow="1" w:lastRow="0" w:firstColumn="1" w:lastColumn="0" w:noHBand="0" w:noVBand="1"/>
      </w:tblPr>
      <w:tblGrid>
        <w:gridCol w:w="2648"/>
        <w:gridCol w:w="6190"/>
      </w:tblGrid>
      <w:tr w:rsidR="007C5CC4" w:rsidRPr="0066572A" w14:paraId="6B8D9219" w14:textId="77777777" w:rsidTr="008400DF">
        <w:tc>
          <w:tcPr>
            <w:tcW w:w="2648" w:type="dxa"/>
            <w:shd w:val="clear" w:color="auto" w:fill="auto"/>
          </w:tcPr>
          <w:p w14:paraId="42CCC570" w14:textId="77777777" w:rsidR="007C5CC4" w:rsidRPr="007C5CC4" w:rsidRDefault="007C5CC4" w:rsidP="00E53C1B">
            <w:pPr>
              <w:spacing w:after="0" w:line="276" w:lineRule="auto"/>
              <w:ind w:left="567" w:right="616" w:hanging="11"/>
              <w:rPr>
                <w:rFonts w:ascii="ITC Avant Garde" w:hAnsi="ITC Avant Garde"/>
                <w:i/>
                <w:sz w:val="18"/>
                <w:szCs w:val="18"/>
              </w:rPr>
            </w:pPr>
          </w:p>
          <w:p w14:paraId="44BF42E3" w14:textId="60FEEC94" w:rsidR="007C5CC4" w:rsidRPr="007C5CC4" w:rsidRDefault="007C5CC4"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C5CC4">
              <w:rPr>
                <w:rFonts w:ascii="ITC Avant Garde" w:hAnsi="ITC Avant Garde"/>
                <w:i/>
                <w:strike/>
                <w:sz w:val="18"/>
                <w:szCs w:val="18"/>
              </w:rPr>
              <w:t>Operador Móvil Virtual</w:t>
            </w:r>
          </w:p>
          <w:p w14:paraId="7875D933" w14:textId="77777777" w:rsidR="007C5CC4" w:rsidRPr="007C5CC4" w:rsidRDefault="007C5CC4" w:rsidP="00E53C1B">
            <w:pPr>
              <w:spacing w:after="0" w:line="276" w:lineRule="auto"/>
              <w:ind w:left="567" w:right="616" w:hanging="11"/>
              <w:rPr>
                <w:rFonts w:ascii="ITC Avant Garde" w:hAnsi="ITC Avant Garde"/>
                <w:i/>
                <w:sz w:val="18"/>
                <w:szCs w:val="18"/>
              </w:rPr>
            </w:pPr>
          </w:p>
          <w:p w14:paraId="5C1A7874" w14:textId="77777777" w:rsidR="007C5CC4" w:rsidRPr="007C5CC4" w:rsidRDefault="007C5CC4" w:rsidP="00E53C1B">
            <w:pPr>
              <w:spacing w:after="0" w:line="276" w:lineRule="auto"/>
              <w:ind w:left="567" w:right="616" w:hanging="11"/>
              <w:rPr>
                <w:rFonts w:ascii="ITC Avant Garde" w:hAnsi="ITC Avant Garde"/>
                <w:i/>
                <w:sz w:val="18"/>
                <w:szCs w:val="18"/>
              </w:rPr>
            </w:pPr>
          </w:p>
          <w:p w14:paraId="7E8BEEF3" w14:textId="77777777" w:rsidR="007C5CC4" w:rsidRPr="007C5CC4" w:rsidRDefault="007C5CC4" w:rsidP="00E53C1B">
            <w:pPr>
              <w:spacing w:after="0" w:line="276" w:lineRule="auto"/>
              <w:ind w:left="567" w:right="616" w:hanging="11"/>
              <w:rPr>
                <w:rFonts w:ascii="ITC Avant Garde" w:hAnsi="ITC Avant Garde"/>
                <w:i/>
                <w:sz w:val="18"/>
                <w:szCs w:val="18"/>
              </w:rPr>
            </w:pPr>
          </w:p>
          <w:p w14:paraId="595AE74C" w14:textId="4EE684F5" w:rsidR="007C5CC4" w:rsidRPr="007C5CC4" w:rsidRDefault="007C5CC4" w:rsidP="00E53C1B">
            <w:pPr>
              <w:spacing w:after="0" w:line="276" w:lineRule="auto"/>
              <w:ind w:left="567" w:right="616" w:hanging="11"/>
              <w:rPr>
                <w:rFonts w:ascii="ITC Avant Garde" w:hAnsi="ITC Avant Garde"/>
                <w:i/>
                <w:sz w:val="18"/>
                <w:szCs w:val="18"/>
              </w:rPr>
            </w:pPr>
          </w:p>
        </w:tc>
        <w:tc>
          <w:tcPr>
            <w:tcW w:w="6190" w:type="dxa"/>
            <w:shd w:val="clear" w:color="auto" w:fill="auto"/>
          </w:tcPr>
          <w:p w14:paraId="0F6834BD" w14:textId="77777777" w:rsidR="007C5CC4" w:rsidRPr="007C5CC4" w:rsidRDefault="007C5CC4" w:rsidP="00E53C1B">
            <w:pPr>
              <w:spacing w:after="0" w:line="276" w:lineRule="auto"/>
              <w:ind w:left="567" w:right="616" w:hanging="11"/>
              <w:rPr>
                <w:rFonts w:ascii="ITC Avant Garde" w:hAnsi="ITC Avant Garde"/>
                <w:i/>
                <w:sz w:val="18"/>
                <w:szCs w:val="18"/>
              </w:rPr>
            </w:pPr>
          </w:p>
          <w:p w14:paraId="5A7C3F19" w14:textId="281FE757" w:rsidR="007C5CC4" w:rsidRPr="007C5CC4" w:rsidRDefault="007C5CC4" w:rsidP="00E53C1B">
            <w:pPr>
              <w:spacing w:after="0" w:line="276" w:lineRule="auto"/>
              <w:ind w:left="567" w:right="616" w:hanging="11"/>
              <w:rPr>
                <w:rFonts w:ascii="ITC Avant Garde" w:hAnsi="ITC Avant Garde"/>
                <w:i/>
                <w:sz w:val="18"/>
                <w:szCs w:val="18"/>
              </w:rPr>
            </w:pPr>
            <w:r w:rsidRPr="007C5CC4">
              <w:rPr>
                <w:rFonts w:ascii="ITC Avant Garde" w:hAnsi="ITC Avant Garde"/>
                <w:i/>
                <w:strike/>
                <w:sz w:val="18"/>
                <w:szCs w:val="18"/>
              </w:rPr>
              <w:t>Concesionario o Autorizado que presta, comercializa o revende servicios móviles o capacidades que previamente haya contratado con algún Concesionario Mayorista Móvil</w:t>
            </w:r>
            <w:r w:rsidRPr="007C5CC4">
              <w:rPr>
                <w:rFonts w:ascii="ITC Avant Garde" w:hAnsi="ITC Avant Garde"/>
                <w:i/>
                <w:sz w:val="18"/>
                <w:szCs w:val="18"/>
              </w:rPr>
              <w:t>.</w:t>
            </w:r>
            <w:r>
              <w:rPr>
                <w:rFonts w:ascii="ITC Avant Garde" w:hAnsi="ITC Avant Garde"/>
                <w:i/>
                <w:sz w:val="18"/>
                <w:szCs w:val="18"/>
              </w:rPr>
              <w:t>”</w:t>
            </w:r>
          </w:p>
        </w:tc>
      </w:tr>
    </w:tbl>
    <w:p w14:paraId="2E650FEA" w14:textId="77777777" w:rsidR="007C5CC4" w:rsidRPr="00A27F4B" w:rsidRDefault="007C5CC4"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C66BE27" w14:textId="083E0839" w:rsidR="00277E97" w:rsidRPr="00277E97" w:rsidRDefault="00277E97"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277E97">
        <w:rPr>
          <w:rFonts w:ascii="ITC Avant Garde" w:hAnsi="ITC Avant Garde"/>
          <w:i/>
          <w:sz w:val="18"/>
          <w:szCs w:val="18"/>
        </w:rPr>
        <w:t>2.1 OBJETO Y GENERALIDADES DEL CONVENIO.</w:t>
      </w:r>
    </w:p>
    <w:p w14:paraId="0C99C918" w14:textId="294D3526" w:rsidR="00277E97" w:rsidRPr="00277E97" w:rsidRDefault="00277E97"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4401202A" w14:textId="55943BAF" w:rsidR="00106D55" w:rsidRDefault="00277E97" w:rsidP="00E53C1B">
      <w:pPr>
        <w:spacing w:after="0" w:line="276" w:lineRule="auto"/>
        <w:ind w:left="567" w:right="616" w:hanging="11"/>
        <w:rPr>
          <w:rFonts w:ascii="ITC Avant Garde" w:hAnsi="ITC Avant Garde"/>
          <w:i/>
          <w:sz w:val="18"/>
          <w:szCs w:val="18"/>
        </w:rPr>
      </w:pPr>
      <w:r w:rsidRPr="00277E97">
        <w:rPr>
          <w:rFonts w:ascii="ITC Avant Garde" w:hAnsi="ITC Avant Garde"/>
          <w:i/>
          <w:strike/>
          <w:sz w:val="18"/>
          <w:szCs w:val="18"/>
        </w:rPr>
        <w:t xml:space="preserve">Los Operadores Móviles Virtuales que a la vez sean titulares de una Concesión para la prestación del Servicio Local Fijo, podrán celebrar el presente Convenio con TELCEL para </w:t>
      </w:r>
      <w:r w:rsidRPr="00277E97">
        <w:rPr>
          <w:rFonts w:ascii="ITC Avant Garde" w:hAnsi="ITC Avant Garde"/>
          <w:i/>
          <w:strike/>
          <w:sz w:val="18"/>
          <w:szCs w:val="18"/>
        </w:rPr>
        <w:lastRenderedPageBreak/>
        <w:t>el intercambio de tráfico entre la red de Servicio Local Móvil de TELCEL y la red de Servicio Local Fijo de dicho Concesionario.</w:t>
      </w:r>
      <w:r>
        <w:rPr>
          <w:rFonts w:ascii="ITC Avant Garde" w:hAnsi="ITC Avant Garde"/>
          <w:i/>
          <w:sz w:val="18"/>
          <w:szCs w:val="18"/>
        </w:rPr>
        <w:t>”</w:t>
      </w:r>
    </w:p>
    <w:p w14:paraId="6C98DC97" w14:textId="77777777" w:rsidR="00277E97" w:rsidRPr="00A27F4B" w:rsidRDefault="00277E97"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32C28C9B" w14:textId="77777777" w:rsidR="00277E97" w:rsidRDefault="00277E97" w:rsidP="00E53C1B">
      <w:pPr>
        <w:spacing w:after="0" w:line="276" w:lineRule="auto"/>
        <w:ind w:left="567" w:right="616" w:hanging="11"/>
        <w:rPr>
          <w:rFonts w:ascii="ITC Avant Garde" w:hAnsi="ITC Avant Garde"/>
          <w:i/>
          <w:sz w:val="18"/>
          <w:szCs w:val="18"/>
        </w:rPr>
      </w:pPr>
    </w:p>
    <w:p w14:paraId="5EA9AAC2" w14:textId="77777777" w:rsidR="0030185B" w:rsidRPr="0053503B" w:rsidRDefault="0030185B"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p>
    <w:p w14:paraId="4E3E6FAC" w14:textId="4B8868B9" w:rsidR="00087A87" w:rsidRDefault="0030185B" w:rsidP="00E53C1B">
      <w:pPr>
        <w:spacing w:after="0" w:line="276" w:lineRule="auto"/>
        <w:rPr>
          <w:rFonts w:ascii="ITC Avant Garde" w:eastAsia="Avant Garde" w:hAnsi="ITC Avant Garde" w:cs="Avant Garde"/>
          <w:color w:val="000000"/>
          <w:lang w:eastAsia="es-MX"/>
        </w:rPr>
      </w:pPr>
      <w:r w:rsidRPr="00ED131F">
        <w:rPr>
          <w:rFonts w:ascii="ITC Avant Garde" w:eastAsia="Avant Garde" w:hAnsi="ITC Avant Garde" w:cs="Avant Garde"/>
          <w:color w:val="000000"/>
          <w:lang w:eastAsia="es-MX"/>
        </w:rPr>
        <w:t>Su</w:t>
      </w:r>
      <w:r w:rsidR="004E29BF">
        <w:rPr>
          <w:rFonts w:ascii="ITC Avant Garde" w:eastAsia="Avant Garde" w:hAnsi="ITC Avant Garde" w:cs="Avant Garde"/>
          <w:color w:val="000000"/>
          <w:lang w:eastAsia="es-MX"/>
        </w:rPr>
        <w:t>gieren que las definiciones de “Plan de Numeración” y “Plan de Señalización”</w:t>
      </w:r>
      <w:r w:rsidRPr="00ED131F">
        <w:rPr>
          <w:rFonts w:ascii="ITC Avant Garde" w:eastAsia="Avant Garde" w:hAnsi="ITC Avant Garde" w:cs="Avant Garde"/>
          <w:color w:val="000000"/>
          <w:lang w:eastAsia="es-MX"/>
        </w:rPr>
        <w:t xml:space="preserve"> hagan referencia al </w:t>
      </w:r>
      <w:r w:rsidR="00ED131F" w:rsidRPr="00ED131F">
        <w:rPr>
          <w:rFonts w:ascii="ITC Avant Garde" w:eastAsia="Avant Garde" w:hAnsi="ITC Avant Garde" w:cs="Avant Garde"/>
          <w:color w:val="000000"/>
          <w:lang w:eastAsia="es-MX"/>
        </w:rPr>
        <w:t>Plan Técnico Fundamental de Numeración y Señalización</w:t>
      </w:r>
      <w:r w:rsidR="00ED131F" w:rsidRPr="00ED131F">
        <w:rPr>
          <w:rStyle w:val="Refdenotaalpie"/>
          <w:rFonts w:ascii="ITC Avant Garde" w:hAnsi="ITC Avant Garde"/>
          <w:bCs/>
        </w:rPr>
        <w:footnoteReference w:id="3"/>
      </w:r>
      <w:r w:rsidRPr="00ED131F">
        <w:rPr>
          <w:rFonts w:ascii="ITC Avant Garde" w:eastAsia="Avant Garde" w:hAnsi="ITC Avant Garde" w:cs="Avant Garde"/>
          <w:color w:val="000000"/>
          <w:lang w:eastAsia="es-MX"/>
        </w:rPr>
        <w:t xml:space="preserve"> vigentes o a las disposiciones que los modifiquen o los sustituyan.</w:t>
      </w:r>
      <w:r w:rsidR="00087A87" w:rsidRPr="00ED131F">
        <w:rPr>
          <w:rFonts w:ascii="ITC Avant Garde" w:eastAsia="Avant Garde" w:hAnsi="ITC Avant Garde" w:cs="Avant Garde"/>
          <w:color w:val="000000"/>
          <w:lang w:eastAsia="es-MX"/>
        </w:rPr>
        <w:t xml:space="preserve"> Asimismo, solici</w:t>
      </w:r>
      <w:r w:rsidR="004E29BF">
        <w:rPr>
          <w:rFonts w:ascii="ITC Avant Garde" w:eastAsia="Avant Garde" w:hAnsi="ITC Avant Garde" w:cs="Avant Garde"/>
          <w:color w:val="000000"/>
          <w:lang w:eastAsia="es-MX"/>
        </w:rPr>
        <w:t>tan modificar la definición de “Servicios Auxiliares Conexos”</w:t>
      </w:r>
      <w:r w:rsidR="00087A87" w:rsidRPr="00ED131F">
        <w:rPr>
          <w:rFonts w:ascii="ITC Avant Garde" w:eastAsia="Avant Garde" w:hAnsi="ITC Avant Garde" w:cs="Avant Garde"/>
          <w:color w:val="000000"/>
          <w:lang w:eastAsia="es-MX"/>
        </w:rPr>
        <w:t xml:space="preserve"> en </w:t>
      </w:r>
      <w:r w:rsidR="0099191C" w:rsidRPr="00ED131F">
        <w:rPr>
          <w:rFonts w:ascii="ITC Avant Garde" w:eastAsia="Avant Garde" w:hAnsi="ITC Avant Garde" w:cs="Avant Garde"/>
          <w:color w:val="000000"/>
          <w:lang w:eastAsia="es-MX"/>
        </w:rPr>
        <w:t>términos de las Medidas Móviles y la definición de “Servicio de Tránsito” conforme al CMI vigente.</w:t>
      </w:r>
    </w:p>
    <w:p w14:paraId="15330DD4" w14:textId="77777777" w:rsidR="00646B29" w:rsidRDefault="00646B29" w:rsidP="00E53C1B">
      <w:pPr>
        <w:spacing w:after="0" w:line="276" w:lineRule="auto"/>
        <w:rPr>
          <w:rFonts w:ascii="ITC Avant Garde" w:eastAsia="Avant Garde" w:hAnsi="ITC Avant Garde" w:cs="Avant Garde"/>
          <w:color w:val="000000"/>
          <w:lang w:eastAsia="es-MX"/>
        </w:rPr>
      </w:pPr>
    </w:p>
    <w:p w14:paraId="47870997" w14:textId="77777777" w:rsidR="0030185B" w:rsidRPr="005E369D" w:rsidRDefault="0030185B" w:rsidP="00E53C1B">
      <w:pPr>
        <w:spacing w:after="0" w:line="276" w:lineRule="auto"/>
        <w:rPr>
          <w:rFonts w:ascii="ITC Avant Garde" w:hAnsi="ITC Avant Garde"/>
          <w:b/>
        </w:rPr>
      </w:pPr>
      <w:r w:rsidRPr="005E369D">
        <w:rPr>
          <w:rFonts w:ascii="ITC Avant Garde" w:hAnsi="ITC Avant Garde"/>
          <w:b/>
        </w:rPr>
        <w:t xml:space="preserve">Consideraciones del Instituto </w:t>
      </w:r>
    </w:p>
    <w:p w14:paraId="58B23423" w14:textId="62A64D96" w:rsidR="0030185B" w:rsidRDefault="0030185B"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modifican las definiciones de “Plan de Numeración” y “Plan de Señalización” a fin de que estas hagan referencia al </w:t>
      </w:r>
      <w:r w:rsidRPr="0030185B">
        <w:rPr>
          <w:rFonts w:ascii="ITC Avant Garde" w:eastAsia="Avant Garde" w:hAnsi="ITC Avant Garde" w:cs="Avant Garde"/>
          <w:color w:val="000000"/>
          <w:lang w:eastAsia="es-MX"/>
        </w:rPr>
        <w:t>Plan Técnico Fundamental de Numeración y Señalizació</w:t>
      </w:r>
      <w:r w:rsidRPr="0058502C">
        <w:rPr>
          <w:rFonts w:ascii="ITC Avant Garde" w:eastAsia="Avant Garde" w:hAnsi="ITC Avant Garde" w:cs="Avant Garde"/>
          <w:color w:val="000000"/>
          <w:lang w:eastAsia="es-MX"/>
        </w:rPr>
        <w:t>n</w:t>
      </w:r>
      <w:r w:rsidRPr="0058502C">
        <w:rPr>
          <w:rStyle w:val="Refdenotaalpie"/>
          <w:bCs/>
        </w:rPr>
        <w:footnoteReference w:id="4"/>
      </w:r>
      <w:r w:rsidR="0058502C">
        <w:rPr>
          <w:rFonts w:ascii="ITC Avant Garde" w:eastAsia="Avant Garde" w:hAnsi="ITC Avant Garde" w:cs="Avant Garde"/>
          <w:color w:val="000000"/>
          <w:lang w:eastAsia="es-MX"/>
        </w:rPr>
        <w:t xml:space="preserve"> o las disposiciones que las modifiquen o sustituyan. Por lo anterior, se modifican las definiciones en los siguientes términos:</w:t>
      </w:r>
    </w:p>
    <w:p w14:paraId="20FB6FF3" w14:textId="77777777" w:rsidR="00646B29" w:rsidRDefault="00646B29" w:rsidP="00E53C1B">
      <w:pPr>
        <w:spacing w:after="0" w:line="276" w:lineRule="auto"/>
        <w:rPr>
          <w:rFonts w:ascii="ITC Avant Garde" w:eastAsia="Avant Garde" w:hAnsi="ITC Avant Garde" w:cs="Avant Garde"/>
          <w:color w:val="000000"/>
          <w:lang w:eastAsia="es-MX"/>
        </w:rPr>
      </w:pPr>
    </w:p>
    <w:p w14:paraId="66269C62" w14:textId="77777777" w:rsidR="0058502C" w:rsidRDefault="0058502C" w:rsidP="00E53C1B">
      <w:pPr>
        <w:pStyle w:val="IFT1"/>
        <w:tabs>
          <w:tab w:val="left" w:pos="426"/>
          <w:tab w:val="left" w:pos="993"/>
        </w:tabs>
        <w:spacing w:after="0"/>
        <w:ind w:left="2832" w:right="616" w:hanging="2265"/>
        <w:rPr>
          <w:bCs/>
          <w:i/>
          <w:sz w:val="18"/>
        </w:rPr>
      </w:pPr>
      <w:r>
        <w:rPr>
          <w:bCs/>
          <w:i/>
          <w:sz w:val="18"/>
        </w:rPr>
        <w:t>“</w:t>
      </w:r>
      <w:r w:rsidRPr="00C11E40">
        <w:rPr>
          <w:bCs/>
          <w:i/>
          <w:sz w:val="18"/>
        </w:rPr>
        <w:t>Plan de</w:t>
      </w:r>
      <w:r>
        <w:rPr>
          <w:bCs/>
          <w:i/>
          <w:sz w:val="18"/>
        </w:rPr>
        <w:t xml:space="preserve"> </w:t>
      </w:r>
      <w:r w:rsidRPr="00C11E40">
        <w:rPr>
          <w:bCs/>
          <w:i/>
          <w:sz w:val="18"/>
        </w:rPr>
        <w:t>Numeración</w:t>
      </w:r>
      <w:r w:rsidRPr="00C11E40">
        <w:rPr>
          <w:bCs/>
          <w:i/>
          <w:sz w:val="18"/>
        </w:rPr>
        <w:tab/>
        <w:t xml:space="preserve">Plan Técnico Fundamental de Numeración, publicado en el Diario Oficial de la Federación el </w:t>
      </w:r>
      <w:r w:rsidRPr="00C11E40">
        <w:rPr>
          <w:bCs/>
          <w:i/>
          <w:sz w:val="18"/>
          <w:u w:val="single"/>
        </w:rPr>
        <w:t>11 de mayo de 2018</w:t>
      </w:r>
      <w:r>
        <w:rPr>
          <w:bCs/>
          <w:i/>
          <w:sz w:val="18"/>
        </w:rPr>
        <w:t xml:space="preserve"> </w:t>
      </w:r>
      <w:r w:rsidRPr="00C11E40">
        <w:rPr>
          <w:bCs/>
          <w:i/>
          <w:strike/>
          <w:sz w:val="18"/>
        </w:rPr>
        <w:t>21 de junio de 1996</w:t>
      </w:r>
      <w:r w:rsidRPr="00C11E40">
        <w:rPr>
          <w:bCs/>
          <w:i/>
          <w:sz w:val="18"/>
        </w:rPr>
        <w:t>, con sus respectivas modificaciones publicadas en el Diario Oficial de la Federación, o las disposiciones que lo modifiquen o lo sustituyan.</w:t>
      </w:r>
      <w:r>
        <w:rPr>
          <w:bCs/>
          <w:i/>
          <w:sz w:val="18"/>
        </w:rPr>
        <w:t>”</w:t>
      </w:r>
    </w:p>
    <w:p w14:paraId="724A45D9" w14:textId="77777777" w:rsidR="0058502C" w:rsidRDefault="0058502C" w:rsidP="00E53C1B">
      <w:pPr>
        <w:pStyle w:val="IFT1"/>
        <w:tabs>
          <w:tab w:val="left" w:pos="426"/>
          <w:tab w:val="left" w:pos="993"/>
        </w:tabs>
        <w:spacing w:after="0"/>
        <w:ind w:left="567" w:right="616"/>
        <w:jc w:val="right"/>
        <w:rPr>
          <w:bCs/>
          <w:sz w:val="18"/>
        </w:rPr>
      </w:pPr>
    </w:p>
    <w:p w14:paraId="0A3A84C2"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61885BA" w14:textId="77777777" w:rsidR="0058502C" w:rsidRPr="002970EC" w:rsidRDefault="0058502C" w:rsidP="00E53C1B">
      <w:pPr>
        <w:pStyle w:val="IFT1"/>
        <w:tabs>
          <w:tab w:val="left" w:pos="426"/>
          <w:tab w:val="left" w:pos="993"/>
        </w:tabs>
        <w:spacing w:after="0"/>
        <w:ind w:left="567" w:right="616"/>
        <w:jc w:val="right"/>
        <w:rPr>
          <w:bCs/>
          <w:sz w:val="18"/>
        </w:rPr>
      </w:pPr>
    </w:p>
    <w:p w14:paraId="35CF0B16" w14:textId="77777777" w:rsidR="0058502C" w:rsidRDefault="0058502C" w:rsidP="00E53C1B">
      <w:pPr>
        <w:pStyle w:val="IFT1"/>
        <w:tabs>
          <w:tab w:val="left" w:pos="426"/>
          <w:tab w:val="left" w:pos="993"/>
        </w:tabs>
        <w:spacing w:after="0"/>
        <w:ind w:left="2832" w:right="616" w:hanging="2265"/>
        <w:rPr>
          <w:bCs/>
          <w:i/>
          <w:sz w:val="18"/>
        </w:rPr>
      </w:pPr>
      <w:r w:rsidRPr="00C11E40" w:rsidDel="002970EC">
        <w:rPr>
          <w:bCs/>
          <w:i/>
          <w:sz w:val="18"/>
        </w:rPr>
        <w:t xml:space="preserve"> </w:t>
      </w:r>
      <w:r>
        <w:rPr>
          <w:bCs/>
          <w:i/>
          <w:sz w:val="18"/>
        </w:rPr>
        <w:t>“</w:t>
      </w:r>
      <w:r w:rsidRPr="00C11E40">
        <w:rPr>
          <w:bCs/>
          <w:i/>
          <w:sz w:val="18"/>
        </w:rPr>
        <w:t>Plan de</w:t>
      </w:r>
      <w:r>
        <w:rPr>
          <w:bCs/>
          <w:i/>
          <w:sz w:val="18"/>
        </w:rPr>
        <w:t xml:space="preserve"> </w:t>
      </w:r>
      <w:r w:rsidRPr="00C11E40">
        <w:rPr>
          <w:bCs/>
          <w:i/>
          <w:sz w:val="18"/>
        </w:rPr>
        <w:t>Señalización</w:t>
      </w:r>
      <w:r w:rsidRPr="00C11E40">
        <w:rPr>
          <w:bCs/>
          <w:i/>
          <w:sz w:val="18"/>
        </w:rPr>
        <w:tab/>
        <w:t xml:space="preserve">El Plan Técnico Fundamental de Señalización, publicado en el Diario Oficial de la Federación el </w:t>
      </w:r>
      <w:r w:rsidRPr="00C11E40">
        <w:rPr>
          <w:bCs/>
          <w:i/>
          <w:sz w:val="18"/>
          <w:u w:val="single"/>
        </w:rPr>
        <w:t>11 de mayo de 2018</w:t>
      </w:r>
      <w:r>
        <w:rPr>
          <w:bCs/>
          <w:i/>
          <w:sz w:val="18"/>
        </w:rPr>
        <w:t xml:space="preserve"> </w:t>
      </w:r>
      <w:r w:rsidRPr="00C11E40">
        <w:rPr>
          <w:bCs/>
          <w:i/>
          <w:strike/>
          <w:sz w:val="18"/>
        </w:rPr>
        <w:t>21 de junio de 1996</w:t>
      </w:r>
      <w:r w:rsidRPr="00C11E40">
        <w:rPr>
          <w:bCs/>
          <w:i/>
          <w:sz w:val="18"/>
        </w:rPr>
        <w:t>, con sus respectivas modificaciones publicadas en el Diario Oficial de la Federación, o las disposiciones que lo modifiquen o sustituyan.</w:t>
      </w:r>
      <w:r>
        <w:rPr>
          <w:bCs/>
          <w:i/>
          <w:sz w:val="18"/>
        </w:rPr>
        <w:t>”</w:t>
      </w:r>
    </w:p>
    <w:p w14:paraId="62E90EA7" w14:textId="77777777" w:rsidR="0058502C" w:rsidRDefault="0058502C" w:rsidP="00E53C1B">
      <w:pPr>
        <w:pStyle w:val="IFT1"/>
        <w:tabs>
          <w:tab w:val="left" w:pos="426"/>
          <w:tab w:val="left" w:pos="993"/>
        </w:tabs>
        <w:spacing w:after="0"/>
        <w:ind w:left="567" w:right="616"/>
        <w:jc w:val="right"/>
        <w:rPr>
          <w:bCs/>
          <w:sz w:val="18"/>
        </w:rPr>
      </w:pPr>
    </w:p>
    <w:p w14:paraId="0AAB85DE"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702BE3D" w14:textId="77777777" w:rsidR="00087A87" w:rsidRPr="002970EC" w:rsidRDefault="00087A87" w:rsidP="00E53C1B">
      <w:pPr>
        <w:pStyle w:val="IFT1"/>
        <w:tabs>
          <w:tab w:val="left" w:pos="426"/>
          <w:tab w:val="left" w:pos="993"/>
        </w:tabs>
        <w:spacing w:after="0"/>
        <w:ind w:left="567" w:right="616"/>
        <w:jc w:val="right"/>
        <w:rPr>
          <w:bCs/>
          <w:sz w:val="18"/>
        </w:rPr>
      </w:pPr>
    </w:p>
    <w:p w14:paraId="4A798AF1" w14:textId="69028BCD" w:rsidR="00087A87" w:rsidRDefault="00087A87"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Además, s</w:t>
      </w:r>
      <w:r w:rsidRPr="00175648">
        <w:rPr>
          <w:rFonts w:ascii="ITC Avant Garde" w:eastAsia="Avant Garde" w:hAnsi="ITC Avant Garde" w:cs="Avant Garde"/>
          <w:color w:val="000000"/>
          <w:lang w:eastAsia="es-MX"/>
        </w:rPr>
        <w:t xml:space="preserve">e modifica la definición de “Servicios Auxiliares Conexos” </w:t>
      </w:r>
      <w:r>
        <w:rPr>
          <w:rFonts w:ascii="ITC Avant Garde" w:eastAsia="Avant Garde" w:hAnsi="ITC Avant Garde" w:cs="Avant Garde"/>
          <w:color w:val="000000"/>
          <w:lang w:eastAsia="es-MX"/>
        </w:rPr>
        <w:t>conforme a lo establecido en la medida Tercera de las</w:t>
      </w:r>
      <w:r w:rsidRPr="00175648">
        <w:rPr>
          <w:rFonts w:ascii="ITC Avant Garde" w:eastAsia="Avant Garde" w:hAnsi="ITC Avant Garde" w:cs="Avant Garde"/>
          <w:color w:val="000000"/>
          <w:lang w:eastAsia="es-MX"/>
        </w:rPr>
        <w:t xml:space="preserve"> Medidas Móviles</w:t>
      </w:r>
      <w:r>
        <w:rPr>
          <w:rFonts w:ascii="ITC Avant Garde" w:eastAsia="Avant Garde" w:hAnsi="ITC Avant Garde" w:cs="Avant Garde"/>
          <w:color w:val="000000"/>
          <w:lang w:eastAsia="es-MX"/>
        </w:rPr>
        <w:t xml:space="preserve"> en los siguientes términos:</w:t>
      </w:r>
    </w:p>
    <w:p w14:paraId="21BA1F1A" w14:textId="77777777" w:rsidR="00646B29" w:rsidRDefault="00646B29" w:rsidP="00E53C1B">
      <w:pPr>
        <w:spacing w:after="0" w:line="276" w:lineRule="auto"/>
        <w:rPr>
          <w:rFonts w:ascii="ITC Avant Garde" w:eastAsia="Avant Garde" w:hAnsi="ITC Avant Garde" w:cs="Avant Garde"/>
          <w:color w:val="000000"/>
          <w:lang w:eastAsia="es-MX"/>
        </w:rPr>
      </w:pPr>
    </w:p>
    <w:tbl>
      <w:tblPr>
        <w:tblW w:w="8978" w:type="dxa"/>
        <w:tblLook w:val="04A0" w:firstRow="1" w:lastRow="0" w:firstColumn="1" w:lastColumn="0" w:noHBand="0" w:noVBand="1"/>
      </w:tblPr>
      <w:tblGrid>
        <w:gridCol w:w="2660"/>
        <w:gridCol w:w="6318"/>
      </w:tblGrid>
      <w:tr w:rsidR="00087A87" w:rsidRPr="00E331C2" w14:paraId="1F8EEC5B" w14:textId="77777777" w:rsidTr="009C09B3">
        <w:tc>
          <w:tcPr>
            <w:tcW w:w="2660" w:type="dxa"/>
            <w:shd w:val="clear" w:color="auto" w:fill="auto"/>
          </w:tcPr>
          <w:p w14:paraId="33D40E74" w14:textId="77777777" w:rsidR="00087A87" w:rsidRPr="008166E7" w:rsidRDefault="00087A87" w:rsidP="00E53C1B">
            <w:pPr>
              <w:pStyle w:val="IFT1"/>
              <w:tabs>
                <w:tab w:val="left" w:pos="426"/>
              </w:tabs>
              <w:spacing w:after="0"/>
              <w:ind w:left="426"/>
              <w:jc w:val="left"/>
              <w:rPr>
                <w:bCs/>
                <w:i/>
                <w:sz w:val="18"/>
                <w:szCs w:val="18"/>
              </w:rPr>
            </w:pPr>
            <w:r w:rsidRPr="008166E7">
              <w:rPr>
                <w:bCs/>
                <w:i/>
                <w:sz w:val="18"/>
                <w:szCs w:val="18"/>
              </w:rPr>
              <w:t>“Servicios Auxiliares Conexos</w:t>
            </w:r>
          </w:p>
        </w:tc>
        <w:tc>
          <w:tcPr>
            <w:tcW w:w="6318" w:type="dxa"/>
            <w:shd w:val="clear" w:color="auto" w:fill="auto"/>
          </w:tcPr>
          <w:p w14:paraId="693B35E1" w14:textId="77777777" w:rsidR="00087A87" w:rsidRPr="00E331C2" w:rsidRDefault="00087A87" w:rsidP="00E53C1B">
            <w:pPr>
              <w:pStyle w:val="IFT1"/>
              <w:tabs>
                <w:tab w:val="left" w:pos="426"/>
              </w:tabs>
              <w:spacing w:after="0"/>
              <w:ind w:left="426" w:right="225"/>
              <w:rPr>
                <w:bCs/>
                <w:i/>
                <w:sz w:val="18"/>
                <w:szCs w:val="18"/>
                <w:u w:val="single"/>
              </w:rPr>
            </w:pPr>
            <w:r w:rsidRPr="002329B7">
              <w:rPr>
                <w:bCs/>
                <w:i/>
                <w:sz w:val="18"/>
                <w:szCs w:val="18"/>
              </w:rPr>
              <w:t xml:space="preserve">Servicios que forman parte de los Servicios de Interconexión necesarios para la Interoperabilidad de las Redes Públicas de Telecomunicaciones, que incluyen, entre otros, los servicios de </w:t>
            </w:r>
            <w:r w:rsidRPr="002329B7">
              <w:rPr>
                <w:bCs/>
                <w:i/>
                <w:sz w:val="18"/>
                <w:szCs w:val="18"/>
              </w:rPr>
              <w:lastRenderedPageBreak/>
              <w:t xml:space="preserve">información, de directorio, de emergencia, de cobro revertido o de origen, vía operadora, de Facturación y Cobranza, y los demás que se requieran para permitir a los Usuarios de un Concesionario comunicarse con los Usuarios de otro Concesionario y tener acceso a los servicios suministrados por este último o por algún otro </w:t>
            </w:r>
            <w:r w:rsidRPr="004D146E">
              <w:rPr>
                <w:bCs/>
                <w:i/>
                <w:sz w:val="18"/>
                <w:szCs w:val="18"/>
                <w:u w:val="single"/>
              </w:rPr>
              <w:t>proveedor</w:t>
            </w:r>
            <w:r w:rsidRPr="002329B7">
              <w:rPr>
                <w:bCs/>
                <w:i/>
                <w:sz w:val="18"/>
                <w:szCs w:val="18"/>
              </w:rPr>
              <w:t xml:space="preserve"> </w:t>
            </w:r>
            <w:r w:rsidRPr="002329B7">
              <w:rPr>
                <w:bCs/>
                <w:i/>
                <w:strike/>
                <w:sz w:val="18"/>
                <w:szCs w:val="18"/>
              </w:rPr>
              <w:t>concesionario</w:t>
            </w:r>
            <w:r>
              <w:rPr>
                <w:bCs/>
                <w:i/>
                <w:sz w:val="18"/>
                <w:szCs w:val="18"/>
              </w:rPr>
              <w:t xml:space="preserve"> </w:t>
            </w:r>
            <w:r w:rsidRPr="002329B7">
              <w:rPr>
                <w:bCs/>
                <w:i/>
                <w:sz w:val="18"/>
                <w:szCs w:val="18"/>
              </w:rPr>
              <w:t>autorizado al efecto.</w:t>
            </w:r>
            <w:r>
              <w:rPr>
                <w:bCs/>
                <w:i/>
                <w:sz w:val="18"/>
                <w:szCs w:val="18"/>
              </w:rPr>
              <w:t>”</w:t>
            </w:r>
          </w:p>
        </w:tc>
      </w:tr>
    </w:tbl>
    <w:p w14:paraId="713B47B3"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lastRenderedPageBreak/>
        <w:t>Énfasis añadido</w:t>
      </w:r>
    </w:p>
    <w:p w14:paraId="306329F9" w14:textId="1D71A286" w:rsidR="004D146E" w:rsidRDefault="004D146E" w:rsidP="00E53C1B">
      <w:pPr>
        <w:pStyle w:val="IFT1"/>
        <w:tabs>
          <w:tab w:val="left" w:pos="426"/>
          <w:tab w:val="left" w:pos="993"/>
        </w:tabs>
        <w:spacing w:after="0"/>
        <w:ind w:left="567" w:right="616"/>
        <w:jc w:val="right"/>
        <w:rPr>
          <w:bCs/>
          <w:sz w:val="18"/>
        </w:rPr>
      </w:pPr>
    </w:p>
    <w:p w14:paraId="35A89CC1" w14:textId="1BB1A6AC" w:rsidR="00DB30D2" w:rsidRDefault="00DB30D2" w:rsidP="00E53C1B">
      <w:pPr>
        <w:pStyle w:val="IFT1"/>
        <w:tabs>
          <w:tab w:val="left" w:pos="426"/>
        </w:tabs>
        <w:spacing w:after="0"/>
        <w:ind w:right="49"/>
      </w:pPr>
      <w:r>
        <w:t>Por otra parte, se modifica</w:t>
      </w:r>
      <w:r w:rsidRPr="00BF788D">
        <w:t xml:space="preserve"> la definición de “Servicio</w:t>
      </w:r>
      <w:r>
        <w:t>s</w:t>
      </w:r>
      <w:r w:rsidRPr="00BF788D">
        <w:t xml:space="preserve"> d</w:t>
      </w:r>
      <w:r>
        <w:t>e Tránsito” a efecto de reflejar lo señalado en el artículo 133 de la LFTR y la Medida Sexta de las Medidas Móviles, en el sentido de que Telcel se encuentra obligado a prestar dicho servicio</w:t>
      </w:r>
      <w:r w:rsidRPr="00BF788D">
        <w:t xml:space="preserve"> entre las redes que se encuentren interconectadas de </w:t>
      </w:r>
      <w:r>
        <w:t>manera directa y bidireccional. Por lo anterior, se modifica la definición en los siguientes términos:</w:t>
      </w:r>
    </w:p>
    <w:tbl>
      <w:tblPr>
        <w:tblW w:w="0" w:type="auto"/>
        <w:tblLook w:val="04A0" w:firstRow="1" w:lastRow="0" w:firstColumn="1" w:lastColumn="0" w:noHBand="0" w:noVBand="1"/>
      </w:tblPr>
      <w:tblGrid>
        <w:gridCol w:w="2617"/>
        <w:gridCol w:w="6221"/>
      </w:tblGrid>
      <w:tr w:rsidR="00A3791A" w:rsidRPr="004C1E9E" w14:paraId="5E89789B" w14:textId="77777777" w:rsidTr="00A27F4B">
        <w:tc>
          <w:tcPr>
            <w:tcW w:w="2617" w:type="dxa"/>
            <w:shd w:val="clear" w:color="auto" w:fill="auto"/>
          </w:tcPr>
          <w:p w14:paraId="568C787C" w14:textId="77777777" w:rsidR="00A3791A" w:rsidRDefault="00A3791A" w:rsidP="00E53C1B">
            <w:pPr>
              <w:pStyle w:val="IFT1"/>
              <w:tabs>
                <w:tab w:val="left" w:pos="426"/>
              </w:tabs>
              <w:spacing w:after="0"/>
              <w:ind w:left="426"/>
              <w:rPr>
                <w:b/>
                <w:bCs/>
                <w:i/>
                <w:sz w:val="18"/>
                <w:szCs w:val="18"/>
              </w:rPr>
            </w:pPr>
          </w:p>
          <w:p w14:paraId="65F7156C" w14:textId="77777777" w:rsidR="00A3791A" w:rsidRPr="008166E7" w:rsidRDefault="00A3791A" w:rsidP="00E53C1B">
            <w:pPr>
              <w:pStyle w:val="IFT1"/>
              <w:tabs>
                <w:tab w:val="left" w:pos="426"/>
              </w:tabs>
              <w:spacing w:after="0"/>
              <w:rPr>
                <w:bCs/>
                <w:i/>
                <w:sz w:val="18"/>
                <w:szCs w:val="18"/>
              </w:rPr>
            </w:pPr>
            <w:r w:rsidRPr="008166E7">
              <w:rPr>
                <w:bCs/>
                <w:i/>
                <w:sz w:val="18"/>
                <w:szCs w:val="18"/>
              </w:rPr>
              <w:t>“Servicios de Tránsito</w:t>
            </w:r>
          </w:p>
        </w:tc>
        <w:tc>
          <w:tcPr>
            <w:tcW w:w="6221" w:type="dxa"/>
            <w:shd w:val="clear" w:color="auto" w:fill="auto"/>
          </w:tcPr>
          <w:p w14:paraId="52FDAB0C" w14:textId="77777777" w:rsidR="00A3791A" w:rsidRDefault="00A3791A" w:rsidP="00E53C1B">
            <w:pPr>
              <w:pStyle w:val="IFT1"/>
              <w:tabs>
                <w:tab w:val="left" w:pos="426"/>
              </w:tabs>
              <w:spacing w:after="0"/>
              <w:ind w:left="426" w:right="225"/>
              <w:rPr>
                <w:bCs/>
                <w:i/>
                <w:sz w:val="18"/>
                <w:szCs w:val="18"/>
              </w:rPr>
            </w:pPr>
          </w:p>
          <w:p w14:paraId="6897CAE4" w14:textId="77777777" w:rsidR="00A3791A" w:rsidRPr="00621D37" w:rsidRDefault="00A3791A" w:rsidP="00E53C1B">
            <w:pPr>
              <w:pStyle w:val="IFT1"/>
              <w:tabs>
                <w:tab w:val="left" w:pos="426"/>
              </w:tabs>
              <w:spacing w:after="0"/>
              <w:ind w:left="426" w:right="225"/>
              <w:rPr>
                <w:bCs/>
                <w:i/>
                <w:sz w:val="18"/>
                <w:szCs w:val="18"/>
              </w:rPr>
            </w:pPr>
            <w:r w:rsidRPr="003F7C4F">
              <w:rPr>
                <w:bCs/>
                <w:i/>
                <w:sz w:val="18"/>
                <w:szCs w:val="18"/>
              </w:rPr>
              <w:t>Servicio de Interconexión para el enrutamiento de Tráfico que TELCEL</w:t>
            </w:r>
            <w:r>
              <w:rPr>
                <w:bCs/>
                <w:i/>
                <w:sz w:val="18"/>
                <w:szCs w:val="18"/>
              </w:rPr>
              <w:t xml:space="preserve">, o </w:t>
            </w:r>
            <w:r w:rsidRPr="003F7C4F">
              <w:rPr>
                <w:bCs/>
                <w:i/>
                <w:sz w:val="18"/>
                <w:szCs w:val="18"/>
              </w:rPr>
              <w:t>cualquier red perteneciente al Agente Económico Preponderante</w:t>
            </w:r>
            <w:r>
              <w:rPr>
                <w:bCs/>
                <w:i/>
                <w:sz w:val="18"/>
                <w:szCs w:val="18"/>
              </w:rPr>
              <w:t>,</w:t>
            </w:r>
            <w:r w:rsidRPr="003F7C4F">
              <w:rPr>
                <w:bCs/>
                <w:i/>
                <w:sz w:val="18"/>
                <w:szCs w:val="18"/>
              </w:rPr>
              <w:t xml:space="preserve"> provee para la Interconexión de dos o más Redes Públicas de Telecomunicaciones distintas</w:t>
            </w:r>
            <w:r>
              <w:rPr>
                <w:bCs/>
                <w:i/>
                <w:sz w:val="18"/>
                <w:szCs w:val="18"/>
              </w:rPr>
              <w:t xml:space="preserve"> </w:t>
            </w:r>
            <w:r w:rsidRPr="003F7C4F">
              <w:rPr>
                <w:bCs/>
                <w:i/>
                <w:sz w:val="18"/>
                <w:szCs w:val="18"/>
                <w:u w:val="single"/>
              </w:rPr>
              <w:t>que se encuentren interconectadas de manera directa y bidireccional con la red que presta el servicio de tránsito</w:t>
            </w:r>
            <w:r>
              <w:rPr>
                <w:bCs/>
                <w:i/>
                <w:sz w:val="18"/>
                <w:szCs w:val="18"/>
              </w:rPr>
              <w:t>,</w:t>
            </w:r>
            <w:r w:rsidRPr="003F7C4F">
              <w:rPr>
                <w:bCs/>
                <w:i/>
                <w:sz w:val="18"/>
                <w:szCs w:val="18"/>
              </w:rPr>
              <w:t xml:space="preserve"> para la terminación de T</w:t>
            </w:r>
            <w:r>
              <w:rPr>
                <w:bCs/>
                <w:i/>
                <w:sz w:val="18"/>
                <w:szCs w:val="18"/>
              </w:rPr>
              <w:t xml:space="preserve">ráfico en dichas redes. </w:t>
            </w:r>
            <w:r w:rsidRPr="00621D37">
              <w:rPr>
                <w:bCs/>
                <w:i/>
                <w:strike/>
                <w:sz w:val="18"/>
                <w:szCs w:val="18"/>
              </w:rPr>
              <w:t>El servicio de tránsito se proporcionará entre las redes que se encuentren interconectadas de manera directa y bidireccional con la red que presta el servicio de tránsito, esto es, que envíen y reciban tráfico de manera directa con el concesionario que preste el servicio de tránsito. El Agente Económico Preponderante está obligado a prestar el servicio de tránsito a los Concesionarios que así se lo requieran, por lo que deberá garantizar la prestación de dicho servicio a través de alguna de sus redes.</w:t>
            </w:r>
            <w:r>
              <w:rPr>
                <w:bCs/>
                <w:i/>
                <w:sz w:val="18"/>
                <w:szCs w:val="18"/>
              </w:rPr>
              <w:t xml:space="preserve"> “</w:t>
            </w:r>
          </w:p>
          <w:p w14:paraId="224F7D5F" w14:textId="77777777" w:rsidR="00A3791A" w:rsidRPr="003F7C4F" w:rsidRDefault="00A3791A" w:rsidP="00E53C1B">
            <w:pPr>
              <w:pStyle w:val="IFT1"/>
              <w:tabs>
                <w:tab w:val="left" w:pos="426"/>
              </w:tabs>
              <w:spacing w:after="0"/>
              <w:ind w:left="426" w:right="225"/>
              <w:rPr>
                <w:bCs/>
                <w:i/>
                <w:sz w:val="18"/>
                <w:szCs w:val="18"/>
              </w:rPr>
            </w:pPr>
            <w:r>
              <w:rPr>
                <w:bCs/>
                <w:i/>
                <w:sz w:val="18"/>
                <w:szCs w:val="18"/>
              </w:rPr>
              <w:t xml:space="preserve"> </w:t>
            </w:r>
          </w:p>
        </w:tc>
      </w:tr>
    </w:tbl>
    <w:p w14:paraId="2009CB7B"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B74A9F3" w14:textId="77777777" w:rsidR="00DB30D2" w:rsidRPr="004D146E" w:rsidRDefault="00DB30D2" w:rsidP="00E53C1B">
      <w:pPr>
        <w:pStyle w:val="IFT1"/>
        <w:tabs>
          <w:tab w:val="left" w:pos="426"/>
          <w:tab w:val="left" w:pos="993"/>
        </w:tabs>
        <w:spacing w:after="0"/>
        <w:ind w:left="567" w:right="616"/>
        <w:jc w:val="right"/>
        <w:rPr>
          <w:bCs/>
          <w:sz w:val="18"/>
        </w:rPr>
      </w:pPr>
    </w:p>
    <w:p w14:paraId="0B81AD35" w14:textId="0498367F" w:rsidR="00962266" w:rsidRDefault="00AE7499" w:rsidP="00E53C1B">
      <w:pPr>
        <w:spacing w:after="0" w:line="276" w:lineRule="auto"/>
        <w:rPr>
          <w:rFonts w:ascii="ITC Avant Garde" w:eastAsia="Avant Garde" w:hAnsi="ITC Avant Garde" w:cs="Avant Garde"/>
          <w:b/>
          <w:color w:val="000000"/>
          <w:sz w:val="24"/>
          <w:szCs w:val="24"/>
          <w:u w:val="single"/>
          <w:lang w:eastAsia="es-MX"/>
        </w:rPr>
      </w:pPr>
      <w:r w:rsidRPr="00377423">
        <w:rPr>
          <w:rFonts w:ascii="ITC Avant Garde" w:eastAsia="Avant Garde" w:hAnsi="ITC Avant Garde" w:cs="Avant Garde"/>
          <w:b/>
          <w:color w:val="000000"/>
          <w:sz w:val="24"/>
          <w:szCs w:val="24"/>
          <w:u w:val="single"/>
          <w:lang w:eastAsia="es-MX"/>
        </w:rPr>
        <w:t>Cláusula Segunda</w:t>
      </w:r>
      <w:r w:rsidR="00377423" w:rsidRPr="00377423">
        <w:rPr>
          <w:rFonts w:ascii="ITC Avant Garde" w:eastAsia="Avant Garde" w:hAnsi="ITC Avant Garde" w:cs="Avant Garde"/>
          <w:b/>
          <w:color w:val="000000"/>
          <w:sz w:val="24"/>
          <w:szCs w:val="24"/>
          <w:u w:val="single"/>
          <w:lang w:eastAsia="es-MX"/>
        </w:rPr>
        <w:t>.</w:t>
      </w:r>
    </w:p>
    <w:p w14:paraId="2831EBBB" w14:textId="6AD5F075" w:rsidR="00160642" w:rsidRPr="00160642" w:rsidRDefault="00160642" w:rsidP="00E53C1B">
      <w:pPr>
        <w:spacing w:after="0" w:line="276" w:lineRule="auto"/>
        <w:rPr>
          <w:rFonts w:ascii="ITC Avant Garde" w:eastAsia="Avant Garde" w:hAnsi="ITC Avant Garde" w:cs="Avant Garde"/>
          <w:b/>
          <w:color w:val="000000"/>
          <w:lang w:eastAsia="es-MX"/>
        </w:rPr>
      </w:pPr>
      <w:r w:rsidRPr="00160642">
        <w:rPr>
          <w:rFonts w:ascii="ITC Avant Garde" w:eastAsia="Avant Garde" w:hAnsi="ITC Avant Garde" w:cs="Avant Garde"/>
          <w:b/>
          <w:color w:val="000000"/>
          <w:lang w:eastAsia="es-MX"/>
        </w:rPr>
        <w:t>2.3 Servicios de Interconexión:</w:t>
      </w:r>
    </w:p>
    <w:p w14:paraId="5CEA1F81" w14:textId="77777777" w:rsidR="00160642" w:rsidRPr="00160642" w:rsidRDefault="00160642" w:rsidP="00E53C1B">
      <w:pPr>
        <w:spacing w:after="0" w:line="276" w:lineRule="auto"/>
        <w:rPr>
          <w:rFonts w:ascii="ITC Avant Garde" w:eastAsia="Avant Garde" w:hAnsi="ITC Avant Garde" w:cs="Avant Garde"/>
          <w:b/>
          <w:color w:val="000000"/>
          <w:lang w:eastAsia="es-MX"/>
        </w:rPr>
      </w:pPr>
      <w:r w:rsidRPr="00160642">
        <w:rPr>
          <w:rFonts w:ascii="ITC Avant Garde" w:eastAsia="Avant Garde" w:hAnsi="ITC Avant Garde" w:cs="Avant Garde"/>
          <w:b/>
          <w:color w:val="000000"/>
          <w:lang w:eastAsia="es-MX"/>
        </w:rPr>
        <w:t>CANIETI, ALTÁN</w:t>
      </w:r>
    </w:p>
    <w:p w14:paraId="5E6F6A78" w14:textId="43E5529E" w:rsidR="00160642" w:rsidRDefault="00160642" w:rsidP="00E53C1B">
      <w:pPr>
        <w:spacing w:after="0" w:line="276" w:lineRule="auto"/>
        <w:rPr>
          <w:rFonts w:ascii="ITC Avant Garde" w:hAnsi="ITC Avant Garde"/>
        </w:rPr>
      </w:pPr>
      <w:r w:rsidRPr="00160642">
        <w:rPr>
          <w:rFonts w:ascii="ITC Avant Garde" w:hAnsi="ITC Avant Garde"/>
        </w:rPr>
        <w:t>Señalan que el tipo de tráfico considerado para e</w:t>
      </w:r>
      <w:r w:rsidR="004E29BF">
        <w:rPr>
          <w:rFonts w:ascii="ITC Avant Garde" w:hAnsi="ITC Avant Garde"/>
        </w:rPr>
        <w:t>l servicio de interconexión de “Conducción de Tráfico”</w:t>
      </w:r>
      <w:r w:rsidRPr="00160642">
        <w:rPr>
          <w:rFonts w:ascii="ITC Avant Garde" w:hAnsi="ITC Avant Garde"/>
        </w:rPr>
        <w:t xml:space="preserve"> es contrario a la LFTR</w:t>
      </w:r>
      <w:r>
        <w:rPr>
          <w:rFonts w:ascii="ITC Avant Garde" w:hAnsi="ITC Avant Garde"/>
        </w:rPr>
        <w:t>.</w:t>
      </w:r>
    </w:p>
    <w:p w14:paraId="6D005091" w14:textId="77777777" w:rsidR="00646B29" w:rsidRPr="00160642" w:rsidRDefault="00646B29" w:rsidP="00E53C1B">
      <w:pPr>
        <w:spacing w:after="0" w:line="276" w:lineRule="auto"/>
        <w:rPr>
          <w:rFonts w:ascii="ITC Avant Garde" w:hAnsi="ITC Avant Garde"/>
        </w:rPr>
      </w:pPr>
    </w:p>
    <w:p w14:paraId="57F20054" w14:textId="77777777" w:rsidR="00160642" w:rsidRPr="00BA70FC" w:rsidRDefault="00160642" w:rsidP="00E53C1B">
      <w:pPr>
        <w:spacing w:after="0" w:line="276" w:lineRule="auto"/>
        <w:rPr>
          <w:rFonts w:ascii="ITC Avant Garde" w:eastAsia="Avant Garde" w:hAnsi="ITC Avant Garde" w:cs="Avant Garde"/>
          <w:b/>
          <w:color w:val="000000"/>
          <w:lang w:eastAsia="es-MX"/>
        </w:rPr>
      </w:pPr>
      <w:r w:rsidRPr="00BA70FC">
        <w:rPr>
          <w:rFonts w:ascii="ITC Avant Garde" w:eastAsia="Avant Garde" w:hAnsi="ITC Avant Garde" w:cs="Avant Garde"/>
          <w:b/>
          <w:color w:val="000000"/>
          <w:lang w:eastAsia="es-MX"/>
        </w:rPr>
        <w:t xml:space="preserve">Consideraciones del Instituto </w:t>
      </w:r>
    </w:p>
    <w:p w14:paraId="67405B3B" w14:textId="4F9F4FBD" w:rsidR="00BA70FC" w:rsidRDefault="00BA70FC" w:rsidP="00E53C1B">
      <w:pPr>
        <w:spacing w:after="0" w:line="276" w:lineRule="auto"/>
        <w:rPr>
          <w:rFonts w:ascii="ITC Avant Garde" w:hAnsi="ITC Avant Garde"/>
        </w:rPr>
      </w:pPr>
      <w:r w:rsidRPr="00BA70FC">
        <w:rPr>
          <w:rFonts w:ascii="ITC Avant Garde" w:hAnsi="ITC Avant Garde"/>
        </w:rPr>
        <w:t>Se modificó el numeral 2.3.1 de la Propuesta de CMI a efecto de precisar que, conforme a lo establecido en el artículo 127 de la LFTR, el servicio de conducción de tráfico no solamente comprende la terminación de llamadas y mensajes cortos, en el siguiente sentido:</w:t>
      </w:r>
    </w:p>
    <w:p w14:paraId="2DC2E56C" w14:textId="77777777" w:rsidR="004E29BF" w:rsidRPr="00BA70FC" w:rsidRDefault="004E29BF" w:rsidP="00E53C1B">
      <w:pPr>
        <w:spacing w:after="0" w:line="276" w:lineRule="auto"/>
        <w:rPr>
          <w:rFonts w:ascii="ITC Avant Garde" w:hAnsi="ITC Avant Garde"/>
        </w:rPr>
      </w:pPr>
    </w:p>
    <w:p w14:paraId="2792A576" w14:textId="620080E6" w:rsidR="00BA70FC" w:rsidRDefault="00BA70FC" w:rsidP="00E53C1B">
      <w:pPr>
        <w:pStyle w:val="IFT1"/>
        <w:tabs>
          <w:tab w:val="left" w:pos="426"/>
        </w:tabs>
        <w:spacing w:after="0"/>
        <w:ind w:left="567" w:right="616"/>
        <w:rPr>
          <w:bCs/>
          <w:i/>
          <w:sz w:val="18"/>
          <w:szCs w:val="18"/>
        </w:rPr>
      </w:pPr>
      <w:r>
        <w:rPr>
          <w:bCs/>
          <w:i/>
          <w:sz w:val="18"/>
          <w:szCs w:val="18"/>
        </w:rPr>
        <w:lastRenderedPageBreak/>
        <w:t>“</w:t>
      </w:r>
      <w:r w:rsidRPr="00B45006">
        <w:rPr>
          <w:bCs/>
          <w:i/>
          <w:sz w:val="18"/>
          <w:szCs w:val="18"/>
        </w:rPr>
        <w:t>2.3.1 Conducción de Tráfico, que incluye la Terminación de Tráfico,</w:t>
      </w:r>
      <w:r>
        <w:rPr>
          <w:bCs/>
          <w:i/>
          <w:sz w:val="18"/>
          <w:szCs w:val="18"/>
        </w:rPr>
        <w:t xml:space="preserve"> </w:t>
      </w:r>
      <w:r w:rsidRPr="00B45006">
        <w:rPr>
          <w:bCs/>
          <w:i/>
          <w:strike/>
          <w:sz w:val="18"/>
          <w:szCs w:val="18"/>
        </w:rPr>
        <w:t>es decir,</w:t>
      </w:r>
      <w:r w:rsidRPr="00B45006">
        <w:rPr>
          <w:bCs/>
          <w:i/>
          <w:sz w:val="18"/>
          <w:szCs w:val="18"/>
        </w:rPr>
        <w:t xml:space="preserve"> </w:t>
      </w:r>
      <w:r w:rsidRPr="00B45006">
        <w:rPr>
          <w:bCs/>
          <w:i/>
          <w:sz w:val="18"/>
          <w:szCs w:val="18"/>
          <w:u w:val="single"/>
        </w:rPr>
        <w:t>así como</w:t>
      </w:r>
      <w:r w:rsidRPr="00B45006">
        <w:rPr>
          <w:bCs/>
          <w:i/>
          <w:sz w:val="18"/>
          <w:szCs w:val="18"/>
        </w:rPr>
        <w:t xml:space="preserve"> llamadas</w:t>
      </w:r>
      <w:r>
        <w:rPr>
          <w:bCs/>
          <w:i/>
          <w:sz w:val="18"/>
          <w:szCs w:val="18"/>
        </w:rPr>
        <w:t xml:space="preserve"> </w:t>
      </w:r>
      <w:r w:rsidRPr="00B45006">
        <w:rPr>
          <w:bCs/>
          <w:i/>
          <w:strike/>
          <w:sz w:val="18"/>
          <w:szCs w:val="18"/>
        </w:rPr>
        <w:t>de voz</w:t>
      </w:r>
      <w:r w:rsidRPr="00B45006">
        <w:rPr>
          <w:bCs/>
          <w:i/>
          <w:sz w:val="18"/>
          <w:szCs w:val="18"/>
        </w:rPr>
        <w:t xml:space="preserve"> </w:t>
      </w:r>
      <w:r w:rsidRPr="00B45006">
        <w:rPr>
          <w:bCs/>
          <w:i/>
          <w:sz w:val="18"/>
          <w:szCs w:val="18"/>
          <w:u w:val="single"/>
        </w:rPr>
        <w:t>y servicios</w:t>
      </w:r>
      <w:r>
        <w:rPr>
          <w:bCs/>
          <w:i/>
          <w:sz w:val="18"/>
          <w:szCs w:val="18"/>
        </w:rPr>
        <w:t xml:space="preserve"> </w:t>
      </w:r>
      <w:r w:rsidRPr="00B45006">
        <w:rPr>
          <w:bCs/>
          <w:i/>
          <w:strike/>
          <w:sz w:val="18"/>
          <w:szCs w:val="18"/>
        </w:rPr>
        <w:t>intercambio electrónico</w:t>
      </w:r>
      <w:r w:rsidRPr="00B45006">
        <w:rPr>
          <w:bCs/>
          <w:i/>
          <w:sz w:val="18"/>
          <w:szCs w:val="18"/>
        </w:rPr>
        <w:t xml:space="preserve"> de mensajes cortos.</w:t>
      </w:r>
      <w:r>
        <w:rPr>
          <w:bCs/>
          <w:i/>
          <w:sz w:val="18"/>
          <w:szCs w:val="18"/>
        </w:rPr>
        <w:t>”</w:t>
      </w:r>
    </w:p>
    <w:p w14:paraId="3FE262A1" w14:textId="77777777" w:rsidR="00BA70FC" w:rsidRPr="003B4AFC" w:rsidRDefault="00BA70FC" w:rsidP="00E53C1B">
      <w:pPr>
        <w:pStyle w:val="IFT1"/>
        <w:tabs>
          <w:tab w:val="left" w:pos="426"/>
        </w:tabs>
        <w:spacing w:after="0"/>
        <w:ind w:left="567" w:right="616"/>
        <w:jc w:val="right"/>
        <w:rPr>
          <w:bCs/>
          <w:sz w:val="18"/>
          <w:szCs w:val="18"/>
        </w:rPr>
      </w:pPr>
      <w:r w:rsidRPr="003B4AFC">
        <w:rPr>
          <w:bCs/>
          <w:sz w:val="18"/>
          <w:szCs w:val="18"/>
        </w:rPr>
        <w:t>(Énfasis añadido)</w:t>
      </w:r>
    </w:p>
    <w:p w14:paraId="5BDE0724" w14:textId="4BC75AB5" w:rsidR="00BA70FC" w:rsidRDefault="00BA70FC" w:rsidP="00E53C1B">
      <w:pPr>
        <w:spacing w:after="0" w:line="276" w:lineRule="auto"/>
        <w:rPr>
          <w:rFonts w:ascii="ITC Avant Garde" w:hAnsi="ITC Avant Garde"/>
        </w:rPr>
      </w:pPr>
    </w:p>
    <w:p w14:paraId="3D7C5686" w14:textId="77777777" w:rsidR="00BA47FC" w:rsidRPr="0053503B" w:rsidRDefault="00BA47FC" w:rsidP="00E53C1B">
      <w:pPr>
        <w:spacing w:after="0" w:line="276" w:lineRule="auto"/>
        <w:rPr>
          <w:rFonts w:ascii="ITC Avant Garde" w:eastAsia="Avant Garde" w:hAnsi="ITC Avant Garde" w:cs="Avant Garde"/>
          <w:b/>
          <w:color w:val="000000"/>
          <w:lang w:eastAsia="es-MX"/>
        </w:rPr>
      </w:pPr>
      <w:r w:rsidRPr="00CA6D48">
        <w:rPr>
          <w:rFonts w:ascii="ITC Avant Garde" w:eastAsia="Avant Garde" w:hAnsi="ITC Avant Garde" w:cs="Avant Garde"/>
          <w:b/>
          <w:color w:val="000000"/>
          <w:lang w:eastAsia="es-MX"/>
        </w:rPr>
        <w:t>2.4.1 Falta de Capacidad Atribuible a Telcel:</w:t>
      </w:r>
    </w:p>
    <w:p w14:paraId="66103702" w14:textId="6945F086" w:rsidR="00BA47FC" w:rsidRDefault="00BA47FC"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p>
    <w:p w14:paraId="3B293AEB" w14:textId="01C7ED3F" w:rsidR="00BA47FC" w:rsidRDefault="00BA47FC" w:rsidP="00E53C1B">
      <w:pPr>
        <w:spacing w:after="0" w:line="276" w:lineRule="auto"/>
        <w:rPr>
          <w:rFonts w:ascii="ITC Avant Garde" w:eastAsia="Avant Garde" w:hAnsi="ITC Avant Garde" w:cs="Avant Garde"/>
          <w:color w:val="000000"/>
          <w:lang w:eastAsia="es-MX"/>
        </w:rPr>
      </w:pPr>
      <w:r w:rsidRPr="00BA47FC">
        <w:rPr>
          <w:rFonts w:ascii="ITC Avant Garde" w:eastAsia="Avant Garde" w:hAnsi="ITC Avant Garde" w:cs="Avant Garde"/>
          <w:color w:val="000000"/>
          <w:lang w:eastAsia="es-MX"/>
        </w:rPr>
        <w:t xml:space="preserve">Señalan que la modificación pretende sustituir los plazos de entrega de los servicios. Manifiestan que el Instituto motivo los plazos de entrega de los servicios desde el </w:t>
      </w:r>
      <w:r w:rsidRPr="00565C1B">
        <w:rPr>
          <w:rFonts w:ascii="ITC Avant Garde" w:eastAsia="Avant Garde" w:hAnsi="ITC Avant Garde" w:cs="Avant Garde"/>
          <w:color w:val="000000"/>
          <w:lang w:eastAsia="es-MX"/>
        </w:rPr>
        <w:t>CMI 2017</w:t>
      </w:r>
      <w:r w:rsidR="00565C1B" w:rsidRPr="00565C1B">
        <w:rPr>
          <w:rStyle w:val="Refdenotaalpie"/>
          <w:rFonts w:ascii="ITC Avant Garde" w:eastAsia="Avant Garde" w:hAnsi="ITC Avant Garde" w:cs="Avant Garde"/>
          <w:color w:val="000000"/>
          <w:lang w:eastAsia="es-MX"/>
        </w:rPr>
        <w:footnoteReference w:id="5"/>
      </w:r>
      <w:r w:rsidRPr="00565C1B">
        <w:rPr>
          <w:rFonts w:ascii="ITC Avant Garde" w:eastAsia="Avant Garde" w:hAnsi="ITC Avant Garde" w:cs="Avant Garde"/>
          <w:color w:val="000000"/>
          <w:lang w:eastAsia="es-MX"/>
        </w:rPr>
        <w:t>.</w:t>
      </w:r>
    </w:p>
    <w:p w14:paraId="6DE53E7C" w14:textId="77777777" w:rsidR="00864BA0" w:rsidRDefault="00864BA0" w:rsidP="00E53C1B">
      <w:pPr>
        <w:spacing w:after="0" w:line="276" w:lineRule="auto"/>
        <w:rPr>
          <w:rFonts w:ascii="ITC Avant Garde" w:eastAsia="Avant Garde" w:hAnsi="ITC Avant Garde" w:cs="Avant Garde"/>
          <w:color w:val="000000"/>
          <w:lang w:eastAsia="es-MX"/>
        </w:rPr>
      </w:pPr>
    </w:p>
    <w:p w14:paraId="1BAEAB16" w14:textId="77777777" w:rsidR="00BA47FC" w:rsidRPr="00BA70FC" w:rsidRDefault="00BA47FC" w:rsidP="00E53C1B">
      <w:pPr>
        <w:spacing w:after="0" w:line="276" w:lineRule="auto"/>
        <w:rPr>
          <w:rFonts w:ascii="ITC Avant Garde" w:eastAsia="Avant Garde" w:hAnsi="ITC Avant Garde" w:cs="Avant Garde"/>
          <w:b/>
          <w:color w:val="000000"/>
          <w:lang w:eastAsia="es-MX"/>
        </w:rPr>
      </w:pPr>
      <w:r w:rsidRPr="00BA70FC">
        <w:rPr>
          <w:rFonts w:ascii="ITC Avant Garde" w:eastAsia="Avant Garde" w:hAnsi="ITC Avant Garde" w:cs="Avant Garde"/>
          <w:b/>
          <w:color w:val="000000"/>
          <w:lang w:eastAsia="es-MX"/>
        </w:rPr>
        <w:t xml:space="preserve">Consideraciones del Instituto </w:t>
      </w:r>
    </w:p>
    <w:p w14:paraId="7BB0D875" w14:textId="2B07B009" w:rsidR="000666CC" w:rsidRDefault="000666CC" w:rsidP="00E53C1B">
      <w:pPr>
        <w:pStyle w:val="IFT1"/>
        <w:tabs>
          <w:tab w:val="left" w:pos="426"/>
        </w:tabs>
        <w:spacing w:after="0"/>
        <w:ind w:right="49"/>
        <w:rPr>
          <w:bCs/>
        </w:rPr>
      </w:pPr>
      <w:r>
        <w:rPr>
          <w:rFonts w:cs="Arial"/>
        </w:rPr>
        <w:t>L</w:t>
      </w:r>
      <w:r w:rsidRPr="007B0742">
        <w:rPr>
          <w:rFonts w:cs="Arial"/>
        </w:rPr>
        <w:t>a Cláusula 2.4</w:t>
      </w:r>
      <w:r>
        <w:rPr>
          <w:rFonts w:cs="Arial"/>
        </w:rPr>
        <w:t>.1</w:t>
      </w:r>
      <w:r w:rsidRPr="007B0742">
        <w:rPr>
          <w:rFonts w:cs="Arial"/>
        </w:rPr>
        <w:t xml:space="preserve"> no se apega al marco regulatorio vigente ni a</w:t>
      </w:r>
      <w:r w:rsidRPr="007B0742">
        <w:t xml:space="preserve"> los términos y condiciones </w:t>
      </w:r>
      <w:r w:rsidR="00B149B1">
        <w:rPr>
          <w:bCs/>
        </w:rPr>
        <w:t>establecidos en el CMI vigente</w:t>
      </w:r>
      <w:r w:rsidR="005B0A2C">
        <w:rPr>
          <w:bCs/>
        </w:rPr>
        <w:t>,</w:t>
      </w:r>
      <w:r w:rsidRPr="007B0742">
        <w:rPr>
          <w:bCs/>
        </w:rPr>
        <w:t xml:space="preserve"> </w:t>
      </w:r>
      <w:r w:rsidR="004E29BF">
        <w:rPr>
          <w:bCs/>
        </w:rPr>
        <w:t>por lo anterior, se modificó</w:t>
      </w:r>
      <w:r w:rsidR="00192CF2">
        <w:rPr>
          <w:bCs/>
        </w:rPr>
        <w:t xml:space="preserve"> la cláusula en los siguientes términos:</w:t>
      </w:r>
    </w:p>
    <w:p w14:paraId="6CA2AF41" w14:textId="77777777" w:rsidR="00864BA0" w:rsidRDefault="00864BA0" w:rsidP="00E53C1B">
      <w:pPr>
        <w:pStyle w:val="IFT1"/>
        <w:tabs>
          <w:tab w:val="left" w:pos="426"/>
        </w:tabs>
        <w:spacing w:after="0"/>
        <w:ind w:right="49"/>
        <w:rPr>
          <w:bCs/>
        </w:rPr>
      </w:pPr>
    </w:p>
    <w:p w14:paraId="338B5838" w14:textId="77777777" w:rsidR="00380EB0" w:rsidRPr="009677D6" w:rsidRDefault="00380EB0" w:rsidP="00E53C1B">
      <w:pPr>
        <w:pStyle w:val="IFT1"/>
        <w:tabs>
          <w:tab w:val="left" w:pos="426"/>
        </w:tabs>
        <w:spacing w:after="0"/>
        <w:ind w:left="567" w:right="616"/>
        <w:rPr>
          <w:bCs/>
          <w:i/>
          <w:sz w:val="18"/>
          <w:szCs w:val="18"/>
        </w:rPr>
      </w:pPr>
      <w:r>
        <w:rPr>
          <w:bCs/>
          <w:i/>
          <w:sz w:val="18"/>
          <w:szCs w:val="18"/>
        </w:rPr>
        <w:t>“</w:t>
      </w:r>
      <w:r w:rsidRPr="009677D6">
        <w:rPr>
          <w:bCs/>
          <w:i/>
          <w:sz w:val="18"/>
          <w:szCs w:val="18"/>
        </w:rPr>
        <w:t>2.4.1 Falta de capacidad atribuible a Telcel.</w:t>
      </w:r>
    </w:p>
    <w:p w14:paraId="03C427BA" w14:textId="77777777" w:rsidR="00380EB0" w:rsidRDefault="00380EB0" w:rsidP="00E53C1B">
      <w:pPr>
        <w:pStyle w:val="IFT1"/>
        <w:tabs>
          <w:tab w:val="left" w:pos="426"/>
        </w:tabs>
        <w:spacing w:after="0"/>
        <w:ind w:left="567" w:right="616"/>
        <w:rPr>
          <w:bCs/>
          <w:i/>
          <w:sz w:val="18"/>
          <w:szCs w:val="18"/>
        </w:rPr>
      </w:pPr>
      <w:r w:rsidRPr="009677D6">
        <w:rPr>
          <w:bCs/>
          <w:i/>
          <w:sz w:val="18"/>
          <w:szCs w:val="18"/>
        </w:rPr>
        <w:t xml:space="preserve">Cuando una Solicitud de Servicios de Interconexión no pueda ser atendida por falta de capacidad atribuible a TELCEL en un Punto de Interconexión determinado en el Acuerdo de Puntos de Interconexión y que sea solicitado por el CONCESIONARIO, será responsabilidad de TELCEL ofrecer al CONCESIONARIO en un plazo no mayor a 20 días hábiles contados a partir de la fecha de recepción de la solicitud respectiva, una alternativa de Interconexión viable, </w:t>
      </w:r>
      <w:r w:rsidRPr="009677D6">
        <w:rPr>
          <w:bCs/>
          <w:i/>
          <w:sz w:val="18"/>
          <w:szCs w:val="18"/>
          <w:u w:val="single"/>
        </w:rPr>
        <w:t>es decir que la infraestructura se encuentre lista y en operación</w:t>
      </w:r>
      <w:r w:rsidRPr="009677D6">
        <w:rPr>
          <w:bCs/>
          <w:i/>
          <w:sz w:val="18"/>
          <w:szCs w:val="18"/>
        </w:rPr>
        <w:t xml:space="preserve"> y que cumpla con las obligaciones previstas en el presente Convenio sin que esto resulte en un costo adicional o diferenciado para su establecimiento en la prestación de los Servicios de Interconexión.</w:t>
      </w:r>
      <w:r>
        <w:rPr>
          <w:bCs/>
          <w:i/>
          <w:sz w:val="18"/>
          <w:szCs w:val="18"/>
        </w:rPr>
        <w:t>”</w:t>
      </w:r>
    </w:p>
    <w:p w14:paraId="553C9209"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0A6A16B" w14:textId="77777777" w:rsidR="00380EB0" w:rsidRPr="006A2F1E" w:rsidRDefault="00380EB0" w:rsidP="00E53C1B">
      <w:pPr>
        <w:pStyle w:val="IFT1"/>
        <w:tabs>
          <w:tab w:val="left" w:pos="426"/>
        </w:tabs>
        <w:spacing w:after="0"/>
        <w:ind w:right="49"/>
        <w:rPr>
          <w:bCs/>
        </w:rPr>
      </w:pPr>
    </w:p>
    <w:p w14:paraId="029E6F49" w14:textId="77777777" w:rsidR="006043AC" w:rsidRPr="0053503B" w:rsidRDefault="006043AC"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2.4.2 Redundancia y Balanceo de Tráfico</w:t>
      </w:r>
      <w:r>
        <w:rPr>
          <w:rFonts w:ascii="ITC Avant Garde" w:eastAsia="Avant Garde" w:hAnsi="ITC Avant Garde" w:cs="Avant Garde"/>
          <w:b/>
          <w:color w:val="000000"/>
          <w:lang w:eastAsia="es-MX"/>
        </w:rPr>
        <w:t xml:space="preserve"> y 2.2 del Anexo E.</w:t>
      </w:r>
    </w:p>
    <w:p w14:paraId="131FF919" w14:textId="5CD81E86" w:rsidR="006043AC" w:rsidRPr="0053503B" w:rsidRDefault="008C556D"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p>
    <w:p w14:paraId="63612AA3" w14:textId="382A41C1" w:rsidR="006043AC" w:rsidRDefault="006043AC" w:rsidP="00E53C1B">
      <w:pPr>
        <w:spacing w:after="0" w:line="276" w:lineRule="auto"/>
        <w:rPr>
          <w:rFonts w:ascii="ITC Avant Garde" w:eastAsia="Avant Garde" w:hAnsi="ITC Avant Garde" w:cs="Avant Garde"/>
          <w:color w:val="000000"/>
          <w:lang w:eastAsia="es-MX"/>
        </w:rPr>
      </w:pPr>
      <w:r w:rsidRPr="006043AC">
        <w:rPr>
          <w:rFonts w:ascii="ITC Avant Garde" w:eastAsia="Avant Garde" w:hAnsi="ITC Avant Garde" w:cs="Avant Garde"/>
          <w:color w:val="000000"/>
          <w:lang w:eastAsia="es-MX"/>
        </w:rPr>
        <w:t>Señalan que la modificación otorga a Telcel un plazo para el inicio del crecimiento de los servicios una vez que se alcance el 85% de carga. Indican que lo anterior es distinto a que una vez que se alcance el 85% de carga se dispare el crecimiento de los servicios, asegurando la capacidad y previniendo la afectación de servicios, por lo que sugieren mantener la redacción del CMI vigente</w:t>
      </w:r>
      <w:r>
        <w:rPr>
          <w:rFonts w:ascii="ITC Avant Garde" w:eastAsia="Avant Garde" w:hAnsi="ITC Avant Garde" w:cs="Avant Garde"/>
          <w:color w:val="000000"/>
          <w:lang w:eastAsia="es-MX"/>
        </w:rPr>
        <w:t>.</w:t>
      </w:r>
    </w:p>
    <w:p w14:paraId="48296DBE" w14:textId="77777777" w:rsidR="00864BA0" w:rsidRDefault="00864BA0" w:rsidP="00E53C1B">
      <w:pPr>
        <w:spacing w:after="0" w:line="276" w:lineRule="auto"/>
        <w:rPr>
          <w:rFonts w:ascii="ITC Avant Garde" w:eastAsia="Avant Garde" w:hAnsi="ITC Avant Garde" w:cs="Avant Garde"/>
          <w:color w:val="000000"/>
          <w:lang w:eastAsia="es-MX"/>
        </w:rPr>
      </w:pPr>
    </w:p>
    <w:p w14:paraId="463C6A08" w14:textId="77777777" w:rsidR="006043AC" w:rsidRDefault="006043AC"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787F72BD" w14:textId="72DEDAC8" w:rsidR="008C556D" w:rsidRDefault="008C556D" w:rsidP="00E53C1B">
      <w:pPr>
        <w:pStyle w:val="IFT1"/>
        <w:tabs>
          <w:tab w:val="left" w:pos="426"/>
        </w:tabs>
        <w:spacing w:after="0"/>
        <w:ind w:right="49"/>
        <w:rPr>
          <w:rFonts w:cs="Arial"/>
        </w:rPr>
      </w:pPr>
      <w:r>
        <w:rPr>
          <w:rFonts w:cs="Arial"/>
        </w:rPr>
        <w:t xml:space="preserve">Se modificaron las condiciones establecidas para la redundancia y el balanceo de tráfico en la interconexión entre redes establecida en los </w:t>
      </w:r>
      <w:r w:rsidRPr="00D90444">
        <w:rPr>
          <w:rFonts w:cs="Arial"/>
          <w:snapToGrid w:val="0"/>
        </w:rPr>
        <w:t>numeral</w:t>
      </w:r>
      <w:r>
        <w:rPr>
          <w:rFonts w:cs="Arial"/>
          <w:snapToGrid w:val="0"/>
        </w:rPr>
        <w:t>es</w:t>
      </w:r>
      <w:r w:rsidRPr="00D90444">
        <w:rPr>
          <w:rFonts w:cs="Arial"/>
          <w:snapToGrid w:val="0"/>
        </w:rPr>
        <w:t xml:space="preserve"> 2.4.2</w:t>
      </w:r>
      <w:r>
        <w:rPr>
          <w:rFonts w:cs="Arial"/>
          <w:snapToGrid w:val="0"/>
        </w:rPr>
        <w:t>, 3.1 del Subanexo “A” y 2.2 del Subanexo “E”</w:t>
      </w:r>
      <w:r w:rsidRPr="007B0742">
        <w:rPr>
          <w:rFonts w:cs="Arial"/>
        </w:rPr>
        <w:t xml:space="preserve"> </w:t>
      </w:r>
      <w:r>
        <w:rPr>
          <w:rFonts w:cs="Arial"/>
        </w:rPr>
        <w:t>a efecto de precisar que el máximo de carga es el parámetro para realizar el crecimiento de los servicios:</w:t>
      </w:r>
    </w:p>
    <w:p w14:paraId="6A7C31F9" w14:textId="77777777" w:rsidR="006826E9" w:rsidRDefault="006826E9" w:rsidP="00E53C1B">
      <w:pPr>
        <w:pStyle w:val="IFT1"/>
        <w:tabs>
          <w:tab w:val="left" w:pos="426"/>
        </w:tabs>
        <w:spacing w:after="0"/>
        <w:ind w:right="49"/>
        <w:rPr>
          <w:rFonts w:cs="Arial"/>
        </w:rPr>
      </w:pPr>
    </w:p>
    <w:p w14:paraId="4C61BD76" w14:textId="77777777" w:rsidR="008C556D" w:rsidRDefault="008C556D" w:rsidP="00E53C1B">
      <w:pPr>
        <w:pStyle w:val="IFT1"/>
        <w:tabs>
          <w:tab w:val="left" w:pos="426"/>
        </w:tabs>
        <w:spacing w:after="0"/>
        <w:ind w:left="567" w:right="616"/>
        <w:rPr>
          <w:bCs/>
          <w:i/>
          <w:sz w:val="18"/>
          <w:szCs w:val="18"/>
        </w:rPr>
      </w:pPr>
      <w:r>
        <w:rPr>
          <w:bCs/>
          <w:i/>
          <w:sz w:val="18"/>
          <w:szCs w:val="18"/>
        </w:rPr>
        <w:t>“</w:t>
      </w:r>
      <w:r w:rsidRPr="00F2451D">
        <w:rPr>
          <w:bCs/>
          <w:i/>
          <w:sz w:val="18"/>
          <w:szCs w:val="18"/>
        </w:rPr>
        <w:t xml:space="preserve">Los enlaces por sitio deberán estar dimensionados para soportar en la hora pico un máximo de 85% (ochenta y cinco por ciento) de carga, siendo éste el parámetro determinante para </w:t>
      </w:r>
      <w:r w:rsidRPr="00F2451D">
        <w:rPr>
          <w:bCs/>
          <w:i/>
          <w:strike/>
          <w:sz w:val="18"/>
          <w:szCs w:val="18"/>
        </w:rPr>
        <w:t>iniciar</w:t>
      </w:r>
      <w:r w:rsidRPr="00F2451D">
        <w:rPr>
          <w:bCs/>
          <w:i/>
          <w:sz w:val="18"/>
          <w:szCs w:val="18"/>
        </w:rPr>
        <w:t xml:space="preserve"> </w:t>
      </w:r>
      <w:r w:rsidRPr="00F2451D">
        <w:rPr>
          <w:bCs/>
          <w:i/>
          <w:sz w:val="18"/>
          <w:szCs w:val="18"/>
          <w:u w:val="single"/>
        </w:rPr>
        <w:t>realizar</w:t>
      </w:r>
      <w:r w:rsidRPr="00F2451D">
        <w:rPr>
          <w:bCs/>
          <w:i/>
          <w:sz w:val="18"/>
          <w:szCs w:val="18"/>
        </w:rPr>
        <w:t xml:space="preserve"> </w:t>
      </w:r>
      <w:r w:rsidRPr="00F2451D">
        <w:rPr>
          <w:bCs/>
          <w:i/>
          <w:strike/>
          <w:sz w:val="18"/>
          <w:szCs w:val="18"/>
        </w:rPr>
        <w:t>con</w:t>
      </w:r>
      <w:r w:rsidRPr="00F2451D">
        <w:rPr>
          <w:bCs/>
          <w:i/>
          <w:sz w:val="18"/>
          <w:szCs w:val="18"/>
        </w:rPr>
        <w:t xml:space="preserve"> el crecimiento de los servicios. Con lo anterior, en caso de falla de uno de los sitios, el tráfico se </w:t>
      </w:r>
      <w:proofErr w:type="spellStart"/>
      <w:r w:rsidRPr="00F2451D">
        <w:rPr>
          <w:bCs/>
          <w:i/>
          <w:sz w:val="18"/>
          <w:szCs w:val="18"/>
        </w:rPr>
        <w:t>enrutará</w:t>
      </w:r>
      <w:proofErr w:type="spellEnd"/>
      <w:r w:rsidRPr="00F2451D">
        <w:rPr>
          <w:bCs/>
          <w:i/>
          <w:sz w:val="18"/>
          <w:szCs w:val="18"/>
        </w:rPr>
        <w:t xml:space="preserve"> al enlace en servicio, previniendo la afectación del servicio.</w:t>
      </w:r>
      <w:r>
        <w:rPr>
          <w:bCs/>
          <w:i/>
          <w:sz w:val="18"/>
          <w:szCs w:val="18"/>
        </w:rPr>
        <w:t>”</w:t>
      </w:r>
    </w:p>
    <w:p w14:paraId="64C0D873"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08B9AC36" w14:textId="77777777" w:rsidR="008C556D" w:rsidRPr="00F62B23" w:rsidRDefault="008C556D" w:rsidP="00E53C1B">
      <w:pPr>
        <w:pStyle w:val="IFT1"/>
        <w:tabs>
          <w:tab w:val="left" w:pos="426"/>
        </w:tabs>
        <w:spacing w:after="0"/>
        <w:ind w:left="567" w:right="618"/>
        <w:jc w:val="right"/>
        <w:rPr>
          <w:bCs/>
          <w:sz w:val="18"/>
          <w:szCs w:val="18"/>
        </w:rPr>
      </w:pPr>
    </w:p>
    <w:p w14:paraId="2E7A6CEA" w14:textId="18A87A0B" w:rsidR="008C556D" w:rsidRPr="0053503B" w:rsidRDefault="008C556D"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 TELEVISA, AT&amp;T</w:t>
      </w:r>
    </w:p>
    <w:p w14:paraId="3BE8DBBD" w14:textId="39961F75" w:rsidR="00160642" w:rsidRDefault="008C556D" w:rsidP="00E53C1B">
      <w:pPr>
        <w:spacing w:after="0" w:line="276" w:lineRule="auto"/>
        <w:rPr>
          <w:rFonts w:ascii="ITC Avant Garde" w:eastAsia="Avant Garde" w:hAnsi="ITC Avant Garde" w:cs="Avant Garde"/>
          <w:color w:val="000000"/>
          <w:lang w:eastAsia="es-MX"/>
        </w:rPr>
      </w:pPr>
      <w:r w:rsidRPr="008C556D">
        <w:rPr>
          <w:rFonts w:ascii="ITC Avant Garde" w:eastAsia="Avant Garde" w:hAnsi="ITC Avant Garde" w:cs="Avant Garde"/>
          <w:color w:val="000000"/>
          <w:lang w:eastAsia="es-MX"/>
        </w:rPr>
        <w:t>Señalan que la ocupación máxima de los enlaces por sitio debe ser del 40% cuando sólo exista una redundancia y del 60% cuando existan dos redundancias, ya que de este modo se garantiza que no se afecte el servicio en caso de existir una falla.</w:t>
      </w:r>
    </w:p>
    <w:p w14:paraId="4F41AAF6" w14:textId="77777777" w:rsidR="006826E9" w:rsidRDefault="006826E9" w:rsidP="00E53C1B">
      <w:pPr>
        <w:spacing w:after="0" w:line="276" w:lineRule="auto"/>
        <w:rPr>
          <w:rFonts w:ascii="ITC Avant Garde" w:eastAsia="Avant Garde" w:hAnsi="ITC Avant Garde" w:cs="Avant Garde"/>
          <w:color w:val="000000"/>
          <w:lang w:eastAsia="es-MX"/>
        </w:rPr>
      </w:pPr>
    </w:p>
    <w:p w14:paraId="1BD1BDF5" w14:textId="225732BA" w:rsidR="00886ABB" w:rsidRPr="0053503B" w:rsidRDefault="00886ABB"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6937E4C7" w14:textId="254888F1" w:rsidR="00886ABB" w:rsidRDefault="00886ABB"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w:t>
      </w:r>
      <w:r w:rsidR="00966F8C">
        <w:rPr>
          <w:rFonts w:ascii="ITC Avant Garde" w:eastAsia="Avant Garde" w:hAnsi="ITC Avant Garde" w:cs="Avant Garde"/>
          <w:color w:val="000000"/>
          <w:lang w:eastAsia="es-MX"/>
        </w:rPr>
        <w:t>ndica</w:t>
      </w:r>
      <w:r w:rsidRPr="00886ABB">
        <w:rPr>
          <w:rFonts w:ascii="ITC Avant Garde" w:eastAsia="Avant Garde" w:hAnsi="ITC Avant Garde" w:cs="Avant Garde"/>
          <w:color w:val="000000"/>
          <w:lang w:eastAsia="es-MX"/>
        </w:rPr>
        <w:t xml:space="preserve"> que debido a la cantidad de tráfi</w:t>
      </w:r>
      <w:r>
        <w:rPr>
          <w:rFonts w:ascii="ITC Avant Garde" w:eastAsia="Avant Garde" w:hAnsi="ITC Avant Garde" w:cs="Avant Garde"/>
          <w:color w:val="000000"/>
          <w:lang w:eastAsia="es-MX"/>
        </w:rPr>
        <w:t>co que soportan las redes, se debe</w:t>
      </w:r>
      <w:r w:rsidRPr="00886ABB">
        <w:rPr>
          <w:rFonts w:ascii="ITC Avant Garde" w:eastAsia="Avant Garde" w:hAnsi="ITC Avant Garde" w:cs="Avant Garde"/>
          <w:color w:val="000000"/>
          <w:lang w:eastAsia="es-MX"/>
        </w:rPr>
        <w:t xml:space="preserve"> considerar que</w:t>
      </w:r>
      <w:r w:rsidR="00966F8C">
        <w:rPr>
          <w:rFonts w:ascii="ITC Avant Garde" w:eastAsia="Avant Garde" w:hAnsi="ITC Avant Garde" w:cs="Avant Garde"/>
          <w:color w:val="000000"/>
          <w:lang w:eastAsia="es-MX"/>
        </w:rPr>
        <w:t>,</w:t>
      </w:r>
      <w:r w:rsidRPr="00886ABB">
        <w:rPr>
          <w:rFonts w:ascii="ITC Avant Garde" w:eastAsia="Avant Garde" w:hAnsi="ITC Avant Garde" w:cs="Avant Garde"/>
          <w:color w:val="000000"/>
          <w:lang w:eastAsia="es-MX"/>
        </w:rPr>
        <w:t xml:space="preserve"> en caso de </w:t>
      </w:r>
      <w:r w:rsidR="00966F8C">
        <w:rPr>
          <w:rFonts w:ascii="ITC Avant Garde" w:eastAsia="Avant Garde" w:hAnsi="ITC Avant Garde" w:cs="Avant Garde"/>
          <w:color w:val="000000"/>
          <w:lang w:eastAsia="es-MX"/>
        </w:rPr>
        <w:t>falla de algún enlace, los demás deben soportar al</w:t>
      </w:r>
      <w:r w:rsidRPr="00886ABB">
        <w:rPr>
          <w:rFonts w:ascii="ITC Avant Garde" w:eastAsia="Avant Garde" w:hAnsi="ITC Avant Garde" w:cs="Avant Garde"/>
          <w:color w:val="000000"/>
          <w:lang w:eastAsia="es-MX"/>
        </w:rPr>
        <w:t xml:space="preserve"> menos el 50%</w:t>
      </w:r>
      <w:r w:rsidR="00966F8C">
        <w:rPr>
          <w:rFonts w:ascii="ITC Avant Garde" w:eastAsia="Avant Garde" w:hAnsi="ITC Avant Garde" w:cs="Avant Garde"/>
          <w:color w:val="000000"/>
          <w:lang w:eastAsia="es-MX"/>
        </w:rPr>
        <w:t xml:space="preserve"> del tráfico</w:t>
      </w:r>
      <w:r w:rsidRPr="00886ABB">
        <w:rPr>
          <w:rFonts w:ascii="ITC Avant Garde" w:eastAsia="Avant Garde" w:hAnsi="ITC Avant Garde" w:cs="Avant Garde"/>
          <w:color w:val="000000"/>
          <w:lang w:eastAsia="es-MX"/>
        </w:rPr>
        <w:t xml:space="preserve"> y una vez superad</w:t>
      </w:r>
      <w:r w:rsidR="00966F8C">
        <w:rPr>
          <w:rFonts w:ascii="ITC Avant Garde" w:eastAsia="Avant Garde" w:hAnsi="ITC Avant Garde" w:cs="Avant Garde"/>
          <w:color w:val="000000"/>
          <w:lang w:eastAsia="es-MX"/>
        </w:rPr>
        <w:t>o dicho porcentaje, se deberá</w:t>
      </w:r>
      <w:r w:rsidRPr="00886ABB">
        <w:rPr>
          <w:rFonts w:ascii="ITC Avant Garde" w:eastAsia="Avant Garde" w:hAnsi="ITC Avant Garde" w:cs="Avant Garde"/>
          <w:color w:val="000000"/>
          <w:lang w:eastAsia="es-MX"/>
        </w:rPr>
        <w:t xml:space="preserve"> disparar el crecimiento de los servicios, por lo cual propone la </w:t>
      </w:r>
      <w:r w:rsidR="00966F8C" w:rsidRPr="00886ABB">
        <w:rPr>
          <w:rFonts w:ascii="ITC Avant Garde" w:eastAsia="Avant Garde" w:hAnsi="ITC Avant Garde" w:cs="Avant Garde"/>
          <w:color w:val="000000"/>
          <w:lang w:eastAsia="es-MX"/>
        </w:rPr>
        <w:t>siguiente</w:t>
      </w:r>
      <w:r w:rsidR="00966F8C">
        <w:rPr>
          <w:rFonts w:ascii="ITC Avant Garde" w:eastAsia="Avant Garde" w:hAnsi="ITC Avant Garde" w:cs="Avant Garde"/>
          <w:color w:val="000000"/>
          <w:lang w:eastAsia="es-MX"/>
        </w:rPr>
        <w:t xml:space="preserve"> modificación:</w:t>
      </w:r>
    </w:p>
    <w:p w14:paraId="6ABA5CC4" w14:textId="77777777" w:rsidR="006826E9" w:rsidRPr="00886ABB" w:rsidRDefault="006826E9" w:rsidP="00E53C1B">
      <w:pPr>
        <w:spacing w:after="0" w:line="276" w:lineRule="auto"/>
        <w:rPr>
          <w:rFonts w:ascii="ITC Avant Garde" w:eastAsia="Avant Garde" w:hAnsi="ITC Avant Garde" w:cs="Avant Garde"/>
          <w:color w:val="000000"/>
          <w:lang w:eastAsia="es-MX"/>
        </w:rPr>
      </w:pPr>
    </w:p>
    <w:p w14:paraId="7E0E0859" w14:textId="77777777" w:rsidR="009C09B3" w:rsidRPr="009C09B3" w:rsidRDefault="00FA4B34" w:rsidP="00E53C1B">
      <w:pPr>
        <w:spacing w:after="0" w:line="276" w:lineRule="auto"/>
        <w:ind w:left="567" w:right="616" w:hanging="11"/>
        <w:rPr>
          <w:rFonts w:ascii="ITC Avant Garde" w:hAnsi="ITC Avant Garde"/>
          <w:i/>
          <w:sz w:val="18"/>
          <w:szCs w:val="18"/>
        </w:rPr>
      </w:pPr>
      <w:r w:rsidRPr="009C09B3">
        <w:rPr>
          <w:rFonts w:ascii="ITC Avant Garde" w:hAnsi="ITC Avant Garde"/>
          <w:i/>
          <w:sz w:val="18"/>
          <w:szCs w:val="18"/>
        </w:rPr>
        <w:t>"</w:t>
      </w:r>
      <w:r w:rsidR="009C09B3" w:rsidRPr="009C09B3">
        <w:rPr>
          <w:rFonts w:ascii="ITC Avant Garde" w:hAnsi="ITC Avant Garde"/>
          <w:i/>
          <w:sz w:val="18"/>
          <w:szCs w:val="18"/>
        </w:rPr>
        <w:t>(…)</w:t>
      </w:r>
    </w:p>
    <w:p w14:paraId="5083950F" w14:textId="53F441DE" w:rsidR="009C09B3" w:rsidRPr="009C09B3" w:rsidRDefault="00886ABB" w:rsidP="00E53C1B">
      <w:pPr>
        <w:spacing w:after="0" w:line="276" w:lineRule="auto"/>
        <w:ind w:left="567" w:right="616" w:hanging="11"/>
        <w:rPr>
          <w:rFonts w:ascii="ITC Avant Garde" w:hAnsi="ITC Avant Garde"/>
          <w:i/>
          <w:sz w:val="18"/>
          <w:szCs w:val="18"/>
        </w:rPr>
      </w:pPr>
      <w:r w:rsidRPr="009C09B3">
        <w:rPr>
          <w:rFonts w:ascii="ITC Avant Garde" w:hAnsi="ITC Avant Garde"/>
          <w:i/>
          <w:sz w:val="18"/>
          <w:szCs w:val="18"/>
        </w:rPr>
        <w:t xml:space="preserve">Los enlaces por sitio deberán estar dimensionados para soportar en la hora pico un máximo de </w:t>
      </w:r>
      <w:r w:rsidRPr="009C09B3">
        <w:rPr>
          <w:rFonts w:ascii="ITC Avant Garde" w:hAnsi="ITC Avant Garde"/>
          <w:i/>
          <w:sz w:val="18"/>
          <w:szCs w:val="18"/>
          <w:u w:val="single"/>
        </w:rPr>
        <w:t>50%</w:t>
      </w:r>
      <w:r w:rsidRPr="009C09B3">
        <w:rPr>
          <w:rFonts w:ascii="ITC Avant Garde" w:hAnsi="ITC Avant Garde"/>
          <w:i/>
          <w:sz w:val="18"/>
          <w:szCs w:val="18"/>
        </w:rPr>
        <w:t xml:space="preserve"> de carga, siendo éste el parámetro para </w:t>
      </w:r>
      <w:r w:rsidRPr="009C09B3">
        <w:rPr>
          <w:rFonts w:ascii="ITC Avant Garde" w:hAnsi="ITC Avant Garde"/>
          <w:i/>
          <w:sz w:val="18"/>
          <w:szCs w:val="18"/>
          <w:u w:val="single"/>
        </w:rPr>
        <w:t>disparar</w:t>
      </w:r>
      <w:r w:rsidRPr="009C09B3">
        <w:rPr>
          <w:rFonts w:ascii="ITC Avant Garde" w:hAnsi="ITC Avant Garde"/>
          <w:i/>
          <w:sz w:val="18"/>
          <w:szCs w:val="18"/>
        </w:rPr>
        <w:t xml:space="preserve"> el crecimiento de los servicios. Con lo anterior, en caso de falla de uno de los sitios, el tráfico se </w:t>
      </w:r>
      <w:proofErr w:type="spellStart"/>
      <w:r w:rsidRPr="009C09B3">
        <w:rPr>
          <w:rFonts w:ascii="ITC Avant Garde" w:hAnsi="ITC Avant Garde"/>
          <w:i/>
          <w:sz w:val="18"/>
          <w:szCs w:val="18"/>
        </w:rPr>
        <w:t>enrutará</w:t>
      </w:r>
      <w:proofErr w:type="spellEnd"/>
      <w:r w:rsidRPr="009C09B3">
        <w:rPr>
          <w:rFonts w:ascii="ITC Avant Garde" w:hAnsi="ITC Avant Garde"/>
          <w:i/>
          <w:sz w:val="18"/>
          <w:szCs w:val="18"/>
        </w:rPr>
        <w:t xml:space="preserve"> al enlace en servicio previnie</w:t>
      </w:r>
      <w:r w:rsidR="009C09B3" w:rsidRPr="009C09B3">
        <w:rPr>
          <w:rFonts w:ascii="ITC Avant Garde" w:hAnsi="ITC Avant Garde"/>
          <w:i/>
          <w:sz w:val="18"/>
          <w:szCs w:val="18"/>
        </w:rPr>
        <w:t>ndo la afectación del servicio</w:t>
      </w:r>
      <w:r w:rsidR="009C09B3">
        <w:rPr>
          <w:rFonts w:ascii="ITC Avant Garde" w:hAnsi="ITC Avant Garde"/>
          <w:i/>
          <w:sz w:val="18"/>
          <w:szCs w:val="18"/>
        </w:rPr>
        <w:t>.</w:t>
      </w:r>
    </w:p>
    <w:p w14:paraId="4EFF3F9B" w14:textId="60B78990" w:rsidR="00886ABB" w:rsidRPr="009C09B3" w:rsidRDefault="009C09B3" w:rsidP="00E53C1B">
      <w:pPr>
        <w:spacing w:after="0" w:line="276" w:lineRule="auto"/>
        <w:ind w:left="567" w:right="616" w:hanging="11"/>
        <w:rPr>
          <w:rFonts w:ascii="ITC Avant Garde" w:hAnsi="ITC Avant Garde"/>
          <w:i/>
          <w:sz w:val="18"/>
          <w:szCs w:val="18"/>
        </w:rPr>
      </w:pPr>
      <w:r w:rsidRPr="009C09B3">
        <w:rPr>
          <w:rFonts w:ascii="ITC Avant Garde" w:hAnsi="ITC Avant Garde"/>
          <w:i/>
          <w:sz w:val="18"/>
          <w:szCs w:val="18"/>
        </w:rPr>
        <w:t>(…)</w:t>
      </w:r>
      <w:r w:rsidR="00886ABB" w:rsidRPr="009C09B3">
        <w:rPr>
          <w:rFonts w:ascii="ITC Avant Garde" w:hAnsi="ITC Avant Garde"/>
          <w:i/>
          <w:sz w:val="18"/>
          <w:szCs w:val="18"/>
        </w:rPr>
        <w:t>"</w:t>
      </w:r>
    </w:p>
    <w:p w14:paraId="3137EDB5" w14:textId="77777777" w:rsidR="00886ABB" w:rsidRPr="00886ABB" w:rsidRDefault="00886ABB" w:rsidP="00E53C1B">
      <w:pPr>
        <w:spacing w:after="0" w:line="276" w:lineRule="auto"/>
        <w:rPr>
          <w:rFonts w:ascii="ITC Avant Garde" w:eastAsia="Avant Garde" w:hAnsi="ITC Avant Garde" w:cs="Avant Garde"/>
          <w:color w:val="000000"/>
          <w:lang w:eastAsia="es-MX"/>
        </w:rPr>
      </w:pPr>
    </w:p>
    <w:p w14:paraId="0499D01E" w14:textId="0A85B588" w:rsidR="00886ABB" w:rsidRDefault="009C09B3"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También</w:t>
      </w:r>
      <w:r w:rsidR="00886ABB" w:rsidRPr="00886ABB">
        <w:rPr>
          <w:rFonts w:ascii="ITC Avant Garde" w:eastAsia="Avant Garde" w:hAnsi="ITC Avant Garde" w:cs="Avant Garde"/>
          <w:color w:val="000000"/>
          <w:lang w:eastAsia="es-MX"/>
        </w:rPr>
        <w:t xml:space="preserve"> señala que se debe considerar el volumen de tráfico histórico de los operadores para que, en función</w:t>
      </w:r>
      <w:r>
        <w:rPr>
          <w:rFonts w:ascii="ITC Avant Garde" w:eastAsia="Avant Garde" w:hAnsi="ITC Avant Garde" w:cs="Avant Garde"/>
          <w:color w:val="000000"/>
          <w:lang w:eastAsia="es-MX"/>
        </w:rPr>
        <w:t xml:space="preserve"> de ello</w:t>
      </w:r>
      <w:r w:rsidR="00886ABB" w:rsidRPr="00886ABB">
        <w:rPr>
          <w:rFonts w:ascii="ITC Avant Garde" w:eastAsia="Avant Garde" w:hAnsi="ITC Avant Garde" w:cs="Avant Garde"/>
          <w:color w:val="000000"/>
          <w:lang w:eastAsia="es-MX"/>
        </w:rPr>
        <w:t>, se defin</w:t>
      </w:r>
      <w:r w:rsidR="005C73EB">
        <w:rPr>
          <w:rFonts w:ascii="ITC Avant Garde" w:eastAsia="Avant Garde" w:hAnsi="ITC Avant Garde" w:cs="Avant Garde"/>
          <w:color w:val="000000"/>
          <w:lang w:eastAsia="es-MX"/>
        </w:rPr>
        <w:t>a la capacidad d</w:t>
      </w:r>
      <w:r w:rsidR="00886ABB" w:rsidRPr="00886ABB">
        <w:rPr>
          <w:rFonts w:ascii="ITC Avant Garde" w:eastAsia="Avant Garde" w:hAnsi="ITC Avant Garde" w:cs="Avant Garde"/>
          <w:color w:val="000000"/>
          <w:lang w:eastAsia="es-MX"/>
        </w:rPr>
        <w:t>el puerto (1 GB a 10 GB).</w:t>
      </w:r>
    </w:p>
    <w:p w14:paraId="4691CC37" w14:textId="77777777" w:rsidR="006826E9" w:rsidRDefault="006826E9" w:rsidP="00E53C1B">
      <w:pPr>
        <w:spacing w:after="0" w:line="276" w:lineRule="auto"/>
        <w:rPr>
          <w:rFonts w:ascii="ITC Avant Garde" w:eastAsia="Avant Garde" w:hAnsi="ITC Avant Garde" w:cs="Avant Garde"/>
          <w:color w:val="000000"/>
          <w:lang w:eastAsia="es-MX"/>
        </w:rPr>
      </w:pPr>
    </w:p>
    <w:p w14:paraId="4007D640" w14:textId="77777777" w:rsidR="006A1322" w:rsidRDefault="006A1322"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10D14E3A" w14:textId="72E8226E" w:rsidR="00D85E11" w:rsidRDefault="006F2414" w:rsidP="00E53C1B">
      <w:pPr>
        <w:spacing w:after="0" w:line="276" w:lineRule="auto"/>
        <w:rPr>
          <w:rFonts w:ascii="ITC Avant Garde" w:eastAsia="Avant Garde" w:hAnsi="ITC Avant Garde" w:cs="Avant Garde"/>
          <w:color w:val="000000"/>
          <w:lang w:eastAsia="es-MX"/>
        </w:rPr>
      </w:pPr>
      <w:r w:rsidRPr="00D64439">
        <w:rPr>
          <w:rFonts w:ascii="ITC Avant Garde" w:hAnsi="ITC Avant Garde"/>
        </w:rPr>
        <w:t>Se considera que la utilización de la capacidad de los enlaces al 50% puede considerarse un uso ineficiente de los recursos, ya que, dado que el otro 50% de la capacidad únicamente se utilizará cuando exista una falla, la mayor parte del tiempo se contará con capacidad ociosa.</w:t>
      </w:r>
      <w:r>
        <w:rPr>
          <w:rFonts w:ascii="ITC Avant Garde" w:eastAsia="Avant Garde" w:hAnsi="ITC Avant Garde" w:cs="Avant Garde"/>
          <w:color w:val="000000"/>
          <w:lang w:eastAsia="es-MX"/>
        </w:rPr>
        <w:t xml:space="preserve"> </w:t>
      </w:r>
      <w:r w:rsidRPr="00D64439">
        <w:rPr>
          <w:rFonts w:ascii="ITC Avant Garde" w:hAnsi="ITC Avant Garde"/>
        </w:rPr>
        <w:t xml:space="preserve">Por lo anterior, </w:t>
      </w:r>
      <w:r>
        <w:rPr>
          <w:rFonts w:ascii="ITC Avant Garde" w:eastAsia="Avant Garde" w:hAnsi="ITC Avant Garde" w:cs="Avant Garde"/>
          <w:color w:val="000000"/>
          <w:lang w:eastAsia="es-MX"/>
        </w:rPr>
        <w:t>e</w:t>
      </w:r>
      <w:r w:rsidR="00D85E11" w:rsidRPr="00FF03AB">
        <w:rPr>
          <w:rFonts w:ascii="ITC Avant Garde" w:eastAsia="Avant Garde" w:hAnsi="ITC Avant Garde" w:cs="Avant Garde"/>
          <w:color w:val="000000"/>
          <w:lang w:eastAsia="es-MX"/>
        </w:rPr>
        <w:t>l</w:t>
      </w:r>
      <w:r w:rsidR="00FA2A7E">
        <w:rPr>
          <w:rFonts w:ascii="ITC Avant Garde" w:eastAsia="Avant Garde" w:hAnsi="ITC Avant Garde" w:cs="Avant Garde"/>
          <w:color w:val="000000"/>
          <w:lang w:eastAsia="es-MX"/>
        </w:rPr>
        <w:t xml:space="preserve"> parámetro para realizar</w:t>
      </w:r>
      <w:r w:rsidR="00D85E11" w:rsidRPr="00FF03AB">
        <w:rPr>
          <w:rFonts w:ascii="ITC Avant Garde" w:eastAsia="Avant Garde" w:hAnsi="ITC Avant Garde" w:cs="Avant Garde"/>
          <w:color w:val="000000"/>
          <w:lang w:eastAsia="es-MX"/>
        </w:rPr>
        <w:t xml:space="preserve"> el crecimiento de los servicios debe ser la ocupación del 85% en hora pico de la capacidad de los enlaces por sitio. Dicho umbral de capacidad permitirá que se curse la totalidad del tráfico durante la hora de mayor demanda y adicionalmente proporcionará un margen de seguridad del 15% de capacidad, con la cual se podrá manejar un 15% más de tráfico.</w:t>
      </w:r>
    </w:p>
    <w:p w14:paraId="76EA2458" w14:textId="77777777" w:rsidR="00AC65E7" w:rsidRPr="00FF03AB" w:rsidRDefault="00AC65E7" w:rsidP="00E53C1B">
      <w:pPr>
        <w:spacing w:after="0" w:line="276" w:lineRule="auto"/>
        <w:rPr>
          <w:rFonts w:ascii="ITC Avant Garde" w:eastAsia="Avant Garde" w:hAnsi="ITC Avant Garde" w:cs="Avant Garde"/>
          <w:color w:val="000000"/>
          <w:lang w:eastAsia="es-MX"/>
        </w:rPr>
      </w:pPr>
    </w:p>
    <w:p w14:paraId="48B2BFB7" w14:textId="4A19AEB2" w:rsidR="00D85E11" w:rsidRDefault="00D85E11" w:rsidP="00E53C1B">
      <w:pPr>
        <w:spacing w:after="0" w:line="276" w:lineRule="auto"/>
        <w:rPr>
          <w:rFonts w:ascii="ITC Avant Garde" w:eastAsia="Avant Garde" w:hAnsi="ITC Avant Garde" w:cs="Avant Garde"/>
          <w:color w:val="000000"/>
          <w:lang w:eastAsia="es-MX"/>
        </w:rPr>
      </w:pPr>
      <w:r w:rsidRPr="00FF03AB">
        <w:rPr>
          <w:rFonts w:ascii="ITC Avant Garde" w:eastAsia="Avant Garde" w:hAnsi="ITC Avant Garde" w:cs="Avant Garde"/>
          <w:color w:val="000000"/>
          <w:lang w:eastAsia="es-MX"/>
        </w:rPr>
        <w:t xml:space="preserve">En este sentido, al considerar el carácter temporal de una falla y que el único escenario en el que un punto de interconexión no tendrá la capacidad de recibir la totalidad de tráfico del punto con falla será durante la hora de mayor tráfico </w:t>
      </w:r>
      <w:r w:rsidRPr="00FF03AB">
        <w:rPr>
          <w:rFonts w:ascii="ITC Avant Garde" w:eastAsia="Avant Garde" w:hAnsi="ITC Avant Garde" w:cs="Avant Garde"/>
          <w:color w:val="000000"/>
          <w:lang w:eastAsia="es-MX"/>
        </w:rPr>
        <w:lastRenderedPageBreak/>
        <w:t>(hora pico) y, que aún bajo este escenario, el enlace redundante podrá tom</w:t>
      </w:r>
      <w:r w:rsidR="006F2414">
        <w:rPr>
          <w:rFonts w:ascii="ITC Avant Garde" w:eastAsia="Avant Garde" w:hAnsi="ITC Avant Garde" w:cs="Avant Garde"/>
          <w:color w:val="000000"/>
          <w:lang w:eastAsia="es-MX"/>
        </w:rPr>
        <w:t>ar un 15% de tráfico adicional</w:t>
      </w:r>
      <w:r w:rsidR="00FA2A7E">
        <w:rPr>
          <w:rFonts w:ascii="ITC Avant Garde" w:eastAsia="Avant Garde" w:hAnsi="ITC Avant Garde" w:cs="Avant Garde"/>
          <w:color w:val="000000"/>
          <w:lang w:eastAsia="es-MX"/>
        </w:rPr>
        <w:t>.</w:t>
      </w:r>
    </w:p>
    <w:p w14:paraId="48A58803" w14:textId="77777777" w:rsidR="006F2414" w:rsidRDefault="006F2414" w:rsidP="00E53C1B">
      <w:pPr>
        <w:spacing w:after="0" w:line="276" w:lineRule="auto"/>
        <w:rPr>
          <w:rFonts w:ascii="ITC Avant Garde" w:eastAsia="Avant Garde" w:hAnsi="ITC Avant Garde" w:cs="Avant Garde"/>
          <w:color w:val="000000"/>
          <w:lang w:eastAsia="es-MX"/>
        </w:rPr>
      </w:pPr>
    </w:p>
    <w:p w14:paraId="555FF96C" w14:textId="3DFC896F" w:rsidR="006826E9" w:rsidRPr="006F2414" w:rsidRDefault="006F2414" w:rsidP="006F2414">
      <w:pPr>
        <w:spacing w:line="276" w:lineRule="auto"/>
        <w:rPr>
          <w:rFonts w:ascii="ITC Avant Garde" w:hAnsi="ITC Avant Garde"/>
        </w:rPr>
      </w:pPr>
      <w:r>
        <w:rPr>
          <w:rFonts w:ascii="ITC Avant Garde" w:hAnsi="ITC Avant Garde"/>
        </w:rPr>
        <w:t>Respecto al comentario de Televisa sobre considerar el volumen de tráfico histórico para que en función de ello se defina la capacidad del puerto, se señala que es responsabilidad de cada concesionario contar con la capacidad suficiente en los enlaces y en los puertos para recibir y entregar tráfico.</w:t>
      </w:r>
    </w:p>
    <w:p w14:paraId="3DCEE0E1" w14:textId="5219B367" w:rsidR="00EC4A6F" w:rsidRDefault="00EC4A6F" w:rsidP="00E53C1B">
      <w:pPr>
        <w:spacing w:after="0" w:line="276" w:lineRule="auto"/>
        <w:rPr>
          <w:rFonts w:ascii="ITC Avant Garde" w:eastAsia="Avant Garde" w:hAnsi="ITC Avant Garde" w:cs="Avant Garde"/>
          <w:b/>
          <w:color w:val="000000"/>
          <w:lang w:eastAsia="es-MX"/>
        </w:rPr>
      </w:pPr>
      <w:r w:rsidRPr="00EC4A6F">
        <w:rPr>
          <w:rFonts w:ascii="ITC Avant Garde" w:eastAsia="Avant Garde" w:hAnsi="ITC Avant Garde" w:cs="Avant Garde"/>
          <w:b/>
          <w:color w:val="000000"/>
          <w:lang w:eastAsia="es-MX"/>
        </w:rPr>
        <w:t>2.4.3 Pronóstico de Demanda de Servicios de Interconexión</w:t>
      </w:r>
    </w:p>
    <w:p w14:paraId="222D3744" w14:textId="7693243F" w:rsidR="00131122" w:rsidRDefault="00131122"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6ED2D98D" w14:textId="5DF08EDB" w:rsidR="004A6A7F" w:rsidRDefault="004A6A7F" w:rsidP="00E53C1B">
      <w:pPr>
        <w:spacing w:after="0" w:line="276" w:lineRule="auto"/>
        <w:rPr>
          <w:rFonts w:ascii="ITC Avant Garde" w:eastAsia="Avant Garde" w:hAnsi="ITC Avant Garde" w:cs="Avant Garde"/>
          <w:color w:val="000000"/>
          <w:lang w:eastAsia="es-MX"/>
        </w:rPr>
      </w:pPr>
      <w:r w:rsidRPr="004A6A7F">
        <w:rPr>
          <w:rFonts w:ascii="ITC Avant Garde" w:eastAsia="Avant Garde" w:hAnsi="ITC Avant Garde" w:cs="Avant Garde"/>
          <w:color w:val="000000"/>
          <w:lang w:eastAsia="es-MX"/>
        </w:rPr>
        <w:t>Señal</w:t>
      </w:r>
      <w:r w:rsidR="00BA2E04">
        <w:rPr>
          <w:rFonts w:ascii="ITC Avant Garde" w:eastAsia="Avant Garde" w:hAnsi="ITC Avant Garde" w:cs="Avant Garde"/>
          <w:color w:val="000000"/>
          <w:lang w:eastAsia="es-MX"/>
        </w:rPr>
        <w:t>a que los pronósticos no deben</w:t>
      </w:r>
      <w:r w:rsidRPr="004A6A7F">
        <w:rPr>
          <w:rFonts w:ascii="ITC Avant Garde" w:eastAsia="Avant Garde" w:hAnsi="ITC Avant Garde" w:cs="Avant Garde"/>
          <w:color w:val="000000"/>
          <w:lang w:eastAsia="es-MX"/>
        </w:rPr>
        <w:t xml:space="preserve"> limitar la capacidad de terminar</w:t>
      </w:r>
      <w:r w:rsidR="00831F0F">
        <w:rPr>
          <w:rFonts w:ascii="ITC Avant Garde" w:eastAsia="Avant Garde" w:hAnsi="ITC Avant Garde" w:cs="Avant Garde"/>
          <w:color w:val="000000"/>
          <w:lang w:eastAsia="es-MX"/>
        </w:rPr>
        <w:t xml:space="preserve"> el</w:t>
      </w:r>
      <w:r w:rsidRPr="004A6A7F">
        <w:rPr>
          <w:rFonts w:ascii="ITC Avant Garde" w:eastAsia="Avant Garde" w:hAnsi="ITC Avant Garde" w:cs="Avant Garde"/>
          <w:color w:val="000000"/>
          <w:lang w:eastAsia="es-MX"/>
        </w:rPr>
        <w:t xml:space="preserve"> tráfico del concesionario solicitante. Refiere que Telcel jamás ha entregado un pronóstico de terminación de tráfico pese a que éste se realiza en ambas direcciones. Indica que el t</w:t>
      </w:r>
      <w:r w:rsidR="00831F0F">
        <w:rPr>
          <w:rFonts w:ascii="ITC Avant Garde" w:eastAsia="Avant Garde" w:hAnsi="ITC Avant Garde" w:cs="Avant Garde"/>
          <w:color w:val="000000"/>
          <w:lang w:eastAsia="es-MX"/>
        </w:rPr>
        <w:t>ráfico es de crecimiento lento por lo que</w:t>
      </w:r>
      <w:r w:rsidRPr="004A6A7F">
        <w:rPr>
          <w:rFonts w:ascii="ITC Avant Garde" w:eastAsia="Avant Garde" w:hAnsi="ITC Avant Garde" w:cs="Avant Garde"/>
          <w:color w:val="000000"/>
          <w:lang w:eastAsia="es-MX"/>
        </w:rPr>
        <w:t xml:space="preserve"> se puede monitorear de forma mensual por cada red para dimensionar la capacidad requerida.</w:t>
      </w:r>
    </w:p>
    <w:p w14:paraId="70A5539A" w14:textId="77777777" w:rsidR="006826E9" w:rsidRDefault="006826E9" w:rsidP="00E53C1B">
      <w:pPr>
        <w:spacing w:after="0" w:line="276" w:lineRule="auto"/>
        <w:rPr>
          <w:rFonts w:ascii="ITC Avant Garde" w:eastAsia="Avant Garde" w:hAnsi="ITC Avant Garde" w:cs="Avant Garde"/>
          <w:color w:val="000000"/>
          <w:lang w:eastAsia="es-MX"/>
        </w:rPr>
      </w:pPr>
    </w:p>
    <w:p w14:paraId="4FEA1B3D" w14:textId="77777777" w:rsidR="00E55205" w:rsidRPr="0053503B" w:rsidRDefault="00E55205"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p>
    <w:p w14:paraId="6323DF48" w14:textId="18123AFB" w:rsidR="00E55205" w:rsidRDefault="00E55205" w:rsidP="00E53C1B">
      <w:pPr>
        <w:spacing w:after="0" w:line="276" w:lineRule="auto"/>
        <w:rPr>
          <w:rFonts w:ascii="ITC Avant Garde" w:eastAsia="Avant Garde" w:hAnsi="ITC Avant Garde" w:cs="Avant Garde"/>
          <w:color w:val="000000"/>
          <w:lang w:eastAsia="es-MX"/>
        </w:rPr>
      </w:pPr>
      <w:r w:rsidRPr="00E55205">
        <w:rPr>
          <w:rFonts w:ascii="ITC Avant Garde" w:eastAsia="Avant Garde" w:hAnsi="ITC Avant Garde" w:cs="Avant Garde"/>
          <w:color w:val="000000"/>
          <w:lang w:eastAsia="es-MX"/>
        </w:rPr>
        <w:t>Solicitan mantener el numeral en los mismos términos del CMI vigente debido a que la interconexión es recíproca, por lo que no es procedente la modificación realizada por Telcel referente a la entrega de los pronósticos de demanda</w:t>
      </w:r>
      <w:r w:rsidR="006826E9">
        <w:rPr>
          <w:rFonts w:ascii="ITC Avant Garde" w:eastAsia="Avant Garde" w:hAnsi="ITC Avant Garde" w:cs="Avant Garde"/>
          <w:color w:val="000000"/>
          <w:lang w:eastAsia="es-MX"/>
        </w:rPr>
        <w:t>.</w:t>
      </w:r>
    </w:p>
    <w:p w14:paraId="0E6D67FC" w14:textId="77777777" w:rsidR="006826E9" w:rsidRDefault="006826E9" w:rsidP="00E53C1B">
      <w:pPr>
        <w:spacing w:after="0" w:line="276" w:lineRule="auto"/>
        <w:rPr>
          <w:rFonts w:ascii="ITC Avant Garde" w:eastAsia="Avant Garde" w:hAnsi="ITC Avant Garde" w:cs="Avant Garde"/>
          <w:color w:val="000000"/>
          <w:lang w:eastAsia="es-MX"/>
        </w:rPr>
      </w:pPr>
    </w:p>
    <w:p w14:paraId="7CC3EE68" w14:textId="77777777" w:rsidR="00831F0F" w:rsidRPr="0053503B" w:rsidRDefault="00831F0F"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039DF79B" w14:textId="0AA1E68E" w:rsidR="00831F0F" w:rsidRDefault="00831F0F" w:rsidP="00E53C1B">
      <w:pPr>
        <w:spacing w:after="0" w:line="276" w:lineRule="auto"/>
        <w:rPr>
          <w:rFonts w:ascii="ITC Avant Garde" w:eastAsia="Avant Garde" w:hAnsi="ITC Avant Garde" w:cs="Avant Garde"/>
          <w:color w:val="000000"/>
          <w:lang w:eastAsia="es-MX"/>
        </w:rPr>
      </w:pPr>
      <w:r>
        <w:rPr>
          <w:rFonts w:ascii="ITC Avant Garde" w:hAnsi="ITC Avant Garde"/>
        </w:rPr>
        <w:t xml:space="preserve">Dado </w:t>
      </w:r>
      <w:r w:rsidRPr="0053503B">
        <w:rPr>
          <w:rFonts w:ascii="ITC Avant Garde" w:hAnsi="ITC Avant Garde"/>
        </w:rPr>
        <w:t>que la obligación de entregar pronósticos de demanda de servicios de interconexión debe establecerse para las pa</w:t>
      </w:r>
      <w:r>
        <w:rPr>
          <w:rFonts w:ascii="ITC Avant Garde" w:hAnsi="ITC Avant Garde"/>
        </w:rPr>
        <w:t>rtes interconectadas a efecto de que se puedan realizar expansiones de capacidad conforme el tráfico proyectado</w:t>
      </w:r>
      <w:r w:rsidR="00600E35">
        <w:rPr>
          <w:rFonts w:ascii="ITC Avant Garde" w:hAnsi="ITC Avant Garde"/>
        </w:rPr>
        <w:t>,</w:t>
      </w:r>
      <w:r>
        <w:rPr>
          <w:rFonts w:ascii="ITC Avant Garde" w:hAnsi="ITC Avant Garde"/>
        </w:rPr>
        <w:t xml:space="preserve"> y con ello se realice un eficiente intercambio de tráfico, se </w:t>
      </w:r>
      <w:r w:rsidR="0040611D">
        <w:rPr>
          <w:rFonts w:ascii="ITC Avant Garde" w:hAnsi="ITC Avant Garde"/>
        </w:rPr>
        <w:t>modificó el CMI a fin de que ambas partes entreguen</w:t>
      </w:r>
      <w:r>
        <w:rPr>
          <w:rFonts w:ascii="ITC Avant Garde" w:hAnsi="ITC Avant Garde"/>
        </w:rPr>
        <w:t xml:space="preserve"> los pronósticos de demanda </w:t>
      </w:r>
      <w:r w:rsidRPr="0053503B">
        <w:rPr>
          <w:rFonts w:ascii="ITC Avant Garde" w:eastAsia="Avant Garde" w:hAnsi="ITC Avant Garde" w:cs="Avant Garde"/>
          <w:color w:val="000000"/>
          <w:lang w:eastAsia="es-MX"/>
        </w:rPr>
        <w:t>en los siguientes términos:</w:t>
      </w:r>
    </w:p>
    <w:p w14:paraId="3E1C4E80" w14:textId="77777777" w:rsidR="00B04C8B" w:rsidRDefault="00B04C8B" w:rsidP="00E53C1B">
      <w:pPr>
        <w:spacing w:after="0" w:line="276" w:lineRule="auto"/>
        <w:rPr>
          <w:rFonts w:ascii="ITC Avant Garde" w:eastAsia="Avant Garde" w:hAnsi="ITC Avant Garde" w:cs="Avant Garde"/>
          <w:color w:val="000000"/>
          <w:lang w:eastAsia="es-MX"/>
        </w:rPr>
      </w:pPr>
    </w:p>
    <w:p w14:paraId="27AB0825" w14:textId="597A7FE2" w:rsidR="008A3101" w:rsidRPr="008A3101" w:rsidRDefault="008A3101"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8A3101">
        <w:rPr>
          <w:rFonts w:ascii="ITC Avant Garde" w:hAnsi="ITC Avant Garde"/>
          <w:i/>
          <w:sz w:val="18"/>
          <w:szCs w:val="18"/>
        </w:rPr>
        <w:t>2.4.3 Pronóstico de Demanda de Servicios de Interconexión</w:t>
      </w:r>
    </w:p>
    <w:p w14:paraId="67644616" w14:textId="4B88F012" w:rsidR="008A3101" w:rsidRPr="008A3101" w:rsidRDefault="008A3101" w:rsidP="00E53C1B">
      <w:pPr>
        <w:spacing w:after="0" w:line="276" w:lineRule="auto"/>
        <w:ind w:left="567" w:right="616" w:hanging="11"/>
        <w:rPr>
          <w:rFonts w:ascii="ITC Avant Garde" w:hAnsi="ITC Avant Garde"/>
          <w:i/>
          <w:sz w:val="18"/>
          <w:szCs w:val="18"/>
        </w:rPr>
      </w:pPr>
      <w:r w:rsidRPr="008A3101">
        <w:rPr>
          <w:rFonts w:ascii="ITC Avant Garde" w:hAnsi="ITC Avant Garde"/>
          <w:i/>
          <w:sz w:val="18"/>
          <w:szCs w:val="18"/>
        </w:rPr>
        <w:t xml:space="preserve">Dentro del mes siguiente a la fecha de firma del presente Convenio, </w:t>
      </w:r>
      <w:r w:rsidRPr="008A3101">
        <w:rPr>
          <w:rFonts w:ascii="ITC Avant Garde" w:hAnsi="ITC Avant Garde"/>
          <w:i/>
          <w:strike/>
          <w:sz w:val="18"/>
          <w:szCs w:val="18"/>
        </w:rPr>
        <w:t>el CONCESIONARIO deberá</w:t>
      </w:r>
      <w:r>
        <w:rPr>
          <w:rFonts w:ascii="ITC Avant Garde" w:hAnsi="ITC Avant Garde"/>
          <w:i/>
          <w:sz w:val="18"/>
          <w:szCs w:val="18"/>
        </w:rPr>
        <w:t xml:space="preserve"> </w:t>
      </w:r>
      <w:r w:rsidRPr="008A3101">
        <w:rPr>
          <w:rFonts w:ascii="ITC Avant Garde" w:hAnsi="ITC Avant Garde"/>
          <w:i/>
          <w:sz w:val="18"/>
          <w:szCs w:val="18"/>
          <w:u w:val="single"/>
        </w:rPr>
        <w:t>las Partes deberán</w:t>
      </w:r>
      <w:r w:rsidRPr="008A3101">
        <w:rPr>
          <w:rFonts w:ascii="ITC Avant Garde" w:hAnsi="ITC Avant Garde"/>
          <w:i/>
          <w:sz w:val="18"/>
          <w:szCs w:val="18"/>
        </w:rPr>
        <w:t xml:space="preserve"> proporcionarse </w:t>
      </w:r>
      <w:r w:rsidRPr="00581B65">
        <w:rPr>
          <w:rFonts w:ascii="ITC Avant Garde" w:hAnsi="ITC Avant Garde"/>
          <w:i/>
          <w:sz w:val="18"/>
          <w:szCs w:val="18"/>
          <w:u w:val="single"/>
        </w:rPr>
        <w:t>mutuamente</w:t>
      </w:r>
      <w:r w:rsidRPr="008A3101">
        <w:rPr>
          <w:rFonts w:ascii="ITC Avant Garde" w:hAnsi="ITC Avant Garde"/>
          <w:i/>
          <w:sz w:val="18"/>
          <w:szCs w:val="18"/>
        </w:rPr>
        <w:t xml:space="preserve"> un pronóstico de su demanda de Servicios de Interconexión, para el año de firma y el primer semestre calendario del año siguiente, en los términos descritos en el Anexo E, pronósticos que harán constar conforme al Formato de Pronóstico de Demanda de Servicios de Interconexión del Anexo F del presente Convenio, los cuales forman parte integrante del mismo. </w:t>
      </w:r>
    </w:p>
    <w:p w14:paraId="0CE1A13F" w14:textId="77777777" w:rsidR="008A3101" w:rsidRPr="008A3101" w:rsidRDefault="008A3101" w:rsidP="00E53C1B">
      <w:pPr>
        <w:spacing w:after="0" w:line="276" w:lineRule="auto"/>
        <w:ind w:left="567" w:right="616" w:hanging="11"/>
        <w:rPr>
          <w:rFonts w:ascii="ITC Avant Garde" w:hAnsi="ITC Avant Garde"/>
          <w:i/>
          <w:sz w:val="18"/>
          <w:szCs w:val="18"/>
        </w:rPr>
      </w:pPr>
    </w:p>
    <w:p w14:paraId="010713B1" w14:textId="2603021E" w:rsidR="008A3101" w:rsidRDefault="008A3101" w:rsidP="00E53C1B">
      <w:pPr>
        <w:spacing w:after="0" w:line="276" w:lineRule="auto"/>
        <w:ind w:left="567" w:right="616" w:hanging="11"/>
        <w:rPr>
          <w:rFonts w:ascii="ITC Avant Garde" w:hAnsi="ITC Avant Garde"/>
          <w:i/>
          <w:sz w:val="18"/>
          <w:szCs w:val="18"/>
        </w:rPr>
      </w:pPr>
      <w:r w:rsidRPr="008A3101">
        <w:rPr>
          <w:rFonts w:ascii="ITC Avant Garde" w:hAnsi="ITC Avant Garde"/>
          <w:i/>
          <w:sz w:val="18"/>
          <w:szCs w:val="18"/>
        </w:rPr>
        <w:t xml:space="preserve">Posteriormente, en su caso, </w:t>
      </w:r>
      <w:r w:rsidRPr="00581B65">
        <w:rPr>
          <w:rFonts w:ascii="ITC Avant Garde" w:hAnsi="ITC Avant Garde"/>
          <w:i/>
          <w:strike/>
          <w:sz w:val="18"/>
          <w:szCs w:val="18"/>
        </w:rPr>
        <w:t>el CONCESIONARIO entregará</w:t>
      </w:r>
      <w:r w:rsidR="00581B65">
        <w:rPr>
          <w:rFonts w:ascii="ITC Avant Garde" w:hAnsi="ITC Avant Garde"/>
          <w:i/>
          <w:sz w:val="18"/>
          <w:szCs w:val="18"/>
        </w:rPr>
        <w:t xml:space="preserve"> </w:t>
      </w:r>
      <w:r w:rsidRPr="00581B65">
        <w:rPr>
          <w:rFonts w:ascii="ITC Avant Garde" w:hAnsi="ITC Avant Garde"/>
          <w:i/>
          <w:sz w:val="18"/>
          <w:szCs w:val="18"/>
          <w:u w:val="single"/>
        </w:rPr>
        <w:t>las Partes entregarán</w:t>
      </w:r>
      <w:r w:rsidRPr="008A3101">
        <w:rPr>
          <w:rFonts w:ascii="ITC Avant Garde" w:hAnsi="ITC Avant Garde"/>
          <w:i/>
          <w:sz w:val="18"/>
          <w:szCs w:val="18"/>
        </w:rPr>
        <w:t xml:space="preserve"> en los meses de julio y diciembre, su Pronóstico de Demanda de Servicios de Interconexión para el primer y segundo semestre del año calendario siguiente, mismos que deberán ser ratificados por el CONCESIONARIO en las fechas descritas en la tabla 2 del numeral 1.1.1 del Anexo E sin que dicho pronóstico limite el hecho de que </w:t>
      </w:r>
      <w:r w:rsidRPr="00581B65">
        <w:rPr>
          <w:rFonts w:ascii="ITC Avant Garde" w:hAnsi="ITC Avant Garde"/>
          <w:i/>
          <w:strike/>
          <w:sz w:val="18"/>
          <w:szCs w:val="18"/>
        </w:rPr>
        <w:t>el CONCESIONARIO pueda</w:t>
      </w:r>
      <w:r w:rsidR="00581B65">
        <w:rPr>
          <w:rFonts w:ascii="ITC Avant Garde" w:hAnsi="ITC Avant Garde"/>
          <w:i/>
          <w:sz w:val="18"/>
          <w:szCs w:val="18"/>
        </w:rPr>
        <w:t xml:space="preserve"> </w:t>
      </w:r>
      <w:r w:rsidRPr="00581B65">
        <w:rPr>
          <w:rFonts w:ascii="ITC Avant Garde" w:hAnsi="ITC Avant Garde"/>
          <w:i/>
          <w:sz w:val="18"/>
          <w:szCs w:val="18"/>
          <w:u w:val="single"/>
        </w:rPr>
        <w:t>las Partes puedan</w:t>
      </w:r>
      <w:r w:rsidRPr="008A3101">
        <w:rPr>
          <w:rFonts w:ascii="ITC Avant Garde" w:hAnsi="ITC Avant Garde"/>
          <w:i/>
          <w:sz w:val="18"/>
          <w:szCs w:val="18"/>
        </w:rPr>
        <w:t xml:space="preserve"> solicitar Servicios de Interconexión en adición a los </w:t>
      </w:r>
      <w:r w:rsidRPr="008A3101">
        <w:rPr>
          <w:rFonts w:ascii="ITC Avant Garde" w:hAnsi="ITC Avant Garde"/>
          <w:i/>
          <w:sz w:val="18"/>
          <w:szCs w:val="18"/>
        </w:rPr>
        <w:lastRenderedPageBreak/>
        <w:t>comprendidos en dicha proyección durante la vigencia del presente Convenio, los cuales serán entregados en la fecha que sea acordada por las Partes.</w:t>
      </w:r>
    </w:p>
    <w:p w14:paraId="5C74F451" w14:textId="55C70CA5" w:rsidR="00581B65" w:rsidRPr="008A3101" w:rsidRDefault="00581B65"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5AB17420" w14:textId="77777777" w:rsidR="00A27F4B" w:rsidRPr="00A27F4B" w:rsidRDefault="00A27F4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55333ACD" w14:textId="77777777" w:rsidR="00F1678D" w:rsidRDefault="00F1678D" w:rsidP="00E53C1B">
      <w:pPr>
        <w:spacing w:after="0" w:line="276" w:lineRule="auto"/>
        <w:rPr>
          <w:rFonts w:ascii="ITC Avant Garde" w:eastAsia="Avant Garde" w:hAnsi="ITC Avant Garde" w:cs="Avant Garde"/>
          <w:b/>
          <w:color w:val="000000"/>
          <w:sz w:val="24"/>
          <w:u w:val="single"/>
          <w:lang w:eastAsia="es-MX"/>
        </w:rPr>
      </w:pPr>
    </w:p>
    <w:p w14:paraId="3C43692C" w14:textId="4132CEC5" w:rsidR="00C80AB5" w:rsidRPr="00E37612" w:rsidRDefault="00C80AB5" w:rsidP="00E53C1B">
      <w:pPr>
        <w:spacing w:after="0" w:line="276" w:lineRule="auto"/>
        <w:rPr>
          <w:rFonts w:ascii="ITC Avant Garde" w:eastAsia="Avant Garde" w:hAnsi="ITC Avant Garde" w:cs="Avant Garde"/>
          <w:b/>
          <w:color w:val="000000"/>
          <w:sz w:val="24"/>
          <w:u w:val="single"/>
          <w:lang w:eastAsia="es-MX"/>
        </w:rPr>
      </w:pPr>
      <w:r w:rsidRPr="00E37612">
        <w:rPr>
          <w:rFonts w:ascii="ITC Avant Garde" w:eastAsia="Avant Garde" w:hAnsi="ITC Avant Garde" w:cs="Avant Garde"/>
          <w:b/>
          <w:color w:val="000000"/>
          <w:sz w:val="24"/>
          <w:u w:val="single"/>
          <w:lang w:eastAsia="es-MX"/>
        </w:rPr>
        <w:t xml:space="preserve">Cláusula Cuarta Contraprestaciones </w:t>
      </w:r>
    </w:p>
    <w:p w14:paraId="01268A64" w14:textId="77777777" w:rsidR="00C80AB5" w:rsidRPr="0053503B" w:rsidRDefault="00C80AB5"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4.1 Tarifas y Formas de Pago:</w:t>
      </w:r>
    </w:p>
    <w:p w14:paraId="3E97C3CB" w14:textId="5C827F4C" w:rsidR="00C80AB5" w:rsidRPr="0053503B" w:rsidRDefault="00C80AB5"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13414474" w14:textId="77777777" w:rsidR="0040611D" w:rsidRPr="00E16359" w:rsidRDefault="0040611D" w:rsidP="0040611D">
      <w:pPr>
        <w:spacing w:line="276" w:lineRule="auto"/>
        <w:rPr>
          <w:rFonts w:ascii="ITC Avant Garde" w:hAnsi="ITC Avant Garde"/>
        </w:rPr>
      </w:pPr>
      <w:r>
        <w:rPr>
          <w:rFonts w:ascii="ITC Avant Garde" w:hAnsi="ITC Avant Garde"/>
        </w:rPr>
        <w:t>En el numeral 4.1 se establecen los principios con los que se deberán regir la tarifa de interconexión i) estar basadas en costos, ii) p</w:t>
      </w:r>
      <w:r w:rsidRPr="00E16359">
        <w:rPr>
          <w:rFonts w:ascii="ITC Avant Garde" w:hAnsi="ITC Avant Garde"/>
        </w:rPr>
        <w:t>ermitir recuperar al menos el costo incremental total promedio de largo plazo o el costo i</w:t>
      </w:r>
      <w:r>
        <w:rPr>
          <w:rFonts w:ascii="ITC Avant Garde" w:hAnsi="ITC Avant Garde"/>
        </w:rPr>
        <w:t>ncremental de largo plazo puro, iii) no</w:t>
      </w:r>
      <w:r w:rsidRPr="00E16359">
        <w:rPr>
          <w:rFonts w:ascii="ITC Avant Garde" w:hAnsi="ITC Avant Garde"/>
        </w:rPr>
        <w:t xml:space="preserve"> deberán contener costos no asociad</w:t>
      </w:r>
      <w:r>
        <w:rPr>
          <w:rFonts w:ascii="ITC Avant Garde" w:hAnsi="ITC Avant Garde"/>
        </w:rPr>
        <w:t>os a la prestación del Servicio, iv) n</w:t>
      </w:r>
      <w:r w:rsidRPr="00E16359">
        <w:rPr>
          <w:rFonts w:ascii="ITC Avant Garde" w:hAnsi="ITC Avant Garde"/>
        </w:rPr>
        <w:t>o deber</w:t>
      </w:r>
      <w:r>
        <w:rPr>
          <w:rFonts w:ascii="ITC Avant Garde" w:hAnsi="ITC Avant Garde"/>
        </w:rPr>
        <w:t>án incluir cualquier otro costo.</w:t>
      </w:r>
    </w:p>
    <w:p w14:paraId="5F3F15B1" w14:textId="49EBCE90" w:rsidR="00C80AB5" w:rsidRDefault="00F1678D"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w:t>
      </w:r>
      <w:r w:rsidR="00C80AB5" w:rsidRPr="0053503B">
        <w:rPr>
          <w:rFonts w:ascii="ITC Avant Garde" w:eastAsia="Avant Garde" w:hAnsi="ITC Avant Garde" w:cs="Avant Garde"/>
          <w:color w:val="000000"/>
          <w:lang w:eastAsia="es-MX"/>
        </w:rPr>
        <w:t xml:space="preserve"> eliminar el numeral 4.1 debido a que las tarifas no deben estar regidas por principios establecidos por el AEP. En todo caso, </w:t>
      </w:r>
      <w:r w:rsidR="00FF18DA">
        <w:rPr>
          <w:rFonts w:ascii="ITC Avant Garde" w:eastAsia="Avant Garde" w:hAnsi="ITC Avant Garde" w:cs="Avant Garde"/>
          <w:color w:val="000000"/>
          <w:lang w:eastAsia="es-MX"/>
        </w:rPr>
        <w:t xml:space="preserve">señala que </w:t>
      </w:r>
      <w:r w:rsidR="00C80AB5" w:rsidRPr="0053503B">
        <w:rPr>
          <w:rFonts w:ascii="ITC Avant Garde" w:eastAsia="Avant Garde" w:hAnsi="ITC Avant Garde" w:cs="Avant Garde"/>
          <w:color w:val="000000"/>
          <w:lang w:eastAsia="es-MX"/>
        </w:rPr>
        <w:t>estos</w:t>
      </w:r>
      <w:r>
        <w:rPr>
          <w:rFonts w:ascii="ITC Avant Garde" w:eastAsia="Avant Garde" w:hAnsi="ITC Avant Garde" w:cs="Avant Garde"/>
          <w:color w:val="000000"/>
          <w:lang w:eastAsia="es-MX"/>
        </w:rPr>
        <w:t xml:space="preserve"> principios</w:t>
      </w:r>
      <w:r w:rsidR="00C80AB5" w:rsidRPr="0053503B">
        <w:rPr>
          <w:rFonts w:ascii="ITC Avant Garde" w:eastAsia="Avant Garde" w:hAnsi="ITC Avant Garde" w:cs="Avant Garde"/>
          <w:color w:val="000000"/>
          <w:lang w:eastAsia="es-MX"/>
        </w:rPr>
        <w:t xml:space="preserve"> deberán</w:t>
      </w:r>
      <w:r w:rsidR="00C80AB5">
        <w:rPr>
          <w:rFonts w:ascii="ITC Avant Garde" w:eastAsia="Avant Garde" w:hAnsi="ITC Avant Garde" w:cs="Avant Garde"/>
          <w:color w:val="000000"/>
          <w:lang w:eastAsia="es-MX"/>
        </w:rPr>
        <w:t xml:space="preserve"> ser establecido</w:t>
      </w:r>
      <w:r w:rsidR="00C80AB5" w:rsidRPr="0053503B">
        <w:rPr>
          <w:rFonts w:ascii="ITC Avant Garde" w:eastAsia="Avant Garde" w:hAnsi="ITC Avant Garde" w:cs="Avant Garde"/>
          <w:color w:val="000000"/>
          <w:lang w:eastAsia="es-MX"/>
        </w:rPr>
        <w:t xml:space="preserve">s por el Instituto. </w:t>
      </w:r>
    </w:p>
    <w:p w14:paraId="14BE8A22" w14:textId="77777777" w:rsidR="00B04C8B" w:rsidRDefault="00B04C8B" w:rsidP="00E53C1B">
      <w:pPr>
        <w:spacing w:after="0" w:line="276" w:lineRule="auto"/>
        <w:rPr>
          <w:rFonts w:ascii="ITC Avant Garde" w:eastAsia="Avant Garde" w:hAnsi="ITC Avant Garde" w:cs="Avant Garde"/>
          <w:color w:val="000000"/>
          <w:lang w:eastAsia="es-MX"/>
        </w:rPr>
      </w:pPr>
    </w:p>
    <w:p w14:paraId="748C7819" w14:textId="77777777" w:rsidR="004153A4" w:rsidRPr="0053503B" w:rsidRDefault="004153A4"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p>
    <w:p w14:paraId="4EAD9726" w14:textId="4A3AD077" w:rsidR="004153A4" w:rsidRDefault="004153A4"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agregar el siguiente punto para evitar que las tarifas se impongan a discrecionalidad del AEP:</w:t>
      </w:r>
    </w:p>
    <w:p w14:paraId="4D5C47E9" w14:textId="77777777" w:rsidR="002425B5" w:rsidRDefault="002425B5" w:rsidP="00E53C1B">
      <w:pPr>
        <w:spacing w:after="0" w:line="276" w:lineRule="auto"/>
        <w:rPr>
          <w:rFonts w:ascii="ITC Avant Garde" w:eastAsia="Avant Garde" w:hAnsi="ITC Avant Garde" w:cs="Avant Garde"/>
          <w:color w:val="000000"/>
          <w:lang w:eastAsia="es-MX"/>
        </w:rPr>
      </w:pPr>
    </w:p>
    <w:p w14:paraId="7B555F42" w14:textId="5B07993B" w:rsidR="00713742" w:rsidRDefault="00713742"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13742">
        <w:rPr>
          <w:rFonts w:ascii="ITC Avant Garde" w:hAnsi="ITC Avant Garde"/>
          <w:i/>
          <w:sz w:val="18"/>
          <w:szCs w:val="18"/>
        </w:rPr>
        <w:t>Las Tarifas deberán estar analizadas y aprobadas por el Instituto, de conformidad a los estándares del mercado.</w:t>
      </w:r>
      <w:r>
        <w:rPr>
          <w:rFonts w:ascii="ITC Avant Garde" w:hAnsi="ITC Avant Garde"/>
          <w:i/>
          <w:sz w:val="18"/>
          <w:szCs w:val="18"/>
        </w:rPr>
        <w:t>”</w:t>
      </w:r>
    </w:p>
    <w:p w14:paraId="69519F33" w14:textId="77777777" w:rsidR="00713742" w:rsidRPr="0053503B" w:rsidRDefault="00713742" w:rsidP="00E53C1B">
      <w:pPr>
        <w:spacing w:after="0" w:line="276" w:lineRule="auto"/>
        <w:rPr>
          <w:rFonts w:ascii="ITC Avant Garde" w:eastAsia="Avant Garde" w:hAnsi="ITC Avant Garde" w:cs="Avant Garde"/>
          <w:color w:val="000000"/>
          <w:lang w:eastAsia="es-MX"/>
        </w:rPr>
      </w:pPr>
    </w:p>
    <w:p w14:paraId="12300F87" w14:textId="77777777" w:rsidR="00C80AB5" w:rsidRPr="0053503B" w:rsidRDefault="00C80AB5"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5D6BB2D0" w14:textId="77777777" w:rsidR="0040611D" w:rsidRDefault="0040611D" w:rsidP="0040611D">
      <w:pPr>
        <w:spacing w:after="0" w:line="276" w:lineRule="auto"/>
        <w:rPr>
          <w:rFonts w:ascii="ITC Avant Garde" w:hAnsi="ITC Avant Garde"/>
        </w:rPr>
      </w:pPr>
    </w:p>
    <w:p w14:paraId="602CE0EA" w14:textId="34BD4E25" w:rsidR="0040611D" w:rsidRDefault="0040611D" w:rsidP="0040611D">
      <w:pPr>
        <w:spacing w:after="0" w:line="276" w:lineRule="auto"/>
        <w:rPr>
          <w:rFonts w:ascii="ITC Avant Garde" w:hAnsi="ITC Avant Garde"/>
        </w:rPr>
      </w:pPr>
      <w:r>
        <w:rPr>
          <w:rFonts w:ascii="ITC Avant Garde" w:hAnsi="ITC Avant Garde"/>
        </w:rPr>
        <w:t>Al respecto se señala que el</w:t>
      </w:r>
      <w:r w:rsidRPr="00E16359">
        <w:rPr>
          <w:rFonts w:ascii="ITC Avant Garde" w:hAnsi="ITC Avant Garde"/>
        </w:rPr>
        <w:t xml:space="preserve"> contenido de dicha cláusula es acorde con la regulación vigente, ya que </w:t>
      </w:r>
      <w:r>
        <w:rPr>
          <w:rFonts w:ascii="ITC Avant Garde" w:hAnsi="ITC Avant Garde"/>
        </w:rPr>
        <w:t xml:space="preserve">de conformidad con la metodología de costos emitida por el Instituto </w:t>
      </w:r>
      <w:r w:rsidRPr="00E16359">
        <w:rPr>
          <w:rFonts w:ascii="ITC Avant Garde" w:hAnsi="ITC Avant Garde"/>
        </w:rPr>
        <w:t>las tarifas deben sujetarse a los principios</w:t>
      </w:r>
      <w:r>
        <w:rPr>
          <w:rFonts w:ascii="ITC Avant Garde" w:hAnsi="ITC Avant Garde"/>
        </w:rPr>
        <w:t xml:space="preserve"> establecidos en dicho numeral</w:t>
      </w:r>
      <w:r w:rsidRPr="00E16359">
        <w:rPr>
          <w:rFonts w:ascii="ITC Avant Garde" w:hAnsi="ITC Avant Garde"/>
        </w:rPr>
        <w:t>, por lo</w:t>
      </w:r>
      <w:r>
        <w:rPr>
          <w:rFonts w:ascii="ITC Avant Garde" w:hAnsi="ITC Avant Garde"/>
        </w:rPr>
        <w:t xml:space="preserve"> anterior no se consideran principios establecidos por el </w:t>
      </w:r>
      <w:proofErr w:type="gramStart"/>
      <w:r>
        <w:rPr>
          <w:rFonts w:ascii="ITC Avant Garde" w:hAnsi="ITC Avant Garde"/>
        </w:rPr>
        <w:t>AEP</w:t>
      </w:r>
      <w:proofErr w:type="gramEnd"/>
      <w:r>
        <w:rPr>
          <w:rFonts w:ascii="ITC Avant Garde" w:hAnsi="ITC Avant Garde"/>
        </w:rPr>
        <w:t xml:space="preserve"> sino que en dicho numeral únicamente se citan los principios aplicables en la determinación de tarifas.</w:t>
      </w:r>
    </w:p>
    <w:p w14:paraId="6C324924" w14:textId="77777777" w:rsidR="0040611D" w:rsidRDefault="0040611D" w:rsidP="00E53C1B">
      <w:pPr>
        <w:spacing w:after="0" w:line="276" w:lineRule="auto"/>
        <w:rPr>
          <w:rFonts w:ascii="ITC Avant Garde" w:hAnsi="ITC Avant Garde"/>
        </w:rPr>
      </w:pPr>
    </w:p>
    <w:p w14:paraId="1A6D7F83" w14:textId="2CF56DA1" w:rsidR="00A27F4B" w:rsidRPr="00A27F4B" w:rsidRDefault="0040611D" w:rsidP="0040611D">
      <w:pPr>
        <w:spacing w:after="0" w:line="276" w:lineRule="auto"/>
        <w:rPr>
          <w:rFonts w:ascii="ITC Avant Garde" w:hAnsi="ITC Avant Garde"/>
          <w:sz w:val="18"/>
          <w:szCs w:val="18"/>
        </w:rPr>
      </w:pPr>
      <w:r>
        <w:rPr>
          <w:rFonts w:ascii="ITC Avant Garde" w:hAnsi="ITC Avant Garde"/>
        </w:rPr>
        <w:t>Asimismo, respecto a evitar la discrecionalidad del AEP, se señala que de conformidad con el artículo 129, el Instituto</w:t>
      </w:r>
      <w:r w:rsidR="00F1678D">
        <w:rPr>
          <w:rFonts w:ascii="ITC Avant Garde" w:hAnsi="ITC Avant Garde"/>
        </w:rPr>
        <w:t xml:space="preserve"> resolverá</w:t>
      </w:r>
      <w:r w:rsidR="002A74E1" w:rsidRPr="002A74E1">
        <w:rPr>
          <w:rFonts w:ascii="ITC Avant Garde" w:hAnsi="ITC Avant Garde"/>
        </w:rPr>
        <w:t xml:space="preserve"> las condiciones</w:t>
      </w:r>
      <w:r w:rsidR="00F1678D">
        <w:rPr>
          <w:rFonts w:ascii="ITC Avant Garde" w:hAnsi="ITC Avant Garde"/>
        </w:rPr>
        <w:t>, términos y tarifas</w:t>
      </w:r>
      <w:r w:rsidR="002A74E1" w:rsidRPr="002A74E1">
        <w:rPr>
          <w:rFonts w:ascii="ITC Avant Garde" w:hAnsi="ITC Avant Garde"/>
        </w:rPr>
        <w:t xml:space="preserve"> de interconexión</w:t>
      </w:r>
      <w:r w:rsidR="00A27F4B">
        <w:rPr>
          <w:rFonts w:ascii="ITC Avant Garde" w:hAnsi="ITC Avant Garde"/>
        </w:rPr>
        <w:t xml:space="preserve"> que</w:t>
      </w:r>
      <w:r w:rsidR="002A74E1" w:rsidRPr="002A74E1">
        <w:rPr>
          <w:rFonts w:ascii="ITC Avant Garde" w:hAnsi="ITC Avant Garde"/>
        </w:rPr>
        <w:t xml:space="preserve"> no</w:t>
      </w:r>
      <w:r w:rsidR="00A27F4B">
        <w:rPr>
          <w:rFonts w:ascii="ITC Avant Garde" w:hAnsi="ITC Avant Garde"/>
        </w:rPr>
        <w:t xml:space="preserve"> hayan podido convenir</w:t>
      </w:r>
      <w:r w:rsidR="002A74E1" w:rsidRPr="002A74E1">
        <w:rPr>
          <w:rFonts w:ascii="ITC Avant Garde" w:hAnsi="ITC Avant Garde"/>
        </w:rPr>
        <w:t xml:space="preserve"> las partes</w:t>
      </w:r>
      <w:r w:rsidR="002A74E1">
        <w:rPr>
          <w:rFonts w:ascii="ITC Avant Garde" w:hAnsi="ITC Avant Garde"/>
        </w:rPr>
        <w:t>,</w:t>
      </w:r>
      <w:r w:rsidR="002A74E1" w:rsidRPr="002A74E1">
        <w:rPr>
          <w:rFonts w:ascii="ITC Avant Garde" w:hAnsi="ITC Avant Garde"/>
        </w:rPr>
        <w:t xml:space="preserve"> </w:t>
      </w:r>
      <w:r>
        <w:rPr>
          <w:rFonts w:ascii="ITC Avant Garde" w:hAnsi="ITC Avant Garde"/>
        </w:rPr>
        <w:t>por lo que no se considera necesaria la adición señalada.</w:t>
      </w:r>
    </w:p>
    <w:p w14:paraId="6AB52B1A" w14:textId="5E7B88C3" w:rsidR="002425B5" w:rsidRPr="004A6A7F" w:rsidRDefault="002425B5" w:rsidP="00E53C1B">
      <w:pPr>
        <w:spacing w:after="0" w:line="276" w:lineRule="auto"/>
        <w:rPr>
          <w:rFonts w:ascii="ITC Avant Garde" w:eastAsia="Avant Garde" w:hAnsi="ITC Avant Garde" w:cs="Avant Garde"/>
          <w:color w:val="000000"/>
          <w:lang w:eastAsia="es-MX"/>
        </w:rPr>
      </w:pPr>
    </w:p>
    <w:p w14:paraId="36611F22" w14:textId="77777777" w:rsidR="00565FEB" w:rsidRPr="0053503B" w:rsidRDefault="00565FEB"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4.1.2 Vigencia</w:t>
      </w:r>
      <w:r>
        <w:rPr>
          <w:rFonts w:ascii="ITC Avant Garde" w:eastAsia="Avant Garde" w:hAnsi="ITC Avant Garde" w:cs="Avant Garde"/>
          <w:b/>
          <w:color w:val="000000"/>
          <w:lang w:eastAsia="es-MX"/>
        </w:rPr>
        <w:t>.</w:t>
      </w:r>
    </w:p>
    <w:p w14:paraId="46F4198B" w14:textId="15453008" w:rsidR="00565FEB" w:rsidRDefault="00565FEB"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r w:rsidRPr="0053503B">
        <w:rPr>
          <w:rFonts w:ascii="ITC Avant Garde" w:eastAsia="Avant Garde" w:hAnsi="ITC Avant Garde" w:cs="Avant Garde"/>
          <w:b/>
          <w:color w:val="000000"/>
          <w:lang w:eastAsia="es-MX"/>
        </w:rPr>
        <w:t xml:space="preserve"> TELEFÓNICA</w:t>
      </w:r>
      <w:r>
        <w:rPr>
          <w:rFonts w:ascii="ITC Avant Garde" w:eastAsia="Avant Garde" w:hAnsi="ITC Avant Garde" w:cs="Avant Garde"/>
          <w:b/>
          <w:color w:val="000000"/>
          <w:lang w:eastAsia="es-MX"/>
        </w:rPr>
        <w:t>, TELEVISA</w:t>
      </w:r>
    </w:p>
    <w:p w14:paraId="5757EAB8" w14:textId="43437EE1" w:rsidR="00565FEB" w:rsidRDefault="00565FEB" w:rsidP="00E53C1B">
      <w:pPr>
        <w:spacing w:after="0"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Solicitan eliminar el </w:t>
      </w:r>
      <w:r>
        <w:rPr>
          <w:rFonts w:ascii="ITC Avant Garde" w:eastAsia="Avant Garde" w:hAnsi="ITC Avant Garde" w:cs="Avant Garde"/>
          <w:color w:val="000000"/>
          <w:lang w:eastAsia="es-MX"/>
        </w:rPr>
        <w:t xml:space="preserve">siguiente </w:t>
      </w:r>
      <w:r w:rsidRPr="0053503B">
        <w:rPr>
          <w:rFonts w:ascii="ITC Avant Garde" w:eastAsia="Avant Garde" w:hAnsi="ITC Avant Garde" w:cs="Avant Garde"/>
          <w:color w:val="000000"/>
          <w:lang w:eastAsia="es-MX"/>
        </w:rPr>
        <w:t>párrafo</w:t>
      </w:r>
      <w:r w:rsidR="006F4E46">
        <w:rPr>
          <w:rFonts w:ascii="ITC Avant Garde" w:eastAsia="Avant Garde" w:hAnsi="ITC Avant Garde" w:cs="Avant Garde"/>
          <w:color w:val="000000"/>
          <w:lang w:eastAsia="es-MX"/>
        </w:rPr>
        <w:t xml:space="preserve">: </w:t>
      </w:r>
    </w:p>
    <w:p w14:paraId="0F674FF0" w14:textId="77777777" w:rsidR="002425B5" w:rsidRDefault="002425B5" w:rsidP="00E53C1B">
      <w:pPr>
        <w:spacing w:after="0" w:line="276" w:lineRule="auto"/>
        <w:rPr>
          <w:rFonts w:ascii="ITC Avant Garde" w:eastAsia="Avant Garde" w:hAnsi="ITC Avant Garde" w:cs="Avant Garde"/>
          <w:color w:val="000000"/>
          <w:lang w:eastAsia="es-MX"/>
        </w:rPr>
      </w:pPr>
    </w:p>
    <w:p w14:paraId="4882D65A" w14:textId="2F198349" w:rsidR="006F4E46" w:rsidRDefault="006F4E46"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6F4E46">
        <w:rPr>
          <w:rFonts w:ascii="ITC Avant Garde" w:hAnsi="ITC Avant Garde"/>
          <w:i/>
          <w:sz w:val="18"/>
          <w:szCs w:val="18"/>
        </w:rPr>
        <w:t>Lo anterior, en el entendido de que, una vez que se determinen las nuevas contraprestaciones aplicables, éstas surtirán efecto a partir de la fecha de conclusión de vigencia de las anteriores</w:t>
      </w:r>
      <w:r>
        <w:rPr>
          <w:rFonts w:ascii="ITC Avant Garde" w:hAnsi="ITC Avant Garde"/>
          <w:i/>
          <w:sz w:val="18"/>
          <w:szCs w:val="18"/>
        </w:rPr>
        <w:t>.”</w:t>
      </w:r>
    </w:p>
    <w:p w14:paraId="00CE5A52" w14:textId="076BA441" w:rsidR="006F4E46" w:rsidRDefault="006F4E46" w:rsidP="00E53C1B">
      <w:pPr>
        <w:spacing w:after="0" w:line="276" w:lineRule="auto"/>
        <w:ind w:right="616"/>
        <w:rPr>
          <w:rFonts w:ascii="ITC Avant Garde" w:hAnsi="ITC Avant Garde"/>
          <w:i/>
          <w:sz w:val="18"/>
          <w:szCs w:val="18"/>
        </w:rPr>
      </w:pPr>
    </w:p>
    <w:p w14:paraId="6F139AD6" w14:textId="097267A2" w:rsidR="006F4E46" w:rsidRDefault="006F4E46"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Lo anterior, debido</w:t>
      </w:r>
      <w:r w:rsidRPr="0053503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a </w:t>
      </w:r>
      <w:r w:rsidRPr="0053503B">
        <w:rPr>
          <w:rFonts w:ascii="ITC Avant Garde" w:eastAsia="Avant Garde" w:hAnsi="ITC Avant Garde" w:cs="Avant Garde"/>
          <w:color w:val="000000"/>
          <w:lang w:eastAsia="es-MX"/>
        </w:rPr>
        <w:t xml:space="preserve">que establece el principio de retroactividad de las tarifas de interconexión hasta la fecha </w:t>
      </w:r>
      <w:r>
        <w:rPr>
          <w:rFonts w:ascii="ITC Avant Garde" w:eastAsia="Avant Garde" w:hAnsi="ITC Avant Garde" w:cs="Avant Garde"/>
          <w:color w:val="000000"/>
          <w:lang w:eastAsia="es-MX"/>
        </w:rPr>
        <w:t xml:space="preserve">en </w:t>
      </w:r>
      <w:r w:rsidRPr="0053503B">
        <w:rPr>
          <w:rFonts w:ascii="ITC Avant Garde" w:eastAsia="Avant Garde" w:hAnsi="ITC Avant Garde" w:cs="Avant Garde"/>
          <w:color w:val="000000"/>
          <w:lang w:eastAsia="es-MX"/>
        </w:rPr>
        <w:t>que perdieron vige</w:t>
      </w:r>
      <w:r>
        <w:rPr>
          <w:rFonts w:ascii="ITC Avant Garde" w:eastAsia="Avant Garde" w:hAnsi="ITC Avant Garde" w:cs="Avant Garde"/>
          <w:color w:val="000000"/>
          <w:lang w:eastAsia="es-MX"/>
        </w:rPr>
        <w:t>ncia las anteriormente pactadas; s</w:t>
      </w:r>
      <w:r w:rsidRPr="0053503B">
        <w:rPr>
          <w:rFonts w:ascii="ITC Avant Garde" w:eastAsia="Avant Garde" w:hAnsi="ITC Avant Garde" w:cs="Avant Garde"/>
          <w:color w:val="000000"/>
          <w:lang w:eastAsia="es-MX"/>
        </w:rPr>
        <w:t>in e</w:t>
      </w:r>
      <w:r>
        <w:rPr>
          <w:rFonts w:ascii="ITC Avant Garde" w:eastAsia="Avant Garde" w:hAnsi="ITC Avant Garde" w:cs="Avant Garde"/>
          <w:color w:val="000000"/>
          <w:lang w:eastAsia="es-MX"/>
        </w:rPr>
        <w:t>mbargo, señalan que é</w:t>
      </w:r>
      <w:r w:rsidRPr="0053503B">
        <w:rPr>
          <w:rFonts w:ascii="ITC Avant Garde" w:eastAsia="Avant Garde" w:hAnsi="ITC Avant Garde" w:cs="Avant Garde"/>
          <w:color w:val="000000"/>
          <w:lang w:eastAsia="es-MX"/>
        </w:rPr>
        <w:t>sta</w:t>
      </w:r>
      <w:r>
        <w:rPr>
          <w:rFonts w:ascii="ITC Avant Garde" w:eastAsia="Avant Garde" w:hAnsi="ITC Avant Garde" w:cs="Avant Garde"/>
          <w:color w:val="000000"/>
          <w:lang w:eastAsia="es-MX"/>
        </w:rPr>
        <w:t>s</w:t>
      </w:r>
      <w:r w:rsidRPr="0053503B">
        <w:rPr>
          <w:rFonts w:ascii="ITC Avant Garde" w:eastAsia="Avant Garde" w:hAnsi="ITC Avant Garde" w:cs="Avant Garde"/>
          <w:color w:val="000000"/>
          <w:lang w:eastAsia="es-MX"/>
        </w:rPr>
        <w:t xml:space="preserve"> podría</w:t>
      </w:r>
      <w:r>
        <w:rPr>
          <w:rFonts w:ascii="ITC Avant Garde" w:eastAsia="Avant Garde" w:hAnsi="ITC Avant Garde" w:cs="Avant Garde"/>
          <w:color w:val="000000"/>
          <w:lang w:eastAsia="es-MX"/>
        </w:rPr>
        <w:t>n</w:t>
      </w:r>
      <w:r w:rsidRPr="0053503B">
        <w:rPr>
          <w:rFonts w:ascii="ITC Avant Garde" w:eastAsia="Avant Garde" w:hAnsi="ITC Avant Garde" w:cs="Avant Garde"/>
          <w:color w:val="000000"/>
          <w:lang w:eastAsia="es-MX"/>
        </w:rPr>
        <w:t xml:space="preserve"> surtir efecto a partir de la fecha que pacten las partes o a partir de la fecha que se determine en la resolución administrativa o judicial segú</w:t>
      </w:r>
      <w:r>
        <w:rPr>
          <w:rFonts w:ascii="ITC Avant Garde" w:eastAsia="Avant Garde" w:hAnsi="ITC Avant Garde" w:cs="Avant Garde"/>
          <w:color w:val="000000"/>
          <w:lang w:eastAsia="es-MX"/>
        </w:rPr>
        <w:t>n corresponda</w:t>
      </w:r>
      <w:r w:rsidRPr="0053503B">
        <w:rPr>
          <w:rFonts w:ascii="ITC Avant Garde" w:eastAsia="Avant Garde" w:hAnsi="ITC Avant Garde" w:cs="Avant Garde"/>
          <w:color w:val="000000"/>
          <w:lang w:eastAsia="es-MX"/>
        </w:rPr>
        <w:t>, y no a partir de la conc</w:t>
      </w:r>
      <w:r>
        <w:rPr>
          <w:rFonts w:ascii="ITC Avant Garde" w:eastAsia="Avant Garde" w:hAnsi="ITC Avant Garde" w:cs="Avant Garde"/>
          <w:color w:val="000000"/>
          <w:lang w:eastAsia="es-MX"/>
        </w:rPr>
        <w:t>lusión de la vigencia anterior.</w:t>
      </w:r>
    </w:p>
    <w:p w14:paraId="04FE633C" w14:textId="77777777" w:rsidR="002425B5" w:rsidRDefault="002425B5" w:rsidP="00E53C1B">
      <w:pPr>
        <w:spacing w:after="0" w:line="276" w:lineRule="auto"/>
        <w:rPr>
          <w:rFonts w:ascii="ITC Avant Garde" w:eastAsia="Avant Garde" w:hAnsi="ITC Avant Garde" w:cs="Avant Garde"/>
          <w:color w:val="000000"/>
          <w:lang w:eastAsia="es-MX"/>
        </w:rPr>
      </w:pPr>
    </w:p>
    <w:p w14:paraId="62D48396" w14:textId="77777777" w:rsidR="00565FEB" w:rsidRPr="0053503B" w:rsidRDefault="00565FEB"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0DC8FD2B" w14:textId="77777777" w:rsidR="00565FEB" w:rsidRPr="0053503B" w:rsidRDefault="00565FEB"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el numeral 4.1.2 del CMI se establece:</w:t>
      </w:r>
    </w:p>
    <w:p w14:paraId="72A50EC5" w14:textId="77777777" w:rsidR="00565FEB" w:rsidRDefault="00565FEB"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981B43">
        <w:rPr>
          <w:rFonts w:ascii="ITC Avant Garde" w:hAnsi="ITC Avant Garde"/>
          <w:i/>
          <w:sz w:val="18"/>
          <w:szCs w:val="18"/>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w:t>
      </w:r>
      <w:r w:rsidRPr="00981B43">
        <w:rPr>
          <w:rFonts w:ascii="ITC Avant Garde" w:hAnsi="ITC Avant Garde"/>
          <w:i/>
          <w:sz w:val="18"/>
          <w:szCs w:val="18"/>
          <w:u w:val="single"/>
        </w:rPr>
        <w:t>Las nuevas contraprestaciones estarán expresadas al valor de la fecha en que fuesen determinadas, salvo que las Partes hubiesen pactado algo distinto, o bien, en caso de resolución administrativa, salvo que el Instituto, hubiese establecido una fecha distinta.</w:t>
      </w:r>
      <w:r>
        <w:rPr>
          <w:rFonts w:ascii="ITC Avant Garde" w:hAnsi="ITC Avant Garde"/>
          <w:i/>
          <w:sz w:val="18"/>
          <w:szCs w:val="18"/>
        </w:rPr>
        <w:t>”</w:t>
      </w:r>
      <w:r w:rsidRPr="00981B43">
        <w:rPr>
          <w:rFonts w:ascii="ITC Avant Garde" w:hAnsi="ITC Avant Garde"/>
          <w:i/>
          <w:sz w:val="18"/>
          <w:szCs w:val="18"/>
        </w:rPr>
        <w:t xml:space="preserve"> </w:t>
      </w:r>
    </w:p>
    <w:p w14:paraId="2D1A4E3D" w14:textId="77777777" w:rsidR="00505DB9" w:rsidRPr="00A27F4B" w:rsidRDefault="00505DB9"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EB6BBC8" w14:textId="77777777" w:rsidR="00565FEB" w:rsidRDefault="00565FEB" w:rsidP="00E53C1B">
      <w:pPr>
        <w:spacing w:after="0" w:line="276" w:lineRule="auto"/>
        <w:rPr>
          <w:rFonts w:ascii="ITC Avant Garde" w:eastAsia="Avant Garde" w:hAnsi="ITC Avant Garde" w:cs="Avant Garde"/>
          <w:b/>
          <w:color w:val="000000"/>
          <w:lang w:eastAsia="es-MX"/>
        </w:rPr>
      </w:pPr>
    </w:p>
    <w:p w14:paraId="734EDC51" w14:textId="2E319CCF" w:rsidR="00565FEB" w:rsidRDefault="00565FEB"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En este sentido, el CMI ya considera la vigencia de las contraprestaciones por acuerdo entre las partes </w:t>
      </w:r>
      <w:r w:rsidR="006F4E46">
        <w:rPr>
          <w:rFonts w:ascii="ITC Avant Garde" w:eastAsia="Avant Garde" w:hAnsi="ITC Avant Garde" w:cs="Avant Garde"/>
          <w:color w:val="000000"/>
          <w:lang w:eastAsia="es-MX"/>
        </w:rPr>
        <w:t>o por resolución administrativa, por lo que el numeral en cuestión se mantiene en sus términos.</w:t>
      </w:r>
    </w:p>
    <w:p w14:paraId="40598AE4" w14:textId="77777777" w:rsidR="002425B5" w:rsidRPr="0053503B" w:rsidRDefault="002425B5" w:rsidP="00E53C1B">
      <w:pPr>
        <w:spacing w:after="0" w:line="276" w:lineRule="auto"/>
        <w:rPr>
          <w:rFonts w:ascii="ITC Avant Garde" w:eastAsia="Avant Garde" w:hAnsi="ITC Avant Garde" w:cs="Avant Garde"/>
          <w:color w:val="000000"/>
          <w:lang w:eastAsia="es-MX"/>
        </w:rPr>
      </w:pPr>
    </w:p>
    <w:p w14:paraId="13DA18AC" w14:textId="3117E6B4" w:rsidR="008F5EC1" w:rsidRPr="0053503B" w:rsidRDefault="008F5EC1"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 Condiciones de Pago.</w:t>
      </w:r>
    </w:p>
    <w:p w14:paraId="30F1297F" w14:textId="477ABDDA" w:rsidR="008F5EC1" w:rsidRDefault="008F5EC1"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1A504D8B" w14:textId="562FBF4B" w:rsidR="00565FEB" w:rsidRDefault="008F5EC1" w:rsidP="00E53C1B">
      <w:pPr>
        <w:spacing w:after="0" w:line="276" w:lineRule="auto"/>
        <w:rPr>
          <w:rFonts w:ascii="ITC Avant Garde" w:eastAsia="Avant Garde" w:hAnsi="ITC Avant Garde" w:cs="Avant Garde"/>
          <w:color w:val="000000"/>
          <w:lang w:eastAsia="es-MX"/>
        </w:rPr>
      </w:pPr>
      <w:r w:rsidRPr="008F5EC1">
        <w:rPr>
          <w:rFonts w:ascii="ITC Avant Garde" w:eastAsia="Avant Garde" w:hAnsi="ITC Avant Garde" w:cs="Avant Garde"/>
          <w:color w:val="000000"/>
          <w:lang w:eastAsia="es-MX"/>
        </w:rPr>
        <w:t xml:space="preserve">Solicita ampliar el plazo de </w:t>
      </w:r>
      <w:r>
        <w:rPr>
          <w:rFonts w:ascii="ITC Avant Garde" w:eastAsia="Avant Garde" w:hAnsi="ITC Avant Garde" w:cs="Avant Garde"/>
          <w:color w:val="000000"/>
          <w:lang w:eastAsia="es-MX"/>
        </w:rPr>
        <w:t>18 a 30 días naturales y reducir el plazo de 120 a 90 días naturales en los numerales 4.4.1</w:t>
      </w:r>
      <w:r w:rsidR="00AF59DD">
        <w:rPr>
          <w:rFonts w:ascii="ITC Avant Garde" w:eastAsia="Avant Garde" w:hAnsi="ITC Avant Garde" w:cs="Avant Garde"/>
          <w:color w:val="000000"/>
          <w:lang w:eastAsia="es-MX"/>
        </w:rPr>
        <w:t>, 4.4.2, 4.4.3 y 4.4.5.</w:t>
      </w:r>
    </w:p>
    <w:p w14:paraId="00CA8B2C" w14:textId="77777777" w:rsidR="006449A4" w:rsidRDefault="006449A4" w:rsidP="00E53C1B">
      <w:pPr>
        <w:spacing w:after="0" w:line="276" w:lineRule="auto"/>
        <w:rPr>
          <w:rFonts w:ascii="ITC Avant Garde" w:eastAsia="Avant Garde" w:hAnsi="ITC Avant Garde" w:cs="Avant Garde"/>
          <w:color w:val="000000"/>
          <w:lang w:eastAsia="es-MX"/>
        </w:rPr>
      </w:pPr>
    </w:p>
    <w:p w14:paraId="534651DB" w14:textId="77777777" w:rsidR="007F4F8C" w:rsidRPr="0053503B" w:rsidRDefault="007F4F8C"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29AEDA8E" w14:textId="7DCED5AB" w:rsidR="00AE2022" w:rsidRDefault="00686BA6" w:rsidP="00AE202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w:t>
      </w:r>
      <w:r w:rsidR="007F4F8C" w:rsidRPr="007F4F8C">
        <w:rPr>
          <w:rFonts w:ascii="ITC Avant Garde" w:eastAsia="Avant Garde" w:hAnsi="ITC Avant Garde" w:cs="Avant Garde"/>
          <w:color w:val="000000"/>
          <w:lang w:eastAsia="es-MX"/>
        </w:rPr>
        <w:t>l ampliar los pl</w:t>
      </w:r>
      <w:r w:rsidR="0040611D">
        <w:rPr>
          <w:rFonts w:ascii="ITC Avant Garde" w:eastAsia="Avant Garde" w:hAnsi="ITC Avant Garde" w:cs="Avant Garde"/>
          <w:color w:val="000000"/>
          <w:lang w:eastAsia="es-MX"/>
        </w:rPr>
        <w:t>azos de 18 a 30 días en las cláu</w:t>
      </w:r>
      <w:r w:rsidR="0040611D" w:rsidRPr="007F4F8C">
        <w:rPr>
          <w:rFonts w:ascii="ITC Avant Garde" w:eastAsia="Avant Garde" w:hAnsi="ITC Avant Garde" w:cs="Avant Garde"/>
          <w:color w:val="000000"/>
          <w:lang w:eastAsia="es-MX"/>
        </w:rPr>
        <w:t>sulas</w:t>
      </w:r>
      <w:r w:rsidR="007F4F8C" w:rsidRPr="007F4F8C">
        <w:rPr>
          <w:rFonts w:ascii="ITC Avant Garde" w:eastAsia="Avant Garde" w:hAnsi="ITC Avant Garde" w:cs="Avant Garde"/>
          <w:color w:val="000000"/>
          <w:lang w:eastAsia="es-MX"/>
        </w:rPr>
        <w:t xml:space="preserve"> referidas implica</w:t>
      </w:r>
      <w:r>
        <w:rPr>
          <w:rFonts w:ascii="ITC Avant Garde" w:eastAsia="Avant Garde" w:hAnsi="ITC Avant Garde" w:cs="Avant Garde"/>
          <w:color w:val="000000"/>
          <w:lang w:eastAsia="es-MX"/>
        </w:rPr>
        <w:t>ría</w:t>
      </w:r>
      <w:r w:rsidR="007F4F8C" w:rsidRPr="007F4F8C">
        <w:rPr>
          <w:rFonts w:ascii="ITC Avant Garde" w:eastAsia="Avant Garde" w:hAnsi="ITC Avant Garde" w:cs="Avant Garde"/>
          <w:color w:val="000000"/>
          <w:lang w:eastAsia="es-MX"/>
        </w:rPr>
        <w:t xml:space="preserve"> postergar hasta 30 días naturales los procesos de revisión de facturas y pago de las mismas, lo cual retrasa y entorpece el proceso de facturación de los concesionarios interconectados</w:t>
      </w:r>
      <w:r>
        <w:rPr>
          <w:rFonts w:ascii="ITC Avant Garde" w:eastAsia="Avant Garde" w:hAnsi="ITC Avant Garde" w:cs="Avant Garde"/>
          <w:color w:val="000000"/>
          <w:lang w:eastAsia="es-MX"/>
        </w:rPr>
        <w:t>, por lo que los numerales en cuestión se mantiene en los mismos términos.</w:t>
      </w:r>
      <w:r w:rsidR="00AE2022">
        <w:rPr>
          <w:rFonts w:ascii="ITC Avant Garde" w:eastAsia="Avant Garde" w:hAnsi="ITC Avant Garde" w:cs="Avant Garde"/>
          <w:color w:val="000000"/>
          <w:lang w:eastAsia="es-MX"/>
        </w:rPr>
        <w:t xml:space="preserve"> Asimismo, la reducción del plazo de 120 a 90 días, limitaría </w:t>
      </w:r>
      <w:r w:rsidR="00F301C2">
        <w:rPr>
          <w:rFonts w:ascii="ITC Avant Garde" w:eastAsia="Avant Garde" w:hAnsi="ITC Avant Garde" w:cs="Avant Garde"/>
          <w:color w:val="000000"/>
          <w:lang w:eastAsia="es-MX"/>
        </w:rPr>
        <w:t xml:space="preserve">al prestador del servicio </w:t>
      </w:r>
      <w:r w:rsidR="00AE2022">
        <w:rPr>
          <w:rFonts w:ascii="ITC Avant Garde" w:eastAsia="Avant Garde" w:hAnsi="ITC Avant Garde" w:cs="Avant Garde"/>
          <w:color w:val="000000"/>
          <w:lang w:eastAsia="es-MX"/>
        </w:rPr>
        <w:t xml:space="preserve">la posibilidad </w:t>
      </w:r>
      <w:r w:rsidR="00AE2022" w:rsidRPr="005E0325">
        <w:rPr>
          <w:rFonts w:ascii="ITC Avant Garde" w:hAnsi="ITC Avant Garde"/>
          <w:lang w:val="es-ES"/>
        </w:rPr>
        <w:t xml:space="preserve">presentar facturas complementarias por servicios omitidos </w:t>
      </w:r>
      <w:r w:rsidR="00AE2022" w:rsidRPr="005E0325">
        <w:rPr>
          <w:rFonts w:ascii="ITC Avant Garde" w:hAnsi="ITC Avant Garde"/>
          <w:lang w:val="es-ES"/>
        </w:rPr>
        <w:lastRenderedPageBreak/>
        <w:t xml:space="preserve">o incorrectamente </w:t>
      </w:r>
      <w:r w:rsidR="00AE2022">
        <w:rPr>
          <w:rFonts w:ascii="ITC Avant Garde" w:hAnsi="ITC Avant Garde"/>
          <w:lang w:val="es-ES"/>
        </w:rPr>
        <w:t xml:space="preserve">facturados, por lo cual </w:t>
      </w:r>
      <w:r w:rsidR="00AE2022">
        <w:rPr>
          <w:rFonts w:ascii="ITC Avant Garde" w:eastAsia="Avant Garde" w:hAnsi="ITC Avant Garde" w:cs="Avant Garde"/>
          <w:color w:val="000000"/>
          <w:lang w:eastAsia="es-MX"/>
        </w:rPr>
        <w:t>el numeral en cuestión se mantiene en sus términos.</w:t>
      </w:r>
    </w:p>
    <w:p w14:paraId="2725CFB0" w14:textId="54F941BA" w:rsidR="007F4F8C" w:rsidRDefault="007F4F8C" w:rsidP="00E53C1B">
      <w:pPr>
        <w:spacing w:after="0" w:line="276" w:lineRule="auto"/>
        <w:rPr>
          <w:rFonts w:ascii="ITC Avant Garde" w:eastAsia="Avant Garde" w:hAnsi="ITC Avant Garde" w:cs="Avant Garde"/>
          <w:color w:val="000000"/>
          <w:lang w:eastAsia="es-MX"/>
        </w:rPr>
      </w:pPr>
    </w:p>
    <w:p w14:paraId="5F976FCB" w14:textId="77777777" w:rsidR="00686BA6" w:rsidRPr="0053503B" w:rsidRDefault="00686BA6"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4.4.3.1 Facturas Objetadas.</w:t>
      </w:r>
    </w:p>
    <w:p w14:paraId="4FA89FA1" w14:textId="740A78C9" w:rsidR="00686BA6" w:rsidRPr="0053503B" w:rsidRDefault="002E33F5"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r w:rsidR="00686BA6" w:rsidRPr="0053503B">
        <w:rPr>
          <w:rFonts w:ascii="ITC Avant Garde" w:eastAsia="Avant Garde" w:hAnsi="ITC Avant Garde" w:cs="Avant Garde"/>
          <w:b/>
          <w:color w:val="000000"/>
          <w:lang w:eastAsia="es-MX"/>
        </w:rPr>
        <w:t xml:space="preserve"> TELEFÓNICA</w:t>
      </w:r>
    </w:p>
    <w:p w14:paraId="1300B803" w14:textId="219C47E0" w:rsidR="00686BA6" w:rsidRDefault="00686BA6" w:rsidP="00E53C1B">
      <w:pPr>
        <w:spacing w:after="0"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Con el fin de tener un tiempo de respuesta para la resolución de objeciones, solicitan que en las Facturas Objetadas </w:t>
      </w:r>
      <w:r>
        <w:rPr>
          <w:rFonts w:ascii="ITC Avant Garde" w:eastAsia="Avant Garde" w:hAnsi="ITC Avant Garde" w:cs="Avant Garde"/>
          <w:color w:val="000000"/>
          <w:lang w:eastAsia="es-MX"/>
        </w:rPr>
        <w:t>se considere</w:t>
      </w:r>
      <w:r w:rsidRPr="0053503B">
        <w:rPr>
          <w:rFonts w:ascii="ITC Avant Garde" w:eastAsia="Avant Garde" w:hAnsi="ITC Avant Garde" w:cs="Avant Garde"/>
          <w:color w:val="000000"/>
          <w:lang w:eastAsia="es-MX"/>
        </w:rPr>
        <w:t xml:space="preserve"> tanto el interés base como el interés alternativo en adición a lo establecido en la propuesta de CMI.</w:t>
      </w:r>
    </w:p>
    <w:p w14:paraId="037E30C0" w14:textId="77777777" w:rsidR="006449A4" w:rsidRPr="0053503B" w:rsidRDefault="006449A4" w:rsidP="00E53C1B">
      <w:pPr>
        <w:spacing w:after="0" w:line="276" w:lineRule="auto"/>
        <w:rPr>
          <w:rFonts w:ascii="ITC Avant Garde" w:eastAsia="Avant Garde" w:hAnsi="ITC Avant Garde" w:cs="Avant Garde"/>
          <w:color w:val="000000"/>
          <w:lang w:eastAsia="es-MX"/>
        </w:rPr>
      </w:pPr>
    </w:p>
    <w:p w14:paraId="6ED05D69" w14:textId="77777777" w:rsidR="00686BA6" w:rsidRPr="00B4572B" w:rsidRDefault="00686BA6" w:rsidP="00E53C1B">
      <w:pPr>
        <w:spacing w:after="0" w:line="276" w:lineRule="auto"/>
        <w:rPr>
          <w:rFonts w:ascii="ITC Avant Garde" w:hAnsi="ITC Avant Garde"/>
          <w:b/>
        </w:rPr>
      </w:pPr>
      <w:r>
        <w:rPr>
          <w:rFonts w:ascii="ITC Avant Garde" w:hAnsi="ITC Avant Garde"/>
          <w:b/>
        </w:rPr>
        <w:t xml:space="preserve">Consideraciones del Instituto </w:t>
      </w:r>
    </w:p>
    <w:p w14:paraId="3008BF27" w14:textId="69BF0C39" w:rsidR="00025974" w:rsidRDefault="00025974"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La cláusula en cuestión contempla las condiciones para incentivar </w:t>
      </w:r>
      <w:r w:rsidRPr="0053503B">
        <w:rPr>
          <w:rFonts w:ascii="ITC Avant Garde" w:eastAsia="Avant Garde" w:hAnsi="ITC Avant Garde" w:cs="Avant Garde"/>
          <w:color w:val="000000"/>
          <w:lang w:eastAsia="es-MX"/>
        </w:rPr>
        <w:t>la determinación de la procedencia de una factura dentro del plazo esta</w:t>
      </w:r>
      <w:r>
        <w:rPr>
          <w:rFonts w:ascii="ITC Avant Garde" w:eastAsia="Avant Garde" w:hAnsi="ITC Avant Garde" w:cs="Avant Garde"/>
          <w:color w:val="000000"/>
          <w:lang w:eastAsia="es-MX"/>
        </w:rPr>
        <w:t xml:space="preserve">blecido para tal fin, ya que establece </w:t>
      </w:r>
      <w:r w:rsidRPr="0053503B">
        <w:rPr>
          <w:rFonts w:ascii="ITC Avant Garde" w:eastAsia="Avant Garde" w:hAnsi="ITC Avant Garde" w:cs="Avant Garde"/>
          <w:color w:val="000000"/>
          <w:lang w:eastAsia="es-MX"/>
        </w:rPr>
        <w:t>que se entenderán como aceptados los términos de la objeción si no existe una</w:t>
      </w:r>
      <w:r w:rsidR="00DB0950">
        <w:rPr>
          <w:rFonts w:ascii="ITC Avant Garde" w:eastAsia="Avant Garde" w:hAnsi="ITC Avant Garde" w:cs="Avant Garde"/>
          <w:color w:val="000000"/>
          <w:lang w:eastAsia="es-MX"/>
        </w:rPr>
        <w:t xml:space="preserve"> respuesta de la parte revisora</w:t>
      </w:r>
      <w:r>
        <w:rPr>
          <w:rFonts w:ascii="ITC Avant Garde" w:eastAsia="Avant Garde" w:hAnsi="ITC Avant Garde" w:cs="Avant Garde"/>
          <w:color w:val="000000"/>
          <w:lang w:eastAsia="es-MX"/>
        </w:rPr>
        <w:t xml:space="preserve"> dentro del plazo de 60 días na</w:t>
      </w:r>
      <w:r w:rsidR="00DB0950">
        <w:rPr>
          <w:rFonts w:ascii="ITC Avant Garde" w:eastAsia="Avant Garde" w:hAnsi="ITC Avant Garde" w:cs="Avant Garde"/>
          <w:color w:val="000000"/>
          <w:lang w:eastAsia="es-MX"/>
        </w:rPr>
        <w:t>turales, tal como se muestra a continuación:</w:t>
      </w:r>
    </w:p>
    <w:p w14:paraId="6144DCF1" w14:textId="77777777" w:rsidR="006F380C" w:rsidRDefault="006F380C" w:rsidP="00E53C1B">
      <w:pPr>
        <w:spacing w:after="0" w:line="276" w:lineRule="auto"/>
        <w:rPr>
          <w:rFonts w:ascii="ITC Avant Garde" w:eastAsia="Avant Garde" w:hAnsi="ITC Avant Garde" w:cs="Avant Garde"/>
          <w:color w:val="000000"/>
          <w:lang w:eastAsia="es-MX"/>
        </w:rPr>
      </w:pPr>
    </w:p>
    <w:p w14:paraId="7013ABE7" w14:textId="20BA5817" w:rsidR="00686BA6" w:rsidRPr="001409CC" w:rsidRDefault="00DB0950" w:rsidP="00E53C1B">
      <w:pPr>
        <w:pStyle w:val="IFT1"/>
        <w:tabs>
          <w:tab w:val="left" w:pos="426"/>
        </w:tabs>
        <w:spacing w:after="0"/>
        <w:ind w:left="567" w:right="616"/>
        <w:rPr>
          <w:bCs/>
          <w:i/>
          <w:sz w:val="18"/>
          <w:szCs w:val="18"/>
        </w:rPr>
      </w:pPr>
      <w:r>
        <w:rPr>
          <w:bCs/>
          <w:i/>
          <w:sz w:val="18"/>
          <w:szCs w:val="18"/>
        </w:rPr>
        <w:t xml:space="preserve"> </w:t>
      </w:r>
      <w:r w:rsidR="00686BA6">
        <w:rPr>
          <w:bCs/>
          <w:i/>
          <w:sz w:val="18"/>
          <w:szCs w:val="18"/>
        </w:rPr>
        <w:t>“</w:t>
      </w:r>
      <w:r w:rsidR="00686BA6" w:rsidRPr="001409CC">
        <w:rPr>
          <w:bCs/>
          <w:i/>
          <w:sz w:val="18"/>
          <w:szCs w:val="18"/>
        </w:rPr>
        <w:t>4.4.3.1.-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3DB6BA59" w14:textId="77777777" w:rsidR="00686BA6" w:rsidRDefault="00686BA6" w:rsidP="00E53C1B">
      <w:pPr>
        <w:pStyle w:val="IFT1"/>
        <w:tabs>
          <w:tab w:val="left" w:pos="426"/>
        </w:tabs>
        <w:spacing w:after="0"/>
        <w:ind w:left="567" w:right="616"/>
        <w:rPr>
          <w:bCs/>
          <w:i/>
          <w:sz w:val="18"/>
          <w:szCs w:val="18"/>
        </w:rPr>
      </w:pPr>
      <w:r w:rsidRPr="001409CC">
        <w:rPr>
          <w:bCs/>
          <w:i/>
          <w:sz w:val="18"/>
          <w:szCs w:val="18"/>
          <w:u w:val="single"/>
        </w:rPr>
        <w:t>En el entendido que transcurridos los 60 (sesenta) días naturales sin que exista una re</w:t>
      </w:r>
      <w:r>
        <w:rPr>
          <w:bCs/>
          <w:i/>
          <w:sz w:val="18"/>
          <w:szCs w:val="18"/>
          <w:u w:val="single"/>
        </w:rPr>
        <w:t>s</w:t>
      </w:r>
      <w:r w:rsidRPr="001409CC">
        <w:rPr>
          <w:bCs/>
          <w:i/>
          <w:sz w:val="18"/>
          <w:szCs w:val="18"/>
          <w:u w:val="single"/>
        </w:rPr>
        <w:t>puesta de la parte revisora, se entenderá como aceptados los términos bajo los cuales la objeción fue presentada.</w:t>
      </w:r>
      <w:r>
        <w:rPr>
          <w:bCs/>
          <w:i/>
          <w:sz w:val="18"/>
          <w:szCs w:val="18"/>
        </w:rPr>
        <w:t>”</w:t>
      </w:r>
    </w:p>
    <w:p w14:paraId="653843F6" w14:textId="77777777" w:rsidR="00505DB9" w:rsidRPr="00A27F4B" w:rsidRDefault="00505DB9"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E515AD7" w14:textId="77777777" w:rsidR="00E458F1" w:rsidRDefault="00E458F1" w:rsidP="00E53C1B">
      <w:pPr>
        <w:pStyle w:val="IFT1"/>
        <w:tabs>
          <w:tab w:val="left" w:pos="426"/>
        </w:tabs>
        <w:spacing w:after="0"/>
        <w:ind w:left="567" w:right="616"/>
        <w:jc w:val="right"/>
        <w:rPr>
          <w:bCs/>
          <w:i/>
          <w:sz w:val="18"/>
          <w:szCs w:val="18"/>
        </w:rPr>
      </w:pPr>
    </w:p>
    <w:p w14:paraId="05CB3406" w14:textId="2366A8EC" w:rsidR="00686BA6" w:rsidRDefault="00F50A1A"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Por lo anterior, </w:t>
      </w:r>
      <w:r w:rsidR="0040611D">
        <w:rPr>
          <w:rFonts w:ascii="ITC Avant Garde" w:eastAsia="Avant Garde" w:hAnsi="ITC Avant Garde" w:cs="Avant Garde"/>
          <w:color w:val="000000"/>
          <w:lang w:eastAsia="es-MX"/>
        </w:rPr>
        <w:t>no se considera necesario incluir el interés base e interés alternativo</w:t>
      </w:r>
      <w:r>
        <w:rPr>
          <w:rFonts w:ascii="ITC Avant Garde" w:eastAsia="Avant Garde" w:hAnsi="ITC Avant Garde" w:cs="Avant Garde"/>
          <w:color w:val="000000"/>
          <w:lang w:eastAsia="es-MX"/>
        </w:rPr>
        <w:t>.</w:t>
      </w:r>
    </w:p>
    <w:p w14:paraId="1DA9DB5C" w14:textId="77777777" w:rsidR="006F380C" w:rsidRDefault="006F380C" w:rsidP="00E53C1B">
      <w:pPr>
        <w:spacing w:after="0" w:line="276" w:lineRule="auto"/>
        <w:rPr>
          <w:rFonts w:ascii="ITC Avant Garde" w:eastAsia="Avant Garde" w:hAnsi="ITC Avant Garde" w:cs="Avant Garde"/>
          <w:color w:val="000000"/>
          <w:lang w:eastAsia="es-MX"/>
        </w:rPr>
      </w:pPr>
    </w:p>
    <w:p w14:paraId="1F43AF03" w14:textId="6C1A07C1" w:rsidR="00073E55" w:rsidRPr="0053503B" w:rsidRDefault="00073E55"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4.4</w:t>
      </w:r>
      <w:r w:rsidR="003045C3">
        <w:rPr>
          <w:rFonts w:ascii="ITC Avant Garde" w:eastAsia="Avant Garde" w:hAnsi="ITC Avant Garde" w:cs="Avant Garde"/>
          <w:b/>
          <w:color w:val="000000"/>
          <w:lang w:eastAsia="es-MX"/>
        </w:rPr>
        <w:t>.3</w:t>
      </w:r>
      <w:r>
        <w:rPr>
          <w:rFonts w:ascii="ITC Avant Garde" w:eastAsia="Avant Garde" w:hAnsi="ITC Avant Garde" w:cs="Avant Garde"/>
          <w:b/>
          <w:color w:val="000000"/>
          <w:lang w:eastAsia="es-MX"/>
        </w:rPr>
        <w:t>.2 Pagos Recibidos en Exceso.</w:t>
      </w:r>
    </w:p>
    <w:p w14:paraId="029DC136" w14:textId="0FAC5592" w:rsidR="00073E55" w:rsidRPr="0053503B" w:rsidRDefault="0062326C"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r>
        <w:rPr>
          <w:rFonts w:ascii="ITC Avant Garde" w:eastAsia="Avant Garde" w:hAnsi="ITC Avant Garde" w:cs="Avant Garde"/>
          <w:b/>
          <w:color w:val="000000"/>
          <w:lang w:eastAsia="es-MX"/>
        </w:rPr>
        <w:t xml:space="preserve">, </w:t>
      </w:r>
      <w:r w:rsidR="00073E55" w:rsidRPr="0053503B">
        <w:rPr>
          <w:rFonts w:ascii="ITC Avant Garde" w:eastAsia="Avant Garde" w:hAnsi="ITC Avant Garde" w:cs="Avant Garde"/>
          <w:b/>
          <w:color w:val="000000"/>
          <w:lang w:eastAsia="es-MX"/>
        </w:rPr>
        <w:t>TELEFÓNICA</w:t>
      </w:r>
    </w:p>
    <w:p w14:paraId="7909F427" w14:textId="2701ED9C" w:rsidR="00073E55" w:rsidRDefault="00073E55"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w:t>
      </w:r>
      <w:r w:rsidRPr="0053503B">
        <w:rPr>
          <w:rFonts w:ascii="ITC Avant Garde" w:eastAsia="Avant Garde" w:hAnsi="ITC Avant Garde" w:cs="Avant Garde"/>
          <w:color w:val="000000"/>
          <w:lang w:eastAsia="es-MX"/>
        </w:rPr>
        <w:t xml:space="preserve"> mantener el plazo de 60 días para la devolución de pagos recibidos en exceso </w:t>
      </w:r>
      <w:r>
        <w:rPr>
          <w:rFonts w:ascii="ITC Avant Garde" w:eastAsia="Avant Garde" w:hAnsi="ITC Avant Garde" w:cs="Avant Garde"/>
          <w:color w:val="000000"/>
          <w:lang w:eastAsia="es-MX"/>
        </w:rPr>
        <w:t xml:space="preserve">y para la devolución de pagos bajo protesta, </w:t>
      </w:r>
      <w:r w:rsidRPr="0053503B">
        <w:rPr>
          <w:rFonts w:ascii="ITC Avant Garde" w:eastAsia="Avant Garde" w:hAnsi="ITC Avant Garde" w:cs="Avant Garde"/>
          <w:color w:val="000000"/>
          <w:lang w:eastAsia="es-MX"/>
        </w:rPr>
        <w:t xml:space="preserve">ya que </w:t>
      </w:r>
      <w:r>
        <w:rPr>
          <w:rFonts w:ascii="ITC Avant Garde" w:eastAsia="Avant Garde" w:hAnsi="ITC Avant Garde" w:cs="Avant Garde"/>
          <w:color w:val="000000"/>
          <w:lang w:eastAsia="es-MX"/>
        </w:rPr>
        <w:t xml:space="preserve">señala que </w:t>
      </w:r>
      <w:r w:rsidRPr="0053503B">
        <w:rPr>
          <w:rFonts w:ascii="ITC Avant Garde" w:eastAsia="Avant Garde" w:hAnsi="ITC Avant Garde" w:cs="Avant Garde"/>
          <w:color w:val="000000"/>
          <w:lang w:eastAsia="es-MX"/>
        </w:rPr>
        <w:t>este es el plazo que normalmente se utiliza en este tipo de prácticas.</w:t>
      </w:r>
    </w:p>
    <w:p w14:paraId="10054667" w14:textId="77777777" w:rsidR="00F031F1" w:rsidRPr="0053503B" w:rsidRDefault="00F031F1" w:rsidP="00E53C1B">
      <w:pPr>
        <w:spacing w:after="0" w:line="276" w:lineRule="auto"/>
        <w:rPr>
          <w:rFonts w:ascii="ITC Avant Garde" w:eastAsia="Avant Garde" w:hAnsi="ITC Avant Garde" w:cs="Avant Garde"/>
          <w:color w:val="000000"/>
          <w:lang w:eastAsia="es-MX"/>
        </w:rPr>
      </w:pPr>
    </w:p>
    <w:p w14:paraId="0DE87D93" w14:textId="77777777" w:rsidR="00073E55" w:rsidRPr="0053503B" w:rsidRDefault="00073E55"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2B262F1E" w14:textId="356A90E5" w:rsidR="00073E55" w:rsidRDefault="00073E55"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el plazo de 30 días establecido en el CMI para la devolución de pagos es una obligación recíproca </w:t>
      </w:r>
      <w:r w:rsidRPr="0053503B">
        <w:rPr>
          <w:rFonts w:ascii="ITC Avant Garde" w:eastAsia="Avant Garde" w:hAnsi="ITC Avant Garde" w:cs="Avant Garde"/>
          <w:color w:val="000000"/>
          <w:lang w:eastAsia="es-MX"/>
        </w:rPr>
        <w:t>para las partes que suscriben el convenio</w:t>
      </w:r>
      <w:r w:rsidR="00E458F1">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y </w:t>
      </w:r>
      <w:r w:rsidR="00E458F1">
        <w:rPr>
          <w:rFonts w:ascii="ITC Avant Garde" w:eastAsia="Avant Garde" w:hAnsi="ITC Avant Garde" w:cs="Avant Garde"/>
          <w:color w:val="000000"/>
          <w:lang w:eastAsia="es-MX"/>
        </w:rPr>
        <w:t xml:space="preserve">el mismo </w:t>
      </w:r>
      <w:r>
        <w:rPr>
          <w:rFonts w:ascii="ITC Avant Garde" w:eastAsia="Avant Garde" w:hAnsi="ITC Avant Garde" w:cs="Avant Garde"/>
          <w:color w:val="000000"/>
          <w:lang w:eastAsia="es-MX"/>
        </w:rPr>
        <w:t>resulta en un plazo menor para la devolución de pagos recibidos en exceso</w:t>
      </w:r>
      <w:r w:rsidR="00E458F1">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se considera que el plazo establecido es suficiente para la devolución de pagos</w:t>
      </w:r>
      <w:r w:rsidRPr="0053503B">
        <w:rPr>
          <w:rFonts w:ascii="ITC Avant Garde" w:eastAsia="Avant Garde" w:hAnsi="ITC Avant Garde" w:cs="Avant Garde"/>
          <w:color w:val="000000"/>
          <w:lang w:eastAsia="es-MX"/>
        </w:rPr>
        <w:t>.</w:t>
      </w:r>
      <w:r w:rsidR="00E458F1">
        <w:rPr>
          <w:rFonts w:ascii="ITC Avant Garde" w:eastAsia="Avant Garde" w:hAnsi="ITC Avant Garde" w:cs="Avant Garde"/>
          <w:color w:val="000000"/>
          <w:lang w:eastAsia="es-MX"/>
        </w:rPr>
        <w:t xml:space="preserve"> Por lo anterior, el numeral en cuestión se mantiene en los mismos términos.</w:t>
      </w:r>
    </w:p>
    <w:p w14:paraId="544572DD" w14:textId="77777777" w:rsidR="00F031F1" w:rsidRDefault="00F031F1" w:rsidP="00E53C1B">
      <w:pPr>
        <w:spacing w:after="0" w:line="276" w:lineRule="auto"/>
        <w:rPr>
          <w:rFonts w:ascii="ITC Avant Garde" w:eastAsia="Avant Garde" w:hAnsi="ITC Avant Garde" w:cs="Avant Garde"/>
          <w:color w:val="000000"/>
          <w:lang w:eastAsia="es-MX"/>
        </w:rPr>
      </w:pPr>
    </w:p>
    <w:p w14:paraId="7A2A43B4" w14:textId="5BC3C2A5" w:rsidR="005F7730" w:rsidRPr="0053503B" w:rsidRDefault="005F7730"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lastRenderedPageBreak/>
        <w:t>4.4</w:t>
      </w:r>
      <w:r>
        <w:rPr>
          <w:rFonts w:ascii="ITC Avant Garde" w:eastAsia="Avant Garde" w:hAnsi="ITC Avant Garde" w:cs="Avant Garde"/>
          <w:b/>
          <w:color w:val="000000"/>
          <w:lang w:eastAsia="es-MX"/>
        </w:rPr>
        <w:t>.4.2</w:t>
      </w:r>
    </w:p>
    <w:p w14:paraId="6DBA3D8D" w14:textId="6BDAF91C" w:rsidR="005F7730" w:rsidRPr="0053503B" w:rsidRDefault="002E33F5"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r>
        <w:rPr>
          <w:rFonts w:ascii="ITC Avant Garde" w:eastAsia="Avant Garde" w:hAnsi="ITC Avant Garde" w:cs="Avant Garde"/>
          <w:b/>
          <w:color w:val="000000"/>
          <w:lang w:eastAsia="es-MX"/>
        </w:rPr>
        <w:t xml:space="preserve">, </w:t>
      </w:r>
      <w:r w:rsidR="005F7730">
        <w:rPr>
          <w:rFonts w:ascii="ITC Avant Garde" w:eastAsia="Avant Garde" w:hAnsi="ITC Avant Garde" w:cs="Avant Garde"/>
          <w:b/>
          <w:color w:val="000000"/>
          <w:lang w:eastAsia="es-MX"/>
        </w:rPr>
        <w:t>AT&amp;T</w:t>
      </w:r>
    </w:p>
    <w:p w14:paraId="24AAA61C" w14:textId="24C7D872" w:rsidR="003045C3" w:rsidRDefault="005F7730" w:rsidP="00E53C1B">
      <w:pPr>
        <w:spacing w:after="0" w:line="276" w:lineRule="auto"/>
        <w:rPr>
          <w:rFonts w:ascii="ITC Avant Garde" w:eastAsia="Avant Garde" w:hAnsi="ITC Avant Garde" w:cs="Avant Garde"/>
          <w:color w:val="000000"/>
          <w:lang w:eastAsia="es-MX"/>
        </w:rPr>
      </w:pPr>
      <w:r w:rsidRPr="005F7730">
        <w:rPr>
          <w:rFonts w:ascii="ITC Avant Garde" w:eastAsia="Avant Garde" w:hAnsi="ITC Avant Garde" w:cs="Avant Garde"/>
          <w:color w:val="000000"/>
          <w:lang w:eastAsia="es-MX"/>
        </w:rPr>
        <w:t>Sugieren eliminar las referencias a l</w:t>
      </w:r>
      <w:r w:rsidR="003045C3">
        <w:rPr>
          <w:rFonts w:ascii="ITC Avant Garde" w:eastAsia="Avant Garde" w:hAnsi="ITC Avant Garde" w:cs="Avant Garde"/>
          <w:color w:val="000000"/>
          <w:lang w:eastAsia="es-MX"/>
        </w:rPr>
        <w:t>os reembolsos ya que es contrario a lo establecido en el primer párrafo del mismo numeral. Por lo anterior, señala</w:t>
      </w:r>
      <w:r w:rsidR="00E7055F">
        <w:rPr>
          <w:rFonts w:ascii="ITC Avant Garde" w:eastAsia="Avant Garde" w:hAnsi="ITC Avant Garde" w:cs="Avant Garde"/>
          <w:color w:val="000000"/>
          <w:lang w:eastAsia="es-MX"/>
        </w:rPr>
        <w:t>n</w:t>
      </w:r>
      <w:r w:rsidR="003045C3">
        <w:rPr>
          <w:rFonts w:ascii="ITC Avant Garde" w:eastAsia="Avant Garde" w:hAnsi="ITC Avant Garde" w:cs="Avant Garde"/>
          <w:color w:val="000000"/>
          <w:lang w:eastAsia="es-MX"/>
        </w:rPr>
        <w:t xml:space="preserve"> que el párrafo en cuestión debe quedar en los siguientes términos: </w:t>
      </w:r>
    </w:p>
    <w:p w14:paraId="21C74D2E" w14:textId="77777777" w:rsidR="006E70D3" w:rsidRDefault="006E70D3" w:rsidP="00E53C1B">
      <w:pPr>
        <w:spacing w:after="0" w:line="276" w:lineRule="auto"/>
        <w:rPr>
          <w:rFonts w:ascii="ITC Avant Garde" w:eastAsia="Avant Garde" w:hAnsi="ITC Avant Garde" w:cs="Avant Garde"/>
          <w:color w:val="000000"/>
          <w:lang w:eastAsia="es-MX"/>
        </w:rPr>
      </w:pPr>
    </w:p>
    <w:p w14:paraId="5E2EABAD" w14:textId="3E4FD265" w:rsidR="003045C3" w:rsidRPr="003045C3" w:rsidRDefault="003045C3" w:rsidP="00E53C1B">
      <w:pPr>
        <w:pStyle w:val="IFT1"/>
        <w:tabs>
          <w:tab w:val="left" w:pos="426"/>
        </w:tabs>
        <w:spacing w:after="0"/>
        <w:ind w:left="567" w:right="616"/>
        <w:rPr>
          <w:bCs/>
          <w:i/>
          <w:sz w:val="18"/>
          <w:szCs w:val="18"/>
        </w:rPr>
      </w:pPr>
      <w:r>
        <w:rPr>
          <w:bCs/>
          <w:i/>
          <w:sz w:val="18"/>
          <w:szCs w:val="18"/>
        </w:rPr>
        <w:t>“</w:t>
      </w:r>
      <w:r w:rsidRPr="003045C3">
        <w:rPr>
          <w:bCs/>
          <w:i/>
          <w:sz w:val="18"/>
          <w:szCs w:val="18"/>
        </w:rPr>
        <w:t xml:space="preserve">En ambos casos, la Parte que incumplió pagará, en adición a dichas contraprestaciones </w:t>
      </w:r>
      <w:r w:rsidRPr="00505DB9">
        <w:rPr>
          <w:bCs/>
          <w:i/>
          <w:strike/>
          <w:sz w:val="18"/>
          <w:szCs w:val="18"/>
        </w:rPr>
        <w:t>o reembolsos</w:t>
      </w:r>
      <w:r w:rsidRPr="003045C3">
        <w:rPr>
          <w:bCs/>
          <w:i/>
          <w:sz w:val="18"/>
          <w:szCs w:val="18"/>
        </w:rPr>
        <w:t xml:space="preserve">, en su caso, y desde la fecha de vencimiento de las contraprestaciones </w:t>
      </w:r>
      <w:r w:rsidRPr="00505DB9">
        <w:rPr>
          <w:bCs/>
          <w:i/>
          <w:strike/>
          <w:sz w:val="18"/>
          <w:szCs w:val="18"/>
        </w:rPr>
        <w:t>o reembolsos</w:t>
      </w:r>
      <w:r w:rsidRPr="003045C3">
        <w:rPr>
          <w:bCs/>
          <w:i/>
          <w:sz w:val="18"/>
          <w:szCs w:val="18"/>
        </w:rPr>
        <w:t xml:space="preserve"> hasta la fecha en que queden totalmente pagados, intereses moratorios sobre saldos insolutos a una tasa anual que será igual a la Tasa de Interés Interbancaria de Equilibrio anual más reciente en relación con la fecha en que ocurra la mora, multiplicada a razón de 3 (tres) veces, sobre bases de cálculos mensuales.</w:t>
      </w:r>
      <w:r>
        <w:rPr>
          <w:bCs/>
          <w:i/>
          <w:sz w:val="18"/>
          <w:szCs w:val="18"/>
        </w:rPr>
        <w:t>”</w:t>
      </w:r>
    </w:p>
    <w:p w14:paraId="3A943159" w14:textId="77777777" w:rsidR="00505DB9" w:rsidRPr="00A27F4B" w:rsidRDefault="00505DB9"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5DCB620" w14:textId="601562A4" w:rsidR="00073E55" w:rsidRDefault="00073E55" w:rsidP="00E53C1B">
      <w:pPr>
        <w:spacing w:after="0" w:line="276" w:lineRule="auto"/>
        <w:rPr>
          <w:rFonts w:ascii="ITC Avant Garde" w:eastAsia="Avant Garde" w:hAnsi="ITC Avant Garde" w:cs="Avant Garde"/>
          <w:color w:val="000000"/>
          <w:lang w:eastAsia="es-MX"/>
        </w:rPr>
      </w:pPr>
    </w:p>
    <w:p w14:paraId="61E9F8CB" w14:textId="77777777" w:rsidR="00F85F1E" w:rsidRPr="0053503B" w:rsidRDefault="00F85F1E"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7CEF7FB9" w14:textId="5691AF64" w:rsidR="00F85F1E" w:rsidRDefault="00DF2D63"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considera que n</w:t>
      </w:r>
      <w:r w:rsidR="00370BFE">
        <w:rPr>
          <w:rFonts w:ascii="ITC Avant Garde" w:eastAsia="Avant Garde" w:hAnsi="ITC Avant Garde" w:cs="Avant Garde"/>
          <w:color w:val="000000"/>
          <w:lang w:eastAsia="es-MX"/>
        </w:rPr>
        <w:t>o existe contradicción entre el primer y segundo párrafo de</w:t>
      </w:r>
      <w:r w:rsidR="00370BFE" w:rsidRPr="00370BFE">
        <w:rPr>
          <w:rFonts w:ascii="ITC Avant Garde" w:eastAsia="Avant Garde" w:hAnsi="ITC Avant Garde" w:cs="Avant Garde"/>
          <w:color w:val="000000"/>
          <w:lang w:eastAsia="es-MX"/>
        </w:rPr>
        <w:t xml:space="preserve"> este numeral, ya </w:t>
      </w:r>
      <w:r w:rsidR="00370BFE">
        <w:rPr>
          <w:rFonts w:ascii="ITC Avant Garde" w:eastAsia="Avant Garde" w:hAnsi="ITC Avant Garde" w:cs="Avant Garde"/>
          <w:color w:val="000000"/>
          <w:lang w:eastAsia="es-MX"/>
        </w:rPr>
        <w:t xml:space="preserve">que </w:t>
      </w:r>
      <w:r w:rsidR="00250EFA">
        <w:rPr>
          <w:rFonts w:ascii="ITC Avant Garde" w:eastAsia="Avant Garde" w:hAnsi="ITC Avant Garde" w:cs="Avant Garde"/>
          <w:color w:val="000000"/>
          <w:lang w:eastAsia="es-MX"/>
        </w:rPr>
        <w:t xml:space="preserve">en </w:t>
      </w:r>
      <w:r w:rsidR="00370BFE">
        <w:rPr>
          <w:rFonts w:ascii="ITC Avant Garde" w:eastAsia="Avant Garde" w:hAnsi="ITC Avant Garde" w:cs="Avant Garde"/>
          <w:color w:val="000000"/>
          <w:lang w:eastAsia="es-MX"/>
        </w:rPr>
        <w:t xml:space="preserve">el primero se </w:t>
      </w:r>
      <w:r w:rsidR="00370BFE" w:rsidRPr="00370BFE">
        <w:rPr>
          <w:rFonts w:ascii="ITC Avant Garde" w:eastAsia="Avant Garde" w:hAnsi="ITC Avant Garde" w:cs="Avant Garde"/>
          <w:color w:val="000000"/>
          <w:lang w:eastAsia="es-MX"/>
        </w:rPr>
        <w:t>establece que no procederá el pago de intereses moratorios mientras no se determine que existen pagos recibidos en exceso</w:t>
      </w:r>
      <w:r w:rsidR="00250EFA">
        <w:rPr>
          <w:rFonts w:ascii="ITC Avant Garde" w:eastAsia="Avant Garde" w:hAnsi="ITC Avant Garde" w:cs="Avant Garde"/>
          <w:color w:val="000000"/>
          <w:lang w:eastAsia="es-MX"/>
        </w:rPr>
        <w:t>, tal como se muestra a continuación:</w:t>
      </w:r>
    </w:p>
    <w:p w14:paraId="6A7562D6" w14:textId="77777777" w:rsidR="00C459BD" w:rsidRDefault="00C459BD" w:rsidP="00E53C1B">
      <w:pPr>
        <w:spacing w:after="0" w:line="276" w:lineRule="auto"/>
        <w:rPr>
          <w:rFonts w:ascii="ITC Avant Garde" w:eastAsia="Avant Garde" w:hAnsi="ITC Avant Garde" w:cs="Avant Garde"/>
          <w:color w:val="000000"/>
          <w:lang w:eastAsia="es-MX"/>
        </w:rPr>
      </w:pPr>
    </w:p>
    <w:p w14:paraId="2A8C5BE8" w14:textId="57B456ED" w:rsidR="00250EFA" w:rsidRPr="00250EFA" w:rsidRDefault="00250EFA" w:rsidP="00E53C1B">
      <w:pPr>
        <w:pStyle w:val="IFT1"/>
        <w:tabs>
          <w:tab w:val="left" w:pos="426"/>
        </w:tabs>
        <w:spacing w:after="0"/>
        <w:ind w:left="567" w:right="616"/>
        <w:rPr>
          <w:bCs/>
          <w:i/>
          <w:sz w:val="18"/>
          <w:szCs w:val="18"/>
        </w:rPr>
      </w:pPr>
      <w:r>
        <w:rPr>
          <w:bCs/>
          <w:i/>
          <w:sz w:val="18"/>
          <w:szCs w:val="18"/>
        </w:rPr>
        <w:t>“</w:t>
      </w:r>
      <w:r w:rsidRPr="00250EFA">
        <w:rPr>
          <w:bCs/>
          <w:i/>
          <w:sz w:val="18"/>
          <w:szCs w:val="18"/>
        </w:rPr>
        <w:t xml:space="preserve">4.4.4.2.- Los reembolsos de pagos recibidos en exceso por cualquiera de las Partes, una vez que hubiesen sido determinados por acuerdo de las mismas o por resolución en los términos de los procedimientos de resolución de controversias previstos en el presente Convenio; </w:t>
      </w:r>
      <w:r w:rsidRPr="00250EFA">
        <w:rPr>
          <w:bCs/>
          <w:i/>
          <w:sz w:val="18"/>
          <w:szCs w:val="18"/>
          <w:u w:val="single"/>
        </w:rPr>
        <w:t>en el entendido de que, en este caso, mientras no exista tal determinación no procederá el pago de intereses moratorios</w:t>
      </w:r>
      <w:r w:rsidRPr="00250EFA">
        <w:rPr>
          <w:bCs/>
          <w:i/>
          <w:sz w:val="18"/>
          <w:szCs w:val="18"/>
        </w:rPr>
        <w:t>.</w:t>
      </w:r>
    </w:p>
    <w:p w14:paraId="51C050B3" w14:textId="77777777" w:rsidR="00250EFA" w:rsidRDefault="00250EFA" w:rsidP="00E53C1B">
      <w:pPr>
        <w:pStyle w:val="IFT1"/>
        <w:tabs>
          <w:tab w:val="left" w:pos="426"/>
        </w:tabs>
        <w:spacing w:after="0"/>
        <w:ind w:left="567" w:right="616"/>
        <w:rPr>
          <w:bCs/>
          <w:i/>
          <w:sz w:val="18"/>
          <w:szCs w:val="18"/>
        </w:rPr>
      </w:pPr>
      <w:r w:rsidRPr="00250EFA">
        <w:rPr>
          <w:bCs/>
          <w:i/>
          <w:sz w:val="18"/>
          <w:szCs w:val="18"/>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multiplicada a razón de 3 (tres) veces, sobre bases de cálculos mensuales.</w:t>
      </w:r>
    </w:p>
    <w:p w14:paraId="53E27525" w14:textId="59E4B932" w:rsidR="00250EFA" w:rsidRDefault="00250EFA" w:rsidP="00E53C1B">
      <w:pPr>
        <w:pStyle w:val="IFT1"/>
        <w:tabs>
          <w:tab w:val="left" w:pos="426"/>
        </w:tabs>
        <w:spacing w:after="0"/>
        <w:ind w:left="567" w:right="616"/>
        <w:rPr>
          <w:bCs/>
          <w:i/>
          <w:sz w:val="18"/>
          <w:szCs w:val="18"/>
        </w:rPr>
      </w:pPr>
      <w:r>
        <w:rPr>
          <w:bCs/>
          <w:i/>
          <w:sz w:val="18"/>
          <w:szCs w:val="18"/>
        </w:rPr>
        <w:t>(…)”</w:t>
      </w:r>
    </w:p>
    <w:p w14:paraId="6E047889" w14:textId="77777777" w:rsidR="00250EFA" w:rsidRPr="00A27F4B" w:rsidRDefault="00250EFA"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06E5483F" w14:textId="346B3888" w:rsidR="00C459BD" w:rsidRDefault="00C459BD" w:rsidP="00E53C1B">
      <w:pPr>
        <w:spacing w:after="0" w:line="276" w:lineRule="auto"/>
        <w:rPr>
          <w:rFonts w:ascii="ITC Avant Garde" w:eastAsia="Avant Garde" w:hAnsi="ITC Avant Garde" w:cs="Avant Garde"/>
          <w:color w:val="000000"/>
          <w:lang w:val="es-ES" w:eastAsia="es-MX"/>
        </w:rPr>
      </w:pPr>
    </w:p>
    <w:p w14:paraId="529D9D3A" w14:textId="77777777" w:rsidR="002E33F5" w:rsidRPr="0053503B" w:rsidRDefault="002E33F5"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 xml:space="preserve">TELEVISA </w:t>
      </w:r>
    </w:p>
    <w:p w14:paraId="3CEAEFCF" w14:textId="25115881" w:rsidR="004A499D" w:rsidRDefault="002E33F5" w:rsidP="00E53C1B">
      <w:pPr>
        <w:spacing w:after="0"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Señala que </w:t>
      </w:r>
      <w:r w:rsidR="004A499D">
        <w:rPr>
          <w:rFonts w:ascii="ITC Avant Garde" w:eastAsia="Avant Garde" w:hAnsi="ITC Avant Garde" w:cs="Avant Garde"/>
          <w:color w:val="000000"/>
          <w:lang w:eastAsia="es-MX"/>
        </w:rPr>
        <w:t xml:space="preserve">es una práctica de la industria que la tasa anual sea igual a la </w:t>
      </w:r>
      <w:r w:rsidR="004A499D" w:rsidRPr="0053503B">
        <w:rPr>
          <w:rFonts w:ascii="ITC Avant Garde" w:eastAsia="Avant Garde" w:hAnsi="ITC Avant Garde" w:cs="Avant Garde"/>
          <w:color w:val="000000"/>
          <w:lang w:eastAsia="es-MX"/>
        </w:rPr>
        <w:t>Tasa de Interés Interbancaria de Equilibrio (TIIE)</w:t>
      </w:r>
      <w:r w:rsidR="00E7055F">
        <w:rPr>
          <w:rFonts w:ascii="ITC Avant Garde" w:eastAsia="Avant Garde" w:hAnsi="ITC Avant Garde" w:cs="Avant Garde"/>
          <w:color w:val="000000"/>
          <w:lang w:eastAsia="es-MX"/>
        </w:rPr>
        <w:t>.</w:t>
      </w:r>
    </w:p>
    <w:p w14:paraId="257D0882" w14:textId="77777777" w:rsidR="00C459BD" w:rsidRDefault="00C459BD" w:rsidP="00E53C1B">
      <w:pPr>
        <w:spacing w:after="0" w:line="276" w:lineRule="auto"/>
        <w:rPr>
          <w:rFonts w:ascii="ITC Avant Garde" w:eastAsia="Avant Garde" w:hAnsi="ITC Avant Garde" w:cs="Avant Garde"/>
          <w:color w:val="000000"/>
          <w:lang w:eastAsia="es-MX"/>
        </w:rPr>
      </w:pPr>
    </w:p>
    <w:p w14:paraId="03EB8605" w14:textId="77777777" w:rsidR="002E33F5" w:rsidRPr="0053503B" w:rsidRDefault="002E33F5"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7D811CF1" w14:textId="46B78AA2" w:rsidR="002E33F5" w:rsidRDefault="002E33F5"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w:t>
      </w:r>
      <w:r w:rsidRPr="0053503B">
        <w:rPr>
          <w:rFonts w:ascii="ITC Avant Garde" w:eastAsia="Avant Garde" w:hAnsi="ITC Avant Garde" w:cs="Avant Garde"/>
          <w:color w:val="000000"/>
          <w:lang w:eastAsia="es-MX"/>
        </w:rPr>
        <w:t xml:space="preserve">el objetivo de establecer una tasa de interés moratorio </w:t>
      </w:r>
      <w:r>
        <w:rPr>
          <w:rFonts w:ascii="ITC Avant Garde" w:eastAsia="Avant Garde" w:hAnsi="ITC Avant Garde" w:cs="Avant Garde"/>
          <w:color w:val="000000"/>
          <w:lang w:eastAsia="es-MX"/>
        </w:rPr>
        <w:t>es la de incentivar el pago de las contraprestaciones dentro del plazo establecido para tal efecto, se cons</w:t>
      </w:r>
      <w:r w:rsidR="003B2CE9">
        <w:rPr>
          <w:rFonts w:ascii="ITC Avant Garde" w:eastAsia="Avant Garde" w:hAnsi="ITC Avant Garde" w:cs="Avant Garde"/>
          <w:color w:val="000000"/>
          <w:lang w:eastAsia="es-MX"/>
        </w:rPr>
        <w:t>idera que la tasa anual</w:t>
      </w:r>
      <w:r>
        <w:rPr>
          <w:rFonts w:ascii="ITC Avant Garde" w:eastAsia="Avant Garde" w:hAnsi="ITC Avant Garde" w:cs="Avant Garde"/>
          <w:color w:val="000000"/>
          <w:lang w:eastAsia="es-MX"/>
        </w:rPr>
        <w:t xml:space="preserve"> </w:t>
      </w:r>
      <w:r w:rsidRPr="0053503B">
        <w:rPr>
          <w:rFonts w:ascii="ITC Avant Garde" w:eastAsia="Avant Garde" w:hAnsi="ITC Avant Garde" w:cs="Avant Garde"/>
          <w:color w:val="000000"/>
          <w:lang w:eastAsia="es-MX"/>
        </w:rPr>
        <w:t xml:space="preserve">de 3 veces la TIIE </w:t>
      </w:r>
      <w:r>
        <w:rPr>
          <w:rFonts w:ascii="ITC Avant Garde" w:eastAsia="Avant Garde" w:hAnsi="ITC Avant Garde" w:cs="Avant Garde"/>
          <w:color w:val="000000"/>
          <w:lang w:eastAsia="es-MX"/>
        </w:rPr>
        <w:t xml:space="preserve">es adecuada </w:t>
      </w:r>
      <w:r w:rsidR="003B2CE9">
        <w:rPr>
          <w:rFonts w:ascii="ITC Avant Garde" w:eastAsia="Avant Garde" w:hAnsi="ITC Avant Garde" w:cs="Avant Garde"/>
          <w:color w:val="000000"/>
          <w:lang w:eastAsia="es-MX"/>
        </w:rPr>
        <w:t>al considerar</w:t>
      </w:r>
      <w:r>
        <w:rPr>
          <w:rFonts w:ascii="ITC Avant Garde" w:eastAsia="Avant Garde" w:hAnsi="ITC Avant Garde" w:cs="Avant Garde"/>
          <w:color w:val="000000"/>
          <w:lang w:eastAsia="es-MX"/>
        </w:rPr>
        <w:t xml:space="preserve"> </w:t>
      </w:r>
      <w:r w:rsidRPr="0053503B">
        <w:rPr>
          <w:rFonts w:ascii="ITC Avant Garde" w:eastAsia="Avant Garde" w:hAnsi="ITC Avant Garde" w:cs="Avant Garde"/>
          <w:color w:val="000000"/>
          <w:lang w:eastAsia="es-MX"/>
        </w:rPr>
        <w:t xml:space="preserve">que </w:t>
      </w:r>
      <w:r>
        <w:rPr>
          <w:rFonts w:ascii="ITC Avant Garde" w:eastAsia="Avant Garde" w:hAnsi="ITC Avant Garde" w:cs="Avant Garde"/>
          <w:color w:val="000000"/>
          <w:lang w:eastAsia="es-MX"/>
        </w:rPr>
        <w:t xml:space="preserve">la prestación de </w:t>
      </w:r>
      <w:r w:rsidRPr="0053503B">
        <w:rPr>
          <w:rFonts w:ascii="ITC Avant Garde" w:eastAsia="Avant Garde" w:hAnsi="ITC Avant Garde" w:cs="Avant Garde"/>
          <w:color w:val="000000"/>
          <w:lang w:eastAsia="es-MX"/>
        </w:rPr>
        <w:t xml:space="preserve">los servicios de interconexión </w:t>
      </w:r>
      <w:r>
        <w:rPr>
          <w:rFonts w:ascii="ITC Avant Garde" w:eastAsia="Avant Garde" w:hAnsi="ITC Avant Garde" w:cs="Avant Garde"/>
          <w:color w:val="000000"/>
          <w:lang w:eastAsia="es-MX"/>
        </w:rPr>
        <w:t xml:space="preserve">no se verá interrumpida aun cuando </w:t>
      </w:r>
      <w:r>
        <w:rPr>
          <w:rFonts w:ascii="ITC Avant Garde" w:eastAsia="Avant Garde" w:hAnsi="ITC Avant Garde" w:cs="Avant Garde"/>
          <w:color w:val="000000"/>
          <w:lang w:eastAsia="es-MX"/>
        </w:rPr>
        <w:lastRenderedPageBreak/>
        <w:t xml:space="preserve">exista un retraso en el pago de las contraprestaciones correspondientes. </w:t>
      </w:r>
      <w:r w:rsidR="00425316">
        <w:rPr>
          <w:rFonts w:ascii="ITC Avant Garde" w:eastAsia="Avant Garde" w:hAnsi="ITC Avant Garde" w:cs="Avant Garde"/>
          <w:color w:val="000000"/>
          <w:lang w:eastAsia="es-MX"/>
        </w:rPr>
        <w:t>Por lo anterior, se mantiene el numeral en sus términos.</w:t>
      </w:r>
    </w:p>
    <w:p w14:paraId="0A4E43F8" w14:textId="77777777" w:rsidR="00CF2709" w:rsidRDefault="00CF2709" w:rsidP="00E53C1B">
      <w:pPr>
        <w:spacing w:after="0" w:line="276" w:lineRule="auto"/>
        <w:rPr>
          <w:rFonts w:ascii="ITC Avant Garde" w:eastAsia="Avant Garde" w:hAnsi="ITC Avant Garde" w:cs="Avant Garde"/>
          <w:color w:val="000000"/>
          <w:lang w:eastAsia="es-MX"/>
        </w:rPr>
      </w:pPr>
    </w:p>
    <w:p w14:paraId="3D5F1DAD" w14:textId="7FA96E3F" w:rsidR="00E45336" w:rsidRPr="0053503B" w:rsidRDefault="00E45336"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4.4</w:t>
      </w:r>
      <w:r>
        <w:rPr>
          <w:rFonts w:ascii="ITC Avant Garde" w:eastAsia="Avant Garde" w:hAnsi="ITC Avant Garde" w:cs="Avant Garde"/>
          <w:b/>
          <w:color w:val="000000"/>
          <w:lang w:eastAsia="es-MX"/>
        </w:rPr>
        <w:t>.5 Refacturación y ajuste.</w:t>
      </w:r>
    </w:p>
    <w:p w14:paraId="050253BD" w14:textId="303CAD53" w:rsidR="00E45336" w:rsidRPr="0053503B" w:rsidRDefault="00E45336"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r>
        <w:rPr>
          <w:rFonts w:ascii="ITC Avant Garde" w:eastAsia="Avant Garde" w:hAnsi="ITC Avant Garde" w:cs="Avant Garde"/>
          <w:b/>
          <w:color w:val="000000"/>
          <w:lang w:eastAsia="es-MX"/>
        </w:rPr>
        <w:t>, AT&amp;T, TELEVISA</w:t>
      </w:r>
    </w:p>
    <w:p w14:paraId="45C57746" w14:textId="77922FC5" w:rsidR="00E45336" w:rsidRDefault="00E45336" w:rsidP="00E53C1B">
      <w:pPr>
        <w:spacing w:after="0" w:line="276" w:lineRule="auto"/>
        <w:rPr>
          <w:rFonts w:ascii="ITC Avant Garde" w:eastAsia="Avant Garde" w:hAnsi="ITC Avant Garde" w:cs="Avant Garde"/>
          <w:color w:val="000000"/>
          <w:lang w:eastAsia="es-MX"/>
        </w:rPr>
      </w:pPr>
      <w:r w:rsidRPr="00E45336">
        <w:rPr>
          <w:rFonts w:ascii="ITC Avant Garde" w:eastAsia="Avant Garde" w:hAnsi="ITC Avant Garde" w:cs="Avant Garde"/>
          <w:color w:val="000000"/>
          <w:lang w:eastAsia="es-MX"/>
        </w:rPr>
        <w:t>Señalan que se debe incluir un tercer párrafo</w:t>
      </w:r>
      <w:r>
        <w:rPr>
          <w:rFonts w:ascii="ITC Avant Garde" w:eastAsia="Avant Garde" w:hAnsi="ITC Avant Garde" w:cs="Avant Garde"/>
          <w:color w:val="000000"/>
          <w:lang w:eastAsia="es-MX"/>
        </w:rPr>
        <w:t xml:space="preserve"> en el numeral en cuestión, el cual</w:t>
      </w:r>
      <w:r w:rsidRPr="00E45336">
        <w:rPr>
          <w:rFonts w:ascii="ITC Avant Garde" w:eastAsia="Avant Garde" w:hAnsi="ITC Avant Garde" w:cs="Avant Garde"/>
          <w:color w:val="000000"/>
          <w:lang w:eastAsia="es-MX"/>
        </w:rPr>
        <w:t xml:space="preserve"> establezca lo siguiente: </w:t>
      </w:r>
    </w:p>
    <w:p w14:paraId="3E3F9EFD" w14:textId="77777777" w:rsidR="00CF2709" w:rsidRPr="00E45336" w:rsidRDefault="00CF2709" w:rsidP="00E53C1B">
      <w:pPr>
        <w:spacing w:after="0" w:line="276" w:lineRule="auto"/>
        <w:rPr>
          <w:rFonts w:ascii="ITC Avant Garde" w:eastAsia="Avant Garde" w:hAnsi="ITC Avant Garde" w:cs="Avant Garde"/>
          <w:color w:val="000000"/>
          <w:lang w:eastAsia="es-MX"/>
        </w:rPr>
      </w:pPr>
    </w:p>
    <w:p w14:paraId="02CECD10" w14:textId="3BE3C007" w:rsidR="002E33F5" w:rsidRDefault="00E45336" w:rsidP="00E53C1B">
      <w:pPr>
        <w:pStyle w:val="IFT1"/>
        <w:tabs>
          <w:tab w:val="left" w:pos="426"/>
        </w:tabs>
        <w:spacing w:after="0"/>
        <w:ind w:left="567" w:right="616"/>
        <w:rPr>
          <w:bCs/>
          <w:i/>
          <w:sz w:val="18"/>
          <w:szCs w:val="18"/>
        </w:rPr>
      </w:pPr>
      <w:r w:rsidRPr="00DD4E97">
        <w:rPr>
          <w:bCs/>
          <w:i/>
          <w:sz w:val="18"/>
          <w:szCs w:val="18"/>
        </w:rPr>
        <w:t>“En caso de pagos en exceso realizado por la parte receptora no aplicará el pago de i</w:t>
      </w:r>
      <w:r w:rsidR="00DD4E97">
        <w:rPr>
          <w:bCs/>
          <w:i/>
          <w:sz w:val="18"/>
          <w:szCs w:val="18"/>
        </w:rPr>
        <w:t xml:space="preserve">ntereses a que hace referencia </w:t>
      </w:r>
      <w:r w:rsidRPr="00DD4E97">
        <w:rPr>
          <w:bCs/>
          <w:i/>
          <w:sz w:val="18"/>
          <w:szCs w:val="18"/>
        </w:rPr>
        <w:t>el párrafo anterior”</w:t>
      </w:r>
    </w:p>
    <w:p w14:paraId="3BB94172" w14:textId="77777777" w:rsidR="00DD4E97" w:rsidRDefault="00DD4E97" w:rsidP="00E53C1B">
      <w:pPr>
        <w:spacing w:after="0" w:line="276" w:lineRule="auto"/>
        <w:rPr>
          <w:rFonts w:ascii="ITC Avant Garde" w:hAnsi="ITC Avant Garde"/>
          <w:b/>
        </w:rPr>
      </w:pPr>
    </w:p>
    <w:p w14:paraId="6E97429F" w14:textId="41FDABEC" w:rsidR="00DD4E97" w:rsidRPr="0053503B" w:rsidRDefault="00DD4E97"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4CA36333" w14:textId="03F2AEEE" w:rsidR="0098139D" w:rsidRDefault="00CC63E4"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La </w:t>
      </w:r>
      <w:r w:rsidR="00A833C9">
        <w:rPr>
          <w:rFonts w:ascii="ITC Avant Garde" w:eastAsia="Avant Garde" w:hAnsi="ITC Avant Garde" w:cs="Avant Garde"/>
          <w:color w:val="000000"/>
          <w:lang w:eastAsia="es-MX"/>
        </w:rPr>
        <w:t>cláusula en cuestión establece que no se cobrarán intereses por facturas complementarias debido a servicios omitidos</w:t>
      </w:r>
      <w:r w:rsidR="00BF55C1">
        <w:rPr>
          <w:rFonts w:ascii="ITC Avant Garde" w:eastAsia="Avant Garde" w:hAnsi="ITC Avant Garde" w:cs="Avant Garde"/>
          <w:color w:val="000000"/>
          <w:lang w:eastAsia="es-MX"/>
        </w:rPr>
        <w:t xml:space="preserve"> o facturados incorr</w:t>
      </w:r>
      <w:r w:rsidR="00050AA4">
        <w:rPr>
          <w:rFonts w:ascii="ITC Avant Garde" w:eastAsia="Avant Garde" w:hAnsi="ITC Avant Garde" w:cs="Avant Garde"/>
          <w:color w:val="000000"/>
          <w:lang w:eastAsia="es-MX"/>
        </w:rPr>
        <w:t>ectamente</w:t>
      </w:r>
      <w:r w:rsidR="00BF55C1">
        <w:rPr>
          <w:rFonts w:ascii="ITC Avant Garde" w:eastAsia="Avant Garde" w:hAnsi="ITC Avant Garde" w:cs="Avant Garde"/>
          <w:color w:val="000000"/>
          <w:lang w:eastAsia="es-MX"/>
        </w:rPr>
        <w:t xml:space="preserve"> desde la fecha en que debió emitirse la factura y aquella en que la misma sea exigible</w:t>
      </w:r>
      <w:r w:rsidR="0098139D">
        <w:rPr>
          <w:rFonts w:ascii="ITC Avant Garde" w:eastAsia="Avant Garde" w:hAnsi="ITC Avant Garde" w:cs="Avant Garde"/>
          <w:color w:val="000000"/>
          <w:lang w:eastAsia="es-MX"/>
        </w:rPr>
        <w:t>, tal como se muestra a continuación:</w:t>
      </w:r>
    </w:p>
    <w:p w14:paraId="102D9776" w14:textId="77777777" w:rsidR="008024CD" w:rsidRDefault="008024CD" w:rsidP="00E53C1B">
      <w:pPr>
        <w:spacing w:after="0" w:line="276" w:lineRule="auto"/>
        <w:rPr>
          <w:rFonts w:ascii="ITC Avant Garde" w:eastAsia="Avant Garde" w:hAnsi="ITC Avant Garde" w:cs="Avant Garde"/>
          <w:color w:val="000000"/>
          <w:lang w:eastAsia="es-MX"/>
        </w:rPr>
      </w:pPr>
    </w:p>
    <w:p w14:paraId="33218088" w14:textId="79A33C5B" w:rsidR="0098139D" w:rsidRDefault="009C02EB" w:rsidP="00E53C1B">
      <w:pPr>
        <w:pStyle w:val="IFT1"/>
        <w:tabs>
          <w:tab w:val="left" w:pos="426"/>
        </w:tabs>
        <w:spacing w:after="0"/>
        <w:ind w:left="567" w:right="616"/>
        <w:rPr>
          <w:bCs/>
          <w:i/>
          <w:sz w:val="18"/>
          <w:szCs w:val="18"/>
        </w:rPr>
      </w:pPr>
      <w:r>
        <w:rPr>
          <w:bCs/>
          <w:i/>
          <w:sz w:val="18"/>
          <w:szCs w:val="18"/>
        </w:rPr>
        <w:t>“</w:t>
      </w:r>
      <w:r w:rsidR="0098139D" w:rsidRPr="0098139D">
        <w:rPr>
          <w:bCs/>
          <w:i/>
          <w:sz w:val="18"/>
          <w:szCs w:val="18"/>
        </w:rPr>
        <w:t xml:space="preserve">4.4.5. Refacturación y ajustes. No obstante lo dispuesto en los incisos precedentes, la Parte prestadora podrá presentar facturas complementarias por servicios omitidos o incorrectamente facturados, hasta 120 (ciento veinte) días naturales después de la conclusión del ciclo mensual de facturación correspondiente, </w:t>
      </w:r>
      <w:r w:rsidR="0098139D" w:rsidRPr="00050AA4">
        <w:rPr>
          <w:bCs/>
          <w:i/>
          <w:sz w:val="18"/>
          <w:szCs w:val="18"/>
          <w:u w:val="single"/>
        </w:rPr>
        <w:t>en el entendido que los importes amparados por las facturas emitidas en forma extemporánea no devengarán interés alguno durante el tiempo transcurrido entre la fecha en que debió emitirse la factura respectiva y aquélla en que el importe amparado por la misma hubiese sido exigible</w:t>
      </w:r>
      <w:r w:rsidR="0098139D" w:rsidRPr="0098139D">
        <w:rPr>
          <w:bCs/>
          <w:i/>
          <w:sz w:val="18"/>
          <w:szCs w:val="18"/>
        </w:rPr>
        <w:t>.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064F5BEF" w14:textId="7CB43628" w:rsidR="009C02EB" w:rsidRDefault="009C02EB" w:rsidP="00E53C1B">
      <w:pPr>
        <w:pStyle w:val="IFT1"/>
        <w:tabs>
          <w:tab w:val="left" w:pos="426"/>
        </w:tabs>
        <w:spacing w:after="0"/>
        <w:ind w:left="567" w:right="616"/>
        <w:rPr>
          <w:bCs/>
          <w:i/>
          <w:sz w:val="18"/>
          <w:szCs w:val="18"/>
        </w:rPr>
      </w:pPr>
      <w:r>
        <w:rPr>
          <w:bCs/>
          <w:i/>
          <w:sz w:val="18"/>
          <w:szCs w:val="18"/>
        </w:rPr>
        <w:t>(…)”</w:t>
      </w:r>
    </w:p>
    <w:p w14:paraId="04029452" w14:textId="77777777" w:rsidR="009C02EB" w:rsidRPr="00A27F4B" w:rsidRDefault="009C02E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1A81D0CA" w14:textId="77777777" w:rsidR="000121AD" w:rsidRDefault="000121AD" w:rsidP="00E53C1B">
      <w:pPr>
        <w:spacing w:after="0" w:line="276" w:lineRule="auto"/>
        <w:rPr>
          <w:rFonts w:ascii="ITC Avant Garde" w:eastAsia="Avant Garde" w:hAnsi="ITC Avant Garde" w:cs="Avant Garde"/>
          <w:color w:val="000000"/>
          <w:lang w:eastAsia="es-MX"/>
        </w:rPr>
      </w:pPr>
    </w:p>
    <w:p w14:paraId="1650F3D7" w14:textId="69CF2383" w:rsidR="00050AA4" w:rsidRDefault="0031246C"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Por lo anterior, </w:t>
      </w:r>
      <w:r w:rsidR="0040611D">
        <w:rPr>
          <w:rFonts w:ascii="ITC Avant Garde" w:eastAsia="Avant Garde" w:hAnsi="ITC Avant Garde" w:cs="Avant Garde"/>
          <w:color w:val="000000"/>
          <w:lang w:eastAsia="es-MX"/>
        </w:rPr>
        <w:t>no se considera necesaria la modificación propuesta.</w:t>
      </w:r>
    </w:p>
    <w:p w14:paraId="0E929D77" w14:textId="77777777" w:rsidR="000B17A2" w:rsidRPr="00370BFE" w:rsidRDefault="000B17A2" w:rsidP="00E53C1B">
      <w:pPr>
        <w:spacing w:after="0" w:line="276" w:lineRule="auto"/>
        <w:rPr>
          <w:rFonts w:ascii="ITC Avant Garde" w:eastAsia="Avant Garde" w:hAnsi="ITC Avant Garde" w:cs="Avant Garde"/>
          <w:color w:val="000000"/>
          <w:lang w:eastAsia="es-MX"/>
        </w:rPr>
      </w:pPr>
    </w:p>
    <w:p w14:paraId="3FE9C118" w14:textId="77777777" w:rsidR="002B1A2A" w:rsidRPr="002C4823" w:rsidRDefault="002B1A2A" w:rsidP="00E53C1B">
      <w:pPr>
        <w:spacing w:after="0" w:line="276" w:lineRule="auto"/>
        <w:rPr>
          <w:rFonts w:ascii="ITC Avant Garde" w:eastAsia="Avant Garde" w:hAnsi="ITC Avant Garde" w:cs="Avant Garde"/>
          <w:b/>
          <w:color w:val="000000"/>
          <w:sz w:val="24"/>
          <w:u w:val="single"/>
          <w:lang w:eastAsia="es-MX"/>
        </w:rPr>
      </w:pPr>
      <w:r w:rsidRPr="002C4823">
        <w:rPr>
          <w:rFonts w:ascii="ITC Avant Garde" w:eastAsia="Avant Garde" w:hAnsi="ITC Avant Garde" w:cs="Avant Garde"/>
          <w:b/>
          <w:color w:val="000000"/>
          <w:sz w:val="24"/>
          <w:u w:val="single"/>
          <w:lang w:eastAsia="es-MX"/>
        </w:rPr>
        <w:t xml:space="preserve">Cláusula Quinta Aspectos Técnicos </w:t>
      </w:r>
    </w:p>
    <w:p w14:paraId="05A18EBD" w14:textId="7781356C" w:rsidR="002B1A2A" w:rsidRPr="0053503B" w:rsidRDefault="002B1A2A" w:rsidP="00E53C1B">
      <w:pPr>
        <w:tabs>
          <w:tab w:val="left" w:pos="3090"/>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5.2 PDIC y Coubicaciones</w:t>
      </w:r>
    </w:p>
    <w:p w14:paraId="21ED940C" w14:textId="6B3D94C5" w:rsidR="002B1A2A" w:rsidRPr="0053503B" w:rsidRDefault="002B1A2A"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r w:rsidR="00B450E4">
        <w:rPr>
          <w:rFonts w:ascii="ITC Avant Garde" w:eastAsia="Avant Garde" w:hAnsi="ITC Avant Garde" w:cs="Avant Garde"/>
          <w:b/>
          <w:color w:val="000000"/>
          <w:lang w:eastAsia="es-MX"/>
        </w:rPr>
        <w:t>, MEGACABLE</w:t>
      </w:r>
    </w:p>
    <w:p w14:paraId="50F2F196" w14:textId="29AF9B26" w:rsidR="00773F6C" w:rsidRDefault="00773F6C"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Pr="00773F6C">
        <w:rPr>
          <w:rFonts w:ascii="ITC Avant Garde" w:eastAsia="Avant Garde" w:hAnsi="ITC Avant Garde" w:cs="Avant Garde"/>
          <w:color w:val="000000"/>
          <w:lang w:eastAsia="es-MX"/>
        </w:rPr>
        <w:t>olicitan eliminar el siguiente párrafo, ya que establece una limitante a la libre competencia al imponer candados para que una Red fija no pueda realizar tránsito en la Red móvil del AEP:</w:t>
      </w:r>
    </w:p>
    <w:p w14:paraId="50DFCE21" w14:textId="77777777" w:rsidR="000B17A2" w:rsidRPr="00773F6C" w:rsidRDefault="000B17A2" w:rsidP="00E53C1B">
      <w:pPr>
        <w:spacing w:after="0" w:line="276" w:lineRule="auto"/>
        <w:rPr>
          <w:rFonts w:ascii="ITC Avant Garde" w:eastAsia="Avant Garde" w:hAnsi="ITC Avant Garde" w:cs="Avant Garde"/>
          <w:color w:val="000000"/>
          <w:lang w:eastAsia="es-MX"/>
        </w:rPr>
      </w:pPr>
    </w:p>
    <w:p w14:paraId="6F3E699C" w14:textId="77777777" w:rsidR="00773F6C" w:rsidRPr="00B450E4" w:rsidRDefault="00773F6C" w:rsidP="00E53C1B">
      <w:pPr>
        <w:pStyle w:val="IFT1"/>
        <w:tabs>
          <w:tab w:val="left" w:pos="426"/>
        </w:tabs>
        <w:spacing w:after="0"/>
        <w:ind w:left="567" w:right="616"/>
        <w:rPr>
          <w:bCs/>
          <w:i/>
          <w:sz w:val="18"/>
          <w:szCs w:val="18"/>
        </w:rPr>
      </w:pPr>
      <w:r w:rsidRPr="00B450E4">
        <w:rPr>
          <w:bCs/>
          <w:i/>
          <w:sz w:val="18"/>
          <w:szCs w:val="18"/>
        </w:rPr>
        <w:t xml:space="preserve">“A través de los Puntos de Interconexión establecidos en el Acuerdo de Puntos de Interconexión, el CONCESIONARIO podrá entregar tráfico de cualquier origen para su terminación en cualquier destino de la Red Pública de Telecomunicaciones de TELCEL o a través del servicio de Tránsito en las redes con las que TELCEL se encuentre </w:t>
      </w:r>
      <w:r w:rsidRPr="00B450E4">
        <w:rPr>
          <w:bCs/>
          <w:i/>
          <w:sz w:val="18"/>
          <w:szCs w:val="18"/>
        </w:rPr>
        <w:lastRenderedPageBreak/>
        <w:t>interconectado de forma directa y bidireccional, en el entendido que la obligación de TELCEL de prestar el Servicio de Tránsito se tendrá por cumplida en tanto la prestación de dicho servicio se garantice a través de cualquiera de las redes del agente económico preponderante.”</w:t>
      </w:r>
    </w:p>
    <w:p w14:paraId="113B70BC" w14:textId="77777777" w:rsidR="00B450E4" w:rsidRDefault="00B450E4" w:rsidP="00E53C1B">
      <w:pPr>
        <w:spacing w:after="0" w:line="276" w:lineRule="auto"/>
        <w:rPr>
          <w:rFonts w:ascii="ITC Avant Garde" w:hAnsi="ITC Avant Garde"/>
          <w:b/>
        </w:rPr>
      </w:pPr>
    </w:p>
    <w:p w14:paraId="75C35375" w14:textId="61659614" w:rsidR="00B450E4" w:rsidRPr="0053503B" w:rsidRDefault="00B450E4"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443BA9B1" w14:textId="34F3B336" w:rsidR="002B1A2A" w:rsidRDefault="00B450E4"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w:t>
      </w:r>
      <w:r w:rsidRPr="00B450E4">
        <w:rPr>
          <w:rFonts w:ascii="ITC Avant Garde" w:eastAsia="Avant Garde" w:hAnsi="ITC Avant Garde" w:cs="Avant Garde"/>
          <w:color w:val="000000"/>
          <w:lang w:eastAsia="es-MX"/>
        </w:rPr>
        <w:t xml:space="preserve">elimina </w:t>
      </w:r>
      <w:r>
        <w:rPr>
          <w:rFonts w:ascii="ITC Avant Garde" w:eastAsia="Avant Garde" w:hAnsi="ITC Avant Garde" w:cs="Avant Garde"/>
          <w:color w:val="000000"/>
          <w:lang w:eastAsia="es-MX"/>
        </w:rPr>
        <w:t xml:space="preserve">del numeral en cuestión </w:t>
      </w:r>
      <w:r w:rsidRPr="00B450E4">
        <w:rPr>
          <w:rFonts w:ascii="ITC Avant Garde" w:eastAsia="Avant Garde" w:hAnsi="ITC Avant Garde" w:cs="Avant Garde"/>
          <w:color w:val="000000"/>
          <w:lang w:eastAsia="es-MX"/>
        </w:rPr>
        <w:t>la precisión referente a que la obligación de Telcel de prestar el Servicio de Tránsito se tendrá por cumplida en tanto la prestación de dicho servicio se garantice a través de cualquiera de las redes del AEP</w:t>
      </w:r>
      <w:r w:rsidR="00B90511">
        <w:rPr>
          <w:rFonts w:ascii="ITC Avant Garde" w:eastAsia="Avant Garde" w:hAnsi="ITC Avant Garde" w:cs="Avant Garde"/>
          <w:color w:val="000000"/>
          <w:lang w:eastAsia="es-MX"/>
        </w:rPr>
        <w:t>, ya que esta condición no se encuentra contenida en el marco regulatorio vigente. Por lo anterior, se modifica el numeral en cuestión en los siguientes términos:</w:t>
      </w:r>
    </w:p>
    <w:p w14:paraId="042EF5B0" w14:textId="77777777" w:rsidR="000B17A2" w:rsidRDefault="000B17A2" w:rsidP="00E53C1B">
      <w:pPr>
        <w:spacing w:after="0" w:line="276" w:lineRule="auto"/>
        <w:rPr>
          <w:rFonts w:ascii="ITC Avant Garde" w:eastAsia="Avant Garde" w:hAnsi="ITC Avant Garde" w:cs="Avant Garde"/>
          <w:color w:val="000000"/>
          <w:lang w:eastAsia="es-MX"/>
        </w:rPr>
      </w:pPr>
    </w:p>
    <w:p w14:paraId="4443BE0B" w14:textId="77777777" w:rsidR="00B90511" w:rsidRDefault="00B90511" w:rsidP="00E53C1B">
      <w:pPr>
        <w:pStyle w:val="IFT1"/>
        <w:tabs>
          <w:tab w:val="left" w:pos="426"/>
        </w:tabs>
        <w:spacing w:after="0"/>
        <w:ind w:left="567" w:right="616"/>
        <w:rPr>
          <w:bCs/>
          <w:i/>
          <w:sz w:val="18"/>
          <w:szCs w:val="18"/>
        </w:rPr>
      </w:pPr>
      <w:r>
        <w:rPr>
          <w:bCs/>
          <w:i/>
          <w:sz w:val="18"/>
          <w:szCs w:val="18"/>
        </w:rPr>
        <w:t>“(…)</w:t>
      </w:r>
    </w:p>
    <w:p w14:paraId="4A246750" w14:textId="75DE89BA" w:rsidR="00B90511" w:rsidRDefault="00B90511" w:rsidP="00E53C1B">
      <w:pPr>
        <w:pStyle w:val="IFT1"/>
        <w:tabs>
          <w:tab w:val="left" w:pos="426"/>
        </w:tabs>
        <w:spacing w:after="0"/>
        <w:ind w:left="567" w:right="616"/>
        <w:rPr>
          <w:bCs/>
          <w:i/>
          <w:sz w:val="18"/>
          <w:szCs w:val="18"/>
        </w:rPr>
      </w:pPr>
      <w:r w:rsidRPr="00B90511">
        <w:rPr>
          <w:bCs/>
          <w:i/>
          <w:sz w:val="18"/>
          <w:szCs w:val="18"/>
        </w:rPr>
        <w:t>A través de los Puntos de Interconexión establecidos en el Acuerdo de Puntos de Interconexión, el CONCESIONARIO podrá entregar tráfico de cualquier origen para su terminación en cualquier destino de la Red Pública de Telecomunicaciones de TELCEL o a través del servicio de Tránsito en las redes con las que TELCEL se encuentre interconectado de forma directa y bidireccional</w:t>
      </w:r>
      <w:r w:rsidRPr="00B90511">
        <w:rPr>
          <w:bCs/>
          <w:i/>
          <w:strike/>
          <w:sz w:val="18"/>
          <w:szCs w:val="18"/>
        </w:rPr>
        <w:t>, en el entendido que la obligación de TELCEL de prestar el Servicio de Tránsito se tendrá por cumplida en tanto la prestación de dicho servicio se garantice a través de cualquiera de las redes del Agente Económico Preponderante</w:t>
      </w:r>
      <w:r w:rsidRPr="00B90511">
        <w:rPr>
          <w:bCs/>
          <w:i/>
          <w:sz w:val="18"/>
          <w:szCs w:val="18"/>
        </w:rPr>
        <w:t>.</w:t>
      </w:r>
    </w:p>
    <w:p w14:paraId="7556ADB0" w14:textId="4EDB0286" w:rsidR="00B90511" w:rsidRDefault="00B90511" w:rsidP="00E53C1B">
      <w:pPr>
        <w:pStyle w:val="IFT1"/>
        <w:tabs>
          <w:tab w:val="left" w:pos="426"/>
        </w:tabs>
        <w:spacing w:after="0"/>
        <w:ind w:left="567" w:right="616"/>
        <w:rPr>
          <w:bCs/>
          <w:i/>
          <w:sz w:val="18"/>
          <w:szCs w:val="18"/>
        </w:rPr>
      </w:pPr>
      <w:r>
        <w:rPr>
          <w:bCs/>
          <w:i/>
          <w:sz w:val="18"/>
          <w:szCs w:val="18"/>
        </w:rPr>
        <w:t>(…)”</w:t>
      </w:r>
    </w:p>
    <w:p w14:paraId="72BFD4A4" w14:textId="4B030270" w:rsidR="00B90511" w:rsidRDefault="00B90511"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D8155C8" w14:textId="77777777" w:rsidR="008100D6" w:rsidRPr="00A27F4B" w:rsidRDefault="008100D6" w:rsidP="00E53C1B">
      <w:pPr>
        <w:spacing w:after="0" w:line="276" w:lineRule="auto"/>
        <w:ind w:left="567" w:right="616" w:hanging="11"/>
        <w:jc w:val="right"/>
        <w:rPr>
          <w:rFonts w:ascii="ITC Avant Garde" w:hAnsi="ITC Avant Garde"/>
          <w:sz w:val="18"/>
          <w:szCs w:val="18"/>
        </w:rPr>
      </w:pPr>
    </w:p>
    <w:p w14:paraId="50DBA2A5" w14:textId="77777777" w:rsidR="008100D6" w:rsidRPr="0053503B" w:rsidRDefault="008100D6"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 xml:space="preserve">5.4 Puertos de Acceso y Señalización y </w:t>
      </w:r>
      <w:r w:rsidRPr="008100D6">
        <w:rPr>
          <w:rFonts w:ascii="ITC Avant Garde" w:eastAsia="Avant Garde" w:hAnsi="ITC Avant Garde" w:cs="Avant Garde"/>
          <w:b/>
          <w:color w:val="000000"/>
          <w:lang w:eastAsia="es-MX"/>
        </w:rPr>
        <w:t>Anexo B. Precios y Tarifas.</w:t>
      </w:r>
    </w:p>
    <w:p w14:paraId="14FB77F9" w14:textId="77777777" w:rsidR="008100D6" w:rsidRPr="0053503B" w:rsidRDefault="008100D6"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0E3651BE" w14:textId="189416F7" w:rsidR="008100D6" w:rsidRDefault="008100D6" w:rsidP="00E53C1B">
      <w:pPr>
        <w:spacing w:after="0"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Solicitan que el numeral en cuestión señale que los puertos de interconexión </w:t>
      </w:r>
      <w:r>
        <w:rPr>
          <w:rFonts w:ascii="ITC Avant Garde" w:eastAsia="Avant Garde" w:hAnsi="ITC Avant Garde" w:cs="Avant Garde"/>
          <w:color w:val="000000"/>
          <w:lang w:eastAsia="es-MX"/>
        </w:rPr>
        <w:t>no tendrán</w:t>
      </w:r>
      <w:r w:rsidRPr="0053503B">
        <w:rPr>
          <w:rFonts w:ascii="ITC Avant Garde" w:eastAsia="Avant Garde" w:hAnsi="ITC Avant Garde" w:cs="Avant Garde"/>
          <w:color w:val="000000"/>
          <w:lang w:eastAsia="es-MX"/>
        </w:rPr>
        <w:t xml:space="preserve"> costo o bien, que el precio establecido ya incluye el </w:t>
      </w:r>
      <w:r>
        <w:rPr>
          <w:rFonts w:ascii="ITC Avant Garde" w:eastAsia="Avant Garde" w:hAnsi="ITC Avant Garde" w:cs="Avant Garde"/>
          <w:color w:val="000000"/>
          <w:lang w:eastAsia="es-MX"/>
        </w:rPr>
        <w:t>costo del mismo</w:t>
      </w:r>
      <w:r w:rsidRPr="0053503B">
        <w:rPr>
          <w:rFonts w:ascii="ITC Avant Garde" w:eastAsia="Avant Garde" w:hAnsi="ITC Avant Garde" w:cs="Avant Garde"/>
          <w:color w:val="000000"/>
          <w:lang w:eastAsia="es-MX"/>
        </w:rPr>
        <w:t>.</w:t>
      </w:r>
    </w:p>
    <w:p w14:paraId="0441B3C9" w14:textId="77777777" w:rsidR="000B17A2" w:rsidRPr="0053503B" w:rsidRDefault="000B17A2" w:rsidP="00E53C1B">
      <w:pPr>
        <w:spacing w:after="0" w:line="276" w:lineRule="auto"/>
        <w:rPr>
          <w:rFonts w:ascii="ITC Avant Garde" w:eastAsia="Avant Garde" w:hAnsi="ITC Avant Garde" w:cs="Avant Garde"/>
          <w:color w:val="000000"/>
          <w:lang w:eastAsia="es-MX"/>
        </w:rPr>
      </w:pPr>
    </w:p>
    <w:p w14:paraId="54EAA809" w14:textId="77777777" w:rsidR="008100D6" w:rsidRPr="0053503B" w:rsidRDefault="008100D6"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493D3C15" w14:textId="679AE661" w:rsidR="008100D6" w:rsidRDefault="008100D6"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w:t>
      </w:r>
      <w:r w:rsidRPr="0053503B">
        <w:rPr>
          <w:rFonts w:ascii="ITC Avant Garde" w:eastAsia="Avant Garde" w:hAnsi="ITC Avant Garde" w:cs="Avant Garde"/>
          <w:color w:val="000000"/>
          <w:lang w:eastAsia="es-MX"/>
        </w:rPr>
        <w:t xml:space="preserve"> el numeral en cuestión </w:t>
      </w:r>
      <w:r>
        <w:rPr>
          <w:rFonts w:ascii="ITC Avant Garde" w:eastAsia="Avant Garde" w:hAnsi="ITC Avant Garde" w:cs="Avant Garde"/>
          <w:color w:val="000000"/>
          <w:lang w:eastAsia="es-MX"/>
        </w:rPr>
        <w:t xml:space="preserve">se </w:t>
      </w:r>
      <w:r w:rsidRPr="0053503B">
        <w:rPr>
          <w:rFonts w:ascii="ITC Avant Garde" w:eastAsia="Avant Garde" w:hAnsi="ITC Avant Garde" w:cs="Avant Garde"/>
          <w:color w:val="000000"/>
          <w:lang w:eastAsia="es-MX"/>
        </w:rPr>
        <w:t>establece que el costo del puerto está incluid</w:t>
      </w:r>
      <w:r>
        <w:rPr>
          <w:rFonts w:ascii="ITC Avant Garde" w:eastAsia="Avant Garde" w:hAnsi="ITC Avant Garde" w:cs="Avant Garde"/>
          <w:color w:val="000000"/>
          <w:lang w:eastAsia="es-MX"/>
        </w:rPr>
        <w:t>o en la tarifa de interconexión, tal como se muestra a continuación:</w:t>
      </w:r>
    </w:p>
    <w:p w14:paraId="3C851891" w14:textId="77777777" w:rsidR="000B17A2" w:rsidRDefault="000B17A2" w:rsidP="00E53C1B">
      <w:pPr>
        <w:spacing w:after="0" w:line="276" w:lineRule="auto"/>
        <w:rPr>
          <w:rFonts w:ascii="ITC Avant Garde" w:eastAsia="Avant Garde" w:hAnsi="ITC Avant Garde" w:cs="Avant Garde"/>
          <w:color w:val="000000"/>
          <w:lang w:eastAsia="es-MX"/>
        </w:rPr>
      </w:pPr>
    </w:p>
    <w:p w14:paraId="267EECB9" w14:textId="77777777" w:rsidR="008100D6" w:rsidRDefault="008100D6"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7B120F9F" w14:textId="77777777" w:rsidR="008100D6" w:rsidRDefault="008100D6" w:rsidP="00E53C1B">
      <w:pPr>
        <w:spacing w:after="0" w:line="276" w:lineRule="auto"/>
        <w:ind w:left="567" w:right="616" w:hanging="11"/>
        <w:rPr>
          <w:rFonts w:ascii="ITC Avant Garde" w:hAnsi="ITC Avant Garde"/>
          <w:i/>
          <w:sz w:val="18"/>
          <w:szCs w:val="18"/>
        </w:rPr>
      </w:pPr>
      <w:r w:rsidRPr="00AF502C">
        <w:rPr>
          <w:rFonts w:ascii="ITC Avant Garde" w:hAnsi="ITC Avant Garde"/>
          <w:i/>
          <w:sz w:val="18"/>
          <w:szCs w:val="18"/>
        </w:rPr>
        <w:t>Los Puertos de Acceso no generarán un costo adicional, pues éste ya está incluido en la tarifa de los Servicios Conmutados de Interconexión.</w:t>
      </w:r>
    </w:p>
    <w:p w14:paraId="4D36D129" w14:textId="5374BF68" w:rsidR="008100D6" w:rsidRPr="00AF502C" w:rsidRDefault="008100D6" w:rsidP="00E53C1B">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4796A701" w14:textId="40DFD458" w:rsidR="00B450E4" w:rsidRDefault="00B450E4" w:rsidP="00E53C1B">
      <w:pPr>
        <w:spacing w:after="0" w:line="276" w:lineRule="auto"/>
        <w:rPr>
          <w:rFonts w:ascii="ITC Avant Garde" w:eastAsia="Avant Garde" w:hAnsi="ITC Avant Garde" w:cs="Avant Garde"/>
          <w:color w:val="000000"/>
          <w:lang w:eastAsia="es-MX"/>
        </w:rPr>
      </w:pPr>
    </w:p>
    <w:p w14:paraId="65E20C75" w14:textId="3F139FA6" w:rsidR="008100D6" w:rsidRDefault="008100D6"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Por lo anterior, </w:t>
      </w:r>
      <w:r w:rsidR="0040611D">
        <w:rPr>
          <w:rFonts w:ascii="ITC Avant Garde" w:eastAsia="Avant Garde" w:hAnsi="ITC Avant Garde" w:cs="Avant Garde"/>
          <w:color w:val="000000"/>
          <w:lang w:eastAsia="es-MX"/>
        </w:rPr>
        <w:t>no se considera necesaria la precisión solicitada</w:t>
      </w:r>
      <w:r>
        <w:rPr>
          <w:rFonts w:ascii="ITC Avant Garde" w:eastAsia="Avant Garde" w:hAnsi="ITC Avant Garde" w:cs="Avant Garde"/>
          <w:color w:val="000000"/>
          <w:lang w:eastAsia="es-MX"/>
        </w:rPr>
        <w:t>.</w:t>
      </w:r>
    </w:p>
    <w:p w14:paraId="451195F5" w14:textId="77777777" w:rsidR="000B17A2" w:rsidRDefault="000B17A2" w:rsidP="00E53C1B">
      <w:pPr>
        <w:spacing w:after="0" w:line="276" w:lineRule="auto"/>
        <w:rPr>
          <w:rFonts w:ascii="ITC Avant Garde" w:eastAsia="Avant Garde" w:hAnsi="ITC Avant Garde" w:cs="Avant Garde"/>
          <w:color w:val="000000"/>
          <w:lang w:eastAsia="es-MX"/>
        </w:rPr>
      </w:pPr>
    </w:p>
    <w:p w14:paraId="65E7C5F7" w14:textId="77777777" w:rsidR="00B04FBA" w:rsidRPr="0053503B" w:rsidRDefault="00B04FBA"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5.6 Tránsito</w:t>
      </w:r>
    </w:p>
    <w:p w14:paraId="07A28E58" w14:textId="77777777" w:rsidR="00B04FBA" w:rsidRPr="0053503B" w:rsidRDefault="00B04FBA"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023B71E1" w14:textId="4EB2ABD9" w:rsidR="00B04FBA" w:rsidRDefault="00B04FBA" w:rsidP="00E53C1B">
      <w:pPr>
        <w:spacing w:after="0"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lastRenderedPageBreak/>
        <w:t>Con el fin de que el servicio de tránsito se preste en las mejores condiciones de calidad y que se garantice la continuidad de los servicios, proponen adicionar la siguiente condición:</w:t>
      </w:r>
    </w:p>
    <w:p w14:paraId="3777877D" w14:textId="77777777" w:rsidR="000B17A2" w:rsidRPr="0053503B" w:rsidRDefault="000B17A2" w:rsidP="00E53C1B">
      <w:pPr>
        <w:spacing w:after="0" w:line="276" w:lineRule="auto"/>
        <w:rPr>
          <w:rFonts w:ascii="ITC Avant Garde" w:eastAsia="Avant Garde" w:hAnsi="ITC Avant Garde" w:cs="Avant Garde"/>
          <w:color w:val="000000"/>
          <w:lang w:eastAsia="es-MX"/>
        </w:rPr>
      </w:pPr>
    </w:p>
    <w:p w14:paraId="3D8C8926" w14:textId="77777777" w:rsidR="00B04FBA" w:rsidRPr="00782C23" w:rsidRDefault="00B04FBA" w:rsidP="00E53C1B">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“…Sin excepción alguna, todo el tráfico que se entregue en cualquier Punto de Interconexión de TELCEL para el Servicio de Tránsito, deberá ser llevado por TELCEL hasta el Punto de Interconexión del otro concesionario, más cercano al destino de la llamada…”</w:t>
      </w:r>
    </w:p>
    <w:p w14:paraId="53764A6D" w14:textId="77777777" w:rsidR="00B04FBA" w:rsidRPr="0053503B" w:rsidRDefault="00B04FBA" w:rsidP="00E53C1B">
      <w:pPr>
        <w:spacing w:after="0" w:line="276" w:lineRule="auto"/>
        <w:rPr>
          <w:rFonts w:ascii="ITC Avant Garde" w:eastAsia="Times New Roman" w:hAnsi="ITC Avant Garde" w:cs="Arial"/>
          <w:color w:val="000000"/>
          <w:sz w:val="16"/>
          <w:szCs w:val="16"/>
          <w:lang w:eastAsia="es-MX"/>
        </w:rPr>
      </w:pPr>
    </w:p>
    <w:p w14:paraId="7C121D59" w14:textId="77777777" w:rsidR="00B04FBA" w:rsidRPr="0053503B" w:rsidRDefault="00B04FBA"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6112731A" w14:textId="265D99DD" w:rsidR="00B04FBA" w:rsidRDefault="00B04FBA"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El </w:t>
      </w:r>
      <w:r w:rsidR="00A1382B" w:rsidRPr="00E8153B">
        <w:rPr>
          <w:rFonts w:ascii="ITC Avant Garde" w:eastAsia="Avant Garde" w:hAnsi="ITC Avant Garde" w:cs="Avant Garde"/>
          <w:color w:val="000000"/>
          <w:lang w:eastAsia="es-MX"/>
        </w:rPr>
        <w:t>Acuerdo de CTM</w:t>
      </w:r>
      <w:r w:rsidR="00A1382B">
        <w:rPr>
          <w:rStyle w:val="Refdenotaalpie"/>
          <w:rFonts w:ascii="ITC Avant Garde" w:eastAsia="Avant Garde" w:hAnsi="ITC Avant Garde" w:cs="Avant Garde"/>
          <w:color w:val="000000"/>
          <w:lang w:eastAsia="es-MX"/>
        </w:rPr>
        <w:footnoteReference w:id="6"/>
      </w:r>
      <w:r>
        <w:rPr>
          <w:rFonts w:ascii="ITC Avant Garde" w:eastAsia="Avant Garde" w:hAnsi="ITC Avant Garde" w:cs="Avant Garde"/>
          <w:color w:val="000000"/>
          <w:lang w:eastAsia="es-MX"/>
        </w:rPr>
        <w:t xml:space="preserve"> establece que, a </w:t>
      </w:r>
      <w:r w:rsidRPr="00F413E3">
        <w:rPr>
          <w:rFonts w:ascii="ITC Avant Garde" w:eastAsia="Avant Garde" w:hAnsi="ITC Avant Garde" w:cs="Avant Garde"/>
          <w:color w:val="000000"/>
          <w:lang w:eastAsia="es-MX"/>
        </w:rPr>
        <w:t>elección del Concesionario Solicitante</w:t>
      </w:r>
      <w:r>
        <w:rPr>
          <w:rFonts w:ascii="ITC Avant Garde" w:eastAsia="Avant Garde" w:hAnsi="ITC Avant Garde" w:cs="Avant Garde"/>
          <w:color w:val="000000"/>
          <w:lang w:eastAsia="es-MX"/>
        </w:rPr>
        <w:t>,</w:t>
      </w:r>
      <w:r w:rsidRPr="00F413E3">
        <w:rPr>
          <w:rFonts w:ascii="ITC Avant Garde" w:eastAsia="Avant Garde" w:hAnsi="ITC Avant Garde" w:cs="Avant Garde"/>
          <w:color w:val="000000"/>
          <w:lang w:eastAsia="es-MX"/>
        </w:rPr>
        <w:t xml:space="preserve"> los puertos de acceso y los enlaces de transmisión permitirán el intercambio de tráfico de cualquier origen o destino dentro del territor</w:t>
      </w:r>
      <w:r>
        <w:rPr>
          <w:rFonts w:ascii="ITC Avant Garde" w:eastAsia="Avant Garde" w:hAnsi="ITC Avant Garde" w:cs="Avant Garde"/>
          <w:color w:val="000000"/>
          <w:lang w:eastAsia="es-MX"/>
        </w:rPr>
        <w:t>io nacional, tal como se muestra a continuación:</w:t>
      </w:r>
    </w:p>
    <w:p w14:paraId="6FE46D5A" w14:textId="77777777" w:rsidR="00D67CB6" w:rsidRPr="00F413E3" w:rsidRDefault="00D67CB6" w:rsidP="00E53C1B">
      <w:pPr>
        <w:spacing w:after="0" w:line="276" w:lineRule="auto"/>
        <w:rPr>
          <w:rFonts w:ascii="ITC Avant Garde" w:eastAsia="Avant Garde" w:hAnsi="ITC Avant Garde" w:cs="Avant Garde"/>
          <w:color w:val="000000"/>
          <w:lang w:eastAsia="es-MX"/>
        </w:rPr>
      </w:pPr>
    </w:p>
    <w:p w14:paraId="472FB280" w14:textId="30FDE9EE" w:rsidR="00B04FBA" w:rsidRPr="00782C23" w:rsidRDefault="00B04FBA" w:rsidP="00E53C1B">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 “</w:t>
      </w:r>
      <w:proofErr w:type="gramStart"/>
      <w:r w:rsidRPr="00782C23">
        <w:rPr>
          <w:rFonts w:ascii="ITC Avant Garde" w:hAnsi="ITC Avant Garde"/>
          <w:i/>
          <w:sz w:val="18"/>
          <w:szCs w:val="18"/>
        </w:rPr>
        <w:t>CUARTA.-</w:t>
      </w:r>
      <w:proofErr w:type="gramEnd"/>
      <w:r w:rsidRPr="00782C23">
        <w:rPr>
          <w:rFonts w:ascii="ITC Avant Garde" w:hAnsi="ITC Avant Garde"/>
          <w:i/>
          <w:sz w:val="18"/>
          <w:szCs w:val="18"/>
        </w:rPr>
        <w:t xml:space="preserve"> 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w:t>
      </w:r>
      <w:r w:rsidRPr="00782C23">
        <w:rPr>
          <w:rFonts w:ascii="ITC Avant Garde" w:hAnsi="ITC Avant Garde"/>
          <w:i/>
          <w:sz w:val="18"/>
          <w:szCs w:val="18"/>
          <w:u w:val="single"/>
        </w:rPr>
        <w:t>se permitirá el intercambio de tráfico de cualquier origen o destino dentro del territorio nacional</w:t>
      </w:r>
      <w:r w:rsidRPr="00782C23">
        <w:rPr>
          <w:rFonts w:ascii="ITC Avant Garde" w:hAnsi="ITC Avant Garde"/>
          <w:i/>
          <w:sz w:val="18"/>
          <w:szCs w:val="18"/>
        </w:rPr>
        <w:t>, así como de cualquier tipo (local, entre localidades, tránsito, móvil, fijo).</w:t>
      </w:r>
    </w:p>
    <w:p w14:paraId="0BDFC2E7" w14:textId="77777777" w:rsidR="00B04FBA" w:rsidRPr="00782C23" w:rsidRDefault="00B04FBA" w:rsidP="00E53C1B">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p>
    <w:p w14:paraId="72FBFD47" w14:textId="77777777" w:rsidR="00B04FBA" w:rsidRDefault="00B04FBA"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3D43805" w14:textId="77777777" w:rsidR="00B04FBA" w:rsidRPr="0053503B" w:rsidRDefault="00B04FBA" w:rsidP="00E53C1B">
      <w:pPr>
        <w:spacing w:after="0" w:line="276" w:lineRule="auto"/>
        <w:ind w:left="567" w:right="616" w:hanging="11"/>
        <w:rPr>
          <w:rFonts w:ascii="ITC Avant Garde" w:hAnsi="ITC Avant Garde"/>
          <w:i/>
          <w:sz w:val="20"/>
          <w:szCs w:val="20"/>
        </w:rPr>
      </w:pPr>
    </w:p>
    <w:p w14:paraId="3F75EC1C" w14:textId="71FE3835" w:rsidR="00B04FBA" w:rsidRDefault="001D685A"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Por lo anterior, </w:t>
      </w:r>
      <w:r w:rsidR="0040611D">
        <w:rPr>
          <w:rFonts w:ascii="ITC Avant Garde" w:eastAsia="Avant Garde" w:hAnsi="ITC Avant Garde" w:cs="Avant Garde"/>
          <w:color w:val="000000"/>
          <w:lang w:eastAsia="es-MX"/>
        </w:rPr>
        <w:t>no se considera necesaria la adición propuesta.</w:t>
      </w:r>
    </w:p>
    <w:p w14:paraId="32B89982" w14:textId="77777777" w:rsidR="00D67CB6" w:rsidRDefault="00D67CB6" w:rsidP="00E53C1B">
      <w:pPr>
        <w:spacing w:after="0" w:line="276" w:lineRule="auto"/>
        <w:rPr>
          <w:rFonts w:ascii="ITC Avant Garde" w:eastAsia="Avant Garde" w:hAnsi="ITC Avant Garde" w:cs="Avant Garde"/>
          <w:color w:val="000000"/>
          <w:lang w:eastAsia="es-MX"/>
        </w:rPr>
      </w:pPr>
    </w:p>
    <w:p w14:paraId="2FCF3FCC" w14:textId="0BC4F568" w:rsidR="00573DE8" w:rsidRDefault="00573DE8" w:rsidP="00E53C1B">
      <w:pPr>
        <w:spacing w:after="0" w:line="276" w:lineRule="auto"/>
        <w:rPr>
          <w:rFonts w:ascii="ITC Avant Garde" w:eastAsia="Avant Garde" w:hAnsi="ITC Avant Garde" w:cs="Avant Garde"/>
          <w:b/>
          <w:color w:val="000000"/>
          <w:sz w:val="24"/>
          <w:u w:val="single"/>
          <w:lang w:eastAsia="es-MX"/>
        </w:rPr>
      </w:pPr>
      <w:r w:rsidRPr="00E37612">
        <w:rPr>
          <w:rFonts w:ascii="ITC Avant Garde" w:eastAsia="Avant Garde" w:hAnsi="ITC Avant Garde" w:cs="Avant Garde"/>
          <w:b/>
          <w:color w:val="000000"/>
          <w:sz w:val="24"/>
          <w:u w:val="single"/>
          <w:lang w:eastAsia="es-MX"/>
        </w:rPr>
        <w:t>Anexo A. Acuerdos Técnicos</w:t>
      </w:r>
    </w:p>
    <w:p w14:paraId="1B1FBBFA" w14:textId="6A5E6C6D" w:rsidR="00573DE8" w:rsidRPr="0053503B" w:rsidRDefault="00573DE8"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A.2 Protocolo de Señalización.</w:t>
      </w:r>
    </w:p>
    <w:p w14:paraId="21D7D63C" w14:textId="77777777" w:rsidR="00573DE8" w:rsidRDefault="00573DE8"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70429269" w14:textId="7A95E55E" w:rsidR="00573DE8" w:rsidRDefault="00573DE8"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no todos los equip</w:t>
      </w:r>
      <w:r w:rsidR="004F2448">
        <w:rPr>
          <w:rFonts w:ascii="ITC Avant Garde" w:eastAsia="Avant Garde" w:hAnsi="ITC Avant Garde" w:cs="Avant Garde"/>
          <w:color w:val="000000"/>
          <w:lang w:eastAsia="es-MX"/>
        </w:rPr>
        <w:t>os</w:t>
      </w:r>
      <w:r>
        <w:rPr>
          <w:rFonts w:ascii="ITC Avant Garde" w:eastAsia="Avant Garde" w:hAnsi="ITC Avant Garde" w:cs="Avant Garde"/>
          <w:color w:val="000000"/>
          <w:lang w:eastAsia="es-MX"/>
        </w:rPr>
        <w:t xml:space="preserve"> soportan IPv6, por lo cual la utilización de IPv4 y/o IPv6 deberá ser de común acuerdo entre las partes. Asimismo, señala que se deben </w:t>
      </w:r>
      <w:r w:rsidR="004F2448">
        <w:rPr>
          <w:rFonts w:ascii="ITC Avant Garde" w:eastAsia="Avant Garde" w:hAnsi="ITC Avant Garde" w:cs="Avant Garde"/>
          <w:color w:val="000000"/>
          <w:lang w:eastAsia="es-MX"/>
        </w:rPr>
        <w:t>considerar los</w:t>
      </w:r>
      <w:r>
        <w:rPr>
          <w:rFonts w:ascii="ITC Avant Garde" w:eastAsia="Avant Garde" w:hAnsi="ITC Avant Garde" w:cs="Avant Garde"/>
          <w:color w:val="000000"/>
          <w:lang w:eastAsia="es-MX"/>
        </w:rPr>
        <w:t xml:space="preserve"> RFC (</w:t>
      </w:r>
      <w:proofErr w:type="spellStart"/>
      <w:r w:rsidRPr="004F2448">
        <w:rPr>
          <w:rFonts w:ascii="ITC Avant Garde" w:eastAsia="Avant Garde" w:hAnsi="ITC Avant Garde" w:cs="Avant Garde"/>
          <w:i/>
          <w:color w:val="000000"/>
          <w:lang w:eastAsia="es-MX"/>
        </w:rPr>
        <w:t>Request</w:t>
      </w:r>
      <w:proofErr w:type="spellEnd"/>
      <w:r w:rsidRPr="004F2448">
        <w:rPr>
          <w:rFonts w:ascii="ITC Avant Garde" w:eastAsia="Avant Garde" w:hAnsi="ITC Avant Garde" w:cs="Avant Garde"/>
          <w:i/>
          <w:color w:val="000000"/>
          <w:lang w:eastAsia="es-MX"/>
        </w:rPr>
        <w:t xml:space="preserve"> </w:t>
      </w:r>
      <w:proofErr w:type="spellStart"/>
      <w:r w:rsidRPr="004F2448">
        <w:rPr>
          <w:rFonts w:ascii="ITC Avant Garde" w:eastAsia="Avant Garde" w:hAnsi="ITC Avant Garde" w:cs="Avant Garde"/>
          <w:i/>
          <w:color w:val="000000"/>
          <w:lang w:eastAsia="es-MX"/>
        </w:rPr>
        <w:t>for</w:t>
      </w:r>
      <w:proofErr w:type="spellEnd"/>
      <w:r w:rsidRPr="004F2448">
        <w:rPr>
          <w:rFonts w:ascii="ITC Avant Garde" w:eastAsia="Avant Garde" w:hAnsi="ITC Avant Garde" w:cs="Avant Garde"/>
          <w:i/>
          <w:color w:val="000000"/>
          <w:lang w:eastAsia="es-MX"/>
        </w:rPr>
        <w:t xml:space="preserve"> </w:t>
      </w:r>
      <w:proofErr w:type="spellStart"/>
      <w:r w:rsidRPr="004F2448">
        <w:rPr>
          <w:rFonts w:ascii="ITC Avant Garde" w:eastAsia="Avant Garde" w:hAnsi="ITC Avant Garde" w:cs="Avant Garde"/>
          <w:i/>
          <w:color w:val="000000"/>
          <w:lang w:eastAsia="es-MX"/>
        </w:rPr>
        <w:t>Comments</w:t>
      </w:r>
      <w:proofErr w:type="spellEnd"/>
      <w:r>
        <w:rPr>
          <w:rFonts w:ascii="ITC Avant Garde" w:eastAsia="Avant Garde" w:hAnsi="ITC Avant Garde" w:cs="Avant Garde"/>
          <w:color w:val="000000"/>
          <w:lang w:eastAsia="es-MX"/>
        </w:rPr>
        <w:t>) 4028, 3323, 3325, 3326, 4566 y 5009.</w:t>
      </w:r>
    </w:p>
    <w:p w14:paraId="638D46AD" w14:textId="77777777" w:rsidR="004F3406" w:rsidRPr="0053503B" w:rsidRDefault="004F3406" w:rsidP="00E53C1B">
      <w:pPr>
        <w:spacing w:after="0" w:line="276" w:lineRule="auto"/>
        <w:rPr>
          <w:rFonts w:ascii="ITC Avant Garde" w:eastAsia="Avant Garde" w:hAnsi="ITC Avant Garde" w:cs="Avant Garde"/>
          <w:b/>
          <w:color w:val="000000"/>
          <w:lang w:eastAsia="es-MX"/>
        </w:rPr>
      </w:pPr>
    </w:p>
    <w:p w14:paraId="44F7C573" w14:textId="77777777" w:rsidR="00573DE8" w:rsidRPr="0053503B" w:rsidRDefault="00573DE8"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080B447D" w14:textId="7AB5987D" w:rsidR="004F2448" w:rsidRDefault="004F2448"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Al respecto, se señala</w:t>
      </w:r>
      <w:r w:rsidR="00E8153B">
        <w:rPr>
          <w:rFonts w:ascii="ITC Avant Garde" w:eastAsia="Avant Garde" w:hAnsi="ITC Avant Garde" w:cs="Avant Garde"/>
          <w:color w:val="000000"/>
          <w:lang w:eastAsia="es-MX"/>
        </w:rPr>
        <w:t xml:space="preserve"> que </w:t>
      </w:r>
      <w:r w:rsidR="0040611D">
        <w:rPr>
          <w:rFonts w:ascii="ITC Avant Garde" w:eastAsia="Avant Garde" w:hAnsi="ITC Avant Garde" w:cs="Avant Garde"/>
          <w:color w:val="000000"/>
          <w:lang w:eastAsia="es-MX"/>
        </w:rPr>
        <w:t>la utilización de IPv6 o IPv4 se encuentra</w:t>
      </w:r>
      <w:r w:rsidR="00E8153B">
        <w:rPr>
          <w:rFonts w:ascii="ITC Avant Garde" w:eastAsia="Avant Garde" w:hAnsi="ITC Avant Garde" w:cs="Avant Garde"/>
          <w:color w:val="000000"/>
          <w:lang w:eastAsia="es-MX"/>
        </w:rPr>
        <w:t xml:space="preserve"> fuera del alcance de la consulta pública ya que los mismos están definidos en el</w:t>
      </w:r>
      <w:r w:rsidR="00A1382B">
        <w:rPr>
          <w:rFonts w:ascii="ITC Avant Garde" w:eastAsia="Avant Garde" w:hAnsi="ITC Avant Garde" w:cs="Avant Garde"/>
          <w:color w:val="000000"/>
          <w:lang w:eastAsia="es-MX"/>
        </w:rPr>
        <w:t xml:space="preserve"> </w:t>
      </w:r>
      <w:r w:rsidR="00A1382B" w:rsidRPr="00E8153B">
        <w:rPr>
          <w:rFonts w:ascii="ITC Avant Garde" w:eastAsia="Avant Garde" w:hAnsi="ITC Avant Garde" w:cs="Avant Garde"/>
          <w:color w:val="000000"/>
          <w:lang w:eastAsia="es-MX"/>
        </w:rPr>
        <w:t>Acuerdo de CTM</w:t>
      </w:r>
      <w:r w:rsidR="00E8153B">
        <w:rPr>
          <w:rFonts w:ascii="ITC Avant Garde" w:eastAsia="Avant Garde" w:hAnsi="ITC Avant Garde" w:cs="Avant Garde"/>
          <w:color w:val="000000"/>
          <w:lang w:eastAsia="es-MX"/>
        </w:rPr>
        <w:t>, en el cual</w:t>
      </w:r>
      <w:r>
        <w:rPr>
          <w:rFonts w:ascii="ITC Avant Garde" w:eastAsia="Avant Garde" w:hAnsi="ITC Avant Garde" w:cs="Avant Garde"/>
          <w:color w:val="000000"/>
          <w:lang w:eastAsia="es-MX"/>
        </w:rPr>
        <w:t xml:space="preserve"> se establecen los RFC que se deben cumplir para realizar la </w:t>
      </w:r>
      <w:r>
        <w:rPr>
          <w:rFonts w:ascii="ITC Avant Garde" w:eastAsia="Avant Garde" w:hAnsi="ITC Avant Garde" w:cs="Avant Garde"/>
          <w:color w:val="000000"/>
          <w:lang w:eastAsia="es-MX"/>
        </w:rPr>
        <w:lastRenderedPageBreak/>
        <w:t>interconexión</w:t>
      </w:r>
      <w:r w:rsidR="00E8153B">
        <w:rPr>
          <w:rFonts w:ascii="ITC Avant Garde" w:eastAsia="Avant Garde" w:hAnsi="ITC Avant Garde" w:cs="Avant Garde"/>
          <w:color w:val="000000"/>
          <w:lang w:eastAsia="es-MX"/>
        </w:rPr>
        <w:t xml:space="preserve"> entre las redes mediante protocolo SIP (</w:t>
      </w:r>
      <w:r w:rsidR="00E8153B" w:rsidRPr="00E8153B">
        <w:rPr>
          <w:rFonts w:ascii="ITC Avant Garde" w:eastAsia="Avant Garde" w:hAnsi="ITC Avant Garde" w:cs="Avant Garde"/>
          <w:i/>
          <w:color w:val="000000"/>
          <w:lang w:eastAsia="es-MX"/>
        </w:rPr>
        <w:t>Session Initiation Protocol</w:t>
      </w:r>
      <w:r w:rsidR="00E8153B">
        <w:rPr>
          <w:rFonts w:ascii="ITC Avant Garde" w:eastAsia="Avant Garde" w:hAnsi="ITC Avant Garde" w:cs="Avant Garde"/>
          <w:color w:val="000000"/>
          <w:lang w:eastAsia="es-MX"/>
        </w:rPr>
        <w:t xml:space="preserve">), así como el direccionamiento que se deberá utilizar. </w:t>
      </w:r>
    </w:p>
    <w:p w14:paraId="684B1D98" w14:textId="014915DD" w:rsidR="00BC3DF2" w:rsidRDefault="00BC3DF2" w:rsidP="00E53C1B">
      <w:pPr>
        <w:spacing w:after="0" w:line="276" w:lineRule="auto"/>
        <w:rPr>
          <w:rFonts w:ascii="ITC Avant Garde" w:eastAsia="Avant Garde" w:hAnsi="ITC Avant Garde" w:cs="Avant Garde"/>
          <w:color w:val="000000"/>
          <w:lang w:eastAsia="es-MX"/>
        </w:rPr>
      </w:pPr>
    </w:p>
    <w:p w14:paraId="6A444E2C" w14:textId="36AB92F8" w:rsidR="00BC3DF2" w:rsidRPr="0053503B" w:rsidRDefault="00BC3DF2"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6.1 Coubicación.</w:t>
      </w:r>
    </w:p>
    <w:p w14:paraId="5977EF3C" w14:textId="4B847E4D" w:rsidR="00BC3DF2" w:rsidRDefault="00BC3DF2"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 Y AT&amp;T</w:t>
      </w:r>
    </w:p>
    <w:p w14:paraId="3FCE3C30" w14:textId="6C4D423A" w:rsidR="00B04FBA" w:rsidRDefault="00BC3DF2" w:rsidP="00E53C1B">
      <w:pPr>
        <w:spacing w:after="0" w:line="276" w:lineRule="auto"/>
        <w:rPr>
          <w:rFonts w:ascii="ITC Avant Garde" w:eastAsia="Avant Garde" w:hAnsi="ITC Avant Garde" w:cs="Avant Garde"/>
          <w:color w:val="000000"/>
          <w:lang w:eastAsia="es-MX"/>
        </w:rPr>
      </w:pPr>
      <w:r w:rsidRPr="00A1382B">
        <w:rPr>
          <w:rFonts w:ascii="ITC Avant Garde" w:eastAsia="Avant Garde" w:hAnsi="ITC Avant Garde" w:cs="Avant Garde"/>
          <w:color w:val="000000"/>
          <w:lang w:eastAsia="es-MX"/>
        </w:rPr>
        <w:t>Señalan que la modificación en la corriente directa máxima para la coubicación tipo 3 representa una limitante técnica para la compartición de la coubicación, por lo que sugieren mantener el valor del CMI vigente</w:t>
      </w:r>
      <w:r w:rsidR="00656A07">
        <w:rPr>
          <w:rFonts w:ascii="ITC Avant Garde" w:eastAsia="Avant Garde" w:hAnsi="ITC Avant Garde" w:cs="Avant Garde"/>
          <w:color w:val="000000"/>
          <w:lang w:eastAsia="es-MX"/>
        </w:rPr>
        <w:t>.</w:t>
      </w:r>
    </w:p>
    <w:p w14:paraId="1911453B" w14:textId="77777777" w:rsidR="00656A07" w:rsidRDefault="00656A07" w:rsidP="00E53C1B">
      <w:pPr>
        <w:spacing w:after="0" w:line="276" w:lineRule="auto"/>
        <w:rPr>
          <w:rFonts w:ascii="ITC Avant Garde" w:hAnsi="ITC Avant Garde"/>
          <w:b/>
        </w:rPr>
      </w:pPr>
    </w:p>
    <w:p w14:paraId="405F5A16" w14:textId="6DFCDF59" w:rsidR="00656A07" w:rsidRPr="00532517" w:rsidRDefault="00656A07" w:rsidP="00E53C1B">
      <w:pPr>
        <w:spacing w:after="0" w:line="276" w:lineRule="auto"/>
        <w:rPr>
          <w:rFonts w:ascii="ITC Avant Garde" w:hAnsi="ITC Avant Garde"/>
          <w:b/>
        </w:rPr>
      </w:pPr>
      <w:r w:rsidRPr="00532517">
        <w:rPr>
          <w:rFonts w:ascii="ITC Avant Garde" w:hAnsi="ITC Avant Garde"/>
          <w:b/>
        </w:rPr>
        <w:t xml:space="preserve">Consideraciones del Instituto </w:t>
      </w:r>
    </w:p>
    <w:p w14:paraId="11712767" w14:textId="5D392DE2" w:rsidR="000A693B" w:rsidRDefault="00656A07" w:rsidP="00E53C1B">
      <w:pPr>
        <w:spacing w:after="0" w:line="276" w:lineRule="auto"/>
        <w:rPr>
          <w:rFonts w:ascii="ITC Avant Garde" w:eastAsia="Avant Garde" w:hAnsi="ITC Avant Garde" w:cs="Avant Garde"/>
          <w:color w:val="000000"/>
          <w:lang w:eastAsia="es-MX"/>
        </w:rPr>
      </w:pPr>
      <w:r w:rsidRPr="00532517">
        <w:rPr>
          <w:rFonts w:ascii="ITC Avant Garde" w:eastAsia="Avant Garde" w:hAnsi="ITC Avant Garde" w:cs="Avant Garde"/>
          <w:color w:val="000000"/>
          <w:lang w:eastAsia="es-MX"/>
        </w:rPr>
        <w:t xml:space="preserve">Al respecto, se señala que el valor de Corriente Directa </w:t>
      </w:r>
      <w:r w:rsidR="00532517">
        <w:rPr>
          <w:rFonts w:ascii="ITC Avant Garde" w:eastAsia="Avant Garde" w:hAnsi="ITC Avant Garde" w:cs="Avant Garde"/>
          <w:color w:val="000000"/>
          <w:lang w:eastAsia="es-MX"/>
        </w:rPr>
        <w:t>para la coubicación tipo 3</w:t>
      </w:r>
      <w:r w:rsidR="000A693B">
        <w:rPr>
          <w:rFonts w:ascii="ITC Avant Garde" w:eastAsia="Avant Garde" w:hAnsi="ITC Avant Garde" w:cs="Avant Garde"/>
          <w:color w:val="000000"/>
          <w:lang w:eastAsia="es-MX"/>
        </w:rPr>
        <w:t xml:space="preserve"> </w:t>
      </w:r>
      <w:r w:rsidR="001920F7">
        <w:rPr>
          <w:rFonts w:ascii="ITC Avant Garde" w:eastAsia="Avant Garde" w:hAnsi="ITC Avant Garde" w:cs="Avant Garde"/>
          <w:color w:val="000000"/>
          <w:lang w:eastAsia="es-MX"/>
        </w:rPr>
        <w:t xml:space="preserve">indicado </w:t>
      </w:r>
      <w:r w:rsidR="00532517">
        <w:rPr>
          <w:rFonts w:ascii="ITC Avant Garde" w:eastAsia="Avant Garde" w:hAnsi="ITC Avant Garde" w:cs="Avant Garde"/>
          <w:color w:val="000000"/>
          <w:lang w:eastAsia="es-MX"/>
        </w:rPr>
        <w:t>en la Propuesta de CMI es contrario a lo establecido en el Acuerdo de CTM</w:t>
      </w:r>
      <w:r w:rsidR="000A693B">
        <w:rPr>
          <w:rFonts w:ascii="ITC Avant Garde" w:eastAsia="Avant Garde" w:hAnsi="ITC Avant Garde" w:cs="Avant Garde"/>
          <w:color w:val="000000"/>
          <w:lang w:eastAsia="es-MX"/>
        </w:rPr>
        <w:t>, por lo que se modifica el numeral</w:t>
      </w:r>
      <w:r w:rsidR="001920F7">
        <w:rPr>
          <w:rFonts w:ascii="ITC Avant Garde" w:eastAsia="Avant Garde" w:hAnsi="ITC Avant Garde" w:cs="Avant Garde"/>
          <w:color w:val="000000"/>
          <w:lang w:eastAsia="es-MX"/>
        </w:rPr>
        <w:t xml:space="preserve"> 6.1</w:t>
      </w:r>
      <w:r w:rsidR="00A17788">
        <w:rPr>
          <w:rFonts w:ascii="ITC Avant Garde" w:eastAsia="Avant Garde" w:hAnsi="ITC Avant Garde" w:cs="Avant Garde"/>
          <w:color w:val="000000"/>
          <w:lang w:eastAsia="es-MX"/>
        </w:rPr>
        <w:t>,</w:t>
      </w:r>
      <w:r w:rsidR="001920F7">
        <w:rPr>
          <w:rFonts w:ascii="ITC Avant Garde" w:eastAsia="Avant Garde" w:hAnsi="ITC Avant Garde" w:cs="Avant Garde"/>
          <w:color w:val="000000"/>
          <w:lang w:eastAsia="es-MX"/>
        </w:rPr>
        <w:t xml:space="preserve"> tanto en el </w:t>
      </w:r>
      <w:proofErr w:type="spellStart"/>
      <w:r w:rsidR="001920F7">
        <w:rPr>
          <w:rFonts w:ascii="ITC Avant Garde" w:eastAsia="Avant Garde" w:hAnsi="ITC Avant Garde" w:cs="Avant Garde"/>
          <w:color w:val="000000"/>
          <w:lang w:eastAsia="es-MX"/>
        </w:rPr>
        <w:t>subanexo</w:t>
      </w:r>
      <w:proofErr w:type="spellEnd"/>
      <w:r w:rsidR="001920F7">
        <w:rPr>
          <w:rFonts w:ascii="ITC Avant Garde" w:eastAsia="Avant Garde" w:hAnsi="ITC Avant Garde" w:cs="Avant Garde"/>
          <w:color w:val="000000"/>
          <w:lang w:eastAsia="es-MX"/>
        </w:rPr>
        <w:t xml:space="preserve"> A.1 como en el A.2</w:t>
      </w:r>
      <w:r w:rsidR="00A17788">
        <w:rPr>
          <w:rFonts w:ascii="ITC Avant Garde" w:eastAsia="Avant Garde" w:hAnsi="ITC Avant Garde" w:cs="Avant Garde"/>
          <w:color w:val="000000"/>
          <w:lang w:eastAsia="es-MX"/>
        </w:rPr>
        <w:t>,</w:t>
      </w:r>
      <w:r w:rsidR="000A693B">
        <w:rPr>
          <w:rFonts w:ascii="ITC Avant Garde" w:eastAsia="Avant Garde" w:hAnsi="ITC Avant Garde" w:cs="Avant Garde"/>
          <w:color w:val="000000"/>
          <w:lang w:eastAsia="es-MX"/>
        </w:rPr>
        <w:t xml:space="preserve"> en los siguientes términos:</w:t>
      </w:r>
    </w:p>
    <w:p w14:paraId="7843C2C5" w14:textId="77777777" w:rsidR="000A693B" w:rsidRDefault="000A693B" w:rsidP="00E53C1B">
      <w:pPr>
        <w:spacing w:after="0" w:line="276" w:lineRule="auto"/>
        <w:rPr>
          <w:rFonts w:ascii="ITC Avant Garde" w:eastAsia="Avant Garde" w:hAnsi="ITC Avant Garde" w:cs="Avant Garde"/>
          <w:color w:val="000000"/>
          <w:lang w:eastAsia="es-MX"/>
        </w:rPr>
      </w:pPr>
    </w:p>
    <w:p w14:paraId="4A307758" w14:textId="4324EDD2" w:rsidR="00656A07" w:rsidRPr="000A693B" w:rsidRDefault="00532517" w:rsidP="00E53C1B">
      <w:pPr>
        <w:spacing w:after="0" w:line="276" w:lineRule="auto"/>
        <w:ind w:left="567" w:right="616" w:hanging="11"/>
        <w:rPr>
          <w:rFonts w:ascii="ITC Avant Garde" w:hAnsi="ITC Avant Garde"/>
          <w:i/>
          <w:sz w:val="18"/>
          <w:szCs w:val="18"/>
        </w:rPr>
      </w:pPr>
      <w:r w:rsidRPr="000A693B">
        <w:rPr>
          <w:rFonts w:ascii="ITC Avant Garde" w:hAnsi="ITC Avant Garde"/>
          <w:i/>
          <w:sz w:val="18"/>
          <w:szCs w:val="18"/>
        </w:rPr>
        <w:t xml:space="preserve"> </w:t>
      </w:r>
      <w:r w:rsidR="000A693B">
        <w:rPr>
          <w:rFonts w:ascii="ITC Avant Garde" w:hAnsi="ITC Avant Garde"/>
          <w:i/>
          <w:sz w:val="18"/>
          <w:szCs w:val="18"/>
        </w:rPr>
        <w:t>“</w:t>
      </w:r>
      <w:r w:rsidR="000A693B" w:rsidRPr="000A693B">
        <w:rPr>
          <w:rFonts w:ascii="ITC Avant Garde" w:hAnsi="ITC Avant Garde"/>
          <w:i/>
          <w:sz w:val="18"/>
          <w:szCs w:val="18"/>
        </w:rPr>
        <w:t>e) Energía CD:</w:t>
      </w:r>
      <w:r w:rsidR="000A693B" w:rsidRPr="000A693B">
        <w:rPr>
          <w:rFonts w:ascii="ITC Avant Garde" w:hAnsi="ITC Avant Garde"/>
          <w:i/>
          <w:sz w:val="18"/>
          <w:szCs w:val="18"/>
        </w:rPr>
        <w:tab/>
        <w:t>- 48 VCD, +20%, -15%, 4 horas mínimo de respaldo. En Coubicación Tipo 1 y 2, máximo 15Amp.  En Coubicación Tipo 3, máximo</w:t>
      </w:r>
      <w:r w:rsidR="000A693B">
        <w:rPr>
          <w:rFonts w:ascii="ITC Avant Garde" w:hAnsi="ITC Avant Garde"/>
          <w:i/>
          <w:sz w:val="18"/>
          <w:szCs w:val="18"/>
        </w:rPr>
        <w:t xml:space="preserve"> </w:t>
      </w:r>
      <w:r w:rsidR="000A693B" w:rsidRPr="000A693B">
        <w:rPr>
          <w:rFonts w:ascii="ITC Avant Garde" w:hAnsi="ITC Avant Garde"/>
          <w:i/>
          <w:strike/>
          <w:sz w:val="18"/>
          <w:szCs w:val="18"/>
        </w:rPr>
        <w:t>4</w:t>
      </w:r>
      <w:r w:rsidR="000A693B" w:rsidRPr="000A693B">
        <w:rPr>
          <w:rFonts w:ascii="ITC Avant Garde" w:hAnsi="ITC Avant Garde"/>
          <w:i/>
          <w:sz w:val="18"/>
          <w:szCs w:val="18"/>
        </w:rPr>
        <w:t xml:space="preserve"> </w:t>
      </w:r>
      <w:r w:rsidR="000A693B" w:rsidRPr="000A693B">
        <w:rPr>
          <w:rFonts w:ascii="ITC Avant Garde" w:hAnsi="ITC Avant Garde"/>
          <w:i/>
          <w:sz w:val="18"/>
          <w:szCs w:val="18"/>
          <w:u w:val="single"/>
        </w:rPr>
        <w:t>15</w:t>
      </w:r>
      <w:r w:rsidR="000A693B" w:rsidRPr="000A693B">
        <w:rPr>
          <w:rFonts w:ascii="ITC Avant Garde" w:hAnsi="ITC Avant Garde"/>
          <w:i/>
          <w:sz w:val="18"/>
          <w:szCs w:val="18"/>
        </w:rPr>
        <w:t xml:space="preserve"> Amp.</w:t>
      </w:r>
      <w:r w:rsidR="000A693B">
        <w:rPr>
          <w:rFonts w:ascii="ITC Avant Garde" w:hAnsi="ITC Avant Garde"/>
          <w:i/>
          <w:sz w:val="18"/>
          <w:szCs w:val="18"/>
        </w:rPr>
        <w:t>”</w:t>
      </w:r>
    </w:p>
    <w:p w14:paraId="5E654A9B" w14:textId="77777777" w:rsidR="000A693B" w:rsidRDefault="000A693B"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2BE4A5E" w14:textId="0FEBAB7C" w:rsidR="00DD4897" w:rsidRDefault="00DD4897" w:rsidP="00E53C1B">
      <w:pPr>
        <w:spacing w:after="0" w:line="276" w:lineRule="auto"/>
        <w:rPr>
          <w:rFonts w:ascii="ITC Avant Garde" w:eastAsia="Avant Garde" w:hAnsi="ITC Avant Garde" w:cs="Avant Garde"/>
          <w:color w:val="000000"/>
          <w:lang w:eastAsia="es-MX"/>
        </w:rPr>
      </w:pPr>
    </w:p>
    <w:p w14:paraId="2B7EAB47" w14:textId="357D8B06" w:rsidR="00E62F63" w:rsidRDefault="00E62F63" w:rsidP="00E53C1B">
      <w:pPr>
        <w:spacing w:after="0" w:line="276" w:lineRule="auto"/>
        <w:rPr>
          <w:rFonts w:ascii="ITC Avant Garde" w:eastAsia="Avant Garde" w:hAnsi="ITC Avant Garde" w:cs="Avant Garde"/>
          <w:color w:val="000000"/>
          <w:lang w:eastAsia="es-MX"/>
        </w:rPr>
      </w:pPr>
    </w:p>
    <w:p w14:paraId="17B7C688" w14:textId="4A209BB3" w:rsidR="00E62F63" w:rsidRPr="00E62F63" w:rsidRDefault="00E62F63" w:rsidP="00E53C1B">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t>Anexo D. Servicio de Intercambio Electrónico de Mensajes C</w:t>
      </w:r>
      <w:r w:rsidRPr="00E62F63">
        <w:rPr>
          <w:rFonts w:ascii="ITC Avant Garde" w:eastAsia="Avant Garde" w:hAnsi="ITC Avant Garde" w:cs="Avant Garde"/>
          <w:b/>
          <w:color w:val="000000"/>
          <w:sz w:val="24"/>
          <w:u w:val="single"/>
          <w:lang w:eastAsia="es-MX"/>
        </w:rPr>
        <w:t>ortos (SIEMC)</w:t>
      </w:r>
    </w:p>
    <w:p w14:paraId="0E5EC426" w14:textId="77777777" w:rsidR="007E1512" w:rsidRPr="0053503B" w:rsidRDefault="007E1512" w:rsidP="00E53C1B">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6497A9B0" w14:textId="53C81A4F" w:rsidR="007E1512" w:rsidRDefault="007E1512" w:rsidP="00E53C1B">
      <w:pPr>
        <w:spacing w:after="0"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Solicitan que se adicione una cláusula de confidencialidad en el Anexo G.</w:t>
      </w:r>
    </w:p>
    <w:p w14:paraId="3EA61CC5" w14:textId="77777777" w:rsidR="00B24158" w:rsidRPr="0053503B" w:rsidRDefault="00B24158" w:rsidP="00E53C1B">
      <w:pPr>
        <w:spacing w:after="0" w:line="276" w:lineRule="auto"/>
        <w:rPr>
          <w:rFonts w:ascii="ITC Avant Garde" w:eastAsia="Avant Garde" w:hAnsi="ITC Avant Garde" w:cs="Avant Garde"/>
          <w:color w:val="000000"/>
          <w:lang w:eastAsia="es-MX"/>
        </w:rPr>
      </w:pPr>
    </w:p>
    <w:p w14:paraId="2955B482" w14:textId="77777777" w:rsidR="007E1512" w:rsidRPr="0053503B" w:rsidRDefault="007E1512"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57FAA476" w14:textId="0C16DDE5" w:rsidR="007E1512" w:rsidRDefault="007E1512"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La </w:t>
      </w:r>
      <w:r w:rsidRPr="0053503B">
        <w:rPr>
          <w:rFonts w:ascii="ITC Avant Garde" w:eastAsia="Avant Garde" w:hAnsi="ITC Avant Garde" w:cs="Avant Garde"/>
          <w:color w:val="000000"/>
          <w:lang w:eastAsia="es-MX"/>
        </w:rPr>
        <w:t>Cláusula Tercera “Intercambio de Información”</w:t>
      </w:r>
      <w:r>
        <w:rPr>
          <w:rFonts w:ascii="ITC Avant Garde" w:eastAsia="Avant Garde" w:hAnsi="ITC Avant Garde" w:cs="Avant Garde"/>
          <w:color w:val="000000"/>
          <w:lang w:eastAsia="es-MX"/>
        </w:rPr>
        <w:t xml:space="preserve"> del CMI establece el manejo y los criterios para el intercambio de información entre las partes, así como la confidencialidad de la misma. En este sentido, al ser el Anexo G parte integrante del CMI di</w:t>
      </w:r>
      <w:r w:rsidR="000F73E4">
        <w:rPr>
          <w:rFonts w:ascii="ITC Avant Garde" w:eastAsia="Avant Garde" w:hAnsi="ITC Avant Garde" w:cs="Avant Garde"/>
          <w:color w:val="000000"/>
          <w:lang w:eastAsia="es-MX"/>
        </w:rPr>
        <w:t>cha condición resulta aplicable, por lo que la Propuesta de CMI se mantiene en sus términos.</w:t>
      </w:r>
    </w:p>
    <w:p w14:paraId="644B4FEA" w14:textId="77777777" w:rsidR="00603247" w:rsidRPr="001E52EC" w:rsidRDefault="00603247" w:rsidP="00E53C1B">
      <w:pPr>
        <w:spacing w:after="0" w:line="276" w:lineRule="auto"/>
        <w:rPr>
          <w:rFonts w:ascii="ITC Avant Garde" w:eastAsia="Avant Garde" w:hAnsi="ITC Avant Garde" w:cs="Avant Garde"/>
          <w:color w:val="000000"/>
          <w:lang w:eastAsia="es-MX"/>
        </w:rPr>
      </w:pPr>
    </w:p>
    <w:p w14:paraId="2E783B1E" w14:textId="6FDB4FF6" w:rsidR="00E62F63" w:rsidRPr="0053503B" w:rsidRDefault="0040611D"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w:t>
      </w:r>
      <w:r w:rsidR="00E62F63">
        <w:rPr>
          <w:rFonts w:ascii="ITC Avant Garde" w:eastAsia="Avant Garde" w:hAnsi="ITC Avant Garde" w:cs="Avant Garde"/>
          <w:b/>
          <w:color w:val="000000"/>
          <w:lang w:eastAsia="es-MX"/>
        </w:rPr>
        <w:t>usula Decimosexta. Suspensión Temporal del SIEMC.</w:t>
      </w:r>
    </w:p>
    <w:p w14:paraId="5580A93E" w14:textId="26D6FAFC" w:rsidR="00E62F63" w:rsidRDefault="00E62F63"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 AT&amp;T</w:t>
      </w:r>
    </w:p>
    <w:p w14:paraId="43E983F8" w14:textId="3845A6EA" w:rsidR="00E62F63" w:rsidRDefault="00E62F63" w:rsidP="00E53C1B">
      <w:pPr>
        <w:spacing w:after="0" w:line="276" w:lineRule="auto"/>
        <w:rPr>
          <w:rFonts w:ascii="ITC Avant Garde" w:eastAsia="Avant Garde" w:hAnsi="ITC Avant Garde" w:cs="Avant Garde"/>
          <w:color w:val="000000"/>
          <w:lang w:eastAsia="es-MX"/>
        </w:rPr>
      </w:pPr>
      <w:r w:rsidRPr="00E62F63">
        <w:rPr>
          <w:rFonts w:ascii="ITC Avant Garde" w:eastAsia="Avant Garde" w:hAnsi="ITC Avant Garde" w:cs="Avant Garde"/>
          <w:color w:val="000000"/>
          <w:lang w:eastAsia="es-MX"/>
        </w:rPr>
        <w:t>Sugieren eliminar esta cláusula debido a que en el Anexo G ya se prevén los casos de prácticas prohibidas, así como las acciones para la detección, prevención y erradicación de las mismas. Indican que esta cláusula da el derecho a Telcel de suspender el servicio bajo un argumento de saturación</w:t>
      </w:r>
      <w:r>
        <w:rPr>
          <w:rFonts w:ascii="ITC Avant Garde" w:eastAsia="Avant Garde" w:hAnsi="ITC Avant Garde" w:cs="Avant Garde"/>
          <w:color w:val="000000"/>
          <w:lang w:eastAsia="es-MX"/>
        </w:rPr>
        <w:t>.</w:t>
      </w:r>
    </w:p>
    <w:p w14:paraId="63212FDB" w14:textId="77777777" w:rsidR="00603247" w:rsidRDefault="00603247" w:rsidP="00E53C1B">
      <w:pPr>
        <w:spacing w:after="0" w:line="276" w:lineRule="auto"/>
        <w:rPr>
          <w:rFonts w:ascii="ITC Avant Garde" w:eastAsia="Avant Garde" w:hAnsi="ITC Avant Garde" w:cs="Avant Garde"/>
          <w:color w:val="000000"/>
          <w:lang w:eastAsia="es-MX"/>
        </w:rPr>
      </w:pPr>
    </w:p>
    <w:p w14:paraId="64CF1494" w14:textId="6BE8E341" w:rsidR="00797929" w:rsidRPr="0053503B" w:rsidRDefault="0040611D"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w:t>
      </w:r>
      <w:r w:rsidR="00797929">
        <w:rPr>
          <w:rFonts w:ascii="ITC Avant Garde" w:eastAsia="Avant Garde" w:hAnsi="ITC Avant Garde" w:cs="Avant Garde"/>
          <w:b/>
          <w:color w:val="000000"/>
          <w:lang w:eastAsia="es-MX"/>
        </w:rPr>
        <w:t>usula Decimoséptima. Causas de Recisión.</w:t>
      </w:r>
    </w:p>
    <w:p w14:paraId="77556693" w14:textId="46E10674" w:rsidR="00797929" w:rsidRDefault="00797929"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p>
    <w:p w14:paraId="168AC5B3" w14:textId="682AAD17" w:rsidR="00797929" w:rsidRDefault="00797929" w:rsidP="00E53C1B">
      <w:pPr>
        <w:spacing w:after="0" w:line="276" w:lineRule="auto"/>
        <w:rPr>
          <w:rFonts w:ascii="ITC Avant Garde" w:eastAsia="Avant Garde" w:hAnsi="ITC Avant Garde" w:cs="Avant Garde"/>
          <w:color w:val="000000"/>
          <w:lang w:eastAsia="es-MX"/>
        </w:rPr>
      </w:pPr>
      <w:r w:rsidRPr="00797929">
        <w:rPr>
          <w:rFonts w:ascii="ITC Avant Garde" w:eastAsia="Avant Garde" w:hAnsi="ITC Avant Garde" w:cs="Avant Garde"/>
          <w:color w:val="000000"/>
          <w:lang w:eastAsia="es-MX"/>
        </w:rPr>
        <w:lastRenderedPageBreak/>
        <w:t>Solicitan eliminar esta cláusula debido a que la única propuesta válida como causa de rescisión es la correspondiente al numeral 1, ya que todas las demás están relacionadas con el envío masivo de SMS</w:t>
      </w:r>
      <w:r w:rsidR="00432012">
        <w:rPr>
          <w:rFonts w:ascii="ITC Avant Garde" w:eastAsia="Avant Garde" w:hAnsi="ITC Avant Garde" w:cs="Avant Garde"/>
          <w:color w:val="000000"/>
          <w:lang w:eastAsia="es-MX"/>
        </w:rPr>
        <w:t>.</w:t>
      </w:r>
    </w:p>
    <w:p w14:paraId="5D65FE02" w14:textId="77777777" w:rsidR="00797929" w:rsidRDefault="00797929" w:rsidP="00E53C1B">
      <w:pPr>
        <w:spacing w:after="0" w:line="276" w:lineRule="auto"/>
        <w:rPr>
          <w:rFonts w:ascii="ITC Avant Garde" w:eastAsia="Avant Garde" w:hAnsi="ITC Avant Garde" w:cs="Avant Garde"/>
          <w:color w:val="000000"/>
          <w:lang w:eastAsia="es-MX"/>
        </w:rPr>
      </w:pPr>
    </w:p>
    <w:p w14:paraId="41A5F355" w14:textId="77777777" w:rsidR="00361118" w:rsidRPr="0053503B" w:rsidRDefault="00361118"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1674DBD9" w14:textId="6E3BF957" w:rsidR="00361118" w:rsidRDefault="00361118"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el Anexo G es parte integrante del CMI, se eliminaron las cláusulas </w:t>
      </w:r>
      <w:r w:rsidR="00797929">
        <w:rPr>
          <w:rFonts w:ascii="ITC Avant Garde" w:eastAsia="Avant Garde" w:hAnsi="ITC Avant Garde" w:cs="Avant Garde"/>
          <w:color w:val="000000"/>
          <w:lang w:eastAsia="es-MX"/>
        </w:rPr>
        <w:t>Decimos</w:t>
      </w:r>
      <w:r>
        <w:rPr>
          <w:rFonts w:ascii="ITC Avant Garde" w:eastAsia="Avant Garde" w:hAnsi="ITC Avant Garde" w:cs="Avant Garde"/>
          <w:color w:val="000000"/>
          <w:lang w:eastAsia="es-MX"/>
        </w:rPr>
        <w:t xml:space="preserve">exta y </w:t>
      </w:r>
      <w:r w:rsidR="00797929">
        <w:rPr>
          <w:rFonts w:ascii="ITC Avant Garde" w:eastAsia="Avant Garde" w:hAnsi="ITC Avant Garde" w:cs="Avant Garde"/>
          <w:color w:val="000000"/>
          <w:lang w:eastAsia="es-MX"/>
        </w:rPr>
        <w:t>Decimos</w:t>
      </w:r>
      <w:r>
        <w:rPr>
          <w:rFonts w:ascii="ITC Avant Garde" w:eastAsia="Avant Garde" w:hAnsi="ITC Avant Garde" w:cs="Avant Garde"/>
          <w:color w:val="000000"/>
          <w:lang w:eastAsia="es-MX"/>
        </w:rPr>
        <w:t xml:space="preserve">éptima ya que las causales de rescisión a las que se encuentra sujeto el servicio de mensajes cortos se encuentran contenidas en la cláusula Decimoquinta del Convenio. </w:t>
      </w:r>
    </w:p>
    <w:p w14:paraId="0DD98375" w14:textId="6C94D4ED" w:rsidR="00010B41" w:rsidRDefault="00010B41" w:rsidP="00E53C1B">
      <w:pPr>
        <w:spacing w:after="0" w:line="276" w:lineRule="auto"/>
        <w:rPr>
          <w:rFonts w:ascii="ITC Avant Garde" w:eastAsia="Avant Garde" w:hAnsi="ITC Avant Garde" w:cs="Avant Garde"/>
          <w:color w:val="000000"/>
          <w:lang w:eastAsia="es-MX"/>
        </w:rPr>
      </w:pPr>
    </w:p>
    <w:p w14:paraId="79DD441A" w14:textId="19D982BC" w:rsidR="00010B41" w:rsidRDefault="00010B41" w:rsidP="00E53C1B">
      <w:pPr>
        <w:spacing w:after="0" w:line="276" w:lineRule="auto"/>
        <w:rPr>
          <w:rFonts w:ascii="ITC Avant Garde" w:eastAsia="Avant Garde" w:hAnsi="ITC Avant Garde" w:cs="Avant Garde"/>
          <w:b/>
          <w:color w:val="000000"/>
          <w:u w:val="single"/>
          <w:lang w:eastAsia="es-MX"/>
        </w:rPr>
      </w:pPr>
      <w:r w:rsidRPr="00010B41">
        <w:rPr>
          <w:rFonts w:ascii="ITC Avant Garde" w:eastAsia="Avant Garde" w:hAnsi="ITC Avant Garde" w:cs="Avant Garde"/>
          <w:b/>
          <w:color w:val="000000"/>
          <w:u w:val="single"/>
          <w:lang w:eastAsia="es-MX"/>
        </w:rPr>
        <w:t>Subanexo A. Acuerdo Técnico.</w:t>
      </w:r>
    </w:p>
    <w:p w14:paraId="6A658103" w14:textId="59165E2B" w:rsidR="00010B41" w:rsidRPr="0053503B" w:rsidRDefault="0040611D"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w:t>
      </w:r>
      <w:r w:rsidR="00010B41">
        <w:rPr>
          <w:rFonts w:ascii="ITC Avant Garde" w:eastAsia="Avant Garde" w:hAnsi="ITC Avant Garde" w:cs="Avant Garde"/>
          <w:b/>
          <w:color w:val="000000"/>
          <w:lang w:eastAsia="es-MX"/>
        </w:rPr>
        <w:t>usula Tercera. Diagramas de Conexión.</w:t>
      </w:r>
    </w:p>
    <w:p w14:paraId="388A97C6" w14:textId="77777777" w:rsidR="00010B41" w:rsidRDefault="00010B41"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p>
    <w:p w14:paraId="67083A00" w14:textId="75487C0F" w:rsidR="00361118" w:rsidRDefault="00DA1426" w:rsidP="00E53C1B">
      <w:pPr>
        <w:spacing w:after="0" w:line="276" w:lineRule="auto"/>
        <w:rPr>
          <w:rFonts w:ascii="ITC Avant Garde" w:eastAsia="Avant Garde" w:hAnsi="ITC Avant Garde" w:cs="Avant Garde"/>
          <w:color w:val="000000"/>
          <w:lang w:eastAsia="es-MX"/>
        </w:rPr>
      </w:pPr>
      <w:r w:rsidRPr="00DA1426">
        <w:rPr>
          <w:rFonts w:ascii="ITC Avant Garde" w:eastAsia="Avant Garde" w:hAnsi="ITC Avant Garde" w:cs="Avant Garde"/>
          <w:color w:val="000000"/>
          <w:lang w:eastAsia="es-MX"/>
        </w:rPr>
        <w:t>Señalan que la inclusión del diagrama de conexión con redes fijas conforme a las recomendaciones no es vinculante para el Instituto, por lo que no son obligatorios</w:t>
      </w:r>
      <w:r w:rsidR="005268FA">
        <w:rPr>
          <w:rFonts w:ascii="ITC Avant Garde" w:eastAsia="Avant Garde" w:hAnsi="ITC Avant Garde" w:cs="Avant Garde"/>
          <w:color w:val="000000"/>
          <w:lang w:eastAsia="es-MX"/>
        </w:rPr>
        <w:t>.</w:t>
      </w:r>
    </w:p>
    <w:p w14:paraId="78CC4D26" w14:textId="77777777" w:rsidR="00391D58" w:rsidRDefault="00391D58" w:rsidP="00E53C1B">
      <w:pPr>
        <w:spacing w:after="0" w:line="276" w:lineRule="auto"/>
        <w:rPr>
          <w:rFonts w:ascii="ITC Avant Garde" w:eastAsia="Avant Garde" w:hAnsi="ITC Avant Garde" w:cs="Avant Garde"/>
          <w:color w:val="000000"/>
          <w:lang w:eastAsia="es-MX"/>
        </w:rPr>
      </w:pPr>
    </w:p>
    <w:p w14:paraId="0F6B18FA" w14:textId="77777777" w:rsidR="005268FA" w:rsidRPr="0053503B" w:rsidRDefault="005268FA"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2C4B42EB" w14:textId="711CA936" w:rsidR="00E62F63" w:rsidRDefault="005268FA" w:rsidP="00E53C1B">
      <w:pPr>
        <w:spacing w:after="0" w:line="276" w:lineRule="auto"/>
        <w:rPr>
          <w:rFonts w:ascii="ITC Avant Garde" w:eastAsia="Avant Garde" w:hAnsi="ITC Avant Garde" w:cs="Avant Garde"/>
          <w:color w:val="000000"/>
          <w:lang w:eastAsia="es-MX"/>
        </w:rPr>
      </w:pPr>
      <w:r w:rsidRPr="005268FA">
        <w:rPr>
          <w:rFonts w:ascii="ITC Avant Garde" w:eastAsia="Avant Garde" w:hAnsi="ITC Avant Garde" w:cs="Avant Garde"/>
          <w:color w:val="000000"/>
          <w:lang w:eastAsia="es-MX"/>
        </w:rPr>
        <w:t>Se elimina la precisión del estándar internacional bajo el cual se realizará el intercambio de mensajes cortos entre redes fijas y móviles con el fin de no excluir otras posibles arquitecturas de interconexión</w:t>
      </w:r>
      <w:r w:rsidR="00204FBA">
        <w:rPr>
          <w:rFonts w:ascii="ITC Avant Garde" w:eastAsia="Avant Garde" w:hAnsi="ITC Avant Garde" w:cs="Avant Garde"/>
          <w:color w:val="000000"/>
          <w:lang w:eastAsia="es-MX"/>
        </w:rPr>
        <w:t xml:space="preserve">, por lo </w:t>
      </w:r>
      <w:r w:rsidR="0040611D">
        <w:rPr>
          <w:rFonts w:ascii="ITC Avant Garde" w:eastAsia="Avant Garde" w:hAnsi="ITC Avant Garde" w:cs="Avant Garde"/>
          <w:color w:val="000000"/>
          <w:lang w:eastAsia="es-MX"/>
        </w:rPr>
        <w:t>que se modificó</w:t>
      </w:r>
      <w:r w:rsidR="00204FBA">
        <w:rPr>
          <w:rFonts w:ascii="ITC Avant Garde" w:eastAsia="Avant Garde" w:hAnsi="ITC Avant Garde" w:cs="Avant Garde"/>
          <w:color w:val="000000"/>
          <w:lang w:eastAsia="es-MX"/>
        </w:rPr>
        <w:t xml:space="preserve"> el numeral en cuestión en los siguientes términos:</w:t>
      </w:r>
    </w:p>
    <w:p w14:paraId="543263C1" w14:textId="77777777" w:rsidR="00391D58" w:rsidRDefault="00391D58" w:rsidP="00E53C1B">
      <w:pPr>
        <w:spacing w:after="0" w:line="276" w:lineRule="auto"/>
        <w:rPr>
          <w:rFonts w:ascii="ITC Avant Garde" w:eastAsia="Avant Garde" w:hAnsi="ITC Avant Garde" w:cs="Avant Garde"/>
          <w:color w:val="000000"/>
          <w:lang w:eastAsia="es-MX"/>
        </w:rPr>
      </w:pPr>
    </w:p>
    <w:p w14:paraId="554C1162" w14:textId="29349E16" w:rsidR="00204FBA" w:rsidRPr="00C73C06" w:rsidRDefault="00204FBA" w:rsidP="00E53C1B">
      <w:pPr>
        <w:pStyle w:val="IFT1"/>
        <w:tabs>
          <w:tab w:val="left" w:pos="426"/>
        </w:tabs>
        <w:spacing w:after="0"/>
        <w:ind w:left="567" w:right="618"/>
        <w:rPr>
          <w:bCs/>
          <w:i/>
          <w:sz w:val="18"/>
          <w:szCs w:val="18"/>
        </w:rPr>
      </w:pPr>
      <w:r w:rsidRPr="00C73C06">
        <w:rPr>
          <w:bCs/>
          <w:i/>
          <w:sz w:val="18"/>
          <w:szCs w:val="18"/>
        </w:rPr>
        <w:t>“</w:t>
      </w:r>
      <w:r w:rsidRPr="00C73C06">
        <w:rPr>
          <w:bCs/>
          <w:i/>
          <w:strike/>
          <w:sz w:val="18"/>
          <w:szCs w:val="18"/>
        </w:rPr>
        <w:t>Para la debida prestación del SIEMC, los concesionarios fijos deberán garantizar (i) que el intercambio de tráfico de mensajes cortos se realizará conforme al estándar ETSI ES 201 912 V1.2.1 (2004-08) del Instituto Europeo de Normas de Telecomunicaciones (ETSI, por sus siglas en idioma inglés) y (ii) que para tal fin y en cumplimiento a lo dispuesto en el artículo 289 de la Ley, vigilarán que el SIEMC se preste a través de terminales fijas homologadas que garanticen el correcto intercambio de los mensajes cortos.</w:t>
      </w:r>
    </w:p>
    <w:p w14:paraId="592A56C4" w14:textId="77777777" w:rsidR="00204FBA" w:rsidRPr="00C73C06" w:rsidRDefault="00204FBA" w:rsidP="00E53C1B">
      <w:pPr>
        <w:pStyle w:val="IFT1"/>
        <w:tabs>
          <w:tab w:val="left" w:pos="426"/>
        </w:tabs>
        <w:spacing w:after="0"/>
        <w:rPr>
          <w:bCs/>
        </w:rPr>
      </w:pPr>
    </w:p>
    <w:p w14:paraId="1C72D8A7" w14:textId="27B71460" w:rsidR="00204FBA" w:rsidRDefault="00204FBA" w:rsidP="00E53C1B">
      <w:pPr>
        <w:pStyle w:val="IFT1"/>
        <w:tabs>
          <w:tab w:val="left" w:pos="426"/>
        </w:tabs>
        <w:spacing w:after="0"/>
        <w:ind w:left="567" w:right="618"/>
        <w:rPr>
          <w:bCs/>
          <w:i/>
          <w:sz w:val="18"/>
          <w:szCs w:val="18"/>
        </w:rPr>
      </w:pPr>
      <w:r w:rsidRPr="00C73C06">
        <w:rPr>
          <w:bCs/>
          <w:i/>
          <w:sz w:val="18"/>
          <w:szCs w:val="18"/>
          <w:u w:val="single"/>
        </w:rPr>
        <w:t>Para el caso de otras arquitecturas, se deberá definir el diagrama de conexión de acuerdo a la arquitectura de las redes a interconectarse.</w:t>
      </w:r>
      <w:r w:rsidRPr="00C73C06">
        <w:rPr>
          <w:bCs/>
          <w:i/>
          <w:sz w:val="18"/>
          <w:szCs w:val="18"/>
        </w:rPr>
        <w:t>”</w:t>
      </w:r>
    </w:p>
    <w:p w14:paraId="3E225B95" w14:textId="77777777" w:rsidR="00C73C06" w:rsidRDefault="00C73C06" w:rsidP="00E53C1B">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39C48ECD" w14:textId="77777777" w:rsidR="00204FBA" w:rsidRDefault="00204FBA" w:rsidP="00E53C1B">
      <w:pPr>
        <w:pStyle w:val="IFT1"/>
        <w:tabs>
          <w:tab w:val="left" w:pos="426"/>
        </w:tabs>
        <w:spacing w:after="0"/>
        <w:rPr>
          <w:bCs/>
        </w:rPr>
      </w:pPr>
    </w:p>
    <w:p w14:paraId="62BE7A1D" w14:textId="77777777" w:rsidR="00D320E4" w:rsidRPr="00782C23" w:rsidRDefault="00D320E4" w:rsidP="00E53C1B">
      <w:pPr>
        <w:spacing w:after="0" w:line="276" w:lineRule="auto"/>
        <w:rPr>
          <w:rFonts w:ascii="ITC Avant Garde" w:eastAsia="Avant Garde" w:hAnsi="ITC Avant Garde" w:cs="Avant Garde"/>
          <w:b/>
          <w:color w:val="000000"/>
          <w:u w:val="single"/>
          <w:lang w:eastAsia="es-MX"/>
        </w:rPr>
      </w:pPr>
      <w:r w:rsidRPr="00782C23">
        <w:rPr>
          <w:rFonts w:ascii="ITC Avant Garde" w:eastAsia="Avant Garde" w:hAnsi="ITC Avant Garde" w:cs="Avant Garde"/>
          <w:b/>
          <w:color w:val="000000"/>
          <w:u w:val="single"/>
          <w:lang w:eastAsia="es-MX"/>
        </w:rPr>
        <w:t>Subanexo “E”. Detección de Prácticas Prohibidas</w:t>
      </w:r>
    </w:p>
    <w:p w14:paraId="405F8A4B" w14:textId="77777777" w:rsidR="00D320E4" w:rsidRPr="0053503B" w:rsidRDefault="00D320E4"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Segunda. Catálogo de Prácticas Prohibidas</w:t>
      </w:r>
    </w:p>
    <w:p w14:paraId="2C493E55" w14:textId="77777777" w:rsidR="00D320E4" w:rsidRPr="0053503B" w:rsidRDefault="00D320E4" w:rsidP="00E53C1B">
      <w:pPr>
        <w:spacing w:after="0" w:line="276" w:lineRule="auto"/>
        <w:rPr>
          <w:rFonts w:ascii="ITC Avant Garde" w:eastAsia="Avant Garde" w:hAnsi="ITC Avant Garde" w:cs="Avant Garde"/>
          <w:b/>
          <w:color w:val="000000"/>
          <w:lang w:eastAsia="es-MX"/>
        </w:rPr>
      </w:pPr>
      <w:r w:rsidRPr="00771E04">
        <w:rPr>
          <w:rFonts w:ascii="ITC Avant Garde" w:eastAsia="Avant Garde" w:hAnsi="ITC Avant Garde" w:cs="Avant Garde"/>
          <w:b/>
          <w:color w:val="000000"/>
          <w:lang w:eastAsia="es-MX"/>
        </w:rPr>
        <w:t>CANIETI, ALTÁN</w:t>
      </w:r>
    </w:p>
    <w:p w14:paraId="387151D9" w14:textId="37227358" w:rsidR="00204FBA" w:rsidRDefault="00D320E4" w:rsidP="00E53C1B">
      <w:pPr>
        <w:spacing w:after="0" w:line="276" w:lineRule="auto"/>
        <w:rPr>
          <w:rFonts w:ascii="ITC Avant Garde" w:eastAsia="Avant Garde" w:hAnsi="ITC Avant Garde" w:cs="Avant Garde"/>
          <w:color w:val="000000"/>
          <w:lang w:eastAsia="es-MX"/>
        </w:rPr>
      </w:pPr>
      <w:r w:rsidRPr="00D320E4">
        <w:rPr>
          <w:rFonts w:ascii="ITC Avant Garde" w:eastAsia="Avant Garde" w:hAnsi="ITC Avant Garde" w:cs="Avant Garde"/>
          <w:color w:val="000000"/>
          <w:lang w:eastAsia="es-MX"/>
        </w:rPr>
        <w:t xml:space="preserve">Señalan que mientras se cumplan con las reglas de spam y </w:t>
      </w:r>
      <w:proofErr w:type="spellStart"/>
      <w:r w:rsidRPr="00D320E4">
        <w:rPr>
          <w:rFonts w:ascii="ITC Avant Garde" w:eastAsia="Avant Garde" w:hAnsi="ITC Avant Garde" w:cs="Avant Garde"/>
          <w:color w:val="000000"/>
          <w:lang w:eastAsia="es-MX"/>
        </w:rPr>
        <w:t>flooding</w:t>
      </w:r>
      <w:proofErr w:type="spellEnd"/>
      <w:r>
        <w:rPr>
          <w:rFonts w:ascii="ITC Avant Garde" w:eastAsia="Avant Garde" w:hAnsi="ITC Avant Garde" w:cs="Avant Garde"/>
          <w:color w:val="000000"/>
          <w:lang w:eastAsia="es-MX"/>
        </w:rPr>
        <w:t>,</w:t>
      </w:r>
      <w:r w:rsidRPr="00D320E4">
        <w:rPr>
          <w:rFonts w:ascii="ITC Avant Garde" w:eastAsia="Avant Garde" w:hAnsi="ITC Avant Garde" w:cs="Avant Garde"/>
          <w:color w:val="000000"/>
          <w:lang w:eastAsia="es-MX"/>
        </w:rPr>
        <w:t xml:space="preserve"> se garantizará la neutralidad tecnológica para implementar el esquema técnico de intercambio de SMS por parte del concesionario, y se asegurará que no existirá saturación de red por parte de Telcel</w:t>
      </w:r>
      <w:r>
        <w:rPr>
          <w:rFonts w:ascii="ITC Avant Garde" w:eastAsia="Avant Garde" w:hAnsi="ITC Avant Garde" w:cs="Avant Garde"/>
          <w:color w:val="000000"/>
          <w:lang w:eastAsia="es-MX"/>
        </w:rPr>
        <w:t>.</w:t>
      </w:r>
    </w:p>
    <w:p w14:paraId="3FAFBD67" w14:textId="77777777" w:rsidR="00DC28FD" w:rsidRDefault="00DC28FD" w:rsidP="00E53C1B">
      <w:pPr>
        <w:spacing w:after="0" w:line="276" w:lineRule="auto"/>
        <w:rPr>
          <w:rFonts w:ascii="ITC Avant Garde" w:eastAsia="Avant Garde" w:hAnsi="ITC Avant Garde" w:cs="Avant Garde"/>
          <w:color w:val="000000"/>
          <w:lang w:eastAsia="es-MX"/>
        </w:rPr>
      </w:pPr>
    </w:p>
    <w:p w14:paraId="20FED06B" w14:textId="77777777" w:rsidR="00D320E4" w:rsidRPr="0053503B" w:rsidRDefault="00D320E4"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73972CEA" w14:textId="77777777" w:rsidR="00D320E4" w:rsidRDefault="00D320E4" w:rsidP="00E53C1B">
      <w:pPr>
        <w:spacing w:after="0" w:line="276" w:lineRule="auto"/>
        <w:ind w:left="-5"/>
        <w:rPr>
          <w:rFonts w:ascii="ITC Avant Garde" w:eastAsia="Avant Garde" w:hAnsi="ITC Avant Garde" w:cs="Avant Garde"/>
          <w:color w:val="000000"/>
          <w:lang w:eastAsia="es-MX"/>
        </w:rPr>
      </w:pPr>
      <w:r w:rsidRPr="00AE5B9E">
        <w:rPr>
          <w:rFonts w:ascii="ITC Avant Garde" w:eastAsia="Avant Garde" w:hAnsi="ITC Avant Garde" w:cs="Avant Garde"/>
          <w:color w:val="000000"/>
          <w:lang w:eastAsia="es-MX"/>
        </w:rPr>
        <w:lastRenderedPageBreak/>
        <w:t>Se eliminó el inciso c) de la cláusula segunda referente a las prácticas prohibidas ya que no proporciona certeza sobre cuáles son los criterios que se aplicarán para determinar que el envío de mensajes cortos corresponde al envío masivo, unilateral y/o robotizado de mensajes cortos</w:t>
      </w:r>
      <w:r>
        <w:rPr>
          <w:rFonts w:ascii="ITC Avant Garde" w:eastAsia="Avant Garde" w:hAnsi="ITC Avant Garde" w:cs="Avant Garde"/>
          <w:color w:val="000000"/>
          <w:lang w:eastAsia="es-MX"/>
        </w:rPr>
        <w:t>, en el siguiente sentido:</w:t>
      </w:r>
    </w:p>
    <w:p w14:paraId="09A30891" w14:textId="77777777" w:rsidR="00D320E4" w:rsidRPr="00AE5B9E" w:rsidRDefault="00D320E4" w:rsidP="00E53C1B">
      <w:pPr>
        <w:spacing w:after="0" w:line="276" w:lineRule="auto"/>
        <w:ind w:left="-5"/>
        <w:rPr>
          <w:rFonts w:ascii="ITC Avant Garde" w:eastAsia="Avant Garde" w:hAnsi="ITC Avant Garde" w:cs="Avant Garde"/>
          <w:color w:val="000000"/>
          <w:lang w:eastAsia="es-MX"/>
        </w:rPr>
      </w:pPr>
    </w:p>
    <w:p w14:paraId="4E8C6A62" w14:textId="77777777" w:rsidR="00D320E4" w:rsidRPr="007862CA" w:rsidRDefault="00D320E4" w:rsidP="00E53C1B">
      <w:pPr>
        <w:pStyle w:val="IFT1"/>
        <w:tabs>
          <w:tab w:val="left" w:pos="426"/>
        </w:tabs>
        <w:spacing w:after="0"/>
        <w:ind w:left="567" w:right="616"/>
        <w:rPr>
          <w:bCs/>
          <w:i/>
          <w:sz w:val="18"/>
          <w:szCs w:val="18"/>
        </w:rPr>
      </w:pPr>
      <w:r>
        <w:rPr>
          <w:bCs/>
          <w:i/>
          <w:sz w:val="18"/>
          <w:szCs w:val="18"/>
        </w:rPr>
        <w:t>“</w:t>
      </w:r>
      <w:r w:rsidRPr="007862CA">
        <w:rPr>
          <w:bCs/>
          <w:i/>
          <w:sz w:val="18"/>
          <w:szCs w:val="18"/>
        </w:rPr>
        <w:t>SEGUNDA. CATÁLOGO DE PRÁCTICAS PROHIBIDAS.</w:t>
      </w:r>
    </w:p>
    <w:p w14:paraId="7BDA04EB" w14:textId="77777777" w:rsidR="00D320E4" w:rsidRDefault="00D320E4" w:rsidP="00E53C1B">
      <w:pPr>
        <w:pStyle w:val="IFT1"/>
        <w:tabs>
          <w:tab w:val="left" w:pos="426"/>
        </w:tabs>
        <w:spacing w:after="0"/>
        <w:ind w:left="567" w:right="616"/>
        <w:rPr>
          <w:bCs/>
          <w:i/>
          <w:sz w:val="18"/>
          <w:szCs w:val="18"/>
        </w:rPr>
      </w:pPr>
      <w:r w:rsidRPr="007862CA">
        <w:rPr>
          <w:bCs/>
          <w:i/>
          <w:sz w:val="18"/>
          <w:szCs w:val="18"/>
        </w:rPr>
        <w:t>Las Partes convienen en establecer, de manera no limitativa, el siguiente</w:t>
      </w:r>
      <w:r>
        <w:rPr>
          <w:bCs/>
          <w:i/>
          <w:sz w:val="18"/>
          <w:szCs w:val="18"/>
        </w:rPr>
        <w:t xml:space="preserve"> catálogo de las conductas que </w:t>
      </w:r>
      <w:r w:rsidRPr="007862CA">
        <w:rPr>
          <w:bCs/>
          <w:i/>
          <w:sz w:val="18"/>
          <w:szCs w:val="18"/>
        </w:rPr>
        <w:t>serán consideradas como Prácticas Prohibidas:</w:t>
      </w:r>
    </w:p>
    <w:p w14:paraId="75FBAAF9" w14:textId="77777777" w:rsidR="00D320E4" w:rsidRDefault="00D320E4" w:rsidP="00E53C1B">
      <w:pPr>
        <w:pStyle w:val="IFT1"/>
        <w:tabs>
          <w:tab w:val="left" w:pos="426"/>
        </w:tabs>
        <w:spacing w:after="0"/>
        <w:ind w:left="567" w:right="616"/>
        <w:rPr>
          <w:bCs/>
          <w:i/>
          <w:sz w:val="18"/>
          <w:szCs w:val="18"/>
        </w:rPr>
      </w:pPr>
      <w:r>
        <w:rPr>
          <w:bCs/>
          <w:i/>
          <w:sz w:val="18"/>
          <w:szCs w:val="18"/>
        </w:rPr>
        <w:t>(…)</w:t>
      </w:r>
    </w:p>
    <w:p w14:paraId="52DAF92F" w14:textId="156D2909" w:rsidR="00D320E4" w:rsidRPr="008A4B7B" w:rsidRDefault="00FB7BAA" w:rsidP="00E53C1B">
      <w:pPr>
        <w:pStyle w:val="IFT1"/>
        <w:tabs>
          <w:tab w:val="left" w:pos="426"/>
        </w:tabs>
        <w:spacing w:after="0"/>
        <w:ind w:left="567" w:right="616"/>
        <w:rPr>
          <w:bCs/>
          <w:i/>
          <w:strike/>
          <w:sz w:val="18"/>
          <w:szCs w:val="18"/>
        </w:rPr>
      </w:pPr>
      <w:r>
        <w:rPr>
          <w:bCs/>
          <w:i/>
          <w:strike/>
          <w:sz w:val="18"/>
          <w:szCs w:val="18"/>
        </w:rPr>
        <w:t>d</w:t>
      </w:r>
      <w:r w:rsidR="00D320E4" w:rsidRPr="008A4B7B">
        <w:rPr>
          <w:bCs/>
          <w:i/>
          <w:strike/>
          <w:sz w:val="18"/>
          <w:szCs w:val="18"/>
        </w:rPr>
        <w:t xml:space="preserve">) El envío de Mensajes Cortos que, aunque no alcance el número de eventos considerados para el caso de </w:t>
      </w:r>
      <w:proofErr w:type="spellStart"/>
      <w:r w:rsidR="00D320E4" w:rsidRPr="008A4B7B">
        <w:rPr>
          <w:bCs/>
          <w:i/>
          <w:strike/>
          <w:sz w:val="18"/>
          <w:szCs w:val="18"/>
        </w:rPr>
        <w:t>Spamming</w:t>
      </w:r>
      <w:proofErr w:type="spellEnd"/>
      <w:r w:rsidR="00D320E4" w:rsidRPr="008A4B7B">
        <w:rPr>
          <w:bCs/>
          <w:i/>
          <w:strike/>
          <w:sz w:val="18"/>
          <w:szCs w:val="18"/>
        </w:rPr>
        <w:t xml:space="preserve"> o </w:t>
      </w:r>
      <w:proofErr w:type="spellStart"/>
      <w:r w:rsidR="00D320E4" w:rsidRPr="008A4B7B">
        <w:rPr>
          <w:bCs/>
          <w:i/>
          <w:strike/>
          <w:sz w:val="18"/>
          <w:szCs w:val="18"/>
        </w:rPr>
        <w:t>Flooding</w:t>
      </w:r>
      <w:proofErr w:type="spellEnd"/>
      <w:r w:rsidR="00D320E4" w:rsidRPr="008A4B7B">
        <w:rPr>
          <w:bCs/>
          <w:i/>
          <w:strike/>
          <w:sz w:val="18"/>
          <w:szCs w:val="18"/>
        </w:rPr>
        <w:t>, implique el envío masivo, unilateral y/o robotizado de Mensajes Cortos, por o en servidores, computadoras, sistemas, aplicaciones, etc.</w:t>
      </w:r>
    </w:p>
    <w:p w14:paraId="35965B1D" w14:textId="77777777" w:rsidR="00D320E4" w:rsidRDefault="00D320E4" w:rsidP="00E53C1B">
      <w:pPr>
        <w:pStyle w:val="IFT1"/>
        <w:tabs>
          <w:tab w:val="left" w:pos="426"/>
        </w:tabs>
        <w:spacing w:after="0"/>
        <w:ind w:left="567" w:right="616"/>
        <w:rPr>
          <w:bCs/>
          <w:i/>
          <w:sz w:val="18"/>
          <w:szCs w:val="18"/>
        </w:rPr>
      </w:pPr>
      <w:r>
        <w:rPr>
          <w:bCs/>
          <w:i/>
          <w:sz w:val="18"/>
          <w:szCs w:val="18"/>
        </w:rPr>
        <w:t>(…)”</w:t>
      </w:r>
    </w:p>
    <w:p w14:paraId="6432359C" w14:textId="77777777" w:rsidR="00D320E4" w:rsidRPr="008A4B7B" w:rsidRDefault="00D320E4" w:rsidP="00E53C1B">
      <w:pPr>
        <w:pStyle w:val="IFT1"/>
        <w:tabs>
          <w:tab w:val="left" w:pos="426"/>
        </w:tabs>
        <w:spacing w:after="0"/>
        <w:ind w:left="567" w:right="616"/>
        <w:jc w:val="right"/>
        <w:rPr>
          <w:bCs/>
          <w:i/>
          <w:sz w:val="18"/>
          <w:szCs w:val="18"/>
        </w:rPr>
      </w:pPr>
      <w:r>
        <w:rPr>
          <w:bCs/>
          <w:i/>
          <w:sz w:val="18"/>
          <w:szCs w:val="18"/>
        </w:rPr>
        <w:t>(Énfasis añadido)</w:t>
      </w:r>
    </w:p>
    <w:p w14:paraId="1B610205" w14:textId="77777777" w:rsidR="00D320E4" w:rsidRDefault="00D320E4" w:rsidP="00E53C1B">
      <w:pPr>
        <w:spacing w:after="0" w:line="276" w:lineRule="auto"/>
        <w:rPr>
          <w:rFonts w:ascii="ITC Avant Garde" w:eastAsia="Avant Garde" w:hAnsi="ITC Avant Garde" w:cs="Avant Garde"/>
          <w:color w:val="000000"/>
          <w:lang w:eastAsia="es-MX"/>
        </w:rPr>
      </w:pPr>
    </w:p>
    <w:p w14:paraId="06D12CC2" w14:textId="22E431B2" w:rsidR="00D320E4" w:rsidRPr="00782C23" w:rsidRDefault="0040611D" w:rsidP="00E53C1B">
      <w:pPr>
        <w:spacing w:after="0" w:line="276" w:lineRule="auto"/>
        <w:rPr>
          <w:rFonts w:ascii="ITC Avant Garde" w:eastAsia="Avant Garde" w:hAnsi="ITC Avant Garde" w:cs="Avant Garde"/>
          <w:b/>
          <w:color w:val="000000"/>
          <w:u w:val="single"/>
          <w:lang w:eastAsia="es-MX"/>
        </w:rPr>
      </w:pPr>
      <w:r>
        <w:rPr>
          <w:rFonts w:ascii="ITC Avant Garde" w:eastAsia="Avant Garde" w:hAnsi="ITC Avant Garde" w:cs="Avant Garde"/>
          <w:b/>
          <w:color w:val="000000"/>
          <w:u w:val="single"/>
          <w:lang w:eastAsia="es-MX"/>
        </w:rPr>
        <w:t>Comentarios Generales</w:t>
      </w:r>
      <w:r w:rsidR="00D320E4">
        <w:rPr>
          <w:rFonts w:ascii="ITC Avant Garde" w:eastAsia="Avant Garde" w:hAnsi="ITC Avant Garde" w:cs="Avant Garde"/>
          <w:b/>
          <w:color w:val="000000"/>
          <w:u w:val="single"/>
          <w:lang w:eastAsia="es-MX"/>
        </w:rPr>
        <w:t xml:space="preserve"> </w:t>
      </w:r>
    </w:p>
    <w:p w14:paraId="48703E05" w14:textId="7943BAE1" w:rsidR="00D320E4" w:rsidRPr="0053503B" w:rsidRDefault="00D320E4" w:rsidP="00E53C1B">
      <w:pPr>
        <w:spacing w:after="0" w:line="276" w:lineRule="auto"/>
        <w:rPr>
          <w:rFonts w:ascii="ITC Avant Garde" w:eastAsia="Avant Garde" w:hAnsi="ITC Avant Garde" w:cs="Avant Garde"/>
          <w:b/>
          <w:color w:val="000000"/>
          <w:lang w:eastAsia="es-MX"/>
        </w:rPr>
      </w:pPr>
      <w:r w:rsidRPr="00771E04">
        <w:rPr>
          <w:rFonts w:ascii="ITC Avant Garde" w:eastAsia="Avant Garde" w:hAnsi="ITC Avant Garde" w:cs="Avant Garde"/>
          <w:b/>
          <w:color w:val="000000"/>
          <w:lang w:eastAsia="es-MX"/>
        </w:rPr>
        <w:t>CANIETI, ALTÁN</w:t>
      </w:r>
      <w:r w:rsidR="004A65F1">
        <w:rPr>
          <w:rFonts w:ascii="ITC Avant Garde" w:eastAsia="Avant Garde" w:hAnsi="ITC Avant Garde" w:cs="Avant Garde"/>
          <w:b/>
          <w:color w:val="000000"/>
          <w:lang w:eastAsia="es-MX"/>
        </w:rPr>
        <w:t>, MEGACABLE</w:t>
      </w:r>
    </w:p>
    <w:p w14:paraId="51562960" w14:textId="34C66B0E" w:rsidR="00DD4897" w:rsidRDefault="00D320E4" w:rsidP="00E53C1B">
      <w:pPr>
        <w:spacing w:after="0" w:line="276" w:lineRule="auto"/>
        <w:ind w:left="-5"/>
        <w:rPr>
          <w:rFonts w:ascii="ITC Avant Garde" w:eastAsia="Avant Garde" w:hAnsi="ITC Avant Garde" w:cs="Avant Garde"/>
          <w:color w:val="000000"/>
          <w:lang w:eastAsia="es-MX"/>
        </w:rPr>
      </w:pPr>
      <w:r w:rsidRPr="00D320E4">
        <w:rPr>
          <w:rFonts w:ascii="ITC Avant Garde" w:eastAsia="Avant Garde" w:hAnsi="ITC Avant Garde" w:cs="Avant Garde"/>
          <w:color w:val="000000"/>
          <w:lang w:eastAsia="es-MX"/>
        </w:rPr>
        <w:t>Mencionan que to</w:t>
      </w:r>
      <w:r w:rsidR="00AF6963">
        <w:rPr>
          <w:rFonts w:ascii="ITC Avant Garde" w:eastAsia="Avant Garde" w:hAnsi="ITC Avant Garde" w:cs="Avant Garde"/>
          <w:color w:val="000000"/>
          <w:lang w:eastAsia="es-MX"/>
        </w:rPr>
        <w:t>dos los enlaces de interconexión deben</w:t>
      </w:r>
      <w:r w:rsidRPr="00D320E4">
        <w:rPr>
          <w:rFonts w:ascii="ITC Avant Garde" w:eastAsia="Avant Garde" w:hAnsi="ITC Avant Garde" w:cs="Avant Garde"/>
          <w:color w:val="000000"/>
          <w:lang w:eastAsia="es-MX"/>
        </w:rPr>
        <w:t xml:space="preserve"> ser considerados </w:t>
      </w:r>
      <w:r w:rsidR="002F4AEC">
        <w:rPr>
          <w:rFonts w:ascii="ITC Avant Garde" w:eastAsia="Avant Garde" w:hAnsi="ITC Avant Garde" w:cs="Avant Garde"/>
          <w:color w:val="000000"/>
          <w:lang w:eastAsia="es-MX"/>
        </w:rPr>
        <w:t xml:space="preserve">como </w:t>
      </w:r>
      <w:r w:rsidRPr="00D320E4">
        <w:rPr>
          <w:rFonts w:ascii="ITC Avant Garde" w:eastAsia="Avant Garde" w:hAnsi="ITC Avant Garde" w:cs="Avant Garde"/>
          <w:color w:val="000000"/>
          <w:lang w:eastAsia="es-MX"/>
        </w:rPr>
        <w:t>bidireccionales</w:t>
      </w:r>
      <w:r>
        <w:rPr>
          <w:rFonts w:ascii="ITC Avant Garde" w:eastAsia="Avant Garde" w:hAnsi="ITC Avant Garde" w:cs="Avant Garde"/>
          <w:color w:val="000000"/>
          <w:lang w:eastAsia="es-MX"/>
        </w:rPr>
        <w:t>.</w:t>
      </w:r>
    </w:p>
    <w:p w14:paraId="3B05C723" w14:textId="77777777" w:rsidR="0017788E" w:rsidRDefault="0017788E" w:rsidP="00E53C1B">
      <w:pPr>
        <w:spacing w:after="0" w:line="276" w:lineRule="auto"/>
        <w:ind w:left="-5"/>
        <w:rPr>
          <w:rFonts w:ascii="ITC Avant Garde" w:eastAsia="Avant Garde" w:hAnsi="ITC Avant Garde" w:cs="Avant Garde"/>
          <w:color w:val="000000"/>
          <w:lang w:eastAsia="es-MX"/>
        </w:rPr>
      </w:pPr>
    </w:p>
    <w:p w14:paraId="74903026" w14:textId="77777777" w:rsidR="00A949FF" w:rsidRPr="0053503B" w:rsidRDefault="00A949FF"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56BD1F70" w14:textId="77ADAD4A" w:rsidR="00A21AD2" w:rsidRDefault="00C562B1"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señala que e</w:t>
      </w:r>
      <w:r w:rsidR="0017788E">
        <w:rPr>
          <w:rFonts w:ascii="ITC Avant Garde" w:eastAsia="Avant Garde" w:hAnsi="ITC Avant Garde" w:cs="Avant Garde"/>
          <w:color w:val="000000"/>
          <w:lang w:eastAsia="es-MX"/>
        </w:rPr>
        <w:t>l concesionario solicitante</w:t>
      </w:r>
      <w:r w:rsidR="000B6DC4">
        <w:rPr>
          <w:rFonts w:ascii="ITC Avant Garde" w:eastAsia="Avant Garde" w:hAnsi="ITC Avant Garde" w:cs="Avant Garde"/>
          <w:color w:val="000000"/>
          <w:lang w:eastAsia="es-MX"/>
        </w:rPr>
        <w:t xml:space="preserve"> es quie</w:t>
      </w:r>
      <w:r>
        <w:rPr>
          <w:rFonts w:ascii="ITC Avant Garde" w:eastAsia="Avant Garde" w:hAnsi="ITC Avant Garde" w:cs="Avant Garde"/>
          <w:color w:val="000000"/>
          <w:lang w:eastAsia="es-MX"/>
        </w:rPr>
        <w:t>n elige</w:t>
      </w:r>
      <w:r w:rsidR="0017788E">
        <w:rPr>
          <w:rFonts w:ascii="ITC Avant Garde" w:eastAsia="Avant Garde" w:hAnsi="ITC Avant Garde" w:cs="Avant Garde"/>
          <w:color w:val="000000"/>
          <w:lang w:eastAsia="es-MX"/>
        </w:rPr>
        <w:t xml:space="preserve"> la interconexión directa o a través del servicio de tránsito de conformidad con el artículo 6 del Plan de Interconexión</w:t>
      </w:r>
      <w:r w:rsidR="0040611D">
        <w:rPr>
          <w:rFonts w:ascii="ITC Avant Garde" w:eastAsia="Avant Garde" w:hAnsi="ITC Avant Garde" w:cs="Avant Garde"/>
          <w:color w:val="000000"/>
          <w:lang w:eastAsia="es-MX"/>
        </w:rPr>
        <w:t xml:space="preserve">, </w:t>
      </w:r>
      <w:r w:rsidR="0040611D">
        <w:rPr>
          <w:rFonts w:ascii="ITC Avant Garde" w:hAnsi="ITC Avant Garde"/>
        </w:rPr>
        <w:t>p</w:t>
      </w:r>
      <w:r w:rsidR="00832DA7">
        <w:rPr>
          <w:rFonts w:ascii="ITC Avant Garde" w:hAnsi="ITC Avant Garde"/>
        </w:rPr>
        <w:t xml:space="preserve">or lo anterior, los concesionarios </w:t>
      </w:r>
      <w:r w:rsidR="0040611D">
        <w:rPr>
          <w:rFonts w:ascii="ITC Avant Garde" w:hAnsi="ITC Avant Garde"/>
        </w:rPr>
        <w:t>pueden elegir</w:t>
      </w:r>
      <w:r w:rsidR="00832DA7">
        <w:rPr>
          <w:rFonts w:ascii="ITC Avant Garde" w:hAnsi="ITC Avant Garde"/>
        </w:rPr>
        <w:t xml:space="preserve"> el tipo de interconexión que implementarán para el envío de tráfico originado en sus redes hacia otras redes públicas de telecomunicaciones</w:t>
      </w:r>
      <w:r w:rsidR="00A21AD2">
        <w:rPr>
          <w:rFonts w:ascii="ITC Avant Garde" w:eastAsia="Avant Garde" w:hAnsi="ITC Avant Garde" w:cs="Avant Garde"/>
          <w:color w:val="000000"/>
          <w:lang w:eastAsia="es-MX"/>
        </w:rPr>
        <w:t>, por lo que la Propuesta de CMI se mantiene en sus términos.</w:t>
      </w:r>
    </w:p>
    <w:p w14:paraId="683C30B8" w14:textId="77777777" w:rsidR="00DC28FD" w:rsidRDefault="00DC28FD" w:rsidP="00E53C1B">
      <w:pPr>
        <w:spacing w:after="0" w:line="276" w:lineRule="auto"/>
        <w:rPr>
          <w:rFonts w:ascii="ITC Avant Garde" w:eastAsia="Avant Garde" w:hAnsi="ITC Avant Garde" w:cs="Avant Garde"/>
          <w:color w:val="000000"/>
          <w:lang w:eastAsia="es-MX"/>
        </w:rPr>
      </w:pPr>
    </w:p>
    <w:p w14:paraId="6FEBF75D" w14:textId="2C6390EF" w:rsidR="00AC6DE3" w:rsidRPr="0053503B" w:rsidRDefault="00AC6DE3" w:rsidP="00E53C1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MEGACABLE</w:t>
      </w:r>
    </w:p>
    <w:p w14:paraId="6F568675" w14:textId="0D822A12" w:rsidR="00580940" w:rsidRDefault="00AC6DE3" w:rsidP="00E53C1B">
      <w:pPr>
        <w:spacing w:after="0" w:line="276" w:lineRule="auto"/>
        <w:rPr>
          <w:rFonts w:ascii="ITC Avant Garde" w:eastAsia="Avant Garde" w:hAnsi="ITC Avant Garde" w:cs="Avant Garde"/>
          <w:color w:val="000000"/>
          <w:lang w:eastAsia="es-MX"/>
        </w:rPr>
      </w:pPr>
      <w:r w:rsidRPr="00AC6DE3">
        <w:rPr>
          <w:rFonts w:ascii="ITC Avant Garde" w:eastAsia="Avant Garde" w:hAnsi="ITC Avant Garde" w:cs="Avant Garde"/>
          <w:color w:val="000000"/>
          <w:lang w:eastAsia="es-MX"/>
        </w:rPr>
        <w:t>Señala que la</w:t>
      </w:r>
      <w:r w:rsidR="00580940">
        <w:rPr>
          <w:rFonts w:ascii="ITC Avant Garde" w:eastAsia="Avant Garde" w:hAnsi="ITC Avant Garde" w:cs="Avant Garde"/>
          <w:color w:val="000000"/>
          <w:lang w:eastAsia="es-MX"/>
        </w:rPr>
        <w:t xml:space="preserve"> tarifa para “tránsito por la red móvil del AEP” establecida en el Acuerdo de CTM 2019</w:t>
      </w:r>
      <w:r w:rsidR="00DB2A5E">
        <w:rPr>
          <w:rStyle w:val="Refdenotaalpie"/>
          <w:rFonts w:ascii="ITC Avant Garde" w:eastAsia="Avant Garde" w:hAnsi="ITC Avant Garde" w:cs="Avant Garde"/>
          <w:color w:val="000000"/>
          <w:lang w:eastAsia="es-MX"/>
        </w:rPr>
        <w:footnoteReference w:id="7"/>
      </w:r>
      <w:r w:rsidR="00580940">
        <w:rPr>
          <w:rFonts w:ascii="ITC Avant Garde" w:eastAsia="Avant Garde" w:hAnsi="ITC Avant Garde" w:cs="Avant Garde"/>
          <w:color w:val="000000"/>
          <w:lang w:eastAsia="es-MX"/>
        </w:rPr>
        <w:t xml:space="preserve"> es un 65% menor a la del “Tránsito de la red fija del AEP”; sin embargo, señala que el AEP en el sector de las telecomunicaciones móviles impone candados</w:t>
      </w:r>
      <w:r w:rsidRPr="00AC6DE3">
        <w:rPr>
          <w:rFonts w:ascii="ITC Avant Garde" w:eastAsia="Avant Garde" w:hAnsi="ITC Avant Garde" w:cs="Avant Garde"/>
          <w:color w:val="000000"/>
          <w:lang w:eastAsia="es-MX"/>
        </w:rPr>
        <w:t xml:space="preserve"> </w:t>
      </w:r>
      <w:r w:rsidR="007074FA">
        <w:rPr>
          <w:rFonts w:ascii="ITC Avant Garde" w:eastAsia="Avant Garde" w:hAnsi="ITC Avant Garde" w:cs="Avant Garde"/>
          <w:color w:val="000000"/>
          <w:lang w:eastAsia="es-MX"/>
        </w:rPr>
        <w:t>para hacer uso de este servicio.</w:t>
      </w:r>
    </w:p>
    <w:p w14:paraId="5594B414" w14:textId="77777777" w:rsidR="00D537BD" w:rsidRDefault="00D537BD" w:rsidP="00E53C1B">
      <w:pPr>
        <w:spacing w:after="0" w:line="276" w:lineRule="auto"/>
        <w:rPr>
          <w:rFonts w:ascii="ITC Avant Garde" w:eastAsia="Avant Garde" w:hAnsi="ITC Avant Garde" w:cs="Avant Garde"/>
          <w:color w:val="000000"/>
          <w:lang w:eastAsia="es-MX"/>
        </w:rPr>
      </w:pPr>
    </w:p>
    <w:p w14:paraId="4822A298" w14:textId="77777777" w:rsidR="00ED74CF" w:rsidRPr="0053503B" w:rsidRDefault="00ED74CF" w:rsidP="00E53C1B">
      <w:pPr>
        <w:spacing w:after="0" w:line="276" w:lineRule="auto"/>
        <w:rPr>
          <w:rFonts w:ascii="ITC Avant Garde" w:hAnsi="ITC Avant Garde"/>
          <w:b/>
        </w:rPr>
      </w:pPr>
      <w:r w:rsidRPr="0053503B">
        <w:rPr>
          <w:rFonts w:ascii="ITC Avant Garde" w:hAnsi="ITC Avant Garde"/>
          <w:b/>
        </w:rPr>
        <w:t xml:space="preserve">Consideraciones del Instituto </w:t>
      </w:r>
    </w:p>
    <w:p w14:paraId="52D8F0D7" w14:textId="750BC20B" w:rsidR="00943E42" w:rsidRDefault="0040611D" w:rsidP="00E53C1B">
      <w:pPr>
        <w:pStyle w:val="IFT1"/>
        <w:tabs>
          <w:tab w:val="left" w:pos="426"/>
        </w:tabs>
        <w:spacing w:after="0"/>
        <w:ind w:right="49"/>
      </w:pPr>
      <w:r>
        <w:t>Se modificó</w:t>
      </w:r>
      <w:r w:rsidR="00943E42" w:rsidRPr="00BF788D">
        <w:t xml:space="preserve"> la definición de “Servicio</w:t>
      </w:r>
      <w:r w:rsidR="00943E42">
        <w:t>s</w:t>
      </w:r>
      <w:r w:rsidR="00943E42" w:rsidRPr="00BF788D">
        <w:t xml:space="preserve"> d</w:t>
      </w:r>
      <w:r w:rsidR="00943E42">
        <w:t>e Tránsito” a efecto de reflejar lo señalado en el artículo 133 de la LFTR y la Medida Sexta de las Medidas Móviles, en el sentido de que Telcel se encuentra obligado a prestar dicho servicio</w:t>
      </w:r>
      <w:r w:rsidR="00943E42" w:rsidRPr="00BF788D">
        <w:t xml:space="preserve"> entre las redes que se </w:t>
      </w:r>
      <w:r w:rsidR="00943E42" w:rsidRPr="00BF788D">
        <w:lastRenderedPageBreak/>
        <w:t xml:space="preserve">encuentren interconectadas de </w:t>
      </w:r>
      <w:r w:rsidR="00943E42">
        <w:t>manera directa y bidireccional. Por lo anterior, se modifica la definición en los siguientes términos:</w:t>
      </w:r>
    </w:p>
    <w:tbl>
      <w:tblPr>
        <w:tblW w:w="0" w:type="auto"/>
        <w:tblLook w:val="04A0" w:firstRow="1" w:lastRow="0" w:firstColumn="1" w:lastColumn="0" w:noHBand="0" w:noVBand="1"/>
      </w:tblPr>
      <w:tblGrid>
        <w:gridCol w:w="2617"/>
        <w:gridCol w:w="6221"/>
      </w:tblGrid>
      <w:tr w:rsidR="00C076AD" w:rsidRPr="003F7C4F" w14:paraId="7219A133" w14:textId="77777777" w:rsidTr="00D85DE3">
        <w:tc>
          <w:tcPr>
            <w:tcW w:w="2617" w:type="dxa"/>
            <w:shd w:val="clear" w:color="auto" w:fill="auto"/>
          </w:tcPr>
          <w:p w14:paraId="68CD3EA8" w14:textId="77777777" w:rsidR="00C076AD" w:rsidRDefault="00C076AD" w:rsidP="00E53C1B">
            <w:pPr>
              <w:pStyle w:val="IFT1"/>
              <w:tabs>
                <w:tab w:val="left" w:pos="426"/>
              </w:tabs>
              <w:spacing w:after="0"/>
              <w:ind w:left="426"/>
              <w:rPr>
                <w:b/>
                <w:bCs/>
                <w:i/>
                <w:sz w:val="18"/>
                <w:szCs w:val="18"/>
              </w:rPr>
            </w:pPr>
          </w:p>
          <w:p w14:paraId="24E99F01" w14:textId="77777777" w:rsidR="00C076AD" w:rsidRPr="008166E7" w:rsidRDefault="00C076AD" w:rsidP="00E53C1B">
            <w:pPr>
              <w:pStyle w:val="IFT1"/>
              <w:tabs>
                <w:tab w:val="left" w:pos="426"/>
              </w:tabs>
              <w:spacing w:after="0"/>
              <w:rPr>
                <w:bCs/>
                <w:i/>
                <w:sz w:val="18"/>
                <w:szCs w:val="18"/>
              </w:rPr>
            </w:pPr>
            <w:r w:rsidRPr="008166E7">
              <w:rPr>
                <w:bCs/>
                <w:i/>
                <w:sz w:val="18"/>
                <w:szCs w:val="18"/>
              </w:rPr>
              <w:t>“Servicios de Tránsito</w:t>
            </w:r>
          </w:p>
        </w:tc>
        <w:tc>
          <w:tcPr>
            <w:tcW w:w="6221" w:type="dxa"/>
            <w:shd w:val="clear" w:color="auto" w:fill="auto"/>
          </w:tcPr>
          <w:p w14:paraId="3185B963" w14:textId="77777777" w:rsidR="00C076AD" w:rsidRDefault="00C076AD" w:rsidP="00E53C1B">
            <w:pPr>
              <w:pStyle w:val="IFT1"/>
              <w:tabs>
                <w:tab w:val="left" w:pos="426"/>
              </w:tabs>
              <w:spacing w:after="0"/>
              <w:ind w:left="426" w:right="225"/>
              <w:rPr>
                <w:bCs/>
                <w:i/>
                <w:sz w:val="18"/>
                <w:szCs w:val="18"/>
              </w:rPr>
            </w:pPr>
          </w:p>
          <w:p w14:paraId="7225E480" w14:textId="77777777" w:rsidR="00C076AD" w:rsidRPr="00621D37" w:rsidRDefault="00C076AD" w:rsidP="00E53C1B">
            <w:pPr>
              <w:pStyle w:val="IFT1"/>
              <w:tabs>
                <w:tab w:val="left" w:pos="426"/>
              </w:tabs>
              <w:spacing w:after="0"/>
              <w:ind w:left="426" w:right="225"/>
              <w:rPr>
                <w:bCs/>
                <w:i/>
                <w:sz w:val="18"/>
                <w:szCs w:val="18"/>
              </w:rPr>
            </w:pPr>
            <w:r w:rsidRPr="003F7C4F">
              <w:rPr>
                <w:bCs/>
                <w:i/>
                <w:sz w:val="18"/>
                <w:szCs w:val="18"/>
              </w:rPr>
              <w:t>Servicio de Interconexión para el enrutamiento de Tráfico que TELCEL</w:t>
            </w:r>
            <w:r>
              <w:rPr>
                <w:bCs/>
                <w:i/>
                <w:sz w:val="18"/>
                <w:szCs w:val="18"/>
              </w:rPr>
              <w:t xml:space="preserve">, o </w:t>
            </w:r>
            <w:r w:rsidRPr="003F7C4F">
              <w:rPr>
                <w:bCs/>
                <w:i/>
                <w:sz w:val="18"/>
                <w:szCs w:val="18"/>
              </w:rPr>
              <w:t>cualquier red perteneciente al Agente Económico Preponderante</w:t>
            </w:r>
            <w:r>
              <w:rPr>
                <w:bCs/>
                <w:i/>
                <w:sz w:val="18"/>
                <w:szCs w:val="18"/>
              </w:rPr>
              <w:t>,</w:t>
            </w:r>
            <w:r w:rsidRPr="003F7C4F">
              <w:rPr>
                <w:bCs/>
                <w:i/>
                <w:sz w:val="18"/>
                <w:szCs w:val="18"/>
              </w:rPr>
              <w:t xml:space="preserve"> provee para la Interconexión de dos o más Redes Públicas de Telecomunicaciones distintas</w:t>
            </w:r>
            <w:r>
              <w:rPr>
                <w:bCs/>
                <w:i/>
                <w:sz w:val="18"/>
                <w:szCs w:val="18"/>
              </w:rPr>
              <w:t xml:space="preserve"> </w:t>
            </w:r>
            <w:r w:rsidRPr="003F7C4F">
              <w:rPr>
                <w:bCs/>
                <w:i/>
                <w:sz w:val="18"/>
                <w:szCs w:val="18"/>
                <w:u w:val="single"/>
              </w:rPr>
              <w:t>que se encuentren interconectadas de manera directa y bidireccional con la red que presta el servicio de tránsito</w:t>
            </w:r>
            <w:r>
              <w:rPr>
                <w:bCs/>
                <w:i/>
                <w:sz w:val="18"/>
                <w:szCs w:val="18"/>
              </w:rPr>
              <w:t>,</w:t>
            </w:r>
            <w:r w:rsidRPr="003F7C4F">
              <w:rPr>
                <w:bCs/>
                <w:i/>
                <w:sz w:val="18"/>
                <w:szCs w:val="18"/>
              </w:rPr>
              <w:t xml:space="preserve"> para la terminación de T</w:t>
            </w:r>
            <w:r>
              <w:rPr>
                <w:bCs/>
                <w:i/>
                <w:sz w:val="18"/>
                <w:szCs w:val="18"/>
              </w:rPr>
              <w:t xml:space="preserve">ráfico en dichas redes. </w:t>
            </w:r>
            <w:r w:rsidRPr="00621D37">
              <w:rPr>
                <w:bCs/>
                <w:i/>
                <w:strike/>
                <w:sz w:val="18"/>
                <w:szCs w:val="18"/>
              </w:rPr>
              <w:t>El servicio de tránsito se proporcionará entre las redes que se encuentren interconectadas de manera directa y bidireccional con la red que presta el servicio de tránsito, esto es, que envíen y reciban tráfico de manera directa con el concesionario que preste el servicio de tránsito. El Agente Económico Preponderante está obligado a prestar el servicio de tránsito a los Concesionarios que así se lo requieran, por lo que deberá garantizar la prestación de dicho servicio a través de alguna de sus redes.</w:t>
            </w:r>
            <w:r>
              <w:rPr>
                <w:bCs/>
                <w:i/>
                <w:sz w:val="18"/>
                <w:szCs w:val="18"/>
              </w:rPr>
              <w:t xml:space="preserve"> “</w:t>
            </w:r>
          </w:p>
          <w:p w14:paraId="32BC0507" w14:textId="77777777" w:rsidR="00C076AD" w:rsidRPr="003F7C4F" w:rsidRDefault="00C076AD" w:rsidP="00E53C1B">
            <w:pPr>
              <w:pStyle w:val="IFT1"/>
              <w:tabs>
                <w:tab w:val="left" w:pos="426"/>
              </w:tabs>
              <w:spacing w:after="0"/>
              <w:ind w:left="426" w:right="225"/>
              <w:rPr>
                <w:bCs/>
                <w:i/>
                <w:sz w:val="18"/>
                <w:szCs w:val="18"/>
              </w:rPr>
            </w:pPr>
            <w:r>
              <w:rPr>
                <w:bCs/>
                <w:i/>
                <w:sz w:val="18"/>
                <w:szCs w:val="18"/>
              </w:rPr>
              <w:t xml:space="preserve"> </w:t>
            </w:r>
          </w:p>
        </w:tc>
      </w:tr>
    </w:tbl>
    <w:p w14:paraId="0B658952" w14:textId="77777777" w:rsidR="00466EF1" w:rsidRPr="00782C23" w:rsidRDefault="00466EF1" w:rsidP="00E53C1B">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155B40AF" w14:textId="77777777" w:rsidR="00C076AD" w:rsidRDefault="00C076AD" w:rsidP="00E53C1B">
      <w:pPr>
        <w:spacing w:after="0" w:line="276" w:lineRule="auto"/>
        <w:rPr>
          <w:rFonts w:ascii="ITC Avant Garde" w:eastAsia="Avant Garde" w:hAnsi="ITC Avant Garde" w:cs="Avant Garde"/>
          <w:color w:val="000000"/>
          <w:lang w:eastAsia="es-MX"/>
        </w:rPr>
      </w:pPr>
    </w:p>
    <w:p w14:paraId="7EC9CF16" w14:textId="1F1A7AC7" w:rsidR="00DD4897" w:rsidRDefault="00DD4897" w:rsidP="00E53C1B">
      <w:pPr>
        <w:spacing w:after="0" w:line="276" w:lineRule="auto"/>
        <w:rPr>
          <w:rFonts w:ascii="ITC Avant Garde" w:eastAsia="Avant Garde" w:hAnsi="ITC Avant Garde" w:cs="Avant Garde"/>
          <w:color w:val="000000"/>
          <w:lang w:eastAsia="es-MX"/>
        </w:rPr>
      </w:pPr>
    </w:p>
    <w:p w14:paraId="55E4DA77" w14:textId="3A6F083C" w:rsidR="00DD4897" w:rsidRDefault="0040611D" w:rsidP="00E53C1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Respecto al comentario de que </w:t>
      </w:r>
      <w:r w:rsidRPr="00AC6DE3">
        <w:rPr>
          <w:rFonts w:ascii="ITC Avant Garde" w:eastAsia="Avant Garde" w:hAnsi="ITC Avant Garde" w:cs="Avant Garde"/>
          <w:color w:val="000000"/>
          <w:lang w:eastAsia="es-MX"/>
        </w:rPr>
        <w:t>la</w:t>
      </w:r>
      <w:r w:rsidR="00273245">
        <w:rPr>
          <w:rFonts w:ascii="ITC Avant Garde" w:eastAsia="Avant Garde" w:hAnsi="ITC Avant Garde" w:cs="Avant Garde"/>
          <w:color w:val="000000"/>
          <w:lang w:eastAsia="es-MX"/>
        </w:rPr>
        <w:t xml:space="preserve"> tarifa para </w:t>
      </w:r>
      <w:r>
        <w:rPr>
          <w:rFonts w:ascii="ITC Avant Garde" w:eastAsia="Avant Garde" w:hAnsi="ITC Avant Garde" w:cs="Avant Garde"/>
          <w:color w:val="000000"/>
          <w:lang w:eastAsia="es-MX"/>
        </w:rPr>
        <w:t>tr</w:t>
      </w:r>
      <w:r w:rsidR="00273245">
        <w:rPr>
          <w:rFonts w:ascii="ITC Avant Garde" w:eastAsia="Avant Garde" w:hAnsi="ITC Avant Garde" w:cs="Avant Garde"/>
          <w:color w:val="000000"/>
          <w:lang w:eastAsia="es-MX"/>
        </w:rPr>
        <w:t>ánsito por la red móvil del AEP</w:t>
      </w:r>
      <w:r>
        <w:rPr>
          <w:rFonts w:ascii="ITC Avant Garde" w:eastAsia="Avant Garde" w:hAnsi="ITC Avant Garde" w:cs="Avant Garde"/>
          <w:color w:val="000000"/>
          <w:lang w:eastAsia="es-MX"/>
        </w:rPr>
        <w:t xml:space="preserve"> establecida en el Acuerdo de CTM 2019</w:t>
      </w:r>
      <w:bookmarkStart w:id="0" w:name="_GoBack"/>
      <w:bookmarkEnd w:id="0"/>
      <w:r>
        <w:rPr>
          <w:rFonts w:ascii="ITC Avant Garde" w:eastAsia="Avant Garde" w:hAnsi="ITC Avant Garde" w:cs="Avant Garde"/>
          <w:color w:val="000000"/>
          <w:lang w:eastAsia="es-MX"/>
        </w:rPr>
        <w:t xml:space="preserve"> es un 65% menor a la del “T</w:t>
      </w:r>
      <w:r w:rsidR="00273245">
        <w:rPr>
          <w:rFonts w:ascii="ITC Avant Garde" w:eastAsia="Avant Garde" w:hAnsi="ITC Avant Garde" w:cs="Avant Garde"/>
          <w:color w:val="000000"/>
          <w:lang w:eastAsia="es-MX"/>
        </w:rPr>
        <w:t>ránsito de la red fija del AEP, se señala que las tarifas del servicio de tránsito establecidas en el Acuerdo de CTM 2019 están fuera del alcance de la consulta pública.</w:t>
      </w:r>
    </w:p>
    <w:sectPr w:rsidR="00DD48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567B0" w14:textId="77777777" w:rsidR="00BA3055" w:rsidRDefault="00BA3055" w:rsidP="004F6497">
      <w:pPr>
        <w:spacing w:after="0" w:line="240" w:lineRule="auto"/>
      </w:pPr>
      <w:r>
        <w:separator/>
      </w:r>
    </w:p>
  </w:endnote>
  <w:endnote w:type="continuationSeparator" w:id="0">
    <w:p w14:paraId="7156DEF3" w14:textId="77777777" w:rsidR="00BA3055" w:rsidRDefault="00BA3055"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667F" w14:textId="77777777" w:rsidR="00BA3055" w:rsidRDefault="00BA3055" w:rsidP="004F6497">
      <w:pPr>
        <w:spacing w:after="0" w:line="240" w:lineRule="auto"/>
      </w:pPr>
      <w:r>
        <w:separator/>
      </w:r>
    </w:p>
  </w:footnote>
  <w:footnote w:type="continuationSeparator" w:id="0">
    <w:p w14:paraId="3543790A" w14:textId="77777777" w:rsidR="00BA3055" w:rsidRDefault="00BA3055" w:rsidP="004F6497">
      <w:pPr>
        <w:spacing w:after="0" w:line="240" w:lineRule="auto"/>
      </w:pPr>
      <w:r>
        <w:continuationSeparator/>
      </w:r>
    </w:p>
  </w:footnote>
  <w:footnote w:id="1">
    <w:p w14:paraId="37DFB9BC" w14:textId="6C9E3AF3" w:rsidR="00BD7AC1" w:rsidRPr="000B557A" w:rsidRDefault="00BD7AC1">
      <w:pPr>
        <w:pStyle w:val="Textonotapie"/>
      </w:pPr>
      <w:r w:rsidRPr="000B557A">
        <w:rPr>
          <w:rStyle w:val="Refdenotaalpie"/>
          <w:rFonts w:ascii="ITC Avant Garde" w:hAnsi="ITC Avant Garde"/>
        </w:rPr>
        <w:footnoteRef/>
      </w:r>
      <w:r w:rsidRPr="000B557A">
        <w:rPr>
          <w:rFonts w:ascii="ITC Avant Garde" w:hAnsi="ITC Avant Garde"/>
        </w:rPr>
        <w:t xml:space="preserve"> </w:t>
      </w:r>
      <w:r w:rsidRPr="000B557A">
        <w:rPr>
          <w:rFonts w:ascii="ITC Avant Garde" w:hAnsi="ITC Avant Garde" w:cs="Arial"/>
          <w:bCs/>
          <w:i/>
          <w:sz w:val="18"/>
          <w:szCs w:val="18"/>
          <w:lang w:eastAsia="es-ES"/>
        </w:rPr>
        <w:t>“</w:t>
      </w:r>
      <w:r w:rsidRPr="000B557A">
        <w:rPr>
          <w:rFonts w:ascii="ITC Avant Garde" w:hAnsi="ITC Avant Garde" w:cs="ITC Avant Garde"/>
          <w:i/>
          <w:sz w:val="18"/>
          <w:szCs w:val="18"/>
          <w:lang w:val="es-ES_tradnl" w:eastAsia="es-ES"/>
        </w:rPr>
        <w:t xml:space="preserve">RESOLUCIÓN MEDIANTE LA CUAL EL PLENO DEL INSTITUTO FEDERAL DE TELECOMUNICACIONES MODIFICA Y APRUEBA AL AGENTE ECONÓMICO PREPONDERANTE LOS TÉRMINOS Y CONDICIONES DEL CONVENIO MARCO DE INTERCONEXIÓN PRESENTADO POR RADIOMÓVIL </w:t>
      </w:r>
      <w:r w:rsidRPr="000C373D">
        <w:rPr>
          <w:rFonts w:ascii="ITC Avant Garde" w:hAnsi="ITC Avant Garde" w:cs="ITC Avant Garde"/>
          <w:sz w:val="18"/>
          <w:szCs w:val="18"/>
          <w:lang w:val="es-ES_tradnl" w:eastAsia="es-ES"/>
        </w:rPr>
        <w:t>DIPSA, S.A. DE C.V. APLICABLE DEL 1 DE ENERO AL 31 DE DICIEMBRE DE 2019”</w:t>
      </w:r>
      <w:r>
        <w:rPr>
          <w:rFonts w:ascii="ITC Avant Garde" w:hAnsi="ITC Avant Garde" w:cs="ITC Avant Garde"/>
          <w:sz w:val="18"/>
          <w:szCs w:val="18"/>
          <w:lang w:val="es-ES_tradnl" w:eastAsia="es-ES"/>
        </w:rPr>
        <w:t xml:space="preserve">, aprobado mediante Acuerdo </w:t>
      </w:r>
      <w:r w:rsidRPr="000C373D">
        <w:rPr>
          <w:rFonts w:ascii="ITC Avant Garde" w:hAnsi="ITC Avant Garde" w:cs="ITC Avant Garde"/>
          <w:sz w:val="18"/>
          <w:szCs w:val="18"/>
          <w:lang w:val="es-ES_tradnl" w:eastAsia="es-ES"/>
        </w:rPr>
        <w:t>P/IFT/311018/657</w:t>
      </w:r>
      <w:r>
        <w:rPr>
          <w:rFonts w:ascii="ITC Avant Garde" w:hAnsi="ITC Avant Garde" w:cs="ITC Avant Garde"/>
          <w:sz w:val="18"/>
          <w:szCs w:val="18"/>
          <w:lang w:val="es-ES_tradnl" w:eastAsia="es-ES"/>
        </w:rPr>
        <w:t xml:space="preserve"> </w:t>
      </w:r>
    </w:p>
  </w:footnote>
  <w:footnote w:id="2">
    <w:p w14:paraId="7B78555E" w14:textId="261BC0CD" w:rsidR="00BD7AC1" w:rsidRPr="005E369D" w:rsidRDefault="00BD7AC1" w:rsidP="005E369D">
      <w:pPr>
        <w:autoSpaceDE w:val="0"/>
        <w:autoSpaceDN w:val="0"/>
        <w:adjustRightInd w:val="0"/>
        <w:spacing w:after="0" w:line="240" w:lineRule="auto"/>
        <w:rPr>
          <w:rFonts w:ascii="ITC Avant Garde" w:hAnsi="ITC Avant Garde"/>
          <w:sz w:val="18"/>
          <w:szCs w:val="18"/>
        </w:rPr>
      </w:pPr>
      <w:r w:rsidRPr="005E369D">
        <w:rPr>
          <w:rStyle w:val="Refdenotaalpie"/>
          <w:rFonts w:ascii="ITC Avant Garde" w:hAnsi="ITC Avant Garde"/>
          <w:sz w:val="18"/>
          <w:szCs w:val="18"/>
        </w:rPr>
        <w:footnoteRef/>
      </w:r>
      <w:r w:rsidRPr="005E369D">
        <w:rPr>
          <w:rFonts w:ascii="ITC Avant Garde" w:hAnsi="ITC Avant Garde"/>
          <w:sz w:val="18"/>
          <w:szCs w:val="18"/>
        </w:rPr>
        <w:t xml:space="preserve"> </w:t>
      </w:r>
      <w:r w:rsidRPr="0030185B">
        <w:rPr>
          <w:rFonts w:ascii="ITC Avant Garde" w:hAnsi="ITC Avant Garde" w:cs="ArialMT"/>
          <w:i/>
          <w:color w:val="2F2F2F"/>
          <w:sz w:val="18"/>
          <w:szCs w:val="18"/>
        </w:rPr>
        <w:t>ACUERDO MEDIANTE EL CUAL EL PLENO DEL INSTITUTO FEDERAL DE TELECOMUNICACIONES EMITE LOS LINEAMIENTOS PARA LA COMERCIALIZACIÓN DE SERVICIOS MÓVILES POR PARTE DE OPERADORES MÓVILES VIRTUALES</w:t>
      </w:r>
      <w:r>
        <w:rPr>
          <w:rFonts w:ascii="ITC Avant Garde" w:hAnsi="ITC Avant Garde" w:cs="ArialMT"/>
          <w:color w:val="2F2F2F"/>
          <w:sz w:val="18"/>
          <w:szCs w:val="18"/>
        </w:rPr>
        <w:t xml:space="preserve">, aprobado mediante Acuerdo </w:t>
      </w:r>
      <w:r w:rsidRPr="005E369D">
        <w:rPr>
          <w:rFonts w:ascii="ITC Avant Garde" w:hAnsi="ITC Avant Garde" w:cs="ArialMT"/>
          <w:color w:val="2F2F2F"/>
          <w:sz w:val="18"/>
          <w:szCs w:val="18"/>
        </w:rPr>
        <w:t>P/IFT/170216/35</w:t>
      </w:r>
      <w:r>
        <w:rPr>
          <w:rFonts w:ascii="ITC Avant Garde" w:hAnsi="ITC Avant Garde" w:cs="ArialMT"/>
          <w:color w:val="2F2F2F"/>
          <w:sz w:val="18"/>
          <w:szCs w:val="18"/>
        </w:rPr>
        <w:t>.</w:t>
      </w:r>
    </w:p>
  </w:footnote>
  <w:footnote w:id="3">
    <w:p w14:paraId="07D64443" w14:textId="77777777" w:rsidR="00ED131F" w:rsidRPr="00F3554C" w:rsidRDefault="00ED131F" w:rsidP="00242F91">
      <w:pPr>
        <w:autoSpaceDE w:val="0"/>
        <w:autoSpaceDN w:val="0"/>
        <w:adjustRightInd w:val="0"/>
        <w:spacing w:after="0" w:line="240" w:lineRule="auto"/>
      </w:pPr>
      <w:r w:rsidRPr="00242F91">
        <w:rPr>
          <w:rStyle w:val="Refdenotaalpie"/>
          <w:rFonts w:ascii="ITC Avant Garde" w:hAnsi="ITC Avant Garde"/>
          <w:sz w:val="18"/>
          <w:szCs w:val="18"/>
        </w:rPr>
        <w:footnoteRef/>
      </w:r>
      <w:r w:rsidRPr="00242F91">
        <w:rPr>
          <w:rStyle w:val="Refdenotaalpie"/>
          <w:rFonts w:ascii="ITC Avant Garde" w:hAnsi="ITC Avant Garde"/>
          <w:sz w:val="18"/>
          <w:szCs w:val="18"/>
        </w:rPr>
        <w:t xml:space="preserve"> </w:t>
      </w:r>
      <w:r w:rsidRPr="00242F91">
        <w:rPr>
          <w:rFonts w:ascii="ITC Avant Garde" w:hAnsi="ITC Avant Garde" w:cs="ArialMT"/>
          <w:i/>
          <w:color w:val="2F2F2F"/>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aprobado mediante Acuerdo P/IFT/161117/713.</w:t>
      </w:r>
    </w:p>
  </w:footnote>
  <w:footnote w:id="4">
    <w:p w14:paraId="6E85DADE" w14:textId="77777777" w:rsidR="00BD7AC1" w:rsidRPr="00F3554C" w:rsidRDefault="00BD7AC1" w:rsidP="0030185B">
      <w:pPr>
        <w:autoSpaceDE w:val="0"/>
        <w:autoSpaceDN w:val="0"/>
        <w:adjustRightInd w:val="0"/>
        <w:spacing w:after="0" w:line="240" w:lineRule="auto"/>
      </w:pPr>
      <w:r>
        <w:rPr>
          <w:rStyle w:val="Refdenotaalpie"/>
        </w:rPr>
        <w:footnoteRef/>
      </w:r>
      <w:r>
        <w:t xml:space="preserve"> </w:t>
      </w:r>
      <w:r w:rsidRPr="00D84872">
        <w:rPr>
          <w:rFonts w:ascii="ITC Avant Garde" w:eastAsia="Calibri" w:hAnsi="ITC Avant Garde" w:cs="Times New Roman"/>
          <w:bCs/>
          <w:i/>
          <w:sz w:val="18"/>
          <w:szCs w:val="18"/>
        </w:rPr>
        <w:t>ACUERDO MEDIANTE EL CUAL EL PLENO DEL INSTITUTO FEDERAL DE TELECOMUNICACIONES APRUEBA Y</w:t>
      </w:r>
      <w:r>
        <w:rPr>
          <w:rFonts w:ascii="ITC Avant Garde" w:eastAsia="Calibri" w:hAnsi="ITC Avant Garde" w:cs="Times New Roman"/>
          <w:bCs/>
          <w:i/>
          <w:sz w:val="18"/>
          <w:szCs w:val="18"/>
        </w:rPr>
        <w:t xml:space="preserve"> </w:t>
      </w:r>
      <w:r w:rsidRPr="00D84872">
        <w:rPr>
          <w:rFonts w:ascii="ITC Avant Garde" w:eastAsia="Calibri" w:hAnsi="ITC Avant Garde" w:cs="Times New Roman"/>
          <w:bCs/>
          <w:i/>
          <w:sz w:val="18"/>
          <w:szCs w:val="18"/>
        </w:rPr>
        <w:t>EMITE “EL PLAN TÉCNICO FUNDAMENTAL DE NUMERACIÓN, EL PLAN TÉCNICO FUNDAMENTAL DE</w:t>
      </w:r>
      <w:r>
        <w:rPr>
          <w:rFonts w:ascii="ITC Avant Garde" w:eastAsia="Calibri" w:hAnsi="ITC Avant Garde" w:cs="Times New Roman"/>
          <w:bCs/>
          <w:i/>
          <w:sz w:val="18"/>
          <w:szCs w:val="18"/>
        </w:rPr>
        <w:t xml:space="preserve"> </w:t>
      </w:r>
      <w:r w:rsidRPr="00D84872">
        <w:rPr>
          <w:rFonts w:ascii="ITC Avant Garde" w:eastAsia="Calibri" w:hAnsi="ITC Avant Garde" w:cs="Times New Roman"/>
          <w:bCs/>
          <w:i/>
          <w:sz w:val="18"/>
          <w:szCs w:val="18"/>
        </w:rPr>
        <w:t>SEÑALIZACIÓN Y LA MODIFICACIÓN A LAS REGLAS DE PORTABILIDAD NUMÉRICA, PUBLICADAS EL 12</w:t>
      </w:r>
      <w:r>
        <w:rPr>
          <w:rFonts w:ascii="ITC Avant Garde" w:eastAsia="Calibri" w:hAnsi="ITC Avant Garde" w:cs="Times New Roman"/>
          <w:bCs/>
          <w:i/>
          <w:sz w:val="18"/>
          <w:szCs w:val="18"/>
        </w:rPr>
        <w:t xml:space="preserve"> </w:t>
      </w:r>
      <w:r>
        <w:rPr>
          <w:rFonts w:ascii="ITC Avant Garde" w:hAnsi="ITC Avant Garde" w:cs="Times New Roman"/>
          <w:bCs/>
          <w:i/>
          <w:sz w:val="18"/>
          <w:szCs w:val="18"/>
        </w:rPr>
        <w:t xml:space="preserve">DE NOVIEMBRE DE 2014”, </w:t>
      </w:r>
      <w:r>
        <w:rPr>
          <w:rFonts w:ascii="ITC Avant Garde" w:hAnsi="ITC Avant Garde" w:cs="Times New Roman"/>
          <w:bCs/>
          <w:sz w:val="18"/>
          <w:szCs w:val="18"/>
        </w:rPr>
        <w:t>aprobado mediante Acuerdo P/IFT/161117/713.</w:t>
      </w:r>
    </w:p>
  </w:footnote>
  <w:footnote w:id="5">
    <w:p w14:paraId="5E73695B" w14:textId="0DAD7783" w:rsidR="00565C1B" w:rsidRPr="00027E9F" w:rsidRDefault="00565C1B">
      <w:pPr>
        <w:pStyle w:val="Textonotapie"/>
        <w:rPr>
          <w:rFonts w:ascii="ITC Avant Garde" w:hAnsi="ITC Avant Garde" w:cs="ITC Avant Garde"/>
          <w:i/>
          <w:sz w:val="18"/>
          <w:szCs w:val="18"/>
          <w:lang w:val="es-ES_tradnl" w:eastAsia="es-ES"/>
        </w:rPr>
      </w:pPr>
      <w:r>
        <w:rPr>
          <w:rStyle w:val="Refdenotaalpie"/>
        </w:rPr>
        <w:footnoteRef/>
      </w:r>
      <w:r>
        <w:t xml:space="preserve"> </w:t>
      </w:r>
      <w:r w:rsidRPr="000B557A">
        <w:rPr>
          <w:rFonts w:ascii="ITC Avant Garde" w:hAnsi="ITC Avant Garde" w:cs="Arial"/>
          <w:bCs/>
          <w:i/>
          <w:sz w:val="18"/>
          <w:szCs w:val="18"/>
          <w:lang w:eastAsia="es-ES"/>
        </w:rPr>
        <w:t>“</w:t>
      </w:r>
      <w:r w:rsidRPr="000B557A">
        <w:rPr>
          <w:rFonts w:ascii="ITC Avant Garde" w:hAnsi="ITC Avant Garde" w:cs="ITC Avant Garde"/>
          <w:i/>
          <w:sz w:val="18"/>
          <w:szCs w:val="18"/>
          <w:lang w:val="es-ES_tradnl" w:eastAsia="es-ES"/>
        </w:rPr>
        <w:t xml:space="preserve">RESOLUCIÓN MEDIANTE LA CUAL EL PLENO DEL INSTITUTO FEDERAL DE TELECOMUNICACIONES MODIFICA Y APRUEBA AL AGENTE ECONÓMICO PREPONDERANTE LOS TÉRMINOS Y CONDICIONES DEL CONVENIO MARCO DE INTERCONEXIÓN PRESENTADO POR RADIOMÓVIL DIPSA, S.A. DE C.V. APLICABLE DEL 1 DE </w:t>
      </w:r>
      <w:r w:rsidR="0073352B">
        <w:rPr>
          <w:rFonts w:ascii="ITC Avant Garde" w:hAnsi="ITC Avant Garde" w:cs="ITC Avant Garde"/>
          <w:i/>
          <w:sz w:val="18"/>
          <w:szCs w:val="18"/>
          <w:lang w:val="es-ES_tradnl" w:eastAsia="es-ES"/>
        </w:rPr>
        <w:t>ENERO AL 31 DE DICIEMBRE DE 2017</w:t>
      </w:r>
      <w:r w:rsidRPr="000B557A">
        <w:rPr>
          <w:rFonts w:ascii="ITC Avant Garde" w:hAnsi="ITC Avant Garde" w:cs="ITC Avant Garde"/>
          <w:i/>
          <w:sz w:val="18"/>
          <w:szCs w:val="18"/>
          <w:lang w:val="es-ES_tradnl" w:eastAsia="es-ES"/>
        </w:rPr>
        <w:t>”</w:t>
      </w:r>
      <w:r>
        <w:rPr>
          <w:rFonts w:ascii="ITC Avant Garde" w:hAnsi="ITC Avant Garde" w:cs="ITC Avant Garde"/>
          <w:sz w:val="18"/>
          <w:szCs w:val="18"/>
          <w:lang w:val="es-ES_tradnl" w:eastAsia="es-ES"/>
        </w:rPr>
        <w:t xml:space="preserve">, aprobado mediante Acuerdo </w:t>
      </w:r>
      <w:r w:rsidRPr="00027E9F">
        <w:rPr>
          <w:rFonts w:ascii="ITC Avant Garde" w:hAnsi="ITC Avant Garde" w:cs="ITC Avant Garde"/>
          <w:i/>
          <w:sz w:val="18"/>
          <w:szCs w:val="18"/>
          <w:lang w:val="es-ES_tradnl" w:eastAsia="es-ES"/>
        </w:rPr>
        <w:t>P/IFT/</w:t>
      </w:r>
      <w:r w:rsidR="0073352B" w:rsidRPr="00027E9F">
        <w:rPr>
          <w:rFonts w:ascii="ITC Avant Garde" w:hAnsi="ITC Avant Garde" w:cs="ITC Avant Garde"/>
          <w:i/>
          <w:sz w:val="18"/>
          <w:szCs w:val="18"/>
          <w:lang w:val="es-ES_tradnl" w:eastAsia="es-ES"/>
        </w:rPr>
        <w:t>EXT/241116/42</w:t>
      </w:r>
    </w:p>
  </w:footnote>
  <w:footnote w:id="6">
    <w:p w14:paraId="70D18322" w14:textId="0288699C" w:rsidR="00BD7AC1" w:rsidRPr="00A1382B" w:rsidRDefault="00BD7AC1" w:rsidP="00A1382B">
      <w:pPr>
        <w:pStyle w:val="Default"/>
        <w:jc w:val="both"/>
        <w:rPr>
          <w:sz w:val="18"/>
          <w:szCs w:val="18"/>
        </w:rPr>
      </w:pPr>
      <w:r w:rsidRPr="00031C76">
        <w:rPr>
          <w:rStyle w:val="Refdenotaalpie"/>
          <w:rFonts w:ascii="ITC Avant Garde" w:hAnsi="ITC Avant Garde"/>
        </w:rPr>
        <w:footnoteRef/>
      </w:r>
      <w:r w:rsidRPr="00031C76">
        <w:rPr>
          <w:rFonts w:ascii="ITC Avant Garde" w:hAnsi="ITC Avant Garde"/>
        </w:rPr>
        <w:t xml:space="preserve"> </w:t>
      </w:r>
      <w:r w:rsidRPr="00A1382B">
        <w:rPr>
          <w:rFonts w:ascii="ITC Avant Garde" w:hAnsi="ITC Avant Garde"/>
          <w:i/>
          <w:sz w:val="18"/>
          <w:szCs w:val="18"/>
        </w:rPr>
        <w:t xml:space="preserve">“ACUERDO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2020”, </w:t>
      </w:r>
      <w:r>
        <w:rPr>
          <w:rFonts w:ascii="ITC Avant Garde" w:hAnsi="ITC Avant Garde"/>
          <w:sz w:val="18"/>
          <w:szCs w:val="18"/>
        </w:rPr>
        <w:t>aprobado mediante A</w:t>
      </w:r>
      <w:r w:rsidRPr="00A1382B">
        <w:rPr>
          <w:rFonts w:ascii="ITC Avant Garde" w:hAnsi="ITC Avant Garde"/>
          <w:sz w:val="18"/>
          <w:szCs w:val="18"/>
        </w:rPr>
        <w:t>cuerdo P/IFT/161019/505</w:t>
      </w:r>
    </w:p>
  </w:footnote>
  <w:footnote w:id="7">
    <w:p w14:paraId="67283AEE" w14:textId="1C7CC951" w:rsidR="00DB2A5E" w:rsidRPr="00E72F7E" w:rsidRDefault="00DB2A5E" w:rsidP="00E72F7E">
      <w:pPr>
        <w:pStyle w:val="Default"/>
        <w:jc w:val="both"/>
        <w:rPr>
          <w:rFonts w:ascii="ITC Avant Garde" w:hAnsi="ITC Avant Garde"/>
          <w:sz w:val="16"/>
          <w:szCs w:val="16"/>
        </w:rPr>
      </w:pPr>
      <w:r w:rsidRPr="00DB2A5E">
        <w:rPr>
          <w:rStyle w:val="Refdenotaalpie"/>
          <w:rFonts w:ascii="ITC Avant Garde" w:hAnsi="ITC Avant Garde"/>
        </w:rPr>
        <w:footnoteRef/>
      </w:r>
      <w:r>
        <w:t xml:space="preserve"> </w:t>
      </w:r>
      <w:r w:rsidRPr="00E72F7E">
        <w:rPr>
          <w:rFonts w:ascii="ITC Avant Garde" w:hAnsi="ITC Avant Garde"/>
          <w:i/>
          <w:sz w:val="16"/>
          <w:szCs w:val="16"/>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2019”</w:t>
      </w:r>
      <w:r>
        <w:rPr>
          <w:rFonts w:ascii="ITC Avant Garde" w:hAnsi="ITC Avant Garde"/>
          <w:sz w:val="16"/>
          <w:szCs w:val="16"/>
        </w:rPr>
        <w:t xml:space="preserve">, aprobado mediante Acuerdo </w:t>
      </w:r>
      <w:r w:rsidR="00E72F7E" w:rsidRPr="00E72F7E">
        <w:rPr>
          <w:rFonts w:ascii="ITC Avant Garde" w:hAnsi="ITC Avant Garde"/>
          <w:sz w:val="16"/>
          <w:szCs w:val="16"/>
        </w:rPr>
        <w:t>P/IFT/311018/656</w:t>
      </w:r>
      <w:r w:rsidR="00E72F7E">
        <w:rPr>
          <w:rFonts w:ascii="ITC Avant Garde" w:hAnsi="ITC Avant Garde"/>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5"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9124C12"/>
    <w:multiLevelType w:val="hybridMultilevel"/>
    <w:tmpl w:val="0F847D2A"/>
    <w:lvl w:ilvl="0" w:tplc="080A000F">
      <w:start w:val="1"/>
      <w:numFmt w:val="decimal"/>
      <w:pStyle w:val="Listaconvieta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99"/>
    <w:rsid w:val="00003891"/>
    <w:rsid w:val="00007436"/>
    <w:rsid w:val="00007B1B"/>
    <w:rsid w:val="000109AC"/>
    <w:rsid w:val="00010B41"/>
    <w:rsid w:val="00011E52"/>
    <w:rsid w:val="00011FF8"/>
    <w:rsid w:val="000121AD"/>
    <w:rsid w:val="00016AFE"/>
    <w:rsid w:val="0002123D"/>
    <w:rsid w:val="00024950"/>
    <w:rsid w:val="00025974"/>
    <w:rsid w:val="00027E9F"/>
    <w:rsid w:val="00030226"/>
    <w:rsid w:val="00031C76"/>
    <w:rsid w:val="00033305"/>
    <w:rsid w:val="000371C6"/>
    <w:rsid w:val="000405EE"/>
    <w:rsid w:val="00040E16"/>
    <w:rsid w:val="00044380"/>
    <w:rsid w:val="00050AA4"/>
    <w:rsid w:val="00054DA1"/>
    <w:rsid w:val="00055608"/>
    <w:rsid w:val="000666CC"/>
    <w:rsid w:val="00073E55"/>
    <w:rsid w:val="000755FD"/>
    <w:rsid w:val="00085622"/>
    <w:rsid w:val="00087A87"/>
    <w:rsid w:val="00087E37"/>
    <w:rsid w:val="00095A2C"/>
    <w:rsid w:val="00095A53"/>
    <w:rsid w:val="00096169"/>
    <w:rsid w:val="000A1D96"/>
    <w:rsid w:val="000A4698"/>
    <w:rsid w:val="000A693B"/>
    <w:rsid w:val="000B17A2"/>
    <w:rsid w:val="000B226B"/>
    <w:rsid w:val="000B27A3"/>
    <w:rsid w:val="000B4E10"/>
    <w:rsid w:val="000B557A"/>
    <w:rsid w:val="000B59EC"/>
    <w:rsid w:val="000B6DC4"/>
    <w:rsid w:val="000C06F8"/>
    <w:rsid w:val="000C2042"/>
    <w:rsid w:val="000C373D"/>
    <w:rsid w:val="000C6BA1"/>
    <w:rsid w:val="000D002F"/>
    <w:rsid w:val="000D07DD"/>
    <w:rsid w:val="000D240B"/>
    <w:rsid w:val="000E1588"/>
    <w:rsid w:val="000E19E5"/>
    <w:rsid w:val="000E4FAB"/>
    <w:rsid w:val="000E741B"/>
    <w:rsid w:val="000F063E"/>
    <w:rsid w:val="000F2110"/>
    <w:rsid w:val="000F73E4"/>
    <w:rsid w:val="00104AEE"/>
    <w:rsid w:val="00106D55"/>
    <w:rsid w:val="00111259"/>
    <w:rsid w:val="0011236E"/>
    <w:rsid w:val="0011727C"/>
    <w:rsid w:val="00120B97"/>
    <w:rsid w:val="00122273"/>
    <w:rsid w:val="0012361B"/>
    <w:rsid w:val="001243E7"/>
    <w:rsid w:val="00124FE9"/>
    <w:rsid w:val="00130D66"/>
    <w:rsid w:val="00131122"/>
    <w:rsid w:val="00137A46"/>
    <w:rsid w:val="001422A0"/>
    <w:rsid w:val="0014683C"/>
    <w:rsid w:val="00150B62"/>
    <w:rsid w:val="0015131A"/>
    <w:rsid w:val="00155359"/>
    <w:rsid w:val="00160642"/>
    <w:rsid w:val="00160D5F"/>
    <w:rsid w:val="00165E48"/>
    <w:rsid w:val="00173DF5"/>
    <w:rsid w:val="001750FB"/>
    <w:rsid w:val="00175648"/>
    <w:rsid w:val="0017788E"/>
    <w:rsid w:val="0018327F"/>
    <w:rsid w:val="001852DD"/>
    <w:rsid w:val="001907D9"/>
    <w:rsid w:val="00190825"/>
    <w:rsid w:val="001920F7"/>
    <w:rsid w:val="00192CF2"/>
    <w:rsid w:val="001951DF"/>
    <w:rsid w:val="001A1F48"/>
    <w:rsid w:val="001A2A6B"/>
    <w:rsid w:val="001A3B0C"/>
    <w:rsid w:val="001A451B"/>
    <w:rsid w:val="001A4EA4"/>
    <w:rsid w:val="001A6F48"/>
    <w:rsid w:val="001B0C1E"/>
    <w:rsid w:val="001B68D8"/>
    <w:rsid w:val="001C1DBC"/>
    <w:rsid w:val="001D046B"/>
    <w:rsid w:val="001D0AA1"/>
    <w:rsid w:val="001D5251"/>
    <w:rsid w:val="001D685A"/>
    <w:rsid w:val="001D7B77"/>
    <w:rsid w:val="001E52EC"/>
    <w:rsid w:val="001F0252"/>
    <w:rsid w:val="001F131C"/>
    <w:rsid w:val="001F269F"/>
    <w:rsid w:val="00200D3A"/>
    <w:rsid w:val="00203837"/>
    <w:rsid w:val="00204FBA"/>
    <w:rsid w:val="00212AF0"/>
    <w:rsid w:val="002150D7"/>
    <w:rsid w:val="002173A0"/>
    <w:rsid w:val="0022157B"/>
    <w:rsid w:val="00223DD0"/>
    <w:rsid w:val="002244A8"/>
    <w:rsid w:val="00227CEE"/>
    <w:rsid w:val="00234B57"/>
    <w:rsid w:val="002359B0"/>
    <w:rsid w:val="002419CB"/>
    <w:rsid w:val="002425B5"/>
    <w:rsid w:val="002427FE"/>
    <w:rsid w:val="00242F91"/>
    <w:rsid w:val="0024324F"/>
    <w:rsid w:val="00250EFA"/>
    <w:rsid w:val="002532EE"/>
    <w:rsid w:val="0025641D"/>
    <w:rsid w:val="00260020"/>
    <w:rsid w:val="00261D61"/>
    <w:rsid w:val="0026209F"/>
    <w:rsid w:val="00262696"/>
    <w:rsid w:val="002676C9"/>
    <w:rsid w:val="00273245"/>
    <w:rsid w:val="00274978"/>
    <w:rsid w:val="0027548E"/>
    <w:rsid w:val="002754BE"/>
    <w:rsid w:val="00277CBB"/>
    <w:rsid w:val="00277E97"/>
    <w:rsid w:val="002814F6"/>
    <w:rsid w:val="002870CC"/>
    <w:rsid w:val="00291A08"/>
    <w:rsid w:val="0029455B"/>
    <w:rsid w:val="002A0A4E"/>
    <w:rsid w:val="002A0B24"/>
    <w:rsid w:val="002A1E28"/>
    <w:rsid w:val="002A74E1"/>
    <w:rsid w:val="002A7B20"/>
    <w:rsid w:val="002B0C6B"/>
    <w:rsid w:val="002B0E57"/>
    <w:rsid w:val="002B1A2A"/>
    <w:rsid w:val="002B339C"/>
    <w:rsid w:val="002B47E7"/>
    <w:rsid w:val="002C4823"/>
    <w:rsid w:val="002C5C6A"/>
    <w:rsid w:val="002D4ECF"/>
    <w:rsid w:val="002D60DA"/>
    <w:rsid w:val="002D726A"/>
    <w:rsid w:val="002D7D99"/>
    <w:rsid w:val="002E01B9"/>
    <w:rsid w:val="002E33F5"/>
    <w:rsid w:val="002E403D"/>
    <w:rsid w:val="002F0022"/>
    <w:rsid w:val="002F0919"/>
    <w:rsid w:val="002F100B"/>
    <w:rsid w:val="002F10E1"/>
    <w:rsid w:val="002F2A6B"/>
    <w:rsid w:val="002F4AEC"/>
    <w:rsid w:val="00300EA5"/>
    <w:rsid w:val="0030107D"/>
    <w:rsid w:val="0030185B"/>
    <w:rsid w:val="003039C2"/>
    <w:rsid w:val="003045C3"/>
    <w:rsid w:val="00306C97"/>
    <w:rsid w:val="00307331"/>
    <w:rsid w:val="00307B57"/>
    <w:rsid w:val="0031246C"/>
    <w:rsid w:val="00312724"/>
    <w:rsid w:val="00317E53"/>
    <w:rsid w:val="00320377"/>
    <w:rsid w:val="0032397E"/>
    <w:rsid w:val="00324B6C"/>
    <w:rsid w:val="003275DB"/>
    <w:rsid w:val="00327D97"/>
    <w:rsid w:val="00330547"/>
    <w:rsid w:val="00331E75"/>
    <w:rsid w:val="00332E2F"/>
    <w:rsid w:val="00334332"/>
    <w:rsid w:val="00335EE9"/>
    <w:rsid w:val="00336B92"/>
    <w:rsid w:val="00336F2A"/>
    <w:rsid w:val="00345258"/>
    <w:rsid w:val="00352500"/>
    <w:rsid w:val="003533ED"/>
    <w:rsid w:val="00355535"/>
    <w:rsid w:val="00356052"/>
    <w:rsid w:val="00361118"/>
    <w:rsid w:val="003624AA"/>
    <w:rsid w:val="00362954"/>
    <w:rsid w:val="003676A8"/>
    <w:rsid w:val="003700E4"/>
    <w:rsid w:val="00370BFE"/>
    <w:rsid w:val="00376D51"/>
    <w:rsid w:val="00377423"/>
    <w:rsid w:val="00380EB0"/>
    <w:rsid w:val="003823F2"/>
    <w:rsid w:val="00386757"/>
    <w:rsid w:val="00387BE6"/>
    <w:rsid w:val="0039106D"/>
    <w:rsid w:val="003915A7"/>
    <w:rsid w:val="00391D58"/>
    <w:rsid w:val="00393686"/>
    <w:rsid w:val="00394184"/>
    <w:rsid w:val="0039640D"/>
    <w:rsid w:val="00396D41"/>
    <w:rsid w:val="003A189F"/>
    <w:rsid w:val="003A22A4"/>
    <w:rsid w:val="003A409F"/>
    <w:rsid w:val="003A7DE5"/>
    <w:rsid w:val="003B2CE9"/>
    <w:rsid w:val="003B4052"/>
    <w:rsid w:val="003B432B"/>
    <w:rsid w:val="003B4475"/>
    <w:rsid w:val="003B63F4"/>
    <w:rsid w:val="003C0740"/>
    <w:rsid w:val="003C509C"/>
    <w:rsid w:val="003C6124"/>
    <w:rsid w:val="003C714B"/>
    <w:rsid w:val="003D2201"/>
    <w:rsid w:val="003D79A2"/>
    <w:rsid w:val="003E5658"/>
    <w:rsid w:val="003F1CA8"/>
    <w:rsid w:val="003F1D8E"/>
    <w:rsid w:val="003F5286"/>
    <w:rsid w:val="003F6C78"/>
    <w:rsid w:val="003F6F03"/>
    <w:rsid w:val="00401423"/>
    <w:rsid w:val="0040266D"/>
    <w:rsid w:val="00405F7D"/>
    <w:rsid w:val="0040611D"/>
    <w:rsid w:val="00407A97"/>
    <w:rsid w:val="004119C4"/>
    <w:rsid w:val="004153A4"/>
    <w:rsid w:val="004163C6"/>
    <w:rsid w:val="00421913"/>
    <w:rsid w:val="00422C1F"/>
    <w:rsid w:val="00425316"/>
    <w:rsid w:val="00426C3A"/>
    <w:rsid w:val="004309F6"/>
    <w:rsid w:val="00432012"/>
    <w:rsid w:val="0043354B"/>
    <w:rsid w:val="00433ECC"/>
    <w:rsid w:val="00437D53"/>
    <w:rsid w:val="00443AA7"/>
    <w:rsid w:val="004465F9"/>
    <w:rsid w:val="00447810"/>
    <w:rsid w:val="00447841"/>
    <w:rsid w:val="004508DB"/>
    <w:rsid w:val="00454382"/>
    <w:rsid w:val="00464891"/>
    <w:rsid w:val="00465297"/>
    <w:rsid w:val="00466EF1"/>
    <w:rsid w:val="00472935"/>
    <w:rsid w:val="00477220"/>
    <w:rsid w:val="00483DC4"/>
    <w:rsid w:val="004900DF"/>
    <w:rsid w:val="004913A6"/>
    <w:rsid w:val="00491A43"/>
    <w:rsid w:val="0049237C"/>
    <w:rsid w:val="004926DD"/>
    <w:rsid w:val="004944EF"/>
    <w:rsid w:val="0049506A"/>
    <w:rsid w:val="004957E8"/>
    <w:rsid w:val="004957F8"/>
    <w:rsid w:val="004A4636"/>
    <w:rsid w:val="004A4642"/>
    <w:rsid w:val="004A499D"/>
    <w:rsid w:val="004A65F1"/>
    <w:rsid w:val="004A6A7F"/>
    <w:rsid w:val="004D146E"/>
    <w:rsid w:val="004D25BC"/>
    <w:rsid w:val="004E2909"/>
    <w:rsid w:val="004E29BF"/>
    <w:rsid w:val="004E2EFA"/>
    <w:rsid w:val="004E5397"/>
    <w:rsid w:val="004E718C"/>
    <w:rsid w:val="004E7717"/>
    <w:rsid w:val="004F2448"/>
    <w:rsid w:val="004F2702"/>
    <w:rsid w:val="004F3303"/>
    <w:rsid w:val="004F3406"/>
    <w:rsid w:val="004F5419"/>
    <w:rsid w:val="004F6497"/>
    <w:rsid w:val="004F664E"/>
    <w:rsid w:val="0050121C"/>
    <w:rsid w:val="00502BF7"/>
    <w:rsid w:val="00503423"/>
    <w:rsid w:val="00505DB9"/>
    <w:rsid w:val="005074BA"/>
    <w:rsid w:val="00515D35"/>
    <w:rsid w:val="00522E26"/>
    <w:rsid w:val="005268FA"/>
    <w:rsid w:val="00532517"/>
    <w:rsid w:val="005335F5"/>
    <w:rsid w:val="0053503B"/>
    <w:rsid w:val="00535927"/>
    <w:rsid w:val="00541217"/>
    <w:rsid w:val="00546C27"/>
    <w:rsid w:val="005506E0"/>
    <w:rsid w:val="00552301"/>
    <w:rsid w:val="005533CB"/>
    <w:rsid w:val="00555754"/>
    <w:rsid w:val="00557E73"/>
    <w:rsid w:val="00557FC6"/>
    <w:rsid w:val="0056395C"/>
    <w:rsid w:val="00565C1B"/>
    <w:rsid w:val="00565FEB"/>
    <w:rsid w:val="00573DE8"/>
    <w:rsid w:val="00577A3C"/>
    <w:rsid w:val="00577F91"/>
    <w:rsid w:val="00580940"/>
    <w:rsid w:val="005814E4"/>
    <w:rsid w:val="00581B65"/>
    <w:rsid w:val="0058274E"/>
    <w:rsid w:val="00582F2C"/>
    <w:rsid w:val="0058502C"/>
    <w:rsid w:val="0059211A"/>
    <w:rsid w:val="005945DF"/>
    <w:rsid w:val="005A1644"/>
    <w:rsid w:val="005A6DCA"/>
    <w:rsid w:val="005A79C7"/>
    <w:rsid w:val="005B09AB"/>
    <w:rsid w:val="005B0A2C"/>
    <w:rsid w:val="005C300E"/>
    <w:rsid w:val="005C31CD"/>
    <w:rsid w:val="005C5CF6"/>
    <w:rsid w:val="005C73EB"/>
    <w:rsid w:val="005D110C"/>
    <w:rsid w:val="005D3784"/>
    <w:rsid w:val="005D5169"/>
    <w:rsid w:val="005D5C6E"/>
    <w:rsid w:val="005D60D9"/>
    <w:rsid w:val="005E369D"/>
    <w:rsid w:val="005E4869"/>
    <w:rsid w:val="005E4ACB"/>
    <w:rsid w:val="005F2936"/>
    <w:rsid w:val="005F45D7"/>
    <w:rsid w:val="005F673E"/>
    <w:rsid w:val="005F7730"/>
    <w:rsid w:val="00600E35"/>
    <w:rsid w:val="00603247"/>
    <w:rsid w:val="00603EC6"/>
    <w:rsid w:val="006043AC"/>
    <w:rsid w:val="00604670"/>
    <w:rsid w:val="0061171E"/>
    <w:rsid w:val="006145A3"/>
    <w:rsid w:val="00614DE2"/>
    <w:rsid w:val="00616867"/>
    <w:rsid w:val="00617D0B"/>
    <w:rsid w:val="0062326C"/>
    <w:rsid w:val="00630315"/>
    <w:rsid w:val="0063056D"/>
    <w:rsid w:val="006336A1"/>
    <w:rsid w:val="00634CDC"/>
    <w:rsid w:val="006358DC"/>
    <w:rsid w:val="006409B8"/>
    <w:rsid w:val="00641E07"/>
    <w:rsid w:val="006449A4"/>
    <w:rsid w:val="00646561"/>
    <w:rsid w:val="00646B29"/>
    <w:rsid w:val="00647F02"/>
    <w:rsid w:val="0065225B"/>
    <w:rsid w:val="00656513"/>
    <w:rsid w:val="00656A07"/>
    <w:rsid w:val="00657A45"/>
    <w:rsid w:val="0066742D"/>
    <w:rsid w:val="0067320F"/>
    <w:rsid w:val="00676E75"/>
    <w:rsid w:val="006771B5"/>
    <w:rsid w:val="0068188E"/>
    <w:rsid w:val="00682597"/>
    <w:rsid w:val="006826E9"/>
    <w:rsid w:val="00684C5B"/>
    <w:rsid w:val="00685002"/>
    <w:rsid w:val="00686BA6"/>
    <w:rsid w:val="00687A94"/>
    <w:rsid w:val="006905ED"/>
    <w:rsid w:val="00695BC6"/>
    <w:rsid w:val="006A05B6"/>
    <w:rsid w:val="006A1322"/>
    <w:rsid w:val="006A1A4C"/>
    <w:rsid w:val="006A3325"/>
    <w:rsid w:val="006A5A73"/>
    <w:rsid w:val="006B458F"/>
    <w:rsid w:val="006B6402"/>
    <w:rsid w:val="006C06D0"/>
    <w:rsid w:val="006C111F"/>
    <w:rsid w:val="006C382F"/>
    <w:rsid w:val="006C734D"/>
    <w:rsid w:val="006D3782"/>
    <w:rsid w:val="006D4671"/>
    <w:rsid w:val="006D6308"/>
    <w:rsid w:val="006E4D22"/>
    <w:rsid w:val="006E70D3"/>
    <w:rsid w:val="006F127B"/>
    <w:rsid w:val="006F2414"/>
    <w:rsid w:val="006F380C"/>
    <w:rsid w:val="006F4E46"/>
    <w:rsid w:val="006F7ACA"/>
    <w:rsid w:val="00700BAA"/>
    <w:rsid w:val="00701F55"/>
    <w:rsid w:val="00703170"/>
    <w:rsid w:val="00705071"/>
    <w:rsid w:val="007054C4"/>
    <w:rsid w:val="007074FA"/>
    <w:rsid w:val="007125BB"/>
    <w:rsid w:val="00713520"/>
    <w:rsid w:val="00713742"/>
    <w:rsid w:val="007137CF"/>
    <w:rsid w:val="007218D7"/>
    <w:rsid w:val="007248EC"/>
    <w:rsid w:val="00726258"/>
    <w:rsid w:val="00727C3D"/>
    <w:rsid w:val="007329BA"/>
    <w:rsid w:val="0073352B"/>
    <w:rsid w:val="00733E69"/>
    <w:rsid w:val="00743756"/>
    <w:rsid w:val="007457C7"/>
    <w:rsid w:val="0075079E"/>
    <w:rsid w:val="0075148C"/>
    <w:rsid w:val="00751D4B"/>
    <w:rsid w:val="00764A17"/>
    <w:rsid w:val="00771E04"/>
    <w:rsid w:val="007727C0"/>
    <w:rsid w:val="007732A8"/>
    <w:rsid w:val="00773F6C"/>
    <w:rsid w:val="00773F90"/>
    <w:rsid w:val="00774BC4"/>
    <w:rsid w:val="007779D6"/>
    <w:rsid w:val="00780D99"/>
    <w:rsid w:val="00781603"/>
    <w:rsid w:val="00782C23"/>
    <w:rsid w:val="00783A73"/>
    <w:rsid w:val="00787A6B"/>
    <w:rsid w:val="007906BC"/>
    <w:rsid w:val="00793D7D"/>
    <w:rsid w:val="00797929"/>
    <w:rsid w:val="007A5D7A"/>
    <w:rsid w:val="007A7B89"/>
    <w:rsid w:val="007B09EC"/>
    <w:rsid w:val="007B182F"/>
    <w:rsid w:val="007B3130"/>
    <w:rsid w:val="007B3745"/>
    <w:rsid w:val="007B51ED"/>
    <w:rsid w:val="007B75AC"/>
    <w:rsid w:val="007C5CC4"/>
    <w:rsid w:val="007C78FF"/>
    <w:rsid w:val="007E1512"/>
    <w:rsid w:val="007F0647"/>
    <w:rsid w:val="007F0687"/>
    <w:rsid w:val="007F080D"/>
    <w:rsid w:val="007F263D"/>
    <w:rsid w:val="007F34F3"/>
    <w:rsid w:val="007F4F8C"/>
    <w:rsid w:val="007F6AC1"/>
    <w:rsid w:val="008024CD"/>
    <w:rsid w:val="0080309E"/>
    <w:rsid w:val="008036E2"/>
    <w:rsid w:val="0080473F"/>
    <w:rsid w:val="00807A1E"/>
    <w:rsid w:val="008100D6"/>
    <w:rsid w:val="008127CD"/>
    <w:rsid w:val="008166E7"/>
    <w:rsid w:val="008170FE"/>
    <w:rsid w:val="00823B3D"/>
    <w:rsid w:val="0082552B"/>
    <w:rsid w:val="00827074"/>
    <w:rsid w:val="00831F0F"/>
    <w:rsid w:val="00832DA7"/>
    <w:rsid w:val="00834729"/>
    <w:rsid w:val="00834CCD"/>
    <w:rsid w:val="0084221C"/>
    <w:rsid w:val="00845140"/>
    <w:rsid w:val="00845D36"/>
    <w:rsid w:val="00851191"/>
    <w:rsid w:val="00855633"/>
    <w:rsid w:val="0085708C"/>
    <w:rsid w:val="00864BA0"/>
    <w:rsid w:val="00865207"/>
    <w:rsid w:val="00865F24"/>
    <w:rsid w:val="008665D4"/>
    <w:rsid w:val="00870512"/>
    <w:rsid w:val="00874AB5"/>
    <w:rsid w:val="00877C7D"/>
    <w:rsid w:val="00882654"/>
    <w:rsid w:val="00884C52"/>
    <w:rsid w:val="00886ABB"/>
    <w:rsid w:val="00890112"/>
    <w:rsid w:val="00894565"/>
    <w:rsid w:val="008946C3"/>
    <w:rsid w:val="008A3101"/>
    <w:rsid w:val="008A3F7E"/>
    <w:rsid w:val="008B1090"/>
    <w:rsid w:val="008B5C23"/>
    <w:rsid w:val="008B77AC"/>
    <w:rsid w:val="008C0A8B"/>
    <w:rsid w:val="008C1D52"/>
    <w:rsid w:val="008C556D"/>
    <w:rsid w:val="008C6898"/>
    <w:rsid w:val="008C68A4"/>
    <w:rsid w:val="008D1F37"/>
    <w:rsid w:val="008D239B"/>
    <w:rsid w:val="008D2961"/>
    <w:rsid w:val="008D3FAB"/>
    <w:rsid w:val="008D4646"/>
    <w:rsid w:val="008D49DA"/>
    <w:rsid w:val="008E2160"/>
    <w:rsid w:val="008E5709"/>
    <w:rsid w:val="008E585E"/>
    <w:rsid w:val="008F1D18"/>
    <w:rsid w:val="008F5EC1"/>
    <w:rsid w:val="008F629C"/>
    <w:rsid w:val="008F721A"/>
    <w:rsid w:val="008F7721"/>
    <w:rsid w:val="008F7C2F"/>
    <w:rsid w:val="0090333B"/>
    <w:rsid w:val="00905A7D"/>
    <w:rsid w:val="009108A2"/>
    <w:rsid w:val="009116EA"/>
    <w:rsid w:val="009214ED"/>
    <w:rsid w:val="0092175B"/>
    <w:rsid w:val="00922F16"/>
    <w:rsid w:val="00923118"/>
    <w:rsid w:val="009236B3"/>
    <w:rsid w:val="0092442D"/>
    <w:rsid w:val="00927A93"/>
    <w:rsid w:val="0093058C"/>
    <w:rsid w:val="00930D74"/>
    <w:rsid w:val="009319E6"/>
    <w:rsid w:val="00931A4C"/>
    <w:rsid w:val="00935B3E"/>
    <w:rsid w:val="00941743"/>
    <w:rsid w:val="00942805"/>
    <w:rsid w:val="00943E42"/>
    <w:rsid w:val="00962266"/>
    <w:rsid w:val="009627BF"/>
    <w:rsid w:val="00964C5E"/>
    <w:rsid w:val="00964E1E"/>
    <w:rsid w:val="00966915"/>
    <w:rsid w:val="00966F8C"/>
    <w:rsid w:val="00971BCB"/>
    <w:rsid w:val="00971CC6"/>
    <w:rsid w:val="00971CDC"/>
    <w:rsid w:val="00976085"/>
    <w:rsid w:val="00980B27"/>
    <w:rsid w:val="0098139D"/>
    <w:rsid w:val="00981B43"/>
    <w:rsid w:val="0099191C"/>
    <w:rsid w:val="009938C7"/>
    <w:rsid w:val="00994A8E"/>
    <w:rsid w:val="009A3D2D"/>
    <w:rsid w:val="009B2DD6"/>
    <w:rsid w:val="009B31F3"/>
    <w:rsid w:val="009B7708"/>
    <w:rsid w:val="009C02EB"/>
    <w:rsid w:val="009C03D2"/>
    <w:rsid w:val="009C09B3"/>
    <w:rsid w:val="009C3200"/>
    <w:rsid w:val="009C58C5"/>
    <w:rsid w:val="009D27B2"/>
    <w:rsid w:val="009D2889"/>
    <w:rsid w:val="009D590E"/>
    <w:rsid w:val="009D7564"/>
    <w:rsid w:val="009E393F"/>
    <w:rsid w:val="009E3A1F"/>
    <w:rsid w:val="009E759F"/>
    <w:rsid w:val="009F04BE"/>
    <w:rsid w:val="009F297B"/>
    <w:rsid w:val="009F2A4E"/>
    <w:rsid w:val="009F44D6"/>
    <w:rsid w:val="00A02B7E"/>
    <w:rsid w:val="00A066E5"/>
    <w:rsid w:val="00A12766"/>
    <w:rsid w:val="00A1382B"/>
    <w:rsid w:val="00A16000"/>
    <w:rsid w:val="00A17788"/>
    <w:rsid w:val="00A17C83"/>
    <w:rsid w:val="00A21805"/>
    <w:rsid w:val="00A21AD2"/>
    <w:rsid w:val="00A23C23"/>
    <w:rsid w:val="00A24BA4"/>
    <w:rsid w:val="00A2728A"/>
    <w:rsid w:val="00A27572"/>
    <w:rsid w:val="00A27C22"/>
    <w:rsid w:val="00A27F4B"/>
    <w:rsid w:val="00A31522"/>
    <w:rsid w:val="00A3791A"/>
    <w:rsid w:val="00A4234C"/>
    <w:rsid w:val="00A46D85"/>
    <w:rsid w:val="00A46E4E"/>
    <w:rsid w:val="00A509F9"/>
    <w:rsid w:val="00A54607"/>
    <w:rsid w:val="00A557FD"/>
    <w:rsid w:val="00A60DE2"/>
    <w:rsid w:val="00A62D26"/>
    <w:rsid w:val="00A6454C"/>
    <w:rsid w:val="00A65AF2"/>
    <w:rsid w:val="00A71361"/>
    <w:rsid w:val="00A77B05"/>
    <w:rsid w:val="00A8164F"/>
    <w:rsid w:val="00A833C9"/>
    <w:rsid w:val="00A83FC3"/>
    <w:rsid w:val="00A8459B"/>
    <w:rsid w:val="00A91D4F"/>
    <w:rsid w:val="00A93783"/>
    <w:rsid w:val="00A949FF"/>
    <w:rsid w:val="00AA498F"/>
    <w:rsid w:val="00AA5B7B"/>
    <w:rsid w:val="00AA789B"/>
    <w:rsid w:val="00AC567A"/>
    <w:rsid w:val="00AC65E7"/>
    <w:rsid w:val="00AC6DE3"/>
    <w:rsid w:val="00AC718D"/>
    <w:rsid w:val="00AC72E8"/>
    <w:rsid w:val="00AD177A"/>
    <w:rsid w:val="00AE18DA"/>
    <w:rsid w:val="00AE2022"/>
    <w:rsid w:val="00AE5B9E"/>
    <w:rsid w:val="00AE65A0"/>
    <w:rsid w:val="00AE7499"/>
    <w:rsid w:val="00AF0F57"/>
    <w:rsid w:val="00AF3E32"/>
    <w:rsid w:val="00AF502C"/>
    <w:rsid w:val="00AF59DD"/>
    <w:rsid w:val="00AF6168"/>
    <w:rsid w:val="00AF6963"/>
    <w:rsid w:val="00AF6EA8"/>
    <w:rsid w:val="00AF7AB5"/>
    <w:rsid w:val="00B00CDD"/>
    <w:rsid w:val="00B01AC7"/>
    <w:rsid w:val="00B0375C"/>
    <w:rsid w:val="00B04C8B"/>
    <w:rsid w:val="00B04FBA"/>
    <w:rsid w:val="00B149B1"/>
    <w:rsid w:val="00B206C5"/>
    <w:rsid w:val="00B22686"/>
    <w:rsid w:val="00B24158"/>
    <w:rsid w:val="00B3717C"/>
    <w:rsid w:val="00B42C85"/>
    <w:rsid w:val="00B450E4"/>
    <w:rsid w:val="00B4572B"/>
    <w:rsid w:val="00B52BF0"/>
    <w:rsid w:val="00B573EE"/>
    <w:rsid w:val="00B6039C"/>
    <w:rsid w:val="00B61682"/>
    <w:rsid w:val="00B639ED"/>
    <w:rsid w:val="00B63C02"/>
    <w:rsid w:val="00B63C87"/>
    <w:rsid w:val="00B67FF5"/>
    <w:rsid w:val="00B73794"/>
    <w:rsid w:val="00B7616F"/>
    <w:rsid w:val="00B81036"/>
    <w:rsid w:val="00B82F9D"/>
    <w:rsid w:val="00B83084"/>
    <w:rsid w:val="00B8370D"/>
    <w:rsid w:val="00B848C1"/>
    <w:rsid w:val="00B84989"/>
    <w:rsid w:val="00B85208"/>
    <w:rsid w:val="00B90511"/>
    <w:rsid w:val="00B90609"/>
    <w:rsid w:val="00B92B35"/>
    <w:rsid w:val="00B945CA"/>
    <w:rsid w:val="00B94D46"/>
    <w:rsid w:val="00B96527"/>
    <w:rsid w:val="00BA0DD3"/>
    <w:rsid w:val="00BA0DFB"/>
    <w:rsid w:val="00BA2E04"/>
    <w:rsid w:val="00BA3055"/>
    <w:rsid w:val="00BA47FC"/>
    <w:rsid w:val="00BA59CA"/>
    <w:rsid w:val="00BA70FC"/>
    <w:rsid w:val="00BB15A9"/>
    <w:rsid w:val="00BB50C6"/>
    <w:rsid w:val="00BB5477"/>
    <w:rsid w:val="00BC2284"/>
    <w:rsid w:val="00BC3DF2"/>
    <w:rsid w:val="00BC4854"/>
    <w:rsid w:val="00BC7410"/>
    <w:rsid w:val="00BC77A2"/>
    <w:rsid w:val="00BD25AB"/>
    <w:rsid w:val="00BD2E6D"/>
    <w:rsid w:val="00BD3F2A"/>
    <w:rsid w:val="00BD6B27"/>
    <w:rsid w:val="00BD7AC1"/>
    <w:rsid w:val="00BE03ED"/>
    <w:rsid w:val="00BE08CC"/>
    <w:rsid w:val="00BE323A"/>
    <w:rsid w:val="00BE5F6A"/>
    <w:rsid w:val="00BE640A"/>
    <w:rsid w:val="00BE668C"/>
    <w:rsid w:val="00BF12AF"/>
    <w:rsid w:val="00BF40B3"/>
    <w:rsid w:val="00BF55C1"/>
    <w:rsid w:val="00BF5EA4"/>
    <w:rsid w:val="00C00276"/>
    <w:rsid w:val="00C039CA"/>
    <w:rsid w:val="00C041E4"/>
    <w:rsid w:val="00C076AD"/>
    <w:rsid w:val="00C07D03"/>
    <w:rsid w:val="00C12078"/>
    <w:rsid w:val="00C13F5B"/>
    <w:rsid w:val="00C14EC0"/>
    <w:rsid w:val="00C17CAC"/>
    <w:rsid w:val="00C21CFB"/>
    <w:rsid w:val="00C23D0D"/>
    <w:rsid w:val="00C27350"/>
    <w:rsid w:val="00C27606"/>
    <w:rsid w:val="00C3591D"/>
    <w:rsid w:val="00C361D8"/>
    <w:rsid w:val="00C36A6A"/>
    <w:rsid w:val="00C41FE0"/>
    <w:rsid w:val="00C459BD"/>
    <w:rsid w:val="00C52382"/>
    <w:rsid w:val="00C562B1"/>
    <w:rsid w:val="00C57316"/>
    <w:rsid w:val="00C60D37"/>
    <w:rsid w:val="00C6286C"/>
    <w:rsid w:val="00C70403"/>
    <w:rsid w:val="00C723A6"/>
    <w:rsid w:val="00C7390C"/>
    <w:rsid w:val="00C73C06"/>
    <w:rsid w:val="00C766A7"/>
    <w:rsid w:val="00C768BE"/>
    <w:rsid w:val="00C76D3D"/>
    <w:rsid w:val="00C80AB5"/>
    <w:rsid w:val="00C841B0"/>
    <w:rsid w:val="00C84EAD"/>
    <w:rsid w:val="00C8574B"/>
    <w:rsid w:val="00C8595F"/>
    <w:rsid w:val="00C90970"/>
    <w:rsid w:val="00C96A65"/>
    <w:rsid w:val="00C96D22"/>
    <w:rsid w:val="00CA2F88"/>
    <w:rsid w:val="00CA3F32"/>
    <w:rsid w:val="00CA451B"/>
    <w:rsid w:val="00CA6D48"/>
    <w:rsid w:val="00CB5E06"/>
    <w:rsid w:val="00CC0C9A"/>
    <w:rsid w:val="00CC63E4"/>
    <w:rsid w:val="00CD1AD8"/>
    <w:rsid w:val="00CD2651"/>
    <w:rsid w:val="00CE105C"/>
    <w:rsid w:val="00CE18E0"/>
    <w:rsid w:val="00CE70F1"/>
    <w:rsid w:val="00CF0D8B"/>
    <w:rsid w:val="00CF233D"/>
    <w:rsid w:val="00CF2709"/>
    <w:rsid w:val="00CF5EA4"/>
    <w:rsid w:val="00D0164F"/>
    <w:rsid w:val="00D11114"/>
    <w:rsid w:val="00D17A27"/>
    <w:rsid w:val="00D20A26"/>
    <w:rsid w:val="00D2332B"/>
    <w:rsid w:val="00D25D70"/>
    <w:rsid w:val="00D25F2B"/>
    <w:rsid w:val="00D300A8"/>
    <w:rsid w:val="00D320E4"/>
    <w:rsid w:val="00D35D87"/>
    <w:rsid w:val="00D37183"/>
    <w:rsid w:val="00D51C26"/>
    <w:rsid w:val="00D537BD"/>
    <w:rsid w:val="00D54A2C"/>
    <w:rsid w:val="00D54A46"/>
    <w:rsid w:val="00D6143D"/>
    <w:rsid w:val="00D64A3F"/>
    <w:rsid w:val="00D6542C"/>
    <w:rsid w:val="00D67CB6"/>
    <w:rsid w:val="00D7536B"/>
    <w:rsid w:val="00D75D6F"/>
    <w:rsid w:val="00D800C1"/>
    <w:rsid w:val="00D847FD"/>
    <w:rsid w:val="00D851E6"/>
    <w:rsid w:val="00D85E11"/>
    <w:rsid w:val="00D874E8"/>
    <w:rsid w:val="00D9173E"/>
    <w:rsid w:val="00D91F0D"/>
    <w:rsid w:val="00D92FD9"/>
    <w:rsid w:val="00D9502D"/>
    <w:rsid w:val="00D974C9"/>
    <w:rsid w:val="00DA1426"/>
    <w:rsid w:val="00DA23F1"/>
    <w:rsid w:val="00DB0950"/>
    <w:rsid w:val="00DB2A5E"/>
    <w:rsid w:val="00DB30D2"/>
    <w:rsid w:val="00DB440E"/>
    <w:rsid w:val="00DB4E0D"/>
    <w:rsid w:val="00DB5AB6"/>
    <w:rsid w:val="00DB7A54"/>
    <w:rsid w:val="00DC28FD"/>
    <w:rsid w:val="00DC7851"/>
    <w:rsid w:val="00DD4897"/>
    <w:rsid w:val="00DD4E97"/>
    <w:rsid w:val="00DD7D8F"/>
    <w:rsid w:val="00DE32C2"/>
    <w:rsid w:val="00DF2D63"/>
    <w:rsid w:val="00DF39CC"/>
    <w:rsid w:val="00DF63FC"/>
    <w:rsid w:val="00DF699D"/>
    <w:rsid w:val="00DF78A2"/>
    <w:rsid w:val="00E05EA9"/>
    <w:rsid w:val="00E11E32"/>
    <w:rsid w:val="00E1341A"/>
    <w:rsid w:val="00E15044"/>
    <w:rsid w:val="00E16C7A"/>
    <w:rsid w:val="00E200AF"/>
    <w:rsid w:val="00E214BE"/>
    <w:rsid w:val="00E22134"/>
    <w:rsid w:val="00E23D9E"/>
    <w:rsid w:val="00E25FDE"/>
    <w:rsid w:val="00E30AE3"/>
    <w:rsid w:val="00E35758"/>
    <w:rsid w:val="00E37271"/>
    <w:rsid w:val="00E37612"/>
    <w:rsid w:val="00E45336"/>
    <w:rsid w:val="00E458F1"/>
    <w:rsid w:val="00E45E13"/>
    <w:rsid w:val="00E514A3"/>
    <w:rsid w:val="00E5194E"/>
    <w:rsid w:val="00E51E65"/>
    <w:rsid w:val="00E52AC1"/>
    <w:rsid w:val="00E53C1B"/>
    <w:rsid w:val="00E5512D"/>
    <w:rsid w:val="00E55205"/>
    <w:rsid w:val="00E62F63"/>
    <w:rsid w:val="00E66533"/>
    <w:rsid w:val="00E702EB"/>
    <w:rsid w:val="00E7055F"/>
    <w:rsid w:val="00E72F7E"/>
    <w:rsid w:val="00E80CCF"/>
    <w:rsid w:val="00E8153B"/>
    <w:rsid w:val="00E82292"/>
    <w:rsid w:val="00E84BD4"/>
    <w:rsid w:val="00E92CFC"/>
    <w:rsid w:val="00E93EFF"/>
    <w:rsid w:val="00E9423B"/>
    <w:rsid w:val="00E9525A"/>
    <w:rsid w:val="00EA0E7B"/>
    <w:rsid w:val="00EB7AE5"/>
    <w:rsid w:val="00EB7E13"/>
    <w:rsid w:val="00EC31E4"/>
    <w:rsid w:val="00EC4A6F"/>
    <w:rsid w:val="00EC4F1F"/>
    <w:rsid w:val="00EC62D0"/>
    <w:rsid w:val="00EC66A5"/>
    <w:rsid w:val="00ED131F"/>
    <w:rsid w:val="00ED22A2"/>
    <w:rsid w:val="00ED280A"/>
    <w:rsid w:val="00ED5E68"/>
    <w:rsid w:val="00ED74CF"/>
    <w:rsid w:val="00EE2A0A"/>
    <w:rsid w:val="00EE38FE"/>
    <w:rsid w:val="00EE4D9F"/>
    <w:rsid w:val="00EE7065"/>
    <w:rsid w:val="00EF2264"/>
    <w:rsid w:val="00EF2C9C"/>
    <w:rsid w:val="00EF41DA"/>
    <w:rsid w:val="00F02C64"/>
    <w:rsid w:val="00F031F1"/>
    <w:rsid w:val="00F05241"/>
    <w:rsid w:val="00F07DB1"/>
    <w:rsid w:val="00F1102E"/>
    <w:rsid w:val="00F11174"/>
    <w:rsid w:val="00F11262"/>
    <w:rsid w:val="00F15071"/>
    <w:rsid w:val="00F15980"/>
    <w:rsid w:val="00F1678D"/>
    <w:rsid w:val="00F21AA0"/>
    <w:rsid w:val="00F3002D"/>
    <w:rsid w:val="00F301C2"/>
    <w:rsid w:val="00F333DA"/>
    <w:rsid w:val="00F413E3"/>
    <w:rsid w:val="00F50066"/>
    <w:rsid w:val="00F50A1A"/>
    <w:rsid w:val="00F577D5"/>
    <w:rsid w:val="00F633CD"/>
    <w:rsid w:val="00F7338C"/>
    <w:rsid w:val="00F74C0B"/>
    <w:rsid w:val="00F754E1"/>
    <w:rsid w:val="00F76405"/>
    <w:rsid w:val="00F8207A"/>
    <w:rsid w:val="00F825D3"/>
    <w:rsid w:val="00F85C7B"/>
    <w:rsid w:val="00F85F1E"/>
    <w:rsid w:val="00F86FE0"/>
    <w:rsid w:val="00FA2A7E"/>
    <w:rsid w:val="00FA3032"/>
    <w:rsid w:val="00FA4B34"/>
    <w:rsid w:val="00FA7771"/>
    <w:rsid w:val="00FB15AF"/>
    <w:rsid w:val="00FB2E7E"/>
    <w:rsid w:val="00FB476F"/>
    <w:rsid w:val="00FB748E"/>
    <w:rsid w:val="00FB7BAA"/>
    <w:rsid w:val="00FB7E95"/>
    <w:rsid w:val="00FC004F"/>
    <w:rsid w:val="00FC2AF3"/>
    <w:rsid w:val="00FC7674"/>
    <w:rsid w:val="00FD4462"/>
    <w:rsid w:val="00FD4511"/>
    <w:rsid w:val="00FD4E42"/>
    <w:rsid w:val="00FE086E"/>
    <w:rsid w:val="00FE2CD0"/>
    <w:rsid w:val="00FE37D2"/>
    <w:rsid w:val="00FE6D47"/>
    <w:rsid w:val="00FE7775"/>
    <w:rsid w:val="00FE7D6B"/>
    <w:rsid w:val="00FF03AB"/>
    <w:rsid w:val="00FF18DA"/>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99"/>
    <w:pPr>
      <w:spacing w:after="240" w:line="320" w:lineRule="atLeast"/>
      <w:jc w:val="both"/>
    </w:pPr>
    <w:rPr>
      <w:rFonts w:ascii="Times New Roman" w:hAnsi="Times New Roman"/>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numPr>
        <w:numId w:val="1"/>
      </w:num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semiHidden/>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basedOn w:val="Normal"/>
    <w:link w:val="TextonotapieCar"/>
    <w:uiPriority w:val="99"/>
    <w:semiHidden/>
    <w:unhideWhenUsed/>
    <w:rsid w:val="004F64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uiPriority w:val="22"/>
    <w:qFormat/>
    <w:rsid w:val="003B63F4"/>
    <w:rPr>
      <w:b/>
      <w:bCs/>
    </w:rPr>
  </w:style>
  <w:style w:type="character" w:styleId="Hipervnculo">
    <w:name w:val="Hyperlink"/>
    <w:basedOn w:val="Fuentedeprrafopredeter"/>
    <w:uiPriority w:val="99"/>
    <w:semiHidden/>
    <w:unhideWhenUsed/>
    <w:rsid w:val="007A5D7A"/>
    <w:rPr>
      <w:color w:val="0000FF"/>
      <w:u w:val="single"/>
    </w:rPr>
  </w:style>
  <w:style w:type="paragraph" w:styleId="Textoindependiente">
    <w:name w:val="Body Text"/>
    <w:basedOn w:val="Normal"/>
    <w:link w:val="TextoindependienteCar"/>
    <w:uiPriority w:val="99"/>
    <w:semiHidden/>
    <w:unhideWhenUsed/>
    <w:rsid w:val="00E62F63"/>
    <w:pPr>
      <w:spacing w:after="120"/>
    </w:pPr>
  </w:style>
  <w:style w:type="character" w:customStyle="1" w:styleId="TextoindependienteCar">
    <w:name w:val="Texto independiente Car"/>
    <w:basedOn w:val="Fuentedeprrafopredeter"/>
    <w:link w:val="Textoindependiente"/>
    <w:uiPriority w:val="99"/>
    <w:semiHidden/>
    <w:rsid w:val="00E62F6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D392-EB50-43A2-9D0E-DE962605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6981</Words>
  <Characters>38401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Sanchez Alva</dc:creator>
  <cp:keywords/>
  <dc:description/>
  <cp:lastModifiedBy>Adriana Williams Hernandez</cp:lastModifiedBy>
  <cp:revision>6</cp:revision>
  <dcterms:created xsi:type="dcterms:W3CDTF">2020-01-20T20:45:00Z</dcterms:created>
  <dcterms:modified xsi:type="dcterms:W3CDTF">2020-01-20T21:04:00Z</dcterms:modified>
</cp:coreProperties>
</file>