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56AA2" w14:textId="77777777" w:rsidR="003D5E4B" w:rsidRPr="00DF157F" w:rsidRDefault="003D5E4B" w:rsidP="00725A9E">
      <w:pPr>
        <w:widowControl w:val="0"/>
        <w:spacing w:after="0"/>
        <w:jc w:val="both"/>
        <w:rPr>
          <w:rFonts w:ascii="ITC Avant Garde" w:eastAsia="Times New Roman" w:hAnsi="ITC Avant Garde"/>
          <w:b/>
          <w:szCs w:val="20"/>
        </w:rPr>
      </w:pPr>
      <w:r w:rsidRPr="00DF157F">
        <w:rPr>
          <w:rFonts w:ascii="ITC Avant Garde" w:eastAsia="Times New Roman" w:hAnsi="ITC Avant Garde"/>
          <w:b/>
          <w:szCs w:val="20"/>
        </w:rPr>
        <w:t xml:space="preserve">ACUERDO MEDIANTE EL CUAL EL PLENO DEL INSTITUTO FEDERAL DE TELECOMUNICACIONES </w:t>
      </w:r>
      <w:r>
        <w:rPr>
          <w:rFonts w:ascii="ITC Avant Garde" w:eastAsia="Times New Roman" w:hAnsi="ITC Avant Garde"/>
          <w:b/>
          <w:szCs w:val="20"/>
        </w:rPr>
        <w:t xml:space="preserve">DETERMINA </w:t>
      </w:r>
      <w:r w:rsidRPr="00DF157F">
        <w:rPr>
          <w:rFonts w:ascii="ITC Avant Garde" w:eastAsia="Times New Roman" w:hAnsi="ITC Avant Garde"/>
          <w:b/>
          <w:szCs w:val="20"/>
        </w:rPr>
        <w:t>SOMETE</w:t>
      </w:r>
      <w:r>
        <w:rPr>
          <w:rFonts w:ascii="ITC Avant Garde" w:eastAsia="Times New Roman" w:hAnsi="ITC Avant Garde"/>
          <w:b/>
          <w:szCs w:val="20"/>
        </w:rPr>
        <w:t>R</w:t>
      </w:r>
      <w:r w:rsidRPr="00DF157F">
        <w:rPr>
          <w:rFonts w:ascii="ITC Avant Garde" w:eastAsia="Times New Roman" w:hAnsi="ITC Avant Garde"/>
          <w:b/>
          <w:szCs w:val="20"/>
        </w:rPr>
        <w:t xml:space="preserve"> A CONSULTA PÚBLICA LA</w:t>
      </w:r>
      <w:r>
        <w:rPr>
          <w:rFonts w:ascii="ITC Avant Garde" w:eastAsia="Times New Roman" w:hAnsi="ITC Avant Garde"/>
          <w:b/>
          <w:szCs w:val="20"/>
        </w:rPr>
        <w:t>S</w:t>
      </w:r>
      <w:r w:rsidRPr="00DF157F">
        <w:rPr>
          <w:rFonts w:ascii="ITC Avant Garde" w:eastAsia="Times New Roman" w:hAnsi="ITC Avant Garde"/>
          <w:b/>
          <w:szCs w:val="20"/>
        </w:rPr>
        <w:t xml:space="preserve"> PROPUESTAS DE</w:t>
      </w:r>
      <w:r w:rsidRPr="00674244">
        <w:t xml:space="preserve"> </w:t>
      </w:r>
      <w:r w:rsidRPr="00907919">
        <w:rPr>
          <w:rFonts w:ascii="ITC Avant Garde" w:eastAsia="Times New Roman" w:hAnsi="ITC Avant Garde"/>
          <w:b/>
          <w:szCs w:val="20"/>
        </w:rPr>
        <w:t>CONVENIO</w:t>
      </w:r>
      <w:r>
        <w:rPr>
          <w:rFonts w:ascii="ITC Avant Garde" w:eastAsia="Times New Roman" w:hAnsi="ITC Avant Garde"/>
          <w:b/>
          <w:szCs w:val="20"/>
        </w:rPr>
        <w:t>S</w:t>
      </w:r>
      <w:r w:rsidRPr="00907919">
        <w:rPr>
          <w:rFonts w:ascii="ITC Avant Garde" w:eastAsia="Times New Roman" w:hAnsi="ITC Avant Garde"/>
          <w:b/>
          <w:szCs w:val="20"/>
        </w:rPr>
        <w:t xml:space="preserve"> MARCO DE INTERCONEXIÓN </w:t>
      </w:r>
      <w:r>
        <w:rPr>
          <w:rFonts w:ascii="ITC Avant Garde" w:eastAsia="Times New Roman" w:hAnsi="ITC Avant Garde"/>
          <w:b/>
          <w:szCs w:val="20"/>
        </w:rPr>
        <w:t>PRESENTADOS POR EL</w:t>
      </w:r>
      <w:r w:rsidRPr="00674244">
        <w:rPr>
          <w:rFonts w:ascii="ITC Avant Garde" w:eastAsia="Times New Roman" w:hAnsi="ITC Avant Garde"/>
          <w:b/>
          <w:szCs w:val="20"/>
        </w:rPr>
        <w:t xml:space="preserve"> AGENTE ECONÓMICO PREPONDERANTE</w:t>
      </w:r>
      <w:r>
        <w:rPr>
          <w:rFonts w:ascii="ITC Avant Garde" w:eastAsia="Times New Roman" w:hAnsi="ITC Avant Garde"/>
          <w:b/>
          <w:szCs w:val="20"/>
        </w:rPr>
        <w:t xml:space="preserve"> EN EL SECTOR DE LAS TELECOMUNICACIONES, APLICABLES DEL 1 DE </w:t>
      </w:r>
      <w:r w:rsidR="00C963BA">
        <w:rPr>
          <w:rFonts w:ascii="ITC Avant Garde" w:eastAsia="Times New Roman" w:hAnsi="ITC Avant Garde"/>
          <w:b/>
          <w:szCs w:val="20"/>
        </w:rPr>
        <w:t>ENERO AL 31 DE DICIEMBRE DE 2020.</w:t>
      </w:r>
    </w:p>
    <w:p w14:paraId="7AF88517" w14:textId="77777777" w:rsidR="003D5E4B" w:rsidRPr="00725A9E" w:rsidRDefault="003D5E4B" w:rsidP="00725A9E">
      <w:pPr>
        <w:widowControl w:val="0"/>
        <w:spacing w:after="0"/>
        <w:jc w:val="both"/>
        <w:rPr>
          <w:rFonts w:ascii="ITC Avant Garde" w:eastAsia="Times New Roman" w:hAnsi="ITC Avant Garde"/>
          <w:sz w:val="10"/>
          <w:szCs w:val="10"/>
        </w:rPr>
      </w:pPr>
    </w:p>
    <w:p w14:paraId="2B16C50F" w14:textId="77777777" w:rsidR="003D5E4B" w:rsidRPr="00DF157F" w:rsidRDefault="003D5E4B" w:rsidP="00725A9E">
      <w:pPr>
        <w:widowControl w:val="0"/>
        <w:spacing w:after="0"/>
        <w:jc w:val="center"/>
        <w:rPr>
          <w:rFonts w:ascii="ITC Avant Garde" w:eastAsia="Times New Roman" w:hAnsi="ITC Avant Garde"/>
          <w:b/>
          <w:szCs w:val="20"/>
        </w:rPr>
      </w:pPr>
      <w:r w:rsidRPr="00DF157F">
        <w:rPr>
          <w:rFonts w:ascii="ITC Avant Garde" w:eastAsia="Times New Roman" w:hAnsi="ITC Avant Garde"/>
          <w:b/>
          <w:szCs w:val="20"/>
        </w:rPr>
        <w:t>A N T E C E D E N T E S</w:t>
      </w:r>
    </w:p>
    <w:p w14:paraId="2392941D" w14:textId="77777777" w:rsidR="003D5E4B" w:rsidRPr="00725A9E" w:rsidRDefault="003D5E4B" w:rsidP="00725A9E">
      <w:pPr>
        <w:widowControl w:val="0"/>
        <w:spacing w:after="0"/>
        <w:jc w:val="both"/>
        <w:rPr>
          <w:rFonts w:ascii="ITC Avant Garde" w:eastAsia="Times New Roman" w:hAnsi="ITC Avant Garde"/>
          <w:sz w:val="10"/>
          <w:szCs w:val="10"/>
        </w:rPr>
      </w:pPr>
    </w:p>
    <w:p w14:paraId="4948D0D6" w14:textId="77777777" w:rsidR="003D5E4B" w:rsidRPr="002275A9" w:rsidRDefault="00267C03" w:rsidP="00725A9E">
      <w:pPr>
        <w:pStyle w:val="Prrafodelista"/>
        <w:widowControl w:val="0"/>
        <w:numPr>
          <w:ilvl w:val="0"/>
          <w:numId w:val="2"/>
        </w:numPr>
        <w:spacing w:after="0"/>
        <w:ind w:left="426" w:hanging="142"/>
        <w:jc w:val="both"/>
        <w:rPr>
          <w:sz w:val="22"/>
          <w:szCs w:val="22"/>
        </w:rPr>
      </w:pPr>
      <w:r w:rsidRPr="00267C03">
        <w:rPr>
          <w:rFonts w:ascii="ITC Avant Garde" w:hAnsi="ITC Avant Garde" w:cs="Arial"/>
          <w:b/>
          <w:sz w:val="22"/>
          <w:szCs w:val="22"/>
          <w:lang w:val="es-ES_tradnl" w:eastAsia="es-ES"/>
        </w:rPr>
        <w:t>Decreto de Reforma Constitucional.</w:t>
      </w:r>
      <w:r w:rsidRPr="00D21849">
        <w:rPr>
          <w:rFonts w:ascii="ITC Avant Garde" w:hAnsi="ITC Avant Garde" w:cs="Arial"/>
          <w:lang w:val="es-ES_tradnl" w:eastAsia="es-ES"/>
        </w:rPr>
        <w:t xml:space="preserve"> </w:t>
      </w:r>
      <w:r w:rsidR="003D5E4B" w:rsidRPr="002275A9">
        <w:rPr>
          <w:rFonts w:ascii="ITC Avant Garde" w:eastAsia="Times New Roman" w:hAnsi="ITC Avant Garde"/>
          <w:sz w:val="22"/>
          <w:szCs w:val="22"/>
        </w:rPr>
        <w:t>El 11 de junio de 2013, se publicó en el Diario Oficial de la Federación (</w:t>
      </w:r>
      <w:r w:rsidR="003D5E4B" w:rsidRPr="002275A9">
        <w:rPr>
          <w:rFonts w:ascii="ITC Avant Garde" w:eastAsia="Times New Roman" w:hAnsi="ITC Avant Garde"/>
          <w:sz w:val="22"/>
          <w:szCs w:val="22"/>
          <w:lang w:val="es-MX"/>
        </w:rPr>
        <w:t>en lo sucesivo “</w:t>
      </w:r>
      <w:r w:rsidR="003D5E4B" w:rsidRPr="002275A9">
        <w:rPr>
          <w:rFonts w:ascii="ITC Avant Garde" w:eastAsia="Times New Roman" w:hAnsi="ITC Avant Garde"/>
          <w:sz w:val="22"/>
          <w:szCs w:val="22"/>
        </w:rPr>
        <w:t>DOF</w:t>
      </w:r>
      <w:r w:rsidR="003D5E4B" w:rsidRPr="002275A9">
        <w:rPr>
          <w:rFonts w:ascii="ITC Avant Garde" w:eastAsia="Times New Roman" w:hAnsi="ITC Avant Garde"/>
          <w:sz w:val="22"/>
          <w:szCs w:val="22"/>
          <w:lang w:val="es-MX"/>
        </w:rPr>
        <w:t>”</w:t>
      </w:r>
      <w:r w:rsidR="003D5E4B" w:rsidRPr="002275A9">
        <w:rPr>
          <w:rFonts w:ascii="ITC Avant Garde" w:eastAsia="Times New Roman" w:hAnsi="ITC Avant Garde"/>
          <w:sz w:val="22"/>
          <w:szCs w:val="22"/>
        </w:rPr>
        <w:t>), el “</w:t>
      </w:r>
      <w:r w:rsidR="003D5E4B" w:rsidRPr="002275A9">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003D5E4B" w:rsidRPr="002275A9">
        <w:rPr>
          <w:rFonts w:ascii="ITC Avant Garde" w:eastAsia="Times New Roman" w:hAnsi="ITC Avant Garde"/>
          <w:sz w:val="22"/>
          <w:szCs w:val="22"/>
        </w:rPr>
        <w:t>” (</w:t>
      </w:r>
      <w:r w:rsidR="003D5E4B" w:rsidRPr="002275A9">
        <w:rPr>
          <w:rFonts w:ascii="ITC Avant Garde" w:eastAsia="Times New Roman" w:hAnsi="ITC Avant Garde"/>
          <w:sz w:val="22"/>
          <w:szCs w:val="22"/>
          <w:lang w:val="es-MX"/>
        </w:rPr>
        <w:t>en lo sucesivo, el “</w:t>
      </w:r>
      <w:r w:rsidR="003D5E4B" w:rsidRPr="002275A9">
        <w:rPr>
          <w:rFonts w:ascii="ITC Avant Garde" w:eastAsia="Times New Roman" w:hAnsi="ITC Avant Garde"/>
          <w:sz w:val="22"/>
          <w:szCs w:val="22"/>
        </w:rPr>
        <w:t>Decreto</w:t>
      </w:r>
      <w:r w:rsidR="003D5E4B" w:rsidRPr="002275A9">
        <w:rPr>
          <w:rFonts w:ascii="ITC Avant Garde" w:eastAsia="Times New Roman" w:hAnsi="ITC Avant Garde"/>
          <w:sz w:val="22"/>
          <w:szCs w:val="22"/>
          <w:lang w:val="es-MX"/>
        </w:rPr>
        <w:t>”</w:t>
      </w:r>
      <w:r w:rsidR="003D5E4B" w:rsidRPr="002275A9">
        <w:rPr>
          <w:rFonts w:ascii="ITC Avant Garde" w:eastAsia="Times New Roman" w:hAnsi="ITC Avant Garde"/>
          <w:sz w:val="22"/>
          <w:szCs w:val="22"/>
        </w:rPr>
        <w:t>), mediante el cual se creó al Instituto Federal de Telecomunicaciones (</w:t>
      </w:r>
      <w:r w:rsidR="003D5E4B" w:rsidRPr="002275A9">
        <w:rPr>
          <w:rFonts w:ascii="ITC Avant Garde" w:eastAsia="Times New Roman" w:hAnsi="ITC Avant Garde"/>
          <w:sz w:val="22"/>
          <w:szCs w:val="22"/>
          <w:lang w:val="es-MX"/>
        </w:rPr>
        <w:t>en lo sucesivo, el “</w:t>
      </w:r>
      <w:r w:rsidR="003D5E4B" w:rsidRPr="002275A9">
        <w:rPr>
          <w:rFonts w:ascii="ITC Avant Garde" w:eastAsia="Times New Roman" w:hAnsi="ITC Avant Garde"/>
          <w:sz w:val="22"/>
          <w:szCs w:val="22"/>
        </w:rPr>
        <w:t>Instituto</w:t>
      </w:r>
      <w:r w:rsidR="003D5E4B" w:rsidRPr="002275A9">
        <w:rPr>
          <w:rFonts w:ascii="ITC Avant Garde" w:eastAsia="Times New Roman" w:hAnsi="ITC Avant Garde"/>
          <w:sz w:val="22"/>
          <w:szCs w:val="22"/>
          <w:lang w:val="es-MX"/>
        </w:rPr>
        <w:t>”</w:t>
      </w:r>
      <w:r w:rsidR="003D5E4B" w:rsidRPr="002275A9">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3D5E4B" w:rsidRPr="002275A9">
        <w:rPr>
          <w:rFonts w:ascii="ITC Avant Garde" w:eastAsia="Times New Roman" w:hAnsi="ITC Avant Garde"/>
          <w:sz w:val="22"/>
          <w:szCs w:val="22"/>
          <w:lang w:val="es-MX"/>
        </w:rPr>
        <w:t>en lo sucesivo, la “</w:t>
      </w:r>
      <w:r w:rsidR="003D5E4B" w:rsidRPr="002275A9">
        <w:rPr>
          <w:rFonts w:ascii="ITC Avant Garde" w:eastAsia="Times New Roman" w:hAnsi="ITC Avant Garde"/>
          <w:sz w:val="22"/>
          <w:szCs w:val="22"/>
        </w:rPr>
        <w:t>Constitución</w:t>
      </w:r>
      <w:r w:rsidR="003D5E4B" w:rsidRPr="002275A9">
        <w:rPr>
          <w:rFonts w:ascii="ITC Avant Garde" w:eastAsia="Times New Roman" w:hAnsi="ITC Avant Garde"/>
          <w:sz w:val="22"/>
          <w:szCs w:val="22"/>
          <w:lang w:val="es-MX"/>
        </w:rPr>
        <w:t>”</w:t>
      </w:r>
      <w:r w:rsidR="003D5E4B" w:rsidRPr="002275A9">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9807358" w14:textId="77777777" w:rsidR="003D5E4B" w:rsidRPr="00725A9E" w:rsidRDefault="003D5E4B" w:rsidP="00725A9E">
      <w:pPr>
        <w:pStyle w:val="Prrafodelista"/>
        <w:widowControl w:val="0"/>
        <w:spacing w:after="0"/>
        <w:jc w:val="both"/>
        <w:rPr>
          <w:sz w:val="10"/>
          <w:szCs w:val="10"/>
        </w:rPr>
      </w:pPr>
    </w:p>
    <w:p w14:paraId="1FD5A307" w14:textId="77777777" w:rsidR="003D5E4B" w:rsidRPr="002275A9" w:rsidRDefault="00267C03" w:rsidP="00725A9E">
      <w:pPr>
        <w:pStyle w:val="Prrafodelista"/>
        <w:widowControl w:val="0"/>
        <w:numPr>
          <w:ilvl w:val="0"/>
          <w:numId w:val="2"/>
        </w:numPr>
        <w:spacing w:after="0"/>
        <w:ind w:left="426" w:hanging="142"/>
        <w:jc w:val="both"/>
        <w:rPr>
          <w:sz w:val="22"/>
          <w:szCs w:val="22"/>
        </w:rPr>
      </w:pPr>
      <w:r w:rsidRPr="00267C03">
        <w:rPr>
          <w:rFonts w:ascii="ITC Avant Garde" w:hAnsi="ITC Avant Garde"/>
          <w:b/>
          <w:sz w:val="22"/>
          <w:szCs w:val="22"/>
        </w:rPr>
        <w:t>Determinación del Agente Económico Preponderante.</w:t>
      </w:r>
      <w:r>
        <w:rPr>
          <w:rFonts w:ascii="ITC Avant Garde" w:hAnsi="ITC Avant Garde"/>
          <w:b/>
          <w:sz w:val="22"/>
          <w:szCs w:val="22"/>
          <w:lang w:val="es-MX"/>
        </w:rPr>
        <w:t xml:space="preserve"> </w:t>
      </w:r>
      <w:r w:rsidR="003D5E4B" w:rsidRPr="00267C03">
        <w:rPr>
          <w:rFonts w:ascii="ITC Avant Garde" w:eastAsia="Times New Roman" w:hAnsi="ITC Avant Garde"/>
          <w:sz w:val="22"/>
          <w:szCs w:val="22"/>
          <w:lang w:val="es-MX"/>
        </w:rPr>
        <w:t>El 6 de marzo de</w:t>
      </w:r>
      <w:r w:rsidR="003D5E4B" w:rsidRPr="002275A9">
        <w:rPr>
          <w:rFonts w:ascii="ITC Avant Garde" w:eastAsia="Times New Roman" w:hAnsi="ITC Avant Garde"/>
          <w:sz w:val="22"/>
          <w:szCs w:val="22"/>
          <w:lang w:val="es-MX"/>
        </w:rPr>
        <w:t xml:space="preserve"> 2014, el Pleno del Instituto en su V Sesión Extraordinaria, aprobó mediante Acuerdo P/IFT/EXT/060314/76 la “</w:t>
      </w:r>
      <w:r w:rsidR="003D5E4B" w:rsidRPr="002275A9">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003D5E4B" w:rsidRPr="002275A9">
        <w:rPr>
          <w:rFonts w:ascii="ITC Avant Garde" w:eastAsia="Times New Roman" w:hAnsi="ITC Avant Garde"/>
          <w:sz w:val="22"/>
          <w:szCs w:val="22"/>
          <w:lang w:val="es-MX"/>
        </w:rPr>
        <w:t>.” (en lo sucesivo, la “Resolución AEP”)</w:t>
      </w:r>
    </w:p>
    <w:p w14:paraId="53409735" w14:textId="77777777" w:rsidR="00693ADC" w:rsidRPr="00725A9E" w:rsidRDefault="00693ADC" w:rsidP="00725A9E">
      <w:pPr>
        <w:pStyle w:val="Prrafodelista"/>
        <w:widowControl w:val="0"/>
        <w:spacing w:after="0"/>
        <w:jc w:val="both"/>
        <w:rPr>
          <w:sz w:val="10"/>
          <w:szCs w:val="10"/>
        </w:rPr>
      </w:pPr>
    </w:p>
    <w:p w14:paraId="6FF59BC0" w14:textId="77777777" w:rsidR="003D5E4B" w:rsidRPr="002275A9" w:rsidRDefault="003D5E4B" w:rsidP="00725A9E">
      <w:pPr>
        <w:pStyle w:val="Prrafodelista"/>
        <w:widowControl w:val="0"/>
        <w:spacing w:after="0"/>
        <w:ind w:left="426"/>
        <w:jc w:val="both"/>
        <w:rPr>
          <w:rFonts w:ascii="ITC Avant Garde" w:eastAsia="Times New Roman" w:hAnsi="ITC Avant Garde"/>
          <w:sz w:val="22"/>
          <w:szCs w:val="22"/>
          <w:lang w:val="es-MX"/>
        </w:rPr>
      </w:pPr>
      <w:r w:rsidRPr="002275A9">
        <w:rPr>
          <w:rFonts w:ascii="ITC Avant Garde" w:eastAsia="Times New Roman" w:hAnsi="ITC Avant Garde"/>
          <w:sz w:val="22"/>
          <w:szCs w:val="22"/>
          <w:lang w:val="es-MX"/>
        </w:rPr>
        <w:t>En la Resolución AEP, el Pleno del Instituto emitió el Anexo 1 denominado “</w:t>
      </w:r>
      <w:r w:rsidRPr="002275A9">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2275A9">
        <w:rPr>
          <w:rFonts w:ascii="ITC Avant Garde" w:eastAsia="Times New Roman" w:hAnsi="ITC Avant Garde"/>
          <w:sz w:val="22"/>
          <w:szCs w:val="22"/>
          <w:lang w:val="es-MX"/>
        </w:rPr>
        <w:t>” (en lo sucesivo, “Anexo 1”).</w:t>
      </w:r>
    </w:p>
    <w:p w14:paraId="201EE05F" w14:textId="77777777" w:rsidR="00565FAE" w:rsidRDefault="00565FAE" w:rsidP="00725A9E">
      <w:pPr>
        <w:pStyle w:val="Prrafodelista"/>
        <w:widowControl w:val="0"/>
        <w:spacing w:after="0"/>
        <w:ind w:left="426"/>
        <w:jc w:val="both"/>
        <w:rPr>
          <w:rFonts w:ascii="ITC Avant Garde" w:eastAsia="Times New Roman" w:hAnsi="ITC Avant Garde"/>
          <w:sz w:val="22"/>
          <w:szCs w:val="22"/>
          <w:lang w:val="es-MX"/>
        </w:rPr>
      </w:pPr>
    </w:p>
    <w:p w14:paraId="0B4698CF" w14:textId="4C136BE4" w:rsidR="003D5E4B" w:rsidRPr="002275A9" w:rsidRDefault="003D5E4B" w:rsidP="00725A9E">
      <w:pPr>
        <w:pStyle w:val="Prrafodelista"/>
        <w:widowControl w:val="0"/>
        <w:spacing w:after="0"/>
        <w:ind w:left="426"/>
        <w:jc w:val="both"/>
        <w:rPr>
          <w:rFonts w:ascii="ITC Avant Garde" w:eastAsia="Times New Roman" w:hAnsi="ITC Avant Garde"/>
          <w:sz w:val="22"/>
          <w:szCs w:val="22"/>
          <w:lang w:val="es-MX"/>
        </w:rPr>
      </w:pPr>
      <w:r w:rsidRPr="002275A9">
        <w:rPr>
          <w:rFonts w:ascii="ITC Avant Garde" w:eastAsia="Times New Roman" w:hAnsi="ITC Avant Garde"/>
          <w:sz w:val="22"/>
          <w:szCs w:val="22"/>
          <w:lang w:val="es-MX"/>
        </w:rPr>
        <w:lastRenderedPageBreak/>
        <w:t>En la Resolución AEP, el Pleno del Instituto emitió el Anexo 2 denominado “</w:t>
      </w:r>
      <w:r w:rsidRPr="002275A9">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2275A9">
        <w:rPr>
          <w:rFonts w:ascii="ITC Avant Garde" w:eastAsia="Times New Roman" w:hAnsi="ITC Avant Garde"/>
          <w:sz w:val="22"/>
          <w:szCs w:val="22"/>
          <w:lang w:val="es-MX"/>
        </w:rPr>
        <w:t>” (en lo sucesivo, “Anexo 2”).</w:t>
      </w:r>
    </w:p>
    <w:p w14:paraId="2E60FE17" w14:textId="77777777" w:rsidR="003D5E4B" w:rsidRPr="00725A9E" w:rsidRDefault="003D5E4B" w:rsidP="00725A9E">
      <w:pPr>
        <w:pStyle w:val="Prrafodelista"/>
        <w:rPr>
          <w:rFonts w:ascii="ITC Avant Garde" w:eastAsia="Times New Roman" w:hAnsi="ITC Avant Garde"/>
          <w:sz w:val="10"/>
          <w:szCs w:val="10"/>
          <w:lang w:val="es-MX"/>
        </w:rPr>
      </w:pPr>
    </w:p>
    <w:p w14:paraId="5A00775E" w14:textId="77777777" w:rsidR="003D5E4B" w:rsidRPr="002275A9" w:rsidRDefault="00267C03" w:rsidP="00725A9E">
      <w:pPr>
        <w:pStyle w:val="Prrafodelista"/>
        <w:widowControl w:val="0"/>
        <w:numPr>
          <w:ilvl w:val="0"/>
          <w:numId w:val="2"/>
        </w:numPr>
        <w:spacing w:after="0"/>
        <w:ind w:left="426" w:hanging="142"/>
        <w:jc w:val="both"/>
        <w:rPr>
          <w:rFonts w:ascii="ITC Avant Garde" w:eastAsia="Times New Roman" w:hAnsi="ITC Avant Garde"/>
          <w:sz w:val="22"/>
          <w:szCs w:val="22"/>
        </w:rPr>
      </w:pPr>
      <w:r w:rsidRPr="00267C03">
        <w:rPr>
          <w:rFonts w:ascii="ITC Avant Garde" w:hAnsi="ITC Avant Garde"/>
          <w:b/>
          <w:sz w:val="22"/>
          <w:szCs w:val="22"/>
        </w:rPr>
        <w:t xml:space="preserve">Ley Federal de Telecomunicaciones y Radiodifusión. </w:t>
      </w:r>
      <w:r w:rsidR="003D5E4B" w:rsidRPr="00267C03">
        <w:rPr>
          <w:rFonts w:ascii="ITC Avant Garde" w:eastAsia="Times New Roman" w:hAnsi="ITC Avant Garde"/>
          <w:sz w:val="22"/>
          <w:szCs w:val="22"/>
        </w:rPr>
        <w:t>El 14 de julio de 2014, se publicó en el DOF el “</w:t>
      </w:r>
      <w:r w:rsidR="003D5E4B" w:rsidRPr="00267C03">
        <w:rPr>
          <w:rFonts w:ascii="ITC Avant Garde" w:eastAsia="Times New Roman" w:hAnsi="ITC Avant Garde"/>
          <w:i/>
          <w:sz w:val="22"/>
          <w:szCs w:val="22"/>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3D5E4B" w:rsidRPr="002275A9">
        <w:rPr>
          <w:rFonts w:ascii="ITC Avant Garde" w:eastAsia="Times New Roman" w:hAnsi="ITC Avant Garde"/>
          <w:sz w:val="22"/>
          <w:szCs w:val="22"/>
        </w:rPr>
        <w:t>” (</w:t>
      </w:r>
      <w:r w:rsidR="003D5E4B" w:rsidRPr="002275A9">
        <w:rPr>
          <w:rFonts w:ascii="ITC Avant Garde" w:eastAsia="Times New Roman" w:hAnsi="ITC Avant Garde"/>
          <w:sz w:val="22"/>
          <w:szCs w:val="22"/>
          <w:lang w:val="es-MX"/>
        </w:rPr>
        <w:t>en lo sucesivo, el “</w:t>
      </w:r>
      <w:r w:rsidR="003D5E4B" w:rsidRPr="002275A9">
        <w:rPr>
          <w:rFonts w:ascii="ITC Avant Garde" w:eastAsia="Times New Roman" w:hAnsi="ITC Avant Garde"/>
          <w:sz w:val="22"/>
          <w:szCs w:val="22"/>
        </w:rPr>
        <w:t>Decreto de Ley</w:t>
      </w:r>
      <w:r w:rsidR="003D5E4B" w:rsidRPr="002275A9">
        <w:rPr>
          <w:rFonts w:ascii="ITC Avant Garde" w:eastAsia="Times New Roman" w:hAnsi="ITC Avant Garde"/>
          <w:sz w:val="22"/>
          <w:szCs w:val="22"/>
          <w:lang w:val="es-MX"/>
        </w:rPr>
        <w:t>”</w:t>
      </w:r>
      <w:r w:rsidR="003D5E4B" w:rsidRPr="002275A9">
        <w:rPr>
          <w:rFonts w:ascii="ITC Avant Garde" w:eastAsia="Times New Roman" w:hAnsi="ITC Avant Garde"/>
          <w:sz w:val="22"/>
          <w:szCs w:val="22"/>
        </w:rPr>
        <w:t>), entrando en vigor la Ley Federal de Telecomunicaciones y Radiodifusión (</w:t>
      </w:r>
      <w:r w:rsidR="003D5E4B" w:rsidRPr="002275A9">
        <w:rPr>
          <w:rFonts w:ascii="ITC Avant Garde" w:eastAsia="Times New Roman" w:hAnsi="ITC Avant Garde"/>
          <w:sz w:val="22"/>
          <w:szCs w:val="22"/>
          <w:lang w:val="es-MX"/>
        </w:rPr>
        <w:t>en lo sucesivo, la “</w:t>
      </w:r>
      <w:r w:rsidR="003D5E4B" w:rsidRPr="002275A9">
        <w:rPr>
          <w:rFonts w:ascii="ITC Avant Garde" w:eastAsia="Times New Roman" w:hAnsi="ITC Avant Garde"/>
          <w:sz w:val="22"/>
          <w:szCs w:val="22"/>
        </w:rPr>
        <w:t>LFT</w:t>
      </w:r>
      <w:r w:rsidR="003D5E4B" w:rsidRPr="002275A9">
        <w:rPr>
          <w:rFonts w:ascii="ITC Avant Garde" w:eastAsia="Times New Roman" w:hAnsi="ITC Avant Garde"/>
          <w:sz w:val="22"/>
          <w:szCs w:val="22"/>
          <w:lang w:val="es-MX"/>
        </w:rPr>
        <w:t>R”</w:t>
      </w:r>
      <w:r w:rsidR="003D5E4B" w:rsidRPr="002275A9">
        <w:rPr>
          <w:rFonts w:ascii="ITC Avant Garde" w:eastAsia="Times New Roman" w:hAnsi="ITC Avant Garde"/>
          <w:sz w:val="22"/>
          <w:szCs w:val="22"/>
        </w:rPr>
        <w:t>) el 13 de agosto del 2014</w:t>
      </w:r>
      <w:r w:rsidR="00E12A33">
        <w:rPr>
          <w:rFonts w:ascii="ITC Avant Garde" w:eastAsia="Times New Roman" w:hAnsi="ITC Avant Garde"/>
          <w:sz w:val="22"/>
          <w:szCs w:val="22"/>
        </w:rPr>
        <w:t>,</w:t>
      </w:r>
      <w:r w:rsidR="00E12A33" w:rsidRPr="00E12A33">
        <w:rPr>
          <w:rFonts w:ascii="ITC Avant Garde" w:eastAsia="Times New Roman" w:hAnsi="ITC Avant Garde"/>
          <w:sz w:val="22"/>
          <w:szCs w:val="22"/>
        </w:rPr>
        <w:t xml:space="preserve"> cuya última modificación fue publicada en el DOF el 15 de junio de 2018</w:t>
      </w:r>
      <w:r w:rsidR="003D5E4B" w:rsidRPr="002275A9">
        <w:rPr>
          <w:rFonts w:ascii="ITC Avant Garde" w:eastAsia="Times New Roman" w:hAnsi="ITC Avant Garde"/>
          <w:sz w:val="22"/>
          <w:szCs w:val="22"/>
        </w:rPr>
        <w:t>.</w:t>
      </w:r>
    </w:p>
    <w:p w14:paraId="5EF04822" w14:textId="77777777" w:rsidR="003D5E4B" w:rsidRPr="00725A9E" w:rsidRDefault="003D5E4B" w:rsidP="00725A9E">
      <w:pPr>
        <w:pStyle w:val="Prrafodelista"/>
        <w:widowControl w:val="0"/>
        <w:spacing w:after="0"/>
        <w:jc w:val="both"/>
        <w:rPr>
          <w:rFonts w:ascii="ITC Avant Garde" w:eastAsia="Times New Roman" w:hAnsi="ITC Avant Garde"/>
          <w:sz w:val="10"/>
          <w:szCs w:val="10"/>
        </w:rPr>
      </w:pPr>
    </w:p>
    <w:p w14:paraId="430C2B46" w14:textId="77777777" w:rsidR="00BC3203" w:rsidRPr="001647F5" w:rsidRDefault="00BC3203" w:rsidP="00725A9E">
      <w:pPr>
        <w:pStyle w:val="Prrafodelista"/>
        <w:widowControl w:val="0"/>
        <w:numPr>
          <w:ilvl w:val="0"/>
          <w:numId w:val="2"/>
        </w:numPr>
        <w:spacing w:after="0"/>
        <w:ind w:left="426" w:hanging="142"/>
        <w:jc w:val="both"/>
        <w:rPr>
          <w:rFonts w:ascii="ITC Avant Garde" w:hAnsi="ITC Avant Garde" w:cs="Arial"/>
          <w:sz w:val="22"/>
          <w:szCs w:val="22"/>
          <w:lang w:val="es-ES_tradnl" w:eastAsia="es-ES"/>
        </w:rPr>
      </w:pPr>
      <w:r w:rsidRPr="001647F5">
        <w:rPr>
          <w:rFonts w:ascii="ITC Avant Garde" w:hAnsi="ITC Avant Garde"/>
          <w:b/>
          <w:sz w:val="22"/>
          <w:szCs w:val="22"/>
        </w:rPr>
        <w:t>Estatuto Orgánico del Instituto Federal de Telecomunicaciones.</w:t>
      </w:r>
      <w:r w:rsidRPr="001647F5">
        <w:rPr>
          <w:rFonts w:ascii="ITC Avant Garde" w:hAnsi="ITC Avant Garde"/>
          <w:sz w:val="22"/>
          <w:szCs w:val="22"/>
        </w:rPr>
        <w:t xml:space="preserve"> </w:t>
      </w:r>
      <w:r w:rsidRPr="001647F5">
        <w:rPr>
          <w:rFonts w:ascii="ITC Avant Garde" w:hAnsi="ITC Avant Garde" w:cs="Arial"/>
          <w:sz w:val="22"/>
          <w:szCs w:val="22"/>
          <w:lang w:val="es-ES_tradnl" w:eastAsia="es-ES"/>
        </w:rPr>
        <w:t xml:space="preserve">El 4 de septiembre de 2014, se publicó en el DOF el </w:t>
      </w:r>
      <w:r w:rsidRPr="001647F5">
        <w:rPr>
          <w:rFonts w:ascii="ITC Avant Garde" w:hAnsi="ITC Avant Garde" w:cs="Arial"/>
          <w:i/>
          <w:sz w:val="22"/>
          <w:szCs w:val="22"/>
          <w:lang w:val="es-ES_tradnl" w:eastAsia="es-ES"/>
        </w:rPr>
        <w:t>“ESTATUTO Orgánico del Instituto Federal de Telecomunicaciones”</w:t>
      </w:r>
      <w:r w:rsidRPr="001647F5">
        <w:rPr>
          <w:rFonts w:ascii="ITC Avant Garde" w:hAnsi="ITC Avant Garde" w:cs="Arial"/>
          <w:sz w:val="22"/>
          <w:szCs w:val="22"/>
          <w:lang w:val="es-ES_tradnl" w:eastAsia="es-ES"/>
        </w:rPr>
        <w:t xml:space="preserve"> (en lo sucesivo, el “Estatuto”), mismo que entró en vigor el 26 de septiembre de 2014 </w:t>
      </w:r>
      <w:r w:rsidRPr="001647F5">
        <w:rPr>
          <w:rFonts w:ascii="ITC Avant Garde" w:hAnsi="ITC Avant Garde" w:cs="Arial"/>
          <w:color w:val="000000"/>
          <w:sz w:val="22"/>
          <w:szCs w:val="22"/>
          <w:lang w:val="es-ES_tradnl" w:eastAsia="es-ES"/>
        </w:rPr>
        <w:t xml:space="preserve">y fue modificado por última vez el </w:t>
      </w:r>
      <w:r w:rsidR="001647F5" w:rsidRPr="001647F5">
        <w:rPr>
          <w:rFonts w:ascii="ITC Avant Garde" w:hAnsi="ITC Avant Garde" w:cs="Arial"/>
          <w:color w:val="000000"/>
          <w:sz w:val="22"/>
          <w:szCs w:val="22"/>
          <w:lang w:val="es-ES_tradnl" w:eastAsia="es-ES"/>
        </w:rPr>
        <w:t>7</w:t>
      </w:r>
      <w:r w:rsidRPr="001647F5">
        <w:rPr>
          <w:rFonts w:ascii="ITC Avant Garde" w:hAnsi="ITC Avant Garde" w:cs="Arial"/>
          <w:color w:val="000000"/>
          <w:sz w:val="22"/>
          <w:szCs w:val="22"/>
          <w:lang w:val="es-ES_tradnl" w:eastAsia="es-ES"/>
        </w:rPr>
        <w:t xml:space="preserve"> de </w:t>
      </w:r>
      <w:r w:rsidR="001647F5" w:rsidRPr="001647F5">
        <w:rPr>
          <w:rFonts w:ascii="ITC Avant Garde" w:hAnsi="ITC Avant Garde" w:cs="Arial"/>
          <w:color w:val="000000"/>
          <w:sz w:val="22"/>
          <w:szCs w:val="22"/>
          <w:lang w:val="es-ES_tradnl" w:eastAsia="es-ES"/>
        </w:rPr>
        <w:t>diciembre</w:t>
      </w:r>
      <w:r w:rsidRPr="001647F5">
        <w:rPr>
          <w:rFonts w:ascii="ITC Avant Garde" w:hAnsi="ITC Avant Garde" w:cs="Arial"/>
          <w:color w:val="000000"/>
          <w:sz w:val="22"/>
          <w:szCs w:val="22"/>
          <w:lang w:val="es-ES_tradnl" w:eastAsia="es-ES"/>
        </w:rPr>
        <w:t xml:space="preserve"> de 2018</w:t>
      </w:r>
      <w:r w:rsidRPr="001647F5">
        <w:rPr>
          <w:rFonts w:ascii="ITC Avant Garde" w:hAnsi="ITC Avant Garde" w:cs="Arial"/>
          <w:sz w:val="22"/>
          <w:szCs w:val="22"/>
          <w:lang w:val="es-ES_tradnl" w:eastAsia="es-ES"/>
        </w:rPr>
        <w:t>.</w:t>
      </w:r>
    </w:p>
    <w:p w14:paraId="44E4FDFD" w14:textId="77777777" w:rsidR="00BC3203" w:rsidRPr="00725A9E" w:rsidRDefault="00BC3203" w:rsidP="00725A9E">
      <w:pPr>
        <w:pStyle w:val="Prrafodelista"/>
        <w:rPr>
          <w:rFonts w:ascii="ITC Avant Garde" w:eastAsia="Times New Roman" w:hAnsi="ITC Avant Garde"/>
          <w:sz w:val="10"/>
          <w:szCs w:val="10"/>
          <w:lang w:val="es-MX"/>
        </w:rPr>
      </w:pPr>
    </w:p>
    <w:p w14:paraId="1FF0996C" w14:textId="77777777" w:rsidR="003D5E4B" w:rsidRPr="002275A9" w:rsidRDefault="00B877AD" w:rsidP="00725A9E">
      <w:pPr>
        <w:pStyle w:val="Prrafodelista"/>
        <w:widowControl w:val="0"/>
        <w:numPr>
          <w:ilvl w:val="0"/>
          <w:numId w:val="2"/>
        </w:numPr>
        <w:spacing w:after="0"/>
        <w:ind w:left="426" w:hanging="142"/>
        <w:jc w:val="both"/>
        <w:rPr>
          <w:rFonts w:ascii="ITC Avant Garde" w:eastAsia="Times New Roman" w:hAnsi="ITC Avant Garde"/>
          <w:sz w:val="22"/>
          <w:szCs w:val="22"/>
        </w:rPr>
      </w:pPr>
      <w:r w:rsidRPr="00B877AD">
        <w:rPr>
          <w:rFonts w:ascii="ITC Avant Garde" w:hAnsi="ITC Avant Garde"/>
          <w:b/>
          <w:sz w:val="22"/>
          <w:szCs w:val="22"/>
        </w:rPr>
        <w:t>Resolución Bienal.</w:t>
      </w:r>
      <w:r>
        <w:rPr>
          <w:rFonts w:ascii="ITC Avant Garde" w:hAnsi="ITC Avant Garde"/>
          <w:b/>
          <w:sz w:val="22"/>
          <w:szCs w:val="22"/>
          <w:lang w:val="es-MX"/>
        </w:rPr>
        <w:t xml:space="preserve"> </w:t>
      </w:r>
      <w:r w:rsidR="003D5E4B" w:rsidRPr="00B877AD">
        <w:rPr>
          <w:rFonts w:ascii="ITC Avant Garde" w:eastAsia="Times New Roman" w:hAnsi="ITC Avant Garde"/>
          <w:sz w:val="22"/>
          <w:szCs w:val="22"/>
          <w:lang w:val="es-MX"/>
        </w:rPr>
        <w:t>El</w:t>
      </w:r>
      <w:r w:rsidR="003D5E4B" w:rsidRPr="002275A9">
        <w:rPr>
          <w:rFonts w:ascii="ITC Avant Garde" w:eastAsia="Times New Roman" w:hAnsi="ITC Avant Garde"/>
          <w:sz w:val="22"/>
          <w:szCs w:val="22"/>
          <w:lang w:val="es-MX"/>
        </w:rPr>
        <w:t xml:space="preserve"> 27 de febrero de 2017, el Pleno del Instituto en su IV Sesión Extraordinaria, aprobó mediante Acuerdo P/IFT/EXT/270217/119 la “</w:t>
      </w:r>
      <w:r w:rsidR="003D5E4B" w:rsidRPr="002275A9">
        <w:rPr>
          <w:rFonts w:ascii="ITC Avant Garde" w:eastAsia="Times New Roman" w:hAnsi="ITC Avant Garde"/>
          <w:i/>
          <w:sz w:val="22"/>
          <w:szCs w:val="22"/>
          <w:lang w:val="es-MX"/>
        </w:rPr>
        <w:t>RESOLUCIÓN MEDIANTE LA CUAL EL PLENO DEL INSTITUTO FEDERAL DE TELECOMUNICACIONES SUPRIME, MODIFICA Y ADICIONA LAS MEDIDAS IMPUESTAS AL AGENTE ECONÓMICO PROPONDERANTE EN EL SECTOR DE TELECOMUNICACIONES MEDIANTE RESOLUCIÓN DE FECHA 6 DE MARZO DE 2014, APROBADA MEDIANTE ACUERDO P/IFT/EXT/060314/79”</w:t>
      </w:r>
      <w:r w:rsidR="003D5E4B" w:rsidRPr="002275A9">
        <w:rPr>
          <w:rFonts w:ascii="ITC Avant Garde" w:eastAsia="Times New Roman" w:hAnsi="ITC Avant Garde"/>
          <w:sz w:val="22"/>
          <w:szCs w:val="22"/>
          <w:lang w:val="es-MX"/>
        </w:rPr>
        <w:t xml:space="preserve"> (en lo sucesivo, la “Resolución Bienal”)</w:t>
      </w:r>
      <w:r w:rsidR="00C963BA" w:rsidRPr="002275A9">
        <w:rPr>
          <w:rFonts w:ascii="ITC Avant Garde" w:eastAsia="Times New Roman" w:hAnsi="ITC Avant Garde"/>
          <w:sz w:val="22"/>
          <w:szCs w:val="22"/>
          <w:lang w:val="es-MX"/>
        </w:rPr>
        <w:t>.</w:t>
      </w:r>
      <w:r w:rsidR="003D5E4B" w:rsidRPr="002275A9">
        <w:rPr>
          <w:rFonts w:ascii="ITC Avant Garde" w:eastAsia="Times New Roman" w:hAnsi="ITC Avant Garde"/>
          <w:i/>
          <w:sz w:val="22"/>
          <w:szCs w:val="22"/>
          <w:lang w:val="es-MX"/>
        </w:rPr>
        <w:t xml:space="preserve"> </w:t>
      </w:r>
    </w:p>
    <w:p w14:paraId="6C3A74C9" w14:textId="77777777" w:rsidR="003D5E4B" w:rsidRPr="00725A9E" w:rsidRDefault="003D5E4B" w:rsidP="00725A9E">
      <w:pPr>
        <w:pStyle w:val="Prrafodelista"/>
        <w:rPr>
          <w:rFonts w:ascii="ITC Avant Garde" w:eastAsia="Times New Roman" w:hAnsi="ITC Avant Garde"/>
          <w:sz w:val="10"/>
          <w:szCs w:val="10"/>
        </w:rPr>
      </w:pPr>
    </w:p>
    <w:p w14:paraId="199F37D6" w14:textId="77777777" w:rsidR="003D5E4B" w:rsidRPr="002275A9" w:rsidRDefault="003D5E4B" w:rsidP="00725A9E">
      <w:pPr>
        <w:pStyle w:val="Prrafodelista"/>
        <w:widowControl w:val="0"/>
        <w:spacing w:after="0"/>
        <w:ind w:left="426"/>
        <w:jc w:val="both"/>
        <w:rPr>
          <w:rFonts w:ascii="ITC Avant Garde" w:eastAsia="Times New Roman" w:hAnsi="ITC Avant Garde"/>
          <w:sz w:val="22"/>
          <w:szCs w:val="22"/>
        </w:rPr>
      </w:pPr>
      <w:r w:rsidRPr="002275A9">
        <w:rPr>
          <w:rFonts w:ascii="ITC Avant Garde" w:eastAsia="Times New Roman" w:hAnsi="ITC Avant Garde"/>
          <w:sz w:val="22"/>
          <w:szCs w:val="22"/>
          <w:lang w:val="es-MX"/>
        </w:rPr>
        <w:t xml:space="preserve">En la Resolución Bienal el Pleno del Instituto emitió el Anexo 1 </w:t>
      </w:r>
      <w:r w:rsidR="004827C4">
        <w:rPr>
          <w:rFonts w:ascii="ITC Avant Garde" w:eastAsia="Times New Roman" w:hAnsi="ITC Avant Garde"/>
          <w:sz w:val="22"/>
          <w:szCs w:val="22"/>
          <w:lang w:val="es-MX"/>
        </w:rPr>
        <w:t>mediante el cual</w:t>
      </w:r>
      <w:r w:rsidRPr="002275A9">
        <w:rPr>
          <w:rFonts w:ascii="ITC Avant Garde" w:eastAsia="Times New Roman" w:hAnsi="ITC Avant Garde"/>
          <w:sz w:val="22"/>
          <w:szCs w:val="22"/>
          <w:lang w:val="es-MX"/>
        </w:rPr>
        <w:t xml:space="preserv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12.1),19.1), 19.2), 22.1), 22.2) y 22.3), VIGÉSIMA TERCERA BIS, SEPTUAGÉSIMA SÉPTIMA, SEPTUAGÉSIMA OCTAVA y SEPTUAGÉSIMA NOVENA, y se SUPRIMEN las medidas TERCERA, incisos 3), 10), 11), 12), 18) y 29) y SEXAGÉSIMA TERCERA del Anexo 1 de la Resolución AEP.</w:t>
      </w:r>
    </w:p>
    <w:p w14:paraId="210858DD" w14:textId="77777777" w:rsidR="00565FAE" w:rsidRDefault="00565FAE" w:rsidP="00725A9E">
      <w:pPr>
        <w:pStyle w:val="Prrafodelista"/>
        <w:widowControl w:val="0"/>
        <w:spacing w:after="0"/>
        <w:ind w:left="426"/>
        <w:jc w:val="both"/>
        <w:rPr>
          <w:rFonts w:ascii="ITC Avant Garde" w:eastAsia="Times New Roman" w:hAnsi="ITC Avant Garde"/>
          <w:sz w:val="22"/>
          <w:szCs w:val="22"/>
          <w:lang w:val="es-MX"/>
        </w:rPr>
      </w:pPr>
    </w:p>
    <w:p w14:paraId="533C6A1E" w14:textId="76792834" w:rsidR="003D5E4B" w:rsidRPr="002275A9" w:rsidRDefault="00C963BA" w:rsidP="00725A9E">
      <w:pPr>
        <w:pStyle w:val="Prrafodelista"/>
        <w:widowControl w:val="0"/>
        <w:spacing w:after="0"/>
        <w:ind w:left="426"/>
        <w:jc w:val="both"/>
        <w:rPr>
          <w:rFonts w:ascii="ITC Avant Garde" w:eastAsia="Times New Roman" w:hAnsi="ITC Avant Garde"/>
          <w:sz w:val="22"/>
          <w:szCs w:val="22"/>
        </w:rPr>
      </w:pPr>
      <w:r w:rsidRPr="002275A9">
        <w:rPr>
          <w:rFonts w:ascii="ITC Avant Garde" w:eastAsia="Times New Roman" w:hAnsi="ITC Avant Garde"/>
          <w:sz w:val="22"/>
          <w:szCs w:val="22"/>
          <w:lang w:val="es-MX"/>
        </w:rPr>
        <w:lastRenderedPageBreak/>
        <w:t>Para efectos del p</w:t>
      </w:r>
      <w:r w:rsidR="003D5E4B" w:rsidRPr="002275A9">
        <w:rPr>
          <w:rFonts w:ascii="ITC Avant Garde" w:eastAsia="Times New Roman" w:hAnsi="ITC Avant Garde"/>
          <w:sz w:val="22"/>
          <w:szCs w:val="22"/>
          <w:lang w:val="es-MX"/>
        </w:rPr>
        <w:t>resente Acuerdo se le denominará de manera integral “Medidas Móviles” a las emitidas como parte del Anexo 1 de la Resolución AEP, así como a las modificaciones realizadas como parte del Anexo 1 de la Resolución Bienal.</w:t>
      </w:r>
    </w:p>
    <w:p w14:paraId="4FBFDEC8" w14:textId="77777777" w:rsidR="003D5E4B" w:rsidRPr="00565FAE" w:rsidRDefault="003D5E4B" w:rsidP="00725A9E">
      <w:pPr>
        <w:pStyle w:val="Prrafodelista"/>
        <w:widowControl w:val="0"/>
        <w:spacing w:after="0"/>
        <w:jc w:val="both"/>
        <w:rPr>
          <w:rFonts w:ascii="ITC Avant Garde" w:eastAsia="Times New Roman" w:hAnsi="ITC Avant Garde"/>
          <w:sz w:val="6"/>
          <w:szCs w:val="6"/>
        </w:rPr>
      </w:pPr>
    </w:p>
    <w:p w14:paraId="0ED28F5A" w14:textId="77777777" w:rsidR="003D5E4B" w:rsidRPr="002275A9" w:rsidRDefault="00E12A33" w:rsidP="00725A9E">
      <w:pPr>
        <w:pStyle w:val="Prrafodelista"/>
        <w:widowControl w:val="0"/>
        <w:spacing w:after="0"/>
        <w:ind w:left="426"/>
        <w:jc w:val="both"/>
        <w:rPr>
          <w:rFonts w:ascii="ITC Avant Garde" w:eastAsia="Times New Roman" w:hAnsi="ITC Avant Garde"/>
          <w:sz w:val="22"/>
          <w:szCs w:val="22"/>
          <w:lang w:val="es-MX"/>
        </w:rPr>
      </w:pPr>
      <w:r>
        <w:rPr>
          <w:rFonts w:ascii="ITC Avant Garde" w:eastAsia="Times New Roman" w:hAnsi="ITC Avant Garde"/>
          <w:sz w:val="22"/>
          <w:szCs w:val="22"/>
          <w:lang w:val="es-MX"/>
        </w:rPr>
        <w:t>Asimismo, e</w:t>
      </w:r>
      <w:r w:rsidR="003D5E4B" w:rsidRPr="002275A9">
        <w:rPr>
          <w:rFonts w:ascii="ITC Avant Garde" w:eastAsia="Times New Roman" w:hAnsi="ITC Avant Garde"/>
          <w:sz w:val="22"/>
          <w:szCs w:val="22"/>
          <w:lang w:val="es-MX"/>
        </w:rPr>
        <w:t xml:space="preserve">n la Resolución Bienal el Pleno del Instituto emitió el Anexo 2 </w:t>
      </w:r>
      <w:r w:rsidR="004827C4">
        <w:rPr>
          <w:rFonts w:ascii="ITC Avant Garde" w:eastAsia="Times New Roman" w:hAnsi="ITC Avant Garde"/>
          <w:sz w:val="22"/>
          <w:szCs w:val="22"/>
          <w:lang w:val="es-MX"/>
        </w:rPr>
        <w:t>mediante el cual</w:t>
      </w:r>
      <w:r w:rsidR="004827C4" w:rsidRPr="002275A9">
        <w:rPr>
          <w:rFonts w:ascii="ITC Avant Garde" w:eastAsia="Times New Roman" w:hAnsi="ITC Avant Garde"/>
          <w:sz w:val="22"/>
          <w:szCs w:val="22"/>
          <w:lang w:val="es-MX"/>
        </w:rPr>
        <w:t xml:space="preserve"> </w:t>
      </w:r>
      <w:r w:rsidR="003D5E4B" w:rsidRPr="002275A9">
        <w:rPr>
          <w:rFonts w:ascii="ITC Avant Garde" w:eastAsia="Times New Roman" w:hAnsi="ITC Avant Garde"/>
          <w:sz w:val="22"/>
          <w:szCs w:val="22"/>
          <w:lang w:val="es-MX"/>
        </w:rPr>
        <w:t>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w:t>
      </w:r>
      <w:r w:rsidR="00C963BA" w:rsidRPr="002275A9">
        <w:rPr>
          <w:rFonts w:ascii="ITC Avant Garde" w:eastAsia="Times New Roman" w:hAnsi="ITC Avant Garde"/>
          <w:sz w:val="22"/>
          <w:szCs w:val="22"/>
          <w:lang w:val="es-MX"/>
        </w:rPr>
        <w:t>el Anexo 2 de la Resolución AEP</w:t>
      </w:r>
      <w:r w:rsidR="003D5E4B" w:rsidRPr="002275A9">
        <w:rPr>
          <w:rFonts w:ascii="ITC Avant Garde" w:eastAsia="Times New Roman" w:hAnsi="ITC Avant Garde"/>
          <w:sz w:val="22"/>
          <w:szCs w:val="22"/>
          <w:lang w:val="es-MX"/>
        </w:rPr>
        <w:t>.</w:t>
      </w:r>
    </w:p>
    <w:p w14:paraId="3ED22A5D" w14:textId="77777777" w:rsidR="003D5E4B" w:rsidRPr="00725A9E" w:rsidRDefault="003D5E4B" w:rsidP="00725A9E">
      <w:pPr>
        <w:pStyle w:val="Prrafodelista"/>
        <w:widowControl w:val="0"/>
        <w:spacing w:after="0"/>
        <w:jc w:val="both"/>
        <w:rPr>
          <w:rFonts w:ascii="ITC Avant Garde" w:eastAsia="Times New Roman" w:hAnsi="ITC Avant Garde"/>
          <w:sz w:val="10"/>
          <w:szCs w:val="10"/>
          <w:lang w:val="es-MX"/>
        </w:rPr>
      </w:pPr>
    </w:p>
    <w:p w14:paraId="1FB0143E" w14:textId="77777777" w:rsidR="003D5E4B" w:rsidRPr="002275A9" w:rsidRDefault="003D5E4B" w:rsidP="00725A9E">
      <w:pPr>
        <w:pStyle w:val="Prrafodelista"/>
        <w:widowControl w:val="0"/>
        <w:spacing w:after="0"/>
        <w:ind w:left="426"/>
        <w:jc w:val="both"/>
        <w:rPr>
          <w:rFonts w:ascii="ITC Avant Garde" w:eastAsia="Times New Roman" w:hAnsi="ITC Avant Garde"/>
          <w:sz w:val="22"/>
          <w:szCs w:val="22"/>
        </w:rPr>
      </w:pPr>
      <w:r w:rsidRPr="002275A9">
        <w:rPr>
          <w:rFonts w:ascii="ITC Avant Garde" w:eastAsia="Times New Roman" w:hAnsi="ITC Avant Garde"/>
          <w:sz w:val="22"/>
          <w:szCs w:val="22"/>
          <w:lang w:val="es-MX"/>
        </w:rPr>
        <w:t>Para efectos del presente Acuerdo se le denominará de manera integral “Medidas Fijas” a las emitidas como parte del Anexo 2 de la Resolución AEP, así como a las modificaciones realizadas como parte del Anexo 2 de la Resolución Bienal.</w:t>
      </w:r>
    </w:p>
    <w:p w14:paraId="41055BED" w14:textId="77777777" w:rsidR="003D5E4B" w:rsidRPr="00565FAE" w:rsidRDefault="003D5E4B" w:rsidP="00725A9E">
      <w:pPr>
        <w:pStyle w:val="Prrafodelista"/>
        <w:widowControl w:val="0"/>
        <w:spacing w:after="0"/>
        <w:jc w:val="both"/>
        <w:rPr>
          <w:rFonts w:ascii="ITC Avant Garde" w:eastAsia="Times New Roman" w:hAnsi="ITC Avant Garde"/>
          <w:sz w:val="6"/>
          <w:szCs w:val="6"/>
        </w:rPr>
      </w:pPr>
    </w:p>
    <w:p w14:paraId="05A45EEE" w14:textId="77777777" w:rsidR="00255A27" w:rsidRDefault="00255A27" w:rsidP="00725A9E">
      <w:pPr>
        <w:pStyle w:val="AntecedentesDGDTR"/>
        <w:numPr>
          <w:ilvl w:val="0"/>
          <w:numId w:val="2"/>
        </w:numPr>
        <w:ind w:left="426" w:hanging="66"/>
        <w:rPr>
          <w:lang w:val="es-MX"/>
        </w:rPr>
      </w:pPr>
      <w:r w:rsidRPr="005C1E85">
        <w:rPr>
          <w:b/>
          <w:lang w:val="es-MX"/>
        </w:rPr>
        <w:t>Lineamientos de Consulta Pública y Análisis de Impacto Regulatorio</w:t>
      </w:r>
      <w:r w:rsidRPr="005C1E85">
        <w:rPr>
          <w:lang w:val="es-MX"/>
        </w:rPr>
        <w:t>. El 25 de septiembre de 2017, el Pleno del Instituto, en su XXXIX Sesión Ordinaria, aprobó</w:t>
      </w:r>
      <w:r w:rsidRPr="005C1E85">
        <w:rPr>
          <w:szCs w:val="14"/>
        </w:rPr>
        <w:t xml:space="preserve"> el “</w:t>
      </w:r>
      <w:r w:rsidRPr="008B0A57">
        <w:rPr>
          <w:i/>
          <w:szCs w:val="14"/>
        </w:rPr>
        <w:t>Acuerdo mediante el cual el Pleno del Instituto Federal de Telecomunicaciones aprueba y emite los Lineamientos de Consulta Pública y Análisis de Impacto Regulatorio del Instituto Federal de Telecomunicaciones</w:t>
      </w:r>
      <w:r w:rsidRPr="005C1E85">
        <w:rPr>
          <w:szCs w:val="14"/>
        </w:rPr>
        <w:t>”,</w:t>
      </w:r>
      <w:r w:rsidRPr="005C1E85">
        <w:rPr>
          <w:lang w:val="es-MX"/>
        </w:rPr>
        <w:t xml:space="preserve"> mediante Acuerdo </w:t>
      </w:r>
      <w:r w:rsidRPr="005C1E85">
        <w:rPr>
          <w:szCs w:val="14"/>
        </w:rPr>
        <w:t xml:space="preserve">P/IFT/250917/592 </w:t>
      </w:r>
      <w:r w:rsidRPr="005C1E85">
        <w:rPr>
          <w:lang w:val="es-MX"/>
        </w:rPr>
        <w:t>(en lo sucesivo, los “</w:t>
      </w:r>
      <w:r w:rsidR="008B0A57">
        <w:rPr>
          <w:lang w:val="es-MX"/>
        </w:rPr>
        <w:t>Lineamientos de Consulta Pública</w:t>
      </w:r>
      <w:r w:rsidRPr="005C1E85">
        <w:rPr>
          <w:lang w:val="es-MX"/>
        </w:rPr>
        <w:t>”)</w:t>
      </w:r>
      <w:r w:rsidRPr="005C1E85">
        <w:rPr>
          <w:szCs w:val="14"/>
        </w:rPr>
        <w:t xml:space="preserve">, publicado </w:t>
      </w:r>
      <w:r w:rsidRPr="005C1E85">
        <w:rPr>
          <w:lang w:val="es-MX"/>
        </w:rPr>
        <w:t xml:space="preserve">en el DOF </w:t>
      </w:r>
      <w:r w:rsidRPr="005C1E85">
        <w:rPr>
          <w:szCs w:val="14"/>
        </w:rPr>
        <w:t>e</w:t>
      </w:r>
      <w:r w:rsidRPr="005C1E85">
        <w:rPr>
          <w:lang w:val="es-MX"/>
        </w:rPr>
        <w:t>l 8 de noviembre de 2017.</w:t>
      </w:r>
    </w:p>
    <w:p w14:paraId="0DDA7D0C" w14:textId="77777777" w:rsidR="00693ADC" w:rsidRPr="00565FAE" w:rsidRDefault="00693ADC" w:rsidP="00725A9E">
      <w:pPr>
        <w:pStyle w:val="AntecedentesDGDTR"/>
        <w:ind w:firstLine="0"/>
        <w:rPr>
          <w:sz w:val="6"/>
          <w:szCs w:val="6"/>
          <w:lang w:val="es-MX"/>
        </w:rPr>
      </w:pPr>
    </w:p>
    <w:p w14:paraId="11FBEBC3" w14:textId="4061FBA2" w:rsidR="00693ADC" w:rsidRPr="00725A9E" w:rsidRDefault="00693ADC" w:rsidP="00725A9E">
      <w:pPr>
        <w:pStyle w:val="Prrafodelista"/>
        <w:widowControl w:val="0"/>
        <w:numPr>
          <w:ilvl w:val="0"/>
          <w:numId w:val="2"/>
        </w:numPr>
        <w:spacing w:after="0"/>
        <w:ind w:left="426" w:hanging="142"/>
        <w:jc w:val="both"/>
        <w:rPr>
          <w:rFonts w:ascii="ITC Avant Garde" w:eastAsia="Times New Roman" w:hAnsi="ITC Avant Garde"/>
          <w:sz w:val="22"/>
          <w:szCs w:val="22"/>
        </w:rPr>
      </w:pPr>
      <w:r w:rsidRPr="000835F4">
        <w:rPr>
          <w:rFonts w:ascii="ITC Avant Garde" w:eastAsia="Times New Roman" w:hAnsi="ITC Avant Garde"/>
          <w:b/>
          <w:bCs/>
          <w:sz w:val="22"/>
          <w:szCs w:val="22"/>
        </w:rPr>
        <w:t>Propuesta de Convenio Marco de Interconexión</w:t>
      </w:r>
      <w:r>
        <w:rPr>
          <w:rFonts w:ascii="ITC Avant Garde" w:eastAsia="Times New Roman" w:hAnsi="ITC Avant Garde"/>
          <w:b/>
          <w:bCs/>
          <w:sz w:val="22"/>
          <w:szCs w:val="22"/>
          <w:lang w:val="es-MX"/>
        </w:rPr>
        <w:t xml:space="preserve"> Telmex</w:t>
      </w:r>
      <w:r w:rsidRPr="000835F4">
        <w:rPr>
          <w:rFonts w:ascii="ITC Avant Garde" w:eastAsia="Times New Roman" w:hAnsi="ITC Avant Garde"/>
          <w:b/>
          <w:bCs/>
          <w:sz w:val="22"/>
          <w:szCs w:val="22"/>
        </w:rPr>
        <w:t>.</w:t>
      </w:r>
      <w:r>
        <w:rPr>
          <w:rFonts w:ascii="ITC Avant Garde" w:eastAsia="Times New Roman" w:hAnsi="ITC Avant Garde"/>
          <w:b/>
          <w:bCs/>
          <w:sz w:val="22"/>
          <w:szCs w:val="22"/>
          <w:lang w:val="es-MX"/>
        </w:rPr>
        <w:t xml:space="preserve"> </w:t>
      </w:r>
      <w:r w:rsidRPr="008E6A3C">
        <w:rPr>
          <w:rFonts w:ascii="ITC Avant Garde" w:eastAsia="Times New Roman" w:hAnsi="ITC Avant Garde"/>
          <w:sz w:val="22"/>
          <w:szCs w:val="22"/>
          <w:lang w:val="es-MX"/>
        </w:rPr>
        <w:t>Mediante escrito recibido en la Oficialía de Partes del Instituto e</w:t>
      </w:r>
      <w:r w:rsidRPr="008E6A3C">
        <w:rPr>
          <w:rFonts w:ascii="ITC Avant Garde" w:eastAsia="Times New Roman" w:hAnsi="ITC Avant Garde"/>
          <w:sz w:val="22"/>
          <w:szCs w:val="22"/>
        </w:rPr>
        <w:t xml:space="preserve">l </w:t>
      </w:r>
      <w:r w:rsidRPr="008E6A3C">
        <w:rPr>
          <w:rFonts w:ascii="ITC Avant Garde" w:eastAsia="Times New Roman" w:hAnsi="ITC Avant Garde"/>
          <w:sz w:val="22"/>
          <w:szCs w:val="22"/>
          <w:lang w:val="es-MX"/>
        </w:rPr>
        <w:t>29 de marzo de 2019 con número de folio asignado 013879, Teléfonos de México, S.A.B. de C.V. (en lo sucesivo, “Telmex”), como parte del AEP en términos de la Medida Duodécima de las Medidas Fijas, presentó su propuesta de Convenio Marco de Interconexión aplicable para el periodo comprendido del 1° de enero al 31 de diciembre de 2020.</w:t>
      </w:r>
    </w:p>
    <w:p w14:paraId="09FF437B" w14:textId="28EA8A6F" w:rsidR="00725A9E" w:rsidRPr="00565FAE" w:rsidRDefault="00725A9E" w:rsidP="00725A9E">
      <w:pPr>
        <w:widowControl w:val="0"/>
        <w:spacing w:after="0"/>
        <w:jc w:val="both"/>
        <w:rPr>
          <w:rFonts w:ascii="ITC Avant Garde" w:eastAsia="Times New Roman" w:hAnsi="ITC Avant Garde"/>
          <w:sz w:val="6"/>
          <w:szCs w:val="6"/>
        </w:rPr>
      </w:pPr>
    </w:p>
    <w:p w14:paraId="21E87CA3" w14:textId="77777777" w:rsidR="003D5E4B" w:rsidRPr="008E6A3C" w:rsidRDefault="000835F4" w:rsidP="00725A9E">
      <w:pPr>
        <w:pStyle w:val="Prrafodelista"/>
        <w:widowControl w:val="0"/>
        <w:numPr>
          <w:ilvl w:val="0"/>
          <w:numId w:val="2"/>
        </w:numPr>
        <w:spacing w:after="0"/>
        <w:ind w:left="426" w:hanging="142"/>
        <w:jc w:val="both"/>
        <w:rPr>
          <w:rFonts w:ascii="ITC Avant Garde" w:eastAsia="Times New Roman" w:hAnsi="ITC Avant Garde"/>
          <w:sz w:val="22"/>
          <w:szCs w:val="22"/>
        </w:rPr>
      </w:pPr>
      <w:r w:rsidRPr="000835F4">
        <w:rPr>
          <w:rFonts w:ascii="ITC Avant Garde" w:eastAsia="Times New Roman" w:hAnsi="ITC Avant Garde"/>
          <w:b/>
          <w:bCs/>
          <w:sz w:val="22"/>
          <w:szCs w:val="22"/>
        </w:rPr>
        <w:t>Propuesta de Convenio Marco de Interconexión</w:t>
      </w:r>
      <w:r>
        <w:rPr>
          <w:rFonts w:ascii="ITC Avant Garde" w:eastAsia="Times New Roman" w:hAnsi="ITC Avant Garde"/>
          <w:b/>
          <w:bCs/>
          <w:sz w:val="22"/>
          <w:szCs w:val="22"/>
          <w:lang w:val="es-MX"/>
        </w:rPr>
        <w:t xml:space="preserve"> </w:t>
      </w:r>
      <w:proofErr w:type="spellStart"/>
      <w:r>
        <w:rPr>
          <w:rFonts w:ascii="ITC Avant Garde" w:eastAsia="Times New Roman" w:hAnsi="ITC Avant Garde"/>
          <w:b/>
          <w:bCs/>
          <w:sz w:val="22"/>
          <w:szCs w:val="22"/>
          <w:lang w:val="es-MX"/>
        </w:rPr>
        <w:t>Telnor</w:t>
      </w:r>
      <w:proofErr w:type="spellEnd"/>
      <w:r w:rsidRPr="000835F4">
        <w:rPr>
          <w:rFonts w:ascii="ITC Avant Garde" w:eastAsia="Times New Roman" w:hAnsi="ITC Avant Garde"/>
          <w:b/>
          <w:bCs/>
          <w:sz w:val="22"/>
          <w:szCs w:val="22"/>
        </w:rPr>
        <w:t>.</w:t>
      </w:r>
      <w:r w:rsidRPr="000835F4">
        <w:rPr>
          <w:rFonts w:ascii="ITC Avant Garde" w:eastAsia="Times New Roman" w:hAnsi="ITC Avant Garde"/>
          <w:b/>
          <w:bCs/>
          <w:sz w:val="22"/>
          <w:szCs w:val="22"/>
          <w:lang w:val="es-MX"/>
        </w:rPr>
        <w:t xml:space="preserve"> </w:t>
      </w:r>
      <w:r w:rsidR="003D5E4B" w:rsidRPr="000835F4">
        <w:rPr>
          <w:rFonts w:ascii="ITC Avant Garde" w:eastAsia="Times New Roman" w:hAnsi="ITC Avant Garde"/>
          <w:sz w:val="22"/>
          <w:szCs w:val="22"/>
          <w:lang w:val="es-MX"/>
        </w:rPr>
        <w:t>Me</w:t>
      </w:r>
      <w:r w:rsidR="003D5E4B" w:rsidRPr="008E6A3C">
        <w:rPr>
          <w:rFonts w:ascii="ITC Avant Garde" w:eastAsia="Times New Roman" w:hAnsi="ITC Avant Garde"/>
          <w:sz w:val="22"/>
          <w:szCs w:val="22"/>
          <w:lang w:val="es-MX"/>
        </w:rPr>
        <w:t>diante escrito recibido en la Oficialía de Partes del Instituto e</w:t>
      </w:r>
      <w:r w:rsidR="003D5E4B" w:rsidRPr="008E6A3C">
        <w:rPr>
          <w:rFonts w:ascii="ITC Avant Garde" w:eastAsia="Times New Roman" w:hAnsi="ITC Avant Garde"/>
          <w:sz w:val="22"/>
          <w:szCs w:val="22"/>
        </w:rPr>
        <w:t xml:space="preserve">l </w:t>
      </w:r>
      <w:r w:rsidR="002E1102" w:rsidRPr="008E6A3C">
        <w:rPr>
          <w:rFonts w:ascii="ITC Avant Garde" w:eastAsia="Times New Roman" w:hAnsi="ITC Avant Garde"/>
          <w:sz w:val="22"/>
          <w:szCs w:val="22"/>
          <w:lang w:val="es-MX"/>
        </w:rPr>
        <w:t>29</w:t>
      </w:r>
      <w:r w:rsidR="0028373A" w:rsidRPr="008E6A3C">
        <w:rPr>
          <w:rFonts w:ascii="ITC Avant Garde" w:eastAsia="Times New Roman" w:hAnsi="ITC Avant Garde"/>
          <w:sz w:val="22"/>
          <w:szCs w:val="22"/>
          <w:lang w:val="es-MX"/>
        </w:rPr>
        <w:t xml:space="preserve"> de marzo de 2019</w:t>
      </w:r>
      <w:r w:rsidR="003D5E4B" w:rsidRPr="008E6A3C">
        <w:rPr>
          <w:rFonts w:ascii="ITC Avant Garde" w:eastAsia="Times New Roman" w:hAnsi="ITC Avant Garde"/>
          <w:sz w:val="22"/>
          <w:szCs w:val="22"/>
          <w:lang w:val="es-MX"/>
        </w:rPr>
        <w:t xml:space="preserve"> con número de folio asignado </w:t>
      </w:r>
      <w:r w:rsidR="008E6A3C" w:rsidRPr="008E6A3C">
        <w:rPr>
          <w:rFonts w:ascii="ITC Avant Garde" w:eastAsia="Times New Roman" w:hAnsi="ITC Avant Garde"/>
          <w:sz w:val="22"/>
          <w:szCs w:val="22"/>
          <w:lang w:val="es-MX"/>
        </w:rPr>
        <w:t>013880</w:t>
      </w:r>
      <w:r w:rsidR="003D5E4B" w:rsidRPr="008E6A3C">
        <w:rPr>
          <w:rFonts w:ascii="ITC Avant Garde" w:eastAsia="Times New Roman" w:hAnsi="ITC Avant Garde"/>
          <w:sz w:val="22"/>
          <w:szCs w:val="22"/>
          <w:lang w:val="es-MX"/>
        </w:rPr>
        <w:t>, Teléfonos del Noroeste, S.A. de C.V. (en lo sucesivo, “</w:t>
      </w:r>
      <w:proofErr w:type="spellStart"/>
      <w:r w:rsidR="003D5E4B" w:rsidRPr="008E6A3C">
        <w:rPr>
          <w:rFonts w:ascii="ITC Avant Garde" w:eastAsia="Times New Roman" w:hAnsi="ITC Avant Garde"/>
          <w:sz w:val="22"/>
          <w:szCs w:val="22"/>
          <w:lang w:val="es-MX"/>
        </w:rPr>
        <w:t>Telnor</w:t>
      </w:r>
      <w:proofErr w:type="spellEnd"/>
      <w:r w:rsidR="003D5E4B" w:rsidRPr="008E6A3C">
        <w:rPr>
          <w:rFonts w:ascii="ITC Avant Garde" w:eastAsia="Times New Roman" w:hAnsi="ITC Avant Garde"/>
          <w:sz w:val="22"/>
          <w:szCs w:val="22"/>
          <w:lang w:val="es-MX"/>
        </w:rPr>
        <w:t>”), como parte del Agente Económico Preponderante (en lo sucesivo, el “AEP</w:t>
      </w:r>
      <w:r w:rsidR="00ED7392" w:rsidRPr="008E6A3C">
        <w:rPr>
          <w:rFonts w:ascii="ITC Avant Garde" w:eastAsia="Times New Roman" w:hAnsi="ITC Avant Garde"/>
          <w:sz w:val="22"/>
          <w:szCs w:val="22"/>
          <w:lang w:val="es-MX"/>
        </w:rPr>
        <w:t>”)</w:t>
      </w:r>
      <w:r w:rsidR="00541953" w:rsidRPr="008E6A3C">
        <w:rPr>
          <w:rFonts w:ascii="ITC Avant Garde" w:eastAsia="Times New Roman" w:hAnsi="ITC Avant Garde"/>
          <w:sz w:val="22"/>
          <w:szCs w:val="22"/>
          <w:lang w:val="es-MX"/>
        </w:rPr>
        <w:t xml:space="preserve"> en términos de la Medida Duodécima</w:t>
      </w:r>
      <w:r w:rsidR="003D5E4B" w:rsidRPr="008E6A3C">
        <w:rPr>
          <w:rFonts w:ascii="ITC Avant Garde" w:eastAsia="Times New Roman" w:hAnsi="ITC Avant Garde"/>
          <w:sz w:val="22"/>
          <w:szCs w:val="22"/>
          <w:lang w:val="es-MX"/>
        </w:rPr>
        <w:t xml:space="preserve"> de las Medidas Fijas, presentó su propuesta de Convenio Marco de Interconexión aplicable para el periodo comprendido </w:t>
      </w:r>
      <w:r w:rsidR="00541953" w:rsidRPr="008E6A3C">
        <w:rPr>
          <w:rFonts w:ascii="ITC Avant Garde" w:eastAsia="Times New Roman" w:hAnsi="ITC Avant Garde"/>
          <w:sz w:val="22"/>
          <w:szCs w:val="22"/>
          <w:lang w:val="es-MX"/>
        </w:rPr>
        <w:t>d</w:t>
      </w:r>
      <w:r w:rsidR="003D5E4B" w:rsidRPr="008E6A3C">
        <w:rPr>
          <w:rFonts w:ascii="ITC Avant Garde" w:eastAsia="Times New Roman" w:hAnsi="ITC Avant Garde"/>
          <w:sz w:val="22"/>
          <w:szCs w:val="22"/>
          <w:lang w:val="es-MX"/>
        </w:rPr>
        <w:t xml:space="preserve">el 1° de enero </w:t>
      </w:r>
      <w:r w:rsidR="00541953" w:rsidRPr="008E6A3C">
        <w:rPr>
          <w:rFonts w:ascii="ITC Avant Garde" w:eastAsia="Times New Roman" w:hAnsi="ITC Avant Garde"/>
          <w:sz w:val="22"/>
          <w:szCs w:val="22"/>
          <w:lang w:val="es-MX"/>
        </w:rPr>
        <w:t>a</w:t>
      </w:r>
      <w:r w:rsidR="003D5E4B" w:rsidRPr="008E6A3C">
        <w:rPr>
          <w:rFonts w:ascii="ITC Avant Garde" w:eastAsia="Times New Roman" w:hAnsi="ITC Avant Garde"/>
          <w:sz w:val="22"/>
          <w:szCs w:val="22"/>
          <w:lang w:val="es-MX"/>
        </w:rPr>
        <w:t>l</w:t>
      </w:r>
      <w:r w:rsidR="0031305A" w:rsidRPr="008E6A3C">
        <w:rPr>
          <w:rFonts w:ascii="ITC Avant Garde" w:eastAsia="Times New Roman" w:hAnsi="ITC Avant Garde"/>
          <w:sz w:val="22"/>
          <w:szCs w:val="22"/>
          <w:lang w:val="es-MX"/>
        </w:rPr>
        <w:t xml:space="preserve"> 31 de diciembre de 2020</w:t>
      </w:r>
      <w:r w:rsidR="003D5E4B" w:rsidRPr="008E6A3C">
        <w:rPr>
          <w:rFonts w:ascii="ITC Avant Garde" w:eastAsia="Times New Roman" w:hAnsi="ITC Avant Garde"/>
          <w:sz w:val="22"/>
          <w:szCs w:val="22"/>
          <w:lang w:val="es-MX"/>
        </w:rPr>
        <w:t>.</w:t>
      </w:r>
    </w:p>
    <w:p w14:paraId="41EC4ECD" w14:textId="77777777" w:rsidR="003D5E4B" w:rsidRPr="008E6A3C" w:rsidRDefault="000835F4" w:rsidP="00725A9E">
      <w:pPr>
        <w:pStyle w:val="Prrafodelista"/>
        <w:widowControl w:val="0"/>
        <w:numPr>
          <w:ilvl w:val="0"/>
          <w:numId w:val="2"/>
        </w:numPr>
        <w:spacing w:after="0"/>
        <w:ind w:left="426" w:hanging="142"/>
        <w:jc w:val="both"/>
        <w:rPr>
          <w:rFonts w:ascii="ITC Avant Garde" w:eastAsia="Times New Roman" w:hAnsi="ITC Avant Garde"/>
          <w:sz w:val="22"/>
          <w:szCs w:val="22"/>
        </w:rPr>
      </w:pPr>
      <w:r w:rsidRPr="000835F4">
        <w:rPr>
          <w:rFonts w:ascii="ITC Avant Garde" w:eastAsia="Times New Roman" w:hAnsi="ITC Avant Garde"/>
          <w:b/>
          <w:bCs/>
          <w:sz w:val="22"/>
          <w:szCs w:val="22"/>
        </w:rPr>
        <w:lastRenderedPageBreak/>
        <w:t>Propuesta de Convenio Marco de Interconexión</w:t>
      </w:r>
      <w:r>
        <w:rPr>
          <w:rFonts w:ascii="ITC Avant Garde" w:eastAsia="Times New Roman" w:hAnsi="ITC Avant Garde"/>
          <w:b/>
          <w:bCs/>
          <w:sz w:val="22"/>
          <w:szCs w:val="22"/>
          <w:lang w:val="es-MX"/>
        </w:rPr>
        <w:t xml:space="preserve"> Telcel</w:t>
      </w:r>
      <w:r w:rsidRPr="000835F4">
        <w:rPr>
          <w:rFonts w:ascii="ITC Avant Garde" w:eastAsia="Times New Roman" w:hAnsi="ITC Avant Garde"/>
          <w:b/>
          <w:bCs/>
          <w:sz w:val="22"/>
          <w:szCs w:val="22"/>
        </w:rPr>
        <w:t>.</w:t>
      </w:r>
      <w:r>
        <w:rPr>
          <w:rFonts w:ascii="ITC Avant Garde" w:eastAsia="Times New Roman" w:hAnsi="ITC Avant Garde"/>
          <w:b/>
          <w:bCs/>
          <w:sz w:val="22"/>
          <w:szCs w:val="22"/>
          <w:lang w:val="es-MX"/>
        </w:rPr>
        <w:t xml:space="preserve"> </w:t>
      </w:r>
      <w:r w:rsidR="003D5E4B" w:rsidRPr="008E6A3C">
        <w:rPr>
          <w:rFonts w:ascii="ITC Avant Garde" w:eastAsia="Times New Roman" w:hAnsi="ITC Avant Garde"/>
          <w:sz w:val="22"/>
          <w:szCs w:val="22"/>
          <w:lang w:val="es-MX"/>
        </w:rPr>
        <w:t>Mediante escrito recibido en la Oficialía de Partes del Instituto e</w:t>
      </w:r>
      <w:r w:rsidR="003D5E4B" w:rsidRPr="008E6A3C">
        <w:rPr>
          <w:rFonts w:ascii="ITC Avant Garde" w:eastAsia="Times New Roman" w:hAnsi="ITC Avant Garde"/>
          <w:sz w:val="22"/>
          <w:szCs w:val="22"/>
        </w:rPr>
        <w:t xml:space="preserve">l </w:t>
      </w:r>
      <w:r w:rsidR="008E6A3C" w:rsidRPr="008E6A3C">
        <w:rPr>
          <w:rFonts w:ascii="ITC Avant Garde" w:eastAsia="Times New Roman" w:hAnsi="ITC Avant Garde"/>
          <w:sz w:val="22"/>
          <w:szCs w:val="22"/>
          <w:lang w:val="es-MX"/>
        </w:rPr>
        <w:t>29</w:t>
      </w:r>
      <w:r w:rsidR="00ED7392" w:rsidRPr="008E6A3C">
        <w:rPr>
          <w:rFonts w:ascii="ITC Avant Garde" w:eastAsia="Times New Roman" w:hAnsi="ITC Avant Garde"/>
          <w:sz w:val="22"/>
          <w:szCs w:val="22"/>
          <w:lang w:val="es-MX"/>
        </w:rPr>
        <w:t xml:space="preserve"> de marzo de 2019</w:t>
      </w:r>
      <w:r w:rsidR="003D5E4B" w:rsidRPr="008E6A3C">
        <w:rPr>
          <w:rFonts w:ascii="ITC Avant Garde" w:eastAsia="Times New Roman" w:hAnsi="ITC Avant Garde"/>
          <w:sz w:val="22"/>
          <w:szCs w:val="22"/>
          <w:lang w:val="es-MX"/>
        </w:rPr>
        <w:t xml:space="preserve"> con número de folio asignado </w:t>
      </w:r>
      <w:r w:rsidR="008E6A3C" w:rsidRPr="008E6A3C">
        <w:rPr>
          <w:rFonts w:ascii="ITC Avant Garde" w:eastAsia="Times New Roman" w:hAnsi="ITC Avant Garde"/>
          <w:sz w:val="22"/>
          <w:szCs w:val="22"/>
          <w:lang w:val="es-MX"/>
        </w:rPr>
        <w:t>013881</w:t>
      </w:r>
      <w:r w:rsidR="003D5E4B" w:rsidRPr="008E6A3C">
        <w:rPr>
          <w:rFonts w:ascii="ITC Avant Garde" w:eastAsia="Times New Roman" w:hAnsi="ITC Avant Garde"/>
          <w:sz w:val="22"/>
          <w:szCs w:val="22"/>
          <w:lang w:val="es-MX"/>
        </w:rPr>
        <w:t xml:space="preserve">, Radiomóvil Dipsa, S.A. de C.V. (en lo sucesivo, “Telcel”) como parte del AEP, en términos de la Medida </w:t>
      </w:r>
      <w:r w:rsidR="00541953" w:rsidRPr="008E6A3C">
        <w:rPr>
          <w:rFonts w:ascii="ITC Avant Garde" w:eastAsia="Times New Roman" w:hAnsi="ITC Avant Garde"/>
          <w:sz w:val="22"/>
          <w:szCs w:val="22"/>
          <w:lang w:val="es-MX"/>
        </w:rPr>
        <w:t>Undécima</w:t>
      </w:r>
      <w:r w:rsidR="00ED7392" w:rsidRPr="008E6A3C">
        <w:rPr>
          <w:rFonts w:ascii="ITC Avant Garde" w:eastAsia="Times New Roman" w:hAnsi="ITC Avant Garde"/>
          <w:sz w:val="22"/>
          <w:szCs w:val="22"/>
          <w:lang w:val="es-MX"/>
        </w:rPr>
        <w:t xml:space="preserve"> de las Medidas Móviles</w:t>
      </w:r>
      <w:r w:rsidR="003D5E4B" w:rsidRPr="008E6A3C">
        <w:rPr>
          <w:rFonts w:ascii="ITC Avant Garde" w:eastAsia="Times New Roman" w:hAnsi="ITC Avant Garde"/>
          <w:sz w:val="22"/>
          <w:szCs w:val="22"/>
          <w:lang w:val="es-MX"/>
        </w:rPr>
        <w:t xml:space="preserve"> presentó su propuesta de Convenio Marco de Interconexión aplicable para el periodo comprendido </w:t>
      </w:r>
      <w:r w:rsidR="00541953" w:rsidRPr="008E6A3C">
        <w:rPr>
          <w:rFonts w:ascii="ITC Avant Garde" w:eastAsia="Times New Roman" w:hAnsi="ITC Avant Garde"/>
          <w:sz w:val="22"/>
          <w:szCs w:val="22"/>
          <w:lang w:val="es-MX"/>
        </w:rPr>
        <w:t>d</w:t>
      </w:r>
      <w:r w:rsidR="003D5E4B" w:rsidRPr="008E6A3C">
        <w:rPr>
          <w:rFonts w:ascii="ITC Avant Garde" w:eastAsia="Times New Roman" w:hAnsi="ITC Avant Garde"/>
          <w:sz w:val="22"/>
          <w:szCs w:val="22"/>
          <w:lang w:val="es-MX"/>
        </w:rPr>
        <w:t xml:space="preserve">el 1° de enero </w:t>
      </w:r>
      <w:r w:rsidR="00541953" w:rsidRPr="008E6A3C">
        <w:rPr>
          <w:rFonts w:ascii="ITC Avant Garde" w:eastAsia="Times New Roman" w:hAnsi="ITC Avant Garde"/>
          <w:sz w:val="22"/>
          <w:szCs w:val="22"/>
          <w:lang w:val="es-MX"/>
        </w:rPr>
        <w:t>a</w:t>
      </w:r>
      <w:r w:rsidR="003D5E4B" w:rsidRPr="008E6A3C">
        <w:rPr>
          <w:rFonts w:ascii="ITC Avant Garde" w:eastAsia="Times New Roman" w:hAnsi="ITC Avant Garde"/>
          <w:sz w:val="22"/>
          <w:szCs w:val="22"/>
          <w:lang w:val="es-MX"/>
        </w:rPr>
        <w:t>l</w:t>
      </w:r>
      <w:r w:rsidR="0031305A" w:rsidRPr="008E6A3C">
        <w:rPr>
          <w:rFonts w:ascii="ITC Avant Garde" w:eastAsia="Times New Roman" w:hAnsi="ITC Avant Garde"/>
          <w:sz w:val="22"/>
          <w:szCs w:val="22"/>
          <w:lang w:val="es-MX"/>
        </w:rPr>
        <w:t xml:space="preserve"> 31 de diciembre de 2020</w:t>
      </w:r>
      <w:r w:rsidR="003D5E4B" w:rsidRPr="008E6A3C">
        <w:rPr>
          <w:rFonts w:ascii="ITC Avant Garde" w:eastAsia="Times New Roman" w:hAnsi="ITC Avant Garde"/>
          <w:sz w:val="22"/>
          <w:szCs w:val="22"/>
          <w:lang w:val="es-MX"/>
        </w:rPr>
        <w:t>.</w:t>
      </w:r>
    </w:p>
    <w:p w14:paraId="59F7AAE8" w14:textId="77777777" w:rsidR="000E5E4B" w:rsidRPr="00725A9E" w:rsidRDefault="000E5E4B" w:rsidP="00725A9E">
      <w:pPr>
        <w:spacing w:after="0"/>
        <w:rPr>
          <w:rFonts w:ascii="ITC Avant Garde" w:hAnsi="ITC Avant Garde" w:cs="Arial"/>
          <w:b/>
          <w:bCs/>
          <w:sz w:val="10"/>
          <w:szCs w:val="10"/>
        </w:rPr>
      </w:pPr>
    </w:p>
    <w:p w14:paraId="0D647CBF" w14:textId="77777777" w:rsidR="003D5E4B" w:rsidRPr="00DF157F" w:rsidRDefault="003D5E4B" w:rsidP="00725A9E">
      <w:pPr>
        <w:spacing w:after="0"/>
        <w:jc w:val="center"/>
        <w:rPr>
          <w:rFonts w:ascii="ITC Avant Garde" w:hAnsi="ITC Avant Garde" w:cs="Arial"/>
          <w:b/>
          <w:bCs/>
        </w:rPr>
      </w:pPr>
      <w:r w:rsidRPr="00DF157F">
        <w:rPr>
          <w:rFonts w:ascii="ITC Avant Garde" w:hAnsi="ITC Avant Garde" w:cs="Arial"/>
          <w:b/>
          <w:bCs/>
        </w:rPr>
        <w:t>CONSIDERANDO</w:t>
      </w:r>
    </w:p>
    <w:p w14:paraId="53CDEA72" w14:textId="77777777" w:rsidR="003D5E4B" w:rsidRPr="00725A9E" w:rsidRDefault="003D5E4B" w:rsidP="00725A9E">
      <w:pPr>
        <w:spacing w:after="0"/>
        <w:jc w:val="both"/>
        <w:rPr>
          <w:rFonts w:ascii="ITC Avant Garde" w:hAnsi="ITC Avant Garde" w:cs="Arial"/>
          <w:b/>
          <w:bCs/>
          <w:sz w:val="10"/>
          <w:szCs w:val="10"/>
        </w:rPr>
      </w:pPr>
    </w:p>
    <w:p w14:paraId="1DA801AA" w14:textId="77777777" w:rsidR="003D5E4B" w:rsidRPr="00DF157F" w:rsidRDefault="003D5E4B" w:rsidP="00725A9E">
      <w:pPr>
        <w:spacing w:after="0"/>
        <w:jc w:val="both"/>
        <w:rPr>
          <w:rFonts w:ascii="ITC Avant Garde" w:hAnsi="ITC Avant Garde" w:cs="Arial"/>
          <w:bCs/>
        </w:rPr>
      </w:pPr>
      <w:r w:rsidRPr="00DF157F">
        <w:rPr>
          <w:rFonts w:ascii="ITC Avant Garde" w:hAnsi="ITC Avant Garde" w:cs="Arial"/>
          <w:b/>
          <w:bCs/>
        </w:rPr>
        <w:t>PRIMERO. - Competencia del Instituto.</w:t>
      </w:r>
      <w:r w:rsidRPr="00DF157F">
        <w:rPr>
          <w:rFonts w:ascii="ITC Avant Garde" w:hAnsi="ITC Avant Garde" w:cs="Arial"/>
          <w:bCs/>
        </w:rPr>
        <w:t xml:space="preserve"> De conformidad con el artículo 28, </w:t>
      </w:r>
      <w:proofErr w:type="gramStart"/>
      <w:r w:rsidRPr="00DF157F">
        <w:rPr>
          <w:rFonts w:ascii="ITC Avant Garde" w:hAnsi="ITC Avant Garde" w:cs="Arial"/>
          <w:bCs/>
        </w:rPr>
        <w:t>párrafos décimo quinto</w:t>
      </w:r>
      <w:proofErr w:type="gramEnd"/>
      <w:r w:rsidRPr="00DF157F">
        <w:rPr>
          <w:rFonts w:ascii="ITC Avant Garde" w:hAnsi="ITC Avant Garde" w:cs="Arial"/>
          <w:bCs/>
        </w:rPr>
        <w:t xml:space="preserve"> y décimo sexto 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51549FF6" w14:textId="77777777" w:rsidR="003D5E4B" w:rsidRPr="00725A9E" w:rsidRDefault="003D5E4B" w:rsidP="00725A9E">
      <w:pPr>
        <w:widowControl w:val="0"/>
        <w:spacing w:after="0"/>
        <w:jc w:val="both"/>
        <w:rPr>
          <w:rFonts w:ascii="ITC Avant Garde" w:eastAsia="Times New Roman" w:hAnsi="ITC Avant Garde"/>
          <w:sz w:val="10"/>
          <w:szCs w:val="10"/>
        </w:rPr>
      </w:pPr>
    </w:p>
    <w:p w14:paraId="36898BF7" w14:textId="0248053D" w:rsidR="003D5E4B" w:rsidRDefault="003D5E4B" w:rsidP="00725A9E">
      <w:pPr>
        <w:spacing w:after="0"/>
        <w:jc w:val="both"/>
        <w:rPr>
          <w:rFonts w:ascii="ITC Avant Garde" w:hAnsi="ITC Avant Garde" w:cs="Arial"/>
          <w:bCs/>
        </w:rPr>
      </w:pPr>
      <w:r w:rsidRPr="00B57173">
        <w:rPr>
          <w:rFonts w:ascii="ITC Avant Garde" w:hAnsi="ITC Avant Garde" w:cs="Arial"/>
          <w:bCs/>
        </w:rPr>
        <w:t xml:space="preserve">En cumplimiento a lo establecido en el artículo Octavo </w:t>
      </w:r>
      <w:r w:rsidR="00127374">
        <w:rPr>
          <w:rFonts w:ascii="ITC Avant Garde" w:hAnsi="ITC Avant Garde" w:cs="Arial"/>
          <w:bCs/>
        </w:rPr>
        <w:t>T</w:t>
      </w:r>
      <w:r w:rsidRPr="00B57173">
        <w:rPr>
          <w:rFonts w:ascii="ITC Avant Garde" w:hAnsi="ITC Avant Garde" w:cs="Arial"/>
          <w:bCs/>
        </w:rPr>
        <w:t>ransitorio, fracción III del Decreto</w:t>
      </w:r>
      <w:r>
        <w:rPr>
          <w:rFonts w:ascii="ITC Avant Garde" w:hAnsi="ITC Avant Garde" w:cs="Arial"/>
          <w:bCs/>
        </w:rPr>
        <w:t>,</w:t>
      </w:r>
      <w:r w:rsidRPr="00B57173">
        <w:rPr>
          <w:rFonts w:ascii="ITC Avant Garde" w:hAnsi="ITC Avant Garde" w:cs="Arial"/>
          <w:bCs/>
        </w:rPr>
        <w:t xml:space="preserve"> mediante la Resolución AEP el Instituto determinó la existencia de</w:t>
      </w:r>
      <w:r>
        <w:rPr>
          <w:rFonts w:ascii="ITC Avant Garde" w:hAnsi="ITC Avant Garde" w:cs="Arial"/>
          <w:bCs/>
        </w:rPr>
        <w:t>l</w:t>
      </w:r>
      <w:r w:rsidRPr="00B57173">
        <w:rPr>
          <w:rFonts w:ascii="ITC Avant Garde" w:hAnsi="ITC Avant Garde" w:cs="Arial"/>
          <w:bCs/>
        </w:rPr>
        <w:t xml:space="preserve"> Agente Económico Preponderante en </w:t>
      </w:r>
      <w:r>
        <w:rPr>
          <w:rFonts w:ascii="ITC Avant Garde" w:hAnsi="ITC Avant Garde" w:cs="Arial"/>
          <w:bCs/>
        </w:rPr>
        <w:t>el</w:t>
      </w:r>
      <w:r w:rsidRPr="00B57173">
        <w:rPr>
          <w:rFonts w:ascii="ITC Avant Garde" w:hAnsi="ITC Avant Garde" w:cs="Arial"/>
          <w:bCs/>
        </w:rPr>
        <w:t xml:space="preserve"> sector de telecomunicaciones e impuso las medidas necesarias para evitar que se afecte la competencia y la libre concurrencia y, con ello, asegurar que el público en general reciba </w:t>
      </w:r>
      <w:r>
        <w:rPr>
          <w:rFonts w:ascii="ITC Avant Garde" w:hAnsi="ITC Avant Garde" w:cs="Arial"/>
          <w:bCs/>
        </w:rPr>
        <w:t xml:space="preserve">los </w:t>
      </w:r>
      <w:r w:rsidRPr="00B57173">
        <w:rPr>
          <w:rFonts w:ascii="ITC Avant Garde" w:hAnsi="ITC Avant Garde" w:cs="Arial"/>
          <w:bCs/>
        </w:rPr>
        <w:t>servicio</w:t>
      </w:r>
      <w:r>
        <w:rPr>
          <w:rFonts w:ascii="ITC Avant Garde" w:hAnsi="ITC Avant Garde" w:cs="Arial"/>
          <w:bCs/>
        </w:rPr>
        <w:t>s públicos de telecomunicaciones</w:t>
      </w:r>
      <w:r w:rsidRPr="00B57173">
        <w:rPr>
          <w:rFonts w:ascii="ITC Avant Garde" w:hAnsi="ITC Avant Garde" w:cs="Arial"/>
          <w:bCs/>
        </w:rPr>
        <w:t>. Dichas Medidas están relacionadas con la compartición de Infraestructura, contenidos, publicidad e Información y, en su caso, la separación contable, funcional o estructural de dicho agente</w:t>
      </w:r>
      <w:r>
        <w:rPr>
          <w:rFonts w:ascii="ITC Avant Garde" w:hAnsi="ITC Avant Garde" w:cs="Arial"/>
          <w:bCs/>
        </w:rPr>
        <w:t>.</w:t>
      </w:r>
    </w:p>
    <w:p w14:paraId="1FFDB706" w14:textId="77777777" w:rsidR="00725A9E" w:rsidRPr="00725A9E" w:rsidRDefault="00725A9E" w:rsidP="00725A9E">
      <w:pPr>
        <w:spacing w:after="0"/>
        <w:jc w:val="both"/>
        <w:rPr>
          <w:rFonts w:ascii="ITC Avant Garde" w:hAnsi="ITC Avant Garde" w:cs="Arial"/>
          <w:bCs/>
          <w:sz w:val="10"/>
          <w:szCs w:val="10"/>
        </w:rPr>
      </w:pPr>
    </w:p>
    <w:p w14:paraId="74B9A992" w14:textId="77777777" w:rsidR="003D5E4B" w:rsidRPr="00B57CAB" w:rsidRDefault="003D5E4B" w:rsidP="00725A9E">
      <w:pPr>
        <w:spacing w:after="0"/>
        <w:jc w:val="both"/>
        <w:rPr>
          <w:rFonts w:ascii="ITC Avant Garde" w:hAnsi="ITC Avant Garde" w:cs="Arial"/>
          <w:b/>
          <w:bCs/>
        </w:rPr>
      </w:pPr>
      <w:r w:rsidRPr="007048F7">
        <w:rPr>
          <w:rFonts w:ascii="ITC Avant Garde" w:hAnsi="ITC Avant Garde" w:cs="Arial"/>
          <w:b/>
          <w:bCs/>
        </w:rPr>
        <w:t>SEGUNDO</w:t>
      </w:r>
      <w:r w:rsidRPr="007048F7">
        <w:rPr>
          <w:rFonts w:ascii="ITC Avant Garde" w:hAnsi="ITC Avant Garde" w:cs="Arial"/>
          <w:bCs/>
        </w:rPr>
        <w:t xml:space="preserve">. - </w:t>
      </w:r>
      <w:r w:rsidRPr="006C6F79">
        <w:rPr>
          <w:rFonts w:ascii="ITC Avant Garde" w:hAnsi="ITC Avant Garde" w:cs="Arial"/>
          <w:b/>
          <w:bCs/>
        </w:rPr>
        <w:t xml:space="preserve">Obligatoriedad del AEP de presentar </w:t>
      </w:r>
      <w:r>
        <w:rPr>
          <w:rFonts w:ascii="ITC Avant Garde" w:hAnsi="ITC Avant Garde" w:cs="Arial"/>
          <w:b/>
          <w:bCs/>
        </w:rPr>
        <w:t xml:space="preserve">el Convenio Marco de Interconexión. </w:t>
      </w:r>
      <w:r w:rsidRPr="00B57CAB">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11AB46B2" w14:textId="77777777" w:rsidR="003D5E4B" w:rsidRPr="00725A9E" w:rsidRDefault="003D5E4B" w:rsidP="00725A9E">
      <w:pPr>
        <w:spacing w:after="0"/>
        <w:jc w:val="both"/>
        <w:rPr>
          <w:rFonts w:ascii="ITC Avant Garde" w:hAnsi="ITC Avant Garde" w:cs="Arial"/>
          <w:bCs/>
          <w:sz w:val="10"/>
          <w:szCs w:val="10"/>
        </w:rPr>
      </w:pPr>
    </w:p>
    <w:p w14:paraId="72C3C97E" w14:textId="77777777" w:rsidR="003D5E4B" w:rsidRDefault="003D5E4B" w:rsidP="00725A9E">
      <w:pPr>
        <w:spacing w:after="0"/>
        <w:jc w:val="both"/>
        <w:rPr>
          <w:rFonts w:ascii="ITC Avant Garde" w:hAnsi="ITC Avant Garde" w:cs="Arial"/>
          <w:bCs/>
        </w:rPr>
      </w:pPr>
      <w:r>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5C15D4C4" w14:textId="77777777" w:rsidR="003D5E4B" w:rsidRPr="00725A9E" w:rsidRDefault="003D5E4B" w:rsidP="00725A9E">
      <w:pPr>
        <w:spacing w:after="0" w:line="240" w:lineRule="auto"/>
        <w:jc w:val="both"/>
        <w:rPr>
          <w:rFonts w:ascii="ITC Avant Garde" w:eastAsia="Times New Roman" w:hAnsi="ITC Avant Garde"/>
          <w:sz w:val="10"/>
          <w:szCs w:val="10"/>
        </w:rPr>
      </w:pPr>
    </w:p>
    <w:p w14:paraId="4C9055EB" w14:textId="77777777" w:rsidR="003D5E4B" w:rsidRDefault="003D5E4B" w:rsidP="00725A9E">
      <w:pPr>
        <w:spacing w:after="0"/>
        <w:jc w:val="both"/>
        <w:rPr>
          <w:rFonts w:ascii="ITC Avant Garde" w:eastAsia="Times New Roman" w:hAnsi="ITC Avant Garde"/>
        </w:rPr>
      </w:pPr>
      <w:r w:rsidRPr="00907919">
        <w:rPr>
          <w:rFonts w:ascii="ITC Avant Garde" w:eastAsia="Times New Roman" w:hAnsi="ITC Avant Garde"/>
          <w:szCs w:val="20"/>
        </w:rPr>
        <w:lastRenderedPageBreak/>
        <w:t xml:space="preserve">En este sentido, la Medida </w:t>
      </w:r>
      <w:r w:rsidRPr="00907919">
        <w:rPr>
          <w:rFonts w:ascii="ITC Avant Garde" w:eastAsia="Times New Roman" w:hAnsi="ITC Avant Garde"/>
        </w:rPr>
        <w:t>Undécima</w:t>
      </w:r>
      <w:r>
        <w:rPr>
          <w:rFonts w:ascii="ITC Avant Garde" w:eastAsia="Times New Roman" w:hAnsi="ITC Avant Garde"/>
        </w:rPr>
        <w:t xml:space="preserve"> de</w:t>
      </w:r>
      <w:r>
        <w:rPr>
          <w:rFonts w:ascii="ITC Avant Garde" w:eastAsia="Times New Roman" w:hAnsi="ITC Avant Garde"/>
          <w:szCs w:val="20"/>
        </w:rPr>
        <w:t xml:space="preserve"> las</w:t>
      </w:r>
      <w:r w:rsidRPr="00907919">
        <w:rPr>
          <w:rFonts w:ascii="ITC Avant Garde" w:eastAsia="Times New Roman" w:hAnsi="ITC Avant Garde"/>
          <w:szCs w:val="20"/>
        </w:rPr>
        <w:t xml:space="preserve"> Medidas Móviles</w:t>
      </w:r>
      <w:r>
        <w:rPr>
          <w:rFonts w:ascii="ITC Avant Garde" w:eastAsia="Times New Roman" w:hAnsi="ITC Avant Garde"/>
          <w:szCs w:val="20"/>
        </w:rPr>
        <w:t xml:space="preserve"> y la Medida Duodécima </w:t>
      </w:r>
      <w:r w:rsidRPr="00907919">
        <w:rPr>
          <w:rFonts w:ascii="ITC Avant Garde" w:eastAsia="Times New Roman" w:hAnsi="ITC Avant Garde"/>
          <w:szCs w:val="20"/>
        </w:rPr>
        <w:t>de</w:t>
      </w:r>
      <w:r>
        <w:rPr>
          <w:rFonts w:ascii="ITC Avant Garde" w:eastAsia="Times New Roman" w:hAnsi="ITC Avant Garde"/>
          <w:szCs w:val="20"/>
        </w:rPr>
        <w:t xml:space="preserve"> las Medidas Fijas </w:t>
      </w:r>
      <w:r w:rsidR="004827C4">
        <w:rPr>
          <w:rFonts w:ascii="ITC Avant Garde" w:eastAsia="Times New Roman" w:hAnsi="ITC Avant Garde"/>
          <w:szCs w:val="20"/>
        </w:rPr>
        <w:t>establecidas en</w:t>
      </w:r>
      <w:r>
        <w:rPr>
          <w:rFonts w:ascii="ITC Avant Garde" w:eastAsia="Times New Roman" w:hAnsi="ITC Avant Garde"/>
          <w:szCs w:val="20"/>
        </w:rPr>
        <w:t xml:space="preserve"> la Resolución Bienal</w:t>
      </w:r>
      <w:r w:rsidRPr="00907919">
        <w:rPr>
          <w:rFonts w:ascii="ITC Avant Garde" w:eastAsia="Times New Roman" w:hAnsi="ITC Avant Garde"/>
          <w:szCs w:val="20"/>
        </w:rPr>
        <w:t xml:space="preserve">, </w:t>
      </w:r>
      <w:r>
        <w:rPr>
          <w:rFonts w:ascii="ITC Avant Garde" w:eastAsia="Times New Roman" w:hAnsi="ITC Avant Garde"/>
        </w:rPr>
        <w:t>establecen que el</w:t>
      </w:r>
      <w:r w:rsidRPr="00907919">
        <w:rPr>
          <w:rFonts w:ascii="ITC Avant Garde" w:eastAsia="Times New Roman" w:hAnsi="ITC Avant Garde"/>
        </w:rPr>
        <w:t xml:space="preserve"> AEP</w:t>
      </w:r>
      <w:r>
        <w:rPr>
          <w:rFonts w:ascii="ITC Avant Garde" w:eastAsia="Times New Roman" w:hAnsi="ITC Avant Garde"/>
        </w:rPr>
        <w:t xml:space="preserve"> deberá,</w:t>
      </w:r>
      <w:r w:rsidRPr="00907919">
        <w:rPr>
          <w:rFonts w:ascii="ITC Avant Garde" w:eastAsia="Times New Roman" w:hAnsi="ITC Avant Garde"/>
        </w:rPr>
        <w:t xml:space="preserve"> </w:t>
      </w:r>
      <w:r>
        <w:rPr>
          <w:rFonts w:ascii="ITC Avant Garde" w:eastAsia="Times New Roman" w:hAnsi="ITC Avant Garde"/>
        </w:rPr>
        <w:t>en el primer trimestre de cada año</w:t>
      </w:r>
      <w:r w:rsidRPr="00907919">
        <w:rPr>
          <w:rFonts w:ascii="ITC Avant Garde" w:eastAsia="Times New Roman" w:hAnsi="ITC Avant Garde"/>
        </w:rPr>
        <w:t>, present</w:t>
      </w:r>
      <w:r>
        <w:rPr>
          <w:rFonts w:ascii="ITC Avant Garde" w:eastAsia="Times New Roman" w:hAnsi="ITC Avant Garde"/>
        </w:rPr>
        <w:t>ar para autorización</w:t>
      </w:r>
      <w:r w:rsidRPr="00907919">
        <w:rPr>
          <w:rFonts w:ascii="ITC Avant Garde" w:eastAsia="Times New Roman" w:hAnsi="ITC Avant Garde"/>
        </w:rPr>
        <w:t xml:space="preserve"> </w:t>
      </w:r>
      <w:r>
        <w:rPr>
          <w:rFonts w:ascii="ITC Avant Garde" w:eastAsia="Times New Roman" w:hAnsi="ITC Avant Garde"/>
        </w:rPr>
        <w:t>d</w:t>
      </w:r>
      <w:r w:rsidRPr="00907919">
        <w:rPr>
          <w:rFonts w:ascii="ITC Avant Garde" w:eastAsia="Times New Roman" w:hAnsi="ITC Avant Garde"/>
        </w:rPr>
        <w:t xml:space="preserve">el Instituto un Convenio Marco de Interconexión que cumpla con lo establecido en la legislación aplicable, </w:t>
      </w:r>
      <w:r>
        <w:rPr>
          <w:rFonts w:ascii="ITC Avant Garde" w:eastAsia="Times New Roman" w:hAnsi="ITC Avant Garde"/>
        </w:rPr>
        <w:t xml:space="preserve">así como cualquier otra disposición en materia de interconexión. </w:t>
      </w:r>
    </w:p>
    <w:p w14:paraId="583CF5BB" w14:textId="77777777" w:rsidR="003D5E4B" w:rsidRPr="00725A9E" w:rsidRDefault="003D5E4B" w:rsidP="00725A9E">
      <w:pPr>
        <w:spacing w:after="0"/>
        <w:jc w:val="both"/>
        <w:rPr>
          <w:rFonts w:ascii="ITC Avant Garde" w:eastAsia="Times New Roman" w:hAnsi="ITC Avant Garde"/>
          <w:sz w:val="10"/>
          <w:szCs w:val="10"/>
        </w:rPr>
      </w:pPr>
    </w:p>
    <w:p w14:paraId="35ABED36" w14:textId="302D14A8" w:rsidR="003D5E4B" w:rsidRDefault="003D5E4B" w:rsidP="00725A9E">
      <w:pPr>
        <w:spacing w:after="0"/>
        <w:jc w:val="both"/>
        <w:rPr>
          <w:rFonts w:ascii="ITC Avant Garde" w:eastAsia="Times New Roman" w:hAnsi="ITC Avant Garde"/>
          <w:szCs w:val="20"/>
        </w:rPr>
      </w:pPr>
      <w:r>
        <w:rPr>
          <w:rFonts w:ascii="ITC Avant Garde" w:eastAsia="Times New Roman" w:hAnsi="ITC Avant Garde"/>
          <w:szCs w:val="20"/>
        </w:rPr>
        <w:t xml:space="preserve">Asimismo, se estableció que la vigencia del Convenio Marco de Interconexión, el procedimiento para su presentación y autorización, así como las fechas para su publicación serán aquellas especificadas en la LFTR vigente o aquella que la sustituya. En este sentido, el procedimiento para la autorización establecido en la LFTR, es el señalado en el artículo 268, </w:t>
      </w:r>
      <w:r w:rsidR="00BF0453">
        <w:rPr>
          <w:rFonts w:ascii="ITC Avant Garde" w:eastAsia="Times New Roman" w:hAnsi="ITC Avant Garde"/>
          <w:szCs w:val="20"/>
        </w:rPr>
        <w:t>y</w:t>
      </w:r>
      <w:r>
        <w:rPr>
          <w:rFonts w:ascii="ITC Avant Garde" w:eastAsia="Times New Roman" w:hAnsi="ITC Avant Garde"/>
          <w:szCs w:val="20"/>
        </w:rPr>
        <w:t xml:space="preserve"> </w:t>
      </w:r>
      <w:r w:rsidR="00BF0453">
        <w:rPr>
          <w:rFonts w:ascii="ITC Avant Garde" w:eastAsia="Times New Roman" w:hAnsi="ITC Avant Garde"/>
          <w:szCs w:val="20"/>
        </w:rPr>
        <w:t xml:space="preserve">el de presentación, el </w:t>
      </w:r>
      <w:r w:rsidR="00E406BA">
        <w:rPr>
          <w:rFonts w:ascii="ITC Avant Garde" w:eastAsia="Times New Roman" w:hAnsi="ITC Avant Garde"/>
          <w:szCs w:val="20"/>
        </w:rPr>
        <w:t xml:space="preserve">previsto </w:t>
      </w:r>
      <w:r w:rsidR="00BF0453">
        <w:rPr>
          <w:rFonts w:ascii="ITC Avant Garde" w:eastAsia="Times New Roman" w:hAnsi="ITC Avant Garde"/>
          <w:szCs w:val="20"/>
        </w:rPr>
        <w:t>en el artículo 138 fracción II, el cual establece que e</w:t>
      </w:r>
      <w:r>
        <w:rPr>
          <w:rFonts w:ascii="ITC Avant Garde" w:eastAsia="Times New Roman" w:hAnsi="ITC Avant Garde"/>
          <w:szCs w:val="20"/>
        </w:rPr>
        <w:t xml:space="preserve">l plazo en que deben presentarse ante esta autoridad los Convenio Marco de Interconexión de Telmex, </w:t>
      </w:r>
      <w:proofErr w:type="spellStart"/>
      <w:r>
        <w:rPr>
          <w:rFonts w:ascii="ITC Avant Garde" w:eastAsia="Times New Roman" w:hAnsi="ITC Avant Garde"/>
          <w:szCs w:val="20"/>
        </w:rPr>
        <w:t>Telnor</w:t>
      </w:r>
      <w:proofErr w:type="spellEnd"/>
      <w:r>
        <w:rPr>
          <w:rFonts w:ascii="ITC Avant Garde" w:eastAsia="Times New Roman" w:hAnsi="ITC Avant Garde"/>
          <w:szCs w:val="20"/>
        </w:rPr>
        <w:t xml:space="preserve"> y Telcel, </w:t>
      </w:r>
      <w:r w:rsidR="00BF0453">
        <w:rPr>
          <w:rFonts w:ascii="ITC Avant Garde" w:eastAsia="Times New Roman" w:hAnsi="ITC Avant Garde"/>
          <w:szCs w:val="20"/>
        </w:rPr>
        <w:t>es</w:t>
      </w:r>
      <w:r>
        <w:rPr>
          <w:rFonts w:ascii="ITC Avant Garde" w:eastAsia="Times New Roman" w:hAnsi="ITC Avant Garde"/>
          <w:szCs w:val="20"/>
        </w:rPr>
        <w:t xml:space="preserve"> el primer trimestre de cada año.</w:t>
      </w:r>
    </w:p>
    <w:p w14:paraId="1FB80823" w14:textId="77777777" w:rsidR="003D5E4B" w:rsidRPr="00725A9E" w:rsidRDefault="003D5E4B" w:rsidP="00725A9E">
      <w:pPr>
        <w:spacing w:after="0"/>
        <w:jc w:val="both"/>
        <w:rPr>
          <w:rFonts w:ascii="ITC Avant Garde" w:eastAsia="Times New Roman" w:hAnsi="ITC Avant Garde"/>
          <w:sz w:val="10"/>
          <w:szCs w:val="10"/>
        </w:rPr>
      </w:pPr>
    </w:p>
    <w:p w14:paraId="721CE02F" w14:textId="77777777" w:rsidR="003D5E4B" w:rsidRPr="00F32E9A" w:rsidRDefault="003D5E4B" w:rsidP="00725A9E">
      <w:pPr>
        <w:spacing w:after="0"/>
        <w:jc w:val="both"/>
        <w:rPr>
          <w:rFonts w:ascii="ITC Avant Garde" w:eastAsia="Times New Roman" w:hAnsi="ITC Avant Garde"/>
          <w:szCs w:val="20"/>
        </w:rPr>
      </w:pPr>
      <w:r>
        <w:rPr>
          <w:rFonts w:ascii="ITC Avant Garde" w:hAnsi="ITC Avant Garde" w:cs="Arial"/>
          <w:b/>
          <w:bCs/>
        </w:rPr>
        <w:t>TERCERO</w:t>
      </w:r>
      <w:r w:rsidRPr="00DF157F">
        <w:rPr>
          <w:rFonts w:ascii="ITC Avant Garde" w:hAnsi="ITC Avant Garde" w:cs="Arial"/>
          <w:bCs/>
        </w:rPr>
        <w:t xml:space="preserve">. - </w:t>
      </w:r>
      <w:r w:rsidRPr="00DF157F">
        <w:rPr>
          <w:rFonts w:ascii="ITC Avant Garde" w:hAnsi="ITC Avant Garde" w:cs="Arial"/>
          <w:b/>
          <w:bCs/>
        </w:rPr>
        <w:t xml:space="preserve">Consulta Pública de las propuestas de </w:t>
      </w:r>
      <w:r>
        <w:rPr>
          <w:rFonts w:ascii="ITC Avant Garde" w:eastAsia="Times New Roman" w:hAnsi="ITC Avant Garde"/>
          <w:b/>
          <w:szCs w:val="20"/>
        </w:rPr>
        <w:t>los Convenios Marco de Interconexión.</w:t>
      </w:r>
      <w:r w:rsidRPr="00DF157F">
        <w:rPr>
          <w:rFonts w:ascii="ITC Avant Garde" w:eastAsia="Times New Roman" w:hAnsi="ITC Avant Garde"/>
          <w:szCs w:val="20"/>
        </w:rPr>
        <w:t xml:space="preserve"> E</w:t>
      </w:r>
      <w:r w:rsidRPr="00DF157F">
        <w:rPr>
          <w:rFonts w:ascii="ITC Avant Garde" w:hAnsi="ITC Avant Garde"/>
        </w:rPr>
        <w:t>n</w:t>
      </w:r>
      <w:r w:rsidRPr="00DF157F">
        <w:rPr>
          <w:rFonts w:ascii="ITC Avant Garde" w:eastAsia="Times New Roman" w:hAnsi="ITC Avant Garde"/>
          <w:szCs w:val="20"/>
        </w:rPr>
        <w:t xml:space="preserve"> la Resolución </w:t>
      </w:r>
      <w:r>
        <w:rPr>
          <w:rFonts w:ascii="ITC Avant Garde" w:eastAsia="Times New Roman" w:hAnsi="ITC Avant Garde"/>
          <w:szCs w:val="20"/>
        </w:rPr>
        <w:t xml:space="preserve">AEP, </w:t>
      </w:r>
      <w:r w:rsidRPr="00DF157F">
        <w:rPr>
          <w:rFonts w:ascii="ITC Avant Garde" w:eastAsia="Times New Roman" w:hAnsi="ITC Avant Garde"/>
          <w:szCs w:val="20"/>
        </w:rPr>
        <w:t xml:space="preserve">el Instituto se pronunció en el sentido de que la utilidad de una </w:t>
      </w:r>
      <w:r>
        <w:rPr>
          <w:rFonts w:ascii="ITC Avant Garde" w:eastAsia="Times New Roman" w:hAnsi="ITC Avant Garde"/>
          <w:szCs w:val="20"/>
        </w:rPr>
        <w:t>oferta pública</w:t>
      </w:r>
      <w:r w:rsidRPr="00DF157F">
        <w:rPr>
          <w:rFonts w:ascii="ITC Avant Garde" w:eastAsia="Times New Roman" w:hAnsi="ITC Avant Garde"/>
          <w:szCs w:val="20"/>
        </w:rPr>
        <w:t xml:space="preserve"> es que en la misma se </w:t>
      </w:r>
      <w:r w:rsidRPr="00DF157F">
        <w:rPr>
          <w:rFonts w:ascii="ITC Avant Garde" w:hAnsi="ITC Avant Garde"/>
          <w:color w:val="000000"/>
        </w:rPr>
        <w:t xml:space="preserve">establecen </w:t>
      </w:r>
      <w:r>
        <w:rPr>
          <w:rFonts w:ascii="ITC Avant Garde" w:hAnsi="ITC Avant Garde"/>
          <w:color w:val="000000"/>
        </w:rPr>
        <w:t xml:space="preserve">de manera clara y transparente </w:t>
      </w:r>
      <w:r w:rsidRPr="00DF157F">
        <w:rPr>
          <w:rFonts w:ascii="ITC Avant Garde" w:hAnsi="ITC Avant Garde"/>
          <w:color w:val="000000"/>
        </w:rPr>
        <w:t>los términos y condiciones para</w:t>
      </w:r>
      <w:r>
        <w:rPr>
          <w:rFonts w:ascii="ITC Avant Garde" w:hAnsi="ITC Avant Garde"/>
          <w:color w:val="000000"/>
        </w:rPr>
        <w:t xml:space="preserve"> la prestación de </w:t>
      </w:r>
      <w:r w:rsidRPr="0014124F">
        <w:rPr>
          <w:rFonts w:ascii="ITC Avant Garde" w:eastAsia="Times New Roman" w:hAnsi="ITC Avant Garde"/>
        </w:rPr>
        <w:t xml:space="preserve">los servicios de </w:t>
      </w:r>
      <w:r>
        <w:rPr>
          <w:rFonts w:ascii="ITC Avant Garde" w:eastAsia="Times New Roman" w:hAnsi="ITC Avant Garde"/>
        </w:rPr>
        <w:t xml:space="preserve">Interconexión, </w:t>
      </w:r>
      <w:r w:rsidRPr="00DF157F">
        <w:rPr>
          <w:rFonts w:ascii="ITC Avant Garde" w:hAnsi="ITC Avant Garde"/>
          <w:color w:val="000000"/>
        </w:rPr>
        <w:t xml:space="preserve">que un </w:t>
      </w:r>
      <w:r>
        <w:rPr>
          <w:rFonts w:ascii="ITC Avant Garde" w:hAnsi="ITC Avant Garde"/>
          <w:color w:val="000000"/>
        </w:rPr>
        <w:t xml:space="preserve">concesionario </w:t>
      </w:r>
      <w:r w:rsidRPr="00DF157F">
        <w:rPr>
          <w:rFonts w:ascii="ITC Avant Garde" w:hAnsi="ITC Avant Garde"/>
          <w:color w:val="000000"/>
        </w:rPr>
        <w:t xml:space="preserve">puede aceptar del </w:t>
      </w:r>
      <w:r>
        <w:rPr>
          <w:rFonts w:ascii="ITC Avant Garde" w:hAnsi="ITC Avant Garde"/>
          <w:color w:val="000000"/>
        </w:rPr>
        <w:t>AEP</w:t>
      </w:r>
      <w:r w:rsidRPr="00DF157F">
        <w:rPr>
          <w:rFonts w:ascii="ITC Avant Garde" w:hAnsi="ITC Avant Garde"/>
          <w:color w:val="000000"/>
        </w:rPr>
        <w:t>, sin la necesidad de involucrarse en negociaciones adicionales, evitando de esta manera la generación de disputas en el sector y acortando los tiempos para la prestación de dichos servicios.</w:t>
      </w:r>
      <w:r>
        <w:rPr>
          <w:rFonts w:ascii="ITC Avant Garde" w:hAnsi="ITC Avant Garde"/>
          <w:color w:val="000000"/>
        </w:rPr>
        <w:t xml:space="preserve"> De esta forma, el contar con los Convenios Marco de Interconexión previamente autorizadas por el órgano regulador:</w:t>
      </w:r>
    </w:p>
    <w:p w14:paraId="58D15120" w14:textId="77777777" w:rsidR="003D5E4B" w:rsidRPr="00725A9E" w:rsidRDefault="003D5E4B" w:rsidP="00725A9E">
      <w:pPr>
        <w:spacing w:after="0"/>
        <w:jc w:val="both"/>
        <w:rPr>
          <w:rFonts w:ascii="ITC Avant Garde" w:hAnsi="ITC Avant Garde"/>
          <w:color w:val="000000"/>
          <w:sz w:val="10"/>
          <w:szCs w:val="10"/>
        </w:rPr>
      </w:pPr>
    </w:p>
    <w:p w14:paraId="712221BF" w14:textId="77777777" w:rsidR="003D5E4B" w:rsidRPr="00B55A32" w:rsidRDefault="003D5E4B" w:rsidP="00725A9E">
      <w:pPr>
        <w:numPr>
          <w:ilvl w:val="0"/>
          <w:numId w:val="1"/>
        </w:numPr>
        <w:spacing w:after="0"/>
        <w:ind w:left="714" w:hanging="357"/>
        <w:jc w:val="both"/>
        <w:rPr>
          <w:rFonts w:ascii="ITC Avant Garde" w:eastAsia="Times New Roman" w:hAnsi="ITC Avant Garde"/>
          <w:color w:val="000000"/>
        </w:rPr>
      </w:pPr>
      <w:r w:rsidRPr="00B55A32">
        <w:rPr>
          <w:rFonts w:ascii="ITC Avant Garde" w:eastAsia="Times New Roman" w:hAnsi="ITC Avant Garde"/>
          <w:color w:val="000000"/>
        </w:rPr>
        <w:t xml:space="preserve">Facilita a otros concesionarios la prestación de los servicios </w:t>
      </w:r>
      <w:r w:rsidRPr="00B55A32">
        <w:rPr>
          <w:rFonts w:ascii="ITC Avant Garde" w:eastAsia="Times New Roman" w:hAnsi="ITC Avant Garde"/>
        </w:rPr>
        <w:t>de</w:t>
      </w:r>
      <w:r>
        <w:rPr>
          <w:rFonts w:ascii="ITC Avant Garde" w:eastAsia="Times New Roman" w:hAnsi="ITC Avant Garde"/>
        </w:rPr>
        <w:t xml:space="preserve"> interconexión.</w:t>
      </w:r>
    </w:p>
    <w:p w14:paraId="45759685" w14:textId="77777777" w:rsidR="003D5E4B" w:rsidRPr="00B55A32" w:rsidRDefault="003D5E4B" w:rsidP="00725A9E">
      <w:pPr>
        <w:numPr>
          <w:ilvl w:val="0"/>
          <w:numId w:val="1"/>
        </w:numPr>
        <w:spacing w:after="0"/>
        <w:ind w:left="714" w:hanging="357"/>
        <w:jc w:val="both"/>
        <w:rPr>
          <w:rFonts w:ascii="ITC Avant Garde" w:eastAsia="Times New Roman" w:hAnsi="ITC Avant Garde"/>
          <w:color w:val="000000"/>
        </w:rPr>
      </w:pPr>
      <w:r w:rsidRPr="00B55A32">
        <w:rPr>
          <w:rFonts w:ascii="ITC Avant Garde" w:eastAsia="Times New Roman" w:hAnsi="ITC Avant Garde"/>
          <w:color w:val="000000"/>
        </w:rPr>
        <w:t xml:space="preserve">Permite a los concesionarios </w:t>
      </w:r>
      <w:r>
        <w:rPr>
          <w:rFonts w:ascii="ITC Avant Garde" w:eastAsia="Times New Roman" w:hAnsi="ITC Avant Garde"/>
          <w:color w:val="000000"/>
        </w:rPr>
        <w:t xml:space="preserve">conocer </w:t>
      </w:r>
      <w:r w:rsidRPr="00B55A32">
        <w:rPr>
          <w:rFonts w:ascii="ITC Avant Garde" w:eastAsia="Times New Roman" w:hAnsi="ITC Avant Garde"/>
          <w:color w:val="000000"/>
        </w:rPr>
        <w:t xml:space="preserve">las condiciones básicas mínimas que los agentes económicos preponderantes deberán ofrecerles para la prestación de </w:t>
      </w:r>
      <w:r w:rsidRPr="00B55A32">
        <w:rPr>
          <w:rFonts w:ascii="ITC Avant Garde" w:eastAsia="Times New Roman" w:hAnsi="ITC Avant Garde"/>
        </w:rPr>
        <w:t>los servicios de</w:t>
      </w:r>
      <w:r>
        <w:rPr>
          <w:rFonts w:ascii="ITC Avant Garde" w:eastAsia="Times New Roman" w:hAnsi="ITC Avant Garde"/>
        </w:rPr>
        <w:t xml:space="preserve"> Interconexión,</w:t>
      </w:r>
      <w:r w:rsidRPr="00B55A32">
        <w:rPr>
          <w:rFonts w:ascii="ITC Avant Garde" w:eastAsia="Times New Roman" w:hAnsi="ITC Avant Garde"/>
        </w:rPr>
        <w:t xml:space="preserve"> </w:t>
      </w:r>
      <w:r w:rsidRPr="00B55A32">
        <w:rPr>
          <w:rFonts w:ascii="ITC Avant Garde" w:eastAsia="Times New Roman" w:hAnsi="ITC Avant Garde"/>
          <w:color w:val="000000"/>
        </w:rPr>
        <w:t xml:space="preserve">sin necesidad de </w:t>
      </w:r>
      <w:r>
        <w:rPr>
          <w:rFonts w:ascii="ITC Avant Garde" w:eastAsia="Times New Roman" w:hAnsi="ITC Avant Garde"/>
          <w:color w:val="000000"/>
        </w:rPr>
        <w:t xml:space="preserve">incurrir </w:t>
      </w:r>
      <w:r w:rsidRPr="00B55A32">
        <w:rPr>
          <w:rFonts w:ascii="ITC Avant Garde" w:eastAsia="Times New Roman" w:hAnsi="ITC Avant Garde"/>
          <w:color w:val="000000"/>
        </w:rPr>
        <w:t xml:space="preserve">en </w:t>
      </w:r>
      <w:r>
        <w:rPr>
          <w:rFonts w:ascii="ITC Avant Garde" w:eastAsia="Times New Roman" w:hAnsi="ITC Avant Garde"/>
          <w:color w:val="000000"/>
        </w:rPr>
        <w:t>procesos de negociación extensos e innecesarios</w:t>
      </w:r>
      <w:r w:rsidRPr="00B55A32">
        <w:rPr>
          <w:rFonts w:ascii="ITC Avant Garde" w:eastAsia="Times New Roman" w:hAnsi="ITC Avant Garde"/>
          <w:color w:val="000000"/>
        </w:rPr>
        <w:t xml:space="preserve">. </w:t>
      </w:r>
    </w:p>
    <w:p w14:paraId="4B1C4927" w14:textId="6B6FFBAE" w:rsidR="003D5E4B" w:rsidRDefault="003D5E4B" w:rsidP="00725A9E">
      <w:pPr>
        <w:numPr>
          <w:ilvl w:val="0"/>
          <w:numId w:val="1"/>
        </w:numPr>
        <w:spacing w:after="0"/>
        <w:ind w:left="714" w:hanging="357"/>
        <w:jc w:val="both"/>
        <w:rPr>
          <w:rFonts w:ascii="ITC Avant Garde" w:eastAsia="Times New Roman" w:hAnsi="ITC Avant Garde"/>
          <w:color w:val="000000"/>
        </w:rPr>
      </w:pPr>
      <w:r>
        <w:rPr>
          <w:rFonts w:ascii="ITC Avant Garde" w:eastAsia="Times New Roman" w:hAnsi="ITC Avant Garde"/>
          <w:color w:val="000000"/>
        </w:rPr>
        <w:t xml:space="preserve">Hace del conocimiento de los concesionarios solicitantes las condiciones jurídicas, económicas y técnicas para </w:t>
      </w:r>
      <w:r w:rsidRPr="003A3686">
        <w:rPr>
          <w:rFonts w:ascii="ITC Avant Garde" w:eastAsia="Times New Roman" w:hAnsi="ITC Avant Garde"/>
          <w:color w:val="000000"/>
        </w:rPr>
        <w:t xml:space="preserve">la prestación de los servicios de </w:t>
      </w:r>
      <w:r>
        <w:rPr>
          <w:rFonts w:ascii="ITC Avant Garde" w:eastAsia="Times New Roman" w:hAnsi="ITC Avant Garde"/>
          <w:color w:val="000000"/>
        </w:rPr>
        <w:t>interconexión.</w:t>
      </w:r>
    </w:p>
    <w:p w14:paraId="42173693" w14:textId="77777777" w:rsidR="00725A9E" w:rsidRPr="00725A9E" w:rsidRDefault="00725A9E" w:rsidP="00725A9E">
      <w:pPr>
        <w:spacing w:after="0"/>
        <w:jc w:val="both"/>
        <w:rPr>
          <w:rFonts w:ascii="ITC Avant Garde" w:eastAsia="Times New Roman" w:hAnsi="ITC Avant Garde"/>
          <w:color w:val="000000"/>
          <w:sz w:val="10"/>
          <w:szCs w:val="10"/>
        </w:rPr>
      </w:pPr>
    </w:p>
    <w:p w14:paraId="172F3908" w14:textId="77777777" w:rsidR="003D5E4B" w:rsidRDefault="003D5E4B" w:rsidP="00725A9E">
      <w:pPr>
        <w:spacing w:after="0"/>
        <w:jc w:val="both"/>
        <w:rPr>
          <w:rFonts w:ascii="ITC Avant Garde" w:hAnsi="ITC Avant Garde" w:cs="Arial"/>
          <w:bCs/>
        </w:rPr>
      </w:pPr>
      <w:r w:rsidRPr="00907919">
        <w:rPr>
          <w:rFonts w:ascii="ITC Avant Garde" w:hAnsi="ITC Avant Garde"/>
          <w:color w:val="000000"/>
        </w:rPr>
        <w:t>La supervisión del órgano regulador tiene el propósito de que los servicios de interconexión</w:t>
      </w:r>
      <w:r>
        <w:rPr>
          <w:rFonts w:ascii="ITC Avant Garde" w:hAnsi="ITC Avant Garde"/>
          <w:color w:val="000000"/>
        </w:rPr>
        <w:t>,</w:t>
      </w:r>
      <w:r w:rsidRPr="00907919">
        <w:rPr>
          <w:rFonts w:ascii="ITC Avant Garde" w:hAnsi="ITC Avant Garde"/>
          <w:color w:val="000000"/>
        </w:rPr>
        <w:t xml:space="preserve"> se presten de manera justa y equitativa, evitando incurrir en prácticas anticompetitivas en la </w:t>
      </w:r>
      <w:r w:rsidRPr="00907919">
        <w:rPr>
          <w:rFonts w:ascii="ITC Avant Garde" w:hAnsi="ITC Avant Garde" w:cs="Arial"/>
          <w:bCs/>
        </w:rPr>
        <w:t>prestación de los mismos.</w:t>
      </w:r>
    </w:p>
    <w:p w14:paraId="09ABB5E9" w14:textId="77777777" w:rsidR="003D5E4B" w:rsidRPr="00725A9E" w:rsidRDefault="003D5E4B" w:rsidP="00725A9E">
      <w:pPr>
        <w:spacing w:after="0"/>
        <w:jc w:val="both"/>
        <w:rPr>
          <w:rFonts w:ascii="ITC Avant Garde" w:hAnsi="ITC Avant Garde" w:cs="Arial"/>
          <w:bCs/>
          <w:sz w:val="10"/>
          <w:szCs w:val="10"/>
        </w:rPr>
      </w:pPr>
    </w:p>
    <w:p w14:paraId="1B6E627F" w14:textId="77777777" w:rsidR="003D5E4B" w:rsidRDefault="003D5E4B" w:rsidP="00725A9E">
      <w:pPr>
        <w:spacing w:after="0"/>
        <w:jc w:val="both"/>
        <w:rPr>
          <w:rFonts w:ascii="ITC Avant Garde" w:hAnsi="ITC Avant Garde" w:cs="Arial"/>
          <w:bCs/>
        </w:rPr>
      </w:pPr>
      <w:r>
        <w:rPr>
          <w:rFonts w:ascii="ITC Avant Garde" w:hAnsi="ITC Avant Garde" w:cs="Arial"/>
          <w:bCs/>
        </w:rPr>
        <w:t>Como parte de este</w:t>
      </w:r>
      <w:r w:rsidRPr="00DF157F">
        <w:rPr>
          <w:rFonts w:ascii="ITC Avant Garde" w:hAnsi="ITC Avant Garde" w:cs="Arial"/>
          <w:bCs/>
        </w:rPr>
        <w:t xml:space="preserve"> procedimiento</w:t>
      </w:r>
      <w:r>
        <w:rPr>
          <w:rFonts w:ascii="ITC Avant Garde" w:hAnsi="ITC Avant Garde" w:cs="Arial"/>
          <w:bCs/>
        </w:rPr>
        <w:t>, se considera importante que</w:t>
      </w:r>
      <w:r w:rsidRPr="00DF157F">
        <w:rPr>
          <w:rFonts w:ascii="ITC Avant Garde" w:hAnsi="ITC Avant Garde" w:cs="Arial"/>
          <w:bCs/>
        </w:rPr>
        <w:t xml:space="preserve"> el Instituto tenga conocimiento de las opiniones de los integrantes de la industria derivado de que son ellos quienes </w:t>
      </w:r>
      <w:r>
        <w:rPr>
          <w:rFonts w:ascii="ITC Avant Garde" w:hAnsi="ITC Avant Garde" w:cs="Arial"/>
          <w:bCs/>
        </w:rPr>
        <w:t xml:space="preserve">hacen uso de los servicios de interconexión, </w:t>
      </w:r>
      <w:r w:rsidRPr="00DF157F">
        <w:rPr>
          <w:rFonts w:ascii="ITC Avant Garde" w:hAnsi="ITC Avant Garde" w:cs="Arial"/>
          <w:bCs/>
        </w:rPr>
        <w:t>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74C5541C" w14:textId="77777777" w:rsidR="003D5E4B" w:rsidRPr="00725A9E" w:rsidRDefault="003D5E4B" w:rsidP="00725A9E">
      <w:pPr>
        <w:spacing w:after="0"/>
        <w:jc w:val="both"/>
        <w:rPr>
          <w:rFonts w:ascii="ITC Avant Garde" w:hAnsi="ITC Avant Garde" w:cs="Arial"/>
          <w:bCs/>
          <w:sz w:val="10"/>
          <w:szCs w:val="10"/>
        </w:rPr>
      </w:pPr>
    </w:p>
    <w:p w14:paraId="5138BC4B" w14:textId="77777777" w:rsidR="003D5E4B" w:rsidRDefault="003D5E4B" w:rsidP="00725A9E">
      <w:pPr>
        <w:spacing w:after="0"/>
        <w:jc w:val="both"/>
        <w:rPr>
          <w:rFonts w:ascii="ITC Avant Garde" w:hAnsi="ITC Avant Garde" w:cs="Arial"/>
          <w:bCs/>
        </w:rPr>
      </w:pPr>
      <w:r>
        <w:rPr>
          <w:rFonts w:ascii="ITC Avant Garde" w:hAnsi="ITC Avant Garde" w:cs="Arial"/>
          <w:bCs/>
        </w:rPr>
        <w:lastRenderedPageBreak/>
        <w:t xml:space="preserve">Es así que en la Resolución Bienal se consideró que, como parte del procedimiento de revisión de los Convenios Marco de Interconexión, establecido en las </w:t>
      </w:r>
      <w:r w:rsidRPr="00907919">
        <w:rPr>
          <w:rFonts w:ascii="ITC Avant Garde" w:eastAsia="Times New Roman" w:hAnsi="ITC Avant Garde"/>
          <w:szCs w:val="20"/>
        </w:rPr>
        <w:t>Medida</w:t>
      </w:r>
      <w:r>
        <w:rPr>
          <w:rFonts w:ascii="ITC Avant Garde" w:eastAsia="Times New Roman" w:hAnsi="ITC Avant Garde"/>
          <w:szCs w:val="20"/>
        </w:rPr>
        <w:t>s</w:t>
      </w:r>
      <w:r w:rsidRPr="00907919">
        <w:rPr>
          <w:rFonts w:ascii="ITC Avant Garde" w:eastAsia="Times New Roman" w:hAnsi="ITC Avant Garde"/>
          <w:szCs w:val="20"/>
        </w:rPr>
        <w:t xml:space="preserve"> </w:t>
      </w:r>
      <w:r w:rsidRPr="00907919">
        <w:rPr>
          <w:rFonts w:ascii="ITC Avant Garde" w:eastAsia="Times New Roman" w:hAnsi="ITC Avant Garde"/>
        </w:rPr>
        <w:t>Undécima</w:t>
      </w:r>
      <w:r>
        <w:rPr>
          <w:rFonts w:ascii="ITC Avant Garde" w:hAnsi="ITC Avant Garde" w:cs="Arial"/>
          <w:bCs/>
        </w:rPr>
        <w:t xml:space="preserve"> de las </w:t>
      </w:r>
      <w:r w:rsidRPr="00907919">
        <w:rPr>
          <w:rFonts w:ascii="ITC Avant Garde" w:eastAsia="Times New Roman" w:hAnsi="ITC Avant Garde"/>
          <w:szCs w:val="20"/>
        </w:rPr>
        <w:t>Medidas Móviles</w:t>
      </w:r>
      <w:r>
        <w:rPr>
          <w:rFonts w:ascii="ITC Avant Garde" w:eastAsia="Times New Roman" w:hAnsi="ITC Avant Garde"/>
          <w:szCs w:val="20"/>
        </w:rPr>
        <w:t xml:space="preserve"> y Duodécima de las Medidas Fijas,</w:t>
      </w:r>
      <w:r>
        <w:rPr>
          <w:rFonts w:ascii="ITC Avant Garde" w:hAnsi="ITC Avant Garde" w:cs="Arial"/>
          <w:bCs/>
        </w:rPr>
        <w:t xml:space="preserve"> se lleve a cabo un proceso de consulta pública por un periodo de treinta días naturales, en cumplimiento de lo ordenado por el artículo 268 de la LFTR.</w:t>
      </w:r>
    </w:p>
    <w:p w14:paraId="089C687C" w14:textId="77777777" w:rsidR="003D5E4B" w:rsidRPr="00725A9E" w:rsidRDefault="003D5E4B" w:rsidP="00725A9E">
      <w:pPr>
        <w:spacing w:after="0"/>
        <w:jc w:val="both"/>
        <w:rPr>
          <w:rFonts w:ascii="ITC Avant Garde" w:hAnsi="ITC Avant Garde" w:cs="Arial"/>
          <w:bCs/>
          <w:sz w:val="10"/>
          <w:szCs w:val="10"/>
        </w:rPr>
      </w:pPr>
    </w:p>
    <w:p w14:paraId="73610B5A" w14:textId="77777777" w:rsidR="003D5E4B" w:rsidRDefault="003D5E4B" w:rsidP="00725A9E">
      <w:pPr>
        <w:spacing w:after="0"/>
        <w:jc w:val="both"/>
        <w:rPr>
          <w:rFonts w:ascii="ITC Avant Garde" w:hAnsi="ITC Avant Garde" w:cs="Arial"/>
          <w:bCs/>
        </w:rPr>
      </w:pPr>
      <w:r>
        <w:rPr>
          <w:rFonts w:ascii="ITC Avant Garde" w:eastAsia="Times New Roman" w:hAnsi="ITC Avant Garde"/>
          <w:szCs w:val="20"/>
        </w:rPr>
        <w:t xml:space="preserve">Por otra parte, es importante señalar que el artículo </w:t>
      </w:r>
      <w:r w:rsidRPr="00DF157F">
        <w:rPr>
          <w:rFonts w:ascii="ITC Avant Garde" w:hAnsi="ITC Avant Garde" w:cs="Arial"/>
          <w:bCs/>
        </w:rPr>
        <w:t xml:space="preserve">51 de la </w:t>
      </w:r>
      <w:r>
        <w:rPr>
          <w:rFonts w:ascii="ITC Avant Garde" w:hAnsi="ITC Avant Garde" w:cs="Arial"/>
          <w:bCs/>
        </w:rPr>
        <w:t>LFTR</w:t>
      </w:r>
      <w:r w:rsidRPr="00DF157F">
        <w:rPr>
          <w:rFonts w:ascii="ITC Avant Garde" w:hAnsi="ITC Avant Garde" w:cs="Arial"/>
          <w:bCs/>
        </w:rPr>
        <w:t xml:space="preserve"> establece </w:t>
      </w:r>
      <w:r>
        <w:rPr>
          <w:rFonts w:ascii="ITC Avant Garde" w:hAnsi="ITC Avant Garde" w:cs="Arial"/>
          <w:bCs/>
        </w:rPr>
        <w:t xml:space="preserve">la posibilidad de que el Instituto lleve a cabo consultas públicas en cualquier caso en el que </w:t>
      </w:r>
      <w:r w:rsidRPr="00DF157F">
        <w:rPr>
          <w:rFonts w:ascii="ITC Avant Garde" w:hAnsi="ITC Avant Garde" w:cs="Arial"/>
          <w:bCs/>
        </w:rPr>
        <w:t xml:space="preserve">el Pleno </w:t>
      </w:r>
      <w:r>
        <w:rPr>
          <w:rFonts w:ascii="ITC Avant Garde" w:hAnsi="ITC Avant Garde" w:cs="Arial"/>
          <w:bCs/>
        </w:rPr>
        <w:t>así lo determine, las cuales se</w:t>
      </w:r>
      <w:r w:rsidRPr="00DF157F">
        <w:rPr>
          <w:rFonts w:ascii="ITC Avant Garde" w:hAnsi="ITC Avant Garde" w:cs="Arial"/>
          <w:bCs/>
        </w:rPr>
        <w:t xml:space="preserve"> realizar</w:t>
      </w:r>
      <w:r>
        <w:rPr>
          <w:rFonts w:ascii="ITC Avant Garde" w:hAnsi="ITC Avant Garde" w:cs="Arial"/>
          <w:bCs/>
        </w:rPr>
        <w:t>án</w:t>
      </w:r>
      <w:r w:rsidRPr="00DF157F">
        <w:rPr>
          <w:rFonts w:ascii="ITC Avant Garde" w:hAnsi="ITC Avant Garde" w:cs="Arial"/>
          <w:bCs/>
        </w:rPr>
        <w:t xml:space="preserve"> bajo los principios de transparencia y participación ciudadana</w:t>
      </w:r>
      <w:r>
        <w:rPr>
          <w:rFonts w:ascii="ITC Avant Garde" w:hAnsi="ITC Avant Garde" w:cs="Arial"/>
          <w:bCs/>
        </w:rPr>
        <w:t xml:space="preserve">. </w:t>
      </w:r>
    </w:p>
    <w:p w14:paraId="6CFD5F46" w14:textId="77777777" w:rsidR="003D5E4B" w:rsidRPr="00725A9E" w:rsidRDefault="003D5E4B" w:rsidP="00725A9E">
      <w:pPr>
        <w:spacing w:after="0"/>
        <w:jc w:val="both"/>
        <w:rPr>
          <w:rFonts w:ascii="ITC Avant Garde" w:hAnsi="ITC Avant Garde" w:cs="Arial"/>
          <w:bCs/>
          <w:sz w:val="10"/>
          <w:szCs w:val="10"/>
        </w:rPr>
      </w:pPr>
    </w:p>
    <w:p w14:paraId="4F3CE9B4" w14:textId="77777777" w:rsidR="003D5E4B" w:rsidRDefault="003D5E4B" w:rsidP="00725A9E">
      <w:pPr>
        <w:spacing w:after="0"/>
        <w:jc w:val="both"/>
        <w:rPr>
          <w:rFonts w:ascii="ITC Avant Garde" w:hAnsi="ITC Avant Garde" w:cs="Arial"/>
          <w:bCs/>
        </w:rPr>
      </w:pPr>
      <w:r>
        <w:rPr>
          <w:rFonts w:ascii="ITC Avant Garde" w:hAnsi="ITC Avant Garde" w:cs="Arial"/>
          <w:bCs/>
        </w:rPr>
        <w:t>Inclusive, esto último está debidamente previsto por el Lineamiento Tercero, fracción I, de los Lineamientos de Consulta Pública, a propósito de la pertinencia de realizar consultas públicas de integración que le permitan al Instituto “…</w:t>
      </w:r>
      <w:r w:rsidRPr="00687FB7">
        <w:rPr>
          <w:rFonts w:ascii="ITC Avant Garde" w:hAnsi="ITC Avant Garde" w:cs="Arial"/>
          <w:b/>
          <w:bCs/>
        </w:rPr>
        <w:t>recabar información, comentarios, opiniones, aportaciones u otros elementos de análisis por parte de cualquier persona, sobre algún tema de interés del Instituto</w:t>
      </w:r>
      <w:r w:rsidRPr="00F37262">
        <w:rPr>
          <w:rFonts w:ascii="ITC Avant Garde" w:hAnsi="ITC Avant Garde" w:cs="Arial"/>
          <w:bCs/>
        </w:rPr>
        <w:t>, que le aporte elementos de manera previa a la emisión o realización de Regulaciones o estrategias de política regulatoria dirigidas a los sectores o mercados de telecomunicaciones o radiodifusión; así como en materia de competencia económica en dichos sectores, mercados y mercados relacionados</w:t>
      </w:r>
      <w:r>
        <w:rPr>
          <w:rFonts w:ascii="ITC Avant Garde" w:hAnsi="ITC Avant Garde" w:cs="Arial"/>
          <w:bCs/>
        </w:rPr>
        <w:t xml:space="preserve">”, como es el presente caso. </w:t>
      </w:r>
    </w:p>
    <w:p w14:paraId="6EDE802B" w14:textId="77777777" w:rsidR="003D5E4B" w:rsidRPr="00725A9E" w:rsidRDefault="003D5E4B" w:rsidP="00725A9E">
      <w:pPr>
        <w:spacing w:after="0"/>
        <w:jc w:val="both"/>
        <w:rPr>
          <w:rFonts w:ascii="ITC Avant Garde" w:hAnsi="ITC Avant Garde" w:cs="Arial"/>
          <w:bCs/>
          <w:sz w:val="10"/>
          <w:szCs w:val="10"/>
        </w:rPr>
      </w:pPr>
    </w:p>
    <w:p w14:paraId="68E7F365" w14:textId="77777777" w:rsidR="003D5E4B" w:rsidRPr="00DF157F" w:rsidRDefault="003D5E4B" w:rsidP="00725A9E">
      <w:pPr>
        <w:spacing w:after="0"/>
        <w:jc w:val="both"/>
        <w:rPr>
          <w:rFonts w:ascii="ITC Avant Garde" w:hAnsi="ITC Avant Garde" w:cs="Arial"/>
          <w:bCs/>
        </w:rPr>
      </w:pPr>
      <w:r>
        <w:rPr>
          <w:rFonts w:ascii="ITC Avant Garde" w:hAnsi="ITC Avant Garde" w:cs="Arial"/>
          <w:bCs/>
        </w:rPr>
        <w:t>En ese sentido,</w:t>
      </w:r>
      <w:r w:rsidRPr="00DF157F">
        <w:rPr>
          <w:rFonts w:ascii="ITC Avant Garde" w:hAnsi="ITC Avant Garde" w:cs="Arial"/>
          <w:bCs/>
        </w:rPr>
        <w:t xml:space="preserve"> se considera que las propuestas </w:t>
      </w:r>
      <w:r>
        <w:rPr>
          <w:rFonts w:ascii="ITC Avant Garde" w:hAnsi="ITC Avant Garde" w:cs="Arial"/>
          <w:bCs/>
        </w:rPr>
        <w:t xml:space="preserve">de Convenios Marco de Interconexión, </w:t>
      </w:r>
      <w:r w:rsidRPr="00DF157F">
        <w:rPr>
          <w:rFonts w:ascii="ITC Avant Garde" w:hAnsi="ITC Avant Garde" w:cs="Arial"/>
          <w:bCs/>
        </w:rPr>
        <w:t xml:space="preserve">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w:t>
      </w:r>
      <w:r>
        <w:rPr>
          <w:rFonts w:ascii="ITC Avant Garde" w:hAnsi="ITC Avant Garde" w:cs="Arial"/>
          <w:bCs/>
        </w:rPr>
        <w:t>la implementación adecuada de los servicios de Interconexión.</w:t>
      </w:r>
    </w:p>
    <w:p w14:paraId="25715A9C" w14:textId="77777777" w:rsidR="003D5E4B" w:rsidRPr="00725A9E" w:rsidRDefault="003D5E4B" w:rsidP="00725A9E">
      <w:pPr>
        <w:spacing w:after="0"/>
        <w:jc w:val="both"/>
        <w:rPr>
          <w:rFonts w:ascii="ITC Avant Garde" w:eastAsia="Times New Roman" w:hAnsi="ITC Avant Garde"/>
          <w:sz w:val="10"/>
          <w:szCs w:val="10"/>
        </w:rPr>
      </w:pPr>
    </w:p>
    <w:p w14:paraId="08ADE240" w14:textId="77777777" w:rsidR="003D5E4B" w:rsidRPr="00DF157F" w:rsidRDefault="003D5E4B" w:rsidP="00725A9E">
      <w:pPr>
        <w:spacing w:after="0"/>
        <w:jc w:val="both"/>
        <w:rPr>
          <w:rFonts w:ascii="ITC Avant Garde" w:hAnsi="ITC Avant Garde" w:cs="Arial"/>
          <w:bCs/>
        </w:rPr>
      </w:pPr>
      <w:r w:rsidRPr="008C150C">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Pr>
          <w:rFonts w:ascii="ITC Avant Garde" w:hAnsi="ITC Avant Garde" w:cs="Arial"/>
          <w:bCs/>
        </w:rPr>
        <w:t>,</w:t>
      </w:r>
      <w:r w:rsidRPr="008C150C">
        <w:rPr>
          <w:rFonts w:ascii="ITC Avant Garde" w:hAnsi="ITC Avant Garde" w:cs="Arial"/>
          <w:bCs/>
        </w:rPr>
        <w:t xml:space="preserve"> 51</w:t>
      </w:r>
      <w:r w:rsidR="004827C4">
        <w:rPr>
          <w:rFonts w:ascii="ITC Avant Garde" w:hAnsi="ITC Avant Garde" w:cs="Arial"/>
          <w:bCs/>
        </w:rPr>
        <w:t xml:space="preserve">, </w:t>
      </w:r>
      <w:r w:rsidR="00144D87">
        <w:rPr>
          <w:rFonts w:ascii="ITC Avant Garde" w:hAnsi="ITC Avant Garde" w:cs="Arial"/>
          <w:bCs/>
        </w:rPr>
        <w:t>138 fracción II,</w:t>
      </w:r>
      <w:r>
        <w:rPr>
          <w:rFonts w:ascii="ITC Avant Garde" w:hAnsi="ITC Avant Garde" w:cs="Arial"/>
          <w:bCs/>
        </w:rPr>
        <w:t xml:space="preserve"> 267 y 268</w:t>
      </w:r>
      <w:r w:rsidRPr="008C150C">
        <w:rPr>
          <w:rFonts w:ascii="ITC Avant Garde" w:hAnsi="ITC Avant Garde" w:cs="Arial"/>
          <w:bCs/>
        </w:rPr>
        <w:t xml:space="preserve"> de la Ley Federal de Telecomunicaciones y Radiodifusión,</w:t>
      </w:r>
      <w:r>
        <w:rPr>
          <w:rFonts w:ascii="ITC Avant Garde" w:hAnsi="ITC Avant Garde" w:cs="Arial"/>
          <w:bCs/>
        </w:rPr>
        <w:t xml:space="preserve"> Lineamientos Tercero, fracción I, Cuarto, Quinto, Octavo, Noveno y Décimo de los Lineamientos de Consulta Pública y Análisis de Impacto Regulatorio del Instituto Federal de Telecomunicaciones, </w:t>
      </w:r>
      <w:r w:rsidRPr="008C150C">
        <w:rPr>
          <w:rFonts w:ascii="ITC Avant Garde" w:hAnsi="ITC Avant Garde" w:cs="Arial"/>
          <w:bCs/>
        </w:rPr>
        <w:t xml:space="preserve"> y 1</w:t>
      </w:r>
      <w:r>
        <w:rPr>
          <w:rFonts w:ascii="ITC Avant Garde" w:hAnsi="ITC Avant Garde" w:cs="Arial"/>
          <w:bCs/>
        </w:rPr>
        <w:t>,</w:t>
      </w:r>
      <w:r w:rsidRPr="008C150C">
        <w:rPr>
          <w:rFonts w:ascii="ITC Avant Garde" w:hAnsi="ITC Avant Garde" w:cs="Arial"/>
          <w:bCs/>
        </w:rPr>
        <w:t xml:space="preserve"> 4, fracción </w:t>
      </w:r>
      <w:r>
        <w:rPr>
          <w:rFonts w:ascii="ITC Avant Garde" w:hAnsi="ITC Avant Garde" w:cs="Arial"/>
          <w:bCs/>
        </w:rPr>
        <w:t>I</w:t>
      </w:r>
      <w:r w:rsidRPr="008C150C">
        <w:rPr>
          <w:rFonts w:ascii="ITC Avant Garde" w:hAnsi="ITC Avant Garde" w:cs="Arial"/>
          <w:bCs/>
        </w:rPr>
        <w:t xml:space="preserve"> y 6 fracción XXXVII</w:t>
      </w:r>
      <w:r>
        <w:rPr>
          <w:rFonts w:ascii="ITC Avant Garde" w:hAnsi="ITC Avant Garde" w:cs="Arial"/>
          <w:bCs/>
        </w:rPr>
        <w:t>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se expide</w:t>
      </w:r>
      <w:r w:rsidR="00E57A5C">
        <w:rPr>
          <w:rFonts w:ascii="ITC Avant Garde" w:hAnsi="ITC Avant Garde" w:cs="Arial"/>
          <w:bCs/>
        </w:rPr>
        <w:t>n</w:t>
      </w:r>
      <w:r w:rsidRPr="00DF157F">
        <w:rPr>
          <w:rFonts w:ascii="ITC Avant Garde" w:hAnsi="ITC Avant Garde" w:cs="Arial"/>
          <w:bCs/>
        </w:rPr>
        <w:t xml:space="preserve"> </w:t>
      </w:r>
      <w:r>
        <w:rPr>
          <w:rFonts w:ascii="ITC Avant Garde" w:hAnsi="ITC Avant Garde" w:cs="Arial"/>
          <w:bCs/>
        </w:rPr>
        <w:t>los</w:t>
      </w:r>
      <w:r w:rsidRPr="00DF157F">
        <w:rPr>
          <w:rFonts w:ascii="ITC Avant Garde" w:hAnsi="ITC Avant Garde" w:cs="Arial"/>
          <w:bCs/>
        </w:rPr>
        <w:t xml:space="preserve"> siguiente</w:t>
      </w:r>
      <w:r>
        <w:rPr>
          <w:rFonts w:ascii="ITC Avant Garde" w:hAnsi="ITC Avant Garde" w:cs="Arial"/>
          <w:bCs/>
        </w:rPr>
        <w:t>s</w:t>
      </w:r>
      <w:r w:rsidRPr="00DF157F">
        <w:rPr>
          <w:rFonts w:ascii="ITC Avant Garde" w:hAnsi="ITC Avant Garde" w:cs="Arial"/>
          <w:bCs/>
        </w:rPr>
        <w:t>:</w:t>
      </w:r>
    </w:p>
    <w:p w14:paraId="11CD60FC" w14:textId="11F8127C" w:rsidR="003D5E4B" w:rsidRDefault="003D5E4B" w:rsidP="00725A9E">
      <w:pPr>
        <w:spacing w:after="0"/>
        <w:jc w:val="both"/>
        <w:rPr>
          <w:rFonts w:ascii="ITC Avant Garde" w:hAnsi="ITC Avant Garde" w:cs="Arial"/>
          <w:bCs/>
          <w:sz w:val="10"/>
          <w:szCs w:val="10"/>
        </w:rPr>
      </w:pPr>
    </w:p>
    <w:p w14:paraId="74E9E09B" w14:textId="77777777" w:rsidR="00565FAE" w:rsidRPr="00565FAE" w:rsidRDefault="00565FAE" w:rsidP="00725A9E">
      <w:pPr>
        <w:spacing w:after="0"/>
        <w:jc w:val="both"/>
        <w:rPr>
          <w:rFonts w:ascii="ITC Avant Garde" w:hAnsi="ITC Avant Garde" w:cs="Arial"/>
          <w:bCs/>
          <w:sz w:val="10"/>
          <w:szCs w:val="10"/>
        </w:rPr>
      </w:pPr>
    </w:p>
    <w:p w14:paraId="0F0E4BB6" w14:textId="77777777" w:rsidR="003D5E4B" w:rsidRPr="002275A9" w:rsidRDefault="003D5E4B" w:rsidP="00725A9E">
      <w:pPr>
        <w:spacing w:after="0"/>
        <w:jc w:val="center"/>
        <w:rPr>
          <w:rFonts w:ascii="ITC Avant Garde" w:hAnsi="ITC Avant Garde" w:cs="Arial"/>
          <w:b/>
          <w:bCs/>
        </w:rPr>
      </w:pPr>
      <w:r w:rsidRPr="00DF157F">
        <w:rPr>
          <w:rFonts w:ascii="ITC Avant Garde" w:hAnsi="ITC Avant Garde" w:cs="Arial"/>
          <w:b/>
          <w:bCs/>
        </w:rPr>
        <w:t>ACUERDO</w:t>
      </w:r>
      <w:r>
        <w:rPr>
          <w:rFonts w:ascii="ITC Avant Garde" w:hAnsi="ITC Avant Garde" w:cs="Arial"/>
          <w:b/>
          <w:bCs/>
        </w:rPr>
        <w:t>S</w:t>
      </w:r>
    </w:p>
    <w:p w14:paraId="327B4662" w14:textId="77777777" w:rsidR="003D5E4B" w:rsidRPr="00725A9E" w:rsidRDefault="003D5E4B" w:rsidP="00725A9E">
      <w:pPr>
        <w:spacing w:after="0"/>
        <w:jc w:val="both"/>
        <w:rPr>
          <w:rFonts w:ascii="ITC Avant Garde" w:hAnsi="ITC Avant Garde" w:cs="Arial"/>
          <w:bCs/>
          <w:sz w:val="10"/>
          <w:szCs w:val="10"/>
        </w:rPr>
      </w:pPr>
    </w:p>
    <w:p w14:paraId="3E47D918" w14:textId="77777777" w:rsidR="003D5E4B" w:rsidRDefault="003D5E4B" w:rsidP="00725A9E">
      <w:pPr>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xml:space="preserve">.- Se </w:t>
      </w:r>
      <w:r>
        <w:rPr>
          <w:rFonts w:ascii="ITC Avant Garde" w:hAnsi="ITC Avant Garde" w:cs="Arial"/>
          <w:bCs/>
        </w:rPr>
        <w:t xml:space="preserve">determina </w:t>
      </w:r>
      <w:r w:rsidRPr="00DF157F">
        <w:rPr>
          <w:rFonts w:ascii="ITC Avant Garde" w:hAnsi="ITC Avant Garde" w:cs="Arial"/>
          <w:bCs/>
        </w:rPr>
        <w:t>somete</w:t>
      </w:r>
      <w:r>
        <w:rPr>
          <w:rFonts w:ascii="ITC Avant Garde" w:hAnsi="ITC Avant Garde" w:cs="Arial"/>
          <w:bCs/>
        </w:rPr>
        <w:t>r</w:t>
      </w:r>
      <w:r w:rsidRPr="00DF157F">
        <w:rPr>
          <w:rFonts w:ascii="ITC Avant Garde" w:hAnsi="ITC Avant Garde" w:cs="Arial"/>
          <w:bCs/>
        </w:rPr>
        <w:t xml:space="preserve"> a consulta pública, por un plazo de 30 (treinta) días naturales contados a partir del día hábil siguiente al de su publicación en el portal de Internet del Instituto</w:t>
      </w:r>
      <w:r>
        <w:rPr>
          <w:rFonts w:ascii="ITC Avant Garde" w:hAnsi="ITC Avant Garde" w:cs="Arial"/>
          <w:bCs/>
        </w:rPr>
        <w:t xml:space="preserve"> Federal de Telecomunicaciones</w:t>
      </w:r>
      <w:r w:rsidRPr="00DF157F">
        <w:rPr>
          <w:rFonts w:ascii="ITC Avant Garde" w:hAnsi="ITC Avant Garde" w:cs="Arial"/>
          <w:bCs/>
        </w:rPr>
        <w:t>, en los términos que fueron presentadas por</w:t>
      </w:r>
      <w:r>
        <w:rPr>
          <w:rFonts w:ascii="ITC Avant Garde" w:hAnsi="ITC Avant Garde" w:cs="Arial"/>
          <w:bCs/>
        </w:rPr>
        <w:t xml:space="preserve"> Teléfonos de México, S.A.B. de C.V., Teléfonos del Noroeste, S.A. de C.V. y Radiomóvil Dipsa, S.A. de C.V., </w:t>
      </w:r>
      <w:r w:rsidRPr="00DF157F">
        <w:rPr>
          <w:rFonts w:ascii="ITC Avant Garde" w:hAnsi="ITC Avant Garde" w:cs="Arial"/>
          <w:bCs/>
        </w:rPr>
        <w:t>las propuestas de</w:t>
      </w:r>
      <w:r>
        <w:rPr>
          <w:rFonts w:ascii="ITC Avant Garde" w:hAnsi="ITC Avant Garde" w:cs="Arial"/>
          <w:bCs/>
        </w:rPr>
        <w:t xml:space="preserve"> </w:t>
      </w:r>
      <w:r w:rsidRPr="00907919">
        <w:rPr>
          <w:rFonts w:ascii="ITC Avant Garde" w:hAnsi="ITC Avant Garde" w:cs="Arial"/>
          <w:bCs/>
        </w:rPr>
        <w:t xml:space="preserve">Convenio Marco de Interconexión </w:t>
      </w:r>
      <w:r w:rsidRPr="00DF157F">
        <w:rPr>
          <w:rFonts w:ascii="ITC Avant Garde" w:hAnsi="ITC Avant Garde" w:cs="Arial"/>
          <w:bCs/>
        </w:rPr>
        <w:t xml:space="preserve">que se </w:t>
      </w:r>
      <w:r w:rsidR="00E57A5C">
        <w:rPr>
          <w:rFonts w:ascii="ITC Avant Garde" w:hAnsi="ITC Avant Garde" w:cs="Arial"/>
          <w:bCs/>
        </w:rPr>
        <w:t>indican</w:t>
      </w:r>
      <w:r w:rsidRPr="00DF157F">
        <w:rPr>
          <w:rFonts w:ascii="ITC Avant Garde" w:hAnsi="ITC Avant Garde" w:cs="Arial"/>
          <w:bCs/>
        </w:rPr>
        <w:t xml:space="preserve"> en los Antecedentes </w:t>
      </w:r>
      <w:r w:rsidR="00E57A5C">
        <w:rPr>
          <w:rFonts w:ascii="ITC Avant Garde" w:hAnsi="ITC Avant Garde" w:cs="Arial"/>
          <w:bCs/>
        </w:rPr>
        <w:t>VII</w:t>
      </w:r>
      <w:r>
        <w:rPr>
          <w:rFonts w:ascii="ITC Avant Garde" w:hAnsi="ITC Avant Garde" w:cs="Arial"/>
          <w:bCs/>
        </w:rPr>
        <w:t xml:space="preserve"> al </w:t>
      </w:r>
      <w:r w:rsidR="00E57A5C">
        <w:rPr>
          <w:rFonts w:ascii="ITC Avant Garde" w:hAnsi="ITC Avant Garde" w:cs="Arial"/>
          <w:bCs/>
        </w:rPr>
        <w:t>IX</w:t>
      </w:r>
      <w:r>
        <w:rPr>
          <w:rFonts w:ascii="ITC Avant Garde" w:hAnsi="ITC Avant Garde" w:cs="Arial"/>
          <w:bCs/>
        </w:rPr>
        <w:t xml:space="preserve"> </w:t>
      </w:r>
      <w:r w:rsidRPr="00DF157F">
        <w:rPr>
          <w:rFonts w:ascii="ITC Avant Garde" w:hAnsi="ITC Avant Garde" w:cs="Arial"/>
          <w:bCs/>
        </w:rPr>
        <w:t xml:space="preserve">del presente Acuerdo, las cuales </w:t>
      </w:r>
      <w:r>
        <w:rPr>
          <w:rFonts w:ascii="ITC Avant Garde" w:hAnsi="ITC Avant Garde" w:cs="Arial"/>
          <w:bCs/>
        </w:rPr>
        <w:t>forman parte integrante del</w:t>
      </w:r>
      <w:r w:rsidRPr="00DF157F">
        <w:rPr>
          <w:rFonts w:ascii="ITC Avant Garde" w:hAnsi="ITC Avant Garde" w:cs="Arial"/>
          <w:bCs/>
        </w:rPr>
        <w:t xml:space="preserve"> mismo.</w:t>
      </w:r>
    </w:p>
    <w:p w14:paraId="65605019" w14:textId="77777777" w:rsidR="002275A9" w:rsidRPr="00725A9E" w:rsidRDefault="002275A9" w:rsidP="00725A9E">
      <w:pPr>
        <w:spacing w:after="0"/>
        <w:jc w:val="both"/>
        <w:rPr>
          <w:rFonts w:ascii="ITC Avant Garde" w:hAnsi="ITC Avant Garde" w:cs="Arial"/>
          <w:bCs/>
          <w:sz w:val="10"/>
          <w:szCs w:val="10"/>
        </w:rPr>
      </w:pPr>
    </w:p>
    <w:p w14:paraId="3AEDBBE1" w14:textId="77777777" w:rsidR="003D5E4B" w:rsidRDefault="00C659E5" w:rsidP="00725A9E">
      <w:pPr>
        <w:spacing w:after="0"/>
        <w:jc w:val="both"/>
        <w:rPr>
          <w:rFonts w:ascii="ITC Avant Garde" w:hAnsi="ITC Avant Garde" w:cs="Arial"/>
          <w:bCs/>
        </w:rPr>
      </w:pPr>
      <w:r>
        <w:rPr>
          <w:rFonts w:ascii="ITC Avant Garde" w:hAnsi="ITC Avant Garde" w:cs="Arial"/>
          <w:b/>
          <w:bCs/>
        </w:rPr>
        <w:t>SEGUNDO</w:t>
      </w:r>
      <w:r w:rsidRPr="00DF157F">
        <w:rPr>
          <w:rFonts w:ascii="ITC Avant Garde" w:hAnsi="ITC Avant Garde" w:cs="Arial"/>
          <w:bCs/>
        </w:rPr>
        <w:t>. -</w:t>
      </w:r>
      <w:r w:rsidR="003D5E4B" w:rsidRPr="00DF157F">
        <w:rPr>
          <w:rFonts w:ascii="ITC Avant Garde" w:hAnsi="ITC Avant Garde" w:cs="Arial"/>
          <w:bCs/>
        </w:rPr>
        <w:t xml:space="preserve"> Se instruye a la Unidad de Política Regulatoria a recibir y dar la atención que corresponda a las opiniones que sean vertidas en virtud de la consulta pública materia del presente Acuerdo.</w:t>
      </w:r>
      <w:r w:rsidR="003D5E4B" w:rsidRPr="00DF157F" w:rsidDel="00DF5690">
        <w:rPr>
          <w:rFonts w:ascii="ITC Avant Garde" w:hAnsi="ITC Avant Garde" w:cs="Arial"/>
          <w:bCs/>
        </w:rPr>
        <w:t xml:space="preserve"> </w:t>
      </w:r>
    </w:p>
    <w:p w14:paraId="4D4D76B0" w14:textId="77777777" w:rsidR="003D5E4B" w:rsidRPr="00725A9E" w:rsidRDefault="003D5E4B" w:rsidP="00725A9E">
      <w:pPr>
        <w:spacing w:after="0"/>
        <w:jc w:val="both"/>
        <w:rPr>
          <w:rFonts w:ascii="ITC Avant Garde" w:hAnsi="ITC Avant Garde" w:cs="Arial"/>
          <w:bCs/>
          <w:sz w:val="10"/>
          <w:szCs w:val="10"/>
        </w:rPr>
      </w:pPr>
    </w:p>
    <w:p w14:paraId="2FCF1083" w14:textId="77777777" w:rsidR="003D5E4B" w:rsidRPr="00DF157F" w:rsidRDefault="00C659E5" w:rsidP="00725A9E">
      <w:pPr>
        <w:spacing w:after="0"/>
        <w:jc w:val="both"/>
        <w:rPr>
          <w:rFonts w:ascii="ITC Avant Garde" w:hAnsi="ITC Avant Garde" w:cs="Arial"/>
          <w:bCs/>
        </w:rPr>
      </w:pPr>
      <w:r>
        <w:rPr>
          <w:rFonts w:ascii="ITC Avant Garde" w:hAnsi="ITC Avant Garde" w:cs="Arial"/>
          <w:b/>
          <w:bCs/>
        </w:rPr>
        <w:t>TERCERO</w:t>
      </w:r>
      <w:r w:rsidRPr="00DF157F">
        <w:rPr>
          <w:rFonts w:ascii="ITC Avant Garde" w:hAnsi="ITC Avant Garde" w:cs="Arial"/>
          <w:bCs/>
        </w:rPr>
        <w:t>. -</w:t>
      </w:r>
      <w:r w:rsidR="003D5E4B" w:rsidRPr="00DF157F">
        <w:rPr>
          <w:rFonts w:ascii="ITC Avant Garde" w:hAnsi="ITC Avant Garde" w:cs="Arial"/>
          <w:bCs/>
        </w:rPr>
        <w:t xml:space="preserve"> Publíquese en el portal de Internet del Instituto</w:t>
      </w:r>
      <w:r w:rsidR="003D5E4B">
        <w:rPr>
          <w:rFonts w:ascii="ITC Avant Garde" w:hAnsi="ITC Avant Garde" w:cs="Arial"/>
          <w:bCs/>
        </w:rPr>
        <w:t xml:space="preserve"> Federal de Telecomunicaciones</w:t>
      </w:r>
      <w:r w:rsidR="003D5E4B" w:rsidRPr="00DF157F">
        <w:rPr>
          <w:rFonts w:ascii="ITC Avant Garde" w:hAnsi="ITC Avant Garde" w:cs="Arial"/>
          <w:bCs/>
        </w:rPr>
        <w:t>.</w:t>
      </w:r>
    </w:p>
    <w:p w14:paraId="35B92B83" w14:textId="77777777" w:rsidR="00771B78" w:rsidRDefault="00771B78" w:rsidP="00725A9E">
      <w:pPr>
        <w:tabs>
          <w:tab w:val="left" w:pos="2025"/>
        </w:tabs>
        <w:spacing w:after="0"/>
        <w:jc w:val="both"/>
        <w:rPr>
          <w:rFonts w:ascii="ITC Avant Garde" w:hAnsi="ITC Avant Garde" w:cs="Arial"/>
          <w:b/>
          <w:sz w:val="28"/>
        </w:rPr>
      </w:pPr>
    </w:p>
    <w:p w14:paraId="1BC703BA" w14:textId="77777777" w:rsidR="00127374" w:rsidRPr="00786BE1" w:rsidRDefault="00127374" w:rsidP="00725A9E">
      <w:pPr>
        <w:tabs>
          <w:tab w:val="left" w:pos="2025"/>
        </w:tabs>
        <w:spacing w:after="0"/>
        <w:jc w:val="both"/>
        <w:rPr>
          <w:rFonts w:ascii="ITC Avant Garde" w:hAnsi="ITC Avant Garde" w:cs="Arial"/>
          <w:b/>
          <w:sz w:val="28"/>
        </w:rPr>
      </w:pPr>
    </w:p>
    <w:tbl>
      <w:tblPr>
        <w:tblW w:w="0" w:type="auto"/>
        <w:tblLook w:val="04A0" w:firstRow="1" w:lastRow="0" w:firstColumn="1" w:lastColumn="0" w:noHBand="0" w:noVBand="1"/>
      </w:tblPr>
      <w:tblGrid>
        <w:gridCol w:w="4419"/>
        <w:gridCol w:w="4419"/>
      </w:tblGrid>
      <w:tr w:rsidR="004827C4" w:rsidRPr="005C1E85" w14:paraId="65E43BC5" w14:textId="77777777" w:rsidTr="00230664">
        <w:tc>
          <w:tcPr>
            <w:tcW w:w="8838" w:type="dxa"/>
            <w:gridSpan w:val="2"/>
          </w:tcPr>
          <w:p w14:paraId="65EE1022" w14:textId="61A4C5FA" w:rsidR="00725A9E" w:rsidRDefault="00725A9E" w:rsidP="00725A9E">
            <w:pPr>
              <w:pStyle w:val="FirmasDGDTR"/>
            </w:pPr>
          </w:p>
          <w:p w14:paraId="094C0002" w14:textId="77777777" w:rsidR="00565FAE" w:rsidRDefault="00565FAE" w:rsidP="00725A9E">
            <w:pPr>
              <w:pStyle w:val="FirmasDGDTR"/>
            </w:pPr>
          </w:p>
          <w:p w14:paraId="52161A72" w14:textId="1CF0AFA4" w:rsidR="00565FAE" w:rsidRDefault="00565FAE" w:rsidP="00725A9E">
            <w:pPr>
              <w:pStyle w:val="FirmasDGDTR"/>
            </w:pPr>
          </w:p>
          <w:p w14:paraId="588EE285" w14:textId="77777777" w:rsidR="00565FAE" w:rsidRPr="005C1E85" w:rsidRDefault="00565FAE" w:rsidP="00725A9E">
            <w:pPr>
              <w:pStyle w:val="FirmasDGDTR"/>
            </w:pPr>
          </w:p>
          <w:p w14:paraId="7C662E5E" w14:textId="77777777" w:rsidR="004827C4" w:rsidRPr="005C1E85" w:rsidRDefault="004827C4" w:rsidP="00725A9E">
            <w:pPr>
              <w:pStyle w:val="FirmasDGDTR"/>
            </w:pPr>
            <w:r w:rsidRPr="005C1E85">
              <w:t>Gabriel Oswaldo Contreras Saldívar</w:t>
            </w:r>
          </w:p>
          <w:p w14:paraId="770DC24F" w14:textId="77777777" w:rsidR="004827C4" w:rsidRPr="005C1E85" w:rsidRDefault="004827C4" w:rsidP="00725A9E">
            <w:pPr>
              <w:pStyle w:val="FirmasDGDTR"/>
            </w:pPr>
            <w:r w:rsidRPr="005C1E85">
              <w:t>Comisionado Presidente</w:t>
            </w:r>
          </w:p>
        </w:tc>
      </w:tr>
      <w:tr w:rsidR="004827C4" w:rsidRPr="005C1E85" w14:paraId="78C5D221" w14:textId="77777777" w:rsidTr="00230664">
        <w:tc>
          <w:tcPr>
            <w:tcW w:w="4419" w:type="dxa"/>
          </w:tcPr>
          <w:p w14:paraId="4B9DD7F3" w14:textId="77777777" w:rsidR="004827C4" w:rsidRPr="005C1E85" w:rsidRDefault="004827C4" w:rsidP="00725A9E">
            <w:pPr>
              <w:pStyle w:val="FirmasDGDTR"/>
            </w:pPr>
          </w:p>
          <w:p w14:paraId="017258D4" w14:textId="77777777" w:rsidR="004827C4" w:rsidRPr="005C1E85" w:rsidRDefault="004827C4" w:rsidP="00725A9E">
            <w:pPr>
              <w:pStyle w:val="FirmasDGDTR"/>
            </w:pPr>
          </w:p>
          <w:p w14:paraId="1AC65E70" w14:textId="77777777" w:rsidR="004827C4" w:rsidRPr="005C1E85" w:rsidRDefault="004827C4" w:rsidP="00725A9E">
            <w:pPr>
              <w:pStyle w:val="FirmasDGDTR"/>
            </w:pPr>
          </w:p>
          <w:p w14:paraId="4721A29D" w14:textId="77777777" w:rsidR="004827C4" w:rsidRPr="005C1E85" w:rsidRDefault="004827C4" w:rsidP="00725A9E">
            <w:pPr>
              <w:pStyle w:val="FirmasDGDTR"/>
            </w:pPr>
          </w:p>
        </w:tc>
        <w:tc>
          <w:tcPr>
            <w:tcW w:w="4419" w:type="dxa"/>
          </w:tcPr>
          <w:p w14:paraId="706841A7" w14:textId="77777777" w:rsidR="004827C4" w:rsidRPr="005C1E85" w:rsidRDefault="004827C4" w:rsidP="00725A9E">
            <w:pPr>
              <w:pStyle w:val="FirmasDGDTR"/>
            </w:pPr>
          </w:p>
          <w:p w14:paraId="54252611" w14:textId="77777777" w:rsidR="004827C4" w:rsidRPr="005C1E85" w:rsidRDefault="004827C4" w:rsidP="00725A9E">
            <w:pPr>
              <w:pStyle w:val="FirmasDGDTR"/>
            </w:pPr>
          </w:p>
          <w:p w14:paraId="3032471F" w14:textId="77777777" w:rsidR="004827C4" w:rsidRPr="005C1E85" w:rsidRDefault="004827C4" w:rsidP="00725A9E">
            <w:pPr>
              <w:pStyle w:val="FirmasDGDTR"/>
            </w:pPr>
          </w:p>
          <w:p w14:paraId="13DF4E26" w14:textId="77777777" w:rsidR="004827C4" w:rsidRPr="005C1E85" w:rsidRDefault="004827C4" w:rsidP="00725A9E">
            <w:pPr>
              <w:pStyle w:val="FirmasDGDTR"/>
            </w:pPr>
            <w:r w:rsidRPr="005C1E85">
              <w:t xml:space="preserve"> </w:t>
            </w:r>
          </w:p>
        </w:tc>
      </w:tr>
      <w:tr w:rsidR="004827C4" w:rsidRPr="005C1E85" w14:paraId="1AA47E68" w14:textId="77777777" w:rsidTr="00230664">
        <w:tc>
          <w:tcPr>
            <w:tcW w:w="4419" w:type="dxa"/>
          </w:tcPr>
          <w:p w14:paraId="581B4362" w14:textId="77777777" w:rsidR="004827C4" w:rsidRPr="005C1E85" w:rsidRDefault="004827C4" w:rsidP="00725A9E">
            <w:pPr>
              <w:pStyle w:val="FirmasDGDTR"/>
            </w:pPr>
            <w:r w:rsidRPr="005C1E85">
              <w:t>Mario Germán Fromow Rangel</w:t>
            </w:r>
          </w:p>
          <w:p w14:paraId="28F4E922" w14:textId="77777777" w:rsidR="004827C4" w:rsidRPr="005C1E85" w:rsidRDefault="004827C4" w:rsidP="00725A9E">
            <w:pPr>
              <w:pStyle w:val="FirmasDGDTR"/>
            </w:pPr>
            <w:r w:rsidRPr="005C1E85">
              <w:t>Comisionado</w:t>
            </w:r>
          </w:p>
          <w:p w14:paraId="69032DE9" w14:textId="77777777" w:rsidR="004827C4" w:rsidRPr="005C1E85" w:rsidRDefault="004827C4" w:rsidP="00725A9E">
            <w:pPr>
              <w:pStyle w:val="FirmasDGDTR"/>
            </w:pPr>
          </w:p>
          <w:p w14:paraId="3A053D54" w14:textId="77777777" w:rsidR="004827C4" w:rsidRPr="005C1E85" w:rsidRDefault="004827C4" w:rsidP="00725A9E">
            <w:pPr>
              <w:pStyle w:val="FirmasDGDTR"/>
            </w:pPr>
          </w:p>
          <w:p w14:paraId="760E98C1" w14:textId="77777777" w:rsidR="004827C4" w:rsidRPr="005C1E85" w:rsidRDefault="004827C4" w:rsidP="00725A9E">
            <w:pPr>
              <w:pStyle w:val="FirmasDGDTR"/>
            </w:pPr>
          </w:p>
          <w:p w14:paraId="29070AC4" w14:textId="77777777" w:rsidR="004827C4" w:rsidRDefault="004827C4" w:rsidP="00725A9E">
            <w:pPr>
              <w:pStyle w:val="FirmasDGDTR"/>
            </w:pPr>
          </w:p>
          <w:p w14:paraId="0E34D55A" w14:textId="77777777" w:rsidR="004827C4" w:rsidRPr="005C1E85" w:rsidRDefault="004827C4" w:rsidP="00725A9E">
            <w:pPr>
              <w:pStyle w:val="FirmasDGDTR"/>
            </w:pPr>
            <w:r w:rsidRPr="005C1E85">
              <w:t>Javier Juárez Mojica</w:t>
            </w:r>
          </w:p>
          <w:p w14:paraId="1BE99080" w14:textId="77777777" w:rsidR="004827C4" w:rsidRPr="005C1E85" w:rsidRDefault="004827C4" w:rsidP="00725A9E">
            <w:pPr>
              <w:pStyle w:val="FirmasDGDTR"/>
            </w:pPr>
            <w:r w:rsidRPr="005C1E85">
              <w:t xml:space="preserve">Comisionado </w:t>
            </w:r>
          </w:p>
          <w:p w14:paraId="6A5937D1" w14:textId="77777777" w:rsidR="004827C4" w:rsidRPr="005C1E85" w:rsidRDefault="004827C4" w:rsidP="00725A9E">
            <w:pPr>
              <w:pStyle w:val="FirmasDGDTR"/>
            </w:pPr>
          </w:p>
        </w:tc>
        <w:tc>
          <w:tcPr>
            <w:tcW w:w="4419" w:type="dxa"/>
          </w:tcPr>
          <w:p w14:paraId="7BBF4B67" w14:textId="77777777" w:rsidR="004827C4" w:rsidRPr="005C1E85" w:rsidRDefault="004827C4" w:rsidP="00725A9E">
            <w:pPr>
              <w:pStyle w:val="FirmasDGDTR"/>
            </w:pPr>
            <w:r w:rsidRPr="005C1E85">
              <w:t>Adolfo Cuevas Teja</w:t>
            </w:r>
          </w:p>
          <w:p w14:paraId="74BC9FA2" w14:textId="77777777" w:rsidR="004827C4" w:rsidRPr="005C1E85" w:rsidRDefault="004827C4" w:rsidP="00725A9E">
            <w:pPr>
              <w:pStyle w:val="FirmasDGDTR"/>
            </w:pPr>
            <w:r w:rsidRPr="005C1E85">
              <w:t>Comisionado</w:t>
            </w:r>
          </w:p>
          <w:p w14:paraId="07863088" w14:textId="77777777" w:rsidR="004827C4" w:rsidRPr="005C1E85" w:rsidRDefault="004827C4" w:rsidP="00725A9E">
            <w:pPr>
              <w:pStyle w:val="FirmasDGDTR"/>
            </w:pPr>
          </w:p>
          <w:p w14:paraId="42007DEB" w14:textId="77777777" w:rsidR="004827C4" w:rsidRDefault="004827C4" w:rsidP="00725A9E">
            <w:pPr>
              <w:pStyle w:val="FirmasDGDTR"/>
            </w:pPr>
          </w:p>
          <w:p w14:paraId="27EB66CC" w14:textId="77777777" w:rsidR="004827C4" w:rsidRPr="005C1E85" w:rsidRDefault="004827C4" w:rsidP="00725A9E">
            <w:pPr>
              <w:pStyle w:val="FirmasDGDTR"/>
            </w:pPr>
          </w:p>
          <w:p w14:paraId="0CD360C7" w14:textId="77777777" w:rsidR="004827C4" w:rsidRPr="005C1E85" w:rsidRDefault="004827C4" w:rsidP="00725A9E">
            <w:pPr>
              <w:pStyle w:val="FirmasDGDTR"/>
            </w:pPr>
          </w:p>
          <w:p w14:paraId="24345C68" w14:textId="77777777" w:rsidR="004827C4" w:rsidRPr="005C1E85" w:rsidRDefault="004827C4" w:rsidP="00725A9E">
            <w:pPr>
              <w:pStyle w:val="FirmasDGDTR"/>
            </w:pPr>
            <w:r w:rsidRPr="005C1E85">
              <w:t>Arturo Robles Rovalo</w:t>
            </w:r>
          </w:p>
          <w:p w14:paraId="07C9B868" w14:textId="77777777" w:rsidR="004827C4" w:rsidRPr="005C1E85" w:rsidRDefault="004827C4" w:rsidP="00725A9E">
            <w:pPr>
              <w:pStyle w:val="FirmasDGDTR"/>
            </w:pPr>
            <w:r w:rsidRPr="005C1E85">
              <w:t>Comisionado</w:t>
            </w:r>
          </w:p>
          <w:p w14:paraId="7BD0F719" w14:textId="77777777" w:rsidR="004827C4" w:rsidRPr="005C1E85" w:rsidRDefault="004827C4" w:rsidP="00725A9E">
            <w:pPr>
              <w:pStyle w:val="FirmasDGDTR"/>
            </w:pPr>
          </w:p>
        </w:tc>
      </w:tr>
      <w:tr w:rsidR="004827C4" w:rsidRPr="00B804F5" w14:paraId="130C4559" w14:textId="77777777" w:rsidTr="00230664">
        <w:tc>
          <w:tcPr>
            <w:tcW w:w="4419" w:type="dxa"/>
          </w:tcPr>
          <w:p w14:paraId="09DDF4EC" w14:textId="77777777" w:rsidR="004827C4" w:rsidRPr="005C1E85" w:rsidRDefault="004827C4" w:rsidP="00725A9E">
            <w:pPr>
              <w:pStyle w:val="FirmasDGDTR"/>
            </w:pPr>
          </w:p>
          <w:p w14:paraId="2309B5F6" w14:textId="77777777" w:rsidR="004827C4" w:rsidRPr="005C1E85" w:rsidRDefault="004827C4" w:rsidP="00725A9E">
            <w:pPr>
              <w:pStyle w:val="FirmasDGDTR"/>
            </w:pPr>
          </w:p>
          <w:p w14:paraId="469668FF" w14:textId="77777777" w:rsidR="004827C4" w:rsidRPr="005C1E85" w:rsidRDefault="004827C4" w:rsidP="00725A9E">
            <w:pPr>
              <w:pStyle w:val="FirmasDGDTR"/>
            </w:pPr>
          </w:p>
          <w:p w14:paraId="1346D52F" w14:textId="77777777" w:rsidR="004827C4" w:rsidRPr="005C1E85" w:rsidRDefault="004827C4" w:rsidP="00725A9E">
            <w:pPr>
              <w:pStyle w:val="FirmasDGDTR"/>
            </w:pPr>
            <w:r w:rsidRPr="005C1E85">
              <w:t>Sóstenes Díaz González</w:t>
            </w:r>
          </w:p>
          <w:p w14:paraId="37326379" w14:textId="6DEC475B" w:rsidR="004827C4" w:rsidRPr="005C1E85" w:rsidRDefault="004827C4" w:rsidP="00725A9E">
            <w:pPr>
              <w:pStyle w:val="FirmasDGDTR"/>
            </w:pPr>
            <w:r w:rsidRPr="005C1E85">
              <w:t>Comisionado</w:t>
            </w:r>
            <w:r w:rsidRPr="006115F2">
              <w:t xml:space="preserve"> </w:t>
            </w:r>
          </w:p>
        </w:tc>
        <w:tc>
          <w:tcPr>
            <w:tcW w:w="4419" w:type="dxa"/>
          </w:tcPr>
          <w:p w14:paraId="76DF1C10" w14:textId="77777777" w:rsidR="004827C4" w:rsidRPr="005C1E85" w:rsidRDefault="004827C4" w:rsidP="00725A9E">
            <w:pPr>
              <w:pStyle w:val="FirmasDGDTR"/>
            </w:pPr>
          </w:p>
          <w:p w14:paraId="68447610" w14:textId="77777777" w:rsidR="004827C4" w:rsidRPr="005C1E85" w:rsidRDefault="004827C4" w:rsidP="00725A9E">
            <w:pPr>
              <w:pStyle w:val="FirmasDGDTR"/>
            </w:pPr>
          </w:p>
          <w:p w14:paraId="25724584" w14:textId="77777777" w:rsidR="004827C4" w:rsidRDefault="004827C4" w:rsidP="00725A9E">
            <w:pPr>
              <w:pStyle w:val="FirmasDGDTR"/>
            </w:pPr>
          </w:p>
          <w:p w14:paraId="57CDF3BC" w14:textId="1B416D59" w:rsidR="004827C4" w:rsidRPr="006115F2" w:rsidRDefault="004827C4" w:rsidP="00725A9E">
            <w:pPr>
              <w:pStyle w:val="FirmasDGDTR"/>
            </w:pPr>
            <w:r w:rsidRPr="005C1E85">
              <w:t>Ramiro Camacho Castillo Comisionado</w:t>
            </w:r>
          </w:p>
        </w:tc>
      </w:tr>
      <w:tr w:rsidR="00725A9E" w:rsidRPr="00B804F5" w14:paraId="59FA44D0" w14:textId="77777777" w:rsidTr="00230664">
        <w:tc>
          <w:tcPr>
            <w:tcW w:w="4419" w:type="dxa"/>
          </w:tcPr>
          <w:p w14:paraId="4135524F" w14:textId="77777777" w:rsidR="00725A9E" w:rsidRPr="005C1E85" w:rsidRDefault="00725A9E" w:rsidP="00725A9E">
            <w:pPr>
              <w:pStyle w:val="FirmasDGDTR"/>
            </w:pPr>
          </w:p>
        </w:tc>
        <w:tc>
          <w:tcPr>
            <w:tcW w:w="4419" w:type="dxa"/>
          </w:tcPr>
          <w:p w14:paraId="35A36F86" w14:textId="77777777" w:rsidR="00725A9E" w:rsidRPr="005C1E85" w:rsidRDefault="00725A9E" w:rsidP="00725A9E">
            <w:pPr>
              <w:pStyle w:val="FirmasDGDTR"/>
            </w:pPr>
          </w:p>
        </w:tc>
      </w:tr>
    </w:tbl>
    <w:p w14:paraId="118316F9" w14:textId="77777777" w:rsidR="00565FAE" w:rsidRDefault="00565FAE" w:rsidP="00565FAE">
      <w:pPr>
        <w:spacing w:after="0" w:line="240" w:lineRule="auto"/>
        <w:jc w:val="both"/>
        <w:rPr>
          <w:rFonts w:ascii="ITC Avant Garde" w:hAnsi="ITC Avant Garde"/>
          <w:sz w:val="12"/>
          <w:szCs w:val="12"/>
          <w:lang w:val="es-ES"/>
        </w:rPr>
      </w:pPr>
    </w:p>
    <w:p w14:paraId="62029993" w14:textId="77777777" w:rsidR="0012495A" w:rsidRPr="0012495A" w:rsidRDefault="0012495A" w:rsidP="0012495A">
      <w:pPr>
        <w:spacing w:after="0" w:line="240" w:lineRule="auto"/>
        <w:jc w:val="both"/>
        <w:rPr>
          <w:rFonts w:ascii="ITC Avant Garde" w:eastAsiaTheme="minorHAnsi" w:hAnsi="ITC Avant Garde"/>
          <w:bCs/>
          <w:sz w:val="12"/>
        </w:rPr>
      </w:pPr>
      <w:r w:rsidRPr="0012495A">
        <w:rPr>
          <w:rFonts w:ascii="ITC Avant Garde" w:hAnsi="ITC Avant Garde"/>
          <w:sz w:val="12"/>
          <w:lang w:val="es-ES"/>
        </w:rPr>
        <w:t xml:space="preserve">La presente Resolución fue aprobada por el </w:t>
      </w:r>
      <w:r w:rsidRPr="0012495A">
        <w:rPr>
          <w:rFonts w:ascii="ITC Avant Garde" w:hAnsi="ITC Avant Garde"/>
          <w:sz w:val="12"/>
        </w:rPr>
        <w:t xml:space="preserve">Pleno del Instituto Federal de Telecomunicaciones en su XI Sesión Ordinaria celebrada el 10 de abril de 2019, </w:t>
      </w:r>
      <w:r w:rsidRPr="0012495A">
        <w:rPr>
          <w:rFonts w:ascii="ITC Avant Garde" w:hAnsi="ITC Avant Garde"/>
          <w:bCs/>
          <w:sz w:val="12"/>
        </w:rPr>
        <w:t xml:space="preserve">por unanimidad </w:t>
      </w:r>
      <w:r w:rsidRPr="0012495A">
        <w:rPr>
          <w:rFonts w:ascii="ITC Avant Garde" w:hAnsi="ITC Avant Garde"/>
          <w:sz w:val="12"/>
        </w:rPr>
        <w:t xml:space="preserve">de votos de los Comisionados Gabriel Oswaldo Contreras Saldívar, Mario Germán Fromow Rangel, Adolfo Cuevas Teja, Javier Juárez Mojica, Arturo Robles Rovalo, Sóstenes Díaz González y Ramiro Camacho Castillo;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w:t>
      </w:r>
      <w:r w:rsidRPr="0012495A">
        <w:rPr>
          <w:rFonts w:ascii="ITC Avant Garde" w:hAnsi="ITC Avant Garde"/>
          <w:bCs/>
          <w:sz w:val="12"/>
        </w:rPr>
        <w:t>P/IFT/100419/186.</w:t>
      </w:r>
    </w:p>
    <w:p w14:paraId="18CA8E25" w14:textId="77777777" w:rsidR="0012495A" w:rsidRPr="0012495A" w:rsidRDefault="0012495A" w:rsidP="0012495A">
      <w:pPr>
        <w:spacing w:after="0" w:line="240" w:lineRule="auto"/>
        <w:jc w:val="both"/>
        <w:rPr>
          <w:rFonts w:ascii="ITC Avant Garde" w:hAnsi="ITC Avant Garde"/>
          <w:sz w:val="12"/>
        </w:rPr>
      </w:pPr>
    </w:p>
    <w:p w14:paraId="2DBBF0F1" w14:textId="77777777" w:rsidR="0012495A" w:rsidRPr="0012495A" w:rsidRDefault="0012495A" w:rsidP="0012495A">
      <w:pPr>
        <w:spacing w:after="0" w:line="240" w:lineRule="auto"/>
        <w:ind w:right="49"/>
        <w:jc w:val="both"/>
        <w:rPr>
          <w:rFonts w:ascii="ITC Avant Garde" w:hAnsi="ITC Avant Garde"/>
          <w:sz w:val="12"/>
          <w:lang w:val="es-ES"/>
        </w:rPr>
      </w:pPr>
      <w:r w:rsidRPr="0012495A">
        <w:rPr>
          <w:rFonts w:ascii="ITC Avant Garde" w:hAnsi="ITC Avant Garde"/>
          <w:sz w:val="12"/>
          <w:lang w:val="es-ES"/>
        </w:rPr>
        <w:t xml:space="preserve">Los Comisionados Javier Juárez Mojica y Adolfo Cuevas Teja previendo su ausencia justificada a la Sesión, emitieron su voto razonado por escrito, </w:t>
      </w:r>
      <w:r w:rsidRPr="0012495A">
        <w:rPr>
          <w:rFonts w:ascii="ITC Avant Garde" w:hAnsi="ITC Avant Garde"/>
          <w:sz w:val="12"/>
        </w:rPr>
        <w:t xml:space="preserve">en términos de los artículos </w:t>
      </w:r>
      <w:r w:rsidRPr="0012495A">
        <w:rPr>
          <w:rFonts w:ascii="ITC Avant Garde" w:hAnsi="ITC Avant Garde"/>
          <w:sz w:val="12"/>
          <w:lang w:val="es-ES"/>
        </w:rPr>
        <w:t>45 tercer párrafo de la Ley Federal de Telecomunicaciones y Radiodifusión, y 8 segundo párrafo del Estatuto Orgánico del Instituto Federal de Telecomunicaciones.</w:t>
      </w:r>
      <w:bookmarkStart w:id="0" w:name="_GoBack"/>
      <w:bookmarkEnd w:id="0"/>
    </w:p>
    <w:p w14:paraId="1E171CAD" w14:textId="77777777" w:rsidR="0012495A" w:rsidRPr="0012495A" w:rsidRDefault="0012495A" w:rsidP="0012495A">
      <w:pPr>
        <w:spacing w:after="0" w:line="240" w:lineRule="auto"/>
        <w:ind w:right="49"/>
        <w:jc w:val="both"/>
        <w:rPr>
          <w:rFonts w:ascii="ITC Avant Garde" w:hAnsi="ITC Avant Garde"/>
          <w:sz w:val="12"/>
          <w:lang w:val="es-ES"/>
        </w:rPr>
      </w:pPr>
    </w:p>
    <w:p w14:paraId="77B3EB7E" w14:textId="77777777" w:rsidR="0012495A" w:rsidRPr="0012495A" w:rsidRDefault="0012495A" w:rsidP="0012495A">
      <w:pPr>
        <w:spacing w:after="0" w:line="240" w:lineRule="auto"/>
        <w:jc w:val="both"/>
        <w:rPr>
          <w:rFonts w:ascii="ITC Avant Garde" w:hAnsi="ITC Avant Garde"/>
          <w:sz w:val="12"/>
          <w:lang w:eastAsia="es-MX"/>
        </w:rPr>
      </w:pPr>
      <w:r w:rsidRPr="0012495A">
        <w:rPr>
          <w:rFonts w:ascii="ITC Avant Garde" w:hAnsi="ITC Avant Garde"/>
          <w:sz w:val="12"/>
          <w:lang w:eastAsia="es-MX"/>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4C5E2806" w14:textId="77777777" w:rsidR="0012495A" w:rsidRPr="0012495A" w:rsidRDefault="0012495A" w:rsidP="0012495A">
      <w:pPr>
        <w:spacing w:after="0" w:line="240" w:lineRule="auto"/>
        <w:jc w:val="both"/>
        <w:rPr>
          <w:rFonts w:ascii="ITC Avant Garde" w:hAnsi="ITC Avant Garde"/>
          <w:bCs/>
          <w:color w:val="FF0000"/>
          <w:sz w:val="12"/>
          <w:lang w:val="es-ES"/>
        </w:rPr>
      </w:pPr>
    </w:p>
    <w:p w14:paraId="58CD16D6" w14:textId="52109A77" w:rsidR="00505EA3" w:rsidRPr="0012495A" w:rsidRDefault="00505EA3" w:rsidP="0012495A">
      <w:pPr>
        <w:spacing w:after="0" w:line="240" w:lineRule="auto"/>
        <w:jc w:val="both"/>
        <w:rPr>
          <w:rFonts w:ascii="ITC Avant Garde" w:hAnsi="ITC Avant Garde"/>
          <w:sz w:val="2"/>
          <w:szCs w:val="12"/>
          <w:lang w:eastAsia="es-MX"/>
        </w:rPr>
      </w:pPr>
    </w:p>
    <w:sectPr w:rsidR="00505EA3" w:rsidRPr="0012495A" w:rsidSect="00565FAE">
      <w:headerReference w:type="even" r:id="rId7"/>
      <w:footerReference w:type="default" r:id="rId8"/>
      <w:headerReference w:type="first" r:id="rId9"/>
      <w:pgSz w:w="12240" w:h="15840" w:code="1"/>
      <w:pgMar w:top="2127" w:right="104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67B6B" w14:textId="77777777" w:rsidR="002C6161" w:rsidRDefault="002C6161">
      <w:pPr>
        <w:spacing w:after="0" w:line="240" w:lineRule="auto"/>
      </w:pPr>
      <w:r>
        <w:separator/>
      </w:r>
    </w:p>
  </w:endnote>
  <w:endnote w:type="continuationSeparator" w:id="0">
    <w:p w14:paraId="2B8FB843" w14:textId="77777777" w:rsidR="002C6161" w:rsidRDefault="002C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 Avant Garde">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676466"/>
      <w:docPartObj>
        <w:docPartGallery w:val="Page Numbers (Bottom of Page)"/>
        <w:docPartUnique/>
      </w:docPartObj>
    </w:sdtPr>
    <w:sdtEndPr>
      <w:rPr>
        <w:rFonts w:ascii="ITC Avant Garde" w:hAnsi="ITC Avant Garde"/>
        <w:b/>
        <w:sz w:val="18"/>
        <w:szCs w:val="18"/>
      </w:rPr>
    </w:sdtEndPr>
    <w:sdtContent>
      <w:sdt>
        <w:sdtPr>
          <w:id w:val="315540515"/>
          <w:docPartObj>
            <w:docPartGallery w:val="Page Numbers (Top of Page)"/>
            <w:docPartUnique/>
          </w:docPartObj>
        </w:sdtPr>
        <w:sdtEndPr>
          <w:rPr>
            <w:rFonts w:ascii="ITC Avant Garde" w:hAnsi="ITC Avant Garde"/>
            <w:b/>
            <w:sz w:val="18"/>
            <w:szCs w:val="18"/>
          </w:rPr>
        </w:sdtEndPr>
        <w:sdtContent>
          <w:p w14:paraId="3248735B" w14:textId="4ACD550B" w:rsidR="004632F8" w:rsidRPr="00DF157F" w:rsidRDefault="003D5E4B" w:rsidP="00CC135B">
            <w:pPr>
              <w:pStyle w:val="Piedepgina"/>
              <w:jc w:val="right"/>
              <w:rPr>
                <w:rFonts w:ascii="ITC Avant Garde" w:hAnsi="ITC Avant Garde"/>
                <w:b/>
                <w:sz w:val="18"/>
                <w:szCs w:val="18"/>
              </w:rPr>
            </w:pPr>
            <w:r w:rsidRPr="00DF157F">
              <w:rPr>
                <w:rFonts w:ascii="ITC Avant Garde" w:hAnsi="ITC Avant Garde"/>
                <w:b/>
                <w:bCs/>
                <w:sz w:val="18"/>
                <w:szCs w:val="18"/>
              </w:rPr>
              <w:fldChar w:fldCharType="begin"/>
            </w:r>
            <w:r w:rsidRPr="00DF157F">
              <w:rPr>
                <w:rFonts w:ascii="ITC Avant Garde" w:hAnsi="ITC Avant Garde"/>
                <w:b/>
                <w:bCs/>
                <w:sz w:val="18"/>
                <w:szCs w:val="18"/>
              </w:rPr>
              <w:instrText>PAGE</w:instrText>
            </w:r>
            <w:r w:rsidRPr="00DF157F">
              <w:rPr>
                <w:rFonts w:ascii="ITC Avant Garde" w:hAnsi="ITC Avant Garde"/>
                <w:b/>
                <w:bCs/>
                <w:sz w:val="18"/>
                <w:szCs w:val="18"/>
              </w:rPr>
              <w:fldChar w:fldCharType="separate"/>
            </w:r>
            <w:r w:rsidR="0012495A">
              <w:rPr>
                <w:rFonts w:ascii="ITC Avant Garde" w:hAnsi="ITC Avant Garde"/>
                <w:b/>
                <w:bCs/>
                <w:noProof/>
                <w:sz w:val="18"/>
                <w:szCs w:val="18"/>
              </w:rPr>
              <w:t>7</w:t>
            </w:r>
            <w:r w:rsidRPr="00DF157F">
              <w:rPr>
                <w:rFonts w:ascii="ITC Avant Garde" w:hAnsi="ITC Avant Garde"/>
                <w:b/>
                <w:bCs/>
                <w:sz w:val="18"/>
                <w:szCs w:val="18"/>
              </w:rPr>
              <w:fldChar w:fldCharType="end"/>
            </w:r>
            <w:r w:rsidRPr="00DF157F">
              <w:rPr>
                <w:rFonts w:ascii="ITC Avant Garde" w:hAnsi="ITC Avant Garde"/>
                <w:b/>
                <w:sz w:val="18"/>
                <w:szCs w:val="18"/>
                <w:lang w:val="es-ES"/>
              </w:rPr>
              <w:t xml:space="preserve"> de </w:t>
            </w:r>
            <w:r w:rsidRPr="00DF157F">
              <w:rPr>
                <w:rFonts w:ascii="ITC Avant Garde" w:hAnsi="ITC Avant Garde"/>
                <w:b/>
                <w:bCs/>
                <w:sz w:val="18"/>
                <w:szCs w:val="18"/>
              </w:rPr>
              <w:fldChar w:fldCharType="begin"/>
            </w:r>
            <w:r w:rsidRPr="00DF157F">
              <w:rPr>
                <w:rFonts w:ascii="ITC Avant Garde" w:hAnsi="ITC Avant Garde"/>
                <w:b/>
                <w:bCs/>
                <w:sz w:val="18"/>
                <w:szCs w:val="18"/>
              </w:rPr>
              <w:instrText>NUMPAGES</w:instrText>
            </w:r>
            <w:r w:rsidRPr="00DF157F">
              <w:rPr>
                <w:rFonts w:ascii="ITC Avant Garde" w:hAnsi="ITC Avant Garde"/>
                <w:b/>
                <w:bCs/>
                <w:sz w:val="18"/>
                <w:szCs w:val="18"/>
              </w:rPr>
              <w:fldChar w:fldCharType="separate"/>
            </w:r>
            <w:r w:rsidR="0012495A">
              <w:rPr>
                <w:rFonts w:ascii="ITC Avant Garde" w:hAnsi="ITC Avant Garde"/>
                <w:b/>
                <w:bCs/>
                <w:noProof/>
                <w:sz w:val="18"/>
                <w:szCs w:val="18"/>
              </w:rPr>
              <w:t>7</w:t>
            </w:r>
            <w:r w:rsidRPr="00DF157F">
              <w:rPr>
                <w:rFonts w:ascii="ITC Avant Garde" w:hAnsi="ITC Avant Garde"/>
                <w:b/>
                <w:bCs/>
                <w:sz w:val="18"/>
                <w:szCs w:val="18"/>
              </w:rPr>
              <w:fldChar w:fldCharType="end"/>
            </w:r>
          </w:p>
        </w:sdtContent>
      </w:sdt>
    </w:sdtContent>
  </w:sdt>
  <w:p w14:paraId="207E45B3" w14:textId="77777777" w:rsidR="004632F8" w:rsidRDefault="001249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CE5F2" w14:textId="77777777" w:rsidR="002C6161" w:rsidRDefault="002C6161">
      <w:pPr>
        <w:spacing w:after="0" w:line="240" w:lineRule="auto"/>
      </w:pPr>
      <w:r>
        <w:separator/>
      </w:r>
    </w:p>
  </w:footnote>
  <w:footnote w:type="continuationSeparator" w:id="0">
    <w:p w14:paraId="36109C78" w14:textId="77777777" w:rsidR="002C6161" w:rsidRDefault="002C6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3DD0" w14:textId="77777777" w:rsidR="004632F8" w:rsidRDefault="0012495A">
    <w:pPr>
      <w:pStyle w:val="Encabezado"/>
    </w:pPr>
    <w:r>
      <w:rPr>
        <w:noProof/>
        <w:lang w:eastAsia="es-MX"/>
      </w:rPr>
      <w:pict w14:anchorId="0207F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97D7" w14:textId="77777777" w:rsidR="004632F8" w:rsidRDefault="0012495A">
    <w:pPr>
      <w:pStyle w:val="Encabezado"/>
    </w:pPr>
    <w:r>
      <w:rPr>
        <w:noProof/>
        <w:lang w:eastAsia="es-MX"/>
      </w:rPr>
      <w:pict w14:anchorId="07C28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0" type="#_x0000_t75" style="position:absolute;margin-left:0;margin-top:0;width:612pt;height:11in;z-index:-251656192;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2075A"/>
    <w:multiLevelType w:val="hybridMultilevel"/>
    <w:tmpl w:val="DAA0C1CA"/>
    <w:lvl w:ilvl="0" w:tplc="FB1625BA">
      <w:start w:val="1"/>
      <w:numFmt w:val="upperRoman"/>
      <w:lvlText w:val="%1."/>
      <w:lvlJc w:val="right"/>
      <w:pPr>
        <w:ind w:left="720" w:hanging="360"/>
      </w:pPr>
      <w:rPr>
        <w:rFonts w:ascii="ITC Avant Garde" w:hAnsi="ITC Avant Garde" w:hint="default"/>
        <w:b/>
        <w:color w:val="000000" w:themeColor="text1"/>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6E096C"/>
    <w:multiLevelType w:val="multilevel"/>
    <w:tmpl w:val="03005614"/>
    <w:lvl w:ilvl="0">
      <w:start w:val="1"/>
      <w:numFmt w:val="upperRoman"/>
      <w:lvlText w:val="%1."/>
      <w:lvlJc w:val="right"/>
      <w:pPr>
        <w:ind w:left="720" w:hanging="360"/>
      </w:pPr>
      <w:rPr>
        <w:b w:val="0"/>
        <w:i w:val="0"/>
        <w:sz w:val="22"/>
        <w:szCs w:val="22"/>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5BCA2A23"/>
    <w:multiLevelType w:val="hybridMultilevel"/>
    <w:tmpl w:val="A60A78C8"/>
    <w:lvl w:ilvl="0" w:tplc="1402148E">
      <w:start w:val="1"/>
      <w:numFmt w:val="upperRoman"/>
      <w:lvlText w:val="%1."/>
      <w:lvlJc w:val="left"/>
      <w:pPr>
        <w:ind w:left="786" w:hanging="720"/>
      </w:pPr>
      <w:rPr>
        <w:rFonts w:hint="default"/>
        <w:b/>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3"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E4B"/>
    <w:rsid w:val="0002244D"/>
    <w:rsid w:val="000835F4"/>
    <w:rsid w:val="000E5E4B"/>
    <w:rsid w:val="001011C0"/>
    <w:rsid w:val="0012495A"/>
    <w:rsid w:val="00127374"/>
    <w:rsid w:val="00144D87"/>
    <w:rsid w:val="001647F5"/>
    <w:rsid w:val="00170627"/>
    <w:rsid w:val="002275A9"/>
    <w:rsid w:val="00255A27"/>
    <w:rsid w:val="00267C03"/>
    <w:rsid w:val="0028373A"/>
    <w:rsid w:val="002C6161"/>
    <w:rsid w:val="002E1102"/>
    <w:rsid w:val="0031305A"/>
    <w:rsid w:val="003A4AE1"/>
    <w:rsid w:val="003D5E4B"/>
    <w:rsid w:val="00454063"/>
    <w:rsid w:val="004827C4"/>
    <w:rsid w:val="00505EA3"/>
    <w:rsid w:val="00541953"/>
    <w:rsid w:val="00565FAE"/>
    <w:rsid w:val="00693ADC"/>
    <w:rsid w:val="006B5A4D"/>
    <w:rsid w:val="006E7F41"/>
    <w:rsid w:val="006F718C"/>
    <w:rsid w:val="00725A9E"/>
    <w:rsid w:val="00771B78"/>
    <w:rsid w:val="008815A5"/>
    <w:rsid w:val="008B0A57"/>
    <w:rsid w:val="008E6A3C"/>
    <w:rsid w:val="00943A86"/>
    <w:rsid w:val="00B26DE4"/>
    <w:rsid w:val="00B45995"/>
    <w:rsid w:val="00B877AD"/>
    <w:rsid w:val="00BB1D6B"/>
    <w:rsid w:val="00BB4A9F"/>
    <w:rsid w:val="00BC3203"/>
    <w:rsid w:val="00BF0453"/>
    <w:rsid w:val="00C659E5"/>
    <w:rsid w:val="00C963BA"/>
    <w:rsid w:val="00DF203C"/>
    <w:rsid w:val="00E12A33"/>
    <w:rsid w:val="00E406BA"/>
    <w:rsid w:val="00E57A5C"/>
    <w:rsid w:val="00EA7696"/>
    <w:rsid w:val="00ED3912"/>
    <w:rsid w:val="00ED7392"/>
    <w:rsid w:val="00EE2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692A37"/>
  <w15:chartTrackingRefBased/>
  <w15:docId w15:val="{43393B2C-2586-4254-B55A-3689495C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E4B"/>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E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5E4B"/>
    <w:rPr>
      <w:rFonts w:ascii="Calibri" w:eastAsia="Calibri" w:hAnsi="Calibri" w:cs="Times New Roman"/>
    </w:rPr>
  </w:style>
  <w:style w:type="paragraph" w:styleId="Piedepgina">
    <w:name w:val="footer"/>
    <w:basedOn w:val="Normal"/>
    <w:link w:val="PiedepginaCar"/>
    <w:uiPriority w:val="99"/>
    <w:unhideWhenUsed/>
    <w:rsid w:val="003D5E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5E4B"/>
    <w:rPr>
      <w:rFonts w:ascii="Calibri" w:eastAsia="Calibri" w:hAnsi="Calibri" w:cs="Times New Roman"/>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3D5E4B"/>
    <w:pPr>
      <w:ind w:left="720"/>
      <w:contextualSpacing/>
    </w:pPr>
    <w:rPr>
      <w:sz w:val="20"/>
      <w:szCs w:val="20"/>
      <w:lang w:val="x-none" w:eastAsia="x-none"/>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3D5E4B"/>
    <w:rPr>
      <w:rFonts w:ascii="Calibri" w:eastAsia="Calibri" w:hAnsi="Calibri" w:cs="Times New Roman"/>
      <w:sz w:val="20"/>
      <w:szCs w:val="20"/>
      <w:lang w:val="x-none" w:eastAsia="x-none"/>
    </w:rPr>
  </w:style>
  <w:style w:type="table" w:styleId="Tablaconcuadrcula">
    <w:name w:val="Table Grid"/>
    <w:basedOn w:val="Tablanormal"/>
    <w:uiPriority w:val="59"/>
    <w:rsid w:val="003D5E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3D5E4B"/>
    <w:pPr>
      <w:spacing w:after="0"/>
      <w:ind w:left="0"/>
      <w:jc w:val="center"/>
    </w:pPr>
    <w:rPr>
      <w:rFonts w:ascii="Times New Roman" w:hAnsi="Times New Roman"/>
      <w:noProof/>
      <w:sz w:val="20"/>
      <w:lang w:val="es-ES"/>
    </w:rPr>
  </w:style>
  <w:style w:type="paragraph" w:styleId="TDC2">
    <w:name w:val="toc 2"/>
    <w:basedOn w:val="Normal"/>
    <w:next w:val="Normal"/>
    <w:autoRedefine/>
    <w:uiPriority w:val="39"/>
    <w:semiHidden/>
    <w:unhideWhenUsed/>
    <w:rsid w:val="003D5E4B"/>
    <w:pPr>
      <w:spacing w:after="100"/>
      <w:ind w:left="220"/>
    </w:pPr>
  </w:style>
  <w:style w:type="paragraph" w:customStyle="1" w:styleId="AntecedentesDGDTR">
    <w:name w:val="Antecedentes DGDTR"/>
    <w:basedOn w:val="Normal"/>
    <w:link w:val="AntecedentesDGDTRCar"/>
    <w:qFormat/>
    <w:rsid w:val="00255A27"/>
    <w:pPr>
      <w:spacing w:after="0" w:line="288" w:lineRule="auto"/>
      <w:ind w:left="426" w:hanging="360"/>
      <w:jc w:val="both"/>
    </w:pPr>
    <w:rPr>
      <w:rFonts w:ascii="ITC Avant Garde" w:eastAsiaTheme="minorEastAsia" w:hAnsi="ITC Avant Garde" w:cs="Arial"/>
      <w:color w:val="000000"/>
      <w:lang w:val="es-ES_tradnl" w:eastAsia="es-ES"/>
    </w:rPr>
  </w:style>
  <w:style w:type="character" w:customStyle="1" w:styleId="AntecedentesDGDTRCar">
    <w:name w:val="Antecedentes DGDTR Car"/>
    <w:basedOn w:val="Fuentedeprrafopredeter"/>
    <w:link w:val="AntecedentesDGDTR"/>
    <w:rsid w:val="00255A27"/>
    <w:rPr>
      <w:rFonts w:ascii="ITC Avant Garde" w:eastAsiaTheme="minorEastAsia" w:hAnsi="ITC Avant Garde" w:cs="Arial"/>
      <w:color w:val="000000"/>
      <w:lang w:val="es-ES_tradnl" w:eastAsia="es-ES"/>
    </w:rPr>
  </w:style>
  <w:style w:type="paragraph" w:customStyle="1" w:styleId="FirmasDGDTR">
    <w:name w:val="Firmas DGDTR"/>
    <w:basedOn w:val="Normal"/>
    <w:link w:val="FirmasDGDTRCar"/>
    <w:qFormat/>
    <w:rsid w:val="004827C4"/>
    <w:pPr>
      <w:spacing w:after="0" w:line="240" w:lineRule="auto"/>
      <w:jc w:val="center"/>
    </w:pPr>
    <w:rPr>
      <w:rFonts w:ascii="ITC Avant Garde" w:eastAsiaTheme="minorEastAsia" w:hAnsi="ITC Avant Garde" w:cs="Arial"/>
      <w:b/>
      <w:color w:val="000000"/>
      <w:lang w:val="es-ES_tradnl" w:eastAsia="es-ES"/>
    </w:rPr>
  </w:style>
  <w:style w:type="character" w:customStyle="1" w:styleId="FirmasDGDTRCar">
    <w:name w:val="Firmas DGDTR Car"/>
    <w:basedOn w:val="Fuentedeprrafopredeter"/>
    <w:link w:val="FirmasDGDTR"/>
    <w:rsid w:val="004827C4"/>
    <w:rPr>
      <w:rFonts w:ascii="ITC Avant Garde" w:eastAsiaTheme="minorEastAsia" w:hAnsi="ITC Avant Garde" w:cs="Arial"/>
      <w:b/>
      <w:color w:val="000000"/>
      <w:lang w:val="es-ES_tradnl" w:eastAsia="es-ES"/>
    </w:rPr>
  </w:style>
  <w:style w:type="paragraph" w:styleId="Textodeglobo">
    <w:name w:val="Balloon Text"/>
    <w:basedOn w:val="Normal"/>
    <w:link w:val="TextodegloboCar"/>
    <w:uiPriority w:val="99"/>
    <w:semiHidden/>
    <w:unhideWhenUsed/>
    <w:rsid w:val="00BF04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453"/>
    <w:rPr>
      <w:rFonts w:ascii="Segoe UI" w:eastAsia="Calibri" w:hAnsi="Segoe UI" w:cs="Segoe UI"/>
      <w:sz w:val="18"/>
      <w:szCs w:val="18"/>
    </w:rPr>
  </w:style>
  <w:style w:type="character" w:styleId="Refdecomentario">
    <w:name w:val="annotation reference"/>
    <w:basedOn w:val="Fuentedeprrafopredeter"/>
    <w:uiPriority w:val="99"/>
    <w:semiHidden/>
    <w:unhideWhenUsed/>
    <w:rsid w:val="00BF0453"/>
    <w:rPr>
      <w:sz w:val="16"/>
      <w:szCs w:val="16"/>
    </w:rPr>
  </w:style>
  <w:style w:type="paragraph" w:styleId="Textocomentario">
    <w:name w:val="annotation text"/>
    <w:basedOn w:val="Normal"/>
    <w:link w:val="TextocomentarioCar"/>
    <w:uiPriority w:val="99"/>
    <w:semiHidden/>
    <w:unhideWhenUsed/>
    <w:rsid w:val="00BF04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45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F0453"/>
    <w:rPr>
      <w:b/>
      <w:bCs/>
    </w:rPr>
  </w:style>
  <w:style w:type="character" w:customStyle="1" w:styleId="AsuntodelcomentarioCar">
    <w:name w:val="Asunto del comentario Car"/>
    <w:basedOn w:val="TextocomentarioCar"/>
    <w:link w:val="Asuntodelcomentario"/>
    <w:uiPriority w:val="99"/>
    <w:semiHidden/>
    <w:rsid w:val="00BF045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76284">
      <w:bodyDiv w:val="1"/>
      <w:marLeft w:val="0"/>
      <w:marRight w:val="0"/>
      <w:marTop w:val="0"/>
      <w:marBottom w:val="0"/>
      <w:divBdr>
        <w:top w:val="none" w:sz="0" w:space="0" w:color="auto"/>
        <w:left w:val="none" w:sz="0" w:space="0" w:color="auto"/>
        <w:bottom w:val="none" w:sz="0" w:space="0" w:color="auto"/>
        <w:right w:val="none" w:sz="0" w:space="0" w:color="auto"/>
      </w:divBdr>
    </w:div>
    <w:div w:id="29729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2984</Words>
  <Characters>16415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19361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 Esquivel Villarruel</dc:creator>
  <cp:keywords/>
  <dc:description/>
  <cp:lastModifiedBy>Karen Beatriz Martinez Munguia</cp:lastModifiedBy>
  <cp:revision>4</cp:revision>
  <cp:lastPrinted>2019-04-11T23:27:00Z</cp:lastPrinted>
  <dcterms:created xsi:type="dcterms:W3CDTF">2019-04-11T15:11:00Z</dcterms:created>
  <dcterms:modified xsi:type="dcterms:W3CDTF">2019-04-23T17:50:00Z</dcterms:modified>
</cp:coreProperties>
</file>