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C8B1" w14:textId="7696078C" w:rsidR="004A17FD" w:rsidRPr="00B56BAF" w:rsidRDefault="00105789" w:rsidP="00B56BAF">
      <w:pPr>
        <w:pStyle w:val="Ttulo1"/>
        <w:jc w:val="both"/>
        <w:rPr>
          <w:rFonts w:ascii="ITC Avant Garde" w:hAnsi="ITC Avant Garde"/>
          <w:b/>
          <w:color w:val="auto"/>
          <w:sz w:val="22"/>
        </w:rPr>
      </w:pPr>
      <w:r w:rsidRPr="00B56BAF">
        <w:rPr>
          <w:rFonts w:ascii="ITC Avant Garde" w:hAnsi="ITC Avant Garde"/>
          <w:b/>
          <w:color w:val="auto"/>
          <w:sz w:val="22"/>
        </w:rPr>
        <w:t>INFORME DE CONSIDERACIONES SOBRE</w:t>
      </w:r>
      <w:r w:rsidR="004A17FD" w:rsidRPr="00B56BAF">
        <w:rPr>
          <w:rFonts w:ascii="ITC Avant Garde" w:hAnsi="ITC Avant Garde"/>
          <w:b/>
          <w:color w:val="auto"/>
          <w:sz w:val="22"/>
        </w:rPr>
        <w:t xml:space="preserve"> LAS MANIFESTACIONES, OPINIONES, COMENTARIOS Y PROPUESTAS PRESENTADAS DURANTE LA </w:t>
      </w:r>
      <w:r w:rsidR="00E36C7B" w:rsidRPr="00B56BAF">
        <w:rPr>
          <w:rFonts w:ascii="ITC Avant Garde" w:hAnsi="ITC Avant Garde"/>
          <w:b/>
          <w:color w:val="auto"/>
          <w:sz w:val="22"/>
        </w:rPr>
        <w:t>CONSULTA PÚBLICA</w:t>
      </w:r>
      <w:r w:rsidR="00177955" w:rsidRPr="00B56BAF">
        <w:rPr>
          <w:rFonts w:ascii="ITC Avant Garde" w:hAnsi="ITC Avant Garde"/>
          <w:b/>
          <w:color w:val="auto"/>
          <w:sz w:val="22"/>
        </w:rPr>
        <w:t xml:space="preserve"> </w:t>
      </w:r>
      <w:r w:rsidR="00626C7E" w:rsidRPr="00B56BAF">
        <w:rPr>
          <w:rFonts w:ascii="ITC Avant Garde" w:hAnsi="ITC Avant Garde"/>
          <w:b/>
          <w:color w:val="auto"/>
          <w:sz w:val="22"/>
        </w:rPr>
        <w:t xml:space="preserve">SOBRE LA </w:t>
      </w:r>
      <w:r w:rsidRPr="00B56BAF">
        <w:rPr>
          <w:rFonts w:ascii="ITC Avant Garde" w:hAnsi="ITC Avant Garde"/>
          <w:b/>
          <w:color w:val="auto"/>
          <w:sz w:val="22"/>
        </w:rPr>
        <w:t>“</w:t>
      </w:r>
      <w:r w:rsidR="00321556" w:rsidRPr="00B56BAF">
        <w:rPr>
          <w:rFonts w:ascii="ITC Avant Garde" w:hAnsi="ITC Avant Garde"/>
          <w:b/>
          <w:color w:val="auto"/>
          <w:sz w:val="22"/>
        </w:rPr>
        <w:t>Propuestas de Ofertas de Referencia de Enlaces Dedicados y Compartición de Infraestructura para servicios fijos presentadas por el Agente Económico Preponderante</w:t>
      </w:r>
      <w:r w:rsidR="00263D19" w:rsidRPr="00B56BAF">
        <w:rPr>
          <w:rFonts w:ascii="ITC Avant Garde" w:hAnsi="ITC Avant Garde"/>
          <w:b/>
          <w:color w:val="auto"/>
          <w:sz w:val="22"/>
        </w:rPr>
        <w:t>”</w:t>
      </w:r>
      <w:r w:rsidR="00177955" w:rsidRPr="00B56BAF">
        <w:rPr>
          <w:rFonts w:ascii="ITC Avant Garde" w:hAnsi="ITC Avant Garde"/>
          <w:b/>
          <w:color w:val="auto"/>
          <w:sz w:val="22"/>
        </w:rPr>
        <w:t>.</w:t>
      </w:r>
      <w:r w:rsidR="00586430" w:rsidRPr="00B56BAF">
        <w:rPr>
          <w:rFonts w:ascii="ITC Avant Garde" w:hAnsi="ITC Avant Garde"/>
          <w:b/>
          <w:color w:val="auto"/>
          <w:sz w:val="22"/>
        </w:rPr>
        <w:t xml:space="preserve"> </w:t>
      </w:r>
    </w:p>
    <w:p w14:paraId="13B8DF29" w14:textId="77777777" w:rsidR="00B56BAF" w:rsidRDefault="00B56BAF" w:rsidP="00B903DF">
      <w:pPr>
        <w:pStyle w:val="IFTnormal"/>
        <w:rPr>
          <w:b/>
        </w:rPr>
      </w:pPr>
    </w:p>
    <w:p w14:paraId="7C4F722C" w14:textId="526B6FDE" w:rsidR="000C4CAD" w:rsidRDefault="000C4CAD" w:rsidP="00B903DF">
      <w:pPr>
        <w:pStyle w:val="IFTnormal"/>
        <w:rPr>
          <w:b/>
        </w:rPr>
      </w:pPr>
      <w:r w:rsidRPr="000C4CAD">
        <w:rPr>
          <w:b/>
        </w:rPr>
        <w:t>Fecha de elaboración</w:t>
      </w:r>
      <w:r w:rsidR="00286D31">
        <w:rPr>
          <w:b/>
        </w:rPr>
        <w:t>:</w:t>
      </w:r>
      <w:r w:rsidR="001166FE">
        <w:rPr>
          <w:b/>
        </w:rPr>
        <w:t xml:space="preserve"> </w:t>
      </w:r>
      <w:r w:rsidR="00D4725D">
        <w:rPr>
          <w:b/>
        </w:rPr>
        <w:t>10 de noviembre de 2019</w:t>
      </w:r>
    </w:p>
    <w:p w14:paraId="42895FA3" w14:textId="1C3BD21E" w:rsidR="006B7412" w:rsidRPr="007C1058" w:rsidRDefault="006B7412" w:rsidP="00B903DF">
      <w:pPr>
        <w:pStyle w:val="IFTnormal"/>
      </w:pPr>
      <w:r w:rsidRPr="006B7412">
        <w:rPr>
          <w:b/>
        </w:rPr>
        <w:t>Título o denominación de la consulta pública</w:t>
      </w:r>
      <w:r w:rsidR="00655182">
        <w:rPr>
          <w:b/>
        </w:rPr>
        <w:t xml:space="preserve">: </w:t>
      </w:r>
      <w:r w:rsidR="003811DD" w:rsidRPr="003811DD">
        <w:t>Propuestas de Ofertas de Referencia de Enlaces Dedicados y Compartición de Infraestructura para servicios fijos presentadas por el Agente Económico Preponderante</w:t>
      </w:r>
      <w:r w:rsidR="003811DD">
        <w:t>.</w:t>
      </w:r>
    </w:p>
    <w:p w14:paraId="7C789772" w14:textId="5D50A35F" w:rsidR="00B903DF" w:rsidRPr="007C1058" w:rsidRDefault="00B903DF" w:rsidP="00B903DF">
      <w:pPr>
        <w:pStyle w:val="IFTnormal"/>
      </w:pPr>
      <w:r w:rsidRPr="00B903DF">
        <w:rPr>
          <w:b/>
        </w:rPr>
        <w:t>Descripción de la consulta pública</w:t>
      </w:r>
      <w:r w:rsidR="00655182">
        <w:rPr>
          <w:b/>
        </w:rPr>
        <w:t xml:space="preserve">: </w:t>
      </w:r>
      <w:r w:rsidRPr="007C1058">
        <w:t xml:space="preserve">El </w:t>
      </w:r>
      <w:r w:rsidR="006B7412" w:rsidRPr="007C1058">
        <w:t>Instituto Federal de Telecomunicaciones (en lo sucesivo, “Instituto”)</w:t>
      </w:r>
      <w:r w:rsidR="00931087">
        <w:t xml:space="preserve"> en el período de Consulta P</w:t>
      </w:r>
      <w:r w:rsidR="00931087" w:rsidRPr="00931087">
        <w:t>ública</w:t>
      </w:r>
      <w:r w:rsidR="00931087">
        <w:t>,</w:t>
      </w:r>
      <w:r w:rsidR="00931087" w:rsidRPr="00931087">
        <w:t xml:space="preserve"> </w:t>
      </w:r>
      <w:r w:rsidR="00931087">
        <w:t>que fue d</w:t>
      </w:r>
      <w:r w:rsidR="00931087" w:rsidRPr="00931087">
        <w:t xml:space="preserve">el </w:t>
      </w:r>
      <w:r w:rsidR="00931087" w:rsidRPr="001166FE">
        <w:rPr>
          <w:b/>
        </w:rPr>
        <w:t xml:space="preserve">12 de </w:t>
      </w:r>
      <w:r w:rsidR="001166FE" w:rsidRPr="001166FE">
        <w:rPr>
          <w:b/>
        </w:rPr>
        <w:t>agosto</w:t>
      </w:r>
      <w:r w:rsidR="00931087" w:rsidRPr="001166FE">
        <w:rPr>
          <w:b/>
        </w:rPr>
        <w:t xml:space="preserve"> al 10 de </w:t>
      </w:r>
      <w:r w:rsidR="001166FE" w:rsidRPr="001166FE">
        <w:rPr>
          <w:b/>
        </w:rPr>
        <w:t>septiembre de 2019</w:t>
      </w:r>
      <w:r w:rsidR="00931087">
        <w:t>,</w:t>
      </w:r>
      <w:r w:rsidR="006B7412" w:rsidRPr="007C1058">
        <w:t xml:space="preserve"> </w:t>
      </w:r>
      <w:r w:rsidRPr="007C1058">
        <w:t xml:space="preserve">recibió los comentarios, opiniones y aportaciones que se tuvieron con relación al contenido de la </w:t>
      </w:r>
      <w:r w:rsidR="00636125">
        <w:t xml:space="preserve">propuesta de </w:t>
      </w:r>
      <w:r w:rsidRPr="007C1058">
        <w:t xml:space="preserve">Oferta de </w:t>
      </w:r>
      <w:r w:rsidR="00321556">
        <w:t>Referencia de</w:t>
      </w:r>
      <w:r w:rsidR="001166FE" w:rsidRPr="001166FE">
        <w:t xml:space="preserve"> Compartido de Infraestructura</w:t>
      </w:r>
      <w:r w:rsidR="001166FE" w:rsidRPr="007C1058">
        <w:t xml:space="preserve"> </w:t>
      </w:r>
      <w:r w:rsidR="00321556" w:rsidRPr="00321556">
        <w:t>para servicios fijos presentadas por el Agente Económico Preponderante</w:t>
      </w:r>
      <w:r w:rsidR="00655182" w:rsidRPr="00321556">
        <w:t xml:space="preserve"> </w:t>
      </w:r>
      <w:r w:rsidR="00655182">
        <w:t xml:space="preserve">(la </w:t>
      </w:r>
      <w:r w:rsidR="00655182" w:rsidRPr="00BA0BDD">
        <w:rPr>
          <w:b/>
        </w:rPr>
        <w:t>“Propuesta”)</w:t>
      </w:r>
      <w:r w:rsidRPr="00BA0BDD">
        <w:rPr>
          <w:b/>
        </w:rPr>
        <w:t>,</w:t>
      </w:r>
      <w:r w:rsidRPr="007C1058">
        <w:t xml:space="preserve"> a través de la siguiente dirección de correo electrónico ofertas.referencia@ift.org.mx, o bien, mediante escrito presentado en la Oficialía de Partes Común del Instituto ubicada en Insurgentes Sur 1143, colonia Nochebuena, Delegación Benito Juárez, C.P. 03720, Ciudad de México, de lunes a jueves de las 9:00 a las 18:30 horas y los viernes de las 9:00 a las 15:00 horas.</w:t>
      </w:r>
    </w:p>
    <w:p w14:paraId="3956DC9C" w14:textId="0DD7ED96" w:rsidR="00B903DF" w:rsidRPr="007C1058" w:rsidRDefault="00B903DF" w:rsidP="00B903DF">
      <w:pPr>
        <w:pStyle w:val="IFTnormal"/>
      </w:pPr>
      <w:r w:rsidRPr="007C1058">
        <w:t xml:space="preserve">El Instituto puso a disposición de todos los interesados en participar en el proceso consultivo el “Formato para participar en la Consulta Pública”, a efecto de que el mismo </w:t>
      </w:r>
      <w:r w:rsidR="00722691">
        <w:t>fuera</w:t>
      </w:r>
      <w:r w:rsidRPr="007C1058">
        <w:t xml:space="preserve"> contestado y remitido al Instituto conforme a lo señalado en el párrafo que precede.</w:t>
      </w:r>
    </w:p>
    <w:p w14:paraId="545A3199" w14:textId="35F95AD5" w:rsidR="00B903DF" w:rsidRPr="007C1058" w:rsidRDefault="00B903DF" w:rsidP="00B903DF">
      <w:pPr>
        <w:pStyle w:val="IFTnormal"/>
      </w:pPr>
      <w:r w:rsidRPr="007C1058">
        <w:t xml:space="preserve">La información que los interesados le </w:t>
      </w:r>
      <w:r w:rsidR="00931087">
        <w:t>hicieron</w:t>
      </w:r>
      <w:r w:rsidR="00931087" w:rsidRPr="007C1058">
        <w:t xml:space="preserve"> </w:t>
      </w:r>
      <w:r w:rsidRPr="007C1058">
        <w:t xml:space="preserve">llegar al Instituto –de acuerdo a los plazos y términos descritos en esta mecánica- </w:t>
      </w:r>
      <w:r w:rsidR="00B713B8">
        <w:t xml:space="preserve">y </w:t>
      </w:r>
      <w:r w:rsidRPr="007C1058">
        <w:t xml:space="preserve">con relación al proceso consultivo </w:t>
      </w:r>
      <w:r w:rsidR="00B713B8">
        <w:t xml:space="preserve">el cual </w:t>
      </w:r>
      <w:r w:rsidRPr="007C1058">
        <w:t>no tendr</w:t>
      </w:r>
      <w:r w:rsidR="00931087">
        <w:t>ía</w:t>
      </w:r>
      <w:r w:rsidRPr="007C1058">
        <w:t xml:space="preserve"> carácter vinculante, sin perjuicio de que el Instituto pueda ponderarla en un documento que refleje los resultados de dicha consulta, el cual se hará público en el apartado de la página de la consulta pública.</w:t>
      </w:r>
    </w:p>
    <w:p w14:paraId="5379DA8E" w14:textId="4ADF8B4C" w:rsidR="00B903DF" w:rsidRPr="007C1058" w:rsidRDefault="00FE165D" w:rsidP="00FE165D">
      <w:pPr>
        <w:pStyle w:val="IFTnormal"/>
      </w:pPr>
      <w:r w:rsidRPr="00FE165D">
        <w:rPr>
          <w:b/>
        </w:rPr>
        <w:t>Objetivo:</w:t>
      </w:r>
      <w:r w:rsidR="002E5CD2">
        <w:rPr>
          <w:b/>
        </w:rPr>
        <w:t xml:space="preserve"> </w:t>
      </w:r>
      <w:r w:rsidRPr="007C1058">
        <w:t xml:space="preserve">Los objetivos principales de la </w:t>
      </w:r>
      <w:r w:rsidR="006B7412" w:rsidRPr="007C1058">
        <w:t>consulta pública consistieron</w:t>
      </w:r>
      <w:r w:rsidRPr="007C1058">
        <w:t xml:space="preserve"> en: i) contar con mayores elementos para determinar las condiciones bajo las cuales se deberá aprobar la Oferta de Referencia; ii) favorecer la transparencia y participación ciudadana con el fin de recibir los comentarios y opiniones de regulados, cámaras, usuarios y audiencias sobre la Oferta de Referencia; y iii) establecer las bases para aprobar o modificar la misma.</w:t>
      </w:r>
    </w:p>
    <w:p w14:paraId="42992999" w14:textId="6C3920BA" w:rsidR="006B7412" w:rsidRPr="007C1058" w:rsidRDefault="006B7412" w:rsidP="00FE165D">
      <w:pPr>
        <w:pStyle w:val="IFTnormal"/>
      </w:pPr>
      <w:r w:rsidRPr="006B7412">
        <w:rPr>
          <w:b/>
        </w:rPr>
        <w:lastRenderedPageBreak/>
        <w:t>Unidades y/o Coordinaciones Generales responsables de la consulta pública</w:t>
      </w:r>
      <w:r w:rsidR="002E5CD2">
        <w:rPr>
          <w:b/>
        </w:rPr>
        <w:t xml:space="preserve">: </w:t>
      </w:r>
      <w:r w:rsidRPr="007C1058">
        <w:t>Unidad</w:t>
      </w:r>
      <w:r w:rsidR="00E212AA">
        <w:t xml:space="preserve"> de</w:t>
      </w:r>
      <w:r w:rsidRPr="007C1058">
        <w:t xml:space="preserve"> Política Regulatoria</w:t>
      </w:r>
      <w:r w:rsidR="00E212AA">
        <w:t>.</w:t>
      </w:r>
    </w:p>
    <w:p w14:paraId="1F3253AD" w14:textId="32892476" w:rsidR="000A0546" w:rsidRDefault="00971574" w:rsidP="000A0546">
      <w:pPr>
        <w:pStyle w:val="IFTnormal"/>
      </w:pPr>
      <w:r w:rsidRPr="00971574">
        <w:rPr>
          <w:b/>
        </w:rPr>
        <w:t>Descripción de los participantes en la consulta pública</w:t>
      </w:r>
      <w:r w:rsidR="002E5CD2">
        <w:rPr>
          <w:b/>
        </w:rPr>
        <w:t xml:space="preserve">: </w:t>
      </w:r>
      <w:r>
        <w:t xml:space="preserve">Durante el plazo de duración de la Consulta Pública de mérito se recibieron </w:t>
      </w:r>
      <w:r w:rsidR="00845947" w:rsidRPr="00845947">
        <w:t xml:space="preserve">comentarios, opiniones y aportaciones con relación al contenido de la </w:t>
      </w:r>
      <w:r w:rsidR="0096095E">
        <w:t>Propuesta</w:t>
      </w:r>
      <w:r w:rsidR="00845947" w:rsidRPr="00845947">
        <w:t xml:space="preserve"> </w:t>
      </w:r>
      <w:r>
        <w:t>de los interesados o grupo de interesados</w:t>
      </w:r>
      <w:r w:rsidR="00845947">
        <w:t xml:space="preserve"> siguientes</w:t>
      </w:r>
      <w:r>
        <w:t>:</w:t>
      </w:r>
    </w:p>
    <w:p w14:paraId="31AB4842" w14:textId="14006E46" w:rsidR="000A0546" w:rsidRDefault="003F68AB" w:rsidP="000A0546">
      <w:pPr>
        <w:pStyle w:val="IFTnormal"/>
        <w:numPr>
          <w:ilvl w:val="0"/>
          <w:numId w:val="1"/>
        </w:numPr>
      </w:pPr>
      <w:r>
        <w:t>AT&amp;T Comunicaciones Digitales, S. de R.L de C.V., Grupo AT&amp;T Celullar, S. de R.L de C.V., AT&amp;T Norte, S. de R.L de C.V., AT&amp;T Comercialización Móvil, S. de R.L de C.V., AT&amp;T Desarrollo en Comunicaciones de México, S. de R.L de C.V., (“</w:t>
      </w:r>
      <w:r w:rsidR="000A0546">
        <w:t>AT&amp;T</w:t>
      </w:r>
      <w:r>
        <w:t>”)</w:t>
      </w:r>
    </w:p>
    <w:p w14:paraId="672EB340" w14:textId="5C3D2B19" w:rsidR="00971574" w:rsidRDefault="00971574" w:rsidP="000A0546">
      <w:pPr>
        <w:pStyle w:val="IFTnormal"/>
        <w:numPr>
          <w:ilvl w:val="0"/>
          <w:numId w:val="1"/>
        </w:numPr>
      </w:pPr>
      <w:r>
        <w:t xml:space="preserve">AXTEL, S.A.B. de C.V. </w:t>
      </w:r>
      <w:r w:rsidRPr="00927051">
        <w:t>(</w:t>
      </w:r>
      <w:r>
        <w:t>“AXTEL</w:t>
      </w:r>
      <w:r w:rsidRPr="00927051">
        <w:t>”)</w:t>
      </w:r>
    </w:p>
    <w:p w14:paraId="533ECB79" w14:textId="54F87F6C" w:rsidR="00971574" w:rsidRDefault="00645AD8" w:rsidP="000A0546">
      <w:pPr>
        <w:pStyle w:val="IFTnormal"/>
        <w:numPr>
          <w:ilvl w:val="0"/>
          <w:numId w:val="1"/>
        </w:numPr>
      </w:pPr>
      <w:r w:rsidRPr="007009CE">
        <w:t>CÁMARA NACIONAL DE LA INDUSTRIA ELECTRÓNICA, DE TELECOMUNICACIONES Y TECNOLOGÍAS DE LA INFORMACIÓN</w:t>
      </w:r>
      <w:r>
        <w:t xml:space="preserve"> </w:t>
      </w:r>
      <w:r w:rsidR="000A0546">
        <w:t>(“CANIETI”)</w:t>
      </w:r>
    </w:p>
    <w:p w14:paraId="2B10C3F0" w14:textId="384080FD" w:rsidR="00971574" w:rsidRDefault="00971574" w:rsidP="00971574">
      <w:pPr>
        <w:pStyle w:val="IFTnormal"/>
        <w:numPr>
          <w:ilvl w:val="0"/>
          <w:numId w:val="1"/>
        </w:numPr>
      </w:pPr>
      <w:r w:rsidRPr="00CC331F">
        <w:t>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w:t>
      </w:r>
      <w:r w:rsidRPr="007009CE">
        <w:t xml:space="preserve"> </w:t>
      </w:r>
      <w:r>
        <w:t>(</w:t>
      </w:r>
      <w:r w:rsidR="000A0546">
        <w:t>conjuntamente “GRUPO TELEVISA”)</w:t>
      </w:r>
    </w:p>
    <w:p w14:paraId="3D39A601" w14:textId="284B42D1" w:rsidR="00971574" w:rsidRDefault="00645AD8" w:rsidP="00971574">
      <w:pPr>
        <w:pStyle w:val="IFTnormal"/>
        <w:numPr>
          <w:ilvl w:val="0"/>
          <w:numId w:val="1"/>
        </w:numPr>
      </w:pPr>
      <w:r w:rsidRPr="00CC331F">
        <w:t>MEGA CABLE, S.A. DE C.V.</w:t>
      </w:r>
      <w:r>
        <w:t xml:space="preserve"> </w:t>
      </w:r>
      <w:r w:rsidR="000A0546">
        <w:t>(</w:t>
      </w:r>
      <w:r w:rsidR="00A14208">
        <w:t>“</w:t>
      </w:r>
      <w:r w:rsidR="000A0546">
        <w:t>MEGACABLE</w:t>
      </w:r>
      <w:r w:rsidR="00A14208">
        <w:t>”</w:t>
      </w:r>
      <w:r w:rsidR="000A0546">
        <w:t>)</w:t>
      </w:r>
    </w:p>
    <w:p w14:paraId="67A249B4" w14:textId="6CCC1401" w:rsidR="00971574" w:rsidRDefault="00645AD8" w:rsidP="00971574">
      <w:pPr>
        <w:pStyle w:val="IFTnormal"/>
        <w:numPr>
          <w:ilvl w:val="0"/>
          <w:numId w:val="1"/>
        </w:numPr>
      </w:pPr>
      <w:r w:rsidRPr="00CC331F">
        <w:t>ORGANISMO PROMOTOR DE INVERSIONES EN TELECOMUNICACIONES</w:t>
      </w:r>
      <w:r w:rsidR="000A0546">
        <w:t xml:space="preserve"> (“PROMTEL”)</w:t>
      </w:r>
    </w:p>
    <w:p w14:paraId="57F27A52" w14:textId="544EB2BC" w:rsidR="00971574" w:rsidRDefault="00645AD8" w:rsidP="00971574">
      <w:pPr>
        <w:pStyle w:val="IFTnormal"/>
        <w:numPr>
          <w:ilvl w:val="0"/>
          <w:numId w:val="1"/>
        </w:numPr>
      </w:pPr>
      <w:r w:rsidRPr="005C3046">
        <w:t>PEGASO PCS, S.A. DE C.V.</w:t>
      </w:r>
      <w:r>
        <w:t xml:space="preserve"> </w:t>
      </w:r>
      <w:r w:rsidR="000A0546">
        <w:t>(“TELEFÓNICA”)</w:t>
      </w:r>
    </w:p>
    <w:p w14:paraId="6A2BA8CA" w14:textId="33A57F70" w:rsidR="000A0546" w:rsidRDefault="000A0546" w:rsidP="000A0546">
      <w:pPr>
        <w:pStyle w:val="IFTnormal"/>
        <w:numPr>
          <w:ilvl w:val="0"/>
          <w:numId w:val="1"/>
        </w:numPr>
      </w:pPr>
      <w:r w:rsidRPr="000A0546">
        <w:t>UC Telecomunicaciones S.A.P.I de C.V.</w:t>
      </w:r>
      <w:r w:rsidR="00B266B4">
        <w:t xml:space="preserve"> (</w:t>
      </w:r>
      <w:r w:rsidR="003F68AB">
        <w:t>“</w:t>
      </w:r>
      <w:r w:rsidR="00B266B4">
        <w:t>UC TELECOM</w:t>
      </w:r>
      <w:r w:rsidR="003F68AB">
        <w:t>”</w:t>
      </w:r>
      <w:r w:rsidR="00B266B4">
        <w:t>)</w:t>
      </w:r>
    </w:p>
    <w:p w14:paraId="2349C8B2" w14:textId="418EDDE6" w:rsidR="004A17FD" w:rsidRDefault="001F57B7" w:rsidP="00FF796F">
      <w:pPr>
        <w:pStyle w:val="IFTnormal"/>
      </w:pPr>
      <w:r w:rsidRPr="001F57B7">
        <w:rPr>
          <w:b/>
        </w:rPr>
        <w:t>Las respuestas o posicionamientos por parte del Instituto</w:t>
      </w:r>
      <w:r w:rsidR="00806D89">
        <w:rPr>
          <w:b/>
        </w:rPr>
        <w:t xml:space="preserve">: </w:t>
      </w:r>
      <w:r w:rsidR="004A17FD">
        <w:t>Con relación a las manifestaciones, opiniones, comentarios y propuestas</w:t>
      </w:r>
      <w:r w:rsidR="00DB0509">
        <w:t xml:space="preserve"> concretas recibidas hasta el </w:t>
      </w:r>
      <w:r w:rsidR="00DB0509" w:rsidRPr="00BA0BDD">
        <w:rPr>
          <w:b/>
        </w:rPr>
        <w:t xml:space="preserve">10 de </w:t>
      </w:r>
      <w:r w:rsidR="00321556" w:rsidRPr="00BA0BDD">
        <w:rPr>
          <w:b/>
        </w:rPr>
        <w:t>septiembre</w:t>
      </w:r>
      <w:r w:rsidR="00DB0509" w:rsidRPr="00BA0BDD">
        <w:rPr>
          <w:b/>
        </w:rPr>
        <w:t xml:space="preserve"> de 201</w:t>
      </w:r>
      <w:r w:rsidR="00321556" w:rsidRPr="00BA0BDD">
        <w:rPr>
          <w:b/>
        </w:rPr>
        <w:t>9</w:t>
      </w:r>
      <w:r w:rsidR="004A17FD">
        <w:t xml:space="preserve">, de acuerdo </w:t>
      </w:r>
      <w:r w:rsidR="00B549E7">
        <w:t xml:space="preserve">con la </w:t>
      </w:r>
      <w:r w:rsidR="00626C7E">
        <w:t xml:space="preserve">Consulta Pública sobre la </w:t>
      </w:r>
      <w:r w:rsidR="00D96CC4">
        <w:t>P</w:t>
      </w:r>
      <w:r w:rsidR="0004098F">
        <w:t>ropuesta</w:t>
      </w:r>
      <w:r w:rsidR="004A17FD">
        <w:t>, se informa que</w:t>
      </w:r>
      <w:r w:rsidR="00A705E8">
        <w:t>,</w:t>
      </w:r>
      <w:r w:rsidR="004A17FD">
        <w:t xml:space="preserve"> el Instituto agrupó </w:t>
      </w:r>
      <w:r w:rsidR="00A705E8">
        <w:t>los comentarios vertidos por los participantes</w:t>
      </w:r>
      <w:r w:rsidR="00DB0509">
        <w:t xml:space="preserve"> </w:t>
      </w:r>
      <w:r w:rsidR="004A17FD">
        <w:t>conforme a los temas de dich</w:t>
      </w:r>
      <w:r w:rsidR="00867C5D">
        <w:t xml:space="preserve">a Propuesta </w:t>
      </w:r>
      <w:r w:rsidR="004A17FD">
        <w:t>para su mejor identificación.</w:t>
      </w:r>
      <w:r w:rsidR="00A705E8">
        <w:t xml:space="preserve"> </w:t>
      </w:r>
      <w:r w:rsidR="004A17FD">
        <w:t>No obstante lo anterior</w:t>
      </w:r>
      <w:r w:rsidR="00C44B60">
        <w:t>,</w:t>
      </w:r>
      <w:r w:rsidR="004A17FD">
        <w:t xml:space="preserve"> se menciona que todas las opiniones y pronunciamientos recibidos, se encuentran disponibles para su consulta en la página de internet</w:t>
      </w:r>
      <w:r w:rsidR="00BA0BDD">
        <w:rPr>
          <w:rStyle w:val="Refdenotaalpie"/>
        </w:rPr>
        <w:footnoteReference w:id="2"/>
      </w:r>
      <w:r w:rsidR="004A17FD">
        <w:t xml:space="preserve"> del Instituto.</w:t>
      </w:r>
    </w:p>
    <w:p w14:paraId="1CB2B19B" w14:textId="583BADEA" w:rsidR="0029155D" w:rsidRDefault="004A17FD" w:rsidP="0029155D">
      <w:pPr>
        <w:pStyle w:val="IFTnormal"/>
      </w:pPr>
      <w:r>
        <w:t xml:space="preserve">Lo contenido en la presentes Respuestas Generales atiende únicamente lo relacionado con las </w:t>
      </w:r>
      <w:r w:rsidR="00017D74" w:rsidRPr="00017D74">
        <w:t xml:space="preserve">manifestaciones, opiniones, comentarios y propuestas </w:t>
      </w:r>
      <w:r>
        <w:t xml:space="preserve">realizadas en la </w:t>
      </w:r>
      <w:r w:rsidR="00E36C7B">
        <w:t>Consulta Pública</w:t>
      </w:r>
      <w:r>
        <w:t xml:space="preserve"> a los temas presentados en </w:t>
      </w:r>
      <w:r w:rsidR="00867C5D">
        <w:t xml:space="preserve">la </w:t>
      </w:r>
      <w:r w:rsidR="00286D31">
        <w:t>Propuesta</w:t>
      </w:r>
      <w:r>
        <w:t>.</w:t>
      </w:r>
      <w:r w:rsidR="0029155D">
        <w:t xml:space="preserve"> Asimismo, se señala que el orden en que son abordados cada uno de los temas y numerales, obedece primordialmente al orden en que cada uno de éstos aparecen en la Propuesta de Oferta de Referencia presentada por el AEP, así como a los anexos de la misma.</w:t>
      </w:r>
    </w:p>
    <w:p w14:paraId="333FAC6C" w14:textId="71EB4D88" w:rsidR="00D96CC4" w:rsidRDefault="0029155D" w:rsidP="0029155D">
      <w:pPr>
        <w:pStyle w:val="IFTnormal"/>
      </w:pPr>
      <w:r>
        <w:t>Por lo anterior, el Instituto emite las siguientes respuestas y consideraciones para cada una de las participaciones recibidas:</w:t>
      </w:r>
    </w:p>
    <w:p w14:paraId="6B0A5091" w14:textId="6FC9CF5E" w:rsidR="0029155D" w:rsidRPr="00984A58" w:rsidRDefault="0029155D" w:rsidP="00984A58">
      <w:pPr>
        <w:pStyle w:val="Ttulo2"/>
        <w:numPr>
          <w:ilvl w:val="0"/>
          <w:numId w:val="58"/>
        </w:numPr>
        <w:rPr>
          <w:rFonts w:ascii="ITC Avant Garde" w:hAnsi="ITC Avant Garde"/>
          <w:b/>
          <w:color w:val="auto"/>
          <w:sz w:val="24"/>
        </w:rPr>
      </w:pPr>
      <w:r w:rsidRPr="00984A58">
        <w:rPr>
          <w:rFonts w:ascii="ITC Avant Garde" w:hAnsi="ITC Avant Garde"/>
          <w:b/>
          <w:color w:val="auto"/>
          <w:sz w:val="24"/>
        </w:rPr>
        <w:t>De la sección “</w:t>
      </w:r>
      <w:r w:rsidR="00D644E9" w:rsidRPr="00984A58">
        <w:rPr>
          <w:rFonts w:ascii="ITC Avant Garde" w:hAnsi="ITC Avant Garde"/>
          <w:b/>
          <w:color w:val="auto"/>
          <w:sz w:val="24"/>
        </w:rPr>
        <w:t>Definiciones”</w:t>
      </w:r>
    </w:p>
    <w:p w14:paraId="20E2549A" w14:textId="77777777" w:rsidR="00984A58" w:rsidRDefault="00984A58" w:rsidP="001F58CD">
      <w:pPr>
        <w:spacing w:after="120"/>
        <w:rPr>
          <w:rFonts w:ascii="ITC Avant Garde" w:hAnsi="ITC Avant Garde"/>
          <w:b/>
        </w:rPr>
      </w:pPr>
    </w:p>
    <w:p w14:paraId="6F7CAE3A" w14:textId="35E803B0" w:rsidR="001F58CD" w:rsidRPr="001F58CD" w:rsidRDefault="001F58CD" w:rsidP="001F58CD">
      <w:pPr>
        <w:spacing w:after="120"/>
        <w:rPr>
          <w:rFonts w:ascii="ITC Avant Garde" w:hAnsi="ITC Avant Garde"/>
          <w:b/>
        </w:rPr>
      </w:pPr>
      <w:r w:rsidRPr="001F58CD">
        <w:rPr>
          <w:rFonts w:ascii="ITC Avant Garde" w:hAnsi="ITC Avant Garde"/>
          <w:b/>
        </w:rPr>
        <w:t>Resumen de comentarios de la Consulta Pública</w:t>
      </w:r>
    </w:p>
    <w:p w14:paraId="59D1E4B1" w14:textId="1355A9C1" w:rsidR="00344388" w:rsidRDefault="00A91E2B" w:rsidP="00344388">
      <w:pPr>
        <w:pStyle w:val="IFTnormal"/>
      </w:pPr>
      <w:r>
        <w:t>De la Sección de Definiciones, a</w:t>
      </w:r>
      <w:r w:rsidR="00344388">
        <w:t>l respecto ATT</w:t>
      </w:r>
      <w:r>
        <w:t>,</w:t>
      </w:r>
      <w:r w:rsidR="00C2193E">
        <w:t xml:space="preserve"> CANIETI</w:t>
      </w:r>
      <w:r>
        <w:t xml:space="preserve"> y UC TELECOM</w:t>
      </w:r>
      <w:r w:rsidR="00C2193E">
        <w:t xml:space="preserve"> solicitaron</w:t>
      </w:r>
      <w:r w:rsidR="00344388">
        <w:t xml:space="preserve"> eliminar los conceptos de “Verificación en Falso”, “Visita Técnica en Falso”, así como sus referencia</w:t>
      </w:r>
      <w:r w:rsidR="00077624">
        <w:t>s</w:t>
      </w:r>
      <w:r w:rsidR="00344388">
        <w:t xml:space="preserve"> </w:t>
      </w:r>
      <w:r w:rsidR="00077624">
        <w:t xml:space="preserve">a estos conceptos. </w:t>
      </w:r>
    </w:p>
    <w:p w14:paraId="585E06FC" w14:textId="429044A4" w:rsidR="00A117E4" w:rsidRPr="00A117E4" w:rsidRDefault="00354C16" w:rsidP="00344388">
      <w:pPr>
        <w:pStyle w:val="IFTnormal"/>
      </w:pPr>
      <w:r>
        <w:t>GRUPO TELEVISA</w:t>
      </w:r>
      <w:r w:rsidR="00A117E4">
        <w:t xml:space="preserve"> solicitó</w:t>
      </w:r>
      <w:r w:rsidR="00A117E4" w:rsidRPr="00A117E4">
        <w:t xml:space="preserve"> que se defina claramente en la ORCI que los ductos de las acometidas hacen parte de la infraestructur</w:t>
      </w:r>
      <w:r w:rsidR="00A117E4">
        <w:t>a pasiva sujeta a compartición y q</w:t>
      </w:r>
      <w:r w:rsidR="00A117E4" w:rsidRPr="00A117E4">
        <w:t>ue todo tipo de elementos considerados dentro de la definición de infraestructura pasiva está sujeto a compartición.</w:t>
      </w:r>
    </w:p>
    <w:p w14:paraId="69A402D2" w14:textId="3CF24EC8" w:rsidR="00DA293D" w:rsidRDefault="001F58CD" w:rsidP="00DA293D">
      <w:pPr>
        <w:pStyle w:val="IFTnormal"/>
        <w:rPr>
          <w:b/>
        </w:rPr>
      </w:pPr>
      <w:r w:rsidRPr="001F58CD">
        <w:rPr>
          <w:b/>
        </w:rPr>
        <w:t>Respuesta del Instituto</w:t>
      </w:r>
    </w:p>
    <w:p w14:paraId="32A010C5" w14:textId="6D53BF46" w:rsidR="00D37F3B" w:rsidRDefault="00EF53BD" w:rsidP="00D37F3B">
      <w:pPr>
        <w:pStyle w:val="IFTnormal"/>
      </w:pPr>
      <w:r w:rsidRPr="00EF53BD">
        <w:t>Respecto del comentario sobre la eliminación</w:t>
      </w:r>
      <w:r>
        <w:t xml:space="preserve"> de las def</w:t>
      </w:r>
      <w:r w:rsidR="00A31EBC">
        <w:t>iniciones indicadas, se evaluará</w:t>
      </w:r>
      <w:r>
        <w:t xml:space="preserve"> </w:t>
      </w:r>
      <w:r w:rsidR="00BA6925" w:rsidRPr="00BA6925">
        <w:t>en términos de la</w:t>
      </w:r>
      <w:r w:rsidR="00BA6925">
        <w:t>s</w:t>
      </w:r>
      <w:r w:rsidR="00BA6925" w:rsidRPr="00BA6925">
        <w:t xml:space="preserve"> Medida</w:t>
      </w:r>
      <w:r w:rsidR="00BA6925">
        <w:t xml:space="preserve"> Fijas y</w:t>
      </w:r>
      <w:r w:rsidR="00BA6925" w:rsidRPr="00BA6925">
        <w:t xml:space="preserve"> </w:t>
      </w:r>
      <w:r>
        <w:t>su impacto en la Oferta.</w:t>
      </w:r>
      <w:r w:rsidR="00D37F3B">
        <w:t xml:space="preserve"> </w:t>
      </w:r>
      <w:r w:rsidR="00A31EBC">
        <w:t xml:space="preserve">A partir de ello, se identificará si </w:t>
      </w:r>
      <w:r w:rsidR="00D37F3B" w:rsidRPr="00D37F3B">
        <w:t xml:space="preserve">los ajustes propuestos por el AEP ofrecen condiciones más favorables para la competencia, provisión de los servicios </w:t>
      </w:r>
      <w:r w:rsidR="00EE58F6">
        <w:t>o</w:t>
      </w:r>
      <w:r w:rsidR="00D37F3B">
        <w:t xml:space="preserve"> </w:t>
      </w:r>
      <w:r w:rsidR="00A31EBC">
        <w:t>mejoran e</w:t>
      </w:r>
      <w:r w:rsidR="00D37F3B" w:rsidRPr="00D37F3B">
        <w:t xml:space="preserve">l contenido y/o alcance de los servicios materia de la Oferta </w:t>
      </w:r>
      <w:r w:rsidR="00901D5A">
        <w:t>d</w:t>
      </w:r>
      <w:r w:rsidR="00D37F3B" w:rsidRPr="00D37F3B">
        <w:t>e Referencia vigente</w:t>
      </w:r>
      <w:r w:rsidR="00D37F3B">
        <w:t xml:space="preserve"> y</w:t>
      </w:r>
      <w:r w:rsidR="00A31EBC">
        <w:t xml:space="preserve"> no</w:t>
      </w:r>
      <w:r w:rsidR="00D37F3B">
        <w:t xml:space="preserve"> limita</w:t>
      </w:r>
      <w:r w:rsidR="00D37F3B" w:rsidRPr="00D37F3B">
        <w:t>n la prestación de los servicios.</w:t>
      </w:r>
    </w:p>
    <w:p w14:paraId="1333F739" w14:textId="651D297B" w:rsidR="0056412F" w:rsidRPr="00D37F3B" w:rsidRDefault="0065439A" w:rsidP="00D37F3B">
      <w:pPr>
        <w:pStyle w:val="IFTnormal"/>
      </w:pPr>
      <w:r>
        <w:t xml:space="preserve">Por lo que </w:t>
      </w:r>
      <w:r w:rsidR="000F0954">
        <w:t>l</w:t>
      </w:r>
      <w:r w:rsidR="0056412F">
        <w:t xml:space="preserve">os dos conceptos que </w:t>
      </w:r>
      <w:r w:rsidR="00326FCC">
        <w:t>propuso</w:t>
      </w:r>
      <w:r w:rsidR="0056412F">
        <w:t xml:space="preserve"> el AEP como nuevas definiciones </w:t>
      </w:r>
      <w:r w:rsidR="008C0D5D">
        <w:t>no se incluirán</w:t>
      </w:r>
      <w:r w:rsidR="0056412F">
        <w:t xml:space="preserve"> en la sección Definiciones toda vez que</w:t>
      </w:r>
      <w:r w:rsidR="00994234">
        <w:t xml:space="preserve"> Verificación y Visita Técnica </w:t>
      </w:r>
      <w:r w:rsidR="008C0D5D">
        <w:t>son parte de esta sección</w:t>
      </w:r>
      <w:r w:rsidR="00994234">
        <w:t xml:space="preserve">, y </w:t>
      </w:r>
      <w:r w:rsidR="003F5F6F">
        <w:t>lo que propone el AEP es una característica concreta de las mismas que se entiende</w:t>
      </w:r>
      <w:r>
        <w:t>n</w:t>
      </w:r>
      <w:r w:rsidR="003F5F6F">
        <w:t xml:space="preserve"> por sí misma</w:t>
      </w:r>
      <w:r>
        <w:t>s</w:t>
      </w:r>
      <w:r w:rsidR="003F5F6F">
        <w:t xml:space="preserve"> sin necesidad de r</w:t>
      </w:r>
      <w:r w:rsidR="00A51EA0">
        <w:t>ealizar nuevas definiciones</w:t>
      </w:r>
      <w:r w:rsidR="00D11E5C">
        <w:t>.</w:t>
      </w:r>
    </w:p>
    <w:p w14:paraId="7774B4A1" w14:textId="2499D5A4" w:rsidR="0029155D" w:rsidRPr="00984A58" w:rsidRDefault="0029155D" w:rsidP="00D4033D">
      <w:pPr>
        <w:pStyle w:val="Ttulo2"/>
        <w:numPr>
          <w:ilvl w:val="0"/>
          <w:numId w:val="58"/>
        </w:numPr>
        <w:jc w:val="both"/>
        <w:rPr>
          <w:rFonts w:ascii="ITC Avant Garde" w:hAnsi="ITC Avant Garde"/>
          <w:b/>
          <w:color w:val="auto"/>
          <w:sz w:val="24"/>
        </w:rPr>
      </w:pPr>
      <w:r w:rsidRPr="00984A58">
        <w:rPr>
          <w:rFonts w:ascii="ITC Avant Garde" w:hAnsi="ITC Avant Garde"/>
          <w:b/>
          <w:color w:val="auto"/>
          <w:sz w:val="24"/>
        </w:rPr>
        <w:t>De la sección “III. Información relacionada con los servicios” de la</w:t>
      </w:r>
      <w:r w:rsidRPr="00984A58" w:rsidDel="00674625">
        <w:rPr>
          <w:rFonts w:ascii="ITC Avant Garde" w:hAnsi="ITC Avant Garde"/>
          <w:b/>
          <w:color w:val="auto"/>
          <w:sz w:val="24"/>
        </w:rPr>
        <w:t xml:space="preserve"> </w:t>
      </w:r>
      <w:r w:rsidRPr="00984A58">
        <w:rPr>
          <w:rFonts w:ascii="ITC Avant Garde" w:hAnsi="ITC Avant Garde"/>
          <w:b/>
          <w:color w:val="auto"/>
          <w:sz w:val="24"/>
        </w:rPr>
        <w:t>Propuesta de Oferta de Referencia.</w:t>
      </w:r>
    </w:p>
    <w:p w14:paraId="6385CC18" w14:textId="77777777" w:rsidR="00984A58" w:rsidRDefault="00984A58" w:rsidP="000E2BEE">
      <w:pPr>
        <w:pStyle w:val="IFTnormal"/>
        <w:rPr>
          <w:b/>
        </w:rPr>
      </w:pPr>
    </w:p>
    <w:p w14:paraId="73C69998" w14:textId="0FEF1F05" w:rsidR="00BA6925" w:rsidRDefault="00BA6925" w:rsidP="000E2BEE">
      <w:pPr>
        <w:pStyle w:val="IFTnormal"/>
      </w:pPr>
      <w:r w:rsidRPr="001F58CD">
        <w:rPr>
          <w:b/>
        </w:rPr>
        <w:t>Resumen de comentarios de la Consulta Pública</w:t>
      </w:r>
    </w:p>
    <w:p w14:paraId="7979BF2D" w14:textId="3F6831B5" w:rsidR="0092704C" w:rsidRDefault="000E2BEE" w:rsidP="000E2BEE">
      <w:pPr>
        <w:pStyle w:val="IFTnormal"/>
      </w:pPr>
      <w:r w:rsidRPr="000E2BEE">
        <w:t>Al respecto M</w:t>
      </w:r>
      <w:r w:rsidR="0092704C">
        <w:t>EGACABLE</w:t>
      </w:r>
      <w:r w:rsidRPr="000E2BEE">
        <w:t xml:space="preserve"> </w:t>
      </w:r>
      <w:r w:rsidR="001753ED">
        <w:t>y CANIETI indicaron</w:t>
      </w:r>
      <w:r>
        <w:t xml:space="preserve"> que</w:t>
      </w:r>
      <w:r w:rsidRPr="000E2BEE">
        <w:t xml:space="preserve"> </w:t>
      </w:r>
      <w:r w:rsidR="001753ED">
        <w:t>la ORCI Fija, a través</w:t>
      </w:r>
      <w:r w:rsidRPr="000E2BEE">
        <w:t xml:space="preserve"> </w:t>
      </w:r>
      <w:r w:rsidR="0092704C">
        <w:t xml:space="preserve">del </w:t>
      </w:r>
      <w:r w:rsidRPr="000E2BEE">
        <w:t>SEG</w:t>
      </w:r>
      <w:r w:rsidR="001753ED">
        <w:t>, debe</w:t>
      </w:r>
      <w:r w:rsidRPr="000E2BEE">
        <w:t xml:space="preserve"> de presentar </w:t>
      </w:r>
      <w:r>
        <w:t>la</w:t>
      </w:r>
      <w:r w:rsidRPr="000E2BEE">
        <w:t xml:space="preserve"> información </w:t>
      </w:r>
      <w:r>
        <w:t>de las</w:t>
      </w:r>
      <w:r w:rsidRPr="000E2BEE">
        <w:t xml:space="preserve"> características y disponibilidad de los servicios de Canales Ópticos de Alta Capacidad de Transporte y de Renta de Fibra Obscura.</w:t>
      </w:r>
      <w:r w:rsidR="00AD4720">
        <w:t xml:space="preserve"> </w:t>
      </w:r>
    </w:p>
    <w:p w14:paraId="6CA4E119" w14:textId="4CD09891" w:rsidR="00B12C80" w:rsidRDefault="00AD4720" w:rsidP="000E2BEE">
      <w:pPr>
        <w:pStyle w:val="IFTnormal"/>
      </w:pPr>
      <w:r>
        <w:t>Adicionalmente</w:t>
      </w:r>
      <w:r w:rsidR="001753ED">
        <w:t>,</w:t>
      </w:r>
      <w:r>
        <w:t xml:space="preserve"> </w:t>
      </w:r>
      <w:r w:rsidR="00193097">
        <w:t>observaron</w:t>
      </w:r>
      <w:r w:rsidR="001753ED">
        <w:t xml:space="preserve"> que </w:t>
      </w:r>
      <w:r>
        <w:t>la p</w:t>
      </w:r>
      <w:r w:rsidRPr="00AD4720">
        <w:t xml:space="preserve">ropuesta de </w:t>
      </w:r>
      <w:r>
        <w:t>Oferta</w:t>
      </w:r>
      <w:r w:rsidRPr="00AD4720">
        <w:t xml:space="preserve"> </w:t>
      </w:r>
      <w:r>
        <w:t>se establece que el</w:t>
      </w:r>
      <w:r w:rsidRPr="00AD4720">
        <w:t xml:space="preserve"> único medio de comunicación entr</w:t>
      </w:r>
      <w:r>
        <w:t>e Telmex y el CS es el SEG</w:t>
      </w:r>
      <w:r w:rsidRPr="00AD4720">
        <w:t>, sin embargo, no se ofrece ninguna alternativa o se considera otra posibilidad de comunicación cuando el SEG te</w:t>
      </w:r>
      <w:r>
        <w:t xml:space="preserve">nga un mal funcionamiento o </w:t>
      </w:r>
      <w:r w:rsidR="001F0D0E">
        <w:t xml:space="preserve">esté </w:t>
      </w:r>
      <w:r>
        <w:t>fuera de servicio</w:t>
      </w:r>
      <w:r w:rsidRPr="00AD4720">
        <w:t xml:space="preserve">, lo cual </w:t>
      </w:r>
      <w:r>
        <w:t>pone en desventaja a los CS</w:t>
      </w:r>
      <w:r w:rsidRPr="00AD4720">
        <w:t xml:space="preserve"> frente al AEP.</w:t>
      </w:r>
    </w:p>
    <w:p w14:paraId="66BD75E9" w14:textId="0BC206B9" w:rsidR="005E46ED" w:rsidRPr="000E2BEE" w:rsidRDefault="00BA6925" w:rsidP="000E2BEE">
      <w:pPr>
        <w:pStyle w:val="IFTnormal"/>
      </w:pPr>
      <w:r>
        <w:t xml:space="preserve">Por otro lado, </w:t>
      </w:r>
      <w:r w:rsidR="001753ED">
        <w:t xml:space="preserve">CANIETI propuso que se </w:t>
      </w:r>
      <w:r w:rsidR="001753ED" w:rsidRPr="00C2193E">
        <w:t>im</w:t>
      </w:r>
      <w:r w:rsidR="001753ED">
        <w:t>plemente</w:t>
      </w:r>
      <w:r w:rsidR="001753ED" w:rsidRPr="00C2193E">
        <w:t xml:space="preserve"> un sistema de trazabilidad y auditabilidad a través del SEG.</w:t>
      </w:r>
      <w:r w:rsidR="001753ED">
        <w:t xml:space="preserve"> </w:t>
      </w:r>
      <w:r w:rsidR="0092704C">
        <w:t>Así como también q</w:t>
      </w:r>
      <w:r w:rsidR="005E46ED">
        <w:t xml:space="preserve">ue en la </w:t>
      </w:r>
      <w:r>
        <w:t>ORCI F</w:t>
      </w:r>
      <w:r w:rsidR="005E46ED" w:rsidRPr="005E46ED">
        <w:t xml:space="preserve">ija </w:t>
      </w:r>
      <w:r w:rsidR="005E46ED">
        <w:t xml:space="preserve">se estipulen </w:t>
      </w:r>
      <w:r w:rsidR="005E46ED" w:rsidRPr="005E46ED">
        <w:t>parámetros de búsqueda al momento de realizar consultas en el SEG, permitiendo las solicitudes y consultas de varios tipos de infraestructura (subterránea y aérea) de forma simultánea, además de permitir el acceso multiempresa en la sesión de la consulta</w:t>
      </w:r>
      <w:r w:rsidR="005E46ED">
        <w:t>.</w:t>
      </w:r>
      <w:r>
        <w:t xml:space="preserve"> También </w:t>
      </w:r>
      <w:r w:rsidR="005E46ED">
        <w:t>que</w:t>
      </w:r>
      <w:r w:rsidR="005E46ED" w:rsidRPr="005E46ED">
        <w:t xml:space="preserve"> </w:t>
      </w:r>
      <w:r w:rsidR="005E46ED">
        <w:t>se incluya</w:t>
      </w:r>
      <w:r w:rsidR="005E46ED" w:rsidRPr="005E46ED">
        <w:t xml:space="preserve"> una cláusula en la </w:t>
      </w:r>
      <w:r>
        <w:t>ORCI Fija</w:t>
      </w:r>
      <w:r w:rsidR="005E46ED" w:rsidRPr="005E46ED">
        <w:t xml:space="preserve"> </w:t>
      </w:r>
      <w:r w:rsidR="005E46ED">
        <w:t>sobre información errónea en el SEG</w:t>
      </w:r>
      <w:r w:rsidR="001C5294">
        <w:t xml:space="preserve"> incluyéndose</w:t>
      </w:r>
      <w:r w:rsidR="005E46ED" w:rsidRPr="005E46ED">
        <w:t xml:space="preserve"> las </w:t>
      </w:r>
      <w:r w:rsidR="005E46ED">
        <w:t xml:space="preserve">penalizaciones correspondientes. </w:t>
      </w:r>
      <w:r w:rsidR="000000DB">
        <w:t>E</w:t>
      </w:r>
      <w:r w:rsidR="005E46ED" w:rsidRPr="005E46ED">
        <w:t>liminar los cobros asociados a las visitas</w:t>
      </w:r>
      <w:r w:rsidR="002B13FD">
        <w:t xml:space="preserve"> </w:t>
      </w:r>
      <w:r w:rsidR="00C9624D">
        <w:t>técnicas</w:t>
      </w:r>
      <w:r w:rsidR="005E46ED" w:rsidRPr="005E46ED">
        <w:t xml:space="preserve"> en falso causadas por el AEP, y exigir a éste demostrar que es el actual propietario de la infraestructura por la que cobra.</w:t>
      </w:r>
    </w:p>
    <w:p w14:paraId="20D37E66" w14:textId="640A075A" w:rsidR="00B12C80" w:rsidRDefault="00A91E2B" w:rsidP="00B12C80">
      <w:pPr>
        <w:pStyle w:val="IFTnormal"/>
      </w:pPr>
      <w:r>
        <w:t>U</w:t>
      </w:r>
      <w:r w:rsidR="000000DB">
        <w:t>C TELECOM solicitó</w:t>
      </w:r>
      <w:r>
        <w:t xml:space="preserve"> que se </w:t>
      </w:r>
      <w:r w:rsidR="00E73EC4">
        <w:t>establezca</w:t>
      </w:r>
      <w:r>
        <w:t xml:space="preserve"> la obligación</w:t>
      </w:r>
      <w:r w:rsidRPr="00A91E2B">
        <w:t xml:space="preserve"> </w:t>
      </w:r>
      <w:r>
        <w:t>d</w:t>
      </w:r>
      <w:r w:rsidRPr="00A91E2B">
        <w:t xml:space="preserve">el AEP </w:t>
      </w:r>
      <w:r>
        <w:t xml:space="preserve">para </w:t>
      </w:r>
      <w:r w:rsidRPr="00A91E2B">
        <w:t>indicar la ocupación de cada uno de los elementos con base en la unidad</w:t>
      </w:r>
      <w:r>
        <w:t xml:space="preserve"> de medida que le corresponda. También sugirió que l</w:t>
      </w:r>
      <w:r w:rsidRPr="00A91E2B">
        <w:t>a co</w:t>
      </w:r>
      <w:r>
        <w:t>nsulta de información no deberá</w:t>
      </w:r>
      <w:r w:rsidRPr="00A91E2B">
        <w:t xml:space="preserve"> estar restringida únicamente al usuario administrador</w:t>
      </w:r>
      <w:r>
        <w:t>.</w:t>
      </w:r>
      <w:r w:rsidR="006652A2">
        <w:t xml:space="preserve"> </w:t>
      </w:r>
      <w:r w:rsidR="000000DB">
        <w:t xml:space="preserve">Adicional, </w:t>
      </w:r>
      <w:r w:rsidR="006652A2">
        <w:t>e</w:t>
      </w:r>
      <w:r w:rsidR="006652A2" w:rsidRPr="006652A2">
        <w:t>n caso de falla</w:t>
      </w:r>
      <w:r w:rsidR="006652A2">
        <w:t xml:space="preserve"> del SEG</w:t>
      </w:r>
      <w:r w:rsidR="006652A2" w:rsidRPr="006652A2">
        <w:t xml:space="preserve">, </w:t>
      </w:r>
      <w:r w:rsidR="006652A2">
        <w:t xml:space="preserve">se aplique un </w:t>
      </w:r>
      <w:r w:rsidR="006652A2" w:rsidRPr="006652A2">
        <w:t>medio alterno, siendo Telmex el responsable de actualizar el SEG con los acuerdos a los que se hayan llegado en dichos medios alternos.</w:t>
      </w:r>
      <w:r w:rsidR="006652A2">
        <w:t xml:space="preserve"> También que se establezca que t</w:t>
      </w:r>
      <w:r w:rsidR="006652A2" w:rsidRPr="006652A2">
        <w:t>oda la información que se genere durante el desarrollo de las acti</w:t>
      </w:r>
      <w:r w:rsidR="006652A2">
        <w:t>vidades y los procedimientos se</w:t>
      </w:r>
      <w:r w:rsidR="006652A2" w:rsidRPr="006652A2">
        <w:t xml:space="preserve"> integrará</w:t>
      </w:r>
      <w:r w:rsidR="0092704C">
        <w:t>n</w:t>
      </w:r>
      <w:r w:rsidR="006652A2" w:rsidRPr="006652A2">
        <w:t xml:space="preserve"> </w:t>
      </w:r>
      <w:r w:rsidR="006652A2">
        <w:t>al</w:t>
      </w:r>
      <w:r w:rsidR="006652A2" w:rsidRPr="006652A2">
        <w:t xml:space="preserve"> SEG indicándo</w:t>
      </w:r>
      <w:r w:rsidR="006652A2">
        <w:t>se</w:t>
      </w:r>
      <w:r w:rsidR="006652A2" w:rsidRPr="006652A2">
        <w:t xml:space="preserve"> fecha y hora de la actualización.</w:t>
      </w:r>
    </w:p>
    <w:p w14:paraId="2F52AEF5" w14:textId="079A85F1" w:rsidR="00E5703D" w:rsidRDefault="0092704C" w:rsidP="006F2399">
      <w:pPr>
        <w:pStyle w:val="IFTnormal"/>
      </w:pPr>
      <w:r>
        <w:t xml:space="preserve">Con respecto al </w:t>
      </w:r>
      <w:r w:rsidR="006F2399">
        <w:t xml:space="preserve">GRUPO TELEVISA sugirió que se incluya en la Oferta un esquema de penalizaciones para los casos en los que el AEPT no garantice la consignación de información actualizada en el SEG, sugiriendo una penalización equivalente al 5% del monto facturado por visitas técnicas en el mes. Solicitó que se incluya una cláusula en la Oferta que incluya las penalizaciones correspondientes para los casos en los que el AEPT incumpla su obligación de mantener actualizada la información referente a su infraestructura en el SEG. </w:t>
      </w:r>
      <w:r>
        <w:t>Así como también q</w:t>
      </w:r>
      <w:r w:rsidR="006F2399">
        <w:t xml:space="preserve">ue se eliminen los cobros asociados a las visitas fallidas que sean consecuencia de la falta de actualización de la información en el SEG. </w:t>
      </w:r>
      <w:r w:rsidR="00C9624D">
        <w:t>Además,</w:t>
      </w:r>
      <w:r w:rsidR="00E5703D">
        <w:t xml:space="preserve"> q</w:t>
      </w:r>
      <w:r w:rsidR="006F2399">
        <w:t xml:space="preserve">ue se exija al AEPT demostrar que es el actual propietario de la infraestructura por la que cobra. </w:t>
      </w:r>
    </w:p>
    <w:p w14:paraId="7A1BD388" w14:textId="17CFBE3D" w:rsidR="00E73EC4" w:rsidRDefault="00E5703D" w:rsidP="006F2399">
      <w:pPr>
        <w:pStyle w:val="IFTnormal"/>
      </w:pPr>
      <w:r>
        <w:t xml:space="preserve">Por otra </w:t>
      </w:r>
      <w:r w:rsidR="00C9624D">
        <w:t>parte</w:t>
      </w:r>
      <w:r w:rsidR="0092704C">
        <w:t xml:space="preserve"> el mismo concesionario</w:t>
      </w:r>
      <w:r w:rsidR="00C9624D">
        <w:t>,</w:t>
      </w:r>
      <w:r>
        <w:t xml:space="preserve"> t</w:t>
      </w:r>
      <w:r w:rsidR="006F2399">
        <w:t xml:space="preserve">ambién sugirió que se implemente un sistema de trazabilidad y auditabilidad a través del SEG proponiendo más específicamente que se cree un log histórico que registre todas las acciones sobre la plataforma con fecha y hora establecidas, usuario del sistema y que </w:t>
      </w:r>
      <w:r>
        <w:t xml:space="preserve">todo </w:t>
      </w:r>
      <w:r w:rsidR="006F2399">
        <w:t>sea inmodificable</w:t>
      </w:r>
      <w:r w:rsidR="0092704C">
        <w:t>, por otra parte también</w:t>
      </w:r>
      <w:r w:rsidR="006F2399">
        <w:t xml:space="preserve"> </w:t>
      </w:r>
      <w:r w:rsidR="0092704C">
        <w:t>c</w:t>
      </w:r>
      <w:r w:rsidR="006F2399">
        <w:t xml:space="preserve">onsideró necesario que se transfiera la administración del SEG a un tercero o que se imponga un auditor externo que constantemente esté dando seguimiento a la operación en la plataforma y de aviso al IFT de cualquier anomalía. </w:t>
      </w:r>
    </w:p>
    <w:p w14:paraId="75D016F2" w14:textId="21101AB6" w:rsidR="006F2399" w:rsidRDefault="006F2399" w:rsidP="006F2399">
      <w:pPr>
        <w:pStyle w:val="IFTnormal"/>
      </w:pPr>
      <w:r>
        <w:t>Adicional</w:t>
      </w:r>
      <w:r w:rsidR="00E73EC4">
        <w:t>mente indicó</w:t>
      </w:r>
      <w:r>
        <w:t>,</w:t>
      </w:r>
      <w:r w:rsidR="00E73EC4">
        <w:t xml:space="preserve"> que</w:t>
      </w:r>
      <w:r>
        <w:t xml:space="preserve"> es necesario que el SEG permita el acceso multiempresa al consultar proyectos de diferentes razones sociales. Además, solicitó que se le imponga al AEPT la obligación de adaptar y corregir los módulos de interacción dentro SEG</w:t>
      </w:r>
      <w:r w:rsidR="00E73EC4">
        <w:t xml:space="preserve">: </w:t>
      </w:r>
      <w:r>
        <w:t>módulo para cargar el anteproyecto, los formatos del Anexo 1 de la Oferta, las fechas de verificación de instalaciones, seguimiento de plazos y levantamiento de alertas por incumplimiento de estos, carga de archivos de los anteproyectos, espacio dedicado y debidamente diferenciado, espacio destinado a la información referente al personal que estará presente en las visitas técnicas incluyendo, entre otros, sus nombres y datos de contacto, para control adecuado de parte de los CS, espacios clasificados por NIS donde se pueda recopilar toda la información relacionada con los reportes trimestrales solicitados por el IFT, espacio dedicado para la comunicación directa entre el CS y el AEP</w:t>
      </w:r>
      <w:r w:rsidR="00E5703D">
        <w:t>, en sí q</w:t>
      </w:r>
      <w:r>
        <w:t xml:space="preserve">ue se implemente un panel de notificaciones en el SEG y que el </w:t>
      </w:r>
      <w:r w:rsidR="00E73EC4">
        <w:t>AEP</w:t>
      </w:r>
      <w:r>
        <w:t xml:space="preserve"> implemente un SEG mejorado basado en API.</w:t>
      </w:r>
    </w:p>
    <w:p w14:paraId="46515C7E" w14:textId="5C7BA627" w:rsidR="006F2399" w:rsidRDefault="0092704C" w:rsidP="006F2399">
      <w:pPr>
        <w:pStyle w:val="IFTnormal"/>
      </w:pPr>
      <w:r>
        <w:t>Finalmente,</w:t>
      </w:r>
      <w:r w:rsidR="006F2399">
        <w:t xml:space="preserve"> sugirió que se cree un comité técnico para auditar las decisiones del </w:t>
      </w:r>
      <w:r w:rsidR="002A58B4">
        <w:t>AEP</w:t>
      </w:r>
      <w:r w:rsidR="006F2399">
        <w:t xml:space="preserve"> en lo referente a la compartición de infraestructura</w:t>
      </w:r>
      <w:r>
        <w:t xml:space="preserve"> y</w:t>
      </w:r>
      <w:r w:rsidR="000D6D84">
        <w:t xml:space="preserve"> </w:t>
      </w:r>
      <w:r>
        <w:t>q</w:t>
      </w:r>
      <w:r w:rsidR="006F2399">
        <w:t>ue se establezca en el SEG una funcionalidad que permita hacer la gestión de todos los formatos sobre la plataforma.</w:t>
      </w:r>
    </w:p>
    <w:p w14:paraId="3AF2041B" w14:textId="7ACEE384" w:rsidR="00BA6925" w:rsidRDefault="00BA6925" w:rsidP="00B12C80">
      <w:pPr>
        <w:pStyle w:val="IFTnormal"/>
        <w:rPr>
          <w:b/>
        </w:rPr>
      </w:pPr>
      <w:r w:rsidRPr="001F58CD">
        <w:rPr>
          <w:b/>
        </w:rPr>
        <w:t>Respuesta del Instituto</w:t>
      </w:r>
    </w:p>
    <w:p w14:paraId="219DB747" w14:textId="71C6040E" w:rsidR="00727352" w:rsidRDefault="00727352" w:rsidP="00133997">
      <w:pPr>
        <w:pStyle w:val="IFTnormal"/>
      </w:pPr>
      <w:r>
        <w:t xml:space="preserve">Respecto al comentario </w:t>
      </w:r>
      <w:r w:rsidRPr="00727352">
        <w:t>de las características y disponibilidad de los servicios de Canales Ópticos de Alta Capacidad de Transporte y de Renta de Fibra Obscura</w:t>
      </w:r>
      <w:r>
        <w:t xml:space="preserve"> que debe contener el SEG, </w:t>
      </w:r>
      <w:r w:rsidR="00845132">
        <w:t>el Instituto indica que estos</w:t>
      </w:r>
      <w:r w:rsidR="000464E8">
        <w:t xml:space="preserve"> s</w:t>
      </w:r>
      <w:r w:rsidR="000464E8" w:rsidRPr="000464E8">
        <w:t>ervicio</w:t>
      </w:r>
      <w:r w:rsidR="000464E8">
        <w:t>s</w:t>
      </w:r>
      <w:r w:rsidR="000464E8" w:rsidRPr="000464E8">
        <w:t xml:space="preserve"> </w:t>
      </w:r>
      <w:r w:rsidR="000464E8">
        <w:t>se ponen a disposición del CS</w:t>
      </w:r>
      <w:r w:rsidR="000464E8" w:rsidRPr="000464E8">
        <w:t xml:space="preserve"> </w:t>
      </w:r>
      <w:r w:rsidR="00845132">
        <w:t xml:space="preserve">una vez agotadas las alternativas que el mismo procedimiento de </w:t>
      </w:r>
      <w:r w:rsidR="00845132" w:rsidRPr="00845132">
        <w:t xml:space="preserve">Contratación de Servicios de Acceso y Uso Compartido de Obra Civil </w:t>
      </w:r>
      <w:r w:rsidR="00845132">
        <w:t>prevé</w:t>
      </w:r>
      <w:r w:rsidR="00A16C78">
        <w:t>,</w:t>
      </w:r>
      <w:r w:rsidR="00845132">
        <w:t xml:space="preserve"> es decir</w:t>
      </w:r>
      <w:r w:rsidR="00E66F5B">
        <w:t>,</w:t>
      </w:r>
      <w:r w:rsidR="00845132">
        <w:t xml:space="preserve"> </w:t>
      </w:r>
      <w:r w:rsidR="000464E8" w:rsidRPr="000464E8">
        <w:t xml:space="preserve">cuando exista </w:t>
      </w:r>
      <w:r w:rsidR="00845132">
        <w:t xml:space="preserve">la condición de </w:t>
      </w:r>
      <w:r w:rsidR="000464E8" w:rsidRPr="000464E8">
        <w:t>saturación en ductos o postes de una ruta solicitada</w:t>
      </w:r>
      <w:r w:rsidR="000464E8">
        <w:t xml:space="preserve"> por el CS</w:t>
      </w:r>
      <w:r w:rsidR="000464E8" w:rsidRPr="000464E8">
        <w:t xml:space="preserve"> y </w:t>
      </w:r>
      <w:r w:rsidR="00845132">
        <w:t xml:space="preserve">tampoco </w:t>
      </w:r>
      <w:r w:rsidR="000464E8" w:rsidRPr="000464E8">
        <w:t>no exista una ruta alterna viable, además de que no sea posible recuperar espacios, o realizar adecuaciones</w:t>
      </w:r>
      <w:r w:rsidR="000464E8">
        <w:t xml:space="preserve">, por </w:t>
      </w:r>
      <w:r w:rsidR="007A6962">
        <w:t xml:space="preserve">lo </w:t>
      </w:r>
      <w:r w:rsidR="000464E8">
        <w:t xml:space="preserve">tanto las características y disponibilidad </w:t>
      </w:r>
      <w:r w:rsidR="00845132">
        <w:t xml:space="preserve">de dichos servicios </w:t>
      </w:r>
      <w:r w:rsidR="000464E8">
        <w:t xml:space="preserve">están en función de los supuestos antes mencionados y </w:t>
      </w:r>
      <w:r w:rsidR="00A16C78">
        <w:t>hasta ese momento</w:t>
      </w:r>
      <w:r w:rsidR="000464E8">
        <w:t xml:space="preserve"> </w:t>
      </w:r>
      <w:r w:rsidR="00A16C78">
        <w:t>se puede</w:t>
      </w:r>
      <w:r w:rsidR="001975A7">
        <w:t xml:space="preserve"> tener conocimiento de </w:t>
      </w:r>
      <w:r w:rsidR="00A16C78">
        <w:t xml:space="preserve"> </w:t>
      </w:r>
      <w:r w:rsidR="00A16C78" w:rsidRPr="00A16C78">
        <w:t xml:space="preserve">las características y disponibilidad de los servicios de Canales Ópticos de Alta Capacidad de Transporte y de Renta de Fibra Obscura </w:t>
      </w:r>
      <w:r w:rsidR="00A16C78">
        <w:t>para la</w:t>
      </w:r>
      <w:r w:rsidR="000464E8">
        <w:t xml:space="preserve"> ruta</w:t>
      </w:r>
      <w:r w:rsidR="00845132">
        <w:t xml:space="preserve"> </w:t>
      </w:r>
      <w:r w:rsidR="00A16C78">
        <w:t>solicitada por el CS</w:t>
      </w:r>
      <w:r w:rsidR="001975A7">
        <w:t>, por lo que e</w:t>
      </w:r>
      <w:r w:rsidR="00EA76A2">
        <w:t>n definitiva no es posible atender el comentario debido a las condiciones de la misma oferta.</w:t>
      </w:r>
    </w:p>
    <w:p w14:paraId="65807DED" w14:textId="4C5EE062" w:rsidR="00D03C38" w:rsidRDefault="00D03C38" w:rsidP="00D03C38">
      <w:pPr>
        <w:pStyle w:val="IFTnormal"/>
        <w:rPr>
          <w:b/>
        </w:rPr>
      </w:pPr>
      <w:r>
        <w:t xml:space="preserve">En relación a los comentarios vertidos por distintos concesionarios para que en la Propuesta de Oferta de Referencia se indiquen las situaciones en las que el SEG dejara de estar disponible por interrupción o falla, se reitera que en la </w:t>
      </w:r>
      <w:r w:rsidRPr="006F5A92">
        <w:t>ORCI vigente</w:t>
      </w:r>
      <w:r>
        <w:t xml:space="preserve"> se encuentran señalados los mecanismos por los cuales un CS tendrá acceso a la tramitación de sus solicitudes de servicio, por lo que en este sentido, la Oferta de Referencia que autorice el Instituto </w:t>
      </w:r>
      <w:r w:rsidR="00BD3421">
        <w:t xml:space="preserve">evaluará </w:t>
      </w:r>
      <w:r>
        <w:t>dicho comentario para que se clarifique en la Propuesta de Oferta de Referencia el mecanismo para que cuando el SEG no esté disponible, en el sentido de que el AEP habilite un número telefónico</w:t>
      </w:r>
      <w:r w:rsidR="00F5735C">
        <w:t xml:space="preserve"> </w:t>
      </w:r>
      <w:r>
        <w:t>para atención a los CS, así como una dirección de correo electrónico. Lo anterior en términos mencionados en la Medida CUADRAGÉSIMA SEGUNDA de las Medidas Fijas.</w:t>
      </w:r>
    </w:p>
    <w:p w14:paraId="30269A39" w14:textId="164A3814" w:rsidR="00D03C38" w:rsidRDefault="00D03C38" w:rsidP="004F645C">
      <w:pPr>
        <w:pStyle w:val="IFTnormal"/>
      </w:pPr>
      <w:r>
        <w:t xml:space="preserve">Respecto a los comentarios </w:t>
      </w:r>
      <w:r w:rsidR="004F645C">
        <w:t>de implementar en el SEG</w:t>
      </w:r>
      <w:r>
        <w:t xml:space="preserve"> </w:t>
      </w:r>
      <w:r w:rsidR="004F645C">
        <w:t>un sistema de</w:t>
      </w:r>
      <w:r>
        <w:t xml:space="preserve"> trazabilidad,</w:t>
      </w:r>
      <w:r w:rsidRPr="00D03C38">
        <w:t xml:space="preserve"> parámetros de búsqueda al momento de realizar consultas</w:t>
      </w:r>
      <w:r w:rsidR="0028464B">
        <w:t xml:space="preserve">, </w:t>
      </w:r>
      <w:r w:rsidR="0028464B" w:rsidRPr="00D03C38">
        <w:t>p</w:t>
      </w:r>
      <w:r w:rsidR="0028464B">
        <w:t>ermitir la consulta</w:t>
      </w:r>
      <w:r w:rsidR="0028464B" w:rsidRPr="00D03C38">
        <w:t xml:space="preserve"> de varios tipos de infraestructura (subterránea y aérea) de forma simultánea</w:t>
      </w:r>
      <w:r>
        <w:t xml:space="preserve"> y </w:t>
      </w:r>
      <w:r w:rsidRPr="00D03C38">
        <w:t>acceso multiempresa</w:t>
      </w:r>
      <w:r w:rsidR="004F645C">
        <w:t>, este Instituto considera que son nuevas funcionalidades del SEG</w:t>
      </w:r>
      <w:r w:rsidR="00913FA8">
        <w:t xml:space="preserve"> por lo que deberá ser evaluado a la luz de los alc</w:t>
      </w:r>
      <w:r w:rsidR="00707440">
        <w:t>a</w:t>
      </w:r>
      <w:r w:rsidR="00913FA8">
        <w:t>n</w:t>
      </w:r>
      <w:r w:rsidR="00707440">
        <w:t>c</w:t>
      </w:r>
      <w:r w:rsidR="00913FA8">
        <w:t>es del sistema y los comités técnicos de este.</w:t>
      </w:r>
    </w:p>
    <w:p w14:paraId="5045D16D" w14:textId="77777777" w:rsidR="00696FAD" w:rsidRDefault="003326F2" w:rsidP="002B13FD">
      <w:pPr>
        <w:pStyle w:val="IFTnormal"/>
      </w:pPr>
      <w:r>
        <w:t>Por otra parte</w:t>
      </w:r>
      <w:r w:rsidR="002B13FD">
        <w:t>,</w:t>
      </w:r>
      <w:r>
        <w:t xml:space="preserve"> </w:t>
      </w:r>
      <w:r w:rsidR="00133997">
        <w:t>respecto</w:t>
      </w:r>
      <w:r w:rsidR="002B13FD">
        <w:t xml:space="preserve"> a la veracidad de la información contenida en el SEG y que esta no se encuentre errónea, este Instituto considera que el </w:t>
      </w:r>
      <w:r w:rsidR="00960BE7">
        <w:t>SEG</w:t>
      </w:r>
      <w:r w:rsidR="002B13FD">
        <w:t xml:space="preserve"> es </w:t>
      </w:r>
      <w:r w:rsidR="002B13FD" w:rsidRPr="002B13FD">
        <w:t xml:space="preserve">un elemento fundamental a considerar en </w:t>
      </w:r>
      <w:r w:rsidR="002B13FD">
        <w:t>el</w:t>
      </w:r>
      <w:r w:rsidR="002B13FD" w:rsidRPr="002B13FD">
        <w:t xml:space="preserve"> análisis integral</w:t>
      </w:r>
      <w:r w:rsidR="002B13FD">
        <w:t xml:space="preserve"> en la </w:t>
      </w:r>
      <w:r w:rsidR="002B13FD" w:rsidRPr="002B13FD">
        <w:t>Oferta de Referencia que autorice el Instituto</w:t>
      </w:r>
      <w:r w:rsidR="009A461F">
        <w:t>, por lo que</w:t>
      </w:r>
      <w:r w:rsidR="002B13FD" w:rsidRPr="002B13FD">
        <w:t xml:space="preserve"> la disponibilidad de la información </w:t>
      </w:r>
      <w:r w:rsidR="00960BE7">
        <w:t>s</w:t>
      </w:r>
      <w:r w:rsidR="002B13FD">
        <w:t xml:space="preserve">e </w:t>
      </w:r>
      <w:r w:rsidR="009A461F">
        <w:t>evaluará tomando</w:t>
      </w:r>
      <w:r w:rsidR="002B13FD">
        <w:t xml:space="preserve"> en consideración </w:t>
      </w:r>
      <w:r w:rsidR="002B13FD" w:rsidRPr="002B13FD">
        <w:t xml:space="preserve">la Medida TRANSITORIA TERCERA de las Medidas Fijas </w:t>
      </w:r>
      <w:r w:rsidR="00960BE7">
        <w:t xml:space="preserve">que establece lo relacionado a la </w:t>
      </w:r>
      <w:r w:rsidR="00960BE7" w:rsidRPr="002B13FD">
        <w:t xml:space="preserve">información </w:t>
      </w:r>
      <w:r w:rsidR="00960BE7">
        <w:t xml:space="preserve">sobre </w:t>
      </w:r>
      <w:r w:rsidR="00E66F5B">
        <w:t>la</w:t>
      </w:r>
      <w:r w:rsidR="00960BE7">
        <w:t xml:space="preserve"> infraestructura d</w:t>
      </w:r>
      <w:r w:rsidR="002B13FD" w:rsidRPr="002B13FD">
        <w:t>el AEP</w:t>
      </w:r>
      <w:r w:rsidR="00960BE7">
        <w:t xml:space="preserve"> y </w:t>
      </w:r>
      <w:r w:rsidR="006B5978">
        <w:t xml:space="preserve">que deberá incluir, entre otras, </w:t>
      </w:r>
      <w:r w:rsidR="00960BE7">
        <w:t xml:space="preserve">toda la información </w:t>
      </w:r>
      <w:r w:rsidR="006E5DAE">
        <w:t xml:space="preserve">de la </w:t>
      </w:r>
      <w:r w:rsidR="00960BE7">
        <w:t>infraestructura</w:t>
      </w:r>
      <w:r w:rsidR="006E5DAE">
        <w:t xml:space="preserve"> sobre la cual es propietario</w:t>
      </w:r>
      <w:r w:rsidR="00960BE7">
        <w:t xml:space="preserve">, </w:t>
      </w:r>
      <w:r w:rsidR="006B5978" w:rsidRPr="006B5978">
        <w:t>la identi</w:t>
      </w:r>
      <w:r w:rsidR="00960BE7">
        <w:t>ficación de capacidad excedente y</w:t>
      </w:r>
      <w:r w:rsidR="006B5978" w:rsidRPr="006B5978">
        <w:t xml:space="preserve"> además de aquella a la que se hace referencia en la sección “IV. Información relacionada con lo</w:t>
      </w:r>
      <w:r w:rsidR="00C2627F">
        <w:t xml:space="preserve">s servicios” de la ORCI vigente, información que deberá ser veraz. </w:t>
      </w:r>
    </w:p>
    <w:p w14:paraId="458B2E57" w14:textId="65EBC8C9" w:rsidR="002B13FD" w:rsidRDefault="00696FAD" w:rsidP="002B13FD">
      <w:pPr>
        <w:pStyle w:val="IFTnormal"/>
      </w:pPr>
      <w:r>
        <w:t xml:space="preserve">Derivado de lo anterior </w:t>
      </w:r>
      <w:r w:rsidR="00C2627F">
        <w:t xml:space="preserve">se </w:t>
      </w:r>
      <w:r w:rsidR="002B225C">
        <w:t>realizarán</w:t>
      </w:r>
      <w:r w:rsidR="00C2627F">
        <w:t xml:space="preserve"> las </w:t>
      </w:r>
      <w:r w:rsidR="009A461F">
        <w:t>evaluaciones pertinentes para modificar lo que corresponda</w:t>
      </w:r>
      <w:r w:rsidR="00C2627F">
        <w:t xml:space="preserve"> a los procedimientos</w:t>
      </w:r>
      <w:r w:rsidR="009A461F">
        <w:t>,</w:t>
      </w:r>
      <w:r w:rsidR="00C2627F">
        <w:t xml:space="preserve"> </w:t>
      </w:r>
      <w:r w:rsidR="009A461F">
        <w:t>incluyendo lo relacionado a</w:t>
      </w:r>
      <w:r>
        <w:t>l alcance e impacto de</w:t>
      </w:r>
      <w:r w:rsidR="009A461F">
        <w:t xml:space="preserve"> la visita técnica, </w:t>
      </w:r>
      <w:r>
        <w:t xml:space="preserve">así como clarificar que </w:t>
      </w:r>
      <w:r w:rsidR="009A461F">
        <w:t xml:space="preserve">toda la </w:t>
      </w:r>
      <w:r w:rsidR="00C2627F">
        <w:t>información</w:t>
      </w:r>
      <w:r w:rsidR="00AB076C">
        <w:t xml:space="preserve"> de la infraestructura del AEP</w:t>
      </w:r>
      <w:r w:rsidR="00C2627F">
        <w:t xml:space="preserve"> </w:t>
      </w:r>
      <w:r w:rsidR="00E66F5B">
        <w:t xml:space="preserve">deberá estar </w:t>
      </w:r>
      <w:r w:rsidR="00C2627F">
        <w:t xml:space="preserve">completa y correcta </w:t>
      </w:r>
      <w:r w:rsidR="00960BE7">
        <w:t>en el SEG.</w:t>
      </w:r>
      <w:r w:rsidR="00D15AC0">
        <w:t xml:space="preserve"> </w:t>
      </w:r>
    </w:p>
    <w:p w14:paraId="6834ACB5" w14:textId="0A1E6243" w:rsidR="00133997" w:rsidRDefault="00D15AC0" w:rsidP="00133997">
      <w:pPr>
        <w:pStyle w:val="IFTnormal"/>
      </w:pPr>
      <w:r>
        <w:t>Es</w:t>
      </w:r>
      <w:r w:rsidR="00133997">
        <w:t xml:space="preserve"> de </w:t>
      </w:r>
      <w:r>
        <w:t>aclarar que</w:t>
      </w:r>
      <w:r w:rsidR="00133997">
        <w:t xml:space="preserve"> la información relativa a la infraestructura del AEP que se </w:t>
      </w:r>
      <w:r w:rsidR="00200402">
        <w:t xml:space="preserve">proporcione a los CS </w:t>
      </w:r>
      <w:r w:rsidR="00133997">
        <w:t>a través de dicha plataforma deberá actualizarse mensualmente conforme a lo indicado en la Medida CUADRAGÉSIMA SEGUNDA de las Medidas Fijas.</w:t>
      </w:r>
      <w:r>
        <w:t xml:space="preserve"> Si bien </w:t>
      </w:r>
      <w:r w:rsidR="009466B3">
        <w:t>el SEG debe contemplar toda la información de infraestructura del AEP</w:t>
      </w:r>
      <w:r w:rsidR="00E66F5B">
        <w:t xml:space="preserve"> completa y correcta</w:t>
      </w:r>
      <w:r w:rsidR="009466B3">
        <w:t xml:space="preserve">, no se </w:t>
      </w:r>
      <w:r w:rsidR="00E72811">
        <w:t>hace expl</w:t>
      </w:r>
      <w:r w:rsidR="002A7C8C">
        <w:t>í</w:t>
      </w:r>
      <w:r w:rsidR="00E72811">
        <w:t>cito</w:t>
      </w:r>
      <w:r w:rsidR="009466B3">
        <w:t xml:space="preserve"> </w:t>
      </w:r>
      <w:r w:rsidR="00F5735C">
        <w:t xml:space="preserve">en las Medidas fijas </w:t>
      </w:r>
      <w:r w:rsidR="009466B3">
        <w:t xml:space="preserve">que </w:t>
      </w:r>
      <w:r w:rsidR="00F5735C">
        <w:t>el AEP</w:t>
      </w:r>
      <w:r w:rsidR="009466B3">
        <w:t xml:space="preserve"> deba </w:t>
      </w:r>
      <w:r w:rsidR="009466B3" w:rsidRPr="00A91E2B">
        <w:t>indicar la ocupación de</w:t>
      </w:r>
      <w:r w:rsidR="009E2297">
        <w:t xml:space="preserve"> la infraestructura por</w:t>
      </w:r>
      <w:r w:rsidR="009466B3" w:rsidRPr="00A91E2B">
        <w:t xml:space="preserve"> cada uno de los elementos</w:t>
      </w:r>
      <w:r w:rsidR="009E2297">
        <w:t xml:space="preserve"> ya instal</w:t>
      </w:r>
      <w:r w:rsidR="002A7C8C">
        <w:t>a</w:t>
      </w:r>
      <w:r w:rsidR="009E2297">
        <w:t>dos</w:t>
      </w:r>
      <w:r w:rsidR="009466B3">
        <w:t>.</w:t>
      </w:r>
      <w:r w:rsidR="002A7C8C">
        <w:t xml:space="preserve"> Por lo </w:t>
      </w:r>
      <w:r w:rsidR="00781757">
        <w:t>tanto,</w:t>
      </w:r>
      <w:r w:rsidR="002A7C8C">
        <w:t xml:space="preserve"> no se hace posible establecer la obligación</w:t>
      </w:r>
      <w:r w:rsidR="002A7C8C" w:rsidRPr="00A91E2B">
        <w:t xml:space="preserve"> </w:t>
      </w:r>
      <w:r w:rsidR="002A7C8C">
        <w:t>al</w:t>
      </w:r>
      <w:r w:rsidR="002A7C8C" w:rsidRPr="00A91E2B">
        <w:t xml:space="preserve"> AEP </w:t>
      </w:r>
      <w:r w:rsidR="002A7C8C">
        <w:t xml:space="preserve">para </w:t>
      </w:r>
      <w:r w:rsidR="002A7C8C" w:rsidRPr="00A91E2B">
        <w:t>indicar la ocupación de cada uno de los elementos con base en la unidad</w:t>
      </w:r>
      <w:r w:rsidR="002A7C8C">
        <w:t xml:space="preserve"> de medida que le corresponda, como lo solicitó UC TELECOM.</w:t>
      </w:r>
    </w:p>
    <w:p w14:paraId="07855716" w14:textId="554207CA" w:rsidR="001D09F6" w:rsidRPr="001D09F6" w:rsidRDefault="001D09F6" w:rsidP="001D09F6">
      <w:pPr>
        <w:pStyle w:val="IFTnormal"/>
      </w:pPr>
      <w:r>
        <w:t xml:space="preserve">Finalmente, respecto </w:t>
      </w:r>
      <w:r w:rsidR="004C2B1C">
        <w:t>al SEG y</w:t>
      </w:r>
      <w:r>
        <w:t xml:space="preserve"> los comités </w:t>
      </w:r>
      <w:r w:rsidR="004C2B1C">
        <w:t xml:space="preserve">asociados al sistema </w:t>
      </w:r>
      <w:r>
        <w:t>es de recordar que e</w:t>
      </w:r>
      <w:r w:rsidRPr="001D09F6">
        <w:t xml:space="preserve">n Sesión Ordinaria celebrada el día 28 de mayo de 2014, mediante Acuerdo P/IFT/280514/127, el Pleno del Instituto emitió el “ACUERDO MEDIANTE EL CUAL EL PLENO DEL INSTITUTO FEDERAL DE TELECOMUNICACIONES, ESTABLECE LOS COMITES TÉCNICOS DE LOS SISTEMAS ELECTRÓNICOS DE GESTIÓN PARA LOS SERVICIOS DE TELECOMUNICACIONES MÓVILES; SISTEMAS ELECTRÓNICOS DE GESTIÓN PARA LOS SERVICIOS DE TELECOMUNICACIONES FIJOS; Y DE DESAGREGACIÓN EFECTIVA DE LA RED LOCAL Y EXPIDE SUS REGLAS DE OPERACIÓN”, a través del cual se creó el Comité Técnico del </w:t>
      </w:r>
      <w:r w:rsidR="00F07C62">
        <w:t>SEG</w:t>
      </w:r>
      <w:r w:rsidRPr="001D09F6">
        <w:t xml:space="preserve"> en los servicios de telecomunicaciones fijos </w:t>
      </w:r>
      <w:r>
        <w:t>el cual es permanente</w:t>
      </w:r>
      <w:r w:rsidR="00F07C62">
        <w:t xml:space="preserve"> y preside y coordina el Instituto</w:t>
      </w:r>
      <w:r>
        <w:t>.</w:t>
      </w:r>
      <w:r w:rsidR="00F07C62">
        <w:t xml:space="preserve"> En dicho comité </w:t>
      </w:r>
      <w:r>
        <w:t>se definen</w:t>
      </w:r>
      <w:r w:rsidRPr="001D09F6">
        <w:t xml:space="preserve">, a propuesta del </w:t>
      </w:r>
      <w:r w:rsidR="00852CD9">
        <w:t>AEP</w:t>
      </w:r>
      <w:r w:rsidRPr="001D09F6">
        <w:t xml:space="preserve"> los formatos, interfaces, mecanismos de seguridad y encriptación, manejo de las bases de datos y todo lo relativo al </w:t>
      </w:r>
      <w:r>
        <w:t>SEG</w:t>
      </w:r>
      <w:r w:rsidRPr="001D09F6">
        <w:t>, así como los formatos para la entrega de información que resulten aplicables.</w:t>
      </w:r>
      <w:r w:rsidR="00C9164A">
        <w:t xml:space="preserve"> Por lo tanto</w:t>
      </w:r>
      <w:r w:rsidR="00C208F5">
        <w:t>,</w:t>
      </w:r>
      <w:r w:rsidR="00C9164A">
        <w:t xml:space="preserve"> lo sugerido en los comentarios </w:t>
      </w:r>
      <w:r w:rsidR="004C2B1C">
        <w:t xml:space="preserve">relacionado a lo antes señalado </w:t>
      </w:r>
      <w:r w:rsidR="00C9164A">
        <w:t xml:space="preserve">estaría atendido </w:t>
      </w:r>
      <w:r w:rsidR="004C2B1C">
        <w:t xml:space="preserve">a través de </w:t>
      </w:r>
      <w:r w:rsidR="00C9164A">
        <w:t>estos comités.</w:t>
      </w:r>
    </w:p>
    <w:p w14:paraId="69651AC4" w14:textId="3D25A230" w:rsidR="0029155D" w:rsidRPr="00984A58" w:rsidRDefault="0029155D" w:rsidP="00D4033D">
      <w:pPr>
        <w:pStyle w:val="Ttulo2"/>
        <w:numPr>
          <w:ilvl w:val="0"/>
          <w:numId w:val="58"/>
        </w:numPr>
        <w:jc w:val="both"/>
        <w:rPr>
          <w:rFonts w:ascii="ITC Avant Garde" w:hAnsi="ITC Avant Garde"/>
          <w:b/>
          <w:color w:val="auto"/>
          <w:sz w:val="24"/>
        </w:rPr>
      </w:pPr>
      <w:r w:rsidRPr="00984A58">
        <w:rPr>
          <w:rFonts w:ascii="ITC Avant Garde" w:hAnsi="ITC Avant Garde"/>
          <w:b/>
          <w:color w:val="auto"/>
          <w:sz w:val="24"/>
        </w:rPr>
        <w:t>De la sección “1. Servicio de Acceso y Uso compartido de Obra Civil” de la</w:t>
      </w:r>
      <w:r w:rsidRPr="00984A58" w:rsidDel="00674625">
        <w:rPr>
          <w:rFonts w:ascii="ITC Avant Garde" w:hAnsi="ITC Avant Garde"/>
          <w:b/>
          <w:color w:val="auto"/>
          <w:sz w:val="24"/>
        </w:rPr>
        <w:t xml:space="preserve"> </w:t>
      </w:r>
      <w:r w:rsidRPr="00984A58">
        <w:rPr>
          <w:rFonts w:ascii="ITC Avant Garde" w:hAnsi="ITC Avant Garde"/>
          <w:b/>
          <w:color w:val="auto"/>
          <w:sz w:val="24"/>
        </w:rPr>
        <w:t>Propuesta de Oferta de Referencia</w:t>
      </w:r>
    </w:p>
    <w:p w14:paraId="36ABD6C5" w14:textId="77777777" w:rsidR="008911DB" w:rsidRDefault="008911DB" w:rsidP="00A83AA9">
      <w:pPr>
        <w:pStyle w:val="IFTnormal"/>
        <w:rPr>
          <w:b/>
        </w:rPr>
      </w:pPr>
    </w:p>
    <w:p w14:paraId="6CF7F95A" w14:textId="106D8BDE" w:rsidR="00A83AA9" w:rsidRPr="00A83AA9" w:rsidRDefault="00A83AA9" w:rsidP="00A83AA9">
      <w:pPr>
        <w:pStyle w:val="IFTnormal"/>
        <w:rPr>
          <w:b/>
        </w:rPr>
      </w:pPr>
      <w:r w:rsidRPr="00A83AA9">
        <w:rPr>
          <w:b/>
        </w:rPr>
        <w:t>Resumen de comentarios de la Consulta Pública</w:t>
      </w:r>
    </w:p>
    <w:p w14:paraId="67CBE726" w14:textId="41169407" w:rsidR="00085EAB" w:rsidRDefault="00085EAB" w:rsidP="00145E87">
      <w:pPr>
        <w:pStyle w:val="IFTnormal"/>
      </w:pPr>
      <w:r>
        <w:t xml:space="preserve">Al respecto PROMTEL sugirió que en el anteproyecto o en algún mecanismo complementario se establezca que la información obtenida en la visita técnica con relación a la capacidad de </w:t>
      </w:r>
      <w:r w:rsidR="00AD1135">
        <w:t>ductos sea registrada en el SEG, a</w:t>
      </w:r>
      <w:r>
        <w:t>sí mismo sugiere se elimine la restricción de que el solicitante puede reenviar su</w:t>
      </w:r>
      <w:r w:rsidR="00AD1135">
        <w:t xml:space="preserve"> solicitud por una sola ocasión; a</w:t>
      </w:r>
      <w:r w:rsidR="002F7CDB">
        <w:t>clara que e</w:t>
      </w:r>
      <w:r w:rsidR="00071EFC">
        <w:t xml:space="preserve">stas </w:t>
      </w:r>
      <w:r w:rsidR="002F7CDB">
        <w:t>sugerencia</w:t>
      </w:r>
      <w:r w:rsidR="00071EFC">
        <w:t>s</w:t>
      </w:r>
      <w:r w:rsidR="002F7CDB">
        <w:t xml:space="preserve"> aplican también al servicio de canales ópticos y renta de fibra obscura.</w:t>
      </w:r>
    </w:p>
    <w:p w14:paraId="68BD86A3" w14:textId="6171A59B" w:rsidR="00071EFC" w:rsidRDefault="00071EFC" w:rsidP="00145E87">
      <w:pPr>
        <w:pStyle w:val="IFTnormal"/>
      </w:pPr>
      <w:r>
        <w:t xml:space="preserve">Por su parte AXTEL </w:t>
      </w:r>
      <w:r w:rsidR="004D7C39">
        <w:t>indicó</w:t>
      </w:r>
      <w:r>
        <w:t xml:space="preserve"> que la propuesta de oferta presentada por el AEP no debe ser considera por el Instituto debido a que esta propuesta no cumple con lo establecido en la medida CUDRAGÉSIMA PRIMERA de las Medidas Fijas.</w:t>
      </w:r>
    </w:p>
    <w:p w14:paraId="4D83E2C2" w14:textId="015D032B" w:rsidR="00071EFC" w:rsidRDefault="00071EFC" w:rsidP="00865F66">
      <w:pPr>
        <w:pStyle w:val="IFTnormal"/>
      </w:pPr>
      <w:r w:rsidRPr="00071EFC">
        <w:t xml:space="preserve">También </w:t>
      </w:r>
      <w:r w:rsidR="004D7C39">
        <w:t>sugirió</w:t>
      </w:r>
      <w:r w:rsidRPr="00071EFC">
        <w:t xml:space="preserve"> </w:t>
      </w:r>
      <w:r>
        <w:t xml:space="preserve">que </w:t>
      </w:r>
      <w:r w:rsidRPr="00071EFC">
        <w:t xml:space="preserve">se considere que </w:t>
      </w:r>
      <w:r>
        <w:t>los</w:t>
      </w:r>
      <w:r w:rsidRPr="00071EFC">
        <w:t xml:space="preserve"> CS pueda hacer uso de la infrae</w:t>
      </w:r>
      <w:r>
        <w:t>structura existente (subidas o b</w:t>
      </w:r>
      <w:r w:rsidRPr="00071EFC">
        <w:t>ajadas</w:t>
      </w:r>
      <w:r>
        <w:t xml:space="preserve"> a postes</w:t>
      </w:r>
      <w:r w:rsidRPr="00071EFC">
        <w:t xml:space="preserve">) en los casos en que la autoridad o administradores de inmuebles no permitan realizar trabajos adicionales a los ya </w:t>
      </w:r>
      <w:r w:rsidR="00865F66">
        <w:t>existentes.</w:t>
      </w:r>
    </w:p>
    <w:p w14:paraId="675D757F" w14:textId="2D480EFE" w:rsidR="00865F66" w:rsidRPr="00071EFC" w:rsidRDefault="008E4916" w:rsidP="00865F66">
      <w:pPr>
        <w:pStyle w:val="IFTnormal"/>
      </w:pPr>
      <w:r>
        <w:t>Por otra parte</w:t>
      </w:r>
      <w:r w:rsidR="00C9624D">
        <w:t>,</w:t>
      </w:r>
      <w:r>
        <w:t xml:space="preserve"> con r</w:t>
      </w:r>
      <w:r w:rsidR="005B373A">
        <w:t>especto a los procedimientos</w:t>
      </w:r>
      <w:r w:rsidR="00ED108F">
        <w:t xml:space="preserve"> realiza una serie de comentarios a diferentes etapas como a continuación se describen</w:t>
      </w:r>
      <w:r w:rsidR="005B373A">
        <w:t>, p</w:t>
      </w:r>
      <w:r w:rsidR="00B5296A">
        <w:t>ara la E</w:t>
      </w:r>
      <w:r w:rsidR="00865F66">
        <w:t xml:space="preserve">tapa 2 del procedimiento de </w:t>
      </w:r>
      <w:r w:rsidR="00865F66" w:rsidRPr="00865F66">
        <w:t xml:space="preserve">Programación </w:t>
      </w:r>
      <w:r w:rsidR="00865F66">
        <w:t>y realiza</w:t>
      </w:r>
      <w:r w:rsidR="005B373A">
        <w:t xml:space="preserve">ción de Visita Técnica, </w:t>
      </w:r>
      <w:r w:rsidR="004D7C39">
        <w:t>sugirió</w:t>
      </w:r>
      <w:r w:rsidR="00865F66">
        <w:t xml:space="preserve"> </w:t>
      </w:r>
      <w:r w:rsidR="00865F66" w:rsidRPr="00865F66">
        <w:t>mantener la obligación del AEP de programar la visita de verificación a la conclusión de los trabajos de acondicionamiento o en su caso el AEP debe subir al SEG el reporte detallado y fotográfico de los trabajos realizados para poder verificar lo anterior.</w:t>
      </w:r>
      <w:r w:rsidR="005B373A">
        <w:t xml:space="preserve"> Así mismo, sugirieron </w:t>
      </w:r>
      <w:r>
        <w:t xml:space="preserve">que </w:t>
      </w:r>
      <w:r w:rsidR="005B373A">
        <w:t>para el n</w:t>
      </w:r>
      <w:r w:rsidR="005B373A" w:rsidRPr="005B373A">
        <w:t>u</w:t>
      </w:r>
      <w:r w:rsidR="005B373A">
        <w:t xml:space="preserve">meral 2.1.3.1: Ruta Alternativa se incluya un </w:t>
      </w:r>
      <w:r w:rsidR="005B373A" w:rsidRPr="005B373A">
        <w:t xml:space="preserve">apartado de solicitud de ruta alterna o bien implementar </w:t>
      </w:r>
      <w:r w:rsidR="005B373A">
        <w:t>un</w:t>
      </w:r>
      <w:r w:rsidR="005B373A" w:rsidRPr="005B373A">
        <w:t xml:space="preserve"> mecanismo que permita llevar la continuidad del proceso de la ruta alterna dentro de los tiempos establecidos en la oferta.</w:t>
      </w:r>
    </w:p>
    <w:p w14:paraId="48B3E980" w14:textId="4BE4E975" w:rsidR="008E4916" w:rsidRDefault="00C9624D" w:rsidP="00145E87">
      <w:pPr>
        <w:pStyle w:val="IFTnormal"/>
      </w:pPr>
      <w:r>
        <w:t>De la misma</w:t>
      </w:r>
      <w:r w:rsidR="008E4916">
        <w:t xml:space="preserve"> manera p</w:t>
      </w:r>
      <w:r w:rsidR="00B5296A">
        <w:t xml:space="preserve">ara la </w:t>
      </w:r>
      <w:r w:rsidR="00B5296A" w:rsidRPr="00B5296A">
        <w:t>Etapa 3 Elaboración de Antep</w:t>
      </w:r>
      <w:r w:rsidR="00B5296A">
        <w:t xml:space="preserve">royecto y Programa de Trabajo, </w:t>
      </w:r>
      <w:r w:rsidR="009518BF">
        <w:t>sugirió</w:t>
      </w:r>
      <w:r w:rsidR="00B5296A">
        <w:t xml:space="preserve"> se incluya </w:t>
      </w:r>
      <w:r w:rsidR="00B5296A" w:rsidRPr="00B5296A">
        <w:t xml:space="preserve">que la información deberá ser entregada por parte del AEP en un tiempo no mayor a 2 días naturales, así como como también </w:t>
      </w:r>
      <w:r w:rsidR="008E4916">
        <w:t xml:space="preserve">que </w:t>
      </w:r>
      <w:r w:rsidR="00B5296A" w:rsidRPr="00B5296A">
        <w:t>el CS podrá aplicar una penalización al AEP por el incumplimiento de la entrega de la información, siendo el equivalente al costo que represente la Visita técnica al CS.</w:t>
      </w:r>
      <w:r w:rsidR="00527687">
        <w:t xml:space="preserve"> </w:t>
      </w:r>
    </w:p>
    <w:p w14:paraId="034F358E" w14:textId="1A972B02" w:rsidR="00527687" w:rsidRDefault="008E4916" w:rsidP="00145E87">
      <w:pPr>
        <w:pStyle w:val="IFTnormal"/>
      </w:pPr>
      <w:r>
        <w:t>Para</w:t>
      </w:r>
      <w:r w:rsidR="00527687">
        <w:t xml:space="preserve"> la Etapa </w:t>
      </w:r>
      <w:r w:rsidR="00527687" w:rsidRPr="00527687">
        <w:t>5 Instalación de Infraestructura</w:t>
      </w:r>
      <w:r w:rsidR="00527687">
        <w:t xml:space="preserve"> </w:t>
      </w:r>
      <w:r w:rsidR="009518BF">
        <w:t>sugirió</w:t>
      </w:r>
      <w:r w:rsidR="00527687">
        <w:t xml:space="preserve"> se amplíe </w:t>
      </w:r>
      <w:r w:rsidR="00527687" w:rsidRPr="00527687">
        <w:t xml:space="preserve">el plazo </w:t>
      </w:r>
      <w:r w:rsidR="00527687">
        <w:t xml:space="preserve">de instalación </w:t>
      </w:r>
      <w:r w:rsidR="00527687" w:rsidRPr="00527687">
        <w:t>a 20 d</w:t>
      </w:r>
      <w:r w:rsidR="00527687">
        <w:t xml:space="preserve">ías </w:t>
      </w:r>
      <w:r w:rsidR="00527687" w:rsidRPr="00527687">
        <w:t>h</w:t>
      </w:r>
      <w:r w:rsidR="00527687">
        <w:t>ábiles</w:t>
      </w:r>
      <w:r w:rsidR="00527687" w:rsidRPr="00527687">
        <w:t xml:space="preserve"> si el CS no cuenta aún con el permiso por parte de la</w:t>
      </w:r>
      <w:r w:rsidR="00527687">
        <w:t>s autoridades</w:t>
      </w:r>
      <w:r w:rsidR="00527687" w:rsidRPr="00527687">
        <w:t xml:space="preserve">. </w:t>
      </w:r>
      <w:r w:rsidR="0084587C">
        <w:t xml:space="preserve">Así mismo </w:t>
      </w:r>
      <w:r w:rsidR="0084587C" w:rsidRPr="0084587C">
        <w:t>permitir un tiempo de notificación de 10 días hábil</w:t>
      </w:r>
      <w:r w:rsidR="0084587C">
        <w:t>es al término de la instalación.</w:t>
      </w:r>
    </w:p>
    <w:p w14:paraId="6B4DBCB3" w14:textId="48F679A1" w:rsidR="00B725AD" w:rsidRDefault="00B725AD" w:rsidP="00B725AD">
      <w:pPr>
        <w:pStyle w:val="IFTnormal"/>
      </w:pPr>
      <w:r>
        <w:t xml:space="preserve">De la </w:t>
      </w:r>
      <w:r w:rsidRPr="00B725AD">
        <w:t>Etapa 6 Verificación de Instalación de Infraestructura</w:t>
      </w:r>
      <w:r>
        <w:t xml:space="preserve">, </w:t>
      </w:r>
      <w:r w:rsidR="00004D2C">
        <w:t>sugirió</w:t>
      </w:r>
      <w:r>
        <w:t xml:space="preserve"> que</w:t>
      </w:r>
      <w:r w:rsidR="00004D2C">
        <w:t xml:space="preserve"> se</w:t>
      </w:r>
      <w:r>
        <w:t xml:space="preserve"> incluya que el AEP deberá asistir a la verificación con: 1) el plano técnico que se haya levantado durante la Visita Técnica y 2) con el plano de anteproyecto entregado por el CS y aprobado por el AEP.</w:t>
      </w:r>
    </w:p>
    <w:p w14:paraId="7DCFCA4F" w14:textId="77777777" w:rsidR="00ED108F" w:rsidRDefault="0026112B" w:rsidP="00B725AD">
      <w:pPr>
        <w:pStyle w:val="IFTnormal"/>
      </w:pPr>
      <w:r>
        <w:t xml:space="preserve">Para la Etapa 7 Corrección de Instalación, </w:t>
      </w:r>
      <w:r w:rsidR="00004D2C">
        <w:t>solicitó</w:t>
      </w:r>
      <w:r>
        <w:t xml:space="preserve"> que se apliquen las condiciones de que </w:t>
      </w:r>
      <w:r w:rsidRPr="0026112B">
        <w:t>el CS tendrá 10 d</w:t>
      </w:r>
      <w:r>
        <w:t xml:space="preserve">ías </w:t>
      </w:r>
      <w:r w:rsidRPr="0026112B">
        <w:t>h</w:t>
      </w:r>
      <w:r>
        <w:t>ábiles</w:t>
      </w:r>
      <w:r w:rsidRPr="0026112B">
        <w:t xml:space="preserve"> para enviar la información correspondiente; y en los casos en que haya sido necesario tramitar un nuevo permiso y este aún no se encuentre liberado por parte de la autoridad, el plazo pueda prorrogarse cuando menos por 20 d</w:t>
      </w:r>
      <w:r>
        <w:t xml:space="preserve">ías </w:t>
      </w:r>
      <w:r w:rsidRPr="0026112B">
        <w:t>h</w:t>
      </w:r>
      <w:r>
        <w:t>ábiles</w:t>
      </w:r>
      <w:r w:rsidRPr="0026112B">
        <w:t xml:space="preserve"> más.</w:t>
      </w:r>
      <w:r>
        <w:t xml:space="preserve"> </w:t>
      </w:r>
      <w:r w:rsidR="002034C0">
        <w:t>También</w:t>
      </w:r>
      <w:r w:rsidR="007731B3">
        <w:t xml:space="preserve"> </w:t>
      </w:r>
      <w:r w:rsidR="00331150">
        <w:t xml:space="preserve">solicitó eliminar </w:t>
      </w:r>
      <w:r w:rsidR="007731B3">
        <w:t xml:space="preserve">el numeral </w:t>
      </w:r>
      <w:r w:rsidRPr="0026112B">
        <w:t>7.1.1</w:t>
      </w:r>
      <w:r>
        <w:t xml:space="preserve"> y el numeral 7.3.</w:t>
      </w:r>
      <w:r w:rsidR="00E701EE">
        <w:t xml:space="preserve"> Adicionalmente</w:t>
      </w:r>
      <w:r w:rsidR="002034C0">
        <w:t>,</w:t>
      </w:r>
      <w:r w:rsidR="00E701EE">
        <w:t xml:space="preserve"> sugirió que se contemple que en caso de que el CS requiera instalar algún elemento adicional se incluya un procedimiento para que el CS dé aviso al AEP sobre dicha situación y así obtener la autorización del AEP y no afecte el plan de trabajo.</w:t>
      </w:r>
      <w:r w:rsidR="005126C9">
        <w:t xml:space="preserve"> </w:t>
      </w:r>
    </w:p>
    <w:p w14:paraId="68978684" w14:textId="3B330845" w:rsidR="0026112B" w:rsidRDefault="00ED108F" w:rsidP="00B725AD">
      <w:pPr>
        <w:pStyle w:val="IFTnormal"/>
      </w:pPr>
      <w:r>
        <w:t>Finalmente indicando que e</w:t>
      </w:r>
      <w:r w:rsidR="005126C9">
        <w:t>stas mismas observaciones las solicitaron para los diferentes servicios de la oferta donde aplique.</w:t>
      </w:r>
    </w:p>
    <w:p w14:paraId="7F7D702B" w14:textId="53DAD19A" w:rsidR="00527687" w:rsidRDefault="007731B3" w:rsidP="00145E87">
      <w:pPr>
        <w:pStyle w:val="IFTnormal"/>
      </w:pPr>
      <w:r>
        <w:t>M</w:t>
      </w:r>
      <w:r w:rsidR="00ED108F">
        <w:t>EGACABLE</w:t>
      </w:r>
      <w:r>
        <w:t xml:space="preserve"> por su parte sugirió que s</w:t>
      </w:r>
      <w:r w:rsidRPr="007731B3">
        <w:t xml:space="preserve">e </w:t>
      </w:r>
      <w:r>
        <w:t>reduzcan</w:t>
      </w:r>
      <w:r w:rsidRPr="007731B3">
        <w:t xml:space="preserve"> los plazos máximos </w:t>
      </w:r>
      <w:r>
        <w:t xml:space="preserve">en los procedimientos para la contratación de los servicios </w:t>
      </w:r>
      <w:r w:rsidRPr="007731B3">
        <w:t>o bien, establecer la posibilidad de ofrecer el servicio de canales ópticos de alta capacidad y/o la renta de fibra obscura en una etapa temprana de la solicitud de servicio.</w:t>
      </w:r>
    </w:p>
    <w:p w14:paraId="47F42E2E" w14:textId="618CB47B" w:rsidR="00077624" w:rsidRDefault="00077624" w:rsidP="00077624">
      <w:pPr>
        <w:pStyle w:val="IFTnormal"/>
      </w:pPr>
      <w:r>
        <w:t xml:space="preserve">Por su parte ATT solicitó eliminar, del numeral 1.2 Ductos y 1.3 Pozos, lo referente a que se debe realizar visita técnica para determinar capacidad existente, esto debido a que el SEG </w:t>
      </w:r>
      <w:r w:rsidR="002034C0">
        <w:t xml:space="preserve">ya </w:t>
      </w:r>
      <w:r>
        <w:t>indica cuando existe capacidad excedente y por lo tanto no consideran necesario la visita técnica para verificarlo.</w:t>
      </w:r>
    </w:p>
    <w:p w14:paraId="45123800" w14:textId="037575E6" w:rsidR="00071ED1" w:rsidRDefault="00077624" w:rsidP="00077624">
      <w:pPr>
        <w:pStyle w:val="IFTnormal"/>
      </w:pPr>
      <w:r>
        <w:t xml:space="preserve">Referente a los procedimientos, ATT </w:t>
      </w:r>
      <w:r w:rsidR="00004D2C">
        <w:t>solicitó</w:t>
      </w:r>
      <w:r>
        <w:t xml:space="preserve"> eliminar de la Etapa 1 el numeral 2.1.1.2.  Así mismo solicita eliminar de la Etapa 3 lo referente a que en la elaboración de anteproyecto se deberá incluir todas la mediciones y cálculos necesario</w:t>
      </w:r>
      <w:r w:rsidR="003C36DB">
        <w:t>s</w:t>
      </w:r>
      <w:r>
        <w:t xml:space="preserve"> para determinar la capacidad excedente de la infraestructura. De la Etapa 5 Instalación de Infraestructura indicaron que se debe ampliar el plazo de 10 a 20 días. También de la Etapa 7 Corrección de Instal</w:t>
      </w:r>
      <w:r w:rsidR="00C107FE">
        <w:t xml:space="preserve">ación ampliarse de 2 a 20 días y la Etapa 4 Verificación de Desinstalación de Infraestructura </w:t>
      </w:r>
      <w:r w:rsidR="002034C0">
        <w:t>solicitaron</w:t>
      </w:r>
      <w:r w:rsidR="00C107FE">
        <w:t xml:space="preserve"> eliminar el plazo de desinstalación o en su caso ampliarlo a 30 días.</w:t>
      </w:r>
    </w:p>
    <w:p w14:paraId="6E899792" w14:textId="0021A194" w:rsidR="007B6BE6" w:rsidRDefault="00071ED1" w:rsidP="00077624">
      <w:pPr>
        <w:pStyle w:val="IFTnormal"/>
      </w:pPr>
      <w:r>
        <w:t xml:space="preserve">Por su parte TELEFÓNICA </w:t>
      </w:r>
      <w:r w:rsidR="00A73837">
        <w:t>solicitó</w:t>
      </w:r>
      <w:r>
        <w:t xml:space="preserve"> que se </w:t>
      </w:r>
      <w:r w:rsidR="007B6BE6">
        <w:t xml:space="preserve">contemple </w:t>
      </w:r>
      <w:r>
        <w:t xml:space="preserve">la opción de </w:t>
      </w:r>
      <w:r w:rsidR="007B6BE6">
        <w:t xml:space="preserve">que la </w:t>
      </w:r>
      <w:r>
        <w:t xml:space="preserve">visita técnica </w:t>
      </w:r>
      <w:r w:rsidR="007B6BE6">
        <w:t xml:space="preserve">sea </w:t>
      </w:r>
      <w:r>
        <w:t xml:space="preserve">autónoma, esto es, realizar la </w:t>
      </w:r>
      <w:r w:rsidR="00581850">
        <w:t>V</w:t>
      </w:r>
      <w:r>
        <w:t xml:space="preserve">isita </w:t>
      </w:r>
      <w:r w:rsidR="00581850">
        <w:t>T</w:t>
      </w:r>
      <w:r>
        <w:t xml:space="preserve">écnica por parte del CS sin la presencia del AEP. </w:t>
      </w:r>
    </w:p>
    <w:p w14:paraId="67AF2459" w14:textId="12D41DD8" w:rsidR="00071ED1" w:rsidRDefault="00071ED1" w:rsidP="00077624">
      <w:pPr>
        <w:pStyle w:val="IFTnormal"/>
      </w:pPr>
      <w:r>
        <w:t>Adicionalmente solicitan incorporar nuevos indicadores de desempeño es</w:t>
      </w:r>
      <w:r w:rsidRPr="00071ED1">
        <w:t xml:space="preserve">pecíficos para </w:t>
      </w:r>
      <w:r w:rsidR="00332AC7">
        <w:t>los</w:t>
      </w:r>
      <w:r w:rsidRPr="00071ED1">
        <w:t xml:space="preserve"> servicio</w:t>
      </w:r>
      <w:r w:rsidR="00332AC7">
        <w:t>s</w:t>
      </w:r>
      <w:r w:rsidRPr="00071ED1">
        <w:t xml:space="preserve"> y poder compararlos con los indicadores de los despliegues de fibra hasta el hogar que lleva a cabo el AEP</w:t>
      </w:r>
      <w:r w:rsidR="00026F5D">
        <w:t>.</w:t>
      </w:r>
    </w:p>
    <w:p w14:paraId="7089762E" w14:textId="7294F3B6" w:rsidR="008F7269" w:rsidRDefault="002034C0" w:rsidP="00077624">
      <w:pPr>
        <w:pStyle w:val="IFTnormal"/>
      </w:pPr>
      <w:r>
        <w:t xml:space="preserve">Por su parte, </w:t>
      </w:r>
      <w:r w:rsidR="00026F5D">
        <w:t xml:space="preserve">CANIETI </w:t>
      </w:r>
      <w:r w:rsidR="00127ECA">
        <w:t>real</w:t>
      </w:r>
      <w:r>
        <w:t>izó</w:t>
      </w:r>
      <w:r w:rsidR="008F7269">
        <w:t xml:space="preserve"> una serie de comentarios como se describen</w:t>
      </w:r>
      <w:r w:rsidR="00127ECA">
        <w:t xml:space="preserve"> a continuación: </w:t>
      </w:r>
    </w:p>
    <w:p w14:paraId="59619565" w14:textId="696AD618" w:rsidR="00026F5D" w:rsidRDefault="008F7269" w:rsidP="00077624">
      <w:pPr>
        <w:pStyle w:val="IFTnormal"/>
      </w:pPr>
      <w:r>
        <w:t>S</w:t>
      </w:r>
      <w:r w:rsidR="00026F5D">
        <w:t>olicitó que se aclare</w:t>
      </w:r>
      <w:r w:rsidR="00026F5D" w:rsidRPr="00026F5D">
        <w:t xml:space="preserve"> </w:t>
      </w:r>
      <w:r w:rsidR="00026F5D" w:rsidRPr="00C9624D">
        <w:rPr>
          <w:i/>
        </w:rPr>
        <w:t xml:space="preserve">“La suma de las secciones de todos los cables y/o </w:t>
      </w:r>
      <w:proofErr w:type="spellStart"/>
      <w:r w:rsidR="00026F5D" w:rsidRPr="00C9624D">
        <w:rPr>
          <w:i/>
        </w:rPr>
        <w:t>subductos</w:t>
      </w:r>
      <w:proofErr w:type="spellEnd"/>
      <w:r w:rsidR="00026F5D" w:rsidRPr="00C9624D">
        <w:rPr>
          <w:i/>
        </w:rPr>
        <w:t xml:space="preserve"> instalados deberá no debe exceder el 80% de la sección total del ducto.”</w:t>
      </w:r>
      <w:r w:rsidR="00026F5D">
        <w:t xml:space="preserve">. </w:t>
      </w:r>
      <w:r w:rsidR="008E453A">
        <w:t>También solicitó</w:t>
      </w:r>
      <w:r w:rsidR="00026F5D">
        <w:t xml:space="preserve"> se eliminen los párrafos de los numerales </w:t>
      </w:r>
      <w:r w:rsidR="00026F5D" w:rsidRPr="00026F5D">
        <w:t>1.2.3</w:t>
      </w:r>
      <w:r w:rsidR="00026F5D">
        <w:t xml:space="preserve"> y 1.3.2 </w:t>
      </w:r>
      <w:r w:rsidR="0083724B">
        <w:t xml:space="preserve">Criterios </w:t>
      </w:r>
      <w:r w:rsidR="00026F5D" w:rsidRPr="00026F5D">
        <w:t>para determinar capacidad excedente en ductos</w:t>
      </w:r>
      <w:r w:rsidR="00026F5D">
        <w:t xml:space="preserve"> y </w:t>
      </w:r>
      <w:r w:rsidR="00026F5D" w:rsidRPr="00026F5D">
        <w:t>Criterios para determinar capacidad excedente en pozo</w:t>
      </w:r>
      <w:r w:rsidR="00026F5D">
        <w:t xml:space="preserve">, respectivamente, </w:t>
      </w:r>
      <w:r w:rsidR="008E453A">
        <w:t>y que corresponden</w:t>
      </w:r>
      <w:r w:rsidR="00026F5D">
        <w:t xml:space="preserve"> a la visita técnica para determina capacidad excedente</w:t>
      </w:r>
      <w:r w:rsidR="008E453A">
        <w:t>,</w:t>
      </w:r>
      <w:r w:rsidR="00026F5D">
        <w:t xml:space="preserve"> en la </w:t>
      </w:r>
      <w:r w:rsidR="00026F5D" w:rsidRPr="00026F5D">
        <w:t>cual se realizarán todas las mediciones y cálculos necesarios para determinar si es factible o no</w:t>
      </w:r>
      <w:r w:rsidR="008E453A">
        <w:t>. Indicó</w:t>
      </w:r>
      <w:r w:rsidR="004825B3">
        <w:t xml:space="preserve"> que e</w:t>
      </w:r>
      <w:r w:rsidR="0083724B">
        <w:t xml:space="preserve">sto mismo aplica para </w:t>
      </w:r>
      <w:r w:rsidR="008E453A">
        <w:t>la misma</w:t>
      </w:r>
      <w:r w:rsidR="0083724B">
        <w:t xml:space="preserve"> etapa de todos los servicios.</w:t>
      </w:r>
    </w:p>
    <w:p w14:paraId="0ED7794B" w14:textId="58905D51" w:rsidR="004825B3" w:rsidRDefault="004825B3" w:rsidP="00077624">
      <w:pPr>
        <w:pStyle w:val="IFTnormal"/>
      </w:pPr>
      <w:r w:rsidRPr="00B7235F">
        <w:t>Por otra parte</w:t>
      </w:r>
      <w:r w:rsidR="00911CA0" w:rsidRPr="00B7235F">
        <w:t>,</w:t>
      </w:r>
      <w:r w:rsidR="007B6BE6" w:rsidRPr="00B7235F">
        <w:t xml:space="preserve"> </w:t>
      </w:r>
      <w:r w:rsidR="00C9624D" w:rsidRPr="00B7235F">
        <w:t>propuso</w:t>
      </w:r>
      <w:r w:rsidR="00026F5D" w:rsidRPr="00B7235F">
        <w:t xml:space="preserve"> que se establezca en la ORCI fija que la solicitud de isométricos para un NIS debe ser ilimitada </w:t>
      </w:r>
      <w:r w:rsidRPr="00B7235F">
        <w:t>s</w:t>
      </w:r>
      <w:r w:rsidR="00026F5D" w:rsidRPr="00B7235F">
        <w:t>ugiri</w:t>
      </w:r>
      <w:r w:rsidRPr="00B7235F">
        <w:t>endo además</w:t>
      </w:r>
      <w:r w:rsidR="00026F5D" w:rsidRPr="00B7235F">
        <w:t xml:space="preserve"> eliminar el numeral 1.3.3 Conexión a pozo porque implica una doble penalización.</w:t>
      </w:r>
    </w:p>
    <w:p w14:paraId="5FF4ACE8" w14:textId="20B5C140" w:rsidR="00026F5D" w:rsidRPr="00581850" w:rsidRDefault="00911CA0" w:rsidP="00077624">
      <w:pPr>
        <w:pStyle w:val="IFTnormal"/>
      </w:pPr>
      <w:r w:rsidRPr="00581850">
        <w:t>Además de indicar</w:t>
      </w:r>
      <w:r w:rsidR="004825B3" w:rsidRPr="00581850">
        <w:t xml:space="preserve"> la necesidad de que </w:t>
      </w:r>
      <w:r w:rsidR="00D15971" w:rsidRPr="00581850">
        <w:t>se establezca en la ORCI fija la obligación de ofrecer a los CS alternativas como acceder a los servicios mayoristas de la OREDA a los mismos precios que los servicios de la ORCI inicialmente solicitados.</w:t>
      </w:r>
    </w:p>
    <w:p w14:paraId="54E5BC7F" w14:textId="77777777" w:rsidR="007B6BE6" w:rsidRDefault="00554915" w:rsidP="00077624">
      <w:pPr>
        <w:pStyle w:val="IFTnormal"/>
      </w:pPr>
      <w:r w:rsidRPr="007441A1">
        <w:t>P</w:t>
      </w:r>
      <w:r w:rsidR="001006F8" w:rsidRPr="007441A1">
        <w:t>ropuso que se establezca en la ORCI fija que la infraestructura pasiva (ductos, postes, etc.) de las acometidas debe compartirse.</w:t>
      </w:r>
    </w:p>
    <w:p w14:paraId="336DAA74" w14:textId="3C4BE695" w:rsidR="007B6BE6" w:rsidRDefault="001006F8" w:rsidP="00077624">
      <w:pPr>
        <w:pStyle w:val="IFTnormal"/>
      </w:pPr>
      <w:r>
        <w:t>Solicitaron que se establezca</w:t>
      </w:r>
      <w:r w:rsidRPr="001006F8">
        <w:t xml:space="preserve"> en la ORCI fija el permiso que deberían tener los CS de acceder a los ductos de mantenimiento</w:t>
      </w:r>
      <w:r w:rsidR="007B6BE6">
        <w:t xml:space="preserve">, </w:t>
      </w:r>
      <w:r w:rsidR="007B6BE6" w:rsidRPr="00F544C4">
        <w:t>además q</w:t>
      </w:r>
      <w:r w:rsidRPr="00F544C4">
        <w:t>ue se implemente en la ORCI fija la obligación que tiene el AEP de demostrar técnicamente si hay posibilidad de recuperación de espacio</w:t>
      </w:r>
      <w:r w:rsidRPr="001006F8">
        <w:t xml:space="preserve">. </w:t>
      </w:r>
    </w:p>
    <w:p w14:paraId="26550D29" w14:textId="46D9AAA9" w:rsidR="00087AB9" w:rsidRDefault="007B6BE6" w:rsidP="00077624">
      <w:pPr>
        <w:pStyle w:val="IFTnormal"/>
      </w:pPr>
      <w:r>
        <w:t>I</w:t>
      </w:r>
      <w:r w:rsidR="001006F8">
        <w:t xml:space="preserve">mplementar penalizaciones </w:t>
      </w:r>
      <w:r w:rsidR="001006F8" w:rsidRPr="001006F8">
        <w:t>para los casos en los que el AEP no envía las cotizaciones desglosadas.</w:t>
      </w:r>
      <w:r w:rsidR="001006F8">
        <w:t xml:space="preserve"> </w:t>
      </w:r>
    </w:p>
    <w:p w14:paraId="2DB7FA81" w14:textId="448936F2" w:rsidR="00D5650B" w:rsidRDefault="00087AB9" w:rsidP="00077624">
      <w:pPr>
        <w:pStyle w:val="IFTnormal"/>
      </w:pPr>
      <w:r>
        <w:t>La e</w:t>
      </w:r>
      <w:r w:rsidR="001006F8" w:rsidRPr="001006F8">
        <w:t>limina</w:t>
      </w:r>
      <w:r>
        <w:t xml:space="preserve">ción de </w:t>
      </w:r>
      <w:r w:rsidR="001006F8" w:rsidRPr="001006F8">
        <w:t>las actividades de acondicionamiento de infraestructura como parte de los trabajos especiales</w:t>
      </w:r>
      <w:r w:rsidR="00D5650B">
        <w:t>,</w:t>
      </w:r>
      <w:r w:rsidR="0058140D">
        <w:t xml:space="preserve"> estable</w:t>
      </w:r>
      <w:r w:rsidR="00D5650B">
        <w:t>cimiento</w:t>
      </w:r>
      <w:r w:rsidR="0058140D">
        <w:t xml:space="preserve"> </w:t>
      </w:r>
      <w:r w:rsidR="00B96EBD">
        <w:t>en la ORCI fija que el AEP</w:t>
      </w:r>
      <w:r w:rsidR="0058140D" w:rsidRPr="0058140D">
        <w:t xml:space="preserve"> está en la obligación de poner a disposición de los CS la cotización todos los cargos asociados a la provisión del servicio</w:t>
      </w:r>
      <w:r w:rsidR="00D5650B">
        <w:t xml:space="preserve">, </w:t>
      </w:r>
      <w:r w:rsidR="00D5650B" w:rsidRPr="008911DB">
        <w:t>supresión</w:t>
      </w:r>
      <w:r w:rsidR="0058140D" w:rsidRPr="008911DB">
        <w:t xml:space="preserve"> </w:t>
      </w:r>
      <w:r w:rsidR="00D5650B" w:rsidRPr="008911DB">
        <w:t>d</w:t>
      </w:r>
      <w:r w:rsidR="0058140D" w:rsidRPr="008911DB">
        <w:t>el cobro por análisis de factibilidad</w:t>
      </w:r>
      <w:r w:rsidR="00D5650B">
        <w:t>,</w:t>
      </w:r>
      <w:r w:rsidR="0058140D">
        <w:t xml:space="preserve"> </w:t>
      </w:r>
      <w:r w:rsidR="00D5650B">
        <w:t>clarificación de</w:t>
      </w:r>
      <w:r w:rsidR="0058140D">
        <w:t xml:space="preserve"> los </w:t>
      </w:r>
      <w:r w:rsidR="0058140D" w:rsidRPr="0058140D">
        <w:t xml:space="preserve">requisitos que debe contener </w:t>
      </w:r>
      <w:r w:rsidR="0058140D">
        <w:t>el</w:t>
      </w:r>
      <w:r w:rsidR="0058140D" w:rsidRPr="0058140D">
        <w:t xml:space="preserve"> anteproyecto.</w:t>
      </w:r>
      <w:r w:rsidR="00B96EBD">
        <w:t xml:space="preserve"> </w:t>
      </w:r>
    </w:p>
    <w:p w14:paraId="29C869B4" w14:textId="39C73131" w:rsidR="0058140D" w:rsidRDefault="00C9624D" w:rsidP="00077624">
      <w:pPr>
        <w:pStyle w:val="IFTnormal"/>
      </w:pPr>
      <w:r>
        <w:t>Finalmente,</w:t>
      </w:r>
      <w:r w:rsidR="00D5650B">
        <w:t xml:space="preserve"> a</w:t>
      </w:r>
      <w:r>
        <w:t>di</w:t>
      </w:r>
      <w:r w:rsidR="00D5650B">
        <w:t>c</w:t>
      </w:r>
      <w:r w:rsidR="00B96EBD">
        <w:t>iona</w:t>
      </w:r>
      <w:r w:rsidR="00D5650B">
        <w:t>r</w:t>
      </w:r>
      <w:r w:rsidR="00B96EBD">
        <w:t xml:space="preserve"> que se establezca</w:t>
      </w:r>
      <w:r w:rsidR="00B96EBD" w:rsidRPr="00B96EBD">
        <w:t xml:space="preserve"> que los ductos asignados para instalación deben cumplir los requerimientos especificados por el CS y definir una penalidad al AEP en caso de que la instalación sea inviable por falta de espacio en el ducto.</w:t>
      </w:r>
    </w:p>
    <w:p w14:paraId="007174C8" w14:textId="11170C32" w:rsidR="00026F5D" w:rsidRDefault="000E0093" w:rsidP="00077624">
      <w:pPr>
        <w:pStyle w:val="IFTnormal"/>
      </w:pPr>
      <w:r>
        <w:t>UC TELECOM</w:t>
      </w:r>
      <w:r w:rsidR="00524250">
        <w:t xml:space="preserve"> indicó</w:t>
      </w:r>
      <w:r w:rsidR="00003A58">
        <w:t xml:space="preserve"> </w:t>
      </w:r>
      <w:r w:rsidR="00C9624D">
        <w:t>que,</w:t>
      </w:r>
      <w:r w:rsidR="00003A58">
        <w:t xml:space="preserve"> con</w:t>
      </w:r>
      <w:r>
        <w:t xml:space="preserve"> respecto al anteproyecto, se indique en la ORCI fija que </w:t>
      </w:r>
      <w:r w:rsidRPr="000E0093">
        <w:t xml:space="preserve">no </w:t>
      </w:r>
      <w:r w:rsidR="00003A58">
        <w:t xml:space="preserve">se </w:t>
      </w:r>
      <w:r w:rsidRPr="000E0093">
        <w:t>podrá rechazar anteproyectos por la falta de información</w:t>
      </w:r>
      <w:r>
        <w:t xml:space="preserve"> y que se incluya el formato de</w:t>
      </w:r>
      <w:r w:rsidR="00003A58">
        <w:t>l</w:t>
      </w:r>
      <w:r>
        <w:t xml:space="preserve"> anteproyecto</w:t>
      </w:r>
      <w:r w:rsidR="00F116B3">
        <w:t>. Observ</w:t>
      </w:r>
      <w:r w:rsidR="00821496">
        <w:t>ó</w:t>
      </w:r>
      <w:r>
        <w:t xml:space="preserve"> que resulta </w:t>
      </w:r>
      <w:r w:rsidRPr="000E0093">
        <w:t>improcedente que el AEP incluya en esta propuesta de O</w:t>
      </w:r>
      <w:r w:rsidR="00524250">
        <w:t xml:space="preserve">ferta de </w:t>
      </w:r>
      <w:r w:rsidRPr="000E0093">
        <w:t>R</w:t>
      </w:r>
      <w:r w:rsidR="00524250">
        <w:t>eferencia</w:t>
      </w:r>
      <w:r w:rsidRPr="000E0093">
        <w:t xml:space="preserve"> plazos extras para proporcionar los planos isométricos de los pozos.</w:t>
      </w:r>
    </w:p>
    <w:p w14:paraId="12F32E95" w14:textId="4D7EDC22" w:rsidR="00915B0C" w:rsidRPr="00915B0C" w:rsidRDefault="00F116B3" w:rsidP="00915B0C">
      <w:pPr>
        <w:pStyle w:val="IFTnormal"/>
      </w:pPr>
      <w:r>
        <w:t>En</w:t>
      </w:r>
      <w:r w:rsidR="00394DE4">
        <w:t xml:space="preserve"> r</w:t>
      </w:r>
      <w:r w:rsidR="00915B0C">
        <w:t>eferen</w:t>
      </w:r>
      <w:r w:rsidR="00394DE4">
        <w:t xml:space="preserve">cia </w:t>
      </w:r>
      <w:r w:rsidR="00915B0C">
        <w:t xml:space="preserve">al procedimiento de Visita Técnica indicó que </w:t>
      </w:r>
      <w:r>
        <w:t xml:space="preserve">por una parte </w:t>
      </w:r>
      <w:r w:rsidR="00915B0C">
        <w:t>debe</w:t>
      </w:r>
      <w:r w:rsidR="00915B0C" w:rsidRPr="00915B0C">
        <w:t xml:space="preserve"> ser un medio de confirmación/revis</w:t>
      </w:r>
      <w:r w:rsidR="00915B0C">
        <w:t xml:space="preserve">ión de la respuesta del AEP </w:t>
      </w:r>
      <w:r w:rsidR="00394DE4">
        <w:t>el</w:t>
      </w:r>
      <w:r w:rsidR="00915B0C">
        <w:t xml:space="preserve"> Análisis de F</w:t>
      </w:r>
      <w:r w:rsidR="00915B0C" w:rsidRPr="00915B0C">
        <w:t>actibilidad</w:t>
      </w:r>
      <w:r w:rsidR="00394DE4">
        <w:t xml:space="preserve"> y por otra que p</w:t>
      </w:r>
      <w:r w:rsidR="00915B0C">
        <w:t>ara el procedimiento de Análisis d</w:t>
      </w:r>
      <w:r w:rsidR="00394DE4">
        <w:t>e</w:t>
      </w:r>
      <w:r w:rsidR="00915B0C">
        <w:t xml:space="preserve"> Factibilidad se modifique para que se contemple que una vez ejecutado el </w:t>
      </w:r>
      <w:r w:rsidR="00915B0C" w:rsidRPr="00915B0C">
        <w:t>Análisis d Factibilidad</w:t>
      </w:r>
      <w:r w:rsidR="00915B0C">
        <w:t xml:space="preserve"> se notifique al CS</w:t>
      </w:r>
      <w:r w:rsidR="00394DE4">
        <w:t xml:space="preserve"> como</w:t>
      </w:r>
      <w:r w:rsidR="00915B0C">
        <w:t>: f</w:t>
      </w:r>
      <w:r w:rsidR="00915B0C" w:rsidRPr="00915B0C">
        <w:t>actible tal cual se indica en el Anteproyecto</w:t>
      </w:r>
      <w:r w:rsidR="00915B0C">
        <w:t>, factible con ejecución de trabajos especiales, factible con ruta alterna, factible con uso de canales ópticos de alta capacidad de transporte, factible con renta de fibra obscura, o no factible</w:t>
      </w:r>
      <w:r w:rsidR="00394DE4">
        <w:t xml:space="preserve"> y</w:t>
      </w:r>
      <w:r w:rsidR="00915B0C">
        <w:t xml:space="preserve"> </w:t>
      </w:r>
      <w:r w:rsidR="00394DE4">
        <w:t>s</w:t>
      </w:r>
      <w:r w:rsidR="00915B0C">
        <w:t xml:space="preserve">e deberá </w:t>
      </w:r>
      <w:r w:rsidR="00C9624D">
        <w:t>detallar las razones de cada</w:t>
      </w:r>
      <w:r w:rsidR="00394DE4">
        <w:t xml:space="preserve"> una vez realizado p</w:t>
      </w:r>
      <w:r w:rsidR="001E706D">
        <w:t>osterior</w:t>
      </w:r>
      <w:r w:rsidR="00394DE4">
        <w:t>mente</w:t>
      </w:r>
      <w:r w:rsidR="001E706D">
        <w:t xml:space="preserve"> se podrá ejecutar la Visita Técnica para analiza y concretar in situ el servicio. </w:t>
      </w:r>
      <w:r w:rsidR="001E706D" w:rsidRPr="001E706D">
        <w:t>En caso de encontrar alguna anomalía, se tendría que actualizar el resultado del Análisis de Factibilidad, estableciendo un plazo razonable para ello.</w:t>
      </w:r>
    </w:p>
    <w:p w14:paraId="3D95E128" w14:textId="77777777" w:rsidR="00433BB7" w:rsidRDefault="00DC5D11" w:rsidP="00DC5D11">
      <w:pPr>
        <w:pStyle w:val="IFTnormal"/>
      </w:pPr>
      <w:r>
        <w:t xml:space="preserve">GRUPO TELEVISA solicitó que se estipule en la ORCI que la solicitud de pozos en los isométricos sea ilimitada, y no en bloques como ocurre actualmente, y que de manera óptima se realice el levantamiento de los isométricos durante la visita técnica. </w:t>
      </w:r>
    </w:p>
    <w:p w14:paraId="23179169" w14:textId="2E3986AC" w:rsidR="00DC5D11" w:rsidRDefault="00433BB7" w:rsidP="00DC5D11">
      <w:pPr>
        <w:pStyle w:val="IFTnormal"/>
      </w:pPr>
      <w:r>
        <w:t>Así mismo t</w:t>
      </w:r>
      <w:r w:rsidR="00DC5D11">
        <w:t>ambién solicitó que se estableciera en la Oferta que las solicitudes de servicios podrán ser mixtas en los casos que el CS lo requiera</w:t>
      </w:r>
      <w:r>
        <w:t xml:space="preserve"> </w:t>
      </w:r>
      <w:r w:rsidR="00DC5D11">
        <w:t>sugiri</w:t>
      </w:r>
      <w:r>
        <w:t>endo</w:t>
      </w:r>
      <w:r w:rsidR="00DC5D11">
        <w:t xml:space="preserve"> que se estipule en la Oferta la posibilidad de realizar consultas de información mixtas en el SEG (subterránea y área) y no por separado (incluyendo en una misma consulta la verificación de postes, pozos y ductos simultáneamente).</w:t>
      </w:r>
    </w:p>
    <w:p w14:paraId="67D8E23B" w14:textId="77777777" w:rsidR="00083FE6" w:rsidRDefault="00DC5D11" w:rsidP="00DC5D11">
      <w:pPr>
        <w:pStyle w:val="IFTnormal"/>
      </w:pPr>
      <w:r>
        <w:t>Por otro lado, para las alternativas en caso de que no exista capacidad excedente solicitó que se establezca en la ORCI</w:t>
      </w:r>
      <w:r w:rsidR="00351AB5">
        <w:t xml:space="preserve"> fija la obligación de ofrecer</w:t>
      </w:r>
      <w:r w:rsidR="00083FE6">
        <w:t xml:space="preserve"> al CS alternativas</w:t>
      </w:r>
      <w:r>
        <w:t xml:space="preserve"> viables, tales como acceder a los servicios mayoristas de la OREDA a los mismos precios o a precios similares que los servicios de la ORCI inicialmente solicitados.</w:t>
      </w:r>
    </w:p>
    <w:p w14:paraId="30BC1850" w14:textId="2A29AB73" w:rsidR="00DC5D11" w:rsidRDefault="00083FE6" w:rsidP="00DC5D11">
      <w:pPr>
        <w:pStyle w:val="IFTnormal"/>
      </w:pPr>
      <w:r>
        <w:t xml:space="preserve">Por otro </w:t>
      </w:r>
      <w:r w:rsidR="00C9624D">
        <w:t>lado,</w:t>
      </w:r>
      <w:r w:rsidR="00E032CB">
        <w:t xml:space="preserve"> también</w:t>
      </w:r>
      <w:r>
        <w:t xml:space="preserve"> </w:t>
      </w:r>
      <w:r w:rsidR="00E032CB">
        <w:t>planteó</w:t>
      </w:r>
      <w:r>
        <w:t xml:space="preserve"> q</w:t>
      </w:r>
      <w:r w:rsidR="00DC5D11">
        <w:t>ue se establezca en la ORCI la permisión a los CS de acceder</w:t>
      </w:r>
      <w:r w:rsidR="00351AB5">
        <w:t xml:space="preserve"> a los ductos de mantenimiento</w:t>
      </w:r>
      <w:r w:rsidR="00E032CB">
        <w:t>. Indicó</w:t>
      </w:r>
      <w:r w:rsidR="00351AB5">
        <w:t xml:space="preserve"> la importancia de q</w:t>
      </w:r>
      <w:r w:rsidR="00DC5D11">
        <w:t>ue se prohíba la cancelación unilateral de cualquier NIS que ya haya sido liberado para instalación.</w:t>
      </w:r>
    </w:p>
    <w:p w14:paraId="3AFD702E" w14:textId="5F9CDB05" w:rsidR="00DC5D11" w:rsidRDefault="00E032CB" w:rsidP="00DC5D11">
      <w:pPr>
        <w:pStyle w:val="IFTnormal"/>
      </w:pPr>
      <w:r>
        <w:t>El</w:t>
      </w:r>
      <w:r w:rsidR="001152D1">
        <w:t xml:space="preserve"> concesionario </w:t>
      </w:r>
      <w:r>
        <w:t>puso</w:t>
      </w:r>
      <w:r w:rsidR="001152D1">
        <w:t xml:space="preserve"> de manifiesto </w:t>
      </w:r>
      <w:r w:rsidR="00DC5D11">
        <w:t xml:space="preserve">que se establezca las condiciones de un SLA asociado a la aprobación de los formatos contemplados en la Oferta por parte del AEPT con un plazo </w:t>
      </w:r>
      <w:r w:rsidR="001152D1">
        <w:t xml:space="preserve">máximo de 3 días hábiles, así como también de </w:t>
      </w:r>
      <w:r w:rsidR="00DC5D11">
        <w:t xml:space="preserve">un SLA genérico y estándar en la ORCI en donde se incluya que </w:t>
      </w:r>
      <w:proofErr w:type="gramStart"/>
      <w:r w:rsidR="00DC5D11">
        <w:t>los procedimientos no contemplados en los SLA de la ORCI fija</w:t>
      </w:r>
      <w:proofErr w:type="gramEnd"/>
      <w:r w:rsidR="00DC5D11">
        <w:t>, tengan un tiempo límite que no sobrepase los 10 días hábiles incluso con la existencia de múltiples iteraciones.</w:t>
      </w:r>
    </w:p>
    <w:p w14:paraId="271D6735" w14:textId="12194B8A" w:rsidR="00AE41C9" w:rsidRPr="00915B0C" w:rsidRDefault="00D11E5C" w:rsidP="00DC5D11">
      <w:pPr>
        <w:pStyle w:val="IFTnormal"/>
      </w:pPr>
      <w:r>
        <w:t>Finalmente</w:t>
      </w:r>
      <w:r w:rsidR="00DC5D11">
        <w:t xml:space="preserve">, solicitó que se establezcan que los ductos asignados para instalación deben cumplir los requerimientos especificados por el CS con una penalidad para el </w:t>
      </w:r>
      <w:r w:rsidR="00E032CB">
        <w:t>AEP</w:t>
      </w:r>
      <w:r w:rsidR="00DC5D11">
        <w:t xml:space="preserve"> en caso de que la instalación </w:t>
      </w:r>
      <w:r w:rsidR="00645248">
        <w:t xml:space="preserve">no </w:t>
      </w:r>
      <w:r w:rsidR="00DC5D11">
        <w:t>sea inviable p</w:t>
      </w:r>
      <w:r>
        <w:t>or falta de espacio en el ducto, así mismo q</w:t>
      </w:r>
      <w:r w:rsidR="00DC5D11">
        <w:t>ue se establezca en la Oferta que los formatos patrimoniales deben otorgar como mínimo el plazo solicitado por los CS.</w:t>
      </w:r>
      <w:r w:rsidR="00AE41C9">
        <w:t xml:space="preserve"> En cuanto a prohibir la cancelación unilateral de cualquier NIS que ya haya sido liberado para instalación, se indica que la ORCI vigente no cuenta con un procedimiento que la cancelación unilateral de cualquier NIS que ya haya sido liberado para instalación, por lo que se considera que dicho comentario es atendido desde la ORCI vigente y estos serán reflejados en los mismos términos en la Oferta de Referencia que autorice el Instituto.</w:t>
      </w:r>
    </w:p>
    <w:p w14:paraId="772C06DA" w14:textId="7D747798" w:rsidR="00A83AA9" w:rsidRDefault="00A83AA9" w:rsidP="00DC5D11">
      <w:pPr>
        <w:pStyle w:val="IFTnormal"/>
        <w:rPr>
          <w:b/>
        </w:rPr>
      </w:pPr>
      <w:r w:rsidRPr="001F58CD">
        <w:rPr>
          <w:b/>
        </w:rPr>
        <w:t>Respuesta del Instituto</w:t>
      </w:r>
    </w:p>
    <w:p w14:paraId="74652560" w14:textId="0531FAA0" w:rsidR="00386702" w:rsidRDefault="00C245B2" w:rsidP="00386702">
      <w:pPr>
        <w:pStyle w:val="IFTnormal"/>
      </w:pPr>
      <w:r>
        <w:t>Co</w:t>
      </w:r>
      <w:r w:rsidR="00386702">
        <w:t>n relación a los comentarios de que la propuesta de oferta presentada por el AEP no cumple con lo establecido en las Medidas fijas, se indica que esta</w:t>
      </w:r>
      <w:r w:rsidR="00386702" w:rsidRPr="00E449F8">
        <w:t xml:space="preserve"> debe reflejar, al menos, las mismas</w:t>
      </w:r>
      <w:r w:rsidR="00386702">
        <w:t xml:space="preserve"> condiciones que las establecidas</w:t>
      </w:r>
      <w:r w:rsidR="00386702" w:rsidRPr="00E449F8">
        <w:t xml:space="preserve"> por el Instituto en la ORCI vigente para la provisión d</w:t>
      </w:r>
      <w:r w:rsidR="00386702">
        <w:t>e estos servicios.</w:t>
      </w:r>
    </w:p>
    <w:p w14:paraId="6757D01B" w14:textId="6968904F" w:rsidR="00386702" w:rsidRPr="00452FAB" w:rsidRDefault="00386702" w:rsidP="00386702">
      <w:pPr>
        <w:pStyle w:val="IFTnormal"/>
      </w:pPr>
      <w:r>
        <w:t>Derivado de lo anterior este Instituto realizará</w:t>
      </w:r>
      <w:r w:rsidRPr="00452FAB">
        <w:t xml:space="preserve"> el análisis correspondiente a aquellos cambios y modificaciones propuestos por </w:t>
      </w:r>
      <w:r>
        <w:t>el AEP</w:t>
      </w:r>
      <w:r w:rsidRPr="00452FAB">
        <w:t xml:space="preserve">, sin menoscabo de que también se </w:t>
      </w:r>
      <w:r>
        <w:t>incluirán</w:t>
      </w:r>
      <w:r w:rsidRPr="00452FAB">
        <w:t xml:space="preserve"> modificaciones </w:t>
      </w:r>
      <w:r>
        <w:t>que</w:t>
      </w:r>
      <w:r w:rsidRPr="00452FAB">
        <w:t xml:space="preserve"> el Instituto </w:t>
      </w:r>
      <w:r>
        <w:t>consider</w:t>
      </w:r>
      <w:r w:rsidR="00C245B2">
        <w:t>e</w:t>
      </w:r>
      <w:r w:rsidRPr="00452FAB">
        <w:t xml:space="preserve"> necesarias para mantener o mejorar las condiciones de la </w:t>
      </w:r>
      <w:r>
        <w:t>ORCI vigente</w:t>
      </w:r>
      <w:r w:rsidRPr="00452FAB">
        <w:t xml:space="preserve">, atendiendo a lo establecido en las Medidas </w:t>
      </w:r>
      <w:r>
        <w:t>Fijas</w:t>
      </w:r>
      <w:r w:rsidRPr="00452FAB">
        <w:t xml:space="preserve">, </w:t>
      </w:r>
      <w:r>
        <w:t xml:space="preserve">y </w:t>
      </w:r>
      <w:r w:rsidRPr="00452FAB">
        <w:t>asegurándose que dichas modificaciones cumpl</w:t>
      </w:r>
      <w:r>
        <w:t>irán</w:t>
      </w:r>
      <w:r w:rsidRPr="00452FAB">
        <w:t xml:space="preserve"> con su objetivo de fomento a la competencia.</w:t>
      </w:r>
    </w:p>
    <w:p w14:paraId="49DCE7BF" w14:textId="2ED77BF1" w:rsidR="00386702" w:rsidRDefault="00386702" w:rsidP="00386702">
      <w:pPr>
        <w:pStyle w:val="IFTnormal"/>
      </w:pPr>
      <w:r>
        <w:t>Por otro lado, p</w:t>
      </w:r>
      <w:r w:rsidRPr="00452FAB">
        <w:t xml:space="preserve">ara las modificaciones propuestas por </w:t>
      </w:r>
      <w:r>
        <w:t>el AEP</w:t>
      </w:r>
      <w:r w:rsidRPr="00452FAB">
        <w:t xml:space="preserve"> y que el Instituto consider</w:t>
      </w:r>
      <w:r>
        <w:t>a</w:t>
      </w:r>
      <w:r w:rsidRPr="00452FAB">
        <w:t xml:space="preserve"> que mantienen o mejoran las condiciones de la </w:t>
      </w:r>
      <w:r>
        <w:t>ORCI vigente</w:t>
      </w:r>
      <w:r w:rsidRPr="00452FAB">
        <w:t xml:space="preserve">, que no atentan con lo establecido en las Medidas </w:t>
      </w:r>
      <w:r>
        <w:t>Fijas</w:t>
      </w:r>
      <w:r w:rsidRPr="00452FAB">
        <w:t xml:space="preserve"> y no imponen condiciones que inhiben la competencia, dichas modificaciones se tendrán por aceptadas y se mantendrán dentro la oferta de referencia que en su momento autorice el Instituto.</w:t>
      </w:r>
    </w:p>
    <w:p w14:paraId="781D04F7" w14:textId="0F73003D" w:rsidR="00A83AA9" w:rsidRDefault="001B5159" w:rsidP="00DC5D11">
      <w:pPr>
        <w:pStyle w:val="IFTnormal"/>
      </w:pPr>
      <w:r>
        <w:t xml:space="preserve">Con respecto a los comentarios vertidos por PROMTEL </w:t>
      </w:r>
      <w:r w:rsidR="00443D3A">
        <w:t>en donde</w:t>
      </w:r>
      <w:r w:rsidR="00B72C9B">
        <w:t xml:space="preserve"> indica que se establezca que la información obtenida en la visita técnica con relación a la capacidad de ductos sea registrada en el SEG, se </w:t>
      </w:r>
      <w:r w:rsidR="00554373">
        <w:t xml:space="preserve">señala </w:t>
      </w:r>
      <w:r w:rsidR="00443D3A">
        <w:t>que es</w:t>
      </w:r>
      <w:r w:rsidR="00554373">
        <w:t xml:space="preserve"> la </w:t>
      </w:r>
      <w:r w:rsidR="00554373" w:rsidRPr="008D05B3">
        <w:rPr>
          <w:lang w:val="es-ES"/>
        </w:rPr>
        <w:t>Etapa 2: Programación y realización de Visita Técnica</w:t>
      </w:r>
      <w:r w:rsidR="00554373" w:rsidRPr="008D05B3">
        <w:t xml:space="preserve"> del procedimiento</w:t>
      </w:r>
      <w:r w:rsidR="00443D3A" w:rsidRPr="008D05B3">
        <w:t xml:space="preserve"> de</w:t>
      </w:r>
      <w:r w:rsidR="00554373" w:rsidRPr="008D05B3">
        <w:t xml:space="preserve"> </w:t>
      </w:r>
      <w:r w:rsidR="00443D3A" w:rsidRPr="008D05B3">
        <w:t xml:space="preserve">Contratación de Servicios de Acceso y Uso Compartido de Obra Civil </w:t>
      </w:r>
      <w:r w:rsidR="00E032CB">
        <w:t>se</w:t>
      </w:r>
      <w:r w:rsidR="00EA3405" w:rsidRPr="008D05B3">
        <w:t xml:space="preserve"> describe</w:t>
      </w:r>
      <w:r w:rsidR="00E032CB">
        <w:t>n</w:t>
      </w:r>
      <w:r w:rsidR="00EA3405" w:rsidRPr="008D05B3">
        <w:t xml:space="preserve"> las acciones que deberán realizarse una vez ejecutada</w:t>
      </w:r>
      <w:r w:rsidR="00B72C9B" w:rsidRPr="008D05B3">
        <w:t xml:space="preserve"> la Visita Técnica</w:t>
      </w:r>
      <w:r w:rsidR="00EA3405" w:rsidRPr="008D05B3">
        <w:t>, donde el CS</w:t>
      </w:r>
      <w:r w:rsidR="00EA3405">
        <w:t xml:space="preserve"> o AS </w:t>
      </w:r>
      <w:r w:rsidR="00E032CB">
        <w:t>y</w:t>
      </w:r>
      <w:r w:rsidR="00EA3405">
        <w:t xml:space="preserve"> el AEP</w:t>
      </w:r>
      <w:r w:rsidR="00B72C9B">
        <w:t xml:space="preserve"> firma</w:t>
      </w:r>
      <w:r w:rsidR="00E032CB">
        <w:t>n</w:t>
      </w:r>
      <w:r w:rsidR="00B72C9B">
        <w:t xml:space="preserve"> </w:t>
      </w:r>
      <w:r w:rsidR="00EA3405">
        <w:t xml:space="preserve">el </w:t>
      </w:r>
      <w:r w:rsidR="00B72C9B" w:rsidRPr="00CD6338">
        <w:t xml:space="preserve">“Reporte de Visita Técnica” </w:t>
      </w:r>
      <w:r w:rsidR="00EA3405">
        <w:t xml:space="preserve">el cual </w:t>
      </w:r>
      <w:r w:rsidR="00B72C9B" w:rsidRPr="00CD6338">
        <w:t>contiene la información reca</w:t>
      </w:r>
      <w:r w:rsidR="00EA3405">
        <w:t>bada de las acciones realizadas</w:t>
      </w:r>
      <w:r w:rsidR="00E032CB">
        <w:t>. Con esto</w:t>
      </w:r>
      <w:r w:rsidR="00EA3405">
        <w:t xml:space="preserve"> s</w:t>
      </w:r>
      <w:r w:rsidR="00E032CB">
        <w:t>e comprueba</w:t>
      </w:r>
      <w:r w:rsidR="00B72C9B" w:rsidRPr="00CD6338">
        <w:t xml:space="preserve"> por las partes que la información contenida es veraz, completa y que incluye los detalles necesarios para la elaboración del Anteproyecto por parte del </w:t>
      </w:r>
      <w:r w:rsidR="00B72C9B">
        <w:t>CS o AS</w:t>
      </w:r>
      <w:r w:rsidR="00443D3A">
        <w:t>.</w:t>
      </w:r>
    </w:p>
    <w:p w14:paraId="38328DB2" w14:textId="2A6A4222" w:rsidR="0084687B" w:rsidRPr="00452FAB" w:rsidRDefault="00443D3A" w:rsidP="0084687B">
      <w:pPr>
        <w:pStyle w:val="IFTnormal"/>
      </w:pPr>
      <w:r>
        <w:rPr>
          <w:lang w:val="es-ES"/>
        </w:rPr>
        <w:t>Posteriormente el AEP</w:t>
      </w:r>
      <w:r w:rsidRPr="00CD6338">
        <w:t xml:space="preserve"> digitaliza y agrega al expediente de la solicitud del </w:t>
      </w:r>
      <w:r>
        <w:t>CS o AS</w:t>
      </w:r>
      <w:r w:rsidRPr="00CD6338">
        <w:t xml:space="preserve"> el “Reporte de Visita Técnica” en un plazo no mayor a tres días hábiles contados a partir de la realización de la Visita Técnica. Dentro de este mismo plazo, </w:t>
      </w:r>
      <w:r>
        <w:rPr>
          <w:lang w:val="es-ES"/>
        </w:rPr>
        <w:t>el AEP</w:t>
      </w:r>
      <w:r w:rsidRPr="00CD6338">
        <w:t xml:space="preserve"> deberá actualizar la informació</w:t>
      </w:r>
      <w:r w:rsidR="00EA3405">
        <w:t>n correspondiente en el SEG</w:t>
      </w:r>
      <w:r w:rsidRPr="00CD6338">
        <w:t xml:space="preserve"> y registrar el resultado de la Visita Técnica</w:t>
      </w:r>
      <w:r>
        <w:t>.</w:t>
      </w:r>
    </w:p>
    <w:p w14:paraId="032A143B" w14:textId="35975647" w:rsidR="006948EE" w:rsidRDefault="00904CDF" w:rsidP="00904CDF">
      <w:pPr>
        <w:pStyle w:val="IFTnormal"/>
      </w:pPr>
      <w:r w:rsidRPr="00E449F8">
        <w:t>Respe</w:t>
      </w:r>
      <w:r w:rsidR="00AB3B58">
        <w:t xml:space="preserve">cto </w:t>
      </w:r>
      <w:r w:rsidR="00514A39">
        <w:t>a los coment</w:t>
      </w:r>
      <w:r w:rsidR="00F10D84">
        <w:t>arios</w:t>
      </w:r>
      <w:r w:rsidR="00386702">
        <w:t xml:space="preserve"> de AXTEL</w:t>
      </w:r>
      <w:r w:rsidR="00F10D84">
        <w:t xml:space="preserve"> relacionados con los procedimientos</w:t>
      </w:r>
      <w:r w:rsidR="00C245B2">
        <w:t>,</w:t>
      </w:r>
      <w:r w:rsidR="00F10D84">
        <w:t xml:space="preserve"> se evaluará la pertinencia de los mismos con el objeto de </w:t>
      </w:r>
      <w:r w:rsidR="00C245B2">
        <w:t>que</w:t>
      </w:r>
      <w:r w:rsidR="00BD3421">
        <w:t>,</w:t>
      </w:r>
      <w:r w:rsidR="00C245B2">
        <w:t xml:space="preserve"> en su </w:t>
      </w:r>
      <w:r w:rsidR="000B5E1C">
        <w:t>caso</w:t>
      </w:r>
      <w:r w:rsidR="00BD3421">
        <w:t>,</w:t>
      </w:r>
      <w:r w:rsidR="000B5E1C">
        <w:t xml:space="preserve"> se </w:t>
      </w:r>
      <w:r w:rsidR="00BD3421">
        <w:t xml:space="preserve">proceda </w:t>
      </w:r>
      <w:r w:rsidR="000B5E1C">
        <w:t xml:space="preserve">a </w:t>
      </w:r>
      <w:r w:rsidR="006948EE">
        <w:t xml:space="preserve">realizar las modificaciones </w:t>
      </w:r>
      <w:r w:rsidR="00D95EBC">
        <w:t xml:space="preserve">correspondientes </w:t>
      </w:r>
      <w:r w:rsidR="006948EE">
        <w:t xml:space="preserve">que contribuyan a mejorar las </w:t>
      </w:r>
      <w:r w:rsidR="00F10D84">
        <w:t>condiciones para la provisión de los</w:t>
      </w:r>
      <w:r w:rsidR="00F10D84" w:rsidRPr="00E449F8">
        <w:t xml:space="preserve"> servicios</w:t>
      </w:r>
      <w:r w:rsidR="000B5E1C">
        <w:t xml:space="preserve">, </w:t>
      </w:r>
      <w:r w:rsidR="000B5E1C" w:rsidRPr="00452FAB">
        <w:t>a efecto de que, entre otras cosas, sus términos y condiciones generen certeza, sean claras, proporcionales, y favorezcan la competencia</w:t>
      </w:r>
      <w:r w:rsidR="000B5E1C">
        <w:t>.</w:t>
      </w:r>
    </w:p>
    <w:p w14:paraId="7D15E9EE" w14:textId="523CCF2F" w:rsidR="00904CDF" w:rsidRDefault="006948EE" w:rsidP="00904CDF">
      <w:pPr>
        <w:pStyle w:val="IFTnormal"/>
      </w:pPr>
      <w:r>
        <w:t xml:space="preserve">Ahora bien, </w:t>
      </w:r>
      <w:r w:rsidR="00F10D84">
        <w:t xml:space="preserve">en particular para </w:t>
      </w:r>
      <w:r w:rsidR="00AB3B58">
        <w:t>la Ruta Alternativa</w:t>
      </w:r>
      <w:r w:rsidR="00904CDF" w:rsidRPr="00E449F8">
        <w:t xml:space="preserve">, se señala que el servicio de canales ópticos de alta capacidad de transporte y el servicio de renta de fibra obscura son alternativas que el AEP debe ofrecer al CS cuando en una determinada ruta no exista capacidad excedente en un ducto ni en rutas alternativas. Lo anterior, en consistencia con lo dispuesto en la Medida TRIGÉSIMA CUARTA de las Medidas Fijas. </w:t>
      </w:r>
    </w:p>
    <w:p w14:paraId="5B28F2FF" w14:textId="4C4FE6D3" w:rsidR="0072012A" w:rsidRDefault="00C245B2" w:rsidP="00904CDF">
      <w:pPr>
        <w:pStyle w:val="IFTnormal"/>
      </w:pPr>
      <w:r>
        <w:t>Co</w:t>
      </w:r>
      <w:r w:rsidR="00915EB2">
        <w:t xml:space="preserve">n relación a los comentarios realizados por </w:t>
      </w:r>
      <w:r w:rsidR="007C7486">
        <w:t>MEGACABLE</w:t>
      </w:r>
      <w:r w:rsidR="00915EB2">
        <w:t xml:space="preserve"> se indica que no es posible </w:t>
      </w:r>
      <w:r w:rsidR="00915EB2" w:rsidRPr="007731B3">
        <w:t>establecer la posibilidad de ofrecer el servicio de canales ópticos de alta capacidad y/o la renta de fibra obscura en una etapa temprana de la solicitud de servicio</w:t>
      </w:r>
      <w:r w:rsidR="00915EB2">
        <w:t xml:space="preserve">, debido a que es </w:t>
      </w:r>
      <w:r w:rsidR="00915EB2" w:rsidRPr="00E449F8">
        <w:t>en la Medida TRIGÉSIMA CUARTA de las Medidas Fijas</w:t>
      </w:r>
      <w:r w:rsidR="00915EB2">
        <w:t xml:space="preserve"> </w:t>
      </w:r>
      <w:r w:rsidR="0044742B">
        <w:t xml:space="preserve">establece </w:t>
      </w:r>
      <w:r w:rsidR="00915EB2" w:rsidRPr="00E449F8">
        <w:t xml:space="preserve">que </w:t>
      </w:r>
      <w:r w:rsidR="00915EB2">
        <w:t>dichos servicios</w:t>
      </w:r>
      <w:r w:rsidR="00915EB2" w:rsidRPr="00E449F8">
        <w:t xml:space="preserve"> son alte</w:t>
      </w:r>
      <w:r w:rsidR="00915EB2">
        <w:t>rnativas que el AEP ofrece</w:t>
      </w:r>
      <w:r w:rsidR="00915EB2" w:rsidRPr="00E449F8">
        <w:t xml:space="preserve"> al CS cuando en una determinada ruta no exista capacidad excedente en un ducto ni en rutas alternativas.</w:t>
      </w:r>
    </w:p>
    <w:p w14:paraId="1664FD50" w14:textId="01311B39" w:rsidR="007012A9" w:rsidRDefault="0044742B" w:rsidP="007012A9">
      <w:pPr>
        <w:pStyle w:val="IFTnormal"/>
        <w:rPr>
          <w:rFonts w:eastAsia="Times New Roman"/>
          <w:lang w:val="es-419"/>
        </w:rPr>
      </w:pPr>
      <w:r>
        <w:t>Sobre los comentarios realizados por ATT</w:t>
      </w:r>
      <w:r w:rsidR="00D4482A">
        <w:t xml:space="preserve"> y TELEF</w:t>
      </w:r>
      <w:r w:rsidR="00DB63BB">
        <w:t>Ó</w:t>
      </w:r>
      <w:r w:rsidR="00D4482A">
        <w:t>NICA</w:t>
      </w:r>
      <w:r>
        <w:t xml:space="preserve">, referente a </w:t>
      </w:r>
      <w:r w:rsidR="00D4482A">
        <w:t>la</w:t>
      </w:r>
      <w:r>
        <w:t xml:space="preserve"> visita técnica para determinar capacidad existente</w:t>
      </w:r>
      <w:r w:rsidR="00EF0AA5">
        <w:t>, el Institu</w:t>
      </w:r>
      <w:r w:rsidR="007012A9">
        <w:t xml:space="preserve">to </w:t>
      </w:r>
      <w:r w:rsidR="00D4482A">
        <w:t>analizará</w:t>
      </w:r>
      <w:r w:rsidR="00EF0AA5">
        <w:t xml:space="preserve"> </w:t>
      </w:r>
      <w:r w:rsidR="00F634ED">
        <w:t>a</w:t>
      </w:r>
      <w:r w:rsidR="007012A9">
        <w:t xml:space="preserve"> la luz de </w:t>
      </w:r>
      <w:r w:rsidR="00F634ED">
        <w:t xml:space="preserve">lo establecido por </w:t>
      </w:r>
      <w:r w:rsidR="007012A9">
        <w:t xml:space="preserve">las Medidas Fijas </w:t>
      </w:r>
      <w:r w:rsidR="007012A9">
        <w:rPr>
          <w:rFonts w:eastAsia="Times New Roman"/>
          <w:lang w:val="es-419"/>
        </w:rPr>
        <w:t xml:space="preserve">que la totalidad de la información sobre la infraestructura del AEP, incluye la identificación de capacidad excedente, estará disponible en el SEG, además de aquella </w:t>
      </w:r>
      <w:r w:rsidR="007012A9" w:rsidRPr="00EB5EE7">
        <w:rPr>
          <w:rFonts w:eastAsia="Times New Roman"/>
          <w:lang w:val="es-419"/>
        </w:rPr>
        <w:t>a la que se hace referencia en la sección</w:t>
      </w:r>
      <w:r w:rsidR="007012A9">
        <w:rPr>
          <w:rFonts w:eastAsia="Times New Roman"/>
          <w:lang w:val="es-419"/>
        </w:rPr>
        <w:t xml:space="preserve"> “IV. Información relacionada con los servicios”</w:t>
      </w:r>
      <w:r w:rsidR="007012A9" w:rsidRPr="00EB5EE7">
        <w:rPr>
          <w:rFonts w:eastAsia="Times New Roman"/>
          <w:lang w:val="es-419"/>
        </w:rPr>
        <w:t xml:space="preserve"> de </w:t>
      </w:r>
      <w:r w:rsidR="007012A9">
        <w:rPr>
          <w:rFonts w:eastAsia="Times New Roman"/>
          <w:lang w:val="es-419"/>
        </w:rPr>
        <w:t>la ORCI vigente.</w:t>
      </w:r>
    </w:p>
    <w:p w14:paraId="7B887C11" w14:textId="58108B0C" w:rsidR="0036574D" w:rsidRDefault="0036574D" w:rsidP="007012A9">
      <w:pPr>
        <w:pStyle w:val="IFTnormal"/>
        <w:rPr>
          <w:rFonts w:eastAsia="Times New Roman"/>
          <w:lang w:val="es-419"/>
        </w:rPr>
      </w:pPr>
      <w:r>
        <w:rPr>
          <w:rFonts w:eastAsia="Times New Roman"/>
          <w:lang w:val="es-419"/>
        </w:rPr>
        <w:t>Por lo que el Instituto</w:t>
      </w:r>
      <w:r w:rsidR="000D1B9E">
        <w:rPr>
          <w:rFonts w:eastAsia="Times New Roman"/>
          <w:lang w:val="es-419"/>
        </w:rPr>
        <w:t xml:space="preserve"> realizará un análisis exhaustiv</w:t>
      </w:r>
      <w:r>
        <w:rPr>
          <w:rFonts w:eastAsia="Times New Roman"/>
          <w:lang w:val="es-419"/>
        </w:rPr>
        <w:t xml:space="preserve">o para determinar la posibilidad de que la Visita Técnica </w:t>
      </w:r>
      <w:r w:rsidR="000D1B9E">
        <w:rPr>
          <w:rFonts w:eastAsia="Times New Roman"/>
          <w:lang w:val="es-419"/>
        </w:rPr>
        <w:t>pueda ser</w:t>
      </w:r>
      <w:r>
        <w:rPr>
          <w:rFonts w:eastAsia="Times New Roman"/>
          <w:lang w:val="es-419"/>
        </w:rPr>
        <w:t xml:space="preserve"> considerada como </w:t>
      </w:r>
      <w:r w:rsidR="000D1B9E">
        <w:rPr>
          <w:rFonts w:eastAsia="Times New Roman"/>
          <w:lang w:val="es-419"/>
        </w:rPr>
        <w:t>una actividad no necesaria, esto debido a que el SEG indica cuando existe capacidad excedente y que es susceptible de compartición.</w:t>
      </w:r>
      <w:r>
        <w:rPr>
          <w:rFonts w:eastAsia="Times New Roman"/>
          <w:lang w:val="es-419"/>
        </w:rPr>
        <w:t xml:space="preserve"> </w:t>
      </w:r>
    </w:p>
    <w:p w14:paraId="763C2530" w14:textId="0C8B5273" w:rsidR="00E340F0" w:rsidRDefault="00DF60FA" w:rsidP="007012A9">
      <w:pPr>
        <w:pStyle w:val="IFTnormal"/>
        <w:rPr>
          <w:rFonts w:eastAsia="Times New Roman"/>
          <w:lang w:val="es-419"/>
        </w:rPr>
      </w:pPr>
      <w:r>
        <w:rPr>
          <w:rFonts w:eastAsia="Times New Roman"/>
          <w:lang w:val="es-419"/>
        </w:rPr>
        <w:t>Finalmente,</w:t>
      </w:r>
      <w:r w:rsidR="0036574D">
        <w:rPr>
          <w:rFonts w:eastAsia="Times New Roman"/>
          <w:lang w:val="es-419"/>
        </w:rPr>
        <w:t xml:space="preserve"> para los comentarios relacionados con lo</w:t>
      </w:r>
      <w:r w:rsidR="001B646D">
        <w:rPr>
          <w:rFonts w:eastAsia="Times New Roman"/>
          <w:lang w:val="es-419"/>
        </w:rPr>
        <w:t>s procedimientos, se indica que el Instituto evaluará de manera integral cada una de las etapas</w:t>
      </w:r>
      <w:r>
        <w:rPr>
          <w:rFonts w:eastAsia="Times New Roman"/>
          <w:lang w:val="es-419"/>
        </w:rPr>
        <w:t xml:space="preserve"> (tiempo de duración, secuencia o existencia de la misma)</w:t>
      </w:r>
      <w:r w:rsidR="001B646D">
        <w:rPr>
          <w:rFonts w:eastAsia="Times New Roman"/>
          <w:lang w:val="es-419"/>
        </w:rPr>
        <w:t xml:space="preserve">, con el objeto de </w:t>
      </w:r>
      <w:r>
        <w:rPr>
          <w:rFonts w:eastAsia="Times New Roman"/>
          <w:lang w:val="es-419"/>
        </w:rPr>
        <w:t>re estructurar</w:t>
      </w:r>
      <w:r w:rsidR="001B646D">
        <w:rPr>
          <w:rFonts w:eastAsia="Times New Roman"/>
          <w:lang w:val="es-419"/>
        </w:rPr>
        <w:t xml:space="preserve"> </w:t>
      </w:r>
      <w:r>
        <w:rPr>
          <w:rFonts w:eastAsia="Times New Roman"/>
          <w:lang w:val="es-419"/>
        </w:rPr>
        <w:t>en caso de ser</w:t>
      </w:r>
      <w:r w:rsidR="001B646D">
        <w:rPr>
          <w:rFonts w:eastAsia="Times New Roman"/>
          <w:lang w:val="es-419"/>
        </w:rPr>
        <w:t xml:space="preserve"> necesario </w:t>
      </w:r>
      <w:r>
        <w:rPr>
          <w:rFonts w:eastAsia="Times New Roman"/>
          <w:lang w:val="es-419"/>
        </w:rPr>
        <w:t>el procedimiento de tal manera que dichas acciones contribuyan a mejorar las condiciones vigentes para la provisión de los servicios.</w:t>
      </w:r>
      <w:r w:rsidR="001B646D">
        <w:rPr>
          <w:rFonts w:eastAsia="Times New Roman"/>
          <w:lang w:val="es-419"/>
        </w:rPr>
        <w:t xml:space="preserve"> </w:t>
      </w:r>
    </w:p>
    <w:p w14:paraId="5EEC7405" w14:textId="6F743FB1" w:rsidR="00985993" w:rsidRPr="00E449F8" w:rsidRDefault="00F738AD" w:rsidP="00985993">
      <w:pPr>
        <w:pStyle w:val="IFTnormal"/>
      </w:pPr>
      <w:r>
        <w:rPr>
          <w:rFonts w:eastAsia="Times New Roman"/>
          <w:lang w:val="es-419"/>
        </w:rPr>
        <w:t>C</w:t>
      </w:r>
      <w:r w:rsidR="000C43DF">
        <w:rPr>
          <w:rFonts w:eastAsia="Times New Roman"/>
          <w:lang w:val="es-419"/>
        </w:rPr>
        <w:t>on</w:t>
      </w:r>
      <w:r w:rsidR="00985993">
        <w:rPr>
          <w:rFonts w:eastAsia="Times New Roman"/>
          <w:lang w:val="es-419"/>
        </w:rPr>
        <w:t xml:space="preserve"> respecto a</w:t>
      </w:r>
      <w:r w:rsidR="00D4482A">
        <w:rPr>
          <w:rFonts w:eastAsia="Times New Roman"/>
          <w:lang w:val="es-419"/>
        </w:rPr>
        <w:t>l comentario</w:t>
      </w:r>
      <w:r w:rsidR="00233A35">
        <w:rPr>
          <w:rFonts w:eastAsia="Times New Roman"/>
          <w:lang w:val="es-419"/>
        </w:rPr>
        <w:t xml:space="preserve"> de TELEFÓNICA </w:t>
      </w:r>
      <w:r w:rsidR="00D4482A">
        <w:rPr>
          <w:rFonts w:eastAsia="Times New Roman"/>
          <w:lang w:val="es-419"/>
        </w:rPr>
        <w:t>de</w:t>
      </w:r>
      <w:r w:rsidR="00985993">
        <w:rPr>
          <w:rFonts w:eastAsia="Times New Roman"/>
          <w:lang w:val="es-419"/>
        </w:rPr>
        <w:t xml:space="preserve"> incorporar nuevos indicadores de desempeño específicos para los servicios, se indica que </w:t>
      </w:r>
      <w:r w:rsidR="00985993" w:rsidRPr="00E449F8">
        <w:t xml:space="preserve">en atención a lo dispuesto en la Medida CUADRAGÉSIMA </w:t>
      </w:r>
      <w:r w:rsidR="00985993">
        <w:t xml:space="preserve">PRIMERA </w:t>
      </w:r>
      <w:r w:rsidR="00985993" w:rsidRPr="00E449F8">
        <w:t xml:space="preserve">de las Medidas Fijas que la Propuesta de Oferta de Referencia debe reflejar, al menos, las mismas condiciones que las </w:t>
      </w:r>
      <w:r w:rsidR="00985993">
        <w:t>establecidas</w:t>
      </w:r>
      <w:r w:rsidR="00985993" w:rsidRPr="00E449F8">
        <w:t xml:space="preserve"> en la ORCI vigente. </w:t>
      </w:r>
      <w:r w:rsidR="00985993">
        <w:t xml:space="preserve">En este sentido, se </w:t>
      </w:r>
      <w:r w:rsidR="00985993" w:rsidRPr="00E449F8">
        <w:t>mant</w:t>
      </w:r>
      <w:r w:rsidR="00985993">
        <w:t>endrán</w:t>
      </w:r>
      <w:r w:rsidR="00985993" w:rsidRPr="00E449F8">
        <w:t xml:space="preserve"> </w:t>
      </w:r>
      <w:r w:rsidR="00985993">
        <w:t>en la Oferta de Referencia que autorice el Instituto los</w:t>
      </w:r>
      <w:r w:rsidR="00985993" w:rsidRPr="00E449F8">
        <w:t xml:space="preserve"> términos y condiciones para la provisión de los servicios</w:t>
      </w:r>
      <w:r w:rsidR="00985993">
        <w:t xml:space="preserve"> y cuantificación de los parámetros de calidad previamente</w:t>
      </w:r>
      <w:r w:rsidR="00985993" w:rsidDel="00F8754F">
        <w:t xml:space="preserve"> </w:t>
      </w:r>
      <w:r w:rsidR="00985993">
        <w:t>establecidos en la ORCI vigente.</w:t>
      </w:r>
      <w:r w:rsidR="00985993" w:rsidRPr="00E449F8">
        <w:t xml:space="preserve"> </w:t>
      </w:r>
    </w:p>
    <w:p w14:paraId="56776FEB" w14:textId="1FE32132" w:rsidR="00742DEC" w:rsidRDefault="00F738AD" w:rsidP="007012A9">
      <w:pPr>
        <w:pStyle w:val="IFTnormal"/>
        <w:rPr>
          <w:rFonts w:eastAsia="Times New Roman"/>
          <w:lang w:val="es-419"/>
        </w:rPr>
      </w:pPr>
      <w:r>
        <w:rPr>
          <w:rFonts w:eastAsia="Times New Roman"/>
          <w:lang w:val="es-419"/>
        </w:rPr>
        <w:t>E</w:t>
      </w:r>
      <w:r w:rsidR="006B5330">
        <w:rPr>
          <w:rFonts w:eastAsia="Times New Roman"/>
          <w:lang w:val="es-419"/>
        </w:rPr>
        <w:t xml:space="preserve">n relación </w:t>
      </w:r>
      <w:r w:rsidR="00C245B2">
        <w:rPr>
          <w:rFonts w:eastAsia="Times New Roman"/>
          <w:lang w:val="es-419"/>
        </w:rPr>
        <w:t>con</w:t>
      </w:r>
      <w:r w:rsidR="006B5330">
        <w:rPr>
          <w:rFonts w:eastAsia="Times New Roman"/>
          <w:lang w:val="es-419"/>
        </w:rPr>
        <w:t xml:space="preserve"> lo que indica </w:t>
      </w:r>
      <w:r w:rsidR="00E939D4">
        <w:rPr>
          <w:rFonts w:eastAsia="Times New Roman"/>
          <w:lang w:val="es-419"/>
        </w:rPr>
        <w:t xml:space="preserve">CANIETI </w:t>
      </w:r>
      <w:r w:rsidR="006B5330">
        <w:rPr>
          <w:rFonts w:eastAsia="Times New Roman"/>
          <w:lang w:val="es-419"/>
        </w:rPr>
        <w:t xml:space="preserve">sobre la aclaración de </w:t>
      </w:r>
      <w:r w:rsidR="006B5330" w:rsidRPr="00C9624D">
        <w:rPr>
          <w:i/>
        </w:rPr>
        <w:t xml:space="preserve">“La suma de las secciones de todos los cables y/o </w:t>
      </w:r>
      <w:proofErr w:type="spellStart"/>
      <w:r w:rsidR="006B5330" w:rsidRPr="00C9624D">
        <w:rPr>
          <w:i/>
        </w:rPr>
        <w:t>subductos</w:t>
      </w:r>
      <w:proofErr w:type="spellEnd"/>
      <w:r w:rsidR="006B5330" w:rsidRPr="00C9624D">
        <w:rPr>
          <w:i/>
        </w:rPr>
        <w:t xml:space="preserve"> instalados deberá no debe exceder el 80% de la sección total del ducto.”</w:t>
      </w:r>
      <w:r w:rsidR="006B5330">
        <w:rPr>
          <w:i/>
        </w:rPr>
        <w:t xml:space="preserve"> </w:t>
      </w:r>
      <w:r w:rsidR="006E6F46">
        <w:t>y</w:t>
      </w:r>
      <w:r w:rsidR="00343364">
        <w:t xml:space="preserve"> su implicación</w:t>
      </w:r>
      <w:r w:rsidR="006E6F46">
        <w:t xml:space="preserve"> con </w:t>
      </w:r>
      <w:r w:rsidR="00343364">
        <w:t>los criterios</w:t>
      </w:r>
      <w:r w:rsidR="006E6F46">
        <w:t xml:space="preserve"> para de</w:t>
      </w:r>
      <w:r w:rsidR="006215A6">
        <w:t xml:space="preserve">terminar </w:t>
      </w:r>
      <w:r w:rsidR="006E6F46">
        <w:t xml:space="preserve">capacidad excedente </w:t>
      </w:r>
      <w:r w:rsidR="006215A6">
        <w:t>en</w:t>
      </w:r>
      <w:r w:rsidR="006E6F46">
        <w:t xml:space="preserve"> ductos y pozos</w:t>
      </w:r>
      <w:r w:rsidR="00742DEC">
        <w:t xml:space="preserve"> para su posible eliminación</w:t>
      </w:r>
      <w:r w:rsidR="00C245B2">
        <w:t>, e</w:t>
      </w:r>
      <w:r w:rsidR="00DE32B1">
        <w:t>ste</w:t>
      </w:r>
      <w:r w:rsidR="006E6F46">
        <w:t xml:space="preserve"> Instituto </w:t>
      </w:r>
      <w:r w:rsidR="006215A6">
        <w:rPr>
          <w:rFonts w:eastAsia="Times New Roman"/>
        </w:rPr>
        <w:t xml:space="preserve">realizará </w:t>
      </w:r>
      <w:r w:rsidR="00C245B2">
        <w:rPr>
          <w:rFonts w:eastAsia="Times New Roman"/>
        </w:rPr>
        <w:t>el</w:t>
      </w:r>
      <w:r w:rsidR="006215A6">
        <w:rPr>
          <w:rFonts w:eastAsia="Times New Roman"/>
        </w:rPr>
        <w:t xml:space="preserve"> análisis </w:t>
      </w:r>
      <w:r w:rsidR="00C245B2">
        <w:rPr>
          <w:rFonts w:eastAsia="Times New Roman"/>
        </w:rPr>
        <w:t>correspondiente</w:t>
      </w:r>
      <w:r w:rsidR="00DE32B1">
        <w:rPr>
          <w:rFonts w:eastAsia="Times New Roman"/>
        </w:rPr>
        <w:t>, considerando que</w:t>
      </w:r>
      <w:r w:rsidR="006215A6">
        <w:rPr>
          <w:rFonts w:eastAsia="Times New Roman"/>
        </w:rPr>
        <w:t xml:space="preserve"> de las Medidas Fijas </w:t>
      </w:r>
      <w:r w:rsidR="00DE32B1">
        <w:rPr>
          <w:rFonts w:eastAsia="Times New Roman"/>
        </w:rPr>
        <w:t>indican que</w:t>
      </w:r>
      <w:r w:rsidR="006215A6">
        <w:rPr>
          <w:rFonts w:eastAsia="Times New Roman"/>
        </w:rPr>
        <w:t xml:space="preserve"> </w:t>
      </w:r>
      <w:r w:rsidR="00C245B2">
        <w:rPr>
          <w:rFonts w:eastAsia="Times New Roman"/>
        </w:rPr>
        <w:t xml:space="preserve">en </w:t>
      </w:r>
      <w:r w:rsidR="006215A6">
        <w:rPr>
          <w:rFonts w:eastAsia="Times New Roman"/>
        </w:rPr>
        <w:t xml:space="preserve">el SEG debe encontrarse la información de capacidad excedente, así como aquellos elementos suficientes para que los CS puedan </w:t>
      </w:r>
      <w:r w:rsidR="006215A6">
        <w:rPr>
          <w:rFonts w:eastAsia="Times New Roman"/>
          <w:lang w:val="es-419"/>
        </w:rPr>
        <w:t xml:space="preserve">elaborar sus planes de negocio, incluyendo la posibilidad de </w:t>
      </w:r>
      <w:r w:rsidR="006215A6" w:rsidRPr="00EB5EE7">
        <w:rPr>
          <w:rFonts w:eastAsia="Times New Roman"/>
          <w:lang w:val="es-419"/>
        </w:rPr>
        <w:t xml:space="preserve">identificar la factibilidad de sus proyectos de despliegue sin la necesidad </w:t>
      </w:r>
      <w:r w:rsidR="006215A6">
        <w:rPr>
          <w:rFonts w:eastAsia="Times New Roman"/>
          <w:lang w:val="es-419"/>
        </w:rPr>
        <w:t xml:space="preserve">identificar </w:t>
      </w:r>
      <w:r w:rsidR="006215A6" w:rsidRPr="00EB5EE7">
        <w:rPr>
          <w:rFonts w:eastAsia="Times New Roman"/>
          <w:i/>
          <w:lang w:val="es-419"/>
        </w:rPr>
        <w:t>in situ</w:t>
      </w:r>
      <w:r w:rsidR="006215A6" w:rsidRPr="00EB5EE7">
        <w:rPr>
          <w:rFonts w:eastAsia="Times New Roman"/>
          <w:lang w:val="es-419"/>
        </w:rPr>
        <w:t xml:space="preserve"> </w:t>
      </w:r>
      <w:r w:rsidR="006215A6">
        <w:rPr>
          <w:rFonts w:eastAsia="Times New Roman"/>
          <w:lang w:val="es-419"/>
        </w:rPr>
        <w:t xml:space="preserve">la capacidad excedente de la </w:t>
      </w:r>
      <w:r w:rsidR="006215A6" w:rsidRPr="00EB5EE7">
        <w:rPr>
          <w:rFonts w:eastAsia="Times New Roman"/>
          <w:lang w:val="es-419"/>
        </w:rPr>
        <w:t>infraestructura</w:t>
      </w:r>
      <w:r w:rsidR="006215A6">
        <w:rPr>
          <w:rFonts w:eastAsia="Times New Roman"/>
          <w:lang w:val="es-419"/>
        </w:rPr>
        <w:t xml:space="preserve"> requerida, por lo</w:t>
      </w:r>
      <w:r w:rsidR="00343364">
        <w:t xml:space="preserve"> que</w:t>
      </w:r>
      <w:r w:rsidR="006B5330">
        <w:rPr>
          <w:rFonts w:eastAsia="Times New Roman"/>
        </w:rPr>
        <w:t xml:space="preserve"> </w:t>
      </w:r>
      <w:r w:rsidR="00FB5211">
        <w:rPr>
          <w:rFonts w:eastAsia="Times New Roman"/>
        </w:rPr>
        <w:t xml:space="preserve">se </w:t>
      </w:r>
      <w:r w:rsidR="00742DEC">
        <w:t>mantendrán la secciones antes referida</w:t>
      </w:r>
      <w:r w:rsidR="006215A6">
        <w:t>s</w:t>
      </w:r>
      <w:r w:rsidR="00742DEC">
        <w:t xml:space="preserve"> en consistencia con lo autorizado en la ORCI vigente, misma que deberá reflejarse en la Oferta de Referencia que autorice el Instituto</w:t>
      </w:r>
      <w:r w:rsidR="006B5330">
        <w:rPr>
          <w:rFonts w:eastAsia="Times New Roman"/>
          <w:lang w:val="es-419"/>
        </w:rPr>
        <w:t>.</w:t>
      </w:r>
      <w:r w:rsidR="00742DEC">
        <w:rPr>
          <w:rFonts w:eastAsia="Times New Roman"/>
          <w:lang w:val="es-419"/>
        </w:rPr>
        <w:t xml:space="preserve"> </w:t>
      </w:r>
    </w:p>
    <w:p w14:paraId="23D208CA" w14:textId="48A49BCF" w:rsidR="00915EB2" w:rsidRDefault="00F921C9" w:rsidP="00904CDF">
      <w:pPr>
        <w:pStyle w:val="IFTnormal"/>
      </w:pPr>
      <w:r w:rsidRPr="00F921C9">
        <w:t>R</w:t>
      </w:r>
      <w:r w:rsidR="00F738AD" w:rsidRPr="00F921C9">
        <w:t xml:space="preserve">especto al comentario del procedimiento </w:t>
      </w:r>
      <w:r w:rsidRPr="00F921C9">
        <w:t>1.3.3 Conexión a pozo</w:t>
      </w:r>
      <w:r w:rsidR="00331EBE">
        <w:t>,</w:t>
      </w:r>
      <w:r w:rsidRPr="00F921C9">
        <w:t xml:space="preserve"> que consiste en </w:t>
      </w:r>
      <w:r w:rsidR="00F738AD" w:rsidRPr="00F921C9">
        <w:t xml:space="preserve">llevar a cabo la conexión de un pozo del AEP con un pozo del CS, </w:t>
      </w:r>
      <w:r w:rsidR="006A0FFD" w:rsidRPr="00F921C9">
        <w:t>se indica que, si bien es necesaria la existencia de</w:t>
      </w:r>
      <w:r w:rsidR="00F738AD" w:rsidRPr="00F921C9">
        <w:t xml:space="preserve"> este procedimiento para realizar dicha conexión </w:t>
      </w:r>
      <w:r w:rsidR="006A0FFD" w:rsidRPr="00F921C9">
        <w:t>entre distintas redes</w:t>
      </w:r>
      <w:r w:rsidR="00F738AD" w:rsidRPr="00F921C9">
        <w:t xml:space="preserve">, </w:t>
      </w:r>
      <w:r w:rsidR="009935D3" w:rsidRPr="00F921C9">
        <w:t xml:space="preserve">también es propicio </w:t>
      </w:r>
      <w:r w:rsidRPr="00F921C9">
        <w:t>evaluar</w:t>
      </w:r>
      <w:r w:rsidR="00F738AD" w:rsidRPr="00F921C9">
        <w:t xml:space="preserve"> </w:t>
      </w:r>
      <w:r w:rsidR="009935D3" w:rsidRPr="00F921C9">
        <w:t>la viabilidad de que este</w:t>
      </w:r>
      <w:r w:rsidR="00F738AD" w:rsidRPr="00F921C9">
        <w:t xml:space="preserve"> no sea un proceso independiente a la solicitud de </w:t>
      </w:r>
      <w:r w:rsidRPr="00F921C9">
        <w:t>una trayectoria,</w:t>
      </w:r>
      <w:r w:rsidR="006A0FFD" w:rsidRPr="00F921C9">
        <w:t xml:space="preserve"> </w:t>
      </w:r>
      <w:r w:rsidRPr="00F921C9">
        <w:t>si</w:t>
      </w:r>
      <w:r w:rsidR="009935D3" w:rsidRPr="00F921C9">
        <w:t>no parte de la misma</w:t>
      </w:r>
      <w:r w:rsidR="00753149" w:rsidRPr="00F921C9">
        <w:t xml:space="preserve"> solicitud</w:t>
      </w:r>
      <w:r w:rsidRPr="00F921C9">
        <w:t>.</w:t>
      </w:r>
      <w:r w:rsidR="00753149" w:rsidRPr="00F921C9">
        <w:t xml:space="preserve"> </w:t>
      </w:r>
      <w:r w:rsidRPr="00F921C9">
        <w:t>E</w:t>
      </w:r>
      <w:r w:rsidR="00C379FE" w:rsidRPr="00F921C9">
        <w:t xml:space="preserve">n este sentido </w:t>
      </w:r>
      <w:r w:rsidR="00F738AD" w:rsidRPr="00F921C9">
        <w:t xml:space="preserve">se </w:t>
      </w:r>
      <w:r w:rsidR="00C245B2">
        <w:t xml:space="preserve">evaluará </w:t>
      </w:r>
      <w:r w:rsidR="00F738AD" w:rsidRPr="00F921C9">
        <w:t>establecer que los pozos</w:t>
      </w:r>
      <w:r w:rsidR="00951135">
        <w:t xml:space="preserve"> deberán estar</w:t>
      </w:r>
      <w:r w:rsidR="00F738AD" w:rsidRPr="00F921C9">
        <w:t xml:space="preserve"> plenamente identificados en la información disponible en el SEG, incluyendo los planos isométricos de estos, y representados con el detalle mínimo necesario para el diseño del anteproyecto</w:t>
      </w:r>
      <w:r w:rsidR="00B73DBA">
        <w:t>.</w:t>
      </w:r>
      <w:r w:rsidR="00F738AD" w:rsidRPr="00F921C9">
        <w:t xml:space="preserve"> Por lo tanto, </w:t>
      </w:r>
      <w:r w:rsidR="00C245B2">
        <w:t xml:space="preserve">en su caso, </w:t>
      </w:r>
      <w:r w:rsidR="00F738AD" w:rsidRPr="00F921C9">
        <w:t>los planos isométricos de pozos que requieren los CS</w:t>
      </w:r>
      <w:r w:rsidR="00B73DBA">
        <w:t xml:space="preserve"> </w:t>
      </w:r>
      <w:r w:rsidR="00C245B2">
        <w:t xml:space="preserve">deberían poder </w:t>
      </w:r>
      <w:r w:rsidR="00F738AD" w:rsidRPr="00F921C9">
        <w:t xml:space="preserve">consultarse en el </w:t>
      </w:r>
      <w:r w:rsidR="00951135">
        <w:t>SEG</w:t>
      </w:r>
      <w:r w:rsidR="00F738AD" w:rsidRPr="00F921C9">
        <w:t>.</w:t>
      </w:r>
    </w:p>
    <w:p w14:paraId="108B5563" w14:textId="632B8054" w:rsidR="009E0B44" w:rsidRDefault="007441A1" w:rsidP="00904CDF">
      <w:pPr>
        <w:pStyle w:val="IFTnormal"/>
      </w:pPr>
      <w:r>
        <w:t>R</w:t>
      </w:r>
      <w:r w:rsidRPr="00E449F8">
        <w:t>especto de</w:t>
      </w:r>
      <w:r>
        <w:t xml:space="preserve"> los comentarios realizados </w:t>
      </w:r>
      <w:r w:rsidR="006C6F35">
        <w:t>de</w:t>
      </w:r>
      <w:r>
        <w:t xml:space="preserve"> que </w:t>
      </w:r>
      <w:r w:rsidR="00BD3421">
        <w:t xml:space="preserve">en </w:t>
      </w:r>
      <w:r>
        <w:t xml:space="preserve">la ORCI fija </w:t>
      </w:r>
      <w:r w:rsidR="006C6F35">
        <w:t>se</w:t>
      </w:r>
      <w:r>
        <w:t xml:space="preserve"> establezca el acceso a los ductos de mantenimientos y a la infraestructura pasiva de las acometidas del AEP, el Instituto señala que el alcance del servicio estará definido de acuerdo al indicado en ORCI vigente. Lo anterior para salvaguardar la infraestructura compartida y que se facilite el acceso a la misma en términos de competencia.</w:t>
      </w:r>
    </w:p>
    <w:p w14:paraId="5A27B9E3" w14:textId="0064E32B" w:rsidR="00D30BB3" w:rsidRDefault="009137D1" w:rsidP="00D30BB3">
      <w:pPr>
        <w:pStyle w:val="IFTnormal"/>
      </w:pPr>
      <w:r>
        <w:t xml:space="preserve">Respecto al comentario de </w:t>
      </w:r>
      <w:r w:rsidR="00AB7491">
        <w:t xml:space="preserve">CANIETI </w:t>
      </w:r>
      <w:r>
        <w:t>de</w:t>
      </w:r>
      <w:r w:rsidR="00AB7491">
        <w:t xml:space="preserve"> </w:t>
      </w:r>
      <w:r w:rsidR="00535863">
        <w:t xml:space="preserve">que se fije la obligación al AEP de demostrar técnicamente si hay posibilidad de recuperación </w:t>
      </w:r>
      <w:r w:rsidR="00A04C2E">
        <w:t>de espa</w:t>
      </w:r>
      <w:r w:rsidR="00535863">
        <w:t xml:space="preserve">cio, </w:t>
      </w:r>
      <w:r>
        <w:t>es de aclarar</w:t>
      </w:r>
      <w:r w:rsidR="00535863">
        <w:t xml:space="preserve"> que </w:t>
      </w:r>
      <w:r>
        <w:t>en</w:t>
      </w:r>
      <w:r w:rsidR="00535863">
        <w:t xml:space="preserve"> la ORCI </w:t>
      </w:r>
      <w:r w:rsidR="00AB7491">
        <w:t>vigente</w:t>
      </w:r>
      <w:r>
        <w:t xml:space="preserve"> se establece</w:t>
      </w:r>
      <w:r w:rsidR="00535863">
        <w:t xml:space="preserve"> e</w:t>
      </w:r>
      <w:r w:rsidR="00F544C4">
        <w:t>l alcance de</w:t>
      </w:r>
      <w:r w:rsidR="00F544C4" w:rsidRPr="00EE086D">
        <w:t>l Trabajo Especial de Recuperación de Espa</w:t>
      </w:r>
      <w:r w:rsidR="00AB7491">
        <w:t>cio</w:t>
      </w:r>
      <w:r w:rsidR="00E27AB5">
        <w:t>,</w:t>
      </w:r>
      <w:r w:rsidR="00AB7491">
        <w:t xml:space="preserve"> es</w:t>
      </w:r>
      <w:r w:rsidR="00F544C4" w:rsidRPr="00EE086D">
        <w:t xml:space="preserve"> un servicio contingente cuando en la Visita Técnica se detecte que se está haciendo un uso ineficiente de la infraestructura por elementos de la red del propio Telmex</w:t>
      </w:r>
      <w:r w:rsidR="00AB7491">
        <w:t xml:space="preserve">, </w:t>
      </w:r>
      <w:r w:rsidR="00D30BB3" w:rsidRPr="00EE086D">
        <w:t>y para la prestación de los servicios de Compartición de Infraestructura es necesario liberar espacio</w:t>
      </w:r>
      <w:r w:rsidR="00E27AB5">
        <w:t>,</w:t>
      </w:r>
      <w:r w:rsidR="00A70CB4">
        <w:t xml:space="preserve"> lo</w:t>
      </w:r>
      <w:r w:rsidR="00D30BB3" w:rsidRPr="00EE086D">
        <w:t xml:space="preserve"> cual </w:t>
      </w:r>
      <w:r w:rsidR="00E27AB5">
        <w:t>es a</w:t>
      </w:r>
      <w:r w:rsidR="00D30BB3" w:rsidRPr="00EE086D">
        <w:t xml:space="preserve"> solicitud de CS o AS</w:t>
      </w:r>
      <w:r w:rsidR="00E27AB5">
        <w:t>. A</w:t>
      </w:r>
      <w:r w:rsidR="003F2C39">
        <w:t>l finalizar</w:t>
      </w:r>
      <w:r w:rsidR="00A70CB4">
        <w:t xml:space="preserve"> la Visita Técnica </w:t>
      </w:r>
      <w:r w:rsidR="003F2C39">
        <w:t>amba</w:t>
      </w:r>
      <w:r w:rsidR="00A70CB4">
        <w:t xml:space="preserve">s partes firmarán el </w:t>
      </w:r>
      <w:r w:rsidR="00A70CB4" w:rsidRPr="00CD6338">
        <w:t xml:space="preserve">“Reporte de Visita Técnica” que contiene la información recabada </w:t>
      </w:r>
      <w:r w:rsidR="003F2C39">
        <w:t>y</w:t>
      </w:r>
      <w:r w:rsidR="00A70CB4" w:rsidRPr="00CD6338">
        <w:t xml:space="preserve"> las acciones realizadas. </w:t>
      </w:r>
      <w:r w:rsidR="003F2C39">
        <w:t>Con esto se esta</w:t>
      </w:r>
      <w:r w:rsidR="00F74BFE">
        <w:t>ría acreditando la demostración</w:t>
      </w:r>
      <w:r w:rsidR="00A70CB4" w:rsidRPr="00CD6338">
        <w:t xml:space="preserve"> </w:t>
      </w:r>
      <w:r w:rsidR="00F74BFE">
        <w:t>técnica de la recuperación de espacio.</w:t>
      </w:r>
    </w:p>
    <w:p w14:paraId="709BA8F6" w14:textId="31212EAD" w:rsidR="00FC5D1F" w:rsidRDefault="00634DA3" w:rsidP="00D30BB3">
      <w:pPr>
        <w:pStyle w:val="IFTnormal"/>
      </w:pPr>
      <w:r>
        <w:t>En atención al comentario relacionado con la implementación de penalizaciones para los casos en lo que el AEP no envía l</w:t>
      </w:r>
      <w:r w:rsidR="00DD23AC">
        <w:t>as cotizaciones desglosadas</w:t>
      </w:r>
      <w:r w:rsidR="0003439A">
        <w:t>,</w:t>
      </w:r>
      <w:r w:rsidR="00DD23AC">
        <w:t xml:space="preserve"> se indica que en la ORCI vigente </w:t>
      </w:r>
      <w:r w:rsidR="00DD23AC" w:rsidRPr="00E449F8">
        <w:t xml:space="preserve">no existe la opción para que </w:t>
      </w:r>
      <w:r w:rsidR="00DD23AC">
        <w:t xml:space="preserve">se le imponga algún tipo </w:t>
      </w:r>
      <w:r w:rsidR="00FC5D1F">
        <w:t>de sanción al AEP por ausencia del detalle en la cotización, por lo que el Instituto advierte que para otorgar una mayor transparencia a la</w:t>
      </w:r>
      <w:r w:rsidR="00FC5D1F">
        <w:rPr>
          <w:lang w:val="es-ES"/>
        </w:rPr>
        <w:t xml:space="preserve"> s</w:t>
      </w:r>
      <w:r w:rsidR="00FC5D1F" w:rsidRPr="0011630F">
        <w:rPr>
          <w:lang w:val="es-ES"/>
        </w:rPr>
        <w:t xml:space="preserve">olicitud de </w:t>
      </w:r>
      <w:r w:rsidR="00FC5D1F">
        <w:rPr>
          <w:lang w:val="es-ES"/>
        </w:rPr>
        <w:t>los s</w:t>
      </w:r>
      <w:r w:rsidR="00FC5D1F" w:rsidRPr="0011630F">
        <w:rPr>
          <w:lang w:val="es-ES"/>
        </w:rPr>
        <w:t>ervicio</w:t>
      </w:r>
      <w:r w:rsidR="00FC5D1F">
        <w:t xml:space="preserve">s, </w:t>
      </w:r>
      <w:r w:rsidR="00F8220B">
        <w:t xml:space="preserve">evaluará </w:t>
      </w:r>
      <w:r w:rsidR="00FC5D1F">
        <w:t>determina</w:t>
      </w:r>
      <w:r w:rsidR="004C1ECE">
        <w:t>r</w:t>
      </w:r>
      <w:r w:rsidR="00FC5D1F">
        <w:t xml:space="preserve"> que la cotización que el AEP presente al CS incluya</w:t>
      </w:r>
      <w:r w:rsidR="00FC5D1F" w:rsidRPr="00FA3C32">
        <w:t xml:space="preserve"> el desglose de cada una de las actividades a realizar, tiempos, así como los recursos tanto materiales como humanos dedicados, c</w:t>
      </w:r>
      <w:r w:rsidR="00FC5D1F">
        <w:t xml:space="preserve">on su respectivo costo unitario, </w:t>
      </w:r>
      <w:r w:rsidR="00FC5D1F" w:rsidRPr="00454488">
        <w:rPr>
          <w:lang w:val="es-MX"/>
        </w:rPr>
        <w:t>para la provisión de los servicios</w:t>
      </w:r>
      <w:r w:rsidR="00FC5D1F">
        <w:t xml:space="preserve"> como se encuentra estipulado en la ORCI vigente.</w:t>
      </w:r>
    </w:p>
    <w:p w14:paraId="005B26E0" w14:textId="16E6EFAF" w:rsidR="00A04C2E" w:rsidRPr="00EE086D" w:rsidRDefault="007D1A59" w:rsidP="00D30BB3">
      <w:pPr>
        <w:pStyle w:val="IFTnormal"/>
      </w:pPr>
      <w:r>
        <w:t xml:space="preserve">Asimismo, se </w:t>
      </w:r>
      <w:r w:rsidR="008574A9">
        <w:t xml:space="preserve">evaluará </w:t>
      </w:r>
      <w:r>
        <w:t>establece</w:t>
      </w:r>
      <w:r w:rsidR="00BD3421">
        <w:t>r</w:t>
      </w:r>
      <w:r>
        <w:t xml:space="preserve"> que el </w:t>
      </w:r>
      <w:r w:rsidR="00FC5D1F">
        <w:t xml:space="preserve">AEP deberá observar este mismo criterio en la facturación, con el fin de que los CS tengan pleno </w:t>
      </w:r>
      <w:r w:rsidR="00FC5D1F">
        <w:rPr>
          <w:lang w:val="es-MX"/>
        </w:rPr>
        <w:t>conocimiento de los cobros desglosados, otorgando con ello mayor certidumbre a los procedimientos</w:t>
      </w:r>
      <w:r w:rsidR="004C1ECE">
        <w:rPr>
          <w:lang w:val="es-MX"/>
        </w:rPr>
        <w:t xml:space="preserve"> de los servicios.</w:t>
      </w:r>
    </w:p>
    <w:p w14:paraId="1D3F5FA2" w14:textId="7EC4D419" w:rsidR="00C02676" w:rsidRDefault="00155432" w:rsidP="00C02676">
      <w:pPr>
        <w:pStyle w:val="IFTnormal"/>
        <w:rPr>
          <w:szCs w:val="18"/>
        </w:rPr>
      </w:pPr>
      <w:r>
        <w:t>Con relación a la eliminación de las actividades de acondicionamiento de infraestructura como parte de los trabajos especiales</w:t>
      </w:r>
      <w:r w:rsidR="000B4455">
        <w:t>,</w:t>
      </w:r>
      <w:r>
        <w:t xml:space="preserve"> </w:t>
      </w:r>
      <w:r w:rsidR="00C02676">
        <w:t>e</w:t>
      </w:r>
      <w:r w:rsidR="000B4455">
        <w:t>ste</w:t>
      </w:r>
      <w:r w:rsidR="00C02676">
        <w:t xml:space="preserve"> Instituto indica</w:t>
      </w:r>
      <w:r w:rsidR="0072691F">
        <w:t xml:space="preserve"> que</w:t>
      </w:r>
      <w:r w:rsidR="00C02676">
        <w:rPr>
          <w:szCs w:val="18"/>
        </w:rPr>
        <w:t xml:space="preserve"> los costos asociados </w:t>
      </w:r>
      <w:r w:rsidR="0072691F">
        <w:rPr>
          <w:szCs w:val="18"/>
        </w:rPr>
        <w:t xml:space="preserve">a dichas actividades </w:t>
      </w:r>
      <w:r w:rsidR="00C02676">
        <w:rPr>
          <w:szCs w:val="18"/>
        </w:rPr>
        <w:t>deberán ser cubiertos por el CS cuando sea requerido, a menos que acuerden lo contrario</w:t>
      </w:r>
      <w:r w:rsidR="000B4455">
        <w:rPr>
          <w:szCs w:val="18"/>
        </w:rPr>
        <w:t xml:space="preserve"> las partes</w:t>
      </w:r>
      <w:r w:rsidR="00C02676">
        <w:rPr>
          <w:szCs w:val="18"/>
        </w:rPr>
        <w:t xml:space="preserve">. Lo anterior, en consistencia de lo dispuesto en la Medida TRIGÉSIMA PRIMERA de las Medidas Fijas. Por lo tanto, la Oferta de Referencia que autorice el Instituto deberá reflejar dichas condiciones, las cuales también son referidas en la ORCI vigente autorizada por el Instituto. </w:t>
      </w:r>
    </w:p>
    <w:p w14:paraId="366A13B1" w14:textId="407C0890" w:rsidR="00242C6E" w:rsidRDefault="00242C6E" w:rsidP="00242C6E">
      <w:pPr>
        <w:pStyle w:val="IFTnormal"/>
      </w:pPr>
      <w:r w:rsidRPr="00AE41C9">
        <w:rPr>
          <w:szCs w:val="18"/>
        </w:rPr>
        <w:t xml:space="preserve">Sobre el comentario para eliminar el cobro por Análisis de Factibilidad, el Instituto </w:t>
      </w:r>
      <w:r w:rsidR="007F3749">
        <w:rPr>
          <w:szCs w:val="18"/>
        </w:rPr>
        <w:t xml:space="preserve">no suprimirá dicho cobro sin embargo </w:t>
      </w:r>
      <w:r w:rsidR="008066E8">
        <w:rPr>
          <w:szCs w:val="18"/>
        </w:rPr>
        <w:t xml:space="preserve">evaluará </w:t>
      </w:r>
      <w:r w:rsidR="007F3749">
        <w:t xml:space="preserve">modificar el esquema de cobro del Análisis de Factibilidad de un cargo por kilómetro a un cargo por evento o servicio. </w:t>
      </w:r>
    </w:p>
    <w:p w14:paraId="19DDEFF7" w14:textId="0E29AF51" w:rsidR="007F3749" w:rsidRDefault="00482836" w:rsidP="00242C6E">
      <w:pPr>
        <w:pStyle w:val="IFTnormal"/>
      </w:pPr>
      <w:r w:rsidRPr="00482836">
        <w:rPr>
          <w:szCs w:val="18"/>
        </w:rPr>
        <w:t>Por</w:t>
      </w:r>
      <w:r>
        <w:rPr>
          <w:szCs w:val="18"/>
        </w:rPr>
        <w:t xml:space="preserve"> otra </w:t>
      </w:r>
      <w:r w:rsidR="002749FA">
        <w:rPr>
          <w:szCs w:val="18"/>
        </w:rPr>
        <w:t>parte,</w:t>
      </w:r>
      <w:r>
        <w:rPr>
          <w:szCs w:val="18"/>
        </w:rPr>
        <w:t xml:space="preserve"> </w:t>
      </w:r>
      <w:r w:rsidR="00F8220B">
        <w:rPr>
          <w:szCs w:val="18"/>
        </w:rPr>
        <w:t>co</w:t>
      </w:r>
      <w:r>
        <w:rPr>
          <w:szCs w:val="18"/>
        </w:rPr>
        <w:t>n relación a la clarificación de los requisitos que debe contener el Anteproyecto, el Instituto advierte que esta situación le</w:t>
      </w:r>
      <w:r>
        <w:rPr>
          <w:rFonts w:eastAsia="Times New Roman"/>
        </w:rPr>
        <w:t xml:space="preserve"> otorga una elevada discrecionalidad al AEP para rechazarlos, por lo que </w:t>
      </w:r>
      <w:r w:rsidR="002749FA" w:rsidRPr="009E365E">
        <w:t xml:space="preserve">con el fin </w:t>
      </w:r>
      <w:r w:rsidR="002749FA">
        <w:t>minimizar</w:t>
      </w:r>
      <w:r w:rsidR="002749FA" w:rsidRPr="009E365E">
        <w:t xml:space="preserve"> las posibilidades de</w:t>
      </w:r>
      <w:r w:rsidR="002749FA">
        <w:t xml:space="preserve"> que sigan siendo rechazados</w:t>
      </w:r>
      <w:r w:rsidR="002749FA" w:rsidRPr="009E365E">
        <w:t>, el Instituto considera</w:t>
      </w:r>
      <w:r w:rsidR="008574A9">
        <w:t>rá</w:t>
      </w:r>
      <w:r w:rsidR="002749FA" w:rsidRPr="009E365E">
        <w:t xml:space="preserve"> </w:t>
      </w:r>
      <w:r w:rsidR="008574A9">
        <w:t xml:space="preserve">la </w:t>
      </w:r>
      <w:r w:rsidR="002749FA">
        <w:t>convenien</w:t>
      </w:r>
      <w:r w:rsidR="008574A9">
        <w:t>cia de</w:t>
      </w:r>
      <w:r w:rsidR="002749FA">
        <w:t xml:space="preserve"> </w:t>
      </w:r>
      <w:r w:rsidR="002749FA" w:rsidRPr="009E365E">
        <w:t>determina</w:t>
      </w:r>
      <w:r w:rsidR="002749FA">
        <w:t>r</w:t>
      </w:r>
      <w:r w:rsidR="002749FA" w:rsidRPr="009E365E">
        <w:t xml:space="preserve"> </w:t>
      </w:r>
      <w:r w:rsidR="002749FA">
        <w:t xml:space="preserve">lo que se </w:t>
      </w:r>
      <w:r w:rsidR="002749FA" w:rsidRPr="00611760">
        <w:t xml:space="preserve">establecerá en el </w:t>
      </w:r>
      <w:r w:rsidR="002749FA">
        <w:t>A</w:t>
      </w:r>
      <w:r w:rsidR="002749FA" w:rsidRPr="00611760">
        <w:t>nteproyecto</w:t>
      </w:r>
      <w:r w:rsidR="002749FA">
        <w:t>. Este deberá contener las c</w:t>
      </w:r>
      <w:r w:rsidR="002749FA" w:rsidRPr="00611760">
        <w:t>aracterísticas</w:t>
      </w:r>
      <w:r w:rsidR="002749FA" w:rsidRPr="00611760" w:rsidDel="000F6BC3">
        <w:t xml:space="preserve"> </w:t>
      </w:r>
      <w:r w:rsidR="002749FA" w:rsidRPr="00611760">
        <w:t>y especificaciones técnicas de lo que se pretende instalar</w:t>
      </w:r>
      <w:r w:rsidR="002749FA">
        <w:t>,</w:t>
      </w:r>
      <w:r w:rsidR="002749FA" w:rsidRPr="00611760">
        <w:t xml:space="preserve"> conforme a la normatividad señalada en las Normas contenidas en el Anexo 2, así como demás aspectos técnicos y operativos para la correcta prestación de los servicios</w:t>
      </w:r>
      <w:r w:rsidR="002749FA">
        <w:t>.</w:t>
      </w:r>
    </w:p>
    <w:p w14:paraId="35DF6865" w14:textId="39D85E2C" w:rsidR="00665A26" w:rsidRPr="00A008C6" w:rsidRDefault="00D913C6" w:rsidP="00665A26">
      <w:pPr>
        <w:pStyle w:val="IFTnormal"/>
      </w:pPr>
      <w:r w:rsidRPr="00E11222">
        <w:t xml:space="preserve">Respecto al </w:t>
      </w:r>
      <w:r w:rsidR="00665A26" w:rsidRPr="00E11222">
        <w:t xml:space="preserve">comentario </w:t>
      </w:r>
      <w:r w:rsidRPr="00E11222">
        <w:t>de</w:t>
      </w:r>
      <w:r w:rsidR="00665A26" w:rsidRPr="00E11222">
        <w:t xml:space="preserve"> que el Instituto defina una penalidad al AEP en caso de que la instalación sea inviable por falta de espacio en el ducto, se indica que en la ORCI vigente no existe la opción para que se le imponga algún tipo de sanción al AEP por tal situación, sin embargo para minimizar el impacto </w:t>
      </w:r>
      <w:r w:rsidR="00EE5D2B" w:rsidRPr="00E11222">
        <w:t xml:space="preserve">de  no contar espacio en el ducto hasta una etapa avanzada como es </w:t>
      </w:r>
      <w:r w:rsidR="00665A26" w:rsidRPr="00E11222">
        <w:t xml:space="preserve">la Etapa 5: Instalación de Infraestructura del procedimiento para la Contratación de Servicios de Acceso y Uso Compartido de Obra Civil </w:t>
      </w:r>
      <w:r w:rsidR="00665A26" w:rsidRPr="00E11222">
        <w:rPr>
          <w:rFonts w:eastAsia="Times New Roman"/>
        </w:rPr>
        <w:t xml:space="preserve">el CS se </w:t>
      </w:r>
      <w:r w:rsidR="00EE5D2B" w:rsidRPr="00E11222">
        <w:rPr>
          <w:rFonts w:eastAsia="Times New Roman"/>
        </w:rPr>
        <w:t xml:space="preserve">advierte que </w:t>
      </w:r>
      <w:r w:rsidR="00FE4850" w:rsidRPr="00E11222">
        <w:rPr>
          <w:rFonts w:eastAsia="Times New Roman"/>
        </w:rPr>
        <w:t>el AEP no podrá requerir la contraprestación por la ejecución de la Etapa 2: Programación y realización de Visita Técnica cuando</w:t>
      </w:r>
      <w:r w:rsidR="00665A26" w:rsidRPr="00E11222">
        <w:rPr>
          <w:rFonts w:eastAsia="Times New Roman"/>
        </w:rPr>
        <w:t xml:space="preserve"> la información que se obtuvo mediante el SEG</w:t>
      </w:r>
      <w:r w:rsidR="00EE5D2B" w:rsidRPr="00E11222">
        <w:rPr>
          <w:rFonts w:eastAsia="Times New Roman"/>
        </w:rPr>
        <w:t xml:space="preserve"> fuera</w:t>
      </w:r>
      <w:r w:rsidR="00FE4850" w:rsidRPr="00E11222">
        <w:rPr>
          <w:rFonts w:eastAsia="Times New Roman"/>
        </w:rPr>
        <w:t xml:space="preserve"> imprecisa</w:t>
      </w:r>
      <w:r w:rsidR="00665A26" w:rsidRPr="00E11222">
        <w:rPr>
          <w:rFonts w:eastAsia="Times New Roman"/>
        </w:rPr>
        <w:t>.</w:t>
      </w:r>
    </w:p>
    <w:p w14:paraId="47200BD2" w14:textId="1776A49F" w:rsidR="008D05B3" w:rsidRDefault="00001B8C" w:rsidP="008D05B3">
      <w:pPr>
        <w:pStyle w:val="IFTnormal"/>
        <w:rPr>
          <w:rFonts w:eastAsia="Times New Roman"/>
        </w:rPr>
      </w:pPr>
      <w:r>
        <w:t xml:space="preserve">Con relación a los comentarios realizados por </w:t>
      </w:r>
      <w:r w:rsidR="00FC0028">
        <w:t xml:space="preserve">UC TELECOM </w:t>
      </w:r>
      <w:r w:rsidR="00E05205">
        <w:t>de</w:t>
      </w:r>
      <w:r>
        <w:t xml:space="preserve"> que </w:t>
      </w:r>
      <w:r w:rsidRPr="000E0093">
        <w:t xml:space="preserve">no </w:t>
      </w:r>
      <w:r>
        <w:t>se pueda</w:t>
      </w:r>
      <w:r w:rsidRPr="000E0093">
        <w:t xml:space="preserve"> rechazar anteproyectos por la falta de información</w:t>
      </w:r>
      <w:r>
        <w:t xml:space="preserve"> y que se incluya el formato del anteproyecto</w:t>
      </w:r>
      <w:r w:rsidR="008D05B3">
        <w:t>, además que sea considera</w:t>
      </w:r>
      <w:r>
        <w:t xml:space="preserve">do </w:t>
      </w:r>
      <w:r w:rsidRPr="000E0093">
        <w:t>improced</w:t>
      </w:r>
      <w:r>
        <w:t xml:space="preserve">ente que el AEP incluya en la </w:t>
      </w:r>
      <w:r w:rsidRPr="000E0093">
        <w:t>propuesta de O</w:t>
      </w:r>
      <w:r>
        <w:t xml:space="preserve">ferta de </w:t>
      </w:r>
      <w:r w:rsidRPr="000E0093">
        <w:t>R</w:t>
      </w:r>
      <w:r>
        <w:t>eferencia</w:t>
      </w:r>
      <w:r w:rsidRPr="000E0093">
        <w:t xml:space="preserve"> plazos extras para proporcionar los planos isométricos de los pozos</w:t>
      </w:r>
      <w:r>
        <w:t>, el Instituto advierte</w:t>
      </w:r>
      <w:r w:rsidR="008D05B3">
        <w:t xml:space="preserve"> que no se podrán rechazar Anteproyectos </w:t>
      </w:r>
      <w:r w:rsidR="008D05B3">
        <w:rPr>
          <w:rFonts w:eastAsia="Times New Roman"/>
        </w:rPr>
        <w:t>como consecuencia de información incompleta o imprecisa en el SEG bajo la premisa de que la información sobre la infraestructura debe estar contenida en el SEG</w:t>
      </w:r>
      <w:r w:rsidR="00E05205">
        <w:rPr>
          <w:rFonts w:eastAsia="Times New Roman"/>
        </w:rPr>
        <w:t xml:space="preserve"> incluyendo los planos </w:t>
      </w:r>
      <w:r w:rsidR="005E6DC7">
        <w:rPr>
          <w:rFonts w:eastAsia="Times New Roman"/>
        </w:rPr>
        <w:t>isométricos</w:t>
      </w:r>
      <w:r w:rsidR="008D05B3">
        <w:rPr>
          <w:rFonts w:eastAsia="Times New Roman"/>
        </w:rPr>
        <w:t>.</w:t>
      </w:r>
    </w:p>
    <w:p w14:paraId="141AD9D6" w14:textId="09D5B0FF" w:rsidR="008D05B3" w:rsidRDefault="005E6DC7" w:rsidP="008D05B3">
      <w:pPr>
        <w:pStyle w:val="IFTnormal"/>
        <w:rPr>
          <w:lang w:val="es-ES"/>
        </w:rPr>
      </w:pPr>
      <w:r>
        <w:rPr>
          <w:rFonts w:eastAsia="Times New Roman"/>
        </w:rPr>
        <w:t>Como se planteó a</w:t>
      </w:r>
      <w:r w:rsidR="008D05B3">
        <w:rPr>
          <w:rFonts w:eastAsia="Times New Roman"/>
        </w:rPr>
        <w:t>nteriormente</w:t>
      </w:r>
      <w:r>
        <w:rPr>
          <w:rFonts w:eastAsia="Times New Roman"/>
        </w:rPr>
        <w:t>,</w:t>
      </w:r>
      <w:r w:rsidR="008D05B3">
        <w:rPr>
          <w:rFonts w:eastAsia="Times New Roman"/>
        </w:rPr>
        <w:t xml:space="preserve"> </w:t>
      </w:r>
      <w:r w:rsidR="008D05B3">
        <w:rPr>
          <w:lang w:val="es-ES"/>
        </w:rPr>
        <w:t>con el fin de otorgar certeza a las partes y con ello reducir la discrecionalidad en la interpretación en la presentación de los Anteproyectos, el Instituto</w:t>
      </w:r>
      <w:r w:rsidR="00BD3421">
        <w:rPr>
          <w:lang w:val="es-ES"/>
        </w:rPr>
        <w:t xml:space="preserve"> considerará</w:t>
      </w:r>
      <w:r w:rsidR="008D05B3">
        <w:rPr>
          <w:lang w:val="es-ES"/>
        </w:rPr>
        <w:t xml:space="preserve"> determinar el Formato de Anteproyecto del s</w:t>
      </w:r>
      <w:r w:rsidR="008D05B3" w:rsidRPr="00B54BED">
        <w:rPr>
          <w:lang w:val="es-ES"/>
        </w:rPr>
        <w:t xml:space="preserve">ervicio de </w:t>
      </w:r>
      <w:r w:rsidR="008D05B3">
        <w:rPr>
          <w:lang w:val="es-ES"/>
        </w:rPr>
        <w:t>a</w:t>
      </w:r>
      <w:r w:rsidR="008D05B3" w:rsidRPr="00B54BED">
        <w:rPr>
          <w:lang w:val="es-ES"/>
        </w:rPr>
        <w:t xml:space="preserve">cceso y </w:t>
      </w:r>
      <w:r w:rsidR="008D05B3">
        <w:rPr>
          <w:lang w:val="es-ES"/>
        </w:rPr>
        <w:t>u</w:t>
      </w:r>
      <w:r w:rsidR="008D05B3" w:rsidRPr="00B54BED">
        <w:rPr>
          <w:lang w:val="es-ES"/>
        </w:rPr>
        <w:t>so compartido de obra civil</w:t>
      </w:r>
      <w:r w:rsidR="008D05B3">
        <w:rPr>
          <w:lang w:val="es-ES"/>
        </w:rPr>
        <w:t xml:space="preserve">, el cual contendrá características suficientes para el dictamen por parte del AEP, este comentario no sólo ha sido expuesto </w:t>
      </w:r>
      <w:r w:rsidR="00DE019E">
        <w:rPr>
          <w:lang w:val="es-ES"/>
        </w:rPr>
        <w:t xml:space="preserve">únicamente </w:t>
      </w:r>
      <w:r w:rsidR="008D05B3">
        <w:rPr>
          <w:lang w:val="es-ES"/>
        </w:rPr>
        <w:t xml:space="preserve">por UC TELECOM, sino también por </w:t>
      </w:r>
      <w:r w:rsidR="00DE019E">
        <w:rPr>
          <w:lang w:val="es-ES"/>
        </w:rPr>
        <w:t>CANIETI en el sentido de dar claridad a las características necesarias para desarrollar el Anteproyecto.</w:t>
      </w:r>
    </w:p>
    <w:p w14:paraId="227B14ED" w14:textId="60E84918" w:rsidR="00DE019E" w:rsidRDefault="00DE019E" w:rsidP="008D05B3">
      <w:pPr>
        <w:pStyle w:val="IFTnormal"/>
      </w:pPr>
      <w:r>
        <w:t xml:space="preserve">Por otra parte, </w:t>
      </w:r>
      <w:r w:rsidR="00C06449">
        <w:t xml:space="preserve">en </w:t>
      </w:r>
      <w:r>
        <w:t xml:space="preserve">lo que respecta </w:t>
      </w:r>
      <w:r w:rsidR="00C06449">
        <w:t xml:space="preserve">a los plazos extras para proporcionar los planos isométricos </w:t>
      </w:r>
      <w:r>
        <w:t>que el AEP incluy</w:t>
      </w:r>
      <w:r w:rsidR="00C06449">
        <w:t>ó</w:t>
      </w:r>
      <w:r>
        <w:t xml:space="preserve"> en su</w:t>
      </w:r>
      <w:r w:rsidRPr="000E0093">
        <w:t xml:space="preserve"> propuesta de O</w:t>
      </w:r>
      <w:r>
        <w:t>ferta</w:t>
      </w:r>
      <w:r w:rsidR="00C06449">
        <w:t>,</w:t>
      </w:r>
      <w:r>
        <w:t xml:space="preserve"> el Instituto advierte que esto no es procedente </w:t>
      </w:r>
      <w:r w:rsidRPr="00E449F8">
        <w:t xml:space="preserve">por lo que </w:t>
      </w:r>
      <w:r w:rsidR="00C06449">
        <w:t>se</w:t>
      </w:r>
      <w:r w:rsidR="00C06449" w:rsidRPr="00E449F8">
        <w:t xml:space="preserve"> </w:t>
      </w:r>
      <w:r>
        <w:t>reflejará en la Oferta de Referencia que autorice el Instituto en</w:t>
      </w:r>
      <w:r w:rsidRPr="00E449F8">
        <w:t xml:space="preserve"> los términos establecidos en la ORCI vigente</w:t>
      </w:r>
      <w:r>
        <w:t>.</w:t>
      </w:r>
    </w:p>
    <w:p w14:paraId="1DE9BF5F" w14:textId="465675FA" w:rsidR="000D4B1C" w:rsidRDefault="00C06449" w:rsidP="00D30BB3">
      <w:pPr>
        <w:pStyle w:val="IFTnormal"/>
      </w:pPr>
      <w:r>
        <w:t>C</w:t>
      </w:r>
      <w:r w:rsidR="00DE019E">
        <w:t>on relación a los procedimientos y las etapas de</w:t>
      </w:r>
      <w:r w:rsidR="000D4B1C">
        <w:t>:</w:t>
      </w:r>
      <w:r w:rsidR="00DE019E">
        <w:t xml:space="preserve"> </w:t>
      </w:r>
      <w:r w:rsidR="000D4B1C" w:rsidRPr="000D4B1C">
        <w:t>Programación y realización de Visita Técnica</w:t>
      </w:r>
      <w:r w:rsidR="000D4B1C">
        <w:t xml:space="preserve">, </w:t>
      </w:r>
      <w:r w:rsidR="000D4B1C" w:rsidRPr="000D4B1C">
        <w:t>Elaboración de Anteproyecto</w:t>
      </w:r>
      <w:r w:rsidR="007D3B8A">
        <w:t xml:space="preserve"> y</w:t>
      </w:r>
      <w:r w:rsidR="000D4B1C">
        <w:t xml:space="preserve"> </w:t>
      </w:r>
      <w:r w:rsidR="000D4B1C" w:rsidRPr="000D4B1C">
        <w:t>Análisis de Factibilidad</w:t>
      </w:r>
      <w:r w:rsidR="007D3B8A">
        <w:t>,</w:t>
      </w:r>
      <w:r w:rsidR="000D4B1C">
        <w:t xml:space="preserve"> se indica </w:t>
      </w:r>
      <w:r w:rsidR="00001B8C">
        <w:t xml:space="preserve">que </w:t>
      </w:r>
      <w:r w:rsidR="008D05B3">
        <w:rPr>
          <w:rFonts w:eastAsia="Times New Roman"/>
        </w:rPr>
        <w:t>se realizan diversos ajustes con el fin de o</w:t>
      </w:r>
      <w:r w:rsidR="000D4B1C">
        <w:rPr>
          <w:rFonts w:eastAsia="Times New Roman"/>
        </w:rPr>
        <w:t>torgar certeza a los CS, reduciendo</w:t>
      </w:r>
      <w:r w:rsidR="008D05B3">
        <w:rPr>
          <w:rFonts w:eastAsia="Times New Roman"/>
        </w:rPr>
        <w:t xml:space="preserve"> plazos cuando se</w:t>
      </w:r>
      <w:r w:rsidR="000D4B1C">
        <w:rPr>
          <w:rFonts w:eastAsia="Times New Roman"/>
        </w:rPr>
        <w:t>a</w:t>
      </w:r>
      <w:r w:rsidR="008D05B3">
        <w:rPr>
          <w:rFonts w:eastAsia="Times New Roman"/>
        </w:rPr>
        <w:t xml:space="preserve"> considera</w:t>
      </w:r>
      <w:r w:rsidR="000D4B1C">
        <w:rPr>
          <w:rFonts w:eastAsia="Times New Roman"/>
        </w:rPr>
        <w:t>do</w:t>
      </w:r>
      <w:r w:rsidR="008D05B3">
        <w:rPr>
          <w:rFonts w:eastAsia="Times New Roman"/>
        </w:rPr>
        <w:t xml:space="preserve"> viable y </w:t>
      </w:r>
      <w:r w:rsidR="000D4B1C">
        <w:rPr>
          <w:rFonts w:eastAsia="Times New Roman"/>
        </w:rPr>
        <w:t xml:space="preserve">se </w:t>
      </w:r>
      <w:r w:rsidR="008D05B3">
        <w:rPr>
          <w:rFonts w:eastAsia="Times New Roman"/>
        </w:rPr>
        <w:t>eliminar</w:t>
      </w:r>
      <w:r w:rsidR="000D4B1C">
        <w:rPr>
          <w:rFonts w:eastAsia="Times New Roman"/>
        </w:rPr>
        <w:t>án</w:t>
      </w:r>
      <w:r w:rsidR="008D05B3">
        <w:rPr>
          <w:rFonts w:eastAsia="Times New Roman"/>
        </w:rPr>
        <w:t xml:space="preserve"> etapas donde el AEP pudiera tener incentivos a tomar decisiones de manera discrecional</w:t>
      </w:r>
      <w:r w:rsidR="000D4B1C">
        <w:rPr>
          <w:rFonts w:eastAsia="Times New Roman"/>
        </w:rPr>
        <w:t>.</w:t>
      </w:r>
      <w:r w:rsidR="00015415">
        <w:rPr>
          <w:rFonts w:eastAsia="Times New Roman"/>
        </w:rPr>
        <w:t xml:space="preserve"> </w:t>
      </w:r>
      <w:r w:rsidR="002B7B11">
        <w:rPr>
          <w:rFonts w:eastAsia="Times New Roman"/>
        </w:rPr>
        <w:t>Por otra parte, el GRUPO TELEVISA indic</w:t>
      </w:r>
      <w:r w:rsidR="00810AFE">
        <w:rPr>
          <w:rFonts w:eastAsia="Times New Roman"/>
        </w:rPr>
        <w:t>ó</w:t>
      </w:r>
      <w:r w:rsidR="002B7B11">
        <w:rPr>
          <w:rFonts w:eastAsia="Times New Roman"/>
        </w:rPr>
        <w:t xml:space="preserve"> que la solicitud de pozos en los isométricos sea ilimitada y no en bloques como actualm</w:t>
      </w:r>
      <w:r w:rsidR="007B1FE5">
        <w:rPr>
          <w:rFonts w:eastAsia="Times New Roman"/>
        </w:rPr>
        <w:t>ente está operando la O</w:t>
      </w:r>
      <w:r w:rsidR="00810AFE">
        <w:rPr>
          <w:rFonts w:eastAsia="Times New Roman"/>
        </w:rPr>
        <w:t>ferta vigente</w:t>
      </w:r>
      <w:r w:rsidR="002B7B11">
        <w:rPr>
          <w:rFonts w:eastAsia="Times New Roman"/>
        </w:rPr>
        <w:t xml:space="preserve">, por lo anteriormente expuesto el Instituto indica que </w:t>
      </w:r>
      <w:r w:rsidR="002B7B11">
        <w:t xml:space="preserve">se </w:t>
      </w:r>
      <w:r w:rsidR="00F8220B">
        <w:t xml:space="preserve">analizará </w:t>
      </w:r>
      <w:r w:rsidR="002B7B11">
        <w:t>establecer que los pozos estarán</w:t>
      </w:r>
      <w:r w:rsidR="002B7B11" w:rsidRPr="001C57BA">
        <w:t xml:space="preserve"> plenamente identificados en la información disponible en el SEG</w:t>
      </w:r>
      <w:r w:rsidR="002B7B11">
        <w:t>, incluyendo los planos isométricos de estos,</w:t>
      </w:r>
      <w:r w:rsidR="002B7B11" w:rsidRPr="001C57BA">
        <w:t xml:space="preserve"> y representados con el detalle mínimo necesario para el diseño</w:t>
      </w:r>
      <w:r w:rsidR="002B7B11">
        <w:t xml:space="preserve"> del a</w:t>
      </w:r>
      <w:r w:rsidR="002B7B11" w:rsidRPr="001C57BA">
        <w:t>nteproyecto mediante planos de proyección isométrica que deberán estar también disponibles en el mismo SEG.</w:t>
      </w:r>
    </w:p>
    <w:p w14:paraId="181F1E9C" w14:textId="2BF6EE74" w:rsidR="007B1FE5" w:rsidRDefault="007B1FE5" w:rsidP="007B1FE5">
      <w:pPr>
        <w:pStyle w:val="IFTnormal"/>
      </w:pPr>
      <w:r w:rsidRPr="002B6AA0">
        <w:t xml:space="preserve">Sobre el comentario para </w:t>
      </w:r>
      <w:r w:rsidR="00556300" w:rsidRPr="002B6AA0">
        <w:t>que en la Oferta se estable</w:t>
      </w:r>
      <w:r w:rsidR="00810AFE" w:rsidRPr="002B6AA0">
        <w:t>zca</w:t>
      </w:r>
      <w:r w:rsidR="00556300" w:rsidRPr="002B6AA0">
        <w:t xml:space="preserve"> las solicitudes de servicios mixtas (subterránea y área), el Instituto indica que </w:t>
      </w:r>
      <w:r w:rsidR="00556300" w:rsidRPr="002B6AA0">
        <w:rPr>
          <w:rFonts w:eastAsia="Times New Roman"/>
        </w:rPr>
        <w:t>con el fin de evitar condiciones diferentes a las que incurre el AEP respecto a sus propias operaciones, que generen a los CS costos innecesarios y/o que inhiban la contratación de los servicios mayoristas de compartición de infraestructura que pudieran afectar el proceso de competencia</w:t>
      </w:r>
      <w:r w:rsidR="00286606" w:rsidRPr="002B6AA0">
        <w:rPr>
          <w:rFonts w:eastAsia="Times New Roman"/>
        </w:rPr>
        <w:t xml:space="preserve">, </w:t>
      </w:r>
      <w:r w:rsidR="00286606" w:rsidRPr="00D4033D">
        <w:rPr>
          <w:rFonts w:eastAsia="Times New Roman"/>
        </w:rPr>
        <w:t xml:space="preserve">se </w:t>
      </w:r>
      <w:r w:rsidR="00D4033D">
        <w:t>analizará</w:t>
      </w:r>
      <w:r w:rsidR="00286606" w:rsidRPr="002B6AA0">
        <w:t xml:space="preserve"> incluir en la descripción del Servicio de Acceso y Uso compartido de Obra Civil</w:t>
      </w:r>
      <w:r w:rsidR="0073725F" w:rsidRPr="002B6AA0">
        <w:t xml:space="preserve"> el tipo de despliegue mixto, </w:t>
      </w:r>
      <w:r w:rsidR="00BD3421">
        <w:t xml:space="preserve">con el fin </w:t>
      </w:r>
      <w:proofErr w:type="spellStart"/>
      <w:r w:rsidR="00BD3421">
        <w:t>de</w:t>
      </w:r>
      <w:r w:rsidR="0073725F" w:rsidRPr="002B6AA0">
        <w:t>poder</w:t>
      </w:r>
      <w:proofErr w:type="spellEnd"/>
      <w:r w:rsidR="0073725F" w:rsidRPr="002B6AA0">
        <w:t xml:space="preserve"> generar la solicitud de infraestructura para</w:t>
      </w:r>
      <w:r w:rsidR="00286606" w:rsidRPr="002B6AA0">
        <w:t xml:space="preserve"> red área y subterránea.</w:t>
      </w:r>
    </w:p>
    <w:p w14:paraId="38EE1F2F" w14:textId="1101580C" w:rsidR="00E706ED" w:rsidRPr="00F610F7" w:rsidRDefault="0054140D" w:rsidP="007B1FE5">
      <w:pPr>
        <w:pStyle w:val="IFTnormal"/>
      </w:pPr>
      <w:r w:rsidRPr="00F610F7">
        <w:t>En atención al comentario emitido con relación a las alternativas en caso de que no exista capac</w:t>
      </w:r>
      <w:r w:rsidR="00110863" w:rsidRPr="00F610F7">
        <w:t>idad excedente se</w:t>
      </w:r>
      <w:r w:rsidRPr="00F610F7">
        <w:t xml:space="preserve"> indica que se establezca el acceso a los servicios mayoristas de la OREDA </w:t>
      </w:r>
      <w:r w:rsidR="00110863" w:rsidRPr="00F610F7">
        <w:t>a los mismos precios o</w:t>
      </w:r>
      <w:r w:rsidRPr="00F610F7">
        <w:t xml:space="preserve"> similares que los servicios de la ORCI inicialmente solicitados, </w:t>
      </w:r>
      <w:r w:rsidR="00810AFE" w:rsidRPr="00F610F7">
        <w:t>este</w:t>
      </w:r>
      <w:r w:rsidR="00321BE5" w:rsidRPr="00F610F7">
        <w:t xml:space="preserve"> Instituto señala que no es procedente dicha alternativa, </w:t>
      </w:r>
      <w:r w:rsidR="000D7BBF" w:rsidRPr="00F610F7">
        <w:t xml:space="preserve">debido a que </w:t>
      </w:r>
      <w:r w:rsidR="00810AFE" w:rsidRPr="00F610F7">
        <w:t>no</w:t>
      </w:r>
      <w:r w:rsidR="003E687A" w:rsidRPr="00F610F7">
        <w:t xml:space="preserve"> se encuentran explicitas</w:t>
      </w:r>
      <w:r w:rsidR="000D7BBF" w:rsidRPr="00F610F7">
        <w:t xml:space="preserve"> en las </w:t>
      </w:r>
      <w:r w:rsidR="00A376E5" w:rsidRPr="00F610F7">
        <w:t>Medidas Fij</w:t>
      </w:r>
      <w:r w:rsidR="000D7BBF" w:rsidRPr="00F610F7">
        <w:t>as, por lo cual no es posible g</w:t>
      </w:r>
      <w:r w:rsidR="00A376E5" w:rsidRPr="00F610F7">
        <w:t>enerar una</w:t>
      </w:r>
      <w:r w:rsidR="000D7BBF" w:rsidRPr="00F610F7">
        <w:t xml:space="preserve"> </w:t>
      </w:r>
      <w:r w:rsidR="003E687A" w:rsidRPr="00F610F7">
        <w:t xml:space="preserve">nueva </w:t>
      </w:r>
      <w:r w:rsidR="000D7BBF" w:rsidRPr="00F610F7">
        <w:t>obligación al AEP</w:t>
      </w:r>
      <w:r w:rsidR="003E687A" w:rsidRPr="00F610F7">
        <w:t xml:space="preserve"> que no esté bajo el amparo de las dichas medidas</w:t>
      </w:r>
      <w:r w:rsidR="00E706ED" w:rsidRPr="00F610F7">
        <w:t>.</w:t>
      </w:r>
    </w:p>
    <w:p w14:paraId="0046DCE6" w14:textId="2AD8F18D" w:rsidR="00286606" w:rsidRDefault="00207574" w:rsidP="007B1FE5">
      <w:pPr>
        <w:pStyle w:val="IFTnormal"/>
      </w:pPr>
      <w:r>
        <w:t>Por otro lado, e</w:t>
      </w:r>
      <w:r w:rsidR="00EE1ECB">
        <w:t>n lo que respecta a que el CS pueda accede</w:t>
      </w:r>
      <w:r w:rsidR="003E687A">
        <w:t>r a los ductos de mantenimiento el Instituto señala que el alcance del servicio estará definido de acuerdo al indicado en ORCI vigente. Lo anterior para salvaguardar la infraestructura compartida y que se facilite el acceso a la misma en términos de competencia.</w:t>
      </w:r>
    </w:p>
    <w:p w14:paraId="2692046C" w14:textId="1E20CDC9" w:rsidR="00D81593" w:rsidRPr="0029155D" w:rsidRDefault="005B48E9" w:rsidP="00D81593">
      <w:pPr>
        <w:pStyle w:val="IFTnormal"/>
      </w:pPr>
      <w:r w:rsidRPr="00D81593">
        <w:t xml:space="preserve">Ahora </w:t>
      </w:r>
      <w:r w:rsidR="00685272" w:rsidRPr="00D81593">
        <w:t>bien,</w:t>
      </w:r>
      <w:r w:rsidRPr="00D81593">
        <w:t xml:space="preserve"> con lo relacionado a que se establezcan las condiciones de un SLA</w:t>
      </w:r>
      <w:r w:rsidR="00685272" w:rsidRPr="00D81593">
        <w:t xml:space="preserve"> genérico y estándar en la ORCI.</w:t>
      </w:r>
      <w:r w:rsidRPr="00D81593">
        <w:t xml:space="preserve"> </w:t>
      </w:r>
      <w:r w:rsidR="00685272" w:rsidRPr="00D81593">
        <w:t xml:space="preserve">Al respecto, en atención a lo dispuesto en la Medida CUADRAGÉSIMA PRIMERA de las Medidas Fijas respecto a que la Propuesta de Oferta de Referencia debe reflejar, al menos, las mismas condiciones que las establecidas en la ORCI vigente. </w:t>
      </w:r>
      <w:r w:rsidR="00D81593" w:rsidRPr="00863556">
        <w:t>Sin embargo, este Instituto promoverá la mejor provisión del servicio de compartición de infraestructura pasiva mediante la revisión de los procedimient</w:t>
      </w:r>
      <w:r w:rsidR="00D81593">
        <w:t>os y los parámetros de calidad</w:t>
      </w:r>
      <w:r w:rsidR="00D81593" w:rsidRPr="00863556">
        <w:t xml:space="preserve"> a la necesidad de promover que el AEP proporcione el Servicio de Acceso y Uso Compartido de Infraestructura Pasiva en condiciones satisfactorias de calidad, tal como lo establece la Medida VIGÉSIMA NOVENA de las Medidas Fijas. </w:t>
      </w:r>
    </w:p>
    <w:p w14:paraId="5B06AFA8" w14:textId="6F3D5E1B" w:rsidR="007B1FE5" w:rsidRDefault="00975BBA" w:rsidP="00D30BB3">
      <w:pPr>
        <w:pStyle w:val="IFTnormal"/>
      </w:pPr>
      <w:r>
        <w:t>F</w:t>
      </w:r>
      <w:r w:rsidR="00645248">
        <w:t xml:space="preserve">inalmente, para el último comentario relacionado con la penalización al AEP en caso de que la instalación no sea viable por falta de espacio en el ducto, se indica </w:t>
      </w:r>
      <w:r w:rsidR="00113D82">
        <w:t xml:space="preserve">que </w:t>
      </w:r>
      <w:r w:rsidR="00645248">
        <w:t xml:space="preserve">esta solicitud fue planteada </w:t>
      </w:r>
      <w:r w:rsidR="00113D82">
        <w:t>también por CANIETI por lo que dicha consideración es la misma indicada con anterioridad.</w:t>
      </w:r>
    </w:p>
    <w:p w14:paraId="7FD07C29" w14:textId="59443900" w:rsidR="0029155D" w:rsidRPr="00984A58" w:rsidRDefault="0029155D" w:rsidP="00984A58">
      <w:pPr>
        <w:pStyle w:val="Ttulo2"/>
        <w:numPr>
          <w:ilvl w:val="0"/>
          <w:numId w:val="58"/>
        </w:numPr>
        <w:rPr>
          <w:rFonts w:ascii="ITC Avant Garde" w:hAnsi="ITC Avant Garde"/>
          <w:b/>
          <w:color w:val="auto"/>
          <w:sz w:val="24"/>
        </w:rPr>
      </w:pPr>
      <w:r w:rsidRPr="00984A58">
        <w:rPr>
          <w:rFonts w:ascii="ITC Avant Garde" w:hAnsi="ITC Avant Garde"/>
          <w:b/>
          <w:color w:val="auto"/>
          <w:sz w:val="24"/>
        </w:rPr>
        <w:t>De la sección “2. Servicio de Canales Ópticos de Alta Capacidad de Transporte”.</w:t>
      </w:r>
    </w:p>
    <w:p w14:paraId="6C849733" w14:textId="77777777" w:rsidR="00F8220B" w:rsidRDefault="00F8220B" w:rsidP="00145E87">
      <w:pPr>
        <w:jc w:val="both"/>
        <w:rPr>
          <w:rFonts w:ascii="ITC Avant Garde" w:eastAsia="Calibri" w:hAnsi="ITC Avant Garde" w:cs="Arial"/>
          <w:b/>
          <w:color w:val="000000"/>
          <w:lang w:val="es-ES_tradnl" w:eastAsia="es-ES"/>
        </w:rPr>
      </w:pPr>
    </w:p>
    <w:p w14:paraId="46F50C24" w14:textId="3BFCCE56" w:rsidR="00A83AA9" w:rsidRPr="00A83AA9" w:rsidRDefault="00A83AA9" w:rsidP="00145E87">
      <w:pPr>
        <w:jc w:val="both"/>
        <w:rPr>
          <w:rFonts w:ascii="ITC Avant Garde" w:eastAsia="Calibri" w:hAnsi="ITC Avant Garde" w:cs="Arial"/>
          <w:b/>
          <w:color w:val="000000"/>
          <w:lang w:val="es-ES_tradnl" w:eastAsia="es-ES"/>
        </w:rPr>
      </w:pPr>
      <w:r w:rsidRPr="00A83AA9">
        <w:rPr>
          <w:rFonts w:ascii="ITC Avant Garde" w:eastAsia="Calibri" w:hAnsi="ITC Avant Garde" w:cs="Arial"/>
          <w:b/>
          <w:color w:val="000000"/>
          <w:lang w:val="es-ES_tradnl" w:eastAsia="es-ES"/>
        </w:rPr>
        <w:t>Resumen de comentarios de la Consulta Pública</w:t>
      </w:r>
    </w:p>
    <w:p w14:paraId="54574CE5" w14:textId="49A38E38" w:rsidR="00B12C80" w:rsidRDefault="00145E87" w:rsidP="00145E87">
      <w:pPr>
        <w:jc w:val="both"/>
        <w:rPr>
          <w:rFonts w:ascii="ITC Avant Garde" w:eastAsia="Calibri" w:hAnsi="ITC Avant Garde" w:cs="Arial"/>
          <w:color w:val="000000"/>
          <w:lang w:val="es-ES_tradnl" w:eastAsia="es-ES"/>
        </w:rPr>
      </w:pPr>
      <w:r w:rsidRPr="00145E87">
        <w:rPr>
          <w:rFonts w:ascii="ITC Avant Garde" w:eastAsia="Calibri" w:hAnsi="ITC Avant Garde" w:cs="Arial"/>
          <w:color w:val="000000"/>
          <w:lang w:val="es-ES_tradnl" w:eastAsia="es-ES"/>
        </w:rPr>
        <w:t xml:space="preserve">Al respecto </w:t>
      </w:r>
      <w:r>
        <w:rPr>
          <w:rFonts w:ascii="ITC Avant Garde" w:eastAsia="Calibri" w:hAnsi="ITC Avant Garde" w:cs="Arial"/>
          <w:color w:val="000000"/>
          <w:lang w:val="es-ES_tradnl" w:eastAsia="es-ES"/>
        </w:rPr>
        <w:t xml:space="preserve">PROMTEL </w:t>
      </w:r>
      <w:r w:rsidR="001A429F">
        <w:rPr>
          <w:rFonts w:ascii="ITC Avant Garde" w:eastAsia="Calibri" w:hAnsi="ITC Avant Garde" w:cs="Arial"/>
          <w:color w:val="000000"/>
          <w:lang w:val="es-ES_tradnl" w:eastAsia="es-ES"/>
        </w:rPr>
        <w:t>sugirió</w:t>
      </w:r>
      <w:r>
        <w:rPr>
          <w:rFonts w:ascii="ITC Avant Garde" w:eastAsia="Calibri" w:hAnsi="ITC Avant Garde" w:cs="Arial"/>
          <w:color w:val="000000"/>
          <w:lang w:val="es-ES_tradnl" w:eastAsia="es-ES"/>
        </w:rPr>
        <w:t xml:space="preserve"> que se indique expresamente los criterios con base en los cuales se determinará que no es factible proveer el servicio de canales ópticos, y con ello, se permit</w:t>
      </w:r>
      <w:r w:rsidR="00731EF4">
        <w:rPr>
          <w:rFonts w:ascii="ITC Avant Garde" w:eastAsia="Calibri" w:hAnsi="ITC Avant Garde" w:cs="Arial"/>
          <w:color w:val="000000"/>
          <w:lang w:val="es-ES_tradnl" w:eastAsia="es-ES"/>
        </w:rPr>
        <w:t xml:space="preserve">a la renta de fibra obscura. Así </w:t>
      </w:r>
      <w:r>
        <w:rPr>
          <w:rFonts w:ascii="ITC Avant Garde" w:eastAsia="Calibri" w:hAnsi="ITC Avant Garde" w:cs="Arial"/>
          <w:color w:val="000000"/>
          <w:lang w:val="es-ES_tradnl" w:eastAsia="es-ES"/>
        </w:rPr>
        <w:t>mismo</w:t>
      </w:r>
      <w:r w:rsidR="00C9624D">
        <w:rPr>
          <w:rFonts w:ascii="ITC Avant Garde" w:eastAsia="Calibri" w:hAnsi="ITC Avant Garde" w:cs="Arial"/>
          <w:color w:val="000000"/>
          <w:lang w:val="es-ES_tradnl" w:eastAsia="es-ES"/>
        </w:rPr>
        <w:t xml:space="preserve"> </w:t>
      </w:r>
      <w:r>
        <w:rPr>
          <w:rFonts w:ascii="ITC Avant Garde" w:eastAsia="Calibri" w:hAnsi="ITC Avant Garde" w:cs="Arial"/>
          <w:color w:val="000000"/>
          <w:lang w:val="es-ES_tradnl" w:eastAsia="es-ES"/>
        </w:rPr>
        <w:t xml:space="preserve">sugiere incluir los criterios que permitan determinar cuándo puede no </w:t>
      </w:r>
      <w:r w:rsidR="00C01749">
        <w:rPr>
          <w:rFonts w:ascii="ITC Avant Garde" w:eastAsia="Calibri" w:hAnsi="ITC Avant Garde" w:cs="Arial"/>
          <w:color w:val="000000"/>
          <w:lang w:val="es-ES_tradnl" w:eastAsia="es-ES"/>
        </w:rPr>
        <w:t xml:space="preserve">resultar técnicamente factible </w:t>
      </w:r>
      <w:r w:rsidR="00C107FE">
        <w:rPr>
          <w:rFonts w:ascii="ITC Avant Garde" w:eastAsia="Calibri" w:hAnsi="ITC Avant Garde" w:cs="Arial"/>
          <w:color w:val="000000"/>
          <w:lang w:val="es-ES_tradnl" w:eastAsia="es-ES"/>
        </w:rPr>
        <w:t xml:space="preserve">proveer </w:t>
      </w:r>
      <w:r>
        <w:rPr>
          <w:rFonts w:ascii="ITC Avant Garde" w:eastAsia="Calibri" w:hAnsi="ITC Avant Garde" w:cs="Arial"/>
          <w:color w:val="000000"/>
          <w:lang w:val="es-ES_tradnl" w:eastAsia="es-ES"/>
        </w:rPr>
        <w:t xml:space="preserve">el acceso a la </w:t>
      </w:r>
      <w:r w:rsidR="00091B75">
        <w:rPr>
          <w:rFonts w:ascii="ITC Avant Garde" w:eastAsia="Calibri" w:hAnsi="ITC Avant Garde" w:cs="Arial"/>
          <w:color w:val="000000"/>
          <w:lang w:val="es-ES_tradnl" w:eastAsia="es-ES"/>
        </w:rPr>
        <w:t>fibra obscura</w:t>
      </w:r>
      <w:r>
        <w:rPr>
          <w:rFonts w:ascii="ITC Avant Garde" w:eastAsia="Calibri" w:hAnsi="ITC Avant Garde" w:cs="Arial"/>
          <w:color w:val="000000"/>
          <w:lang w:val="es-ES_tradnl" w:eastAsia="es-ES"/>
        </w:rPr>
        <w:t>.</w:t>
      </w:r>
    </w:p>
    <w:p w14:paraId="6FF1A1D0" w14:textId="3C28A89F" w:rsidR="00731EF4" w:rsidRDefault="00731EF4" w:rsidP="00145E87">
      <w:pPr>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 xml:space="preserve">ATT </w:t>
      </w:r>
      <w:r w:rsidR="00091B75">
        <w:rPr>
          <w:rFonts w:ascii="ITC Avant Garde" w:eastAsia="Calibri" w:hAnsi="ITC Avant Garde" w:cs="Arial"/>
          <w:color w:val="000000"/>
          <w:lang w:val="es-ES_tradnl" w:eastAsia="es-ES"/>
        </w:rPr>
        <w:t>sugirió</w:t>
      </w:r>
      <w:r>
        <w:rPr>
          <w:rFonts w:ascii="ITC Avant Garde" w:eastAsia="Calibri" w:hAnsi="ITC Avant Garde" w:cs="Arial"/>
          <w:color w:val="000000"/>
          <w:lang w:val="es-ES_tradnl" w:eastAsia="es-ES"/>
        </w:rPr>
        <w:t xml:space="preserve"> cambiar el alcance </w:t>
      </w:r>
      <w:r w:rsidR="00091B75">
        <w:rPr>
          <w:rFonts w:ascii="ITC Avant Garde" w:eastAsia="Calibri" w:hAnsi="ITC Avant Garde" w:cs="Arial"/>
          <w:color w:val="000000"/>
          <w:lang w:val="es-ES_tradnl" w:eastAsia="es-ES"/>
        </w:rPr>
        <w:t>debido a</w:t>
      </w:r>
      <w:r>
        <w:rPr>
          <w:rFonts w:ascii="ITC Avant Garde" w:eastAsia="Calibri" w:hAnsi="ITC Avant Garde" w:cs="Arial"/>
          <w:color w:val="000000"/>
          <w:lang w:val="es-ES_tradnl" w:eastAsia="es-ES"/>
        </w:rPr>
        <w:t xml:space="preserve"> que el servicio se suministrará en la trayectoria que solicite el CS dentro de la misma localidad o trayecto. En los puntos terminales que se preste el servicio Telmex debe instalar el sistema de </w:t>
      </w:r>
      <w:r w:rsidR="00C9624D">
        <w:rPr>
          <w:rFonts w:ascii="ITC Avant Garde" w:eastAsia="Calibri" w:hAnsi="ITC Avant Garde" w:cs="Arial"/>
          <w:color w:val="000000"/>
          <w:lang w:val="es-ES_tradnl" w:eastAsia="es-ES"/>
        </w:rPr>
        <w:t>transmisión con tecnología DWDM, p</w:t>
      </w:r>
      <w:r>
        <w:rPr>
          <w:rFonts w:ascii="ITC Avant Garde" w:eastAsia="Calibri" w:hAnsi="ITC Avant Garde" w:cs="Arial"/>
          <w:color w:val="000000"/>
          <w:lang w:val="es-ES_tradnl" w:eastAsia="es-ES"/>
        </w:rPr>
        <w:t>ara suministrar el servicio se d</w:t>
      </w:r>
      <w:r w:rsidR="00C9624D">
        <w:rPr>
          <w:rFonts w:ascii="ITC Avant Garde" w:eastAsia="Calibri" w:hAnsi="ITC Avant Garde" w:cs="Arial"/>
          <w:color w:val="000000"/>
          <w:lang w:val="es-ES_tradnl" w:eastAsia="es-ES"/>
        </w:rPr>
        <w:t>ebe indicar el tipo de interfaz por lo que</w:t>
      </w:r>
      <w:r>
        <w:rPr>
          <w:rFonts w:ascii="ITC Avant Garde" w:eastAsia="Calibri" w:hAnsi="ITC Avant Garde" w:cs="Arial"/>
          <w:color w:val="000000"/>
          <w:lang w:val="es-ES_tradnl" w:eastAsia="es-ES"/>
        </w:rPr>
        <w:t xml:space="preserve"> Telmex deberá llevar el enlace hasta el punto en el que CS cuente con coubicación. Los servicios deberán estar disponibles en los pue</w:t>
      </w:r>
      <w:r w:rsidR="00C9624D">
        <w:rPr>
          <w:rFonts w:ascii="ITC Avant Garde" w:eastAsia="Calibri" w:hAnsi="ITC Avant Garde" w:cs="Arial"/>
          <w:color w:val="000000"/>
          <w:lang w:val="es-ES_tradnl" w:eastAsia="es-ES"/>
        </w:rPr>
        <w:t>r</w:t>
      </w:r>
      <w:r>
        <w:rPr>
          <w:rFonts w:ascii="ITC Avant Garde" w:eastAsia="Calibri" w:hAnsi="ITC Avant Garde" w:cs="Arial"/>
          <w:color w:val="000000"/>
          <w:lang w:val="es-ES_tradnl" w:eastAsia="es-ES"/>
        </w:rPr>
        <w:t>to</w:t>
      </w:r>
      <w:r w:rsidR="00C9624D">
        <w:rPr>
          <w:rFonts w:ascii="ITC Avant Garde" w:eastAsia="Calibri" w:hAnsi="ITC Avant Garde" w:cs="Arial"/>
          <w:color w:val="000000"/>
          <w:lang w:val="es-ES_tradnl" w:eastAsia="es-ES"/>
        </w:rPr>
        <w:t>s</w:t>
      </w:r>
      <w:r>
        <w:rPr>
          <w:rFonts w:ascii="ITC Avant Garde" w:eastAsia="Calibri" w:hAnsi="ITC Avant Garde" w:cs="Arial"/>
          <w:color w:val="000000"/>
          <w:lang w:val="es-ES_tradnl" w:eastAsia="es-ES"/>
        </w:rPr>
        <w:t xml:space="preserve"> STM-16, STM-64, 1GE, 10GE, 100GE. En caso de que no haya </w:t>
      </w:r>
      <w:r w:rsidR="00C9624D">
        <w:rPr>
          <w:rFonts w:ascii="ITC Avant Garde" w:eastAsia="Calibri" w:hAnsi="ITC Avant Garde" w:cs="Arial"/>
          <w:color w:val="000000"/>
          <w:lang w:val="es-ES_tradnl" w:eastAsia="es-ES"/>
        </w:rPr>
        <w:t xml:space="preserve">estas capacidades </w:t>
      </w:r>
      <w:r>
        <w:rPr>
          <w:rFonts w:ascii="ITC Avant Garde" w:eastAsia="Calibri" w:hAnsi="ITC Avant Garde" w:cs="Arial"/>
          <w:color w:val="000000"/>
          <w:lang w:val="es-ES_tradnl" w:eastAsia="es-ES"/>
        </w:rPr>
        <w:t>se ofrecerá fibra óptica obscura.</w:t>
      </w:r>
    </w:p>
    <w:p w14:paraId="2776783A" w14:textId="589855AB" w:rsidR="006D6285" w:rsidRDefault="00C9624D" w:rsidP="00145E87">
      <w:pPr>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Por otra parte, con lo que respecta a</w:t>
      </w:r>
      <w:r w:rsidR="006D6285">
        <w:rPr>
          <w:rFonts w:ascii="ITC Avant Garde" w:eastAsia="Calibri" w:hAnsi="ITC Avant Garde" w:cs="Arial"/>
          <w:color w:val="000000"/>
          <w:lang w:val="es-ES_tradnl" w:eastAsia="es-ES"/>
        </w:rPr>
        <w:t xml:space="preserve"> la Etapa 2 del procedimiento para la contratación solicitan que sea revisado de modo que quede claro que no se trata de un proyecto especial sino de u</w:t>
      </w:r>
      <w:r w:rsidR="00203329">
        <w:rPr>
          <w:rFonts w:ascii="ITC Avant Garde" w:eastAsia="Calibri" w:hAnsi="ITC Avant Garde" w:cs="Arial"/>
          <w:color w:val="000000"/>
          <w:lang w:val="es-ES_tradnl" w:eastAsia="es-ES"/>
        </w:rPr>
        <w:t>n servicio con tarifa regulada, y que p</w:t>
      </w:r>
      <w:r w:rsidR="006D6285">
        <w:rPr>
          <w:rFonts w:ascii="ITC Avant Garde" w:eastAsia="Calibri" w:hAnsi="ITC Avant Garde" w:cs="Arial"/>
          <w:color w:val="000000"/>
          <w:lang w:val="es-ES_tradnl" w:eastAsia="es-ES"/>
        </w:rPr>
        <w:t>ara</w:t>
      </w:r>
      <w:r w:rsidR="008912A3">
        <w:rPr>
          <w:rFonts w:ascii="ITC Avant Garde" w:eastAsia="Calibri" w:hAnsi="ITC Avant Garde" w:cs="Arial"/>
          <w:color w:val="000000"/>
          <w:lang w:val="es-ES_tradnl" w:eastAsia="es-ES"/>
        </w:rPr>
        <w:t xml:space="preserve"> la Etapa 4, Verificación de Instalación, solicitan sea revisado para que en la recepción del servicio se</w:t>
      </w:r>
      <w:r w:rsidR="00203329">
        <w:rPr>
          <w:rFonts w:ascii="ITC Avant Garde" w:eastAsia="Calibri" w:hAnsi="ITC Avant Garde" w:cs="Arial"/>
          <w:color w:val="000000"/>
          <w:lang w:val="es-ES_tradnl" w:eastAsia="es-ES"/>
        </w:rPr>
        <w:t>a</w:t>
      </w:r>
      <w:r w:rsidR="008912A3">
        <w:rPr>
          <w:rFonts w:ascii="ITC Avant Garde" w:eastAsia="Calibri" w:hAnsi="ITC Avant Garde" w:cs="Arial"/>
          <w:color w:val="000000"/>
          <w:lang w:val="es-ES_tradnl" w:eastAsia="es-ES"/>
        </w:rPr>
        <w:t xml:space="preserve"> a partir de mediciones de funcionalidad, velocidad, y tasa de errores. </w:t>
      </w:r>
      <w:r w:rsidR="00203329">
        <w:rPr>
          <w:rFonts w:ascii="ITC Avant Garde" w:eastAsia="Calibri" w:hAnsi="ITC Avant Garde" w:cs="Arial"/>
          <w:color w:val="000000"/>
          <w:lang w:val="es-ES_tradnl" w:eastAsia="es-ES"/>
        </w:rPr>
        <w:t>Finalmente indicando en la Etapa 3</w:t>
      </w:r>
      <w:r w:rsidR="008912A3">
        <w:rPr>
          <w:rFonts w:ascii="ITC Avant Garde" w:eastAsia="Calibri" w:hAnsi="ITC Avant Garde" w:cs="Arial"/>
          <w:color w:val="000000"/>
          <w:lang w:val="es-ES_tradnl" w:eastAsia="es-ES"/>
        </w:rPr>
        <w:t xml:space="preserve"> Facturación, </w:t>
      </w:r>
      <w:r w:rsidR="00203329">
        <w:rPr>
          <w:rFonts w:ascii="ITC Avant Garde" w:eastAsia="Calibri" w:hAnsi="ITC Avant Garde" w:cs="Arial"/>
          <w:color w:val="000000"/>
          <w:lang w:val="es-ES_tradnl" w:eastAsia="es-ES"/>
        </w:rPr>
        <w:t xml:space="preserve">en la cual </w:t>
      </w:r>
      <w:r w:rsidR="008912A3">
        <w:rPr>
          <w:rFonts w:ascii="ITC Avant Garde" w:eastAsia="Calibri" w:hAnsi="ITC Avant Garde" w:cs="Arial"/>
          <w:color w:val="000000"/>
          <w:lang w:val="es-ES_tradnl" w:eastAsia="es-ES"/>
        </w:rPr>
        <w:t>solicitan que se deje de factura</w:t>
      </w:r>
      <w:r w:rsidR="00203329">
        <w:rPr>
          <w:rFonts w:ascii="ITC Avant Garde" w:eastAsia="Calibri" w:hAnsi="ITC Avant Garde" w:cs="Arial"/>
          <w:color w:val="000000"/>
          <w:lang w:val="es-ES_tradnl" w:eastAsia="es-ES"/>
        </w:rPr>
        <w:t>r a los dos días</w:t>
      </w:r>
      <w:r w:rsidR="008912A3">
        <w:rPr>
          <w:rFonts w:ascii="ITC Avant Garde" w:eastAsia="Calibri" w:hAnsi="ITC Avant Garde" w:cs="Arial"/>
          <w:color w:val="000000"/>
          <w:lang w:val="es-ES_tradnl" w:eastAsia="es-ES"/>
        </w:rPr>
        <w:t xml:space="preserve"> de recibida la solicitud de baja.</w:t>
      </w:r>
    </w:p>
    <w:p w14:paraId="76A36EDE" w14:textId="77777777" w:rsidR="00FF41BC" w:rsidRDefault="00F7564D" w:rsidP="00F7564D">
      <w:pPr>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CANIETI sugirió que se modifique el alcance y prestación del servicio, para que se indique que: e</w:t>
      </w:r>
      <w:r w:rsidRPr="00F7564D">
        <w:rPr>
          <w:rFonts w:ascii="ITC Avant Garde" w:eastAsia="Calibri" w:hAnsi="ITC Avant Garde" w:cs="Arial"/>
          <w:color w:val="000000"/>
          <w:lang w:val="es-ES_tradnl" w:eastAsia="es-ES"/>
        </w:rPr>
        <w:t>l servicio de canal óptico se suministra en la trayectoria que solicite el CS o AS que incluya la misma localidad o tramo interurbano en el que no hubiese.</w:t>
      </w:r>
    </w:p>
    <w:p w14:paraId="235556C1" w14:textId="77777777" w:rsidR="00BF6699" w:rsidRDefault="00FF41BC" w:rsidP="00145E87">
      <w:pPr>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 xml:space="preserve">Actualmente </w:t>
      </w:r>
      <w:r w:rsidR="008C256F">
        <w:rPr>
          <w:rFonts w:ascii="ITC Avant Garde" w:eastAsia="Calibri" w:hAnsi="ITC Avant Garde" w:cs="Arial"/>
          <w:color w:val="000000"/>
          <w:lang w:val="es-ES_tradnl" w:eastAsia="es-ES"/>
        </w:rPr>
        <w:t>s</w:t>
      </w:r>
      <w:r w:rsidR="00F7564D" w:rsidRPr="00F7564D">
        <w:rPr>
          <w:rFonts w:ascii="ITC Avant Garde" w:eastAsia="Calibri" w:hAnsi="ITC Avant Garde" w:cs="Arial"/>
          <w:color w:val="000000"/>
          <w:lang w:val="es-ES_tradnl" w:eastAsia="es-ES"/>
        </w:rPr>
        <w:t>ólo se proveerá cuando se haya certificado que no se cuenta con disponibi</w:t>
      </w:r>
      <w:r>
        <w:rPr>
          <w:rFonts w:ascii="ITC Avant Garde" w:eastAsia="Calibri" w:hAnsi="ITC Avant Garde" w:cs="Arial"/>
          <w:color w:val="000000"/>
          <w:lang w:val="es-ES_tradnl" w:eastAsia="es-ES"/>
        </w:rPr>
        <w:t>lidad de infraestructura pasiva, por lo que e</w:t>
      </w:r>
      <w:r w:rsidR="00F7564D" w:rsidRPr="00F7564D">
        <w:rPr>
          <w:rFonts w:ascii="ITC Avant Garde" w:eastAsia="Calibri" w:hAnsi="ITC Avant Garde" w:cs="Arial"/>
          <w:color w:val="000000"/>
          <w:lang w:val="es-ES_tradnl" w:eastAsia="es-ES"/>
        </w:rPr>
        <w:t xml:space="preserve">n ambos puntos terminales de la trayectoria solicitada por el CS se deben instalar sistemas de </w:t>
      </w:r>
      <w:r w:rsidR="00BF6699">
        <w:rPr>
          <w:rFonts w:ascii="ITC Avant Garde" w:eastAsia="Calibri" w:hAnsi="ITC Avant Garde" w:cs="Arial"/>
          <w:color w:val="000000"/>
          <w:lang w:val="es-ES_tradnl" w:eastAsia="es-ES"/>
        </w:rPr>
        <w:t>transmisión con tecnología DWDM;</w:t>
      </w:r>
      <w:r w:rsidR="00F7564D">
        <w:rPr>
          <w:rFonts w:ascii="ITC Avant Garde" w:eastAsia="Calibri" w:hAnsi="ITC Avant Garde" w:cs="Arial"/>
          <w:color w:val="000000"/>
          <w:lang w:val="es-ES_tradnl" w:eastAsia="es-ES"/>
        </w:rPr>
        <w:t xml:space="preserve"> </w:t>
      </w:r>
      <w:r w:rsidR="00BF6699">
        <w:rPr>
          <w:rFonts w:ascii="ITC Avant Garde" w:eastAsia="Calibri" w:hAnsi="ITC Avant Garde" w:cs="Arial"/>
          <w:color w:val="000000"/>
          <w:lang w:val="es-ES_tradnl" w:eastAsia="es-ES"/>
        </w:rPr>
        <w:t>p</w:t>
      </w:r>
      <w:r w:rsidR="00F7564D" w:rsidRPr="00F7564D">
        <w:rPr>
          <w:rFonts w:ascii="ITC Avant Garde" w:eastAsia="Calibri" w:hAnsi="ITC Avant Garde" w:cs="Arial"/>
          <w:color w:val="000000"/>
          <w:lang w:val="es-ES_tradnl" w:eastAsia="es-ES"/>
        </w:rPr>
        <w:t>ara suministrar el servicio se indicará el tipo de interfaz de interconexión y los puntos A y B, que requiere el CS.</w:t>
      </w:r>
      <w:r w:rsidR="00F7564D">
        <w:rPr>
          <w:rFonts w:ascii="ITC Avant Garde" w:eastAsia="Calibri" w:hAnsi="ITC Avant Garde" w:cs="Arial"/>
          <w:color w:val="000000"/>
          <w:lang w:val="es-ES_tradnl" w:eastAsia="es-ES"/>
        </w:rPr>
        <w:t xml:space="preserve"> </w:t>
      </w:r>
      <w:r w:rsidR="00F7564D" w:rsidRPr="00F7564D">
        <w:rPr>
          <w:rFonts w:ascii="ITC Avant Garde" w:eastAsia="Calibri" w:hAnsi="ITC Avant Garde" w:cs="Arial"/>
          <w:color w:val="000000"/>
          <w:lang w:val="es-ES_tradnl" w:eastAsia="es-ES"/>
        </w:rPr>
        <w:t>El CS o AS deberá contar con coubicaciones en ambos puntos de pre</w:t>
      </w:r>
      <w:r w:rsidR="00BF6699">
        <w:rPr>
          <w:rFonts w:ascii="ITC Avant Garde" w:eastAsia="Calibri" w:hAnsi="ITC Avant Garde" w:cs="Arial"/>
          <w:color w:val="000000"/>
          <w:lang w:val="es-ES_tradnl" w:eastAsia="es-ES"/>
        </w:rPr>
        <w:t>sencia (podrán ser solicitados),</w:t>
      </w:r>
      <w:r w:rsidR="00F7564D">
        <w:rPr>
          <w:rFonts w:ascii="ITC Avant Garde" w:eastAsia="Calibri" w:hAnsi="ITC Avant Garde" w:cs="Arial"/>
          <w:color w:val="000000"/>
          <w:lang w:val="es-ES_tradnl" w:eastAsia="es-ES"/>
        </w:rPr>
        <w:t xml:space="preserve"> </w:t>
      </w:r>
      <w:r w:rsidR="00BF6699">
        <w:rPr>
          <w:rFonts w:ascii="ITC Avant Garde" w:eastAsia="Calibri" w:hAnsi="ITC Avant Garde" w:cs="Arial"/>
          <w:color w:val="000000"/>
          <w:lang w:val="es-ES_tradnl" w:eastAsia="es-ES"/>
        </w:rPr>
        <w:t>e</w:t>
      </w:r>
      <w:r w:rsidR="00F7564D" w:rsidRPr="00F7564D">
        <w:rPr>
          <w:rFonts w:ascii="ITC Avant Garde" w:eastAsia="Calibri" w:hAnsi="ITC Avant Garde" w:cs="Arial"/>
          <w:color w:val="000000"/>
          <w:lang w:val="es-ES_tradnl" w:eastAsia="es-ES"/>
        </w:rPr>
        <w:t>l servicio se proveerá a través de los siguientes puertos que podrán estar disponibles en los equipos con tecnología DWDM:</w:t>
      </w:r>
      <w:r w:rsidR="00F7564D">
        <w:rPr>
          <w:rFonts w:ascii="ITC Avant Garde" w:eastAsia="Calibri" w:hAnsi="ITC Avant Garde" w:cs="Arial"/>
          <w:color w:val="000000"/>
          <w:lang w:val="es-ES_tradnl" w:eastAsia="es-ES"/>
        </w:rPr>
        <w:t xml:space="preserve"> </w:t>
      </w:r>
      <w:r w:rsidR="00F7564D" w:rsidRPr="00F7564D">
        <w:rPr>
          <w:rFonts w:ascii="ITC Avant Garde" w:eastAsia="Calibri" w:hAnsi="ITC Avant Garde" w:cs="Arial"/>
          <w:color w:val="000000"/>
          <w:lang w:val="es-ES_tradnl" w:eastAsia="es-ES"/>
        </w:rPr>
        <w:t>STM-16</w:t>
      </w:r>
      <w:r w:rsidR="00F7564D">
        <w:rPr>
          <w:rFonts w:ascii="ITC Avant Garde" w:eastAsia="Calibri" w:hAnsi="ITC Avant Garde" w:cs="Arial"/>
          <w:color w:val="000000"/>
          <w:lang w:val="es-ES_tradnl" w:eastAsia="es-ES"/>
        </w:rPr>
        <w:t xml:space="preserve">, </w:t>
      </w:r>
      <w:r w:rsidR="00F7564D" w:rsidRPr="00F7564D">
        <w:rPr>
          <w:rFonts w:ascii="ITC Avant Garde" w:eastAsia="Calibri" w:hAnsi="ITC Avant Garde" w:cs="Arial"/>
          <w:color w:val="000000"/>
          <w:lang w:val="es-ES_tradnl" w:eastAsia="es-ES"/>
        </w:rPr>
        <w:t>STM-64</w:t>
      </w:r>
      <w:r w:rsidR="00F7564D">
        <w:rPr>
          <w:rFonts w:ascii="ITC Avant Garde" w:eastAsia="Calibri" w:hAnsi="ITC Avant Garde" w:cs="Arial"/>
          <w:color w:val="000000"/>
          <w:lang w:val="es-ES_tradnl" w:eastAsia="es-ES"/>
        </w:rPr>
        <w:t xml:space="preserve">, </w:t>
      </w:r>
      <w:r w:rsidR="00F7564D" w:rsidRPr="00F7564D">
        <w:rPr>
          <w:rFonts w:ascii="ITC Avant Garde" w:eastAsia="Calibri" w:hAnsi="ITC Avant Garde" w:cs="Arial"/>
          <w:color w:val="000000"/>
          <w:lang w:val="es-ES_tradnl" w:eastAsia="es-ES"/>
        </w:rPr>
        <w:t>1 GE</w:t>
      </w:r>
      <w:r w:rsidR="00F7564D">
        <w:rPr>
          <w:rFonts w:ascii="ITC Avant Garde" w:eastAsia="Calibri" w:hAnsi="ITC Avant Garde" w:cs="Arial"/>
          <w:color w:val="000000"/>
          <w:lang w:val="es-ES_tradnl" w:eastAsia="es-ES"/>
        </w:rPr>
        <w:t xml:space="preserve">, </w:t>
      </w:r>
      <w:r w:rsidR="00F7564D" w:rsidRPr="00F7564D">
        <w:rPr>
          <w:rFonts w:ascii="ITC Avant Garde" w:eastAsia="Calibri" w:hAnsi="ITC Avant Garde" w:cs="Arial"/>
          <w:color w:val="000000"/>
          <w:lang w:val="es-ES_tradnl" w:eastAsia="es-ES"/>
        </w:rPr>
        <w:t>10 GE</w:t>
      </w:r>
      <w:r w:rsidR="00F7564D">
        <w:rPr>
          <w:rFonts w:ascii="ITC Avant Garde" w:eastAsia="Calibri" w:hAnsi="ITC Avant Garde" w:cs="Arial"/>
          <w:color w:val="000000"/>
          <w:lang w:val="es-ES_tradnl" w:eastAsia="es-ES"/>
        </w:rPr>
        <w:t xml:space="preserve"> y </w:t>
      </w:r>
      <w:r w:rsidR="00F7564D" w:rsidRPr="00F7564D">
        <w:rPr>
          <w:rFonts w:ascii="ITC Avant Garde" w:eastAsia="Calibri" w:hAnsi="ITC Avant Garde" w:cs="Arial"/>
          <w:color w:val="000000"/>
          <w:lang w:val="es-ES_tradnl" w:eastAsia="es-ES"/>
        </w:rPr>
        <w:t>100 GE</w:t>
      </w:r>
      <w:r w:rsidR="00F7564D">
        <w:rPr>
          <w:rFonts w:ascii="ITC Avant Garde" w:eastAsia="Calibri" w:hAnsi="ITC Avant Garde" w:cs="Arial"/>
          <w:color w:val="000000"/>
          <w:lang w:val="es-ES_tradnl" w:eastAsia="es-ES"/>
        </w:rPr>
        <w:t>. Además, e</w:t>
      </w:r>
      <w:r w:rsidR="00F7564D" w:rsidRPr="00F7564D">
        <w:rPr>
          <w:rFonts w:ascii="ITC Avant Garde" w:eastAsia="Calibri" w:hAnsi="ITC Avant Garde" w:cs="Arial"/>
          <w:color w:val="000000"/>
          <w:lang w:val="es-ES_tradnl" w:eastAsia="es-ES"/>
        </w:rPr>
        <w:t>n caso de que no exista capacidad en la trayectoria solicitada, se notificará al CS o AS que no es factible proveer la solución y se ofrecerá la opción d</w:t>
      </w:r>
      <w:r w:rsidR="00BF6699">
        <w:rPr>
          <w:rFonts w:ascii="ITC Avant Garde" w:eastAsia="Calibri" w:hAnsi="ITC Avant Garde" w:cs="Arial"/>
          <w:color w:val="000000"/>
          <w:lang w:val="es-ES_tradnl" w:eastAsia="es-ES"/>
        </w:rPr>
        <w:t xml:space="preserve">e contratar fibra óptica oscura, en este mismo sentido se solicitó </w:t>
      </w:r>
      <w:r w:rsidR="003070FC">
        <w:rPr>
          <w:rFonts w:ascii="ITC Avant Garde" w:eastAsia="Calibri" w:hAnsi="ITC Avant Garde" w:cs="Arial"/>
          <w:color w:val="000000"/>
          <w:lang w:val="es-ES_tradnl" w:eastAsia="es-ES"/>
        </w:rPr>
        <w:t>que se revise que la cotización de canales ópticos para que no se entienda que son proyectos especiales.</w:t>
      </w:r>
    </w:p>
    <w:p w14:paraId="69E5AF90" w14:textId="4583D2F5" w:rsidR="00F7564D" w:rsidRDefault="00BF6699" w:rsidP="00145E87">
      <w:pPr>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 xml:space="preserve">Finalmente </w:t>
      </w:r>
      <w:r w:rsidR="00091B75">
        <w:rPr>
          <w:rFonts w:ascii="ITC Avant Garde" w:eastAsia="Calibri" w:hAnsi="ITC Avant Garde" w:cs="Arial"/>
          <w:color w:val="000000"/>
          <w:lang w:val="es-ES_tradnl" w:eastAsia="es-ES"/>
        </w:rPr>
        <w:t>indicaron</w:t>
      </w:r>
      <w:r>
        <w:rPr>
          <w:rFonts w:ascii="ITC Avant Garde" w:eastAsia="Calibri" w:hAnsi="ITC Avant Garde" w:cs="Arial"/>
          <w:color w:val="000000"/>
          <w:lang w:val="es-ES_tradnl" w:eastAsia="es-ES"/>
        </w:rPr>
        <w:t xml:space="preserve"> que </w:t>
      </w:r>
      <w:r w:rsidR="0083724B">
        <w:rPr>
          <w:rFonts w:ascii="ITC Avant Garde" w:eastAsia="Calibri" w:hAnsi="ITC Avant Garde" w:cs="Arial"/>
          <w:color w:val="000000"/>
          <w:lang w:val="es-ES_tradnl" w:eastAsia="es-ES"/>
        </w:rPr>
        <w:t>la v</w:t>
      </w:r>
      <w:r w:rsidR="0083724B" w:rsidRPr="0083724B">
        <w:rPr>
          <w:rFonts w:ascii="ITC Avant Garde" w:eastAsia="Calibri" w:hAnsi="ITC Avant Garde" w:cs="Arial"/>
          <w:color w:val="000000"/>
          <w:lang w:val="es-ES_tradnl" w:eastAsia="es-ES"/>
        </w:rPr>
        <w:t>erificación de la instalación de infraestructura</w:t>
      </w:r>
      <w:r w:rsidR="0083724B">
        <w:rPr>
          <w:rFonts w:ascii="ITC Avant Garde" w:eastAsia="Calibri" w:hAnsi="ITC Avant Garde" w:cs="Arial"/>
          <w:color w:val="000000"/>
          <w:lang w:val="es-ES_tradnl" w:eastAsia="es-ES"/>
        </w:rPr>
        <w:t xml:space="preserve"> se debe </w:t>
      </w:r>
      <w:r w:rsidR="0083724B" w:rsidRPr="0083724B">
        <w:rPr>
          <w:rFonts w:ascii="ITC Avant Garde" w:eastAsia="Calibri" w:hAnsi="ITC Avant Garde" w:cs="Arial"/>
          <w:color w:val="000000"/>
          <w:lang w:val="es-ES_tradnl" w:eastAsia="es-ES"/>
        </w:rPr>
        <w:t>realiza</w:t>
      </w:r>
      <w:r w:rsidR="0083724B">
        <w:rPr>
          <w:rFonts w:ascii="ITC Avant Garde" w:eastAsia="Calibri" w:hAnsi="ITC Avant Garde" w:cs="Arial"/>
          <w:color w:val="000000"/>
          <w:lang w:val="es-ES_tradnl" w:eastAsia="es-ES"/>
        </w:rPr>
        <w:t>r</w:t>
      </w:r>
      <w:r w:rsidR="0083724B" w:rsidRPr="0083724B">
        <w:rPr>
          <w:rFonts w:ascii="ITC Avant Garde" w:eastAsia="Calibri" w:hAnsi="ITC Avant Garde" w:cs="Arial"/>
          <w:color w:val="000000"/>
          <w:lang w:val="es-ES_tradnl" w:eastAsia="es-ES"/>
        </w:rPr>
        <w:t xml:space="preserve"> a partir de una medición de funcionalidad, velocidad y tasa de errores</w:t>
      </w:r>
      <w:r w:rsidR="0083724B">
        <w:rPr>
          <w:rFonts w:ascii="ITC Avant Garde" w:eastAsia="Calibri" w:hAnsi="ITC Avant Garde" w:cs="Arial"/>
          <w:color w:val="000000"/>
          <w:lang w:val="es-ES_tradnl" w:eastAsia="es-ES"/>
        </w:rPr>
        <w:t>.</w:t>
      </w:r>
    </w:p>
    <w:p w14:paraId="38E739D2" w14:textId="216F3279" w:rsidR="00F7564D" w:rsidRDefault="00A83AA9" w:rsidP="00145E87">
      <w:pPr>
        <w:jc w:val="both"/>
        <w:rPr>
          <w:rFonts w:ascii="ITC Avant Garde" w:eastAsia="Calibri" w:hAnsi="ITC Avant Garde" w:cs="Arial"/>
          <w:b/>
          <w:color w:val="000000"/>
          <w:lang w:val="es-ES_tradnl" w:eastAsia="es-ES"/>
        </w:rPr>
      </w:pPr>
      <w:r w:rsidRPr="00A83AA9">
        <w:rPr>
          <w:rFonts w:ascii="ITC Avant Garde" w:eastAsia="Calibri" w:hAnsi="ITC Avant Garde" w:cs="Arial"/>
          <w:b/>
          <w:color w:val="000000"/>
          <w:lang w:val="es-ES_tradnl" w:eastAsia="es-ES"/>
        </w:rPr>
        <w:t>Respuesta del Instituto</w:t>
      </w:r>
    </w:p>
    <w:p w14:paraId="3253C4F4" w14:textId="77777777" w:rsidR="00620DB1" w:rsidRDefault="00091B75" w:rsidP="00091B75">
      <w:pPr>
        <w:jc w:val="both"/>
        <w:rPr>
          <w:rFonts w:ascii="ITC Avant Garde" w:eastAsia="Calibri" w:hAnsi="ITC Avant Garde" w:cs="Arial"/>
          <w:color w:val="000000"/>
          <w:lang w:val="es-ES_tradnl" w:eastAsia="es-ES"/>
        </w:rPr>
      </w:pPr>
      <w:r w:rsidRPr="00091B75">
        <w:rPr>
          <w:rFonts w:ascii="ITC Avant Garde" w:eastAsia="Calibri" w:hAnsi="ITC Avant Garde" w:cs="Arial"/>
          <w:color w:val="000000"/>
          <w:lang w:val="es-ES_tradnl" w:eastAsia="es-ES"/>
        </w:rPr>
        <w:t xml:space="preserve">Respecto a los comentarios de que se indique expresamente los criterios con base en los cuales se determinará que no es factible proveer el servicio de canales ópticos, y con ello, se permita la renta de fibra obscura y de que sólo se proveerá el servicio cuando se haya certificado que no se cuenta con disponibilidad de infraestructura pasiva, </w:t>
      </w:r>
      <w:r w:rsidR="00D606C7">
        <w:rPr>
          <w:rFonts w:ascii="ITC Avant Garde" w:eastAsia="Calibri" w:hAnsi="ITC Avant Garde" w:cs="Arial"/>
          <w:color w:val="000000"/>
          <w:lang w:val="es-ES_tradnl" w:eastAsia="es-ES"/>
        </w:rPr>
        <w:t>es de aclarar por este Instituto que la ORCI vigente contempla que e</w:t>
      </w:r>
      <w:r w:rsidR="00D606C7" w:rsidRPr="00D606C7">
        <w:rPr>
          <w:rFonts w:ascii="ITC Avant Garde" w:eastAsia="Calibri" w:hAnsi="ITC Avant Garde" w:cs="Arial"/>
          <w:color w:val="000000"/>
          <w:lang w:val="es-ES_tradnl" w:eastAsia="es-ES"/>
        </w:rPr>
        <w:t xml:space="preserve">l CS podrá considerar no factible </w:t>
      </w:r>
      <w:r w:rsidR="00D606C7">
        <w:rPr>
          <w:rFonts w:ascii="ITC Avant Garde" w:eastAsia="Calibri" w:hAnsi="ITC Avant Garde" w:cs="Arial"/>
          <w:color w:val="000000"/>
          <w:lang w:val="es-ES_tradnl" w:eastAsia="es-ES"/>
        </w:rPr>
        <w:t xml:space="preserve">la opción de una ruta alterna, cuando no es factible el proyecto original, pero </w:t>
      </w:r>
      <w:r w:rsidR="00D606C7" w:rsidRPr="00D606C7">
        <w:rPr>
          <w:rFonts w:ascii="ITC Avant Garde" w:eastAsia="Calibri" w:hAnsi="ITC Avant Garde" w:cs="Arial"/>
          <w:color w:val="000000"/>
          <w:lang w:val="es-ES_tradnl" w:eastAsia="es-ES"/>
        </w:rPr>
        <w:t xml:space="preserve">cuando la cotización de la extensión de la ruta alternativa exceda en 40% el costo del proyecto original y podrá considerar Canales Ópticos de Alta Capacidad. </w:t>
      </w:r>
    </w:p>
    <w:p w14:paraId="6D895571" w14:textId="66B7C029" w:rsidR="00091B75" w:rsidRPr="00091B75" w:rsidRDefault="00D606C7" w:rsidP="00091B75">
      <w:pPr>
        <w:jc w:val="both"/>
        <w:rPr>
          <w:rFonts w:ascii="ITC Avant Garde" w:eastAsia="Calibri" w:hAnsi="ITC Avant Garde" w:cs="Arial"/>
          <w:color w:val="000000"/>
          <w:lang w:val="es-ES_tradnl" w:eastAsia="es-ES"/>
        </w:rPr>
      </w:pPr>
      <w:r w:rsidRPr="00D606C7">
        <w:rPr>
          <w:rFonts w:ascii="ITC Avant Garde" w:eastAsia="Calibri" w:hAnsi="ITC Avant Garde" w:cs="Arial"/>
          <w:color w:val="000000"/>
          <w:lang w:val="es-ES_tradnl" w:eastAsia="es-ES"/>
        </w:rPr>
        <w:t xml:space="preserve">En caso de que la solución de canales ópticos de alta capacidad no sea técnicamente factible Telmex hará disponible al CS </w:t>
      </w:r>
      <w:r w:rsidR="00FB7864">
        <w:rPr>
          <w:rFonts w:ascii="ITC Avant Garde" w:eastAsia="Calibri" w:hAnsi="ITC Avant Garde" w:cs="Arial"/>
          <w:color w:val="000000"/>
          <w:lang w:val="es-ES_tradnl" w:eastAsia="es-ES"/>
        </w:rPr>
        <w:t>r</w:t>
      </w:r>
      <w:r w:rsidRPr="00D606C7">
        <w:rPr>
          <w:rFonts w:ascii="ITC Avant Garde" w:eastAsia="Calibri" w:hAnsi="ITC Avant Garde" w:cs="Arial"/>
          <w:color w:val="000000"/>
          <w:lang w:val="es-ES_tradnl" w:eastAsia="es-ES"/>
        </w:rPr>
        <w:t>enta de Fibra Obscura.</w:t>
      </w:r>
      <w:r w:rsidR="00FB7864">
        <w:rPr>
          <w:rFonts w:ascii="ITC Avant Garde" w:eastAsia="Calibri" w:hAnsi="ITC Avant Garde" w:cs="Arial"/>
          <w:color w:val="000000"/>
          <w:lang w:val="es-ES_tradnl" w:eastAsia="es-ES"/>
        </w:rPr>
        <w:t xml:space="preserve"> Sin embargo, se evaluarán estas opciones con el objetivo de que se puedan dar mejores condiciones para la prestación de los servicios y que</w:t>
      </w:r>
      <w:r w:rsidR="004E3563">
        <w:rPr>
          <w:rFonts w:ascii="ITC Avant Garde" w:eastAsia="Calibri" w:hAnsi="ITC Avant Garde" w:cs="Arial"/>
          <w:color w:val="000000"/>
          <w:lang w:val="es-ES_tradnl" w:eastAsia="es-ES"/>
        </w:rPr>
        <w:t xml:space="preserve"> </w:t>
      </w:r>
      <w:r w:rsidR="00FB7864">
        <w:rPr>
          <w:rFonts w:ascii="ITC Avant Garde" w:eastAsia="Calibri" w:hAnsi="ITC Avant Garde" w:cs="Arial"/>
          <w:color w:val="000000"/>
          <w:lang w:val="es-ES_tradnl" w:eastAsia="es-ES"/>
        </w:rPr>
        <w:t xml:space="preserve">los CS tengan </w:t>
      </w:r>
      <w:r w:rsidR="00091B75" w:rsidRPr="00091B75">
        <w:rPr>
          <w:rFonts w:ascii="ITC Avant Garde" w:eastAsia="Calibri" w:hAnsi="ITC Avant Garde" w:cs="Arial"/>
          <w:color w:val="000000"/>
          <w:lang w:val="es-ES_tradnl" w:eastAsia="es-ES"/>
        </w:rPr>
        <w:t>la opción de elegir</w:t>
      </w:r>
      <w:r w:rsidR="00FB7864">
        <w:rPr>
          <w:rFonts w:ascii="ITC Avant Garde" w:eastAsia="Calibri" w:hAnsi="ITC Avant Garde" w:cs="Arial"/>
          <w:color w:val="000000"/>
          <w:lang w:val="es-ES_tradnl" w:eastAsia="es-ES"/>
        </w:rPr>
        <w:t xml:space="preserve"> la solución</w:t>
      </w:r>
      <w:r w:rsidR="00091B75" w:rsidRPr="00091B75">
        <w:rPr>
          <w:rFonts w:ascii="ITC Avant Garde" w:eastAsia="Calibri" w:hAnsi="ITC Avant Garde" w:cs="Arial"/>
          <w:color w:val="000000"/>
          <w:lang w:val="es-ES_tradnl" w:eastAsia="es-ES"/>
        </w:rPr>
        <w:t xml:space="preserve"> </w:t>
      </w:r>
      <w:r w:rsidR="00FB7864">
        <w:rPr>
          <w:rFonts w:ascii="ITC Avant Garde" w:eastAsia="Calibri" w:hAnsi="ITC Avant Garde" w:cs="Arial"/>
          <w:color w:val="000000"/>
          <w:lang w:val="es-ES_tradnl" w:eastAsia="es-ES"/>
        </w:rPr>
        <w:t xml:space="preserve">ya sea </w:t>
      </w:r>
      <w:r w:rsidR="00091B75" w:rsidRPr="00091B75">
        <w:rPr>
          <w:rFonts w:ascii="ITC Avant Garde" w:eastAsia="Calibri" w:hAnsi="ITC Avant Garde" w:cs="Arial"/>
          <w:color w:val="000000"/>
          <w:lang w:val="es-ES_tradnl" w:eastAsia="es-ES"/>
        </w:rPr>
        <w:t>el servicio Canales Ópticos de Alta Capacidad y Renta de Fibra Obscura</w:t>
      </w:r>
      <w:r w:rsidR="00FB7864">
        <w:rPr>
          <w:rFonts w:ascii="ITC Avant Garde" w:eastAsia="Calibri" w:hAnsi="ITC Avant Garde" w:cs="Arial"/>
          <w:color w:val="000000"/>
          <w:lang w:val="es-ES_tradnl" w:eastAsia="es-ES"/>
        </w:rPr>
        <w:t>.</w:t>
      </w:r>
      <w:r w:rsidR="002A1066">
        <w:rPr>
          <w:rFonts w:ascii="ITC Avant Garde" w:eastAsia="Calibri" w:hAnsi="ITC Avant Garde" w:cs="Arial"/>
          <w:color w:val="000000"/>
          <w:lang w:val="es-ES_tradnl" w:eastAsia="es-ES"/>
        </w:rPr>
        <w:t xml:space="preserve"> Esto mismo podrá atender lo que </w:t>
      </w:r>
      <w:r w:rsidR="00091B75" w:rsidRPr="002A1066">
        <w:rPr>
          <w:rFonts w:ascii="ITC Avant Garde" w:eastAsia="Calibri" w:hAnsi="ITC Avant Garde" w:cs="Arial"/>
          <w:color w:val="000000"/>
          <w:lang w:val="es-ES_tradnl" w:eastAsia="es-ES"/>
        </w:rPr>
        <w:t>respect</w:t>
      </w:r>
      <w:r w:rsidR="002A1066" w:rsidRPr="002A1066">
        <w:rPr>
          <w:rFonts w:ascii="ITC Avant Garde" w:eastAsia="Calibri" w:hAnsi="ITC Avant Garde" w:cs="Arial"/>
          <w:color w:val="000000"/>
          <w:lang w:val="es-ES_tradnl" w:eastAsia="es-ES"/>
        </w:rPr>
        <w:t>a</w:t>
      </w:r>
      <w:r w:rsidR="002A1066">
        <w:rPr>
          <w:rFonts w:ascii="ITC Avant Garde" w:eastAsia="Calibri" w:hAnsi="ITC Avant Garde" w:cs="Arial"/>
          <w:color w:val="000000"/>
          <w:lang w:val="es-ES_tradnl" w:eastAsia="es-ES"/>
        </w:rPr>
        <w:t xml:space="preserve"> </w:t>
      </w:r>
      <w:r w:rsidR="00091B75" w:rsidRPr="00091B75">
        <w:rPr>
          <w:rFonts w:ascii="ITC Avant Garde" w:eastAsia="Calibri" w:hAnsi="ITC Avant Garde" w:cs="Arial"/>
          <w:color w:val="000000"/>
          <w:lang w:val="es-ES_tradnl" w:eastAsia="es-ES"/>
        </w:rPr>
        <w:t xml:space="preserve">al comentario de que se incluyan los criterios </w:t>
      </w:r>
      <w:r w:rsidR="00091B75">
        <w:rPr>
          <w:rFonts w:ascii="ITC Avant Garde" w:eastAsia="Calibri" w:hAnsi="ITC Avant Garde" w:cs="Arial"/>
          <w:color w:val="000000"/>
          <w:lang w:val="es-ES_tradnl" w:eastAsia="es-ES"/>
        </w:rPr>
        <w:t>que permitan determinar cuándo</w:t>
      </w:r>
      <w:r w:rsidR="00091B75" w:rsidRPr="00091B75">
        <w:rPr>
          <w:rFonts w:ascii="ITC Avant Garde" w:eastAsia="Calibri" w:hAnsi="ITC Avant Garde" w:cs="Arial"/>
          <w:color w:val="000000"/>
          <w:lang w:val="es-ES_tradnl" w:eastAsia="es-ES"/>
        </w:rPr>
        <w:t xml:space="preserve"> no </w:t>
      </w:r>
      <w:r w:rsidR="002A1066">
        <w:rPr>
          <w:rFonts w:ascii="ITC Avant Garde" w:eastAsia="Calibri" w:hAnsi="ITC Avant Garde" w:cs="Arial"/>
          <w:color w:val="000000"/>
          <w:lang w:val="es-ES_tradnl" w:eastAsia="es-ES"/>
        </w:rPr>
        <w:t xml:space="preserve">puede </w:t>
      </w:r>
      <w:r w:rsidR="00091B75" w:rsidRPr="00091B75">
        <w:rPr>
          <w:rFonts w:ascii="ITC Avant Garde" w:eastAsia="Calibri" w:hAnsi="ITC Avant Garde" w:cs="Arial"/>
          <w:color w:val="000000"/>
          <w:lang w:val="es-ES_tradnl" w:eastAsia="es-ES"/>
        </w:rPr>
        <w:t xml:space="preserve">resultar técnicamente factible proveer el acceso a </w:t>
      </w:r>
      <w:r w:rsidR="002A1066">
        <w:rPr>
          <w:rFonts w:ascii="ITC Avant Garde" w:eastAsia="Calibri" w:hAnsi="ITC Avant Garde" w:cs="Arial"/>
          <w:color w:val="000000"/>
          <w:lang w:val="es-ES_tradnl" w:eastAsia="es-ES"/>
        </w:rPr>
        <w:t>fibra óptica.</w:t>
      </w:r>
    </w:p>
    <w:p w14:paraId="489FB461" w14:textId="6B79ECEA" w:rsidR="00091B75" w:rsidRPr="00091B75" w:rsidRDefault="00A3038E" w:rsidP="00091B75">
      <w:pPr>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En relación</w:t>
      </w:r>
      <w:r w:rsidR="00091B75" w:rsidRPr="00091B75">
        <w:rPr>
          <w:rFonts w:ascii="ITC Avant Garde" w:eastAsia="Calibri" w:hAnsi="ITC Avant Garde" w:cs="Arial"/>
          <w:color w:val="000000"/>
          <w:lang w:val="es-ES_tradnl" w:eastAsia="es-ES"/>
        </w:rPr>
        <w:t xml:space="preserve"> a los comentarios de que en los puntos terminales de la trayectoria solicitada por el CS Telmex debe instalar el sistema de transmisión con tecnología D</w:t>
      </w:r>
      <w:r w:rsidR="002A1066">
        <w:rPr>
          <w:rFonts w:ascii="ITC Avant Garde" w:eastAsia="Calibri" w:hAnsi="ITC Avant Garde" w:cs="Arial"/>
          <w:color w:val="000000"/>
          <w:lang w:val="es-ES_tradnl" w:eastAsia="es-ES"/>
        </w:rPr>
        <w:t xml:space="preserve">WDM, se reitera que en la ORCI </w:t>
      </w:r>
      <w:r w:rsidR="00CB2213">
        <w:rPr>
          <w:rFonts w:ascii="ITC Avant Garde" w:eastAsia="Calibri" w:hAnsi="ITC Avant Garde" w:cs="Arial"/>
          <w:color w:val="000000"/>
          <w:lang w:val="es-ES_tradnl" w:eastAsia="es-ES"/>
        </w:rPr>
        <w:t>v</w:t>
      </w:r>
      <w:r w:rsidR="00091B75" w:rsidRPr="00091B75">
        <w:rPr>
          <w:rFonts w:ascii="ITC Avant Garde" w:eastAsia="Calibri" w:hAnsi="ITC Avant Garde" w:cs="Arial"/>
          <w:color w:val="000000"/>
          <w:lang w:val="es-ES_tradnl" w:eastAsia="es-ES"/>
        </w:rPr>
        <w:t xml:space="preserve">igente se estipula que para solicitar el servicio de canal óptico se debe cumplir </w:t>
      </w:r>
      <w:r w:rsidR="005B6270">
        <w:rPr>
          <w:rFonts w:ascii="ITC Avant Garde" w:eastAsia="Calibri" w:hAnsi="ITC Avant Garde" w:cs="Arial"/>
          <w:color w:val="000000"/>
          <w:lang w:val="es-ES_tradnl" w:eastAsia="es-ES"/>
        </w:rPr>
        <w:t>que</w:t>
      </w:r>
      <w:r w:rsidR="00091B75" w:rsidRPr="00091B75">
        <w:rPr>
          <w:rFonts w:ascii="ITC Avant Garde" w:eastAsia="Calibri" w:hAnsi="ITC Avant Garde" w:cs="Arial"/>
          <w:color w:val="000000"/>
          <w:lang w:val="es-ES_tradnl" w:eastAsia="es-ES"/>
        </w:rPr>
        <w:t xml:space="preserve"> en ambos puntos se </w:t>
      </w:r>
      <w:r w:rsidR="005B6270">
        <w:rPr>
          <w:rFonts w:ascii="ITC Avant Garde" w:eastAsia="Calibri" w:hAnsi="ITC Avant Garde" w:cs="Arial"/>
          <w:color w:val="000000"/>
          <w:lang w:val="es-ES_tradnl" w:eastAsia="es-ES"/>
        </w:rPr>
        <w:t>cuente</w:t>
      </w:r>
      <w:r w:rsidR="00091B75" w:rsidRPr="00091B75">
        <w:rPr>
          <w:rFonts w:ascii="ITC Avant Garde" w:eastAsia="Calibri" w:hAnsi="ITC Avant Garde" w:cs="Arial"/>
          <w:color w:val="000000"/>
          <w:lang w:val="es-ES_tradnl" w:eastAsia="es-ES"/>
        </w:rPr>
        <w:t xml:space="preserve"> con sistemas de transmisión con tecnología DWDM del mismo fabricante i</w:t>
      </w:r>
      <w:r w:rsidR="002A1066">
        <w:rPr>
          <w:rFonts w:ascii="ITC Avant Garde" w:eastAsia="Calibri" w:hAnsi="ITC Avant Garde" w:cs="Arial"/>
          <w:color w:val="000000"/>
          <w:lang w:val="es-ES_tradnl" w:eastAsia="es-ES"/>
        </w:rPr>
        <w:t>nstalados y en funcionamiento</w:t>
      </w:r>
      <w:r w:rsidR="00091B75" w:rsidRPr="00091B75">
        <w:rPr>
          <w:rFonts w:ascii="ITC Avant Garde" w:eastAsia="Calibri" w:hAnsi="ITC Avant Garde" w:cs="Arial"/>
          <w:color w:val="000000"/>
          <w:lang w:val="es-ES_tradnl" w:eastAsia="es-ES"/>
        </w:rPr>
        <w:t>. Por lo que se señala que la Propuesta de Oferta de Referencia se encuentra en línea con las condiciones autorizadas en la ORCI vigente.</w:t>
      </w:r>
    </w:p>
    <w:p w14:paraId="59EA36B9" w14:textId="30858AAF" w:rsidR="005E7905" w:rsidRDefault="00091B75" w:rsidP="00091B75">
      <w:pPr>
        <w:jc w:val="both"/>
        <w:rPr>
          <w:rFonts w:ascii="ITC Avant Garde" w:eastAsia="Calibri" w:hAnsi="ITC Avant Garde" w:cs="Arial"/>
          <w:color w:val="000000"/>
          <w:lang w:val="es-ES_tradnl" w:eastAsia="es-ES"/>
        </w:rPr>
      </w:pPr>
      <w:r w:rsidRPr="00091B75">
        <w:rPr>
          <w:rFonts w:ascii="ITC Avant Garde" w:eastAsia="Calibri" w:hAnsi="ITC Avant Garde" w:cs="Arial"/>
          <w:color w:val="000000"/>
          <w:lang w:val="es-ES_tradnl" w:eastAsia="es-ES"/>
        </w:rPr>
        <w:t>En atención a los comentarios de que el servicio se proveerá a través de los siguientes puertos que podrán estar disponibles en los equipos con tecnología DWDM: STM-16, STM-64, 1 GE, 10 GE y 100 GE. Además, en caso de que no exista capacidad en la trayectoria solicitada, se notificará al CS o AS que no es factible proveer la solución y se ofrecerá la opción de contratar fibra óptica oscura, se reitera que en la ORCI vigente ya se encuentra estipulado que el servicio es</w:t>
      </w:r>
      <w:r w:rsidR="005E7905">
        <w:rPr>
          <w:rFonts w:ascii="ITC Avant Garde" w:eastAsia="Calibri" w:hAnsi="ITC Avant Garde" w:cs="Arial"/>
          <w:color w:val="000000"/>
          <w:lang w:val="es-ES_tradnl" w:eastAsia="es-ES"/>
        </w:rPr>
        <w:t>tará disponible a través de los</w:t>
      </w:r>
      <w:r w:rsidRPr="00091B75">
        <w:rPr>
          <w:rFonts w:ascii="ITC Avant Garde" w:eastAsia="Calibri" w:hAnsi="ITC Avant Garde" w:cs="Arial"/>
          <w:color w:val="000000"/>
          <w:lang w:val="es-ES_tradnl" w:eastAsia="es-ES"/>
        </w:rPr>
        <w:t xml:space="preserve"> puertos STM-16, STM-64, 1 GE, 10 GE y 100 GE de lado cliente que podrán estar disponibles en los equipos con tecnología </w:t>
      </w:r>
      <w:r w:rsidR="00620DB1">
        <w:rPr>
          <w:rFonts w:ascii="ITC Avant Garde" w:eastAsia="Calibri" w:hAnsi="ITC Avant Garde" w:cs="Arial"/>
          <w:color w:val="000000"/>
          <w:lang w:val="es-ES_tradnl" w:eastAsia="es-ES"/>
        </w:rPr>
        <w:t>x</w:t>
      </w:r>
      <w:r w:rsidRPr="00091B75">
        <w:rPr>
          <w:rFonts w:ascii="ITC Avant Garde" w:eastAsia="Calibri" w:hAnsi="ITC Avant Garde" w:cs="Arial"/>
          <w:color w:val="000000"/>
          <w:lang w:val="es-ES_tradnl" w:eastAsia="es-ES"/>
        </w:rPr>
        <w:t xml:space="preserve">WDM.  </w:t>
      </w:r>
    </w:p>
    <w:p w14:paraId="31D7CF78" w14:textId="71EB0AD8" w:rsidR="00091B75" w:rsidRPr="00091B75" w:rsidRDefault="00091B75" w:rsidP="00091B75">
      <w:pPr>
        <w:jc w:val="both"/>
        <w:rPr>
          <w:rFonts w:ascii="ITC Avant Garde" w:eastAsia="Calibri" w:hAnsi="ITC Avant Garde" w:cs="Arial"/>
          <w:color w:val="000000"/>
          <w:lang w:val="es-ES_tradnl" w:eastAsia="es-ES"/>
        </w:rPr>
      </w:pPr>
      <w:r w:rsidRPr="00091B75">
        <w:rPr>
          <w:rFonts w:ascii="ITC Avant Garde" w:eastAsia="Calibri" w:hAnsi="ITC Avant Garde" w:cs="Arial"/>
          <w:color w:val="000000"/>
          <w:lang w:val="es-ES_tradnl" w:eastAsia="es-ES"/>
        </w:rPr>
        <w:t xml:space="preserve">Respecto a la parte de que en caso de que no exista capacidad en la trayectoria solicitada, se notificará al CS o AS que no es factible proveer la solución y se ofrecerá la opción de contratar fibra óptica oscura, se </w:t>
      </w:r>
      <w:r w:rsidR="005E7905">
        <w:rPr>
          <w:rFonts w:ascii="ITC Avant Garde" w:eastAsia="Calibri" w:hAnsi="ITC Avant Garde" w:cs="Arial"/>
          <w:color w:val="000000"/>
          <w:lang w:val="es-ES_tradnl" w:eastAsia="es-ES"/>
        </w:rPr>
        <w:t>reitera que será evaluada</w:t>
      </w:r>
      <w:r w:rsidRPr="00091B75">
        <w:rPr>
          <w:rFonts w:ascii="ITC Avant Garde" w:eastAsia="Calibri" w:hAnsi="ITC Avant Garde" w:cs="Arial"/>
          <w:color w:val="000000"/>
          <w:lang w:val="es-ES_tradnl" w:eastAsia="es-ES"/>
        </w:rPr>
        <w:t xml:space="preserve"> la modificación en el sentido de que quede a discreción del CS o AS decidir si en su caso solicita el servicio de canales ópticos de alta capacidad o en su caso el serv</w:t>
      </w:r>
      <w:r w:rsidR="005E7905">
        <w:rPr>
          <w:rFonts w:ascii="ITC Avant Garde" w:eastAsia="Calibri" w:hAnsi="ITC Avant Garde" w:cs="Arial"/>
          <w:color w:val="000000"/>
          <w:lang w:val="es-ES_tradnl" w:eastAsia="es-ES"/>
        </w:rPr>
        <w:t>icio de renta de fibra obscura.</w:t>
      </w:r>
      <w:r w:rsidRPr="00091B75">
        <w:rPr>
          <w:rFonts w:ascii="ITC Avant Garde" w:eastAsia="Calibri" w:hAnsi="ITC Avant Garde" w:cs="Arial"/>
          <w:color w:val="000000"/>
          <w:lang w:val="es-ES_tradnl" w:eastAsia="es-ES"/>
        </w:rPr>
        <w:t xml:space="preserve">   </w:t>
      </w:r>
    </w:p>
    <w:p w14:paraId="3F3F0D74" w14:textId="653CAB3A" w:rsidR="00091B75" w:rsidRPr="00091B75" w:rsidRDefault="00A3038E" w:rsidP="00091B75">
      <w:pPr>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Referente</w:t>
      </w:r>
      <w:r w:rsidR="00091B75" w:rsidRPr="00091B75">
        <w:rPr>
          <w:rFonts w:ascii="ITC Avant Garde" w:eastAsia="Calibri" w:hAnsi="ITC Avant Garde" w:cs="Arial"/>
          <w:color w:val="000000"/>
          <w:lang w:val="es-ES_tradnl" w:eastAsia="es-ES"/>
        </w:rPr>
        <w:t xml:space="preserve"> a los comentarios de que para la Etapa 4, Verificación de Instalación, sea revisado para que en la recepción del servicio se realice a partir de mediciones de funcionalidad, velocidad, y tasa de errores, se hace hincapié la ORCI vigente contempla que en dicha Etapa el CS o AS podrá realizar las pruebas que considere pertinentes para confirmar la entrega del servicio, </w:t>
      </w:r>
      <w:r w:rsidR="005E7905">
        <w:rPr>
          <w:rFonts w:ascii="ITC Avant Garde" w:eastAsia="Calibri" w:hAnsi="ITC Avant Garde" w:cs="Arial"/>
          <w:color w:val="000000"/>
          <w:lang w:val="es-ES_tradnl" w:eastAsia="es-ES"/>
        </w:rPr>
        <w:t>por lo tanto, el CS puede solicitar las pruebas</w:t>
      </w:r>
      <w:r w:rsidR="00091B75" w:rsidRPr="00091B75">
        <w:rPr>
          <w:rFonts w:ascii="ITC Avant Garde" w:eastAsia="Calibri" w:hAnsi="ITC Avant Garde" w:cs="Arial"/>
          <w:color w:val="000000"/>
          <w:lang w:val="es-ES_tradnl" w:eastAsia="es-ES"/>
        </w:rPr>
        <w:t xml:space="preserve"> de mediciones de funcionalidad, </w:t>
      </w:r>
      <w:r w:rsidR="005E7905">
        <w:rPr>
          <w:rFonts w:ascii="ITC Avant Garde" w:eastAsia="Calibri" w:hAnsi="ITC Avant Garde" w:cs="Arial"/>
          <w:color w:val="000000"/>
          <w:lang w:val="es-ES_tradnl" w:eastAsia="es-ES"/>
        </w:rPr>
        <w:t>velocidad, y tasa de errores.</w:t>
      </w:r>
    </w:p>
    <w:p w14:paraId="70F3F354" w14:textId="48E8FC67" w:rsidR="00091B75" w:rsidRPr="00091B75" w:rsidRDefault="00091B75" w:rsidP="00091B75">
      <w:pPr>
        <w:jc w:val="both"/>
        <w:rPr>
          <w:rFonts w:ascii="ITC Avant Garde" w:eastAsia="Calibri" w:hAnsi="ITC Avant Garde" w:cs="Arial"/>
          <w:color w:val="000000"/>
          <w:lang w:val="es-ES_tradnl" w:eastAsia="es-ES"/>
        </w:rPr>
      </w:pPr>
      <w:r w:rsidRPr="00091B75">
        <w:rPr>
          <w:rFonts w:ascii="ITC Avant Garde" w:eastAsia="Calibri" w:hAnsi="ITC Avant Garde" w:cs="Arial"/>
          <w:color w:val="000000"/>
          <w:lang w:val="es-ES_tradnl" w:eastAsia="es-ES"/>
        </w:rPr>
        <w:t>En atención al comentario de que sea revisado de la Etapa 2 el procedimiento para la contratación, de modo que quede claro que no se trata de un proyecto especial sino de un servicio con tarifa regulada,</w:t>
      </w:r>
      <w:r w:rsidR="00AB4251">
        <w:rPr>
          <w:rFonts w:ascii="ITC Avant Garde" w:eastAsia="Calibri" w:hAnsi="ITC Avant Garde" w:cs="Arial"/>
          <w:color w:val="000000"/>
          <w:lang w:val="es-ES_tradnl" w:eastAsia="es-ES"/>
        </w:rPr>
        <w:t xml:space="preserve"> este Instituto reitera que la Propuesta de Oferta presentada por el AEP debe cumplir, por lo menos, con lo es</w:t>
      </w:r>
      <w:r w:rsidR="00E45A60">
        <w:rPr>
          <w:rFonts w:ascii="ITC Avant Garde" w:eastAsia="Calibri" w:hAnsi="ITC Avant Garde" w:cs="Arial"/>
          <w:color w:val="000000"/>
          <w:lang w:val="es-ES_tradnl" w:eastAsia="es-ES"/>
        </w:rPr>
        <w:t>tablecido en la Oferta Vigente.</w:t>
      </w:r>
    </w:p>
    <w:p w14:paraId="59CAD5B3" w14:textId="3D25135A" w:rsidR="00091B75" w:rsidRPr="00091B75" w:rsidRDefault="00091B75" w:rsidP="00091B75">
      <w:pPr>
        <w:jc w:val="both"/>
        <w:rPr>
          <w:rFonts w:ascii="ITC Avant Garde" w:eastAsia="Calibri" w:hAnsi="ITC Avant Garde" w:cs="Arial"/>
          <w:color w:val="000000"/>
          <w:lang w:val="es-ES_tradnl" w:eastAsia="es-ES"/>
        </w:rPr>
      </w:pPr>
      <w:r w:rsidRPr="00091B75">
        <w:rPr>
          <w:rFonts w:ascii="ITC Avant Garde" w:eastAsia="Calibri" w:hAnsi="ITC Avant Garde" w:cs="Arial"/>
          <w:color w:val="000000"/>
          <w:lang w:val="es-ES_tradnl" w:eastAsia="es-ES"/>
        </w:rPr>
        <w:t>En lo que respecta a los comentarios que se modifique el alcance y prestación del servicio para que se indique que el servicio de canal óptico se suministra en la trayectoria que solicite el CS o AS que incluya la misma localidad, trayecto o tramo interurbano en el que no hubiese, es de recordar que el servicio se suministra en el segmento definido como la ruta entre los puntos de presencia solicitado por el CS o AS en el que se certifique que no se cuenta con disponibilidad de infraestructura pasiva. Además</w:t>
      </w:r>
      <w:r w:rsidR="00E45A60">
        <w:rPr>
          <w:rFonts w:ascii="ITC Avant Garde" w:eastAsia="Calibri" w:hAnsi="ITC Avant Garde" w:cs="Arial"/>
          <w:color w:val="000000"/>
          <w:lang w:val="es-ES_tradnl" w:eastAsia="es-ES"/>
        </w:rPr>
        <w:t>,</w:t>
      </w:r>
      <w:r w:rsidRPr="00091B75">
        <w:rPr>
          <w:rFonts w:ascii="ITC Avant Garde" w:eastAsia="Calibri" w:hAnsi="ITC Avant Garde" w:cs="Arial"/>
          <w:color w:val="000000"/>
          <w:lang w:val="es-ES_tradnl" w:eastAsia="es-ES"/>
        </w:rPr>
        <w:t xml:space="preserve"> el CS o AS debe contar con coubicaciones en ambos puntos de presencia. En caso de no contar con alguno podrá solicitar el servicio de coubicación siempre y cu</w:t>
      </w:r>
      <w:r w:rsidR="00E45A60">
        <w:rPr>
          <w:rFonts w:ascii="ITC Avant Garde" w:eastAsia="Calibri" w:hAnsi="ITC Avant Garde" w:cs="Arial"/>
          <w:color w:val="000000"/>
          <w:lang w:val="es-ES_tradnl" w:eastAsia="es-ES"/>
        </w:rPr>
        <w:t>ando sea técnicamente factible.</w:t>
      </w:r>
    </w:p>
    <w:p w14:paraId="55751B5A" w14:textId="067583AC" w:rsidR="00091B75" w:rsidRPr="00091B75" w:rsidRDefault="00091B75" w:rsidP="00091B75">
      <w:pPr>
        <w:jc w:val="both"/>
        <w:rPr>
          <w:rFonts w:ascii="ITC Avant Garde" w:eastAsia="Calibri" w:hAnsi="ITC Avant Garde" w:cs="Arial"/>
          <w:color w:val="000000"/>
          <w:lang w:val="es-ES_tradnl" w:eastAsia="es-ES"/>
        </w:rPr>
      </w:pPr>
      <w:r w:rsidRPr="00091B75">
        <w:rPr>
          <w:rFonts w:ascii="ITC Avant Garde" w:eastAsia="Calibri" w:hAnsi="ITC Avant Garde" w:cs="Arial"/>
          <w:color w:val="000000"/>
          <w:lang w:val="es-ES_tradnl" w:eastAsia="es-ES"/>
        </w:rPr>
        <w:t xml:space="preserve">Respecto al comentario de que para suministrar el servicio se debe indicar el tipo de interfaz de interconexión y los puntos A y B, que requiere el CS, se reitera que en la ORCI vigente ya se encuentra estipulado que el CS o AS deberá entregar el formato de solicitud del servicio disponible mediante el SEG en donde se indique el tipo de interfaz de interconexión, los puntos A y B y fecha de entrega. </w:t>
      </w:r>
    </w:p>
    <w:p w14:paraId="08A7380C" w14:textId="0275090B" w:rsidR="00091B75" w:rsidRPr="00091B75" w:rsidRDefault="00E45A60" w:rsidP="00091B75">
      <w:pPr>
        <w:jc w:val="both"/>
        <w:rPr>
          <w:rFonts w:ascii="ITC Avant Garde" w:eastAsia="Calibri" w:hAnsi="ITC Avant Garde" w:cs="Arial"/>
          <w:color w:val="000000"/>
          <w:lang w:val="es-ES_tradnl" w:eastAsia="es-ES"/>
        </w:rPr>
      </w:pPr>
      <w:r>
        <w:rPr>
          <w:rFonts w:ascii="ITC Avant Garde" w:eastAsia="Calibri" w:hAnsi="ITC Avant Garde" w:cs="Arial"/>
          <w:color w:val="000000"/>
          <w:lang w:val="es-ES_tradnl" w:eastAsia="es-ES"/>
        </w:rPr>
        <w:t>En cuanto a los</w:t>
      </w:r>
      <w:r w:rsidR="00091B75" w:rsidRPr="00091B75">
        <w:rPr>
          <w:rFonts w:ascii="ITC Avant Garde" w:eastAsia="Calibri" w:hAnsi="ITC Avant Garde" w:cs="Arial"/>
          <w:color w:val="000000"/>
          <w:lang w:val="es-ES_tradnl" w:eastAsia="es-ES"/>
        </w:rPr>
        <w:t xml:space="preserve"> comentarios de que Telmex deberá llevar el enlace hasta el punto en el que CS cuente con coubicación y que </w:t>
      </w:r>
      <w:r>
        <w:rPr>
          <w:rFonts w:ascii="ITC Avant Garde" w:eastAsia="Calibri" w:hAnsi="ITC Avant Garde" w:cs="Arial"/>
          <w:color w:val="000000"/>
          <w:lang w:val="es-ES_tradnl" w:eastAsia="es-ES"/>
        </w:rPr>
        <w:t>p</w:t>
      </w:r>
      <w:r w:rsidR="00091B75" w:rsidRPr="00091B75">
        <w:rPr>
          <w:rFonts w:ascii="ITC Avant Garde" w:eastAsia="Calibri" w:hAnsi="ITC Avant Garde" w:cs="Arial"/>
          <w:color w:val="000000"/>
          <w:lang w:val="es-ES_tradnl" w:eastAsia="es-ES"/>
        </w:rPr>
        <w:t>odrán ser solicitados</w:t>
      </w:r>
      <w:r>
        <w:rPr>
          <w:rFonts w:ascii="ITC Avant Garde" w:eastAsia="Calibri" w:hAnsi="ITC Avant Garde" w:cs="Arial"/>
          <w:color w:val="000000"/>
          <w:lang w:val="es-ES_tradnl" w:eastAsia="es-ES"/>
        </w:rPr>
        <w:t>,</w:t>
      </w:r>
      <w:r w:rsidR="00091B75" w:rsidRPr="00091B75">
        <w:rPr>
          <w:rFonts w:ascii="ITC Avant Garde" w:eastAsia="Calibri" w:hAnsi="ITC Avant Garde" w:cs="Arial"/>
          <w:color w:val="000000"/>
          <w:lang w:val="es-ES_tradnl" w:eastAsia="es-ES"/>
        </w:rPr>
        <w:t xml:space="preserve"> se reitera que en la ORCI vigente ya se encuentra estipulado que para solicitar el servicio de canal óptico se debe cumplir que el CS o AS debe contar con coubicaciones en ambos puntos de presencia. En caso de no contar con alguno podrá solicitar el servicio de coubicación siempre y cuando sea técnicamente factible con el fin de que el AEP lleve a cabo el Programa de Trabajo. Además, este servicio se entrega al CS o AS con interfaces ópticas estándar en gris en ambos extremos en las coubicaciones del CS o AS en las centrales del AEP (puntos de presencia).</w:t>
      </w:r>
    </w:p>
    <w:p w14:paraId="121DCA80" w14:textId="5C79FF5D" w:rsidR="00091B75" w:rsidRPr="00091B75" w:rsidRDefault="00091B75" w:rsidP="00091B75">
      <w:pPr>
        <w:jc w:val="both"/>
        <w:rPr>
          <w:rFonts w:ascii="ITC Avant Garde" w:eastAsia="Calibri" w:hAnsi="ITC Avant Garde" w:cs="Arial"/>
          <w:color w:val="000000"/>
          <w:lang w:val="es-ES_tradnl" w:eastAsia="es-ES"/>
        </w:rPr>
      </w:pPr>
      <w:r w:rsidRPr="00091B75">
        <w:rPr>
          <w:rFonts w:ascii="ITC Avant Garde" w:eastAsia="Calibri" w:hAnsi="ITC Avant Garde" w:cs="Arial"/>
          <w:color w:val="000000"/>
          <w:lang w:val="es-ES_tradnl" w:eastAsia="es-ES"/>
        </w:rPr>
        <w:t xml:space="preserve">Respecto al comentario sobre, de la Etapa 3, Facturación, que se deje de factura a los dos días que de recibida la solicitud de baja. </w:t>
      </w:r>
      <w:r w:rsidR="00A3038E">
        <w:rPr>
          <w:rFonts w:ascii="ITC Avant Garde" w:eastAsia="Calibri" w:hAnsi="ITC Avant Garde" w:cs="Arial"/>
          <w:color w:val="000000"/>
          <w:lang w:val="es-ES_tradnl" w:eastAsia="es-ES"/>
        </w:rPr>
        <w:t>S</w:t>
      </w:r>
      <w:r w:rsidRPr="00091B75">
        <w:rPr>
          <w:rFonts w:ascii="ITC Avant Garde" w:eastAsia="Calibri" w:hAnsi="ITC Avant Garde" w:cs="Arial"/>
          <w:color w:val="000000"/>
          <w:lang w:val="es-ES_tradnl" w:eastAsia="es-ES"/>
        </w:rPr>
        <w:t xml:space="preserve">e evaluará en términos de las Medida Fijas y su impacto en la Oferta. A partir de ello, se identificará si los ajustes propuestos ofrecen condiciones más favorables para la competencia, para la provisión de los servicios que la ORCI vigente, además mejoran el contenido y/o alcance de los servicios materia de la Oferta e Referencia vigente y no limitan la prestación de los servicios.  </w:t>
      </w:r>
    </w:p>
    <w:p w14:paraId="3AA0C225" w14:textId="29CDAD06" w:rsidR="005A14DA" w:rsidRPr="00984A58" w:rsidRDefault="005A14DA" w:rsidP="00984A58">
      <w:pPr>
        <w:pStyle w:val="Ttulo2"/>
        <w:numPr>
          <w:ilvl w:val="0"/>
          <w:numId w:val="58"/>
        </w:numPr>
        <w:rPr>
          <w:rFonts w:ascii="ITC Avant Garde" w:hAnsi="ITC Avant Garde"/>
          <w:b/>
          <w:color w:val="auto"/>
          <w:sz w:val="24"/>
        </w:rPr>
      </w:pPr>
      <w:r w:rsidRPr="00984A58">
        <w:rPr>
          <w:rFonts w:ascii="ITC Avant Garde" w:hAnsi="ITC Avant Garde"/>
          <w:b/>
          <w:color w:val="auto"/>
          <w:sz w:val="24"/>
        </w:rPr>
        <w:t>De la sección “2. Servicio de Fibra Obscura”.</w:t>
      </w:r>
    </w:p>
    <w:p w14:paraId="4AA09B92" w14:textId="77777777" w:rsidR="008911DB" w:rsidRDefault="008911DB" w:rsidP="005A14DA">
      <w:pPr>
        <w:pStyle w:val="IFTnormal"/>
        <w:rPr>
          <w:b/>
        </w:rPr>
      </w:pPr>
    </w:p>
    <w:p w14:paraId="5CE33993" w14:textId="7B8A11AE" w:rsidR="00A83AA9" w:rsidRDefault="00A83AA9" w:rsidP="005A14DA">
      <w:pPr>
        <w:pStyle w:val="IFTnormal"/>
      </w:pPr>
      <w:r w:rsidRPr="00A83AA9">
        <w:rPr>
          <w:b/>
        </w:rPr>
        <w:t>Resumen de comentarios de la Consulta Pública</w:t>
      </w:r>
    </w:p>
    <w:p w14:paraId="1569AC1D" w14:textId="2A5E3355" w:rsidR="00BF6699" w:rsidRDefault="005A14DA" w:rsidP="005A14DA">
      <w:pPr>
        <w:pStyle w:val="IFTnormal"/>
      </w:pPr>
      <w:r>
        <w:t>Al respecto ATT indic</w:t>
      </w:r>
      <w:r w:rsidR="00C9683C">
        <w:t>ó</w:t>
      </w:r>
      <w:r>
        <w:t xml:space="preserve"> que la facturación de este servicio como trabajo especial no </w:t>
      </w:r>
      <w:r w:rsidR="00233192">
        <w:t xml:space="preserve">debe </w:t>
      </w:r>
      <w:r w:rsidR="00C9683C">
        <w:t>ser procedente</w:t>
      </w:r>
      <w:r>
        <w:t xml:space="preserve">. </w:t>
      </w:r>
    </w:p>
    <w:p w14:paraId="294B99C8" w14:textId="54EC0179" w:rsidR="00B12C80" w:rsidRDefault="00BF6699" w:rsidP="005A14DA">
      <w:pPr>
        <w:pStyle w:val="IFTnormal"/>
      </w:pPr>
      <w:r>
        <w:t>Por otra parte</w:t>
      </w:r>
      <w:r w:rsidR="00C9683C">
        <w:t>,</w:t>
      </w:r>
      <w:r>
        <w:t xml:space="preserve"> con respecto a los procedimientos, </w:t>
      </w:r>
      <w:r w:rsidR="003872AB">
        <w:t xml:space="preserve">indicó que </w:t>
      </w:r>
      <w:r w:rsidR="005A14DA">
        <w:t>la Etapa 4 Verificación de Provisión del Servicio no aplica la verificación visual y que se debe realizar</w:t>
      </w:r>
      <w:r w:rsidR="003872AB">
        <w:t>se</w:t>
      </w:r>
      <w:r w:rsidR="005A14DA">
        <w:t xml:space="preserve"> con un</w:t>
      </w:r>
      <w:r w:rsidR="003C36DB">
        <w:t xml:space="preserve"> procedimiento de verificación </w:t>
      </w:r>
      <w:r w:rsidR="005A14DA">
        <w:t>de la calidad de la fibra.</w:t>
      </w:r>
    </w:p>
    <w:p w14:paraId="3AE407DB" w14:textId="4401D562" w:rsidR="00DD314A" w:rsidRPr="0029155D" w:rsidRDefault="00233192" w:rsidP="005A14DA">
      <w:pPr>
        <w:pStyle w:val="IFTnormal"/>
      </w:pPr>
      <w:r>
        <w:t xml:space="preserve">En </w:t>
      </w:r>
      <w:r w:rsidR="00A420E3">
        <w:t>esta</w:t>
      </w:r>
      <w:r>
        <w:t xml:space="preserve"> misma sección</w:t>
      </w:r>
      <w:r w:rsidR="00E20F65">
        <w:t>,</w:t>
      </w:r>
      <w:r>
        <w:t xml:space="preserve"> </w:t>
      </w:r>
      <w:r w:rsidR="00DD314A">
        <w:t>TELEFÓNICA solicitó que e</w:t>
      </w:r>
      <w:r w:rsidR="00DD314A" w:rsidRPr="00DD314A">
        <w:t>l servicio de fibra obscura debe estar incluido como una obligación directa y no como una obligación subordinada.</w:t>
      </w:r>
    </w:p>
    <w:p w14:paraId="5A184EA0" w14:textId="3DC4256A" w:rsidR="00A83AA9" w:rsidRDefault="00A83AA9" w:rsidP="005A14DA">
      <w:pPr>
        <w:pStyle w:val="IFTnormal"/>
        <w:rPr>
          <w:b/>
        </w:rPr>
      </w:pPr>
      <w:r w:rsidRPr="00A83AA9">
        <w:rPr>
          <w:b/>
        </w:rPr>
        <w:t>Respuesta del Instituto</w:t>
      </w:r>
    </w:p>
    <w:p w14:paraId="2D25DD53" w14:textId="5A6C3784" w:rsidR="004A6339" w:rsidRDefault="00557E08" w:rsidP="005A14DA">
      <w:pPr>
        <w:pStyle w:val="IFTnormal"/>
      </w:pPr>
      <w:r w:rsidRPr="00901872">
        <w:t>Respecto del comentario sobre que la facturación del servicio de Fibra obscura</w:t>
      </w:r>
      <w:r w:rsidRPr="00516BB8">
        <w:t xml:space="preserve"> </w:t>
      </w:r>
      <w:r>
        <w:t>como trabajo especial no aplica</w:t>
      </w:r>
      <w:r w:rsidRPr="00901872">
        <w:t xml:space="preserve">, se hace hincapié la propuesta de Oferta de referencia presentada por el AEP debe contener al menos lo establecido en la ORCI vigente, por tal motivo, se realizarán las modificaciones pertinentes conforme a </w:t>
      </w:r>
      <w:r w:rsidR="003D2DE9">
        <w:t>esta</w:t>
      </w:r>
      <w:r w:rsidRPr="00901872">
        <w:t xml:space="preserve"> la cual no considera a dicho servicio como </w:t>
      </w:r>
      <w:r w:rsidR="004A6339">
        <w:t>T</w:t>
      </w:r>
      <w:r w:rsidRPr="00901872">
        <w:t xml:space="preserve">rabajo </w:t>
      </w:r>
      <w:r w:rsidR="004A6339">
        <w:t>E</w:t>
      </w:r>
      <w:r w:rsidRPr="00901872">
        <w:t>specia</w:t>
      </w:r>
      <w:r w:rsidR="004A6339">
        <w:t>l</w:t>
      </w:r>
      <w:r w:rsidRPr="00901872">
        <w:t xml:space="preserve">. </w:t>
      </w:r>
    </w:p>
    <w:p w14:paraId="28DC2DF3" w14:textId="3B00E667" w:rsidR="00A83AA9" w:rsidRPr="0029155D" w:rsidRDefault="00557E08" w:rsidP="005A14DA">
      <w:pPr>
        <w:pStyle w:val="IFTnormal"/>
      </w:pPr>
      <w:r w:rsidRPr="003E6BDB">
        <w:t>En</w:t>
      </w:r>
      <w:r>
        <w:t xml:space="preserve"> lo que respecta al comentario de que la Etapa 4 Verificación de Provisión del Servicio no aplica la verificación visual y que se debe realizarse con un procedimiento de verificación de la calidad de la fibra,</w:t>
      </w:r>
      <w:r w:rsidRPr="00A513C5">
        <w:t xml:space="preserve"> </w:t>
      </w:r>
      <w:r>
        <w:t xml:space="preserve">es de recordar que la ORCI vigente no contempla que en dicha etapa </w:t>
      </w:r>
      <w:r w:rsidRPr="0011630F">
        <w:t xml:space="preserve">el CS o AS </w:t>
      </w:r>
      <w:r>
        <w:t xml:space="preserve">puede </w:t>
      </w:r>
      <w:r w:rsidRPr="0011630F">
        <w:t>valida</w:t>
      </w:r>
      <w:r>
        <w:t>r</w:t>
      </w:r>
      <w:r w:rsidRPr="0011630F">
        <w:t xml:space="preserve"> que el Servicio de Fibra Obscura se encuentre funcionando correctamente</w:t>
      </w:r>
      <w:r>
        <w:t xml:space="preserve">. Además, </w:t>
      </w:r>
      <w:r w:rsidRPr="0011630F">
        <w:t xml:space="preserve">el CS o AS </w:t>
      </w:r>
      <w:r>
        <w:t>podrá</w:t>
      </w:r>
      <w:r w:rsidRPr="0011630F">
        <w:t xml:space="preserve"> realizar las pruebas que considere pertinentes para confirmar la entrega del servicio</w:t>
      </w:r>
      <w:r w:rsidR="00CA3EAF">
        <w:t xml:space="preserve">; </w:t>
      </w:r>
      <w:r w:rsidR="004A6339">
        <w:t>e</w:t>
      </w:r>
      <w:r>
        <w:t>sto incluye que la Verificación de Provisión del Servicio puede realizarse con un procedimiento de verificación de la calidad de la fibra a consideración del CS.</w:t>
      </w:r>
    </w:p>
    <w:p w14:paraId="28AA3042" w14:textId="77777777" w:rsidR="00F7799A" w:rsidRDefault="00FC75E8" w:rsidP="005A14DA">
      <w:pPr>
        <w:pStyle w:val="IFTnormal"/>
      </w:pPr>
      <w:r w:rsidRPr="00FC75E8">
        <w:t xml:space="preserve">En cuanto a que el servicio de </w:t>
      </w:r>
      <w:r>
        <w:t>Fibra O</w:t>
      </w:r>
      <w:r w:rsidRPr="00FC75E8">
        <w:t xml:space="preserve">bscura debe estar incluido como una </w:t>
      </w:r>
      <w:r>
        <w:t>o</w:t>
      </w:r>
      <w:r w:rsidRPr="00FC75E8">
        <w:t xml:space="preserve">bligación directa, </w:t>
      </w:r>
      <w:r>
        <w:t xml:space="preserve">las </w:t>
      </w:r>
      <w:r w:rsidRPr="00FC75E8">
        <w:t xml:space="preserve">Medida Fijas </w:t>
      </w:r>
      <w:r>
        <w:t xml:space="preserve">no lo </w:t>
      </w:r>
      <w:r w:rsidR="00A13F3A">
        <w:t>definen</w:t>
      </w:r>
      <w:r>
        <w:t xml:space="preserve"> de esa manera, sin embargo,</w:t>
      </w:r>
      <w:r w:rsidRPr="00FC75E8">
        <w:t xml:space="preserve"> </w:t>
      </w:r>
      <w:r w:rsidR="00A13F3A">
        <w:t xml:space="preserve">para contar con una propuesta que permita tener un acceso más expedito a la Fibra Obscura </w:t>
      </w:r>
      <w:r w:rsidRPr="00FC75E8">
        <w:t xml:space="preserve">se evaluará </w:t>
      </w:r>
      <w:r w:rsidR="00A13F3A">
        <w:t xml:space="preserve">la viabilidad </w:t>
      </w:r>
      <w:r w:rsidRPr="00FC75E8">
        <w:t xml:space="preserve">de que a discreción del CS o AS </w:t>
      </w:r>
      <w:r w:rsidR="00A13F3A">
        <w:t xml:space="preserve">este pueda </w:t>
      </w:r>
      <w:r w:rsidRPr="00FC75E8">
        <w:t>decidir</w:t>
      </w:r>
      <w:r w:rsidR="00A13F3A">
        <w:t>,</w:t>
      </w:r>
      <w:r w:rsidRPr="00FC75E8">
        <w:t xml:space="preserve"> si en s</w:t>
      </w:r>
      <w:r>
        <w:t xml:space="preserve">u caso solicita el servicio de </w:t>
      </w:r>
      <w:r w:rsidRPr="00FC75E8">
        <w:t xml:space="preserve">Canales </w:t>
      </w:r>
      <w:r w:rsidR="00A13F3A">
        <w:t>Ó</w:t>
      </w:r>
      <w:r w:rsidRPr="00FC75E8">
        <w:t xml:space="preserve">pticos de alta capacidad o en su </w:t>
      </w:r>
      <w:r>
        <w:t>caso el servicio de Renta de F</w:t>
      </w:r>
      <w:r w:rsidRPr="00FC75E8">
        <w:t xml:space="preserve">ibra </w:t>
      </w:r>
      <w:r>
        <w:t>Obscura</w:t>
      </w:r>
      <w:r w:rsidR="00A13F3A">
        <w:t xml:space="preserve"> en un mismo tiempo</w:t>
      </w:r>
      <w:r>
        <w:t>.</w:t>
      </w:r>
      <w:r w:rsidRPr="00FC75E8">
        <w:t xml:space="preserve"> </w:t>
      </w:r>
    </w:p>
    <w:p w14:paraId="5D574D46" w14:textId="19D454A5" w:rsidR="00FC75E8" w:rsidRPr="0029155D" w:rsidRDefault="00FC75E8" w:rsidP="005A14DA">
      <w:pPr>
        <w:pStyle w:val="IFTnormal"/>
      </w:pPr>
      <w:r>
        <w:t>E</w:t>
      </w:r>
      <w:r w:rsidRPr="00FC75E8">
        <w:t xml:space="preserve">s de </w:t>
      </w:r>
      <w:r w:rsidR="00F7799A">
        <w:t>importancia reiterar</w:t>
      </w:r>
      <w:r w:rsidR="00A13F3A">
        <w:t xml:space="preserve"> que la Oferta V</w:t>
      </w:r>
      <w:r w:rsidRPr="00FC75E8">
        <w:t xml:space="preserve">igente contempla </w:t>
      </w:r>
      <w:r w:rsidR="00A13F3A">
        <w:t>este</w:t>
      </w:r>
      <w:r w:rsidRPr="00FC75E8">
        <w:t xml:space="preserve"> servicio </w:t>
      </w:r>
      <w:r w:rsidR="00A13F3A">
        <w:t xml:space="preserve">en </w:t>
      </w:r>
      <w:r w:rsidRPr="00FC75E8">
        <w:t xml:space="preserve">el cual el AEP pone a disposición la fibra óptica de su red bajo una configuración punto a punto, que se da cuando en la ruta solicitada por el CS, no existe capacidad excedente en un ducto ni en rutas alternativas al mismo, ni la factibilidad de proveer canales ópticos de alta capacidad. Por lo tanto, el servicio la </w:t>
      </w:r>
      <w:r w:rsidR="00F7799A">
        <w:t>R</w:t>
      </w:r>
      <w:r w:rsidRPr="00FC75E8">
        <w:t>enta de</w:t>
      </w:r>
      <w:r w:rsidR="00F7799A">
        <w:t xml:space="preserve"> Fibra O</w:t>
      </w:r>
      <w:r>
        <w:t xml:space="preserve">bscura no se encuentra </w:t>
      </w:r>
      <w:r w:rsidRPr="00FC75E8">
        <w:t xml:space="preserve">considerada como una obligación </w:t>
      </w:r>
      <w:r>
        <w:t>directa.</w:t>
      </w:r>
    </w:p>
    <w:p w14:paraId="0521F124" w14:textId="73974119" w:rsidR="0029155D" w:rsidRPr="00984A58" w:rsidRDefault="0029155D" w:rsidP="00984A58">
      <w:pPr>
        <w:pStyle w:val="Ttulo2"/>
        <w:numPr>
          <w:ilvl w:val="0"/>
          <w:numId w:val="58"/>
        </w:numPr>
        <w:rPr>
          <w:rFonts w:ascii="ITC Avant Garde" w:hAnsi="ITC Avant Garde"/>
          <w:b/>
          <w:color w:val="auto"/>
          <w:sz w:val="24"/>
        </w:rPr>
      </w:pPr>
      <w:r w:rsidRPr="00984A58">
        <w:rPr>
          <w:rFonts w:ascii="ITC Avant Garde" w:hAnsi="ITC Avant Garde"/>
          <w:b/>
          <w:color w:val="auto"/>
          <w:sz w:val="24"/>
        </w:rPr>
        <w:t>De la sección “3. Servicio de Acceso y Uso Compartido de Torres” de la</w:t>
      </w:r>
      <w:r w:rsidRPr="00984A58" w:rsidDel="00674625">
        <w:rPr>
          <w:rFonts w:ascii="ITC Avant Garde" w:hAnsi="ITC Avant Garde"/>
          <w:b/>
          <w:color w:val="auto"/>
          <w:sz w:val="24"/>
        </w:rPr>
        <w:t xml:space="preserve"> </w:t>
      </w:r>
      <w:r w:rsidRPr="00984A58">
        <w:rPr>
          <w:rFonts w:ascii="ITC Avant Garde" w:hAnsi="ITC Avant Garde"/>
          <w:b/>
          <w:color w:val="auto"/>
          <w:sz w:val="24"/>
        </w:rPr>
        <w:t>Propuesta de Oferta de Referencia.</w:t>
      </w:r>
    </w:p>
    <w:p w14:paraId="414E496C" w14:textId="77777777" w:rsidR="00F8220B" w:rsidRDefault="00F8220B" w:rsidP="00A83AA9">
      <w:pPr>
        <w:pStyle w:val="IFTnormal"/>
        <w:rPr>
          <w:b/>
        </w:rPr>
      </w:pPr>
    </w:p>
    <w:p w14:paraId="4C456382" w14:textId="35A97730" w:rsidR="00A83AA9" w:rsidRDefault="00A83AA9" w:rsidP="00A83AA9">
      <w:pPr>
        <w:pStyle w:val="IFTnormal"/>
      </w:pPr>
      <w:r w:rsidRPr="00A83AA9">
        <w:rPr>
          <w:b/>
        </w:rPr>
        <w:t>Resumen de comentarios de la Consulta Pública</w:t>
      </w:r>
    </w:p>
    <w:p w14:paraId="0CA93E64" w14:textId="1645AB20" w:rsidR="00B12C80" w:rsidRDefault="00EF27F6" w:rsidP="00A83AA9">
      <w:pPr>
        <w:pStyle w:val="IFTnormal"/>
      </w:pPr>
      <w:r>
        <w:t>Al respecto ATT</w:t>
      </w:r>
      <w:r w:rsidR="004016D4">
        <w:t xml:space="preserve"> y CANIETI</w:t>
      </w:r>
      <w:r>
        <w:t xml:space="preserve"> solicita</w:t>
      </w:r>
      <w:r w:rsidR="004016D4">
        <w:t>ron que</w:t>
      </w:r>
      <w:r>
        <w:t xml:space="preserve"> se elimine la restricción de solo poder instalar microondas. </w:t>
      </w:r>
      <w:r w:rsidR="003C36DB">
        <w:t xml:space="preserve">Así mismo eliminar la penalización de por no asistir a la visita técnica y eliminar de la Etapa </w:t>
      </w:r>
      <w:r w:rsidR="003C36DB" w:rsidRPr="003C36DB">
        <w:t>3 lo referente a que en la elaboración de anteproyecto se deberá incluir todas la mediciones y cálculos necesario</w:t>
      </w:r>
      <w:r w:rsidR="00982502">
        <w:t>s, así como t</w:t>
      </w:r>
      <w:r w:rsidR="003C36DB">
        <w:t>ambién de la Etapa 7 Corrección de Instalación ampliarse de 2 a 20 días.</w:t>
      </w:r>
    </w:p>
    <w:p w14:paraId="6A6090FC" w14:textId="14FF2813" w:rsidR="004016D4" w:rsidRPr="0029155D" w:rsidRDefault="004016D4" w:rsidP="00A83AA9">
      <w:pPr>
        <w:pStyle w:val="IFTnormal"/>
      </w:pPr>
      <w:r>
        <w:t xml:space="preserve">CANIETI solicitó eliminar del procedimiento del </w:t>
      </w:r>
      <w:r w:rsidRPr="004016D4">
        <w:t>Servicio de Acceso y Uso compartido de torres</w:t>
      </w:r>
      <w:r w:rsidR="00982502">
        <w:t xml:space="preserve"> la </w:t>
      </w:r>
      <w:r w:rsidRPr="004016D4">
        <w:t>Etapa 2 2.1.1.2</w:t>
      </w:r>
      <w:r>
        <w:t xml:space="preserve">, </w:t>
      </w:r>
      <w:r w:rsidRPr="004016D4">
        <w:t xml:space="preserve">penalización por </w:t>
      </w:r>
      <w:r w:rsidR="00982502">
        <w:t xml:space="preserve">no asistir a una </w:t>
      </w:r>
      <w:r w:rsidR="008D1203">
        <w:t>Visita T</w:t>
      </w:r>
      <w:r w:rsidR="00982502">
        <w:t>écnica, Así mismo, suprimir</w:t>
      </w:r>
      <w:r>
        <w:t xml:space="preserve"> del numeral 4.3 que e</w:t>
      </w:r>
      <w:r w:rsidRPr="004016D4">
        <w:t>n caso de que el CS o AS</w:t>
      </w:r>
      <w:r>
        <w:t xml:space="preserve"> no se presente a la visita de verificación de d</w:t>
      </w:r>
      <w:r w:rsidRPr="004016D4">
        <w:t>esinstalación, Telmex, sin responsabilidad alguna de su parte, podrá retirar dicha infraestructura</w:t>
      </w:r>
      <w:r w:rsidR="00982502">
        <w:t xml:space="preserve"> finalmente p</w:t>
      </w:r>
      <w:r>
        <w:t xml:space="preserve">ara la Etapa 7 solicitó </w:t>
      </w:r>
      <w:r w:rsidRPr="004016D4">
        <w:t>ampliar el plazo de 2 a 20 días hábiles.</w:t>
      </w:r>
    </w:p>
    <w:p w14:paraId="4897556B" w14:textId="71B2C5A5" w:rsidR="00A83AA9" w:rsidRDefault="00A83AA9" w:rsidP="00A83AA9">
      <w:pPr>
        <w:pStyle w:val="IFTnormal"/>
        <w:rPr>
          <w:b/>
        </w:rPr>
      </w:pPr>
      <w:r w:rsidRPr="00A83AA9">
        <w:rPr>
          <w:b/>
        </w:rPr>
        <w:t>Respuesta del Instituto</w:t>
      </w:r>
    </w:p>
    <w:p w14:paraId="6F23C927" w14:textId="20FA98E2" w:rsidR="00CB3CEF" w:rsidRDefault="00CB3CEF" w:rsidP="00CB3CEF">
      <w:pPr>
        <w:pStyle w:val="IFTnormal"/>
      </w:pPr>
      <w:r>
        <w:t xml:space="preserve">Respecto de los comentarios sobre que se elimine la restricción de solo poder instalar microondas, </w:t>
      </w:r>
      <w:r w:rsidR="00ED1C57">
        <w:t xml:space="preserve">este Instituto considera que </w:t>
      </w:r>
      <w:r>
        <w:t xml:space="preserve">con el fin de evitar </w:t>
      </w:r>
      <w:r w:rsidR="00866B98">
        <w:t>posibles prácticas de discriminación</w:t>
      </w:r>
      <w:r>
        <w:t xml:space="preserve"> que pudieran restringir la </w:t>
      </w:r>
      <w:r w:rsidR="009B768D">
        <w:t xml:space="preserve">competencia y por ende la </w:t>
      </w:r>
      <w:r>
        <w:t xml:space="preserve">instalación de equipos de telecomunicaciones en las torres del AEP se considerará la modificación del texto, a efecto de complementar el alcance con sistemas de microondas, sistema celular o cualquier otro de radio frecuencia.  </w:t>
      </w:r>
    </w:p>
    <w:p w14:paraId="4AE8E23E" w14:textId="1C006694" w:rsidR="00CB3CEF" w:rsidRDefault="00CB3CEF" w:rsidP="00CB3CEF">
      <w:pPr>
        <w:pStyle w:val="IFTnormal"/>
      </w:pPr>
      <w:r>
        <w:t>Respecto al comentario de eliminar del procedimiento del Servicio de Acceso y Uso compartido de torres Etapa 2 2.1.1.2, penalización por no asistir a una visita técnica, se hará la valoración de la modificación de dicho procedimiento en el sentido de que no resulta procedente aplicar penalización alguna a los CS bajo el concepto de “Visita Técnica en Falso” en los casos en que la programación de la Visita Técnica derive del caso en que el CS requiera llevar a cabo la Visita Técnica para determinar la capacidad excedente porque la información se encuentre in</w:t>
      </w:r>
      <w:r w:rsidR="008C43AB">
        <w:t>completa o incorrecta en el SEG</w:t>
      </w:r>
      <w:r>
        <w:t xml:space="preserve"> o porque en su caso se identifique que era imprecisa.</w:t>
      </w:r>
    </w:p>
    <w:p w14:paraId="633C2EC7" w14:textId="446DEAC3" w:rsidR="00CB3CEF" w:rsidRDefault="00CB3CEF" w:rsidP="00CB3CEF">
      <w:pPr>
        <w:pStyle w:val="IFTnormal"/>
      </w:pPr>
      <w:r>
        <w:t xml:space="preserve">En atención al comentario de que se elimine de la Etapa 3 lo referente a que en la elaboración de anteproyecto se deberá incluir todas la mediciones y cálculos necesarios, se evaluará en términos de las Medida Fijas y su impacto en la Oferta </w:t>
      </w:r>
      <w:r w:rsidR="008C43AB">
        <w:t>de Referencia</w:t>
      </w:r>
      <w:r>
        <w:t>, ya que en la ORCI vigente se estipula que una vez que el CS o AS cuenta con su NIS, puede rechazar la propuesta de programación de Visita Técnica del AEP debido a que ya cuenta con un Anteproyecto con información suficiente de</w:t>
      </w:r>
      <w:r w:rsidR="008C43AB">
        <w:t>l SEG. Dicho esto, se reitera que</w:t>
      </w:r>
      <w:r>
        <w:t xml:space="preserve"> en la Visita Técnica donde los CS o AS pueden ratificar in situ la información obtenida del SEG, y/o realizar las mediciones y cálculos necesarios y determinar si existe capacidad excedente en la infraestructura que el CS o AS ha requerido</w:t>
      </w:r>
      <w:r w:rsidR="008C43AB">
        <w:t>.</w:t>
      </w:r>
    </w:p>
    <w:p w14:paraId="16DB625C" w14:textId="73EBE2E8" w:rsidR="00CB3CEF" w:rsidRDefault="00CB3CEF" w:rsidP="00CB3CEF">
      <w:pPr>
        <w:pStyle w:val="IFTnormal"/>
      </w:pPr>
      <w:r>
        <w:t xml:space="preserve">Por otra parte, este Instituto considera que el SEG es un elemento fundamental a considerar en el análisis integral en la Oferta de Referencia que </w:t>
      </w:r>
      <w:r w:rsidR="008C43AB">
        <w:t>se autorice</w:t>
      </w:r>
      <w:r>
        <w:t>, por lo que la disponibilidad de la información se evaluará tomando en consideración la Medida TRANSITORIA TERCERA de las Medidas Fijas que establece lo relacionado a la información sobre la infraestructura del AEP y que deberá incluir, entre otras, toda la información de la infraestructura sobre la cual es propietario, la identificación de capacidad excedente y además de aquella a la que se hace referencia en la sección “IV. Información relacionada con los servicios” de la ORCI vigente, información que deberá ser veraz. También se realizarán las evaluaciones pertinentes para modificar lo que corresponda a los procedimientos, incluyendo lo relacionado a las visitas técnicas, y contemplar toda la información de la infraestructura del AEP deberá estar completa y correcta en el SEG.</w:t>
      </w:r>
    </w:p>
    <w:p w14:paraId="795923A2" w14:textId="2DA5218C" w:rsidR="00CB3CEF" w:rsidRDefault="003D2DE9" w:rsidP="00CB3CEF">
      <w:pPr>
        <w:pStyle w:val="IFTnormal"/>
      </w:pPr>
      <w:r>
        <w:t>Ahora bien, con r</w:t>
      </w:r>
      <w:r w:rsidR="00CB3CEF">
        <w:t>especto del comentario de la ampliación del plazo de 2 a 20 días hábiles para la etapa 7, se señala que, conforme a lo señalado en la Medida CUADRAGESIMA PRIMERA de las Medidas Fijas, la Propuesta ORCI debe reflejar, al menos, las mismas condicione</w:t>
      </w:r>
      <w:r w:rsidR="008C43AB">
        <w:t>s aprobadas en la ORCI vigente</w:t>
      </w:r>
      <w:r w:rsidR="00CB3CEF">
        <w:t>. Dicho esto, esta propuesta del AEP no resulta en un beneficio evidente para la prestación de los servicios, además de que impone condicionantes al CS que constituyen situaciones no recíprocas a las aplicables al propio AEP lo cual puede inhibir</w:t>
      </w:r>
      <w:r w:rsidR="008C43AB">
        <w:t xml:space="preserve"> la prestación de los servicios</w:t>
      </w:r>
      <w:r w:rsidR="00CB3CEF">
        <w:t xml:space="preserve">, por lo que se considera que dicho comentario es atendido desde la ORCI vigente y estos serán reflejados en los mismos términos en la Oferta de Referencia que autorice el Instituto. </w:t>
      </w:r>
    </w:p>
    <w:p w14:paraId="725548D1" w14:textId="016B9AD4" w:rsidR="00A83AA9" w:rsidRPr="0029155D" w:rsidRDefault="008C43AB" w:rsidP="00A83AA9">
      <w:pPr>
        <w:pStyle w:val="IFTnormal"/>
      </w:pPr>
      <w:r>
        <w:t>Sobre el comentar</w:t>
      </w:r>
      <w:r w:rsidR="00CB3CEF">
        <w:t xml:space="preserve">io para eliminar del numeral 4.3 que en caso de que el CS o AS no se presente a la visita de verificación de desinstalación, Telmex, sin responsabilidad alguna de su parte, podrá retirar dicha infraestructura, se hace hincapié </w:t>
      </w:r>
      <w:r>
        <w:t xml:space="preserve">que la ORCI vigente, </w:t>
      </w:r>
      <w:r w:rsidR="00CB3CEF">
        <w:t>en que el Procedimiento de Baja de los servicios</w:t>
      </w:r>
      <w:r>
        <w:t>,</w:t>
      </w:r>
      <w:r w:rsidR="00CB3CEF">
        <w:t xml:space="preserve"> establece claramente que el AEP y el CS realizarán de manera conjunta la verificación de la desinstalación en la fecha definida y aprobada por ambas partes, en la cual se determinará que se retiró la infraestructura del CS conforme a lo acordado en el programa de trabajo, por lo que el AEP registrará la verificación como satisfactoria, se redactará y se firmará el Formato de Acuerdo de Compartición de Infraestructura en el sitio de la verificación, una vez firmado se concluye con la facturación del servicio.</w:t>
      </w:r>
    </w:p>
    <w:p w14:paraId="4E71CAEE" w14:textId="3E023D00" w:rsidR="0029155D" w:rsidRPr="00984A58" w:rsidRDefault="0029155D" w:rsidP="00984A58">
      <w:pPr>
        <w:pStyle w:val="Ttulo2"/>
        <w:numPr>
          <w:ilvl w:val="0"/>
          <w:numId w:val="58"/>
        </w:numPr>
        <w:rPr>
          <w:rFonts w:ascii="ITC Avant Garde" w:hAnsi="ITC Avant Garde"/>
          <w:b/>
          <w:color w:val="auto"/>
          <w:sz w:val="24"/>
        </w:rPr>
      </w:pPr>
      <w:r w:rsidRPr="00984A58">
        <w:rPr>
          <w:rFonts w:ascii="ITC Avant Garde" w:hAnsi="ITC Avant Garde"/>
          <w:b/>
          <w:color w:val="auto"/>
          <w:sz w:val="24"/>
        </w:rPr>
        <w:t>De la sección “5. Servicio de Tendido de Cable sobre Infraestructura Desagregada” de la</w:t>
      </w:r>
      <w:r w:rsidRPr="00984A58" w:rsidDel="00674625">
        <w:rPr>
          <w:rFonts w:ascii="ITC Avant Garde" w:hAnsi="ITC Avant Garde"/>
          <w:b/>
          <w:color w:val="auto"/>
          <w:sz w:val="24"/>
        </w:rPr>
        <w:t xml:space="preserve"> </w:t>
      </w:r>
      <w:r w:rsidRPr="00984A58">
        <w:rPr>
          <w:rFonts w:ascii="ITC Avant Garde" w:hAnsi="ITC Avant Garde"/>
          <w:b/>
          <w:color w:val="auto"/>
          <w:sz w:val="24"/>
        </w:rPr>
        <w:t>Propuesta de Oferta de Referencia.</w:t>
      </w:r>
    </w:p>
    <w:p w14:paraId="38BB303E" w14:textId="77777777" w:rsidR="008911DB" w:rsidRDefault="008911DB" w:rsidP="005126C9">
      <w:pPr>
        <w:pStyle w:val="IFTnormal"/>
        <w:rPr>
          <w:b/>
        </w:rPr>
      </w:pPr>
    </w:p>
    <w:p w14:paraId="600D2E35" w14:textId="623CFEF9" w:rsidR="00A83AA9" w:rsidRDefault="00A83AA9" w:rsidP="005126C9">
      <w:pPr>
        <w:pStyle w:val="IFTnormal"/>
      </w:pPr>
      <w:r w:rsidRPr="00A83AA9">
        <w:rPr>
          <w:b/>
        </w:rPr>
        <w:t>Resumen de comentarios de la Consulta Pública</w:t>
      </w:r>
    </w:p>
    <w:p w14:paraId="5DCD7CCE" w14:textId="644C595D" w:rsidR="004016D4" w:rsidRDefault="005126C9" w:rsidP="005126C9">
      <w:pPr>
        <w:pStyle w:val="IFTnormal"/>
      </w:pPr>
      <w:r>
        <w:t xml:space="preserve">Al respecto ATT </w:t>
      </w:r>
      <w:r w:rsidR="004016D4">
        <w:t>y CANIETI indicaron</w:t>
      </w:r>
      <w:r>
        <w:t xml:space="preserve"> que la instalación de este servicio se realiza en el edificio de Telmex, por lo que no tiene sentido una visit</w:t>
      </w:r>
      <w:r w:rsidR="004016D4">
        <w:t>a de inspección y verificación.</w:t>
      </w:r>
    </w:p>
    <w:p w14:paraId="3CD85F6F" w14:textId="1D62770D" w:rsidR="004016D4" w:rsidRPr="0029155D" w:rsidRDefault="004016D4" w:rsidP="005126C9">
      <w:pPr>
        <w:pStyle w:val="IFTnormal"/>
      </w:pPr>
      <w:r>
        <w:t xml:space="preserve">CANIETI </w:t>
      </w:r>
      <w:r w:rsidR="00855299">
        <w:t xml:space="preserve">indicó que para este servicio </w:t>
      </w:r>
      <w:r w:rsidR="00855299" w:rsidRPr="00855299">
        <w:t>no tiene sentido realizar proyecto ni visita técnica</w:t>
      </w:r>
      <w:r w:rsidR="00855299">
        <w:t xml:space="preserve"> por lo que</w:t>
      </w:r>
      <w:r>
        <w:t xml:space="preserve"> solicitó e</w:t>
      </w:r>
      <w:r w:rsidRPr="004016D4">
        <w:t xml:space="preserve">liminar en las etapas 2 y 3 y modificar la etapa 5 dado que no se trata de una verificación visual, sino de la continuidad de un cableado. </w:t>
      </w:r>
      <w:r w:rsidR="005744AB">
        <w:t xml:space="preserve">Así mismo, eliminar </w:t>
      </w:r>
      <w:r w:rsidR="007C5B09">
        <w:t xml:space="preserve">de los procedimientos </w:t>
      </w:r>
      <w:r w:rsidR="005744AB">
        <w:t>la etapa de baja</w:t>
      </w:r>
      <w:r w:rsidR="00855299">
        <w:t>, dado que</w:t>
      </w:r>
      <w:r w:rsidR="00855299" w:rsidRPr="00855299">
        <w:t xml:space="preserve"> quien realiza la desinstalación será el propio Telmex</w:t>
      </w:r>
      <w:r w:rsidR="00855299">
        <w:t xml:space="preserve"> y</w:t>
      </w:r>
      <w:r>
        <w:t xml:space="preserve"> se establezca que se deberá</w:t>
      </w:r>
      <w:r w:rsidRPr="004016D4">
        <w:t xml:space="preserve"> dejar de facturar desde el día siguiente a la recepción de la solicitud</w:t>
      </w:r>
      <w:r w:rsidR="007C5B09">
        <w:t xml:space="preserve"> de baja del servicio</w:t>
      </w:r>
      <w:r w:rsidRPr="004016D4">
        <w:t>.</w:t>
      </w:r>
    </w:p>
    <w:p w14:paraId="79456456" w14:textId="288AD172" w:rsidR="00A83AA9" w:rsidRDefault="00A83AA9" w:rsidP="005126C9">
      <w:pPr>
        <w:pStyle w:val="IFTnormal"/>
        <w:rPr>
          <w:b/>
        </w:rPr>
      </w:pPr>
      <w:r w:rsidRPr="00A83AA9">
        <w:rPr>
          <w:b/>
        </w:rPr>
        <w:t>Respuesta del Instituto</w:t>
      </w:r>
    </w:p>
    <w:p w14:paraId="21EC4255" w14:textId="77777777" w:rsidR="007F6BF5" w:rsidRDefault="004966D6" w:rsidP="004966D6">
      <w:pPr>
        <w:jc w:val="both"/>
        <w:rPr>
          <w:rFonts w:ascii="ITC Avant Garde" w:eastAsia="Calibri" w:hAnsi="ITC Avant Garde" w:cs="Arial"/>
          <w:color w:val="000000"/>
          <w:lang w:val="es-ES_tradnl" w:eastAsia="es-ES"/>
        </w:rPr>
      </w:pPr>
      <w:r w:rsidRPr="004966D6">
        <w:rPr>
          <w:rFonts w:ascii="ITC Avant Garde" w:eastAsia="Calibri" w:hAnsi="ITC Avant Garde" w:cs="Arial"/>
          <w:color w:val="000000"/>
          <w:lang w:val="es-ES_tradnl" w:eastAsia="es-ES"/>
        </w:rPr>
        <w:t xml:space="preserve">Respecto a los comentarios sobre eliminar en las etapas 2 y 3 y modificar la </w:t>
      </w:r>
      <w:r w:rsidR="007F6BF5">
        <w:rPr>
          <w:rFonts w:ascii="ITC Avant Garde" w:eastAsia="Calibri" w:hAnsi="ITC Avant Garde" w:cs="Arial"/>
          <w:color w:val="000000"/>
          <w:lang w:val="es-ES_tradnl" w:eastAsia="es-ES"/>
        </w:rPr>
        <w:t>E</w:t>
      </w:r>
      <w:r w:rsidRPr="004966D6">
        <w:rPr>
          <w:rFonts w:ascii="ITC Avant Garde" w:eastAsia="Calibri" w:hAnsi="ITC Avant Garde" w:cs="Arial"/>
          <w:color w:val="000000"/>
          <w:lang w:val="es-ES_tradnl" w:eastAsia="es-ES"/>
        </w:rPr>
        <w:t>tapa 5 dado que no se trata de una verificación visual, sino de la continuidad de un cableado, se reitera que en la ORCI vigente se estipula que una vez que el CS o AS cuenta con su NIS, puede rechazar la propuesta de programación de Visita Técnica del AEP debido a que ya cuenta con un Anteproyecto con información suficiente del SEG.</w:t>
      </w:r>
    </w:p>
    <w:p w14:paraId="77937E7D" w14:textId="2D165D54" w:rsidR="002E50C2" w:rsidRDefault="004966D6" w:rsidP="004966D6">
      <w:pPr>
        <w:jc w:val="both"/>
        <w:rPr>
          <w:rFonts w:ascii="ITC Avant Garde" w:eastAsia="Calibri" w:hAnsi="ITC Avant Garde" w:cs="Arial"/>
          <w:color w:val="000000"/>
          <w:lang w:val="es-ES_tradnl" w:eastAsia="es-ES"/>
        </w:rPr>
      </w:pPr>
      <w:r w:rsidRPr="004966D6">
        <w:rPr>
          <w:rFonts w:ascii="ITC Avant Garde" w:eastAsia="Calibri" w:hAnsi="ITC Avant Garde" w:cs="Arial"/>
          <w:color w:val="000000"/>
          <w:lang w:val="es-ES_tradnl" w:eastAsia="es-ES"/>
        </w:rPr>
        <w:t xml:space="preserve">Por otra parte, este Instituto </w:t>
      </w:r>
      <w:r w:rsidR="007F6BF5">
        <w:rPr>
          <w:rFonts w:ascii="ITC Avant Garde" w:eastAsia="Calibri" w:hAnsi="ITC Avant Garde" w:cs="Arial"/>
          <w:color w:val="000000"/>
          <w:lang w:val="es-ES_tradnl" w:eastAsia="es-ES"/>
        </w:rPr>
        <w:t>reitera</w:t>
      </w:r>
      <w:r w:rsidRPr="004966D6">
        <w:rPr>
          <w:rFonts w:ascii="ITC Avant Garde" w:eastAsia="Calibri" w:hAnsi="ITC Avant Garde" w:cs="Arial"/>
          <w:color w:val="000000"/>
          <w:lang w:val="es-ES_tradnl" w:eastAsia="es-ES"/>
        </w:rPr>
        <w:t xml:space="preserve"> que el SEG es un elemento fundamental a considerar en el análisis integral en la Oferta de Referencia que autorice el Instituto, por lo que la disponibilidad de la información se evaluará tomando en consideración la Medida TRANSITORIA TERCERA de las Medidas Fijas que establece lo relacionado a la información sobre la infraestructura del AEP y que deberá incluir, entre otras, toda la información de la infraestructura sobre la cual es propietario, la identificación de capacidad excedente y además de aquella a la que se hace referencia en la sección “IV. Información relacionada con los servicios” de la ORCI vigente, información que deberá ser veraz. También se realizarán las evaluaciones pertinentes para modificar lo que corresponda a los procedimientos, incluyendo lo relacionado a las visitas técnicas, y contemplar toda la información de la infraestructura del AEP deberá estar completa y correcta en el SEG. </w:t>
      </w:r>
    </w:p>
    <w:p w14:paraId="2ABAAE3E" w14:textId="29D0EDC3" w:rsidR="004966D6" w:rsidRDefault="004966D6" w:rsidP="004966D6">
      <w:pPr>
        <w:jc w:val="both"/>
        <w:rPr>
          <w:lang w:val="es-ES"/>
        </w:rPr>
      </w:pPr>
      <w:r w:rsidRPr="004966D6">
        <w:rPr>
          <w:rFonts w:ascii="ITC Avant Garde" w:eastAsia="Calibri" w:hAnsi="ITC Avant Garde" w:cs="Arial"/>
          <w:color w:val="000000"/>
          <w:lang w:val="es-ES_tradnl" w:eastAsia="es-ES"/>
        </w:rPr>
        <w:t xml:space="preserve">Respecto a modificar la </w:t>
      </w:r>
      <w:r w:rsidR="007F6BF5">
        <w:rPr>
          <w:rFonts w:ascii="ITC Avant Garde" w:eastAsia="Calibri" w:hAnsi="ITC Avant Garde" w:cs="Arial"/>
          <w:color w:val="000000"/>
          <w:lang w:val="es-ES_tradnl" w:eastAsia="es-ES"/>
        </w:rPr>
        <w:t>E</w:t>
      </w:r>
      <w:r w:rsidRPr="004966D6">
        <w:rPr>
          <w:rFonts w:ascii="ITC Avant Garde" w:eastAsia="Calibri" w:hAnsi="ITC Avant Garde" w:cs="Arial"/>
          <w:color w:val="000000"/>
          <w:lang w:val="es-ES_tradnl" w:eastAsia="es-ES"/>
        </w:rPr>
        <w:t xml:space="preserve">tapa 5 dado que no se trata de una verificación visual, dicho comentario es atendido desde la ORCI vigente y estos serán reflejados en los mismos términos en la Oferta de Referencia que autorice el Instituto. Respecto a que se establezca que se debe dejar de facturar desde el día siguiente a la recepción de la solicitud de baja, </w:t>
      </w:r>
      <w:r w:rsidR="002E50C2">
        <w:rPr>
          <w:rFonts w:ascii="ITC Avant Garde" w:eastAsia="Calibri" w:hAnsi="ITC Avant Garde" w:cs="Arial"/>
          <w:color w:val="000000"/>
          <w:lang w:val="es-ES_tradnl" w:eastAsia="es-ES"/>
        </w:rPr>
        <w:t xml:space="preserve">es de aclarar que </w:t>
      </w:r>
      <w:r w:rsidRPr="004966D6">
        <w:rPr>
          <w:rFonts w:ascii="ITC Avant Garde" w:eastAsia="Calibri" w:hAnsi="ITC Avant Garde" w:cs="Arial"/>
          <w:color w:val="000000"/>
          <w:lang w:val="es-ES_tradnl" w:eastAsia="es-ES"/>
        </w:rPr>
        <w:t xml:space="preserve">la </w:t>
      </w:r>
      <w:r w:rsidR="007F6BF5">
        <w:rPr>
          <w:rFonts w:ascii="ITC Avant Garde" w:eastAsia="Calibri" w:hAnsi="ITC Avant Garde" w:cs="Arial"/>
          <w:color w:val="000000"/>
          <w:lang w:val="es-ES_tradnl" w:eastAsia="es-ES"/>
        </w:rPr>
        <w:t>E</w:t>
      </w:r>
      <w:r w:rsidRPr="004966D6">
        <w:rPr>
          <w:rFonts w:ascii="ITC Avant Garde" w:eastAsia="Calibri" w:hAnsi="ITC Avant Garde" w:cs="Arial"/>
          <w:color w:val="000000"/>
          <w:lang w:val="es-ES_tradnl" w:eastAsia="es-ES"/>
        </w:rPr>
        <w:t xml:space="preserve">tapa de baja es necesaria para tener un control del retiro de equipo y cableado que se haya instalado, y para concluir el proceso de facturación de la prestación del servicio. Por tal motivo este Instituto </w:t>
      </w:r>
      <w:r w:rsidR="00C72D04">
        <w:rPr>
          <w:rFonts w:ascii="ITC Avant Garde" w:eastAsia="Calibri" w:hAnsi="ITC Avant Garde" w:cs="Arial"/>
          <w:color w:val="000000"/>
          <w:lang w:val="es-ES_tradnl" w:eastAsia="es-ES"/>
        </w:rPr>
        <w:t>mantendrá por lo menos</w:t>
      </w:r>
      <w:r w:rsidRPr="004966D6">
        <w:rPr>
          <w:rFonts w:ascii="ITC Avant Garde" w:eastAsia="Calibri" w:hAnsi="ITC Avant Garde" w:cs="Arial"/>
          <w:color w:val="000000"/>
          <w:lang w:val="es-ES_tradnl" w:eastAsia="es-ES"/>
        </w:rPr>
        <w:t xml:space="preserve"> las condiciones de la </w:t>
      </w:r>
      <w:r w:rsidR="007F6BF5">
        <w:rPr>
          <w:rFonts w:ascii="ITC Avant Garde" w:eastAsia="Calibri" w:hAnsi="ITC Avant Garde" w:cs="Arial"/>
          <w:color w:val="000000"/>
          <w:lang w:val="es-ES_tradnl" w:eastAsia="es-ES"/>
        </w:rPr>
        <w:t>ORCI</w:t>
      </w:r>
      <w:r w:rsidRPr="004966D6">
        <w:rPr>
          <w:rFonts w:ascii="ITC Avant Garde" w:eastAsia="Calibri" w:hAnsi="ITC Avant Garde" w:cs="Arial"/>
          <w:color w:val="000000"/>
          <w:lang w:val="es-ES_tradnl" w:eastAsia="es-ES"/>
        </w:rPr>
        <w:t xml:space="preserve"> vigente.</w:t>
      </w:r>
    </w:p>
    <w:p w14:paraId="137AC487" w14:textId="053796A2" w:rsidR="0029155D" w:rsidRPr="00984A58" w:rsidRDefault="0029155D" w:rsidP="00984A58">
      <w:pPr>
        <w:pStyle w:val="Ttulo2"/>
        <w:numPr>
          <w:ilvl w:val="0"/>
          <w:numId w:val="58"/>
        </w:numPr>
        <w:rPr>
          <w:rFonts w:ascii="ITC Avant Garde" w:hAnsi="ITC Avant Garde"/>
          <w:b/>
          <w:color w:val="auto"/>
          <w:sz w:val="24"/>
        </w:rPr>
      </w:pPr>
      <w:r w:rsidRPr="00984A58">
        <w:rPr>
          <w:rFonts w:ascii="ITC Avant Garde" w:hAnsi="ITC Avant Garde"/>
          <w:b/>
          <w:color w:val="auto"/>
          <w:sz w:val="24"/>
        </w:rPr>
        <w:t>De la sección “6. Actividades de apoyo para la Compartición de Infraestructura Pasiva” de la</w:t>
      </w:r>
      <w:r w:rsidRPr="00984A58" w:rsidDel="00674625">
        <w:rPr>
          <w:rFonts w:ascii="ITC Avant Garde" w:hAnsi="ITC Avant Garde"/>
          <w:b/>
          <w:color w:val="auto"/>
          <w:sz w:val="24"/>
        </w:rPr>
        <w:t xml:space="preserve"> </w:t>
      </w:r>
      <w:r w:rsidRPr="00984A58">
        <w:rPr>
          <w:rFonts w:ascii="ITC Avant Garde" w:hAnsi="ITC Avant Garde"/>
          <w:b/>
          <w:color w:val="auto"/>
          <w:sz w:val="24"/>
        </w:rPr>
        <w:t>Propuesta de Oferta de Referencia.</w:t>
      </w:r>
    </w:p>
    <w:p w14:paraId="2904D1C0" w14:textId="77777777" w:rsidR="008911DB" w:rsidRDefault="008911DB" w:rsidP="00C01749">
      <w:pPr>
        <w:jc w:val="both"/>
        <w:rPr>
          <w:rFonts w:ascii="ITC Avant Garde" w:eastAsia="Calibri" w:hAnsi="ITC Avant Garde" w:cs="Arial"/>
          <w:b/>
          <w:color w:val="000000"/>
          <w:lang w:val="es-ES_tradnl" w:eastAsia="es-ES"/>
        </w:rPr>
      </w:pPr>
    </w:p>
    <w:p w14:paraId="51CCEEF7" w14:textId="4BB3BA3D" w:rsidR="00A83AA9" w:rsidRDefault="00A83AA9" w:rsidP="00C01749">
      <w:pPr>
        <w:jc w:val="both"/>
        <w:rPr>
          <w:rFonts w:ascii="ITC Avant Garde" w:eastAsia="Calibri" w:hAnsi="ITC Avant Garde" w:cs="Arial"/>
          <w:color w:val="000000"/>
          <w:lang w:val="es-ES_tradnl" w:eastAsia="es-ES"/>
        </w:rPr>
      </w:pPr>
      <w:r w:rsidRPr="00A83AA9">
        <w:rPr>
          <w:rFonts w:ascii="ITC Avant Garde" w:eastAsia="Calibri" w:hAnsi="ITC Avant Garde" w:cs="Arial"/>
          <w:b/>
          <w:color w:val="000000"/>
          <w:lang w:val="es-ES_tradnl" w:eastAsia="es-ES"/>
        </w:rPr>
        <w:t>Resumen de comentarios de la Consulta Pública</w:t>
      </w:r>
    </w:p>
    <w:p w14:paraId="004948BA" w14:textId="20420DD7" w:rsidR="00B12C80" w:rsidRDefault="00C01749" w:rsidP="00C01749">
      <w:pPr>
        <w:jc w:val="both"/>
        <w:rPr>
          <w:rFonts w:ascii="ITC Avant Garde" w:eastAsia="Calibri" w:hAnsi="ITC Avant Garde" w:cs="Arial"/>
          <w:color w:val="000000"/>
          <w:lang w:val="es-ES_tradnl" w:eastAsia="es-ES"/>
        </w:rPr>
      </w:pPr>
      <w:r w:rsidRPr="00C01749">
        <w:rPr>
          <w:rFonts w:ascii="ITC Avant Garde" w:eastAsia="Calibri" w:hAnsi="ITC Avant Garde" w:cs="Arial"/>
          <w:color w:val="000000"/>
          <w:lang w:val="es-ES_tradnl" w:eastAsia="es-ES"/>
        </w:rPr>
        <w:t xml:space="preserve">Al respecto </w:t>
      </w:r>
      <w:r w:rsidR="00225169">
        <w:rPr>
          <w:rFonts w:ascii="ITC Avant Garde" w:eastAsia="Calibri" w:hAnsi="ITC Avant Garde" w:cs="Arial"/>
          <w:color w:val="000000"/>
          <w:lang w:val="es-ES_tradnl" w:eastAsia="es-ES"/>
        </w:rPr>
        <w:t>MEGACABLE</w:t>
      </w:r>
      <w:r w:rsidRPr="00C01749">
        <w:rPr>
          <w:rFonts w:ascii="ITC Avant Garde" w:eastAsia="Calibri" w:hAnsi="ITC Avant Garde" w:cs="Arial"/>
          <w:color w:val="000000"/>
          <w:lang w:val="es-ES_tradnl" w:eastAsia="es-ES"/>
        </w:rPr>
        <w:t xml:space="preserve"> </w:t>
      </w:r>
      <w:r w:rsidR="0057317D">
        <w:rPr>
          <w:rFonts w:ascii="ITC Avant Garde" w:eastAsia="Calibri" w:hAnsi="ITC Avant Garde" w:cs="Arial"/>
          <w:color w:val="000000"/>
          <w:lang w:val="es-ES_tradnl" w:eastAsia="es-ES"/>
        </w:rPr>
        <w:t>y CANIETI indicaron</w:t>
      </w:r>
      <w:r w:rsidRPr="00C01749">
        <w:rPr>
          <w:rFonts w:ascii="ITC Avant Garde" w:eastAsia="Calibri" w:hAnsi="ITC Avant Garde" w:cs="Arial"/>
          <w:color w:val="000000"/>
          <w:lang w:val="es-ES_tradnl" w:eastAsia="es-ES"/>
        </w:rPr>
        <w:t xml:space="preserve"> </w:t>
      </w:r>
      <w:r w:rsidR="00B42123">
        <w:rPr>
          <w:rFonts w:ascii="ITC Avant Garde" w:eastAsia="Calibri" w:hAnsi="ITC Avant Garde" w:cs="Arial"/>
          <w:color w:val="000000"/>
          <w:lang w:val="es-ES_tradnl" w:eastAsia="es-ES"/>
        </w:rPr>
        <w:t xml:space="preserve">que la ORCI </w:t>
      </w:r>
      <w:r w:rsidR="00B42123" w:rsidRPr="00B42123">
        <w:rPr>
          <w:rFonts w:ascii="ITC Avant Garde" w:eastAsia="Calibri" w:hAnsi="ITC Avant Garde" w:cs="Arial"/>
          <w:color w:val="000000"/>
          <w:lang w:val="es-ES_tradnl" w:eastAsia="es-ES"/>
        </w:rPr>
        <w:t xml:space="preserve">debe tener con respecto a </w:t>
      </w:r>
      <w:r w:rsidR="00B42123">
        <w:rPr>
          <w:rFonts w:ascii="ITC Avant Garde" w:eastAsia="Calibri" w:hAnsi="ITC Avant Garde" w:cs="Arial"/>
          <w:color w:val="000000"/>
          <w:lang w:val="es-ES_tradnl" w:eastAsia="es-ES"/>
        </w:rPr>
        <w:t>los</w:t>
      </w:r>
      <w:r w:rsidR="00B42123" w:rsidRPr="00B42123">
        <w:rPr>
          <w:rFonts w:ascii="ITC Avant Garde" w:eastAsia="Calibri" w:hAnsi="ITC Avant Garde" w:cs="Arial"/>
          <w:color w:val="000000"/>
          <w:lang w:val="es-ES_tradnl" w:eastAsia="es-ES"/>
        </w:rPr>
        <w:t xml:space="preserve"> servicios o actividades (Visitas de verificación, </w:t>
      </w:r>
      <w:r w:rsidR="00225169">
        <w:rPr>
          <w:rFonts w:ascii="ITC Avant Garde" w:eastAsia="Calibri" w:hAnsi="ITC Avant Garde" w:cs="Arial"/>
          <w:color w:val="000000"/>
          <w:lang w:val="es-ES_tradnl" w:eastAsia="es-ES"/>
        </w:rPr>
        <w:t>Análisis</w:t>
      </w:r>
      <w:r w:rsidR="00B42123" w:rsidRPr="00B42123">
        <w:rPr>
          <w:rFonts w:ascii="ITC Avant Garde" w:eastAsia="Calibri" w:hAnsi="ITC Avant Garde" w:cs="Arial"/>
          <w:color w:val="000000"/>
          <w:lang w:val="es-ES_tradnl" w:eastAsia="es-ES"/>
        </w:rPr>
        <w:t xml:space="preserve"> de </w:t>
      </w:r>
      <w:r w:rsidR="00225169">
        <w:rPr>
          <w:rFonts w:ascii="ITC Avant Garde" w:eastAsia="Calibri" w:hAnsi="ITC Avant Garde" w:cs="Arial"/>
          <w:color w:val="000000"/>
          <w:lang w:val="es-ES_tradnl" w:eastAsia="es-ES"/>
        </w:rPr>
        <w:t>F</w:t>
      </w:r>
      <w:r w:rsidR="00B42123" w:rsidRPr="00B42123">
        <w:rPr>
          <w:rFonts w:ascii="ITC Avant Garde" w:eastAsia="Calibri" w:hAnsi="ITC Avant Garde" w:cs="Arial"/>
          <w:color w:val="000000"/>
          <w:lang w:val="es-ES_tradnl" w:eastAsia="es-ES"/>
        </w:rPr>
        <w:t>actibilidad, Trabajos y Proyectos especiales) mayor información y claridad sobre criterios de aplicación, mayor especificidad y estandarización de los conceptos requeridos, así como d</w:t>
      </w:r>
      <w:r w:rsidR="00495A07">
        <w:rPr>
          <w:rFonts w:ascii="ITC Avant Garde" w:eastAsia="Calibri" w:hAnsi="ITC Avant Garde" w:cs="Arial"/>
          <w:color w:val="000000"/>
          <w:lang w:val="es-ES_tradnl" w:eastAsia="es-ES"/>
        </w:rPr>
        <w:t>e los costos que estos generan, también indicaron</w:t>
      </w:r>
      <w:r w:rsidR="000952BE">
        <w:rPr>
          <w:rFonts w:ascii="ITC Avant Garde" w:eastAsia="Calibri" w:hAnsi="ITC Avant Garde" w:cs="Arial"/>
          <w:color w:val="000000"/>
          <w:lang w:val="es-ES_tradnl" w:eastAsia="es-ES"/>
        </w:rPr>
        <w:t xml:space="preserve"> que e</w:t>
      </w:r>
      <w:r w:rsidR="000952BE" w:rsidRPr="000952BE">
        <w:rPr>
          <w:rFonts w:ascii="ITC Avant Garde" w:eastAsia="Calibri" w:hAnsi="ITC Avant Garde" w:cs="Arial"/>
          <w:color w:val="000000"/>
          <w:lang w:val="es-ES_tradnl" w:eastAsia="es-ES"/>
        </w:rPr>
        <w:t>n cuanto a los permisos, licencias y autorizaciones que contemplan al</w:t>
      </w:r>
      <w:r w:rsidR="00495A07">
        <w:rPr>
          <w:rFonts w:ascii="ITC Avant Garde" w:eastAsia="Calibri" w:hAnsi="ITC Avant Garde" w:cs="Arial"/>
          <w:color w:val="000000"/>
          <w:lang w:val="es-ES_tradnl" w:eastAsia="es-ES"/>
        </w:rPr>
        <w:t>gunos de estos servicios, todos</w:t>
      </w:r>
      <w:r w:rsidR="000952BE" w:rsidRPr="000952BE">
        <w:rPr>
          <w:rFonts w:ascii="ITC Avant Garde" w:eastAsia="Calibri" w:hAnsi="ITC Avant Garde" w:cs="Arial"/>
          <w:color w:val="000000"/>
          <w:lang w:val="es-ES_tradnl" w:eastAsia="es-ES"/>
        </w:rPr>
        <w:t xml:space="preserve"> sin excepción, deben ser tramitados y correr a cargo del AEP, </w:t>
      </w:r>
      <w:r w:rsidR="00495A07">
        <w:rPr>
          <w:rFonts w:ascii="ITC Avant Garde" w:eastAsia="Calibri" w:hAnsi="ITC Avant Garde" w:cs="Arial"/>
          <w:color w:val="000000"/>
          <w:lang w:val="es-ES_tradnl" w:eastAsia="es-ES"/>
        </w:rPr>
        <w:t xml:space="preserve">con lo cual </w:t>
      </w:r>
      <w:r w:rsidR="000952BE" w:rsidRPr="000952BE">
        <w:rPr>
          <w:rFonts w:ascii="ITC Avant Garde" w:eastAsia="Calibri" w:hAnsi="ITC Avant Garde" w:cs="Arial"/>
          <w:color w:val="000000"/>
          <w:lang w:val="es-ES_tradnl" w:eastAsia="es-ES"/>
        </w:rPr>
        <w:t>el dueño de la infraestructura debe ser el obligado.</w:t>
      </w:r>
    </w:p>
    <w:p w14:paraId="008DBE0D" w14:textId="2C5ED319" w:rsidR="0045443D" w:rsidRDefault="0045443D" w:rsidP="00C01749">
      <w:pPr>
        <w:jc w:val="both"/>
        <w:rPr>
          <w:rFonts w:ascii="ITC Avant Garde" w:eastAsia="Calibri" w:hAnsi="ITC Avant Garde" w:cs="Arial"/>
          <w:color w:val="000000"/>
          <w:lang w:val="es-ES_tradnl" w:eastAsia="es-ES"/>
        </w:rPr>
      </w:pPr>
      <w:r w:rsidRPr="0045443D">
        <w:rPr>
          <w:rFonts w:ascii="ITC Avant Garde" w:eastAsia="Calibri" w:hAnsi="ITC Avant Garde" w:cs="Arial"/>
          <w:color w:val="000000"/>
          <w:lang w:val="es-ES_tradnl" w:eastAsia="es-ES"/>
        </w:rPr>
        <w:t>GRUPO TELEVISA solicitó que se elimine el cobro por las labores de análisis de factibilidad de la Oferta o, en el peor de los casos, que se elimine la parametrización por kilómetro de dicho cobro, realizándolo por NIS o por proyecto.</w:t>
      </w:r>
      <w:r w:rsidR="00625721">
        <w:rPr>
          <w:rFonts w:ascii="ITC Avant Garde" w:eastAsia="Calibri" w:hAnsi="ITC Avant Garde" w:cs="Arial"/>
          <w:color w:val="000000"/>
          <w:lang w:val="es-ES_tradnl" w:eastAsia="es-ES"/>
        </w:rPr>
        <w:t xml:space="preserve"> </w:t>
      </w:r>
      <w:r w:rsidR="00992143">
        <w:rPr>
          <w:rFonts w:ascii="ITC Avant Garde" w:eastAsia="Calibri" w:hAnsi="ITC Avant Garde" w:cs="Arial"/>
          <w:color w:val="000000"/>
          <w:lang w:val="es-ES_tradnl" w:eastAsia="es-ES"/>
        </w:rPr>
        <w:t>Además</w:t>
      </w:r>
      <w:r w:rsidR="00625721">
        <w:rPr>
          <w:rFonts w:ascii="ITC Avant Garde" w:eastAsia="Calibri" w:hAnsi="ITC Avant Garde" w:cs="Arial"/>
          <w:color w:val="000000"/>
          <w:lang w:val="es-ES_tradnl" w:eastAsia="es-ES"/>
        </w:rPr>
        <w:t>,</w:t>
      </w:r>
      <w:r w:rsidR="00992143">
        <w:rPr>
          <w:rFonts w:ascii="ITC Avant Garde" w:eastAsia="Calibri" w:hAnsi="ITC Avant Garde" w:cs="Arial"/>
          <w:color w:val="000000"/>
          <w:lang w:val="es-ES_tradnl" w:eastAsia="es-ES"/>
        </w:rPr>
        <w:t xml:space="preserve"> que</w:t>
      </w:r>
      <w:r w:rsidRPr="0045443D">
        <w:rPr>
          <w:rFonts w:ascii="ITC Avant Garde" w:eastAsia="Calibri" w:hAnsi="ITC Avant Garde" w:cs="Arial"/>
          <w:color w:val="000000"/>
          <w:lang w:val="es-ES_tradnl" w:eastAsia="es-ES"/>
        </w:rPr>
        <w:t xml:space="preserve"> se establezca en la ORCI la penalización correspondiente para los casos en los que el AEPT se niega a compartir su infraestructura o llevar a cabo la visita técnica sin una justificación soportada por la Oferta equivalente al costo de una visita técnica, que será el resultado del precio por kilómetro por la cantidad de kilómetros involucrado</w:t>
      </w:r>
      <w:r>
        <w:rPr>
          <w:rFonts w:ascii="ITC Avant Garde" w:eastAsia="Calibri" w:hAnsi="ITC Avant Garde" w:cs="Arial"/>
          <w:color w:val="000000"/>
          <w:lang w:val="es-ES_tradnl" w:eastAsia="es-ES"/>
        </w:rPr>
        <w:t>s en la solicitud del proyecto.</w:t>
      </w:r>
    </w:p>
    <w:p w14:paraId="21C04C75" w14:textId="40E4F364" w:rsidR="0057317D" w:rsidRDefault="00A83AA9" w:rsidP="00C01749">
      <w:pPr>
        <w:jc w:val="both"/>
        <w:rPr>
          <w:rFonts w:ascii="ITC Avant Garde" w:eastAsia="Calibri" w:hAnsi="ITC Avant Garde" w:cs="Arial"/>
          <w:b/>
          <w:color w:val="000000"/>
          <w:lang w:val="es-ES_tradnl" w:eastAsia="es-ES"/>
        </w:rPr>
      </w:pPr>
      <w:r w:rsidRPr="00A83AA9">
        <w:rPr>
          <w:rFonts w:ascii="ITC Avant Garde" w:eastAsia="Calibri" w:hAnsi="ITC Avant Garde" w:cs="Arial"/>
          <w:b/>
          <w:color w:val="000000"/>
          <w:lang w:val="es-ES_tradnl" w:eastAsia="es-ES"/>
        </w:rPr>
        <w:t>Respuesta del Instituto</w:t>
      </w:r>
    </w:p>
    <w:p w14:paraId="209E02B3" w14:textId="69BDFA0D" w:rsidR="008B64AC" w:rsidRPr="007866C0" w:rsidRDefault="008514F8" w:rsidP="008514F8">
      <w:pPr>
        <w:pStyle w:val="IFTnormal"/>
      </w:pPr>
      <w:r w:rsidRPr="007866C0">
        <w:rPr>
          <w:bCs/>
        </w:rPr>
        <w:t xml:space="preserve">Respecto del comentario de </w:t>
      </w:r>
      <w:r w:rsidR="001F1F5A" w:rsidRPr="007866C0">
        <w:rPr>
          <w:bCs/>
        </w:rPr>
        <w:t xml:space="preserve">las visitas de verificación, </w:t>
      </w:r>
      <w:r w:rsidR="00225169">
        <w:rPr>
          <w:bCs/>
        </w:rPr>
        <w:t>Análisis</w:t>
      </w:r>
      <w:r w:rsidR="001F1F5A" w:rsidRPr="007866C0">
        <w:rPr>
          <w:bCs/>
        </w:rPr>
        <w:t xml:space="preserve"> de </w:t>
      </w:r>
      <w:r w:rsidR="00225169">
        <w:rPr>
          <w:bCs/>
        </w:rPr>
        <w:t>F</w:t>
      </w:r>
      <w:r w:rsidR="001F1F5A" w:rsidRPr="007866C0">
        <w:rPr>
          <w:bCs/>
        </w:rPr>
        <w:t xml:space="preserve">actibilidad, </w:t>
      </w:r>
      <w:r w:rsidR="001F1F5A" w:rsidRPr="007866C0">
        <w:t>trabajos y proyectos especiales</w:t>
      </w:r>
      <w:r w:rsidR="001F1F5A" w:rsidRPr="007866C0">
        <w:rPr>
          <w:bCs/>
        </w:rPr>
        <w:t xml:space="preserve"> deben </w:t>
      </w:r>
      <w:r w:rsidRPr="007866C0">
        <w:t xml:space="preserve">tener </w:t>
      </w:r>
      <w:r w:rsidR="00BD445C" w:rsidRPr="007866C0">
        <w:t>mayor información y claridad sobre criterios de aplicación, mayor especificidad y estandarización de los conceptos requeridos, así como de los costos que estos generan</w:t>
      </w:r>
      <w:r w:rsidR="008B64AC" w:rsidRPr="007866C0">
        <w:t>. E</w:t>
      </w:r>
      <w:r w:rsidR="00BD445C" w:rsidRPr="007866C0">
        <w:t xml:space="preserve">s de aclarar por este Instituto que la Oferta vigente </w:t>
      </w:r>
      <w:r w:rsidR="008B64AC" w:rsidRPr="007866C0">
        <w:t>contempla para las visitas de verificación como la actividad corresponde a la revisión de manera conjunta, entre Telmex y el CS, de los trabajos de instalación concluidos por el CS o AS para determinar si se cumplió sin desvíos a la normatividad y al proyecto que fue aprobado en el análisis de factibilidad, a fin de evitar afectaciones a los demás servicios de Telmex y a los de los CS, por lo tanto, el CS está en posibilidades de contar con toda la información y claridad sobre los criterios de la aplicación de las actividades de verificación y factibilidad. Por otro lado, los costos que estos generan se encuentra considerados en las tarifas de la Oferta y</w:t>
      </w:r>
      <w:r w:rsidR="00225169" w:rsidRPr="007866C0">
        <w:t>,</w:t>
      </w:r>
      <w:r w:rsidR="008B64AC" w:rsidRPr="007866C0">
        <w:t xml:space="preserve"> en </w:t>
      </w:r>
      <w:r w:rsidR="00BD445C" w:rsidRPr="007866C0">
        <w:t>consecuencia, las tarifas aplicables serán calculadas y determinadas con base en modelos de costo emitidos por el Instituto</w:t>
      </w:r>
      <w:r w:rsidR="008B64AC" w:rsidRPr="007866C0">
        <w:t>. Estas tarifas</w:t>
      </w:r>
      <w:r w:rsidR="00BD445C" w:rsidRPr="007866C0">
        <w:t xml:space="preserve"> </w:t>
      </w:r>
      <w:r w:rsidR="008B64AC" w:rsidRPr="007866C0">
        <w:t>s</w:t>
      </w:r>
      <w:r w:rsidR="00BD445C" w:rsidRPr="007866C0">
        <w:t xml:space="preserve">e determinarán con base en información del AEP a la luz de los datos observados en la práctica internacional. </w:t>
      </w:r>
    </w:p>
    <w:p w14:paraId="4070FDEC" w14:textId="2CD899D4" w:rsidR="008B64AC" w:rsidRPr="007866C0" w:rsidRDefault="008B64AC" w:rsidP="008514F8">
      <w:pPr>
        <w:pStyle w:val="IFTnormal"/>
      </w:pPr>
      <w:r w:rsidRPr="007866C0">
        <w:t>R</w:t>
      </w:r>
      <w:r w:rsidR="008514F8" w:rsidRPr="007866C0">
        <w:t xml:space="preserve">especto a los servicios </w:t>
      </w:r>
      <w:r w:rsidRPr="007866C0">
        <w:t>de trabajos y p</w:t>
      </w:r>
      <w:r w:rsidR="008514F8" w:rsidRPr="007866C0">
        <w:t xml:space="preserve">royectos </w:t>
      </w:r>
      <w:r w:rsidR="00203B2E" w:rsidRPr="007866C0">
        <w:t>este Instituto evaluará la propuesta considerando que cualquier facturación de las actividades que integran la Solicitud de Servicio de Acceso y Uso Compartido de Obra Civil se realizará posteriormente a su ejecución y deberá contener cuando menos los plazos y desglose de los costos asociados, detallando material, equipo, actividades, tipo de personal involucrado, horas-hombre, etc., los cuales deberán ser incluidos en la cotización de los servicios y serán consistentes con la facturación.</w:t>
      </w:r>
    </w:p>
    <w:p w14:paraId="34CE3ED3" w14:textId="3CC3AA7E" w:rsidR="007866C0" w:rsidRPr="007866C0" w:rsidRDefault="008514F8" w:rsidP="008514F8">
      <w:pPr>
        <w:pStyle w:val="IFTnormal"/>
      </w:pPr>
      <w:r w:rsidRPr="007866C0">
        <w:t>Respecto del comentario de que se elimine el cobro por las labores de análisis de factibilidad o, en el peor de los casos, que se elimine la parametrización por kilómetro de dicho cobro, es de mencionar que este análisis per</w:t>
      </w:r>
      <w:r w:rsidR="007866C0" w:rsidRPr="007866C0">
        <w:t>mite detectar qué elementos de infraestructura</w:t>
      </w:r>
      <w:r w:rsidRPr="007866C0">
        <w:t xml:space="preserve"> requerirán acondicionamiento, para que el CS pueda colocar los elementos presentados en el anteproyecto.</w:t>
      </w:r>
      <w:r w:rsidR="007866C0" w:rsidRPr="007866C0">
        <w:t xml:space="preserve"> Sin embargo, este Instituto evaluará la propuesta de que se realice el cobro por una contraprestación única, considerando que esto ayude a la eficiente prestación de los servicio</w:t>
      </w:r>
      <w:r w:rsidR="0060375B">
        <w:t>s</w:t>
      </w:r>
      <w:r w:rsidR="007866C0" w:rsidRPr="007866C0">
        <w:t xml:space="preserve"> y fomente la contratación de los servicios.</w:t>
      </w:r>
    </w:p>
    <w:p w14:paraId="3BD0DDB3" w14:textId="4AD7C96A" w:rsidR="008514F8" w:rsidRPr="007866C0" w:rsidRDefault="008514F8" w:rsidP="008514F8">
      <w:pPr>
        <w:pStyle w:val="IFTnormal"/>
        <w:rPr>
          <w:b/>
          <w:bCs/>
          <w:color w:val="auto"/>
        </w:rPr>
      </w:pPr>
      <w:r w:rsidRPr="007866C0">
        <w:rPr>
          <w:color w:val="auto"/>
        </w:rPr>
        <w:t xml:space="preserve">Por otra parte, con respecto a que </w:t>
      </w:r>
      <w:r w:rsidRPr="007866C0">
        <w:t xml:space="preserve">se establezca en la ORCI la penalización correspondiente para </w:t>
      </w:r>
      <w:r w:rsidRPr="007866C0">
        <w:rPr>
          <w:color w:val="auto"/>
        </w:rPr>
        <w:t xml:space="preserve">los casos en los que el AEP se niega a compartir su infraestructura o llevar a cabo la </w:t>
      </w:r>
      <w:r w:rsidR="00B25FA1">
        <w:rPr>
          <w:color w:val="auto"/>
        </w:rPr>
        <w:t>Visita T</w:t>
      </w:r>
      <w:r w:rsidRPr="007866C0">
        <w:rPr>
          <w:color w:val="auto"/>
        </w:rPr>
        <w:t>écnica sin una justificación</w:t>
      </w:r>
      <w:r w:rsidR="007866C0" w:rsidRPr="007866C0">
        <w:rPr>
          <w:color w:val="auto"/>
        </w:rPr>
        <w:t>,</w:t>
      </w:r>
      <w:r w:rsidRPr="007866C0">
        <w:rPr>
          <w:color w:val="auto"/>
        </w:rPr>
        <w:t xml:space="preserve"> </w:t>
      </w:r>
      <w:r w:rsidRPr="007866C0">
        <w:t>se evaluará en términos de las Medida Fijas y su impacto en la Oferta, ya que en la ORCI vigente se estipula que una vez que el CS cuenta con su NIS, puede rechazar la propuesta de programación de Visita Técnica del AEP debido a que ya cuenta con un Anteproyecto con información suficiente del SEG.</w:t>
      </w:r>
    </w:p>
    <w:p w14:paraId="6C444212" w14:textId="63E2DF4A" w:rsidR="0029155D" w:rsidRPr="00984A58" w:rsidRDefault="0029155D" w:rsidP="00984A58">
      <w:pPr>
        <w:pStyle w:val="Ttulo2"/>
        <w:numPr>
          <w:ilvl w:val="0"/>
          <w:numId w:val="58"/>
        </w:numPr>
        <w:rPr>
          <w:rFonts w:ascii="ITC Avant Garde" w:hAnsi="ITC Avant Garde"/>
          <w:b/>
          <w:color w:val="auto"/>
          <w:sz w:val="24"/>
        </w:rPr>
      </w:pPr>
      <w:r w:rsidRPr="00984A58">
        <w:rPr>
          <w:rFonts w:ascii="ITC Avant Garde" w:hAnsi="ITC Avant Garde"/>
          <w:b/>
          <w:color w:val="auto"/>
          <w:sz w:val="24"/>
        </w:rPr>
        <w:t>De la sección “7. Trabajos Especiales asociados a los servicios de Acceso y Uso Compartido de la Infraestructura Pasiva” de la</w:t>
      </w:r>
      <w:r w:rsidRPr="00984A58" w:rsidDel="00674625">
        <w:rPr>
          <w:rFonts w:ascii="ITC Avant Garde" w:hAnsi="ITC Avant Garde"/>
          <w:b/>
          <w:color w:val="auto"/>
          <w:sz w:val="24"/>
        </w:rPr>
        <w:t xml:space="preserve"> </w:t>
      </w:r>
      <w:r w:rsidRPr="00984A58">
        <w:rPr>
          <w:rFonts w:ascii="ITC Avant Garde" w:hAnsi="ITC Avant Garde"/>
          <w:b/>
          <w:color w:val="auto"/>
          <w:sz w:val="24"/>
        </w:rPr>
        <w:t>Propuesta de Oferta de Referencia.</w:t>
      </w:r>
    </w:p>
    <w:p w14:paraId="59F7D072" w14:textId="77777777" w:rsidR="008911DB" w:rsidRDefault="008911DB" w:rsidP="00A83AA9">
      <w:pPr>
        <w:pStyle w:val="IFTnormal"/>
        <w:rPr>
          <w:b/>
        </w:rPr>
      </w:pPr>
    </w:p>
    <w:p w14:paraId="01D2EFEE" w14:textId="144B1FB5" w:rsidR="00A83AA9" w:rsidRDefault="00A83AA9" w:rsidP="00A83AA9">
      <w:pPr>
        <w:pStyle w:val="IFTnormal"/>
      </w:pPr>
      <w:r w:rsidRPr="00A83AA9">
        <w:rPr>
          <w:b/>
        </w:rPr>
        <w:t>Resumen de comentarios de la Consulta Pública</w:t>
      </w:r>
    </w:p>
    <w:p w14:paraId="119CFA26" w14:textId="00D9ED14" w:rsidR="00B12C80" w:rsidRDefault="005126C9" w:rsidP="00A83AA9">
      <w:pPr>
        <w:pStyle w:val="IFTnormal"/>
      </w:pPr>
      <w:r>
        <w:t>Al respecto ATT requirió ampliar el plazo de 2 días hábiles a 10 días hábiles para la solicitud de</w:t>
      </w:r>
      <w:r w:rsidR="0055545F">
        <w:t xml:space="preserve"> instalación de infraestructura, en este mismo sentido en</w:t>
      </w:r>
      <w:r>
        <w:t xml:space="preserve"> </w:t>
      </w:r>
      <w:r w:rsidR="0055545F">
        <w:t xml:space="preserve">los procedimientos para </w:t>
      </w:r>
      <w:r>
        <w:t xml:space="preserve">la Etapa 4, Revisión del Proyecto y Cotización, </w:t>
      </w:r>
      <w:r w:rsidR="0057317D">
        <w:t>tanto ATT como CANIETI sugirieron que se agregara qué,</w:t>
      </w:r>
      <w:r>
        <w:t xml:space="preserve"> </w:t>
      </w:r>
      <w:r w:rsidR="0057317D">
        <w:t>s</w:t>
      </w:r>
      <w:r>
        <w:t>i el CS considera que la cotización presentada por Telmex resul</w:t>
      </w:r>
      <w:r w:rsidR="00260C16">
        <w:t xml:space="preserve">ta demasiado onerosa o fuera </w:t>
      </w:r>
      <w:r>
        <w:t>de los estándares de la industria, podrá ofrecer su propio cable de fibra óptica para que sea instalado por Telmex y podrá solicitar la intervención el IFT para determinar el precio correcto para dicha obra. El CS acepta pagar el monto que determine el IFT a los 5 días recibida la resolución</w:t>
      </w:r>
      <w:r w:rsidR="0057317D">
        <w:t>.</w:t>
      </w:r>
    </w:p>
    <w:p w14:paraId="35F2D6BF" w14:textId="45986AED" w:rsidR="0021223A" w:rsidRDefault="0021223A" w:rsidP="00A83AA9">
      <w:pPr>
        <w:pStyle w:val="IFTnormal"/>
      </w:pPr>
      <w:r>
        <w:t>Por otro lado</w:t>
      </w:r>
      <w:r w:rsidR="0041452F">
        <w:t>,</w:t>
      </w:r>
      <w:r>
        <w:t xml:space="preserve"> </w:t>
      </w:r>
      <w:r w:rsidR="00053603">
        <w:t xml:space="preserve">ATT y CANIETI </w:t>
      </w:r>
      <w:r>
        <w:t>propusieron que se adicione una opción de compartición de infraestructura de fibra óptica</w:t>
      </w:r>
      <w:r w:rsidR="00EA5512">
        <w:t xml:space="preserve">. En este mismo tenor </w:t>
      </w:r>
      <w:r w:rsidR="00053603">
        <w:t>ATT propuso que se condicione</w:t>
      </w:r>
      <w:r>
        <w:t xml:space="preserve"> a que Telmex informe de cualquier despliegue en el que el CS podrá participar solicitando los cables que requiera y pagando la parte proporcional más un factor que determine el IFT y contará con un derecho irrevocable de uso por 40 años pagando solo el costo anual de mantenimiento del 2%.</w:t>
      </w:r>
    </w:p>
    <w:p w14:paraId="3179FDFB" w14:textId="5A6896D2" w:rsidR="0041452F" w:rsidRDefault="00EA5512" w:rsidP="00A83AA9">
      <w:pPr>
        <w:pStyle w:val="IFTnormal"/>
      </w:pPr>
      <w:r>
        <w:t>Por otra parte</w:t>
      </w:r>
      <w:r w:rsidR="0041452F">
        <w:t>, TELEFÓNICA solicita un mayor control de los trabajos especiales para evitar el encarecimiento del proyecto para el CS y retrasar la puesta en marcha del servicio.</w:t>
      </w:r>
    </w:p>
    <w:p w14:paraId="3843ADAD" w14:textId="648D6380" w:rsidR="0041452F" w:rsidRDefault="0058140D" w:rsidP="00A83AA9">
      <w:pPr>
        <w:pStyle w:val="IFTnormal"/>
      </w:pPr>
      <w:r>
        <w:t xml:space="preserve">CANIETI </w:t>
      </w:r>
      <w:r w:rsidR="00EA5512">
        <w:t xml:space="preserve">por su parte, </w:t>
      </w:r>
      <w:r>
        <w:t>propuso que se establezca</w:t>
      </w:r>
      <w:r w:rsidRPr="0058140D">
        <w:t xml:space="preserve"> la obligación al AEP de enviar los planes de trabajo asociados a la ejecución del trabajo especial, realizar auditorías externas al SEG y prohibir la cancelación unilateral de cualquier NIS que ya haya</w:t>
      </w:r>
      <w:r w:rsidR="00EA5512">
        <w:t xml:space="preserve"> sido liberado para instalación, indicando adicionalmente que en los procedimientos en </w:t>
      </w:r>
      <w:r w:rsidR="0057317D">
        <w:t>la Etapa 2 de Trabajos especiales se debe ampliar de 2 a 20 días.</w:t>
      </w:r>
    </w:p>
    <w:p w14:paraId="6628EEC3" w14:textId="5587E3C7" w:rsidR="0058140D" w:rsidRPr="0029155D" w:rsidRDefault="00EA77ED" w:rsidP="00A83AA9">
      <w:pPr>
        <w:pStyle w:val="IFTnormal"/>
      </w:pPr>
      <w:r>
        <w:t>UC TELECOM indicó que e</w:t>
      </w:r>
      <w:r w:rsidRPr="00EA77ED">
        <w:t xml:space="preserve">n caso de que el CS o AS solicite una re-cotización de los trabajos especiales, la </w:t>
      </w:r>
      <w:r>
        <w:t>ORCI fija</w:t>
      </w:r>
      <w:r w:rsidRPr="00EA77ED">
        <w:t xml:space="preserve"> deberá indicar el plazo para que el AEP entregue la nueva cotización.</w:t>
      </w:r>
    </w:p>
    <w:p w14:paraId="2CA19ECF" w14:textId="77777777" w:rsidR="00EA5512" w:rsidRDefault="00EA5512" w:rsidP="00A83AA9">
      <w:pPr>
        <w:pStyle w:val="IFTnormal"/>
      </w:pPr>
      <w:r>
        <w:t xml:space="preserve">Finalmente, </w:t>
      </w:r>
      <w:r w:rsidR="0045443D" w:rsidRPr="0045443D">
        <w:t>Grupo Televisa solicitó que se estableciera la obligación al AEPT de demostrar técnicamente que no hay posibilidad de recuperación de espacio con una prueba técnica que pueda proveer a los CS la capacidad de verificar que efectivamente no hay posibilidad de recuperación de espacio.</w:t>
      </w:r>
    </w:p>
    <w:p w14:paraId="593A3976" w14:textId="4E792D9F" w:rsidR="0045443D" w:rsidRPr="0029155D" w:rsidRDefault="004054B9" w:rsidP="00A83AA9">
      <w:pPr>
        <w:pStyle w:val="IFTnormal"/>
      </w:pPr>
      <w:r>
        <w:t xml:space="preserve">Por otra parte, también indica que </w:t>
      </w:r>
      <w:r w:rsidR="0045443D" w:rsidRPr="0045443D">
        <w:t>se eliminen las actividades de acondicionamiento de infraestructura como parte d</w:t>
      </w:r>
      <w:r>
        <w:t>el concepto de trabajo especial, por lo que considera que también se deberá establecer</w:t>
      </w:r>
      <w:r w:rsidR="0045443D" w:rsidRPr="0045443D">
        <w:t xml:space="preserve"> la obligación de enviar los planes de trabajo asociados a la ejecución del trabajo especial.</w:t>
      </w:r>
    </w:p>
    <w:p w14:paraId="52575033" w14:textId="7F367D39" w:rsidR="00A83AA9" w:rsidRDefault="00A83AA9" w:rsidP="00A83AA9">
      <w:pPr>
        <w:pStyle w:val="IFTnormal"/>
        <w:rPr>
          <w:b/>
        </w:rPr>
      </w:pPr>
      <w:r w:rsidRPr="00A83AA9">
        <w:rPr>
          <w:b/>
        </w:rPr>
        <w:t>Respuesta del Instituto</w:t>
      </w:r>
    </w:p>
    <w:p w14:paraId="3ECBBB0A" w14:textId="12D262B2" w:rsidR="0094520A" w:rsidRDefault="0094520A" w:rsidP="0094520A">
      <w:pPr>
        <w:pStyle w:val="IFTnormal"/>
      </w:pPr>
      <w:r w:rsidRPr="00FA044D">
        <w:t>Respecto</w:t>
      </w:r>
      <w:r>
        <w:t xml:space="preserve"> a los comentarios acerca de la ampliación</w:t>
      </w:r>
      <w:r w:rsidR="00072917">
        <w:t xml:space="preserve"> del plazo de 2 días hábiles a 10 o 20</w:t>
      </w:r>
      <w:r>
        <w:t xml:space="preserve"> días hábiles para la solicitud de</w:t>
      </w:r>
      <w:r w:rsidR="00072917">
        <w:t xml:space="preserve"> instalación de infraestructura de </w:t>
      </w:r>
      <w:r>
        <w:t>la Etapa 2 d</w:t>
      </w:r>
      <w:r w:rsidR="00072917">
        <w:t>e Trabajos especiales</w:t>
      </w:r>
      <w:r>
        <w:t xml:space="preserve">, se evaluará en términos de las Medida Fijas y su impacto en la Oferta. A partir de ello, se identificará si los ajustes propuestos ofrecen condiciones más favorables para la competencia, para la provisión de los servicios que la ORCI vigente, además mejorarán el contenido y/o alcance de los servicios materia de la Oferta e Referencia vigente y no limitan la prestación de los servicios.   </w:t>
      </w:r>
    </w:p>
    <w:p w14:paraId="28D33957" w14:textId="3B2697FB" w:rsidR="0094520A" w:rsidRDefault="0094520A" w:rsidP="0094520A">
      <w:pPr>
        <w:pStyle w:val="IFTnormal"/>
      </w:pPr>
      <w:r>
        <w:t xml:space="preserve">En atención al comentario de que se </w:t>
      </w:r>
      <w:r w:rsidR="00936392">
        <w:t>contemple qu</w:t>
      </w:r>
      <w:r w:rsidR="00472E78">
        <w:t>e</w:t>
      </w:r>
      <w:r>
        <w:t xml:space="preserve"> si el CS considera que la cotización presentada por Telmex resulta demasiado onerosa o fuera de los estándares de la industria, podrá ofrecer su propio cable de fibra óptica para que sea instalado por Telmex y podrá solicitar la intervención el IFT para determinar el precio correcto para dicha obra y que el CS acepta pagar el monto que determine el IFT a los 5 días recibida la resolución, </w:t>
      </w:r>
      <w:r w:rsidR="00936392">
        <w:t>a consideración de este Instituto dicha propuesta</w:t>
      </w:r>
      <w:r>
        <w:t xml:space="preserve"> no se encuent</w:t>
      </w:r>
      <w:r w:rsidR="00936392">
        <w:t>ra en línea con la ORCI vigente. En la</w:t>
      </w:r>
      <w:r>
        <w:t xml:space="preserve"> Oferta vigente se </w:t>
      </w:r>
      <w:r w:rsidR="00936392">
        <w:t>establece</w:t>
      </w:r>
      <w:r>
        <w:t xml:space="preserve"> un mecanismo de comunicación constante para acordar y convenir sobre tarifas, tiempos de entrega, parámetros de cal</w:t>
      </w:r>
      <w:r w:rsidR="00936392">
        <w:t>idad, y otros temas relevantes,</w:t>
      </w:r>
      <w:r>
        <w:t xml:space="preserve"> además, el AEP deberá proporcionar al CS o AS la cotización detallada de los trabajos a realizar, a fin de que el CS o AS examin</w:t>
      </w:r>
      <w:r w:rsidR="00936392">
        <w:t>e y determine si acepta o no.</w:t>
      </w:r>
    </w:p>
    <w:p w14:paraId="4A4B75C1" w14:textId="40B9982E" w:rsidR="0094520A" w:rsidRDefault="0094520A" w:rsidP="0094520A">
      <w:pPr>
        <w:pStyle w:val="IFTnormal"/>
      </w:pPr>
      <w:r>
        <w:t>Respecto al comentario de que se adicione una opción de compartición de i</w:t>
      </w:r>
      <w:r w:rsidR="004E0B76">
        <w:t>nfraestructura de fibra óptica,</w:t>
      </w:r>
      <w:r>
        <w:t xml:space="preserve"> </w:t>
      </w:r>
      <w:r w:rsidR="004E0B76">
        <w:t>es de recordar que la Oferta vigente contempla el servicio de Instalación de Infraestructura del CS o AS en Despliegue de nueva Obra Civil, el cual consiste en el trabajo especial de instalación de infraestructura del CS en despliegue de nueva obra civil del AEP, y tiene por objeto de que el CS instale su propia infraestructura de ductos y pozos sobre las zanjas que el AEP realice en un nuevo despliegue optimizando tiempos y simplificando, y se ofrecerá al CS o AS cuando se tenga programado construir un nuevo despliegue, por tanto el CS tiene la oportunidad de instalar en dicha infraestructura su propia fibra óptica. También se establece en la Oferta vigente que los trabajos se cotizará</w:t>
      </w:r>
      <w:r w:rsidR="00A14ECA">
        <w:t>n</w:t>
      </w:r>
      <w:r w:rsidR="004E0B76">
        <w:t xml:space="preserve"> de manera particular y el precio variará de acuerdo con la cantidad de elementos de infraestructura que el CS instale.</w:t>
      </w:r>
    </w:p>
    <w:p w14:paraId="4BF13AF7" w14:textId="007E3589" w:rsidR="0094520A" w:rsidRDefault="0094520A" w:rsidP="0094520A">
      <w:pPr>
        <w:pStyle w:val="IFTnormal"/>
      </w:pPr>
      <w:r>
        <w:t>Respecto al comentario de que se condicione a que Telmex informe de cualquier despliegue en el que el CS podrá participar solicitando los cables que requiera y pagando la parte proporcional más un factor que determine el IFT y contará con un derecho irrevocable de uso por 40 años pagando solo el costo anual de mantenimiento del 2</w:t>
      </w:r>
      <w:r w:rsidR="00A14ECA">
        <w:t>%. Como</w:t>
      </w:r>
      <w:r>
        <w:t xml:space="preserve"> se </w:t>
      </w:r>
      <w:r w:rsidR="00A14ECA">
        <w:t xml:space="preserve">mencionó en el párrafo anterior se tiene en la Oferta vigente el servicio </w:t>
      </w:r>
      <w:r w:rsidR="00A14ECA" w:rsidRPr="00A14ECA">
        <w:t>de Instalación de Infraestructura del CS o AS en</w:t>
      </w:r>
      <w:r w:rsidR="00A14ECA">
        <w:t xml:space="preserve"> Despliegue de nueva Obra Civil. También se considera que </w:t>
      </w:r>
      <w:r>
        <w:t>el AEP notificará con sesenta días naturales de antelación a través del SEG, las nuevas obras civiles antes de que se inicien los trabajos de construcción</w:t>
      </w:r>
      <w:r w:rsidR="00A14ECA">
        <w:t>, por lo tanto</w:t>
      </w:r>
      <w:r w:rsidR="005B74AE">
        <w:t>,</w:t>
      </w:r>
      <w:r w:rsidR="00A14ECA">
        <w:t xml:space="preserve"> se tiene la opción de que el CS esté enterado de las nuevas obras que realice el AEP</w:t>
      </w:r>
      <w:r>
        <w:t>.</w:t>
      </w:r>
    </w:p>
    <w:p w14:paraId="006FE502" w14:textId="2A916D06" w:rsidR="0094520A" w:rsidRDefault="0094520A" w:rsidP="0094520A">
      <w:pPr>
        <w:pStyle w:val="IFTnormal"/>
      </w:pPr>
      <w:r>
        <w:t xml:space="preserve">Respecto a solicita un mayor control de los trabajos especiales para evitar el encarecimiento del proyecto para el CS y retrasar la puesta en marcha del servicio, se señala que el Instituto evaluará lo solicitado considerando </w:t>
      </w:r>
      <w:r w:rsidR="005B74AE">
        <w:t xml:space="preserve">que </w:t>
      </w:r>
      <w:r>
        <w:t>en ningún caso podrán considerarse como Trabajo Especial los mantenimientos preventivos y correctivos a realizar por el AEP en pozos, postes, ductos, torres, y/o sitios, derivado del aviso de alguna dependencia, de la revisión diaria de planta exterior, así como los atribuibles por proyectos de despliegue, de rehabilitación de red secundaria o de red principal aérea, de red subterránea, de acceso o transporte.</w:t>
      </w:r>
    </w:p>
    <w:p w14:paraId="2B20D0A9" w14:textId="01924F9D" w:rsidR="002A2491" w:rsidRDefault="0094520A" w:rsidP="0094520A">
      <w:pPr>
        <w:pStyle w:val="IFTnormal"/>
      </w:pPr>
      <w:r>
        <w:t xml:space="preserve">Respecto a que se establezca la obligación al AEP de enviar los planes de trabajo asociados a la ejecución del trabajo especial, se reitera que la ORCI vigente estipula que en caso de que el CS o AS confirme la continuidad del Trabajo Especial, el AEP deberá entregar el Programa de Trabajo, así como la fecha de inicio y fin del mismo, por lo que se considera que dicho comentario es atendido desde la ORCI vigente y estos serán reflejados en los mismos términos en la Oferta de Referencia que autorice el Instituto.  </w:t>
      </w:r>
    </w:p>
    <w:p w14:paraId="2CBC1DED" w14:textId="3B7A1A60" w:rsidR="0094520A" w:rsidRDefault="0094520A" w:rsidP="0094520A">
      <w:pPr>
        <w:pStyle w:val="IFTnormal"/>
      </w:pPr>
      <w:r>
        <w:t>Respecto a realizar auditorías externas al SEG, se hace mención que lo requerido no se encuentra en línea con la ORCI vigente</w:t>
      </w:r>
      <w:r w:rsidR="002A2491">
        <w:t xml:space="preserve">, y no se contempla en </w:t>
      </w:r>
      <w:r>
        <w:t xml:space="preserve">las </w:t>
      </w:r>
      <w:r w:rsidR="002A2491">
        <w:t>Medidas Fijas.</w:t>
      </w:r>
      <w:r>
        <w:t xml:space="preserve"> En cuanto a prohibir la cancelación unilateral de cualquier NIS que ya haya sido liberado para instalación, es de recordar que la ORCI vigente no cuenta con un procedimiento que la cancelación unilateral de cualquier NIS que ya haya sido liberado para instalación, por lo que se considera que dicho comentario es atendido desde la ORCI vigente y estos serán reflejados en los mismos términos en la Oferta de Referencia que autorice el Instituto.</w:t>
      </w:r>
    </w:p>
    <w:p w14:paraId="47D4D853" w14:textId="7903C6AA" w:rsidR="0094520A" w:rsidRDefault="0094520A" w:rsidP="0094520A">
      <w:pPr>
        <w:pStyle w:val="IFTnormal"/>
      </w:pPr>
      <w:r>
        <w:t xml:space="preserve">En lo que respecta al comentario de que en caso de que el CS solicite una re-cotización de los trabajos especiales, la ORCI fija deberá indicar el plazo para que el AEP entregue la nueva cotización, </w:t>
      </w:r>
      <w:r w:rsidR="009A3554">
        <w:t>es de aclarar por el Instituto que</w:t>
      </w:r>
      <w:r>
        <w:t xml:space="preserve"> la ORCI vigente no contempla una re-</w:t>
      </w:r>
      <w:r w:rsidR="001B03C1">
        <w:t>cotización</w:t>
      </w:r>
      <w:r>
        <w:t xml:space="preserve"> en los servicios</w:t>
      </w:r>
      <w:r w:rsidR="009A3554">
        <w:t>, s</w:t>
      </w:r>
      <w:r>
        <w:t>in embargo</w:t>
      </w:r>
      <w:r w:rsidR="009A3554">
        <w:t>, la ORCI vigente</w:t>
      </w:r>
      <w:r>
        <w:t xml:space="preserve"> cuenta con un procedimiento en el que se </w:t>
      </w:r>
      <w:r w:rsidR="009A3554">
        <w:t>establece el</w:t>
      </w:r>
      <w:r>
        <w:t xml:space="preserve"> mecanismo de comunicación constante para acordar </w:t>
      </w:r>
      <w:r w:rsidR="001831DB">
        <w:t>la</w:t>
      </w:r>
      <w:r>
        <w:t xml:space="preserve"> entrega</w:t>
      </w:r>
      <w:r w:rsidR="001831DB">
        <w:t xml:space="preserve"> del servicio</w:t>
      </w:r>
      <w:r>
        <w:t>, parámetros de calidad, y otros temas relevantes</w:t>
      </w:r>
      <w:r w:rsidR="001831DB">
        <w:t xml:space="preserve"> como la cotización</w:t>
      </w:r>
      <w:r>
        <w:t>, donde y una vez firmada el Acta de Recepción de los trabajos, el AEP puede facturar los trabajos cotizados. Por lo que de existir alguna aclaración sobre la cotización de los servicios el CS puede utilizar este procedimiento para verificarl</w:t>
      </w:r>
      <w:r w:rsidR="001250D3">
        <w:t>a</w:t>
      </w:r>
      <w:r w:rsidR="001831DB">
        <w:t xml:space="preserve"> y en </w:t>
      </w:r>
      <w:r w:rsidR="001250D3">
        <w:t>su</w:t>
      </w:r>
      <w:r w:rsidR="001831DB">
        <w:t xml:space="preserve"> caso aceptar o rechazar esta.</w:t>
      </w:r>
    </w:p>
    <w:p w14:paraId="4B7BD014" w14:textId="14A2EFF6" w:rsidR="0094520A" w:rsidRDefault="0094520A" w:rsidP="0094520A">
      <w:pPr>
        <w:pStyle w:val="IFTnormal"/>
      </w:pPr>
      <w:r w:rsidRPr="002F7E6B">
        <w:t xml:space="preserve">Respecto al comentario de que se establezca la obligación al </w:t>
      </w:r>
      <w:r w:rsidR="007A1668" w:rsidRPr="002F7E6B">
        <w:t>AEP</w:t>
      </w:r>
      <w:r w:rsidRPr="002F7E6B">
        <w:t xml:space="preserve"> de demostrar técnicamente que no hay posibilidad de recuperación de espacio, se evaluará en términos de las Medida Fijas y su impacto en la Oferta. A partir de ello, se identificará si los ajustes propuestos por el CS ofrecen condiciones más favorables para la competencia, para la provisión de los servicios que la ORCI vigente, además mejoran el contenido y/o alcance de los servicios materia de la Oferta e Referencia vigente y no limitan la prestación de los servicios.  </w:t>
      </w:r>
    </w:p>
    <w:p w14:paraId="67EA66A1" w14:textId="1F33A23C" w:rsidR="0094520A" w:rsidRDefault="0094520A" w:rsidP="0094520A">
      <w:pPr>
        <w:pStyle w:val="IFTnormal"/>
      </w:pPr>
      <w:r>
        <w:t>Respecto al comentario de que se eliminen las actividades de acondicionamiento de infraestructura como parte del concepto de trabajo especial, se evaluará la modificación en la Oferta en el sentido que el AEP no podrá considerar dentro de este concepto aquellas actividades realizadas cuando constituyan mantenimientos preventivos o correctivos que debe realizar el AEP con el fin de otorgar certeza y certidumbre en la prestación de los servicios respecto a lo que podrá cobrar el AEP a los CS y que no se genere la posibilidad de cobros innecesarios que afecten las condiciones para una eficiente prestación de los servicios</w:t>
      </w:r>
      <w:r w:rsidR="008911DB">
        <w:t>.</w:t>
      </w:r>
    </w:p>
    <w:p w14:paraId="686EE84B" w14:textId="2A3FBBD1" w:rsidR="00A83AA9" w:rsidRPr="0029155D" w:rsidRDefault="0094520A" w:rsidP="00A83AA9">
      <w:pPr>
        <w:pStyle w:val="IFTnormal"/>
      </w:pPr>
      <w:r>
        <w:t xml:space="preserve">Respecto a que se establezca la obligación de enviar los planes de trabajo asociados a la ejecución del trabajo especial, se reitera que en la </w:t>
      </w:r>
      <w:r w:rsidR="00CC7FAB">
        <w:t>Oferta</w:t>
      </w:r>
      <w:r>
        <w:t xml:space="preserve"> vigente </w:t>
      </w:r>
      <w:r w:rsidR="00CC7FAB">
        <w:t>establece que</w:t>
      </w:r>
      <w:r>
        <w:t xml:space="preserve"> el AEP deberá entregar el Programa de Trabajo, así como la fecha de inicio y fin del mismo. Una vez concluidos los trabajos especiales, el AEP deberá proporcionar al CS o AS toda la información relativa al proyecto como isométricos, planos y toda la información necesaria para elaborar el Anteproyecto.</w:t>
      </w:r>
    </w:p>
    <w:p w14:paraId="686863D3" w14:textId="653000BB" w:rsidR="0029155D" w:rsidRPr="00984A58" w:rsidRDefault="0029155D" w:rsidP="00984A58">
      <w:pPr>
        <w:pStyle w:val="Ttulo2"/>
        <w:numPr>
          <w:ilvl w:val="0"/>
          <w:numId w:val="58"/>
        </w:numPr>
        <w:rPr>
          <w:rFonts w:ascii="ITC Avant Garde" w:hAnsi="ITC Avant Garde"/>
          <w:b/>
          <w:color w:val="auto"/>
          <w:sz w:val="24"/>
        </w:rPr>
      </w:pPr>
      <w:r w:rsidRPr="00984A58">
        <w:rPr>
          <w:rFonts w:ascii="ITC Avant Garde" w:hAnsi="ITC Avant Garde"/>
          <w:b/>
          <w:color w:val="auto"/>
          <w:sz w:val="24"/>
        </w:rPr>
        <w:t xml:space="preserve">Del anexo de la Propuesta de Oferta de Referencia “ANEXO 1 </w:t>
      </w:r>
      <w:r w:rsidR="00C60FDE" w:rsidRPr="00984A58">
        <w:rPr>
          <w:rFonts w:ascii="ITC Avant Garde" w:hAnsi="ITC Avant Garde"/>
          <w:b/>
          <w:color w:val="auto"/>
          <w:sz w:val="24"/>
        </w:rPr>
        <w:t>FORMATOS</w:t>
      </w:r>
      <w:r w:rsidRPr="00984A58">
        <w:rPr>
          <w:rFonts w:ascii="ITC Avant Garde" w:hAnsi="ITC Avant Garde"/>
          <w:b/>
          <w:color w:val="auto"/>
          <w:sz w:val="24"/>
        </w:rPr>
        <w:t>”.</w:t>
      </w:r>
    </w:p>
    <w:p w14:paraId="27966044" w14:textId="77777777" w:rsidR="008911DB" w:rsidRDefault="008911DB" w:rsidP="00690B3A">
      <w:pPr>
        <w:pStyle w:val="IFTnormal"/>
        <w:rPr>
          <w:b/>
        </w:rPr>
      </w:pPr>
    </w:p>
    <w:p w14:paraId="03A7D09A" w14:textId="2F5F89CE" w:rsidR="00A83AA9" w:rsidRDefault="00A83AA9" w:rsidP="00690B3A">
      <w:pPr>
        <w:pStyle w:val="IFTnormal"/>
      </w:pPr>
      <w:r w:rsidRPr="00A83AA9">
        <w:rPr>
          <w:b/>
        </w:rPr>
        <w:t>Resumen de comentarios de la Consulta Pública</w:t>
      </w:r>
    </w:p>
    <w:p w14:paraId="7B5A101C" w14:textId="1905840E" w:rsidR="00690B3A" w:rsidRPr="0029155D" w:rsidRDefault="00C60FDE" w:rsidP="00690B3A">
      <w:pPr>
        <w:pStyle w:val="IFTnormal"/>
      </w:pPr>
      <w:r>
        <w:t>Al respecto UC TELECOM solicitó</w:t>
      </w:r>
      <w:r w:rsidRPr="00C60FDE">
        <w:t xml:space="preserve"> que el formato de solicitud de Servicio de Acceso y Uso Compartido de Obra Civil, sea modificado para permitir la requisición conjunta de elementos de obra civil (aéreos y subterráneos), relacionados con una ruta específica</w:t>
      </w:r>
      <w:r>
        <w:t>.</w:t>
      </w:r>
    </w:p>
    <w:p w14:paraId="055CE5EE" w14:textId="0E9A09CB" w:rsidR="0045443D" w:rsidRPr="0029155D" w:rsidRDefault="0045443D" w:rsidP="00690B3A">
      <w:pPr>
        <w:pStyle w:val="IFTnormal"/>
      </w:pPr>
      <w:r w:rsidRPr="0045443D">
        <w:t>GRUPO TELEVISA solicitó que se estipule en la Oferta todos los requisitos que debe contener un anteproyecto</w:t>
      </w:r>
      <w:r>
        <w:t>.</w:t>
      </w:r>
    </w:p>
    <w:p w14:paraId="46766CC3" w14:textId="5AA7CA5D" w:rsidR="00A83AA9" w:rsidRDefault="00A83AA9" w:rsidP="00690B3A">
      <w:pPr>
        <w:pStyle w:val="IFTnormal"/>
        <w:rPr>
          <w:b/>
        </w:rPr>
      </w:pPr>
      <w:r w:rsidRPr="00A83AA9">
        <w:rPr>
          <w:b/>
        </w:rPr>
        <w:t>Respuesta del Instituto</w:t>
      </w:r>
    </w:p>
    <w:p w14:paraId="5EA9F302" w14:textId="4EBA44EE" w:rsidR="00FA19F8" w:rsidRDefault="00FA19F8" w:rsidP="00FA19F8">
      <w:pPr>
        <w:pStyle w:val="IFTnormal"/>
      </w:pPr>
      <w:r w:rsidRPr="00CA2703">
        <w:t xml:space="preserve">Respecto de los comentarios sobre la modificación para permitir la </w:t>
      </w:r>
      <w:r w:rsidR="00CA2703" w:rsidRPr="00CA2703">
        <w:t>solicitud</w:t>
      </w:r>
      <w:r w:rsidRPr="00CA2703">
        <w:t xml:space="preserve"> conjunta de elementos de obra civil (aéreos y subterráneos), relacionados con una ruta específica, se reitera que en la Oferta vigente se estipula que el AEP deberá estar en posibilidad de ofrecer Visita Técnica para solicitudes de acceso de infraestructura aérea, subterránea o mixtas. Dicho esto, es de recordar que el Formato de solicitud de Servicio de Acceso y Uso Compartido de Obra Civil contiene un apartado en el que se puede elegir el tipo de infraestructura, ya sea, aérea, subterránea o mixta. </w:t>
      </w:r>
    </w:p>
    <w:p w14:paraId="7C895827" w14:textId="1E3442FE" w:rsidR="00FA19F8" w:rsidRDefault="00FA19F8" w:rsidP="00FA19F8">
      <w:pPr>
        <w:pStyle w:val="IFTnormal"/>
      </w:pPr>
      <w:r>
        <w:t xml:space="preserve">Ahora bien, la Oferta vigente estipula que es en el módulo de consulta de información del SEG donde se desplegarán los distintos elementos disponibles los cuales deberán ser cuando menos a la información señalada en la sección V de la misma Oferta (ductos, postes, pozos, torres y sitios). Una vez seleccionado el elemento de interés se realizará la consulta deseada. En este momento el SEG desplegará y proporcionará la opción de descarga de la información solicitada por el CS o AS. Posteriormente, el CS presentará la solicitud de contratación en el formato correspondiente a través del SEG y en un plazo no mayor a un día hábil contado a partir de la recepción la solicitud del CS o AS, el AEP notificará el resultado. </w:t>
      </w:r>
      <w:r w:rsidR="002C6757">
        <w:t xml:space="preserve">Sin embargo, </w:t>
      </w:r>
      <w:r>
        <w:t>se evaluará la posibilidad de que se permita realizar el análisis tanto aéreo como subterráneo durante una misma Visita Técnica cuando una solicitud comprenda ambos casos</w:t>
      </w:r>
      <w:r w:rsidR="002C6757">
        <w:t>.</w:t>
      </w:r>
    </w:p>
    <w:p w14:paraId="3C07D192" w14:textId="366B1725" w:rsidR="00FA19F8" w:rsidRDefault="00FA19F8" w:rsidP="00FA19F8">
      <w:pPr>
        <w:pStyle w:val="IFTnormal"/>
      </w:pPr>
      <w:r>
        <w:t>Adicionalmente, con el fin de evitar condiciones diferentes a las que incurre el AEP respecto a sus propias operaciones, que generen a los CS costos innecesarios y/o que inhiban la contratación de los servicios mayoristas de compartición de infraestructura que pudieran afectar el proceso de competencia, se</w:t>
      </w:r>
      <w:r w:rsidR="00472E78">
        <w:t xml:space="preserve"> realizará un análisis para la eliminación de </w:t>
      </w:r>
      <w:r>
        <w:t>referencias en la Oferta de Referencia que obligue a los CS a realizar actividades innecesarias que les impida replicar al menos las mismas condiciones bajo las cuales opera el propio AEP.</w:t>
      </w:r>
    </w:p>
    <w:p w14:paraId="720B32D1" w14:textId="44F59783" w:rsidR="00FA19F8" w:rsidRPr="0029155D" w:rsidRDefault="00FA19F8" w:rsidP="00FA19F8">
      <w:pPr>
        <w:pStyle w:val="IFTnormal"/>
      </w:pPr>
      <w:r>
        <w:t>En lo que respecta al aumento de la especificidad en la Oferta sobre los requisitos que debe contener un anteproyecto</w:t>
      </w:r>
      <w:r w:rsidR="00821496">
        <w:t xml:space="preserve"> </w:t>
      </w:r>
      <w:r>
        <w:t xml:space="preserve">con base en la información disponible en el SEG, y/o como resultado de la Visita Técnica, de ser necesaria, </w:t>
      </w:r>
      <w:r w:rsidR="00821496">
        <w:t>este Instituto</w:t>
      </w:r>
      <w:r>
        <w:t xml:space="preserve"> </w:t>
      </w:r>
      <w:r w:rsidR="00472E78">
        <w:t xml:space="preserve">evaluará </w:t>
      </w:r>
      <w:r>
        <w:t xml:space="preserve">la </w:t>
      </w:r>
      <w:r w:rsidR="00FC5351">
        <w:t>incorporación</w:t>
      </w:r>
      <w:r>
        <w:t xml:space="preserve"> de un formato para determinar lo que se establecerá en el Anteproyecto, incluyendo las características y especificaciones técnicas de lo que se pretende instalar, conforme a la normatividad señalada en las Normas contenidas en el Anexo 2, así como demás aspectos técnicos y operativos para la correcta prestación de los servicios y los planos</w:t>
      </w:r>
      <w:r w:rsidR="00FC5351">
        <w:t>, entre otros</w:t>
      </w:r>
      <w:r>
        <w:t>.</w:t>
      </w:r>
    </w:p>
    <w:p w14:paraId="7A02597A" w14:textId="65CA99C7" w:rsidR="0029155D" w:rsidRPr="00984A58" w:rsidRDefault="0029155D" w:rsidP="00D4033D">
      <w:pPr>
        <w:pStyle w:val="Ttulo2"/>
        <w:numPr>
          <w:ilvl w:val="0"/>
          <w:numId w:val="58"/>
        </w:numPr>
        <w:jc w:val="both"/>
        <w:rPr>
          <w:rFonts w:ascii="ITC Avant Garde" w:hAnsi="ITC Avant Garde"/>
          <w:b/>
          <w:color w:val="auto"/>
          <w:sz w:val="24"/>
        </w:rPr>
      </w:pPr>
      <w:r w:rsidRPr="00984A58">
        <w:rPr>
          <w:rFonts w:ascii="ITC Avant Garde" w:hAnsi="ITC Avant Garde"/>
          <w:b/>
          <w:color w:val="auto"/>
          <w:sz w:val="24"/>
        </w:rPr>
        <w:t>Del anexo de la Propuesta de Oferta de Referencia “ANEXO 3 PARÁMETROS E INDICADORES DE LOS NIVELES DE CALIDAD Y PENAS CONVENCIONALES”.</w:t>
      </w:r>
    </w:p>
    <w:p w14:paraId="0E9D43CD" w14:textId="77777777" w:rsidR="008911DB" w:rsidRDefault="008911DB" w:rsidP="0058140D">
      <w:pPr>
        <w:pStyle w:val="IFTnormal"/>
        <w:rPr>
          <w:b/>
        </w:rPr>
      </w:pPr>
    </w:p>
    <w:p w14:paraId="5FD8652F" w14:textId="227066D3" w:rsidR="00A83AA9" w:rsidRDefault="00A83AA9" w:rsidP="0058140D">
      <w:pPr>
        <w:pStyle w:val="IFTnormal"/>
      </w:pPr>
      <w:r w:rsidRPr="00A83AA9">
        <w:rPr>
          <w:b/>
        </w:rPr>
        <w:t>Resumen de comentarios de la Consulta Pública</w:t>
      </w:r>
    </w:p>
    <w:p w14:paraId="287A4F72" w14:textId="68BB151B" w:rsidR="00B12C80" w:rsidRPr="0029155D" w:rsidRDefault="00EE3669" w:rsidP="0058140D">
      <w:pPr>
        <w:pStyle w:val="IFTnormal"/>
      </w:pPr>
      <w:r>
        <w:t>CANIETI</w:t>
      </w:r>
      <w:r w:rsidR="0058140D">
        <w:t xml:space="preserve"> propuso que se establezcan</w:t>
      </w:r>
      <w:r w:rsidR="0058140D" w:rsidRPr="0058140D">
        <w:t xml:space="preserve"> los acuerdos de nivel de servicio correspondientes en la ORCI fija.</w:t>
      </w:r>
    </w:p>
    <w:p w14:paraId="34FB11AA" w14:textId="13443EA0" w:rsidR="00A83AA9" w:rsidRDefault="00A83AA9" w:rsidP="0058140D">
      <w:pPr>
        <w:pStyle w:val="IFTnormal"/>
      </w:pPr>
      <w:r w:rsidRPr="00A83AA9">
        <w:rPr>
          <w:b/>
        </w:rPr>
        <w:t>Respuesta del Instituto</w:t>
      </w:r>
    </w:p>
    <w:p w14:paraId="3DE28DE3" w14:textId="00314868" w:rsidR="00A83AA9" w:rsidRPr="0029155D" w:rsidRDefault="00863556" w:rsidP="0058140D">
      <w:pPr>
        <w:pStyle w:val="IFTnormal"/>
      </w:pPr>
      <w:r w:rsidRPr="00863556">
        <w:t xml:space="preserve">Al respecto, el Instituto </w:t>
      </w:r>
      <w:r>
        <w:t>reitera que</w:t>
      </w:r>
      <w:r w:rsidRPr="00863556">
        <w:t xml:space="preserve"> para cada uno de los servicios que forman parte de la Oferta </w:t>
      </w:r>
      <w:r>
        <w:t>vigente</w:t>
      </w:r>
      <w:r w:rsidRPr="00863556">
        <w:t xml:space="preserve">, </w:t>
      </w:r>
      <w:r>
        <w:t>están</w:t>
      </w:r>
      <w:r w:rsidRPr="00863556">
        <w:t xml:space="preserve"> definidos los indicadores de nivel de servicio asociados al cumplimiento de sus propios procedimientos, los cuales se encuentran </w:t>
      </w:r>
      <w:r>
        <w:t>detallados en el Anexo 4 los “P</w:t>
      </w:r>
      <w:r w:rsidRPr="00863556">
        <w:t>arámetros e indicadores de los niveles de calidad y penas convencionales”. Sin embargo, este Instituto promoverá la mejor provisión del servicio de compartición de infraestructura pasiva mediante la revisión de los procedimient</w:t>
      </w:r>
      <w:r>
        <w:t>os y los parámetros de calidad</w:t>
      </w:r>
      <w:r w:rsidRPr="00863556">
        <w:t xml:space="preserve"> a la necesidad de promover que el AEP proporcione el Servicio de Acceso y Uso Compartido de Infraestructura Pasiva en condiciones satisfactorias de calidad, tal como lo establece la Medida VIGÉSIMA NOVENA de las Medidas Fijas. Así mismo tomando en cuenta la Medida CUADRAGÉSIMA PRIMERA de las Medidas Fijas donde se dispone que la Propuesta ORCI deberá reflejar, al menos, las condiciones equival</w:t>
      </w:r>
      <w:r w:rsidR="00F32415">
        <w:t>entes a las de la ORCI vigente.</w:t>
      </w:r>
    </w:p>
    <w:p w14:paraId="1DB388C1" w14:textId="68CA9668" w:rsidR="0029155D" w:rsidRPr="008911DB" w:rsidRDefault="0029155D" w:rsidP="00D4033D">
      <w:pPr>
        <w:pStyle w:val="Ttulo2"/>
        <w:numPr>
          <w:ilvl w:val="0"/>
          <w:numId w:val="58"/>
        </w:numPr>
        <w:jc w:val="both"/>
        <w:rPr>
          <w:rFonts w:ascii="ITC Avant Garde" w:hAnsi="ITC Avant Garde"/>
          <w:b/>
          <w:color w:val="auto"/>
          <w:sz w:val="24"/>
        </w:rPr>
      </w:pPr>
      <w:r w:rsidRPr="008911DB">
        <w:rPr>
          <w:rFonts w:ascii="ITC Avant Garde" w:hAnsi="ITC Avant Garde"/>
          <w:b/>
          <w:color w:val="auto"/>
          <w:sz w:val="24"/>
        </w:rPr>
        <w:t>Del anexo de la Propuesta de Oferta de Referencia “ANEXO 4 CONVENIO MARCO DE PRESTACIÓN DE SERVICIOS PARA EL ACCESO Y USO COMPARTIDO DE INFRAESTRUCTURA PASIVA”.</w:t>
      </w:r>
    </w:p>
    <w:p w14:paraId="74820373" w14:textId="77777777" w:rsidR="008911DB" w:rsidRDefault="008911DB" w:rsidP="00184AB9">
      <w:pPr>
        <w:pStyle w:val="IFTnormal"/>
        <w:rPr>
          <w:b/>
        </w:rPr>
      </w:pPr>
    </w:p>
    <w:p w14:paraId="274D6382" w14:textId="18F342F8" w:rsidR="00A83AA9" w:rsidRDefault="00A83AA9" w:rsidP="00184AB9">
      <w:pPr>
        <w:pStyle w:val="IFTnormal"/>
      </w:pPr>
      <w:r w:rsidRPr="00A83AA9">
        <w:rPr>
          <w:b/>
        </w:rPr>
        <w:t>Resumen de comentarios de la Consulta Pública</w:t>
      </w:r>
    </w:p>
    <w:p w14:paraId="3EF8F856" w14:textId="456DAA39" w:rsidR="00184AB9" w:rsidRDefault="00184AB9" w:rsidP="00184AB9">
      <w:pPr>
        <w:pStyle w:val="IFTnormal"/>
      </w:pPr>
      <w:r>
        <w:t xml:space="preserve">Al respecto AXTEL </w:t>
      </w:r>
      <w:r w:rsidR="002C07E6">
        <w:t>y CANIETI</w:t>
      </w:r>
      <w:r>
        <w:t xml:space="preserve"> </w:t>
      </w:r>
      <w:r w:rsidR="002C07E6">
        <w:t>solicitaron</w:t>
      </w:r>
      <w:r>
        <w:t xml:space="preserve"> modificar de la Cláusula Tercera, Precios y condiciones de pago, para que se indique que; TELMEX/TELNOR remitirá mensualmente mediante el Sistema Electrónico de Gestión y al domicilio del CS, y/o al correo electrónico señalado por éste, la(s) factura(s) a pagar por los servicios correspondientes en los términos de la ley fiscal aplicable. Las facturas serán emitidas conforme se establecen en el ANEXO A “Tarifas”, para todo el inventario de servicios que hayan sido instalados con anterioridad a la firma del presente Convenio, así como aquellos que se vayan añadiendo.</w:t>
      </w:r>
    </w:p>
    <w:p w14:paraId="207E99BB" w14:textId="2D3116AE" w:rsidR="002F06F7" w:rsidRDefault="003111E9" w:rsidP="00184AB9">
      <w:pPr>
        <w:pStyle w:val="IFTnormal"/>
      </w:pPr>
      <w:r>
        <w:t xml:space="preserve">Finalmente, </w:t>
      </w:r>
      <w:r w:rsidR="00741B23" w:rsidRPr="00741B23">
        <w:t>GRUPO TELEVISA solicitó que se elimine de la sección 8.1 de la Cláusula octava del Convenio Marco el hecho de que las obligaciones relacionadas con la prestación de los servicios son de medio o actividad y no de resultado.</w:t>
      </w:r>
    </w:p>
    <w:p w14:paraId="34282FAA" w14:textId="479AC10C" w:rsidR="00A83AA9" w:rsidRDefault="00A83AA9" w:rsidP="00184AB9">
      <w:pPr>
        <w:pStyle w:val="IFTnormal"/>
        <w:rPr>
          <w:b/>
        </w:rPr>
      </w:pPr>
      <w:r w:rsidRPr="00A83AA9">
        <w:rPr>
          <w:b/>
        </w:rPr>
        <w:t>Respuesta del Instituto</w:t>
      </w:r>
    </w:p>
    <w:p w14:paraId="16ECD6C2" w14:textId="562F2F70" w:rsidR="00DA5B99" w:rsidRDefault="00DA5B99" w:rsidP="00184AB9">
      <w:pPr>
        <w:pStyle w:val="IFTnormal"/>
      </w:pPr>
      <w:r>
        <w:t xml:space="preserve">Respecto a la modificación de la Cláusula Tercera </w:t>
      </w:r>
      <w:r w:rsidRPr="00DA5B99">
        <w:t>Precios y condiciones de pago</w:t>
      </w:r>
      <w:r>
        <w:t xml:space="preserve">, </w:t>
      </w:r>
      <w:r w:rsidRPr="00DA5B99">
        <w:t xml:space="preserve">este Instituto señala que </w:t>
      </w:r>
      <w:r>
        <w:t>lo</w:t>
      </w:r>
      <w:r w:rsidRPr="00DA5B99">
        <w:t xml:space="preserve"> presentado en la Propuesta de Ofe</w:t>
      </w:r>
      <w:r>
        <w:t>rta de Referencia se modificará</w:t>
      </w:r>
      <w:r w:rsidRPr="00DA5B99">
        <w:t xml:space="preserve"> en consistencia con los ya determinados por el Instituto en la ORCI vigente. Lo anterior en consistencia con lo señalado en la Medida CUADRAGÉSIMA PRIMERA de las Medidas Fijas para que se refleje, al menos, condiciones equivalentes a las autorizadas por el Instituto.</w:t>
      </w:r>
      <w:r w:rsidR="00F536BF">
        <w:t xml:space="preserve"> Adicionalmente se evaluará dejar claro la aplicación de las tarifas y demás condiciones para que apliquen </w:t>
      </w:r>
      <w:r w:rsidR="00F536BF" w:rsidRPr="00F536BF">
        <w:t>a partir de la entrada en vigor de la Oferta de Referencia,</w:t>
      </w:r>
      <w:r w:rsidR="00485854">
        <w:t xml:space="preserve"> con el fin de generar</w:t>
      </w:r>
      <w:r w:rsidR="00F536BF" w:rsidRPr="00F536BF">
        <w:t xml:space="preserve"> así certeza en la provisi</w:t>
      </w:r>
      <w:r w:rsidR="00485854">
        <w:t>ón de los servicios mayoristas</w:t>
      </w:r>
      <w:r w:rsidR="00F536BF" w:rsidRPr="00F536BF">
        <w:t>.</w:t>
      </w:r>
    </w:p>
    <w:p w14:paraId="0172A1B3" w14:textId="40383883" w:rsidR="001C1521" w:rsidRDefault="005C7129" w:rsidP="00184AB9">
      <w:pPr>
        <w:pStyle w:val="IFTnormal"/>
      </w:pPr>
      <w:r>
        <w:t xml:space="preserve">En relación al requerimiento de la eliminación en el texto </w:t>
      </w:r>
      <w:r w:rsidRPr="005C7129">
        <w:t>de la sección 8.1, el Instituto considera que lo señalado en la Propuesta de Oferta de Referencia deberá alinearse en los mismos términos con lo dispuesto en la ORCI vigente. En consecuencia, se considera que el alcance de dicha cláusula autorizada por el Instituto resulta adecuado en términos de reflejar las responsabilidades que permitan la continuidad y suspensión del servicio.</w:t>
      </w:r>
    </w:p>
    <w:p w14:paraId="0D289C4A" w14:textId="4BD7C48C" w:rsidR="002F06F7" w:rsidRPr="00984A58" w:rsidRDefault="002F06F7" w:rsidP="00D4033D">
      <w:pPr>
        <w:pStyle w:val="Ttulo2"/>
        <w:numPr>
          <w:ilvl w:val="0"/>
          <w:numId w:val="58"/>
        </w:numPr>
        <w:jc w:val="both"/>
        <w:rPr>
          <w:rFonts w:ascii="ITC Avant Garde" w:hAnsi="ITC Avant Garde"/>
          <w:b/>
          <w:color w:val="auto"/>
          <w:sz w:val="24"/>
        </w:rPr>
      </w:pPr>
      <w:r w:rsidRPr="00984A58">
        <w:rPr>
          <w:rFonts w:ascii="ITC Avant Garde" w:hAnsi="ITC Avant Garde"/>
          <w:b/>
          <w:color w:val="auto"/>
          <w:sz w:val="24"/>
        </w:rPr>
        <w:t>Del anexo de la Propuesta de Oferta de Referencia “ANEXO A TARIFAS”.</w:t>
      </w:r>
    </w:p>
    <w:p w14:paraId="029BC0A1" w14:textId="77777777" w:rsidR="008911DB" w:rsidRDefault="008911DB" w:rsidP="00184AB9">
      <w:pPr>
        <w:pStyle w:val="IFTnormal"/>
        <w:rPr>
          <w:b/>
        </w:rPr>
      </w:pPr>
    </w:p>
    <w:p w14:paraId="6FEA19B5" w14:textId="36B9806A" w:rsidR="00A83AA9" w:rsidRDefault="00A83AA9" w:rsidP="00184AB9">
      <w:pPr>
        <w:pStyle w:val="IFTnormal"/>
      </w:pPr>
      <w:r w:rsidRPr="00A83AA9">
        <w:rPr>
          <w:b/>
        </w:rPr>
        <w:t>Resumen de comentarios de la Consulta Pública</w:t>
      </w:r>
    </w:p>
    <w:p w14:paraId="3F4E9C92" w14:textId="51525A84" w:rsidR="005709AB" w:rsidRDefault="005709AB" w:rsidP="00184AB9">
      <w:pPr>
        <w:pStyle w:val="IFTnormal"/>
      </w:pPr>
      <w:r>
        <w:t xml:space="preserve">El Instituto recibió manifestaciones de la mayor parte de los participantes en la Consulta Pública en el sentido </w:t>
      </w:r>
      <w:r w:rsidRPr="005709AB">
        <w:t>de la tendencia del preponderante a someter sus propuestas de tarifas en niveles sistemáticamente superiores a los vigentes, con cambios porcentuales en relación a las tarifas vigentes que presentan gran varianza entre servicios, y sin justificación aparente en los modelos de costos para el cálculo de las mismas</w:t>
      </w:r>
      <w:r>
        <w:t>.</w:t>
      </w:r>
    </w:p>
    <w:p w14:paraId="2A21B257" w14:textId="32C34C1B" w:rsidR="00777ECE" w:rsidRDefault="005709AB" w:rsidP="00184AB9">
      <w:pPr>
        <w:pStyle w:val="IFTnormal"/>
      </w:pPr>
      <w:r>
        <w:t xml:space="preserve">En particular, </w:t>
      </w:r>
      <w:r w:rsidR="0038787C">
        <w:t xml:space="preserve">AXTEL </w:t>
      </w:r>
      <w:r w:rsidR="00153F22">
        <w:t xml:space="preserve">y </w:t>
      </w:r>
      <w:r w:rsidR="00153F22" w:rsidRPr="00BF60CB">
        <w:t>CANIETI</w:t>
      </w:r>
      <w:r w:rsidR="00153F22">
        <w:t xml:space="preserve"> indicaron</w:t>
      </w:r>
      <w:r w:rsidR="002F06F7">
        <w:t xml:space="preserve"> que para el numeral </w:t>
      </w:r>
      <w:r w:rsidR="002F06F7" w:rsidRPr="002F06F7">
        <w:t>l. Servicio de Acceso</w:t>
      </w:r>
      <w:r w:rsidR="002F06F7">
        <w:t xml:space="preserve"> y Uso compartido de Obra Civil, </w:t>
      </w:r>
      <w:r w:rsidR="00C511DE">
        <w:t xml:space="preserve">la </w:t>
      </w:r>
      <w:r w:rsidR="002F06F7">
        <w:t>propuesta de</w:t>
      </w:r>
      <w:r w:rsidR="00C511DE">
        <w:t>l AEP</w:t>
      </w:r>
      <w:r w:rsidR="002F06F7" w:rsidDel="00C511DE">
        <w:t xml:space="preserve"> </w:t>
      </w:r>
      <w:r w:rsidR="002F06F7">
        <w:t xml:space="preserve">retoma las condiciones de cobro de la </w:t>
      </w:r>
      <w:r w:rsidR="00C511DE">
        <w:t>O</w:t>
      </w:r>
      <w:r w:rsidR="002F06F7">
        <w:t xml:space="preserve">ferta 2017, con lo </w:t>
      </w:r>
      <w:r w:rsidR="00C511DE">
        <w:t>que</w:t>
      </w:r>
      <w:r w:rsidR="002F06F7">
        <w:t xml:space="preserve"> no </w:t>
      </w:r>
      <w:r w:rsidR="00C511DE">
        <w:t>solamente</w:t>
      </w:r>
      <w:r w:rsidR="002F06F7">
        <w:t xml:space="preserve"> no </w:t>
      </w:r>
      <w:r w:rsidR="00217E07">
        <w:t>ofrece</w:t>
      </w:r>
      <w:r w:rsidR="002F06F7">
        <w:t xml:space="preserve"> condiciones equivalentes a la</w:t>
      </w:r>
      <w:r w:rsidR="00C511DE">
        <w:t>s</w:t>
      </w:r>
      <w:r w:rsidR="002F06F7">
        <w:t xml:space="preserve"> vigente</w:t>
      </w:r>
      <w:r w:rsidR="00C511DE">
        <w:t xml:space="preserve">s, sino que representa un retroceso en el proceso de modificaciones que ha realizado el Instituto </w:t>
      </w:r>
      <w:r w:rsidR="00777ECE">
        <w:t>en</w:t>
      </w:r>
      <w:r w:rsidR="00C511DE">
        <w:t xml:space="preserve"> </w:t>
      </w:r>
      <w:r w:rsidR="00F35E7F">
        <w:t>el cobro</w:t>
      </w:r>
      <w:r w:rsidR="00C511DE">
        <w:t xml:space="preserve"> de </w:t>
      </w:r>
      <w:r w:rsidR="00F35E7F">
        <w:t xml:space="preserve">las contraprestaciones, debido al uso de diferentes factores de cálculo, clasificaciones de postes, y límites al alojamiento de cables </w:t>
      </w:r>
      <w:r w:rsidR="000B5422">
        <w:t xml:space="preserve">de fibra óptica </w:t>
      </w:r>
      <w:r w:rsidR="00F35E7F">
        <w:t>o pesos adicionales en los postes, para</w:t>
      </w:r>
      <w:r w:rsidR="00C511DE">
        <w:t xml:space="preserve"> la </w:t>
      </w:r>
      <w:r w:rsidR="00F35E7F">
        <w:t>determinación de las tarifas</w:t>
      </w:r>
      <w:r w:rsidR="0038787C">
        <w:t xml:space="preserve"> </w:t>
      </w:r>
    </w:p>
    <w:p w14:paraId="09C7249D" w14:textId="769B3633" w:rsidR="00B12C80" w:rsidRDefault="0038787C" w:rsidP="00897D5C">
      <w:pPr>
        <w:pStyle w:val="IFTnormal"/>
      </w:pPr>
      <w:r>
        <w:t>As</w:t>
      </w:r>
      <w:r w:rsidR="005709AB">
        <w:t>i</w:t>
      </w:r>
      <w:r>
        <w:t xml:space="preserve">mismo, indicaron </w:t>
      </w:r>
      <w:r w:rsidR="00777ECE">
        <w:t>ambos participantes</w:t>
      </w:r>
      <w:r>
        <w:t xml:space="preserve"> que el AEP incluyó </w:t>
      </w:r>
      <w:r w:rsidR="00CB7567">
        <w:t xml:space="preserve">en su propuesta </w:t>
      </w:r>
      <w:r w:rsidR="000B5422">
        <w:t>incrementos injustificados a las</w:t>
      </w:r>
      <w:r>
        <w:t xml:space="preserve"> </w:t>
      </w:r>
      <w:r w:rsidRPr="0038787C">
        <w:t xml:space="preserve">tarifas </w:t>
      </w:r>
      <w:r w:rsidR="000B5422">
        <w:t xml:space="preserve">que ha resuelto el Instituto para </w:t>
      </w:r>
      <w:r w:rsidR="00BF2EE5">
        <w:t xml:space="preserve">las </w:t>
      </w:r>
      <w:r w:rsidR="000B5422">
        <w:t>A</w:t>
      </w:r>
      <w:r w:rsidR="00BF2EE5">
        <w:t xml:space="preserve">ctividades de </w:t>
      </w:r>
      <w:r w:rsidR="000B5422">
        <w:t>A</w:t>
      </w:r>
      <w:r w:rsidR="00BF2EE5">
        <w:t>poyo</w:t>
      </w:r>
      <w:r w:rsidR="000B5422">
        <w:t xml:space="preserve">, </w:t>
      </w:r>
      <w:r w:rsidR="00CB7567">
        <w:t>además de solicitar la eliminación d</w:t>
      </w:r>
      <w:r w:rsidR="000B5422">
        <w:t>el cobro de penalizaciones</w:t>
      </w:r>
      <w:r w:rsidR="00CB7567">
        <w:t>, por excesivas,</w:t>
      </w:r>
      <w:r w:rsidR="000B5422">
        <w:t xml:space="preserve"> y </w:t>
      </w:r>
      <w:r w:rsidR="00CB7567">
        <w:t>del correspondiente cargo</w:t>
      </w:r>
      <w:r w:rsidR="000B5422">
        <w:t xml:space="preserve"> por la elaboración de isométricos</w:t>
      </w:r>
      <w:r w:rsidR="00CB7567">
        <w:t xml:space="preserve"> y</w:t>
      </w:r>
      <w:r w:rsidR="001E0747">
        <w:t xml:space="preserve"> Análisis de Factibilidad, </w:t>
      </w:r>
      <w:r w:rsidR="00CB7567">
        <w:t>por constituir actividades de tipo administrativo que no requieren, a decir de los participantes, de ningún trabajo específico</w:t>
      </w:r>
      <w:r w:rsidR="00897D5C">
        <w:t>.</w:t>
      </w:r>
    </w:p>
    <w:p w14:paraId="176AEE60" w14:textId="141B4E20" w:rsidR="00897D5C" w:rsidRDefault="00897D5C" w:rsidP="00747A2E">
      <w:pPr>
        <w:pStyle w:val="IFTnormal"/>
      </w:pPr>
      <w:r>
        <w:t>Por su parte Mega Cable</w:t>
      </w:r>
      <w:r w:rsidR="00E56FF6">
        <w:t>,</w:t>
      </w:r>
      <w:r w:rsidR="003F45E5">
        <w:t xml:space="preserve"> CANIETI y </w:t>
      </w:r>
      <w:r w:rsidR="00E56FF6">
        <w:t>TELEFONICA</w:t>
      </w:r>
      <w:r w:rsidR="003F45E5">
        <w:t xml:space="preserve"> indicaron</w:t>
      </w:r>
      <w:r>
        <w:t xml:space="preserve"> que </w:t>
      </w:r>
      <w:r w:rsidR="009D3C9C">
        <w:t>la</w:t>
      </w:r>
      <w:r>
        <w:t xml:space="preserve"> propuesta de Oferta </w:t>
      </w:r>
      <w:r w:rsidR="00706F9B">
        <w:t xml:space="preserve">del preponderante </w:t>
      </w:r>
      <w:r>
        <w:t>contempla tarifas sustancialmente elevadas</w:t>
      </w:r>
      <w:r w:rsidR="00706F9B">
        <w:t>, por encima de las tarifas de elementos equivalentes de la CFE</w:t>
      </w:r>
      <w:r w:rsidR="001E3AB3">
        <w:t xml:space="preserve"> como señalado por uno de los participantes</w:t>
      </w:r>
      <w:r w:rsidR="00706F9B">
        <w:t>,</w:t>
      </w:r>
      <w:r>
        <w:t xml:space="preserve"> </w:t>
      </w:r>
      <w:r w:rsidR="00747A2E">
        <w:t xml:space="preserve">por lo que </w:t>
      </w:r>
      <w:r w:rsidR="00747A2E" w:rsidRPr="00747A2E">
        <w:t>sugiere</w:t>
      </w:r>
      <w:r w:rsidR="00747A2E">
        <w:t>n</w:t>
      </w:r>
      <w:r w:rsidR="00747A2E" w:rsidRPr="00747A2E">
        <w:t xml:space="preserve"> que el IFT solicite al AEP una lista pormenorizada de los recursos, insumos, materiales o elementos susceptibles de requerirse y determine, conforme a precios de mercado o comerciales los costos unitarios de los mismos.</w:t>
      </w:r>
      <w:r w:rsidR="00747A2E">
        <w:t xml:space="preserve"> </w:t>
      </w:r>
      <w:r w:rsidR="00B02E26">
        <w:t>Asimismo,</w:t>
      </w:r>
      <w:r w:rsidR="00747A2E">
        <w:t xml:space="preserve"> señalaron que la propuesta de Oferta solo contempla en las tarifas el puerto de 1 Gbps y no los STM-16, STM-64, 10 GE y 100 GE </w:t>
      </w:r>
      <w:r w:rsidR="00706F9B">
        <w:t>y</w:t>
      </w:r>
      <w:r w:rsidR="00747A2E">
        <w:t xml:space="preserve"> que el anexo de tarifas </w:t>
      </w:r>
      <w:r w:rsidR="00747A2E" w:rsidRPr="00747A2E">
        <w:t xml:space="preserve">carece de un monto de contraprestación </w:t>
      </w:r>
      <w:r w:rsidR="00747A2E">
        <w:t xml:space="preserve">para la </w:t>
      </w:r>
      <w:r w:rsidR="00747A2E" w:rsidRPr="00747A2E">
        <w:t>Renta de Fibra Obscura</w:t>
      </w:r>
      <w:r w:rsidR="00747A2E">
        <w:t xml:space="preserve">, </w:t>
      </w:r>
      <w:r w:rsidR="00747A2E" w:rsidRPr="00747A2E">
        <w:t>cuando deberían existir tanto los montos no recurrentes (en caso de haberlos) como el monto por contraprestación mensual por hilo de fibra obscura.</w:t>
      </w:r>
      <w:r w:rsidR="00A86CE5">
        <w:t xml:space="preserve">  Adicionalmente, se incluye como manifestación expresa </w:t>
      </w:r>
      <w:r w:rsidR="00A86CE5" w:rsidRPr="00A86CE5">
        <w:t xml:space="preserve">respecto a </w:t>
      </w:r>
      <w:r w:rsidR="00A86CE5">
        <w:t>las a</w:t>
      </w:r>
      <w:r w:rsidR="00A86CE5" w:rsidRPr="00A86CE5">
        <w:t xml:space="preserve">ctividades </w:t>
      </w:r>
      <w:r w:rsidR="00A86CE5">
        <w:t>de Visitas de verificación, A</w:t>
      </w:r>
      <w:r w:rsidR="00A86CE5" w:rsidRPr="00A86CE5">
        <w:t xml:space="preserve">nálisis de factibilidad, </w:t>
      </w:r>
      <w:r w:rsidR="00A86CE5">
        <w:t xml:space="preserve">y </w:t>
      </w:r>
      <w:r w:rsidR="00A86CE5" w:rsidRPr="00A86CE5">
        <w:t>Trabajos especiales</w:t>
      </w:r>
      <w:r w:rsidR="00A86CE5">
        <w:t>, la necesidad de que el Instituto cuente con</w:t>
      </w:r>
      <w:r w:rsidR="00A86CE5" w:rsidRPr="00A86CE5">
        <w:t xml:space="preserve"> mayor información y claridad sobre criterios de aplicación, mayor especificidad y estandarización de los conceptos requeridos,  así como de los costos que estos generan, </w:t>
      </w:r>
      <w:r w:rsidR="00A86CE5">
        <w:t>a fin de evitar</w:t>
      </w:r>
      <w:r w:rsidR="00A86CE5" w:rsidRPr="00A86CE5">
        <w:t xml:space="preserve"> que el AEP las imponga de manera discrecional con fines de retrasar o encarecer la contratación del servicio, </w:t>
      </w:r>
      <w:r w:rsidR="00A86CE5">
        <w:t>y los</w:t>
      </w:r>
      <w:r w:rsidR="00A86CE5" w:rsidRPr="00A86CE5">
        <w:t xml:space="preserve"> efecto</w:t>
      </w:r>
      <w:r w:rsidR="00A86CE5">
        <w:t>s</w:t>
      </w:r>
      <w:r w:rsidR="00A86CE5" w:rsidRPr="00A86CE5">
        <w:t xml:space="preserve"> </w:t>
      </w:r>
      <w:r w:rsidR="00A86CE5">
        <w:t>naturales que a su vez generan como</w:t>
      </w:r>
      <w:r w:rsidR="00A86CE5" w:rsidRPr="00A86CE5">
        <w:t xml:space="preserve"> barrera a la competencia.</w:t>
      </w:r>
    </w:p>
    <w:p w14:paraId="2EAEC057" w14:textId="10AF6699" w:rsidR="005C0076" w:rsidRDefault="00FE42E7" w:rsidP="0034426A">
      <w:pPr>
        <w:pStyle w:val="IFTnormal"/>
      </w:pPr>
      <w:r>
        <w:t xml:space="preserve">Por lo que respecta a </w:t>
      </w:r>
      <w:r w:rsidR="00741B23">
        <w:t xml:space="preserve">GRUPO TELEVISA </w:t>
      </w:r>
      <w:r>
        <w:t xml:space="preserve">este </w:t>
      </w:r>
      <w:r w:rsidR="00BB6C94">
        <w:t>se manifestó únicamente en temas relacionados como el establecimiento de</w:t>
      </w:r>
      <w:r w:rsidR="00741B23">
        <w:t xml:space="preserve"> un esquema de penalidades que aplique en caso de que el </w:t>
      </w:r>
      <w:r w:rsidR="000E5E2F">
        <w:t>AEP</w:t>
      </w:r>
      <w:r w:rsidR="00741B23">
        <w:t xml:space="preserve"> utilice argumentos no definidos en la Oferta para bloquear o retrasar las </w:t>
      </w:r>
      <w:r w:rsidR="00BB6C94">
        <w:t>V</w:t>
      </w:r>
      <w:r w:rsidR="00741B23">
        <w:t>isitas técnicas programadas.</w:t>
      </w:r>
      <w:r w:rsidR="00BB6C94">
        <w:t xml:space="preserve">  Las manifestaciones de este participante de la Consulta Pública, incluyeron también la solicitud de que</w:t>
      </w:r>
      <w:r w:rsidR="00BB6C94" w:rsidRPr="00BB6C94">
        <w:t xml:space="preserve"> se incluya</w:t>
      </w:r>
      <w:r w:rsidR="008C0AAC">
        <w:t>n en la oferta de referencia penalizaciones en función de la facturación del servicio solicitado si no se envían las cotizaciones desglosadas o no se cumple con los servicios;</w:t>
      </w:r>
      <w:r w:rsidR="00BB6C94" w:rsidRPr="00BB6C94">
        <w:t xml:space="preserve"> un cobro para el caso de que se genere una Visita Técnica fallida o infructuosa como consecuencia de la falta de actualización en la información del SEG  de modo que el AEP sea el acreedor del cargo equivalente al costo de la Visita Técnica establecido en el Anexo A Tarifas</w:t>
      </w:r>
      <w:r w:rsidR="008C0AAC">
        <w:t xml:space="preserve">; </w:t>
      </w:r>
      <w:r w:rsidR="00BB6C94">
        <w:t xml:space="preserve"> y la revisión de</w:t>
      </w:r>
      <w:r w:rsidR="00743FC6">
        <w:t xml:space="preserve"> la m</w:t>
      </w:r>
      <w:r w:rsidR="00743FC6" w:rsidRPr="00743FC6">
        <w:t xml:space="preserve">etodología de cobro </w:t>
      </w:r>
      <w:r w:rsidR="00743FC6">
        <w:t>para el análisis de factibilidad utilizada por</w:t>
      </w:r>
      <w:r w:rsidR="00743FC6" w:rsidRPr="00743FC6">
        <w:t xml:space="preserve"> el </w:t>
      </w:r>
      <w:r w:rsidR="00743FC6">
        <w:t xml:space="preserve">preponderante, por el hecho de cobrar </w:t>
      </w:r>
      <w:r w:rsidR="00743FC6" w:rsidRPr="00743FC6">
        <w:t>los servicios de visita técnica por kilómetro</w:t>
      </w:r>
      <w:r w:rsidR="00BB6C94">
        <w:t>.</w:t>
      </w:r>
    </w:p>
    <w:p w14:paraId="6AC3D0F0" w14:textId="55ADEBD8" w:rsidR="005C0076" w:rsidRDefault="00A83AA9" w:rsidP="0034426A">
      <w:pPr>
        <w:pStyle w:val="IFTnormal"/>
        <w:rPr>
          <w:b/>
        </w:rPr>
      </w:pPr>
      <w:r w:rsidRPr="00A83AA9">
        <w:rPr>
          <w:b/>
        </w:rPr>
        <w:t>Respuesta del Instituto</w:t>
      </w:r>
    </w:p>
    <w:p w14:paraId="16E17EE5" w14:textId="54B8AEEC" w:rsidR="003D690A" w:rsidRDefault="000B5422" w:rsidP="00F35E7F">
      <w:pPr>
        <w:pStyle w:val="IFTnormal"/>
      </w:pPr>
      <w:r>
        <w:t xml:space="preserve">El Instituto considera procedente revisar </w:t>
      </w:r>
      <w:r w:rsidR="003D690A">
        <w:t>la</w:t>
      </w:r>
      <w:r w:rsidR="00D3506D">
        <w:t xml:space="preserve"> estructura tarifaria, los niveles de las tarifa</w:t>
      </w:r>
      <w:r w:rsidR="003D690A">
        <w:t xml:space="preserve">s </w:t>
      </w:r>
      <w:r w:rsidR="00D3506D">
        <w:t xml:space="preserve">y las </w:t>
      </w:r>
      <w:r w:rsidR="003D690A">
        <w:t>condiciones que el preponderante presenta en su propuesta a la luz de las modificaciones que ha realizado el Instituto al respecto</w:t>
      </w:r>
      <w:r w:rsidR="00D3506D">
        <w:t xml:space="preserve"> desde 2017</w:t>
      </w:r>
      <w:r w:rsidR="003D690A">
        <w:t xml:space="preserve">, y a la luz de </w:t>
      </w:r>
      <w:r w:rsidR="00CC65B6" w:rsidRPr="00986C26">
        <w:t>la Medida TRIGÉSIMA NOVENA de las Medidas Fijas</w:t>
      </w:r>
      <w:r w:rsidR="003D690A">
        <w:t>, que señalan la</w:t>
      </w:r>
      <w:r w:rsidR="00CC65B6" w:rsidRPr="00986C26">
        <w:t xml:space="preserve"> determina</w:t>
      </w:r>
      <w:r w:rsidR="003D690A">
        <w:t>ción de tarifas con base en</w:t>
      </w:r>
      <w:r w:rsidR="00CC65B6" w:rsidRPr="00986C26">
        <w:t xml:space="preserve"> una metodología de costo incrementales promedio de largo plazo</w:t>
      </w:r>
      <w:r w:rsidR="00162B8A">
        <w:t>, a fin de favorecer la promoción de mejores condiciones a la competencia en el sector</w:t>
      </w:r>
      <w:r w:rsidR="00CC65B6" w:rsidRPr="00986C26">
        <w:t>.</w:t>
      </w:r>
      <w:r w:rsidR="003663AF">
        <w:t xml:space="preserve"> </w:t>
      </w:r>
    </w:p>
    <w:p w14:paraId="1050CBB4" w14:textId="01FD2466" w:rsidR="006A2E0D" w:rsidRDefault="00CC65B6" w:rsidP="0034426A">
      <w:pPr>
        <w:pStyle w:val="IFTnormal"/>
      </w:pPr>
      <w:r w:rsidRPr="00680015">
        <w:t>Ahora bien, por lo que h</w:t>
      </w:r>
      <w:r w:rsidR="006D7ED7">
        <w:t xml:space="preserve">ace a los comentarios </w:t>
      </w:r>
      <w:r w:rsidR="00394209">
        <w:t xml:space="preserve">de los participantes sobre los elementos omitidos tanto de la estructura tarifaria como de algunos servicios no incluidos en la propuesta del preponderante, </w:t>
      </w:r>
      <w:r w:rsidR="008C29DB">
        <w:t xml:space="preserve">así como </w:t>
      </w:r>
      <w:r w:rsidR="005950AE">
        <w:t>sobre</w:t>
      </w:r>
      <w:r w:rsidR="008C29DB">
        <w:t xml:space="preserve"> los conceptos considerados en la determinación de las actividades de servicios auxiliares y trabajos especiales, el Instituto </w:t>
      </w:r>
      <w:r w:rsidR="00472E78">
        <w:t xml:space="preserve">evaluará </w:t>
      </w:r>
      <w:r w:rsidR="008C29DB">
        <w:t xml:space="preserve">la inclusión de todos los servicios en </w:t>
      </w:r>
      <w:r w:rsidR="005950AE">
        <w:t xml:space="preserve">el Anexo </w:t>
      </w:r>
      <w:r w:rsidR="008C29DB">
        <w:t xml:space="preserve">de tarifas </w:t>
      </w:r>
      <w:r w:rsidR="005950AE">
        <w:t xml:space="preserve">de la Oferta de referencia que resuelva </w:t>
      </w:r>
      <w:r w:rsidR="008C29DB">
        <w:t xml:space="preserve">para otorgar certidumbre a los </w:t>
      </w:r>
      <w:r w:rsidR="00511F1B">
        <w:t>concesionarios</w:t>
      </w:r>
      <w:r w:rsidR="005950AE">
        <w:t xml:space="preserve"> usuarios de servicios mayoristas</w:t>
      </w:r>
      <w:r w:rsidR="00511F1B">
        <w:t xml:space="preserve">. </w:t>
      </w:r>
    </w:p>
    <w:p w14:paraId="2A3CE154" w14:textId="1C4702A2" w:rsidR="0008523C" w:rsidRDefault="00511F1B" w:rsidP="002331E9">
      <w:pPr>
        <w:pStyle w:val="IFTnormal"/>
      </w:pPr>
      <w:r>
        <w:t>Específicamente</w:t>
      </w:r>
      <w:r w:rsidR="008C29DB">
        <w:t>,</w:t>
      </w:r>
      <w:r w:rsidR="00394209">
        <w:t xml:space="preserve"> </w:t>
      </w:r>
      <w:r w:rsidR="006D7ED7">
        <w:t xml:space="preserve">respecto al </w:t>
      </w:r>
      <w:r w:rsidR="00F606CF">
        <w:t>A</w:t>
      </w:r>
      <w:r w:rsidR="006D7ED7">
        <w:t>nálisis de factibilidad</w:t>
      </w:r>
      <w:r w:rsidR="00CC65B6" w:rsidRPr="00680015">
        <w:t xml:space="preserve">, el Instituto </w:t>
      </w:r>
      <w:r w:rsidR="00F606CF">
        <w:t>considera procedente considerar en</w:t>
      </w:r>
      <w:r w:rsidR="00CC65B6" w:rsidRPr="00680015">
        <w:t xml:space="preserve"> la </w:t>
      </w:r>
      <w:r w:rsidR="00CC65B6">
        <w:t>Oferta de Referencia que autorice</w:t>
      </w:r>
      <w:r w:rsidR="00CC65B6" w:rsidRPr="00680015">
        <w:t xml:space="preserve"> </w:t>
      </w:r>
      <w:r w:rsidR="00F606CF">
        <w:t>toda la información disponible sobre los criterios de determinación de</w:t>
      </w:r>
      <w:r w:rsidR="006D7ED7">
        <w:t xml:space="preserve"> esta actividad</w:t>
      </w:r>
      <w:r w:rsidR="00CC65B6" w:rsidRPr="00680015">
        <w:t xml:space="preserve"> </w:t>
      </w:r>
      <w:r w:rsidR="00F606CF">
        <w:t>para la determinación de las contraprestaciones aplicables</w:t>
      </w:r>
      <w:r w:rsidR="00CC65B6" w:rsidRPr="00680015">
        <w:t>.</w:t>
      </w:r>
      <w:r w:rsidR="00FD34E9">
        <w:t xml:space="preserve">  </w:t>
      </w:r>
      <w:r w:rsidR="006A2E0D">
        <w:t xml:space="preserve">Este es el caso de los elementos de </w:t>
      </w:r>
      <w:r w:rsidR="002331E9" w:rsidRPr="002331E9">
        <w:t xml:space="preserve">cálculo </w:t>
      </w:r>
      <w:r w:rsidR="006A2E0D">
        <w:t xml:space="preserve">señalados específicamente </w:t>
      </w:r>
      <w:r w:rsidR="002331E9" w:rsidRPr="002331E9">
        <w:t xml:space="preserve">para determinar </w:t>
      </w:r>
      <w:r w:rsidR="006A2E0D">
        <w:t>las tarifas de</w:t>
      </w:r>
      <w:r w:rsidR="002331E9" w:rsidRPr="002331E9">
        <w:t xml:space="preserve"> postes</w:t>
      </w:r>
      <w:r w:rsidR="006A2E0D">
        <w:t xml:space="preserve">, </w:t>
      </w:r>
      <w:r w:rsidR="002331E9" w:rsidRPr="002331E9">
        <w:t xml:space="preserve">limitar el alojamiento </w:t>
      </w:r>
      <w:r w:rsidR="006A2E0D">
        <w:t>de</w:t>
      </w:r>
      <w:r w:rsidR="002331E9">
        <w:t xml:space="preserve"> cable</w:t>
      </w:r>
      <w:r w:rsidR="006A2E0D">
        <w:t xml:space="preserve">, para los que se tomará en consideración que la oferta </w:t>
      </w:r>
      <w:r w:rsidR="002331E9">
        <w:t>debe reflejar</w:t>
      </w:r>
      <w:r w:rsidR="002331E9" w:rsidRPr="00DA5B99">
        <w:t>, al menos, condiciones equivalentes a l</w:t>
      </w:r>
      <w:r w:rsidR="002331E9">
        <w:t xml:space="preserve">as autorizadas </w:t>
      </w:r>
      <w:r w:rsidR="006A2E0D">
        <w:t xml:space="preserve">previamente </w:t>
      </w:r>
      <w:r w:rsidR="002331E9">
        <w:t>por</w:t>
      </w:r>
      <w:r w:rsidR="00461ADE">
        <w:t xml:space="preserve"> el Instituto</w:t>
      </w:r>
      <w:r w:rsidR="006A2E0D">
        <w:t>.  El resto de las recomendaciones específicas manifestadas por los participantes de la Consu</w:t>
      </w:r>
      <w:r w:rsidR="006A2E0D" w:rsidRPr="002705C3">
        <w:t>lta en cuanto a penalizaciones y nuevas consideraciones para el cobro de actividades como las visitas técnicas cuando éstas resultan fallidas o los análisis de factibilidad</w:t>
      </w:r>
      <w:r w:rsidR="00461ADE">
        <w:t xml:space="preserve">, </w:t>
      </w:r>
      <w:r w:rsidR="006A2E0D" w:rsidRPr="002705C3">
        <w:t xml:space="preserve">serán </w:t>
      </w:r>
      <w:r w:rsidR="00461ADE" w:rsidRPr="002705C3">
        <w:t>e</w:t>
      </w:r>
      <w:r w:rsidR="002331E9" w:rsidRPr="002705C3">
        <w:t>valua</w:t>
      </w:r>
      <w:r w:rsidR="006A2E0D" w:rsidRPr="002705C3">
        <w:t xml:space="preserve">das por el Instituto </w:t>
      </w:r>
      <w:r w:rsidR="006920FE">
        <w:t xml:space="preserve">con base en </w:t>
      </w:r>
      <w:r w:rsidR="006A2E0D">
        <w:t>la información recabada y en apego a los</w:t>
      </w:r>
      <w:r w:rsidR="006920FE">
        <w:t xml:space="preserve"> modelos de costo </w:t>
      </w:r>
      <w:r w:rsidR="00515695" w:rsidRPr="00515695">
        <w:t>que autorice el Instituto.</w:t>
      </w:r>
    </w:p>
    <w:p w14:paraId="5E4F2B71" w14:textId="12663B31" w:rsidR="000E2CCF" w:rsidRPr="00984A58" w:rsidRDefault="000E2CCF" w:rsidP="00984A58">
      <w:pPr>
        <w:pStyle w:val="Ttulo2"/>
        <w:numPr>
          <w:ilvl w:val="0"/>
          <w:numId w:val="58"/>
        </w:numPr>
        <w:rPr>
          <w:rFonts w:ascii="ITC Avant Garde" w:hAnsi="ITC Avant Garde"/>
          <w:b/>
          <w:color w:val="auto"/>
          <w:sz w:val="24"/>
        </w:rPr>
      </w:pPr>
      <w:r w:rsidRPr="00984A58">
        <w:rPr>
          <w:rFonts w:ascii="ITC Avant Garde" w:hAnsi="ITC Avant Garde"/>
          <w:b/>
          <w:color w:val="auto"/>
          <w:sz w:val="24"/>
        </w:rPr>
        <w:t>Generales</w:t>
      </w:r>
    </w:p>
    <w:p w14:paraId="0974DCAF" w14:textId="77777777" w:rsidR="008911DB" w:rsidRDefault="008911DB" w:rsidP="000E2CCF">
      <w:pPr>
        <w:pStyle w:val="IFTnormal"/>
        <w:rPr>
          <w:b/>
        </w:rPr>
      </w:pPr>
    </w:p>
    <w:p w14:paraId="53BE766C" w14:textId="77777777" w:rsidR="000E2CCF" w:rsidRDefault="000E2CCF" w:rsidP="000E2CCF">
      <w:pPr>
        <w:pStyle w:val="IFTnormal"/>
      </w:pPr>
      <w:r w:rsidRPr="00A83AA9">
        <w:rPr>
          <w:b/>
        </w:rPr>
        <w:t>Resumen de comentarios de la Consulta Pública</w:t>
      </w:r>
    </w:p>
    <w:p w14:paraId="76F97268" w14:textId="2CFF058A" w:rsidR="000E2CCF" w:rsidRDefault="000E2CCF" w:rsidP="0034426A">
      <w:pPr>
        <w:pStyle w:val="IFTnormal"/>
      </w:pPr>
      <w:r>
        <w:t xml:space="preserve">En lo que respecta a UC TELECOM solicitó </w:t>
      </w:r>
      <w:r w:rsidRPr="0088168A">
        <w:t>que</w:t>
      </w:r>
      <w:r>
        <w:t xml:space="preserve"> se</w:t>
      </w:r>
      <w:r w:rsidRPr="0088168A">
        <w:t xml:space="preserve"> evalúe las propuestas de </w:t>
      </w:r>
      <w:r>
        <w:t>ORCI Fija</w:t>
      </w:r>
      <w:r w:rsidRPr="0088168A">
        <w:t xml:space="preserve"> enviadas por el AEP antes de someterlas a Consulta Pública, emitiendo un dictamen sobre el contenido de la misma, que constate que dicha propuesta refleja, al menos, condiciones equivalentes a las de </w:t>
      </w:r>
      <w:r>
        <w:t>la Oferta de Referencia vigente y se agregue</w:t>
      </w:r>
      <w:r w:rsidRPr="0088168A">
        <w:t xml:space="preserve"> una hoja de control de cambios</w:t>
      </w:r>
      <w:r>
        <w:t>,</w:t>
      </w:r>
      <w:r w:rsidRPr="0088168A">
        <w:t xml:space="preserve"> incluyendo las marcas de las modificaciones aplicadas.</w:t>
      </w:r>
    </w:p>
    <w:p w14:paraId="27577BE8" w14:textId="274B1394" w:rsidR="000E2CCF" w:rsidRDefault="000E2CCF" w:rsidP="0034426A">
      <w:pPr>
        <w:pStyle w:val="IFTnormal"/>
        <w:rPr>
          <w:b/>
        </w:rPr>
      </w:pPr>
      <w:r w:rsidRPr="00A83AA9">
        <w:rPr>
          <w:b/>
        </w:rPr>
        <w:t>Respuesta del Instituto</w:t>
      </w:r>
    </w:p>
    <w:p w14:paraId="063AE76A" w14:textId="6E39161C" w:rsidR="005C0076" w:rsidRPr="0034426A" w:rsidRDefault="000E2CCF" w:rsidP="0034426A">
      <w:pPr>
        <w:pStyle w:val="IFTnormal"/>
      </w:pPr>
      <w:r>
        <w:t xml:space="preserve">Respecto a que se </w:t>
      </w:r>
      <w:r w:rsidRPr="0088168A">
        <w:t xml:space="preserve">evalúe las propuestas de </w:t>
      </w:r>
      <w:r>
        <w:t>ORCI Fija</w:t>
      </w:r>
      <w:r w:rsidRPr="0088168A">
        <w:t xml:space="preserve"> enviadas por el AEP antes de someterlas a Consulta Pública</w:t>
      </w:r>
      <w:r>
        <w:t>, este Instituto encuentra que dicha solicitud se encuentra fuera del alcance de la Oferta de Referencia, ya que son las Medidas Fijas las que determinan el procedimiento para la presentación de la Propuesta de Oferta de Referencia por parte del AEP y el procedimiento para poner</w:t>
      </w:r>
      <w:r w:rsidR="00EC3330">
        <w:t>la</w:t>
      </w:r>
      <w:r>
        <w:t xml:space="preserve"> a consulta pública.</w:t>
      </w:r>
    </w:p>
    <w:sectPr w:rsidR="005C0076" w:rsidRPr="003442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0D41" w14:textId="77777777" w:rsidR="00824CE3" w:rsidRDefault="00824CE3" w:rsidP="005465EC">
      <w:pPr>
        <w:spacing w:after="0" w:line="240" w:lineRule="auto"/>
      </w:pPr>
      <w:r>
        <w:separator/>
      </w:r>
    </w:p>
  </w:endnote>
  <w:endnote w:type="continuationSeparator" w:id="0">
    <w:p w14:paraId="1A9AAE70" w14:textId="77777777" w:rsidR="00824CE3" w:rsidRDefault="00824CE3" w:rsidP="005465EC">
      <w:pPr>
        <w:spacing w:after="0" w:line="240" w:lineRule="auto"/>
      </w:pPr>
      <w:r>
        <w:continuationSeparator/>
      </w:r>
    </w:p>
  </w:endnote>
  <w:endnote w:type="continuationNotice" w:id="1">
    <w:p w14:paraId="3CEEA8DF" w14:textId="77777777" w:rsidR="00824CE3" w:rsidRDefault="00824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7FAEB" w14:textId="77777777" w:rsidR="00824CE3" w:rsidRDefault="00824CE3" w:rsidP="005465EC">
      <w:pPr>
        <w:spacing w:after="0" w:line="240" w:lineRule="auto"/>
      </w:pPr>
      <w:r>
        <w:separator/>
      </w:r>
    </w:p>
  </w:footnote>
  <w:footnote w:type="continuationSeparator" w:id="0">
    <w:p w14:paraId="3B3D5F41" w14:textId="77777777" w:rsidR="00824CE3" w:rsidRDefault="00824CE3" w:rsidP="005465EC">
      <w:pPr>
        <w:spacing w:after="0" w:line="240" w:lineRule="auto"/>
      </w:pPr>
      <w:r>
        <w:continuationSeparator/>
      </w:r>
    </w:p>
  </w:footnote>
  <w:footnote w:type="continuationNotice" w:id="1">
    <w:p w14:paraId="00CD5D48" w14:textId="77777777" w:rsidR="00824CE3" w:rsidRDefault="00824CE3">
      <w:pPr>
        <w:spacing w:after="0" w:line="240" w:lineRule="auto"/>
      </w:pPr>
    </w:p>
  </w:footnote>
  <w:footnote w:id="2">
    <w:p w14:paraId="2F848A5C" w14:textId="61D506EF" w:rsidR="00F32A40" w:rsidRDefault="00F32A40" w:rsidP="00B266B4">
      <w:pPr>
        <w:pStyle w:val="Textonotapie"/>
        <w:rPr>
          <w:rFonts w:ascii="ITC Avant Garde" w:hAnsi="ITC Avant Garde" w:cstheme="majorHAnsi"/>
          <w:sz w:val="18"/>
        </w:rPr>
      </w:pPr>
      <w:r w:rsidRPr="00AA6174">
        <w:rPr>
          <w:rStyle w:val="Refdenotaalpie"/>
          <w:rFonts w:ascii="ITC Avant Garde" w:hAnsi="ITC Avant Garde" w:cstheme="majorHAnsi"/>
          <w:sz w:val="18"/>
        </w:rPr>
        <w:footnoteRef/>
      </w:r>
      <w:r w:rsidRPr="00AA6174">
        <w:rPr>
          <w:rFonts w:ascii="ITC Avant Garde" w:hAnsi="ITC Avant Garde" w:cstheme="majorHAnsi"/>
          <w:sz w:val="18"/>
        </w:rPr>
        <w:t xml:space="preserve"> </w:t>
      </w:r>
      <w:hyperlink r:id="rId1" w:history="1">
        <w:r w:rsidR="00AA7A34" w:rsidRPr="0053033A">
          <w:rPr>
            <w:rStyle w:val="Hipervnculo"/>
            <w:rFonts w:ascii="ITC Avant Garde" w:hAnsi="ITC Avant Garde" w:cstheme="majorHAnsi"/>
            <w:sz w:val="18"/>
          </w:rPr>
          <w:t>http://www.ift.org.mx/industria/consultas-publicas/consulta-publica-sobre-las-propuestas-de-ofertas-de-referencia-de-enlaces-dedicados-y-comparticion</w:t>
        </w:r>
      </w:hyperlink>
    </w:p>
    <w:p w14:paraId="245F7D3D" w14:textId="77777777" w:rsidR="00AA7A34" w:rsidRPr="00AA6174" w:rsidRDefault="00AA7A34" w:rsidP="00B266B4">
      <w:pPr>
        <w:pStyle w:val="Textonotapie"/>
        <w:rPr>
          <w:rFonts w:ascii="ITC Avant Garde" w:hAnsi="ITC Avant Garde" w:cstheme="majorHAnsi"/>
        </w:rPr>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645B54"/>
    <w:lvl w:ilvl="0">
      <w:start w:val="1"/>
      <w:numFmt w:val="bullet"/>
      <w:lvlText w:val=""/>
      <w:lvlJc w:val="left"/>
      <w:pPr>
        <w:tabs>
          <w:tab w:val="num" w:pos="360"/>
        </w:tabs>
        <w:ind w:left="360" w:hanging="360"/>
      </w:pPr>
      <w:rPr>
        <w:rFonts w:ascii="Symbol" w:hAnsi="Symbol" w:hint="default"/>
        <w:lang w:val="es-ES"/>
      </w:rPr>
    </w:lvl>
  </w:abstractNum>
  <w:abstractNum w:abstractNumId="1" w15:restartNumberingAfterBreak="0">
    <w:nsid w:val="004911BA"/>
    <w:multiLevelType w:val="hybridMultilevel"/>
    <w:tmpl w:val="9042BE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07E1286"/>
    <w:multiLevelType w:val="hybridMultilevel"/>
    <w:tmpl w:val="ACD87D5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10B50"/>
    <w:multiLevelType w:val="hybridMultilevel"/>
    <w:tmpl w:val="6118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9866FF"/>
    <w:multiLevelType w:val="hybridMultilevel"/>
    <w:tmpl w:val="18F492BE"/>
    <w:lvl w:ilvl="0" w:tplc="080A0001">
      <w:start w:val="1"/>
      <w:numFmt w:val="bullet"/>
      <w:lvlText w:val=""/>
      <w:lvlJc w:val="left"/>
      <w:pPr>
        <w:ind w:left="720" w:hanging="360"/>
      </w:pPr>
      <w:rPr>
        <w:rFonts w:ascii="Symbol" w:hAnsi="Symbol"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193F1F"/>
    <w:multiLevelType w:val="hybridMultilevel"/>
    <w:tmpl w:val="ADEE35E8"/>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34D45"/>
    <w:multiLevelType w:val="hybridMultilevel"/>
    <w:tmpl w:val="46EC1990"/>
    <w:lvl w:ilvl="0" w:tplc="8A3EF994">
      <w:start w:val="1"/>
      <w:numFmt w:val="lowerLetter"/>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9A0823"/>
    <w:multiLevelType w:val="multilevel"/>
    <w:tmpl w:val="AFDC0E6A"/>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4B1680"/>
    <w:multiLevelType w:val="hybridMultilevel"/>
    <w:tmpl w:val="C860C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696D51"/>
    <w:multiLevelType w:val="hybridMultilevel"/>
    <w:tmpl w:val="C706B5DA"/>
    <w:lvl w:ilvl="0" w:tplc="E152B868">
      <w:start w:val="1"/>
      <w:numFmt w:val="bullet"/>
      <w:pStyle w:val="ListBullet2Compac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447C7E"/>
    <w:multiLevelType w:val="hybridMultilevel"/>
    <w:tmpl w:val="64323CD8"/>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1A2B26"/>
    <w:multiLevelType w:val="hybridMultilevel"/>
    <w:tmpl w:val="0BA65F96"/>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7AB3D0A"/>
    <w:multiLevelType w:val="hybridMultilevel"/>
    <w:tmpl w:val="E28470F6"/>
    <w:lvl w:ilvl="0" w:tplc="E3561CA4">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7F2660A"/>
    <w:multiLevelType w:val="hybridMultilevel"/>
    <w:tmpl w:val="F4C85B60"/>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2B7F35"/>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F386734"/>
    <w:multiLevelType w:val="hybridMultilevel"/>
    <w:tmpl w:val="805CB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1EF0157"/>
    <w:multiLevelType w:val="hybridMultilevel"/>
    <w:tmpl w:val="2822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27819C6"/>
    <w:multiLevelType w:val="hybridMultilevel"/>
    <w:tmpl w:val="F6AA7352"/>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4810F64"/>
    <w:multiLevelType w:val="hybridMultilevel"/>
    <w:tmpl w:val="25F2FD7A"/>
    <w:lvl w:ilvl="0" w:tplc="6D607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1D64C7"/>
    <w:multiLevelType w:val="hybridMultilevel"/>
    <w:tmpl w:val="C0E460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C062AA9"/>
    <w:multiLevelType w:val="hybridMultilevel"/>
    <w:tmpl w:val="AD566A9A"/>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C950698"/>
    <w:multiLevelType w:val="multilevel"/>
    <w:tmpl w:val="14FC5860"/>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D6F38DA"/>
    <w:multiLevelType w:val="hybridMultilevel"/>
    <w:tmpl w:val="1E8C61F8"/>
    <w:lvl w:ilvl="0" w:tplc="04090001">
      <w:start w:val="1"/>
      <w:numFmt w:val="bullet"/>
      <w:lvlText w:val=""/>
      <w:lvlJc w:val="left"/>
      <w:pPr>
        <w:ind w:left="33" w:hanging="360"/>
      </w:pPr>
      <w:rPr>
        <w:rFonts w:ascii="Symbol" w:hAnsi="Symbol"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26" w15:restartNumberingAfterBreak="0">
    <w:nsid w:val="2FC66B7F"/>
    <w:multiLevelType w:val="hybridMultilevel"/>
    <w:tmpl w:val="79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17E5B8A"/>
    <w:multiLevelType w:val="hybridMultilevel"/>
    <w:tmpl w:val="17F0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28A25ED"/>
    <w:multiLevelType w:val="hybridMultilevel"/>
    <w:tmpl w:val="5EFEBAE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6BD345D"/>
    <w:multiLevelType w:val="hybridMultilevel"/>
    <w:tmpl w:val="238656C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740565F"/>
    <w:multiLevelType w:val="hybridMultilevel"/>
    <w:tmpl w:val="9B6CEAEC"/>
    <w:lvl w:ilvl="0" w:tplc="3ADA13A8">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7921E1B"/>
    <w:multiLevelType w:val="hybridMultilevel"/>
    <w:tmpl w:val="325092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8CF167E"/>
    <w:multiLevelType w:val="hybridMultilevel"/>
    <w:tmpl w:val="125EF790"/>
    <w:lvl w:ilvl="0" w:tplc="F5F0900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D5470D5"/>
    <w:multiLevelType w:val="hybridMultilevel"/>
    <w:tmpl w:val="C13CBD8E"/>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DD54B67"/>
    <w:multiLevelType w:val="hybridMultilevel"/>
    <w:tmpl w:val="EF6A7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F113FC0"/>
    <w:multiLevelType w:val="hybridMultilevel"/>
    <w:tmpl w:val="B27A968A"/>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07C1415"/>
    <w:multiLevelType w:val="hybridMultilevel"/>
    <w:tmpl w:val="3680275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0E37570"/>
    <w:multiLevelType w:val="hybridMultilevel"/>
    <w:tmpl w:val="1B12E0E6"/>
    <w:lvl w:ilvl="0" w:tplc="389C2D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2626CC6"/>
    <w:multiLevelType w:val="hybridMultilevel"/>
    <w:tmpl w:val="677EEA1E"/>
    <w:lvl w:ilvl="0" w:tplc="F7DA2562">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F84AAB"/>
    <w:multiLevelType w:val="hybridMultilevel"/>
    <w:tmpl w:val="F75AE152"/>
    <w:lvl w:ilvl="0" w:tplc="9418C1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4BA5F20"/>
    <w:multiLevelType w:val="hybridMultilevel"/>
    <w:tmpl w:val="2ABAA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58F4018"/>
    <w:multiLevelType w:val="hybridMultilevel"/>
    <w:tmpl w:val="528A0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AA60F26"/>
    <w:multiLevelType w:val="hybridMultilevel"/>
    <w:tmpl w:val="25F2FD7A"/>
    <w:lvl w:ilvl="0" w:tplc="6D607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19F1323"/>
    <w:multiLevelType w:val="hybridMultilevel"/>
    <w:tmpl w:val="CEC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932226B"/>
    <w:multiLevelType w:val="hybridMultilevel"/>
    <w:tmpl w:val="2BAA7BCA"/>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A1F1D88"/>
    <w:multiLevelType w:val="hybridMultilevel"/>
    <w:tmpl w:val="6406C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F151D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0A3B0E"/>
    <w:multiLevelType w:val="hybridMultilevel"/>
    <w:tmpl w:val="B0624C8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1537DE4"/>
    <w:multiLevelType w:val="hybridMultilevel"/>
    <w:tmpl w:val="DE2A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6F63506"/>
    <w:multiLevelType w:val="hybridMultilevel"/>
    <w:tmpl w:val="B0DEA7BE"/>
    <w:lvl w:ilvl="0" w:tplc="080A000F">
      <w:start w:val="1"/>
      <w:numFmt w:val="decimal"/>
      <w:lvlText w:val="%1."/>
      <w:lvlJc w:val="left"/>
      <w:pPr>
        <w:ind w:left="720" w:hanging="360"/>
      </w:pPr>
      <w:rPr>
        <w:rFonts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77535EB"/>
    <w:multiLevelType w:val="hybridMultilevel"/>
    <w:tmpl w:val="4824FD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EA91770"/>
    <w:multiLevelType w:val="hybridMultilevel"/>
    <w:tmpl w:val="85905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F666D9F"/>
    <w:multiLevelType w:val="hybridMultilevel"/>
    <w:tmpl w:val="B0B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BA70E9"/>
    <w:multiLevelType w:val="hybridMultilevel"/>
    <w:tmpl w:val="C6843C5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AD332F6"/>
    <w:multiLevelType w:val="hybridMultilevel"/>
    <w:tmpl w:val="065660DE"/>
    <w:lvl w:ilvl="0" w:tplc="2AD47C4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7B401C9D"/>
    <w:multiLevelType w:val="hybridMultilevel"/>
    <w:tmpl w:val="70E8100E"/>
    <w:lvl w:ilvl="0" w:tplc="8C227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7BD0233F"/>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57"/>
  </w:num>
  <w:num w:numId="3">
    <w:abstractNumId w:val="40"/>
  </w:num>
  <w:num w:numId="4">
    <w:abstractNumId w:val="16"/>
  </w:num>
  <w:num w:numId="5">
    <w:abstractNumId w:val="28"/>
  </w:num>
  <w:num w:numId="6">
    <w:abstractNumId w:val="23"/>
  </w:num>
  <w:num w:numId="7">
    <w:abstractNumId w:val="19"/>
  </w:num>
  <w:num w:numId="8">
    <w:abstractNumId w:val="36"/>
  </w:num>
  <w:num w:numId="9">
    <w:abstractNumId w:val="13"/>
  </w:num>
  <w:num w:numId="10">
    <w:abstractNumId w:val="33"/>
  </w:num>
  <w:num w:numId="11">
    <w:abstractNumId w:val="44"/>
  </w:num>
  <w:num w:numId="12">
    <w:abstractNumId w:val="1"/>
  </w:num>
  <w:num w:numId="13">
    <w:abstractNumId w:val="49"/>
  </w:num>
  <w:num w:numId="14">
    <w:abstractNumId w:val="17"/>
  </w:num>
  <w:num w:numId="15">
    <w:abstractNumId w:val="10"/>
  </w:num>
  <w:num w:numId="16">
    <w:abstractNumId w:val="30"/>
  </w:num>
  <w:num w:numId="17">
    <w:abstractNumId w:val="41"/>
  </w:num>
  <w:num w:numId="18">
    <w:abstractNumId w:val="29"/>
  </w:num>
  <w:num w:numId="19">
    <w:abstractNumId w:val="27"/>
  </w:num>
  <w:num w:numId="20">
    <w:abstractNumId w:val="43"/>
  </w:num>
  <w:num w:numId="21">
    <w:abstractNumId w:val="48"/>
  </w:num>
  <w:num w:numId="22">
    <w:abstractNumId w:val="34"/>
  </w:num>
  <w:num w:numId="23">
    <w:abstractNumId w:val="18"/>
  </w:num>
  <w:num w:numId="24">
    <w:abstractNumId w:val="53"/>
  </w:num>
  <w:num w:numId="25">
    <w:abstractNumId w:val="14"/>
  </w:num>
  <w:num w:numId="26">
    <w:abstractNumId w:val="45"/>
  </w:num>
  <w:num w:numId="27">
    <w:abstractNumId w:val="50"/>
  </w:num>
  <w:num w:numId="28">
    <w:abstractNumId w:val="24"/>
  </w:num>
  <w:num w:numId="29">
    <w:abstractNumId w:val="54"/>
  </w:num>
  <w:num w:numId="30">
    <w:abstractNumId w:val="7"/>
  </w:num>
  <w:num w:numId="31">
    <w:abstractNumId w:val="51"/>
  </w:num>
  <w:num w:numId="32">
    <w:abstractNumId w:val="38"/>
  </w:num>
  <w:num w:numId="33">
    <w:abstractNumId w:val="15"/>
  </w:num>
  <w:num w:numId="34">
    <w:abstractNumId w:val="47"/>
  </w:num>
  <w:num w:numId="35">
    <w:abstractNumId w:val="6"/>
  </w:num>
  <w:num w:numId="36">
    <w:abstractNumId w:val="35"/>
  </w:num>
  <w:num w:numId="37">
    <w:abstractNumId w:val="5"/>
  </w:num>
  <w:num w:numId="38">
    <w:abstractNumId w:val="25"/>
  </w:num>
  <w:num w:numId="39">
    <w:abstractNumId w:val="52"/>
  </w:num>
  <w:num w:numId="40">
    <w:abstractNumId w:val="3"/>
  </w:num>
  <w:num w:numId="41">
    <w:abstractNumId w:val="26"/>
  </w:num>
  <w:num w:numId="42">
    <w:abstractNumId w:val="37"/>
  </w:num>
  <w:num w:numId="43">
    <w:abstractNumId w:val="2"/>
  </w:num>
  <w:num w:numId="44">
    <w:abstractNumId w:val="12"/>
  </w:num>
  <w:num w:numId="45">
    <w:abstractNumId w:val="0"/>
  </w:num>
  <w:num w:numId="46">
    <w:abstractNumId w:val="4"/>
  </w:num>
  <w:num w:numId="47">
    <w:abstractNumId w:val="21"/>
  </w:num>
  <w:num w:numId="48">
    <w:abstractNumId w:val="56"/>
  </w:num>
  <w:num w:numId="49">
    <w:abstractNumId w:val="55"/>
  </w:num>
  <w:num w:numId="50">
    <w:abstractNumId w:val="8"/>
  </w:num>
  <w:num w:numId="51">
    <w:abstractNumId w:val="22"/>
  </w:num>
  <w:num w:numId="52">
    <w:abstractNumId w:val="32"/>
  </w:num>
  <w:num w:numId="53">
    <w:abstractNumId w:val="9"/>
  </w:num>
  <w:num w:numId="54">
    <w:abstractNumId w:val="39"/>
  </w:num>
  <w:num w:numId="55">
    <w:abstractNumId w:val="42"/>
  </w:num>
  <w:num w:numId="56">
    <w:abstractNumId w:val="20"/>
  </w:num>
  <w:num w:numId="57">
    <w:abstractNumId w:val="46"/>
  </w:num>
  <w:num w:numId="58">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00DB"/>
    <w:rsid w:val="00001B8C"/>
    <w:rsid w:val="000033D1"/>
    <w:rsid w:val="00003A58"/>
    <w:rsid w:val="00004376"/>
    <w:rsid w:val="00004898"/>
    <w:rsid w:val="00004D2C"/>
    <w:rsid w:val="00005AFC"/>
    <w:rsid w:val="00005F47"/>
    <w:rsid w:val="00006A19"/>
    <w:rsid w:val="00010511"/>
    <w:rsid w:val="00011A29"/>
    <w:rsid w:val="00014108"/>
    <w:rsid w:val="00014785"/>
    <w:rsid w:val="00015415"/>
    <w:rsid w:val="00017609"/>
    <w:rsid w:val="00017D74"/>
    <w:rsid w:val="00017F8E"/>
    <w:rsid w:val="00020152"/>
    <w:rsid w:val="00021530"/>
    <w:rsid w:val="0002187F"/>
    <w:rsid w:val="00021DFF"/>
    <w:rsid w:val="00022EBD"/>
    <w:rsid w:val="00023757"/>
    <w:rsid w:val="00023985"/>
    <w:rsid w:val="00023C02"/>
    <w:rsid w:val="00024864"/>
    <w:rsid w:val="00024A7B"/>
    <w:rsid w:val="000264E8"/>
    <w:rsid w:val="00026C25"/>
    <w:rsid w:val="00026F5D"/>
    <w:rsid w:val="000274B9"/>
    <w:rsid w:val="00030979"/>
    <w:rsid w:val="00030EF5"/>
    <w:rsid w:val="0003127B"/>
    <w:rsid w:val="0003253A"/>
    <w:rsid w:val="00032580"/>
    <w:rsid w:val="00033B8F"/>
    <w:rsid w:val="00033E18"/>
    <w:rsid w:val="00033F2C"/>
    <w:rsid w:val="00034037"/>
    <w:rsid w:val="0003439A"/>
    <w:rsid w:val="00034E4D"/>
    <w:rsid w:val="000354AD"/>
    <w:rsid w:val="000354E5"/>
    <w:rsid w:val="00035AD7"/>
    <w:rsid w:val="000360C9"/>
    <w:rsid w:val="00036B63"/>
    <w:rsid w:val="0003726F"/>
    <w:rsid w:val="00040142"/>
    <w:rsid w:val="0004040F"/>
    <w:rsid w:val="0004098F"/>
    <w:rsid w:val="00041F6F"/>
    <w:rsid w:val="00042A12"/>
    <w:rsid w:val="00042BC6"/>
    <w:rsid w:val="00044169"/>
    <w:rsid w:val="00045EDB"/>
    <w:rsid w:val="0004602F"/>
    <w:rsid w:val="000464E8"/>
    <w:rsid w:val="00046D6D"/>
    <w:rsid w:val="00050069"/>
    <w:rsid w:val="0005177D"/>
    <w:rsid w:val="00051828"/>
    <w:rsid w:val="000528D4"/>
    <w:rsid w:val="00053603"/>
    <w:rsid w:val="00053BB2"/>
    <w:rsid w:val="000540C9"/>
    <w:rsid w:val="00055D0B"/>
    <w:rsid w:val="00056355"/>
    <w:rsid w:val="0005714C"/>
    <w:rsid w:val="00057E44"/>
    <w:rsid w:val="00057FFC"/>
    <w:rsid w:val="00060C21"/>
    <w:rsid w:val="00060F72"/>
    <w:rsid w:val="00061271"/>
    <w:rsid w:val="000626A9"/>
    <w:rsid w:val="00062DC1"/>
    <w:rsid w:val="00063424"/>
    <w:rsid w:val="0006351F"/>
    <w:rsid w:val="00065417"/>
    <w:rsid w:val="00066213"/>
    <w:rsid w:val="00070CFF"/>
    <w:rsid w:val="000714C0"/>
    <w:rsid w:val="00071ED1"/>
    <w:rsid w:val="00071EF9"/>
    <w:rsid w:val="00071EFC"/>
    <w:rsid w:val="00072917"/>
    <w:rsid w:val="000748BC"/>
    <w:rsid w:val="00074911"/>
    <w:rsid w:val="00074D48"/>
    <w:rsid w:val="0007503B"/>
    <w:rsid w:val="00075A7C"/>
    <w:rsid w:val="00075CF3"/>
    <w:rsid w:val="0007615D"/>
    <w:rsid w:val="000764EB"/>
    <w:rsid w:val="00076F3F"/>
    <w:rsid w:val="00076FC9"/>
    <w:rsid w:val="00077624"/>
    <w:rsid w:val="0007764D"/>
    <w:rsid w:val="00077893"/>
    <w:rsid w:val="000801A9"/>
    <w:rsid w:val="00080499"/>
    <w:rsid w:val="00080BDE"/>
    <w:rsid w:val="00080C9A"/>
    <w:rsid w:val="00081230"/>
    <w:rsid w:val="000819B4"/>
    <w:rsid w:val="00081E2C"/>
    <w:rsid w:val="00083FE6"/>
    <w:rsid w:val="00084DE3"/>
    <w:rsid w:val="00084F7D"/>
    <w:rsid w:val="0008523C"/>
    <w:rsid w:val="000853C7"/>
    <w:rsid w:val="000855EE"/>
    <w:rsid w:val="00085780"/>
    <w:rsid w:val="00085EAB"/>
    <w:rsid w:val="00086277"/>
    <w:rsid w:val="00086920"/>
    <w:rsid w:val="000871A7"/>
    <w:rsid w:val="00087AB9"/>
    <w:rsid w:val="00090875"/>
    <w:rsid w:val="00091AF0"/>
    <w:rsid w:val="00091B75"/>
    <w:rsid w:val="0009215C"/>
    <w:rsid w:val="00094CA7"/>
    <w:rsid w:val="000952BE"/>
    <w:rsid w:val="0009536E"/>
    <w:rsid w:val="000965B1"/>
    <w:rsid w:val="00097021"/>
    <w:rsid w:val="000A0546"/>
    <w:rsid w:val="000A0C88"/>
    <w:rsid w:val="000A13F9"/>
    <w:rsid w:val="000A1A6B"/>
    <w:rsid w:val="000A33A4"/>
    <w:rsid w:val="000A4169"/>
    <w:rsid w:val="000A48C8"/>
    <w:rsid w:val="000A5BEA"/>
    <w:rsid w:val="000A6711"/>
    <w:rsid w:val="000A6E95"/>
    <w:rsid w:val="000A70D7"/>
    <w:rsid w:val="000A7B6F"/>
    <w:rsid w:val="000B06EB"/>
    <w:rsid w:val="000B0DE3"/>
    <w:rsid w:val="000B2376"/>
    <w:rsid w:val="000B3275"/>
    <w:rsid w:val="000B4142"/>
    <w:rsid w:val="000B4455"/>
    <w:rsid w:val="000B4807"/>
    <w:rsid w:val="000B50E5"/>
    <w:rsid w:val="000B5422"/>
    <w:rsid w:val="000B58F6"/>
    <w:rsid w:val="000B5E1C"/>
    <w:rsid w:val="000B681C"/>
    <w:rsid w:val="000B7EEA"/>
    <w:rsid w:val="000C1EA4"/>
    <w:rsid w:val="000C3ED9"/>
    <w:rsid w:val="000C43DF"/>
    <w:rsid w:val="000C4CAD"/>
    <w:rsid w:val="000C534E"/>
    <w:rsid w:val="000C6977"/>
    <w:rsid w:val="000C6986"/>
    <w:rsid w:val="000C69AB"/>
    <w:rsid w:val="000C7F11"/>
    <w:rsid w:val="000D0C45"/>
    <w:rsid w:val="000D1B9E"/>
    <w:rsid w:val="000D2DA7"/>
    <w:rsid w:val="000D335B"/>
    <w:rsid w:val="000D36AD"/>
    <w:rsid w:val="000D397C"/>
    <w:rsid w:val="000D4B1C"/>
    <w:rsid w:val="000D4B6C"/>
    <w:rsid w:val="000D68C9"/>
    <w:rsid w:val="000D6D84"/>
    <w:rsid w:val="000D7561"/>
    <w:rsid w:val="000D7BBF"/>
    <w:rsid w:val="000E0093"/>
    <w:rsid w:val="000E0D28"/>
    <w:rsid w:val="000E1623"/>
    <w:rsid w:val="000E1676"/>
    <w:rsid w:val="000E23B0"/>
    <w:rsid w:val="000E2BEE"/>
    <w:rsid w:val="000E2CCF"/>
    <w:rsid w:val="000E392D"/>
    <w:rsid w:val="000E40C6"/>
    <w:rsid w:val="000E477A"/>
    <w:rsid w:val="000E4BAE"/>
    <w:rsid w:val="000E552D"/>
    <w:rsid w:val="000E57E7"/>
    <w:rsid w:val="000E5E2F"/>
    <w:rsid w:val="000E6720"/>
    <w:rsid w:val="000E70AB"/>
    <w:rsid w:val="000E7693"/>
    <w:rsid w:val="000F04F5"/>
    <w:rsid w:val="000F0954"/>
    <w:rsid w:val="000F0FA4"/>
    <w:rsid w:val="000F11B7"/>
    <w:rsid w:val="000F1331"/>
    <w:rsid w:val="000F17C7"/>
    <w:rsid w:val="000F2AFA"/>
    <w:rsid w:val="000F3321"/>
    <w:rsid w:val="000F3697"/>
    <w:rsid w:val="000F36AE"/>
    <w:rsid w:val="000F3993"/>
    <w:rsid w:val="000F3E8A"/>
    <w:rsid w:val="000F55FA"/>
    <w:rsid w:val="000F6836"/>
    <w:rsid w:val="000F7ACE"/>
    <w:rsid w:val="000F7C9B"/>
    <w:rsid w:val="001000AA"/>
    <w:rsid w:val="00100168"/>
    <w:rsid w:val="001006F8"/>
    <w:rsid w:val="00100DAA"/>
    <w:rsid w:val="00102475"/>
    <w:rsid w:val="00103102"/>
    <w:rsid w:val="0010314D"/>
    <w:rsid w:val="00103BE5"/>
    <w:rsid w:val="00103DBA"/>
    <w:rsid w:val="00104075"/>
    <w:rsid w:val="00104841"/>
    <w:rsid w:val="00104EE2"/>
    <w:rsid w:val="00105789"/>
    <w:rsid w:val="00105E3B"/>
    <w:rsid w:val="00106202"/>
    <w:rsid w:val="00106B33"/>
    <w:rsid w:val="001072E1"/>
    <w:rsid w:val="00107EF6"/>
    <w:rsid w:val="0011084A"/>
    <w:rsid w:val="00110863"/>
    <w:rsid w:val="0011222D"/>
    <w:rsid w:val="00112BDA"/>
    <w:rsid w:val="00112FB9"/>
    <w:rsid w:val="001139C7"/>
    <w:rsid w:val="00113D82"/>
    <w:rsid w:val="001145CD"/>
    <w:rsid w:val="001152D1"/>
    <w:rsid w:val="001166FE"/>
    <w:rsid w:val="00116E55"/>
    <w:rsid w:val="0011741C"/>
    <w:rsid w:val="001174F1"/>
    <w:rsid w:val="00117DC6"/>
    <w:rsid w:val="001215AF"/>
    <w:rsid w:val="001219AF"/>
    <w:rsid w:val="0012297D"/>
    <w:rsid w:val="00122D18"/>
    <w:rsid w:val="00122E34"/>
    <w:rsid w:val="0012300B"/>
    <w:rsid w:val="00123654"/>
    <w:rsid w:val="00123D53"/>
    <w:rsid w:val="00124033"/>
    <w:rsid w:val="001246C7"/>
    <w:rsid w:val="001247C3"/>
    <w:rsid w:val="001247D8"/>
    <w:rsid w:val="001250D3"/>
    <w:rsid w:val="0012645D"/>
    <w:rsid w:val="00126AD3"/>
    <w:rsid w:val="0012737C"/>
    <w:rsid w:val="00127945"/>
    <w:rsid w:val="00127ECA"/>
    <w:rsid w:val="001315D4"/>
    <w:rsid w:val="00131ADD"/>
    <w:rsid w:val="00132CF7"/>
    <w:rsid w:val="00133997"/>
    <w:rsid w:val="00133DFF"/>
    <w:rsid w:val="001340A3"/>
    <w:rsid w:val="001346EC"/>
    <w:rsid w:val="001354F8"/>
    <w:rsid w:val="00136A02"/>
    <w:rsid w:val="00140E2A"/>
    <w:rsid w:val="001418FC"/>
    <w:rsid w:val="001420DC"/>
    <w:rsid w:val="001423A2"/>
    <w:rsid w:val="00143A44"/>
    <w:rsid w:val="00145D22"/>
    <w:rsid w:val="00145E87"/>
    <w:rsid w:val="001462DF"/>
    <w:rsid w:val="00147471"/>
    <w:rsid w:val="001476C6"/>
    <w:rsid w:val="00147843"/>
    <w:rsid w:val="001479B9"/>
    <w:rsid w:val="0015094D"/>
    <w:rsid w:val="00152936"/>
    <w:rsid w:val="00153DE8"/>
    <w:rsid w:val="00153F22"/>
    <w:rsid w:val="001540E3"/>
    <w:rsid w:val="001544E1"/>
    <w:rsid w:val="00154C56"/>
    <w:rsid w:val="00155432"/>
    <w:rsid w:val="00155563"/>
    <w:rsid w:val="001579A3"/>
    <w:rsid w:val="00160E62"/>
    <w:rsid w:val="00161A55"/>
    <w:rsid w:val="00162B8A"/>
    <w:rsid w:val="00163ADC"/>
    <w:rsid w:val="00163D04"/>
    <w:rsid w:val="00164E4E"/>
    <w:rsid w:val="0016616B"/>
    <w:rsid w:val="00166889"/>
    <w:rsid w:val="00170FA2"/>
    <w:rsid w:val="00171F59"/>
    <w:rsid w:val="00172F50"/>
    <w:rsid w:val="00173C90"/>
    <w:rsid w:val="00174094"/>
    <w:rsid w:val="00174617"/>
    <w:rsid w:val="001753ED"/>
    <w:rsid w:val="00175675"/>
    <w:rsid w:val="00175BFD"/>
    <w:rsid w:val="00176055"/>
    <w:rsid w:val="00176439"/>
    <w:rsid w:val="00176B62"/>
    <w:rsid w:val="00176F85"/>
    <w:rsid w:val="00177015"/>
    <w:rsid w:val="00177955"/>
    <w:rsid w:val="00177A5F"/>
    <w:rsid w:val="001807FF"/>
    <w:rsid w:val="0018193B"/>
    <w:rsid w:val="00182948"/>
    <w:rsid w:val="001831DB"/>
    <w:rsid w:val="00184AB9"/>
    <w:rsid w:val="00184E30"/>
    <w:rsid w:val="00185A20"/>
    <w:rsid w:val="00185AD2"/>
    <w:rsid w:val="0018610A"/>
    <w:rsid w:val="0018629E"/>
    <w:rsid w:val="001863BB"/>
    <w:rsid w:val="00186660"/>
    <w:rsid w:val="00187FFA"/>
    <w:rsid w:val="00190BB5"/>
    <w:rsid w:val="00190DD5"/>
    <w:rsid w:val="001922C1"/>
    <w:rsid w:val="00192C21"/>
    <w:rsid w:val="00192E05"/>
    <w:rsid w:val="00193097"/>
    <w:rsid w:val="00193E89"/>
    <w:rsid w:val="00194A95"/>
    <w:rsid w:val="001964B5"/>
    <w:rsid w:val="00196677"/>
    <w:rsid w:val="00196E31"/>
    <w:rsid w:val="001975A7"/>
    <w:rsid w:val="0019765D"/>
    <w:rsid w:val="001A365C"/>
    <w:rsid w:val="001A429F"/>
    <w:rsid w:val="001A50CF"/>
    <w:rsid w:val="001A5E62"/>
    <w:rsid w:val="001A64F8"/>
    <w:rsid w:val="001A704C"/>
    <w:rsid w:val="001B03C1"/>
    <w:rsid w:val="001B0481"/>
    <w:rsid w:val="001B04EF"/>
    <w:rsid w:val="001B0D70"/>
    <w:rsid w:val="001B1718"/>
    <w:rsid w:val="001B1B4F"/>
    <w:rsid w:val="001B2932"/>
    <w:rsid w:val="001B3288"/>
    <w:rsid w:val="001B5159"/>
    <w:rsid w:val="001B5619"/>
    <w:rsid w:val="001B5726"/>
    <w:rsid w:val="001B5A35"/>
    <w:rsid w:val="001B5EE7"/>
    <w:rsid w:val="001B646D"/>
    <w:rsid w:val="001B7938"/>
    <w:rsid w:val="001C0455"/>
    <w:rsid w:val="001C0483"/>
    <w:rsid w:val="001C07C2"/>
    <w:rsid w:val="001C128F"/>
    <w:rsid w:val="001C1521"/>
    <w:rsid w:val="001C253E"/>
    <w:rsid w:val="001C356A"/>
    <w:rsid w:val="001C3DE7"/>
    <w:rsid w:val="001C3E4E"/>
    <w:rsid w:val="001C49C0"/>
    <w:rsid w:val="001C5294"/>
    <w:rsid w:val="001C638E"/>
    <w:rsid w:val="001C66DD"/>
    <w:rsid w:val="001C74E9"/>
    <w:rsid w:val="001C7550"/>
    <w:rsid w:val="001D09F6"/>
    <w:rsid w:val="001D1134"/>
    <w:rsid w:val="001D1539"/>
    <w:rsid w:val="001D41D4"/>
    <w:rsid w:val="001D5275"/>
    <w:rsid w:val="001D5B1B"/>
    <w:rsid w:val="001D5CA2"/>
    <w:rsid w:val="001D64A6"/>
    <w:rsid w:val="001D6A1E"/>
    <w:rsid w:val="001D78DC"/>
    <w:rsid w:val="001D7C9A"/>
    <w:rsid w:val="001E0747"/>
    <w:rsid w:val="001E1439"/>
    <w:rsid w:val="001E2501"/>
    <w:rsid w:val="001E26A7"/>
    <w:rsid w:val="001E26DC"/>
    <w:rsid w:val="001E2D1F"/>
    <w:rsid w:val="001E32DE"/>
    <w:rsid w:val="001E3AB3"/>
    <w:rsid w:val="001E6520"/>
    <w:rsid w:val="001E706D"/>
    <w:rsid w:val="001E73F2"/>
    <w:rsid w:val="001E79E2"/>
    <w:rsid w:val="001E7C2D"/>
    <w:rsid w:val="001F07BB"/>
    <w:rsid w:val="001F0AE6"/>
    <w:rsid w:val="001F0D0E"/>
    <w:rsid w:val="001F0FFD"/>
    <w:rsid w:val="001F1021"/>
    <w:rsid w:val="001F1F5A"/>
    <w:rsid w:val="001F2234"/>
    <w:rsid w:val="001F2446"/>
    <w:rsid w:val="001F261C"/>
    <w:rsid w:val="001F2C67"/>
    <w:rsid w:val="001F4397"/>
    <w:rsid w:val="001F4780"/>
    <w:rsid w:val="001F57B7"/>
    <w:rsid w:val="001F58CD"/>
    <w:rsid w:val="001F5CB9"/>
    <w:rsid w:val="001F6571"/>
    <w:rsid w:val="00200402"/>
    <w:rsid w:val="0020299B"/>
    <w:rsid w:val="00203329"/>
    <w:rsid w:val="00203394"/>
    <w:rsid w:val="002034C0"/>
    <w:rsid w:val="002038CD"/>
    <w:rsid w:val="00203B2E"/>
    <w:rsid w:val="0020447D"/>
    <w:rsid w:val="0020697A"/>
    <w:rsid w:val="00207574"/>
    <w:rsid w:val="00207E97"/>
    <w:rsid w:val="00210C71"/>
    <w:rsid w:val="002114E7"/>
    <w:rsid w:val="002121F3"/>
    <w:rsid w:val="0021223A"/>
    <w:rsid w:val="00213601"/>
    <w:rsid w:val="0021519C"/>
    <w:rsid w:val="002168ED"/>
    <w:rsid w:val="002170EE"/>
    <w:rsid w:val="00217C8A"/>
    <w:rsid w:val="00217E07"/>
    <w:rsid w:val="00220DCB"/>
    <w:rsid w:val="002214BC"/>
    <w:rsid w:val="00221731"/>
    <w:rsid w:val="0022184D"/>
    <w:rsid w:val="00222336"/>
    <w:rsid w:val="0022311C"/>
    <w:rsid w:val="00225169"/>
    <w:rsid w:val="0022552A"/>
    <w:rsid w:val="00226804"/>
    <w:rsid w:val="002269F5"/>
    <w:rsid w:val="00227031"/>
    <w:rsid w:val="00227369"/>
    <w:rsid w:val="00231EA4"/>
    <w:rsid w:val="0023269C"/>
    <w:rsid w:val="00232E68"/>
    <w:rsid w:val="00232FD6"/>
    <w:rsid w:val="00233192"/>
    <w:rsid w:val="002331E9"/>
    <w:rsid w:val="00233A35"/>
    <w:rsid w:val="00233C87"/>
    <w:rsid w:val="00235258"/>
    <w:rsid w:val="00235FFB"/>
    <w:rsid w:val="002368CF"/>
    <w:rsid w:val="0023764C"/>
    <w:rsid w:val="00240580"/>
    <w:rsid w:val="0024091D"/>
    <w:rsid w:val="00241CBB"/>
    <w:rsid w:val="00242532"/>
    <w:rsid w:val="00242C6E"/>
    <w:rsid w:val="00242CC3"/>
    <w:rsid w:val="00243271"/>
    <w:rsid w:val="00243382"/>
    <w:rsid w:val="00244A37"/>
    <w:rsid w:val="0024539F"/>
    <w:rsid w:val="0024558E"/>
    <w:rsid w:val="0024565A"/>
    <w:rsid w:val="00245692"/>
    <w:rsid w:val="002461E2"/>
    <w:rsid w:val="002474A4"/>
    <w:rsid w:val="0025011E"/>
    <w:rsid w:val="00251961"/>
    <w:rsid w:val="00251A84"/>
    <w:rsid w:val="00251C95"/>
    <w:rsid w:val="00251EFC"/>
    <w:rsid w:val="002531FA"/>
    <w:rsid w:val="00253310"/>
    <w:rsid w:val="0025382A"/>
    <w:rsid w:val="00254664"/>
    <w:rsid w:val="00254943"/>
    <w:rsid w:val="00254BB1"/>
    <w:rsid w:val="00255037"/>
    <w:rsid w:val="00255A8C"/>
    <w:rsid w:val="00256C17"/>
    <w:rsid w:val="002609F2"/>
    <w:rsid w:val="00260C16"/>
    <w:rsid w:val="0026112B"/>
    <w:rsid w:val="002615F9"/>
    <w:rsid w:val="00261BF2"/>
    <w:rsid w:val="00263175"/>
    <w:rsid w:val="00263AAE"/>
    <w:rsid w:val="00263D19"/>
    <w:rsid w:val="002643D9"/>
    <w:rsid w:val="002647C5"/>
    <w:rsid w:val="002648F5"/>
    <w:rsid w:val="00265AA4"/>
    <w:rsid w:val="00267E6C"/>
    <w:rsid w:val="002705C3"/>
    <w:rsid w:val="0027298B"/>
    <w:rsid w:val="0027413B"/>
    <w:rsid w:val="002749FA"/>
    <w:rsid w:val="00274AA2"/>
    <w:rsid w:val="00276187"/>
    <w:rsid w:val="00276D55"/>
    <w:rsid w:val="00277644"/>
    <w:rsid w:val="00277EE5"/>
    <w:rsid w:val="002815B8"/>
    <w:rsid w:val="00282070"/>
    <w:rsid w:val="00282A47"/>
    <w:rsid w:val="002833C7"/>
    <w:rsid w:val="00284430"/>
    <w:rsid w:val="0028464B"/>
    <w:rsid w:val="00284997"/>
    <w:rsid w:val="00286606"/>
    <w:rsid w:val="00286D31"/>
    <w:rsid w:val="00287F85"/>
    <w:rsid w:val="00290EB5"/>
    <w:rsid w:val="0029155D"/>
    <w:rsid w:val="00292D43"/>
    <w:rsid w:val="0029410B"/>
    <w:rsid w:val="00294608"/>
    <w:rsid w:val="00296853"/>
    <w:rsid w:val="00297006"/>
    <w:rsid w:val="002A1066"/>
    <w:rsid w:val="002A107C"/>
    <w:rsid w:val="002A160B"/>
    <w:rsid w:val="002A2491"/>
    <w:rsid w:val="002A260E"/>
    <w:rsid w:val="002A4051"/>
    <w:rsid w:val="002A4430"/>
    <w:rsid w:val="002A58B4"/>
    <w:rsid w:val="002A6DEA"/>
    <w:rsid w:val="002A7C8C"/>
    <w:rsid w:val="002B007A"/>
    <w:rsid w:val="002B13FD"/>
    <w:rsid w:val="002B15DC"/>
    <w:rsid w:val="002B1958"/>
    <w:rsid w:val="002B21FE"/>
    <w:rsid w:val="002B225C"/>
    <w:rsid w:val="002B2529"/>
    <w:rsid w:val="002B30E7"/>
    <w:rsid w:val="002B4517"/>
    <w:rsid w:val="002B4592"/>
    <w:rsid w:val="002B482B"/>
    <w:rsid w:val="002B598E"/>
    <w:rsid w:val="002B6AA0"/>
    <w:rsid w:val="002B7694"/>
    <w:rsid w:val="002B78E1"/>
    <w:rsid w:val="002B7B11"/>
    <w:rsid w:val="002C07E6"/>
    <w:rsid w:val="002C1990"/>
    <w:rsid w:val="002C28C6"/>
    <w:rsid w:val="002C2F77"/>
    <w:rsid w:val="002C3B90"/>
    <w:rsid w:val="002C437B"/>
    <w:rsid w:val="002C4954"/>
    <w:rsid w:val="002C55FE"/>
    <w:rsid w:val="002C6661"/>
    <w:rsid w:val="002C6757"/>
    <w:rsid w:val="002C714D"/>
    <w:rsid w:val="002D00CC"/>
    <w:rsid w:val="002D1CAD"/>
    <w:rsid w:val="002D2757"/>
    <w:rsid w:val="002D4351"/>
    <w:rsid w:val="002D43F3"/>
    <w:rsid w:val="002D4412"/>
    <w:rsid w:val="002D4889"/>
    <w:rsid w:val="002D4EF6"/>
    <w:rsid w:val="002D524C"/>
    <w:rsid w:val="002D5DAF"/>
    <w:rsid w:val="002D6BEE"/>
    <w:rsid w:val="002D6F9F"/>
    <w:rsid w:val="002D79A9"/>
    <w:rsid w:val="002D7E3A"/>
    <w:rsid w:val="002E0335"/>
    <w:rsid w:val="002E20A6"/>
    <w:rsid w:val="002E24D0"/>
    <w:rsid w:val="002E4068"/>
    <w:rsid w:val="002E4F8D"/>
    <w:rsid w:val="002E50C2"/>
    <w:rsid w:val="002E50CB"/>
    <w:rsid w:val="002E5521"/>
    <w:rsid w:val="002E5CD2"/>
    <w:rsid w:val="002E631B"/>
    <w:rsid w:val="002F02FC"/>
    <w:rsid w:val="002F0425"/>
    <w:rsid w:val="002F06F7"/>
    <w:rsid w:val="002F12B9"/>
    <w:rsid w:val="002F1A0F"/>
    <w:rsid w:val="002F1B0D"/>
    <w:rsid w:val="002F2148"/>
    <w:rsid w:val="002F2B57"/>
    <w:rsid w:val="002F3D41"/>
    <w:rsid w:val="002F44F4"/>
    <w:rsid w:val="002F476D"/>
    <w:rsid w:val="002F5324"/>
    <w:rsid w:val="002F53A7"/>
    <w:rsid w:val="002F6A5A"/>
    <w:rsid w:val="002F6CCC"/>
    <w:rsid w:val="002F6DDB"/>
    <w:rsid w:val="002F7792"/>
    <w:rsid w:val="002F7CDB"/>
    <w:rsid w:val="002F7D7C"/>
    <w:rsid w:val="002F7E6B"/>
    <w:rsid w:val="00300E08"/>
    <w:rsid w:val="003018BC"/>
    <w:rsid w:val="00302F5C"/>
    <w:rsid w:val="0030353A"/>
    <w:rsid w:val="003039CA"/>
    <w:rsid w:val="003045B2"/>
    <w:rsid w:val="00304745"/>
    <w:rsid w:val="00306C15"/>
    <w:rsid w:val="00306FD8"/>
    <w:rsid w:val="00306FE3"/>
    <w:rsid w:val="003070FC"/>
    <w:rsid w:val="0030722A"/>
    <w:rsid w:val="00307712"/>
    <w:rsid w:val="003100B8"/>
    <w:rsid w:val="003105DE"/>
    <w:rsid w:val="0031112D"/>
    <w:rsid w:val="003111E9"/>
    <w:rsid w:val="00312248"/>
    <w:rsid w:val="00312A76"/>
    <w:rsid w:val="003132B7"/>
    <w:rsid w:val="0031381D"/>
    <w:rsid w:val="00313DEB"/>
    <w:rsid w:val="003158C9"/>
    <w:rsid w:val="00317BB4"/>
    <w:rsid w:val="0032003D"/>
    <w:rsid w:val="00321070"/>
    <w:rsid w:val="003212DC"/>
    <w:rsid w:val="00321556"/>
    <w:rsid w:val="00321BE5"/>
    <w:rsid w:val="00322287"/>
    <w:rsid w:val="003223CB"/>
    <w:rsid w:val="0032311F"/>
    <w:rsid w:val="0032331D"/>
    <w:rsid w:val="00323604"/>
    <w:rsid w:val="00323FFB"/>
    <w:rsid w:val="00324991"/>
    <w:rsid w:val="00324B20"/>
    <w:rsid w:val="0032535F"/>
    <w:rsid w:val="00325D27"/>
    <w:rsid w:val="003265B3"/>
    <w:rsid w:val="00326B5E"/>
    <w:rsid w:val="00326FCC"/>
    <w:rsid w:val="0032722F"/>
    <w:rsid w:val="0032730E"/>
    <w:rsid w:val="00330C97"/>
    <w:rsid w:val="00331150"/>
    <w:rsid w:val="00331193"/>
    <w:rsid w:val="00331EBE"/>
    <w:rsid w:val="003326F2"/>
    <w:rsid w:val="00332AC7"/>
    <w:rsid w:val="00332CD0"/>
    <w:rsid w:val="00333403"/>
    <w:rsid w:val="003337DE"/>
    <w:rsid w:val="003348EE"/>
    <w:rsid w:val="003378DA"/>
    <w:rsid w:val="003402C3"/>
    <w:rsid w:val="0034049B"/>
    <w:rsid w:val="00340DB7"/>
    <w:rsid w:val="00342360"/>
    <w:rsid w:val="0034300F"/>
    <w:rsid w:val="00343364"/>
    <w:rsid w:val="0034426A"/>
    <w:rsid w:val="003442FD"/>
    <w:rsid w:val="00344388"/>
    <w:rsid w:val="00344BE6"/>
    <w:rsid w:val="003505BF"/>
    <w:rsid w:val="0035088F"/>
    <w:rsid w:val="00350D3F"/>
    <w:rsid w:val="003515A9"/>
    <w:rsid w:val="003518AD"/>
    <w:rsid w:val="00351AB5"/>
    <w:rsid w:val="003527BE"/>
    <w:rsid w:val="00352A85"/>
    <w:rsid w:val="00354C16"/>
    <w:rsid w:val="003555B8"/>
    <w:rsid w:val="003561AF"/>
    <w:rsid w:val="00356884"/>
    <w:rsid w:val="003572CC"/>
    <w:rsid w:val="00360248"/>
    <w:rsid w:val="00361936"/>
    <w:rsid w:val="00361B80"/>
    <w:rsid w:val="00362F4D"/>
    <w:rsid w:val="003640BD"/>
    <w:rsid w:val="0036412F"/>
    <w:rsid w:val="003654CD"/>
    <w:rsid w:val="0036574D"/>
    <w:rsid w:val="00365874"/>
    <w:rsid w:val="0036632F"/>
    <w:rsid w:val="003663AF"/>
    <w:rsid w:val="00367E54"/>
    <w:rsid w:val="00370013"/>
    <w:rsid w:val="0037073B"/>
    <w:rsid w:val="0037158E"/>
    <w:rsid w:val="003742F8"/>
    <w:rsid w:val="003743C6"/>
    <w:rsid w:val="00374659"/>
    <w:rsid w:val="003747FD"/>
    <w:rsid w:val="00374DDA"/>
    <w:rsid w:val="00374F27"/>
    <w:rsid w:val="0037611D"/>
    <w:rsid w:val="00380C31"/>
    <w:rsid w:val="003811D3"/>
    <w:rsid w:val="003811DD"/>
    <w:rsid w:val="003833F0"/>
    <w:rsid w:val="00385226"/>
    <w:rsid w:val="0038541A"/>
    <w:rsid w:val="00385F59"/>
    <w:rsid w:val="0038628C"/>
    <w:rsid w:val="00386702"/>
    <w:rsid w:val="00386C67"/>
    <w:rsid w:val="00386C7E"/>
    <w:rsid w:val="0038705D"/>
    <w:rsid w:val="003872AB"/>
    <w:rsid w:val="003876BE"/>
    <w:rsid w:val="0038787C"/>
    <w:rsid w:val="003879D2"/>
    <w:rsid w:val="003919DF"/>
    <w:rsid w:val="00391A73"/>
    <w:rsid w:val="00391DEC"/>
    <w:rsid w:val="00392663"/>
    <w:rsid w:val="003927EE"/>
    <w:rsid w:val="00393502"/>
    <w:rsid w:val="00393F27"/>
    <w:rsid w:val="00394209"/>
    <w:rsid w:val="00394DE4"/>
    <w:rsid w:val="003966D7"/>
    <w:rsid w:val="00396896"/>
    <w:rsid w:val="003969B2"/>
    <w:rsid w:val="00397937"/>
    <w:rsid w:val="003A138E"/>
    <w:rsid w:val="003A18B9"/>
    <w:rsid w:val="003A1A11"/>
    <w:rsid w:val="003A1E60"/>
    <w:rsid w:val="003A20F2"/>
    <w:rsid w:val="003A2977"/>
    <w:rsid w:val="003A2B82"/>
    <w:rsid w:val="003A2FFA"/>
    <w:rsid w:val="003A3E0B"/>
    <w:rsid w:val="003A408D"/>
    <w:rsid w:val="003A4173"/>
    <w:rsid w:val="003A4925"/>
    <w:rsid w:val="003A559E"/>
    <w:rsid w:val="003A562A"/>
    <w:rsid w:val="003A6829"/>
    <w:rsid w:val="003B0A88"/>
    <w:rsid w:val="003B27DA"/>
    <w:rsid w:val="003B28B1"/>
    <w:rsid w:val="003B3566"/>
    <w:rsid w:val="003B3E80"/>
    <w:rsid w:val="003B49F6"/>
    <w:rsid w:val="003B64F9"/>
    <w:rsid w:val="003B6D23"/>
    <w:rsid w:val="003B6FBA"/>
    <w:rsid w:val="003B7593"/>
    <w:rsid w:val="003B7718"/>
    <w:rsid w:val="003C0C34"/>
    <w:rsid w:val="003C0F00"/>
    <w:rsid w:val="003C33AC"/>
    <w:rsid w:val="003C36DB"/>
    <w:rsid w:val="003C7668"/>
    <w:rsid w:val="003C7775"/>
    <w:rsid w:val="003C7F8D"/>
    <w:rsid w:val="003D0372"/>
    <w:rsid w:val="003D04C1"/>
    <w:rsid w:val="003D0C26"/>
    <w:rsid w:val="003D1A38"/>
    <w:rsid w:val="003D1FC1"/>
    <w:rsid w:val="003D289E"/>
    <w:rsid w:val="003D2DE9"/>
    <w:rsid w:val="003D3B3B"/>
    <w:rsid w:val="003D544A"/>
    <w:rsid w:val="003D6058"/>
    <w:rsid w:val="003D656F"/>
    <w:rsid w:val="003D690A"/>
    <w:rsid w:val="003E06EF"/>
    <w:rsid w:val="003E19B9"/>
    <w:rsid w:val="003E1EC6"/>
    <w:rsid w:val="003E29DE"/>
    <w:rsid w:val="003E4843"/>
    <w:rsid w:val="003E54AD"/>
    <w:rsid w:val="003E5D3D"/>
    <w:rsid w:val="003E60A7"/>
    <w:rsid w:val="003E687A"/>
    <w:rsid w:val="003E7336"/>
    <w:rsid w:val="003E7FFB"/>
    <w:rsid w:val="003F10B6"/>
    <w:rsid w:val="003F16CC"/>
    <w:rsid w:val="003F2C39"/>
    <w:rsid w:val="003F2FBC"/>
    <w:rsid w:val="003F45E5"/>
    <w:rsid w:val="003F5D24"/>
    <w:rsid w:val="003F5F6F"/>
    <w:rsid w:val="003F60CF"/>
    <w:rsid w:val="003F624C"/>
    <w:rsid w:val="003F68A5"/>
    <w:rsid w:val="003F68AB"/>
    <w:rsid w:val="003F7785"/>
    <w:rsid w:val="003F7D0B"/>
    <w:rsid w:val="004008B7"/>
    <w:rsid w:val="00400D55"/>
    <w:rsid w:val="00401314"/>
    <w:rsid w:val="00401490"/>
    <w:rsid w:val="004016D4"/>
    <w:rsid w:val="004022D3"/>
    <w:rsid w:val="00402F43"/>
    <w:rsid w:val="004045C3"/>
    <w:rsid w:val="00405392"/>
    <w:rsid w:val="004054B9"/>
    <w:rsid w:val="0040675D"/>
    <w:rsid w:val="00406ECD"/>
    <w:rsid w:val="00410DA7"/>
    <w:rsid w:val="00412E51"/>
    <w:rsid w:val="0041334F"/>
    <w:rsid w:val="004135EF"/>
    <w:rsid w:val="00413BA1"/>
    <w:rsid w:val="00414045"/>
    <w:rsid w:val="0041452F"/>
    <w:rsid w:val="004148DD"/>
    <w:rsid w:val="00414A44"/>
    <w:rsid w:val="0041785C"/>
    <w:rsid w:val="00417A68"/>
    <w:rsid w:val="00417B69"/>
    <w:rsid w:val="00417C56"/>
    <w:rsid w:val="00417ECB"/>
    <w:rsid w:val="00422D22"/>
    <w:rsid w:val="0042342D"/>
    <w:rsid w:val="00423935"/>
    <w:rsid w:val="00424C2A"/>
    <w:rsid w:val="00424C5E"/>
    <w:rsid w:val="00425387"/>
    <w:rsid w:val="004254DF"/>
    <w:rsid w:val="0042653E"/>
    <w:rsid w:val="00427ACE"/>
    <w:rsid w:val="00427C59"/>
    <w:rsid w:val="00430611"/>
    <w:rsid w:val="004328FB"/>
    <w:rsid w:val="00433A9C"/>
    <w:rsid w:val="00433BB7"/>
    <w:rsid w:val="00433F8F"/>
    <w:rsid w:val="00434EB5"/>
    <w:rsid w:val="00434FAE"/>
    <w:rsid w:val="0043775A"/>
    <w:rsid w:val="004406FE"/>
    <w:rsid w:val="004407E2"/>
    <w:rsid w:val="00440A6D"/>
    <w:rsid w:val="004426DD"/>
    <w:rsid w:val="004428B0"/>
    <w:rsid w:val="00443A18"/>
    <w:rsid w:val="00443D3A"/>
    <w:rsid w:val="00443EAC"/>
    <w:rsid w:val="00445E02"/>
    <w:rsid w:val="0044606B"/>
    <w:rsid w:val="00446B88"/>
    <w:rsid w:val="0044742B"/>
    <w:rsid w:val="00447E34"/>
    <w:rsid w:val="00447F9C"/>
    <w:rsid w:val="00450A28"/>
    <w:rsid w:val="00451EFA"/>
    <w:rsid w:val="00451F45"/>
    <w:rsid w:val="00452511"/>
    <w:rsid w:val="0045278F"/>
    <w:rsid w:val="004542EC"/>
    <w:rsid w:val="0045443D"/>
    <w:rsid w:val="004544F7"/>
    <w:rsid w:val="004549BE"/>
    <w:rsid w:val="00456550"/>
    <w:rsid w:val="004571C6"/>
    <w:rsid w:val="004574A4"/>
    <w:rsid w:val="00460D9A"/>
    <w:rsid w:val="004610A4"/>
    <w:rsid w:val="00461ADE"/>
    <w:rsid w:val="00462CC4"/>
    <w:rsid w:val="00463497"/>
    <w:rsid w:val="004644D9"/>
    <w:rsid w:val="0046463A"/>
    <w:rsid w:val="00470446"/>
    <w:rsid w:val="00471714"/>
    <w:rsid w:val="00471AA8"/>
    <w:rsid w:val="00472E78"/>
    <w:rsid w:val="00474CE3"/>
    <w:rsid w:val="00475996"/>
    <w:rsid w:val="00476D20"/>
    <w:rsid w:val="00477126"/>
    <w:rsid w:val="00477369"/>
    <w:rsid w:val="00477C07"/>
    <w:rsid w:val="00477E01"/>
    <w:rsid w:val="00481612"/>
    <w:rsid w:val="0048179D"/>
    <w:rsid w:val="004825B3"/>
    <w:rsid w:val="00482836"/>
    <w:rsid w:val="00483094"/>
    <w:rsid w:val="00483449"/>
    <w:rsid w:val="004846C2"/>
    <w:rsid w:val="00485854"/>
    <w:rsid w:val="0048627C"/>
    <w:rsid w:val="004864B1"/>
    <w:rsid w:val="004864CB"/>
    <w:rsid w:val="00486D31"/>
    <w:rsid w:val="0048770B"/>
    <w:rsid w:val="00487E93"/>
    <w:rsid w:val="00491997"/>
    <w:rsid w:val="00491D86"/>
    <w:rsid w:val="00492BC5"/>
    <w:rsid w:val="00493324"/>
    <w:rsid w:val="00495A07"/>
    <w:rsid w:val="00495BA5"/>
    <w:rsid w:val="00495CE5"/>
    <w:rsid w:val="004966D6"/>
    <w:rsid w:val="004A11EA"/>
    <w:rsid w:val="004A17FD"/>
    <w:rsid w:val="004A18A7"/>
    <w:rsid w:val="004A1EAD"/>
    <w:rsid w:val="004A364F"/>
    <w:rsid w:val="004A3D39"/>
    <w:rsid w:val="004A5754"/>
    <w:rsid w:val="004A591D"/>
    <w:rsid w:val="004A6069"/>
    <w:rsid w:val="004A6339"/>
    <w:rsid w:val="004A699D"/>
    <w:rsid w:val="004B00C6"/>
    <w:rsid w:val="004B047E"/>
    <w:rsid w:val="004B173D"/>
    <w:rsid w:val="004B2AF7"/>
    <w:rsid w:val="004B362E"/>
    <w:rsid w:val="004B54E7"/>
    <w:rsid w:val="004B5D5D"/>
    <w:rsid w:val="004B6ED5"/>
    <w:rsid w:val="004C0B95"/>
    <w:rsid w:val="004C0D77"/>
    <w:rsid w:val="004C0ECD"/>
    <w:rsid w:val="004C10C8"/>
    <w:rsid w:val="004C10E3"/>
    <w:rsid w:val="004C16F7"/>
    <w:rsid w:val="004C1AA1"/>
    <w:rsid w:val="004C1ECE"/>
    <w:rsid w:val="004C2B1C"/>
    <w:rsid w:val="004C54B2"/>
    <w:rsid w:val="004C588D"/>
    <w:rsid w:val="004D045B"/>
    <w:rsid w:val="004D05D3"/>
    <w:rsid w:val="004D0A64"/>
    <w:rsid w:val="004D16AE"/>
    <w:rsid w:val="004D1FC3"/>
    <w:rsid w:val="004D3A1B"/>
    <w:rsid w:val="004D4735"/>
    <w:rsid w:val="004D629B"/>
    <w:rsid w:val="004D6AEA"/>
    <w:rsid w:val="004D7B78"/>
    <w:rsid w:val="004D7C39"/>
    <w:rsid w:val="004E0B76"/>
    <w:rsid w:val="004E0DDD"/>
    <w:rsid w:val="004E0F96"/>
    <w:rsid w:val="004E14E2"/>
    <w:rsid w:val="004E1901"/>
    <w:rsid w:val="004E1E27"/>
    <w:rsid w:val="004E2913"/>
    <w:rsid w:val="004E298A"/>
    <w:rsid w:val="004E3563"/>
    <w:rsid w:val="004E3FFD"/>
    <w:rsid w:val="004E476A"/>
    <w:rsid w:val="004E516E"/>
    <w:rsid w:val="004E541B"/>
    <w:rsid w:val="004E5CE8"/>
    <w:rsid w:val="004F0614"/>
    <w:rsid w:val="004F1CA8"/>
    <w:rsid w:val="004F4C55"/>
    <w:rsid w:val="004F528D"/>
    <w:rsid w:val="004F5BC7"/>
    <w:rsid w:val="004F645C"/>
    <w:rsid w:val="004F7655"/>
    <w:rsid w:val="00500550"/>
    <w:rsid w:val="00500B04"/>
    <w:rsid w:val="005012E0"/>
    <w:rsid w:val="005020B3"/>
    <w:rsid w:val="005026FD"/>
    <w:rsid w:val="005036FD"/>
    <w:rsid w:val="00503ED0"/>
    <w:rsid w:val="00505730"/>
    <w:rsid w:val="005064DB"/>
    <w:rsid w:val="005070B9"/>
    <w:rsid w:val="00507F08"/>
    <w:rsid w:val="00510A18"/>
    <w:rsid w:val="0051100F"/>
    <w:rsid w:val="00511D9E"/>
    <w:rsid w:val="00511E53"/>
    <w:rsid w:val="00511F1B"/>
    <w:rsid w:val="005126C9"/>
    <w:rsid w:val="0051277D"/>
    <w:rsid w:val="00513184"/>
    <w:rsid w:val="0051349E"/>
    <w:rsid w:val="00514666"/>
    <w:rsid w:val="00514954"/>
    <w:rsid w:val="00514967"/>
    <w:rsid w:val="00514A39"/>
    <w:rsid w:val="00515695"/>
    <w:rsid w:val="00516A57"/>
    <w:rsid w:val="00516E46"/>
    <w:rsid w:val="005205D0"/>
    <w:rsid w:val="00523803"/>
    <w:rsid w:val="00523E91"/>
    <w:rsid w:val="00524203"/>
    <w:rsid w:val="00524250"/>
    <w:rsid w:val="00524ABF"/>
    <w:rsid w:val="00524F5F"/>
    <w:rsid w:val="00526841"/>
    <w:rsid w:val="00526F72"/>
    <w:rsid w:val="00527687"/>
    <w:rsid w:val="00531156"/>
    <w:rsid w:val="00532ADF"/>
    <w:rsid w:val="00532D9C"/>
    <w:rsid w:val="00535076"/>
    <w:rsid w:val="00535863"/>
    <w:rsid w:val="00535D50"/>
    <w:rsid w:val="005378E1"/>
    <w:rsid w:val="00540DB1"/>
    <w:rsid w:val="0054140D"/>
    <w:rsid w:val="005414A2"/>
    <w:rsid w:val="00541550"/>
    <w:rsid w:val="005418D5"/>
    <w:rsid w:val="00541A2A"/>
    <w:rsid w:val="00541FC4"/>
    <w:rsid w:val="00543F5C"/>
    <w:rsid w:val="00544885"/>
    <w:rsid w:val="00545C2E"/>
    <w:rsid w:val="00546005"/>
    <w:rsid w:val="005465EC"/>
    <w:rsid w:val="00547AFB"/>
    <w:rsid w:val="00547F0A"/>
    <w:rsid w:val="00550314"/>
    <w:rsid w:val="005506D0"/>
    <w:rsid w:val="00551393"/>
    <w:rsid w:val="005519E8"/>
    <w:rsid w:val="00551ABE"/>
    <w:rsid w:val="00552F27"/>
    <w:rsid w:val="00553FB1"/>
    <w:rsid w:val="0055419B"/>
    <w:rsid w:val="005542B2"/>
    <w:rsid w:val="00554373"/>
    <w:rsid w:val="00554915"/>
    <w:rsid w:val="0055545F"/>
    <w:rsid w:val="005559A7"/>
    <w:rsid w:val="00556300"/>
    <w:rsid w:val="005574CC"/>
    <w:rsid w:val="00557E08"/>
    <w:rsid w:val="005606B7"/>
    <w:rsid w:val="00560935"/>
    <w:rsid w:val="005612E2"/>
    <w:rsid w:val="005624DF"/>
    <w:rsid w:val="005627C1"/>
    <w:rsid w:val="00563AD2"/>
    <w:rsid w:val="0056412F"/>
    <w:rsid w:val="00565242"/>
    <w:rsid w:val="005655C9"/>
    <w:rsid w:val="00565B13"/>
    <w:rsid w:val="005665E2"/>
    <w:rsid w:val="005669F3"/>
    <w:rsid w:val="005709AB"/>
    <w:rsid w:val="00570D86"/>
    <w:rsid w:val="00571606"/>
    <w:rsid w:val="005724A3"/>
    <w:rsid w:val="0057317D"/>
    <w:rsid w:val="005740A3"/>
    <w:rsid w:val="0057449E"/>
    <w:rsid w:val="005744AB"/>
    <w:rsid w:val="00574EDF"/>
    <w:rsid w:val="00575360"/>
    <w:rsid w:val="00576EA8"/>
    <w:rsid w:val="005778C9"/>
    <w:rsid w:val="0058108A"/>
    <w:rsid w:val="005810A1"/>
    <w:rsid w:val="0058140D"/>
    <w:rsid w:val="00581410"/>
    <w:rsid w:val="00581850"/>
    <w:rsid w:val="00581960"/>
    <w:rsid w:val="00581E53"/>
    <w:rsid w:val="00581E5B"/>
    <w:rsid w:val="00586430"/>
    <w:rsid w:val="00587AA2"/>
    <w:rsid w:val="0059084F"/>
    <w:rsid w:val="00590C9D"/>
    <w:rsid w:val="00592913"/>
    <w:rsid w:val="00593998"/>
    <w:rsid w:val="005950AE"/>
    <w:rsid w:val="005956A5"/>
    <w:rsid w:val="00597844"/>
    <w:rsid w:val="005A0846"/>
    <w:rsid w:val="005A0A18"/>
    <w:rsid w:val="005A102F"/>
    <w:rsid w:val="005A1444"/>
    <w:rsid w:val="005A14DA"/>
    <w:rsid w:val="005A18BE"/>
    <w:rsid w:val="005A30BC"/>
    <w:rsid w:val="005A511C"/>
    <w:rsid w:val="005A5960"/>
    <w:rsid w:val="005A5CF4"/>
    <w:rsid w:val="005A639D"/>
    <w:rsid w:val="005A6B8E"/>
    <w:rsid w:val="005B1EF1"/>
    <w:rsid w:val="005B24C7"/>
    <w:rsid w:val="005B25C4"/>
    <w:rsid w:val="005B26F7"/>
    <w:rsid w:val="005B28F4"/>
    <w:rsid w:val="005B2950"/>
    <w:rsid w:val="005B29F4"/>
    <w:rsid w:val="005B373A"/>
    <w:rsid w:val="005B3A24"/>
    <w:rsid w:val="005B48E9"/>
    <w:rsid w:val="005B510F"/>
    <w:rsid w:val="005B59E8"/>
    <w:rsid w:val="005B6270"/>
    <w:rsid w:val="005B6804"/>
    <w:rsid w:val="005B7306"/>
    <w:rsid w:val="005B74AE"/>
    <w:rsid w:val="005B74D6"/>
    <w:rsid w:val="005C0076"/>
    <w:rsid w:val="005C08FE"/>
    <w:rsid w:val="005C0C11"/>
    <w:rsid w:val="005C0D4E"/>
    <w:rsid w:val="005C20AE"/>
    <w:rsid w:val="005C33DA"/>
    <w:rsid w:val="005C5771"/>
    <w:rsid w:val="005C5C88"/>
    <w:rsid w:val="005C6743"/>
    <w:rsid w:val="005C6B5D"/>
    <w:rsid w:val="005C6C19"/>
    <w:rsid w:val="005C6F43"/>
    <w:rsid w:val="005C70E6"/>
    <w:rsid w:val="005C7129"/>
    <w:rsid w:val="005D171B"/>
    <w:rsid w:val="005D1BB0"/>
    <w:rsid w:val="005D1E2B"/>
    <w:rsid w:val="005D3AA3"/>
    <w:rsid w:val="005D3F10"/>
    <w:rsid w:val="005D55B2"/>
    <w:rsid w:val="005D6105"/>
    <w:rsid w:val="005D6D5C"/>
    <w:rsid w:val="005D6F82"/>
    <w:rsid w:val="005D70E0"/>
    <w:rsid w:val="005D7176"/>
    <w:rsid w:val="005D73B8"/>
    <w:rsid w:val="005E0DEC"/>
    <w:rsid w:val="005E1669"/>
    <w:rsid w:val="005E35E6"/>
    <w:rsid w:val="005E3A41"/>
    <w:rsid w:val="005E44B3"/>
    <w:rsid w:val="005E46ED"/>
    <w:rsid w:val="005E5D05"/>
    <w:rsid w:val="005E5F00"/>
    <w:rsid w:val="005E6263"/>
    <w:rsid w:val="005E6B95"/>
    <w:rsid w:val="005E6DC7"/>
    <w:rsid w:val="005E7905"/>
    <w:rsid w:val="005E794A"/>
    <w:rsid w:val="005E79BD"/>
    <w:rsid w:val="005F050E"/>
    <w:rsid w:val="005F0541"/>
    <w:rsid w:val="005F2252"/>
    <w:rsid w:val="005F2D53"/>
    <w:rsid w:val="005F3E5C"/>
    <w:rsid w:val="005F4EE4"/>
    <w:rsid w:val="005F5B78"/>
    <w:rsid w:val="005F7147"/>
    <w:rsid w:val="005F725A"/>
    <w:rsid w:val="005F7856"/>
    <w:rsid w:val="00600407"/>
    <w:rsid w:val="0060139F"/>
    <w:rsid w:val="00603093"/>
    <w:rsid w:val="006031F7"/>
    <w:rsid w:val="0060375B"/>
    <w:rsid w:val="00603D9A"/>
    <w:rsid w:val="0060433A"/>
    <w:rsid w:val="006052BC"/>
    <w:rsid w:val="006057FA"/>
    <w:rsid w:val="006064D4"/>
    <w:rsid w:val="00606771"/>
    <w:rsid w:val="006067AC"/>
    <w:rsid w:val="00607767"/>
    <w:rsid w:val="00611A64"/>
    <w:rsid w:val="00613AC7"/>
    <w:rsid w:val="00613BD2"/>
    <w:rsid w:val="00620BC9"/>
    <w:rsid w:val="00620DB1"/>
    <w:rsid w:val="006215A6"/>
    <w:rsid w:val="00621BCD"/>
    <w:rsid w:val="00622470"/>
    <w:rsid w:val="00622563"/>
    <w:rsid w:val="006227A6"/>
    <w:rsid w:val="00622804"/>
    <w:rsid w:val="00622F63"/>
    <w:rsid w:val="00625721"/>
    <w:rsid w:val="006257C5"/>
    <w:rsid w:val="00625C13"/>
    <w:rsid w:val="00626C7E"/>
    <w:rsid w:val="00627592"/>
    <w:rsid w:val="00630D87"/>
    <w:rsid w:val="0063105B"/>
    <w:rsid w:val="006312C7"/>
    <w:rsid w:val="00631E01"/>
    <w:rsid w:val="00632291"/>
    <w:rsid w:val="006330BC"/>
    <w:rsid w:val="00633718"/>
    <w:rsid w:val="00634DA3"/>
    <w:rsid w:val="00635457"/>
    <w:rsid w:val="00636125"/>
    <w:rsid w:val="006361D0"/>
    <w:rsid w:val="006361D8"/>
    <w:rsid w:val="00636635"/>
    <w:rsid w:val="006416BC"/>
    <w:rsid w:val="00641BB6"/>
    <w:rsid w:val="00643841"/>
    <w:rsid w:val="00645248"/>
    <w:rsid w:val="00645AD8"/>
    <w:rsid w:val="00645B17"/>
    <w:rsid w:val="00650624"/>
    <w:rsid w:val="0065069A"/>
    <w:rsid w:val="006506D1"/>
    <w:rsid w:val="00652596"/>
    <w:rsid w:val="0065274B"/>
    <w:rsid w:val="006535B1"/>
    <w:rsid w:val="0065392D"/>
    <w:rsid w:val="0065439A"/>
    <w:rsid w:val="00654624"/>
    <w:rsid w:val="00654AFC"/>
    <w:rsid w:val="00655182"/>
    <w:rsid w:val="00655D09"/>
    <w:rsid w:val="006567C3"/>
    <w:rsid w:val="00656E2E"/>
    <w:rsid w:val="00656E63"/>
    <w:rsid w:val="006572A3"/>
    <w:rsid w:val="006576F3"/>
    <w:rsid w:val="00661986"/>
    <w:rsid w:val="006619F5"/>
    <w:rsid w:val="0066231E"/>
    <w:rsid w:val="0066383B"/>
    <w:rsid w:val="00663E69"/>
    <w:rsid w:val="0066492F"/>
    <w:rsid w:val="006652A2"/>
    <w:rsid w:val="00665636"/>
    <w:rsid w:val="006657E2"/>
    <w:rsid w:val="00665A26"/>
    <w:rsid w:val="0066661B"/>
    <w:rsid w:val="00666AE2"/>
    <w:rsid w:val="00667220"/>
    <w:rsid w:val="00667E98"/>
    <w:rsid w:val="0067004E"/>
    <w:rsid w:val="0067081B"/>
    <w:rsid w:val="006729CE"/>
    <w:rsid w:val="006733F6"/>
    <w:rsid w:val="006745EA"/>
    <w:rsid w:val="006764AB"/>
    <w:rsid w:val="00676710"/>
    <w:rsid w:val="0067783E"/>
    <w:rsid w:val="00680A2C"/>
    <w:rsid w:val="00683748"/>
    <w:rsid w:val="00684111"/>
    <w:rsid w:val="00684C92"/>
    <w:rsid w:val="00685272"/>
    <w:rsid w:val="00686084"/>
    <w:rsid w:val="006867B5"/>
    <w:rsid w:val="00690B3A"/>
    <w:rsid w:val="006920FE"/>
    <w:rsid w:val="0069234E"/>
    <w:rsid w:val="00693269"/>
    <w:rsid w:val="006948EE"/>
    <w:rsid w:val="00695590"/>
    <w:rsid w:val="006959A9"/>
    <w:rsid w:val="00696D58"/>
    <w:rsid w:val="00696FAD"/>
    <w:rsid w:val="00697668"/>
    <w:rsid w:val="006A0049"/>
    <w:rsid w:val="006A09EA"/>
    <w:rsid w:val="006A0ADA"/>
    <w:rsid w:val="006A0FFD"/>
    <w:rsid w:val="006A18D8"/>
    <w:rsid w:val="006A239C"/>
    <w:rsid w:val="006A2E0D"/>
    <w:rsid w:val="006A3662"/>
    <w:rsid w:val="006A3997"/>
    <w:rsid w:val="006A3C9C"/>
    <w:rsid w:val="006A45BD"/>
    <w:rsid w:val="006A7069"/>
    <w:rsid w:val="006B093F"/>
    <w:rsid w:val="006B1425"/>
    <w:rsid w:val="006B2783"/>
    <w:rsid w:val="006B35F7"/>
    <w:rsid w:val="006B370F"/>
    <w:rsid w:val="006B48BB"/>
    <w:rsid w:val="006B4DD0"/>
    <w:rsid w:val="006B5330"/>
    <w:rsid w:val="006B564A"/>
    <w:rsid w:val="006B56AF"/>
    <w:rsid w:val="006B5978"/>
    <w:rsid w:val="006B6D7E"/>
    <w:rsid w:val="006B70AD"/>
    <w:rsid w:val="006B7412"/>
    <w:rsid w:val="006B7D4F"/>
    <w:rsid w:val="006C02B1"/>
    <w:rsid w:val="006C0F09"/>
    <w:rsid w:val="006C1302"/>
    <w:rsid w:val="006C2F54"/>
    <w:rsid w:val="006C3736"/>
    <w:rsid w:val="006C3F42"/>
    <w:rsid w:val="006C4221"/>
    <w:rsid w:val="006C4D3B"/>
    <w:rsid w:val="006C4D63"/>
    <w:rsid w:val="006C5EC0"/>
    <w:rsid w:val="006C65B4"/>
    <w:rsid w:val="006C6F35"/>
    <w:rsid w:val="006D15C7"/>
    <w:rsid w:val="006D17AF"/>
    <w:rsid w:val="006D1B18"/>
    <w:rsid w:val="006D1F6A"/>
    <w:rsid w:val="006D2170"/>
    <w:rsid w:val="006D3D70"/>
    <w:rsid w:val="006D3FF2"/>
    <w:rsid w:val="006D4217"/>
    <w:rsid w:val="006D48C6"/>
    <w:rsid w:val="006D48E5"/>
    <w:rsid w:val="006D4EFA"/>
    <w:rsid w:val="006D5A86"/>
    <w:rsid w:val="006D6285"/>
    <w:rsid w:val="006D6540"/>
    <w:rsid w:val="006D6CF7"/>
    <w:rsid w:val="006D7ED7"/>
    <w:rsid w:val="006D7FDF"/>
    <w:rsid w:val="006E0D84"/>
    <w:rsid w:val="006E1367"/>
    <w:rsid w:val="006E154E"/>
    <w:rsid w:val="006E206C"/>
    <w:rsid w:val="006E3D42"/>
    <w:rsid w:val="006E43F8"/>
    <w:rsid w:val="006E54B8"/>
    <w:rsid w:val="006E5DAE"/>
    <w:rsid w:val="006E6240"/>
    <w:rsid w:val="006E634D"/>
    <w:rsid w:val="006E6B7C"/>
    <w:rsid w:val="006E6CFA"/>
    <w:rsid w:val="006E6D2F"/>
    <w:rsid w:val="006E6F46"/>
    <w:rsid w:val="006E77AF"/>
    <w:rsid w:val="006F0061"/>
    <w:rsid w:val="006F0DBD"/>
    <w:rsid w:val="006F2399"/>
    <w:rsid w:val="006F3291"/>
    <w:rsid w:val="006F37AE"/>
    <w:rsid w:val="006F394F"/>
    <w:rsid w:val="006F3D04"/>
    <w:rsid w:val="006F5244"/>
    <w:rsid w:val="006F5A92"/>
    <w:rsid w:val="006F6011"/>
    <w:rsid w:val="006F607E"/>
    <w:rsid w:val="006F6CE9"/>
    <w:rsid w:val="006F796F"/>
    <w:rsid w:val="007009CE"/>
    <w:rsid w:val="00700AFF"/>
    <w:rsid w:val="007012A9"/>
    <w:rsid w:val="00701625"/>
    <w:rsid w:val="007017F1"/>
    <w:rsid w:val="00702303"/>
    <w:rsid w:val="00702435"/>
    <w:rsid w:val="007024BF"/>
    <w:rsid w:val="00702AEF"/>
    <w:rsid w:val="00702E9F"/>
    <w:rsid w:val="00705298"/>
    <w:rsid w:val="00705383"/>
    <w:rsid w:val="00705559"/>
    <w:rsid w:val="007062C5"/>
    <w:rsid w:val="00706F9B"/>
    <w:rsid w:val="00707440"/>
    <w:rsid w:val="007104F3"/>
    <w:rsid w:val="00711152"/>
    <w:rsid w:val="00711496"/>
    <w:rsid w:val="007114D5"/>
    <w:rsid w:val="00712A60"/>
    <w:rsid w:val="00712EE4"/>
    <w:rsid w:val="00713CB9"/>
    <w:rsid w:val="00715302"/>
    <w:rsid w:val="00715356"/>
    <w:rsid w:val="00715816"/>
    <w:rsid w:val="00717B60"/>
    <w:rsid w:val="00717C0C"/>
    <w:rsid w:val="0072012A"/>
    <w:rsid w:val="007204D6"/>
    <w:rsid w:val="00720A89"/>
    <w:rsid w:val="00720E06"/>
    <w:rsid w:val="007217D5"/>
    <w:rsid w:val="00722691"/>
    <w:rsid w:val="007228FB"/>
    <w:rsid w:val="00722C6E"/>
    <w:rsid w:val="007240FB"/>
    <w:rsid w:val="00724DD3"/>
    <w:rsid w:val="007251E7"/>
    <w:rsid w:val="0072691F"/>
    <w:rsid w:val="00727352"/>
    <w:rsid w:val="0072756A"/>
    <w:rsid w:val="00727DEE"/>
    <w:rsid w:val="007303A2"/>
    <w:rsid w:val="007319F8"/>
    <w:rsid w:val="00731EF4"/>
    <w:rsid w:val="007338AA"/>
    <w:rsid w:val="00733D97"/>
    <w:rsid w:val="0073482C"/>
    <w:rsid w:val="00736AE7"/>
    <w:rsid w:val="00737057"/>
    <w:rsid w:val="0073725F"/>
    <w:rsid w:val="007377B3"/>
    <w:rsid w:val="00737AAA"/>
    <w:rsid w:val="00740FF1"/>
    <w:rsid w:val="00741B23"/>
    <w:rsid w:val="00741F53"/>
    <w:rsid w:val="00742B1A"/>
    <w:rsid w:val="00742DEC"/>
    <w:rsid w:val="00743FC6"/>
    <w:rsid w:val="007441A1"/>
    <w:rsid w:val="00744A98"/>
    <w:rsid w:val="00745475"/>
    <w:rsid w:val="00745CA4"/>
    <w:rsid w:val="0074774F"/>
    <w:rsid w:val="00747A2E"/>
    <w:rsid w:val="00747C6F"/>
    <w:rsid w:val="007503F1"/>
    <w:rsid w:val="0075100B"/>
    <w:rsid w:val="00751574"/>
    <w:rsid w:val="007516D0"/>
    <w:rsid w:val="00751B50"/>
    <w:rsid w:val="00751CE8"/>
    <w:rsid w:val="00751DF9"/>
    <w:rsid w:val="007521B8"/>
    <w:rsid w:val="007522F9"/>
    <w:rsid w:val="00753149"/>
    <w:rsid w:val="00753E4C"/>
    <w:rsid w:val="007544EA"/>
    <w:rsid w:val="007549F1"/>
    <w:rsid w:val="0075512E"/>
    <w:rsid w:val="00755E8F"/>
    <w:rsid w:val="0075664D"/>
    <w:rsid w:val="00757CA8"/>
    <w:rsid w:val="00757EDC"/>
    <w:rsid w:val="007624EB"/>
    <w:rsid w:val="007628C9"/>
    <w:rsid w:val="00762B7B"/>
    <w:rsid w:val="00763D85"/>
    <w:rsid w:val="00766112"/>
    <w:rsid w:val="00766113"/>
    <w:rsid w:val="00766A73"/>
    <w:rsid w:val="007674A7"/>
    <w:rsid w:val="007675F6"/>
    <w:rsid w:val="00767641"/>
    <w:rsid w:val="007676C7"/>
    <w:rsid w:val="00767C44"/>
    <w:rsid w:val="007711E2"/>
    <w:rsid w:val="00771E42"/>
    <w:rsid w:val="007725A8"/>
    <w:rsid w:val="00772D6B"/>
    <w:rsid w:val="00773002"/>
    <w:rsid w:val="007731B3"/>
    <w:rsid w:val="00777ECE"/>
    <w:rsid w:val="00781727"/>
    <w:rsid w:val="00781757"/>
    <w:rsid w:val="00782754"/>
    <w:rsid w:val="00782A64"/>
    <w:rsid w:val="00783044"/>
    <w:rsid w:val="00783218"/>
    <w:rsid w:val="0078327E"/>
    <w:rsid w:val="0078431B"/>
    <w:rsid w:val="0078436D"/>
    <w:rsid w:val="00785023"/>
    <w:rsid w:val="00785866"/>
    <w:rsid w:val="007865AD"/>
    <w:rsid w:val="007866C0"/>
    <w:rsid w:val="007878D4"/>
    <w:rsid w:val="00793BAF"/>
    <w:rsid w:val="0079409B"/>
    <w:rsid w:val="00794821"/>
    <w:rsid w:val="00794EAF"/>
    <w:rsid w:val="00794ED4"/>
    <w:rsid w:val="00796138"/>
    <w:rsid w:val="007972EE"/>
    <w:rsid w:val="00797848"/>
    <w:rsid w:val="00797A51"/>
    <w:rsid w:val="00797C9D"/>
    <w:rsid w:val="00797CD0"/>
    <w:rsid w:val="007A01B3"/>
    <w:rsid w:val="007A0249"/>
    <w:rsid w:val="007A0272"/>
    <w:rsid w:val="007A04F9"/>
    <w:rsid w:val="007A1384"/>
    <w:rsid w:val="007A1668"/>
    <w:rsid w:val="007A1A53"/>
    <w:rsid w:val="007A2367"/>
    <w:rsid w:val="007A25BF"/>
    <w:rsid w:val="007A431C"/>
    <w:rsid w:val="007A61E0"/>
    <w:rsid w:val="007A6962"/>
    <w:rsid w:val="007B0BDC"/>
    <w:rsid w:val="007B1FE5"/>
    <w:rsid w:val="007B2073"/>
    <w:rsid w:val="007B2AAC"/>
    <w:rsid w:val="007B2E79"/>
    <w:rsid w:val="007B4253"/>
    <w:rsid w:val="007B526B"/>
    <w:rsid w:val="007B5548"/>
    <w:rsid w:val="007B66B1"/>
    <w:rsid w:val="007B6BE6"/>
    <w:rsid w:val="007B7E41"/>
    <w:rsid w:val="007C052A"/>
    <w:rsid w:val="007C1058"/>
    <w:rsid w:val="007C134A"/>
    <w:rsid w:val="007C1CFA"/>
    <w:rsid w:val="007C3F52"/>
    <w:rsid w:val="007C4336"/>
    <w:rsid w:val="007C59F1"/>
    <w:rsid w:val="007C5B09"/>
    <w:rsid w:val="007C6371"/>
    <w:rsid w:val="007C7486"/>
    <w:rsid w:val="007D1140"/>
    <w:rsid w:val="007D11C4"/>
    <w:rsid w:val="007D1210"/>
    <w:rsid w:val="007D1A59"/>
    <w:rsid w:val="007D24D1"/>
    <w:rsid w:val="007D3210"/>
    <w:rsid w:val="007D3440"/>
    <w:rsid w:val="007D3B8A"/>
    <w:rsid w:val="007D4D8E"/>
    <w:rsid w:val="007D7205"/>
    <w:rsid w:val="007D769D"/>
    <w:rsid w:val="007E01E2"/>
    <w:rsid w:val="007E079C"/>
    <w:rsid w:val="007E1413"/>
    <w:rsid w:val="007E2BA9"/>
    <w:rsid w:val="007E58F7"/>
    <w:rsid w:val="007E5FD6"/>
    <w:rsid w:val="007E6068"/>
    <w:rsid w:val="007E6679"/>
    <w:rsid w:val="007E7AF9"/>
    <w:rsid w:val="007E7BBE"/>
    <w:rsid w:val="007F3749"/>
    <w:rsid w:val="007F4A93"/>
    <w:rsid w:val="007F5428"/>
    <w:rsid w:val="007F606D"/>
    <w:rsid w:val="007F6BF5"/>
    <w:rsid w:val="007F78C7"/>
    <w:rsid w:val="00801D71"/>
    <w:rsid w:val="00802636"/>
    <w:rsid w:val="00802690"/>
    <w:rsid w:val="00802B8E"/>
    <w:rsid w:val="008038A2"/>
    <w:rsid w:val="00804D19"/>
    <w:rsid w:val="00804DAA"/>
    <w:rsid w:val="00804FCE"/>
    <w:rsid w:val="008055FB"/>
    <w:rsid w:val="008066E8"/>
    <w:rsid w:val="00806BDF"/>
    <w:rsid w:val="00806D89"/>
    <w:rsid w:val="008072EA"/>
    <w:rsid w:val="00807390"/>
    <w:rsid w:val="0080760F"/>
    <w:rsid w:val="00810337"/>
    <w:rsid w:val="00810AFE"/>
    <w:rsid w:val="00811396"/>
    <w:rsid w:val="00813AE8"/>
    <w:rsid w:val="008141FD"/>
    <w:rsid w:val="00814E06"/>
    <w:rsid w:val="00815112"/>
    <w:rsid w:val="00815D4A"/>
    <w:rsid w:val="008166DE"/>
    <w:rsid w:val="00816D5B"/>
    <w:rsid w:val="00816ECB"/>
    <w:rsid w:val="00821496"/>
    <w:rsid w:val="00822AEC"/>
    <w:rsid w:val="0082397B"/>
    <w:rsid w:val="00823B8E"/>
    <w:rsid w:val="00823E1A"/>
    <w:rsid w:val="00823EE7"/>
    <w:rsid w:val="00824CE3"/>
    <w:rsid w:val="0082748D"/>
    <w:rsid w:val="00827724"/>
    <w:rsid w:val="00827A40"/>
    <w:rsid w:val="00831682"/>
    <w:rsid w:val="0083232E"/>
    <w:rsid w:val="00832C2B"/>
    <w:rsid w:val="008334DF"/>
    <w:rsid w:val="00833E57"/>
    <w:rsid w:val="008342FE"/>
    <w:rsid w:val="00837033"/>
    <w:rsid w:val="0083724B"/>
    <w:rsid w:val="008427E1"/>
    <w:rsid w:val="008432A0"/>
    <w:rsid w:val="00844E5F"/>
    <w:rsid w:val="00845132"/>
    <w:rsid w:val="0084587C"/>
    <w:rsid w:val="00845947"/>
    <w:rsid w:val="008462A1"/>
    <w:rsid w:val="0084687B"/>
    <w:rsid w:val="008470A3"/>
    <w:rsid w:val="008477B2"/>
    <w:rsid w:val="008501C1"/>
    <w:rsid w:val="00850EC8"/>
    <w:rsid w:val="0085145E"/>
    <w:rsid w:val="008514F8"/>
    <w:rsid w:val="00851869"/>
    <w:rsid w:val="008518AB"/>
    <w:rsid w:val="00851C6F"/>
    <w:rsid w:val="00852504"/>
    <w:rsid w:val="008529F5"/>
    <w:rsid w:val="00852CD9"/>
    <w:rsid w:val="008534AF"/>
    <w:rsid w:val="008535B1"/>
    <w:rsid w:val="008542E1"/>
    <w:rsid w:val="00854784"/>
    <w:rsid w:val="00854C88"/>
    <w:rsid w:val="00854DB5"/>
    <w:rsid w:val="00855299"/>
    <w:rsid w:val="00856123"/>
    <w:rsid w:val="00856EB3"/>
    <w:rsid w:val="008574A9"/>
    <w:rsid w:val="00861083"/>
    <w:rsid w:val="008614F6"/>
    <w:rsid w:val="00861590"/>
    <w:rsid w:val="00862156"/>
    <w:rsid w:val="00863014"/>
    <w:rsid w:val="00863556"/>
    <w:rsid w:val="008639EA"/>
    <w:rsid w:val="00863ED4"/>
    <w:rsid w:val="008651B5"/>
    <w:rsid w:val="008658B5"/>
    <w:rsid w:val="00865F66"/>
    <w:rsid w:val="00866610"/>
    <w:rsid w:val="008669AF"/>
    <w:rsid w:val="00866B98"/>
    <w:rsid w:val="008675AA"/>
    <w:rsid w:val="00867C5D"/>
    <w:rsid w:val="00873107"/>
    <w:rsid w:val="00875824"/>
    <w:rsid w:val="00875E4D"/>
    <w:rsid w:val="00876036"/>
    <w:rsid w:val="0087796A"/>
    <w:rsid w:val="00880AAD"/>
    <w:rsid w:val="00881676"/>
    <w:rsid w:val="0088168A"/>
    <w:rsid w:val="00881699"/>
    <w:rsid w:val="00884B73"/>
    <w:rsid w:val="00887AD0"/>
    <w:rsid w:val="008911DB"/>
    <w:rsid w:val="008912A3"/>
    <w:rsid w:val="008913FD"/>
    <w:rsid w:val="0089146A"/>
    <w:rsid w:val="00891DA0"/>
    <w:rsid w:val="0089288D"/>
    <w:rsid w:val="00892AED"/>
    <w:rsid w:val="00892DB2"/>
    <w:rsid w:val="008941B5"/>
    <w:rsid w:val="008962E9"/>
    <w:rsid w:val="00896F2B"/>
    <w:rsid w:val="00897621"/>
    <w:rsid w:val="00897CD9"/>
    <w:rsid w:val="00897D5C"/>
    <w:rsid w:val="008A201D"/>
    <w:rsid w:val="008A2265"/>
    <w:rsid w:val="008A30E4"/>
    <w:rsid w:val="008A3B02"/>
    <w:rsid w:val="008A4455"/>
    <w:rsid w:val="008A546F"/>
    <w:rsid w:val="008A5A8E"/>
    <w:rsid w:val="008A7072"/>
    <w:rsid w:val="008B0096"/>
    <w:rsid w:val="008B1796"/>
    <w:rsid w:val="008B1FC9"/>
    <w:rsid w:val="008B3541"/>
    <w:rsid w:val="008B48AD"/>
    <w:rsid w:val="008B4F0E"/>
    <w:rsid w:val="008B64AC"/>
    <w:rsid w:val="008B6BE5"/>
    <w:rsid w:val="008B7222"/>
    <w:rsid w:val="008B7491"/>
    <w:rsid w:val="008B7C4E"/>
    <w:rsid w:val="008B7D0F"/>
    <w:rsid w:val="008C027E"/>
    <w:rsid w:val="008C0A2F"/>
    <w:rsid w:val="008C0AAC"/>
    <w:rsid w:val="008C0D5D"/>
    <w:rsid w:val="008C256F"/>
    <w:rsid w:val="008C29DB"/>
    <w:rsid w:val="008C2BBB"/>
    <w:rsid w:val="008C3168"/>
    <w:rsid w:val="008C365B"/>
    <w:rsid w:val="008C43AB"/>
    <w:rsid w:val="008C54ED"/>
    <w:rsid w:val="008C5E21"/>
    <w:rsid w:val="008C70E3"/>
    <w:rsid w:val="008C73D8"/>
    <w:rsid w:val="008C7F52"/>
    <w:rsid w:val="008D05B3"/>
    <w:rsid w:val="008D0CA3"/>
    <w:rsid w:val="008D1203"/>
    <w:rsid w:val="008D1C2D"/>
    <w:rsid w:val="008D1D80"/>
    <w:rsid w:val="008D253A"/>
    <w:rsid w:val="008D2BD7"/>
    <w:rsid w:val="008D3435"/>
    <w:rsid w:val="008D345E"/>
    <w:rsid w:val="008D383C"/>
    <w:rsid w:val="008D39E6"/>
    <w:rsid w:val="008D3B7D"/>
    <w:rsid w:val="008D43A4"/>
    <w:rsid w:val="008D5426"/>
    <w:rsid w:val="008D55B5"/>
    <w:rsid w:val="008D57BC"/>
    <w:rsid w:val="008D58E4"/>
    <w:rsid w:val="008D60B6"/>
    <w:rsid w:val="008D789E"/>
    <w:rsid w:val="008D7D0E"/>
    <w:rsid w:val="008E021D"/>
    <w:rsid w:val="008E0448"/>
    <w:rsid w:val="008E122E"/>
    <w:rsid w:val="008E216D"/>
    <w:rsid w:val="008E27E3"/>
    <w:rsid w:val="008E33F3"/>
    <w:rsid w:val="008E38EE"/>
    <w:rsid w:val="008E453A"/>
    <w:rsid w:val="008E4916"/>
    <w:rsid w:val="008E49CD"/>
    <w:rsid w:val="008E4ED7"/>
    <w:rsid w:val="008E609B"/>
    <w:rsid w:val="008E6D84"/>
    <w:rsid w:val="008E742D"/>
    <w:rsid w:val="008F0FA7"/>
    <w:rsid w:val="008F15CD"/>
    <w:rsid w:val="008F1EEB"/>
    <w:rsid w:val="008F25D1"/>
    <w:rsid w:val="008F33A8"/>
    <w:rsid w:val="008F3671"/>
    <w:rsid w:val="008F4478"/>
    <w:rsid w:val="008F4F07"/>
    <w:rsid w:val="008F637A"/>
    <w:rsid w:val="008F6D66"/>
    <w:rsid w:val="008F7269"/>
    <w:rsid w:val="00900E71"/>
    <w:rsid w:val="009015C6"/>
    <w:rsid w:val="00901872"/>
    <w:rsid w:val="00901AC9"/>
    <w:rsid w:val="00901D5A"/>
    <w:rsid w:val="00901DC9"/>
    <w:rsid w:val="009021A4"/>
    <w:rsid w:val="00902DB2"/>
    <w:rsid w:val="0090357D"/>
    <w:rsid w:val="009037B3"/>
    <w:rsid w:val="00903A1A"/>
    <w:rsid w:val="00904CDF"/>
    <w:rsid w:val="009050C3"/>
    <w:rsid w:val="00906877"/>
    <w:rsid w:val="009100DF"/>
    <w:rsid w:val="00911822"/>
    <w:rsid w:val="00911CA0"/>
    <w:rsid w:val="00912602"/>
    <w:rsid w:val="00912D43"/>
    <w:rsid w:val="0091319F"/>
    <w:rsid w:val="009137D1"/>
    <w:rsid w:val="00913882"/>
    <w:rsid w:val="009138DE"/>
    <w:rsid w:val="00913FA8"/>
    <w:rsid w:val="00914C99"/>
    <w:rsid w:val="00914DC5"/>
    <w:rsid w:val="00914EC7"/>
    <w:rsid w:val="00915253"/>
    <w:rsid w:val="009157E1"/>
    <w:rsid w:val="00915B0C"/>
    <w:rsid w:val="00915EB2"/>
    <w:rsid w:val="0091689A"/>
    <w:rsid w:val="00917563"/>
    <w:rsid w:val="00921106"/>
    <w:rsid w:val="00921206"/>
    <w:rsid w:val="00921744"/>
    <w:rsid w:val="009222AF"/>
    <w:rsid w:val="0092365B"/>
    <w:rsid w:val="009236EB"/>
    <w:rsid w:val="009238B8"/>
    <w:rsid w:val="00926208"/>
    <w:rsid w:val="0092704C"/>
    <w:rsid w:val="00927051"/>
    <w:rsid w:val="009302C6"/>
    <w:rsid w:val="00931087"/>
    <w:rsid w:val="00931C40"/>
    <w:rsid w:val="00933BF9"/>
    <w:rsid w:val="00933C54"/>
    <w:rsid w:val="00935BA8"/>
    <w:rsid w:val="00936392"/>
    <w:rsid w:val="0093678A"/>
    <w:rsid w:val="00936B0F"/>
    <w:rsid w:val="00937B3E"/>
    <w:rsid w:val="009403FB"/>
    <w:rsid w:val="00940802"/>
    <w:rsid w:val="00940CAC"/>
    <w:rsid w:val="00943CF0"/>
    <w:rsid w:val="0094520A"/>
    <w:rsid w:val="009466B3"/>
    <w:rsid w:val="009471FA"/>
    <w:rsid w:val="00947379"/>
    <w:rsid w:val="00947E52"/>
    <w:rsid w:val="00950F5D"/>
    <w:rsid w:val="00951135"/>
    <w:rsid w:val="009518BF"/>
    <w:rsid w:val="00953A16"/>
    <w:rsid w:val="009541D9"/>
    <w:rsid w:val="00954F7D"/>
    <w:rsid w:val="00956449"/>
    <w:rsid w:val="009569B1"/>
    <w:rsid w:val="00957168"/>
    <w:rsid w:val="0095736B"/>
    <w:rsid w:val="00957965"/>
    <w:rsid w:val="0096063C"/>
    <w:rsid w:val="0096095E"/>
    <w:rsid w:val="00960BE7"/>
    <w:rsid w:val="009614F5"/>
    <w:rsid w:val="00962D19"/>
    <w:rsid w:val="0096438E"/>
    <w:rsid w:val="009648DA"/>
    <w:rsid w:val="0096572A"/>
    <w:rsid w:val="00965ECF"/>
    <w:rsid w:val="00966AC3"/>
    <w:rsid w:val="009704D4"/>
    <w:rsid w:val="0097096B"/>
    <w:rsid w:val="0097136A"/>
    <w:rsid w:val="00971574"/>
    <w:rsid w:val="009732A9"/>
    <w:rsid w:val="00973336"/>
    <w:rsid w:val="0097347A"/>
    <w:rsid w:val="00973E80"/>
    <w:rsid w:val="00973FE6"/>
    <w:rsid w:val="009741E5"/>
    <w:rsid w:val="00974B04"/>
    <w:rsid w:val="00975BBA"/>
    <w:rsid w:val="0097697C"/>
    <w:rsid w:val="00977809"/>
    <w:rsid w:val="00977C6F"/>
    <w:rsid w:val="00980D56"/>
    <w:rsid w:val="009822A3"/>
    <w:rsid w:val="00982502"/>
    <w:rsid w:val="00983E6B"/>
    <w:rsid w:val="0098419E"/>
    <w:rsid w:val="009841E8"/>
    <w:rsid w:val="00984816"/>
    <w:rsid w:val="00984A58"/>
    <w:rsid w:val="009851B5"/>
    <w:rsid w:val="009858A2"/>
    <w:rsid w:val="00985993"/>
    <w:rsid w:val="009862F2"/>
    <w:rsid w:val="009865B2"/>
    <w:rsid w:val="00990499"/>
    <w:rsid w:val="009909C6"/>
    <w:rsid w:val="00992143"/>
    <w:rsid w:val="00992F95"/>
    <w:rsid w:val="009931F7"/>
    <w:rsid w:val="0099344E"/>
    <w:rsid w:val="009935D3"/>
    <w:rsid w:val="00994234"/>
    <w:rsid w:val="009946E1"/>
    <w:rsid w:val="009959DA"/>
    <w:rsid w:val="00996BEE"/>
    <w:rsid w:val="00996C6B"/>
    <w:rsid w:val="009A1062"/>
    <w:rsid w:val="009A19D2"/>
    <w:rsid w:val="009A1EAA"/>
    <w:rsid w:val="009A21C7"/>
    <w:rsid w:val="009A21DA"/>
    <w:rsid w:val="009A21EF"/>
    <w:rsid w:val="009A3554"/>
    <w:rsid w:val="009A461F"/>
    <w:rsid w:val="009A4776"/>
    <w:rsid w:val="009A4A49"/>
    <w:rsid w:val="009A51A1"/>
    <w:rsid w:val="009A535E"/>
    <w:rsid w:val="009A582E"/>
    <w:rsid w:val="009A5CE0"/>
    <w:rsid w:val="009A6400"/>
    <w:rsid w:val="009B100D"/>
    <w:rsid w:val="009B1596"/>
    <w:rsid w:val="009B188A"/>
    <w:rsid w:val="009B1F5F"/>
    <w:rsid w:val="009B23B2"/>
    <w:rsid w:val="009B29BB"/>
    <w:rsid w:val="009B2AC5"/>
    <w:rsid w:val="009B2D9E"/>
    <w:rsid w:val="009B3638"/>
    <w:rsid w:val="009B4149"/>
    <w:rsid w:val="009B5391"/>
    <w:rsid w:val="009B5B11"/>
    <w:rsid w:val="009B65D4"/>
    <w:rsid w:val="009B6994"/>
    <w:rsid w:val="009B768D"/>
    <w:rsid w:val="009C028A"/>
    <w:rsid w:val="009C06DA"/>
    <w:rsid w:val="009C3366"/>
    <w:rsid w:val="009C36B6"/>
    <w:rsid w:val="009C4B5F"/>
    <w:rsid w:val="009C56D5"/>
    <w:rsid w:val="009C6AA0"/>
    <w:rsid w:val="009C6AC3"/>
    <w:rsid w:val="009C7382"/>
    <w:rsid w:val="009C7E3F"/>
    <w:rsid w:val="009D094B"/>
    <w:rsid w:val="009D0A17"/>
    <w:rsid w:val="009D2F8F"/>
    <w:rsid w:val="009D34AB"/>
    <w:rsid w:val="009D3C9C"/>
    <w:rsid w:val="009D3E6E"/>
    <w:rsid w:val="009D5C85"/>
    <w:rsid w:val="009D5C97"/>
    <w:rsid w:val="009D5EFD"/>
    <w:rsid w:val="009D5F0D"/>
    <w:rsid w:val="009D6B90"/>
    <w:rsid w:val="009D7867"/>
    <w:rsid w:val="009D7C88"/>
    <w:rsid w:val="009E0184"/>
    <w:rsid w:val="009E05D2"/>
    <w:rsid w:val="009E0A9E"/>
    <w:rsid w:val="009E0B44"/>
    <w:rsid w:val="009E0CD4"/>
    <w:rsid w:val="009E2297"/>
    <w:rsid w:val="009E27C7"/>
    <w:rsid w:val="009E2C86"/>
    <w:rsid w:val="009E3456"/>
    <w:rsid w:val="009E3D31"/>
    <w:rsid w:val="009E47AF"/>
    <w:rsid w:val="009E513A"/>
    <w:rsid w:val="009E54E6"/>
    <w:rsid w:val="009E5769"/>
    <w:rsid w:val="009E5B94"/>
    <w:rsid w:val="009E714A"/>
    <w:rsid w:val="009F1BC9"/>
    <w:rsid w:val="009F29F5"/>
    <w:rsid w:val="009F2C44"/>
    <w:rsid w:val="009F2CDB"/>
    <w:rsid w:val="009F376A"/>
    <w:rsid w:val="009F40D8"/>
    <w:rsid w:val="009F5C9A"/>
    <w:rsid w:val="009F5E85"/>
    <w:rsid w:val="009F64E0"/>
    <w:rsid w:val="009F7170"/>
    <w:rsid w:val="009F7837"/>
    <w:rsid w:val="009F784F"/>
    <w:rsid w:val="009F7B92"/>
    <w:rsid w:val="00A004B2"/>
    <w:rsid w:val="00A008C6"/>
    <w:rsid w:val="00A0150D"/>
    <w:rsid w:val="00A01BCC"/>
    <w:rsid w:val="00A01E4A"/>
    <w:rsid w:val="00A01EFC"/>
    <w:rsid w:val="00A03290"/>
    <w:rsid w:val="00A03A89"/>
    <w:rsid w:val="00A040A2"/>
    <w:rsid w:val="00A044AC"/>
    <w:rsid w:val="00A04C2E"/>
    <w:rsid w:val="00A04C82"/>
    <w:rsid w:val="00A06D9F"/>
    <w:rsid w:val="00A0742F"/>
    <w:rsid w:val="00A075E2"/>
    <w:rsid w:val="00A07802"/>
    <w:rsid w:val="00A0784E"/>
    <w:rsid w:val="00A10C2C"/>
    <w:rsid w:val="00A10FF0"/>
    <w:rsid w:val="00A117E4"/>
    <w:rsid w:val="00A11E09"/>
    <w:rsid w:val="00A12BC9"/>
    <w:rsid w:val="00A12EC3"/>
    <w:rsid w:val="00A13F3A"/>
    <w:rsid w:val="00A14208"/>
    <w:rsid w:val="00A14B35"/>
    <w:rsid w:val="00A14ECA"/>
    <w:rsid w:val="00A1533B"/>
    <w:rsid w:val="00A157F1"/>
    <w:rsid w:val="00A15FCC"/>
    <w:rsid w:val="00A162ED"/>
    <w:rsid w:val="00A16C78"/>
    <w:rsid w:val="00A16EE2"/>
    <w:rsid w:val="00A175EF"/>
    <w:rsid w:val="00A20577"/>
    <w:rsid w:val="00A21DA3"/>
    <w:rsid w:val="00A22538"/>
    <w:rsid w:val="00A22556"/>
    <w:rsid w:val="00A22746"/>
    <w:rsid w:val="00A23910"/>
    <w:rsid w:val="00A23C88"/>
    <w:rsid w:val="00A24227"/>
    <w:rsid w:val="00A24353"/>
    <w:rsid w:val="00A24471"/>
    <w:rsid w:val="00A250B8"/>
    <w:rsid w:val="00A25142"/>
    <w:rsid w:val="00A2632F"/>
    <w:rsid w:val="00A263F6"/>
    <w:rsid w:val="00A264C3"/>
    <w:rsid w:val="00A2652D"/>
    <w:rsid w:val="00A26531"/>
    <w:rsid w:val="00A26C90"/>
    <w:rsid w:val="00A3038E"/>
    <w:rsid w:val="00A3112D"/>
    <w:rsid w:val="00A31EBC"/>
    <w:rsid w:val="00A31F4D"/>
    <w:rsid w:val="00A32873"/>
    <w:rsid w:val="00A32F96"/>
    <w:rsid w:val="00A333B0"/>
    <w:rsid w:val="00A344C7"/>
    <w:rsid w:val="00A358B3"/>
    <w:rsid w:val="00A35ACD"/>
    <w:rsid w:val="00A35D69"/>
    <w:rsid w:val="00A36F41"/>
    <w:rsid w:val="00A3720B"/>
    <w:rsid w:val="00A376E5"/>
    <w:rsid w:val="00A37DB0"/>
    <w:rsid w:val="00A4010D"/>
    <w:rsid w:val="00A40191"/>
    <w:rsid w:val="00A41EF2"/>
    <w:rsid w:val="00A420E3"/>
    <w:rsid w:val="00A429EF"/>
    <w:rsid w:val="00A436FA"/>
    <w:rsid w:val="00A43AC8"/>
    <w:rsid w:val="00A44FE8"/>
    <w:rsid w:val="00A45840"/>
    <w:rsid w:val="00A45A31"/>
    <w:rsid w:val="00A45E49"/>
    <w:rsid w:val="00A46890"/>
    <w:rsid w:val="00A47915"/>
    <w:rsid w:val="00A4796E"/>
    <w:rsid w:val="00A502AC"/>
    <w:rsid w:val="00A50E23"/>
    <w:rsid w:val="00A512EE"/>
    <w:rsid w:val="00A51AF9"/>
    <w:rsid w:val="00A51EA0"/>
    <w:rsid w:val="00A53303"/>
    <w:rsid w:val="00A53680"/>
    <w:rsid w:val="00A53777"/>
    <w:rsid w:val="00A53A5B"/>
    <w:rsid w:val="00A54B83"/>
    <w:rsid w:val="00A54CF7"/>
    <w:rsid w:val="00A55186"/>
    <w:rsid w:val="00A55769"/>
    <w:rsid w:val="00A55B17"/>
    <w:rsid w:val="00A56470"/>
    <w:rsid w:val="00A60A2A"/>
    <w:rsid w:val="00A6121F"/>
    <w:rsid w:val="00A62CAD"/>
    <w:rsid w:val="00A62ED0"/>
    <w:rsid w:val="00A63697"/>
    <w:rsid w:val="00A6392B"/>
    <w:rsid w:val="00A643F2"/>
    <w:rsid w:val="00A648A1"/>
    <w:rsid w:val="00A64C30"/>
    <w:rsid w:val="00A65680"/>
    <w:rsid w:val="00A656B4"/>
    <w:rsid w:val="00A65BA6"/>
    <w:rsid w:val="00A65CD9"/>
    <w:rsid w:val="00A6754A"/>
    <w:rsid w:val="00A67AE3"/>
    <w:rsid w:val="00A67CAB"/>
    <w:rsid w:val="00A67E64"/>
    <w:rsid w:val="00A704CE"/>
    <w:rsid w:val="00A705E8"/>
    <w:rsid w:val="00A70C14"/>
    <w:rsid w:val="00A70CB4"/>
    <w:rsid w:val="00A71C02"/>
    <w:rsid w:val="00A72F54"/>
    <w:rsid w:val="00A737F8"/>
    <w:rsid w:val="00A73837"/>
    <w:rsid w:val="00A73C04"/>
    <w:rsid w:val="00A7415E"/>
    <w:rsid w:val="00A741BE"/>
    <w:rsid w:val="00A77533"/>
    <w:rsid w:val="00A77887"/>
    <w:rsid w:val="00A80DC0"/>
    <w:rsid w:val="00A8113F"/>
    <w:rsid w:val="00A8325C"/>
    <w:rsid w:val="00A83AA9"/>
    <w:rsid w:val="00A83CBF"/>
    <w:rsid w:val="00A83D44"/>
    <w:rsid w:val="00A83E03"/>
    <w:rsid w:val="00A846BA"/>
    <w:rsid w:val="00A84C60"/>
    <w:rsid w:val="00A865C4"/>
    <w:rsid w:val="00A8677C"/>
    <w:rsid w:val="00A86B73"/>
    <w:rsid w:val="00A86CC7"/>
    <w:rsid w:val="00A86CE5"/>
    <w:rsid w:val="00A86F6D"/>
    <w:rsid w:val="00A90534"/>
    <w:rsid w:val="00A9082C"/>
    <w:rsid w:val="00A90AED"/>
    <w:rsid w:val="00A90F47"/>
    <w:rsid w:val="00A90FED"/>
    <w:rsid w:val="00A917C8"/>
    <w:rsid w:val="00A91E2B"/>
    <w:rsid w:val="00A937DC"/>
    <w:rsid w:val="00A94FBD"/>
    <w:rsid w:val="00A96216"/>
    <w:rsid w:val="00A96341"/>
    <w:rsid w:val="00A96976"/>
    <w:rsid w:val="00A97976"/>
    <w:rsid w:val="00A97E5B"/>
    <w:rsid w:val="00AA0A9E"/>
    <w:rsid w:val="00AA11A7"/>
    <w:rsid w:val="00AA1326"/>
    <w:rsid w:val="00AA211C"/>
    <w:rsid w:val="00AA224A"/>
    <w:rsid w:val="00AA22DE"/>
    <w:rsid w:val="00AA2312"/>
    <w:rsid w:val="00AA2989"/>
    <w:rsid w:val="00AA3A10"/>
    <w:rsid w:val="00AA4AD7"/>
    <w:rsid w:val="00AA4AFC"/>
    <w:rsid w:val="00AA5388"/>
    <w:rsid w:val="00AA6174"/>
    <w:rsid w:val="00AA722F"/>
    <w:rsid w:val="00AA7A34"/>
    <w:rsid w:val="00AB0019"/>
    <w:rsid w:val="00AB076C"/>
    <w:rsid w:val="00AB13D9"/>
    <w:rsid w:val="00AB15BB"/>
    <w:rsid w:val="00AB1BB3"/>
    <w:rsid w:val="00AB270F"/>
    <w:rsid w:val="00AB2D5A"/>
    <w:rsid w:val="00AB2D9E"/>
    <w:rsid w:val="00AB3B31"/>
    <w:rsid w:val="00AB3B58"/>
    <w:rsid w:val="00AB4095"/>
    <w:rsid w:val="00AB4251"/>
    <w:rsid w:val="00AB4266"/>
    <w:rsid w:val="00AB46D9"/>
    <w:rsid w:val="00AB5361"/>
    <w:rsid w:val="00AB72C3"/>
    <w:rsid w:val="00AB7331"/>
    <w:rsid w:val="00AB7491"/>
    <w:rsid w:val="00AC1B1E"/>
    <w:rsid w:val="00AC1E88"/>
    <w:rsid w:val="00AC24DB"/>
    <w:rsid w:val="00AC2C93"/>
    <w:rsid w:val="00AC509D"/>
    <w:rsid w:val="00AC5588"/>
    <w:rsid w:val="00AC5D32"/>
    <w:rsid w:val="00AC6DF2"/>
    <w:rsid w:val="00AC7C64"/>
    <w:rsid w:val="00AD003F"/>
    <w:rsid w:val="00AD1135"/>
    <w:rsid w:val="00AD3991"/>
    <w:rsid w:val="00AD3BC4"/>
    <w:rsid w:val="00AD4720"/>
    <w:rsid w:val="00AD477C"/>
    <w:rsid w:val="00AD5205"/>
    <w:rsid w:val="00AD6528"/>
    <w:rsid w:val="00AD7CA7"/>
    <w:rsid w:val="00AE1C01"/>
    <w:rsid w:val="00AE3287"/>
    <w:rsid w:val="00AE3FFE"/>
    <w:rsid w:val="00AE41C9"/>
    <w:rsid w:val="00AE4A16"/>
    <w:rsid w:val="00AE4CAC"/>
    <w:rsid w:val="00AE51E3"/>
    <w:rsid w:val="00AE51EE"/>
    <w:rsid w:val="00AE52F1"/>
    <w:rsid w:val="00AE6298"/>
    <w:rsid w:val="00AE6608"/>
    <w:rsid w:val="00AE680D"/>
    <w:rsid w:val="00AE7D8A"/>
    <w:rsid w:val="00AF09A1"/>
    <w:rsid w:val="00AF39F7"/>
    <w:rsid w:val="00AF44C3"/>
    <w:rsid w:val="00AF4CB4"/>
    <w:rsid w:val="00AF560B"/>
    <w:rsid w:val="00AF5A8D"/>
    <w:rsid w:val="00AF6FD1"/>
    <w:rsid w:val="00AF76C9"/>
    <w:rsid w:val="00AF7AD0"/>
    <w:rsid w:val="00B00683"/>
    <w:rsid w:val="00B01CA4"/>
    <w:rsid w:val="00B01CF6"/>
    <w:rsid w:val="00B01DB7"/>
    <w:rsid w:val="00B025F1"/>
    <w:rsid w:val="00B02920"/>
    <w:rsid w:val="00B02A68"/>
    <w:rsid w:val="00B02E26"/>
    <w:rsid w:val="00B035A5"/>
    <w:rsid w:val="00B03783"/>
    <w:rsid w:val="00B03A7D"/>
    <w:rsid w:val="00B049F6"/>
    <w:rsid w:val="00B05F19"/>
    <w:rsid w:val="00B06A40"/>
    <w:rsid w:val="00B07604"/>
    <w:rsid w:val="00B07A07"/>
    <w:rsid w:val="00B07B31"/>
    <w:rsid w:val="00B10E1F"/>
    <w:rsid w:val="00B113F7"/>
    <w:rsid w:val="00B1186A"/>
    <w:rsid w:val="00B12C80"/>
    <w:rsid w:val="00B12D96"/>
    <w:rsid w:val="00B12E4E"/>
    <w:rsid w:val="00B13E9B"/>
    <w:rsid w:val="00B145FB"/>
    <w:rsid w:val="00B15F02"/>
    <w:rsid w:val="00B1762E"/>
    <w:rsid w:val="00B201A5"/>
    <w:rsid w:val="00B20A66"/>
    <w:rsid w:val="00B219C9"/>
    <w:rsid w:val="00B21CDD"/>
    <w:rsid w:val="00B22557"/>
    <w:rsid w:val="00B22875"/>
    <w:rsid w:val="00B22C2E"/>
    <w:rsid w:val="00B24A1D"/>
    <w:rsid w:val="00B2521C"/>
    <w:rsid w:val="00B25FA1"/>
    <w:rsid w:val="00B2661D"/>
    <w:rsid w:val="00B266B4"/>
    <w:rsid w:val="00B30378"/>
    <w:rsid w:val="00B3053F"/>
    <w:rsid w:val="00B315CA"/>
    <w:rsid w:val="00B32F45"/>
    <w:rsid w:val="00B33346"/>
    <w:rsid w:val="00B33E94"/>
    <w:rsid w:val="00B354BA"/>
    <w:rsid w:val="00B36FA4"/>
    <w:rsid w:val="00B37D67"/>
    <w:rsid w:val="00B41492"/>
    <w:rsid w:val="00B42123"/>
    <w:rsid w:val="00B426C8"/>
    <w:rsid w:val="00B431C9"/>
    <w:rsid w:val="00B43F86"/>
    <w:rsid w:val="00B4465E"/>
    <w:rsid w:val="00B44B3C"/>
    <w:rsid w:val="00B45C46"/>
    <w:rsid w:val="00B45D11"/>
    <w:rsid w:val="00B46AE4"/>
    <w:rsid w:val="00B46B39"/>
    <w:rsid w:val="00B471FB"/>
    <w:rsid w:val="00B47315"/>
    <w:rsid w:val="00B50FC9"/>
    <w:rsid w:val="00B51A80"/>
    <w:rsid w:val="00B520FF"/>
    <w:rsid w:val="00B5296A"/>
    <w:rsid w:val="00B534BA"/>
    <w:rsid w:val="00B53541"/>
    <w:rsid w:val="00B53CE8"/>
    <w:rsid w:val="00B53D45"/>
    <w:rsid w:val="00B548FD"/>
    <w:rsid w:val="00B549E7"/>
    <w:rsid w:val="00B54A9D"/>
    <w:rsid w:val="00B566CD"/>
    <w:rsid w:val="00B56BAF"/>
    <w:rsid w:val="00B56E61"/>
    <w:rsid w:val="00B5793A"/>
    <w:rsid w:val="00B57C60"/>
    <w:rsid w:val="00B60BF7"/>
    <w:rsid w:val="00B60D5F"/>
    <w:rsid w:val="00B635D3"/>
    <w:rsid w:val="00B635E8"/>
    <w:rsid w:val="00B6409D"/>
    <w:rsid w:val="00B64C91"/>
    <w:rsid w:val="00B657E9"/>
    <w:rsid w:val="00B66564"/>
    <w:rsid w:val="00B6672D"/>
    <w:rsid w:val="00B66CA7"/>
    <w:rsid w:val="00B66CE4"/>
    <w:rsid w:val="00B66E36"/>
    <w:rsid w:val="00B6720B"/>
    <w:rsid w:val="00B673A0"/>
    <w:rsid w:val="00B6778E"/>
    <w:rsid w:val="00B67868"/>
    <w:rsid w:val="00B67C62"/>
    <w:rsid w:val="00B713B8"/>
    <w:rsid w:val="00B7235F"/>
    <w:rsid w:val="00B723F1"/>
    <w:rsid w:val="00B725AD"/>
    <w:rsid w:val="00B72C9B"/>
    <w:rsid w:val="00B732BC"/>
    <w:rsid w:val="00B73575"/>
    <w:rsid w:val="00B735D5"/>
    <w:rsid w:val="00B73DBA"/>
    <w:rsid w:val="00B745DA"/>
    <w:rsid w:val="00B74D26"/>
    <w:rsid w:val="00B74D9C"/>
    <w:rsid w:val="00B75521"/>
    <w:rsid w:val="00B7567F"/>
    <w:rsid w:val="00B76414"/>
    <w:rsid w:val="00B766A7"/>
    <w:rsid w:val="00B77252"/>
    <w:rsid w:val="00B776BB"/>
    <w:rsid w:val="00B802DA"/>
    <w:rsid w:val="00B81318"/>
    <w:rsid w:val="00B82324"/>
    <w:rsid w:val="00B8314B"/>
    <w:rsid w:val="00B837D8"/>
    <w:rsid w:val="00B83B4D"/>
    <w:rsid w:val="00B840AB"/>
    <w:rsid w:val="00B86225"/>
    <w:rsid w:val="00B86E2B"/>
    <w:rsid w:val="00B873D0"/>
    <w:rsid w:val="00B87537"/>
    <w:rsid w:val="00B87554"/>
    <w:rsid w:val="00B879EF"/>
    <w:rsid w:val="00B87A5E"/>
    <w:rsid w:val="00B903DF"/>
    <w:rsid w:val="00B91432"/>
    <w:rsid w:val="00B9199D"/>
    <w:rsid w:val="00B93447"/>
    <w:rsid w:val="00B94012"/>
    <w:rsid w:val="00B95302"/>
    <w:rsid w:val="00B95B12"/>
    <w:rsid w:val="00B95EB5"/>
    <w:rsid w:val="00B96989"/>
    <w:rsid w:val="00B96C95"/>
    <w:rsid w:val="00B96EBD"/>
    <w:rsid w:val="00B97F36"/>
    <w:rsid w:val="00B97F79"/>
    <w:rsid w:val="00BA0BDD"/>
    <w:rsid w:val="00BA1D32"/>
    <w:rsid w:val="00BA2094"/>
    <w:rsid w:val="00BA2C4F"/>
    <w:rsid w:val="00BA2DFE"/>
    <w:rsid w:val="00BA3418"/>
    <w:rsid w:val="00BA45CA"/>
    <w:rsid w:val="00BA5123"/>
    <w:rsid w:val="00BA5C2C"/>
    <w:rsid w:val="00BA5DEF"/>
    <w:rsid w:val="00BA6925"/>
    <w:rsid w:val="00BA6FB7"/>
    <w:rsid w:val="00BB06B4"/>
    <w:rsid w:val="00BB0C62"/>
    <w:rsid w:val="00BB136E"/>
    <w:rsid w:val="00BB1967"/>
    <w:rsid w:val="00BB3B74"/>
    <w:rsid w:val="00BB4197"/>
    <w:rsid w:val="00BB48C6"/>
    <w:rsid w:val="00BB4A42"/>
    <w:rsid w:val="00BB4C6C"/>
    <w:rsid w:val="00BB565F"/>
    <w:rsid w:val="00BB5B39"/>
    <w:rsid w:val="00BB61EB"/>
    <w:rsid w:val="00BB69F0"/>
    <w:rsid w:val="00BB6C94"/>
    <w:rsid w:val="00BC1767"/>
    <w:rsid w:val="00BC2586"/>
    <w:rsid w:val="00BC2B04"/>
    <w:rsid w:val="00BC2BFF"/>
    <w:rsid w:val="00BC35DF"/>
    <w:rsid w:val="00BC4492"/>
    <w:rsid w:val="00BC44BF"/>
    <w:rsid w:val="00BC4D3E"/>
    <w:rsid w:val="00BC5257"/>
    <w:rsid w:val="00BC577C"/>
    <w:rsid w:val="00BC5E4E"/>
    <w:rsid w:val="00BC69A5"/>
    <w:rsid w:val="00BC75B8"/>
    <w:rsid w:val="00BD0686"/>
    <w:rsid w:val="00BD109F"/>
    <w:rsid w:val="00BD12DC"/>
    <w:rsid w:val="00BD1DDD"/>
    <w:rsid w:val="00BD25B9"/>
    <w:rsid w:val="00BD3080"/>
    <w:rsid w:val="00BD3421"/>
    <w:rsid w:val="00BD3E3A"/>
    <w:rsid w:val="00BD445C"/>
    <w:rsid w:val="00BD4BA6"/>
    <w:rsid w:val="00BD7127"/>
    <w:rsid w:val="00BE2C3A"/>
    <w:rsid w:val="00BE336B"/>
    <w:rsid w:val="00BE356E"/>
    <w:rsid w:val="00BE4147"/>
    <w:rsid w:val="00BE4F4F"/>
    <w:rsid w:val="00BE522F"/>
    <w:rsid w:val="00BE60F3"/>
    <w:rsid w:val="00BE75C9"/>
    <w:rsid w:val="00BE7BA6"/>
    <w:rsid w:val="00BF0FA1"/>
    <w:rsid w:val="00BF161B"/>
    <w:rsid w:val="00BF1723"/>
    <w:rsid w:val="00BF2335"/>
    <w:rsid w:val="00BF2EE5"/>
    <w:rsid w:val="00BF2FBD"/>
    <w:rsid w:val="00BF33DB"/>
    <w:rsid w:val="00BF43CF"/>
    <w:rsid w:val="00BF492A"/>
    <w:rsid w:val="00BF5519"/>
    <w:rsid w:val="00BF5F59"/>
    <w:rsid w:val="00BF60CB"/>
    <w:rsid w:val="00BF6236"/>
    <w:rsid w:val="00BF6699"/>
    <w:rsid w:val="00BF702C"/>
    <w:rsid w:val="00C00253"/>
    <w:rsid w:val="00C01398"/>
    <w:rsid w:val="00C0160E"/>
    <w:rsid w:val="00C01749"/>
    <w:rsid w:val="00C01E33"/>
    <w:rsid w:val="00C0204D"/>
    <w:rsid w:val="00C021AA"/>
    <w:rsid w:val="00C021C8"/>
    <w:rsid w:val="00C0256C"/>
    <w:rsid w:val="00C02676"/>
    <w:rsid w:val="00C02A1C"/>
    <w:rsid w:val="00C02A34"/>
    <w:rsid w:val="00C036DB"/>
    <w:rsid w:val="00C04B9B"/>
    <w:rsid w:val="00C04FA0"/>
    <w:rsid w:val="00C051E6"/>
    <w:rsid w:val="00C05CF0"/>
    <w:rsid w:val="00C06397"/>
    <w:rsid w:val="00C06449"/>
    <w:rsid w:val="00C107FE"/>
    <w:rsid w:val="00C117D3"/>
    <w:rsid w:val="00C119FB"/>
    <w:rsid w:val="00C11F99"/>
    <w:rsid w:val="00C12030"/>
    <w:rsid w:val="00C12E40"/>
    <w:rsid w:val="00C13CE5"/>
    <w:rsid w:val="00C14FFA"/>
    <w:rsid w:val="00C15267"/>
    <w:rsid w:val="00C157E5"/>
    <w:rsid w:val="00C15BDE"/>
    <w:rsid w:val="00C16BF5"/>
    <w:rsid w:val="00C16CD1"/>
    <w:rsid w:val="00C179C6"/>
    <w:rsid w:val="00C208F5"/>
    <w:rsid w:val="00C20A59"/>
    <w:rsid w:val="00C218DB"/>
    <w:rsid w:val="00C2193E"/>
    <w:rsid w:val="00C21C6C"/>
    <w:rsid w:val="00C21D07"/>
    <w:rsid w:val="00C21D41"/>
    <w:rsid w:val="00C22589"/>
    <w:rsid w:val="00C22813"/>
    <w:rsid w:val="00C232E0"/>
    <w:rsid w:val="00C233BD"/>
    <w:rsid w:val="00C239B9"/>
    <w:rsid w:val="00C23FA8"/>
    <w:rsid w:val="00C245B2"/>
    <w:rsid w:val="00C24F9F"/>
    <w:rsid w:val="00C2502F"/>
    <w:rsid w:val="00C25C38"/>
    <w:rsid w:val="00C26183"/>
    <w:rsid w:val="00C2627F"/>
    <w:rsid w:val="00C2671B"/>
    <w:rsid w:val="00C26840"/>
    <w:rsid w:val="00C3081F"/>
    <w:rsid w:val="00C30BFB"/>
    <w:rsid w:val="00C312AE"/>
    <w:rsid w:val="00C319AE"/>
    <w:rsid w:val="00C31C3C"/>
    <w:rsid w:val="00C32A36"/>
    <w:rsid w:val="00C332BB"/>
    <w:rsid w:val="00C3377A"/>
    <w:rsid w:val="00C34299"/>
    <w:rsid w:val="00C3484F"/>
    <w:rsid w:val="00C36384"/>
    <w:rsid w:val="00C36D28"/>
    <w:rsid w:val="00C372DE"/>
    <w:rsid w:val="00C37550"/>
    <w:rsid w:val="00C37700"/>
    <w:rsid w:val="00C379FE"/>
    <w:rsid w:val="00C40F87"/>
    <w:rsid w:val="00C41A10"/>
    <w:rsid w:val="00C43665"/>
    <w:rsid w:val="00C4370C"/>
    <w:rsid w:val="00C44B60"/>
    <w:rsid w:val="00C45154"/>
    <w:rsid w:val="00C4547F"/>
    <w:rsid w:val="00C45A76"/>
    <w:rsid w:val="00C45F92"/>
    <w:rsid w:val="00C50095"/>
    <w:rsid w:val="00C50810"/>
    <w:rsid w:val="00C511DE"/>
    <w:rsid w:val="00C51291"/>
    <w:rsid w:val="00C513F9"/>
    <w:rsid w:val="00C52D5E"/>
    <w:rsid w:val="00C52E09"/>
    <w:rsid w:val="00C52EC5"/>
    <w:rsid w:val="00C52FD9"/>
    <w:rsid w:val="00C554F3"/>
    <w:rsid w:val="00C55851"/>
    <w:rsid w:val="00C55FC7"/>
    <w:rsid w:val="00C56750"/>
    <w:rsid w:val="00C56BA7"/>
    <w:rsid w:val="00C5711D"/>
    <w:rsid w:val="00C57B79"/>
    <w:rsid w:val="00C60FDE"/>
    <w:rsid w:val="00C62764"/>
    <w:rsid w:val="00C629BD"/>
    <w:rsid w:val="00C63D98"/>
    <w:rsid w:val="00C64308"/>
    <w:rsid w:val="00C64E46"/>
    <w:rsid w:val="00C65AD6"/>
    <w:rsid w:val="00C65EE4"/>
    <w:rsid w:val="00C6646C"/>
    <w:rsid w:val="00C66F89"/>
    <w:rsid w:val="00C6720A"/>
    <w:rsid w:val="00C67493"/>
    <w:rsid w:val="00C70D12"/>
    <w:rsid w:val="00C720EE"/>
    <w:rsid w:val="00C72D04"/>
    <w:rsid w:val="00C73089"/>
    <w:rsid w:val="00C7311D"/>
    <w:rsid w:val="00C74276"/>
    <w:rsid w:val="00C74C1F"/>
    <w:rsid w:val="00C75D45"/>
    <w:rsid w:val="00C76089"/>
    <w:rsid w:val="00C761EB"/>
    <w:rsid w:val="00C764FB"/>
    <w:rsid w:val="00C7683A"/>
    <w:rsid w:val="00C8021F"/>
    <w:rsid w:val="00C80350"/>
    <w:rsid w:val="00C8292D"/>
    <w:rsid w:val="00C82F0E"/>
    <w:rsid w:val="00C83186"/>
    <w:rsid w:val="00C838DE"/>
    <w:rsid w:val="00C8566D"/>
    <w:rsid w:val="00C85FD5"/>
    <w:rsid w:val="00C8693C"/>
    <w:rsid w:val="00C87674"/>
    <w:rsid w:val="00C90328"/>
    <w:rsid w:val="00C9081D"/>
    <w:rsid w:val="00C90B30"/>
    <w:rsid w:val="00C90E7F"/>
    <w:rsid w:val="00C9164A"/>
    <w:rsid w:val="00C927C1"/>
    <w:rsid w:val="00C9390D"/>
    <w:rsid w:val="00C94048"/>
    <w:rsid w:val="00C95B86"/>
    <w:rsid w:val="00C9624D"/>
    <w:rsid w:val="00C9683C"/>
    <w:rsid w:val="00CA08AA"/>
    <w:rsid w:val="00CA0EF0"/>
    <w:rsid w:val="00CA1552"/>
    <w:rsid w:val="00CA168B"/>
    <w:rsid w:val="00CA1D69"/>
    <w:rsid w:val="00CA1EFD"/>
    <w:rsid w:val="00CA2703"/>
    <w:rsid w:val="00CA2A04"/>
    <w:rsid w:val="00CA3EAF"/>
    <w:rsid w:val="00CA4E05"/>
    <w:rsid w:val="00CA5BD0"/>
    <w:rsid w:val="00CA7BAD"/>
    <w:rsid w:val="00CB0CC3"/>
    <w:rsid w:val="00CB2213"/>
    <w:rsid w:val="00CB245D"/>
    <w:rsid w:val="00CB331F"/>
    <w:rsid w:val="00CB3CEF"/>
    <w:rsid w:val="00CB3D67"/>
    <w:rsid w:val="00CB3ECC"/>
    <w:rsid w:val="00CB4914"/>
    <w:rsid w:val="00CB53E4"/>
    <w:rsid w:val="00CB5834"/>
    <w:rsid w:val="00CB6C07"/>
    <w:rsid w:val="00CB73F8"/>
    <w:rsid w:val="00CB7567"/>
    <w:rsid w:val="00CC090E"/>
    <w:rsid w:val="00CC1279"/>
    <w:rsid w:val="00CC1666"/>
    <w:rsid w:val="00CC1680"/>
    <w:rsid w:val="00CC1FEE"/>
    <w:rsid w:val="00CC221E"/>
    <w:rsid w:val="00CC331F"/>
    <w:rsid w:val="00CC3839"/>
    <w:rsid w:val="00CC4348"/>
    <w:rsid w:val="00CC4F3A"/>
    <w:rsid w:val="00CC5B02"/>
    <w:rsid w:val="00CC5EFF"/>
    <w:rsid w:val="00CC6366"/>
    <w:rsid w:val="00CC65B6"/>
    <w:rsid w:val="00CC7FAB"/>
    <w:rsid w:val="00CD00AA"/>
    <w:rsid w:val="00CD00E6"/>
    <w:rsid w:val="00CD06DE"/>
    <w:rsid w:val="00CD10E4"/>
    <w:rsid w:val="00CD19F2"/>
    <w:rsid w:val="00CD1E46"/>
    <w:rsid w:val="00CD2735"/>
    <w:rsid w:val="00CD3131"/>
    <w:rsid w:val="00CD43D5"/>
    <w:rsid w:val="00CD5157"/>
    <w:rsid w:val="00CD5429"/>
    <w:rsid w:val="00CD631D"/>
    <w:rsid w:val="00CD6602"/>
    <w:rsid w:val="00CD6B1D"/>
    <w:rsid w:val="00CD6FA0"/>
    <w:rsid w:val="00CD7296"/>
    <w:rsid w:val="00CE03FF"/>
    <w:rsid w:val="00CE1396"/>
    <w:rsid w:val="00CE1A5E"/>
    <w:rsid w:val="00CE27FF"/>
    <w:rsid w:val="00CE3794"/>
    <w:rsid w:val="00CE3C9C"/>
    <w:rsid w:val="00CE43B3"/>
    <w:rsid w:val="00CE5599"/>
    <w:rsid w:val="00CE7B51"/>
    <w:rsid w:val="00CF0274"/>
    <w:rsid w:val="00CF1604"/>
    <w:rsid w:val="00CF190B"/>
    <w:rsid w:val="00CF36E9"/>
    <w:rsid w:val="00CF52CC"/>
    <w:rsid w:val="00CF5362"/>
    <w:rsid w:val="00CF58A2"/>
    <w:rsid w:val="00CF658A"/>
    <w:rsid w:val="00CF6AD4"/>
    <w:rsid w:val="00CF70F0"/>
    <w:rsid w:val="00CF773C"/>
    <w:rsid w:val="00D015D9"/>
    <w:rsid w:val="00D01FEE"/>
    <w:rsid w:val="00D03378"/>
    <w:rsid w:val="00D03C38"/>
    <w:rsid w:val="00D04825"/>
    <w:rsid w:val="00D05042"/>
    <w:rsid w:val="00D05D24"/>
    <w:rsid w:val="00D06590"/>
    <w:rsid w:val="00D107F5"/>
    <w:rsid w:val="00D10F9D"/>
    <w:rsid w:val="00D11E5C"/>
    <w:rsid w:val="00D14BAD"/>
    <w:rsid w:val="00D1507A"/>
    <w:rsid w:val="00D157B6"/>
    <w:rsid w:val="00D15971"/>
    <w:rsid w:val="00D15A97"/>
    <w:rsid w:val="00D15AC0"/>
    <w:rsid w:val="00D16003"/>
    <w:rsid w:val="00D1713B"/>
    <w:rsid w:val="00D17756"/>
    <w:rsid w:val="00D17989"/>
    <w:rsid w:val="00D203BF"/>
    <w:rsid w:val="00D20502"/>
    <w:rsid w:val="00D20940"/>
    <w:rsid w:val="00D22607"/>
    <w:rsid w:val="00D228C6"/>
    <w:rsid w:val="00D23EDF"/>
    <w:rsid w:val="00D24530"/>
    <w:rsid w:val="00D250B1"/>
    <w:rsid w:val="00D25749"/>
    <w:rsid w:val="00D2611C"/>
    <w:rsid w:val="00D26D42"/>
    <w:rsid w:val="00D27AED"/>
    <w:rsid w:val="00D30653"/>
    <w:rsid w:val="00D30BB3"/>
    <w:rsid w:val="00D330DB"/>
    <w:rsid w:val="00D33418"/>
    <w:rsid w:val="00D33A73"/>
    <w:rsid w:val="00D33B64"/>
    <w:rsid w:val="00D34045"/>
    <w:rsid w:val="00D3506D"/>
    <w:rsid w:val="00D3572B"/>
    <w:rsid w:val="00D3578B"/>
    <w:rsid w:val="00D37EDB"/>
    <w:rsid w:val="00D37F3B"/>
    <w:rsid w:val="00D37F8F"/>
    <w:rsid w:val="00D4033D"/>
    <w:rsid w:val="00D406E1"/>
    <w:rsid w:val="00D40C8B"/>
    <w:rsid w:val="00D40E49"/>
    <w:rsid w:val="00D415BD"/>
    <w:rsid w:val="00D415E3"/>
    <w:rsid w:val="00D415FC"/>
    <w:rsid w:val="00D42C19"/>
    <w:rsid w:val="00D43C8C"/>
    <w:rsid w:val="00D43CA4"/>
    <w:rsid w:val="00D44676"/>
    <w:rsid w:val="00D4482A"/>
    <w:rsid w:val="00D45FDE"/>
    <w:rsid w:val="00D46F5F"/>
    <w:rsid w:val="00D4725D"/>
    <w:rsid w:val="00D47BDC"/>
    <w:rsid w:val="00D52F05"/>
    <w:rsid w:val="00D53CFB"/>
    <w:rsid w:val="00D548E4"/>
    <w:rsid w:val="00D5567E"/>
    <w:rsid w:val="00D563E1"/>
    <w:rsid w:val="00D5650B"/>
    <w:rsid w:val="00D56FB1"/>
    <w:rsid w:val="00D57B93"/>
    <w:rsid w:val="00D606C7"/>
    <w:rsid w:val="00D62388"/>
    <w:rsid w:val="00D63B23"/>
    <w:rsid w:val="00D644CF"/>
    <w:rsid w:val="00D644E9"/>
    <w:rsid w:val="00D64DC9"/>
    <w:rsid w:val="00D666FA"/>
    <w:rsid w:val="00D67B66"/>
    <w:rsid w:val="00D70BDA"/>
    <w:rsid w:val="00D7120C"/>
    <w:rsid w:val="00D71D68"/>
    <w:rsid w:val="00D7380E"/>
    <w:rsid w:val="00D73956"/>
    <w:rsid w:val="00D73CF9"/>
    <w:rsid w:val="00D7453A"/>
    <w:rsid w:val="00D7491B"/>
    <w:rsid w:val="00D74FF8"/>
    <w:rsid w:val="00D75132"/>
    <w:rsid w:val="00D75357"/>
    <w:rsid w:val="00D76055"/>
    <w:rsid w:val="00D7676E"/>
    <w:rsid w:val="00D77467"/>
    <w:rsid w:val="00D77A2A"/>
    <w:rsid w:val="00D80418"/>
    <w:rsid w:val="00D80446"/>
    <w:rsid w:val="00D81593"/>
    <w:rsid w:val="00D81CCC"/>
    <w:rsid w:val="00D81F81"/>
    <w:rsid w:val="00D84C77"/>
    <w:rsid w:val="00D85183"/>
    <w:rsid w:val="00D858AF"/>
    <w:rsid w:val="00D85FB3"/>
    <w:rsid w:val="00D86798"/>
    <w:rsid w:val="00D86AAE"/>
    <w:rsid w:val="00D86B01"/>
    <w:rsid w:val="00D86D75"/>
    <w:rsid w:val="00D878E0"/>
    <w:rsid w:val="00D879EB"/>
    <w:rsid w:val="00D87EF4"/>
    <w:rsid w:val="00D907C8"/>
    <w:rsid w:val="00D90B7E"/>
    <w:rsid w:val="00D913C6"/>
    <w:rsid w:val="00D92056"/>
    <w:rsid w:val="00D9280F"/>
    <w:rsid w:val="00D92B89"/>
    <w:rsid w:val="00D94049"/>
    <w:rsid w:val="00D948C0"/>
    <w:rsid w:val="00D9534A"/>
    <w:rsid w:val="00D95753"/>
    <w:rsid w:val="00D95A3D"/>
    <w:rsid w:val="00D95EBC"/>
    <w:rsid w:val="00D969AA"/>
    <w:rsid w:val="00D96CC4"/>
    <w:rsid w:val="00D9775D"/>
    <w:rsid w:val="00D97FAE"/>
    <w:rsid w:val="00DA01EE"/>
    <w:rsid w:val="00DA0380"/>
    <w:rsid w:val="00DA039E"/>
    <w:rsid w:val="00DA1860"/>
    <w:rsid w:val="00DA1D64"/>
    <w:rsid w:val="00DA244D"/>
    <w:rsid w:val="00DA2668"/>
    <w:rsid w:val="00DA293D"/>
    <w:rsid w:val="00DA3572"/>
    <w:rsid w:val="00DA44B6"/>
    <w:rsid w:val="00DA4581"/>
    <w:rsid w:val="00DA5583"/>
    <w:rsid w:val="00DA58AA"/>
    <w:rsid w:val="00DA5B99"/>
    <w:rsid w:val="00DA60C5"/>
    <w:rsid w:val="00DA69C6"/>
    <w:rsid w:val="00DA7ED8"/>
    <w:rsid w:val="00DB0509"/>
    <w:rsid w:val="00DB0746"/>
    <w:rsid w:val="00DB0B3E"/>
    <w:rsid w:val="00DB0C70"/>
    <w:rsid w:val="00DB1BCF"/>
    <w:rsid w:val="00DB2824"/>
    <w:rsid w:val="00DB3298"/>
    <w:rsid w:val="00DB402C"/>
    <w:rsid w:val="00DB46C0"/>
    <w:rsid w:val="00DB4E6F"/>
    <w:rsid w:val="00DB6301"/>
    <w:rsid w:val="00DB632C"/>
    <w:rsid w:val="00DB63BB"/>
    <w:rsid w:val="00DB64B8"/>
    <w:rsid w:val="00DB6FF0"/>
    <w:rsid w:val="00DC1C8F"/>
    <w:rsid w:val="00DC336F"/>
    <w:rsid w:val="00DC3EFA"/>
    <w:rsid w:val="00DC4632"/>
    <w:rsid w:val="00DC4B50"/>
    <w:rsid w:val="00DC4B5B"/>
    <w:rsid w:val="00DC4EFE"/>
    <w:rsid w:val="00DC5D11"/>
    <w:rsid w:val="00DC747B"/>
    <w:rsid w:val="00DC7CB9"/>
    <w:rsid w:val="00DC7D15"/>
    <w:rsid w:val="00DD025B"/>
    <w:rsid w:val="00DD0B9A"/>
    <w:rsid w:val="00DD109A"/>
    <w:rsid w:val="00DD1A6C"/>
    <w:rsid w:val="00DD1CD8"/>
    <w:rsid w:val="00DD23AC"/>
    <w:rsid w:val="00DD27A3"/>
    <w:rsid w:val="00DD314A"/>
    <w:rsid w:val="00DD39A7"/>
    <w:rsid w:val="00DD4F1B"/>
    <w:rsid w:val="00DD504B"/>
    <w:rsid w:val="00DD665F"/>
    <w:rsid w:val="00DD6F0E"/>
    <w:rsid w:val="00DD7C57"/>
    <w:rsid w:val="00DE0079"/>
    <w:rsid w:val="00DE019E"/>
    <w:rsid w:val="00DE0A57"/>
    <w:rsid w:val="00DE1638"/>
    <w:rsid w:val="00DE1D62"/>
    <w:rsid w:val="00DE2543"/>
    <w:rsid w:val="00DE2AB2"/>
    <w:rsid w:val="00DE32B1"/>
    <w:rsid w:val="00DE46CD"/>
    <w:rsid w:val="00DE5CAC"/>
    <w:rsid w:val="00DE61DF"/>
    <w:rsid w:val="00DE777D"/>
    <w:rsid w:val="00DF0067"/>
    <w:rsid w:val="00DF0C38"/>
    <w:rsid w:val="00DF128A"/>
    <w:rsid w:val="00DF3086"/>
    <w:rsid w:val="00DF326B"/>
    <w:rsid w:val="00DF5119"/>
    <w:rsid w:val="00DF5902"/>
    <w:rsid w:val="00DF5A2A"/>
    <w:rsid w:val="00DF60FA"/>
    <w:rsid w:val="00DF630A"/>
    <w:rsid w:val="00DF6CDB"/>
    <w:rsid w:val="00DF6CF5"/>
    <w:rsid w:val="00DF7D97"/>
    <w:rsid w:val="00E00356"/>
    <w:rsid w:val="00E00ECF"/>
    <w:rsid w:val="00E01839"/>
    <w:rsid w:val="00E01B45"/>
    <w:rsid w:val="00E0251E"/>
    <w:rsid w:val="00E028B2"/>
    <w:rsid w:val="00E02999"/>
    <w:rsid w:val="00E02E1F"/>
    <w:rsid w:val="00E032CB"/>
    <w:rsid w:val="00E035E2"/>
    <w:rsid w:val="00E04A05"/>
    <w:rsid w:val="00E05205"/>
    <w:rsid w:val="00E062CD"/>
    <w:rsid w:val="00E06DD0"/>
    <w:rsid w:val="00E07331"/>
    <w:rsid w:val="00E10B62"/>
    <w:rsid w:val="00E111DE"/>
    <w:rsid w:val="00E11222"/>
    <w:rsid w:val="00E11EA7"/>
    <w:rsid w:val="00E12F9A"/>
    <w:rsid w:val="00E133F5"/>
    <w:rsid w:val="00E134AE"/>
    <w:rsid w:val="00E13E61"/>
    <w:rsid w:val="00E13F9A"/>
    <w:rsid w:val="00E144FE"/>
    <w:rsid w:val="00E14923"/>
    <w:rsid w:val="00E157BB"/>
    <w:rsid w:val="00E16E94"/>
    <w:rsid w:val="00E20D69"/>
    <w:rsid w:val="00E20F65"/>
    <w:rsid w:val="00E212AA"/>
    <w:rsid w:val="00E21828"/>
    <w:rsid w:val="00E21D7C"/>
    <w:rsid w:val="00E21E23"/>
    <w:rsid w:val="00E237E3"/>
    <w:rsid w:val="00E2410E"/>
    <w:rsid w:val="00E2442E"/>
    <w:rsid w:val="00E2461C"/>
    <w:rsid w:val="00E2591D"/>
    <w:rsid w:val="00E259E4"/>
    <w:rsid w:val="00E27024"/>
    <w:rsid w:val="00E27A05"/>
    <w:rsid w:val="00E27AB5"/>
    <w:rsid w:val="00E30011"/>
    <w:rsid w:val="00E30941"/>
    <w:rsid w:val="00E32908"/>
    <w:rsid w:val="00E32DA2"/>
    <w:rsid w:val="00E32DA8"/>
    <w:rsid w:val="00E32EFA"/>
    <w:rsid w:val="00E33C18"/>
    <w:rsid w:val="00E33F60"/>
    <w:rsid w:val="00E340F0"/>
    <w:rsid w:val="00E34498"/>
    <w:rsid w:val="00E358CF"/>
    <w:rsid w:val="00E36C7B"/>
    <w:rsid w:val="00E37443"/>
    <w:rsid w:val="00E4097F"/>
    <w:rsid w:val="00E40CD6"/>
    <w:rsid w:val="00E411E1"/>
    <w:rsid w:val="00E42401"/>
    <w:rsid w:val="00E42B50"/>
    <w:rsid w:val="00E43429"/>
    <w:rsid w:val="00E434F1"/>
    <w:rsid w:val="00E43799"/>
    <w:rsid w:val="00E440E8"/>
    <w:rsid w:val="00E450D7"/>
    <w:rsid w:val="00E45A60"/>
    <w:rsid w:val="00E46B30"/>
    <w:rsid w:val="00E51C38"/>
    <w:rsid w:val="00E51DBD"/>
    <w:rsid w:val="00E528F4"/>
    <w:rsid w:val="00E53241"/>
    <w:rsid w:val="00E55497"/>
    <w:rsid w:val="00E558FB"/>
    <w:rsid w:val="00E55D70"/>
    <w:rsid w:val="00E5684B"/>
    <w:rsid w:val="00E56E1A"/>
    <w:rsid w:val="00E56FF6"/>
    <w:rsid w:val="00E5703D"/>
    <w:rsid w:val="00E57957"/>
    <w:rsid w:val="00E57A21"/>
    <w:rsid w:val="00E60854"/>
    <w:rsid w:val="00E60A02"/>
    <w:rsid w:val="00E62786"/>
    <w:rsid w:val="00E63869"/>
    <w:rsid w:val="00E64166"/>
    <w:rsid w:val="00E642A5"/>
    <w:rsid w:val="00E65405"/>
    <w:rsid w:val="00E65A11"/>
    <w:rsid w:val="00E662E5"/>
    <w:rsid w:val="00E66A75"/>
    <w:rsid w:val="00E66F5B"/>
    <w:rsid w:val="00E6794C"/>
    <w:rsid w:val="00E701EE"/>
    <w:rsid w:val="00E706ED"/>
    <w:rsid w:val="00E70DC1"/>
    <w:rsid w:val="00E71DF1"/>
    <w:rsid w:val="00E72811"/>
    <w:rsid w:val="00E732C7"/>
    <w:rsid w:val="00E73EC4"/>
    <w:rsid w:val="00E75749"/>
    <w:rsid w:val="00E75D48"/>
    <w:rsid w:val="00E7600D"/>
    <w:rsid w:val="00E8060F"/>
    <w:rsid w:val="00E80FFB"/>
    <w:rsid w:val="00E8254B"/>
    <w:rsid w:val="00E8305C"/>
    <w:rsid w:val="00E85644"/>
    <w:rsid w:val="00E85D00"/>
    <w:rsid w:val="00E8614E"/>
    <w:rsid w:val="00E905B1"/>
    <w:rsid w:val="00E9074A"/>
    <w:rsid w:val="00E908E2"/>
    <w:rsid w:val="00E9267F"/>
    <w:rsid w:val="00E939D4"/>
    <w:rsid w:val="00E96ECC"/>
    <w:rsid w:val="00EA1AD0"/>
    <w:rsid w:val="00EA3405"/>
    <w:rsid w:val="00EA390A"/>
    <w:rsid w:val="00EA3D8C"/>
    <w:rsid w:val="00EA3ECE"/>
    <w:rsid w:val="00EA44BE"/>
    <w:rsid w:val="00EA4A43"/>
    <w:rsid w:val="00EA4BA0"/>
    <w:rsid w:val="00EA5512"/>
    <w:rsid w:val="00EA73E0"/>
    <w:rsid w:val="00EA76A2"/>
    <w:rsid w:val="00EA77ED"/>
    <w:rsid w:val="00EA7A84"/>
    <w:rsid w:val="00EB0684"/>
    <w:rsid w:val="00EB06AC"/>
    <w:rsid w:val="00EB0B90"/>
    <w:rsid w:val="00EB0DB2"/>
    <w:rsid w:val="00EB211F"/>
    <w:rsid w:val="00EB23B6"/>
    <w:rsid w:val="00EB2514"/>
    <w:rsid w:val="00EB303C"/>
    <w:rsid w:val="00EB46B6"/>
    <w:rsid w:val="00EB5EE2"/>
    <w:rsid w:val="00EB731D"/>
    <w:rsid w:val="00EC0A84"/>
    <w:rsid w:val="00EC0E5E"/>
    <w:rsid w:val="00EC115D"/>
    <w:rsid w:val="00EC1964"/>
    <w:rsid w:val="00EC1A60"/>
    <w:rsid w:val="00EC2397"/>
    <w:rsid w:val="00EC3330"/>
    <w:rsid w:val="00EC4C78"/>
    <w:rsid w:val="00EC55FC"/>
    <w:rsid w:val="00EC5BA3"/>
    <w:rsid w:val="00EC5F42"/>
    <w:rsid w:val="00ED028A"/>
    <w:rsid w:val="00ED108F"/>
    <w:rsid w:val="00ED1A3F"/>
    <w:rsid w:val="00ED1C57"/>
    <w:rsid w:val="00ED2A58"/>
    <w:rsid w:val="00ED30DD"/>
    <w:rsid w:val="00ED450D"/>
    <w:rsid w:val="00ED4758"/>
    <w:rsid w:val="00ED7BBD"/>
    <w:rsid w:val="00ED7E09"/>
    <w:rsid w:val="00EE0BC8"/>
    <w:rsid w:val="00EE0EAE"/>
    <w:rsid w:val="00EE1A18"/>
    <w:rsid w:val="00EE1ECB"/>
    <w:rsid w:val="00EE3669"/>
    <w:rsid w:val="00EE3939"/>
    <w:rsid w:val="00EE3E91"/>
    <w:rsid w:val="00EE5534"/>
    <w:rsid w:val="00EE58F6"/>
    <w:rsid w:val="00EE5A00"/>
    <w:rsid w:val="00EE5D2B"/>
    <w:rsid w:val="00EE6A8A"/>
    <w:rsid w:val="00EF02CC"/>
    <w:rsid w:val="00EF03F7"/>
    <w:rsid w:val="00EF0A57"/>
    <w:rsid w:val="00EF0AA5"/>
    <w:rsid w:val="00EF1224"/>
    <w:rsid w:val="00EF13FE"/>
    <w:rsid w:val="00EF1433"/>
    <w:rsid w:val="00EF227F"/>
    <w:rsid w:val="00EF2427"/>
    <w:rsid w:val="00EF27F6"/>
    <w:rsid w:val="00EF3182"/>
    <w:rsid w:val="00EF3BF3"/>
    <w:rsid w:val="00EF3F6D"/>
    <w:rsid w:val="00EF4314"/>
    <w:rsid w:val="00EF44D8"/>
    <w:rsid w:val="00EF53BD"/>
    <w:rsid w:val="00EF6439"/>
    <w:rsid w:val="00EF6457"/>
    <w:rsid w:val="00EF6C6D"/>
    <w:rsid w:val="00EF6D5F"/>
    <w:rsid w:val="00EF7225"/>
    <w:rsid w:val="00F012AE"/>
    <w:rsid w:val="00F01331"/>
    <w:rsid w:val="00F01FF5"/>
    <w:rsid w:val="00F0602E"/>
    <w:rsid w:val="00F062D2"/>
    <w:rsid w:val="00F06E29"/>
    <w:rsid w:val="00F07691"/>
    <w:rsid w:val="00F0797B"/>
    <w:rsid w:val="00F07BB9"/>
    <w:rsid w:val="00F07C62"/>
    <w:rsid w:val="00F107FE"/>
    <w:rsid w:val="00F10D84"/>
    <w:rsid w:val="00F1160C"/>
    <w:rsid w:val="00F116B3"/>
    <w:rsid w:val="00F11717"/>
    <w:rsid w:val="00F117D5"/>
    <w:rsid w:val="00F124D0"/>
    <w:rsid w:val="00F1260B"/>
    <w:rsid w:val="00F12F50"/>
    <w:rsid w:val="00F131C0"/>
    <w:rsid w:val="00F13469"/>
    <w:rsid w:val="00F139B8"/>
    <w:rsid w:val="00F14A2A"/>
    <w:rsid w:val="00F16B09"/>
    <w:rsid w:val="00F16EEB"/>
    <w:rsid w:val="00F17562"/>
    <w:rsid w:val="00F20355"/>
    <w:rsid w:val="00F20CBC"/>
    <w:rsid w:val="00F20F91"/>
    <w:rsid w:val="00F21D96"/>
    <w:rsid w:val="00F220BB"/>
    <w:rsid w:val="00F22BD0"/>
    <w:rsid w:val="00F23157"/>
    <w:rsid w:val="00F2426A"/>
    <w:rsid w:val="00F25688"/>
    <w:rsid w:val="00F27407"/>
    <w:rsid w:val="00F275DC"/>
    <w:rsid w:val="00F27DCD"/>
    <w:rsid w:val="00F30538"/>
    <w:rsid w:val="00F31D45"/>
    <w:rsid w:val="00F32415"/>
    <w:rsid w:val="00F32A40"/>
    <w:rsid w:val="00F3322F"/>
    <w:rsid w:val="00F339A0"/>
    <w:rsid w:val="00F35322"/>
    <w:rsid w:val="00F35E7F"/>
    <w:rsid w:val="00F3652C"/>
    <w:rsid w:val="00F37507"/>
    <w:rsid w:val="00F376E0"/>
    <w:rsid w:val="00F37C16"/>
    <w:rsid w:val="00F406CD"/>
    <w:rsid w:val="00F416C1"/>
    <w:rsid w:val="00F42488"/>
    <w:rsid w:val="00F47705"/>
    <w:rsid w:val="00F47F9A"/>
    <w:rsid w:val="00F50026"/>
    <w:rsid w:val="00F514DD"/>
    <w:rsid w:val="00F51936"/>
    <w:rsid w:val="00F51BC6"/>
    <w:rsid w:val="00F52374"/>
    <w:rsid w:val="00F5290A"/>
    <w:rsid w:val="00F536BF"/>
    <w:rsid w:val="00F5388F"/>
    <w:rsid w:val="00F544C4"/>
    <w:rsid w:val="00F54D7F"/>
    <w:rsid w:val="00F56B17"/>
    <w:rsid w:val="00F5735C"/>
    <w:rsid w:val="00F57A74"/>
    <w:rsid w:val="00F606CF"/>
    <w:rsid w:val="00F60861"/>
    <w:rsid w:val="00F60AA8"/>
    <w:rsid w:val="00F60E87"/>
    <w:rsid w:val="00F610F7"/>
    <w:rsid w:val="00F61FE7"/>
    <w:rsid w:val="00F62038"/>
    <w:rsid w:val="00F62612"/>
    <w:rsid w:val="00F634ED"/>
    <w:rsid w:val="00F639B7"/>
    <w:rsid w:val="00F639C3"/>
    <w:rsid w:val="00F64BBF"/>
    <w:rsid w:val="00F64DD9"/>
    <w:rsid w:val="00F65420"/>
    <w:rsid w:val="00F6563D"/>
    <w:rsid w:val="00F661CF"/>
    <w:rsid w:val="00F671B1"/>
    <w:rsid w:val="00F67FFC"/>
    <w:rsid w:val="00F71233"/>
    <w:rsid w:val="00F71369"/>
    <w:rsid w:val="00F713D9"/>
    <w:rsid w:val="00F7143E"/>
    <w:rsid w:val="00F71634"/>
    <w:rsid w:val="00F718FE"/>
    <w:rsid w:val="00F738AD"/>
    <w:rsid w:val="00F73A9D"/>
    <w:rsid w:val="00F74BFE"/>
    <w:rsid w:val="00F75561"/>
    <w:rsid w:val="00F7564D"/>
    <w:rsid w:val="00F770BD"/>
    <w:rsid w:val="00F776E6"/>
    <w:rsid w:val="00F7799A"/>
    <w:rsid w:val="00F77B0A"/>
    <w:rsid w:val="00F80244"/>
    <w:rsid w:val="00F80FA0"/>
    <w:rsid w:val="00F81B55"/>
    <w:rsid w:val="00F820C3"/>
    <w:rsid w:val="00F8220B"/>
    <w:rsid w:val="00F82D50"/>
    <w:rsid w:val="00F83E70"/>
    <w:rsid w:val="00F847A2"/>
    <w:rsid w:val="00F853E4"/>
    <w:rsid w:val="00F855B0"/>
    <w:rsid w:val="00F87552"/>
    <w:rsid w:val="00F90061"/>
    <w:rsid w:val="00F9020D"/>
    <w:rsid w:val="00F903EB"/>
    <w:rsid w:val="00F921C9"/>
    <w:rsid w:val="00F93B08"/>
    <w:rsid w:val="00F93C42"/>
    <w:rsid w:val="00F93D89"/>
    <w:rsid w:val="00F94733"/>
    <w:rsid w:val="00F95495"/>
    <w:rsid w:val="00F960B4"/>
    <w:rsid w:val="00FA0202"/>
    <w:rsid w:val="00FA044D"/>
    <w:rsid w:val="00FA0DFF"/>
    <w:rsid w:val="00FA1246"/>
    <w:rsid w:val="00FA19F8"/>
    <w:rsid w:val="00FA31D0"/>
    <w:rsid w:val="00FA3533"/>
    <w:rsid w:val="00FA3575"/>
    <w:rsid w:val="00FA35A1"/>
    <w:rsid w:val="00FA39A2"/>
    <w:rsid w:val="00FA4CF9"/>
    <w:rsid w:val="00FA50C9"/>
    <w:rsid w:val="00FA5191"/>
    <w:rsid w:val="00FA5612"/>
    <w:rsid w:val="00FA5650"/>
    <w:rsid w:val="00FA73A0"/>
    <w:rsid w:val="00FA79D9"/>
    <w:rsid w:val="00FA7B7B"/>
    <w:rsid w:val="00FB12D6"/>
    <w:rsid w:val="00FB158A"/>
    <w:rsid w:val="00FB15B9"/>
    <w:rsid w:val="00FB16A7"/>
    <w:rsid w:val="00FB280B"/>
    <w:rsid w:val="00FB2F1D"/>
    <w:rsid w:val="00FB506A"/>
    <w:rsid w:val="00FB5211"/>
    <w:rsid w:val="00FB5529"/>
    <w:rsid w:val="00FB638A"/>
    <w:rsid w:val="00FB6DB7"/>
    <w:rsid w:val="00FB7778"/>
    <w:rsid w:val="00FB7864"/>
    <w:rsid w:val="00FB7897"/>
    <w:rsid w:val="00FB7BAE"/>
    <w:rsid w:val="00FB7D22"/>
    <w:rsid w:val="00FC0028"/>
    <w:rsid w:val="00FC07E1"/>
    <w:rsid w:val="00FC0EA1"/>
    <w:rsid w:val="00FC29AE"/>
    <w:rsid w:val="00FC3E4D"/>
    <w:rsid w:val="00FC5351"/>
    <w:rsid w:val="00FC5CA9"/>
    <w:rsid w:val="00FC5D1F"/>
    <w:rsid w:val="00FC6DED"/>
    <w:rsid w:val="00FC75E8"/>
    <w:rsid w:val="00FC77AD"/>
    <w:rsid w:val="00FC7848"/>
    <w:rsid w:val="00FC7E6B"/>
    <w:rsid w:val="00FD1692"/>
    <w:rsid w:val="00FD21A8"/>
    <w:rsid w:val="00FD23D9"/>
    <w:rsid w:val="00FD34E9"/>
    <w:rsid w:val="00FD3811"/>
    <w:rsid w:val="00FD4132"/>
    <w:rsid w:val="00FD4BEC"/>
    <w:rsid w:val="00FD5051"/>
    <w:rsid w:val="00FD5196"/>
    <w:rsid w:val="00FD52BC"/>
    <w:rsid w:val="00FD6532"/>
    <w:rsid w:val="00FD7792"/>
    <w:rsid w:val="00FD7AD8"/>
    <w:rsid w:val="00FE02A8"/>
    <w:rsid w:val="00FE11AA"/>
    <w:rsid w:val="00FE165D"/>
    <w:rsid w:val="00FE2AA9"/>
    <w:rsid w:val="00FE3C92"/>
    <w:rsid w:val="00FE3CB0"/>
    <w:rsid w:val="00FE41CD"/>
    <w:rsid w:val="00FE42E7"/>
    <w:rsid w:val="00FE4850"/>
    <w:rsid w:val="00FE509A"/>
    <w:rsid w:val="00FE6658"/>
    <w:rsid w:val="00FE678B"/>
    <w:rsid w:val="00FE7F76"/>
    <w:rsid w:val="00FE7FF4"/>
    <w:rsid w:val="00FF0D32"/>
    <w:rsid w:val="00FF1631"/>
    <w:rsid w:val="00FF16B1"/>
    <w:rsid w:val="00FF16F2"/>
    <w:rsid w:val="00FF192D"/>
    <w:rsid w:val="00FF3572"/>
    <w:rsid w:val="00FF3AB5"/>
    <w:rsid w:val="00FF41BC"/>
    <w:rsid w:val="00FF56C7"/>
    <w:rsid w:val="00FF5F88"/>
    <w:rsid w:val="00FF68A8"/>
    <w:rsid w:val="00FF796F"/>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CC88024C-06FE-4538-989F-9BD4CF5C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EE6A8A"/>
    <w:pPr>
      <w:keepNext w:val="0"/>
      <w:keepLines w:val="0"/>
      <w:spacing w:before="0" w:after="200" w:line="276" w:lineRule="auto"/>
      <w:jc w:val="both"/>
    </w:pPr>
    <w:rPr>
      <w:rFonts w:ascii="ITC Avant Garde" w:eastAsia="Calibri" w:hAnsi="ITC Avant Garde" w:cs="Arial"/>
      <w:color w:val="auto"/>
      <w:sz w:val="22"/>
      <w:szCs w:val="22"/>
      <w:u w:val="single"/>
      <w:lang w:val="es-ES" w:eastAsia="es-ES"/>
    </w:rPr>
  </w:style>
  <w:style w:type="character" w:customStyle="1" w:styleId="1TitPrinCar">
    <w:name w:val="1TitPrin Car"/>
    <w:link w:val="1TitPrin"/>
    <w:rsid w:val="00EE6A8A"/>
    <w:rPr>
      <w:rFonts w:ascii="ITC Avant Garde" w:eastAsia="Calibri" w:hAnsi="ITC Avant Garde" w:cs="Arial"/>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nhideWhenUsed/>
    <w:qFormat/>
    <w:rsid w:val="005465EC"/>
    <w:pPr>
      <w:spacing w:after="0" w:line="240" w:lineRule="auto"/>
    </w:pPr>
    <w:rPr>
      <w:sz w:val="20"/>
      <w:szCs w:val="20"/>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rsid w:val="005465EC"/>
    <w:rPr>
      <w:sz w:val="20"/>
      <w:szCs w:val="20"/>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basedOn w:val="Fuentedeprrafopredeter"/>
    <w:unhideWhenUsed/>
    <w:qFormat/>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44"/>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qFormat/>
    <w:rsid w:val="008D55B5"/>
    <w:pPr>
      <w:ind w:left="720" w:hanging="360"/>
      <w:contextualSpacing/>
    </w:pPr>
  </w:style>
  <w:style w:type="paragraph" w:customStyle="1" w:styleId="II">
    <w:name w:val="II"/>
    <w:basedOn w:val="Listaconvietas2"/>
    <w:qFormat/>
    <w:rsid w:val="008D55B5"/>
    <w:pPr>
      <w:keepLines/>
      <w:numPr>
        <w:numId w:val="49"/>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47"/>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customStyle="1" w:styleId="ListBullet2Compact">
    <w:name w:val="List Bullet 2 Compact"/>
    <w:basedOn w:val="Listaconvietas2"/>
    <w:qFormat/>
    <w:rsid w:val="008518AB"/>
    <w:pPr>
      <w:keepLines/>
      <w:numPr>
        <w:numId w:val="53"/>
      </w:numPr>
      <w:spacing w:after="0" w:line="320" w:lineRule="atLeast"/>
      <w:contextualSpacing w:val="0"/>
      <w:jc w:val="both"/>
    </w:pPr>
    <w:rPr>
      <w:rFonts w:ascii="Arial" w:hAnsi="Arial"/>
      <w:lang w:val="en-GB"/>
    </w:rPr>
  </w:style>
  <w:style w:type="paragraph" w:customStyle="1" w:styleId="Leyenda">
    <w:name w:val="Leyenda"/>
    <w:basedOn w:val="Sangra3detindependiente"/>
    <w:rsid w:val="007E58F7"/>
    <w:pPr>
      <w:spacing w:after="0" w:line="320" w:lineRule="atLeast"/>
      <w:ind w:left="3260" w:right="28"/>
      <w:jc w:val="both"/>
    </w:pPr>
    <w:rPr>
      <w:rFonts w:ascii="Arial" w:eastAsia="Times New Roman" w:hAnsi="Arial" w:cs="Arial"/>
      <w:sz w:val="12"/>
      <w:szCs w:val="20"/>
      <w:lang w:val="en-GB" w:eastAsia="es-ES"/>
    </w:rPr>
  </w:style>
  <w:style w:type="paragraph" w:styleId="Sangra3detindependiente">
    <w:name w:val="Body Text Indent 3"/>
    <w:basedOn w:val="Normal"/>
    <w:link w:val="Sangra3detindependienteCar"/>
    <w:uiPriority w:val="99"/>
    <w:semiHidden/>
    <w:unhideWhenUsed/>
    <w:rsid w:val="007E58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E58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consulta-publica-sobre-las-propuestas-de-ofertas-de-referencia-de-enlaces-dedicados-y-comparti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26E8-B7B4-47CD-B9B8-A07E6E1F7EB3}">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8032A59-F646-4B3E-BFC7-BD0204A8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4.xml><?xml version="1.0" encoding="utf-8"?>
<ds:datastoreItem xmlns:ds="http://schemas.openxmlformats.org/officeDocument/2006/customXml" ds:itemID="{29784C1E-D2E1-4463-B0EC-5558BA89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14193</Words>
  <Characters>78065</Characters>
  <Application>Microsoft Office Word</Application>
  <DocSecurity>0</DocSecurity>
  <Lines>650</Lines>
  <Paragraphs>184</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
      <vt:lpstr>INFORME DE CONSIDERACIONES SOBRE LAS MANIFESTACIONES, OPINIONES, COMENTARIOS Y P</vt:lpstr>
      <vt:lpstr>    De la sección “Definiciones”</vt:lpstr>
      <vt:lpstr>    De la sección “III. Información relacionada con los servicios” de la Propuesta d</vt:lpstr>
      <vt:lpstr>    De la sección “1. Servicio de Acceso y Uso compartido de Obra Civil” de la Propu</vt:lpstr>
      <vt:lpstr>    De la sección “2. Servicio de Canales Ópticos de Alta Capacidad de Transporte”.</vt:lpstr>
      <vt:lpstr>    De la sección “2. Servicio de Fibra Obscura”.</vt:lpstr>
      <vt:lpstr>    De la sección “3. Servicio de Acceso y Uso Compartido de Torres” de la Propuesta</vt:lpstr>
      <vt:lpstr>    De la sección “5. Servicio de Tendido de Cable sobre Infraestructura Desagregada</vt:lpstr>
      <vt:lpstr>    De la sección “6. Actividades de apoyo para la Compartición de Infraestructura P</vt:lpstr>
      <vt:lpstr>    De la sección “7. Trabajos Especiales asociados a los servicios de Acceso y Uso </vt:lpstr>
      <vt:lpstr>    Del anexo de la Propuesta de Oferta de Referencia “ANEXO 1 FORMATOS”.</vt:lpstr>
      <vt:lpstr>    Del anexo de la Propuesta de Oferta de Referencia “ANEXO 3 PARÁMETROS E INDICADO</vt:lpstr>
      <vt:lpstr>    Del anexo de la Propuesta de Oferta de Referencia “ANEXO 4 CONVENIO MARCO DE PRE</vt:lpstr>
      <vt:lpstr>    Del anexo de la Propuesta de Oferta de Referencia “ANEXO A TARIFAS”.</vt:lpstr>
      <vt:lpstr>    Generales</vt:lpstr>
    </vt:vector>
  </TitlesOfParts>
  <Company/>
  <LinksUpToDate>false</LinksUpToDate>
  <CharactersWithSpaces>92074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Lizde Ortiz Angeles</dc:creator>
  <cp:keywords/>
  <dc:description/>
  <cp:lastModifiedBy>Sonia Lizde Ortiz Angeles</cp:lastModifiedBy>
  <cp:revision>10</cp:revision>
  <cp:lastPrinted>2021-06-16T13:44:00Z</cp:lastPrinted>
  <dcterms:created xsi:type="dcterms:W3CDTF">2021-06-16T00:21:00Z</dcterms:created>
  <dcterms:modified xsi:type="dcterms:W3CDTF">2021-06-16T13:44:00Z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