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053A6" w14:textId="138A4C74" w:rsidR="00533CDE" w:rsidRDefault="006321F8" w:rsidP="006956E3">
      <w:pPr>
        <w:pStyle w:val="Titulo1DGDTR"/>
        <w:spacing w:after="0" w:line="276" w:lineRule="auto"/>
        <w:rPr>
          <w:lang w:val="es-MX"/>
        </w:rPr>
      </w:pPr>
      <w:r w:rsidRPr="006321F8">
        <w:t xml:space="preserve">ACUERDO </w:t>
      </w:r>
      <w:r w:rsidR="003A289C" w:rsidRPr="001112AD">
        <w:rPr>
          <w:rFonts w:eastAsia="Times New Roman"/>
        </w:rPr>
        <w:t>MEDIANTE EL CUAL EL PLENO DEL INSTITUTO FEDERAL DE TELECOMUNICACIONES DETERMINA EL INICIO DE LA CONSULTA PÚBLICA</w:t>
      </w:r>
      <w:r w:rsidR="00970A3B">
        <w:rPr>
          <w:rFonts w:eastAsia="Times New Roman"/>
        </w:rPr>
        <w:t xml:space="preserve"> SOBRE </w:t>
      </w:r>
      <w:r w:rsidR="003A289C" w:rsidRPr="00F73E18">
        <w:rPr>
          <w:rFonts w:eastAsia="Times New Roman"/>
        </w:rPr>
        <w:t>LA EFECTIVIDAD EN T</w:t>
      </w:r>
      <w:r w:rsidR="00970A3B" w:rsidRPr="00F73E18">
        <w:rPr>
          <w:rFonts w:eastAsia="Times New Roman"/>
        </w:rPr>
        <w:t>É</w:t>
      </w:r>
      <w:r w:rsidR="003A289C" w:rsidRPr="00F73E18">
        <w:rPr>
          <w:rFonts w:eastAsia="Times New Roman"/>
        </w:rPr>
        <w:t>RMINOS DE COMPETENCIA</w:t>
      </w:r>
      <w:r w:rsidR="003A289C">
        <w:rPr>
          <w:rFonts w:eastAsia="Times New Roman"/>
        </w:rPr>
        <w:t xml:space="preserve"> </w:t>
      </w:r>
      <w:r w:rsidR="003A289C" w:rsidRPr="001112AD">
        <w:rPr>
          <w:rFonts w:eastAsia="Times New Roman"/>
        </w:rPr>
        <w:t xml:space="preserve">DE LAS MEDIDAS IMPUESTAS AL AGENTE ECONÓMICO PREPONDERANTE EN EL SECTOR DE </w:t>
      </w:r>
      <w:r w:rsidR="00932279">
        <w:rPr>
          <w:rFonts w:eastAsia="Times New Roman"/>
        </w:rPr>
        <w:t>RADIODIFUSIÓN</w:t>
      </w:r>
      <w:r w:rsidR="00533CDE" w:rsidRPr="006321F8">
        <w:rPr>
          <w:lang w:val="es-MX"/>
        </w:rPr>
        <w:t>.</w:t>
      </w:r>
    </w:p>
    <w:p w14:paraId="3BA3BE21" w14:textId="77777777" w:rsidR="006956E3" w:rsidRPr="006956E3" w:rsidRDefault="006956E3" w:rsidP="006956E3">
      <w:pPr>
        <w:pStyle w:val="NormalDGDTR"/>
        <w:rPr>
          <w:lang w:val="es-MX"/>
        </w:rPr>
      </w:pPr>
    </w:p>
    <w:p w14:paraId="68E486F9" w14:textId="23E200D8" w:rsidR="00533CDE" w:rsidRDefault="00B804F5" w:rsidP="006956E3">
      <w:pPr>
        <w:pStyle w:val="Ttulo1"/>
        <w:spacing w:after="0" w:line="276" w:lineRule="auto"/>
        <w:ind w:left="709"/>
        <w:rPr>
          <w:lang w:val="es-MX"/>
        </w:rPr>
      </w:pPr>
      <w:bookmarkStart w:id="0" w:name="_Toc528081102"/>
      <w:r w:rsidRPr="006321F8">
        <w:rPr>
          <w:lang w:val="es-MX"/>
        </w:rPr>
        <w:t>ANTECEDENTES</w:t>
      </w:r>
      <w:bookmarkEnd w:id="0"/>
    </w:p>
    <w:p w14:paraId="3047176A" w14:textId="77777777" w:rsidR="006956E3" w:rsidRPr="006956E3" w:rsidRDefault="006956E3" w:rsidP="006956E3">
      <w:pPr>
        <w:pStyle w:val="NormalDGDTR"/>
        <w:rPr>
          <w:lang w:val="es-MX"/>
        </w:rPr>
      </w:pPr>
    </w:p>
    <w:p w14:paraId="221ADBBF" w14:textId="77777777" w:rsidR="00533CDE" w:rsidRDefault="006321F8" w:rsidP="006956E3">
      <w:pPr>
        <w:pStyle w:val="AntecedentesDGDTR"/>
        <w:numPr>
          <w:ilvl w:val="0"/>
          <w:numId w:val="8"/>
        </w:numPr>
        <w:spacing w:line="276" w:lineRule="auto"/>
        <w:ind w:left="709"/>
        <w:rPr>
          <w:lang w:val="es-MX"/>
        </w:rPr>
      </w:pPr>
      <w:r w:rsidRPr="006321F8">
        <w:rPr>
          <w:b/>
          <w:lang w:val="es-MX"/>
        </w:rPr>
        <w:t xml:space="preserve">Decreto de Reforma </w:t>
      </w:r>
      <w:proofErr w:type="gramStart"/>
      <w:r w:rsidRPr="006321F8">
        <w:rPr>
          <w:b/>
          <w:lang w:val="es-MX"/>
        </w:rPr>
        <w:t>Constitucional.-</w:t>
      </w:r>
      <w:proofErr w:type="gramEnd"/>
      <w:r w:rsidRPr="006321F8">
        <w:rPr>
          <w:lang w:val="es-MX"/>
        </w:rPr>
        <w:t xml:space="preserve"> El 11 de junio de 2013 fue publicado en el Diario Oficial de la Federación (en lo sucesivo, el “</w:t>
      </w:r>
      <w:r w:rsidRPr="00FB0A75">
        <w:rPr>
          <w:b/>
          <w:lang w:val="es-MX"/>
        </w:rPr>
        <w:t>DOF</w:t>
      </w:r>
      <w:r w:rsidRPr="006321F8">
        <w:rPr>
          <w:lang w:val="es-MX"/>
        </w:rPr>
        <w:t>”)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w:t>
      </w:r>
      <w:r w:rsidRPr="00FB0A75">
        <w:rPr>
          <w:b/>
          <w:lang w:val="es-MX"/>
        </w:rPr>
        <w:t>Instituto</w:t>
      </w:r>
      <w:r w:rsidRPr="006321F8">
        <w:rPr>
          <w:lang w:val="es-MX"/>
        </w:rPr>
        <w:t>”)</w:t>
      </w:r>
      <w:r w:rsidR="00864293" w:rsidRPr="006321F8">
        <w:rPr>
          <w:lang w:val="es-MX"/>
        </w:rPr>
        <w:t>.</w:t>
      </w:r>
    </w:p>
    <w:p w14:paraId="7B6CE754" w14:textId="77777777" w:rsidR="004678F2" w:rsidRDefault="004678F2" w:rsidP="006956E3">
      <w:pPr>
        <w:pStyle w:val="AntecedentesDGDTR"/>
        <w:spacing w:line="276" w:lineRule="auto"/>
        <w:ind w:left="709" w:firstLine="0"/>
        <w:rPr>
          <w:lang w:val="es-MX"/>
        </w:rPr>
      </w:pPr>
    </w:p>
    <w:p w14:paraId="1BF38385" w14:textId="77777777" w:rsidR="00621C12" w:rsidRDefault="00621C12" w:rsidP="006956E3">
      <w:pPr>
        <w:pStyle w:val="AntecedentesDGDTR"/>
        <w:numPr>
          <w:ilvl w:val="0"/>
          <w:numId w:val="8"/>
        </w:numPr>
        <w:spacing w:line="276" w:lineRule="auto"/>
        <w:rPr>
          <w:lang w:val="es-MX"/>
        </w:rPr>
      </w:pPr>
      <w:r w:rsidRPr="00932279">
        <w:rPr>
          <w:b/>
          <w:lang w:val="es-MX"/>
        </w:rPr>
        <w:t xml:space="preserve">Resolución de Preponderancia en el Sector de </w:t>
      </w:r>
      <w:r w:rsidR="00932279" w:rsidRPr="00932279">
        <w:rPr>
          <w:b/>
          <w:lang w:val="es-MX"/>
        </w:rPr>
        <w:t>Radiodifusión</w:t>
      </w:r>
      <w:r w:rsidRPr="00932279">
        <w:rPr>
          <w:b/>
          <w:lang w:val="es-MX"/>
        </w:rPr>
        <w:t>.-</w:t>
      </w:r>
      <w:r w:rsidRPr="00621C12">
        <w:rPr>
          <w:lang w:val="es-MX"/>
        </w:rPr>
        <w:t xml:space="preserve"> El 6 de marzo de 2014, el Pleno del Instituto, en su V Sesión Extraordinaria, aprobó mediante Acuerdo </w:t>
      </w:r>
      <w:r w:rsidR="00932279" w:rsidRPr="00932279">
        <w:rPr>
          <w:lang w:val="es-MX"/>
        </w:rPr>
        <w:t xml:space="preserve"> P/IFT/EXT/060314/77</w:t>
      </w:r>
      <w:r w:rsidRPr="00621C12">
        <w:rPr>
          <w:lang w:val="es-MX"/>
        </w:rPr>
        <w:t xml:space="preserve"> la “</w:t>
      </w:r>
      <w:r w:rsidR="00932279" w:rsidRPr="00500056">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w:t>
      </w:r>
      <w:proofErr w:type="spellStart"/>
      <w:r w:rsidR="00932279" w:rsidRPr="00500056">
        <w:t>Televimex</w:t>
      </w:r>
      <w:proofErr w:type="spellEnd"/>
      <w:r w:rsidR="00932279" w:rsidRPr="00500056">
        <w:t xml:space="preserve">, S.A. de C.V., Televisión de Puebla, S.A. de C.V., Televisora de Mexicali, S.A. de C.V., Televisora de Navojoa, S.A., Televisora de Occidente, S.A. de C.V., Televisora Peninsular, S.A. de C.V., Mario Enríquez </w:t>
      </w:r>
      <w:proofErr w:type="spellStart"/>
      <w:r w:rsidR="00932279" w:rsidRPr="00500056">
        <w:t>Mayans</w:t>
      </w:r>
      <w:proofErr w:type="spellEnd"/>
      <w:r w:rsidR="00932279" w:rsidRPr="00500056">
        <w:t xml:space="preserve"> Concha, Televisión La Paz, S.A., Televisión de la Frontera, S.A., Pedro Luis Fitzmaurice Meneses, </w:t>
      </w:r>
      <w:proofErr w:type="spellStart"/>
      <w:r w:rsidR="00932279" w:rsidRPr="00500056">
        <w:t>Telemisión</w:t>
      </w:r>
      <w:proofErr w:type="spellEnd"/>
      <w:r w:rsidR="00932279" w:rsidRPr="00500056">
        <w:t xml:space="preserve">, S.A. de C.V., </w:t>
      </w:r>
      <w:r w:rsidR="00932279" w:rsidRPr="006C45AF">
        <w:t>Comunicación del Sureste, S.A. de C.V.,</w:t>
      </w:r>
      <w:r w:rsidR="00932279" w:rsidRPr="00500056">
        <w:t xml:space="preserve">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00932279" w:rsidRPr="00500056">
        <w:t>Loucille</w:t>
      </w:r>
      <w:proofErr w:type="spellEnd"/>
      <w:r w:rsidR="00932279" w:rsidRPr="00500056">
        <w:t>,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621C12">
        <w:rPr>
          <w:lang w:val="es-MX"/>
        </w:rPr>
        <w:t>” (en lo sucesivo, la “</w:t>
      </w:r>
      <w:r w:rsidRPr="00FB0A75">
        <w:rPr>
          <w:b/>
          <w:lang w:val="es-MX"/>
        </w:rPr>
        <w:t>Resolución de AEP</w:t>
      </w:r>
      <w:r w:rsidR="00932279" w:rsidRPr="00FB0A75">
        <w:rPr>
          <w:b/>
          <w:lang w:val="es-MX"/>
        </w:rPr>
        <w:t>R</w:t>
      </w:r>
      <w:r w:rsidRPr="00621C12">
        <w:rPr>
          <w:lang w:val="es-MX"/>
        </w:rPr>
        <w:t>”)</w:t>
      </w:r>
      <w:r>
        <w:rPr>
          <w:lang w:val="es-MX"/>
        </w:rPr>
        <w:t>.</w:t>
      </w:r>
    </w:p>
    <w:p w14:paraId="45AF0B97" w14:textId="77777777" w:rsidR="00621C12" w:rsidRPr="00D56322" w:rsidRDefault="00621C12" w:rsidP="006956E3">
      <w:pPr>
        <w:pStyle w:val="AntecedentesDGDTR"/>
        <w:numPr>
          <w:ilvl w:val="0"/>
          <w:numId w:val="8"/>
        </w:numPr>
        <w:spacing w:line="276" w:lineRule="auto"/>
        <w:ind w:left="709"/>
        <w:rPr>
          <w:lang w:val="es-MX"/>
        </w:rPr>
      </w:pPr>
      <w:r w:rsidRPr="00621C12">
        <w:rPr>
          <w:b/>
          <w:lang w:val="es-MX"/>
        </w:rPr>
        <w:t>Decreto por el que se expide la Ley Federal de Telecomunicaciones y Radiodifusión. -</w:t>
      </w:r>
      <w:r w:rsidRPr="00621C12">
        <w:rPr>
          <w:lang w:val="es-MX"/>
        </w:rPr>
        <w:t xml:space="preserve"> 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474DAA">
        <w:rPr>
          <w:lang w:val="es-MX"/>
        </w:rPr>
        <w:t>”</w:t>
      </w:r>
      <w:r w:rsidR="00DD2A57">
        <w:rPr>
          <w:lang w:val="es-MX"/>
        </w:rPr>
        <w:t>,</w:t>
      </w:r>
      <w:r w:rsidR="00DD2A57" w:rsidRPr="00621C12">
        <w:rPr>
          <w:lang w:val="es-MX"/>
        </w:rPr>
        <w:t xml:space="preserve"> mediante</w:t>
      </w:r>
      <w:r w:rsidRPr="00621C12">
        <w:rPr>
          <w:lang w:val="es-MX"/>
        </w:rPr>
        <w:t xml:space="preserve"> el cual se expidió la Ley Federal de Telecomunicaciones y Radiodifusión (en lo sucesivo, la “</w:t>
      </w:r>
      <w:r w:rsidRPr="00FB0A75">
        <w:rPr>
          <w:b/>
          <w:lang w:val="es-MX"/>
        </w:rPr>
        <w:t>LFTR</w:t>
      </w:r>
      <w:r w:rsidRPr="00D56322">
        <w:rPr>
          <w:lang w:val="es-MX"/>
        </w:rPr>
        <w:t>”)</w:t>
      </w:r>
      <w:r w:rsidR="00970A3B" w:rsidRPr="00D56322">
        <w:rPr>
          <w:lang w:val="es-MX"/>
        </w:rPr>
        <w:t xml:space="preserve"> y</w:t>
      </w:r>
      <w:r w:rsidR="00F73E18">
        <w:rPr>
          <w:lang w:val="es-MX"/>
        </w:rPr>
        <w:t xml:space="preserve"> </w:t>
      </w:r>
      <w:r w:rsidR="00970A3B" w:rsidRPr="00D56322">
        <w:rPr>
          <w:lang w:val="es-MX"/>
        </w:rPr>
        <w:t>modificada</w:t>
      </w:r>
      <w:r w:rsidR="006E530C" w:rsidRPr="00D56322">
        <w:rPr>
          <w:lang w:val="es-MX"/>
        </w:rPr>
        <w:t xml:space="preserve"> por última vez el 15 de junio de 2018</w:t>
      </w:r>
      <w:r w:rsidRPr="00D56322">
        <w:rPr>
          <w:lang w:val="es-MX"/>
        </w:rPr>
        <w:t>.</w:t>
      </w:r>
    </w:p>
    <w:p w14:paraId="675C72F3" w14:textId="77777777" w:rsidR="00DE5FC8" w:rsidRDefault="00DE5FC8" w:rsidP="006956E3">
      <w:pPr>
        <w:pStyle w:val="AntecedentesDGDTR"/>
        <w:spacing w:line="276" w:lineRule="auto"/>
        <w:ind w:left="709" w:firstLine="0"/>
        <w:rPr>
          <w:lang w:val="es-MX"/>
        </w:rPr>
      </w:pPr>
    </w:p>
    <w:p w14:paraId="60B2BEF9" w14:textId="77777777" w:rsidR="00621C12" w:rsidRDefault="00621C12" w:rsidP="006956E3">
      <w:pPr>
        <w:pStyle w:val="AntecedentesDGDTR"/>
        <w:numPr>
          <w:ilvl w:val="0"/>
          <w:numId w:val="8"/>
        </w:numPr>
        <w:spacing w:line="276" w:lineRule="auto"/>
        <w:ind w:left="709"/>
        <w:rPr>
          <w:lang w:val="es-MX"/>
        </w:rPr>
      </w:pPr>
      <w:r w:rsidRPr="00621C12">
        <w:rPr>
          <w:b/>
          <w:lang w:val="es-MX"/>
        </w:rPr>
        <w:t xml:space="preserve">Estatuto Orgánico del Instituto. - </w:t>
      </w:r>
      <w:r w:rsidRPr="00621C12">
        <w:rPr>
          <w:lang w:val="es-MX"/>
        </w:rPr>
        <w:t>El 4 de septiembre de 2014 se publicó en el DOF el Estatuto Orgánico del Instituto, (en lo sucesivo, el “</w:t>
      </w:r>
      <w:r w:rsidRPr="00FB0A75">
        <w:rPr>
          <w:b/>
          <w:lang w:val="es-MX"/>
        </w:rPr>
        <w:t>Estatuto Orgánico</w:t>
      </w:r>
      <w:r w:rsidRPr="00621C12">
        <w:rPr>
          <w:lang w:val="es-MX"/>
        </w:rPr>
        <w:t>”) mismo que entró en vigor el 26 del mismo mes y año</w:t>
      </w:r>
      <w:r w:rsidR="00D16AAC">
        <w:rPr>
          <w:lang w:val="es-MX"/>
        </w:rPr>
        <w:t>,</w:t>
      </w:r>
      <w:r w:rsidR="0035300E">
        <w:rPr>
          <w:lang w:val="es-MX"/>
        </w:rPr>
        <w:t xml:space="preserve"> y que fue modificado por última vez el </w:t>
      </w:r>
      <w:r w:rsidR="003A289C">
        <w:rPr>
          <w:lang w:val="es-MX"/>
        </w:rPr>
        <w:t>7</w:t>
      </w:r>
      <w:r w:rsidR="0035300E">
        <w:rPr>
          <w:lang w:val="es-MX"/>
        </w:rPr>
        <w:t xml:space="preserve"> de </w:t>
      </w:r>
      <w:r w:rsidR="003A289C">
        <w:rPr>
          <w:lang w:val="es-MX"/>
        </w:rPr>
        <w:t>diciembre</w:t>
      </w:r>
      <w:r w:rsidR="0035300E">
        <w:rPr>
          <w:lang w:val="es-MX"/>
        </w:rPr>
        <w:t xml:space="preserve"> de 2018</w:t>
      </w:r>
      <w:r w:rsidRPr="00621C12">
        <w:rPr>
          <w:lang w:val="es-MX"/>
        </w:rPr>
        <w:t>.</w:t>
      </w:r>
    </w:p>
    <w:p w14:paraId="44554979" w14:textId="77777777" w:rsidR="00D4752F" w:rsidRDefault="00D4752F" w:rsidP="006956E3">
      <w:pPr>
        <w:pStyle w:val="AntecedentesDGDTR"/>
        <w:spacing w:line="276" w:lineRule="auto"/>
        <w:ind w:left="709" w:firstLine="0"/>
        <w:rPr>
          <w:lang w:val="es-MX"/>
        </w:rPr>
      </w:pPr>
    </w:p>
    <w:p w14:paraId="16F079D5" w14:textId="77777777" w:rsidR="00621C12" w:rsidRDefault="00621C12" w:rsidP="006956E3">
      <w:pPr>
        <w:pStyle w:val="AntecedentesDGDTR"/>
        <w:numPr>
          <w:ilvl w:val="0"/>
          <w:numId w:val="8"/>
        </w:numPr>
        <w:spacing w:line="276" w:lineRule="auto"/>
        <w:ind w:left="709"/>
        <w:rPr>
          <w:lang w:val="es-MX"/>
        </w:rPr>
      </w:pPr>
      <w:r w:rsidRPr="00621C12">
        <w:rPr>
          <w:b/>
          <w:lang w:val="es-MX"/>
        </w:rPr>
        <w:t xml:space="preserve">Resolución Bienal de las Medidas de Preponderancia en el Sector de </w:t>
      </w:r>
      <w:r w:rsidR="00932279">
        <w:rPr>
          <w:b/>
          <w:lang w:val="es-MX"/>
        </w:rPr>
        <w:t>Radiodifusión</w:t>
      </w:r>
      <w:r w:rsidRPr="00621C12">
        <w:rPr>
          <w:b/>
          <w:lang w:val="es-MX"/>
        </w:rPr>
        <w:t>.-</w:t>
      </w:r>
      <w:r w:rsidRPr="00621C12">
        <w:rPr>
          <w:lang w:val="es-MX"/>
        </w:rPr>
        <w:t xml:space="preserve"> El 27 de febrero de 2017, el Pleno del Instituto, en su IV Sesión Extraordinaria, aprobó mediante Acuerdo </w:t>
      </w:r>
      <w:r w:rsidR="00932279" w:rsidRPr="00932279">
        <w:rPr>
          <w:lang w:val="es-MX"/>
        </w:rPr>
        <w:t>P/IFT/EXT/270217/120</w:t>
      </w:r>
      <w:r w:rsidR="00932279">
        <w:rPr>
          <w:lang w:val="es-MX"/>
        </w:rPr>
        <w:t xml:space="preserve"> </w:t>
      </w:r>
      <w:r w:rsidRPr="00621C12">
        <w:rPr>
          <w:lang w:val="es-MX"/>
        </w:rPr>
        <w:t>la “</w:t>
      </w:r>
      <w:r w:rsidR="00932279">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Pr="00621C12">
        <w:rPr>
          <w:lang w:val="es-MX"/>
        </w:rPr>
        <w:t>” (en lo sucesivo, la “</w:t>
      </w:r>
      <w:r w:rsidRPr="00FB0A75">
        <w:rPr>
          <w:b/>
          <w:lang w:val="es-MX"/>
        </w:rPr>
        <w:t>Resolución Bienal</w:t>
      </w:r>
      <w:r w:rsidR="00932279" w:rsidRPr="00FB0A75">
        <w:rPr>
          <w:b/>
          <w:lang w:val="es-MX"/>
        </w:rPr>
        <w:t xml:space="preserve"> de Radiodifusión</w:t>
      </w:r>
      <w:r w:rsidRPr="00621C12">
        <w:rPr>
          <w:lang w:val="es-MX"/>
        </w:rPr>
        <w:t>”)</w:t>
      </w:r>
      <w:r>
        <w:rPr>
          <w:lang w:val="es-MX"/>
        </w:rPr>
        <w:t>.</w:t>
      </w:r>
    </w:p>
    <w:p w14:paraId="227E8FD0" w14:textId="77777777" w:rsidR="00474DAA" w:rsidRDefault="00474DAA" w:rsidP="006956E3">
      <w:pPr>
        <w:pStyle w:val="Prrafodelista"/>
        <w:spacing w:after="0" w:line="276" w:lineRule="auto"/>
        <w:ind w:left="709"/>
      </w:pPr>
    </w:p>
    <w:p w14:paraId="6C5FD136" w14:textId="63BF9AD2" w:rsidR="00474DAA" w:rsidRPr="00940090" w:rsidRDefault="00D32ABD" w:rsidP="006956E3">
      <w:pPr>
        <w:pStyle w:val="AntecedentesDGDTR"/>
        <w:numPr>
          <w:ilvl w:val="0"/>
          <w:numId w:val="8"/>
        </w:numPr>
        <w:spacing w:line="276" w:lineRule="auto"/>
        <w:ind w:left="709" w:hanging="709"/>
        <w:rPr>
          <w:lang w:val="es-MX"/>
        </w:rPr>
      </w:pPr>
      <w:r w:rsidRPr="004C39AD">
        <w:rPr>
          <w:b/>
          <w:lang w:val="es-MX"/>
        </w:rPr>
        <w:t xml:space="preserve">Lineamientos de Consulta Pública y </w:t>
      </w:r>
      <w:r w:rsidRPr="00940090">
        <w:rPr>
          <w:b/>
          <w:lang w:val="es-MX"/>
        </w:rPr>
        <w:t>A</w:t>
      </w:r>
      <w:r w:rsidRPr="004C39AD">
        <w:rPr>
          <w:b/>
          <w:lang w:val="es-MX"/>
        </w:rPr>
        <w:t>n</w:t>
      </w:r>
      <w:r w:rsidRPr="00940090">
        <w:rPr>
          <w:b/>
          <w:lang w:val="es-MX"/>
        </w:rPr>
        <w:t>álisis de Impacto R</w:t>
      </w:r>
      <w:r w:rsidRPr="004C39AD">
        <w:rPr>
          <w:b/>
          <w:lang w:val="es-MX"/>
        </w:rPr>
        <w:t>egulatorio</w:t>
      </w:r>
      <w:r w:rsidRPr="00940090">
        <w:rPr>
          <w:lang w:val="es-MX"/>
        </w:rPr>
        <w:t>. El 25 de septiembre de 2017, el Pleno del Instituto, en su XXXIX Sesión Ordinaria, aprobó</w:t>
      </w:r>
      <w:r w:rsidRPr="00940090">
        <w:rPr>
          <w:szCs w:val="14"/>
        </w:rPr>
        <w:t xml:space="preserve"> el “Acuerdo mediante el cual el Pleno del Instituto Federal de Telecomunicaciones aprueba y emite los Lineamientos de Consulta Pública y Análisis de Impacto Regulatorio del Instituto Federal de Telecomunicaciones”,</w:t>
      </w:r>
      <w:r w:rsidRPr="00940090">
        <w:rPr>
          <w:lang w:val="es-MX"/>
        </w:rPr>
        <w:t xml:space="preserve"> mediante Acuerdo </w:t>
      </w:r>
      <w:r w:rsidRPr="00940090">
        <w:rPr>
          <w:szCs w:val="14"/>
        </w:rPr>
        <w:t xml:space="preserve">P/IFT/250917/592 </w:t>
      </w:r>
      <w:r w:rsidRPr="00940090">
        <w:rPr>
          <w:lang w:val="es-MX"/>
        </w:rPr>
        <w:t>(en lo sucesivo, los “</w:t>
      </w:r>
      <w:r w:rsidR="000B27F3">
        <w:rPr>
          <w:b/>
          <w:lang w:val="es-MX"/>
        </w:rPr>
        <w:t>LCPAIR</w:t>
      </w:r>
      <w:r w:rsidRPr="00940090">
        <w:rPr>
          <w:lang w:val="es-MX"/>
        </w:rPr>
        <w:t>”)</w:t>
      </w:r>
      <w:r w:rsidR="00940090" w:rsidRPr="00940090">
        <w:rPr>
          <w:szCs w:val="14"/>
        </w:rPr>
        <w:t xml:space="preserve">, </w:t>
      </w:r>
      <w:r w:rsidR="00940090">
        <w:rPr>
          <w:szCs w:val="14"/>
        </w:rPr>
        <w:t xml:space="preserve">publicado </w:t>
      </w:r>
      <w:r w:rsidR="00940090" w:rsidRPr="003F5F63">
        <w:rPr>
          <w:lang w:val="es-MX"/>
        </w:rPr>
        <w:t xml:space="preserve">en el DOF </w:t>
      </w:r>
      <w:r w:rsidR="00940090">
        <w:rPr>
          <w:szCs w:val="14"/>
        </w:rPr>
        <w:t>e</w:t>
      </w:r>
      <w:r w:rsidRPr="00940090">
        <w:rPr>
          <w:lang w:val="es-MX"/>
        </w:rPr>
        <w:t>l 8 de noviembre de 2017</w:t>
      </w:r>
      <w:r w:rsidR="00940090">
        <w:rPr>
          <w:lang w:val="es-MX"/>
        </w:rPr>
        <w:t>.</w:t>
      </w:r>
    </w:p>
    <w:p w14:paraId="32E9FCBA" w14:textId="7B4ACE04" w:rsidR="00D4752F" w:rsidRDefault="00D4752F" w:rsidP="006956E3">
      <w:pPr>
        <w:pStyle w:val="AntecedentesDGDTR"/>
        <w:spacing w:line="276" w:lineRule="auto"/>
        <w:ind w:left="786" w:firstLine="0"/>
        <w:rPr>
          <w:lang w:val="es-MX"/>
        </w:rPr>
      </w:pPr>
    </w:p>
    <w:p w14:paraId="7FCE7353" w14:textId="77777777" w:rsidR="006956E3" w:rsidRDefault="006956E3" w:rsidP="006956E3">
      <w:pPr>
        <w:pStyle w:val="AntecedentesDGDTR"/>
        <w:spacing w:line="276" w:lineRule="auto"/>
        <w:ind w:left="786" w:firstLine="0"/>
        <w:rPr>
          <w:lang w:val="es-MX"/>
        </w:rPr>
      </w:pPr>
    </w:p>
    <w:p w14:paraId="55914C01" w14:textId="77777777" w:rsidR="009D0706" w:rsidRPr="001112AD" w:rsidRDefault="009D0706" w:rsidP="006956E3">
      <w:pPr>
        <w:spacing w:after="0" w:line="276" w:lineRule="auto"/>
        <w:jc w:val="center"/>
        <w:rPr>
          <w:rFonts w:ascii="ITC Avant Garde" w:hAnsi="ITC Avant Garde" w:cs="Arial"/>
          <w:b/>
          <w:bCs/>
        </w:rPr>
      </w:pPr>
      <w:bookmarkStart w:id="1" w:name="_Toc528081105"/>
      <w:r w:rsidRPr="001112AD">
        <w:rPr>
          <w:rFonts w:ascii="ITC Avant Garde" w:hAnsi="ITC Avant Garde" w:cs="Arial"/>
          <w:b/>
          <w:bCs/>
        </w:rPr>
        <w:t>CONSIDERANDO</w:t>
      </w:r>
    </w:p>
    <w:p w14:paraId="421D9370" w14:textId="47F4AD28" w:rsidR="009D0706" w:rsidRDefault="009D0706" w:rsidP="006956E3">
      <w:pPr>
        <w:spacing w:after="0" w:line="276" w:lineRule="auto"/>
        <w:jc w:val="both"/>
        <w:rPr>
          <w:rFonts w:ascii="ITC Avant Garde" w:hAnsi="ITC Avant Garde" w:cs="Arial"/>
          <w:b/>
          <w:bCs/>
        </w:rPr>
      </w:pPr>
    </w:p>
    <w:p w14:paraId="10A3A682" w14:textId="77777777" w:rsidR="006956E3" w:rsidRPr="001112AD" w:rsidRDefault="006956E3" w:rsidP="006956E3">
      <w:pPr>
        <w:spacing w:after="0" w:line="276" w:lineRule="auto"/>
        <w:jc w:val="both"/>
        <w:rPr>
          <w:rFonts w:ascii="ITC Avant Garde" w:hAnsi="ITC Avant Garde" w:cs="Arial"/>
          <w:b/>
          <w:bCs/>
        </w:rPr>
      </w:pPr>
    </w:p>
    <w:p w14:paraId="4404307F" w14:textId="398C3988" w:rsidR="009D0706" w:rsidRDefault="009D0706" w:rsidP="006956E3">
      <w:pPr>
        <w:pStyle w:val="NormalDGDTR"/>
        <w:spacing w:after="0"/>
      </w:pPr>
      <w:proofErr w:type="gramStart"/>
      <w:r w:rsidRPr="001112AD">
        <w:rPr>
          <w:b/>
          <w:bCs/>
        </w:rPr>
        <w:t>PRIMERO.-</w:t>
      </w:r>
      <w:proofErr w:type="gramEnd"/>
      <w:r w:rsidRPr="001112AD">
        <w:rPr>
          <w:b/>
          <w:bCs/>
        </w:rPr>
        <w:t xml:space="preserve"> Competencia del Instituto.</w:t>
      </w:r>
      <w:r w:rsidRPr="001112AD">
        <w:rPr>
          <w:bCs/>
        </w:rPr>
        <w:t xml:space="preserve"> </w:t>
      </w:r>
      <w:r>
        <w:t>De conformidad con los artículos 28, párrafo décimo quinto</w:t>
      </w:r>
      <w:r w:rsidR="000B67A0">
        <w:t>,</w:t>
      </w:r>
      <w:r>
        <w:t xml:space="preserve"> de la Constitución</w:t>
      </w:r>
      <w:r w:rsidR="00A912D7">
        <w:t xml:space="preserve"> Política de los Estados Unidos Mexicanos</w:t>
      </w:r>
      <w:r>
        <w:t xml:space="preserve"> </w:t>
      </w:r>
      <w:r w:rsidR="00343E68">
        <w:t xml:space="preserve">(en lo sucesivo, la “Constitución”) </w:t>
      </w:r>
      <w:r>
        <w:t xml:space="preserve">y 7 de la LFTR, el Instituto es un órgano autónomo, con personalidad jurídica y patrimonio propio, que tiene por objeto el desarrollo eficiente de la radiodifusión y las telecomunicaciones, conforme a lo dispuesto en </w:t>
      </w:r>
      <w:r>
        <w:lastRenderedPageBreak/>
        <w:t xml:space="preserve">la propia </w:t>
      </w:r>
      <w:r w:rsidR="00A26E5E">
        <w:t xml:space="preserve">Constitución </w:t>
      </w:r>
      <w:r>
        <w:t xml:space="preserve">y en los términos que fijen las leyes. Para tal efecto, tendrá a su cargo la regulación, promoción y supervisión del uso, aprovechamiento y explotación del espectro radioeléctrico, </w:t>
      </w:r>
      <w:r w:rsidR="00970A3B">
        <w:t xml:space="preserve">de </w:t>
      </w:r>
      <w:r>
        <w:t xml:space="preserve">las redes y la prestación de los servicios de radiodifusión y telecomunicaciones, así como del acceso a infraestructura activa, pasiva y otros insumos esenciales, garantizando lo establecido en los artículos 6o. y 7o. de la </w:t>
      </w:r>
      <w:r w:rsidR="000771C7">
        <w:t>Constitución</w:t>
      </w:r>
      <w:r>
        <w:t>.</w:t>
      </w:r>
    </w:p>
    <w:p w14:paraId="5387F471" w14:textId="77777777" w:rsidR="006956E3" w:rsidRDefault="006956E3" w:rsidP="006956E3">
      <w:pPr>
        <w:pStyle w:val="NormalDGDTR"/>
        <w:spacing w:after="0"/>
      </w:pPr>
    </w:p>
    <w:p w14:paraId="6FC540E4" w14:textId="33510C6D" w:rsidR="009D0706" w:rsidRDefault="009D0706" w:rsidP="006956E3">
      <w:pPr>
        <w:pStyle w:val="NormalDGDTR"/>
        <w:spacing w:after="0"/>
      </w:pPr>
      <w:r>
        <w:t xml:space="preserve">Asimismo, de conformidad con </w:t>
      </w:r>
      <w:r w:rsidR="00D17132">
        <w:t>e</w:t>
      </w:r>
      <w:r>
        <w:t>l párrafo décimo sexto del artículo 28 de la C</w:t>
      </w:r>
      <w:r w:rsidR="003C5778">
        <w:t>onstitución,</w:t>
      </w:r>
      <w:r>
        <w:t xml:space="preserve"> el Instituto es la autoridad en materia de competencia económica de los sectores de radiodifusión y telecomunicaciones, por lo que en estos ejercerá en forma exclusiva las facultades que prevé dicho artículo y las que las leyes establecen para la Comisión Federal de Competencia Económica y, entre otras facultades, regulará de forma asimétrica a los participantes en estos mercados con el objeto de eliminar eficazmente las barreras a la competencia y la libre concurrencia.</w:t>
      </w:r>
    </w:p>
    <w:p w14:paraId="4756728F" w14:textId="77777777" w:rsidR="006956E3" w:rsidRDefault="006956E3" w:rsidP="006956E3">
      <w:pPr>
        <w:pStyle w:val="NormalDGDTR"/>
        <w:spacing w:after="0"/>
      </w:pPr>
    </w:p>
    <w:p w14:paraId="7D5752FA" w14:textId="5FAA7775" w:rsidR="009D0706" w:rsidRDefault="009D0706" w:rsidP="006956E3">
      <w:pPr>
        <w:pStyle w:val="NormalDGDTR"/>
        <w:spacing w:after="0"/>
      </w:pPr>
      <w:r>
        <w:t>En ejercicio de sus facultades constitucionales, el 6 de marzo de 2014, el Pleno del Instituto emitió la Resolución de AEP</w:t>
      </w:r>
      <w:r w:rsidR="00932279">
        <w:t>R</w:t>
      </w:r>
      <w:r>
        <w:t xml:space="preserve">, cuya medida </w:t>
      </w:r>
      <w:r w:rsidR="008D73AA">
        <w:t xml:space="preserve">Trigésima </w:t>
      </w:r>
      <w:r>
        <w:t>del Anexo 1, establece que el Instituto deb</w:t>
      </w:r>
      <w:r w:rsidR="00137CA9">
        <w:t>e</w:t>
      </w:r>
      <w:r w:rsidR="00CA789C">
        <w:t xml:space="preserve"> </w:t>
      </w:r>
      <w:r>
        <w:t xml:space="preserve">realizar cada dos años una evaluación del impacto de las medidas en términos de competencia a efecto de, en su caso, suprimirlas, modificarlas o establecer nuevas medidas, incluyendo una o más de las siguientes: la separación estructural, funcional o la desincorporación de activos del </w:t>
      </w:r>
      <w:r w:rsidR="00E6718A">
        <w:t>a</w:t>
      </w:r>
      <w:r w:rsidR="00F92F2F">
        <w:t xml:space="preserve">gente </w:t>
      </w:r>
      <w:r w:rsidR="00E6718A">
        <w:t>e</w:t>
      </w:r>
      <w:r w:rsidR="00F92F2F">
        <w:t xml:space="preserve">conómico </w:t>
      </w:r>
      <w:r w:rsidR="00E6718A">
        <w:t>p</w:t>
      </w:r>
      <w:r w:rsidR="00F92F2F">
        <w:t>reponderante</w:t>
      </w:r>
      <w:r>
        <w:t xml:space="preserve">, para lo cual deberá motivar que su determinación resulta proporcional y conducente con los fines que originalmente buscaba cada </w:t>
      </w:r>
      <w:r w:rsidR="003E1DD1">
        <w:t>m</w:t>
      </w:r>
      <w:r>
        <w:t>edida.</w:t>
      </w:r>
    </w:p>
    <w:p w14:paraId="29B5AE48" w14:textId="77777777" w:rsidR="006956E3" w:rsidRDefault="006956E3" w:rsidP="006956E3">
      <w:pPr>
        <w:pStyle w:val="NormalDGDTR"/>
        <w:spacing w:after="0"/>
      </w:pPr>
    </w:p>
    <w:p w14:paraId="1A172D3F" w14:textId="44066218" w:rsidR="009D0706" w:rsidRDefault="007D1772" w:rsidP="006956E3">
      <w:pPr>
        <w:pStyle w:val="NormalDGDTR"/>
        <w:spacing w:after="0"/>
      </w:pPr>
      <w:r>
        <w:t>En</w:t>
      </w:r>
      <w:r w:rsidR="00D16AAC">
        <w:t xml:space="preserve"> este tenor</w:t>
      </w:r>
      <w:r w:rsidR="009D0706">
        <w:t xml:space="preserve">, el 27 de febrero de 2017, el Pleno emitió la Resolución Bienal </w:t>
      </w:r>
      <w:r w:rsidR="008D73AA">
        <w:t xml:space="preserve">de Radiodifusión </w:t>
      </w:r>
      <w:r w:rsidR="009D0706">
        <w:t xml:space="preserve">en la que </w:t>
      </w:r>
      <w:r w:rsidR="00D16AAC">
        <w:t xml:space="preserve">resolvió suprimir, modificar y </w:t>
      </w:r>
      <w:r w:rsidR="009D0706">
        <w:t>adicionar</w:t>
      </w:r>
      <w:r w:rsidR="000A51CB">
        <w:t>,</w:t>
      </w:r>
      <w:r w:rsidR="009D0706">
        <w:t xml:space="preserve"> </w:t>
      </w:r>
      <w:r w:rsidR="003C5778">
        <w:t>determinadas medidas.</w:t>
      </w:r>
      <w:r w:rsidR="00F73E18">
        <w:t xml:space="preserve"> </w:t>
      </w:r>
      <w:r w:rsidR="000A51CB">
        <w:t xml:space="preserve">En </w:t>
      </w:r>
      <w:r w:rsidR="00137CA9">
        <w:t>particular</w:t>
      </w:r>
      <w:r w:rsidR="002B1750">
        <w:t>,</w:t>
      </w:r>
      <w:r w:rsidR="00D62809">
        <w:t xml:space="preserve"> </w:t>
      </w:r>
      <w:r w:rsidR="00137CA9">
        <w:t xml:space="preserve">en </w:t>
      </w:r>
      <w:r w:rsidR="000A51CB">
        <w:t xml:space="preserve">la medida </w:t>
      </w:r>
      <w:r w:rsidR="008D73AA">
        <w:t>Trigésima y Transitoria Quinta del Anexo 1</w:t>
      </w:r>
      <w:r w:rsidR="00137CA9">
        <w:t xml:space="preserve"> </w:t>
      </w:r>
      <w:r w:rsidR="000A51CB">
        <w:t>de la Resolución Bienal</w:t>
      </w:r>
      <w:r w:rsidR="008D73AA">
        <w:t xml:space="preserve"> de Radiodifusión</w:t>
      </w:r>
      <w:r w:rsidR="00767EE1">
        <w:t>,</w:t>
      </w:r>
      <w:r w:rsidR="000A51CB">
        <w:t xml:space="preserve"> </w:t>
      </w:r>
      <w:r w:rsidR="00357C47">
        <w:t xml:space="preserve">se </w:t>
      </w:r>
      <w:r w:rsidR="00137CA9">
        <w:t xml:space="preserve">estableció que, para efectos de la siguiente evaluación bienal, el </w:t>
      </w:r>
      <w:r w:rsidR="00767EE1">
        <w:t xml:space="preserve">plazo de dos años </w:t>
      </w:r>
      <w:r w:rsidR="00137CA9">
        <w:t xml:space="preserve">se contabilizaría </w:t>
      </w:r>
      <w:r w:rsidR="004C0061">
        <w:t>a partir de</w:t>
      </w:r>
      <w:r w:rsidR="002B629E">
        <w:t>l día siguiente al que surti</w:t>
      </w:r>
      <w:r w:rsidR="00137CA9">
        <w:t xml:space="preserve">era </w:t>
      </w:r>
      <w:r w:rsidR="002B629E">
        <w:t>efectos</w:t>
      </w:r>
      <w:r w:rsidR="004C0061">
        <w:t xml:space="preserve"> la notificación de la Resolución Bienal</w:t>
      </w:r>
      <w:r w:rsidR="008D73AA">
        <w:t xml:space="preserve"> de Radiodifusión</w:t>
      </w:r>
      <w:r w:rsidR="00F73E18">
        <w:t xml:space="preserve">. </w:t>
      </w:r>
    </w:p>
    <w:p w14:paraId="43EDFD7F" w14:textId="77777777" w:rsidR="006956E3" w:rsidRDefault="006956E3" w:rsidP="006956E3">
      <w:pPr>
        <w:pStyle w:val="NormalDGDTR"/>
        <w:spacing w:after="0"/>
      </w:pPr>
    </w:p>
    <w:p w14:paraId="062F7713" w14:textId="77777777" w:rsidR="006E530C" w:rsidRDefault="006E530C" w:rsidP="006956E3">
      <w:pPr>
        <w:widowControl w:val="0"/>
        <w:spacing w:after="0" w:line="276" w:lineRule="auto"/>
        <w:jc w:val="both"/>
        <w:rPr>
          <w:rFonts w:ascii="ITC Avant Garde" w:eastAsia="Times New Roman" w:hAnsi="ITC Avant Garde"/>
        </w:rPr>
      </w:pPr>
      <w:r w:rsidRPr="008448FB">
        <w:rPr>
          <w:rFonts w:ascii="ITC Avant Garde" w:eastAsia="Times New Roman" w:hAnsi="ITC Avant Garde"/>
        </w:rPr>
        <w:t>Por su parte, en términos de los artículos 1, 4, fracción I, 6, fracción VI, del Estatuto Orgánico, corresponde al Pleno del Instituto regular de forma asimétrica a los participantes en los mercados de radiodifusión y telecomunicaciones con el objeto de eliminar eficazmente las barreras a la c</w:t>
      </w:r>
      <w:r w:rsidR="008C1A93" w:rsidRPr="008448FB">
        <w:rPr>
          <w:rFonts w:ascii="ITC Avant Garde" w:eastAsia="Times New Roman" w:hAnsi="ITC Avant Garde"/>
        </w:rPr>
        <w:t>ompetencia y libre concurrencia</w:t>
      </w:r>
      <w:r w:rsidRPr="008448FB">
        <w:rPr>
          <w:rFonts w:ascii="ITC Avant Garde" w:eastAsia="Times New Roman" w:hAnsi="ITC Avant Garde"/>
        </w:rPr>
        <w:t xml:space="preserve"> y</w:t>
      </w:r>
      <w:r w:rsidR="008C1A93" w:rsidRPr="008448FB">
        <w:rPr>
          <w:rFonts w:ascii="ITC Avant Garde" w:eastAsia="Times New Roman" w:hAnsi="ITC Avant Garde"/>
        </w:rPr>
        <w:t>,</w:t>
      </w:r>
      <w:r w:rsidRPr="008448FB">
        <w:rPr>
          <w:rFonts w:ascii="ITC Avant Garde" w:eastAsia="Times New Roman" w:hAnsi="ITC Avant Garde"/>
        </w:rPr>
        <w:t xml:space="preserve"> </w:t>
      </w:r>
      <w:r w:rsidR="008C1A93" w:rsidRPr="008448FB">
        <w:rPr>
          <w:rFonts w:ascii="ITC Avant Garde" w:eastAsia="Times New Roman" w:hAnsi="ITC Avant Garde"/>
        </w:rPr>
        <w:t>de conformidad con los artículos 21, párrafo único y 24, fracción XVI</w:t>
      </w:r>
      <w:r w:rsidR="008725DD">
        <w:rPr>
          <w:rFonts w:ascii="ITC Avant Garde" w:eastAsia="Times New Roman" w:hAnsi="ITC Avant Garde"/>
        </w:rPr>
        <w:t>,</w:t>
      </w:r>
      <w:r w:rsidR="008C1A93" w:rsidRPr="008448FB">
        <w:rPr>
          <w:rFonts w:ascii="ITC Avant Garde" w:eastAsia="Times New Roman" w:hAnsi="ITC Avant Garde"/>
        </w:rPr>
        <w:t xml:space="preserve"> del mismo Estatuto, es atribución de </w:t>
      </w:r>
      <w:r w:rsidRPr="008448FB">
        <w:rPr>
          <w:rFonts w:ascii="ITC Avant Garde" w:eastAsia="Times New Roman" w:hAnsi="ITC Avant Garde"/>
        </w:rPr>
        <w:t>la</w:t>
      </w:r>
      <w:r w:rsidR="008448FB" w:rsidRPr="008448FB">
        <w:rPr>
          <w:rFonts w:ascii="ITC Avant Garde" w:eastAsia="Times New Roman" w:hAnsi="ITC Avant Garde"/>
        </w:rPr>
        <w:t xml:space="preserve"> Unidad de Política Regulatoria</w:t>
      </w:r>
      <w:r w:rsidRPr="008448FB">
        <w:rPr>
          <w:rFonts w:ascii="ITC Avant Garde" w:eastAsia="Times New Roman" w:hAnsi="ITC Avant Garde"/>
        </w:rPr>
        <w:t xml:space="preserve"> sustanciar los procedimientos relativos al seguimiento de obligaciones y medidas impuestas al agente económico preponderante en el sector de radiodifusión.</w:t>
      </w:r>
    </w:p>
    <w:p w14:paraId="65F7B552" w14:textId="77777777" w:rsidR="009D0706" w:rsidRPr="001112AD" w:rsidRDefault="009D0706" w:rsidP="006956E3">
      <w:pPr>
        <w:widowControl w:val="0"/>
        <w:spacing w:after="0" w:line="276" w:lineRule="auto"/>
        <w:ind w:firstLine="708"/>
        <w:jc w:val="both"/>
        <w:rPr>
          <w:rFonts w:ascii="ITC Avant Garde" w:eastAsia="Times New Roman" w:hAnsi="ITC Avant Garde"/>
        </w:rPr>
      </w:pPr>
    </w:p>
    <w:p w14:paraId="6AF3E513" w14:textId="77777777" w:rsidR="009D0706" w:rsidRPr="001112AD" w:rsidRDefault="00D065A9" w:rsidP="006956E3">
      <w:pPr>
        <w:spacing w:after="0" w:line="276" w:lineRule="auto"/>
        <w:jc w:val="both"/>
        <w:rPr>
          <w:rFonts w:ascii="ITC Avant Garde" w:hAnsi="ITC Avant Garde" w:cs="Arial"/>
          <w:bCs/>
        </w:rPr>
      </w:pPr>
      <w:r>
        <w:rPr>
          <w:rFonts w:ascii="ITC Avant Garde" w:hAnsi="ITC Avant Garde" w:cs="Arial"/>
          <w:bCs/>
        </w:rPr>
        <w:lastRenderedPageBreak/>
        <w:t>Asimismo, l</w:t>
      </w:r>
      <w:r w:rsidR="009D0706">
        <w:rPr>
          <w:rFonts w:ascii="ITC Avant Garde" w:hAnsi="ITC Avant Garde" w:cs="Arial"/>
          <w:bCs/>
        </w:rPr>
        <w:t>os artículos 15</w:t>
      </w:r>
      <w:r w:rsidR="00B46375">
        <w:rPr>
          <w:rFonts w:ascii="ITC Avant Garde" w:hAnsi="ITC Avant Garde" w:cs="Arial"/>
          <w:bCs/>
        </w:rPr>
        <w:t>,</w:t>
      </w:r>
      <w:r w:rsidR="009D0706">
        <w:rPr>
          <w:rFonts w:ascii="ITC Avant Garde" w:hAnsi="ITC Avant Garde" w:cs="Arial"/>
          <w:bCs/>
        </w:rPr>
        <w:t xml:space="preserve"> fracción XL y </w:t>
      </w:r>
      <w:r w:rsidR="009D0706" w:rsidRPr="001112AD">
        <w:rPr>
          <w:rFonts w:ascii="ITC Avant Garde" w:hAnsi="ITC Avant Garde" w:cs="Arial"/>
          <w:bCs/>
        </w:rPr>
        <w:t>51 de la LFTR, establece</w:t>
      </w:r>
      <w:r w:rsidR="005F22D1">
        <w:rPr>
          <w:rFonts w:ascii="ITC Avant Garde" w:hAnsi="ITC Avant Garde" w:cs="Arial"/>
          <w:bCs/>
        </w:rPr>
        <w:t>n</w:t>
      </w:r>
      <w:r w:rsidR="00F370DF">
        <w:rPr>
          <w:rFonts w:ascii="ITC Avant Garde" w:hAnsi="ITC Avant Garde" w:cs="Arial"/>
          <w:bCs/>
        </w:rPr>
        <w:t xml:space="preserve"> que el </w:t>
      </w:r>
      <w:r w:rsidR="009D0706" w:rsidRPr="001112AD">
        <w:rPr>
          <w:rFonts w:ascii="ITC Avant Garde" w:hAnsi="ITC Avant Garde" w:cs="Arial"/>
          <w:bCs/>
        </w:rPr>
        <w:t xml:space="preserve">Instituto podrá realizar consultas públicas </w:t>
      </w:r>
      <w:r w:rsidR="001B6E9D">
        <w:rPr>
          <w:rFonts w:ascii="ITC Avant Garde" w:hAnsi="ITC Avant Garde" w:cs="Arial"/>
          <w:bCs/>
        </w:rPr>
        <w:t xml:space="preserve">no vinculatorias </w:t>
      </w:r>
      <w:r w:rsidR="009D0706" w:rsidRPr="001112AD">
        <w:rPr>
          <w:rFonts w:ascii="ITC Avant Garde" w:hAnsi="ITC Avant Garde" w:cs="Arial"/>
          <w:bCs/>
        </w:rPr>
        <w:t>en cualquier caso que así lo determine</w:t>
      </w:r>
      <w:r>
        <w:rPr>
          <w:rFonts w:ascii="ITC Avant Garde" w:hAnsi="ITC Avant Garde" w:cs="Arial"/>
          <w:bCs/>
        </w:rPr>
        <w:t xml:space="preserve"> el Pleno</w:t>
      </w:r>
      <w:r w:rsidR="009D0706" w:rsidRPr="001112AD">
        <w:rPr>
          <w:rFonts w:ascii="ITC Avant Garde" w:hAnsi="ITC Avant Garde" w:cs="Arial"/>
          <w:bCs/>
        </w:rPr>
        <w:t xml:space="preserve">, y </w:t>
      </w:r>
      <w:r>
        <w:rPr>
          <w:rFonts w:ascii="ITC Avant Garde" w:hAnsi="ITC Avant Garde" w:cs="Arial"/>
          <w:bCs/>
        </w:rPr>
        <w:t>que e</w:t>
      </w:r>
      <w:r w:rsidR="009D0706" w:rsidRPr="001112AD">
        <w:rPr>
          <w:rFonts w:ascii="ITC Avant Garde" w:hAnsi="ITC Avant Garde" w:cs="Arial"/>
          <w:bCs/>
        </w:rPr>
        <w:t>sta</w:t>
      </w:r>
      <w:r>
        <w:rPr>
          <w:rFonts w:ascii="ITC Avant Garde" w:hAnsi="ITC Avant Garde" w:cs="Arial"/>
          <w:bCs/>
        </w:rPr>
        <w:t>s</w:t>
      </w:r>
      <w:r w:rsidR="009D0706" w:rsidRPr="001112AD">
        <w:rPr>
          <w:rFonts w:ascii="ITC Avant Garde" w:hAnsi="ITC Avant Garde" w:cs="Arial"/>
          <w:bCs/>
        </w:rPr>
        <w:t xml:space="preserve"> deberá</w:t>
      </w:r>
      <w:r>
        <w:rPr>
          <w:rFonts w:ascii="ITC Avant Garde" w:hAnsi="ITC Avant Garde" w:cs="Arial"/>
          <w:bCs/>
        </w:rPr>
        <w:t>n</w:t>
      </w:r>
      <w:r w:rsidR="009D0706" w:rsidRPr="001112AD">
        <w:rPr>
          <w:rFonts w:ascii="ITC Avant Garde" w:hAnsi="ITC Avant Garde" w:cs="Arial"/>
          <w:bCs/>
        </w:rPr>
        <w:t xml:space="preserve"> llevarse a cabo bajo los principios de transparencia y participación ciudadana.</w:t>
      </w:r>
    </w:p>
    <w:p w14:paraId="29A80563" w14:textId="77777777" w:rsidR="009D0706" w:rsidRPr="001112AD" w:rsidRDefault="009D0706" w:rsidP="006956E3">
      <w:pPr>
        <w:widowControl w:val="0"/>
        <w:spacing w:after="0" w:line="276" w:lineRule="auto"/>
        <w:jc w:val="both"/>
        <w:rPr>
          <w:rFonts w:ascii="ITC Avant Garde" w:eastAsia="Times New Roman" w:hAnsi="ITC Avant Garde"/>
        </w:rPr>
      </w:pPr>
    </w:p>
    <w:p w14:paraId="2DE367A1" w14:textId="77777777" w:rsidR="005F22D1" w:rsidRPr="005F22D1" w:rsidRDefault="005F22D1" w:rsidP="006956E3">
      <w:pPr>
        <w:spacing w:after="0" w:line="276" w:lineRule="auto"/>
        <w:jc w:val="both"/>
        <w:rPr>
          <w:rFonts w:ascii="ITC Avant Garde" w:hAnsi="ITC Avant Garde" w:cs="Arial"/>
          <w:bCs/>
        </w:rPr>
      </w:pPr>
      <w:r w:rsidRPr="005F22D1">
        <w:rPr>
          <w:rFonts w:ascii="ITC Avant Garde" w:hAnsi="ITC Avant Garde" w:cs="Arial"/>
          <w:bCs/>
        </w:rPr>
        <w:t xml:space="preserve">Por lo anterior, el Instituto cuenta con facultades para emitir el presente acuerdo y llevar a cabo la consulta pública </w:t>
      </w:r>
      <w:r>
        <w:rPr>
          <w:rFonts w:ascii="ITC Avant Garde" w:hAnsi="ITC Avant Garde" w:cs="Arial"/>
          <w:bCs/>
        </w:rPr>
        <w:t>sobre la efectividad en té</w:t>
      </w:r>
      <w:r w:rsidRPr="005F22D1">
        <w:rPr>
          <w:rFonts w:ascii="ITC Avant Garde" w:hAnsi="ITC Avant Garde" w:cs="Arial"/>
          <w:bCs/>
        </w:rPr>
        <w:t xml:space="preserve">rminos de competencia de las medidas impuestas al agente económico preponderante en el sector de </w:t>
      </w:r>
      <w:r w:rsidR="00357C47">
        <w:rPr>
          <w:rFonts w:ascii="ITC Avant Garde" w:hAnsi="ITC Avant Garde" w:cs="Arial"/>
          <w:bCs/>
        </w:rPr>
        <w:t>radiodifusión</w:t>
      </w:r>
      <w:r w:rsidRPr="005F22D1">
        <w:rPr>
          <w:rFonts w:ascii="ITC Avant Garde" w:hAnsi="ITC Avant Garde" w:cs="Arial"/>
          <w:bCs/>
        </w:rPr>
        <w:t>, con fundamento</w:t>
      </w:r>
      <w:r>
        <w:rPr>
          <w:rFonts w:ascii="ITC Avant Garde" w:hAnsi="ITC Avant Garde" w:cs="Arial"/>
          <w:bCs/>
        </w:rPr>
        <w:t xml:space="preserve"> en los artículos</w:t>
      </w:r>
      <w:r w:rsidR="00B46375">
        <w:rPr>
          <w:rFonts w:ascii="ITC Avant Garde" w:hAnsi="ITC Avant Garde" w:cs="Arial"/>
          <w:bCs/>
        </w:rPr>
        <w:t xml:space="preserve"> </w:t>
      </w:r>
      <w:r>
        <w:rPr>
          <w:rFonts w:ascii="ITC Avant Garde" w:hAnsi="ITC Avant Garde" w:cs="Arial"/>
          <w:bCs/>
        </w:rPr>
        <w:t xml:space="preserve">15, fracción XL y </w:t>
      </w:r>
      <w:r w:rsidRPr="005F22D1">
        <w:rPr>
          <w:rFonts w:ascii="ITC Avant Garde" w:hAnsi="ITC Avant Garde" w:cs="Arial"/>
          <w:bCs/>
        </w:rPr>
        <w:t>51 de la L</w:t>
      </w:r>
      <w:r w:rsidR="00B46375">
        <w:rPr>
          <w:rFonts w:ascii="ITC Avant Garde" w:hAnsi="ITC Avant Garde" w:cs="Arial"/>
          <w:bCs/>
        </w:rPr>
        <w:t xml:space="preserve">ey </w:t>
      </w:r>
      <w:r w:rsidRPr="005F22D1">
        <w:rPr>
          <w:rFonts w:ascii="ITC Avant Garde" w:hAnsi="ITC Avant Garde" w:cs="Arial"/>
          <w:bCs/>
        </w:rPr>
        <w:t>F</w:t>
      </w:r>
      <w:r w:rsidR="00B46375">
        <w:rPr>
          <w:rFonts w:ascii="ITC Avant Garde" w:hAnsi="ITC Avant Garde" w:cs="Arial"/>
          <w:bCs/>
        </w:rPr>
        <w:t xml:space="preserve">ederal de </w:t>
      </w:r>
      <w:r w:rsidRPr="005F22D1">
        <w:rPr>
          <w:rFonts w:ascii="ITC Avant Garde" w:hAnsi="ITC Avant Garde" w:cs="Arial"/>
          <w:bCs/>
        </w:rPr>
        <w:t>T</w:t>
      </w:r>
      <w:r w:rsidR="00B46375">
        <w:rPr>
          <w:rFonts w:ascii="ITC Avant Garde" w:hAnsi="ITC Avant Garde" w:cs="Arial"/>
          <w:bCs/>
        </w:rPr>
        <w:t xml:space="preserve">elecomunicaciones y </w:t>
      </w:r>
      <w:r w:rsidRPr="005F22D1">
        <w:rPr>
          <w:rFonts w:ascii="ITC Avant Garde" w:hAnsi="ITC Avant Garde" w:cs="Arial"/>
          <w:bCs/>
        </w:rPr>
        <w:t>R</w:t>
      </w:r>
      <w:r w:rsidR="00B46375">
        <w:rPr>
          <w:rFonts w:ascii="ITC Avant Garde" w:hAnsi="ITC Avant Garde" w:cs="Arial"/>
          <w:bCs/>
        </w:rPr>
        <w:t>adiodifusión</w:t>
      </w:r>
      <w:r w:rsidRPr="005F22D1">
        <w:rPr>
          <w:rFonts w:ascii="ITC Avant Garde" w:hAnsi="ITC Avant Garde" w:cs="Arial"/>
          <w:bCs/>
        </w:rPr>
        <w:t xml:space="preserve">, así como en el artículo </w:t>
      </w:r>
      <w:r>
        <w:rPr>
          <w:rFonts w:ascii="ITC Avant Garde" w:hAnsi="ITC Avant Garde" w:cs="Arial"/>
          <w:bCs/>
        </w:rPr>
        <w:t>6</w:t>
      </w:r>
      <w:r w:rsidR="006A4D4A">
        <w:rPr>
          <w:rFonts w:ascii="ITC Avant Garde" w:hAnsi="ITC Avant Garde" w:cs="Arial"/>
          <w:bCs/>
        </w:rPr>
        <w:t>,</w:t>
      </w:r>
      <w:r w:rsidRPr="005F22D1">
        <w:rPr>
          <w:rFonts w:ascii="ITC Avant Garde" w:hAnsi="ITC Avant Garde" w:cs="Arial"/>
          <w:bCs/>
        </w:rPr>
        <w:t xml:space="preserve"> fracción VI del Estatuto</w:t>
      </w:r>
      <w:r w:rsidR="00B46375">
        <w:rPr>
          <w:rFonts w:ascii="ITC Avant Garde" w:hAnsi="ITC Avant Garde" w:cs="Arial"/>
          <w:bCs/>
        </w:rPr>
        <w:t xml:space="preserve"> Orgánico del Instituto Federal de Telecomunicaciones</w:t>
      </w:r>
      <w:r w:rsidRPr="005F22D1">
        <w:rPr>
          <w:rFonts w:ascii="ITC Avant Garde" w:hAnsi="ITC Avant Garde" w:cs="Arial"/>
          <w:bCs/>
        </w:rPr>
        <w:t>.</w:t>
      </w:r>
    </w:p>
    <w:p w14:paraId="080B5BF7" w14:textId="77777777" w:rsidR="005F22D1" w:rsidRPr="005F22D1" w:rsidRDefault="005F22D1" w:rsidP="006956E3">
      <w:pPr>
        <w:spacing w:after="0" w:line="276" w:lineRule="auto"/>
        <w:jc w:val="both"/>
        <w:rPr>
          <w:rFonts w:ascii="ITC Avant Garde" w:hAnsi="ITC Avant Garde" w:cs="Arial"/>
          <w:bCs/>
        </w:rPr>
      </w:pPr>
      <w:r w:rsidRPr="005F22D1">
        <w:rPr>
          <w:rFonts w:ascii="ITC Avant Garde" w:hAnsi="ITC Avant Garde" w:cs="Arial"/>
          <w:bCs/>
        </w:rPr>
        <w:t xml:space="preserve"> </w:t>
      </w:r>
    </w:p>
    <w:p w14:paraId="36D3C95B" w14:textId="77777777" w:rsidR="00D065A9" w:rsidRDefault="009D0706" w:rsidP="006956E3">
      <w:pPr>
        <w:spacing w:after="0" w:line="276" w:lineRule="auto"/>
        <w:jc w:val="both"/>
        <w:rPr>
          <w:rFonts w:ascii="ITC Avant Garde" w:hAnsi="ITC Avant Garde" w:cs="Arial"/>
          <w:bCs/>
        </w:rPr>
      </w:pPr>
      <w:r w:rsidRPr="001112AD">
        <w:rPr>
          <w:rFonts w:ascii="ITC Avant Garde" w:hAnsi="ITC Avant Garde" w:cs="Arial"/>
          <w:b/>
          <w:bCs/>
        </w:rPr>
        <w:t>SEGUNDO</w:t>
      </w:r>
      <w:r w:rsidRPr="001112AD">
        <w:rPr>
          <w:rFonts w:ascii="ITC Avant Garde" w:hAnsi="ITC Avant Garde" w:cs="Arial"/>
          <w:bCs/>
        </w:rPr>
        <w:t xml:space="preserve">.- </w:t>
      </w:r>
      <w:r w:rsidRPr="001112AD">
        <w:rPr>
          <w:rFonts w:ascii="ITC Avant Garde" w:hAnsi="ITC Avant Garde" w:cs="Arial"/>
          <w:b/>
          <w:bCs/>
        </w:rPr>
        <w:t>Evaluación de las medidas</w:t>
      </w:r>
      <w:r w:rsidR="00815F09" w:rsidRPr="00815F09">
        <w:rPr>
          <w:rFonts w:ascii="ITC Avant Garde" w:hAnsi="ITC Avant Garde" w:cs="Arial"/>
          <w:b/>
          <w:bCs/>
        </w:rPr>
        <w:t xml:space="preserve"> </w:t>
      </w:r>
      <w:r w:rsidR="00815F09">
        <w:rPr>
          <w:rFonts w:ascii="ITC Avant Garde" w:hAnsi="ITC Avant Garde" w:cs="Arial"/>
          <w:b/>
          <w:bCs/>
        </w:rPr>
        <w:t>asimétricas</w:t>
      </w:r>
      <w:r w:rsidRPr="001112AD">
        <w:rPr>
          <w:rFonts w:ascii="ITC Avant Garde" w:hAnsi="ITC Avant Garde" w:cs="Arial"/>
          <w:b/>
          <w:bCs/>
        </w:rPr>
        <w:t>.</w:t>
      </w:r>
      <w:r w:rsidRPr="001112AD">
        <w:rPr>
          <w:rFonts w:ascii="ITC Avant Garde" w:hAnsi="ITC Avant Garde" w:cs="Arial"/>
          <w:bCs/>
        </w:rPr>
        <w:t xml:space="preserve"> </w:t>
      </w:r>
      <w:r w:rsidR="00D065A9" w:rsidRPr="00DB76DE">
        <w:rPr>
          <w:rFonts w:ascii="ITC Avant Garde" w:hAnsi="ITC Avant Garde" w:cs="Arial"/>
          <w:bCs/>
        </w:rPr>
        <w:t>E</w:t>
      </w:r>
      <w:r w:rsidR="00DB76DE">
        <w:rPr>
          <w:rFonts w:ascii="ITC Avant Garde" w:hAnsi="ITC Avant Garde" w:cs="Arial"/>
          <w:bCs/>
        </w:rPr>
        <w:t>n consistencia con la</w:t>
      </w:r>
      <w:r w:rsidR="00D065A9">
        <w:rPr>
          <w:rFonts w:ascii="ITC Avant Garde" w:hAnsi="ITC Avant Garde" w:cs="Arial"/>
          <w:bCs/>
        </w:rPr>
        <w:t xml:space="preserve"> mejor práctica internacional </w:t>
      </w:r>
      <w:r w:rsidR="00DB76DE">
        <w:rPr>
          <w:rFonts w:ascii="ITC Avant Garde" w:hAnsi="ITC Avant Garde" w:cs="Arial"/>
          <w:bCs/>
        </w:rPr>
        <w:t>resulta idóneo</w:t>
      </w:r>
      <w:r w:rsidR="00D065A9">
        <w:rPr>
          <w:rFonts w:ascii="ITC Avant Garde" w:hAnsi="ITC Avant Garde" w:cs="Arial"/>
          <w:bCs/>
        </w:rPr>
        <w:t xml:space="preserve"> que las autoridades regulatorias lleven a cabo revisiones periódicas de la regulación que imponen en algún mercado o sector</w:t>
      </w:r>
      <w:r w:rsidR="007A1A9A">
        <w:rPr>
          <w:rStyle w:val="Refdenotaalpie"/>
          <w:rFonts w:ascii="ITC Avant Garde" w:hAnsi="ITC Avant Garde" w:cs="Arial"/>
          <w:bCs/>
        </w:rPr>
        <w:footnoteReference w:id="2"/>
      </w:r>
      <w:r w:rsidR="00D065A9">
        <w:rPr>
          <w:rFonts w:ascii="ITC Avant Garde" w:hAnsi="ITC Avant Garde" w:cs="Arial"/>
          <w:bCs/>
        </w:rPr>
        <w:t>. Dicho ejercicio de revisión fue adoptado por el Instituto, desde la Resolución de AEPR, con el propósito de adecuar oportunamente la regulación, con base en el impacto que las medidas asimétricas hayan tenido en el desarrollo de la competencia y libre concurrencia y, por ende, en el usuario final.</w:t>
      </w:r>
    </w:p>
    <w:p w14:paraId="75E06B7E" w14:textId="77777777" w:rsidR="00D065A9" w:rsidRDefault="00D065A9" w:rsidP="006956E3">
      <w:pPr>
        <w:spacing w:after="0" w:line="276" w:lineRule="auto"/>
        <w:jc w:val="both"/>
        <w:rPr>
          <w:rFonts w:ascii="ITC Avant Garde" w:hAnsi="ITC Avant Garde" w:cs="Arial"/>
          <w:bCs/>
        </w:rPr>
      </w:pPr>
    </w:p>
    <w:p w14:paraId="3D88ACE5" w14:textId="27DEE782" w:rsidR="00D065A9" w:rsidRDefault="00D065A9" w:rsidP="006956E3">
      <w:pPr>
        <w:spacing w:after="0" w:line="276" w:lineRule="auto"/>
        <w:jc w:val="both"/>
        <w:rPr>
          <w:rFonts w:ascii="ITC Avant Garde" w:hAnsi="ITC Avant Garde" w:cs="Arial"/>
          <w:bCs/>
        </w:rPr>
      </w:pPr>
      <w:r>
        <w:rPr>
          <w:rFonts w:ascii="ITC Avant Garde" w:hAnsi="ITC Avant Garde" w:cs="Arial"/>
          <w:bCs/>
        </w:rPr>
        <w:t xml:space="preserve">Si bien el Instituto cuenta con información sobre el desarrollo del sector de la </w:t>
      </w:r>
      <w:r w:rsidR="00815F09">
        <w:rPr>
          <w:rFonts w:ascii="ITC Avant Garde" w:hAnsi="ITC Avant Garde" w:cs="Arial"/>
          <w:bCs/>
        </w:rPr>
        <w:t xml:space="preserve">radiodifusión </w:t>
      </w:r>
      <w:r>
        <w:rPr>
          <w:rFonts w:ascii="ITC Avant Garde" w:hAnsi="ITC Avant Garde" w:cs="Arial"/>
          <w:bCs/>
        </w:rPr>
        <w:t xml:space="preserve">y de </w:t>
      </w:r>
      <w:r w:rsidR="007977DB">
        <w:rPr>
          <w:rFonts w:ascii="ITC Avant Garde" w:hAnsi="ITC Avant Garde" w:cs="Arial"/>
          <w:bCs/>
        </w:rPr>
        <w:t>los agentes económicos que participan en este</w:t>
      </w:r>
      <w:r>
        <w:rPr>
          <w:rFonts w:ascii="ITC Avant Garde" w:hAnsi="ITC Avant Garde" w:cs="Arial"/>
          <w:bCs/>
        </w:rPr>
        <w:t xml:space="preserve">, se considera  </w:t>
      </w:r>
      <w:r w:rsidR="0076261E">
        <w:rPr>
          <w:rFonts w:ascii="ITC Avant Garde" w:hAnsi="ITC Avant Garde" w:cs="Arial"/>
          <w:bCs/>
        </w:rPr>
        <w:t>importante</w:t>
      </w:r>
      <w:r>
        <w:rPr>
          <w:rFonts w:ascii="ITC Avant Garde" w:hAnsi="ITC Avant Garde" w:cs="Arial"/>
          <w:bCs/>
        </w:rPr>
        <w:t xml:space="preserve"> </w:t>
      </w:r>
      <w:r w:rsidR="0076261E">
        <w:rPr>
          <w:rFonts w:ascii="ITC Avant Garde" w:hAnsi="ITC Avant Garde" w:cs="Arial"/>
          <w:bCs/>
        </w:rPr>
        <w:t xml:space="preserve">realizar </w:t>
      </w:r>
      <w:r>
        <w:rPr>
          <w:rFonts w:ascii="ITC Avant Garde" w:hAnsi="ITC Avant Garde" w:cs="Arial"/>
          <w:bCs/>
        </w:rPr>
        <w:t>un ejercicio</w:t>
      </w:r>
      <w:r w:rsidR="0076261E">
        <w:rPr>
          <w:rFonts w:ascii="ITC Avant Garde" w:hAnsi="ITC Avant Garde" w:cs="Arial"/>
          <w:bCs/>
        </w:rPr>
        <w:t xml:space="preserve"> de consulta pública</w:t>
      </w:r>
      <w:r>
        <w:rPr>
          <w:rFonts w:ascii="ITC Avant Garde" w:hAnsi="ITC Avant Garde" w:cs="Arial"/>
          <w:bCs/>
        </w:rPr>
        <w:t xml:space="preserve"> que  permita</w:t>
      </w:r>
      <w:r w:rsidR="0076261E">
        <w:rPr>
          <w:rFonts w:ascii="ITC Avant Garde" w:hAnsi="ITC Avant Garde" w:cs="Arial"/>
          <w:bCs/>
        </w:rPr>
        <w:t xml:space="preserve"> al Instituto</w:t>
      </w:r>
      <w:r>
        <w:rPr>
          <w:rFonts w:ascii="ITC Avant Garde" w:hAnsi="ITC Avant Garde" w:cs="Arial"/>
          <w:bCs/>
        </w:rPr>
        <w:t xml:space="preserve"> </w:t>
      </w:r>
      <w:r w:rsidR="00B313B4">
        <w:rPr>
          <w:rFonts w:ascii="ITC Avant Garde" w:hAnsi="ITC Avant Garde" w:cs="Arial"/>
          <w:bCs/>
        </w:rPr>
        <w:t>obtener  información</w:t>
      </w:r>
      <w:r w:rsidR="0076261E">
        <w:rPr>
          <w:rFonts w:ascii="ITC Avant Garde" w:hAnsi="ITC Avant Garde" w:cs="Arial"/>
          <w:bCs/>
        </w:rPr>
        <w:t xml:space="preserve"> relacionad</w:t>
      </w:r>
      <w:r w:rsidR="00F35C2E">
        <w:rPr>
          <w:rFonts w:ascii="ITC Avant Garde" w:hAnsi="ITC Avant Garde" w:cs="Arial"/>
          <w:bCs/>
        </w:rPr>
        <w:t xml:space="preserve">a con </w:t>
      </w:r>
      <w:r>
        <w:rPr>
          <w:rFonts w:ascii="ITC Avant Garde" w:hAnsi="ITC Avant Garde" w:cs="Arial"/>
          <w:bCs/>
        </w:rPr>
        <w:t>el conocimiento y apreciaciones de los regulados y demás integrantes de</w:t>
      </w:r>
      <w:r w:rsidR="007068A7">
        <w:rPr>
          <w:rFonts w:ascii="ITC Avant Garde" w:hAnsi="ITC Avant Garde" w:cs="Arial"/>
          <w:bCs/>
        </w:rPr>
        <w:t xml:space="preserve"> </w:t>
      </w:r>
      <w:r>
        <w:rPr>
          <w:rFonts w:ascii="ITC Avant Garde" w:hAnsi="ITC Avant Garde" w:cs="Arial"/>
          <w:bCs/>
        </w:rPr>
        <w:t>l</w:t>
      </w:r>
      <w:r w:rsidR="007068A7">
        <w:rPr>
          <w:rFonts w:ascii="ITC Avant Garde" w:hAnsi="ITC Avant Garde" w:cs="Arial"/>
          <w:bCs/>
        </w:rPr>
        <w:t>os</w:t>
      </w:r>
      <w:r>
        <w:rPr>
          <w:rFonts w:ascii="ITC Avant Garde" w:hAnsi="ITC Avant Garde" w:cs="Arial"/>
          <w:bCs/>
        </w:rPr>
        <w:t xml:space="preserve"> sector</w:t>
      </w:r>
      <w:r w:rsidR="007068A7">
        <w:rPr>
          <w:rFonts w:ascii="ITC Avant Garde" w:hAnsi="ITC Avant Garde" w:cs="Arial"/>
          <w:bCs/>
        </w:rPr>
        <w:t>es de telecomunicaciones y radiodifusión</w:t>
      </w:r>
      <w:r>
        <w:rPr>
          <w:rFonts w:ascii="ITC Avant Garde" w:hAnsi="ITC Avant Garde" w:cs="Arial"/>
          <w:bCs/>
        </w:rPr>
        <w:t>, academia</w:t>
      </w:r>
      <w:r w:rsidR="00014DD4">
        <w:rPr>
          <w:rFonts w:ascii="ITC Avant Garde" w:hAnsi="ITC Avant Garde" w:cs="Arial"/>
          <w:bCs/>
        </w:rPr>
        <w:t>,</w:t>
      </w:r>
      <w:r w:rsidR="00374FD1">
        <w:rPr>
          <w:rFonts w:ascii="ITC Avant Garde" w:hAnsi="ITC Avant Garde" w:cs="Arial"/>
          <w:bCs/>
        </w:rPr>
        <w:t xml:space="preserve"> </w:t>
      </w:r>
      <w:r>
        <w:rPr>
          <w:rFonts w:ascii="ITC Avant Garde" w:hAnsi="ITC Avant Garde" w:cs="Arial"/>
          <w:bCs/>
        </w:rPr>
        <w:t xml:space="preserve">sociedad civil </w:t>
      </w:r>
      <w:r w:rsidR="00014DD4">
        <w:rPr>
          <w:rFonts w:ascii="ITC Avant Garde" w:hAnsi="ITC Avant Garde" w:cs="Arial"/>
          <w:bCs/>
        </w:rPr>
        <w:t>y de cualquier persona</w:t>
      </w:r>
      <w:r>
        <w:rPr>
          <w:rFonts w:ascii="ITC Avant Garde" w:hAnsi="ITC Avant Garde" w:cs="Arial"/>
          <w:bCs/>
        </w:rPr>
        <w:t xml:space="preserve"> que</w:t>
      </w:r>
      <w:r w:rsidR="00A31716">
        <w:rPr>
          <w:rFonts w:ascii="ITC Avant Garde" w:hAnsi="ITC Avant Garde" w:cs="Arial"/>
          <w:bCs/>
        </w:rPr>
        <w:t xml:space="preserve"> </w:t>
      </w:r>
      <w:r>
        <w:rPr>
          <w:rFonts w:ascii="ITC Avant Garde" w:hAnsi="ITC Avant Garde" w:cs="Arial"/>
          <w:bCs/>
        </w:rPr>
        <w:t>contribuya</w:t>
      </w:r>
      <w:r w:rsidRPr="00563E3F">
        <w:rPr>
          <w:rFonts w:ascii="ITC Avant Garde" w:hAnsi="ITC Avant Garde" w:cs="Arial"/>
          <w:bCs/>
        </w:rPr>
        <w:t xml:space="preserve"> al diagnóstico sobre el impacto de las medidas y las determinaciones sobre las posibles modificaciones, supresiones o adiciones</w:t>
      </w:r>
      <w:r>
        <w:rPr>
          <w:rFonts w:ascii="ITC Avant Garde" w:hAnsi="ITC Avant Garde" w:cs="Arial"/>
          <w:bCs/>
        </w:rPr>
        <w:t xml:space="preserve"> a las mismas, derivadas de esta segunda evaluación bienal</w:t>
      </w:r>
      <w:r w:rsidR="00F35C2E">
        <w:rPr>
          <w:rFonts w:ascii="ITC Avant Garde" w:hAnsi="ITC Avant Garde" w:cs="Arial"/>
          <w:bCs/>
        </w:rPr>
        <w:t>.</w:t>
      </w:r>
    </w:p>
    <w:p w14:paraId="3F5DAB3A" w14:textId="77777777" w:rsidR="009D0706" w:rsidRPr="001112AD" w:rsidRDefault="009D0706" w:rsidP="006956E3">
      <w:pPr>
        <w:spacing w:after="0" w:line="276" w:lineRule="auto"/>
        <w:jc w:val="both"/>
        <w:rPr>
          <w:rFonts w:ascii="ITC Avant Garde" w:hAnsi="ITC Avant Garde" w:cs="Arial"/>
          <w:bCs/>
        </w:rPr>
      </w:pPr>
    </w:p>
    <w:p w14:paraId="077EA857" w14:textId="1B74B599" w:rsidR="009D0706" w:rsidRDefault="002E4825" w:rsidP="006956E3">
      <w:pPr>
        <w:spacing w:after="0" w:line="276" w:lineRule="auto"/>
        <w:jc w:val="both"/>
        <w:rPr>
          <w:rFonts w:ascii="ITC Avant Garde" w:hAnsi="ITC Avant Garde" w:cs="Arial"/>
          <w:bCs/>
        </w:rPr>
      </w:pPr>
      <w:r w:rsidRPr="00F35C2E">
        <w:rPr>
          <w:rFonts w:ascii="ITC Avant Garde" w:hAnsi="ITC Avant Garde" w:cs="Arial"/>
          <w:bCs/>
        </w:rPr>
        <w:t>A</w:t>
      </w:r>
      <w:r w:rsidR="00D065A9" w:rsidRPr="00F35C2E">
        <w:rPr>
          <w:rFonts w:ascii="ITC Avant Garde" w:hAnsi="ITC Avant Garde" w:cs="Arial"/>
          <w:bCs/>
        </w:rPr>
        <w:t>l respecto</w:t>
      </w:r>
      <w:r w:rsidRPr="00F35C2E">
        <w:rPr>
          <w:rFonts w:ascii="ITC Avant Garde" w:hAnsi="ITC Avant Garde" w:cs="Arial"/>
          <w:bCs/>
        </w:rPr>
        <w:t>, l</w:t>
      </w:r>
      <w:r w:rsidR="009D0706" w:rsidRPr="00F35C2E">
        <w:rPr>
          <w:rFonts w:ascii="ITC Avant Garde" w:hAnsi="ITC Avant Garde" w:cs="Arial"/>
          <w:bCs/>
        </w:rPr>
        <w:t xml:space="preserve">as consultas públicas son instrumentos </w:t>
      </w:r>
      <w:r w:rsidR="00D065A9" w:rsidRPr="00F35C2E">
        <w:rPr>
          <w:rFonts w:ascii="ITC Avant Garde" w:hAnsi="ITC Avant Garde" w:cs="Arial"/>
          <w:bCs/>
        </w:rPr>
        <w:t>regulatorios clave utilizados en</w:t>
      </w:r>
      <w:r w:rsidR="009D0706" w:rsidRPr="00F35C2E">
        <w:rPr>
          <w:rFonts w:ascii="ITC Avant Garde" w:hAnsi="ITC Avant Garde" w:cs="Arial"/>
          <w:bCs/>
        </w:rPr>
        <w:t xml:space="preserve"> diversos países, con la finalidad de </w:t>
      </w:r>
      <w:r w:rsidR="00D065A9" w:rsidRPr="00161816">
        <w:rPr>
          <w:rFonts w:ascii="ITC Avant Garde" w:hAnsi="ITC Avant Garde" w:cs="Arial"/>
          <w:bCs/>
        </w:rPr>
        <w:t>mejorar la</w:t>
      </w:r>
      <w:r w:rsidR="009D0706" w:rsidRPr="00161816">
        <w:rPr>
          <w:rFonts w:ascii="ITC Avant Garde" w:hAnsi="ITC Avant Garde" w:cs="Arial"/>
          <w:bCs/>
        </w:rPr>
        <w:t xml:space="preserve"> transparencia, </w:t>
      </w:r>
      <w:r w:rsidR="00D065A9" w:rsidRPr="00161816">
        <w:rPr>
          <w:rFonts w:ascii="ITC Avant Garde" w:hAnsi="ITC Avant Garde" w:cs="Arial"/>
          <w:bCs/>
        </w:rPr>
        <w:t>eficiencia y efectividad de la regulación. Asimismo, permiten recabar información tanto de los grupos afectados por la regulación como de aquellos interesado</w:t>
      </w:r>
      <w:r w:rsidR="00D065A9" w:rsidRPr="00F35C2E">
        <w:rPr>
          <w:rFonts w:ascii="ITC Avant Garde" w:hAnsi="ITC Avant Garde" w:cs="Arial"/>
          <w:bCs/>
        </w:rPr>
        <w:t>s en la misma, lo que a su vez facilita el diseño de regulación de mejor calidad</w:t>
      </w:r>
      <w:r w:rsidR="007A1A9A">
        <w:rPr>
          <w:rStyle w:val="Refdenotaalpie"/>
          <w:rFonts w:ascii="ITC Avant Garde" w:hAnsi="ITC Avant Garde" w:cs="Arial"/>
          <w:bCs/>
        </w:rPr>
        <w:footnoteReference w:id="3"/>
      </w:r>
      <w:r w:rsidR="009D0706" w:rsidRPr="00F35C2E">
        <w:rPr>
          <w:rFonts w:ascii="ITC Avant Garde" w:hAnsi="ITC Avant Garde" w:cs="Arial"/>
          <w:bCs/>
        </w:rPr>
        <w:t>.</w:t>
      </w:r>
    </w:p>
    <w:p w14:paraId="67676979" w14:textId="77777777" w:rsidR="006956E3" w:rsidRDefault="006956E3" w:rsidP="006956E3">
      <w:pPr>
        <w:spacing w:after="0" w:line="276" w:lineRule="auto"/>
        <w:jc w:val="both"/>
        <w:rPr>
          <w:rFonts w:ascii="ITC Avant Garde" w:hAnsi="ITC Avant Garde" w:cs="Arial"/>
          <w:bCs/>
        </w:rPr>
      </w:pPr>
    </w:p>
    <w:p w14:paraId="01C94A1E" w14:textId="77777777" w:rsidR="009D0706" w:rsidRDefault="009D0706" w:rsidP="006956E3">
      <w:pPr>
        <w:spacing w:after="0" w:line="276" w:lineRule="auto"/>
        <w:jc w:val="both"/>
        <w:rPr>
          <w:rFonts w:ascii="ITC Avant Garde" w:hAnsi="ITC Avant Garde" w:cs="Arial"/>
          <w:bCs/>
        </w:rPr>
      </w:pPr>
      <w:r w:rsidRPr="001112AD">
        <w:rPr>
          <w:rFonts w:ascii="ITC Avant Garde" w:hAnsi="ITC Avant Garde" w:cs="Arial"/>
          <w:bCs/>
        </w:rPr>
        <w:t xml:space="preserve">En </w:t>
      </w:r>
      <w:r w:rsidR="00D065A9">
        <w:rPr>
          <w:rFonts w:ascii="ITC Avant Garde" w:hAnsi="ITC Avant Garde" w:cs="Arial"/>
          <w:bCs/>
        </w:rPr>
        <w:t>el caso de México</w:t>
      </w:r>
      <w:r w:rsidRPr="001112AD">
        <w:rPr>
          <w:rFonts w:ascii="ITC Avant Garde" w:hAnsi="ITC Avant Garde" w:cs="Arial"/>
          <w:bCs/>
        </w:rPr>
        <w:t xml:space="preserve">, de conformidad con </w:t>
      </w:r>
      <w:r w:rsidR="00474DAA">
        <w:rPr>
          <w:rFonts w:ascii="ITC Avant Garde" w:hAnsi="ITC Avant Garde" w:cs="Arial"/>
          <w:bCs/>
        </w:rPr>
        <w:t>los artículos 15, fracción XL y</w:t>
      </w:r>
      <w:r w:rsidRPr="001112AD">
        <w:rPr>
          <w:rFonts w:ascii="ITC Avant Garde" w:hAnsi="ITC Avant Garde" w:cs="Arial"/>
          <w:bCs/>
        </w:rPr>
        <w:t xml:space="preserve"> 51 de la LFTR, el Instituto podrá realizar consultas públicas en cualquier caso que así lo determine</w:t>
      </w:r>
      <w:r w:rsidR="00512982">
        <w:rPr>
          <w:rFonts w:ascii="ITC Avant Garde" w:hAnsi="ITC Avant Garde" w:cs="Arial"/>
          <w:bCs/>
        </w:rPr>
        <w:t xml:space="preserve"> el Pleno</w:t>
      </w:r>
      <w:r w:rsidRPr="001112AD">
        <w:rPr>
          <w:rFonts w:ascii="ITC Avant Garde" w:hAnsi="ITC Avant Garde" w:cs="Arial"/>
          <w:bCs/>
        </w:rPr>
        <w:t xml:space="preserve">, y </w:t>
      </w:r>
      <w:r w:rsidR="00512982">
        <w:rPr>
          <w:rFonts w:ascii="ITC Avant Garde" w:hAnsi="ITC Avant Garde" w:cs="Arial"/>
          <w:bCs/>
        </w:rPr>
        <w:t>e</w:t>
      </w:r>
      <w:r w:rsidRPr="001112AD">
        <w:rPr>
          <w:rFonts w:ascii="ITC Avant Garde" w:hAnsi="ITC Avant Garde" w:cs="Arial"/>
          <w:bCs/>
        </w:rPr>
        <w:t>sta</w:t>
      </w:r>
      <w:r w:rsidR="00512982">
        <w:rPr>
          <w:rFonts w:ascii="ITC Avant Garde" w:hAnsi="ITC Avant Garde" w:cs="Arial"/>
          <w:bCs/>
        </w:rPr>
        <w:t>s</w:t>
      </w:r>
      <w:r w:rsidRPr="001112AD">
        <w:rPr>
          <w:rFonts w:ascii="ITC Avant Garde" w:hAnsi="ITC Avant Garde" w:cs="Arial"/>
          <w:bCs/>
        </w:rPr>
        <w:t xml:space="preserve"> deberá</w:t>
      </w:r>
      <w:r w:rsidR="00512982">
        <w:rPr>
          <w:rFonts w:ascii="ITC Avant Garde" w:hAnsi="ITC Avant Garde" w:cs="Arial"/>
          <w:bCs/>
        </w:rPr>
        <w:t>n</w:t>
      </w:r>
      <w:r w:rsidRPr="001112AD">
        <w:rPr>
          <w:rFonts w:ascii="ITC Avant Garde" w:hAnsi="ITC Avant Garde" w:cs="Arial"/>
          <w:bCs/>
        </w:rPr>
        <w:t xml:space="preserve"> llevarse a cabo bajo los principios de transparencia y participación ciudadana.</w:t>
      </w:r>
    </w:p>
    <w:p w14:paraId="222D00E5" w14:textId="77777777" w:rsidR="00DA5BC1" w:rsidRDefault="00DA5BC1" w:rsidP="006956E3">
      <w:pPr>
        <w:spacing w:after="0" w:line="276" w:lineRule="auto"/>
        <w:jc w:val="both"/>
        <w:rPr>
          <w:rFonts w:ascii="ITC Avant Garde" w:hAnsi="ITC Avant Garde" w:cs="Arial"/>
          <w:bCs/>
        </w:rPr>
      </w:pPr>
    </w:p>
    <w:p w14:paraId="33881A2D" w14:textId="745BA9EB" w:rsidR="00DA5BC1" w:rsidRPr="001112AD" w:rsidRDefault="00474DAA" w:rsidP="006956E3">
      <w:pPr>
        <w:spacing w:after="0" w:line="276" w:lineRule="auto"/>
        <w:jc w:val="both"/>
        <w:rPr>
          <w:rFonts w:ascii="ITC Avant Garde" w:hAnsi="ITC Avant Garde" w:cs="Arial"/>
          <w:bCs/>
        </w:rPr>
      </w:pPr>
      <w:r>
        <w:rPr>
          <w:rFonts w:ascii="ITC Avant Garde" w:hAnsi="ITC Avant Garde" w:cs="Arial"/>
          <w:bCs/>
        </w:rPr>
        <w:t>Así también, según</w:t>
      </w:r>
      <w:r w:rsidR="00DA5BC1">
        <w:rPr>
          <w:rFonts w:ascii="ITC Avant Garde" w:hAnsi="ITC Avant Garde" w:cs="Arial"/>
          <w:bCs/>
        </w:rPr>
        <w:t xml:space="preserve"> lo dispuesto </w:t>
      </w:r>
      <w:r w:rsidR="00512982">
        <w:rPr>
          <w:rFonts w:ascii="ITC Avant Garde" w:hAnsi="ITC Avant Garde" w:cs="Arial"/>
          <w:bCs/>
        </w:rPr>
        <w:t>por</w:t>
      </w:r>
      <w:r>
        <w:rPr>
          <w:rFonts w:ascii="ITC Avant Garde" w:hAnsi="ITC Avant Garde" w:cs="Arial"/>
          <w:bCs/>
        </w:rPr>
        <w:t xml:space="preserve"> el lineamiento T</w:t>
      </w:r>
      <w:r w:rsidR="00DA5BC1">
        <w:rPr>
          <w:rFonts w:ascii="ITC Avant Garde" w:hAnsi="ITC Avant Garde" w:cs="Arial"/>
          <w:bCs/>
        </w:rPr>
        <w:t>ercero</w:t>
      </w:r>
      <w:r w:rsidR="001966FD">
        <w:rPr>
          <w:rFonts w:ascii="ITC Avant Garde" w:hAnsi="ITC Avant Garde" w:cs="Arial"/>
          <w:bCs/>
        </w:rPr>
        <w:t>, fracción III</w:t>
      </w:r>
      <w:r w:rsidR="00DA5BC1">
        <w:rPr>
          <w:rFonts w:ascii="ITC Avant Garde" w:hAnsi="ITC Avant Garde" w:cs="Arial"/>
          <w:bCs/>
        </w:rPr>
        <w:t xml:space="preserve"> de los </w:t>
      </w:r>
      <w:r w:rsidR="000B27F3">
        <w:rPr>
          <w:rFonts w:ascii="ITC Avant Garde" w:hAnsi="ITC Avant Garde" w:cs="Arial"/>
          <w:bCs/>
        </w:rPr>
        <w:t>LCPAIR</w:t>
      </w:r>
      <w:r w:rsidR="00DA5BC1">
        <w:rPr>
          <w:rFonts w:ascii="ITC Avant Garde" w:hAnsi="ITC Avant Garde" w:cs="Arial"/>
          <w:bCs/>
        </w:rPr>
        <w:t xml:space="preserve">, el Instituto se encuentra facultado para, entre otros, </w:t>
      </w:r>
      <w:r w:rsidR="00DA5BC1" w:rsidRPr="00DA5BC1">
        <w:rPr>
          <w:rFonts w:ascii="ITC Avant Garde" w:hAnsi="ITC Avant Garde" w:cs="Arial"/>
          <w:bCs/>
          <w:lang w:val="es-ES"/>
        </w:rPr>
        <w:t>realizar</w:t>
      </w:r>
      <w:r w:rsidR="00DA5BC1">
        <w:rPr>
          <w:rFonts w:ascii="ITC Avant Garde" w:hAnsi="ITC Avant Garde" w:cs="Arial"/>
          <w:bCs/>
          <w:lang w:val="es-ES"/>
        </w:rPr>
        <w:t xml:space="preserve"> consultas públicas </w:t>
      </w:r>
      <w:r w:rsidR="00304579">
        <w:rPr>
          <w:rFonts w:ascii="ITC Avant Garde" w:hAnsi="ITC Avant Garde" w:cs="Arial"/>
          <w:bCs/>
          <w:lang w:val="es-ES"/>
        </w:rPr>
        <w:t xml:space="preserve">de evaluación </w:t>
      </w:r>
      <w:r w:rsidR="00DA5BC1">
        <w:rPr>
          <w:rFonts w:ascii="ITC Avant Garde" w:hAnsi="ITC Avant Garde" w:cs="Arial"/>
          <w:bCs/>
          <w:lang w:val="es-ES"/>
        </w:rPr>
        <w:t xml:space="preserve">con la finalidad de </w:t>
      </w:r>
      <w:r w:rsidR="00DA5BC1" w:rsidRPr="00DA5BC1">
        <w:rPr>
          <w:rFonts w:ascii="ITC Avant Garde" w:hAnsi="ITC Avant Garde" w:cs="Arial"/>
          <w:bCs/>
          <w:lang w:val="es-ES"/>
        </w:rPr>
        <w:t>recabar información, comentarios, opiniones, aportaciones u otros elementos de análisis por parte de cualquier p</w:t>
      </w:r>
      <w:r w:rsidR="00DA5BC1">
        <w:rPr>
          <w:rFonts w:ascii="ITC Avant Garde" w:hAnsi="ITC Avant Garde" w:cs="Arial"/>
          <w:bCs/>
          <w:lang w:val="es-ES"/>
        </w:rPr>
        <w:t>ersona, sobre el efecto de las r</w:t>
      </w:r>
      <w:r w:rsidR="00DA5BC1" w:rsidRPr="00DA5BC1">
        <w:rPr>
          <w:rFonts w:ascii="ITC Avant Garde" w:hAnsi="ITC Avant Garde" w:cs="Arial"/>
          <w:bCs/>
          <w:lang w:val="es-ES"/>
        </w:rPr>
        <w:t>egulaciones y políticas regulatorias emitidas por el Pleno y que se encuentren vigentes, a fin de evaluar su eficacia, eficiencia, impacto y permanencia con relación a las circunstancias por las que fueron creadas.</w:t>
      </w:r>
      <w:r w:rsidR="00DA5BC1">
        <w:rPr>
          <w:rFonts w:ascii="ITC Avant Garde" w:hAnsi="ITC Avant Garde" w:cs="Arial"/>
          <w:bCs/>
        </w:rPr>
        <w:t xml:space="preserve">  </w:t>
      </w:r>
    </w:p>
    <w:p w14:paraId="0760F7AF" w14:textId="77777777" w:rsidR="009D0706" w:rsidRPr="001112AD" w:rsidRDefault="009D0706" w:rsidP="006956E3">
      <w:pPr>
        <w:spacing w:after="0" w:line="276" w:lineRule="auto"/>
        <w:jc w:val="both"/>
        <w:rPr>
          <w:rFonts w:ascii="ITC Avant Garde" w:hAnsi="ITC Avant Garde" w:cs="Arial"/>
          <w:bCs/>
        </w:rPr>
      </w:pPr>
    </w:p>
    <w:p w14:paraId="2E0AA50E" w14:textId="4D854ADE" w:rsidR="00E61C19" w:rsidRDefault="00474DAA" w:rsidP="006956E3">
      <w:pPr>
        <w:pStyle w:val="Normalresolucion"/>
        <w:spacing w:before="0" w:after="0" w:line="276" w:lineRule="auto"/>
      </w:pPr>
      <w:r>
        <w:t>En ese orden</w:t>
      </w:r>
      <w:r w:rsidR="00E61C19">
        <w:t xml:space="preserve">, </w:t>
      </w:r>
      <w:r w:rsidR="002E4825">
        <w:t xml:space="preserve">el lineamiento Séptimo de </w:t>
      </w:r>
      <w:r w:rsidR="00E61C19">
        <w:t xml:space="preserve">los </w:t>
      </w:r>
      <w:r w:rsidR="000B27F3">
        <w:t>LCPAIR</w:t>
      </w:r>
      <w:r w:rsidR="00D056E6">
        <w:t xml:space="preserve">, </w:t>
      </w:r>
      <w:r w:rsidR="00E61C19">
        <w:t>establece que:</w:t>
      </w:r>
    </w:p>
    <w:p w14:paraId="696AD191" w14:textId="77777777" w:rsidR="00E61C19" w:rsidRDefault="00E61C19" w:rsidP="006956E3">
      <w:pPr>
        <w:pStyle w:val="Normalresolucion"/>
        <w:spacing w:before="0" w:after="0" w:line="276" w:lineRule="auto"/>
      </w:pPr>
    </w:p>
    <w:p w14:paraId="41F68C74" w14:textId="09B6EA3C" w:rsidR="00E61C19" w:rsidRDefault="00E61C19" w:rsidP="006956E3">
      <w:pPr>
        <w:pStyle w:val="Texto"/>
        <w:spacing w:after="0" w:line="276" w:lineRule="auto"/>
        <w:ind w:left="567" w:right="567" w:firstLine="0"/>
        <w:rPr>
          <w:rFonts w:ascii="ITC Avant Garde" w:hAnsi="ITC Avant Garde" w:cstheme="minorBidi"/>
          <w:i/>
          <w:sz w:val="20"/>
          <w:lang w:val="es-MX" w:eastAsia="en-US"/>
        </w:rPr>
      </w:pPr>
      <w:r>
        <w:rPr>
          <w:rFonts w:ascii="ITC Avant Garde" w:hAnsi="ITC Avant Garde" w:cstheme="minorBidi"/>
          <w:i/>
          <w:sz w:val="20"/>
          <w:lang w:val="es-MX" w:eastAsia="en-US"/>
        </w:rPr>
        <w:t>“</w:t>
      </w:r>
      <w:proofErr w:type="gramStart"/>
      <w:r w:rsidR="005B3CFD" w:rsidRPr="00C50AE8">
        <w:rPr>
          <w:rFonts w:ascii="ITC Avant Garde" w:hAnsi="ITC Avant Garde" w:cstheme="minorBidi"/>
          <w:b/>
          <w:i/>
          <w:sz w:val="20"/>
          <w:lang w:val="es-MX" w:eastAsia="en-US"/>
        </w:rPr>
        <w:t>Séptimo.-</w:t>
      </w:r>
      <w:proofErr w:type="gramEnd"/>
      <w:r w:rsidR="005B3CFD" w:rsidRPr="00C50AE8">
        <w:rPr>
          <w:rFonts w:ascii="ITC Avant Garde" w:hAnsi="ITC Avant Garde" w:cstheme="minorBidi"/>
          <w:i/>
          <w:sz w:val="20"/>
          <w:lang w:val="es-MX" w:eastAsia="en-US"/>
        </w:rPr>
        <w:t xml:space="preserve"> </w:t>
      </w:r>
      <w:r>
        <w:rPr>
          <w:rFonts w:ascii="ITC Avant Garde" w:hAnsi="ITC Avant Garde" w:cstheme="minorBidi"/>
          <w:i/>
          <w:sz w:val="20"/>
          <w:lang w:val="es-MX" w:eastAsia="en-US"/>
        </w:rPr>
        <w:t xml:space="preserve">Los procesos de consulta pública que lleve a cabo el Instituto deberán tener una duración de, al menos, 20 (veinte) días hábiles, salvo disposición expresa en otro ordenamiento. La duración máxima, en cada caso, </w:t>
      </w:r>
      <w:r w:rsidRPr="000D45BB">
        <w:rPr>
          <w:rFonts w:ascii="ITC Avant Garde" w:hAnsi="ITC Avant Garde"/>
          <w:b/>
          <w:i/>
          <w:sz w:val="20"/>
          <w:lang w:val="es-MX"/>
        </w:rPr>
        <w:t>la determinará el Pleno</w:t>
      </w:r>
      <w:r>
        <w:rPr>
          <w:rFonts w:ascii="ITC Avant Garde" w:hAnsi="ITC Avant Garde" w:cstheme="minorBidi"/>
          <w:i/>
          <w:sz w:val="20"/>
          <w:lang w:val="es-MX" w:eastAsia="en-US"/>
        </w:rPr>
        <w:t xml:space="preserve"> con base en la complejidad e importancia de que se trate el Anteproyecto, Regulación o asunto de interés que se someta a dicho proceso, </w:t>
      </w:r>
      <w:r w:rsidRPr="00E61C19">
        <w:rPr>
          <w:rFonts w:ascii="ITC Avant Garde" w:hAnsi="ITC Avant Garde" w:cstheme="minorBidi"/>
          <w:i/>
          <w:sz w:val="20"/>
          <w:lang w:val="es-MX" w:eastAsia="en-US"/>
        </w:rPr>
        <w:t>salvo que determine una duración menor mediante causa justificada</w:t>
      </w:r>
      <w:r>
        <w:rPr>
          <w:rFonts w:ascii="ITC Avant Garde" w:hAnsi="ITC Avant Garde" w:cstheme="minorBidi"/>
          <w:i/>
          <w:sz w:val="20"/>
          <w:lang w:val="es-MX" w:eastAsia="en-US"/>
        </w:rPr>
        <w:t xml:space="preserve">.” </w:t>
      </w:r>
    </w:p>
    <w:p w14:paraId="4944BDEA" w14:textId="77777777" w:rsidR="006956E3" w:rsidRDefault="006956E3" w:rsidP="006956E3">
      <w:pPr>
        <w:pStyle w:val="Texto"/>
        <w:spacing w:after="0" w:line="276" w:lineRule="auto"/>
        <w:ind w:left="567" w:right="567" w:firstLine="0"/>
        <w:rPr>
          <w:rFonts w:ascii="ITC Avant Garde" w:hAnsi="ITC Avant Garde" w:cstheme="minorBidi"/>
          <w:i/>
          <w:sz w:val="20"/>
          <w:lang w:val="es-MX" w:eastAsia="en-US"/>
        </w:rPr>
      </w:pPr>
    </w:p>
    <w:p w14:paraId="2A7723BF" w14:textId="77777777" w:rsidR="00E61C19" w:rsidRDefault="00E61C19" w:rsidP="006956E3">
      <w:pPr>
        <w:pStyle w:val="Texto"/>
        <w:spacing w:after="0" w:line="276" w:lineRule="auto"/>
        <w:ind w:left="567" w:right="567" w:firstLine="0"/>
        <w:rPr>
          <w:rFonts w:ascii="ITC Avant Garde" w:hAnsi="ITC Avant Garde" w:cstheme="minorBidi"/>
          <w:i/>
          <w:sz w:val="20"/>
          <w:lang w:val="es-MX" w:eastAsia="en-US"/>
        </w:rPr>
      </w:pPr>
      <w:r w:rsidRPr="00815F09">
        <w:rPr>
          <w:rFonts w:ascii="ITC Avant Garde" w:hAnsi="ITC Avant Garde" w:cstheme="minorBidi"/>
          <w:sz w:val="20"/>
          <w:lang w:val="es-MX" w:eastAsia="en-US"/>
        </w:rPr>
        <w:t>(Énfasis añadido)</w:t>
      </w:r>
    </w:p>
    <w:p w14:paraId="37A3158D" w14:textId="77777777" w:rsidR="00E61C19" w:rsidRDefault="00E61C19" w:rsidP="006956E3">
      <w:pPr>
        <w:spacing w:after="0" w:line="276" w:lineRule="auto"/>
        <w:jc w:val="both"/>
        <w:rPr>
          <w:rFonts w:ascii="ITC Avant Garde" w:eastAsia="Times New Roman" w:hAnsi="ITC Avant Garde"/>
          <w:bCs/>
        </w:rPr>
      </w:pPr>
      <w:r>
        <w:rPr>
          <w:rFonts w:ascii="ITC Avant Garde" w:eastAsia="Times New Roman" w:hAnsi="ITC Avant Garde"/>
          <w:bCs/>
        </w:rPr>
        <w:t xml:space="preserve"> </w:t>
      </w:r>
    </w:p>
    <w:p w14:paraId="067EA0C9" w14:textId="53870EB9" w:rsidR="009D0706" w:rsidRDefault="00766AA0" w:rsidP="006956E3">
      <w:pPr>
        <w:spacing w:after="0" w:line="276" w:lineRule="auto"/>
        <w:jc w:val="both"/>
        <w:rPr>
          <w:rFonts w:ascii="ITC Avant Garde" w:eastAsia="Times New Roman" w:hAnsi="ITC Avant Garde"/>
          <w:bCs/>
        </w:rPr>
      </w:pPr>
      <w:r>
        <w:rPr>
          <w:rFonts w:ascii="ITC Avant Garde" w:eastAsia="Times New Roman" w:hAnsi="ITC Avant Garde"/>
          <w:bCs/>
        </w:rPr>
        <w:t xml:space="preserve">Para estos efectos, se estima conveniente </w:t>
      </w:r>
      <w:r w:rsidR="00392C14">
        <w:rPr>
          <w:rFonts w:ascii="ITC Avant Garde" w:eastAsia="Times New Roman" w:hAnsi="ITC Avant Garde"/>
          <w:bCs/>
        </w:rPr>
        <w:t>establecer</w:t>
      </w:r>
      <w:r w:rsidR="009D0706">
        <w:rPr>
          <w:rFonts w:ascii="ITC Avant Garde" w:eastAsia="Times New Roman" w:hAnsi="ITC Avant Garde"/>
          <w:bCs/>
        </w:rPr>
        <w:t xml:space="preserve"> un plazo de</w:t>
      </w:r>
      <w:r w:rsidR="00512982">
        <w:rPr>
          <w:rFonts w:ascii="ITC Avant Garde" w:eastAsia="Times New Roman" w:hAnsi="ITC Avant Garde"/>
          <w:bCs/>
        </w:rPr>
        <w:t xml:space="preserve"> </w:t>
      </w:r>
      <w:r w:rsidR="00512982" w:rsidRPr="000D45BB">
        <w:rPr>
          <w:rFonts w:ascii="ITC Avant Garde" w:eastAsia="Times New Roman" w:hAnsi="ITC Avant Garde"/>
          <w:bCs/>
        </w:rPr>
        <w:t>2</w:t>
      </w:r>
      <w:r w:rsidR="009D0706" w:rsidRPr="000D45BB">
        <w:rPr>
          <w:rFonts w:ascii="ITC Avant Garde" w:eastAsia="Times New Roman" w:hAnsi="ITC Avant Garde"/>
          <w:bCs/>
        </w:rPr>
        <w:t>0 (</w:t>
      </w:r>
      <w:r w:rsidR="00512982" w:rsidRPr="000D45BB">
        <w:rPr>
          <w:rFonts w:ascii="ITC Avant Garde" w:eastAsia="Times New Roman" w:hAnsi="ITC Avant Garde"/>
          <w:bCs/>
        </w:rPr>
        <w:t>veinte</w:t>
      </w:r>
      <w:r w:rsidR="009D0706" w:rsidRPr="000D45BB">
        <w:rPr>
          <w:rFonts w:ascii="ITC Avant Garde" w:eastAsia="Times New Roman" w:hAnsi="ITC Avant Garde"/>
          <w:bCs/>
        </w:rPr>
        <w:t>) días hábiles</w:t>
      </w:r>
      <w:r w:rsidR="009D0706">
        <w:rPr>
          <w:rFonts w:ascii="ITC Avant Garde" w:eastAsia="Times New Roman" w:hAnsi="ITC Avant Garde"/>
          <w:bCs/>
        </w:rPr>
        <w:t xml:space="preserve"> de </w:t>
      </w:r>
      <w:r w:rsidR="002E4825">
        <w:rPr>
          <w:rFonts w:ascii="ITC Avant Garde" w:eastAsia="Times New Roman" w:hAnsi="ITC Avant Garde"/>
          <w:bCs/>
        </w:rPr>
        <w:t xml:space="preserve">duración de la </w:t>
      </w:r>
      <w:r w:rsidR="009D0706">
        <w:rPr>
          <w:rFonts w:ascii="ITC Avant Garde" w:eastAsia="Times New Roman" w:hAnsi="ITC Avant Garde"/>
          <w:bCs/>
        </w:rPr>
        <w:t>consulta pública.</w:t>
      </w:r>
    </w:p>
    <w:p w14:paraId="42EAFB56" w14:textId="77777777" w:rsidR="007845FD" w:rsidRDefault="007845FD" w:rsidP="006956E3">
      <w:pPr>
        <w:spacing w:after="0" w:line="276" w:lineRule="auto"/>
        <w:jc w:val="both"/>
        <w:rPr>
          <w:rFonts w:ascii="ITC Avant Garde" w:eastAsia="Times New Roman" w:hAnsi="ITC Avant Garde"/>
          <w:bCs/>
        </w:rPr>
      </w:pPr>
    </w:p>
    <w:p w14:paraId="4BB8F48C" w14:textId="4C427F3C" w:rsidR="007845FD" w:rsidRDefault="007845FD" w:rsidP="006956E3">
      <w:pPr>
        <w:spacing w:after="0" w:line="276" w:lineRule="auto"/>
        <w:jc w:val="both"/>
        <w:rPr>
          <w:rFonts w:ascii="ITC Avant Garde" w:eastAsia="Times New Roman" w:hAnsi="ITC Avant Garde"/>
          <w:bCs/>
        </w:rPr>
      </w:pPr>
      <w:r>
        <w:rPr>
          <w:rFonts w:ascii="ITC Avant Garde" w:eastAsia="Times New Roman" w:hAnsi="ITC Avant Garde"/>
          <w:bCs/>
        </w:rPr>
        <w:t>Finalmente, en t</w:t>
      </w:r>
      <w:r w:rsidR="00597B3C">
        <w:rPr>
          <w:rFonts w:ascii="ITC Avant Garde" w:eastAsia="Times New Roman" w:hAnsi="ITC Avant Garde"/>
          <w:bCs/>
        </w:rPr>
        <w:t xml:space="preserve">érminos de los </w:t>
      </w:r>
      <w:r w:rsidR="00766AA0">
        <w:rPr>
          <w:rFonts w:ascii="ITC Avant Garde" w:eastAsia="Times New Roman" w:hAnsi="ITC Avant Garde"/>
          <w:bCs/>
        </w:rPr>
        <w:t>l</w:t>
      </w:r>
      <w:r>
        <w:rPr>
          <w:rFonts w:ascii="ITC Avant Garde" w:eastAsia="Times New Roman" w:hAnsi="ITC Avant Garde"/>
          <w:bCs/>
        </w:rPr>
        <w:t>ineamiento</w:t>
      </w:r>
      <w:r w:rsidR="00766AA0">
        <w:rPr>
          <w:rFonts w:ascii="ITC Avant Garde" w:eastAsia="Times New Roman" w:hAnsi="ITC Avant Garde"/>
          <w:bCs/>
        </w:rPr>
        <w:t>s</w:t>
      </w:r>
      <w:r>
        <w:rPr>
          <w:rFonts w:ascii="ITC Avant Garde" w:eastAsia="Times New Roman" w:hAnsi="ITC Avant Garde"/>
          <w:bCs/>
        </w:rPr>
        <w:t xml:space="preserve"> Noveno </w:t>
      </w:r>
      <w:r w:rsidR="00597B3C">
        <w:rPr>
          <w:rFonts w:ascii="ITC Avant Garde" w:eastAsia="Times New Roman" w:hAnsi="ITC Avant Garde"/>
          <w:bCs/>
        </w:rPr>
        <w:t xml:space="preserve">y Décimo </w:t>
      </w:r>
      <w:r>
        <w:rPr>
          <w:rFonts w:ascii="ITC Avant Garde" w:eastAsia="Times New Roman" w:hAnsi="ITC Avant Garde"/>
          <w:bCs/>
        </w:rPr>
        <w:t xml:space="preserve">de los </w:t>
      </w:r>
      <w:r w:rsidR="000B27F3">
        <w:rPr>
          <w:rFonts w:ascii="ITC Avant Garde" w:eastAsia="Times New Roman" w:hAnsi="ITC Avant Garde"/>
          <w:bCs/>
        </w:rPr>
        <w:t>LCPAIR</w:t>
      </w:r>
      <w:r>
        <w:rPr>
          <w:rFonts w:ascii="ITC Avant Garde" w:eastAsia="Times New Roman" w:hAnsi="ITC Avant Garde"/>
          <w:bCs/>
        </w:rPr>
        <w:t xml:space="preserve">, </w:t>
      </w:r>
      <w:r w:rsidR="008E5474">
        <w:rPr>
          <w:rFonts w:ascii="ITC Avant Garde" w:eastAsia="Times New Roman" w:hAnsi="ITC Avant Garde"/>
          <w:bCs/>
        </w:rPr>
        <w:t>la</w:t>
      </w:r>
      <w:r w:rsidR="008E5474" w:rsidRPr="008E5474">
        <w:rPr>
          <w:rFonts w:ascii="ITC Avant Garde" w:eastAsia="Times New Roman" w:hAnsi="ITC Avant Garde"/>
          <w:bCs/>
        </w:rPr>
        <w:t xml:space="preserve"> información, comentarios, opiniones, aportaciones u otros elementos de análisis que los participantes presenten al I</w:t>
      </w:r>
      <w:r w:rsidR="008E5474">
        <w:rPr>
          <w:rFonts w:ascii="ITC Avant Garde" w:eastAsia="Times New Roman" w:hAnsi="ITC Avant Garde"/>
          <w:bCs/>
        </w:rPr>
        <w:t xml:space="preserve">nstituto, </w:t>
      </w:r>
      <w:r w:rsidR="008E5474" w:rsidRPr="008E5474">
        <w:rPr>
          <w:rFonts w:ascii="ITC Avant Garde" w:eastAsia="Times New Roman" w:hAnsi="ITC Avant Garde"/>
          <w:bCs/>
        </w:rPr>
        <w:t xml:space="preserve">no tendrán carácter vinculante. No obstante, siempre y cuando se hayan recibido en tiempo y forma, </w:t>
      </w:r>
      <w:r w:rsidR="008E5474">
        <w:rPr>
          <w:rFonts w:ascii="ITC Avant Garde" w:eastAsia="Times New Roman" w:hAnsi="ITC Avant Garde"/>
          <w:bCs/>
        </w:rPr>
        <w:t>el Instituto</w:t>
      </w:r>
      <w:r w:rsidR="00766AA0">
        <w:rPr>
          <w:rFonts w:ascii="ITC Avant Garde" w:eastAsia="Times New Roman" w:hAnsi="ITC Avant Garde"/>
          <w:bCs/>
        </w:rPr>
        <w:t>,</w:t>
      </w:r>
      <w:r w:rsidR="008E5474">
        <w:rPr>
          <w:rFonts w:ascii="ITC Avant Garde" w:eastAsia="Times New Roman" w:hAnsi="ITC Avant Garde"/>
          <w:bCs/>
        </w:rPr>
        <w:t xml:space="preserve"> a través de la Unidad de Política Regulatoria</w:t>
      </w:r>
      <w:r w:rsidR="00766AA0">
        <w:rPr>
          <w:rFonts w:ascii="ITC Avant Garde" w:eastAsia="Times New Roman" w:hAnsi="ITC Avant Garde"/>
          <w:bCs/>
        </w:rPr>
        <w:t>,</w:t>
      </w:r>
      <w:r w:rsidR="008E5474">
        <w:rPr>
          <w:rFonts w:ascii="ITC Avant Garde" w:eastAsia="Times New Roman" w:hAnsi="ITC Avant Garde"/>
          <w:bCs/>
        </w:rPr>
        <w:t xml:space="preserve"> deberá</w:t>
      </w:r>
      <w:r w:rsidR="008E5474" w:rsidRPr="008E5474">
        <w:rPr>
          <w:rFonts w:ascii="ITC Avant Garde" w:eastAsia="Times New Roman" w:hAnsi="ITC Avant Garde"/>
          <w:bCs/>
        </w:rPr>
        <w:t xml:space="preserve"> analizarlos, ponderarlos y presentar una respuesta o posicionamiento sobre ellos a través de un Informe de Consideraciones</w:t>
      </w:r>
      <w:r w:rsidR="008E5474">
        <w:rPr>
          <w:rFonts w:ascii="ITC Avant Garde" w:eastAsia="Times New Roman" w:hAnsi="ITC Avant Garde"/>
          <w:bCs/>
        </w:rPr>
        <w:t xml:space="preserve"> que será público.</w:t>
      </w:r>
    </w:p>
    <w:p w14:paraId="2E17F7CA" w14:textId="77777777" w:rsidR="006956E3" w:rsidRPr="008E5474" w:rsidRDefault="006956E3" w:rsidP="006956E3">
      <w:pPr>
        <w:spacing w:after="0" w:line="276" w:lineRule="auto"/>
        <w:jc w:val="both"/>
        <w:rPr>
          <w:rFonts w:ascii="ITC Avant Garde" w:eastAsia="Times New Roman" w:hAnsi="ITC Avant Garde"/>
          <w:bCs/>
        </w:rPr>
      </w:pPr>
    </w:p>
    <w:p w14:paraId="0A112803" w14:textId="2B0DBE3B" w:rsidR="009D0706" w:rsidRDefault="009D0706" w:rsidP="006956E3">
      <w:pPr>
        <w:spacing w:after="0" w:line="276" w:lineRule="auto"/>
        <w:jc w:val="both"/>
        <w:rPr>
          <w:rFonts w:ascii="ITC Avant Garde" w:hAnsi="ITC Avant Garde" w:cs="Arial"/>
          <w:bCs/>
        </w:rPr>
      </w:pPr>
      <w:r w:rsidRPr="001112AD">
        <w:rPr>
          <w:rFonts w:ascii="ITC Avant Garde" w:hAnsi="ITC Avant Garde" w:cs="Arial"/>
          <w:bCs/>
        </w:rPr>
        <w:t xml:space="preserve">Por lo antes expuesto y con fundamento en lo dispuesto por los </w:t>
      </w:r>
      <w:r w:rsidRPr="00D56322">
        <w:rPr>
          <w:rFonts w:ascii="ITC Avant Garde" w:hAnsi="ITC Avant Garde" w:cs="Arial"/>
          <w:bCs/>
        </w:rPr>
        <w:t>artículos 28, párrafos</w:t>
      </w:r>
      <w:r w:rsidR="00161816">
        <w:rPr>
          <w:rFonts w:ascii="ITC Avant Garde" w:hAnsi="ITC Avant Garde" w:cs="Arial"/>
          <w:bCs/>
        </w:rPr>
        <w:t xml:space="preserve"> </w:t>
      </w:r>
      <w:r w:rsidR="00474DAA" w:rsidRPr="00D56322">
        <w:rPr>
          <w:rFonts w:ascii="ITC Avant Garde" w:hAnsi="ITC Avant Garde" w:cs="Arial"/>
          <w:bCs/>
        </w:rPr>
        <w:t>décimo</w:t>
      </w:r>
      <w:r w:rsidRPr="00D56322">
        <w:rPr>
          <w:rFonts w:ascii="ITC Avant Garde" w:hAnsi="ITC Avant Garde" w:cs="Arial"/>
          <w:bCs/>
        </w:rPr>
        <w:t xml:space="preserve"> quinto y décimo sexto de la Constitución Política de los Estados Unidos Mexicanos; 1, 7, 15 fracción XL y 51 de la Ley Federal de Telecomunicaciones y Radiodifusión, y 1</w:t>
      </w:r>
      <w:r w:rsidR="00474DAA" w:rsidRPr="00D56322">
        <w:rPr>
          <w:rFonts w:ascii="ITC Avant Garde" w:hAnsi="ITC Avant Garde" w:cs="Arial"/>
          <w:bCs/>
        </w:rPr>
        <w:t>,</w:t>
      </w:r>
      <w:r w:rsidRPr="00D56322">
        <w:rPr>
          <w:rFonts w:ascii="ITC Avant Garde" w:hAnsi="ITC Avant Garde" w:cs="Arial"/>
          <w:bCs/>
        </w:rPr>
        <w:t xml:space="preserve"> 4, fracción I</w:t>
      </w:r>
      <w:r w:rsidR="00474DAA" w:rsidRPr="00D56322">
        <w:rPr>
          <w:rFonts w:ascii="ITC Avant Garde" w:hAnsi="ITC Avant Garde" w:cs="Arial"/>
          <w:bCs/>
        </w:rPr>
        <w:t xml:space="preserve"> y 6, fracción VI</w:t>
      </w:r>
      <w:r w:rsidRPr="00D56322">
        <w:rPr>
          <w:rFonts w:ascii="ITC Avant Garde" w:hAnsi="ITC Avant Garde" w:cs="Arial"/>
          <w:bCs/>
        </w:rPr>
        <w:t xml:space="preserve"> del Estatuto Orgánico</w:t>
      </w:r>
      <w:r w:rsidRPr="001112AD">
        <w:rPr>
          <w:rFonts w:ascii="ITC Avant Garde" w:hAnsi="ITC Avant Garde" w:cs="Arial"/>
          <w:bCs/>
        </w:rPr>
        <w:t xml:space="preserve"> del Instituto Federal de Telecomunicaciones, </w:t>
      </w:r>
      <w:r w:rsidR="003558B7">
        <w:rPr>
          <w:rFonts w:ascii="ITC Avant Garde" w:hAnsi="ITC Avant Garde" w:cs="Arial"/>
          <w:bCs/>
        </w:rPr>
        <w:t xml:space="preserve">y </w:t>
      </w:r>
      <w:r w:rsidR="00161816">
        <w:rPr>
          <w:rFonts w:ascii="ITC Avant Garde" w:hAnsi="ITC Avant Garde" w:cs="Arial"/>
          <w:bCs/>
        </w:rPr>
        <w:t>l</w:t>
      </w:r>
      <w:r w:rsidR="003558B7">
        <w:rPr>
          <w:rFonts w:ascii="ITC Avant Garde" w:hAnsi="ITC Avant Garde" w:cs="Arial"/>
          <w:bCs/>
        </w:rPr>
        <w:t>ineamientos Primero, Tercero</w:t>
      </w:r>
      <w:r w:rsidR="00161816">
        <w:rPr>
          <w:rFonts w:ascii="ITC Avant Garde" w:hAnsi="ITC Avant Garde" w:cs="Arial"/>
          <w:bCs/>
        </w:rPr>
        <w:t>,</w:t>
      </w:r>
      <w:r w:rsidR="003558B7">
        <w:rPr>
          <w:rFonts w:ascii="ITC Avant Garde" w:hAnsi="ITC Avant Garde" w:cs="Arial"/>
          <w:bCs/>
        </w:rPr>
        <w:t xml:space="preserve"> fracci</w:t>
      </w:r>
      <w:r w:rsidR="007845FD">
        <w:rPr>
          <w:rFonts w:ascii="ITC Avant Garde" w:hAnsi="ITC Avant Garde" w:cs="Arial"/>
          <w:bCs/>
        </w:rPr>
        <w:t>ón III,</w:t>
      </w:r>
      <w:r w:rsidR="003558B7">
        <w:rPr>
          <w:rFonts w:ascii="ITC Avant Garde" w:hAnsi="ITC Avant Garde" w:cs="Arial"/>
          <w:bCs/>
        </w:rPr>
        <w:t xml:space="preserve"> S</w:t>
      </w:r>
      <w:r w:rsidR="00597B3C">
        <w:rPr>
          <w:rFonts w:ascii="ITC Avant Garde" w:hAnsi="ITC Avant Garde" w:cs="Arial"/>
          <w:bCs/>
        </w:rPr>
        <w:t xml:space="preserve">éptimo, </w:t>
      </w:r>
      <w:r w:rsidR="007845FD">
        <w:rPr>
          <w:rFonts w:ascii="ITC Avant Garde" w:hAnsi="ITC Avant Garde" w:cs="Arial"/>
          <w:bCs/>
        </w:rPr>
        <w:t xml:space="preserve">Noveno </w:t>
      </w:r>
      <w:r w:rsidR="00597B3C">
        <w:rPr>
          <w:rFonts w:ascii="ITC Avant Garde" w:hAnsi="ITC Avant Garde" w:cs="Arial"/>
          <w:bCs/>
        </w:rPr>
        <w:t xml:space="preserve">y Décimo </w:t>
      </w:r>
      <w:r w:rsidR="003558B7">
        <w:rPr>
          <w:rFonts w:ascii="ITC Avant Garde" w:hAnsi="ITC Avant Garde" w:cs="Arial"/>
          <w:bCs/>
        </w:rPr>
        <w:t xml:space="preserve">de los </w:t>
      </w:r>
      <w:r w:rsidR="003558B7" w:rsidRPr="003558B7">
        <w:rPr>
          <w:rFonts w:ascii="ITC Avant Garde" w:hAnsi="ITC Avant Garde" w:cs="Arial"/>
          <w:bCs/>
        </w:rPr>
        <w:t>Lineamientos de Consulta Pública y Análisis de Impacto Regulatorio del Instituto Federal de Telecomunicaciones</w:t>
      </w:r>
      <w:r w:rsidR="003558B7">
        <w:rPr>
          <w:rFonts w:ascii="ITC Avant Garde" w:hAnsi="ITC Avant Garde" w:cs="Arial"/>
          <w:bCs/>
        </w:rPr>
        <w:t xml:space="preserve">, </w:t>
      </w:r>
      <w:r w:rsidRPr="001112AD">
        <w:rPr>
          <w:rFonts w:ascii="ITC Avant Garde" w:hAnsi="ITC Avant Garde" w:cs="Arial"/>
          <w:bCs/>
        </w:rPr>
        <w:t>el Pleno del Instituto expide</w:t>
      </w:r>
      <w:r w:rsidR="003558B7">
        <w:rPr>
          <w:rFonts w:ascii="ITC Avant Garde" w:hAnsi="ITC Avant Garde" w:cs="Arial"/>
          <w:bCs/>
        </w:rPr>
        <w:t xml:space="preserve"> los</w:t>
      </w:r>
      <w:r w:rsidRPr="001112AD">
        <w:rPr>
          <w:rFonts w:ascii="ITC Avant Garde" w:hAnsi="ITC Avant Garde" w:cs="Arial"/>
          <w:bCs/>
        </w:rPr>
        <w:t xml:space="preserve">  siguiente</w:t>
      </w:r>
      <w:r w:rsidR="003558B7">
        <w:rPr>
          <w:rFonts w:ascii="ITC Avant Garde" w:hAnsi="ITC Avant Garde" w:cs="Arial"/>
          <w:bCs/>
        </w:rPr>
        <w:t>s</w:t>
      </w:r>
      <w:r w:rsidRPr="001112AD">
        <w:rPr>
          <w:rFonts w:ascii="ITC Avant Garde" w:hAnsi="ITC Avant Garde" w:cs="Arial"/>
          <w:bCs/>
        </w:rPr>
        <w:t>:</w:t>
      </w:r>
    </w:p>
    <w:p w14:paraId="4947A045" w14:textId="0AD82698" w:rsidR="006956E3" w:rsidRDefault="006956E3" w:rsidP="006956E3">
      <w:pPr>
        <w:spacing w:after="0" w:line="276" w:lineRule="auto"/>
        <w:jc w:val="both"/>
        <w:rPr>
          <w:rFonts w:ascii="ITC Avant Garde" w:hAnsi="ITC Avant Garde" w:cs="Arial"/>
          <w:bCs/>
        </w:rPr>
      </w:pPr>
    </w:p>
    <w:p w14:paraId="214D3F2E" w14:textId="77777777" w:rsidR="006956E3" w:rsidRPr="001112AD" w:rsidRDefault="006956E3" w:rsidP="006956E3">
      <w:pPr>
        <w:spacing w:after="0" w:line="276" w:lineRule="auto"/>
        <w:jc w:val="both"/>
        <w:rPr>
          <w:rFonts w:ascii="ITC Avant Garde" w:hAnsi="ITC Avant Garde" w:cs="Arial"/>
          <w:bCs/>
        </w:rPr>
      </w:pPr>
    </w:p>
    <w:p w14:paraId="4B688F8A" w14:textId="77777777" w:rsidR="009D0706" w:rsidRPr="001112AD" w:rsidRDefault="009D0706" w:rsidP="006956E3">
      <w:pPr>
        <w:spacing w:after="0" w:line="276" w:lineRule="auto"/>
        <w:jc w:val="center"/>
        <w:rPr>
          <w:rFonts w:ascii="ITC Avant Garde" w:hAnsi="ITC Avant Garde" w:cs="Arial"/>
          <w:b/>
          <w:bCs/>
        </w:rPr>
      </w:pPr>
      <w:r w:rsidRPr="001112AD">
        <w:rPr>
          <w:rFonts w:ascii="ITC Avant Garde" w:hAnsi="ITC Avant Garde" w:cs="Arial"/>
          <w:b/>
          <w:bCs/>
        </w:rPr>
        <w:t>ACUERDO</w:t>
      </w:r>
      <w:r w:rsidR="003558B7">
        <w:rPr>
          <w:rFonts w:ascii="ITC Avant Garde" w:hAnsi="ITC Avant Garde" w:cs="Arial"/>
          <w:b/>
          <w:bCs/>
        </w:rPr>
        <w:t>S</w:t>
      </w:r>
    </w:p>
    <w:p w14:paraId="055778E1" w14:textId="132D8A0F" w:rsidR="009D0706" w:rsidRDefault="009D0706" w:rsidP="006956E3">
      <w:pPr>
        <w:widowControl w:val="0"/>
        <w:spacing w:after="0" w:line="276" w:lineRule="auto"/>
        <w:jc w:val="both"/>
        <w:rPr>
          <w:rFonts w:ascii="ITC Avant Garde" w:hAnsi="ITC Avant Garde" w:cs="Arial"/>
          <w:bCs/>
        </w:rPr>
      </w:pPr>
    </w:p>
    <w:p w14:paraId="55161A05" w14:textId="77777777" w:rsidR="006956E3" w:rsidRDefault="006956E3" w:rsidP="006956E3">
      <w:pPr>
        <w:widowControl w:val="0"/>
        <w:spacing w:after="0" w:line="276" w:lineRule="auto"/>
        <w:jc w:val="both"/>
        <w:rPr>
          <w:rFonts w:ascii="ITC Avant Garde" w:hAnsi="ITC Avant Garde" w:cs="Arial"/>
          <w:bCs/>
        </w:rPr>
      </w:pPr>
    </w:p>
    <w:p w14:paraId="07C4F7C1" w14:textId="48622C7D" w:rsidR="009D0706" w:rsidRPr="003A09AC" w:rsidRDefault="009D0706" w:rsidP="006956E3">
      <w:pPr>
        <w:spacing w:after="0" w:line="276" w:lineRule="auto"/>
        <w:jc w:val="both"/>
        <w:rPr>
          <w:rFonts w:ascii="ITC Avant Garde" w:hAnsi="ITC Avant Garde" w:cs="Arial"/>
          <w:bCs/>
        </w:rPr>
      </w:pPr>
      <w:proofErr w:type="gramStart"/>
      <w:r w:rsidRPr="00713B5A">
        <w:rPr>
          <w:rFonts w:ascii="ITC Avant Garde" w:hAnsi="ITC Avant Garde" w:cs="Arial"/>
          <w:b/>
          <w:bCs/>
        </w:rPr>
        <w:t>PRIMERO</w:t>
      </w:r>
      <w:r w:rsidRPr="00713B5A">
        <w:rPr>
          <w:rFonts w:ascii="ITC Avant Garde" w:hAnsi="ITC Avant Garde" w:cs="Arial"/>
          <w:bCs/>
        </w:rPr>
        <w:t>.-</w:t>
      </w:r>
      <w:proofErr w:type="gramEnd"/>
      <w:r w:rsidRPr="00713B5A">
        <w:rPr>
          <w:rFonts w:ascii="ITC Avant Garde" w:hAnsi="ITC Avant Garde" w:cs="Arial"/>
          <w:bCs/>
        </w:rPr>
        <w:t xml:space="preserve"> </w:t>
      </w:r>
      <w:r w:rsidRPr="003A09AC">
        <w:rPr>
          <w:rFonts w:ascii="ITC Avant Garde" w:hAnsi="ITC Avant Garde" w:cs="Arial"/>
          <w:bCs/>
        </w:rPr>
        <w:t xml:space="preserve">Se acuerda </w:t>
      </w:r>
      <w:r w:rsidR="006F726B">
        <w:rPr>
          <w:rFonts w:ascii="ITC Avant Garde" w:hAnsi="ITC Avant Garde" w:cs="Arial"/>
          <w:bCs/>
        </w:rPr>
        <w:t>llevar a cabo</w:t>
      </w:r>
      <w:r w:rsidRPr="00D56322">
        <w:rPr>
          <w:rFonts w:ascii="ITC Avant Garde" w:hAnsi="ITC Avant Garde" w:cs="Arial"/>
          <w:bCs/>
        </w:rPr>
        <w:t xml:space="preserve"> </w:t>
      </w:r>
      <w:r w:rsidR="00660532">
        <w:rPr>
          <w:rFonts w:ascii="ITC Avant Garde" w:hAnsi="ITC Avant Garde" w:cs="Arial"/>
          <w:bCs/>
        </w:rPr>
        <w:t xml:space="preserve">la </w:t>
      </w:r>
      <w:r w:rsidRPr="00D56322">
        <w:rPr>
          <w:rFonts w:ascii="ITC Avant Garde" w:hAnsi="ITC Avant Garde" w:cs="Arial"/>
          <w:bCs/>
        </w:rPr>
        <w:t xml:space="preserve">consulta pública </w:t>
      </w:r>
      <w:r w:rsidR="00660532">
        <w:rPr>
          <w:rFonts w:ascii="ITC Avant Garde" w:hAnsi="ITC Avant Garde" w:cs="Arial"/>
          <w:bCs/>
        </w:rPr>
        <w:t xml:space="preserve">sobre </w:t>
      </w:r>
      <w:r w:rsidRPr="00D56322">
        <w:rPr>
          <w:rFonts w:ascii="ITC Avant Garde" w:hAnsi="ITC Avant Garde" w:cs="Arial"/>
          <w:bCs/>
        </w:rPr>
        <w:t xml:space="preserve">la </w:t>
      </w:r>
      <w:r w:rsidRPr="007D1772">
        <w:rPr>
          <w:rFonts w:ascii="ITC Avant Garde" w:hAnsi="ITC Avant Garde" w:cs="Arial"/>
          <w:bCs/>
        </w:rPr>
        <w:t>efectividad</w:t>
      </w:r>
      <w:r w:rsidRPr="00D56322">
        <w:rPr>
          <w:rFonts w:ascii="ITC Avant Garde" w:hAnsi="ITC Avant Garde" w:cs="Arial"/>
          <w:bCs/>
        </w:rPr>
        <w:t xml:space="preserve"> en términos de competencia de las medidas impuestas al Agente Económico Preponderante en</w:t>
      </w:r>
      <w:r w:rsidR="000B26B4" w:rsidRPr="00D56322">
        <w:rPr>
          <w:rFonts w:ascii="ITC Avant Garde" w:hAnsi="ITC Avant Garde" w:cs="Arial"/>
          <w:bCs/>
        </w:rPr>
        <w:t xml:space="preserve"> el Sector de Radiodifusión</w:t>
      </w:r>
      <w:r w:rsidR="00621AAC">
        <w:rPr>
          <w:rFonts w:ascii="ITC Avant Garde" w:hAnsi="ITC Avant Garde" w:cs="Arial"/>
          <w:bCs/>
        </w:rPr>
        <w:t>,</w:t>
      </w:r>
      <w:r w:rsidR="000B26B4" w:rsidRPr="00D56322">
        <w:rPr>
          <w:rFonts w:ascii="ITC Avant Garde" w:hAnsi="ITC Avant Garde" w:cs="Arial"/>
          <w:bCs/>
        </w:rPr>
        <w:t xml:space="preserve"> mediante resoluciones </w:t>
      </w:r>
      <w:r w:rsidR="000B26B4" w:rsidRPr="00D56322">
        <w:rPr>
          <w:rFonts w:ascii="ITC Avant Garde" w:hAnsi="ITC Avant Garde" w:cs="Arial"/>
          <w:bCs/>
        </w:rPr>
        <w:lastRenderedPageBreak/>
        <w:t xml:space="preserve">P/IFT/EXT/060314/77 de </w:t>
      </w:r>
      <w:r w:rsidR="00314515">
        <w:rPr>
          <w:rFonts w:ascii="ITC Avant Garde" w:hAnsi="ITC Avant Garde" w:cs="Arial"/>
          <w:bCs/>
        </w:rPr>
        <w:t xml:space="preserve">fecha </w:t>
      </w:r>
      <w:r w:rsidR="000B26B4" w:rsidRPr="00D56322">
        <w:rPr>
          <w:rFonts w:ascii="ITC Avant Garde" w:hAnsi="ITC Avant Garde" w:cs="Arial"/>
          <w:bCs/>
        </w:rPr>
        <w:t>6 de marzo de 2014 y</w:t>
      </w:r>
      <w:r w:rsidRPr="00D56322">
        <w:rPr>
          <w:rFonts w:ascii="ITC Avant Garde" w:hAnsi="ITC Avant Garde" w:cs="Arial"/>
          <w:bCs/>
        </w:rPr>
        <w:t xml:space="preserve"> </w:t>
      </w:r>
      <w:r w:rsidR="00DC6CDE" w:rsidRPr="00D56322">
        <w:rPr>
          <w:rFonts w:ascii="ITC Avant Garde" w:eastAsia="Times New Roman" w:hAnsi="ITC Avant Garde"/>
        </w:rPr>
        <w:t>P/IFT/EXT/270217/1</w:t>
      </w:r>
      <w:r w:rsidR="00357206" w:rsidRPr="00D56322">
        <w:rPr>
          <w:rFonts w:ascii="ITC Avant Garde" w:eastAsia="Times New Roman" w:hAnsi="ITC Avant Garde"/>
        </w:rPr>
        <w:t>20</w:t>
      </w:r>
      <w:r w:rsidR="00DC6CDE" w:rsidRPr="00D56322">
        <w:rPr>
          <w:rFonts w:ascii="ITC Avant Garde" w:eastAsia="Times New Roman" w:hAnsi="ITC Avant Garde"/>
        </w:rPr>
        <w:t xml:space="preserve"> </w:t>
      </w:r>
      <w:r w:rsidRPr="00D56322">
        <w:rPr>
          <w:rFonts w:ascii="ITC Avant Garde" w:hAnsi="ITC Avant Garde" w:cs="Arial"/>
          <w:bCs/>
        </w:rPr>
        <w:t xml:space="preserve">de fecha </w:t>
      </w:r>
      <w:r w:rsidR="00DC6CDE" w:rsidRPr="00D56322">
        <w:rPr>
          <w:rFonts w:ascii="ITC Avant Garde" w:hAnsi="ITC Avant Garde" w:cs="Arial"/>
          <w:bCs/>
        </w:rPr>
        <w:t>27</w:t>
      </w:r>
      <w:r w:rsidR="00DC6CDE">
        <w:rPr>
          <w:rFonts w:ascii="ITC Avant Garde" w:hAnsi="ITC Avant Garde" w:cs="Arial"/>
          <w:bCs/>
        </w:rPr>
        <w:t xml:space="preserve"> de febrero </w:t>
      </w:r>
      <w:r w:rsidRPr="002C1CED">
        <w:rPr>
          <w:rFonts w:ascii="ITC Avant Garde" w:eastAsia="Times New Roman" w:hAnsi="ITC Avant Garde"/>
        </w:rPr>
        <w:t>de 201</w:t>
      </w:r>
      <w:r w:rsidR="00DC6CDE">
        <w:rPr>
          <w:rFonts w:ascii="ITC Avant Garde" w:eastAsia="Times New Roman" w:hAnsi="ITC Avant Garde"/>
        </w:rPr>
        <w:t>7</w:t>
      </w:r>
      <w:r w:rsidRPr="003A09AC">
        <w:rPr>
          <w:rFonts w:ascii="ITC Avant Garde" w:hAnsi="ITC Avant Garde" w:cs="Arial"/>
          <w:bCs/>
        </w:rPr>
        <w:t xml:space="preserve">, por un plazo de </w:t>
      </w:r>
      <w:r w:rsidR="000B26B4">
        <w:rPr>
          <w:rFonts w:ascii="ITC Avant Garde" w:hAnsi="ITC Avant Garde" w:cs="Arial"/>
          <w:bCs/>
        </w:rPr>
        <w:t>veinte</w:t>
      </w:r>
      <w:r w:rsidRPr="003A09AC">
        <w:rPr>
          <w:rFonts w:ascii="ITC Avant Garde" w:hAnsi="ITC Avant Garde" w:cs="Arial"/>
          <w:bCs/>
        </w:rPr>
        <w:t xml:space="preserve"> días hábiles, </w:t>
      </w:r>
      <w:r w:rsidR="00DC6CDE">
        <w:rPr>
          <w:rFonts w:ascii="ITC Avant Garde" w:hAnsi="ITC Avant Garde" w:cs="Arial"/>
          <w:bCs/>
        </w:rPr>
        <w:t xml:space="preserve">contados </w:t>
      </w:r>
      <w:r w:rsidRPr="003A09AC">
        <w:rPr>
          <w:rFonts w:ascii="ITC Avant Garde" w:hAnsi="ITC Avant Garde" w:cs="Arial"/>
          <w:bCs/>
        </w:rPr>
        <w:t xml:space="preserve">a partir del día </w:t>
      </w:r>
      <w:r w:rsidR="00DC6CDE">
        <w:rPr>
          <w:rFonts w:ascii="ITC Avant Garde" w:hAnsi="ITC Avant Garde" w:cs="Arial"/>
          <w:bCs/>
        </w:rPr>
        <w:t xml:space="preserve">hábil </w:t>
      </w:r>
      <w:r w:rsidRPr="003A09AC">
        <w:rPr>
          <w:rFonts w:ascii="ITC Avant Garde" w:hAnsi="ITC Avant Garde" w:cs="Arial"/>
          <w:bCs/>
        </w:rPr>
        <w:t>siguiente de la publicación de la consulta en el portal de Internet del Instituto.</w:t>
      </w:r>
    </w:p>
    <w:p w14:paraId="2A615A71" w14:textId="77777777" w:rsidR="009D0706" w:rsidRPr="003A09AC" w:rsidRDefault="009D0706" w:rsidP="006956E3">
      <w:pPr>
        <w:spacing w:after="0" w:line="276" w:lineRule="auto"/>
        <w:jc w:val="both"/>
        <w:rPr>
          <w:rFonts w:ascii="ITC Avant Garde" w:hAnsi="ITC Avant Garde" w:cs="Arial"/>
          <w:bCs/>
        </w:rPr>
      </w:pPr>
    </w:p>
    <w:p w14:paraId="73D764C8" w14:textId="064BBCB4" w:rsidR="009D0706" w:rsidRPr="009D0706" w:rsidRDefault="009D0706" w:rsidP="006956E3">
      <w:pPr>
        <w:spacing w:after="0" w:line="276" w:lineRule="auto"/>
        <w:jc w:val="both"/>
        <w:rPr>
          <w:rFonts w:ascii="ITC Avant Garde" w:eastAsia="Times New Roman" w:hAnsi="ITC Avant Garde"/>
        </w:rPr>
      </w:pPr>
      <w:r w:rsidRPr="003A09AC">
        <w:rPr>
          <w:rFonts w:ascii="ITC Avant Garde" w:hAnsi="ITC Avant Garde" w:cs="Arial"/>
          <w:bCs/>
        </w:rPr>
        <w:t xml:space="preserve">La consulta pública tendrá por objeto, mediante la mecánica que publique la Unidad de Política Regulatoria del Instituto, </w:t>
      </w:r>
      <w:r w:rsidR="006428B7" w:rsidRPr="00161816">
        <w:rPr>
          <w:rFonts w:ascii="ITC Avant Garde" w:hAnsi="ITC Avant Garde" w:cs="Arial"/>
          <w:bCs/>
          <w:lang w:val="es-ES"/>
        </w:rPr>
        <w:t xml:space="preserve">recabar información, comentarios, opiniones, aportaciones u otros elementos de análisis </w:t>
      </w:r>
      <w:r w:rsidRPr="00161816">
        <w:rPr>
          <w:rFonts w:ascii="ITC Avant Garde" w:hAnsi="ITC Avant Garde" w:cs="Arial"/>
          <w:bCs/>
        </w:rPr>
        <w:t>que pueda</w:t>
      </w:r>
      <w:r w:rsidR="006428B7" w:rsidRPr="00161816">
        <w:rPr>
          <w:rFonts w:ascii="ITC Avant Garde" w:hAnsi="ITC Avant Garde" w:cs="Arial"/>
          <w:bCs/>
        </w:rPr>
        <w:t>n</w:t>
      </w:r>
      <w:r w:rsidRPr="00161816">
        <w:rPr>
          <w:rFonts w:ascii="ITC Avant Garde" w:hAnsi="ITC Avant Garde" w:cs="Arial"/>
          <w:bCs/>
        </w:rPr>
        <w:t xml:space="preserve"> ser útil</w:t>
      </w:r>
      <w:r w:rsidR="006428B7" w:rsidRPr="00161816">
        <w:rPr>
          <w:rFonts w:ascii="ITC Avant Garde" w:hAnsi="ITC Avant Garde" w:cs="Arial"/>
          <w:bCs/>
        </w:rPr>
        <w:t>es</w:t>
      </w:r>
      <w:r w:rsidRPr="00161816">
        <w:rPr>
          <w:rFonts w:ascii="ITC Avant Garde" w:hAnsi="ITC Avant Garde" w:cs="Arial"/>
          <w:bCs/>
        </w:rPr>
        <w:t xml:space="preserve"> para evaluar </w:t>
      </w:r>
      <w:r w:rsidR="00161816" w:rsidRPr="00161816">
        <w:rPr>
          <w:rFonts w:ascii="ITC Avant Garde" w:hAnsi="ITC Avant Garde" w:cs="Arial"/>
          <w:bCs/>
        </w:rPr>
        <w:t>la</w:t>
      </w:r>
      <w:r w:rsidRPr="00161816">
        <w:rPr>
          <w:rFonts w:ascii="ITC Avant Garde" w:hAnsi="ITC Avant Garde" w:cs="Arial"/>
          <w:bCs/>
        </w:rPr>
        <w:t xml:space="preserve"> </w:t>
      </w:r>
      <w:r w:rsidR="00161816" w:rsidRPr="00161816">
        <w:rPr>
          <w:rFonts w:ascii="ITC Avant Garde" w:hAnsi="ITC Avant Garde" w:cs="Arial"/>
          <w:bCs/>
        </w:rPr>
        <w:t xml:space="preserve">eficacia, eficiencia, impacto y permanencia </w:t>
      </w:r>
      <w:r w:rsidRPr="00161816">
        <w:rPr>
          <w:rFonts w:ascii="ITC Avant Garde" w:hAnsi="ITC Avant Garde" w:cs="Arial"/>
          <w:bCs/>
        </w:rPr>
        <w:t>de las medidas impuestas al Agente Económico Preponderante</w:t>
      </w:r>
      <w:r w:rsidR="00512982" w:rsidRPr="00161816">
        <w:rPr>
          <w:rFonts w:ascii="ITC Avant Garde" w:hAnsi="ITC Avant Garde" w:cs="Arial"/>
          <w:bCs/>
        </w:rPr>
        <w:t xml:space="preserve"> en el Sector de Radiodifusión</w:t>
      </w:r>
      <w:r w:rsidRPr="00161816">
        <w:rPr>
          <w:rFonts w:ascii="ITC Avant Garde" w:hAnsi="ITC Avant Garde" w:cs="Arial"/>
          <w:bCs/>
        </w:rPr>
        <w:t xml:space="preserve"> y, en su caso, propuestas justificadas de supresión, </w:t>
      </w:r>
      <w:r w:rsidRPr="00161816">
        <w:rPr>
          <w:rFonts w:ascii="ITC Avant Garde" w:eastAsia="Times New Roman" w:hAnsi="ITC Avant Garde"/>
        </w:rPr>
        <w:t>modificación o adición</w:t>
      </w:r>
      <w:r w:rsidR="00512982" w:rsidRPr="00161816">
        <w:rPr>
          <w:rFonts w:ascii="ITC Avant Garde" w:eastAsia="Times New Roman" w:hAnsi="ITC Avant Garde"/>
        </w:rPr>
        <w:t xml:space="preserve"> de </w:t>
      </w:r>
      <w:r w:rsidR="00512982" w:rsidRPr="005C1F94">
        <w:rPr>
          <w:rFonts w:ascii="ITC Avant Garde" w:eastAsia="Times New Roman" w:hAnsi="ITC Avant Garde"/>
        </w:rPr>
        <w:t>medidas</w:t>
      </w:r>
      <w:r w:rsidRPr="005C1F94">
        <w:rPr>
          <w:rFonts w:ascii="ITC Avant Garde" w:eastAsia="Times New Roman" w:hAnsi="ITC Avant Garde"/>
        </w:rPr>
        <w:t>.</w:t>
      </w:r>
    </w:p>
    <w:p w14:paraId="294254A7" w14:textId="5E6FB6A7" w:rsidR="009D0706" w:rsidRDefault="009D0706" w:rsidP="006956E3">
      <w:pPr>
        <w:spacing w:after="0" w:line="276" w:lineRule="auto"/>
        <w:jc w:val="both"/>
        <w:rPr>
          <w:rFonts w:ascii="ITC Avant Garde" w:eastAsia="Times New Roman" w:hAnsi="ITC Avant Garde"/>
        </w:rPr>
      </w:pPr>
    </w:p>
    <w:p w14:paraId="7EBF107C" w14:textId="77777777" w:rsidR="006956E3" w:rsidRPr="009D0706" w:rsidRDefault="006956E3" w:rsidP="006956E3">
      <w:pPr>
        <w:spacing w:after="0" w:line="276" w:lineRule="auto"/>
        <w:jc w:val="both"/>
        <w:rPr>
          <w:rFonts w:ascii="ITC Avant Garde" w:eastAsia="Times New Roman" w:hAnsi="ITC Avant Garde"/>
        </w:rPr>
      </w:pPr>
    </w:p>
    <w:p w14:paraId="70B65837" w14:textId="7CC92DB3" w:rsidR="009D0706" w:rsidRDefault="009D0706" w:rsidP="006956E3">
      <w:pPr>
        <w:spacing w:after="0" w:line="276" w:lineRule="auto"/>
        <w:jc w:val="both"/>
        <w:rPr>
          <w:rFonts w:ascii="ITC Avant Garde" w:eastAsia="Times New Roman" w:hAnsi="ITC Avant Garde"/>
        </w:rPr>
      </w:pPr>
      <w:proofErr w:type="gramStart"/>
      <w:r w:rsidRPr="009D0706">
        <w:rPr>
          <w:rFonts w:ascii="ITC Avant Garde" w:eastAsia="Times New Roman" w:hAnsi="ITC Avant Garde"/>
          <w:b/>
        </w:rPr>
        <w:t>SEGUNDO.-</w:t>
      </w:r>
      <w:proofErr w:type="gramEnd"/>
      <w:r w:rsidRPr="009D0706">
        <w:rPr>
          <w:rFonts w:ascii="ITC Avant Garde" w:eastAsia="Times New Roman" w:hAnsi="ITC Avant Garde"/>
        </w:rPr>
        <w:t xml:space="preserve"> Se instruye a la Unidad de Política Regulatoria</w:t>
      </w:r>
      <w:r w:rsidR="00512982">
        <w:rPr>
          <w:rFonts w:ascii="ITC Avant Garde" w:eastAsia="Times New Roman" w:hAnsi="ITC Avant Garde"/>
        </w:rPr>
        <w:t xml:space="preserve">, </w:t>
      </w:r>
      <w:r w:rsidR="00512982" w:rsidRPr="00D20E21">
        <w:rPr>
          <w:rFonts w:ascii="ITC Avant Garde" w:eastAsia="Times New Roman" w:hAnsi="ITC Avant Garde"/>
        </w:rPr>
        <w:t>por conducto de la Dirección General de Desarrollo de las Telecomunicaciones y la Radiodifusión, en su calidad de área proponente, ejecutar la consulta pública materia del presente acuerdo, incluyendo la recepción y atención que, en cada caso, corresponda a las opiniones que sean vertidas en la consulta pública</w:t>
      </w:r>
      <w:r w:rsidR="007D1772">
        <w:rPr>
          <w:rFonts w:ascii="ITC Avant Garde" w:eastAsia="Times New Roman" w:hAnsi="ITC Avant Garde"/>
        </w:rPr>
        <w:t>.</w:t>
      </w:r>
    </w:p>
    <w:p w14:paraId="1E63361C" w14:textId="311C5214" w:rsidR="00CA2FFC" w:rsidRDefault="00CA2FFC" w:rsidP="006956E3">
      <w:pPr>
        <w:spacing w:after="0" w:line="276" w:lineRule="auto"/>
        <w:jc w:val="both"/>
        <w:rPr>
          <w:rFonts w:ascii="ITC Avant Garde" w:eastAsia="Times New Roman" w:hAnsi="ITC Avant Garde"/>
        </w:rPr>
      </w:pPr>
    </w:p>
    <w:p w14:paraId="2685A4D4" w14:textId="77777777" w:rsidR="006956E3" w:rsidRPr="009D0706" w:rsidRDefault="006956E3" w:rsidP="006956E3">
      <w:pPr>
        <w:spacing w:after="0" w:line="276" w:lineRule="auto"/>
        <w:jc w:val="both"/>
        <w:rPr>
          <w:rFonts w:ascii="ITC Avant Garde" w:eastAsia="Times New Roman" w:hAnsi="ITC Avant Garde"/>
        </w:rPr>
      </w:pPr>
    </w:p>
    <w:p w14:paraId="5F1F9B06" w14:textId="77777777" w:rsidR="009D0706" w:rsidRDefault="009D0706" w:rsidP="006956E3">
      <w:pPr>
        <w:spacing w:after="0" w:line="276" w:lineRule="auto"/>
        <w:jc w:val="both"/>
        <w:rPr>
          <w:rFonts w:ascii="ITC Avant Garde" w:eastAsia="Times New Roman" w:hAnsi="ITC Avant Garde"/>
        </w:rPr>
      </w:pPr>
      <w:r w:rsidRPr="009D0706">
        <w:rPr>
          <w:rFonts w:ascii="ITC Avant Garde" w:eastAsia="Times New Roman" w:hAnsi="ITC Avant Garde"/>
          <w:b/>
        </w:rPr>
        <w:t>TERCERO.-</w:t>
      </w:r>
      <w:r w:rsidRPr="009D0706">
        <w:rPr>
          <w:rFonts w:ascii="ITC Avant Garde" w:eastAsia="Times New Roman" w:hAnsi="ITC Avant Garde"/>
        </w:rPr>
        <w:t xml:space="preserve"> Publíquese en el portal de Internet del Instituto Federal de Telecomunicaciones.</w:t>
      </w:r>
    </w:p>
    <w:p w14:paraId="5A8B20A0" w14:textId="77777777" w:rsidR="009D0706" w:rsidRPr="009D0706" w:rsidRDefault="009D0706" w:rsidP="006956E3">
      <w:pPr>
        <w:spacing w:after="0" w:line="276" w:lineRule="auto"/>
        <w:jc w:val="both"/>
        <w:rPr>
          <w:rFonts w:ascii="ITC Avant Garde" w:eastAsia="Times New Roman" w:hAnsi="ITC Avant Garde"/>
        </w:rPr>
      </w:pPr>
    </w:p>
    <w:bookmarkEnd w:id="1"/>
    <w:p w14:paraId="266F8619" w14:textId="061D241D" w:rsidR="000E0DCD" w:rsidRDefault="000E0DCD" w:rsidP="006956E3">
      <w:pPr>
        <w:pStyle w:val="NormalDGDTR"/>
        <w:spacing w:after="0"/>
      </w:pPr>
    </w:p>
    <w:p w14:paraId="26FF2B7A" w14:textId="5032291F" w:rsidR="006956E3" w:rsidRDefault="006956E3" w:rsidP="006956E3">
      <w:pPr>
        <w:pStyle w:val="NormalDGDTR"/>
        <w:spacing w:after="0"/>
      </w:pPr>
    </w:p>
    <w:p w14:paraId="2F606D05" w14:textId="6D9E038C" w:rsidR="006956E3" w:rsidRDefault="006956E3" w:rsidP="006956E3">
      <w:pPr>
        <w:pStyle w:val="NormalDGDTR"/>
        <w:spacing w:after="0"/>
      </w:pPr>
    </w:p>
    <w:p w14:paraId="61FAFDFB" w14:textId="514D4555" w:rsidR="006956E3" w:rsidRDefault="006956E3" w:rsidP="006956E3">
      <w:pPr>
        <w:pStyle w:val="NormalDGDTR"/>
        <w:spacing w:after="0"/>
      </w:pPr>
    </w:p>
    <w:p w14:paraId="1C69B8BB" w14:textId="63AA5DDD" w:rsidR="006956E3" w:rsidRDefault="006956E3" w:rsidP="006956E3">
      <w:pPr>
        <w:pStyle w:val="NormalDGDTR"/>
        <w:spacing w:after="0"/>
      </w:pPr>
    </w:p>
    <w:p w14:paraId="19DFE1B8" w14:textId="77777777" w:rsidR="006956E3" w:rsidRDefault="006956E3" w:rsidP="006956E3">
      <w:pPr>
        <w:pStyle w:val="NormalDGDTR"/>
        <w:spacing w:after="0"/>
      </w:pPr>
    </w:p>
    <w:p w14:paraId="7906C713" w14:textId="5127A359" w:rsidR="006956E3" w:rsidRDefault="006956E3" w:rsidP="006956E3">
      <w:pPr>
        <w:pStyle w:val="NormalDGDTR"/>
        <w:spacing w:after="0"/>
      </w:pPr>
    </w:p>
    <w:p w14:paraId="78B27AE0" w14:textId="77777777" w:rsidR="006956E3" w:rsidRPr="006115F2" w:rsidRDefault="006956E3" w:rsidP="006956E3">
      <w:pPr>
        <w:pStyle w:val="NormalDGDTR"/>
        <w:spacing w:after="0"/>
      </w:pPr>
    </w:p>
    <w:tbl>
      <w:tblPr>
        <w:tblW w:w="9679" w:type="dxa"/>
        <w:jc w:val="right"/>
        <w:tblLook w:val="04A0" w:firstRow="1" w:lastRow="0" w:firstColumn="1" w:lastColumn="0" w:noHBand="0" w:noVBand="1"/>
      </w:tblPr>
      <w:tblGrid>
        <w:gridCol w:w="5659"/>
        <w:gridCol w:w="4020"/>
      </w:tblGrid>
      <w:tr w:rsidR="000E0DCD" w:rsidRPr="006956E3" w14:paraId="3F65F3A6" w14:textId="77777777" w:rsidTr="006956E3">
        <w:trPr>
          <w:trHeight w:val="789"/>
          <w:jc w:val="right"/>
        </w:trPr>
        <w:tc>
          <w:tcPr>
            <w:tcW w:w="9679" w:type="dxa"/>
            <w:gridSpan w:val="2"/>
          </w:tcPr>
          <w:p w14:paraId="1F783D1C" w14:textId="77777777" w:rsidR="000E0DCD" w:rsidRPr="006956E3" w:rsidRDefault="000E0DCD" w:rsidP="006956E3">
            <w:pPr>
              <w:pStyle w:val="FirmasDGDTR"/>
            </w:pPr>
          </w:p>
          <w:p w14:paraId="62CD0E59" w14:textId="77777777" w:rsidR="000E0DCD" w:rsidRPr="006956E3" w:rsidRDefault="000E0DCD" w:rsidP="006956E3">
            <w:pPr>
              <w:pStyle w:val="FirmasDGDTR"/>
            </w:pPr>
            <w:r w:rsidRPr="006956E3">
              <w:t>Gabriel Oswaldo Contreras Saldívar</w:t>
            </w:r>
          </w:p>
          <w:p w14:paraId="6FAC487E" w14:textId="77777777" w:rsidR="000E0DCD" w:rsidRPr="006956E3" w:rsidRDefault="000E0DCD" w:rsidP="006956E3">
            <w:pPr>
              <w:pStyle w:val="FirmasDGDTR"/>
            </w:pPr>
            <w:r w:rsidRPr="006956E3">
              <w:t>Comisionado Presidente</w:t>
            </w:r>
          </w:p>
        </w:tc>
      </w:tr>
      <w:tr w:rsidR="000E0DCD" w:rsidRPr="006956E3" w14:paraId="06C37228" w14:textId="77777777" w:rsidTr="006956E3">
        <w:trPr>
          <w:trHeight w:val="1593"/>
          <w:jc w:val="right"/>
        </w:trPr>
        <w:tc>
          <w:tcPr>
            <w:tcW w:w="5659" w:type="dxa"/>
          </w:tcPr>
          <w:p w14:paraId="4540F41B" w14:textId="77777777" w:rsidR="000E0DCD" w:rsidRPr="006956E3" w:rsidRDefault="000E0DCD" w:rsidP="006956E3">
            <w:pPr>
              <w:pStyle w:val="FirmasDGDTR"/>
            </w:pPr>
          </w:p>
          <w:p w14:paraId="67E1909D" w14:textId="77777777" w:rsidR="000E0DCD" w:rsidRPr="006956E3" w:rsidRDefault="000E0DCD" w:rsidP="006956E3">
            <w:pPr>
              <w:pStyle w:val="FirmasDGDTR"/>
            </w:pPr>
          </w:p>
          <w:p w14:paraId="5375CAF3" w14:textId="77777777" w:rsidR="000E0DCD" w:rsidRPr="006956E3" w:rsidRDefault="000E0DCD" w:rsidP="006956E3">
            <w:pPr>
              <w:pStyle w:val="FirmasDGDTR"/>
            </w:pPr>
          </w:p>
          <w:p w14:paraId="7FA9BEB2" w14:textId="77777777" w:rsidR="00512982" w:rsidRPr="006956E3" w:rsidRDefault="00512982" w:rsidP="006956E3">
            <w:pPr>
              <w:pStyle w:val="FirmasDGDTR"/>
            </w:pPr>
          </w:p>
          <w:p w14:paraId="2E05B68A" w14:textId="77777777" w:rsidR="00512982" w:rsidRPr="006956E3" w:rsidRDefault="00512982" w:rsidP="006956E3">
            <w:pPr>
              <w:pStyle w:val="FirmasDGDTR"/>
            </w:pPr>
            <w:r w:rsidRPr="006956E3">
              <w:t>Mario Germán Fromow Rangel</w:t>
            </w:r>
          </w:p>
          <w:p w14:paraId="2C3899FC" w14:textId="77777777" w:rsidR="000E0DCD" w:rsidRPr="006956E3" w:rsidRDefault="00DC6CDE" w:rsidP="006956E3">
            <w:pPr>
              <w:pStyle w:val="FirmasDGDTR"/>
            </w:pPr>
            <w:r w:rsidRPr="006956E3">
              <w:t>Comisionado</w:t>
            </w:r>
          </w:p>
        </w:tc>
        <w:tc>
          <w:tcPr>
            <w:tcW w:w="4020" w:type="dxa"/>
          </w:tcPr>
          <w:p w14:paraId="127827D3" w14:textId="77777777" w:rsidR="000E0DCD" w:rsidRPr="006956E3" w:rsidRDefault="000E0DCD" w:rsidP="006956E3">
            <w:pPr>
              <w:pStyle w:val="FirmasDGDTR"/>
            </w:pPr>
          </w:p>
          <w:p w14:paraId="5D7BE105" w14:textId="77777777" w:rsidR="000E0DCD" w:rsidRPr="006956E3" w:rsidRDefault="000E0DCD" w:rsidP="006956E3">
            <w:pPr>
              <w:pStyle w:val="FirmasDGDTR"/>
            </w:pPr>
          </w:p>
          <w:p w14:paraId="747462F1" w14:textId="77777777" w:rsidR="00512982" w:rsidRPr="006956E3" w:rsidRDefault="00512982" w:rsidP="006956E3">
            <w:pPr>
              <w:pStyle w:val="FirmasDGDTR"/>
            </w:pPr>
          </w:p>
          <w:p w14:paraId="3004A77F" w14:textId="77777777" w:rsidR="000E0DCD" w:rsidRPr="006956E3" w:rsidRDefault="000E0DCD" w:rsidP="006956E3">
            <w:pPr>
              <w:pStyle w:val="FirmasDGDTR"/>
            </w:pPr>
          </w:p>
          <w:p w14:paraId="3D9A7500" w14:textId="77777777" w:rsidR="00512982" w:rsidRPr="006956E3" w:rsidRDefault="00512982" w:rsidP="006956E3">
            <w:pPr>
              <w:pStyle w:val="FirmasDGDTR"/>
            </w:pPr>
            <w:r w:rsidRPr="006956E3">
              <w:t>Adolfo Cuevas Teja</w:t>
            </w:r>
          </w:p>
          <w:p w14:paraId="69874DE0" w14:textId="77777777" w:rsidR="000E0DCD" w:rsidRPr="006956E3" w:rsidRDefault="000E0DCD" w:rsidP="006956E3">
            <w:pPr>
              <w:pStyle w:val="FirmasDGDTR"/>
            </w:pPr>
            <w:r w:rsidRPr="006956E3">
              <w:t xml:space="preserve">Comisionado </w:t>
            </w:r>
          </w:p>
        </w:tc>
      </w:tr>
      <w:tr w:rsidR="000E0DCD" w:rsidRPr="006956E3" w14:paraId="38EB178E" w14:textId="77777777" w:rsidTr="006956E3">
        <w:trPr>
          <w:trHeight w:val="2398"/>
          <w:jc w:val="right"/>
        </w:trPr>
        <w:tc>
          <w:tcPr>
            <w:tcW w:w="5659" w:type="dxa"/>
          </w:tcPr>
          <w:p w14:paraId="12FF0B9A" w14:textId="77777777" w:rsidR="000E0DCD" w:rsidRPr="006956E3" w:rsidRDefault="000E0DCD" w:rsidP="006956E3">
            <w:pPr>
              <w:pStyle w:val="FirmasDGDTR"/>
            </w:pPr>
          </w:p>
          <w:p w14:paraId="5D6CC6B8" w14:textId="77777777" w:rsidR="000E0DCD" w:rsidRPr="006956E3" w:rsidRDefault="000E0DCD" w:rsidP="006956E3">
            <w:pPr>
              <w:pStyle w:val="FirmasDGDTR"/>
            </w:pPr>
          </w:p>
          <w:p w14:paraId="31106E64" w14:textId="77777777" w:rsidR="000E0DCD" w:rsidRPr="006956E3" w:rsidRDefault="000E0DCD" w:rsidP="006956E3">
            <w:pPr>
              <w:pStyle w:val="FirmasDGDTR"/>
            </w:pPr>
          </w:p>
          <w:p w14:paraId="4C86BC85" w14:textId="77777777" w:rsidR="000E0DCD" w:rsidRPr="006956E3" w:rsidRDefault="000E0DCD" w:rsidP="006956E3">
            <w:pPr>
              <w:pStyle w:val="FirmasDGDTR"/>
            </w:pPr>
          </w:p>
          <w:p w14:paraId="67FB1E58" w14:textId="77777777" w:rsidR="00512982" w:rsidRPr="006956E3" w:rsidRDefault="00512982" w:rsidP="006956E3">
            <w:pPr>
              <w:pStyle w:val="FirmasDGDTR"/>
            </w:pPr>
            <w:r w:rsidRPr="006956E3">
              <w:t>Javier Juárez Mojica</w:t>
            </w:r>
          </w:p>
          <w:p w14:paraId="27C8029E" w14:textId="77777777" w:rsidR="000E0DCD" w:rsidRPr="006956E3" w:rsidRDefault="000E0DCD" w:rsidP="006956E3">
            <w:pPr>
              <w:pStyle w:val="FirmasDGDTR"/>
            </w:pPr>
            <w:r w:rsidRPr="006956E3">
              <w:t>Comisionado</w:t>
            </w:r>
          </w:p>
          <w:p w14:paraId="3F192969" w14:textId="77777777" w:rsidR="000E0DCD" w:rsidRPr="006956E3" w:rsidRDefault="000E0DCD" w:rsidP="006956E3">
            <w:pPr>
              <w:pStyle w:val="FirmasDGDTR"/>
            </w:pPr>
          </w:p>
        </w:tc>
        <w:tc>
          <w:tcPr>
            <w:tcW w:w="4020" w:type="dxa"/>
          </w:tcPr>
          <w:p w14:paraId="43567BF5" w14:textId="77777777" w:rsidR="000E0DCD" w:rsidRPr="006956E3" w:rsidRDefault="000E0DCD" w:rsidP="006956E3">
            <w:pPr>
              <w:pStyle w:val="FirmasDGDTR"/>
            </w:pPr>
          </w:p>
          <w:p w14:paraId="67DE4589" w14:textId="77777777" w:rsidR="000E0DCD" w:rsidRPr="006956E3" w:rsidRDefault="000E0DCD" w:rsidP="006956E3">
            <w:pPr>
              <w:pStyle w:val="FirmasDGDTR"/>
            </w:pPr>
          </w:p>
          <w:p w14:paraId="0F869529" w14:textId="77777777" w:rsidR="00512982" w:rsidRPr="006956E3" w:rsidRDefault="00512982" w:rsidP="006956E3">
            <w:pPr>
              <w:pStyle w:val="FirmasDGDTR"/>
            </w:pPr>
          </w:p>
          <w:p w14:paraId="39150A3B" w14:textId="77777777" w:rsidR="000E0DCD" w:rsidRPr="006956E3" w:rsidRDefault="000E0DCD" w:rsidP="006956E3">
            <w:pPr>
              <w:pStyle w:val="FirmasDGDTR"/>
            </w:pPr>
          </w:p>
          <w:p w14:paraId="77364615" w14:textId="77777777" w:rsidR="00512982" w:rsidRPr="006956E3" w:rsidRDefault="00512982" w:rsidP="006956E3">
            <w:pPr>
              <w:pStyle w:val="FirmasDGDTR"/>
            </w:pPr>
            <w:r w:rsidRPr="006956E3">
              <w:t>Arturo Robles Rovalo</w:t>
            </w:r>
            <w:r w:rsidRPr="006956E3" w:rsidDel="00512982">
              <w:t xml:space="preserve"> </w:t>
            </w:r>
          </w:p>
          <w:p w14:paraId="782B8CDC" w14:textId="77777777" w:rsidR="000E0DCD" w:rsidRPr="006956E3" w:rsidRDefault="000E0DCD" w:rsidP="006956E3">
            <w:pPr>
              <w:pStyle w:val="FirmasDGDTR"/>
            </w:pPr>
            <w:r w:rsidRPr="006956E3">
              <w:t xml:space="preserve">Comisionado </w:t>
            </w:r>
          </w:p>
          <w:p w14:paraId="39C7D03B" w14:textId="77777777" w:rsidR="000E0DCD" w:rsidRPr="006956E3" w:rsidRDefault="000E0DCD" w:rsidP="006956E3">
            <w:pPr>
              <w:pStyle w:val="FirmasDGDTR"/>
            </w:pPr>
          </w:p>
          <w:p w14:paraId="50D42529" w14:textId="77777777" w:rsidR="000E0DCD" w:rsidRDefault="000E0DCD" w:rsidP="006956E3">
            <w:pPr>
              <w:pStyle w:val="FirmasDGDTR"/>
            </w:pPr>
          </w:p>
          <w:p w14:paraId="418C2819" w14:textId="50FB395A" w:rsidR="006956E3" w:rsidRPr="006956E3" w:rsidRDefault="006956E3" w:rsidP="006956E3">
            <w:pPr>
              <w:pStyle w:val="FirmasDGDTR"/>
            </w:pPr>
          </w:p>
        </w:tc>
      </w:tr>
      <w:tr w:rsidR="000E0DCD" w:rsidRPr="006956E3" w14:paraId="1BB27CA2" w14:textId="77777777" w:rsidTr="006956E3">
        <w:trPr>
          <w:trHeight w:val="1052"/>
          <w:jc w:val="right"/>
        </w:trPr>
        <w:tc>
          <w:tcPr>
            <w:tcW w:w="5659" w:type="dxa"/>
          </w:tcPr>
          <w:p w14:paraId="2DF37F93" w14:textId="77777777" w:rsidR="000E0DCD" w:rsidRPr="006956E3" w:rsidRDefault="000E0DCD" w:rsidP="006956E3">
            <w:pPr>
              <w:pStyle w:val="FirmasDGDTR"/>
            </w:pPr>
          </w:p>
          <w:p w14:paraId="297FFA52" w14:textId="77777777" w:rsidR="00512982" w:rsidRPr="006956E3" w:rsidRDefault="00512982" w:rsidP="006956E3">
            <w:pPr>
              <w:pStyle w:val="FirmasDGDTR"/>
            </w:pPr>
            <w:r w:rsidRPr="006956E3">
              <w:t xml:space="preserve">Sóstenes Díaz González </w:t>
            </w:r>
          </w:p>
          <w:p w14:paraId="2DB2F40E" w14:textId="77777777" w:rsidR="000E0DCD" w:rsidRPr="006956E3" w:rsidRDefault="000E0DCD" w:rsidP="006956E3">
            <w:pPr>
              <w:pStyle w:val="FirmasDGDTR"/>
            </w:pPr>
            <w:r w:rsidRPr="006956E3">
              <w:t>Comisionado</w:t>
            </w:r>
          </w:p>
          <w:p w14:paraId="454995E0" w14:textId="77777777" w:rsidR="000E0DCD" w:rsidRPr="006956E3" w:rsidRDefault="000E0DCD" w:rsidP="006956E3">
            <w:pPr>
              <w:pStyle w:val="FirmasDGDTR"/>
              <w:jc w:val="left"/>
            </w:pPr>
          </w:p>
        </w:tc>
        <w:tc>
          <w:tcPr>
            <w:tcW w:w="4020" w:type="dxa"/>
          </w:tcPr>
          <w:p w14:paraId="33079595" w14:textId="77777777" w:rsidR="000E0DCD" w:rsidRPr="006956E3" w:rsidRDefault="000E0DCD" w:rsidP="006956E3">
            <w:pPr>
              <w:pStyle w:val="FirmasDGDTR"/>
            </w:pPr>
          </w:p>
          <w:p w14:paraId="7C761A04" w14:textId="77777777" w:rsidR="000E0DCD" w:rsidRPr="006956E3" w:rsidRDefault="00512982" w:rsidP="006956E3">
            <w:pPr>
              <w:pStyle w:val="FirmasDGDTR"/>
            </w:pPr>
            <w:r w:rsidRPr="006956E3">
              <w:t>Ramiro Camacho Castillo</w:t>
            </w:r>
          </w:p>
          <w:p w14:paraId="44A1EA4E" w14:textId="55C1E72A" w:rsidR="000E0DCD" w:rsidRPr="006956E3" w:rsidRDefault="000E0DCD" w:rsidP="006956E3">
            <w:pPr>
              <w:pStyle w:val="FirmasDGDTR"/>
            </w:pPr>
            <w:r w:rsidRPr="006956E3">
              <w:t xml:space="preserve">Comisionado </w:t>
            </w:r>
          </w:p>
          <w:p w14:paraId="12A69518" w14:textId="77777777" w:rsidR="000E0DCD" w:rsidRPr="006956E3" w:rsidRDefault="000E0DCD" w:rsidP="006956E3">
            <w:pPr>
              <w:pStyle w:val="FirmasDGDTR"/>
            </w:pPr>
          </w:p>
        </w:tc>
      </w:tr>
    </w:tbl>
    <w:p w14:paraId="29640E32" w14:textId="3B35B575" w:rsidR="002B7349" w:rsidRDefault="002B7349" w:rsidP="006956E3">
      <w:pPr>
        <w:pStyle w:val="Ttulo1"/>
        <w:spacing w:after="0" w:line="276" w:lineRule="auto"/>
        <w:jc w:val="left"/>
        <w:rPr>
          <w:b w:val="0"/>
          <w:bCs w:val="0"/>
          <w:smallCaps w:val="0"/>
        </w:rPr>
      </w:pPr>
    </w:p>
    <w:p w14:paraId="167F1842" w14:textId="11B59F66" w:rsidR="006956E3" w:rsidRDefault="006956E3" w:rsidP="006956E3">
      <w:pPr>
        <w:pStyle w:val="NormalDGDTR"/>
      </w:pPr>
    </w:p>
    <w:p w14:paraId="03AC01BE" w14:textId="7CD82CEB" w:rsidR="006956E3" w:rsidRPr="006956E3" w:rsidRDefault="006956E3" w:rsidP="006956E3">
      <w:pPr>
        <w:spacing w:after="0" w:line="240" w:lineRule="auto"/>
        <w:jc w:val="both"/>
        <w:rPr>
          <w:rFonts w:ascii="ITC Avant Garde" w:hAnsi="ITC Avant Garde"/>
          <w:bCs/>
          <w:sz w:val="14"/>
          <w:lang w:val="es-ES"/>
        </w:rPr>
      </w:pPr>
      <w:bookmarkStart w:id="2" w:name="_GoBack"/>
      <w:bookmarkEnd w:id="2"/>
      <w:r w:rsidRPr="006956E3">
        <w:rPr>
          <w:rFonts w:ascii="ITC Avant Garde" w:hAnsi="ITC Avant Garde"/>
          <w:sz w:val="14"/>
          <w:lang w:val="es-ES"/>
        </w:rPr>
        <w:t xml:space="preserve">El presente Acuerdo fue aprobado por el </w:t>
      </w:r>
      <w:r w:rsidRPr="006956E3">
        <w:rPr>
          <w:rFonts w:ascii="ITC Avant Garde" w:hAnsi="ITC Avant Garde"/>
          <w:sz w:val="14"/>
        </w:rPr>
        <w:t xml:space="preserve">Pleno del Instituto Federal de Telecomunicaciones en su IX Sesión Ordinaria celebrada el 20 de marzo de 2019, por </w:t>
      </w:r>
      <w:r w:rsidRPr="006956E3">
        <w:rPr>
          <w:rFonts w:ascii="ITC Avant Garde" w:hAnsi="ITC Avant Garde"/>
          <w:bCs/>
          <w:sz w:val="14"/>
        </w:rPr>
        <w:t xml:space="preserve">unanimidad </w:t>
      </w:r>
      <w:r w:rsidRPr="006956E3">
        <w:rPr>
          <w:rFonts w:ascii="ITC Avant Garde" w:hAnsi="ITC Avant Garde"/>
          <w:sz w:val="14"/>
        </w:rPr>
        <w:t xml:space="preserve">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6956E3">
        <w:rPr>
          <w:rFonts w:ascii="ITC Avant Garde" w:hAnsi="ITC Avant Garde"/>
          <w:bCs/>
          <w:sz w:val="14"/>
        </w:rPr>
        <w:t>P/IFT/200319/127.</w:t>
      </w:r>
    </w:p>
    <w:p w14:paraId="4ABE5EDD" w14:textId="77777777" w:rsidR="006956E3" w:rsidRPr="006956E3" w:rsidRDefault="006956E3" w:rsidP="006956E3">
      <w:pPr>
        <w:pStyle w:val="NormalDGDTR"/>
      </w:pPr>
    </w:p>
    <w:sectPr w:rsidR="006956E3" w:rsidRPr="006956E3" w:rsidSect="006956E3">
      <w:footerReference w:type="default" r:id="rId11"/>
      <w:pgSz w:w="12240" w:h="15840"/>
      <w:pgMar w:top="2269"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A2D20" w14:textId="77777777" w:rsidR="00331848" w:rsidRPr="006115F2" w:rsidRDefault="00331848" w:rsidP="006115F2">
      <w:r>
        <w:separator/>
      </w:r>
    </w:p>
  </w:endnote>
  <w:endnote w:type="continuationSeparator" w:id="0">
    <w:p w14:paraId="794CC673" w14:textId="77777777" w:rsidR="00331848" w:rsidRPr="006115F2" w:rsidRDefault="00331848" w:rsidP="006115F2">
      <w:r>
        <w:continuationSeparator/>
      </w:r>
    </w:p>
  </w:endnote>
  <w:endnote w:type="continuationNotice" w:id="1">
    <w:p w14:paraId="1631C1B2" w14:textId="77777777" w:rsidR="00331848" w:rsidRDefault="00331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Book">
    <w:altName w:val="Segoe UI Semilight"/>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823549"/>
      <w:docPartObj>
        <w:docPartGallery w:val="Page Numbers (Bottom of Page)"/>
        <w:docPartUnique/>
      </w:docPartObj>
    </w:sdtPr>
    <w:sdtEndPr/>
    <w:sdtContent>
      <w:sdt>
        <w:sdtPr>
          <w:id w:val="-160704945"/>
          <w:docPartObj>
            <w:docPartGallery w:val="Page Numbers (Top of Page)"/>
            <w:docPartUnique/>
          </w:docPartObj>
        </w:sdtPr>
        <w:sdtEndPr/>
        <w:sdtContent>
          <w:p w14:paraId="6B5BBD54" w14:textId="4B18F6CF" w:rsidR="009D0706" w:rsidRDefault="009D0706">
            <w:pPr>
              <w:pStyle w:val="Piedepgina"/>
              <w:jc w:val="right"/>
            </w:pPr>
            <w:r w:rsidRPr="006956E3">
              <w:rPr>
                <w:rFonts w:ascii="ITC Avant Garde" w:hAnsi="ITC Avant Garde"/>
                <w:b/>
                <w:bCs/>
                <w:sz w:val="18"/>
                <w:szCs w:val="18"/>
              </w:rPr>
              <w:fldChar w:fldCharType="begin"/>
            </w:r>
            <w:r w:rsidRPr="006956E3">
              <w:rPr>
                <w:rFonts w:ascii="ITC Avant Garde" w:hAnsi="ITC Avant Garde"/>
                <w:b/>
                <w:bCs/>
                <w:sz w:val="18"/>
                <w:szCs w:val="18"/>
              </w:rPr>
              <w:instrText>PAGE</w:instrText>
            </w:r>
            <w:r w:rsidRPr="006956E3">
              <w:rPr>
                <w:rFonts w:ascii="ITC Avant Garde" w:hAnsi="ITC Avant Garde"/>
                <w:b/>
                <w:bCs/>
                <w:sz w:val="18"/>
                <w:szCs w:val="18"/>
              </w:rPr>
              <w:fldChar w:fldCharType="separate"/>
            </w:r>
            <w:r w:rsidR="006956E3">
              <w:rPr>
                <w:rFonts w:ascii="ITC Avant Garde" w:hAnsi="ITC Avant Garde"/>
                <w:b/>
                <w:bCs/>
                <w:noProof/>
                <w:sz w:val="18"/>
                <w:szCs w:val="18"/>
              </w:rPr>
              <w:t>2</w:t>
            </w:r>
            <w:r w:rsidRPr="006956E3">
              <w:rPr>
                <w:rFonts w:ascii="ITC Avant Garde" w:hAnsi="ITC Avant Garde"/>
                <w:b/>
                <w:bCs/>
                <w:sz w:val="18"/>
                <w:szCs w:val="18"/>
              </w:rPr>
              <w:fldChar w:fldCharType="end"/>
            </w:r>
            <w:r w:rsidRPr="006956E3">
              <w:rPr>
                <w:rFonts w:ascii="ITC Avant Garde" w:hAnsi="ITC Avant Garde"/>
                <w:sz w:val="18"/>
                <w:szCs w:val="18"/>
                <w:lang w:val="es-ES"/>
              </w:rPr>
              <w:t xml:space="preserve"> </w:t>
            </w:r>
          </w:p>
        </w:sdtContent>
      </w:sdt>
    </w:sdtContent>
  </w:sdt>
  <w:p w14:paraId="397B3D2C" w14:textId="77777777" w:rsidR="009D0706" w:rsidRDefault="009D07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0FC27" w14:textId="77777777" w:rsidR="00331848" w:rsidRPr="006115F2" w:rsidRDefault="00331848" w:rsidP="006115F2">
      <w:r>
        <w:separator/>
      </w:r>
    </w:p>
  </w:footnote>
  <w:footnote w:type="continuationSeparator" w:id="0">
    <w:p w14:paraId="69F1F120" w14:textId="77777777" w:rsidR="00331848" w:rsidRPr="006115F2" w:rsidRDefault="00331848" w:rsidP="006115F2">
      <w:r>
        <w:continuationSeparator/>
      </w:r>
    </w:p>
  </w:footnote>
  <w:footnote w:type="continuationNotice" w:id="1">
    <w:p w14:paraId="31918FB9" w14:textId="77777777" w:rsidR="00331848" w:rsidRDefault="00331848">
      <w:pPr>
        <w:spacing w:after="0" w:line="240" w:lineRule="auto"/>
      </w:pPr>
    </w:p>
  </w:footnote>
  <w:footnote w:id="2">
    <w:p w14:paraId="6228FD30" w14:textId="77777777" w:rsidR="007A1A9A" w:rsidRPr="00621AAC" w:rsidRDefault="007A1A9A" w:rsidP="007A1A9A">
      <w:pPr>
        <w:pStyle w:val="Textonotapie"/>
        <w:rPr>
          <w:lang w:val="es-MX"/>
        </w:rPr>
      </w:pPr>
      <w:r>
        <w:rPr>
          <w:rStyle w:val="Refdenotaalpie"/>
        </w:rPr>
        <w:footnoteRef/>
      </w:r>
      <w:r>
        <w:t xml:space="preserve"> </w:t>
      </w:r>
      <w:r w:rsidRPr="007A1A9A">
        <w:t xml:space="preserve">OCDE, “Government at a Glance 2017”. </w:t>
      </w:r>
      <w:r w:rsidRPr="00621AAC">
        <w:rPr>
          <w:lang w:val="es-MX"/>
        </w:rPr>
        <w:t>Consultado el 8 de marzo de 2019, disponible en: https://www.oecd-ilibrary.org/governance/government-at-a-glance-2017_gov_glance-2017-en</w:t>
      </w:r>
    </w:p>
  </w:footnote>
  <w:footnote w:id="3">
    <w:p w14:paraId="598611A6" w14:textId="77777777" w:rsidR="007A1A9A" w:rsidRPr="00BD08CA" w:rsidRDefault="007A1A9A">
      <w:pPr>
        <w:pStyle w:val="Textonotapie"/>
        <w:rPr>
          <w:lang w:val="es-MX"/>
        </w:rPr>
      </w:pPr>
      <w:r>
        <w:rPr>
          <w:rStyle w:val="Refdenotaalpie"/>
        </w:rPr>
        <w:footnoteRef/>
      </w:r>
      <w:r>
        <w:t xml:space="preserve"> </w:t>
      </w:r>
      <w:r w:rsidRPr="007A1A9A">
        <w:t xml:space="preserve">OCDE, “Background Document on Public Consultation”. </w:t>
      </w:r>
      <w:r w:rsidRPr="00621AAC">
        <w:rPr>
          <w:lang w:val="es-MX"/>
        </w:rPr>
        <w:t>Consultado el 8 de marzo de 2019, disponible en: https://www.oecd.org/mena/governance/36785341.pdf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ED8"/>
    <w:multiLevelType w:val="hybridMultilevel"/>
    <w:tmpl w:val="51861164"/>
    <w:lvl w:ilvl="0" w:tplc="695E958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17650"/>
    <w:multiLevelType w:val="hybridMultilevel"/>
    <w:tmpl w:val="975ADFFA"/>
    <w:lvl w:ilvl="0" w:tplc="F746BC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F4C15"/>
    <w:multiLevelType w:val="hybridMultilevel"/>
    <w:tmpl w:val="34B0BF96"/>
    <w:lvl w:ilvl="0" w:tplc="8584B7C0">
      <w:start w:val="1"/>
      <w:numFmt w:val="bullet"/>
      <w:pStyle w:val="Bullet3DGDTR"/>
      <w:lvlText w:val=""/>
      <w:lvlJc w:val="left"/>
      <w:pPr>
        <w:ind w:left="1068" w:hanging="360"/>
      </w:pPr>
      <w:rPr>
        <w:rFonts w:ascii="Symbol" w:hAnsi="Symbol" w:hint="default"/>
      </w:rPr>
    </w:lvl>
    <w:lvl w:ilvl="1" w:tplc="EDA097D8">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D440A30"/>
    <w:multiLevelType w:val="hybridMultilevel"/>
    <w:tmpl w:val="4B184D86"/>
    <w:lvl w:ilvl="0" w:tplc="5CD27CDE">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0216CEF"/>
    <w:multiLevelType w:val="hybridMultilevel"/>
    <w:tmpl w:val="2586D976"/>
    <w:lvl w:ilvl="0" w:tplc="309AF49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F0B6D"/>
    <w:multiLevelType w:val="hybridMultilevel"/>
    <w:tmpl w:val="DE24C088"/>
    <w:lvl w:ilvl="0" w:tplc="B4E8B97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2DA5C00"/>
    <w:multiLevelType w:val="hybridMultilevel"/>
    <w:tmpl w:val="11322CB4"/>
    <w:lvl w:ilvl="0" w:tplc="3956053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FF429A"/>
    <w:multiLevelType w:val="hybridMultilevel"/>
    <w:tmpl w:val="EEC2094C"/>
    <w:lvl w:ilvl="0" w:tplc="09544068">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15D53C40"/>
    <w:multiLevelType w:val="hybridMultilevel"/>
    <w:tmpl w:val="BC9407A8"/>
    <w:lvl w:ilvl="0" w:tplc="1E7262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3B03CF"/>
    <w:multiLevelType w:val="multilevel"/>
    <w:tmpl w:val="B5A2B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921C57"/>
    <w:multiLevelType w:val="hybridMultilevel"/>
    <w:tmpl w:val="99A48CF6"/>
    <w:lvl w:ilvl="0" w:tplc="1B5A9B1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8856F9"/>
    <w:multiLevelType w:val="hybridMultilevel"/>
    <w:tmpl w:val="D3202736"/>
    <w:lvl w:ilvl="0" w:tplc="AB20896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B7F5D"/>
    <w:multiLevelType w:val="hybridMultilevel"/>
    <w:tmpl w:val="58808E1E"/>
    <w:lvl w:ilvl="0" w:tplc="83C8F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F5981"/>
    <w:multiLevelType w:val="multilevel"/>
    <w:tmpl w:val="DDB03586"/>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666666" w:themeColor="text1" w:themeTint="99"/>
      </w:rPr>
    </w:lvl>
    <w:lvl w:ilvl="2">
      <w:start w:val="1"/>
      <w:numFmt w:val="bullet"/>
      <w:pStyle w:val="3BulletsTercero"/>
      <w:lvlText w:val="–"/>
      <w:lvlJc w:val="left"/>
      <w:pPr>
        <w:tabs>
          <w:tab w:val="num" w:pos="1021"/>
        </w:tabs>
        <w:ind w:left="1021" w:hanging="341"/>
      </w:pPr>
      <w:rPr>
        <w:rFonts w:ascii="(none)" w:hAnsi="(none)" w:hint="default"/>
        <w:color w:val="666666" w:themeColor="text1" w:themeTint="99"/>
      </w:rPr>
    </w:lvl>
    <w:lvl w:ilvl="3">
      <w:start w:val="1"/>
      <w:numFmt w:val="bullet"/>
      <w:pStyle w:val="BulletCMI"/>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2D665CDA"/>
    <w:multiLevelType w:val="hybridMultilevel"/>
    <w:tmpl w:val="14FED7DC"/>
    <w:lvl w:ilvl="0" w:tplc="A22E3C9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D6710E8"/>
    <w:multiLevelType w:val="hybridMultilevel"/>
    <w:tmpl w:val="46FA7A62"/>
    <w:lvl w:ilvl="0" w:tplc="94A6074E">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2E31404C"/>
    <w:multiLevelType w:val="hybridMultilevel"/>
    <w:tmpl w:val="5E100C46"/>
    <w:lvl w:ilvl="0" w:tplc="3F32ABC2">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4FC6651"/>
    <w:multiLevelType w:val="hybridMultilevel"/>
    <w:tmpl w:val="0C489DF8"/>
    <w:lvl w:ilvl="0" w:tplc="BB7E736A">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7A74089"/>
    <w:multiLevelType w:val="hybridMultilevel"/>
    <w:tmpl w:val="EFF89E24"/>
    <w:lvl w:ilvl="0" w:tplc="772C5A5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857FA3"/>
    <w:multiLevelType w:val="hybridMultilevel"/>
    <w:tmpl w:val="296A10F4"/>
    <w:lvl w:ilvl="0" w:tplc="A00802F2">
      <w:start w:val="1"/>
      <w:numFmt w:val="lowerLetter"/>
      <w:pStyle w:val="Titulo5DGDT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923946"/>
    <w:multiLevelType w:val="hybridMultilevel"/>
    <w:tmpl w:val="91EEFF2E"/>
    <w:lvl w:ilvl="0" w:tplc="14F6746E">
      <w:start w:val="1"/>
      <w:numFmt w:val="decimal"/>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ECE1C94"/>
    <w:multiLevelType w:val="hybridMultilevel"/>
    <w:tmpl w:val="76285C66"/>
    <w:lvl w:ilvl="0" w:tplc="2A9E65B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E5439C"/>
    <w:multiLevelType w:val="hybridMultilevel"/>
    <w:tmpl w:val="1D70C34A"/>
    <w:lvl w:ilvl="0" w:tplc="791A38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485E1C"/>
    <w:multiLevelType w:val="hybridMultilevel"/>
    <w:tmpl w:val="F2F2E2BE"/>
    <w:lvl w:ilvl="0" w:tplc="42725E12">
      <w:start w:val="1"/>
      <w:numFmt w:val="bullet"/>
      <w:pStyle w:val="Bullet4DGDTR"/>
      <w:lvlText w:val="o"/>
      <w:lvlJc w:val="left"/>
      <w:pPr>
        <w:ind w:left="178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4" w15:restartNumberingAfterBreak="0">
    <w:nsid w:val="44C02BCF"/>
    <w:multiLevelType w:val="hybridMultilevel"/>
    <w:tmpl w:val="38B62906"/>
    <w:lvl w:ilvl="0" w:tplc="55F036E4">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5" w15:restartNumberingAfterBreak="0">
    <w:nsid w:val="44F35F10"/>
    <w:multiLevelType w:val="hybridMultilevel"/>
    <w:tmpl w:val="13A6036E"/>
    <w:lvl w:ilvl="0" w:tplc="E77ACE02">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45976284"/>
    <w:multiLevelType w:val="hybridMultilevel"/>
    <w:tmpl w:val="F1F62FE2"/>
    <w:lvl w:ilvl="0" w:tplc="4950E810">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45CD09B8"/>
    <w:multiLevelType w:val="hybridMultilevel"/>
    <w:tmpl w:val="C2EECC4E"/>
    <w:lvl w:ilvl="0" w:tplc="4D726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E62559"/>
    <w:multiLevelType w:val="hybridMultilevel"/>
    <w:tmpl w:val="FB2E978A"/>
    <w:lvl w:ilvl="0" w:tplc="FB7EC0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AD626B"/>
    <w:multiLevelType w:val="hybridMultilevel"/>
    <w:tmpl w:val="EA7886B6"/>
    <w:lvl w:ilvl="0" w:tplc="68C86286">
      <w:start w:val="1"/>
      <w:numFmt w:val="upperRoman"/>
      <w:pStyle w:val="Bullet1DGDTR"/>
      <w:lvlText w:val="%1."/>
      <w:lvlJc w:val="righ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AF14AF9"/>
    <w:multiLevelType w:val="hybridMultilevel"/>
    <w:tmpl w:val="F9608040"/>
    <w:lvl w:ilvl="0" w:tplc="8CD0AB1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7D0D87"/>
    <w:multiLevelType w:val="hybridMultilevel"/>
    <w:tmpl w:val="AF5856C2"/>
    <w:lvl w:ilvl="0" w:tplc="C302AF9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F036DC"/>
    <w:multiLevelType w:val="hybridMultilevel"/>
    <w:tmpl w:val="0BA405F2"/>
    <w:lvl w:ilvl="0" w:tplc="6F766A0E">
      <w:start w:val="1"/>
      <w:numFmt w:val="upperLetter"/>
      <w:pStyle w:val="Bullet2DGDTR"/>
      <w:lvlText w:val="%1."/>
      <w:lvlJc w:val="left"/>
      <w:pPr>
        <w:ind w:left="2508" w:hanging="360"/>
      </w:p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33" w15:restartNumberingAfterBreak="0">
    <w:nsid w:val="56007D8C"/>
    <w:multiLevelType w:val="hybridMultilevel"/>
    <w:tmpl w:val="45DEAE14"/>
    <w:lvl w:ilvl="0" w:tplc="A5287EF4">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4" w15:restartNumberingAfterBreak="0">
    <w:nsid w:val="5ADD1888"/>
    <w:multiLevelType w:val="hybridMultilevel"/>
    <w:tmpl w:val="4A52A064"/>
    <w:lvl w:ilvl="0" w:tplc="B92EB68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5BCA2A23"/>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6" w15:restartNumberingAfterBreak="0">
    <w:nsid w:val="5E425911"/>
    <w:multiLevelType w:val="hybridMultilevel"/>
    <w:tmpl w:val="E80CD2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C7336D"/>
    <w:multiLevelType w:val="hybridMultilevel"/>
    <w:tmpl w:val="4D92366A"/>
    <w:lvl w:ilvl="0" w:tplc="DE0C047C">
      <w:start w:val="1"/>
      <w:numFmt w:val="ordinalText"/>
      <w:pStyle w:val="AcuerdosDGDTR"/>
      <w:lvlText w:val="%1.-"/>
      <w:lvlJc w:val="left"/>
      <w:pPr>
        <w:ind w:left="927"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B6CA2"/>
    <w:multiLevelType w:val="hybridMultilevel"/>
    <w:tmpl w:val="C02CEAB6"/>
    <w:lvl w:ilvl="0" w:tplc="FCF4C4C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164D3D"/>
    <w:multiLevelType w:val="hybridMultilevel"/>
    <w:tmpl w:val="EEC6BD90"/>
    <w:lvl w:ilvl="0" w:tplc="C73A8DA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2B80915"/>
    <w:multiLevelType w:val="hybridMultilevel"/>
    <w:tmpl w:val="6D9084A6"/>
    <w:lvl w:ilvl="0" w:tplc="466C16BE">
      <w:start w:val="1"/>
      <w:numFmt w:val="decimal"/>
      <w:pStyle w:val="FiguraDGDTR"/>
      <w:lvlText w:val="Figura %1."/>
      <w:lvlJc w:val="left"/>
      <w:pPr>
        <w:ind w:left="404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41" w15:restartNumberingAfterBreak="0">
    <w:nsid w:val="6AEA5AF6"/>
    <w:multiLevelType w:val="hybridMultilevel"/>
    <w:tmpl w:val="043492B6"/>
    <w:lvl w:ilvl="0" w:tplc="E35019F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BAF6FB3"/>
    <w:multiLevelType w:val="hybridMultilevel"/>
    <w:tmpl w:val="C3C85722"/>
    <w:lvl w:ilvl="0" w:tplc="3A1A5A2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CE65D2"/>
    <w:multiLevelType w:val="hybridMultilevel"/>
    <w:tmpl w:val="E14A5326"/>
    <w:lvl w:ilvl="0" w:tplc="312260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F12F1F"/>
    <w:multiLevelType w:val="hybridMultilevel"/>
    <w:tmpl w:val="95D46A74"/>
    <w:lvl w:ilvl="0" w:tplc="58A41A3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5" w15:restartNumberingAfterBreak="0">
    <w:nsid w:val="71DC6253"/>
    <w:multiLevelType w:val="hybridMultilevel"/>
    <w:tmpl w:val="E362B1B4"/>
    <w:lvl w:ilvl="0" w:tplc="C54EF5B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552294A"/>
    <w:multiLevelType w:val="hybridMultilevel"/>
    <w:tmpl w:val="E1725ED4"/>
    <w:lvl w:ilvl="0" w:tplc="67E63D10">
      <w:start w:val="1"/>
      <w:numFmt w:val="decimal"/>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7" w15:restartNumberingAfterBreak="0">
    <w:nsid w:val="782F65F4"/>
    <w:multiLevelType w:val="hybridMultilevel"/>
    <w:tmpl w:val="84926CC6"/>
    <w:lvl w:ilvl="0" w:tplc="53D0CA34">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AD876D3"/>
    <w:multiLevelType w:val="hybridMultilevel"/>
    <w:tmpl w:val="060C53B4"/>
    <w:lvl w:ilvl="0" w:tplc="B5D2EC5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E450FC"/>
    <w:multiLevelType w:val="hybridMultilevel"/>
    <w:tmpl w:val="716CA4EA"/>
    <w:lvl w:ilvl="0" w:tplc="35B8386C">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2"/>
  </w:num>
  <w:num w:numId="2">
    <w:abstractNumId w:val="40"/>
  </w:num>
  <w:num w:numId="3">
    <w:abstractNumId w:val="23"/>
  </w:num>
  <w:num w:numId="4">
    <w:abstractNumId w:val="29"/>
  </w:num>
  <w:num w:numId="5">
    <w:abstractNumId w:val="32"/>
  </w:num>
  <w:num w:numId="6">
    <w:abstractNumId w:val="19"/>
  </w:num>
  <w:num w:numId="7">
    <w:abstractNumId w:val="37"/>
  </w:num>
  <w:num w:numId="8">
    <w:abstractNumId w:val="35"/>
  </w:num>
  <w:num w:numId="9">
    <w:abstractNumId w:val="48"/>
  </w:num>
  <w:num w:numId="10">
    <w:abstractNumId w:val="20"/>
  </w:num>
  <w:num w:numId="11">
    <w:abstractNumId w:val="43"/>
  </w:num>
  <w:num w:numId="12">
    <w:abstractNumId w:val="28"/>
  </w:num>
  <w:num w:numId="13">
    <w:abstractNumId w:val="5"/>
  </w:num>
  <w:num w:numId="14">
    <w:abstractNumId w:val="11"/>
  </w:num>
  <w:num w:numId="15">
    <w:abstractNumId w:val="0"/>
  </w:num>
  <w:num w:numId="16">
    <w:abstractNumId w:val="14"/>
  </w:num>
  <w:num w:numId="17">
    <w:abstractNumId w:val="46"/>
  </w:num>
  <w:num w:numId="18">
    <w:abstractNumId w:val="25"/>
  </w:num>
  <w:num w:numId="19">
    <w:abstractNumId w:val="8"/>
  </w:num>
  <w:num w:numId="20">
    <w:abstractNumId w:val="12"/>
  </w:num>
  <w:num w:numId="21">
    <w:abstractNumId w:val="34"/>
  </w:num>
  <w:num w:numId="22">
    <w:abstractNumId w:val="10"/>
  </w:num>
  <w:num w:numId="23">
    <w:abstractNumId w:val="3"/>
  </w:num>
  <w:num w:numId="24">
    <w:abstractNumId w:val="45"/>
  </w:num>
  <w:num w:numId="25">
    <w:abstractNumId w:val="16"/>
  </w:num>
  <w:num w:numId="26">
    <w:abstractNumId w:val="18"/>
  </w:num>
  <w:num w:numId="27">
    <w:abstractNumId w:val="49"/>
  </w:num>
  <w:num w:numId="28">
    <w:abstractNumId w:val="6"/>
  </w:num>
  <w:num w:numId="29">
    <w:abstractNumId w:val="47"/>
  </w:num>
  <w:num w:numId="30">
    <w:abstractNumId w:val="42"/>
  </w:num>
  <w:num w:numId="31">
    <w:abstractNumId w:val="27"/>
  </w:num>
  <w:num w:numId="32">
    <w:abstractNumId w:val="1"/>
  </w:num>
  <w:num w:numId="33">
    <w:abstractNumId w:val="41"/>
  </w:num>
  <w:num w:numId="34">
    <w:abstractNumId w:val="38"/>
  </w:num>
  <w:num w:numId="35">
    <w:abstractNumId w:val="4"/>
  </w:num>
  <w:num w:numId="36">
    <w:abstractNumId w:val="17"/>
  </w:num>
  <w:num w:numId="37">
    <w:abstractNumId w:val="24"/>
  </w:num>
  <w:num w:numId="38">
    <w:abstractNumId w:val="15"/>
  </w:num>
  <w:num w:numId="39">
    <w:abstractNumId w:val="21"/>
  </w:num>
  <w:num w:numId="40">
    <w:abstractNumId w:val="31"/>
  </w:num>
  <w:num w:numId="41">
    <w:abstractNumId w:val="44"/>
  </w:num>
  <w:num w:numId="42">
    <w:abstractNumId w:val="22"/>
  </w:num>
  <w:num w:numId="43">
    <w:abstractNumId w:val="39"/>
  </w:num>
  <w:num w:numId="44">
    <w:abstractNumId w:val="7"/>
  </w:num>
  <w:num w:numId="45">
    <w:abstractNumId w:val="33"/>
  </w:num>
  <w:num w:numId="46">
    <w:abstractNumId w:val="30"/>
  </w:num>
  <w:num w:numId="47">
    <w:abstractNumId w:val="26"/>
  </w:num>
  <w:num w:numId="48">
    <w:abstractNumId w:val="9"/>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E"/>
    <w:rsid w:val="00005036"/>
    <w:rsid w:val="00005E5E"/>
    <w:rsid w:val="00012002"/>
    <w:rsid w:val="000123B1"/>
    <w:rsid w:val="000124F5"/>
    <w:rsid w:val="00014DD4"/>
    <w:rsid w:val="000158CD"/>
    <w:rsid w:val="00017188"/>
    <w:rsid w:val="00020095"/>
    <w:rsid w:val="000205CC"/>
    <w:rsid w:val="00024092"/>
    <w:rsid w:val="00024430"/>
    <w:rsid w:val="00032453"/>
    <w:rsid w:val="00044867"/>
    <w:rsid w:val="00045DFC"/>
    <w:rsid w:val="00053265"/>
    <w:rsid w:val="000562D2"/>
    <w:rsid w:val="0006157F"/>
    <w:rsid w:val="00061D7B"/>
    <w:rsid w:val="00063076"/>
    <w:rsid w:val="000641EA"/>
    <w:rsid w:val="00064ABD"/>
    <w:rsid w:val="00065323"/>
    <w:rsid w:val="00071925"/>
    <w:rsid w:val="00071AF4"/>
    <w:rsid w:val="00076030"/>
    <w:rsid w:val="000771C7"/>
    <w:rsid w:val="00081827"/>
    <w:rsid w:val="00085A63"/>
    <w:rsid w:val="000877F2"/>
    <w:rsid w:val="000905F1"/>
    <w:rsid w:val="000914C8"/>
    <w:rsid w:val="00091F5D"/>
    <w:rsid w:val="00094008"/>
    <w:rsid w:val="000940C3"/>
    <w:rsid w:val="000A1849"/>
    <w:rsid w:val="000A26EA"/>
    <w:rsid w:val="000A30B5"/>
    <w:rsid w:val="000A51CB"/>
    <w:rsid w:val="000A6777"/>
    <w:rsid w:val="000A6C84"/>
    <w:rsid w:val="000B26B4"/>
    <w:rsid w:val="000B27F3"/>
    <w:rsid w:val="000B63BC"/>
    <w:rsid w:val="000B67A0"/>
    <w:rsid w:val="000B7A0B"/>
    <w:rsid w:val="000C3AC1"/>
    <w:rsid w:val="000D1C8B"/>
    <w:rsid w:val="000D3522"/>
    <w:rsid w:val="000D45BB"/>
    <w:rsid w:val="000E0DCD"/>
    <w:rsid w:val="000E55B2"/>
    <w:rsid w:val="000E7558"/>
    <w:rsid w:val="000E76C9"/>
    <w:rsid w:val="000E793C"/>
    <w:rsid w:val="001015AD"/>
    <w:rsid w:val="00101786"/>
    <w:rsid w:val="00102B18"/>
    <w:rsid w:val="00105E3C"/>
    <w:rsid w:val="00107A67"/>
    <w:rsid w:val="0011182E"/>
    <w:rsid w:val="00114F72"/>
    <w:rsid w:val="00115497"/>
    <w:rsid w:val="001173F9"/>
    <w:rsid w:val="00120F06"/>
    <w:rsid w:val="00122A44"/>
    <w:rsid w:val="00122CD3"/>
    <w:rsid w:val="00123567"/>
    <w:rsid w:val="00125BC4"/>
    <w:rsid w:val="00126CD2"/>
    <w:rsid w:val="00130505"/>
    <w:rsid w:val="00131F16"/>
    <w:rsid w:val="00137918"/>
    <w:rsid w:val="00137CA9"/>
    <w:rsid w:val="00147EBE"/>
    <w:rsid w:val="001518EC"/>
    <w:rsid w:val="0015272E"/>
    <w:rsid w:val="00161816"/>
    <w:rsid w:val="00163122"/>
    <w:rsid w:val="00164246"/>
    <w:rsid w:val="00165279"/>
    <w:rsid w:val="00167691"/>
    <w:rsid w:val="00173F5B"/>
    <w:rsid w:val="00176B30"/>
    <w:rsid w:val="00182305"/>
    <w:rsid w:val="001845D0"/>
    <w:rsid w:val="001867BF"/>
    <w:rsid w:val="00192033"/>
    <w:rsid w:val="001927C6"/>
    <w:rsid w:val="00195DD4"/>
    <w:rsid w:val="001966FD"/>
    <w:rsid w:val="001A5514"/>
    <w:rsid w:val="001A619D"/>
    <w:rsid w:val="001B387B"/>
    <w:rsid w:val="001B6E9D"/>
    <w:rsid w:val="001B7AD3"/>
    <w:rsid w:val="001C21B7"/>
    <w:rsid w:val="001C5B03"/>
    <w:rsid w:val="001C6813"/>
    <w:rsid w:val="001C72A3"/>
    <w:rsid w:val="001D35A8"/>
    <w:rsid w:val="001D3CD7"/>
    <w:rsid w:val="001D610A"/>
    <w:rsid w:val="001E62F4"/>
    <w:rsid w:val="001E6FF7"/>
    <w:rsid w:val="001E7263"/>
    <w:rsid w:val="001E74AB"/>
    <w:rsid w:val="001F7884"/>
    <w:rsid w:val="00216325"/>
    <w:rsid w:val="00216F36"/>
    <w:rsid w:val="00217BA5"/>
    <w:rsid w:val="002232FF"/>
    <w:rsid w:val="00223577"/>
    <w:rsid w:val="00224DE4"/>
    <w:rsid w:val="0023096E"/>
    <w:rsid w:val="00231870"/>
    <w:rsid w:val="00233209"/>
    <w:rsid w:val="00235E3B"/>
    <w:rsid w:val="00243DB1"/>
    <w:rsid w:val="0024460A"/>
    <w:rsid w:val="002450BF"/>
    <w:rsid w:val="00247206"/>
    <w:rsid w:val="00253498"/>
    <w:rsid w:val="00254613"/>
    <w:rsid w:val="00257757"/>
    <w:rsid w:val="00257D2E"/>
    <w:rsid w:val="00261ACA"/>
    <w:rsid w:val="00266BAC"/>
    <w:rsid w:val="0027318F"/>
    <w:rsid w:val="0027791C"/>
    <w:rsid w:val="00281094"/>
    <w:rsid w:val="0028228A"/>
    <w:rsid w:val="00286739"/>
    <w:rsid w:val="0029631A"/>
    <w:rsid w:val="00297D0D"/>
    <w:rsid w:val="00297FFC"/>
    <w:rsid w:val="002A0856"/>
    <w:rsid w:val="002B1750"/>
    <w:rsid w:val="002B317B"/>
    <w:rsid w:val="002B3235"/>
    <w:rsid w:val="002B603E"/>
    <w:rsid w:val="002B629E"/>
    <w:rsid w:val="002B7349"/>
    <w:rsid w:val="002B75EB"/>
    <w:rsid w:val="002C2952"/>
    <w:rsid w:val="002C5045"/>
    <w:rsid w:val="002C5624"/>
    <w:rsid w:val="002C7476"/>
    <w:rsid w:val="002D2A83"/>
    <w:rsid w:val="002D5745"/>
    <w:rsid w:val="002D61C1"/>
    <w:rsid w:val="002E1FB0"/>
    <w:rsid w:val="002E4825"/>
    <w:rsid w:val="002F455A"/>
    <w:rsid w:val="002F60E9"/>
    <w:rsid w:val="002F7376"/>
    <w:rsid w:val="00303631"/>
    <w:rsid w:val="00304579"/>
    <w:rsid w:val="00307AE4"/>
    <w:rsid w:val="00313689"/>
    <w:rsid w:val="00314515"/>
    <w:rsid w:val="00324340"/>
    <w:rsid w:val="00331848"/>
    <w:rsid w:val="00332C35"/>
    <w:rsid w:val="00341692"/>
    <w:rsid w:val="00343CC6"/>
    <w:rsid w:val="00343E68"/>
    <w:rsid w:val="0034706D"/>
    <w:rsid w:val="0034732F"/>
    <w:rsid w:val="00350324"/>
    <w:rsid w:val="003510D2"/>
    <w:rsid w:val="00351AE0"/>
    <w:rsid w:val="0035300E"/>
    <w:rsid w:val="003558B7"/>
    <w:rsid w:val="00357206"/>
    <w:rsid w:val="00357C47"/>
    <w:rsid w:val="00374FD1"/>
    <w:rsid w:val="00375CDE"/>
    <w:rsid w:val="003830B4"/>
    <w:rsid w:val="0039023A"/>
    <w:rsid w:val="00392C14"/>
    <w:rsid w:val="00396B0B"/>
    <w:rsid w:val="00397127"/>
    <w:rsid w:val="003A289C"/>
    <w:rsid w:val="003A3432"/>
    <w:rsid w:val="003B0729"/>
    <w:rsid w:val="003B2630"/>
    <w:rsid w:val="003B7BD6"/>
    <w:rsid w:val="003B7DC3"/>
    <w:rsid w:val="003C0EE8"/>
    <w:rsid w:val="003C0FF8"/>
    <w:rsid w:val="003C1968"/>
    <w:rsid w:val="003C3290"/>
    <w:rsid w:val="003C5778"/>
    <w:rsid w:val="003D136D"/>
    <w:rsid w:val="003D1CD3"/>
    <w:rsid w:val="003D22CA"/>
    <w:rsid w:val="003D7863"/>
    <w:rsid w:val="003E0B33"/>
    <w:rsid w:val="003E1DD1"/>
    <w:rsid w:val="003E5A5F"/>
    <w:rsid w:val="003E6CF3"/>
    <w:rsid w:val="003F0BF3"/>
    <w:rsid w:val="003F21C8"/>
    <w:rsid w:val="003F2E8E"/>
    <w:rsid w:val="00400A3F"/>
    <w:rsid w:val="004031E5"/>
    <w:rsid w:val="00410FF6"/>
    <w:rsid w:val="00414EA0"/>
    <w:rsid w:val="004211D3"/>
    <w:rsid w:val="00422341"/>
    <w:rsid w:val="00423F7E"/>
    <w:rsid w:val="00432002"/>
    <w:rsid w:val="004353D0"/>
    <w:rsid w:val="00436054"/>
    <w:rsid w:val="00437ECE"/>
    <w:rsid w:val="00440953"/>
    <w:rsid w:val="00440AFF"/>
    <w:rsid w:val="004527EA"/>
    <w:rsid w:val="00452F54"/>
    <w:rsid w:val="00453131"/>
    <w:rsid w:val="004537CB"/>
    <w:rsid w:val="00462005"/>
    <w:rsid w:val="004622ED"/>
    <w:rsid w:val="0046399F"/>
    <w:rsid w:val="004678F2"/>
    <w:rsid w:val="00470981"/>
    <w:rsid w:val="004744CE"/>
    <w:rsid w:val="00474DAA"/>
    <w:rsid w:val="0047623F"/>
    <w:rsid w:val="00490D0B"/>
    <w:rsid w:val="004A3999"/>
    <w:rsid w:val="004A66F2"/>
    <w:rsid w:val="004A7880"/>
    <w:rsid w:val="004B148D"/>
    <w:rsid w:val="004C0061"/>
    <w:rsid w:val="004C30C3"/>
    <w:rsid w:val="004C39AD"/>
    <w:rsid w:val="004C4929"/>
    <w:rsid w:val="004C569E"/>
    <w:rsid w:val="004D0AFA"/>
    <w:rsid w:val="004D2D4F"/>
    <w:rsid w:val="004D2EF0"/>
    <w:rsid w:val="004D469D"/>
    <w:rsid w:val="004D5EEE"/>
    <w:rsid w:val="004E0656"/>
    <w:rsid w:val="004E2247"/>
    <w:rsid w:val="004E23B9"/>
    <w:rsid w:val="0050195D"/>
    <w:rsid w:val="00504C1D"/>
    <w:rsid w:val="00505A5C"/>
    <w:rsid w:val="005069FD"/>
    <w:rsid w:val="00507F1C"/>
    <w:rsid w:val="00512982"/>
    <w:rsid w:val="00513B1B"/>
    <w:rsid w:val="00516197"/>
    <w:rsid w:val="00516B92"/>
    <w:rsid w:val="00526B1F"/>
    <w:rsid w:val="005319D4"/>
    <w:rsid w:val="00532198"/>
    <w:rsid w:val="005330E4"/>
    <w:rsid w:val="00533CDE"/>
    <w:rsid w:val="00535870"/>
    <w:rsid w:val="005438A5"/>
    <w:rsid w:val="0054458B"/>
    <w:rsid w:val="00545E62"/>
    <w:rsid w:val="00552108"/>
    <w:rsid w:val="00552DA7"/>
    <w:rsid w:val="005535BC"/>
    <w:rsid w:val="0055594D"/>
    <w:rsid w:val="00556387"/>
    <w:rsid w:val="005640FF"/>
    <w:rsid w:val="00570AE2"/>
    <w:rsid w:val="00571064"/>
    <w:rsid w:val="005735BB"/>
    <w:rsid w:val="0057626A"/>
    <w:rsid w:val="00583972"/>
    <w:rsid w:val="005860F7"/>
    <w:rsid w:val="005917D1"/>
    <w:rsid w:val="00591DC2"/>
    <w:rsid w:val="00597B3C"/>
    <w:rsid w:val="005A54D3"/>
    <w:rsid w:val="005A568D"/>
    <w:rsid w:val="005B3CFD"/>
    <w:rsid w:val="005B63E5"/>
    <w:rsid w:val="005C1E59"/>
    <w:rsid w:val="005C1F94"/>
    <w:rsid w:val="005C21B5"/>
    <w:rsid w:val="005C3C07"/>
    <w:rsid w:val="005D19D2"/>
    <w:rsid w:val="005D1BBA"/>
    <w:rsid w:val="005D3781"/>
    <w:rsid w:val="005D3C8B"/>
    <w:rsid w:val="005D4E32"/>
    <w:rsid w:val="005D4F02"/>
    <w:rsid w:val="005E199E"/>
    <w:rsid w:val="005E2060"/>
    <w:rsid w:val="005E6445"/>
    <w:rsid w:val="005F22D1"/>
    <w:rsid w:val="005F2E16"/>
    <w:rsid w:val="005F3C58"/>
    <w:rsid w:val="005F4820"/>
    <w:rsid w:val="0060032F"/>
    <w:rsid w:val="00605790"/>
    <w:rsid w:val="00605B4F"/>
    <w:rsid w:val="006067FB"/>
    <w:rsid w:val="00610660"/>
    <w:rsid w:val="00610F81"/>
    <w:rsid w:val="006115F2"/>
    <w:rsid w:val="00621995"/>
    <w:rsid w:val="00621AAC"/>
    <w:rsid w:val="00621C12"/>
    <w:rsid w:val="006223EB"/>
    <w:rsid w:val="0062539B"/>
    <w:rsid w:val="0062728D"/>
    <w:rsid w:val="006321F8"/>
    <w:rsid w:val="00634DC4"/>
    <w:rsid w:val="00640EA3"/>
    <w:rsid w:val="00641F2C"/>
    <w:rsid w:val="006428B7"/>
    <w:rsid w:val="00642FA6"/>
    <w:rsid w:val="00645412"/>
    <w:rsid w:val="006504C0"/>
    <w:rsid w:val="0065102F"/>
    <w:rsid w:val="006529AD"/>
    <w:rsid w:val="00653ED1"/>
    <w:rsid w:val="00660532"/>
    <w:rsid w:val="006611F6"/>
    <w:rsid w:val="0066325D"/>
    <w:rsid w:val="00664774"/>
    <w:rsid w:val="006713B4"/>
    <w:rsid w:val="00673AFC"/>
    <w:rsid w:val="006775EC"/>
    <w:rsid w:val="006812AB"/>
    <w:rsid w:val="006812B4"/>
    <w:rsid w:val="006813C8"/>
    <w:rsid w:val="00682384"/>
    <w:rsid w:val="006851FF"/>
    <w:rsid w:val="006950BC"/>
    <w:rsid w:val="006956E3"/>
    <w:rsid w:val="006A41E4"/>
    <w:rsid w:val="006A4D4A"/>
    <w:rsid w:val="006B0C6D"/>
    <w:rsid w:val="006B75C0"/>
    <w:rsid w:val="006C2894"/>
    <w:rsid w:val="006C31CA"/>
    <w:rsid w:val="006C4145"/>
    <w:rsid w:val="006C45A5"/>
    <w:rsid w:val="006C5E8B"/>
    <w:rsid w:val="006C73CF"/>
    <w:rsid w:val="006C7604"/>
    <w:rsid w:val="006D0E43"/>
    <w:rsid w:val="006D1EBC"/>
    <w:rsid w:val="006D343A"/>
    <w:rsid w:val="006E530C"/>
    <w:rsid w:val="006E58A0"/>
    <w:rsid w:val="006F57C6"/>
    <w:rsid w:val="006F726B"/>
    <w:rsid w:val="00703421"/>
    <w:rsid w:val="0070408D"/>
    <w:rsid w:val="00705048"/>
    <w:rsid w:val="007058A0"/>
    <w:rsid w:val="007068A7"/>
    <w:rsid w:val="00710F2B"/>
    <w:rsid w:val="007117E0"/>
    <w:rsid w:val="00714BCA"/>
    <w:rsid w:val="00714E09"/>
    <w:rsid w:val="0071503C"/>
    <w:rsid w:val="00723254"/>
    <w:rsid w:val="00723978"/>
    <w:rsid w:val="007248D0"/>
    <w:rsid w:val="00732163"/>
    <w:rsid w:val="007363A8"/>
    <w:rsid w:val="00737E14"/>
    <w:rsid w:val="0074190B"/>
    <w:rsid w:val="007526B1"/>
    <w:rsid w:val="00755DD8"/>
    <w:rsid w:val="00757768"/>
    <w:rsid w:val="007600B1"/>
    <w:rsid w:val="00760C3B"/>
    <w:rsid w:val="0076261E"/>
    <w:rsid w:val="00763038"/>
    <w:rsid w:val="00765A04"/>
    <w:rsid w:val="00766AA0"/>
    <w:rsid w:val="00767EE1"/>
    <w:rsid w:val="00772E55"/>
    <w:rsid w:val="00775E93"/>
    <w:rsid w:val="00776568"/>
    <w:rsid w:val="00784102"/>
    <w:rsid w:val="007845FD"/>
    <w:rsid w:val="007875FC"/>
    <w:rsid w:val="00791D71"/>
    <w:rsid w:val="00794B45"/>
    <w:rsid w:val="00795712"/>
    <w:rsid w:val="00795C13"/>
    <w:rsid w:val="00796EEC"/>
    <w:rsid w:val="007977DB"/>
    <w:rsid w:val="007A04E3"/>
    <w:rsid w:val="007A1A9A"/>
    <w:rsid w:val="007A2576"/>
    <w:rsid w:val="007A2985"/>
    <w:rsid w:val="007A2ABA"/>
    <w:rsid w:val="007A5D42"/>
    <w:rsid w:val="007B4BBB"/>
    <w:rsid w:val="007B66CA"/>
    <w:rsid w:val="007B7A84"/>
    <w:rsid w:val="007C0A72"/>
    <w:rsid w:val="007C19F3"/>
    <w:rsid w:val="007D1772"/>
    <w:rsid w:val="007D5C9C"/>
    <w:rsid w:val="007D6CEF"/>
    <w:rsid w:val="007E2418"/>
    <w:rsid w:val="007F0476"/>
    <w:rsid w:val="007F194C"/>
    <w:rsid w:val="007F567D"/>
    <w:rsid w:val="00801C52"/>
    <w:rsid w:val="008044A8"/>
    <w:rsid w:val="008115CD"/>
    <w:rsid w:val="00815F09"/>
    <w:rsid w:val="0082015D"/>
    <w:rsid w:val="0082180C"/>
    <w:rsid w:val="00821B26"/>
    <w:rsid w:val="00823911"/>
    <w:rsid w:val="00827206"/>
    <w:rsid w:val="008314D5"/>
    <w:rsid w:val="00835D2D"/>
    <w:rsid w:val="00840F74"/>
    <w:rsid w:val="008448FB"/>
    <w:rsid w:val="00847140"/>
    <w:rsid w:val="00853FAE"/>
    <w:rsid w:val="00864293"/>
    <w:rsid w:val="008725DD"/>
    <w:rsid w:val="0087710B"/>
    <w:rsid w:val="008819FD"/>
    <w:rsid w:val="00883945"/>
    <w:rsid w:val="00885DC0"/>
    <w:rsid w:val="008943ED"/>
    <w:rsid w:val="0089483E"/>
    <w:rsid w:val="008963A9"/>
    <w:rsid w:val="008963EA"/>
    <w:rsid w:val="008A0F25"/>
    <w:rsid w:val="008A526A"/>
    <w:rsid w:val="008A72F9"/>
    <w:rsid w:val="008B146A"/>
    <w:rsid w:val="008B3895"/>
    <w:rsid w:val="008B647B"/>
    <w:rsid w:val="008B6B47"/>
    <w:rsid w:val="008C071A"/>
    <w:rsid w:val="008C1A93"/>
    <w:rsid w:val="008C77E5"/>
    <w:rsid w:val="008D0698"/>
    <w:rsid w:val="008D658C"/>
    <w:rsid w:val="008D6803"/>
    <w:rsid w:val="008D73AA"/>
    <w:rsid w:val="008E5474"/>
    <w:rsid w:val="008F09FE"/>
    <w:rsid w:val="008F1FBB"/>
    <w:rsid w:val="008F3C57"/>
    <w:rsid w:val="008F7D72"/>
    <w:rsid w:val="008F7F73"/>
    <w:rsid w:val="0090236A"/>
    <w:rsid w:val="00905032"/>
    <w:rsid w:val="00905111"/>
    <w:rsid w:val="00906BF4"/>
    <w:rsid w:val="00910546"/>
    <w:rsid w:val="00915FBF"/>
    <w:rsid w:val="009166DA"/>
    <w:rsid w:val="009169B2"/>
    <w:rsid w:val="0091725A"/>
    <w:rsid w:val="0092148B"/>
    <w:rsid w:val="0092531E"/>
    <w:rsid w:val="00927D94"/>
    <w:rsid w:val="00932279"/>
    <w:rsid w:val="00940090"/>
    <w:rsid w:val="00940467"/>
    <w:rsid w:val="00950687"/>
    <w:rsid w:val="00950D99"/>
    <w:rsid w:val="00953B96"/>
    <w:rsid w:val="00954080"/>
    <w:rsid w:val="009629C7"/>
    <w:rsid w:val="00970A3B"/>
    <w:rsid w:val="00970D7A"/>
    <w:rsid w:val="00971954"/>
    <w:rsid w:val="00976605"/>
    <w:rsid w:val="0097759F"/>
    <w:rsid w:val="00980450"/>
    <w:rsid w:val="00980822"/>
    <w:rsid w:val="009809B7"/>
    <w:rsid w:val="0098234E"/>
    <w:rsid w:val="009827A6"/>
    <w:rsid w:val="009836EC"/>
    <w:rsid w:val="00985624"/>
    <w:rsid w:val="00987EC6"/>
    <w:rsid w:val="00992693"/>
    <w:rsid w:val="009931EC"/>
    <w:rsid w:val="00993CFD"/>
    <w:rsid w:val="009A4E94"/>
    <w:rsid w:val="009B1BD6"/>
    <w:rsid w:val="009B2969"/>
    <w:rsid w:val="009B376E"/>
    <w:rsid w:val="009C2693"/>
    <w:rsid w:val="009C62CA"/>
    <w:rsid w:val="009C6C5E"/>
    <w:rsid w:val="009C6F66"/>
    <w:rsid w:val="009C7FE9"/>
    <w:rsid w:val="009D0706"/>
    <w:rsid w:val="009D1BAE"/>
    <w:rsid w:val="009D344B"/>
    <w:rsid w:val="009D764F"/>
    <w:rsid w:val="009E0977"/>
    <w:rsid w:val="009E36FD"/>
    <w:rsid w:val="009E4E13"/>
    <w:rsid w:val="009E68DC"/>
    <w:rsid w:val="009E7D64"/>
    <w:rsid w:val="009F3893"/>
    <w:rsid w:val="00A005D3"/>
    <w:rsid w:val="00A00A84"/>
    <w:rsid w:val="00A16DFE"/>
    <w:rsid w:val="00A1736A"/>
    <w:rsid w:val="00A20C9B"/>
    <w:rsid w:val="00A26E5E"/>
    <w:rsid w:val="00A31716"/>
    <w:rsid w:val="00A36604"/>
    <w:rsid w:val="00A367F7"/>
    <w:rsid w:val="00A41D27"/>
    <w:rsid w:val="00A444A8"/>
    <w:rsid w:val="00A4655C"/>
    <w:rsid w:val="00A5016A"/>
    <w:rsid w:val="00A56891"/>
    <w:rsid w:val="00A571BD"/>
    <w:rsid w:val="00A62445"/>
    <w:rsid w:val="00A6468D"/>
    <w:rsid w:val="00A65617"/>
    <w:rsid w:val="00A73F4A"/>
    <w:rsid w:val="00A77D95"/>
    <w:rsid w:val="00A8452B"/>
    <w:rsid w:val="00A855EE"/>
    <w:rsid w:val="00A86E09"/>
    <w:rsid w:val="00A912D7"/>
    <w:rsid w:val="00A94CAD"/>
    <w:rsid w:val="00A94E31"/>
    <w:rsid w:val="00A94FDA"/>
    <w:rsid w:val="00AA1B81"/>
    <w:rsid w:val="00AA4900"/>
    <w:rsid w:val="00AB00C0"/>
    <w:rsid w:val="00AB315D"/>
    <w:rsid w:val="00AB31F8"/>
    <w:rsid w:val="00AB49AC"/>
    <w:rsid w:val="00AC25EC"/>
    <w:rsid w:val="00AC4D95"/>
    <w:rsid w:val="00AC7BD7"/>
    <w:rsid w:val="00AD0D3D"/>
    <w:rsid w:val="00AD1D18"/>
    <w:rsid w:val="00AD239B"/>
    <w:rsid w:val="00AD435F"/>
    <w:rsid w:val="00AD550B"/>
    <w:rsid w:val="00AD5AB9"/>
    <w:rsid w:val="00AE1EE0"/>
    <w:rsid w:val="00AE62E3"/>
    <w:rsid w:val="00AF55A3"/>
    <w:rsid w:val="00AF5C91"/>
    <w:rsid w:val="00B01E54"/>
    <w:rsid w:val="00B01F4B"/>
    <w:rsid w:val="00B035DA"/>
    <w:rsid w:val="00B117A0"/>
    <w:rsid w:val="00B12423"/>
    <w:rsid w:val="00B16FEE"/>
    <w:rsid w:val="00B17776"/>
    <w:rsid w:val="00B22201"/>
    <w:rsid w:val="00B24D5C"/>
    <w:rsid w:val="00B313B4"/>
    <w:rsid w:val="00B31A60"/>
    <w:rsid w:val="00B3318E"/>
    <w:rsid w:val="00B36BFE"/>
    <w:rsid w:val="00B4475D"/>
    <w:rsid w:val="00B459D5"/>
    <w:rsid w:val="00B46375"/>
    <w:rsid w:val="00B552DD"/>
    <w:rsid w:val="00B57302"/>
    <w:rsid w:val="00B66713"/>
    <w:rsid w:val="00B747A1"/>
    <w:rsid w:val="00B804F5"/>
    <w:rsid w:val="00B84810"/>
    <w:rsid w:val="00B8734E"/>
    <w:rsid w:val="00B92B5A"/>
    <w:rsid w:val="00B93D86"/>
    <w:rsid w:val="00B94CC3"/>
    <w:rsid w:val="00BA65C5"/>
    <w:rsid w:val="00BB1CDF"/>
    <w:rsid w:val="00BB4477"/>
    <w:rsid w:val="00BC43A9"/>
    <w:rsid w:val="00BC5BFD"/>
    <w:rsid w:val="00BC7538"/>
    <w:rsid w:val="00BD08CA"/>
    <w:rsid w:val="00BD37E6"/>
    <w:rsid w:val="00BE3E6F"/>
    <w:rsid w:val="00BE4CF1"/>
    <w:rsid w:val="00BE75C2"/>
    <w:rsid w:val="00BF034B"/>
    <w:rsid w:val="00BF228E"/>
    <w:rsid w:val="00C151A0"/>
    <w:rsid w:val="00C163A7"/>
    <w:rsid w:val="00C17CFD"/>
    <w:rsid w:val="00C2008F"/>
    <w:rsid w:val="00C21CFE"/>
    <w:rsid w:val="00C21E4B"/>
    <w:rsid w:val="00C25EF4"/>
    <w:rsid w:val="00C274C3"/>
    <w:rsid w:val="00C40FFF"/>
    <w:rsid w:val="00C54CEF"/>
    <w:rsid w:val="00C55544"/>
    <w:rsid w:val="00C55D29"/>
    <w:rsid w:val="00C64A46"/>
    <w:rsid w:val="00C7188A"/>
    <w:rsid w:val="00C81E94"/>
    <w:rsid w:val="00C90B48"/>
    <w:rsid w:val="00C9173D"/>
    <w:rsid w:val="00CA2FFC"/>
    <w:rsid w:val="00CA3363"/>
    <w:rsid w:val="00CA3ABC"/>
    <w:rsid w:val="00CA46A9"/>
    <w:rsid w:val="00CA53E9"/>
    <w:rsid w:val="00CA5571"/>
    <w:rsid w:val="00CA789C"/>
    <w:rsid w:val="00CB2294"/>
    <w:rsid w:val="00CB23D1"/>
    <w:rsid w:val="00CB315E"/>
    <w:rsid w:val="00CB3CCB"/>
    <w:rsid w:val="00CB54A7"/>
    <w:rsid w:val="00CC438C"/>
    <w:rsid w:val="00CD22A0"/>
    <w:rsid w:val="00CD58BA"/>
    <w:rsid w:val="00CE6620"/>
    <w:rsid w:val="00CF07AF"/>
    <w:rsid w:val="00D0049A"/>
    <w:rsid w:val="00D056E6"/>
    <w:rsid w:val="00D065A9"/>
    <w:rsid w:val="00D06B97"/>
    <w:rsid w:val="00D1525F"/>
    <w:rsid w:val="00D16AAC"/>
    <w:rsid w:val="00D17132"/>
    <w:rsid w:val="00D219F4"/>
    <w:rsid w:val="00D220C8"/>
    <w:rsid w:val="00D22C44"/>
    <w:rsid w:val="00D23FC9"/>
    <w:rsid w:val="00D25C4D"/>
    <w:rsid w:val="00D275E0"/>
    <w:rsid w:val="00D32ABD"/>
    <w:rsid w:val="00D351DA"/>
    <w:rsid w:val="00D35A8B"/>
    <w:rsid w:val="00D4752F"/>
    <w:rsid w:val="00D476C3"/>
    <w:rsid w:val="00D510FB"/>
    <w:rsid w:val="00D51BF3"/>
    <w:rsid w:val="00D51D96"/>
    <w:rsid w:val="00D56322"/>
    <w:rsid w:val="00D602A9"/>
    <w:rsid w:val="00D62809"/>
    <w:rsid w:val="00D63FEE"/>
    <w:rsid w:val="00D65B87"/>
    <w:rsid w:val="00D706D4"/>
    <w:rsid w:val="00D71900"/>
    <w:rsid w:val="00D727A4"/>
    <w:rsid w:val="00D727CC"/>
    <w:rsid w:val="00D8103C"/>
    <w:rsid w:val="00D84834"/>
    <w:rsid w:val="00D86D72"/>
    <w:rsid w:val="00D90296"/>
    <w:rsid w:val="00DA1393"/>
    <w:rsid w:val="00DA1E3F"/>
    <w:rsid w:val="00DA2AE1"/>
    <w:rsid w:val="00DA3A0C"/>
    <w:rsid w:val="00DA3B9C"/>
    <w:rsid w:val="00DA5BC1"/>
    <w:rsid w:val="00DB1B89"/>
    <w:rsid w:val="00DB76DE"/>
    <w:rsid w:val="00DC4B86"/>
    <w:rsid w:val="00DC6CDE"/>
    <w:rsid w:val="00DC7FF9"/>
    <w:rsid w:val="00DD2A57"/>
    <w:rsid w:val="00DD5CFA"/>
    <w:rsid w:val="00DD7F08"/>
    <w:rsid w:val="00DE04A8"/>
    <w:rsid w:val="00DE5F37"/>
    <w:rsid w:val="00DE5FC8"/>
    <w:rsid w:val="00DF02C3"/>
    <w:rsid w:val="00DF6127"/>
    <w:rsid w:val="00E00BC8"/>
    <w:rsid w:val="00E06056"/>
    <w:rsid w:val="00E10744"/>
    <w:rsid w:val="00E121F7"/>
    <w:rsid w:val="00E16540"/>
    <w:rsid w:val="00E167FC"/>
    <w:rsid w:val="00E21A9C"/>
    <w:rsid w:val="00E21FD8"/>
    <w:rsid w:val="00E2220D"/>
    <w:rsid w:val="00E265B2"/>
    <w:rsid w:val="00E302F7"/>
    <w:rsid w:val="00E3041B"/>
    <w:rsid w:val="00E323E6"/>
    <w:rsid w:val="00E3555D"/>
    <w:rsid w:val="00E36EDE"/>
    <w:rsid w:val="00E404D9"/>
    <w:rsid w:val="00E42DE4"/>
    <w:rsid w:val="00E44B8D"/>
    <w:rsid w:val="00E544D1"/>
    <w:rsid w:val="00E5530A"/>
    <w:rsid w:val="00E60A6A"/>
    <w:rsid w:val="00E61C19"/>
    <w:rsid w:val="00E61EA9"/>
    <w:rsid w:val="00E6718A"/>
    <w:rsid w:val="00E75BEE"/>
    <w:rsid w:val="00E76586"/>
    <w:rsid w:val="00E766CD"/>
    <w:rsid w:val="00E77D97"/>
    <w:rsid w:val="00E84474"/>
    <w:rsid w:val="00E86268"/>
    <w:rsid w:val="00E867A4"/>
    <w:rsid w:val="00E8726F"/>
    <w:rsid w:val="00E90788"/>
    <w:rsid w:val="00E91456"/>
    <w:rsid w:val="00E94580"/>
    <w:rsid w:val="00E949AE"/>
    <w:rsid w:val="00E9545E"/>
    <w:rsid w:val="00E96459"/>
    <w:rsid w:val="00E968E9"/>
    <w:rsid w:val="00E970A1"/>
    <w:rsid w:val="00EA4618"/>
    <w:rsid w:val="00EA6F61"/>
    <w:rsid w:val="00EB080C"/>
    <w:rsid w:val="00EB38E9"/>
    <w:rsid w:val="00EB4B3E"/>
    <w:rsid w:val="00EB5C7F"/>
    <w:rsid w:val="00EB7643"/>
    <w:rsid w:val="00EC22CB"/>
    <w:rsid w:val="00ED1365"/>
    <w:rsid w:val="00ED20D7"/>
    <w:rsid w:val="00ED3ABE"/>
    <w:rsid w:val="00ED5737"/>
    <w:rsid w:val="00EF222B"/>
    <w:rsid w:val="00EF2255"/>
    <w:rsid w:val="00F00E7A"/>
    <w:rsid w:val="00F105F4"/>
    <w:rsid w:val="00F1081B"/>
    <w:rsid w:val="00F177A5"/>
    <w:rsid w:val="00F2437E"/>
    <w:rsid w:val="00F24B1C"/>
    <w:rsid w:val="00F35C2E"/>
    <w:rsid w:val="00F36694"/>
    <w:rsid w:val="00F370DF"/>
    <w:rsid w:val="00F41A7C"/>
    <w:rsid w:val="00F42D22"/>
    <w:rsid w:val="00F43090"/>
    <w:rsid w:val="00F50F6A"/>
    <w:rsid w:val="00F52243"/>
    <w:rsid w:val="00F55E2F"/>
    <w:rsid w:val="00F61468"/>
    <w:rsid w:val="00F61572"/>
    <w:rsid w:val="00F62F66"/>
    <w:rsid w:val="00F63AAC"/>
    <w:rsid w:val="00F64F14"/>
    <w:rsid w:val="00F73E18"/>
    <w:rsid w:val="00F916A6"/>
    <w:rsid w:val="00F91A64"/>
    <w:rsid w:val="00F92F2F"/>
    <w:rsid w:val="00FA0CF5"/>
    <w:rsid w:val="00FB0A75"/>
    <w:rsid w:val="00FB109D"/>
    <w:rsid w:val="00FB31E8"/>
    <w:rsid w:val="00FC1C16"/>
    <w:rsid w:val="00FD121F"/>
    <w:rsid w:val="00FD627F"/>
    <w:rsid w:val="00FD62DA"/>
    <w:rsid w:val="00FD6CEA"/>
    <w:rsid w:val="00FD7716"/>
    <w:rsid w:val="00FE3A8B"/>
    <w:rsid w:val="00FF386E"/>
    <w:rsid w:val="00FF439D"/>
    <w:rsid w:val="00FF7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B512"/>
  <w15:chartTrackingRefBased/>
  <w15:docId w15:val="{D285E346-074A-46C7-A717-C4A6C1D6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uiPriority="0"/>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ocked/>
  </w:style>
  <w:style w:type="paragraph" w:styleId="Ttulo1">
    <w:name w:val="heading 1"/>
    <w:aliases w:val="Titulo 2 DGDTR"/>
    <w:basedOn w:val="NormalDGDTR"/>
    <w:next w:val="NormalDGDTR"/>
    <w:link w:val="Ttulo1Car"/>
    <w:uiPriority w:val="9"/>
    <w:qFormat/>
    <w:rsid w:val="00533CDE"/>
    <w:pPr>
      <w:keepNext/>
      <w:keepLines/>
      <w:spacing w:before="160" w:line="240" w:lineRule="auto"/>
      <w:jc w:val="center"/>
      <w:outlineLvl w:val="0"/>
    </w:pPr>
    <w:rPr>
      <w:rFonts w:eastAsiaTheme="majorEastAsia" w:cstheme="majorBidi"/>
      <w:b/>
      <w:bCs/>
      <w:smallCaps/>
      <w:szCs w:val="36"/>
    </w:rPr>
  </w:style>
  <w:style w:type="paragraph" w:styleId="Ttulo2">
    <w:name w:val="heading 2"/>
    <w:aliases w:val="Titulo 3 DGDTR"/>
    <w:basedOn w:val="NormalDGDTR"/>
    <w:next w:val="Titulo4DGDTR"/>
    <w:link w:val="Ttulo2Car"/>
    <w:uiPriority w:val="9"/>
    <w:unhideWhenUsed/>
    <w:qFormat/>
    <w:rsid w:val="00CB54A7"/>
    <w:pPr>
      <w:keepNext/>
      <w:keepLines/>
      <w:spacing w:before="160" w:line="240" w:lineRule="auto"/>
      <w:ind w:left="567" w:hanging="526"/>
      <w:outlineLvl w:val="1"/>
    </w:pPr>
    <w:rPr>
      <w:rFonts w:eastAsiaTheme="majorEastAsia" w:cstheme="majorBidi"/>
      <w:b/>
      <w:szCs w:val="28"/>
      <w14:scene3d>
        <w14:camera w14:prst="orthographicFront"/>
        <w14:lightRig w14:rig="threePt" w14:dir="t">
          <w14:rot w14:lat="0" w14:lon="0" w14:rev="0"/>
        </w14:lightRig>
      </w14:scene3d>
    </w:rPr>
  </w:style>
  <w:style w:type="paragraph" w:styleId="Ttulo6">
    <w:name w:val="heading 6"/>
    <w:basedOn w:val="Normal"/>
    <w:next w:val="Normal"/>
    <w:link w:val="Ttulo6Car"/>
    <w:uiPriority w:val="9"/>
    <w:semiHidden/>
    <w:unhideWhenUsed/>
    <w:qFormat/>
    <w:locked/>
    <w:rsid w:val="008239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rsid w:val="00533CDE"/>
    <w:rPr>
      <w:i/>
      <w:iCs/>
    </w:rPr>
  </w:style>
  <w:style w:type="paragraph" w:customStyle="1" w:styleId="Titulo1DGDTR">
    <w:name w:val="Titulo 1 DGDTR"/>
    <w:basedOn w:val="NormalDGDTR"/>
    <w:next w:val="NormalDGDTR"/>
    <w:qFormat/>
    <w:rsid w:val="00A56891"/>
    <w:pPr>
      <w:widowControl w:val="0"/>
      <w:spacing w:after="120" w:line="300" w:lineRule="auto"/>
    </w:pPr>
    <w:rPr>
      <w:rFonts w:eastAsiaTheme="minorEastAsia"/>
      <w:b/>
      <w:smallCaps/>
    </w:rPr>
  </w:style>
  <w:style w:type="paragraph" w:styleId="Prrafodelista">
    <w:name w:val="List Paragraph"/>
    <w:basedOn w:val="Normal"/>
    <w:uiPriority w:val="34"/>
    <w:qFormat/>
    <w:locked/>
    <w:rsid w:val="00533CDE"/>
    <w:pPr>
      <w:ind w:left="720"/>
      <w:contextualSpacing/>
    </w:pPr>
  </w:style>
  <w:style w:type="character" w:customStyle="1" w:styleId="Ttulo1Car">
    <w:name w:val="Título 1 Car"/>
    <w:aliases w:val="Titulo 2 DGDTR Car"/>
    <w:basedOn w:val="Fuentedeprrafopredeter"/>
    <w:link w:val="Ttulo1"/>
    <w:uiPriority w:val="9"/>
    <w:rsid w:val="00533CDE"/>
    <w:rPr>
      <w:rFonts w:ascii="ITC Avant Garde" w:eastAsiaTheme="majorEastAsia" w:hAnsi="ITC Avant Garde" w:cstheme="majorBidi"/>
      <w:b/>
      <w:bCs/>
      <w:smallCaps/>
      <w:color w:val="000000"/>
      <w:szCs w:val="36"/>
      <w:lang w:val="es-ES_tradnl" w:eastAsia="es-ES"/>
    </w:rPr>
  </w:style>
  <w:style w:type="paragraph" w:customStyle="1" w:styleId="NormalDGDTR">
    <w:name w:val="Normal DGDTR"/>
    <w:basedOn w:val="Normal"/>
    <w:link w:val="NormalDGDTRCar"/>
    <w:qFormat/>
    <w:rsid w:val="00533CDE"/>
    <w:pPr>
      <w:spacing w:after="200" w:line="276" w:lineRule="auto"/>
      <w:jc w:val="both"/>
    </w:pPr>
    <w:rPr>
      <w:rFonts w:ascii="ITC Avant Garde" w:eastAsia="Calibri" w:hAnsi="ITC Avant Garde" w:cs="Arial"/>
      <w:color w:val="000000"/>
      <w:lang w:val="es-ES_tradnl" w:eastAsia="es-ES"/>
    </w:rPr>
  </w:style>
  <w:style w:type="character" w:customStyle="1" w:styleId="NormalDGDTRCar">
    <w:name w:val="Normal DGDTR Car"/>
    <w:basedOn w:val="Fuentedeprrafopredeter"/>
    <w:link w:val="NormalDGDTR"/>
    <w:qFormat/>
    <w:rsid w:val="00533CDE"/>
    <w:rPr>
      <w:rFonts w:ascii="ITC Avant Garde" w:eastAsia="Calibri" w:hAnsi="ITC Avant Garde" w:cs="Arial"/>
      <w:color w:val="000000"/>
      <w:lang w:val="es-ES_tradnl" w:eastAsia="es-ES"/>
    </w:rPr>
  </w:style>
  <w:style w:type="paragraph" w:customStyle="1" w:styleId="AntecedentesDGDTR">
    <w:name w:val="Antecedentes DGDTR"/>
    <w:basedOn w:val="NormalDGDTR"/>
    <w:link w:val="AntecedentesDGDTRCar"/>
    <w:qFormat/>
    <w:rsid w:val="00533CDE"/>
    <w:pPr>
      <w:spacing w:after="0" w:line="288" w:lineRule="auto"/>
      <w:ind w:left="426" w:hanging="360"/>
    </w:pPr>
    <w:rPr>
      <w:rFonts w:eastAsiaTheme="minorEastAsia"/>
    </w:rPr>
  </w:style>
  <w:style w:type="character" w:customStyle="1" w:styleId="AntecedentesDGDTRCar">
    <w:name w:val="Antecedentes DGDTR Car"/>
    <w:basedOn w:val="Fuentedeprrafopredeter"/>
    <w:link w:val="AntecedentesDGDTR"/>
    <w:rsid w:val="00533CDE"/>
    <w:rPr>
      <w:rFonts w:ascii="ITC Avant Garde" w:eastAsiaTheme="minorEastAsia" w:hAnsi="ITC Avant Garde" w:cs="Arial"/>
      <w:color w:val="000000"/>
      <w:lang w:val="es-ES_tradnl" w:eastAsia="es-ES"/>
    </w:rPr>
  </w:style>
  <w:style w:type="paragraph" w:customStyle="1" w:styleId="ConsiderandosDGDTR">
    <w:name w:val="Considerandos DGDTR"/>
    <w:basedOn w:val="Ttulo1"/>
    <w:next w:val="NormalDGDTR"/>
    <w:link w:val="ConsiderandosDGDTRCar"/>
    <w:qFormat/>
    <w:rsid w:val="00533CDE"/>
    <w:pPr>
      <w:spacing w:after="160"/>
      <w:jc w:val="left"/>
    </w:pPr>
    <w:rPr>
      <w:color w:val="auto"/>
      <w:lang w:val="es-MX" w:eastAsia="en-US"/>
    </w:rPr>
  </w:style>
  <w:style w:type="character" w:customStyle="1" w:styleId="ConsiderandosDGDTRCar">
    <w:name w:val="Considerandos DGDTR Car"/>
    <w:basedOn w:val="Fuentedeprrafopredeter"/>
    <w:link w:val="ConsiderandosDGDTR"/>
    <w:rsid w:val="00533CDE"/>
    <w:rPr>
      <w:rFonts w:ascii="ITC Avant Garde" w:eastAsiaTheme="majorEastAsia" w:hAnsi="ITC Avant Garde" w:cstheme="majorBidi"/>
      <w:b/>
      <w:bCs/>
      <w:smallCaps/>
      <w:szCs w:val="36"/>
    </w:rPr>
  </w:style>
  <w:style w:type="paragraph" w:styleId="Cita">
    <w:name w:val="Quote"/>
    <w:aliases w:val="FCita,ZZZ FCita"/>
    <w:basedOn w:val="Normal"/>
    <w:next w:val="Normal"/>
    <w:link w:val="CitaCar"/>
    <w:uiPriority w:val="99"/>
    <w:locked/>
    <w:rsid w:val="00CB54A7"/>
    <w:pPr>
      <w:spacing w:before="200" w:line="288" w:lineRule="auto"/>
      <w:ind w:left="709" w:right="864"/>
      <w:jc w:val="both"/>
    </w:pPr>
    <w:rPr>
      <w:rFonts w:ascii="ITC Avant Garde" w:eastAsiaTheme="minorEastAsia" w:hAnsi="ITC Avant Garde"/>
      <w:i/>
      <w:iCs/>
      <w:sz w:val="18"/>
    </w:rPr>
  </w:style>
  <w:style w:type="character" w:customStyle="1" w:styleId="CitaCar">
    <w:name w:val="Cita Car"/>
    <w:aliases w:val="FCita Car,ZZZ FCita Car"/>
    <w:basedOn w:val="Fuentedeprrafopredeter"/>
    <w:link w:val="Cita"/>
    <w:uiPriority w:val="99"/>
    <w:rsid w:val="00CB54A7"/>
    <w:rPr>
      <w:rFonts w:ascii="ITC Avant Garde" w:eastAsiaTheme="minorEastAsia" w:hAnsi="ITC Avant Garde"/>
      <w:i/>
      <w:iCs/>
      <w:sz w:val="18"/>
    </w:rPr>
  </w:style>
  <w:style w:type="paragraph" w:customStyle="1" w:styleId="Bullet3DGDTR">
    <w:name w:val="Bullet 3 DGDTR"/>
    <w:basedOn w:val="NormalDGDTR"/>
    <w:next w:val="NormalDGDTR"/>
    <w:link w:val="Bullet3DGDTRCar"/>
    <w:qFormat/>
    <w:rsid w:val="00CB54A7"/>
    <w:pPr>
      <w:numPr>
        <w:numId w:val="1"/>
      </w:numPr>
      <w:spacing w:after="120"/>
    </w:pPr>
    <w:rPr>
      <w:rFonts w:eastAsiaTheme="minorEastAsia"/>
    </w:rPr>
  </w:style>
  <w:style w:type="character" w:customStyle="1" w:styleId="Bullet3DGDTRCar">
    <w:name w:val="Bullet 3 DGDTR Car"/>
    <w:basedOn w:val="Fuentedeprrafopredeter"/>
    <w:link w:val="Bullet3DGDTR"/>
    <w:rsid w:val="00CB54A7"/>
    <w:rPr>
      <w:rFonts w:ascii="ITC Avant Garde" w:eastAsiaTheme="minorEastAsia" w:hAnsi="ITC Avant Garde" w:cs="Arial"/>
      <w:color w:val="000000"/>
      <w:lang w:val="es-ES_tradnl" w:eastAsia="es-ES"/>
    </w:rPr>
  </w:style>
  <w:style w:type="paragraph" w:styleId="Textonotapie">
    <w:name w:val="footnote text"/>
    <w:aliases w:val="Pie de Pagina DGDTR,~FootnoteText,SF píe,Pie depágina,Footnote Text Char1,Footnote Text Char Char1,Footnote Text Char4 Char Char,Footnote Text Char1 Char1 Char1 Char,Footnote Text Char Char1 Char1 Char Char,fn"/>
    <w:basedOn w:val="NormalDGDTR"/>
    <w:link w:val="TextonotapieCar"/>
    <w:autoRedefine/>
    <w:uiPriority w:val="99"/>
    <w:unhideWhenUsed/>
    <w:qFormat/>
    <w:rsid w:val="00CB54A7"/>
    <w:pPr>
      <w:spacing w:after="0" w:line="240" w:lineRule="auto"/>
    </w:pPr>
    <w:rPr>
      <w:sz w:val="16"/>
      <w:lang w:val="en-GB"/>
    </w:rPr>
  </w:style>
  <w:style w:type="character" w:customStyle="1" w:styleId="TextonotapieCar">
    <w:name w:val="Texto nota pie Car"/>
    <w:aliases w:val="Pie de Pagina DGDTR Car,~FootnoteText Car,SF píe Car,Pie depágina Car,Footnote Text Char1 Car,Footnote Text Char Char1 Car,Footnote Text Char4 Char Char Car,Footnote Text Char1 Char1 Char1 Char Car,fn Car"/>
    <w:basedOn w:val="Fuentedeprrafopredeter"/>
    <w:link w:val="Textonotapie"/>
    <w:uiPriority w:val="99"/>
    <w:rsid w:val="00CB54A7"/>
    <w:rPr>
      <w:rFonts w:ascii="ITC Avant Garde" w:eastAsia="Calibri" w:hAnsi="ITC Avant Garde" w:cs="Arial"/>
      <w:color w:val="000000"/>
      <w:sz w:val="16"/>
      <w:lang w:val="en-GB" w:eastAsia="es-ES"/>
    </w:rPr>
  </w:style>
  <w:style w:type="character" w:styleId="Refdenotaalpie">
    <w:name w:val="footnote reference"/>
    <w:aliases w:val="#Ref DGDTR,~FootnoteRef,Ref,de nota al pie,Ref. de nota al pie 2,Footnotes refss,Texto de nota al pie,Appel note de bas de page,referencia nota al pie,BVI fnr,Footnote number,f,4_G,16 Point,Superscript 6 Point,Texto nota al pie,o,fr"/>
    <w:basedOn w:val="Fuentedeprrafopredeter"/>
    <w:uiPriority w:val="99"/>
    <w:unhideWhenUsed/>
    <w:qFormat/>
    <w:rsid w:val="00CB54A7"/>
    <w:rPr>
      <w:vertAlign w:val="superscript"/>
    </w:rPr>
  </w:style>
  <w:style w:type="character" w:customStyle="1" w:styleId="Ttulo2Car">
    <w:name w:val="Título 2 Car"/>
    <w:aliases w:val="Titulo 3 DGDTR Car"/>
    <w:basedOn w:val="Fuentedeprrafopredeter"/>
    <w:link w:val="Ttulo2"/>
    <w:uiPriority w:val="9"/>
    <w:rsid w:val="00CB54A7"/>
    <w:rPr>
      <w:rFonts w:ascii="ITC Avant Garde" w:eastAsiaTheme="majorEastAsia" w:hAnsi="ITC Avant Garde" w:cstheme="majorBidi"/>
      <w:b/>
      <w:color w:val="000000"/>
      <w:szCs w:val="28"/>
      <w:lang w:val="es-ES_tradnl" w:eastAsia="es-ES"/>
      <w14:scene3d>
        <w14:camera w14:prst="orthographicFront"/>
        <w14:lightRig w14:rig="threePt" w14:dir="t">
          <w14:rot w14:lat="0" w14:lon="0" w14:rev="0"/>
        </w14:lightRig>
      </w14:scene3d>
    </w:rPr>
  </w:style>
  <w:style w:type="paragraph" w:styleId="Piedepgina">
    <w:name w:val="footer"/>
    <w:basedOn w:val="Normal"/>
    <w:link w:val="PiedepginaCar"/>
    <w:uiPriority w:val="99"/>
    <w:unhideWhenUsed/>
    <w:locked/>
    <w:rsid w:val="00CB54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4A7"/>
  </w:style>
  <w:style w:type="paragraph" w:customStyle="1" w:styleId="Titulo4DGDTR">
    <w:name w:val="Titulo 4 DGDTR"/>
    <w:basedOn w:val="NormalDGDTR"/>
    <w:next w:val="NormalDGDTR"/>
    <w:link w:val="Titulo4DGDTRCar"/>
    <w:qFormat/>
    <w:rsid w:val="00CB54A7"/>
    <w:pPr>
      <w:spacing w:line="240" w:lineRule="auto"/>
      <w:ind w:left="851" w:hanging="851"/>
    </w:pPr>
    <w:rPr>
      <w:rFonts w:eastAsiaTheme="minorEastAsia"/>
      <w:b/>
    </w:rPr>
  </w:style>
  <w:style w:type="character" w:customStyle="1" w:styleId="Titulo4DGDTRCar">
    <w:name w:val="Titulo 4 DGDTR Car"/>
    <w:basedOn w:val="Fuentedeprrafopredeter"/>
    <w:link w:val="Titulo4DGDTR"/>
    <w:rsid w:val="00CB54A7"/>
    <w:rPr>
      <w:rFonts w:ascii="ITC Avant Garde" w:eastAsiaTheme="minorEastAsia" w:hAnsi="ITC Avant Garde" w:cs="Arial"/>
      <w:b/>
      <w:color w:val="000000"/>
      <w:lang w:val="es-ES_tradnl" w:eastAsia="es-ES"/>
    </w:rPr>
  </w:style>
  <w:style w:type="paragraph" w:customStyle="1" w:styleId="FiguraDGDTR">
    <w:name w:val="Figura DGDTR"/>
    <w:basedOn w:val="NormalDGDTR"/>
    <w:next w:val="NormalDGDTR"/>
    <w:link w:val="FiguraDGDTRCar"/>
    <w:qFormat/>
    <w:rsid w:val="00CB54A7"/>
    <w:pPr>
      <w:numPr>
        <w:numId w:val="2"/>
      </w:numPr>
      <w:spacing w:after="120" w:line="240" w:lineRule="auto"/>
      <w:jc w:val="center"/>
    </w:pPr>
    <w:rPr>
      <w:rFonts w:eastAsiaTheme="minorEastAsia"/>
      <w:b/>
      <w14:scene3d>
        <w14:camera w14:prst="orthographicFront"/>
        <w14:lightRig w14:rig="threePt" w14:dir="t">
          <w14:rot w14:lat="0" w14:lon="0" w14:rev="0"/>
        </w14:lightRig>
      </w14:scene3d>
    </w:rPr>
  </w:style>
  <w:style w:type="character" w:customStyle="1" w:styleId="FiguraDGDTRCar">
    <w:name w:val="Figura DGDTR Car"/>
    <w:basedOn w:val="Fuentedeprrafopredeter"/>
    <w:link w:val="FiguraDGDTR"/>
    <w:rsid w:val="00CB54A7"/>
    <w:rPr>
      <w:rFonts w:ascii="ITC Avant Garde" w:eastAsiaTheme="minorEastAsia" w:hAnsi="ITC Avant Garde" w:cs="Arial"/>
      <w:b/>
      <w:color w:val="000000"/>
      <w:lang w:val="es-ES_tradnl" w:eastAsia="es-ES"/>
      <w14:scene3d>
        <w14:camera w14:prst="orthographicFront"/>
        <w14:lightRig w14:rig="threePt" w14:dir="t">
          <w14:rot w14:lat="0" w14:lon="0" w14:rev="0"/>
        </w14:lightRig>
      </w14:scene3d>
    </w:rPr>
  </w:style>
  <w:style w:type="paragraph" w:customStyle="1" w:styleId="CitaDGDTR">
    <w:name w:val="Cita DGDTR"/>
    <w:basedOn w:val="NormalDGDTR"/>
    <w:link w:val="CitaDGDTRCar"/>
    <w:qFormat/>
    <w:rsid w:val="00CB54A7"/>
    <w:pPr>
      <w:adjustRightInd w:val="0"/>
      <w:ind w:left="851" w:right="760"/>
    </w:pPr>
    <w:rPr>
      <w:rFonts w:eastAsia="Times New Roman"/>
      <w:bCs/>
      <w:i/>
      <w:sz w:val="18"/>
      <w:szCs w:val="18"/>
    </w:rPr>
  </w:style>
  <w:style w:type="character" w:customStyle="1" w:styleId="CitaDGDTRCar">
    <w:name w:val="Cita DGDTR Car"/>
    <w:link w:val="CitaDGDTR"/>
    <w:qFormat/>
    <w:rsid w:val="00CB54A7"/>
    <w:rPr>
      <w:rFonts w:ascii="ITC Avant Garde" w:eastAsia="Times New Roman" w:hAnsi="ITC Avant Garde" w:cs="Arial"/>
      <w:bCs/>
      <w:i/>
      <w:color w:val="000000"/>
      <w:sz w:val="18"/>
      <w:szCs w:val="18"/>
      <w:lang w:val="es-ES_tradnl" w:eastAsia="es-ES"/>
    </w:rPr>
  </w:style>
  <w:style w:type="paragraph" w:customStyle="1" w:styleId="Bullet4DGDTR">
    <w:name w:val="Bullet 4 DGDTR"/>
    <w:basedOn w:val="NormalDGDTR"/>
    <w:next w:val="NormalDGDTR"/>
    <w:autoRedefine/>
    <w:uiPriority w:val="3"/>
    <w:qFormat/>
    <w:rsid w:val="00605790"/>
    <w:pPr>
      <w:numPr>
        <w:numId w:val="3"/>
      </w:numPr>
      <w:spacing w:after="120"/>
    </w:pPr>
    <w:rPr>
      <w:rFonts w:eastAsiaTheme="minorEastAsia"/>
    </w:rPr>
  </w:style>
  <w:style w:type="paragraph" w:customStyle="1" w:styleId="Bullet1DGDTR">
    <w:name w:val="Bullet 1 DGDTR"/>
    <w:basedOn w:val="NormalDGDTR"/>
    <w:next w:val="NormalDGDTR"/>
    <w:link w:val="Bullet1DGDTRCar"/>
    <w:autoRedefine/>
    <w:qFormat/>
    <w:rsid w:val="00A56891"/>
    <w:pPr>
      <w:numPr>
        <w:numId w:val="4"/>
      </w:numPr>
    </w:pPr>
    <w:rPr>
      <w:rFonts w:eastAsia="Times New Roman"/>
      <w14:scene3d>
        <w14:camera w14:prst="orthographicFront"/>
        <w14:lightRig w14:rig="threePt" w14:dir="t">
          <w14:rot w14:lat="0" w14:lon="0" w14:rev="0"/>
        </w14:lightRig>
      </w14:scene3d>
    </w:rPr>
  </w:style>
  <w:style w:type="character" w:customStyle="1" w:styleId="Bullet1DGDTRCar">
    <w:name w:val="Bullet 1 DGDTR Car"/>
    <w:basedOn w:val="Fuentedeprrafopredeter"/>
    <w:link w:val="Bullet1DGDTR"/>
    <w:rsid w:val="00A56891"/>
    <w:rPr>
      <w:rFonts w:ascii="ITC Avant Garde" w:eastAsia="Times New Roman" w:hAnsi="ITC Avant Garde" w:cs="Arial"/>
      <w:color w:val="000000"/>
      <w:lang w:val="es-ES_tradnl" w:eastAsia="es-ES"/>
      <w14:scene3d>
        <w14:camera w14:prst="orthographicFront"/>
        <w14:lightRig w14:rig="threePt" w14:dir="t">
          <w14:rot w14:lat="0" w14:lon="0" w14:rev="0"/>
        </w14:lightRig>
      </w14:scene3d>
    </w:rPr>
  </w:style>
  <w:style w:type="paragraph" w:customStyle="1" w:styleId="Bullet2DGDTR">
    <w:name w:val="Bullet 2 DGDTR"/>
    <w:basedOn w:val="NormalDGDTR"/>
    <w:next w:val="NormalDGDTR"/>
    <w:qFormat/>
    <w:rsid w:val="00A56891"/>
    <w:pPr>
      <w:numPr>
        <w:numId w:val="5"/>
      </w:numPr>
    </w:pPr>
  </w:style>
  <w:style w:type="paragraph" w:customStyle="1" w:styleId="Titulo5DGDTR">
    <w:name w:val="Titulo 5 DGDTR"/>
    <w:basedOn w:val="NormalDGDTR"/>
    <w:next w:val="NormalDGDTR"/>
    <w:link w:val="Titulo5DGDTRCar"/>
    <w:qFormat/>
    <w:rsid w:val="00A56891"/>
    <w:pPr>
      <w:numPr>
        <w:numId w:val="6"/>
      </w:numPr>
    </w:pPr>
    <w:rPr>
      <w:b/>
    </w:rPr>
  </w:style>
  <w:style w:type="character" w:customStyle="1" w:styleId="Titulo5DGDTRCar">
    <w:name w:val="Titulo 5 DGDTR Car"/>
    <w:basedOn w:val="Fuentedeprrafopredeter"/>
    <w:link w:val="Titulo5DGDTR"/>
    <w:qFormat/>
    <w:rsid w:val="00A56891"/>
    <w:rPr>
      <w:rFonts w:ascii="ITC Avant Garde" w:eastAsia="Calibri" w:hAnsi="ITC Avant Garde" w:cs="Arial"/>
      <w:b/>
      <w:color w:val="000000"/>
      <w:lang w:val="es-ES_tradnl" w:eastAsia="es-ES"/>
    </w:rPr>
  </w:style>
  <w:style w:type="paragraph" w:customStyle="1" w:styleId="FirmasDGDTR">
    <w:name w:val="Firmas DGDTR"/>
    <w:basedOn w:val="NormalDGDTR"/>
    <w:link w:val="FirmasDGDTRCar"/>
    <w:qFormat/>
    <w:rsid w:val="00B804F5"/>
    <w:pPr>
      <w:spacing w:after="0" w:line="240" w:lineRule="auto"/>
      <w:jc w:val="center"/>
    </w:pPr>
    <w:rPr>
      <w:rFonts w:eastAsiaTheme="minorEastAsia"/>
      <w:b/>
    </w:rPr>
  </w:style>
  <w:style w:type="character" w:customStyle="1" w:styleId="FirmasDGDTRCar">
    <w:name w:val="Firmas DGDTR Car"/>
    <w:basedOn w:val="Fuentedeprrafopredeter"/>
    <w:link w:val="FirmasDGDTR"/>
    <w:rsid w:val="00B804F5"/>
    <w:rPr>
      <w:rFonts w:ascii="ITC Avant Garde" w:eastAsiaTheme="minorEastAsia" w:hAnsi="ITC Avant Garde" w:cs="Arial"/>
      <w:b/>
      <w:color w:val="000000"/>
      <w:lang w:val="es-ES_tradnl" w:eastAsia="es-ES"/>
    </w:rPr>
  </w:style>
  <w:style w:type="paragraph" w:styleId="Textodeglobo">
    <w:name w:val="Balloon Text"/>
    <w:basedOn w:val="Normal"/>
    <w:link w:val="TextodegloboCar"/>
    <w:uiPriority w:val="99"/>
    <w:semiHidden/>
    <w:unhideWhenUsed/>
    <w:locked/>
    <w:rsid w:val="00864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293"/>
    <w:rPr>
      <w:rFonts w:ascii="Segoe UI" w:hAnsi="Segoe UI" w:cs="Segoe UI"/>
      <w:sz w:val="18"/>
      <w:szCs w:val="18"/>
    </w:rPr>
  </w:style>
  <w:style w:type="character" w:styleId="Refdecomentario">
    <w:name w:val="annotation reference"/>
    <w:basedOn w:val="Fuentedeprrafopredeter"/>
    <w:uiPriority w:val="99"/>
    <w:semiHidden/>
    <w:unhideWhenUsed/>
    <w:locked/>
    <w:rsid w:val="00864293"/>
    <w:rPr>
      <w:sz w:val="16"/>
      <w:szCs w:val="16"/>
    </w:rPr>
  </w:style>
  <w:style w:type="paragraph" w:styleId="Textocomentario">
    <w:name w:val="annotation text"/>
    <w:basedOn w:val="Normal"/>
    <w:link w:val="TextocomentarioCar"/>
    <w:uiPriority w:val="99"/>
    <w:semiHidden/>
    <w:unhideWhenUsed/>
    <w:locked/>
    <w:rsid w:val="00864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4293"/>
    <w:rPr>
      <w:sz w:val="20"/>
      <w:szCs w:val="20"/>
    </w:rPr>
  </w:style>
  <w:style w:type="paragraph" w:customStyle="1" w:styleId="AcuerdosDGDTR">
    <w:name w:val="Acuerdos DGDTR"/>
    <w:basedOn w:val="NormalDGDTR"/>
    <w:next w:val="NormalDGDTR"/>
    <w:link w:val="AcuerdosDGDTRCar"/>
    <w:qFormat/>
    <w:rsid w:val="000E0DCD"/>
    <w:pPr>
      <w:numPr>
        <w:numId w:val="7"/>
      </w:numPr>
      <w:ind w:left="0" w:firstLine="0"/>
    </w:pPr>
  </w:style>
  <w:style w:type="character" w:customStyle="1" w:styleId="AcuerdosDGDTRCar">
    <w:name w:val="Acuerdos DGDTR Car"/>
    <w:basedOn w:val="NormalDGDTRCar"/>
    <w:link w:val="AcuerdosDGDTR"/>
    <w:rsid w:val="000E0DCD"/>
    <w:rPr>
      <w:rFonts w:ascii="ITC Avant Garde" w:eastAsia="Calibri" w:hAnsi="ITC Avant Garde" w:cs="Arial"/>
      <w:color w:val="000000"/>
      <w:lang w:val="es-ES_tradnl" w:eastAsia="es-ES"/>
    </w:rPr>
  </w:style>
  <w:style w:type="paragraph" w:customStyle="1" w:styleId="IncisosDGDTR">
    <w:name w:val="Incisos DGDTR"/>
    <w:basedOn w:val="NormalDGDTR"/>
    <w:link w:val="IncisosDGDTRCar"/>
    <w:qFormat/>
    <w:rsid w:val="000E0DCD"/>
  </w:style>
  <w:style w:type="character" w:customStyle="1" w:styleId="IncisosDGDTRCar">
    <w:name w:val="Incisos DGDTR Car"/>
    <w:basedOn w:val="NormalDGDTRCar"/>
    <w:link w:val="IncisosDGDTR"/>
    <w:rsid w:val="000E0DCD"/>
    <w:rPr>
      <w:rFonts w:ascii="ITC Avant Garde" w:eastAsia="Calibri" w:hAnsi="ITC Avant Garde" w:cs="Arial"/>
      <w:color w:val="000000"/>
      <w:lang w:val="es-ES_tradnl" w:eastAsia="es-ES"/>
    </w:rPr>
  </w:style>
  <w:style w:type="paragraph" w:styleId="Revisin">
    <w:name w:val="Revision"/>
    <w:hidden/>
    <w:uiPriority w:val="99"/>
    <w:semiHidden/>
    <w:rsid w:val="006321F8"/>
    <w:pPr>
      <w:spacing w:after="0" w:line="240" w:lineRule="auto"/>
    </w:pPr>
  </w:style>
  <w:style w:type="character" w:styleId="Hipervnculo">
    <w:name w:val="Hyperlink"/>
    <w:basedOn w:val="Fuentedeprrafopredeter"/>
    <w:uiPriority w:val="99"/>
    <w:unhideWhenUsed/>
    <w:rsid w:val="006321F8"/>
    <w:rPr>
      <w:color w:val="0563C1" w:themeColor="hyperlink"/>
      <w:u w:val="single"/>
    </w:rPr>
  </w:style>
  <w:style w:type="paragraph" w:styleId="TtuloTDC">
    <w:name w:val="TOC Heading"/>
    <w:basedOn w:val="Ttulo1"/>
    <w:next w:val="Normal"/>
    <w:uiPriority w:val="39"/>
    <w:unhideWhenUsed/>
    <w:locked/>
    <w:rsid w:val="006321F8"/>
    <w:pPr>
      <w:spacing w:before="240" w:after="0" w:line="259" w:lineRule="auto"/>
      <w:jc w:val="left"/>
      <w:outlineLvl w:val="9"/>
    </w:pPr>
    <w:rPr>
      <w:rFonts w:asciiTheme="majorHAnsi" w:hAnsiTheme="majorHAnsi"/>
      <w:b w:val="0"/>
      <w:bCs w:val="0"/>
      <w:smallCaps w:val="0"/>
      <w:color w:val="2E74B5" w:themeColor="accent1" w:themeShade="BF"/>
      <w:sz w:val="32"/>
      <w:szCs w:val="32"/>
      <w:lang w:val="es-MX" w:eastAsia="es-MX"/>
    </w:rPr>
  </w:style>
  <w:style w:type="paragraph" w:styleId="TDC1">
    <w:name w:val="toc 1"/>
    <w:basedOn w:val="Normal"/>
    <w:next w:val="Normal"/>
    <w:autoRedefine/>
    <w:uiPriority w:val="39"/>
    <w:unhideWhenUsed/>
    <w:locked/>
    <w:rsid w:val="006321F8"/>
    <w:pPr>
      <w:tabs>
        <w:tab w:val="right" w:leader="dot" w:pos="8828"/>
      </w:tabs>
      <w:spacing w:after="100" w:line="288" w:lineRule="auto"/>
      <w:jc w:val="both"/>
    </w:pPr>
    <w:rPr>
      <w:rFonts w:ascii="ITC Avant Garde" w:eastAsiaTheme="minorEastAsia" w:hAnsi="ITC Avant Garde"/>
    </w:rPr>
  </w:style>
  <w:style w:type="paragraph" w:styleId="TDC2">
    <w:name w:val="toc 2"/>
    <w:basedOn w:val="Normal"/>
    <w:next w:val="Normal"/>
    <w:autoRedefine/>
    <w:uiPriority w:val="39"/>
    <w:unhideWhenUsed/>
    <w:locked/>
    <w:rsid w:val="006321F8"/>
    <w:pPr>
      <w:tabs>
        <w:tab w:val="left" w:pos="880"/>
        <w:tab w:val="right" w:leader="dot" w:pos="8828"/>
      </w:tabs>
      <w:spacing w:after="100" w:line="288" w:lineRule="auto"/>
      <w:ind w:left="220"/>
      <w:jc w:val="both"/>
    </w:pPr>
    <w:rPr>
      <w:rFonts w:ascii="ITC Avant Garde" w:eastAsiaTheme="minorEastAsia" w:hAnsi="ITC Avant Garde"/>
    </w:rPr>
  </w:style>
  <w:style w:type="paragraph" w:customStyle="1" w:styleId="IndiceDGDTR">
    <w:name w:val="Indice DGDTR"/>
    <w:basedOn w:val="Normal"/>
    <w:link w:val="IndiceDGDTRCar"/>
    <w:qFormat/>
    <w:rsid w:val="006321F8"/>
    <w:pPr>
      <w:tabs>
        <w:tab w:val="right" w:leader="dot" w:pos="8828"/>
      </w:tabs>
    </w:pPr>
    <w:rPr>
      <w:rFonts w:ascii="ITC Avant Garde Book" w:hAnsi="ITC Avant Garde Book"/>
      <w:noProof/>
      <w:sz w:val="20"/>
      <w:szCs w:val="20"/>
    </w:rPr>
  </w:style>
  <w:style w:type="paragraph" w:styleId="Asuntodelcomentario">
    <w:name w:val="annotation subject"/>
    <w:basedOn w:val="Textocomentario"/>
    <w:next w:val="Textocomentario"/>
    <w:link w:val="AsuntodelcomentarioCar"/>
    <w:uiPriority w:val="99"/>
    <w:semiHidden/>
    <w:unhideWhenUsed/>
    <w:rsid w:val="00332C35"/>
    <w:rPr>
      <w:b/>
      <w:bCs/>
    </w:rPr>
  </w:style>
  <w:style w:type="character" w:customStyle="1" w:styleId="IndiceDGDTRCar">
    <w:name w:val="Indice DGDTR Car"/>
    <w:basedOn w:val="Fuentedeprrafopredeter"/>
    <w:link w:val="IndiceDGDTR"/>
    <w:rsid w:val="006321F8"/>
    <w:rPr>
      <w:rFonts w:ascii="ITC Avant Garde Book" w:hAnsi="ITC Avant Garde Book"/>
      <w:noProof/>
      <w:sz w:val="20"/>
      <w:szCs w:val="20"/>
    </w:rPr>
  </w:style>
  <w:style w:type="character" w:customStyle="1" w:styleId="AsuntodelcomentarioCar">
    <w:name w:val="Asunto del comentario Car"/>
    <w:basedOn w:val="TextocomentarioCar"/>
    <w:link w:val="Asuntodelcomentario"/>
    <w:uiPriority w:val="99"/>
    <w:semiHidden/>
    <w:rsid w:val="00332C35"/>
    <w:rPr>
      <w:b/>
      <w:bCs/>
      <w:sz w:val="20"/>
      <w:szCs w:val="20"/>
    </w:rPr>
  </w:style>
  <w:style w:type="paragraph" w:customStyle="1" w:styleId="NumArabigaDGDTR">
    <w:name w:val="Num Arabiga DGDTR"/>
    <w:basedOn w:val="NormalDGDTR"/>
    <w:next w:val="NormalDGDTR"/>
    <w:link w:val="NumArabigaDGDTRCar"/>
    <w:qFormat/>
    <w:rsid w:val="00D35A8B"/>
    <w:pPr>
      <w:ind w:left="709" w:hanging="283"/>
    </w:pPr>
    <w:rPr>
      <w:lang w:val="es-MX" w:eastAsia="en-US"/>
    </w:rPr>
  </w:style>
  <w:style w:type="character" w:customStyle="1" w:styleId="NumArabigaDGDTRCar">
    <w:name w:val="Num Arabiga DGDTR Car"/>
    <w:basedOn w:val="NormalDGDTRCar"/>
    <w:link w:val="NumArabigaDGDTR"/>
    <w:rsid w:val="00D35A8B"/>
    <w:rPr>
      <w:rFonts w:ascii="ITC Avant Garde" w:eastAsia="Calibri" w:hAnsi="ITC Avant Garde" w:cs="Arial"/>
      <w:color w:val="000000"/>
      <w:lang w:val="es-ES_tradnl" w:eastAsia="es-ES"/>
    </w:rPr>
  </w:style>
  <w:style w:type="paragraph" w:styleId="Encabezado">
    <w:name w:val="header"/>
    <w:basedOn w:val="Normal"/>
    <w:link w:val="EncabezadoCar"/>
    <w:uiPriority w:val="99"/>
    <w:unhideWhenUsed/>
    <w:locked/>
    <w:rsid w:val="00CE6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620"/>
  </w:style>
  <w:style w:type="paragraph" w:customStyle="1" w:styleId="FBullet1">
    <w:name w:val="FBullet 1"/>
    <w:basedOn w:val="Normal"/>
    <w:link w:val="FBullet1Car"/>
    <w:qFormat/>
    <w:rsid w:val="00E302F7"/>
    <w:pPr>
      <w:spacing w:after="120" w:line="276" w:lineRule="auto"/>
      <w:ind w:left="1068" w:hanging="360"/>
      <w:jc w:val="both"/>
    </w:pPr>
    <w:rPr>
      <w:rFonts w:ascii="ITC Avant Garde" w:eastAsiaTheme="minorEastAsia" w:hAnsi="ITC Avant Garde"/>
    </w:rPr>
  </w:style>
  <w:style w:type="character" w:customStyle="1" w:styleId="FBullet1Car">
    <w:name w:val="FBullet 1 Car"/>
    <w:basedOn w:val="Fuentedeprrafopredeter"/>
    <w:link w:val="FBullet1"/>
    <w:rsid w:val="00E302F7"/>
    <w:rPr>
      <w:rFonts w:ascii="ITC Avant Garde" w:eastAsiaTheme="minorEastAsia" w:hAnsi="ITC Avant Garde"/>
    </w:rPr>
  </w:style>
  <w:style w:type="paragraph" w:customStyle="1" w:styleId="SFnormal">
    <w:name w:val="SF normal"/>
    <w:basedOn w:val="Normal"/>
    <w:link w:val="SFnormalCar"/>
    <w:qFormat/>
    <w:rsid w:val="00E302F7"/>
    <w:pPr>
      <w:spacing w:after="200" w:line="276" w:lineRule="auto"/>
      <w:jc w:val="both"/>
    </w:pPr>
    <w:rPr>
      <w:rFonts w:ascii="ITC Avant Garde" w:eastAsia="Calibri" w:hAnsi="ITC Avant Garde" w:cs="Arial"/>
      <w:color w:val="000000"/>
      <w:lang w:val="es-ES_tradnl" w:eastAsia="es-ES"/>
    </w:rPr>
  </w:style>
  <w:style w:type="character" w:customStyle="1" w:styleId="SFnormalCar">
    <w:name w:val="SF normal Car"/>
    <w:basedOn w:val="Fuentedeprrafopredeter"/>
    <w:link w:val="SFnormal"/>
    <w:qFormat/>
    <w:rsid w:val="00E302F7"/>
    <w:rPr>
      <w:rFonts w:ascii="ITC Avant Garde" w:eastAsia="Calibri" w:hAnsi="ITC Avant Garde" w:cs="Arial"/>
      <w:color w:val="000000"/>
      <w:lang w:val="es-ES_tradnl" w:eastAsia="es-ES"/>
    </w:rPr>
  </w:style>
  <w:style w:type="paragraph" w:customStyle="1" w:styleId="SF6Bullet">
    <w:name w:val="SF6 Bullet"/>
    <w:basedOn w:val="FBullet1"/>
    <w:link w:val="SF6BulletCar"/>
    <w:autoRedefine/>
    <w:uiPriority w:val="3"/>
    <w:qFormat/>
    <w:rsid w:val="00E302F7"/>
    <w:pPr>
      <w:ind w:left="792" w:hanging="432"/>
    </w:pPr>
    <w:rPr>
      <w:b/>
    </w:rPr>
  </w:style>
  <w:style w:type="character" w:customStyle="1" w:styleId="SF6BulletCar">
    <w:name w:val="SF6 Bullet Car"/>
    <w:basedOn w:val="Fuentedeprrafopredeter"/>
    <w:link w:val="SF6Bullet"/>
    <w:uiPriority w:val="3"/>
    <w:rsid w:val="00E302F7"/>
    <w:rPr>
      <w:rFonts w:ascii="ITC Avant Garde" w:eastAsiaTheme="minorEastAsia" w:hAnsi="ITC Avant Garde"/>
      <w:b/>
    </w:rPr>
  </w:style>
  <w:style w:type="character" w:customStyle="1" w:styleId="Ttulo6Car">
    <w:name w:val="Título 6 Car"/>
    <w:basedOn w:val="Fuentedeprrafopredeter"/>
    <w:link w:val="Ttulo6"/>
    <w:semiHidden/>
    <w:rsid w:val="00823911"/>
    <w:rPr>
      <w:rFonts w:asciiTheme="majorHAnsi" w:eastAsiaTheme="majorEastAsia" w:hAnsiTheme="majorHAnsi" w:cstheme="majorBidi"/>
      <w:color w:val="1F4D78" w:themeColor="accent1" w:themeShade="7F"/>
    </w:rPr>
  </w:style>
  <w:style w:type="paragraph" w:customStyle="1" w:styleId="1BulletsPrimero">
    <w:name w:val="1 Bullets Primero"/>
    <w:basedOn w:val="Normal"/>
    <w:link w:val="1BulletsPrimeroCar"/>
    <w:autoRedefine/>
    <w:uiPriority w:val="3"/>
    <w:qFormat/>
    <w:rsid w:val="00AB31F8"/>
    <w:pPr>
      <w:numPr>
        <w:numId w:val="73"/>
      </w:numPr>
      <w:tabs>
        <w:tab w:val="clear" w:pos="340"/>
      </w:tabs>
      <w:spacing w:before="60" w:after="60" w:line="276" w:lineRule="auto"/>
      <w:ind w:left="567"/>
      <w:jc w:val="both"/>
    </w:pPr>
    <w:rPr>
      <w:rFonts w:ascii="ITC Avant Garde" w:hAnsi="ITC Avant Garde" w:cs="Arial"/>
      <w:lang w:val="es-ES" w:eastAsia="es-ES"/>
    </w:rPr>
  </w:style>
  <w:style w:type="paragraph" w:customStyle="1" w:styleId="2BulletsSegundo">
    <w:name w:val="2 Bullets Segundo"/>
    <w:basedOn w:val="1BulletsPrimero"/>
    <w:autoRedefine/>
    <w:uiPriority w:val="3"/>
    <w:qFormat/>
    <w:rsid w:val="00AB31F8"/>
    <w:pPr>
      <w:numPr>
        <w:ilvl w:val="1"/>
      </w:numPr>
      <w:tabs>
        <w:tab w:val="clear" w:pos="680"/>
      </w:tabs>
      <w:ind w:left="993" w:hanging="360"/>
    </w:pPr>
  </w:style>
  <w:style w:type="paragraph" w:customStyle="1" w:styleId="3BulletsTercero">
    <w:name w:val="3 Bullets Tercero"/>
    <w:basedOn w:val="2BulletsSegundo"/>
    <w:autoRedefine/>
    <w:uiPriority w:val="3"/>
    <w:qFormat/>
    <w:rsid w:val="00AB31F8"/>
    <w:pPr>
      <w:numPr>
        <w:ilvl w:val="2"/>
      </w:numPr>
      <w:tabs>
        <w:tab w:val="clear" w:pos="1021"/>
      </w:tabs>
      <w:spacing w:line="264" w:lineRule="auto"/>
      <w:ind w:left="1418" w:hanging="180"/>
    </w:pPr>
  </w:style>
  <w:style w:type="paragraph" w:customStyle="1" w:styleId="BulletCMI">
    <w:name w:val="Bullet CMI"/>
    <w:basedOn w:val="3BulletsTercero"/>
    <w:qFormat/>
    <w:rsid w:val="00AB31F8"/>
    <w:pPr>
      <w:numPr>
        <w:ilvl w:val="3"/>
      </w:numPr>
      <w:tabs>
        <w:tab w:val="clear" w:pos="0"/>
      </w:tabs>
      <w:ind w:left="2127" w:hanging="360"/>
    </w:pPr>
  </w:style>
  <w:style w:type="character" w:customStyle="1" w:styleId="1BulletsPrimeroCar">
    <w:name w:val="1 Bullets Primero Car"/>
    <w:basedOn w:val="Fuentedeprrafopredeter"/>
    <w:link w:val="1BulletsPrimero"/>
    <w:uiPriority w:val="3"/>
    <w:rsid w:val="00AB31F8"/>
    <w:rPr>
      <w:rFonts w:ascii="ITC Avant Garde" w:hAnsi="ITC Avant Garde" w:cs="Arial"/>
      <w:lang w:val="es-ES" w:eastAsia="es-ES"/>
    </w:rPr>
  </w:style>
  <w:style w:type="character" w:customStyle="1" w:styleId="NormalresolucionChar">
    <w:name w:val="Normal resolucion Char"/>
    <w:basedOn w:val="Fuentedeprrafopredeter"/>
    <w:link w:val="Normalresolucion"/>
    <w:locked/>
    <w:rsid w:val="005F22D1"/>
    <w:rPr>
      <w:rFonts w:ascii="ITC Avant Garde" w:eastAsia="Times New Roman" w:hAnsi="ITC Avant Garde" w:cs="Arial"/>
      <w:lang w:val="es-ES" w:eastAsia="es-ES"/>
    </w:rPr>
  </w:style>
  <w:style w:type="paragraph" w:customStyle="1" w:styleId="Normalresolucion">
    <w:name w:val="Normal resolucion"/>
    <w:basedOn w:val="Normal"/>
    <w:link w:val="NormalresolucionChar"/>
    <w:qFormat/>
    <w:rsid w:val="005F22D1"/>
    <w:pPr>
      <w:spacing w:before="240" w:after="120" w:line="240" w:lineRule="auto"/>
      <w:jc w:val="both"/>
    </w:pPr>
    <w:rPr>
      <w:rFonts w:ascii="ITC Avant Garde" w:eastAsia="Times New Roman" w:hAnsi="ITC Avant Garde" w:cs="Arial"/>
      <w:lang w:val="es-ES" w:eastAsia="es-ES"/>
    </w:rPr>
  </w:style>
  <w:style w:type="character" w:customStyle="1" w:styleId="TextoChar">
    <w:name w:val="Texto Char"/>
    <w:basedOn w:val="Fuentedeprrafopredeter"/>
    <w:link w:val="Texto"/>
    <w:locked/>
    <w:rsid w:val="00E61C19"/>
    <w:rPr>
      <w:rFonts w:ascii="Arial" w:eastAsia="Times New Roman" w:hAnsi="Arial" w:cs="Arial"/>
      <w:sz w:val="18"/>
      <w:szCs w:val="20"/>
      <w:lang w:val="es-ES" w:eastAsia="es-ES"/>
    </w:rPr>
  </w:style>
  <w:style w:type="paragraph" w:customStyle="1" w:styleId="Texto">
    <w:name w:val="Texto"/>
    <w:basedOn w:val="Normal"/>
    <w:link w:val="TextoChar"/>
    <w:rsid w:val="00E61C19"/>
    <w:pPr>
      <w:spacing w:after="101" w:line="216" w:lineRule="exact"/>
      <w:ind w:firstLine="288"/>
      <w:jc w:val="both"/>
    </w:pPr>
    <w:rPr>
      <w:rFonts w:ascii="Arial" w:eastAsia="Times New Roman" w:hAnsi="Arial" w:cs="Arial"/>
      <w:sz w:val="18"/>
      <w:szCs w:val="20"/>
      <w:lang w:val="es-ES" w:eastAsia="es-ES"/>
    </w:rPr>
  </w:style>
  <w:style w:type="paragraph" w:customStyle="1" w:styleId="texto0">
    <w:name w:val="texto"/>
    <w:basedOn w:val="Normal"/>
    <w:rsid w:val="00014DD4"/>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098">
      <w:bodyDiv w:val="1"/>
      <w:marLeft w:val="0"/>
      <w:marRight w:val="0"/>
      <w:marTop w:val="0"/>
      <w:marBottom w:val="0"/>
      <w:divBdr>
        <w:top w:val="none" w:sz="0" w:space="0" w:color="auto"/>
        <w:left w:val="none" w:sz="0" w:space="0" w:color="auto"/>
        <w:bottom w:val="none" w:sz="0" w:space="0" w:color="auto"/>
        <w:right w:val="none" w:sz="0" w:space="0" w:color="auto"/>
      </w:divBdr>
    </w:div>
    <w:div w:id="552616765">
      <w:bodyDiv w:val="1"/>
      <w:marLeft w:val="0"/>
      <w:marRight w:val="0"/>
      <w:marTop w:val="0"/>
      <w:marBottom w:val="0"/>
      <w:divBdr>
        <w:top w:val="none" w:sz="0" w:space="0" w:color="auto"/>
        <w:left w:val="none" w:sz="0" w:space="0" w:color="auto"/>
        <w:bottom w:val="none" w:sz="0" w:space="0" w:color="auto"/>
        <w:right w:val="none" w:sz="0" w:space="0" w:color="auto"/>
      </w:divBdr>
    </w:div>
    <w:div w:id="790782190">
      <w:bodyDiv w:val="1"/>
      <w:marLeft w:val="0"/>
      <w:marRight w:val="0"/>
      <w:marTop w:val="0"/>
      <w:marBottom w:val="0"/>
      <w:divBdr>
        <w:top w:val="none" w:sz="0" w:space="0" w:color="auto"/>
        <w:left w:val="none" w:sz="0" w:space="0" w:color="auto"/>
        <w:bottom w:val="none" w:sz="0" w:space="0" w:color="auto"/>
        <w:right w:val="none" w:sz="0" w:space="0" w:color="auto"/>
      </w:divBdr>
    </w:div>
    <w:div w:id="1167525030">
      <w:bodyDiv w:val="1"/>
      <w:marLeft w:val="0"/>
      <w:marRight w:val="0"/>
      <w:marTop w:val="0"/>
      <w:marBottom w:val="0"/>
      <w:divBdr>
        <w:top w:val="none" w:sz="0" w:space="0" w:color="auto"/>
        <w:left w:val="none" w:sz="0" w:space="0" w:color="auto"/>
        <w:bottom w:val="none" w:sz="0" w:space="0" w:color="auto"/>
        <w:right w:val="none" w:sz="0" w:space="0" w:color="auto"/>
      </w:divBdr>
    </w:div>
    <w:div w:id="1380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AF99A-0BEB-45E7-8489-3DA8B578A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BF5FC-1E7B-45A4-90F1-DC13B019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08FE2C-B61D-416C-A5B0-E482A0302D84}">
  <ds:schemaRefs>
    <ds:schemaRef ds:uri="http://schemas.microsoft.com/sharepoint/v3/contenttype/forms"/>
  </ds:schemaRefs>
</ds:datastoreItem>
</file>

<file path=customXml/itemProps4.xml><?xml version="1.0" encoding="utf-8"?>
<ds:datastoreItem xmlns:ds="http://schemas.openxmlformats.org/officeDocument/2006/customXml" ds:itemID="{75C91A4D-6530-4CEB-9873-B9FC8C90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2311</Words>
  <Characters>12714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Karen Beatriz Martinez Munguia</cp:lastModifiedBy>
  <cp:revision>5</cp:revision>
  <dcterms:created xsi:type="dcterms:W3CDTF">2019-03-20T00:28:00Z</dcterms:created>
  <dcterms:modified xsi:type="dcterms:W3CDTF">2019-03-21T20:11:00Z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