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24F74" w14:textId="06F60FCA" w:rsidR="00FF0299" w:rsidRPr="00046E7F" w:rsidRDefault="00BC09A3" w:rsidP="006C321C">
      <w:pPr>
        <w:spacing w:after="0" w:line="276" w:lineRule="auto"/>
        <w:ind w:left="0" w:right="0" w:firstLine="0"/>
        <w:rPr>
          <w:rFonts w:ascii="ITC Avant Garde" w:hAnsi="ITC Avant Garde"/>
          <w:b/>
          <w:i/>
        </w:rPr>
      </w:pPr>
      <w:bookmarkStart w:id="0" w:name="_GoBack"/>
      <w:bookmarkEnd w:id="0"/>
      <w:r w:rsidRPr="006C321C">
        <w:rPr>
          <w:rFonts w:ascii="ITC Avant Garde" w:eastAsiaTheme="minorHAnsi" w:hAnsi="ITC Avant Garde" w:cstheme="minorBidi"/>
          <w:b/>
          <w:color w:val="auto"/>
          <w:sz w:val="24"/>
          <w:szCs w:val="24"/>
          <w:lang w:eastAsia="en-US"/>
        </w:rPr>
        <w:t>RESPUESTAS GENERALES QUE BRINDA EL INSTITUTO FEDERAL DE TELECOMUNICACIONES A LAS MANIFESTACIONES, OPINIONES, COMENTARIOS Y PROPUESTAS CONCRETAS, PRESENTADAS DURANTE LA CONSULTA PÚBLICA DE</w:t>
      </w:r>
      <w:r w:rsidR="00BB163B" w:rsidRPr="006C321C">
        <w:rPr>
          <w:rFonts w:ascii="ITC Avant Garde" w:eastAsiaTheme="minorHAnsi" w:hAnsi="ITC Avant Garde" w:cstheme="minorBidi"/>
          <w:b/>
          <w:color w:val="auto"/>
          <w:sz w:val="24"/>
          <w:szCs w:val="24"/>
          <w:lang w:eastAsia="en-US"/>
        </w:rPr>
        <w:t xml:space="preserve"> </w:t>
      </w:r>
      <w:r w:rsidRPr="006C321C">
        <w:rPr>
          <w:rFonts w:ascii="ITC Avant Garde" w:eastAsiaTheme="minorHAnsi" w:hAnsi="ITC Avant Garde" w:cstheme="minorBidi"/>
          <w:b/>
          <w:color w:val="auto"/>
          <w:sz w:val="24"/>
          <w:szCs w:val="24"/>
          <w:lang w:eastAsia="en-US"/>
        </w:rPr>
        <w:t>L</w:t>
      </w:r>
      <w:r w:rsidR="00EB2BB8" w:rsidRPr="006C321C">
        <w:rPr>
          <w:rFonts w:ascii="ITC Avant Garde" w:eastAsiaTheme="minorHAnsi" w:hAnsi="ITC Avant Garde" w:cstheme="minorBidi"/>
          <w:b/>
          <w:color w:val="auto"/>
          <w:sz w:val="24"/>
          <w:szCs w:val="24"/>
          <w:lang w:eastAsia="en-US"/>
        </w:rPr>
        <w:t>A</w:t>
      </w:r>
      <w:r w:rsidR="006C321C">
        <w:rPr>
          <w:rFonts w:ascii="ITC Avant Garde" w:eastAsiaTheme="minorHAnsi" w:hAnsi="ITC Avant Garde" w:cstheme="minorBidi"/>
          <w:b/>
          <w:color w:val="auto"/>
          <w:sz w:val="24"/>
          <w:szCs w:val="24"/>
          <w:lang w:eastAsia="en-US"/>
        </w:rPr>
        <w:t>S</w:t>
      </w:r>
      <w:r w:rsidR="00FF0299" w:rsidRPr="006C321C">
        <w:rPr>
          <w:rFonts w:ascii="ITC Avant Garde" w:eastAsiaTheme="minorHAnsi" w:hAnsi="ITC Avant Garde" w:cstheme="minorBidi"/>
          <w:b/>
          <w:color w:val="auto"/>
          <w:sz w:val="24"/>
          <w:szCs w:val="24"/>
          <w:lang w:eastAsia="en-US"/>
        </w:rPr>
        <w:t xml:space="preserve"> </w:t>
      </w:r>
      <w:r w:rsidR="00046E7F" w:rsidRPr="00046E7F">
        <w:rPr>
          <w:rFonts w:ascii="ITC Avant Garde" w:eastAsiaTheme="minorHAnsi" w:hAnsi="ITC Avant Garde" w:cstheme="minorBidi"/>
          <w:b/>
          <w:i/>
          <w:color w:val="auto"/>
          <w:sz w:val="24"/>
          <w:szCs w:val="24"/>
          <w:lang w:eastAsia="en-US"/>
        </w:rPr>
        <w:t>“PROPUESTAS DE OFERTAS DE REFERENCIA PARA LA PRESTACIÓN DE LOS SERVICIOS MAYORISTAS DE USUARIO VISITANTE; DE COMERCIALIZACIÓN O REVENTA DE SERVICIOS; DEL SERVICIO DE ACCESO Y USO COMPARTIDO DE INFRAESTRUCTURA PRESENTADAS POR EL AGENTE ECONÓMICO PREPONDERANTE EN EL SECTOR DE LAS TELECOMUNICACIONES”</w:t>
      </w:r>
      <w:r w:rsidR="00046E7F">
        <w:rPr>
          <w:rFonts w:ascii="ITC Avant Garde" w:eastAsiaTheme="minorHAnsi" w:hAnsi="ITC Avant Garde" w:cstheme="minorBidi"/>
          <w:b/>
          <w:i/>
          <w:color w:val="auto"/>
          <w:sz w:val="24"/>
          <w:szCs w:val="24"/>
          <w:lang w:eastAsia="en-US"/>
        </w:rPr>
        <w:t>.</w:t>
      </w:r>
    </w:p>
    <w:p w14:paraId="3807B4DF" w14:textId="77777777" w:rsidR="00BC09A3" w:rsidRPr="005B36F9" w:rsidRDefault="00BC09A3" w:rsidP="00FF0299">
      <w:pPr>
        <w:spacing w:after="1" w:line="276" w:lineRule="auto"/>
        <w:ind w:left="0" w:right="0" w:firstLine="0"/>
        <w:rPr>
          <w:rFonts w:ascii="ITC Avant Garde" w:hAnsi="ITC Avant Garde"/>
        </w:rPr>
      </w:pPr>
    </w:p>
    <w:p w14:paraId="0A57018D" w14:textId="09DCE744" w:rsidR="00104F67" w:rsidRDefault="00104F67" w:rsidP="00104F67">
      <w:pPr>
        <w:spacing w:after="0" w:line="276" w:lineRule="auto"/>
        <w:ind w:left="-6" w:hanging="11"/>
        <w:rPr>
          <w:rFonts w:ascii="ITC Avant Garde" w:hAnsi="ITC Avant Garde" w:cs="ITC Avant Garde"/>
        </w:rPr>
      </w:pPr>
      <w:r>
        <w:rPr>
          <w:rFonts w:ascii="ITC Avant Garde" w:hAnsi="ITC Avant Garde" w:cs="ITC Avant Garde"/>
          <w:b/>
        </w:rPr>
        <w:t>Fecha de Elaboración del Informe de Consideraciones sobre los comentarios, opiniones y aportaciones recibidos en relación a la presente Consulta Pública</w:t>
      </w:r>
      <w:r w:rsidRPr="00BB5136">
        <w:rPr>
          <w:rFonts w:ascii="ITC Avant Garde" w:hAnsi="ITC Avant Garde" w:cs="ITC Avant Garde"/>
          <w:b/>
        </w:rPr>
        <w:t xml:space="preserve">: </w:t>
      </w:r>
      <w:r w:rsidR="00BA6491">
        <w:rPr>
          <w:rFonts w:ascii="ITC Avant Garde" w:hAnsi="ITC Avant Garde" w:cs="ITC Avant Garde"/>
        </w:rPr>
        <w:t>9</w:t>
      </w:r>
      <w:r w:rsidR="007D4BEE" w:rsidRPr="00BB5136">
        <w:rPr>
          <w:rFonts w:ascii="ITC Avant Garde" w:hAnsi="ITC Avant Garde" w:cs="ITC Avant Garde"/>
        </w:rPr>
        <w:t xml:space="preserve"> de </w:t>
      </w:r>
      <w:r w:rsidR="00525677">
        <w:rPr>
          <w:rFonts w:ascii="ITC Avant Garde" w:hAnsi="ITC Avant Garde" w:cs="ITC Avant Garde"/>
        </w:rPr>
        <w:t>diciembre</w:t>
      </w:r>
      <w:r w:rsidR="00BA6491">
        <w:rPr>
          <w:rFonts w:ascii="ITC Avant Garde" w:hAnsi="ITC Avant Garde" w:cs="ITC Avant Garde"/>
        </w:rPr>
        <w:t xml:space="preserve"> del 2019</w:t>
      </w:r>
      <w:r w:rsidRPr="00BB5136">
        <w:rPr>
          <w:rFonts w:ascii="ITC Avant Garde" w:hAnsi="ITC Avant Garde" w:cs="ITC Avant Garde"/>
        </w:rPr>
        <w:t>.</w:t>
      </w:r>
    </w:p>
    <w:p w14:paraId="122169D9" w14:textId="7E75A946" w:rsidR="00665D70" w:rsidRDefault="00665D70" w:rsidP="00104F67">
      <w:pPr>
        <w:spacing w:after="0" w:line="276" w:lineRule="auto"/>
        <w:ind w:left="-6" w:hanging="11"/>
        <w:rPr>
          <w:rFonts w:ascii="ITC Avant Garde" w:hAnsi="ITC Avant Garde" w:cs="ITC Avant Garde"/>
        </w:rPr>
      </w:pPr>
    </w:p>
    <w:p w14:paraId="4D4296DD" w14:textId="77777777" w:rsidR="00665D70" w:rsidRDefault="00665D70" w:rsidP="00665D70">
      <w:pPr>
        <w:spacing w:after="0" w:line="276" w:lineRule="auto"/>
        <w:ind w:left="-6" w:hanging="11"/>
        <w:rPr>
          <w:rFonts w:ascii="ITC Avant Garde" w:hAnsi="ITC Avant Garde" w:cs="ITC Avant Garde"/>
          <w:b/>
        </w:rPr>
      </w:pPr>
      <w:r>
        <w:rPr>
          <w:rFonts w:ascii="ITC Avant Garde" w:hAnsi="ITC Avant Garde" w:cs="ITC Avant Garde"/>
          <w:b/>
        </w:rPr>
        <w:t>Descripción de la Consulta Pública:</w:t>
      </w:r>
    </w:p>
    <w:p w14:paraId="0EA28AA8" w14:textId="52EF5799" w:rsidR="00665D70" w:rsidRDefault="002A50FC" w:rsidP="00665D70">
      <w:pPr>
        <w:spacing w:after="0" w:line="276" w:lineRule="auto"/>
        <w:ind w:left="-6" w:right="0" w:hanging="11"/>
        <w:rPr>
          <w:rFonts w:ascii="ITC Avant Garde" w:eastAsiaTheme="minorHAnsi" w:hAnsi="ITC Avant Garde" w:cs="ITC Avant Garde"/>
          <w:lang w:eastAsia="en-US"/>
        </w:rPr>
      </w:pPr>
      <w:r w:rsidRPr="002A50FC">
        <w:rPr>
          <w:rFonts w:ascii="ITC Avant Garde" w:hAnsi="ITC Avant Garde"/>
        </w:rPr>
        <w:t xml:space="preserve">El Instituto Federal de Telecomunicaciones (en lo sucesivo, “Instituto”) </w:t>
      </w:r>
      <w:r w:rsidR="00665D70" w:rsidRPr="00665D70">
        <w:rPr>
          <w:rFonts w:ascii="ITC Avant Garde" w:eastAsiaTheme="minorHAnsi" w:hAnsi="ITC Avant Garde" w:cs="ITC Avant Garde"/>
          <w:lang w:eastAsia="en-US"/>
        </w:rPr>
        <w:t>recibió los comentarios, opiniones y aportaciones que se tuvieron con relación al contenido de las</w:t>
      </w:r>
      <w:r w:rsidR="00A14A58">
        <w:rPr>
          <w:rFonts w:ascii="ITC Avant Garde" w:eastAsiaTheme="minorHAnsi" w:hAnsi="ITC Avant Garde" w:cs="ITC Avant Garde"/>
          <w:lang w:eastAsia="en-US"/>
        </w:rPr>
        <w:t xml:space="preserve"> </w:t>
      </w:r>
      <w:r w:rsidR="008B2ED4" w:rsidRPr="008B2ED4">
        <w:rPr>
          <w:rFonts w:ascii="ITC Avant Garde" w:eastAsiaTheme="minorHAnsi" w:hAnsi="ITC Avant Garde" w:cs="ITC Avant Garde"/>
          <w:b/>
          <w:i/>
          <w:lang w:eastAsia="en-US"/>
        </w:rPr>
        <w:t>“Propuestas de Ofertas de Referencia para la prestación de los Servicios Mayoristas de Usuario Visitante; de Comercialización o Reventa de Servicios; del Servicio de Acceso y Uso Compartido de Infraestructura presentadas por el Agente Económico Preponderante en el sector de las telecomunicaciones”</w:t>
      </w:r>
      <w:r w:rsidR="00665D70" w:rsidRPr="00665D70">
        <w:rPr>
          <w:rFonts w:ascii="ITC Avant Garde" w:eastAsiaTheme="minorHAnsi" w:hAnsi="ITC Avant Garde" w:cs="ITC Avant Garde"/>
          <w:lang w:eastAsia="en-US"/>
        </w:rPr>
        <w:t xml:space="preserve"> (en lo sucesivo, la</w:t>
      </w:r>
      <w:r w:rsidR="00515031">
        <w:rPr>
          <w:rFonts w:ascii="ITC Avant Garde" w:eastAsiaTheme="minorHAnsi" w:hAnsi="ITC Avant Garde" w:cs="ITC Avant Garde"/>
          <w:lang w:eastAsia="en-US"/>
        </w:rPr>
        <w:t>s</w:t>
      </w:r>
      <w:r w:rsidR="00665D70" w:rsidRPr="00665D70">
        <w:rPr>
          <w:rFonts w:ascii="ITC Avant Garde" w:eastAsiaTheme="minorHAnsi" w:hAnsi="ITC Avant Garde" w:cs="ITC Avant Garde"/>
          <w:lang w:eastAsia="en-US"/>
        </w:rPr>
        <w:t xml:space="preserve"> “</w:t>
      </w:r>
      <w:r w:rsidR="00515031">
        <w:rPr>
          <w:rFonts w:ascii="ITC Avant Garde" w:eastAsiaTheme="minorHAnsi" w:hAnsi="ITC Avant Garde" w:cs="ITC Avant Garde"/>
          <w:lang w:eastAsia="en-US"/>
        </w:rPr>
        <w:t xml:space="preserve">Propuestas de </w:t>
      </w:r>
      <w:r w:rsidR="002C366C">
        <w:rPr>
          <w:rFonts w:ascii="ITC Avant Garde" w:eastAsiaTheme="minorHAnsi" w:hAnsi="ITC Avant Garde" w:cs="ITC Avant Garde"/>
          <w:lang w:eastAsia="en-US"/>
        </w:rPr>
        <w:t>Oferta</w:t>
      </w:r>
      <w:r w:rsidR="00515031">
        <w:rPr>
          <w:rFonts w:ascii="ITC Avant Garde" w:eastAsiaTheme="minorHAnsi" w:hAnsi="ITC Avant Garde" w:cs="ITC Avant Garde"/>
          <w:lang w:eastAsia="en-US"/>
        </w:rPr>
        <w:t>s</w:t>
      </w:r>
      <w:r w:rsidR="00665D70" w:rsidRPr="00665D70">
        <w:rPr>
          <w:rFonts w:ascii="ITC Avant Garde" w:eastAsiaTheme="minorHAnsi" w:hAnsi="ITC Avant Garde" w:cs="ITC Avant Garde"/>
          <w:lang w:eastAsia="en-US"/>
        </w:rPr>
        <w:t xml:space="preserve">”) materia de la consulta pública de mérito, recibidas durante el periodo comprendido </w:t>
      </w:r>
      <w:r w:rsidR="00665D70" w:rsidRPr="00BB5136">
        <w:rPr>
          <w:rFonts w:ascii="ITC Avant Garde" w:eastAsiaTheme="minorHAnsi" w:hAnsi="ITC Avant Garde" w:cs="ITC Avant Garde"/>
          <w:lang w:eastAsia="en-US"/>
        </w:rPr>
        <w:t xml:space="preserve">del </w:t>
      </w:r>
      <w:r w:rsidR="003508B6">
        <w:rPr>
          <w:rFonts w:ascii="ITC Avant Garde" w:eastAsiaTheme="minorHAnsi" w:hAnsi="ITC Avant Garde" w:cs="ITC Avant Garde"/>
          <w:lang w:eastAsia="en-US"/>
        </w:rPr>
        <w:t>12</w:t>
      </w:r>
      <w:r w:rsidR="00665D70" w:rsidRPr="00BB5136">
        <w:rPr>
          <w:rFonts w:ascii="ITC Avant Garde" w:eastAsiaTheme="minorHAnsi" w:hAnsi="ITC Avant Garde" w:cs="ITC Avant Garde"/>
          <w:lang w:eastAsia="en-US"/>
        </w:rPr>
        <w:t xml:space="preserve"> </w:t>
      </w:r>
      <w:r w:rsidR="003508B6">
        <w:rPr>
          <w:rFonts w:ascii="ITC Avant Garde" w:eastAsiaTheme="minorHAnsi" w:hAnsi="ITC Avant Garde" w:cs="ITC Avant Garde"/>
          <w:lang w:eastAsia="en-US"/>
        </w:rPr>
        <w:t>de agosto al 10</w:t>
      </w:r>
      <w:r w:rsidR="002C366C" w:rsidRPr="00BB5136">
        <w:rPr>
          <w:rFonts w:ascii="ITC Avant Garde" w:eastAsiaTheme="minorHAnsi" w:hAnsi="ITC Avant Garde" w:cs="ITC Avant Garde"/>
          <w:lang w:eastAsia="en-US"/>
        </w:rPr>
        <w:t xml:space="preserve"> de septiembre</w:t>
      </w:r>
      <w:r w:rsidR="003508B6">
        <w:rPr>
          <w:rFonts w:ascii="ITC Avant Garde" w:eastAsiaTheme="minorHAnsi" w:hAnsi="ITC Avant Garde" w:cs="ITC Avant Garde"/>
          <w:lang w:eastAsia="en-US"/>
        </w:rPr>
        <w:t xml:space="preserve"> de 2019</w:t>
      </w:r>
      <w:r w:rsidR="00665D70" w:rsidRPr="00BB5136">
        <w:rPr>
          <w:rFonts w:ascii="ITC Avant Garde" w:eastAsiaTheme="minorHAnsi" w:hAnsi="ITC Avant Garde" w:cs="ITC Avant Garde"/>
          <w:lang w:eastAsia="en-US"/>
        </w:rPr>
        <w:t xml:space="preserve"> a</w:t>
      </w:r>
      <w:r w:rsidR="00665D70" w:rsidRPr="00665D70">
        <w:rPr>
          <w:rFonts w:ascii="ITC Avant Garde" w:eastAsiaTheme="minorHAnsi" w:hAnsi="ITC Avant Garde" w:cs="ITC Avant Garde"/>
          <w:lang w:eastAsia="en-US"/>
        </w:rPr>
        <w:t xml:space="preserve"> través de la dirección de correo electrónico </w:t>
      </w:r>
      <w:hyperlink r:id="rId8" w:history="1">
        <w:r w:rsidR="002C366C" w:rsidRPr="00D4028C">
          <w:rPr>
            <w:rFonts w:ascii="ITC Avant Garde" w:eastAsiaTheme="minorHAnsi" w:hAnsi="ITC Avant Garde" w:cs="ITC Avant Garde"/>
            <w:lang w:eastAsia="en-US"/>
          </w:rPr>
          <w:t>ofertas.referencia@ift.org.mx</w:t>
        </w:r>
      </w:hyperlink>
      <w:r w:rsidR="00665D70" w:rsidRPr="00665D70">
        <w:rPr>
          <w:rFonts w:ascii="ITC Avant Garde" w:eastAsiaTheme="minorHAnsi" w:hAnsi="ITC Avant Garde" w:cs="ITC Avant Garde"/>
          <w:lang w:eastAsia="en-US"/>
        </w:rPr>
        <w:t>,</w:t>
      </w:r>
      <w:r w:rsidR="00AF285E">
        <w:rPr>
          <w:rFonts w:ascii="ITC Avant Garde" w:eastAsiaTheme="minorHAnsi" w:hAnsi="ITC Avant Garde" w:cs="ITC Avant Garde"/>
          <w:lang w:eastAsia="en-US"/>
        </w:rPr>
        <w:t xml:space="preserve"> o </w:t>
      </w:r>
      <w:r w:rsidR="00665D70" w:rsidRPr="00665D70">
        <w:rPr>
          <w:rFonts w:ascii="ITC Avant Garde" w:eastAsiaTheme="minorHAnsi" w:hAnsi="ITC Avant Garde" w:cs="ITC Avant Garde"/>
          <w:lang w:eastAsia="en-US"/>
        </w:rPr>
        <w:t>bien, mediante escrito presentado en la Oficialía de Partes Común del Instituto ubicada en Insurgentes Sur 1143, colonia Nochebuena, Delegación Benito Juáre</w:t>
      </w:r>
      <w:r w:rsidR="00665D70">
        <w:rPr>
          <w:rFonts w:ascii="ITC Avant Garde" w:eastAsiaTheme="minorHAnsi" w:hAnsi="ITC Avant Garde" w:cs="ITC Avant Garde"/>
          <w:lang w:eastAsia="en-US"/>
        </w:rPr>
        <w:t>z, C.P. 03720, Ciudad de México.</w:t>
      </w:r>
    </w:p>
    <w:p w14:paraId="0D3822D8" w14:textId="1CC67CA2" w:rsidR="00A93E0C" w:rsidRDefault="00A93E0C" w:rsidP="00665D70">
      <w:pPr>
        <w:spacing w:after="0" w:line="276" w:lineRule="auto"/>
        <w:ind w:left="-6" w:right="0" w:hanging="11"/>
        <w:rPr>
          <w:rFonts w:ascii="ITC Avant Garde" w:eastAsiaTheme="minorHAnsi" w:hAnsi="ITC Avant Garde" w:cs="ITC Avant Garde"/>
          <w:lang w:eastAsia="en-US"/>
        </w:rPr>
      </w:pPr>
    </w:p>
    <w:p w14:paraId="4778A247" w14:textId="77777777" w:rsidR="00A93E0C" w:rsidRDefault="00A93E0C" w:rsidP="00A93E0C">
      <w:pPr>
        <w:spacing w:line="276" w:lineRule="auto"/>
        <w:ind w:left="-5"/>
        <w:rPr>
          <w:rFonts w:ascii="ITC Avant Garde" w:hAnsi="ITC Avant Garde" w:cs="ITC Avant Garde"/>
          <w:b/>
        </w:rPr>
      </w:pPr>
      <w:r w:rsidRPr="003B63F4">
        <w:rPr>
          <w:rFonts w:ascii="ITC Avant Garde" w:hAnsi="ITC Avant Garde" w:cs="ITC Avant Garde"/>
          <w:b/>
        </w:rPr>
        <w:t>Objetivo</w:t>
      </w:r>
      <w:r>
        <w:rPr>
          <w:rFonts w:ascii="ITC Avant Garde" w:hAnsi="ITC Avant Garde" w:cs="ITC Avant Garde"/>
          <w:b/>
        </w:rPr>
        <w:t xml:space="preserve"> de la Consulta Pública:</w:t>
      </w:r>
    </w:p>
    <w:p w14:paraId="20229C35" w14:textId="406CCE71" w:rsidR="002A50FC" w:rsidRDefault="002A50FC" w:rsidP="002A50FC">
      <w:pPr>
        <w:spacing w:line="276" w:lineRule="auto"/>
        <w:ind w:left="-5" w:right="0"/>
        <w:rPr>
          <w:rFonts w:ascii="ITC Avant Garde" w:hAnsi="ITC Avant Garde"/>
        </w:rPr>
      </w:pPr>
      <w:r w:rsidRPr="002A50FC">
        <w:rPr>
          <w:rFonts w:ascii="ITC Avant Garde" w:hAnsi="ITC Avant Garde"/>
        </w:rPr>
        <w:t>El Insti</w:t>
      </w:r>
      <w:r>
        <w:rPr>
          <w:rFonts w:ascii="ITC Avant Garde" w:hAnsi="ITC Avant Garde"/>
        </w:rPr>
        <w:t>tuto</w:t>
      </w:r>
      <w:r w:rsidRPr="002A50FC">
        <w:rPr>
          <w:rFonts w:ascii="ITC Avant Garde" w:hAnsi="ITC Avant Garde"/>
        </w:rPr>
        <w:t xml:space="preserve"> convencido de la importancia y relevancia de transparentar su proceso de elaboración de nuevas regulaciones, a través</w:t>
      </w:r>
      <w:r>
        <w:rPr>
          <w:rFonts w:ascii="ITC Avant Garde" w:hAnsi="ITC Avant Garde"/>
        </w:rPr>
        <w:t xml:space="preserve"> de la consulta pública recibió</w:t>
      </w:r>
      <w:r w:rsidRPr="002A50FC">
        <w:rPr>
          <w:rFonts w:ascii="ITC Avant Garde" w:hAnsi="ITC Avant Garde"/>
        </w:rPr>
        <w:t xml:space="preserve"> </w:t>
      </w:r>
      <w:r>
        <w:rPr>
          <w:rFonts w:ascii="ITC Avant Garde" w:hAnsi="ITC Avant Garde"/>
        </w:rPr>
        <w:t xml:space="preserve">los </w:t>
      </w:r>
      <w:r w:rsidRPr="002A50FC">
        <w:rPr>
          <w:rFonts w:ascii="ITC Avant Garde" w:hAnsi="ITC Avant Garde"/>
        </w:rPr>
        <w:t>comentarios, opiniones y aportaciones de cualquier interesado a propósito de las </w:t>
      </w:r>
      <w:r w:rsidR="0020219B">
        <w:rPr>
          <w:rFonts w:ascii="ITC Avant Garde" w:hAnsi="ITC Avant Garde"/>
        </w:rPr>
        <w:t xml:space="preserve">Propuestas de </w:t>
      </w:r>
      <w:r>
        <w:rPr>
          <w:rFonts w:ascii="ITC Avant Garde" w:hAnsi="ITC Avant Garde"/>
        </w:rPr>
        <w:t>Ofertas</w:t>
      </w:r>
      <w:r w:rsidRPr="002A50FC">
        <w:rPr>
          <w:rFonts w:ascii="ITC Avant Garde" w:hAnsi="ITC Avant Garde"/>
        </w:rPr>
        <w:t>, las cuales se proponen con base en lo establecido en los artículos 1, 2, 7, 15, fracción XL y LXIII, 51 y 269 fracción III de la Ley Federal de Telecomunicaciones y Radiodifusión</w:t>
      </w:r>
      <w:r w:rsidR="00096849">
        <w:rPr>
          <w:rFonts w:ascii="ITC Avant Garde" w:hAnsi="ITC Avant Garde"/>
        </w:rPr>
        <w:t xml:space="preserve"> (en lo sucesivo, la “LFTR”)</w:t>
      </w:r>
      <w:r w:rsidRPr="002A50FC">
        <w:rPr>
          <w:rFonts w:ascii="ITC Avant Garde" w:hAnsi="ITC Avant Garde"/>
        </w:rPr>
        <w:t>, y 1, 4, fracción I, 6, fracción XXXVIII y 26, fracción I del Estatuto Orgánico del Institut</w:t>
      </w:r>
      <w:r w:rsidR="00096849">
        <w:rPr>
          <w:rFonts w:ascii="ITC Avant Garde" w:hAnsi="ITC Avant Garde"/>
        </w:rPr>
        <w:t xml:space="preserve">o Federal de Telecomunicaciones, y la </w:t>
      </w:r>
      <w:r w:rsidR="00096849" w:rsidRPr="00096849">
        <w:rPr>
          <w:rFonts w:ascii="ITC Avant Garde" w:hAnsi="ITC Avant Garde"/>
        </w:rPr>
        <w:t xml:space="preserve">“Resolución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w:t>
      </w:r>
      <w:r w:rsidR="00096849" w:rsidRPr="00096849">
        <w:rPr>
          <w:rFonts w:ascii="ITC Avant Garde" w:hAnsi="ITC Avant Garde"/>
        </w:rPr>
        <w:lastRenderedPageBreak/>
        <w:t>en el sector de telecomunicaciones y le impone las medidas necesarias para evitar que se afecte la competencia y la libre concurrencia”, aprobada mediante Acuerdo P/IFT/EXT/060314/76, y</w:t>
      </w:r>
      <w:r w:rsidR="00A758C1">
        <w:rPr>
          <w:rFonts w:ascii="ITC Avant Garde" w:hAnsi="ITC Avant Garde"/>
        </w:rPr>
        <w:t xml:space="preserve"> la</w:t>
      </w:r>
      <w:r w:rsidR="00096849" w:rsidRPr="00096849">
        <w:rPr>
          <w:rFonts w:ascii="ITC Avant Garde" w:hAnsi="ITC Avant Garde"/>
        </w:rPr>
        <w:t xml:space="preserve"> “Resolución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P/IFT/EXT/270217/119</w:t>
      </w:r>
      <w:r w:rsidR="002C21AF">
        <w:rPr>
          <w:rFonts w:ascii="ITC Avant Garde" w:hAnsi="ITC Avant Garde"/>
        </w:rPr>
        <w:t xml:space="preserve"> (en lo sucesivo, las “Medidas Móviles”)</w:t>
      </w:r>
      <w:r w:rsidR="00096849" w:rsidRPr="00096849">
        <w:rPr>
          <w:rFonts w:ascii="ITC Avant Garde" w:hAnsi="ITC Avant Garde"/>
        </w:rPr>
        <w:t>.</w:t>
      </w:r>
    </w:p>
    <w:p w14:paraId="1A164306" w14:textId="77777777" w:rsidR="002A50FC" w:rsidRPr="002A50FC" w:rsidRDefault="002A50FC" w:rsidP="002A50FC">
      <w:pPr>
        <w:spacing w:line="276" w:lineRule="auto"/>
        <w:ind w:left="-5" w:right="0"/>
        <w:rPr>
          <w:rFonts w:ascii="ITC Avant Garde" w:hAnsi="ITC Avant Garde"/>
        </w:rPr>
      </w:pPr>
    </w:p>
    <w:p w14:paraId="6ACF5692" w14:textId="30B678BE" w:rsidR="002A50FC" w:rsidRDefault="002A50FC" w:rsidP="002A50FC">
      <w:pPr>
        <w:spacing w:line="276" w:lineRule="auto"/>
        <w:ind w:left="-5" w:right="0"/>
        <w:rPr>
          <w:rFonts w:ascii="ITC Avant Garde" w:hAnsi="ITC Avant Garde"/>
        </w:rPr>
      </w:pPr>
      <w:r w:rsidRPr="002A50FC">
        <w:rPr>
          <w:rFonts w:ascii="ITC Avant Garde" w:hAnsi="ITC Avant Garde"/>
        </w:rPr>
        <w:t xml:space="preserve">Los objetivos principales de la </w:t>
      </w:r>
      <w:r w:rsidR="00BB2237">
        <w:rPr>
          <w:rFonts w:ascii="ITC Avant Garde" w:hAnsi="ITC Avant Garde"/>
        </w:rPr>
        <w:t>consulta pública consistieron</w:t>
      </w:r>
      <w:r w:rsidRPr="002A50FC">
        <w:rPr>
          <w:rFonts w:ascii="ITC Avant Garde" w:hAnsi="ITC Avant Garde"/>
        </w:rPr>
        <w:t xml:space="preserve"> en: i) contar con mayores elementos para determinar las condiciones bajo las cuales</w:t>
      </w:r>
      <w:r w:rsidR="00E37389">
        <w:rPr>
          <w:rFonts w:ascii="ITC Avant Garde" w:hAnsi="ITC Avant Garde"/>
        </w:rPr>
        <w:t xml:space="preserve"> se deberán aprobar las </w:t>
      </w:r>
      <w:r w:rsidR="00C60FA1">
        <w:rPr>
          <w:rFonts w:ascii="ITC Avant Garde" w:hAnsi="ITC Avant Garde"/>
        </w:rPr>
        <w:t xml:space="preserve">Propuestas de </w:t>
      </w:r>
      <w:r w:rsidR="00E37389">
        <w:rPr>
          <w:rFonts w:ascii="ITC Avant Garde" w:hAnsi="ITC Avant Garde"/>
        </w:rPr>
        <w:t>Ofertas</w:t>
      </w:r>
      <w:r w:rsidRPr="002A50FC">
        <w:rPr>
          <w:rFonts w:ascii="ITC Avant Garde" w:hAnsi="ITC Avant Garde"/>
        </w:rPr>
        <w:t>; ii) favorecer la transparencia y participación ciudadana con el fin de recibir los comentarios y opiniones de regulados, cámaras</w:t>
      </w:r>
      <w:r w:rsidR="006F4A61">
        <w:rPr>
          <w:rFonts w:ascii="ITC Avant Garde" w:hAnsi="ITC Avant Garde"/>
        </w:rPr>
        <w:t xml:space="preserve"> industriales</w:t>
      </w:r>
      <w:r w:rsidRPr="002A50FC">
        <w:rPr>
          <w:rFonts w:ascii="ITC Avant Garde" w:hAnsi="ITC Avant Garde"/>
        </w:rPr>
        <w:t>, usuarios y audiencias</w:t>
      </w:r>
      <w:r w:rsidR="00E37389">
        <w:rPr>
          <w:rFonts w:ascii="ITC Avant Garde" w:hAnsi="ITC Avant Garde"/>
        </w:rPr>
        <w:t xml:space="preserve"> sobre las </w:t>
      </w:r>
      <w:r w:rsidR="00F11F9F">
        <w:rPr>
          <w:rFonts w:ascii="ITC Avant Garde" w:hAnsi="ITC Avant Garde"/>
        </w:rPr>
        <w:t xml:space="preserve">Propuestas de </w:t>
      </w:r>
      <w:r w:rsidR="00E37389">
        <w:rPr>
          <w:rFonts w:ascii="ITC Avant Garde" w:hAnsi="ITC Avant Garde"/>
        </w:rPr>
        <w:t>Ofertas</w:t>
      </w:r>
      <w:r w:rsidRPr="002A50FC">
        <w:rPr>
          <w:rFonts w:ascii="ITC Avant Garde" w:hAnsi="ITC Avant Garde"/>
        </w:rPr>
        <w:t>; y iii) establecer las bases para aprobar o modificar las mismas.</w:t>
      </w:r>
    </w:p>
    <w:p w14:paraId="1F5203D6" w14:textId="67E4CCD8" w:rsidR="00632D40" w:rsidRDefault="00632D40" w:rsidP="002A50FC">
      <w:pPr>
        <w:spacing w:line="276" w:lineRule="auto"/>
        <w:ind w:left="-5" w:right="0"/>
        <w:rPr>
          <w:rFonts w:ascii="ITC Avant Garde" w:hAnsi="ITC Avant Garde"/>
        </w:rPr>
      </w:pPr>
    </w:p>
    <w:p w14:paraId="291DEE0D" w14:textId="77777777" w:rsidR="00632D40" w:rsidRDefault="00632D40" w:rsidP="00632D40">
      <w:pPr>
        <w:spacing w:line="276" w:lineRule="auto"/>
        <w:ind w:left="-5"/>
        <w:rPr>
          <w:rFonts w:ascii="ITC Avant Garde" w:hAnsi="ITC Avant Garde" w:cs="ITC Avant Garde"/>
          <w:b/>
        </w:rPr>
      </w:pPr>
      <w:r>
        <w:rPr>
          <w:rFonts w:ascii="ITC Avant Garde" w:hAnsi="ITC Avant Garde" w:cs="ITC Avant Garde"/>
          <w:b/>
        </w:rPr>
        <w:t xml:space="preserve">Unidad Administrativa que promueve el proyecto: </w:t>
      </w:r>
      <w:r w:rsidRPr="00F7338C">
        <w:rPr>
          <w:rFonts w:ascii="ITC Avant Garde" w:hAnsi="ITC Avant Garde" w:cs="ITC Avant Garde"/>
        </w:rPr>
        <w:t>Unidad de Política Regulatoria.</w:t>
      </w:r>
    </w:p>
    <w:p w14:paraId="4C353835" w14:textId="0BB137A4" w:rsidR="00D44461" w:rsidRPr="005B36F9" w:rsidRDefault="00D44461" w:rsidP="00100519">
      <w:pPr>
        <w:spacing w:after="0" w:line="276" w:lineRule="auto"/>
        <w:ind w:left="0" w:right="0" w:firstLine="0"/>
        <w:jc w:val="left"/>
        <w:rPr>
          <w:rFonts w:ascii="ITC Avant Garde" w:hAnsi="ITC Avant Garde"/>
        </w:rPr>
      </w:pPr>
    </w:p>
    <w:p w14:paraId="7F5CBCD3" w14:textId="77777777" w:rsidR="00504D46" w:rsidRPr="0053503B" w:rsidRDefault="00504D46" w:rsidP="00504D46">
      <w:pPr>
        <w:spacing w:after="0" w:line="276" w:lineRule="auto"/>
        <w:ind w:left="-6" w:hanging="11"/>
        <w:rPr>
          <w:rFonts w:ascii="ITC Avant Garde" w:hAnsi="ITC Avant Garde" w:cs="ITC Avant Garde"/>
        </w:rPr>
      </w:pPr>
      <w:r>
        <w:rPr>
          <w:rFonts w:ascii="ITC Avant Garde" w:hAnsi="ITC Avant Garde" w:cs="ITC Avant Garde"/>
          <w:b/>
        </w:rPr>
        <w:t>Participantes de la Consulta Pública:</w:t>
      </w:r>
    </w:p>
    <w:p w14:paraId="6268314B" w14:textId="776656AD" w:rsidR="00DD421A" w:rsidRPr="005B36F9" w:rsidRDefault="00A62960" w:rsidP="00100519">
      <w:pPr>
        <w:spacing w:line="276" w:lineRule="auto"/>
        <w:ind w:left="-5" w:right="0"/>
        <w:rPr>
          <w:rFonts w:ascii="ITC Avant Garde" w:hAnsi="ITC Avant Garde"/>
        </w:rPr>
      </w:pPr>
      <w:r w:rsidRPr="005B36F9">
        <w:rPr>
          <w:rFonts w:ascii="ITC Avant Garde" w:hAnsi="ITC Avant Garde"/>
        </w:rPr>
        <w:t xml:space="preserve">Durante </w:t>
      </w:r>
      <w:r w:rsidR="00BC09A3" w:rsidRPr="005B36F9">
        <w:rPr>
          <w:rFonts w:ascii="ITC Avant Garde" w:hAnsi="ITC Avant Garde"/>
        </w:rPr>
        <w:t xml:space="preserve">el </w:t>
      </w:r>
      <w:r w:rsidR="001D50AC" w:rsidRPr="005B36F9">
        <w:rPr>
          <w:rFonts w:ascii="ITC Avant Garde" w:hAnsi="ITC Avant Garde"/>
        </w:rPr>
        <w:t>periodo</w:t>
      </w:r>
      <w:r w:rsidR="00BC09A3" w:rsidRPr="005B36F9">
        <w:rPr>
          <w:rFonts w:ascii="ITC Avant Garde" w:hAnsi="ITC Avant Garde"/>
        </w:rPr>
        <w:t xml:space="preserve"> de la consulta pú</w:t>
      </w:r>
      <w:r w:rsidR="00D44461" w:rsidRPr="005B36F9">
        <w:rPr>
          <w:rFonts w:ascii="ITC Avant Garde" w:hAnsi="ITC Avant Garde"/>
        </w:rPr>
        <w:t>bl</w:t>
      </w:r>
      <w:r w:rsidR="007E006A" w:rsidRPr="005B36F9">
        <w:rPr>
          <w:rFonts w:ascii="ITC Avant Garde" w:hAnsi="ITC Avant Garde"/>
        </w:rPr>
        <w:t xml:space="preserve">ica de mérito, se </w:t>
      </w:r>
      <w:r w:rsidR="007E006A" w:rsidRPr="005C05E7">
        <w:rPr>
          <w:rFonts w:ascii="ITC Avant Garde" w:hAnsi="ITC Avant Garde"/>
        </w:rPr>
        <w:t xml:space="preserve">recibieron </w:t>
      </w:r>
      <w:r w:rsidR="003D4494" w:rsidRPr="005C05E7">
        <w:rPr>
          <w:rFonts w:ascii="ITC Avant Garde" w:hAnsi="ITC Avant Garde"/>
        </w:rPr>
        <w:t>5</w:t>
      </w:r>
      <w:r w:rsidR="006751FC" w:rsidRPr="005C05E7">
        <w:rPr>
          <w:rFonts w:ascii="ITC Avant Garde" w:hAnsi="ITC Avant Garde"/>
        </w:rPr>
        <w:t xml:space="preserve"> </w:t>
      </w:r>
      <w:r w:rsidR="0076085E" w:rsidRPr="005C05E7">
        <w:rPr>
          <w:rFonts w:ascii="ITC Avant Garde" w:hAnsi="ITC Avant Garde"/>
        </w:rPr>
        <w:t>participaciones</w:t>
      </w:r>
      <w:r w:rsidR="00FF0C54" w:rsidRPr="005C05E7">
        <w:rPr>
          <w:rFonts w:ascii="ITC Avant Garde" w:hAnsi="ITC Avant Garde"/>
        </w:rPr>
        <w:t xml:space="preserve"> </w:t>
      </w:r>
      <w:r w:rsidR="003146CE" w:rsidRPr="005C05E7">
        <w:rPr>
          <w:rFonts w:ascii="ITC Avant Garde" w:hAnsi="ITC Avant Garde"/>
        </w:rPr>
        <w:t>por parte de las siguientes personas morales:</w:t>
      </w:r>
    </w:p>
    <w:p w14:paraId="30D7AFD0" w14:textId="77777777" w:rsidR="00442091" w:rsidRPr="005B36F9" w:rsidRDefault="00442091" w:rsidP="00100519">
      <w:pPr>
        <w:spacing w:line="276" w:lineRule="auto"/>
        <w:ind w:left="-5" w:right="0"/>
        <w:rPr>
          <w:rFonts w:ascii="ITC Avant Garde" w:hAnsi="ITC Avant Garde"/>
        </w:rPr>
      </w:pPr>
    </w:p>
    <w:p w14:paraId="5712C4AD" w14:textId="0EF6C95A" w:rsidR="00442091" w:rsidRPr="005B36F9" w:rsidRDefault="00432B9B" w:rsidP="00DA0F6F">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5B36F9">
        <w:rPr>
          <w:rFonts w:ascii="ITC Avant Garde" w:eastAsiaTheme="minorHAnsi" w:hAnsi="ITC Avant Garde" w:cs="ITC Avant Garde"/>
          <w:lang w:eastAsia="en-US"/>
        </w:rPr>
        <w:t>Altán</w:t>
      </w:r>
      <w:r w:rsidR="00442091" w:rsidRPr="005B36F9">
        <w:rPr>
          <w:rFonts w:ascii="ITC Avant Garde" w:eastAsiaTheme="minorHAnsi" w:hAnsi="ITC Avant Garde" w:cs="ITC Avant Garde"/>
          <w:lang w:eastAsia="en-US"/>
        </w:rPr>
        <w:t xml:space="preserve"> </w:t>
      </w:r>
      <w:r w:rsidRPr="005B36F9">
        <w:rPr>
          <w:rFonts w:ascii="ITC Avant Garde" w:eastAsiaTheme="minorHAnsi" w:hAnsi="ITC Avant Garde" w:cs="ITC Avant Garde"/>
          <w:lang w:eastAsia="en-US"/>
        </w:rPr>
        <w:t>Redes</w:t>
      </w:r>
      <w:r w:rsidR="00442091" w:rsidRPr="005B36F9">
        <w:rPr>
          <w:rFonts w:ascii="ITC Avant Garde" w:eastAsiaTheme="minorHAnsi" w:hAnsi="ITC Avant Garde" w:cs="ITC Avant Garde"/>
          <w:lang w:eastAsia="en-US"/>
        </w:rPr>
        <w:t xml:space="preserve">, S.A.P.I. </w:t>
      </w:r>
      <w:r w:rsidRPr="005B36F9">
        <w:rPr>
          <w:rFonts w:ascii="ITC Avant Garde" w:eastAsiaTheme="minorHAnsi" w:hAnsi="ITC Avant Garde" w:cs="ITC Avant Garde"/>
          <w:lang w:eastAsia="en-US"/>
        </w:rPr>
        <w:t>de</w:t>
      </w:r>
      <w:r w:rsidR="00442091" w:rsidRPr="005B36F9">
        <w:rPr>
          <w:rFonts w:ascii="ITC Avant Garde" w:eastAsiaTheme="minorHAnsi" w:hAnsi="ITC Avant Garde" w:cs="ITC Avant Garde"/>
          <w:lang w:eastAsia="en-US"/>
        </w:rPr>
        <w:t xml:space="preserve"> C.V. (</w:t>
      </w:r>
      <w:r w:rsidR="00D87CF7">
        <w:rPr>
          <w:rFonts w:ascii="ITC Avant Garde" w:eastAsiaTheme="minorHAnsi" w:hAnsi="ITC Avant Garde" w:cs="ITC Avant Garde"/>
          <w:lang w:eastAsia="en-US"/>
        </w:rPr>
        <w:t xml:space="preserve">en lo sucesivo </w:t>
      </w:r>
      <w:r w:rsidR="00442091" w:rsidRPr="005B36F9">
        <w:rPr>
          <w:rFonts w:ascii="ITC Avant Garde" w:eastAsiaTheme="minorHAnsi" w:hAnsi="ITC Avant Garde" w:cs="ITC Avant Garde"/>
          <w:lang w:eastAsia="en-US"/>
        </w:rPr>
        <w:t>“</w:t>
      </w:r>
      <w:r w:rsidRPr="005B36F9">
        <w:rPr>
          <w:rFonts w:ascii="ITC Avant Garde" w:eastAsiaTheme="minorHAnsi" w:hAnsi="ITC Avant Garde" w:cs="ITC Avant Garde"/>
          <w:lang w:eastAsia="en-US"/>
        </w:rPr>
        <w:t>Altán</w:t>
      </w:r>
      <w:r w:rsidR="00442091" w:rsidRPr="005B36F9">
        <w:rPr>
          <w:rFonts w:ascii="ITC Avant Garde" w:eastAsiaTheme="minorHAnsi" w:hAnsi="ITC Avant Garde" w:cs="ITC Avant Garde"/>
          <w:lang w:eastAsia="en-US"/>
        </w:rPr>
        <w:t>”)</w:t>
      </w:r>
    </w:p>
    <w:p w14:paraId="04115867" w14:textId="0DE54295" w:rsidR="00A70475" w:rsidRPr="005B36F9" w:rsidRDefault="00750FF4" w:rsidP="00DA0F6F">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Pr>
          <w:rFonts w:ascii="ITC Avant Garde" w:eastAsiaTheme="minorHAnsi" w:hAnsi="ITC Avant Garde" w:cs="ITC Avant Garde"/>
          <w:lang w:eastAsia="en-US"/>
        </w:rPr>
        <w:t>Pegaso PCS, S.A. de C.V.</w:t>
      </w:r>
      <w:r w:rsidR="00BA7435" w:rsidRPr="005B36F9">
        <w:rPr>
          <w:rFonts w:ascii="ITC Avant Garde" w:eastAsiaTheme="minorHAnsi" w:hAnsi="ITC Avant Garde" w:cs="ITC Avant Garde"/>
          <w:lang w:eastAsia="en-US"/>
        </w:rPr>
        <w:t xml:space="preserve"> </w:t>
      </w:r>
      <w:r w:rsidR="00FF0299" w:rsidRPr="005B36F9">
        <w:rPr>
          <w:rFonts w:ascii="ITC Avant Garde" w:hAnsi="ITC Avant Garde"/>
        </w:rPr>
        <w:t>(</w:t>
      </w:r>
      <w:r w:rsidR="00D87CF7">
        <w:rPr>
          <w:rFonts w:ascii="ITC Avant Garde" w:hAnsi="ITC Avant Garde"/>
        </w:rPr>
        <w:t xml:space="preserve">en lo sucesivo </w:t>
      </w:r>
      <w:r w:rsidR="00FF0299" w:rsidRPr="005B36F9">
        <w:rPr>
          <w:rFonts w:ascii="ITC Avant Garde" w:hAnsi="ITC Avant Garde"/>
        </w:rPr>
        <w:t>“Telefónica”)</w:t>
      </w:r>
    </w:p>
    <w:p w14:paraId="6FFE41E0" w14:textId="707B6254" w:rsidR="00A70475" w:rsidRDefault="00BA7435" w:rsidP="00DA0F6F">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5B36F9">
        <w:rPr>
          <w:rFonts w:ascii="ITC Avant Garde" w:eastAsiaTheme="minorHAnsi" w:hAnsi="ITC Avant Garde" w:cs="ITC Avant Garde"/>
          <w:lang w:eastAsia="en-US"/>
        </w:rPr>
        <w:t>Operbes, S.A. de C.V, Bestphone, S.A. de C.V., Cablevisión, S.A. de C.V., Cablemás Telecomunicaciones, S.A. de C.V., Cable y Comunicación de Campeche, S.A. de C.V., TV Cable de Oriente, S.A. de C.V. y Cablevisión Red, S.A. de C.V.</w:t>
      </w:r>
      <w:r w:rsidR="00FF0299" w:rsidRPr="005B36F9">
        <w:rPr>
          <w:rFonts w:ascii="ITC Avant Garde" w:eastAsiaTheme="minorHAnsi" w:hAnsi="ITC Avant Garde" w:cs="ITC Avant Garde"/>
          <w:lang w:eastAsia="en-US"/>
        </w:rPr>
        <w:t xml:space="preserve"> (</w:t>
      </w:r>
      <w:r w:rsidR="00D87CF7">
        <w:rPr>
          <w:rFonts w:ascii="ITC Avant Garde" w:eastAsiaTheme="minorHAnsi" w:hAnsi="ITC Avant Garde" w:cs="ITC Avant Garde"/>
          <w:lang w:eastAsia="en-US"/>
        </w:rPr>
        <w:t xml:space="preserve">en lo sucesivo </w:t>
      </w:r>
      <w:r w:rsidR="005C05E7">
        <w:rPr>
          <w:rFonts w:ascii="ITC Avant Garde" w:eastAsiaTheme="minorHAnsi" w:hAnsi="ITC Avant Garde" w:cs="ITC Avant Garde"/>
          <w:lang w:eastAsia="en-US"/>
        </w:rPr>
        <w:t>“</w:t>
      </w:r>
      <w:r w:rsidR="00FF0299" w:rsidRPr="005B36F9">
        <w:rPr>
          <w:rFonts w:ascii="ITC Avant Garde" w:eastAsiaTheme="minorHAnsi" w:hAnsi="ITC Avant Garde" w:cs="ITC Avant Garde"/>
          <w:lang w:eastAsia="en-US"/>
        </w:rPr>
        <w:t>Televisa”)</w:t>
      </w:r>
    </w:p>
    <w:p w14:paraId="3CC747F1" w14:textId="57DD71A5" w:rsidR="00ED79A9" w:rsidRDefault="00D11BD2" w:rsidP="00DA0F6F">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Pr>
          <w:rFonts w:ascii="ITC Avant Garde" w:eastAsiaTheme="minorHAnsi" w:hAnsi="ITC Avant Garde" w:cs="ITC Avant Garde"/>
          <w:lang w:eastAsia="en-US"/>
        </w:rPr>
        <w:t>Cámara Nacional de la Industria Electrónica, de Telecomunicaciones y Tecnologías de la Información (en lo sucesivo, “CANIETI”)</w:t>
      </w:r>
    </w:p>
    <w:p w14:paraId="64A62527" w14:textId="77777777" w:rsidR="003C7090" w:rsidRDefault="003C7090" w:rsidP="003C7090">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53503B">
        <w:rPr>
          <w:rFonts w:ascii="ITC Avant Garde" w:eastAsiaTheme="minorHAnsi" w:hAnsi="ITC Avant Garde" w:cs="ITC Avant Garde"/>
          <w:lang w:eastAsia="en-US"/>
        </w:rPr>
        <w:t>AT&amp;T Comunicaciones Digitales, S. de R.L. de C.V., Grupo AT&amp;T Celullar, S. de R.L. de C.V., AT&amp;T Norte, S. de R.L. de C.V., AT&amp;T Comercialización Móvil, S. de R.L. de C.V. y AT&amp;T Desarrollo en Comunicaciones de México, S. de R.L. de C.V. (en lo sucesivo conjuntamente, “AT&amp;T”)</w:t>
      </w:r>
    </w:p>
    <w:p w14:paraId="655DBB9A" w14:textId="77777777" w:rsidR="003C7090" w:rsidRPr="005B36F9" w:rsidRDefault="003C7090" w:rsidP="003C7090">
      <w:pPr>
        <w:pStyle w:val="Prrafodelista"/>
        <w:autoSpaceDE w:val="0"/>
        <w:autoSpaceDN w:val="0"/>
        <w:adjustRightInd w:val="0"/>
        <w:spacing w:after="0" w:line="276" w:lineRule="auto"/>
        <w:ind w:right="0" w:firstLine="0"/>
        <w:rPr>
          <w:rFonts w:ascii="ITC Avant Garde" w:eastAsiaTheme="minorHAnsi" w:hAnsi="ITC Avant Garde" w:cs="ITC Avant Garde"/>
          <w:lang w:eastAsia="en-US"/>
        </w:rPr>
      </w:pPr>
    </w:p>
    <w:p w14:paraId="1C638235" w14:textId="77777777" w:rsidR="0006356F" w:rsidRPr="0053503B" w:rsidRDefault="0006356F" w:rsidP="0006356F">
      <w:pPr>
        <w:spacing w:after="0" w:line="276" w:lineRule="auto"/>
        <w:ind w:left="-6" w:hanging="11"/>
        <w:rPr>
          <w:rFonts w:ascii="ITC Avant Garde" w:hAnsi="ITC Avant Garde" w:cs="ITC Avant Garde"/>
        </w:rPr>
      </w:pPr>
      <w:r>
        <w:rPr>
          <w:rFonts w:ascii="ITC Avant Garde" w:hAnsi="ITC Avant Garde" w:cs="ITC Avant Garde"/>
          <w:b/>
        </w:rPr>
        <w:t>Respuestas y posicionamientos por parte del Instituto:</w:t>
      </w:r>
    </w:p>
    <w:p w14:paraId="6D4B1954" w14:textId="7C772128" w:rsidR="00352EEF" w:rsidRDefault="002D64D5" w:rsidP="00100519">
      <w:pPr>
        <w:spacing w:line="276" w:lineRule="auto"/>
        <w:ind w:left="-5" w:right="0"/>
        <w:rPr>
          <w:rFonts w:ascii="ITC Avant Garde" w:hAnsi="ITC Avant Garde"/>
        </w:rPr>
      </w:pPr>
      <w:r>
        <w:rPr>
          <w:rFonts w:ascii="ITC Avant Garde" w:hAnsi="ITC Avant Garde"/>
        </w:rPr>
        <w:t>S</w:t>
      </w:r>
      <w:r w:rsidR="005C2139" w:rsidRPr="00E84A16">
        <w:rPr>
          <w:rFonts w:ascii="ITC Avant Garde" w:hAnsi="ITC Avant Garde"/>
        </w:rPr>
        <w:t xml:space="preserve">e señala que el orden en </w:t>
      </w:r>
      <w:r w:rsidR="005E75EF" w:rsidRPr="00E84A16">
        <w:rPr>
          <w:rFonts w:ascii="ITC Avant Garde" w:hAnsi="ITC Avant Garde"/>
        </w:rPr>
        <w:t xml:space="preserve">el </w:t>
      </w:r>
      <w:r w:rsidR="005C2139" w:rsidRPr="00E84A16">
        <w:rPr>
          <w:rFonts w:ascii="ITC Avant Garde" w:hAnsi="ITC Avant Garde"/>
        </w:rPr>
        <w:t>que son abordados cada uno de los temas y numerales genéricos mencionados, obedece primordialmente al orden en que cada uno de éstos aparece</w:t>
      </w:r>
      <w:r w:rsidR="001368EC" w:rsidRPr="00E84A16">
        <w:rPr>
          <w:rFonts w:ascii="ITC Avant Garde" w:hAnsi="ITC Avant Garde"/>
        </w:rPr>
        <w:t>n</w:t>
      </w:r>
      <w:r w:rsidR="005C2139" w:rsidRPr="00E84A16">
        <w:rPr>
          <w:rFonts w:ascii="ITC Avant Garde" w:hAnsi="ITC Avant Garde"/>
        </w:rPr>
        <w:t xml:space="preserve"> en</w:t>
      </w:r>
      <w:r w:rsidR="001368EC" w:rsidRPr="00E84A16">
        <w:rPr>
          <w:rFonts w:ascii="ITC Avant Garde" w:hAnsi="ITC Avant Garde"/>
        </w:rPr>
        <w:t xml:space="preserve"> </w:t>
      </w:r>
      <w:r w:rsidR="00AF285E" w:rsidRPr="00E84A16">
        <w:rPr>
          <w:rFonts w:ascii="ITC Avant Garde" w:hAnsi="ITC Avant Garde"/>
        </w:rPr>
        <w:t xml:space="preserve">la Propuesta de </w:t>
      </w:r>
      <w:r w:rsidR="00AF285E" w:rsidRPr="00E84A16">
        <w:rPr>
          <w:rFonts w:ascii="ITC Avant Garde" w:hAnsi="ITC Avant Garde" w:cs="Arial"/>
          <w:b/>
          <w:i/>
          <w:lang w:val="es-ES_tradnl"/>
        </w:rPr>
        <w:t>Oferta de Referencia para la Prestación del Servicio Mayorista de Usuario Visitante</w:t>
      </w:r>
      <w:r w:rsidR="00AF285E" w:rsidRPr="00E84A16">
        <w:rPr>
          <w:rFonts w:ascii="ITC Avant Garde" w:hAnsi="ITC Avant Garde"/>
          <w:b/>
        </w:rPr>
        <w:t xml:space="preserve"> </w:t>
      </w:r>
      <w:r w:rsidR="00AF285E" w:rsidRPr="00E84A16">
        <w:rPr>
          <w:rFonts w:ascii="ITC Avant Garde" w:hAnsi="ITC Avant Garde"/>
        </w:rPr>
        <w:t xml:space="preserve">(en lo sucesivo, la “Oferta”) </w:t>
      </w:r>
      <w:r w:rsidR="00A40194" w:rsidRPr="00E84A16">
        <w:rPr>
          <w:rFonts w:ascii="ITC Avant Garde" w:hAnsi="ITC Avant Garde"/>
        </w:rPr>
        <w:t xml:space="preserve">presentada por Radiomóvil Dipsa, S.A. de C.V., (en lo sucesivo, “Telcel”) integrante del Agente </w:t>
      </w:r>
      <w:r w:rsidR="00A40194" w:rsidRPr="00E84A16">
        <w:rPr>
          <w:rFonts w:ascii="ITC Avant Garde" w:hAnsi="ITC Avant Garde"/>
        </w:rPr>
        <w:lastRenderedPageBreak/>
        <w:t>Económico Preponderante (en lo sucesivo, el “AEP”) en el Sector de las Telecomunicaciones.</w:t>
      </w:r>
    </w:p>
    <w:p w14:paraId="1541E9EC" w14:textId="77777777" w:rsidR="00A40194" w:rsidRPr="005E5201" w:rsidRDefault="00A40194" w:rsidP="00100519">
      <w:pPr>
        <w:spacing w:line="276" w:lineRule="auto"/>
        <w:ind w:left="-5" w:right="0"/>
        <w:rPr>
          <w:rFonts w:ascii="ITC Avant Garde" w:hAnsi="ITC Avant Garde"/>
          <w:color w:val="auto"/>
        </w:rPr>
      </w:pPr>
    </w:p>
    <w:p w14:paraId="02A781AE" w14:textId="1370E698" w:rsidR="00BC09A3" w:rsidRPr="005B36F9" w:rsidRDefault="00BC09A3" w:rsidP="00100519">
      <w:pPr>
        <w:spacing w:line="276" w:lineRule="auto"/>
        <w:ind w:left="-5" w:right="0"/>
        <w:rPr>
          <w:rFonts w:ascii="ITC Avant Garde" w:hAnsi="ITC Avant Garde"/>
        </w:rPr>
      </w:pPr>
      <w:r w:rsidRPr="005B36F9">
        <w:rPr>
          <w:rFonts w:ascii="ITC Avant Garde" w:hAnsi="ITC Avant Garde"/>
        </w:rPr>
        <w:t>Por lo anterior, el Instituto emite las siguientes respuestas y con</w:t>
      </w:r>
      <w:r w:rsidR="007B0E47" w:rsidRPr="005B36F9">
        <w:rPr>
          <w:rFonts w:ascii="ITC Avant Garde" w:hAnsi="ITC Avant Garde"/>
        </w:rPr>
        <w:t>sideraciones para cada una de la</w:t>
      </w:r>
      <w:r w:rsidRPr="005B36F9">
        <w:rPr>
          <w:rFonts w:ascii="ITC Avant Garde" w:hAnsi="ITC Avant Garde"/>
        </w:rPr>
        <w:t>s</w:t>
      </w:r>
      <w:r w:rsidR="007B0E47" w:rsidRPr="005B36F9">
        <w:rPr>
          <w:rFonts w:ascii="ITC Avant Garde" w:hAnsi="ITC Avant Garde"/>
        </w:rPr>
        <w:t xml:space="preserve"> participaciones</w:t>
      </w:r>
      <w:r w:rsidR="004B5491" w:rsidRPr="005B36F9">
        <w:rPr>
          <w:rFonts w:ascii="ITC Avant Garde" w:hAnsi="ITC Avant Garde"/>
        </w:rPr>
        <w:t xml:space="preserve"> recibidas</w:t>
      </w:r>
      <w:r w:rsidRPr="005B36F9">
        <w:rPr>
          <w:rFonts w:ascii="ITC Avant Garde" w:hAnsi="ITC Avant Garde"/>
        </w:rPr>
        <w:t xml:space="preserve">:  </w:t>
      </w:r>
    </w:p>
    <w:p w14:paraId="68999CCE" w14:textId="4C283835" w:rsidR="00802E6D" w:rsidRDefault="00802E6D" w:rsidP="00321D9D">
      <w:pPr>
        <w:spacing w:after="0" w:line="276" w:lineRule="auto"/>
        <w:ind w:left="-5" w:right="49"/>
        <w:rPr>
          <w:rFonts w:ascii="ITC Avant Garde" w:hAnsi="ITC Avant Garde"/>
          <w:color w:val="auto"/>
        </w:rPr>
      </w:pPr>
    </w:p>
    <w:p w14:paraId="1EE407A8" w14:textId="77777777" w:rsidR="00802E6D" w:rsidRPr="005E5201" w:rsidRDefault="00802E6D" w:rsidP="00802E6D">
      <w:pPr>
        <w:spacing w:after="0" w:line="276" w:lineRule="auto"/>
        <w:ind w:left="-5" w:right="49"/>
        <w:rPr>
          <w:rFonts w:ascii="ITC Avant Garde" w:hAnsi="ITC Avant Garde"/>
          <w:b/>
          <w:color w:val="auto"/>
          <w:u w:val="single"/>
        </w:rPr>
      </w:pPr>
      <w:r w:rsidRPr="005B36F9">
        <w:rPr>
          <w:rFonts w:ascii="ITC Avant Garde" w:hAnsi="ITC Avant Garde"/>
          <w:b/>
          <w:color w:val="auto"/>
        </w:rPr>
        <w:t>ANEXO II Acuerdo Técnicos</w:t>
      </w:r>
    </w:p>
    <w:p w14:paraId="6CEF2E06" w14:textId="3C9B7348" w:rsidR="00802E6D" w:rsidRPr="005B36F9" w:rsidRDefault="000C436F" w:rsidP="00802E6D">
      <w:pPr>
        <w:spacing w:after="0" w:line="276" w:lineRule="auto"/>
        <w:ind w:right="0"/>
        <w:rPr>
          <w:rFonts w:ascii="ITC Avant Garde" w:hAnsi="ITC Avant Garde"/>
          <w:b/>
          <w:color w:val="auto"/>
          <w:u w:val="single"/>
        </w:rPr>
      </w:pPr>
      <w:r>
        <w:rPr>
          <w:rFonts w:ascii="ITC Avant Garde" w:hAnsi="ITC Avant Garde"/>
          <w:b/>
          <w:color w:val="auto"/>
          <w:u w:val="single"/>
        </w:rPr>
        <w:t>Diagramas Técnicos</w:t>
      </w:r>
    </w:p>
    <w:p w14:paraId="049C6461" w14:textId="54ABB2F0" w:rsidR="00802E6D" w:rsidRPr="00CC72B9" w:rsidRDefault="00395AB5" w:rsidP="00802E6D">
      <w:pPr>
        <w:spacing w:after="0" w:line="276" w:lineRule="auto"/>
        <w:ind w:left="0" w:right="0" w:firstLine="0"/>
        <w:rPr>
          <w:rFonts w:ascii="ITC Avant Garde" w:hAnsi="ITC Avant Garde"/>
          <w:b/>
          <w:color w:val="auto"/>
        </w:rPr>
      </w:pPr>
      <w:r>
        <w:rPr>
          <w:rFonts w:ascii="ITC Avant Garde" w:hAnsi="ITC Avant Garde"/>
          <w:b/>
          <w:color w:val="auto"/>
        </w:rPr>
        <w:t>AT&amp;T</w:t>
      </w:r>
      <w:r w:rsidR="00802E6D" w:rsidRPr="00CC72B9">
        <w:rPr>
          <w:rFonts w:ascii="ITC Avant Garde" w:hAnsi="ITC Avant Garde"/>
          <w:b/>
          <w:color w:val="auto"/>
        </w:rPr>
        <w:t>:</w:t>
      </w:r>
    </w:p>
    <w:p w14:paraId="09DC19EF" w14:textId="315C71FE" w:rsidR="00395AB5" w:rsidRDefault="00395AB5" w:rsidP="00802E6D">
      <w:pPr>
        <w:spacing w:after="0" w:line="276" w:lineRule="auto"/>
        <w:ind w:right="0"/>
        <w:rPr>
          <w:rFonts w:ascii="ITC Avant Garde" w:hAnsi="ITC Avant Garde"/>
          <w:color w:val="auto"/>
        </w:rPr>
      </w:pPr>
      <w:r>
        <w:rPr>
          <w:rFonts w:ascii="ITC Avant Garde" w:hAnsi="ITC Avant Garde"/>
          <w:color w:val="auto"/>
        </w:rPr>
        <w:t>S</w:t>
      </w:r>
      <w:r w:rsidRPr="00395AB5">
        <w:rPr>
          <w:rFonts w:ascii="ITC Avant Garde" w:hAnsi="ITC Avant Garde"/>
          <w:color w:val="auto"/>
        </w:rPr>
        <w:t xml:space="preserve">ugiere agregar en </w:t>
      </w:r>
      <w:r>
        <w:rPr>
          <w:rFonts w:ascii="ITC Avant Garde" w:hAnsi="ITC Avant Garde"/>
          <w:color w:val="auto"/>
        </w:rPr>
        <w:t>el d</w:t>
      </w:r>
      <w:r w:rsidRPr="00395AB5">
        <w:rPr>
          <w:rFonts w:ascii="ITC Avant Garde" w:hAnsi="ITC Avant Garde"/>
          <w:color w:val="auto"/>
        </w:rPr>
        <w:t>i</w:t>
      </w:r>
      <w:r>
        <w:rPr>
          <w:rFonts w:ascii="ITC Avant Garde" w:hAnsi="ITC Avant Garde"/>
          <w:color w:val="auto"/>
        </w:rPr>
        <w:t>agrama la</w:t>
      </w:r>
      <w:r w:rsidRPr="00395AB5">
        <w:rPr>
          <w:rFonts w:ascii="ITC Avant Garde" w:hAnsi="ITC Avant Garde"/>
          <w:color w:val="auto"/>
        </w:rPr>
        <w:t xml:space="preserve"> opción </w:t>
      </w:r>
      <w:r>
        <w:rPr>
          <w:rFonts w:ascii="ITC Avant Garde" w:hAnsi="ITC Avant Garde"/>
          <w:color w:val="auto"/>
        </w:rPr>
        <w:t>para realizar la</w:t>
      </w:r>
      <w:r w:rsidR="00173A99">
        <w:rPr>
          <w:rFonts w:ascii="ITC Avant Garde" w:hAnsi="ITC Avant Garde"/>
          <w:color w:val="auto"/>
        </w:rPr>
        <w:t xml:space="preserve"> interconexión mediante protocolo </w:t>
      </w:r>
      <w:r w:rsidR="00173A99">
        <w:rPr>
          <w:rFonts w:ascii="ITC Avant Garde" w:hAnsi="ITC Avant Garde"/>
        </w:rPr>
        <w:t>SIP (</w:t>
      </w:r>
      <w:r w:rsidR="00425D07">
        <w:rPr>
          <w:rFonts w:ascii="ITC Avant Garde" w:hAnsi="ITC Avant Garde"/>
        </w:rPr>
        <w:t>“</w:t>
      </w:r>
      <w:r w:rsidR="00173A99" w:rsidRPr="00E8153B">
        <w:rPr>
          <w:rFonts w:ascii="ITC Avant Garde" w:hAnsi="ITC Avant Garde"/>
          <w:i/>
        </w:rPr>
        <w:t>Session Initiation Protocol</w:t>
      </w:r>
      <w:r w:rsidR="00425D07">
        <w:rPr>
          <w:rFonts w:ascii="ITC Avant Garde" w:hAnsi="ITC Avant Garde"/>
          <w:i/>
        </w:rPr>
        <w:t>”</w:t>
      </w:r>
      <w:r w:rsidR="00173A99">
        <w:rPr>
          <w:rFonts w:ascii="ITC Avant Garde" w:hAnsi="ITC Avant Garde"/>
        </w:rPr>
        <w:t>).</w:t>
      </w:r>
      <w:r w:rsidR="006D6D9E">
        <w:rPr>
          <w:rFonts w:ascii="ITC Avant Garde" w:hAnsi="ITC Avant Garde"/>
        </w:rPr>
        <w:t xml:space="preserve"> Asimismo, propone eliminar las referencias a los </w:t>
      </w:r>
      <w:r w:rsidR="00CD371E">
        <w:rPr>
          <w:rFonts w:ascii="ITC Avant Garde" w:hAnsi="ITC Avant Garde"/>
        </w:rPr>
        <w:t>códigos de identificación</w:t>
      </w:r>
      <w:r w:rsidR="006D6D9E">
        <w:rPr>
          <w:rFonts w:ascii="ITC Avant Garde" w:hAnsi="ITC Avant Garde"/>
        </w:rPr>
        <w:t xml:space="preserve"> ABC y BCD.</w:t>
      </w:r>
    </w:p>
    <w:p w14:paraId="03EBA607" w14:textId="5659B6C1" w:rsidR="00802408" w:rsidRDefault="00802408" w:rsidP="00802E6D">
      <w:pPr>
        <w:spacing w:after="0" w:line="276" w:lineRule="auto"/>
        <w:ind w:right="0"/>
        <w:rPr>
          <w:rFonts w:ascii="ITC Avant Garde" w:hAnsi="ITC Avant Garde"/>
          <w:color w:val="auto"/>
        </w:rPr>
      </w:pPr>
    </w:p>
    <w:p w14:paraId="411E25C2" w14:textId="77777777" w:rsidR="00802408" w:rsidRDefault="00802408" w:rsidP="00802408">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445AF61E" w14:textId="75973E2D" w:rsidR="00451D40" w:rsidRDefault="00451D40" w:rsidP="00802408">
      <w:pPr>
        <w:spacing w:after="0" w:line="276" w:lineRule="auto"/>
        <w:ind w:right="0"/>
        <w:rPr>
          <w:rFonts w:ascii="ITC Avant Garde" w:hAnsi="ITC Avant Garde"/>
        </w:rPr>
      </w:pPr>
      <w:r>
        <w:rPr>
          <w:rFonts w:ascii="ITC Avant Garde" w:hAnsi="ITC Avant Garde"/>
          <w:color w:val="auto"/>
        </w:rPr>
        <w:t>La interconexión para el intercambio directo de tráfico deberá realizarse de con</w:t>
      </w:r>
      <w:r w:rsidR="00A33261">
        <w:rPr>
          <w:rFonts w:ascii="ITC Avant Garde" w:hAnsi="ITC Avant Garde"/>
          <w:color w:val="auto"/>
        </w:rPr>
        <w:t xml:space="preserve">formidad a lo establecido en el </w:t>
      </w:r>
      <w:r w:rsidR="00A33261" w:rsidRPr="00E8153B">
        <w:rPr>
          <w:rFonts w:ascii="ITC Avant Garde" w:hAnsi="ITC Avant Garde"/>
        </w:rPr>
        <w:t>Acuerdo de CTM</w:t>
      </w:r>
      <w:r w:rsidR="00A33261">
        <w:rPr>
          <w:rStyle w:val="Refdenotaalpie"/>
          <w:rFonts w:ascii="ITC Avant Garde" w:hAnsi="ITC Avant Garde"/>
        </w:rPr>
        <w:footnoteReference w:id="1"/>
      </w:r>
      <w:r w:rsidR="00A33261">
        <w:rPr>
          <w:rFonts w:ascii="ITC Avant Garde" w:hAnsi="ITC Avant Garde"/>
        </w:rPr>
        <w:t>, el cual establece los métodos SIP obligatorios, los valores de los temporizadores, así como los flujos de señalización para el establecimiento de una llamada básica y una llamada en tránsito, entre otros. Por lo anterior, el numeral en cuestión se mantiene en sus términos.</w:t>
      </w:r>
    </w:p>
    <w:p w14:paraId="46393A36" w14:textId="098A74AC" w:rsidR="006D6D9E" w:rsidRDefault="006D6D9E" w:rsidP="00802408">
      <w:pPr>
        <w:spacing w:after="0" w:line="276" w:lineRule="auto"/>
        <w:ind w:right="0"/>
        <w:rPr>
          <w:rFonts w:ascii="ITC Avant Garde" w:hAnsi="ITC Avant Garde"/>
        </w:rPr>
      </w:pPr>
    </w:p>
    <w:p w14:paraId="74A17F87" w14:textId="60FEBDEF" w:rsidR="00425D07" w:rsidRDefault="00344F58" w:rsidP="00802408">
      <w:pPr>
        <w:spacing w:after="0" w:line="276" w:lineRule="auto"/>
        <w:ind w:right="0"/>
        <w:rPr>
          <w:rFonts w:ascii="ITC Avant Garde" w:hAnsi="ITC Avant Garde"/>
          <w:color w:val="auto"/>
        </w:rPr>
      </w:pPr>
      <w:r>
        <w:rPr>
          <w:rFonts w:ascii="ITC Avant Garde" w:hAnsi="ITC Avant Garde"/>
          <w:color w:val="auto"/>
        </w:rPr>
        <w:t>Por otra parte, d</w:t>
      </w:r>
      <w:r w:rsidR="006D6D9E" w:rsidRPr="006D6D9E">
        <w:rPr>
          <w:rFonts w:ascii="ITC Avant Garde" w:hAnsi="ITC Avant Garde"/>
          <w:color w:val="auto"/>
        </w:rPr>
        <w:t>e conformidad a lo establecido en el Plan Técnico Fundamental de Numeración y Señalización</w:t>
      </w:r>
      <w:r w:rsidR="006D6D9E" w:rsidRPr="006D6D9E">
        <w:rPr>
          <w:rFonts w:ascii="ITC Avant Garde" w:hAnsi="ITC Avant Garde"/>
          <w:color w:val="auto"/>
          <w:vertAlign w:val="superscript"/>
        </w:rPr>
        <w:footnoteReference w:id="2"/>
      </w:r>
      <w:r w:rsidR="006D6D9E" w:rsidRPr="006D6D9E">
        <w:rPr>
          <w:rFonts w:ascii="ITC Avant Garde" w:hAnsi="ITC Avant Garde"/>
          <w:color w:val="auto"/>
        </w:rPr>
        <w:t xml:space="preserve">, se eliminaron las referencias a los códigos de identificación de operador de </w:t>
      </w:r>
      <w:r w:rsidR="006D6D9E">
        <w:rPr>
          <w:rFonts w:ascii="ITC Avant Garde" w:hAnsi="ITC Avant Garde"/>
          <w:color w:val="auto"/>
        </w:rPr>
        <w:t>larga distancia de origen (ABC) y</w:t>
      </w:r>
      <w:r w:rsidR="006D6D9E" w:rsidRPr="006D6D9E">
        <w:rPr>
          <w:rFonts w:ascii="ITC Avant Garde" w:hAnsi="ITC Avant Garde"/>
          <w:color w:val="auto"/>
        </w:rPr>
        <w:t xml:space="preserve"> de operador de larga distancia de destino (BCD)</w:t>
      </w:r>
      <w:r w:rsidR="006D6D9E">
        <w:rPr>
          <w:rFonts w:ascii="ITC Avant Garde" w:hAnsi="ITC Avant Garde"/>
          <w:color w:val="auto"/>
        </w:rPr>
        <w:t>, tal como se muestra a continuación:</w:t>
      </w:r>
    </w:p>
    <w:p w14:paraId="4F21DB0E" w14:textId="75CCA1D6" w:rsidR="006D6D9E" w:rsidRDefault="006D6D9E" w:rsidP="00802408">
      <w:pPr>
        <w:spacing w:after="0" w:line="276" w:lineRule="auto"/>
        <w:ind w:right="0"/>
        <w:rPr>
          <w:rFonts w:ascii="ITC Avant Garde" w:hAnsi="ITC Avant Garde"/>
          <w:color w:val="auto"/>
        </w:rPr>
      </w:pPr>
    </w:p>
    <w:p w14:paraId="22C82CFF" w14:textId="53E6B9BD" w:rsidR="006D6D9E" w:rsidRDefault="006D6D9E" w:rsidP="006D6D9E">
      <w:pPr>
        <w:autoSpaceDE w:val="0"/>
        <w:autoSpaceDN w:val="0"/>
        <w:adjustRightInd w:val="0"/>
        <w:ind w:left="426"/>
        <w:rPr>
          <w:rFonts w:ascii="ITC Avant Garde" w:hAnsi="ITC Avant Garde" w:cs="Arial"/>
          <w:i/>
          <w:sz w:val="18"/>
          <w:szCs w:val="18"/>
        </w:rPr>
      </w:pPr>
      <w:r>
        <w:rPr>
          <w:rFonts w:ascii="ITC Avant Garde" w:hAnsi="ITC Avant Garde" w:cs="Arial"/>
          <w:i/>
          <w:sz w:val="18"/>
          <w:szCs w:val="18"/>
        </w:rPr>
        <w:t>“</w:t>
      </w:r>
      <w:r w:rsidRPr="004306D1">
        <w:rPr>
          <w:rFonts w:ascii="ITC Avant Garde" w:hAnsi="ITC Avant Garde" w:cs="Arial"/>
          <w:i/>
          <w:sz w:val="18"/>
          <w:szCs w:val="18"/>
        </w:rPr>
        <w:t>1.5.2.7</w:t>
      </w:r>
      <w:r w:rsidRPr="004306D1">
        <w:rPr>
          <w:rFonts w:ascii="ITC Avant Garde" w:hAnsi="ITC Avant Garde" w:cs="Arial"/>
          <w:i/>
          <w:sz w:val="18"/>
          <w:szCs w:val="18"/>
        </w:rPr>
        <w:tab/>
        <w:t>El Concesionario deberá contar con IDD</w:t>
      </w:r>
      <w:r w:rsidRPr="004306D1">
        <w:rPr>
          <w:rFonts w:ascii="ITC Avant Garde" w:hAnsi="ITC Avant Garde" w:cs="Arial"/>
          <w:i/>
          <w:strike/>
          <w:sz w:val="18"/>
          <w:szCs w:val="18"/>
        </w:rPr>
        <w:t>, ABC y BCD</w:t>
      </w:r>
      <w:r>
        <w:rPr>
          <w:rFonts w:ascii="ITC Avant Garde" w:hAnsi="ITC Avant Garde" w:cs="Arial"/>
          <w:i/>
          <w:sz w:val="18"/>
          <w:szCs w:val="18"/>
        </w:rPr>
        <w:t>.”</w:t>
      </w:r>
    </w:p>
    <w:p w14:paraId="3DFEFCF7" w14:textId="77777777" w:rsidR="006D6D9E" w:rsidRDefault="006D6D9E" w:rsidP="006D6D9E">
      <w:pPr>
        <w:spacing w:line="276" w:lineRule="auto"/>
        <w:ind w:left="567" w:right="615"/>
        <w:jc w:val="right"/>
        <w:rPr>
          <w:rFonts w:ascii="ITC Avant Garde" w:eastAsia="Calibri" w:hAnsi="ITC Avant Garde" w:cs="Arial"/>
          <w:sz w:val="18"/>
          <w:szCs w:val="18"/>
        </w:rPr>
      </w:pPr>
      <w:r w:rsidRPr="00CC3796">
        <w:rPr>
          <w:rFonts w:ascii="ITC Avant Garde" w:eastAsia="Calibri" w:hAnsi="ITC Avant Garde" w:cs="Arial"/>
          <w:sz w:val="18"/>
          <w:szCs w:val="18"/>
        </w:rPr>
        <w:t>Énfasis añadido</w:t>
      </w:r>
    </w:p>
    <w:p w14:paraId="55705E80" w14:textId="77777777" w:rsidR="006D6D9E" w:rsidRDefault="006D6D9E" w:rsidP="006D6D9E">
      <w:pPr>
        <w:autoSpaceDE w:val="0"/>
        <w:autoSpaceDN w:val="0"/>
        <w:adjustRightInd w:val="0"/>
        <w:ind w:left="426"/>
        <w:rPr>
          <w:rFonts w:ascii="ITC Avant Garde" w:hAnsi="ITC Avant Garde" w:cs="Arial"/>
          <w:i/>
          <w:sz w:val="18"/>
          <w:szCs w:val="18"/>
        </w:rPr>
      </w:pPr>
    </w:p>
    <w:p w14:paraId="36D76078" w14:textId="2D821063" w:rsidR="002E13D4" w:rsidRPr="005B36F9" w:rsidRDefault="002E13D4" w:rsidP="002E13D4">
      <w:pPr>
        <w:spacing w:after="0" w:line="276" w:lineRule="auto"/>
        <w:ind w:right="0"/>
        <w:rPr>
          <w:rFonts w:ascii="ITC Avant Garde" w:hAnsi="ITC Avant Garde"/>
          <w:b/>
          <w:color w:val="auto"/>
          <w:u w:val="single"/>
        </w:rPr>
      </w:pPr>
      <w:r>
        <w:rPr>
          <w:rFonts w:ascii="ITC Avant Garde" w:hAnsi="ITC Avant Garde"/>
          <w:b/>
          <w:color w:val="auto"/>
          <w:u w:val="single"/>
        </w:rPr>
        <w:t>6. Reglas de Redireccionamiento de Tráfico a la Red del Concesionario</w:t>
      </w:r>
    </w:p>
    <w:p w14:paraId="3600E201" w14:textId="345C332B" w:rsidR="002E13D4" w:rsidRPr="00CC72B9" w:rsidRDefault="002E13D4" w:rsidP="002E13D4">
      <w:pPr>
        <w:spacing w:after="0" w:line="276" w:lineRule="auto"/>
        <w:ind w:left="0" w:right="0" w:firstLine="0"/>
        <w:rPr>
          <w:rFonts w:ascii="ITC Avant Garde" w:hAnsi="ITC Avant Garde"/>
          <w:b/>
          <w:color w:val="auto"/>
        </w:rPr>
      </w:pPr>
      <w:r w:rsidRPr="00CC72B9">
        <w:rPr>
          <w:rFonts w:ascii="ITC Avant Garde" w:hAnsi="ITC Avant Garde"/>
          <w:b/>
          <w:color w:val="auto"/>
        </w:rPr>
        <w:t>Televisa:</w:t>
      </w:r>
    </w:p>
    <w:p w14:paraId="5AEB0239" w14:textId="77777777" w:rsidR="002E13D4" w:rsidRDefault="002E13D4" w:rsidP="002E13D4">
      <w:pPr>
        <w:spacing w:after="0" w:line="276" w:lineRule="auto"/>
        <w:ind w:left="-5" w:right="49"/>
        <w:rPr>
          <w:rFonts w:ascii="ITC Avant Garde" w:hAnsi="ITC Avant Garde"/>
          <w:color w:val="auto"/>
        </w:rPr>
      </w:pPr>
      <w:r w:rsidRPr="00673CD5">
        <w:rPr>
          <w:rFonts w:ascii="ITC Avant Garde" w:hAnsi="ITC Avant Garde"/>
          <w:color w:val="auto"/>
        </w:rPr>
        <w:t>Considera que el AEP se debe comprometer para que el usuario sea redireccionado efectivamente al salir de las zonas de Usuario Visitante. Además, propone incluir una definición clara de “técnicamente factible” para evitar que el AEP demore o no entregue los servicios a los concesionarios.</w:t>
      </w:r>
    </w:p>
    <w:p w14:paraId="04C137F3" w14:textId="77777777" w:rsidR="002E13D4" w:rsidRDefault="002E13D4" w:rsidP="002E13D4">
      <w:pPr>
        <w:spacing w:after="0" w:line="276" w:lineRule="auto"/>
        <w:ind w:left="-5" w:right="49"/>
        <w:rPr>
          <w:rFonts w:ascii="ITC Avant Garde" w:hAnsi="ITC Avant Garde"/>
          <w:color w:val="auto"/>
        </w:rPr>
      </w:pPr>
    </w:p>
    <w:p w14:paraId="038C26B2" w14:textId="77777777" w:rsidR="002E13D4" w:rsidRDefault="002E13D4" w:rsidP="002E13D4">
      <w:pPr>
        <w:spacing w:after="0" w:line="276" w:lineRule="auto"/>
        <w:ind w:left="0" w:right="0" w:firstLine="0"/>
        <w:rPr>
          <w:rFonts w:ascii="ITC Avant Garde" w:hAnsi="ITC Avant Garde"/>
          <w:b/>
          <w:color w:val="auto"/>
        </w:rPr>
      </w:pPr>
      <w:r w:rsidRPr="00343A4F">
        <w:rPr>
          <w:rFonts w:ascii="ITC Avant Garde" w:hAnsi="ITC Avant Garde"/>
          <w:b/>
          <w:color w:val="auto"/>
        </w:rPr>
        <w:lastRenderedPageBreak/>
        <w:t xml:space="preserve">Consideraciones del Instituto </w:t>
      </w:r>
    </w:p>
    <w:p w14:paraId="7FE0C998" w14:textId="6A1808B7" w:rsidR="009A3EE4" w:rsidRDefault="002E13D4" w:rsidP="009A3EE4">
      <w:pPr>
        <w:spacing w:after="0" w:line="276" w:lineRule="auto"/>
        <w:ind w:left="-5" w:right="49"/>
        <w:rPr>
          <w:rFonts w:ascii="ITC Avant Garde" w:hAnsi="ITC Avant Garde"/>
          <w:color w:val="auto"/>
        </w:rPr>
      </w:pPr>
      <w:r w:rsidRPr="00673CD5">
        <w:rPr>
          <w:rFonts w:ascii="ITC Avant Garde" w:hAnsi="ITC Avant Garde"/>
          <w:color w:val="auto"/>
        </w:rPr>
        <w:t>E</w:t>
      </w:r>
      <w:r>
        <w:rPr>
          <w:rFonts w:ascii="ITC Avant Garde" w:hAnsi="ITC Avant Garde"/>
          <w:color w:val="auto"/>
        </w:rPr>
        <w:t xml:space="preserve">ste numeral </w:t>
      </w:r>
      <w:r w:rsidRPr="00673CD5">
        <w:rPr>
          <w:rFonts w:ascii="ITC Avant Garde" w:hAnsi="ITC Avant Garde"/>
          <w:color w:val="auto"/>
        </w:rPr>
        <w:t>permite que el concesionario redireccione el tráfico de sus usuarios en cumplimien</w:t>
      </w:r>
      <w:r>
        <w:rPr>
          <w:rFonts w:ascii="ITC Avant Garde" w:hAnsi="ITC Avant Garde"/>
          <w:color w:val="auto"/>
        </w:rPr>
        <w:t>t</w:t>
      </w:r>
      <w:r w:rsidR="00E43F81">
        <w:rPr>
          <w:rFonts w:ascii="ITC Avant Garde" w:hAnsi="ITC Avant Garde"/>
          <w:color w:val="auto"/>
        </w:rPr>
        <w:t xml:space="preserve">o a la Medida Vigésima Segunda. </w:t>
      </w:r>
      <w:r w:rsidR="009A3EE4">
        <w:rPr>
          <w:rFonts w:ascii="ITC Avant Garde" w:hAnsi="ITC Avant Garde"/>
          <w:color w:val="auto"/>
        </w:rPr>
        <w:t xml:space="preserve">No </w:t>
      </w:r>
      <w:r w:rsidR="004F42EA">
        <w:rPr>
          <w:rFonts w:ascii="ITC Avant Garde" w:hAnsi="ITC Avant Garde"/>
          <w:color w:val="auto"/>
        </w:rPr>
        <w:t>obstante, e</w:t>
      </w:r>
      <w:r w:rsidR="009A3EE4" w:rsidRPr="009A3EE4">
        <w:rPr>
          <w:rFonts w:ascii="ITC Avant Garde" w:hAnsi="ITC Avant Garde"/>
          <w:color w:val="auto"/>
        </w:rPr>
        <w:t xml:space="preserve">n el numeral 1 del Subanexo C se precisaron los estándares conforme a los cuales Telcel permitirá el uso de herramientas de </w:t>
      </w:r>
      <w:r w:rsidR="009A3EE4" w:rsidRPr="004F42EA">
        <w:rPr>
          <w:rFonts w:ascii="ITC Avant Garde" w:hAnsi="ITC Avant Garde"/>
          <w:i/>
          <w:color w:val="auto"/>
        </w:rPr>
        <w:t>“Steering of Roaming”</w:t>
      </w:r>
      <w:r w:rsidR="009A3EE4" w:rsidRPr="009A3EE4">
        <w:rPr>
          <w:rFonts w:ascii="ITC Avant Garde" w:hAnsi="ITC Avant Garde"/>
          <w:color w:val="auto"/>
        </w:rPr>
        <w:t xml:space="preserve"> con el fin de brindar certidumbre a los concesionarios </w:t>
      </w:r>
      <w:r w:rsidR="004F42EA">
        <w:rPr>
          <w:rFonts w:ascii="ITC Avant Garde" w:hAnsi="ITC Avant Garde"/>
          <w:color w:val="auto"/>
        </w:rPr>
        <w:t>solicitantes respecto a este servicio</w:t>
      </w:r>
      <w:r w:rsidR="009A3EE4" w:rsidRPr="009A3EE4">
        <w:rPr>
          <w:rFonts w:ascii="ITC Avant Garde" w:hAnsi="ITC Avant Garde"/>
          <w:color w:val="auto"/>
        </w:rPr>
        <w:t>, en los siguientes términos:</w:t>
      </w:r>
    </w:p>
    <w:p w14:paraId="568B9EFD" w14:textId="5EAB833E" w:rsidR="00084050" w:rsidRDefault="00084050" w:rsidP="009A3EE4">
      <w:pPr>
        <w:spacing w:after="0" w:line="276" w:lineRule="auto"/>
        <w:ind w:left="-5" w:right="49"/>
        <w:rPr>
          <w:rFonts w:ascii="ITC Avant Garde" w:hAnsi="ITC Avant Garde"/>
          <w:color w:val="auto"/>
        </w:rPr>
      </w:pPr>
    </w:p>
    <w:p w14:paraId="19E555DD" w14:textId="77777777" w:rsidR="00000136" w:rsidRDefault="00000136" w:rsidP="00000136">
      <w:pPr>
        <w:spacing w:line="276" w:lineRule="auto"/>
        <w:ind w:left="567" w:right="615"/>
        <w:rPr>
          <w:rFonts w:ascii="ITC Avant Garde" w:eastAsia="Calibri" w:hAnsi="ITC Avant Garde" w:cs="Arial"/>
          <w:i/>
          <w:sz w:val="18"/>
          <w:szCs w:val="18"/>
          <w:lang w:eastAsia="en-US"/>
        </w:rPr>
      </w:pPr>
      <w:r>
        <w:rPr>
          <w:rFonts w:ascii="ITC Avant Garde" w:eastAsia="Calibri" w:hAnsi="ITC Avant Garde" w:cs="Arial"/>
          <w:i/>
          <w:sz w:val="18"/>
          <w:szCs w:val="18"/>
          <w:lang w:eastAsia="en-US"/>
        </w:rPr>
        <w:t>“(…)</w:t>
      </w:r>
    </w:p>
    <w:p w14:paraId="0E1BC3D9" w14:textId="77777777" w:rsidR="00000136" w:rsidRDefault="00000136" w:rsidP="00000136">
      <w:pPr>
        <w:spacing w:line="276" w:lineRule="auto"/>
        <w:ind w:left="567" w:right="615"/>
        <w:rPr>
          <w:rFonts w:ascii="ITC Avant Garde" w:eastAsia="Calibri" w:hAnsi="ITC Avant Garde" w:cs="Arial"/>
          <w:i/>
          <w:sz w:val="18"/>
          <w:szCs w:val="18"/>
          <w:lang w:eastAsia="en-US"/>
        </w:rPr>
      </w:pPr>
      <w:r>
        <w:rPr>
          <w:rFonts w:ascii="ITC Avant Garde" w:eastAsia="Calibri" w:hAnsi="ITC Avant Garde" w:cs="Arial"/>
          <w:i/>
          <w:sz w:val="18"/>
          <w:szCs w:val="18"/>
          <w:lang w:eastAsia="en-US"/>
        </w:rPr>
        <w:t xml:space="preserve">b) </w:t>
      </w:r>
      <w:r w:rsidRPr="00014B9E">
        <w:rPr>
          <w:rFonts w:ascii="ITC Avant Garde" w:eastAsia="Calibri" w:hAnsi="ITC Avant Garde" w:cs="Arial"/>
          <w:i/>
          <w:sz w:val="18"/>
          <w:szCs w:val="18"/>
          <w:lang w:eastAsia="en-US"/>
        </w:rPr>
        <w:t>Telcel permitirá el uso de herramientas de steering conforme a los estándares internacionales</w:t>
      </w:r>
      <w:r w:rsidRPr="00014B9E">
        <w:rPr>
          <w:rFonts w:eastAsia="Calibri" w:cs="Arial"/>
          <w:i/>
          <w:sz w:val="18"/>
          <w:szCs w:val="18"/>
          <w:vertAlign w:val="superscript"/>
          <w:lang w:eastAsia="en-US"/>
        </w:rPr>
        <w:t>9</w:t>
      </w:r>
      <w:r w:rsidRPr="00014B9E">
        <w:rPr>
          <w:rFonts w:ascii="ITC Avant Garde" w:eastAsia="Calibri" w:hAnsi="ITC Avant Garde" w:cs="Arial"/>
          <w:i/>
          <w:sz w:val="18"/>
          <w:szCs w:val="18"/>
          <w:lang w:eastAsia="en-US"/>
        </w:rPr>
        <w:t xml:space="preserve"> para que el Concesionario redireccione su tráfico a su Red origen, por lo cual, el Concesionario tomará las medidas necesarias para evitar el uso excesivo en la señalización.</w:t>
      </w:r>
    </w:p>
    <w:p w14:paraId="5A351706" w14:textId="77777777" w:rsidR="00000136" w:rsidRDefault="00000136" w:rsidP="00000136">
      <w:pPr>
        <w:spacing w:line="276" w:lineRule="auto"/>
        <w:ind w:left="567" w:right="615"/>
        <w:rPr>
          <w:rFonts w:ascii="ITC Avant Garde" w:eastAsia="Calibri" w:hAnsi="ITC Avant Garde" w:cs="Arial"/>
          <w:i/>
          <w:sz w:val="18"/>
          <w:szCs w:val="18"/>
          <w:lang w:eastAsia="en-US"/>
        </w:rPr>
      </w:pPr>
      <w:r>
        <w:rPr>
          <w:rFonts w:ascii="ITC Avant Garde" w:eastAsia="Calibri" w:hAnsi="ITC Avant Garde" w:cs="Arial"/>
          <w:i/>
          <w:sz w:val="18"/>
          <w:szCs w:val="18"/>
          <w:lang w:eastAsia="en-US"/>
        </w:rPr>
        <w:t>(…)</w:t>
      </w:r>
      <w:r w:rsidRPr="00014B9E">
        <w:rPr>
          <w:rFonts w:ascii="ITC Avant Garde" w:eastAsia="Calibri" w:hAnsi="ITC Avant Garde" w:cs="Arial"/>
          <w:i/>
          <w:sz w:val="18"/>
          <w:szCs w:val="18"/>
          <w:lang w:eastAsia="en-US"/>
        </w:rPr>
        <w:t xml:space="preserve"> </w:t>
      </w:r>
    </w:p>
    <w:p w14:paraId="41C12E0D" w14:textId="77777777" w:rsidR="00000136" w:rsidRPr="00A17F00" w:rsidRDefault="00000136" w:rsidP="00000136">
      <w:pPr>
        <w:spacing w:line="276" w:lineRule="auto"/>
        <w:ind w:left="567" w:right="615"/>
        <w:rPr>
          <w:rFonts w:ascii="ITC Avant Garde" w:eastAsia="Calibri" w:hAnsi="ITC Avant Garde" w:cs="Arial"/>
          <w:i/>
          <w:sz w:val="18"/>
          <w:szCs w:val="18"/>
          <w:vertAlign w:val="superscript"/>
          <w:lang w:eastAsia="en-US"/>
        </w:rPr>
      </w:pPr>
    </w:p>
    <w:p w14:paraId="2B107FA4" w14:textId="77777777" w:rsidR="00000136" w:rsidRPr="00014B9E" w:rsidRDefault="00000136" w:rsidP="00000136">
      <w:pPr>
        <w:spacing w:line="276" w:lineRule="auto"/>
        <w:ind w:left="567" w:right="615"/>
        <w:rPr>
          <w:rFonts w:ascii="ITC Avant Garde" w:eastAsia="Calibri" w:hAnsi="ITC Avant Garde" w:cs="Arial"/>
          <w:i/>
          <w:sz w:val="18"/>
          <w:szCs w:val="18"/>
          <w:lang w:eastAsia="en-US"/>
        </w:rPr>
      </w:pPr>
      <w:r w:rsidRPr="00A17F00">
        <w:rPr>
          <w:rFonts w:ascii="ITC Avant Garde" w:eastAsia="Calibri" w:hAnsi="ITC Avant Garde" w:cs="Arial"/>
          <w:i/>
          <w:sz w:val="18"/>
          <w:szCs w:val="18"/>
          <w:vertAlign w:val="superscript"/>
          <w:lang w:eastAsia="en-US"/>
        </w:rPr>
        <w:t>8</w:t>
      </w:r>
      <w:r>
        <w:rPr>
          <w:rFonts w:ascii="ITC Avant Garde" w:eastAsia="Calibri" w:hAnsi="ITC Avant Garde" w:cs="Arial"/>
          <w:i/>
          <w:sz w:val="18"/>
          <w:szCs w:val="18"/>
          <w:lang w:eastAsia="en-US"/>
        </w:rPr>
        <w:t xml:space="preserve"> </w:t>
      </w:r>
      <w:r w:rsidRPr="00014B9E">
        <w:rPr>
          <w:rFonts w:ascii="ITC Avant Garde" w:eastAsia="Calibri" w:hAnsi="ITC Avant Garde" w:cs="Arial"/>
          <w:i/>
          <w:sz w:val="18"/>
          <w:szCs w:val="18"/>
          <w:lang w:eastAsia="en-US"/>
        </w:rPr>
        <w:t xml:space="preserve">En el supuesto de que Telcel solicite al Concesionario utilizar un estándar específico para eficientar la herramienta de steering para el redireccionamiento de su tráfico para evitar el exceso de señalización hacia la red de Telcel y por ende la degradación de la calidad de los servicios, el Concesionario acuerda implementar el estándar en beneficio de la calidad de los Servicios de la Oferta, </w:t>
      </w:r>
      <w:r w:rsidRPr="00084050">
        <w:rPr>
          <w:rFonts w:ascii="ITC Avant Garde" w:eastAsia="Calibri" w:hAnsi="ITC Avant Garde" w:cs="Arial"/>
          <w:i/>
          <w:sz w:val="18"/>
          <w:szCs w:val="18"/>
          <w:u w:val="single"/>
          <w:lang w:eastAsia="en-US"/>
        </w:rPr>
        <w:t>pudiendo ser estos el TS 23.122 o el TS 24.008 de la 3GPP (3rd Generation Partnership Project)</w:t>
      </w:r>
      <w:r>
        <w:rPr>
          <w:rFonts w:ascii="ITC Avant Garde" w:eastAsia="Calibri" w:hAnsi="ITC Avant Garde" w:cs="Arial"/>
          <w:i/>
          <w:sz w:val="18"/>
          <w:szCs w:val="18"/>
          <w:u w:val="single"/>
          <w:lang w:eastAsia="en-US"/>
        </w:rPr>
        <w:t xml:space="preserve"> en su versión más reciente</w:t>
      </w:r>
      <w:r w:rsidRPr="00084050">
        <w:rPr>
          <w:rFonts w:ascii="ITC Avant Garde" w:eastAsia="Calibri" w:hAnsi="ITC Avant Garde" w:cs="Arial"/>
          <w:i/>
          <w:sz w:val="18"/>
          <w:szCs w:val="18"/>
          <w:u w:val="single"/>
          <w:lang w:eastAsia="en-US"/>
        </w:rPr>
        <w:t>.</w:t>
      </w:r>
      <w:r>
        <w:rPr>
          <w:rFonts w:ascii="ITC Avant Garde" w:eastAsia="Calibri" w:hAnsi="ITC Avant Garde" w:cs="Arial"/>
          <w:i/>
          <w:sz w:val="18"/>
          <w:szCs w:val="18"/>
          <w:lang w:eastAsia="en-US"/>
        </w:rPr>
        <w:t>”</w:t>
      </w:r>
    </w:p>
    <w:p w14:paraId="32FD8507" w14:textId="77777777" w:rsidR="00000136" w:rsidRDefault="00000136" w:rsidP="00000136">
      <w:pPr>
        <w:spacing w:line="276" w:lineRule="auto"/>
        <w:ind w:left="567" w:right="615"/>
        <w:jc w:val="right"/>
        <w:rPr>
          <w:rFonts w:ascii="ITC Avant Garde" w:eastAsia="Calibri" w:hAnsi="ITC Avant Garde" w:cs="Arial"/>
          <w:sz w:val="18"/>
          <w:szCs w:val="18"/>
        </w:rPr>
      </w:pPr>
      <w:r w:rsidRPr="00CC3796">
        <w:rPr>
          <w:rFonts w:ascii="ITC Avant Garde" w:eastAsia="Calibri" w:hAnsi="ITC Avant Garde" w:cs="Arial"/>
          <w:sz w:val="18"/>
          <w:szCs w:val="18"/>
        </w:rPr>
        <w:t>Énfasis añadido</w:t>
      </w:r>
    </w:p>
    <w:p w14:paraId="7138EC23" w14:textId="77777777" w:rsidR="00577FD6" w:rsidRDefault="00577FD6" w:rsidP="00084050">
      <w:pPr>
        <w:spacing w:line="276" w:lineRule="auto"/>
        <w:ind w:left="567" w:right="615"/>
        <w:jc w:val="right"/>
        <w:rPr>
          <w:rFonts w:ascii="ITC Avant Garde" w:eastAsia="Calibri" w:hAnsi="ITC Avant Garde" w:cs="Arial"/>
          <w:sz w:val="18"/>
          <w:szCs w:val="18"/>
        </w:rPr>
      </w:pPr>
    </w:p>
    <w:p w14:paraId="34D02C01" w14:textId="44C7772D" w:rsidR="00AF24D0" w:rsidRPr="005B36F9" w:rsidRDefault="00AF24D0" w:rsidP="00AF24D0">
      <w:pPr>
        <w:spacing w:after="0" w:line="276" w:lineRule="auto"/>
        <w:ind w:right="0"/>
        <w:rPr>
          <w:rFonts w:ascii="ITC Avant Garde" w:hAnsi="ITC Avant Garde"/>
          <w:b/>
          <w:color w:val="auto"/>
          <w:u w:val="single"/>
        </w:rPr>
      </w:pPr>
      <w:r w:rsidRPr="002B7021">
        <w:rPr>
          <w:rFonts w:ascii="ITC Avant Garde" w:hAnsi="ITC Avant Garde"/>
          <w:b/>
          <w:color w:val="auto"/>
          <w:u w:val="single"/>
        </w:rPr>
        <w:t>8. Tecnologías Disponibles.</w:t>
      </w:r>
    </w:p>
    <w:p w14:paraId="3134F310" w14:textId="33908564" w:rsidR="00AF24D0" w:rsidRPr="00CC72B9" w:rsidRDefault="00AF24D0" w:rsidP="00AF24D0">
      <w:pPr>
        <w:spacing w:after="0" w:line="276" w:lineRule="auto"/>
        <w:ind w:left="0" w:right="0" w:firstLine="0"/>
        <w:rPr>
          <w:rFonts w:ascii="ITC Avant Garde" w:hAnsi="ITC Avant Garde"/>
          <w:b/>
          <w:color w:val="auto"/>
        </w:rPr>
      </w:pPr>
      <w:r>
        <w:rPr>
          <w:rFonts w:ascii="ITC Avant Garde" w:hAnsi="ITC Avant Garde"/>
          <w:b/>
          <w:color w:val="auto"/>
        </w:rPr>
        <w:t>Telefónica</w:t>
      </w:r>
      <w:r w:rsidRPr="00CC72B9">
        <w:rPr>
          <w:rFonts w:ascii="ITC Avant Garde" w:hAnsi="ITC Avant Garde"/>
          <w:b/>
          <w:color w:val="auto"/>
        </w:rPr>
        <w:t>:</w:t>
      </w:r>
    </w:p>
    <w:p w14:paraId="606E42B4" w14:textId="785BB6DE" w:rsidR="00AF24D0" w:rsidRDefault="00AF24D0" w:rsidP="00AF24D0">
      <w:pPr>
        <w:pStyle w:val="IFT1"/>
        <w:tabs>
          <w:tab w:val="left" w:pos="426"/>
        </w:tabs>
        <w:spacing w:after="0"/>
        <w:rPr>
          <w:bCs/>
        </w:rPr>
      </w:pPr>
      <w:r>
        <w:rPr>
          <w:bCs/>
        </w:rPr>
        <w:t>Respecto al apagado de la red GSM (</w:t>
      </w:r>
      <w:r w:rsidRPr="003A72BF">
        <w:rPr>
          <w:bCs/>
          <w:i/>
        </w:rPr>
        <w:t>“Global System for Mobile Communications”</w:t>
      </w:r>
      <w:r>
        <w:rPr>
          <w:bCs/>
        </w:rPr>
        <w:t>), Telefónica señala que en el pasado el AEP ya intentó eliminar los enlaces dedicados con tecnología TDM (</w:t>
      </w:r>
      <w:r w:rsidRPr="0017539B">
        <w:rPr>
          <w:bCs/>
          <w:i/>
        </w:rPr>
        <w:t>“Time Division Multiple Access”</w:t>
      </w:r>
      <w:r>
        <w:rPr>
          <w:bCs/>
        </w:rPr>
        <w:t xml:space="preserve">) de la respectiva oferta de referencia sin dar un aviso previo ni al Instituto ni a los concesionarios sobre un análisis de impacto, calendario y alternativas. Refiere que, dado que este es un servicio regulado como consecuencia de las obligaciones asimétricas, el AEP debería plantear con antelación al Instituto un plan de apagado de la red GSM, un análisis de impacto tanto para sus clientes como para los servicios mayoristas involucrados, y un calendario de apagado. Indica que el Instituto debe involucrar a los concesionarios para conocer los problemas y el costo-beneficio de la medida. </w:t>
      </w:r>
    </w:p>
    <w:p w14:paraId="718353A3" w14:textId="2981725D" w:rsidR="00EF17E0" w:rsidRDefault="00EF17E0" w:rsidP="00AF24D0">
      <w:pPr>
        <w:pStyle w:val="IFT1"/>
        <w:tabs>
          <w:tab w:val="left" w:pos="426"/>
        </w:tabs>
        <w:spacing w:after="0"/>
        <w:rPr>
          <w:bCs/>
        </w:rPr>
      </w:pPr>
    </w:p>
    <w:p w14:paraId="660D2CF4" w14:textId="7C6D52BC" w:rsidR="00EF17E0" w:rsidRDefault="00011B34" w:rsidP="00AF24D0">
      <w:pPr>
        <w:pStyle w:val="IFT1"/>
        <w:tabs>
          <w:tab w:val="left" w:pos="426"/>
        </w:tabs>
        <w:spacing w:after="0"/>
        <w:rPr>
          <w:bCs/>
        </w:rPr>
      </w:pPr>
      <w:r>
        <w:rPr>
          <w:bCs/>
        </w:rPr>
        <w:t>También refiere que se debe garantizar la replicabilidad técnica, por lo que la Oferta debe incluir los servicios o tecnologías que permitan replicar los servicios que e</w:t>
      </w:r>
      <w:r w:rsidR="000020FA">
        <w:rPr>
          <w:bCs/>
        </w:rPr>
        <w:t>l AEP ofrece a nivel minorista, como son: LTE-Advanced (4.5G), IoT (</w:t>
      </w:r>
      <w:r w:rsidR="000020FA" w:rsidRPr="000020FA">
        <w:rPr>
          <w:bCs/>
          <w:i/>
        </w:rPr>
        <w:t>“Internet of Things”</w:t>
      </w:r>
      <w:r w:rsidR="000020FA">
        <w:rPr>
          <w:bCs/>
        </w:rPr>
        <w:t>), M2M (</w:t>
      </w:r>
      <w:r w:rsidR="000020FA" w:rsidRPr="000020FA">
        <w:rPr>
          <w:bCs/>
          <w:i/>
        </w:rPr>
        <w:t>“Machine to Machine”</w:t>
      </w:r>
      <w:r w:rsidR="000020FA">
        <w:rPr>
          <w:bCs/>
        </w:rPr>
        <w:t>), servicio de acceso fijo inalámbrico (Internet en casa) y Voz sobre LTE.</w:t>
      </w:r>
      <w:r w:rsidR="00F93307">
        <w:rPr>
          <w:bCs/>
        </w:rPr>
        <w:t xml:space="preserve"> Indica que los servicios de IoT y M2M no están considerados en la Oferta, por lo que sus condiciones ser</w:t>
      </w:r>
      <w:r w:rsidR="00D93DA7">
        <w:rPr>
          <w:bCs/>
        </w:rPr>
        <w:t>án negociados entre el AEP y el concesionario solicitante sin el amparo de la Oferta. Por lo anterior, solicita que los servicios de IoT y M2M sean incluidos dentro de la Oferta.</w:t>
      </w:r>
    </w:p>
    <w:p w14:paraId="5522D569" w14:textId="77F0F4C7" w:rsidR="00AF24D0" w:rsidRDefault="00AF24D0" w:rsidP="00AF24D0">
      <w:pPr>
        <w:pStyle w:val="IFT1"/>
        <w:tabs>
          <w:tab w:val="left" w:pos="426"/>
        </w:tabs>
        <w:spacing w:after="0"/>
        <w:rPr>
          <w:bCs/>
        </w:rPr>
      </w:pPr>
    </w:p>
    <w:p w14:paraId="7B430F09" w14:textId="77777777" w:rsidR="00AF24D0" w:rsidRDefault="00AF24D0" w:rsidP="00AF24D0">
      <w:pPr>
        <w:spacing w:after="0" w:line="276" w:lineRule="auto"/>
        <w:ind w:left="0" w:right="0" w:firstLine="0"/>
        <w:rPr>
          <w:rFonts w:ascii="ITC Avant Garde" w:hAnsi="ITC Avant Garde"/>
          <w:b/>
          <w:color w:val="auto"/>
        </w:rPr>
      </w:pPr>
      <w:r w:rsidRPr="00343A4F">
        <w:rPr>
          <w:rFonts w:ascii="ITC Avant Garde" w:hAnsi="ITC Avant Garde"/>
          <w:b/>
          <w:color w:val="auto"/>
        </w:rPr>
        <w:lastRenderedPageBreak/>
        <w:t xml:space="preserve">Consideraciones del Instituto </w:t>
      </w:r>
    </w:p>
    <w:p w14:paraId="5BF413CA" w14:textId="00BA6734" w:rsidR="006D4083" w:rsidRPr="00273AE5" w:rsidRDefault="006D4083" w:rsidP="006D4083">
      <w:pPr>
        <w:pStyle w:val="IFT1"/>
        <w:tabs>
          <w:tab w:val="left" w:pos="426"/>
        </w:tabs>
        <w:spacing w:after="0"/>
        <w:rPr>
          <w:bCs/>
        </w:rPr>
      </w:pPr>
      <w:r w:rsidRPr="00273AE5">
        <w:rPr>
          <w:bCs/>
        </w:rPr>
        <w:t>Se señala que la Medida Decimotercera de las Medidas Móviles establece que el AEP deberá ofrecer los servicios de telecomunicaciones mediante el uso de todas las tecnolog</w:t>
      </w:r>
      <w:r w:rsidR="00D11763" w:rsidRPr="00273AE5">
        <w:rPr>
          <w:bCs/>
        </w:rPr>
        <w:t xml:space="preserve">ías disponibles en su red, </w:t>
      </w:r>
      <w:r w:rsidR="00E43F81">
        <w:rPr>
          <w:bCs/>
        </w:rPr>
        <w:t xml:space="preserve">por lo que </w:t>
      </w:r>
      <w:r w:rsidRPr="00273AE5">
        <w:rPr>
          <w:bCs/>
        </w:rPr>
        <w:t>se adicionó el servicio de VoLTE (</w:t>
      </w:r>
      <w:r w:rsidRPr="00273AE5">
        <w:rPr>
          <w:bCs/>
          <w:i/>
        </w:rPr>
        <w:t>“Voice over Long Term Evolution”</w:t>
      </w:r>
      <w:r w:rsidRPr="00273AE5">
        <w:rPr>
          <w:bCs/>
        </w:rPr>
        <w:t>) al numeral 8 del Anexo II a efecto de que Telcel ofrezca los servicios de telecomunicaciones por medio del uso de todas las tecnologías disponibles e</w:t>
      </w:r>
      <w:r w:rsidR="003413AF" w:rsidRPr="00273AE5">
        <w:rPr>
          <w:bCs/>
        </w:rPr>
        <w:t>n su red en los siguientes términos:</w:t>
      </w:r>
    </w:p>
    <w:p w14:paraId="6AD3E5A5" w14:textId="0C5B44AE" w:rsidR="003413AF" w:rsidRPr="00273AE5" w:rsidRDefault="003413AF" w:rsidP="006D4083">
      <w:pPr>
        <w:pStyle w:val="IFT1"/>
        <w:tabs>
          <w:tab w:val="left" w:pos="426"/>
        </w:tabs>
        <w:spacing w:after="0"/>
        <w:rPr>
          <w:bCs/>
        </w:rPr>
      </w:pPr>
    </w:p>
    <w:p w14:paraId="7343E2CD" w14:textId="2BF9B328" w:rsidR="003413AF" w:rsidRPr="00273AE5" w:rsidRDefault="003413AF" w:rsidP="003413AF">
      <w:pPr>
        <w:spacing w:line="276" w:lineRule="auto"/>
        <w:ind w:left="567" w:right="615"/>
        <w:rPr>
          <w:rFonts w:ascii="ITC Avant Garde" w:eastAsia="Calibri" w:hAnsi="ITC Avant Garde" w:cs="Arial"/>
          <w:i/>
          <w:sz w:val="18"/>
          <w:szCs w:val="18"/>
          <w:lang w:eastAsia="en-US"/>
        </w:rPr>
      </w:pPr>
      <w:r w:rsidRPr="00273AE5">
        <w:rPr>
          <w:rFonts w:ascii="ITC Avant Garde" w:eastAsia="Calibri" w:hAnsi="ITC Avant Garde" w:cs="Arial"/>
          <w:i/>
          <w:sz w:val="18"/>
          <w:szCs w:val="18"/>
          <w:lang w:eastAsia="en-US"/>
        </w:rPr>
        <w:t>“8. TECNOLOGÍAS DISPONIBLES.</w:t>
      </w:r>
    </w:p>
    <w:p w14:paraId="0E60C185" w14:textId="77777777" w:rsidR="003413AF" w:rsidRPr="00273AE5" w:rsidRDefault="003413AF" w:rsidP="003413AF">
      <w:pPr>
        <w:spacing w:line="276" w:lineRule="auto"/>
        <w:ind w:left="567" w:right="615"/>
        <w:rPr>
          <w:rFonts w:ascii="ITC Avant Garde" w:eastAsia="Calibri" w:hAnsi="ITC Avant Garde" w:cs="Arial"/>
          <w:i/>
          <w:sz w:val="18"/>
          <w:szCs w:val="18"/>
          <w:lang w:eastAsia="en-US"/>
        </w:rPr>
      </w:pPr>
      <w:r w:rsidRPr="00273AE5">
        <w:rPr>
          <w:rFonts w:ascii="ITC Avant Garde" w:eastAsia="Calibri" w:hAnsi="ITC Avant Garde" w:cs="Arial"/>
          <w:i/>
          <w:sz w:val="18"/>
          <w:szCs w:val="18"/>
          <w:lang w:eastAsia="en-US"/>
        </w:rPr>
        <w:t xml:space="preserve">Telcel cuenta con las siguientes tecnologías </w:t>
      </w:r>
      <w:r w:rsidRPr="00273AE5">
        <w:rPr>
          <w:rFonts w:ascii="ITC Avant Garde" w:eastAsia="Calibri" w:hAnsi="ITC Avant Garde" w:cs="Arial"/>
          <w:i/>
          <w:strike/>
          <w:sz w:val="18"/>
          <w:szCs w:val="18"/>
          <w:lang w:eastAsia="en-US"/>
        </w:rPr>
        <w:t>de acceso</w:t>
      </w:r>
      <w:r w:rsidRPr="00273AE5">
        <w:rPr>
          <w:rFonts w:ascii="ITC Avant Garde" w:eastAsia="Calibri" w:hAnsi="ITC Avant Garde" w:cs="Arial"/>
          <w:i/>
          <w:sz w:val="18"/>
          <w:szCs w:val="18"/>
          <w:lang w:eastAsia="en-US"/>
        </w:rPr>
        <w:t xml:space="preserve"> disponibles, </w:t>
      </w:r>
      <w:r w:rsidRPr="00273AE5">
        <w:rPr>
          <w:rFonts w:ascii="ITC Avant Garde" w:eastAsia="Calibri" w:hAnsi="ITC Avant Garde" w:cs="Arial"/>
          <w:i/>
          <w:strike/>
          <w:sz w:val="18"/>
          <w:szCs w:val="18"/>
          <w:lang w:eastAsia="en-US"/>
        </w:rPr>
        <w:t>a saber:</w:t>
      </w:r>
    </w:p>
    <w:p w14:paraId="30ECC649" w14:textId="77777777" w:rsidR="003413AF" w:rsidRPr="00273AE5" w:rsidRDefault="003413AF" w:rsidP="003413AF">
      <w:pPr>
        <w:spacing w:line="276" w:lineRule="auto"/>
        <w:ind w:left="567" w:right="615"/>
        <w:rPr>
          <w:rFonts w:ascii="ITC Avant Garde" w:eastAsia="Calibri" w:hAnsi="ITC Avant Garde" w:cs="Arial"/>
          <w:i/>
          <w:sz w:val="18"/>
          <w:szCs w:val="18"/>
          <w:lang w:eastAsia="en-US"/>
        </w:rPr>
      </w:pPr>
    </w:p>
    <w:p w14:paraId="067FB67D" w14:textId="77777777" w:rsidR="003413AF" w:rsidRPr="00273AE5" w:rsidRDefault="003413AF" w:rsidP="003413AF">
      <w:pPr>
        <w:spacing w:line="276" w:lineRule="auto"/>
        <w:ind w:left="567" w:right="615"/>
        <w:rPr>
          <w:rFonts w:ascii="ITC Avant Garde" w:eastAsia="Calibri" w:hAnsi="ITC Avant Garde" w:cs="Arial"/>
          <w:i/>
          <w:sz w:val="18"/>
          <w:szCs w:val="18"/>
          <w:lang w:val="en-US" w:eastAsia="en-US"/>
        </w:rPr>
      </w:pPr>
      <w:r w:rsidRPr="00273AE5">
        <w:rPr>
          <w:rFonts w:ascii="ITC Avant Garde" w:eastAsia="Calibri" w:hAnsi="ITC Avant Garde" w:cs="Arial"/>
          <w:i/>
          <w:sz w:val="18"/>
          <w:szCs w:val="18"/>
          <w:lang w:val="en-US" w:eastAsia="en-US"/>
        </w:rPr>
        <w:t>1.</w:t>
      </w:r>
      <w:r w:rsidRPr="00273AE5">
        <w:rPr>
          <w:rFonts w:ascii="ITC Avant Garde" w:eastAsia="Calibri" w:hAnsi="ITC Avant Garde" w:cs="Arial"/>
          <w:i/>
          <w:sz w:val="18"/>
          <w:szCs w:val="18"/>
          <w:lang w:val="en-US" w:eastAsia="en-US"/>
        </w:rPr>
        <w:tab/>
        <w:t>(2G) GSM.</w:t>
      </w:r>
    </w:p>
    <w:p w14:paraId="6C889653" w14:textId="77777777" w:rsidR="003413AF" w:rsidRPr="00273AE5" w:rsidRDefault="003413AF" w:rsidP="003413AF">
      <w:pPr>
        <w:spacing w:line="276" w:lineRule="auto"/>
        <w:ind w:left="567" w:right="615"/>
        <w:rPr>
          <w:rFonts w:ascii="ITC Avant Garde" w:eastAsia="Calibri" w:hAnsi="ITC Avant Garde" w:cs="Arial"/>
          <w:i/>
          <w:sz w:val="18"/>
          <w:szCs w:val="18"/>
          <w:lang w:val="en-US" w:eastAsia="en-US"/>
        </w:rPr>
      </w:pPr>
      <w:r w:rsidRPr="00273AE5">
        <w:rPr>
          <w:rFonts w:ascii="ITC Avant Garde" w:eastAsia="Calibri" w:hAnsi="ITC Avant Garde" w:cs="Arial"/>
          <w:i/>
          <w:sz w:val="18"/>
          <w:szCs w:val="18"/>
          <w:lang w:val="en-US" w:eastAsia="en-US"/>
        </w:rPr>
        <w:t>2.</w:t>
      </w:r>
      <w:r w:rsidRPr="00273AE5">
        <w:rPr>
          <w:rFonts w:ascii="ITC Avant Garde" w:eastAsia="Calibri" w:hAnsi="ITC Avant Garde" w:cs="Arial"/>
          <w:i/>
          <w:sz w:val="18"/>
          <w:szCs w:val="18"/>
          <w:lang w:val="en-US" w:eastAsia="en-US"/>
        </w:rPr>
        <w:tab/>
        <w:t>(3G) UMTS.</w:t>
      </w:r>
    </w:p>
    <w:p w14:paraId="4EFBE1D7" w14:textId="77777777" w:rsidR="003413AF" w:rsidRPr="00273AE5" w:rsidRDefault="003413AF" w:rsidP="003413AF">
      <w:pPr>
        <w:spacing w:line="276" w:lineRule="auto"/>
        <w:ind w:left="567" w:right="615"/>
        <w:rPr>
          <w:rFonts w:ascii="ITC Avant Garde" w:eastAsia="Calibri" w:hAnsi="ITC Avant Garde" w:cs="Arial"/>
          <w:i/>
          <w:sz w:val="18"/>
          <w:szCs w:val="18"/>
          <w:lang w:val="en-US" w:eastAsia="en-US"/>
        </w:rPr>
      </w:pPr>
      <w:r w:rsidRPr="00273AE5">
        <w:rPr>
          <w:rFonts w:ascii="ITC Avant Garde" w:eastAsia="Calibri" w:hAnsi="ITC Avant Garde" w:cs="Arial"/>
          <w:i/>
          <w:sz w:val="18"/>
          <w:szCs w:val="18"/>
          <w:lang w:val="en-US" w:eastAsia="en-US"/>
        </w:rPr>
        <w:t>3.</w:t>
      </w:r>
      <w:r w:rsidRPr="00273AE5">
        <w:rPr>
          <w:rFonts w:ascii="ITC Avant Garde" w:eastAsia="Calibri" w:hAnsi="ITC Avant Garde" w:cs="Arial"/>
          <w:i/>
          <w:sz w:val="18"/>
          <w:szCs w:val="18"/>
          <w:lang w:val="en-US" w:eastAsia="en-US"/>
        </w:rPr>
        <w:tab/>
        <w:t>(4G/4.5G) LTE.</w:t>
      </w:r>
    </w:p>
    <w:p w14:paraId="3013E054" w14:textId="15B3C3E7" w:rsidR="003413AF" w:rsidRPr="00273AE5" w:rsidRDefault="003413AF" w:rsidP="003413AF">
      <w:pPr>
        <w:spacing w:line="276" w:lineRule="auto"/>
        <w:ind w:left="567" w:right="615"/>
        <w:rPr>
          <w:rFonts w:ascii="ITC Avant Garde" w:eastAsia="Calibri" w:hAnsi="ITC Avant Garde" w:cs="Arial"/>
          <w:i/>
          <w:sz w:val="18"/>
          <w:szCs w:val="18"/>
          <w:u w:val="single"/>
          <w:lang w:eastAsia="en-US"/>
        </w:rPr>
      </w:pPr>
      <w:r w:rsidRPr="00273AE5">
        <w:rPr>
          <w:rFonts w:ascii="ITC Avant Garde" w:eastAsia="Calibri" w:hAnsi="ITC Avant Garde" w:cs="Arial"/>
          <w:i/>
          <w:sz w:val="18"/>
          <w:szCs w:val="18"/>
          <w:u w:val="single"/>
          <w:lang w:eastAsia="en-US"/>
        </w:rPr>
        <w:t>4.</w:t>
      </w:r>
      <w:r w:rsidRPr="00273AE5">
        <w:rPr>
          <w:rFonts w:ascii="ITC Avant Garde" w:eastAsia="Calibri" w:hAnsi="ITC Avant Garde" w:cs="Arial"/>
          <w:i/>
          <w:sz w:val="18"/>
          <w:szCs w:val="18"/>
          <w:u w:val="single"/>
          <w:lang w:eastAsia="en-US"/>
        </w:rPr>
        <w:tab/>
        <w:t>(4G/4.5G) VoLTE</w:t>
      </w:r>
    </w:p>
    <w:p w14:paraId="2C6F29AB" w14:textId="67A4AE5B" w:rsidR="003413AF" w:rsidRPr="00273AE5" w:rsidRDefault="003413AF" w:rsidP="003413AF">
      <w:pPr>
        <w:spacing w:line="276" w:lineRule="auto"/>
        <w:ind w:left="567" w:right="615"/>
        <w:rPr>
          <w:rFonts w:ascii="ITC Avant Garde" w:eastAsia="Calibri" w:hAnsi="ITC Avant Garde" w:cs="Arial"/>
          <w:i/>
          <w:sz w:val="18"/>
          <w:szCs w:val="18"/>
          <w:lang w:eastAsia="en-US"/>
        </w:rPr>
      </w:pPr>
      <w:r w:rsidRPr="00273AE5">
        <w:rPr>
          <w:rFonts w:ascii="ITC Avant Garde" w:eastAsia="Calibri" w:hAnsi="ITC Avant Garde" w:cs="Arial"/>
          <w:i/>
          <w:sz w:val="18"/>
          <w:szCs w:val="18"/>
          <w:lang w:eastAsia="en-US"/>
        </w:rPr>
        <w:t>(…)”</w:t>
      </w:r>
    </w:p>
    <w:p w14:paraId="53EB1768" w14:textId="77777777" w:rsidR="00862066" w:rsidRPr="002175CA" w:rsidRDefault="00862066" w:rsidP="00862066">
      <w:pPr>
        <w:spacing w:line="276" w:lineRule="auto"/>
        <w:ind w:left="567" w:right="615"/>
        <w:jc w:val="right"/>
        <w:rPr>
          <w:rFonts w:ascii="ITC Avant Garde" w:eastAsia="Calibri" w:hAnsi="ITC Avant Garde" w:cs="Arial"/>
          <w:sz w:val="18"/>
          <w:szCs w:val="18"/>
          <w:lang w:eastAsia="en-US"/>
        </w:rPr>
      </w:pPr>
      <w:r w:rsidRPr="00273AE5">
        <w:rPr>
          <w:rFonts w:ascii="ITC Avant Garde" w:eastAsia="Calibri" w:hAnsi="ITC Avant Garde" w:cs="Arial"/>
          <w:sz w:val="18"/>
          <w:szCs w:val="18"/>
          <w:lang w:eastAsia="en-US"/>
        </w:rPr>
        <w:t>Énfasis añadido</w:t>
      </w:r>
    </w:p>
    <w:p w14:paraId="6F1F37D8" w14:textId="035A51B8" w:rsidR="006D4083" w:rsidRDefault="006D4083" w:rsidP="00AF24D0">
      <w:pPr>
        <w:pStyle w:val="IFT1"/>
        <w:tabs>
          <w:tab w:val="left" w:pos="426"/>
        </w:tabs>
        <w:spacing w:after="0"/>
        <w:rPr>
          <w:bCs/>
        </w:rPr>
      </w:pPr>
    </w:p>
    <w:p w14:paraId="23EEA2EA" w14:textId="554CC776" w:rsidR="00EC409E" w:rsidRDefault="00273AE5" w:rsidP="00E43F81">
      <w:pPr>
        <w:spacing w:after="0" w:line="276" w:lineRule="auto"/>
        <w:ind w:right="0"/>
        <w:rPr>
          <w:rFonts w:ascii="ITC Avant Garde" w:hAnsi="ITC Avant Garde"/>
          <w:color w:val="auto"/>
        </w:rPr>
      </w:pPr>
      <w:r w:rsidRPr="00BE48F9">
        <w:rPr>
          <w:rFonts w:ascii="ITC Avant Garde" w:hAnsi="ITC Avant Garde"/>
          <w:color w:val="auto"/>
        </w:rPr>
        <w:t>Respecto a la replicabilidad técnica,</w:t>
      </w:r>
      <w:r w:rsidR="006A3840" w:rsidRPr="00BE48F9">
        <w:rPr>
          <w:rFonts w:ascii="ITC Avant Garde" w:hAnsi="ITC Avant Garde"/>
          <w:color w:val="auto"/>
        </w:rPr>
        <w:t xml:space="preserve"> </w:t>
      </w:r>
      <w:r w:rsidR="00E43F81">
        <w:rPr>
          <w:rFonts w:ascii="ITC Avant Garde" w:hAnsi="ITC Avant Garde"/>
          <w:color w:val="auto"/>
        </w:rPr>
        <w:t xml:space="preserve">se señala que excede el alcance de la consulta pública. </w:t>
      </w:r>
    </w:p>
    <w:p w14:paraId="7D8CDA39" w14:textId="77777777" w:rsidR="00E43F81" w:rsidRDefault="00E43F81" w:rsidP="00E43F81">
      <w:pPr>
        <w:spacing w:after="0" w:line="276" w:lineRule="auto"/>
        <w:ind w:right="0"/>
        <w:rPr>
          <w:bCs/>
        </w:rPr>
      </w:pPr>
    </w:p>
    <w:p w14:paraId="3E2F90D3" w14:textId="60956B7D" w:rsidR="00AF24D0" w:rsidRPr="00E43F81" w:rsidRDefault="00862066" w:rsidP="00AF24D0">
      <w:pPr>
        <w:pStyle w:val="IFT1"/>
        <w:tabs>
          <w:tab w:val="left" w:pos="426"/>
        </w:tabs>
        <w:spacing w:after="0"/>
        <w:rPr>
          <w:rFonts w:eastAsia="Calibri" w:cs="Arial"/>
          <w:sz w:val="18"/>
          <w:szCs w:val="18"/>
        </w:rPr>
      </w:pPr>
      <w:r>
        <w:rPr>
          <w:bCs/>
        </w:rPr>
        <w:t>Referente al apagado de la red GSM,</w:t>
      </w:r>
      <w:r w:rsidR="00E43F81">
        <w:rPr>
          <w:bCs/>
        </w:rPr>
        <w:t xml:space="preserve"> de conformidad con lo señalado en el </w:t>
      </w:r>
      <w:r w:rsidR="000E66E7">
        <w:rPr>
          <w:bCs/>
        </w:rPr>
        <w:t xml:space="preserve">artículo 124 de la LFTR </w:t>
      </w:r>
      <w:r w:rsidR="00E43F81">
        <w:rPr>
          <w:bCs/>
        </w:rPr>
        <w:t xml:space="preserve">el cual </w:t>
      </w:r>
      <w:r w:rsidR="000E66E7">
        <w:rPr>
          <w:bCs/>
        </w:rPr>
        <w:t>establece que previamente a realizar un cambio en el diseño de su red, el AEP deberá comunicarlo al Instituto a fin de que éste lo autorice, se modificó el numeral en cuestión en los siguientes términos:</w:t>
      </w:r>
    </w:p>
    <w:p w14:paraId="41D3CB7D" w14:textId="77777777" w:rsidR="00AF24D0" w:rsidRDefault="00AF24D0" w:rsidP="00AF24D0">
      <w:pPr>
        <w:pStyle w:val="IFT1"/>
        <w:tabs>
          <w:tab w:val="left" w:pos="426"/>
        </w:tabs>
        <w:spacing w:after="0"/>
        <w:rPr>
          <w:bCs/>
        </w:rPr>
      </w:pPr>
    </w:p>
    <w:p w14:paraId="75325645" w14:textId="77777777" w:rsidR="00AF24D0" w:rsidRPr="00BB784D" w:rsidRDefault="00AF24D0" w:rsidP="00AF24D0">
      <w:pPr>
        <w:spacing w:line="276" w:lineRule="auto"/>
        <w:ind w:left="567" w:right="615"/>
        <w:rPr>
          <w:rFonts w:ascii="ITC Avant Garde" w:eastAsia="Calibri" w:hAnsi="ITC Avant Garde" w:cs="Arial"/>
          <w:i/>
          <w:sz w:val="18"/>
          <w:szCs w:val="18"/>
          <w:lang w:eastAsia="en-US"/>
        </w:rPr>
      </w:pPr>
      <w:r>
        <w:rPr>
          <w:rFonts w:ascii="ITC Avant Garde" w:eastAsia="Calibri" w:hAnsi="ITC Avant Garde" w:cs="Arial"/>
          <w:i/>
          <w:sz w:val="18"/>
          <w:szCs w:val="18"/>
          <w:lang w:eastAsia="en-US"/>
        </w:rPr>
        <w:t>“</w:t>
      </w:r>
      <w:r w:rsidRPr="00BB784D">
        <w:rPr>
          <w:rFonts w:ascii="ITC Avant Garde" w:eastAsia="Calibri" w:hAnsi="ITC Avant Garde" w:cs="Arial"/>
          <w:i/>
          <w:sz w:val="18"/>
          <w:szCs w:val="18"/>
          <w:lang w:eastAsia="en-US"/>
        </w:rPr>
        <w:t>8.</w:t>
      </w:r>
      <w:r w:rsidRPr="00BB784D">
        <w:rPr>
          <w:rFonts w:ascii="ITC Avant Garde" w:eastAsia="Calibri" w:hAnsi="ITC Avant Garde" w:cs="Arial"/>
          <w:i/>
          <w:sz w:val="18"/>
          <w:szCs w:val="18"/>
          <w:lang w:eastAsia="en-US"/>
        </w:rPr>
        <w:tab/>
        <w:t>TECNOLOGÍAS DISPONIBLES.</w:t>
      </w:r>
    </w:p>
    <w:p w14:paraId="121E5690" w14:textId="06C6FC41" w:rsidR="00AF24D0" w:rsidRDefault="000E66E7" w:rsidP="00AF24D0">
      <w:pPr>
        <w:spacing w:line="276" w:lineRule="auto"/>
        <w:ind w:left="567" w:right="615"/>
        <w:rPr>
          <w:rFonts w:ascii="ITC Avant Garde" w:eastAsia="Calibri" w:hAnsi="ITC Avant Garde" w:cs="Arial"/>
          <w:i/>
          <w:sz w:val="18"/>
          <w:szCs w:val="18"/>
          <w:lang w:eastAsia="en-US"/>
        </w:rPr>
      </w:pPr>
      <w:r>
        <w:rPr>
          <w:rFonts w:ascii="ITC Avant Garde" w:eastAsia="Calibri" w:hAnsi="ITC Avant Garde" w:cs="Arial"/>
          <w:i/>
          <w:sz w:val="18"/>
          <w:szCs w:val="18"/>
          <w:lang w:eastAsia="en-US"/>
        </w:rPr>
        <w:t>(…)</w:t>
      </w:r>
    </w:p>
    <w:p w14:paraId="30EB9D3E" w14:textId="77777777" w:rsidR="00AF24D0" w:rsidRDefault="00AF24D0" w:rsidP="00AF24D0">
      <w:pPr>
        <w:spacing w:line="276" w:lineRule="auto"/>
        <w:ind w:left="567" w:right="615"/>
        <w:rPr>
          <w:rFonts w:ascii="ITC Avant Garde" w:eastAsia="Calibri" w:hAnsi="ITC Avant Garde" w:cs="Arial"/>
          <w:i/>
          <w:sz w:val="18"/>
          <w:szCs w:val="18"/>
          <w:lang w:eastAsia="en-US"/>
        </w:rPr>
      </w:pPr>
      <w:r w:rsidRPr="002703D2">
        <w:rPr>
          <w:rFonts w:ascii="ITC Avant Garde" w:eastAsia="Calibri" w:hAnsi="ITC Avant Garde" w:cs="Arial"/>
          <w:i/>
          <w:sz w:val="18"/>
          <w:szCs w:val="18"/>
          <w:lang w:eastAsia="en-US"/>
        </w:rPr>
        <w:t xml:space="preserve">Telcel se reserva el derecho de evaluar la permanencia de la red 2G (GSM), por lo que notificará al Concesionario el calendario, las fases y tiempos del proceso de apagado de la red 2G (GSM), </w:t>
      </w:r>
      <w:r w:rsidRPr="002703D2">
        <w:rPr>
          <w:rFonts w:ascii="ITC Avant Garde" w:eastAsia="Calibri" w:hAnsi="ITC Avant Garde" w:cs="Arial"/>
          <w:i/>
          <w:sz w:val="18"/>
          <w:szCs w:val="18"/>
          <w:u w:val="single"/>
          <w:lang w:eastAsia="en-US"/>
        </w:rPr>
        <w:t>previa autorización del Instituto,</w:t>
      </w:r>
      <w:r w:rsidRPr="002703D2">
        <w:rPr>
          <w:rFonts w:ascii="ITC Avant Garde" w:eastAsia="Calibri" w:hAnsi="ITC Avant Garde" w:cs="Arial"/>
          <w:i/>
          <w:sz w:val="18"/>
          <w:szCs w:val="18"/>
          <w:lang w:eastAsia="en-US"/>
        </w:rPr>
        <w:t xml:space="preserve"> con por los menos 60 (sesenta) días naturales de anticipación del inicio de tal cronograma.</w:t>
      </w:r>
    </w:p>
    <w:p w14:paraId="59FC1F93" w14:textId="77777777" w:rsidR="00AF24D0" w:rsidRPr="002703D2" w:rsidRDefault="00AF24D0" w:rsidP="00AF24D0">
      <w:pPr>
        <w:spacing w:line="276" w:lineRule="auto"/>
        <w:ind w:left="567" w:right="615"/>
        <w:rPr>
          <w:rFonts w:ascii="ITC Avant Garde" w:eastAsia="Calibri" w:hAnsi="ITC Avant Garde" w:cs="Arial"/>
          <w:i/>
          <w:sz w:val="18"/>
          <w:szCs w:val="18"/>
          <w:lang w:eastAsia="en-US"/>
        </w:rPr>
      </w:pPr>
      <w:r>
        <w:rPr>
          <w:rFonts w:ascii="ITC Avant Garde" w:eastAsia="Calibri" w:hAnsi="ITC Avant Garde" w:cs="Arial"/>
          <w:i/>
          <w:sz w:val="18"/>
          <w:szCs w:val="18"/>
          <w:lang w:eastAsia="en-US"/>
        </w:rPr>
        <w:t>(…)</w:t>
      </w:r>
    </w:p>
    <w:p w14:paraId="38543241" w14:textId="77777777" w:rsidR="00AF24D0" w:rsidRPr="002175CA" w:rsidRDefault="00AF24D0" w:rsidP="00AF24D0">
      <w:pPr>
        <w:spacing w:line="276" w:lineRule="auto"/>
        <w:ind w:left="567" w:right="615"/>
        <w:jc w:val="right"/>
        <w:rPr>
          <w:rFonts w:ascii="ITC Avant Garde" w:eastAsia="Calibri" w:hAnsi="ITC Avant Garde" w:cs="Arial"/>
          <w:sz w:val="18"/>
          <w:szCs w:val="18"/>
          <w:lang w:eastAsia="en-US"/>
        </w:rPr>
      </w:pPr>
      <w:r w:rsidRPr="002175CA">
        <w:rPr>
          <w:rFonts w:ascii="ITC Avant Garde" w:eastAsia="Calibri" w:hAnsi="ITC Avant Garde" w:cs="Arial"/>
          <w:sz w:val="18"/>
          <w:szCs w:val="18"/>
          <w:lang w:eastAsia="en-US"/>
        </w:rPr>
        <w:t>Énfasis añadido</w:t>
      </w:r>
    </w:p>
    <w:p w14:paraId="6CEDE7D8" w14:textId="77777777" w:rsidR="00AF24D0" w:rsidRDefault="00AF24D0" w:rsidP="00577FD6">
      <w:pPr>
        <w:spacing w:after="0" w:line="276" w:lineRule="auto"/>
        <w:ind w:right="0"/>
        <w:rPr>
          <w:rFonts w:ascii="ITC Avant Garde" w:hAnsi="ITC Avant Garde"/>
          <w:b/>
          <w:color w:val="auto"/>
          <w:u w:val="single"/>
        </w:rPr>
      </w:pPr>
    </w:p>
    <w:p w14:paraId="052A60B2" w14:textId="40294183" w:rsidR="00577FD6" w:rsidRPr="00577FD6" w:rsidRDefault="00577FD6" w:rsidP="00577FD6">
      <w:pPr>
        <w:spacing w:after="0" w:line="276" w:lineRule="auto"/>
        <w:ind w:right="0"/>
        <w:rPr>
          <w:rFonts w:ascii="ITC Avant Garde" w:hAnsi="ITC Avant Garde"/>
          <w:b/>
          <w:color w:val="auto"/>
          <w:u w:val="single"/>
        </w:rPr>
      </w:pPr>
      <w:r w:rsidRPr="00577FD6">
        <w:rPr>
          <w:rFonts w:ascii="ITC Avant Garde" w:hAnsi="ITC Avant Garde"/>
          <w:b/>
          <w:color w:val="auto"/>
          <w:u w:val="single"/>
        </w:rPr>
        <w:t xml:space="preserve">Subanexo A. Intercambio de </w:t>
      </w:r>
      <w:r>
        <w:rPr>
          <w:rFonts w:ascii="ITC Avant Garde" w:hAnsi="ITC Avant Garde"/>
          <w:b/>
          <w:color w:val="auto"/>
          <w:u w:val="single"/>
        </w:rPr>
        <w:t>Información en Conexión Directa</w:t>
      </w:r>
    </w:p>
    <w:p w14:paraId="06C2E29D" w14:textId="294F7474" w:rsidR="00577FD6" w:rsidRPr="00CC72B9" w:rsidRDefault="00577FD6" w:rsidP="00577FD6">
      <w:pPr>
        <w:spacing w:after="0" w:line="276" w:lineRule="auto"/>
        <w:ind w:left="0" w:right="0" w:firstLine="0"/>
        <w:rPr>
          <w:rFonts w:ascii="ITC Avant Garde" w:hAnsi="ITC Avant Garde"/>
          <w:b/>
          <w:color w:val="auto"/>
        </w:rPr>
      </w:pPr>
      <w:r>
        <w:rPr>
          <w:rFonts w:ascii="ITC Avant Garde" w:hAnsi="ITC Avant Garde"/>
          <w:b/>
          <w:color w:val="auto"/>
        </w:rPr>
        <w:t>CANIETI, AT&amp;T</w:t>
      </w:r>
      <w:r w:rsidRPr="00CC72B9">
        <w:rPr>
          <w:rFonts w:ascii="ITC Avant Garde" w:hAnsi="ITC Avant Garde"/>
          <w:b/>
          <w:color w:val="auto"/>
        </w:rPr>
        <w:t>:</w:t>
      </w:r>
    </w:p>
    <w:p w14:paraId="077A8C79" w14:textId="5AAFB984" w:rsidR="00577FD6" w:rsidRDefault="00577FD6" w:rsidP="00577FD6">
      <w:pPr>
        <w:spacing w:after="0" w:line="276" w:lineRule="auto"/>
        <w:ind w:left="-5" w:right="49"/>
        <w:rPr>
          <w:rFonts w:ascii="ITC Avant Garde" w:hAnsi="ITC Avant Garde"/>
          <w:color w:val="auto"/>
        </w:rPr>
      </w:pPr>
      <w:r>
        <w:rPr>
          <w:rFonts w:ascii="ITC Avant Garde" w:hAnsi="ITC Avant Garde"/>
          <w:color w:val="auto"/>
        </w:rPr>
        <w:t>Sugiere modificar el Subanexo A en los siguientes términos</w:t>
      </w:r>
      <w:r w:rsidRPr="00577FD6">
        <w:rPr>
          <w:rFonts w:ascii="ITC Avant Garde" w:hAnsi="ITC Avant Garde"/>
          <w:color w:val="auto"/>
        </w:rPr>
        <w:t>:</w:t>
      </w:r>
    </w:p>
    <w:p w14:paraId="226CE34F" w14:textId="77777777" w:rsidR="00577FD6" w:rsidRPr="00577FD6" w:rsidRDefault="00577FD6" w:rsidP="00577FD6">
      <w:pPr>
        <w:spacing w:after="0" w:line="276" w:lineRule="auto"/>
        <w:ind w:left="-5" w:right="49"/>
        <w:rPr>
          <w:rFonts w:ascii="ITC Avant Garde" w:hAnsi="ITC Avant Garde"/>
          <w:color w:val="auto"/>
        </w:rPr>
      </w:pPr>
    </w:p>
    <w:p w14:paraId="7E4C023F" w14:textId="30767E72" w:rsidR="00395AB5" w:rsidRPr="00577FD6" w:rsidRDefault="00DF3EA7" w:rsidP="00577FD6">
      <w:pPr>
        <w:spacing w:line="276" w:lineRule="auto"/>
        <w:ind w:left="567" w:right="615"/>
        <w:rPr>
          <w:rFonts w:ascii="ITC Avant Garde" w:eastAsia="Calibri" w:hAnsi="ITC Avant Garde" w:cs="Arial"/>
          <w:i/>
          <w:sz w:val="18"/>
          <w:szCs w:val="18"/>
          <w:lang w:eastAsia="en-US"/>
        </w:rPr>
      </w:pPr>
      <w:r>
        <w:rPr>
          <w:rFonts w:ascii="ITC Avant Garde" w:eastAsia="Calibri" w:hAnsi="ITC Avant Garde" w:cs="Arial"/>
          <w:i/>
          <w:sz w:val="18"/>
          <w:szCs w:val="18"/>
          <w:lang w:eastAsia="en-US"/>
        </w:rPr>
        <w:t>“</w:t>
      </w:r>
      <w:r w:rsidR="00577FD6" w:rsidRPr="00577FD6">
        <w:rPr>
          <w:rFonts w:ascii="ITC Avant Garde" w:eastAsia="Calibri" w:hAnsi="ITC Avant Garde" w:cs="Arial"/>
          <w:i/>
          <w:sz w:val="18"/>
          <w:szCs w:val="18"/>
          <w:lang w:eastAsia="en-US"/>
        </w:rPr>
        <w:t xml:space="preserve">Telcel entregará la llamada al Concesionario en IP, en el punto de interconexión más cercano, en el entendido que el Concesionario </w:t>
      </w:r>
      <w:r w:rsidR="00577FD6" w:rsidRPr="00DF3EA7">
        <w:rPr>
          <w:rFonts w:ascii="ITC Avant Garde" w:eastAsia="Calibri" w:hAnsi="ITC Avant Garde" w:cs="Arial"/>
          <w:i/>
          <w:sz w:val="18"/>
          <w:szCs w:val="18"/>
          <w:u w:val="single"/>
          <w:lang w:eastAsia="en-US"/>
        </w:rPr>
        <w:t>deberá tener al menos 1 (un) punto de interconexión</w:t>
      </w:r>
      <w:r w:rsidR="00577FD6" w:rsidRPr="00577FD6">
        <w:rPr>
          <w:rFonts w:ascii="ITC Avant Garde" w:eastAsia="Calibri" w:hAnsi="ITC Avant Garde" w:cs="Arial"/>
          <w:i/>
          <w:sz w:val="18"/>
          <w:szCs w:val="18"/>
          <w:lang w:eastAsia="en-US"/>
        </w:rPr>
        <w:t>, a fin de realizar direccionamiento del Tráfico generado por sus Usuarios Finales en la Red Pública de Telecomunicaciones de Telcel, hacia la red del Cocesionario.</w:t>
      </w:r>
      <w:r>
        <w:rPr>
          <w:rFonts w:ascii="ITC Avant Garde" w:eastAsia="Calibri" w:hAnsi="ITC Avant Garde" w:cs="Arial"/>
          <w:i/>
          <w:sz w:val="18"/>
          <w:szCs w:val="18"/>
          <w:lang w:eastAsia="en-US"/>
        </w:rPr>
        <w:t>”</w:t>
      </w:r>
    </w:p>
    <w:p w14:paraId="65CA88E7" w14:textId="77777777" w:rsidR="00DF3EA7" w:rsidRDefault="00DF3EA7" w:rsidP="00DF3EA7">
      <w:pPr>
        <w:spacing w:line="276" w:lineRule="auto"/>
        <w:ind w:left="567" w:right="615"/>
        <w:jc w:val="right"/>
        <w:rPr>
          <w:rFonts w:ascii="ITC Avant Garde" w:eastAsia="Calibri" w:hAnsi="ITC Avant Garde" w:cs="Arial"/>
          <w:sz w:val="18"/>
          <w:szCs w:val="18"/>
        </w:rPr>
      </w:pPr>
      <w:r w:rsidRPr="00CC3796">
        <w:rPr>
          <w:rFonts w:ascii="ITC Avant Garde" w:eastAsia="Calibri" w:hAnsi="ITC Avant Garde" w:cs="Arial"/>
          <w:sz w:val="18"/>
          <w:szCs w:val="18"/>
        </w:rPr>
        <w:t>Énfasis añadido</w:t>
      </w:r>
    </w:p>
    <w:p w14:paraId="11C0DC44" w14:textId="4FCA09A3" w:rsidR="00395AB5" w:rsidRDefault="00395AB5" w:rsidP="00CA0ACF">
      <w:pPr>
        <w:spacing w:after="0" w:line="276" w:lineRule="auto"/>
        <w:ind w:right="0"/>
        <w:rPr>
          <w:rFonts w:ascii="ITC Avant Garde" w:hAnsi="ITC Avant Garde"/>
          <w:color w:val="auto"/>
        </w:rPr>
      </w:pPr>
    </w:p>
    <w:p w14:paraId="14E0987F" w14:textId="14227BF3" w:rsidR="00395AB5" w:rsidRDefault="00DF453C" w:rsidP="00CA0ACF">
      <w:pPr>
        <w:spacing w:after="0" w:line="276" w:lineRule="auto"/>
        <w:ind w:right="0"/>
        <w:rPr>
          <w:rFonts w:ascii="ITC Avant Garde" w:hAnsi="ITC Avant Garde"/>
          <w:color w:val="auto"/>
        </w:rPr>
      </w:pPr>
      <w:r>
        <w:rPr>
          <w:rFonts w:ascii="ITC Avant Garde" w:hAnsi="ITC Avant Garde"/>
          <w:color w:val="auto"/>
        </w:rPr>
        <w:lastRenderedPageBreak/>
        <w:t xml:space="preserve">Asimismo, AT&amp;T refiere que esta forma de interconexión es la más eficiente y recomienda que sea redundante. </w:t>
      </w:r>
    </w:p>
    <w:p w14:paraId="7546FB1E" w14:textId="66F55998" w:rsidR="00395AB5" w:rsidRDefault="00395AB5" w:rsidP="00CA0ACF">
      <w:pPr>
        <w:spacing w:after="0" w:line="276" w:lineRule="auto"/>
        <w:ind w:right="0"/>
        <w:rPr>
          <w:rFonts w:ascii="ITC Avant Garde" w:hAnsi="ITC Avant Garde"/>
          <w:color w:val="auto"/>
        </w:rPr>
      </w:pPr>
    </w:p>
    <w:p w14:paraId="19234788" w14:textId="77777777" w:rsidR="00747C82" w:rsidRDefault="00747C82" w:rsidP="00747C82">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7D8C591C" w14:textId="63EEB24C" w:rsidR="00747C82" w:rsidRDefault="005E0B04" w:rsidP="00747C82">
      <w:pPr>
        <w:pStyle w:val="IFT1"/>
        <w:tabs>
          <w:tab w:val="left" w:pos="426"/>
        </w:tabs>
        <w:spacing w:after="0"/>
        <w:rPr>
          <w:bCs/>
        </w:rPr>
      </w:pPr>
      <w:r>
        <w:rPr>
          <w:bCs/>
        </w:rPr>
        <w:t>Se modificó la Oferta precisando</w:t>
      </w:r>
      <w:r w:rsidR="00747C82">
        <w:rPr>
          <w:bCs/>
        </w:rPr>
        <w:t xml:space="preserve"> que Telcel entregará el tráfico en el punto de interconexión más cercano y que el concesionario deberá tener al menos un punto de interconexión ya que, conforme a la Medida Vigésima Quinta de la Medidas Móviles, el AEP está obligado a entregar el tráfico en un solo punto de interconexión cuando así lo requiera el concesionario solicitante. Por lo anterior, se modificó la Oferta en los siguientes términos:</w:t>
      </w:r>
    </w:p>
    <w:p w14:paraId="0C437A7D" w14:textId="77777777" w:rsidR="00747C82" w:rsidRDefault="00747C82" w:rsidP="00747C82">
      <w:pPr>
        <w:pStyle w:val="IFT1"/>
        <w:tabs>
          <w:tab w:val="left" w:pos="426"/>
        </w:tabs>
        <w:spacing w:after="0"/>
        <w:rPr>
          <w:bCs/>
        </w:rPr>
      </w:pPr>
    </w:p>
    <w:p w14:paraId="13BED5DE" w14:textId="77777777" w:rsidR="00747C82" w:rsidRPr="004D49A0" w:rsidRDefault="00747C82" w:rsidP="00747C82">
      <w:pPr>
        <w:spacing w:line="276" w:lineRule="auto"/>
        <w:ind w:left="567" w:right="615"/>
        <w:rPr>
          <w:rFonts w:ascii="ITC Avant Garde" w:eastAsia="Calibri" w:hAnsi="ITC Avant Garde" w:cs="Arial"/>
          <w:i/>
          <w:sz w:val="18"/>
          <w:szCs w:val="18"/>
          <w:lang w:eastAsia="en-US"/>
        </w:rPr>
      </w:pPr>
      <w:r>
        <w:rPr>
          <w:rFonts w:ascii="ITC Avant Garde" w:eastAsia="Calibri" w:hAnsi="ITC Avant Garde" w:cs="Arial"/>
          <w:i/>
          <w:sz w:val="18"/>
          <w:szCs w:val="18"/>
          <w:lang w:eastAsia="en-US"/>
        </w:rPr>
        <w:t>“(…)</w:t>
      </w:r>
    </w:p>
    <w:p w14:paraId="1B1F71EE" w14:textId="77777777" w:rsidR="00747C82" w:rsidRDefault="00747C82" w:rsidP="00747C82">
      <w:pPr>
        <w:spacing w:line="276" w:lineRule="auto"/>
        <w:ind w:left="567" w:right="615"/>
        <w:rPr>
          <w:rFonts w:ascii="ITC Avant Garde" w:eastAsia="Calibri" w:hAnsi="ITC Avant Garde" w:cs="Arial"/>
          <w:i/>
          <w:sz w:val="18"/>
          <w:szCs w:val="18"/>
          <w:lang w:eastAsia="en-US"/>
        </w:rPr>
      </w:pPr>
      <w:r w:rsidRPr="004D49A0">
        <w:rPr>
          <w:rFonts w:ascii="ITC Avant Garde" w:eastAsia="Calibri" w:hAnsi="ITC Avant Garde" w:cs="Arial"/>
          <w:i/>
          <w:sz w:val="18"/>
          <w:szCs w:val="18"/>
          <w:lang w:eastAsia="en-US"/>
        </w:rPr>
        <w:t xml:space="preserve">Telcel entregará la llamada al Concesionario en el punto de interconexión más cercano </w:t>
      </w:r>
      <w:r w:rsidRPr="004D49A0">
        <w:rPr>
          <w:rFonts w:ascii="ITC Avant Garde" w:eastAsia="Calibri" w:hAnsi="ITC Avant Garde" w:cs="Arial"/>
          <w:i/>
          <w:strike/>
          <w:sz w:val="18"/>
          <w:szCs w:val="18"/>
          <w:lang w:eastAsia="en-US"/>
        </w:rPr>
        <w:t>(de la Región)</w:t>
      </w:r>
      <w:r w:rsidRPr="004D49A0">
        <w:rPr>
          <w:rFonts w:ascii="ITC Avant Garde" w:eastAsia="Calibri" w:hAnsi="ITC Avant Garde" w:cs="Arial"/>
          <w:i/>
          <w:sz w:val="18"/>
          <w:szCs w:val="18"/>
          <w:lang w:eastAsia="en-US"/>
        </w:rPr>
        <w:t xml:space="preserve">, en el entendido, que el Concesionario deberá tener al menos 1 (un) punto </w:t>
      </w:r>
      <w:r w:rsidRPr="004D49A0">
        <w:rPr>
          <w:rFonts w:ascii="ITC Avant Garde" w:eastAsia="Calibri" w:hAnsi="ITC Avant Garde" w:cs="Arial"/>
          <w:i/>
          <w:strike/>
          <w:sz w:val="18"/>
          <w:szCs w:val="18"/>
          <w:lang w:eastAsia="en-US"/>
        </w:rPr>
        <w:t>por Región</w:t>
      </w:r>
      <w:r>
        <w:rPr>
          <w:rFonts w:ascii="ITC Avant Garde" w:eastAsia="Calibri" w:hAnsi="ITC Avant Garde" w:cs="Arial"/>
          <w:i/>
          <w:sz w:val="18"/>
          <w:szCs w:val="18"/>
          <w:lang w:eastAsia="en-US"/>
        </w:rPr>
        <w:t xml:space="preserve"> </w:t>
      </w:r>
      <w:r w:rsidRPr="004D49A0">
        <w:rPr>
          <w:rFonts w:ascii="ITC Avant Garde" w:eastAsia="Calibri" w:hAnsi="ITC Avant Garde" w:cs="Arial"/>
          <w:i/>
          <w:sz w:val="18"/>
          <w:szCs w:val="18"/>
          <w:u w:val="single"/>
          <w:lang w:eastAsia="en-US"/>
        </w:rPr>
        <w:t>de interconexión</w:t>
      </w:r>
      <w:r w:rsidRPr="004D49A0">
        <w:rPr>
          <w:rFonts w:ascii="ITC Avant Garde" w:eastAsia="Calibri" w:hAnsi="ITC Avant Garde" w:cs="Arial"/>
          <w:i/>
          <w:sz w:val="18"/>
          <w:szCs w:val="18"/>
          <w:lang w:eastAsia="en-US"/>
        </w:rPr>
        <w:t xml:space="preserve"> a fin de realizar el correcto direccionamiento del Tráfico generado por sus Usuarios Finales en la Red Pública de Telecomunicaciones de Telcel.</w:t>
      </w:r>
    </w:p>
    <w:p w14:paraId="2062677E" w14:textId="77777777" w:rsidR="00747C82" w:rsidRDefault="00747C82" w:rsidP="00747C82">
      <w:pPr>
        <w:spacing w:line="276" w:lineRule="auto"/>
        <w:ind w:left="567" w:right="615"/>
        <w:rPr>
          <w:rFonts w:ascii="ITC Avant Garde" w:eastAsia="Calibri" w:hAnsi="ITC Avant Garde" w:cs="Arial"/>
          <w:i/>
          <w:sz w:val="18"/>
          <w:szCs w:val="18"/>
          <w:lang w:eastAsia="en-US"/>
        </w:rPr>
      </w:pPr>
      <w:r>
        <w:rPr>
          <w:rFonts w:ascii="ITC Avant Garde" w:eastAsia="Calibri" w:hAnsi="ITC Avant Garde" w:cs="Arial"/>
          <w:i/>
          <w:sz w:val="18"/>
          <w:szCs w:val="18"/>
          <w:lang w:eastAsia="en-US"/>
        </w:rPr>
        <w:t>(…)”</w:t>
      </w:r>
    </w:p>
    <w:p w14:paraId="7A2910CE" w14:textId="77777777" w:rsidR="00747C82" w:rsidRDefault="00747C82" w:rsidP="00747C82">
      <w:pPr>
        <w:spacing w:line="276" w:lineRule="auto"/>
        <w:ind w:left="567" w:right="615"/>
        <w:jc w:val="right"/>
        <w:rPr>
          <w:rFonts w:ascii="ITC Avant Garde" w:eastAsia="Calibri" w:hAnsi="ITC Avant Garde" w:cs="Arial"/>
          <w:sz w:val="18"/>
          <w:szCs w:val="18"/>
          <w:lang w:eastAsia="en-US"/>
        </w:rPr>
      </w:pPr>
      <w:r w:rsidRPr="002175CA">
        <w:rPr>
          <w:rFonts w:ascii="ITC Avant Garde" w:eastAsia="Calibri" w:hAnsi="ITC Avant Garde" w:cs="Arial"/>
          <w:sz w:val="18"/>
          <w:szCs w:val="18"/>
          <w:lang w:eastAsia="en-US"/>
        </w:rPr>
        <w:t>Énfasis añadido</w:t>
      </w:r>
    </w:p>
    <w:p w14:paraId="12A5168F" w14:textId="77777777" w:rsidR="00747C82" w:rsidRDefault="00747C82" w:rsidP="00CA0ACF">
      <w:pPr>
        <w:spacing w:after="0" w:line="276" w:lineRule="auto"/>
        <w:ind w:right="0"/>
        <w:rPr>
          <w:rFonts w:ascii="ITC Avant Garde" w:hAnsi="ITC Avant Garde"/>
          <w:color w:val="auto"/>
        </w:rPr>
      </w:pPr>
    </w:p>
    <w:p w14:paraId="3F3E0633" w14:textId="535968BC" w:rsidR="003C5837" w:rsidRPr="00577FD6" w:rsidRDefault="003C5837" w:rsidP="003C5837">
      <w:pPr>
        <w:spacing w:after="0" w:line="276" w:lineRule="auto"/>
        <w:ind w:right="0"/>
        <w:rPr>
          <w:rFonts w:ascii="ITC Avant Garde" w:hAnsi="ITC Avant Garde"/>
          <w:b/>
          <w:color w:val="auto"/>
          <w:u w:val="single"/>
        </w:rPr>
      </w:pPr>
      <w:r>
        <w:rPr>
          <w:rFonts w:ascii="ITC Avant Garde" w:hAnsi="ITC Avant Garde"/>
          <w:b/>
          <w:color w:val="auto"/>
          <w:u w:val="single"/>
        </w:rPr>
        <w:t>1.1 Tráfico Saliente</w:t>
      </w:r>
    </w:p>
    <w:p w14:paraId="4980A420" w14:textId="77777777" w:rsidR="003C5837" w:rsidRPr="00CC72B9" w:rsidRDefault="003C5837" w:rsidP="003C5837">
      <w:pPr>
        <w:spacing w:after="0" w:line="276" w:lineRule="auto"/>
        <w:ind w:left="0" w:right="0" w:firstLine="0"/>
        <w:rPr>
          <w:rFonts w:ascii="ITC Avant Garde" w:hAnsi="ITC Avant Garde"/>
          <w:b/>
          <w:color w:val="auto"/>
        </w:rPr>
      </w:pPr>
      <w:r>
        <w:rPr>
          <w:rFonts w:ascii="ITC Avant Garde" w:hAnsi="ITC Avant Garde"/>
          <w:b/>
          <w:color w:val="auto"/>
        </w:rPr>
        <w:t>CANIETI, AT&amp;T</w:t>
      </w:r>
      <w:r w:rsidRPr="00CC72B9">
        <w:rPr>
          <w:rFonts w:ascii="ITC Avant Garde" w:hAnsi="ITC Avant Garde"/>
          <w:b/>
          <w:color w:val="auto"/>
        </w:rPr>
        <w:t>:</w:t>
      </w:r>
    </w:p>
    <w:p w14:paraId="4159B82C" w14:textId="1633E158" w:rsidR="003C5837" w:rsidRDefault="003C5837" w:rsidP="003C5837">
      <w:pPr>
        <w:spacing w:after="0" w:line="276" w:lineRule="auto"/>
        <w:ind w:right="0"/>
        <w:rPr>
          <w:rFonts w:ascii="ITC Avant Garde" w:hAnsi="ITC Avant Garde"/>
          <w:color w:val="auto"/>
        </w:rPr>
      </w:pPr>
      <w:r>
        <w:rPr>
          <w:rFonts w:ascii="ITC Avant Garde" w:hAnsi="ITC Avant Garde"/>
          <w:color w:val="auto"/>
        </w:rPr>
        <w:t>Señalan que, en el caso e</w:t>
      </w:r>
      <w:r w:rsidRPr="003C5837">
        <w:rPr>
          <w:rFonts w:ascii="ITC Avant Garde" w:hAnsi="ITC Avant Garde"/>
          <w:color w:val="auto"/>
        </w:rPr>
        <w:t>n el caso de Conexión Dire</w:t>
      </w:r>
      <w:r>
        <w:rPr>
          <w:rFonts w:ascii="ITC Avant Garde" w:hAnsi="ITC Avant Garde"/>
          <w:color w:val="auto"/>
        </w:rPr>
        <w:t>cta</w:t>
      </w:r>
      <w:r w:rsidRPr="003C5837">
        <w:rPr>
          <w:rFonts w:ascii="ITC Avant Garde" w:hAnsi="ITC Avant Garde"/>
          <w:color w:val="auto"/>
        </w:rPr>
        <w:t xml:space="preserve">, Telcel enviará sin análisis la marcación del </w:t>
      </w:r>
      <w:r>
        <w:rPr>
          <w:rFonts w:ascii="ITC Avant Garde" w:hAnsi="ITC Avant Garde"/>
          <w:color w:val="auto"/>
        </w:rPr>
        <w:t>usuario f</w:t>
      </w:r>
      <w:r w:rsidRPr="003C5837">
        <w:rPr>
          <w:rFonts w:ascii="ITC Avant Garde" w:hAnsi="ITC Avant Garde"/>
          <w:color w:val="auto"/>
        </w:rPr>
        <w:t>inal, excepto en los casos de las marcaciones de emergencia 06X, 08X y 911 que se enviarán</w:t>
      </w:r>
      <w:r>
        <w:rPr>
          <w:rFonts w:ascii="ITC Avant Garde" w:hAnsi="ITC Avant Garde"/>
          <w:color w:val="auto"/>
        </w:rPr>
        <w:t xml:space="preserve"> directamente al destino final.</w:t>
      </w:r>
    </w:p>
    <w:p w14:paraId="4478987C" w14:textId="7824ED70" w:rsidR="003C5837" w:rsidRDefault="003C5837" w:rsidP="003C5837">
      <w:pPr>
        <w:spacing w:after="0" w:line="276" w:lineRule="auto"/>
        <w:ind w:right="0"/>
        <w:rPr>
          <w:rFonts w:ascii="ITC Avant Garde" w:hAnsi="ITC Avant Garde"/>
          <w:color w:val="auto"/>
        </w:rPr>
      </w:pPr>
    </w:p>
    <w:p w14:paraId="3BB5E304" w14:textId="11041125" w:rsidR="003C5837" w:rsidRDefault="003C5837" w:rsidP="003C5837">
      <w:pPr>
        <w:spacing w:after="0" w:line="276" w:lineRule="auto"/>
        <w:ind w:right="0"/>
        <w:rPr>
          <w:rFonts w:ascii="ITC Avant Garde" w:hAnsi="ITC Avant Garde"/>
          <w:color w:val="auto"/>
        </w:rPr>
      </w:pPr>
      <w:r>
        <w:rPr>
          <w:rFonts w:ascii="ITC Avant Garde" w:hAnsi="ITC Avant Garde"/>
          <w:color w:val="auto"/>
        </w:rPr>
        <w:t xml:space="preserve">Asimismo, AT&amp;T refiere que el envío de la marcación del usuario final </w:t>
      </w:r>
      <w:r w:rsidR="0031766B">
        <w:rPr>
          <w:rFonts w:ascii="ITC Avant Garde" w:hAnsi="ITC Avant Garde"/>
          <w:color w:val="auto"/>
        </w:rPr>
        <w:t>sin análisis es la forma normal de operar la Conexión Directa, excepto en los casos de las marcaciones de emergencia que requieren la información de localización</w:t>
      </w:r>
      <w:r w:rsidR="00205399">
        <w:rPr>
          <w:rFonts w:ascii="ITC Avant Garde" w:hAnsi="ITC Avant Garde"/>
          <w:color w:val="auto"/>
        </w:rPr>
        <w:t>,</w:t>
      </w:r>
      <w:r w:rsidR="0031766B">
        <w:rPr>
          <w:rFonts w:ascii="ITC Avant Garde" w:hAnsi="ITC Avant Garde"/>
          <w:color w:val="auto"/>
        </w:rPr>
        <w:t xml:space="preserve"> </w:t>
      </w:r>
      <w:r w:rsidR="00205399">
        <w:rPr>
          <w:rFonts w:ascii="ITC Avant Garde" w:hAnsi="ITC Avant Garde"/>
          <w:color w:val="auto"/>
        </w:rPr>
        <w:t>la cual</w:t>
      </w:r>
      <w:r w:rsidR="0031766B">
        <w:rPr>
          <w:rFonts w:ascii="ITC Avant Garde" w:hAnsi="ITC Avant Garde"/>
          <w:color w:val="auto"/>
        </w:rPr>
        <w:t xml:space="preserve"> solamente</w:t>
      </w:r>
      <w:r w:rsidR="00205399">
        <w:rPr>
          <w:rFonts w:ascii="ITC Avant Garde" w:hAnsi="ITC Avant Garde"/>
          <w:color w:val="auto"/>
        </w:rPr>
        <w:t xml:space="preserve"> está disponible para</w:t>
      </w:r>
      <w:r w:rsidR="00FE215C">
        <w:rPr>
          <w:rFonts w:ascii="ITC Avant Garde" w:hAnsi="ITC Avant Garde"/>
          <w:color w:val="auto"/>
        </w:rPr>
        <w:t xml:space="preserve"> Telcel.</w:t>
      </w:r>
      <w:r w:rsidR="000B2B19">
        <w:rPr>
          <w:rFonts w:ascii="ITC Avant Garde" w:hAnsi="ITC Avant Garde"/>
          <w:color w:val="auto"/>
        </w:rPr>
        <w:t xml:space="preserve"> Además, sugiere modificar el numeral en cuestión de conformidad al</w:t>
      </w:r>
      <w:r w:rsidR="000B2B19" w:rsidRPr="000B2B19">
        <w:rPr>
          <w:rFonts w:ascii="ITC Avant Garde" w:hAnsi="ITC Avant Garde"/>
          <w:color w:val="auto"/>
        </w:rPr>
        <w:t xml:space="preserve"> Plan de Numeración</w:t>
      </w:r>
      <w:r w:rsidR="000B2B19">
        <w:rPr>
          <w:rFonts w:ascii="ITC Avant Garde" w:hAnsi="ITC Avant Garde"/>
          <w:color w:val="auto"/>
        </w:rPr>
        <w:t xml:space="preserve"> y Señalización</w:t>
      </w:r>
      <w:r w:rsidR="000B2B19" w:rsidRPr="000B2B19">
        <w:rPr>
          <w:rFonts w:ascii="ITC Avant Garde" w:hAnsi="ITC Avant Garde"/>
          <w:color w:val="auto"/>
        </w:rPr>
        <w:t xml:space="preserve"> e incluir los formatos de intercambio SIP y Tráfico Internacional de salida en Interconexión IP</w:t>
      </w:r>
      <w:r w:rsidR="00CE1652">
        <w:rPr>
          <w:rFonts w:ascii="ITC Avant Garde" w:hAnsi="ITC Avant Garde"/>
          <w:color w:val="auto"/>
        </w:rPr>
        <w:t xml:space="preserve"> (</w:t>
      </w:r>
      <w:r w:rsidR="00CE1652" w:rsidRPr="00CE1652">
        <w:rPr>
          <w:rFonts w:ascii="ITC Avant Garde" w:hAnsi="ITC Avant Garde"/>
          <w:i/>
          <w:color w:val="auto"/>
        </w:rPr>
        <w:t>“Internet Protocol”</w:t>
      </w:r>
      <w:r w:rsidR="00CE1652">
        <w:rPr>
          <w:rFonts w:ascii="ITC Avant Garde" w:hAnsi="ITC Avant Garde"/>
          <w:color w:val="auto"/>
        </w:rPr>
        <w:t>)</w:t>
      </w:r>
      <w:r w:rsidR="000B2B19" w:rsidRPr="000B2B19">
        <w:rPr>
          <w:rFonts w:ascii="ITC Avant Garde" w:hAnsi="ITC Avant Garde"/>
          <w:color w:val="auto"/>
        </w:rPr>
        <w:t>.</w:t>
      </w:r>
    </w:p>
    <w:p w14:paraId="279A6068" w14:textId="50BFE8FE" w:rsidR="00395AB5" w:rsidRDefault="00395AB5" w:rsidP="00CA0ACF">
      <w:pPr>
        <w:spacing w:after="0" w:line="276" w:lineRule="auto"/>
        <w:ind w:right="0"/>
        <w:rPr>
          <w:rFonts w:ascii="ITC Avant Garde" w:hAnsi="ITC Avant Garde"/>
          <w:color w:val="auto"/>
        </w:rPr>
      </w:pPr>
    </w:p>
    <w:p w14:paraId="60F6FBE3" w14:textId="77777777" w:rsidR="00BB4049" w:rsidRDefault="00BB4049" w:rsidP="00BB4049">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53CB7DED" w14:textId="2FA25EF1" w:rsidR="00CE4949" w:rsidRDefault="00CE4949" w:rsidP="00CE4949">
      <w:pPr>
        <w:pStyle w:val="IFT1"/>
        <w:tabs>
          <w:tab w:val="left" w:pos="426"/>
        </w:tabs>
        <w:spacing w:after="0"/>
        <w:rPr>
          <w:bCs/>
        </w:rPr>
      </w:pPr>
      <w:r>
        <w:rPr>
          <w:bCs/>
        </w:rPr>
        <w:t>De conformidad con el Acuerdo de Eliminación de Larga Distancia Nacional</w:t>
      </w:r>
      <w:r w:rsidRPr="004F4166">
        <w:rPr>
          <w:vertAlign w:val="superscript"/>
        </w:rPr>
        <w:footnoteReference w:id="3"/>
      </w:r>
      <w:r>
        <w:rPr>
          <w:bCs/>
        </w:rPr>
        <w:t xml:space="preserve">, </w:t>
      </w:r>
      <w:r w:rsidRPr="004F4166">
        <w:rPr>
          <w:bCs/>
        </w:rPr>
        <w:t>a partir del 1 de enero de 2015</w:t>
      </w:r>
      <w:r>
        <w:rPr>
          <w:bCs/>
        </w:rPr>
        <w:t xml:space="preserve"> todo el territorio nacional es considerado una sola Área de Servicio Local, razón por la que el Instituto determinó en el </w:t>
      </w:r>
      <w:r w:rsidRPr="008A72A3">
        <w:rPr>
          <w:bCs/>
        </w:rPr>
        <w:t>Plan Técnico Fundamental de Numeración y Señalización</w:t>
      </w:r>
      <w:r>
        <w:rPr>
          <w:bCs/>
        </w:rPr>
        <w:t xml:space="preserve"> </w:t>
      </w:r>
      <w:r w:rsidR="00466212">
        <w:rPr>
          <w:bCs/>
        </w:rPr>
        <w:t>la e</w:t>
      </w:r>
      <w:r>
        <w:rPr>
          <w:bCs/>
        </w:rPr>
        <w:t>limina</w:t>
      </w:r>
      <w:r w:rsidR="00466212">
        <w:rPr>
          <w:bCs/>
        </w:rPr>
        <w:t>ción</w:t>
      </w:r>
      <w:r>
        <w:rPr>
          <w:bCs/>
        </w:rPr>
        <w:t xml:space="preserve"> </w:t>
      </w:r>
      <w:r w:rsidR="00466212">
        <w:rPr>
          <w:bCs/>
        </w:rPr>
        <w:t>de</w:t>
      </w:r>
      <w:r>
        <w:rPr>
          <w:bCs/>
        </w:rPr>
        <w:t xml:space="preserve"> los prefijos asociados a este servicio</w:t>
      </w:r>
      <w:r w:rsidR="00466212">
        <w:rPr>
          <w:bCs/>
        </w:rPr>
        <w:t xml:space="preserve"> </w:t>
      </w:r>
      <w:r w:rsidR="00466212">
        <w:rPr>
          <w:bCs/>
        </w:rPr>
        <w:lastRenderedPageBreak/>
        <w:t>ordenando la migración obligatoria hacia una marcación uniforme de 10 dígitos</w:t>
      </w:r>
      <w:r>
        <w:rPr>
          <w:bCs/>
        </w:rPr>
        <w:t xml:space="preserve">. Asimismo, en el intercambio de dígitos entre las redes públicas de telecomunicaciones, se deben especificar los códigos de identificación de red local de origen y destino (“IDD/IDO”) para asegurar el correcto enrutamiento y facturación de las comunicaciones, por lo que no es posible eliminarlos en el intercambio de dígitos entre las redes. </w:t>
      </w:r>
    </w:p>
    <w:p w14:paraId="42AAD121" w14:textId="77777777" w:rsidR="00CE4949" w:rsidRDefault="00CE4949" w:rsidP="00BB4049">
      <w:pPr>
        <w:pStyle w:val="IFT1"/>
        <w:tabs>
          <w:tab w:val="left" w:pos="426"/>
        </w:tabs>
        <w:spacing w:after="0"/>
        <w:rPr>
          <w:bCs/>
        </w:rPr>
      </w:pPr>
    </w:p>
    <w:p w14:paraId="469D4AAE" w14:textId="48BA929D" w:rsidR="00BB4049" w:rsidRDefault="00CE4949" w:rsidP="00BB4049">
      <w:pPr>
        <w:pStyle w:val="IFT1"/>
        <w:tabs>
          <w:tab w:val="left" w:pos="426"/>
        </w:tabs>
        <w:spacing w:after="0"/>
        <w:rPr>
          <w:bCs/>
        </w:rPr>
      </w:pPr>
      <w:r>
        <w:rPr>
          <w:bCs/>
        </w:rPr>
        <w:t>Asimismo, d</w:t>
      </w:r>
      <w:r w:rsidR="00BB4049" w:rsidRPr="00B00146">
        <w:rPr>
          <w:bCs/>
        </w:rPr>
        <w:t xml:space="preserve">e conformidad al Plan Técnico Fundamental de Numeración y Señalización, </w:t>
      </w:r>
      <w:r w:rsidR="00BB4049" w:rsidRPr="004F4166">
        <w:rPr>
          <w:bCs/>
        </w:rPr>
        <w:t xml:space="preserve">al originarse una llamada en una red pública de telecomunicaciones con destino </w:t>
      </w:r>
      <w:r w:rsidR="00BB4049">
        <w:rPr>
          <w:bCs/>
        </w:rPr>
        <w:t>a</w:t>
      </w:r>
      <w:r w:rsidR="00BB4049" w:rsidRPr="004F4166">
        <w:rPr>
          <w:bCs/>
        </w:rPr>
        <w:t xml:space="preserve"> un C</w:t>
      </w:r>
      <w:r w:rsidR="00BB4049">
        <w:rPr>
          <w:bCs/>
        </w:rPr>
        <w:t xml:space="preserve">ódigo de </w:t>
      </w:r>
      <w:r w:rsidR="00BB4049" w:rsidRPr="004F4166">
        <w:rPr>
          <w:bCs/>
        </w:rPr>
        <w:t>S</w:t>
      </w:r>
      <w:r w:rsidR="00BB4049">
        <w:rPr>
          <w:bCs/>
        </w:rPr>
        <w:t xml:space="preserve">ervicio </w:t>
      </w:r>
      <w:r w:rsidR="00BB4049" w:rsidRPr="004F4166">
        <w:rPr>
          <w:bCs/>
        </w:rPr>
        <w:t>E</w:t>
      </w:r>
      <w:r w:rsidR="00BB4049">
        <w:rPr>
          <w:bCs/>
        </w:rPr>
        <w:t>special</w:t>
      </w:r>
      <w:r w:rsidR="00BB4049" w:rsidRPr="004F4166">
        <w:rPr>
          <w:bCs/>
        </w:rPr>
        <w:t>, el concesionario</w:t>
      </w:r>
      <w:r w:rsidR="00BB4049">
        <w:rPr>
          <w:bCs/>
        </w:rPr>
        <w:t xml:space="preserve"> en</w:t>
      </w:r>
      <w:r w:rsidR="00567260">
        <w:rPr>
          <w:bCs/>
        </w:rPr>
        <w:t xml:space="preserve"> cuya red se origina la llamada</w:t>
      </w:r>
      <w:r w:rsidR="00BB4049">
        <w:rPr>
          <w:bCs/>
        </w:rPr>
        <w:t xml:space="preserve"> deberá</w:t>
      </w:r>
      <w:r w:rsidR="00BB4049" w:rsidRPr="004F4166">
        <w:rPr>
          <w:bCs/>
        </w:rPr>
        <w:t xml:space="preserve"> </w:t>
      </w:r>
      <w:r w:rsidR="00BB4049">
        <w:rPr>
          <w:bCs/>
        </w:rPr>
        <w:t xml:space="preserve">consultar la </w:t>
      </w:r>
      <w:r w:rsidR="00BB4049" w:rsidRPr="004F4166">
        <w:rPr>
          <w:bCs/>
        </w:rPr>
        <w:t>matriz de enrutamiento y con base en el origen geográfico de la llamada, llev</w:t>
      </w:r>
      <w:r w:rsidR="00BB4049">
        <w:rPr>
          <w:bCs/>
        </w:rPr>
        <w:t>ar</w:t>
      </w:r>
      <w:r w:rsidR="00BB4049" w:rsidRPr="004F4166">
        <w:rPr>
          <w:bCs/>
        </w:rPr>
        <w:t xml:space="preserve"> a cabo la traducción al número nacional o no geográfico de destino, garantizando de esta forma el correcto enrutamiento de la llamada</w:t>
      </w:r>
      <w:r w:rsidR="00BB4049" w:rsidRPr="00B00146">
        <w:rPr>
          <w:bCs/>
        </w:rPr>
        <w:t xml:space="preserve">. </w:t>
      </w:r>
      <w:r w:rsidR="00BB4049">
        <w:rPr>
          <w:bCs/>
        </w:rPr>
        <w:t>Por lo anterior, se modifica el numeral en cuestión en los siguientes términos:</w:t>
      </w:r>
    </w:p>
    <w:p w14:paraId="77D99FA4" w14:textId="069944F4" w:rsidR="00567260" w:rsidRDefault="00567260" w:rsidP="00BB4049">
      <w:pPr>
        <w:pStyle w:val="IFT1"/>
        <w:tabs>
          <w:tab w:val="left" w:pos="426"/>
        </w:tabs>
        <w:spacing w:after="0"/>
        <w:rPr>
          <w:bCs/>
        </w:rPr>
      </w:pPr>
    </w:p>
    <w:p w14:paraId="5102FBAE" w14:textId="73D22731" w:rsidR="00CE4949" w:rsidRPr="00CE4949" w:rsidRDefault="00CE4949" w:rsidP="00CE4949">
      <w:pPr>
        <w:spacing w:line="276" w:lineRule="auto"/>
        <w:ind w:left="567" w:right="615"/>
        <w:rPr>
          <w:rFonts w:ascii="ITC Avant Garde" w:eastAsia="Calibri" w:hAnsi="ITC Avant Garde" w:cs="Arial"/>
          <w:i/>
          <w:sz w:val="18"/>
          <w:szCs w:val="18"/>
          <w:lang w:eastAsia="en-US"/>
        </w:rPr>
      </w:pPr>
      <w:r w:rsidRPr="00CE4949">
        <w:rPr>
          <w:rFonts w:ascii="ITC Avant Garde" w:eastAsia="Calibri" w:hAnsi="ITC Avant Garde" w:cs="Arial"/>
          <w:i/>
          <w:sz w:val="18"/>
          <w:szCs w:val="18"/>
          <w:lang w:eastAsia="en-US"/>
        </w:rPr>
        <w:t>“1.1Tráfico Saliente</w:t>
      </w:r>
    </w:p>
    <w:tbl>
      <w:tblPr>
        <w:tblStyle w:val="Cuadrculadetablaclara"/>
        <w:tblW w:w="0" w:type="auto"/>
        <w:tblInd w:w="562" w:type="dxa"/>
        <w:tblLook w:val="04A0" w:firstRow="1" w:lastRow="0" w:firstColumn="1" w:lastColumn="0" w:noHBand="0" w:noVBand="1"/>
      </w:tblPr>
      <w:tblGrid>
        <w:gridCol w:w="4108"/>
        <w:gridCol w:w="3830"/>
      </w:tblGrid>
      <w:tr w:rsidR="00CE4949" w:rsidRPr="000625C6" w14:paraId="0AD145A0" w14:textId="77777777" w:rsidTr="00CE4949">
        <w:trPr>
          <w:trHeight w:val="241"/>
        </w:trPr>
        <w:tc>
          <w:tcPr>
            <w:tcW w:w="4108" w:type="dxa"/>
            <w:noWrap/>
            <w:hideMark/>
          </w:tcPr>
          <w:p w14:paraId="7A7E2E2E" w14:textId="77777777" w:rsidR="00CE4949" w:rsidRPr="00CE4949" w:rsidRDefault="00CE4949" w:rsidP="004A43EB">
            <w:pPr>
              <w:spacing w:after="0" w:line="276" w:lineRule="auto"/>
              <w:jc w:val="center"/>
              <w:rPr>
                <w:rFonts w:ascii="ITC Avant Garde" w:hAnsi="ITC Avant Garde" w:cs="Arial"/>
                <w:bCs/>
                <w:i/>
                <w:smallCaps/>
                <w:color w:val="auto"/>
                <w:sz w:val="18"/>
                <w:szCs w:val="18"/>
              </w:rPr>
            </w:pPr>
            <w:r w:rsidRPr="00CE4949">
              <w:rPr>
                <w:rFonts w:ascii="ITC Avant Garde" w:hAnsi="ITC Avant Garde" w:cs="Arial"/>
                <w:bCs/>
                <w:i/>
                <w:smallCaps/>
                <w:color w:val="auto"/>
                <w:sz w:val="18"/>
                <w:szCs w:val="18"/>
              </w:rPr>
              <w:t>CASO</w:t>
            </w:r>
          </w:p>
        </w:tc>
        <w:tc>
          <w:tcPr>
            <w:tcW w:w="3830" w:type="dxa"/>
            <w:noWrap/>
            <w:hideMark/>
          </w:tcPr>
          <w:p w14:paraId="55BE9119" w14:textId="77777777" w:rsidR="00CE4949" w:rsidRPr="00CE4949" w:rsidRDefault="00CE4949" w:rsidP="004A43EB">
            <w:pPr>
              <w:spacing w:after="0" w:line="276" w:lineRule="auto"/>
              <w:jc w:val="center"/>
              <w:rPr>
                <w:rFonts w:ascii="ITC Avant Garde" w:hAnsi="ITC Avant Garde" w:cs="Arial"/>
                <w:bCs/>
                <w:i/>
                <w:smallCaps/>
                <w:color w:val="auto"/>
                <w:sz w:val="18"/>
                <w:szCs w:val="18"/>
              </w:rPr>
            </w:pPr>
            <w:r w:rsidRPr="00CE4949">
              <w:rPr>
                <w:rFonts w:ascii="ITC Avant Garde" w:hAnsi="ITC Avant Garde" w:cs="Arial"/>
                <w:bCs/>
                <w:i/>
                <w:smallCaps/>
                <w:color w:val="auto"/>
                <w:sz w:val="18"/>
                <w:szCs w:val="18"/>
              </w:rPr>
              <w:t>ENVÍO DE DÍGITOS</w:t>
            </w:r>
          </w:p>
        </w:tc>
      </w:tr>
      <w:tr w:rsidR="00CE4949" w:rsidRPr="000625C6" w14:paraId="2F36B866" w14:textId="77777777" w:rsidTr="00CE4949">
        <w:trPr>
          <w:trHeight w:val="241"/>
        </w:trPr>
        <w:tc>
          <w:tcPr>
            <w:tcW w:w="4108" w:type="dxa"/>
            <w:noWrap/>
          </w:tcPr>
          <w:p w14:paraId="1968C0ED" w14:textId="77777777" w:rsidR="00CE4949" w:rsidRPr="00CE4949" w:rsidRDefault="00CE4949" w:rsidP="00CE4949">
            <w:pPr>
              <w:spacing w:after="0" w:line="276" w:lineRule="auto"/>
              <w:jc w:val="center"/>
              <w:rPr>
                <w:rFonts w:ascii="ITC Avant Garde" w:hAnsi="ITC Avant Garde"/>
                <w:i/>
                <w:smallCaps/>
                <w:strike/>
                <w:color w:val="auto"/>
                <w:sz w:val="18"/>
                <w:szCs w:val="18"/>
              </w:rPr>
            </w:pPr>
            <w:r w:rsidRPr="00CE4949">
              <w:rPr>
                <w:rFonts w:ascii="ITC Avant Garde" w:hAnsi="ITC Avant Garde" w:cs="Arial"/>
                <w:i/>
                <w:smallCaps/>
                <w:strike/>
                <w:color w:val="auto"/>
                <w:sz w:val="18"/>
                <w:szCs w:val="18"/>
              </w:rPr>
              <w:t>10 DÍGITOS</w:t>
            </w:r>
          </w:p>
        </w:tc>
        <w:tc>
          <w:tcPr>
            <w:tcW w:w="3830" w:type="dxa"/>
            <w:noWrap/>
          </w:tcPr>
          <w:p w14:paraId="62BE079B" w14:textId="77777777" w:rsidR="00CE4949" w:rsidRPr="00CE4949" w:rsidRDefault="00CE4949" w:rsidP="00CE4949">
            <w:pPr>
              <w:spacing w:after="0" w:line="276" w:lineRule="auto"/>
              <w:jc w:val="center"/>
              <w:rPr>
                <w:rFonts w:ascii="ITC Avant Garde" w:hAnsi="ITC Avant Garde"/>
                <w:i/>
                <w:smallCaps/>
                <w:strike/>
                <w:color w:val="auto"/>
                <w:sz w:val="18"/>
                <w:szCs w:val="18"/>
              </w:rPr>
            </w:pPr>
            <w:r w:rsidRPr="00CE4949">
              <w:rPr>
                <w:rFonts w:ascii="ITC Avant Garde" w:hAnsi="ITC Avant Garde" w:cs="Arial"/>
                <w:i/>
                <w:smallCaps/>
                <w:strike/>
                <w:color w:val="auto"/>
                <w:sz w:val="18"/>
                <w:szCs w:val="18"/>
              </w:rPr>
              <w:t>IDD+IDO+10D</w:t>
            </w:r>
          </w:p>
        </w:tc>
      </w:tr>
      <w:tr w:rsidR="00CE4949" w:rsidRPr="000625C6" w14:paraId="3A5B9BAD" w14:textId="77777777" w:rsidTr="00CE4949">
        <w:trPr>
          <w:trHeight w:val="241"/>
        </w:trPr>
        <w:tc>
          <w:tcPr>
            <w:tcW w:w="4108" w:type="dxa"/>
            <w:noWrap/>
            <w:hideMark/>
          </w:tcPr>
          <w:p w14:paraId="614CFAE4" w14:textId="77777777" w:rsidR="00CE4949" w:rsidRPr="00CE4949" w:rsidRDefault="00CE4949" w:rsidP="00CE4949">
            <w:pPr>
              <w:spacing w:after="0" w:line="276" w:lineRule="auto"/>
              <w:jc w:val="center"/>
              <w:rPr>
                <w:rFonts w:ascii="ITC Avant Garde" w:hAnsi="ITC Avant Garde"/>
                <w:i/>
                <w:smallCaps/>
                <w:color w:val="auto"/>
                <w:sz w:val="18"/>
                <w:szCs w:val="18"/>
              </w:rPr>
            </w:pPr>
            <w:r w:rsidRPr="002C2F35">
              <w:rPr>
                <w:rFonts w:ascii="ITC Avant Garde" w:hAnsi="ITC Avant Garde" w:cs="Arial"/>
                <w:i/>
                <w:smallCaps/>
                <w:strike/>
                <w:color w:val="auto"/>
                <w:sz w:val="18"/>
                <w:szCs w:val="18"/>
              </w:rPr>
              <w:t>044</w:t>
            </w:r>
            <w:r w:rsidRPr="00CE4949">
              <w:rPr>
                <w:rFonts w:ascii="ITC Avant Garde" w:hAnsi="ITC Avant Garde" w:cs="Arial"/>
                <w:i/>
                <w:smallCaps/>
                <w:color w:val="auto"/>
                <w:sz w:val="18"/>
                <w:szCs w:val="18"/>
              </w:rPr>
              <w:t xml:space="preserve"> </w:t>
            </w:r>
            <w:r w:rsidRPr="00CE4949">
              <w:rPr>
                <w:rFonts w:ascii="ITC Avant Garde" w:hAnsi="ITC Avant Garde"/>
                <w:i/>
                <w:smallCaps/>
                <w:color w:val="auto"/>
                <w:sz w:val="18"/>
                <w:szCs w:val="18"/>
              </w:rPr>
              <w:t xml:space="preserve">CPP </w:t>
            </w:r>
            <w:r w:rsidRPr="002C2F35">
              <w:rPr>
                <w:rFonts w:ascii="ITC Avant Garde" w:hAnsi="ITC Avant Garde" w:cs="Arial"/>
                <w:i/>
                <w:smallCaps/>
                <w:strike/>
                <w:color w:val="auto"/>
                <w:sz w:val="18"/>
                <w:szCs w:val="18"/>
              </w:rPr>
              <w:t>LOCAL</w:t>
            </w:r>
          </w:p>
        </w:tc>
        <w:tc>
          <w:tcPr>
            <w:tcW w:w="3830" w:type="dxa"/>
            <w:noWrap/>
            <w:hideMark/>
          </w:tcPr>
          <w:p w14:paraId="6141F4DD" w14:textId="77777777" w:rsidR="00CE4949" w:rsidRPr="00CE4949" w:rsidRDefault="00CE4949" w:rsidP="00CE4949">
            <w:pPr>
              <w:spacing w:after="0" w:line="276" w:lineRule="auto"/>
              <w:jc w:val="center"/>
              <w:rPr>
                <w:rFonts w:ascii="ITC Avant Garde" w:hAnsi="ITC Avant Garde"/>
                <w:i/>
                <w:smallCaps/>
                <w:color w:val="auto"/>
                <w:sz w:val="18"/>
                <w:szCs w:val="18"/>
              </w:rPr>
            </w:pPr>
            <w:r w:rsidRPr="002C2F35">
              <w:rPr>
                <w:rFonts w:ascii="ITC Avant Garde" w:hAnsi="ITC Avant Garde"/>
                <w:i/>
                <w:smallCaps/>
                <w:color w:val="auto"/>
                <w:sz w:val="18"/>
                <w:szCs w:val="18"/>
              </w:rPr>
              <w:t>IDD+IDO</w:t>
            </w:r>
            <w:r w:rsidRPr="00CE4949">
              <w:rPr>
                <w:rFonts w:ascii="ITC Avant Garde" w:hAnsi="ITC Avant Garde"/>
                <w:i/>
                <w:smallCaps/>
                <w:color w:val="auto"/>
                <w:sz w:val="18"/>
                <w:szCs w:val="18"/>
              </w:rPr>
              <w:t>+</w:t>
            </w:r>
            <w:r w:rsidRPr="002C2F35">
              <w:rPr>
                <w:rFonts w:ascii="ITC Avant Garde" w:hAnsi="ITC Avant Garde" w:cs="Arial"/>
                <w:i/>
                <w:smallCaps/>
                <w:strike/>
                <w:color w:val="auto"/>
                <w:sz w:val="18"/>
                <w:szCs w:val="18"/>
              </w:rPr>
              <w:t>044+</w:t>
            </w:r>
            <w:r w:rsidRPr="00CE4949">
              <w:rPr>
                <w:rFonts w:ascii="ITC Avant Garde" w:hAnsi="ITC Avant Garde"/>
                <w:i/>
                <w:smallCaps/>
                <w:color w:val="auto"/>
                <w:sz w:val="18"/>
                <w:szCs w:val="18"/>
              </w:rPr>
              <w:t>10D</w:t>
            </w:r>
          </w:p>
        </w:tc>
      </w:tr>
      <w:tr w:rsidR="00CE4949" w:rsidRPr="000625C6" w14:paraId="26866703" w14:textId="77777777" w:rsidTr="00CE4949">
        <w:trPr>
          <w:trHeight w:val="241"/>
        </w:trPr>
        <w:tc>
          <w:tcPr>
            <w:tcW w:w="4108" w:type="dxa"/>
            <w:noWrap/>
          </w:tcPr>
          <w:p w14:paraId="67700A12" w14:textId="77777777" w:rsidR="00CE4949" w:rsidRPr="002C2F35" w:rsidRDefault="00CE4949" w:rsidP="00CE4949">
            <w:pPr>
              <w:spacing w:after="0" w:line="276" w:lineRule="auto"/>
              <w:jc w:val="center"/>
              <w:rPr>
                <w:rFonts w:ascii="ITC Avant Garde" w:hAnsi="ITC Avant Garde"/>
                <w:i/>
                <w:smallCaps/>
                <w:strike/>
                <w:color w:val="auto"/>
                <w:sz w:val="18"/>
                <w:szCs w:val="18"/>
              </w:rPr>
            </w:pPr>
            <w:r w:rsidRPr="002C2F35">
              <w:rPr>
                <w:rFonts w:ascii="ITC Avant Garde" w:hAnsi="ITC Avant Garde" w:cs="Arial"/>
                <w:i/>
                <w:smallCaps/>
                <w:strike/>
                <w:color w:val="auto"/>
                <w:sz w:val="18"/>
                <w:szCs w:val="18"/>
              </w:rPr>
              <w:t>045 CPP LD</w:t>
            </w:r>
          </w:p>
        </w:tc>
        <w:tc>
          <w:tcPr>
            <w:tcW w:w="3830" w:type="dxa"/>
            <w:noWrap/>
          </w:tcPr>
          <w:p w14:paraId="503F46A7" w14:textId="77777777" w:rsidR="00CE4949" w:rsidRPr="002C2F35" w:rsidRDefault="00CE4949" w:rsidP="00CE4949">
            <w:pPr>
              <w:spacing w:after="0" w:line="276" w:lineRule="auto"/>
              <w:jc w:val="center"/>
              <w:rPr>
                <w:rFonts w:ascii="ITC Avant Garde" w:hAnsi="ITC Avant Garde"/>
                <w:i/>
                <w:smallCaps/>
                <w:strike/>
                <w:color w:val="auto"/>
                <w:sz w:val="18"/>
                <w:szCs w:val="18"/>
              </w:rPr>
            </w:pPr>
            <w:r w:rsidRPr="002C2F35">
              <w:rPr>
                <w:rFonts w:ascii="ITC Avant Garde" w:hAnsi="ITC Avant Garde" w:cs="Arial"/>
                <w:i/>
                <w:smallCaps/>
                <w:strike/>
                <w:color w:val="auto"/>
                <w:sz w:val="18"/>
                <w:szCs w:val="18"/>
              </w:rPr>
              <w:t>01+ABC+045+10D</w:t>
            </w:r>
          </w:p>
        </w:tc>
      </w:tr>
      <w:tr w:rsidR="00CE4949" w:rsidRPr="000625C6" w14:paraId="07C2C673" w14:textId="77777777" w:rsidTr="00CE4949">
        <w:trPr>
          <w:trHeight w:val="241"/>
        </w:trPr>
        <w:tc>
          <w:tcPr>
            <w:tcW w:w="4108" w:type="dxa"/>
            <w:noWrap/>
            <w:hideMark/>
          </w:tcPr>
          <w:p w14:paraId="0D2A989D" w14:textId="77777777" w:rsidR="00CE4949" w:rsidRPr="00CE4949" w:rsidRDefault="00CE4949" w:rsidP="00CE4949">
            <w:pPr>
              <w:spacing w:after="0" w:line="276" w:lineRule="auto"/>
              <w:jc w:val="center"/>
              <w:rPr>
                <w:rFonts w:ascii="ITC Avant Garde" w:hAnsi="ITC Avant Garde"/>
                <w:i/>
                <w:smallCaps/>
                <w:color w:val="auto"/>
                <w:sz w:val="18"/>
                <w:szCs w:val="18"/>
              </w:rPr>
            </w:pPr>
            <w:r w:rsidRPr="002C2F35">
              <w:rPr>
                <w:rFonts w:ascii="ITC Avant Garde" w:hAnsi="ITC Avant Garde" w:cs="Arial"/>
                <w:i/>
                <w:smallCaps/>
                <w:strike/>
                <w:color w:val="auto"/>
                <w:sz w:val="18"/>
                <w:szCs w:val="18"/>
              </w:rPr>
              <w:t>01</w:t>
            </w:r>
            <w:r w:rsidRPr="00CE4949">
              <w:rPr>
                <w:rFonts w:ascii="ITC Avant Garde" w:hAnsi="ITC Avant Garde" w:cs="Arial"/>
                <w:i/>
                <w:smallCaps/>
                <w:color w:val="auto"/>
                <w:sz w:val="18"/>
                <w:szCs w:val="18"/>
              </w:rPr>
              <w:t xml:space="preserve"> </w:t>
            </w:r>
            <w:r w:rsidRPr="00CE4949">
              <w:rPr>
                <w:rFonts w:ascii="ITC Avant Garde" w:hAnsi="ITC Avant Garde"/>
                <w:i/>
                <w:smallCaps/>
                <w:color w:val="auto"/>
                <w:sz w:val="18"/>
                <w:szCs w:val="18"/>
              </w:rPr>
              <w:t xml:space="preserve">MPP </w:t>
            </w:r>
            <w:r w:rsidRPr="002C2F35">
              <w:rPr>
                <w:rFonts w:ascii="ITC Avant Garde" w:hAnsi="ITC Avant Garde" w:cs="Arial"/>
                <w:i/>
                <w:smallCaps/>
                <w:strike/>
                <w:color w:val="auto"/>
                <w:sz w:val="18"/>
                <w:szCs w:val="18"/>
              </w:rPr>
              <w:t>Y FIJO LD</w:t>
            </w:r>
          </w:p>
        </w:tc>
        <w:tc>
          <w:tcPr>
            <w:tcW w:w="3830" w:type="dxa"/>
            <w:noWrap/>
            <w:hideMark/>
          </w:tcPr>
          <w:p w14:paraId="362D6D31" w14:textId="5C522510" w:rsidR="00CE4949" w:rsidRPr="00CE4949" w:rsidRDefault="00CE4949" w:rsidP="00CE4949">
            <w:pPr>
              <w:spacing w:after="0" w:line="276" w:lineRule="auto"/>
              <w:jc w:val="center"/>
              <w:rPr>
                <w:rFonts w:ascii="ITC Avant Garde" w:hAnsi="ITC Avant Garde"/>
                <w:i/>
                <w:smallCaps/>
                <w:color w:val="auto"/>
                <w:sz w:val="18"/>
                <w:szCs w:val="18"/>
              </w:rPr>
            </w:pPr>
            <w:r w:rsidRPr="002C2F35">
              <w:rPr>
                <w:rFonts w:ascii="ITC Avant Garde" w:hAnsi="ITC Avant Garde" w:cs="Arial"/>
                <w:i/>
                <w:smallCaps/>
                <w:strike/>
                <w:color w:val="auto"/>
                <w:sz w:val="18"/>
                <w:szCs w:val="18"/>
              </w:rPr>
              <w:t>01+ABC</w:t>
            </w:r>
            <w:r w:rsidR="002C2F35">
              <w:rPr>
                <w:rFonts w:ascii="ITC Avant Garde" w:hAnsi="ITC Avant Garde" w:cs="Arial"/>
                <w:i/>
                <w:smallCaps/>
                <w:color w:val="auto"/>
                <w:sz w:val="18"/>
                <w:szCs w:val="18"/>
              </w:rPr>
              <w:t xml:space="preserve"> </w:t>
            </w:r>
            <w:r w:rsidRPr="002C2F35">
              <w:rPr>
                <w:rFonts w:ascii="ITC Avant Garde" w:hAnsi="ITC Avant Garde" w:cs="Arial"/>
                <w:bCs/>
                <w:i/>
                <w:smallCaps/>
                <w:color w:val="auto"/>
                <w:sz w:val="18"/>
                <w:szCs w:val="18"/>
                <w:u w:val="single"/>
              </w:rPr>
              <w:t>IDD+IDO</w:t>
            </w:r>
            <w:r w:rsidRPr="00CE4949">
              <w:rPr>
                <w:rFonts w:ascii="ITC Avant Garde" w:hAnsi="ITC Avant Garde"/>
                <w:i/>
                <w:smallCaps/>
                <w:color w:val="auto"/>
                <w:sz w:val="18"/>
                <w:szCs w:val="18"/>
              </w:rPr>
              <w:t>+10D</w:t>
            </w:r>
          </w:p>
        </w:tc>
      </w:tr>
      <w:tr w:rsidR="00CE4949" w:rsidRPr="000625C6" w14:paraId="27C5C573" w14:textId="77777777" w:rsidTr="00CE4949">
        <w:trPr>
          <w:trHeight w:val="241"/>
        </w:trPr>
        <w:tc>
          <w:tcPr>
            <w:tcW w:w="4108" w:type="dxa"/>
            <w:noWrap/>
            <w:hideMark/>
          </w:tcPr>
          <w:p w14:paraId="5643CE7E" w14:textId="77777777" w:rsidR="00CE4949" w:rsidRPr="00CE4949" w:rsidRDefault="00CE4949" w:rsidP="00CE4949">
            <w:pPr>
              <w:spacing w:after="0" w:line="276" w:lineRule="auto"/>
              <w:jc w:val="center"/>
              <w:rPr>
                <w:rFonts w:ascii="ITC Avant Garde" w:hAnsi="ITC Avant Garde"/>
                <w:i/>
                <w:smallCaps/>
                <w:color w:val="auto"/>
                <w:sz w:val="18"/>
                <w:szCs w:val="18"/>
              </w:rPr>
            </w:pPr>
            <w:r w:rsidRPr="00615805">
              <w:rPr>
                <w:rFonts w:ascii="ITC Avant Garde" w:hAnsi="ITC Avant Garde" w:cs="Arial"/>
                <w:i/>
                <w:smallCaps/>
                <w:strike/>
                <w:color w:val="auto"/>
                <w:sz w:val="18"/>
                <w:szCs w:val="18"/>
              </w:rPr>
              <w:t>001</w:t>
            </w:r>
            <w:r w:rsidRPr="00CE4949">
              <w:rPr>
                <w:rFonts w:ascii="ITC Avant Garde" w:hAnsi="ITC Avant Garde"/>
                <w:i/>
                <w:smallCaps/>
                <w:color w:val="auto"/>
                <w:sz w:val="18"/>
                <w:szCs w:val="18"/>
              </w:rPr>
              <w:t xml:space="preserve">  INTERNACIONAL</w:t>
            </w:r>
          </w:p>
        </w:tc>
        <w:tc>
          <w:tcPr>
            <w:tcW w:w="3830" w:type="dxa"/>
            <w:noWrap/>
            <w:hideMark/>
          </w:tcPr>
          <w:p w14:paraId="025591C4" w14:textId="77777777" w:rsidR="00CE4949" w:rsidRPr="00CE4949" w:rsidRDefault="00CE4949" w:rsidP="00CE4949">
            <w:pPr>
              <w:spacing w:after="0" w:line="276" w:lineRule="auto"/>
              <w:jc w:val="center"/>
              <w:rPr>
                <w:rFonts w:ascii="ITC Avant Garde" w:hAnsi="ITC Avant Garde"/>
                <w:i/>
                <w:smallCaps/>
                <w:color w:val="auto"/>
                <w:sz w:val="18"/>
                <w:szCs w:val="18"/>
              </w:rPr>
            </w:pPr>
            <w:r w:rsidRPr="00CE4949">
              <w:rPr>
                <w:rFonts w:ascii="ITC Avant Garde" w:hAnsi="ITC Avant Garde"/>
                <w:i/>
                <w:smallCaps/>
                <w:color w:val="auto"/>
                <w:sz w:val="18"/>
                <w:szCs w:val="18"/>
              </w:rPr>
              <w:t>00+</w:t>
            </w:r>
            <w:r w:rsidRPr="00615805">
              <w:rPr>
                <w:rFonts w:ascii="ITC Avant Garde" w:hAnsi="ITC Avant Garde" w:cs="Arial"/>
                <w:i/>
                <w:smallCaps/>
                <w:strike/>
                <w:color w:val="auto"/>
                <w:sz w:val="18"/>
                <w:szCs w:val="18"/>
              </w:rPr>
              <w:t>ABC+1+CC</w:t>
            </w:r>
            <w:r w:rsidRPr="00CE4949" w:rsidDel="00D056B7">
              <w:rPr>
                <w:rFonts w:ascii="ITC Avant Garde" w:hAnsi="ITC Avant Garde" w:cs="Arial"/>
                <w:bCs/>
                <w:i/>
                <w:smallCaps/>
                <w:color w:val="auto"/>
                <w:sz w:val="18"/>
                <w:szCs w:val="18"/>
              </w:rPr>
              <w:t xml:space="preserve"> </w:t>
            </w:r>
            <w:r w:rsidRPr="00615805">
              <w:rPr>
                <w:rFonts w:ascii="ITC Avant Garde" w:hAnsi="ITC Avant Garde" w:cs="Arial"/>
                <w:bCs/>
                <w:i/>
                <w:smallCaps/>
                <w:color w:val="auto"/>
                <w:sz w:val="18"/>
                <w:szCs w:val="18"/>
                <w:u w:val="single"/>
              </w:rPr>
              <w:t>IDD+IDO</w:t>
            </w:r>
            <w:r w:rsidRPr="00CE4949">
              <w:rPr>
                <w:rFonts w:ascii="ITC Avant Garde" w:hAnsi="ITC Avant Garde"/>
                <w:i/>
                <w:smallCaps/>
                <w:color w:val="auto"/>
                <w:sz w:val="18"/>
                <w:szCs w:val="18"/>
              </w:rPr>
              <w:t>+NI</w:t>
            </w:r>
          </w:p>
        </w:tc>
      </w:tr>
      <w:tr w:rsidR="00CE4949" w:rsidRPr="000625C6" w14:paraId="409A81E9" w14:textId="77777777" w:rsidTr="00CE4949">
        <w:trPr>
          <w:trHeight w:val="241"/>
        </w:trPr>
        <w:tc>
          <w:tcPr>
            <w:tcW w:w="4108" w:type="dxa"/>
            <w:noWrap/>
            <w:hideMark/>
          </w:tcPr>
          <w:p w14:paraId="69349DED" w14:textId="77777777" w:rsidR="00CE4949" w:rsidRPr="00CE4949" w:rsidRDefault="00CE4949" w:rsidP="00CE4949">
            <w:pPr>
              <w:spacing w:after="0" w:line="276" w:lineRule="auto"/>
              <w:jc w:val="center"/>
              <w:rPr>
                <w:rFonts w:ascii="ITC Avant Garde" w:hAnsi="ITC Avant Garde"/>
                <w:i/>
                <w:smallCaps/>
                <w:color w:val="auto"/>
                <w:sz w:val="18"/>
                <w:szCs w:val="18"/>
              </w:rPr>
            </w:pPr>
            <w:r w:rsidRPr="00615805">
              <w:rPr>
                <w:rFonts w:ascii="ITC Avant Garde" w:hAnsi="ITC Avant Garde" w:cs="Arial"/>
                <w:i/>
                <w:smallCaps/>
                <w:strike/>
                <w:color w:val="auto"/>
                <w:sz w:val="18"/>
                <w:szCs w:val="18"/>
              </w:rPr>
              <w:t>00</w:t>
            </w:r>
            <w:r w:rsidRPr="00CE4949">
              <w:rPr>
                <w:rFonts w:ascii="ITC Avant Garde" w:hAnsi="ITC Avant Garde"/>
                <w:i/>
                <w:smallCaps/>
                <w:color w:val="auto"/>
                <w:sz w:val="18"/>
                <w:szCs w:val="18"/>
              </w:rPr>
              <w:t xml:space="preserve"> MUNDIAL</w:t>
            </w:r>
          </w:p>
        </w:tc>
        <w:tc>
          <w:tcPr>
            <w:tcW w:w="3830" w:type="dxa"/>
            <w:noWrap/>
            <w:hideMark/>
          </w:tcPr>
          <w:p w14:paraId="229B7314" w14:textId="77777777" w:rsidR="00CE4949" w:rsidRPr="00CE4949" w:rsidRDefault="00CE4949" w:rsidP="00CE4949">
            <w:pPr>
              <w:spacing w:after="0" w:line="276" w:lineRule="auto"/>
              <w:jc w:val="center"/>
              <w:rPr>
                <w:rFonts w:ascii="ITC Avant Garde" w:hAnsi="ITC Avant Garde"/>
                <w:i/>
                <w:smallCaps/>
                <w:color w:val="auto"/>
                <w:sz w:val="18"/>
                <w:szCs w:val="18"/>
              </w:rPr>
            </w:pPr>
            <w:r w:rsidRPr="00CE4949">
              <w:rPr>
                <w:rFonts w:ascii="ITC Avant Garde" w:hAnsi="ITC Avant Garde"/>
                <w:i/>
                <w:smallCaps/>
                <w:color w:val="auto"/>
                <w:sz w:val="18"/>
                <w:szCs w:val="18"/>
              </w:rPr>
              <w:t>00+</w:t>
            </w:r>
            <w:r w:rsidRPr="00615805">
              <w:rPr>
                <w:rFonts w:ascii="ITC Avant Garde" w:hAnsi="ITC Avant Garde" w:cs="Arial"/>
                <w:i/>
                <w:smallCaps/>
                <w:strike/>
                <w:color w:val="auto"/>
                <w:sz w:val="18"/>
                <w:szCs w:val="18"/>
              </w:rPr>
              <w:t>ABC+CC</w:t>
            </w:r>
            <w:r w:rsidRPr="00CE4949" w:rsidDel="00D056B7">
              <w:rPr>
                <w:rFonts w:ascii="ITC Avant Garde" w:hAnsi="ITC Avant Garde" w:cs="Arial"/>
                <w:bCs/>
                <w:i/>
                <w:smallCaps/>
                <w:color w:val="auto"/>
                <w:sz w:val="18"/>
                <w:szCs w:val="18"/>
              </w:rPr>
              <w:t xml:space="preserve"> </w:t>
            </w:r>
            <w:r w:rsidRPr="00615805">
              <w:rPr>
                <w:rFonts w:ascii="ITC Avant Garde" w:hAnsi="ITC Avant Garde" w:cs="Arial"/>
                <w:bCs/>
                <w:i/>
                <w:smallCaps/>
                <w:color w:val="auto"/>
                <w:sz w:val="18"/>
                <w:szCs w:val="18"/>
                <w:u w:val="single"/>
              </w:rPr>
              <w:t>IDD+IDO</w:t>
            </w:r>
            <w:r w:rsidRPr="00CE4949">
              <w:rPr>
                <w:rFonts w:ascii="ITC Avant Garde" w:hAnsi="ITC Avant Garde"/>
                <w:i/>
                <w:smallCaps/>
                <w:color w:val="auto"/>
                <w:sz w:val="18"/>
                <w:szCs w:val="18"/>
              </w:rPr>
              <w:t>+NM</w:t>
            </w:r>
          </w:p>
        </w:tc>
      </w:tr>
      <w:tr w:rsidR="00CE4949" w:rsidRPr="000625C6" w14:paraId="6F66326A" w14:textId="77777777" w:rsidTr="00CE4949">
        <w:trPr>
          <w:trHeight w:val="241"/>
        </w:trPr>
        <w:tc>
          <w:tcPr>
            <w:tcW w:w="4108" w:type="dxa"/>
            <w:noWrap/>
            <w:hideMark/>
          </w:tcPr>
          <w:p w14:paraId="0276919A" w14:textId="29D4FD33" w:rsidR="00CE4949" w:rsidRPr="00CE4949" w:rsidRDefault="00CE4949" w:rsidP="00CE4949">
            <w:pPr>
              <w:spacing w:after="0" w:line="276" w:lineRule="auto"/>
              <w:jc w:val="center"/>
              <w:rPr>
                <w:rFonts w:ascii="ITC Avant Garde" w:hAnsi="ITC Avant Garde"/>
                <w:i/>
                <w:smallCaps/>
                <w:color w:val="auto"/>
                <w:sz w:val="18"/>
                <w:szCs w:val="18"/>
              </w:rPr>
            </w:pPr>
            <w:r w:rsidRPr="00615805">
              <w:rPr>
                <w:rFonts w:ascii="ITC Avant Garde" w:hAnsi="ITC Avant Garde" w:cs="Arial"/>
                <w:i/>
                <w:smallCaps/>
                <w:strike/>
                <w:color w:val="auto"/>
                <w:sz w:val="18"/>
                <w:szCs w:val="18"/>
              </w:rPr>
              <w:t>1800</w:t>
            </w:r>
            <w:r w:rsidR="00615805">
              <w:rPr>
                <w:rFonts w:ascii="ITC Avant Garde" w:hAnsi="ITC Avant Garde" w:cs="Arial"/>
                <w:i/>
                <w:smallCaps/>
                <w:color w:val="auto"/>
                <w:sz w:val="18"/>
                <w:szCs w:val="18"/>
              </w:rPr>
              <w:t xml:space="preserve"> </w:t>
            </w:r>
            <w:r w:rsidRPr="00615805">
              <w:rPr>
                <w:rFonts w:ascii="ITC Avant Garde" w:hAnsi="ITC Avant Garde" w:cs="Arial"/>
                <w:bCs/>
                <w:i/>
                <w:smallCaps/>
                <w:color w:val="auto"/>
                <w:sz w:val="18"/>
                <w:szCs w:val="18"/>
                <w:u w:val="single"/>
              </w:rPr>
              <w:t>800</w:t>
            </w:r>
          </w:p>
        </w:tc>
        <w:tc>
          <w:tcPr>
            <w:tcW w:w="3830" w:type="dxa"/>
            <w:noWrap/>
            <w:hideMark/>
          </w:tcPr>
          <w:p w14:paraId="19BC7F23" w14:textId="6554F695" w:rsidR="00CE4949" w:rsidRPr="00CE4949" w:rsidRDefault="00CE4949" w:rsidP="00CE4949">
            <w:pPr>
              <w:spacing w:after="0" w:line="276" w:lineRule="auto"/>
              <w:jc w:val="center"/>
              <w:rPr>
                <w:rFonts w:ascii="ITC Avant Garde" w:hAnsi="ITC Avant Garde"/>
                <w:i/>
                <w:smallCaps/>
                <w:color w:val="auto"/>
                <w:sz w:val="18"/>
                <w:szCs w:val="18"/>
              </w:rPr>
            </w:pPr>
            <w:r w:rsidRPr="00615805">
              <w:rPr>
                <w:rFonts w:ascii="ITC Avant Garde" w:hAnsi="ITC Avant Garde" w:cs="Arial"/>
                <w:i/>
                <w:smallCaps/>
                <w:strike/>
                <w:color w:val="auto"/>
                <w:sz w:val="18"/>
                <w:szCs w:val="18"/>
              </w:rPr>
              <w:t>01+ABC</w:t>
            </w:r>
            <w:r w:rsidR="00615805">
              <w:rPr>
                <w:rFonts w:ascii="ITC Avant Garde" w:hAnsi="ITC Avant Garde" w:cs="Arial"/>
                <w:i/>
                <w:smallCaps/>
                <w:color w:val="auto"/>
                <w:sz w:val="18"/>
                <w:szCs w:val="18"/>
              </w:rPr>
              <w:t xml:space="preserve"> </w:t>
            </w:r>
            <w:r w:rsidRPr="00615805">
              <w:rPr>
                <w:rFonts w:ascii="ITC Avant Garde" w:hAnsi="ITC Avant Garde" w:cs="Arial"/>
                <w:bCs/>
                <w:i/>
                <w:smallCaps/>
                <w:color w:val="auto"/>
                <w:sz w:val="18"/>
                <w:szCs w:val="18"/>
                <w:u w:val="single"/>
              </w:rPr>
              <w:t>IDD</w:t>
            </w:r>
            <w:r w:rsidRPr="00CE4949">
              <w:rPr>
                <w:rFonts w:ascii="ITC Avant Garde" w:hAnsi="ITC Avant Garde"/>
                <w:i/>
                <w:smallCaps/>
                <w:color w:val="auto"/>
                <w:sz w:val="18"/>
                <w:szCs w:val="18"/>
              </w:rPr>
              <w:t>+IDO+</w:t>
            </w:r>
            <w:r w:rsidRPr="00615805">
              <w:rPr>
                <w:rFonts w:ascii="ITC Avant Garde" w:hAnsi="ITC Avant Garde" w:cs="Arial"/>
                <w:i/>
                <w:smallCaps/>
                <w:strike/>
                <w:color w:val="auto"/>
                <w:sz w:val="18"/>
                <w:szCs w:val="18"/>
              </w:rPr>
              <w:t>NUM. NO GEOGRÁFICO</w:t>
            </w:r>
            <w:r w:rsidRPr="00615805">
              <w:rPr>
                <w:rFonts w:ascii="ITC Avant Garde" w:hAnsi="ITC Avant Garde" w:cs="Arial"/>
                <w:bCs/>
                <w:i/>
                <w:smallCaps/>
                <w:color w:val="auto"/>
                <w:sz w:val="18"/>
                <w:szCs w:val="18"/>
                <w:u w:val="single"/>
              </w:rPr>
              <w:t>10D</w:t>
            </w:r>
          </w:p>
        </w:tc>
      </w:tr>
      <w:tr w:rsidR="00CE4949" w:rsidRPr="000625C6" w14:paraId="4BD2F8F1" w14:textId="77777777" w:rsidTr="00CE4949">
        <w:trPr>
          <w:trHeight w:val="241"/>
        </w:trPr>
        <w:tc>
          <w:tcPr>
            <w:tcW w:w="4108" w:type="dxa"/>
            <w:noWrap/>
            <w:hideMark/>
          </w:tcPr>
          <w:p w14:paraId="3EA8EF0A" w14:textId="7027E731" w:rsidR="00CE4949" w:rsidRPr="00CE4949" w:rsidRDefault="00CE4949" w:rsidP="00CE4949">
            <w:pPr>
              <w:spacing w:after="0" w:line="276" w:lineRule="auto"/>
              <w:jc w:val="center"/>
              <w:rPr>
                <w:rFonts w:ascii="ITC Avant Garde" w:hAnsi="ITC Avant Garde"/>
                <w:i/>
                <w:smallCaps/>
                <w:color w:val="auto"/>
                <w:sz w:val="18"/>
                <w:szCs w:val="18"/>
              </w:rPr>
            </w:pPr>
            <w:r w:rsidRPr="00615805">
              <w:rPr>
                <w:rFonts w:ascii="ITC Avant Garde" w:hAnsi="ITC Avant Garde" w:cs="Arial"/>
                <w:i/>
                <w:smallCaps/>
                <w:strike/>
                <w:color w:val="auto"/>
                <w:sz w:val="18"/>
                <w:szCs w:val="18"/>
              </w:rPr>
              <w:t>MARCACIONES</w:t>
            </w:r>
            <w:r w:rsidR="00615805">
              <w:rPr>
                <w:rFonts w:ascii="ITC Avant Garde" w:hAnsi="ITC Avant Garde" w:cs="Arial"/>
                <w:i/>
                <w:smallCaps/>
                <w:color w:val="auto"/>
                <w:sz w:val="18"/>
                <w:szCs w:val="18"/>
              </w:rPr>
              <w:t xml:space="preserve"> </w:t>
            </w:r>
            <w:r w:rsidRPr="00615805">
              <w:rPr>
                <w:rFonts w:ascii="ITC Avant Garde" w:hAnsi="ITC Avant Garde" w:cs="Arial"/>
                <w:bCs/>
                <w:i/>
                <w:smallCaps/>
                <w:color w:val="auto"/>
                <w:sz w:val="18"/>
                <w:szCs w:val="18"/>
                <w:u w:val="single"/>
              </w:rPr>
              <w:t>CÓDIGOS DE SERVICIOS</w:t>
            </w:r>
            <w:r w:rsidRPr="00615805">
              <w:rPr>
                <w:rFonts w:ascii="ITC Avant Garde" w:hAnsi="ITC Avant Garde"/>
                <w:i/>
                <w:smallCaps/>
                <w:color w:val="auto"/>
                <w:sz w:val="18"/>
                <w:szCs w:val="18"/>
                <w:u w:val="single"/>
              </w:rPr>
              <w:t xml:space="preserve"> </w:t>
            </w:r>
            <w:r w:rsidRPr="00CE4949">
              <w:rPr>
                <w:rFonts w:ascii="ITC Avant Garde" w:hAnsi="ITC Avant Garde"/>
                <w:i/>
                <w:smallCaps/>
                <w:color w:val="auto"/>
                <w:sz w:val="18"/>
                <w:szCs w:val="18"/>
              </w:rPr>
              <w:t>ESPECIALES</w:t>
            </w:r>
          </w:p>
        </w:tc>
        <w:tc>
          <w:tcPr>
            <w:tcW w:w="3830" w:type="dxa"/>
            <w:noWrap/>
            <w:hideMark/>
          </w:tcPr>
          <w:p w14:paraId="71E72713" w14:textId="1D9CFA23" w:rsidR="00CE4949" w:rsidRPr="00CE4949" w:rsidRDefault="00CE4949" w:rsidP="00CE4949">
            <w:pPr>
              <w:spacing w:after="0" w:line="276" w:lineRule="auto"/>
              <w:jc w:val="center"/>
              <w:rPr>
                <w:rFonts w:ascii="ITC Avant Garde" w:hAnsi="ITC Avant Garde"/>
                <w:i/>
                <w:smallCaps/>
                <w:color w:val="auto"/>
                <w:sz w:val="18"/>
                <w:szCs w:val="18"/>
              </w:rPr>
            </w:pPr>
            <w:r w:rsidRPr="00615805">
              <w:rPr>
                <w:rFonts w:ascii="ITC Avant Garde" w:hAnsi="ITC Avant Garde" w:cs="Arial"/>
                <w:i/>
                <w:smallCaps/>
                <w:strike/>
                <w:color w:val="auto"/>
                <w:sz w:val="18"/>
                <w:szCs w:val="18"/>
              </w:rPr>
              <w:t>SE ENVÍAN SIN MODIFICACIONES</w:t>
            </w:r>
            <w:r w:rsidR="00615805">
              <w:rPr>
                <w:rFonts w:ascii="ITC Avant Garde" w:hAnsi="ITC Avant Garde" w:cs="Arial"/>
                <w:i/>
                <w:smallCaps/>
                <w:color w:val="auto"/>
                <w:sz w:val="18"/>
                <w:szCs w:val="18"/>
              </w:rPr>
              <w:t xml:space="preserve"> </w:t>
            </w:r>
            <w:r w:rsidRPr="00615805">
              <w:rPr>
                <w:rFonts w:ascii="ITC Avant Garde" w:hAnsi="ITC Avant Garde" w:cs="Arial"/>
                <w:bCs/>
                <w:i/>
                <w:smallCaps/>
                <w:color w:val="auto"/>
                <w:sz w:val="18"/>
                <w:szCs w:val="18"/>
                <w:u w:val="single"/>
              </w:rPr>
              <w:t>IDD+IDO+10D</w:t>
            </w:r>
          </w:p>
        </w:tc>
      </w:tr>
    </w:tbl>
    <w:p w14:paraId="3CD7DB65" w14:textId="3A9F70C1" w:rsidR="00395AB5" w:rsidRPr="00567260" w:rsidRDefault="006031BB" w:rsidP="006031BB">
      <w:pPr>
        <w:spacing w:line="276" w:lineRule="auto"/>
        <w:ind w:left="567" w:right="615"/>
        <w:jc w:val="left"/>
        <w:rPr>
          <w:rFonts w:ascii="ITC Avant Garde" w:eastAsia="Calibri" w:hAnsi="ITC Avant Garde" w:cs="Arial"/>
          <w:sz w:val="18"/>
          <w:szCs w:val="18"/>
          <w:lang w:eastAsia="en-US"/>
        </w:rPr>
      </w:pPr>
      <w:r>
        <w:rPr>
          <w:rFonts w:ascii="ITC Avant Garde" w:eastAsia="Calibri" w:hAnsi="ITC Avant Garde" w:cs="Arial"/>
          <w:sz w:val="18"/>
          <w:szCs w:val="18"/>
          <w:lang w:eastAsia="en-US"/>
        </w:rPr>
        <w:t>”</w:t>
      </w:r>
    </w:p>
    <w:p w14:paraId="046B1220" w14:textId="77777777" w:rsidR="006031BB" w:rsidRDefault="006031BB" w:rsidP="006031BB">
      <w:pPr>
        <w:spacing w:line="276" w:lineRule="auto"/>
        <w:ind w:left="567" w:right="615"/>
        <w:jc w:val="right"/>
        <w:rPr>
          <w:rFonts w:ascii="ITC Avant Garde" w:eastAsia="Calibri" w:hAnsi="ITC Avant Garde" w:cs="Arial"/>
          <w:sz w:val="18"/>
          <w:szCs w:val="18"/>
          <w:lang w:eastAsia="en-US"/>
        </w:rPr>
      </w:pPr>
      <w:r w:rsidRPr="002175CA">
        <w:rPr>
          <w:rFonts w:ascii="ITC Avant Garde" w:eastAsia="Calibri" w:hAnsi="ITC Avant Garde" w:cs="Arial"/>
          <w:sz w:val="18"/>
          <w:szCs w:val="18"/>
          <w:lang w:eastAsia="en-US"/>
        </w:rPr>
        <w:t>Énfasis añadido</w:t>
      </w:r>
    </w:p>
    <w:p w14:paraId="54D2E3F2" w14:textId="5A7660BB" w:rsidR="006136F4" w:rsidRDefault="006136F4" w:rsidP="006136F4">
      <w:pPr>
        <w:spacing w:after="0" w:line="276" w:lineRule="auto"/>
        <w:ind w:right="0"/>
        <w:rPr>
          <w:rFonts w:ascii="ITC Avant Garde" w:hAnsi="ITC Avant Garde"/>
          <w:b/>
          <w:color w:val="auto"/>
          <w:u w:val="single"/>
        </w:rPr>
      </w:pPr>
    </w:p>
    <w:p w14:paraId="56336FD3" w14:textId="6A286D2A" w:rsidR="00815FFB" w:rsidRPr="00577FD6" w:rsidRDefault="00815FFB" w:rsidP="00815FFB">
      <w:pPr>
        <w:spacing w:after="0" w:line="276" w:lineRule="auto"/>
        <w:ind w:right="0"/>
        <w:rPr>
          <w:rFonts w:ascii="ITC Avant Garde" w:hAnsi="ITC Avant Garde"/>
          <w:b/>
          <w:color w:val="auto"/>
          <w:u w:val="single"/>
        </w:rPr>
      </w:pPr>
      <w:r>
        <w:rPr>
          <w:rFonts w:ascii="ITC Avant Garde" w:hAnsi="ITC Avant Garde"/>
          <w:b/>
          <w:color w:val="auto"/>
          <w:u w:val="single"/>
        </w:rPr>
        <w:t>3. Casos de Tráfico</w:t>
      </w:r>
    </w:p>
    <w:p w14:paraId="0E55DD8D" w14:textId="77777777" w:rsidR="00815FFB" w:rsidRPr="00CC72B9" w:rsidRDefault="00815FFB" w:rsidP="00815FFB">
      <w:pPr>
        <w:spacing w:after="0" w:line="276" w:lineRule="auto"/>
        <w:ind w:left="0" w:right="0" w:firstLine="0"/>
        <w:rPr>
          <w:rFonts w:ascii="ITC Avant Garde" w:hAnsi="ITC Avant Garde"/>
          <w:b/>
          <w:color w:val="auto"/>
        </w:rPr>
      </w:pPr>
      <w:r>
        <w:rPr>
          <w:rFonts w:ascii="ITC Avant Garde" w:hAnsi="ITC Avant Garde"/>
          <w:b/>
          <w:color w:val="auto"/>
        </w:rPr>
        <w:t>AT&amp;T</w:t>
      </w:r>
      <w:r w:rsidRPr="00CC72B9">
        <w:rPr>
          <w:rFonts w:ascii="ITC Avant Garde" w:hAnsi="ITC Avant Garde"/>
          <w:b/>
          <w:color w:val="auto"/>
        </w:rPr>
        <w:t>:</w:t>
      </w:r>
    </w:p>
    <w:p w14:paraId="14A0265F" w14:textId="48DC6462" w:rsidR="00815FFB" w:rsidRDefault="006432CD" w:rsidP="006432CD">
      <w:pPr>
        <w:pStyle w:val="IFT1"/>
        <w:tabs>
          <w:tab w:val="left" w:pos="426"/>
        </w:tabs>
        <w:spacing w:after="0"/>
        <w:rPr>
          <w:bCs/>
        </w:rPr>
      </w:pPr>
      <w:r w:rsidRPr="00CC0A10">
        <w:rPr>
          <w:bCs/>
        </w:rPr>
        <w:t>Sugiere adicionar la sección “3.3. Locuciones" cuando exista una condición para la liberación de la llamada para el tráfico originado por los usuarios finales del concesionario bajo cobertura de Telcel.</w:t>
      </w:r>
      <w:r w:rsidRPr="006432CD">
        <w:rPr>
          <w:bCs/>
        </w:rPr>
        <w:t xml:space="preserve"> </w:t>
      </w:r>
    </w:p>
    <w:p w14:paraId="4A03DC9E" w14:textId="13DD2B3E" w:rsidR="00C9202E" w:rsidRDefault="00C9202E" w:rsidP="006432CD">
      <w:pPr>
        <w:pStyle w:val="IFT1"/>
        <w:tabs>
          <w:tab w:val="left" w:pos="426"/>
        </w:tabs>
        <w:spacing w:after="0"/>
        <w:rPr>
          <w:bCs/>
        </w:rPr>
      </w:pPr>
    </w:p>
    <w:p w14:paraId="26D0A325" w14:textId="54E82A10" w:rsidR="00C9202E" w:rsidRPr="006432CD" w:rsidRDefault="00C9202E" w:rsidP="00C9202E">
      <w:pPr>
        <w:pStyle w:val="IFT1"/>
        <w:tabs>
          <w:tab w:val="left" w:pos="426"/>
        </w:tabs>
        <w:spacing w:after="0"/>
        <w:rPr>
          <w:bCs/>
        </w:rPr>
      </w:pPr>
      <w:r w:rsidRPr="00343A4F">
        <w:rPr>
          <w:b/>
        </w:rPr>
        <w:t>Consideraciones del Instituto</w:t>
      </w:r>
    </w:p>
    <w:p w14:paraId="1DE405AC" w14:textId="7B3D25E6" w:rsidR="00815FFB" w:rsidRDefault="004012C2" w:rsidP="004012C2">
      <w:pPr>
        <w:pStyle w:val="IFT1"/>
        <w:tabs>
          <w:tab w:val="left" w:pos="426"/>
        </w:tabs>
        <w:spacing w:after="0"/>
        <w:rPr>
          <w:bCs/>
        </w:rPr>
      </w:pPr>
      <w:r w:rsidRPr="004012C2">
        <w:rPr>
          <w:bCs/>
        </w:rPr>
        <w:t>El numeral 6 del Anexo V es</w:t>
      </w:r>
      <w:r w:rsidR="005B08EA">
        <w:rPr>
          <w:bCs/>
        </w:rPr>
        <w:t>tablece que, en caso de que el concesionario</w:t>
      </w:r>
      <w:r w:rsidRPr="004012C2">
        <w:rPr>
          <w:bCs/>
        </w:rPr>
        <w:t xml:space="preserve"> requiera algún servicio o elemento de red adicional, deberá realizar la solicitud por escrito a Telcel</w:t>
      </w:r>
      <w:r w:rsidR="005B08EA">
        <w:rPr>
          <w:bCs/>
        </w:rPr>
        <w:t>, tal como se muestra a continuación:</w:t>
      </w:r>
    </w:p>
    <w:p w14:paraId="73E3E469" w14:textId="76A9090E" w:rsidR="005B08EA" w:rsidRDefault="005B08EA" w:rsidP="004012C2">
      <w:pPr>
        <w:pStyle w:val="IFT1"/>
        <w:tabs>
          <w:tab w:val="left" w:pos="426"/>
        </w:tabs>
        <w:spacing w:after="0"/>
        <w:rPr>
          <w:bCs/>
        </w:rPr>
      </w:pPr>
    </w:p>
    <w:p w14:paraId="711301FB" w14:textId="52E3AA00" w:rsidR="005B08EA" w:rsidRPr="005B08EA" w:rsidRDefault="005B08EA" w:rsidP="005B08EA">
      <w:pPr>
        <w:spacing w:line="276" w:lineRule="auto"/>
        <w:ind w:left="567" w:right="615"/>
        <w:rPr>
          <w:rFonts w:ascii="ITC Avant Garde" w:eastAsia="Calibri" w:hAnsi="ITC Avant Garde" w:cs="Arial"/>
          <w:i/>
          <w:sz w:val="18"/>
          <w:szCs w:val="18"/>
          <w:lang w:eastAsia="en-US"/>
        </w:rPr>
      </w:pPr>
      <w:r>
        <w:rPr>
          <w:rFonts w:ascii="ITC Avant Garde" w:eastAsia="Calibri" w:hAnsi="ITC Avant Garde" w:cs="Arial"/>
          <w:i/>
          <w:sz w:val="18"/>
          <w:szCs w:val="18"/>
          <w:lang w:eastAsia="en-US"/>
        </w:rPr>
        <w:t>“</w:t>
      </w:r>
      <w:r w:rsidRPr="005B08EA">
        <w:rPr>
          <w:rFonts w:ascii="ITC Avant Garde" w:eastAsia="Calibri" w:hAnsi="ITC Avant Garde" w:cs="Arial"/>
          <w:i/>
          <w:sz w:val="18"/>
          <w:szCs w:val="18"/>
          <w:lang w:eastAsia="en-US"/>
        </w:rPr>
        <w:t xml:space="preserve">6. En caso de que el Concesionario requiera algún </w:t>
      </w:r>
      <w:r w:rsidRPr="005B08EA">
        <w:rPr>
          <w:rFonts w:ascii="ITC Avant Garde" w:eastAsia="Calibri" w:hAnsi="ITC Avant Garde" w:cs="Arial"/>
          <w:i/>
          <w:sz w:val="18"/>
          <w:szCs w:val="18"/>
          <w:u w:val="single"/>
          <w:lang w:eastAsia="en-US"/>
        </w:rPr>
        <w:t>servicio</w:t>
      </w:r>
      <w:r w:rsidRPr="005B08EA">
        <w:rPr>
          <w:rFonts w:ascii="ITC Avant Garde" w:eastAsia="Calibri" w:hAnsi="ITC Avant Garde" w:cs="Arial"/>
          <w:i/>
          <w:sz w:val="18"/>
          <w:szCs w:val="18"/>
          <w:lang w:eastAsia="en-US"/>
        </w:rPr>
        <w:t xml:space="preserve"> o elemento de red adicional a los contemplados en el presente Anexo, deberá realizar la solicitud por escrito a Telcel, </w:t>
      </w:r>
      <w:r w:rsidRPr="005B08EA">
        <w:rPr>
          <w:rFonts w:ascii="ITC Avant Garde" w:eastAsia="Calibri" w:hAnsi="ITC Avant Garde" w:cs="Arial"/>
          <w:i/>
          <w:sz w:val="18"/>
          <w:szCs w:val="18"/>
          <w:lang w:eastAsia="en-US"/>
        </w:rPr>
        <w:lastRenderedPageBreak/>
        <w:t xml:space="preserve">a  fin de que, con previo acuerdo entre las Partes, Telcel: (i) entregue información respecto del servicio solicitado; y (ii) esté en posibilidad de analizar la viabilidad. Los resultados del </w:t>
      </w:r>
      <w:r>
        <w:rPr>
          <w:rFonts w:ascii="ITC Avant Garde" w:eastAsia="Calibri" w:hAnsi="ITC Avant Garde" w:cs="Arial"/>
          <w:i/>
          <w:sz w:val="18"/>
          <w:szCs w:val="18"/>
          <w:lang w:eastAsia="en-US"/>
        </w:rPr>
        <w:t>análisis se alojarán en el SEG.”</w:t>
      </w:r>
    </w:p>
    <w:p w14:paraId="6B31FD2E" w14:textId="17F08F4F" w:rsidR="005B08EA" w:rsidRDefault="005B08EA" w:rsidP="005B08EA">
      <w:pPr>
        <w:spacing w:line="276" w:lineRule="auto"/>
        <w:ind w:left="567" w:right="615"/>
        <w:jc w:val="right"/>
        <w:rPr>
          <w:rFonts w:ascii="ITC Avant Garde" w:eastAsia="Calibri" w:hAnsi="ITC Avant Garde" w:cs="Arial"/>
          <w:sz w:val="18"/>
          <w:szCs w:val="18"/>
          <w:lang w:eastAsia="en-US"/>
        </w:rPr>
      </w:pPr>
      <w:r w:rsidRPr="002175CA">
        <w:rPr>
          <w:rFonts w:ascii="ITC Avant Garde" w:eastAsia="Calibri" w:hAnsi="ITC Avant Garde" w:cs="Arial"/>
          <w:sz w:val="18"/>
          <w:szCs w:val="18"/>
          <w:lang w:eastAsia="en-US"/>
        </w:rPr>
        <w:t>Énfasis añadido</w:t>
      </w:r>
    </w:p>
    <w:p w14:paraId="02B67DC7" w14:textId="77777777" w:rsidR="00345B1C" w:rsidRDefault="00345B1C" w:rsidP="005B08EA">
      <w:pPr>
        <w:spacing w:line="276" w:lineRule="auto"/>
        <w:ind w:left="567" w:right="615"/>
        <w:jc w:val="right"/>
        <w:rPr>
          <w:rFonts w:ascii="ITC Avant Garde" w:eastAsia="Calibri" w:hAnsi="ITC Avant Garde" w:cs="Arial"/>
          <w:sz w:val="18"/>
          <w:szCs w:val="18"/>
          <w:lang w:eastAsia="en-US"/>
        </w:rPr>
      </w:pPr>
    </w:p>
    <w:p w14:paraId="0AAFB19F" w14:textId="332A7E43" w:rsidR="00C9202E" w:rsidRDefault="00345B1C" w:rsidP="00345B1C">
      <w:pPr>
        <w:pStyle w:val="IFT1"/>
        <w:tabs>
          <w:tab w:val="left" w:pos="426"/>
        </w:tabs>
        <w:spacing w:after="0"/>
        <w:rPr>
          <w:b/>
          <w:u w:val="single"/>
        </w:rPr>
      </w:pPr>
      <w:r w:rsidRPr="00345B1C">
        <w:rPr>
          <w:bCs/>
        </w:rPr>
        <w:t xml:space="preserve">Por lo anterior, </w:t>
      </w:r>
      <w:r w:rsidR="005E0B04">
        <w:rPr>
          <w:bCs/>
        </w:rPr>
        <w:t>el concesionario podrá solicitar el servicio de locuciones en caso de requerirlo.</w:t>
      </w:r>
    </w:p>
    <w:p w14:paraId="7FBD24D3" w14:textId="77777777" w:rsidR="00345B1C" w:rsidRDefault="00345B1C" w:rsidP="005B5EB5">
      <w:pPr>
        <w:spacing w:after="0" w:line="276" w:lineRule="auto"/>
        <w:ind w:right="0"/>
        <w:rPr>
          <w:rFonts w:ascii="ITC Avant Garde" w:hAnsi="ITC Avant Garde"/>
          <w:b/>
          <w:color w:val="auto"/>
          <w:u w:val="single"/>
        </w:rPr>
      </w:pPr>
    </w:p>
    <w:p w14:paraId="7BA1F8DC" w14:textId="24C11233" w:rsidR="005B5EB5" w:rsidRPr="00577FD6" w:rsidRDefault="005B5EB5" w:rsidP="005B5EB5">
      <w:pPr>
        <w:spacing w:after="0" w:line="276" w:lineRule="auto"/>
        <w:ind w:right="0"/>
        <w:rPr>
          <w:rFonts w:ascii="ITC Avant Garde" w:hAnsi="ITC Avant Garde"/>
          <w:b/>
          <w:color w:val="auto"/>
          <w:u w:val="single"/>
        </w:rPr>
      </w:pPr>
      <w:r>
        <w:rPr>
          <w:rFonts w:ascii="ITC Avant Garde" w:hAnsi="ITC Avant Garde"/>
          <w:b/>
          <w:color w:val="auto"/>
          <w:u w:val="single"/>
        </w:rPr>
        <w:t>3.2.2 Prepago</w:t>
      </w:r>
    </w:p>
    <w:p w14:paraId="0FD5166C" w14:textId="545C4021" w:rsidR="005B5EB5" w:rsidRPr="00CC72B9" w:rsidRDefault="005B5EB5" w:rsidP="005B5EB5">
      <w:pPr>
        <w:spacing w:after="0" w:line="276" w:lineRule="auto"/>
        <w:ind w:left="0" w:right="0" w:firstLine="0"/>
        <w:rPr>
          <w:rFonts w:ascii="ITC Avant Garde" w:hAnsi="ITC Avant Garde"/>
          <w:b/>
          <w:color w:val="auto"/>
        </w:rPr>
      </w:pPr>
      <w:r>
        <w:rPr>
          <w:rFonts w:ascii="ITC Avant Garde" w:hAnsi="ITC Avant Garde"/>
          <w:b/>
          <w:color w:val="auto"/>
        </w:rPr>
        <w:t>AT&amp;T</w:t>
      </w:r>
      <w:r w:rsidRPr="00CC72B9">
        <w:rPr>
          <w:rFonts w:ascii="ITC Avant Garde" w:hAnsi="ITC Avant Garde"/>
          <w:b/>
          <w:color w:val="auto"/>
        </w:rPr>
        <w:t>:</w:t>
      </w:r>
    </w:p>
    <w:p w14:paraId="7874F27E" w14:textId="6BA46E98" w:rsidR="005B5EB5" w:rsidRDefault="00930669" w:rsidP="005B5EB5">
      <w:pPr>
        <w:spacing w:after="0" w:line="276" w:lineRule="auto"/>
        <w:ind w:right="0"/>
        <w:rPr>
          <w:rFonts w:ascii="ITC Avant Garde" w:hAnsi="ITC Avant Garde"/>
          <w:color w:val="auto"/>
        </w:rPr>
      </w:pPr>
      <w:r>
        <w:rPr>
          <w:rFonts w:ascii="ITC Avant Garde" w:hAnsi="ITC Avant Garde"/>
          <w:color w:val="auto"/>
        </w:rPr>
        <w:t>S</w:t>
      </w:r>
      <w:r w:rsidR="005B5EB5">
        <w:rPr>
          <w:rFonts w:ascii="ITC Avant Garde" w:hAnsi="ITC Avant Garde"/>
          <w:color w:val="auto"/>
        </w:rPr>
        <w:t>ugiere la siguiente modificación</w:t>
      </w:r>
      <w:r w:rsidR="005B5EB5" w:rsidRPr="005B5EB5">
        <w:rPr>
          <w:rFonts w:ascii="ITC Avant Garde" w:hAnsi="ITC Avant Garde"/>
          <w:color w:val="auto"/>
        </w:rPr>
        <w:t>:</w:t>
      </w:r>
    </w:p>
    <w:p w14:paraId="12A3B110" w14:textId="77777777" w:rsidR="005B5EB5" w:rsidRDefault="005B5EB5" w:rsidP="005B5EB5">
      <w:pPr>
        <w:spacing w:after="0" w:line="276" w:lineRule="auto"/>
        <w:ind w:right="0"/>
        <w:rPr>
          <w:rFonts w:ascii="ITC Avant Garde" w:hAnsi="ITC Avant Garde"/>
          <w:color w:val="auto"/>
        </w:rPr>
      </w:pPr>
    </w:p>
    <w:p w14:paraId="119E795B" w14:textId="63053F1B" w:rsidR="005B5EB5" w:rsidRPr="005B5EB5" w:rsidRDefault="005B5EB5" w:rsidP="005B5EB5">
      <w:pPr>
        <w:spacing w:line="276" w:lineRule="auto"/>
        <w:ind w:left="567" w:right="615"/>
        <w:rPr>
          <w:rFonts w:ascii="ITC Avant Garde" w:eastAsia="Calibri" w:hAnsi="ITC Avant Garde" w:cs="Arial"/>
          <w:i/>
          <w:sz w:val="18"/>
          <w:szCs w:val="18"/>
          <w:lang w:eastAsia="en-US"/>
        </w:rPr>
      </w:pPr>
      <w:r w:rsidRPr="005B5EB5">
        <w:rPr>
          <w:rFonts w:ascii="ITC Avant Garde" w:hAnsi="ITC Avant Garde"/>
          <w:color w:val="auto"/>
        </w:rPr>
        <w:t xml:space="preserve"> </w:t>
      </w:r>
      <w:r w:rsidRPr="005B5EB5">
        <w:rPr>
          <w:rFonts w:ascii="ITC Avant Garde" w:eastAsia="Calibri" w:hAnsi="ITC Avant Garde" w:cs="Arial"/>
          <w:i/>
          <w:sz w:val="18"/>
          <w:szCs w:val="18"/>
          <w:lang w:eastAsia="en-US"/>
        </w:rPr>
        <w:t xml:space="preserve">"Cuando un SMSC del Concesionario recibe un SMS a ser enviado, el SMSC envía el mensaje de texto al SMS-GMSC, que interroga al HLR para recuperar la información de encaminamiento (es decir, </w:t>
      </w:r>
      <w:r w:rsidRPr="005B5EB5">
        <w:rPr>
          <w:rFonts w:ascii="ITC Avant Garde" w:eastAsia="Calibri" w:hAnsi="ITC Avant Garde" w:cs="Arial"/>
          <w:i/>
          <w:strike/>
          <w:sz w:val="18"/>
          <w:szCs w:val="18"/>
          <w:lang w:eastAsia="en-US"/>
        </w:rPr>
        <w:t>sirviendo dirección MSC</w:t>
      </w:r>
      <w:r>
        <w:rPr>
          <w:rFonts w:ascii="ITC Avant Garde" w:eastAsia="Calibri" w:hAnsi="ITC Avant Garde" w:cs="Arial"/>
          <w:i/>
          <w:sz w:val="18"/>
          <w:szCs w:val="18"/>
          <w:lang w:eastAsia="en-US"/>
        </w:rPr>
        <w:t xml:space="preserve"> </w:t>
      </w:r>
      <w:r w:rsidRPr="005B5EB5">
        <w:rPr>
          <w:rFonts w:ascii="ITC Avant Garde" w:eastAsia="Calibri" w:hAnsi="ITC Avant Garde" w:cs="Arial"/>
          <w:i/>
          <w:sz w:val="18"/>
          <w:szCs w:val="18"/>
          <w:u w:val="single"/>
          <w:lang w:eastAsia="en-US"/>
        </w:rPr>
        <w:t>la dirección del MSC de servicio</w:t>
      </w:r>
      <w:r w:rsidRPr="005B5EB5">
        <w:rPr>
          <w:rFonts w:ascii="ITC Avant Garde" w:eastAsia="Calibri" w:hAnsi="ITC Avant Garde" w:cs="Arial"/>
          <w:i/>
          <w:sz w:val="18"/>
          <w:szCs w:val="18"/>
          <w:lang w:eastAsia="en-US"/>
        </w:rPr>
        <w:t xml:space="preserve">) necesaria para reenviar el mensaje de texto. El SMS-GMSC envía el mensaje al MSC/VLR de Telcel, </w:t>
      </w:r>
      <w:r w:rsidRPr="005B5EB5">
        <w:rPr>
          <w:rFonts w:ascii="ITC Avant Garde" w:eastAsia="Calibri" w:hAnsi="ITC Avant Garde" w:cs="Arial"/>
          <w:i/>
          <w:sz w:val="18"/>
          <w:szCs w:val="18"/>
          <w:u w:val="single"/>
          <w:lang w:eastAsia="en-US"/>
        </w:rPr>
        <w:t>por señalización MAP</w:t>
      </w:r>
      <w:r w:rsidRPr="005B5EB5">
        <w:rPr>
          <w:rFonts w:ascii="ITC Avant Garde" w:eastAsia="Calibri" w:hAnsi="ITC Avant Garde" w:cs="Arial"/>
          <w:i/>
          <w:sz w:val="18"/>
          <w:szCs w:val="18"/>
          <w:lang w:eastAsia="en-US"/>
        </w:rPr>
        <w:t xml:space="preserve"> </w:t>
      </w:r>
      <w:r w:rsidRPr="005B5EB5">
        <w:rPr>
          <w:rFonts w:ascii="ITC Avant Garde" w:eastAsia="Calibri" w:hAnsi="ITC Avant Garde" w:cs="Arial"/>
          <w:i/>
          <w:strike/>
          <w:sz w:val="18"/>
          <w:szCs w:val="18"/>
          <w:lang w:eastAsia="en-US"/>
        </w:rPr>
        <w:t>transitan otras redes como sea necesario</w:t>
      </w:r>
      <w:r w:rsidRPr="005B5EB5">
        <w:rPr>
          <w:rFonts w:ascii="ITC Avant Garde" w:eastAsia="Calibri" w:hAnsi="ITC Avant Garde" w:cs="Arial"/>
          <w:i/>
          <w:sz w:val="18"/>
          <w:szCs w:val="18"/>
          <w:lang w:eastAsia="en-US"/>
        </w:rPr>
        <w:t>. El MSC de servicio a continuación, entrega el SMS al Usuario Final. El cobro en tiempo real de los servicios para usuarios prepago se realiza a través del protocolo de CAMEL Fase 2 y/o Fase 3.</w:t>
      </w:r>
    </w:p>
    <w:p w14:paraId="07A255E1" w14:textId="5EDC9948" w:rsidR="005B5EB5" w:rsidRPr="007F3E0B" w:rsidRDefault="005B5EB5" w:rsidP="007F3E0B">
      <w:pPr>
        <w:pStyle w:val="Prrafodelista"/>
        <w:numPr>
          <w:ilvl w:val="0"/>
          <w:numId w:val="15"/>
        </w:numPr>
        <w:spacing w:line="276" w:lineRule="auto"/>
        <w:ind w:right="615"/>
        <w:rPr>
          <w:rFonts w:ascii="ITC Avant Garde" w:eastAsia="Calibri" w:hAnsi="ITC Avant Garde" w:cs="Arial"/>
          <w:i/>
          <w:sz w:val="18"/>
          <w:szCs w:val="18"/>
          <w:lang w:eastAsia="en-US"/>
        </w:rPr>
      </w:pPr>
      <w:r w:rsidRPr="007F3E0B">
        <w:rPr>
          <w:rFonts w:ascii="ITC Avant Garde" w:eastAsia="Calibri" w:hAnsi="ITC Avant Garde" w:cs="Arial"/>
          <w:i/>
          <w:sz w:val="18"/>
          <w:szCs w:val="18"/>
          <w:lang w:eastAsia="en-US"/>
        </w:rPr>
        <w:t xml:space="preserve">A un Usuario Final del Concesionario </w:t>
      </w:r>
      <w:r w:rsidRPr="007F3E0B">
        <w:rPr>
          <w:rFonts w:ascii="ITC Avant Garde" w:eastAsia="Calibri" w:hAnsi="ITC Avant Garde" w:cs="Arial"/>
          <w:i/>
          <w:strike/>
          <w:sz w:val="18"/>
          <w:szCs w:val="18"/>
          <w:lang w:eastAsia="en-US"/>
        </w:rPr>
        <w:t>recibe</w:t>
      </w:r>
      <w:r w:rsidRPr="007F3E0B">
        <w:rPr>
          <w:rFonts w:ascii="ITC Avant Garde" w:eastAsia="Calibri" w:hAnsi="ITC Avant Garde" w:cs="Arial"/>
          <w:i/>
          <w:sz w:val="18"/>
          <w:szCs w:val="18"/>
          <w:lang w:eastAsia="en-US"/>
        </w:rPr>
        <w:t xml:space="preserve"> </w:t>
      </w:r>
      <w:r w:rsidRPr="007F3E0B">
        <w:rPr>
          <w:rFonts w:ascii="ITC Avant Garde" w:eastAsia="Calibri" w:hAnsi="ITC Avant Garde" w:cs="Arial"/>
          <w:i/>
          <w:sz w:val="18"/>
          <w:szCs w:val="18"/>
          <w:u w:val="single"/>
          <w:lang w:eastAsia="en-US"/>
        </w:rPr>
        <w:t>se le envía</w:t>
      </w:r>
      <w:r w:rsidRPr="007F3E0B">
        <w:rPr>
          <w:rFonts w:ascii="ITC Avant Garde" w:eastAsia="Calibri" w:hAnsi="ITC Avant Garde" w:cs="Arial"/>
          <w:i/>
          <w:sz w:val="18"/>
          <w:szCs w:val="18"/>
          <w:lang w:eastAsia="en-US"/>
        </w:rPr>
        <w:t xml:space="preserve"> un mensaje </w:t>
      </w:r>
      <w:r w:rsidRPr="007F3E0B">
        <w:rPr>
          <w:rFonts w:ascii="ITC Avant Garde" w:eastAsia="Calibri" w:hAnsi="ITC Avant Garde" w:cs="Arial"/>
          <w:i/>
          <w:sz w:val="18"/>
          <w:szCs w:val="18"/>
          <w:u w:val="single"/>
          <w:lang w:eastAsia="en-US"/>
        </w:rPr>
        <w:t>estando bajo</w:t>
      </w:r>
      <w:r w:rsidRPr="007F3E0B">
        <w:rPr>
          <w:rFonts w:ascii="ITC Avant Garde" w:eastAsia="Calibri" w:hAnsi="ITC Avant Garde" w:cs="Arial"/>
          <w:i/>
          <w:sz w:val="18"/>
          <w:szCs w:val="18"/>
          <w:lang w:eastAsia="en-US"/>
        </w:rPr>
        <w:t xml:space="preserve"> </w:t>
      </w:r>
      <w:r w:rsidRPr="007F3E0B">
        <w:rPr>
          <w:rFonts w:ascii="ITC Avant Garde" w:eastAsia="Calibri" w:hAnsi="ITC Avant Garde" w:cs="Arial"/>
          <w:i/>
          <w:strike/>
          <w:sz w:val="18"/>
          <w:szCs w:val="18"/>
          <w:lang w:eastAsia="en-US"/>
        </w:rPr>
        <w:t>en</w:t>
      </w:r>
      <w:r w:rsidRPr="007F3E0B">
        <w:rPr>
          <w:rFonts w:ascii="ITC Avant Garde" w:eastAsia="Calibri" w:hAnsi="ITC Avant Garde" w:cs="Arial"/>
          <w:i/>
          <w:sz w:val="18"/>
          <w:szCs w:val="18"/>
          <w:lang w:eastAsia="en-US"/>
        </w:rPr>
        <w:t xml:space="preserve"> cobertura de Telcel.</w:t>
      </w:r>
    </w:p>
    <w:p w14:paraId="62FF0ADD" w14:textId="0E9FA058" w:rsidR="007F3E0B" w:rsidRPr="007F3E0B" w:rsidRDefault="007F3E0B" w:rsidP="007F3E0B">
      <w:pPr>
        <w:pStyle w:val="Prrafodelista"/>
        <w:numPr>
          <w:ilvl w:val="0"/>
          <w:numId w:val="15"/>
        </w:numPr>
        <w:spacing w:line="276" w:lineRule="auto"/>
        <w:ind w:right="615"/>
        <w:rPr>
          <w:rFonts w:ascii="ITC Avant Garde" w:eastAsia="Calibri" w:hAnsi="ITC Avant Garde" w:cs="Arial"/>
          <w:i/>
          <w:sz w:val="18"/>
          <w:szCs w:val="18"/>
          <w:lang w:eastAsia="en-US"/>
        </w:rPr>
      </w:pPr>
      <w:r>
        <w:rPr>
          <w:rFonts w:ascii="ITC Avant Garde" w:eastAsia="Calibri" w:hAnsi="ITC Avant Garde" w:cs="Arial"/>
          <w:i/>
          <w:sz w:val="18"/>
          <w:szCs w:val="18"/>
          <w:lang w:eastAsia="en-US"/>
        </w:rPr>
        <w:t xml:space="preserve">El GWMSC del Concesionario interroga a su HLR para consultar el perfil del usuario </w:t>
      </w:r>
      <w:r w:rsidRPr="007F3E0B">
        <w:rPr>
          <w:rFonts w:ascii="ITC Avant Garde" w:eastAsia="Calibri" w:hAnsi="ITC Avant Garde" w:cs="Arial"/>
          <w:i/>
          <w:sz w:val="18"/>
          <w:szCs w:val="18"/>
          <w:u w:val="single"/>
          <w:lang w:eastAsia="en-US"/>
        </w:rPr>
        <w:t>y dirección de MSC de servicio</w:t>
      </w:r>
      <w:r>
        <w:rPr>
          <w:rFonts w:ascii="ITC Avant Garde" w:eastAsia="Calibri" w:hAnsi="ITC Avant Garde" w:cs="Arial"/>
          <w:i/>
          <w:sz w:val="18"/>
          <w:szCs w:val="18"/>
          <w:lang w:eastAsia="en-US"/>
        </w:rPr>
        <w:t>.</w:t>
      </w:r>
    </w:p>
    <w:p w14:paraId="6BEDB614" w14:textId="74E59B95" w:rsidR="005B5EB5" w:rsidRDefault="005B5EB5" w:rsidP="005B5EB5">
      <w:pPr>
        <w:spacing w:line="276" w:lineRule="auto"/>
        <w:ind w:left="567" w:right="615"/>
        <w:rPr>
          <w:rFonts w:ascii="ITC Avant Garde" w:eastAsia="Calibri" w:hAnsi="ITC Avant Garde" w:cs="Arial"/>
          <w:i/>
          <w:sz w:val="18"/>
          <w:szCs w:val="18"/>
          <w:lang w:eastAsia="en-US"/>
        </w:rPr>
      </w:pPr>
      <w:r w:rsidRPr="00912D7C">
        <w:rPr>
          <w:rFonts w:ascii="ITC Avant Garde" w:eastAsia="Calibri" w:hAnsi="ITC Avant Garde" w:cs="Arial"/>
          <w:i/>
          <w:sz w:val="18"/>
          <w:szCs w:val="18"/>
          <w:lang w:eastAsia="en-US"/>
        </w:rPr>
        <w:t>(…)”</w:t>
      </w:r>
    </w:p>
    <w:p w14:paraId="5CEEC420" w14:textId="77777777" w:rsidR="00912D7C" w:rsidRDefault="00912D7C" w:rsidP="00912D7C">
      <w:pPr>
        <w:spacing w:line="276" w:lineRule="auto"/>
        <w:ind w:left="567" w:right="615"/>
        <w:jc w:val="right"/>
        <w:rPr>
          <w:rFonts w:ascii="ITC Avant Garde" w:eastAsia="Calibri" w:hAnsi="ITC Avant Garde" w:cs="Arial"/>
          <w:sz w:val="18"/>
          <w:szCs w:val="18"/>
          <w:lang w:eastAsia="en-US"/>
        </w:rPr>
      </w:pPr>
      <w:r w:rsidRPr="002175CA">
        <w:rPr>
          <w:rFonts w:ascii="ITC Avant Garde" w:eastAsia="Calibri" w:hAnsi="ITC Avant Garde" w:cs="Arial"/>
          <w:sz w:val="18"/>
          <w:szCs w:val="18"/>
          <w:lang w:eastAsia="en-US"/>
        </w:rPr>
        <w:t>Énfasis añadido</w:t>
      </w:r>
    </w:p>
    <w:p w14:paraId="278E9DA3" w14:textId="77777777" w:rsidR="00912D7C" w:rsidRPr="00912D7C" w:rsidRDefault="00912D7C" w:rsidP="005B5EB5">
      <w:pPr>
        <w:spacing w:line="276" w:lineRule="auto"/>
        <w:ind w:left="567" w:right="615"/>
        <w:rPr>
          <w:rFonts w:ascii="ITC Avant Garde" w:eastAsia="Calibri" w:hAnsi="ITC Avant Garde" w:cs="Arial"/>
          <w:i/>
          <w:sz w:val="18"/>
          <w:szCs w:val="18"/>
          <w:lang w:eastAsia="en-US"/>
        </w:rPr>
      </w:pPr>
    </w:p>
    <w:p w14:paraId="53D07EB3" w14:textId="77777777" w:rsidR="00912D7C" w:rsidRDefault="00912D7C" w:rsidP="00912D7C">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5BD9C16C" w14:textId="12864AF0" w:rsidR="00912D7C" w:rsidRDefault="00D008EA" w:rsidP="00912D7C">
      <w:pPr>
        <w:pStyle w:val="IFT1"/>
        <w:tabs>
          <w:tab w:val="left" w:pos="426"/>
        </w:tabs>
        <w:spacing w:after="0"/>
        <w:rPr>
          <w:bCs/>
        </w:rPr>
      </w:pPr>
      <w:r>
        <w:rPr>
          <w:bCs/>
        </w:rPr>
        <w:t>En el</w:t>
      </w:r>
      <w:r w:rsidR="00912D7C">
        <w:rPr>
          <w:bCs/>
        </w:rPr>
        <w:t xml:space="preserve"> procedimiento de terminación de mensajes cortos (SMS MT) establecido en el numeral 3.2.2 del Subanexo A (Anexo II), se precisó que el GWMSC (“</w:t>
      </w:r>
      <w:r w:rsidR="00912D7C" w:rsidRPr="0006611A">
        <w:rPr>
          <w:bCs/>
          <w:i/>
        </w:rPr>
        <w:t>Gateway Mobile Services Switching Center</w:t>
      </w:r>
      <w:r w:rsidR="00912D7C">
        <w:rPr>
          <w:bCs/>
          <w:i/>
        </w:rPr>
        <w:t>”</w:t>
      </w:r>
      <w:r w:rsidR="00912D7C">
        <w:rPr>
          <w:bCs/>
        </w:rPr>
        <w:t>) del concesionario interrogará al HLR (“</w:t>
      </w:r>
      <w:r w:rsidR="00912D7C" w:rsidRPr="0006611A">
        <w:rPr>
          <w:bCs/>
          <w:i/>
        </w:rPr>
        <w:t>Home Location Register</w:t>
      </w:r>
      <w:r w:rsidR="00912D7C">
        <w:rPr>
          <w:bCs/>
          <w:i/>
        </w:rPr>
        <w:t>”</w:t>
      </w:r>
      <w:r w:rsidR="00912D7C">
        <w:rPr>
          <w:bCs/>
        </w:rPr>
        <w:t xml:space="preserve">) para obtener el perfil del usuario y </w:t>
      </w:r>
      <w:r w:rsidR="00912D7C" w:rsidRPr="00F64069">
        <w:rPr>
          <w:b/>
          <w:bCs/>
        </w:rPr>
        <w:t>la dirección del MSC</w:t>
      </w:r>
      <w:r w:rsidR="00912D7C">
        <w:rPr>
          <w:bCs/>
        </w:rPr>
        <w:t xml:space="preserve"> (“</w:t>
      </w:r>
      <w:r w:rsidR="00912D7C" w:rsidRPr="0006611A">
        <w:rPr>
          <w:bCs/>
          <w:i/>
        </w:rPr>
        <w:t>Mobile Services Switching Center</w:t>
      </w:r>
      <w:r w:rsidR="00912D7C">
        <w:rPr>
          <w:bCs/>
          <w:i/>
        </w:rPr>
        <w:t>”</w:t>
      </w:r>
      <w:r w:rsidR="00912D7C">
        <w:rPr>
          <w:bCs/>
        </w:rPr>
        <w:t>) que le brinda servicio de conformidad al estándar TS 23.040 V15.3.0 de la 3GPP (“</w:t>
      </w:r>
      <w:r w:rsidR="00912D7C" w:rsidRPr="000C692B">
        <w:rPr>
          <w:bCs/>
          <w:i/>
        </w:rPr>
        <w:t>3rd Generation Partnership</w:t>
      </w:r>
      <w:r w:rsidR="00912D7C">
        <w:rPr>
          <w:bCs/>
          <w:i/>
        </w:rPr>
        <w:t xml:space="preserve"> Project”</w:t>
      </w:r>
      <w:r w:rsidR="005E0B04">
        <w:rPr>
          <w:bCs/>
        </w:rPr>
        <w:t>). Por lo anterior, se modificó</w:t>
      </w:r>
      <w:r w:rsidR="00912D7C">
        <w:rPr>
          <w:bCs/>
        </w:rPr>
        <w:t xml:space="preserve"> </w:t>
      </w:r>
      <w:r>
        <w:rPr>
          <w:bCs/>
        </w:rPr>
        <w:t>el numeral en cuestión</w:t>
      </w:r>
      <w:r w:rsidR="00912D7C">
        <w:rPr>
          <w:bCs/>
        </w:rPr>
        <w:t xml:space="preserve"> en los siguientes términos:</w:t>
      </w:r>
    </w:p>
    <w:p w14:paraId="4BDE2B51" w14:textId="77777777" w:rsidR="00912D7C" w:rsidRDefault="00912D7C" w:rsidP="00912D7C">
      <w:pPr>
        <w:pStyle w:val="IFT1"/>
        <w:tabs>
          <w:tab w:val="left" w:pos="426"/>
        </w:tabs>
        <w:spacing w:after="0"/>
        <w:rPr>
          <w:bCs/>
        </w:rPr>
      </w:pPr>
    </w:p>
    <w:p w14:paraId="2530AF86" w14:textId="77777777" w:rsidR="00912D7C" w:rsidRDefault="00912D7C" w:rsidP="00912D7C">
      <w:pPr>
        <w:spacing w:line="276" w:lineRule="auto"/>
        <w:ind w:left="567" w:right="615"/>
        <w:rPr>
          <w:rFonts w:ascii="ITC Avant Garde" w:eastAsia="Calibri" w:hAnsi="ITC Avant Garde" w:cs="Arial"/>
          <w:i/>
          <w:sz w:val="18"/>
          <w:szCs w:val="18"/>
          <w:lang w:eastAsia="en-US"/>
        </w:rPr>
      </w:pPr>
      <w:r>
        <w:rPr>
          <w:rFonts w:ascii="ITC Avant Garde" w:eastAsia="Calibri" w:hAnsi="ITC Avant Garde" w:cs="Arial"/>
          <w:i/>
          <w:sz w:val="18"/>
          <w:szCs w:val="18"/>
          <w:lang w:eastAsia="en-US"/>
        </w:rPr>
        <w:t>“(…)</w:t>
      </w:r>
    </w:p>
    <w:p w14:paraId="57CA6D23" w14:textId="76646C4F" w:rsidR="00912D7C" w:rsidRDefault="00912D7C" w:rsidP="00912D7C">
      <w:pPr>
        <w:spacing w:line="276" w:lineRule="auto"/>
        <w:ind w:left="567" w:right="615"/>
        <w:rPr>
          <w:rFonts w:ascii="ITC Avant Garde" w:eastAsia="Calibri" w:hAnsi="ITC Avant Garde" w:cs="Arial"/>
          <w:i/>
          <w:sz w:val="18"/>
          <w:szCs w:val="18"/>
          <w:lang w:eastAsia="en-US"/>
        </w:rPr>
      </w:pPr>
      <w:r>
        <w:rPr>
          <w:rFonts w:ascii="ITC Avant Garde" w:eastAsia="Calibri" w:hAnsi="ITC Avant Garde" w:cs="Arial"/>
          <w:i/>
          <w:sz w:val="18"/>
          <w:szCs w:val="18"/>
          <w:lang w:eastAsia="en-US"/>
        </w:rPr>
        <w:t xml:space="preserve">2. El GWMSC </w:t>
      </w:r>
      <w:r w:rsidRPr="00F64069">
        <w:rPr>
          <w:rFonts w:ascii="ITC Avant Garde" w:eastAsia="Calibri" w:hAnsi="ITC Avant Garde" w:cs="Arial"/>
          <w:i/>
          <w:sz w:val="18"/>
          <w:szCs w:val="18"/>
          <w:lang w:eastAsia="en-US"/>
        </w:rPr>
        <w:t xml:space="preserve">del Concesionario interroga a su HLR para consultar el perfil del usuario </w:t>
      </w:r>
      <w:r w:rsidRPr="00F64069">
        <w:rPr>
          <w:rFonts w:ascii="ITC Avant Garde" w:eastAsia="Calibri" w:hAnsi="ITC Avant Garde" w:cs="Arial"/>
          <w:i/>
          <w:sz w:val="18"/>
          <w:szCs w:val="18"/>
          <w:u w:val="single"/>
          <w:lang w:eastAsia="en-US"/>
        </w:rPr>
        <w:t>y dirección del MSC de servicio</w:t>
      </w:r>
      <w:r w:rsidR="001B5AD9">
        <w:rPr>
          <w:rFonts w:ascii="ITC Avant Garde" w:eastAsia="Calibri" w:hAnsi="ITC Avant Garde" w:cs="Arial"/>
          <w:i/>
          <w:sz w:val="18"/>
          <w:szCs w:val="18"/>
          <w:u w:val="single"/>
          <w:lang w:eastAsia="en-US"/>
        </w:rPr>
        <w:t xml:space="preserve"> (MSC de Telcel)</w:t>
      </w:r>
      <w:r w:rsidRPr="00F64069">
        <w:rPr>
          <w:rFonts w:ascii="ITC Avant Garde" w:eastAsia="Calibri" w:hAnsi="ITC Avant Garde" w:cs="Arial"/>
          <w:i/>
          <w:sz w:val="18"/>
          <w:szCs w:val="18"/>
          <w:lang w:eastAsia="en-US"/>
        </w:rPr>
        <w:t>.</w:t>
      </w:r>
    </w:p>
    <w:p w14:paraId="0BC9C02B" w14:textId="77777777" w:rsidR="00912D7C" w:rsidRPr="00F64069" w:rsidRDefault="00912D7C" w:rsidP="00912D7C">
      <w:pPr>
        <w:spacing w:line="276" w:lineRule="auto"/>
        <w:ind w:left="567" w:right="615"/>
        <w:rPr>
          <w:rFonts w:ascii="ITC Avant Garde" w:eastAsia="Calibri" w:hAnsi="ITC Avant Garde" w:cs="Arial"/>
          <w:i/>
          <w:sz w:val="18"/>
          <w:szCs w:val="18"/>
          <w:lang w:eastAsia="en-US"/>
        </w:rPr>
      </w:pPr>
      <w:r>
        <w:rPr>
          <w:rFonts w:ascii="ITC Avant Garde" w:eastAsia="Calibri" w:hAnsi="ITC Avant Garde" w:cs="Arial"/>
          <w:i/>
          <w:sz w:val="18"/>
          <w:szCs w:val="18"/>
          <w:lang w:eastAsia="en-US"/>
        </w:rPr>
        <w:t>(…)”</w:t>
      </w:r>
    </w:p>
    <w:p w14:paraId="55DDED0A" w14:textId="77777777" w:rsidR="00912D7C" w:rsidRDefault="00912D7C" w:rsidP="00912D7C">
      <w:pPr>
        <w:spacing w:line="276" w:lineRule="auto"/>
        <w:ind w:left="567" w:right="615"/>
        <w:jc w:val="right"/>
        <w:rPr>
          <w:rFonts w:ascii="ITC Avant Garde" w:hAnsi="ITC Avant Garde" w:cs="Arial"/>
          <w:snapToGrid w:val="0"/>
          <w:u w:val="single"/>
        </w:rPr>
      </w:pPr>
      <w:r w:rsidRPr="002175CA">
        <w:rPr>
          <w:rFonts w:ascii="ITC Avant Garde" w:eastAsia="Calibri" w:hAnsi="ITC Avant Garde" w:cs="Arial"/>
          <w:sz w:val="18"/>
          <w:szCs w:val="18"/>
          <w:lang w:eastAsia="en-US"/>
        </w:rPr>
        <w:t>Énfasis añadido</w:t>
      </w:r>
    </w:p>
    <w:p w14:paraId="70B2F345" w14:textId="15BCC615" w:rsidR="005B5EB5" w:rsidRDefault="005B5EB5" w:rsidP="006136F4">
      <w:pPr>
        <w:spacing w:after="0" w:line="276" w:lineRule="auto"/>
        <w:ind w:right="0"/>
        <w:rPr>
          <w:rFonts w:ascii="ITC Avant Garde" w:hAnsi="ITC Avant Garde"/>
          <w:b/>
          <w:color w:val="auto"/>
          <w:u w:val="single"/>
        </w:rPr>
      </w:pPr>
    </w:p>
    <w:p w14:paraId="0607D917" w14:textId="27DC658B" w:rsidR="005B5EB5" w:rsidRPr="001222D3" w:rsidRDefault="001222D3" w:rsidP="001222D3">
      <w:pPr>
        <w:pStyle w:val="IFT1"/>
        <w:tabs>
          <w:tab w:val="left" w:pos="426"/>
        </w:tabs>
        <w:spacing w:after="0"/>
        <w:rPr>
          <w:bCs/>
        </w:rPr>
      </w:pPr>
      <w:r>
        <w:rPr>
          <w:bCs/>
        </w:rPr>
        <w:t>Respecto a la precisión de que el mensaje se enviará por señalización MAP</w:t>
      </w:r>
      <w:r w:rsidR="005F6234">
        <w:rPr>
          <w:bCs/>
        </w:rPr>
        <w:t xml:space="preserve"> (</w:t>
      </w:r>
      <w:r w:rsidR="005F6234" w:rsidRPr="005F6234">
        <w:rPr>
          <w:bCs/>
          <w:i/>
        </w:rPr>
        <w:t>“Mobile Application Part”</w:t>
      </w:r>
      <w:r w:rsidR="005F6234">
        <w:rPr>
          <w:bCs/>
        </w:rPr>
        <w:t>)</w:t>
      </w:r>
      <w:r>
        <w:rPr>
          <w:bCs/>
        </w:rPr>
        <w:t>, se señala que e</w:t>
      </w:r>
      <w:r w:rsidRPr="001222D3">
        <w:rPr>
          <w:bCs/>
        </w:rPr>
        <w:t>n el numeral 1.5.2.11 del Anexo II ya se establece que la comunicación entre lo</w:t>
      </w:r>
      <w:r>
        <w:rPr>
          <w:bCs/>
        </w:rPr>
        <w:t>s MSC de Telcel y los HLR del concesionario</w:t>
      </w:r>
      <w:r w:rsidRPr="001222D3">
        <w:rPr>
          <w:bCs/>
        </w:rPr>
        <w:t xml:space="preserve"> serán mediante señalización MAP V3</w:t>
      </w:r>
      <w:r>
        <w:rPr>
          <w:bCs/>
        </w:rPr>
        <w:t>,</w:t>
      </w:r>
      <w:r w:rsidR="009139A5">
        <w:rPr>
          <w:bCs/>
        </w:rPr>
        <w:t xml:space="preserve"> tal como se muestra a continuación:</w:t>
      </w:r>
    </w:p>
    <w:p w14:paraId="65CE76DD" w14:textId="5578424D" w:rsidR="005B5EB5" w:rsidRDefault="005B5EB5" w:rsidP="006136F4">
      <w:pPr>
        <w:spacing w:after="0" w:line="276" w:lineRule="auto"/>
        <w:ind w:right="0"/>
        <w:rPr>
          <w:rFonts w:ascii="ITC Avant Garde" w:hAnsi="ITC Avant Garde"/>
          <w:b/>
          <w:color w:val="auto"/>
          <w:u w:val="single"/>
        </w:rPr>
      </w:pPr>
    </w:p>
    <w:p w14:paraId="48A13406" w14:textId="61FC3B86" w:rsidR="009139A5" w:rsidRPr="009139A5" w:rsidRDefault="009139A5" w:rsidP="009139A5">
      <w:pPr>
        <w:spacing w:line="276" w:lineRule="auto"/>
        <w:ind w:left="567" w:right="615"/>
        <w:rPr>
          <w:rFonts w:ascii="ITC Avant Garde" w:eastAsia="Calibri" w:hAnsi="ITC Avant Garde" w:cs="Arial"/>
          <w:i/>
          <w:sz w:val="18"/>
          <w:szCs w:val="18"/>
          <w:lang w:eastAsia="en-US"/>
        </w:rPr>
      </w:pPr>
      <w:r>
        <w:rPr>
          <w:rFonts w:ascii="ITC Avant Garde" w:eastAsia="Calibri" w:hAnsi="ITC Avant Garde" w:cs="Arial"/>
          <w:i/>
          <w:sz w:val="18"/>
          <w:szCs w:val="18"/>
          <w:lang w:eastAsia="en-US"/>
        </w:rPr>
        <w:t xml:space="preserve">“1.5.2.11 </w:t>
      </w:r>
      <w:r w:rsidRPr="009139A5">
        <w:rPr>
          <w:rFonts w:ascii="ITC Avant Garde" w:eastAsia="Calibri" w:hAnsi="ITC Avant Garde" w:cs="Arial"/>
          <w:i/>
          <w:sz w:val="18"/>
          <w:szCs w:val="18"/>
          <w:lang w:eastAsia="en-US"/>
        </w:rPr>
        <w:t>Soportar MAPv3 para señalización entre las MSC Telc</w:t>
      </w:r>
      <w:r>
        <w:rPr>
          <w:rFonts w:ascii="ITC Avant Garde" w:eastAsia="Calibri" w:hAnsi="ITC Avant Garde" w:cs="Arial"/>
          <w:i/>
          <w:sz w:val="18"/>
          <w:szCs w:val="18"/>
          <w:lang w:eastAsia="en-US"/>
        </w:rPr>
        <w:t>el y los HLR del Concesionario.”</w:t>
      </w:r>
    </w:p>
    <w:p w14:paraId="0194648F" w14:textId="77777777" w:rsidR="009139A5" w:rsidRPr="009139A5" w:rsidRDefault="009139A5" w:rsidP="006136F4">
      <w:pPr>
        <w:spacing w:after="0" w:line="276" w:lineRule="auto"/>
        <w:ind w:right="0"/>
        <w:rPr>
          <w:rFonts w:ascii="ITC Avant Garde" w:hAnsi="ITC Avant Garde"/>
          <w:b/>
          <w:color w:val="auto"/>
          <w:u w:val="single"/>
          <w:lang w:val="es-ES"/>
        </w:rPr>
      </w:pPr>
    </w:p>
    <w:p w14:paraId="2D7699BB" w14:textId="58FB4490" w:rsidR="005B5EB5" w:rsidRDefault="009139A5" w:rsidP="009139A5">
      <w:pPr>
        <w:pStyle w:val="IFT1"/>
        <w:tabs>
          <w:tab w:val="left" w:pos="426"/>
        </w:tabs>
        <w:spacing w:after="0"/>
        <w:rPr>
          <w:bCs/>
        </w:rPr>
      </w:pPr>
      <w:r w:rsidRPr="009139A5">
        <w:rPr>
          <w:bCs/>
        </w:rPr>
        <w:t xml:space="preserve">Por </w:t>
      </w:r>
      <w:r>
        <w:rPr>
          <w:bCs/>
        </w:rPr>
        <w:t xml:space="preserve">lo anterior, el numeral </w:t>
      </w:r>
      <w:r w:rsidR="00501643">
        <w:rPr>
          <w:bCs/>
        </w:rPr>
        <w:t>en cuestión se mantiene en sus términos respecto a la señalización MAP.</w:t>
      </w:r>
    </w:p>
    <w:p w14:paraId="3A8233D6" w14:textId="2AF00B0E" w:rsidR="008765FF" w:rsidRDefault="008765FF" w:rsidP="009139A5">
      <w:pPr>
        <w:pStyle w:val="IFT1"/>
        <w:tabs>
          <w:tab w:val="left" w:pos="426"/>
        </w:tabs>
        <w:spacing w:after="0"/>
        <w:rPr>
          <w:bCs/>
        </w:rPr>
      </w:pPr>
    </w:p>
    <w:p w14:paraId="3D5BDDCB" w14:textId="77777777" w:rsidR="008765FF" w:rsidRPr="00F263B7" w:rsidRDefault="008765FF" w:rsidP="008765FF">
      <w:pPr>
        <w:spacing w:after="0" w:line="276" w:lineRule="auto"/>
        <w:ind w:right="0"/>
        <w:rPr>
          <w:rFonts w:ascii="ITC Avant Garde" w:hAnsi="ITC Avant Garde"/>
          <w:b/>
          <w:color w:val="auto"/>
          <w:u w:val="single"/>
        </w:rPr>
      </w:pPr>
      <w:r w:rsidRPr="00F263B7">
        <w:rPr>
          <w:rFonts w:ascii="ITC Avant Garde" w:hAnsi="ITC Avant Garde"/>
          <w:b/>
          <w:color w:val="auto"/>
          <w:u w:val="single"/>
        </w:rPr>
        <w:t>Subanexo C. Alta y Baja de Coberturas</w:t>
      </w:r>
    </w:p>
    <w:p w14:paraId="4E750A64" w14:textId="11F0B042" w:rsidR="00EF59C9" w:rsidRPr="00CC72B9" w:rsidRDefault="00EF59C9" w:rsidP="00EF59C9">
      <w:pPr>
        <w:spacing w:after="0" w:line="276" w:lineRule="auto"/>
        <w:ind w:left="0" w:right="0" w:firstLine="0"/>
        <w:rPr>
          <w:rFonts w:ascii="ITC Avant Garde" w:hAnsi="ITC Avant Garde"/>
          <w:b/>
          <w:color w:val="auto"/>
        </w:rPr>
      </w:pPr>
      <w:r w:rsidRPr="00F263B7">
        <w:rPr>
          <w:rFonts w:ascii="ITC Avant Garde" w:hAnsi="ITC Avant Garde"/>
          <w:b/>
          <w:color w:val="auto"/>
        </w:rPr>
        <w:t>Telefónica:</w:t>
      </w:r>
    </w:p>
    <w:p w14:paraId="49B3310D" w14:textId="77777777" w:rsidR="005C4650" w:rsidRDefault="00EF59C9" w:rsidP="00EF59C9">
      <w:pPr>
        <w:pStyle w:val="IFT1"/>
        <w:tabs>
          <w:tab w:val="left" w:pos="426"/>
        </w:tabs>
        <w:spacing w:after="0"/>
        <w:rPr>
          <w:bCs/>
        </w:rPr>
      </w:pPr>
      <w:r>
        <w:rPr>
          <w:bCs/>
        </w:rPr>
        <w:t>Señala que existen barreras para el uso del servicio de Usuario Visitante debido al t</w:t>
      </w:r>
      <w:r w:rsidR="00967B50">
        <w:rPr>
          <w:bCs/>
        </w:rPr>
        <w:t>amaño de las zonas de cobertura y</w:t>
      </w:r>
      <w:r>
        <w:rPr>
          <w:bCs/>
        </w:rPr>
        <w:t xml:space="preserve"> </w:t>
      </w:r>
      <w:r w:rsidR="00967B50">
        <w:rPr>
          <w:bCs/>
        </w:rPr>
        <w:t>r</w:t>
      </w:r>
      <w:r w:rsidR="00D630D9">
        <w:rPr>
          <w:bCs/>
        </w:rPr>
        <w:t>efiere que existe una falta de obligación para que el AEP configure las áreas de servicio conforme a las necesidades de los concesionarios y/o con el mayor nivel de granularidad.</w:t>
      </w:r>
      <w:r w:rsidR="00381D83">
        <w:rPr>
          <w:bCs/>
        </w:rPr>
        <w:t xml:space="preserve"> También i</w:t>
      </w:r>
      <w:r w:rsidR="00EF5085">
        <w:rPr>
          <w:bCs/>
        </w:rPr>
        <w:t>ndica que el AEP ofrece áreas de servicio de gran tamaño sin la obligación de atender a las solicitudes de los concesionarios para redu</w:t>
      </w:r>
      <w:r w:rsidR="004639A5">
        <w:rPr>
          <w:bCs/>
        </w:rPr>
        <w:t xml:space="preserve">cir las mismas, lo cual </w:t>
      </w:r>
      <w:r w:rsidR="00A12761">
        <w:rPr>
          <w:bCs/>
        </w:rPr>
        <w:t>conlleva a una falta de flexibilidad y adaptación</w:t>
      </w:r>
      <w:r w:rsidR="00967B50">
        <w:rPr>
          <w:bCs/>
        </w:rPr>
        <w:t xml:space="preserve"> del servicio conforme a las necesidades de los concesionarios</w:t>
      </w:r>
      <w:r w:rsidR="009B109B">
        <w:rPr>
          <w:bCs/>
        </w:rPr>
        <w:t>.</w:t>
      </w:r>
      <w:r w:rsidR="0089180C">
        <w:rPr>
          <w:bCs/>
        </w:rPr>
        <w:t xml:space="preserve"> Indica que Telefónica está interesado en utilizar </w:t>
      </w:r>
      <w:r w:rsidR="00D57C38">
        <w:rPr>
          <w:bCs/>
        </w:rPr>
        <w:t>el servicio de Usuario Visitante</w:t>
      </w:r>
      <w:r w:rsidR="0089180C">
        <w:rPr>
          <w:bCs/>
        </w:rPr>
        <w:t xml:space="preserve"> para ofrecer una cobertura continua en la red principal de carreteras</w:t>
      </w:r>
      <w:r w:rsidR="00EC3DE1">
        <w:rPr>
          <w:bCs/>
        </w:rPr>
        <w:t>; sin embargo,</w:t>
      </w:r>
      <w:r w:rsidR="00D57C38">
        <w:rPr>
          <w:bCs/>
        </w:rPr>
        <w:t xml:space="preserve"> manifiesta que</w:t>
      </w:r>
      <w:r w:rsidR="00EC3DE1">
        <w:rPr>
          <w:bCs/>
        </w:rPr>
        <w:t xml:space="preserve"> la falta de áreas de servicio adaptadas a los ejes carreteros dificulta esto.</w:t>
      </w:r>
      <w:r w:rsidR="005C4650">
        <w:rPr>
          <w:bCs/>
        </w:rPr>
        <w:t xml:space="preserve"> </w:t>
      </w:r>
    </w:p>
    <w:p w14:paraId="3364D2F3" w14:textId="4761EB64" w:rsidR="009B109B" w:rsidRDefault="009B109B" w:rsidP="00EF59C9">
      <w:pPr>
        <w:pStyle w:val="IFT1"/>
        <w:tabs>
          <w:tab w:val="left" w:pos="426"/>
        </w:tabs>
        <w:spacing w:after="0"/>
        <w:rPr>
          <w:bCs/>
        </w:rPr>
      </w:pPr>
    </w:p>
    <w:p w14:paraId="09DCC9B8" w14:textId="20A1223B" w:rsidR="00D57C38" w:rsidRDefault="00D57C38" w:rsidP="00EF59C9">
      <w:pPr>
        <w:pStyle w:val="IFT1"/>
        <w:tabs>
          <w:tab w:val="left" w:pos="426"/>
        </w:tabs>
        <w:spacing w:after="0"/>
        <w:rPr>
          <w:bCs/>
        </w:rPr>
      </w:pPr>
      <w:r>
        <w:rPr>
          <w:bCs/>
        </w:rPr>
        <w:t>Asimismo,</w:t>
      </w:r>
      <w:r w:rsidR="009B109B">
        <w:rPr>
          <w:bCs/>
        </w:rPr>
        <w:t xml:space="preserve"> ref</w:t>
      </w:r>
      <w:r>
        <w:rPr>
          <w:bCs/>
        </w:rPr>
        <w:t>iere que la limitación de</w:t>
      </w:r>
      <w:r w:rsidR="009B109B">
        <w:rPr>
          <w:bCs/>
        </w:rPr>
        <w:t xml:space="preserve"> ofrecer el servicio únicamente donde el concesionario no dispone de infraestructura o servicio</w:t>
      </w:r>
      <w:r w:rsidR="00597188">
        <w:rPr>
          <w:bCs/>
        </w:rPr>
        <w:t>s</w:t>
      </w:r>
      <w:r w:rsidR="009B109B">
        <w:rPr>
          <w:bCs/>
        </w:rPr>
        <w:t xml:space="preserve"> móvil</w:t>
      </w:r>
      <w:r w:rsidR="00597188">
        <w:rPr>
          <w:bCs/>
        </w:rPr>
        <w:t>es</w:t>
      </w:r>
      <w:r w:rsidR="009B109B">
        <w:rPr>
          <w:bCs/>
        </w:rPr>
        <w:t xml:space="preserve"> es una limitaci</w:t>
      </w:r>
      <w:r w:rsidR="00BE30BC">
        <w:rPr>
          <w:bCs/>
        </w:rPr>
        <w:t>ón de carácter técnico ya que, debido a la naturaleza de los sistemas de comunicación inalámbricos, es inevitable cierto nivel de traslape en zonas limítrofes de cobertura.</w:t>
      </w:r>
      <w:r w:rsidR="00C6286E">
        <w:rPr>
          <w:bCs/>
        </w:rPr>
        <w:t xml:space="preserve"> Manifiesta que la Oferta es ambigua respecto a la posibilidad de demandar una tecnología o servicio de manera desglosada.</w:t>
      </w:r>
      <w:r w:rsidR="00AB0AD1">
        <w:rPr>
          <w:bCs/>
        </w:rPr>
        <w:t xml:space="preserve"> Indica que, desde una perspectiva de obligación de acceso y bajo el criterio de replicabilidad técnica, </w:t>
      </w:r>
      <w:r w:rsidR="00574C37">
        <w:rPr>
          <w:bCs/>
        </w:rPr>
        <w:t>el concesionario debe poder solicitar</w:t>
      </w:r>
      <w:r w:rsidR="00AB0AD1">
        <w:rPr>
          <w:bCs/>
        </w:rPr>
        <w:t xml:space="preserve"> una tecnología o servicio de manera desglosada</w:t>
      </w:r>
      <w:r w:rsidR="00AE5A69">
        <w:rPr>
          <w:bCs/>
        </w:rPr>
        <w:t xml:space="preserve"> en una</w:t>
      </w:r>
      <w:r w:rsidR="00574C37">
        <w:rPr>
          <w:bCs/>
        </w:rPr>
        <w:t xml:space="preserve"> determinada zona, aunque cuente con otro tipo de infraestructura y/o tenga otros servicios o tecnologías distintas a la demandada. </w:t>
      </w:r>
    </w:p>
    <w:p w14:paraId="3C8EC363" w14:textId="0CF50709" w:rsidR="006C70E7" w:rsidRDefault="006C70E7" w:rsidP="00EF59C9">
      <w:pPr>
        <w:pStyle w:val="IFT1"/>
        <w:tabs>
          <w:tab w:val="left" w:pos="426"/>
        </w:tabs>
        <w:spacing w:after="0"/>
        <w:rPr>
          <w:bCs/>
        </w:rPr>
      </w:pPr>
    </w:p>
    <w:p w14:paraId="2F1BAADA" w14:textId="7D1B607F" w:rsidR="006C70E7" w:rsidRDefault="006C70E7" w:rsidP="00EF59C9">
      <w:pPr>
        <w:pStyle w:val="IFT1"/>
        <w:tabs>
          <w:tab w:val="left" w:pos="426"/>
        </w:tabs>
        <w:spacing w:after="0"/>
        <w:rPr>
          <w:bCs/>
        </w:rPr>
      </w:pPr>
      <w:r>
        <w:rPr>
          <w:bCs/>
        </w:rPr>
        <w:t xml:space="preserve">Telefónica indica que, si el objetivo es dar continuidad a los servicios de los usuarios finales cuando entran o salen de las zonas de servicio de Usuario Visitante habilitadas, entonces podrán existir traslapes parciales de cobertura en las zonas “frontera” dependiendo </w:t>
      </w:r>
      <w:r w:rsidR="0000795B">
        <w:rPr>
          <w:bCs/>
        </w:rPr>
        <w:t xml:space="preserve">tanto </w:t>
      </w:r>
      <w:r>
        <w:rPr>
          <w:bCs/>
        </w:rPr>
        <w:t>de la configuración del área de servicio</w:t>
      </w:r>
      <w:r w:rsidR="0000795B">
        <w:rPr>
          <w:bCs/>
        </w:rPr>
        <w:t xml:space="preserve"> en determinada zona como de la ubicación de los emplazamientos de radio de los concesionarios y del AEP, las bandas de frecuencia utilizadas y la cobertura de las señales de radio.</w:t>
      </w:r>
      <w:r w:rsidR="00045847">
        <w:rPr>
          <w:bCs/>
        </w:rPr>
        <w:t xml:space="preserve"> Asimismo, refiere que las zonas de mayor interés para solicitar el servicio de Usuario Visitante son las áreas fronteras de transición entre la cobertura del concesionario </w:t>
      </w:r>
      <w:r w:rsidR="00E6359E">
        <w:rPr>
          <w:bCs/>
        </w:rPr>
        <w:t xml:space="preserve">y la cobertura del AEP, por lo que señala que no deben </w:t>
      </w:r>
      <w:r w:rsidR="00FC14E8">
        <w:rPr>
          <w:bCs/>
        </w:rPr>
        <w:t xml:space="preserve">excluirse áreas por solapes </w:t>
      </w:r>
      <w:r w:rsidR="00FC14E8">
        <w:rPr>
          <w:bCs/>
        </w:rPr>
        <w:lastRenderedPageBreak/>
        <w:t>parciales que dejen ambas coberturas inconexas</w:t>
      </w:r>
      <w:r w:rsidR="00E44A5B">
        <w:rPr>
          <w:bCs/>
        </w:rPr>
        <w:t xml:space="preserve"> y que no puedan ofrecer la continuidad del servicio al usuario final.</w:t>
      </w:r>
    </w:p>
    <w:p w14:paraId="1E51DCBA" w14:textId="1D726D2C" w:rsidR="00DB21FE" w:rsidRDefault="00DB21FE" w:rsidP="00EF59C9">
      <w:pPr>
        <w:pStyle w:val="IFT1"/>
        <w:tabs>
          <w:tab w:val="left" w:pos="426"/>
        </w:tabs>
        <w:spacing w:after="0"/>
        <w:rPr>
          <w:bCs/>
        </w:rPr>
      </w:pPr>
    </w:p>
    <w:p w14:paraId="64DB75F5" w14:textId="3239AF22" w:rsidR="00355E50" w:rsidRDefault="002E3CDD" w:rsidP="00355E50">
      <w:pPr>
        <w:pStyle w:val="IFT1"/>
        <w:tabs>
          <w:tab w:val="left" w:pos="426"/>
        </w:tabs>
        <w:spacing w:after="0"/>
        <w:rPr>
          <w:bCs/>
        </w:rPr>
      </w:pPr>
      <w:r w:rsidRPr="001A48E1">
        <w:rPr>
          <w:bCs/>
        </w:rPr>
        <w:t>Refiere que la Oferta debe permitir un traslape parcial para evitar que el AEP pueda demandar al concesionario condiciones no contempladas en la Oferta</w:t>
      </w:r>
      <w:r w:rsidR="00F527FC" w:rsidRPr="001A48E1">
        <w:rPr>
          <w:bCs/>
        </w:rPr>
        <w:t>,</w:t>
      </w:r>
      <w:r w:rsidRPr="001A48E1">
        <w:rPr>
          <w:bCs/>
        </w:rPr>
        <w:t xml:space="preserve"> o que éste último tenga sustento para negar el área solicitada.</w:t>
      </w:r>
      <w:r w:rsidR="001A48E1" w:rsidRPr="001A48E1">
        <w:rPr>
          <w:bCs/>
        </w:rPr>
        <w:t xml:space="preserve"> </w:t>
      </w:r>
      <w:r w:rsidR="00355E50" w:rsidRPr="001A48E1">
        <w:rPr>
          <w:bCs/>
        </w:rPr>
        <w:t>Por lo anterior, señala que la adaptación de las zonas de cobertura a las necesidades de los concesionarios debe ser una obligación incluida en la Oferta. Asimismo, indica que debe existir la posibilidad de solicitar el mínimo tamaño posible, incluso al nivel de cobertura de un emplazamiento individual.</w:t>
      </w:r>
      <w:r w:rsidR="00355E50">
        <w:rPr>
          <w:bCs/>
        </w:rPr>
        <w:t xml:space="preserve">   </w:t>
      </w:r>
    </w:p>
    <w:p w14:paraId="5151AB6C" w14:textId="6A44423B" w:rsidR="00C70084" w:rsidRDefault="00C70084" w:rsidP="00355E50">
      <w:pPr>
        <w:pStyle w:val="IFT1"/>
        <w:tabs>
          <w:tab w:val="left" w:pos="426"/>
        </w:tabs>
        <w:spacing w:after="0"/>
        <w:rPr>
          <w:bCs/>
        </w:rPr>
      </w:pPr>
    </w:p>
    <w:p w14:paraId="57ADC20D" w14:textId="32D10165" w:rsidR="00C70084" w:rsidRDefault="002D4BE8" w:rsidP="00355E50">
      <w:pPr>
        <w:pStyle w:val="IFT1"/>
        <w:tabs>
          <w:tab w:val="left" w:pos="426"/>
        </w:tabs>
        <w:spacing w:after="0"/>
        <w:rPr>
          <w:bCs/>
        </w:rPr>
      </w:pPr>
      <w:r>
        <w:rPr>
          <w:bCs/>
        </w:rPr>
        <w:t>También r</w:t>
      </w:r>
      <w:r w:rsidR="00C70084">
        <w:rPr>
          <w:bCs/>
        </w:rPr>
        <w:t>efiere que</w:t>
      </w:r>
      <w:r w:rsidR="00CC42CE">
        <w:rPr>
          <w:bCs/>
        </w:rPr>
        <w:t>,</w:t>
      </w:r>
      <w:r w:rsidR="00C70084">
        <w:rPr>
          <w:bCs/>
        </w:rPr>
        <w:t xml:space="preserve"> para minimizar el tráfico de Usuario Visitante en zonas donde pueda existir traslape parcial de cobertura, el AEP debe implementar los mecanismos estandarizados para el traspaso automático de la comunicación (</w:t>
      </w:r>
      <w:r w:rsidR="00C70084" w:rsidRPr="00C70084">
        <w:rPr>
          <w:bCs/>
          <w:i/>
        </w:rPr>
        <w:t>“seamless handover”</w:t>
      </w:r>
      <w:r w:rsidR="00C70084">
        <w:rPr>
          <w:bCs/>
        </w:rPr>
        <w:t>)</w:t>
      </w:r>
      <w:r w:rsidR="00CC42CE">
        <w:rPr>
          <w:bCs/>
        </w:rPr>
        <w:t xml:space="preserve"> que garanticen el uso mínimo del servicio de Usuario Visitante cuando exista cobertura de amabas redes.</w:t>
      </w:r>
    </w:p>
    <w:p w14:paraId="1F6E2BEE" w14:textId="77777777" w:rsidR="00D57C38" w:rsidRDefault="00D57C38" w:rsidP="00EF59C9">
      <w:pPr>
        <w:pStyle w:val="IFT1"/>
        <w:tabs>
          <w:tab w:val="left" w:pos="426"/>
        </w:tabs>
        <w:spacing w:after="0"/>
        <w:rPr>
          <w:bCs/>
        </w:rPr>
      </w:pPr>
    </w:p>
    <w:p w14:paraId="229D21E3" w14:textId="77777777" w:rsidR="004223DC" w:rsidRDefault="004223DC" w:rsidP="004223DC">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6940A5BF" w14:textId="1166F4EA" w:rsidR="00A574BC" w:rsidRDefault="00A574BC" w:rsidP="00A574BC">
      <w:pPr>
        <w:spacing w:after="0" w:line="276" w:lineRule="auto"/>
        <w:ind w:left="-5" w:right="49"/>
        <w:rPr>
          <w:rFonts w:ascii="ITC Avant Garde" w:hAnsi="ITC Avant Garde"/>
          <w:color w:val="auto"/>
        </w:rPr>
      </w:pPr>
      <w:r w:rsidRPr="00624558">
        <w:rPr>
          <w:rFonts w:ascii="ITC Avant Garde" w:hAnsi="ITC Avant Garde"/>
          <w:color w:val="auto"/>
        </w:rPr>
        <w:t>De conformidad a la Medida Vigésimo Tercera</w:t>
      </w:r>
      <w:r>
        <w:rPr>
          <w:rFonts w:ascii="ITC Avant Garde" w:hAnsi="ITC Avant Garde"/>
          <w:color w:val="auto"/>
        </w:rPr>
        <w:t xml:space="preserve"> de las Medidas Móviles</w:t>
      </w:r>
      <w:r w:rsidRPr="00624558">
        <w:rPr>
          <w:rFonts w:ascii="ITC Avant Garde" w:hAnsi="ITC Avant Garde"/>
          <w:color w:val="auto"/>
        </w:rPr>
        <w:t>, el servicio de usuario visitante se prestará de manera temporal y exclusivamente en las zonas en las que el concesionario no cuente con infraestructura o no preste el servicio móvil. Sin embargo, la oferta permite que el concesionario pueda utilizar la red de telecomunicaciones de Telcel como soporte en aquellas áreas donde ya brinde el servicio</w:t>
      </w:r>
      <w:r w:rsidR="00D07A45">
        <w:rPr>
          <w:rFonts w:ascii="ITC Avant Garde" w:hAnsi="ITC Avant Garde"/>
          <w:color w:val="auto"/>
        </w:rPr>
        <w:t>,</w:t>
      </w:r>
      <w:r w:rsidRPr="00624558">
        <w:rPr>
          <w:rFonts w:ascii="ITC Avant Garde" w:hAnsi="ITC Avant Garde"/>
          <w:color w:val="auto"/>
        </w:rPr>
        <w:t xml:space="preserve"> tal c</w:t>
      </w:r>
      <w:r>
        <w:rPr>
          <w:rFonts w:ascii="ITC Avant Garde" w:hAnsi="ITC Avant Garde"/>
          <w:color w:val="auto"/>
        </w:rPr>
        <w:t>omo establece el numeral 1 del S</w:t>
      </w:r>
      <w:r w:rsidRPr="00624558">
        <w:rPr>
          <w:rFonts w:ascii="ITC Avant Garde" w:hAnsi="ITC Avant Garde"/>
          <w:color w:val="auto"/>
        </w:rPr>
        <w:t>ubanexo C</w:t>
      </w:r>
      <w:r>
        <w:rPr>
          <w:rFonts w:ascii="ITC Avant Garde" w:hAnsi="ITC Avant Garde"/>
          <w:color w:val="auto"/>
        </w:rPr>
        <w:t>:</w:t>
      </w:r>
    </w:p>
    <w:p w14:paraId="70238F63" w14:textId="77777777" w:rsidR="00A574BC" w:rsidRDefault="00A574BC" w:rsidP="00A574BC">
      <w:pPr>
        <w:spacing w:after="0" w:line="276" w:lineRule="auto"/>
        <w:ind w:left="-5" w:right="49"/>
        <w:rPr>
          <w:rFonts w:ascii="ITC Avant Garde" w:hAnsi="ITC Avant Garde"/>
          <w:color w:val="auto"/>
        </w:rPr>
      </w:pPr>
    </w:p>
    <w:p w14:paraId="1F40C499" w14:textId="77777777" w:rsidR="00A574BC" w:rsidRPr="00624558" w:rsidRDefault="00A574BC" w:rsidP="00A574BC">
      <w:pPr>
        <w:pStyle w:val="Prrafodelista"/>
        <w:numPr>
          <w:ilvl w:val="0"/>
          <w:numId w:val="11"/>
        </w:numPr>
        <w:spacing w:after="0" w:line="276" w:lineRule="auto"/>
        <w:ind w:right="615"/>
        <w:rPr>
          <w:rFonts w:ascii="ITC Avant Garde" w:eastAsia="Calibri" w:hAnsi="ITC Avant Garde" w:cs="Arial"/>
          <w:i/>
          <w:color w:val="auto"/>
          <w:sz w:val="18"/>
          <w:szCs w:val="18"/>
          <w:u w:val="single"/>
          <w:lang w:eastAsia="en-US"/>
        </w:rPr>
      </w:pPr>
      <w:r w:rsidRPr="00624558">
        <w:rPr>
          <w:rFonts w:ascii="ITC Avant Garde" w:eastAsia="Calibri" w:hAnsi="ITC Avant Garde" w:cs="Arial"/>
          <w:i/>
          <w:color w:val="auto"/>
          <w:sz w:val="18"/>
          <w:szCs w:val="18"/>
          <w:lang w:eastAsia="en-US"/>
        </w:rPr>
        <w:t xml:space="preserve">“En el entendido que, el Concesionario cuenta con la capacidad para redireccionar el tráfico hacia su Red origen, </w:t>
      </w:r>
      <w:r w:rsidRPr="00624558">
        <w:rPr>
          <w:rFonts w:ascii="ITC Avant Garde" w:eastAsia="Calibri" w:hAnsi="ITC Avant Garde" w:cs="Arial"/>
          <w:i/>
          <w:color w:val="auto"/>
          <w:sz w:val="18"/>
          <w:szCs w:val="18"/>
          <w:u w:val="single"/>
          <w:lang w:eastAsia="en-US"/>
        </w:rPr>
        <w:t>por lo que en caso que decidiera utilizar la Red Pública de Telecomunicaciones de Telcel como red de soporte en las áreas en donde preste el servicio móvil, el Concesionario pagará como contraprestación la cantidad que resulte del tráfico cursado en la Red de Telcel, atendiendo a la definición de los Servicios Adicionales a la Oferta.</w:t>
      </w:r>
      <w:r w:rsidRPr="00624558">
        <w:rPr>
          <w:rFonts w:ascii="ITC Avant Garde" w:eastAsia="Calibri" w:hAnsi="ITC Avant Garde" w:cs="Arial"/>
          <w:i/>
          <w:color w:val="auto"/>
          <w:sz w:val="18"/>
          <w:szCs w:val="18"/>
          <w:lang w:eastAsia="en-US"/>
        </w:rPr>
        <w:t>”</w:t>
      </w:r>
    </w:p>
    <w:p w14:paraId="381CD288" w14:textId="77777777" w:rsidR="007227D6" w:rsidRPr="009148AE" w:rsidRDefault="007227D6" w:rsidP="009148AE">
      <w:pPr>
        <w:spacing w:line="276" w:lineRule="auto"/>
        <w:ind w:left="567" w:right="615"/>
        <w:jc w:val="right"/>
        <w:rPr>
          <w:rFonts w:ascii="ITC Avant Garde" w:eastAsia="Calibri" w:hAnsi="ITC Avant Garde" w:cs="Arial"/>
          <w:sz w:val="18"/>
          <w:szCs w:val="18"/>
          <w:lang w:eastAsia="en-US"/>
        </w:rPr>
      </w:pPr>
      <w:r w:rsidRPr="007227D6">
        <w:rPr>
          <w:rFonts w:ascii="ITC Avant Garde" w:eastAsia="Calibri" w:hAnsi="ITC Avant Garde" w:cs="Arial"/>
          <w:sz w:val="18"/>
          <w:szCs w:val="18"/>
          <w:lang w:eastAsia="en-US"/>
        </w:rPr>
        <w:t>Énfasis añadido</w:t>
      </w:r>
    </w:p>
    <w:p w14:paraId="0B6BCF94" w14:textId="7771A0E8" w:rsidR="005B5EB5" w:rsidRDefault="005B5EB5" w:rsidP="006136F4">
      <w:pPr>
        <w:spacing w:after="0" w:line="276" w:lineRule="auto"/>
        <w:ind w:right="0"/>
        <w:rPr>
          <w:rFonts w:ascii="ITC Avant Garde" w:hAnsi="ITC Avant Garde"/>
          <w:b/>
          <w:color w:val="auto"/>
          <w:u w:val="single"/>
        </w:rPr>
      </w:pPr>
    </w:p>
    <w:p w14:paraId="70165D46" w14:textId="2CF8917E" w:rsidR="00D07A45" w:rsidRDefault="00D07A45" w:rsidP="00D07A45">
      <w:pPr>
        <w:spacing w:after="0" w:line="276" w:lineRule="auto"/>
        <w:ind w:left="0" w:right="0" w:firstLine="0"/>
        <w:rPr>
          <w:rFonts w:ascii="ITC Avant Garde" w:hAnsi="ITC Avant Garde"/>
          <w:color w:val="auto"/>
        </w:rPr>
      </w:pPr>
      <w:r>
        <w:rPr>
          <w:rFonts w:ascii="ITC Avant Garde" w:hAnsi="ITC Avant Garde"/>
          <w:color w:val="auto"/>
        </w:rPr>
        <w:t>Además</w:t>
      </w:r>
      <w:r w:rsidR="007119D3">
        <w:rPr>
          <w:rFonts w:ascii="ITC Avant Garde" w:hAnsi="ITC Avant Garde"/>
          <w:color w:val="auto"/>
        </w:rPr>
        <w:t>,</w:t>
      </w:r>
      <w:r w:rsidRPr="002B5DAC">
        <w:rPr>
          <w:rFonts w:ascii="ITC Avant Garde" w:hAnsi="ITC Avant Garde"/>
          <w:color w:val="auto"/>
        </w:rPr>
        <w:t xml:space="preserve"> el num</w:t>
      </w:r>
      <w:r w:rsidR="007119D3">
        <w:rPr>
          <w:rFonts w:ascii="ITC Avant Garde" w:hAnsi="ITC Avant Garde"/>
          <w:color w:val="auto"/>
        </w:rPr>
        <w:t>eral 2 del Subanexo C establece</w:t>
      </w:r>
      <w:r w:rsidRPr="002B5DAC">
        <w:rPr>
          <w:rFonts w:ascii="ITC Avant Garde" w:hAnsi="ITC Avant Garde"/>
          <w:color w:val="auto"/>
        </w:rPr>
        <w:t xml:space="preserve"> que el Instituto podrá requerir a Telcel los reportes y/o soportes necesarios que justifiquen el diseño de su red, incluyendo la justificació</w:t>
      </w:r>
      <w:r>
        <w:rPr>
          <w:rFonts w:ascii="ITC Avant Garde" w:hAnsi="ITC Avant Garde"/>
          <w:color w:val="auto"/>
        </w:rPr>
        <w:t>n de los traslapes de cobertura:</w:t>
      </w:r>
    </w:p>
    <w:p w14:paraId="250548BB" w14:textId="77777777" w:rsidR="00D07A45" w:rsidRDefault="00D07A45" w:rsidP="00D07A45">
      <w:pPr>
        <w:spacing w:after="0" w:line="276" w:lineRule="auto"/>
        <w:ind w:left="0" w:right="0" w:firstLine="0"/>
        <w:rPr>
          <w:rFonts w:ascii="ITC Avant Garde" w:hAnsi="ITC Avant Garde"/>
          <w:color w:val="auto"/>
        </w:rPr>
      </w:pPr>
    </w:p>
    <w:p w14:paraId="56C402FA" w14:textId="77777777" w:rsidR="00D07A45" w:rsidRDefault="00D07A45" w:rsidP="00D07A45">
      <w:pPr>
        <w:spacing w:after="0" w:line="276" w:lineRule="auto"/>
        <w:ind w:left="567"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r w:rsidRPr="00B658BA">
        <w:rPr>
          <w:rFonts w:ascii="ITC Avant Garde" w:eastAsia="Calibri" w:hAnsi="ITC Avant Garde" w:cs="Arial"/>
          <w:i/>
          <w:color w:val="auto"/>
          <w:sz w:val="18"/>
          <w:szCs w:val="18"/>
          <w:lang w:eastAsia="en-US"/>
        </w:rPr>
        <w:t xml:space="preserve">Siendo las LAC, RAC y TAC el mínimo de cobertura disponible, las Partes acuerdan que los sitios y/o celdas que no sean técnicamente factible dividir, podrán considerarse Servicios Adicionales de la Oferta, conforme a la arquitectura y planeación de la Red Pública de Telecomunicaciones de Telcel. Telcel podrá hacer modificaciones a las LAC, RAC y TAC, solicitadas y/o operando para el Concesionario, para lo cual deberá observar el principio de evitar o minimizar los traslapes entre la cobertura del Concesionario Solicitante y Telcel en las Áreas de Servicio donde ya le presta el servicio al Concesionario Solicitante. </w:t>
      </w:r>
      <w:r w:rsidRPr="00B658BA">
        <w:rPr>
          <w:rFonts w:ascii="ITC Avant Garde" w:eastAsia="Calibri" w:hAnsi="ITC Avant Garde" w:cs="Arial"/>
          <w:i/>
          <w:color w:val="auto"/>
          <w:sz w:val="18"/>
          <w:szCs w:val="18"/>
          <w:u w:val="single"/>
          <w:lang w:eastAsia="en-US"/>
        </w:rPr>
        <w:t xml:space="preserve">El </w:t>
      </w:r>
      <w:r w:rsidRPr="00B658BA">
        <w:rPr>
          <w:rFonts w:ascii="ITC Avant Garde" w:eastAsia="Calibri" w:hAnsi="ITC Avant Garde" w:cs="Arial"/>
          <w:i/>
          <w:color w:val="auto"/>
          <w:sz w:val="18"/>
          <w:szCs w:val="18"/>
          <w:u w:val="single"/>
          <w:lang w:eastAsia="en-US"/>
        </w:rPr>
        <w:lastRenderedPageBreak/>
        <w:t>Instituto podrá requerir a Telcel los reportes y/o soportes necesarios que justifiquen el diseño de la Red que garantice la mejor calidad de los Servicios, incluyendo la justificación de los traslapes de cobertura</w:t>
      </w:r>
      <w:r w:rsidRPr="00B658BA">
        <w:rPr>
          <w:rFonts w:ascii="ITC Avant Garde" w:eastAsia="Calibri" w:hAnsi="ITC Avant Garde" w:cs="Arial"/>
          <w:i/>
          <w:color w:val="auto"/>
          <w:sz w:val="18"/>
          <w:szCs w:val="18"/>
          <w:lang w:eastAsia="en-US"/>
        </w:rPr>
        <w:t>.</w:t>
      </w:r>
    </w:p>
    <w:p w14:paraId="489B5C55" w14:textId="77777777" w:rsidR="00D07A45" w:rsidRDefault="00D07A45" w:rsidP="00D07A45">
      <w:pPr>
        <w:spacing w:after="0" w:line="276" w:lineRule="auto"/>
        <w:ind w:left="567"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p>
    <w:p w14:paraId="2EC2D543" w14:textId="77777777" w:rsidR="009148AE" w:rsidRPr="009148AE" w:rsidRDefault="009148AE" w:rsidP="009148AE">
      <w:pPr>
        <w:spacing w:line="276" w:lineRule="auto"/>
        <w:ind w:left="567" w:right="615"/>
        <w:jc w:val="right"/>
        <w:rPr>
          <w:rFonts w:ascii="ITC Avant Garde" w:eastAsia="Calibri" w:hAnsi="ITC Avant Garde" w:cs="Arial"/>
          <w:sz w:val="18"/>
          <w:szCs w:val="18"/>
          <w:lang w:eastAsia="en-US"/>
        </w:rPr>
      </w:pPr>
      <w:r w:rsidRPr="007227D6">
        <w:rPr>
          <w:rFonts w:ascii="ITC Avant Garde" w:eastAsia="Calibri" w:hAnsi="ITC Avant Garde" w:cs="Arial"/>
          <w:sz w:val="18"/>
          <w:szCs w:val="18"/>
          <w:lang w:eastAsia="en-US"/>
        </w:rPr>
        <w:t>Énfasis añadido</w:t>
      </w:r>
    </w:p>
    <w:p w14:paraId="5D36E42F" w14:textId="58C93C0A" w:rsidR="005B5EB5" w:rsidRDefault="005B5EB5" w:rsidP="006136F4">
      <w:pPr>
        <w:spacing w:after="0" w:line="276" w:lineRule="auto"/>
        <w:ind w:right="0"/>
        <w:rPr>
          <w:rFonts w:ascii="ITC Avant Garde" w:hAnsi="ITC Avant Garde"/>
          <w:b/>
          <w:color w:val="auto"/>
          <w:u w:val="single"/>
        </w:rPr>
      </w:pPr>
    </w:p>
    <w:p w14:paraId="2F45744E" w14:textId="4E0E2B0A" w:rsidR="00513F54" w:rsidRDefault="00691EEB" w:rsidP="00513F54">
      <w:pPr>
        <w:spacing w:after="0" w:line="276" w:lineRule="auto"/>
        <w:ind w:left="-5" w:right="49"/>
        <w:rPr>
          <w:rFonts w:ascii="ITC Avant Garde" w:hAnsi="ITC Avant Garde"/>
          <w:color w:val="auto"/>
        </w:rPr>
      </w:pPr>
      <w:r>
        <w:rPr>
          <w:rFonts w:ascii="ITC Avant Garde" w:hAnsi="ITC Avant Garde"/>
          <w:color w:val="auto"/>
        </w:rPr>
        <w:t>Por otra parte,</w:t>
      </w:r>
      <w:r w:rsidR="00513F54" w:rsidRPr="00832F8B">
        <w:rPr>
          <w:rFonts w:ascii="ITC Avant Garde" w:hAnsi="ITC Avant Garde"/>
          <w:color w:val="auto"/>
        </w:rPr>
        <w:t xml:space="preserve"> el num</w:t>
      </w:r>
      <w:r>
        <w:rPr>
          <w:rFonts w:ascii="ITC Avant Garde" w:hAnsi="ITC Avant Garde"/>
          <w:color w:val="auto"/>
        </w:rPr>
        <w:t>eral 3 del Subanexo C</w:t>
      </w:r>
      <w:r w:rsidR="00513F54">
        <w:rPr>
          <w:rFonts w:ascii="ITC Avant Garde" w:hAnsi="ITC Avant Garde"/>
          <w:color w:val="auto"/>
        </w:rPr>
        <w:t xml:space="preserve"> establece</w:t>
      </w:r>
      <w:r w:rsidR="00513F54" w:rsidRPr="00832F8B">
        <w:rPr>
          <w:rFonts w:ascii="ITC Avant Garde" w:hAnsi="ITC Avant Garde"/>
          <w:color w:val="auto"/>
        </w:rPr>
        <w:t xml:space="preserve"> la obligaci</w:t>
      </w:r>
      <w:r w:rsidR="008C2F28">
        <w:rPr>
          <w:rFonts w:ascii="ITC Avant Garde" w:hAnsi="ITC Avant Garde"/>
          <w:color w:val="auto"/>
        </w:rPr>
        <w:t xml:space="preserve">ón de definir las </w:t>
      </w:r>
      <w:r w:rsidR="008C2F28" w:rsidRPr="008C2F28">
        <w:rPr>
          <w:rFonts w:ascii="ITC Avant Garde" w:hAnsi="ITC Avant Garde"/>
          <w:color w:val="auto"/>
        </w:rPr>
        <w:t>LAC (</w:t>
      </w:r>
      <w:r w:rsidR="008C2F28" w:rsidRPr="008C2F28">
        <w:rPr>
          <w:rFonts w:ascii="ITC Avant Garde" w:hAnsi="ITC Avant Garde"/>
          <w:i/>
          <w:color w:val="auto"/>
        </w:rPr>
        <w:t>“Location Area Code”</w:t>
      </w:r>
      <w:r w:rsidR="008C2F28" w:rsidRPr="008C2F28">
        <w:rPr>
          <w:rFonts w:ascii="ITC Avant Garde" w:hAnsi="ITC Avant Garde"/>
          <w:color w:val="auto"/>
        </w:rPr>
        <w:t>), RAC (</w:t>
      </w:r>
      <w:r w:rsidR="008C2F28" w:rsidRPr="008C2F28">
        <w:rPr>
          <w:rFonts w:ascii="ITC Avant Garde" w:hAnsi="ITC Avant Garde"/>
          <w:i/>
          <w:color w:val="auto"/>
        </w:rPr>
        <w:t>“Routing Area Code”</w:t>
      </w:r>
      <w:r w:rsidR="008C2F28" w:rsidRPr="008C2F28">
        <w:rPr>
          <w:rFonts w:ascii="ITC Avant Garde" w:hAnsi="ITC Avant Garde"/>
          <w:color w:val="auto"/>
        </w:rPr>
        <w:t>) y/o TAC (</w:t>
      </w:r>
      <w:r w:rsidR="008C2F28" w:rsidRPr="008C2F28">
        <w:rPr>
          <w:rFonts w:ascii="ITC Avant Garde" w:hAnsi="ITC Avant Garde"/>
          <w:i/>
          <w:color w:val="auto"/>
        </w:rPr>
        <w:t>“Tracking Area Code”</w:t>
      </w:r>
      <w:r w:rsidR="008C2F28" w:rsidRPr="008C2F28">
        <w:rPr>
          <w:rFonts w:ascii="ITC Avant Garde" w:hAnsi="ITC Avant Garde"/>
          <w:color w:val="auto"/>
        </w:rPr>
        <w:t>)</w:t>
      </w:r>
      <w:r w:rsidR="00513F54" w:rsidRPr="00832F8B">
        <w:rPr>
          <w:rFonts w:ascii="ITC Avant Garde" w:hAnsi="ITC Avant Garde"/>
          <w:color w:val="auto"/>
        </w:rPr>
        <w:t xml:space="preserve"> para la cobertura e</w:t>
      </w:r>
      <w:r w:rsidR="00513F54">
        <w:rPr>
          <w:rFonts w:ascii="ITC Avant Garde" w:hAnsi="ITC Avant Garde"/>
          <w:color w:val="auto"/>
        </w:rPr>
        <w:t>specífica en tramos carreteros:</w:t>
      </w:r>
    </w:p>
    <w:p w14:paraId="168BA230" w14:textId="77777777" w:rsidR="00513F54" w:rsidRDefault="00513F54" w:rsidP="00513F54">
      <w:pPr>
        <w:spacing w:after="0" w:line="276" w:lineRule="auto"/>
        <w:ind w:left="-5" w:right="49"/>
        <w:rPr>
          <w:rFonts w:ascii="ITC Avant Garde" w:hAnsi="ITC Avant Garde"/>
          <w:color w:val="auto"/>
        </w:rPr>
      </w:pPr>
    </w:p>
    <w:p w14:paraId="05D9DAB7" w14:textId="77777777" w:rsidR="00513F54" w:rsidRDefault="00513F54" w:rsidP="00513F54">
      <w:pPr>
        <w:spacing w:after="0" w:line="276" w:lineRule="auto"/>
        <w:ind w:left="567"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r w:rsidRPr="00832F8B">
        <w:rPr>
          <w:rFonts w:ascii="ITC Avant Garde" w:eastAsia="Calibri" w:hAnsi="ITC Avant Garde" w:cs="Arial"/>
          <w:i/>
          <w:color w:val="auto"/>
          <w:sz w:val="18"/>
          <w:szCs w:val="18"/>
          <w:lang w:eastAsia="en-US"/>
        </w:rPr>
        <w:t xml:space="preserve">Telcel realizará la modificación de la configuración de sus LAC, RAC y TAC en donde sea técnicamente factible para atender las necesidades de los Concesionarios Solicitantes a fin de reducir traslapes de cobertura entre las redes de los Concesionarios y la Red de Telcel. </w:t>
      </w:r>
      <w:r w:rsidRPr="00832F8B">
        <w:rPr>
          <w:rFonts w:ascii="ITC Avant Garde" w:eastAsia="Calibri" w:hAnsi="ITC Avant Garde" w:cs="Arial"/>
          <w:i/>
          <w:color w:val="auto"/>
          <w:sz w:val="18"/>
          <w:szCs w:val="18"/>
          <w:u w:val="single"/>
          <w:lang w:eastAsia="en-US"/>
        </w:rPr>
        <w:t>En particular, se otorgará preferencia a la definición de LAC, RAC y TAC para la cobertura específica de tramos carreteros y zonas rurales</w:t>
      </w:r>
      <w:r w:rsidRPr="00832F8B">
        <w:rPr>
          <w:rFonts w:ascii="ITC Avant Garde" w:eastAsia="Calibri" w:hAnsi="ITC Avant Garde" w:cs="Arial"/>
          <w:i/>
          <w:color w:val="auto"/>
          <w:sz w:val="18"/>
          <w:szCs w:val="18"/>
          <w:lang w:eastAsia="en-US"/>
        </w:rPr>
        <w:t xml:space="preserve">. </w:t>
      </w:r>
      <w:r>
        <w:rPr>
          <w:rFonts w:ascii="ITC Avant Garde" w:eastAsia="Calibri" w:hAnsi="ITC Avant Garde" w:cs="Arial"/>
          <w:i/>
          <w:color w:val="auto"/>
          <w:sz w:val="18"/>
          <w:szCs w:val="18"/>
          <w:lang w:eastAsia="en-US"/>
        </w:rPr>
        <w:t>“</w:t>
      </w:r>
    </w:p>
    <w:p w14:paraId="5FADCE89" w14:textId="77777777" w:rsidR="009148AE" w:rsidRPr="009148AE" w:rsidRDefault="009148AE" w:rsidP="009148AE">
      <w:pPr>
        <w:spacing w:line="276" w:lineRule="auto"/>
        <w:ind w:left="567" w:right="615"/>
        <w:jc w:val="right"/>
        <w:rPr>
          <w:rFonts w:ascii="ITC Avant Garde" w:eastAsia="Calibri" w:hAnsi="ITC Avant Garde" w:cs="Arial"/>
          <w:sz w:val="18"/>
          <w:szCs w:val="18"/>
          <w:lang w:eastAsia="en-US"/>
        </w:rPr>
      </w:pPr>
      <w:r w:rsidRPr="007227D6">
        <w:rPr>
          <w:rFonts w:ascii="ITC Avant Garde" w:eastAsia="Calibri" w:hAnsi="ITC Avant Garde" w:cs="Arial"/>
          <w:sz w:val="18"/>
          <w:szCs w:val="18"/>
          <w:lang w:eastAsia="en-US"/>
        </w:rPr>
        <w:t>Énfasis añadido</w:t>
      </w:r>
    </w:p>
    <w:p w14:paraId="025FAA0A" w14:textId="77777777" w:rsidR="00513F54" w:rsidRDefault="00513F54" w:rsidP="00513F54">
      <w:pPr>
        <w:spacing w:after="0" w:line="276" w:lineRule="auto"/>
        <w:ind w:left="-5" w:right="49"/>
        <w:rPr>
          <w:rFonts w:ascii="ITC Avant Garde" w:hAnsi="ITC Avant Garde"/>
          <w:color w:val="auto"/>
        </w:rPr>
      </w:pPr>
    </w:p>
    <w:p w14:paraId="2B0B0166" w14:textId="65C206D2" w:rsidR="00513F54" w:rsidRDefault="00513F54" w:rsidP="00513F54">
      <w:pPr>
        <w:spacing w:after="0" w:line="276" w:lineRule="auto"/>
        <w:ind w:left="-5" w:right="49"/>
        <w:rPr>
          <w:rFonts w:ascii="ITC Avant Garde" w:hAnsi="ITC Avant Garde"/>
          <w:color w:val="auto"/>
        </w:rPr>
      </w:pPr>
      <w:r w:rsidRPr="00832F8B">
        <w:rPr>
          <w:rFonts w:ascii="ITC Avant Garde" w:hAnsi="ITC Avant Garde"/>
          <w:color w:val="auto"/>
        </w:rPr>
        <w:t xml:space="preserve">Asimismo, </w:t>
      </w:r>
      <w:r>
        <w:rPr>
          <w:rFonts w:ascii="ITC Avant Garde" w:hAnsi="ITC Avant Garde"/>
          <w:color w:val="auto"/>
        </w:rPr>
        <w:t>la Oferta no establece</w:t>
      </w:r>
      <w:r w:rsidRPr="00832F8B">
        <w:rPr>
          <w:rFonts w:ascii="ITC Avant Garde" w:hAnsi="ITC Avant Garde"/>
          <w:color w:val="auto"/>
        </w:rPr>
        <w:t xml:space="preserve"> ninguna restricción para solicitar los servicios</w:t>
      </w:r>
      <w:r w:rsidR="00C97F3E">
        <w:rPr>
          <w:rFonts w:ascii="ITC Avant Garde" w:hAnsi="ITC Avant Garde"/>
          <w:color w:val="auto"/>
        </w:rPr>
        <w:t>,</w:t>
      </w:r>
      <w:r w:rsidRPr="00832F8B">
        <w:rPr>
          <w:rFonts w:ascii="ITC Avant Garde" w:hAnsi="ITC Avant Garde"/>
          <w:color w:val="auto"/>
        </w:rPr>
        <w:t xml:space="preserve"> incluso en aquellas zonas donde exista t</w:t>
      </w:r>
      <w:r>
        <w:rPr>
          <w:rFonts w:ascii="ITC Avant Garde" w:hAnsi="ITC Avant Garde"/>
          <w:color w:val="auto"/>
        </w:rPr>
        <w:t>raslape de cobertura</w:t>
      </w:r>
      <w:r w:rsidR="009E6BFE">
        <w:rPr>
          <w:rFonts w:ascii="ITC Avant Garde" w:hAnsi="ITC Avant Garde"/>
          <w:color w:val="auto"/>
        </w:rPr>
        <w:t>,</w:t>
      </w:r>
      <w:r>
        <w:rPr>
          <w:rFonts w:ascii="ITC Avant Garde" w:hAnsi="ITC Avant Garde"/>
          <w:color w:val="auto"/>
        </w:rPr>
        <w:t xml:space="preserve"> tal como establece</w:t>
      </w:r>
      <w:r w:rsidRPr="00832F8B">
        <w:rPr>
          <w:rFonts w:ascii="ITC Avant Garde" w:hAnsi="ITC Avant Garde"/>
          <w:color w:val="auto"/>
        </w:rPr>
        <w:t xml:space="preserve"> el numeral 6.1 del Anexo II</w:t>
      </w:r>
      <w:r>
        <w:rPr>
          <w:rFonts w:ascii="ITC Avant Garde" w:hAnsi="ITC Avant Garde"/>
          <w:color w:val="auto"/>
        </w:rPr>
        <w:t>:</w:t>
      </w:r>
    </w:p>
    <w:p w14:paraId="60416FA3" w14:textId="77777777" w:rsidR="00513F54" w:rsidRDefault="00513F54" w:rsidP="00513F54">
      <w:pPr>
        <w:spacing w:after="0" w:line="276" w:lineRule="auto"/>
        <w:ind w:left="-5" w:right="49"/>
        <w:rPr>
          <w:rFonts w:ascii="ITC Avant Garde" w:hAnsi="ITC Avant Garde"/>
          <w:color w:val="auto"/>
        </w:rPr>
      </w:pPr>
    </w:p>
    <w:p w14:paraId="496498EE" w14:textId="77777777" w:rsidR="00513F54" w:rsidRDefault="00513F54" w:rsidP="00513F54">
      <w:pPr>
        <w:spacing w:after="0" w:line="276" w:lineRule="auto"/>
        <w:ind w:left="567"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r w:rsidRPr="00832F8B">
        <w:rPr>
          <w:rFonts w:ascii="ITC Avant Garde" w:eastAsia="Calibri" w:hAnsi="ITC Avant Garde" w:cs="Arial"/>
          <w:i/>
          <w:color w:val="auto"/>
          <w:sz w:val="18"/>
          <w:szCs w:val="18"/>
          <w:lang w:eastAsia="en-US"/>
        </w:rPr>
        <w:t xml:space="preserve">Telcel realizará las adecuaciones técnicamente factibles para permitir el acceso al Servicio en las LAC, RAC y TAC solicitadas y de restringirlo en las no solicitadas, mediante la aplicación de restricción de LAC, RAC y TAC, </w:t>
      </w:r>
      <w:r w:rsidRPr="00832F8B">
        <w:rPr>
          <w:rFonts w:ascii="ITC Avant Garde" w:eastAsia="Calibri" w:hAnsi="ITC Avant Garde" w:cs="Arial"/>
          <w:i/>
          <w:color w:val="auto"/>
          <w:sz w:val="18"/>
          <w:szCs w:val="18"/>
          <w:u w:val="single"/>
          <w:lang w:eastAsia="en-US"/>
        </w:rPr>
        <w:t>sin embargo, en las zonas fronteras o donde no es técnicamente evitable el traslape, el Concesionario deberá contar con la capacidad de redireccionar el Tráfico de sus Usuarios Finales conforme a sus intereses</w:t>
      </w:r>
      <w:r w:rsidRPr="00832F8B">
        <w:rPr>
          <w:rFonts w:ascii="ITC Avant Garde" w:eastAsia="Calibri" w:hAnsi="ITC Avant Garde" w:cs="Arial"/>
          <w:i/>
          <w:color w:val="auto"/>
          <w:sz w:val="18"/>
          <w:szCs w:val="18"/>
          <w:lang w:eastAsia="en-US"/>
        </w:rPr>
        <w:t>. Así también, con previo acuerdo entre las Partes, el Concesionario deberá cumplir con los estándares y prácticas internacionales para el tratamiento de los errores de “rechazo” validos en los intentos de actualización de localización en la Red Pública de Telecomunicaciones de Telcel.</w:t>
      </w:r>
    </w:p>
    <w:p w14:paraId="7BDFA381" w14:textId="77777777" w:rsidR="00513F54" w:rsidRDefault="00513F54" w:rsidP="00513F54">
      <w:pPr>
        <w:spacing w:after="0" w:line="276" w:lineRule="auto"/>
        <w:ind w:left="567"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p>
    <w:p w14:paraId="6A518BD0" w14:textId="77777777" w:rsidR="009148AE" w:rsidRPr="009148AE" w:rsidRDefault="009148AE" w:rsidP="009148AE">
      <w:pPr>
        <w:spacing w:line="276" w:lineRule="auto"/>
        <w:ind w:left="567" w:right="615"/>
        <w:jc w:val="right"/>
        <w:rPr>
          <w:rFonts w:ascii="ITC Avant Garde" w:eastAsia="Calibri" w:hAnsi="ITC Avant Garde" w:cs="Arial"/>
          <w:sz w:val="18"/>
          <w:szCs w:val="18"/>
          <w:lang w:eastAsia="en-US"/>
        </w:rPr>
      </w:pPr>
      <w:r w:rsidRPr="007227D6">
        <w:rPr>
          <w:rFonts w:ascii="ITC Avant Garde" w:eastAsia="Calibri" w:hAnsi="ITC Avant Garde" w:cs="Arial"/>
          <w:sz w:val="18"/>
          <w:szCs w:val="18"/>
          <w:lang w:eastAsia="en-US"/>
        </w:rPr>
        <w:t>Énfasis añadido</w:t>
      </w:r>
    </w:p>
    <w:p w14:paraId="3AC517AB" w14:textId="77777777" w:rsidR="00513F54" w:rsidRDefault="00513F54" w:rsidP="00513F54">
      <w:pPr>
        <w:spacing w:after="0" w:line="276" w:lineRule="auto"/>
        <w:ind w:left="-5" w:right="49"/>
        <w:rPr>
          <w:rFonts w:ascii="ITC Avant Garde" w:hAnsi="ITC Avant Garde"/>
          <w:color w:val="auto"/>
        </w:rPr>
      </w:pPr>
    </w:p>
    <w:p w14:paraId="3629D03E" w14:textId="35551905" w:rsidR="00513F54" w:rsidRDefault="00513F54" w:rsidP="00513F54">
      <w:pPr>
        <w:spacing w:after="0" w:line="276" w:lineRule="auto"/>
        <w:ind w:left="-5" w:right="49"/>
        <w:rPr>
          <w:rFonts w:ascii="ITC Avant Garde" w:hAnsi="ITC Avant Garde"/>
          <w:color w:val="auto"/>
        </w:rPr>
      </w:pPr>
      <w:r>
        <w:rPr>
          <w:rFonts w:ascii="ITC Avant Garde" w:hAnsi="ITC Avant Garde"/>
          <w:color w:val="auto"/>
        </w:rPr>
        <w:t xml:space="preserve">Sin embargo, </w:t>
      </w:r>
      <w:r w:rsidRPr="00832F8B">
        <w:rPr>
          <w:rFonts w:ascii="ITC Avant Garde" w:hAnsi="ITC Avant Garde"/>
          <w:color w:val="auto"/>
        </w:rPr>
        <w:t xml:space="preserve">cuando el concesionario ya tenga infraestructura o preste el servicio móvil en una zona de cobertura, entonces </w:t>
      </w:r>
      <w:r>
        <w:rPr>
          <w:rFonts w:ascii="ITC Avant Garde" w:hAnsi="ITC Avant Garde"/>
          <w:color w:val="auto"/>
        </w:rPr>
        <w:t>é</w:t>
      </w:r>
      <w:r w:rsidRPr="00832F8B">
        <w:rPr>
          <w:rFonts w:ascii="ITC Avant Garde" w:hAnsi="ITC Avant Garde"/>
          <w:color w:val="auto"/>
        </w:rPr>
        <w:t>stos deberán ser considerados como servicios adicionales en cumplimiento a la Medida Vigésim</w:t>
      </w:r>
      <w:r w:rsidR="00753DB7">
        <w:rPr>
          <w:rFonts w:ascii="ITC Avant Garde" w:hAnsi="ITC Avant Garde"/>
          <w:color w:val="auto"/>
        </w:rPr>
        <w:t>a</w:t>
      </w:r>
      <w:r w:rsidRPr="00832F8B">
        <w:rPr>
          <w:rFonts w:ascii="ITC Avant Garde" w:hAnsi="ITC Avant Garde"/>
          <w:color w:val="auto"/>
        </w:rPr>
        <w:t xml:space="preserve"> Tercera</w:t>
      </w:r>
      <w:r>
        <w:rPr>
          <w:rFonts w:ascii="ITC Avant Garde" w:hAnsi="ITC Avant Garde"/>
          <w:color w:val="auto"/>
        </w:rPr>
        <w:t xml:space="preserve"> de las Medidas Móviles.</w:t>
      </w:r>
      <w:r w:rsidR="00FB6259">
        <w:rPr>
          <w:rFonts w:ascii="ITC Avant Garde" w:hAnsi="ITC Avant Garde"/>
          <w:color w:val="auto"/>
        </w:rPr>
        <w:t xml:space="preserve"> Por lo anterior, </w:t>
      </w:r>
      <w:r w:rsidR="0020012C">
        <w:rPr>
          <w:rFonts w:ascii="ITC Avant Garde" w:hAnsi="ITC Avant Garde"/>
          <w:color w:val="auto"/>
        </w:rPr>
        <w:t>la Oferta ya considera lo señalado en este comentario</w:t>
      </w:r>
      <w:r w:rsidR="00FB6259">
        <w:rPr>
          <w:rFonts w:ascii="ITC Avant Garde" w:hAnsi="ITC Avant Garde"/>
          <w:color w:val="auto"/>
        </w:rPr>
        <w:t>.</w:t>
      </w:r>
    </w:p>
    <w:p w14:paraId="4CC9633C" w14:textId="042CCC68" w:rsidR="00BF6DAE" w:rsidRDefault="00BF6DAE" w:rsidP="00513F54">
      <w:pPr>
        <w:spacing w:after="0" w:line="276" w:lineRule="auto"/>
        <w:ind w:left="-5" w:right="49"/>
        <w:rPr>
          <w:rFonts w:ascii="ITC Avant Garde" w:hAnsi="ITC Avant Garde"/>
          <w:color w:val="auto"/>
        </w:rPr>
      </w:pPr>
    </w:p>
    <w:p w14:paraId="4F21696B" w14:textId="5E279C24" w:rsidR="00BF6DAE" w:rsidRPr="00F263B7" w:rsidRDefault="00BF6DAE" w:rsidP="00BF6DAE">
      <w:pPr>
        <w:spacing w:after="0" w:line="276" w:lineRule="auto"/>
        <w:ind w:right="0"/>
        <w:rPr>
          <w:rFonts w:ascii="ITC Avant Garde" w:hAnsi="ITC Avant Garde"/>
          <w:b/>
          <w:color w:val="auto"/>
          <w:u w:val="single"/>
        </w:rPr>
      </w:pPr>
      <w:r>
        <w:rPr>
          <w:rFonts w:ascii="ITC Avant Garde" w:hAnsi="ITC Avant Garde"/>
          <w:b/>
          <w:color w:val="auto"/>
          <w:u w:val="single"/>
        </w:rPr>
        <w:t>2. Mapas de Cobertura por Área de Servicio</w:t>
      </w:r>
    </w:p>
    <w:p w14:paraId="4FD61B1E" w14:textId="43687874" w:rsidR="00BF6DAE" w:rsidRPr="00CC72B9" w:rsidRDefault="00BF6DAE" w:rsidP="00BF6DAE">
      <w:pPr>
        <w:spacing w:after="0" w:line="276" w:lineRule="auto"/>
        <w:ind w:left="0" w:right="0" w:firstLine="0"/>
        <w:rPr>
          <w:rFonts w:ascii="ITC Avant Garde" w:hAnsi="ITC Avant Garde"/>
          <w:b/>
          <w:color w:val="auto"/>
        </w:rPr>
      </w:pPr>
      <w:r>
        <w:rPr>
          <w:rFonts w:ascii="ITC Avant Garde" w:hAnsi="ITC Avant Garde"/>
          <w:b/>
          <w:color w:val="auto"/>
        </w:rPr>
        <w:t>CANIETI, Altán</w:t>
      </w:r>
      <w:r w:rsidR="0043268A">
        <w:rPr>
          <w:rFonts w:ascii="ITC Avant Garde" w:hAnsi="ITC Avant Garde"/>
          <w:b/>
          <w:color w:val="auto"/>
        </w:rPr>
        <w:t>, AT&amp;T</w:t>
      </w:r>
      <w:r w:rsidR="00CB1C1F">
        <w:rPr>
          <w:rFonts w:ascii="ITC Avant Garde" w:hAnsi="ITC Avant Garde"/>
          <w:b/>
          <w:color w:val="auto"/>
        </w:rPr>
        <w:t>:</w:t>
      </w:r>
    </w:p>
    <w:p w14:paraId="45AA7165" w14:textId="41D0901A" w:rsidR="00BF6DAE" w:rsidRDefault="00CB1C1F" w:rsidP="00BF6DAE">
      <w:pPr>
        <w:spacing w:after="0" w:line="276" w:lineRule="auto"/>
        <w:ind w:left="-5" w:right="49"/>
        <w:rPr>
          <w:bCs/>
        </w:rPr>
      </w:pPr>
      <w:r>
        <w:rPr>
          <w:bCs/>
        </w:rPr>
        <w:t>Sugieren la siguiente modificación:</w:t>
      </w:r>
    </w:p>
    <w:p w14:paraId="79351CD8" w14:textId="0D660900" w:rsidR="00CB1C1F" w:rsidRDefault="00CB1C1F" w:rsidP="00BF6DAE">
      <w:pPr>
        <w:spacing w:after="0" w:line="276" w:lineRule="auto"/>
        <w:ind w:left="-5" w:right="49"/>
        <w:rPr>
          <w:bCs/>
        </w:rPr>
      </w:pPr>
    </w:p>
    <w:p w14:paraId="1E73FFF9" w14:textId="65991AAA" w:rsidR="00CB1C1F" w:rsidRPr="00CB1C1F" w:rsidRDefault="00CB1C1F" w:rsidP="00CB1C1F">
      <w:pPr>
        <w:spacing w:after="0" w:line="276" w:lineRule="auto"/>
        <w:ind w:left="567"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r w:rsidRPr="00CB1C1F">
        <w:rPr>
          <w:rFonts w:ascii="ITC Avant Garde" w:eastAsia="Calibri" w:hAnsi="ITC Avant Garde" w:cs="Arial"/>
          <w:i/>
          <w:color w:val="auto"/>
          <w:sz w:val="18"/>
          <w:szCs w:val="18"/>
          <w:lang w:eastAsia="en-US"/>
        </w:rPr>
        <w:t>En caso de que la justificación y razones provistas por Telcel no sean satisfactorias a juicio del Concesionario, éste podrá solicitar la intervención del Instituto para revisar que dichas razones sean realmente justificadas.</w:t>
      </w:r>
      <w:r>
        <w:rPr>
          <w:rFonts w:ascii="ITC Avant Garde" w:eastAsia="Calibri" w:hAnsi="ITC Avant Garde" w:cs="Arial"/>
          <w:i/>
          <w:color w:val="auto"/>
          <w:sz w:val="18"/>
          <w:szCs w:val="18"/>
          <w:lang w:eastAsia="en-US"/>
        </w:rPr>
        <w:t>”</w:t>
      </w:r>
    </w:p>
    <w:p w14:paraId="4F932E2D" w14:textId="23BED6D5" w:rsidR="00CB1C1F" w:rsidRDefault="00CB1C1F" w:rsidP="00BF6DAE">
      <w:pPr>
        <w:spacing w:after="0" w:line="276" w:lineRule="auto"/>
        <w:ind w:left="-5" w:right="49"/>
        <w:rPr>
          <w:bCs/>
        </w:rPr>
      </w:pPr>
    </w:p>
    <w:p w14:paraId="6B446698" w14:textId="2EC9BE24" w:rsidR="0043268A" w:rsidRPr="0020012C" w:rsidRDefault="0043268A" w:rsidP="00BF6DAE">
      <w:pPr>
        <w:spacing w:after="0" w:line="276" w:lineRule="auto"/>
        <w:ind w:left="-5" w:right="49"/>
        <w:rPr>
          <w:rFonts w:ascii="ITC Avant Garde" w:hAnsi="ITC Avant Garde"/>
          <w:color w:val="auto"/>
        </w:rPr>
      </w:pPr>
      <w:r w:rsidRPr="0020012C">
        <w:rPr>
          <w:rFonts w:ascii="ITC Avant Garde" w:hAnsi="ITC Avant Garde"/>
          <w:color w:val="auto"/>
        </w:rPr>
        <w:lastRenderedPageBreak/>
        <w:t xml:space="preserve">Además, AT&amp;T señala que en la práctica se recibe un porcentaje muy alto de negativas de </w:t>
      </w:r>
      <w:r w:rsidR="007223FC" w:rsidRPr="0020012C">
        <w:rPr>
          <w:rFonts w:ascii="ITC Avant Garde" w:hAnsi="ITC Avant Garde"/>
          <w:color w:val="auto"/>
        </w:rPr>
        <w:t>partición de áreas de servicio, la</w:t>
      </w:r>
      <w:r w:rsidR="00C805EB" w:rsidRPr="0020012C">
        <w:rPr>
          <w:rFonts w:ascii="ITC Avant Garde" w:hAnsi="ITC Avant Garde"/>
          <w:color w:val="auto"/>
        </w:rPr>
        <w:t>s cuales no están debidamente justificadas.</w:t>
      </w:r>
    </w:p>
    <w:p w14:paraId="49462297" w14:textId="77777777" w:rsidR="0043268A" w:rsidRPr="0020012C" w:rsidRDefault="0043268A" w:rsidP="00BF6DAE">
      <w:pPr>
        <w:spacing w:after="0" w:line="276" w:lineRule="auto"/>
        <w:ind w:left="-5" w:right="49"/>
        <w:rPr>
          <w:rFonts w:ascii="ITC Avant Garde" w:hAnsi="ITC Avant Garde"/>
          <w:color w:val="auto"/>
        </w:rPr>
      </w:pPr>
    </w:p>
    <w:p w14:paraId="645393D5" w14:textId="77777777" w:rsidR="004B5964" w:rsidRDefault="004B5964" w:rsidP="004B5964">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03EAED5E" w14:textId="215CE121" w:rsidR="00FD4EF6" w:rsidRDefault="00FD4EF6" w:rsidP="004B5964">
      <w:pPr>
        <w:pStyle w:val="IFT1"/>
        <w:tabs>
          <w:tab w:val="left" w:pos="426"/>
        </w:tabs>
        <w:spacing w:after="0"/>
        <w:rPr>
          <w:bCs/>
        </w:rPr>
      </w:pPr>
      <w:r>
        <w:rPr>
          <w:bCs/>
        </w:rPr>
        <w:t>La medida Septuagésima tercera de las Medidas Móviles establece que el Instituto resolverá los desacuerdos que se susciten entre el AEP y el concesionario solicitante respecto a la prestación de los servicios objetos de las medidas, tal como se muestra a continuación:</w:t>
      </w:r>
    </w:p>
    <w:p w14:paraId="03358469" w14:textId="7B728CF8" w:rsidR="00FD4EF6" w:rsidRDefault="00FD4EF6" w:rsidP="004B5964">
      <w:pPr>
        <w:pStyle w:val="IFT1"/>
        <w:tabs>
          <w:tab w:val="left" w:pos="426"/>
        </w:tabs>
        <w:spacing w:after="0"/>
        <w:rPr>
          <w:bCs/>
        </w:rPr>
      </w:pPr>
    </w:p>
    <w:p w14:paraId="7496F369" w14:textId="57838496" w:rsidR="00FD4EF6" w:rsidRPr="00FD4EF6" w:rsidRDefault="00FD4EF6" w:rsidP="00FD4EF6">
      <w:pPr>
        <w:spacing w:after="0" w:line="276" w:lineRule="auto"/>
        <w:ind w:left="567"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r w:rsidRPr="00FD4EF6">
        <w:rPr>
          <w:rFonts w:ascii="ITC Avant Garde" w:eastAsia="Calibri" w:hAnsi="ITC Avant Garde" w:cs="Arial"/>
          <w:i/>
          <w:color w:val="auto"/>
          <w:sz w:val="18"/>
          <w:szCs w:val="18"/>
          <w:lang w:eastAsia="en-US"/>
        </w:rPr>
        <w:t>SEPTUAGÉSIMA TERCERA.- El Instituto resolverá los desacuerdos que se susciten entre el Agente Económico Preponderante y los Concesionarios Solicitan</w:t>
      </w:r>
      <w:r>
        <w:rPr>
          <w:rFonts w:ascii="ITC Avant Garde" w:eastAsia="Calibri" w:hAnsi="ITC Avant Garde" w:cs="Arial"/>
          <w:i/>
          <w:color w:val="auto"/>
          <w:sz w:val="18"/>
          <w:szCs w:val="18"/>
          <w:lang w:eastAsia="en-US"/>
        </w:rPr>
        <w:t xml:space="preserve">tes o entre el Agente Económico </w:t>
      </w:r>
      <w:r w:rsidRPr="00FD4EF6">
        <w:rPr>
          <w:rFonts w:ascii="ITC Avant Garde" w:eastAsia="Calibri" w:hAnsi="ITC Avant Garde" w:cs="Arial"/>
          <w:i/>
          <w:color w:val="auto"/>
          <w:sz w:val="18"/>
          <w:szCs w:val="18"/>
          <w:lang w:eastAsia="en-US"/>
        </w:rPr>
        <w:t>Preponderante con el Operador Móvil Virtual, sobre la prestación de los servicios objeto de las presentes medidas.</w:t>
      </w:r>
      <w:r>
        <w:rPr>
          <w:rFonts w:ascii="ITC Avant Garde" w:eastAsia="Calibri" w:hAnsi="ITC Avant Garde" w:cs="Arial"/>
          <w:i/>
          <w:color w:val="auto"/>
          <w:sz w:val="18"/>
          <w:szCs w:val="18"/>
          <w:lang w:eastAsia="en-US"/>
        </w:rPr>
        <w:t>”</w:t>
      </w:r>
    </w:p>
    <w:p w14:paraId="5C8F7487" w14:textId="77777777" w:rsidR="00FD4EF6" w:rsidRDefault="00FD4EF6" w:rsidP="004B5964">
      <w:pPr>
        <w:pStyle w:val="IFT1"/>
        <w:tabs>
          <w:tab w:val="left" w:pos="426"/>
        </w:tabs>
        <w:spacing w:after="0"/>
        <w:rPr>
          <w:bCs/>
        </w:rPr>
      </w:pPr>
    </w:p>
    <w:p w14:paraId="70F38467" w14:textId="01100DD4" w:rsidR="004B5964" w:rsidRPr="00694173" w:rsidRDefault="00FC3A88" w:rsidP="004B5964">
      <w:pPr>
        <w:pStyle w:val="IFT1"/>
        <w:tabs>
          <w:tab w:val="left" w:pos="426"/>
        </w:tabs>
        <w:spacing w:after="0"/>
        <w:rPr>
          <w:bCs/>
        </w:rPr>
      </w:pPr>
      <w:r>
        <w:rPr>
          <w:bCs/>
        </w:rPr>
        <w:t>Por lo anterior,</w:t>
      </w:r>
      <w:r w:rsidR="004B5964" w:rsidRPr="00694173">
        <w:rPr>
          <w:bCs/>
        </w:rPr>
        <w:t xml:space="preserve"> se precisó que, en caso de desacuerdo, el Instituto resolverá los términos y condiciones </w:t>
      </w:r>
      <w:r>
        <w:rPr>
          <w:bCs/>
        </w:rPr>
        <w:t xml:space="preserve">para la prestación del servicio </w:t>
      </w:r>
      <w:r w:rsidR="004B5964" w:rsidRPr="00694173">
        <w:rPr>
          <w:bCs/>
        </w:rPr>
        <w:t>en los siguientes términos:</w:t>
      </w:r>
    </w:p>
    <w:p w14:paraId="492B5A67" w14:textId="77777777" w:rsidR="004B5964" w:rsidRDefault="004B5964" w:rsidP="004B5964">
      <w:pPr>
        <w:pStyle w:val="IFT1"/>
        <w:tabs>
          <w:tab w:val="left" w:pos="426"/>
        </w:tabs>
        <w:spacing w:after="0"/>
        <w:rPr>
          <w:bCs/>
        </w:rPr>
      </w:pPr>
    </w:p>
    <w:p w14:paraId="33827E93" w14:textId="104F7597" w:rsidR="00030F3E" w:rsidRPr="00030F3E" w:rsidRDefault="00030F3E" w:rsidP="00030F3E">
      <w:pPr>
        <w:spacing w:line="276" w:lineRule="auto"/>
        <w:ind w:left="567" w:right="615"/>
        <w:rPr>
          <w:rFonts w:ascii="ITC Avant Garde" w:eastAsia="Calibri" w:hAnsi="ITC Avant Garde" w:cs="Arial"/>
          <w:i/>
          <w:sz w:val="18"/>
          <w:szCs w:val="18"/>
          <w:lang w:eastAsia="en-US"/>
        </w:rPr>
      </w:pPr>
      <w:r w:rsidRPr="00030F3E">
        <w:rPr>
          <w:rFonts w:ascii="ITC Avant Garde" w:eastAsia="Calibri" w:hAnsi="ITC Avant Garde" w:cs="Arial"/>
          <w:i/>
          <w:sz w:val="18"/>
          <w:szCs w:val="18"/>
          <w:lang w:eastAsia="en-US"/>
        </w:rPr>
        <w:t>“2.</w:t>
      </w:r>
      <w:r>
        <w:rPr>
          <w:rFonts w:ascii="ITC Avant Garde" w:eastAsia="Calibri" w:hAnsi="ITC Avant Garde" w:cs="Arial"/>
          <w:i/>
          <w:sz w:val="18"/>
          <w:szCs w:val="18"/>
          <w:lang w:eastAsia="en-US"/>
        </w:rPr>
        <w:t xml:space="preserve"> </w:t>
      </w:r>
      <w:r w:rsidRPr="00030F3E">
        <w:rPr>
          <w:rFonts w:ascii="ITC Avant Garde" w:eastAsia="Calibri" w:hAnsi="ITC Avant Garde" w:cs="Arial"/>
          <w:i/>
          <w:sz w:val="18"/>
          <w:szCs w:val="18"/>
          <w:lang w:eastAsia="en-US"/>
        </w:rPr>
        <w:t>Mapas de Cobertura por Área de Servicio.</w:t>
      </w:r>
    </w:p>
    <w:p w14:paraId="43A92DE1" w14:textId="5BDD4875" w:rsidR="00030F3E" w:rsidRDefault="00030F3E" w:rsidP="004B5964">
      <w:pPr>
        <w:spacing w:line="276" w:lineRule="auto"/>
        <w:ind w:left="567" w:right="615"/>
        <w:rPr>
          <w:rFonts w:ascii="ITC Avant Garde" w:eastAsia="Calibri" w:hAnsi="ITC Avant Garde" w:cs="Arial"/>
          <w:i/>
          <w:sz w:val="18"/>
          <w:szCs w:val="18"/>
          <w:lang w:eastAsia="en-US"/>
        </w:rPr>
      </w:pPr>
      <w:r>
        <w:rPr>
          <w:rFonts w:ascii="ITC Avant Garde" w:eastAsia="Calibri" w:hAnsi="ITC Avant Garde" w:cs="Arial"/>
          <w:i/>
          <w:sz w:val="18"/>
          <w:szCs w:val="18"/>
          <w:lang w:eastAsia="en-US"/>
        </w:rPr>
        <w:t>(…)</w:t>
      </w:r>
    </w:p>
    <w:p w14:paraId="6FDE5F5D" w14:textId="77777777" w:rsidR="00030F3E" w:rsidRDefault="004B5964" w:rsidP="004B5964">
      <w:pPr>
        <w:spacing w:line="276" w:lineRule="auto"/>
        <w:ind w:left="567" w:right="615"/>
        <w:rPr>
          <w:rFonts w:ascii="ITC Avant Garde" w:eastAsia="Calibri" w:hAnsi="ITC Avant Garde" w:cs="Arial"/>
          <w:i/>
          <w:sz w:val="18"/>
          <w:szCs w:val="18"/>
          <w:lang w:eastAsia="en-US"/>
        </w:rPr>
      </w:pPr>
      <w:r w:rsidRPr="00396404">
        <w:rPr>
          <w:rFonts w:ascii="ITC Avant Garde" w:eastAsia="Calibri" w:hAnsi="ITC Avant Garde" w:cs="Arial"/>
          <w:i/>
          <w:sz w:val="18"/>
          <w:szCs w:val="18"/>
          <w:u w:val="single"/>
          <w:lang w:eastAsia="en-US"/>
        </w:rPr>
        <w:t>En caso de no llegar a algún acuerdo sobre la prestación de los servicios cualquiera de las partes podrá solicitar al Instituto la resolución del desacuerdo conforme a lo establecido en la Medida Septuagésima Tercera de las Medidas</w:t>
      </w:r>
      <w:r w:rsidRPr="00396404">
        <w:rPr>
          <w:rFonts w:ascii="ITC Avant Garde" w:eastAsia="Calibri" w:hAnsi="ITC Avant Garde" w:cs="Arial"/>
          <w:i/>
          <w:sz w:val="18"/>
          <w:szCs w:val="18"/>
          <w:lang w:eastAsia="en-US"/>
        </w:rPr>
        <w:t>.</w:t>
      </w:r>
    </w:p>
    <w:p w14:paraId="1F380C58" w14:textId="586DC498" w:rsidR="004B5964" w:rsidRPr="00030F3E" w:rsidRDefault="00030F3E" w:rsidP="004B5964">
      <w:pPr>
        <w:spacing w:line="276" w:lineRule="auto"/>
        <w:ind w:left="567" w:right="615"/>
        <w:rPr>
          <w:rFonts w:ascii="ITC Avant Garde" w:eastAsia="Calibri" w:hAnsi="ITC Avant Garde" w:cs="Arial"/>
          <w:i/>
          <w:sz w:val="18"/>
          <w:szCs w:val="18"/>
          <w:lang w:eastAsia="en-US"/>
        </w:rPr>
      </w:pPr>
      <w:r w:rsidRPr="00030F3E">
        <w:rPr>
          <w:rFonts w:ascii="ITC Avant Garde" w:eastAsia="Calibri" w:hAnsi="ITC Avant Garde" w:cs="Arial"/>
          <w:i/>
          <w:sz w:val="18"/>
          <w:szCs w:val="18"/>
          <w:lang w:eastAsia="en-US"/>
        </w:rPr>
        <w:t>(…)</w:t>
      </w:r>
      <w:r w:rsidR="004B5964" w:rsidRPr="00030F3E">
        <w:rPr>
          <w:rFonts w:ascii="ITC Avant Garde" w:eastAsia="Calibri" w:hAnsi="ITC Avant Garde" w:cs="Arial"/>
          <w:i/>
          <w:sz w:val="18"/>
          <w:szCs w:val="18"/>
          <w:lang w:eastAsia="en-US"/>
        </w:rPr>
        <w:t>”</w:t>
      </w:r>
    </w:p>
    <w:p w14:paraId="443E472A" w14:textId="77777777" w:rsidR="004B5964" w:rsidRDefault="004B5964" w:rsidP="004B5964">
      <w:pPr>
        <w:spacing w:line="276" w:lineRule="auto"/>
        <w:ind w:left="567" w:right="615"/>
        <w:jc w:val="right"/>
        <w:rPr>
          <w:rFonts w:ascii="ITC Avant Garde" w:eastAsia="Calibri" w:hAnsi="ITC Avant Garde" w:cs="Arial"/>
          <w:sz w:val="18"/>
          <w:szCs w:val="18"/>
          <w:lang w:eastAsia="en-US"/>
        </w:rPr>
      </w:pPr>
      <w:r w:rsidRPr="002175CA">
        <w:rPr>
          <w:rFonts w:ascii="ITC Avant Garde" w:eastAsia="Calibri" w:hAnsi="ITC Avant Garde" w:cs="Arial"/>
          <w:sz w:val="18"/>
          <w:szCs w:val="18"/>
          <w:lang w:eastAsia="en-US"/>
        </w:rPr>
        <w:t>Énfasis añadido</w:t>
      </w:r>
    </w:p>
    <w:p w14:paraId="2B6EE3CF" w14:textId="3DF92710" w:rsidR="00CB1C1F" w:rsidRDefault="00CB1C1F" w:rsidP="00BF6DAE">
      <w:pPr>
        <w:spacing w:after="0" w:line="276" w:lineRule="auto"/>
        <w:ind w:left="-5" w:right="49"/>
        <w:rPr>
          <w:bCs/>
        </w:rPr>
      </w:pPr>
    </w:p>
    <w:p w14:paraId="4EBF314F" w14:textId="56A4512E" w:rsidR="00B931B5" w:rsidRPr="00F263B7" w:rsidRDefault="00B931B5" w:rsidP="00B931B5">
      <w:pPr>
        <w:spacing w:after="0" w:line="276" w:lineRule="auto"/>
        <w:ind w:right="0"/>
        <w:rPr>
          <w:rFonts w:ascii="ITC Avant Garde" w:hAnsi="ITC Avant Garde"/>
          <w:b/>
          <w:color w:val="auto"/>
          <w:u w:val="single"/>
        </w:rPr>
      </w:pPr>
      <w:r>
        <w:rPr>
          <w:rFonts w:ascii="ITC Avant Garde" w:hAnsi="ITC Avant Garde"/>
          <w:b/>
          <w:color w:val="auto"/>
          <w:u w:val="single"/>
        </w:rPr>
        <w:t>Subanexo E. Pruebas de Certificación</w:t>
      </w:r>
    </w:p>
    <w:p w14:paraId="17D37201" w14:textId="54E6E934" w:rsidR="00B931B5" w:rsidRDefault="00B931B5" w:rsidP="00B931B5">
      <w:pPr>
        <w:spacing w:after="0" w:line="276" w:lineRule="auto"/>
        <w:ind w:left="0" w:right="0" w:firstLine="0"/>
        <w:rPr>
          <w:rFonts w:ascii="ITC Avant Garde" w:hAnsi="ITC Avant Garde"/>
          <w:b/>
          <w:color w:val="auto"/>
        </w:rPr>
      </w:pPr>
      <w:r>
        <w:rPr>
          <w:rFonts w:ascii="ITC Avant Garde" w:hAnsi="ITC Avant Garde"/>
          <w:b/>
          <w:color w:val="auto"/>
        </w:rPr>
        <w:t>AT&amp;T</w:t>
      </w:r>
      <w:r w:rsidR="008064E7">
        <w:rPr>
          <w:rFonts w:ascii="ITC Avant Garde" w:hAnsi="ITC Avant Garde"/>
          <w:b/>
          <w:color w:val="auto"/>
        </w:rPr>
        <w:t>, CANIETI</w:t>
      </w:r>
      <w:r w:rsidRPr="00F263B7">
        <w:rPr>
          <w:rFonts w:ascii="ITC Avant Garde" w:hAnsi="ITC Avant Garde"/>
          <w:b/>
          <w:color w:val="auto"/>
        </w:rPr>
        <w:t>:</w:t>
      </w:r>
    </w:p>
    <w:p w14:paraId="675390F4" w14:textId="518406DA" w:rsidR="008064E7" w:rsidRDefault="008064E7" w:rsidP="008064E7">
      <w:pPr>
        <w:pStyle w:val="IFT1"/>
        <w:tabs>
          <w:tab w:val="left" w:pos="426"/>
        </w:tabs>
        <w:spacing w:after="0"/>
        <w:rPr>
          <w:bCs/>
        </w:rPr>
      </w:pPr>
      <w:r>
        <w:rPr>
          <w:bCs/>
        </w:rPr>
        <w:t>Sugieren agregar el siguiente párrafo:</w:t>
      </w:r>
    </w:p>
    <w:p w14:paraId="0BECD83B" w14:textId="77777777" w:rsidR="008064E7" w:rsidRDefault="008064E7" w:rsidP="008064E7">
      <w:pPr>
        <w:spacing w:after="0" w:line="276" w:lineRule="auto"/>
        <w:ind w:left="-5" w:right="49"/>
        <w:rPr>
          <w:bCs/>
        </w:rPr>
      </w:pPr>
    </w:p>
    <w:p w14:paraId="182FFF04" w14:textId="77777777" w:rsidR="008064E7" w:rsidRPr="0034423E" w:rsidRDefault="008064E7" w:rsidP="008064E7">
      <w:pPr>
        <w:spacing w:after="0" w:line="276" w:lineRule="auto"/>
        <w:ind w:left="567" w:right="615" w:firstLine="0"/>
        <w:rPr>
          <w:rFonts w:ascii="ITC Avant Garde" w:eastAsia="Calibri" w:hAnsi="ITC Avant Garde" w:cs="Arial"/>
          <w:i/>
          <w:color w:val="auto"/>
          <w:sz w:val="18"/>
          <w:szCs w:val="18"/>
          <w:lang w:eastAsia="en-US"/>
        </w:rPr>
      </w:pPr>
      <w:r w:rsidRPr="0034423E">
        <w:rPr>
          <w:rFonts w:ascii="ITC Avant Garde" w:eastAsia="Calibri" w:hAnsi="ITC Avant Garde" w:cs="Arial"/>
          <w:i/>
          <w:color w:val="auto"/>
          <w:sz w:val="18"/>
          <w:szCs w:val="18"/>
          <w:lang w:eastAsia="en-US"/>
        </w:rPr>
        <w:t>"En caso de que se detecte durante las pruebas o en la operación, que el reject#12 cause que el equipo terminal del Usuario Final no pueda volver a registrase en otro LAC, RAC o TAC de Telcel abierto o que no pueda volver a registrarse en la red del Concesionario, Telcel, a solicitud del Concesionario cambiará dicha causa de rechazo al reject#13 (que corresponde al estándar internacional para casos de servicio como el correspondiente a este contrato), en un plazo máximo de 20 (veinte) días hábiles."</w:t>
      </w:r>
    </w:p>
    <w:p w14:paraId="639D3D21" w14:textId="77777777" w:rsidR="008064E7" w:rsidRPr="00CC72B9" w:rsidRDefault="008064E7" w:rsidP="00B931B5">
      <w:pPr>
        <w:spacing w:after="0" w:line="276" w:lineRule="auto"/>
        <w:ind w:left="0" w:right="0" w:firstLine="0"/>
        <w:rPr>
          <w:rFonts w:ascii="ITC Avant Garde" w:hAnsi="ITC Avant Garde"/>
          <w:b/>
          <w:color w:val="auto"/>
        </w:rPr>
      </w:pPr>
    </w:p>
    <w:p w14:paraId="1A5C58F9" w14:textId="1FD13D9E" w:rsidR="00B931B5" w:rsidRDefault="008064E7" w:rsidP="00046706">
      <w:pPr>
        <w:pStyle w:val="IFT1"/>
        <w:tabs>
          <w:tab w:val="left" w:pos="426"/>
        </w:tabs>
        <w:spacing w:after="0"/>
        <w:rPr>
          <w:bCs/>
        </w:rPr>
      </w:pPr>
      <w:r>
        <w:rPr>
          <w:bCs/>
        </w:rPr>
        <w:t>Además, AT&amp;T s</w:t>
      </w:r>
      <w:r w:rsidR="00CA357F">
        <w:rPr>
          <w:bCs/>
        </w:rPr>
        <w:t>ugiere actualizar las marcaciones para pruebas de originación de llam</w:t>
      </w:r>
      <w:r w:rsidR="00536C44">
        <w:rPr>
          <w:bCs/>
        </w:rPr>
        <w:t>a</w:t>
      </w:r>
      <w:r w:rsidR="00CA357F">
        <w:rPr>
          <w:bCs/>
        </w:rPr>
        <w:t>das</w:t>
      </w:r>
      <w:r w:rsidR="00536C44">
        <w:rPr>
          <w:bCs/>
        </w:rPr>
        <w:t>, así como eliminar los ABC</w:t>
      </w:r>
      <w:r w:rsidR="00EC2612">
        <w:rPr>
          <w:bCs/>
        </w:rPr>
        <w:t xml:space="preserve"> (código</w:t>
      </w:r>
      <w:r w:rsidR="00EC2612" w:rsidRPr="008A72A3">
        <w:rPr>
          <w:bCs/>
        </w:rPr>
        <w:t xml:space="preserve"> de identificación de operador de larga distancia de origen</w:t>
      </w:r>
      <w:r w:rsidR="00EC2612">
        <w:rPr>
          <w:bCs/>
        </w:rPr>
        <w:t>)</w:t>
      </w:r>
      <w:r w:rsidR="00536C44">
        <w:rPr>
          <w:bCs/>
        </w:rPr>
        <w:t xml:space="preserve"> y BCD</w:t>
      </w:r>
      <w:r w:rsidR="00EC2612">
        <w:rPr>
          <w:bCs/>
        </w:rPr>
        <w:t xml:space="preserve"> (código de operador </w:t>
      </w:r>
      <w:r w:rsidR="00EC2612" w:rsidRPr="008A72A3">
        <w:rPr>
          <w:bCs/>
        </w:rPr>
        <w:t>de larga distancia de destino</w:t>
      </w:r>
      <w:r w:rsidR="00EC2612">
        <w:rPr>
          <w:bCs/>
        </w:rPr>
        <w:t>)</w:t>
      </w:r>
      <w:r w:rsidR="00536C44">
        <w:rPr>
          <w:bCs/>
        </w:rPr>
        <w:t xml:space="preserve"> de acuerdo al </w:t>
      </w:r>
      <w:r w:rsidR="007E1C06" w:rsidRPr="006D6D9E">
        <w:t>Plan Técnico Fundamental de Numeración y Señalización</w:t>
      </w:r>
      <w:r w:rsidR="00536C44">
        <w:rPr>
          <w:bCs/>
        </w:rPr>
        <w:t>.</w:t>
      </w:r>
      <w:r w:rsidR="00CA1B99">
        <w:rPr>
          <w:bCs/>
        </w:rPr>
        <w:t xml:space="preserve"> Asimismo, solicita agregar las pruebas de </w:t>
      </w:r>
      <w:r w:rsidR="00CA1B99" w:rsidRPr="00046706">
        <w:rPr>
          <w:bCs/>
        </w:rPr>
        <w:t>“</w:t>
      </w:r>
      <w:r w:rsidR="00CA1B99" w:rsidRPr="002F3D01">
        <w:rPr>
          <w:bCs/>
          <w:i/>
        </w:rPr>
        <w:t>Cancel Location 4G</w:t>
      </w:r>
      <w:r w:rsidR="00CA1B99" w:rsidRPr="00046706">
        <w:rPr>
          <w:bCs/>
        </w:rPr>
        <w:t>”</w:t>
      </w:r>
      <w:r w:rsidR="00CA1B99">
        <w:rPr>
          <w:bCs/>
        </w:rPr>
        <w:t>, Depósito VM (</w:t>
      </w:r>
      <w:r w:rsidR="00CA1B99" w:rsidRPr="00F214C0">
        <w:rPr>
          <w:bCs/>
          <w:i/>
        </w:rPr>
        <w:t>“Voice Mail”</w:t>
      </w:r>
      <w:r w:rsidR="00CA1B99">
        <w:rPr>
          <w:bCs/>
        </w:rPr>
        <w:t>) y Consulta VM (</w:t>
      </w:r>
      <w:r w:rsidR="00CA1B99" w:rsidRPr="00F214C0">
        <w:rPr>
          <w:bCs/>
          <w:i/>
        </w:rPr>
        <w:t>“Voice Mail”</w:t>
      </w:r>
      <w:r w:rsidR="00CA1B99">
        <w:rPr>
          <w:bCs/>
        </w:rPr>
        <w:t>).</w:t>
      </w:r>
    </w:p>
    <w:p w14:paraId="53FF3687" w14:textId="4FAB0AF1" w:rsidR="004E5C86" w:rsidRDefault="004E5C86" w:rsidP="00046706">
      <w:pPr>
        <w:pStyle w:val="IFT1"/>
        <w:tabs>
          <w:tab w:val="left" w:pos="426"/>
        </w:tabs>
        <w:spacing w:after="0"/>
        <w:rPr>
          <w:bCs/>
        </w:rPr>
      </w:pPr>
    </w:p>
    <w:p w14:paraId="6017C9CB" w14:textId="5A884946" w:rsidR="0034423E" w:rsidRPr="0034423E" w:rsidRDefault="008064E7" w:rsidP="008064E7">
      <w:pPr>
        <w:pStyle w:val="IFT1"/>
        <w:tabs>
          <w:tab w:val="left" w:pos="426"/>
        </w:tabs>
        <w:spacing w:after="0"/>
        <w:rPr>
          <w:rFonts w:eastAsia="Calibri" w:cs="Arial"/>
          <w:i/>
          <w:sz w:val="18"/>
          <w:szCs w:val="18"/>
        </w:rPr>
      </w:pPr>
      <w:r>
        <w:rPr>
          <w:bCs/>
        </w:rPr>
        <w:lastRenderedPageBreak/>
        <w:t>AT&amp;T también</w:t>
      </w:r>
      <w:r w:rsidR="004E5C86">
        <w:rPr>
          <w:bCs/>
        </w:rPr>
        <w:t xml:space="preserve"> señala que el “</w:t>
      </w:r>
      <w:r w:rsidR="004E5C86" w:rsidRPr="00BA26AD">
        <w:rPr>
          <w:bCs/>
          <w:i/>
        </w:rPr>
        <w:t>Reject Cause Code #12</w:t>
      </w:r>
      <w:r w:rsidR="004E5C86">
        <w:rPr>
          <w:bCs/>
        </w:rPr>
        <w:t xml:space="preserve">” se utiliza en roaming internacional para evitar que un usuario final intente registrarse de nuevo en una red en la que no existe servicio, esto es, que cuando un usuario final cambia de LAC o TAC ya no intente registrarse de nuevo. </w:t>
      </w:r>
      <w:r w:rsidR="00046706">
        <w:rPr>
          <w:bCs/>
        </w:rPr>
        <w:t xml:space="preserve">Indica que en el caso de roaming en México, el efecto en algunos equipos terminales es que el usuario final ya no regrese a registrarse a la red del concesionario ni en una nueva LAC. </w:t>
      </w:r>
    </w:p>
    <w:p w14:paraId="35E8344D" w14:textId="116801AB" w:rsidR="00CB1C1F" w:rsidRDefault="00CB1C1F" w:rsidP="00BF6DAE">
      <w:pPr>
        <w:spacing w:after="0" w:line="276" w:lineRule="auto"/>
        <w:ind w:left="-5" w:right="49"/>
        <w:rPr>
          <w:bCs/>
        </w:rPr>
      </w:pPr>
    </w:p>
    <w:p w14:paraId="749C51E4" w14:textId="3F06EE6E" w:rsidR="00ED7EFE" w:rsidRDefault="00ED7EFE" w:rsidP="00ED7EFE">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07F5D9E4" w14:textId="68D7E546" w:rsidR="0050135A" w:rsidRDefault="0050135A" w:rsidP="0050135A">
      <w:pPr>
        <w:pStyle w:val="IFT1"/>
        <w:tabs>
          <w:tab w:val="left" w:pos="426"/>
        </w:tabs>
        <w:spacing w:after="0"/>
        <w:rPr>
          <w:bCs/>
        </w:rPr>
      </w:pPr>
      <w:r w:rsidRPr="008A72A3">
        <w:rPr>
          <w:bCs/>
        </w:rPr>
        <w:t>De conformidad a lo establecido en el Plan Técnico Fundamental de Numeración y Señalización, se eliminaron las referencias a los códigos de identificación de operador de larga distancia de origen (ABC), de operador de larga distancia de destino (BCD), así como a los prefijos 01, 044 y 045 de los numerales 1.5.2.7 del Anexo II, 1.1, 3.1 del Subanexo A del Anexo II y del Subanexo E en su conjunto</w:t>
      </w:r>
      <w:r w:rsidR="000B4BB5">
        <w:rPr>
          <w:bCs/>
        </w:rPr>
        <w:t>.</w:t>
      </w:r>
    </w:p>
    <w:p w14:paraId="6015BA10" w14:textId="77777777" w:rsidR="0050135A" w:rsidRDefault="0050135A" w:rsidP="00ED7EFE">
      <w:pPr>
        <w:spacing w:after="0" w:line="276" w:lineRule="auto"/>
        <w:ind w:left="0" w:right="0" w:firstLine="0"/>
        <w:rPr>
          <w:rFonts w:ascii="ITC Avant Garde" w:hAnsi="ITC Avant Garde"/>
          <w:b/>
          <w:color w:val="auto"/>
        </w:rPr>
      </w:pPr>
    </w:p>
    <w:p w14:paraId="3DD42A9B" w14:textId="0057F7B2" w:rsidR="00CB1C1F" w:rsidRDefault="000B4BB5" w:rsidP="00151B3B">
      <w:pPr>
        <w:pStyle w:val="IFT1"/>
        <w:tabs>
          <w:tab w:val="left" w:pos="426"/>
        </w:tabs>
        <w:spacing w:after="0"/>
        <w:rPr>
          <w:bCs/>
        </w:rPr>
      </w:pPr>
      <w:r>
        <w:rPr>
          <w:bCs/>
        </w:rPr>
        <w:t>Por otra parte, e</w:t>
      </w:r>
      <w:r w:rsidR="00151B3B" w:rsidRPr="0010276D">
        <w:rPr>
          <w:bCs/>
        </w:rPr>
        <w:t>n el Subanexo</w:t>
      </w:r>
      <w:r w:rsidR="00151B3B">
        <w:rPr>
          <w:bCs/>
        </w:rPr>
        <w:t xml:space="preserve"> E se adicionaron las pruebas de “Cancelación de Actualización de Localización 4G” (</w:t>
      </w:r>
      <w:r w:rsidR="00151B3B" w:rsidRPr="002B0353">
        <w:rPr>
          <w:bCs/>
          <w:i/>
        </w:rPr>
        <w:t>“Cancel Location 4G”</w:t>
      </w:r>
      <w:r w:rsidR="00151B3B">
        <w:rPr>
          <w:bCs/>
        </w:rPr>
        <w:t>) con el fin de que la misma se realice en todas las tecnologías disponibles en la red de Telcel, y “Desvío de Llamadas en no Contestación hacia el Buzón de Voz” (</w:t>
      </w:r>
      <w:r w:rsidR="00151B3B" w:rsidRPr="002B0353">
        <w:rPr>
          <w:bCs/>
          <w:i/>
        </w:rPr>
        <w:t>“Call Forward on Not Reply to Voicemail”</w:t>
      </w:r>
      <w:r w:rsidR="00151B3B">
        <w:rPr>
          <w:bCs/>
        </w:rPr>
        <w:t>) para las tecnologías 2G y 3G con el fin de contemplar todos los posibles escenarios para el desvío de llamadas</w:t>
      </w:r>
      <w:r w:rsidR="0030627E">
        <w:rPr>
          <w:bCs/>
        </w:rPr>
        <w:t xml:space="preserve"> en los siguientes términos:</w:t>
      </w:r>
    </w:p>
    <w:p w14:paraId="7E998D9C" w14:textId="4723B304" w:rsidR="0030627E" w:rsidRDefault="0030627E" w:rsidP="00151B3B">
      <w:pPr>
        <w:pStyle w:val="IFT1"/>
        <w:tabs>
          <w:tab w:val="left" w:pos="426"/>
        </w:tabs>
        <w:spacing w:after="0"/>
        <w:rPr>
          <w:bCs/>
        </w:rPr>
      </w:pPr>
    </w:p>
    <w:p w14:paraId="2932E457" w14:textId="77777777" w:rsidR="0030627E" w:rsidRPr="0030627E" w:rsidRDefault="0030627E" w:rsidP="0030627E">
      <w:pPr>
        <w:ind w:left="720"/>
        <w:contextualSpacing/>
        <w:outlineLvl w:val="1"/>
        <w:rPr>
          <w:rFonts w:ascii="ITC Avant Garde" w:eastAsia="Calibri" w:hAnsi="ITC Avant Garde" w:cs="Arial"/>
          <w:i/>
          <w:sz w:val="18"/>
          <w:szCs w:val="18"/>
          <w:u w:val="single"/>
        </w:rPr>
      </w:pPr>
      <w:bookmarkStart w:id="1" w:name="_Toc20218812"/>
      <w:r>
        <w:rPr>
          <w:rFonts w:ascii="ITC Avant Garde" w:eastAsia="Calibri" w:hAnsi="ITC Avant Garde" w:cs="Arial"/>
          <w:i/>
          <w:sz w:val="18"/>
          <w:szCs w:val="18"/>
          <w:u w:val="single"/>
          <w:lang w:val="es-ES_tradnl"/>
        </w:rPr>
        <w:t>“</w:t>
      </w:r>
      <w:r w:rsidRPr="0030627E">
        <w:rPr>
          <w:rFonts w:ascii="ITC Avant Garde" w:eastAsia="Calibri" w:hAnsi="ITC Avant Garde" w:cs="Arial"/>
          <w:i/>
          <w:sz w:val="18"/>
          <w:szCs w:val="18"/>
          <w:u w:val="single"/>
          <w:lang w:val="es-ES_tradnl"/>
        </w:rPr>
        <w:t>Cancel Location 4G</w:t>
      </w:r>
      <w:bookmarkEnd w:id="1"/>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3"/>
        <w:gridCol w:w="6445"/>
      </w:tblGrid>
      <w:tr w:rsidR="0030627E" w:rsidRPr="0030627E" w14:paraId="640CFD29" w14:textId="77777777" w:rsidTr="00A37D5D">
        <w:tc>
          <w:tcPr>
            <w:tcW w:w="1493" w:type="dxa"/>
          </w:tcPr>
          <w:p w14:paraId="206E96B4" w14:textId="77777777" w:rsidR="0030627E" w:rsidRPr="0030627E" w:rsidRDefault="0030627E" w:rsidP="00A37D5D">
            <w:pPr>
              <w:rPr>
                <w:rFonts w:ascii="ITC Avant Garde" w:eastAsia="Calibri" w:hAnsi="ITC Avant Garde" w:cs="Arial"/>
                <w:i/>
                <w:sz w:val="18"/>
                <w:szCs w:val="18"/>
                <w:u w:val="single"/>
              </w:rPr>
            </w:pPr>
            <w:r w:rsidRPr="0030627E">
              <w:rPr>
                <w:rFonts w:ascii="ITC Avant Garde" w:eastAsia="Calibri" w:hAnsi="ITC Avant Garde" w:cs="Arial"/>
                <w:i/>
                <w:sz w:val="18"/>
                <w:szCs w:val="18"/>
                <w:u w:val="single"/>
              </w:rPr>
              <w:t>Objetivo</w:t>
            </w:r>
          </w:p>
        </w:tc>
        <w:tc>
          <w:tcPr>
            <w:tcW w:w="6445" w:type="dxa"/>
          </w:tcPr>
          <w:p w14:paraId="4D983A9A" w14:textId="77777777" w:rsidR="0030627E" w:rsidRPr="0030627E" w:rsidRDefault="0030627E" w:rsidP="00A37D5D">
            <w:pPr>
              <w:rPr>
                <w:rFonts w:ascii="ITC Avant Garde" w:eastAsia="Calibri" w:hAnsi="ITC Avant Garde" w:cs="Arial"/>
                <w:i/>
                <w:sz w:val="18"/>
                <w:szCs w:val="18"/>
                <w:u w:val="single"/>
              </w:rPr>
            </w:pPr>
            <w:r w:rsidRPr="0030627E">
              <w:rPr>
                <w:rFonts w:ascii="ITC Avant Garde" w:eastAsia="Calibri" w:hAnsi="ITC Avant Garde" w:cs="Arial"/>
                <w:i/>
                <w:sz w:val="18"/>
                <w:szCs w:val="18"/>
                <w:u w:val="single"/>
              </w:rPr>
              <w:t>Confirmar que el procedimiento para realizar el Cancel Location entre el HSS en la red del CONCESIONARIO y el MME en la red de Telcel opere correctamente</w:t>
            </w:r>
          </w:p>
        </w:tc>
      </w:tr>
      <w:tr w:rsidR="0030627E" w:rsidRPr="0030627E" w14:paraId="3D7F4B6E" w14:textId="77777777" w:rsidTr="00A37D5D">
        <w:tc>
          <w:tcPr>
            <w:tcW w:w="1493" w:type="dxa"/>
          </w:tcPr>
          <w:p w14:paraId="6158F837" w14:textId="77777777" w:rsidR="0030627E" w:rsidRPr="0030627E" w:rsidRDefault="0030627E" w:rsidP="00A37D5D">
            <w:pPr>
              <w:rPr>
                <w:rFonts w:ascii="ITC Avant Garde" w:eastAsia="Calibri" w:hAnsi="ITC Avant Garde" w:cs="Arial"/>
                <w:i/>
                <w:sz w:val="18"/>
                <w:szCs w:val="18"/>
                <w:u w:val="single"/>
              </w:rPr>
            </w:pPr>
            <w:r w:rsidRPr="0030627E">
              <w:rPr>
                <w:rFonts w:ascii="ITC Avant Garde" w:eastAsia="Calibri" w:hAnsi="ITC Avant Garde" w:cs="Arial"/>
                <w:i/>
                <w:sz w:val="18"/>
                <w:szCs w:val="18"/>
                <w:u w:val="single"/>
              </w:rPr>
              <w:t>Preparación</w:t>
            </w:r>
          </w:p>
        </w:tc>
        <w:tc>
          <w:tcPr>
            <w:tcW w:w="6445" w:type="dxa"/>
          </w:tcPr>
          <w:p w14:paraId="2D374C85" w14:textId="77777777" w:rsidR="0030627E" w:rsidRPr="0030627E" w:rsidRDefault="0030627E" w:rsidP="00A37D5D">
            <w:pPr>
              <w:rPr>
                <w:rFonts w:ascii="ITC Avant Garde" w:eastAsia="Calibri" w:hAnsi="ITC Avant Garde" w:cs="Arial"/>
                <w:i/>
                <w:sz w:val="18"/>
                <w:szCs w:val="18"/>
                <w:u w:val="single"/>
              </w:rPr>
            </w:pPr>
            <w:r w:rsidRPr="0030627E">
              <w:rPr>
                <w:rFonts w:ascii="ITC Avant Garde" w:eastAsia="Calibri" w:hAnsi="ITC Avant Garde" w:cs="Arial"/>
                <w:i/>
                <w:sz w:val="18"/>
                <w:szCs w:val="18"/>
                <w:u w:val="single"/>
              </w:rPr>
              <w:t>Que el MME en la red 4G de TELCEL contenga información de suscripción de la Terminal del CONCESIONARIO y que la conectividad hacia el PGW se encuentre activa</w:t>
            </w:r>
          </w:p>
        </w:tc>
      </w:tr>
      <w:tr w:rsidR="0030627E" w:rsidRPr="0030627E" w14:paraId="3C820D78" w14:textId="77777777" w:rsidTr="00A37D5D">
        <w:tc>
          <w:tcPr>
            <w:tcW w:w="1493" w:type="dxa"/>
          </w:tcPr>
          <w:p w14:paraId="577D8EE1" w14:textId="77777777" w:rsidR="0030627E" w:rsidRPr="0030627E" w:rsidRDefault="0030627E" w:rsidP="00A37D5D">
            <w:pPr>
              <w:rPr>
                <w:rFonts w:ascii="ITC Avant Garde" w:eastAsia="Calibri" w:hAnsi="ITC Avant Garde" w:cs="Arial"/>
                <w:i/>
                <w:sz w:val="18"/>
                <w:szCs w:val="18"/>
                <w:u w:val="single"/>
              </w:rPr>
            </w:pPr>
            <w:r w:rsidRPr="0030627E">
              <w:rPr>
                <w:rFonts w:ascii="ITC Avant Garde" w:eastAsia="Calibri" w:hAnsi="ITC Avant Garde" w:cs="Arial"/>
                <w:i/>
                <w:sz w:val="18"/>
                <w:szCs w:val="18"/>
                <w:u w:val="single"/>
              </w:rPr>
              <w:t>Procedimiento</w:t>
            </w:r>
          </w:p>
        </w:tc>
        <w:tc>
          <w:tcPr>
            <w:tcW w:w="6445" w:type="dxa"/>
          </w:tcPr>
          <w:p w14:paraId="06DF385D" w14:textId="77777777" w:rsidR="0030627E" w:rsidRPr="0030627E" w:rsidRDefault="0030627E" w:rsidP="00A37D5D">
            <w:pPr>
              <w:rPr>
                <w:rFonts w:ascii="ITC Avant Garde" w:eastAsia="Calibri" w:hAnsi="ITC Avant Garde" w:cs="Arial"/>
                <w:i/>
                <w:sz w:val="18"/>
                <w:szCs w:val="18"/>
                <w:u w:val="single"/>
              </w:rPr>
            </w:pPr>
            <w:r w:rsidRPr="0030627E">
              <w:rPr>
                <w:rFonts w:ascii="ITC Avant Garde" w:eastAsia="Calibri" w:hAnsi="ITC Avant Garde" w:cs="Arial"/>
                <w:i/>
                <w:sz w:val="18"/>
                <w:szCs w:val="18"/>
                <w:u w:val="single"/>
              </w:rPr>
              <w:t>La red del CONCESIONARIO debe borrar del HSS la información de suscripción de la Terminal</w:t>
            </w:r>
          </w:p>
        </w:tc>
      </w:tr>
      <w:tr w:rsidR="0030627E" w:rsidRPr="0030627E" w14:paraId="6EAC9D2E" w14:textId="77777777" w:rsidTr="00A37D5D">
        <w:trPr>
          <w:cantSplit/>
          <w:trHeight w:val="215"/>
        </w:trPr>
        <w:tc>
          <w:tcPr>
            <w:tcW w:w="1493" w:type="dxa"/>
            <w:tcBorders>
              <w:bottom w:val="single" w:sz="4" w:space="0" w:color="auto"/>
            </w:tcBorders>
          </w:tcPr>
          <w:p w14:paraId="644B8B95" w14:textId="77777777" w:rsidR="0030627E" w:rsidRPr="0030627E" w:rsidRDefault="0030627E" w:rsidP="00A37D5D">
            <w:pPr>
              <w:rPr>
                <w:rFonts w:ascii="ITC Avant Garde" w:eastAsia="Calibri" w:hAnsi="ITC Avant Garde" w:cs="Arial"/>
                <w:i/>
                <w:sz w:val="18"/>
                <w:szCs w:val="18"/>
                <w:u w:val="single"/>
              </w:rPr>
            </w:pPr>
            <w:r w:rsidRPr="0030627E">
              <w:rPr>
                <w:rFonts w:ascii="ITC Avant Garde" w:eastAsia="Calibri" w:hAnsi="ITC Avant Garde" w:cs="Arial"/>
                <w:i/>
                <w:sz w:val="18"/>
                <w:szCs w:val="18"/>
                <w:u w:val="single"/>
              </w:rPr>
              <w:t>Resultado Esperado</w:t>
            </w:r>
          </w:p>
        </w:tc>
        <w:tc>
          <w:tcPr>
            <w:tcW w:w="6445" w:type="dxa"/>
            <w:tcBorders>
              <w:bottom w:val="single" w:sz="4" w:space="0" w:color="auto"/>
            </w:tcBorders>
          </w:tcPr>
          <w:p w14:paraId="4136CEE9" w14:textId="77777777" w:rsidR="0030627E" w:rsidRPr="0030627E" w:rsidRDefault="0030627E" w:rsidP="00A37D5D">
            <w:pPr>
              <w:tabs>
                <w:tab w:val="center" w:pos="4419"/>
                <w:tab w:val="right" w:pos="8838"/>
              </w:tabs>
              <w:rPr>
                <w:rFonts w:ascii="ITC Avant Garde" w:eastAsia="Times New Roman" w:hAnsi="ITC Avant Garde" w:cs="Arial"/>
                <w:i/>
                <w:sz w:val="18"/>
                <w:szCs w:val="18"/>
                <w:u w:val="single"/>
              </w:rPr>
            </w:pPr>
            <w:r w:rsidRPr="0030627E">
              <w:rPr>
                <w:rFonts w:ascii="ITC Avant Garde" w:eastAsia="Times New Roman" w:hAnsi="ITC Avant Garde" w:cs="Arial"/>
                <w:i/>
                <w:sz w:val="18"/>
                <w:szCs w:val="18"/>
                <w:u w:val="single"/>
              </w:rPr>
              <w:t xml:space="preserve">Que los registros de la Terminal del CONCESIONARIO sean borrados en el MME, SGW, PGW y PCRF de Telcel como en el PCRF del CONCESIONARIO, y que la conectividad de la Terminal del CONCESIONARIO se encuentre desactivada  </w:t>
            </w:r>
          </w:p>
        </w:tc>
      </w:tr>
    </w:tbl>
    <w:p w14:paraId="6F16D40F" w14:textId="77777777" w:rsidR="0030627E" w:rsidRPr="00316096" w:rsidRDefault="0030627E" w:rsidP="0030627E">
      <w:pPr>
        <w:ind w:left="720"/>
        <w:contextualSpacing/>
        <w:outlineLvl w:val="1"/>
        <w:rPr>
          <w:rFonts w:ascii="ITC Avant Garde" w:eastAsia="Calibri" w:hAnsi="ITC Avant Garde" w:cs="Arial"/>
          <w:i/>
          <w:sz w:val="18"/>
          <w:szCs w:val="18"/>
          <w:lang w:val="en-US"/>
        </w:rPr>
      </w:pPr>
      <w:r w:rsidRPr="00316096">
        <w:rPr>
          <w:rFonts w:ascii="ITC Avant Garde" w:eastAsia="Calibri" w:hAnsi="ITC Avant Garde" w:cs="Arial"/>
          <w:i/>
          <w:sz w:val="18"/>
          <w:szCs w:val="18"/>
          <w:lang w:val="en-US"/>
        </w:rPr>
        <w:t>(…)”</w:t>
      </w:r>
    </w:p>
    <w:p w14:paraId="59D24872" w14:textId="77777777" w:rsidR="0030627E" w:rsidRPr="0030627E" w:rsidRDefault="0030627E" w:rsidP="0030627E">
      <w:pPr>
        <w:pStyle w:val="IFT1"/>
        <w:tabs>
          <w:tab w:val="left" w:pos="426"/>
        </w:tabs>
        <w:spacing w:after="0"/>
        <w:rPr>
          <w:bCs/>
          <w:u w:val="single"/>
          <w:lang w:val="en-US"/>
        </w:rPr>
      </w:pPr>
    </w:p>
    <w:p w14:paraId="73322723" w14:textId="11D81A55" w:rsidR="0030627E" w:rsidRPr="0030627E" w:rsidRDefault="0030627E" w:rsidP="0030627E">
      <w:pPr>
        <w:ind w:left="720"/>
        <w:contextualSpacing/>
        <w:outlineLvl w:val="1"/>
        <w:rPr>
          <w:rFonts w:ascii="ITC Avant Garde" w:eastAsia="Calibri" w:hAnsi="ITC Avant Garde" w:cs="Arial"/>
          <w:i/>
          <w:sz w:val="18"/>
          <w:szCs w:val="18"/>
          <w:u w:val="single"/>
          <w:lang w:val="en-US"/>
        </w:rPr>
      </w:pPr>
      <w:bookmarkStart w:id="2" w:name="_Toc20218820"/>
      <w:r w:rsidRPr="0030627E">
        <w:rPr>
          <w:rFonts w:ascii="ITC Avant Garde" w:eastAsia="Calibri" w:hAnsi="ITC Avant Garde" w:cs="Arial"/>
          <w:i/>
          <w:sz w:val="18"/>
          <w:szCs w:val="18"/>
          <w:u w:val="single"/>
          <w:lang w:val="en-US"/>
        </w:rPr>
        <w:t>“Call For</w:t>
      </w:r>
      <w:r w:rsidR="00D24C71">
        <w:rPr>
          <w:rFonts w:ascii="ITC Avant Garde" w:eastAsia="Calibri" w:hAnsi="ITC Avant Garde" w:cs="Arial"/>
          <w:i/>
          <w:sz w:val="18"/>
          <w:szCs w:val="18"/>
          <w:u w:val="single"/>
          <w:lang w:val="en-US"/>
        </w:rPr>
        <w:t xml:space="preserve">ward on Not Reply to Voicemail </w:t>
      </w:r>
      <w:r w:rsidRPr="0030627E">
        <w:rPr>
          <w:rFonts w:ascii="ITC Avant Garde" w:eastAsia="Calibri" w:hAnsi="ITC Avant Garde" w:cs="Arial"/>
          <w:i/>
          <w:sz w:val="18"/>
          <w:szCs w:val="18"/>
          <w:u w:val="single"/>
          <w:lang w:val="en-US"/>
        </w:rPr>
        <w:t>(2G y 3G)</w:t>
      </w:r>
      <w:bookmarkEnd w:id="2"/>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3"/>
        <w:gridCol w:w="6445"/>
      </w:tblGrid>
      <w:tr w:rsidR="0030627E" w:rsidRPr="0030627E" w14:paraId="2A1DA299" w14:textId="77777777" w:rsidTr="00A37D5D">
        <w:tc>
          <w:tcPr>
            <w:tcW w:w="1493" w:type="dxa"/>
          </w:tcPr>
          <w:p w14:paraId="66144EDE" w14:textId="77777777" w:rsidR="0030627E" w:rsidRPr="0030627E" w:rsidRDefault="0030627E" w:rsidP="00A37D5D">
            <w:pPr>
              <w:rPr>
                <w:rFonts w:ascii="ITC Avant Garde" w:eastAsia="Calibri" w:hAnsi="ITC Avant Garde" w:cs="Arial"/>
                <w:i/>
                <w:sz w:val="18"/>
                <w:szCs w:val="18"/>
                <w:u w:val="single"/>
              </w:rPr>
            </w:pPr>
            <w:r w:rsidRPr="0030627E">
              <w:rPr>
                <w:rFonts w:ascii="ITC Avant Garde" w:eastAsia="Calibri" w:hAnsi="ITC Avant Garde" w:cs="Arial"/>
                <w:i/>
                <w:sz w:val="18"/>
                <w:szCs w:val="18"/>
                <w:u w:val="single"/>
              </w:rPr>
              <w:t>Objetivo</w:t>
            </w:r>
          </w:p>
        </w:tc>
        <w:tc>
          <w:tcPr>
            <w:tcW w:w="6445" w:type="dxa"/>
          </w:tcPr>
          <w:p w14:paraId="34227CE1" w14:textId="77777777" w:rsidR="0030627E" w:rsidRPr="0030627E" w:rsidRDefault="0030627E" w:rsidP="00A37D5D">
            <w:pPr>
              <w:rPr>
                <w:rFonts w:ascii="ITC Avant Garde" w:eastAsia="Calibri" w:hAnsi="ITC Avant Garde" w:cs="Arial"/>
                <w:i/>
                <w:sz w:val="18"/>
                <w:szCs w:val="18"/>
                <w:u w:val="single"/>
              </w:rPr>
            </w:pPr>
            <w:r w:rsidRPr="0030627E">
              <w:rPr>
                <w:rFonts w:ascii="ITC Avant Garde" w:eastAsia="Calibri" w:hAnsi="ITC Avant Garde" w:cs="Arial"/>
                <w:i/>
                <w:sz w:val="18"/>
                <w:szCs w:val="18"/>
                <w:u w:val="single"/>
              </w:rPr>
              <w:t>Que se pueda realizar el desvío de la llamada hacia el Buzón de Voz cuando el teléfono no responda</w:t>
            </w:r>
          </w:p>
        </w:tc>
      </w:tr>
      <w:tr w:rsidR="0030627E" w:rsidRPr="0030627E" w14:paraId="3BDB09E7" w14:textId="77777777" w:rsidTr="00A37D5D">
        <w:tc>
          <w:tcPr>
            <w:tcW w:w="1493" w:type="dxa"/>
          </w:tcPr>
          <w:p w14:paraId="4DF39FC6" w14:textId="77777777" w:rsidR="0030627E" w:rsidRPr="0030627E" w:rsidRDefault="0030627E" w:rsidP="00A37D5D">
            <w:pPr>
              <w:rPr>
                <w:rFonts w:ascii="ITC Avant Garde" w:eastAsia="Calibri" w:hAnsi="ITC Avant Garde" w:cs="Arial"/>
                <w:i/>
                <w:sz w:val="18"/>
                <w:szCs w:val="18"/>
                <w:u w:val="single"/>
              </w:rPr>
            </w:pPr>
            <w:r w:rsidRPr="0030627E">
              <w:rPr>
                <w:rFonts w:ascii="ITC Avant Garde" w:eastAsia="Calibri" w:hAnsi="ITC Avant Garde" w:cs="Arial"/>
                <w:i/>
                <w:sz w:val="18"/>
                <w:szCs w:val="18"/>
                <w:u w:val="single"/>
              </w:rPr>
              <w:t>Preparación</w:t>
            </w:r>
          </w:p>
        </w:tc>
        <w:tc>
          <w:tcPr>
            <w:tcW w:w="6445" w:type="dxa"/>
          </w:tcPr>
          <w:p w14:paraId="164540C1" w14:textId="77777777" w:rsidR="0030627E" w:rsidRPr="0030627E" w:rsidRDefault="0030627E" w:rsidP="00A37D5D">
            <w:pPr>
              <w:rPr>
                <w:rFonts w:ascii="ITC Avant Garde" w:eastAsia="Calibri" w:hAnsi="ITC Avant Garde" w:cs="Arial"/>
                <w:i/>
                <w:sz w:val="18"/>
                <w:szCs w:val="18"/>
                <w:u w:val="single"/>
              </w:rPr>
            </w:pPr>
            <w:r w:rsidRPr="0030627E">
              <w:rPr>
                <w:rFonts w:ascii="ITC Avant Garde" w:eastAsia="Calibri" w:hAnsi="ITC Avant Garde" w:cs="Arial"/>
                <w:i/>
                <w:sz w:val="18"/>
                <w:szCs w:val="18"/>
                <w:u w:val="single"/>
              </w:rPr>
              <w:t>Mantener el Registro de la SIM CONCESIONARIO en la red de TELCEL</w:t>
            </w:r>
          </w:p>
          <w:p w14:paraId="79D1ED13" w14:textId="77777777" w:rsidR="0030627E" w:rsidRPr="0030627E" w:rsidRDefault="0030627E" w:rsidP="00A37D5D">
            <w:pPr>
              <w:rPr>
                <w:rFonts w:ascii="ITC Avant Garde" w:eastAsia="Calibri" w:hAnsi="ITC Avant Garde" w:cs="Arial"/>
                <w:i/>
                <w:sz w:val="18"/>
                <w:szCs w:val="18"/>
                <w:u w:val="single"/>
              </w:rPr>
            </w:pPr>
            <w:r w:rsidRPr="0030627E">
              <w:rPr>
                <w:rFonts w:ascii="ITC Avant Garde" w:eastAsia="Calibri" w:hAnsi="ITC Avant Garde" w:cs="Arial"/>
                <w:i/>
                <w:sz w:val="18"/>
                <w:szCs w:val="18"/>
                <w:u w:val="single"/>
              </w:rPr>
              <w:t>Activar CFNRy desde el Terminal con la SIM CONCESIONARIO hacia el Buzón de Voz</w:t>
            </w:r>
          </w:p>
          <w:p w14:paraId="0580DE41" w14:textId="77777777" w:rsidR="0030627E" w:rsidRPr="0030627E" w:rsidRDefault="0030627E" w:rsidP="00A37D5D">
            <w:pPr>
              <w:rPr>
                <w:rFonts w:ascii="ITC Avant Garde" w:eastAsia="Calibri" w:hAnsi="ITC Avant Garde" w:cs="Arial"/>
                <w:i/>
                <w:sz w:val="18"/>
                <w:szCs w:val="18"/>
                <w:u w:val="single"/>
              </w:rPr>
            </w:pPr>
            <w:r w:rsidRPr="0030627E">
              <w:rPr>
                <w:rFonts w:ascii="ITC Avant Garde" w:eastAsia="Calibri" w:hAnsi="ITC Avant Garde" w:cs="Arial"/>
                <w:i/>
                <w:sz w:val="18"/>
                <w:szCs w:val="18"/>
                <w:u w:val="single"/>
              </w:rPr>
              <w:t>___________________</w:t>
            </w:r>
          </w:p>
        </w:tc>
      </w:tr>
      <w:tr w:rsidR="0030627E" w:rsidRPr="0030627E" w14:paraId="3BA9F550" w14:textId="77777777" w:rsidTr="00A37D5D">
        <w:tc>
          <w:tcPr>
            <w:tcW w:w="1493" w:type="dxa"/>
          </w:tcPr>
          <w:p w14:paraId="5D17B5CA" w14:textId="77777777" w:rsidR="0030627E" w:rsidRPr="0030627E" w:rsidRDefault="0030627E" w:rsidP="00A37D5D">
            <w:pPr>
              <w:rPr>
                <w:rFonts w:ascii="ITC Avant Garde" w:eastAsia="Calibri" w:hAnsi="ITC Avant Garde" w:cs="Arial"/>
                <w:i/>
                <w:sz w:val="18"/>
                <w:szCs w:val="18"/>
                <w:u w:val="single"/>
              </w:rPr>
            </w:pPr>
            <w:r w:rsidRPr="0030627E">
              <w:rPr>
                <w:rFonts w:ascii="ITC Avant Garde" w:eastAsia="Calibri" w:hAnsi="ITC Avant Garde" w:cs="Arial"/>
                <w:i/>
                <w:sz w:val="18"/>
                <w:szCs w:val="18"/>
                <w:u w:val="single"/>
              </w:rPr>
              <w:t>Procedimiento</w:t>
            </w:r>
          </w:p>
        </w:tc>
        <w:tc>
          <w:tcPr>
            <w:tcW w:w="6445" w:type="dxa"/>
          </w:tcPr>
          <w:p w14:paraId="71A5DC2C" w14:textId="77777777" w:rsidR="0030627E" w:rsidRPr="0030627E" w:rsidRDefault="0030627E" w:rsidP="00A37D5D">
            <w:pPr>
              <w:rPr>
                <w:rFonts w:ascii="ITC Avant Garde" w:eastAsia="Calibri" w:hAnsi="ITC Avant Garde" w:cs="Arial"/>
                <w:i/>
                <w:sz w:val="18"/>
                <w:szCs w:val="18"/>
                <w:u w:val="single"/>
              </w:rPr>
            </w:pPr>
            <w:r w:rsidRPr="0030627E">
              <w:rPr>
                <w:rFonts w:ascii="ITC Avant Garde" w:eastAsia="Calibri" w:hAnsi="ITC Avant Garde" w:cs="Arial"/>
                <w:i/>
                <w:sz w:val="18"/>
                <w:szCs w:val="18"/>
                <w:u w:val="single"/>
              </w:rPr>
              <w:t>Mantener encendido el terminal con la SIM CONCESIONARIO y al mismo tiempo realizarle una llamada.</w:t>
            </w:r>
          </w:p>
          <w:p w14:paraId="02FC835E" w14:textId="77777777" w:rsidR="0030627E" w:rsidRPr="0030627E" w:rsidRDefault="0030627E" w:rsidP="00A37D5D">
            <w:pPr>
              <w:rPr>
                <w:rFonts w:ascii="ITC Avant Garde" w:eastAsia="Calibri" w:hAnsi="ITC Avant Garde" w:cs="Arial"/>
                <w:i/>
                <w:sz w:val="18"/>
                <w:szCs w:val="18"/>
                <w:u w:val="single"/>
              </w:rPr>
            </w:pPr>
            <w:r w:rsidRPr="0030627E">
              <w:rPr>
                <w:rFonts w:ascii="ITC Avant Garde" w:eastAsia="Calibri" w:hAnsi="ITC Avant Garde" w:cs="Arial"/>
                <w:i/>
                <w:sz w:val="18"/>
                <w:szCs w:val="18"/>
                <w:u w:val="single"/>
              </w:rPr>
              <w:t>Cuando alerte la llamada que se le hace al terminal con la SIM CONCESIONARIO no se responderá</w:t>
            </w:r>
          </w:p>
          <w:p w14:paraId="2C485889" w14:textId="77777777" w:rsidR="0030627E" w:rsidRPr="0030627E" w:rsidRDefault="0030627E" w:rsidP="00A37D5D">
            <w:pPr>
              <w:rPr>
                <w:rFonts w:ascii="ITC Avant Garde" w:eastAsia="Calibri" w:hAnsi="ITC Avant Garde" w:cs="Arial"/>
                <w:i/>
                <w:sz w:val="18"/>
                <w:szCs w:val="18"/>
                <w:u w:val="single"/>
              </w:rPr>
            </w:pPr>
            <w:r w:rsidRPr="0030627E">
              <w:rPr>
                <w:rFonts w:ascii="ITC Avant Garde" w:eastAsia="Calibri" w:hAnsi="ITC Avant Garde" w:cs="Arial"/>
                <w:i/>
                <w:sz w:val="18"/>
                <w:szCs w:val="18"/>
                <w:u w:val="single"/>
              </w:rPr>
              <w:t>En el tiempo determinado para desviar sin contestar entrará el CFNRy</w:t>
            </w:r>
          </w:p>
          <w:p w14:paraId="6E7939C4" w14:textId="77777777" w:rsidR="0030627E" w:rsidRPr="0030627E" w:rsidRDefault="0030627E" w:rsidP="00A37D5D">
            <w:pPr>
              <w:rPr>
                <w:rFonts w:ascii="ITC Avant Garde" w:eastAsia="Calibri" w:hAnsi="ITC Avant Garde" w:cs="Arial"/>
                <w:i/>
                <w:sz w:val="18"/>
                <w:szCs w:val="18"/>
                <w:u w:val="single"/>
              </w:rPr>
            </w:pPr>
            <w:r w:rsidRPr="0030627E">
              <w:rPr>
                <w:rFonts w:ascii="ITC Avant Garde" w:eastAsia="Calibri" w:hAnsi="ITC Avant Garde" w:cs="Arial"/>
                <w:i/>
                <w:sz w:val="18"/>
                <w:szCs w:val="18"/>
                <w:u w:val="single"/>
              </w:rPr>
              <w:t>Se deberá desviar la llamada hacia el Buzón de Voz</w:t>
            </w:r>
          </w:p>
        </w:tc>
      </w:tr>
      <w:tr w:rsidR="0030627E" w:rsidRPr="0030627E" w14:paraId="61D902BC" w14:textId="77777777" w:rsidTr="00A37D5D">
        <w:trPr>
          <w:cantSplit/>
          <w:trHeight w:val="215"/>
        </w:trPr>
        <w:tc>
          <w:tcPr>
            <w:tcW w:w="1493" w:type="dxa"/>
            <w:tcBorders>
              <w:bottom w:val="single" w:sz="4" w:space="0" w:color="auto"/>
            </w:tcBorders>
          </w:tcPr>
          <w:p w14:paraId="0234C121" w14:textId="77777777" w:rsidR="0030627E" w:rsidRPr="0030627E" w:rsidRDefault="0030627E" w:rsidP="00A37D5D">
            <w:pPr>
              <w:rPr>
                <w:rFonts w:ascii="ITC Avant Garde" w:eastAsia="Calibri" w:hAnsi="ITC Avant Garde" w:cs="Arial"/>
                <w:i/>
                <w:sz w:val="18"/>
                <w:szCs w:val="18"/>
                <w:u w:val="single"/>
              </w:rPr>
            </w:pPr>
            <w:r w:rsidRPr="0030627E">
              <w:rPr>
                <w:rFonts w:ascii="ITC Avant Garde" w:eastAsia="Calibri" w:hAnsi="ITC Avant Garde" w:cs="Arial"/>
                <w:i/>
                <w:sz w:val="18"/>
                <w:szCs w:val="18"/>
                <w:u w:val="single"/>
              </w:rPr>
              <w:lastRenderedPageBreak/>
              <w:t>Resultado Esperado</w:t>
            </w:r>
          </w:p>
        </w:tc>
        <w:tc>
          <w:tcPr>
            <w:tcW w:w="6445" w:type="dxa"/>
            <w:tcBorders>
              <w:bottom w:val="single" w:sz="4" w:space="0" w:color="auto"/>
            </w:tcBorders>
          </w:tcPr>
          <w:p w14:paraId="3CE1B1E8" w14:textId="77777777" w:rsidR="0030627E" w:rsidRPr="0030627E" w:rsidRDefault="0030627E" w:rsidP="00A37D5D">
            <w:pPr>
              <w:tabs>
                <w:tab w:val="center" w:pos="4419"/>
                <w:tab w:val="right" w:pos="8838"/>
              </w:tabs>
              <w:rPr>
                <w:rFonts w:ascii="ITC Avant Garde" w:eastAsia="Times New Roman" w:hAnsi="ITC Avant Garde" w:cs="Arial"/>
                <w:i/>
                <w:sz w:val="18"/>
                <w:szCs w:val="18"/>
                <w:u w:val="single"/>
              </w:rPr>
            </w:pPr>
            <w:r w:rsidRPr="0030627E">
              <w:rPr>
                <w:rFonts w:ascii="ITC Avant Garde" w:eastAsia="Times New Roman" w:hAnsi="ITC Avant Garde" w:cs="Arial"/>
                <w:i/>
                <w:sz w:val="18"/>
                <w:szCs w:val="18"/>
                <w:u w:val="single"/>
              </w:rPr>
              <w:t>Se considera escenario exitoso cuando:</w:t>
            </w:r>
          </w:p>
          <w:p w14:paraId="3972DD7D" w14:textId="77777777" w:rsidR="0030627E" w:rsidRPr="0030627E" w:rsidRDefault="0030627E" w:rsidP="00A37D5D">
            <w:pPr>
              <w:tabs>
                <w:tab w:val="center" w:pos="4419"/>
                <w:tab w:val="right" w:pos="8838"/>
              </w:tabs>
              <w:rPr>
                <w:rFonts w:ascii="ITC Avant Garde" w:eastAsia="Times New Roman" w:hAnsi="ITC Avant Garde" w:cs="Arial"/>
                <w:i/>
                <w:sz w:val="18"/>
                <w:szCs w:val="18"/>
                <w:u w:val="single"/>
              </w:rPr>
            </w:pPr>
            <w:r w:rsidRPr="0030627E">
              <w:rPr>
                <w:rFonts w:ascii="ITC Avant Garde" w:eastAsia="Times New Roman" w:hAnsi="ITC Avant Garde" w:cs="Arial"/>
                <w:i/>
                <w:sz w:val="18"/>
                <w:szCs w:val="18"/>
                <w:u w:val="single"/>
              </w:rPr>
              <w:t>La llamada hacia la SIM CONCESIONARIO sea desviada de manera exitosa hacia el Buzón de Voz</w:t>
            </w:r>
          </w:p>
          <w:p w14:paraId="06A7C47A" w14:textId="77777777" w:rsidR="0030627E" w:rsidRPr="0030627E" w:rsidRDefault="0030627E" w:rsidP="00A37D5D">
            <w:pPr>
              <w:tabs>
                <w:tab w:val="center" w:pos="4419"/>
                <w:tab w:val="right" w:pos="8838"/>
              </w:tabs>
              <w:rPr>
                <w:rFonts w:ascii="ITC Avant Garde" w:eastAsia="Times New Roman" w:hAnsi="ITC Avant Garde" w:cs="Arial"/>
                <w:i/>
                <w:sz w:val="18"/>
                <w:szCs w:val="18"/>
                <w:u w:val="single"/>
              </w:rPr>
            </w:pPr>
          </w:p>
          <w:p w14:paraId="6D293B68" w14:textId="77777777" w:rsidR="0030627E" w:rsidRPr="0030627E" w:rsidRDefault="0030627E" w:rsidP="00A37D5D">
            <w:pPr>
              <w:tabs>
                <w:tab w:val="center" w:pos="4419"/>
                <w:tab w:val="right" w:pos="8838"/>
              </w:tabs>
              <w:rPr>
                <w:rFonts w:ascii="ITC Avant Garde" w:eastAsia="Times New Roman" w:hAnsi="ITC Avant Garde" w:cs="Arial"/>
                <w:i/>
                <w:sz w:val="18"/>
                <w:szCs w:val="18"/>
                <w:u w:val="single"/>
              </w:rPr>
            </w:pPr>
            <w:r w:rsidRPr="0030627E">
              <w:rPr>
                <w:rFonts w:ascii="ITC Avant Garde" w:eastAsia="Times New Roman" w:hAnsi="ITC Avant Garde" w:cs="Arial"/>
                <w:i/>
                <w:sz w:val="18"/>
                <w:szCs w:val="18"/>
                <w:u w:val="single"/>
              </w:rPr>
              <w:t>NOTA: Repetir bajo cobertura 3G</w:t>
            </w:r>
          </w:p>
        </w:tc>
      </w:tr>
    </w:tbl>
    <w:p w14:paraId="5D4ACD2C" w14:textId="1FDDD38D" w:rsidR="0030627E" w:rsidRDefault="0030627E" w:rsidP="0030627E">
      <w:pPr>
        <w:ind w:left="720"/>
        <w:contextualSpacing/>
        <w:outlineLvl w:val="1"/>
        <w:rPr>
          <w:rFonts w:ascii="ITC Avant Garde" w:eastAsia="Calibri" w:hAnsi="ITC Avant Garde" w:cs="Arial"/>
          <w:i/>
          <w:sz w:val="18"/>
          <w:szCs w:val="18"/>
        </w:rPr>
      </w:pPr>
      <w:r w:rsidRPr="00596F81">
        <w:rPr>
          <w:rFonts w:ascii="ITC Avant Garde" w:eastAsia="Calibri" w:hAnsi="ITC Avant Garde" w:cs="Arial"/>
          <w:i/>
          <w:sz w:val="18"/>
          <w:szCs w:val="18"/>
        </w:rPr>
        <w:t>(…)”</w:t>
      </w:r>
    </w:p>
    <w:p w14:paraId="005D4FB1" w14:textId="77777777" w:rsidR="00D8450B" w:rsidRDefault="00D8450B" w:rsidP="00D8450B">
      <w:pPr>
        <w:spacing w:line="276" w:lineRule="auto"/>
        <w:ind w:left="567" w:right="615"/>
        <w:jc w:val="right"/>
        <w:rPr>
          <w:rFonts w:ascii="ITC Avant Garde" w:eastAsia="Calibri" w:hAnsi="ITC Avant Garde" w:cs="Arial"/>
          <w:sz w:val="18"/>
          <w:szCs w:val="18"/>
          <w:lang w:eastAsia="en-US"/>
        </w:rPr>
      </w:pPr>
      <w:r w:rsidRPr="002175CA">
        <w:rPr>
          <w:rFonts w:ascii="ITC Avant Garde" w:eastAsia="Calibri" w:hAnsi="ITC Avant Garde" w:cs="Arial"/>
          <w:sz w:val="18"/>
          <w:szCs w:val="18"/>
          <w:lang w:eastAsia="en-US"/>
        </w:rPr>
        <w:t>Énfasis añadido</w:t>
      </w:r>
    </w:p>
    <w:p w14:paraId="3F976E9B" w14:textId="48537B19" w:rsidR="0030627E" w:rsidRDefault="0030627E" w:rsidP="00151B3B">
      <w:pPr>
        <w:pStyle w:val="IFT1"/>
        <w:tabs>
          <w:tab w:val="left" w:pos="426"/>
        </w:tabs>
        <w:spacing w:after="0"/>
        <w:rPr>
          <w:bCs/>
        </w:rPr>
      </w:pPr>
    </w:p>
    <w:p w14:paraId="5FDD2D9B" w14:textId="01C46460" w:rsidR="009065BD" w:rsidRDefault="00254EE8" w:rsidP="00151B3B">
      <w:pPr>
        <w:pStyle w:val="IFT1"/>
        <w:tabs>
          <w:tab w:val="left" w:pos="426"/>
        </w:tabs>
        <w:spacing w:after="0"/>
        <w:rPr>
          <w:bCs/>
        </w:rPr>
      </w:pPr>
      <w:r>
        <w:rPr>
          <w:bCs/>
        </w:rPr>
        <w:t>Respecto al código de rechazo #12, se señala que el estándar TS.11 de la GSMA (</w:t>
      </w:r>
      <w:r w:rsidRPr="00254EE8">
        <w:rPr>
          <w:bCs/>
          <w:i/>
        </w:rPr>
        <w:t>“GSM Association”</w:t>
      </w:r>
      <w:r>
        <w:rPr>
          <w:bCs/>
        </w:rPr>
        <w:t>)</w:t>
      </w:r>
      <w:r w:rsidR="000D20BC">
        <w:rPr>
          <w:bCs/>
        </w:rPr>
        <w:t>, establece una serie de pruebas que deben realizarse a los dispositivos para asegurar el correcto comportamiento de una tecnolog</w:t>
      </w:r>
      <w:r w:rsidR="00912C69">
        <w:rPr>
          <w:bCs/>
        </w:rPr>
        <w:t>ía o</w:t>
      </w:r>
      <w:r w:rsidR="000D20BC">
        <w:rPr>
          <w:bCs/>
        </w:rPr>
        <w:t xml:space="preserve"> característica</w:t>
      </w:r>
      <w:r w:rsidR="00912C69">
        <w:rPr>
          <w:bCs/>
        </w:rPr>
        <w:t xml:space="preserve"> (</w:t>
      </w:r>
      <w:r w:rsidR="00912C69" w:rsidRPr="000D20BC">
        <w:rPr>
          <w:bCs/>
          <w:i/>
        </w:rPr>
        <w:t>“feature”</w:t>
      </w:r>
      <w:r w:rsidR="00912C69" w:rsidRPr="00912C69">
        <w:rPr>
          <w:bCs/>
        </w:rPr>
        <w:t>)</w:t>
      </w:r>
      <w:r w:rsidR="00912C69">
        <w:rPr>
          <w:bCs/>
        </w:rPr>
        <w:t>,</w:t>
      </w:r>
      <w:r w:rsidR="00BA26AD">
        <w:rPr>
          <w:bCs/>
        </w:rPr>
        <w:t xml:space="preserve"> </w:t>
      </w:r>
      <w:r w:rsidR="005B2B1D">
        <w:rPr>
          <w:bCs/>
        </w:rPr>
        <w:t>mismo en el cual se señala q</w:t>
      </w:r>
      <w:r w:rsidR="00BA26AD">
        <w:rPr>
          <w:bCs/>
        </w:rPr>
        <w:t>ue el equipo terminal deberá realizar con éxito el procedimiento de actualización de ubicaci</w:t>
      </w:r>
      <w:r w:rsidR="00D7547D">
        <w:rPr>
          <w:bCs/>
        </w:rPr>
        <w:t>ón en otra área de servicio de la misma red</w:t>
      </w:r>
      <w:r w:rsidR="00BA26AD">
        <w:rPr>
          <w:bCs/>
        </w:rPr>
        <w:t xml:space="preserve"> </w:t>
      </w:r>
      <w:r w:rsidR="00A37D5D">
        <w:rPr>
          <w:bCs/>
        </w:rPr>
        <w:t xml:space="preserve">móvil </w:t>
      </w:r>
      <w:r w:rsidR="00BA26AD">
        <w:rPr>
          <w:bCs/>
        </w:rPr>
        <w:t>después de que éste fuera rechazado con la causa #12 (“</w:t>
      </w:r>
      <w:r w:rsidR="00BA26AD" w:rsidRPr="00BA26AD">
        <w:rPr>
          <w:bCs/>
          <w:i/>
        </w:rPr>
        <w:t>Reject Cause Code #12</w:t>
      </w:r>
      <w:r w:rsidR="00BA26AD">
        <w:rPr>
          <w:bCs/>
        </w:rPr>
        <w:t>”).</w:t>
      </w:r>
      <w:r w:rsidR="00A37D5D">
        <w:rPr>
          <w:bCs/>
        </w:rPr>
        <w:t xml:space="preserve"> </w:t>
      </w:r>
    </w:p>
    <w:p w14:paraId="664B6973" w14:textId="77777777" w:rsidR="009065BD" w:rsidRDefault="009065BD" w:rsidP="00151B3B">
      <w:pPr>
        <w:pStyle w:val="IFT1"/>
        <w:tabs>
          <w:tab w:val="left" w:pos="426"/>
        </w:tabs>
        <w:spacing w:after="0"/>
        <w:rPr>
          <w:bCs/>
        </w:rPr>
      </w:pPr>
    </w:p>
    <w:p w14:paraId="45A646F2" w14:textId="705A47D3" w:rsidR="00254EE8" w:rsidRDefault="009065BD" w:rsidP="00151B3B">
      <w:pPr>
        <w:pStyle w:val="IFT1"/>
        <w:tabs>
          <w:tab w:val="left" w:pos="426"/>
        </w:tabs>
        <w:spacing w:after="0"/>
        <w:rPr>
          <w:bCs/>
        </w:rPr>
      </w:pPr>
      <w:r>
        <w:rPr>
          <w:bCs/>
        </w:rPr>
        <w:t>Asimismo, se señala que el</w:t>
      </w:r>
      <w:r w:rsidRPr="00E85503">
        <w:rPr>
          <w:bCs/>
        </w:rPr>
        <w:t xml:space="preserve"> estándar TS 24.008</w:t>
      </w:r>
      <w:r>
        <w:rPr>
          <w:bCs/>
        </w:rPr>
        <w:t xml:space="preserve"> de la 3GPP</w:t>
      </w:r>
      <w:r w:rsidRPr="00E85503">
        <w:rPr>
          <w:bCs/>
        </w:rPr>
        <w:t>,</w:t>
      </w:r>
      <w:r>
        <w:rPr>
          <w:bCs/>
        </w:rPr>
        <w:t xml:space="preserve"> señala que la </w:t>
      </w:r>
      <w:r w:rsidRPr="00DA2E38">
        <w:rPr>
          <w:bCs/>
        </w:rPr>
        <w:t xml:space="preserve">causa de rechazo </w:t>
      </w:r>
      <w:r>
        <w:rPr>
          <w:bCs/>
        </w:rPr>
        <w:t xml:space="preserve">de servicio #12 </w:t>
      </w:r>
      <w:r w:rsidRPr="00DA2E38">
        <w:rPr>
          <w:bCs/>
        </w:rPr>
        <w:t>es usada cuando un equipo</w:t>
      </w:r>
      <w:r w:rsidRPr="00E85503">
        <w:rPr>
          <w:bCs/>
        </w:rPr>
        <w:t xml:space="preserve"> terminal no tiene permitido registrarse en una determinada área de servicio debido a que, por suscripción,</w:t>
      </w:r>
      <w:r w:rsidRPr="00E85503">
        <w:rPr>
          <w:b/>
          <w:bCs/>
        </w:rPr>
        <w:t xml:space="preserve"> </w:t>
      </w:r>
      <w:r w:rsidRPr="00E85503">
        <w:rPr>
          <w:bCs/>
        </w:rPr>
        <w:t xml:space="preserve">no cuenta con el servicio de </w:t>
      </w:r>
      <w:r w:rsidRPr="00E85503">
        <w:rPr>
          <w:bCs/>
          <w:i/>
        </w:rPr>
        <w:t>roaming</w:t>
      </w:r>
      <w:r>
        <w:rPr>
          <w:bCs/>
          <w:i/>
        </w:rPr>
        <w:t xml:space="preserve">, </w:t>
      </w:r>
      <w:r w:rsidRPr="009065BD">
        <w:rPr>
          <w:bCs/>
        </w:rPr>
        <w:t>mientras</w:t>
      </w:r>
      <w:r>
        <w:rPr>
          <w:bCs/>
        </w:rPr>
        <w:t xml:space="preserve"> que el</w:t>
      </w:r>
      <w:r w:rsidRPr="00E85503">
        <w:rPr>
          <w:bCs/>
        </w:rPr>
        <w:t xml:space="preserve"> “Rechazo de servicio #13” es usado cuando un equipo terminal cuenta con el servicio de </w:t>
      </w:r>
      <w:r w:rsidRPr="00E85503">
        <w:rPr>
          <w:bCs/>
          <w:i/>
        </w:rPr>
        <w:t>roaming</w:t>
      </w:r>
      <w:r w:rsidRPr="00E85503">
        <w:rPr>
          <w:bCs/>
        </w:rPr>
        <w:t xml:space="preserve"> pero no en el área de servicio en la cual intenta registrarse</w:t>
      </w:r>
      <w:r w:rsidR="00704477">
        <w:rPr>
          <w:bCs/>
        </w:rPr>
        <w:t xml:space="preserve">, es decir, </w:t>
      </w:r>
      <w:r w:rsidRPr="00E85503">
        <w:rPr>
          <w:bCs/>
        </w:rPr>
        <w:t xml:space="preserve">contemplan diferentes escenarios </w:t>
      </w:r>
      <w:r>
        <w:rPr>
          <w:bCs/>
        </w:rPr>
        <w:t xml:space="preserve">aplicables para la prestación del servicio </w:t>
      </w:r>
      <w:r w:rsidR="00704477">
        <w:rPr>
          <w:bCs/>
        </w:rPr>
        <w:t>de usuario Visitante</w:t>
      </w:r>
      <w:r w:rsidRPr="00E85503">
        <w:rPr>
          <w:bCs/>
        </w:rPr>
        <w:t xml:space="preserve">, </w:t>
      </w:r>
      <w:r w:rsidR="00704477">
        <w:rPr>
          <w:bCs/>
        </w:rPr>
        <w:t xml:space="preserve">por lo cual </w:t>
      </w:r>
      <w:r w:rsidR="00D3241E">
        <w:rPr>
          <w:bCs/>
        </w:rPr>
        <w:t>Oferta se mantiene en sus términos.</w:t>
      </w:r>
    </w:p>
    <w:p w14:paraId="20C2C8BD" w14:textId="2700CB6F" w:rsidR="00C50554" w:rsidRDefault="00C50554" w:rsidP="00151B3B">
      <w:pPr>
        <w:pStyle w:val="IFT1"/>
        <w:tabs>
          <w:tab w:val="left" w:pos="426"/>
        </w:tabs>
        <w:spacing w:after="0"/>
        <w:rPr>
          <w:bCs/>
        </w:rPr>
      </w:pPr>
    </w:p>
    <w:p w14:paraId="73F0502A" w14:textId="77777777" w:rsidR="00C50554" w:rsidRPr="00C50554" w:rsidRDefault="00C50554" w:rsidP="00C50554">
      <w:pPr>
        <w:spacing w:after="0" w:line="276" w:lineRule="auto"/>
        <w:ind w:left="-5" w:right="49"/>
        <w:rPr>
          <w:rFonts w:ascii="ITC Avant Garde" w:hAnsi="ITC Avant Garde"/>
          <w:b/>
          <w:color w:val="auto"/>
        </w:rPr>
      </w:pPr>
      <w:r w:rsidRPr="00C50554">
        <w:rPr>
          <w:rFonts w:ascii="ITC Avant Garde" w:hAnsi="ITC Avant Garde"/>
          <w:b/>
          <w:color w:val="auto"/>
        </w:rPr>
        <w:t>ANEXO VI Calidad del Servicio</w:t>
      </w:r>
    </w:p>
    <w:p w14:paraId="6D38DB45" w14:textId="77777777" w:rsidR="00C50554" w:rsidRPr="001C4228" w:rsidRDefault="00C50554" w:rsidP="00C50554">
      <w:pPr>
        <w:spacing w:after="0" w:line="276" w:lineRule="auto"/>
        <w:ind w:left="-5" w:right="49"/>
        <w:rPr>
          <w:rFonts w:ascii="ITC Avant Garde" w:hAnsi="ITC Avant Garde"/>
          <w:b/>
          <w:color w:val="auto"/>
          <w:u w:val="single"/>
        </w:rPr>
      </w:pPr>
      <w:r w:rsidRPr="001C4228">
        <w:rPr>
          <w:rFonts w:ascii="ITC Avant Garde" w:hAnsi="ITC Avant Garde"/>
          <w:b/>
          <w:color w:val="auto"/>
          <w:u w:val="single"/>
        </w:rPr>
        <w:t>3. Proyecciones de Demanda y sus implicaciones en la Calidad del Servicio</w:t>
      </w:r>
    </w:p>
    <w:p w14:paraId="429D472B" w14:textId="77777777" w:rsidR="00C50554" w:rsidRPr="00C50554" w:rsidRDefault="00C50554" w:rsidP="00C50554">
      <w:pPr>
        <w:spacing w:after="0" w:line="276" w:lineRule="auto"/>
        <w:ind w:left="0" w:right="0" w:firstLine="0"/>
        <w:rPr>
          <w:rFonts w:ascii="ITC Avant Garde" w:hAnsi="ITC Avant Garde"/>
          <w:b/>
          <w:color w:val="auto"/>
        </w:rPr>
      </w:pPr>
      <w:r w:rsidRPr="00C50554">
        <w:rPr>
          <w:rFonts w:ascii="ITC Avant Garde" w:hAnsi="ITC Avant Garde"/>
          <w:b/>
          <w:color w:val="auto"/>
        </w:rPr>
        <w:t>Altán:</w:t>
      </w:r>
    </w:p>
    <w:p w14:paraId="26C00228" w14:textId="77777777" w:rsidR="00C50554" w:rsidRPr="00C50554" w:rsidRDefault="00C50554" w:rsidP="00C50554">
      <w:pPr>
        <w:spacing w:after="0" w:line="276" w:lineRule="auto"/>
        <w:ind w:right="0"/>
        <w:rPr>
          <w:rFonts w:ascii="ITC Avant Garde" w:hAnsi="ITC Avant Garde"/>
          <w:color w:val="auto"/>
        </w:rPr>
      </w:pPr>
      <w:r w:rsidRPr="00C50554">
        <w:rPr>
          <w:rFonts w:ascii="ITC Avant Garde" w:hAnsi="ITC Avant Garde"/>
          <w:color w:val="auto"/>
        </w:rPr>
        <w:t>Señala que se debe mantener holgura en el grado de precisión requerido en las estimaciones o proyecciones de consumo futuros, dado que la demanda es incierta ya que depende del éxito comercial del operador. También indica que por ninguna circunstancia se debe castigar a los operadores competidores del AEP por un éxito comercial mayor al proyectado, por lo que solicita eliminar cualquier penalización por supuestos daños y perjuicios derivados de un mayor consumo de los servicios de la Oferta.</w:t>
      </w:r>
    </w:p>
    <w:p w14:paraId="2F1F8196" w14:textId="77777777" w:rsidR="00C50554" w:rsidRDefault="00C50554" w:rsidP="00C50554">
      <w:pPr>
        <w:spacing w:after="0" w:line="276" w:lineRule="auto"/>
        <w:ind w:right="0"/>
        <w:rPr>
          <w:rFonts w:ascii="ITC Avant Garde" w:hAnsi="ITC Avant Garde"/>
          <w:color w:val="auto"/>
        </w:rPr>
      </w:pPr>
    </w:p>
    <w:p w14:paraId="66BB3527" w14:textId="77777777" w:rsidR="00C50554" w:rsidRDefault="00C50554" w:rsidP="00C50554">
      <w:pPr>
        <w:spacing w:after="0" w:line="276" w:lineRule="auto"/>
        <w:ind w:left="0" w:right="0" w:firstLine="0"/>
        <w:rPr>
          <w:rFonts w:ascii="ITC Avant Garde" w:hAnsi="ITC Avant Garde"/>
          <w:b/>
          <w:color w:val="auto"/>
        </w:rPr>
      </w:pPr>
      <w:r w:rsidRPr="0027358A">
        <w:rPr>
          <w:rFonts w:ascii="ITC Avant Garde" w:hAnsi="ITC Avant Garde"/>
          <w:b/>
          <w:color w:val="auto"/>
        </w:rPr>
        <w:t>Consideraciones del Instituto:</w:t>
      </w:r>
    </w:p>
    <w:p w14:paraId="36F2F4F5" w14:textId="77777777" w:rsidR="00C50554" w:rsidRDefault="00C50554" w:rsidP="00C50554">
      <w:pPr>
        <w:spacing w:after="0" w:line="276" w:lineRule="auto"/>
        <w:ind w:left="-5" w:right="49"/>
        <w:rPr>
          <w:rFonts w:ascii="ITC Avant Garde" w:hAnsi="ITC Avant Garde"/>
          <w:color w:val="auto"/>
        </w:rPr>
      </w:pPr>
      <w:r w:rsidRPr="00202EFC">
        <w:rPr>
          <w:rFonts w:ascii="ITC Avant Garde" w:hAnsi="ITC Avant Garde"/>
          <w:color w:val="auto"/>
        </w:rPr>
        <w:t>La Oferta ofrece holgura respecto a las proyecciones de tráfico</w:t>
      </w:r>
      <w:r>
        <w:rPr>
          <w:rFonts w:ascii="ITC Avant Garde" w:hAnsi="ITC Avant Garde"/>
          <w:color w:val="auto"/>
        </w:rPr>
        <w:t>, pues la cláusula 5.1.2</w:t>
      </w:r>
      <w:r w:rsidRPr="00202EFC">
        <w:rPr>
          <w:rFonts w:ascii="ITC Avant Garde" w:hAnsi="ITC Avant Garde"/>
          <w:color w:val="auto"/>
        </w:rPr>
        <w:t xml:space="preserve"> establece que las estimaciones podrán ser igual o mayor al 15% del tráfico total de Telcel por radiobase</w:t>
      </w:r>
      <w:r>
        <w:rPr>
          <w:rFonts w:ascii="ITC Avant Garde" w:hAnsi="ITC Avant Garde"/>
          <w:color w:val="auto"/>
        </w:rPr>
        <w:t>, tal como se muestra a continuación:</w:t>
      </w:r>
    </w:p>
    <w:p w14:paraId="21AC220A" w14:textId="77777777" w:rsidR="00C50554" w:rsidRDefault="00C50554" w:rsidP="00C50554">
      <w:pPr>
        <w:spacing w:after="0" w:line="276" w:lineRule="auto"/>
        <w:ind w:left="-5" w:right="49"/>
        <w:rPr>
          <w:rFonts w:ascii="ITC Avant Garde" w:hAnsi="ITC Avant Garde"/>
          <w:color w:val="auto"/>
        </w:rPr>
      </w:pPr>
    </w:p>
    <w:p w14:paraId="63A29499" w14:textId="77777777" w:rsidR="00C50554" w:rsidRDefault="00C50554" w:rsidP="00C50554">
      <w:pPr>
        <w:spacing w:after="0" w:line="276" w:lineRule="auto"/>
        <w:ind w:left="567"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r w:rsidRPr="00EB174E">
        <w:rPr>
          <w:rFonts w:ascii="ITC Avant Garde" w:eastAsia="Calibri" w:hAnsi="ITC Avant Garde" w:cs="Arial"/>
          <w:i/>
          <w:color w:val="auto"/>
          <w:sz w:val="18"/>
          <w:szCs w:val="18"/>
          <w:lang w:eastAsia="en-US"/>
        </w:rPr>
        <w:t xml:space="preserve">En la medida en que la demanda real de los Servicios de la Oferta utilizados por el Concesionario excedan las estimaciones a que se refiere el párrafo anterior, y </w:t>
      </w:r>
      <w:r w:rsidRPr="00EB174E">
        <w:rPr>
          <w:rFonts w:ascii="ITC Avant Garde" w:eastAsia="Calibri" w:hAnsi="ITC Avant Garde" w:cs="Arial"/>
          <w:i/>
          <w:color w:val="auto"/>
          <w:sz w:val="18"/>
          <w:szCs w:val="18"/>
          <w:u w:val="single"/>
          <w:lang w:eastAsia="en-US"/>
        </w:rPr>
        <w:t xml:space="preserve">sea igual o mayor al 15% (quince por ciento) del tráfico total de Telcel por radiobase, la calidad y la </w:t>
      </w:r>
      <w:r w:rsidRPr="00EB174E">
        <w:rPr>
          <w:rFonts w:ascii="ITC Avant Garde" w:eastAsia="Calibri" w:hAnsi="ITC Avant Garde" w:cs="Arial"/>
          <w:i/>
          <w:color w:val="auto"/>
          <w:sz w:val="18"/>
          <w:szCs w:val="18"/>
          <w:u w:val="single"/>
          <w:lang w:eastAsia="en-US"/>
        </w:rPr>
        <w:lastRenderedPageBreak/>
        <w:t>cobertura podría verse afectada</w:t>
      </w:r>
      <w:r w:rsidRPr="00EB174E">
        <w:rPr>
          <w:rFonts w:ascii="ITC Avant Garde" w:eastAsia="Calibri" w:hAnsi="ITC Avant Garde" w:cs="Arial"/>
          <w:i/>
          <w:color w:val="auto"/>
          <w:sz w:val="18"/>
          <w:szCs w:val="18"/>
          <w:lang w:eastAsia="en-US"/>
        </w:rPr>
        <w:t>, e implicaría la realización de acciones inmediatas a fin de solucionar la afectación de los Servicios de la Oferta, siempre y cuando dichas acciones no afecten de manera negativa la calidad del servicio de los Usuarios Finales del Concesionario en relación con los Usuarios finales de Telcel</w:t>
      </w:r>
      <w:r>
        <w:rPr>
          <w:rFonts w:ascii="ITC Avant Garde" w:eastAsia="Calibri" w:hAnsi="ITC Avant Garde" w:cs="Arial"/>
          <w:i/>
          <w:color w:val="auto"/>
          <w:sz w:val="18"/>
          <w:szCs w:val="18"/>
          <w:lang w:eastAsia="en-US"/>
        </w:rPr>
        <w:t>.”</w:t>
      </w:r>
    </w:p>
    <w:p w14:paraId="775C87BD" w14:textId="77777777" w:rsidR="00D8450B" w:rsidRDefault="00C50554" w:rsidP="00D8450B">
      <w:pPr>
        <w:spacing w:line="276" w:lineRule="auto"/>
        <w:ind w:left="567" w:right="615"/>
        <w:jc w:val="right"/>
        <w:rPr>
          <w:rFonts w:ascii="ITC Avant Garde" w:eastAsia="Calibri" w:hAnsi="ITC Avant Garde" w:cs="Arial"/>
          <w:sz w:val="18"/>
          <w:szCs w:val="18"/>
          <w:lang w:eastAsia="en-US"/>
        </w:rPr>
      </w:pPr>
      <w:r>
        <w:rPr>
          <w:rFonts w:ascii="ITC Avant Garde" w:eastAsia="Calibri" w:hAnsi="ITC Avant Garde" w:cs="Arial"/>
          <w:i/>
          <w:color w:val="auto"/>
          <w:sz w:val="18"/>
          <w:szCs w:val="18"/>
          <w:lang w:eastAsia="en-US"/>
        </w:rPr>
        <w:t xml:space="preserve"> </w:t>
      </w:r>
      <w:r w:rsidR="00D8450B" w:rsidRPr="002175CA">
        <w:rPr>
          <w:rFonts w:ascii="ITC Avant Garde" w:eastAsia="Calibri" w:hAnsi="ITC Avant Garde" w:cs="Arial"/>
          <w:sz w:val="18"/>
          <w:szCs w:val="18"/>
          <w:lang w:eastAsia="en-US"/>
        </w:rPr>
        <w:t>Énfasis añadido</w:t>
      </w:r>
    </w:p>
    <w:p w14:paraId="6F2BAFE9" w14:textId="182C5243" w:rsidR="00C50554" w:rsidRPr="00EB174E" w:rsidRDefault="00C50554" w:rsidP="00C50554">
      <w:pPr>
        <w:spacing w:after="0" w:line="276" w:lineRule="auto"/>
        <w:ind w:left="567" w:right="615" w:firstLine="0"/>
        <w:jc w:val="right"/>
        <w:rPr>
          <w:rFonts w:ascii="ITC Avant Garde" w:eastAsia="Calibri" w:hAnsi="ITC Avant Garde" w:cs="Arial"/>
          <w:i/>
          <w:color w:val="auto"/>
          <w:sz w:val="18"/>
          <w:szCs w:val="18"/>
          <w:lang w:eastAsia="en-US"/>
        </w:rPr>
      </w:pPr>
    </w:p>
    <w:p w14:paraId="7A0860EC" w14:textId="77777777" w:rsidR="00C50554" w:rsidRDefault="00C50554" w:rsidP="00C50554">
      <w:pPr>
        <w:spacing w:after="0" w:line="276" w:lineRule="auto"/>
        <w:ind w:left="-5" w:right="49"/>
        <w:rPr>
          <w:rFonts w:ascii="ITC Avant Garde" w:hAnsi="ITC Avant Garde"/>
          <w:color w:val="auto"/>
        </w:rPr>
      </w:pPr>
    </w:p>
    <w:p w14:paraId="2E7B3180" w14:textId="77777777" w:rsidR="00C50554" w:rsidRDefault="00C50554" w:rsidP="00C50554">
      <w:pPr>
        <w:spacing w:after="0" w:line="276" w:lineRule="auto"/>
        <w:ind w:left="-5" w:right="49"/>
        <w:rPr>
          <w:rFonts w:ascii="ITC Avant Garde" w:hAnsi="ITC Avant Garde"/>
          <w:color w:val="auto"/>
        </w:rPr>
      </w:pPr>
      <w:r>
        <w:rPr>
          <w:rFonts w:ascii="ITC Avant Garde" w:hAnsi="ITC Avant Garde"/>
          <w:color w:val="auto"/>
        </w:rPr>
        <w:t>Asimismo</w:t>
      </w:r>
      <w:r w:rsidRPr="003E1D25">
        <w:rPr>
          <w:rFonts w:ascii="ITC Avant Garde" w:hAnsi="ITC Avant Garde"/>
          <w:color w:val="auto"/>
        </w:rPr>
        <w:t>, los pronósticos de demanda de servicio son fundamentales para el correcto dimensionamiento de la red</w:t>
      </w:r>
      <w:r>
        <w:rPr>
          <w:rFonts w:ascii="ITC Avant Garde" w:hAnsi="ITC Avant Garde"/>
          <w:color w:val="auto"/>
        </w:rPr>
        <w:t>, tal como establece la Medida Vigésima Novena de las Medidas Móviles:</w:t>
      </w:r>
    </w:p>
    <w:p w14:paraId="4726C767" w14:textId="77777777" w:rsidR="00C50554" w:rsidRDefault="00C50554" w:rsidP="00C50554">
      <w:pPr>
        <w:spacing w:after="0" w:line="276" w:lineRule="auto"/>
        <w:ind w:left="-5" w:right="49"/>
        <w:rPr>
          <w:rFonts w:ascii="ITC Avant Garde" w:hAnsi="ITC Avant Garde"/>
          <w:color w:val="auto"/>
        </w:rPr>
      </w:pPr>
    </w:p>
    <w:p w14:paraId="35BC9455" w14:textId="77777777" w:rsidR="00C50554" w:rsidRDefault="00C50554" w:rsidP="00C50554">
      <w:pPr>
        <w:spacing w:after="0" w:line="276" w:lineRule="auto"/>
        <w:ind w:left="567"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r w:rsidRPr="00B27995">
        <w:rPr>
          <w:rFonts w:ascii="ITC Avant Garde" w:eastAsia="Calibri" w:hAnsi="ITC Avant Garde" w:cs="Arial"/>
          <w:i/>
          <w:color w:val="auto"/>
          <w:sz w:val="18"/>
          <w:szCs w:val="18"/>
          <w:lang w:eastAsia="en-US"/>
        </w:rPr>
        <w:t xml:space="preserve">VIGÉSIMA NOVENA .- </w:t>
      </w:r>
      <w:r w:rsidRPr="004703A6">
        <w:rPr>
          <w:rFonts w:ascii="ITC Avant Garde" w:eastAsia="Calibri" w:hAnsi="ITC Avant Garde" w:cs="Arial"/>
          <w:i/>
          <w:color w:val="auto"/>
          <w:sz w:val="18"/>
          <w:szCs w:val="18"/>
          <w:u w:val="single"/>
          <w:lang w:eastAsia="en-US"/>
        </w:rPr>
        <w:t>El Agente Económico Preponderante podrá requerir a los Concesionarios Solicitantes o a los Operadores Móviles Virtuales, información referente a las proyecciones de demanda del Servicio Mayorista de Usuario Visitante y de la reventa o comercialización del servicio; dichas proyecciones deberán ser suficientemente detalladas de manera que permitan la adecuada planeación de la red pública de telecomunicaciones</w:t>
      </w:r>
      <w:r w:rsidRPr="00B27995">
        <w:rPr>
          <w:rFonts w:ascii="ITC Avant Garde" w:eastAsia="Calibri" w:hAnsi="ITC Avant Garde" w:cs="Arial"/>
          <w:i/>
          <w:color w:val="auto"/>
          <w:sz w:val="18"/>
          <w:szCs w:val="18"/>
          <w:lang w:eastAsia="en-US"/>
        </w:rPr>
        <w:t>; el Agente Económico Preponderante incluirá como parte de la Oferta de Referencia los formatos para la entrega de las proyecciones de demanda que estime convenientes.</w:t>
      </w:r>
    </w:p>
    <w:p w14:paraId="15DE1896" w14:textId="77777777" w:rsidR="00C50554" w:rsidRDefault="00C50554" w:rsidP="00C50554">
      <w:pPr>
        <w:spacing w:after="0" w:line="276" w:lineRule="auto"/>
        <w:ind w:left="567"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p>
    <w:p w14:paraId="363C3DA8" w14:textId="77777777" w:rsidR="00D8450B" w:rsidRDefault="00D8450B" w:rsidP="00D8450B">
      <w:pPr>
        <w:spacing w:line="276" w:lineRule="auto"/>
        <w:ind w:left="567" w:right="615"/>
        <w:jc w:val="right"/>
        <w:rPr>
          <w:rFonts w:ascii="ITC Avant Garde" w:eastAsia="Calibri" w:hAnsi="ITC Avant Garde" w:cs="Arial"/>
          <w:sz w:val="18"/>
          <w:szCs w:val="18"/>
          <w:lang w:eastAsia="en-US"/>
        </w:rPr>
      </w:pPr>
      <w:r w:rsidRPr="002175CA">
        <w:rPr>
          <w:rFonts w:ascii="ITC Avant Garde" w:eastAsia="Calibri" w:hAnsi="ITC Avant Garde" w:cs="Arial"/>
          <w:sz w:val="18"/>
          <w:szCs w:val="18"/>
          <w:lang w:eastAsia="en-US"/>
        </w:rPr>
        <w:t>Énfasis añadido</w:t>
      </w:r>
    </w:p>
    <w:p w14:paraId="3ED0BDF3" w14:textId="77777777" w:rsidR="00C50554" w:rsidRPr="00B27995" w:rsidRDefault="00C50554" w:rsidP="00C50554">
      <w:pPr>
        <w:spacing w:after="0" w:line="276" w:lineRule="auto"/>
        <w:ind w:left="567" w:right="615" w:firstLine="0"/>
        <w:jc w:val="right"/>
        <w:rPr>
          <w:rFonts w:ascii="ITC Avant Garde" w:eastAsia="Calibri" w:hAnsi="ITC Avant Garde" w:cs="Arial"/>
          <w:i/>
          <w:color w:val="auto"/>
          <w:sz w:val="18"/>
          <w:szCs w:val="18"/>
          <w:lang w:eastAsia="en-US"/>
        </w:rPr>
      </w:pPr>
    </w:p>
    <w:p w14:paraId="6913F103" w14:textId="77777777" w:rsidR="00C50554" w:rsidRDefault="00C50554" w:rsidP="00C50554">
      <w:pPr>
        <w:spacing w:after="0" w:line="276" w:lineRule="auto"/>
        <w:ind w:left="-5" w:right="49"/>
        <w:rPr>
          <w:rFonts w:ascii="ITC Avant Garde" w:hAnsi="ITC Avant Garde"/>
          <w:color w:val="auto"/>
        </w:rPr>
      </w:pPr>
      <w:r>
        <w:rPr>
          <w:rFonts w:ascii="ITC Avant Garde" w:hAnsi="ITC Avant Garde"/>
          <w:color w:val="auto"/>
        </w:rPr>
        <w:t>Por lo anterior, la Oferta se mantiene en sus términos.</w:t>
      </w:r>
    </w:p>
    <w:p w14:paraId="64891E3D" w14:textId="075D5A1F" w:rsidR="00C50554" w:rsidRDefault="00C50554" w:rsidP="00151B3B">
      <w:pPr>
        <w:pStyle w:val="IFT1"/>
        <w:tabs>
          <w:tab w:val="left" w:pos="426"/>
        </w:tabs>
        <w:spacing w:after="0"/>
        <w:rPr>
          <w:bCs/>
        </w:rPr>
      </w:pPr>
    </w:p>
    <w:p w14:paraId="45E7A227" w14:textId="77777777" w:rsidR="00867D37" w:rsidRPr="006E30E6" w:rsidRDefault="00867D37" w:rsidP="00867D37">
      <w:pPr>
        <w:spacing w:after="0" w:line="276" w:lineRule="auto"/>
        <w:ind w:left="-5" w:right="49"/>
        <w:rPr>
          <w:rFonts w:ascii="ITC Avant Garde" w:hAnsi="ITC Avant Garde"/>
          <w:b/>
          <w:color w:val="auto"/>
          <w:u w:val="single"/>
        </w:rPr>
      </w:pPr>
      <w:r w:rsidRPr="006E30E6">
        <w:rPr>
          <w:rFonts w:ascii="ITC Avant Garde" w:hAnsi="ITC Avant Garde"/>
          <w:b/>
          <w:color w:val="auto"/>
          <w:u w:val="single"/>
        </w:rPr>
        <w:t>4. Calidad de los elementos solicitados por el Concesionario a Telcel para el acceso a los Servicios de la Oferta.</w:t>
      </w:r>
    </w:p>
    <w:p w14:paraId="6244796C" w14:textId="54114F57" w:rsidR="00867D37" w:rsidRDefault="00867D37" w:rsidP="00867D37">
      <w:pPr>
        <w:spacing w:after="0" w:line="276" w:lineRule="auto"/>
        <w:ind w:left="0" w:right="0" w:firstLine="0"/>
        <w:rPr>
          <w:rFonts w:ascii="ITC Avant Garde" w:hAnsi="ITC Avant Garde"/>
          <w:b/>
          <w:color w:val="auto"/>
        </w:rPr>
      </w:pPr>
      <w:r w:rsidRPr="006E30E6">
        <w:rPr>
          <w:rFonts w:ascii="ITC Avant Garde" w:hAnsi="ITC Avant Garde"/>
          <w:b/>
          <w:color w:val="auto"/>
        </w:rPr>
        <w:t>Televisa</w:t>
      </w:r>
      <w:r w:rsidR="00C03880">
        <w:rPr>
          <w:rFonts w:ascii="ITC Avant Garde" w:hAnsi="ITC Avant Garde"/>
          <w:b/>
          <w:color w:val="auto"/>
        </w:rPr>
        <w:t>, CANIETI</w:t>
      </w:r>
      <w:r w:rsidRPr="006E30E6">
        <w:rPr>
          <w:rFonts w:ascii="ITC Avant Garde" w:hAnsi="ITC Avant Garde"/>
          <w:b/>
          <w:color w:val="auto"/>
        </w:rPr>
        <w:t>:</w:t>
      </w:r>
    </w:p>
    <w:p w14:paraId="60368BB2" w14:textId="595BAAA0" w:rsidR="00C03880" w:rsidRDefault="0092736B" w:rsidP="0092736B">
      <w:pPr>
        <w:spacing w:after="0" w:line="276" w:lineRule="auto"/>
        <w:ind w:right="0"/>
        <w:rPr>
          <w:rFonts w:ascii="ITC Avant Garde" w:hAnsi="ITC Avant Garde"/>
          <w:color w:val="auto"/>
        </w:rPr>
      </w:pPr>
      <w:r w:rsidRPr="00B95892">
        <w:rPr>
          <w:rFonts w:ascii="ITC Avant Garde" w:hAnsi="ITC Avant Garde"/>
          <w:color w:val="auto"/>
        </w:rPr>
        <w:t>Señala</w:t>
      </w:r>
      <w:r w:rsidR="00C03880">
        <w:rPr>
          <w:rFonts w:ascii="ITC Avant Garde" w:hAnsi="ITC Avant Garde"/>
          <w:color w:val="auto"/>
        </w:rPr>
        <w:t>n</w:t>
      </w:r>
      <w:r w:rsidRPr="00B95892">
        <w:rPr>
          <w:rFonts w:ascii="ITC Avant Garde" w:hAnsi="ITC Avant Garde"/>
          <w:color w:val="auto"/>
        </w:rPr>
        <w:t xml:space="preserve"> que se debe incluir en la Oferta los niveles necesarios para garantizar la calidad de los servicios, así como las penalidades correspondientes por su incumplimiento. </w:t>
      </w:r>
    </w:p>
    <w:p w14:paraId="5D5C1A29" w14:textId="77777777" w:rsidR="00C03880" w:rsidRDefault="00C03880" w:rsidP="0092736B">
      <w:pPr>
        <w:spacing w:after="0" w:line="276" w:lineRule="auto"/>
        <w:ind w:right="0"/>
        <w:rPr>
          <w:rFonts w:ascii="ITC Avant Garde" w:hAnsi="ITC Avant Garde"/>
          <w:color w:val="auto"/>
        </w:rPr>
      </w:pPr>
    </w:p>
    <w:p w14:paraId="6A999BF9" w14:textId="127FDA5B" w:rsidR="0092736B" w:rsidRDefault="0092736B" w:rsidP="0092736B">
      <w:pPr>
        <w:spacing w:after="0" w:line="276" w:lineRule="auto"/>
        <w:ind w:right="0"/>
        <w:rPr>
          <w:rFonts w:ascii="ITC Avant Garde" w:hAnsi="ITC Avant Garde"/>
          <w:color w:val="auto"/>
        </w:rPr>
      </w:pPr>
      <w:r w:rsidRPr="00B95892">
        <w:rPr>
          <w:rFonts w:ascii="ITC Avant Garde" w:hAnsi="ITC Avant Garde"/>
          <w:color w:val="auto"/>
        </w:rPr>
        <w:t>Asimismo,</w:t>
      </w:r>
      <w:r w:rsidR="00C03880">
        <w:rPr>
          <w:rFonts w:ascii="ITC Avant Garde" w:hAnsi="ITC Avant Garde"/>
          <w:color w:val="auto"/>
        </w:rPr>
        <w:t xml:space="preserve"> Televisa</w:t>
      </w:r>
      <w:r w:rsidRPr="00B95892">
        <w:rPr>
          <w:rFonts w:ascii="ITC Avant Garde" w:hAnsi="ITC Avant Garde"/>
          <w:color w:val="auto"/>
        </w:rPr>
        <w:t xml:space="preserve"> solicita que el Instituto verifique y audite los compromisos impuestos al AEP, así como el cumplimiento equitativo de los acuerdos de nivel de servicio tanto para los Concesionarios como internamente. Indica que el resultado del ejercicio de verificación y auditoria debe ser la imposición de nuevas medidas y penalidades que lleven al cumplimiento efectivo de las medidas de equivalencia.</w:t>
      </w:r>
    </w:p>
    <w:p w14:paraId="570D9EC8" w14:textId="495CC762" w:rsidR="00146AD2" w:rsidRDefault="00146AD2" w:rsidP="0092736B">
      <w:pPr>
        <w:spacing w:after="0" w:line="276" w:lineRule="auto"/>
        <w:ind w:right="0"/>
        <w:rPr>
          <w:rFonts w:ascii="ITC Avant Garde" w:hAnsi="ITC Avant Garde"/>
          <w:color w:val="auto"/>
        </w:rPr>
      </w:pPr>
    </w:p>
    <w:p w14:paraId="28B7397A" w14:textId="77777777" w:rsidR="00146AD2" w:rsidRPr="00820335" w:rsidRDefault="00146AD2" w:rsidP="00146AD2">
      <w:pPr>
        <w:spacing w:after="0" w:line="276" w:lineRule="auto"/>
        <w:ind w:left="0" w:right="0" w:firstLine="0"/>
        <w:rPr>
          <w:rFonts w:ascii="ITC Avant Garde" w:hAnsi="ITC Avant Garde"/>
          <w:b/>
          <w:color w:val="auto"/>
        </w:rPr>
      </w:pPr>
      <w:r>
        <w:rPr>
          <w:rFonts w:ascii="ITC Avant Garde" w:hAnsi="ITC Avant Garde"/>
          <w:b/>
          <w:color w:val="auto"/>
        </w:rPr>
        <w:t>Consideraciones del Instituto:</w:t>
      </w:r>
    </w:p>
    <w:p w14:paraId="23474DC2" w14:textId="2B221FF6" w:rsidR="00146AD2" w:rsidRDefault="00146AD2" w:rsidP="0050529A">
      <w:pPr>
        <w:spacing w:after="0" w:line="276" w:lineRule="auto"/>
        <w:ind w:right="0"/>
        <w:rPr>
          <w:rFonts w:ascii="ITC Avant Garde" w:hAnsi="ITC Avant Garde"/>
          <w:color w:val="auto"/>
        </w:rPr>
      </w:pPr>
      <w:r w:rsidRPr="00820335">
        <w:rPr>
          <w:rFonts w:ascii="ITC Avant Garde" w:hAnsi="ITC Avant Garde"/>
          <w:color w:val="auto"/>
        </w:rPr>
        <w:t>Los indicadores de desempeño que debe</w:t>
      </w:r>
      <w:r>
        <w:rPr>
          <w:rFonts w:ascii="ITC Avant Garde" w:hAnsi="ITC Avant Garde"/>
          <w:color w:val="auto"/>
        </w:rPr>
        <w:t>n</w:t>
      </w:r>
      <w:r w:rsidRPr="00820335">
        <w:rPr>
          <w:rFonts w:ascii="ITC Avant Garde" w:hAnsi="ITC Avant Garde"/>
          <w:color w:val="auto"/>
        </w:rPr>
        <w:t xml:space="preserve"> reportar </w:t>
      </w:r>
      <w:r>
        <w:rPr>
          <w:rFonts w:ascii="ITC Avant Garde" w:hAnsi="ITC Avant Garde"/>
          <w:color w:val="auto"/>
        </w:rPr>
        <w:t>tanto el AEP como</w:t>
      </w:r>
      <w:r w:rsidRPr="00820335">
        <w:rPr>
          <w:rFonts w:ascii="ITC Avant Garde" w:hAnsi="ITC Avant Garde"/>
          <w:color w:val="auto"/>
        </w:rPr>
        <w:t xml:space="preserve"> todos los concesionarios se encuentran contenidos en los Lineamientos de Calidad Móviles, en el cual se especifican la proporción de llamadas caídas,</w:t>
      </w:r>
      <w:r>
        <w:rPr>
          <w:rFonts w:ascii="ITC Avant Garde" w:hAnsi="ITC Avant Garde"/>
          <w:color w:val="auto"/>
        </w:rPr>
        <w:t xml:space="preserve"> la</w:t>
      </w:r>
      <w:r w:rsidRPr="00820335">
        <w:rPr>
          <w:rFonts w:ascii="ITC Avant Garde" w:hAnsi="ITC Avant Garde"/>
          <w:color w:val="auto"/>
        </w:rPr>
        <w:t xml:space="preserve"> tasa de transmisión promedio de carga y descarga, así como la latencia</w:t>
      </w:r>
      <w:r w:rsidR="0050529A">
        <w:rPr>
          <w:rFonts w:ascii="ITC Avant Garde" w:hAnsi="ITC Avant Garde"/>
          <w:color w:val="auto"/>
        </w:rPr>
        <w:t>.</w:t>
      </w:r>
    </w:p>
    <w:p w14:paraId="5730E1A1" w14:textId="77777777" w:rsidR="0050529A" w:rsidRDefault="0050529A" w:rsidP="0050529A">
      <w:pPr>
        <w:spacing w:after="0" w:line="276" w:lineRule="auto"/>
        <w:ind w:right="0"/>
        <w:rPr>
          <w:rFonts w:ascii="ITC Avant Garde" w:hAnsi="ITC Avant Garde"/>
          <w:color w:val="auto"/>
        </w:rPr>
      </w:pPr>
    </w:p>
    <w:p w14:paraId="346C3355" w14:textId="6BCA5255" w:rsidR="00514928" w:rsidRPr="0050529A" w:rsidRDefault="00146AD2" w:rsidP="0050529A">
      <w:pPr>
        <w:spacing w:after="0" w:line="276" w:lineRule="auto"/>
        <w:ind w:right="0"/>
        <w:rPr>
          <w:rFonts w:ascii="ITC Avant Garde" w:hAnsi="ITC Avant Garde"/>
          <w:color w:val="auto"/>
        </w:rPr>
      </w:pPr>
      <w:r>
        <w:rPr>
          <w:rFonts w:ascii="ITC Avant Garde" w:hAnsi="ITC Avant Garde"/>
          <w:color w:val="auto"/>
        </w:rPr>
        <w:lastRenderedPageBreak/>
        <w:t>Además</w:t>
      </w:r>
      <w:r w:rsidRPr="0020547F">
        <w:rPr>
          <w:rFonts w:ascii="ITC Avant Garde" w:hAnsi="ITC Avant Garde"/>
          <w:color w:val="auto"/>
        </w:rPr>
        <w:t>, la obligación de entregar los contadores de desempeño son para todos los concesionarios que cuentan con sistemas de gestión y que generen los mismos</w:t>
      </w:r>
      <w:r w:rsidR="0050529A">
        <w:rPr>
          <w:rFonts w:ascii="ITC Avant Garde" w:hAnsi="ITC Avant Garde"/>
          <w:color w:val="auto"/>
        </w:rPr>
        <w:t xml:space="preserve">, por lo que, </w:t>
      </w:r>
      <w:r w:rsidR="0050529A" w:rsidRPr="0050529A">
        <w:rPr>
          <w:rFonts w:ascii="ITC Avant Garde" w:hAnsi="ITC Avant Garde"/>
          <w:color w:val="auto"/>
        </w:rPr>
        <w:t xml:space="preserve">dado que </w:t>
      </w:r>
      <w:r w:rsidR="0050529A">
        <w:rPr>
          <w:rFonts w:ascii="ITC Avant Garde" w:hAnsi="ITC Avant Garde"/>
          <w:color w:val="auto"/>
        </w:rPr>
        <w:t>los indicadores de calidad se encuentran considerados en una disposición de carácter general resulta innecesaria su reproducción en la Oferta.</w:t>
      </w:r>
    </w:p>
    <w:p w14:paraId="0E791DEE" w14:textId="556A7C8E" w:rsidR="005B5EB5" w:rsidRPr="0050529A" w:rsidRDefault="005B5EB5" w:rsidP="006136F4">
      <w:pPr>
        <w:spacing w:after="0" w:line="276" w:lineRule="auto"/>
        <w:ind w:right="0"/>
        <w:rPr>
          <w:rFonts w:ascii="ITC Avant Garde" w:hAnsi="ITC Avant Garde"/>
          <w:color w:val="auto"/>
        </w:rPr>
      </w:pPr>
    </w:p>
    <w:p w14:paraId="32234CFA" w14:textId="5A8E0463" w:rsidR="00AA3A87" w:rsidRDefault="00AA3A87" w:rsidP="00AA3A87">
      <w:pPr>
        <w:spacing w:after="0" w:line="276" w:lineRule="auto"/>
        <w:ind w:left="-5" w:right="49"/>
        <w:rPr>
          <w:rFonts w:ascii="ITC Avant Garde" w:hAnsi="ITC Avant Garde"/>
          <w:b/>
          <w:color w:val="auto"/>
        </w:rPr>
      </w:pPr>
      <w:r>
        <w:rPr>
          <w:rFonts w:ascii="ITC Avant Garde" w:hAnsi="ITC Avant Garde"/>
          <w:b/>
          <w:color w:val="auto"/>
        </w:rPr>
        <w:t>ANEXO IX Procedimiento de Solicitud de Servicios</w:t>
      </w:r>
    </w:p>
    <w:p w14:paraId="1092E5DE" w14:textId="1C6CA5DC" w:rsidR="004B504F" w:rsidRPr="005B36F9" w:rsidRDefault="004B504F" w:rsidP="004B504F">
      <w:pPr>
        <w:spacing w:after="0" w:line="276" w:lineRule="auto"/>
        <w:ind w:right="0"/>
        <w:rPr>
          <w:rFonts w:ascii="ITC Avant Garde" w:hAnsi="ITC Avant Garde"/>
          <w:b/>
          <w:color w:val="auto"/>
          <w:u w:val="single"/>
        </w:rPr>
      </w:pPr>
      <w:r>
        <w:rPr>
          <w:rFonts w:ascii="ITC Avant Garde" w:hAnsi="ITC Avant Garde"/>
          <w:b/>
          <w:color w:val="auto"/>
          <w:u w:val="single"/>
        </w:rPr>
        <w:t>3. P</w:t>
      </w:r>
      <w:r w:rsidRPr="004B504F">
        <w:rPr>
          <w:rFonts w:ascii="ITC Avant Garde" w:hAnsi="ITC Avant Garde"/>
          <w:b/>
          <w:color w:val="auto"/>
          <w:u w:val="single"/>
        </w:rPr>
        <w:t>rocedimiento y plazos para el Alta de LAC, RAC y TAC y para la entrega de los Servicios de la Oferta</w:t>
      </w:r>
    </w:p>
    <w:p w14:paraId="6E892680" w14:textId="7D5FFF03" w:rsidR="004B504F" w:rsidRDefault="004B504F" w:rsidP="004B504F">
      <w:pPr>
        <w:spacing w:after="0" w:line="276" w:lineRule="auto"/>
        <w:ind w:left="0" w:right="0" w:firstLine="0"/>
        <w:rPr>
          <w:rFonts w:ascii="ITC Avant Garde" w:hAnsi="ITC Avant Garde"/>
          <w:b/>
          <w:color w:val="auto"/>
        </w:rPr>
      </w:pPr>
      <w:r>
        <w:rPr>
          <w:rFonts w:ascii="ITC Avant Garde" w:hAnsi="ITC Avant Garde"/>
          <w:b/>
          <w:color w:val="auto"/>
        </w:rPr>
        <w:t>AT&amp;T</w:t>
      </w:r>
      <w:r w:rsidR="004106BA">
        <w:rPr>
          <w:rFonts w:ascii="ITC Avant Garde" w:hAnsi="ITC Avant Garde"/>
          <w:b/>
          <w:color w:val="auto"/>
        </w:rPr>
        <w:t>, CANIETI</w:t>
      </w:r>
      <w:r w:rsidRPr="00F071ED">
        <w:rPr>
          <w:rFonts w:ascii="ITC Avant Garde" w:hAnsi="ITC Avant Garde"/>
          <w:b/>
          <w:color w:val="auto"/>
        </w:rPr>
        <w:t>:</w:t>
      </w:r>
    </w:p>
    <w:p w14:paraId="2E303D8B" w14:textId="77777777" w:rsidR="004106BA" w:rsidRDefault="004106BA" w:rsidP="004106BA">
      <w:pPr>
        <w:spacing w:after="0" w:line="276" w:lineRule="auto"/>
        <w:ind w:left="-5" w:right="49"/>
        <w:rPr>
          <w:rFonts w:ascii="ITC Avant Garde" w:hAnsi="ITC Avant Garde"/>
          <w:color w:val="auto"/>
        </w:rPr>
      </w:pPr>
      <w:r w:rsidRPr="00F071ED">
        <w:rPr>
          <w:rFonts w:ascii="ITC Avant Garde" w:hAnsi="ITC Avant Garde"/>
          <w:color w:val="auto"/>
        </w:rPr>
        <w:t>Propone agregar el siguiente texto al numeral en cuestión:</w:t>
      </w:r>
    </w:p>
    <w:p w14:paraId="3BC1044C" w14:textId="1B91CDC8" w:rsidR="004B504F" w:rsidRDefault="004B504F" w:rsidP="004B504F">
      <w:pPr>
        <w:spacing w:after="0" w:line="276" w:lineRule="auto"/>
        <w:ind w:left="-5" w:right="49"/>
        <w:rPr>
          <w:rFonts w:ascii="ITC Avant Garde" w:hAnsi="ITC Avant Garde"/>
          <w:color w:val="auto"/>
        </w:rPr>
      </w:pPr>
    </w:p>
    <w:p w14:paraId="43903385" w14:textId="3EF78DD9" w:rsidR="000F2A96" w:rsidRPr="000F2A96" w:rsidRDefault="000F2A96" w:rsidP="000F2A96">
      <w:pPr>
        <w:spacing w:after="0" w:line="276" w:lineRule="auto"/>
        <w:ind w:left="567" w:right="615" w:firstLine="0"/>
        <w:rPr>
          <w:rFonts w:ascii="ITC Avant Garde" w:eastAsia="Calibri" w:hAnsi="ITC Avant Garde" w:cs="Arial"/>
          <w:i/>
          <w:color w:val="auto"/>
          <w:sz w:val="18"/>
          <w:szCs w:val="18"/>
          <w:lang w:eastAsia="en-US"/>
        </w:rPr>
      </w:pPr>
      <w:r w:rsidRPr="000F2A96">
        <w:rPr>
          <w:rFonts w:ascii="ITC Avant Garde" w:eastAsia="Calibri" w:hAnsi="ITC Avant Garde" w:cs="Arial"/>
          <w:i/>
          <w:color w:val="auto"/>
          <w:sz w:val="18"/>
          <w:szCs w:val="18"/>
          <w:lang w:eastAsia="en-US"/>
        </w:rPr>
        <w:t>"En caso de que Telcel indique que la partición solicitada por el Concesionario no es factible y la justificación y razones no sean a</w:t>
      </w:r>
      <w:r w:rsidR="004106BA">
        <w:rPr>
          <w:rFonts w:ascii="ITC Avant Garde" w:eastAsia="Calibri" w:hAnsi="ITC Avant Garde" w:cs="Arial"/>
          <w:i/>
          <w:color w:val="auto"/>
          <w:sz w:val="18"/>
          <w:szCs w:val="18"/>
          <w:lang w:eastAsia="en-US"/>
        </w:rPr>
        <w:t>ceptadas por el Concesionario, é</w:t>
      </w:r>
      <w:r w:rsidRPr="000F2A96">
        <w:rPr>
          <w:rFonts w:ascii="ITC Avant Garde" w:eastAsia="Calibri" w:hAnsi="ITC Avant Garde" w:cs="Arial"/>
          <w:i/>
          <w:color w:val="auto"/>
          <w:sz w:val="18"/>
          <w:szCs w:val="18"/>
          <w:lang w:eastAsia="en-US"/>
        </w:rPr>
        <w:t>ste podrá solicitar la intervención del Instituto para validar y, en su caso, modificar la decisión de Telcel en este segundo caso, se detendrá la ventanilla de modificaciones establecida por Telcel hasta que haya entregado la partición solicitada o definida por el Instituto".</w:t>
      </w:r>
    </w:p>
    <w:p w14:paraId="5340B5AF" w14:textId="5E94D923" w:rsidR="004B504F" w:rsidRDefault="004B504F" w:rsidP="00AA3A87">
      <w:pPr>
        <w:spacing w:after="0" w:line="276" w:lineRule="auto"/>
        <w:ind w:left="-5" w:right="49"/>
        <w:rPr>
          <w:rFonts w:ascii="ITC Avant Garde" w:hAnsi="ITC Avant Garde"/>
          <w:b/>
          <w:color w:val="auto"/>
        </w:rPr>
      </w:pPr>
    </w:p>
    <w:p w14:paraId="4FF606CA" w14:textId="41641CB7" w:rsidR="004106BA" w:rsidRDefault="004106BA" w:rsidP="004106BA">
      <w:pPr>
        <w:spacing w:after="0" w:line="276" w:lineRule="auto"/>
        <w:ind w:left="-5" w:right="49"/>
        <w:rPr>
          <w:rFonts w:ascii="ITC Avant Garde" w:hAnsi="ITC Avant Garde"/>
          <w:color w:val="auto"/>
        </w:rPr>
      </w:pPr>
      <w:r>
        <w:rPr>
          <w:rFonts w:ascii="ITC Avant Garde" w:hAnsi="ITC Avant Garde"/>
          <w:color w:val="auto"/>
        </w:rPr>
        <w:t xml:space="preserve">Asimismo, AT&amp;T refiere que los plazos para que los concesionarios y autorizados soliciten las particiones de áreas de servicio son arbitrariamente cortas y cualquier negativa impediría cumplir con los requerimientos de partición de los concesionarios. </w:t>
      </w:r>
    </w:p>
    <w:p w14:paraId="0F5AF679" w14:textId="77777777" w:rsidR="004106BA" w:rsidRDefault="004106BA" w:rsidP="00AA3A87">
      <w:pPr>
        <w:spacing w:after="0" w:line="276" w:lineRule="auto"/>
        <w:ind w:left="-5" w:right="49"/>
        <w:rPr>
          <w:rFonts w:ascii="ITC Avant Garde" w:hAnsi="ITC Avant Garde"/>
          <w:b/>
          <w:color w:val="auto"/>
        </w:rPr>
      </w:pPr>
    </w:p>
    <w:p w14:paraId="18F7BA1D" w14:textId="77777777" w:rsidR="00F071ED" w:rsidRDefault="00F071ED" w:rsidP="00F071ED">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72AB96BD" w14:textId="77777777" w:rsidR="00F071ED" w:rsidRDefault="00F071ED" w:rsidP="00F071ED">
      <w:pPr>
        <w:pStyle w:val="IFT1"/>
        <w:tabs>
          <w:tab w:val="left" w:pos="426"/>
        </w:tabs>
        <w:spacing w:after="0"/>
        <w:rPr>
          <w:bCs/>
        </w:rPr>
      </w:pPr>
      <w:r>
        <w:rPr>
          <w:bCs/>
        </w:rPr>
        <w:t>La medida Septuagésima tercera de las Medidas Móviles establece que el Instituto resolverá los desacuerdos que se susciten entre el AEP y el concesionario solicitante respecto a la prestación de los servicios objetos de las medidas, tal como se muestra a continuación:</w:t>
      </w:r>
    </w:p>
    <w:p w14:paraId="3BC2D74F" w14:textId="77777777" w:rsidR="00F071ED" w:rsidRDefault="00F071ED" w:rsidP="00F071ED">
      <w:pPr>
        <w:pStyle w:val="IFT1"/>
        <w:tabs>
          <w:tab w:val="left" w:pos="426"/>
        </w:tabs>
        <w:spacing w:after="0"/>
        <w:rPr>
          <w:bCs/>
        </w:rPr>
      </w:pPr>
    </w:p>
    <w:p w14:paraId="3CCAB4E9" w14:textId="77777777" w:rsidR="00F071ED" w:rsidRPr="00FD4EF6" w:rsidRDefault="00F071ED" w:rsidP="00F071ED">
      <w:pPr>
        <w:spacing w:after="0" w:line="276" w:lineRule="auto"/>
        <w:ind w:left="567"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r w:rsidRPr="00FD4EF6">
        <w:rPr>
          <w:rFonts w:ascii="ITC Avant Garde" w:eastAsia="Calibri" w:hAnsi="ITC Avant Garde" w:cs="Arial"/>
          <w:i/>
          <w:color w:val="auto"/>
          <w:sz w:val="18"/>
          <w:szCs w:val="18"/>
          <w:lang w:eastAsia="en-US"/>
        </w:rPr>
        <w:t>SEPTUAGÉSIMA TERCERA.- El Instituto resolverá los desacuerdos que se susciten entre el Agente Económico Preponderante y los Concesionarios Solicitan</w:t>
      </w:r>
      <w:r>
        <w:rPr>
          <w:rFonts w:ascii="ITC Avant Garde" w:eastAsia="Calibri" w:hAnsi="ITC Avant Garde" w:cs="Arial"/>
          <w:i/>
          <w:color w:val="auto"/>
          <w:sz w:val="18"/>
          <w:szCs w:val="18"/>
          <w:lang w:eastAsia="en-US"/>
        </w:rPr>
        <w:t xml:space="preserve">tes o entre el Agente Económico </w:t>
      </w:r>
      <w:r w:rsidRPr="00FD4EF6">
        <w:rPr>
          <w:rFonts w:ascii="ITC Avant Garde" w:eastAsia="Calibri" w:hAnsi="ITC Avant Garde" w:cs="Arial"/>
          <w:i/>
          <w:color w:val="auto"/>
          <w:sz w:val="18"/>
          <w:szCs w:val="18"/>
          <w:lang w:eastAsia="en-US"/>
        </w:rPr>
        <w:t>Preponderante con el Operador Móvil Virtual, sobre la prestación de los servicios objeto de las presentes medidas.</w:t>
      </w:r>
      <w:r>
        <w:rPr>
          <w:rFonts w:ascii="ITC Avant Garde" w:eastAsia="Calibri" w:hAnsi="ITC Avant Garde" w:cs="Arial"/>
          <w:i/>
          <w:color w:val="auto"/>
          <w:sz w:val="18"/>
          <w:szCs w:val="18"/>
          <w:lang w:eastAsia="en-US"/>
        </w:rPr>
        <w:t>”</w:t>
      </w:r>
    </w:p>
    <w:p w14:paraId="478B25DC" w14:textId="77777777" w:rsidR="00F071ED" w:rsidRDefault="00F071ED" w:rsidP="00F071ED">
      <w:pPr>
        <w:pStyle w:val="IFT1"/>
        <w:tabs>
          <w:tab w:val="left" w:pos="426"/>
        </w:tabs>
        <w:spacing w:after="0"/>
        <w:rPr>
          <w:bCs/>
        </w:rPr>
      </w:pPr>
    </w:p>
    <w:p w14:paraId="4038533F" w14:textId="323245D4" w:rsidR="00F071ED" w:rsidRPr="00694173" w:rsidRDefault="00F071ED" w:rsidP="00F071ED">
      <w:pPr>
        <w:pStyle w:val="IFT1"/>
        <w:tabs>
          <w:tab w:val="left" w:pos="426"/>
        </w:tabs>
        <w:spacing w:after="0"/>
        <w:rPr>
          <w:bCs/>
        </w:rPr>
      </w:pPr>
      <w:r>
        <w:rPr>
          <w:bCs/>
        </w:rPr>
        <w:t>Por lo anterior, en el numeral 2 del Subanexo C</w:t>
      </w:r>
      <w:r w:rsidRPr="00694173">
        <w:rPr>
          <w:bCs/>
        </w:rPr>
        <w:t xml:space="preserve"> se precisó que, en caso de desacuerdo, el Instituto resolverá los términos y condiciones </w:t>
      </w:r>
      <w:r>
        <w:rPr>
          <w:bCs/>
        </w:rPr>
        <w:t xml:space="preserve">para la prestación del servicio </w:t>
      </w:r>
      <w:r w:rsidRPr="00694173">
        <w:rPr>
          <w:bCs/>
        </w:rPr>
        <w:t>en los siguientes términos:</w:t>
      </w:r>
    </w:p>
    <w:p w14:paraId="4BDE680F" w14:textId="2259E43A" w:rsidR="00F071ED" w:rsidRDefault="0011414C" w:rsidP="0011414C">
      <w:pPr>
        <w:pStyle w:val="IFT1"/>
        <w:tabs>
          <w:tab w:val="left" w:pos="2415"/>
        </w:tabs>
        <w:spacing w:after="0"/>
        <w:rPr>
          <w:bCs/>
        </w:rPr>
      </w:pPr>
      <w:r>
        <w:rPr>
          <w:bCs/>
        </w:rPr>
        <w:tab/>
      </w:r>
    </w:p>
    <w:p w14:paraId="2E4AEEED" w14:textId="77777777" w:rsidR="00F071ED" w:rsidRPr="00030F3E" w:rsidRDefault="00F071ED" w:rsidP="00F071ED">
      <w:pPr>
        <w:spacing w:line="276" w:lineRule="auto"/>
        <w:ind w:left="567" w:right="615"/>
        <w:rPr>
          <w:rFonts w:ascii="ITC Avant Garde" w:eastAsia="Calibri" w:hAnsi="ITC Avant Garde" w:cs="Arial"/>
          <w:i/>
          <w:sz w:val="18"/>
          <w:szCs w:val="18"/>
          <w:lang w:eastAsia="en-US"/>
        </w:rPr>
      </w:pPr>
      <w:r w:rsidRPr="00030F3E">
        <w:rPr>
          <w:rFonts w:ascii="ITC Avant Garde" w:eastAsia="Calibri" w:hAnsi="ITC Avant Garde" w:cs="Arial"/>
          <w:i/>
          <w:sz w:val="18"/>
          <w:szCs w:val="18"/>
          <w:lang w:eastAsia="en-US"/>
        </w:rPr>
        <w:t>“2.</w:t>
      </w:r>
      <w:r>
        <w:rPr>
          <w:rFonts w:ascii="ITC Avant Garde" w:eastAsia="Calibri" w:hAnsi="ITC Avant Garde" w:cs="Arial"/>
          <w:i/>
          <w:sz w:val="18"/>
          <w:szCs w:val="18"/>
          <w:lang w:eastAsia="en-US"/>
        </w:rPr>
        <w:t xml:space="preserve"> </w:t>
      </w:r>
      <w:r w:rsidRPr="00030F3E">
        <w:rPr>
          <w:rFonts w:ascii="ITC Avant Garde" w:eastAsia="Calibri" w:hAnsi="ITC Avant Garde" w:cs="Arial"/>
          <w:i/>
          <w:sz w:val="18"/>
          <w:szCs w:val="18"/>
          <w:lang w:eastAsia="en-US"/>
        </w:rPr>
        <w:t>Mapas de Cobertura por Área de Servicio.</w:t>
      </w:r>
    </w:p>
    <w:p w14:paraId="0BBCCE05" w14:textId="77777777" w:rsidR="00F071ED" w:rsidRDefault="00F071ED" w:rsidP="00F071ED">
      <w:pPr>
        <w:spacing w:line="276" w:lineRule="auto"/>
        <w:ind w:left="567" w:right="615"/>
        <w:rPr>
          <w:rFonts w:ascii="ITC Avant Garde" w:eastAsia="Calibri" w:hAnsi="ITC Avant Garde" w:cs="Arial"/>
          <w:i/>
          <w:sz w:val="18"/>
          <w:szCs w:val="18"/>
          <w:lang w:eastAsia="en-US"/>
        </w:rPr>
      </w:pPr>
      <w:r>
        <w:rPr>
          <w:rFonts w:ascii="ITC Avant Garde" w:eastAsia="Calibri" w:hAnsi="ITC Avant Garde" w:cs="Arial"/>
          <w:i/>
          <w:sz w:val="18"/>
          <w:szCs w:val="18"/>
          <w:lang w:eastAsia="en-US"/>
        </w:rPr>
        <w:t>(…)</w:t>
      </w:r>
    </w:p>
    <w:p w14:paraId="65385A13" w14:textId="77777777" w:rsidR="00F071ED" w:rsidRDefault="00F071ED" w:rsidP="00F071ED">
      <w:pPr>
        <w:spacing w:line="276" w:lineRule="auto"/>
        <w:ind w:left="567" w:right="615"/>
        <w:rPr>
          <w:rFonts w:ascii="ITC Avant Garde" w:eastAsia="Calibri" w:hAnsi="ITC Avant Garde" w:cs="Arial"/>
          <w:i/>
          <w:sz w:val="18"/>
          <w:szCs w:val="18"/>
          <w:lang w:eastAsia="en-US"/>
        </w:rPr>
      </w:pPr>
      <w:r w:rsidRPr="00396404">
        <w:rPr>
          <w:rFonts w:ascii="ITC Avant Garde" w:eastAsia="Calibri" w:hAnsi="ITC Avant Garde" w:cs="Arial"/>
          <w:i/>
          <w:sz w:val="18"/>
          <w:szCs w:val="18"/>
          <w:u w:val="single"/>
          <w:lang w:eastAsia="en-US"/>
        </w:rPr>
        <w:t>En caso de no llegar a algún acuerdo sobre la prestación de los servicios cualquiera de las partes podrá solicitar al Instituto la resolución del desacuerdo conforme a lo establecido en la Medida Septuagésima Tercera de las Medidas</w:t>
      </w:r>
      <w:r w:rsidRPr="00396404">
        <w:rPr>
          <w:rFonts w:ascii="ITC Avant Garde" w:eastAsia="Calibri" w:hAnsi="ITC Avant Garde" w:cs="Arial"/>
          <w:i/>
          <w:sz w:val="18"/>
          <w:szCs w:val="18"/>
          <w:lang w:eastAsia="en-US"/>
        </w:rPr>
        <w:t>.</w:t>
      </w:r>
    </w:p>
    <w:p w14:paraId="3DE476F3" w14:textId="77777777" w:rsidR="00F071ED" w:rsidRPr="00030F3E" w:rsidRDefault="00F071ED" w:rsidP="00F071ED">
      <w:pPr>
        <w:spacing w:line="276" w:lineRule="auto"/>
        <w:ind w:left="567" w:right="615"/>
        <w:rPr>
          <w:rFonts w:ascii="ITC Avant Garde" w:eastAsia="Calibri" w:hAnsi="ITC Avant Garde" w:cs="Arial"/>
          <w:i/>
          <w:sz w:val="18"/>
          <w:szCs w:val="18"/>
          <w:lang w:eastAsia="en-US"/>
        </w:rPr>
      </w:pPr>
      <w:r w:rsidRPr="00030F3E">
        <w:rPr>
          <w:rFonts w:ascii="ITC Avant Garde" w:eastAsia="Calibri" w:hAnsi="ITC Avant Garde" w:cs="Arial"/>
          <w:i/>
          <w:sz w:val="18"/>
          <w:szCs w:val="18"/>
          <w:lang w:eastAsia="en-US"/>
        </w:rPr>
        <w:t>(…)”</w:t>
      </w:r>
    </w:p>
    <w:p w14:paraId="00B41F46" w14:textId="77777777" w:rsidR="00F071ED" w:rsidRDefault="00F071ED" w:rsidP="00F071ED">
      <w:pPr>
        <w:spacing w:line="276" w:lineRule="auto"/>
        <w:ind w:left="567" w:right="615"/>
        <w:jc w:val="right"/>
        <w:rPr>
          <w:rFonts w:ascii="ITC Avant Garde" w:eastAsia="Calibri" w:hAnsi="ITC Avant Garde" w:cs="Arial"/>
          <w:sz w:val="18"/>
          <w:szCs w:val="18"/>
          <w:lang w:eastAsia="en-US"/>
        </w:rPr>
      </w:pPr>
      <w:r w:rsidRPr="002175CA">
        <w:rPr>
          <w:rFonts w:ascii="ITC Avant Garde" w:eastAsia="Calibri" w:hAnsi="ITC Avant Garde" w:cs="Arial"/>
          <w:sz w:val="18"/>
          <w:szCs w:val="18"/>
          <w:lang w:eastAsia="en-US"/>
        </w:rPr>
        <w:t>Énfasis añadido</w:t>
      </w:r>
    </w:p>
    <w:p w14:paraId="4A117060" w14:textId="77777777" w:rsidR="000E014D" w:rsidRPr="005E5201" w:rsidRDefault="000E014D" w:rsidP="00AA3A87">
      <w:pPr>
        <w:spacing w:after="0" w:line="276" w:lineRule="auto"/>
        <w:ind w:left="-5" w:right="49"/>
        <w:rPr>
          <w:rFonts w:ascii="ITC Avant Garde" w:hAnsi="ITC Avant Garde"/>
          <w:b/>
          <w:color w:val="auto"/>
          <w:u w:val="single"/>
        </w:rPr>
      </w:pPr>
    </w:p>
    <w:p w14:paraId="0F4CEE63" w14:textId="6ADEF4E7" w:rsidR="00AA3A87" w:rsidRPr="005B36F9" w:rsidRDefault="00E82137" w:rsidP="00AA3A87">
      <w:pPr>
        <w:spacing w:after="0" w:line="276" w:lineRule="auto"/>
        <w:ind w:right="0"/>
        <w:rPr>
          <w:rFonts w:ascii="ITC Avant Garde" w:hAnsi="ITC Avant Garde"/>
          <w:b/>
          <w:color w:val="auto"/>
          <w:u w:val="single"/>
        </w:rPr>
      </w:pPr>
      <w:r>
        <w:rPr>
          <w:rFonts w:ascii="ITC Avant Garde" w:hAnsi="ITC Avant Garde"/>
          <w:b/>
          <w:color w:val="auto"/>
          <w:u w:val="single"/>
        </w:rPr>
        <w:lastRenderedPageBreak/>
        <w:t>4. Solicitud de Baja de Coberturas</w:t>
      </w:r>
    </w:p>
    <w:p w14:paraId="1561FE18" w14:textId="40A3C3B7" w:rsidR="00AA3A87" w:rsidRPr="00CC72B9" w:rsidRDefault="00E82137" w:rsidP="00AA3A87">
      <w:pPr>
        <w:spacing w:after="0" w:line="276" w:lineRule="auto"/>
        <w:ind w:left="0" w:right="0" w:firstLine="0"/>
        <w:rPr>
          <w:rFonts w:ascii="ITC Avant Garde" w:hAnsi="ITC Avant Garde"/>
          <w:b/>
          <w:color w:val="auto"/>
        </w:rPr>
      </w:pPr>
      <w:r>
        <w:rPr>
          <w:rFonts w:ascii="ITC Avant Garde" w:hAnsi="ITC Avant Garde"/>
          <w:b/>
          <w:color w:val="auto"/>
        </w:rPr>
        <w:t>Telefónica</w:t>
      </w:r>
      <w:r w:rsidR="003A33DA">
        <w:rPr>
          <w:rFonts w:ascii="ITC Avant Garde" w:hAnsi="ITC Avant Garde"/>
          <w:b/>
          <w:color w:val="auto"/>
        </w:rPr>
        <w:t>, CANIETI</w:t>
      </w:r>
      <w:r>
        <w:rPr>
          <w:rFonts w:ascii="ITC Avant Garde" w:hAnsi="ITC Avant Garde"/>
          <w:b/>
          <w:color w:val="auto"/>
        </w:rPr>
        <w:t>:</w:t>
      </w:r>
    </w:p>
    <w:p w14:paraId="297CCBA2" w14:textId="52435981" w:rsidR="002E07D7" w:rsidRDefault="003C13CC" w:rsidP="00AA3A87">
      <w:pPr>
        <w:spacing w:after="0" w:line="276" w:lineRule="auto"/>
        <w:ind w:right="0"/>
        <w:rPr>
          <w:rFonts w:ascii="ITC Avant Garde" w:hAnsi="ITC Avant Garde"/>
          <w:color w:val="auto"/>
        </w:rPr>
      </w:pPr>
      <w:r>
        <w:rPr>
          <w:rFonts w:ascii="ITC Avant Garde" w:hAnsi="ITC Avant Garde"/>
          <w:color w:val="auto"/>
        </w:rPr>
        <w:t>Respecto a la pretensión del AEP de dar de baja las LAC</w:t>
      </w:r>
      <w:r w:rsidR="005857E0">
        <w:rPr>
          <w:rFonts w:ascii="ITC Avant Garde" w:hAnsi="ITC Avant Garde"/>
          <w:color w:val="auto"/>
        </w:rPr>
        <w:t>s</w:t>
      </w:r>
      <w:r>
        <w:rPr>
          <w:rFonts w:ascii="ITC Avant Garde" w:hAnsi="ITC Avant Garde"/>
          <w:color w:val="auto"/>
        </w:rPr>
        <w:t xml:space="preserve"> con un tráfico por debajo del 10% de la media de tráfico por LAC</w:t>
      </w:r>
      <w:r w:rsidR="005857E0">
        <w:rPr>
          <w:rFonts w:ascii="ITC Avant Garde" w:hAnsi="ITC Avant Garde"/>
          <w:color w:val="auto"/>
        </w:rPr>
        <w:t>s</w:t>
      </w:r>
      <w:r w:rsidR="00855878">
        <w:rPr>
          <w:rFonts w:ascii="ITC Avant Garde" w:hAnsi="ITC Avant Garde"/>
          <w:color w:val="auto"/>
        </w:rPr>
        <w:t xml:space="preserve"> del concesionario, señala</w:t>
      </w:r>
      <w:r w:rsidR="003A33DA">
        <w:rPr>
          <w:rFonts w:ascii="ITC Avant Garde" w:hAnsi="ITC Avant Garde"/>
          <w:color w:val="auto"/>
        </w:rPr>
        <w:t>n</w:t>
      </w:r>
      <w:r w:rsidR="00855878">
        <w:rPr>
          <w:rFonts w:ascii="ITC Avant Garde" w:hAnsi="ITC Avant Garde"/>
          <w:color w:val="auto"/>
        </w:rPr>
        <w:t xml:space="preserve"> que el mayor o menor uso de un servicio no puede ser argumento para dejarlo fuera de la obligación. </w:t>
      </w:r>
    </w:p>
    <w:p w14:paraId="0659F902" w14:textId="66FF78B4" w:rsidR="003A33DA" w:rsidRDefault="003A33DA" w:rsidP="00AA3A87">
      <w:pPr>
        <w:spacing w:after="0" w:line="276" w:lineRule="auto"/>
        <w:ind w:right="0"/>
        <w:rPr>
          <w:rFonts w:ascii="ITC Avant Garde" w:hAnsi="ITC Avant Garde"/>
          <w:color w:val="auto"/>
        </w:rPr>
      </w:pPr>
    </w:p>
    <w:p w14:paraId="3A4ADA30" w14:textId="2AD0E0AF" w:rsidR="003A33DA" w:rsidRDefault="003A33DA" w:rsidP="003A33DA">
      <w:pPr>
        <w:spacing w:after="0" w:line="276" w:lineRule="auto"/>
        <w:ind w:right="0"/>
        <w:rPr>
          <w:rFonts w:ascii="ITC Avant Garde" w:hAnsi="ITC Avant Garde"/>
          <w:color w:val="auto"/>
        </w:rPr>
      </w:pPr>
      <w:r>
        <w:rPr>
          <w:rFonts w:ascii="ITC Avant Garde" w:hAnsi="ITC Avant Garde"/>
          <w:color w:val="auto"/>
        </w:rPr>
        <w:t>También indican que la distribución del tráfico por LACs no es homogénea, siguiendo una distribución estadística, por lo que habrá LACs que tendrán un uso por encima de la media y LACs que tendrán un uso por debajo de la media.</w:t>
      </w:r>
    </w:p>
    <w:p w14:paraId="73E8B660" w14:textId="77777777" w:rsidR="002E07D7" w:rsidRDefault="002E07D7" w:rsidP="00AA3A87">
      <w:pPr>
        <w:spacing w:after="0" w:line="276" w:lineRule="auto"/>
        <w:ind w:right="0"/>
        <w:rPr>
          <w:rFonts w:ascii="ITC Avant Garde" w:hAnsi="ITC Avant Garde"/>
          <w:color w:val="auto"/>
        </w:rPr>
      </w:pPr>
    </w:p>
    <w:p w14:paraId="71394241" w14:textId="3DA49681" w:rsidR="005B5EB5" w:rsidRDefault="00855878" w:rsidP="00AA3A87">
      <w:pPr>
        <w:spacing w:after="0" w:line="276" w:lineRule="auto"/>
        <w:ind w:right="0"/>
        <w:rPr>
          <w:rFonts w:ascii="ITC Avant Garde" w:hAnsi="ITC Avant Garde"/>
          <w:color w:val="auto"/>
        </w:rPr>
      </w:pPr>
      <w:r>
        <w:rPr>
          <w:rFonts w:ascii="ITC Avant Garde" w:hAnsi="ITC Avant Garde"/>
          <w:color w:val="auto"/>
        </w:rPr>
        <w:t>Asimismo,</w:t>
      </w:r>
      <w:r w:rsidR="003A33DA">
        <w:rPr>
          <w:rFonts w:ascii="ITC Avant Garde" w:hAnsi="ITC Avant Garde"/>
          <w:color w:val="auto"/>
        </w:rPr>
        <w:t xml:space="preserve"> Telefónica</w:t>
      </w:r>
      <w:r>
        <w:rPr>
          <w:rFonts w:ascii="ITC Avant Garde" w:hAnsi="ITC Avant Garde"/>
          <w:color w:val="auto"/>
        </w:rPr>
        <w:t xml:space="preserve"> refiere que el modelo de costos de Usuario Visitante considera determinados geotipos en donde se usa el servicio, así como una distribución estadística </w:t>
      </w:r>
      <w:r w:rsidR="005857E0">
        <w:rPr>
          <w:rFonts w:ascii="ITC Avant Garde" w:hAnsi="ITC Avant Garde"/>
          <w:color w:val="auto"/>
        </w:rPr>
        <w:t>del tráfico del concesionario, por lo que indica que la tarifa calculada ya estaría considerando que hay LACs con mayor uso</w:t>
      </w:r>
      <w:r w:rsidR="002E07D7">
        <w:rPr>
          <w:rFonts w:ascii="ITC Avant Garde" w:hAnsi="ITC Avant Garde"/>
          <w:color w:val="auto"/>
        </w:rPr>
        <w:t xml:space="preserve"> y otras con un uso menor. Además, manifiesta que el enfoque del modelo de costos es LRAIC</w:t>
      </w:r>
      <w:r w:rsidR="00684CCA">
        <w:rPr>
          <w:rFonts w:ascii="ITC Avant Garde" w:hAnsi="ITC Avant Garde"/>
          <w:color w:val="auto"/>
        </w:rPr>
        <w:t>+</w:t>
      </w:r>
      <w:r w:rsidR="007A016B">
        <w:rPr>
          <w:rFonts w:ascii="ITC Avant Garde" w:hAnsi="ITC Avant Garde"/>
          <w:color w:val="auto"/>
        </w:rPr>
        <w:t xml:space="preserve"> (</w:t>
      </w:r>
      <w:r w:rsidR="007A016B" w:rsidRPr="007A016B">
        <w:rPr>
          <w:rFonts w:ascii="ITC Avant Garde" w:hAnsi="ITC Avant Garde"/>
          <w:i/>
          <w:color w:val="auto"/>
        </w:rPr>
        <w:t>“Long-Run Average Incremental Cost”</w:t>
      </w:r>
      <w:r w:rsidR="007A016B">
        <w:rPr>
          <w:rFonts w:ascii="ITC Avant Garde" w:hAnsi="ITC Avant Garde"/>
          <w:color w:val="auto"/>
        </w:rPr>
        <w:t>)</w:t>
      </w:r>
      <w:r w:rsidR="002E07D7">
        <w:rPr>
          <w:rFonts w:ascii="ITC Avant Garde" w:hAnsi="ITC Avant Garde"/>
          <w:color w:val="auto"/>
        </w:rPr>
        <w:t>, por lo que todos los costos del servicio son recuperados prospectivamente.</w:t>
      </w:r>
    </w:p>
    <w:p w14:paraId="5AF37FC0" w14:textId="738DB867" w:rsidR="00FD397A" w:rsidRDefault="00FD397A" w:rsidP="00AA3A87">
      <w:pPr>
        <w:spacing w:after="0" w:line="276" w:lineRule="auto"/>
        <w:ind w:right="0"/>
        <w:rPr>
          <w:rFonts w:ascii="ITC Avant Garde" w:hAnsi="ITC Avant Garde"/>
          <w:color w:val="auto"/>
        </w:rPr>
      </w:pPr>
    </w:p>
    <w:p w14:paraId="3055A96C" w14:textId="23AB4EB8" w:rsidR="00FD397A" w:rsidRPr="00CC72B9" w:rsidRDefault="00FD397A" w:rsidP="00FD397A">
      <w:pPr>
        <w:spacing w:after="0" w:line="276" w:lineRule="auto"/>
        <w:ind w:left="0" w:right="0" w:firstLine="0"/>
        <w:rPr>
          <w:rFonts w:ascii="ITC Avant Garde" w:hAnsi="ITC Avant Garde"/>
          <w:b/>
          <w:color w:val="auto"/>
        </w:rPr>
      </w:pPr>
      <w:r>
        <w:rPr>
          <w:rFonts w:ascii="ITC Avant Garde" w:hAnsi="ITC Avant Garde"/>
          <w:b/>
          <w:color w:val="auto"/>
        </w:rPr>
        <w:t>Altán:</w:t>
      </w:r>
    </w:p>
    <w:p w14:paraId="1EE838C9" w14:textId="067FEF87" w:rsidR="00FD397A" w:rsidRDefault="00FD397A" w:rsidP="00FD397A">
      <w:pPr>
        <w:spacing w:after="0" w:line="276" w:lineRule="auto"/>
        <w:ind w:right="0"/>
        <w:rPr>
          <w:rFonts w:ascii="ITC Avant Garde" w:hAnsi="ITC Avant Garde"/>
          <w:color w:val="auto"/>
        </w:rPr>
      </w:pPr>
      <w:r>
        <w:rPr>
          <w:rFonts w:ascii="ITC Avant Garde" w:hAnsi="ITC Avant Garde"/>
          <w:color w:val="auto"/>
        </w:rPr>
        <w:t>Señala que las tarifas que cobra Telcel por el servicio ya considera en su estructura, entre otras cosas, las inversiones que Telcel debe realizar para garantizar la disponibilidad de los servicios de la Oferta. Por lo anterior, refiere que estas tarifas le permiten a Telcel garantizar las inversiones para l</w:t>
      </w:r>
      <w:r w:rsidR="00733735">
        <w:rPr>
          <w:rFonts w:ascii="ITC Avant Garde" w:hAnsi="ITC Avant Garde"/>
          <w:color w:val="auto"/>
        </w:rPr>
        <w:t>levar a cabo el</w:t>
      </w:r>
      <w:r>
        <w:rPr>
          <w:rFonts w:ascii="ITC Avant Garde" w:hAnsi="ITC Avant Garde"/>
          <w:color w:val="auto"/>
        </w:rPr>
        <w:t xml:space="preserve"> alta de LAC, RAC y/o TAC. </w:t>
      </w:r>
      <w:r w:rsidR="006F37B1">
        <w:rPr>
          <w:rFonts w:ascii="ITC Avant Garde" w:hAnsi="ITC Avant Garde"/>
          <w:color w:val="auto"/>
        </w:rPr>
        <w:t>Refiere que esta cláusula condiciona la cobertura activa a porcentajes promedio de tr</w:t>
      </w:r>
      <w:r w:rsidR="00C62FD9">
        <w:rPr>
          <w:rFonts w:ascii="ITC Avant Garde" w:hAnsi="ITC Avant Garde"/>
          <w:color w:val="auto"/>
        </w:rPr>
        <w:t>áfico cursado,</w:t>
      </w:r>
      <w:r w:rsidR="009929E5">
        <w:rPr>
          <w:rFonts w:ascii="ITC Avant Garde" w:hAnsi="ITC Avant Garde"/>
          <w:color w:val="auto"/>
        </w:rPr>
        <w:t xml:space="preserve"> lo cual podría eliminar la cobertura de roaming para el concesionario</w:t>
      </w:r>
      <w:r w:rsidR="00C62FD9">
        <w:rPr>
          <w:rFonts w:ascii="ITC Avant Garde" w:hAnsi="ITC Avant Garde"/>
          <w:color w:val="auto"/>
        </w:rPr>
        <w:t>, dejándolo además</w:t>
      </w:r>
      <w:r w:rsidR="00880005">
        <w:rPr>
          <w:rFonts w:ascii="ITC Avant Garde" w:hAnsi="ITC Avant Garde"/>
          <w:color w:val="auto"/>
        </w:rPr>
        <w:t xml:space="preserve"> en estado de incertidumbre e indefensión jurídica ya que el AEP </w:t>
      </w:r>
      <w:r w:rsidR="00733735">
        <w:rPr>
          <w:rFonts w:ascii="ITC Avant Garde" w:hAnsi="ITC Avant Garde"/>
          <w:color w:val="auto"/>
        </w:rPr>
        <w:t>l</w:t>
      </w:r>
      <w:r w:rsidR="00880005">
        <w:rPr>
          <w:rFonts w:ascii="ITC Avant Garde" w:hAnsi="ITC Avant Garde"/>
          <w:color w:val="auto"/>
        </w:rPr>
        <w:t>o realizaría sin previo aviso.</w:t>
      </w:r>
    </w:p>
    <w:p w14:paraId="7514CC15" w14:textId="73C626C4" w:rsidR="00EC6E74" w:rsidRDefault="00EC6E74" w:rsidP="00FD397A">
      <w:pPr>
        <w:spacing w:after="0" w:line="276" w:lineRule="auto"/>
        <w:ind w:right="0"/>
        <w:rPr>
          <w:rFonts w:ascii="ITC Avant Garde" w:hAnsi="ITC Avant Garde"/>
          <w:color w:val="auto"/>
        </w:rPr>
      </w:pPr>
    </w:p>
    <w:p w14:paraId="0184C13A" w14:textId="2CA8C915" w:rsidR="00EC6E74" w:rsidRPr="00CC72B9" w:rsidRDefault="00EC6E74" w:rsidP="00EC6E74">
      <w:pPr>
        <w:spacing w:after="0" w:line="276" w:lineRule="auto"/>
        <w:ind w:left="0" w:right="0" w:firstLine="0"/>
        <w:rPr>
          <w:rFonts w:ascii="ITC Avant Garde" w:hAnsi="ITC Avant Garde"/>
          <w:b/>
          <w:color w:val="auto"/>
        </w:rPr>
      </w:pPr>
      <w:r>
        <w:rPr>
          <w:rFonts w:ascii="ITC Avant Garde" w:hAnsi="ITC Avant Garde"/>
          <w:b/>
          <w:color w:val="auto"/>
        </w:rPr>
        <w:t>AT&amp;T:</w:t>
      </w:r>
    </w:p>
    <w:p w14:paraId="046EFFB7" w14:textId="77777777" w:rsidR="00060DDC" w:rsidRDefault="00060DDC" w:rsidP="00EC6E74">
      <w:pPr>
        <w:spacing w:after="0" w:line="276" w:lineRule="auto"/>
        <w:ind w:right="0"/>
        <w:rPr>
          <w:rFonts w:ascii="ITC Avant Garde" w:hAnsi="ITC Avant Garde"/>
          <w:color w:val="auto"/>
        </w:rPr>
      </w:pPr>
      <w:r>
        <w:rPr>
          <w:rFonts w:ascii="ITC Avant Garde" w:hAnsi="ITC Avant Garde"/>
          <w:color w:val="auto"/>
        </w:rPr>
        <w:t>Refiere</w:t>
      </w:r>
      <w:r w:rsidR="00EC6E74">
        <w:rPr>
          <w:rFonts w:ascii="ITC Avant Garde" w:hAnsi="ITC Avant Garde"/>
          <w:color w:val="auto"/>
        </w:rPr>
        <w:t xml:space="preserve"> que, aunque el ofrecer los servicios tenga costos para Telcel, no se justifica ni se relaciona con abrogarse el derecho unilateral de cancelar servicios.</w:t>
      </w:r>
    </w:p>
    <w:p w14:paraId="6A860F7A" w14:textId="3F3049EF" w:rsidR="005C741B" w:rsidRDefault="005C741B" w:rsidP="00AA3A87">
      <w:pPr>
        <w:spacing w:after="0" w:line="276" w:lineRule="auto"/>
        <w:ind w:right="0"/>
        <w:rPr>
          <w:rFonts w:ascii="ITC Avant Garde" w:hAnsi="ITC Avant Garde"/>
          <w:color w:val="auto"/>
        </w:rPr>
      </w:pPr>
    </w:p>
    <w:p w14:paraId="747B3A16" w14:textId="77777777" w:rsidR="005C741B" w:rsidRDefault="005C741B" w:rsidP="005C741B">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0294F4B8" w14:textId="56517020" w:rsidR="005C741B" w:rsidRPr="0050529A" w:rsidRDefault="00252099" w:rsidP="005C741B">
      <w:pPr>
        <w:pStyle w:val="IFT1"/>
        <w:tabs>
          <w:tab w:val="left" w:pos="426"/>
        </w:tabs>
        <w:spacing w:after="0"/>
        <w:rPr>
          <w:rFonts w:cs="Arial"/>
          <w:sz w:val="18"/>
          <w:szCs w:val="18"/>
        </w:rPr>
      </w:pPr>
      <w:r>
        <w:rPr>
          <w:bCs/>
        </w:rPr>
        <w:t>Se señala que los términos propuestos por Telcel representan compromisos de compra debido a que se obliga al concesionario solicitante a un consumo mínimo promedio mensual por</w:t>
      </w:r>
      <w:r w:rsidRPr="003D5EB8">
        <w:rPr>
          <w:bCs/>
        </w:rPr>
        <w:t xml:space="preserve"> LAC, RAC y/o TAC</w:t>
      </w:r>
      <w:r>
        <w:rPr>
          <w:bCs/>
        </w:rPr>
        <w:t xml:space="preserve"> con el propósito de mantener el acceso al servicio de Usuario Visitante, lo cual en la práctica resultaría contrario a lo establecido en la Medida Decimosexta de las Medidas Móviles, la cual prohíbe la aplicación de condiciones abusivas en la prestación de los servicios obje</w:t>
      </w:r>
      <w:r w:rsidR="0050529A">
        <w:rPr>
          <w:bCs/>
        </w:rPr>
        <w:t>to de las Ofertas de Referencia</w:t>
      </w:r>
      <w:r w:rsidR="0049671D">
        <w:rPr>
          <w:bCs/>
        </w:rPr>
        <w:t>,</w:t>
      </w:r>
      <w:r>
        <w:rPr>
          <w:bCs/>
        </w:rPr>
        <w:t xml:space="preserve"> </w:t>
      </w:r>
      <w:r w:rsidR="0050529A">
        <w:rPr>
          <w:bCs/>
        </w:rPr>
        <w:t>p</w:t>
      </w:r>
      <w:r w:rsidR="005C741B">
        <w:rPr>
          <w:bCs/>
        </w:rPr>
        <w:t>or lo anterior, se modificó el numeral en cuestión en los siguientes términos:</w:t>
      </w:r>
    </w:p>
    <w:p w14:paraId="277CEDFE" w14:textId="77777777" w:rsidR="005C741B" w:rsidRDefault="005C741B" w:rsidP="005C741B">
      <w:pPr>
        <w:pStyle w:val="IFT1"/>
        <w:tabs>
          <w:tab w:val="left" w:pos="426"/>
        </w:tabs>
        <w:spacing w:after="0"/>
        <w:rPr>
          <w:bCs/>
        </w:rPr>
      </w:pPr>
    </w:p>
    <w:p w14:paraId="7EC2F71F" w14:textId="77777777" w:rsidR="005C741B" w:rsidRDefault="005C741B" w:rsidP="005C741B">
      <w:pPr>
        <w:spacing w:line="276" w:lineRule="auto"/>
        <w:ind w:left="567" w:right="615"/>
        <w:rPr>
          <w:rFonts w:ascii="ITC Avant Garde" w:eastAsia="Calibri" w:hAnsi="ITC Avant Garde" w:cs="Arial"/>
          <w:i/>
          <w:sz w:val="18"/>
          <w:szCs w:val="18"/>
          <w:lang w:eastAsia="en-US"/>
        </w:rPr>
      </w:pPr>
      <w:r>
        <w:rPr>
          <w:rFonts w:ascii="ITC Avant Garde" w:eastAsia="Calibri" w:hAnsi="ITC Avant Garde" w:cs="Arial"/>
          <w:i/>
          <w:sz w:val="18"/>
          <w:szCs w:val="18"/>
          <w:lang w:eastAsia="en-US"/>
        </w:rPr>
        <w:t>“</w:t>
      </w:r>
      <w:r w:rsidRPr="00A22E3A">
        <w:rPr>
          <w:rFonts w:ascii="ITC Avant Garde" w:eastAsia="Calibri" w:hAnsi="ITC Avant Garde" w:cs="Arial"/>
          <w:i/>
          <w:sz w:val="18"/>
          <w:szCs w:val="18"/>
          <w:lang w:eastAsia="en-US"/>
        </w:rPr>
        <w:t>4.</w:t>
      </w:r>
      <w:r>
        <w:rPr>
          <w:rFonts w:ascii="ITC Avant Garde" w:eastAsia="Calibri" w:hAnsi="ITC Avant Garde" w:cs="Arial"/>
          <w:i/>
          <w:sz w:val="18"/>
          <w:szCs w:val="18"/>
          <w:lang w:eastAsia="en-US"/>
        </w:rPr>
        <w:t xml:space="preserve"> </w:t>
      </w:r>
      <w:r w:rsidRPr="00A22E3A">
        <w:rPr>
          <w:rFonts w:ascii="ITC Avant Garde" w:eastAsia="Calibri" w:hAnsi="ITC Avant Garde" w:cs="Arial"/>
          <w:i/>
          <w:sz w:val="18"/>
          <w:szCs w:val="18"/>
          <w:lang w:eastAsia="en-US"/>
        </w:rPr>
        <w:t>Solicitud de Baja de Coberturas.</w:t>
      </w:r>
    </w:p>
    <w:p w14:paraId="188F6CE8" w14:textId="77777777" w:rsidR="005C741B" w:rsidRDefault="005C741B" w:rsidP="005C741B">
      <w:pPr>
        <w:spacing w:line="276" w:lineRule="auto"/>
        <w:ind w:left="567" w:right="615"/>
        <w:rPr>
          <w:rFonts w:ascii="ITC Avant Garde" w:eastAsia="Calibri" w:hAnsi="ITC Avant Garde" w:cs="Arial"/>
          <w:i/>
          <w:sz w:val="18"/>
          <w:szCs w:val="18"/>
          <w:lang w:eastAsia="en-US"/>
        </w:rPr>
      </w:pPr>
      <w:r>
        <w:rPr>
          <w:rFonts w:ascii="ITC Avant Garde" w:eastAsia="Calibri" w:hAnsi="ITC Avant Garde" w:cs="Arial"/>
          <w:i/>
          <w:sz w:val="18"/>
          <w:szCs w:val="18"/>
          <w:lang w:eastAsia="en-US"/>
        </w:rPr>
        <w:t>(…)</w:t>
      </w:r>
    </w:p>
    <w:p w14:paraId="53AFA202" w14:textId="5151B182" w:rsidR="002E07D7" w:rsidRDefault="005C741B" w:rsidP="009148AE">
      <w:pPr>
        <w:spacing w:after="0" w:line="276" w:lineRule="auto"/>
        <w:ind w:left="567" w:right="612" w:hanging="11"/>
        <w:rPr>
          <w:rFonts w:ascii="ITC Avant Garde" w:hAnsi="ITC Avant Garde"/>
          <w:color w:val="auto"/>
        </w:rPr>
      </w:pPr>
      <w:r w:rsidRPr="00A22E3A">
        <w:rPr>
          <w:rFonts w:ascii="ITC Avant Garde" w:eastAsia="Calibri" w:hAnsi="ITC Avant Garde" w:cs="Arial"/>
          <w:i/>
          <w:sz w:val="18"/>
          <w:szCs w:val="18"/>
          <w:lang w:eastAsia="en-US"/>
        </w:rPr>
        <w:t xml:space="preserve">Las Partes manifiestan su conocimiento de que el alta de cualquier LAC, RAC y/o TAC implica costos operativos, análisis de viabilidad y elaboración e implementación de códigos de ejecución. Cualquier LAC, RAC y/o TAC solicitada y abierta para el Concesionario requiere, por parte de Telcel, del análisis y de la planeación de la configuración de la Red con el objetivo de satisfacer las necesidades de otros Concesionarios y de los propios Usuarios Finales de Telcel, bajo los parámetros de los Lineamientos de Calidad. </w:t>
      </w:r>
      <w:r w:rsidRPr="00A22E3A">
        <w:rPr>
          <w:rFonts w:ascii="ITC Avant Garde" w:eastAsia="Calibri" w:hAnsi="ITC Avant Garde" w:cs="Arial"/>
          <w:i/>
          <w:strike/>
          <w:sz w:val="18"/>
          <w:szCs w:val="18"/>
          <w:lang w:eastAsia="en-US"/>
        </w:rPr>
        <w:t>En ese sentido, cualquier LAC, RAC y TAC que haya sido dada de alta para el Concesionario y que no haya cursado tráfico, o no haya alcanzado el 10 (diez) por ciento del uso promedio mensual de las LAC, RAC y TAC con tráfico del Concesionario, en un periodo de 90 (noventa) días naturales, podrá ser dada de baja por Telcel, previo aviso al Concesionario, y, en caso de solicitar de nueva cuenta el alta, el Concesionario acepta que el tráfico cursado se cobrará como Servicios Adicionales hasta en tanto dicha LAC, RAC y TAC alcance el mínimo de tráfico mencionado. En caso de que en un mismo semestre (de enero a junio o de julio a diciembre) se presente en 3 (tres) ocasiones el supuesto mencionado en el presente párrafo, el Concesionario no podrá solicitar nuevas altas de LAC, RAC y/o TAC en el periodo inmediato siguiente conforme al tercer párrafo del numeral 3. Procedimiento y plazos para el Alta de LAC, RAC y TAC y para la entrega de los Servicios de la Oferta del presente Anexo.</w:t>
      </w:r>
      <w:r>
        <w:rPr>
          <w:rFonts w:ascii="ITC Avant Garde" w:eastAsia="Calibri" w:hAnsi="ITC Avant Garde" w:cs="Arial"/>
          <w:i/>
          <w:sz w:val="18"/>
          <w:szCs w:val="18"/>
          <w:lang w:eastAsia="en-US"/>
        </w:rPr>
        <w:t>“</w:t>
      </w:r>
    </w:p>
    <w:p w14:paraId="7E0158A0" w14:textId="77777777" w:rsidR="00E17309" w:rsidRDefault="00E17309" w:rsidP="00E17309">
      <w:pPr>
        <w:pStyle w:val="Prrafodelista"/>
        <w:ind w:left="6951" w:right="615" w:firstLine="129"/>
        <w:jc w:val="center"/>
        <w:rPr>
          <w:rFonts w:ascii="ITC Avant Garde" w:hAnsi="ITC Avant Garde" w:cs="Arial"/>
          <w:sz w:val="18"/>
          <w:szCs w:val="18"/>
        </w:rPr>
      </w:pPr>
      <w:r w:rsidRPr="003D5EB8">
        <w:rPr>
          <w:rFonts w:ascii="ITC Avant Garde" w:hAnsi="ITC Avant Garde" w:cs="Arial"/>
          <w:sz w:val="18"/>
          <w:szCs w:val="18"/>
        </w:rPr>
        <w:t>Énfasis añadido</w:t>
      </w:r>
    </w:p>
    <w:p w14:paraId="541AD9C5" w14:textId="6750017A" w:rsidR="005B5EB5" w:rsidRDefault="005B5EB5" w:rsidP="006136F4">
      <w:pPr>
        <w:spacing w:after="0" w:line="276" w:lineRule="auto"/>
        <w:ind w:right="0"/>
        <w:rPr>
          <w:rFonts w:ascii="ITC Avant Garde" w:hAnsi="ITC Avant Garde"/>
          <w:b/>
          <w:color w:val="auto"/>
          <w:u w:val="single"/>
        </w:rPr>
      </w:pPr>
    </w:p>
    <w:p w14:paraId="33FDDBDD" w14:textId="25B7834F" w:rsidR="000C39B2" w:rsidRDefault="000C39B2" w:rsidP="000C39B2">
      <w:pPr>
        <w:spacing w:after="0" w:line="276" w:lineRule="auto"/>
        <w:ind w:left="-5" w:right="49"/>
        <w:rPr>
          <w:rFonts w:ascii="ITC Avant Garde" w:hAnsi="ITC Avant Garde"/>
          <w:b/>
          <w:color w:val="auto"/>
        </w:rPr>
      </w:pPr>
      <w:r>
        <w:rPr>
          <w:rFonts w:ascii="ITC Avant Garde" w:hAnsi="ITC Avant Garde"/>
          <w:b/>
          <w:color w:val="auto"/>
        </w:rPr>
        <w:t>ANEXO X</w:t>
      </w:r>
      <w:r w:rsidR="005014C4">
        <w:rPr>
          <w:rFonts w:ascii="ITC Avant Garde" w:hAnsi="ITC Avant Garde"/>
          <w:b/>
          <w:color w:val="auto"/>
        </w:rPr>
        <w:t>I</w:t>
      </w:r>
      <w:r>
        <w:rPr>
          <w:rFonts w:ascii="ITC Avant Garde" w:hAnsi="ITC Avant Garde"/>
          <w:b/>
          <w:color w:val="auto"/>
        </w:rPr>
        <w:t xml:space="preserve"> Penas </w:t>
      </w:r>
      <w:r w:rsidR="00686568">
        <w:rPr>
          <w:rFonts w:ascii="ITC Avant Garde" w:hAnsi="ITC Avant Garde"/>
          <w:b/>
          <w:color w:val="auto"/>
        </w:rPr>
        <w:t>Convencionales</w:t>
      </w:r>
    </w:p>
    <w:p w14:paraId="709FFC44" w14:textId="57CCCC27" w:rsidR="000C39B2" w:rsidRPr="00F071ED" w:rsidRDefault="000C39B2" w:rsidP="000C39B2">
      <w:pPr>
        <w:spacing w:after="0" w:line="276" w:lineRule="auto"/>
        <w:ind w:left="0" w:right="0" w:firstLine="0"/>
        <w:rPr>
          <w:rFonts w:ascii="ITC Avant Garde" w:hAnsi="ITC Avant Garde"/>
          <w:b/>
          <w:color w:val="auto"/>
        </w:rPr>
      </w:pPr>
      <w:r w:rsidRPr="00F071ED">
        <w:rPr>
          <w:rFonts w:ascii="ITC Avant Garde" w:hAnsi="ITC Avant Garde"/>
          <w:b/>
          <w:color w:val="auto"/>
        </w:rPr>
        <w:t>CANIETI</w:t>
      </w:r>
      <w:r w:rsidR="006E4C40">
        <w:rPr>
          <w:rFonts w:ascii="ITC Avant Garde" w:hAnsi="ITC Avant Garde"/>
          <w:b/>
          <w:color w:val="auto"/>
        </w:rPr>
        <w:t>, AT&amp;T</w:t>
      </w:r>
      <w:r w:rsidRPr="00F071ED">
        <w:rPr>
          <w:rFonts w:ascii="ITC Avant Garde" w:hAnsi="ITC Avant Garde"/>
          <w:b/>
          <w:color w:val="auto"/>
        </w:rPr>
        <w:t>:</w:t>
      </w:r>
    </w:p>
    <w:p w14:paraId="449DBCD5" w14:textId="0534A443" w:rsidR="000C39B2" w:rsidRPr="00756546" w:rsidRDefault="00686568" w:rsidP="000C39B2">
      <w:pPr>
        <w:spacing w:after="0" w:line="276" w:lineRule="auto"/>
        <w:ind w:left="-5" w:right="49"/>
        <w:rPr>
          <w:rFonts w:ascii="ITC Avant Garde" w:hAnsi="ITC Avant Garde"/>
          <w:color w:val="auto"/>
        </w:rPr>
      </w:pPr>
      <w:r w:rsidRPr="00756546">
        <w:rPr>
          <w:rFonts w:ascii="ITC Avant Garde" w:hAnsi="ITC Avant Garde"/>
          <w:color w:val="auto"/>
        </w:rPr>
        <w:t>Sugieren eliminar este anexo o reescribirlo</w:t>
      </w:r>
      <w:r w:rsidR="00857A19" w:rsidRPr="00756546">
        <w:rPr>
          <w:rFonts w:ascii="ITC Avant Garde" w:hAnsi="ITC Avant Garde"/>
          <w:color w:val="auto"/>
        </w:rPr>
        <w:t>,</w:t>
      </w:r>
      <w:r w:rsidRPr="00756546">
        <w:rPr>
          <w:rFonts w:ascii="ITC Avant Garde" w:hAnsi="ITC Avant Garde"/>
          <w:color w:val="auto"/>
        </w:rPr>
        <w:t xml:space="preserve"> indicando los escenarios en que el servicio pudiera no estar operando por causas atribuibles a las Partes.</w:t>
      </w:r>
    </w:p>
    <w:p w14:paraId="1BD2D15E" w14:textId="2C87B79F" w:rsidR="00686568" w:rsidRPr="0050529A" w:rsidRDefault="00686568" w:rsidP="000C39B2">
      <w:pPr>
        <w:spacing w:after="0" w:line="276" w:lineRule="auto"/>
        <w:ind w:left="-5" w:right="49"/>
        <w:rPr>
          <w:rFonts w:ascii="ITC Avant Garde" w:hAnsi="ITC Avant Garde"/>
          <w:color w:val="auto"/>
          <w:highlight w:val="yellow"/>
        </w:rPr>
      </w:pPr>
    </w:p>
    <w:p w14:paraId="2A81C3CB" w14:textId="633546F0" w:rsidR="00686568" w:rsidRDefault="00686568" w:rsidP="000C39B2">
      <w:pPr>
        <w:spacing w:after="0" w:line="276" w:lineRule="auto"/>
        <w:ind w:left="-5" w:right="49"/>
        <w:rPr>
          <w:rFonts w:ascii="ITC Avant Garde" w:hAnsi="ITC Avant Garde"/>
          <w:color w:val="auto"/>
        </w:rPr>
      </w:pPr>
      <w:r w:rsidRPr="00756546">
        <w:rPr>
          <w:rFonts w:ascii="ITC Avant Garde" w:hAnsi="ITC Avant Garde"/>
          <w:color w:val="auto"/>
        </w:rPr>
        <w:t>AT&amp;T refiere que la redacción actual exime a Telcel de los incumplimientos del contrato por cualquier error en los pronósticos de volumen de los enlaces de conectividad.</w:t>
      </w:r>
      <w:r>
        <w:rPr>
          <w:rFonts w:ascii="ITC Avant Garde" w:hAnsi="ITC Avant Garde"/>
          <w:color w:val="auto"/>
        </w:rPr>
        <w:t xml:space="preserve"> </w:t>
      </w:r>
    </w:p>
    <w:p w14:paraId="0355865B" w14:textId="6DF31C2A" w:rsidR="000C39B2" w:rsidRDefault="000C39B2" w:rsidP="006136F4">
      <w:pPr>
        <w:spacing w:after="0" w:line="276" w:lineRule="auto"/>
        <w:ind w:right="0"/>
        <w:rPr>
          <w:rFonts w:ascii="ITC Avant Garde" w:hAnsi="ITC Avant Garde"/>
          <w:b/>
          <w:color w:val="auto"/>
          <w:u w:val="single"/>
        </w:rPr>
      </w:pPr>
    </w:p>
    <w:p w14:paraId="09B88867" w14:textId="77777777" w:rsidR="00D40E9E" w:rsidRDefault="00D40E9E" w:rsidP="00D40E9E">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6D40B187" w14:textId="1BC0B3A2" w:rsidR="00555206" w:rsidRDefault="00555206" w:rsidP="00D40E9E">
      <w:pPr>
        <w:spacing w:after="0" w:line="276" w:lineRule="auto"/>
        <w:ind w:left="-5" w:right="49"/>
        <w:rPr>
          <w:rFonts w:ascii="ITC Avant Garde" w:hAnsi="ITC Avant Garde"/>
          <w:color w:val="auto"/>
        </w:rPr>
      </w:pPr>
      <w:r>
        <w:rPr>
          <w:rFonts w:ascii="ITC Avant Garde" w:hAnsi="ITC Avant Garde"/>
          <w:color w:val="auto"/>
        </w:rPr>
        <w:t xml:space="preserve">Se señala que el Anexo XI Penas Convencionales establece que solo en caso de que el error en el dimensionamiento de los enlaces cause una falla en la disponibilidad de las interfaces de conectividad entre Telcel y el Concesionario Solicitante no </w:t>
      </w:r>
      <w:r w:rsidR="00756546">
        <w:rPr>
          <w:rFonts w:ascii="ITC Avant Garde" w:hAnsi="ITC Avant Garde"/>
          <w:color w:val="auto"/>
        </w:rPr>
        <w:t>aplicará una compensación a favor de dicho concesionario.</w:t>
      </w:r>
    </w:p>
    <w:p w14:paraId="4AB808E5" w14:textId="46125AC8" w:rsidR="00756546" w:rsidRDefault="00756546" w:rsidP="00D40E9E">
      <w:pPr>
        <w:spacing w:after="0" w:line="276" w:lineRule="auto"/>
        <w:ind w:left="-5" w:right="49"/>
        <w:rPr>
          <w:rFonts w:ascii="ITC Avant Garde" w:hAnsi="ITC Avant Garde"/>
          <w:color w:val="auto"/>
        </w:rPr>
      </w:pPr>
    </w:p>
    <w:p w14:paraId="493184A5" w14:textId="318D9565" w:rsidR="00756546" w:rsidRDefault="00756546" w:rsidP="00D40E9E">
      <w:pPr>
        <w:spacing w:after="0" w:line="276" w:lineRule="auto"/>
        <w:ind w:left="-5" w:right="49"/>
        <w:rPr>
          <w:rFonts w:ascii="ITC Avant Garde" w:hAnsi="ITC Avant Garde"/>
          <w:color w:val="auto"/>
        </w:rPr>
      </w:pPr>
      <w:r>
        <w:rPr>
          <w:rFonts w:ascii="ITC Avant Garde" w:hAnsi="ITC Avant Garde"/>
          <w:color w:val="auto"/>
        </w:rPr>
        <w:t xml:space="preserve">Lo cual es razonable considerando que la afectación deriva de que no se notificó a Telcel el volumen real de tráfico esperado. </w:t>
      </w:r>
    </w:p>
    <w:p w14:paraId="7B23F1B5" w14:textId="77777777" w:rsidR="00555206" w:rsidRDefault="00555206" w:rsidP="00D40E9E">
      <w:pPr>
        <w:spacing w:after="0" w:line="276" w:lineRule="auto"/>
        <w:ind w:left="-5" w:right="49"/>
        <w:rPr>
          <w:rFonts w:ascii="ITC Avant Garde" w:hAnsi="ITC Avant Garde"/>
          <w:color w:val="auto"/>
        </w:rPr>
      </w:pPr>
    </w:p>
    <w:p w14:paraId="371AB9C2" w14:textId="11D8E2A8" w:rsidR="00D40E9E" w:rsidRPr="00756546" w:rsidRDefault="00756546" w:rsidP="00756546">
      <w:pPr>
        <w:spacing w:after="0" w:line="276" w:lineRule="auto"/>
        <w:ind w:left="-5" w:right="49"/>
        <w:rPr>
          <w:rFonts w:ascii="ITC Avant Garde" w:eastAsia="Calibri" w:hAnsi="ITC Avant Garde" w:cs="Arial"/>
          <w:i/>
          <w:sz w:val="18"/>
          <w:szCs w:val="18"/>
          <w:lang w:eastAsia="en-US"/>
        </w:rPr>
      </w:pPr>
      <w:r>
        <w:rPr>
          <w:rFonts w:ascii="ITC Avant Garde" w:hAnsi="ITC Avant Garde"/>
          <w:color w:val="auto"/>
        </w:rPr>
        <w:t xml:space="preserve">En este sentido, </w:t>
      </w:r>
      <w:r w:rsidR="00D40E9E" w:rsidRPr="003E1D25">
        <w:rPr>
          <w:rFonts w:ascii="ITC Avant Garde" w:hAnsi="ITC Avant Garde"/>
          <w:color w:val="auto"/>
        </w:rPr>
        <w:t>los pronósticos de demanda de servicio son fundamentales para el correcto dimensionamiento de la red</w:t>
      </w:r>
      <w:r w:rsidR="00D40E9E">
        <w:rPr>
          <w:rFonts w:ascii="ITC Avant Garde" w:hAnsi="ITC Avant Garde"/>
          <w:color w:val="auto"/>
        </w:rPr>
        <w:t>, tal como establece la Medida Vigésima Novena de las Medidas Móviles:</w:t>
      </w:r>
    </w:p>
    <w:p w14:paraId="17551960" w14:textId="77777777" w:rsidR="00D40E9E" w:rsidRDefault="00D40E9E" w:rsidP="00D40E9E">
      <w:pPr>
        <w:spacing w:after="0" w:line="276" w:lineRule="auto"/>
        <w:ind w:left="-5" w:right="49"/>
        <w:rPr>
          <w:rFonts w:ascii="ITC Avant Garde" w:hAnsi="ITC Avant Garde"/>
          <w:color w:val="auto"/>
        </w:rPr>
      </w:pPr>
    </w:p>
    <w:p w14:paraId="36BB3FCF" w14:textId="77777777" w:rsidR="00D40E9E" w:rsidRDefault="00D40E9E" w:rsidP="00D40E9E">
      <w:pPr>
        <w:spacing w:after="0" w:line="276" w:lineRule="auto"/>
        <w:ind w:left="567"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lastRenderedPageBreak/>
        <w:t>“</w:t>
      </w:r>
      <w:r w:rsidRPr="00B27995">
        <w:rPr>
          <w:rFonts w:ascii="ITC Avant Garde" w:eastAsia="Calibri" w:hAnsi="ITC Avant Garde" w:cs="Arial"/>
          <w:i/>
          <w:color w:val="auto"/>
          <w:sz w:val="18"/>
          <w:szCs w:val="18"/>
          <w:lang w:eastAsia="en-US"/>
        </w:rPr>
        <w:t xml:space="preserve">VIGÉSIMA NOVENA .- </w:t>
      </w:r>
      <w:r w:rsidRPr="004703A6">
        <w:rPr>
          <w:rFonts w:ascii="ITC Avant Garde" w:eastAsia="Calibri" w:hAnsi="ITC Avant Garde" w:cs="Arial"/>
          <w:i/>
          <w:color w:val="auto"/>
          <w:sz w:val="18"/>
          <w:szCs w:val="18"/>
          <w:u w:val="single"/>
          <w:lang w:eastAsia="en-US"/>
        </w:rPr>
        <w:t>El Agente Económico Preponderante podrá requerir a los Concesionarios Solicitantes o a los Operadores Móviles Virtuales, información referente a las proyecciones de demanda del Servicio Mayorista de Usuario Visitante y de la reventa o comercialización del servicio; dichas proyecciones deberán ser suficientemente detalladas de manera que permitan la adecuada planeación de la red pública de telecomunicaciones</w:t>
      </w:r>
      <w:r w:rsidRPr="00B27995">
        <w:rPr>
          <w:rFonts w:ascii="ITC Avant Garde" w:eastAsia="Calibri" w:hAnsi="ITC Avant Garde" w:cs="Arial"/>
          <w:i/>
          <w:color w:val="auto"/>
          <w:sz w:val="18"/>
          <w:szCs w:val="18"/>
          <w:lang w:eastAsia="en-US"/>
        </w:rPr>
        <w:t>; el Agente Económico Preponderante incluirá como parte de la Oferta de Referencia los formatos para la entrega de las proyecciones de demanda que estime convenientes.</w:t>
      </w:r>
    </w:p>
    <w:p w14:paraId="3107F4B1" w14:textId="77777777" w:rsidR="00D40E9E" w:rsidRDefault="00D40E9E" w:rsidP="00D40E9E">
      <w:pPr>
        <w:spacing w:after="0" w:line="276" w:lineRule="auto"/>
        <w:ind w:left="567"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p>
    <w:p w14:paraId="743598BC" w14:textId="77777777" w:rsidR="00564B2E" w:rsidRDefault="00564B2E" w:rsidP="00564B2E">
      <w:pPr>
        <w:pStyle w:val="Prrafodelista"/>
        <w:ind w:left="6951" w:right="615" w:firstLine="129"/>
        <w:jc w:val="center"/>
        <w:rPr>
          <w:rFonts w:ascii="ITC Avant Garde" w:hAnsi="ITC Avant Garde" w:cs="Arial"/>
          <w:sz w:val="18"/>
          <w:szCs w:val="18"/>
        </w:rPr>
      </w:pPr>
      <w:r w:rsidRPr="003D5EB8">
        <w:rPr>
          <w:rFonts w:ascii="ITC Avant Garde" w:hAnsi="ITC Avant Garde" w:cs="Arial"/>
          <w:sz w:val="18"/>
          <w:szCs w:val="18"/>
        </w:rPr>
        <w:t>Énfasis añadido</w:t>
      </w:r>
    </w:p>
    <w:p w14:paraId="375994E9" w14:textId="77777777" w:rsidR="00D40E9E" w:rsidRDefault="00D40E9E" w:rsidP="00D40E9E">
      <w:pPr>
        <w:spacing w:after="0" w:line="276" w:lineRule="auto"/>
        <w:ind w:left="-5" w:right="49"/>
        <w:rPr>
          <w:rFonts w:ascii="ITC Avant Garde" w:hAnsi="ITC Avant Garde"/>
          <w:color w:val="auto"/>
        </w:rPr>
      </w:pPr>
    </w:p>
    <w:p w14:paraId="6AFC4D64" w14:textId="475661D9" w:rsidR="00756546" w:rsidRPr="00756546" w:rsidRDefault="00756546" w:rsidP="00756546">
      <w:pPr>
        <w:spacing w:after="0" w:line="276" w:lineRule="auto"/>
        <w:ind w:left="-5" w:right="49"/>
        <w:rPr>
          <w:rFonts w:ascii="ITC Avant Garde" w:hAnsi="ITC Avant Garde"/>
          <w:color w:val="auto"/>
        </w:rPr>
      </w:pPr>
      <w:r>
        <w:rPr>
          <w:rFonts w:ascii="ITC Avant Garde" w:hAnsi="ITC Avant Garde"/>
          <w:color w:val="auto"/>
        </w:rPr>
        <w:t>Asimismo, dicho anexo ya considera los</w:t>
      </w:r>
      <w:r w:rsidRPr="00756546">
        <w:rPr>
          <w:rFonts w:ascii="ITC Avant Garde" w:hAnsi="ITC Avant Garde"/>
          <w:color w:val="auto"/>
        </w:rPr>
        <w:t xml:space="preserve"> escenarios en que el servicio pudiera no estar operando por causas atribuibles a las Partes.</w:t>
      </w:r>
    </w:p>
    <w:p w14:paraId="3AC447B3" w14:textId="7FB151BC" w:rsidR="0039472B" w:rsidRDefault="0039472B" w:rsidP="00D40E9E">
      <w:pPr>
        <w:spacing w:after="0" w:line="276" w:lineRule="auto"/>
        <w:ind w:left="-5" w:right="49"/>
        <w:rPr>
          <w:rFonts w:ascii="ITC Avant Garde" w:hAnsi="ITC Avant Garde"/>
          <w:color w:val="auto"/>
        </w:rPr>
      </w:pPr>
    </w:p>
    <w:p w14:paraId="27A32AF9" w14:textId="0370C731" w:rsidR="0039472B" w:rsidRPr="00203BF7" w:rsidRDefault="0039472B" w:rsidP="0039472B">
      <w:pPr>
        <w:spacing w:after="0" w:line="276" w:lineRule="auto"/>
        <w:ind w:left="-5" w:right="49"/>
        <w:rPr>
          <w:rFonts w:ascii="ITC Avant Garde" w:hAnsi="ITC Avant Garde"/>
          <w:b/>
          <w:color w:val="auto"/>
          <w:u w:val="single"/>
        </w:rPr>
      </w:pPr>
      <w:r>
        <w:rPr>
          <w:rFonts w:ascii="ITC Avant Garde" w:hAnsi="ITC Avant Garde"/>
          <w:b/>
          <w:color w:val="auto"/>
        </w:rPr>
        <w:t>ANEXO XII Convenio de Servicio Mayorista de Usuario Visitante</w:t>
      </w:r>
    </w:p>
    <w:p w14:paraId="24CB9B90" w14:textId="77777777" w:rsidR="0039472B" w:rsidRPr="0039472B" w:rsidRDefault="0039472B" w:rsidP="0039472B">
      <w:pPr>
        <w:spacing w:after="0" w:line="276" w:lineRule="auto"/>
        <w:ind w:right="0"/>
        <w:rPr>
          <w:rFonts w:ascii="ITC Avant Garde" w:hAnsi="ITC Avant Garde"/>
          <w:color w:val="auto"/>
        </w:rPr>
      </w:pPr>
      <w:r w:rsidRPr="0039472B">
        <w:rPr>
          <w:rFonts w:ascii="ITC Avant Garde" w:hAnsi="ITC Avant Garde"/>
          <w:b/>
          <w:color w:val="auto"/>
          <w:u w:val="single"/>
        </w:rPr>
        <w:t>2.1 Objeto</w:t>
      </w:r>
    </w:p>
    <w:p w14:paraId="321BB4FC" w14:textId="77777777" w:rsidR="0039472B" w:rsidRPr="0039472B" w:rsidRDefault="0039472B" w:rsidP="0039472B">
      <w:pPr>
        <w:spacing w:after="0" w:line="276" w:lineRule="auto"/>
        <w:ind w:left="0" w:right="0" w:firstLine="0"/>
        <w:rPr>
          <w:rFonts w:ascii="ITC Avant Garde" w:hAnsi="ITC Avant Garde"/>
          <w:b/>
          <w:color w:val="auto"/>
        </w:rPr>
      </w:pPr>
      <w:r w:rsidRPr="0039472B">
        <w:rPr>
          <w:rFonts w:ascii="ITC Avant Garde" w:hAnsi="ITC Avant Garde"/>
          <w:b/>
          <w:color w:val="auto"/>
        </w:rPr>
        <w:t>Altán:</w:t>
      </w:r>
    </w:p>
    <w:p w14:paraId="6113CEB4" w14:textId="6302C6CF" w:rsidR="000E7E46" w:rsidRDefault="0039472B" w:rsidP="0039472B">
      <w:pPr>
        <w:spacing w:after="0" w:line="276" w:lineRule="auto"/>
        <w:ind w:left="-5" w:right="49"/>
        <w:rPr>
          <w:rFonts w:ascii="ITC Avant Garde" w:hAnsi="ITC Avant Garde"/>
          <w:color w:val="auto"/>
        </w:rPr>
      </w:pPr>
      <w:r w:rsidRPr="0039472B">
        <w:rPr>
          <w:rFonts w:ascii="ITC Avant Garde" w:hAnsi="ITC Avant Garde"/>
          <w:color w:val="auto"/>
        </w:rPr>
        <w:t>Señala que se debe eliminar la restricción de "uso exclusivo de usuarios finales" dado que se debe permitir los</w:t>
      </w:r>
      <w:r w:rsidR="000E7E46">
        <w:rPr>
          <w:rFonts w:ascii="ITC Avant Garde" w:hAnsi="ITC Avant Garde"/>
          <w:color w:val="auto"/>
        </w:rPr>
        <w:t xml:space="preserve"> modelos de negocio mayoristas, así como conservar la redacción de la Oferta vigente</w:t>
      </w:r>
      <w:r w:rsidR="0018389D">
        <w:rPr>
          <w:rStyle w:val="Refdenotaalpie"/>
          <w:rFonts w:ascii="ITC Avant Garde" w:hAnsi="ITC Avant Garde"/>
          <w:color w:val="auto"/>
        </w:rPr>
        <w:footnoteReference w:id="4"/>
      </w:r>
      <w:r w:rsidR="000E7E46">
        <w:rPr>
          <w:rFonts w:ascii="ITC Avant Garde" w:hAnsi="ITC Avant Garde"/>
          <w:color w:val="auto"/>
        </w:rPr>
        <w:t xml:space="preserve"> para asegurar la obligación del AEP de </w:t>
      </w:r>
      <w:r w:rsidR="000E7E46" w:rsidRPr="0039472B">
        <w:rPr>
          <w:rFonts w:ascii="ITC Avant Garde" w:hAnsi="ITC Avant Garde"/>
          <w:color w:val="auto"/>
        </w:rPr>
        <w:t xml:space="preserve">realizar las </w:t>
      </w:r>
      <w:r w:rsidR="000E7E46">
        <w:rPr>
          <w:rFonts w:ascii="ITC Avant Garde" w:hAnsi="ITC Avant Garde"/>
          <w:color w:val="auto"/>
        </w:rPr>
        <w:t>adaptaciones técnicas que sean</w:t>
      </w:r>
      <w:r w:rsidR="000E7E46" w:rsidRPr="0039472B">
        <w:rPr>
          <w:rFonts w:ascii="ITC Avant Garde" w:hAnsi="ITC Avant Garde"/>
          <w:color w:val="auto"/>
        </w:rPr>
        <w:t xml:space="preserve"> necesarios para soportar </w:t>
      </w:r>
      <w:r w:rsidR="000E7E46">
        <w:rPr>
          <w:rFonts w:ascii="ITC Avant Garde" w:hAnsi="ITC Avant Garde"/>
          <w:color w:val="auto"/>
        </w:rPr>
        <w:t>los modelos de negocios mayoristas.</w:t>
      </w:r>
    </w:p>
    <w:p w14:paraId="5BDB42FC" w14:textId="112C7284" w:rsidR="00B612B0" w:rsidRDefault="00B612B0" w:rsidP="0039472B">
      <w:pPr>
        <w:spacing w:after="0" w:line="276" w:lineRule="auto"/>
        <w:ind w:left="-5" w:right="49"/>
        <w:rPr>
          <w:rFonts w:ascii="ITC Avant Garde" w:hAnsi="ITC Avant Garde"/>
          <w:color w:val="auto"/>
        </w:rPr>
      </w:pPr>
    </w:p>
    <w:p w14:paraId="7D16CC30" w14:textId="77777777" w:rsidR="00B612B0" w:rsidRDefault="00B612B0" w:rsidP="00B612B0">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7131D970" w14:textId="40CF975D" w:rsidR="00B612B0" w:rsidRDefault="003A4E43" w:rsidP="0039472B">
      <w:pPr>
        <w:spacing w:after="0" w:line="276" w:lineRule="auto"/>
        <w:ind w:left="-5" w:right="49"/>
        <w:rPr>
          <w:rFonts w:ascii="ITC Avant Garde" w:hAnsi="ITC Avant Garde"/>
          <w:color w:val="auto"/>
        </w:rPr>
      </w:pPr>
      <w:r>
        <w:rPr>
          <w:rFonts w:ascii="ITC Avant Garde" w:hAnsi="ITC Avant Garde"/>
          <w:color w:val="auto"/>
        </w:rPr>
        <w:t>El numeral en cuestión ya establece la obligación de Telcel de realizar las adecuaciones técnicas y operativas para asegurar la prestación de los servicios a las redes mayoristas, tal como se muestra a continuación:</w:t>
      </w:r>
    </w:p>
    <w:p w14:paraId="76EEAF7C" w14:textId="43B219A8" w:rsidR="003A4E43" w:rsidRDefault="003A4E43" w:rsidP="0039472B">
      <w:pPr>
        <w:spacing w:after="0" w:line="276" w:lineRule="auto"/>
        <w:ind w:left="-5" w:right="49"/>
        <w:rPr>
          <w:rFonts w:ascii="ITC Avant Garde" w:hAnsi="ITC Avant Garde"/>
          <w:color w:val="auto"/>
        </w:rPr>
      </w:pPr>
    </w:p>
    <w:p w14:paraId="34C26A3B" w14:textId="77777777" w:rsidR="003A4E43" w:rsidRDefault="003A4E43" w:rsidP="003A4E43">
      <w:pPr>
        <w:spacing w:after="0" w:line="276" w:lineRule="auto"/>
        <w:ind w:left="567" w:right="615" w:firstLine="0"/>
        <w:rPr>
          <w:rFonts w:ascii="ITC Avant Garde" w:eastAsia="Calibri" w:hAnsi="ITC Avant Garde" w:cs="Arial"/>
          <w:i/>
          <w:color w:val="auto"/>
          <w:sz w:val="18"/>
          <w:szCs w:val="18"/>
          <w:lang w:eastAsia="en-US"/>
        </w:rPr>
      </w:pPr>
      <w:r w:rsidRPr="00DA6683">
        <w:rPr>
          <w:rFonts w:ascii="ITC Avant Garde" w:eastAsia="Calibri" w:hAnsi="ITC Avant Garde" w:cs="Arial"/>
          <w:i/>
          <w:color w:val="auto"/>
          <w:sz w:val="18"/>
          <w:szCs w:val="18"/>
          <w:lang w:eastAsia="en-US"/>
        </w:rPr>
        <w:t>“</w:t>
      </w:r>
      <w:r w:rsidRPr="00DA6683">
        <w:rPr>
          <w:rFonts w:ascii="ITC Avant Garde" w:eastAsia="Calibri" w:hAnsi="ITC Avant Garde" w:cs="Arial"/>
          <w:i/>
          <w:color w:val="auto"/>
          <w:sz w:val="18"/>
          <w:szCs w:val="18"/>
          <w:u w:val="single"/>
          <w:lang w:eastAsia="en-US"/>
        </w:rPr>
        <w:t>Lo anterior sin perjuicio de las adecuaciones técnicas y operativas particulares que deban realizarse a efecto de que Telcel preste el Servicio de la Oferta de Referencia a redes mayoristas</w:t>
      </w:r>
      <w:r w:rsidRPr="00DA6683">
        <w:rPr>
          <w:rFonts w:ascii="ITC Avant Garde" w:eastAsia="Calibri" w:hAnsi="ITC Avant Garde" w:cs="Arial"/>
          <w:i/>
          <w:color w:val="auto"/>
          <w:sz w:val="18"/>
          <w:szCs w:val="18"/>
          <w:lang w:eastAsia="en-US"/>
        </w:rPr>
        <w:t>.”</w:t>
      </w:r>
    </w:p>
    <w:p w14:paraId="451A1978" w14:textId="77777777" w:rsidR="00564B2E" w:rsidRDefault="00564B2E" w:rsidP="00564B2E">
      <w:pPr>
        <w:pStyle w:val="Prrafodelista"/>
        <w:ind w:left="6951" w:right="615" w:firstLine="129"/>
        <w:jc w:val="center"/>
        <w:rPr>
          <w:rFonts w:ascii="ITC Avant Garde" w:hAnsi="ITC Avant Garde" w:cs="Arial"/>
          <w:sz w:val="18"/>
          <w:szCs w:val="18"/>
        </w:rPr>
      </w:pPr>
      <w:r w:rsidRPr="003D5EB8">
        <w:rPr>
          <w:rFonts w:ascii="ITC Avant Garde" w:hAnsi="ITC Avant Garde" w:cs="Arial"/>
          <w:sz w:val="18"/>
          <w:szCs w:val="18"/>
        </w:rPr>
        <w:t>Énfasis añadido</w:t>
      </w:r>
    </w:p>
    <w:p w14:paraId="345F7F07" w14:textId="77777777" w:rsidR="003A4E43" w:rsidRPr="00AD66BC" w:rsidRDefault="003A4E43" w:rsidP="003A4E43">
      <w:pPr>
        <w:spacing w:after="0" w:line="276" w:lineRule="auto"/>
        <w:ind w:left="567" w:right="615" w:firstLine="0"/>
        <w:jc w:val="right"/>
        <w:rPr>
          <w:rFonts w:ascii="ITC Avant Garde" w:eastAsia="Calibri" w:hAnsi="ITC Avant Garde" w:cs="Arial"/>
          <w:i/>
          <w:color w:val="auto"/>
          <w:sz w:val="18"/>
          <w:szCs w:val="18"/>
          <w:lang w:eastAsia="en-US"/>
        </w:rPr>
      </w:pPr>
    </w:p>
    <w:p w14:paraId="4E98F261" w14:textId="18059A29" w:rsidR="003A4E43" w:rsidRDefault="003A4E43" w:rsidP="003A4E43">
      <w:pPr>
        <w:spacing w:after="0" w:line="276" w:lineRule="auto"/>
        <w:ind w:left="-5" w:right="49"/>
        <w:rPr>
          <w:rFonts w:ascii="ITC Avant Garde" w:hAnsi="ITC Avant Garde"/>
          <w:color w:val="auto"/>
        </w:rPr>
      </w:pPr>
      <w:r>
        <w:rPr>
          <w:rFonts w:ascii="ITC Avant Garde" w:hAnsi="ITC Avant Garde"/>
          <w:color w:val="auto"/>
        </w:rPr>
        <w:t>Sin embargo, el brindar</w:t>
      </w:r>
      <w:r w:rsidRPr="00243170">
        <w:rPr>
          <w:rFonts w:ascii="ITC Avant Garde" w:hAnsi="ITC Avant Garde"/>
          <w:color w:val="auto"/>
        </w:rPr>
        <w:t xml:space="preserve"> el servicio de usuario visitante a una red mayorista implica modificaciones técnicas de mayor complejidad a las consideradas en la Oferta, por lo que a efecto de no introducir ambigüedades en una oferta que tiene propósitos generales aplicables a cualquier concesionario, T</w:t>
      </w:r>
      <w:r>
        <w:rPr>
          <w:rFonts w:ascii="ITC Avant Garde" w:hAnsi="ITC Avant Garde"/>
          <w:color w:val="auto"/>
        </w:rPr>
        <w:t>elcel y la red mayorista deberán definir</w:t>
      </w:r>
      <w:r w:rsidRPr="00243170">
        <w:rPr>
          <w:rFonts w:ascii="ITC Avant Garde" w:hAnsi="ITC Avant Garde"/>
          <w:color w:val="auto"/>
        </w:rPr>
        <w:t xml:space="preserve"> los Acuerdos Técnicos que resulten</w:t>
      </w:r>
      <w:r>
        <w:rPr>
          <w:rFonts w:ascii="ITC Avant Garde" w:hAnsi="ITC Avant Garde"/>
          <w:color w:val="auto"/>
        </w:rPr>
        <w:t xml:space="preserve"> más apropiados para la prestación de los servicios, tal como se estableció en el párrafo anterior.</w:t>
      </w:r>
    </w:p>
    <w:p w14:paraId="29F7E7E5" w14:textId="49550C17" w:rsidR="00311C7B" w:rsidRDefault="00311C7B" w:rsidP="003A4E43">
      <w:pPr>
        <w:spacing w:after="0" w:line="276" w:lineRule="auto"/>
        <w:ind w:left="-5" w:right="49"/>
        <w:rPr>
          <w:rFonts w:ascii="ITC Avant Garde" w:hAnsi="ITC Avant Garde"/>
          <w:color w:val="auto"/>
        </w:rPr>
      </w:pPr>
    </w:p>
    <w:p w14:paraId="2038D48D" w14:textId="6F169845" w:rsidR="00311C7B" w:rsidRDefault="00311C7B" w:rsidP="00311C7B">
      <w:pPr>
        <w:spacing w:after="0" w:line="276" w:lineRule="auto"/>
        <w:ind w:right="0"/>
        <w:rPr>
          <w:rFonts w:ascii="ITC Avant Garde" w:hAnsi="ITC Avant Garde"/>
          <w:b/>
          <w:color w:val="auto"/>
          <w:u w:val="single"/>
        </w:rPr>
      </w:pPr>
      <w:r>
        <w:rPr>
          <w:rFonts w:ascii="ITC Avant Garde" w:hAnsi="ITC Avant Garde"/>
          <w:b/>
          <w:color w:val="auto"/>
          <w:u w:val="single"/>
        </w:rPr>
        <w:t>Cláusula Cuarta. Contraprestaciones</w:t>
      </w:r>
    </w:p>
    <w:p w14:paraId="3F3EE7AF" w14:textId="7AAD8A6A" w:rsidR="00311C7B" w:rsidRPr="00CC6F12" w:rsidRDefault="00502743" w:rsidP="00311C7B">
      <w:pPr>
        <w:spacing w:after="0" w:line="276" w:lineRule="auto"/>
        <w:ind w:left="0" w:right="0" w:firstLine="0"/>
        <w:rPr>
          <w:rFonts w:ascii="ITC Avant Garde" w:hAnsi="ITC Avant Garde"/>
          <w:b/>
          <w:color w:val="auto"/>
        </w:rPr>
      </w:pPr>
      <w:r>
        <w:rPr>
          <w:rFonts w:ascii="ITC Avant Garde" w:hAnsi="ITC Avant Garde"/>
          <w:b/>
          <w:color w:val="auto"/>
        </w:rPr>
        <w:lastRenderedPageBreak/>
        <w:t>CANIETI</w:t>
      </w:r>
      <w:r w:rsidR="00F3554D">
        <w:rPr>
          <w:rFonts w:ascii="ITC Avant Garde" w:hAnsi="ITC Avant Garde"/>
          <w:b/>
          <w:color w:val="auto"/>
        </w:rPr>
        <w:t>, Televisa</w:t>
      </w:r>
      <w:r w:rsidR="00311C7B" w:rsidRPr="00CC6F12">
        <w:rPr>
          <w:rFonts w:ascii="ITC Avant Garde" w:hAnsi="ITC Avant Garde"/>
          <w:b/>
          <w:color w:val="auto"/>
        </w:rPr>
        <w:t>:</w:t>
      </w:r>
    </w:p>
    <w:p w14:paraId="5EBDB861" w14:textId="0C0038B9" w:rsidR="00311C7B" w:rsidRDefault="00EF5F0E" w:rsidP="00311C7B">
      <w:pPr>
        <w:spacing w:after="0" w:line="276" w:lineRule="auto"/>
        <w:ind w:left="-5" w:right="49"/>
        <w:rPr>
          <w:rFonts w:ascii="ITC Avant Garde" w:hAnsi="ITC Avant Garde"/>
          <w:color w:val="auto"/>
        </w:rPr>
      </w:pPr>
      <w:r>
        <w:rPr>
          <w:rFonts w:ascii="ITC Avant Garde" w:hAnsi="ITC Avant Garde"/>
          <w:color w:val="auto"/>
        </w:rPr>
        <w:t>Indica que las tarifas para la Comercialización o Reventa del Servicio por parte de los Operadores Móviles Virtuales son mucho menores que las tarifas para acceder al servicio de Usuario Visitante, aunque los costos de este úl</w:t>
      </w:r>
      <w:r w:rsidR="000363CC">
        <w:rPr>
          <w:rFonts w:ascii="ITC Avant Garde" w:hAnsi="ITC Avant Garde"/>
          <w:color w:val="auto"/>
        </w:rPr>
        <w:t xml:space="preserve">timo sean menores. </w:t>
      </w:r>
      <w:r w:rsidR="00906176">
        <w:rPr>
          <w:rFonts w:ascii="ITC Avant Garde" w:hAnsi="ITC Avant Garde"/>
          <w:color w:val="auto"/>
        </w:rPr>
        <w:t xml:space="preserve">Refieren que es necesario que el Instituto garantice el acceso a tarifas definidas mediante una metodología orientada a costos. </w:t>
      </w:r>
    </w:p>
    <w:p w14:paraId="7F8CC847" w14:textId="00F6E9F0" w:rsidR="00CB1C20" w:rsidRDefault="00CB1C20" w:rsidP="00311C7B">
      <w:pPr>
        <w:spacing w:after="0" w:line="276" w:lineRule="auto"/>
        <w:ind w:left="-5" w:right="49"/>
        <w:rPr>
          <w:rFonts w:ascii="ITC Avant Garde" w:hAnsi="ITC Avant Garde"/>
          <w:color w:val="auto"/>
        </w:rPr>
      </w:pPr>
    </w:p>
    <w:p w14:paraId="14722848" w14:textId="77777777" w:rsidR="00CB1C20" w:rsidRDefault="00CB1C20" w:rsidP="00CB1C20">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323FFBBB" w14:textId="77777777" w:rsidR="001B3B3B" w:rsidRDefault="001B3B3B" w:rsidP="001B3B3B">
      <w:pPr>
        <w:spacing w:after="0" w:line="276" w:lineRule="auto"/>
        <w:ind w:left="0" w:right="0" w:firstLine="0"/>
        <w:rPr>
          <w:rFonts w:ascii="ITC Avant Garde" w:hAnsi="ITC Avant Garde"/>
          <w:color w:val="auto"/>
        </w:rPr>
      </w:pPr>
      <w:r>
        <w:rPr>
          <w:rFonts w:ascii="ITC Avant Garde" w:hAnsi="ITC Avant Garde"/>
          <w:color w:val="auto"/>
        </w:rPr>
        <w:t>La definición de los lineamientos metodológicos para la elaboración del modelo de costos utilizado por el Instituto para determinar las tarifas en caso de desacuerdos excede el alcance de la presente consulta. Además, en términos de la Medida Sexagésima primera de las Medidas Móviles, Telcel y el concesionario tienen la libertad de negociar las tarifas aplicables independientemente de las establecidas en la Oferta, tal como se muestra a continuación:</w:t>
      </w:r>
    </w:p>
    <w:p w14:paraId="5BA8FD3D" w14:textId="77777777" w:rsidR="001B3B3B" w:rsidRDefault="001B3B3B" w:rsidP="001B3B3B">
      <w:pPr>
        <w:spacing w:after="0" w:line="276" w:lineRule="auto"/>
        <w:ind w:left="0" w:right="0" w:firstLine="0"/>
        <w:rPr>
          <w:rFonts w:ascii="ITC Avant Garde" w:hAnsi="ITC Avant Garde"/>
          <w:color w:val="auto"/>
        </w:rPr>
      </w:pPr>
    </w:p>
    <w:p w14:paraId="7D07F1DC" w14:textId="77777777" w:rsidR="001B3B3B" w:rsidRDefault="001B3B3B" w:rsidP="001B3B3B">
      <w:pPr>
        <w:spacing w:after="0" w:line="276" w:lineRule="auto"/>
        <w:ind w:left="567"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r w:rsidRPr="00EB2325">
        <w:rPr>
          <w:rFonts w:ascii="ITC Avant Garde" w:eastAsia="Calibri" w:hAnsi="ITC Avant Garde" w:cs="Arial"/>
          <w:i/>
          <w:color w:val="auto"/>
          <w:sz w:val="18"/>
          <w:szCs w:val="18"/>
          <w:lang w:eastAsia="en-US"/>
        </w:rPr>
        <w:t xml:space="preserve">SEXAGÉSIMA PRIMERA.- El Agente Económico Preponderante incluirá las tarifas aplicables al Servicio Mayorista de Comercialización o Reventa de Servicios, al menos para el modelo de Operador Móvil Virtual revendedor, en la Oferta de Referencia aprobada por el Instituto. </w:t>
      </w:r>
    </w:p>
    <w:p w14:paraId="34D689EC" w14:textId="77777777" w:rsidR="001B3B3B" w:rsidRPr="00EB2325" w:rsidRDefault="001B3B3B" w:rsidP="001B3B3B">
      <w:pPr>
        <w:spacing w:after="0" w:line="276" w:lineRule="auto"/>
        <w:ind w:left="567" w:right="615" w:firstLine="0"/>
        <w:rPr>
          <w:rFonts w:ascii="ITC Avant Garde" w:eastAsia="Calibri" w:hAnsi="ITC Avant Garde" w:cs="Arial"/>
          <w:i/>
          <w:color w:val="auto"/>
          <w:sz w:val="18"/>
          <w:szCs w:val="18"/>
          <w:lang w:eastAsia="en-US"/>
        </w:rPr>
      </w:pPr>
    </w:p>
    <w:p w14:paraId="2575E619" w14:textId="77777777" w:rsidR="001B3B3B" w:rsidRPr="002221C0" w:rsidRDefault="001B3B3B" w:rsidP="001B3B3B">
      <w:pPr>
        <w:spacing w:after="0" w:line="276" w:lineRule="auto"/>
        <w:ind w:left="567" w:right="615" w:firstLine="0"/>
        <w:rPr>
          <w:rFonts w:ascii="ITC Avant Garde" w:eastAsia="Calibri" w:hAnsi="ITC Avant Garde" w:cs="Arial"/>
          <w:i/>
          <w:color w:val="auto"/>
          <w:sz w:val="18"/>
          <w:szCs w:val="18"/>
          <w:u w:val="single"/>
          <w:lang w:eastAsia="en-US"/>
        </w:rPr>
      </w:pPr>
      <w:r w:rsidRPr="002221C0">
        <w:rPr>
          <w:rFonts w:ascii="ITC Avant Garde" w:eastAsia="Calibri" w:hAnsi="ITC Avant Garde" w:cs="Arial"/>
          <w:i/>
          <w:color w:val="auto"/>
          <w:sz w:val="18"/>
          <w:szCs w:val="18"/>
          <w:u w:val="single"/>
          <w:lang w:eastAsia="en-US"/>
        </w:rPr>
        <w:t xml:space="preserve">Independientemente de las tarifas establecidas en la Oferta de Referencia, el Agente Económico Preponderante y el Operador Móvil Virtual, sin importar el modelo de negocios, podrán negociar entre sí nuevas tarifas. </w:t>
      </w:r>
    </w:p>
    <w:p w14:paraId="37090BDF" w14:textId="77777777" w:rsidR="001B3B3B" w:rsidRPr="00EB2325" w:rsidRDefault="001B3B3B" w:rsidP="001B3B3B">
      <w:pPr>
        <w:spacing w:after="0" w:line="276" w:lineRule="auto"/>
        <w:ind w:left="567" w:right="615" w:firstLine="0"/>
        <w:rPr>
          <w:rFonts w:ascii="ITC Avant Garde" w:eastAsia="Calibri" w:hAnsi="ITC Avant Garde" w:cs="Arial"/>
          <w:i/>
          <w:color w:val="auto"/>
          <w:sz w:val="18"/>
          <w:szCs w:val="18"/>
          <w:lang w:eastAsia="en-US"/>
        </w:rPr>
      </w:pPr>
    </w:p>
    <w:p w14:paraId="71194C17" w14:textId="77777777" w:rsidR="001B3B3B" w:rsidRDefault="001B3B3B" w:rsidP="001B3B3B">
      <w:pPr>
        <w:spacing w:after="0" w:line="276" w:lineRule="auto"/>
        <w:ind w:left="567" w:right="615" w:firstLine="0"/>
        <w:rPr>
          <w:rFonts w:ascii="ITC Avant Garde" w:eastAsia="Calibri" w:hAnsi="ITC Avant Garde" w:cs="Arial"/>
          <w:i/>
          <w:color w:val="auto"/>
          <w:sz w:val="18"/>
          <w:szCs w:val="18"/>
          <w:lang w:eastAsia="en-US"/>
        </w:rPr>
      </w:pPr>
      <w:r w:rsidRPr="00EB2325">
        <w:rPr>
          <w:rFonts w:ascii="ITC Avant Garde" w:eastAsia="Calibri" w:hAnsi="ITC Avant Garde" w:cs="Arial"/>
          <w:i/>
          <w:color w:val="auto"/>
          <w:sz w:val="18"/>
          <w:szCs w:val="18"/>
          <w:lang w:eastAsia="en-US"/>
        </w:rPr>
        <w:t>Si transcurridos 60(sesenta) días naturales contados a partir del inicio de las negociaciones, las partes no han celebrado un acuerdo, o antes si así lo requieren ambas partes, podrán solicitar la intervención del Instituto para resolver el desacuerdo. En dicho caso, el Instituto determinará las tarifas con base en una metodología de costos evitados y un operador eficiente, que al efecto emita.</w:t>
      </w:r>
    </w:p>
    <w:p w14:paraId="0DAA4504" w14:textId="77777777" w:rsidR="001B3B3B" w:rsidRPr="00EB2325" w:rsidRDefault="001B3B3B" w:rsidP="001B3B3B">
      <w:pPr>
        <w:spacing w:after="0" w:line="276" w:lineRule="auto"/>
        <w:ind w:left="567"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p>
    <w:p w14:paraId="5826553C" w14:textId="77777777" w:rsidR="001B3B3B" w:rsidRDefault="001B3B3B" w:rsidP="001B3B3B">
      <w:pPr>
        <w:spacing w:after="0" w:line="276" w:lineRule="auto"/>
        <w:ind w:left="0" w:right="0" w:firstLine="0"/>
        <w:rPr>
          <w:rFonts w:ascii="ITC Avant Garde" w:hAnsi="ITC Avant Garde"/>
          <w:color w:val="auto"/>
        </w:rPr>
      </w:pPr>
    </w:p>
    <w:p w14:paraId="51A0D422" w14:textId="77777777" w:rsidR="001B3B3B" w:rsidRDefault="001B3B3B" w:rsidP="001B3B3B">
      <w:pPr>
        <w:spacing w:after="0" w:line="276" w:lineRule="auto"/>
        <w:ind w:left="0" w:right="0" w:firstLine="0"/>
        <w:rPr>
          <w:rFonts w:ascii="ITC Avant Garde" w:hAnsi="ITC Avant Garde"/>
          <w:color w:val="auto"/>
        </w:rPr>
      </w:pPr>
      <w:r w:rsidRPr="00775AF9">
        <w:rPr>
          <w:rFonts w:ascii="ITC Avant Garde" w:hAnsi="ITC Avant Garde"/>
          <w:color w:val="auto"/>
        </w:rPr>
        <w:t>Tal como señala la medida citada anteriormente, en caso de desacuerdo el Instituto determinará las tarifas. Por lo anterior, la Oferta se mantiene en los mismos términos.</w:t>
      </w:r>
    </w:p>
    <w:p w14:paraId="24CAAE99" w14:textId="5CA887D0" w:rsidR="002E1EB4" w:rsidRDefault="002E1EB4" w:rsidP="003A4E43">
      <w:pPr>
        <w:spacing w:after="0" w:line="276" w:lineRule="auto"/>
        <w:ind w:left="-5" w:right="49"/>
        <w:rPr>
          <w:rFonts w:ascii="ITC Avant Garde" w:hAnsi="ITC Avant Garde"/>
          <w:color w:val="auto"/>
        </w:rPr>
      </w:pPr>
    </w:p>
    <w:p w14:paraId="5A5AA519" w14:textId="70CD6E10" w:rsidR="002E1EB4" w:rsidRDefault="002E1EB4" w:rsidP="002E1EB4">
      <w:pPr>
        <w:spacing w:after="0" w:line="276" w:lineRule="auto"/>
        <w:ind w:right="0"/>
        <w:rPr>
          <w:rFonts w:ascii="ITC Avant Garde" w:hAnsi="ITC Avant Garde"/>
          <w:b/>
          <w:color w:val="auto"/>
          <w:u w:val="single"/>
        </w:rPr>
      </w:pPr>
      <w:r w:rsidRPr="00880F91">
        <w:rPr>
          <w:rFonts w:ascii="ITC Avant Garde" w:hAnsi="ITC Avant Garde"/>
          <w:b/>
          <w:color w:val="auto"/>
          <w:u w:val="single"/>
        </w:rPr>
        <w:t xml:space="preserve">4.3.1.1 </w:t>
      </w:r>
      <w:r>
        <w:rPr>
          <w:rFonts w:ascii="ITC Avant Garde" w:hAnsi="ITC Avant Garde"/>
          <w:b/>
          <w:color w:val="auto"/>
          <w:u w:val="single"/>
        </w:rPr>
        <w:t>Garantías Aplicables al Esquema de P</w:t>
      </w:r>
      <w:r w:rsidRPr="00880F91">
        <w:rPr>
          <w:rFonts w:ascii="ITC Avant Garde" w:hAnsi="ITC Avant Garde"/>
          <w:b/>
          <w:color w:val="auto"/>
          <w:u w:val="single"/>
        </w:rPr>
        <w:t>ospago</w:t>
      </w:r>
    </w:p>
    <w:p w14:paraId="3F0D7E28" w14:textId="77777777" w:rsidR="002E1EB4" w:rsidRPr="00CC6F12" w:rsidRDefault="002E1EB4" w:rsidP="002E1EB4">
      <w:pPr>
        <w:spacing w:after="0" w:line="276" w:lineRule="auto"/>
        <w:ind w:left="0" w:right="0" w:firstLine="0"/>
        <w:rPr>
          <w:rFonts w:ascii="ITC Avant Garde" w:hAnsi="ITC Avant Garde"/>
          <w:b/>
          <w:color w:val="auto"/>
        </w:rPr>
      </w:pPr>
      <w:r w:rsidRPr="00CC6F12">
        <w:rPr>
          <w:rFonts w:ascii="ITC Avant Garde" w:hAnsi="ITC Avant Garde"/>
          <w:b/>
          <w:color w:val="auto"/>
        </w:rPr>
        <w:t>Altán:</w:t>
      </w:r>
    </w:p>
    <w:p w14:paraId="718E6662" w14:textId="05D87AC8" w:rsidR="00CC6F12" w:rsidRDefault="002E1EB4" w:rsidP="002E1EB4">
      <w:pPr>
        <w:spacing w:after="0" w:line="276" w:lineRule="auto"/>
        <w:ind w:right="0"/>
        <w:rPr>
          <w:rFonts w:ascii="ITC Avant Garde" w:hAnsi="ITC Avant Garde"/>
          <w:color w:val="auto"/>
        </w:rPr>
      </w:pPr>
      <w:r w:rsidRPr="00CC6F12">
        <w:rPr>
          <w:rFonts w:ascii="ITC Avant Garde" w:hAnsi="ITC Avant Garde"/>
          <w:color w:val="auto"/>
        </w:rPr>
        <w:t>Menciona que</w:t>
      </w:r>
      <w:r w:rsidR="00CC6F12" w:rsidRPr="00CC6F12">
        <w:rPr>
          <w:rFonts w:ascii="ITC Avant Garde" w:hAnsi="ITC Avant Garde"/>
          <w:color w:val="auto"/>
        </w:rPr>
        <w:t xml:space="preserve"> la reducción del plazo para constituir y entregar la garantía a favor de Telcel impone una dificultad logística injustificada al solicitante, por lo que propone mantener el plazo de 10 días hábiles.</w:t>
      </w:r>
    </w:p>
    <w:p w14:paraId="5CEAF105" w14:textId="579F4A6A" w:rsidR="00B93B09" w:rsidRDefault="00B93B09" w:rsidP="002E1EB4">
      <w:pPr>
        <w:spacing w:after="0" w:line="276" w:lineRule="auto"/>
        <w:ind w:right="0"/>
        <w:rPr>
          <w:rFonts w:ascii="ITC Avant Garde" w:hAnsi="ITC Avant Garde"/>
          <w:color w:val="auto"/>
        </w:rPr>
      </w:pPr>
    </w:p>
    <w:p w14:paraId="63166A53" w14:textId="77777777" w:rsidR="00B93B09" w:rsidRDefault="00B93B09" w:rsidP="00B93B09">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14F6B487" w14:textId="1F4FCF14" w:rsidR="00B93B09" w:rsidRDefault="00B93B09" w:rsidP="00B93B09">
      <w:pPr>
        <w:spacing w:after="0" w:line="276" w:lineRule="auto"/>
        <w:ind w:right="0"/>
        <w:rPr>
          <w:rFonts w:ascii="ITC Avant Garde" w:hAnsi="ITC Avant Garde"/>
          <w:color w:val="auto"/>
        </w:rPr>
      </w:pPr>
      <w:r>
        <w:rPr>
          <w:rFonts w:ascii="ITC Avant Garde" w:hAnsi="ITC Avant Garde"/>
          <w:color w:val="auto"/>
        </w:rPr>
        <w:t xml:space="preserve">Se señala que la Oferta </w:t>
      </w:r>
      <w:r w:rsidR="007B1555">
        <w:rPr>
          <w:rFonts w:ascii="ITC Avant Garde" w:hAnsi="ITC Avant Garde"/>
          <w:color w:val="auto"/>
        </w:rPr>
        <w:t xml:space="preserve">vigente </w:t>
      </w:r>
      <w:r>
        <w:rPr>
          <w:rFonts w:ascii="ITC Avant Garde" w:hAnsi="ITC Avant Garde"/>
          <w:color w:val="auto"/>
        </w:rPr>
        <w:t>contempla un plazo de 5 (cinco) días hábiles posteriores a la firma del Convenio para constituir y entregar la garantía a favor de Telcel, tal como se muestra a continuación:</w:t>
      </w:r>
    </w:p>
    <w:p w14:paraId="19ED02CB" w14:textId="5030311D" w:rsidR="00B93B09" w:rsidRDefault="00B93B09" w:rsidP="00B93B09">
      <w:pPr>
        <w:spacing w:after="0" w:line="276" w:lineRule="auto"/>
        <w:ind w:right="0"/>
        <w:rPr>
          <w:rFonts w:ascii="ITC Avant Garde" w:hAnsi="ITC Avant Garde"/>
          <w:color w:val="auto"/>
        </w:rPr>
      </w:pPr>
    </w:p>
    <w:p w14:paraId="33975F73" w14:textId="75915840" w:rsidR="00564B2E" w:rsidRPr="00564B2E" w:rsidRDefault="00564B2E" w:rsidP="00564B2E">
      <w:pPr>
        <w:spacing w:after="0" w:line="276" w:lineRule="auto"/>
        <w:ind w:left="567" w:right="615" w:firstLine="0"/>
        <w:rPr>
          <w:rFonts w:ascii="ITC Avant Garde" w:eastAsia="Calibri" w:hAnsi="ITC Avant Garde" w:cs="Arial"/>
          <w:i/>
          <w:color w:val="auto"/>
          <w:sz w:val="18"/>
          <w:szCs w:val="18"/>
          <w:lang w:eastAsia="en-US"/>
        </w:rPr>
      </w:pPr>
      <w:bookmarkStart w:id="3" w:name="_Toc520792974"/>
      <w:r>
        <w:rPr>
          <w:rFonts w:ascii="ITC Avant Garde" w:eastAsia="Calibri" w:hAnsi="ITC Avant Garde" w:cs="Arial"/>
          <w:i/>
          <w:color w:val="auto"/>
          <w:sz w:val="18"/>
          <w:szCs w:val="18"/>
          <w:lang w:eastAsia="en-US"/>
        </w:rPr>
        <w:t>“</w:t>
      </w:r>
      <w:r w:rsidRPr="00564B2E">
        <w:rPr>
          <w:rFonts w:ascii="ITC Avant Garde" w:eastAsia="Calibri" w:hAnsi="ITC Avant Garde" w:cs="Arial"/>
          <w:i/>
          <w:color w:val="auto"/>
          <w:sz w:val="18"/>
          <w:szCs w:val="18"/>
          <w:lang w:eastAsia="en-US"/>
        </w:rPr>
        <w:t>4.3.1.1 GARANTÍAS APLICABLES AL ESQUEMA DE POSPAGO.</w:t>
      </w:r>
      <w:bookmarkEnd w:id="3"/>
    </w:p>
    <w:p w14:paraId="63D906A4" w14:textId="00B16297" w:rsidR="00564B2E" w:rsidRPr="00564B2E" w:rsidRDefault="00564B2E" w:rsidP="00564B2E">
      <w:pPr>
        <w:spacing w:after="0" w:line="276" w:lineRule="auto"/>
        <w:ind w:left="567" w:right="615" w:firstLine="0"/>
        <w:rPr>
          <w:rFonts w:ascii="ITC Avant Garde" w:eastAsia="Calibri" w:hAnsi="ITC Avant Garde" w:cs="Arial"/>
          <w:i/>
          <w:color w:val="auto"/>
          <w:sz w:val="18"/>
          <w:szCs w:val="18"/>
          <w:lang w:eastAsia="en-US"/>
        </w:rPr>
      </w:pPr>
      <w:r w:rsidRPr="00564B2E">
        <w:rPr>
          <w:rFonts w:ascii="ITC Avant Garde" w:eastAsia="Calibri" w:hAnsi="ITC Avant Garde" w:cs="Arial"/>
          <w:i/>
          <w:color w:val="auto"/>
          <w:sz w:val="18"/>
          <w:szCs w:val="18"/>
          <w:lang w:eastAsia="en-US"/>
        </w:rPr>
        <w:t>(…)</w:t>
      </w:r>
    </w:p>
    <w:p w14:paraId="235AF4C3" w14:textId="5578EBE8" w:rsidR="00B93B09" w:rsidRDefault="00B93B09" w:rsidP="00B93B09">
      <w:pPr>
        <w:spacing w:after="0" w:line="276" w:lineRule="auto"/>
        <w:ind w:left="567" w:right="615" w:firstLine="0"/>
        <w:rPr>
          <w:rFonts w:ascii="ITC Avant Garde" w:eastAsia="Calibri" w:hAnsi="ITC Avant Garde" w:cs="Arial"/>
          <w:i/>
          <w:color w:val="auto"/>
          <w:sz w:val="18"/>
          <w:szCs w:val="18"/>
          <w:lang w:eastAsia="en-US"/>
        </w:rPr>
      </w:pPr>
      <w:r w:rsidRPr="00B93B09">
        <w:rPr>
          <w:rFonts w:ascii="ITC Avant Garde" w:eastAsia="Calibri" w:hAnsi="ITC Avant Garde" w:cs="Arial"/>
          <w:i/>
          <w:color w:val="auto"/>
          <w:sz w:val="18"/>
          <w:szCs w:val="18"/>
          <w:lang w:eastAsia="en-US"/>
        </w:rPr>
        <w:t xml:space="preserve">El Concesionario se obliga </w:t>
      </w:r>
      <w:r w:rsidRPr="00564B2E">
        <w:rPr>
          <w:rFonts w:ascii="ITC Avant Garde" w:eastAsia="Calibri" w:hAnsi="ITC Avant Garde" w:cs="Arial"/>
          <w:i/>
          <w:color w:val="auto"/>
          <w:sz w:val="18"/>
          <w:szCs w:val="18"/>
          <w:u w:val="single"/>
          <w:lang w:eastAsia="en-US"/>
        </w:rPr>
        <w:t>5 (cinco) días hábiles</w:t>
      </w:r>
      <w:r w:rsidRPr="00B93B09">
        <w:rPr>
          <w:rFonts w:ascii="ITC Avant Garde" w:eastAsia="Calibri" w:hAnsi="ITC Avant Garde" w:cs="Arial"/>
          <w:i/>
          <w:color w:val="auto"/>
          <w:sz w:val="18"/>
          <w:szCs w:val="18"/>
          <w:lang w:eastAsia="en-US"/>
        </w:rPr>
        <w:t xml:space="preserve"> posteriores a la firma del Convenio, a constituir y entregar en original la Garantía en favor de Telcel o a la entrada en vigor del presente esquema.</w:t>
      </w:r>
      <w:r w:rsidR="00564B2E">
        <w:rPr>
          <w:rFonts w:ascii="ITC Avant Garde" w:eastAsia="Calibri" w:hAnsi="ITC Avant Garde" w:cs="Arial"/>
          <w:i/>
          <w:color w:val="auto"/>
          <w:sz w:val="18"/>
          <w:szCs w:val="18"/>
          <w:lang w:eastAsia="en-US"/>
        </w:rPr>
        <w:t>”</w:t>
      </w:r>
      <w:r w:rsidRPr="00B93B09">
        <w:rPr>
          <w:rFonts w:ascii="ITC Avant Garde" w:eastAsia="Calibri" w:hAnsi="ITC Avant Garde" w:cs="Arial"/>
          <w:i/>
          <w:color w:val="auto"/>
          <w:sz w:val="18"/>
          <w:szCs w:val="18"/>
          <w:lang w:eastAsia="en-US"/>
        </w:rPr>
        <w:t xml:space="preserve"> </w:t>
      </w:r>
    </w:p>
    <w:p w14:paraId="4E7BBEE4" w14:textId="77777777" w:rsidR="00564B2E" w:rsidRDefault="00564B2E" w:rsidP="00564B2E">
      <w:pPr>
        <w:pStyle w:val="Prrafodelista"/>
        <w:ind w:left="6951" w:right="615" w:firstLine="129"/>
        <w:jc w:val="center"/>
        <w:rPr>
          <w:rFonts w:ascii="ITC Avant Garde" w:hAnsi="ITC Avant Garde" w:cs="Arial"/>
          <w:sz w:val="18"/>
          <w:szCs w:val="18"/>
        </w:rPr>
      </w:pPr>
      <w:r w:rsidRPr="003D5EB8">
        <w:rPr>
          <w:rFonts w:ascii="ITC Avant Garde" w:hAnsi="ITC Avant Garde" w:cs="Arial"/>
          <w:sz w:val="18"/>
          <w:szCs w:val="18"/>
        </w:rPr>
        <w:t>Énfasis añadido</w:t>
      </w:r>
    </w:p>
    <w:p w14:paraId="1AFF14A6" w14:textId="77777777" w:rsidR="00564B2E" w:rsidRPr="00B93B09" w:rsidRDefault="00564B2E" w:rsidP="00B93B09">
      <w:pPr>
        <w:spacing w:after="0" w:line="276" w:lineRule="auto"/>
        <w:ind w:left="567" w:right="615" w:firstLine="0"/>
        <w:rPr>
          <w:rFonts w:ascii="ITC Avant Garde" w:eastAsia="Calibri" w:hAnsi="ITC Avant Garde" w:cs="Arial"/>
          <w:i/>
          <w:color w:val="auto"/>
          <w:sz w:val="18"/>
          <w:szCs w:val="18"/>
          <w:lang w:eastAsia="en-US"/>
        </w:rPr>
      </w:pPr>
    </w:p>
    <w:p w14:paraId="3CCA32EA" w14:textId="70FC4022" w:rsidR="00B93B09" w:rsidRDefault="007B1555" w:rsidP="00B93B09">
      <w:pPr>
        <w:spacing w:after="0" w:line="276" w:lineRule="auto"/>
        <w:ind w:right="0"/>
        <w:rPr>
          <w:rFonts w:ascii="ITC Avant Garde" w:hAnsi="ITC Avant Garde"/>
          <w:color w:val="auto"/>
        </w:rPr>
      </w:pPr>
      <w:r>
        <w:rPr>
          <w:rFonts w:ascii="ITC Avant Garde" w:hAnsi="ITC Avant Garde"/>
          <w:color w:val="auto"/>
        </w:rPr>
        <w:t>Sin embargo, la Oferta contempla un plazo de 10 d</w:t>
      </w:r>
      <w:r w:rsidR="00875071">
        <w:rPr>
          <w:rFonts w:ascii="ITC Avant Garde" w:hAnsi="ITC Avant Garde"/>
          <w:color w:val="auto"/>
        </w:rPr>
        <w:t xml:space="preserve">ías naturales para </w:t>
      </w:r>
      <w:r>
        <w:rPr>
          <w:rFonts w:ascii="ITC Avant Garde" w:hAnsi="ITC Avant Garde"/>
          <w:color w:val="auto"/>
        </w:rPr>
        <w:t>ajustar la garant</w:t>
      </w:r>
      <w:r w:rsidR="00875071">
        <w:rPr>
          <w:rFonts w:ascii="ITC Avant Garde" w:hAnsi="ITC Avant Garde"/>
          <w:color w:val="auto"/>
        </w:rPr>
        <w:t>ía:</w:t>
      </w:r>
    </w:p>
    <w:p w14:paraId="1835412E" w14:textId="3FB213FA" w:rsidR="00E17917" w:rsidRDefault="00E17917" w:rsidP="00B93B09">
      <w:pPr>
        <w:spacing w:after="0" w:line="276" w:lineRule="auto"/>
        <w:ind w:right="0"/>
        <w:rPr>
          <w:rFonts w:ascii="ITC Avant Garde" w:hAnsi="ITC Avant Garde"/>
          <w:color w:val="auto"/>
        </w:rPr>
      </w:pPr>
    </w:p>
    <w:p w14:paraId="700F187E" w14:textId="0324A6F0" w:rsidR="00E17917" w:rsidRDefault="00E17917" w:rsidP="00E17917">
      <w:pPr>
        <w:spacing w:after="0" w:line="276" w:lineRule="auto"/>
        <w:ind w:left="567"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p>
    <w:p w14:paraId="26C8E93F" w14:textId="4110B497" w:rsidR="00E17917" w:rsidRDefault="00E17917" w:rsidP="00E17917">
      <w:pPr>
        <w:spacing w:after="0" w:line="276" w:lineRule="auto"/>
        <w:ind w:left="567" w:right="615" w:firstLine="0"/>
        <w:rPr>
          <w:rFonts w:ascii="ITC Avant Garde" w:eastAsia="Calibri" w:hAnsi="ITC Avant Garde" w:cs="Arial"/>
          <w:i/>
          <w:color w:val="auto"/>
          <w:sz w:val="18"/>
          <w:szCs w:val="18"/>
          <w:lang w:eastAsia="en-US"/>
        </w:rPr>
      </w:pPr>
      <w:r w:rsidRPr="00E17917">
        <w:rPr>
          <w:rFonts w:ascii="ITC Avant Garde" w:eastAsia="Calibri" w:hAnsi="ITC Avant Garde" w:cs="Arial"/>
          <w:i/>
          <w:color w:val="auto"/>
          <w:sz w:val="18"/>
          <w:szCs w:val="18"/>
          <w:lang w:eastAsia="en-US"/>
        </w:rPr>
        <w:t xml:space="preserve">Una vez que Telcel notifique al Concesionario el monto ajustado de la Garantía, éste último deberá entregar a Telcel la Garantía en original en un plazo no mayor de </w:t>
      </w:r>
      <w:r w:rsidRPr="00E17917">
        <w:rPr>
          <w:rFonts w:ascii="ITC Avant Garde" w:eastAsia="Calibri" w:hAnsi="ITC Avant Garde" w:cs="Arial"/>
          <w:i/>
          <w:color w:val="auto"/>
          <w:sz w:val="18"/>
          <w:szCs w:val="18"/>
          <w:u w:val="single"/>
          <w:lang w:eastAsia="en-US"/>
        </w:rPr>
        <w:t>10 (diez) días naturales</w:t>
      </w:r>
      <w:r w:rsidRPr="00E17917">
        <w:rPr>
          <w:rFonts w:ascii="ITC Avant Garde" w:eastAsia="Calibri" w:hAnsi="ITC Avant Garde" w:cs="Arial"/>
          <w:i/>
          <w:color w:val="auto"/>
          <w:sz w:val="18"/>
          <w:szCs w:val="18"/>
          <w:lang w:eastAsia="en-US"/>
        </w:rPr>
        <w:t xml:space="preserve"> contados a partir de la notificación por parte de Telcel al correo señalado en el Anexo A Precios y Tarifas, del monto ajustado de la Garantía. </w:t>
      </w:r>
    </w:p>
    <w:p w14:paraId="38ECC957" w14:textId="57A4EBC5" w:rsidR="00E17917" w:rsidRPr="00E17917" w:rsidRDefault="00E17917" w:rsidP="00E17917">
      <w:pPr>
        <w:spacing w:after="0" w:line="276" w:lineRule="auto"/>
        <w:ind w:left="567"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p>
    <w:p w14:paraId="728CBA5E" w14:textId="77777777" w:rsidR="00E17917" w:rsidRDefault="00E17917" w:rsidP="00E17917">
      <w:pPr>
        <w:pStyle w:val="Prrafodelista"/>
        <w:ind w:left="6951" w:right="615" w:firstLine="129"/>
        <w:jc w:val="center"/>
        <w:rPr>
          <w:rFonts w:ascii="ITC Avant Garde" w:hAnsi="ITC Avant Garde" w:cs="Arial"/>
          <w:sz w:val="18"/>
          <w:szCs w:val="18"/>
        </w:rPr>
      </w:pPr>
      <w:r w:rsidRPr="003D5EB8">
        <w:rPr>
          <w:rFonts w:ascii="ITC Avant Garde" w:hAnsi="ITC Avant Garde" w:cs="Arial"/>
          <w:sz w:val="18"/>
          <w:szCs w:val="18"/>
        </w:rPr>
        <w:t>Énfasis añadido</w:t>
      </w:r>
    </w:p>
    <w:p w14:paraId="2DB533D7" w14:textId="77777777" w:rsidR="00E17917" w:rsidRPr="00CC6F12" w:rsidRDefault="00E17917" w:rsidP="00B93B09">
      <w:pPr>
        <w:spacing w:after="0" w:line="276" w:lineRule="auto"/>
        <w:ind w:right="0"/>
        <w:rPr>
          <w:rFonts w:ascii="ITC Avant Garde" w:hAnsi="ITC Avant Garde"/>
          <w:color w:val="auto"/>
        </w:rPr>
      </w:pPr>
    </w:p>
    <w:p w14:paraId="486F0BFB" w14:textId="53510BC8" w:rsidR="002E1EB4" w:rsidRDefault="00F76CED" w:rsidP="003A4E43">
      <w:pPr>
        <w:spacing w:after="0" w:line="276" w:lineRule="auto"/>
        <w:ind w:left="-5" w:right="49"/>
        <w:rPr>
          <w:rFonts w:ascii="ITC Avant Garde" w:hAnsi="ITC Avant Garde"/>
          <w:color w:val="auto"/>
        </w:rPr>
      </w:pPr>
      <w:r>
        <w:rPr>
          <w:rFonts w:ascii="ITC Avant Garde" w:hAnsi="ITC Avant Garde"/>
          <w:color w:val="auto"/>
        </w:rPr>
        <w:t>Por lo anterior, la Oferta se mantiene en sus términos.</w:t>
      </w:r>
    </w:p>
    <w:p w14:paraId="673DDE15" w14:textId="09A3FC58" w:rsidR="00D24269" w:rsidRDefault="00D24269" w:rsidP="003A4E43">
      <w:pPr>
        <w:spacing w:after="0" w:line="276" w:lineRule="auto"/>
        <w:ind w:left="-5" w:right="49"/>
        <w:rPr>
          <w:rFonts w:ascii="ITC Avant Garde" w:hAnsi="ITC Avant Garde"/>
          <w:color w:val="auto"/>
        </w:rPr>
      </w:pPr>
    </w:p>
    <w:p w14:paraId="33ED332C" w14:textId="7CB75A82" w:rsidR="00D24269" w:rsidRDefault="00D24269" w:rsidP="00D24269">
      <w:pPr>
        <w:spacing w:after="0" w:line="276" w:lineRule="auto"/>
        <w:ind w:right="0"/>
        <w:rPr>
          <w:rFonts w:ascii="ITC Avant Garde" w:hAnsi="ITC Avant Garde"/>
          <w:b/>
          <w:color w:val="auto"/>
          <w:u w:val="single"/>
        </w:rPr>
      </w:pPr>
      <w:r>
        <w:rPr>
          <w:rFonts w:ascii="ITC Avant Garde" w:hAnsi="ITC Avant Garde"/>
          <w:b/>
          <w:color w:val="auto"/>
          <w:u w:val="single"/>
        </w:rPr>
        <w:t>5.1.6</w:t>
      </w:r>
    </w:p>
    <w:p w14:paraId="2DD10051" w14:textId="65E53288" w:rsidR="00D24269" w:rsidRPr="00CC6F12" w:rsidRDefault="00D24269" w:rsidP="00D24269">
      <w:pPr>
        <w:spacing w:after="0" w:line="276" w:lineRule="auto"/>
        <w:ind w:left="0" w:right="0" w:firstLine="0"/>
        <w:rPr>
          <w:rFonts w:ascii="ITC Avant Garde" w:hAnsi="ITC Avant Garde"/>
          <w:b/>
          <w:color w:val="auto"/>
        </w:rPr>
      </w:pPr>
      <w:r>
        <w:rPr>
          <w:rFonts w:ascii="ITC Avant Garde" w:hAnsi="ITC Avant Garde"/>
          <w:b/>
          <w:color w:val="auto"/>
        </w:rPr>
        <w:t>Televisa</w:t>
      </w:r>
      <w:r w:rsidRPr="00CC6F12">
        <w:rPr>
          <w:rFonts w:ascii="ITC Avant Garde" w:hAnsi="ITC Avant Garde"/>
          <w:b/>
          <w:color w:val="auto"/>
        </w:rPr>
        <w:t>:</w:t>
      </w:r>
    </w:p>
    <w:p w14:paraId="30808DFA" w14:textId="0302AF66" w:rsidR="00A73A88" w:rsidRDefault="00A73A88" w:rsidP="00A73A88">
      <w:pPr>
        <w:spacing w:after="0" w:line="276" w:lineRule="auto"/>
        <w:ind w:left="-5" w:right="49"/>
        <w:rPr>
          <w:rFonts w:ascii="ITC Avant Garde" w:hAnsi="ITC Avant Garde"/>
          <w:color w:val="auto"/>
        </w:rPr>
      </w:pPr>
      <w:r w:rsidRPr="000F2D6D">
        <w:rPr>
          <w:rFonts w:ascii="ITC Avant Garde" w:hAnsi="ITC Avant Garde"/>
          <w:color w:val="auto"/>
        </w:rPr>
        <w:t>Solicita excluir el numeral 5.1.6</w:t>
      </w:r>
      <w:r>
        <w:rPr>
          <w:rFonts w:ascii="ITC Avant Garde" w:hAnsi="ITC Avant Garde"/>
          <w:color w:val="auto"/>
        </w:rPr>
        <w:t xml:space="preserve"> de la Oferta</w:t>
      </w:r>
      <w:r w:rsidRPr="000F2D6D">
        <w:rPr>
          <w:rFonts w:ascii="ITC Avant Garde" w:hAnsi="ITC Avant Garde"/>
          <w:color w:val="auto"/>
        </w:rPr>
        <w:t>. Señala que este numeral no impone una obligación o responsabilidad al AEP, y por el contrario le otorga una amplia discrecionalidad para inter</w:t>
      </w:r>
      <w:r>
        <w:rPr>
          <w:rFonts w:ascii="ITC Avant Garde" w:hAnsi="ITC Avant Garde"/>
          <w:color w:val="auto"/>
        </w:rPr>
        <w:t>venir en las operaciones del concesionario</w:t>
      </w:r>
      <w:r w:rsidRPr="000F2D6D">
        <w:rPr>
          <w:rFonts w:ascii="ITC Avant Garde" w:hAnsi="ITC Avant Garde"/>
          <w:color w:val="auto"/>
        </w:rPr>
        <w:t xml:space="preserve">, potencialmente sin causa justificada y sin la obligación de probarla. </w:t>
      </w:r>
      <w:r>
        <w:rPr>
          <w:rFonts w:ascii="ITC Avant Garde" w:hAnsi="ITC Avant Garde"/>
          <w:color w:val="auto"/>
        </w:rPr>
        <w:t>También i</w:t>
      </w:r>
      <w:r w:rsidRPr="000F2D6D">
        <w:rPr>
          <w:rFonts w:ascii="ITC Avant Garde" w:hAnsi="ITC Avant Garde"/>
          <w:color w:val="auto"/>
        </w:rPr>
        <w:t>ndica que en este numeral se debe incorporar un proceso de verificación que involucre a ambas partes, en el cual se genere un diagnóstico completo de la eventualidad para determinar que efectivamente la interferencia está siendo provocada por los equipos del concesionario.</w:t>
      </w:r>
      <w:r>
        <w:rPr>
          <w:rFonts w:ascii="ITC Avant Garde" w:hAnsi="ITC Avant Garde"/>
          <w:color w:val="auto"/>
        </w:rPr>
        <w:t xml:space="preserve"> Señala que</w:t>
      </w:r>
      <w:r w:rsidR="003D11ED">
        <w:rPr>
          <w:rFonts w:ascii="ITC Avant Garde" w:hAnsi="ITC Avant Garde"/>
          <w:color w:val="auto"/>
        </w:rPr>
        <w:t>,</w:t>
      </w:r>
      <w:r>
        <w:rPr>
          <w:rFonts w:ascii="ITC Avant Garde" w:hAnsi="ITC Avant Garde"/>
          <w:color w:val="auto"/>
        </w:rPr>
        <w:t xml:space="preserve"> además de las posibles interferencias causadas por el uso de teléfonos no autorizados, </w:t>
      </w:r>
      <w:r w:rsidR="003D11ED">
        <w:rPr>
          <w:rFonts w:ascii="ITC Avant Garde" w:hAnsi="ITC Avant Garde"/>
          <w:color w:val="auto"/>
        </w:rPr>
        <w:t>no identifica otros sistemas del concesionario que pudieran interferir con el correcto funcionamiento de la red del AEP.</w:t>
      </w:r>
    </w:p>
    <w:p w14:paraId="4ED378E0" w14:textId="77777777" w:rsidR="00A73A88" w:rsidRDefault="00A73A88" w:rsidP="00A73A88">
      <w:pPr>
        <w:spacing w:after="0" w:line="276" w:lineRule="auto"/>
        <w:ind w:right="0"/>
        <w:rPr>
          <w:rFonts w:ascii="ITC Avant Garde" w:hAnsi="ITC Avant Garde"/>
          <w:color w:val="auto"/>
        </w:rPr>
      </w:pPr>
    </w:p>
    <w:p w14:paraId="21D1070A" w14:textId="77777777" w:rsidR="00A73A88" w:rsidRDefault="00A73A88" w:rsidP="00A73A88">
      <w:pPr>
        <w:spacing w:after="0" w:line="276" w:lineRule="auto"/>
        <w:ind w:left="0" w:right="0" w:firstLine="0"/>
        <w:rPr>
          <w:rFonts w:ascii="ITC Avant Garde" w:hAnsi="ITC Avant Garde"/>
          <w:b/>
          <w:color w:val="auto"/>
        </w:rPr>
      </w:pPr>
      <w:r>
        <w:rPr>
          <w:rFonts w:ascii="ITC Avant Garde" w:hAnsi="ITC Avant Garde"/>
          <w:b/>
          <w:color w:val="auto"/>
        </w:rPr>
        <w:t>Consideraciones del Instituto:</w:t>
      </w:r>
    </w:p>
    <w:p w14:paraId="6B07C00E" w14:textId="77777777" w:rsidR="00A73A88" w:rsidRDefault="00A73A88" w:rsidP="00A73A88">
      <w:pPr>
        <w:spacing w:after="0" w:line="276" w:lineRule="auto"/>
        <w:ind w:right="0"/>
        <w:rPr>
          <w:rFonts w:ascii="ITC Avant Garde" w:hAnsi="ITC Avant Garde"/>
          <w:color w:val="auto"/>
        </w:rPr>
      </w:pPr>
      <w:r w:rsidRPr="00E243B6">
        <w:rPr>
          <w:rFonts w:ascii="ITC Avant Garde" w:hAnsi="ITC Avant Garde"/>
          <w:color w:val="auto"/>
        </w:rPr>
        <w:t>Los equipos, tecnologías y métodos deben cumplir con los certificados y estándares emitidos por los organismos de normalización para asegurar que no exista incompatibilidad o interferencia en las redes públicas de telecomunicaciones.</w:t>
      </w:r>
    </w:p>
    <w:p w14:paraId="235FC67C" w14:textId="77777777" w:rsidR="00A73A88" w:rsidRDefault="00A73A88" w:rsidP="00A73A88">
      <w:pPr>
        <w:spacing w:after="0" w:line="276" w:lineRule="auto"/>
        <w:ind w:right="0"/>
        <w:rPr>
          <w:rFonts w:ascii="ITC Avant Garde" w:hAnsi="ITC Avant Garde"/>
          <w:color w:val="auto"/>
        </w:rPr>
      </w:pPr>
    </w:p>
    <w:p w14:paraId="2C4E3E04" w14:textId="26E1ED00" w:rsidR="00A73A88" w:rsidRDefault="00A73A88" w:rsidP="00A73A88">
      <w:pPr>
        <w:spacing w:after="0" w:line="276" w:lineRule="auto"/>
        <w:ind w:right="0"/>
        <w:rPr>
          <w:rFonts w:ascii="ITC Avant Garde" w:hAnsi="ITC Avant Garde"/>
          <w:color w:val="auto"/>
        </w:rPr>
      </w:pPr>
      <w:r>
        <w:rPr>
          <w:rFonts w:ascii="ITC Avant Garde" w:hAnsi="ITC Avant Garde"/>
          <w:color w:val="auto"/>
        </w:rPr>
        <w:t>Además, se debe considerar la posibilidad de</w:t>
      </w:r>
      <w:r w:rsidRPr="00B346EA">
        <w:rPr>
          <w:rFonts w:ascii="ITC Avant Garde" w:hAnsi="ITC Avant Garde"/>
          <w:color w:val="auto"/>
        </w:rPr>
        <w:t xml:space="preserve"> que los usuarios finales del concesionario utilicen equipos terminales qua afecten la red del AEP, ya que dichos equipos pueden demandar mayores recursos de red al enviar constantemente mensajes de señalización debido a funcionalidades como el </w:t>
      </w:r>
      <w:r w:rsidRPr="00C8078D">
        <w:rPr>
          <w:rFonts w:ascii="ITC Avant Garde" w:hAnsi="ITC Avant Garde"/>
          <w:i/>
          <w:color w:val="auto"/>
        </w:rPr>
        <w:t>“Fast Dormancy”</w:t>
      </w:r>
      <w:r w:rsidRPr="00B346EA">
        <w:rPr>
          <w:rFonts w:ascii="ITC Avant Garde" w:hAnsi="ITC Avant Garde"/>
          <w:color w:val="auto"/>
        </w:rPr>
        <w:t xml:space="preserve"> y las</w:t>
      </w:r>
      <w:r>
        <w:rPr>
          <w:rFonts w:ascii="ITC Avant Garde" w:hAnsi="ITC Avant Garde"/>
          <w:color w:val="auto"/>
        </w:rPr>
        <w:t xml:space="preserve"> </w:t>
      </w:r>
      <w:r>
        <w:rPr>
          <w:rFonts w:ascii="ITC Avant Garde" w:hAnsi="ITC Avant Garde"/>
          <w:color w:val="auto"/>
        </w:rPr>
        <w:lastRenderedPageBreak/>
        <w:t xml:space="preserve">Aplicaciones siempre en línea, lo cual puede evitar </w:t>
      </w:r>
      <w:r w:rsidRPr="00B346EA">
        <w:rPr>
          <w:rFonts w:ascii="ITC Avant Garde" w:hAnsi="ITC Avant Garde"/>
          <w:color w:val="auto"/>
        </w:rPr>
        <w:t>que se cumplan los parámetros de calidad establec</w:t>
      </w:r>
      <w:r>
        <w:rPr>
          <w:rFonts w:ascii="ITC Avant Garde" w:hAnsi="ITC Avant Garde"/>
          <w:color w:val="auto"/>
        </w:rPr>
        <w:t xml:space="preserve">idos en los </w:t>
      </w:r>
      <w:r w:rsidR="003605DF" w:rsidRPr="003605DF">
        <w:rPr>
          <w:rFonts w:ascii="ITC Avant Garde" w:hAnsi="ITC Avant Garde"/>
          <w:color w:val="auto"/>
        </w:rPr>
        <w:t>Lineamientos de Calidad</w:t>
      </w:r>
      <w:r w:rsidR="003605DF">
        <w:rPr>
          <w:rFonts w:ascii="ITC Avant Garde" w:hAnsi="ITC Avant Garde"/>
          <w:color w:val="auto"/>
        </w:rPr>
        <w:t xml:space="preserve"> Móvil</w:t>
      </w:r>
      <w:r w:rsidR="003605DF" w:rsidRPr="00714A47">
        <w:rPr>
          <w:bCs/>
          <w:vertAlign w:val="superscript"/>
        </w:rPr>
        <w:footnoteReference w:id="5"/>
      </w:r>
      <w:r>
        <w:rPr>
          <w:rFonts w:ascii="ITC Avant Garde" w:hAnsi="ITC Avant Garde"/>
          <w:color w:val="auto"/>
        </w:rPr>
        <w:t xml:space="preserve"> </w:t>
      </w:r>
      <w:r w:rsidRPr="00B346EA">
        <w:rPr>
          <w:rFonts w:ascii="ITC Avant Garde" w:hAnsi="ITC Avant Garde"/>
          <w:color w:val="auto"/>
        </w:rPr>
        <w:t>en perjui</w:t>
      </w:r>
      <w:r>
        <w:rPr>
          <w:rFonts w:ascii="ITC Avant Garde" w:hAnsi="ITC Avant Garde"/>
          <w:color w:val="auto"/>
        </w:rPr>
        <w:t>cio de los usuarios. Por</w:t>
      </w:r>
      <w:r w:rsidRPr="00B346EA">
        <w:rPr>
          <w:rFonts w:ascii="ITC Avant Garde" w:hAnsi="ITC Avant Garde"/>
          <w:color w:val="auto"/>
        </w:rPr>
        <w:t xml:space="preserve"> lo anterior, el numeral en cuestión se </w:t>
      </w:r>
      <w:r w:rsidR="00C40404">
        <w:rPr>
          <w:rFonts w:ascii="ITC Avant Garde" w:hAnsi="ITC Avant Garde"/>
          <w:color w:val="auto"/>
        </w:rPr>
        <w:t>mantiene en los mismos términos para asegurar el correcto funcionamiento e interoperabilidad de las redes públicas de telecomunicaciones.</w:t>
      </w:r>
    </w:p>
    <w:p w14:paraId="085C25B5" w14:textId="5A2B5EC5" w:rsidR="006F7ECF" w:rsidRDefault="006F7ECF" w:rsidP="00A73A88">
      <w:pPr>
        <w:spacing w:after="0" w:line="276" w:lineRule="auto"/>
        <w:ind w:right="0"/>
        <w:rPr>
          <w:rFonts w:ascii="ITC Avant Garde" w:hAnsi="ITC Avant Garde"/>
          <w:color w:val="auto"/>
        </w:rPr>
      </w:pPr>
    </w:p>
    <w:p w14:paraId="414CF00C" w14:textId="68A0273D" w:rsidR="006F7ECF" w:rsidRDefault="006F7ECF" w:rsidP="006F7ECF">
      <w:pPr>
        <w:spacing w:after="0" w:line="276" w:lineRule="auto"/>
        <w:ind w:right="0"/>
        <w:rPr>
          <w:rFonts w:ascii="ITC Avant Garde" w:hAnsi="ITC Avant Garde"/>
          <w:b/>
          <w:color w:val="auto"/>
          <w:u w:val="single"/>
        </w:rPr>
      </w:pPr>
      <w:r>
        <w:rPr>
          <w:rFonts w:ascii="ITC Avant Garde" w:hAnsi="ITC Avant Garde"/>
          <w:b/>
          <w:color w:val="auto"/>
          <w:u w:val="single"/>
        </w:rPr>
        <w:t>5.2.2</w:t>
      </w:r>
    </w:p>
    <w:p w14:paraId="3FA1E3D6" w14:textId="7D213DCA" w:rsidR="006F7ECF" w:rsidRPr="00CC6F12" w:rsidRDefault="006F7ECF" w:rsidP="006F7ECF">
      <w:pPr>
        <w:spacing w:after="0" w:line="276" w:lineRule="auto"/>
        <w:ind w:left="0" w:right="0" w:firstLine="0"/>
        <w:rPr>
          <w:rFonts w:ascii="ITC Avant Garde" w:hAnsi="ITC Avant Garde"/>
          <w:b/>
          <w:color w:val="auto"/>
        </w:rPr>
      </w:pPr>
      <w:r>
        <w:rPr>
          <w:rFonts w:ascii="ITC Avant Garde" w:hAnsi="ITC Avant Garde"/>
          <w:b/>
          <w:color w:val="auto"/>
        </w:rPr>
        <w:t>Altán</w:t>
      </w:r>
      <w:r w:rsidRPr="00CC6F12">
        <w:rPr>
          <w:rFonts w:ascii="ITC Avant Garde" w:hAnsi="ITC Avant Garde"/>
          <w:b/>
          <w:color w:val="auto"/>
        </w:rPr>
        <w:t>:</w:t>
      </w:r>
    </w:p>
    <w:p w14:paraId="34C832DC" w14:textId="49CC3C76" w:rsidR="006F7ECF" w:rsidRDefault="006F7ECF" w:rsidP="006F7ECF">
      <w:pPr>
        <w:spacing w:after="0" w:line="276" w:lineRule="auto"/>
        <w:ind w:right="0"/>
        <w:rPr>
          <w:rFonts w:ascii="ITC Avant Garde" w:hAnsi="ITC Avant Garde"/>
          <w:color w:val="auto"/>
        </w:rPr>
      </w:pPr>
      <w:r>
        <w:rPr>
          <w:rFonts w:ascii="ITC Avant Garde" w:hAnsi="ITC Avant Garde"/>
          <w:color w:val="auto"/>
        </w:rPr>
        <w:t>Señala que esta cláusula crea indefensión para los concesionarios que quieren competir en el mercado utilizando un PLMN (</w:t>
      </w:r>
      <w:r w:rsidR="003D484F">
        <w:rPr>
          <w:rFonts w:ascii="ITC Avant Garde" w:hAnsi="ITC Avant Garde"/>
          <w:i/>
          <w:color w:val="auto"/>
        </w:rPr>
        <w:t>“Public Land Mobile Network</w:t>
      </w:r>
      <w:r w:rsidR="003D484F" w:rsidRPr="003D484F">
        <w:rPr>
          <w:rFonts w:ascii="ITC Avant Garde" w:hAnsi="ITC Avant Garde"/>
          <w:color w:val="auto"/>
        </w:rPr>
        <w:t>”</w:t>
      </w:r>
      <w:r>
        <w:rPr>
          <w:rFonts w:ascii="ITC Avant Garde" w:hAnsi="ITC Avant Garde"/>
          <w:color w:val="auto"/>
        </w:rPr>
        <w:t>) propio pero que dependen del servicio de un operador mayorista, incluyendo el acceso a los servicios de usuario visitante sobre la red del AEP. A</w:t>
      </w:r>
      <w:r w:rsidRPr="005C6D2D">
        <w:rPr>
          <w:rFonts w:ascii="ITC Avant Garde" w:hAnsi="ITC Avant Garde"/>
          <w:color w:val="auto"/>
        </w:rPr>
        <w:t>simismo</w:t>
      </w:r>
      <w:r>
        <w:rPr>
          <w:rFonts w:ascii="ITC Avant Garde" w:hAnsi="ITC Avant Garde"/>
          <w:color w:val="auto"/>
        </w:rPr>
        <w:t>,</w:t>
      </w:r>
      <w:r w:rsidRPr="005C6D2D">
        <w:rPr>
          <w:rFonts w:ascii="ITC Avant Garde" w:hAnsi="ITC Avant Garde"/>
          <w:color w:val="auto"/>
        </w:rPr>
        <w:t xml:space="preserve"> indica que </w:t>
      </w:r>
      <w:r>
        <w:rPr>
          <w:rFonts w:ascii="ITC Avant Garde" w:hAnsi="ITC Avant Garde"/>
          <w:color w:val="auto"/>
        </w:rPr>
        <w:t>la posibilidad de utilizar otros PLMN</w:t>
      </w:r>
      <w:r w:rsidRPr="005C6D2D">
        <w:rPr>
          <w:rFonts w:ascii="ITC Avant Garde" w:hAnsi="ITC Avant Garde"/>
          <w:color w:val="auto"/>
        </w:rPr>
        <w:t xml:space="preserve"> e</w:t>
      </w:r>
      <w:r>
        <w:rPr>
          <w:rFonts w:ascii="ITC Avant Garde" w:hAnsi="ITC Avant Garde"/>
          <w:color w:val="auto"/>
        </w:rPr>
        <w:t>s un servicio básico que debe</w:t>
      </w:r>
      <w:r w:rsidRPr="005C6D2D">
        <w:rPr>
          <w:rFonts w:ascii="ITC Avant Garde" w:hAnsi="ITC Avant Garde"/>
          <w:color w:val="auto"/>
        </w:rPr>
        <w:t xml:space="preserve"> estar incluido en la Oferta y</w:t>
      </w:r>
      <w:r>
        <w:rPr>
          <w:rFonts w:ascii="ITC Avant Garde" w:hAnsi="ITC Avant Garde"/>
          <w:color w:val="auto"/>
        </w:rPr>
        <w:t xml:space="preserve"> el cual no puede</w:t>
      </w:r>
      <w:r w:rsidRPr="005C6D2D">
        <w:rPr>
          <w:rFonts w:ascii="ITC Avant Garde" w:hAnsi="ITC Avant Garde"/>
          <w:color w:val="auto"/>
        </w:rPr>
        <w:t xml:space="preserve"> estar sometida a excepciones</w:t>
      </w:r>
      <w:r>
        <w:rPr>
          <w:rFonts w:ascii="ITC Avant Garde" w:hAnsi="ITC Avant Garde"/>
          <w:color w:val="auto"/>
        </w:rPr>
        <w:t xml:space="preserve"> de costos o plazos de servicio.</w:t>
      </w:r>
    </w:p>
    <w:p w14:paraId="3B385E4C" w14:textId="77777777" w:rsidR="00393DDF" w:rsidRDefault="00393DDF" w:rsidP="006F7ECF">
      <w:pPr>
        <w:spacing w:after="0" w:line="276" w:lineRule="auto"/>
        <w:ind w:right="0"/>
        <w:rPr>
          <w:rFonts w:ascii="ITC Avant Garde" w:hAnsi="ITC Avant Garde"/>
          <w:color w:val="auto"/>
        </w:rPr>
      </w:pPr>
    </w:p>
    <w:p w14:paraId="7F53E9C6" w14:textId="77777777" w:rsidR="006F7ECF" w:rsidRDefault="006F7ECF" w:rsidP="006F7ECF">
      <w:pPr>
        <w:spacing w:after="0" w:line="276" w:lineRule="auto"/>
        <w:ind w:right="0"/>
        <w:rPr>
          <w:rFonts w:ascii="ITC Avant Garde" w:hAnsi="ITC Avant Garde"/>
          <w:color w:val="auto"/>
        </w:rPr>
      </w:pPr>
      <w:r>
        <w:rPr>
          <w:rFonts w:ascii="ITC Avant Garde" w:hAnsi="ITC Avant Garde"/>
          <w:color w:val="auto"/>
        </w:rPr>
        <w:t xml:space="preserve">Por lo anterior, </w:t>
      </w:r>
      <w:r w:rsidRPr="005C6D2D">
        <w:rPr>
          <w:rFonts w:ascii="ITC Avant Garde" w:hAnsi="ITC Avant Garde"/>
          <w:color w:val="auto"/>
        </w:rPr>
        <w:t>sugiere contemplar modelos de negocios basados en operadores mayoristas, los cuales deben estar plename</w:t>
      </w:r>
      <w:r>
        <w:rPr>
          <w:rFonts w:ascii="ITC Avant Garde" w:hAnsi="ITC Avant Garde"/>
          <w:color w:val="auto"/>
        </w:rPr>
        <w:t xml:space="preserve">nte incorporados en la Oferta, así como la eliminación de la limitante referente al uso de PLMN distintos. </w:t>
      </w:r>
    </w:p>
    <w:p w14:paraId="513C588D" w14:textId="77777777" w:rsidR="006F7ECF" w:rsidRPr="006279FF" w:rsidRDefault="006F7ECF" w:rsidP="006F7ECF">
      <w:pPr>
        <w:spacing w:after="0" w:line="276" w:lineRule="auto"/>
        <w:ind w:right="0"/>
        <w:rPr>
          <w:rFonts w:ascii="ITC Avant Garde" w:hAnsi="ITC Avant Garde"/>
          <w:color w:val="auto"/>
        </w:rPr>
      </w:pPr>
    </w:p>
    <w:p w14:paraId="131DEA60" w14:textId="77777777" w:rsidR="006F7ECF" w:rsidRPr="0043746C" w:rsidRDefault="006F7ECF" w:rsidP="006F7ECF">
      <w:pPr>
        <w:spacing w:after="0" w:line="276" w:lineRule="auto"/>
        <w:ind w:left="0" w:right="0" w:firstLine="0"/>
        <w:rPr>
          <w:rFonts w:ascii="ITC Avant Garde" w:hAnsi="ITC Avant Garde"/>
          <w:b/>
          <w:color w:val="auto"/>
        </w:rPr>
      </w:pPr>
      <w:r w:rsidRPr="0043746C">
        <w:rPr>
          <w:rFonts w:ascii="ITC Avant Garde" w:hAnsi="ITC Avant Garde"/>
          <w:b/>
          <w:color w:val="auto"/>
        </w:rPr>
        <w:t>Consideraciones del Instituto:</w:t>
      </w:r>
    </w:p>
    <w:p w14:paraId="7DB50D7C" w14:textId="4BC75AB5" w:rsidR="006F7ECF" w:rsidRPr="00CE1CFC" w:rsidRDefault="006F7ECF" w:rsidP="006F7ECF">
      <w:pPr>
        <w:spacing w:after="0" w:line="276" w:lineRule="auto"/>
        <w:ind w:left="-5" w:right="49"/>
        <w:rPr>
          <w:rFonts w:ascii="ITC Avant Garde" w:hAnsi="ITC Avant Garde"/>
          <w:color w:val="auto"/>
        </w:rPr>
      </w:pPr>
      <w:r>
        <w:rPr>
          <w:rFonts w:ascii="ITC Avant Garde" w:hAnsi="ITC Avant Garde"/>
          <w:color w:val="auto"/>
        </w:rPr>
        <w:t>El brindar</w:t>
      </w:r>
      <w:r w:rsidRPr="00243170">
        <w:rPr>
          <w:rFonts w:ascii="ITC Avant Garde" w:hAnsi="ITC Avant Garde"/>
          <w:color w:val="auto"/>
        </w:rPr>
        <w:t xml:space="preserve"> el servicio de usuario visitante a una red mayorista implica modificaciones técnicas de mayor complejidad a las consideradas en la Oferta, por lo que a efecto de no introducir ambigüedades en una oferta que tiene propósitos generales aplicables a cual</w:t>
      </w:r>
      <w:r w:rsidR="00D144ED">
        <w:rPr>
          <w:rFonts w:ascii="ITC Avant Garde" w:hAnsi="ITC Avant Garde"/>
          <w:color w:val="auto"/>
        </w:rPr>
        <w:t>quier concesionario, la cláusula</w:t>
      </w:r>
      <w:r w:rsidR="003D3886">
        <w:rPr>
          <w:rFonts w:ascii="ITC Avant Garde" w:hAnsi="ITC Avant Garde"/>
          <w:color w:val="auto"/>
        </w:rPr>
        <w:t xml:space="preserve"> segunda</w:t>
      </w:r>
      <w:r w:rsidR="00D144ED">
        <w:rPr>
          <w:rFonts w:ascii="ITC Avant Garde" w:hAnsi="ITC Avant Garde"/>
          <w:color w:val="auto"/>
        </w:rPr>
        <w:t xml:space="preserve"> establece</w:t>
      </w:r>
      <w:r w:rsidRPr="00243170">
        <w:rPr>
          <w:rFonts w:ascii="ITC Avant Garde" w:hAnsi="ITC Avant Garde"/>
          <w:color w:val="auto"/>
        </w:rPr>
        <w:t xml:space="preserve"> que Telcel y la red mayorista definan de común acuerdo los Acuerdos Técnicos que resulten más apropiados entre las partes</w:t>
      </w:r>
      <w:r>
        <w:rPr>
          <w:rFonts w:ascii="ITC Avant Garde" w:hAnsi="ITC Avant Garde"/>
          <w:color w:val="auto"/>
        </w:rPr>
        <w:t>, tal como se muestra a continuación</w:t>
      </w:r>
      <w:r w:rsidRPr="00243170">
        <w:rPr>
          <w:rFonts w:ascii="ITC Avant Garde" w:hAnsi="ITC Avant Garde"/>
          <w:color w:val="auto"/>
        </w:rPr>
        <w:t>:</w:t>
      </w:r>
    </w:p>
    <w:p w14:paraId="25D3391F" w14:textId="77777777" w:rsidR="006F7ECF" w:rsidRPr="00CE1CFC" w:rsidRDefault="006F7ECF" w:rsidP="006F7ECF">
      <w:pPr>
        <w:spacing w:after="0" w:line="276" w:lineRule="auto"/>
        <w:ind w:left="-5" w:right="49"/>
        <w:rPr>
          <w:rFonts w:ascii="ITC Avant Garde" w:hAnsi="ITC Avant Garde"/>
          <w:color w:val="auto"/>
        </w:rPr>
      </w:pPr>
    </w:p>
    <w:p w14:paraId="33432378" w14:textId="77777777" w:rsidR="006F7ECF" w:rsidRPr="00CE1CFC" w:rsidRDefault="006F7ECF" w:rsidP="006F7ECF">
      <w:pPr>
        <w:spacing w:after="0" w:line="276" w:lineRule="auto"/>
        <w:ind w:left="567" w:right="615" w:firstLine="0"/>
        <w:rPr>
          <w:rFonts w:ascii="ITC Avant Garde" w:eastAsia="Calibri" w:hAnsi="ITC Avant Garde" w:cs="Arial"/>
          <w:i/>
          <w:color w:val="auto"/>
          <w:sz w:val="18"/>
          <w:szCs w:val="18"/>
          <w:lang w:eastAsia="en-US"/>
        </w:rPr>
      </w:pPr>
      <w:r w:rsidRPr="00CE1CFC">
        <w:rPr>
          <w:rFonts w:ascii="ITC Avant Garde" w:eastAsia="Calibri" w:hAnsi="ITC Avant Garde" w:cs="Arial"/>
          <w:i/>
          <w:color w:val="auto"/>
          <w:sz w:val="18"/>
          <w:szCs w:val="18"/>
          <w:lang w:eastAsia="en-US"/>
        </w:rPr>
        <w:t>“2.1 OBJETO.</w:t>
      </w:r>
    </w:p>
    <w:p w14:paraId="31B477D4" w14:textId="77777777" w:rsidR="006F7ECF" w:rsidRPr="00CE1CFC" w:rsidRDefault="006F7ECF" w:rsidP="006F7ECF">
      <w:pPr>
        <w:spacing w:after="0" w:line="276" w:lineRule="auto"/>
        <w:ind w:left="567" w:right="615" w:firstLine="0"/>
        <w:rPr>
          <w:rFonts w:ascii="ITC Avant Garde" w:eastAsia="Calibri" w:hAnsi="ITC Avant Garde" w:cs="Arial"/>
          <w:i/>
          <w:color w:val="auto"/>
          <w:sz w:val="18"/>
          <w:szCs w:val="18"/>
          <w:lang w:eastAsia="en-US"/>
        </w:rPr>
      </w:pPr>
    </w:p>
    <w:p w14:paraId="7365D38F" w14:textId="77777777" w:rsidR="006F7ECF" w:rsidRPr="00CE1CFC" w:rsidRDefault="006F7ECF" w:rsidP="006F7ECF">
      <w:pPr>
        <w:spacing w:after="0" w:line="276" w:lineRule="auto"/>
        <w:ind w:left="567" w:right="615" w:firstLine="0"/>
        <w:rPr>
          <w:rFonts w:ascii="ITC Avant Garde" w:eastAsia="Calibri" w:hAnsi="ITC Avant Garde" w:cs="Arial"/>
          <w:i/>
          <w:color w:val="auto"/>
          <w:sz w:val="18"/>
          <w:szCs w:val="18"/>
          <w:lang w:eastAsia="en-US"/>
        </w:rPr>
      </w:pPr>
      <w:r w:rsidRPr="00CE1CFC">
        <w:rPr>
          <w:rFonts w:ascii="ITC Avant Garde" w:eastAsia="Calibri" w:hAnsi="ITC Avant Garde" w:cs="Arial"/>
          <w:i/>
          <w:color w:val="auto"/>
          <w:sz w:val="18"/>
          <w:szCs w:val="18"/>
          <w:lang w:eastAsia="en-US"/>
        </w:rPr>
        <w:t>Por conducto del presente Convenio, Telcel otorgará, a cambio de las contraprestaciones a que se refiere la Cláusula Cuarta Contraprestaciones del presente Convenio, los Servicios de la Oferta, así como los Servicios Adicionales a la Oferta al Concesionario para uso exclusivo de sus Usuarios Finales, de conformidad con el Anexo I Oferta de Servicios.</w:t>
      </w:r>
    </w:p>
    <w:p w14:paraId="24720319" w14:textId="77777777" w:rsidR="006F7ECF" w:rsidRPr="00CE1CFC" w:rsidRDefault="006F7ECF" w:rsidP="006F7ECF">
      <w:pPr>
        <w:spacing w:after="0" w:line="276" w:lineRule="auto"/>
        <w:ind w:left="567" w:right="615" w:firstLine="0"/>
        <w:rPr>
          <w:rFonts w:ascii="ITC Avant Garde" w:eastAsia="Calibri" w:hAnsi="ITC Avant Garde" w:cs="Arial"/>
          <w:i/>
          <w:color w:val="auto"/>
          <w:sz w:val="18"/>
          <w:szCs w:val="18"/>
          <w:lang w:eastAsia="en-US"/>
        </w:rPr>
      </w:pPr>
    </w:p>
    <w:p w14:paraId="44ED8A28" w14:textId="77777777" w:rsidR="006F7ECF" w:rsidRPr="00CE1CFC" w:rsidRDefault="006F7ECF" w:rsidP="006F7ECF">
      <w:pPr>
        <w:spacing w:after="0" w:line="276" w:lineRule="auto"/>
        <w:ind w:left="567" w:right="615" w:firstLine="0"/>
        <w:rPr>
          <w:rFonts w:ascii="ITC Avant Garde" w:eastAsia="Calibri" w:hAnsi="ITC Avant Garde" w:cs="Arial"/>
          <w:i/>
          <w:color w:val="auto"/>
          <w:sz w:val="18"/>
          <w:szCs w:val="18"/>
          <w:lang w:eastAsia="en-US"/>
        </w:rPr>
      </w:pPr>
      <w:r w:rsidRPr="005D5E84">
        <w:rPr>
          <w:rFonts w:ascii="ITC Avant Garde" w:eastAsia="Calibri" w:hAnsi="ITC Avant Garde" w:cs="Arial"/>
          <w:i/>
          <w:color w:val="auto"/>
          <w:sz w:val="18"/>
          <w:szCs w:val="18"/>
          <w:u w:val="single"/>
          <w:lang w:eastAsia="en-US"/>
        </w:rPr>
        <w:t>Lo anterior sin perjuicio de las adecuaciones técnicas particulares que deban realizarse a efecto de que Telcel preste el servicio de la Oferta de Referencia a redes mayoristas</w:t>
      </w:r>
      <w:r w:rsidRPr="00CE1CFC">
        <w:rPr>
          <w:rFonts w:ascii="ITC Avant Garde" w:eastAsia="Calibri" w:hAnsi="ITC Avant Garde" w:cs="Arial"/>
          <w:i/>
          <w:color w:val="auto"/>
          <w:sz w:val="18"/>
          <w:szCs w:val="18"/>
          <w:lang w:eastAsia="en-US"/>
        </w:rPr>
        <w:t>.”</w:t>
      </w:r>
    </w:p>
    <w:p w14:paraId="30E5E3A2" w14:textId="77777777" w:rsidR="00E1649E" w:rsidRDefault="00E1649E" w:rsidP="00E1649E">
      <w:pPr>
        <w:pStyle w:val="Prrafodelista"/>
        <w:ind w:left="6951" w:right="615" w:firstLine="129"/>
        <w:jc w:val="center"/>
        <w:rPr>
          <w:rFonts w:ascii="ITC Avant Garde" w:hAnsi="ITC Avant Garde" w:cs="Arial"/>
          <w:sz w:val="18"/>
          <w:szCs w:val="18"/>
        </w:rPr>
      </w:pPr>
      <w:r w:rsidRPr="003D5EB8">
        <w:rPr>
          <w:rFonts w:ascii="ITC Avant Garde" w:hAnsi="ITC Avant Garde" w:cs="Arial"/>
          <w:sz w:val="18"/>
          <w:szCs w:val="18"/>
        </w:rPr>
        <w:t>Énfasis añadido</w:t>
      </w:r>
    </w:p>
    <w:p w14:paraId="71882503" w14:textId="77777777" w:rsidR="006F7ECF" w:rsidRPr="00787EB3" w:rsidRDefault="006F7ECF" w:rsidP="006F7ECF">
      <w:pPr>
        <w:spacing w:after="0" w:line="276" w:lineRule="auto"/>
        <w:ind w:left="0" w:right="0" w:firstLine="0"/>
        <w:rPr>
          <w:rFonts w:ascii="ITC Avant Garde" w:hAnsi="ITC Avant Garde"/>
          <w:b/>
          <w:color w:val="auto"/>
          <w:highlight w:val="cyan"/>
        </w:rPr>
      </w:pPr>
    </w:p>
    <w:p w14:paraId="0F00E066" w14:textId="77777777" w:rsidR="006F7ECF" w:rsidRDefault="006F7ECF" w:rsidP="006F7ECF">
      <w:pPr>
        <w:spacing w:after="0" w:line="276" w:lineRule="auto"/>
        <w:ind w:right="0"/>
        <w:rPr>
          <w:rFonts w:ascii="ITC Avant Garde" w:hAnsi="ITC Avant Garde"/>
          <w:color w:val="auto"/>
        </w:rPr>
      </w:pPr>
      <w:r w:rsidRPr="003900F3">
        <w:rPr>
          <w:rFonts w:ascii="ITC Avant Garde" w:hAnsi="ITC Avant Garde"/>
          <w:color w:val="auto"/>
        </w:rPr>
        <w:lastRenderedPageBreak/>
        <w:t xml:space="preserve">Por otra parte, las </w:t>
      </w:r>
      <w:r>
        <w:rPr>
          <w:rFonts w:ascii="ITC Avant Garde" w:hAnsi="ITC Avant Garde"/>
          <w:color w:val="auto"/>
        </w:rPr>
        <w:t>pruebas contempladas en el Subanexo E, las cuales garantizan el correcto funcionamiento de los servicios de la Oferta, se realizan en base al PLMN. Por lo anterior, las pruebas del Subanexo E se deben repetir para todos los PLMN que el concesionario desee integrar, lo cual implica costos adicionales para Telcel. Esto es acorde a lo establecido en el numeral 3 del Anexo II, el cual establece:</w:t>
      </w:r>
    </w:p>
    <w:p w14:paraId="2FAD69B8" w14:textId="77777777" w:rsidR="006F7ECF" w:rsidRDefault="006F7ECF" w:rsidP="006F7ECF">
      <w:pPr>
        <w:spacing w:after="0" w:line="276" w:lineRule="auto"/>
        <w:ind w:right="0"/>
        <w:rPr>
          <w:rFonts w:ascii="ITC Avant Garde" w:hAnsi="ITC Avant Garde"/>
          <w:color w:val="auto"/>
        </w:rPr>
      </w:pPr>
    </w:p>
    <w:p w14:paraId="2ABD8852" w14:textId="77777777" w:rsidR="006F7ECF" w:rsidRPr="00ED3AF9" w:rsidRDefault="006F7ECF" w:rsidP="006F7ECF">
      <w:pPr>
        <w:spacing w:after="0" w:line="276" w:lineRule="auto"/>
        <w:ind w:left="567"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r w:rsidRPr="00ED3AF9">
        <w:rPr>
          <w:rFonts w:ascii="ITC Avant Garde" w:eastAsia="Calibri" w:hAnsi="ITC Avant Garde" w:cs="Arial"/>
          <w:i/>
          <w:color w:val="auto"/>
          <w:sz w:val="18"/>
          <w:szCs w:val="18"/>
          <w:lang w:eastAsia="en-US"/>
        </w:rPr>
        <w:t>En caso de que el Concesionario Solicitante requiera la integración de nuevos PLMN Telcel entregará en un plazo de 5 (cinco) días hábiles los costos para completar las pruebas de certificación IREG y TADIG, las cuales serán liberadas en un plazo no mayor de 30 (treinta) días hábiles, siempre y cuando utilicen las plataformas ya integradas. El Concesionario Solicitante deberá realizar el pago notificado antes de que Telcel realice la integración.</w:t>
      </w:r>
      <w:r>
        <w:rPr>
          <w:rFonts w:ascii="ITC Avant Garde" w:eastAsia="Calibri" w:hAnsi="ITC Avant Garde" w:cs="Arial"/>
          <w:i/>
          <w:color w:val="auto"/>
          <w:sz w:val="18"/>
          <w:szCs w:val="18"/>
          <w:lang w:eastAsia="en-US"/>
        </w:rPr>
        <w:t>”</w:t>
      </w:r>
    </w:p>
    <w:p w14:paraId="44236869" w14:textId="77777777" w:rsidR="006F7ECF" w:rsidRDefault="006F7ECF" w:rsidP="006F7ECF">
      <w:pPr>
        <w:spacing w:after="0" w:line="276" w:lineRule="auto"/>
        <w:ind w:right="0"/>
        <w:rPr>
          <w:rFonts w:ascii="ITC Avant Garde" w:hAnsi="ITC Avant Garde"/>
          <w:color w:val="auto"/>
        </w:rPr>
      </w:pPr>
    </w:p>
    <w:p w14:paraId="1D696DF2" w14:textId="0C750F97" w:rsidR="006F7ECF" w:rsidRDefault="006F7ECF" w:rsidP="006F7ECF">
      <w:pPr>
        <w:spacing w:after="0" w:line="276" w:lineRule="auto"/>
        <w:ind w:right="0"/>
        <w:rPr>
          <w:rFonts w:ascii="ITC Avant Garde" w:hAnsi="ITC Avant Garde"/>
          <w:color w:val="auto"/>
        </w:rPr>
      </w:pPr>
      <w:r>
        <w:rPr>
          <w:rFonts w:ascii="ITC Avant Garde" w:hAnsi="ITC Avant Garde"/>
          <w:color w:val="auto"/>
        </w:rPr>
        <w:t>Por lo anterior, el numeral en cuestión se mantiene en los mismos términos.</w:t>
      </w:r>
    </w:p>
    <w:p w14:paraId="465FD9F3" w14:textId="581D13BF" w:rsidR="00FA003B" w:rsidRDefault="00FA003B" w:rsidP="006F7ECF">
      <w:pPr>
        <w:spacing w:after="0" w:line="276" w:lineRule="auto"/>
        <w:ind w:right="0"/>
        <w:rPr>
          <w:rFonts w:ascii="ITC Avant Garde" w:hAnsi="ITC Avant Garde"/>
          <w:color w:val="auto"/>
        </w:rPr>
      </w:pPr>
    </w:p>
    <w:p w14:paraId="5DE3C593" w14:textId="35CA17F1" w:rsidR="00FA003B" w:rsidRDefault="00FA003B" w:rsidP="00FA003B">
      <w:pPr>
        <w:spacing w:after="0" w:line="276" w:lineRule="auto"/>
        <w:ind w:right="0"/>
        <w:rPr>
          <w:rFonts w:ascii="ITC Avant Garde" w:hAnsi="ITC Avant Garde"/>
          <w:b/>
          <w:color w:val="auto"/>
          <w:u w:val="single"/>
        </w:rPr>
      </w:pPr>
      <w:r>
        <w:rPr>
          <w:rFonts w:ascii="ITC Avant Garde" w:hAnsi="ITC Avant Garde"/>
          <w:b/>
          <w:color w:val="auto"/>
          <w:u w:val="single"/>
        </w:rPr>
        <w:t>5.2.15</w:t>
      </w:r>
    </w:p>
    <w:p w14:paraId="061F7CA9" w14:textId="169DC038" w:rsidR="00FA003B" w:rsidRPr="00CC6F12" w:rsidRDefault="00FA003B" w:rsidP="00FA003B">
      <w:pPr>
        <w:spacing w:after="0" w:line="276" w:lineRule="auto"/>
        <w:ind w:left="0" w:right="0" w:firstLine="0"/>
        <w:rPr>
          <w:rFonts w:ascii="ITC Avant Garde" w:hAnsi="ITC Avant Garde"/>
          <w:b/>
          <w:color w:val="auto"/>
        </w:rPr>
      </w:pPr>
      <w:r>
        <w:rPr>
          <w:rFonts w:ascii="ITC Avant Garde" w:hAnsi="ITC Avant Garde"/>
          <w:b/>
          <w:color w:val="auto"/>
        </w:rPr>
        <w:t>Altán</w:t>
      </w:r>
      <w:r w:rsidR="001E27D8">
        <w:rPr>
          <w:rFonts w:ascii="ITC Avant Garde" w:hAnsi="ITC Avant Garde"/>
          <w:b/>
          <w:color w:val="auto"/>
        </w:rPr>
        <w:t>, CANIETI, AT&amp;T</w:t>
      </w:r>
      <w:r w:rsidRPr="00CC6F12">
        <w:rPr>
          <w:rFonts w:ascii="ITC Avant Garde" w:hAnsi="ITC Avant Garde"/>
          <w:b/>
          <w:color w:val="auto"/>
        </w:rPr>
        <w:t>:</w:t>
      </w:r>
    </w:p>
    <w:p w14:paraId="6E8B6BD6" w14:textId="47F543DC" w:rsidR="00FA003B" w:rsidRDefault="00FA4E0E" w:rsidP="00FA003B">
      <w:pPr>
        <w:spacing w:after="0" w:line="276" w:lineRule="auto"/>
        <w:ind w:right="0"/>
        <w:rPr>
          <w:rFonts w:ascii="ITC Avant Garde" w:hAnsi="ITC Avant Garde"/>
          <w:color w:val="auto"/>
        </w:rPr>
      </w:pPr>
      <w:r>
        <w:rPr>
          <w:rFonts w:ascii="ITC Avant Garde" w:hAnsi="ITC Avant Garde"/>
          <w:color w:val="auto"/>
        </w:rPr>
        <w:t>Solicita</w:t>
      </w:r>
      <w:r w:rsidR="001E27D8">
        <w:rPr>
          <w:rFonts w:ascii="ITC Avant Garde" w:hAnsi="ITC Avant Garde"/>
          <w:color w:val="auto"/>
        </w:rPr>
        <w:t>n</w:t>
      </w:r>
      <w:r>
        <w:rPr>
          <w:rFonts w:ascii="ITC Avant Garde" w:hAnsi="ITC Avant Garde"/>
          <w:color w:val="auto"/>
        </w:rPr>
        <w:t xml:space="preserve"> que </w:t>
      </w:r>
      <w:r w:rsidR="001E27D8">
        <w:rPr>
          <w:rFonts w:ascii="ITC Avant Garde" w:hAnsi="ITC Avant Garde"/>
          <w:color w:val="auto"/>
        </w:rPr>
        <w:t xml:space="preserve">se elimine el presente numeral. Asimismo, Altán señala </w:t>
      </w:r>
      <w:r>
        <w:rPr>
          <w:rFonts w:ascii="ITC Avant Garde" w:hAnsi="ITC Avant Garde"/>
          <w:color w:val="auto"/>
        </w:rPr>
        <w:t>que Telcel en su calidad de AEP no debe condicionar unilateralmente los niveles de calidad de la red</w:t>
      </w:r>
      <w:r w:rsidR="007378CE">
        <w:rPr>
          <w:rFonts w:ascii="ITC Avant Garde" w:hAnsi="ITC Avant Garde"/>
          <w:color w:val="auto"/>
        </w:rPr>
        <w:t>, menos aún por proyecciones de tráfico cuya exactitud en cuant</w:t>
      </w:r>
      <w:r w:rsidR="001E27D8">
        <w:rPr>
          <w:rFonts w:ascii="ITC Avant Garde" w:hAnsi="ITC Avant Garde"/>
          <w:color w:val="auto"/>
        </w:rPr>
        <w:t>o a volumen y fecha son</w:t>
      </w:r>
      <w:r w:rsidR="007378CE">
        <w:rPr>
          <w:rFonts w:ascii="ITC Avant Garde" w:hAnsi="ITC Avant Garde"/>
          <w:color w:val="auto"/>
        </w:rPr>
        <w:t xml:space="preserve"> incierta</w:t>
      </w:r>
      <w:r w:rsidR="001E27D8">
        <w:rPr>
          <w:rFonts w:ascii="ITC Avant Garde" w:hAnsi="ITC Avant Garde"/>
          <w:color w:val="auto"/>
        </w:rPr>
        <w:t>s</w:t>
      </w:r>
      <w:r w:rsidR="007378CE">
        <w:rPr>
          <w:rFonts w:ascii="ITC Avant Garde" w:hAnsi="ITC Avant Garde"/>
          <w:color w:val="auto"/>
        </w:rPr>
        <w:t>.</w:t>
      </w:r>
    </w:p>
    <w:p w14:paraId="27391F2C" w14:textId="531104BE" w:rsidR="008F1201" w:rsidRDefault="008F1201" w:rsidP="00FA003B">
      <w:pPr>
        <w:spacing w:after="0" w:line="276" w:lineRule="auto"/>
        <w:ind w:right="0"/>
        <w:rPr>
          <w:rFonts w:ascii="ITC Avant Garde" w:hAnsi="ITC Avant Garde"/>
          <w:color w:val="auto"/>
        </w:rPr>
      </w:pPr>
    </w:p>
    <w:p w14:paraId="6C488571" w14:textId="77777777" w:rsidR="008F1201" w:rsidRPr="0043746C" w:rsidRDefault="008F1201" w:rsidP="008F1201">
      <w:pPr>
        <w:spacing w:after="0" w:line="276" w:lineRule="auto"/>
        <w:ind w:left="0" w:right="0" w:firstLine="0"/>
        <w:rPr>
          <w:rFonts w:ascii="ITC Avant Garde" w:hAnsi="ITC Avant Garde"/>
          <w:b/>
          <w:color w:val="auto"/>
        </w:rPr>
      </w:pPr>
      <w:r w:rsidRPr="0043746C">
        <w:rPr>
          <w:rFonts w:ascii="ITC Avant Garde" w:hAnsi="ITC Avant Garde"/>
          <w:b/>
          <w:color w:val="auto"/>
        </w:rPr>
        <w:t>Consideraciones del Instituto:</w:t>
      </w:r>
    </w:p>
    <w:p w14:paraId="5A28489B" w14:textId="202DA64D" w:rsidR="005E3AF7" w:rsidRDefault="00C5349F" w:rsidP="0050529A">
      <w:pPr>
        <w:pStyle w:val="NormalWeb"/>
        <w:spacing w:before="0" w:beforeAutospacing="0" w:after="0" w:afterAutospacing="0" w:line="276" w:lineRule="auto"/>
        <w:jc w:val="both"/>
        <w:rPr>
          <w:rFonts w:ascii="ITC Avant Garde" w:hAnsi="ITC Avant Garde" w:cs="Arial"/>
          <w:sz w:val="18"/>
          <w:szCs w:val="18"/>
        </w:rPr>
      </w:pPr>
      <w:r w:rsidRPr="00157C18">
        <w:rPr>
          <w:rFonts w:ascii="ITC Avant Garde" w:hAnsi="ITC Avant Garde" w:cs="Arial"/>
          <w:snapToGrid w:val="0"/>
          <w:sz w:val="22"/>
          <w:szCs w:val="22"/>
        </w:rPr>
        <w:t>Se elimin</w:t>
      </w:r>
      <w:r>
        <w:rPr>
          <w:rFonts w:ascii="ITC Avant Garde" w:hAnsi="ITC Avant Garde" w:cs="Arial"/>
          <w:snapToGrid w:val="0"/>
          <w:sz w:val="22"/>
          <w:szCs w:val="22"/>
        </w:rPr>
        <w:t>ó</w:t>
      </w:r>
      <w:r w:rsidRPr="00157C18">
        <w:rPr>
          <w:rFonts w:ascii="ITC Avant Garde" w:hAnsi="ITC Avant Garde" w:cs="Arial"/>
          <w:snapToGrid w:val="0"/>
          <w:sz w:val="22"/>
          <w:szCs w:val="22"/>
        </w:rPr>
        <w:t xml:space="preserve"> la cláusula 5.2.15 ya que, si bien Telcel puede requerir al concesionario solicitante proyecciones de demanda de los servicios que permitan la adecuada planeación de la red, estos no deben entenderse como un compromiso de compra de conformidad con lo establecido en la Medida Vigésima Novena las Medidas Móviles</w:t>
      </w:r>
      <w:r w:rsidR="0050529A">
        <w:rPr>
          <w:rFonts w:ascii="ITC Avant Garde" w:hAnsi="ITC Avant Garde" w:cs="Arial"/>
          <w:snapToGrid w:val="0"/>
          <w:sz w:val="22"/>
          <w:szCs w:val="22"/>
        </w:rPr>
        <w:t>.</w:t>
      </w:r>
    </w:p>
    <w:p w14:paraId="41DB3C34" w14:textId="3E4990AC" w:rsidR="0039472B" w:rsidRDefault="0039472B" w:rsidP="006136F4">
      <w:pPr>
        <w:spacing w:after="0" w:line="276" w:lineRule="auto"/>
        <w:ind w:right="0"/>
        <w:rPr>
          <w:rFonts w:ascii="ITC Avant Garde" w:hAnsi="ITC Avant Garde"/>
          <w:b/>
          <w:color w:val="auto"/>
          <w:u w:val="single"/>
        </w:rPr>
      </w:pPr>
    </w:p>
    <w:p w14:paraId="2200F09E" w14:textId="1E938AD2" w:rsidR="00203BF7" w:rsidRPr="00203BF7" w:rsidRDefault="00203BF7" w:rsidP="00203BF7">
      <w:pPr>
        <w:spacing w:after="0" w:line="276" w:lineRule="auto"/>
        <w:ind w:left="-5" w:right="49"/>
        <w:rPr>
          <w:rFonts w:ascii="ITC Avant Garde" w:hAnsi="ITC Avant Garde"/>
          <w:b/>
          <w:color w:val="auto"/>
          <w:u w:val="single"/>
        </w:rPr>
      </w:pPr>
      <w:r w:rsidRPr="00203BF7">
        <w:rPr>
          <w:rFonts w:ascii="ITC Avant Garde" w:hAnsi="ITC Avant Garde"/>
          <w:b/>
          <w:color w:val="auto"/>
        </w:rPr>
        <w:t>ANEXO A. Precios y Tarifas</w:t>
      </w:r>
    </w:p>
    <w:p w14:paraId="56E435BF" w14:textId="77777777" w:rsidR="00203BF7" w:rsidRPr="00203BF7" w:rsidRDefault="00203BF7" w:rsidP="00203BF7">
      <w:pPr>
        <w:spacing w:after="0" w:line="276" w:lineRule="auto"/>
        <w:ind w:left="0" w:right="0" w:firstLine="0"/>
        <w:rPr>
          <w:rFonts w:ascii="ITC Avant Garde" w:hAnsi="ITC Avant Garde"/>
          <w:b/>
          <w:color w:val="auto"/>
        </w:rPr>
      </w:pPr>
      <w:r w:rsidRPr="00203BF7">
        <w:rPr>
          <w:rFonts w:ascii="ITC Avant Garde" w:hAnsi="ITC Avant Garde"/>
          <w:b/>
          <w:color w:val="auto"/>
        </w:rPr>
        <w:t>Telefónica:</w:t>
      </w:r>
    </w:p>
    <w:p w14:paraId="4E2470B6" w14:textId="61729260" w:rsidR="005B5EB5" w:rsidRDefault="00526172" w:rsidP="00203BF7">
      <w:pPr>
        <w:spacing w:after="0" w:line="276" w:lineRule="auto"/>
        <w:ind w:right="0"/>
        <w:rPr>
          <w:rFonts w:ascii="ITC Avant Garde" w:hAnsi="ITC Avant Garde"/>
          <w:color w:val="auto"/>
        </w:rPr>
      </w:pPr>
      <w:r>
        <w:rPr>
          <w:rFonts w:ascii="ITC Avant Garde" w:hAnsi="ITC Avant Garde"/>
          <w:color w:val="auto"/>
        </w:rPr>
        <w:t>Refiere</w:t>
      </w:r>
      <w:r w:rsidR="00203BF7" w:rsidRPr="00203BF7">
        <w:rPr>
          <w:rFonts w:ascii="ITC Avant Garde" w:hAnsi="ITC Avant Garde"/>
          <w:color w:val="auto"/>
        </w:rPr>
        <w:t xml:space="preserve"> que</w:t>
      </w:r>
      <w:r w:rsidR="00203BF7">
        <w:rPr>
          <w:rFonts w:ascii="ITC Avant Garde" w:hAnsi="ITC Avant Garde"/>
          <w:color w:val="auto"/>
        </w:rPr>
        <w:t>,</w:t>
      </w:r>
      <w:r w:rsidR="00203BF7" w:rsidRPr="00203BF7">
        <w:rPr>
          <w:rFonts w:ascii="ITC Avant Garde" w:hAnsi="ITC Avant Garde"/>
          <w:color w:val="auto"/>
        </w:rPr>
        <w:t xml:space="preserve"> </w:t>
      </w:r>
      <w:r w:rsidR="00203BF7">
        <w:rPr>
          <w:rFonts w:ascii="ITC Avant Garde" w:hAnsi="ITC Avant Garde"/>
          <w:color w:val="auto"/>
        </w:rPr>
        <w:t xml:space="preserve">aunque las tarifas </w:t>
      </w:r>
      <w:r>
        <w:rPr>
          <w:rFonts w:ascii="ITC Avant Garde" w:hAnsi="ITC Avant Garde"/>
          <w:color w:val="auto"/>
        </w:rPr>
        <w:t>incluidas en la Propuesta de Oferta parecen mejores que las incluidas en la Oferta vigente, estas son las que estuvieron en vigor desde mediados del 2018 hasta finales de ese año. Por lo anterior, señala que no se trata de ningún tipo de mejora sino de una anomalía incluida en la Oferta vigente.</w:t>
      </w:r>
    </w:p>
    <w:p w14:paraId="036653E8" w14:textId="013B8EFD" w:rsidR="00FE54EA" w:rsidRDefault="00FE54EA" w:rsidP="00203BF7">
      <w:pPr>
        <w:spacing w:after="0" w:line="276" w:lineRule="auto"/>
        <w:ind w:right="0"/>
        <w:rPr>
          <w:rFonts w:ascii="ITC Avant Garde" w:hAnsi="ITC Avant Garde"/>
          <w:color w:val="auto"/>
        </w:rPr>
      </w:pPr>
    </w:p>
    <w:p w14:paraId="64E93C9A" w14:textId="69608E17" w:rsidR="00FE54EA" w:rsidRDefault="00FE54EA" w:rsidP="00203BF7">
      <w:pPr>
        <w:spacing w:after="0" w:line="276" w:lineRule="auto"/>
        <w:ind w:right="0"/>
        <w:rPr>
          <w:rFonts w:ascii="ITC Avant Garde" w:hAnsi="ITC Avant Garde"/>
          <w:color w:val="auto"/>
        </w:rPr>
      </w:pPr>
      <w:r>
        <w:rPr>
          <w:rFonts w:ascii="ITC Avant Garde" w:hAnsi="ITC Avant Garde"/>
          <w:color w:val="auto"/>
        </w:rPr>
        <w:t xml:space="preserve">Telefónica señala que las tarifas incluidas en la Propuesta de Oferta no permiten replicar económicamente los precios minoristas del AEP e incumplen el mandato del artículo 120 de la LFTR. Manifiesta que, a pesar de que el servicio de Usuario Visitante no está incluido </w:t>
      </w:r>
      <w:r w:rsidR="00B215D4">
        <w:rPr>
          <w:rFonts w:ascii="ITC Avant Garde" w:hAnsi="ITC Avant Garde"/>
          <w:color w:val="auto"/>
        </w:rPr>
        <w:t>en la prueba de replicabilidad económica</w:t>
      </w:r>
      <w:r w:rsidR="00437E58">
        <w:rPr>
          <w:rFonts w:ascii="ITC Avant Garde" w:hAnsi="ITC Avant Garde"/>
          <w:color w:val="auto"/>
        </w:rPr>
        <w:t>, se debe evitar que se produzca</w:t>
      </w:r>
      <w:r w:rsidR="0089634A">
        <w:rPr>
          <w:rFonts w:ascii="ITC Avant Garde" w:hAnsi="ITC Avant Garde"/>
          <w:color w:val="auto"/>
        </w:rPr>
        <w:t xml:space="preserve"> un estrechamiento de los márgenes entre las tarifas mayoristas y los precios minoristas</w:t>
      </w:r>
      <w:r w:rsidR="0078733A">
        <w:rPr>
          <w:rFonts w:ascii="ITC Avant Garde" w:hAnsi="ITC Avant Garde"/>
          <w:color w:val="auto"/>
        </w:rPr>
        <w:t>.</w:t>
      </w:r>
    </w:p>
    <w:p w14:paraId="3837F23B" w14:textId="0CF54DD7" w:rsidR="008501C8" w:rsidRDefault="008501C8" w:rsidP="00203BF7">
      <w:pPr>
        <w:spacing w:after="0" w:line="276" w:lineRule="auto"/>
        <w:ind w:right="0"/>
        <w:rPr>
          <w:rFonts w:ascii="ITC Avant Garde" w:hAnsi="ITC Avant Garde"/>
          <w:color w:val="auto"/>
        </w:rPr>
      </w:pPr>
    </w:p>
    <w:p w14:paraId="39B7F6CA" w14:textId="6B0EFC1C" w:rsidR="008501C8" w:rsidRDefault="008501C8" w:rsidP="00203BF7">
      <w:pPr>
        <w:spacing w:after="0" w:line="276" w:lineRule="auto"/>
        <w:ind w:right="0"/>
        <w:rPr>
          <w:rFonts w:ascii="ITC Avant Garde" w:hAnsi="ITC Avant Garde"/>
          <w:color w:val="auto"/>
        </w:rPr>
      </w:pPr>
      <w:r w:rsidRPr="008501C8">
        <w:rPr>
          <w:rFonts w:ascii="ITC Avant Garde" w:hAnsi="ITC Avant Garde"/>
          <w:color w:val="auto"/>
        </w:rPr>
        <w:lastRenderedPageBreak/>
        <w:t xml:space="preserve">Por </w:t>
      </w:r>
      <w:r>
        <w:rPr>
          <w:rFonts w:ascii="ITC Avant Garde" w:hAnsi="ITC Avant Garde"/>
          <w:color w:val="auto"/>
        </w:rPr>
        <w:t xml:space="preserve">lo anterior, solicita que se ajusten las tarifas </w:t>
      </w:r>
      <w:r w:rsidR="00FF6F31">
        <w:rPr>
          <w:rFonts w:ascii="ITC Avant Garde" w:hAnsi="ITC Avant Garde"/>
          <w:color w:val="auto"/>
        </w:rPr>
        <w:t>al amparo del artículo 120 de LFTR para que la tarifa mayorista, al menos, iguale el mejor precio minorista que el AEP ofrece a sus clientes.</w:t>
      </w:r>
      <w:r w:rsidR="00810D4F">
        <w:rPr>
          <w:rFonts w:ascii="ITC Avant Garde" w:hAnsi="ITC Avant Garde"/>
          <w:color w:val="auto"/>
        </w:rPr>
        <w:t xml:space="preserve"> </w:t>
      </w:r>
      <w:r w:rsidR="00FF3E9A">
        <w:rPr>
          <w:rFonts w:ascii="ITC Avant Garde" w:hAnsi="ITC Avant Garde"/>
          <w:color w:val="auto"/>
        </w:rPr>
        <w:t xml:space="preserve">También indica que la Oferta debe </w:t>
      </w:r>
      <w:r w:rsidR="003B3BD8">
        <w:rPr>
          <w:rFonts w:ascii="ITC Avant Garde" w:hAnsi="ITC Avant Garde"/>
          <w:color w:val="auto"/>
        </w:rPr>
        <w:t xml:space="preserve">señalar expresamente que cada año las tarifas unitarias serán actualizadas considerando las eficiencias del mercado. </w:t>
      </w:r>
      <w:r w:rsidR="00FF3E9A">
        <w:rPr>
          <w:rFonts w:ascii="ITC Avant Garde" w:hAnsi="ITC Avant Garde"/>
          <w:color w:val="auto"/>
        </w:rPr>
        <w:t xml:space="preserve"> </w:t>
      </w:r>
    </w:p>
    <w:p w14:paraId="38EAB5FC" w14:textId="5BB754C0" w:rsidR="001551A8" w:rsidRDefault="001551A8" w:rsidP="00203BF7">
      <w:pPr>
        <w:spacing w:after="0" w:line="276" w:lineRule="auto"/>
        <w:ind w:right="0"/>
        <w:rPr>
          <w:rFonts w:ascii="ITC Avant Garde" w:hAnsi="ITC Avant Garde"/>
          <w:color w:val="auto"/>
        </w:rPr>
      </w:pPr>
    </w:p>
    <w:p w14:paraId="233B2AEF" w14:textId="197933C0" w:rsidR="001551A8" w:rsidRDefault="001551A8" w:rsidP="00203BF7">
      <w:pPr>
        <w:spacing w:after="0" w:line="276" w:lineRule="auto"/>
        <w:ind w:right="0"/>
        <w:rPr>
          <w:rFonts w:ascii="ITC Avant Garde" w:hAnsi="ITC Avant Garde"/>
          <w:color w:val="auto"/>
        </w:rPr>
      </w:pPr>
      <w:r>
        <w:rPr>
          <w:rFonts w:ascii="ITC Avant Garde" w:hAnsi="ITC Avant Garde"/>
          <w:color w:val="auto"/>
        </w:rPr>
        <w:t xml:space="preserve">Refiere que, además del pago por uso, la Oferta debe </w:t>
      </w:r>
      <w:r w:rsidR="00C6042B">
        <w:rPr>
          <w:rFonts w:ascii="ITC Avant Garde" w:hAnsi="ITC Avant Garde"/>
          <w:color w:val="auto"/>
        </w:rPr>
        <w:t>incluir las siguientes modali</w:t>
      </w:r>
      <w:r w:rsidR="00E15AC3">
        <w:rPr>
          <w:rFonts w:ascii="ITC Avant Garde" w:hAnsi="ITC Avant Garde"/>
          <w:color w:val="auto"/>
        </w:rPr>
        <w:t>da</w:t>
      </w:r>
      <w:r w:rsidR="00C6042B">
        <w:rPr>
          <w:rFonts w:ascii="ITC Avant Garde" w:hAnsi="ITC Avant Garde"/>
          <w:color w:val="auto"/>
        </w:rPr>
        <w:t>des:</w:t>
      </w:r>
    </w:p>
    <w:p w14:paraId="6BC347CB" w14:textId="36202054" w:rsidR="00C6042B" w:rsidRDefault="00C6042B" w:rsidP="00203BF7">
      <w:pPr>
        <w:spacing w:after="0" w:line="276" w:lineRule="auto"/>
        <w:ind w:right="0"/>
        <w:rPr>
          <w:rFonts w:ascii="ITC Avant Garde" w:hAnsi="ITC Avant Garde"/>
          <w:color w:val="auto"/>
        </w:rPr>
      </w:pPr>
    </w:p>
    <w:p w14:paraId="09850E7C" w14:textId="3AD1622B" w:rsidR="00C6042B" w:rsidRDefault="00C6042B" w:rsidP="00C6042B">
      <w:pPr>
        <w:pStyle w:val="Prrafodelista"/>
        <w:numPr>
          <w:ilvl w:val="0"/>
          <w:numId w:val="17"/>
        </w:numPr>
        <w:spacing w:after="0" w:line="276" w:lineRule="auto"/>
        <w:ind w:right="0"/>
        <w:rPr>
          <w:rFonts w:ascii="ITC Avant Garde" w:hAnsi="ITC Avant Garde"/>
          <w:color w:val="auto"/>
        </w:rPr>
      </w:pPr>
      <w:r>
        <w:rPr>
          <w:rFonts w:ascii="ITC Avant Garde" w:hAnsi="ITC Avant Garde"/>
          <w:color w:val="auto"/>
        </w:rPr>
        <w:t>Esquema de uso de una capacidad de la red, el cual puede contemplar el pago por Erlangs de voz o Gigabytes (Gbps) de datos en la hora pico o como un porcentaje de la capacidad de la red</w:t>
      </w:r>
      <w:r w:rsidR="00E15AC3">
        <w:rPr>
          <w:rFonts w:ascii="ITC Avant Garde" w:hAnsi="ITC Avant Garde"/>
          <w:color w:val="auto"/>
        </w:rPr>
        <w:t>.</w:t>
      </w:r>
    </w:p>
    <w:p w14:paraId="0DAFCC36" w14:textId="07C838C0" w:rsidR="00E15AC3" w:rsidRDefault="00E15AC3" w:rsidP="00C6042B">
      <w:pPr>
        <w:pStyle w:val="Prrafodelista"/>
        <w:numPr>
          <w:ilvl w:val="0"/>
          <w:numId w:val="17"/>
        </w:numPr>
        <w:spacing w:after="0" w:line="276" w:lineRule="auto"/>
        <w:ind w:right="0"/>
        <w:rPr>
          <w:rFonts w:ascii="ITC Avant Garde" w:hAnsi="ITC Avant Garde"/>
          <w:color w:val="auto"/>
        </w:rPr>
      </w:pPr>
      <w:r>
        <w:rPr>
          <w:rFonts w:ascii="ITC Avant Garde" w:hAnsi="ITC Avant Garde"/>
          <w:color w:val="auto"/>
        </w:rPr>
        <w:t>Modalidad “bulk”, el cual contempla el pago por un volumen total de unidades (voz, SMS y datos) al año a un precio determinado.</w:t>
      </w:r>
      <w:r w:rsidR="00533C41">
        <w:rPr>
          <w:rFonts w:ascii="ITC Avant Garde" w:hAnsi="ITC Avant Garde"/>
          <w:color w:val="auto"/>
        </w:rPr>
        <w:t xml:space="preserve"> El volumen no consumido se transfiere al año siguiente.</w:t>
      </w:r>
    </w:p>
    <w:p w14:paraId="2735D799" w14:textId="70D95742" w:rsidR="009717F0" w:rsidRDefault="009717F0" w:rsidP="00C6042B">
      <w:pPr>
        <w:pStyle w:val="Prrafodelista"/>
        <w:numPr>
          <w:ilvl w:val="0"/>
          <w:numId w:val="17"/>
        </w:numPr>
        <w:spacing w:after="0" w:line="276" w:lineRule="auto"/>
        <w:ind w:right="0"/>
        <w:rPr>
          <w:rFonts w:ascii="ITC Avant Garde" w:hAnsi="ITC Avant Garde"/>
          <w:color w:val="auto"/>
        </w:rPr>
      </w:pPr>
      <w:r>
        <w:rPr>
          <w:rFonts w:ascii="ITC Avant Garde" w:hAnsi="ITC Avant Garde"/>
          <w:color w:val="auto"/>
        </w:rPr>
        <w:t>Otros esquemas que permitan la replicabilidad</w:t>
      </w:r>
      <w:r w:rsidR="0095142F">
        <w:rPr>
          <w:rFonts w:ascii="ITC Avant Garde" w:hAnsi="ITC Avant Garde"/>
          <w:color w:val="auto"/>
        </w:rPr>
        <w:t xml:space="preserve"> de ciertos planes del AEP, el cual considere distintos perfiles de usuarios con distinta intensidad y patrones de consumo. </w:t>
      </w:r>
      <w:r>
        <w:rPr>
          <w:rFonts w:ascii="ITC Avant Garde" w:hAnsi="ITC Avant Garde"/>
          <w:color w:val="auto"/>
        </w:rPr>
        <w:t xml:space="preserve"> </w:t>
      </w:r>
    </w:p>
    <w:p w14:paraId="5CF58133" w14:textId="69F98314" w:rsidR="0095142F" w:rsidRPr="00C6042B" w:rsidRDefault="0095142F" w:rsidP="00C6042B">
      <w:pPr>
        <w:pStyle w:val="Prrafodelista"/>
        <w:numPr>
          <w:ilvl w:val="0"/>
          <w:numId w:val="17"/>
        </w:numPr>
        <w:spacing w:after="0" w:line="276" w:lineRule="auto"/>
        <w:ind w:right="0"/>
        <w:rPr>
          <w:rFonts w:ascii="ITC Avant Garde" w:hAnsi="ITC Avant Garde"/>
          <w:color w:val="auto"/>
        </w:rPr>
      </w:pPr>
      <w:r>
        <w:rPr>
          <w:rFonts w:ascii="ITC Avant Garde" w:hAnsi="ITC Avant Garde"/>
          <w:color w:val="auto"/>
        </w:rPr>
        <w:t>Descuentos por volumen, los cuales deberán ser razonables e incentivar el mayor uso de los servicios.</w:t>
      </w:r>
    </w:p>
    <w:p w14:paraId="26CE1DAB" w14:textId="788DDCB4" w:rsidR="005B5EB5" w:rsidRDefault="005B5EB5" w:rsidP="006136F4">
      <w:pPr>
        <w:spacing w:after="0" w:line="276" w:lineRule="auto"/>
        <w:ind w:right="0"/>
        <w:rPr>
          <w:rFonts w:ascii="ITC Avant Garde" w:hAnsi="ITC Avant Garde"/>
          <w:b/>
          <w:color w:val="auto"/>
          <w:u w:val="single"/>
        </w:rPr>
      </w:pPr>
    </w:p>
    <w:p w14:paraId="7558D302" w14:textId="133E8AB7" w:rsidR="008765FF" w:rsidRDefault="006F36C6" w:rsidP="006136F4">
      <w:pPr>
        <w:spacing w:after="0" w:line="276" w:lineRule="auto"/>
        <w:ind w:right="0"/>
        <w:rPr>
          <w:rFonts w:ascii="ITC Avant Garde" w:hAnsi="ITC Avant Garde"/>
          <w:color w:val="auto"/>
        </w:rPr>
      </w:pPr>
      <w:r>
        <w:rPr>
          <w:rFonts w:ascii="ITC Avant Garde" w:hAnsi="ITC Avant Garde"/>
          <w:color w:val="auto"/>
        </w:rPr>
        <w:t>Tambié</w:t>
      </w:r>
      <w:r w:rsidRPr="006F36C6">
        <w:rPr>
          <w:rFonts w:ascii="ITC Avant Garde" w:hAnsi="ITC Avant Garde"/>
          <w:color w:val="auto"/>
        </w:rPr>
        <w:t>n</w:t>
      </w:r>
      <w:r>
        <w:rPr>
          <w:rFonts w:ascii="ITC Avant Garde" w:hAnsi="ITC Avant Garde"/>
          <w:color w:val="auto"/>
        </w:rPr>
        <w:t xml:space="preserve"> indica que la Oferta debe incluir la posibilidad de revender los equipos terminales del AEP.</w:t>
      </w:r>
    </w:p>
    <w:p w14:paraId="615C5B21" w14:textId="1550FBC9" w:rsidR="004C05D6" w:rsidRDefault="004C05D6" w:rsidP="006136F4">
      <w:pPr>
        <w:spacing w:after="0" w:line="276" w:lineRule="auto"/>
        <w:ind w:right="0"/>
        <w:rPr>
          <w:rFonts w:ascii="ITC Avant Garde" w:hAnsi="ITC Avant Garde"/>
          <w:color w:val="auto"/>
        </w:rPr>
      </w:pPr>
    </w:p>
    <w:p w14:paraId="615FF79F" w14:textId="77777777" w:rsidR="004C05D6" w:rsidRDefault="004C05D6" w:rsidP="004C05D6">
      <w:pPr>
        <w:spacing w:after="0" w:line="276" w:lineRule="auto"/>
        <w:ind w:left="0" w:right="0" w:firstLine="0"/>
        <w:rPr>
          <w:rFonts w:ascii="ITC Avant Garde" w:hAnsi="ITC Avant Garde"/>
          <w:b/>
          <w:color w:val="auto"/>
        </w:rPr>
      </w:pPr>
      <w:r w:rsidRPr="00343A4F">
        <w:rPr>
          <w:rFonts w:ascii="ITC Avant Garde" w:hAnsi="ITC Avant Garde"/>
          <w:b/>
          <w:color w:val="auto"/>
        </w:rPr>
        <w:t xml:space="preserve">Consideraciones del Instituto </w:t>
      </w:r>
    </w:p>
    <w:p w14:paraId="06679835" w14:textId="2F3A6F0B" w:rsidR="00524F8A" w:rsidRDefault="00CA7657" w:rsidP="00524F8A">
      <w:pPr>
        <w:spacing w:after="0" w:line="276" w:lineRule="auto"/>
        <w:ind w:left="0" w:right="0" w:firstLine="0"/>
        <w:rPr>
          <w:rFonts w:ascii="ITC Avant Garde" w:hAnsi="ITC Avant Garde"/>
          <w:color w:val="auto"/>
        </w:rPr>
      </w:pPr>
      <w:r>
        <w:rPr>
          <w:rFonts w:ascii="ITC Avant Garde" w:hAnsi="ITC Avant Garde"/>
          <w:color w:val="auto"/>
        </w:rPr>
        <w:t>Se señala que, l</w:t>
      </w:r>
      <w:r w:rsidR="00524F8A">
        <w:rPr>
          <w:rFonts w:ascii="ITC Avant Garde" w:hAnsi="ITC Avant Garde"/>
          <w:color w:val="auto"/>
        </w:rPr>
        <w:t xml:space="preserve">a definición de los </w:t>
      </w:r>
      <w:r w:rsidR="00D119AB">
        <w:rPr>
          <w:rFonts w:ascii="ITC Avant Garde" w:hAnsi="ITC Avant Garde"/>
          <w:color w:val="auto"/>
        </w:rPr>
        <w:t xml:space="preserve">esquemas tarifarios y los </w:t>
      </w:r>
      <w:r w:rsidR="00524F8A">
        <w:rPr>
          <w:rFonts w:ascii="ITC Avant Garde" w:hAnsi="ITC Avant Garde"/>
          <w:color w:val="auto"/>
        </w:rPr>
        <w:t>lineamientos metodológicos para la elaboración del modelo de costos utilizado por el Instituto para determinar las tarifas en caso de desacuerdos</w:t>
      </w:r>
      <w:r>
        <w:rPr>
          <w:rFonts w:ascii="ITC Avant Garde" w:hAnsi="ITC Avant Garde"/>
          <w:color w:val="auto"/>
        </w:rPr>
        <w:t>,</w:t>
      </w:r>
      <w:r w:rsidR="00524F8A">
        <w:rPr>
          <w:rFonts w:ascii="ITC Avant Garde" w:hAnsi="ITC Avant Garde"/>
          <w:color w:val="auto"/>
        </w:rPr>
        <w:t xml:space="preserve"> excede el alcance de la presente consulta. Además, en términos de la Medida Sexagésima primera de las Medidas Móviles, Telcel y el concesionario tienen la libertad de negociar las tarifas aplicables independientemente de las establecidas en la Oferta, tal como se muestra a continuación:</w:t>
      </w:r>
    </w:p>
    <w:p w14:paraId="4F46D157" w14:textId="77777777" w:rsidR="00524F8A" w:rsidRDefault="00524F8A" w:rsidP="00524F8A">
      <w:pPr>
        <w:spacing w:after="0" w:line="276" w:lineRule="auto"/>
        <w:ind w:left="0" w:right="0" w:firstLine="0"/>
        <w:rPr>
          <w:rFonts w:ascii="ITC Avant Garde" w:hAnsi="ITC Avant Garde"/>
          <w:color w:val="auto"/>
        </w:rPr>
      </w:pPr>
    </w:p>
    <w:p w14:paraId="6AD9D743" w14:textId="77777777" w:rsidR="00524F8A" w:rsidRDefault="00524F8A" w:rsidP="00524F8A">
      <w:pPr>
        <w:spacing w:after="0" w:line="276" w:lineRule="auto"/>
        <w:ind w:left="567"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r w:rsidRPr="00EB2325">
        <w:rPr>
          <w:rFonts w:ascii="ITC Avant Garde" w:eastAsia="Calibri" w:hAnsi="ITC Avant Garde" w:cs="Arial"/>
          <w:i/>
          <w:color w:val="auto"/>
          <w:sz w:val="18"/>
          <w:szCs w:val="18"/>
          <w:lang w:eastAsia="en-US"/>
        </w:rPr>
        <w:t xml:space="preserve">SEXAGÉSIMA PRIMERA.- El Agente Económico Preponderante incluirá las tarifas aplicables al Servicio Mayorista de Comercialización o Reventa de Servicios, al menos para el modelo de Operador Móvil Virtual revendedor, en la Oferta de Referencia aprobada por el Instituto. </w:t>
      </w:r>
    </w:p>
    <w:p w14:paraId="42240B51" w14:textId="77777777" w:rsidR="00524F8A" w:rsidRPr="00EB2325" w:rsidRDefault="00524F8A" w:rsidP="00524F8A">
      <w:pPr>
        <w:spacing w:after="0" w:line="276" w:lineRule="auto"/>
        <w:ind w:left="567" w:right="615" w:firstLine="0"/>
        <w:rPr>
          <w:rFonts w:ascii="ITC Avant Garde" w:eastAsia="Calibri" w:hAnsi="ITC Avant Garde" w:cs="Arial"/>
          <w:i/>
          <w:color w:val="auto"/>
          <w:sz w:val="18"/>
          <w:szCs w:val="18"/>
          <w:lang w:eastAsia="en-US"/>
        </w:rPr>
      </w:pPr>
    </w:p>
    <w:p w14:paraId="7BD30481" w14:textId="77777777" w:rsidR="00524F8A" w:rsidRPr="002221C0" w:rsidRDefault="00524F8A" w:rsidP="00524F8A">
      <w:pPr>
        <w:spacing w:after="0" w:line="276" w:lineRule="auto"/>
        <w:ind w:left="567" w:right="615" w:firstLine="0"/>
        <w:rPr>
          <w:rFonts w:ascii="ITC Avant Garde" w:eastAsia="Calibri" w:hAnsi="ITC Avant Garde" w:cs="Arial"/>
          <w:i/>
          <w:color w:val="auto"/>
          <w:sz w:val="18"/>
          <w:szCs w:val="18"/>
          <w:u w:val="single"/>
          <w:lang w:eastAsia="en-US"/>
        </w:rPr>
      </w:pPr>
      <w:r w:rsidRPr="002221C0">
        <w:rPr>
          <w:rFonts w:ascii="ITC Avant Garde" w:eastAsia="Calibri" w:hAnsi="ITC Avant Garde" w:cs="Arial"/>
          <w:i/>
          <w:color w:val="auto"/>
          <w:sz w:val="18"/>
          <w:szCs w:val="18"/>
          <w:u w:val="single"/>
          <w:lang w:eastAsia="en-US"/>
        </w:rPr>
        <w:t xml:space="preserve">Independientemente de las tarifas establecidas en la Oferta de Referencia, el Agente Económico Preponderante y el Operador Móvil Virtual, sin importar el modelo de negocios, podrán negociar entre sí nuevas tarifas. </w:t>
      </w:r>
    </w:p>
    <w:p w14:paraId="6960C026" w14:textId="77777777" w:rsidR="00524F8A" w:rsidRPr="00EB2325" w:rsidRDefault="00524F8A" w:rsidP="00524F8A">
      <w:pPr>
        <w:spacing w:after="0" w:line="276" w:lineRule="auto"/>
        <w:ind w:left="567" w:right="615" w:firstLine="0"/>
        <w:rPr>
          <w:rFonts w:ascii="ITC Avant Garde" w:eastAsia="Calibri" w:hAnsi="ITC Avant Garde" w:cs="Arial"/>
          <w:i/>
          <w:color w:val="auto"/>
          <w:sz w:val="18"/>
          <w:szCs w:val="18"/>
          <w:lang w:eastAsia="en-US"/>
        </w:rPr>
      </w:pPr>
    </w:p>
    <w:p w14:paraId="3FB8523D" w14:textId="77777777" w:rsidR="00524F8A" w:rsidRDefault="00524F8A" w:rsidP="00524F8A">
      <w:pPr>
        <w:spacing w:after="0" w:line="276" w:lineRule="auto"/>
        <w:ind w:left="567" w:right="615" w:firstLine="0"/>
        <w:rPr>
          <w:rFonts w:ascii="ITC Avant Garde" w:eastAsia="Calibri" w:hAnsi="ITC Avant Garde" w:cs="Arial"/>
          <w:i/>
          <w:color w:val="auto"/>
          <w:sz w:val="18"/>
          <w:szCs w:val="18"/>
          <w:lang w:eastAsia="en-US"/>
        </w:rPr>
      </w:pPr>
      <w:r w:rsidRPr="00EB2325">
        <w:rPr>
          <w:rFonts w:ascii="ITC Avant Garde" w:eastAsia="Calibri" w:hAnsi="ITC Avant Garde" w:cs="Arial"/>
          <w:i/>
          <w:color w:val="auto"/>
          <w:sz w:val="18"/>
          <w:szCs w:val="18"/>
          <w:lang w:eastAsia="en-US"/>
        </w:rPr>
        <w:t xml:space="preserve">Si transcurridos 60(sesenta) días naturales contados a partir del inicio de las negociaciones, las partes no han celebrado un acuerdo, o antes si así lo requieren ambas partes, podrán </w:t>
      </w:r>
      <w:r w:rsidRPr="00EB2325">
        <w:rPr>
          <w:rFonts w:ascii="ITC Avant Garde" w:eastAsia="Calibri" w:hAnsi="ITC Avant Garde" w:cs="Arial"/>
          <w:i/>
          <w:color w:val="auto"/>
          <w:sz w:val="18"/>
          <w:szCs w:val="18"/>
          <w:lang w:eastAsia="en-US"/>
        </w:rPr>
        <w:lastRenderedPageBreak/>
        <w:t>solicitar la intervención del Instituto para resolver el desacuerdo. En dicho caso, el Instituto determinará las tarifas con base en una metodología de costos evitados y un operador eficiente, que al efecto emita.</w:t>
      </w:r>
    </w:p>
    <w:p w14:paraId="7EB028CD" w14:textId="571C815B" w:rsidR="00524F8A" w:rsidRDefault="00524F8A" w:rsidP="00524F8A">
      <w:pPr>
        <w:spacing w:after="0" w:line="276" w:lineRule="auto"/>
        <w:ind w:left="567" w:right="615" w:firstLine="0"/>
        <w:rPr>
          <w:rFonts w:ascii="ITC Avant Garde" w:eastAsia="Calibri" w:hAnsi="ITC Avant Garde" w:cs="Arial"/>
          <w:i/>
          <w:color w:val="auto"/>
          <w:sz w:val="18"/>
          <w:szCs w:val="18"/>
          <w:lang w:eastAsia="en-US"/>
        </w:rPr>
      </w:pPr>
      <w:r>
        <w:rPr>
          <w:rFonts w:ascii="ITC Avant Garde" w:eastAsia="Calibri" w:hAnsi="ITC Avant Garde" w:cs="Arial"/>
          <w:i/>
          <w:color w:val="auto"/>
          <w:sz w:val="18"/>
          <w:szCs w:val="18"/>
          <w:lang w:eastAsia="en-US"/>
        </w:rPr>
        <w:t>(…)”</w:t>
      </w:r>
    </w:p>
    <w:p w14:paraId="13ED0498" w14:textId="77777777" w:rsidR="0085613F" w:rsidRDefault="0085613F" w:rsidP="0085613F">
      <w:pPr>
        <w:pStyle w:val="Prrafodelista"/>
        <w:ind w:left="6951" w:right="615" w:firstLine="129"/>
        <w:jc w:val="center"/>
        <w:rPr>
          <w:rFonts w:ascii="ITC Avant Garde" w:hAnsi="ITC Avant Garde" w:cs="Arial"/>
          <w:sz w:val="18"/>
          <w:szCs w:val="18"/>
        </w:rPr>
      </w:pPr>
      <w:r w:rsidRPr="003D5EB8">
        <w:rPr>
          <w:rFonts w:ascii="ITC Avant Garde" w:hAnsi="ITC Avant Garde" w:cs="Arial"/>
          <w:sz w:val="18"/>
          <w:szCs w:val="18"/>
        </w:rPr>
        <w:t>Énfasis añadido</w:t>
      </w:r>
    </w:p>
    <w:p w14:paraId="471A2FAB" w14:textId="77777777" w:rsidR="00524F8A" w:rsidRDefault="00524F8A" w:rsidP="00524F8A">
      <w:pPr>
        <w:spacing w:after="0" w:line="276" w:lineRule="auto"/>
        <w:ind w:left="0" w:right="0" w:firstLine="0"/>
        <w:rPr>
          <w:rFonts w:ascii="ITC Avant Garde" w:hAnsi="ITC Avant Garde"/>
          <w:color w:val="auto"/>
        </w:rPr>
      </w:pPr>
    </w:p>
    <w:p w14:paraId="52A37BE0" w14:textId="77777777" w:rsidR="00524F8A" w:rsidRDefault="00524F8A" w:rsidP="00524F8A">
      <w:pPr>
        <w:spacing w:after="0" w:line="276" w:lineRule="auto"/>
        <w:ind w:left="0" w:right="0" w:firstLine="0"/>
        <w:rPr>
          <w:rFonts w:ascii="ITC Avant Garde" w:hAnsi="ITC Avant Garde"/>
          <w:color w:val="auto"/>
        </w:rPr>
      </w:pPr>
      <w:r w:rsidRPr="00775AF9">
        <w:rPr>
          <w:rFonts w:ascii="ITC Avant Garde" w:hAnsi="ITC Avant Garde"/>
          <w:color w:val="auto"/>
        </w:rPr>
        <w:t>Tal como señala la medida citada anteriormente, en caso de desacuerdo el Instituto determinará las tarifas. Por lo anterior, la Oferta se mantiene en los mismos términos.</w:t>
      </w:r>
    </w:p>
    <w:p w14:paraId="1832499F" w14:textId="77777777" w:rsidR="00524F8A" w:rsidRDefault="00524F8A" w:rsidP="006136F4">
      <w:pPr>
        <w:spacing w:after="0" w:line="276" w:lineRule="auto"/>
        <w:ind w:right="0"/>
        <w:rPr>
          <w:rFonts w:ascii="ITC Avant Garde" w:hAnsi="ITC Avant Garde"/>
          <w:b/>
          <w:color w:val="auto"/>
          <w:u w:val="single"/>
        </w:rPr>
      </w:pPr>
    </w:p>
    <w:p w14:paraId="2A93538D" w14:textId="5F1B7F7D" w:rsidR="006F36C6" w:rsidRPr="00203BF7" w:rsidRDefault="006F36C6" w:rsidP="006F36C6">
      <w:pPr>
        <w:spacing w:after="0" w:line="276" w:lineRule="auto"/>
        <w:ind w:left="-5" w:right="49"/>
        <w:rPr>
          <w:rFonts w:ascii="ITC Avant Garde" w:hAnsi="ITC Avant Garde"/>
          <w:b/>
          <w:color w:val="auto"/>
          <w:u w:val="single"/>
        </w:rPr>
      </w:pPr>
      <w:r>
        <w:rPr>
          <w:rFonts w:ascii="ITC Avant Garde" w:hAnsi="ITC Avant Garde"/>
          <w:b/>
          <w:color w:val="auto"/>
        </w:rPr>
        <w:t>Comentarios Generales</w:t>
      </w:r>
    </w:p>
    <w:p w14:paraId="70F90416" w14:textId="77777777" w:rsidR="006F36C6" w:rsidRPr="00203BF7" w:rsidRDefault="006F36C6" w:rsidP="006F36C6">
      <w:pPr>
        <w:spacing w:after="0" w:line="276" w:lineRule="auto"/>
        <w:ind w:left="0" w:right="0" w:firstLine="0"/>
        <w:rPr>
          <w:rFonts w:ascii="ITC Avant Garde" w:hAnsi="ITC Avant Garde"/>
          <w:b/>
          <w:color w:val="auto"/>
        </w:rPr>
      </w:pPr>
      <w:r w:rsidRPr="00203BF7">
        <w:rPr>
          <w:rFonts w:ascii="ITC Avant Garde" w:hAnsi="ITC Avant Garde"/>
          <w:b/>
          <w:color w:val="auto"/>
        </w:rPr>
        <w:t>Telefónica:</w:t>
      </w:r>
    </w:p>
    <w:p w14:paraId="1AE75025" w14:textId="2235D3C4" w:rsidR="008765FF" w:rsidRDefault="0007404A" w:rsidP="006F36C6">
      <w:pPr>
        <w:spacing w:after="0" w:line="276" w:lineRule="auto"/>
        <w:ind w:right="0"/>
        <w:rPr>
          <w:rFonts w:ascii="ITC Avant Garde" w:hAnsi="ITC Avant Garde"/>
          <w:color w:val="auto"/>
        </w:rPr>
      </w:pPr>
      <w:r>
        <w:rPr>
          <w:rFonts w:ascii="ITC Avant Garde" w:hAnsi="ITC Avant Garde"/>
          <w:color w:val="auto"/>
        </w:rPr>
        <w:t xml:space="preserve">Indica que la Oferta debe incluir indicadores de desempeño específicos del servicio de Usuario Visitante </w:t>
      </w:r>
      <w:r w:rsidR="00743F5F">
        <w:rPr>
          <w:rFonts w:ascii="ITC Avant Garde" w:hAnsi="ITC Avant Garde"/>
          <w:color w:val="auto"/>
        </w:rPr>
        <w:t xml:space="preserve">para garantizar que el AEP dé el mismo trato a su operación </w:t>
      </w:r>
      <w:r w:rsidR="009113E5">
        <w:rPr>
          <w:rFonts w:ascii="ITC Avant Garde" w:hAnsi="ITC Avant Garde"/>
          <w:color w:val="auto"/>
        </w:rPr>
        <w:t>y a los concesionarios, así como entre distintos concesionarios.</w:t>
      </w:r>
      <w:r w:rsidR="007E5C19">
        <w:rPr>
          <w:rFonts w:ascii="ITC Avant Garde" w:hAnsi="ITC Avant Garde"/>
          <w:color w:val="auto"/>
        </w:rPr>
        <w:t xml:space="preserve"> </w:t>
      </w:r>
    </w:p>
    <w:p w14:paraId="20222E54" w14:textId="36ED5F5F" w:rsidR="007E5C19" w:rsidRDefault="007E5C19" w:rsidP="006F36C6">
      <w:pPr>
        <w:spacing w:after="0" w:line="276" w:lineRule="auto"/>
        <w:ind w:right="0"/>
        <w:rPr>
          <w:rFonts w:ascii="ITC Avant Garde" w:hAnsi="ITC Avant Garde"/>
          <w:color w:val="auto"/>
        </w:rPr>
      </w:pPr>
    </w:p>
    <w:p w14:paraId="73BFBC8A" w14:textId="77777777" w:rsidR="007E5C19" w:rsidRPr="0038206F" w:rsidRDefault="007E5C19" w:rsidP="007E5C19">
      <w:pPr>
        <w:spacing w:after="0" w:line="276" w:lineRule="auto"/>
        <w:ind w:right="0"/>
        <w:rPr>
          <w:rFonts w:ascii="ITC Avant Garde" w:hAnsi="ITC Avant Garde"/>
          <w:b/>
          <w:color w:val="auto"/>
        </w:rPr>
      </w:pPr>
      <w:r w:rsidRPr="0038206F">
        <w:rPr>
          <w:rFonts w:ascii="ITC Avant Garde" w:hAnsi="ITC Avant Garde"/>
          <w:b/>
          <w:color w:val="auto"/>
        </w:rPr>
        <w:t>Consideraciones del Instituto:</w:t>
      </w:r>
    </w:p>
    <w:p w14:paraId="4EBB877D" w14:textId="4A16C239" w:rsidR="007E5C19" w:rsidRDefault="00FC119E" w:rsidP="0050529A">
      <w:pPr>
        <w:spacing w:after="0" w:line="276" w:lineRule="auto"/>
        <w:ind w:left="0" w:right="0" w:firstLine="0"/>
        <w:rPr>
          <w:rFonts w:ascii="ITC Avant Garde" w:hAnsi="ITC Avant Garde"/>
          <w:color w:val="auto"/>
        </w:rPr>
      </w:pPr>
      <w:r w:rsidRPr="0038206F">
        <w:rPr>
          <w:rFonts w:ascii="ITC Avant Garde" w:hAnsi="ITC Avant Garde"/>
          <w:color w:val="auto"/>
        </w:rPr>
        <w:t>Se indica que l</w:t>
      </w:r>
      <w:r w:rsidR="0050529A">
        <w:rPr>
          <w:rFonts w:ascii="ITC Avant Garde" w:hAnsi="ITC Avant Garde"/>
          <w:color w:val="auto"/>
        </w:rPr>
        <w:t>as clá</w:t>
      </w:r>
      <w:r w:rsidR="007E5C19" w:rsidRPr="0038206F">
        <w:rPr>
          <w:rFonts w:ascii="ITC Avant Garde" w:hAnsi="ITC Avant Garde"/>
          <w:color w:val="auto"/>
        </w:rPr>
        <w:t xml:space="preserve">usulas 5.1.9 y 5.2.14 establecen la obligación tanto de Telcel como del concesionario de realizar a través del SEG </w:t>
      </w:r>
      <w:r w:rsidR="009B2CDB">
        <w:rPr>
          <w:rFonts w:ascii="ITC Avant Garde" w:hAnsi="ITC Avant Garde"/>
          <w:color w:val="auto"/>
        </w:rPr>
        <w:t xml:space="preserve">(“Sistema Electrónico de Gestión”) </w:t>
      </w:r>
      <w:r w:rsidR="007E5C19" w:rsidRPr="0038206F">
        <w:rPr>
          <w:rFonts w:ascii="ITC Avant Garde" w:hAnsi="ITC Avant Garde"/>
          <w:color w:val="auto"/>
        </w:rPr>
        <w:t xml:space="preserve">la contratación de los servicios, el seguimiento a solicitudes, la atención a incidencias y todas aquellas actividades que sean parte del procedimiento de contratación y prestación de los servicios de la Oferta, </w:t>
      </w:r>
      <w:r w:rsidR="00555206">
        <w:rPr>
          <w:rFonts w:ascii="ITC Avant Garde" w:hAnsi="ITC Avant Garde"/>
          <w:color w:val="auto"/>
        </w:rPr>
        <w:t>con lo cual se da el mismo trato a su operación y a los concesionarios.</w:t>
      </w:r>
    </w:p>
    <w:p w14:paraId="367008D4" w14:textId="77777777" w:rsidR="0050529A" w:rsidRPr="0038206F" w:rsidRDefault="0050529A" w:rsidP="0050529A">
      <w:pPr>
        <w:spacing w:after="0" w:line="276" w:lineRule="auto"/>
        <w:ind w:left="0" w:right="0" w:firstLine="0"/>
        <w:rPr>
          <w:rFonts w:ascii="ITC Avant Garde" w:hAnsi="ITC Avant Garde"/>
          <w:b/>
          <w:color w:val="auto"/>
        </w:rPr>
      </w:pPr>
    </w:p>
    <w:p w14:paraId="5FF1CAB2" w14:textId="112DD351" w:rsidR="007E5C19" w:rsidRPr="0038206F" w:rsidRDefault="00555206" w:rsidP="00555206">
      <w:pPr>
        <w:spacing w:after="0" w:line="276" w:lineRule="auto"/>
        <w:ind w:left="0" w:right="0" w:firstLine="0"/>
        <w:rPr>
          <w:rFonts w:ascii="ITC Avant Garde" w:hAnsi="ITC Avant Garde"/>
          <w:color w:val="auto"/>
        </w:rPr>
      </w:pPr>
      <w:r>
        <w:rPr>
          <w:rFonts w:ascii="ITC Avant Garde" w:hAnsi="ITC Avant Garde"/>
          <w:color w:val="auto"/>
        </w:rPr>
        <w:t>Asimismo</w:t>
      </w:r>
      <w:r w:rsidR="007E5C19" w:rsidRPr="0038206F">
        <w:rPr>
          <w:rFonts w:ascii="ITC Avant Garde" w:hAnsi="ITC Avant Garde"/>
          <w:color w:val="auto"/>
        </w:rPr>
        <w:t>, los indicadores de desempeño que debe reportar el AEP y todos los concesionarios se encuentran contenidos los L</w:t>
      </w:r>
      <w:r>
        <w:rPr>
          <w:rFonts w:ascii="ITC Avant Garde" w:hAnsi="ITC Avant Garde"/>
          <w:color w:val="auto"/>
        </w:rPr>
        <w:t xml:space="preserve">ineamientos de Calidad Móviles y </w:t>
      </w:r>
      <w:r w:rsidR="007E5C19" w:rsidRPr="0038206F">
        <w:rPr>
          <w:rFonts w:ascii="ITC Avant Garde" w:hAnsi="ITC Avant Garde"/>
          <w:color w:val="auto"/>
        </w:rPr>
        <w:t>la obligación de entregar los contadores de desempeño son para todos los concesionarios que cuentan con sistemas de gestión y que generen los mismos, tal como establece el lineamiento Vigésimo Primero de los Lineamientos de Calidad Móviles</w:t>
      </w:r>
      <w:r>
        <w:rPr>
          <w:rFonts w:ascii="ITC Avant Garde" w:hAnsi="ITC Avant Garde"/>
          <w:color w:val="auto"/>
        </w:rPr>
        <w:t>. En este sentido los indicadores de desempeño se encuentran considerados en los Lineamientos de Calidad Móvil.</w:t>
      </w:r>
    </w:p>
    <w:p w14:paraId="315FF468" w14:textId="4D621C00" w:rsidR="007E5C19" w:rsidRPr="0038206F" w:rsidRDefault="007E5C19" w:rsidP="007E5C19">
      <w:pPr>
        <w:spacing w:after="0" w:line="276" w:lineRule="auto"/>
        <w:ind w:left="567" w:right="615" w:firstLine="0"/>
        <w:jc w:val="right"/>
        <w:rPr>
          <w:rFonts w:ascii="ITC Avant Garde" w:eastAsia="Calibri" w:hAnsi="ITC Avant Garde" w:cs="Arial"/>
          <w:i/>
          <w:color w:val="auto"/>
          <w:sz w:val="18"/>
          <w:szCs w:val="18"/>
          <w:lang w:eastAsia="en-US"/>
        </w:rPr>
      </w:pPr>
      <w:r w:rsidRPr="0038206F">
        <w:rPr>
          <w:rFonts w:ascii="ITC Avant Garde" w:eastAsia="Calibri" w:hAnsi="ITC Avant Garde" w:cs="Arial"/>
          <w:i/>
          <w:color w:val="auto"/>
          <w:sz w:val="18"/>
          <w:szCs w:val="18"/>
          <w:lang w:eastAsia="en-US"/>
        </w:rPr>
        <w:t>)</w:t>
      </w:r>
    </w:p>
    <w:p w14:paraId="4F01E10C" w14:textId="7CAA1EF5" w:rsidR="00BF6506" w:rsidRDefault="00555206" w:rsidP="00555206">
      <w:pPr>
        <w:spacing w:after="0" w:line="276" w:lineRule="auto"/>
        <w:ind w:right="0"/>
        <w:rPr>
          <w:rFonts w:ascii="ITC Avant Garde" w:hAnsi="ITC Avant Garde"/>
          <w:b/>
          <w:color w:val="auto"/>
          <w:u w:val="single"/>
        </w:rPr>
      </w:pPr>
      <w:r>
        <w:rPr>
          <w:rFonts w:ascii="ITC Avant Garde" w:hAnsi="ITC Avant Garde"/>
          <w:color w:val="auto"/>
        </w:rPr>
        <w:t xml:space="preserve">  </w:t>
      </w:r>
    </w:p>
    <w:p w14:paraId="38759356" w14:textId="77777777" w:rsidR="005B5EB5" w:rsidRDefault="005B5EB5" w:rsidP="006136F4">
      <w:pPr>
        <w:spacing w:after="0" w:line="276" w:lineRule="auto"/>
        <w:ind w:right="0"/>
        <w:rPr>
          <w:rFonts w:ascii="ITC Avant Garde" w:hAnsi="ITC Avant Garde"/>
          <w:b/>
          <w:color w:val="auto"/>
          <w:u w:val="single"/>
        </w:rPr>
      </w:pPr>
    </w:p>
    <w:sectPr w:rsidR="005B5EB5" w:rsidSect="006B068D">
      <w:footerReference w:type="default" r:id="rId9"/>
      <w:pgSz w:w="12240" w:h="15840"/>
      <w:pgMar w:top="1417" w:right="1608" w:bottom="1417" w:left="156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79268A" w16cid:durableId="1DD9478A"/>
  <w16cid:commentId w16cid:paraId="46524846" w16cid:durableId="1DD9478B"/>
  <w16cid:commentId w16cid:paraId="7F440B07" w16cid:durableId="1DD9478C"/>
  <w16cid:commentId w16cid:paraId="14C00981" w16cid:durableId="1DD9478D"/>
  <w16cid:commentId w16cid:paraId="1AFF13EC" w16cid:durableId="1DD9478E"/>
  <w16cid:commentId w16cid:paraId="144641A8" w16cid:durableId="1DD9478F"/>
  <w16cid:commentId w16cid:paraId="7D54DE88" w16cid:durableId="1DD94790"/>
  <w16cid:commentId w16cid:paraId="21DFEC6C" w16cid:durableId="1E0B611C"/>
  <w16cid:commentId w16cid:paraId="29F40C8F" w16cid:durableId="1DD94791"/>
  <w16cid:commentId w16cid:paraId="78A87DD2" w16cid:durableId="1DD94792"/>
  <w16cid:commentId w16cid:paraId="394ADD52" w16cid:durableId="1DD94793"/>
  <w16cid:commentId w16cid:paraId="37BE0E9E" w16cid:durableId="1DD94794"/>
  <w16cid:commentId w16cid:paraId="0B621C89" w16cid:durableId="1D83DC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47102" w14:textId="77777777" w:rsidR="00B00516" w:rsidRDefault="00B00516" w:rsidP="00493685">
      <w:pPr>
        <w:spacing w:after="0" w:line="240" w:lineRule="auto"/>
      </w:pPr>
      <w:r>
        <w:separator/>
      </w:r>
    </w:p>
  </w:endnote>
  <w:endnote w:type="continuationSeparator" w:id="0">
    <w:p w14:paraId="4398888F" w14:textId="77777777" w:rsidR="00B00516" w:rsidRDefault="00B00516" w:rsidP="00493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vant Garde">
    <w:altName w:val="Century Gothic"/>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927181"/>
      <w:docPartObj>
        <w:docPartGallery w:val="Page Numbers (Bottom of Page)"/>
        <w:docPartUnique/>
      </w:docPartObj>
    </w:sdtPr>
    <w:sdtEndPr/>
    <w:sdtContent>
      <w:p w14:paraId="2C1FCB72" w14:textId="134E1588" w:rsidR="0020012C" w:rsidRDefault="0020012C">
        <w:pPr>
          <w:pStyle w:val="Piedepgina"/>
          <w:jc w:val="right"/>
        </w:pPr>
        <w:r>
          <w:fldChar w:fldCharType="begin"/>
        </w:r>
        <w:r>
          <w:instrText>PAGE   \* MERGEFORMAT</w:instrText>
        </w:r>
        <w:r>
          <w:fldChar w:fldCharType="separate"/>
        </w:r>
        <w:r w:rsidR="002E5364" w:rsidRPr="002E5364">
          <w:rPr>
            <w:noProof/>
            <w:lang w:val="es-ES"/>
          </w:rPr>
          <w:t>1</w:t>
        </w:r>
        <w:r>
          <w:fldChar w:fldCharType="end"/>
        </w:r>
      </w:p>
    </w:sdtContent>
  </w:sdt>
  <w:p w14:paraId="17CF8DEA" w14:textId="77777777" w:rsidR="0020012C" w:rsidRDefault="002001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6CE47" w14:textId="77777777" w:rsidR="00B00516" w:rsidRDefault="00B00516" w:rsidP="00493685">
      <w:pPr>
        <w:spacing w:after="0" w:line="240" w:lineRule="auto"/>
      </w:pPr>
      <w:r>
        <w:separator/>
      </w:r>
    </w:p>
  </w:footnote>
  <w:footnote w:type="continuationSeparator" w:id="0">
    <w:p w14:paraId="14873D75" w14:textId="77777777" w:rsidR="00B00516" w:rsidRDefault="00B00516" w:rsidP="00493685">
      <w:pPr>
        <w:spacing w:after="0" w:line="240" w:lineRule="auto"/>
      </w:pPr>
      <w:r>
        <w:continuationSeparator/>
      </w:r>
    </w:p>
  </w:footnote>
  <w:footnote w:id="1">
    <w:p w14:paraId="0185419D" w14:textId="2DB1501C" w:rsidR="0020012C" w:rsidRPr="00A1382B" w:rsidRDefault="0020012C" w:rsidP="00A33261">
      <w:pPr>
        <w:pStyle w:val="Default"/>
        <w:jc w:val="both"/>
        <w:rPr>
          <w:sz w:val="18"/>
          <w:szCs w:val="18"/>
        </w:rPr>
      </w:pPr>
      <w:r w:rsidRPr="00031C76">
        <w:rPr>
          <w:rStyle w:val="Refdenotaalpie"/>
          <w:rFonts w:ascii="ITC Avant Garde" w:hAnsi="ITC Avant Garde"/>
        </w:rPr>
        <w:footnoteRef/>
      </w:r>
      <w:r w:rsidRPr="00031C76">
        <w:rPr>
          <w:rFonts w:ascii="ITC Avant Garde" w:hAnsi="ITC Avant Garde"/>
        </w:rPr>
        <w:t xml:space="preserve"> </w:t>
      </w:r>
      <w:r w:rsidRPr="005250D6">
        <w:rPr>
          <w:rFonts w:ascii="ITC Avant Garde" w:hAnsi="ITC Avant Garde"/>
          <w:i/>
          <w:sz w:val="16"/>
          <w:szCs w:val="16"/>
        </w:rPr>
        <w:t xml:space="preserve">“ACUERDO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2020”, </w:t>
      </w:r>
      <w:r w:rsidRPr="005250D6">
        <w:rPr>
          <w:rFonts w:ascii="ITC Avant Garde" w:hAnsi="ITC Avant Garde"/>
          <w:sz w:val="16"/>
          <w:szCs w:val="16"/>
        </w:rPr>
        <w:t>aprobado mediante Acuerdo P/IFT/161019/505</w:t>
      </w:r>
      <w:r>
        <w:rPr>
          <w:rFonts w:ascii="ITC Avant Garde" w:hAnsi="ITC Avant Garde"/>
          <w:sz w:val="16"/>
          <w:szCs w:val="16"/>
        </w:rPr>
        <w:t>.</w:t>
      </w:r>
    </w:p>
  </w:footnote>
  <w:footnote w:id="2">
    <w:p w14:paraId="082069F8" w14:textId="77777777" w:rsidR="0020012C" w:rsidRPr="00F3554C" w:rsidRDefault="0020012C" w:rsidP="006D6D9E">
      <w:pPr>
        <w:autoSpaceDE w:val="0"/>
        <w:autoSpaceDN w:val="0"/>
        <w:adjustRightInd w:val="0"/>
      </w:pPr>
      <w:r>
        <w:rPr>
          <w:rStyle w:val="Refdenotaalpie"/>
        </w:rPr>
        <w:footnoteRef/>
      </w:r>
      <w:r>
        <w:t xml:space="preserve"> </w:t>
      </w:r>
      <w:r w:rsidRPr="005250D6">
        <w:rPr>
          <w:rFonts w:ascii="ITC Avant Garde" w:eastAsia="Calibri" w:hAnsi="ITC Avant Garde"/>
          <w:bCs/>
          <w:i/>
          <w:sz w:val="16"/>
          <w:szCs w:val="16"/>
        </w:rPr>
        <w:t xml:space="preserve">ACUERDO MEDIANTE EL CUAL EL PLENO DEL INSTITUTO FEDERAL DE TELECOMUNICACIONES APRUEBA Y EMITE “EL PLAN TÉCNICO FUNDAMENTAL DE NUMERACIÓN, EL PLAN TÉCNICO FUNDAMENTAL DE SEÑALIZACIÓN Y LA MODIFICACIÓN A LAS REGLAS DE PORTABILIDAD NUMÉRICA, PUBLICADAS EL 12 </w:t>
      </w:r>
      <w:r w:rsidRPr="005250D6">
        <w:rPr>
          <w:rFonts w:ascii="ITC Avant Garde" w:hAnsi="ITC Avant Garde"/>
          <w:bCs/>
          <w:i/>
          <w:sz w:val="16"/>
          <w:szCs w:val="16"/>
        </w:rPr>
        <w:t xml:space="preserve">DE NOVIEMBRE DE 2014”, </w:t>
      </w:r>
      <w:r w:rsidRPr="005250D6">
        <w:rPr>
          <w:rFonts w:ascii="ITC Avant Garde" w:hAnsi="ITC Avant Garde"/>
          <w:bCs/>
          <w:sz w:val="16"/>
          <w:szCs w:val="16"/>
        </w:rPr>
        <w:t>aprobado mediante Acuerdo P/IFT/161117/713.</w:t>
      </w:r>
    </w:p>
  </w:footnote>
  <w:footnote w:id="3">
    <w:p w14:paraId="40AADACB" w14:textId="489B844B" w:rsidR="0020012C" w:rsidRPr="004F4166" w:rsidRDefault="0020012C" w:rsidP="00CE4949">
      <w:pPr>
        <w:pStyle w:val="Textonotapie"/>
        <w:jc w:val="both"/>
        <w:rPr>
          <w:sz w:val="16"/>
        </w:rPr>
      </w:pPr>
      <w:r w:rsidRPr="00B11C29">
        <w:rPr>
          <w:rFonts w:ascii="ITC Avant Garde" w:hAnsi="ITC Avant Garde"/>
          <w:sz w:val="14"/>
          <w:szCs w:val="16"/>
        </w:rPr>
        <w:footnoteRef/>
      </w:r>
      <w:r w:rsidRPr="00B11C29">
        <w:rPr>
          <w:rFonts w:ascii="ITC Avant Garde" w:hAnsi="ITC Avant Garde"/>
          <w:sz w:val="16"/>
          <w:szCs w:val="16"/>
        </w:rPr>
        <w:t xml:space="preserve"> </w:t>
      </w:r>
      <w:r w:rsidRPr="00B875FA">
        <w:rPr>
          <w:rFonts w:ascii="ITC Avant Garde" w:hAnsi="ITC Avant Garde"/>
          <w:i/>
          <w:sz w:val="16"/>
          <w:szCs w:val="16"/>
        </w:rPr>
        <w:t>“Acuerdo mediante el cual el Pleno del Instituto Federal de Telecomunicaciones establece las disposiciones que deberán cumplir los concesionarios que presten servicios públicos de telecomunicaciones a través de redes públicas de telecomunicaciones, derivado de la obligación de abstenerse de realizar cargos de larga distancia nacional a usuarios por las llamadas que realicen a cualquier destino nacional a partir del 1 de enero de 2015”</w:t>
      </w:r>
      <w:r>
        <w:rPr>
          <w:rFonts w:ascii="ITC Avant Garde" w:hAnsi="ITC Avant Garde"/>
          <w:sz w:val="16"/>
          <w:szCs w:val="16"/>
        </w:rPr>
        <w:t xml:space="preserve">, publicado en el DOF el 24 de diciembre de 2014. </w:t>
      </w:r>
    </w:p>
  </w:footnote>
  <w:footnote w:id="4">
    <w:p w14:paraId="7C91E9CF" w14:textId="37F03AAA" w:rsidR="0020012C" w:rsidRPr="0018389D" w:rsidRDefault="0020012C" w:rsidP="0018389D">
      <w:pPr>
        <w:pStyle w:val="Textonotapie"/>
        <w:jc w:val="both"/>
        <w:rPr>
          <w:rFonts w:ascii="ITC Avant Garde" w:hAnsi="ITC Avant Garde"/>
          <w:bCs/>
          <w:sz w:val="16"/>
          <w:szCs w:val="16"/>
        </w:rPr>
      </w:pPr>
      <w:r>
        <w:rPr>
          <w:rStyle w:val="Refdenotaalpie"/>
        </w:rPr>
        <w:footnoteRef/>
      </w:r>
      <w:r>
        <w:t xml:space="preserve"> “</w:t>
      </w:r>
      <w:r w:rsidRPr="0018389D">
        <w:rPr>
          <w:rFonts w:ascii="ITC Avant Garde" w:hAnsi="ITC Avant Garde"/>
          <w:bCs/>
          <w:i/>
          <w:sz w:val="16"/>
          <w:szCs w:val="16"/>
        </w:rPr>
        <w:t>RESOLUCIÓN MEDIANTE LA CUAL EL PLENO DEL INSTITUTO FEDERAL DE TELECOMUNICACIONES MODIFICA Y APRUEBA AL AGENTE ECONÓMICO PREPONDERANTE LOS TÉRMINOS Y CONDICIONES DE LA OFERTA DE REFERENCIA PARA LA PRESTACIÓN DEL SERVICIO MAYORISTA DE USUARIO VISITANTE PRESENTADA POR RADIOMÓVIL DIPSA, S.A. DE C.V., APLICABLE DEL 1 DE ENERO DE 2019 AL 31 DE DICIEMBRE DE 2019</w:t>
      </w:r>
      <w:r>
        <w:rPr>
          <w:rFonts w:ascii="ITC Avant Garde" w:hAnsi="ITC Avant Garde"/>
          <w:bCs/>
          <w:i/>
          <w:sz w:val="16"/>
          <w:szCs w:val="16"/>
        </w:rPr>
        <w:t>”</w:t>
      </w:r>
      <w:r>
        <w:rPr>
          <w:rFonts w:ascii="ITC Avant Garde" w:hAnsi="ITC Avant Garde"/>
          <w:bCs/>
          <w:sz w:val="16"/>
          <w:szCs w:val="16"/>
        </w:rPr>
        <w:t xml:space="preserve">, aprobado mediante Acuerdo </w:t>
      </w:r>
      <w:r w:rsidRPr="0018389D">
        <w:rPr>
          <w:rFonts w:ascii="ITC Avant Garde" w:hAnsi="ITC Avant Garde"/>
          <w:bCs/>
          <w:sz w:val="16"/>
          <w:szCs w:val="16"/>
        </w:rPr>
        <w:t>P/IFT/051218/886</w:t>
      </w:r>
    </w:p>
  </w:footnote>
  <w:footnote w:id="5">
    <w:p w14:paraId="1EA7FE6C" w14:textId="038186B7" w:rsidR="0020012C" w:rsidRDefault="0020012C" w:rsidP="003605DF">
      <w:pPr>
        <w:pStyle w:val="Textonotapie"/>
        <w:jc w:val="both"/>
        <w:rPr>
          <w:rFonts w:ascii="ITC Avant Garde" w:hAnsi="ITC Avant Garde"/>
          <w:sz w:val="16"/>
          <w:szCs w:val="16"/>
        </w:rPr>
      </w:pPr>
      <w:r>
        <w:rPr>
          <w:rStyle w:val="Refdenotaalpie"/>
          <w:rFonts w:ascii="ITC Avant Garde" w:hAnsi="ITC Avant Garde"/>
        </w:rPr>
        <w:footnoteRef/>
      </w:r>
      <w:r>
        <w:rPr>
          <w:rFonts w:ascii="ITC Avant Garde" w:hAnsi="ITC Avant Garde"/>
        </w:rPr>
        <w:t xml:space="preserve"> </w:t>
      </w:r>
      <w:r w:rsidRPr="003D3886">
        <w:rPr>
          <w:rFonts w:ascii="ITC Avant Garde" w:hAnsi="ITC Avant Garde"/>
          <w:i/>
          <w:sz w:val="16"/>
          <w:szCs w:val="16"/>
        </w:rPr>
        <w:t>“Acuerdo mediante el cual el Pleno del Instituto Federal de Telecomunicaciones aprueba y emite los lineamientos que fijan los índices y parámetros de calidad a que deberán sujetarse los prestadores del servicio móvil y se abroga el Plan Técnico Fundamental de Calidad del Servicio Local Móvil publicado el 30 de agosto de 2011, así como la metodología de mediciones del Plan Técnico Fundamental de Calidad del Servicio Local Móvil publicada el 27 de junio de 2012”</w:t>
      </w:r>
      <w:r w:rsidRPr="003D3886">
        <w:rPr>
          <w:rFonts w:ascii="ITC Avant Garde" w:hAnsi="ITC Avant Garde"/>
          <w:sz w:val="16"/>
          <w:szCs w:val="16"/>
        </w:rPr>
        <w:t>, publicado en el DOF el 17 de enero de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1BA3160"/>
    <w:lvl w:ilvl="0">
      <w:start w:val="1"/>
      <w:numFmt w:val="bullet"/>
      <w:pStyle w:val="Listaconvietas"/>
      <w:lvlText w:val=""/>
      <w:lvlJc w:val="left"/>
      <w:pPr>
        <w:ind w:left="360" w:hanging="360"/>
      </w:pPr>
      <w:rPr>
        <w:rFonts w:ascii="Symbol" w:hAnsi="Symbol" w:hint="default"/>
        <w:b w:val="0"/>
        <w:i w:val="0"/>
        <w:sz w:val="20"/>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CE63E9"/>
    <w:multiLevelType w:val="hybridMultilevel"/>
    <w:tmpl w:val="140A0EC4"/>
    <w:lvl w:ilvl="0" w:tplc="B90A6DA0">
      <w:start w:val="1"/>
      <w:numFmt w:val="upperRoman"/>
      <w:lvlText w:val="%1."/>
      <w:lvlJc w:val="left"/>
      <w:pPr>
        <w:ind w:left="1485" w:hanging="72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3" w15:restartNumberingAfterBreak="0">
    <w:nsid w:val="1AF603A5"/>
    <w:multiLevelType w:val="hybridMultilevel"/>
    <w:tmpl w:val="C0342D52"/>
    <w:lvl w:ilvl="0" w:tplc="374A897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EB0782A"/>
    <w:multiLevelType w:val="hybridMultilevel"/>
    <w:tmpl w:val="720807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5F3FBD"/>
    <w:multiLevelType w:val="hybridMultilevel"/>
    <w:tmpl w:val="53EAA3A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21A61741"/>
    <w:multiLevelType w:val="hybridMultilevel"/>
    <w:tmpl w:val="90126CD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27E9416C"/>
    <w:multiLevelType w:val="multilevel"/>
    <w:tmpl w:val="12EC62D2"/>
    <w:lvl w:ilvl="0">
      <w:start w:val="5"/>
      <w:numFmt w:val="decimal"/>
      <w:lvlText w:val="%1."/>
      <w:lvlJc w:val="left"/>
      <w:pPr>
        <w:ind w:left="1350" w:hanging="360"/>
      </w:pPr>
      <w:rPr>
        <w:rFonts w:eastAsia="Times New Roman" w:hint="default"/>
        <w:b/>
        <w:color w:val="000000"/>
      </w:rPr>
    </w:lvl>
    <w:lvl w:ilvl="1">
      <w:start w:val="1"/>
      <w:numFmt w:val="decimal"/>
      <w:isLgl/>
      <w:lvlText w:val="%1.%2."/>
      <w:lvlJc w:val="left"/>
      <w:pPr>
        <w:ind w:left="1710"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430" w:hanging="144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790" w:hanging="1800"/>
      </w:pPr>
      <w:rPr>
        <w:rFonts w:hint="default"/>
      </w:rPr>
    </w:lvl>
  </w:abstractNum>
  <w:abstractNum w:abstractNumId="8" w15:restartNumberingAfterBreak="0">
    <w:nsid w:val="43E03D25"/>
    <w:multiLevelType w:val="hybridMultilevel"/>
    <w:tmpl w:val="EA9610FA"/>
    <w:lvl w:ilvl="0" w:tplc="53287B9C">
      <w:start w:val="3"/>
      <w:numFmt w:val="lowerLetter"/>
      <w:lvlText w:val="%1)"/>
      <w:lvlJc w:val="left"/>
      <w:pPr>
        <w:ind w:left="128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F07648"/>
    <w:multiLevelType w:val="hybridMultilevel"/>
    <w:tmpl w:val="17DA67A8"/>
    <w:lvl w:ilvl="0" w:tplc="D7240C52">
      <w:start w:val="1"/>
      <w:numFmt w:val="decimal"/>
      <w:lvlText w:val="%1."/>
      <w:lvlJc w:val="left"/>
      <w:pPr>
        <w:ind w:left="917" w:hanging="360"/>
      </w:pPr>
      <w:rPr>
        <w:rFonts w:hint="default"/>
      </w:rPr>
    </w:lvl>
    <w:lvl w:ilvl="1" w:tplc="080A0019" w:tentative="1">
      <w:start w:val="1"/>
      <w:numFmt w:val="lowerLetter"/>
      <w:lvlText w:val="%2."/>
      <w:lvlJc w:val="left"/>
      <w:pPr>
        <w:ind w:left="1637" w:hanging="360"/>
      </w:pPr>
    </w:lvl>
    <w:lvl w:ilvl="2" w:tplc="080A001B" w:tentative="1">
      <w:start w:val="1"/>
      <w:numFmt w:val="lowerRoman"/>
      <w:lvlText w:val="%3."/>
      <w:lvlJc w:val="right"/>
      <w:pPr>
        <w:ind w:left="2357" w:hanging="180"/>
      </w:pPr>
    </w:lvl>
    <w:lvl w:ilvl="3" w:tplc="080A000F" w:tentative="1">
      <w:start w:val="1"/>
      <w:numFmt w:val="decimal"/>
      <w:lvlText w:val="%4."/>
      <w:lvlJc w:val="left"/>
      <w:pPr>
        <w:ind w:left="3077" w:hanging="360"/>
      </w:pPr>
    </w:lvl>
    <w:lvl w:ilvl="4" w:tplc="080A0019" w:tentative="1">
      <w:start w:val="1"/>
      <w:numFmt w:val="lowerLetter"/>
      <w:lvlText w:val="%5."/>
      <w:lvlJc w:val="left"/>
      <w:pPr>
        <w:ind w:left="3797" w:hanging="360"/>
      </w:pPr>
    </w:lvl>
    <w:lvl w:ilvl="5" w:tplc="080A001B" w:tentative="1">
      <w:start w:val="1"/>
      <w:numFmt w:val="lowerRoman"/>
      <w:lvlText w:val="%6."/>
      <w:lvlJc w:val="right"/>
      <w:pPr>
        <w:ind w:left="4517" w:hanging="180"/>
      </w:pPr>
    </w:lvl>
    <w:lvl w:ilvl="6" w:tplc="080A000F" w:tentative="1">
      <w:start w:val="1"/>
      <w:numFmt w:val="decimal"/>
      <w:lvlText w:val="%7."/>
      <w:lvlJc w:val="left"/>
      <w:pPr>
        <w:ind w:left="5237" w:hanging="360"/>
      </w:pPr>
    </w:lvl>
    <w:lvl w:ilvl="7" w:tplc="080A0019" w:tentative="1">
      <w:start w:val="1"/>
      <w:numFmt w:val="lowerLetter"/>
      <w:lvlText w:val="%8."/>
      <w:lvlJc w:val="left"/>
      <w:pPr>
        <w:ind w:left="5957" w:hanging="360"/>
      </w:pPr>
    </w:lvl>
    <w:lvl w:ilvl="8" w:tplc="080A001B" w:tentative="1">
      <w:start w:val="1"/>
      <w:numFmt w:val="lowerRoman"/>
      <w:lvlText w:val="%9."/>
      <w:lvlJc w:val="right"/>
      <w:pPr>
        <w:ind w:left="6677" w:hanging="180"/>
      </w:pPr>
    </w:lvl>
  </w:abstractNum>
  <w:abstractNum w:abstractNumId="10" w15:restartNumberingAfterBreak="0">
    <w:nsid w:val="55630A5C"/>
    <w:multiLevelType w:val="multilevel"/>
    <w:tmpl w:val="07768C44"/>
    <w:lvl w:ilvl="0">
      <w:start w:val="1"/>
      <w:numFmt w:val="decimal"/>
      <w:lvlText w:val="%1"/>
      <w:lvlJc w:val="left"/>
      <w:pPr>
        <w:ind w:left="480" w:hanging="480"/>
      </w:pPr>
      <w:rPr>
        <w:rFonts w:hint="default"/>
      </w:rPr>
    </w:lvl>
    <w:lvl w:ilvl="1">
      <w:start w:val="5"/>
      <w:numFmt w:val="decimal"/>
      <w:lvlText w:val="%1.%2"/>
      <w:lvlJc w:val="left"/>
      <w:pPr>
        <w:ind w:left="906"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288"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5F97515"/>
    <w:multiLevelType w:val="hybridMultilevel"/>
    <w:tmpl w:val="53EAA3A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59124C12"/>
    <w:multiLevelType w:val="hybridMultilevel"/>
    <w:tmpl w:val="0F847D2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634804BD"/>
    <w:multiLevelType w:val="multilevel"/>
    <w:tmpl w:val="1C1A79CA"/>
    <w:lvl w:ilvl="0">
      <w:start w:val="2"/>
      <w:numFmt w:val="decimal"/>
      <w:lvlText w:val="%1."/>
      <w:lvlJc w:val="left"/>
      <w:pPr>
        <w:ind w:left="1350" w:hanging="360"/>
      </w:pPr>
      <w:rPr>
        <w:rFonts w:eastAsia="Times New Roman" w:hint="default"/>
        <w:color w:val="000000"/>
      </w:rPr>
    </w:lvl>
    <w:lvl w:ilvl="1">
      <w:start w:val="1"/>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14" w15:restartNumberingAfterBreak="0">
    <w:nsid w:val="6EB60DB8"/>
    <w:multiLevelType w:val="hybridMultilevel"/>
    <w:tmpl w:val="D9F89A08"/>
    <w:lvl w:ilvl="0" w:tplc="080A0001">
      <w:start w:val="1"/>
      <w:numFmt w:val="bullet"/>
      <w:lvlText w:val=""/>
      <w:lvlJc w:val="left"/>
      <w:pPr>
        <w:ind w:left="1335" w:hanging="360"/>
      </w:pPr>
      <w:rPr>
        <w:rFonts w:ascii="Symbol" w:hAnsi="Symbol" w:hint="default"/>
      </w:rPr>
    </w:lvl>
    <w:lvl w:ilvl="1" w:tplc="080A0003" w:tentative="1">
      <w:start w:val="1"/>
      <w:numFmt w:val="bullet"/>
      <w:lvlText w:val="o"/>
      <w:lvlJc w:val="left"/>
      <w:pPr>
        <w:ind w:left="2055" w:hanging="360"/>
      </w:pPr>
      <w:rPr>
        <w:rFonts w:ascii="Courier New" w:hAnsi="Courier New" w:cs="Courier New" w:hint="default"/>
      </w:rPr>
    </w:lvl>
    <w:lvl w:ilvl="2" w:tplc="080A0005" w:tentative="1">
      <w:start w:val="1"/>
      <w:numFmt w:val="bullet"/>
      <w:lvlText w:val=""/>
      <w:lvlJc w:val="left"/>
      <w:pPr>
        <w:ind w:left="2775" w:hanging="360"/>
      </w:pPr>
      <w:rPr>
        <w:rFonts w:ascii="Wingdings" w:hAnsi="Wingdings" w:hint="default"/>
      </w:rPr>
    </w:lvl>
    <w:lvl w:ilvl="3" w:tplc="080A0001" w:tentative="1">
      <w:start w:val="1"/>
      <w:numFmt w:val="bullet"/>
      <w:lvlText w:val=""/>
      <w:lvlJc w:val="left"/>
      <w:pPr>
        <w:ind w:left="3495" w:hanging="360"/>
      </w:pPr>
      <w:rPr>
        <w:rFonts w:ascii="Symbol" w:hAnsi="Symbol" w:hint="default"/>
      </w:rPr>
    </w:lvl>
    <w:lvl w:ilvl="4" w:tplc="080A0003" w:tentative="1">
      <w:start w:val="1"/>
      <w:numFmt w:val="bullet"/>
      <w:lvlText w:val="o"/>
      <w:lvlJc w:val="left"/>
      <w:pPr>
        <w:ind w:left="4215" w:hanging="360"/>
      </w:pPr>
      <w:rPr>
        <w:rFonts w:ascii="Courier New" w:hAnsi="Courier New" w:cs="Courier New" w:hint="default"/>
      </w:rPr>
    </w:lvl>
    <w:lvl w:ilvl="5" w:tplc="080A0005" w:tentative="1">
      <w:start w:val="1"/>
      <w:numFmt w:val="bullet"/>
      <w:lvlText w:val=""/>
      <w:lvlJc w:val="left"/>
      <w:pPr>
        <w:ind w:left="4935" w:hanging="360"/>
      </w:pPr>
      <w:rPr>
        <w:rFonts w:ascii="Wingdings" w:hAnsi="Wingdings" w:hint="default"/>
      </w:rPr>
    </w:lvl>
    <w:lvl w:ilvl="6" w:tplc="080A0001" w:tentative="1">
      <w:start w:val="1"/>
      <w:numFmt w:val="bullet"/>
      <w:lvlText w:val=""/>
      <w:lvlJc w:val="left"/>
      <w:pPr>
        <w:ind w:left="5655" w:hanging="360"/>
      </w:pPr>
      <w:rPr>
        <w:rFonts w:ascii="Symbol" w:hAnsi="Symbol" w:hint="default"/>
      </w:rPr>
    </w:lvl>
    <w:lvl w:ilvl="7" w:tplc="080A0003" w:tentative="1">
      <w:start w:val="1"/>
      <w:numFmt w:val="bullet"/>
      <w:lvlText w:val="o"/>
      <w:lvlJc w:val="left"/>
      <w:pPr>
        <w:ind w:left="6375" w:hanging="360"/>
      </w:pPr>
      <w:rPr>
        <w:rFonts w:ascii="Courier New" w:hAnsi="Courier New" w:cs="Courier New" w:hint="default"/>
      </w:rPr>
    </w:lvl>
    <w:lvl w:ilvl="8" w:tplc="080A0005" w:tentative="1">
      <w:start w:val="1"/>
      <w:numFmt w:val="bullet"/>
      <w:lvlText w:val=""/>
      <w:lvlJc w:val="left"/>
      <w:pPr>
        <w:ind w:left="7095" w:hanging="360"/>
      </w:pPr>
      <w:rPr>
        <w:rFonts w:ascii="Wingdings" w:hAnsi="Wingdings" w:hint="default"/>
      </w:rPr>
    </w:lvl>
  </w:abstractNum>
  <w:abstractNum w:abstractNumId="15" w15:restartNumberingAfterBreak="0">
    <w:nsid w:val="720E4AA8"/>
    <w:multiLevelType w:val="hybridMultilevel"/>
    <w:tmpl w:val="A2DC820E"/>
    <w:lvl w:ilvl="0" w:tplc="04090001">
      <w:start w:val="1"/>
      <w:numFmt w:val="bullet"/>
      <w:lvlText w:val=""/>
      <w:lvlJc w:val="left"/>
      <w:pPr>
        <w:ind w:left="720" w:hanging="360"/>
      </w:pPr>
      <w:rPr>
        <w:rFonts w:ascii="Symbol" w:hAnsi="Symbol" w:hint="default"/>
      </w:rPr>
    </w:lvl>
    <w:lvl w:ilvl="1" w:tplc="DE286326">
      <w:start w:val="1"/>
      <w:numFmt w:val="decimal"/>
      <w:lvlText w:val="%2."/>
      <w:lvlJc w:val="left"/>
      <w:pPr>
        <w:ind w:left="1440" w:hanging="360"/>
      </w:pPr>
      <w:rPr>
        <w:rFonts w:hint="default"/>
        <w:b/>
      </w:rPr>
    </w:lvl>
    <w:lvl w:ilvl="2" w:tplc="DB8A00F6">
      <w:start w:val="1"/>
      <w:numFmt w:val="decimal"/>
      <w:lvlText w:val="%3."/>
      <w:lvlJc w:val="left"/>
      <w:pPr>
        <w:ind w:left="2160" w:hanging="360"/>
      </w:pPr>
      <w:rPr>
        <w:rFonts w:hint="default"/>
        <w:b/>
      </w:rPr>
    </w:lvl>
    <w:lvl w:ilvl="3" w:tplc="BDD423AA">
      <w:start w:val="1"/>
      <w:numFmt w:val="lowerLetter"/>
      <w:lvlText w:val="%4)"/>
      <w:lvlJc w:val="left"/>
      <w:pPr>
        <w:ind w:left="192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267EFA"/>
    <w:multiLevelType w:val="hybridMultilevel"/>
    <w:tmpl w:val="579EA4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FE96E0E"/>
    <w:multiLevelType w:val="multilevel"/>
    <w:tmpl w:val="A1E66B6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0"/>
  </w:num>
  <w:num w:numId="3">
    <w:abstractNumId w:val="1"/>
  </w:num>
  <w:num w:numId="4">
    <w:abstractNumId w:val="4"/>
  </w:num>
  <w:num w:numId="5">
    <w:abstractNumId w:val="2"/>
  </w:num>
  <w:num w:numId="6">
    <w:abstractNumId w:val="3"/>
  </w:num>
  <w:num w:numId="7">
    <w:abstractNumId w:val="14"/>
  </w:num>
  <w:num w:numId="8">
    <w:abstractNumId w:val="13"/>
  </w:num>
  <w:num w:numId="9">
    <w:abstractNumId w:val="15"/>
  </w:num>
  <w:num w:numId="10">
    <w:abstractNumId w:val="11"/>
  </w:num>
  <w:num w:numId="11">
    <w:abstractNumId w:val="8"/>
  </w:num>
  <w:num w:numId="12">
    <w:abstractNumId w:val="7"/>
  </w:num>
  <w:num w:numId="13">
    <w:abstractNumId w:val="5"/>
  </w:num>
  <w:num w:numId="14">
    <w:abstractNumId w:val="17"/>
  </w:num>
  <w:num w:numId="15">
    <w:abstractNumId w:val="9"/>
  </w:num>
  <w:num w:numId="16">
    <w:abstractNumId w:val="10"/>
  </w:num>
  <w:num w:numId="17">
    <w:abstractNumId w:val="6"/>
  </w:num>
  <w:num w:numId="1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9A3"/>
    <w:rsid w:val="00000136"/>
    <w:rsid w:val="00000654"/>
    <w:rsid w:val="000006E1"/>
    <w:rsid w:val="000020FA"/>
    <w:rsid w:val="00002499"/>
    <w:rsid w:val="000025BB"/>
    <w:rsid w:val="00002981"/>
    <w:rsid w:val="00002ED7"/>
    <w:rsid w:val="00002F50"/>
    <w:rsid w:val="0000372C"/>
    <w:rsid w:val="000074F3"/>
    <w:rsid w:val="000075FB"/>
    <w:rsid w:val="0000795B"/>
    <w:rsid w:val="00007D66"/>
    <w:rsid w:val="00007DEB"/>
    <w:rsid w:val="00010FAF"/>
    <w:rsid w:val="00011146"/>
    <w:rsid w:val="00011186"/>
    <w:rsid w:val="000117B8"/>
    <w:rsid w:val="000118E7"/>
    <w:rsid w:val="00011B34"/>
    <w:rsid w:val="00011FD2"/>
    <w:rsid w:val="000120B1"/>
    <w:rsid w:val="000121FF"/>
    <w:rsid w:val="00012F72"/>
    <w:rsid w:val="0001331B"/>
    <w:rsid w:val="00013BAC"/>
    <w:rsid w:val="000146B8"/>
    <w:rsid w:val="00014926"/>
    <w:rsid w:val="00014D42"/>
    <w:rsid w:val="00015889"/>
    <w:rsid w:val="00015958"/>
    <w:rsid w:val="00015EB9"/>
    <w:rsid w:val="0001660E"/>
    <w:rsid w:val="00017027"/>
    <w:rsid w:val="0002034F"/>
    <w:rsid w:val="00021DD2"/>
    <w:rsid w:val="00021EB5"/>
    <w:rsid w:val="00022BFC"/>
    <w:rsid w:val="00022E01"/>
    <w:rsid w:val="00023182"/>
    <w:rsid w:val="0002377D"/>
    <w:rsid w:val="000239D1"/>
    <w:rsid w:val="00024A0F"/>
    <w:rsid w:val="00024B17"/>
    <w:rsid w:val="000252EF"/>
    <w:rsid w:val="00025C43"/>
    <w:rsid w:val="00025D0F"/>
    <w:rsid w:val="0002608C"/>
    <w:rsid w:val="0002647D"/>
    <w:rsid w:val="00026C88"/>
    <w:rsid w:val="00026F99"/>
    <w:rsid w:val="000271BB"/>
    <w:rsid w:val="00030395"/>
    <w:rsid w:val="00030F3E"/>
    <w:rsid w:val="000318C7"/>
    <w:rsid w:val="00031A90"/>
    <w:rsid w:val="00033962"/>
    <w:rsid w:val="00034189"/>
    <w:rsid w:val="000346C1"/>
    <w:rsid w:val="00034F2E"/>
    <w:rsid w:val="000363CC"/>
    <w:rsid w:val="00036AD3"/>
    <w:rsid w:val="00036D35"/>
    <w:rsid w:val="00037219"/>
    <w:rsid w:val="00037DC7"/>
    <w:rsid w:val="000400AF"/>
    <w:rsid w:val="0004079A"/>
    <w:rsid w:val="00040829"/>
    <w:rsid w:val="000410EF"/>
    <w:rsid w:val="00041A70"/>
    <w:rsid w:val="000426D2"/>
    <w:rsid w:val="000427ED"/>
    <w:rsid w:val="00044709"/>
    <w:rsid w:val="00045847"/>
    <w:rsid w:val="00045A86"/>
    <w:rsid w:val="00045D23"/>
    <w:rsid w:val="00045FF3"/>
    <w:rsid w:val="0004645C"/>
    <w:rsid w:val="0004667E"/>
    <w:rsid w:val="00046703"/>
    <w:rsid w:val="00046706"/>
    <w:rsid w:val="00046B10"/>
    <w:rsid w:val="00046E7F"/>
    <w:rsid w:val="00047282"/>
    <w:rsid w:val="000475CD"/>
    <w:rsid w:val="000475DB"/>
    <w:rsid w:val="00047749"/>
    <w:rsid w:val="0004775D"/>
    <w:rsid w:val="000479BC"/>
    <w:rsid w:val="00047CE4"/>
    <w:rsid w:val="000500CE"/>
    <w:rsid w:val="00050518"/>
    <w:rsid w:val="00050DEB"/>
    <w:rsid w:val="000513E3"/>
    <w:rsid w:val="00051637"/>
    <w:rsid w:val="00051EE7"/>
    <w:rsid w:val="00051FEC"/>
    <w:rsid w:val="00052A87"/>
    <w:rsid w:val="00052E60"/>
    <w:rsid w:val="000532AA"/>
    <w:rsid w:val="000534CC"/>
    <w:rsid w:val="00053A43"/>
    <w:rsid w:val="00054404"/>
    <w:rsid w:val="00055671"/>
    <w:rsid w:val="000557B1"/>
    <w:rsid w:val="00056381"/>
    <w:rsid w:val="00056469"/>
    <w:rsid w:val="00056649"/>
    <w:rsid w:val="000569DC"/>
    <w:rsid w:val="00056AF9"/>
    <w:rsid w:val="00056DC9"/>
    <w:rsid w:val="00057EEB"/>
    <w:rsid w:val="00060DDC"/>
    <w:rsid w:val="00060EEF"/>
    <w:rsid w:val="000611EE"/>
    <w:rsid w:val="00062045"/>
    <w:rsid w:val="000624F5"/>
    <w:rsid w:val="000627D7"/>
    <w:rsid w:val="00062BC4"/>
    <w:rsid w:val="0006356F"/>
    <w:rsid w:val="000660A0"/>
    <w:rsid w:val="00066E87"/>
    <w:rsid w:val="00067B66"/>
    <w:rsid w:val="00067CCA"/>
    <w:rsid w:val="00067D53"/>
    <w:rsid w:val="00067F68"/>
    <w:rsid w:val="000702E6"/>
    <w:rsid w:val="0007113B"/>
    <w:rsid w:val="000713B2"/>
    <w:rsid w:val="00071815"/>
    <w:rsid w:val="00072D92"/>
    <w:rsid w:val="00072DA7"/>
    <w:rsid w:val="0007404A"/>
    <w:rsid w:val="000740E0"/>
    <w:rsid w:val="00074422"/>
    <w:rsid w:val="00074C2F"/>
    <w:rsid w:val="00075BCA"/>
    <w:rsid w:val="00076180"/>
    <w:rsid w:val="00076D97"/>
    <w:rsid w:val="00076DA6"/>
    <w:rsid w:val="0007752D"/>
    <w:rsid w:val="00077DE8"/>
    <w:rsid w:val="00077E39"/>
    <w:rsid w:val="00080AD0"/>
    <w:rsid w:val="000816D2"/>
    <w:rsid w:val="00081CBE"/>
    <w:rsid w:val="00081DCB"/>
    <w:rsid w:val="00082E6E"/>
    <w:rsid w:val="00083962"/>
    <w:rsid w:val="00084050"/>
    <w:rsid w:val="00084072"/>
    <w:rsid w:val="00085382"/>
    <w:rsid w:val="00085C21"/>
    <w:rsid w:val="000860A2"/>
    <w:rsid w:val="0008643B"/>
    <w:rsid w:val="000869C7"/>
    <w:rsid w:val="00086FC2"/>
    <w:rsid w:val="0008739D"/>
    <w:rsid w:val="00087545"/>
    <w:rsid w:val="00090469"/>
    <w:rsid w:val="00091B17"/>
    <w:rsid w:val="00091DAF"/>
    <w:rsid w:val="00093566"/>
    <w:rsid w:val="00093D2F"/>
    <w:rsid w:val="0009499D"/>
    <w:rsid w:val="0009533F"/>
    <w:rsid w:val="00095421"/>
    <w:rsid w:val="0009562E"/>
    <w:rsid w:val="000962FD"/>
    <w:rsid w:val="00096849"/>
    <w:rsid w:val="00097866"/>
    <w:rsid w:val="00097AE9"/>
    <w:rsid w:val="00097B7E"/>
    <w:rsid w:val="00097CD0"/>
    <w:rsid w:val="000A0137"/>
    <w:rsid w:val="000A0646"/>
    <w:rsid w:val="000A18EA"/>
    <w:rsid w:val="000A2D8A"/>
    <w:rsid w:val="000A2FE6"/>
    <w:rsid w:val="000A381D"/>
    <w:rsid w:val="000A3F9A"/>
    <w:rsid w:val="000A4328"/>
    <w:rsid w:val="000A4462"/>
    <w:rsid w:val="000A59DD"/>
    <w:rsid w:val="000A5F65"/>
    <w:rsid w:val="000A631B"/>
    <w:rsid w:val="000A7644"/>
    <w:rsid w:val="000B03AD"/>
    <w:rsid w:val="000B0DDB"/>
    <w:rsid w:val="000B24A7"/>
    <w:rsid w:val="000B2B19"/>
    <w:rsid w:val="000B30D0"/>
    <w:rsid w:val="000B3495"/>
    <w:rsid w:val="000B34D2"/>
    <w:rsid w:val="000B3A7A"/>
    <w:rsid w:val="000B435A"/>
    <w:rsid w:val="000B4616"/>
    <w:rsid w:val="000B4642"/>
    <w:rsid w:val="000B46AC"/>
    <w:rsid w:val="000B46CF"/>
    <w:rsid w:val="000B46EA"/>
    <w:rsid w:val="000B4BB5"/>
    <w:rsid w:val="000B4F36"/>
    <w:rsid w:val="000B53BD"/>
    <w:rsid w:val="000B5810"/>
    <w:rsid w:val="000B5D25"/>
    <w:rsid w:val="000B652D"/>
    <w:rsid w:val="000B7A04"/>
    <w:rsid w:val="000C01BA"/>
    <w:rsid w:val="000C18A7"/>
    <w:rsid w:val="000C191C"/>
    <w:rsid w:val="000C30F1"/>
    <w:rsid w:val="000C39B2"/>
    <w:rsid w:val="000C436F"/>
    <w:rsid w:val="000C4AA9"/>
    <w:rsid w:val="000C5059"/>
    <w:rsid w:val="000D151D"/>
    <w:rsid w:val="000D1B51"/>
    <w:rsid w:val="000D20BC"/>
    <w:rsid w:val="000D25F9"/>
    <w:rsid w:val="000D2D00"/>
    <w:rsid w:val="000D3E6A"/>
    <w:rsid w:val="000D4068"/>
    <w:rsid w:val="000D4EC6"/>
    <w:rsid w:val="000D5105"/>
    <w:rsid w:val="000D51FD"/>
    <w:rsid w:val="000D5954"/>
    <w:rsid w:val="000D5F43"/>
    <w:rsid w:val="000D6C71"/>
    <w:rsid w:val="000D6D9E"/>
    <w:rsid w:val="000E014D"/>
    <w:rsid w:val="000E106A"/>
    <w:rsid w:val="000E1EAD"/>
    <w:rsid w:val="000E223D"/>
    <w:rsid w:val="000E23EA"/>
    <w:rsid w:val="000E2576"/>
    <w:rsid w:val="000E2672"/>
    <w:rsid w:val="000E32A8"/>
    <w:rsid w:val="000E353D"/>
    <w:rsid w:val="000E3E0E"/>
    <w:rsid w:val="000E47CD"/>
    <w:rsid w:val="000E5B37"/>
    <w:rsid w:val="000E64F4"/>
    <w:rsid w:val="000E66E7"/>
    <w:rsid w:val="000E6A0C"/>
    <w:rsid w:val="000E6FE7"/>
    <w:rsid w:val="000E7E46"/>
    <w:rsid w:val="000F13C8"/>
    <w:rsid w:val="000F216A"/>
    <w:rsid w:val="000F22F2"/>
    <w:rsid w:val="000F23FD"/>
    <w:rsid w:val="000F25B0"/>
    <w:rsid w:val="000F2A96"/>
    <w:rsid w:val="000F3095"/>
    <w:rsid w:val="000F3283"/>
    <w:rsid w:val="000F347C"/>
    <w:rsid w:val="000F39E4"/>
    <w:rsid w:val="000F4004"/>
    <w:rsid w:val="000F40ED"/>
    <w:rsid w:val="000F43AD"/>
    <w:rsid w:val="000F5C39"/>
    <w:rsid w:val="000F5C83"/>
    <w:rsid w:val="000F6034"/>
    <w:rsid w:val="000F6E14"/>
    <w:rsid w:val="000F77F9"/>
    <w:rsid w:val="000F7DAE"/>
    <w:rsid w:val="001000C0"/>
    <w:rsid w:val="00100519"/>
    <w:rsid w:val="00102408"/>
    <w:rsid w:val="00102828"/>
    <w:rsid w:val="001035CC"/>
    <w:rsid w:val="00104651"/>
    <w:rsid w:val="00104F67"/>
    <w:rsid w:val="00105207"/>
    <w:rsid w:val="0010577B"/>
    <w:rsid w:val="00105BED"/>
    <w:rsid w:val="0010649B"/>
    <w:rsid w:val="00106D8A"/>
    <w:rsid w:val="00107206"/>
    <w:rsid w:val="00107A7F"/>
    <w:rsid w:val="00110D96"/>
    <w:rsid w:val="00110F3C"/>
    <w:rsid w:val="00111F64"/>
    <w:rsid w:val="001121F9"/>
    <w:rsid w:val="00112282"/>
    <w:rsid w:val="00112D38"/>
    <w:rsid w:val="00112DDF"/>
    <w:rsid w:val="00114092"/>
    <w:rsid w:val="0011414C"/>
    <w:rsid w:val="001144FF"/>
    <w:rsid w:val="00114CCB"/>
    <w:rsid w:val="00115579"/>
    <w:rsid w:val="00115FF1"/>
    <w:rsid w:val="00116D92"/>
    <w:rsid w:val="0011794D"/>
    <w:rsid w:val="00121796"/>
    <w:rsid w:val="0012200F"/>
    <w:rsid w:val="001222D3"/>
    <w:rsid w:val="00122BDC"/>
    <w:rsid w:val="0012302F"/>
    <w:rsid w:val="00123378"/>
    <w:rsid w:val="0012374A"/>
    <w:rsid w:val="001239A7"/>
    <w:rsid w:val="00123CFC"/>
    <w:rsid w:val="001240DD"/>
    <w:rsid w:val="0012443F"/>
    <w:rsid w:val="00124E0A"/>
    <w:rsid w:val="00124E68"/>
    <w:rsid w:val="00124E72"/>
    <w:rsid w:val="0012501E"/>
    <w:rsid w:val="00126E14"/>
    <w:rsid w:val="001275ED"/>
    <w:rsid w:val="00127741"/>
    <w:rsid w:val="0012784A"/>
    <w:rsid w:val="001278C3"/>
    <w:rsid w:val="00127BB4"/>
    <w:rsid w:val="00130481"/>
    <w:rsid w:val="00130F75"/>
    <w:rsid w:val="0013172A"/>
    <w:rsid w:val="0013185B"/>
    <w:rsid w:val="001318EA"/>
    <w:rsid w:val="00131916"/>
    <w:rsid w:val="001323BC"/>
    <w:rsid w:val="00132D1A"/>
    <w:rsid w:val="00133669"/>
    <w:rsid w:val="00133A30"/>
    <w:rsid w:val="00135B8B"/>
    <w:rsid w:val="001368EC"/>
    <w:rsid w:val="00136D1D"/>
    <w:rsid w:val="001378A7"/>
    <w:rsid w:val="00143024"/>
    <w:rsid w:val="00143996"/>
    <w:rsid w:val="00143A99"/>
    <w:rsid w:val="00145020"/>
    <w:rsid w:val="00145573"/>
    <w:rsid w:val="00145B79"/>
    <w:rsid w:val="00145EF7"/>
    <w:rsid w:val="00146A15"/>
    <w:rsid w:val="00146AD2"/>
    <w:rsid w:val="001475AC"/>
    <w:rsid w:val="00147EED"/>
    <w:rsid w:val="00151228"/>
    <w:rsid w:val="0015142D"/>
    <w:rsid w:val="0015149B"/>
    <w:rsid w:val="00151B3B"/>
    <w:rsid w:val="001523D2"/>
    <w:rsid w:val="00152517"/>
    <w:rsid w:val="00152D44"/>
    <w:rsid w:val="001532B7"/>
    <w:rsid w:val="001532BB"/>
    <w:rsid w:val="00153AE3"/>
    <w:rsid w:val="00153E95"/>
    <w:rsid w:val="00154285"/>
    <w:rsid w:val="001546E4"/>
    <w:rsid w:val="001549AF"/>
    <w:rsid w:val="00154B61"/>
    <w:rsid w:val="00155155"/>
    <w:rsid w:val="001551A8"/>
    <w:rsid w:val="0015580F"/>
    <w:rsid w:val="00155F3E"/>
    <w:rsid w:val="00156451"/>
    <w:rsid w:val="00156804"/>
    <w:rsid w:val="00157048"/>
    <w:rsid w:val="00157C35"/>
    <w:rsid w:val="00160E90"/>
    <w:rsid w:val="00160F50"/>
    <w:rsid w:val="00162151"/>
    <w:rsid w:val="001632EF"/>
    <w:rsid w:val="001646A0"/>
    <w:rsid w:val="00164F64"/>
    <w:rsid w:val="00166A7B"/>
    <w:rsid w:val="00170BCA"/>
    <w:rsid w:val="00172482"/>
    <w:rsid w:val="00173372"/>
    <w:rsid w:val="00173460"/>
    <w:rsid w:val="00173A99"/>
    <w:rsid w:val="00174C34"/>
    <w:rsid w:val="0017518D"/>
    <w:rsid w:val="0017539B"/>
    <w:rsid w:val="0017613E"/>
    <w:rsid w:val="00176D5A"/>
    <w:rsid w:val="00177681"/>
    <w:rsid w:val="00177B38"/>
    <w:rsid w:val="00180209"/>
    <w:rsid w:val="00180690"/>
    <w:rsid w:val="001813B4"/>
    <w:rsid w:val="00181646"/>
    <w:rsid w:val="001817AE"/>
    <w:rsid w:val="00181847"/>
    <w:rsid w:val="00182545"/>
    <w:rsid w:val="00182EDF"/>
    <w:rsid w:val="0018339C"/>
    <w:rsid w:val="00183694"/>
    <w:rsid w:val="0018389D"/>
    <w:rsid w:val="00184791"/>
    <w:rsid w:val="00184811"/>
    <w:rsid w:val="00184EE0"/>
    <w:rsid w:val="0018652B"/>
    <w:rsid w:val="0018652E"/>
    <w:rsid w:val="0018654C"/>
    <w:rsid w:val="0018673E"/>
    <w:rsid w:val="00186BED"/>
    <w:rsid w:val="0019000D"/>
    <w:rsid w:val="00190D5C"/>
    <w:rsid w:val="0019208E"/>
    <w:rsid w:val="001929AB"/>
    <w:rsid w:val="00192F9F"/>
    <w:rsid w:val="00193095"/>
    <w:rsid w:val="001945D8"/>
    <w:rsid w:val="00194FC8"/>
    <w:rsid w:val="001959A6"/>
    <w:rsid w:val="00195E3D"/>
    <w:rsid w:val="00196E1F"/>
    <w:rsid w:val="001A0303"/>
    <w:rsid w:val="001A04B7"/>
    <w:rsid w:val="001A0A83"/>
    <w:rsid w:val="001A0E2F"/>
    <w:rsid w:val="001A11A2"/>
    <w:rsid w:val="001A11C5"/>
    <w:rsid w:val="001A4642"/>
    <w:rsid w:val="001A48E1"/>
    <w:rsid w:val="001A64F3"/>
    <w:rsid w:val="001A6C30"/>
    <w:rsid w:val="001A6CC9"/>
    <w:rsid w:val="001A6DE0"/>
    <w:rsid w:val="001A7828"/>
    <w:rsid w:val="001A7FCB"/>
    <w:rsid w:val="001B03A4"/>
    <w:rsid w:val="001B0D9E"/>
    <w:rsid w:val="001B2F10"/>
    <w:rsid w:val="001B31B0"/>
    <w:rsid w:val="001B3B3B"/>
    <w:rsid w:val="001B3B8E"/>
    <w:rsid w:val="001B3C65"/>
    <w:rsid w:val="001B4318"/>
    <w:rsid w:val="001B560B"/>
    <w:rsid w:val="001B5AD9"/>
    <w:rsid w:val="001B5F12"/>
    <w:rsid w:val="001B61C6"/>
    <w:rsid w:val="001B6B9D"/>
    <w:rsid w:val="001B78E6"/>
    <w:rsid w:val="001B7B33"/>
    <w:rsid w:val="001B7DD8"/>
    <w:rsid w:val="001C0572"/>
    <w:rsid w:val="001C1979"/>
    <w:rsid w:val="001C1FE5"/>
    <w:rsid w:val="001C24C9"/>
    <w:rsid w:val="001C2B17"/>
    <w:rsid w:val="001C2DE2"/>
    <w:rsid w:val="001C2F8A"/>
    <w:rsid w:val="001C3238"/>
    <w:rsid w:val="001C4228"/>
    <w:rsid w:val="001C4DE6"/>
    <w:rsid w:val="001C5530"/>
    <w:rsid w:val="001C5553"/>
    <w:rsid w:val="001C6AD8"/>
    <w:rsid w:val="001C7D24"/>
    <w:rsid w:val="001D0569"/>
    <w:rsid w:val="001D1731"/>
    <w:rsid w:val="001D1BA6"/>
    <w:rsid w:val="001D1FAF"/>
    <w:rsid w:val="001D2D3A"/>
    <w:rsid w:val="001D2D8A"/>
    <w:rsid w:val="001D476E"/>
    <w:rsid w:val="001D4C66"/>
    <w:rsid w:val="001D4D08"/>
    <w:rsid w:val="001D4F6E"/>
    <w:rsid w:val="001D50AC"/>
    <w:rsid w:val="001D5AEB"/>
    <w:rsid w:val="001D7A9C"/>
    <w:rsid w:val="001E09BF"/>
    <w:rsid w:val="001E0AA4"/>
    <w:rsid w:val="001E0C9C"/>
    <w:rsid w:val="001E1182"/>
    <w:rsid w:val="001E11B3"/>
    <w:rsid w:val="001E20F2"/>
    <w:rsid w:val="001E27D8"/>
    <w:rsid w:val="001E462C"/>
    <w:rsid w:val="001E5E2F"/>
    <w:rsid w:val="001E5E93"/>
    <w:rsid w:val="001E607F"/>
    <w:rsid w:val="001E6314"/>
    <w:rsid w:val="001E635C"/>
    <w:rsid w:val="001E673A"/>
    <w:rsid w:val="001F10C3"/>
    <w:rsid w:val="001F1968"/>
    <w:rsid w:val="001F1BCC"/>
    <w:rsid w:val="001F2635"/>
    <w:rsid w:val="001F33A2"/>
    <w:rsid w:val="001F4098"/>
    <w:rsid w:val="001F48F6"/>
    <w:rsid w:val="001F4C39"/>
    <w:rsid w:val="001F628F"/>
    <w:rsid w:val="001F78C1"/>
    <w:rsid w:val="002000A2"/>
    <w:rsid w:val="0020012C"/>
    <w:rsid w:val="002002F1"/>
    <w:rsid w:val="00201EAD"/>
    <w:rsid w:val="0020202A"/>
    <w:rsid w:val="0020219B"/>
    <w:rsid w:val="00202EFC"/>
    <w:rsid w:val="002038F5"/>
    <w:rsid w:val="00203BF7"/>
    <w:rsid w:val="002041A9"/>
    <w:rsid w:val="0020457B"/>
    <w:rsid w:val="00205399"/>
    <w:rsid w:val="0020547F"/>
    <w:rsid w:val="002056A3"/>
    <w:rsid w:val="00206023"/>
    <w:rsid w:val="00206D64"/>
    <w:rsid w:val="00206DF8"/>
    <w:rsid w:val="00207956"/>
    <w:rsid w:val="00207D97"/>
    <w:rsid w:val="00210065"/>
    <w:rsid w:val="00210148"/>
    <w:rsid w:val="002101FF"/>
    <w:rsid w:val="00210F65"/>
    <w:rsid w:val="002112F4"/>
    <w:rsid w:val="002114C3"/>
    <w:rsid w:val="0021194D"/>
    <w:rsid w:val="0021380F"/>
    <w:rsid w:val="00214A6E"/>
    <w:rsid w:val="00214E2F"/>
    <w:rsid w:val="002157E9"/>
    <w:rsid w:val="0021646E"/>
    <w:rsid w:val="002168E1"/>
    <w:rsid w:val="00216C22"/>
    <w:rsid w:val="002170E6"/>
    <w:rsid w:val="00217892"/>
    <w:rsid w:val="00217E09"/>
    <w:rsid w:val="00217E5D"/>
    <w:rsid w:val="00220623"/>
    <w:rsid w:val="00220AA3"/>
    <w:rsid w:val="002218EB"/>
    <w:rsid w:val="00221F39"/>
    <w:rsid w:val="00222C0C"/>
    <w:rsid w:val="00223ED1"/>
    <w:rsid w:val="002258D1"/>
    <w:rsid w:val="0022799A"/>
    <w:rsid w:val="00227A48"/>
    <w:rsid w:val="0023025E"/>
    <w:rsid w:val="00231441"/>
    <w:rsid w:val="00231A96"/>
    <w:rsid w:val="00231E1E"/>
    <w:rsid w:val="002340B9"/>
    <w:rsid w:val="00234A35"/>
    <w:rsid w:val="002351B6"/>
    <w:rsid w:val="00237428"/>
    <w:rsid w:val="00237B45"/>
    <w:rsid w:val="00240574"/>
    <w:rsid w:val="00241391"/>
    <w:rsid w:val="00241474"/>
    <w:rsid w:val="002427AB"/>
    <w:rsid w:val="00242A75"/>
    <w:rsid w:val="00243709"/>
    <w:rsid w:val="002439E1"/>
    <w:rsid w:val="00243FEA"/>
    <w:rsid w:val="002448ED"/>
    <w:rsid w:val="0024504B"/>
    <w:rsid w:val="00245509"/>
    <w:rsid w:val="00247051"/>
    <w:rsid w:val="00247864"/>
    <w:rsid w:val="002506E4"/>
    <w:rsid w:val="00250912"/>
    <w:rsid w:val="00250D0C"/>
    <w:rsid w:val="00250D72"/>
    <w:rsid w:val="00252099"/>
    <w:rsid w:val="00252A34"/>
    <w:rsid w:val="00253DB4"/>
    <w:rsid w:val="00253DED"/>
    <w:rsid w:val="00254B5F"/>
    <w:rsid w:val="00254EC9"/>
    <w:rsid w:val="00254EE8"/>
    <w:rsid w:val="002551C4"/>
    <w:rsid w:val="002561F0"/>
    <w:rsid w:val="002562C4"/>
    <w:rsid w:val="002566F4"/>
    <w:rsid w:val="00256900"/>
    <w:rsid w:val="00256D40"/>
    <w:rsid w:val="00257C25"/>
    <w:rsid w:val="00262859"/>
    <w:rsid w:val="0026402D"/>
    <w:rsid w:val="00266777"/>
    <w:rsid w:val="002668B7"/>
    <w:rsid w:val="002702AE"/>
    <w:rsid w:val="002710E0"/>
    <w:rsid w:val="00271552"/>
    <w:rsid w:val="00271A36"/>
    <w:rsid w:val="00271B7F"/>
    <w:rsid w:val="0027218B"/>
    <w:rsid w:val="0027248F"/>
    <w:rsid w:val="002725D4"/>
    <w:rsid w:val="00272D78"/>
    <w:rsid w:val="00272EDE"/>
    <w:rsid w:val="002732E2"/>
    <w:rsid w:val="00273AE5"/>
    <w:rsid w:val="00273B26"/>
    <w:rsid w:val="00273EF6"/>
    <w:rsid w:val="002742E3"/>
    <w:rsid w:val="002746A9"/>
    <w:rsid w:val="002746EB"/>
    <w:rsid w:val="00274CEF"/>
    <w:rsid w:val="00275308"/>
    <w:rsid w:val="00276697"/>
    <w:rsid w:val="00277614"/>
    <w:rsid w:val="00280421"/>
    <w:rsid w:val="00280780"/>
    <w:rsid w:val="00280C75"/>
    <w:rsid w:val="00281DFC"/>
    <w:rsid w:val="0028208B"/>
    <w:rsid w:val="0028353C"/>
    <w:rsid w:val="00284828"/>
    <w:rsid w:val="0028567D"/>
    <w:rsid w:val="002856EC"/>
    <w:rsid w:val="00285A94"/>
    <w:rsid w:val="0028705A"/>
    <w:rsid w:val="0028789C"/>
    <w:rsid w:val="002878F1"/>
    <w:rsid w:val="002907B0"/>
    <w:rsid w:val="00291A24"/>
    <w:rsid w:val="00291AB7"/>
    <w:rsid w:val="0029262E"/>
    <w:rsid w:val="002928B2"/>
    <w:rsid w:val="00292DCA"/>
    <w:rsid w:val="00293C6A"/>
    <w:rsid w:val="00294DDC"/>
    <w:rsid w:val="00295195"/>
    <w:rsid w:val="0029526D"/>
    <w:rsid w:val="00295449"/>
    <w:rsid w:val="002959C1"/>
    <w:rsid w:val="00296904"/>
    <w:rsid w:val="00296E04"/>
    <w:rsid w:val="002A0167"/>
    <w:rsid w:val="002A0455"/>
    <w:rsid w:val="002A0831"/>
    <w:rsid w:val="002A1A41"/>
    <w:rsid w:val="002A355F"/>
    <w:rsid w:val="002A38B3"/>
    <w:rsid w:val="002A3FCE"/>
    <w:rsid w:val="002A41A0"/>
    <w:rsid w:val="002A48BC"/>
    <w:rsid w:val="002A4B71"/>
    <w:rsid w:val="002A50FC"/>
    <w:rsid w:val="002A52F9"/>
    <w:rsid w:val="002A5610"/>
    <w:rsid w:val="002A5B98"/>
    <w:rsid w:val="002A67C9"/>
    <w:rsid w:val="002A70BE"/>
    <w:rsid w:val="002A71BB"/>
    <w:rsid w:val="002A7903"/>
    <w:rsid w:val="002A7B8E"/>
    <w:rsid w:val="002A7E0A"/>
    <w:rsid w:val="002B016A"/>
    <w:rsid w:val="002B0353"/>
    <w:rsid w:val="002B058F"/>
    <w:rsid w:val="002B1C11"/>
    <w:rsid w:val="002B1C47"/>
    <w:rsid w:val="002B1ECF"/>
    <w:rsid w:val="002B2933"/>
    <w:rsid w:val="002B35B9"/>
    <w:rsid w:val="002B4812"/>
    <w:rsid w:val="002B5DAC"/>
    <w:rsid w:val="002B64C9"/>
    <w:rsid w:val="002B68FA"/>
    <w:rsid w:val="002B6EEA"/>
    <w:rsid w:val="002B6F88"/>
    <w:rsid w:val="002B7021"/>
    <w:rsid w:val="002B7719"/>
    <w:rsid w:val="002B79B8"/>
    <w:rsid w:val="002B7F7A"/>
    <w:rsid w:val="002C14DB"/>
    <w:rsid w:val="002C1740"/>
    <w:rsid w:val="002C21AF"/>
    <w:rsid w:val="002C2F35"/>
    <w:rsid w:val="002C3451"/>
    <w:rsid w:val="002C366C"/>
    <w:rsid w:val="002C375C"/>
    <w:rsid w:val="002C3A95"/>
    <w:rsid w:val="002C3EAC"/>
    <w:rsid w:val="002C433A"/>
    <w:rsid w:val="002C4C54"/>
    <w:rsid w:val="002C50D0"/>
    <w:rsid w:val="002C6703"/>
    <w:rsid w:val="002C6811"/>
    <w:rsid w:val="002C7ECB"/>
    <w:rsid w:val="002C7F0F"/>
    <w:rsid w:val="002D083F"/>
    <w:rsid w:val="002D2268"/>
    <w:rsid w:val="002D2818"/>
    <w:rsid w:val="002D4A1C"/>
    <w:rsid w:val="002D4BE8"/>
    <w:rsid w:val="002D55B8"/>
    <w:rsid w:val="002D5A80"/>
    <w:rsid w:val="002D5FE4"/>
    <w:rsid w:val="002D6486"/>
    <w:rsid w:val="002D64D5"/>
    <w:rsid w:val="002D75B1"/>
    <w:rsid w:val="002D76C9"/>
    <w:rsid w:val="002E06EC"/>
    <w:rsid w:val="002E07D7"/>
    <w:rsid w:val="002E0860"/>
    <w:rsid w:val="002E09C8"/>
    <w:rsid w:val="002E0CB1"/>
    <w:rsid w:val="002E13D4"/>
    <w:rsid w:val="002E144E"/>
    <w:rsid w:val="002E1DF9"/>
    <w:rsid w:val="002E1EB4"/>
    <w:rsid w:val="002E23A9"/>
    <w:rsid w:val="002E2868"/>
    <w:rsid w:val="002E2B95"/>
    <w:rsid w:val="002E2C9D"/>
    <w:rsid w:val="002E3889"/>
    <w:rsid w:val="002E3CDD"/>
    <w:rsid w:val="002E4014"/>
    <w:rsid w:val="002E45B0"/>
    <w:rsid w:val="002E4DC8"/>
    <w:rsid w:val="002E4F6E"/>
    <w:rsid w:val="002E5364"/>
    <w:rsid w:val="002E5677"/>
    <w:rsid w:val="002E615F"/>
    <w:rsid w:val="002E61A3"/>
    <w:rsid w:val="002E62FE"/>
    <w:rsid w:val="002E6853"/>
    <w:rsid w:val="002E6A32"/>
    <w:rsid w:val="002E6DE0"/>
    <w:rsid w:val="002E76F2"/>
    <w:rsid w:val="002F0087"/>
    <w:rsid w:val="002F06CB"/>
    <w:rsid w:val="002F074E"/>
    <w:rsid w:val="002F1284"/>
    <w:rsid w:val="002F143D"/>
    <w:rsid w:val="002F1CC1"/>
    <w:rsid w:val="002F339F"/>
    <w:rsid w:val="002F3457"/>
    <w:rsid w:val="002F3CB2"/>
    <w:rsid w:val="002F3D01"/>
    <w:rsid w:val="002F4FC7"/>
    <w:rsid w:val="002F6DDF"/>
    <w:rsid w:val="002F71F0"/>
    <w:rsid w:val="002F7BB7"/>
    <w:rsid w:val="002F7D35"/>
    <w:rsid w:val="002F7F2F"/>
    <w:rsid w:val="0030018B"/>
    <w:rsid w:val="003006F2"/>
    <w:rsid w:val="003014DB"/>
    <w:rsid w:val="00301EA8"/>
    <w:rsid w:val="0030210E"/>
    <w:rsid w:val="0030245D"/>
    <w:rsid w:val="003033BB"/>
    <w:rsid w:val="00303986"/>
    <w:rsid w:val="00304815"/>
    <w:rsid w:val="003051CB"/>
    <w:rsid w:val="003053DE"/>
    <w:rsid w:val="0030545A"/>
    <w:rsid w:val="0030587E"/>
    <w:rsid w:val="0030627E"/>
    <w:rsid w:val="00307709"/>
    <w:rsid w:val="00307B3C"/>
    <w:rsid w:val="00307CAA"/>
    <w:rsid w:val="00310A51"/>
    <w:rsid w:val="00311C2C"/>
    <w:rsid w:val="00311C7B"/>
    <w:rsid w:val="003120D8"/>
    <w:rsid w:val="0031216F"/>
    <w:rsid w:val="0031249A"/>
    <w:rsid w:val="00313105"/>
    <w:rsid w:val="003141BE"/>
    <w:rsid w:val="003141D7"/>
    <w:rsid w:val="003146CE"/>
    <w:rsid w:val="00315149"/>
    <w:rsid w:val="003152E6"/>
    <w:rsid w:val="0031565E"/>
    <w:rsid w:val="00315CEB"/>
    <w:rsid w:val="00315E64"/>
    <w:rsid w:val="00315E81"/>
    <w:rsid w:val="00316096"/>
    <w:rsid w:val="0031757D"/>
    <w:rsid w:val="0031766B"/>
    <w:rsid w:val="00317713"/>
    <w:rsid w:val="00317763"/>
    <w:rsid w:val="003203AE"/>
    <w:rsid w:val="00321D9D"/>
    <w:rsid w:val="00322348"/>
    <w:rsid w:val="003225F8"/>
    <w:rsid w:val="00322EC6"/>
    <w:rsid w:val="00323632"/>
    <w:rsid w:val="0032366D"/>
    <w:rsid w:val="00323C80"/>
    <w:rsid w:val="00323F4A"/>
    <w:rsid w:val="003243D8"/>
    <w:rsid w:val="00324C88"/>
    <w:rsid w:val="00324E4C"/>
    <w:rsid w:val="00325E77"/>
    <w:rsid w:val="003260DF"/>
    <w:rsid w:val="00327B44"/>
    <w:rsid w:val="003310CC"/>
    <w:rsid w:val="003322FD"/>
    <w:rsid w:val="003328AF"/>
    <w:rsid w:val="00333176"/>
    <w:rsid w:val="00333A7C"/>
    <w:rsid w:val="00333ED4"/>
    <w:rsid w:val="003340CA"/>
    <w:rsid w:val="00334E2D"/>
    <w:rsid w:val="00334E75"/>
    <w:rsid w:val="0033532F"/>
    <w:rsid w:val="00335E1A"/>
    <w:rsid w:val="00335F0E"/>
    <w:rsid w:val="00336A1C"/>
    <w:rsid w:val="00336D48"/>
    <w:rsid w:val="0033732E"/>
    <w:rsid w:val="00337D5D"/>
    <w:rsid w:val="00337FD0"/>
    <w:rsid w:val="0034000A"/>
    <w:rsid w:val="00340185"/>
    <w:rsid w:val="0034096C"/>
    <w:rsid w:val="003413AF"/>
    <w:rsid w:val="00341DBC"/>
    <w:rsid w:val="00342A96"/>
    <w:rsid w:val="00342C06"/>
    <w:rsid w:val="00342C6D"/>
    <w:rsid w:val="0034368A"/>
    <w:rsid w:val="00343A4F"/>
    <w:rsid w:val="00343D3E"/>
    <w:rsid w:val="0034423E"/>
    <w:rsid w:val="0034470D"/>
    <w:rsid w:val="00344D7E"/>
    <w:rsid w:val="00344F53"/>
    <w:rsid w:val="00344F58"/>
    <w:rsid w:val="003457A4"/>
    <w:rsid w:val="00345B1C"/>
    <w:rsid w:val="00345D31"/>
    <w:rsid w:val="003461F9"/>
    <w:rsid w:val="00347B01"/>
    <w:rsid w:val="00350010"/>
    <w:rsid w:val="00350666"/>
    <w:rsid w:val="003508B6"/>
    <w:rsid w:val="00350AE0"/>
    <w:rsid w:val="00350D18"/>
    <w:rsid w:val="0035148F"/>
    <w:rsid w:val="00352184"/>
    <w:rsid w:val="00352A0E"/>
    <w:rsid w:val="00352EEF"/>
    <w:rsid w:val="00352FC2"/>
    <w:rsid w:val="003535F8"/>
    <w:rsid w:val="00353B69"/>
    <w:rsid w:val="00354744"/>
    <w:rsid w:val="00354A65"/>
    <w:rsid w:val="00354D78"/>
    <w:rsid w:val="00355E21"/>
    <w:rsid w:val="00355E50"/>
    <w:rsid w:val="00355FE5"/>
    <w:rsid w:val="00356FBC"/>
    <w:rsid w:val="00357CEA"/>
    <w:rsid w:val="00357E91"/>
    <w:rsid w:val="003602B7"/>
    <w:rsid w:val="003602F1"/>
    <w:rsid w:val="003605DF"/>
    <w:rsid w:val="003606A1"/>
    <w:rsid w:val="00360BE0"/>
    <w:rsid w:val="00361B88"/>
    <w:rsid w:val="00362618"/>
    <w:rsid w:val="00363C01"/>
    <w:rsid w:val="00363D3E"/>
    <w:rsid w:val="00363E43"/>
    <w:rsid w:val="00365566"/>
    <w:rsid w:val="003665A4"/>
    <w:rsid w:val="00366BD6"/>
    <w:rsid w:val="00366DFE"/>
    <w:rsid w:val="00366E31"/>
    <w:rsid w:val="0036712A"/>
    <w:rsid w:val="00367EF4"/>
    <w:rsid w:val="00370CE1"/>
    <w:rsid w:val="003722E4"/>
    <w:rsid w:val="003726DF"/>
    <w:rsid w:val="0037286C"/>
    <w:rsid w:val="00372EB8"/>
    <w:rsid w:val="00372EE1"/>
    <w:rsid w:val="00373A37"/>
    <w:rsid w:val="00373BE9"/>
    <w:rsid w:val="00373FDF"/>
    <w:rsid w:val="00374DDC"/>
    <w:rsid w:val="00374FA6"/>
    <w:rsid w:val="00374FAA"/>
    <w:rsid w:val="003750A9"/>
    <w:rsid w:val="003761D3"/>
    <w:rsid w:val="00376750"/>
    <w:rsid w:val="00376DD6"/>
    <w:rsid w:val="00377BFA"/>
    <w:rsid w:val="00377DDF"/>
    <w:rsid w:val="00380A58"/>
    <w:rsid w:val="00380C08"/>
    <w:rsid w:val="0038166F"/>
    <w:rsid w:val="00381D83"/>
    <w:rsid w:val="00381FE2"/>
    <w:rsid w:val="00382010"/>
    <w:rsid w:val="0038206F"/>
    <w:rsid w:val="00382F0C"/>
    <w:rsid w:val="0038327C"/>
    <w:rsid w:val="00383F45"/>
    <w:rsid w:val="00384310"/>
    <w:rsid w:val="00384835"/>
    <w:rsid w:val="00384A18"/>
    <w:rsid w:val="00385389"/>
    <w:rsid w:val="00385529"/>
    <w:rsid w:val="0038564B"/>
    <w:rsid w:val="00385913"/>
    <w:rsid w:val="003861D6"/>
    <w:rsid w:val="00386614"/>
    <w:rsid w:val="0038718B"/>
    <w:rsid w:val="00387FC3"/>
    <w:rsid w:val="0039034F"/>
    <w:rsid w:val="003908B0"/>
    <w:rsid w:val="00390E03"/>
    <w:rsid w:val="00390F37"/>
    <w:rsid w:val="003912EF"/>
    <w:rsid w:val="003918D3"/>
    <w:rsid w:val="00392193"/>
    <w:rsid w:val="0039228A"/>
    <w:rsid w:val="00392711"/>
    <w:rsid w:val="003927A0"/>
    <w:rsid w:val="00392B8C"/>
    <w:rsid w:val="00393DDF"/>
    <w:rsid w:val="00393FEC"/>
    <w:rsid w:val="0039472B"/>
    <w:rsid w:val="00395A83"/>
    <w:rsid w:val="00395AB5"/>
    <w:rsid w:val="00395D87"/>
    <w:rsid w:val="003A0208"/>
    <w:rsid w:val="003A1610"/>
    <w:rsid w:val="003A17EA"/>
    <w:rsid w:val="003A1ABA"/>
    <w:rsid w:val="003A1D1D"/>
    <w:rsid w:val="003A251C"/>
    <w:rsid w:val="003A3015"/>
    <w:rsid w:val="003A33DA"/>
    <w:rsid w:val="003A3583"/>
    <w:rsid w:val="003A39F1"/>
    <w:rsid w:val="003A4377"/>
    <w:rsid w:val="003A4568"/>
    <w:rsid w:val="003A4D98"/>
    <w:rsid w:val="003A4E43"/>
    <w:rsid w:val="003A4FC9"/>
    <w:rsid w:val="003A60A5"/>
    <w:rsid w:val="003A69F1"/>
    <w:rsid w:val="003A6C45"/>
    <w:rsid w:val="003A6C97"/>
    <w:rsid w:val="003A72B3"/>
    <w:rsid w:val="003A72BF"/>
    <w:rsid w:val="003A7FB4"/>
    <w:rsid w:val="003B07BE"/>
    <w:rsid w:val="003B2488"/>
    <w:rsid w:val="003B30E0"/>
    <w:rsid w:val="003B3BD8"/>
    <w:rsid w:val="003B4034"/>
    <w:rsid w:val="003B56CC"/>
    <w:rsid w:val="003B5ACF"/>
    <w:rsid w:val="003B5CF5"/>
    <w:rsid w:val="003B5E47"/>
    <w:rsid w:val="003B6BEE"/>
    <w:rsid w:val="003B7045"/>
    <w:rsid w:val="003B7672"/>
    <w:rsid w:val="003B783E"/>
    <w:rsid w:val="003B7D21"/>
    <w:rsid w:val="003C03B7"/>
    <w:rsid w:val="003C13CC"/>
    <w:rsid w:val="003C1926"/>
    <w:rsid w:val="003C287F"/>
    <w:rsid w:val="003C4331"/>
    <w:rsid w:val="003C5374"/>
    <w:rsid w:val="003C5837"/>
    <w:rsid w:val="003C678D"/>
    <w:rsid w:val="003C6815"/>
    <w:rsid w:val="003C6E8E"/>
    <w:rsid w:val="003C7090"/>
    <w:rsid w:val="003C742D"/>
    <w:rsid w:val="003D004D"/>
    <w:rsid w:val="003D07B4"/>
    <w:rsid w:val="003D0922"/>
    <w:rsid w:val="003D0936"/>
    <w:rsid w:val="003D11ED"/>
    <w:rsid w:val="003D1EB1"/>
    <w:rsid w:val="003D1FA8"/>
    <w:rsid w:val="003D203A"/>
    <w:rsid w:val="003D3458"/>
    <w:rsid w:val="003D3749"/>
    <w:rsid w:val="003D3885"/>
    <w:rsid w:val="003D3886"/>
    <w:rsid w:val="003D3931"/>
    <w:rsid w:val="003D3EA0"/>
    <w:rsid w:val="003D4494"/>
    <w:rsid w:val="003D484F"/>
    <w:rsid w:val="003D4A06"/>
    <w:rsid w:val="003D5155"/>
    <w:rsid w:val="003D5459"/>
    <w:rsid w:val="003D5965"/>
    <w:rsid w:val="003D5CC0"/>
    <w:rsid w:val="003D76A1"/>
    <w:rsid w:val="003D7F08"/>
    <w:rsid w:val="003E0258"/>
    <w:rsid w:val="003E0B47"/>
    <w:rsid w:val="003E0D98"/>
    <w:rsid w:val="003E10D3"/>
    <w:rsid w:val="003E1D25"/>
    <w:rsid w:val="003E1D46"/>
    <w:rsid w:val="003E28EA"/>
    <w:rsid w:val="003E2BA4"/>
    <w:rsid w:val="003E2D3B"/>
    <w:rsid w:val="003E3AA6"/>
    <w:rsid w:val="003E3E34"/>
    <w:rsid w:val="003E4A67"/>
    <w:rsid w:val="003E500C"/>
    <w:rsid w:val="003E74B1"/>
    <w:rsid w:val="003F031C"/>
    <w:rsid w:val="003F08F6"/>
    <w:rsid w:val="003F0A7E"/>
    <w:rsid w:val="003F25A9"/>
    <w:rsid w:val="003F305C"/>
    <w:rsid w:val="003F3995"/>
    <w:rsid w:val="003F59DD"/>
    <w:rsid w:val="003F6159"/>
    <w:rsid w:val="003F62D3"/>
    <w:rsid w:val="003F734F"/>
    <w:rsid w:val="003F7C53"/>
    <w:rsid w:val="003F7F76"/>
    <w:rsid w:val="0040024E"/>
    <w:rsid w:val="00400B78"/>
    <w:rsid w:val="00400E24"/>
    <w:rsid w:val="004012C2"/>
    <w:rsid w:val="0040178A"/>
    <w:rsid w:val="00401C06"/>
    <w:rsid w:val="00401CDC"/>
    <w:rsid w:val="0040203F"/>
    <w:rsid w:val="00402FD6"/>
    <w:rsid w:val="00403461"/>
    <w:rsid w:val="00404E7F"/>
    <w:rsid w:val="004055AD"/>
    <w:rsid w:val="00405674"/>
    <w:rsid w:val="00405A85"/>
    <w:rsid w:val="00405F8D"/>
    <w:rsid w:val="00406DAD"/>
    <w:rsid w:val="004072C6"/>
    <w:rsid w:val="00407B24"/>
    <w:rsid w:val="00407EF7"/>
    <w:rsid w:val="004106BA"/>
    <w:rsid w:val="00410CB3"/>
    <w:rsid w:val="00411D3A"/>
    <w:rsid w:val="00412378"/>
    <w:rsid w:val="0041297C"/>
    <w:rsid w:val="00412AEF"/>
    <w:rsid w:val="00412D46"/>
    <w:rsid w:val="00413693"/>
    <w:rsid w:val="0041506B"/>
    <w:rsid w:val="00415934"/>
    <w:rsid w:val="00415C8F"/>
    <w:rsid w:val="004161EA"/>
    <w:rsid w:val="004164AC"/>
    <w:rsid w:val="004171B1"/>
    <w:rsid w:val="004174A4"/>
    <w:rsid w:val="00420047"/>
    <w:rsid w:val="004223DC"/>
    <w:rsid w:val="004225BE"/>
    <w:rsid w:val="00422A14"/>
    <w:rsid w:val="004232D8"/>
    <w:rsid w:val="004245DD"/>
    <w:rsid w:val="00424AB3"/>
    <w:rsid w:val="0042514D"/>
    <w:rsid w:val="00425D07"/>
    <w:rsid w:val="00426811"/>
    <w:rsid w:val="0043012E"/>
    <w:rsid w:val="00430C44"/>
    <w:rsid w:val="00431032"/>
    <w:rsid w:val="004315E5"/>
    <w:rsid w:val="00431F67"/>
    <w:rsid w:val="00431F9F"/>
    <w:rsid w:val="0043268A"/>
    <w:rsid w:val="00432B9B"/>
    <w:rsid w:val="00432C0D"/>
    <w:rsid w:val="00433000"/>
    <w:rsid w:val="004338C4"/>
    <w:rsid w:val="00435BD5"/>
    <w:rsid w:val="00435D92"/>
    <w:rsid w:val="00436656"/>
    <w:rsid w:val="00436837"/>
    <w:rsid w:val="004377BA"/>
    <w:rsid w:val="00437E58"/>
    <w:rsid w:val="00440430"/>
    <w:rsid w:val="0044160B"/>
    <w:rsid w:val="00441776"/>
    <w:rsid w:val="00441C6C"/>
    <w:rsid w:val="00442091"/>
    <w:rsid w:val="0044348D"/>
    <w:rsid w:val="0044395D"/>
    <w:rsid w:val="00443E15"/>
    <w:rsid w:val="00444990"/>
    <w:rsid w:val="004455B6"/>
    <w:rsid w:val="004455C8"/>
    <w:rsid w:val="004461CF"/>
    <w:rsid w:val="0044659A"/>
    <w:rsid w:val="00446D69"/>
    <w:rsid w:val="004501D8"/>
    <w:rsid w:val="00450526"/>
    <w:rsid w:val="00451D40"/>
    <w:rsid w:val="00451DA7"/>
    <w:rsid w:val="00452433"/>
    <w:rsid w:val="004560A0"/>
    <w:rsid w:val="00456437"/>
    <w:rsid w:val="004565FA"/>
    <w:rsid w:val="0045679C"/>
    <w:rsid w:val="00456882"/>
    <w:rsid w:val="00456AA1"/>
    <w:rsid w:val="00456B75"/>
    <w:rsid w:val="00456FDA"/>
    <w:rsid w:val="00461905"/>
    <w:rsid w:val="00462304"/>
    <w:rsid w:val="00462311"/>
    <w:rsid w:val="004626A8"/>
    <w:rsid w:val="004639A5"/>
    <w:rsid w:val="00463CD3"/>
    <w:rsid w:val="00463F6E"/>
    <w:rsid w:val="004645FA"/>
    <w:rsid w:val="0046463F"/>
    <w:rsid w:val="00464910"/>
    <w:rsid w:val="00466212"/>
    <w:rsid w:val="00466BB7"/>
    <w:rsid w:val="0047077B"/>
    <w:rsid w:val="004709B2"/>
    <w:rsid w:val="00470BE2"/>
    <w:rsid w:val="0047148D"/>
    <w:rsid w:val="00472630"/>
    <w:rsid w:val="00472780"/>
    <w:rsid w:val="00473857"/>
    <w:rsid w:val="00473DF9"/>
    <w:rsid w:val="00474155"/>
    <w:rsid w:val="00474E85"/>
    <w:rsid w:val="00474EA6"/>
    <w:rsid w:val="0047507D"/>
    <w:rsid w:val="00475107"/>
    <w:rsid w:val="00475645"/>
    <w:rsid w:val="00475994"/>
    <w:rsid w:val="00475E49"/>
    <w:rsid w:val="004763DA"/>
    <w:rsid w:val="00476734"/>
    <w:rsid w:val="00476CDA"/>
    <w:rsid w:val="004800B2"/>
    <w:rsid w:val="004813BE"/>
    <w:rsid w:val="0048337D"/>
    <w:rsid w:val="004845CC"/>
    <w:rsid w:val="00485214"/>
    <w:rsid w:val="00485452"/>
    <w:rsid w:val="00487615"/>
    <w:rsid w:val="004879FB"/>
    <w:rsid w:val="00487B08"/>
    <w:rsid w:val="00487DF1"/>
    <w:rsid w:val="00487EA4"/>
    <w:rsid w:val="004909E7"/>
    <w:rsid w:val="0049122F"/>
    <w:rsid w:val="004912D6"/>
    <w:rsid w:val="004919B7"/>
    <w:rsid w:val="00492308"/>
    <w:rsid w:val="00493001"/>
    <w:rsid w:val="004930E5"/>
    <w:rsid w:val="00493685"/>
    <w:rsid w:val="00493BA3"/>
    <w:rsid w:val="00494096"/>
    <w:rsid w:val="004953E0"/>
    <w:rsid w:val="00495B56"/>
    <w:rsid w:val="00495C6B"/>
    <w:rsid w:val="004962D3"/>
    <w:rsid w:val="004966B4"/>
    <w:rsid w:val="0049671D"/>
    <w:rsid w:val="0049711A"/>
    <w:rsid w:val="00497632"/>
    <w:rsid w:val="004A089B"/>
    <w:rsid w:val="004A0F1B"/>
    <w:rsid w:val="004A0F43"/>
    <w:rsid w:val="004A2DF1"/>
    <w:rsid w:val="004A30A3"/>
    <w:rsid w:val="004A3202"/>
    <w:rsid w:val="004A4078"/>
    <w:rsid w:val="004A43EB"/>
    <w:rsid w:val="004A4882"/>
    <w:rsid w:val="004A4BDC"/>
    <w:rsid w:val="004A59A7"/>
    <w:rsid w:val="004A624B"/>
    <w:rsid w:val="004A72AC"/>
    <w:rsid w:val="004A73A8"/>
    <w:rsid w:val="004A74D2"/>
    <w:rsid w:val="004B07AC"/>
    <w:rsid w:val="004B1E82"/>
    <w:rsid w:val="004B24A5"/>
    <w:rsid w:val="004B2AFF"/>
    <w:rsid w:val="004B300D"/>
    <w:rsid w:val="004B4628"/>
    <w:rsid w:val="004B49AE"/>
    <w:rsid w:val="004B504F"/>
    <w:rsid w:val="004B50E4"/>
    <w:rsid w:val="004B5491"/>
    <w:rsid w:val="004B5964"/>
    <w:rsid w:val="004B68CA"/>
    <w:rsid w:val="004B7E72"/>
    <w:rsid w:val="004C04DA"/>
    <w:rsid w:val="004C05D6"/>
    <w:rsid w:val="004C12AE"/>
    <w:rsid w:val="004C29F9"/>
    <w:rsid w:val="004C2EEC"/>
    <w:rsid w:val="004C321C"/>
    <w:rsid w:val="004C338D"/>
    <w:rsid w:val="004C4C20"/>
    <w:rsid w:val="004C51E7"/>
    <w:rsid w:val="004C5977"/>
    <w:rsid w:val="004C65CF"/>
    <w:rsid w:val="004C6BDB"/>
    <w:rsid w:val="004C7048"/>
    <w:rsid w:val="004D021A"/>
    <w:rsid w:val="004D1128"/>
    <w:rsid w:val="004D1155"/>
    <w:rsid w:val="004D15C4"/>
    <w:rsid w:val="004D1923"/>
    <w:rsid w:val="004D1F0C"/>
    <w:rsid w:val="004D317E"/>
    <w:rsid w:val="004D3EA0"/>
    <w:rsid w:val="004D4214"/>
    <w:rsid w:val="004D45ED"/>
    <w:rsid w:val="004D47C9"/>
    <w:rsid w:val="004D50D7"/>
    <w:rsid w:val="004D5451"/>
    <w:rsid w:val="004D5CCF"/>
    <w:rsid w:val="004D5E34"/>
    <w:rsid w:val="004D6A4A"/>
    <w:rsid w:val="004D6D41"/>
    <w:rsid w:val="004D7385"/>
    <w:rsid w:val="004D7623"/>
    <w:rsid w:val="004D7CE3"/>
    <w:rsid w:val="004D7FC7"/>
    <w:rsid w:val="004E0A17"/>
    <w:rsid w:val="004E1DFF"/>
    <w:rsid w:val="004E2586"/>
    <w:rsid w:val="004E2828"/>
    <w:rsid w:val="004E361A"/>
    <w:rsid w:val="004E36F1"/>
    <w:rsid w:val="004E48E0"/>
    <w:rsid w:val="004E4B10"/>
    <w:rsid w:val="004E5B94"/>
    <w:rsid w:val="004E5C86"/>
    <w:rsid w:val="004E647C"/>
    <w:rsid w:val="004E6A51"/>
    <w:rsid w:val="004E6AB0"/>
    <w:rsid w:val="004E7363"/>
    <w:rsid w:val="004E7A65"/>
    <w:rsid w:val="004F039B"/>
    <w:rsid w:val="004F0D68"/>
    <w:rsid w:val="004F10CB"/>
    <w:rsid w:val="004F26E3"/>
    <w:rsid w:val="004F3310"/>
    <w:rsid w:val="004F3D93"/>
    <w:rsid w:val="004F42EA"/>
    <w:rsid w:val="004F7124"/>
    <w:rsid w:val="004F7238"/>
    <w:rsid w:val="004F79BB"/>
    <w:rsid w:val="004F7B34"/>
    <w:rsid w:val="004F7CC5"/>
    <w:rsid w:val="00500100"/>
    <w:rsid w:val="00500315"/>
    <w:rsid w:val="0050135A"/>
    <w:rsid w:val="005014C4"/>
    <w:rsid w:val="00501643"/>
    <w:rsid w:val="005016BA"/>
    <w:rsid w:val="00501E30"/>
    <w:rsid w:val="00502674"/>
    <w:rsid w:val="00502743"/>
    <w:rsid w:val="00502CF7"/>
    <w:rsid w:val="00502F82"/>
    <w:rsid w:val="00504D46"/>
    <w:rsid w:val="00504EC8"/>
    <w:rsid w:val="0050524B"/>
    <w:rsid w:val="0050529A"/>
    <w:rsid w:val="00505A4C"/>
    <w:rsid w:val="005060F4"/>
    <w:rsid w:val="0050625F"/>
    <w:rsid w:val="00506EC6"/>
    <w:rsid w:val="00507513"/>
    <w:rsid w:val="005078D4"/>
    <w:rsid w:val="00507F62"/>
    <w:rsid w:val="005106BB"/>
    <w:rsid w:val="00512408"/>
    <w:rsid w:val="00512E29"/>
    <w:rsid w:val="00513F54"/>
    <w:rsid w:val="00514765"/>
    <w:rsid w:val="00514928"/>
    <w:rsid w:val="00515031"/>
    <w:rsid w:val="005150F0"/>
    <w:rsid w:val="00515E11"/>
    <w:rsid w:val="00515F51"/>
    <w:rsid w:val="00516C4B"/>
    <w:rsid w:val="005202DF"/>
    <w:rsid w:val="0052134B"/>
    <w:rsid w:val="00522091"/>
    <w:rsid w:val="00522DCF"/>
    <w:rsid w:val="00523100"/>
    <w:rsid w:val="0052352F"/>
    <w:rsid w:val="00523794"/>
    <w:rsid w:val="00524F8A"/>
    <w:rsid w:val="00524FAB"/>
    <w:rsid w:val="005250D6"/>
    <w:rsid w:val="00525677"/>
    <w:rsid w:val="00525CBD"/>
    <w:rsid w:val="00525E2C"/>
    <w:rsid w:val="00526172"/>
    <w:rsid w:val="00526613"/>
    <w:rsid w:val="0053062A"/>
    <w:rsid w:val="00530CDE"/>
    <w:rsid w:val="005312F2"/>
    <w:rsid w:val="00531658"/>
    <w:rsid w:val="005318ED"/>
    <w:rsid w:val="00532911"/>
    <w:rsid w:val="00533C41"/>
    <w:rsid w:val="00533D88"/>
    <w:rsid w:val="0053526B"/>
    <w:rsid w:val="00535898"/>
    <w:rsid w:val="005363AD"/>
    <w:rsid w:val="00536401"/>
    <w:rsid w:val="00536C44"/>
    <w:rsid w:val="00536DFD"/>
    <w:rsid w:val="00536FE3"/>
    <w:rsid w:val="005370D0"/>
    <w:rsid w:val="00537395"/>
    <w:rsid w:val="00537A83"/>
    <w:rsid w:val="00537D0D"/>
    <w:rsid w:val="00540386"/>
    <w:rsid w:val="005405ED"/>
    <w:rsid w:val="00540E23"/>
    <w:rsid w:val="005435BE"/>
    <w:rsid w:val="0054426A"/>
    <w:rsid w:val="005447EE"/>
    <w:rsid w:val="0054498D"/>
    <w:rsid w:val="00544A32"/>
    <w:rsid w:val="00545BC0"/>
    <w:rsid w:val="00545CE7"/>
    <w:rsid w:val="00545F5C"/>
    <w:rsid w:val="005461E1"/>
    <w:rsid w:val="0054654B"/>
    <w:rsid w:val="00547375"/>
    <w:rsid w:val="005475E3"/>
    <w:rsid w:val="005479B7"/>
    <w:rsid w:val="00547F30"/>
    <w:rsid w:val="00550ED3"/>
    <w:rsid w:val="005514E2"/>
    <w:rsid w:val="0055177F"/>
    <w:rsid w:val="00553673"/>
    <w:rsid w:val="00555206"/>
    <w:rsid w:val="005554BC"/>
    <w:rsid w:val="00555EBB"/>
    <w:rsid w:val="005577EF"/>
    <w:rsid w:val="005600F9"/>
    <w:rsid w:val="0056012C"/>
    <w:rsid w:val="00560132"/>
    <w:rsid w:val="0056039B"/>
    <w:rsid w:val="005606D7"/>
    <w:rsid w:val="00560B50"/>
    <w:rsid w:val="00561C39"/>
    <w:rsid w:val="00561CEC"/>
    <w:rsid w:val="0056244A"/>
    <w:rsid w:val="00562D59"/>
    <w:rsid w:val="00563652"/>
    <w:rsid w:val="00563734"/>
    <w:rsid w:val="005648AB"/>
    <w:rsid w:val="00564B24"/>
    <w:rsid w:val="00564B2E"/>
    <w:rsid w:val="00564F21"/>
    <w:rsid w:val="00565491"/>
    <w:rsid w:val="005661B9"/>
    <w:rsid w:val="00566239"/>
    <w:rsid w:val="00566F61"/>
    <w:rsid w:val="00567260"/>
    <w:rsid w:val="005674D8"/>
    <w:rsid w:val="00570149"/>
    <w:rsid w:val="005701CA"/>
    <w:rsid w:val="00574C37"/>
    <w:rsid w:val="0057502A"/>
    <w:rsid w:val="00575349"/>
    <w:rsid w:val="00575A1F"/>
    <w:rsid w:val="00576E3E"/>
    <w:rsid w:val="005770D2"/>
    <w:rsid w:val="00577FD6"/>
    <w:rsid w:val="00580D17"/>
    <w:rsid w:val="005812E0"/>
    <w:rsid w:val="0058160F"/>
    <w:rsid w:val="00582FE8"/>
    <w:rsid w:val="005831A5"/>
    <w:rsid w:val="0058351D"/>
    <w:rsid w:val="00583623"/>
    <w:rsid w:val="005836B4"/>
    <w:rsid w:val="0058425C"/>
    <w:rsid w:val="005843E9"/>
    <w:rsid w:val="00584F2D"/>
    <w:rsid w:val="0058531C"/>
    <w:rsid w:val="005857DA"/>
    <w:rsid w:val="005857E0"/>
    <w:rsid w:val="00586279"/>
    <w:rsid w:val="0058797B"/>
    <w:rsid w:val="00590CF3"/>
    <w:rsid w:val="00590D4B"/>
    <w:rsid w:val="00591300"/>
    <w:rsid w:val="0059155B"/>
    <w:rsid w:val="005939A3"/>
    <w:rsid w:val="005945A4"/>
    <w:rsid w:val="005954FA"/>
    <w:rsid w:val="0059556E"/>
    <w:rsid w:val="0059575D"/>
    <w:rsid w:val="005962F2"/>
    <w:rsid w:val="00597188"/>
    <w:rsid w:val="00597C08"/>
    <w:rsid w:val="00597C71"/>
    <w:rsid w:val="005A0159"/>
    <w:rsid w:val="005A0470"/>
    <w:rsid w:val="005A0F30"/>
    <w:rsid w:val="005A13C3"/>
    <w:rsid w:val="005A156C"/>
    <w:rsid w:val="005A2C79"/>
    <w:rsid w:val="005A2C95"/>
    <w:rsid w:val="005A34FE"/>
    <w:rsid w:val="005A4489"/>
    <w:rsid w:val="005A4824"/>
    <w:rsid w:val="005A4A67"/>
    <w:rsid w:val="005A7600"/>
    <w:rsid w:val="005A7990"/>
    <w:rsid w:val="005A7BB3"/>
    <w:rsid w:val="005A7D7B"/>
    <w:rsid w:val="005A7F25"/>
    <w:rsid w:val="005B0016"/>
    <w:rsid w:val="005B0023"/>
    <w:rsid w:val="005B083D"/>
    <w:rsid w:val="005B0897"/>
    <w:rsid w:val="005B08EA"/>
    <w:rsid w:val="005B0C61"/>
    <w:rsid w:val="005B0CCD"/>
    <w:rsid w:val="005B1077"/>
    <w:rsid w:val="005B265A"/>
    <w:rsid w:val="005B27DE"/>
    <w:rsid w:val="005B2A79"/>
    <w:rsid w:val="005B2B1D"/>
    <w:rsid w:val="005B33CB"/>
    <w:rsid w:val="005B35BE"/>
    <w:rsid w:val="005B36F9"/>
    <w:rsid w:val="005B4B5E"/>
    <w:rsid w:val="005B5EB5"/>
    <w:rsid w:val="005B78EE"/>
    <w:rsid w:val="005B7955"/>
    <w:rsid w:val="005B7968"/>
    <w:rsid w:val="005C038E"/>
    <w:rsid w:val="005C05E7"/>
    <w:rsid w:val="005C0C70"/>
    <w:rsid w:val="005C0D72"/>
    <w:rsid w:val="005C1E2A"/>
    <w:rsid w:val="005C2139"/>
    <w:rsid w:val="005C2456"/>
    <w:rsid w:val="005C2AF9"/>
    <w:rsid w:val="005C2EA8"/>
    <w:rsid w:val="005C3AC1"/>
    <w:rsid w:val="005C3D3E"/>
    <w:rsid w:val="005C4650"/>
    <w:rsid w:val="005C4B4F"/>
    <w:rsid w:val="005C5B1A"/>
    <w:rsid w:val="005C5DB7"/>
    <w:rsid w:val="005C616B"/>
    <w:rsid w:val="005C63EC"/>
    <w:rsid w:val="005C687D"/>
    <w:rsid w:val="005C6D2D"/>
    <w:rsid w:val="005C6E03"/>
    <w:rsid w:val="005C741B"/>
    <w:rsid w:val="005D0FBC"/>
    <w:rsid w:val="005D1042"/>
    <w:rsid w:val="005D1171"/>
    <w:rsid w:val="005D1252"/>
    <w:rsid w:val="005D1811"/>
    <w:rsid w:val="005D200F"/>
    <w:rsid w:val="005D268B"/>
    <w:rsid w:val="005D3A88"/>
    <w:rsid w:val="005D42A4"/>
    <w:rsid w:val="005D46D5"/>
    <w:rsid w:val="005D5FAF"/>
    <w:rsid w:val="005D61A6"/>
    <w:rsid w:val="005D6594"/>
    <w:rsid w:val="005D676C"/>
    <w:rsid w:val="005D7C9B"/>
    <w:rsid w:val="005E0B04"/>
    <w:rsid w:val="005E1FF9"/>
    <w:rsid w:val="005E2651"/>
    <w:rsid w:val="005E29F7"/>
    <w:rsid w:val="005E3815"/>
    <w:rsid w:val="005E3AF7"/>
    <w:rsid w:val="005E3C1B"/>
    <w:rsid w:val="005E4522"/>
    <w:rsid w:val="005E4581"/>
    <w:rsid w:val="005E4C95"/>
    <w:rsid w:val="005E4F8A"/>
    <w:rsid w:val="005E5080"/>
    <w:rsid w:val="005E5201"/>
    <w:rsid w:val="005E65B8"/>
    <w:rsid w:val="005E66B1"/>
    <w:rsid w:val="005E676D"/>
    <w:rsid w:val="005E6A02"/>
    <w:rsid w:val="005E6E71"/>
    <w:rsid w:val="005E6E8C"/>
    <w:rsid w:val="005E72FC"/>
    <w:rsid w:val="005E75EF"/>
    <w:rsid w:val="005E77D6"/>
    <w:rsid w:val="005F025C"/>
    <w:rsid w:val="005F0618"/>
    <w:rsid w:val="005F0A9E"/>
    <w:rsid w:val="005F0AA6"/>
    <w:rsid w:val="005F0C02"/>
    <w:rsid w:val="005F0ED0"/>
    <w:rsid w:val="005F0F25"/>
    <w:rsid w:val="005F0FAA"/>
    <w:rsid w:val="005F0FBC"/>
    <w:rsid w:val="005F185D"/>
    <w:rsid w:val="005F1E25"/>
    <w:rsid w:val="005F22DA"/>
    <w:rsid w:val="005F2379"/>
    <w:rsid w:val="005F320B"/>
    <w:rsid w:val="005F3955"/>
    <w:rsid w:val="005F3D55"/>
    <w:rsid w:val="005F4323"/>
    <w:rsid w:val="005F4A3A"/>
    <w:rsid w:val="005F5BAC"/>
    <w:rsid w:val="005F5C68"/>
    <w:rsid w:val="005F5E5B"/>
    <w:rsid w:val="005F6234"/>
    <w:rsid w:val="005F7268"/>
    <w:rsid w:val="006007A0"/>
    <w:rsid w:val="00600E31"/>
    <w:rsid w:val="00602665"/>
    <w:rsid w:val="006031BB"/>
    <w:rsid w:val="006041D9"/>
    <w:rsid w:val="006049AB"/>
    <w:rsid w:val="00604C63"/>
    <w:rsid w:val="006051D9"/>
    <w:rsid w:val="0060527B"/>
    <w:rsid w:val="00605E1F"/>
    <w:rsid w:val="00605FEF"/>
    <w:rsid w:val="00606A0F"/>
    <w:rsid w:val="00606B4E"/>
    <w:rsid w:val="00607983"/>
    <w:rsid w:val="00607D53"/>
    <w:rsid w:val="00610396"/>
    <w:rsid w:val="00610611"/>
    <w:rsid w:val="00610D2B"/>
    <w:rsid w:val="00610F9E"/>
    <w:rsid w:val="0061285E"/>
    <w:rsid w:val="00612A1C"/>
    <w:rsid w:val="006136F4"/>
    <w:rsid w:val="00613F1C"/>
    <w:rsid w:val="00614061"/>
    <w:rsid w:val="00614ACF"/>
    <w:rsid w:val="00614D30"/>
    <w:rsid w:val="00614DD3"/>
    <w:rsid w:val="00615291"/>
    <w:rsid w:val="00615805"/>
    <w:rsid w:val="006158C1"/>
    <w:rsid w:val="00616000"/>
    <w:rsid w:val="006160CF"/>
    <w:rsid w:val="006163CD"/>
    <w:rsid w:val="00616B11"/>
    <w:rsid w:val="00617FA8"/>
    <w:rsid w:val="00621D97"/>
    <w:rsid w:val="00621F81"/>
    <w:rsid w:val="00623045"/>
    <w:rsid w:val="00623633"/>
    <w:rsid w:val="00624558"/>
    <w:rsid w:val="00624F7E"/>
    <w:rsid w:val="006262A8"/>
    <w:rsid w:val="006270DE"/>
    <w:rsid w:val="006279FF"/>
    <w:rsid w:val="00627BC7"/>
    <w:rsid w:val="00627C5A"/>
    <w:rsid w:val="006300F5"/>
    <w:rsid w:val="00631456"/>
    <w:rsid w:val="00632D40"/>
    <w:rsid w:val="00633749"/>
    <w:rsid w:val="006337F1"/>
    <w:rsid w:val="0063380B"/>
    <w:rsid w:val="00633EEB"/>
    <w:rsid w:val="00634364"/>
    <w:rsid w:val="00634E07"/>
    <w:rsid w:val="00634E5A"/>
    <w:rsid w:val="00635474"/>
    <w:rsid w:val="006359BF"/>
    <w:rsid w:val="00635B8C"/>
    <w:rsid w:val="00635F57"/>
    <w:rsid w:val="00636219"/>
    <w:rsid w:val="00636906"/>
    <w:rsid w:val="006376ED"/>
    <w:rsid w:val="0063797D"/>
    <w:rsid w:val="00637D3F"/>
    <w:rsid w:val="00637E93"/>
    <w:rsid w:val="00640A73"/>
    <w:rsid w:val="00641331"/>
    <w:rsid w:val="00641665"/>
    <w:rsid w:val="00642040"/>
    <w:rsid w:val="00642C04"/>
    <w:rsid w:val="00642C58"/>
    <w:rsid w:val="00642FAD"/>
    <w:rsid w:val="0064323E"/>
    <w:rsid w:val="006432CD"/>
    <w:rsid w:val="00643C5D"/>
    <w:rsid w:val="00644C9C"/>
    <w:rsid w:val="00644DF4"/>
    <w:rsid w:val="00645C6F"/>
    <w:rsid w:val="0064782E"/>
    <w:rsid w:val="00650096"/>
    <w:rsid w:val="0065066B"/>
    <w:rsid w:val="0065093A"/>
    <w:rsid w:val="00650D31"/>
    <w:rsid w:val="0065133F"/>
    <w:rsid w:val="00651716"/>
    <w:rsid w:val="00651FAB"/>
    <w:rsid w:val="00652EF5"/>
    <w:rsid w:val="006540C9"/>
    <w:rsid w:val="00654894"/>
    <w:rsid w:val="006549C2"/>
    <w:rsid w:val="00654E32"/>
    <w:rsid w:val="006551C8"/>
    <w:rsid w:val="006552AF"/>
    <w:rsid w:val="006554B7"/>
    <w:rsid w:val="006555A3"/>
    <w:rsid w:val="00655A75"/>
    <w:rsid w:val="00655EF8"/>
    <w:rsid w:val="00655F87"/>
    <w:rsid w:val="006569BA"/>
    <w:rsid w:val="00656D24"/>
    <w:rsid w:val="006570B7"/>
    <w:rsid w:val="006575A4"/>
    <w:rsid w:val="00657AD5"/>
    <w:rsid w:val="006602DA"/>
    <w:rsid w:val="006610E5"/>
    <w:rsid w:val="00661271"/>
    <w:rsid w:val="006613C5"/>
    <w:rsid w:val="006622E9"/>
    <w:rsid w:val="00662CEF"/>
    <w:rsid w:val="00663000"/>
    <w:rsid w:val="00663DA7"/>
    <w:rsid w:val="00663E31"/>
    <w:rsid w:val="00663E94"/>
    <w:rsid w:val="006641CC"/>
    <w:rsid w:val="006645E3"/>
    <w:rsid w:val="00665A6A"/>
    <w:rsid w:val="00665D70"/>
    <w:rsid w:val="00666B73"/>
    <w:rsid w:val="00667610"/>
    <w:rsid w:val="00667A94"/>
    <w:rsid w:val="00670617"/>
    <w:rsid w:val="00670B76"/>
    <w:rsid w:val="00671BBC"/>
    <w:rsid w:val="00671EB0"/>
    <w:rsid w:val="00672082"/>
    <w:rsid w:val="006732C7"/>
    <w:rsid w:val="00673CD5"/>
    <w:rsid w:val="006751FC"/>
    <w:rsid w:val="00675895"/>
    <w:rsid w:val="0067601C"/>
    <w:rsid w:val="006761D8"/>
    <w:rsid w:val="006764DC"/>
    <w:rsid w:val="00676584"/>
    <w:rsid w:val="00676C3A"/>
    <w:rsid w:val="006776ED"/>
    <w:rsid w:val="00677A1C"/>
    <w:rsid w:val="00677D20"/>
    <w:rsid w:val="0068006E"/>
    <w:rsid w:val="006809CB"/>
    <w:rsid w:val="00680C7E"/>
    <w:rsid w:val="006826E6"/>
    <w:rsid w:val="00682A19"/>
    <w:rsid w:val="00682F41"/>
    <w:rsid w:val="006830C1"/>
    <w:rsid w:val="006835E8"/>
    <w:rsid w:val="00684056"/>
    <w:rsid w:val="006843F9"/>
    <w:rsid w:val="00684BD3"/>
    <w:rsid w:val="00684CCA"/>
    <w:rsid w:val="006862B8"/>
    <w:rsid w:val="00686568"/>
    <w:rsid w:val="00687E40"/>
    <w:rsid w:val="00690B0F"/>
    <w:rsid w:val="00691EEB"/>
    <w:rsid w:val="00692297"/>
    <w:rsid w:val="0069247E"/>
    <w:rsid w:val="00693982"/>
    <w:rsid w:val="00693B7A"/>
    <w:rsid w:val="00694303"/>
    <w:rsid w:val="006943B3"/>
    <w:rsid w:val="006948D6"/>
    <w:rsid w:val="00694A02"/>
    <w:rsid w:val="00695418"/>
    <w:rsid w:val="00696EE6"/>
    <w:rsid w:val="00697172"/>
    <w:rsid w:val="006A0378"/>
    <w:rsid w:val="006A0EB6"/>
    <w:rsid w:val="006A0F7A"/>
    <w:rsid w:val="006A20A0"/>
    <w:rsid w:val="006A33DE"/>
    <w:rsid w:val="006A3840"/>
    <w:rsid w:val="006A4417"/>
    <w:rsid w:val="006A514E"/>
    <w:rsid w:val="006A5EC2"/>
    <w:rsid w:val="006A5FAF"/>
    <w:rsid w:val="006A7394"/>
    <w:rsid w:val="006A7A64"/>
    <w:rsid w:val="006A7FDE"/>
    <w:rsid w:val="006B02CB"/>
    <w:rsid w:val="006B068D"/>
    <w:rsid w:val="006B0F62"/>
    <w:rsid w:val="006B0FC0"/>
    <w:rsid w:val="006B14BB"/>
    <w:rsid w:val="006B2E67"/>
    <w:rsid w:val="006B32D3"/>
    <w:rsid w:val="006B3AAB"/>
    <w:rsid w:val="006B3B25"/>
    <w:rsid w:val="006B477C"/>
    <w:rsid w:val="006B5074"/>
    <w:rsid w:val="006B5D28"/>
    <w:rsid w:val="006B5E6B"/>
    <w:rsid w:val="006B68D9"/>
    <w:rsid w:val="006B6E59"/>
    <w:rsid w:val="006B7697"/>
    <w:rsid w:val="006B7994"/>
    <w:rsid w:val="006C04F6"/>
    <w:rsid w:val="006C051A"/>
    <w:rsid w:val="006C06C8"/>
    <w:rsid w:val="006C1381"/>
    <w:rsid w:val="006C152C"/>
    <w:rsid w:val="006C1F2D"/>
    <w:rsid w:val="006C321C"/>
    <w:rsid w:val="006C47C3"/>
    <w:rsid w:val="006C49A3"/>
    <w:rsid w:val="006C4E80"/>
    <w:rsid w:val="006C5444"/>
    <w:rsid w:val="006C654A"/>
    <w:rsid w:val="006C675A"/>
    <w:rsid w:val="006C70E7"/>
    <w:rsid w:val="006C7F2B"/>
    <w:rsid w:val="006D0E13"/>
    <w:rsid w:val="006D0FCB"/>
    <w:rsid w:val="006D27BA"/>
    <w:rsid w:val="006D318D"/>
    <w:rsid w:val="006D3806"/>
    <w:rsid w:val="006D3E3C"/>
    <w:rsid w:val="006D4083"/>
    <w:rsid w:val="006D435A"/>
    <w:rsid w:val="006D4C22"/>
    <w:rsid w:val="006D5781"/>
    <w:rsid w:val="006D62C4"/>
    <w:rsid w:val="006D6D9E"/>
    <w:rsid w:val="006D704D"/>
    <w:rsid w:val="006D7263"/>
    <w:rsid w:val="006D72D6"/>
    <w:rsid w:val="006D72E7"/>
    <w:rsid w:val="006E0CD7"/>
    <w:rsid w:val="006E1597"/>
    <w:rsid w:val="006E3510"/>
    <w:rsid w:val="006E3C57"/>
    <w:rsid w:val="006E4678"/>
    <w:rsid w:val="006E4C40"/>
    <w:rsid w:val="006E55B8"/>
    <w:rsid w:val="006E5922"/>
    <w:rsid w:val="006E657D"/>
    <w:rsid w:val="006E6CBC"/>
    <w:rsid w:val="006E6F98"/>
    <w:rsid w:val="006E7F30"/>
    <w:rsid w:val="006F0A2E"/>
    <w:rsid w:val="006F1011"/>
    <w:rsid w:val="006F10E4"/>
    <w:rsid w:val="006F36C6"/>
    <w:rsid w:val="006F37B1"/>
    <w:rsid w:val="006F3F8F"/>
    <w:rsid w:val="006F40A1"/>
    <w:rsid w:val="006F4A61"/>
    <w:rsid w:val="006F4D51"/>
    <w:rsid w:val="006F50AF"/>
    <w:rsid w:val="006F5CB8"/>
    <w:rsid w:val="006F5FBB"/>
    <w:rsid w:val="006F6416"/>
    <w:rsid w:val="006F6553"/>
    <w:rsid w:val="006F6C3C"/>
    <w:rsid w:val="006F7E03"/>
    <w:rsid w:val="006F7ECF"/>
    <w:rsid w:val="007001E9"/>
    <w:rsid w:val="00700273"/>
    <w:rsid w:val="00700B5E"/>
    <w:rsid w:val="007014FF"/>
    <w:rsid w:val="00701D00"/>
    <w:rsid w:val="00704004"/>
    <w:rsid w:val="00704477"/>
    <w:rsid w:val="00704FB2"/>
    <w:rsid w:val="00705989"/>
    <w:rsid w:val="00706DB4"/>
    <w:rsid w:val="00710AE8"/>
    <w:rsid w:val="00710D28"/>
    <w:rsid w:val="0071123F"/>
    <w:rsid w:val="00711355"/>
    <w:rsid w:val="007119D3"/>
    <w:rsid w:val="00712F80"/>
    <w:rsid w:val="00713635"/>
    <w:rsid w:val="00713B6C"/>
    <w:rsid w:val="00713DB7"/>
    <w:rsid w:val="007150CD"/>
    <w:rsid w:val="00715AE9"/>
    <w:rsid w:val="00716890"/>
    <w:rsid w:val="00716B63"/>
    <w:rsid w:val="00717369"/>
    <w:rsid w:val="00720775"/>
    <w:rsid w:val="00721BD9"/>
    <w:rsid w:val="007223FC"/>
    <w:rsid w:val="007227D6"/>
    <w:rsid w:val="007229F6"/>
    <w:rsid w:val="0072389C"/>
    <w:rsid w:val="007238E9"/>
    <w:rsid w:val="00723C8F"/>
    <w:rsid w:val="0072427F"/>
    <w:rsid w:val="00724AC7"/>
    <w:rsid w:val="00726128"/>
    <w:rsid w:val="0072622F"/>
    <w:rsid w:val="00726486"/>
    <w:rsid w:val="0072652F"/>
    <w:rsid w:val="00726896"/>
    <w:rsid w:val="00726B0D"/>
    <w:rsid w:val="0072756C"/>
    <w:rsid w:val="00730458"/>
    <w:rsid w:val="00730E37"/>
    <w:rsid w:val="007310D9"/>
    <w:rsid w:val="00732359"/>
    <w:rsid w:val="0073261A"/>
    <w:rsid w:val="00733735"/>
    <w:rsid w:val="007343C9"/>
    <w:rsid w:val="00734659"/>
    <w:rsid w:val="00734718"/>
    <w:rsid w:val="00734C32"/>
    <w:rsid w:val="00735E4E"/>
    <w:rsid w:val="00735F36"/>
    <w:rsid w:val="0073766E"/>
    <w:rsid w:val="007378CE"/>
    <w:rsid w:val="00740B17"/>
    <w:rsid w:val="007418D6"/>
    <w:rsid w:val="007433D6"/>
    <w:rsid w:val="00743653"/>
    <w:rsid w:val="00743BE2"/>
    <w:rsid w:val="00743F5F"/>
    <w:rsid w:val="007459F9"/>
    <w:rsid w:val="0074780B"/>
    <w:rsid w:val="00747C82"/>
    <w:rsid w:val="00747D9E"/>
    <w:rsid w:val="00750FF4"/>
    <w:rsid w:val="00751457"/>
    <w:rsid w:val="00751493"/>
    <w:rsid w:val="007516F5"/>
    <w:rsid w:val="00752E32"/>
    <w:rsid w:val="0075347F"/>
    <w:rsid w:val="00753619"/>
    <w:rsid w:val="00753DB7"/>
    <w:rsid w:val="007548A1"/>
    <w:rsid w:val="00754CD2"/>
    <w:rsid w:val="00755BCF"/>
    <w:rsid w:val="00755D57"/>
    <w:rsid w:val="00756546"/>
    <w:rsid w:val="00757425"/>
    <w:rsid w:val="00757E44"/>
    <w:rsid w:val="007601EB"/>
    <w:rsid w:val="0076085E"/>
    <w:rsid w:val="00760ACC"/>
    <w:rsid w:val="007614E1"/>
    <w:rsid w:val="00761E50"/>
    <w:rsid w:val="00762E91"/>
    <w:rsid w:val="0076343E"/>
    <w:rsid w:val="00763E6A"/>
    <w:rsid w:val="00764539"/>
    <w:rsid w:val="00764A2C"/>
    <w:rsid w:val="00764D9A"/>
    <w:rsid w:val="00764DD4"/>
    <w:rsid w:val="007660DA"/>
    <w:rsid w:val="0076614C"/>
    <w:rsid w:val="00766183"/>
    <w:rsid w:val="00766603"/>
    <w:rsid w:val="007670C5"/>
    <w:rsid w:val="00767491"/>
    <w:rsid w:val="00767B60"/>
    <w:rsid w:val="00767B61"/>
    <w:rsid w:val="00767F7A"/>
    <w:rsid w:val="007702AE"/>
    <w:rsid w:val="0077051C"/>
    <w:rsid w:val="00771EC4"/>
    <w:rsid w:val="00774037"/>
    <w:rsid w:val="0077410B"/>
    <w:rsid w:val="00774395"/>
    <w:rsid w:val="00774CD6"/>
    <w:rsid w:val="007752B8"/>
    <w:rsid w:val="00776085"/>
    <w:rsid w:val="007767A0"/>
    <w:rsid w:val="0077684A"/>
    <w:rsid w:val="00776907"/>
    <w:rsid w:val="00776A94"/>
    <w:rsid w:val="00776DD1"/>
    <w:rsid w:val="00777758"/>
    <w:rsid w:val="00780182"/>
    <w:rsid w:val="0078035D"/>
    <w:rsid w:val="0078141F"/>
    <w:rsid w:val="007816C1"/>
    <w:rsid w:val="0078278F"/>
    <w:rsid w:val="00782DBD"/>
    <w:rsid w:val="00783320"/>
    <w:rsid w:val="00783AAD"/>
    <w:rsid w:val="007840AF"/>
    <w:rsid w:val="00784BFD"/>
    <w:rsid w:val="0078503E"/>
    <w:rsid w:val="00785C21"/>
    <w:rsid w:val="00785D45"/>
    <w:rsid w:val="0078733A"/>
    <w:rsid w:val="00787791"/>
    <w:rsid w:val="0078795A"/>
    <w:rsid w:val="00787CDB"/>
    <w:rsid w:val="00790323"/>
    <w:rsid w:val="007903BD"/>
    <w:rsid w:val="00791328"/>
    <w:rsid w:val="00791C3F"/>
    <w:rsid w:val="00792E3A"/>
    <w:rsid w:val="007930BF"/>
    <w:rsid w:val="0079413F"/>
    <w:rsid w:val="00794527"/>
    <w:rsid w:val="0079473A"/>
    <w:rsid w:val="007947C9"/>
    <w:rsid w:val="00796767"/>
    <w:rsid w:val="00796C3A"/>
    <w:rsid w:val="00797066"/>
    <w:rsid w:val="00797824"/>
    <w:rsid w:val="007A016B"/>
    <w:rsid w:val="007A068D"/>
    <w:rsid w:val="007A0FCA"/>
    <w:rsid w:val="007A17B1"/>
    <w:rsid w:val="007A17E7"/>
    <w:rsid w:val="007A236F"/>
    <w:rsid w:val="007A2802"/>
    <w:rsid w:val="007A2C24"/>
    <w:rsid w:val="007A2E8C"/>
    <w:rsid w:val="007A4E67"/>
    <w:rsid w:val="007A688C"/>
    <w:rsid w:val="007A70A3"/>
    <w:rsid w:val="007A70D6"/>
    <w:rsid w:val="007A7764"/>
    <w:rsid w:val="007B0E47"/>
    <w:rsid w:val="007B1555"/>
    <w:rsid w:val="007B1608"/>
    <w:rsid w:val="007B1A17"/>
    <w:rsid w:val="007B31DC"/>
    <w:rsid w:val="007B41C6"/>
    <w:rsid w:val="007B4671"/>
    <w:rsid w:val="007B53A6"/>
    <w:rsid w:val="007B5D3A"/>
    <w:rsid w:val="007B656B"/>
    <w:rsid w:val="007B73AB"/>
    <w:rsid w:val="007B7735"/>
    <w:rsid w:val="007B7E52"/>
    <w:rsid w:val="007C013D"/>
    <w:rsid w:val="007C1E41"/>
    <w:rsid w:val="007C227F"/>
    <w:rsid w:val="007C2B54"/>
    <w:rsid w:val="007C3292"/>
    <w:rsid w:val="007C3939"/>
    <w:rsid w:val="007C40E7"/>
    <w:rsid w:val="007C4BF3"/>
    <w:rsid w:val="007C7179"/>
    <w:rsid w:val="007C763E"/>
    <w:rsid w:val="007D02CE"/>
    <w:rsid w:val="007D05A6"/>
    <w:rsid w:val="007D26E0"/>
    <w:rsid w:val="007D3019"/>
    <w:rsid w:val="007D36B5"/>
    <w:rsid w:val="007D3FC8"/>
    <w:rsid w:val="007D47D4"/>
    <w:rsid w:val="007D4BEE"/>
    <w:rsid w:val="007D5396"/>
    <w:rsid w:val="007D57EC"/>
    <w:rsid w:val="007D5B30"/>
    <w:rsid w:val="007D5BCF"/>
    <w:rsid w:val="007D6112"/>
    <w:rsid w:val="007D6886"/>
    <w:rsid w:val="007D6A67"/>
    <w:rsid w:val="007D7377"/>
    <w:rsid w:val="007D75F9"/>
    <w:rsid w:val="007D7A78"/>
    <w:rsid w:val="007E0059"/>
    <w:rsid w:val="007E006A"/>
    <w:rsid w:val="007E0152"/>
    <w:rsid w:val="007E0215"/>
    <w:rsid w:val="007E155B"/>
    <w:rsid w:val="007E17BF"/>
    <w:rsid w:val="007E1C06"/>
    <w:rsid w:val="007E2A9E"/>
    <w:rsid w:val="007E2E74"/>
    <w:rsid w:val="007E35AA"/>
    <w:rsid w:val="007E3E5E"/>
    <w:rsid w:val="007E462F"/>
    <w:rsid w:val="007E5C19"/>
    <w:rsid w:val="007E6191"/>
    <w:rsid w:val="007E6C94"/>
    <w:rsid w:val="007E7C1F"/>
    <w:rsid w:val="007F0C5D"/>
    <w:rsid w:val="007F1DC9"/>
    <w:rsid w:val="007F2C37"/>
    <w:rsid w:val="007F3006"/>
    <w:rsid w:val="007F3E0B"/>
    <w:rsid w:val="007F465A"/>
    <w:rsid w:val="007F5FF4"/>
    <w:rsid w:val="007F69AB"/>
    <w:rsid w:val="007F718C"/>
    <w:rsid w:val="008002EB"/>
    <w:rsid w:val="00800C09"/>
    <w:rsid w:val="008015E0"/>
    <w:rsid w:val="00801C97"/>
    <w:rsid w:val="0080206D"/>
    <w:rsid w:val="00802408"/>
    <w:rsid w:val="00802E6D"/>
    <w:rsid w:val="008039B6"/>
    <w:rsid w:val="00803E83"/>
    <w:rsid w:val="00804090"/>
    <w:rsid w:val="00804AD4"/>
    <w:rsid w:val="00804E73"/>
    <w:rsid w:val="00804F1A"/>
    <w:rsid w:val="0080577D"/>
    <w:rsid w:val="00805C39"/>
    <w:rsid w:val="008060D0"/>
    <w:rsid w:val="008064E7"/>
    <w:rsid w:val="00806705"/>
    <w:rsid w:val="00807310"/>
    <w:rsid w:val="00810D4F"/>
    <w:rsid w:val="00812E1E"/>
    <w:rsid w:val="008138FB"/>
    <w:rsid w:val="0081408A"/>
    <w:rsid w:val="00814444"/>
    <w:rsid w:val="00815FFB"/>
    <w:rsid w:val="00816448"/>
    <w:rsid w:val="00816AE5"/>
    <w:rsid w:val="00817D79"/>
    <w:rsid w:val="0082015A"/>
    <w:rsid w:val="00820AC6"/>
    <w:rsid w:val="00820DA5"/>
    <w:rsid w:val="00822C19"/>
    <w:rsid w:val="0082361D"/>
    <w:rsid w:val="008237D0"/>
    <w:rsid w:val="00823BFA"/>
    <w:rsid w:val="0082414B"/>
    <w:rsid w:val="0082421B"/>
    <w:rsid w:val="0082610F"/>
    <w:rsid w:val="00826115"/>
    <w:rsid w:val="00826397"/>
    <w:rsid w:val="00826B47"/>
    <w:rsid w:val="00827665"/>
    <w:rsid w:val="00827B67"/>
    <w:rsid w:val="00827E0C"/>
    <w:rsid w:val="00830B1D"/>
    <w:rsid w:val="00831753"/>
    <w:rsid w:val="00831D5B"/>
    <w:rsid w:val="00831E2A"/>
    <w:rsid w:val="0083233C"/>
    <w:rsid w:val="00832401"/>
    <w:rsid w:val="00832F8B"/>
    <w:rsid w:val="00834593"/>
    <w:rsid w:val="00834706"/>
    <w:rsid w:val="00834CCF"/>
    <w:rsid w:val="00836212"/>
    <w:rsid w:val="00836944"/>
    <w:rsid w:val="00836E2B"/>
    <w:rsid w:val="0083740B"/>
    <w:rsid w:val="00840195"/>
    <w:rsid w:val="00840915"/>
    <w:rsid w:val="008417E5"/>
    <w:rsid w:val="008424E1"/>
    <w:rsid w:val="00842FF0"/>
    <w:rsid w:val="008439D9"/>
    <w:rsid w:val="008442E0"/>
    <w:rsid w:val="008447D0"/>
    <w:rsid w:val="008448ED"/>
    <w:rsid w:val="00844A37"/>
    <w:rsid w:val="00844D8D"/>
    <w:rsid w:val="00846CAB"/>
    <w:rsid w:val="00847466"/>
    <w:rsid w:val="008501C8"/>
    <w:rsid w:val="008512D7"/>
    <w:rsid w:val="0085167E"/>
    <w:rsid w:val="00851D57"/>
    <w:rsid w:val="00851ECA"/>
    <w:rsid w:val="008521D3"/>
    <w:rsid w:val="00852838"/>
    <w:rsid w:val="00854332"/>
    <w:rsid w:val="008543F0"/>
    <w:rsid w:val="0085469A"/>
    <w:rsid w:val="00854B67"/>
    <w:rsid w:val="00854C1E"/>
    <w:rsid w:val="0085515E"/>
    <w:rsid w:val="008554FE"/>
    <w:rsid w:val="008556A5"/>
    <w:rsid w:val="00855769"/>
    <w:rsid w:val="00855878"/>
    <w:rsid w:val="0085613F"/>
    <w:rsid w:val="00856862"/>
    <w:rsid w:val="00856CB3"/>
    <w:rsid w:val="00856FFD"/>
    <w:rsid w:val="00857929"/>
    <w:rsid w:val="00857A19"/>
    <w:rsid w:val="00860EE1"/>
    <w:rsid w:val="00861FA6"/>
    <w:rsid w:val="00862066"/>
    <w:rsid w:val="0086312B"/>
    <w:rsid w:val="008641E7"/>
    <w:rsid w:val="008647FC"/>
    <w:rsid w:val="00864990"/>
    <w:rsid w:val="0086569E"/>
    <w:rsid w:val="00865999"/>
    <w:rsid w:val="00867A79"/>
    <w:rsid w:val="00867D37"/>
    <w:rsid w:val="00870E6F"/>
    <w:rsid w:val="00870EBF"/>
    <w:rsid w:val="00871407"/>
    <w:rsid w:val="00871AD5"/>
    <w:rsid w:val="00871D62"/>
    <w:rsid w:val="008729E4"/>
    <w:rsid w:val="0087300A"/>
    <w:rsid w:val="00873ACC"/>
    <w:rsid w:val="008748FB"/>
    <w:rsid w:val="00874B3A"/>
    <w:rsid w:val="00874CBE"/>
    <w:rsid w:val="00875071"/>
    <w:rsid w:val="00875484"/>
    <w:rsid w:val="0087578E"/>
    <w:rsid w:val="008765FF"/>
    <w:rsid w:val="00876737"/>
    <w:rsid w:val="008768C2"/>
    <w:rsid w:val="00880005"/>
    <w:rsid w:val="00880B5A"/>
    <w:rsid w:val="00880F91"/>
    <w:rsid w:val="0088174B"/>
    <w:rsid w:val="00881DA2"/>
    <w:rsid w:val="00882205"/>
    <w:rsid w:val="008832D9"/>
    <w:rsid w:val="00883AA5"/>
    <w:rsid w:val="00884A2C"/>
    <w:rsid w:val="008852F2"/>
    <w:rsid w:val="00885523"/>
    <w:rsid w:val="00885968"/>
    <w:rsid w:val="0088597B"/>
    <w:rsid w:val="00886533"/>
    <w:rsid w:val="00886848"/>
    <w:rsid w:val="008879CF"/>
    <w:rsid w:val="00891335"/>
    <w:rsid w:val="0089180C"/>
    <w:rsid w:val="00891F39"/>
    <w:rsid w:val="00893211"/>
    <w:rsid w:val="0089372D"/>
    <w:rsid w:val="008938A6"/>
    <w:rsid w:val="00894965"/>
    <w:rsid w:val="008954E4"/>
    <w:rsid w:val="00895A11"/>
    <w:rsid w:val="0089634A"/>
    <w:rsid w:val="0089635F"/>
    <w:rsid w:val="00896C55"/>
    <w:rsid w:val="00896C61"/>
    <w:rsid w:val="00897764"/>
    <w:rsid w:val="00897A87"/>
    <w:rsid w:val="008A02EE"/>
    <w:rsid w:val="008A0801"/>
    <w:rsid w:val="008A1544"/>
    <w:rsid w:val="008A2BCC"/>
    <w:rsid w:val="008A3D8D"/>
    <w:rsid w:val="008A3DDC"/>
    <w:rsid w:val="008A55D2"/>
    <w:rsid w:val="008B0AAD"/>
    <w:rsid w:val="008B1648"/>
    <w:rsid w:val="008B1B3B"/>
    <w:rsid w:val="008B2C45"/>
    <w:rsid w:val="008B2ED4"/>
    <w:rsid w:val="008B48DB"/>
    <w:rsid w:val="008B496B"/>
    <w:rsid w:val="008B508B"/>
    <w:rsid w:val="008B5B27"/>
    <w:rsid w:val="008B6125"/>
    <w:rsid w:val="008B74DD"/>
    <w:rsid w:val="008B77C5"/>
    <w:rsid w:val="008B7869"/>
    <w:rsid w:val="008C0079"/>
    <w:rsid w:val="008C0A51"/>
    <w:rsid w:val="008C0C3D"/>
    <w:rsid w:val="008C2218"/>
    <w:rsid w:val="008C295E"/>
    <w:rsid w:val="008C2F28"/>
    <w:rsid w:val="008C36A3"/>
    <w:rsid w:val="008C37E4"/>
    <w:rsid w:val="008C45F5"/>
    <w:rsid w:val="008C499F"/>
    <w:rsid w:val="008C4BDF"/>
    <w:rsid w:val="008C515C"/>
    <w:rsid w:val="008C58B9"/>
    <w:rsid w:val="008C5B6B"/>
    <w:rsid w:val="008C60A2"/>
    <w:rsid w:val="008C6B6B"/>
    <w:rsid w:val="008C7415"/>
    <w:rsid w:val="008C7439"/>
    <w:rsid w:val="008C79E5"/>
    <w:rsid w:val="008C7C52"/>
    <w:rsid w:val="008D0D0D"/>
    <w:rsid w:val="008D0E3A"/>
    <w:rsid w:val="008D16D0"/>
    <w:rsid w:val="008D2188"/>
    <w:rsid w:val="008D2304"/>
    <w:rsid w:val="008D2482"/>
    <w:rsid w:val="008D2D43"/>
    <w:rsid w:val="008D2FBB"/>
    <w:rsid w:val="008D32D3"/>
    <w:rsid w:val="008D3349"/>
    <w:rsid w:val="008D345A"/>
    <w:rsid w:val="008D36E8"/>
    <w:rsid w:val="008D3E7E"/>
    <w:rsid w:val="008D4388"/>
    <w:rsid w:val="008D45E9"/>
    <w:rsid w:val="008D4EBE"/>
    <w:rsid w:val="008D5D65"/>
    <w:rsid w:val="008D61CE"/>
    <w:rsid w:val="008D6C35"/>
    <w:rsid w:val="008E0250"/>
    <w:rsid w:val="008E058E"/>
    <w:rsid w:val="008E072B"/>
    <w:rsid w:val="008E27D0"/>
    <w:rsid w:val="008E3071"/>
    <w:rsid w:val="008E495F"/>
    <w:rsid w:val="008E5F21"/>
    <w:rsid w:val="008E6A63"/>
    <w:rsid w:val="008E6A7D"/>
    <w:rsid w:val="008E6CF8"/>
    <w:rsid w:val="008E722E"/>
    <w:rsid w:val="008E7CFA"/>
    <w:rsid w:val="008F02D0"/>
    <w:rsid w:val="008F0CC0"/>
    <w:rsid w:val="008F1201"/>
    <w:rsid w:val="008F12C1"/>
    <w:rsid w:val="008F1CCF"/>
    <w:rsid w:val="008F20D8"/>
    <w:rsid w:val="008F21D7"/>
    <w:rsid w:val="008F341F"/>
    <w:rsid w:val="008F370D"/>
    <w:rsid w:val="008F38F4"/>
    <w:rsid w:val="008F4D11"/>
    <w:rsid w:val="008F5CE9"/>
    <w:rsid w:val="008F6B1D"/>
    <w:rsid w:val="00900D11"/>
    <w:rsid w:val="00900DC6"/>
    <w:rsid w:val="0090287F"/>
    <w:rsid w:val="00902AAC"/>
    <w:rsid w:val="00902DF2"/>
    <w:rsid w:val="00902F38"/>
    <w:rsid w:val="00902FA1"/>
    <w:rsid w:val="00903410"/>
    <w:rsid w:val="0090383A"/>
    <w:rsid w:val="00903EBE"/>
    <w:rsid w:val="009059D8"/>
    <w:rsid w:val="00906176"/>
    <w:rsid w:val="009063DB"/>
    <w:rsid w:val="009065BD"/>
    <w:rsid w:val="009074D4"/>
    <w:rsid w:val="00907E56"/>
    <w:rsid w:val="00907E99"/>
    <w:rsid w:val="00907EA3"/>
    <w:rsid w:val="009113E5"/>
    <w:rsid w:val="00912394"/>
    <w:rsid w:val="00912C69"/>
    <w:rsid w:val="00912D7C"/>
    <w:rsid w:val="0091304E"/>
    <w:rsid w:val="009138DD"/>
    <w:rsid w:val="009139A5"/>
    <w:rsid w:val="0091467C"/>
    <w:rsid w:val="009148AE"/>
    <w:rsid w:val="00914ACD"/>
    <w:rsid w:val="0091524F"/>
    <w:rsid w:val="009153EA"/>
    <w:rsid w:val="009154C0"/>
    <w:rsid w:val="00915EE1"/>
    <w:rsid w:val="00916B7A"/>
    <w:rsid w:val="009176B3"/>
    <w:rsid w:val="009200AF"/>
    <w:rsid w:val="00920590"/>
    <w:rsid w:val="00921FCD"/>
    <w:rsid w:val="00924971"/>
    <w:rsid w:val="00924F5E"/>
    <w:rsid w:val="009252E5"/>
    <w:rsid w:val="00926594"/>
    <w:rsid w:val="0092695B"/>
    <w:rsid w:val="00926A46"/>
    <w:rsid w:val="0092736B"/>
    <w:rsid w:val="00930669"/>
    <w:rsid w:val="00930A66"/>
    <w:rsid w:val="00930A91"/>
    <w:rsid w:val="0093160A"/>
    <w:rsid w:val="00931763"/>
    <w:rsid w:val="00931CA2"/>
    <w:rsid w:val="0093237F"/>
    <w:rsid w:val="009328A7"/>
    <w:rsid w:val="00932F92"/>
    <w:rsid w:val="00934541"/>
    <w:rsid w:val="009347D5"/>
    <w:rsid w:val="00935936"/>
    <w:rsid w:val="00935E30"/>
    <w:rsid w:val="00935FFF"/>
    <w:rsid w:val="0093646F"/>
    <w:rsid w:val="00936A93"/>
    <w:rsid w:val="009375E6"/>
    <w:rsid w:val="0094056F"/>
    <w:rsid w:val="0094066A"/>
    <w:rsid w:val="0094115F"/>
    <w:rsid w:val="00943E10"/>
    <w:rsid w:val="00944855"/>
    <w:rsid w:val="009448F1"/>
    <w:rsid w:val="00945E65"/>
    <w:rsid w:val="00946D0E"/>
    <w:rsid w:val="0094705A"/>
    <w:rsid w:val="009507AF"/>
    <w:rsid w:val="0095142F"/>
    <w:rsid w:val="0095184D"/>
    <w:rsid w:val="009529C5"/>
    <w:rsid w:val="00953139"/>
    <w:rsid w:val="009537D9"/>
    <w:rsid w:val="00953C3F"/>
    <w:rsid w:val="00954FA4"/>
    <w:rsid w:val="0095546E"/>
    <w:rsid w:val="00955B31"/>
    <w:rsid w:val="00955B80"/>
    <w:rsid w:val="009563C8"/>
    <w:rsid w:val="00957203"/>
    <w:rsid w:val="00957CA8"/>
    <w:rsid w:val="00960C8B"/>
    <w:rsid w:val="00961394"/>
    <w:rsid w:val="00961864"/>
    <w:rsid w:val="009618D8"/>
    <w:rsid w:val="00962056"/>
    <w:rsid w:val="00962B42"/>
    <w:rsid w:val="00962B47"/>
    <w:rsid w:val="009631BF"/>
    <w:rsid w:val="009638A6"/>
    <w:rsid w:val="0096403F"/>
    <w:rsid w:val="00964B4E"/>
    <w:rsid w:val="0096656D"/>
    <w:rsid w:val="009667DE"/>
    <w:rsid w:val="00966D5B"/>
    <w:rsid w:val="00967B50"/>
    <w:rsid w:val="00967EDC"/>
    <w:rsid w:val="009717F0"/>
    <w:rsid w:val="00971B99"/>
    <w:rsid w:val="00971B9B"/>
    <w:rsid w:val="00971E06"/>
    <w:rsid w:val="00972349"/>
    <w:rsid w:val="0097271B"/>
    <w:rsid w:val="0097286D"/>
    <w:rsid w:val="00973212"/>
    <w:rsid w:val="00973823"/>
    <w:rsid w:val="0097390B"/>
    <w:rsid w:val="009756AB"/>
    <w:rsid w:val="0097589E"/>
    <w:rsid w:val="00976729"/>
    <w:rsid w:val="0097686A"/>
    <w:rsid w:val="00980170"/>
    <w:rsid w:val="00981087"/>
    <w:rsid w:val="00981326"/>
    <w:rsid w:val="009818EE"/>
    <w:rsid w:val="00981B05"/>
    <w:rsid w:val="00982047"/>
    <w:rsid w:val="00983BE8"/>
    <w:rsid w:val="00983CD6"/>
    <w:rsid w:val="00983E28"/>
    <w:rsid w:val="00984902"/>
    <w:rsid w:val="009852C8"/>
    <w:rsid w:val="00985F3B"/>
    <w:rsid w:val="00986CA0"/>
    <w:rsid w:val="00990115"/>
    <w:rsid w:val="0099011B"/>
    <w:rsid w:val="0099177C"/>
    <w:rsid w:val="00991EBE"/>
    <w:rsid w:val="0099207D"/>
    <w:rsid w:val="00992506"/>
    <w:rsid w:val="009928D9"/>
    <w:rsid w:val="009929E5"/>
    <w:rsid w:val="009936C3"/>
    <w:rsid w:val="00993C93"/>
    <w:rsid w:val="00994065"/>
    <w:rsid w:val="00994E04"/>
    <w:rsid w:val="00995304"/>
    <w:rsid w:val="00995BA4"/>
    <w:rsid w:val="00995DC5"/>
    <w:rsid w:val="00996052"/>
    <w:rsid w:val="009966C3"/>
    <w:rsid w:val="00996D6E"/>
    <w:rsid w:val="00996DCE"/>
    <w:rsid w:val="0099759B"/>
    <w:rsid w:val="00997632"/>
    <w:rsid w:val="0099786F"/>
    <w:rsid w:val="00997D3E"/>
    <w:rsid w:val="009A0059"/>
    <w:rsid w:val="009A04FF"/>
    <w:rsid w:val="009A1664"/>
    <w:rsid w:val="009A25A4"/>
    <w:rsid w:val="009A2734"/>
    <w:rsid w:val="009A2805"/>
    <w:rsid w:val="009A2CF1"/>
    <w:rsid w:val="009A2E1D"/>
    <w:rsid w:val="009A3EE4"/>
    <w:rsid w:val="009A449F"/>
    <w:rsid w:val="009A4527"/>
    <w:rsid w:val="009A45F7"/>
    <w:rsid w:val="009A4AF0"/>
    <w:rsid w:val="009A5FFB"/>
    <w:rsid w:val="009A608C"/>
    <w:rsid w:val="009A62EA"/>
    <w:rsid w:val="009A65EB"/>
    <w:rsid w:val="009A68E8"/>
    <w:rsid w:val="009B109B"/>
    <w:rsid w:val="009B1302"/>
    <w:rsid w:val="009B136D"/>
    <w:rsid w:val="009B1E7E"/>
    <w:rsid w:val="009B1F0E"/>
    <w:rsid w:val="009B2680"/>
    <w:rsid w:val="009B2CDB"/>
    <w:rsid w:val="009B5892"/>
    <w:rsid w:val="009B5958"/>
    <w:rsid w:val="009B597F"/>
    <w:rsid w:val="009B63D5"/>
    <w:rsid w:val="009C0B95"/>
    <w:rsid w:val="009C0ECF"/>
    <w:rsid w:val="009C2177"/>
    <w:rsid w:val="009C231C"/>
    <w:rsid w:val="009C23F0"/>
    <w:rsid w:val="009C2A14"/>
    <w:rsid w:val="009C2C83"/>
    <w:rsid w:val="009C31D6"/>
    <w:rsid w:val="009C3BF9"/>
    <w:rsid w:val="009C4FE5"/>
    <w:rsid w:val="009C61DB"/>
    <w:rsid w:val="009C6451"/>
    <w:rsid w:val="009D07C2"/>
    <w:rsid w:val="009D2C65"/>
    <w:rsid w:val="009D2FB0"/>
    <w:rsid w:val="009D3358"/>
    <w:rsid w:val="009D38AE"/>
    <w:rsid w:val="009D3F05"/>
    <w:rsid w:val="009D5CAD"/>
    <w:rsid w:val="009D6703"/>
    <w:rsid w:val="009D6713"/>
    <w:rsid w:val="009D6F74"/>
    <w:rsid w:val="009D74EB"/>
    <w:rsid w:val="009D7CC1"/>
    <w:rsid w:val="009D7E51"/>
    <w:rsid w:val="009E04D2"/>
    <w:rsid w:val="009E0A3F"/>
    <w:rsid w:val="009E0D5C"/>
    <w:rsid w:val="009E1C61"/>
    <w:rsid w:val="009E1E06"/>
    <w:rsid w:val="009E20E5"/>
    <w:rsid w:val="009E2317"/>
    <w:rsid w:val="009E360E"/>
    <w:rsid w:val="009E3733"/>
    <w:rsid w:val="009E3D70"/>
    <w:rsid w:val="009E3D91"/>
    <w:rsid w:val="009E3FCC"/>
    <w:rsid w:val="009E461F"/>
    <w:rsid w:val="009E5744"/>
    <w:rsid w:val="009E6BFE"/>
    <w:rsid w:val="009F034C"/>
    <w:rsid w:val="009F0449"/>
    <w:rsid w:val="009F065A"/>
    <w:rsid w:val="009F10C3"/>
    <w:rsid w:val="009F1151"/>
    <w:rsid w:val="009F12B2"/>
    <w:rsid w:val="009F1314"/>
    <w:rsid w:val="009F15CB"/>
    <w:rsid w:val="009F1ABA"/>
    <w:rsid w:val="009F23F9"/>
    <w:rsid w:val="009F5B63"/>
    <w:rsid w:val="009F6D92"/>
    <w:rsid w:val="00A00E27"/>
    <w:rsid w:val="00A013E1"/>
    <w:rsid w:val="00A01693"/>
    <w:rsid w:val="00A01729"/>
    <w:rsid w:val="00A01DB4"/>
    <w:rsid w:val="00A0305E"/>
    <w:rsid w:val="00A0354D"/>
    <w:rsid w:val="00A04888"/>
    <w:rsid w:val="00A0511D"/>
    <w:rsid w:val="00A05D55"/>
    <w:rsid w:val="00A0648D"/>
    <w:rsid w:val="00A07557"/>
    <w:rsid w:val="00A0760D"/>
    <w:rsid w:val="00A1042A"/>
    <w:rsid w:val="00A1047B"/>
    <w:rsid w:val="00A10F85"/>
    <w:rsid w:val="00A1143A"/>
    <w:rsid w:val="00A11E98"/>
    <w:rsid w:val="00A120C0"/>
    <w:rsid w:val="00A121AB"/>
    <w:rsid w:val="00A12761"/>
    <w:rsid w:val="00A1309B"/>
    <w:rsid w:val="00A1309F"/>
    <w:rsid w:val="00A13461"/>
    <w:rsid w:val="00A14A58"/>
    <w:rsid w:val="00A14CB2"/>
    <w:rsid w:val="00A1533A"/>
    <w:rsid w:val="00A208E0"/>
    <w:rsid w:val="00A2258E"/>
    <w:rsid w:val="00A225EE"/>
    <w:rsid w:val="00A22897"/>
    <w:rsid w:val="00A22DFE"/>
    <w:rsid w:val="00A26BC2"/>
    <w:rsid w:val="00A27434"/>
    <w:rsid w:val="00A317EF"/>
    <w:rsid w:val="00A324D0"/>
    <w:rsid w:val="00A33261"/>
    <w:rsid w:val="00A3353E"/>
    <w:rsid w:val="00A336C6"/>
    <w:rsid w:val="00A345FE"/>
    <w:rsid w:val="00A348D5"/>
    <w:rsid w:val="00A34D2F"/>
    <w:rsid w:val="00A36106"/>
    <w:rsid w:val="00A364E6"/>
    <w:rsid w:val="00A36C1B"/>
    <w:rsid w:val="00A37D5D"/>
    <w:rsid w:val="00A40194"/>
    <w:rsid w:val="00A41457"/>
    <w:rsid w:val="00A42214"/>
    <w:rsid w:val="00A42E4C"/>
    <w:rsid w:val="00A42EA0"/>
    <w:rsid w:val="00A45013"/>
    <w:rsid w:val="00A45CA9"/>
    <w:rsid w:val="00A4663B"/>
    <w:rsid w:val="00A466D2"/>
    <w:rsid w:val="00A46DF5"/>
    <w:rsid w:val="00A47D82"/>
    <w:rsid w:val="00A502AB"/>
    <w:rsid w:val="00A5054B"/>
    <w:rsid w:val="00A51210"/>
    <w:rsid w:val="00A51243"/>
    <w:rsid w:val="00A51826"/>
    <w:rsid w:val="00A5203F"/>
    <w:rsid w:val="00A524E1"/>
    <w:rsid w:val="00A526EB"/>
    <w:rsid w:val="00A5321A"/>
    <w:rsid w:val="00A53334"/>
    <w:rsid w:val="00A53AA8"/>
    <w:rsid w:val="00A53E29"/>
    <w:rsid w:val="00A54DC4"/>
    <w:rsid w:val="00A5502B"/>
    <w:rsid w:val="00A55BC8"/>
    <w:rsid w:val="00A55E0B"/>
    <w:rsid w:val="00A569A4"/>
    <w:rsid w:val="00A56EF8"/>
    <w:rsid w:val="00A5713C"/>
    <w:rsid w:val="00A574BC"/>
    <w:rsid w:val="00A57AF8"/>
    <w:rsid w:val="00A62960"/>
    <w:rsid w:val="00A63102"/>
    <w:rsid w:val="00A647C5"/>
    <w:rsid w:val="00A64C58"/>
    <w:rsid w:val="00A65DB6"/>
    <w:rsid w:val="00A664C2"/>
    <w:rsid w:val="00A66A5E"/>
    <w:rsid w:val="00A66C26"/>
    <w:rsid w:val="00A703D4"/>
    <w:rsid w:val="00A70475"/>
    <w:rsid w:val="00A70B83"/>
    <w:rsid w:val="00A70FC2"/>
    <w:rsid w:val="00A71872"/>
    <w:rsid w:val="00A71AE7"/>
    <w:rsid w:val="00A72068"/>
    <w:rsid w:val="00A7263F"/>
    <w:rsid w:val="00A72EBA"/>
    <w:rsid w:val="00A73A88"/>
    <w:rsid w:val="00A745BA"/>
    <w:rsid w:val="00A747E4"/>
    <w:rsid w:val="00A74CE9"/>
    <w:rsid w:val="00A7534A"/>
    <w:rsid w:val="00A7537A"/>
    <w:rsid w:val="00A758C1"/>
    <w:rsid w:val="00A76128"/>
    <w:rsid w:val="00A81473"/>
    <w:rsid w:val="00A822B1"/>
    <w:rsid w:val="00A82836"/>
    <w:rsid w:val="00A82BD8"/>
    <w:rsid w:val="00A83546"/>
    <w:rsid w:val="00A835AA"/>
    <w:rsid w:val="00A844E9"/>
    <w:rsid w:val="00A849CA"/>
    <w:rsid w:val="00A87B9E"/>
    <w:rsid w:val="00A87DB0"/>
    <w:rsid w:val="00A9003E"/>
    <w:rsid w:val="00A91A35"/>
    <w:rsid w:val="00A91AF0"/>
    <w:rsid w:val="00A9206A"/>
    <w:rsid w:val="00A92369"/>
    <w:rsid w:val="00A926BE"/>
    <w:rsid w:val="00A9334E"/>
    <w:rsid w:val="00A93C15"/>
    <w:rsid w:val="00A93E0C"/>
    <w:rsid w:val="00A93EF8"/>
    <w:rsid w:val="00A9403F"/>
    <w:rsid w:val="00A944E0"/>
    <w:rsid w:val="00A953BC"/>
    <w:rsid w:val="00A95CCD"/>
    <w:rsid w:val="00A95D52"/>
    <w:rsid w:val="00A95E7C"/>
    <w:rsid w:val="00A9664F"/>
    <w:rsid w:val="00A96801"/>
    <w:rsid w:val="00A96B18"/>
    <w:rsid w:val="00A97FEA"/>
    <w:rsid w:val="00AA0013"/>
    <w:rsid w:val="00AA027D"/>
    <w:rsid w:val="00AA02C2"/>
    <w:rsid w:val="00AA04C9"/>
    <w:rsid w:val="00AA0AF4"/>
    <w:rsid w:val="00AA1361"/>
    <w:rsid w:val="00AA144E"/>
    <w:rsid w:val="00AA1E7D"/>
    <w:rsid w:val="00AA27D6"/>
    <w:rsid w:val="00AA3A87"/>
    <w:rsid w:val="00AA4491"/>
    <w:rsid w:val="00AA46AD"/>
    <w:rsid w:val="00AA472F"/>
    <w:rsid w:val="00AA4A2F"/>
    <w:rsid w:val="00AA59F9"/>
    <w:rsid w:val="00AA5AE6"/>
    <w:rsid w:val="00AA70C4"/>
    <w:rsid w:val="00AB070A"/>
    <w:rsid w:val="00AB0AD1"/>
    <w:rsid w:val="00AB1F30"/>
    <w:rsid w:val="00AB26C9"/>
    <w:rsid w:val="00AB2785"/>
    <w:rsid w:val="00AB2A36"/>
    <w:rsid w:val="00AB3411"/>
    <w:rsid w:val="00AB34D7"/>
    <w:rsid w:val="00AB4179"/>
    <w:rsid w:val="00AB5CA1"/>
    <w:rsid w:val="00AB798D"/>
    <w:rsid w:val="00AC0D2A"/>
    <w:rsid w:val="00AC1A4D"/>
    <w:rsid w:val="00AC200A"/>
    <w:rsid w:val="00AC2531"/>
    <w:rsid w:val="00AC408E"/>
    <w:rsid w:val="00AC478D"/>
    <w:rsid w:val="00AC4ED3"/>
    <w:rsid w:val="00AD02E0"/>
    <w:rsid w:val="00AD067A"/>
    <w:rsid w:val="00AD0C46"/>
    <w:rsid w:val="00AD0F27"/>
    <w:rsid w:val="00AD1CAC"/>
    <w:rsid w:val="00AD2626"/>
    <w:rsid w:val="00AD2744"/>
    <w:rsid w:val="00AD2980"/>
    <w:rsid w:val="00AD2BED"/>
    <w:rsid w:val="00AD2C08"/>
    <w:rsid w:val="00AD2F56"/>
    <w:rsid w:val="00AD3591"/>
    <w:rsid w:val="00AD4311"/>
    <w:rsid w:val="00AD454B"/>
    <w:rsid w:val="00AD6CFA"/>
    <w:rsid w:val="00AD6F5F"/>
    <w:rsid w:val="00AD73C8"/>
    <w:rsid w:val="00AD7834"/>
    <w:rsid w:val="00AE04E4"/>
    <w:rsid w:val="00AE0AB7"/>
    <w:rsid w:val="00AE0B3F"/>
    <w:rsid w:val="00AE0B66"/>
    <w:rsid w:val="00AE1406"/>
    <w:rsid w:val="00AE281E"/>
    <w:rsid w:val="00AE2B57"/>
    <w:rsid w:val="00AE2E25"/>
    <w:rsid w:val="00AE30F9"/>
    <w:rsid w:val="00AE32ED"/>
    <w:rsid w:val="00AE365B"/>
    <w:rsid w:val="00AE397C"/>
    <w:rsid w:val="00AE5A69"/>
    <w:rsid w:val="00AE66E5"/>
    <w:rsid w:val="00AE6827"/>
    <w:rsid w:val="00AE7D04"/>
    <w:rsid w:val="00AE7D0F"/>
    <w:rsid w:val="00AE7FB0"/>
    <w:rsid w:val="00AF130F"/>
    <w:rsid w:val="00AF1380"/>
    <w:rsid w:val="00AF1EAF"/>
    <w:rsid w:val="00AF24D0"/>
    <w:rsid w:val="00AF285E"/>
    <w:rsid w:val="00AF304F"/>
    <w:rsid w:val="00AF37A3"/>
    <w:rsid w:val="00AF426F"/>
    <w:rsid w:val="00AF44E0"/>
    <w:rsid w:val="00AF4DA2"/>
    <w:rsid w:val="00AF586E"/>
    <w:rsid w:val="00AF6871"/>
    <w:rsid w:val="00AF755F"/>
    <w:rsid w:val="00AF761E"/>
    <w:rsid w:val="00AF7983"/>
    <w:rsid w:val="00AF7B16"/>
    <w:rsid w:val="00B00516"/>
    <w:rsid w:val="00B0068D"/>
    <w:rsid w:val="00B01326"/>
    <w:rsid w:val="00B01F26"/>
    <w:rsid w:val="00B02239"/>
    <w:rsid w:val="00B0275D"/>
    <w:rsid w:val="00B02BEC"/>
    <w:rsid w:val="00B0366F"/>
    <w:rsid w:val="00B04081"/>
    <w:rsid w:val="00B04873"/>
    <w:rsid w:val="00B06B3C"/>
    <w:rsid w:val="00B06F5C"/>
    <w:rsid w:val="00B078F1"/>
    <w:rsid w:val="00B07F37"/>
    <w:rsid w:val="00B10774"/>
    <w:rsid w:val="00B10B14"/>
    <w:rsid w:val="00B11E3F"/>
    <w:rsid w:val="00B12419"/>
    <w:rsid w:val="00B12C3E"/>
    <w:rsid w:val="00B13906"/>
    <w:rsid w:val="00B1436A"/>
    <w:rsid w:val="00B14396"/>
    <w:rsid w:val="00B148CC"/>
    <w:rsid w:val="00B15103"/>
    <w:rsid w:val="00B1663C"/>
    <w:rsid w:val="00B16EA0"/>
    <w:rsid w:val="00B16F42"/>
    <w:rsid w:val="00B175EE"/>
    <w:rsid w:val="00B17814"/>
    <w:rsid w:val="00B17BB0"/>
    <w:rsid w:val="00B17BF4"/>
    <w:rsid w:val="00B2129A"/>
    <w:rsid w:val="00B215D4"/>
    <w:rsid w:val="00B2180D"/>
    <w:rsid w:val="00B22AB2"/>
    <w:rsid w:val="00B2513D"/>
    <w:rsid w:val="00B259DE"/>
    <w:rsid w:val="00B25A82"/>
    <w:rsid w:val="00B25FCD"/>
    <w:rsid w:val="00B26B9C"/>
    <w:rsid w:val="00B270EB"/>
    <w:rsid w:val="00B271E3"/>
    <w:rsid w:val="00B27CA0"/>
    <w:rsid w:val="00B30EB1"/>
    <w:rsid w:val="00B31628"/>
    <w:rsid w:val="00B31A08"/>
    <w:rsid w:val="00B31AE4"/>
    <w:rsid w:val="00B32209"/>
    <w:rsid w:val="00B32D63"/>
    <w:rsid w:val="00B331BD"/>
    <w:rsid w:val="00B343AF"/>
    <w:rsid w:val="00B344A3"/>
    <w:rsid w:val="00B345F4"/>
    <w:rsid w:val="00B346EA"/>
    <w:rsid w:val="00B351B8"/>
    <w:rsid w:val="00B3529C"/>
    <w:rsid w:val="00B358D9"/>
    <w:rsid w:val="00B367B5"/>
    <w:rsid w:val="00B37455"/>
    <w:rsid w:val="00B37891"/>
    <w:rsid w:val="00B400CA"/>
    <w:rsid w:val="00B40AFF"/>
    <w:rsid w:val="00B41A92"/>
    <w:rsid w:val="00B421E5"/>
    <w:rsid w:val="00B4266B"/>
    <w:rsid w:val="00B42840"/>
    <w:rsid w:val="00B42C0C"/>
    <w:rsid w:val="00B43A91"/>
    <w:rsid w:val="00B443A6"/>
    <w:rsid w:val="00B44803"/>
    <w:rsid w:val="00B4562D"/>
    <w:rsid w:val="00B45D81"/>
    <w:rsid w:val="00B46622"/>
    <w:rsid w:val="00B4689B"/>
    <w:rsid w:val="00B4757F"/>
    <w:rsid w:val="00B513EE"/>
    <w:rsid w:val="00B515F7"/>
    <w:rsid w:val="00B5185B"/>
    <w:rsid w:val="00B51C63"/>
    <w:rsid w:val="00B527D1"/>
    <w:rsid w:val="00B541AE"/>
    <w:rsid w:val="00B547C9"/>
    <w:rsid w:val="00B5506A"/>
    <w:rsid w:val="00B55B76"/>
    <w:rsid w:val="00B56363"/>
    <w:rsid w:val="00B56A08"/>
    <w:rsid w:val="00B56D15"/>
    <w:rsid w:val="00B56FA6"/>
    <w:rsid w:val="00B57B37"/>
    <w:rsid w:val="00B57C1A"/>
    <w:rsid w:val="00B57D54"/>
    <w:rsid w:val="00B57FCF"/>
    <w:rsid w:val="00B604CE"/>
    <w:rsid w:val="00B612B0"/>
    <w:rsid w:val="00B616D6"/>
    <w:rsid w:val="00B61B33"/>
    <w:rsid w:val="00B62850"/>
    <w:rsid w:val="00B62F5A"/>
    <w:rsid w:val="00B632C3"/>
    <w:rsid w:val="00B63ABC"/>
    <w:rsid w:val="00B6412B"/>
    <w:rsid w:val="00B658BA"/>
    <w:rsid w:val="00B66EDF"/>
    <w:rsid w:val="00B67A7F"/>
    <w:rsid w:val="00B707AB"/>
    <w:rsid w:val="00B70C34"/>
    <w:rsid w:val="00B71141"/>
    <w:rsid w:val="00B71C05"/>
    <w:rsid w:val="00B71D1C"/>
    <w:rsid w:val="00B724C6"/>
    <w:rsid w:val="00B73608"/>
    <w:rsid w:val="00B742EF"/>
    <w:rsid w:val="00B74583"/>
    <w:rsid w:val="00B75BFD"/>
    <w:rsid w:val="00B77134"/>
    <w:rsid w:val="00B77398"/>
    <w:rsid w:val="00B77436"/>
    <w:rsid w:val="00B776DB"/>
    <w:rsid w:val="00B77A50"/>
    <w:rsid w:val="00B77F7A"/>
    <w:rsid w:val="00B804B2"/>
    <w:rsid w:val="00B80923"/>
    <w:rsid w:val="00B824E5"/>
    <w:rsid w:val="00B82C37"/>
    <w:rsid w:val="00B8408E"/>
    <w:rsid w:val="00B840D4"/>
    <w:rsid w:val="00B844E0"/>
    <w:rsid w:val="00B8470E"/>
    <w:rsid w:val="00B84E01"/>
    <w:rsid w:val="00B86AD3"/>
    <w:rsid w:val="00B86E4D"/>
    <w:rsid w:val="00B875FA"/>
    <w:rsid w:val="00B87705"/>
    <w:rsid w:val="00B87FF8"/>
    <w:rsid w:val="00B90778"/>
    <w:rsid w:val="00B912FA"/>
    <w:rsid w:val="00B91642"/>
    <w:rsid w:val="00B91781"/>
    <w:rsid w:val="00B918AB"/>
    <w:rsid w:val="00B91C1B"/>
    <w:rsid w:val="00B92C61"/>
    <w:rsid w:val="00B92F64"/>
    <w:rsid w:val="00B93110"/>
    <w:rsid w:val="00B931B5"/>
    <w:rsid w:val="00B933DD"/>
    <w:rsid w:val="00B93B09"/>
    <w:rsid w:val="00B94762"/>
    <w:rsid w:val="00B95532"/>
    <w:rsid w:val="00B95892"/>
    <w:rsid w:val="00B95BB7"/>
    <w:rsid w:val="00B9723D"/>
    <w:rsid w:val="00B975E1"/>
    <w:rsid w:val="00B977CA"/>
    <w:rsid w:val="00B97FDB"/>
    <w:rsid w:val="00BA0166"/>
    <w:rsid w:val="00BA0172"/>
    <w:rsid w:val="00BA03D4"/>
    <w:rsid w:val="00BA1981"/>
    <w:rsid w:val="00BA1D6E"/>
    <w:rsid w:val="00BA21F8"/>
    <w:rsid w:val="00BA24AA"/>
    <w:rsid w:val="00BA26AD"/>
    <w:rsid w:val="00BA2BBD"/>
    <w:rsid w:val="00BA39A8"/>
    <w:rsid w:val="00BA3C80"/>
    <w:rsid w:val="00BA56E3"/>
    <w:rsid w:val="00BA5A57"/>
    <w:rsid w:val="00BA5C92"/>
    <w:rsid w:val="00BA60A4"/>
    <w:rsid w:val="00BA6491"/>
    <w:rsid w:val="00BA6A9A"/>
    <w:rsid w:val="00BA6D48"/>
    <w:rsid w:val="00BA7435"/>
    <w:rsid w:val="00BB0862"/>
    <w:rsid w:val="00BB163B"/>
    <w:rsid w:val="00BB2237"/>
    <w:rsid w:val="00BB24DA"/>
    <w:rsid w:val="00BB25D9"/>
    <w:rsid w:val="00BB2B9D"/>
    <w:rsid w:val="00BB2EDC"/>
    <w:rsid w:val="00BB383D"/>
    <w:rsid w:val="00BB3CE5"/>
    <w:rsid w:val="00BB3EA5"/>
    <w:rsid w:val="00BB4049"/>
    <w:rsid w:val="00BB5136"/>
    <w:rsid w:val="00BB5ACB"/>
    <w:rsid w:val="00BB608E"/>
    <w:rsid w:val="00BB681F"/>
    <w:rsid w:val="00BB6A48"/>
    <w:rsid w:val="00BB7669"/>
    <w:rsid w:val="00BB78F4"/>
    <w:rsid w:val="00BB7DB1"/>
    <w:rsid w:val="00BB7FB3"/>
    <w:rsid w:val="00BC0275"/>
    <w:rsid w:val="00BC051F"/>
    <w:rsid w:val="00BC0776"/>
    <w:rsid w:val="00BC08D3"/>
    <w:rsid w:val="00BC09A3"/>
    <w:rsid w:val="00BC0C4E"/>
    <w:rsid w:val="00BC0D8B"/>
    <w:rsid w:val="00BC0E40"/>
    <w:rsid w:val="00BC1450"/>
    <w:rsid w:val="00BC166A"/>
    <w:rsid w:val="00BC1755"/>
    <w:rsid w:val="00BC1D15"/>
    <w:rsid w:val="00BC2584"/>
    <w:rsid w:val="00BC3533"/>
    <w:rsid w:val="00BC369E"/>
    <w:rsid w:val="00BC48F3"/>
    <w:rsid w:val="00BC4AF9"/>
    <w:rsid w:val="00BC5DCE"/>
    <w:rsid w:val="00BC6D71"/>
    <w:rsid w:val="00BC7399"/>
    <w:rsid w:val="00BD0164"/>
    <w:rsid w:val="00BD0959"/>
    <w:rsid w:val="00BD0A1E"/>
    <w:rsid w:val="00BD0CC4"/>
    <w:rsid w:val="00BD0F95"/>
    <w:rsid w:val="00BD128A"/>
    <w:rsid w:val="00BD1403"/>
    <w:rsid w:val="00BD1E32"/>
    <w:rsid w:val="00BD2C1B"/>
    <w:rsid w:val="00BD2F8F"/>
    <w:rsid w:val="00BD31B8"/>
    <w:rsid w:val="00BD3408"/>
    <w:rsid w:val="00BD5502"/>
    <w:rsid w:val="00BD5801"/>
    <w:rsid w:val="00BD58E0"/>
    <w:rsid w:val="00BD60CB"/>
    <w:rsid w:val="00BD6B4C"/>
    <w:rsid w:val="00BD750C"/>
    <w:rsid w:val="00BD7D12"/>
    <w:rsid w:val="00BE1C7B"/>
    <w:rsid w:val="00BE1F7D"/>
    <w:rsid w:val="00BE30BC"/>
    <w:rsid w:val="00BE323E"/>
    <w:rsid w:val="00BE35EE"/>
    <w:rsid w:val="00BE3706"/>
    <w:rsid w:val="00BE39AA"/>
    <w:rsid w:val="00BE3A35"/>
    <w:rsid w:val="00BE3B56"/>
    <w:rsid w:val="00BE433B"/>
    <w:rsid w:val="00BE468A"/>
    <w:rsid w:val="00BE46D0"/>
    <w:rsid w:val="00BE48F9"/>
    <w:rsid w:val="00BE4A90"/>
    <w:rsid w:val="00BE53BA"/>
    <w:rsid w:val="00BE6EDD"/>
    <w:rsid w:val="00BE7E7F"/>
    <w:rsid w:val="00BF02DC"/>
    <w:rsid w:val="00BF1106"/>
    <w:rsid w:val="00BF129D"/>
    <w:rsid w:val="00BF13DA"/>
    <w:rsid w:val="00BF16A8"/>
    <w:rsid w:val="00BF2CD1"/>
    <w:rsid w:val="00BF4720"/>
    <w:rsid w:val="00BF4BD1"/>
    <w:rsid w:val="00BF50EF"/>
    <w:rsid w:val="00BF6506"/>
    <w:rsid w:val="00BF6B90"/>
    <w:rsid w:val="00BF6DAE"/>
    <w:rsid w:val="00BF7C11"/>
    <w:rsid w:val="00BF7E27"/>
    <w:rsid w:val="00C01C5C"/>
    <w:rsid w:val="00C01E01"/>
    <w:rsid w:val="00C02001"/>
    <w:rsid w:val="00C03880"/>
    <w:rsid w:val="00C03E9E"/>
    <w:rsid w:val="00C042D4"/>
    <w:rsid w:val="00C045C4"/>
    <w:rsid w:val="00C048D8"/>
    <w:rsid w:val="00C0496B"/>
    <w:rsid w:val="00C04D2D"/>
    <w:rsid w:val="00C0527E"/>
    <w:rsid w:val="00C057C4"/>
    <w:rsid w:val="00C05E66"/>
    <w:rsid w:val="00C06541"/>
    <w:rsid w:val="00C06CE5"/>
    <w:rsid w:val="00C07438"/>
    <w:rsid w:val="00C07835"/>
    <w:rsid w:val="00C0789C"/>
    <w:rsid w:val="00C10267"/>
    <w:rsid w:val="00C10785"/>
    <w:rsid w:val="00C1105A"/>
    <w:rsid w:val="00C11CFC"/>
    <w:rsid w:val="00C11F32"/>
    <w:rsid w:val="00C12B77"/>
    <w:rsid w:val="00C1307D"/>
    <w:rsid w:val="00C13139"/>
    <w:rsid w:val="00C1333A"/>
    <w:rsid w:val="00C13923"/>
    <w:rsid w:val="00C13E68"/>
    <w:rsid w:val="00C140F9"/>
    <w:rsid w:val="00C15506"/>
    <w:rsid w:val="00C16D9B"/>
    <w:rsid w:val="00C177D3"/>
    <w:rsid w:val="00C17ABA"/>
    <w:rsid w:val="00C214C9"/>
    <w:rsid w:val="00C21BB8"/>
    <w:rsid w:val="00C227F2"/>
    <w:rsid w:val="00C2297F"/>
    <w:rsid w:val="00C235BF"/>
    <w:rsid w:val="00C24AF9"/>
    <w:rsid w:val="00C25232"/>
    <w:rsid w:val="00C253FD"/>
    <w:rsid w:val="00C25F88"/>
    <w:rsid w:val="00C26EF8"/>
    <w:rsid w:val="00C27223"/>
    <w:rsid w:val="00C30207"/>
    <w:rsid w:val="00C30288"/>
    <w:rsid w:val="00C30CDE"/>
    <w:rsid w:val="00C31BE0"/>
    <w:rsid w:val="00C32DB9"/>
    <w:rsid w:val="00C32E98"/>
    <w:rsid w:val="00C333E4"/>
    <w:rsid w:val="00C34380"/>
    <w:rsid w:val="00C347F5"/>
    <w:rsid w:val="00C34E39"/>
    <w:rsid w:val="00C35F1D"/>
    <w:rsid w:val="00C35FE5"/>
    <w:rsid w:val="00C365D3"/>
    <w:rsid w:val="00C3776B"/>
    <w:rsid w:val="00C37CC9"/>
    <w:rsid w:val="00C37D27"/>
    <w:rsid w:val="00C37E4B"/>
    <w:rsid w:val="00C4030B"/>
    <w:rsid w:val="00C40404"/>
    <w:rsid w:val="00C40A9A"/>
    <w:rsid w:val="00C40D96"/>
    <w:rsid w:val="00C4150E"/>
    <w:rsid w:val="00C41C71"/>
    <w:rsid w:val="00C4290C"/>
    <w:rsid w:val="00C430AB"/>
    <w:rsid w:val="00C43365"/>
    <w:rsid w:val="00C43C6A"/>
    <w:rsid w:val="00C44CF8"/>
    <w:rsid w:val="00C45DBE"/>
    <w:rsid w:val="00C46E1A"/>
    <w:rsid w:val="00C50554"/>
    <w:rsid w:val="00C505B0"/>
    <w:rsid w:val="00C50977"/>
    <w:rsid w:val="00C509EB"/>
    <w:rsid w:val="00C513C7"/>
    <w:rsid w:val="00C51A43"/>
    <w:rsid w:val="00C521C0"/>
    <w:rsid w:val="00C52709"/>
    <w:rsid w:val="00C5272E"/>
    <w:rsid w:val="00C528BB"/>
    <w:rsid w:val="00C531DC"/>
    <w:rsid w:val="00C5349F"/>
    <w:rsid w:val="00C55C3C"/>
    <w:rsid w:val="00C562A5"/>
    <w:rsid w:val="00C578D8"/>
    <w:rsid w:val="00C6042B"/>
    <w:rsid w:val="00C608D3"/>
    <w:rsid w:val="00C60FA1"/>
    <w:rsid w:val="00C61077"/>
    <w:rsid w:val="00C612F2"/>
    <w:rsid w:val="00C625C8"/>
    <w:rsid w:val="00C6286E"/>
    <w:rsid w:val="00C62B78"/>
    <w:rsid w:val="00C62FD9"/>
    <w:rsid w:val="00C6359B"/>
    <w:rsid w:val="00C63D92"/>
    <w:rsid w:val="00C641EC"/>
    <w:rsid w:val="00C64739"/>
    <w:rsid w:val="00C648E8"/>
    <w:rsid w:val="00C64CB7"/>
    <w:rsid w:val="00C65C1C"/>
    <w:rsid w:val="00C66530"/>
    <w:rsid w:val="00C673F7"/>
    <w:rsid w:val="00C70084"/>
    <w:rsid w:val="00C702C5"/>
    <w:rsid w:val="00C7076B"/>
    <w:rsid w:val="00C711FA"/>
    <w:rsid w:val="00C719FC"/>
    <w:rsid w:val="00C720DA"/>
    <w:rsid w:val="00C74DC7"/>
    <w:rsid w:val="00C76E5F"/>
    <w:rsid w:val="00C77792"/>
    <w:rsid w:val="00C77AFC"/>
    <w:rsid w:val="00C8041E"/>
    <w:rsid w:val="00C80479"/>
    <w:rsid w:val="00C805EB"/>
    <w:rsid w:val="00C806DD"/>
    <w:rsid w:val="00C80798"/>
    <w:rsid w:val="00C8168A"/>
    <w:rsid w:val="00C819C7"/>
    <w:rsid w:val="00C82779"/>
    <w:rsid w:val="00C833E7"/>
    <w:rsid w:val="00C83613"/>
    <w:rsid w:val="00C8365B"/>
    <w:rsid w:val="00C83E6D"/>
    <w:rsid w:val="00C84205"/>
    <w:rsid w:val="00C848A5"/>
    <w:rsid w:val="00C84EE1"/>
    <w:rsid w:val="00C85952"/>
    <w:rsid w:val="00C85B18"/>
    <w:rsid w:val="00C8684B"/>
    <w:rsid w:val="00C86ED0"/>
    <w:rsid w:val="00C870D1"/>
    <w:rsid w:val="00C876EF"/>
    <w:rsid w:val="00C90127"/>
    <w:rsid w:val="00C901EE"/>
    <w:rsid w:val="00C90A67"/>
    <w:rsid w:val="00C9202E"/>
    <w:rsid w:val="00C9400F"/>
    <w:rsid w:val="00C9477B"/>
    <w:rsid w:val="00C9514C"/>
    <w:rsid w:val="00C95585"/>
    <w:rsid w:val="00C958AC"/>
    <w:rsid w:val="00C96A15"/>
    <w:rsid w:val="00C97CDD"/>
    <w:rsid w:val="00C97F3E"/>
    <w:rsid w:val="00CA004F"/>
    <w:rsid w:val="00CA0ACF"/>
    <w:rsid w:val="00CA1B99"/>
    <w:rsid w:val="00CA28FA"/>
    <w:rsid w:val="00CA295E"/>
    <w:rsid w:val="00CA357F"/>
    <w:rsid w:val="00CA391F"/>
    <w:rsid w:val="00CA3D26"/>
    <w:rsid w:val="00CA3F8E"/>
    <w:rsid w:val="00CA4E7E"/>
    <w:rsid w:val="00CA5512"/>
    <w:rsid w:val="00CA5739"/>
    <w:rsid w:val="00CA5B26"/>
    <w:rsid w:val="00CA5EDF"/>
    <w:rsid w:val="00CA6515"/>
    <w:rsid w:val="00CA67F7"/>
    <w:rsid w:val="00CA70A4"/>
    <w:rsid w:val="00CA73A7"/>
    <w:rsid w:val="00CA7657"/>
    <w:rsid w:val="00CA7B14"/>
    <w:rsid w:val="00CA7CF3"/>
    <w:rsid w:val="00CA7FC7"/>
    <w:rsid w:val="00CB04EF"/>
    <w:rsid w:val="00CB0C2E"/>
    <w:rsid w:val="00CB11F8"/>
    <w:rsid w:val="00CB1308"/>
    <w:rsid w:val="00CB16F9"/>
    <w:rsid w:val="00CB1C1F"/>
    <w:rsid w:val="00CB1C20"/>
    <w:rsid w:val="00CB1EE3"/>
    <w:rsid w:val="00CB2E8A"/>
    <w:rsid w:val="00CB2F66"/>
    <w:rsid w:val="00CB3106"/>
    <w:rsid w:val="00CB43F2"/>
    <w:rsid w:val="00CB4587"/>
    <w:rsid w:val="00CB5CAF"/>
    <w:rsid w:val="00CB6153"/>
    <w:rsid w:val="00CB6253"/>
    <w:rsid w:val="00CB6FD5"/>
    <w:rsid w:val="00CB70C4"/>
    <w:rsid w:val="00CB7632"/>
    <w:rsid w:val="00CB77C1"/>
    <w:rsid w:val="00CC0048"/>
    <w:rsid w:val="00CC0407"/>
    <w:rsid w:val="00CC0A10"/>
    <w:rsid w:val="00CC0A17"/>
    <w:rsid w:val="00CC0CFA"/>
    <w:rsid w:val="00CC0E2A"/>
    <w:rsid w:val="00CC206D"/>
    <w:rsid w:val="00CC24AA"/>
    <w:rsid w:val="00CC3A82"/>
    <w:rsid w:val="00CC42CE"/>
    <w:rsid w:val="00CC4857"/>
    <w:rsid w:val="00CC5564"/>
    <w:rsid w:val="00CC55EF"/>
    <w:rsid w:val="00CC5F56"/>
    <w:rsid w:val="00CC6714"/>
    <w:rsid w:val="00CC67C5"/>
    <w:rsid w:val="00CC6F12"/>
    <w:rsid w:val="00CC72B9"/>
    <w:rsid w:val="00CC7339"/>
    <w:rsid w:val="00CD0B8B"/>
    <w:rsid w:val="00CD1697"/>
    <w:rsid w:val="00CD16E2"/>
    <w:rsid w:val="00CD1A2B"/>
    <w:rsid w:val="00CD1CBD"/>
    <w:rsid w:val="00CD2DF3"/>
    <w:rsid w:val="00CD371E"/>
    <w:rsid w:val="00CD4718"/>
    <w:rsid w:val="00CD4AB4"/>
    <w:rsid w:val="00CD53C9"/>
    <w:rsid w:val="00CD5574"/>
    <w:rsid w:val="00CD5D2F"/>
    <w:rsid w:val="00CD64E0"/>
    <w:rsid w:val="00CD66DD"/>
    <w:rsid w:val="00CD6DED"/>
    <w:rsid w:val="00CD7350"/>
    <w:rsid w:val="00CD74DA"/>
    <w:rsid w:val="00CD7928"/>
    <w:rsid w:val="00CE02EA"/>
    <w:rsid w:val="00CE0E44"/>
    <w:rsid w:val="00CE101F"/>
    <w:rsid w:val="00CE15F5"/>
    <w:rsid w:val="00CE1652"/>
    <w:rsid w:val="00CE1CFC"/>
    <w:rsid w:val="00CE2EEE"/>
    <w:rsid w:val="00CE34FE"/>
    <w:rsid w:val="00CE35B2"/>
    <w:rsid w:val="00CE40A2"/>
    <w:rsid w:val="00CE4144"/>
    <w:rsid w:val="00CE48BE"/>
    <w:rsid w:val="00CE4949"/>
    <w:rsid w:val="00CE4A00"/>
    <w:rsid w:val="00CE50AF"/>
    <w:rsid w:val="00CE58E1"/>
    <w:rsid w:val="00CE5E24"/>
    <w:rsid w:val="00CE6ADB"/>
    <w:rsid w:val="00CE74AD"/>
    <w:rsid w:val="00CE76D3"/>
    <w:rsid w:val="00CE7D0F"/>
    <w:rsid w:val="00CF0247"/>
    <w:rsid w:val="00CF0855"/>
    <w:rsid w:val="00CF1A56"/>
    <w:rsid w:val="00CF275A"/>
    <w:rsid w:val="00CF2F08"/>
    <w:rsid w:val="00CF32E1"/>
    <w:rsid w:val="00CF3888"/>
    <w:rsid w:val="00CF417A"/>
    <w:rsid w:val="00CF41A7"/>
    <w:rsid w:val="00CF48D9"/>
    <w:rsid w:val="00CF5B16"/>
    <w:rsid w:val="00CF6318"/>
    <w:rsid w:val="00CF6C78"/>
    <w:rsid w:val="00CF6FC8"/>
    <w:rsid w:val="00CF704C"/>
    <w:rsid w:val="00D006AB"/>
    <w:rsid w:val="00D008EA"/>
    <w:rsid w:val="00D01716"/>
    <w:rsid w:val="00D01CAE"/>
    <w:rsid w:val="00D033BD"/>
    <w:rsid w:val="00D03698"/>
    <w:rsid w:val="00D03BC8"/>
    <w:rsid w:val="00D03F69"/>
    <w:rsid w:val="00D048BD"/>
    <w:rsid w:val="00D048EA"/>
    <w:rsid w:val="00D05340"/>
    <w:rsid w:val="00D0555B"/>
    <w:rsid w:val="00D05BDD"/>
    <w:rsid w:val="00D06101"/>
    <w:rsid w:val="00D06822"/>
    <w:rsid w:val="00D06D0B"/>
    <w:rsid w:val="00D07230"/>
    <w:rsid w:val="00D07A45"/>
    <w:rsid w:val="00D110FB"/>
    <w:rsid w:val="00D11763"/>
    <w:rsid w:val="00D119AB"/>
    <w:rsid w:val="00D11BD2"/>
    <w:rsid w:val="00D1241C"/>
    <w:rsid w:val="00D12671"/>
    <w:rsid w:val="00D12DAE"/>
    <w:rsid w:val="00D12EAF"/>
    <w:rsid w:val="00D13FD7"/>
    <w:rsid w:val="00D1421B"/>
    <w:rsid w:val="00D144ED"/>
    <w:rsid w:val="00D14B0F"/>
    <w:rsid w:val="00D14D08"/>
    <w:rsid w:val="00D158E3"/>
    <w:rsid w:val="00D15A93"/>
    <w:rsid w:val="00D15C03"/>
    <w:rsid w:val="00D16316"/>
    <w:rsid w:val="00D173BF"/>
    <w:rsid w:val="00D17F2E"/>
    <w:rsid w:val="00D20517"/>
    <w:rsid w:val="00D20E2A"/>
    <w:rsid w:val="00D2221E"/>
    <w:rsid w:val="00D223B5"/>
    <w:rsid w:val="00D22775"/>
    <w:rsid w:val="00D22B3E"/>
    <w:rsid w:val="00D2316F"/>
    <w:rsid w:val="00D2373C"/>
    <w:rsid w:val="00D24269"/>
    <w:rsid w:val="00D24344"/>
    <w:rsid w:val="00D24C71"/>
    <w:rsid w:val="00D24D8B"/>
    <w:rsid w:val="00D24DB6"/>
    <w:rsid w:val="00D25C98"/>
    <w:rsid w:val="00D25DD9"/>
    <w:rsid w:val="00D260C4"/>
    <w:rsid w:val="00D26540"/>
    <w:rsid w:val="00D272C5"/>
    <w:rsid w:val="00D2731A"/>
    <w:rsid w:val="00D27C25"/>
    <w:rsid w:val="00D27EFA"/>
    <w:rsid w:val="00D3001E"/>
    <w:rsid w:val="00D30723"/>
    <w:rsid w:val="00D3128F"/>
    <w:rsid w:val="00D3241E"/>
    <w:rsid w:val="00D326DD"/>
    <w:rsid w:val="00D32EC6"/>
    <w:rsid w:val="00D35169"/>
    <w:rsid w:val="00D35C12"/>
    <w:rsid w:val="00D362BA"/>
    <w:rsid w:val="00D36E45"/>
    <w:rsid w:val="00D3742A"/>
    <w:rsid w:val="00D37E18"/>
    <w:rsid w:val="00D4006D"/>
    <w:rsid w:val="00D400AF"/>
    <w:rsid w:val="00D401CD"/>
    <w:rsid w:val="00D4028C"/>
    <w:rsid w:val="00D40E9E"/>
    <w:rsid w:val="00D40FDA"/>
    <w:rsid w:val="00D4197D"/>
    <w:rsid w:val="00D41D16"/>
    <w:rsid w:val="00D42A72"/>
    <w:rsid w:val="00D43A38"/>
    <w:rsid w:val="00D43B16"/>
    <w:rsid w:val="00D43EFC"/>
    <w:rsid w:val="00D43FB4"/>
    <w:rsid w:val="00D44461"/>
    <w:rsid w:val="00D44DFC"/>
    <w:rsid w:val="00D44E13"/>
    <w:rsid w:val="00D44E2F"/>
    <w:rsid w:val="00D450C5"/>
    <w:rsid w:val="00D45527"/>
    <w:rsid w:val="00D45631"/>
    <w:rsid w:val="00D461AA"/>
    <w:rsid w:val="00D46F98"/>
    <w:rsid w:val="00D47A23"/>
    <w:rsid w:val="00D47CF7"/>
    <w:rsid w:val="00D508C6"/>
    <w:rsid w:val="00D50C9A"/>
    <w:rsid w:val="00D51D94"/>
    <w:rsid w:val="00D52C33"/>
    <w:rsid w:val="00D52E98"/>
    <w:rsid w:val="00D53902"/>
    <w:rsid w:val="00D53D0A"/>
    <w:rsid w:val="00D53EDF"/>
    <w:rsid w:val="00D5408D"/>
    <w:rsid w:val="00D54629"/>
    <w:rsid w:val="00D54DB7"/>
    <w:rsid w:val="00D54F1C"/>
    <w:rsid w:val="00D5544E"/>
    <w:rsid w:val="00D55538"/>
    <w:rsid w:val="00D5554D"/>
    <w:rsid w:val="00D5635C"/>
    <w:rsid w:val="00D56E3B"/>
    <w:rsid w:val="00D575E1"/>
    <w:rsid w:val="00D57C38"/>
    <w:rsid w:val="00D57F8E"/>
    <w:rsid w:val="00D604DC"/>
    <w:rsid w:val="00D60672"/>
    <w:rsid w:val="00D61A6D"/>
    <w:rsid w:val="00D61BF6"/>
    <w:rsid w:val="00D628F9"/>
    <w:rsid w:val="00D630D9"/>
    <w:rsid w:val="00D635B2"/>
    <w:rsid w:val="00D636C6"/>
    <w:rsid w:val="00D63860"/>
    <w:rsid w:val="00D63CBA"/>
    <w:rsid w:val="00D647A3"/>
    <w:rsid w:val="00D647AC"/>
    <w:rsid w:val="00D65646"/>
    <w:rsid w:val="00D6606A"/>
    <w:rsid w:val="00D66B01"/>
    <w:rsid w:val="00D677EE"/>
    <w:rsid w:val="00D7075F"/>
    <w:rsid w:val="00D70C4F"/>
    <w:rsid w:val="00D71083"/>
    <w:rsid w:val="00D72A98"/>
    <w:rsid w:val="00D72CF9"/>
    <w:rsid w:val="00D72DC5"/>
    <w:rsid w:val="00D73060"/>
    <w:rsid w:val="00D735A7"/>
    <w:rsid w:val="00D73BAE"/>
    <w:rsid w:val="00D7407B"/>
    <w:rsid w:val="00D74416"/>
    <w:rsid w:val="00D748C5"/>
    <w:rsid w:val="00D74D4C"/>
    <w:rsid w:val="00D74F67"/>
    <w:rsid w:val="00D74F73"/>
    <w:rsid w:val="00D7547D"/>
    <w:rsid w:val="00D75548"/>
    <w:rsid w:val="00D75AE1"/>
    <w:rsid w:val="00D77BA4"/>
    <w:rsid w:val="00D77E38"/>
    <w:rsid w:val="00D81657"/>
    <w:rsid w:val="00D81EA4"/>
    <w:rsid w:val="00D82287"/>
    <w:rsid w:val="00D82A59"/>
    <w:rsid w:val="00D82B84"/>
    <w:rsid w:val="00D837CB"/>
    <w:rsid w:val="00D83AE3"/>
    <w:rsid w:val="00D8450B"/>
    <w:rsid w:val="00D84610"/>
    <w:rsid w:val="00D84A39"/>
    <w:rsid w:val="00D85357"/>
    <w:rsid w:val="00D85561"/>
    <w:rsid w:val="00D857D4"/>
    <w:rsid w:val="00D87560"/>
    <w:rsid w:val="00D87CF7"/>
    <w:rsid w:val="00D90D99"/>
    <w:rsid w:val="00D9189B"/>
    <w:rsid w:val="00D91C72"/>
    <w:rsid w:val="00D91D88"/>
    <w:rsid w:val="00D93948"/>
    <w:rsid w:val="00D93DA7"/>
    <w:rsid w:val="00D945F6"/>
    <w:rsid w:val="00D9541E"/>
    <w:rsid w:val="00D9547F"/>
    <w:rsid w:val="00D95568"/>
    <w:rsid w:val="00D9678C"/>
    <w:rsid w:val="00DA0260"/>
    <w:rsid w:val="00DA046C"/>
    <w:rsid w:val="00DA0A6C"/>
    <w:rsid w:val="00DA0F6F"/>
    <w:rsid w:val="00DA0FFE"/>
    <w:rsid w:val="00DA1394"/>
    <w:rsid w:val="00DA1780"/>
    <w:rsid w:val="00DA2289"/>
    <w:rsid w:val="00DA2D4A"/>
    <w:rsid w:val="00DA2E0B"/>
    <w:rsid w:val="00DA42C2"/>
    <w:rsid w:val="00DA4876"/>
    <w:rsid w:val="00DA4C57"/>
    <w:rsid w:val="00DA4E40"/>
    <w:rsid w:val="00DA5309"/>
    <w:rsid w:val="00DA5E33"/>
    <w:rsid w:val="00DA6233"/>
    <w:rsid w:val="00DA6EBA"/>
    <w:rsid w:val="00DB03E4"/>
    <w:rsid w:val="00DB0B9B"/>
    <w:rsid w:val="00DB104F"/>
    <w:rsid w:val="00DB1198"/>
    <w:rsid w:val="00DB13A8"/>
    <w:rsid w:val="00DB17E6"/>
    <w:rsid w:val="00DB21FE"/>
    <w:rsid w:val="00DB2F0A"/>
    <w:rsid w:val="00DB3473"/>
    <w:rsid w:val="00DB3A63"/>
    <w:rsid w:val="00DB5E1E"/>
    <w:rsid w:val="00DB644D"/>
    <w:rsid w:val="00DB6EAA"/>
    <w:rsid w:val="00DC0D3E"/>
    <w:rsid w:val="00DC16C1"/>
    <w:rsid w:val="00DC1BFB"/>
    <w:rsid w:val="00DC3582"/>
    <w:rsid w:val="00DC59F0"/>
    <w:rsid w:val="00DC65AB"/>
    <w:rsid w:val="00DC7B9F"/>
    <w:rsid w:val="00DD060C"/>
    <w:rsid w:val="00DD075B"/>
    <w:rsid w:val="00DD111C"/>
    <w:rsid w:val="00DD13FA"/>
    <w:rsid w:val="00DD178D"/>
    <w:rsid w:val="00DD17AB"/>
    <w:rsid w:val="00DD194A"/>
    <w:rsid w:val="00DD2889"/>
    <w:rsid w:val="00DD36F6"/>
    <w:rsid w:val="00DD421A"/>
    <w:rsid w:val="00DD42FC"/>
    <w:rsid w:val="00DD4633"/>
    <w:rsid w:val="00DD46E1"/>
    <w:rsid w:val="00DD56A3"/>
    <w:rsid w:val="00DD5B72"/>
    <w:rsid w:val="00DD604A"/>
    <w:rsid w:val="00DD656D"/>
    <w:rsid w:val="00DD6FC3"/>
    <w:rsid w:val="00DD7458"/>
    <w:rsid w:val="00DD7A21"/>
    <w:rsid w:val="00DE0B42"/>
    <w:rsid w:val="00DE0CF3"/>
    <w:rsid w:val="00DE1802"/>
    <w:rsid w:val="00DE22A4"/>
    <w:rsid w:val="00DE2335"/>
    <w:rsid w:val="00DE2962"/>
    <w:rsid w:val="00DE2BF5"/>
    <w:rsid w:val="00DE327C"/>
    <w:rsid w:val="00DE3758"/>
    <w:rsid w:val="00DE465D"/>
    <w:rsid w:val="00DE4EF1"/>
    <w:rsid w:val="00DE5013"/>
    <w:rsid w:val="00DE5239"/>
    <w:rsid w:val="00DE595A"/>
    <w:rsid w:val="00DE5D2F"/>
    <w:rsid w:val="00DE6A62"/>
    <w:rsid w:val="00DE794E"/>
    <w:rsid w:val="00DF0E7F"/>
    <w:rsid w:val="00DF1DCF"/>
    <w:rsid w:val="00DF2DCF"/>
    <w:rsid w:val="00DF34D0"/>
    <w:rsid w:val="00DF3EA7"/>
    <w:rsid w:val="00DF453C"/>
    <w:rsid w:val="00DF4B5F"/>
    <w:rsid w:val="00DF5023"/>
    <w:rsid w:val="00DF533B"/>
    <w:rsid w:val="00DF55DD"/>
    <w:rsid w:val="00DF5689"/>
    <w:rsid w:val="00DF6158"/>
    <w:rsid w:val="00DF67E6"/>
    <w:rsid w:val="00DF6AD0"/>
    <w:rsid w:val="00DF6BF7"/>
    <w:rsid w:val="00E00218"/>
    <w:rsid w:val="00E01101"/>
    <w:rsid w:val="00E01162"/>
    <w:rsid w:val="00E0153B"/>
    <w:rsid w:val="00E0217C"/>
    <w:rsid w:val="00E0283B"/>
    <w:rsid w:val="00E02875"/>
    <w:rsid w:val="00E03F29"/>
    <w:rsid w:val="00E04FA1"/>
    <w:rsid w:val="00E05285"/>
    <w:rsid w:val="00E0568F"/>
    <w:rsid w:val="00E05EDF"/>
    <w:rsid w:val="00E06B53"/>
    <w:rsid w:val="00E06C2F"/>
    <w:rsid w:val="00E06C8C"/>
    <w:rsid w:val="00E07387"/>
    <w:rsid w:val="00E0750E"/>
    <w:rsid w:val="00E10D05"/>
    <w:rsid w:val="00E10D93"/>
    <w:rsid w:val="00E115B1"/>
    <w:rsid w:val="00E125CE"/>
    <w:rsid w:val="00E13616"/>
    <w:rsid w:val="00E15AC3"/>
    <w:rsid w:val="00E161CE"/>
    <w:rsid w:val="00E1641B"/>
    <w:rsid w:val="00E1649E"/>
    <w:rsid w:val="00E167F2"/>
    <w:rsid w:val="00E167F4"/>
    <w:rsid w:val="00E17309"/>
    <w:rsid w:val="00E17719"/>
    <w:rsid w:val="00E17917"/>
    <w:rsid w:val="00E17A06"/>
    <w:rsid w:val="00E17A48"/>
    <w:rsid w:val="00E2081A"/>
    <w:rsid w:val="00E20822"/>
    <w:rsid w:val="00E214A5"/>
    <w:rsid w:val="00E23E51"/>
    <w:rsid w:val="00E241F6"/>
    <w:rsid w:val="00E24241"/>
    <w:rsid w:val="00E2507A"/>
    <w:rsid w:val="00E25AB3"/>
    <w:rsid w:val="00E26017"/>
    <w:rsid w:val="00E27163"/>
    <w:rsid w:val="00E276EA"/>
    <w:rsid w:val="00E27AFE"/>
    <w:rsid w:val="00E30D7D"/>
    <w:rsid w:val="00E30EA8"/>
    <w:rsid w:val="00E313C4"/>
    <w:rsid w:val="00E322F6"/>
    <w:rsid w:val="00E3235C"/>
    <w:rsid w:val="00E32604"/>
    <w:rsid w:val="00E32F8E"/>
    <w:rsid w:val="00E333AF"/>
    <w:rsid w:val="00E3432C"/>
    <w:rsid w:val="00E348AE"/>
    <w:rsid w:val="00E3593E"/>
    <w:rsid w:val="00E35CF0"/>
    <w:rsid w:val="00E35FFB"/>
    <w:rsid w:val="00E36FBF"/>
    <w:rsid w:val="00E37389"/>
    <w:rsid w:val="00E378BD"/>
    <w:rsid w:val="00E37CD6"/>
    <w:rsid w:val="00E40C33"/>
    <w:rsid w:val="00E41149"/>
    <w:rsid w:val="00E4118F"/>
    <w:rsid w:val="00E415AE"/>
    <w:rsid w:val="00E41AE2"/>
    <w:rsid w:val="00E423B3"/>
    <w:rsid w:val="00E4242E"/>
    <w:rsid w:val="00E424E0"/>
    <w:rsid w:val="00E425B9"/>
    <w:rsid w:val="00E42EAC"/>
    <w:rsid w:val="00E43F81"/>
    <w:rsid w:val="00E4400C"/>
    <w:rsid w:val="00E44A5B"/>
    <w:rsid w:val="00E45043"/>
    <w:rsid w:val="00E45554"/>
    <w:rsid w:val="00E476AA"/>
    <w:rsid w:val="00E47DF4"/>
    <w:rsid w:val="00E50803"/>
    <w:rsid w:val="00E50A07"/>
    <w:rsid w:val="00E50BE7"/>
    <w:rsid w:val="00E51A73"/>
    <w:rsid w:val="00E51DC2"/>
    <w:rsid w:val="00E51EAE"/>
    <w:rsid w:val="00E522F7"/>
    <w:rsid w:val="00E5335C"/>
    <w:rsid w:val="00E54D7C"/>
    <w:rsid w:val="00E55BF8"/>
    <w:rsid w:val="00E55E0E"/>
    <w:rsid w:val="00E5691B"/>
    <w:rsid w:val="00E56C37"/>
    <w:rsid w:val="00E57262"/>
    <w:rsid w:val="00E60044"/>
    <w:rsid w:val="00E61D00"/>
    <w:rsid w:val="00E62CB9"/>
    <w:rsid w:val="00E6322A"/>
    <w:rsid w:val="00E634EB"/>
    <w:rsid w:val="00E6359E"/>
    <w:rsid w:val="00E635C5"/>
    <w:rsid w:val="00E63713"/>
    <w:rsid w:val="00E63CBD"/>
    <w:rsid w:val="00E63D03"/>
    <w:rsid w:val="00E663D6"/>
    <w:rsid w:val="00E663DD"/>
    <w:rsid w:val="00E66C34"/>
    <w:rsid w:val="00E70081"/>
    <w:rsid w:val="00E709CC"/>
    <w:rsid w:val="00E71B98"/>
    <w:rsid w:val="00E71BD6"/>
    <w:rsid w:val="00E722E5"/>
    <w:rsid w:val="00E724B2"/>
    <w:rsid w:val="00E72684"/>
    <w:rsid w:val="00E738E5"/>
    <w:rsid w:val="00E73AD4"/>
    <w:rsid w:val="00E7410E"/>
    <w:rsid w:val="00E74195"/>
    <w:rsid w:val="00E7478C"/>
    <w:rsid w:val="00E748A4"/>
    <w:rsid w:val="00E7525D"/>
    <w:rsid w:val="00E7602C"/>
    <w:rsid w:val="00E763AA"/>
    <w:rsid w:val="00E76642"/>
    <w:rsid w:val="00E76894"/>
    <w:rsid w:val="00E768A2"/>
    <w:rsid w:val="00E76C9F"/>
    <w:rsid w:val="00E76DFB"/>
    <w:rsid w:val="00E76F1C"/>
    <w:rsid w:val="00E77FDF"/>
    <w:rsid w:val="00E80802"/>
    <w:rsid w:val="00E80C9D"/>
    <w:rsid w:val="00E80F8E"/>
    <w:rsid w:val="00E82137"/>
    <w:rsid w:val="00E84A16"/>
    <w:rsid w:val="00E854F1"/>
    <w:rsid w:val="00E85509"/>
    <w:rsid w:val="00E85DB7"/>
    <w:rsid w:val="00E86357"/>
    <w:rsid w:val="00E871D0"/>
    <w:rsid w:val="00E87379"/>
    <w:rsid w:val="00E8740E"/>
    <w:rsid w:val="00E90E96"/>
    <w:rsid w:val="00E91533"/>
    <w:rsid w:val="00E9287A"/>
    <w:rsid w:val="00E92A36"/>
    <w:rsid w:val="00E9460D"/>
    <w:rsid w:val="00E94660"/>
    <w:rsid w:val="00E94E05"/>
    <w:rsid w:val="00E95242"/>
    <w:rsid w:val="00E9542B"/>
    <w:rsid w:val="00E95BB5"/>
    <w:rsid w:val="00E95F6E"/>
    <w:rsid w:val="00E96FE8"/>
    <w:rsid w:val="00E97BEA"/>
    <w:rsid w:val="00EA0261"/>
    <w:rsid w:val="00EA03A7"/>
    <w:rsid w:val="00EA0B7F"/>
    <w:rsid w:val="00EA0D99"/>
    <w:rsid w:val="00EA10D9"/>
    <w:rsid w:val="00EA14C0"/>
    <w:rsid w:val="00EA16EE"/>
    <w:rsid w:val="00EA1D37"/>
    <w:rsid w:val="00EA29D4"/>
    <w:rsid w:val="00EA29F2"/>
    <w:rsid w:val="00EA2CD3"/>
    <w:rsid w:val="00EA381B"/>
    <w:rsid w:val="00EA38B3"/>
    <w:rsid w:val="00EA38C4"/>
    <w:rsid w:val="00EA3C99"/>
    <w:rsid w:val="00EA45A9"/>
    <w:rsid w:val="00EA45FF"/>
    <w:rsid w:val="00EA51A1"/>
    <w:rsid w:val="00EA5EC0"/>
    <w:rsid w:val="00EA622E"/>
    <w:rsid w:val="00EA6BE3"/>
    <w:rsid w:val="00EA7344"/>
    <w:rsid w:val="00EA7749"/>
    <w:rsid w:val="00EA7B1F"/>
    <w:rsid w:val="00EB0EE4"/>
    <w:rsid w:val="00EB27E8"/>
    <w:rsid w:val="00EB29FF"/>
    <w:rsid w:val="00EB2BB8"/>
    <w:rsid w:val="00EB4990"/>
    <w:rsid w:val="00EB5374"/>
    <w:rsid w:val="00EB550A"/>
    <w:rsid w:val="00EB59E0"/>
    <w:rsid w:val="00EB68AC"/>
    <w:rsid w:val="00EB6CED"/>
    <w:rsid w:val="00EC0804"/>
    <w:rsid w:val="00EC09C8"/>
    <w:rsid w:val="00EC1101"/>
    <w:rsid w:val="00EC114A"/>
    <w:rsid w:val="00EC18E0"/>
    <w:rsid w:val="00EC1F39"/>
    <w:rsid w:val="00EC2495"/>
    <w:rsid w:val="00EC2612"/>
    <w:rsid w:val="00EC266D"/>
    <w:rsid w:val="00EC28BE"/>
    <w:rsid w:val="00EC390C"/>
    <w:rsid w:val="00EC3C07"/>
    <w:rsid w:val="00EC3DE1"/>
    <w:rsid w:val="00EC409E"/>
    <w:rsid w:val="00EC40CE"/>
    <w:rsid w:val="00EC45B6"/>
    <w:rsid w:val="00EC4F13"/>
    <w:rsid w:val="00EC54EC"/>
    <w:rsid w:val="00EC578A"/>
    <w:rsid w:val="00EC6436"/>
    <w:rsid w:val="00EC67A0"/>
    <w:rsid w:val="00EC692E"/>
    <w:rsid w:val="00EC6E74"/>
    <w:rsid w:val="00EC7138"/>
    <w:rsid w:val="00ED020C"/>
    <w:rsid w:val="00ED0DAE"/>
    <w:rsid w:val="00ED1058"/>
    <w:rsid w:val="00ED194C"/>
    <w:rsid w:val="00ED31FF"/>
    <w:rsid w:val="00ED37D8"/>
    <w:rsid w:val="00ED412B"/>
    <w:rsid w:val="00ED57FE"/>
    <w:rsid w:val="00ED5DF4"/>
    <w:rsid w:val="00ED68CC"/>
    <w:rsid w:val="00ED712A"/>
    <w:rsid w:val="00ED75CF"/>
    <w:rsid w:val="00ED7679"/>
    <w:rsid w:val="00ED7961"/>
    <w:rsid w:val="00ED79A9"/>
    <w:rsid w:val="00ED7EFE"/>
    <w:rsid w:val="00EE0823"/>
    <w:rsid w:val="00EE082F"/>
    <w:rsid w:val="00EE22A0"/>
    <w:rsid w:val="00EE2EDC"/>
    <w:rsid w:val="00EE3D59"/>
    <w:rsid w:val="00EE42A7"/>
    <w:rsid w:val="00EE4BD1"/>
    <w:rsid w:val="00EE4CD7"/>
    <w:rsid w:val="00EE50C5"/>
    <w:rsid w:val="00EE6FCF"/>
    <w:rsid w:val="00EE72DC"/>
    <w:rsid w:val="00EE73C5"/>
    <w:rsid w:val="00EF01AC"/>
    <w:rsid w:val="00EF17E0"/>
    <w:rsid w:val="00EF1EB8"/>
    <w:rsid w:val="00EF23C2"/>
    <w:rsid w:val="00EF23EE"/>
    <w:rsid w:val="00EF5085"/>
    <w:rsid w:val="00EF54EB"/>
    <w:rsid w:val="00EF55A5"/>
    <w:rsid w:val="00EF59C9"/>
    <w:rsid w:val="00EF5F0E"/>
    <w:rsid w:val="00EF623C"/>
    <w:rsid w:val="00EF6CF2"/>
    <w:rsid w:val="00EF6D14"/>
    <w:rsid w:val="00EF6D65"/>
    <w:rsid w:val="00EF70A8"/>
    <w:rsid w:val="00EF7E76"/>
    <w:rsid w:val="00F00A1A"/>
    <w:rsid w:val="00F0265C"/>
    <w:rsid w:val="00F038A8"/>
    <w:rsid w:val="00F06613"/>
    <w:rsid w:val="00F070CB"/>
    <w:rsid w:val="00F071ED"/>
    <w:rsid w:val="00F07B6A"/>
    <w:rsid w:val="00F10909"/>
    <w:rsid w:val="00F11EBE"/>
    <w:rsid w:val="00F11F36"/>
    <w:rsid w:val="00F11F9F"/>
    <w:rsid w:val="00F12A63"/>
    <w:rsid w:val="00F12AF0"/>
    <w:rsid w:val="00F12F4C"/>
    <w:rsid w:val="00F133AD"/>
    <w:rsid w:val="00F142B6"/>
    <w:rsid w:val="00F143CA"/>
    <w:rsid w:val="00F16C8B"/>
    <w:rsid w:val="00F16F9B"/>
    <w:rsid w:val="00F17A2E"/>
    <w:rsid w:val="00F208D3"/>
    <w:rsid w:val="00F20B38"/>
    <w:rsid w:val="00F20D46"/>
    <w:rsid w:val="00F21266"/>
    <w:rsid w:val="00F2146F"/>
    <w:rsid w:val="00F214C0"/>
    <w:rsid w:val="00F219E7"/>
    <w:rsid w:val="00F22A94"/>
    <w:rsid w:val="00F22FE6"/>
    <w:rsid w:val="00F23339"/>
    <w:rsid w:val="00F24D82"/>
    <w:rsid w:val="00F252F6"/>
    <w:rsid w:val="00F25B2D"/>
    <w:rsid w:val="00F25ECF"/>
    <w:rsid w:val="00F263B7"/>
    <w:rsid w:val="00F274E1"/>
    <w:rsid w:val="00F3094C"/>
    <w:rsid w:val="00F30B72"/>
    <w:rsid w:val="00F315EA"/>
    <w:rsid w:val="00F31C29"/>
    <w:rsid w:val="00F32784"/>
    <w:rsid w:val="00F32825"/>
    <w:rsid w:val="00F32857"/>
    <w:rsid w:val="00F3285D"/>
    <w:rsid w:val="00F32B4C"/>
    <w:rsid w:val="00F32C83"/>
    <w:rsid w:val="00F32CDF"/>
    <w:rsid w:val="00F32F79"/>
    <w:rsid w:val="00F33442"/>
    <w:rsid w:val="00F33E55"/>
    <w:rsid w:val="00F340BD"/>
    <w:rsid w:val="00F3469D"/>
    <w:rsid w:val="00F34B38"/>
    <w:rsid w:val="00F353FF"/>
    <w:rsid w:val="00F3554D"/>
    <w:rsid w:val="00F35706"/>
    <w:rsid w:val="00F35808"/>
    <w:rsid w:val="00F35A65"/>
    <w:rsid w:val="00F374A5"/>
    <w:rsid w:val="00F374C6"/>
    <w:rsid w:val="00F37A2F"/>
    <w:rsid w:val="00F410C8"/>
    <w:rsid w:val="00F4119B"/>
    <w:rsid w:val="00F421C1"/>
    <w:rsid w:val="00F423AF"/>
    <w:rsid w:val="00F42DD0"/>
    <w:rsid w:val="00F43E16"/>
    <w:rsid w:val="00F43E29"/>
    <w:rsid w:val="00F4447B"/>
    <w:rsid w:val="00F44F3C"/>
    <w:rsid w:val="00F45748"/>
    <w:rsid w:val="00F45F1E"/>
    <w:rsid w:val="00F47057"/>
    <w:rsid w:val="00F47775"/>
    <w:rsid w:val="00F47A5D"/>
    <w:rsid w:val="00F50FDA"/>
    <w:rsid w:val="00F51196"/>
    <w:rsid w:val="00F527FC"/>
    <w:rsid w:val="00F537A6"/>
    <w:rsid w:val="00F53F23"/>
    <w:rsid w:val="00F5450A"/>
    <w:rsid w:val="00F55242"/>
    <w:rsid w:val="00F557E6"/>
    <w:rsid w:val="00F55D04"/>
    <w:rsid w:val="00F570C6"/>
    <w:rsid w:val="00F570FA"/>
    <w:rsid w:val="00F60BE6"/>
    <w:rsid w:val="00F61DD4"/>
    <w:rsid w:val="00F639BA"/>
    <w:rsid w:val="00F639FC"/>
    <w:rsid w:val="00F64F4A"/>
    <w:rsid w:val="00F650E7"/>
    <w:rsid w:val="00F65423"/>
    <w:rsid w:val="00F65CFA"/>
    <w:rsid w:val="00F66015"/>
    <w:rsid w:val="00F66959"/>
    <w:rsid w:val="00F70B13"/>
    <w:rsid w:val="00F71A34"/>
    <w:rsid w:val="00F71B22"/>
    <w:rsid w:val="00F71E57"/>
    <w:rsid w:val="00F72413"/>
    <w:rsid w:val="00F72874"/>
    <w:rsid w:val="00F731AF"/>
    <w:rsid w:val="00F73470"/>
    <w:rsid w:val="00F73F02"/>
    <w:rsid w:val="00F74628"/>
    <w:rsid w:val="00F74A45"/>
    <w:rsid w:val="00F74D41"/>
    <w:rsid w:val="00F75B39"/>
    <w:rsid w:val="00F75FBD"/>
    <w:rsid w:val="00F7671F"/>
    <w:rsid w:val="00F76999"/>
    <w:rsid w:val="00F76C00"/>
    <w:rsid w:val="00F76CED"/>
    <w:rsid w:val="00F77090"/>
    <w:rsid w:val="00F7775A"/>
    <w:rsid w:val="00F77D7B"/>
    <w:rsid w:val="00F804EC"/>
    <w:rsid w:val="00F80E34"/>
    <w:rsid w:val="00F8194D"/>
    <w:rsid w:val="00F81AA6"/>
    <w:rsid w:val="00F82023"/>
    <w:rsid w:val="00F821E6"/>
    <w:rsid w:val="00F83091"/>
    <w:rsid w:val="00F84A3D"/>
    <w:rsid w:val="00F84A4E"/>
    <w:rsid w:val="00F84FA1"/>
    <w:rsid w:val="00F85C53"/>
    <w:rsid w:val="00F86A5C"/>
    <w:rsid w:val="00F86EA1"/>
    <w:rsid w:val="00F87465"/>
    <w:rsid w:val="00F90C6D"/>
    <w:rsid w:val="00F91A8B"/>
    <w:rsid w:val="00F91EFB"/>
    <w:rsid w:val="00F9244B"/>
    <w:rsid w:val="00F93307"/>
    <w:rsid w:val="00F94080"/>
    <w:rsid w:val="00F94224"/>
    <w:rsid w:val="00F9422F"/>
    <w:rsid w:val="00F94826"/>
    <w:rsid w:val="00F9582C"/>
    <w:rsid w:val="00F95896"/>
    <w:rsid w:val="00F96FDE"/>
    <w:rsid w:val="00F97E50"/>
    <w:rsid w:val="00FA003B"/>
    <w:rsid w:val="00FA020F"/>
    <w:rsid w:val="00FA30BF"/>
    <w:rsid w:val="00FA3480"/>
    <w:rsid w:val="00FA4128"/>
    <w:rsid w:val="00FA4E0E"/>
    <w:rsid w:val="00FA5A70"/>
    <w:rsid w:val="00FA73A0"/>
    <w:rsid w:val="00FB0740"/>
    <w:rsid w:val="00FB1245"/>
    <w:rsid w:val="00FB18C9"/>
    <w:rsid w:val="00FB19F4"/>
    <w:rsid w:val="00FB1A31"/>
    <w:rsid w:val="00FB26F0"/>
    <w:rsid w:val="00FB5146"/>
    <w:rsid w:val="00FB52B2"/>
    <w:rsid w:val="00FB5C65"/>
    <w:rsid w:val="00FB60DF"/>
    <w:rsid w:val="00FB6259"/>
    <w:rsid w:val="00FB6C6B"/>
    <w:rsid w:val="00FB7168"/>
    <w:rsid w:val="00FB7266"/>
    <w:rsid w:val="00FB73F5"/>
    <w:rsid w:val="00FB746D"/>
    <w:rsid w:val="00FB7C82"/>
    <w:rsid w:val="00FC031A"/>
    <w:rsid w:val="00FC050D"/>
    <w:rsid w:val="00FC0B38"/>
    <w:rsid w:val="00FC0C44"/>
    <w:rsid w:val="00FC119E"/>
    <w:rsid w:val="00FC14E8"/>
    <w:rsid w:val="00FC1DD3"/>
    <w:rsid w:val="00FC236B"/>
    <w:rsid w:val="00FC28DA"/>
    <w:rsid w:val="00FC293E"/>
    <w:rsid w:val="00FC3152"/>
    <w:rsid w:val="00FC35B2"/>
    <w:rsid w:val="00FC3A88"/>
    <w:rsid w:val="00FC3BA8"/>
    <w:rsid w:val="00FC4BA0"/>
    <w:rsid w:val="00FC61E6"/>
    <w:rsid w:val="00FC711D"/>
    <w:rsid w:val="00FC74FC"/>
    <w:rsid w:val="00FC7C50"/>
    <w:rsid w:val="00FD0549"/>
    <w:rsid w:val="00FD0851"/>
    <w:rsid w:val="00FD2737"/>
    <w:rsid w:val="00FD2A58"/>
    <w:rsid w:val="00FD397A"/>
    <w:rsid w:val="00FD4701"/>
    <w:rsid w:val="00FD4EF6"/>
    <w:rsid w:val="00FD56D6"/>
    <w:rsid w:val="00FD5FEC"/>
    <w:rsid w:val="00FD6B4C"/>
    <w:rsid w:val="00FD782C"/>
    <w:rsid w:val="00FE0BDF"/>
    <w:rsid w:val="00FE11EE"/>
    <w:rsid w:val="00FE215C"/>
    <w:rsid w:val="00FE216E"/>
    <w:rsid w:val="00FE2B7C"/>
    <w:rsid w:val="00FE2F4C"/>
    <w:rsid w:val="00FE44DF"/>
    <w:rsid w:val="00FE45BC"/>
    <w:rsid w:val="00FE4D25"/>
    <w:rsid w:val="00FE4D2E"/>
    <w:rsid w:val="00FE54EA"/>
    <w:rsid w:val="00FE5AF8"/>
    <w:rsid w:val="00FE60B2"/>
    <w:rsid w:val="00FE613B"/>
    <w:rsid w:val="00FE67A2"/>
    <w:rsid w:val="00FE78CA"/>
    <w:rsid w:val="00FE7C16"/>
    <w:rsid w:val="00FF0299"/>
    <w:rsid w:val="00FF0692"/>
    <w:rsid w:val="00FF0C54"/>
    <w:rsid w:val="00FF1148"/>
    <w:rsid w:val="00FF1497"/>
    <w:rsid w:val="00FF22E3"/>
    <w:rsid w:val="00FF32E4"/>
    <w:rsid w:val="00FF3E9A"/>
    <w:rsid w:val="00FF4BF4"/>
    <w:rsid w:val="00FF533B"/>
    <w:rsid w:val="00FF6795"/>
    <w:rsid w:val="00FF6F31"/>
    <w:rsid w:val="00FF7063"/>
    <w:rsid w:val="00FF72BF"/>
    <w:rsid w:val="00FF769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86A0CA"/>
  <w15:docId w15:val="{2E911187-2A47-4894-A9E9-79983EB0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8D3"/>
    <w:pPr>
      <w:spacing w:after="3" w:line="219" w:lineRule="auto"/>
      <w:ind w:left="10" w:right="2" w:hanging="10"/>
      <w:jc w:val="both"/>
    </w:pPr>
    <w:rPr>
      <w:rFonts w:ascii="Avant Garde" w:eastAsia="Avant Garde" w:hAnsi="Avant Garde" w:cs="Avant Garde"/>
      <w:color w:val="000000"/>
      <w:lang w:eastAsia="es-MX"/>
    </w:rPr>
  </w:style>
  <w:style w:type="paragraph" w:styleId="Ttulo1">
    <w:name w:val="heading 1"/>
    <w:aliases w:val="h1,TOC,Heading,Numbered - 1,ARC 1,heading1,q,Heading 2-SOW,1,Gp Heading,Part,Chapter Heading,Section Heading,KJL:Main,H1,Document, Document,l,h,l1,11,12,13,14,15,111,121,131,141,16,112,122,132,142,17,113,123,133,143,18,114,124,134,144,19,115,a"/>
    <w:next w:val="Normal"/>
    <w:link w:val="Ttulo1Car"/>
    <w:uiPriority w:val="9"/>
    <w:unhideWhenUsed/>
    <w:qFormat/>
    <w:rsid w:val="00BC09A3"/>
    <w:pPr>
      <w:keepNext/>
      <w:keepLines/>
      <w:spacing w:after="0"/>
      <w:ind w:left="370" w:hanging="10"/>
      <w:outlineLvl w:val="0"/>
    </w:pPr>
    <w:rPr>
      <w:rFonts w:ascii="Avant Garde" w:eastAsia="Avant Garde" w:hAnsi="Avant Garde" w:cs="Avant Garde"/>
      <w:color w:val="000000"/>
      <w:sz w:val="24"/>
      <w:lang w:eastAsia="es-MX"/>
    </w:rPr>
  </w:style>
  <w:style w:type="paragraph" w:styleId="Ttulo2">
    <w:name w:val="heading 2"/>
    <w:aliases w:val="h2,Section,Numbered - 2,Major,título 2,ARC 2,Para2,heading2,2,headi,h21,h22,21,H2,w,heading 2,headline,side,l2,list + change bar,???,Titre 2,Chapter,1.Seite,Sub Heading,Reset numbering,KJL:1st Level,sl2,22,23,211,221,24,212,222,25,213,223,26"/>
    <w:basedOn w:val="Normal"/>
    <w:next w:val="Normal"/>
    <w:link w:val="Ttulo2Car"/>
    <w:uiPriority w:val="9"/>
    <w:unhideWhenUsed/>
    <w:qFormat/>
    <w:rsid w:val="00766183"/>
    <w:pPr>
      <w:keepNext/>
      <w:keepLines/>
      <w:spacing w:before="360" w:after="240" w:line="320" w:lineRule="atLeast"/>
      <w:ind w:left="0" w:right="0" w:hanging="499"/>
      <w:outlineLvl w:val="1"/>
    </w:pPr>
    <w:rPr>
      <w:rFonts w:ascii="Times New Roman" w:eastAsia="Times New Roman" w:hAnsi="Times New Roman" w:cs="Times New Roman"/>
      <w:b/>
      <w:bCs/>
      <w:color w:val="auto"/>
      <w:sz w:val="24"/>
      <w:szCs w:val="26"/>
      <w:lang w:val="es-ES" w:eastAsia="en-US"/>
    </w:rPr>
  </w:style>
  <w:style w:type="paragraph" w:styleId="Ttulo3">
    <w:name w:val="heading 3"/>
    <w:aliases w:val="h3,3,l3,Guide 3,Head 3,List level 3,list 3,l3+toc 3,CT,X.X.X,two dig,C Sub-Sub/Italic,Head 31,Head 32,C Sub-Sub/Italic1,h3 sub heading,H3,3m,Normal + num,Heading three,Sub-section,heading 3,H31,Titre 3,_hh_Heading3,Sub-Section,ARC 3,heading3,e"/>
    <w:basedOn w:val="Normal"/>
    <w:next w:val="Normal"/>
    <w:link w:val="Ttulo3Car"/>
    <w:uiPriority w:val="9"/>
    <w:unhideWhenUsed/>
    <w:qFormat/>
    <w:rsid w:val="00766183"/>
    <w:pPr>
      <w:keepNext/>
      <w:keepLines/>
      <w:spacing w:before="360" w:after="240" w:line="320" w:lineRule="atLeast"/>
      <w:ind w:left="0" w:right="0" w:hanging="499"/>
      <w:outlineLvl w:val="2"/>
    </w:pPr>
    <w:rPr>
      <w:rFonts w:ascii="Times New Roman" w:eastAsia="Times New Roman" w:hAnsi="Times New Roman" w:cs="Times New Roman"/>
      <w:b/>
      <w:bCs/>
      <w:color w:val="auto"/>
      <w:lang w:val="es-ES" w:eastAsia="en-US"/>
    </w:rPr>
  </w:style>
  <w:style w:type="paragraph" w:styleId="Ttulo4">
    <w:name w:val="heading 4"/>
    <w:aliases w:val="h4,Underunderafsnit"/>
    <w:basedOn w:val="Normal"/>
    <w:next w:val="Normal"/>
    <w:link w:val="Ttulo4Car"/>
    <w:uiPriority w:val="9"/>
    <w:unhideWhenUsed/>
    <w:qFormat/>
    <w:rsid w:val="00766183"/>
    <w:pPr>
      <w:keepNext/>
      <w:keepLines/>
      <w:spacing w:before="360" w:after="240" w:line="320" w:lineRule="atLeast"/>
      <w:ind w:left="0" w:right="0" w:firstLine="0"/>
      <w:outlineLvl w:val="3"/>
    </w:pPr>
    <w:rPr>
      <w:rFonts w:ascii="Times New Roman" w:eastAsia="Times New Roman" w:hAnsi="Times New Roman" w:cs="Times New Roman"/>
      <w:bCs/>
      <w:i/>
      <w:iCs/>
      <w:color w:val="auto"/>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TOC Car,Heading Car,Numbered - 1 Car,ARC 1 Car,heading1 Car,q Car,Heading 2-SOW Car,1 Car,Gp Heading Car,Part Car,Chapter Heading Car,Section Heading Car,KJL:Main Car,H1 Car,Document Car, Document Car,l Car,h Car,l1 Car,11 Car,12 Car"/>
    <w:basedOn w:val="Fuentedeprrafopredeter"/>
    <w:link w:val="Ttulo1"/>
    <w:uiPriority w:val="9"/>
    <w:rsid w:val="00BC09A3"/>
    <w:rPr>
      <w:rFonts w:ascii="Avant Garde" w:eastAsia="Avant Garde" w:hAnsi="Avant Garde" w:cs="Avant Garde"/>
      <w:color w:val="000000"/>
      <w:sz w:val="24"/>
      <w:lang w:eastAsia="es-MX"/>
    </w:rPr>
  </w:style>
  <w:style w:type="paragraph" w:styleId="Prrafodelista">
    <w:name w:val="List Paragraph"/>
    <w:aliases w:val="Footnote,4 Viñ 1nivel,Numeración 1,Bullet List,FooterText,numbered,List Paragraph1,Paragraphe de liste1,Bulletr List Paragraph,列出段落,列出段落1,Cuadros,Lista general,Párrafo de tabla"/>
    <w:basedOn w:val="Normal"/>
    <w:link w:val="PrrafodelistaCar"/>
    <w:uiPriority w:val="34"/>
    <w:qFormat/>
    <w:rsid w:val="00D44461"/>
    <w:pPr>
      <w:ind w:left="720"/>
      <w:contextualSpacing/>
    </w:pPr>
  </w:style>
  <w:style w:type="paragraph" w:customStyle="1" w:styleId="Default">
    <w:name w:val="Default"/>
    <w:rsid w:val="00AA46AD"/>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semiHidden/>
    <w:unhideWhenUsed/>
    <w:rsid w:val="00AC1A4D"/>
    <w:rPr>
      <w:sz w:val="16"/>
      <w:szCs w:val="16"/>
    </w:rPr>
  </w:style>
  <w:style w:type="paragraph" w:styleId="Textocomentario">
    <w:name w:val="annotation text"/>
    <w:basedOn w:val="Normal"/>
    <w:link w:val="TextocomentarioCar"/>
    <w:uiPriority w:val="99"/>
    <w:unhideWhenUsed/>
    <w:rsid w:val="00AC1A4D"/>
    <w:pPr>
      <w:spacing w:after="20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uiPriority w:val="99"/>
    <w:rsid w:val="00AC1A4D"/>
    <w:rPr>
      <w:sz w:val="20"/>
      <w:szCs w:val="20"/>
    </w:rPr>
  </w:style>
  <w:style w:type="paragraph" w:styleId="Textodeglobo">
    <w:name w:val="Balloon Text"/>
    <w:basedOn w:val="Normal"/>
    <w:link w:val="TextodegloboCar"/>
    <w:uiPriority w:val="99"/>
    <w:unhideWhenUsed/>
    <w:rsid w:val="00AC1A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C1A4D"/>
    <w:rPr>
      <w:rFonts w:ascii="Segoe UI" w:eastAsia="Avant Garde" w:hAnsi="Segoe UI" w:cs="Segoe UI"/>
      <w:color w:val="000000"/>
      <w:sz w:val="18"/>
      <w:szCs w:val="18"/>
      <w:lang w:eastAsia="es-MX"/>
    </w:rPr>
  </w:style>
  <w:style w:type="character" w:styleId="Hipervnculo">
    <w:name w:val="Hyperlink"/>
    <w:basedOn w:val="Fuentedeprrafopredeter"/>
    <w:uiPriority w:val="99"/>
    <w:unhideWhenUsed/>
    <w:rsid w:val="00392711"/>
    <w:rPr>
      <w:color w:val="0563C1" w:themeColor="hyperlink"/>
      <w:u w:val="single"/>
    </w:rPr>
  </w:style>
  <w:style w:type="character" w:customStyle="1" w:styleId="apple-converted-space">
    <w:name w:val="apple-converted-space"/>
    <w:basedOn w:val="Fuentedeprrafopredeter"/>
    <w:rsid w:val="00D53D0A"/>
  </w:style>
  <w:style w:type="paragraph" w:styleId="Textoindependiente2">
    <w:name w:val="Body Text 2"/>
    <w:basedOn w:val="Normal"/>
    <w:link w:val="Textoindependiente2Car"/>
    <w:rsid w:val="00BD128A"/>
    <w:pPr>
      <w:spacing w:after="0" w:line="240" w:lineRule="auto"/>
      <w:ind w:left="0" w:right="0" w:firstLine="0"/>
    </w:pPr>
    <w:rPr>
      <w:rFonts w:ascii="Arial" w:eastAsia="Times New Roman" w:hAnsi="Arial" w:cs="Arial"/>
      <w:snapToGrid w:val="0"/>
      <w:color w:val="auto"/>
      <w:szCs w:val="20"/>
      <w:lang w:eastAsia="en-US"/>
    </w:rPr>
  </w:style>
  <w:style w:type="character" w:customStyle="1" w:styleId="Textoindependiente2Car">
    <w:name w:val="Texto independiente 2 Car"/>
    <w:basedOn w:val="Fuentedeprrafopredeter"/>
    <w:link w:val="Textoindependiente2"/>
    <w:rsid w:val="00BD128A"/>
    <w:rPr>
      <w:rFonts w:ascii="Arial" w:eastAsia="Times New Roman" w:hAnsi="Arial" w:cs="Arial"/>
      <w:snapToGrid w:val="0"/>
      <w:szCs w:val="20"/>
    </w:rPr>
  </w:style>
  <w:style w:type="character" w:customStyle="1" w:styleId="PrrafodelistaCar">
    <w:name w:val="Párrafo de lista Car"/>
    <w:aliases w:val="Footnote Car,4 Viñ 1nivel Car,Numeración 1 Car,Bullet List Car,FooterText Car,numbered Car,List Paragraph1 Car,Paragraphe de liste1 Car,Bulletr List Paragraph Car,列出段落 Car,列出段落1 Car,Cuadros Car,Lista general Car,Párrafo de tabla Car"/>
    <w:basedOn w:val="Fuentedeprrafopredeter"/>
    <w:link w:val="Prrafodelista"/>
    <w:uiPriority w:val="34"/>
    <w:rsid w:val="00BD128A"/>
    <w:rPr>
      <w:rFonts w:ascii="Avant Garde" w:eastAsia="Avant Garde" w:hAnsi="Avant Garde" w:cs="Avant Garde"/>
      <w:color w:val="000000"/>
      <w:lang w:eastAsia="es-MX"/>
    </w:rPr>
  </w:style>
  <w:style w:type="paragraph" w:customStyle="1" w:styleId="Ejemplo">
    <w:name w:val="Ejemplo"/>
    <w:basedOn w:val="Normal"/>
    <w:link w:val="EjemploChar"/>
    <w:qFormat/>
    <w:rsid w:val="00E94660"/>
    <w:pPr>
      <w:spacing w:before="240" w:after="240" w:line="276" w:lineRule="auto"/>
      <w:ind w:left="0" w:right="0" w:firstLine="0"/>
      <w:jc w:val="center"/>
    </w:pPr>
    <w:rPr>
      <w:rFonts w:ascii="ITC Avant Garde" w:eastAsia="Times New Roman" w:hAnsi="ITC Avant Garde" w:cs="Arial"/>
      <w:color w:val="auto"/>
    </w:rPr>
  </w:style>
  <w:style w:type="character" w:customStyle="1" w:styleId="EjemploChar">
    <w:name w:val="Ejemplo Char"/>
    <w:basedOn w:val="Fuentedeprrafopredeter"/>
    <w:link w:val="Ejemplo"/>
    <w:rsid w:val="00E94660"/>
    <w:rPr>
      <w:rFonts w:ascii="ITC Avant Garde" w:eastAsia="Times New Roman" w:hAnsi="ITC Avant Garde" w:cs="Arial"/>
      <w:lang w:eastAsia="es-MX"/>
    </w:rPr>
  </w:style>
  <w:style w:type="paragraph" w:customStyle="1" w:styleId="Titulo2">
    <w:name w:val="Titulo 2"/>
    <w:basedOn w:val="Normal"/>
    <w:rsid w:val="00F0265C"/>
    <w:pPr>
      <w:pBdr>
        <w:top w:val="double" w:sz="6" w:space="1" w:color="auto"/>
      </w:pBdr>
      <w:spacing w:after="101" w:line="240" w:lineRule="auto"/>
      <w:ind w:left="0" w:right="0" w:firstLine="0"/>
      <w:outlineLvl w:val="1"/>
    </w:pPr>
    <w:rPr>
      <w:rFonts w:ascii="Arial" w:eastAsia="Times New Roman" w:hAnsi="Arial" w:cs="Arial"/>
      <w:color w:val="auto"/>
      <w:sz w:val="18"/>
      <w:szCs w:val="20"/>
      <w:lang w:eastAsia="es-ES"/>
    </w:rPr>
  </w:style>
  <w:style w:type="paragraph" w:customStyle="1" w:styleId="Textoindependiente21">
    <w:name w:val="Texto independiente 21"/>
    <w:basedOn w:val="Normal"/>
    <w:rsid w:val="00EB27E8"/>
    <w:pPr>
      <w:suppressAutoHyphens/>
      <w:spacing w:after="0" w:line="100" w:lineRule="atLeast"/>
      <w:ind w:left="0" w:right="0" w:firstLine="0"/>
      <w:jc w:val="left"/>
    </w:pPr>
    <w:rPr>
      <w:rFonts w:ascii="Times New Roman" w:eastAsia="Times New Roman" w:hAnsi="Times New Roman" w:cs="Times New Roman"/>
      <w:color w:val="auto"/>
      <w:kern w:val="2"/>
      <w:sz w:val="20"/>
      <w:szCs w:val="20"/>
      <w:lang w:val="es-ES" w:eastAsia="ar-SA"/>
    </w:rPr>
  </w:style>
  <w:style w:type="character" w:styleId="Refdenotaalpie">
    <w:name w:val="footnote reference"/>
    <w:aliases w:val="(NECG) Footnote Reference,o,fr,Style 3,Appel note de bas de p,Style 12,Style 124,Ref,de nota al pie,Ref. de nota al pie 2,Style 6,Footnote Reference Superscript"/>
    <w:uiPriority w:val="99"/>
    <w:qFormat/>
    <w:rsid w:val="00493685"/>
    <w:rPr>
      <w:vertAlign w:val="superscript"/>
    </w:rPr>
  </w:style>
  <w:style w:type="paragraph" w:customStyle="1" w:styleId="Citas">
    <w:name w:val="Citas"/>
    <w:basedOn w:val="Normal"/>
    <w:link w:val="CitasChar"/>
    <w:qFormat/>
    <w:rsid w:val="00493685"/>
    <w:pPr>
      <w:tabs>
        <w:tab w:val="left" w:pos="8280"/>
      </w:tabs>
      <w:spacing w:after="120" w:line="360" w:lineRule="auto"/>
      <w:ind w:left="567" w:right="900" w:firstLine="0"/>
    </w:pPr>
    <w:rPr>
      <w:rFonts w:ascii="Century Gothic" w:eastAsia="Times New Roman" w:hAnsi="Century Gothic" w:cs="Times New Roman"/>
      <w:i/>
      <w:color w:val="auto"/>
      <w:sz w:val="24"/>
      <w:szCs w:val="24"/>
      <w:lang w:eastAsia="es-ES"/>
    </w:rPr>
  </w:style>
  <w:style w:type="character" w:customStyle="1" w:styleId="CitasChar">
    <w:name w:val="Citas Char"/>
    <w:link w:val="Citas"/>
    <w:rsid w:val="00493685"/>
    <w:rPr>
      <w:rFonts w:ascii="Century Gothic" w:eastAsia="Times New Roman" w:hAnsi="Century Gothic" w:cs="Times New Roman"/>
      <w:i/>
      <w:sz w:val="24"/>
      <w:szCs w:val="24"/>
      <w:lang w:eastAsia="es-ES"/>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 Char3,5_G"/>
    <w:basedOn w:val="Normal"/>
    <w:link w:val="TextonotapieCar"/>
    <w:uiPriority w:val="99"/>
    <w:qFormat/>
    <w:rsid w:val="006551C8"/>
    <w:pPr>
      <w:spacing w:after="0" w:line="240" w:lineRule="auto"/>
      <w:ind w:left="0" w:right="0" w:firstLine="0"/>
      <w:jc w:val="left"/>
    </w:pPr>
    <w:rPr>
      <w:rFonts w:ascii="Arial" w:eastAsia="Times New Roman" w:hAnsi="Arial" w:cs="Times New Roman"/>
      <w:color w:val="auto"/>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5_G Car"/>
    <w:basedOn w:val="Fuentedeprrafopredeter"/>
    <w:link w:val="Textonotapie"/>
    <w:uiPriority w:val="99"/>
    <w:rsid w:val="006551C8"/>
    <w:rPr>
      <w:rFonts w:ascii="Arial" w:eastAsia="Times New Roman" w:hAnsi="Arial" w:cs="Times New Roman"/>
      <w:sz w:val="20"/>
      <w:szCs w:val="20"/>
      <w:lang w:val="es-ES" w:eastAsia="es-ES"/>
    </w:rPr>
  </w:style>
  <w:style w:type="paragraph" w:customStyle="1" w:styleId="s4">
    <w:name w:val="s4"/>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paragraph" w:customStyle="1" w:styleId="s11">
    <w:name w:val="s11"/>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character" w:customStyle="1" w:styleId="s6">
    <w:name w:val="s6"/>
    <w:rsid w:val="006551C8"/>
  </w:style>
  <w:style w:type="character" w:customStyle="1" w:styleId="s2">
    <w:name w:val="s2"/>
    <w:rsid w:val="006551C8"/>
  </w:style>
  <w:style w:type="character" w:customStyle="1" w:styleId="Ttulo2Car">
    <w:name w:val="Título 2 Car"/>
    <w:aliases w:val="h2 Car,Section Car,Numbered - 2 Car,Major Car,título 2 Car,ARC 2 Car,Para2 Car,heading2 Car,2 Car,headi Car,h21 Car,h22 Car,21 Car,H2 Car,w Car,heading 2 Car,headline Car,side Car,l2 Car,list + change bar Car,??? Car,Titre 2 Car,Chapter Car"/>
    <w:basedOn w:val="Fuentedeprrafopredeter"/>
    <w:link w:val="Ttulo2"/>
    <w:uiPriority w:val="9"/>
    <w:rsid w:val="00766183"/>
    <w:rPr>
      <w:rFonts w:ascii="Times New Roman" w:eastAsia="Times New Roman" w:hAnsi="Times New Roman" w:cs="Times New Roman"/>
      <w:b/>
      <w:bCs/>
      <w:sz w:val="24"/>
      <w:szCs w:val="26"/>
      <w:lang w:val="es-ES"/>
    </w:rPr>
  </w:style>
  <w:style w:type="character" w:customStyle="1" w:styleId="Ttulo3Car">
    <w:name w:val="Título 3 Car"/>
    <w:aliases w:val="h3 Car,3 Car,l3 Car,Guide 3 Car,Head 3 Car,List level 3 Car,list 3 Car,l3+toc 3 Car,CT Car,X.X.X Car,two dig Car,C Sub-Sub/Italic Car,Head 31 Car,Head 32 Car,C Sub-Sub/Italic1 Car,h3 sub heading Car,H3 Car,3m Car,Normal + num Car,H31 Car"/>
    <w:basedOn w:val="Fuentedeprrafopredeter"/>
    <w:link w:val="Ttulo3"/>
    <w:uiPriority w:val="9"/>
    <w:rsid w:val="00766183"/>
    <w:rPr>
      <w:rFonts w:ascii="Times New Roman" w:eastAsia="Times New Roman" w:hAnsi="Times New Roman" w:cs="Times New Roman"/>
      <w:b/>
      <w:bCs/>
      <w:lang w:val="es-ES"/>
    </w:rPr>
  </w:style>
  <w:style w:type="character" w:customStyle="1" w:styleId="Ttulo4Car">
    <w:name w:val="Título 4 Car"/>
    <w:aliases w:val="h4 Car,Underunderafsnit Car"/>
    <w:basedOn w:val="Fuentedeprrafopredeter"/>
    <w:link w:val="Ttulo4"/>
    <w:uiPriority w:val="9"/>
    <w:rsid w:val="00766183"/>
    <w:rPr>
      <w:rFonts w:ascii="Times New Roman" w:eastAsia="Times New Roman" w:hAnsi="Times New Roman" w:cs="Times New Roman"/>
      <w:bCs/>
      <w:i/>
      <w:iCs/>
      <w:lang w:val="es-ES"/>
    </w:rPr>
  </w:style>
  <w:style w:type="paragraph" w:styleId="NormalWeb">
    <w:name w:val="Normal (Web)"/>
    <w:basedOn w:val="Normal"/>
    <w:uiPriority w:val="99"/>
    <w:unhideWhenUsed/>
    <w:rsid w:val="00CE35B2"/>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styleId="Descripcin">
    <w:name w:val="caption"/>
    <w:basedOn w:val="Normal"/>
    <w:next w:val="Normal"/>
    <w:uiPriority w:val="35"/>
    <w:unhideWhenUsed/>
    <w:qFormat/>
    <w:rsid w:val="00735F36"/>
    <w:pPr>
      <w:spacing w:after="200" w:line="240" w:lineRule="auto"/>
      <w:ind w:left="0" w:right="0" w:firstLine="0"/>
      <w:jc w:val="left"/>
    </w:pPr>
    <w:rPr>
      <w:rFonts w:asciiTheme="minorHAnsi" w:eastAsiaTheme="minorEastAsia" w:hAnsiTheme="minorHAnsi" w:cstheme="minorBidi"/>
      <w:i/>
      <w:iCs/>
      <w:color w:val="44546A" w:themeColor="text2"/>
      <w:sz w:val="18"/>
      <w:szCs w:val="18"/>
      <w:lang w:eastAsia="en-US"/>
    </w:rPr>
  </w:style>
  <w:style w:type="paragraph" w:customStyle="1" w:styleId="Normal2">
    <w:name w:val="Normal2"/>
    <w:rsid w:val="00D44E13"/>
    <w:pPr>
      <w:spacing w:after="0" w:line="276" w:lineRule="auto"/>
    </w:pPr>
    <w:rPr>
      <w:rFonts w:ascii="Arial" w:eastAsia="Arial" w:hAnsi="Arial" w:cs="Arial"/>
      <w:color w:val="000000"/>
      <w:szCs w:val="20"/>
      <w:lang w:val="en-US"/>
    </w:rPr>
  </w:style>
  <w:style w:type="paragraph" w:customStyle="1" w:styleId="IFTnormal">
    <w:name w:val="IFT normal"/>
    <w:basedOn w:val="Normal"/>
    <w:link w:val="IFTnormalCar"/>
    <w:qFormat/>
    <w:rsid w:val="00B80923"/>
    <w:pPr>
      <w:spacing w:after="200" w:line="276" w:lineRule="auto"/>
      <w:ind w:left="426" w:right="0" w:firstLine="0"/>
    </w:pPr>
    <w:rPr>
      <w:rFonts w:ascii="ITC Avant Garde" w:eastAsia="Times New Roman" w:hAnsi="ITC Avant Garde" w:cs="Times New Roman"/>
      <w:iCs/>
      <w:color w:val="auto"/>
      <w:lang w:val="es-ES"/>
    </w:rPr>
  </w:style>
  <w:style w:type="paragraph" w:customStyle="1" w:styleId="TAL">
    <w:name w:val="TAL"/>
    <w:basedOn w:val="Normal"/>
    <w:link w:val="TALChar"/>
    <w:uiPriority w:val="99"/>
    <w:rsid w:val="00C641EC"/>
    <w:pPr>
      <w:keepNext/>
      <w:keepLines/>
      <w:spacing w:after="0" w:line="240" w:lineRule="auto"/>
      <w:ind w:left="0" w:right="0" w:firstLine="0"/>
      <w:jc w:val="left"/>
    </w:pPr>
    <w:rPr>
      <w:rFonts w:ascii="Arial" w:eastAsia="Batang" w:hAnsi="Arial" w:cs="Times New Roman"/>
      <w:color w:val="auto"/>
      <w:sz w:val="18"/>
      <w:szCs w:val="20"/>
      <w:lang w:val="en-GB" w:eastAsia="es-ES"/>
    </w:rPr>
  </w:style>
  <w:style w:type="character" w:customStyle="1" w:styleId="TALChar">
    <w:name w:val="TAL Char"/>
    <w:link w:val="TAL"/>
    <w:uiPriority w:val="99"/>
    <w:locked/>
    <w:rsid w:val="00C641EC"/>
    <w:rPr>
      <w:rFonts w:ascii="Arial" w:eastAsia="Batang" w:hAnsi="Arial" w:cs="Times New Roman"/>
      <w:sz w:val="18"/>
      <w:szCs w:val="20"/>
      <w:lang w:val="en-GB" w:eastAsia="es-ES"/>
    </w:rPr>
  </w:style>
  <w:style w:type="table" w:styleId="Tablaconcuadrcula">
    <w:name w:val="Table Grid"/>
    <w:basedOn w:val="Tablanormal"/>
    <w:uiPriority w:val="99"/>
    <w:rsid w:val="00D91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o,header odd,first,heading one,Odd Header,En-tête-2,header"/>
    <w:basedOn w:val="Normal"/>
    <w:link w:val="EncabezadoCar"/>
    <w:unhideWhenUsed/>
    <w:rsid w:val="00F51196"/>
    <w:pPr>
      <w:tabs>
        <w:tab w:val="center" w:pos="4419"/>
        <w:tab w:val="right" w:pos="8838"/>
      </w:tabs>
      <w:spacing w:after="0" w:line="240" w:lineRule="auto"/>
    </w:pPr>
  </w:style>
  <w:style w:type="character" w:customStyle="1" w:styleId="EncabezadoCar">
    <w:name w:val="Encabezado Car"/>
    <w:aliases w:val="ho Car,header odd Car,first Car,heading one Car,Odd Header Car,En-tête-2 Car,header Car"/>
    <w:basedOn w:val="Fuentedeprrafopredeter"/>
    <w:link w:val="Encabezado"/>
    <w:rsid w:val="00F51196"/>
    <w:rPr>
      <w:rFonts w:ascii="Avant Garde" w:eastAsia="Avant Garde" w:hAnsi="Avant Garde" w:cs="Avant Garde"/>
      <w:color w:val="000000"/>
      <w:lang w:eastAsia="es-MX"/>
    </w:rPr>
  </w:style>
  <w:style w:type="paragraph" w:styleId="Piedepgina">
    <w:name w:val="footer"/>
    <w:basedOn w:val="Normal"/>
    <w:link w:val="PiedepginaCar"/>
    <w:uiPriority w:val="99"/>
    <w:unhideWhenUsed/>
    <w:rsid w:val="00F511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196"/>
    <w:rPr>
      <w:rFonts w:ascii="Avant Garde" w:eastAsia="Avant Garde" w:hAnsi="Avant Garde" w:cs="Avant Garde"/>
      <w:color w:val="000000"/>
      <w:lang w:eastAsia="es-MX"/>
    </w:rPr>
  </w:style>
  <w:style w:type="paragraph" w:styleId="Asuntodelcomentario">
    <w:name w:val="annotation subject"/>
    <w:basedOn w:val="Textocomentario"/>
    <w:next w:val="Textocomentario"/>
    <w:link w:val="AsuntodelcomentarioCar"/>
    <w:uiPriority w:val="99"/>
    <w:semiHidden/>
    <w:unhideWhenUsed/>
    <w:rsid w:val="00497632"/>
    <w:pPr>
      <w:spacing w:after="3"/>
      <w:ind w:left="10" w:right="2" w:hanging="10"/>
      <w:jc w:val="both"/>
    </w:pPr>
    <w:rPr>
      <w:rFonts w:ascii="Avant Garde" w:eastAsia="Avant Garde" w:hAnsi="Avant Garde" w:cs="Avant Garde"/>
      <w:b/>
      <w:bCs/>
      <w:color w:val="000000"/>
      <w:lang w:eastAsia="es-MX"/>
    </w:rPr>
  </w:style>
  <w:style w:type="character" w:customStyle="1" w:styleId="AsuntodelcomentarioCar">
    <w:name w:val="Asunto del comentario Car"/>
    <w:basedOn w:val="TextocomentarioCar"/>
    <w:link w:val="Asuntodelcomentario"/>
    <w:uiPriority w:val="99"/>
    <w:semiHidden/>
    <w:rsid w:val="00497632"/>
    <w:rPr>
      <w:rFonts w:ascii="Avant Garde" w:eastAsia="Avant Garde" w:hAnsi="Avant Garde" w:cs="Avant Garde"/>
      <w:b/>
      <w:bCs/>
      <w:color w:val="000000"/>
      <w:sz w:val="20"/>
      <w:szCs w:val="20"/>
      <w:lang w:eastAsia="es-MX"/>
    </w:rPr>
  </w:style>
  <w:style w:type="paragraph" w:styleId="Textosinformato">
    <w:name w:val="Plain Text"/>
    <w:basedOn w:val="Normal"/>
    <w:link w:val="TextosinformatoCar"/>
    <w:rsid w:val="00623045"/>
    <w:pPr>
      <w:spacing w:after="0" w:line="240" w:lineRule="auto"/>
      <w:ind w:left="0" w:right="0" w:firstLine="0"/>
      <w:jc w:val="left"/>
    </w:pPr>
    <w:rPr>
      <w:rFonts w:ascii="Courier New" w:eastAsia="Times New Roman" w:hAnsi="Courier New" w:cs="Courier New"/>
      <w:color w:val="auto"/>
      <w:sz w:val="20"/>
      <w:szCs w:val="20"/>
      <w:lang w:eastAsia="es-ES"/>
    </w:rPr>
  </w:style>
  <w:style w:type="character" w:customStyle="1" w:styleId="TextosinformatoCar">
    <w:name w:val="Texto sin formato Car"/>
    <w:basedOn w:val="Fuentedeprrafopredeter"/>
    <w:link w:val="Textosinformato"/>
    <w:rsid w:val="00623045"/>
    <w:rPr>
      <w:rFonts w:ascii="Courier New" w:eastAsia="Times New Roman" w:hAnsi="Courier New" w:cs="Courier New"/>
      <w:sz w:val="20"/>
      <w:szCs w:val="20"/>
      <w:lang w:eastAsia="es-ES"/>
    </w:rPr>
  </w:style>
  <w:style w:type="character" w:customStyle="1" w:styleId="IFTnormalCar">
    <w:name w:val="IFT normal Car"/>
    <w:basedOn w:val="Fuentedeprrafopredeter"/>
    <w:link w:val="IFTnormal"/>
    <w:rsid w:val="00623045"/>
    <w:rPr>
      <w:rFonts w:ascii="ITC Avant Garde" w:eastAsia="Times New Roman" w:hAnsi="ITC Avant Garde" w:cs="Times New Roman"/>
      <w:iCs/>
      <w:lang w:val="es-ES" w:eastAsia="es-MX"/>
    </w:rPr>
  </w:style>
  <w:style w:type="paragraph" w:customStyle="1" w:styleId="Prrafodelista1">
    <w:name w:val="Párrafo de lista1"/>
    <w:basedOn w:val="Normal"/>
    <w:uiPriority w:val="99"/>
    <w:qFormat/>
    <w:rsid w:val="00682F41"/>
    <w:pPr>
      <w:spacing w:after="0" w:line="240" w:lineRule="auto"/>
      <w:ind w:left="708" w:right="0" w:firstLine="0"/>
      <w:jc w:val="left"/>
    </w:pPr>
    <w:rPr>
      <w:rFonts w:ascii="Times New Roman" w:eastAsia="Times New Roman" w:hAnsi="Times New Roman" w:cs="Times New Roman"/>
      <w:color w:val="auto"/>
      <w:sz w:val="24"/>
      <w:szCs w:val="24"/>
      <w:lang w:val="es-ES" w:eastAsia="es-ES"/>
    </w:rPr>
  </w:style>
  <w:style w:type="paragraph" w:customStyle="1" w:styleId="IFT1">
    <w:name w:val="IFT 1"/>
    <w:basedOn w:val="Normal"/>
    <w:link w:val="IFT1Car"/>
    <w:qFormat/>
    <w:rsid w:val="002C14DB"/>
    <w:pPr>
      <w:spacing w:after="200" w:line="276" w:lineRule="auto"/>
      <w:ind w:left="0" w:right="0" w:firstLine="0"/>
    </w:pPr>
    <w:rPr>
      <w:rFonts w:ascii="ITC Avant Garde" w:eastAsia="Times New Roman" w:hAnsi="ITC Avant Garde" w:cs="Times New Roman"/>
      <w:iCs/>
      <w:color w:val="auto"/>
      <w:lang w:eastAsia="en-US"/>
    </w:rPr>
  </w:style>
  <w:style w:type="character" w:customStyle="1" w:styleId="IFT1Car">
    <w:name w:val="IFT 1 Car"/>
    <w:link w:val="IFT1"/>
    <w:rsid w:val="002C14DB"/>
    <w:rPr>
      <w:rFonts w:ascii="ITC Avant Garde" w:eastAsia="Times New Roman" w:hAnsi="ITC Avant Garde" w:cs="Times New Roman"/>
      <w:iCs/>
    </w:rPr>
  </w:style>
  <w:style w:type="paragraph" w:customStyle="1" w:styleId="Citaift">
    <w:name w:val="Cita ift"/>
    <w:basedOn w:val="Normal"/>
    <w:link w:val="CitaiftCar"/>
    <w:qFormat/>
    <w:rsid w:val="00F20B38"/>
    <w:pPr>
      <w:adjustRightInd w:val="0"/>
      <w:spacing w:after="200" w:line="276" w:lineRule="auto"/>
      <w:ind w:left="851" w:right="760" w:firstLine="0"/>
    </w:pPr>
    <w:rPr>
      <w:rFonts w:ascii="ITC Avant Garde" w:eastAsia="Times New Roman" w:hAnsi="ITC Avant Garde" w:cs="Arial"/>
      <w:i/>
      <w:sz w:val="18"/>
      <w:szCs w:val="18"/>
      <w:lang w:eastAsia="es-ES"/>
    </w:rPr>
  </w:style>
  <w:style w:type="character" w:customStyle="1" w:styleId="CitaiftCar">
    <w:name w:val="Cita ift Car"/>
    <w:link w:val="Citaift"/>
    <w:rsid w:val="00F20B38"/>
    <w:rPr>
      <w:rFonts w:ascii="ITC Avant Garde" w:eastAsia="Times New Roman" w:hAnsi="ITC Avant Garde" w:cs="Arial"/>
      <w:i/>
      <w:color w:val="000000"/>
      <w:sz w:val="18"/>
      <w:szCs w:val="18"/>
      <w:lang w:eastAsia="es-ES"/>
    </w:rPr>
  </w:style>
  <w:style w:type="paragraph" w:styleId="Revisin">
    <w:name w:val="Revision"/>
    <w:hidden/>
    <w:uiPriority w:val="99"/>
    <w:semiHidden/>
    <w:rsid w:val="009E0D5C"/>
    <w:pPr>
      <w:spacing w:after="0" w:line="240" w:lineRule="auto"/>
    </w:pPr>
    <w:rPr>
      <w:rFonts w:ascii="Avant Garde" w:eastAsia="Avant Garde" w:hAnsi="Avant Garde" w:cs="Avant Garde"/>
      <w:color w:val="000000"/>
      <w:lang w:eastAsia="es-MX"/>
    </w:rPr>
  </w:style>
  <w:style w:type="paragraph" w:styleId="Listaconvietas">
    <w:name w:val="List Bullet"/>
    <w:aliases w:val="|BCS| ul 1,PA List Bullet,List Bullet Char Char Char Char,List Bullet Char Char Char Char Char Char Char Char,List Bullet Char Char Char Char Char Char Char,List Bullet Char Char Char Char Char Char,List Bullet Char1 Char"/>
    <w:basedOn w:val="Normal"/>
    <w:uiPriority w:val="99"/>
    <w:unhideWhenUsed/>
    <w:qFormat/>
    <w:rsid w:val="00BA60A4"/>
    <w:pPr>
      <w:numPr>
        <w:numId w:val="2"/>
      </w:numPr>
      <w:spacing w:after="0" w:line="276" w:lineRule="auto"/>
      <w:ind w:right="0"/>
    </w:pPr>
    <w:rPr>
      <w:rFonts w:ascii="ITC Avant Garde" w:eastAsia="Calibri" w:hAnsi="ITC Avant Garde" w:cs="Times New Roman"/>
      <w:color w:val="000000" w:themeColor="text1"/>
      <w:lang w:val="es-SV" w:eastAsia="en-US"/>
    </w:rPr>
  </w:style>
  <w:style w:type="paragraph" w:customStyle="1" w:styleId="Texto">
    <w:name w:val="Texto"/>
    <w:basedOn w:val="Normal"/>
    <w:link w:val="TextoCar"/>
    <w:rsid w:val="00BA60A4"/>
    <w:pPr>
      <w:spacing w:after="0" w:line="276" w:lineRule="auto"/>
      <w:ind w:left="0" w:right="0" w:firstLine="0"/>
    </w:pPr>
    <w:rPr>
      <w:rFonts w:ascii="ITC Avant Garde" w:eastAsia="Calibri" w:hAnsi="ITC Avant Garde" w:cs="Times New Roman"/>
      <w:color w:val="000000" w:themeColor="text1"/>
      <w:lang w:val="es-ES_tradnl" w:eastAsia="en-US"/>
    </w:rPr>
  </w:style>
  <w:style w:type="character" w:customStyle="1" w:styleId="TextoCar">
    <w:name w:val="Texto Car"/>
    <w:basedOn w:val="Fuentedeprrafopredeter"/>
    <w:link w:val="Texto"/>
    <w:rsid w:val="00BA60A4"/>
    <w:rPr>
      <w:rFonts w:ascii="ITC Avant Garde" w:eastAsia="Calibri" w:hAnsi="ITC Avant Garde" w:cs="Times New Roman"/>
      <w:color w:val="000000" w:themeColor="text1"/>
      <w:lang w:val="es-ES_tradnl"/>
    </w:rPr>
  </w:style>
  <w:style w:type="paragraph" w:styleId="Sinespaciado">
    <w:name w:val="No Spacing"/>
    <w:uiPriority w:val="1"/>
    <w:qFormat/>
    <w:rsid w:val="005B36F9"/>
    <w:pPr>
      <w:spacing w:after="0" w:line="240" w:lineRule="auto"/>
    </w:pPr>
    <w:rPr>
      <w:rFonts w:ascii="Calibri" w:eastAsia="Calibri" w:hAnsi="Calibri" w:cs="Times New Roman"/>
    </w:rPr>
  </w:style>
  <w:style w:type="character" w:styleId="Textoennegrita">
    <w:name w:val="Strong"/>
    <w:basedOn w:val="Fuentedeprrafopredeter"/>
    <w:uiPriority w:val="22"/>
    <w:qFormat/>
    <w:rsid w:val="002A50FC"/>
    <w:rPr>
      <w:b/>
      <w:bCs/>
    </w:rPr>
  </w:style>
  <w:style w:type="table" w:styleId="Cuadrculadetablaclara">
    <w:name w:val="Grid Table Light"/>
    <w:basedOn w:val="Tablanormal"/>
    <w:uiPriority w:val="40"/>
    <w:rsid w:val="00CE49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tulo">
    <w:name w:val="Subtitle"/>
    <w:basedOn w:val="Normal"/>
    <w:link w:val="SubttuloCar"/>
    <w:uiPriority w:val="99"/>
    <w:qFormat/>
    <w:rsid w:val="006D4083"/>
    <w:pPr>
      <w:spacing w:after="200" w:line="276" w:lineRule="auto"/>
      <w:ind w:left="0" w:right="0" w:firstLine="0"/>
    </w:pPr>
    <w:rPr>
      <w:rFonts w:ascii="ITC Avant Garde" w:eastAsia="Calibri" w:hAnsi="ITC Avant Garde" w:cs="Times New Roman"/>
      <w:b/>
      <w:color w:val="auto"/>
      <w:lang w:eastAsia="en-US"/>
    </w:rPr>
  </w:style>
  <w:style w:type="character" w:customStyle="1" w:styleId="SubttuloCar">
    <w:name w:val="Subtítulo Car"/>
    <w:basedOn w:val="Fuentedeprrafopredeter"/>
    <w:link w:val="Subttulo"/>
    <w:uiPriority w:val="99"/>
    <w:rsid w:val="006D4083"/>
    <w:rPr>
      <w:rFonts w:ascii="ITC Avant Garde" w:eastAsia="Calibri" w:hAnsi="ITC Avant Garde" w:cs="Times New Roman"/>
      <w:b/>
    </w:rPr>
  </w:style>
  <w:style w:type="paragraph" w:customStyle="1" w:styleId="Listavistosa-nfasis11">
    <w:name w:val="Lista vistosa - Énfasis 11"/>
    <w:basedOn w:val="Normal"/>
    <w:link w:val="Listavistosa-nfasis1Car"/>
    <w:uiPriority w:val="34"/>
    <w:qFormat/>
    <w:rsid w:val="00D40E9E"/>
    <w:pPr>
      <w:spacing w:after="0" w:line="240" w:lineRule="auto"/>
      <w:ind w:left="708" w:right="0" w:firstLine="0"/>
      <w:jc w:val="left"/>
    </w:pPr>
    <w:rPr>
      <w:rFonts w:ascii="Arial" w:eastAsia="Calibri" w:hAnsi="Arial" w:cs="Times New Roman"/>
      <w:color w:val="auto"/>
      <w:sz w:val="24"/>
      <w:szCs w:val="24"/>
    </w:rPr>
  </w:style>
  <w:style w:type="character" w:customStyle="1" w:styleId="Listavistosa-nfasis1Car">
    <w:name w:val="Lista vistosa - Énfasis 1 Car"/>
    <w:link w:val="Listavistosa-nfasis11"/>
    <w:uiPriority w:val="34"/>
    <w:rsid w:val="00D40E9E"/>
    <w:rPr>
      <w:rFonts w:ascii="Arial" w:eastAsia="Calibri"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22482">
      <w:bodyDiv w:val="1"/>
      <w:marLeft w:val="0"/>
      <w:marRight w:val="0"/>
      <w:marTop w:val="0"/>
      <w:marBottom w:val="0"/>
      <w:divBdr>
        <w:top w:val="none" w:sz="0" w:space="0" w:color="auto"/>
        <w:left w:val="none" w:sz="0" w:space="0" w:color="auto"/>
        <w:bottom w:val="none" w:sz="0" w:space="0" w:color="auto"/>
        <w:right w:val="none" w:sz="0" w:space="0" w:color="auto"/>
      </w:divBdr>
    </w:div>
    <w:div w:id="150102620">
      <w:bodyDiv w:val="1"/>
      <w:marLeft w:val="0"/>
      <w:marRight w:val="0"/>
      <w:marTop w:val="0"/>
      <w:marBottom w:val="0"/>
      <w:divBdr>
        <w:top w:val="none" w:sz="0" w:space="0" w:color="auto"/>
        <w:left w:val="none" w:sz="0" w:space="0" w:color="auto"/>
        <w:bottom w:val="none" w:sz="0" w:space="0" w:color="auto"/>
        <w:right w:val="none" w:sz="0" w:space="0" w:color="auto"/>
      </w:divBdr>
      <w:divsChild>
        <w:div w:id="1835488445">
          <w:marLeft w:val="0"/>
          <w:marRight w:val="0"/>
          <w:marTop w:val="0"/>
          <w:marBottom w:val="0"/>
          <w:divBdr>
            <w:top w:val="none" w:sz="0" w:space="0" w:color="auto"/>
            <w:left w:val="none" w:sz="0" w:space="0" w:color="auto"/>
            <w:bottom w:val="none" w:sz="0" w:space="0" w:color="auto"/>
            <w:right w:val="none" w:sz="0" w:space="0" w:color="auto"/>
          </w:divBdr>
          <w:divsChild>
            <w:div w:id="1793866252">
              <w:marLeft w:val="0"/>
              <w:marRight w:val="0"/>
              <w:marTop w:val="0"/>
              <w:marBottom w:val="0"/>
              <w:divBdr>
                <w:top w:val="none" w:sz="0" w:space="0" w:color="auto"/>
                <w:left w:val="none" w:sz="0" w:space="0" w:color="auto"/>
                <w:bottom w:val="none" w:sz="0" w:space="0" w:color="auto"/>
                <w:right w:val="none" w:sz="0" w:space="0" w:color="auto"/>
              </w:divBdr>
              <w:divsChild>
                <w:div w:id="98523359">
                  <w:marLeft w:val="0"/>
                  <w:marRight w:val="0"/>
                  <w:marTop w:val="0"/>
                  <w:marBottom w:val="0"/>
                  <w:divBdr>
                    <w:top w:val="none" w:sz="0" w:space="0" w:color="auto"/>
                    <w:left w:val="none" w:sz="0" w:space="0" w:color="auto"/>
                    <w:bottom w:val="none" w:sz="0" w:space="0" w:color="auto"/>
                    <w:right w:val="none" w:sz="0" w:space="0" w:color="auto"/>
                  </w:divBdr>
                </w:div>
                <w:div w:id="20042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6066">
      <w:bodyDiv w:val="1"/>
      <w:marLeft w:val="0"/>
      <w:marRight w:val="0"/>
      <w:marTop w:val="0"/>
      <w:marBottom w:val="0"/>
      <w:divBdr>
        <w:top w:val="none" w:sz="0" w:space="0" w:color="auto"/>
        <w:left w:val="none" w:sz="0" w:space="0" w:color="auto"/>
        <w:bottom w:val="none" w:sz="0" w:space="0" w:color="auto"/>
        <w:right w:val="none" w:sz="0" w:space="0" w:color="auto"/>
      </w:divBdr>
      <w:divsChild>
        <w:div w:id="1775588385">
          <w:marLeft w:val="0"/>
          <w:marRight w:val="0"/>
          <w:marTop w:val="0"/>
          <w:marBottom w:val="0"/>
          <w:divBdr>
            <w:top w:val="none" w:sz="0" w:space="0" w:color="auto"/>
            <w:left w:val="none" w:sz="0" w:space="0" w:color="auto"/>
            <w:bottom w:val="none" w:sz="0" w:space="0" w:color="auto"/>
            <w:right w:val="none" w:sz="0" w:space="0" w:color="auto"/>
          </w:divBdr>
          <w:divsChild>
            <w:div w:id="1775829578">
              <w:marLeft w:val="0"/>
              <w:marRight w:val="0"/>
              <w:marTop w:val="0"/>
              <w:marBottom w:val="0"/>
              <w:divBdr>
                <w:top w:val="none" w:sz="0" w:space="0" w:color="auto"/>
                <w:left w:val="none" w:sz="0" w:space="0" w:color="auto"/>
                <w:bottom w:val="none" w:sz="0" w:space="0" w:color="auto"/>
                <w:right w:val="none" w:sz="0" w:space="0" w:color="auto"/>
              </w:divBdr>
              <w:divsChild>
                <w:div w:id="349599588">
                  <w:marLeft w:val="0"/>
                  <w:marRight w:val="0"/>
                  <w:marTop w:val="0"/>
                  <w:marBottom w:val="0"/>
                  <w:divBdr>
                    <w:top w:val="none" w:sz="0" w:space="0" w:color="auto"/>
                    <w:left w:val="none" w:sz="0" w:space="0" w:color="auto"/>
                    <w:bottom w:val="none" w:sz="0" w:space="0" w:color="auto"/>
                    <w:right w:val="none" w:sz="0" w:space="0" w:color="auto"/>
                  </w:divBdr>
                  <w:divsChild>
                    <w:div w:id="15513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19663">
      <w:bodyDiv w:val="1"/>
      <w:marLeft w:val="0"/>
      <w:marRight w:val="0"/>
      <w:marTop w:val="0"/>
      <w:marBottom w:val="0"/>
      <w:divBdr>
        <w:top w:val="none" w:sz="0" w:space="0" w:color="auto"/>
        <w:left w:val="none" w:sz="0" w:space="0" w:color="auto"/>
        <w:bottom w:val="none" w:sz="0" w:space="0" w:color="auto"/>
        <w:right w:val="none" w:sz="0" w:space="0" w:color="auto"/>
      </w:divBdr>
    </w:div>
    <w:div w:id="335229364">
      <w:bodyDiv w:val="1"/>
      <w:marLeft w:val="0"/>
      <w:marRight w:val="0"/>
      <w:marTop w:val="0"/>
      <w:marBottom w:val="0"/>
      <w:divBdr>
        <w:top w:val="none" w:sz="0" w:space="0" w:color="auto"/>
        <w:left w:val="none" w:sz="0" w:space="0" w:color="auto"/>
        <w:bottom w:val="none" w:sz="0" w:space="0" w:color="auto"/>
        <w:right w:val="none" w:sz="0" w:space="0" w:color="auto"/>
      </w:divBdr>
      <w:divsChild>
        <w:div w:id="1430930737">
          <w:marLeft w:val="0"/>
          <w:marRight w:val="0"/>
          <w:marTop w:val="0"/>
          <w:marBottom w:val="80"/>
          <w:divBdr>
            <w:top w:val="none" w:sz="0" w:space="0" w:color="auto"/>
            <w:left w:val="none" w:sz="0" w:space="0" w:color="auto"/>
            <w:bottom w:val="none" w:sz="0" w:space="0" w:color="auto"/>
            <w:right w:val="none" w:sz="0" w:space="0" w:color="auto"/>
          </w:divBdr>
        </w:div>
      </w:divsChild>
    </w:div>
    <w:div w:id="363289737">
      <w:bodyDiv w:val="1"/>
      <w:marLeft w:val="0"/>
      <w:marRight w:val="0"/>
      <w:marTop w:val="0"/>
      <w:marBottom w:val="0"/>
      <w:divBdr>
        <w:top w:val="none" w:sz="0" w:space="0" w:color="auto"/>
        <w:left w:val="none" w:sz="0" w:space="0" w:color="auto"/>
        <w:bottom w:val="none" w:sz="0" w:space="0" w:color="auto"/>
        <w:right w:val="none" w:sz="0" w:space="0" w:color="auto"/>
      </w:divBdr>
    </w:div>
    <w:div w:id="372273828">
      <w:bodyDiv w:val="1"/>
      <w:marLeft w:val="0"/>
      <w:marRight w:val="0"/>
      <w:marTop w:val="0"/>
      <w:marBottom w:val="0"/>
      <w:divBdr>
        <w:top w:val="none" w:sz="0" w:space="0" w:color="auto"/>
        <w:left w:val="none" w:sz="0" w:space="0" w:color="auto"/>
        <w:bottom w:val="none" w:sz="0" w:space="0" w:color="auto"/>
        <w:right w:val="none" w:sz="0" w:space="0" w:color="auto"/>
      </w:divBdr>
    </w:div>
    <w:div w:id="534316587">
      <w:bodyDiv w:val="1"/>
      <w:marLeft w:val="0"/>
      <w:marRight w:val="0"/>
      <w:marTop w:val="0"/>
      <w:marBottom w:val="0"/>
      <w:divBdr>
        <w:top w:val="none" w:sz="0" w:space="0" w:color="auto"/>
        <w:left w:val="none" w:sz="0" w:space="0" w:color="auto"/>
        <w:bottom w:val="none" w:sz="0" w:space="0" w:color="auto"/>
        <w:right w:val="none" w:sz="0" w:space="0" w:color="auto"/>
      </w:divBdr>
    </w:div>
    <w:div w:id="611399372">
      <w:bodyDiv w:val="1"/>
      <w:marLeft w:val="0"/>
      <w:marRight w:val="0"/>
      <w:marTop w:val="0"/>
      <w:marBottom w:val="0"/>
      <w:divBdr>
        <w:top w:val="none" w:sz="0" w:space="0" w:color="auto"/>
        <w:left w:val="none" w:sz="0" w:space="0" w:color="auto"/>
        <w:bottom w:val="none" w:sz="0" w:space="0" w:color="auto"/>
        <w:right w:val="none" w:sz="0" w:space="0" w:color="auto"/>
      </w:divBdr>
    </w:div>
    <w:div w:id="626088911">
      <w:bodyDiv w:val="1"/>
      <w:marLeft w:val="0"/>
      <w:marRight w:val="0"/>
      <w:marTop w:val="0"/>
      <w:marBottom w:val="0"/>
      <w:divBdr>
        <w:top w:val="none" w:sz="0" w:space="0" w:color="auto"/>
        <w:left w:val="none" w:sz="0" w:space="0" w:color="auto"/>
        <w:bottom w:val="none" w:sz="0" w:space="0" w:color="auto"/>
        <w:right w:val="none" w:sz="0" w:space="0" w:color="auto"/>
      </w:divBdr>
    </w:div>
    <w:div w:id="826896944">
      <w:bodyDiv w:val="1"/>
      <w:marLeft w:val="0"/>
      <w:marRight w:val="0"/>
      <w:marTop w:val="0"/>
      <w:marBottom w:val="0"/>
      <w:divBdr>
        <w:top w:val="none" w:sz="0" w:space="0" w:color="auto"/>
        <w:left w:val="none" w:sz="0" w:space="0" w:color="auto"/>
        <w:bottom w:val="none" w:sz="0" w:space="0" w:color="auto"/>
        <w:right w:val="none" w:sz="0" w:space="0" w:color="auto"/>
      </w:divBdr>
    </w:div>
    <w:div w:id="886645315">
      <w:bodyDiv w:val="1"/>
      <w:marLeft w:val="0"/>
      <w:marRight w:val="0"/>
      <w:marTop w:val="0"/>
      <w:marBottom w:val="0"/>
      <w:divBdr>
        <w:top w:val="none" w:sz="0" w:space="0" w:color="auto"/>
        <w:left w:val="none" w:sz="0" w:space="0" w:color="auto"/>
        <w:bottom w:val="none" w:sz="0" w:space="0" w:color="auto"/>
        <w:right w:val="none" w:sz="0" w:space="0" w:color="auto"/>
      </w:divBdr>
    </w:div>
    <w:div w:id="1117916281">
      <w:bodyDiv w:val="1"/>
      <w:marLeft w:val="0"/>
      <w:marRight w:val="0"/>
      <w:marTop w:val="0"/>
      <w:marBottom w:val="0"/>
      <w:divBdr>
        <w:top w:val="none" w:sz="0" w:space="0" w:color="auto"/>
        <w:left w:val="none" w:sz="0" w:space="0" w:color="auto"/>
        <w:bottom w:val="none" w:sz="0" w:space="0" w:color="auto"/>
        <w:right w:val="none" w:sz="0" w:space="0" w:color="auto"/>
      </w:divBdr>
    </w:div>
    <w:div w:id="1289630464">
      <w:bodyDiv w:val="1"/>
      <w:marLeft w:val="0"/>
      <w:marRight w:val="0"/>
      <w:marTop w:val="0"/>
      <w:marBottom w:val="0"/>
      <w:divBdr>
        <w:top w:val="none" w:sz="0" w:space="0" w:color="auto"/>
        <w:left w:val="none" w:sz="0" w:space="0" w:color="auto"/>
        <w:bottom w:val="none" w:sz="0" w:space="0" w:color="auto"/>
        <w:right w:val="none" w:sz="0" w:space="0" w:color="auto"/>
      </w:divBdr>
    </w:div>
    <w:div w:id="1307395197">
      <w:bodyDiv w:val="1"/>
      <w:marLeft w:val="0"/>
      <w:marRight w:val="0"/>
      <w:marTop w:val="0"/>
      <w:marBottom w:val="0"/>
      <w:divBdr>
        <w:top w:val="none" w:sz="0" w:space="0" w:color="auto"/>
        <w:left w:val="none" w:sz="0" w:space="0" w:color="auto"/>
        <w:bottom w:val="none" w:sz="0" w:space="0" w:color="auto"/>
        <w:right w:val="none" w:sz="0" w:space="0" w:color="auto"/>
      </w:divBdr>
    </w:div>
    <w:div w:id="1422524420">
      <w:bodyDiv w:val="1"/>
      <w:marLeft w:val="0"/>
      <w:marRight w:val="0"/>
      <w:marTop w:val="0"/>
      <w:marBottom w:val="0"/>
      <w:divBdr>
        <w:top w:val="none" w:sz="0" w:space="0" w:color="auto"/>
        <w:left w:val="none" w:sz="0" w:space="0" w:color="auto"/>
        <w:bottom w:val="none" w:sz="0" w:space="0" w:color="auto"/>
        <w:right w:val="none" w:sz="0" w:space="0" w:color="auto"/>
      </w:divBdr>
    </w:div>
    <w:div w:id="1469124441">
      <w:bodyDiv w:val="1"/>
      <w:marLeft w:val="0"/>
      <w:marRight w:val="0"/>
      <w:marTop w:val="0"/>
      <w:marBottom w:val="0"/>
      <w:divBdr>
        <w:top w:val="none" w:sz="0" w:space="0" w:color="auto"/>
        <w:left w:val="none" w:sz="0" w:space="0" w:color="auto"/>
        <w:bottom w:val="none" w:sz="0" w:space="0" w:color="auto"/>
        <w:right w:val="none" w:sz="0" w:space="0" w:color="auto"/>
      </w:divBdr>
    </w:div>
    <w:div w:id="1545871144">
      <w:bodyDiv w:val="1"/>
      <w:marLeft w:val="0"/>
      <w:marRight w:val="0"/>
      <w:marTop w:val="0"/>
      <w:marBottom w:val="0"/>
      <w:divBdr>
        <w:top w:val="none" w:sz="0" w:space="0" w:color="auto"/>
        <w:left w:val="none" w:sz="0" w:space="0" w:color="auto"/>
        <w:bottom w:val="none" w:sz="0" w:space="0" w:color="auto"/>
        <w:right w:val="none" w:sz="0" w:space="0" w:color="auto"/>
      </w:divBdr>
    </w:div>
    <w:div w:id="1696612801">
      <w:bodyDiv w:val="1"/>
      <w:marLeft w:val="0"/>
      <w:marRight w:val="0"/>
      <w:marTop w:val="0"/>
      <w:marBottom w:val="0"/>
      <w:divBdr>
        <w:top w:val="none" w:sz="0" w:space="0" w:color="auto"/>
        <w:left w:val="none" w:sz="0" w:space="0" w:color="auto"/>
        <w:bottom w:val="none" w:sz="0" w:space="0" w:color="auto"/>
        <w:right w:val="none" w:sz="0" w:space="0" w:color="auto"/>
      </w:divBdr>
      <w:divsChild>
        <w:div w:id="1215240754">
          <w:marLeft w:val="0"/>
          <w:marRight w:val="0"/>
          <w:marTop w:val="0"/>
          <w:marBottom w:val="82"/>
          <w:divBdr>
            <w:top w:val="none" w:sz="0" w:space="0" w:color="auto"/>
            <w:left w:val="none" w:sz="0" w:space="0" w:color="auto"/>
            <w:bottom w:val="none" w:sz="0" w:space="0" w:color="auto"/>
            <w:right w:val="none" w:sz="0" w:space="0" w:color="auto"/>
          </w:divBdr>
        </w:div>
        <w:div w:id="256257503">
          <w:marLeft w:val="0"/>
          <w:marRight w:val="0"/>
          <w:marTop w:val="0"/>
          <w:marBottom w:val="82"/>
          <w:divBdr>
            <w:top w:val="none" w:sz="0" w:space="0" w:color="auto"/>
            <w:left w:val="none" w:sz="0" w:space="0" w:color="auto"/>
            <w:bottom w:val="none" w:sz="0" w:space="0" w:color="auto"/>
            <w:right w:val="none" w:sz="0" w:space="0" w:color="auto"/>
          </w:divBdr>
        </w:div>
        <w:div w:id="1759867614">
          <w:marLeft w:val="0"/>
          <w:marRight w:val="0"/>
          <w:marTop w:val="0"/>
          <w:marBottom w:val="82"/>
          <w:divBdr>
            <w:top w:val="none" w:sz="0" w:space="0" w:color="auto"/>
            <w:left w:val="none" w:sz="0" w:space="0" w:color="auto"/>
            <w:bottom w:val="none" w:sz="0" w:space="0" w:color="auto"/>
            <w:right w:val="none" w:sz="0" w:space="0" w:color="auto"/>
          </w:divBdr>
        </w:div>
      </w:divsChild>
    </w:div>
    <w:div w:id="1999264124">
      <w:bodyDiv w:val="1"/>
      <w:marLeft w:val="0"/>
      <w:marRight w:val="0"/>
      <w:marTop w:val="0"/>
      <w:marBottom w:val="0"/>
      <w:divBdr>
        <w:top w:val="none" w:sz="0" w:space="0" w:color="auto"/>
        <w:left w:val="none" w:sz="0" w:space="0" w:color="auto"/>
        <w:bottom w:val="none" w:sz="0" w:space="0" w:color="auto"/>
        <w:right w:val="none" w:sz="0" w:space="0" w:color="auto"/>
      </w:divBdr>
    </w:div>
    <w:div w:id="214383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ertas.referencia@ift.org.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93420-1693-4604-ABD0-41D8C67B9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8995</Words>
  <Characters>49477</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Williams Hernandez</dc:creator>
  <cp:lastModifiedBy>Alexis Pina Vega</cp:lastModifiedBy>
  <cp:revision>2</cp:revision>
  <cp:lastPrinted>2014-12-10T22:16:00Z</cp:lastPrinted>
  <dcterms:created xsi:type="dcterms:W3CDTF">2020-01-21T00:32:00Z</dcterms:created>
  <dcterms:modified xsi:type="dcterms:W3CDTF">2020-01-21T00:32:00Z</dcterms:modified>
</cp:coreProperties>
</file>