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E7B12" w14:textId="77777777" w:rsidR="0038199D" w:rsidRDefault="0038199D" w:rsidP="00FF75D4">
      <w:pPr>
        <w:pStyle w:val="Ttulo"/>
      </w:pPr>
      <w:r w:rsidRPr="007A6974">
        <w:t>FORMATO PARA PARTICIPAR EN LA CONSULTA PÚBLICA</w:t>
      </w:r>
    </w:p>
    <w:p w14:paraId="645E7B13" w14:textId="77777777" w:rsidR="006601AF" w:rsidRPr="007A6974" w:rsidRDefault="006601AF" w:rsidP="00C900FF">
      <w:pPr>
        <w:spacing w:after="0"/>
        <w:rPr>
          <w:b/>
        </w:rPr>
      </w:pPr>
    </w:p>
    <w:p w14:paraId="645E7B14" w14:textId="77777777" w:rsidR="0038199D" w:rsidRPr="00FF75D4" w:rsidRDefault="0038199D" w:rsidP="00FF75D4">
      <w:pPr>
        <w:pStyle w:val="Textoindependiente"/>
        <w:rPr>
          <w:b/>
        </w:rPr>
      </w:pPr>
      <w:r w:rsidRPr="00FF75D4">
        <w:rPr>
          <w:b/>
        </w:rPr>
        <w:t>Instrucciones para su llenado y participación:</w:t>
      </w:r>
    </w:p>
    <w:p w14:paraId="645E7B15" w14:textId="0216F6FC" w:rsidR="0038199D" w:rsidRPr="007A6974" w:rsidRDefault="0038199D" w:rsidP="00C900FF">
      <w:pPr>
        <w:pStyle w:val="Listavistosa-nfasis11"/>
        <w:numPr>
          <w:ilvl w:val="0"/>
          <w:numId w:val="1"/>
        </w:numPr>
        <w:spacing w:after="0"/>
        <w:ind w:left="426" w:right="49" w:hanging="426"/>
        <w:rPr>
          <w:sz w:val="14"/>
          <w:szCs w:val="14"/>
        </w:rPr>
      </w:pPr>
      <w:r w:rsidRPr="007A6974">
        <w:rPr>
          <w:sz w:val="14"/>
          <w:szCs w:val="14"/>
        </w:rPr>
        <w:t xml:space="preserve">Las opiniones, comentarios y propuestas deberán ser remitidas a la siguiente dirección de correo electrónico: </w:t>
      </w:r>
      <w:hyperlink r:id="rId11" w:history="1"/>
      <w:hyperlink r:id="rId12" w:history="1">
        <w:r w:rsidR="00464A53" w:rsidRPr="00A3415B">
          <w:rPr>
            <w:sz w:val="14"/>
            <w:szCs w:val="14"/>
          </w:rPr>
          <w:t>segunda_bienal_telecom@ift.org.mx</w:t>
        </w:r>
      </w:hyperlink>
      <w:r w:rsidRPr="00A3415B">
        <w:rPr>
          <w:sz w:val="14"/>
          <w:szCs w:val="14"/>
        </w:rPr>
        <w:t>, en donde</w:t>
      </w:r>
      <w:r w:rsidR="00CC53F7" w:rsidRPr="00A3415B">
        <w:rPr>
          <w:sz w:val="14"/>
          <w:szCs w:val="14"/>
        </w:rPr>
        <w:t xml:space="preserve"> se deberá </w:t>
      </w:r>
      <w:r w:rsidRPr="00A3415B">
        <w:rPr>
          <w:sz w:val="14"/>
          <w:szCs w:val="14"/>
        </w:rPr>
        <w:t xml:space="preserve">considerar que la capacidad límite para la </w:t>
      </w:r>
      <w:r w:rsidR="00CC53F7" w:rsidRPr="00A3415B">
        <w:rPr>
          <w:sz w:val="14"/>
          <w:szCs w:val="14"/>
        </w:rPr>
        <w:t xml:space="preserve">recepción </w:t>
      </w:r>
      <w:r w:rsidRPr="00A3415B">
        <w:rPr>
          <w:sz w:val="14"/>
          <w:szCs w:val="14"/>
        </w:rPr>
        <w:t>de</w:t>
      </w:r>
      <w:r w:rsidRPr="007A6974">
        <w:rPr>
          <w:sz w:val="14"/>
          <w:szCs w:val="14"/>
        </w:rPr>
        <w:t xml:space="preserve"> archivos es de </w:t>
      </w:r>
      <w:r w:rsidR="00B533DC">
        <w:rPr>
          <w:sz w:val="14"/>
          <w:szCs w:val="14"/>
        </w:rPr>
        <w:t>25 M</w:t>
      </w:r>
      <w:r w:rsidR="0068348D">
        <w:rPr>
          <w:sz w:val="14"/>
          <w:szCs w:val="14"/>
        </w:rPr>
        <w:t>B</w:t>
      </w:r>
      <w:r w:rsidRPr="007A6974">
        <w:rPr>
          <w:sz w:val="14"/>
          <w:szCs w:val="14"/>
        </w:rPr>
        <w:t>.</w:t>
      </w:r>
    </w:p>
    <w:p w14:paraId="645E7B16" w14:textId="77777777" w:rsidR="0038199D" w:rsidRPr="007A6974" w:rsidRDefault="0038199D" w:rsidP="00C900FF">
      <w:pPr>
        <w:pStyle w:val="Listavistosa-nfasis11"/>
        <w:numPr>
          <w:ilvl w:val="0"/>
          <w:numId w:val="1"/>
        </w:numPr>
        <w:spacing w:after="0"/>
        <w:ind w:left="426" w:right="49" w:hanging="426"/>
        <w:rPr>
          <w:sz w:val="14"/>
          <w:szCs w:val="14"/>
        </w:rPr>
      </w:pPr>
      <w:r w:rsidRPr="007A6974">
        <w:rPr>
          <w:sz w:val="14"/>
          <w:szCs w:val="14"/>
        </w:rPr>
        <w:t>Proporcione su nombre completo</w:t>
      </w:r>
      <w:r w:rsidR="008F2B1A">
        <w:rPr>
          <w:sz w:val="14"/>
          <w:szCs w:val="14"/>
        </w:rPr>
        <w:t xml:space="preserve"> (nombre y apellidos)</w:t>
      </w:r>
      <w:r w:rsidRPr="007A6974">
        <w:rPr>
          <w:sz w:val="14"/>
          <w:szCs w:val="14"/>
        </w:rPr>
        <w:t xml:space="preserve">, razón o denominación social, o bien, el nombre completo </w:t>
      </w:r>
      <w:r w:rsidR="008F2B1A">
        <w:rPr>
          <w:sz w:val="14"/>
          <w:szCs w:val="14"/>
        </w:rPr>
        <w:t xml:space="preserve">(nombre y apellidos) </w:t>
      </w:r>
      <w:r w:rsidRPr="007A6974">
        <w:rPr>
          <w:sz w:val="14"/>
          <w:szCs w:val="14"/>
        </w:rPr>
        <w:t xml:space="preserve">del representante legal. Para este último caso, deberá </w:t>
      </w:r>
      <w:r w:rsidR="00800852">
        <w:rPr>
          <w:sz w:val="14"/>
          <w:szCs w:val="14"/>
        </w:rPr>
        <w:t>elegir</w:t>
      </w:r>
      <w:r w:rsidRPr="007A6974">
        <w:rPr>
          <w:sz w:val="14"/>
          <w:szCs w:val="14"/>
        </w:rPr>
        <w:t xml:space="preserve"> </w:t>
      </w:r>
      <w:r w:rsidR="00800852">
        <w:rPr>
          <w:sz w:val="14"/>
          <w:szCs w:val="14"/>
        </w:rPr>
        <w:t>entre</w:t>
      </w:r>
      <w:r w:rsidRPr="007A6974">
        <w:rPr>
          <w:sz w:val="14"/>
          <w:szCs w:val="14"/>
        </w:rPr>
        <w:t xml:space="preserve"> </w:t>
      </w:r>
      <w:r w:rsidR="00800852">
        <w:rPr>
          <w:sz w:val="14"/>
          <w:szCs w:val="14"/>
        </w:rPr>
        <w:t xml:space="preserve">las opciones el tipo de </w:t>
      </w:r>
      <w:r w:rsidRPr="007A6974">
        <w:rPr>
          <w:sz w:val="14"/>
          <w:szCs w:val="14"/>
        </w:rPr>
        <w:t xml:space="preserve">documento con </w:t>
      </w:r>
      <w:r w:rsidR="00800852">
        <w:rPr>
          <w:sz w:val="14"/>
          <w:szCs w:val="14"/>
        </w:rPr>
        <w:t>el</w:t>
      </w:r>
      <w:r w:rsidRPr="007A6974">
        <w:rPr>
          <w:sz w:val="14"/>
          <w:szCs w:val="14"/>
        </w:rPr>
        <w:t xml:space="preserve"> que acredita dicha representación, así como adjuntar –a la misma dirección de correo electrónico- copia electrónica legible de</w:t>
      </w:r>
      <w:r w:rsidR="00800852">
        <w:rPr>
          <w:sz w:val="14"/>
          <w:szCs w:val="14"/>
        </w:rPr>
        <w:t>l mismo</w:t>
      </w:r>
      <w:r w:rsidRPr="007A6974">
        <w:rPr>
          <w:sz w:val="14"/>
          <w:szCs w:val="14"/>
        </w:rPr>
        <w:t>.</w:t>
      </w:r>
    </w:p>
    <w:p w14:paraId="645E7B17" w14:textId="77777777" w:rsidR="008200BE" w:rsidRPr="007A6974" w:rsidRDefault="008200BE" w:rsidP="00C900FF">
      <w:pPr>
        <w:pStyle w:val="Listavistosa-nfasis11"/>
        <w:numPr>
          <w:ilvl w:val="0"/>
          <w:numId w:val="1"/>
        </w:numPr>
        <w:spacing w:after="0"/>
        <w:ind w:left="426" w:right="49" w:hanging="426"/>
        <w:rPr>
          <w:sz w:val="14"/>
          <w:szCs w:val="14"/>
        </w:rPr>
      </w:pPr>
      <w:r w:rsidRPr="007A6974">
        <w:rPr>
          <w:sz w:val="14"/>
          <w:szCs w:val="14"/>
        </w:rPr>
        <w:t xml:space="preserve">Lea minuciosamente el </w:t>
      </w:r>
      <w:r w:rsidRPr="00762996">
        <w:rPr>
          <w:b/>
          <w:sz w:val="14"/>
          <w:szCs w:val="14"/>
        </w:rPr>
        <w:t>AVISO</w:t>
      </w:r>
      <w:r w:rsidR="000E55B0">
        <w:rPr>
          <w:b/>
          <w:sz w:val="14"/>
          <w:szCs w:val="14"/>
        </w:rPr>
        <w:t xml:space="preserve"> DE PRIVACIDAD</w:t>
      </w:r>
      <w:r>
        <w:rPr>
          <w:sz w:val="14"/>
          <w:szCs w:val="14"/>
        </w:rPr>
        <w:t xml:space="preserve"> en materia del cuidado y resguardo de sus datos personales, así </w:t>
      </w:r>
      <w:r w:rsidR="00800852">
        <w:rPr>
          <w:sz w:val="14"/>
          <w:szCs w:val="14"/>
        </w:rPr>
        <w:t>como sobre la publicidad que se dará a</w:t>
      </w:r>
      <w:r>
        <w:rPr>
          <w:sz w:val="14"/>
          <w:szCs w:val="14"/>
        </w:rPr>
        <w:t xml:space="preserve"> </w:t>
      </w:r>
      <w:r>
        <w:rPr>
          <w:rFonts w:eastAsia="Times New Roman"/>
          <w:color w:val="000000"/>
          <w:sz w:val="14"/>
          <w:szCs w:val="16"/>
          <w:lang w:eastAsia="es-MX"/>
        </w:rPr>
        <w:t>l</w:t>
      </w:r>
      <w:r w:rsidRPr="00605BD9">
        <w:rPr>
          <w:rFonts w:eastAsia="Times New Roman"/>
          <w:color w:val="000000"/>
          <w:sz w:val="14"/>
          <w:szCs w:val="16"/>
          <w:lang w:eastAsia="es-MX"/>
        </w:rPr>
        <w:t xml:space="preserve">os </w:t>
      </w:r>
      <w:r w:rsidRPr="00605BD9">
        <w:rPr>
          <w:sz w:val="14"/>
          <w:szCs w:val="16"/>
        </w:rPr>
        <w:t>comentarios</w:t>
      </w:r>
      <w:r w:rsidRPr="00605BD9">
        <w:rPr>
          <w:rFonts w:eastAsia="Times New Roman"/>
          <w:color w:val="000000"/>
          <w:sz w:val="14"/>
          <w:szCs w:val="16"/>
          <w:lang w:eastAsia="es-MX"/>
        </w:rPr>
        <w:t>, opiniones y aportaciones presentadas</w:t>
      </w:r>
      <w:r>
        <w:rPr>
          <w:sz w:val="14"/>
          <w:szCs w:val="14"/>
        </w:rPr>
        <w:t xml:space="preserve"> </w:t>
      </w:r>
      <w:r w:rsidR="00800852">
        <w:rPr>
          <w:sz w:val="14"/>
          <w:szCs w:val="14"/>
        </w:rPr>
        <w:t>por usted</w:t>
      </w:r>
      <w:r>
        <w:rPr>
          <w:sz w:val="14"/>
          <w:szCs w:val="14"/>
        </w:rPr>
        <w:t xml:space="preserve"> en el presente proceso </w:t>
      </w:r>
      <w:r w:rsidR="00A75A67">
        <w:rPr>
          <w:sz w:val="14"/>
          <w:szCs w:val="14"/>
        </w:rPr>
        <w:t>consultivo</w:t>
      </w:r>
      <w:r>
        <w:rPr>
          <w:sz w:val="14"/>
          <w:szCs w:val="14"/>
        </w:rPr>
        <w:t>.</w:t>
      </w:r>
    </w:p>
    <w:p w14:paraId="645E7B18" w14:textId="77777777" w:rsidR="0038199D" w:rsidRPr="007A6974" w:rsidRDefault="00800852" w:rsidP="00C900FF">
      <w:pPr>
        <w:pStyle w:val="Listavistosa-nfasis11"/>
        <w:numPr>
          <w:ilvl w:val="0"/>
          <w:numId w:val="1"/>
        </w:numPr>
        <w:spacing w:after="0"/>
        <w:ind w:left="426" w:right="49" w:hanging="426"/>
        <w:rPr>
          <w:sz w:val="14"/>
          <w:szCs w:val="14"/>
        </w:rPr>
      </w:pPr>
      <w:r>
        <w:rPr>
          <w:sz w:val="14"/>
          <w:szCs w:val="14"/>
        </w:rPr>
        <w:t>Vierta sus comentarios conforme a la estructura de la Secci</w:t>
      </w:r>
      <w:r w:rsidR="00FE6BE3">
        <w:rPr>
          <w:sz w:val="14"/>
          <w:szCs w:val="14"/>
        </w:rPr>
        <w:t>ones</w:t>
      </w:r>
      <w:r>
        <w:rPr>
          <w:sz w:val="14"/>
          <w:szCs w:val="14"/>
        </w:rPr>
        <w:t xml:space="preserve"> I</w:t>
      </w:r>
      <w:r w:rsidR="00FE6BE3">
        <w:rPr>
          <w:sz w:val="14"/>
          <w:szCs w:val="14"/>
        </w:rPr>
        <w:t>V, V</w:t>
      </w:r>
      <w:r>
        <w:rPr>
          <w:sz w:val="14"/>
          <w:szCs w:val="14"/>
        </w:rPr>
        <w:t xml:space="preserve"> </w:t>
      </w:r>
      <w:r w:rsidR="00FE6BE3">
        <w:rPr>
          <w:sz w:val="14"/>
          <w:szCs w:val="14"/>
        </w:rPr>
        <w:t xml:space="preserve">y VI </w:t>
      </w:r>
      <w:r>
        <w:rPr>
          <w:sz w:val="14"/>
          <w:szCs w:val="14"/>
        </w:rPr>
        <w:t>del presente formato</w:t>
      </w:r>
      <w:r w:rsidR="0038199D" w:rsidRPr="007A6974">
        <w:rPr>
          <w:sz w:val="14"/>
          <w:szCs w:val="14"/>
        </w:rPr>
        <w:t>.</w:t>
      </w:r>
    </w:p>
    <w:p w14:paraId="645E7B19" w14:textId="77777777" w:rsidR="0038199D" w:rsidRPr="007A6974" w:rsidRDefault="0038199D" w:rsidP="00C900FF">
      <w:pPr>
        <w:pStyle w:val="Listavistosa-nfasis11"/>
        <w:numPr>
          <w:ilvl w:val="0"/>
          <w:numId w:val="1"/>
        </w:numPr>
        <w:spacing w:after="0"/>
        <w:ind w:left="426" w:right="49" w:hanging="426"/>
        <w:rPr>
          <w:sz w:val="14"/>
          <w:szCs w:val="14"/>
        </w:rPr>
      </w:pPr>
      <w:r w:rsidRPr="007A6974">
        <w:rPr>
          <w:sz w:val="14"/>
          <w:szCs w:val="14"/>
        </w:rPr>
        <w:t xml:space="preserve">De contar con observaciones generales o alguna aportación adicional proporciónelos </w:t>
      </w:r>
      <w:r w:rsidR="009B079D">
        <w:rPr>
          <w:sz w:val="14"/>
          <w:szCs w:val="14"/>
        </w:rPr>
        <w:t>en la sección VII del presente formato</w:t>
      </w:r>
      <w:r w:rsidRPr="007A6974">
        <w:rPr>
          <w:sz w:val="14"/>
          <w:szCs w:val="14"/>
        </w:rPr>
        <w:t>.</w:t>
      </w:r>
    </w:p>
    <w:p w14:paraId="645E7B1A" w14:textId="77777777" w:rsidR="0038199D" w:rsidRPr="007A6974" w:rsidRDefault="00800852" w:rsidP="00C900FF">
      <w:pPr>
        <w:pStyle w:val="Listavistosa-nfasis11"/>
        <w:numPr>
          <w:ilvl w:val="0"/>
          <w:numId w:val="1"/>
        </w:numPr>
        <w:spacing w:after="0"/>
        <w:ind w:left="426" w:right="49" w:hanging="426"/>
        <w:rPr>
          <w:sz w:val="14"/>
          <w:szCs w:val="14"/>
        </w:rPr>
      </w:pPr>
      <w:r>
        <w:rPr>
          <w:sz w:val="14"/>
          <w:szCs w:val="14"/>
        </w:rPr>
        <w:t>En caso de que sea de su interés, podrá</w:t>
      </w:r>
      <w:r w:rsidR="0038199D" w:rsidRPr="007A6974">
        <w:rPr>
          <w:sz w:val="14"/>
          <w:szCs w:val="14"/>
        </w:rPr>
        <w:t xml:space="preserve"> adjuntar a su correo electrónico la documentación que </w:t>
      </w:r>
      <w:r>
        <w:rPr>
          <w:sz w:val="14"/>
          <w:szCs w:val="14"/>
        </w:rPr>
        <w:t>estime</w:t>
      </w:r>
      <w:r w:rsidR="0038199D" w:rsidRPr="007A6974">
        <w:rPr>
          <w:sz w:val="14"/>
          <w:szCs w:val="14"/>
        </w:rPr>
        <w:t xml:space="preserve"> conveniente.</w:t>
      </w:r>
    </w:p>
    <w:p w14:paraId="645E7B1B" w14:textId="24905308" w:rsidR="00FE6BE3" w:rsidRPr="007A6974" w:rsidRDefault="0038199D" w:rsidP="00C900FF">
      <w:pPr>
        <w:pStyle w:val="Listavistosa-nfasis11"/>
        <w:numPr>
          <w:ilvl w:val="0"/>
          <w:numId w:val="1"/>
        </w:numPr>
        <w:spacing w:after="0"/>
        <w:ind w:left="426" w:right="49" w:hanging="426"/>
        <w:rPr>
          <w:sz w:val="14"/>
          <w:szCs w:val="14"/>
        </w:rPr>
      </w:pPr>
      <w:r w:rsidRPr="007A6974">
        <w:rPr>
          <w:sz w:val="14"/>
          <w:szCs w:val="14"/>
        </w:rPr>
        <w:t>El período de consulta pública será del</w:t>
      </w:r>
      <w:r w:rsidR="000D2838" w:rsidRPr="007A6974">
        <w:rPr>
          <w:sz w:val="14"/>
          <w:szCs w:val="14"/>
        </w:rPr>
        <w:t xml:space="preserve"> </w:t>
      </w:r>
      <w:r w:rsidR="00FE6BE3">
        <w:rPr>
          <w:sz w:val="14"/>
          <w:szCs w:val="14"/>
        </w:rPr>
        <w:t xml:space="preserve">25 </w:t>
      </w:r>
      <w:r w:rsidR="008C679D">
        <w:rPr>
          <w:sz w:val="14"/>
          <w:szCs w:val="14"/>
        </w:rPr>
        <w:t xml:space="preserve">de </w:t>
      </w:r>
      <w:r w:rsidR="00FE6BE3">
        <w:rPr>
          <w:sz w:val="14"/>
          <w:szCs w:val="14"/>
        </w:rPr>
        <w:t>marzo</w:t>
      </w:r>
      <w:r w:rsidR="00FE6BE3" w:rsidRPr="007A6974">
        <w:rPr>
          <w:sz w:val="14"/>
          <w:szCs w:val="14"/>
        </w:rPr>
        <w:t xml:space="preserve"> </w:t>
      </w:r>
      <w:r w:rsidR="000D2838" w:rsidRPr="007A6974">
        <w:rPr>
          <w:sz w:val="14"/>
          <w:szCs w:val="14"/>
        </w:rPr>
        <w:t xml:space="preserve">al </w:t>
      </w:r>
      <w:r w:rsidR="00063C81">
        <w:rPr>
          <w:sz w:val="14"/>
          <w:szCs w:val="14"/>
        </w:rPr>
        <w:t>27</w:t>
      </w:r>
      <w:r w:rsidR="00FE6BE3" w:rsidRPr="007A6974">
        <w:rPr>
          <w:sz w:val="14"/>
          <w:szCs w:val="14"/>
        </w:rPr>
        <w:t xml:space="preserve"> </w:t>
      </w:r>
      <w:r w:rsidR="000D2838" w:rsidRPr="007A6974">
        <w:rPr>
          <w:sz w:val="14"/>
          <w:szCs w:val="14"/>
        </w:rPr>
        <w:t xml:space="preserve">de </w:t>
      </w:r>
      <w:r w:rsidR="00063C81">
        <w:rPr>
          <w:sz w:val="14"/>
          <w:szCs w:val="14"/>
        </w:rPr>
        <w:t xml:space="preserve">mayo </w:t>
      </w:r>
      <w:r w:rsidR="000D2838" w:rsidRPr="007A6974">
        <w:rPr>
          <w:sz w:val="14"/>
          <w:szCs w:val="14"/>
        </w:rPr>
        <w:t>de 20</w:t>
      </w:r>
      <w:r w:rsidR="00B533DC">
        <w:rPr>
          <w:sz w:val="14"/>
          <w:szCs w:val="14"/>
        </w:rPr>
        <w:t>1</w:t>
      </w:r>
      <w:r w:rsidR="00897511">
        <w:rPr>
          <w:sz w:val="14"/>
          <w:szCs w:val="14"/>
        </w:rPr>
        <w:t>9</w:t>
      </w:r>
      <w:r w:rsidR="00FE6BE3">
        <w:rPr>
          <w:sz w:val="14"/>
          <w:szCs w:val="14"/>
        </w:rPr>
        <w:t xml:space="preserve"> (</w:t>
      </w:r>
      <w:r w:rsidR="00063C81">
        <w:rPr>
          <w:sz w:val="14"/>
          <w:szCs w:val="14"/>
        </w:rPr>
        <w:t>i.e. 4</w:t>
      </w:r>
      <w:bookmarkStart w:id="0" w:name="_GoBack"/>
      <w:bookmarkEnd w:id="0"/>
      <w:r w:rsidR="00FE6BE3">
        <w:rPr>
          <w:sz w:val="14"/>
          <w:szCs w:val="14"/>
        </w:rPr>
        <w:t>0 días hábiles)</w:t>
      </w:r>
      <w:r w:rsidRPr="007A6974">
        <w:rPr>
          <w:sz w:val="14"/>
          <w:szCs w:val="14"/>
        </w:rPr>
        <w:t>. Una vez concluido</w:t>
      </w:r>
      <w:r w:rsidR="00CC53F7">
        <w:rPr>
          <w:sz w:val="14"/>
          <w:szCs w:val="14"/>
        </w:rPr>
        <w:t xml:space="preserve"> dicho periodo</w:t>
      </w:r>
      <w:r w:rsidR="004970C4" w:rsidRPr="004970C4">
        <w:rPr>
          <w:sz w:val="14"/>
          <w:szCs w:val="14"/>
        </w:rPr>
        <w:t>,</w:t>
      </w:r>
      <w:r w:rsidRPr="007A6974">
        <w:rPr>
          <w:sz w:val="14"/>
          <w:szCs w:val="14"/>
        </w:rPr>
        <w:t xml:space="preserve"> se podrá</w:t>
      </w:r>
      <w:r w:rsidR="008F2B1A">
        <w:rPr>
          <w:sz w:val="14"/>
          <w:szCs w:val="14"/>
        </w:rPr>
        <w:t>n</w:t>
      </w:r>
      <w:r w:rsidRPr="007A6974">
        <w:rPr>
          <w:sz w:val="14"/>
          <w:szCs w:val="14"/>
        </w:rPr>
        <w:t xml:space="preserve"> continuar visualizando los comentarios vertidos, así como los documentos adjuntos en la siguiente dirección electrónica:</w:t>
      </w:r>
      <w:r w:rsidR="000D2838" w:rsidRPr="007A6974">
        <w:rPr>
          <w:sz w:val="14"/>
          <w:szCs w:val="14"/>
        </w:rPr>
        <w:t xml:space="preserve"> </w:t>
      </w:r>
      <w:hyperlink r:id="rId13" w:tooltip="Liga directa a la seccióndel  portal del IFT en la que se encuentran todas las consultas públicas" w:history="1">
        <w:r w:rsidR="000D2838" w:rsidRPr="007A6974">
          <w:rPr>
            <w:rStyle w:val="Hipervnculo"/>
            <w:sz w:val="14"/>
            <w:szCs w:val="14"/>
          </w:rPr>
          <w:t>http://www.ift.org.mx/industria/consultas-publicas</w:t>
        </w:r>
      </w:hyperlink>
      <w:r w:rsidR="007E1274">
        <w:rPr>
          <w:rStyle w:val="Hipervnculo"/>
          <w:sz w:val="14"/>
          <w:szCs w:val="14"/>
        </w:rPr>
        <w:t>.</w:t>
      </w:r>
      <w:r w:rsidR="000D2838" w:rsidRPr="007A6974">
        <w:rPr>
          <w:sz w:val="14"/>
          <w:szCs w:val="14"/>
        </w:rPr>
        <w:t xml:space="preserve"> </w:t>
      </w:r>
    </w:p>
    <w:p w14:paraId="645E7B1C" w14:textId="77777777" w:rsidR="00D26916" w:rsidRPr="00C900FF" w:rsidRDefault="00FE6BE3" w:rsidP="007E1274">
      <w:pPr>
        <w:pStyle w:val="Listavistosa-nfasis11"/>
        <w:numPr>
          <w:ilvl w:val="0"/>
          <w:numId w:val="1"/>
        </w:numPr>
        <w:spacing w:after="0"/>
        <w:ind w:left="426" w:right="49" w:hanging="426"/>
        <w:rPr>
          <w:sz w:val="14"/>
          <w:szCs w:val="14"/>
        </w:rPr>
      </w:pPr>
      <w:r w:rsidRPr="00FE6BE3">
        <w:rPr>
          <w:sz w:val="14"/>
          <w:szCs w:val="14"/>
        </w:rPr>
        <w:t xml:space="preserve">Para cualquier duda, comentario o inquietud sobre el presente proceso consultivo, el Instituto pone a su </w:t>
      </w:r>
      <w:r w:rsidRPr="00FF5E08">
        <w:rPr>
          <w:sz w:val="14"/>
          <w:szCs w:val="14"/>
        </w:rPr>
        <w:t>disposición el siguiente punto de contacto: Danyel Bengerar Muñoz Hern</w:t>
      </w:r>
      <w:r>
        <w:rPr>
          <w:sz w:val="14"/>
          <w:szCs w:val="14"/>
        </w:rPr>
        <w:t>ández</w:t>
      </w:r>
      <w:r w:rsidRPr="00FF5E08">
        <w:rPr>
          <w:sz w:val="14"/>
          <w:szCs w:val="14"/>
        </w:rPr>
        <w:t xml:space="preserve">, Director de </w:t>
      </w:r>
      <w:r>
        <w:rPr>
          <w:sz w:val="14"/>
          <w:szCs w:val="14"/>
        </w:rPr>
        <w:t>Cuantificación de Derechos y Obligaciones</w:t>
      </w:r>
      <w:r w:rsidRPr="00FF5E08">
        <w:rPr>
          <w:sz w:val="14"/>
          <w:szCs w:val="14"/>
        </w:rPr>
        <w:t xml:space="preserve"> de la Unidad de Política Regulatoria, correo electrónico: </w:t>
      </w:r>
      <w:hyperlink r:id="rId14" w:history="1">
        <w:r w:rsidRPr="00FF5E08">
          <w:rPr>
            <w:rStyle w:val="Hipervnculo"/>
            <w:sz w:val="14"/>
            <w:szCs w:val="14"/>
          </w:rPr>
          <w:t>danyel.munoz@ift.org.mx</w:t>
        </w:r>
      </w:hyperlink>
      <w:r w:rsidRPr="00FE6BE3">
        <w:rPr>
          <w:sz w:val="14"/>
          <w:szCs w:val="14"/>
        </w:rPr>
        <w:t xml:space="preserve"> o bien, a través del número telefónico (55) </w:t>
      </w:r>
      <w:r w:rsidRPr="00FF5E08">
        <w:rPr>
          <w:sz w:val="14"/>
          <w:szCs w:val="14"/>
        </w:rPr>
        <w:t>50154000, extensión 2342.</w:t>
      </w:r>
    </w:p>
    <w:p w14:paraId="645E7B1D" w14:textId="77777777" w:rsidR="006601AF" w:rsidRPr="007A6974" w:rsidRDefault="006601AF" w:rsidP="007A6974">
      <w:pPr>
        <w:pStyle w:val="Listavistosa-nfasis11"/>
        <w:spacing w:after="0"/>
        <w:ind w:left="284"/>
        <w:rPr>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DF5B3F" w14:paraId="645E7B1F" w14:textId="77777777" w:rsidTr="00DF5B3F">
        <w:trPr>
          <w:trHeight w:val="600"/>
          <w:jc w:val="center"/>
        </w:trPr>
        <w:tc>
          <w:tcPr>
            <w:tcW w:w="8647" w:type="dxa"/>
            <w:gridSpan w:val="2"/>
            <w:shd w:val="clear" w:color="auto" w:fill="D9D9D9"/>
            <w:vAlign w:val="center"/>
            <w:hideMark/>
          </w:tcPr>
          <w:p w14:paraId="645E7B1E" w14:textId="77777777" w:rsidR="00DF154A" w:rsidRPr="007A6974" w:rsidRDefault="00DF154A">
            <w:pPr>
              <w:pStyle w:val="Listavistosa-nfasis11"/>
              <w:numPr>
                <w:ilvl w:val="0"/>
                <w:numId w:val="2"/>
              </w:numPr>
              <w:spacing w:after="0" w:line="240" w:lineRule="auto"/>
              <w:ind w:left="-70" w:firstLine="70"/>
              <w:jc w:val="center"/>
              <w:rPr>
                <w:rFonts w:eastAsia="Times New Roman"/>
                <w:b/>
                <w:bCs/>
                <w:color w:val="FFFFFF"/>
                <w:lang w:eastAsia="es-MX"/>
              </w:rPr>
            </w:pPr>
            <w:r w:rsidRPr="00C41536">
              <w:rPr>
                <w:rFonts w:eastAsia="Times New Roman"/>
                <w:b/>
                <w:bCs/>
                <w:lang w:eastAsia="es-MX"/>
              </w:rPr>
              <w:t>Datos del participante</w:t>
            </w:r>
          </w:p>
        </w:tc>
      </w:tr>
      <w:tr w:rsidR="00DF154A" w:rsidRPr="00DF5B3F" w14:paraId="645E7B22" w14:textId="77777777" w:rsidTr="00DF5B3F">
        <w:trPr>
          <w:trHeight w:val="509"/>
          <w:jc w:val="center"/>
        </w:trPr>
        <w:tc>
          <w:tcPr>
            <w:tcW w:w="4584" w:type="dxa"/>
            <w:shd w:val="clear" w:color="auto" w:fill="C5E0B3"/>
            <w:vAlign w:val="center"/>
            <w:hideMark/>
          </w:tcPr>
          <w:p w14:paraId="645E7B20" w14:textId="77777777" w:rsidR="00DF154A" w:rsidRPr="00605BD9" w:rsidRDefault="00800852" w:rsidP="00800852">
            <w:pPr>
              <w:spacing w:after="0" w:line="240" w:lineRule="auto"/>
              <w:rPr>
                <w:rFonts w:eastAsia="Times New Roman"/>
                <w:b/>
                <w:bCs/>
                <w:color w:val="000000"/>
                <w:sz w:val="18"/>
                <w:lang w:eastAsia="es-MX"/>
              </w:rPr>
            </w:pPr>
            <w:r>
              <w:rPr>
                <w:rFonts w:eastAsia="Times New Roman"/>
                <w:b/>
                <w:bCs/>
                <w:color w:val="000000"/>
                <w:sz w:val="18"/>
                <w:lang w:eastAsia="es-MX"/>
              </w:rPr>
              <w:t xml:space="preserve">Nombre, razón </w:t>
            </w:r>
            <w:r w:rsidR="00DF154A" w:rsidRPr="00605BD9">
              <w:rPr>
                <w:rFonts w:eastAsia="Times New Roman"/>
                <w:b/>
                <w:bCs/>
                <w:color w:val="000000"/>
                <w:sz w:val="18"/>
                <w:lang w:eastAsia="es-MX"/>
              </w:rPr>
              <w:t>o denominación social:</w:t>
            </w:r>
          </w:p>
        </w:tc>
        <w:tc>
          <w:tcPr>
            <w:tcW w:w="4063" w:type="dxa"/>
            <w:shd w:val="clear" w:color="auto" w:fill="auto"/>
            <w:vAlign w:val="center"/>
            <w:hideMark/>
          </w:tcPr>
          <w:p w14:paraId="645E7B21" w14:textId="77777777" w:rsidR="00DF154A" w:rsidRPr="007A6974" w:rsidRDefault="00DF154A">
            <w:pPr>
              <w:spacing w:after="0" w:line="240" w:lineRule="auto"/>
              <w:jc w:val="center"/>
              <w:rPr>
                <w:rFonts w:eastAsia="Times New Roman"/>
                <w:color w:val="000000"/>
                <w:lang w:eastAsia="es-MX"/>
              </w:rPr>
            </w:pPr>
            <w:r w:rsidRPr="007A6974">
              <w:rPr>
                <w:rFonts w:eastAsia="Times New Roman"/>
                <w:color w:val="000000"/>
                <w:lang w:eastAsia="es-MX"/>
              </w:rPr>
              <w:t> </w:t>
            </w:r>
          </w:p>
        </w:tc>
      </w:tr>
      <w:tr w:rsidR="00DF154A" w:rsidRPr="00DF5B3F" w14:paraId="645E7B25" w14:textId="77777777" w:rsidTr="00DF5B3F">
        <w:trPr>
          <w:trHeight w:val="403"/>
          <w:jc w:val="center"/>
        </w:trPr>
        <w:tc>
          <w:tcPr>
            <w:tcW w:w="4584" w:type="dxa"/>
            <w:shd w:val="clear" w:color="auto" w:fill="E2EFD9"/>
            <w:vAlign w:val="center"/>
            <w:hideMark/>
          </w:tcPr>
          <w:p w14:paraId="645E7B23" w14:textId="77777777" w:rsidR="00DF154A" w:rsidRPr="00605BD9" w:rsidRDefault="00DF154A">
            <w:pPr>
              <w:spacing w:after="0" w:line="240" w:lineRule="auto"/>
              <w:rPr>
                <w:rFonts w:eastAsia="Times New Roman"/>
                <w:b/>
                <w:bCs/>
                <w:color w:val="000000"/>
                <w:sz w:val="18"/>
                <w:lang w:eastAsia="es-MX"/>
              </w:rPr>
            </w:pPr>
            <w:r w:rsidRPr="00605BD9">
              <w:rPr>
                <w:rFonts w:eastAsia="Times New Roman"/>
                <w:b/>
                <w:bCs/>
                <w:color w:val="000000"/>
                <w:sz w:val="18"/>
                <w:lang w:eastAsia="es-MX"/>
              </w:rPr>
              <w:t>En su caso, nombre del representante legal</w:t>
            </w:r>
            <w:r w:rsidRPr="00605BD9">
              <w:rPr>
                <w:rFonts w:eastAsia="Times New Roman"/>
                <w:bCs/>
                <w:color w:val="000000"/>
                <w:sz w:val="18"/>
                <w:lang w:eastAsia="es-MX"/>
              </w:rPr>
              <w:t>:</w:t>
            </w:r>
          </w:p>
        </w:tc>
        <w:tc>
          <w:tcPr>
            <w:tcW w:w="4063" w:type="dxa"/>
            <w:shd w:val="clear" w:color="auto" w:fill="auto"/>
            <w:vAlign w:val="bottom"/>
            <w:hideMark/>
          </w:tcPr>
          <w:p w14:paraId="645E7B24" w14:textId="77777777" w:rsidR="00DF154A" w:rsidRPr="007A6974" w:rsidRDefault="00DF154A">
            <w:pPr>
              <w:spacing w:after="0" w:line="240" w:lineRule="auto"/>
              <w:jc w:val="center"/>
              <w:rPr>
                <w:rFonts w:eastAsia="Times New Roman"/>
                <w:color w:val="808080"/>
                <w:lang w:eastAsia="es-MX"/>
              </w:rPr>
            </w:pPr>
            <w:r w:rsidRPr="007A6974">
              <w:rPr>
                <w:rFonts w:eastAsia="Times New Roman"/>
                <w:color w:val="808080"/>
                <w:lang w:eastAsia="es-MX"/>
              </w:rPr>
              <w:t> </w:t>
            </w:r>
          </w:p>
        </w:tc>
      </w:tr>
      <w:tr w:rsidR="00DF154A" w:rsidRPr="00DF5B3F" w14:paraId="645E7B29" w14:textId="77777777" w:rsidTr="00DF5B3F">
        <w:trPr>
          <w:trHeight w:val="523"/>
          <w:jc w:val="center"/>
        </w:trPr>
        <w:tc>
          <w:tcPr>
            <w:tcW w:w="4584" w:type="dxa"/>
            <w:shd w:val="clear" w:color="auto" w:fill="C5E0B3"/>
            <w:vAlign w:val="center"/>
            <w:hideMark/>
          </w:tcPr>
          <w:p w14:paraId="645E7B26" w14:textId="77777777" w:rsidR="00605BD9" w:rsidRDefault="00DF154A">
            <w:pPr>
              <w:spacing w:after="0" w:line="240" w:lineRule="auto"/>
              <w:rPr>
                <w:rFonts w:eastAsia="Times New Roman"/>
                <w:bCs/>
                <w:color w:val="000000"/>
                <w:sz w:val="14"/>
                <w:szCs w:val="20"/>
                <w:lang w:eastAsia="es-MX"/>
              </w:rPr>
            </w:pPr>
            <w:r w:rsidRPr="00605BD9">
              <w:rPr>
                <w:rFonts w:eastAsia="Times New Roman"/>
                <w:b/>
                <w:bCs/>
                <w:color w:val="000000"/>
                <w:sz w:val="18"/>
                <w:lang w:eastAsia="es-MX"/>
              </w:rPr>
              <w:t xml:space="preserve">Documento para la acreditación de la representación: </w:t>
            </w:r>
          </w:p>
          <w:p w14:paraId="645E7B27" w14:textId="77777777" w:rsidR="000A5CFB" w:rsidRPr="00C900FF" w:rsidRDefault="00DF154A">
            <w:pPr>
              <w:spacing w:after="0" w:line="240" w:lineRule="auto"/>
              <w:rPr>
                <w:rFonts w:eastAsia="Times New Roman"/>
                <w:bCs/>
                <w:color w:val="000000"/>
                <w:sz w:val="14"/>
                <w:szCs w:val="20"/>
                <w:lang w:eastAsia="es-MX"/>
              </w:rPr>
            </w:pPr>
            <w:r w:rsidRPr="00605BD9">
              <w:rPr>
                <w:rFonts w:eastAsia="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eastAsia="Times New Roman"/>
                <w:bCs/>
                <w:color w:val="000000"/>
                <w:sz w:val="14"/>
                <w:szCs w:val="20"/>
                <w:lang w:eastAsia="es-MX"/>
              </w:rPr>
              <w:t>.</w:t>
            </w:r>
          </w:p>
        </w:tc>
        <w:tc>
          <w:tcPr>
            <w:tcW w:w="4063" w:type="dxa"/>
            <w:shd w:val="clear" w:color="auto" w:fill="auto"/>
            <w:vAlign w:val="center"/>
            <w:hideMark/>
          </w:tcPr>
          <w:p w14:paraId="645E7B28" w14:textId="77777777" w:rsidR="00DF154A" w:rsidRPr="00DC3C6C" w:rsidRDefault="00050BED">
            <w:pPr>
              <w:spacing w:after="0" w:line="240" w:lineRule="auto"/>
              <w:jc w:val="center"/>
              <w:rPr>
                <w:rFonts w:eastAsia="Times New Roman"/>
                <w:color w:val="000000"/>
                <w:lang w:eastAsia="es-MX"/>
              </w:rPr>
            </w:pPr>
            <w:sdt>
              <w:sdtPr>
                <w:rPr>
                  <w:rFonts w:eastAsia="Times New Roman"/>
                  <w:color w:val="000000"/>
                  <w:lang w:eastAsia="es-MX"/>
                </w:rPr>
                <w:tag w:val="(Seleccione opción)"/>
                <w:id w:val="1931310767"/>
                <w:placeholder>
                  <w:docPart w:val="BA63D2BF493A476D802BBBE51AF0CC7E"/>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B1626" w:rsidRPr="00DC3C6C">
                  <w:rPr>
                    <w:rStyle w:val="Textodelmarcadordeposicin"/>
                  </w:rPr>
                  <w:t>Elija un elemento.</w:t>
                </w:r>
              </w:sdtContent>
            </w:sdt>
          </w:p>
        </w:tc>
      </w:tr>
      <w:tr w:rsidR="00DF154A" w:rsidRPr="00DF5B3F" w14:paraId="645E7B2B" w14:textId="77777777" w:rsidTr="00DF5B3F">
        <w:trPr>
          <w:trHeight w:val="300"/>
          <w:jc w:val="center"/>
        </w:trPr>
        <w:tc>
          <w:tcPr>
            <w:tcW w:w="8647" w:type="dxa"/>
            <w:gridSpan w:val="2"/>
            <w:shd w:val="clear" w:color="auto" w:fill="D9D9D9"/>
            <w:noWrap/>
            <w:vAlign w:val="center"/>
            <w:hideMark/>
          </w:tcPr>
          <w:p w14:paraId="645E7B2A" w14:textId="77777777" w:rsidR="00DF154A" w:rsidRPr="00C41536" w:rsidRDefault="00DF154A" w:rsidP="000E55B0">
            <w:pPr>
              <w:spacing w:after="0" w:line="240" w:lineRule="auto"/>
              <w:jc w:val="center"/>
              <w:rPr>
                <w:rFonts w:eastAsia="Times New Roman"/>
                <w:b/>
                <w:bCs/>
                <w:color w:val="000000"/>
                <w:lang w:eastAsia="es-MX"/>
              </w:rPr>
            </w:pPr>
            <w:r w:rsidRPr="00C41536">
              <w:rPr>
                <w:rFonts w:eastAsia="Times New Roman"/>
                <w:b/>
                <w:bCs/>
                <w:color w:val="000000"/>
                <w:lang w:eastAsia="es-MX"/>
              </w:rPr>
              <w:t xml:space="preserve">AVISO </w:t>
            </w:r>
            <w:r w:rsidR="000E55B0">
              <w:rPr>
                <w:rFonts w:eastAsia="Times New Roman"/>
                <w:b/>
                <w:bCs/>
                <w:color w:val="000000"/>
                <w:lang w:eastAsia="es-MX"/>
              </w:rPr>
              <w:t>DE PRIVACIDAD</w:t>
            </w:r>
          </w:p>
        </w:tc>
      </w:tr>
      <w:tr w:rsidR="00DF154A" w:rsidRPr="00DF5B3F" w14:paraId="645E7B54" w14:textId="77777777" w:rsidTr="006B0B12">
        <w:trPr>
          <w:trHeight w:val="1889"/>
          <w:jc w:val="center"/>
        </w:trPr>
        <w:tc>
          <w:tcPr>
            <w:tcW w:w="8647" w:type="dxa"/>
            <w:gridSpan w:val="2"/>
            <w:shd w:val="clear" w:color="auto" w:fill="auto"/>
            <w:vAlign w:val="center"/>
            <w:hideMark/>
          </w:tcPr>
          <w:p w14:paraId="645E7B2C" w14:textId="77777777" w:rsidR="00915CEA" w:rsidRDefault="00915CEA" w:rsidP="000E55B0">
            <w:pPr>
              <w:spacing w:after="0" w:line="240" w:lineRule="auto"/>
              <w:rPr>
                <w:rFonts w:eastAsia="Times New Roman"/>
                <w:color w:val="000000"/>
                <w:sz w:val="14"/>
                <w:szCs w:val="16"/>
                <w:lang w:eastAsia="es-MX"/>
              </w:rPr>
            </w:pPr>
          </w:p>
          <w:p w14:paraId="645E7B2D" w14:textId="77777777" w:rsidR="00DD57E2" w:rsidRPr="00F36A5D" w:rsidRDefault="00DD57E2" w:rsidP="00DD57E2">
            <w:pPr>
              <w:spacing w:before="120" w:after="120" w:line="240" w:lineRule="auto"/>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645E7B2E" w14:textId="77777777" w:rsidR="00DD57E2" w:rsidRPr="00F36A5D" w:rsidRDefault="00DD57E2" w:rsidP="00DD57E2">
            <w:pPr>
              <w:pStyle w:val="Listavistosa-nfasis11"/>
              <w:numPr>
                <w:ilvl w:val="0"/>
                <w:numId w:val="9"/>
              </w:numPr>
              <w:spacing w:before="120" w:after="120" w:line="240" w:lineRule="auto"/>
              <w:ind w:left="492" w:right="229" w:hanging="283"/>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645E7B2F" w14:textId="77777777" w:rsidR="00DD57E2" w:rsidRPr="00F36A5D" w:rsidRDefault="00DD57E2" w:rsidP="00DD57E2">
            <w:pPr>
              <w:pStyle w:val="Listavistosa-nfasis11"/>
              <w:numPr>
                <w:ilvl w:val="0"/>
                <w:numId w:val="9"/>
              </w:numPr>
              <w:spacing w:before="120" w:after="120" w:line="240" w:lineRule="auto"/>
              <w:ind w:left="492" w:right="229" w:hanging="283"/>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Pr>
                <w:rFonts w:ascii="ITC Avant Garde" w:eastAsia="Times New Roman" w:hAnsi="ITC Avant Garde"/>
                <w:color w:val="000000"/>
                <w:sz w:val="14"/>
                <w:szCs w:val="16"/>
                <w:lang w:eastAsia="es-MX"/>
              </w:rPr>
              <w:t>Demarcación Territorial Benito Juárez, C.</w:t>
            </w:r>
            <w:r w:rsidRPr="00F36A5D">
              <w:rPr>
                <w:rFonts w:ascii="ITC Avant Garde" w:eastAsia="Times New Roman" w:hAnsi="ITC Avant Garde"/>
                <w:color w:val="000000"/>
                <w:sz w:val="14"/>
                <w:szCs w:val="16"/>
                <w:lang w:eastAsia="es-MX"/>
              </w:rPr>
              <w:t xml:space="preserve">P. 03720, Ciudad de México, México. </w:t>
            </w:r>
          </w:p>
          <w:p w14:paraId="645E7B30" w14:textId="77777777" w:rsidR="00DD57E2" w:rsidRPr="00F36A5D" w:rsidRDefault="00DD57E2" w:rsidP="00DD57E2">
            <w:pPr>
              <w:pStyle w:val="Listavistosa-nfasis11"/>
              <w:numPr>
                <w:ilvl w:val="0"/>
                <w:numId w:val="9"/>
              </w:numPr>
              <w:spacing w:before="120" w:after="120" w:line="240" w:lineRule="auto"/>
              <w:ind w:left="492" w:right="229" w:hanging="283"/>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Pr>
                <w:rFonts w:ascii="ITC Avant Garde" w:eastAsia="Times New Roman" w:hAnsi="ITC Avant Garde"/>
                <w:color w:val="000000"/>
                <w:sz w:val="14"/>
                <w:szCs w:val="16"/>
                <w:lang w:eastAsia="es-MX"/>
              </w:rPr>
              <w:t xml:space="preserve"> l</w:t>
            </w:r>
            <w:r w:rsidRPr="00F36A5D">
              <w:rPr>
                <w:rFonts w:ascii="ITC Avant Garde" w:eastAsia="Times New Roman" w:hAnsi="ITC Avant Garde"/>
                <w:color w:val="000000"/>
                <w:sz w:val="14"/>
                <w:szCs w:val="16"/>
                <w:lang w:eastAsia="es-MX"/>
              </w:rPr>
              <w:t xml:space="preserve">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w:t>
            </w:r>
            <w:r w:rsidRPr="00F36A5D">
              <w:rPr>
                <w:rFonts w:ascii="ITC Avant Garde" w:eastAsia="Times New Roman" w:hAnsi="ITC Avant Garde"/>
                <w:color w:val="000000"/>
                <w:sz w:val="14"/>
                <w:szCs w:val="16"/>
                <w:lang w:eastAsia="es-MX"/>
              </w:rPr>
              <w:lastRenderedPageBreak/>
              <w:t>para la difusión de dichos datos, cuando menos, en el portal del Instituto, en términos de lo dispuesto en los artículos 20 y 21, segundo y tercer párrafos, de la LGPDPPSO y los numerales 12 y 15 de los Lineamientos.</w:t>
            </w:r>
          </w:p>
          <w:p w14:paraId="645E7B31" w14:textId="77777777" w:rsidR="00DD57E2" w:rsidRPr="00F36A5D" w:rsidRDefault="00DD57E2" w:rsidP="00DD57E2">
            <w:pPr>
              <w:numPr>
                <w:ilvl w:val="0"/>
                <w:numId w:val="9"/>
              </w:numPr>
              <w:spacing w:before="120" w:after="120" w:line="240" w:lineRule="auto"/>
              <w:ind w:left="492" w:right="229" w:hanging="283"/>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l</w:t>
            </w:r>
            <w:r w:rsidRPr="00F36A5D">
              <w:rPr>
                <w:rFonts w:ascii="ITC Avant Garde" w:eastAsia="Times New Roman" w:hAnsi="ITC Avant Garde"/>
                <w:color w:val="000000"/>
                <w:sz w:val="14"/>
                <w:szCs w:val="16"/>
                <w:lang w:eastAsia="es-MX"/>
              </w:rPr>
              <w:t>os datos personales recabados con motivo de los procesos de consulta pública no serán objeto de transferencias que requieran el consentimiento del titular.</w:t>
            </w:r>
          </w:p>
          <w:p w14:paraId="645E7B32" w14:textId="77777777" w:rsidR="00DD57E2" w:rsidRPr="00F36A5D" w:rsidRDefault="00DD57E2" w:rsidP="00DD57E2">
            <w:pPr>
              <w:numPr>
                <w:ilvl w:val="0"/>
                <w:numId w:val="9"/>
              </w:numPr>
              <w:spacing w:before="120" w:after="120" w:line="240" w:lineRule="auto"/>
              <w:ind w:left="492" w:right="229" w:hanging="283"/>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Pr>
                <w:rFonts w:ascii="ITC Avant Garde" w:eastAsia="Times New Roman" w:hAnsi="ITC Avant Garde"/>
                <w:color w:val="000000"/>
                <w:sz w:val="14"/>
                <w:szCs w:val="16"/>
                <w:lang w:eastAsia="es-MX"/>
              </w:rPr>
              <w:t xml:space="preserve"> e</w:t>
            </w:r>
            <w:r w:rsidRPr="00F36A5D">
              <w:rPr>
                <w:rFonts w:ascii="ITC Avant Garde" w:eastAsia="Times New Roman" w:hAnsi="ITC Avant Garde"/>
                <w:color w:val="000000"/>
                <w:sz w:val="14"/>
                <w:szCs w:val="16"/>
                <w:lang w:eastAsia="es-MX"/>
              </w:rPr>
              <w:t>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w:t>
            </w:r>
            <w:r>
              <w:rPr>
                <w:rFonts w:ascii="ITC Avant Garde" w:eastAsia="Times New Roman" w:hAnsi="ITC Avant Garde"/>
                <w:color w:val="000000"/>
                <w:sz w:val="14"/>
                <w:szCs w:val="16"/>
                <w:lang w:eastAsia="es-MX"/>
              </w:rPr>
              <w:t xml:space="preserve">culos 15, fracciones XL y XLI, </w:t>
            </w:r>
            <w:r w:rsidRPr="00F36A5D">
              <w:rPr>
                <w:rFonts w:ascii="ITC Avant Garde" w:eastAsia="Times New Roman" w:hAnsi="ITC Avant Garde"/>
                <w:color w:val="000000"/>
                <w:sz w:val="14"/>
                <w:szCs w:val="16"/>
                <w:lang w:eastAsia="es-MX"/>
              </w:rPr>
              <w:t>51 de la Ley Federal de Tel</w:t>
            </w:r>
            <w:r>
              <w:rPr>
                <w:rFonts w:ascii="ITC Avant Garde" w:eastAsia="Times New Roman" w:hAnsi="ITC Avant Garde"/>
                <w:color w:val="000000"/>
                <w:sz w:val="14"/>
                <w:szCs w:val="16"/>
                <w:lang w:eastAsia="es-MX"/>
              </w:rPr>
              <w:t>ecomunicaciones y Radiodifusión</w:t>
            </w:r>
            <w:r w:rsidRPr="00F36A5D">
              <w:rPr>
                <w:rFonts w:ascii="ITC Avant Garde" w:eastAsia="Times New Roman" w:hAnsi="ITC Avant Garde"/>
                <w:color w:val="000000"/>
                <w:sz w:val="14"/>
                <w:szCs w:val="16"/>
                <w:lang w:eastAsia="es-MX"/>
              </w:rPr>
              <w:t xml:space="preserve">, última modificación </w:t>
            </w:r>
            <w:r w:rsidRPr="002A3B21">
              <w:rPr>
                <w:rFonts w:ascii="ITC Avant Garde" w:eastAsia="Times New Roman" w:hAnsi="ITC Avant Garde"/>
                <w:color w:val="000000"/>
                <w:sz w:val="14"/>
                <w:szCs w:val="16"/>
                <w:lang w:eastAsia="es-MX"/>
              </w:rPr>
              <w:t>publicada en el Diario Oficial de la Federación el 15 de junio de 2018,12, fracción XXII, segundo y tercer párrafos y 138 de la Ley Federal de Competencia Económica, última modificación publicada en el Diario Oficial de la Federación el 27 de enero de 2017, así</w:t>
            </w:r>
            <w:r w:rsidRPr="00F36A5D">
              <w:rPr>
                <w:rFonts w:ascii="ITC Avant Garde" w:eastAsia="Times New Roman" w:hAnsi="ITC Avant Garde"/>
                <w:color w:val="000000"/>
                <w:sz w:val="14"/>
                <w:szCs w:val="16"/>
                <w:lang w:eastAsia="es-MX"/>
              </w:rPr>
              <w:t xml:space="preserve"> como el </w:t>
            </w:r>
            <w:r>
              <w:rPr>
                <w:rFonts w:ascii="ITC Avant Garde" w:eastAsia="Times New Roman" w:hAnsi="ITC Avant Garde"/>
                <w:color w:val="000000"/>
                <w:sz w:val="14"/>
                <w:szCs w:val="16"/>
                <w:lang w:eastAsia="es-MX"/>
              </w:rPr>
              <w:t>numeral</w:t>
            </w:r>
            <w:r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645E7B33" w14:textId="77777777" w:rsidR="00DD57E2" w:rsidRPr="00F36A5D" w:rsidRDefault="00DD57E2" w:rsidP="00DD57E2">
            <w:pPr>
              <w:pStyle w:val="Listavistosa-nfasis11"/>
              <w:numPr>
                <w:ilvl w:val="0"/>
                <w:numId w:val="9"/>
              </w:numPr>
              <w:spacing w:before="120" w:after="120" w:line="240" w:lineRule="auto"/>
              <w:ind w:left="492" w:right="229" w:hanging="283"/>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e</w:t>
            </w:r>
            <w:r w:rsidRPr="00F36A5D">
              <w:rPr>
                <w:rFonts w:ascii="ITC Avant Garde" w:eastAsia="Times New Roman" w:hAnsi="ITC Avant Garde"/>
                <w:color w:val="000000"/>
                <w:sz w:val="14"/>
                <w:szCs w:val="16"/>
                <w:lang w:eastAsia="es-MX"/>
              </w:rPr>
              <w:t xml:space="preserv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sidR="004C6290">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siguientes punto de contacto:</w:t>
            </w:r>
            <w:r>
              <w:rPr>
                <w:rFonts w:ascii="ITC Avant Garde" w:eastAsia="Times New Roman" w:hAnsi="ITC Avant Garde"/>
                <w:color w:val="000000"/>
                <w:sz w:val="14"/>
                <w:szCs w:val="16"/>
                <w:lang w:eastAsia="es-MX"/>
              </w:rPr>
              <w:t xml:space="preserve"> </w:t>
            </w:r>
            <w:r w:rsidR="000A6C9E">
              <w:rPr>
                <w:rFonts w:ascii="ITC Avant Garde" w:eastAsia="Times New Roman" w:hAnsi="ITC Avant Garde"/>
                <w:color w:val="000000"/>
                <w:sz w:val="14"/>
                <w:szCs w:val="16"/>
                <w:lang w:eastAsia="es-MX" w:bidi="es-MX"/>
              </w:rPr>
              <w:t>Erika Yatzil Hinojosa Cortés</w:t>
            </w:r>
            <w:r w:rsidR="00FC6BC8">
              <w:rPr>
                <w:rFonts w:ascii="ITC Avant Garde" w:eastAsia="Times New Roman" w:hAnsi="ITC Avant Garde"/>
                <w:color w:val="000000"/>
                <w:sz w:val="14"/>
                <w:szCs w:val="16"/>
                <w:lang w:eastAsia="es-MX"/>
              </w:rPr>
              <w:t xml:space="preserve">, </w:t>
            </w:r>
            <w:r w:rsidR="000A6C9E">
              <w:rPr>
                <w:rFonts w:ascii="ITC Avant Garde" w:eastAsia="Times New Roman" w:hAnsi="ITC Avant Garde"/>
                <w:color w:val="000000"/>
                <w:sz w:val="14"/>
                <w:szCs w:val="16"/>
                <w:lang w:eastAsia="es-MX"/>
              </w:rPr>
              <w:t>Subdirectora de Procesos Jurídicos y Administrativos 2</w:t>
            </w:r>
            <w:r w:rsidR="004C6290">
              <w:rPr>
                <w:rFonts w:ascii="ITC Avant Garde" w:eastAsia="Times New Roman" w:hAnsi="ITC Avant Garde"/>
                <w:color w:val="000000"/>
                <w:sz w:val="14"/>
                <w:szCs w:val="16"/>
                <w:lang w:eastAsia="es-MX"/>
              </w:rPr>
              <w:t xml:space="preserve"> de la Unidad de Política Regulatoria</w:t>
            </w:r>
            <w:r w:rsidR="00FC6BC8" w:rsidRPr="00F36A5D">
              <w:rPr>
                <w:rFonts w:ascii="ITC Avant Garde" w:eastAsia="Times New Roman" w:hAnsi="ITC Avant Garde"/>
                <w:color w:val="000000"/>
                <w:sz w:val="14"/>
                <w:szCs w:val="16"/>
                <w:lang w:eastAsia="es-MX"/>
              </w:rPr>
              <w:t xml:space="preserve">, correo electrónico </w:t>
            </w:r>
            <w:hyperlink r:id="rId15" w:history="1">
              <w:r w:rsidR="000A6C9E" w:rsidRPr="00011A76">
                <w:rPr>
                  <w:rStyle w:val="Hipervnculo"/>
                  <w:rFonts w:ascii="ITC Avant Garde" w:eastAsia="Times New Roman" w:hAnsi="ITC Avant Garde"/>
                  <w:sz w:val="14"/>
                  <w:szCs w:val="16"/>
                  <w:lang w:eastAsia="es-MX"/>
                </w:rPr>
                <w:t>erika.yatzil@ift.org.mx</w:t>
              </w:r>
            </w:hyperlink>
            <w:r w:rsidR="00FC6BC8">
              <w:rPr>
                <w:rFonts w:ascii="ITC Avant Garde" w:eastAsia="Times New Roman" w:hAnsi="ITC Avant Garde"/>
                <w:color w:val="000000"/>
                <w:sz w:val="14"/>
                <w:szCs w:val="16"/>
                <w:lang w:eastAsia="es-MX"/>
              </w:rPr>
              <w:t xml:space="preserve"> </w:t>
            </w:r>
            <w:r w:rsidR="00FC6BC8" w:rsidRPr="00F36A5D">
              <w:rPr>
                <w:rFonts w:ascii="ITC Avant Garde" w:eastAsia="Times New Roman" w:hAnsi="ITC Avant Garde"/>
                <w:color w:val="000000"/>
                <w:sz w:val="14"/>
                <w:szCs w:val="16"/>
                <w:lang w:eastAsia="es-MX"/>
              </w:rPr>
              <w:t>y número telefónico (55) 50154000</w:t>
            </w:r>
            <w:r w:rsidR="00FC6BC8">
              <w:rPr>
                <w:rFonts w:ascii="ITC Avant Garde" w:eastAsia="Times New Roman" w:hAnsi="ITC Avant Garde"/>
                <w:color w:val="000000"/>
                <w:sz w:val="14"/>
                <w:szCs w:val="16"/>
                <w:lang w:eastAsia="es-MX"/>
              </w:rPr>
              <w:t>, extensión</w:t>
            </w:r>
            <w:r w:rsidR="00FC6BC8" w:rsidRPr="00F36A5D">
              <w:rPr>
                <w:rFonts w:ascii="ITC Avant Garde" w:eastAsia="Times New Roman" w:hAnsi="ITC Avant Garde"/>
                <w:color w:val="000000"/>
                <w:sz w:val="14"/>
                <w:szCs w:val="16"/>
                <w:lang w:eastAsia="es-MX"/>
              </w:rPr>
              <w:t xml:space="preserve"> </w:t>
            </w:r>
            <w:r w:rsidR="004C6290">
              <w:rPr>
                <w:rFonts w:ascii="ITC Avant Garde" w:eastAsia="Times New Roman" w:hAnsi="ITC Avant Garde"/>
                <w:color w:val="000000"/>
                <w:sz w:val="14"/>
                <w:szCs w:val="16"/>
                <w:lang w:eastAsia="es-MX"/>
              </w:rPr>
              <w:t>4</w:t>
            </w:r>
            <w:r w:rsidR="000A6C9E">
              <w:rPr>
                <w:rFonts w:ascii="ITC Avant Garde" w:eastAsia="Times New Roman" w:hAnsi="ITC Avant Garde"/>
                <w:color w:val="000000"/>
                <w:sz w:val="14"/>
                <w:szCs w:val="16"/>
                <w:lang w:eastAsia="es-MX"/>
              </w:rPr>
              <w:t>892</w:t>
            </w:r>
            <w:r>
              <w:rPr>
                <w:rFonts w:ascii="ITC Avant Garde" w:eastAsia="Times New Roman" w:hAnsi="ITC Avant Garde"/>
                <w:color w:val="000000"/>
                <w:sz w:val="14"/>
                <w:szCs w:val="16"/>
                <w:lang w:eastAsia="es-MX" w:bidi="es-MX"/>
              </w:rPr>
              <w:t xml:space="preserve">, </w:t>
            </w:r>
            <w:r w:rsidR="000A6C9E">
              <w:rPr>
                <w:rFonts w:ascii="ITC Avant Garde" w:eastAsia="Times New Roman" w:hAnsi="ITC Avant Garde"/>
                <w:color w:val="000000"/>
                <w:sz w:val="14"/>
                <w:szCs w:val="16"/>
                <w:lang w:eastAsia="es-MX" w:bidi="es-MX"/>
              </w:rPr>
              <w:t>con quien</w:t>
            </w:r>
            <w:r w:rsidRPr="00F36A5D">
              <w:rPr>
                <w:rFonts w:ascii="ITC Avant Garde" w:eastAsia="Times New Roman" w:hAnsi="ITC Avant Garde"/>
                <w:color w:val="000000"/>
                <w:sz w:val="14"/>
                <w:szCs w:val="16"/>
                <w:lang w:eastAsia="es-MX"/>
              </w:rPr>
              <w:t xml:space="preserve"> el titular de los datos personales podrá comunicarse para cualquier manifestación o inquietud al respecto. </w:t>
            </w:r>
          </w:p>
          <w:p w14:paraId="645E7B34" w14:textId="77777777" w:rsidR="00DD57E2" w:rsidRDefault="00DD57E2" w:rsidP="00DD57E2">
            <w:pPr>
              <w:pStyle w:val="Listavistosa-nfasis11"/>
              <w:numPr>
                <w:ilvl w:val="0"/>
                <w:numId w:val="9"/>
              </w:numPr>
              <w:spacing w:before="120" w:after="120" w:line="240" w:lineRule="auto"/>
              <w:ind w:left="492" w:right="229" w:hanging="283"/>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Pr>
                <w:rFonts w:ascii="ITC Avant Garde" w:eastAsia="Times New Roman" w:hAnsi="ITC Avant Garde"/>
                <w:color w:val="000000"/>
                <w:sz w:val="14"/>
                <w:szCs w:val="16"/>
                <w:lang w:eastAsia="es-MX"/>
              </w:rPr>
              <w:t xml:space="preserve"> l</w:t>
            </w:r>
            <w:r w:rsidRPr="00F36A5D">
              <w:rPr>
                <w:rFonts w:ascii="ITC Avant Garde" w:eastAsia="Times New Roman" w:hAnsi="ITC Avant Garde"/>
                <w:color w:val="000000"/>
                <w:sz w:val="14"/>
                <w:szCs w:val="16"/>
                <w:lang w:eastAsia="es-MX"/>
              </w:rPr>
              <w:t>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45E7B35" w14:textId="77777777" w:rsidR="00DD57E2" w:rsidRDefault="00DD57E2" w:rsidP="00DD57E2">
            <w:pPr>
              <w:pStyle w:val="Listavistosa-nfasis11"/>
              <w:numPr>
                <w:ilvl w:val="0"/>
                <w:numId w:val="26"/>
              </w:numPr>
              <w:spacing w:before="120" w:after="120" w:line="240" w:lineRule="auto"/>
              <w:ind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45E7B36" w14:textId="77777777" w:rsidR="00DD57E2" w:rsidRPr="00F36A5D" w:rsidRDefault="00DD57E2" w:rsidP="00DD57E2">
            <w:pPr>
              <w:pStyle w:val="Listavistosa-nfasis11"/>
              <w:numPr>
                <w:ilvl w:val="0"/>
                <w:numId w:val="25"/>
              </w:numPr>
              <w:spacing w:before="120" w:after="120" w:line="240" w:lineRule="auto"/>
              <w:ind w:right="1012"/>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45E7B37" w14:textId="77777777" w:rsidR="00DD57E2" w:rsidRPr="00F36A5D" w:rsidRDefault="00DD57E2" w:rsidP="00DD57E2">
            <w:pPr>
              <w:pStyle w:val="Listavistosa-nfasis11"/>
              <w:numPr>
                <w:ilvl w:val="0"/>
                <w:numId w:val="25"/>
              </w:numPr>
              <w:spacing w:before="120" w:after="120" w:line="240" w:lineRule="auto"/>
              <w:ind w:right="1012"/>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45E7B38" w14:textId="77777777" w:rsidR="00DD57E2" w:rsidRPr="00F36A5D" w:rsidRDefault="00DD57E2" w:rsidP="00DD57E2">
            <w:pPr>
              <w:pStyle w:val="Listavistosa-nfasis11"/>
              <w:numPr>
                <w:ilvl w:val="0"/>
                <w:numId w:val="25"/>
              </w:numPr>
              <w:spacing w:before="120" w:after="120" w:line="240" w:lineRule="auto"/>
              <w:ind w:right="1012"/>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645E7B39" w14:textId="77777777" w:rsidR="00DD57E2" w:rsidRPr="00F36A5D" w:rsidRDefault="00DD57E2" w:rsidP="00DD57E2">
            <w:pPr>
              <w:pStyle w:val="Listavistosa-nfasis11"/>
              <w:numPr>
                <w:ilvl w:val="0"/>
                <w:numId w:val="25"/>
              </w:numPr>
              <w:spacing w:before="120" w:after="120" w:line="240" w:lineRule="auto"/>
              <w:ind w:right="1012"/>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645E7B3A" w14:textId="77777777" w:rsidR="00DD57E2" w:rsidRPr="00F36A5D" w:rsidRDefault="00DD57E2" w:rsidP="00DD57E2">
            <w:pPr>
              <w:pStyle w:val="Listavistosa-nfasis11"/>
              <w:numPr>
                <w:ilvl w:val="0"/>
                <w:numId w:val="25"/>
              </w:numPr>
              <w:spacing w:before="120" w:after="120" w:line="240" w:lineRule="auto"/>
              <w:ind w:right="1012"/>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45E7B3B" w14:textId="77777777" w:rsidR="00DD57E2" w:rsidRPr="00F36A5D" w:rsidRDefault="00DD57E2" w:rsidP="00DD57E2">
            <w:pPr>
              <w:pStyle w:val="Listavistosa-nfasis11"/>
              <w:numPr>
                <w:ilvl w:val="0"/>
                <w:numId w:val="25"/>
              </w:numPr>
              <w:spacing w:before="120" w:after="120" w:line="240" w:lineRule="auto"/>
              <w:ind w:right="1012"/>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45E7B3C"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45E7B3D" w14:textId="77777777" w:rsidR="00DD57E2" w:rsidRPr="00F36A5D" w:rsidRDefault="00DD57E2" w:rsidP="00DD57E2">
            <w:pPr>
              <w:pStyle w:val="Listavistosa-nfasis11"/>
              <w:spacing w:before="120" w:after="120" w:line="240" w:lineRule="auto"/>
              <w:ind w:left="539"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45E7B3E" w14:textId="77777777" w:rsidR="00DD57E2" w:rsidRPr="00F36A5D" w:rsidRDefault="00DD57E2" w:rsidP="00DD57E2">
            <w:pPr>
              <w:pStyle w:val="Listavistosa-nfasis11"/>
              <w:spacing w:before="120" w:after="120" w:line="240" w:lineRule="auto"/>
              <w:ind w:left="539"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645E7B3F"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645E7B40" w14:textId="634813E3"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w:t>
            </w:r>
            <w:r>
              <w:rPr>
                <w:rFonts w:ascii="ITC Avant Garde" w:eastAsia="Times New Roman" w:hAnsi="ITC Avant Garde"/>
                <w:color w:val="000000"/>
                <w:sz w:val="14"/>
                <w:szCs w:val="16"/>
                <w:lang w:eastAsia="es-MX"/>
              </w:rPr>
              <w:t xml:space="preserve">e encuentran disponibles en su </w:t>
            </w:r>
            <w:r w:rsidRPr="00F36A5D">
              <w:rPr>
                <w:rFonts w:ascii="ITC Avant Garde" w:eastAsia="Times New Roman" w:hAnsi="ITC Avant Garde"/>
                <w:color w:val="000000"/>
                <w:sz w:val="14"/>
                <w:szCs w:val="16"/>
                <w:lang w:eastAsia="es-MX"/>
              </w:rPr>
              <w:t>portal de Internet (</w:t>
            </w:r>
            <w:r>
              <w:rPr>
                <w:rFonts w:ascii="ITC Avant Garde" w:eastAsia="Times New Roman" w:hAnsi="ITC Avant Garde"/>
                <w:color w:val="000000"/>
                <w:sz w:val="14"/>
                <w:szCs w:val="16"/>
                <w:lang w:eastAsia="es-MX"/>
              </w:rPr>
              <w:t>www.inai.org.mx</w:t>
            </w:r>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w:t>
            </w:r>
            <w:r w:rsidR="000A19CE">
              <w:rPr>
                <w:rFonts w:ascii="ITC Avant Garde" w:eastAsia="Times New Roman" w:hAnsi="ITC Avant Garde"/>
                <w:color w:val="000000"/>
                <w:sz w:val="14"/>
                <w:szCs w:val="16"/>
                <w:lang w:eastAsia="es-MX"/>
              </w:rPr>
              <w:t>”</w:t>
            </w:r>
            <w:r>
              <w:rPr>
                <w:rFonts w:ascii="ITC Avant Garde" w:eastAsia="Times New Roman" w:hAnsi="ITC Avant Garde"/>
                <w:color w:val="000000"/>
                <w:sz w:val="14"/>
                <w:szCs w:val="16"/>
                <w:lang w:eastAsia="es-MX"/>
              </w:rPr>
              <w:t>/“Formatos”/”</w:t>
            </w:r>
            <w:r w:rsidRPr="00F36A5D">
              <w:rPr>
                <w:rFonts w:ascii="ITC Avant Garde" w:eastAsia="Times New Roman" w:hAnsi="ITC Avant Garde"/>
                <w:color w:val="000000"/>
                <w:sz w:val="14"/>
                <w:szCs w:val="16"/>
                <w:lang w:eastAsia="es-MX"/>
              </w:rPr>
              <w:t>Sector Público”.</w:t>
            </w:r>
          </w:p>
          <w:p w14:paraId="645E7B41"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45E7B42"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w:t>
            </w:r>
            <w:r w:rsidRPr="00F36A5D">
              <w:rPr>
                <w:rFonts w:ascii="ITC Avant Garde" w:eastAsia="Times New Roman" w:hAnsi="ITC Avant Garde"/>
                <w:color w:val="000000"/>
                <w:sz w:val="14"/>
                <w:szCs w:val="16"/>
                <w:lang w:eastAsia="es-MX"/>
              </w:rPr>
              <w:lastRenderedPageBreak/>
              <w:t>presencial, o por la Plataforma Nacional de Transparencia o correo certificado en cuyo caso no procederá la notificación a través de representante para estos últimos medios.</w:t>
            </w:r>
          </w:p>
          <w:p w14:paraId="645E7B43"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645E7B44"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645E7B45"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45E7B46"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45E7B47"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45E7B48"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645E7B49"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w:t>
            </w:r>
            <w:r>
              <w:rPr>
                <w:rFonts w:ascii="ITC Avant Garde" w:eastAsia="Times New Roman" w:hAnsi="ITC Avant Garde"/>
                <w:color w:val="000000"/>
                <w:sz w:val="14"/>
                <w:szCs w:val="16"/>
                <w:lang w:eastAsia="es-MX"/>
              </w:rPr>
              <w:t>e la LGPDPPSO, y el responsable</w:t>
            </w:r>
            <w:r w:rsidRPr="00F36A5D">
              <w:rPr>
                <w:rFonts w:ascii="ITC Avant Garde" w:eastAsia="Times New Roman" w:hAnsi="ITC Avant Garde"/>
                <w:color w:val="000000"/>
                <w:sz w:val="14"/>
                <w:szCs w:val="16"/>
                <w:lang w:eastAsia="es-MX"/>
              </w:rPr>
              <w:t xml:space="preserv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45E7B4A"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645E7B4B"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645E7B4C"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45E7B4D"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45E7B4E"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645E7B4F" w14:textId="77777777" w:rsidR="00DD57E2" w:rsidRPr="00F36A5D"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45E7B50" w14:textId="77777777" w:rsidR="00DD57E2" w:rsidRDefault="00DD57E2" w:rsidP="00DD57E2">
            <w:pPr>
              <w:pStyle w:val="Listavistosa-nfasis11"/>
              <w:spacing w:before="120" w:after="120" w:line="240" w:lineRule="auto"/>
              <w:ind w:left="492" w:right="229"/>
              <w:contextualSpacing w:val="0"/>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45E7B51" w14:textId="77777777" w:rsidR="00DD57E2" w:rsidRDefault="00DD57E2" w:rsidP="00DD57E2">
            <w:pPr>
              <w:pStyle w:val="Listavistosa-nfasis11"/>
              <w:numPr>
                <w:ilvl w:val="0"/>
                <w:numId w:val="9"/>
              </w:numPr>
              <w:spacing w:before="120" w:after="120" w:line="240" w:lineRule="auto"/>
              <w:ind w:left="492" w:right="229" w:hanging="283"/>
              <w:contextualSpacing w:val="0"/>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w:t>
            </w:r>
            <w:r>
              <w:rPr>
                <w:rFonts w:ascii="ITC Avant Garde" w:eastAsia="Times New Roman" w:hAnsi="ITC Avant Garde"/>
                <w:color w:val="000000"/>
                <w:sz w:val="14"/>
                <w:szCs w:val="16"/>
                <w:lang w:eastAsia="es-MX"/>
              </w:rPr>
              <w:t>143, Col. Nochebuena, Demarcación Territorial</w:t>
            </w:r>
            <w:r w:rsidRPr="00EC144A">
              <w:rPr>
                <w:rFonts w:ascii="ITC Avant Garde" w:eastAsia="Times New Roman" w:hAnsi="ITC Avant Garde"/>
                <w:color w:val="000000"/>
                <w:sz w:val="14"/>
                <w:szCs w:val="16"/>
                <w:lang w:eastAsia="es-MX"/>
              </w:rPr>
              <w:t xml:space="preserve"> Benito Juárez, C. P. 03720, Ciudad de México, México. Planta Baja, </w:t>
            </w:r>
            <w:r>
              <w:rPr>
                <w:rFonts w:ascii="ITC Avant Garde" w:eastAsia="Times New Roman" w:hAnsi="ITC Avant Garde"/>
                <w:color w:val="000000"/>
                <w:sz w:val="14"/>
                <w:szCs w:val="16"/>
                <w:lang w:eastAsia="es-MX"/>
              </w:rPr>
              <w:t>teléfono 50154000, extensión 4267.</w:t>
            </w:r>
          </w:p>
          <w:p w14:paraId="645E7B52" w14:textId="77777777" w:rsidR="00DF154A" w:rsidRDefault="00DD57E2" w:rsidP="006B0B12">
            <w:pPr>
              <w:pStyle w:val="Listavistosa-nfasis11"/>
              <w:numPr>
                <w:ilvl w:val="0"/>
                <w:numId w:val="9"/>
              </w:numPr>
              <w:spacing w:after="0" w:line="240" w:lineRule="auto"/>
              <w:ind w:left="492" w:right="229" w:hanging="283"/>
              <w:rPr>
                <w:rFonts w:eastAsia="Times New Roman"/>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Pr>
                <w:rFonts w:ascii="ITC Avant Garde" w:eastAsia="Times New Roman" w:hAnsi="ITC Avant Garde"/>
                <w:color w:val="000000"/>
                <w:sz w:val="14"/>
                <w:szCs w:val="16"/>
                <w:lang w:eastAsia="es-MX"/>
              </w:rPr>
              <w:t>: t</w:t>
            </w:r>
            <w:r w:rsidRPr="00F36A5D">
              <w:rPr>
                <w:rFonts w:ascii="ITC Avant Garde" w:eastAsia="Times New Roman" w:hAnsi="ITC Avant Garde"/>
                <w:color w:val="000000"/>
                <w:sz w:val="14"/>
                <w:szCs w:val="16"/>
                <w:lang w:eastAsia="es-MX"/>
              </w:rPr>
              <w:t>odo cambio al Aviso de Privacidad será comunicado a los titulares de datos personales en el apartado de consultas públicas del portal de internet del IFT.</w:t>
            </w:r>
          </w:p>
          <w:p w14:paraId="645E7B53" w14:textId="77777777" w:rsidR="006B0B12" w:rsidRPr="00915CEA" w:rsidRDefault="006B0B12" w:rsidP="006B0B12">
            <w:pPr>
              <w:pStyle w:val="Listavistosa-nfasis11"/>
              <w:spacing w:after="0" w:line="240" w:lineRule="auto"/>
              <w:ind w:left="492" w:right="229"/>
              <w:rPr>
                <w:rFonts w:eastAsia="Times New Roman"/>
                <w:color w:val="000000"/>
                <w:sz w:val="14"/>
                <w:szCs w:val="16"/>
                <w:lang w:eastAsia="es-MX"/>
              </w:rPr>
            </w:pPr>
          </w:p>
        </w:tc>
      </w:tr>
    </w:tbl>
    <w:p w14:paraId="645E7B55" w14:textId="77777777" w:rsidR="00DF5B3F" w:rsidRPr="00DF5B3F" w:rsidRDefault="00DF5B3F" w:rsidP="00DF5B3F">
      <w:pPr>
        <w:spacing w:after="0"/>
        <w:rPr>
          <w:vanish/>
        </w:rPr>
      </w:pPr>
    </w:p>
    <w:p w14:paraId="645E7B56" w14:textId="77777777" w:rsidR="00DF154A" w:rsidRPr="00170916" w:rsidRDefault="00DF154A" w:rsidP="00C41536">
      <w:pPr>
        <w:spacing w:after="0"/>
        <w:rPr>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D26916" w14:paraId="645E7B58" w14:textId="77777777" w:rsidTr="00DF5B3F">
        <w:trPr>
          <w:trHeight w:val="600"/>
          <w:jc w:val="center"/>
        </w:trPr>
        <w:tc>
          <w:tcPr>
            <w:tcW w:w="8642" w:type="dxa"/>
            <w:shd w:val="clear" w:color="auto" w:fill="D9D9D9"/>
            <w:hideMark/>
          </w:tcPr>
          <w:p w14:paraId="645E7B57" w14:textId="77777777" w:rsidR="00DF154A" w:rsidRPr="00D26916" w:rsidRDefault="00FC6EE4" w:rsidP="00D26916">
            <w:pPr>
              <w:numPr>
                <w:ilvl w:val="0"/>
                <w:numId w:val="2"/>
              </w:numPr>
              <w:spacing w:after="0" w:line="240" w:lineRule="auto"/>
              <w:ind w:left="-70" w:firstLine="70"/>
              <w:contextualSpacing/>
              <w:jc w:val="center"/>
              <w:rPr>
                <w:rFonts w:eastAsia="Times New Roman"/>
                <w:b/>
                <w:bCs/>
                <w:lang w:eastAsia="es-MX"/>
              </w:rPr>
            </w:pPr>
            <w:r w:rsidRPr="00D26916">
              <w:rPr>
                <w:rFonts w:eastAsia="Times New Roman"/>
                <w:b/>
                <w:bCs/>
                <w:lang w:eastAsia="es-MX"/>
              </w:rPr>
              <w:t>Marco de referencia</w:t>
            </w:r>
          </w:p>
        </w:tc>
      </w:tr>
      <w:tr w:rsidR="00CA32F5" w:rsidRPr="00DF5B3F" w14:paraId="645E7B60" w14:textId="77777777" w:rsidTr="006B0B12">
        <w:trPr>
          <w:trHeight w:val="720"/>
          <w:jc w:val="center"/>
        </w:trPr>
        <w:tc>
          <w:tcPr>
            <w:tcW w:w="8642" w:type="dxa"/>
            <w:shd w:val="clear" w:color="000000" w:fill="FFFFFF"/>
            <w:noWrap/>
            <w:hideMark/>
          </w:tcPr>
          <w:p w14:paraId="645E7B59" w14:textId="77777777" w:rsidR="00771BE5" w:rsidRDefault="00771BE5" w:rsidP="00CA0A84">
            <w:pPr>
              <w:spacing w:after="0" w:line="240" w:lineRule="auto"/>
              <w:ind w:left="-75" w:right="309"/>
              <w:rPr>
                <w:rFonts w:eastAsia="Times New Roman"/>
                <w:color w:val="000000"/>
                <w:sz w:val="14"/>
                <w:szCs w:val="16"/>
                <w:lang w:eastAsia="es-MX"/>
              </w:rPr>
            </w:pPr>
          </w:p>
          <w:p w14:paraId="645E7B5A" w14:textId="77777777" w:rsidR="00771BE5" w:rsidRPr="001A5B2D" w:rsidRDefault="00AF0F23" w:rsidP="00C247C8">
            <w:pPr>
              <w:spacing w:after="120" w:line="276" w:lineRule="auto"/>
              <w:ind w:right="309"/>
              <w:rPr>
                <w:rFonts w:eastAsia="Times New Roman"/>
                <w:color w:val="000000"/>
                <w:szCs w:val="20"/>
                <w:lang w:eastAsia="es-MX"/>
              </w:rPr>
            </w:pPr>
            <w:r w:rsidRPr="00AF0F23">
              <w:rPr>
                <w:rFonts w:eastAsia="Times New Roman"/>
                <w:bCs/>
                <w:color w:val="000000"/>
                <w:szCs w:val="20"/>
                <w:lang w:val="es-ES_tradnl" w:eastAsia="es-MX"/>
              </w:rPr>
              <w:t>El 6 de marzo de 2014,</w:t>
            </w:r>
            <w:r w:rsidRPr="00AF0F23">
              <w:rPr>
                <w:rFonts w:eastAsia="Times New Roman"/>
                <w:bCs/>
                <w:color w:val="000000"/>
                <w:szCs w:val="20"/>
                <w:lang w:eastAsia="es-MX"/>
              </w:rPr>
              <w:t xml:space="preserve"> el Pleno del Instituto, en su V Sesión Extraordinaria, aprobó mediante acuerdo P/IFT/EXT/060314/76 la “Resolución mediante la cual el Pleno del Instituto Federal de Telecomunicaciones determina al grupo de interés económico del que forman parte América Móvil, S.A.B. de C.V., Teléfonos de México, S.A.B. de C.V., Teléfonos del Noroeste, S.A. de C. V., Radiomóvil Dipsa, S.A.B. de C. V., Grupo Carso, S.A.B. de C.V., y Grupo Financiero lnbursa, S.A.B. de C.V., como agente económico preponderante en el sector de telecomunicaciones y le impone las medidas necesarias para evitar que se afecte la competencia y la libre concurrencia.” (en lo sucesivo, la “Resolución de </w:t>
            </w:r>
            <w:r w:rsidR="00F87480">
              <w:rPr>
                <w:rFonts w:eastAsia="Times New Roman"/>
                <w:bCs/>
                <w:color w:val="000000"/>
                <w:szCs w:val="20"/>
                <w:lang w:eastAsia="es-MX"/>
              </w:rPr>
              <w:t>AEPT</w:t>
            </w:r>
            <w:r w:rsidRPr="00AF0F23">
              <w:rPr>
                <w:rFonts w:eastAsia="Times New Roman"/>
                <w:bCs/>
                <w:color w:val="000000"/>
                <w:szCs w:val="20"/>
                <w:lang w:eastAsia="es-MX"/>
              </w:rPr>
              <w:t>”)</w:t>
            </w:r>
            <w:r w:rsidR="00870F7C">
              <w:rPr>
                <w:rStyle w:val="Refdenotaalpie"/>
                <w:rFonts w:eastAsia="Times New Roman"/>
                <w:bCs/>
                <w:color w:val="000000"/>
                <w:szCs w:val="20"/>
                <w:lang w:eastAsia="es-MX"/>
              </w:rPr>
              <w:footnoteReference w:id="2"/>
            </w:r>
            <w:r w:rsidR="00151C08" w:rsidRPr="001A5B2D">
              <w:rPr>
                <w:rFonts w:eastAsia="Times New Roman"/>
                <w:color w:val="000000"/>
                <w:szCs w:val="20"/>
                <w:lang w:eastAsia="es-MX"/>
              </w:rPr>
              <w:t>.</w:t>
            </w:r>
          </w:p>
          <w:p w14:paraId="645E7B5B" w14:textId="77777777" w:rsidR="00CA0A84" w:rsidRPr="001A5B2D" w:rsidRDefault="00936949" w:rsidP="00C247C8">
            <w:pPr>
              <w:spacing w:after="120" w:line="276" w:lineRule="auto"/>
              <w:ind w:right="306"/>
              <w:rPr>
                <w:rFonts w:eastAsia="Times New Roman"/>
                <w:color w:val="000000"/>
                <w:szCs w:val="20"/>
                <w:lang w:eastAsia="es-MX"/>
              </w:rPr>
            </w:pPr>
            <w:r>
              <w:rPr>
                <w:rFonts w:eastAsia="Times New Roman"/>
                <w:iCs/>
                <w:color w:val="000000"/>
                <w:szCs w:val="20"/>
                <w:lang w:val="es-ES_tradnl" w:eastAsia="es-MX"/>
              </w:rPr>
              <w:t xml:space="preserve">Con fecha de 27 de febrero de 2017, </w:t>
            </w:r>
            <w:r w:rsidRPr="00936949">
              <w:rPr>
                <w:rFonts w:eastAsia="Times New Roman"/>
                <w:iCs/>
                <w:color w:val="000000"/>
                <w:szCs w:val="20"/>
                <w:lang w:val="es-ES_tradnl" w:eastAsia="es-MX"/>
              </w:rPr>
              <w:t xml:space="preserve">el Pleno del Instituto, en su IV Sesión Extraordinaria, </w:t>
            </w:r>
            <w:r w:rsidRPr="00936949">
              <w:rPr>
                <w:rFonts w:eastAsia="Times New Roman"/>
                <w:bCs/>
                <w:color w:val="000000"/>
                <w:szCs w:val="20"/>
                <w:lang w:val="es-ES_tradnl" w:eastAsia="es-MX"/>
              </w:rPr>
              <w:t>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w:t>
            </w:r>
            <w:r w:rsidR="00962081">
              <w:rPr>
                <w:rFonts w:eastAsia="Times New Roman"/>
                <w:bCs/>
                <w:color w:val="000000"/>
                <w:szCs w:val="20"/>
                <w:lang w:val="es-ES_tradnl" w:eastAsia="es-MX"/>
              </w:rPr>
              <w:t xml:space="preserve"> de Telecomunicaciones</w:t>
            </w:r>
            <w:r w:rsidRPr="00936949">
              <w:rPr>
                <w:rFonts w:eastAsia="Times New Roman"/>
                <w:bCs/>
                <w:color w:val="000000"/>
                <w:szCs w:val="20"/>
                <w:lang w:val="es-ES_tradnl" w:eastAsia="es-MX"/>
              </w:rPr>
              <w:t>”)</w:t>
            </w:r>
            <w:r w:rsidR="00870F7C">
              <w:rPr>
                <w:rStyle w:val="Refdenotaalpie"/>
                <w:rFonts w:eastAsia="Times New Roman"/>
                <w:bCs/>
                <w:color w:val="000000"/>
                <w:szCs w:val="20"/>
                <w:lang w:val="es-ES_tradnl" w:eastAsia="es-MX"/>
              </w:rPr>
              <w:footnoteReference w:id="3"/>
            </w:r>
            <w:r w:rsidR="00151C08" w:rsidRPr="001A5B2D">
              <w:rPr>
                <w:rFonts w:eastAsia="Times New Roman"/>
                <w:color w:val="000000"/>
                <w:szCs w:val="20"/>
                <w:lang w:eastAsia="es-MX"/>
              </w:rPr>
              <w:t>.</w:t>
            </w:r>
          </w:p>
          <w:p w14:paraId="645E7B5C" w14:textId="77777777" w:rsidR="006A783C" w:rsidRDefault="006A783C" w:rsidP="006A783C">
            <w:pPr>
              <w:spacing w:after="120" w:line="276" w:lineRule="auto"/>
              <w:ind w:right="306"/>
              <w:rPr>
                <w:rFonts w:eastAsia="Times New Roman"/>
                <w:color w:val="000000"/>
                <w:szCs w:val="20"/>
                <w:lang w:eastAsia="es-MX"/>
              </w:rPr>
            </w:pPr>
            <w:r w:rsidRPr="001A5B2D">
              <w:rPr>
                <w:rFonts w:eastAsia="Times New Roman"/>
                <w:color w:val="000000"/>
                <w:szCs w:val="20"/>
                <w:lang w:eastAsia="es-MX"/>
              </w:rPr>
              <w:t xml:space="preserve">El Instituto Federal de Telecomunicaciones (en lo sucesivo, el “Instituto”) lleva a cabo </w:t>
            </w:r>
            <w:r>
              <w:rPr>
                <w:rFonts w:eastAsia="Times New Roman"/>
                <w:color w:val="000000"/>
                <w:szCs w:val="20"/>
                <w:lang w:eastAsia="es-MX"/>
              </w:rPr>
              <w:t>la presente</w:t>
            </w:r>
            <w:r w:rsidRPr="001A5B2D">
              <w:rPr>
                <w:rFonts w:eastAsia="Times New Roman"/>
                <w:color w:val="000000"/>
                <w:szCs w:val="20"/>
                <w:lang w:eastAsia="es-MX"/>
              </w:rPr>
              <w:t xml:space="preserve"> consulta pública con la finalidad de</w:t>
            </w:r>
            <w:r>
              <w:rPr>
                <w:rFonts w:eastAsia="Times New Roman"/>
                <w:color w:val="000000"/>
                <w:szCs w:val="20"/>
                <w:lang w:eastAsia="es-MX"/>
              </w:rPr>
              <w:t xml:space="preserve"> recabar:</w:t>
            </w:r>
          </w:p>
          <w:p w14:paraId="645E7B5D" w14:textId="77777777" w:rsidR="006A783C" w:rsidRDefault="006A783C" w:rsidP="007E1274">
            <w:pPr>
              <w:numPr>
                <w:ilvl w:val="0"/>
                <w:numId w:val="27"/>
              </w:numPr>
              <w:spacing w:after="120" w:line="276" w:lineRule="auto"/>
              <w:ind w:right="306"/>
              <w:rPr>
                <w:rFonts w:eastAsia="Times New Roman"/>
                <w:color w:val="000000"/>
                <w:szCs w:val="20"/>
                <w:lang w:eastAsia="es-MX"/>
              </w:rPr>
            </w:pPr>
            <w:r>
              <w:rPr>
                <w:rFonts w:eastAsia="Times New Roman"/>
                <w:color w:val="000000"/>
                <w:szCs w:val="20"/>
                <w:lang w:eastAsia="es-MX"/>
              </w:rPr>
              <w:t>I</w:t>
            </w:r>
            <w:r w:rsidRPr="00CB2F1E">
              <w:rPr>
                <w:rFonts w:eastAsia="Times New Roman"/>
                <w:color w:val="000000"/>
                <w:szCs w:val="20"/>
                <w:lang w:eastAsia="es-MX"/>
              </w:rPr>
              <w:t xml:space="preserve">nformación, comentarios, opiniones, aportaciones u otros elementos de análisis que puedan ser útiles para evaluar el impacto en términos de competencia de las medidas impuestas al Agente Económico Preponderante en el Sector de </w:t>
            </w:r>
            <w:r w:rsidR="00E302C1">
              <w:rPr>
                <w:rFonts w:eastAsia="Times New Roman"/>
                <w:color w:val="000000"/>
                <w:szCs w:val="20"/>
                <w:lang w:eastAsia="es-MX"/>
              </w:rPr>
              <w:t>telecomunicaciones</w:t>
            </w:r>
            <w:r>
              <w:rPr>
                <w:rFonts w:eastAsia="Times New Roman"/>
                <w:color w:val="000000"/>
                <w:szCs w:val="20"/>
                <w:lang w:eastAsia="es-MX"/>
              </w:rPr>
              <w:t>, y</w:t>
            </w:r>
          </w:p>
          <w:p w14:paraId="645E7B5E" w14:textId="77777777" w:rsidR="006A783C" w:rsidRDefault="006A783C" w:rsidP="007E1274">
            <w:pPr>
              <w:numPr>
                <w:ilvl w:val="0"/>
                <w:numId w:val="27"/>
              </w:numPr>
              <w:spacing w:after="120" w:line="276" w:lineRule="auto"/>
              <w:ind w:right="306"/>
              <w:rPr>
                <w:rFonts w:eastAsia="Times New Roman"/>
                <w:color w:val="000000"/>
                <w:szCs w:val="20"/>
                <w:lang w:eastAsia="es-MX"/>
              </w:rPr>
            </w:pPr>
            <w:r>
              <w:rPr>
                <w:rFonts w:eastAsia="Times New Roman"/>
                <w:color w:val="000000"/>
                <w:szCs w:val="20"/>
                <w:lang w:eastAsia="es-MX"/>
              </w:rPr>
              <w:t xml:space="preserve">En su caso, </w:t>
            </w:r>
            <w:r w:rsidRPr="00CB2F1E">
              <w:rPr>
                <w:rFonts w:eastAsia="Times New Roman"/>
                <w:color w:val="000000"/>
                <w:szCs w:val="20"/>
                <w:lang w:eastAsia="es-MX"/>
              </w:rPr>
              <w:t>propuestas justificadas de supresión, modificación o adición de medidas</w:t>
            </w:r>
            <w:r>
              <w:rPr>
                <w:rFonts w:eastAsia="Times New Roman"/>
                <w:color w:val="000000"/>
                <w:szCs w:val="20"/>
                <w:lang w:eastAsia="es-MX"/>
              </w:rPr>
              <w:t>.</w:t>
            </w:r>
          </w:p>
          <w:p w14:paraId="645E7B5F" w14:textId="77777777" w:rsidR="00771BE5" w:rsidRPr="00605BD9" w:rsidRDefault="00771BE5" w:rsidP="00CA0A84">
            <w:pPr>
              <w:spacing w:after="0" w:line="240" w:lineRule="auto"/>
              <w:ind w:left="-75" w:right="309"/>
              <w:rPr>
                <w:rFonts w:eastAsia="Times New Roman"/>
                <w:color w:val="000000"/>
                <w:lang w:eastAsia="es-MX"/>
              </w:rPr>
            </w:pPr>
          </w:p>
        </w:tc>
      </w:tr>
      <w:tr w:rsidR="00DF154A" w:rsidRPr="00DF5B3F" w14:paraId="645E7B62" w14:textId="77777777" w:rsidTr="00DF5B3F">
        <w:trPr>
          <w:trHeight w:val="300"/>
          <w:jc w:val="center"/>
        </w:trPr>
        <w:tc>
          <w:tcPr>
            <w:tcW w:w="8642" w:type="dxa"/>
            <w:shd w:val="clear" w:color="auto" w:fill="C5E0B3"/>
            <w:noWrap/>
            <w:vAlign w:val="center"/>
          </w:tcPr>
          <w:p w14:paraId="645E7B61" w14:textId="77777777" w:rsidR="00DF154A" w:rsidRPr="006B0B12" w:rsidRDefault="00DF154A" w:rsidP="00C41536">
            <w:pPr>
              <w:spacing w:after="0" w:line="240" w:lineRule="auto"/>
              <w:rPr>
                <w:rFonts w:eastAsia="Times New Roman"/>
                <w:color w:val="000000"/>
                <w:sz w:val="16"/>
                <w:szCs w:val="16"/>
                <w:lang w:eastAsia="es-MX"/>
              </w:rPr>
            </w:pPr>
          </w:p>
        </w:tc>
      </w:tr>
    </w:tbl>
    <w:p w14:paraId="645E7B63" w14:textId="77777777" w:rsidR="00D26916" w:rsidRDefault="00D26916" w:rsidP="00DF67B4">
      <w:pPr>
        <w:spacing w:after="0"/>
        <w:rPr>
          <w:sz w:val="16"/>
        </w:rPr>
      </w:pPr>
    </w:p>
    <w:p w14:paraId="645E7B64" w14:textId="77777777" w:rsidR="00870F7C" w:rsidRDefault="00870F7C" w:rsidP="00DF67B4">
      <w:pPr>
        <w:spacing w:after="0"/>
        <w:rPr>
          <w:sz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870F7C" w:rsidRPr="00D26916" w14:paraId="645E7B66" w14:textId="77777777" w:rsidTr="00240D9F">
        <w:trPr>
          <w:trHeight w:val="600"/>
          <w:jc w:val="center"/>
        </w:trPr>
        <w:tc>
          <w:tcPr>
            <w:tcW w:w="8642" w:type="dxa"/>
            <w:shd w:val="clear" w:color="auto" w:fill="D9D9D9"/>
            <w:vAlign w:val="center"/>
            <w:hideMark/>
          </w:tcPr>
          <w:p w14:paraId="645E7B65" w14:textId="77777777" w:rsidR="00870F7C" w:rsidRPr="00D26916" w:rsidRDefault="00870F7C" w:rsidP="0077234F">
            <w:pPr>
              <w:numPr>
                <w:ilvl w:val="0"/>
                <w:numId w:val="2"/>
              </w:numPr>
              <w:spacing w:before="240" w:line="240" w:lineRule="auto"/>
              <w:ind w:left="-70" w:firstLine="70"/>
              <w:contextualSpacing/>
              <w:jc w:val="center"/>
              <w:rPr>
                <w:rFonts w:eastAsia="Times New Roman"/>
                <w:b/>
                <w:bCs/>
                <w:lang w:eastAsia="es-MX"/>
              </w:rPr>
            </w:pPr>
            <w:r>
              <w:rPr>
                <w:rFonts w:eastAsia="Times New Roman"/>
                <w:b/>
                <w:bCs/>
                <w:lang w:eastAsia="es-MX"/>
              </w:rPr>
              <w:t>Guía para el llenado del formato</w:t>
            </w:r>
          </w:p>
        </w:tc>
      </w:tr>
      <w:tr w:rsidR="00870F7C" w:rsidRPr="00DF5B3F" w14:paraId="645E7B73" w14:textId="77777777" w:rsidTr="00AD5232">
        <w:trPr>
          <w:trHeight w:val="720"/>
          <w:jc w:val="center"/>
        </w:trPr>
        <w:tc>
          <w:tcPr>
            <w:tcW w:w="8642" w:type="dxa"/>
            <w:shd w:val="clear" w:color="000000" w:fill="FFFFFF"/>
            <w:noWrap/>
            <w:hideMark/>
          </w:tcPr>
          <w:p w14:paraId="645E7B67" w14:textId="77777777" w:rsidR="00870F7C" w:rsidRDefault="00870F7C" w:rsidP="00AD5232">
            <w:pPr>
              <w:spacing w:after="0" w:line="240" w:lineRule="auto"/>
              <w:ind w:left="-75" w:right="309"/>
              <w:rPr>
                <w:rFonts w:eastAsia="Times New Roman"/>
                <w:color w:val="000000"/>
                <w:sz w:val="14"/>
                <w:szCs w:val="16"/>
                <w:lang w:eastAsia="es-MX"/>
              </w:rPr>
            </w:pPr>
          </w:p>
          <w:p w14:paraId="645E7B68" w14:textId="77777777" w:rsidR="00870F7C" w:rsidRPr="00566139" w:rsidRDefault="00870F7C" w:rsidP="00AD5232">
            <w:pPr>
              <w:spacing w:before="240" w:after="120" w:line="276" w:lineRule="auto"/>
              <w:ind w:right="309"/>
              <w:rPr>
                <w:rFonts w:eastAsia="Times New Roman"/>
                <w:b/>
                <w:color w:val="000000"/>
                <w:szCs w:val="20"/>
                <w:lang w:eastAsia="es-MX"/>
              </w:rPr>
            </w:pPr>
            <w:r>
              <w:rPr>
                <w:rFonts w:eastAsia="Times New Roman"/>
                <w:color w:val="000000"/>
                <w:szCs w:val="20"/>
                <w:lang w:eastAsia="es-MX"/>
              </w:rPr>
              <w:t xml:space="preserve">A fin de llevar a cabo el proceso de revisión bienal del impacto de las medidas asimétricas </w:t>
            </w:r>
            <w:r w:rsidRPr="00320887">
              <w:rPr>
                <w:rFonts w:eastAsia="Times New Roman"/>
                <w:color w:val="000000"/>
                <w:szCs w:val="20"/>
                <w:lang w:eastAsia="es-MX"/>
              </w:rPr>
              <w:t>impuestas a</w:t>
            </w:r>
            <w:r>
              <w:rPr>
                <w:rFonts w:eastAsia="Times New Roman"/>
                <w:color w:val="000000"/>
                <w:szCs w:val="20"/>
                <w:lang w:eastAsia="es-MX"/>
              </w:rPr>
              <w:t xml:space="preserve">l AEPT, </w:t>
            </w:r>
            <w:r w:rsidR="006A783C">
              <w:rPr>
                <w:rFonts w:eastAsia="Times New Roman"/>
                <w:color w:val="000000"/>
                <w:szCs w:val="20"/>
                <w:lang w:eastAsia="es-MX"/>
              </w:rPr>
              <w:t>se solicita a los participantes que ofrezcan respuestas a las preguntas planteadas en cada grupo de medidas, en función de l</w:t>
            </w:r>
            <w:r w:rsidR="00612345">
              <w:rPr>
                <w:rFonts w:eastAsia="Times New Roman"/>
                <w:color w:val="000000"/>
                <w:szCs w:val="20"/>
                <w:lang w:eastAsia="es-MX"/>
              </w:rPr>
              <w:t>os</w:t>
            </w:r>
            <w:r w:rsidR="006A783C">
              <w:rPr>
                <w:rFonts w:eastAsia="Times New Roman"/>
                <w:color w:val="000000"/>
                <w:szCs w:val="20"/>
                <w:lang w:eastAsia="es-MX"/>
              </w:rPr>
              <w:t xml:space="preserve"> efect</w:t>
            </w:r>
            <w:r w:rsidR="009D0B43">
              <w:rPr>
                <w:rFonts w:eastAsia="Times New Roman"/>
                <w:color w:val="000000"/>
                <w:szCs w:val="20"/>
                <w:lang w:eastAsia="es-MX"/>
              </w:rPr>
              <w:t xml:space="preserve">os que se han observado </w:t>
            </w:r>
            <w:r w:rsidR="006A783C">
              <w:rPr>
                <w:rFonts w:eastAsia="Times New Roman"/>
                <w:color w:val="000000"/>
                <w:szCs w:val="20"/>
                <w:lang w:eastAsia="es-MX"/>
              </w:rPr>
              <w:t>de las medidas (en lo individual o en su conjunto). Lo anterior, sin perder de vista q</w:t>
            </w:r>
            <w:r w:rsidR="004802CE">
              <w:rPr>
                <w:rFonts w:eastAsia="Times New Roman"/>
                <w:color w:val="000000"/>
                <w:szCs w:val="20"/>
                <w:lang w:eastAsia="es-MX"/>
              </w:rPr>
              <w:t>ue las medidas impuestas al AEPT</w:t>
            </w:r>
            <w:r w:rsidR="006A783C">
              <w:rPr>
                <w:rFonts w:eastAsia="Times New Roman"/>
                <w:color w:val="000000"/>
                <w:szCs w:val="20"/>
                <w:lang w:eastAsia="es-MX"/>
              </w:rPr>
              <w:t xml:space="preserve"> tienen la finalidad de </w:t>
            </w:r>
            <w:r w:rsidR="006A783C" w:rsidRPr="00566139">
              <w:rPr>
                <w:rFonts w:eastAsia="Times New Roman"/>
                <w:b/>
                <w:color w:val="000000"/>
                <w:szCs w:val="20"/>
                <w:lang w:eastAsia="es-MX"/>
              </w:rPr>
              <w:t xml:space="preserve">evitar </w:t>
            </w:r>
            <w:r w:rsidR="006A783C" w:rsidRPr="00566139">
              <w:rPr>
                <w:rFonts w:eastAsia="Times New Roman"/>
                <w:b/>
                <w:color w:val="000000"/>
                <w:szCs w:val="20"/>
                <w:lang w:eastAsia="es-MX"/>
              </w:rPr>
              <w:lastRenderedPageBreak/>
              <w:t>que se afecte la competencia y la libre concurrencia y, con ello, a los usuarios finales</w:t>
            </w:r>
            <w:r w:rsidRPr="00566139">
              <w:rPr>
                <w:rFonts w:eastAsia="Times New Roman"/>
                <w:b/>
                <w:color w:val="000000"/>
                <w:szCs w:val="20"/>
                <w:lang w:eastAsia="es-MX"/>
              </w:rPr>
              <w:t>.</w:t>
            </w:r>
          </w:p>
          <w:p w14:paraId="645E7B69" w14:textId="77777777" w:rsidR="00870F7C" w:rsidRDefault="00870F7C" w:rsidP="00AD5232">
            <w:pPr>
              <w:spacing w:before="240" w:after="120" w:line="276" w:lineRule="auto"/>
              <w:ind w:right="309"/>
              <w:rPr>
                <w:rFonts w:eastAsia="Times New Roman"/>
                <w:color w:val="000000"/>
                <w:szCs w:val="20"/>
                <w:lang w:eastAsia="es-MX"/>
              </w:rPr>
            </w:pPr>
            <w:r>
              <w:rPr>
                <w:rFonts w:eastAsia="Times New Roman"/>
                <w:color w:val="000000"/>
                <w:szCs w:val="20"/>
                <w:lang w:eastAsia="es-MX"/>
              </w:rPr>
              <w:t xml:space="preserve">En este sentido, se considera relevante precisar que se evaluará el impacto de las medidas en el sector de </w:t>
            </w:r>
            <w:r w:rsidR="00FF75D4">
              <w:rPr>
                <w:rFonts w:eastAsia="Times New Roman"/>
                <w:color w:val="000000"/>
                <w:szCs w:val="20"/>
                <w:lang w:eastAsia="es-MX"/>
              </w:rPr>
              <w:t>telecomunicaciones</w:t>
            </w:r>
            <w:r>
              <w:rPr>
                <w:rFonts w:eastAsia="Times New Roman"/>
                <w:color w:val="000000"/>
                <w:szCs w:val="20"/>
                <w:lang w:eastAsia="es-MX"/>
              </w:rPr>
              <w:t xml:space="preserve"> en función de </w:t>
            </w:r>
            <w:r w:rsidR="004802CE" w:rsidRPr="00C147BB">
              <w:rPr>
                <w:rFonts w:eastAsia="Times New Roman"/>
                <w:color w:val="000000"/>
                <w:szCs w:val="20"/>
                <w:lang w:eastAsia="es-MX"/>
              </w:rPr>
              <w:t>i) los efectos que han generado las medidas en los mercados y que estos estén alineados con los objetivos por lo que se establecieron las medidas; ii) su diseño, es decir, que la manera en que fue</w:t>
            </w:r>
            <w:r w:rsidR="004802CE">
              <w:rPr>
                <w:rFonts w:eastAsia="Times New Roman"/>
                <w:color w:val="000000"/>
                <w:szCs w:val="20"/>
                <w:lang w:eastAsia="es-MX"/>
              </w:rPr>
              <w:t>ron</w:t>
            </w:r>
            <w:r w:rsidR="004802CE" w:rsidRPr="00C147BB">
              <w:rPr>
                <w:rFonts w:eastAsia="Times New Roman"/>
                <w:color w:val="000000"/>
                <w:szCs w:val="20"/>
                <w:lang w:eastAsia="es-MX"/>
              </w:rPr>
              <w:t xml:space="preserve"> mandatada</w:t>
            </w:r>
            <w:r w:rsidR="004802CE">
              <w:rPr>
                <w:rFonts w:eastAsia="Times New Roman"/>
                <w:color w:val="000000"/>
                <w:szCs w:val="20"/>
                <w:lang w:eastAsia="es-MX"/>
              </w:rPr>
              <w:t>s</w:t>
            </w:r>
            <w:r w:rsidR="004802CE" w:rsidRPr="00C147BB">
              <w:rPr>
                <w:rFonts w:eastAsia="Times New Roman"/>
                <w:color w:val="000000"/>
                <w:szCs w:val="20"/>
                <w:lang w:eastAsia="es-MX"/>
              </w:rPr>
              <w:t xml:space="preserve"> la</w:t>
            </w:r>
            <w:r w:rsidR="004802CE">
              <w:rPr>
                <w:rFonts w:eastAsia="Times New Roman"/>
                <w:color w:val="000000"/>
                <w:szCs w:val="20"/>
                <w:lang w:eastAsia="es-MX"/>
              </w:rPr>
              <w:t>s</w:t>
            </w:r>
            <w:r w:rsidR="004802CE" w:rsidRPr="00C147BB">
              <w:rPr>
                <w:rFonts w:eastAsia="Times New Roman"/>
                <w:color w:val="000000"/>
                <w:szCs w:val="20"/>
                <w:lang w:eastAsia="es-MX"/>
              </w:rPr>
              <w:t xml:space="preserve"> medida</w:t>
            </w:r>
            <w:r w:rsidR="004802CE">
              <w:rPr>
                <w:rFonts w:eastAsia="Times New Roman"/>
                <w:color w:val="000000"/>
                <w:szCs w:val="20"/>
                <w:lang w:eastAsia="es-MX"/>
              </w:rPr>
              <w:t>s</w:t>
            </w:r>
            <w:r w:rsidR="004802CE" w:rsidRPr="00C147BB">
              <w:rPr>
                <w:rFonts w:eastAsia="Times New Roman"/>
                <w:color w:val="000000"/>
                <w:szCs w:val="20"/>
                <w:lang w:eastAsia="es-MX"/>
              </w:rPr>
              <w:t xml:space="preserve">, esté alineada con los objetivos que se pretenden alcanzar; y iii) que las acciones </w:t>
            </w:r>
            <w:r w:rsidR="004802CE">
              <w:rPr>
                <w:rFonts w:eastAsia="Times New Roman"/>
                <w:color w:val="000000"/>
                <w:szCs w:val="20"/>
                <w:lang w:eastAsia="es-MX"/>
              </w:rPr>
              <w:t xml:space="preserve">y/o instrumentos regulatorios </w:t>
            </w:r>
            <w:r w:rsidR="004802CE" w:rsidRPr="00C147BB">
              <w:rPr>
                <w:rFonts w:eastAsia="Times New Roman"/>
                <w:color w:val="000000"/>
                <w:szCs w:val="20"/>
                <w:lang w:eastAsia="es-MX"/>
              </w:rPr>
              <w:t xml:space="preserve">mediante las cuales se han </w:t>
            </w:r>
            <w:r w:rsidR="004802CE">
              <w:rPr>
                <w:rFonts w:eastAsia="Times New Roman"/>
                <w:color w:val="000000"/>
                <w:szCs w:val="20"/>
                <w:lang w:eastAsia="es-MX"/>
              </w:rPr>
              <w:t>implementado</w:t>
            </w:r>
            <w:r w:rsidR="004802CE" w:rsidRPr="00C147BB">
              <w:rPr>
                <w:rFonts w:eastAsia="Times New Roman"/>
                <w:color w:val="000000"/>
                <w:szCs w:val="20"/>
                <w:lang w:eastAsia="es-MX"/>
              </w:rPr>
              <w:t xml:space="preserve"> las medidas</w:t>
            </w:r>
            <w:r w:rsidR="00AC0ACB">
              <w:rPr>
                <w:rFonts w:eastAsia="Times New Roman"/>
                <w:color w:val="000000"/>
                <w:szCs w:val="20"/>
                <w:lang w:eastAsia="es-MX"/>
              </w:rPr>
              <w:t>, como las ofertas de referencia y Acuerdos derivados de las medidas,</w:t>
            </w:r>
            <w:r w:rsidR="004802CE" w:rsidRPr="00C147BB">
              <w:rPr>
                <w:rFonts w:eastAsia="Times New Roman"/>
                <w:color w:val="000000"/>
                <w:szCs w:val="20"/>
                <w:lang w:eastAsia="es-MX"/>
              </w:rPr>
              <w:t xml:space="preserve"> permitan alcanzar los resultados esperados, haciendo el mejor uso de los recursos disponibles</w:t>
            </w:r>
            <w:r>
              <w:rPr>
                <w:rFonts w:eastAsia="Times New Roman"/>
                <w:color w:val="000000"/>
                <w:szCs w:val="20"/>
                <w:lang w:eastAsia="es-MX"/>
              </w:rPr>
              <w:t>.</w:t>
            </w:r>
          </w:p>
          <w:p w14:paraId="645E7B6A" w14:textId="77777777" w:rsidR="00870F7C" w:rsidRDefault="00870F7C" w:rsidP="00AD5232">
            <w:pPr>
              <w:spacing w:before="240" w:after="120" w:line="276" w:lineRule="auto"/>
              <w:ind w:right="309"/>
              <w:rPr>
                <w:rFonts w:eastAsia="Times New Roman"/>
                <w:color w:val="000000"/>
                <w:szCs w:val="20"/>
                <w:lang w:eastAsia="es-MX"/>
              </w:rPr>
            </w:pPr>
            <w:r w:rsidRPr="00507C5C">
              <w:rPr>
                <w:rFonts w:eastAsia="Times New Roman"/>
                <w:color w:val="000000"/>
                <w:szCs w:val="20"/>
                <w:lang w:eastAsia="es-MX"/>
              </w:rPr>
              <w:t xml:space="preserve">A efecto de poder valorar adecuadamente la información que el participante provea, cuando este considere aportar documentos de soporte a sus </w:t>
            </w:r>
            <w:r>
              <w:rPr>
                <w:rFonts w:eastAsia="Times New Roman"/>
                <w:color w:val="000000"/>
                <w:szCs w:val="20"/>
                <w:lang w:eastAsia="es-MX"/>
              </w:rPr>
              <w:t>comentarios</w:t>
            </w:r>
            <w:r w:rsidRPr="00507C5C">
              <w:rPr>
                <w:rFonts w:eastAsia="Times New Roman"/>
                <w:color w:val="000000"/>
                <w:szCs w:val="20"/>
                <w:lang w:eastAsia="es-MX"/>
              </w:rPr>
              <w:t>, deberá relacionar sus argumentos con los documentos que adjunte</w:t>
            </w:r>
            <w:r>
              <w:rPr>
                <w:rFonts w:eastAsia="Times New Roman"/>
                <w:color w:val="000000"/>
                <w:szCs w:val="20"/>
                <w:lang w:eastAsia="es-MX"/>
              </w:rPr>
              <w:t>.</w:t>
            </w:r>
          </w:p>
          <w:p w14:paraId="645E7B6B" w14:textId="77777777" w:rsidR="0038478F" w:rsidRDefault="008932C8" w:rsidP="00AD5232">
            <w:pPr>
              <w:spacing w:before="240" w:after="120" w:line="276" w:lineRule="auto"/>
              <w:ind w:right="309"/>
              <w:rPr>
                <w:rFonts w:eastAsia="Times New Roman"/>
                <w:color w:val="000000"/>
                <w:szCs w:val="20"/>
                <w:lang w:eastAsia="es-MX"/>
              </w:rPr>
            </w:pPr>
            <w:r>
              <w:rPr>
                <w:rFonts w:eastAsia="Times New Roman"/>
                <w:color w:val="000000"/>
                <w:szCs w:val="20"/>
                <w:lang w:eastAsia="es-MX"/>
              </w:rPr>
              <w:t xml:space="preserve">Con la finalidad de </w:t>
            </w:r>
            <w:r w:rsidR="000F2D02">
              <w:rPr>
                <w:rFonts w:eastAsia="Times New Roman"/>
                <w:color w:val="000000"/>
                <w:szCs w:val="20"/>
                <w:lang w:eastAsia="es-MX"/>
              </w:rPr>
              <w:t>organizar los comentarios y la información que el participante provea</w:t>
            </w:r>
            <w:r>
              <w:rPr>
                <w:rFonts w:eastAsia="Times New Roman"/>
                <w:color w:val="000000"/>
                <w:szCs w:val="20"/>
                <w:lang w:eastAsia="es-MX"/>
              </w:rPr>
              <w:t>, el</w:t>
            </w:r>
            <w:r w:rsidR="0038478F">
              <w:rPr>
                <w:rFonts w:eastAsia="Times New Roman"/>
                <w:color w:val="000000"/>
                <w:szCs w:val="20"/>
                <w:lang w:eastAsia="es-MX"/>
              </w:rPr>
              <w:t xml:space="preserve"> presente formato está </w:t>
            </w:r>
            <w:r>
              <w:rPr>
                <w:rFonts w:eastAsia="Times New Roman"/>
                <w:color w:val="000000"/>
                <w:szCs w:val="20"/>
                <w:lang w:eastAsia="es-MX"/>
              </w:rPr>
              <w:t>integrado</w:t>
            </w:r>
            <w:r w:rsidR="0038478F">
              <w:rPr>
                <w:rFonts w:eastAsia="Times New Roman"/>
                <w:color w:val="000000"/>
                <w:szCs w:val="20"/>
                <w:lang w:eastAsia="es-MX"/>
              </w:rPr>
              <w:t xml:space="preserve"> por secciones de grupos de medidas</w:t>
            </w:r>
            <w:r>
              <w:rPr>
                <w:rFonts w:eastAsia="Times New Roman"/>
                <w:color w:val="000000"/>
                <w:szCs w:val="20"/>
                <w:lang w:eastAsia="es-MX"/>
              </w:rPr>
              <w:t xml:space="preserve"> que están asociadas a un tema en común</w:t>
            </w:r>
            <w:r w:rsidR="000F2D02">
              <w:rPr>
                <w:rFonts w:eastAsia="Times New Roman"/>
                <w:color w:val="000000"/>
                <w:szCs w:val="20"/>
                <w:lang w:eastAsia="es-MX"/>
              </w:rPr>
              <w:t>. Asimismo, para mayor referencia</w:t>
            </w:r>
            <w:r>
              <w:rPr>
                <w:rFonts w:eastAsia="Times New Roman"/>
                <w:color w:val="000000"/>
                <w:szCs w:val="20"/>
                <w:lang w:eastAsia="es-MX"/>
              </w:rPr>
              <w:t xml:space="preserve"> se indican</w:t>
            </w:r>
            <w:r w:rsidR="0038478F">
              <w:rPr>
                <w:rFonts w:eastAsia="Times New Roman"/>
                <w:color w:val="000000"/>
                <w:szCs w:val="20"/>
                <w:lang w:eastAsia="es-MX"/>
              </w:rPr>
              <w:t xml:space="preserve"> las medidas que se incluyen</w:t>
            </w:r>
            <w:r>
              <w:rPr>
                <w:rFonts w:eastAsia="Times New Roman"/>
                <w:color w:val="000000"/>
                <w:szCs w:val="20"/>
                <w:lang w:eastAsia="es-MX"/>
              </w:rPr>
              <w:t xml:space="preserve"> en cada grupo</w:t>
            </w:r>
            <w:r w:rsidR="0038478F">
              <w:rPr>
                <w:rFonts w:eastAsia="Times New Roman"/>
                <w:color w:val="000000"/>
                <w:szCs w:val="20"/>
                <w:lang w:eastAsia="es-MX"/>
              </w:rPr>
              <w:t xml:space="preserve"> y, a manera de resumen, se exponen los principales objetivos</w:t>
            </w:r>
            <w:r w:rsidR="006E6053">
              <w:rPr>
                <w:rFonts w:eastAsia="Times New Roman"/>
                <w:color w:val="000000"/>
                <w:szCs w:val="20"/>
                <w:lang w:eastAsia="es-MX"/>
              </w:rPr>
              <w:t xml:space="preserve"> generales</w:t>
            </w:r>
            <w:r w:rsidR="0038478F">
              <w:rPr>
                <w:rFonts w:eastAsia="Times New Roman"/>
                <w:color w:val="000000"/>
                <w:szCs w:val="20"/>
                <w:lang w:eastAsia="es-MX"/>
              </w:rPr>
              <w:t>, así como un contexto</w:t>
            </w:r>
            <w:r>
              <w:rPr>
                <w:rFonts w:eastAsia="Times New Roman"/>
                <w:color w:val="000000"/>
                <w:szCs w:val="20"/>
                <w:lang w:eastAsia="es-MX"/>
              </w:rPr>
              <w:t xml:space="preserve"> de las mismas.</w:t>
            </w:r>
          </w:p>
          <w:p w14:paraId="645E7B6C" w14:textId="77777777" w:rsidR="00870F7C" w:rsidRDefault="004802CE" w:rsidP="00AD5232">
            <w:pPr>
              <w:spacing w:before="240" w:after="120" w:line="276" w:lineRule="auto"/>
              <w:ind w:right="309"/>
              <w:rPr>
                <w:rFonts w:eastAsia="Times New Roman"/>
                <w:color w:val="000000"/>
                <w:szCs w:val="20"/>
                <w:lang w:eastAsia="es-MX"/>
              </w:rPr>
            </w:pPr>
            <w:r w:rsidRPr="00316894">
              <w:rPr>
                <w:rFonts w:eastAsia="Times New Roman"/>
                <w:color w:val="000000"/>
                <w:szCs w:val="20"/>
                <w:lang w:eastAsia="es-MX"/>
              </w:rPr>
              <w:t>Finalmente, para mayor referencia</w:t>
            </w:r>
            <w:r w:rsidR="00B24877">
              <w:rPr>
                <w:rFonts w:eastAsia="Times New Roman"/>
                <w:color w:val="000000"/>
                <w:szCs w:val="20"/>
                <w:lang w:eastAsia="es-MX"/>
              </w:rPr>
              <w:t xml:space="preserve"> de </w:t>
            </w:r>
            <w:r w:rsidR="00870F7C">
              <w:rPr>
                <w:rFonts w:eastAsia="Times New Roman"/>
                <w:color w:val="000000"/>
                <w:szCs w:val="20"/>
                <w:lang w:eastAsia="es-MX"/>
              </w:rPr>
              <w:t xml:space="preserve">las medidas </w:t>
            </w:r>
            <w:r w:rsidR="00B24877">
              <w:rPr>
                <w:rFonts w:eastAsia="Times New Roman"/>
                <w:color w:val="000000"/>
                <w:szCs w:val="20"/>
                <w:lang w:eastAsia="es-MX"/>
              </w:rPr>
              <w:t>asimétricas impuestas al AEPT</w:t>
            </w:r>
            <w:r w:rsidR="00522212">
              <w:rPr>
                <w:rFonts w:eastAsia="Times New Roman"/>
                <w:color w:val="000000"/>
                <w:szCs w:val="20"/>
                <w:lang w:eastAsia="es-MX"/>
              </w:rPr>
              <w:t>, las mismas</w:t>
            </w:r>
            <w:r w:rsidR="00B24877">
              <w:rPr>
                <w:rFonts w:eastAsia="Times New Roman"/>
                <w:color w:val="000000"/>
                <w:szCs w:val="20"/>
                <w:lang w:eastAsia="es-MX"/>
              </w:rPr>
              <w:t xml:space="preserve"> se ponen a disposición de los interesados en los siguientes enlaces</w:t>
            </w:r>
            <w:r w:rsidR="00870F7C">
              <w:rPr>
                <w:rFonts w:eastAsia="Times New Roman"/>
                <w:color w:val="000000"/>
                <w:szCs w:val="20"/>
                <w:lang w:eastAsia="es-MX"/>
              </w:rPr>
              <w:t>:</w:t>
            </w:r>
          </w:p>
          <w:p w14:paraId="645E7B6D" w14:textId="77777777" w:rsidR="00870F7C" w:rsidRDefault="00870F7C" w:rsidP="007E1274">
            <w:pPr>
              <w:spacing w:after="120" w:line="276" w:lineRule="auto"/>
              <w:ind w:right="306"/>
              <w:rPr>
                <w:rFonts w:eastAsia="Times New Roman"/>
                <w:color w:val="000000"/>
                <w:szCs w:val="20"/>
                <w:lang w:eastAsia="es-MX"/>
              </w:rPr>
            </w:pPr>
            <w:r>
              <w:rPr>
                <w:rFonts w:eastAsia="Times New Roman"/>
                <w:color w:val="000000"/>
                <w:szCs w:val="20"/>
                <w:lang w:eastAsia="es-MX"/>
              </w:rPr>
              <w:t>Anexo 1:</w:t>
            </w:r>
          </w:p>
          <w:p w14:paraId="645E7B6E" w14:textId="77777777" w:rsidR="00870F7C" w:rsidRDefault="00050BED" w:rsidP="007E1274">
            <w:pPr>
              <w:spacing w:after="120" w:line="276" w:lineRule="auto"/>
              <w:ind w:right="306"/>
              <w:rPr>
                <w:rFonts w:eastAsia="Times New Roman"/>
                <w:color w:val="000000"/>
                <w:szCs w:val="20"/>
                <w:lang w:eastAsia="es-MX"/>
              </w:rPr>
            </w:pPr>
            <w:hyperlink r:id="rId16" w:history="1">
              <w:r w:rsidR="00870F7C" w:rsidRPr="00774FD7">
                <w:rPr>
                  <w:rStyle w:val="Hipervnculo"/>
                  <w:rFonts w:eastAsia="Times New Roman"/>
                  <w:szCs w:val="20"/>
                  <w:lang w:eastAsia="es-MX"/>
                </w:rPr>
                <w:t>http://www.ift.org.mx/sites/default/files/anexo_1_medidas_2014-2017_aep_telecomunicaciones_1.pdf</w:t>
              </w:r>
            </w:hyperlink>
            <w:r w:rsidR="00870F7C">
              <w:rPr>
                <w:rFonts w:eastAsia="Times New Roman"/>
                <w:color w:val="000000"/>
                <w:szCs w:val="20"/>
                <w:lang w:eastAsia="es-MX"/>
              </w:rPr>
              <w:t xml:space="preserve"> </w:t>
            </w:r>
          </w:p>
          <w:p w14:paraId="645E7B6F" w14:textId="77777777" w:rsidR="00870F7C" w:rsidRDefault="00870F7C" w:rsidP="007E1274">
            <w:pPr>
              <w:spacing w:after="120" w:line="276" w:lineRule="auto"/>
              <w:ind w:right="306"/>
              <w:rPr>
                <w:rFonts w:eastAsia="Times New Roman"/>
                <w:color w:val="000000"/>
                <w:szCs w:val="20"/>
                <w:lang w:eastAsia="es-MX"/>
              </w:rPr>
            </w:pPr>
            <w:r>
              <w:rPr>
                <w:rFonts w:eastAsia="Times New Roman"/>
                <w:color w:val="000000"/>
                <w:szCs w:val="20"/>
                <w:lang w:eastAsia="es-MX"/>
              </w:rPr>
              <w:t xml:space="preserve">Anexo 2: </w:t>
            </w:r>
          </w:p>
          <w:p w14:paraId="645E7B70" w14:textId="77777777" w:rsidR="00870F7C" w:rsidRDefault="00050BED" w:rsidP="007E1274">
            <w:pPr>
              <w:spacing w:after="120" w:line="276" w:lineRule="auto"/>
              <w:ind w:right="306"/>
              <w:rPr>
                <w:rFonts w:eastAsia="Times New Roman"/>
                <w:color w:val="000000"/>
                <w:szCs w:val="20"/>
                <w:lang w:eastAsia="es-MX"/>
              </w:rPr>
            </w:pPr>
            <w:hyperlink r:id="rId17" w:history="1">
              <w:r w:rsidR="00870F7C" w:rsidRPr="00774FD7">
                <w:rPr>
                  <w:rStyle w:val="Hipervnculo"/>
                  <w:rFonts w:eastAsia="Times New Roman"/>
                  <w:szCs w:val="20"/>
                  <w:lang w:eastAsia="es-MX"/>
                </w:rPr>
                <w:t>http://www.ift.org.mx/sites/default/files/anexo_2_medidas_2014-2017_aep_telecomunicaciones_1.pdf</w:t>
              </w:r>
            </w:hyperlink>
          </w:p>
          <w:p w14:paraId="645E7B71" w14:textId="77777777" w:rsidR="00870F7C" w:rsidRDefault="00870F7C" w:rsidP="007E1274">
            <w:pPr>
              <w:spacing w:after="120" w:line="276" w:lineRule="auto"/>
              <w:ind w:right="306"/>
              <w:rPr>
                <w:rFonts w:eastAsia="Times New Roman"/>
                <w:color w:val="000000"/>
                <w:szCs w:val="20"/>
                <w:lang w:eastAsia="es-MX"/>
              </w:rPr>
            </w:pPr>
            <w:r>
              <w:rPr>
                <w:rFonts w:eastAsia="Times New Roman"/>
                <w:color w:val="000000"/>
                <w:szCs w:val="20"/>
                <w:lang w:eastAsia="es-MX"/>
              </w:rPr>
              <w:t>Anexo 3:</w:t>
            </w:r>
          </w:p>
          <w:p w14:paraId="645E7B72" w14:textId="77777777" w:rsidR="00870F7C" w:rsidRPr="00566139" w:rsidRDefault="00050BED" w:rsidP="007E1274">
            <w:pPr>
              <w:spacing w:after="120" w:line="276" w:lineRule="auto"/>
              <w:ind w:right="306"/>
              <w:rPr>
                <w:rFonts w:eastAsia="Times New Roman"/>
                <w:color w:val="000000"/>
                <w:szCs w:val="20"/>
                <w:lang w:eastAsia="es-MX"/>
              </w:rPr>
            </w:pPr>
            <w:hyperlink r:id="rId18" w:history="1">
              <w:r w:rsidR="00870F7C" w:rsidRPr="00774FD7">
                <w:rPr>
                  <w:rStyle w:val="Hipervnculo"/>
                  <w:rFonts w:eastAsia="Times New Roman"/>
                  <w:szCs w:val="20"/>
                  <w:lang w:eastAsia="es-MX"/>
                </w:rPr>
                <w:t>http://www.ift.org.mx/sites/default/files/anexo_3_medidas_2014-2017_aep_telecomunicaciones_1.pdf</w:t>
              </w:r>
            </w:hyperlink>
          </w:p>
        </w:tc>
      </w:tr>
      <w:tr w:rsidR="00870F7C" w:rsidRPr="00DF5B3F" w14:paraId="645E7B75" w14:textId="77777777" w:rsidTr="00AD5232">
        <w:trPr>
          <w:trHeight w:val="300"/>
          <w:jc w:val="center"/>
        </w:trPr>
        <w:tc>
          <w:tcPr>
            <w:tcW w:w="8642" w:type="dxa"/>
            <w:shd w:val="clear" w:color="auto" w:fill="C5E0B3"/>
            <w:noWrap/>
            <w:vAlign w:val="center"/>
          </w:tcPr>
          <w:p w14:paraId="645E7B74" w14:textId="77777777" w:rsidR="00870F7C" w:rsidRPr="006B0B12" w:rsidRDefault="00870F7C" w:rsidP="00AD5232">
            <w:pPr>
              <w:spacing w:after="0" w:line="240" w:lineRule="auto"/>
              <w:rPr>
                <w:rFonts w:eastAsia="Times New Roman"/>
                <w:color w:val="000000"/>
                <w:sz w:val="16"/>
                <w:szCs w:val="16"/>
                <w:lang w:eastAsia="es-MX"/>
              </w:rPr>
            </w:pPr>
            <w:r>
              <w:rPr>
                <w:rFonts w:eastAsia="Times New Roman"/>
                <w:color w:val="000000"/>
                <w:sz w:val="16"/>
                <w:szCs w:val="16"/>
                <w:lang w:eastAsia="es-MX"/>
              </w:rPr>
              <w:lastRenderedPageBreak/>
              <w:t xml:space="preserve"> </w:t>
            </w:r>
          </w:p>
        </w:tc>
      </w:tr>
    </w:tbl>
    <w:p w14:paraId="645E7B76" w14:textId="720A0DA7" w:rsidR="00870F7C" w:rsidRDefault="00870F7C" w:rsidP="00DF67B4">
      <w:pPr>
        <w:spacing w:after="0"/>
        <w:rPr>
          <w:sz w:val="16"/>
        </w:rPr>
      </w:pPr>
    </w:p>
    <w:p w14:paraId="06BAA4DC" w14:textId="77777777" w:rsidR="00240D9F" w:rsidRDefault="00240D9F" w:rsidP="00DF67B4">
      <w:pPr>
        <w:spacing w:after="0"/>
        <w:rPr>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1293"/>
        <w:gridCol w:w="5594"/>
      </w:tblGrid>
      <w:tr w:rsidR="00D26916" w:rsidRPr="00DF5B3F" w14:paraId="645E7B79" w14:textId="77777777" w:rsidTr="00D26916">
        <w:trPr>
          <w:trHeight w:val="581"/>
        </w:trPr>
        <w:tc>
          <w:tcPr>
            <w:tcW w:w="8641" w:type="dxa"/>
            <w:gridSpan w:val="3"/>
            <w:shd w:val="clear" w:color="auto" w:fill="D9D9D9"/>
            <w:vAlign w:val="center"/>
            <w:hideMark/>
          </w:tcPr>
          <w:p w14:paraId="645E7B77" w14:textId="77777777" w:rsidR="00D26916" w:rsidRPr="00CE2EC2" w:rsidRDefault="00D26916" w:rsidP="00D26916">
            <w:pPr>
              <w:numPr>
                <w:ilvl w:val="0"/>
                <w:numId w:val="2"/>
              </w:numPr>
              <w:spacing w:after="0" w:line="240" w:lineRule="auto"/>
              <w:ind w:right="1069"/>
              <w:contextualSpacing/>
              <w:jc w:val="center"/>
              <w:rPr>
                <w:rFonts w:eastAsia="Times New Roman"/>
                <w:b/>
                <w:bCs/>
                <w:color w:val="FFFFFF"/>
                <w:lang w:eastAsia="es-MX"/>
              </w:rPr>
            </w:pPr>
            <w:r w:rsidRPr="00DF5B3F">
              <w:rPr>
                <w:rFonts w:eastAsia="Times New Roman"/>
                <w:b/>
                <w:bCs/>
                <w:color w:val="000000"/>
                <w:lang w:eastAsia="es-MX"/>
              </w:rPr>
              <w:t xml:space="preserve">Comentarios, opiniones </w:t>
            </w:r>
            <w:r w:rsidRPr="00C41536">
              <w:rPr>
                <w:rFonts w:eastAsia="Times New Roman"/>
                <w:b/>
                <w:bCs/>
                <w:lang w:eastAsia="es-MX"/>
              </w:rPr>
              <w:t>y aportaciones específic</w:t>
            </w:r>
            <w:r>
              <w:rPr>
                <w:rFonts w:eastAsia="Times New Roman"/>
                <w:b/>
                <w:bCs/>
                <w:lang w:eastAsia="es-MX"/>
              </w:rPr>
              <w:t>o</w:t>
            </w:r>
            <w:r w:rsidRPr="00C41536">
              <w:rPr>
                <w:rFonts w:eastAsia="Times New Roman"/>
                <w:b/>
                <w:bCs/>
                <w:lang w:eastAsia="es-MX"/>
              </w:rPr>
              <w:t>s del participante</w:t>
            </w:r>
            <w:r>
              <w:rPr>
                <w:rFonts w:eastAsia="Times New Roman"/>
                <w:b/>
                <w:bCs/>
                <w:lang w:eastAsia="es-MX"/>
              </w:rPr>
              <w:t xml:space="preserve"> sobre el asunto en consulta pública</w:t>
            </w:r>
          </w:p>
          <w:p w14:paraId="645E7B78" w14:textId="77777777" w:rsidR="00CE2EC2" w:rsidRPr="00C41536" w:rsidRDefault="00CE2EC2" w:rsidP="00CE2EC2">
            <w:pPr>
              <w:spacing w:after="0" w:line="240" w:lineRule="auto"/>
              <w:ind w:left="1800" w:right="1069"/>
              <w:contextualSpacing/>
              <w:jc w:val="center"/>
              <w:rPr>
                <w:rFonts w:eastAsia="Times New Roman"/>
                <w:b/>
                <w:bCs/>
                <w:color w:val="FFFFFF"/>
                <w:lang w:eastAsia="es-MX"/>
              </w:rPr>
            </w:pPr>
            <w:r>
              <w:rPr>
                <w:rFonts w:eastAsia="Times New Roman"/>
                <w:b/>
                <w:bCs/>
                <w:color w:val="000000"/>
                <w:lang w:eastAsia="es-MX"/>
              </w:rPr>
              <w:t>(SERVICIOS MÓVILES)</w:t>
            </w:r>
          </w:p>
        </w:tc>
      </w:tr>
      <w:tr w:rsidR="00F30CB9" w:rsidRPr="00DF5B3F" w14:paraId="645E7B84" w14:textId="77777777" w:rsidTr="00B51596">
        <w:trPr>
          <w:trHeight w:val="414"/>
        </w:trPr>
        <w:tc>
          <w:tcPr>
            <w:tcW w:w="1754" w:type="dxa"/>
            <w:shd w:val="clear" w:color="auto" w:fill="C5E0B3"/>
            <w:vAlign w:val="center"/>
          </w:tcPr>
          <w:p w14:paraId="645E7B7A" w14:textId="77777777" w:rsidR="00F30CB9" w:rsidRDefault="00F30CB9" w:rsidP="00F30CB9">
            <w:pPr>
              <w:spacing w:after="0" w:line="276" w:lineRule="auto"/>
              <w:jc w:val="center"/>
              <w:rPr>
                <w:rFonts w:eastAsia="Times New Roman"/>
                <w:b/>
                <w:color w:val="000000"/>
                <w:lang w:eastAsia="es-MX"/>
              </w:rPr>
            </w:pPr>
            <w:r>
              <w:rPr>
                <w:rFonts w:eastAsia="Times New Roman"/>
                <w:b/>
                <w:color w:val="000000"/>
                <w:lang w:eastAsia="es-MX"/>
              </w:rPr>
              <w:lastRenderedPageBreak/>
              <w:t>Medidas referentes a Interconexión</w:t>
            </w:r>
          </w:p>
          <w:p w14:paraId="645E7B7B" w14:textId="77777777" w:rsidR="000D33C0" w:rsidRDefault="000D33C0" w:rsidP="000D33C0">
            <w:pPr>
              <w:spacing w:after="0" w:line="276" w:lineRule="auto"/>
              <w:jc w:val="center"/>
              <w:rPr>
                <w:rFonts w:eastAsia="Times New Roman"/>
                <w:b/>
                <w:color w:val="000000"/>
                <w:lang w:eastAsia="es-MX"/>
              </w:rPr>
            </w:pPr>
          </w:p>
          <w:p w14:paraId="645E7B7C" w14:textId="77777777" w:rsidR="000D33C0" w:rsidRPr="000D33C0" w:rsidRDefault="000D33C0" w:rsidP="000D33C0">
            <w:pPr>
              <w:spacing w:after="0" w:line="276" w:lineRule="auto"/>
              <w:jc w:val="center"/>
              <w:rPr>
                <w:rFonts w:eastAsia="Times New Roman"/>
                <w:b/>
                <w:color w:val="000000"/>
                <w:lang w:eastAsia="es-MX"/>
              </w:rPr>
            </w:pPr>
            <w:r>
              <w:rPr>
                <w:rFonts w:eastAsia="Times New Roman"/>
                <w:b/>
                <w:color w:val="000000"/>
                <w:lang w:eastAsia="es-MX"/>
              </w:rPr>
              <w:t xml:space="preserve">Anexo 1: </w:t>
            </w:r>
            <w:r w:rsidR="00304F09">
              <w:t xml:space="preserve"> </w:t>
            </w:r>
            <w:r w:rsidR="00304F09" w:rsidRPr="00304F09">
              <w:rPr>
                <w:rFonts w:eastAsia="Times New Roman"/>
                <w:b/>
                <w:color w:val="000000"/>
                <w:lang w:eastAsia="es-MX"/>
              </w:rPr>
              <w:t>4, 5, 6, 7, 8, 9, 10, 11, 25, 26</w:t>
            </w:r>
            <w:r w:rsidR="00304F09">
              <w:rPr>
                <w:rFonts w:eastAsia="Times New Roman"/>
                <w:b/>
                <w:color w:val="000000"/>
                <w:lang w:eastAsia="es-MX"/>
              </w:rPr>
              <w:t xml:space="preserve"> y</w:t>
            </w:r>
            <w:r w:rsidR="00304F09" w:rsidRPr="00304F09">
              <w:rPr>
                <w:rFonts w:eastAsia="Times New Roman"/>
                <w:b/>
                <w:color w:val="000000"/>
                <w:lang w:eastAsia="es-MX"/>
              </w:rPr>
              <w:t xml:space="preserve"> 59</w:t>
            </w:r>
            <w:r>
              <w:rPr>
                <w:rFonts w:eastAsia="Times New Roman"/>
                <w:b/>
                <w:color w:val="000000"/>
                <w:lang w:eastAsia="es-MX"/>
              </w:rPr>
              <w:t>.</w:t>
            </w:r>
          </w:p>
          <w:p w14:paraId="645E7B7D" w14:textId="77777777" w:rsidR="000D33C0" w:rsidRPr="00D26916" w:rsidRDefault="000D33C0" w:rsidP="00F30CB9">
            <w:pPr>
              <w:spacing w:after="0" w:line="276" w:lineRule="auto"/>
              <w:jc w:val="center"/>
              <w:rPr>
                <w:rFonts w:eastAsia="Times New Roman"/>
                <w:b/>
                <w:color w:val="000000"/>
                <w:lang w:eastAsia="es-MX"/>
              </w:rPr>
            </w:pPr>
          </w:p>
        </w:tc>
        <w:tc>
          <w:tcPr>
            <w:tcW w:w="6887" w:type="dxa"/>
            <w:gridSpan w:val="2"/>
            <w:shd w:val="clear" w:color="auto" w:fill="C5E0B3"/>
            <w:vAlign w:val="center"/>
          </w:tcPr>
          <w:p w14:paraId="645E7B7E" w14:textId="77777777" w:rsidR="00F30CB9" w:rsidRPr="00DF67B4" w:rsidRDefault="00F30CB9" w:rsidP="00F30CB9">
            <w:pPr>
              <w:spacing w:after="0" w:line="276" w:lineRule="auto"/>
              <w:rPr>
                <w:rFonts w:eastAsia="Times New Roman"/>
                <w:b/>
                <w:color w:val="000000"/>
                <w:lang w:eastAsia="es-MX"/>
              </w:rPr>
            </w:pPr>
            <w:r w:rsidRPr="00DF67B4">
              <w:rPr>
                <w:rFonts w:eastAsia="Times New Roman"/>
                <w:b/>
                <w:color w:val="000000"/>
                <w:lang w:eastAsia="es-MX"/>
              </w:rPr>
              <w:t>Objetivos</w:t>
            </w:r>
            <w:r>
              <w:rPr>
                <w:rFonts w:eastAsia="Times New Roman"/>
                <w:b/>
                <w:color w:val="000000"/>
                <w:lang w:eastAsia="es-MX"/>
              </w:rPr>
              <w:t xml:space="preserve"> </w:t>
            </w:r>
            <w:r w:rsidR="00AA6185">
              <w:rPr>
                <w:rFonts w:eastAsia="Times New Roman"/>
                <w:b/>
                <w:color w:val="000000"/>
                <w:lang w:eastAsia="es-MX"/>
              </w:rPr>
              <w:t>generales</w:t>
            </w:r>
            <w:r w:rsidRPr="00DF67B4">
              <w:rPr>
                <w:rFonts w:eastAsia="Times New Roman"/>
                <w:b/>
                <w:color w:val="000000"/>
                <w:lang w:eastAsia="es-MX"/>
              </w:rPr>
              <w:t xml:space="preserve">: </w:t>
            </w:r>
          </w:p>
          <w:p w14:paraId="645E7B7F" w14:textId="77777777" w:rsidR="00F83305" w:rsidRDefault="00F83305" w:rsidP="00F30CB9">
            <w:pPr>
              <w:numPr>
                <w:ilvl w:val="0"/>
                <w:numId w:val="12"/>
              </w:numPr>
              <w:spacing w:after="0" w:line="276" w:lineRule="auto"/>
              <w:rPr>
                <w:rFonts w:eastAsia="Times New Roman"/>
                <w:bCs/>
                <w:color w:val="000000"/>
                <w:lang w:eastAsia="es-MX"/>
              </w:rPr>
            </w:pPr>
            <w:r w:rsidRPr="00F83305">
              <w:rPr>
                <w:rFonts w:eastAsia="Times New Roman"/>
                <w:bCs/>
                <w:color w:val="000000"/>
                <w:lang w:eastAsia="es-MX"/>
              </w:rPr>
              <w:t>Reducir o eliminar barreras a la entrada y la expansión de participantes distintos al AEPT</w:t>
            </w:r>
            <w:r>
              <w:rPr>
                <w:rFonts w:eastAsia="Times New Roman"/>
                <w:bCs/>
                <w:color w:val="000000"/>
                <w:lang w:eastAsia="es-MX"/>
              </w:rPr>
              <w:t>.</w:t>
            </w:r>
          </w:p>
          <w:p w14:paraId="645E7B80" w14:textId="77777777" w:rsidR="00F83305" w:rsidRDefault="00F30CB9" w:rsidP="00F30CB9">
            <w:pPr>
              <w:numPr>
                <w:ilvl w:val="0"/>
                <w:numId w:val="12"/>
              </w:numPr>
              <w:spacing w:after="0" w:line="276" w:lineRule="auto"/>
              <w:rPr>
                <w:rFonts w:eastAsia="Times New Roman"/>
                <w:bCs/>
                <w:color w:val="000000"/>
                <w:lang w:eastAsia="es-MX"/>
              </w:rPr>
            </w:pPr>
            <w:r w:rsidRPr="00243519">
              <w:rPr>
                <w:rFonts w:eastAsia="Times New Roman"/>
                <w:bCs/>
                <w:color w:val="000000"/>
                <w:lang w:eastAsia="es-MX"/>
              </w:rPr>
              <w:t>Promover</w:t>
            </w:r>
            <w:r>
              <w:rPr>
                <w:rFonts w:eastAsia="Times New Roman"/>
                <w:bCs/>
                <w:color w:val="000000"/>
                <w:lang w:eastAsia="es-MX"/>
              </w:rPr>
              <w:t xml:space="preserve"> el uso eficiente de las redes</w:t>
            </w:r>
            <w:r w:rsidR="00F83305">
              <w:rPr>
                <w:rFonts w:eastAsia="Times New Roman"/>
                <w:bCs/>
                <w:color w:val="000000"/>
                <w:lang w:eastAsia="es-MX"/>
              </w:rPr>
              <w:t xml:space="preserve"> e infraestructura.</w:t>
            </w:r>
          </w:p>
          <w:p w14:paraId="645E7B81" w14:textId="77777777" w:rsidR="00F30CB9" w:rsidRPr="00243519" w:rsidRDefault="00F83305" w:rsidP="00F30CB9">
            <w:pPr>
              <w:numPr>
                <w:ilvl w:val="0"/>
                <w:numId w:val="12"/>
              </w:numPr>
              <w:spacing w:after="0" w:line="276" w:lineRule="auto"/>
              <w:rPr>
                <w:rFonts w:eastAsia="Times New Roman"/>
                <w:bCs/>
                <w:color w:val="000000"/>
                <w:lang w:eastAsia="es-MX"/>
              </w:rPr>
            </w:pPr>
            <w:r w:rsidRPr="007B084F">
              <w:rPr>
                <w:rFonts w:ascii="ITC Avant Garde" w:hAnsi="ITC Avant Garde"/>
                <w:color w:val="000000" w:themeColor="text1"/>
              </w:rPr>
              <w:t>Remediar y prevenir condiciones y conductas con efectos que no favorezcan la competencia y libre concurrencia</w:t>
            </w:r>
            <w:r w:rsidR="00F30CB9">
              <w:rPr>
                <w:rFonts w:eastAsia="Times New Roman"/>
                <w:bCs/>
                <w:color w:val="000000"/>
                <w:lang w:eastAsia="es-MX"/>
              </w:rPr>
              <w:t>.</w:t>
            </w:r>
          </w:p>
          <w:p w14:paraId="645E7B82" w14:textId="77777777" w:rsidR="00F83305" w:rsidRPr="00BF5AE1" w:rsidRDefault="00F83305" w:rsidP="00FA1443">
            <w:pPr>
              <w:numPr>
                <w:ilvl w:val="0"/>
                <w:numId w:val="12"/>
              </w:numPr>
              <w:spacing w:after="0" w:line="276" w:lineRule="auto"/>
              <w:rPr>
                <w:rFonts w:eastAsia="Times New Roman"/>
                <w:color w:val="000000"/>
                <w:lang w:eastAsia="es-MX"/>
              </w:rPr>
            </w:pPr>
            <w:r>
              <w:rPr>
                <w:rFonts w:ascii="ITC Avant Garde" w:hAnsi="ITC Avant Garde"/>
              </w:rPr>
              <w:t>Disminuir costos de transacción.</w:t>
            </w:r>
          </w:p>
          <w:p w14:paraId="645E7B83" w14:textId="77777777" w:rsidR="00F30CB9" w:rsidRPr="00867813" w:rsidRDefault="00BF5AE1" w:rsidP="00F30CB9">
            <w:pPr>
              <w:numPr>
                <w:ilvl w:val="0"/>
                <w:numId w:val="12"/>
              </w:numPr>
              <w:spacing w:after="0" w:line="276" w:lineRule="auto"/>
              <w:rPr>
                <w:rFonts w:eastAsia="Times New Roman"/>
                <w:bCs/>
                <w:color w:val="000000"/>
                <w:lang w:eastAsia="es-MX"/>
              </w:rPr>
            </w:pPr>
            <w:r>
              <w:rPr>
                <w:rFonts w:eastAsia="Times New Roman"/>
                <w:bCs/>
                <w:color w:val="000000"/>
                <w:lang w:eastAsia="es-MX"/>
              </w:rPr>
              <w:t>Disminuir asimetrías de información.</w:t>
            </w:r>
          </w:p>
        </w:tc>
      </w:tr>
      <w:tr w:rsidR="00F30CB9" w:rsidRPr="00DF5B3F" w14:paraId="645E7B8A" w14:textId="77777777" w:rsidTr="00090F4F">
        <w:trPr>
          <w:trHeight w:val="414"/>
        </w:trPr>
        <w:tc>
          <w:tcPr>
            <w:tcW w:w="8641" w:type="dxa"/>
            <w:gridSpan w:val="3"/>
            <w:shd w:val="clear" w:color="auto" w:fill="FFFFFF"/>
            <w:vAlign w:val="center"/>
          </w:tcPr>
          <w:p w14:paraId="645E7B85" w14:textId="77777777" w:rsidR="00616AE3" w:rsidRPr="00BD71EA" w:rsidRDefault="007D23B9" w:rsidP="00616AE3">
            <w:pPr>
              <w:spacing w:line="276" w:lineRule="auto"/>
              <w:rPr>
                <w:b/>
                <w:lang w:eastAsia="es-MX"/>
              </w:rPr>
            </w:pPr>
            <w:r>
              <w:rPr>
                <w:b/>
                <w:lang w:eastAsia="es-MX"/>
              </w:rPr>
              <w:t>Contexto</w:t>
            </w:r>
            <w:r w:rsidR="00616AE3">
              <w:rPr>
                <w:b/>
                <w:lang w:eastAsia="es-MX"/>
              </w:rPr>
              <w:t xml:space="preserve">: </w:t>
            </w:r>
          </w:p>
          <w:p w14:paraId="645E7B86" w14:textId="77777777" w:rsidR="00DA4200" w:rsidRDefault="004C5CB4" w:rsidP="00616AE3">
            <w:pPr>
              <w:spacing w:line="276" w:lineRule="auto"/>
              <w:rPr>
                <w:b/>
                <w:lang w:eastAsia="es-MX"/>
              </w:rPr>
            </w:pPr>
            <w:r>
              <w:rPr>
                <w:lang w:eastAsia="es-MX"/>
              </w:rPr>
              <w:t>La interconexión es un recurso esencial para permitir la comunicación entre las distintas redes públicas de telecomunicaciones, por lo que al garantizar la interconexión de las redes de los distintos operadores del país se mitigan los efectos de red característicos de los servicios de telecomunicaciones, en beneficio de los usuarios finales.</w:t>
            </w:r>
          </w:p>
          <w:p w14:paraId="645E7B87" w14:textId="77777777" w:rsidR="00311709" w:rsidRDefault="00311709" w:rsidP="00DA4200">
            <w:pPr>
              <w:spacing w:before="240" w:after="120" w:line="276" w:lineRule="auto"/>
              <w:rPr>
                <w:rFonts w:eastAsia="Times New Roman"/>
                <w:color w:val="000000"/>
                <w:lang w:eastAsia="es-MX"/>
              </w:rPr>
            </w:pPr>
            <w:r w:rsidRPr="006E6053">
              <w:rPr>
                <w:rFonts w:eastAsia="Times New Roman"/>
                <w:b/>
                <w:color w:val="000000"/>
                <w:lang w:eastAsia="es-MX"/>
              </w:rPr>
              <w:t>Resumen</w:t>
            </w:r>
            <w:r>
              <w:rPr>
                <w:rFonts w:eastAsia="Times New Roman"/>
                <w:b/>
                <w:color w:val="000000"/>
                <w:lang w:eastAsia="es-MX"/>
              </w:rPr>
              <w:t xml:space="preserve"> de medidas impuestas:</w:t>
            </w:r>
          </w:p>
          <w:p w14:paraId="645E7B88" w14:textId="77777777" w:rsidR="00616AE3" w:rsidRDefault="00DA4200" w:rsidP="00DA4200">
            <w:pPr>
              <w:spacing w:before="240" w:after="120" w:line="276" w:lineRule="auto"/>
              <w:rPr>
                <w:rFonts w:eastAsia="Times New Roman"/>
                <w:color w:val="000000"/>
                <w:lang w:eastAsia="es-MX"/>
              </w:rPr>
            </w:pPr>
            <w:r>
              <w:rPr>
                <w:rFonts w:eastAsia="Times New Roman"/>
                <w:color w:val="000000"/>
                <w:lang w:eastAsia="es-MX"/>
              </w:rPr>
              <w:t>El Instituto impuso medidas al AEPT r</w:t>
            </w:r>
            <w:r w:rsidRPr="0056118B">
              <w:rPr>
                <w:rFonts w:eastAsia="Times New Roman"/>
                <w:color w:val="000000"/>
                <w:lang w:eastAsia="es-MX"/>
              </w:rPr>
              <w:t xml:space="preserve">eferentes a </w:t>
            </w:r>
            <w:r>
              <w:rPr>
                <w:rFonts w:eastAsia="Times New Roman"/>
                <w:color w:val="000000"/>
                <w:lang w:eastAsia="es-MX"/>
              </w:rPr>
              <w:t>prestar los servicios de interconexión</w:t>
            </w:r>
            <w:r w:rsidR="00F20915">
              <w:rPr>
                <w:rFonts w:eastAsia="Times New Roman"/>
                <w:color w:val="000000"/>
                <w:lang w:eastAsia="es-MX"/>
              </w:rPr>
              <w:t xml:space="preserve"> a operadores de otras redes</w:t>
            </w:r>
            <w:r>
              <w:rPr>
                <w:rFonts w:eastAsia="Times New Roman"/>
                <w:color w:val="000000"/>
                <w:lang w:eastAsia="es-MX"/>
              </w:rPr>
              <w:t xml:space="preserve">, así como proveer enlaces de interconexión, </w:t>
            </w:r>
            <w:r w:rsidR="000E313C">
              <w:rPr>
                <w:rFonts w:eastAsia="Times New Roman"/>
                <w:color w:val="000000"/>
                <w:lang w:eastAsia="es-MX"/>
              </w:rPr>
              <w:t>publica</w:t>
            </w:r>
            <w:r>
              <w:rPr>
                <w:rFonts w:eastAsia="Times New Roman"/>
                <w:color w:val="000000"/>
                <w:lang w:eastAsia="es-MX"/>
              </w:rPr>
              <w:t>r el Convenio Marco de Interconexión</w:t>
            </w:r>
            <w:r w:rsidRPr="0056118B">
              <w:rPr>
                <w:rFonts w:eastAsia="Times New Roman"/>
                <w:color w:val="000000"/>
                <w:lang w:eastAsia="es-MX"/>
              </w:rPr>
              <w:t xml:space="preserve">, </w:t>
            </w:r>
            <w:r>
              <w:rPr>
                <w:rFonts w:eastAsia="Times New Roman"/>
                <w:color w:val="000000"/>
                <w:lang w:eastAsia="es-MX"/>
              </w:rPr>
              <w:t>suscribir</w:t>
            </w:r>
            <w:r w:rsidRPr="0056118B">
              <w:rPr>
                <w:rFonts w:eastAsia="Times New Roman"/>
                <w:color w:val="000000"/>
                <w:lang w:eastAsia="es-MX"/>
              </w:rPr>
              <w:t xml:space="preserve"> convenios, </w:t>
            </w:r>
            <w:r>
              <w:rPr>
                <w:rFonts w:eastAsia="Times New Roman"/>
                <w:color w:val="000000"/>
                <w:lang w:eastAsia="es-MX"/>
              </w:rPr>
              <w:t>y poner</w:t>
            </w:r>
            <w:r w:rsidRPr="0056118B">
              <w:rPr>
                <w:rFonts w:eastAsia="Times New Roman"/>
                <w:color w:val="000000"/>
                <w:lang w:eastAsia="es-MX"/>
              </w:rPr>
              <w:t xml:space="preserve"> información a disposición de los Concesionarios Solicitantes</w:t>
            </w:r>
            <w:r>
              <w:rPr>
                <w:rFonts w:eastAsia="Times New Roman"/>
                <w:color w:val="000000"/>
                <w:lang w:eastAsia="es-MX"/>
              </w:rPr>
              <w:t xml:space="preserve"> (en lo sucesivo, “CS”)</w:t>
            </w:r>
            <w:r w:rsidR="008932C8">
              <w:rPr>
                <w:rFonts w:eastAsia="Times New Roman"/>
                <w:color w:val="000000"/>
                <w:lang w:eastAsia="es-MX"/>
              </w:rPr>
              <w:t>, entre otras</w:t>
            </w:r>
            <w:r>
              <w:rPr>
                <w:rFonts w:eastAsia="Times New Roman"/>
                <w:color w:val="000000"/>
                <w:lang w:eastAsia="es-MX"/>
              </w:rPr>
              <w:t>.</w:t>
            </w:r>
          </w:p>
          <w:p w14:paraId="645E7B89" w14:textId="77777777" w:rsidR="00F30CB9" w:rsidRPr="006E6053" w:rsidRDefault="00DA4200" w:rsidP="001911FE">
            <w:pPr>
              <w:spacing w:before="240" w:after="120" w:line="276" w:lineRule="auto"/>
              <w:rPr>
                <w:rFonts w:eastAsia="Times New Roman"/>
                <w:color w:val="000000"/>
                <w:lang w:eastAsia="es-MX"/>
              </w:rPr>
            </w:pPr>
            <w:r>
              <w:rPr>
                <w:rFonts w:eastAsia="Times New Roman"/>
                <w:color w:val="000000"/>
                <w:lang w:eastAsia="es-MX"/>
              </w:rPr>
              <w:t>A través de la Resolución Bienal</w:t>
            </w:r>
            <w:r w:rsidR="00523F2D">
              <w:rPr>
                <w:rFonts w:eastAsia="Times New Roman"/>
                <w:color w:val="000000"/>
                <w:lang w:eastAsia="es-MX"/>
              </w:rPr>
              <w:t xml:space="preserve"> de Telecomunicaciones</w:t>
            </w:r>
            <w:r>
              <w:rPr>
                <w:rFonts w:eastAsia="Times New Roman"/>
                <w:color w:val="000000"/>
                <w:lang w:eastAsia="es-MX"/>
              </w:rPr>
              <w:t xml:space="preserve"> se</w:t>
            </w:r>
            <w:r w:rsidR="008F4235">
              <w:rPr>
                <w:rFonts w:eastAsia="Times New Roman"/>
                <w:color w:val="000000"/>
                <w:lang w:eastAsia="es-MX"/>
              </w:rPr>
              <w:t xml:space="preserve"> hicieron </w:t>
            </w:r>
            <w:r w:rsidR="00FB53F4">
              <w:rPr>
                <w:rFonts w:eastAsia="Times New Roman"/>
                <w:color w:val="000000"/>
                <w:lang w:eastAsia="es-MX"/>
              </w:rPr>
              <w:t>adecuaciones</w:t>
            </w:r>
            <w:r w:rsidR="008F4235">
              <w:rPr>
                <w:rFonts w:eastAsia="Times New Roman"/>
                <w:color w:val="000000"/>
                <w:lang w:eastAsia="es-MX"/>
              </w:rPr>
              <w:t xml:space="preserve"> </w:t>
            </w:r>
            <w:r w:rsidR="00CD17B9">
              <w:rPr>
                <w:rFonts w:eastAsia="Times New Roman"/>
                <w:color w:val="000000"/>
                <w:lang w:eastAsia="es-MX"/>
              </w:rPr>
              <w:t>en materia de Puntos de Interconexión, procesos referentes al Convenio Marco de Interconexión y</w:t>
            </w:r>
            <w:r w:rsidR="00FB53F4">
              <w:rPr>
                <w:rFonts w:eastAsia="Times New Roman"/>
                <w:color w:val="000000"/>
                <w:lang w:eastAsia="es-MX"/>
              </w:rPr>
              <w:t xml:space="preserve"> homologa</w:t>
            </w:r>
            <w:r w:rsidR="00CD17B9">
              <w:rPr>
                <w:rFonts w:eastAsia="Times New Roman"/>
                <w:color w:val="000000"/>
                <w:lang w:eastAsia="es-MX"/>
              </w:rPr>
              <w:t>ción</w:t>
            </w:r>
            <w:r w:rsidR="008F4235">
              <w:rPr>
                <w:rFonts w:eastAsia="Times New Roman"/>
                <w:color w:val="000000"/>
                <w:lang w:eastAsia="es-MX"/>
              </w:rPr>
              <w:t xml:space="preserve"> con lo establecido en la LFTR</w:t>
            </w:r>
            <w:r w:rsidR="00BF326C">
              <w:rPr>
                <w:rFonts w:eastAsia="Times New Roman"/>
                <w:color w:val="000000"/>
                <w:lang w:eastAsia="es-MX"/>
              </w:rPr>
              <w:t xml:space="preserve"> y otros ordenamientos jurídicos</w:t>
            </w:r>
            <w:r w:rsidR="008F4235">
              <w:rPr>
                <w:rFonts w:eastAsia="Times New Roman"/>
                <w:color w:val="000000"/>
                <w:lang w:eastAsia="es-MX"/>
              </w:rPr>
              <w:t xml:space="preserve">, </w:t>
            </w:r>
            <w:r w:rsidR="001D7360">
              <w:rPr>
                <w:rFonts w:eastAsia="Times New Roman"/>
                <w:color w:val="000000"/>
                <w:lang w:eastAsia="es-MX"/>
              </w:rPr>
              <w:t>entre otras.</w:t>
            </w:r>
            <w:r w:rsidR="001D7360" w:rsidDel="001D7360">
              <w:rPr>
                <w:rFonts w:eastAsia="Times New Roman"/>
                <w:color w:val="000000"/>
                <w:lang w:eastAsia="es-MX"/>
              </w:rPr>
              <w:t xml:space="preserve"> </w:t>
            </w:r>
          </w:p>
        </w:tc>
      </w:tr>
      <w:tr w:rsidR="00F30CB9" w:rsidRPr="00DF5B3F" w14:paraId="645E7B8C" w14:textId="77777777" w:rsidTr="00090F4F">
        <w:trPr>
          <w:trHeight w:val="414"/>
        </w:trPr>
        <w:tc>
          <w:tcPr>
            <w:tcW w:w="8641" w:type="dxa"/>
            <w:gridSpan w:val="3"/>
            <w:shd w:val="clear" w:color="auto" w:fill="FFFFFF"/>
            <w:vAlign w:val="center"/>
          </w:tcPr>
          <w:p w14:paraId="645E7B8B" w14:textId="369FA928" w:rsidR="00F30CB9" w:rsidRPr="00DF67B4" w:rsidRDefault="00F30CB9" w:rsidP="00774FEC">
            <w:pPr>
              <w:spacing w:after="0" w:line="276" w:lineRule="auto"/>
              <w:rPr>
                <w:rFonts w:eastAsia="Times New Roman"/>
                <w:b/>
                <w:color w:val="000000"/>
                <w:lang w:eastAsia="es-MX"/>
              </w:rPr>
            </w:pPr>
            <w:r w:rsidRPr="001A5B2D">
              <w:rPr>
                <w:rFonts w:eastAsia="Times New Roman"/>
                <w:b/>
                <w:color w:val="000000"/>
                <w:szCs w:val="20"/>
                <w:lang w:eastAsia="es-MX"/>
              </w:rPr>
              <w:t>¿</w:t>
            </w:r>
            <w:r>
              <w:rPr>
                <w:rFonts w:eastAsia="Times New Roman"/>
                <w:b/>
                <w:color w:val="000000"/>
                <w:szCs w:val="20"/>
                <w:lang w:eastAsia="es-MX"/>
              </w:rPr>
              <w:t xml:space="preserve">Cuáles son los </w:t>
            </w:r>
            <w:r w:rsidR="004802CE">
              <w:rPr>
                <w:rFonts w:eastAsia="Times New Roman"/>
                <w:b/>
                <w:color w:val="000000"/>
                <w:szCs w:val="20"/>
                <w:lang w:eastAsia="es-MX"/>
              </w:rPr>
              <w:t xml:space="preserve">efectos </w:t>
            </w:r>
            <w:r>
              <w:rPr>
                <w:rFonts w:eastAsia="Times New Roman"/>
                <w:b/>
                <w:color w:val="000000"/>
                <w:szCs w:val="20"/>
                <w:lang w:eastAsia="es-MX"/>
              </w:rPr>
              <w:t>que las medidas de interconexión 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774FEC">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CE2EC2" w:rsidRPr="00DF5B3F" w14:paraId="645E7B8E" w14:textId="77777777" w:rsidTr="00090F4F">
        <w:trPr>
          <w:trHeight w:val="414"/>
        </w:trPr>
        <w:tc>
          <w:tcPr>
            <w:tcW w:w="8641" w:type="dxa"/>
            <w:gridSpan w:val="3"/>
            <w:shd w:val="clear" w:color="auto" w:fill="FFFFFF"/>
            <w:vAlign w:val="center"/>
          </w:tcPr>
          <w:p w14:paraId="645E7B8D" w14:textId="77777777" w:rsidR="00CE2EC2" w:rsidRPr="001A5B2D" w:rsidRDefault="00CE2EC2" w:rsidP="00F30CB9">
            <w:pPr>
              <w:spacing w:after="0" w:line="276" w:lineRule="auto"/>
              <w:rPr>
                <w:rFonts w:eastAsia="Times New Roman"/>
                <w:b/>
                <w:color w:val="000000"/>
                <w:szCs w:val="20"/>
                <w:lang w:eastAsia="es-MX"/>
              </w:rPr>
            </w:pPr>
          </w:p>
        </w:tc>
      </w:tr>
      <w:tr w:rsidR="004802CE" w:rsidRPr="00DF5B3F" w14:paraId="645E7B91" w14:textId="77777777" w:rsidTr="00C355B5">
        <w:trPr>
          <w:trHeight w:val="414"/>
        </w:trPr>
        <w:tc>
          <w:tcPr>
            <w:tcW w:w="3047" w:type="dxa"/>
            <w:gridSpan w:val="2"/>
            <w:shd w:val="clear" w:color="auto" w:fill="FFFFFF"/>
            <w:vAlign w:val="center"/>
          </w:tcPr>
          <w:p w14:paraId="645E7B8F" w14:textId="77777777" w:rsidR="004802CE" w:rsidRPr="00F30CB9" w:rsidRDefault="004802CE" w:rsidP="004802CE">
            <w:pPr>
              <w:rPr>
                <w:b/>
              </w:rPr>
            </w:pPr>
            <w:r w:rsidRPr="0075473C">
              <w:rPr>
                <w:rFonts w:eastAsia="Times New Roman"/>
                <w:color w:val="000000"/>
                <w:szCs w:val="20"/>
                <w:lang w:eastAsia="es-MX"/>
              </w:rPr>
              <w:t xml:space="preserve">Liste los documentos asociados </w:t>
            </w:r>
            <w:r w:rsidRPr="00E84619">
              <w:rPr>
                <w:rFonts w:eastAsia="Times New Roman"/>
                <w:color w:val="000000"/>
                <w:szCs w:val="20"/>
                <w:lang w:eastAsia="es-MX"/>
              </w:rPr>
              <w:t>a</w:t>
            </w:r>
            <w:r w:rsidRPr="0075473C">
              <w:rPr>
                <w:rFonts w:eastAsia="Times New Roman"/>
                <w:color w:val="000000"/>
                <w:szCs w:val="20"/>
                <w:lang w:eastAsia="es-MX"/>
              </w:rPr>
              <w:t xml:space="preserve"> los comentarios manifestados</w:t>
            </w:r>
            <w:r>
              <w:rPr>
                <w:rFonts w:eastAsia="Times New Roman"/>
                <w:color w:val="000000"/>
                <w:szCs w:val="20"/>
                <w:lang w:eastAsia="es-MX"/>
              </w:rPr>
              <w:t>:</w:t>
            </w:r>
            <w:r w:rsidRPr="0075473C" w:rsidDel="00934B06">
              <w:rPr>
                <w:rFonts w:eastAsia="Times New Roman"/>
                <w:color w:val="000000"/>
                <w:szCs w:val="20"/>
                <w:lang w:eastAsia="es-MX"/>
              </w:rPr>
              <w:t xml:space="preserve"> </w:t>
            </w:r>
          </w:p>
        </w:tc>
        <w:tc>
          <w:tcPr>
            <w:tcW w:w="5594" w:type="dxa"/>
            <w:shd w:val="clear" w:color="auto" w:fill="FFFFFF"/>
            <w:vAlign w:val="center"/>
          </w:tcPr>
          <w:p w14:paraId="645E7B90" w14:textId="77777777" w:rsidR="004802CE" w:rsidRPr="00F30CB9" w:rsidRDefault="004802CE" w:rsidP="004802CE">
            <w:pPr>
              <w:rPr>
                <w:b/>
              </w:rPr>
            </w:pPr>
            <w:r w:rsidRPr="00D3612D">
              <w:rPr>
                <w:rFonts w:eastAsia="Times New Roman"/>
                <w:color w:val="7F7F7F" w:themeColor="text1" w:themeTint="80"/>
                <w:lang w:eastAsia="es-MX"/>
              </w:rPr>
              <w:t>[Indique nombre, sección y páginas del documento]</w:t>
            </w:r>
          </w:p>
        </w:tc>
      </w:tr>
      <w:tr w:rsidR="004802CE" w:rsidRPr="00DF5B3F" w14:paraId="645E7B93" w14:textId="77777777" w:rsidTr="00090F4F">
        <w:trPr>
          <w:trHeight w:val="414"/>
        </w:trPr>
        <w:tc>
          <w:tcPr>
            <w:tcW w:w="8641" w:type="dxa"/>
            <w:gridSpan w:val="3"/>
            <w:shd w:val="clear" w:color="auto" w:fill="FFFFFF"/>
            <w:vAlign w:val="center"/>
          </w:tcPr>
          <w:p w14:paraId="645E7B92" w14:textId="789EE458"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774FEC">
              <w:rPr>
                <w:rFonts w:eastAsia="Times New Roman"/>
                <w:b/>
                <w:color w:val="000000"/>
                <w:szCs w:val="20"/>
                <w:lang w:eastAsia="es-MX"/>
              </w:rPr>
              <w:t>En qué grado considera que</w:t>
            </w:r>
            <w:r w:rsidRPr="001A5B2D">
              <w:rPr>
                <w:rFonts w:eastAsia="Times New Roman"/>
                <w:b/>
                <w:color w:val="000000"/>
                <w:szCs w:val="20"/>
                <w:lang w:eastAsia="es-MX"/>
              </w:rPr>
              <w:t xml:space="preserv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B95" w14:textId="77777777" w:rsidTr="00090F4F">
        <w:trPr>
          <w:trHeight w:val="414"/>
        </w:trPr>
        <w:tc>
          <w:tcPr>
            <w:tcW w:w="8641" w:type="dxa"/>
            <w:gridSpan w:val="3"/>
            <w:shd w:val="clear" w:color="auto" w:fill="FFFFFF"/>
            <w:vAlign w:val="center"/>
          </w:tcPr>
          <w:p w14:paraId="645E7B94"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98" w14:textId="77777777" w:rsidTr="00C355B5">
        <w:trPr>
          <w:trHeight w:val="414"/>
        </w:trPr>
        <w:tc>
          <w:tcPr>
            <w:tcW w:w="3047" w:type="dxa"/>
            <w:gridSpan w:val="2"/>
            <w:shd w:val="clear" w:color="auto" w:fill="FFFFFF"/>
            <w:vAlign w:val="center"/>
          </w:tcPr>
          <w:p w14:paraId="645E7B96"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97" w14:textId="77777777" w:rsidR="004802CE" w:rsidRPr="00F30CB9" w:rsidRDefault="004802CE" w:rsidP="004802CE">
            <w:pPr>
              <w:rPr>
                <w:b/>
              </w:rPr>
            </w:pPr>
            <w:r w:rsidRPr="00D3612D">
              <w:rPr>
                <w:rFonts w:eastAsia="Times New Roman"/>
                <w:color w:val="7F7F7F" w:themeColor="text1" w:themeTint="80"/>
                <w:lang w:eastAsia="es-MX"/>
              </w:rPr>
              <w:t>[Indique nombre, sección y páginas del documento]</w:t>
            </w:r>
          </w:p>
        </w:tc>
      </w:tr>
      <w:tr w:rsidR="004802CE" w:rsidRPr="00DF5B3F" w14:paraId="645E7B9A" w14:textId="77777777" w:rsidTr="00090F4F">
        <w:trPr>
          <w:trHeight w:val="414"/>
        </w:trPr>
        <w:tc>
          <w:tcPr>
            <w:tcW w:w="8641" w:type="dxa"/>
            <w:gridSpan w:val="3"/>
            <w:shd w:val="clear" w:color="auto" w:fill="FFFFFF"/>
            <w:vAlign w:val="center"/>
          </w:tcPr>
          <w:p w14:paraId="645E7B99" w14:textId="736C24E3"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lastRenderedPageBreak/>
              <w:t>¿</w:t>
            </w:r>
            <w:r w:rsidR="00774FEC">
              <w:rPr>
                <w:rFonts w:eastAsia="Times New Roman"/>
                <w:b/>
                <w:color w:val="000000"/>
                <w:szCs w:val="20"/>
                <w:lang w:eastAsia="es-MX"/>
              </w:rPr>
              <w:t>En qué grado considera que</w:t>
            </w:r>
            <w:r w:rsidRPr="001A5B2D">
              <w:rPr>
                <w:rFonts w:eastAsia="Times New Roman"/>
                <w:b/>
                <w:color w:val="000000"/>
                <w:szCs w:val="20"/>
                <w:lang w:eastAsia="es-MX"/>
              </w:rPr>
              <w:t xml:space="preserve"> </w:t>
            </w:r>
            <w:r>
              <w:rPr>
                <w:rFonts w:eastAsia="Times New Roman"/>
                <w:b/>
                <w:color w:val="000000"/>
                <w:szCs w:val="20"/>
                <w:lang w:eastAsia="es-MX"/>
              </w:rPr>
              <w:t xml:space="preserve">las acciones </w:t>
            </w:r>
            <w:r w:rsidR="000E4172">
              <w:rPr>
                <w:rFonts w:eastAsia="Times New Roman"/>
                <w:b/>
                <w:color w:val="000000"/>
                <w:szCs w:val="20"/>
                <w:lang w:eastAsia="es-MX"/>
              </w:rPr>
              <w:t xml:space="preserve">y/o instrumentos </w:t>
            </w:r>
            <w:r>
              <w:rPr>
                <w:rFonts w:eastAsia="Times New Roman"/>
                <w:b/>
                <w:color w:val="000000"/>
                <w:szCs w:val="20"/>
                <w:lang w:eastAsia="es-MX"/>
              </w:rPr>
              <w:t xml:space="preserve">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802CE" w:rsidRPr="00DF5B3F" w14:paraId="645E7B9C" w14:textId="77777777" w:rsidTr="00090F4F">
        <w:trPr>
          <w:trHeight w:val="414"/>
        </w:trPr>
        <w:tc>
          <w:tcPr>
            <w:tcW w:w="8641" w:type="dxa"/>
            <w:gridSpan w:val="3"/>
            <w:shd w:val="clear" w:color="auto" w:fill="FFFFFF"/>
            <w:vAlign w:val="center"/>
          </w:tcPr>
          <w:p w14:paraId="645E7B9B"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9F" w14:textId="77777777" w:rsidTr="00C355B5">
        <w:trPr>
          <w:trHeight w:val="414"/>
        </w:trPr>
        <w:tc>
          <w:tcPr>
            <w:tcW w:w="3047" w:type="dxa"/>
            <w:gridSpan w:val="2"/>
            <w:shd w:val="clear" w:color="auto" w:fill="FFFFFF"/>
            <w:vAlign w:val="center"/>
          </w:tcPr>
          <w:p w14:paraId="645E7B9D"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9E" w14:textId="77777777" w:rsidR="004802CE" w:rsidRPr="00F30CB9" w:rsidRDefault="004802CE" w:rsidP="004802CE">
            <w:pPr>
              <w:rPr>
                <w:b/>
              </w:rPr>
            </w:pPr>
            <w:r w:rsidRPr="00D3612D">
              <w:rPr>
                <w:rFonts w:eastAsia="Times New Roman"/>
                <w:color w:val="7F7F7F" w:themeColor="text1" w:themeTint="80"/>
                <w:lang w:eastAsia="es-MX"/>
              </w:rPr>
              <w:t>[Indique nombre, sección y páginas del documento]</w:t>
            </w:r>
          </w:p>
        </w:tc>
      </w:tr>
      <w:tr w:rsidR="00B51596" w:rsidRPr="00DF5B3F" w14:paraId="50C34025" w14:textId="77777777" w:rsidTr="00B65683">
        <w:trPr>
          <w:trHeight w:val="414"/>
        </w:trPr>
        <w:tc>
          <w:tcPr>
            <w:tcW w:w="8641" w:type="dxa"/>
            <w:gridSpan w:val="3"/>
            <w:shd w:val="clear" w:color="auto" w:fill="FFFFFF"/>
            <w:vAlign w:val="center"/>
          </w:tcPr>
          <w:p w14:paraId="0F84D248" w14:textId="7E010CB3" w:rsidR="00CB2227" w:rsidRDefault="00CB2227" w:rsidP="000E33DE">
            <w:pPr>
              <w:rPr>
                <w:rFonts w:eastAsia="Times New Roman"/>
                <w:b/>
                <w:color w:val="000000"/>
                <w:szCs w:val="20"/>
                <w:lang w:eastAsia="es-MX"/>
              </w:rPr>
            </w:pPr>
            <w:r>
              <w:rPr>
                <w:rFonts w:eastAsia="Times New Roman"/>
                <w:b/>
                <w:color w:val="000000"/>
                <w:szCs w:val="20"/>
                <w:lang w:eastAsia="es-MX"/>
              </w:rPr>
              <w:t>En caso de contar</w:t>
            </w:r>
            <w:r w:rsidR="0038337E" w:rsidRPr="0038337E">
              <w:rPr>
                <w:rFonts w:eastAsia="Times New Roman"/>
                <w:b/>
                <w:color w:val="000000"/>
                <w:szCs w:val="20"/>
                <w:lang w:eastAsia="es-MX"/>
              </w:rPr>
              <w:t xml:space="preserve"> con una propuesta </w:t>
            </w:r>
            <w:r w:rsidR="0038337E">
              <w:rPr>
                <w:rFonts w:eastAsia="Times New Roman"/>
                <w:b/>
                <w:color w:val="000000"/>
                <w:szCs w:val="20"/>
                <w:lang w:eastAsia="es-MX"/>
              </w:rPr>
              <w:t>específica</w:t>
            </w:r>
            <w:r w:rsidR="0038337E" w:rsidRPr="0038337E">
              <w:rPr>
                <w:rFonts w:eastAsia="Times New Roman"/>
                <w:b/>
                <w:color w:val="000000"/>
                <w:szCs w:val="20"/>
                <w:lang w:eastAsia="es-MX"/>
              </w:rPr>
              <w:t xml:space="preserve"> sobre </w:t>
            </w:r>
            <w:r w:rsidR="0038337E">
              <w:rPr>
                <w:rFonts w:eastAsia="Times New Roman"/>
                <w:b/>
                <w:color w:val="000000"/>
                <w:szCs w:val="20"/>
                <w:lang w:eastAsia="es-MX"/>
              </w:rPr>
              <w:t xml:space="preserve">alguna de </w:t>
            </w:r>
            <w:r w:rsidR="0038337E" w:rsidRPr="0038337E">
              <w:rPr>
                <w:rFonts w:eastAsia="Times New Roman"/>
                <w:b/>
                <w:color w:val="000000"/>
                <w:szCs w:val="20"/>
                <w:lang w:eastAsia="es-MX"/>
              </w:rPr>
              <w:t xml:space="preserve">las medidas relacionadas con </w:t>
            </w:r>
            <w:r w:rsidR="000E33DE">
              <w:rPr>
                <w:rFonts w:eastAsia="Times New Roman"/>
                <w:b/>
                <w:color w:val="000000"/>
                <w:szCs w:val="20"/>
                <w:lang w:eastAsia="es-MX"/>
              </w:rPr>
              <w:t>Interconexión</w:t>
            </w:r>
            <w:r>
              <w:rPr>
                <w:rFonts w:eastAsia="Times New Roman"/>
                <w:b/>
                <w:color w:val="000000"/>
                <w:szCs w:val="20"/>
                <w:lang w:eastAsia="es-MX"/>
              </w:rPr>
              <w:t xml:space="preserve">, </w:t>
            </w:r>
            <w:r w:rsidR="000C12A7">
              <w:rPr>
                <w:rFonts w:eastAsia="Times New Roman"/>
                <w:b/>
                <w:color w:val="000000"/>
                <w:szCs w:val="20"/>
                <w:lang w:eastAsia="es-MX"/>
              </w:rPr>
              <w:t>deberá indicarla.</w:t>
            </w:r>
          </w:p>
          <w:p w14:paraId="2A351068" w14:textId="3A58C534" w:rsidR="00B51596" w:rsidRPr="00240D9F" w:rsidRDefault="00CB2227" w:rsidP="00CB2227">
            <w:pPr>
              <w:rPr>
                <w:rFonts w:eastAsia="Times New Roman"/>
                <w:color w:val="000000"/>
                <w:sz w:val="16"/>
                <w:szCs w:val="16"/>
                <w:lang w:eastAsia="es-MX"/>
              </w:rPr>
            </w:pPr>
            <w:r w:rsidRPr="00240D9F">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B51596" w:rsidRPr="00DF5B3F" w14:paraId="3123D8D2" w14:textId="77777777" w:rsidTr="003275BD">
        <w:trPr>
          <w:trHeight w:val="414"/>
        </w:trPr>
        <w:tc>
          <w:tcPr>
            <w:tcW w:w="3047" w:type="dxa"/>
            <w:gridSpan w:val="2"/>
            <w:shd w:val="clear" w:color="auto" w:fill="FFFFFF"/>
          </w:tcPr>
          <w:p w14:paraId="21846BC6" w14:textId="30935276" w:rsidR="00B51596" w:rsidRPr="00BF5F1E" w:rsidRDefault="00B51596" w:rsidP="00411CCC">
            <w:pPr>
              <w:jc w:val="center"/>
              <w:rPr>
                <w:rFonts w:eastAsia="Times New Roman"/>
                <w:color w:val="7F7F7F" w:themeColor="text1" w:themeTint="80"/>
                <w:lang w:eastAsia="es-MX"/>
              </w:rPr>
            </w:pPr>
            <w:r w:rsidRPr="00BF5F1E">
              <w:rPr>
                <w:rFonts w:eastAsia="Times New Roman"/>
                <w:color w:val="7F7F7F" w:themeColor="text1" w:themeTint="80"/>
                <w:lang w:eastAsia="es-MX"/>
              </w:rPr>
              <w:t>[Indique medida]</w:t>
            </w:r>
          </w:p>
        </w:tc>
        <w:tc>
          <w:tcPr>
            <w:tcW w:w="5594" w:type="dxa"/>
            <w:shd w:val="clear" w:color="auto" w:fill="FFFFFF"/>
          </w:tcPr>
          <w:p w14:paraId="70275CE6" w14:textId="10539EA9" w:rsidR="00B51596" w:rsidRDefault="00D4784F" w:rsidP="003275BD">
            <w:pPr>
              <w:jc w:val="center"/>
              <w:rPr>
                <w:rFonts w:eastAsia="Times New Roman"/>
                <w:color w:val="7F7F7F" w:themeColor="text1" w:themeTint="80"/>
                <w:lang w:eastAsia="es-MX"/>
              </w:rPr>
            </w:pPr>
            <w:r w:rsidRPr="00BF5F1E">
              <w:rPr>
                <w:rFonts w:eastAsia="Times New Roman"/>
                <w:color w:val="7F7F7F" w:themeColor="text1" w:themeTint="80"/>
                <w:lang w:eastAsia="es-MX"/>
              </w:rPr>
              <w:t>[Señale la propuesta]</w:t>
            </w:r>
          </w:p>
        </w:tc>
      </w:tr>
      <w:tr w:rsidR="0038337E" w:rsidRPr="00DF5B3F" w14:paraId="15545C3D" w14:textId="77777777" w:rsidTr="00C355B5">
        <w:trPr>
          <w:trHeight w:val="414"/>
        </w:trPr>
        <w:tc>
          <w:tcPr>
            <w:tcW w:w="3047" w:type="dxa"/>
            <w:gridSpan w:val="2"/>
            <w:shd w:val="clear" w:color="auto" w:fill="FFFFFF"/>
            <w:vAlign w:val="center"/>
          </w:tcPr>
          <w:p w14:paraId="555A2B19" w14:textId="49BE2188" w:rsidR="0038337E" w:rsidRDefault="0038337E" w:rsidP="00411CCC">
            <w:pPr>
              <w:jc w:val="center"/>
              <w:rPr>
                <w:rFonts w:eastAsia="Times New Roman"/>
                <w:color w:val="7F7F7F" w:themeColor="text1" w:themeTint="8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shd w:val="clear" w:color="auto" w:fill="FFFFFF"/>
            <w:vAlign w:val="center"/>
          </w:tcPr>
          <w:p w14:paraId="7F3452AB" w14:textId="36B7F1A5" w:rsidR="0038337E" w:rsidRDefault="0038337E" w:rsidP="003275BD">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r w:rsidR="004802CE" w:rsidRPr="00DF5B3F" w14:paraId="645E7BA7" w14:textId="77777777" w:rsidTr="00B51596">
        <w:trPr>
          <w:trHeight w:val="414"/>
        </w:trPr>
        <w:tc>
          <w:tcPr>
            <w:tcW w:w="1754" w:type="dxa"/>
            <w:shd w:val="clear" w:color="auto" w:fill="C5E0B3"/>
            <w:vAlign w:val="center"/>
          </w:tcPr>
          <w:p w14:paraId="645E7BA0" w14:textId="426A5F06" w:rsidR="004802CE" w:rsidRDefault="004802CE" w:rsidP="004802CE">
            <w:pPr>
              <w:spacing w:after="0" w:line="276" w:lineRule="auto"/>
              <w:jc w:val="center"/>
              <w:rPr>
                <w:rFonts w:eastAsia="Times New Roman"/>
                <w:b/>
                <w:color w:val="000000"/>
                <w:lang w:eastAsia="es-MX"/>
              </w:rPr>
            </w:pPr>
            <w:r w:rsidRPr="00D26916">
              <w:rPr>
                <w:rFonts w:eastAsia="Times New Roman"/>
                <w:b/>
                <w:color w:val="000000"/>
                <w:lang w:eastAsia="es-MX"/>
              </w:rPr>
              <w:t xml:space="preserve">Medidas referentes a </w:t>
            </w:r>
            <w:r>
              <w:rPr>
                <w:rFonts w:eastAsia="Times New Roman"/>
                <w:b/>
                <w:color w:val="000000"/>
                <w:lang w:eastAsia="es-MX"/>
              </w:rPr>
              <w:t>Operadores Móviles virtuales</w:t>
            </w:r>
            <w:r w:rsidR="00897511">
              <w:rPr>
                <w:rFonts w:eastAsia="Times New Roman"/>
                <w:b/>
                <w:color w:val="000000"/>
                <w:lang w:eastAsia="es-MX"/>
              </w:rPr>
              <w:t xml:space="preserve"> (OMV)</w:t>
            </w:r>
          </w:p>
          <w:p w14:paraId="645E7BA1" w14:textId="77777777" w:rsidR="00A9464D" w:rsidRDefault="00A9464D" w:rsidP="004802CE">
            <w:pPr>
              <w:spacing w:after="0" w:line="276" w:lineRule="auto"/>
              <w:jc w:val="center"/>
              <w:rPr>
                <w:rFonts w:eastAsia="Times New Roman"/>
                <w:b/>
                <w:color w:val="000000"/>
                <w:lang w:eastAsia="es-MX"/>
              </w:rPr>
            </w:pPr>
          </w:p>
          <w:p w14:paraId="645E7BA2" w14:textId="77777777" w:rsidR="004802CE" w:rsidRPr="00D26916" w:rsidRDefault="004802CE" w:rsidP="004802CE">
            <w:pPr>
              <w:spacing w:after="0" w:line="276" w:lineRule="auto"/>
              <w:jc w:val="center"/>
              <w:rPr>
                <w:rFonts w:eastAsia="Times New Roman"/>
                <w:b/>
                <w:color w:val="000000"/>
                <w:lang w:eastAsia="es-MX"/>
              </w:rPr>
            </w:pPr>
            <w:r>
              <w:rPr>
                <w:rFonts w:eastAsia="Times New Roman"/>
                <w:b/>
                <w:color w:val="000000"/>
                <w:lang w:eastAsia="es-MX"/>
              </w:rPr>
              <w:t xml:space="preserve">Anexo 1: </w:t>
            </w:r>
            <w:r w:rsidR="00304F09">
              <w:t xml:space="preserve"> </w:t>
            </w:r>
            <w:r w:rsidR="00304F09" w:rsidRPr="00304F09">
              <w:rPr>
                <w:rFonts w:eastAsia="Times New Roman"/>
                <w:b/>
                <w:color w:val="000000"/>
                <w:lang w:eastAsia="es-MX"/>
              </w:rPr>
              <w:t>13, 14, 16, 17,</w:t>
            </w:r>
            <w:r w:rsidR="00304F09">
              <w:rPr>
                <w:rFonts w:eastAsia="Times New Roman"/>
                <w:b/>
                <w:color w:val="000000"/>
                <w:lang w:eastAsia="es-MX"/>
              </w:rPr>
              <w:t xml:space="preserve"> 18, 19, 20, 21, 28, 29, 61, 73 y</w:t>
            </w:r>
            <w:r w:rsidR="00304F09" w:rsidRPr="00304F09">
              <w:rPr>
                <w:rFonts w:eastAsia="Times New Roman"/>
                <w:b/>
                <w:color w:val="000000"/>
                <w:lang w:eastAsia="es-MX"/>
              </w:rPr>
              <w:t xml:space="preserve"> 75</w:t>
            </w:r>
            <w:r>
              <w:rPr>
                <w:rFonts w:eastAsia="Times New Roman"/>
                <w:b/>
                <w:color w:val="000000"/>
                <w:lang w:eastAsia="es-MX"/>
              </w:rPr>
              <w:t>.</w:t>
            </w:r>
          </w:p>
        </w:tc>
        <w:tc>
          <w:tcPr>
            <w:tcW w:w="6887" w:type="dxa"/>
            <w:gridSpan w:val="2"/>
            <w:shd w:val="clear" w:color="auto" w:fill="C5E0B3"/>
            <w:vAlign w:val="center"/>
          </w:tcPr>
          <w:p w14:paraId="645E7BA3" w14:textId="77777777" w:rsidR="004802CE" w:rsidRPr="00DF67B4" w:rsidRDefault="004802CE" w:rsidP="004802CE">
            <w:pPr>
              <w:spacing w:after="0" w:line="276" w:lineRule="auto"/>
              <w:rPr>
                <w:rFonts w:eastAsia="Times New Roman"/>
                <w:b/>
                <w:color w:val="000000"/>
                <w:lang w:eastAsia="es-MX"/>
              </w:rPr>
            </w:pPr>
            <w:r w:rsidRPr="00867813">
              <w:rPr>
                <w:rFonts w:eastAsia="Times New Roman"/>
                <w:b/>
                <w:color w:val="000000"/>
                <w:lang w:eastAsia="es-MX"/>
              </w:rPr>
              <w:t xml:space="preserve">Objetivos </w:t>
            </w:r>
            <w:r w:rsidR="00AA6185" w:rsidRPr="00867813">
              <w:rPr>
                <w:rFonts w:eastAsia="Times New Roman"/>
                <w:b/>
                <w:color w:val="000000"/>
                <w:lang w:eastAsia="es-MX"/>
              </w:rPr>
              <w:t>g</w:t>
            </w:r>
            <w:r w:rsidR="00B5425A" w:rsidRPr="00867813">
              <w:rPr>
                <w:rFonts w:eastAsia="Times New Roman"/>
                <w:b/>
                <w:color w:val="000000"/>
                <w:lang w:eastAsia="es-MX"/>
              </w:rPr>
              <w:t>enerales</w:t>
            </w:r>
            <w:r w:rsidRPr="00DF67B4">
              <w:rPr>
                <w:rFonts w:eastAsia="Times New Roman"/>
                <w:b/>
                <w:color w:val="000000"/>
                <w:lang w:eastAsia="es-MX"/>
              </w:rPr>
              <w:t xml:space="preserve">: </w:t>
            </w:r>
          </w:p>
          <w:p w14:paraId="645E7BA4" w14:textId="77777777" w:rsidR="00F83305" w:rsidRDefault="00F83305" w:rsidP="004802CE">
            <w:pPr>
              <w:numPr>
                <w:ilvl w:val="0"/>
                <w:numId w:val="12"/>
              </w:numPr>
              <w:spacing w:after="0" w:line="276" w:lineRule="auto"/>
              <w:rPr>
                <w:rFonts w:eastAsia="Times New Roman"/>
                <w:color w:val="000000"/>
                <w:lang w:eastAsia="es-MX"/>
              </w:rPr>
            </w:pPr>
            <w:r w:rsidRPr="00F83305">
              <w:rPr>
                <w:rFonts w:eastAsia="Times New Roman"/>
                <w:color w:val="000000"/>
                <w:lang w:eastAsia="es-MX"/>
              </w:rPr>
              <w:t>Reducir o eliminar barreras a la entrada y la expansión de participantes distintos al AEPT</w:t>
            </w:r>
            <w:r>
              <w:rPr>
                <w:rFonts w:eastAsia="Times New Roman"/>
                <w:color w:val="000000"/>
                <w:lang w:eastAsia="es-MX"/>
              </w:rPr>
              <w:t>.</w:t>
            </w:r>
          </w:p>
          <w:p w14:paraId="645E7BA5" w14:textId="77777777" w:rsidR="00867813" w:rsidRDefault="005D66E7" w:rsidP="00B213DF">
            <w:pPr>
              <w:numPr>
                <w:ilvl w:val="0"/>
                <w:numId w:val="12"/>
              </w:numPr>
              <w:spacing w:after="0" w:line="276" w:lineRule="auto"/>
              <w:rPr>
                <w:rFonts w:eastAsia="Times New Roman"/>
                <w:color w:val="000000"/>
                <w:lang w:eastAsia="es-MX"/>
              </w:rPr>
            </w:pPr>
            <w:r w:rsidRPr="005D66E7">
              <w:rPr>
                <w:rFonts w:eastAsia="Times New Roman"/>
                <w:color w:val="000000"/>
                <w:lang w:eastAsia="es-MX"/>
              </w:rPr>
              <w:t xml:space="preserve">Remediar y prevenir condiciones y conductas con efectos que no favorezcan la competencia y libre concurrencia. </w:t>
            </w:r>
          </w:p>
          <w:p w14:paraId="645E7BA6" w14:textId="77777777" w:rsidR="004802CE" w:rsidRPr="00867813" w:rsidRDefault="00F83305" w:rsidP="00867813">
            <w:pPr>
              <w:numPr>
                <w:ilvl w:val="0"/>
                <w:numId w:val="12"/>
              </w:numPr>
              <w:spacing w:after="0" w:line="276" w:lineRule="auto"/>
              <w:rPr>
                <w:rFonts w:eastAsia="Times New Roman"/>
                <w:color w:val="000000"/>
                <w:lang w:eastAsia="es-MX"/>
              </w:rPr>
            </w:pPr>
            <w:r w:rsidRPr="00867813">
              <w:rPr>
                <w:rFonts w:ascii="ITC Avant Garde" w:hAnsi="ITC Avant Garde"/>
              </w:rPr>
              <w:t xml:space="preserve">Disminuir </w:t>
            </w:r>
            <w:r w:rsidR="005D66E7" w:rsidRPr="00867813">
              <w:rPr>
                <w:rFonts w:eastAsia="Times New Roman"/>
                <w:color w:val="000000"/>
                <w:lang w:eastAsia="es-MX"/>
              </w:rPr>
              <w:t xml:space="preserve">los </w:t>
            </w:r>
            <w:r w:rsidRPr="00867813">
              <w:rPr>
                <w:rFonts w:ascii="ITC Avant Garde" w:hAnsi="ITC Avant Garde"/>
              </w:rPr>
              <w:t xml:space="preserve">costos de </w:t>
            </w:r>
            <w:r w:rsidR="00442425" w:rsidRPr="00867813" w:rsidDel="00A31A6A">
              <w:rPr>
                <w:rFonts w:eastAsia="Times New Roman"/>
                <w:color w:val="000000"/>
                <w:lang w:eastAsia="es-MX"/>
              </w:rPr>
              <w:t>transacción</w:t>
            </w:r>
            <w:r w:rsidR="00EF2911" w:rsidRPr="00867813">
              <w:rPr>
                <w:rFonts w:eastAsia="Times New Roman"/>
                <w:color w:val="000000"/>
                <w:lang w:eastAsia="es-MX"/>
              </w:rPr>
              <w:t>.</w:t>
            </w:r>
            <w:r w:rsidR="004802CE" w:rsidRPr="00867813">
              <w:rPr>
                <w:rFonts w:eastAsia="Times New Roman" w:cs="Arial"/>
                <w:bCs/>
                <w:color w:val="000000"/>
              </w:rPr>
              <w:t xml:space="preserve"> </w:t>
            </w:r>
          </w:p>
        </w:tc>
      </w:tr>
      <w:tr w:rsidR="004802CE" w:rsidRPr="00DF5B3F" w14:paraId="645E7BAD" w14:textId="77777777" w:rsidTr="00090F4F">
        <w:trPr>
          <w:trHeight w:val="414"/>
        </w:trPr>
        <w:tc>
          <w:tcPr>
            <w:tcW w:w="8641" w:type="dxa"/>
            <w:gridSpan w:val="3"/>
            <w:shd w:val="clear" w:color="auto" w:fill="FFFFFF"/>
            <w:vAlign w:val="center"/>
          </w:tcPr>
          <w:p w14:paraId="645E7BA8" w14:textId="77777777" w:rsidR="004802CE" w:rsidRPr="00F30CB9" w:rsidRDefault="007D23B9" w:rsidP="004802CE">
            <w:pPr>
              <w:rPr>
                <w:b/>
              </w:rPr>
            </w:pPr>
            <w:r>
              <w:rPr>
                <w:b/>
              </w:rPr>
              <w:t>Contexto</w:t>
            </w:r>
            <w:r w:rsidR="004802CE" w:rsidRPr="00F30CB9">
              <w:rPr>
                <w:b/>
              </w:rPr>
              <w:t>:</w:t>
            </w:r>
          </w:p>
          <w:p w14:paraId="645E7BA9" w14:textId="16D00C15" w:rsidR="006E6053" w:rsidRDefault="006E6053" w:rsidP="004802CE">
            <w:r>
              <w:t>Los OMV constituyen una figura que permite dinamizar el sector acercando los beneficios de la competencia en segmentos que no estaban siendo atendidos por los operadores tradicionales, así como enfocarse en nichos específicos de usuarios, haciendo us</w:t>
            </w:r>
            <w:r w:rsidR="005B2A76">
              <w:t>o</w:t>
            </w:r>
            <w:r>
              <w:t xml:space="preserve"> de la infraestructura y/o espectro de los operadores de red.</w:t>
            </w:r>
          </w:p>
          <w:p w14:paraId="645E7BAA" w14:textId="77777777" w:rsidR="00311709" w:rsidRDefault="008E76A6" w:rsidP="004802CE">
            <w:pPr>
              <w:rPr>
                <w:b/>
              </w:rPr>
            </w:pPr>
            <w:r w:rsidRPr="00A9464D">
              <w:rPr>
                <w:b/>
              </w:rPr>
              <w:t>R</w:t>
            </w:r>
            <w:r w:rsidR="00311709" w:rsidRPr="00A9464D">
              <w:rPr>
                <w:b/>
              </w:rPr>
              <w:t>e</w:t>
            </w:r>
            <w:r w:rsidR="00311709" w:rsidRPr="006E6053">
              <w:rPr>
                <w:b/>
              </w:rPr>
              <w:t>sumen</w:t>
            </w:r>
            <w:r w:rsidR="00311709">
              <w:rPr>
                <w:b/>
              </w:rPr>
              <w:t xml:space="preserve"> de las medidas impuestas:</w:t>
            </w:r>
          </w:p>
          <w:p w14:paraId="645E7BAB" w14:textId="466C3F98" w:rsidR="00311709" w:rsidRDefault="00311709" w:rsidP="00E83986">
            <w:pPr>
              <w:rPr>
                <w:rFonts w:eastAsia="Times New Roman"/>
                <w:color w:val="000000"/>
                <w:lang w:eastAsia="es-MX"/>
              </w:rPr>
            </w:pPr>
            <w:r>
              <w:t>El Instituto impuso medidas al AEPT referentes a proveer el servicio mayorista de comercialización o reventa de servicios móviles</w:t>
            </w:r>
            <w:r w:rsidR="00E83986">
              <w:t xml:space="preserve"> (incluidos los equipos terminales o las SIM)</w:t>
            </w:r>
            <w:r>
              <w:rPr>
                <w:rFonts w:eastAsia="Times New Roman"/>
                <w:color w:val="000000"/>
                <w:lang w:eastAsia="es-MX"/>
              </w:rPr>
              <w:t>, publicar una oferta de referencia</w:t>
            </w:r>
            <w:r w:rsidRPr="0056118B">
              <w:rPr>
                <w:rFonts w:eastAsia="Times New Roman"/>
                <w:color w:val="000000"/>
                <w:lang w:eastAsia="es-MX"/>
              </w:rPr>
              <w:t xml:space="preserve">, </w:t>
            </w:r>
            <w:r>
              <w:rPr>
                <w:rFonts w:eastAsia="Times New Roman"/>
                <w:color w:val="000000"/>
                <w:lang w:eastAsia="es-MX"/>
              </w:rPr>
              <w:t>suscribir</w:t>
            </w:r>
            <w:r w:rsidRPr="0056118B">
              <w:rPr>
                <w:rFonts w:eastAsia="Times New Roman"/>
                <w:color w:val="000000"/>
                <w:lang w:eastAsia="es-MX"/>
              </w:rPr>
              <w:t xml:space="preserve"> convenios,</w:t>
            </w:r>
            <w:r w:rsidRPr="0056118B" w:rsidDel="00787054">
              <w:rPr>
                <w:rFonts w:eastAsia="Times New Roman"/>
                <w:color w:val="000000"/>
                <w:lang w:eastAsia="es-MX"/>
              </w:rPr>
              <w:t xml:space="preserve"> </w:t>
            </w:r>
            <w:r w:rsidDel="008932C8">
              <w:rPr>
                <w:rFonts w:eastAsia="Times New Roman"/>
                <w:color w:val="000000"/>
                <w:lang w:eastAsia="es-MX"/>
              </w:rPr>
              <w:t>y</w:t>
            </w:r>
            <w:r>
              <w:rPr>
                <w:rFonts w:eastAsia="Times New Roman"/>
                <w:color w:val="000000"/>
                <w:lang w:eastAsia="es-MX"/>
              </w:rPr>
              <w:t xml:space="preserve"> poner</w:t>
            </w:r>
            <w:r w:rsidRPr="0056118B">
              <w:rPr>
                <w:rFonts w:eastAsia="Times New Roman"/>
                <w:color w:val="000000"/>
                <w:lang w:eastAsia="es-MX"/>
              </w:rPr>
              <w:t xml:space="preserve"> información a disposición de</w:t>
            </w:r>
            <w:r w:rsidR="00B04F67">
              <w:rPr>
                <w:rFonts w:eastAsia="Times New Roman"/>
                <w:color w:val="000000"/>
                <w:lang w:eastAsia="es-MX"/>
              </w:rPr>
              <w:t xml:space="preserve"> los</w:t>
            </w:r>
            <w:r w:rsidRPr="0056118B">
              <w:rPr>
                <w:rFonts w:eastAsia="Times New Roman"/>
                <w:color w:val="000000"/>
                <w:lang w:eastAsia="es-MX"/>
              </w:rPr>
              <w:t xml:space="preserve"> </w:t>
            </w:r>
            <w:r w:rsidR="00411CCC">
              <w:rPr>
                <w:rFonts w:eastAsia="Times New Roman"/>
                <w:color w:val="000000"/>
                <w:lang w:eastAsia="es-MX"/>
              </w:rPr>
              <w:t>OMV</w:t>
            </w:r>
            <w:r w:rsidR="008932C8">
              <w:rPr>
                <w:rFonts w:eastAsia="Times New Roman"/>
                <w:color w:val="000000"/>
                <w:lang w:eastAsia="es-MX"/>
              </w:rPr>
              <w:t>, entre otras</w:t>
            </w:r>
            <w:r>
              <w:rPr>
                <w:rFonts w:eastAsia="Times New Roman"/>
                <w:color w:val="000000"/>
                <w:lang w:eastAsia="es-MX"/>
              </w:rPr>
              <w:t>.</w:t>
            </w:r>
            <w:r w:rsidR="00E83986">
              <w:rPr>
                <w:rFonts w:eastAsia="Times New Roman"/>
                <w:color w:val="000000"/>
                <w:lang w:eastAsia="es-MX"/>
              </w:rPr>
              <w:t xml:space="preserve"> </w:t>
            </w:r>
            <w:r>
              <w:rPr>
                <w:rFonts w:eastAsia="Times New Roman"/>
                <w:color w:val="000000"/>
                <w:lang w:eastAsia="es-MX"/>
              </w:rPr>
              <w:t>Asimismo, se señaló que, en caso de desacuerdo respecto a las tarifas aplicables al servicio mayorista, el Instituto las determinar</w:t>
            </w:r>
            <w:r w:rsidR="00E83986">
              <w:rPr>
                <w:rFonts w:eastAsia="Times New Roman"/>
                <w:color w:val="000000"/>
                <w:lang w:eastAsia="es-MX"/>
              </w:rPr>
              <w:t>ía</w:t>
            </w:r>
            <w:r>
              <w:rPr>
                <w:rFonts w:eastAsia="Times New Roman"/>
                <w:color w:val="000000"/>
                <w:lang w:eastAsia="es-MX"/>
              </w:rPr>
              <w:t xml:space="preserve"> con base en una metodología de costos evitados.</w:t>
            </w:r>
          </w:p>
          <w:p w14:paraId="645E7BAC" w14:textId="77777777" w:rsidR="00E83986" w:rsidRPr="00C355B5" w:rsidRDefault="00E83986" w:rsidP="00767118">
            <w:pPr>
              <w:rPr>
                <w:b/>
              </w:rPr>
            </w:pPr>
            <w:r>
              <w:rPr>
                <w:rFonts w:eastAsia="Times New Roman"/>
                <w:color w:val="000000"/>
                <w:lang w:eastAsia="es-MX"/>
              </w:rPr>
              <w:t xml:space="preserve">A través de la Resolución Bienal de Telecomunicaciones se hicieron </w:t>
            </w:r>
            <w:r w:rsidR="00FB53F4">
              <w:rPr>
                <w:rFonts w:eastAsia="Times New Roman"/>
                <w:color w:val="000000"/>
                <w:lang w:eastAsia="es-MX"/>
              </w:rPr>
              <w:t>adecuaciones</w:t>
            </w:r>
            <w:r>
              <w:rPr>
                <w:rFonts w:eastAsia="Times New Roman"/>
                <w:color w:val="000000"/>
                <w:lang w:eastAsia="es-MX"/>
              </w:rPr>
              <w:t xml:space="preserve"> </w:t>
            </w:r>
            <w:r w:rsidR="00CD17B9">
              <w:rPr>
                <w:rFonts w:eastAsia="Times New Roman"/>
                <w:color w:val="000000"/>
                <w:lang w:eastAsia="es-MX"/>
              </w:rPr>
              <w:t>en materia de procesos y elementos mínimos que debe contener la oferta de referencia</w:t>
            </w:r>
            <w:r w:rsidR="00F32679">
              <w:rPr>
                <w:rFonts w:eastAsia="Times New Roman"/>
                <w:color w:val="000000"/>
                <w:lang w:eastAsia="es-MX"/>
              </w:rPr>
              <w:t xml:space="preserve"> </w:t>
            </w:r>
            <w:r w:rsidR="00F32679">
              <w:rPr>
                <w:rFonts w:eastAsia="Times New Roman"/>
                <w:color w:val="000000"/>
                <w:lang w:eastAsia="es-MX"/>
              </w:rPr>
              <w:lastRenderedPageBreak/>
              <w:t>(incluidas las tarifas mayoristas para un OMV revendedor)</w:t>
            </w:r>
            <w:r w:rsidR="00CD17B9">
              <w:rPr>
                <w:rFonts w:eastAsia="Times New Roman"/>
                <w:color w:val="000000"/>
                <w:lang w:eastAsia="es-MX"/>
              </w:rPr>
              <w:t xml:space="preserve">, </w:t>
            </w:r>
            <w:r w:rsidR="00767118">
              <w:rPr>
                <w:rFonts w:eastAsia="Times New Roman"/>
                <w:color w:val="000000"/>
                <w:lang w:eastAsia="es-MX"/>
              </w:rPr>
              <w:t>así como</w:t>
            </w:r>
            <w:r w:rsidR="00CD17B9">
              <w:rPr>
                <w:rFonts w:eastAsia="Times New Roman"/>
                <w:color w:val="000000"/>
                <w:lang w:eastAsia="es-MX"/>
              </w:rPr>
              <w:t xml:space="preserve"> de homologación</w:t>
            </w:r>
            <w:r w:rsidR="00BF326C">
              <w:rPr>
                <w:rFonts w:eastAsia="Times New Roman"/>
                <w:color w:val="000000"/>
                <w:lang w:eastAsia="es-MX"/>
              </w:rPr>
              <w:t xml:space="preserve"> con lo establecido en la LFTR y otros ordenamientos jurídicos,</w:t>
            </w:r>
            <w:r w:rsidR="005774B5">
              <w:rPr>
                <w:rFonts w:eastAsia="Times New Roman"/>
                <w:color w:val="000000"/>
                <w:lang w:eastAsia="es-MX"/>
              </w:rPr>
              <w:t xml:space="preserve"> entre otras.</w:t>
            </w:r>
          </w:p>
        </w:tc>
      </w:tr>
      <w:tr w:rsidR="004802CE" w:rsidRPr="00DF5B3F" w14:paraId="645E7BAF" w14:textId="77777777" w:rsidTr="00090F4F">
        <w:trPr>
          <w:trHeight w:val="414"/>
        </w:trPr>
        <w:tc>
          <w:tcPr>
            <w:tcW w:w="8641" w:type="dxa"/>
            <w:gridSpan w:val="3"/>
            <w:shd w:val="clear" w:color="auto" w:fill="FFFFFF"/>
            <w:vAlign w:val="center"/>
          </w:tcPr>
          <w:p w14:paraId="645E7BAE" w14:textId="16C43985"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Cuáles son los efectos que las medidas referentes a los OMV 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774FEC">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802CE" w:rsidRPr="00DF5B3F" w14:paraId="645E7BB1" w14:textId="77777777" w:rsidTr="00090F4F">
        <w:trPr>
          <w:trHeight w:val="414"/>
        </w:trPr>
        <w:tc>
          <w:tcPr>
            <w:tcW w:w="8641" w:type="dxa"/>
            <w:gridSpan w:val="3"/>
            <w:shd w:val="clear" w:color="auto" w:fill="FFFFFF"/>
            <w:vAlign w:val="center"/>
          </w:tcPr>
          <w:p w14:paraId="645E7BB0"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B4" w14:textId="77777777" w:rsidTr="00E73D13">
        <w:trPr>
          <w:trHeight w:val="414"/>
        </w:trPr>
        <w:tc>
          <w:tcPr>
            <w:tcW w:w="3047" w:type="dxa"/>
            <w:gridSpan w:val="2"/>
            <w:shd w:val="clear" w:color="auto" w:fill="FFFFFF"/>
            <w:vAlign w:val="center"/>
          </w:tcPr>
          <w:p w14:paraId="645E7BB2"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B3"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4802CE" w:rsidRPr="00DF5B3F" w14:paraId="645E7BB6" w14:textId="77777777" w:rsidTr="00090F4F">
        <w:trPr>
          <w:trHeight w:val="414"/>
        </w:trPr>
        <w:tc>
          <w:tcPr>
            <w:tcW w:w="8641" w:type="dxa"/>
            <w:gridSpan w:val="3"/>
            <w:shd w:val="clear" w:color="auto" w:fill="FFFFFF"/>
            <w:vAlign w:val="center"/>
          </w:tcPr>
          <w:p w14:paraId="645E7BB5" w14:textId="72467A5B"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774FEC">
              <w:rPr>
                <w:rFonts w:eastAsia="Times New Roman"/>
                <w:b/>
                <w:color w:val="000000"/>
                <w:szCs w:val="20"/>
                <w:lang w:eastAsia="es-MX"/>
              </w:rPr>
              <w:t>En qué grado considera</w:t>
            </w:r>
            <w:r w:rsidR="00774FEC"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BB8" w14:textId="77777777" w:rsidTr="00090F4F">
        <w:trPr>
          <w:trHeight w:val="414"/>
        </w:trPr>
        <w:tc>
          <w:tcPr>
            <w:tcW w:w="8641" w:type="dxa"/>
            <w:gridSpan w:val="3"/>
            <w:shd w:val="clear" w:color="auto" w:fill="FFFFFF"/>
            <w:vAlign w:val="center"/>
          </w:tcPr>
          <w:p w14:paraId="645E7BB7"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BB" w14:textId="77777777" w:rsidTr="00E73D13">
        <w:trPr>
          <w:trHeight w:val="414"/>
        </w:trPr>
        <w:tc>
          <w:tcPr>
            <w:tcW w:w="3047" w:type="dxa"/>
            <w:gridSpan w:val="2"/>
            <w:shd w:val="clear" w:color="auto" w:fill="FFFFFF"/>
            <w:vAlign w:val="center"/>
          </w:tcPr>
          <w:p w14:paraId="645E7BB9"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BA"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4802CE" w:rsidRPr="00DF5B3F" w14:paraId="645E7BBD" w14:textId="77777777" w:rsidTr="00090F4F">
        <w:trPr>
          <w:trHeight w:val="414"/>
        </w:trPr>
        <w:tc>
          <w:tcPr>
            <w:tcW w:w="8641" w:type="dxa"/>
            <w:gridSpan w:val="3"/>
            <w:shd w:val="clear" w:color="auto" w:fill="FFFFFF"/>
            <w:vAlign w:val="center"/>
          </w:tcPr>
          <w:p w14:paraId="645E7BBC" w14:textId="7E07187D"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774FEC">
              <w:rPr>
                <w:rFonts w:eastAsia="Times New Roman"/>
                <w:b/>
                <w:color w:val="000000"/>
                <w:szCs w:val="20"/>
                <w:lang w:eastAsia="es-MX"/>
              </w:rPr>
              <w:t>En qué grado considera</w:t>
            </w:r>
            <w:r w:rsidR="00774FEC"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 xml:space="preserve">las acciones </w:t>
            </w:r>
            <w:r w:rsidR="000E4172">
              <w:rPr>
                <w:rFonts w:eastAsia="Times New Roman"/>
                <w:b/>
                <w:color w:val="000000"/>
                <w:szCs w:val="20"/>
                <w:lang w:eastAsia="es-MX"/>
              </w:rPr>
              <w:t xml:space="preserve">y/o instrumentos </w:t>
            </w:r>
            <w:r>
              <w:rPr>
                <w:rFonts w:eastAsia="Times New Roman"/>
                <w:b/>
                <w:color w:val="000000"/>
                <w:szCs w:val="20"/>
                <w:lang w:eastAsia="es-MX"/>
              </w:rPr>
              <w:t xml:space="preserve">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802CE" w:rsidRPr="00DF5B3F" w14:paraId="645E7BBF" w14:textId="77777777" w:rsidTr="00090F4F">
        <w:trPr>
          <w:trHeight w:val="414"/>
        </w:trPr>
        <w:tc>
          <w:tcPr>
            <w:tcW w:w="8641" w:type="dxa"/>
            <w:gridSpan w:val="3"/>
            <w:shd w:val="clear" w:color="auto" w:fill="FFFFFF"/>
            <w:vAlign w:val="center"/>
          </w:tcPr>
          <w:p w14:paraId="645E7BBE"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C2" w14:textId="77777777" w:rsidTr="00E73D13">
        <w:trPr>
          <w:trHeight w:val="414"/>
        </w:trPr>
        <w:tc>
          <w:tcPr>
            <w:tcW w:w="3047" w:type="dxa"/>
            <w:gridSpan w:val="2"/>
            <w:shd w:val="clear" w:color="auto" w:fill="FFFFFF"/>
            <w:vAlign w:val="center"/>
          </w:tcPr>
          <w:p w14:paraId="645E7BC0"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C1"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CE67E5" w:rsidRPr="00DF5B3F" w14:paraId="5D89A01D" w14:textId="77777777" w:rsidTr="00CE67E5">
        <w:trPr>
          <w:trHeight w:val="414"/>
        </w:trPr>
        <w:tc>
          <w:tcPr>
            <w:tcW w:w="8641" w:type="dxa"/>
            <w:gridSpan w:val="3"/>
            <w:shd w:val="clear" w:color="auto" w:fill="FFFFFF"/>
          </w:tcPr>
          <w:p w14:paraId="4EE54D13" w14:textId="6FABC301" w:rsidR="00CE67E5" w:rsidRDefault="0049205A" w:rsidP="00CE67E5">
            <w:pPr>
              <w:rPr>
                <w:b/>
              </w:rPr>
            </w:pPr>
            <w:r>
              <w:rPr>
                <w:b/>
              </w:rPr>
              <w:t>En caso de contar</w:t>
            </w:r>
            <w:r w:rsidR="00CE67E5" w:rsidRPr="00CE67E5">
              <w:rPr>
                <w:b/>
              </w:rPr>
              <w:t xml:space="preserve"> con una propuesta específica sobre alguna de las medidas relacionadas con los OMV, </w:t>
            </w:r>
            <w:r w:rsidR="00F771EF">
              <w:rPr>
                <w:b/>
              </w:rPr>
              <w:t>deberá indicarla.</w:t>
            </w:r>
          </w:p>
          <w:p w14:paraId="508A1D0F" w14:textId="4ACACBEA" w:rsidR="00CE67E5" w:rsidRPr="00CE67E5" w:rsidRDefault="0049205A" w:rsidP="00CE67E5">
            <w:pPr>
              <w:rPr>
                <w:rFonts w:eastAsia="Times New Roman"/>
                <w:b/>
                <w:color w:val="7F7F7F" w:themeColor="text1" w:themeTint="80"/>
                <w:lang w:eastAsia="es-MX"/>
              </w:rPr>
            </w:pPr>
            <w:r w:rsidRPr="004B5E3D">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E67E5" w:rsidRPr="00DF5B3F" w14:paraId="607690A7" w14:textId="77777777" w:rsidTr="00CE67E5">
        <w:trPr>
          <w:trHeight w:val="414"/>
        </w:trPr>
        <w:tc>
          <w:tcPr>
            <w:tcW w:w="3047" w:type="dxa"/>
            <w:gridSpan w:val="2"/>
            <w:shd w:val="clear" w:color="auto" w:fill="FFFFFF"/>
          </w:tcPr>
          <w:p w14:paraId="59528364" w14:textId="03BED806" w:rsidR="00CE67E5" w:rsidRP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[Indique medida]</w:t>
            </w:r>
          </w:p>
        </w:tc>
        <w:tc>
          <w:tcPr>
            <w:tcW w:w="5594" w:type="dxa"/>
            <w:shd w:val="clear" w:color="auto" w:fill="FFFFFF"/>
          </w:tcPr>
          <w:p w14:paraId="4D8773E9" w14:textId="0286AD9B" w:rsidR="00CE67E5" w:rsidRDefault="00CE67E5" w:rsidP="00CE67E5">
            <w:pP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E67E5" w:rsidRPr="00DF5B3F" w14:paraId="3E64599A" w14:textId="77777777" w:rsidTr="00CE67E5">
        <w:trPr>
          <w:trHeight w:val="414"/>
        </w:trPr>
        <w:tc>
          <w:tcPr>
            <w:tcW w:w="3047" w:type="dxa"/>
            <w:gridSpan w:val="2"/>
            <w:shd w:val="clear" w:color="auto" w:fill="FFFFFF"/>
          </w:tcPr>
          <w:p w14:paraId="04C0EDF2" w14:textId="782A1C25" w:rsidR="00CE67E5" w:rsidRP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[Indique medida]</w:t>
            </w:r>
          </w:p>
        </w:tc>
        <w:tc>
          <w:tcPr>
            <w:tcW w:w="5594" w:type="dxa"/>
            <w:shd w:val="clear" w:color="auto" w:fill="FFFFFF"/>
          </w:tcPr>
          <w:p w14:paraId="787512EF" w14:textId="54952144" w:rsidR="00CE67E5" w:rsidRDefault="00CE67E5" w:rsidP="00CE67E5">
            <w:pP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802CE" w:rsidRPr="00DF5B3F" w14:paraId="645E7BCC" w14:textId="77777777" w:rsidTr="00B51596">
        <w:trPr>
          <w:trHeight w:val="414"/>
        </w:trPr>
        <w:tc>
          <w:tcPr>
            <w:tcW w:w="1754" w:type="dxa"/>
            <w:shd w:val="clear" w:color="auto" w:fill="C5E0B3"/>
            <w:vAlign w:val="center"/>
          </w:tcPr>
          <w:p w14:paraId="645E7BC3" w14:textId="77777777" w:rsidR="004802CE" w:rsidRDefault="004802CE" w:rsidP="004802CE">
            <w:pPr>
              <w:spacing w:after="0" w:line="276" w:lineRule="auto"/>
              <w:jc w:val="center"/>
              <w:rPr>
                <w:rFonts w:eastAsia="Times New Roman"/>
                <w:b/>
                <w:color w:val="000000"/>
                <w:lang w:eastAsia="es-MX"/>
              </w:rPr>
            </w:pPr>
            <w:r w:rsidRPr="00D26916">
              <w:rPr>
                <w:rFonts w:eastAsia="Times New Roman"/>
                <w:b/>
                <w:color w:val="000000"/>
                <w:lang w:eastAsia="es-MX"/>
              </w:rPr>
              <w:t xml:space="preserve">Medidas referentes a </w:t>
            </w:r>
            <w:r>
              <w:rPr>
                <w:rFonts w:eastAsia="Times New Roman"/>
                <w:b/>
                <w:color w:val="000000"/>
                <w:lang w:eastAsia="es-MX"/>
              </w:rPr>
              <w:t>Usuario Visitante</w:t>
            </w:r>
          </w:p>
          <w:p w14:paraId="645E7BC4" w14:textId="77777777" w:rsidR="00A9464D" w:rsidRDefault="00A9464D" w:rsidP="004802CE">
            <w:pPr>
              <w:spacing w:after="0" w:line="276" w:lineRule="auto"/>
              <w:jc w:val="center"/>
              <w:rPr>
                <w:rFonts w:eastAsia="Times New Roman"/>
                <w:b/>
                <w:color w:val="000000"/>
                <w:lang w:eastAsia="es-MX"/>
              </w:rPr>
            </w:pPr>
          </w:p>
          <w:p w14:paraId="645E7BC5" w14:textId="77777777" w:rsidR="004802CE" w:rsidRPr="000D33C0" w:rsidRDefault="004802CE" w:rsidP="004802CE">
            <w:pPr>
              <w:spacing w:after="0" w:line="276" w:lineRule="auto"/>
              <w:jc w:val="center"/>
              <w:rPr>
                <w:rFonts w:eastAsia="Times New Roman"/>
                <w:b/>
                <w:color w:val="000000"/>
                <w:lang w:eastAsia="es-MX"/>
              </w:rPr>
            </w:pPr>
            <w:r>
              <w:rPr>
                <w:rFonts w:eastAsia="Times New Roman"/>
                <w:b/>
                <w:color w:val="000000"/>
                <w:lang w:eastAsia="es-MX"/>
              </w:rPr>
              <w:t xml:space="preserve">Anexo 1: </w:t>
            </w:r>
            <w:r w:rsidR="00304F09">
              <w:t xml:space="preserve"> </w:t>
            </w:r>
            <w:r w:rsidR="00304F09" w:rsidRPr="00304F09">
              <w:rPr>
                <w:rFonts w:eastAsia="Times New Roman"/>
                <w:b/>
                <w:color w:val="000000"/>
                <w:lang w:eastAsia="es-MX"/>
              </w:rPr>
              <w:t>12, 16, 17, 18, 21, 22,</w:t>
            </w:r>
            <w:r w:rsidR="00304F09">
              <w:rPr>
                <w:rFonts w:eastAsia="Times New Roman"/>
                <w:b/>
                <w:color w:val="000000"/>
                <w:lang w:eastAsia="es-MX"/>
              </w:rPr>
              <w:t xml:space="preserve"> 23, 23 Bis, 24, 28, 29, 60 ,73 y</w:t>
            </w:r>
            <w:r w:rsidR="00304F09" w:rsidRPr="00304F09">
              <w:rPr>
                <w:rFonts w:eastAsia="Times New Roman"/>
                <w:b/>
                <w:color w:val="000000"/>
                <w:lang w:eastAsia="es-MX"/>
              </w:rPr>
              <w:t xml:space="preserve"> 75</w:t>
            </w:r>
            <w:r>
              <w:rPr>
                <w:rFonts w:eastAsia="Times New Roman"/>
                <w:b/>
                <w:color w:val="000000"/>
                <w:lang w:eastAsia="es-MX"/>
              </w:rPr>
              <w:t>.</w:t>
            </w:r>
          </w:p>
          <w:p w14:paraId="645E7BC6" w14:textId="77777777" w:rsidR="004802CE" w:rsidRPr="00D26916" w:rsidRDefault="004802CE" w:rsidP="004802CE">
            <w:pPr>
              <w:spacing w:after="0" w:line="276" w:lineRule="auto"/>
              <w:jc w:val="center"/>
              <w:rPr>
                <w:rFonts w:eastAsia="Times New Roman"/>
                <w:b/>
                <w:color w:val="000000"/>
                <w:lang w:eastAsia="es-MX"/>
              </w:rPr>
            </w:pPr>
          </w:p>
        </w:tc>
        <w:tc>
          <w:tcPr>
            <w:tcW w:w="6887" w:type="dxa"/>
            <w:gridSpan w:val="2"/>
            <w:shd w:val="clear" w:color="auto" w:fill="C5E0B3"/>
            <w:vAlign w:val="center"/>
          </w:tcPr>
          <w:p w14:paraId="645E7BC7" w14:textId="77777777" w:rsidR="004802CE" w:rsidRPr="00DF67B4" w:rsidRDefault="004802CE" w:rsidP="004802CE">
            <w:pPr>
              <w:spacing w:after="0" w:line="276" w:lineRule="auto"/>
              <w:rPr>
                <w:rFonts w:eastAsia="Times New Roman"/>
                <w:b/>
                <w:color w:val="000000"/>
                <w:lang w:eastAsia="es-MX"/>
              </w:rPr>
            </w:pPr>
            <w:r w:rsidRPr="00DF67B4">
              <w:rPr>
                <w:rFonts w:eastAsia="Times New Roman"/>
                <w:b/>
                <w:color w:val="000000"/>
                <w:lang w:eastAsia="es-MX"/>
              </w:rPr>
              <w:t>Objetivos</w:t>
            </w:r>
            <w:r>
              <w:rPr>
                <w:rFonts w:eastAsia="Times New Roman"/>
                <w:b/>
                <w:color w:val="000000"/>
                <w:lang w:eastAsia="es-MX"/>
              </w:rPr>
              <w:t xml:space="preserve"> </w:t>
            </w:r>
            <w:r w:rsidR="00C30E0E">
              <w:rPr>
                <w:rFonts w:eastAsia="Times New Roman"/>
                <w:b/>
                <w:color w:val="000000"/>
                <w:lang w:eastAsia="es-MX"/>
              </w:rPr>
              <w:t>general</w:t>
            </w:r>
            <w:r w:rsidR="00B5425A">
              <w:rPr>
                <w:rFonts w:eastAsia="Times New Roman"/>
                <w:b/>
                <w:color w:val="000000"/>
                <w:lang w:eastAsia="es-MX"/>
              </w:rPr>
              <w:t>es</w:t>
            </w:r>
            <w:r w:rsidRPr="00DF67B4">
              <w:rPr>
                <w:rFonts w:eastAsia="Times New Roman"/>
                <w:b/>
                <w:color w:val="000000"/>
                <w:lang w:eastAsia="es-MX"/>
              </w:rPr>
              <w:t xml:space="preserve">: </w:t>
            </w:r>
          </w:p>
          <w:p w14:paraId="645E7BC8" w14:textId="77777777" w:rsidR="00C30E0E" w:rsidRPr="00A9464D" w:rsidRDefault="00C30E0E" w:rsidP="00A9464D">
            <w:pPr>
              <w:pStyle w:val="Prrafodelista"/>
              <w:numPr>
                <w:ilvl w:val="0"/>
                <w:numId w:val="28"/>
              </w:numPr>
              <w:spacing w:after="0" w:line="276" w:lineRule="auto"/>
              <w:rPr>
                <w:rFonts w:ascii="Century Gothic" w:hAnsi="Century Gothic"/>
                <w:sz w:val="20"/>
              </w:rPr>
            </w:pPr>
            <w:r w:rsidRPr="00A9464D">
              <w:rPr>
                <w:rFonts w:ascii="Century Gothic" w:hAnsi="Century Gothic"/>
                <w:sz w:val="20"/>
              </w:rPr>
              <w:t>Reducir las asimetrías en la cobertura de redes.</w:t>
            </w:r>
          </w:p>
          <w:p w14:paraId="645E7BC9" w14:textId="77777777" w:rsidR="00E358BB" w:rsidRPr="00A9464D" w:rsidRDefault="00F83305" w:rsidP="00A9464D">
            <w:pPr>
              <w:pStyle w:val="Prrafodelista"/>
              <w:numPr>
                <w:ilvl w:val="0"/>
                <w:numId w:val="28"/>
              </w:numPr>
              <w:spacing w:after="0" w:line="276" w:lineRule="auto"/>
              <w:rPr>
                <w:rFonts w:ascii="Century Gothic" w:hAnsi="Century Gothic"/>
                <w:sz w:val="20"/>
              </w:rPr>
            </w:pPr>
            <w:r w:rsidRPr="00A9464D">
              <w:rPr>
                <w:rFonts w:ascii="Century Gothic" w:hAnsi="Century Gothic"/>
                <w:sz w:val="20"/>
              </w:rPr>
              <w:t>Remediar y prevenir condiciones y conductas con efectos que no favorezcan la competencia y libre concurrencia.</w:t>
            </w:r>
          </w:p>
          <w:p w14:paraId="645E7BCA" w14:textId="77777777" w:rsidR="00E358BB" w:rsidRPr="00A9464D" w:rsidRDefault="00E358BB" w:rsidP="00A9464D">
            <w:pPr>
              <w:pStyle w:val="Prrafodelista"/>
              <w:numPr>
                <w:ilvl w:val="0"/>
                <w:numId w:val="28"/>
              </w:numPr>
              <w:spacing w:after="0" w:line="240" w:lineRule="auto"/>
              <w:rPr>
                <w:rFonts w:ascii="Century Gothic" w:hAnsi="Century Gothic"/>
                <w:sz w:val="20"/>
              </w:rPr>
            </w:pPr>
            <w:r w:rsidRPr="00A9464D">
              <w:rPr>
                <w:rFonts w:ascii="Century Gothic" w:hAnsi="Century Gothic"/>
                <w:sz w:val="20"/>
              </w:rPr>
              <w:t>Disminuir costos de transacción.</w:t>
            </w:r>
          </w:p>
          <w:p w14:paraId="645E7BCB"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BD2" w14:textId="77777777" w:rsidTr="00090F4F">
        <w:trPr>
          <w:trHeight w:val="414"/>
        </w:trPr>
        <w:tc>
          <w:tcPr>
            <w:tcW w:w="8641" w:type="dxa"/>
            <w:gridSpan w:val="3"/>
            <w:shd w:val="clear" w:color="auto" w:fill="FFFFFF"/>
            <w:vAlign w:val="center"/>
          </w:tcPr>
          <w:p w14:paraId="645E7BCD" w14:textId="77777777" w:rsidR="004802CE" w:rsidRDefault="007D23B9" w:rsidP="004802CE">
            <w:pPr>
              <w:rPr>
                <w:b/>
              </w:rPr>
            </w:pPr>
            <w:r>
              <w:rPr>
                <w:b/>
              </w:rPr>
              <w:lastRenderedPageBreak/>
              <w:t>Co</w:t>
            </w:r>
            <w:r w:rsidR="004802CE">
              <w:rPr>
                <w:b/>
              </w:rPr>
              <w:t>n</w:t>
            </w:r>
            <w:r>
              <w:rPr>
                <w:b/>
              </w:rPr>
              <w:t>texto</w:t>
            </w:r>
            <w:r w:rsidR="004802CE">
              <w:rPr>
                <w:b/>
              </w:rPr>
              <w:t>:</w:t>
            </w:r>
          </w:p>
          <w:p w14:paraId="645E7BCE" w14:textId="77777777" w:rsidR="00566513" w:rsidRPr="00F30CB9" w:rsidRDefault="00566513" w:rsidP="004802CE">
            <w:pPr>
              <w:rPr>
                <w:b/>
              </w:rPr>
            </w:pPr>
            <w:r w:rsidRPr="00A3415B">
              <w:t>El Servicio de usuario visitante (roaming nacional</w:t>
            </w:r>
            <w:r w:rsidR="008D6F27">
              <w:t xml:space="preserve">) </w:t>
            </w:r>
            <w:r>
              <w:t xml:space="preserve">constituye un elemento para reducir en un menor tiempo las diferencias en cobertura de los operadores, </w:t>
            </w:r>
            <w:r w:rsidR="00E70C35">
              <w:t>al evitar</w:t>
            </w:r>
            <w:r>
              <w:t xml:space="preserve"> los altos costos y tiempos requeridos para el despliegue de infraestructura.</w:t>
            </w:r>
          </w:p>
          <w:p w14:paraId="645E7BCF" w14:textId="77777777" w:rsidR="00E40317" w:rsidRDefault="00E40317" w:rsidP="004802CE">
            <w:pPr>
              <w:rPr>
                <w:b/>
              </w:rPr>
            </w:pPr>
            <w:r w:rsidRPr="006E6053">
              <w:rPr>
                <w:b/>
              </w:rPr>
              <w:t>Resumen</w:t>
            </w:r>
            <w:r>
              <w:rPr>
                <w:b/>
              </w:rPr>
              <w:t xml:space="preserve"> de las medidas impuestas:</w:t>
            </w:r>
          </w:p>
          <w:p w14:paraId="645E7BD0" w14:textId="77777777" w:rsidR="004802CE" w:rsidRDefault="00E40317" w:rsidP="007503CC">
            <w:pPr>
              <w:rPr>
                <w:rFonts w:eastAsia="Times New Roman"/>
                <w:color w:val="000000"/>
                <w:lang w:eastAsia="es-MX"/>
              </w:rPr>
            </w:pPr>
            <w:r>
              <w:t>El Instituto impuso medidas al AEPT referentes a proveer el servicio mayorista de usuario visitante</w:t>
            </w:r>
            <w:r>
              <w:rPr>
                <w:rFonts w:eastAsia="Times New Roman"/>
                <w:color w:val="000000"/>
                <w:lang w:eastAsia="es-MX"/>
              </w:rPr>
              <w:t>, publicar una oferta de referencia</w:t>
            </w:r>
            <w:r w:rsidRPr="0056118B">
              <w:rPr>
                <w:rFonts w:eastAsia="Times New Roman"/>
                <w:color w:val="000000"/>
                <w:lang w:eastAsia="es-MX"/>
              </w:rPr>
              <w:t xml:space="preserve">, </w:t>
            </w:r>
            <w:r>
              <w:rPr>
                <w:rFonts w:eastAsia="Times New Roman"/>
                <w:color w:val="000000"/>
                <w:lang w:eastAsia="es-MX"/>
              </w:rPr>
              <w:t>suscribir</w:t>
            </w:r>
            <w:r w:rsidRPr="0056118B">
              <w:rPr>
                <w:rFonts w:eastAsia="Times New Roman"/>
                <w:color w:val="000000"/>
                <w:lang w:eastAsia="es-MX"/>
              </w:rPr>
              <w:t xml:space="preserve"> convenios,</w:t>
            </w:r>
            <w:r w:rsidRPr="0056118B" w:rsidDel="00787054">
              <w:rPr>
                <w:rFonts w:eastAsia="Times New Roman"/>
                <w:color w:val="000000"/>
                <w:lang w:eastAsia="es-MX"/>
              </w:rPr>
              <w:t xml:space="preserve"> </w:t>
            </w:r>
            <w:r w:rsidDel="008932C8">
              <w:rPr>
                <w:rFonts w:eastAsia="Times New Roman"/>
                <w:color w:val="000000"/>
                <w:lang w:eastAsia="es-MX"/>
              </w:rPr>
              <w:t>y</w:t>
            </w:r>
            <w:r>
              <w:rPr>
                <w:rFonts w:eastAsia="Times New Roman"/>
                <w:color w:val="000000"/>
                <w:lang w:eastAsia="es-MX"/>
              </w:rPr>
              <w:t xml:space="preserve"> poner</w:t>
            </w:r>
            <w:r w:rsidRPr="0056118B">
              <w:rPr>
                <w:rFonts w:eastAsia="Times New Roman"/>
                <w:color w:val="000000"/>
                <w:lang w:eastAsia="es-MX"/>
              </w:rPr>
              <w:t xml:space="preserve"> información a disposición de los </w:t>
            </w:r>
            <w:r w:rsidR="00D3612D">
              <w:rPr>
                <w:rFonts w:eastAsia="Times New Roman"/>
                <w:color w:val="000000"/>
                <w:lang w:eastAsia="es-MX"/>
              </w:rPr>
              <w:t>CS</w:t>
            </w:r>
            <w:r w:rsidR="008932C8">
              <w:rPr>
                <w:rFonts w:eastAsia="Times New Roman"/>
                <w:color w:val="000000"/>
                <w:lang w:eastAsia="es-MX"/>
              </w:rPr>
              <w:t>, entre otras</w:t>
            </w:r>
            <w:r w:rsidR="00D3612D">
              <w:rPr>
                <w:rFonts w:eastAsia="Times New Roman"/>
                <w:color w:val="000000"/>
                <w:lang w:eastAsia="es-MX"/>
              </w:rPr>
              <w:t>.</w:t>
            </w:r>
            <w:r w:rsidR="00637B99">
              <w:rPr>
                <w:rFonts w:eastAsia="Times New Roman"/>
                <w:color w:val="000000"/>
                <w:lang w:eastAsia="es-MX"/>
              </w:rPr>
              <w:t xml:space="preserve"> </w:t>
            </w:r>
            <w:r>
              <w:rPr>
                <w:rFonts w:eastAsia="Times New Roman"/>
                <w:color w:val="000000"/>
                <w:lang w:eastAsia="es-MX"/>
              </w:rPr>
              <w:t>Asimismo, se señaló que, en caso de desacuerdo respecto a las tarifas aplicables al servicio mayorista, el Instituto las determinar</w:t>
            </w:r>
            <w:r w:rsidR="00637B99">
              <w:rPr>
                <w:rFonts w:eastAsia="Times New Roman"/>
                <w:color w:val="000000"/>
                <w:lang w:eastAsia="es-MX"/>
              </w:rPr>
              <w:t>ía</w:t>
            </w:r>
            <w:r>
              <w:rPr>
                <w:rFonts w:eastAsia="Times New Roman"/>
                <w:color w:val="000000"/>
                <w:lang w:eastAsia="es-MX"/>
              </w:rPr>
              <w:t xml:space="preserve"> con base en una metodología de costos incrementales promedio de largo plazo.</w:t>
            </w:r>
          </w:p>
          <w:p w14:paraId="645E7BD1" w14:textId="77777777" w:rsidR="00637B99" w:rsidRPr="00C355B5" w:rsidRDefault="00637B99" w:rsidP="00F32679">
            <w:pPr>
              <w:rPr>
                <w:b/>
              </w:rPr>
            </w:pPr>
            <w:r>
              <w:rPr>
                <w:rFonts w:eastAsia="Times New Roman"/>
                <w:color w:val="000000"/>
                <w:lang w:eastAsia="es-MX"/>
              </w:rPr>
              <w:t xml:space="preserve">A través de la Resolución Bienal de Telecomunicaciones se hicieron adecuaciones </w:t>
            </w:r>
            <w:r w:rsidR="00F32679">
              <w:rPr>
                <w:rFonts w:eastAsia="Times New Roman"/>
                <w:color w:val="000000"/>
                <w:lang w:eastAsia="es-MX"/>
              </w:rPr>
              <w:t xml:space="preserve">en materia de procesos y elementos mínimos que debe contener la oferta de referencia (incluidas las tarifas mayoristas); temporalidad y calidad en la prestación del servicio, y homologación </w:t>
            </w:r>
            <w:r w:rsidR="00BF326C">
              <w:rPr>
                <w:rFonts w:eastAsia="Times New Roman"/>
                <w:color w:val="000000"/>
                <w:lang w:eastAsia="es-MX"/>
              </w:rPr>
              <w:t xml:space="preserve">con lo establecido en la LFTR y otros ordenamientos jurídicos, </w:t>
            </w:r>
            <w:r>
              <w:rPr>
                <w:rFonts w:eastAsia="Times New Roman"/>
                <w:color w:val="000000"/>
                <w:lang w:eastAsia="es-MX"/>
              </w:rPr>
              <w:t>entre otras.</w:t>
            </w:r>
          </w:p>
        </w:tc>
      </w:tr>
      <w:tr w:rsidR="004802CE" w:rsidRPr="00DF5B3F" w14:paraId="645E7BD4" w14:textId="77777777" w:rsidTr="00090F4F">
        <w:trPr>
          <w:trHeight w:val="414"/>
        </w:trPr>
        <w:tc>
          <w:tcPr>
            <w:tcW w:w="8641" w:type="dxa"/>
            <w:gridSpan w:val="3"/>
            <w:shd w:val="clear" w:color="auto" w:fill="FFFFFF"/>
            <w:vAlign w:val="center"/>
          </w:tcPr>
          <w:p w14:paraId="645E7BD3" w14:textId="4BD9F9EB"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Pr>
                <w:rFonts w:eastAsia="Times New Roman"/>
                <w:b/>
                <w:color w:val="000000"/>
                <w:szCs w:val="20"/>
                <w:lang w:eastAsia="es-MX"/>
              </w:rPr>
              <w:t>Cuáles son los efectos que las medidas referentes a Usuario Visitante 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665CCD">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802CE" w:rsidRPr="00DF5B3F" w14:paraId="645E7BD6" w14:textId="77777777" w:rsidTr="00090F4F">
        <w:trPr>
          <w:trHeight w:val="414"/>
        </w:trPr>
        <w:tc>
          <w:tcPr>
            <w:tcW w:w="8641" w:type="dxa"/>
            <w:gridSpan w:val="3"/>
            <w:shd w:val="clear" w:color="auto" w:fill="FFFFFF"/>
            <w:vAlign w:val="center"/>
          </w:tcPr>
          <w:p w14:paraId="645E7BD5"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D9" w14:textId="77777777" w:rsidTr="00C355B5">
        <w:trPr>
          <w:trHeight w:val="414"/>
        </w:trPr>
        <w:tc>
          <w:tcPr>
            <w:tcW w:w="3047" w:type="dxa"/>
            <w:gridSpan w:val="2"/>
            <w:shd w:val="clear" w:color="auto" w:fill="FFFFFF"/>
            <w:vAlign w:val="center"/>
          </w:tcPr>
          <w:p w14:paraId="645E7BD7"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D8"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4802CE" w:rsidRPr="00DF5B3F" w14:paraId="645E7BDB" w14:textId="77777777" w:rsidTr="00090F4F">
        <w:trPr>
          <w:trHeight w:val="414"/>
        </w:trPr>
        <w:tc>
          <w:tcPr>
            <w:tcW w:w="8641" w:type="dxa"/>
            <w:gridSpan w:val="3"/>
            <w:shd w:val="clear" w:color="auto" w:fill="FFFFFF"/>
            <w:vAlign w:val="center"/>
          </w:tcPr>
          <w:p w14:paraId="645E7BDA" w14:textId="517F187E"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665CCD">
              <w:rPr>
                <w:rFonts w:eastAsia="Times New Roman"/>
                <w:b/>
                <w:color w:val="000000"/>
                <w:szCs w:val="20"/>
                <w:lang w:eastAsia="es-MX"/>
              </w:rPr>
              <w:t>En qué grado considera</w:t>
            </w:r>
            <w:r w:rsidR="00665CCD"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BDD" w14:textId="77777777" w:rsidTr="00090F4F">
        <w:trPr>
          <w:trHeight w:val="414"/>
        </w:trPr>
        <w:tc>
          <w:tcPr>
            <w:tcW w:w="8641" w:type="dxa"/>
            <w:gridSpan w:val="3"/>
            <w:shd w:val="clear" w:color="auto" w:fill="FFFFFF"/>
            <w:vAlign w:val="center"/>
          </w:tcPr>
          <w:p w14:paraId="645E7BDC" w14:textId="77777777" w:rsidR="004802CE" w:rsidRPr="001A5B2D" w:rsidRDefault="004802CE" w:rsidP="004802CE">
            <w:pPr>
              <w:spacing w:after="0" w:line="276" w:lineRule="auto"/>
              <w:rPr>
                <w:rFonts w:eastAsia="Times New Roman"/>
                <w:b/>
                <w:color w:val="000000"/>
                <w:szCs w:val="20"/>
                <w:lang w:eastAsia="es-MX"/>
              </w:rPr>
            </w:pPr>
          </w:p>
        </w:tc>
      </w:tr>
      <w:tr w:rsidR="004802CE" w:rsidRPr="00DF5B3F" w14:paraId="645E7BE0" w14:textId="77777777" w:rsidTr="00C355B5">
        <w:trPr>
          <w:trHeight w:val="414"/>
        </w:trPr>
        <w:tc>
          <w:tcPr>
            <w:tcW w:w="3047" w:type="dxa"/>
            <w:gridSpan w:val="2"/>
            <w:shd w:val="clear" w:color="auto" w:fill="FFFFFF"/>
            <w:vAlign w:val="center"/>
          </w:tcPr>
          <w:p w14:paraId="645E7BDE"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DF"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4802CE" w:rsidRPr="00DF5B3F" w14:paraId="645E7BE2" w14:textId="77777777" w:rsidTr="00090F4F">
        <w:trPr>
          <w:trHeight w:val="414"/>
        </w:trPr>
        <w:tc>
          <w:tcPr>
            <w:tcW w:w="8641" w:type="dxa"/>
            <w:gridSpan w:val="3"/>
            <w:shd w:val="clear" w:color="auto" w:fill="FFFFFF"/>
            <w:vAlign w:val="center"/>
          </w:tcPr>
          <w:p w14:paraId="645E7BE1" w14:textId="73A046F0"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665CCD">
              <w:rPr>
                <w:rFonts w:eastAsia="Times New Roman"/>
                <w:b/>
                <w:color w:val="000000"/>
                <w:szCs w:val="20"/>
                <w:lang w:eastAsia="es-MX"/>
              </w:rPr>
              <w:t>En qué grado considera</w:t>
            </w:r>
            <w:r w:rsidR="00665CCD"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 xml:space="preserve">las acciones </w:t>
            </w:r>
            <w:r w:rsidR="000E4172">
              <w:rPr>
                <w:rFonts w:eastAsia="Times New Roman"/>
                <w:b/>
                <w:color w:val="000000"/>
                <w:szCs w:val="20"/>
                <w:lang w:eastAsia="es-MX"/>
              </w:rPr>
              <w:t xml:space="preserve">y/o instrumentos </w:t>
            </w:r>
            <w:r>
              <w:rPr>
                <w:rFonts w:eastAsia="Times New Roman"/>
                <w:b/>
                <w:color w:val="000000"/>
                <w:szCs w:val="20"/>
                <w:lang w:eastAsia="es-MX"/>
              </w:rPr>
              <w:t xml:space="preserve">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802CE" w:rsidRPr="00DF5B3F" w14:paraId="645E7BE4" w14:textId="77777777" w:rsidTr="00090F4F">
        <w:trPr>
          <w:trHeight w:val="414"/>
        </w:trPr>
        <w:tc>
          <w:tcPr>
            <w:tcW w:w="8641" w:type="dxa"/>
            <w:gridSpan w:val="3"/>
            <w:shd w:val="clear" w:color="auto" w:fill="FFFFFF"/>
            <w:vAlign w:val="center"/>
          </w:tcPr>
          <w:p w14:paraId="645E7BE3"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BE7" w14:textId="77777777" w:rsidTr="00C355B5">
        <w:trPr>
          <w:trHeight w:val="414"/>
        </w:trPr>
        <w:tc>
          <w:tcPr>
            <w:tcW w:w="3047" w:type="dxa"/>
            <w:gridSpan w:val="2"/>
            <w:shd w:val="clear" w:color="auto" w:fill="FFFFFF"/>
            <w:vAlign w:val="center"/>
          </w:tcPr>
          <w:p w14:paraId="645E7BE5"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E6"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CE67E5" w:rsidRPr="00CE67E5" w14:paraId="24335ADB" w14:textId="77777777" w:rsidTr="00D8198F">
        <w:trPr>
          <w:trHeight w:val="414"/>
        </w:trPr>
        <w:tc>
          <w:tcPr>
            <w:tcW w:w="8641" w:type="dxa"/>
            <w:gridSpan w:val="3"/>
            <w:shd w:val="clear" w:color="auto" w:fill="FFFFFF"/>
          </w:tcPr>
          <w:p w14:paraId="3EC60BE9" w14:textId="59BB3A33" w:rsidR="00CE67E5" w:rsidRDefault="0049205A" w:rsidP="00CE67E5">
            <w:pPr>
              <w:rPr>
                <w:b/>
              </w:rPr>
            </w:pPr>
            <w:r>
              <w:rPr>
                <w:b/>
              </w:rPr>
              <w:t>En caso de contar</w:t>
            </w:r>
            <w:r w:rsidR="00CE67E5" w:rsidRPr="00CE67E5">
              <w:rPr>
                <w:b/>
              </w:rPr>
              <w:t xml:space="preserve"> con una propuesta específica sobre alguna de las medidas relacionadas con </w:t>
            </w:r>
            <w:r w:rsidR="00CE67E5">
              <w:rPr>
                <w:b/>
              </w:rPr>
              <w:t>Usuario Visitante</w:t>
            </w:r>
            <w:r w:rsidR="00CE67E5" w:rsidRPr="00CE67E5">
              <w:rPr>
                <w:b/>
              </w:rPr>
              <w:t>,</w:t>
            </w:r>
            <w:r w:rsidR="00F771EF">
              <w:rPr>
                <w:b/>
              </w:rPr>
              <w:t xml:space="preserve"> deberá indicarla.</w:t>
            </w:r>
          </w:p>
          <w:p w14:paraId="6D9264D6" w14:textId="048914A2" w:rsidR="00CE67E5" w:rsidRPr="00240D9F" w:rsidRDefault="0049205A" w:rsidP="00774FEC">
            <w:r w:rsidRPr="004B5E3D">
              <w:rPr>
                <w:rFonts w:eastAsia="Times New Roman"/>
                <w:color w:val="000000"/>
                <w:sz w:val="16"/>
                <w:szCs w:val="16"/>
                <w:lang w:eastAsia="es-MX"/>
              </w:rPr>
              <w:lastRenderedPageBreak/>
              <w:t>Nota:  a efecto de realizar una valoración adecuada, cualquier propuesta deberá estar sustentada en lo manifestado en las respuestas a las preguntas previas.</w:t>
            </w:r>
          </w:p>
        </w:tc>
      </w:tr>
      <w:tr w:rsidR="00CE67E5" w14:paraId="17715536" w14:textId="77777777" w:rsidTr="00D8198F">
        <w:trPr>
          <w:trHeight w:val="414"/>
        </w:trPr>
        <w:tc>
          <w:tcPr>
            <w:tcW w:w="3047" w:type="dxa"/>
            <w:gridSpan w:val="2"/>
            <w:shd w:val="clear" w:color="auto" w:fill="FFFFFF"/>
          </w:tcPr>
          <w:p w14:paraId="613159CD" w14:textId="77777777" w:rsidR="00CE67E5" w:rsidRP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lastRenderedPageBreak/>
              <w:t>[Indique medida]</w:t>
            </w:r>
          </w:p>
        </w:tc>
        <w:tc>
          <w:tcPr>
            <w:tcW w:w="5594" w:type="dxa"/>
            <w:shd w:val="clear" w:color="auto" w:fill="FFFFFF"/>
          </w:tcPr>
          <w:p w14:paraId="3D4EE9EF" w14:textId="77777777" w:rsidR="00CE67E5" w:rsidRDefault="00CE67E5" w:rsidP="00CE67E5">
            <w:pP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E67E5" w14:paraId="66CDC900" w14:textId="77777777" w:rsidTr="00D8198F">
        <w:trPr>
          <w:trHeight w:val="414"/>
        </w:trPr>
        <w:tc>
          <w:tcPr>
            <w:tcW w:w="3047" w:type="dxa"/>
            <w:gridSpan w:val="2"/>
            <w:shd w:val="clear" w:color="auto" w:fill="FFFFFF"/>
          </w:tcPr>
          <w:p w14:paraId="71DEB4DB" w14:textId="77777777" w:rsidR="00CE67E5" w:rsidRP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[Indique medida]</w:t>
            </w:r>
          </w:p>
        </w:tc>
        <w:tc>
          <w:tcPr>
            <w:tcW w:w="5594" w:type="dxa"/>
            <w:shd w:val="clear" w:color="auto" w:fill="FFFFFF"/>
          </w:tcPr>
          <w:p w14:paraId="07CD3743" w14:textId="77777777" w:rsidR="00CE67E5" w:rsidRDefault="00CE67E5" w:rsidP="00CE67E5">
            <w:pP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802CE" w:rsidRPr="00DF5B3F" w14:paraId="645E7BF2" w14:textId="77777777" w:rsidTr="001A5B2D">
        <w:trPr>
          <w:trHeight w:val="414"/>
        </w:trPr>
        <w:tc>
          <w:tcPr>
            <w:tcW w:w="1754" w:type="dxa"/>
            <w:shd w:val="clear" w:color="auto" w:fill="C5E0B3"/>
            <w:vAlign w:val="center"/>
          </w:tcPr>
          <w:p w14:paraId="645E7BE8" w14:textId="77777777"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Medidas referentes a compartición de infraestructura</w:t>
            </w:r>
            <w:r w:rsidR="00E557E3">
              <w:rPr>
                <w:rFonts w:eastAsia="Times New Roman"/>
                <w:b/>
                <w:color w:val="000000"/>
                <w:lang w:eastAsia="es-MX"/>
              </w:rPr>
              <w:t xml:space="preserve"> pasiva</w:t>
            </w:r>
          </w:p>
          <w:p w14:paraId="645E7BE9" w14:textId="77777777" w:rsidR="00A9464D" w:rsidRDefault="00A9464D" w:rsidP="004802CE">
            <w:pPr>
              <w:spacing w:after="0" w:line="276" w:lineRule="auto"/>
              <w:jc w:val="center"/>
              <w:rPr>
                <w:rFonts w:eastAsia="Times New Roman"/>
                <w:b/>
                <w:color w:val="000000"/>
                <w:lang w:eastAsia="es-MX"/>
              </w:rPr>
            </w:pPr>
          </w:p>
          <w:p w14:paraId="645E7BEA" w14:textId="77777777"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 xml:space="preserve">Anexo 1: </w:t>
            </w:r>
            <w:r w:rsidR="00E557E3">
              <w:t xml:space="preserve"> </w:t>
            </w:r>
            <w:r w:rsidRPr="000D33C0">
              <w:rPr>
                <w:rFonts w:eastAsia="Times New Roman"/>
                <w:b/>
                <w:color w:val="000000"/>
                <w:lang w:eastAsia="es-MX"/>
              </w:rPr>
              <w:t>15,</w:t>
            </w:r>
            <w:r w:rsidR="000E313C">
              <w:rPr>
                <w:rFonts w:eastAsia="Times New Roman"/>
                <w:b/>
                <w:color w:val="000000"/>
                <w:lang w:eastAsia="es-MX"/>
              </w:rPr>
              <w:t xml:space="preserve"> 16,</w:t>
            </w:r>
            <w:r w:rsidRPr="000D33C0">
              <w:rPr>
                <w:rFonts w:eastAsia="Times New Roman"/>
                <w:b/>
                <w:color w:val="000000"/>
                <w:lang w:eastAsia="es-MX"/>
              </w:rPr>
              <w:t xml:space="preserve"> 17, 30, 31,</w:t>
            </w:r>
            <w:r>
              <w:rPr>
                <w:rFonts w:eastAsia="Times New Roman"/>
                <w:b/>
                <w:color w:val="000000"/>
                <w:lang w:eastAsia="es-MX"/>
              </w:rPr>
              <w:t xml:space="preserve"> 34, 35, 36, 37, 38, 39, 40, 62</w:t>
            </w:r>
            <w:r w:rsidR="00E557E3">
              <w:rPr>
                <w:rFonts w:eastAsia="Times New Roman"/>
                <w:b/>
                <w:color w:val="000000"/>
                <w:lang w:eastAsia="es-MX"/>
              </w:rPr>
              <w:t>, 73, 74 y</w:t>
            </w:r>
            <w:r w:rsidR="00E557E3" w:rsidRPr="00E557E3">
              <w:rPr>
                <w:rFonts w:eastAsia="Times New Roman"/>
                <w:b/>
                <w:color w:val="000000"/>
                <w:lang w:eastAsia="es-MX"/>
              </w:rPr>
              <w:t xml:space="preserve"> 75</w:t>
            </w:r>
            <w:r>
              <w:rPr>
                <w:rFonts w:eastAsia="Times New Roman"/>
                <w:b/>
                <w:color w:val="000000"/>
                <w:lang w:eastAsia="es-MX"/>
              </w:rPr>
              <w:t>.</w:t>
            </w:r>
          </w:p>
          <w:p w14:paraId="645E7BEB" w14:textId="77777777" w:rsidR="004802CE" w:rsidRDefault="004802CE" w:rsidP="004802CE">
            <w:pPr>
              <w:spacing w:after="0" w:line="276" w:lineRule="auto"/>
              <w:jc w:val="center"/>
              <w:rPr>
                <w:rFonts w:eastAsia="Times New Roman"/>
                <w:b/>
                <w:color w:val="000000"/>
                <w:lang w:eastAsia="es-MX"/>
              </w:rPr>
            </w:pPr>
          </w:p>
        </w:tc>
        <w:tc>
          <w:tcPr>
            <w:tcW w:w="6887" w:type="dxa"/>
            <w:gridSpan w:val="2"/>
            <w:shd w:val="clear" w:color="auto" w:fill="C5E0B3"/>
            <w:vAlign w:val="center"/>
          </w:tcPr>
          <w:p w14:paraId="645E7BEC" w14:textId="77777777" w:rsidR="004802CE" w:rsidRPr="00AD5232" w:rsidRDefault="004802CE" w:rsidP="004802CE">
            <w:pPr>
              <w:spacing w:after="0"/>
              <w:rPr>
                <w:b/>
                <w:lang w:eastAsia="es-MX"/>
              </w:rPr>
            </w:pPr>
            <w:r>
              <w:rPr>
                <w:b/>
                <w:lang w:eastAsia="es-MX"/>
              </w:rPr>
              <w:t>Objetivos</w:t>
            </w:r>
            <w:r w:rsidR="00B97484">
              <w:rPr>
                <w:b/>
                <w:lang w:eastAsia="es-MX"/>
              </w:rPr>
              <w:t xml:space="preserve"> generales</w:t>
            </w:r>
            <w:r>
              <w:rPr>
                <w:b/>
                <w:lang w:eastAsia="es-MX"/>
              </w:rPr>
              <w:t>:</w:t>
            </w:r>
          </w:p>
          <w:p w14:paraId="645E7BED" w14:textId="77777777" w:rsidR="00065222" w:rsidRDefault="00732912" w:rsidP="00732912">
            <w:pPr>
              <w:numPr>
                <w:ilvl w:val="0"/>
                <w:numId w:val="20"/>
              </w:numPr>
              <w:spacing w:after="0"/>
              <w:rPr>
                <w:lang w:eastAsia="es-MX"/>
              </w:rPr>
            </w:pPr>
            <w:r w:rsidRPr="00732912">
              <w:rPr>
                <w:lang w:eastAsia="es-MX"/>
              </w:rPr>
              <w:t>Reducir o eliminar barreras a la entrada y la expansión de participantes distintos al AEPT</w:t>
            </w:r>
            <w:r w:rsidR="00357973">
              <w:rPr>
                <w:lang w:eastAsia="es-MX"/>
              </w:rPr>
              <w:t>.</w:t>
            </w:r>
          </w:p>
          <w:p w14:paraId="1C42FC6B" w14:textId="77777777" w:rsidR="00FA58E1" w:rsidRDefault="00732912" w:rsidP="00732912">
            <w:pPr>
              <w:numPr>
                <w:ilvl w:val="0"/>
                <w:numId w:val="20"/>
              </w:numPr>
              <w:spacing w:after="0"/>
              <w:rPr>
                <w:lang w:eastAsia="es-MX"/>
              </w:rPr>
            </w:pPr>
            <w:r w:rsidRPr="00732912">
              <w:rPr>
                <w:lang w:eastAsia="es-MX"/>
              </w:rPr>
              <w:t>Promover el uso eficiente de las redes y la infraestructura</w:t>
            </w:r>
            <w:r w:rsidR="00152B0E">
              <w:rPr>
                <w:lang w:eastAsia="es-MX"/>
              </w:rPr>
              <w:t>.</w:t>
            </w:r>
          </w:p>
          <w:p w14:paraId="645E7BEF" w14:textId="09FBCF0E" w:rsidR="00C341D6" w:rsidRDefault="00C341D6" w:rsidP="00732912">
            <w:pPr>
              <w:numPr>
                <w:ilvl w:val="0"/>
                <w:numId w:val="20"/>
              </w:numPr>
              <w:spacing w:after="0"/>
              <w:rPr>
                <w:lang w:eastAsia="es-MX"/>
              </w:rPr>
            </w:pPr>
            <w:r>
              <w:rPr>
                <w:lang w:eastAsia="es-MX"/>
              </w:rPr>
              <w:t>Disminuir costos de transacción</w:t>
            </w:r>
            <w:r w:rsidR="00897511">
              <w:rPr>
                <w:lang w:eastAsia="es-MX"/>
              </w:rPr>
              <w:t>.</w:t>
            </w:r>
          </w:p>
          <w:p w14:paraId="645E7BF0" w14:textId="77777777" w:rsidR="00152B0E" w:rsidRDefault="00152B0E" w:rsidP="00152B0E">
            <w:pPr>
              <w:numPr>
                <w:ilvl w:val="0"/>
                <w:numId w:val="20"/>
              </w:numPr>
              <w:spacing w:after="0"/>
              <w:rPr>
                <w:lang w:eastAsia="es-MX"/>
              </w:rPr>
            </w:pPr>
            <w:r w:rsidRPr="00152B0E">
              <w:rPr>
                <w:lang w:eastAsia="es-MX"/>
              </w:rPr>
              <w:t>Remediar y prevenir condiciones y conductas con efectos que no favorezcan la competencia y libre concurrencia</w:t>
            </w:r>
            <w:r>
              <w:rPr>
                <w:lang w:eastAsia="es-MX"/>
              </w:rPr>
              <w:t>.</w:t>
            </w:r>
          </w:p>
          <w:p w14:paraId="645E7BF1" w14:textId="77777777" w:rsidR="004802CE" w:rsidRPr="00DF67B4" w:rsidRDefault="004802CE" w:rsidP="00B213DF">
            <w:pPr>
              <w:spacing w:after="0"/>
              <w:rPr>
                <w:lang w:eastAsia="es-MX"/>
              </w:rPr>
            </w:pPr>
          </w:p>
        </w:tc>
      </w:tr>
      <w:tr w:rsidR="004802CE" w:rsidRPr="00DF5B3F" w14:paraId="645E7BF9" w14:textId="77777777" w:rsidTr="00090F4F">
        <w:trPr>
          <w:trHeight w:val="414"/>
        </w:trPr>
        <w:tc>
          <w:tcPr>
            <w:tcW w:w="8641" w:type="dxa"/>
            <w:gridSpan w:val="3"/>
            <w:shd w:val="clear" w:color="auto" w:fill="FFFFFF"/>
            <w:vAlign w:val="center"/>
          </w:tcPr>
          <w:p w14:paraId="645E7BF3" w14:textId="77777777" w:rsidR="004802CE" w:rsidRPr="00AD5232" w:rsidRDefault="007D23B9" w:rsidP="004802CE">
            <w:pPr>
              <w:rPr>
                <w:b/>
              </w:rPr>
            </w:pPr>
            <w:r>
              <w:rPr>
                <w:b/>
              </w:rPr>
              <w:t>Co</w:t>
            </w:r>
            <w:r w:rsidR="004802CE" w:rsidRPr="00AD5232">
              <w:rPr>
                <w:b/>
              </w:rPr>
              <w:t>n</w:t>
            </w:r>
            <w:r>
              <w:rPr>
                <w:b/>
              </w:rPr>
              <w:t>texto</w:t>
            </w:r>
            <w:r w:rsidR="004802CE" w:rsidRPr="00AD5232">
              <w:rPr>
                <w:b/>
              </w:rPr>
              <w:t>:</w:t>
            </w:r>
          </w:p>
          <w:p w14:paraId="645E7BF4" w14:textId="77777777" w:rsidR="004802CE" w:rsidRDefault="004802CE" w:rsidP="004802CE">
            <w:r>
              <w:t>El sector de telecomunicaciones está caracterizado por la presencia de elevados costos hundidos, que son inherentes al despliegue de la infraestructura, entre los que destacan los costos de la obra civil como es el excavar los accesos, instalar y enterrar los ducto</w:t>
            </w:r>
            <w:r w:rsidR="006E6053">
              <w:t>s, y los equipos de transmisión</w:t>
            </w:r>
            <w:r>
              <w:t>.</w:t>
            </w:r>
            <w:r w:rsidR="006E6053">
              <w:t xml:space="preserve"> El uso compartido de la infraestructura pasiva conlleva a una utilización más eficiente de los recursos escasos, al permitir que varias empresas compartan los costos de cierta parte de la infraestructura, evitando </w:t>
            </w:r>
            <w:r w:rsidR="006B30F6">
              <w:t>duplicidades en su construcción, beneficiándose así de las economías de escala, alcance y densidad.</w:t>
            </w:r>
          </w:p>
          <w:p w14:paraId="645E7BF5" w14:textId="77777777" w:rsidR="00767118" w:rsidRDefault="00767118" w:rsidP="004802CE"/>
          <w:p w14:paraId="645E7BF6" w14:textId="77777777" w:rsidR="0015365A" w:rsidRDefault="0015365A" w:rsidP="004802CE">
            <w:pPr>
              <w:rPr>
                <w:b/>
              </w:rPr>
            </w:pPr>
            <w:r w:rsidRPr="006B30F6">
              <w:rPr>
                <w:b/>
              </w:rPr>
              <w:t>Resumen</w:t>
            </w:r>
            <w:r>
              <w:rPr>
                <w:b/>
              </w:rPr>
              <w:t xml:space="preserve"> de las medidas impuestas:</w:t>
            </w:r>
          </w:p>
          <w:p w14:paraId="645E7BF7" w14:textId="77777777" w:rsidR="004802CE" w:rsidRDefault="0015365A" w:rsidP="00A73FFC">
            <w:pPr>
              <w:rPr>
                <w:rFonts w:eastAsia="Times New Roman"/>
                <w:color w:val="000000"/>
                <w:lang w:eastAsia="es-MX"/>
              </w:rPr>
            </w:pPr>
            <w:r>
              <w:t>El Instituto impuso medidas al AEPT referentes a proveer el servicio de compartición de infraestructura pasiva</w:t>
            </w:r>
            <w:r>
              <w:rPr>
                <w:rFonts w:eastAsia="Times New Roman"/>
                <w:color w:val="000000"/>
                <w:lang w:eastAsia="es-MX"/>
              </w:rPr>
              <w:t>, publicar una oferta de referencia</w:t>
            </w:r>
            <w:r w:rsidRPr="0056118B">
              <w:rPr>
                <w:rFonts w:eastAsia="Times New Roman"/>
                <w:color w:val="000000"/>
                <w:lang w:eastAsia="es-MX"/>
              </w:rPr>
              <w:t xml:space="preserve">, </w:t>
            </w:r>
            <w:r>
              <w:rPr>
                <w:rFonts w:eastAsia="Times New Roman"/>
                <w:color w:val="000000"/>
                <w:lang w:eastAsia="es-MX"/>
              </w:rPr>
              <w:t>suscribir</w:t>
            </w:r>
            <w:r w:rsidRPr="0056118B">
              <w:rPr>
                <w:rFonts w:eastAsia="Times New Roman"/>
                <w:color w:val="000000"/>
                <w:lang w:eastAsia="es-MX"/>
              </w:rPr>
              <w:t xml:space="preserve"> convenios, </w:t>
            </w:r>
            <w:r>
              <w:rPr>
                <w:rFonts w:eastAsia="Times New Roman"/>
                <w:color w:val="000000"/>
                <w:lang w:eastAsia="es-MX"/>
              </w:rPr>
              <w:t>y poner</w:t>
            </w:r>
            <w:r w:rsidRPr="0056118B">
              <w:rPr>
                <w:rFonts w:eastAsia="Times New Roman"/>
                <w:color w:val="000000"/>
                <w:lang w:eastAsia="es-MX"/>
              </w:rPr>
              <w:t xml:space="preserve"> información a disposición de los </w:t>
            </w:r>
            <w:r>
              <w:rPr>
                <w:rFonts w:eastAsia="Times New Roman"/>
                <w:color w:val="000000"/>
                <w:lang w:eastAsia="es-MX"/>
              </w:rPr>
              <w:t>CS</w:t>
            </w:r>
            <w:r w:rsidR="00373DEB">
              <w:rPr>
                <w:rFonts w:eastAsia="Times New Roman"/>
                <w:color w:val="000000"/>
                <w:lang w:eastAsia="es-MX"/>
              </w:rPr>
              <w:t>, entre otras</w:t>
            </w:r>
            <w:r>
              <w:rPr>
                <w:rFonts w:eastAsia="Times New Roman"/>
                <w:color w:val="000000"/>
                <w:lang w:eastAsia="es-MX"/>
              </w:rPr>
              <w:t>.</w:t>
            </w:r>
            <w:r w:rsidR="00A73FFC">
              <w:rPr>
                <w:rFonts w:eastAsia="Times New Roman"/>
                <w:color w:val="000000"/>
                <w:lang w:eastAsia="es-MX"/>
              </w:rPr>
              <w:t xml:space="preserve"> </w:t>
            </w:r>
            <w:r>
              <w:rPr>
                <w:rFonts w:eastAsia="Times New Roman"/>
                <w:color w:val="000000"/>
                <w:lang w:eastAsia="es-MX"/>
              </w:rPr>
              <w:t>Asimismo, se señaló que, en caso de desacuerdo respecto a las tarifas aplicables al servicio mayorista, el Instituto las determinar</w:t>
            </w:r>
            <w:r w:rsidR="00A73FFC">
              <w:rPr>
                <w:rFonts w:eastAsia="Times New Roman"/>
                <w:color w:val="000000"/>
                <w:lang w:eastAsia="es-MX"/>
              </w:rPr>
              <w:t>ía</w:t>
            </w:r>
            <w:r>
              <w:rPr>
                <w:rFonts w:eastAsia="Times New Roman"/>
                <w:color w:val="000000"/>
                <w:lang w:eastAsia="es-MX"/>
              </w:rPr>
              <w:t xml:space="preserve"> con base en una metodología de costos incrementales promedio de largo plazo.</w:t>
            </w:r>
          </w:p>
          <w:p w14:paraId="645E7BF8" w14:textId="77777777" w:rsidR="00A73FFC" w:rsidRPr="00C355B5" w:rsidRDefault="00A73FFC" w:rsidP="00767118">
            <w:pPr>
              <w:rPr>
                <w:b/>
              </w:rPr>
            </w:pPr>
            <w:r>
              <w:rPr>
                <w:rFonts w:eastAsia="Times New Roman"/>
                <w:color w:val="000000"/>
                <w:lang w:eastAsia="es-MX"/>
              </w:rPr>
              <w:t>A través de la Resolución Bienal de Telecomunicaciones se hicieron adecuaciones</w:t>
            </w:r>
            <w:r w:rsidR="00BF326C">
              <w:rPr>
                <w:rFonts w:eastAsia="Times New Roman"/>
                <w:color w:val="000000"/>
                <w:lang w:eastAsia="es-MX"/>
              </w:rPr>
              <w:t xml:space="preserve"> </w:t>
            </w:r>
            <w:r w:rsidR="00B1404C">
              <w:rPr>
                <w:rFonts w:eastAsia="Times New Roman"/>
                <w:color w:val="000000"/>
                <w:lang w:eastAsia="es-MX"/>
              </w:rPr>
              <w:t xml:space="preserve"> en materia de procesos y elementos mínimos que debe contener la oferta de referencia (incluidas las tarifas mayoristas), </w:t>
            </w:r>
            <w:r w:rsidR="00767118">
              <w:rPr>
                <w:rFonts w:eastAsia="Times New Roman"/>
                <w:color w:val="000000"/>
                <w:lang w:eastAsia="es-MX"/>
              </w:rPr>
              <w:t>así como</w:t>
            </w:r>
            <w:r w:rsidR="00B1404C">
              <w:rPr>
                <w:rFonts w:eastAsia="Times New Roman"/>
                <w:color w:val="000000"/>
                <w:lang w:eastAsia="es-MX"/>
              </w:rPr>
              <w:t xml:space="preserve"> </w:t>
            </w:r>
            <w:r w:rsidR="00825141">
              <w:rPr>
                <w:rFonts w:eastAsia="Times New Roman"/>
                <w:color w:val="000000"/>
                <w:lang w:eastAsia="es-MX"/>
              </w:rPr>
              <w:t xml:space="preserve">de </w:t>
            </w:r>
            <w:r w:rsidR="00B1404C">
              <w:rPr>
                <w:rFonts w:eastAsia="Times New Roman"/>
                <w:color w:val="000000"/>
                <w:lang w:eastAsia="es-MX"/>
              </w:rPr>
              <w:t xml:space="preserve">homologación </w:t>
            </w:r>
            <w:r w:rsidR="00BF326C">
              <w:rPr>
                <w:rFonts w:eastAsia="Times New Roman"/>
                <w:color w:val="000000"/>
                <w:lang w:eastAsia="es-MX"/>
              </w:rPr>
              <w:t xml:space="preserve">con lo establecido en la LFTR y otros ordenamientos jurídicos, </w:t>
            </w:r>
            <w:r>
              <w:rPr>
                <w:rFonts w:eastAsia="Times New Roman"/>
                <w:color w:val="000000"/>
                <w:lang w:eastAsia="es-MX"/>
              </w:rPr>
              <w:t>entre otras.</w:t>
            </w:r>
          </w:p>
        </w:tc>
      </w:tr>
      <w:tr w:rsidR="004802CE" w:rsidRPr="00DF5B3F" w14:paraId="645E7BFB" w14:textId="77777777" w:rsidTr="00090F4F">
        <w:trPr>
          <w:trHeight w:val="414"/>
        </w:trPr>
        <w:tc>
          <w:tcPr>
            <w:tcW w:w="8641" w:type="dxa"/>
            <w:gridSpan w:val="3"/>
            <w:shd w:val="clear" w:color="auto" w:fill="FFFFFF"/>
            <w:vAlign w:val="center"/>
          </w:tcPr>
          <w:p w14:paraId="645E7BFA" w14:textId="59BD91DF"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Cuáles son los efectos que las medidas referentes a compartición de infraestructura 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1C230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 Explique</w:t>
            </w:r>
          </w:p>
        </w:tc>
      </w:tr>
      <w:tr w:rsidR="004802CE" w:rsidRPr="00DF5B3F" w14:paraId="645E7BFD" w14:textId="77777777" w:rsidTr="00090F4F">
        <w:trPr>
          <w:trHeight w:val="414"/>
        </w:trPr>
        <w:tc>
          <w:tcPr>
            <w:tcW w:w="8641" w:type="dxa"/>
            <w:gridSpan w:val="3"/>
            <w:shd w:val="clear" w:color="auto" w:fill="FFFFFF"/>
            <w:vAlign w:val="center"/>
          </w:tcPr>
          <w:p w14:paraId="645E7BFC"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00" w14:textId="77777777" w:rsidTr="00C355B5">
        <w:trPr>
          <w:trHeight w:val="414"/>
        </w:trPr>
        <w:tc>
          <w:tcPr>
            <w:tcW w:w="3047" w:type="dxa"/>
            <w:gridSpan w:val="2"/>
            <w:shd w:val="clear" w:color="auto" w:fill="FFFFFF"/>
            <w:vAlign w:val="center"/>
          </w:tcPr>
          <w:p w14:paraId="645E7BFE"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BFF"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4802CE" w:rsidRPr="00DF5B3F" w14:paraId="645E7C02" w14:textId="77777777" w:rsidTr="00090F4F">
        <w:trPr>
          <w:trHeight w:val="414"/>
        </w:trPr>
        <w:tc>
          <w:tcPr>
            <w:tcW w:w="8641" w:type="dxa"/>
            <w:gridSpan w:val="3"/>
            <w:shd w:val="clear" w:color="auto" w:fill="FFFFFF"/>
            <w:vAlign w:val="center"/>
          </w:tcPr>
          <w:p w14:paraId="645E7C01" w14:textId="29D43CDC"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1C2306">
              <w:rPr>
                <w:rFonts w:eastAsia="Times New Roman"/>
                <w:b/>
                <w:color w:val="000000"/>
                <w:szCs w:val="20"/>
                <w:lang w:eastAsia="es-MX"/>
              </w:rPr>
              <w:t>En qué grado considera que</w:t>
            </w:r>
            <w:r w:rsidRPr="001A5B2D">
              <w:rPr>
                <w:rFonts w:eastAsia="Times New Roman"/>
                <w:b/>
                <w:color w:val="000000"/>
                <w:szCs w:val="20"/>
                <w:lang w:eastAsia="es-MX"/>
              </w:rPr>
              <w:t xml:space="preserv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C04" w14:textId="77777777" w:rsidTr="00090F4F">
        <w:trPr>
          <w:trHeight w:val="414"/>
        </w:trPr>
        <w:tc>
          <w:tcPr>
            <w:tcW w:w="8641" w:type="dxa"/>
            <w:gridSpan w:val="3"/>
            <w:shd w:val="clear" w:color="auto" w:fill="FFFFFF"/>
            <w:vAlign w:val="center"/>
          </w:tcPr>
          <w:p w14:paraId="645E7C03"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07" w14:textId="77777777" w:rsidTr="00C355B5">
        <w:trPr>
          <w:trHeight w:val="414"/>
        </w:trPr>
        <w:tc>
          <w:tcPr>
            <w:tcW w:w="3047" w:type="dxa"/>
            <w:gridSpan w:val="2"/>
            <w:shd w:val="clear" w:color="auto" w:fill="FFFFFF"/>
            <w:vAlign w:val="center"/>
          </w:tcPr>
          <w:p w14:paraId="645E7C05"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06"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4802CE" w:rsidRPr="00DF5B3F" w14:paraId="645E7C09" w14:textId="77777777" w:rsidTr="00090F4F">
        <w:trPr>
          <w:trHeight w:val="414"/>
        </w:trPr>
        <w:tc>
          <w:tcPr>
            <w:tcW w:w="8641" w:type="dxa"/>
            <w:gridSpan w:val="3"/>
            <w:shd w:val="clear" w:color="auto" w:fill="FFFFFF"/>
            <w:vAlign w:val="center"/>
          </w:tcPr>
          <w:p w14:paraId="645E7C08"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0B" w14:textId="77777777" w:rsidTr="00090F4F">
        <w:trPr>
          <w:trHeight w:val="414"/>
        </w:trPr>
        <w:tc>
          <w:tcPr>
            <w:tcW w:w="8641" w:type="dxa"/>
            <w:gridSpan w:val="3"/>
            <w:shd w:val="clear" w:color="auto" w:fill="FFFFFF"/>
            <w:vAlign w:val="center"/>
          </w:tcPr>
          <w:p w14:paraId="645E7C0A" w14:textId="1E65D696"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1C2306">
              <w:rPr>
                <w:rFonts w:eastAsia="Times New Roman"/>
                <w:b/>
                <w:color w:val="000000"/>
                <w:szCs w:val="20"/>
                <w:lang w:eastAsia="es-MX"/>
              </w:rPr>
              <w:t>En qué grado considera</w:t>
            </w:r>
            <w:r w:rsidR="001C230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0E4172">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r w:rsidR="001C2306" w:rsidRPr="001A5B2D" w:rsidDel="001C2306">
              <w:rPr>
                <w:rFonts w:eastAsia="Times New Roman"/>
                <w:b/>
                <w:color w:val="000000"/>
                <w:szCs w:val="20"/>
                <w:lang w:eastAsia="es-MX"/>
              </w:rPr>
              <w:t xml:space="preserve"> </w:t>
            </w:r>
          </w:p>
        </w:tc>
      </w:tr>
      <w:tr w:rsidR="004802CE" w:rsidRPr="00DF5B3F" w14:paraId="645E7C0D" w14:textId="77777777" w:rsidTr="00090F4F">
        <w:trPr>
          <w:trHeight w:val="414"/>
        </w:trPr>
        <w:tc>
          <w:tcPr>
            <w:tcW w:w="8641" w:type="dxa"/>
            <w:gridSpan w:val="3"/>
            <w:shd w:val="clear" w:color="auto" w:fill="FFFFFF"/>
            <w:vAlign w:val="center"/>
          </w:tcPr>
          <w:p w14:paraId="645E7C0C"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10" w14:textId="77777777" w:rsidTr="00C355B5">
        <w:trPr>
          <w:trHeight w:val="414"/>
        </w:trPr>
        <w:tc>
          <w:tcPr>
            <w:tcW w:w="3047" w:type="dxa"/>
            <w:gridSpan w:val="2"/>
            <w:shd w:val="clear" w:color="auto" w:fill="FFFFFF"/>
            <w:vAlign w:val="center"/>
          </w:tcPr>
          <w:p w14:paraId="645E7C0E"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0F"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CE67E5" w:rsidRPr="00DF5B3F" w14:paraId="1059DE0F" w14:textId="77777777" w:rsidTr="00CE67E5">
        <w:trPr>
          <w:trHeight w:val="414"/>
        </w:trPr>
        <w:tc>
          <w:tcPr>
            <w:tcW w:w="8641" w:type="dxa"/>
            <w:gridSpan w:val="3"/>
            <w:shd w:val="clear" w:color="auto" w:fill="FFFFFF"/>
          </w:tcPr>
          <w:p w14:paraId="5884BAA2" w14:textId="2EED0A0B" w:rsidR="00CE67E5" w:rsidRDefault="0049205A" w:rsidP="00CE67E5">
            <w:pPr>
              <w:rPr>
                <w:b/>
              </w:rPr>
            </w:pPr>
            <w:r>
              <w:rPr>
                <w:b/>
              </w:rPr>
              <w:t>En caso de contar</w:t>
            </w:r>
            <w:r w:rsidR="00CE67E5" w:rsidRPr="00CE67E5">
              <w:rPr>
                <w:b/>
              </w:rPr>
              <w:t xml:space="preserve"> con una propuesta específica sobre alguna de las medidas relacionadas con </w:t>
            </w:r>
            <w:r w:rsidR="00CE67E5">
              <w:rPr>
                <w:b/>
              </w:rPr>
              <w:t>compartición de infraestructura</w:t>
            </w:r>
            <w:r w:rsidR="00CE67E5" w:rsidRPr="00CE67E5">
              <w:rPr>
                <w:b/>
              </w:rPr>
              <w:t xml:space="preserve">, </w:t>
            </w:r>
            <w:r w:rsidR="00F771EF">
              <w:rPr>
                <w:b/>
              </w:rPr>
              <w:t>deberá indicarla.</w:t>
            </w:r>
          </w:p>
          <w:p w14:paraId="308C45AD" w14:textId="6A5237DC" w:rsidR="00CE67E5" w:rsidRPr="00240D9F" w:rsidRDefault="0049205A" w:rsidP="00774FEC">
            <w:r w:rsidRPr="004B5E3D">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E67E5" w:rsidRPr="00DF5B3F" w14:paraId="6E849664" w14:textId="77777777" w:rsidTr="00CE67E5">
        <w:trPr>
          <w:trHeight w:val="414"/>
        </w:trPr>
        <w:tc>
          <w:tcPr>
            <w:tcW w:w="3047" w:type="dxa"/>
            <w:gridSpan w:val="2"/>
            <w:shd w:val="clear" w:color="auto" w:fill="FFFFFF"/>
          </w:tcPr>
          <w:p w14:paraId="29D27A52" w14:textId="216E3E59" w:rsidR="00CE67E5" w:rsidRP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[Indique medida]</w:t>
            </w:r>
          </w:p>
        </w:tc>
        <w:tc>
          <w:tcPr>
            <w:tcW w:w="5594" w:type="dxa"/>
            <w:shd w:val="clear" w:color="auto" w:fill="FFFFFF"/>
          </w:tcPr>
          <w:p w14:paraId="0AAB73C2" w14:textId="6F7A9193" w:rsid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E67E5" w:rsidRPr="00DF5B3F" w14:paraId="24BE4DF4" w14:textId="77777777" w:rsidTr="00CE67E5">
        <w:trPr>
          <w:trHeight w:val="414"/>
        </w:trPr>
        <w:tc>
          <w:tcPr>
            <w:tcW w:w="3047" w:type="dxa"/>
            <w:gridSpan w:val="2"/>
            <w:shd w:val="clear" w:color="auto" w:fill="FFFFFF"/>
          </w:tcPr>
          <w:p w14:paraId="77928F43" w14:textId="397B426C" w:rsidR="00CE67E5" w:rsidRP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[Indique medida]</w:t>
            </w:r>
          </w:p>
        </w:tc>
        <w:tc>
          <w:tcPr>
            <w:tcW w:w="5594" w:type="dxa"/>
            <w:shd w:val="clear" w:color="auto" w:fill="FFFFFF"/>
          </w:tcPr>
          <w:p w14:paraId="4C8EFE4A" w14:textId="5CB9A37E" w:rsidR="00CE67E5" w:rsidRDefault="00CE67E5" w:rsidP="00CE67E5">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802CE" w:rsidRPr="00DF5B3F" w14:paraId="645E7C19" w14:textId="77777777" w:rsidTr="001A5B2D">
        <w:trPr>
          <w:trHeight w:val="414"/>
        </w:trPr>
        <w:tc>
          <w:tcPr>
            <w:tcW w:w="1754" w:type="dxa"/>
            <w:shd w:val="clear" w:color="auto" w:fill="C5E0B3"/>
            <w:vAlign w:val="center"/>
          </w:tcPr>
          <w:p w14:paraId="645E7C11" w14:textId="77777777"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Medidas referentes a</w:t>
            </w:r>
          </w:p>
          <w:p w14:paraId="645E7C12" w14:textId="77777777"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Usuarios finales</w:t>
            </w:r>
          </w:p>
          <w:p w14:paraId="645E7C13" w14:textId="77777777" w:rsidR="00A9464D" w:rsidRDefault="00A9464D" w:rsidP="004802CE">
            <w:pPr>
              <w:spacing w:after="0" w:line="276" w:lineRule="auto"/>
              <w:jc w:val="center"/>
              <w:rPr>
                <w:rFonts w:eastAsia="Times New Roman"/>
                <w:b/>
                <w:color w:val="000000"/>
                <w:lang w:eastAsia="es-MX"/>
              </w:rPr>
            </w:pPr>
          </w:p>
          <w:p w14:paraId="645E7C14" w14:textId="77777777"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 xml:space="preserve">Anexo 1: </w:t>
            </w:r>
            <w:r w:rsidR="00E557E3">
              <w:t xml:space="preserve"> </w:t>
            </w:r>
            <w:r w:rsidR="00E557E3" w:rsidRPr="00E557E3">
              <w:rPr>
                <w:rFonts w:eastAsia="Times New Roman"/>
                <w:b/>
                <w:color w:val="000000"/>
                <w:lang w:eastAsia="es-MX"/>
              </w:rPr>
              <w:t>43, 44, 45, 46, 47</w:t>
            </w:r>
            <w:r w:rsidR="00E557E3">
              <w:rPr>
                <w:rFonts w:eastAsia="Times New Roman"/>
                <w:b/>
                <w:color w:val="000000"/>
                <w:lang w:eastAsia="es-MX"/>
              </w:rPr>
              <w:t>, 48, 49, 50, 51, 52, 53, 55 y</w:t>
            </w:r>
            <w:r w:rsidR="00E557E3" w:rsidRPr="00E557E3">
              <w:rPr>
                <w:rFonts w:eastAsia="Times New Roman"/>
                <w:b/>
                <w:color w:val="000000"/>
                <w:lang w:eastAsia="es-MX"/>
              </w:rPr>
              <w:t xml:space="preserve"> 58</w:t>
            </w:r>
            <w:r>
              <w:rPr>
                <w:rFonts w:eastAsia="Times New Roman"/>
                <w:b/>
                <w:color w:val="000000"/>
                <w:lang w:eastAsia="es-MX"/>
              </w:rPr>
              <w:t>.</w:t>
            </w:r>
          </w:p>
        </w:tc>
        <w:tc>
          <w:tcPr>
            <w:tcW w:w="6887" w:type="dxa"/>
            <w:gridSpan w:val="2"/>
            <w:shd w:val="clear" w:color="auto" w:fill="C5E0B3"/>
            <w:vAlign w:val="center"/>
          </w:tcPr>
          <w:p w14:paraId="645E7C15" w14:textId="77777777" w:rsidR="00412CD9" w:rsidRPr="00AD5232" w:rsidRDefault="004802CE" w:rsidP="00B213DF">
            <w:pPr>
              <w:spacing w:after="0"/>
              <w:rPr>
                <w:b/>
                <w:lang w:eastAsia="es-MX"/>
              </w:rPr>
            </w:pPr>
            <w:r w:rsidRPr="00A9464D">
              <w:rPr>
                <w:b/>
                <w:lang w:eastAsia="es-MX"/>
              </w:rPr>
              <w:t>Objetivo</w:t>
            </w:r>
            <w:r w:rsidR="00EA2FE2" w:rsidRPr="00A9464D">
              <w:rPr>
                <w:b/>
                <w:lang w:eastAsia="es-MX"/>
              </w:rPr>
              <w:t>s</w:t>
            </w:r>
            <w:r w:rsidR="00B5425A" w:rsidRPr="00A9464D">
              <w:rPr>
                <w:b/>
                <w:lang w:eastAsia="es-MX"/>
              </w:rPr>
              <w:t xml:space="preserve"> generales</w:t>
            </w:r>
            <w:r w:rsidRPr="00A9464D">
              <w:rPr>
                <w:b/>
                <w:lang w:eastAsia="es-MX"/>
              </w:rPr>
              <w:t>:</w:t>
            </w:r>
          </w:p>
          <w:p w14:paraId="645E7C16" w14:textId="77777777" w:rsidR="004802CE" w:rsidRPr="00870F7C" w:rsidRDefault="00EC5AC0" w:rsidP="004802CE">
            <w:pPr>
              <w:numPr>
                <w:ilvl w:val="0"/>
                <w:numId w:val="21"/>
              </w:numPr>
              <w:spacing w:after="0"/>
              <w:rPr>
                <w:lang w:eastAsia="es-MX"/>
              </w:rPr>
            </w:pPr>
            <w:r>
              <w:rPr>
                <w:lang w:eastAsia="es-MX"/>
              </w:rPr>
              <w:t>Reducir las asimetrías de información</w:t>
            </w:r>
            <w:r w:rsidR="004802CE" w:rsidRPr="00870F7C">
              <w:rPr>
                <w:lang w:eastAsia="es-MX"/>
              </w:rPr>
              <w:t xml:space="preserve">. </w:t>
            </w:r>
          </w:p>
          <w:p w14:paraId="645E7C17" w14:textId="77777777" w:rsidR="00900E99" w:rsidRDefault="00900E99" w:rsidP="00B213DF">
            <w:pPr>
              <w:numPr>
                <w:ilvl w:val="0"/>
                <w:numId w:val="21"/>
              </w:numPr>
              <w:spacing w:after="0"/>
              <w:rPr>
                <w:lang w:eastAsia="es-MX"/>
              </w:rPr>
            </w:pPr>
            <w:r>
              <w:t>Remediar y prevenir condiciones y conductas con efectos que no favorezcan la competencia y libre concurrencia</w:t>
            </w:r>
            <w:r>
              <w:rPr>
                <w:lang w:eastAsia="es-MX"/>
              </w:rPr>
              <w:t>.</w:t>
            </w:r>
          </w:p>
          <w:p w14:paraId="645E7C18" w14:textId="77777777" w:rsidR="004802CE" w:rsidRPr="00DF67B4" w:rsidRDefault="00900E99" w:rsidP="00412CD9">
            <w:pPr>
              <w:numPr>
                <w:ilvl w:val="0"/>
                <w:numId w:val="21"/>
              </w:numPr>
              <w:spacing w:after="0"/>
              <w:rPr>
                <w:lang w:eastAsia="es-MX"/>
              </w:rPr>
            </w:pPr>
            <w:r>
              <w:rPr>
                <w:lang w:eastAsia="es-MX"/>
              </w:rPr>
              <w:t>Disminuir costos de transacción.</w:t>
            </w:r>
          </w:p>
        </w:tc>
      </w:tr>
      <w:tr w:rsidR="004802CE" w:rsidRPr="00DF5B3F" w14:paraId="645E7C1F" w14:textId="77777777" w:rsidTr="00090F4F">
        <w:trPr>
          <w:trHeight w:val="414"/>
        </w:trPr>
        <w:tc>
          <w:tcPr>
            <w:tcW w:w="8641" w:type="dxa"/>
            <w:gridSpan w:val="3"/>
            <w:shd w:val="clear" w:color="auto" w:fill="FFFFFF"/>
            <w:vAlign w:val="center"/>
          </w:tcPr>
          <w:p w14:paraId="645E7C1A" w14:textId="77777777" w:rsidR="004802CE" w:rsidRPr="00AD5232" w:rsidRDefault="007D23B9" w:rsidP="004C6290">
            <w:pPr>
              <w:rPr>
                <w:b/>
              </w:rPr>
            </w:pPr>
            <w:r w:rsidRPr="00A9464D">
              <w:rPr>
                <w:b/>
              </w:rPr>
              <w:t>Contexto</w:t>
            </w:r>
            <w:r w:rsidR="004802CE" w:rsidRPr="00A9464D">
              <w:rPr>
                <w:b/>
              </w:rPr>
              <w:t>:</w:t>
            </w:r>
          </w:p>
          <w:p w14:paraId="645E7C1B" w14:textId="77777777" w:rsidR="004802CE" w:rsidRDefault="00301298" w:rsidP="00BE3C0A">
            <w:r>
              <w:lastRenderedPageBreak/>
              <w:t xml:space="preserve">Los costos de cambio que enfrentan los usuarios para migrar de operador de telecomunicaciones </w:t>
            </w:r>
            <w:r w:rsidR="004802CE">
              <w:t>pueden llegar a formar una barrera a la entrada y/o expansión de operadores eficientes alternos</w:t>
            </w:r>
            <w:r>
              <w:t xml:space="preserve">. Asimismo, parte del desarrollo del sector involucra </w:t>
            </w:r>
            <w:r w:rsidR="004802CE">
              <w:t>la protección de los usuarios finales en los procesos de contratación de los servicios.</w:t>
            </w:r>
          </w:p>
          <w:p w14:paraId="645E7C1C" w14:textId="77777777" w:rsidR="00FD7F36" w:rsidRDefault="00FD7F36" w:rsidP="004802CE">
            <w:pPr>
              <w:rPr>
                <w:b/>
              </w:rPr>
            </w:pPr>
            <w:r w:rsidRPr="006B30F6">
              <w:rPr>
                <w:b/>
              </w:rPr>
              <w:t>Resumen</w:t>
            </w:r>
            <w:r>
              <w:rPr>
                <w:b/>
              </w:rPr>
              <w:t xml:space="preserve"> de las medidas impuestas:</w:t>
            </w:r>
          </w:p>
          <w:p w14:paraId="645E7C1D" w14:textId="77777777" w:rsidR="004802CE" w:rsidRDefault="00FD7F36" w:rsidP="00596C21">
            <w:r>
              <w:t>El Instituto impuso medidas al AEPT referentes a</w:t>
            </w:r>
            <w:r w:rsidR="00812E4D">
              <w:t xml:space="preserve"> información mínima que el AEPT debe proveer a los usuarios finales, condiciones de contratación y cancelación, facturaci</w:t>
            </w:r>
            <w:r w:rsidR="00826A3D">
              <w:t>ón de los servicios y</w:t>
            </w:r>
            <w:r w:rsidR="00812E4D">
              <w:t xml:space="preserve"> canales de atención</w:t>
            </w:r>
            <w:r w:rsidR="00826A3D">
              <w:t>, entre otras.</w:t>
            </w:r>
            <w:r>
              <w:t xml:space="preserve"> </w:t>
            </w:r>
          </w:p>
          <w:p w14:paraId="645E7C1E" w14:textId="77777777" w:rsidR="00EF1D11" w:rsidRPr="00AD5232" w:rsidRDefault="00F05C3C" w:rsidP="009772F8">
            <w:r>
              <w:rPr>
                <w:rFonts w:eastAsia="Times New Roman"/>
                <w:color w:val="000000"/>
                <w:lang w:eastAsia="es-MX"/>
              </w:rPr>
              <w:t>A través de la Resolución Bienal de Telecomunicaciones se hicieron adecuaciones</w:t>
            </w:r>
            <w:r w:rsidR="009772F8">
              <w:rPr>
                <w:rFonts w:eastAsia="Times New Roman"/>
                <w:color w:val="000000"/>
                <w:lang w:eastAsia="es-MX"/>
              </w:rPr>
              <w:t xml:space="preserve"> en materia de información sobre la velocidad del servicio y homologación</w:t>
            </w:r>
            <w:r>
              <w:rPr>
                <w:rFonts w:eastAsia="Times New Roman"/>
                <w:color w:val="000000"/>
                <w:lang w:eastAsia="es-MX"/>
              </w:rPr>
              <w:t xml:space="preserve"> con lo establecido en la LFTR y otros ordenamientos jurídicos.</w:t>
            </w:r>
          </w:p>
        </w:tc>
      </w:tr>
      <w:tr w:rsidR="004802CE" w:rsidRPr="00DF5B3F" w14:paraId="645E7C21" w14:textId="77777777" w:rsidTr="00090F4F">
        <w:trPr>
          <w:trHeight w:val="414"/>
        </w:trPr>
        <w:tc>
          <w:tcPr>
            <w:tcW w:w="8641" w:type="dxa"/>
            <w:gridSpan w:val="3"/>
            <w:shd w:val="clear" w:color="auto" w:fill="FFFFFF"/>
            <w:vAlign w:val="center"/>
          </w:tcPr>
          <w:p w14:paraId="645E7C20" w14:textId="053C1EE7"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Cuáles son los efectos que las medidas referentes a usuarios finales 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1C230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802CE" w:rsidRPr="00DF5B3F" w14:paraId="645E7C23" w14:textId="77777777" w:rsidTr="00090F4F">
        <w:trPr>
          <w:trHeight w:val="414"/>
        </w:trPr>
        <w:tc>
          <w:tcPr>
            <w:tcW w:w="8641" w:type="dxa"/>
            <w:gridSpan w:val="3"/>
            <w:shd w:val="clear" w:color="auto" w:fill="FFFFFF"/>
            <w:vAlign w:val="center"/>
          </w:tcPr>
          <w:p w14:paraId="645E7C22"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26" w14:textId="77777777" w:rsidTr="00A41F5F">
        <w:trPr>
          <w:trHeight w:val="414"/>
        </w:trPr>
        <w:tc>
          <w:tcPr>
            <w:tcW w:w="3047" w:type="dxa"/>
            <w:gridSpan w:val="2"/>
            <w:shd w:val="clear" w:color="auto" w:fill="FFFFFF"/>
            <w:vAlign w:val="center"/>
          </w:tcPr>
          <w:p w14:paraId="645E7C24"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25"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4802CE" w:rsidRPr="00DF5B3F" w14:paraId="645E7C28" w14:textId="77777777" w:rsidTr="00090F4F">
        <w:trPr>
          <w:trHeight w:val="414"/>
        </w:trPr>
        <w:tc>
          <w:tcPr>
            <w:tcW w:w="8641" w:type="dxa"/>
            <w:gridSpan w:val="3"/>
            <w:shd w:val="clear" w:color="auto" w:fill="FFFFFF"/>
            <w:vAlign w:val="center"/>
          </w:tcPr>
          <w:p w14:paraId="645E7C27" w14:textId="50EAB781"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1C2306">
              <w:rPr>
                <w:rFonts w:eastAsia="Times New Roman"/>
                <w:b/>
                <w:color w:val="000000"/>
                <w:szCs w:val="20"/>
                <w:lang w:eastAsia="es-MX"/>
              </w:rPr>
              <w:t>En qué grado considera</w:t>
            </w:r>
            <w:r w:rsidR="001C230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C2A" w14:textId="77777777" w:rsidTr="00090F4F">
        <w:trPr>
          <w:trHeight w:val="414"/>
        </w:trPr>
        <w:tc>
          <w:tcPr>
            <w:tcW w:w="8641" w:type="dxa"/>
            <w:gridSpan w:val="3"/>
            <w:shd w:val="clear" w:color="auto" w:fill="FFFFFF"/>
            <w:vAlign w:val="center"/>
          </w:tcPr>
          <w:p w14:paraId="645E7C29"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2D" w14:textId="77777777" w:rsidTr="00C355B5">
        <w:trPr>
          <w:trHeight w:val="414"/>
        </w:trPr>
        <w:tc>
          <w:tcPr>
            <w:tcW w:w="3047" w:type="dxa"/>
            <w:gridSpan w:val="2"/>
            <w:shd w:val="clear" w:color="auto" w:fill="FFFFFF"/>
            <w:vAlign w:val="center"/>
          </w:tcPr>
          <w:p w14:paraId="645E7C2B"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2C"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4802CE" w:rsidRPr="00DF5B3F" w14:paraId="645E7C2F" w14:textId="77777777" w:rsidTr="00090F4F">
        <w:trPr>
          <w:trHeight w:val="414"/>
        </w:trPr>
        <w:tc>
          <w:tcPr>
            <w:tcW w:w="8641" w:type="dxa"/>
            <w:gridSpan w:val="3"/>
            <w:shd w:val="clear" w:color="auto" w:fill="FFFFFF"/>
            <w:vAlign w:val="center"/>
          </w:tcPr>
          <w:p w14:paraId="645E7C2E"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31" w14:textId="77777777" w:rsidTr="00090F4F">
        <w:trPr>
          <w:trHeight w:val="414"/>
        </w:trPr>
        <w:tc>
          <w:tcPr>
            <w:tcW w:w="8641" w:type="dxa"/>
            <w:gridSpan w:val="3"/>
            <w:shd w:val="clear" w:color="auto" w:fill="FFFFFF"/>
            <w:vAlign w:val="center"/>
          </w:tcPr>
          <w:p w14:paraId="645E7C30" w14:textId="651CB5CF"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1C2306">
              <w:rPr>
                <w:rFonts w:eastAsia="Times New Roman"/>
                <w:b/>
                <w:color w:val="000000"/>
                <w:szCs w:val="20"/>
                <w:lang w:eastAsia="es-MX"/>
              </w:rPr>
              <w:t>En qué grado considera</w:t>
            </w:r>
            <w:r w:rsidR="001C230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 xml:space="preserve">las acciones </w:t>
            </w:r>
            <w:r w:rsidR="000E4172">
              <w:rPr>
                <w:rFonts w:eastAsia="Times New Roman"/>
                <w:b/>
                <w:color w:val="000000"/>
                <w:szCs w:val="20"/>
                <w:lang w:eastAsia="es-MX"/>
              </w:rPr>
              <w:t xml:space="preserve">y/o instrumentos </w:t>
            </w:r>
            <w:r>
              <w:rPr>
                <w:rFonts w:eastAsia="Times New Roman"/>
                <w:b/>
                <w:color w:val="000000"/>
                <w:szCs w:val="20"/>
                <w:lang w:eastAsia="es-MX"/>
              </w:rPr>
              <w:t xml:space="preserve">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802CE" w:rsidRPr="00DF5B3F" w14:paraId="645E7C33" w14:textId="77777777" w:rsidTr="00090F4F">
        <w:trPr>
          <w:trHeight w:val="414"/>
        </w:trPr>
        <w:tc>
          <w:tcPr>
            <w:tcW w:w="8641" w:type="dxa"/>
            <w:gridSpan w:val="3"/>
            <w:shd w:val="clear" w:color="auto" w:fill="FFFFFF"/>
            <w:vAlign w:val="center"/>
          </w:tcPr>
          <w:p w14:paraId="645E7C32"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36" w14:textId="77777777" w:rsidTr="00C355B5">
        <w:trPr>
          <w:trHeight w:val="414"/>
        </w:trPr>
        <w:tc>
          <w:tcPr>
            <w:tcW w:w="3047" w:type="dxa"/>
            <w:gridSpan w:val="2"/>
            <w:shd w:val="clear" w:color="auto" w:fill="FFFFFF"/>
            <w:vAlign w:val="center"/>
          </w:tcPr>
          <w:p w14:paraId="645E7C34"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35"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8753B7" w:rsidRPr="00DF5B3F" w14:paraId="4B00469E" w14:textId="77777777" w:rsidTr="008753B7">
        <w:trPr>
          <w:trHeight w:val="414"/>
        </w:trPr>
        <w:tc>
          <w:tcPr>
            <w:tcW w:w="8641" w:type="dxa"/>
            <w:gridSpan w:val="3"/>
            <w:shd w:val="clear" w:color="auto" w:fill="FFFFFF"/>
          </w:tcPr>
          <w:p w14:paraId="196BEB0A" w14:textId="6F1EF874" w:rsidR="008753B7" w:rsidRDefault="0049205A" w:rsidP="008753B7">
            <w:pPr>
              <w:rPr>
                <w:b/>
              </w:rPr>
            </w:pPr>
            <w:r>
              <w:rPr>
                <w:b/>
              </w:rPr>
              <w:t>En caso de contar</w:t>
            </w:r>
            <w:r w:rsidR="008753B7" w:rsidRPr="00CE67E5">
              <w:rPr>
                <w:b/>
              </w:rPr>
              <w:t xml:space="preserve"> con una propuesta específica sobre alguna de las medidas relacionadas con </w:t>
            </w:r>
            <w:r w:rsidR="008753B7">
              <w:rPr>
                <w:b/>
              </w:rPr>
              <w:t>usuarios finales</w:t>
            </w:r>
            <w:r w:rsidR="00F771EF">
              <w:rPr>
                <w:b/>
              </w:rPr>
              <w:t>, deberá indicarla.</w:t>
            </w:r>
          </w:p>
          <w:p w14:paraId="73422131" w14:textId="4178DC36" w:rsidR="008753B7" w:rsidRPr="00240D9F" w:rsidRDefault="0049205A" w:rsidP="00774FEC">
            <w:r w:rsidRPr="004B5E3D">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8753B7" w:rsidRPr="00DF5B3F" w14:paraId="4C43217D" w14:textId="77777777" w:rsidTr="008753B7">
        <w:trPr>
          <w:trHeight w:val="414"/>
        </w:trPr>
        <w:tc>
          <w:tcPr>
            <w:tcW w:w="3047" w:type="dxa"/>
            <w:gridSpan w:val="2"/>
            <w:shd w:val="clear" w:color="auto" w:fill="FFFFFF"/>
          </w:tcPr>
          <w:p w14:paraId="5D6FDF48" w14:textId="38067325" w:rsidR="008753B7" w:rsidRPr="008753B7" w:rsidRDefault="004C11A9" w:rsidP="008753B7">
            <w:pPr>
              <w:jc w:val="center"/>
              <w:rPr>
                <w:rFonts w:eastAsia="Times New Roman"/>
                <w:color w:val="7F7F7F" w:themeColor="text1" w:themeTint="80"/>
                <w:lang w:eastAsia="es-MX"/>
              </w:rPr>
            </w:pPr>
            <w:r w:rsidRPr="004C11A9">
              <w:rPr>
                <w:rFonts w:eastAsia="Times New Roman"/>
                <w:color w:val="7F7F7F" w:themeColor="text1" w:themeTint="80"/>
                <w:lang w:eastAsia="es-MX"/>
              </w:rPr>
              <w:lastRenderedPageBreak/>
              <w:t>[Indique medida]</w:t>
            </w:r>
          </w:p>
        </w:tc>
        <w:tc>
          <w:tcPr>
            <w:tcW w:w="5594" w:type="dxa"/>
            <w:shd w:val="clear" w:color="auto" w:fill="FFFFFF"/>
          </w:tcPr>
          <w:p w14:paraId="27D5B30F" w14:textId="22915DCB" w:rsidR="008753B7" w:rsidRDefault="008753B7" w:rsidP="008753B7">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8753B7" w:rsidRPr="00DF5B3F" w14:paraId="36C7431D" w14:textId="77777777" w:rsidTr="008753B7">
        <w:trPr>
          <w:trHeight w:val="414"/>
        </w:trPr>
        <w:tc>
          <w:tcPr>
            <w:tcW w:w="3047" w:type="dxa"/>
            <w:gridSpan w:val="2"/>
            <w:shd w:val="clear" w:color="auto" w:fill="FFFFFF"/>
          </w:tcPr>
          <w:p w14:paraId="119544CF" w14:textId="39F7C99A" w:rsidR="008753B7" w:rsidRPr="008753B7" w:rsidRDefault="004C11A9" w:rsidP="008753B7">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shd w:val="clear" w:color="auto" w:fill="FFFFFF"/>
          </w:tcPr>
          <w:p w14:paraId="267D7A3D" w14:textId="63999B9D" w:rsidR="008753B7" w:rsidRDefault="008753B7" w:rsidP="008753B7">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802CE" w:rsidRPr="00DF5B3F" w14:paraId="645E7C3E" w14:textId="77777777" w:rsidTr="00B51596">
        <w:trPr>
          <w:trHeight w:val="414"/>
        </w:trPr>
        <w:tc>
          <w:tcPr>
            <w:tcW w:w="1754" w:type="dxa"/>
            <w:shd w:val="clear" w:color="auto" w:fill="C5E0B3"/>
            <w:vAlign w:val="center"/>
          </w:tcPr>
          <w:p w14:paraId="645E7C37" w14:textId="77777777"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 xml:space="preserve">Medidas referentes </w:t>
            </w:r>
            <w:r w:rsidR="00FD7F36">
              <w:rPr>
                <w:rFonts w:eastAsia="Times New Roman"/>
                <w:b/>
                <w:color w:val="000000"/>
                <w:lang w:eastAsia="es-MX"/>
              </w:rPr>
              <w:t xml:space="preserve">a </w:t>
            </w:r>
            <w:r w:rsidR="002E4BE6">
              <w:rPr>
                <w:rFonts w:eastAsia="Times New Roman"/>
                <w:b/>
                <w:color w:val="000000"/>
                <w:lang w:eastAsia="es-MX"/>
              </w:rPr>
              <w:t>I</w:t>
            </w:r>
            <w:r w:rsidR="00FD7F36">
              <w:rPr>
                <w:rFonts w:eastAsia="Times New Roman"/>
                <w:b/>
                <w:color w:val="000000"/>
                <w:lang w:eastAsia="es-MX"/>
              </w:rPr>
              <w:t>nformación</w:t>
            </w:r>
          </w:p>
          <w:p w14:paraId="645E7C38" w14:textId="77777777" w:rsidR="00B16B29" w:rsidRDefault="00B16B29" w:rsidP="004802CE">
            <w:pPr>
              <w:spacing w:after="0" w:line="276" w:lineRule="auto"/>
              <w:jc w:val="center"/>
              <w:rPr>
                <w:rFonts w:eastAsia="Times New Roman"/>
                <w:b/>
                <w:color w:val="000000"/>
                <w:lang w:eastAsia="es-MX"/>
              </w:rPr>
            </w:pPr>
          </w:p>
          <w:p w14:paraId="645E7C39" w14:textId="7829BE52" w:rsidR="004802CE" w:rsidRDefault="004802CE" w:rsidP="004802CE">
            <w:pPr>
              <w:spacing w:after="0" w:line="276" w:lineRule="auto"/>
              <w:jc w:val="center"/>
              <w:rPr>
                <w:rFonts w:eastAsia="Times New Roman"/>
                <w:b/>
                <w:color w:val="000000"/>
                <w:lang w:eastAsia="es-MX"/>
              </w:rPr>
            </w:pPr>
            <w:r>
              <w:rPr>
                <w:rFonts w:eastAsia="Times New Roman"/>
                <w:b/>
                <w:color w:val="000000"/>
                <w:lang w:eastAsia="es-MX"/>
              </w:rPr>
              <w:t>Anexo 1: 27, 32, 33</w:t>
            </w:r>
            <w:r w:rsidR="00C300E9">
              <w:rPr>
                <w:rFonts w:eastAsia="Times New Roman"/>
                <w:b/>
                <w:color w:val="000000"/>
                <w:lang w:eastAsia="es-MX"/>
              </w:rPr>
              <w:t xml:space="preserve">, </w:t>
            </w:r>
            <w:r w:rsidR="00EB1FFA">
              <w:rPr>
                <w:rFonts w:eastAsia="Times New Roman"/>
                <w:b/>
                <w:color w:val="000000"/>
                <w:lang w:eastAsia="es-MX"/>
              </w:rPr>
              <w:t xml:space="preserve">41, </w:t>
            </w:r>
            <w:r w:rsidR="00C300E9">
              <w:rPr>
                <w:rFonts w:eastAsia="Times New Roman"/>
                <w:b/>
                <w:color w:val="000000"/>
                <w:lang w:eastAsia="es-MX"/>
              </w:rPr>
              <w:t>54, 65, 66</w:t>
            </w:r>
            <w:r>
              <w:rPr>
                <w:rFonts w:eastAsia="Times New Roman"/>
                <w:b/>
                <w:color w:val="000000"/>
                <w:lang w:eastAsia="es-MX"/>
              </w:rPr>
              <w:t xml:space="preserve"> y</w:t>
            </w:r>
            <w:r w:rsidRPr="00190DAE">
              <w:rPr>
                <w:rFonts w:eastAsia="Times New Roman"/>
                <w:b/>
                <w:color w:val="000000"/>
                <w:lang w:eastAsia="es-MX"/>
              </w:rPr>
              <w:t xml:space="preserve"> 6</w:t>
            </w:r>
            <w:r w:rsidR="00C300E9">
              <w:rPr>
                <w:rFonts w:eastAsia="Times New Roman"/>
                <w:b/>
                <w:color w:val="000000"/>
                <w:lang w:eastAsia="es-MX"/>
              </w:rPr>
              <w:t>7.</w:t>
            </w:r>
          </w:p>
        </w:tc>
        <w:tc>
          <w:tcPr>
            <w:tcW w:w="6887" w:type="dxa"/>
            <w:gridSpan w:val="2"/>
            <w:shd w:val="clear" w:color="auto" w:fill="C5E0B3"/>
            <w:vAlign w:val="center"/>
          </w:tcPr>
          <w:p w14:paraId="645E7C3A" w14:textId="77777777" w:rsidR="004802CE" w:rsidRPr="00B16B29" w:rsidRDefault="004802CE" w:rsidP="004802CE">
            <w:pPr>
              <w:rPr>
                <w:rFonts w:eastAsia="Times New Roman"/>
                <w:b/>
                <w:color w:val="000000"/>
                <w:lang w:eastAsia="es-MX"/>
              </w:rPr>
            </w:pPr>
            <w:r w:rsidRPr="00B16B29">
              <w:rPr>
                <w:rFonts w:eastAsia="Times New Roman"/>
                <w:b/>
                <w:color w:val="000000"/>
                <w:lang w:eastAsia="es-MX"/>
              </w:rPr>
              <w:t xml:space="preserve">Objetivos </w:t>
            </w:r>
            <w:r w:rsidR="00B5425A" w:rsidRPr="00B16B29">
              <w:rPr>
                <w:rFonts w:eastAsia="Times New Roman"/>
                <w:b/>
                <w:color w:val="000000"/>
                <w:lang w:eastAsia="es-MX"/>
              </w:rPr>
              <w:t>generales:</w:t>
            </w:r>
          </w:p>
          <w:p w14:paraId="645E7C3B" w14:textId="77777777" w:rsidR="00B84A7E" w:rsidRPr="00B16B29" w:rsidRDefault="00B84A7E" w:rsidP="00FA1443">
            <w:pPr>
              <w:numPr>
                <w:ilvl w:val="0"/>
                <w:numId w:val="22"/>
              </w:numPr>
              <w:spacing w:after="0"/>
              <w:rPr>
                <w:rFonts w:eastAsia="Times New Roman"/>
                <w:color w:val="000000"/>
                <w:lang w:eastAsia="es-MX"/>
              </w:rPr>
            </w:pPr>
            <w:r w:rsidRPr="00B16B29">
              <w:rPr>
                <w:rFonts w:eastAsia="Times New Roman"/>
                <w:color w:val="000000"/>
                <w:lang w:eastAsia="es-MX"/>
              </w:rPr>
              <w:t>Reducir asimetrías de información.</w:t>
            </w:r>
          </w:p>
          <w:p w14:paraId="645E7C3C" w14:textId="77777777" w:rsidR="00B16B29" w:rsidRDefault="004C33B6" w:rsidP="004802CE">
            <w:pPr>
              <w:numPr>
                <w:ilvl w:val="0"/>
                <w:numId w:val="22"/>
              </w:numPr>
              <w:spacing w:after="0"/>
              <w:rPr>
                <w:rFonts w:eastAsia="Times New Roman"/>
                <w:color w:val="000000"/>
                <w:lang w:eastAsia="es-MX"/>
              </w:rPr>
            </w:pPr>
            <w:r w:rsidRPr="00B16B29">
              <w:rPr>
                <w:rFonts w:eastAsia="Times New Roman"/>
                <w:color w:val="000000"/>
                <w:lang w:eastAsia="es-MX"/>
              </w:rPr>
              <w:t>Reducir costos de transacción.</w:t>
            </w:r>
          </w:p>
          <w:p w14:paraId="645E7C3D" w14:textId="77777777" w:rsidR="004802CE" w:rsidRPr="00B16B29" w:rsidRDefault="004802CE" w:rsidP="004802CE">
            <w:pPr>
              <w:numPr>
                <w:ilvl w:val="0"/>
                <w:numId w:val="22"/>
              </w:numPr>
              <w:spacing w:after="0"/>
              <w:rPr>
                <w:rFonts w:eastAsia="Times New Roman"/>
                <w:color w:val="000000"/>
                <w:lang w:eastAsia="es-MX"/>
              </w:rPr>
            </w:pPr>
            <w:r w:rsidRPr="00B16B29">
              <w:t>Reducir los</w:t>
            </w:r>
            <w:r>
              <w:t xml:space="preserve"> costos de planeación para la compartición de infraestructura.</w:t>
            </w:r>
          </w:p>
        </w:tc>
      </w:tr>
      <w:tr w:rsidR="004802CE" w:rsidRPr="00DF5B3F" w14:paraId="645E7C44" w14:textId="77777777" w:rsidTr="00090F4F">
        <w:trPr>
          <w:trHeight w:val="414"/>
        </w:trPr>
        <w:tc>
          <w:tcPr>
            <w:tcW w:w="8641" w:type="dxa"/>
            <w:gridSpan w:val="3"/>
            <w:shd w:val="clear" w:color="auto" w:fill="FFFFFF"/>
            <w:vAlign w:val="center"/>
          </w:tcPr>
          <w:p w14:paraId="645E7C3F" w14:textId="77777777" w:rsidR="004802CE" w:rsidRPr="00F40A71" w:rsidRDefault="007D23B9" w:rsidP="004802CE">
            <w:pPr>
              <w:rPr>
                <w:b/>
              </w:rPr>
            </w:pPr>
            <w:r w:rsidRPr="00B16B29">
              <w:rPr>
                <w:b/>
              </w:rPr>
              <w:t>Contexto</w:t>
            </w:r>
            <w:r w:rsidR="004802CE" w:rsidRPr="00B16B29">
              <w:rPr>
                <w:b/>
              </w:rPr>
              <w:t>:</w:t>
            </w:r>
          </w:p>
          <w:p w14:paraId="645E7C40" w14:textId="77777777" w:rsidR="004802CE" w:rsidRDefault="004802CE" w:rsidP="004802CE">
            <w:r>
              <w:t>La información es un elemento indispensable para el buen funcionamiento de un mercado; entre mayor información esté disponible entre oferentes y demandantes</w:t>
            </w:r>
            <w:r w:rsidR="006B30F6">
              <w:t>,</w:t>
            </w:r>
            <w:r>
              <w:t xml:space="preserve"> mejores decisiones de intercambio resultará</w:t>
            </w:r>
            <w:r w:rsidR="00320E08">
              <w:t>n</w:t>
            </w:r>
            <w:r>
              <w:t xml:space="preserve"> entre los agentes económicos. En el caso de los concesionarios de redes públicas de telecomunicaciones que deseen ofertar servicios al usuario final, es necesario conocer con la mayor certeza posible </w:t>
            </w:r>
            <w:r w:rsidR="00320E08">
              <w:t>los insumos disponibles y tener un medio eficiente para realizar solicitudes y dar seguimiento a la prestación de los servicios, entre otros elementos. En el caso del regulador, este también requiere acceso a información relativa a la prestación tanto de servicios minoristas como mayoristas para la mejor toma de decisiones.</w:t>
            </w:r>
          </w:p>
          <w:p w14:paraId="645E7C41" w14:textId="77777777" w:rsidR="0095074F" w:rsidRDefault="0095074F" w:rsidP="004802CE">
            <w:pPr>
              <w:rPr>
                <w:b/>
              </w:rPr>
            </w:pPr>
            <w:r w:rsidRPr="006B30F6">
              <w:rPr>
                <w:b/>
              </w:rPr>
              <w:t>Resumen</w:t>
            </w:r>
            <w:r>
              <w:rPr>
                <w:b/>
              </w:rPr>
              <w:t xml:space="preserve"> de las medidas impuestas:</w:t>
            </w:r>
          </w:p>
          <w:p w14:paraId="645E7C42" w14:textId="77777777" w:rsidR="0095074F" w:rsidRPr="00BD71EA" w:rsidRDefault="0095074F" w:rsidP="0095074F">
            <w:r w:rsidRPr="00BD71EA">
              <w:t xml:space="preserve">El Instituto impuso medidas al AEPT referentes a poner a disposición del Instituto y </w:t>
            </w:r>
            <w:r w:rsidR="00667FD0">
              <w:t xml:space="preserve">de </w:t>
            </w:r>
            <w:r w:rsidRPr="00BD71EA">
              <w:t xml:space="preserve">los </w:t>
            </w:r>
            <w:r w:rsidR="00667FD0">
              <w:t>CS un</w:t>
            </w:r>
            <w:r w:rsidRPr="00BD71EA">
              <w:t xml:space="preserve"> Sistema Electrónico de Gestión (en lo sucesivo, “SEG”), </w:t>
            </w:r>
            <w:r w:rsidR="00667FD0">
              <w:t>con información relativa a su red y como medio para solicitar los servicios mayoristas y dar seguimiento a su provisión, normativas y criterios técnicos, así como asociadas con información de planes comerciales, tráficos y líneas</w:t>
            </w:r>
            <w:r w:rsidR="00DE1262">
              <w:t xml:space="preserve">, </w:t>
            </w:r>
            <w:r w:rsidRPr="00BD71EA">
              <w:t xml:space="preserve">la información relativa a sus instalaciones y criterios técnicos para </w:t>
            </w:r>
            <w:r w:rsidRPr="00011A76">
              <w:t>el acceso a la infraestructura</w:t>
            </w:r>
            <w:r w:rsidR="00DE1262">
              <w:t>, entre otras</w:t>
            </w:r>
            <w:r w:rsidRPr="00011A76">
              <w:t>.</w:t>
            </w:r>
          </w:p>
          <w:p w14:paraId="645E7C43" w14:textId="77777777" w:rsidR="004802CE" w:rsidRPr="00F40A71" w:rsidRDefault="0095074F" w:rsidP="00A714AD">
            <w:r w:rsidRPr="00BD71EA">
              <w:t>A través de la Resolución Bienal</w:t>
            </w:r>
            <w:r>
              <w:t xml:space="preserve"> de Telecomunicaciones</w:t>
            </w:r>
            <w:r w:rsidR="00667FD0">
              <w:t xml:space="preserve"> </w:t>
            </w:r>
            <w:r w:rsidR="00667FD0">
              <w:rPr>
                <w:rFonts w:eastAsia="Times New Roman"/>
                <w:color w:val="000000"/>
                <w:lang w:eastAsia="es-MX"/>
              </w:rPr>
              <w:t xml:space="preserve">se hicieron adecuaciones </w:t>
            </w:r>
            <w:r w:rsidR="009772F8">
              <w:rPr>
                <w:rFonts w:eastAsia="Times New Roman"/>
                <w:color w:val="000000"/>
                <w:lang w:eastAsia="es-MX"/>
              </w:rPr>
              <w:t>relacionadas con</w:t>
            </w:r>
            <w:r w:rsidR="00667FD0">
              <w:rPr>
                <w:rFonts w:eastAsia="Times New Roman"/>
                <w:color w:val="000000"/>
                <w:lang w:eastAsia="es-MX"/>
              </w:rPr>
              <w:t xml:space="preserve"> </w:t>
            </w:r>
            <w:r w:rsidR="009772F8">
              <w:rPr>
                <w:rFonts w:eastAsia="Times New Roman"/>
                <w:color w:val="000000"/>
                <w:lang w:eastAsia="es-MX"/>
              </w:rPr>
              <w:t xml:space="preserve">información y </w:t>
            </w:r>
            <w:r w:rsidR="00A714AD">
              <w:rPr>
                <w:rFonts w:eastAsia="Times New Roman"/>
                <w:color w:val="000000"/>
                <w:lang w:eastAsia="es-MX"/>
              </w:rPr>
              <w:t>características de operación</w:t>
            </w:r>
            <w:r w:rsidR="009772F8">
              <w:rPr>
                <w:rFonts w:eastAsia="Times New Roman"/>
                <w:color w:val="000000"/>
                <w:lang w:eastAsia="es-MX"/>
              </w:rPr>
              <w:t xml:space="preserve"> del </w:t>
            </w:r>
            <w:r w:rsidR="00667FD0">
              <w:rPr>
                <w:rFonts w:eastAsia="Times New Roman"/>
                <w:color w:val="000000"/>
                <w:lang w:eastAsia="es-MX"/>
              </w:rPr>
              <w:t>SEG</w:t>
            </w:r>
            <w:r w:rsidR="00A714AD">
              <w:rPr>
                <w:rFonts w:eastAsia="Times New Roman"/>
                <w:color w:val="000000"/>
                <w:lang w:eastAsia="es-MX"/>
              </w:rPr>
              <w:t xml:space="preserve"> (por ej.,</w:t>
            </w:r>
            <w:r w:rsidR="00667FD0">
              <w:rPr>
                <w:rFonts w:eastAsia="Times New Roman"/>
                <w:color w:val="000000"/>
                <w:lang w:eastAsia="es-MX"/>
              </w:rPr>
              <w:t xml:space="preserve"> mapas de cobertura, tipo y calidad de la información, notificaciones</w:t>
            </w:r>
            <w:r w:rsidR="00A714AD">
              <w:rPr>
                <w:rFonts w:eastAsia="Times New Roman"/>
                <w:color w:val="000000"/>
                <w:lang w:eastAsia="es-MX"/>
              </w:rPr>
              <w:t xml:space="preserve"> y</w:t>
            </w:r>
            <w:r w:rsidR="00667FD0">
              <w:rPr>
                <w:rFonts w:eastAsia="Times New Roman"/>
                <w:color w:val="000000"/>
                <w:lang w:eastAsia="es-MX"/>
              </w:rPr>
              <w:t xml:space="preserve"> alta de inventarios</w:t>
            </w:r>
            <w:r w:rsidR="00767118">
              <w:rPr>
                <w:rFonts w:eastAsia="Times New Roman"/>
                <w:color w:val="000000"/>
                <w:lang w:eastAsia="es-MX"/>
              </w:rPr>
              <w:t>), entre otras</w:t>
            </w:r>
            <w:r w:rsidR="00667FD0">
              <w:rPr>
                <w:rFonts w:eastAsia="Times New Roman"/>
                <w:color w:val="000000"/>
                <w:lang w:eastAsia="es-MX"/>
              </w:rPr>
              <w:t>.</w:t>
            </w:r>
          </w:p>
        </w:tc>
      </w:tr>
      <w:tr w:rsidR="004802CE" w:rsidRPr="00DF5B3F" w14:paraId="645E7C46" w14:textId="77777777" w:rsidTr="00090F4F">
        <w:trPr>
          <w:trHeight w:val="414"/>
        </w:trPr>
        <w:tc>
          <w:tcPr>
            <w:tcW w:w="8641" w:type="dxa"/>
            <w:gridSpan w:val="3"/>
            <w:shd w:val="clear" w:color="auto" w:fill="FFFFFF"/>
            <w:vAlign w:val="center"/>
          </w:tcPr>
          <w:p w14:paraId="645E7C45" w14:textId="7C4657A0"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Pr>
                <w:rFonts w:eastAsia="Times New Roman"/>
                <w:b/>
                <w:color w:val="000000"/>
                <w:szCs w:val="20"/>
                <w:lang w:eastAsia="es-MX"/>
              </w:rPr>
              <w:t xml:space="preserve">Cuáles son los efectos que las </w:t>
            </w:r>
            <w:r w:rsidR="00D43B70">
              <w:rPr>
                <w:rFonts w:eastAsia="Times New Roman"/>
                <w:b/>
                <w:color w:val="000000"/>
                <w:szCs w:val="20"/>
                <w:lang w:eastAsia="es-MX"/>
              </w:rPr>
              <w:t xml:space="preserve">medidas referentes a Información </w:t>
            </w:r>
            <w:r>
              <w:rPr>
                <w:rFonts w:eastAsia="Times New Roman"/>
                <w:b/>
                <w:color w:val="000000"/>
                <w:szCs w:val="20"/>
                <w:lang w:eastAsia="es-MX"/>
              </w:rPr>
              <w:t>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1C230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802CE" w:rsidRPr="00DF5B3F" w14:paraId="645E7C48" w14:textId="77777777" w:rsidTr="00090F4F">
        <w:trPr>
          <w:trHeight w:val="414"/>
        </w:trPr>
        <w:tc>
          <w:tcPr>
            <w:tcW w:w="8641" w:type="dxa"/>
            <w:gridSpan w:val="3"/>
            <w:shd w:val="clear" w:color="auto" w:fill="FFFFFF"/>
            <w:vAlign w:val="center"/>
          </w:tcPr>
          <w:p w14:paraId="645E7C47"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4B" w14:textId="77777777" w:rsidTr="00C355B5">
        <w:trPr>
          <w:trHeight w:val="414"/>
        </w:trPr>
        <w:tc>
          <w:tcPr>
            <w:tcW w:w="3047" w:type="dxa"/>
            <w:gridSpan w:val="2"/>
            <w:shd w:val="clear" w:color="auto" w:fill="FFFFFF"/>
            <w:vAlign w:val="center"/>
          </w:tcPr>
          <w:p w14:paraId="645E7C49"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4A"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4802CE" w:rsidRPr="00DF5B3F" w14:paraId="645E7C4D" w14:textId="77777777" w:rsidTr="00090F4F">
        <w:trPr>
          <w:trHeight w:val="414"/>
        </w:trPr>
        <w:tc>
          <w:tcPr>
            <w:tcW w:w="8641" w:type="dxa"/>
            <w:gridSpan w:val="3"/>
            <w:shd w:val="clear" w:color="auto" w:fill="FFFFFF"/>
            <w:vAlign w:val="center"/>
          </w:tcPr>
          <w:p w14:paraId="645E7C4C" w14:textId="11506F5C"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1C2306">
              <w:rPr>
                <w:rFonts w:eastAsia="Times New Roman"/>
                <w:b/>
                <w:color w:val="000000"/>
                <w:szCs w:val="20"/>
                <w:lang w:eastAsia="es-MX"/>
              </w:rPr>
              <w:t>En qué grado considera</w:t>
            </w:r>
            <w:r w:rsidR="001C230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C4F" w14:textId="77777777" w:rsidTr="00090F4F">
        <w:trPr>
          <w:trHeight w:val="414"/>
        </w:trPr>
        <w:tc>
          <w:tcPr>
            <w:tcW w:w="8641" w:type="dxa"/>
            <w:gridSpan w:val="3"/>
            <w:shd w:val="clear" w:color="auto" w:fill="FFFFFF"/>
            <w:vAlign w:val="center"/>
          </w:tcPr>
          <w:p w14:paraId="645E7C4E"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52" w14:textId="77777777" w:rsidTr="00C355B5">
        <w:trPr>
          <w:trHeight w:val="414"/>
        </w:trPr>
        <w:tc>
          <w:tcPr>
            <w:tcW w:w="3047" w:type="dxa"/>
            <w:gridSpan w:val="2"/>
            <w:shd w:val="clear" w:color="auto" w:fill="FFFFFF"/>
            <w:vAlign w:val="center"/>
          </w:tcPr>
          <w:p w14:paraId="645E7C50"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51" w14:textId="77777777" w:rsidR="004802CE" w:rsidRPr="00C355B5" w:rsidRDefault="004802CE" w:rsidP="004802CE">
            <w:pPr>
              <w:rPr>
                <w:b/>
                <w:color w:val="7F7F7F" w:themeColor="text1" w:themeTint="80"/>
              </w:rPr>
            </w:pPr>
            <w:r w:rsidRPr="00C355B5">
              <w:rPr>
                <w:rFonts w:eastAsia="Times New Roman"/>
                <w:color w:val="7F7F7F" w:themeColor="text1" w:themeTint="80"/>
                <w:lang w:eastAsia="es-MX"/>
              </w:rPr>
              <w:t>[Indique nombre, sección y páginas del documento]</w:t>
            </w:r>
          </w:p>
        </w:tc>
      </w:tr>
      <w:tr w:rsidR="004802CE" w:rsidRPr="00DF5B3F" w14:paraId="645E7C54" w14:textId="77777777" w:rsidTr="00090F4F">
        <w:trPr>
          <w:trHeight w:val="414"/>
        </w:trPr>
        <w:tc>
          <w:tcPr>
            <w:tcW w:w="8641" w:type="dxa"/>
            <w:gridSpan w:val="3"/>
            <w:shd w:val="clear" w:color="auto" w:fill="FFFFFF"/>
            <w:vAlign w:val="center"/>
          </w:tcPr>
          <w:p w14:paraId="645E7C53"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56" w14:textId="77777777" w:rsidTr="00090F4F">
        <w:trPr>
          <w:trHeight w:val="414"/>
        </w:trPr>
        <w:tc>
          <w:tcPr>
            <w:tcW w:w="8641" w:type="dxa"/>
            <w:gridSpan w:val="3"/>
            <w:shd w:val="clear" w:color="auto" w:fill="FFFFFF"/>
            <w:vAlign w:val="center"/>
          </w:tcPr>
          <w:p w14:paraId="645E7C55" w14:textId="7E601F9B"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1C2306">
              <w:rPr>
                <w:rFonts w:eastAsia="Times New Roman"/>
                <w:b/>
                <w:color w:val="000000"/>
                <w:szCs w:val="20"/>
                <w:lang w:eastAsia="es-MX"/>
              </w:rPr>
              <w:t>En qué grado considera</w:t>
            </w:r>
            <w:r w:rsidR="001C230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0E4172">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802CE" w:rsidRPr="00DF5B3F" w14:paraId="645E7C58" w14:textId="77777777" w:rsidTr="00090F4F">
        <w:trPr>
          <w:trHeight w:val="414"/>
        </w:trPr>
        <w:tc>
          <w:tcPr>
            <w:tcW w:w="8641" w:type="dxa"/>
            <w:gridSpan w:val="3"/>
            <w:shd w:val="clear" w:color="auto" w:fill="FFFFFF"/>
            <w:vAlign w:val="center"/>
          </w:tcPr>
          <w:p w14:paraId="645E7C57"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5B" w14:textId="77777777" w:rsidTr="00C355B5">
        <w:trPr>
          <w:trHeight w:val="414"/>
        </w:trPr>
        <w:tc>
          <w:tcPr>
            <w:tcW w:w="3047" w:type="dxa"/>
            <w:gridSpan w:val="2"/>
            <w:shd w:val="clear" w:color="auto" w:fill="FFFFFF"/>
            <w:vAlign w:val="center"/>
          </w:tcPr>
          <w:p w14:paraId="645E7C59"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5A" w14:textId="77777777" w:rsidR="004802CE" w:rsidRPr="00F30CB9" w:rsidRDefault="004802CE" w:rsidP="004802CE">
            <w:pPr>
              <w:rPr>
                <w:b/>
              </w:rPr>
            </w:pPr>
            <w:r w:rsidRPr="00C355B5">
              <w:rPr>
                <w:rFonts w:eastAsia="Times New Roman"/>
                <w:color w:val="7F7F7F" w:themeColor="text1" w:themeTint="80"/>
                <w:lang w:eastAsia="es-MX"/>
              </w:rPr>
              <w:t>[Indique nombre, sección y páginas del documento]</w:t>
            </w:r>
          </w:p>
        </w:tc>
      </w:tr>
      <w:tr w:rsidR="00C8246E" w:rsidRPr="00C355B5" w14:paraId="2FF22782" w14:textId="77777777" w:rsidTr="00EB1FFA">
        <w:trPr>
          <w:trHeight w:val="414"/>
        </w:trPr>
        <w:tc>
          <w:tcPr>
            <w:tcW w:w="8641" w:type="dxa"/>
            <w:gridSpan w:val="3"/>
            <w:shd w:val="clear" w:color="auto" w:fill="FFFFFF"/>
          </w:tcPr>
          <w:p w14:paraId="69F0C21A" w14:textId="38896E98" w:rsidR="00C8246E" w:rsidRDefault="00E14B0F" w:rsidP="00620602">
            <w:pPr>
              <w:rPr>
                <w:b/>
              </w:rPr>
            </w:pPr>
            <w:r>
              <w:rPr>
                <w:b/>
              </w:rPr>
              <w:t>En caso de contar</w:t>
            </w:r>
            <w:r w:rsidR="00C8246E" w:rsidRPr="00CE67E5">
              <w:rPr>
                <w:b/>
              </w:rPr>
              <w:t xml:space="preserve"> con una propuesta específica sobre alguna de las medidas relacionadas con </w:t>
            </w:r>
            <w:r w:rsidR="00C8246E">
              <w:rPr>
                <w:b/>
              </w:rPr>
              <w:t>información</w:t>
            </w:r>
            <w:r w:rsidR="00F771EF">
              <w:rPr>
                <w:b/>
              </w:rPr>
              <w:t>, deberá indicarla.</w:t>
            </w:r>
          </w:p>
          <w:p w14:paraId="4E085001" w14:textId="256C0CC9" w:rsidR="00C8246E" w:rsidRPr="00C355B5" w:rsidRDefault="000228C4" w:rsidP="00620602">
            <w:pPr>
              <w:rPr>
                <w:rFonts w:eastAsia="Times New Roman"/>
                <w:color w:val="7F7F7F" w:themeColor="text1" w:themeTint="8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8246E" w14:paraId="2F219BAD" w14:textId="77777777" w:rsidTr="00EB1FFA">
        <w:trPr>
          <w:trHeight w:val="414"/>
        </w:trPr>
        <w:tc>
          <w:tcPr>
            <w:tcW w:w="3047" w:type="dxa"/>
            <w:gridSpan w:val="2"/>
            <w:shd w:val="clear" w:color="auto" w:fill="FFFFFF"/>
          </w:tcPr>
          <w:p w14:paraId="77E26457"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shd w:val="clear" w:color="auto" w:fill="FFFFFF"/>
          </w:tcPr>
          <w:p w14:paraId="43304DB3"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8246E" w14:paraId="68DA4D5C" w14:textId="77777777" w:rsidTr="00EB1FFA">
        <w:trPr>
          <w:trHeight w:val="414"/>
        </w:trPr>
        <w:tc>
          <w:tcPr>
            <w:tcW w:w="3047" w:type="dxa"/>
            <w:gridSpan w:val="2"/>
            <w:shd w:val="clear" w:color="auto" w:fill="FFFFFF"/>
          </w:tcPr>
          <w:p w14:paraId="375E18E9"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shd w:val="clear" w:color="auto" w:fill="FFFFFF"/>
          </w:tcPr>
          <w:p w14:paraId="2FEE6D0D"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802CE" w:rsidRPr="00DF5B3F" w14:paraId="645E7C62" w14:textId="77777777" w:rsidTr="00B51596">
        <w:trPr>
          <w:trHeight w:val="290"/>
        </w:trPr>
        <w:tc>
          <w:tcPr>
            <w:tcW w:w="1754" w:type="dxa"/>
            <w:shd w:val="clear" w:color="auto" w:fill="C5E0B3"/>
            <w:vAlign w:val="center"/>
          </w:tcPr>
          <w:p w14:paraId="645E7C5C" w14:textId="77777777" w:rsidR="004802CE" w:rsidRDefault="004802CE" w:rsidP="004802CE">
            <w:pPr>
              <w:spacing w:after="0" w:line="276" w:lineRule="auto"/>
              <w:jc w:val="center"/>
              <w:rPr>
                <w:rFonts w:eastAsia="Times New Roman"/>
                <w:b/>
                <w:color w:val="000000"/>
                <w:lang w:eastAsia="es-MX"/>
              </w:rPr>
            </w:pPr>
            <w:r w:rsidRPr="00D26916">
              <w:rPr>
                <w:rFonts w:eastAsia="Times New Roman"/>
                <w:b/>
                <w:color w:val="000000"/>
                <w:lang w:eastAsia="es-MX"/>
              </w:rPr>
              <w:t xml:space="preserve">Medidas referentes a </w:t>
            </w:r>
            <w:r w:rsidR="00C3151F">
              <w:rPr>
                <w:rFonts w:eastAsia="Times New Roman"/>
                <w:b/>
                <w:color w:val="000000"/>
                <w:lang w:eastAsia="es-MX"/>
              </w:rPr>
              <w:t xml:space="preserve">Conductas y </w:t>
            </w:r>
            <w:r w:rsidR="00D43B70">
              <w:rPr>
                <w:rFonts w:eastAsia="Times New Roman"/>
                <w:b/>
                <w:color w:val="000000"/>
                <w:lang w:eastAsia="es-MX"/>
              </w:rPr>
              <w:t xml:space="preserve">No </w:t>
            </w:r>
            <w:r w:rsidR="00FD7F36">
              <w:rPr>
                <w:rFonts w:eastAsia="Times New Roman"/>
                <w:b/>
                <w:color w:val="000000"/>
                <w:lang w:eastAsia="es-MX"/>
              </w:rPr>
              <w:t>Discriminación</w:t>
            </w:r>
          </w:p>
          <w:p w14:paraId="645E7C5D" w14:textId="77777777" w:rsidR="00B16B29" w:rsidRDefault="00B16B29" w:rsidP="00BE3C0A">
            <w:pPr>
              <w:spacing w:after="0" w:line="276" w:lineRule="auto"/>
              <w:jc w:val="center"/>
              <w:rPr>
                <w:rFonts w:eastAsia="Times New Roman"/>
                <w:b/>
                <w:color w:val="000000"/>
                <w:lang w:eastAsia="es-MX"/>
              </w:rPr>
            </w:pPr>
          </w:p>
          <w:p w14:paraId="645E7C5E" w14:textId="77777777" w:rsidR="004802CE" w:rsidRPr="00D26916" w:rsidRDefault="004802CE" w:rsidP="00BE3C0A">
            <w:pPr>
              <w:spacing w:after="0" w:line="276" w:lineRule="auto"/>
              <w:jc w:val="center"/>
              <w:rPr>
                <w:rFonts w:eastAsia="Times New Roman"/>
                <w:b/>
                <w:color w:val="000000"/>
                <w:lang w:eastAsia="es-MX"/>
              </w:rPr>
            </w:pPr>
            <w:r>
              <w:rPr>
                <w:rFonts w:eastAsia="Times New Roman"/>
                <w:b/>
                <w:color w:val="000000"/>
                <w:lang w:eastAsia="es-MX"/>
              </w:rPr>
              <w:t xml:space="preserve">Anexo 1: </w:t>
            </w:r>
            <w:r w:rsidR="00E557E3">
              <w:t xml:space="preserve"> </w:t>
            </w:r>
            <w:r w:rsidR="00E557E3">
              <w:rPr>
                <w:rFonts w:eastAsia="Times New Roman"/>
                <w:b/>
                <w:color w:val="000000"/>
                <w:lang w:eastAsia="es-MX"/>
              </w:rPr>
              <w:t>42,</w:t>
            </w:r>
            <w:r w:rsidR="002E4BE6">
              <w:rPr>
                <w:rFonts w:eastAsia="Times New Roman"/>
                <w:b/>
                <w:color w:val="000000"/>
                <w:lang w:eastAsia="es-MX"/>
              </w:rPr>
              <w:t xml:space="preserve"> </w:t>
            </w:r>
            <w:r w:rsidR="00E557E3">
              <w:rPr>
                <w:rFonts w:eastAsia="Times New Roman"/>
                <w:b/>
                <w:color w:val="000000"/>
                <w:lang w:eastAsia="es-MX"/>
              </w:rPr>
              <w:t>57,</w:t>
            </w:r>
            <w:r w:rsidR="002E4BE6">
              <w:rPr>
                <w:rFonts w:eastAsia="Times New Roman"/>
                <w:b/>
                <w:color w:val="000000"/>
                <w:lang w:eastAsia="es-MX"/>
              </w:rPr>
              <w:t xml:space="preserve"> </w:t>
            </w:r>
            <w:r w:rsidR="00E557E3">
              <w:rPr>
                <w:rFonts w:eastAsia="Times New Roman"/>
                <w:b/>
                <w:color w:val="000000"/>
                <w:lang w:eastAsia="es-MX"/>
              </w:rPr>
              <w:t>64</w:t>
            </w:r>
            <w:r w:rsidR="00C2143C">
              <w:rPr>
                <w:rFonts w:eastAsia="Times New Roman"/>
                <w:b/>
                <w:color w:val="000000"/>
                <w:lang w:eastAsia="es-MX"/>
              </w:rPr>
              <w:t>,</w:t>
            </w:r>
            <w:r w:rsidR="00E557E3" w:rsidRPr="00E557E3">
              <w:rPr>
                <w:rFonts w:eastAsia="Times New Roman"/>
                <w:b/>
                <w:color w:val="000000"/>
                <w:lang w:eastAsia="es-MX"/>
              </w:rPr>
              <w:t xml:space="preserve"> 77</w:t>
            </w:r>
            <w:r w:rsidR="00C2143C">
              <w:rPr>
                <w:rFonts w:eastAsia="Times New Roman"/>
                <w:b/>
                <w:color w:val="000000"/>
                <w:lang w:eastAsia="es-MX"/>
              </w:rPr>
              <w:t xml:space="preserve"> y 78</w:t>
            </w:r>
            <w:r>
              <w:rPr>
                <w:rFonts w:eastAsia="Times New Roman"/>
                <w:b/>
                <w:color w:val="000000"/>
                <w:lang w:eastAsia="es-MX"/>
              </w:rPr>
              <w:t>.</w:t>
            </w:r>
          </w:p>
        </w:tc>
        <w:tc>
          <w:tcPr>
            <w:tcW w:w="6887" w:type="dxa"/>
            <w:gridSpan w:val="2"/>
            <w:shd w:val="clear" w:color="auto" w:fill="C5E0B3"/>
            <w:vAlign w:val="center"/>
          </w:tcPr>
          <w:p w14:paraId="645E7C5F" w14:textId="77777777" w:rsidR="004802CE" w:rsidRDefault="004802CE" w:rsidP="004802CE">
            <w:pPr>
              <w:spacing w:after="0" w:line="276" w:lineRule="auto"/>
              <w:rPr>
                <w:rFonts w:eastAsia="Times New Roman"/>
                <w:b/>
                <w:color w:val="000000"/>
                <w:lang w:eastAsia="es-MX"/>
              </w:rPr>
            </w:pPr>
            <w:r w:rsidRPr="00B16B29">
              <w:rPr>
                <w:rFonts w:eastAsia="Times New Roman"/>
                <w:b/>
                <w:color w:val="000000"/>
                <w:lang w:eastAsia="es-MX"/>
              </w:rPr>
              <w:t xml:space="preserve">Objetivos </w:t>
            </w:r>
            <w:r w:rsidR="00B5425A" w:rsidRPr="00B16B29">
              <w:rPr>
                <w:rFonts w:eastAsia="Times New Roman"/>
                <w:b/>
                <w:color w:val="000000"/>
                <w:lang w:eastAsia="es-MX"/>
              </w:rPr>
              <w:t>generales</w:t>
            </w:r>
            <w:r>
              <w:rPr>
                <w:rFonts w:eastAsia="Times New Roman"/>
                <w:b/>
                <w:color w:val="000000"/>
                <w:lang w:eastAsia="es-MX"/>
              </w:rPr>
              <w:t>:</w:t>
            </w:r>
          </w:p>
          <w:p w14:paraId="645E7C60" w14:textId="77777777" w:rsidR="00E97F86" w:rsidRPr="00FA1443" w:rsidRDefault="00550A91" w:rsidP="00EC0DED">
            <w:pPr>
              <w:numPr>
                <w:ilvl w:val="0"/>
                <w:numId w:val="23"/>
              </w:numPr>
              <w:spacing w:after="0" w:line="276" w:lineRule="auto"/>
              <w:rPr>
                <w:rFonts w:eastAsia="Times New Roman"/>
                <w:b/>
                <w:color w:val="000000"/>
                <w:lang w:eastAsia="es-MX"/>
              </w:rPr>
            </w:pPr>
            <w:r w:rsidRPr="00550A91">
              <w:t>Remediar y prevenir condiciones y conductas con efectos que no favorezcan la competencia y libre concurrencia</w:t>
            </w:r>
            <w:r w:rsidR="00205C60">
              <w:t>.</w:t>
            </w:r>
          </w:p>
          <w:p w14:paraId="7879EEDE" w14:textId="77777777" w:rsidR="004802CE" w:rsidRPr="00663E3A" w:rsidRDefault="00E97F86" w:rsidP="004802CE">
            <w:pPr>
              <w:numPr>
                <w:ilvl w:val="0"/>
                <w:numId w:val="23"/>
              </w:numPr>
              <w:spacing w:after="0" w:line="276" w:lineRule="auto"/>
              <w:rPr>
                <w:rFonts w:eastAsia="Times New Roman"/>
                <w:b/>
                <w:color w:val="000000"/>
                <w:lang w:eastAsia="es-MX"/>
              </w:rPr>
            </w:pPr>
            <w:r>
              <w:t>Promover el acceso eficiente a servicios mayoristas</w:t>
            </w:r>
            <w:r w:rsidR="004802CE">
              <w:t>.</w:t>
            </w:r>
          </w:p>
          <w:p w14:paraId="645E7C61" w14:textId="319E327E" w:rsidR="00897511" w:rsidRPr="004F0D2F" w:rsidRDefault="00897511" w:rsidP="00194F9E">
            <w:pPr>
              <w:spacing w:after="0" w:line="276" w:lineRule="auto"/>
              <w:ind w:left="720"/>
              <w:rPr>
                <w:rFonts w:eastAsia="Times New Roman"/>
                <w:b/>
                <w:color w:val="000000"/>
                <w:lang w:eastAsia="es-MX"/>
              </w:rPr>
            </w:pPr>
          </w:p>
        </w:tc>
      </w:tr>
      <w:tr w:rsidR="004802CE" w:rsidRPr="00DF5B3F" w14:paraId="645E7C68" w14:textId="77777777" w:rsidTr="00090F4F">
        <w:trPr>
          <w:trHeight w:val="290"/>
        </w:trPr>
        <w:tc>
          <w:tcPr>
            <w:tcW w:w="8641" w:type="dxa"/>
            <w:gridSpan w:val="3"/>
            <w:shd w:val="clear" w:color="auto" w:fill="FFFFFF"/>
          </w:tcPr>
          <w:p w14:paraId="645E7C63" w14:textId="77777777" w:rsidR="0079746F" w:rsidRDefault="007D23B9" w:rsidP="004802CE">
            <w:pPr>
              <w:rPr>
                <w:b/>
                <w:lang w:eastAsia="es-MX"/>
              </w:rPr>
            </w:pPr>
            <w:r w:rsidRPr="007D23B9">
              <w:rPr>
                <w:b/>
                <w:lang w:eastAsia="es-MX"/>
              </w:rPr>
              <w:t>Contexto</w:t>
            </w:r>
            <w:r w:rsidRPr="0079746F">
              <w:rPr>
                <w:lang w:eastAsia="es-MX"/>
              </w:rPr>
              <w:t>:</w:t>
            </w:r>
          </w:p>
          <w:p w14:paraId="645E7C64" w14:textId="77777777" w:rsidR="0079746F" w:rsidRDefault="0079746F" w:rsidP="004802CE">
            <w:pPr>
              <w:rPr>
                <w:lang w:eastAsia="es-MX"/>
              </w:rPr>
            </w:pPr>
            <w:r>
              <w:rPr>
                <w:lang w:eastAsia="es-MX"/>
              </w:rPr>
              <w:t>Con la finalidad de prevenir</w:t>
            </w:r>
            <w:r w:rsidR="00007590">
              <w:rPr>
                <w:lang w:eastAsia="es-MX"/>
              </w:rPr>
              <w:t xml:space="preserve"> el desplazamiento indebido de los competidores, resulta conveniente establecer medidas que mitiguen que un operador incurra en prácticas anticompetitivas. Asimismo, cuando un operador verticalmente integrado está obligado a poner a disposición de terceros insumos no replicables con los que cuenta, resulta primordial velar porque estos se provean en términos no discriminatorios</w:t>
            </w:r>
            <w:r w:rsidR="007269C5">
              <w:rPr>
                <w:lang w:eastAsia="es-MX"/>
              </w:rPr>
              <w:t>, es decir, bajo los mismos términos, procesos, sistemas y condiciones económicas</w:t>
            </w:r>
            <w:r w:rsidR="00007590">
              <w:rPr>
                <w:lang w:eastAsia="es-MX"/>
              </w:rPr>
              <w:t>, entre otros.</w:t>
            </w:r>
          </w:p>
          <w:p w14:paraId="645E7C65" w14:textId="77777777" w:rsidR="00FD7F36" w:rsidRDefault="00FD7F36" w:rsidP="006F0290">
            <w:pPr>
              <w:rPr>
                <w:b/>
                <w:lang w:eastAsia="es-MX"/>
              </w:rPr>
            </w:pPr>
            <w:r w:rsidRPr="007269C5">
              <w:rPr>
                <w:b/>
                <w:lang w:eastAsia="es-MX"/>
              </w:rPr>
              <w:t>Resumen</w:t>
            </w:r>
            <w:r>
              <w:rPr>
                <w:b/>
                <w:lang w:eastAsia="es-MX"/>
              </w:rPr>
              <w:t xml:space="preserve"> de medidas impuestas:</w:t>
            </w:r>
          </w:p>
          <w:p w14:paraId="645E7C66" w14:textId="77777777" w:rsidR="002D6585" w:rsidRDefault="00FD7F36" w:rsidP="00566513">
            <w:r w:rsidRPr="00BD71EA">
              <w:t xml:space="preserve">El Instituto impuso medidas al AEPT referentes </w:t>
            </w:r>
            <w:r w:rsidR="002E4BE6">
              <w:t xml:space="preserve">a la </w:t>
            </w:r>
            <w:r w:rsidR="005833EC">
              <w:t xml:space="preserve">provisión de servicios al usuario final en términos que no desplacen indebidamente a la competencia, así como en lo referente a la </w:t>
            </w:r>
            <w:r w:rsidR="002E4BE6">
              <w:t>atención de solicitudes de prestación de servicios</w:t>
            </w:r>
            <w:r w:rsidR="005833EC">
              <w:t xml:space="preserve"> mayoristas</w:t>
            </w:r>
            <w:r w:rsidR="002E4BE6">
              <w:t xml:space="preserve">, </w:t>
            </w:r>
            <w:r w:rsidR="005833EC">
              <w:t>haciendo énfasis en el trato no discriminatorio.</w:t>
            </w:r>
            <w:r w:rsidR="005833EC" w:rsidDel="005833EC">
              <w:t xml:space="preserve"> </w:t>
            </w:r>
          </w:p>
          <w:p w14:paraId="645E7C67" w14:textId="77777777" w:rsidR="002E4BE6" w:rsidRPr="0085418D" w:rsidRDefault="002E4BE6" w:rsidP="00767118">
            <w:r w:rsidRPr="00BD71EA">
              <w:lastRenderedPageBreak/>
              <w:t>A través de la Resolución Bienal</w:t>
            </w:r>
            <w:r>
              <w:t xml:space="preserve"> de Telecomunicaciones </w:t>
            </w:r>
            <w:r>
              <w:rPr>
                <w:rFonts w:eastAsia="Times New Roman"/>
                <w:color w:val="000000"/>
                <w:lang w:eastAsia="es-MX"/>
              </w:rPr>
              <w:t>se hicieron adecuaciones a efecto de prevenir</w:t>
            </w:r>
            <w:r w:rsidR="00F24F8F">
              <w:rPr>
                <w:rFonts w:eastAsia="Times New Roman"/>
                <w:color w:val="000000"/>
                <w:lang w:eastAsia="es-MX"/>
              </w:rPr>
              <w:t xml:space="preserve"> prácticas anticompetitivas</w:t>
            </w:r>
            <w:r w:rsidR="005833EC">
              <w:rPr>
                <w:rFonts w:eastAsia="Times New Roman"/>
                <w:color w:val="000000"/>
                <w:lang w:eastAsia="es-MX"/>
              </w:rPr>
              <w:t xml:space="preserve"> asociadas con el estrechamiento de márgenes</w:t>
            </w:r>
            <w:r w:rsidR="00A714AD">
              <w:rPr>
                <w:rFonts w:eastAsia="Times New Roman"/>
                <w:color w:val="000000"/>
                <w:lang w:eastAsia="es-MX"/>
              </w:rPr>
              <w:t xml:space="preserve"> y</w:t>
            </w:r>
            <w:r>
              <w:rPr>
                <w:rFonts w:eastAsia="Times New Roman"/>
                <w:color w:val="000000"/>
                <w:lang w:eastAsia="es-MX"/>
              </w:rPr>
              <w:t xml:space="preserve"> la discriminación</w:t>
            </w:r>
            <w:r w:rsidR="00A714AD">
              <w:rPr>
                <w:rFonts w:eastAsia="Times New Roman"/>
                <w:color w:val="000000"/>
                <w:lang w:eastAsia="es-MX"/>
              </w:rPr>
              <w:t>,</w:t>
            </w:r>
            <w:r>
              <w:rPr>
                <w:rFonts w:eastAsia="Times New Roman"/>
                <w:color w:val="000000"/>
                <w:lang w:eastAsia="es-MX"/>
              </w:rPr>
              <w:t xml:space="preserve"> tanto por la vía de precios como por una vía distinta (</w:t>
            </w:r>
            <w:r w:rsidR="00DA2884">
              <w:rPr>
                <w:rFonts w:eastAsia="Times New Roman"/>
                <w:color w:val="000000"/>
                <w:lang w:eastAsia="es-MX"/>
              </w:rPr>
              <w:t xml:space="preserve">por ej., </w:t>
            </w:r>
            <w:r>
              <w:rPr>
                <w:rFonts w:eastAsia="Times New Roman"/>
                <w:color w:val="000000"/>
                <w:lang w:eastAsia="es-MX"/>
              </w:rPr>
              <w:t>técnica</w:t>
            </w:r>
            <w:r w:rsidR="00F24F8F">
              <w:rPr>
                <w:rFonts w:eastAsia="Times New Roman"/>
                <w:color w:val="000000"/>
                <w:lang w:eastAsia="es-MX"/>
              </w:rPr>
              <w:t>)</w:t>
            </w:r>
            <w:r w:rsidR="00A714AD">
              <w:rPr>
                <w:rFonts w:eastAsia="Times New Roman"/>
                <w:color w:val="000000"/>
                <w:lang w:eastAsia="es-MX"/>
              </w:rPr>
              <w:t>, mediante la incorporación de obligaciones de</w:t>
            </w:r>
            <w:r w:rsidR="005833EC">
              <w:rPr>
                <w:rFonts w:eastAsia="Times New Roman"/>
                <w:color w:val="000000"/>
                <w:lang w:eastAsia="es-MX"/>
              </w:rPr>
              <w:t xml:space="preserve"> equivalencia de insumos</w:t>
            </w:r>
            <w:r w:rsidR="00AD5E40">
              <w:rPr>
                <w:rFonts w:eastAsia="Times New Roman"/>
                <w:color w:val="000000"/>
                <w:lang w:eastAsia="es-MX"/>
              </w:rPr>
              <w:t xml:space="preserve"> y replicabilidad </w:t>
            </w:r>
            <w:r w:rsidR="00A714AD">
              <w:rPr>
                <w:rFonts w:eastAsia="Times New Roman"/>
                <w:color w:val="000000"/>
                <w:lang w:eastAsia="es-MX"/>
              </w:rPr>
              <w:t xml:space="preserve">económica y </w:t>
            </w:r>
            <w:r w:rsidR="00AD5E40">
              <w:rPr>
                <w:rFonts w:eastAsia="Times New Roman"/>
                <w:color w:val="000000"/>
                <w:lang w:eastAsia="es-MX"/>
              </w:rPr>
              <w:t>técnica de las ofertas minoristas</w:t>
            </w:r>
            <w:r w:rsidR="00C2143C">
              <w:rPr>
                <w:rFonts w:eastAsia="Times New Roman"/>
                <w:color w:val="000000"/>
                <w:lang w:eastAsia="es-MX"/>
              </w:rPr>
              <w:t>.</w:t>
            </w:r>
          </w:p>
        </w:tc>
      </w:tr>
      <w:tr w:rsidR="004802CE" w:rsidRPr="00DF5B3F" w14:paraId="645E7C6A" w14:textId="77777777" w:rsidTr="00090F4F">
        <w:trPr>
          <w:trHeight w:val="290"/>
        </w:trPr>
        <w:tc>
          <w:tcPr>
            <w:tcW w:w="8641" w:type="dxa"/>
            <w:gridSpan w:val="3"/>
            <w:shd w:val="clear" w:color="auto" w:fill="FFFFFF"/>
            <w:vAlign w:val="center"/>
          </w:tcPr>
          <w:p w14:paraId="645E7C69" w14:textId="2E4DFC24"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 xml:space="preserve">Cuáles son los efectos que las medidas referentes a </w:t>
            </w:r>
            <w:r w:rsidR="00DB129E">
              <w:rPr>
                <w:rFonts w:eastAsia="Times New Roman"/>
                <w:b/>
                <w:color w:val="000000"/>
                <w:szCs w:val="20"/>
                <w:lang w:eastAsia="es-MX"/>
              </w:rPr>
              <w:t>Conductas y No Discriminación</w:t>
            </w:r>
            <w:r w:rsidR="00EC0DED">
              <w:rPr>
                <w:rFonts w:eastAsia="Times New Roman"/>
                <w:b/>
                <w:color w:val="000000"/>
                <w:szCs w:val="20"/>
                <w:lang w:eastAsia="es-MX"/>
              </w:rPr>
              <w:t xml:space="preserve"> </w:t>
            </w:r>
            <w:r>
              <w:rPr>
                <w:rFonts w:eastAsia="Times New Roman"/>
                <w:b/>
                <w:color w:val="000000"/>
                <w:szCs w:val="20"/>
                <w:lang w:eastAsia="es-MX"/>
              </w:rPr>
              <w:t>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1C230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802CE" w:rsidRPr="00DF5B3F" w14:paraId="645E7C6C" w14:textId="77777777" w:rsidTr="00090F4F">
        <w:trPr>
          <w:trHeight w:val="290"/>
        </w:trPr>
        <w:tc>
          <w:tcPr>
            <w:tcW w:w="8641" w:type="dxa"/>
            <w:gridSpan w:val="3"/>
            <w:shd w:val="clear" w:color="auto" w:fill="FFFFFF"/>
            <w:vAlign w:val="center"/>
          </w:tcPr>
          <w:p w14:paraId="645E7C6B"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6F" w14:textId="77777777" w:rsidTr="00E07693">
        <w:trPr>
          <w:trHeight w:val="290"/>
        </w:trPr>
        <w:tc>
          <w:tcPr>
            <w:tcW w:w="3047" w:type="dxa"/>
            <w:gridSpan w:val="2"/>
            <w:shd w:val="clear" w:color="auto" w:fill="FFFFFF"/>
            <w:vAlign w:val="center"/>
          </w:tcPr>
          <w:p w14:paraId="645E7C6D"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6E" w14:textId="77777777" w:rsidR="004802CE" w:rsidRPr="00E07693" w:rsidRDefault="004802CE" w:rsidP="004802CE">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802CE" w:rsidRPr="00DF5B3F" w14:paraId="645E7C71" w14:textId="77777777" w:rsidTr="00090F4F">
        <w:trPr>
          <w:trHeight w:val="290"/>
        </w:trPr>
        <w:tc>
          <w:tcPr>
            <w:tcW w:w="8641" w:type="dxa"/>
            <w:gridSpan w:val="3"/>
            <w:shd w:val="clear" w:color="auto" w:fill="FFFFFF"/>
            <w:vAlign w:val="center"/>
          </w:tcPr>
          <w:p w14:paraId="645E7C70" w14:textId="68C42293" w:rsidR="004802CE" w:rsidRPr="00DF67B4" w:rsidRDefault="004802CE"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DD0459">
              <w:rPr>
                <w:rFonts w:eastAsia="Times New Roman"/>
                <w:b/>
                <w:color w:val="000000"/>
                <w:szCs w:val="20"/>
                <w:lang w:eastAsia="es-MX"/>
              </w:rPr>
              <w:t>En qué grado considera</w:t>
            </w:r>
            <w:r w:rsidR="00DD0459"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802CE" w:rsidRPr="00DF5B3F" w14:paraId="645E7C73" w14:textId="77777777" w:rsidTr="00090F4F">
        <w:trPr>
          <w:trHeight w:val="290"/>
        </w:trPr>
        <w:tc>
          <w:tcPr>
            <w:tcW w:w="8641" w:type="dxa"/>
            <w:gridSpan w:val="3"/>
            <w:shd w:val="clear" w:color="auto" w:fill="FFFFFF"/>
            <w:vAlign w:val="center"/>
          </w:tcPr>
          <w:p w14:paraId="645E7C72"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76" w14:textId="77777777" w:rsidTr="00E07693">
        <w:trPr>
          <w:trHeight w:val="290"/>
        </w:trPr>
        <w:tc>
          <w:tcPr>
            <w:tcW w:w="3047" w:type="dxa"/>
            <w:gridSpan w:val="2"/>
            <w:shd w:val="clear" w:color="auto" w:fill="FFFFFF"/>
            <w:vAlign w:val="center"/>
          </w:tcPr>
          <w:p w14:paraId="645E7C74"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75" w14:textId="77777777" w:rsidR="004802CE" w:rsidRPr="00E07693" w:rsidRDefault="004802CE" w:rsidP="004802CE">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802CE" w:rsidRPr="00DF5B3F" w14:paraId="645E7C78" w14:textId="77777777" w:rsidTr="00090F4F">
        <w:trPr>
          <w:trHeight w:val="290"/>
        </w:trPr>
        <w:tc>
          <w:tcPr>
            <w:tcW w:w="8641" w:type="dxa"/>
            <w:gridSpan w:val="3"/>
            <w:shd w:val="clear" w:color="auto" w:fill="FFFFFF"/>
            <w:vAlign w:val="center"/>
          </w:tcPr>
          <w:p w14:paraId="645E7C77"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7A" w14:textId="77777777" w:rsidTr="00090F4F">
        <w:trPr>
          <w:trHeight w:val="290"/>
        </w:trPr>
        <w:tc>
          <w:tcPr>
            <w:tcW w:w="8641" w:type="dxa"/>
            <w:gridSpan w:val="3"/>
            <w:shd w:val="clear" w:color="auto" w:fill="FFFFFF"/>
            <w:vAlign w:val="center"/>
          </w:tcPr>
          <w:p w14:paraId="645E7C79" w14:textId="090EB056" w:rsidR="004802CE" w:rsidRDefault="004802CE"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DD0459">
              <w:rPr>
                <w:rFonts w:eastAsia="Times New Roman"/>
                <w:b/>
                <w:color w:val="000000"/>
                <w:szCs w:val="20"/>
                <w:lang w:eastAsia="es-MX"/>
              </w:rPr>
              <w:t>En qué grado considera</w:t>
            </w:r>
            <w:r w:rsidR="00DD0459"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0E4172">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802CE" w:rsidRPr="00DF5B3F" w14:paraId="645E7C7C" w14:textId="77777777" w:rsidTr="00090F4F">
        <w:trPr>
          <w:trHeight w:val="290"/>
        </w:trPr>
        <w:tc>
          <w:tcPr>
            <w:tcW w:w="8641" w:type="dxa"/>
            <w:gridSpan w:val="3"/>
            <w:shd w:val="clear" w:color="auto" w:fill="FFFFFF"/>
            <w:vAlign w:val="center"/>
          </w:tcPr>
          <w:p w14:paraId="645E7C7B" w14:textId="77777777" w:rsidR="004802CE" w:rsidRPr="00DF67B4" w:rsidRDefault="004802CE" w:rsidP="004802CE">
            <w:pPr>
              <w:spacing w:after="0" w:line="276" w:lineRule="auto"/>
              <w:rPr>
                <w:rFonts w:eastAsia="Times New Roman"/>
                <w:b/>
                <w:color w:val="000000"/>
                <w:lang w:eastAsia="es-MX"/>
              </w:rPr>
            </w:pPr>
          </w:p>
        </w:tc>
      </w:tr>
      <w:tr w:rsidR="004802CE" w:rsidRPr="00DF5B3F" w14:paraId="645E7C7F" w14:textId="77777777" w:rsidTr="00E07693">
        <w:trPr>
          <w:trHeight w:val="290"/>
        </w:trPr>
        <w:tc>
          <w:tcPr>
            <w:tcW w:w="3047" w:type="dxa"/>
            <w:gridSpan w:val="2"/>
            <w:shd w:val="clear" w:color="auto" w:fill="FFFFFF"/>
            <w:vAlign w:val="center"/>
          </w:tcPr>
          <w:p w14:paraId="645E7C7D" w14:textId="77777777" w:rsidR="004802CE" w:rsidRPr="00F30CB9" w:rsidRDefault="004802CE" w:rsidP="004802CE">
            <w:pPr>
              <w:rPr>
                <w:b/>
              </w:rPr>
            </w:pPr>
            <w:r>
              <w:rPr>
                <w:rFonts w:eastAsia="Times New Roman"/>
                <w:color w:val="000000"/>
                <w:lang w:eastAsia="es-MX"/>
              </w:rPr>
              <w:t>Liste los documentos asociados  a los comentarios manifestados:</w:t>
            </w:r>
          </w:p>
        </w:tc>
        <w:tc>
          <w:tcPr>
            <w:tcW w:w="5594" w:type="dxa"/>
            <w:shd w:val="clear" w:color="auto" w:fill="FFFFFF"/>
            <w:vAlign w:val="center"/>
          </w:tcPr>
          <w:p w14:paraId="645E7C7E" w14:textId="77777777" w:rsidR="004802CE" w:rsidRPr="00E07693" w:rsidRDefault="004802CE" w:rsidP="004802CE">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C8246E" w:rsidRPr="00C355B5" w14:paraId="1082785C" w14:textId="77777777" w:rsidTr="00EB1FFA">
        <w:trPr>
          <w:trHeight w:val="414"/>
        </w:trPr>
        <w:tc>
          <w:tcPr>
            <w:tcW w:w="8641" w:type="dxa"/>
            <w:gridSpan w:val="3"/>
            <w:shd w:val="clear" w:color="auto" w:fill="FFFFFF"/>
          </w:tcPr>
          <w:p w14:paraId="3A6657DD" w14:textId="6FB059F1" w:rsidR="00C8246E" w:rsidRDefault="00E14B0F" w:rsidP="00620602">
            <w:pPr>
              <w:rPr>
                <w:b/>
              </w:rPr>
            </w:pPr>
            <w:r>
              <w:rPr>
                <w:b/>
              </w:rPr>
              <w:t>En caso de contar</w:t>
            </w:r>
            <w:r w:rsidR="00C8246E" w:rsidRPr="00CE67E5">
              <w:rPr>
                <w:b/>
              </w:rPr>
              <w:t xml:space="preserve"> con una propuesta específica sobre alguna de las medidas relacionadas con</w:t>
            </w:r>
            <w:r w:rsidR="00C8246E">
              <w:rPr>
                <w:b/>
              </w:rPr>
              <w:t xml:space="preserve"> Conductas y No Discriminación</w:t>
            </w:r>
            <w:r w:rsidR="00C8246E" w:rsidRPr="00CE67E5">
              <w:rPr>
                <w:b/>
              </w:rPr>
              <w:t xml:space="preserve">, </w:t>
            </w:r>
            <w:r w:rsidR="00F771EF">
              <w:rPr>
                <w:b/>
              </w:rPr>
              <w:t>deberá indicarl</w:t>
            </w:r>
            <w:r w:rsidR="00322499">
              <w:rPr>
                <w:b/>
              </w:rPr>
              <w:t>a</w:t>
            </w:r>
            <w:r w:rsidR="00F771EF">
              <w:rPr>
                <w:b/>
              </w:rPr>
              <w:t>.</w:t>
            </w:r>
          </w:p>
          <w:p w14:paraId="3BA3A876" w14:textId="0407DE39" w:rsidR="00C8246E" w:rsidRPr="00C355B5" w:rsidRDefault="000228C4" w:rsidP="00620602">
            <w:pPr>
              <w:rPr>
                <w:rFonts w:eastAsia="Times New Roman"/>
                <w:color w:val="7F7F7F" w:themeColor="text1" w:themeTint="8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8246E" w14:paraId="3B14A53D" w14:textId="77777777" w:rsidTr="00EB1FFA">
        <w:trPr>
          <w:trHeight w:val="414"/>
        </w:trPr>
        <w:tc>
          <w:tcPr>
            <w:tcW w:w="3047" w:type="dxa"/>
            <w:gridSpan w:val="2"/>
            <w:shd w:val="clear" w:color="auto" w:fill="FFFFFF"/>
          </w:tcPr>
          <w:p w14:paraId="78500B74"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shd w:val="clear" w:color="auto" w:fill="FFFFFF"/>
          </w:tcPr>
          <w:p w14:paraId="31D45D86"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8246E" w14:paraId="06D747BA" w14:textId="77777777" w:rsidTr="00EB1FFA">
        <w:trPr>
          <w:trHeight w:val="414"/>
        </w:trPr>
        <w:tc>
          <w:tcPr>
            <w:tcW w:w="3047" w:type="dxa"/>
            <w:gridSpan w:val="2"/>
            <w:shd w:val="clear" w:color="auto" w:fill="FFFFFF"/>
          </w:tcPr>
          <w:p w14:paraId="2213DA8C"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shd w:val="clear" w:color="auto" w:fill="FFFFFF"/>
          </w:tcPr>
          <w:p w14:paraId="6EB3E7FA"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bl>
    <w:p w14:paraId="645E7C80" w14:textId="77777777" w:rsidR="00D26916" w:rsidRDefault="00D26916" w:rsidP="00170916">
      <w:pPr>
        <w:spacing w:after="0"/>
        <w:rPr>
          <w:sz w:val="16"/>
        </w:rPr>
      </w:pPr>
    </w:p>
    <w:p w14:paraId="645E7C81" w14:textId="77777777" w:rsidR="00CE2EC2" w:rsidRDefault="00CE2EC2" w:rsidP="00170916">
      <w:pPr>
        <w:spacing w:after="0"/>
        <w:rPr>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1293"/>
        <w:gridCol w:w="1273"/>
        <w:gridCol w:w="4321"/>
      </w:tblGrid>
      <w:tr w:rsidR="00CE2EC2" w:rsidRPr="00DF5B3F" w14:paraId="645E7C84" w14:textId="77777777" w:rsidTr="0033646F">
        <w:trPr>
          <w:trHeight w:val="581"/>
        </w:trPr>
        <w:tc>
          <w:tcPr>
            <w:tcW w:w="8641" w:type="dxa"/>
            <w:gridSpan w:val="4"/>
            <w:shd w:val="clear" w:color="auto" w:fill="D9D9D9"/>
            <w:vAlign w:val="center"/>
            <w:hideMark/>
          </w:tcPr>
          <w:p w14:paraId="645E7C82" w14:textId="77777777" w:rsidR="00CE2EC2" w:rsidRPr="00CE2EC2" w:rsidRDefault="00CE2EC2" w:rsidP="0033646F">
            <w:pPr>
              <w:numPr>
                <w:ilvl w:val="0"/>
                <w:numId w:val="2"/>
              </w:numPr>
              <w:spacing w:after="0" w:line="240" w:lineRule="auto"/>
              <w:ind w:right="1069"/>
              <w:contextualSpacing/>
              <w:jc w:val="center"/>
              <w:rPr>
                <w:rFonts w:eastAsia="Times New Roman"/>
                <w:b/>
                <w:bCs/>
                <w:color w:val="FFFFFF"/>
                <w:lang w:eastAsia="es-MX"/>
              </w:rPr>
            </w:pPr>
            <w:r w:rsidRPr="00DF5B3F">
              <w:rPr>
                <w:rFonts w:eastAsia="Times New Roman"/>
                <w:b/>
                <w:bCs/>
                <w:color w:val="000000"/>
                <w:lang w:eastAsia="es-MX"/>
              </w:rPr>
              <w:t xml:space="preserve">Comentarios, opiniones </w:t>
            </w:r>
            <w:r w:rsidRPr="00C41536">
              <w:rPr>
                <w:rFonts w:eastAsia="Times New Roman"/>
                <w:b/>
                <w:bCs/>
                <w:lang w:eastAsia="es-MX"/>
              </w:rPr>
              <w:t>y aportaciones específic</w:t>
            </w:r>
            <w:r>
              <w:rPr>
                <w:rFonts w:eastAsia="Times New Roman"/>
                <w:b/>
                <w:bCs/>
                <w:lang w:eastAsia="es-MX"/>
              </w:rPr>
              <w:t>o</w:t>
            </w:r>
            <w:r w:rsidRPr="00C41536">
              <w:rPr>
                <w:rFonts w:eastAsia="Times New Roman"/>
                <w:b/>
                <w:bCs/>
                <w:lang w:eastAsia="es-MX"/>
              </w:rPr>
              <w:t>s del participante</w:t>
            </w:r>
            <w:r>
              <w:rPr>
                <w:rFonts w:eastAsia="Times New Roman"/>
                <w:b/>
                <w:bCs/>
                <w:lang w:eastAsia="es-MX"/>
              </w:rPr>
              <w:t xml:space="preserve"> sobre el asunto en consulta pública</w:t>
            </w:r>
          </w:p>
          <w:p w14:paraId="645E7C83" w14:textId="77777777" w:rsidR="00CE2EC2" w:rsidRPr="00C41536" w:rsidRDefault="00CE2EC2" w:rsidP="00CE2EC2">
            <w:pPr>
              <w:spacing w:after="0" w:line="240" w:lineRule="auto"/>
              <w:ind w:left="1800" w:right="1069"/>
              <w:contextualSpacing/>
              <w:jc w:val="center"/>
              <w:rPr>
                <w:rFonts w:eastAsia="Times New Roman"/>
                <w:b/>
                <w:bCs/>
                <w:color w:val="FFFFFF"/>
                <w:lang w:eastAsia="es-MX"/>
              </w:rPr>
            </w:pPr>
            <w:r>
              <w:rPr>
                <w:rFonts w:eastAsia="Times New Roman"/>
                <w:b/>
                <w:bCs/>
                <w:color w:val="000000"/>
                <w:lang w:eastAsia="es-MX"/>
              </w:rPr>
              <w:t>(SERVICIOS FIJOS)</w:t>
            </w:r>
          </w:p>
        </w:tc>
      </w:tr>
      <w:tr w:rsidR="00CE2EC2" w:rsidRPr="00DF5B3F" w14:paraId="645E7C90" w14:textId="77777777" w:rsidTr="0033646F">
        <w:trPr>
          <w:trHeight w:val="414"/>
        </w:trPr>
        <w:tc>
          <w:tcPr>
            <w:tcW w:w="1754" w:type="dxa"/>
            <w:shd w:val="clear" w:color="auto" w:fill="C5E0B3"/>
            <w:vAlign w:val="center"/>
          </w:tcPr>
          <w:p w14:paraId="645E7C85" w14:textId="77777777" w:rsidR="00CE2EC2" w:rsidRDefault="00CE2EC2" w:rsidP="0033646F">
            <w:pPr>
              <w:spacing w:after="0" w:line="276" w:lineRule="auto"/>
              <w:jc w:val="center"/>
              <w:rPr>
                <w:rFonts w:eastAsia="Times New Roman"/>
                <w:b/>
                <w:color w:val="000000"/>
                <w:lang w:eastAsia="es-MX"/>
              </w:rPr>
            </w:pPr>
            <w:r>
              <w:rPr>
                <w:rFonts w:eastAsia="Times New Roman"/>
                <w:b/>
                <w:color w:val="000000"/>
                <w:lang w:eastAsia="es-MX"/>
              </w:rPr>
              <w:lastRenderedPageBreak/>
              <w:t>Medidas referentes a Interconexión</w:t>
            </w:r>
          </w:p>
          <w:p w14:paraId="645E7C86" w14:textId="77777777" w:rsidR="00436AD1" w:rsidRDefault="00436AD1" w:rsidP="00190DAE">
            <w:pPr>
              <w:spacing w:after="0" w:line="276" w:lineRule="auto"/>
              <w:jc w:val="center"/>
              <w:rPr>
                <w:rFonts w:eastAsia="Times New Roman"/>
                <w:b/>
                <w:color w:val="000000"/>
                <w:lang w:eastAsia="es-MX"/>
              </w:rPr>
            </w:pPr>
          </w:p>
          <w:p w14:paraId="645E7C87" w14:textId="42CFF934" w:rsidR="00190DAE" w:rsidRDefault="00190DAE" w:rsidP="00190DAE">
            <w:pPr>
              <w:spacing w:after="0" w:line="276" w:lineRule="auto"/>
              <w:jc w:val="center"/>
              <w:rPr>
                <w:rFonts w:eastAsia="Times New Roman"/>
                <w:b/>
                <w:color w:val="000000"/>
                <w:lang w:eastAsia="es-MX"/>
              </w:rPr>
            </w:pPr>
            <w:r>
              <w:rPr>
                <w:rFonts w:eastAsia="Times New Roman"/>
                <w:b/>
                <w:color w:val="000000"/>
                <w:lang w:eastAsia="es-MX"/>
              </w:rPr>
              <w:t>Anexo 2:</w:t>
            </w:r>
            <w:r w:rsidRPr="00190DAE">
              <w:rPr>
                <w:rFonts w:eastAsia="Times New Roman"/>
                <w:b/>
                <w:color w:val="000000"/>
                <w:lang w:eastAsia="es-MX"/>
              </w:rPr>
              <w:t xml:space="preserve"> </w:t>
            </w:r>
            <w:r w:rsidR="00C300E9">
              <w:t xml:space="preserve"> </w:t>
            </w:r>
            <w:r w:rsidR="00C300E9" w:rsidRPr="00C300E9">
              <w:rPr>
                <w:rFonts w:eastAsia="Times New Roman"/>
                <w:b/>
                <w:color w:val="000000"/>
                <w:lang w:eastAsia="es-MX"/>
              </w:rPr>
              <w:t xml:space="preserve">4, 5, 6, 7, 8, 9, 10, 11, 12, </w:t>
            </w:r>
            <w:r w:rsidR="002B24F8">
              <w:rPr>
                <w:rFonts w:eastAsia="Times New Roman"/>
                <w:b/>
                <w:color w:val="000000"/>
                <w:lang w:eastAsia="es-MX"/>
              </w:rPr>
              <w:t xml:space="preserve">20, </w:t>
            </w:r>
            <w:r w:rsidR="00C300E9" w:rsidRPr="00C300E9">
              <w:rPr>
                <w:rFonts w:eastAsia="Times New Roman"/>
                <w:b/>
                <w:color w:val="000000"/>
                <w:lang w:eastAsia="es-MX"/>
              </w:rPr>
              <w:t>36, 38, 60, 62, 69</w:t>
            </w:r>
            <w:r w:rsidR="00C300E9">
              <w:rPr>
                <w:rFonts w:eastAsia="Times New Roman"/>
                <w:b/>
                <w:color w:val="000000"/>
                <w:lang w:eastAsia="es-MX"/>
              </w:rPr>
              <w:t xml:space="preserve"> y</w:t>
            </w:r>
            <w:r w:rsidR="00C300E9" w:rsidRPr="00C300E9">
              <w:rPr>
                <w:rFonts w:eastAsia="Times New Roman"/>
                <w:b/>
                <w:color w:val="000000"/>
                <w:lang w:eastAsia="es-MX"/>
              </w:rPr>
              <w:t xml:space="preserve"> 71</w:t>
            </w:r>
            <w:r>
              <w:rPr>
                <w:rFonts w:eastAsia="Times New Roman"/>
                <w:b/>
                <w:color w:val="000000"/>
                <w:lang w:eastAsia="es-MX"/>
              </w:rPr>
              <w:t>.</w:t>
            </w:r>
          </w:p>
          <w:p w14:paraId="645E7C88" w14:textId="77777777" w:rsidR="00190DAE" w:rsidRPr="00190DAE" w:rsidRDefault="00190DAE" w:rsidP="00190DAE">
            <w:pPr>
              <w:spacing w:after="0" w:line="276" w:lineRule="auto"/>
              <w:jc w:val="center"/>
              <w:rPr>
                <w:rFonts w:eastAsia="Times New Roman"/>
                <w:b/>
                <w:color w:val="000000"/>
                <w:lang w:eastAsia="es-MX"/>
              </w:rPr>
            </w:pPr>
            <w:r>
              <w:rPr>
                <w:rFonts w:eastAsia="Times New Roman"/>
                <w:b/>
                <w:color w:val="000000"/>
                <w:lang w:eastAsia="es-MX"/>
              </w:rPr>
              <w:t xml:space="preserve">Anexo 3: </w:t>
            </w:r>
            <w:r w:rsidRPr="00190DAE">
              <w:rPr>
                <w:rFonts w:eastAsia="Times New Roman"/>
                <w:b/>
                <w:color w:val="000000"/>
                <w:lang w:eastAsia="es-MX"/>
              </w:rPr>
              <w:t>11</w:t>
            </w:r>
            <w:r>
              <w:rPr>
                <w:rFonts w:eastAsia="Times New Roman"/>
                <w:b/>
                <w:color w:val="000000"/>
                <w:lang w:eastAsia="es-MX"/>
              </w:rPr>
              <w:t>.</w:t>
            </w:r>
          </w:p>
          <w:p w14:paraId="645E7C89" w14:textId="77777777" w:rsidR="00190DAE" w:rsidRPr="00D26916" w:rsidRDefault="00190DAE" w:rsidP="00D26338">
            <w:pPr>
              <w:spacing w:after="0" w:line="276" w:lineRule="auto"/>
              <w:jc w:val="center"/>
              <w:rPr>
                <w:rFonts w:eastAsia="Times New Roman"/>
                <w:b/>
                <w:color w:val="000000"/>
                <w:lang w:eastAsia="es-MX"/>
              </w:rPr>
            </w:pPr>
          </w:p>
        </w:tc>
        <w:tc>
          <w:tcPr>
            <w:tcW w:w="6887" w:type="dxa"/>
            <w:gridSpan w:val="3"/>
            <w:shd w:val="clear" w:color="auto" w:fill="C5E0B3"/>
            <w:vAlign w:val="center"/>
          </w:tcPr>
          <w:p w14:paraId="24F1E750" w14:textId="77777777" w:rsidR="00240D9F" w:rsidRDefault="00240D9F" w:rsidP="00240D9F">
            <w:pPr>
              <w:spacing w:after="0" w:line="276" w:lineRule="auto"/>
              <w:rPr>
                <w:rFonts w:eastAsia="Times New Roman"/>
                <w:b/>
                <w:color w:val="000000"/>
                <w:lang w:eastAsia="es-MX"/>
              </w:rPr>
            </w:pPr>
            <w:r w:rsidRPr="00B16B29">
              <w:rPr>
                <w:rFonts w:eastAsia="Times New Roman"/>
                <w:b/>
                <w:color w:val="000000"/>
                <w:lang w:eastAsia="es-MX"/>
              </w:rPr>
              <w:t>Objetivos generales</w:t>
            </w:r>
            <w:r>
              <w:rPr>
                <w:rFonts w:eastAsia="Times New Roman"/>
                <w:b/>
                <w:color w:val="000000"/>
                <w:lang w:eastAsia="es-MX"/>
              </w:rPr>
              <w:t>:</w:t>
            </w:r>
          </w:p>
          <w:p w14:paraId="645E7C8A" w14:textId="26E9B762" w:rsidR="00B93434" w:rsidRPr="00E83BF5" w:rsidRDefault="00B93434" w:rsidP="00B93434">
            <w:pPr>
              <w:numPr>
                <w:ilvl w:val="0"/>
                <w:numId w:val="12"/>
              </w:numPr>
              <w:spacing w:after="0" w:line="276" w:lineRule="auto"/>
              <w:rPr>
                <w:rFonts w:eastAsia="Times New Roman"/>
                <w:bCs/>
                <w:color w:val="000000"/>
                <w:lang w:eastAsia="es-MX"/>
              </w:rPr>
            </w:pPr>
            <w:r w:rsidRPr="00E83BF5">
              <w:rPr>
                <w:rFonts w:eastAsia="Times New Roman"/>
                <w:bCs/>
                <w:color w:val="000000"/>
                <w:lang w:eastAsia="es-MX"/>
              </w:rPr>
              <w:t>Reducir o eliminar barreras a la entrada y la expansión de participantes distintos al AEPT.</w:t>
            </w:r>
          </w:p>
          <w:p w14:paraId="645E7C8B" w14:textId="77777777" w:rsidR="00B93434" w:rsidRPr="00E83BF5" w:rsidRDefault="00B93434" w:rsidP="00B93434">
            <w:pPr>
              <w:numPr>
                <w:ilvl w:val="0"/>
                <w:numId w:val="12"/>
              </w:numPr>
              <w:spacing w:after="0" w:line="276" w:lineRule="auto"/>
              <w:rPr>
                <w:rFonts w:eastAsia="Times New Roman"/>
                <w:bCs/>
                <w:color w:val="000000"/>
                <w:lang w:eastAsia="es-MX"/>
              </w:rPr>
            </w:pPr>
            <w:r w:rsidRPr="00E83BF5">
              <w:rPr>
                <w:rFonts w:eastAsia="Times New Roman"/>
                <w:bCs/>
                <w:color w:val="000000"/>
                <w:lang w:eastAsia="es-MX"/>
              </w:rPr>
              <w:t>Promover el uso eficiente de las redes e infraestructura.</w:t>
            </w:r>
          </w:p>
          <w:p w14:paraId="645E7C8C" w14:textId="77777777" w:rsidR="00B93434" w:rsidRPr="00E83BF5" w:rsidRDefault="00B93434" w:rsidP="00B93434">
            <w:pPr>
              <w:numPr>
                <w:ilvl w:val="0"/>
                <w:numId w:val="12"/>
              </w:numPr>
              <w:spacing w:after="0" w:line="276" w:lineRule="auto"/>
              <w:rPr>
                <w:rFonts w:eastAsia="Times New Roman"/>
                <w:bCs/>
                <w:color w:val="000000"/>
                <w:lang w:eastAsia="es-MX"/>
              </w:rPr>
            </w:pPr>
            <w:r w:rsidRPr="00E83BF5">
              <w:rPr>
                <w:color w:val="000000" w:themeColor="text1"/>
              </w:rPr>
              <w:t>Remediar y prevenir condiciones y conductas con efectos que no favorezcan la competencia y libre concurrencia</w:t>
            </w:r>
            <w:r w:rsidRPr="00E83BF5">
              <w:rPr>
                <w:rFonts w:eastAsia="Times New Roman"/>
                <w:bCs/>
                <w:color w:val="000000"/>
                <w:lang w:eastAsia="es-MX"/>
              </w:rPr>
              <w:t>.</w:t>
            </w:r>
          </w:p>
          <w:p w14:paraId="645E7C8D" w14:textId="77777777" w:rsidR="00B93434" w:rsidRPr="00E83BF5" w:rsidRDefault="00B93434" w:rsidP="00B93434">
            <w:pPr>
              <w:numPr>
                <w:ilvl w:val="0"/>
                <w:numId w:val="12"/>
              </w:numPr>
              <w:spacing w:after="0" w:line="276" w:lineRule="auto"/>
              <w:rPr>
                <w:rFonts w:eastAsia="Times New Roman"/>
                <w:color w:val="000000"/>
                <w:lang w:eastAsia="es-MX"/>
              </w:rPr>
            </w:pPr>
            <w:r w:rsidRPr="00E83BF5">
              <w:t>Disminuir costos de transacción.</w:t>
            </w:r>
          </w:p>
          <w:p w14:paraId="645E7C8F" w14:textId="4D31F49E" w:rsidR="00CE2EC2" w:rsidRPr="00240D9F" w:rsidRDefault="00290EA2" w:rsidP="00FA1443">
            <w:pPr>
              <w:numPr>
                <w:ilvl w:val="0"/>
                <w:numId w:val="12"/>
              </w:numPr>
              <w:spacing w:after="0" w:line="276" w:lineRule="auto"/>
              <w:rPr>
                <w:rFonts w:eastAsia="Times New Roman"/>
                <w:bCs/>
                <w:color w:val="000000"/>
                <w:lang w:eastAsia="es-MX"/>
              </w:rPr>
            </w:pPr>
            <w:r w:rsidRPr="00E83BF5">
              <w:rPr>
                <w:rFonts w:eastAsia="Times New Roman"/>
                <w:bCs/>
                <w:color w:val="000000"/>
                <w:lang w:eastAsia="es-MX"/>
              </w:rPr>
              <w:t>Disminuir asimetrías de información.</w:t>
            </w:r>
          </w:p>
        </w:tc>
      </w:tr>
      <w:tr w:rsidR="00CE2EC2" w:rsidRPr="00DF5B3F" w14:paraId="645E7C97" w14:textId="77777777" w:rsidTr="00090F4F">
        <w:trPr>
          <w:trHeight w:val="414"/>
        </w:trPr>
        <w:tc>
          <w:tcPr>
            <w:tcW w:w="8641" w:type="dxa"/>
            <w:gridSpan w:val="4"/>
            <w:shd w:val="clear" w:color="auto" w:fill="FFFFFF"/>
            <w:vAlign w:val="center"/>
          </w:tcPr>
          <w:p w14:paraId="645E7C91" w14:textId="77777777" w:rsidR="00CE2EC2" w:rsidRPr="00342582" w:rsidRDefault="007D23B9" w:rsidP="0033646F">
            <w:pPr>
              <w:spacing w:line="276" w:lineRule="auto"/>
              <w:rPr>
                <w:b/>
                <w:lang w:eastAsia="es-MX"/>
              </w:rPr>
            </w:pPr>
            <w:r>
              <w:rPr>
                <w:b/>
                <w:lang w:eastAsia="es-MX"/>
              </w:rPr>
              <w:t>Contexto</w:t>
            </w:r>
            <w:r w:rsidR="00CE2EC2">
              <w:rPr>
                <w:b/>
                <w:lang w:eastAsia="es-MX"/>
              </w:rPr>
              <w:t>:</w:t>
            </w:r>
          </w:p>
          <w:p w14:paraId="645E7C92" w14:textId="0304A6B8" w:rsidR="00CE2EC2" w:rsidRDefault="00CE2EC2" w:rsidP="0033646F">
            <w:pPr>
              <w:spacing w:line="276" w:lineRule="auto"/>
              <w:rPr>
                <w:lang w:eastAsia="es-MX"/>
              </w:rPr>
            </w:pPr>
            <w:r w:rsidRPr="00342582">
              <w:rPr>
                <w:lang w:eastAsia="es-MX"/>
              </w:rPr>
              <w:t xml:space="preserve">La interconexión </w:t>
            </w:r>
            <w:r w:rsidR="00F36EAB">
              <w:rPr>
                <w:lang w:eastAsia="es-MX"/>
              </w:rPr>
              <w:t xml:space="preserve">es </w:t>
            </w:r>
            <w:r w:rsidRPr="00342582">
              <w:rPr>
                <w:lang w:eastAsia="es-MX"/>
              </w:rPr>
              <w:t>un recurso esencial</w:t>
            </w:r>
            <w:r w:rsidR="00493D5F">
              <w:rPr>
                <w:lang w:eastAsia="es-MX"/>
              </w:rPr>
              <w:t xml:space="preserve"> </w:t>
            </w:r>
            <w:r w:rsidR="00493D5F" w:rsidRPr="00493D5F">
              <w:rPr>
                <w:lang w:eastAsia="es-MX"/>
              </w:rPr>
              <w:t>para permitir la comunicación entre las distintas redes públicas de telecomunicaciones</w:t>
            </w:r>
            <w:r w:rsidRPr="00342582">
              <w:rPr>
                <w:lang w:eastAsia="es-MX"/>
              </w:rPr>
              <w:t xml:space="preserve">, </w:t>
            </w:r>
            <w:r w:rsidR="00493D5F" w:rsidRPr="00493D5F">
              <w:rPr>
                <w:lang w:eastAsia="es-MX"/>
              </w:rPr>
              <w:t>por lo que al garantizar la interconexión de las redes de los distintos operadores del país se mitigan los efectos de red característicos de los servicios de telecomunicaciones</w:t>
            </w:r>
            <w:r w:rsidR="00493D5F">
              <w:rPr>
                <w:lang w:eastAsia="es-MX"/>
              </w:rPr>
              <w:t xml:space="preserve"> evitando con ello</w:t>
            </w:r>
            <w:r w:rsidR="00493D5F" w:rsidRPr="00342582">
              <w:rPr>
                <w:lang w:eastAsia="es-MX"/>
              </w:rPr>
              <w:t xml:space="preserve"> prácticas que obstaculicen el desarrollo de una competencia efectiva</w:t>
            </w:r>
            <w:r w:rsidR="00493D5F" w:rsidRPr="00493D5F">
              <w:rPr>
                <w:lang w:eastAsia="es-MX"/>
              </w:rPr>
              <w:t xml:space="preserve">, </w:t>
            </w:r>
            <w:r w:rsidR="00493D5F">
              <w:rPr>
                <w:lang w:eastAsia="es-MX"/>
              </w:rPr>
              <w:t xml:space="preserve">lo anterior </w:t>
            </w:r>
            <w:r w:rsidR="00493D5F" w:rsidRPr="00493D5F">
              <w:rPr>
                <w:lang w:eastAsia="es-MX"/>
              </w:rPr>
              <w:t>en beneficio de los usuarios finales</w:t>
            </w:r>
            <w:r w:rsidR="002F1577">
              <w:rPr>
                <w:lang w:eastAsia="es-MX"/>
              </w:rPr>
              <w:t>.</w:t>
            </w:r>
          </w:p>
          <w:p w14:paraId="645E7C94" w14:textId="77777777" w:rsidR="00081850" w:rsidRDefault="00081850" w:rsidP="0033646F">
            <w:pPr>
              <w:spacing w:line="276" w:lineRule="auto"/>
              <w:rPr>
                <w:b/>
              </w:rPr>
            </w:pPr>
            <w:r>
              <w:rPr>
                <w:b/>
              </w:rPr>
              <w:t>Resumen de las medidas impuestas:</w:t>
            </w:r>
          </w:p>
          <w:p w14:paraId="645E7C95" w14:textId="77777777" w:rsidR="00493D5F" w:rsidRDefault="00081850" w:rsidP="00081850">
            <w:pPr>
              <w:spacing w:before="240" w:after="120" w:line="276" w:lineRule="auto"/>
              <w:rPr>
                <w:rFonts w:eastAsia="Times New Roman"/>
                <w:color w:val="000000"/>
                <w:lang w:eastAsia="es-MX"/>
              </w:rPr>
            </w:pPr>
            <w:r>
              <w:rPr>
                <w:rFonts w:eastAsia="Times New Roman"/>
                <w:color w:val="000000"/>
                <w:lang w:eastAsia="es-MX"/>
              </w:rPr>
              <w:t>El Instituto impuso medidas al AEPT r</w:t>
            </w:r>
            <w:r w:rsidRPr="0056118B">
              <w:rPr>
                <w:rFonts w:eastAsia="Times New Roman"/>
                <w:color w:val="000000"/>
                <w:lang w:eastAsia="es-MX"/>
              </w:rPr>
              <w:t xml:space="preserve">eferentes a </w:t>
            </w:r>
            <w:r>
              <w:rPr>
                <w:rFonts w:eastAsia="Times New Roman"/>
                <w:color w:val="000000"/>
                <w:lang w:eastAsia="es-MX"/>
              </w:rPr>
              <w:t>prestar los servicios de interconexión a operadores de otras redes, así como proveer enlaces de interconexión, publicar el Convenio Marco de Interconexión</w:t>
            </w:r>
            <w:r w:rsidRPr="0056118B">
              <w:rPr>
                <w:rFonts w:eastAsia="Times New Roman"/>
                <w:color w:val="000000"/>
                <w:lang w:eastAsia="es-MX"/>
              </w:rPr>
              <w:t xml:space="preserve">, </w:t>
            </w:r>
            <w:r>
              <w:rPr>
                <w:rFonts w:eastAsia="Times New Roman"/>
                <w:color w:val="000000"/>
                <w:lang w:eastAsia="es-MX"/>
              </w:rPr>
              <w:t>suscribir</w:t>
            </w:r>
            <w:r w:rsidRPr="0056118B">
              <w:rPr>
                <w:rFonts w:eastAsia="Times New Roman"/>
                <w:color w:val="000000"/>
                <w:lang w:eastAsia="es-MX"/>
              </w:rPr>
              <w:t xml:space="preserve"> convenios, </w:t>
            </w:r>
            <w:r>
              <w:rPr>
                <w:rFonts w:eastAsia="Times New Roman"/>
                <w:color w:val="000000"/>
                <w:lang w:eastAsia="es-MX"/>
              </w:rPr>
              <w:t>y poner</w:t>
            </w:r>
            <w:r w:rsidRPr="0056118B">
              <w:rPr>
                <w:rFonts w:eastAsia="Times New Roman"/>
                <w:color w:val="000000"/>
                <w:lang w:eastAsia="es-MX"/>
              </w:rPr>
              <w:t xml:space="preserve"> información a disposición de los </w:t>
            </w:r>
            <w:r>
              <w:rPr>
                <w:rFonts w:eastAsia="Times New Roman"/>
                <w:color w:val="000000"/>
                <w:lang w:eastAsia="es-MX"/>
              </w:rPr>
              <w:t>CS</w:t>
            </w:r>
            <w:r w:rsidR="00493D5F">
              <w:rPr>
                <w:rFonts w:eastAsia="Times New Roman"/>
                <w:color w:val="000000"/>
                <w:lang w:eastAsia="es-MX"/>
              </w:rPr>
              <w:t>, entre otras.</w:t>
            </w:r>
          </w:p>
          <w:p w14:paraId="645E7C96" w14:textId="77777777" w:rsidR="00CE2EC2" w:rsidRPr="00E07693" w:rsidRDefault="00493D5F" w:rsidP="00767118">
            <w:pPr>
              <w:spacing w:before="240" w:after="120" w:line="276" w:lineRule="auto"/>
              <w:rPr>
                <w:b/>
                <w:lang w:eastAsia="es-MX"/>
              </w:rPr>
            </w:pPr>
            <w:r>
              <w:rPr>
                <w:rFonts w:eastAsia="Times New Roman"/>
                <w:color w:val="000000"/>
                <w:lang w:eastAsia="es-MX"/>
              </w:rPr>
              <w:t>A través de la Resolución Bienal se hicieron adecuaciones</w:t>
            </w:r>
            <w:r w:rsidR="00070540">
              <w:rPr>
                <w:rFonts w:eastAsia="Times New Roman"/>
                <w:color w:val="000000"/>
                <w:lang w:eastAsia="es-MX"/>
              </w:rPr>
              <w:t xml:space="preserve"> </w:t>
            </w:r>
            <w:r w:rsidR="00A714AD">
              <w:rPr>
                <w:rFonts w:eastAsia="Times New Roman"/>
                <w:color w:val="000000"/>
                <w:lang w:eastAsia="es-MX"/>
              </w:rPr>
              <w:t xml:space="preserve">en materia </w:t>
            </w:r>
            <w:r w:rsidR="00A714AD" w:rsidRPr="00493D5F">
              <w:rPr>
                <w:rFonts w:eastAsia="Times New Roman"/>
                <w:color w:val="000000"/>
                <w:lang w:eastAsia="es-MX"/>
              </w:rPr>
              <w:t>de Interconexión para el Tránsito</w:t>
            </w:r>
            <w:r w:rsidR="00A714AD">
              <w:rPr>
                <w:rFonts w:eastAsia="Times New Roman"/>
                <w:color w:val="000000"/>
                <w:lang w:eastAsia="es-MX"/>
              </w:rPr>
              <w:t>, Puntos de Interconexión, conducción de tráfico, procesos referentes al Convenio Marco de Interconexión, facturación</w:t>
            </w:r>
            <w:r w:rsidR="00600066">
              <w:rPr>
                <w:rFonts w:eastAsia="Times New Roman"/>
                <w:color w:val="000000"/>
                <w:lang w:eastAsia="es-MX"/>
              </w:rPr>
              <w:t>,</w:t>
            </w:r>
            <w:r w:rsidR="00A714AD">
              <w:rPr>
                <w:rFonts w:eastAsia="Times New Roman"/>
                <w:color w:val="000000"/>
                <w:lang w:eastAsia="es-MX"/>
              </w:rPr>
              <w:t xml:space="preserve"> interconexión entre coubicaciones, inclusión</w:t>
            </w:r>
            <w:r w:rsidR="00070540">
              <w:rPr>
                <w:rFonts w:eastAsia="Times New Roman"/>
                <w:color w:val="000000"/>
                <w:lang w:eastAsia="es-MX"/>
              </w:rPr>
              <w:t xml:space="preserve"> de </w:t>
            </w:r>
            <w:r w:rsidR="006E2443">
              <w:rPr>
                <w:rFonts w:eastAsia="Times New Roman"/>
                <w:color w:val="000000"/>
                <w:lang w:eastAsia="es-MX"/>
              </w:rPr>
              <w:t>nuevas figuras legales</w:t>
            </w:r>
            <w:r w:rsidR="00A714AD">
              <w:rPr>
                <w:rFonts w:eastAsia="Times New Roman"/>
                <w:color w:val="000000"/>
                <w:lang w:eastAsia="es-MX"/>
              </w:rPr>
              <w:t xml:space="preserve"> y</w:t>
            </w:r>
            <w:r w:rsidR="006E2443">
              <w:rPr>
                <w:rFonts w:eastAsia="Times New Roman"/>
                <w:color w:val="000000"/>
                <w:lang w:eastAsia="es-MX"/>
              </w:rPr>
              <w:t xml:space="preserve"> </w:t>
            </w:r>
            <w:r w:rsidR="00070540">
              <w:rPr>
                <w:rFonts w:eastAsia="Times New Roman"/>
                <w:color w:val="000000"/>
                <w:lang w:eastAsia="es-MX"/>
              </w:rPr>
              <w:t>homologa</w:t>
            </w:r>
            <w:r w:rsidR="00A714AD">
              <w:rPr>
                <w:rFonts w:eastAsia="Times New Roman"/>
                <w:color w:val="000000"/>
                <w:lang w:eastAsia="es-MX"/>
              </w:rPr>
              <w:t>ción</w:t>
            </w:r>
            <w:r w:rsidR="00070540">
              <w:rPr>
                <w:rFonts w:eastAsia="Times New Roman"/>
                <w:color w:val="000000"/>
                <w:lang w:eastAsia="es-MX"/>
              </w:rPr>
              <w:t xml:space="preserve"> con lo establecido en la LFTR y otros ordenamientos jurídicos</w:t>
            </w:r>
            <w:r w:rsidR="006E2443">
              <w:rPr>
                <w:rFonts w:eastAsia="Times New Roman"/>
                <w:color w:val="000000"/>
                <w:lang w:eastAsia="es-MX"/>
              </w:rPr>
              <w:t>,</w:t>
            </w:r>
            <w:r w:rsidR="00070540">
              <w:rPr>
                <w:rFonts w:eastAsia="Times New Roman"/>
                <w:color w:val="000000"/>
                <w:lang w:eastAsia="es-MX"/>
              </w:rPr>
              <w:t xml:space="preserve"> entre otras</w:t>
            </w:r>
            <w:r w:rsidR="006E2443">
              <w:rPr>
                <w:rFonts w:eastAsia="Times New Roman"/>
                <w:color w:val="000000"/>
                <w:lang w:eastAsia="es-MX"/>
              </w:rPr>
              <w:t>.</w:t>
            </w:r>
            <w:r w:rsidR="00070540">
              <w:rPr>
                <w:rFonts w:eastAsia="Times New Roman"/>
                <w:color w:val="000000"/>
                <w:lang w:eastAsia="es-MX"/>
              </w:rPr>
              <w:t xml:space="preserve"> </w:t>
            </w:r>
          </w:p>
        </w:tc>
      </w:tr>
      <w:tr w:rsidR="00CE2EC2" w:rsidRPr="00DF5B3F" w14:paraId="645E7C99" w14:textId="77777777" w:rsidTr="00090F4F">
        <w:trPr>
          <w:trHeight w:val="414"/>
        </w:trPr>
        <w:tc>
          <w:tcPr>
            <w:tcW w:w="8641" w:type="dxa"/>
            <w:gridSpan w:val="4"/>
            <w:shd w:val="clear" w:color="auto" w:fill="FFFFFF"/>
            <w:vAlign w:val="center"/>
          </w:tcPr>
          <w:p w14:paraId="645E7C98" w14:textId="6037119C" w:rsidR="00CE2EC2" w:rsidRPr="00DF67B4" w:rsidRDefault="00CE2EC2"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Pr>
                <w:rFonts w:eastAsia="Times New Roman"/>
                <w:b/>
                <w:color w:val="000000"/>
                <w:szCs w:val="20"/>
                <w:lang w:eastAsia="es-MX"/>
              </w:rPr>
              <w:t>Cuáles son los efectos que las medidas de interconexión han generado</w:t>
            </w:r>
            <w:r w:rsidR="000E4172">
              <w:rPr>
                <w:rFonts w:eastAsia="Times New Roman"/>
                <w:b/>
                <w:color w:val="000000"/>
                <w:szCs w:val="20"/>
                <w:lang w:eastAsia="es-MX"/>
              </w:rPr>
              <w:t xml:space="preserve"> en el sector de telecomunicaciones</w:t>
            </w:r>
            <w:r>
              <w:rPr>
                <w:rFonts w:eastAsia="Times New Roman"/>
                <w:b/>
                <w:color w:val="000000"/>
                <w:szCs w:val="20"/>
                <w:lang w:eastAsia="es-MX"/>
              </w:rPr>
              <w:t>? ¿</w:t>
            </w:r>
            <w:r w:rsidR="00DD0459">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CE2EC2" w:rsidRPr="00DF5B3F" w14:paraId="645E7C9B" w14:textId="77777777" w:rsidTr="00090F4F">
        <w:trPr>
          <w:trHeight w:val="414"/>
        </w:trPr>
        <w:tc>
          <w:tcPr>
            <w:tcW w:w="8641" w:type="dxa"/>
            <w:gridSpan w:val="4"/>
            <w:shd w:val="clear" w:color="auto" w:fill="FFFFFF"/>
            <w:vAlign w:val="center"/>
          </w:tcPr>
          <w:p w14:paraId="645E7C9A" w14:textId="77777777" w:rsidR="00CE2EC2" w:rsidRPr="001A5B2D" w:rsidRDefault="00CE2EC2" w:rsidP="0033646F">
            <w:pPr>
              <w:spacing w:after="0" w:line="276" w:lineRule="auto"/>
              <w:rPr>
                <w:rFonts w:eastAsia="Times New Roman"/>
                <w:b/>
                <w:color w:val="000000"/>
                <w:szCs w:val="20"/>
                <w:lang w:eastAsia="es-MX"/>
              </w:rPr>
            </w:pPr>
          </w:p>
        </w:tc>
      </w:tr>
      <w:tr w:rsidR="00CE2EC2" w:rsidRPr="00DF5B3F" w14:paraId="645E7C9E" w14:textId="77777777" w:rsidTr="00090F4F">
        <w:trPr>
          <w:trHeight w:val="414"/>
        </w:trPr>
        <w:tc>
          <w:tcPr>
            <w:tcW w:w="4320" w:type="dxa"/>
            <w:gridSpan w:val="3"/>
            <w:shd w:val="clear" w:color="auto" w:fill="FFFFFF"/>
            <w:vAlign w:val="center"/>
          </w:tcPr>
          <w:p w14:paraId="645E7C9C" w14:textId="77777777" w:rsidR="00CE2EC2" w:rsidRPr="00F30CB9" w:rsidRDefault="00CE2EC2" w:rsidP="0033646F">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9D" w14:textId="77777777" w:rsidR="00CE2EC2" w:rsidRPr="00F30CB9" w:rsidRDefault="00CE2EC2" w:rsidP="0033646F">
            <w:pPr>
              <w:rPr>
                <w:b/>
              </w:rPr>
            </w:pPr>
            <w:r w:rsidRPr="00E07693">
              <w:rPr>
                <w:rFonts w:eastAsia="Times New Roman"/>
                <w:color w:val="7F7F7F" w:themeColor="text1" w:themeTint="80"/>
                <w:lang w:eastAsia="es-MX"/>
              </w:rPr>
              <w:t>[Indique nombre, sección y páginas del documento]</w:t>
            </w:r>
          </w:p>
        </w:tc>
      </w:tr>
      <w:tr w:rsidR="00CE2EC2" w:rsidRPr="00DF5B3F" w14:paraId="645E7CA0" w14:textId="77777777" w:rsidTr="00090F4F">
        <w:trPr>
          <w:trHeight w:val="414"/>
        </w:trPr>
        <w:tc>
          <w:tcPr>
            <w:tcW w:w="8641" w:type="dxa"/>
            <w:gridSpan w:val="4"/>
            <w:shd w:val="clear" w:color="auto" w:fill="FFFFFF"/>
            <w:vAlign w:val="center"/>
          </w:tcPr>
          <w:p w14:paraId="645E7C9F" w14:textId="6817511A" w:rsidR="00CE2EC2" w:rsidRPr="00DF67B4" w:rsidRDefault="00CE2EC2"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DD0459">
              <w:rPr>
                <w:rFonts w:eastAsia="Times New Roman"/>
                <w:b/>
                <w:color w:val="000000"/>
                <w:szCs w:val="20"/>
                <w:lang w:eastAsia="es-MX"/>
              </w:rPr>
              <w:t>En qué grado considera</w:t>
            </w:r>
            <w:r w:rsidR="00DD0459"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referentes a la </w:t>
            </w:r>
            <w:r>
              <w:rPr>
                <w:rFonts w:eastAsia="Times New Roman"/>
                <w:b/>
                <w:color w:val="000000"/>
                <w:szCs w:val="20"/>
                <w:lang w:eastAsia="es-MX"/>
              </w:rPr>
              <w:t>interconexión</w:t>
            </w:r>
            <w:r w:rsidRPr="001A5B2D">
              <w:rPr>
                <w:rFonts w:eastAsia="Times New Roman"/>
                <w:b/>
                <w:color w:val="000000"/>
                <w:szCs w:val="20"/>
                <w:lang w:eastAsia="es-MX"/>
              </w:rPr>
              <w:t xml:space="preserve">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CE2EC2" w:rsidRPr="00DF5B3F" w14:paraId="645E7CA2" w14:textId="77777777" w:rsidTr="00090F4F">
        <w:trPr>
          <w:trHeight w:val="414"/>
        </w:trPr>
        <w:tc>
          <w:tcPr>
            <w:tcW w:w="8641" w:type="dxa"/>
            <w:gridSpan w:val="4"/>
            <w:shd w:val="clear" w:color="auto" w:fill="FFFFFF"/>
            <w:vAlign w:val="center"/>
          </w:tcPr>
          <w:p w14:paraId="645E7CA1" w14:textId="77777777" w:rsidR="00CE2EC2" w:rsidRPr="001A5B2D" w:rsidRDefault="00CE2EC2" w:rsidP="0033646F">
            <w:pPr>
              <w:spacing w:after="0" w:line="276" w:lineRule="auto"/>
              <w:rPr>
                <w:rFonts w:eastAsia="Times New Roman"/>
                <w:b/>
                <w:color w:val="000000"/>
                <w:szCs w:val="20"/>
                <w:lang w:eastAsia="es-MX"/>
              </w:rPr>
            </w:pPr>
          </w:p>
        </w:tc>
      </w:tr>
      <w:tr w:rsidR="00CE2EC2" w:rsidRPr="00DF5B3F" w14:paraId="645E7CA5" w14:textId="77777777" w:rsidTr="00090F4F">
        <w:trPr>
          <w:trHeight w:val="414"/>
        </w:trPr>
        <w:tc>
          <w:tcPr>
            <w:tcW w:w="4320" w:type="dxa"/>
            <w:gridSpan w:val="3"/>
            <w:shd w:val="clear" w:color="auto" w:fill="FFFFFF"/>
            <w:vAlign w:val="center"/>
          </w:tcPr>
          <w:p w14:paraId="645E7CA3" w14:textId="77777777" w:rsidR="00CE2EC2" w:rsidRPr="00F30CB9" w:rsidRDefault="00CE2EC2" w:rsidP="0033646F">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A4" w14:textId="77777777" w:rsidR="00CE2EC2" w:rsidRPr="00E07693" w:rsidRDefault="00CE2EC2" w:rsidP="0033646F">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CE2EC2" w:rsidRPr="00DF5B3F" w14:paraId="645E7CA7" w14:textId="77777777" w:rsidTr="00090F4F">
        <w:trPr>
          <w:trHeight w:val="414"/>
        </w:trPr>
        <w:tc>
          <w:tcPr>
            <w:tcW w:w="8641" w:type="dxa"/>
            <w:gridSpan w:val="4"/>
            <w:shd w:val="clear" w:color="auto" w:fill="FFFFFF"/>
            <w:vAlign w:val="center"/>
          </w:tcPr>
          <w:p w14:paraId="645E7CA6" w14:textId="23812A01" w:rsidR="00CE2EC2" w:rsidRDefault="00CE2EC2" w:rsidP="0077234F">
            <w:pPr>
              <w:spacing w:after="0" w:line="276" w:lineRule="auto"/>
              <w:rPr>
                <w:rFonts w:eastAsia="Times New Roman"/>
                <w:color w:val="000000"/>
                <w:lang w:eastAsia="es-MX"/>
              </w:rPr>
            </w:pPr>
            <w:r w:rsidRPr="001A5B2D">
              <w:rPr>
                <w:rFonts w:eastAsia="Times New Roman"/>
                <w:b/>
                <w:color w:val="000000"/>
                <w:szCs w:val="20"/>
                <w:lang w:eastAsia="es-MX"/>
              </w:rPr>
              <w:lastRenderedPageBreak/>
              <w:t>¿</w:t>
            </w:r>
            <w:r w:rsidR="00DD0459">
              <w:rPr>
                <w:rFonts w:eastAsia="Times New Roman"/>
                <w:b/>
                <w:color w:val="000000"/>
                <w:szCs w:val="20"/>
                <w:lang w:eastAsia="es-MX"/>
              </w:rPr>
              <w:t>En qué grado considera</w:t>
            </w:r>
            <w:r w:rsidR="00DD0459"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 xml:space="preserve">las acciones </w:t>
            </w:r>
            <w:r w:rsidR="00F61086">
              <w:rPr>
                <w:rFonts w:eastAsia="Times New Roman"/>
                <w:b/>
                <w:color w:val="000000"/>
                <w:szCs w:val="20"/>
                <w:lang w:eastAsia="es-MX"/>
              </w:rPr>
              <w:t xml:space="preserve">y/o instrumentos </w:t>
            </w:r>
            <w:r>
              <w:rPr>
                <w:rFonts w:eastAsia="Times New Roman"/>
                <w:b/>
                <w:color w:val="000000"/>
                <w:szCs w:val="20"/>
                <w:lang w:eastAsia="es-MX"/>
              </w:rPr>
              <w:t xml:space="preserve">mediante las cuales se han </w:t>
            </w:r>
            <w:r w:rsidR="00E84619">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CE2EC2" w:rsidRPr="00DF5B3F" w14:paraId="645E7CA9" w14:textId="77777777" w:rsidTr="00090F4F">
        <w:trPr>
          <w:trHeight w:val="414"/>
        </w:trPr>
        <w:tc>
          <w:tcPr>
            <w:tcW w:w="8641" w:type="dxa"/>
            <w:gridSpan w:val="4"/>
            <w:shd w:val="clear" w:color="auto" w:fill="FFFFFF"/>
            <w:vAlign w:val="center"/>
          </w:tcPr>
          <w:p w14:paraId="645E7CA8" w14:textId="77777777" w:rsidR="00CE2EC2" w:rsidRPr="001A5B2D" w:rsidRDefault="00CE2EC2" w:rsidP="0033646F">
            <w:pPr>
              <w:spacing w:after="0" w:line="276" w:lineRule="auto"/>
              <w:rPr>
                <w:rFonts w:eastAsia="Times New Roman"/>
                <w:b/>
                <w:color w:val="000000"/>
                <w:szCs w:val="20"/>
                <w:lang w:eastAsia="es-MX"/>
              </w:rPr>
            </w:pPr>
          </w:p>
        </w:tc>
      </w:tr>
      <w:tr w:rsidR="00CE2EC2" w:rsidRPr="00DF5B3F" w14:paraId="645E7CAC" w14:textId="77777777" w:rsidTr="00090F4F">
        <w:trPr>
          <w:trHeight w:val="414"/>
        </w:trPr>
        <w:tc>
          <w:tcPr>
            <w:tcW w:w="4320" w:type="dxa"/>
            <w:gridSpan w:val="3"/>
            <w:shd w:val="clear" w:color="auto" w:fill="FFFFFF"/>
            <w:vAlign w:val="center"/>
          </w:tcPr>
          <w:p w14:paraId="645E7CAA" w14:textId="77777777" w:rsidR="00CE2EC2" w:rsidRPr="00F30CB9" w:rsidRDefault="00CE2EC2" w:rsidP="0033646F">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AB" w14:textId="77777777" w:rsidR="00CE2EC2" w:rsidRPr="00F30CB9" w:rsidRDefault="00CE2EC2" w:rsidP="0033646F">
            <w:pPr>
              <w:rPr>
                <w:b/>
              </w:rPr>
            </w:pPr>
            <w:r w:rsidRPr="00E07693">
              <w:rPr>
                <w:rFonts w:eastAsia="Times New Roman"/>
                <w:color w:val="7F7F7F" w:themeColor="text1" w:themeTint="80"/>
                <w:lang w:eastAsia="es-MX"/>
              </w:rPr>
              <w:t>[Indique nombre, sección y páginas del documento]</w:t>
            </w:r>
          </w:p>
        </w:tc>
      </w:tr>
      <w:tr w:rsidR="00C8246E" w:rsidRPr="00C355B5" w14:paraId="6D1D3C0A" w14:textId="77777777" w:rsidTr="00EB1FFA">
        <w:trPr>
          <w:trHeight w:val="414"/>
        </w:trPr>
        <w:tc>
          <w:tcPr>
            <w:tcW w:w="8641" w:type="dxa"/>
            <w:gridSpan w:val="4"/>
            <w:shd w:val="clear" w:color="auto" w:fill="FFFFFF"/>
          </w:tcPr>
          <w:p w14:paraId="19941C83" w14:textId="6146C4A2" w:rsidR="00C8246E" w:rsidRDefault="00E14B0F" w:rsidP="00620602">
            <w:pPr>
              <w:rPr>
                <w:b/>
              </w:rPr>
            </w:pPr>
            <w:r>
              <w:rPr>
                <w:b/>
              </w:rPr>
              <w:t>En caso de contar</w:t>
            </w:r>
            <w:r w:rsidR="00C8246E" w:rsidRPr="00CE67E5">
              <w:rPr>
                <w:b/>
              </w:rPr>
              <w:t xml:space="preserve"> con una propuesta específica sobre alguna de las medidas relacionadas con</w:t>
            </w:r>
            <w:r w:rsidR="00C8246E">
              <w:rPr>
                <w:b/>
              </w:rPr>
              <w:t xml:space="preserve"> interconexión</w:t>
            </w:r>
            <w:r w:rsidR="00F771EF">
              <w:rPr>
                <w:b/>
              </w:rPr>
              <w:t>, deber</w:t>
            </w:r>
            <w:r w:rsidR="00322499">
              <w:rPr>
                <w:b/>
              </w:rPr>
              <w:t>á indicarla</w:t>
            </w:r>
            <w:r w:rsidR="00F771EF">
              <w:rPr>
                <w:b/>
              </w:rPr>
              <w:t>.</w:t>
            </w:r>
          </w:p>
          <w:p w14:paraId="6135EEF6" w14:textId="3A5BF5BE" w:rsidR="00C8246E" w:rsidRPr="00C355B5" w:rsidRDefault="000228C4" w:rsidP="00620602">
            <w:pPr>
              <w:rPr>
                <w:rFonts w:eastAsia="Times New Roman"/>
                <w:color w:val="7F7F7F" w:themeColor="text1" w:themeTint="8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8246E" w14:paraId="0EC58DC9" w14:textId="77777777" w:rsidTr="00EB1FFA">
        <w:trPr>
          <w:trHeight w:val="414"/>
        </w:trPr>
        <w:tc>
          <w:tcPr>
            <w:tcW w:w="3047" w:type="dxa"/>
            <w:gridSpan w:val="2"/>
            <w:shd w:val="clear" w:color="auto" w:fill="FFFFFF"/>
          </w:tcPr>
          <w:p w14:paraId="15954252"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gridSpan w:val="2"/>
            <w:shd w:val="clear" w:color="auto" w:fill="FFFFFF"/>
          </w:tcPr>
          <w:p w14:paraId="1A1E12D7"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8246E" w14:paraId="72FD2100" w14:textId="77777777" w:rsidTr="00EB1FFA">
        <w:trPr>
          <w:trHeight w:val="414"/>
        </w:trPr>
        <w:tc>
          <w:tcPr>
            <w:tcW w:w="3047" w:type="dxa"/>
            <w:gridSpan w:val="2"/>
            <w:shd w:val="clear" w:color="auto" w:fill="FFFFFF"/>
          </w:tcPr>
          <w:p w14:paraId="4BDD1D07"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gridSpan w:val="2"/>
            <w:shd w:val="clear" w:color="auto" w:fill="FFFFFF"/>
          </w:tcPr>
          <w:p w14:paraId="7CAF7A8B"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E2EC2" w:rsidRPr="00DF5B3F" w14:paraId="645E7CB5" w14:textId="77777777" w:rsidTr="0033646F">
        <w:trPr>
          <w:trHeight w:val="414"/>
        </w:trPr>
        <w:tc>
          <w:tcPr>
            <w:tcW w:w="1754" w:type="dxa"/>
            <w:shd w:val="clear" w:color="auto" w:fill="C5E0B3"/>
            <w:vAlign w:val="center"/>
          </w:tcPr>
          <w:p w14:paraId="645E7CAD" w14:textId="77777777" w:rsidR="00CE2EC2" w:rsidRDefault="00CE2EC2" w:rsidP="00D26338">
            <w:pPr>
              <w:spacing w:after="0" w:line="276" w:lineRule="auto"/>
              <w:jc w:val="center"/>
              <w:rPr>
                <w:rFonts w:eastAsia="Times New Roman"/>
                <w:b/>
                <w:color w:val="000000"/>
                <w:lang w:eastAsia="es-MX"/>
              </w:rPr>
            </w:pPr>
            <w:r w:rsidRPr="00D26916">
              <w:rPr>
                <w:rFonts w:eastAsia="Times New Roman"/>
                <w:b/>
                <w:color w:val="000000"/>
                <w:lang w:eastAsia="es-MX"/>
              </w:rPr>
              <w:t xml:space="preserve">Medidas referentes </w:t>
            </w:r>
            <w:r w:rsidR="007F74A3">
              <w:rPr>
                <w:rFonts w:eastAsia="Times New Roman"/>
                <w:b/>
                <w:color w:val="000000"/>
                <w:lang w:eastAsia="es-MX"/>
              </w:rPr>
              <w:t>E</w:t>
            </w:r>
            <w:r w:rsidR="00D26338">
              <w:rPr>
                <w:rFonts w:eastAsia="Times New Roman"/>
                <w:b/>
                <w:color w:val="000000"/>
                <w:lang w:eastAsia="es-MX"/>
              </w:rPr>
              <w:t>nlaces</w:t>
            </w:r>
            <w:r w:rsidR="00B327E2">
              <w:rPr>
                <w:rFonts w:eastAsia="Times New Roman"/>
                <w:b/>
                <w:color w:val="000000"/>
                <w:lang w:eastAsia="es-MX"/>
              </w:rPr>
              <w:t xml:space="preserve"> </w:t>
            </w:r>
            <w:r w:rsidR="007F74A3">
              <w:rPr>
                <w:rFonts w:eastAsia="Times New Roman"/>
                <w:b/>
                <w:color w:val="000000"/>
                <w:lang w:eastAsia="es-MX"/>
              </w:rPr>
              <w:t>D</w:t>
            </w:r>
            <w:r w:rsidR="00B327E2">
              <w:rPr>
                <w:rFonts w:eastAsia="Times New Roman"/>
                <w:b/>
                <w:color w:val="000000"/>
                <w:lang w:eastAsia="es-MX"/>
              </w:rPr>
              <w:t>edicados</w:t>
            </w:r>
          </w:p>
          <w:p w14:paraId="645E7CAE" w14:textId="77777777" w:rsidR="00A976EE" w:rsidRDefault="00A976EE" w:rsidP="00D26338">
            <w:pPr>
              <w:spacing w:after="0" w:line="276" w:lineRule="auto"/>
              <w:jc w:val="center"/>
              <w:rPr>
                <w:rFonts w:eastAsia="Times New Roman"/>
                <w:b/>
                <w:color w:val="000000"/>
                <w:lang w:eastAsia="es-MX"/>
              </w:rPr>
            </w:pPr>
          </w:p>
          <w:p w14:paraId="645E7CAF" w14:textId="2D353BFC" w:rsidR="00A976EE" w:rsidRPr="00D26916" w:rsidRDefault="00A976EE" w:rsidP="00A976EE">
            <w:pPr>
              <w:spacing w:after="0" w:line="276" w:lineRule="auto"/>
              <w:jc w:val="center"/>
              <w:rPr>
                <w:rFonts w:eastAsia="Times New Roman"/>
                <w:b/>
                <w:color w:val="000000"/>
                <w:lang w:eastAsia="es-MX"/>
              </w:rPr>
            </w:pPr>
            <w:r>
              <w:rPr>
                <w:rFonts w:eastAsia="Times New Roman"/>
                <w:b/>
                <w:color w:val="000000"/>
                <w:lang w:eastAsia="es-MX"/>
              </w:rPr>
              <w:t xml:space="preserve">Anexo 2: </w:t>
            </w:r>
            <w:r w:rsidR="00C300E9">
              <w:t xml:space="preserve"> </w:t>
            </w:r>
            <w:r w:rsidR="00C300E9" w:rsidRPr="00C300E9">
              <w:rPr>
                <w:rFonts w:eastAsia="Times New Roman"/>
                <w:b/>
                <w:color w:val="000000"/>
                <w:lang w:eastAsia="es-MX"/>
              </w:rPr>
              <w:t>13, 14, 15, 16, 17, 18, 19, 20,</w:t>
            </w:r>
            <w:r w:rsidR="00C300E9">
              <w:rPr>
                <w:rFonts w:eastAsia="Times New Roman"/>
                <w:b/>
                <w:color w:val="000000"/>
                <w:lang w:eastAsia="es-MX"/>
              </w:rPr>
              <w:t xml:space="preserve"> 21, 22, 37, 41, 43, 60, 62 y</w:t>
            </w:r>
            <w:r w:rsidR="00C300E9" w:rsidRPr="00C300E9">
              <w:rPr>
                <w:rFonts w:eastAsia="Times New Roman"/>
                <w:b/>
                <w:color w:val="000000"/>
                <w:lang w:eastAsia="es-MX"/>
              </w:rPr>
              <w:t xml:space="preserve"> 69</w:t>
            </w:r>
            <w:r>
              <w:rPr>
                <w:rFonts w:eastAsia="Times New Roman"/>
                <w:b/>
                <w:color w:val="000000"/>
                <w:lang w:eastAsia="es-MX"/>
              </w:rPr>
              <w:t>.</w:t>
            </w:r>
          </w:p>
        </w:tc>
        <w:tc>
          <w:tcPr>
            <w:tcW w:w="6887" w:type="dxa"/>
            <w:gridSpan w:val="3"/>
            <w:shd w:val="clear" w:color="auto" w:fill="C5E0B3"/>
            <w:vAlign w:val="center"/>
          </w:tcPr>
          <w:p w14:paraId="645E7CB0" w14:textId="77777777" w:rsidR="00CE2EC2" w:rsidRPr="00DF67B4" w:rsidRDefault="00CE2EC2" w:rsidP="0033646F">
            <w:pPr>
              <w:spacing w:after="0" w:line="276" w:lineRule="auto"/>
              <w:rPr>
                <w:rFonts w:eastAsia="Times New Roman"/>
                <w:b/>
                <w:color w:val="000000"/>
                <w:lang w:eastAsia="es-MX"/>
              </w:rPr>
            </w:pPr>
            <w:r w:rsidRPr="00DF67B4">
              <w:rPr>
                <w:rFonts w:eastAsia="Times New Roman"/>
                <w:b/>
                <w:color w:val="000000"/>
                <w:lang w:eastAsia="es-MX"/>
              </w:rPr>
              <w:t>Objetivos</w:t>
            </w:r>
            <w:r>
              <w:rPr>
                <w:rFonts w:eastAsia="Times New Roman"/>
                <w:b/>
                <w:color w:val="000000"/>
                <w:lang w:eastAsia="es-MX"/>
              </w:rPr>
              <w:t xml:space="preserve"> </w:t>
            </w:r>
            <w:r w:rsidR="00220DF9">
              <w:rPr>
                <w:rFonts w:eastAsia="Times New Roman"/>
                <w:b/>
                <w:color w:val="000000"/>
                <w:lang w:eastAsia="es-MX"/>
              </w:rPr>
              <w:t>generales</w:t>
            </w:r>
            <w:r w:rsidRPr="00DF67B4">
              <w:rPr>
                <w:rFonts w:eastAsia="Times New Roman"/>
                <w:b/>
                <w:color w:val="000000"/>
                <w:lang w:eastAsia="es-MX"/>
              </w:rPr>
              <w:t xml:space="preserve">: </w:t>
            </w:r>
          </w:p>
          <w:p w14:paraId="645E7CB1" w14:textId="77777777" w:rsidR="002642FA" w:rsidRPr="002642FA" w:rsidRDefault="002642FA" w:rsidP="002642FA">
            <w:pPr>
              <w:numPr>
                <w:ilvl w:val="0"/>
                <w:numId w:val="12"/>
              </w:numPr>
              <w:spacing w:after="0" w:line="276" w:lineRule="auto"/>
              <w:rPr>
                <w:rFonts w:eastAsia="Times New Roman"/>
                <w:color w:val="000000"/>
                <w:lang w:eastAsia="es-MX"/>
              </w:rPr>
            </w:pPr>
            <w:r w:rsidRPr="002642FA">
              <w:rPr>
                <w:rFonts w:eastAsia="Times New Roman"/>
                <w:color w:val="000000"/>
                <w:lang w:eastAsia="es-MX"/>
              </w:rPr>
              <w:t>Reducir o eliminar barreras a la entrada y la expansión de participantes distintos al AEPT</w:t>
            </w:r>
            <w:r>
              <w:rPr>
                <w:rFonts w:eastAsia="Times New Roman"/>
                <w:color w:val="000000"/>
                <w:lang w:eastAsia="es-MX"/>
              </w:rPr>
              <w:t>.</w:t>
            </w:r>
          </w:p>
          <w:p w14:paraId="645E7CB2" w14:textId="77777777" w:rsidR="002642FA" w:rsidRDefault="002642FA" w:rsidP="002642FA">
            <w:pPr>
              <w:numPr>
                <w:ilvl w:val="0"/>
                <w:numId w:val="12"/>
              </w:numPr>
              <w:spacing w:after="0" w:line="276" w:lineRule="auto"/>
              <w:rPr>
                <w:rFonts w:eastAsia="Times New Roman"/>
                <w:color w:val="000000"/>
                <w:lang w:eastAsia="es-MX"/>
              </w:rPr>
            </w:pPr>
            <w:r w:rsidRPr="002642FA">
              <w:rPr>
                <w:rFonts w:eastAsia="Times New Roman"/>
                <w:color w:val="000000"/>
                <w:lang w:eastAsia="es-MX"/>
              </w:rPr>
              <w:t>Promover el uso eficiente de las redes y la infraestructura</w:t>
            </w:r>
            <w:r>
              <w:rPr>
                <w:rFonts w:eastAsia="Times New Roman"/>
                <w:color w:val="000000"/>
                <w:lang w:eastAsia="es-MX"/>
              </w:rPr>
              <w:t>.</w:t>
            </w:r>
          </w:p>
          <w:p w14:paraId="645E7CB3" w14:textId="77777777" w:rsidR="00BE5E69" w:rsidRPr="002642FA" w:rsidRDefault="00BE5E69" w:rsidP="002642FA">
            <w:pPr>
              <w:numPr>
                <w:ilvl w:val="0"/>
                <w:numId w:val="12"/>
              </w:numPr>
              <w:spacing w:after="0" w:line="276" w:lineRule="auto"/>
              <w:rPr>
                <w:rFonts w:eastAsia="Times New Roman"/>
                <w:color w:val="000000"/>
                <w:lang w:eastAsia="es-MX"/>
              </w:rPr>
            </w:pPr>
            <w:r>
              <w:t>Remediar y prevenir condiciones y conductas con efectos que no favorezcan la competencia y libre concurrencia</w:t>
            </w:r>
          </w:p>
          <w:p w14:paraId="645E7CB4" w14:textId="77777777" w:rsidR="00CE2EC2" w:rsidRPr="005E3113" w:rsidRDefault="002642FA" w:rsidP="002642FA">
            <w:pPr>
              <w:numPr>
                <w:ilvl w:val="0"/>
                <w:numId w:val="12"/>
              </w:numPr>
              <w:spacing w:after="0" w:line="276" w:lineRule="auto"/>
              <w:rPr>
                <w:rFonts w:eastAsia="Times New Roman"/>
                <w:color w:val="000000"/>
                <w:lang w:eastAsia="es-MX"/>
              </w:rPr>
            </w:pPr>
            <w:r>
              <w:t>Disminuir costos de transacción.</w:t>
            </w:r>
          </w:p>
        </w:tc>
      </w:tr>
      <w:tr w:rsidR="004B664D" w:rsidRPr="00DF5B3F" w14:paraId="645E7CBB" w14:textId="77777777" w:rsidTr="00090F4F">
        <w:trPr>
          <w:trHeight w:val="414"/>
        </w:trPr>
        <w:tc>
          <w:tcPr>
            <w:tcW w:w="8641" w:type="dxa"/>
            <w:gridSpan w:val="4"/>
            <w:shd w:val="clear" w:color="auto" w:fill="FFFFFF"/>
            <w:vAlign w:val="center"/>
          </w:tcPr>
          <w:p w14:paraId="645E7CB6" w14:textId="77777777" w:rsidR="004B664D" w:rsidRPr="004B664D" w:rsidRDefault="007D23B9" w:rsidP="004B664D">
            <w:pPr>
              <w:rPr>
                <w:b/>
              </w:rPr>
            </w:pPr>
            <w:r>
              <w:rPr>
                <w:b/>
              </w:rPr>
              <w:t>Contexto</w:t>
            </w:r>
            <w:r w:rsidR="004B664D">
              <w:rPr>
                <w:b/>
              </w:rPr>
              <w:t>:</w:t>
            </w:r>
          </w:p>
          <w:p w14:paraId="645E7CB7" w14:textId="77777777" w:rsidR="004B664D" w:rsidRDefault="00DE1262" w:rsidP="00070540">
            <w:r>
              <w:t>El servicio mayorista de arrendamiento de enlaces dedicados es un insumo utilizado por el resto de los competidores para complementar su infraestructura de transporte o para llegar a clientes ubicados en lugares donde no cuentan con infraestructura propia. Asimismo, l</w:t>
            </w:r>
            <w:r w:rsidR="004B664D">
              <w:t xml:space="preserve">os concesionarios de redes públicas de telecomunicaciones utilizan los enlaces dedicados para transportar todo tipo de tráfico entre distintos puntos de su red, conectarse con otros operadores, intercambiar tráfico conmutado y no conmutado, y dar acceso a su red a usuarios finales. </w:t>
            </w:r>
          </w:p>
          <w:p w14:paraId="645E7CB8" w14:textId="77777777" w:rsidR="00787054" w:rsidRPr="00930A58" w:rsidRDefault="00081850" w:rsidP="00081850">
            <w:pPr>
              <w:rPr>
                <w:b/>
              </w:rPr>
            </w:pPr>
            <w:r>
              <w:rPr>
                <w:b/>
              </w:rPr>
              <w:t>Resumen de las medidas impuestas:</w:t>
            </w:r>
          </w:p>
          <w:p w14:paraId="645E7CB9" w14:textId="77777777" w:rsidR="00081850" w:rsidRDefault="00081850" w:rsidP="00081850">
            <w:r w:rsidRPr="00D24909">
              <w:t xml:space="preserve">El Instituto impuso medidas al AEPT referentes a prestar el servicio mayorista de arrendamiento de enlaces dedicados, </w:t>
            </w:r>
            <w:r w:rsidR="00787054">
              <w:t>publicar una oferta de referencia previamente aprobada por el Instituto,</w:t>
            </w:r>
            <w:r w:rsidRPr="00D24909">
              <w:t xml:space="preserve"> </w:t>
            </w:r>
            <w:r w:rsidR="00787054">
              <w:t xml:space="preserve">suscribir convenios, poner información a disposición de los CS, entre otras. </w:t>
            </w:r>
            <w:r w:rsidRPr="00D24909">
              <w:t>Además, se establecieron las velocidades mínimas de transmisión que debían ser ofertadas, los plazos de entrega máximos, así como los</w:t>
            </w:r>
            <w:r w:rsidRPr="00011A76">
              <w:t xml:space="preserve"> parámetros de calidad que debe</w:t>
            </w:r>
            <w:r w:rsidRPr="004D267A">
              <w:t>r</w:t>
            </w:r>
            <w:r>
              <w:t>á</w:t>
            </w:r>
            <w:r w:rsidRPr="00D24909">
              <w:t>n ser cumplidos</w:t>
            </w:r>
            <w:r>
              <w:t xml:space="preserve"> en la prestación del servicio mayorista</w:t>
            </w:r>
            <w:r w:rsidR="00930A58">
              <w:t>, entre otras.</w:t>
            </w:r>
          </w:p>
          <w:p w14:paraId="645E7CBA" w14:textId="77777777" w:rsidR="004B664D" w:rsidRPr="008E76A6" w:rsidRDefault="00081850" w:rsidP="00767118">
            <w:r w:rsidRPr="00D24909">
              <w:t>A través de la Resolución Bienal</w:t>
            </w:r>
            <w:r>
              <w:t xml:space="preserve"> de Telecomunicaciones</w:t>
            </w:r>
            <w:r w:rsidR="00D76EFE">
              <w:rPr>
                <w:rFonts w:eastAsia="Times New Roman"/>
                <w:color w:val="000000"/>
                <w:lang w:eastAsia="es-MX"/>
              </w:rPr>
              <w:t xml:space="preserve"> se hicieron adecuaciones </w:t>
            </w:r>
            <w:r w:rsidR="008D30AB">
              <w:t xml:space="preserve">en materia de periodicidad de medición y parámetros de calidad, determinación de </w:t>
            </w:r>
            <w:r w:rsidR="008D30AB">
              <w:lastRenderedPageBreak/>
              <w:t xml:space="preserve">tarifas con base en una metodología de costos incrementales, </w:t>
            </w:r>
            <w:r w:rsidR="008D30AB">
              <w:rPr>
                <w:rFonts w:eastAsia="Times New Roman"/>
                <w:color w:val="000000"/>
                <w:lang w:eastAsia="es-MX"/>
              </w:rPr>
              <w:t xml:space="preserve">facturación, procesos y elementos mínimos que debe contener la oferta de referencia (incluidas las tarifas mayoristas), </w:t>
            </w:r>
            <w:r w:rsidR="008D30AB">
              <w:t xml:space="preserve">flexibilidad en la provisión de </w:t>
            </w:r>
            <w:r w:rsidR="007C6576">
              <w:t xml:space="preserve">los </w:t>
            </w:r>
            <w:r w:rsidR="008D30AB">
              <w:t xml:space="preserve">enlaces, </w:t>
            </w:r>
            <w:r w:rsidR="008D30AB">
              <w:rPr>
                <w:rFonts w:eastAsia="Times New Roman"/>
                <w:color w:val="000000"/>
                <w:lang w:eastAsia="es-MX"/>
              </w:rPr>
              <w:t>inclusión</w:t>
            </w:r>
            <w:r w:rsidR="00D76EFE">
              <w:rPr>
                <w:rFonts w:eastAsia="Times New Roman"/>
                <w:color w:val="000000"/>
                <w:lang w:eastAsia="es-MX"/>
              </w:rPr>
              <w:t xml:space="preserve"> de nuevas figuras legales</w:t>
            </w:r>
            <w:r w:rsidR="008D30AB">
              <w:rPr>
                <w:rFonts w:eastAsia="Times New Roman"/>
                <w:color w:val="000000"/>
                <w:lang w:eastAsia="es-MX"/>
              </w:rPr>
              <w:t xml:space="preserve"> y</w:t>
            </w:r>
            <w:r w:rsidR="00D76EFE">
              <w:rPr>
                <w:rFonts w:eastAsia="Times New Roman"/>
                <w:color w:val="000000"/>
                <w:lang w:eastAsia="es-MX"/>
              </w:rPr>
              <w:t xml:space="preserve"> homologa</w:t>
            </w:r>
            <w:r w:rsidR="008D30AB">
              <w:rPr>
                <w:rFonts w:eastAsia="Times New Roman"/>
                <w:color w:val="000000"/>
                <w:lang w:eastAsia="es-MX"/>
              </w:rPr>
              <w:t>ción</w:t>
            </w:r>
            <w:r w:rsidR="00D76EFE">
              <w:rPr>
                <w:rFonts w:eastAsia="Times New Roman"/>
                <w:color w:val="000000"/>
                <w:lang w:eastAsia="es-MX"/>
              </w:rPr>
              <w:t xml:space="preserve"> con lo establecido en la LFTR y otros ordenamientos jurídicos</w:t>
            </w:r>
            <w:r w:rsidRPr="00D24909">
              <w:t xml:space="preserve">, </w:t>
            </w:r>
            <w:r w:rsidR="00FF22F6">
              <w:rPr>
                <w:rFonts w:eastAsia="Times New Roman"/>
                <w:color w:val="000000"/>
                <w:lang w:eastAsia="es-MX"/>
              </w:rPr>
              <w:t>entre otras.</w:t>
            </w:r>
          </w:p>
        </w:tc>
      </w:tr>
      <w:tr w:rsidR="004B664D" w:rsidRPr="00DF5B3F" w14:paraId="645E7CBD" w14:textId="77777777" w:rsidTr="00090F4F">
        <w:trPr>
          <w:trHeight w:val="414"/>
        </w:trPr>
        <w:tc>
          <w:tcPr>
            <w:tcW w:w="8641" w:type="dxa"/>
            <w:gridSpan w:val="4"/>
            <w:shd w:val="clear" w:color="auto" w:fill="FFFFFF"/>
            <w:vAlign w:val="center"/>
          </w:tcPr>
          <w:p w14:paraId="645E7CBC" w14:textId="430E25F0"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Cuáles son los efectos que las medidas referentes al servicio mayorista de enlaces dedicado han generado</w:t>
            </w:r>
            <w:r w:rsidR="00F61086">
              <w:rPr>
                <w:rFonts w:eastAsia="Times New Roman"/>
                <w:b/>
                <w:color w:val="000000"/>
                <w:szCs w:val="20"/>
                <w:lang w:eastAsia="es-MX"/>
              </w:rPr>
              <w:t xml:space="preserve"> en el sector de telecomunicaciones</w:t>
            </w:r>
            <w:r>
              <w:rPr>
                <w:rFonts w:eastAsia="Times New Roman"/>
                <w:b/>
                <w:color w:val="000000"/>
                <w:szCs w:val="20"/>
                <w:lang w:eastAsia="es-MX"/>
              </w:rPr>
              <w:t>? ¿</w:t>
            </w:r>
            <w:r w:rsidR="0026124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B664D" w:rsidRPr="00DF5B3F" w14:paraId="645E7CBF" w14:textId="77777777" w:rsidTr="00090F4F">
        <w:trPr>
          <w:trHeight w:val="414"/>
        </w:trPr>
        <w:tc>
          <w:tcPr>
            <w:tcW w:w="8641" w:type="dxa"/>
            <w:gridSpan w:val="4"/>
            <w:shd w:val="clear" w:color="auto" w:fill="FFFFFF"/>
            <w:vAlign w:val="center"/>
          </w:tcPr>
          <w:p w14:paraId="645E7CBE" w14:textId="77777777" w:rsidR="004B664D" w:rsidRPr="001A5B2D" w:rsidRDefault="004B664D" w:rsidP="004B664D">
            <w:pPr>
              <w:spacing w:after="0" w:line="276" w:lineRule="auto"/>
              <w:rPr>
                <w:rFonts w:eastAsia="Times New Roman"/>
                <w:b/>
                <w:color w:val="000000"/>
                <w:szCs w:val="20"/>
                <w:lang w:eastAsia="es-MX"/>
              </w:rPr>
            </w:pPr>
          </w:p>
        </w:tc>
      </w:tr>
      <w:tr w:rsidR="004B664D" w:rsidRPr="00DF5B3F" w14:paraId="645E7CC2" w14:textId="77777777" w:rsidTr="00090F4F">
        <w:trPr>
          <w:trHeight w:val="414"/>
        </w:trPr>
        <w:tc>
          <w:tcPr>
            <w:tcW w:w="4320" w:type="dxa"/>
            <w:gridSpan w:val="3"/>
            <w:shd w:val="clear" w:color="auto" w:fill="FFFFFF"/>
            <w:vAlign w:val="center"/>
          </w:tcPr>
          <w:p w14:paraId="645E7CC0"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C1"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5B3F" w14:paraId="645E7CC4" w14:textId="77777777" w:rsidTr="00090F4F">
        <w:trPr>
          <w:trHeight w:val="414"/>
        </w:trPr>
        <w:tc>
          <w:tcPr>
            <w:tcW w:w="8641" w:type="dxa"/>
            <w:gridSpan w:val="4"/>
            <w:shd w:val="clear" w:color="auto" w:fill="FFFFFF"/>
            <w:vAlign w:val="center"/>
          </w:tcPr>
          <w:p w14:paraId="645E7CC3" w14:textId="23E945CB"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r w:rsidR="00261246" w:rsidRPr="001A5B2D" w:rsidDel="00261246">
              <w:rPr>
                <w:rFonts w:eastAsia="Times New Roman"/>
                <w:b/>
                <w:color w:val="000000"/>
                <w:szCs w:val="20"/>
                <w:lang w:eastAsia="es-MX"/>
              </w:rPr>
              <w:t xml:space="preserve"> </w:t>
            </w:r>
          </w:p>
        </w:tc>
      </w:tr>
      <w:tr w:rsidR="004B664D" w:rsidRPr="00DF5B3F" w14:paraId="645E7CC6" w14:textId="77777777" w:rsidTr="00090F4F">
        <w:trPr>
          <w:trHeight w:val="414"/>
        </w:trPr>
        <w:tc>
          <w:tcPr>
            <w:tcW w:w="8641" w:type="dxa"/>
            <w:gridSpan w:val="4"/>
            <w:shd w:val="clear" w:color="auto" w:fill="FFFFFF"/>
            <w:vAlign w:val="center"/>
          </w:tcPr>
          <w:p w14:paraId="645E7CC5" w14:textId="77777777" w:rsidR="004B664D" w:rsidRPr="001A5B2D" w:rsidRDefault="004B664D" w:rsidP="004B664D">
            <w:pPr>
              <w:spacing w:after="0" w:line="276" w:lineRule="auto"/>
              <w:rPr>
                <w:rFonts w:eastAsia="Times New Roman"/>
                <w:b/>
                <w:color w:val="000000"/>
                <w:szCs w:val="20"/>
                <w:lang w:eastAsia="es-MX"/>
              </w:rPr>
            </w:pPr>
          </w:p>
        </w:tc>
      </w:tr>
      <w:tr w:rsidR="004B664D" w:rsidRPr="00DF5B3F" w14:paraId="645E7CC9" w14:textId="77777777" w:rsidTr="00090F4F">
        <w:trPr>
          <w:trHeight w:val="414"/>
        </w:trPr>
        <w:tc>
          <w:tcPr>
            <w:tcW w:w="4320" w:type="dxa"/>
            <w:gridSpan w:val="3"/>
            <w:shd w:val="clear" w:color="auto" w:fill="FFFFFF"/>
            <w:vAlign w:val="center"/>
          </w:tcPr>
          <w:p w14:paraId="645E7CC7"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C8"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5B3F" w14:paraId="645E7CCB" w14:textId="77777777" w:rsidTr="00090F4F">
        <w:trPr>
          <w:trHeight w:val="414"/>
        </w:trPr>
        <w:tc>
          <w:tcPr>
            <w:tcW w:w="8641" w:type="dxa"/>
            <w:gridSpan w:val="4"/>
            <w:shd w:val="clear" w:color="auto" w:fill="FFFFFF"/>
            <w:vAlign w:val="center"/>
          </w:tcPr>
          <w:p w14:paraId="645E7CCA" w14:textId="7CFFAF20" w:rsidR="004B664D" w:rsidRDefault="004B664D"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F61086">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B327E2">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B664D" w:rsidRPr="00DF5B3F" w14:paraId="645E7CCD" w14:textId="77777777" w:rsidTr="00090F4F">
        <w:trPr>
          <w:trHeight w:val="414"/>
        </w:trPr>
        <w:tc>
          <w:tcPr>
            <w:tcW w:w="8641" w:type="dxa"/>
            <w:gridSpan w:val="4"/>
            <w:shd w:val="clear" w:color="auto" w:fill="FFFFFF"/>
            <w:vAlign w:val="center"/>
          </w:tcPr>
          <w:p w14:paraId="645E7CCC" w14:textId="77777777" w:rsidR="004B664D" w:rsidRPr="001A5B2D" w:rsidRDefault="004B664D" w:rsidP="004B664D">
            <w:pPr>
              <w:spacing w:after="0" w:line="276" w:lineRule="auto"/>
              <w:rPr>
                <w:rFonts w:eastAsia="Times New Roman"/>
                <w:b/>
                <w:color w:val="000000"/>
                <w:szCs w:val="20"/>
                <w:lang w:eastAsia="es-MX"/>
              </w:rPr>
            </w:pPr>
          </w:p>
        </w:tc>
      </w:tr>
      <w:tr w:rsidR="004B664D" w:rsidRPr="00DF5B3F" w14:paraId="645E7CD0" w14:textId="77777777" w:rsidTr="00090F4F">
        <w:trPr>
          <w:trHeight w:val="414"/>
        </w:trPr>
        <w:tc>
          <w:tcPr>
            <w:tcW w:w="4320" w:type="dxa"/>
            <w:gridSpan w:val="3"/>
            <w:shd w:val="clear" w:color="auto" w:fill="FFFFFF"/>
            <w:vAlign w:val="center"/>
          </w:tcPr>
          <w:p w14:paraId="645E7CCE"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CF"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C8246E" w:rsidRPr="00C355B5" w14:paraId="4DFBE0FC" w14:textId="77777777" w:rsidTr="00EB1FFA">
        <w:trPr>
          <w:trHeight w:val="414"/>
        </w:trPr>
        <w:tc>
          <w:tcPr>
            <w:tcW w:w="8641" w:type="dxa"/>
            <w:gridSpan w:val="4"/>
            <w:shd w:val="clear" w:color="auto" w:fill="FFFFFF"/>
          </w:tcPr>
          <w:p w14:paraId="49B5CD04" w14:textId="062901DC" w:rsidR="00C8246E" w:rsidRDefault="00E14B0F" w:rsidP="00620602">
            <w:pPr>
              <w:rPr>
                <w:b/>
              </w:rPr>
            </w:pPr>
            <w:r>
              <w:rPr>
                <w:b/>
              </w:rPr>
              <w:t>En caso de contar</w:t>
            </w:r>
            <w:r w:rsidR="00C8246E" w:rsidRPr="00CE67E5">
              <w:rPr>
                <w:b/>
              </w:rPr>
              <w:t xml:space="preserve"> con una propuesta específica sobre alguna de las medidas relacionadas con</w:t>
            </w:r>
            <w:r w:rsidR="00C8246E">
              <w:rPr>
                <w:b/>
              </w:rPr>
              <w:t xml:space="preserve"> el servicio mayorista de enlaces dedicados</w:t>
            </w:r>
            <w:r w:rsidR="00C8246E" w:rsidRPr="00CE67E5">
              <w:rPr>
                <w:b/>
              </w:rPr>
              <w:t xml:space="preserve">, </w:t>
            </w:r>
            <w:r w:rsidR="00F771EF">
              <w:rPr>
                <w:b/>
              </w:rPr>
              <w:t>deber</w:t>
            </w:r>
            <w:r w:rsidR="00322499">
              <w:rPr>
                <w:b/>
              </w:rPr>
              <w:t>á indicarla</w:t>
            </w:r>
            <w:r w:rsidR="00F771EF">
              <w:rPr>
                <w:b/>
              </w:rPr>
              <w:t>.</w:t>
            </w:r>
          </w:p>
          <w:p w14:paraId="0B476BB6" w14:textId="36D33DAA" w:rsidR="00C8246E" w:rsidRPr="00C355B5" w:rsidRDefault="000228C4" w:rsidP="00620602">
            <w:pPr>
              <w:rPr>
                <w:rFonts w:eastAsia="Times New Roman"/>
                <w:color w:val="7F7F7F" w:themeColor="text1" w:themeTint="8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8246E" w14:paraId="53315B8F" w14:textId="77777777" w:rsidTr="00EB1FFA">
        <w:trPr>
          <w:trHeight w:val="414"/>
        </w:trPr>
        <w:tc>
          <w:tcPr>
            <w:tcW w:w="3047" w:type="dxa"/>
            <w:gridSpan w:val="2"/>
            <w:shd w:val="clear" w:color="auto" w:fill="FFFFFF"/>
          </w:tcPr>
          <w:p w14:paraId="52F30DE8"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gridSpan w:val="2"/>
            <w:shd w:val="clear" w:color="auto" w:fill="FFFFFF"/>
          </w:tcPr>
          <w:p w14:paraId="51696415"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8246E" w14:paraId="4F7372D8" w14:textId="77777777" w:rsidTr="00EB1FFA">
        <w:trPr>
          <w:trHeight w:val="414"/>
        </w:trPr>
        <w:tc>
          <w:tcPr>
            <w:tcW w:w="3047" w:type="dxa"/>
            <w:gridSpan w:val="2"/>
            <w:shd w:val="clear" w:color="auto" w:fill="FFFFFF"/>
          </w:tcPr>
          <w:p w14:paraId="2792664D"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gridSpan w:val="2"/>
            <w:shd w:val="clear" w:color="auto" w:fill="FFFFFF"/>
          </w:tcPr>
          <w:p w14:paraId="366B5A49"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B664D" w:rsidRPr="00DF5B3F" w14:paraId="645E7CD9" w14:textId="77777777" w:rsidTr="0033646F">
        <w:trPr>
          <w:trHeight w:val="414"/>
        </w:trPr>
        <w:tc>
          <w:tcPr>
            <w:tcW w:w="1754" w:type="dxa"/>
            <w:shd w:val="clear" w:color="auto" w:fill="C5E0B3"/>
            <w:vAlign w:val="center"/>
          </w:tcPr>
          <w:p w14:paraId="645E7CD1" w14:textId="77777777" w:rsidR="00190DAE" w:rsidRDefault="004B664D" w:rsidP="00436AD1">
            <w:pPr>
              <w:spacing w:after="0" w:line="276" w:lineRule="auto"/>
              <w:jc w:val="center"/>
              <w:rPr>
                <w:rFonts w:eastAsia="Times New Roman"/>
                <w:b/>
                <w:color w:val="000000"/>
                <w:lang w:eastAsia="es-MX"/>
              </w:rPr>
            </w:pPr>
            <w:r>
              <w:rPr>
                <w:rFonts w:eastAsia="Times New Roman"/>
                <w:b/>
                <w:color w:val="000000"/>
                <w:lang w:eastAsia="es-MX"/>
              </w:rPr>
              <w:t>Medidas referentes a compartición de infraestructura</w:t>
            </w:r>
            <w:r w:rsidR="00C300E9">
              <w:rPr>
                <w:rFonts w:eastAsia="Times New Roman"/>
                <w:b/>
                <w:color w:val="000000"/>
                <w:lang w:eastAsia="es-MX"/>
              </w:rPr>
              <w:t xml:space="preserve"> pasiva</w:t>
            </w:r>
          </w:p>
          <w:p w14:paraId="645E7CD2" w14:textId="77777777" w:rsidR="00436AD1" w:rsidRDefault="00436AD1" w:rsidP="00436AD1">
            <w:pPr>
              <w:spacing w:after="0" w:line="276" w:lineRule="auto"/>
              <w:jc w:val="center"/>
              <w:rPr>
                <w:rFonts w:eastAsia="Times New Roman"/>
                <w:b/>
                <w:color w:val="000000"/>
                <w:lang w:eastAsia="es-MX"/>
              </w:rPr>
            </w:pPr>
          </w:p>
          <w:p w14:paraId="645E7CD3" w14:textId="77EE5CA7" w:rsidR="00190DAE" w:rsidRDefault="00190DAE" w:rsidP="00190DAE">
            <w:pPr>
              <w:spacing w:after="0" w:line="276" w:lineRule="auto"/>
              <w:jc w:val="center"/>
              <w:rPr>
                <w:rFonts w:eastAsia="Times New Roman"/>
                <w:b/>
                <w:color w:val="000000"/>
                <w:lang w:eastAsia="es-MX"/>
              </w:rPr>
            </w:pPr>
            <w:r>
              <w:rPr>
                <w:rFonts w:eastAsia="Times New Roman"/>
                <w:b/>
                <w:color w:val="000000"/>
                <w:lang w:eastAsia="es-MX"/>
              </w:rPr>
              <w:t>Anexo 2:</w:t>
            </w:r>
            <w:r w:rsidRPr="00190DAE">
              <w:rPr>
                <w:rFonts w:eastAsia="Times New Roman"/>
                <w:b/>
                <w:color w:val="000000"/>
                <w:lang w:eastAsia="es-MX"/>
              </w:rPr>
              <w:t xml:space="preserve"> </w:t>
            </w:r>
            <w:r w:rsidR="00D65CD0">
              <w:t xml:space="preserve"> </w:t>
            </w:r>
            <w:r w:rsidR="00D65CD0" w:rsidRPr="00D65CD0">
              <w:rPr>
                <w:rFonts w:eastAsia="Times New Roman"/>
                <w:b/>
                <w:color w:val="000000"/>
                <w:lang w:eastAsia="es-MX"/>
              </w:rPr>
              <w:t xml:space="preserve">23, 24, 25, 28, 29, 30, 31, 32, 33, </w:t>
            </w:r>
            <w:r w:rsidR="00D65CD0">
              <w:rPr>
                <w:rFonts w:eastAsia="Times New Roman"/>
                <w:b/>
                <w:color w:val="000000"/>
                <w:lang w:eastAsia="es-MX"/>
              </w:rPr>
              <w:t xml:space="preserve">34, </w:t>
            </w:r>
            <w:r w:rsidR="00D65CD0">
              <w:rPr>
                <w:rFonts w:eastAsia="Times New Roman"/>
                <w:b/>
                <w:color w:val="000000"/>
                <w:lang w:eastAsia="es-MX"/>
              </w:rPr>
              <w:lastRenderedPageBreak/>
              <w:t xml:space="preserve">39, 41, 43, 60, 61, 62 y </w:t>
            </w:r>
            <w:r w:rsidR="00D65CD0" w:rsidRPr="00D65CD0">
              <w:rPr>
                <w:rFonts w:eastAsia="Times New Roman"/>
                <w:b/>
                <w:color w:val="000000"/>
                <w:lang w:eastAsia="es-MX"/>
              </w:rPr>
              <w:t>69</w:t>
            </w:r>
            <w:r>
              <w:rPr>
                <w:rFonts w:eastAsia="Times New Roman"/>
                <w:b/>
                <w:color w:val="000000"/>
                <w:lang w:eastAsia="es-MX"/>
              </w:rPr>
              <w:t>.</w:t>
            </w:r>
          </w:p>
        </w:tc>
        <w:tc>
          <w:tcPr>
            <w:tcW w:w="6887" w:type="dxa"/>
            <w:gridSpan w:val="3"/>
            <w:shd w:val="clear" w:color="auto" w:fill="C5E0B3"/>
            <w:vAlign w:val="center"/>
          </w:tcPr>
          <w:p w14:paraId="645E7CD4" w14:textId="77777777" w:rsidR="004B664D" w:rsidRDefault="004B664D" w:rsidP="004B664D">
            <w:pPr>
              <w:spacing w:after="0" w:line="276" w:lineRule="auto"/>
              <w:rPr>
                <w:rFonts w:eastAsia="Times New Roman"/>
                <w:b/>
                <w:color w:val="000000"/>
                <w:lang w:eastAsia="es-MX"/>
              </w:rPr>
            </w:pPr>
            <w:r>
              <w:rPr>
                <w:rFonts w:eastAsia="Times New Roman"/>
                <w:b/>
                <w:color w:val="000000"/>
                <w:lang w:eastAsia="es-MX"/>
              </w:rPr>
              <w:lastRenderedPageBreak/>
              <w:t xml:space="preserve">Objetivos </w:t>
            </w:r>
            <w:r w:rsidR="00220DF9">
              <w:rPr>
                <w:rFonts w:eastAsia="Times New Roman"/>
                <w:b/>
                <w:color w:val="000000"/>
                <w:lang w:eastAsia="es-MX"/>
              </w:rPr>
              <w:t>generales</w:t>
            </w:r>
            <w:r>
              <w:rPr>
                <w:rFonts w:eastAsia="Times New Roman"/>
                <w:b/>
                <w:color w:val="000000"/>
                <w:lang w:eastAsia="es-MX"/>
              </w:rPr>
              <w:t>:</w:t>
            </w:r>
          </w:p>
          <w:p w14:paraId="645E7CD5" w14:textId="77777777" w:rsidR="002642FA" w:rsidRPr="00065222" w:rsidRDefault="002642FA" w:rsidP="00065222">
            <w:pPr>
              <w:numPr>
                <w:ilvl w:val="0"/>
                <w:numId w:val="12"/>
              </w:numPr>
              <w:spacing w:after="0" w:line="276" w:lineRule="auto"/>
              <w:rPr>
                <w:rFonts w:eastAsia="Times New Roman"/>
                <w:color w:val="000000"/>
                <w:lang w:eastAsia="es-MX"/>
              </w:rPr>
            </w:pPr>
            <w:r w:rsidRPr="00065222">
              <w:rPr>
                <w:rFonts w:eastAsia="Times New Roman"/>
                <w:color w:val="000000"/>
                <w:lang w:eastAsia="es-MX"/>
              </w:rPr>
              <w:t>Reducir o eliminar barreras a la entrada y la expansión de participantes distintos al AEPT.</w:t>
            </w:r>
          </w:p>
          <w:p w14:paraId="049F414B" w14:textId="77777777" w:rsidR="00194F9E" w:rsidRDefault="00065222" w:rsidP="00065222">
            <w:pPr>
              <w:numPr>
                <w:ilvl w:val="0"/>
                <w:numId w:val="12"/>
              </w:numPr>
              <w:spacing w:after="0" w:line="276" w:lineRule="auto"/>
              <w:rPr>
                <w:rFonts w:eastAsia="Times New Roman"/>
                <w:color w:val="000000"/>
                <w:lang w:eastAsia="es-MX"/>
              </w:rPr>
            </w:pPr>
            <w:r w:rsidRPr="00065222">
              <w:rPr>
                <w:rFonts w:eastAsia="Times New Roman"/>
                <w:color w:val="000000"/>
                <w:lang w:eastAsia="es-MX"/>
              </w:rPr>
              <w:t>Promover el uso eficiente de las redes y la infraestructura.</w:t>
            </w:r>
          </w:p>
          <w:p w14:paraId="645E7CD7" w14:textId="7E3CFC12" w:rsidR="00065222" w:rsidRPr="00065222" w:rsidRDefault="00065222" w:rsidP="00065222">
            <w:pPr>
              <w:numPr>
                <w:ilvl w:val="0"/>
                <w:numId w:val="12"/>
              </w:numPr>
              <w:spacing w:after="0" w:line="276" w:lineRule="auto"/>
              <w:rPr>
                <w:rFonts w:eastAsia="Times New Roman"/>
                <w:color w:val="000000"/>
                <w:lang w:eastAsia="es-MX"/>
              </w:rPr>
            </w:pPr>
            <w:r w:rsidRPr="00065222">
              <w:rPr>
                <w:rFonts w:eastAsia="Times New Roman"/>
                <w:color w:val="000000"/>
                <w:lang w:eastAsia="es-MX"/>
              </w:rPr>
              <w:t>Disminuir costos de transacción</w:t>
            </w:r>
            <w:r w:rsidR="00CA486F">
              <w:rPr>
                <w:rFonts w:eastAsia="Times New Roman"/>
                <w:color w:val="000000"/>
                <w:lang w:eastAsia="es-MX"/>
              </w:rPr>
              <w:t>.</w:t>
            </w:r>
          </w:p>
          <w:p w14:paraId="645E7CD8" w14:textId="77777777" w:rsidR="004B664D" w:rsidRPr="00DF67B4" w:rsidRDefault="002642FA" w:rsidP="002642FA">
            <w:pPr>
              <w:numPr>
                <w:ilvl w:val="0"/>
                <w:numId w:val="12"/>
              </w:numPr>
              <w:spacing w:after="0" w:line="276" w:lineRule="auto"/>
              <w:rPr>
                <w:rFonts w:eastAsia="Times New Roman"/>
                <w:b/>
                <w:color w:val="000000"/>
                <w:lang w:eastAsia="es-MX"/>
              </w:rPr>
            </w:pPr>
            <w:r w:rsidRPr="00065222">
              <w:rPr>
                <w:rFonts w:eastAsia="Times New Roman"/>
                <w:color w:val="000000"/>
                <w:lang w:eastAsia="es-MX"/>
              </w:rPr>
              <w:t>Remediar y prevenir condiciones y conductas con efectos que no favorezcan la competencia y libre concurrencia.</w:t>
            </w:r>
          </w:p>
        </w:tc>
      </w:tr>
      <w:tr w:rsidR="004B664D" w:rsidRPr="00DF5B3F" w14:paraId="645E7CDF" w14:textId="77777777" w:rsidTr="00090F4F">
        <w:trPr>
          <w:trHeight w:val="414"/>
        </w:trPr>
        <w:tc>
          <w:tcPr>
            <w:tcW w:w="8641" w:type="dxa"/>
            <w:gridSpan w:val="4"/>
            <w:shd w:val="clear" w:color="auto" w:fill="FFFFFF"/>
            <w:vAlign w:val="center"/>
          </w:tcPr>
          <w:p w14:paraId="645E7CDA" w14:textId="77777777" w:rsidR="004B664D" w:rsidRPr="00AD5232" w:rsidRDefault="007D23B9" w:rsidP="004B664D">
            <w:pPr>
              <w:rPr>
                <w:b/>
              </w:rPr>
            </w:pPr>
            <w:r>
              <w:rPr>
                <w:b/>
              </w:rPr>
              <w:t>Co</w:t>
            </w:r>
            <w:r w:rsidR="004B664D" w:rsidRPr="00AD5232">
              <w:rPr>
                <w:b/>
              </w:rPr>
              <w:t>n</w:t>
            </w:r>
            <w:r>
              <w:rPr>
                <w:b/>
              </w:rPr>
              <w:t>texto</w:t>
            </w:r>
            <w:r w:rsidR="004B664D" w:rsidRPr="00AD5232">
              <w:rPr>
                <w:b/>
              </w:rPr>
              <w:t>:</w:t>
            </w:r>
          </w:p>
          <w:p w14:paraId="645E7CDB" w14:textId="77777777" w:rsidR="004B664D" w:rsidRDefault="002F1577" w:rsidP="002F1577">
            <w:r>
              <w:t>El sector de telecomunicaciones está caracterizado por la presencia de elevados costos hundidos, que son inherentes al despliegue de la infraestructura, entre los que destacan los costos de la obra civil como es el excavar los accesos, instalar y enterrar los ductos, y los equipos de transmisión. El uso compartido de la infraestructura pasiva conlleva a una utilización más eficiente de los recursos escasos, al permitir que varias empresas compartan los costos de cierta parte de la infraestructura, evitando duplicidades en su construcción, beneficiándose así de las economías de escala, alcance y densidad.</w:t>
            </w:r>
            <w:r w:rsidR="004B664D">
              <w:t xml:space="preserve"> </w:t>
            </w:r>
          </w:p>
          <w:p w14:paraId="645E7CDC" w14:textId="77777777" w:rsidR="00D65CD0" w:rsidRDefault="00D65CD0" w:rsidP="004B664D">
            <w:pPr>
              <w:rPr>
                <w:b/>
              </w:rPr>
            </w:pPr>
            <w:r>
              <w:rPr>
                <w:b/>
              </w:rPr>
              <w:t>Resumen de las medidas impuestas:</w:t>
            </w:r>
          </w:p>
          <w:p w14:paraId="645E7CDD" w14:textId="77777777" w:rsidR="00D65CD0" w:rsidRDefault="00D65CD0" w:rsidP="00D65CD0">
            <w:pPr>
              <w:rPr>
                <w:rFonts w:eastAsia="Times New Roman"/>
                <w:color w:val="000000"/>
                <w:lang w:eastAsia="es-MX"/>
              </w:rPr>
            </w:pPr>
            <w:r>
              <w:t>El Instituto impuso medidas al AEPT referentes a proveer el servicio de compartición de infraestructura pasiva</w:t>
            </w:r>
            <w:r>
              <w:rPr>
                <w:rFonts w:eastAsia="Times New Roman"/>
                <w:color w:val="000000"/>
                <w:lang w:eastAsia="es-MX"/>
              </w:rPr>
              <w:t>, publicar una oferta de referencia</w:t>
            </w:r>
            <w:r w:rsidRPr="0056118B">
              <w:rPr>
                <w:rFonts w:eastAsia="Times New Roman"/>
                <w:color w:val="000000"/>
                <w:lang w:eastAsia="es-MX"/>
              </w:rPr>
              <w:t xml:space="preserve">, </w:t>
            </w:r>
            <w:r>
              <w:rPr>
                <w:rFonts w:eastAsia="Times New Roman"/>
                <w:color w:val="000000"/>
                <w:lang w:eastAsia="es-MX"/>
              </w:rPr>
              <w:t>suscribir</w:t>
            </w:r>
            <w:r w:rsidRPr="0056118B">
              <w:rPr>
                <w:rFonts w:eastAsia="Times New Roman"/>
                <w:color w:val="000000"/>
                <w:lang w:eastAsia="es-MX"/>
              </w:rPr>
              <w:t xml:space="preserve"> convenios </w:t>
            </w:r>
            <w:r>
              <w:rPr>
                <w:rFonts w:eastAsia="Times New Roman"/>
                <w:color w:val="000000"/>
                <w:lang w:eastAsia="es-MX"/>
              </w:rPr>
              <w:t>y poner</w:t>
            </w:r>
            <w:r w:rsidRPr="0056118B">
              <w:rPr>
                <w:rFonts w:eastAsia="Times New Roman"/>
                <w:color w:val="000000"/>
                <w:lang w:eastAsia="es-MX"/>
              </w:rPr>
              <w:t xml:space="preserve"> información a disposición de los </w:t>
            </w:r>
            <w:r>
              <w:rPr>
                <w:rFonts w:eastAsia="Times New Roman"/>
                <w:color w:val="000000"/>
                <w:lang w:eastAsia="es-MX"/>
              </w:rPr>
              <w:t>CS</w:t>
            </w:r>
            <w:r w:rsidR="00930A58">
              <w:rPr>
                <w:rFonts w:eastAsia="Times New Roman"/>
                <w:color w:val="000000"/>
                <w:lang w:eastAsia="es-MX"/>
              </w:rPr>
              <w:t>, entre otras</w:t>
            </w:r>
            <w:r>
              <w:rPr>
                <w:rFonts w:eastAsia="Times New Roman"/>
                <w:color w:val="000000"/>
                <w:lang w:eastAsia="es-MX"/>
              </w:rPr>
              <w:t>.</w:t>
            </w:r>
            <w:r w:rsidR="002F1577">
              <w:rPr>
                <w:rFonts w:eastAsia="Times New Roman"/>
                <w:color w:val="000000"/>
                <w:lang w:eastAsia="es-MX"/>
              </w:rPr>
              <w:t xml:space="preserve">  Asimismo, se señaló que, en caso de desacuerdo respecto a las tarifas aplicables al servicio mayorista, el Instituto las determinaría con base en una metodología de costos incrementales promedio de largo plazo.</w:t>
            </w:r>
          </w:p>
          <w:p w14:paraId="645E7CDE" w14:textId="77777777" w:rsidR="00522AFC" w:rsidRPr="00C825F4" w:rsidRDefault="00522AFC" w:rsidP="00767118">
            <w:pPr>
              <w:rPr>
                <w:rFonts w:eastAsia="Times New Roman"/>
                <w:color w:val="000000"/>
                <w:lang w:eastAsia="es-MX"/>
              </w:rPr>
            </w:pPr>
            <w:r w:rsidRPr="00D24909">
              <w:t>A través de la Resolución Bienal</w:t>
            </w:r>
            <w:r>
              <w:t xml:space="preserve"> de Telecomunicaciones</w:t>
            </w:r>
            <w:r>
              <w:rPr>
                <w:rFonts w:eastAsia="Times New Roman"/>
                <w:color w:val="000000"/>
                <w:lang w:eastAsia="es-MX"/>
              </w:rPr>
              <w:t xml:space="preserve"> se hicieron adecuaciones</w:t>
            </w:r>
            <w:r w:rsidR="007C6576">
              <w:rPr>
                <w:rFonts w:eastAsia="Times New Roman"/>
                <w:color w:val="000000"/>
                <w:lang w:eastAsia="es-MX"/>
              </w:rPr>
              <w:t xml:space="preserve"> en materia de</w:t>
            </w:r>
            <w:r>
              <w:rPr>
                <w:rFonts w:eastAsia="Times New Roman"/>
                <w:color w:val="000000"/>
                <w:lang w:eastAsia="es-MX"/>
              </w:rPr>
              <w:t xml:space="preserve"> </w:t>
            </w:r>
            <w:r w:rsidR="007C6576">
              <w:rPr>
                <w:rFonts w:eastAsia="Times New Roman"/>
                <w:color w:val="000000"/>
                <w:lang w:eastAsia="es-MX"/>
              </w:rPr>
              <w:t>procesos y elementos mínimos que debe contener la oferta de referencia (incluidas las tarifas mayoristas)</w:t>
            </w:r>
            <w:r w:rsidR="00D3393B">
              <w:rPr>
                <w:rFonts w:eastAsia="Times New Roman"/>
                <w:color w:val="000000"/>
                <w:lang w:eastAsia="es-MX"/>
              </w:rPr>
              <w:t xml:space="preserve">, </w:t>
            </w:r>
            <w:r w:rsidR="00767118">
              <w:rPr>
                <w:rFonts w:eastAsia="Times New Roman"/>
                <w:color w:val="000000"/>
                <w:lang w:eastAsia="es-MX"/>
              </w:rPr>
              <w:t>así como</w:t>
            </w:r>
            <w:r>
              <w:rPr>
                <w:rFonts w:eastAsia="Times New Roman"/>
                <w:color w:val="000000"/>
                <w:lang w:eastAsia="es-MX"/>
              </w:rPr>
              <w:t xml:space="preserve"> </w:t>
            </w:r>
            <w:r w:rsidR="00825141">
              <w:rPr>
                <w:rFonts w:eastAsia="Times New Roman"/>
                <w:color w:val="000000"/>
                <w:lang w:eastAsia="es-MX"/>
              </w:rPr>
              <w:t xml:space="preserve">de </w:t>
            </w:r>
            <w:r>
              <w:rPr>
                <w:rFonts w:eastAsia="Times New Roman"/>
                <w:color w:val="000000"/>
                <w:lang w:eastAsia="es-MX"/>
              </w:rPr>
              <w:t>homologa</w:t>
            </w:r>
            <w:r w:rsidR="00D3393B">
              <w:rPr>
                <w:rFonts w:eastAsia="Times New Roman"/>
                <w:color w:val="000000"/>
                <w:lang w:eastAsia="es-MX"/>
              </w:rPr>
              <w:t>ción</w:t>
            </w:r>
            <w:r>
              <w:rPr>
                <w:rFonts w:eastAsia="Times New Roman"/>
                <w:color w:val="000000"/>
                <w:lang w:eastAsia="es-MX"/>
              </w:rPr>
              <w:t xml:space="preserve"> con lo establecido en la LFTR y otros ordenamientos jurídicos</w:t>
            </w:r>
            <w:r>
              <w:t xml:space="preserve">, </w:t>
            </w:r>
            <w:r>
              <w:rPr>
                <w:rFonts w:eastAsia="Times New Roman"/>
                <w:color w:val="000000"/>
                <w:lang w:eastAsia="es-MX"/>
              </w:rPr>
              <w:t>entre otras.</w:t>
            </w:r>
          </w:p>
        </w:tc>
      </w:tr>
      <w:tr w:rsidR="004B664D" w:rsidRPr="00DF5B3F" w14:paraId="645E7CE1" w14:textId="77777777" w:rsidTr="00090F4F">
        <w:trPr>
          <w:trHeight w:val="414"/>
        </w:trPr>
        <w:tc>
          <w:tcPr>
            <w:tcW w:w="8641" w:type="dxa"/>
            <w:gridSpan w:val="4"/>
            <w:shd w:val="clear" w:color="auto" w:fill="FFFFFF"/>
            <w:vAlign w:val="center"/>
          </w:tcPr>
          <w:p w14:paraId="645E7CE0" w14:textId="4B3DAA5F"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Pr>
                <w:rFonts w:eastAsia="Times New Roman"/>
                <w:b/>
                <w:color w:val="000000"/>
                <w:szCs w:val="20"/>
                <w:lang w:eastAsia="es-MX"/>
              </w:rPr>
              <w:t>Cuáles son los efectos que las medidas referentes a compartición de infraestructura pasiva han generado</w:t>
            </w:r>
            <w:r w:rsidR="00F61086">
              <w:rPr>
                <w:rFonts w:eastAsia="Times New Roman"/>
                <w:b/>
                <w:color w:val="000000"/>
                <w:szCs w:val="20"/>
                <w:lang w:eastAsia="es-MX"/>
              </w:rPr>
              <w:t xml:space="preserve"> en el sector de telecomunicaciones</w:t>
            </w:r>
            <w:r>
              <w:rPr>
                <w:rFonts w:eastAsia="Times New Roman"/>
                <w:b/>
                <w:color w:val="000000"/>
                <w:szCs w:val="20"/>
                <w:lang w:eastAsia="es-MX"/>
              </w:rPr>
              <w:t>? ¿</w:t>
            </w:r>
            <w:r w:rsidR="00261246">
              <w:rPr>
                <w:rFonts w:eastAsia="Times New Roman"/>
                <w:b/>
                <w:color w:val="000000"/>
                <w:szCs w:val="20"/>
                <w:lang w:eastAsia="es-MX"/>
              </w:rPr>
              <w:t xml:space="preserve">De qué manera </w:t>
            </w:r>
            <w:r>
              <w:rPr>
                <w:rFonts w:eastAsia="Times New Roman"/>
                <w:b/>
                <w:color w:val="000000"/>
                <w:szCs w:val="20"/>
                <w:lang w:eastAsia="es-MX"/>
              </w:rPr>
              <w:t>han contribuido a alcanzar el objetivo para el cual fueron creadas las medidas?</w:t>
            </w:r>
          </w:p>
        </w:tc>
      </w:tr>
      <w:tr w:rsidR="004B664D" w:rsidRPr="00DF5B3F" w14:paraId="645E7CE3" w14:textId="77777777" w:rsidTr="00090F4F">
        <w:trPr>
          <w:trHeight w:val="414"/>
        </w:trPr>
        <w:tc>
          <w:tcPr>
            <w:tcW w:w="8641" w:type="dxa"/>
            <w:gridSpan w:val="4"/>
            <w:shd w:val="clear" w:color="auto" w:fill="FFFFFF"/>
            <w:vAlign w:val="center"/>
          </w:tcPr>
          <w:p w14:paraId="645E7CE2"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CE6" w14:textId="77777777" w:rsidTr="00090F4F">
        <w:trPr>
          <w:trHeight w:val="414"/>
        </w:trPr>
        <w:tc>
          <w:tcPr>
            <w:tcW w:w="4320" w:type="dxa"/>
            <w:gridSpan w:val="3"/>
            <w:shd w:val="clear" w:color="auto" w:fill="FFFFFF"/>
            <w:vAlign w:val="center"/>
          </w:tcPr>
          <w:p w14:paraId="645E7CE4"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E5" w14:textId="77777777" w:rsidR="004B664D" w:rsidRPr="00E07693" w:rsidRDefault="004B664D" w:rsidP="004B664D">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B664D" w:rsidRPr="00DF5B3F" w14:paraId="645E7CE8" w14:textId="77777777" w:rsidTr="00090F4F">
        <w:trPr>
          <w:trHeight w:val="414"/>
        </w:trPr>
        <w:tc>
          <w:tcPr>
            <w:tcW w:w="8641" w:type="dxa"/>
            <w:gridSpan w:val="4"/>
            <w:shd w:val="clear" w:color="auto" w:fill="FFFFFF"/>
            <w:vAlign w:val="center"/>
          </w:tcPr>
          <w:p w14:paraId="645E7CE7" w14:textId="1E70A84B"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B664D" w:rsidRPr="00DF5B3F" w14:paraId="645E7CEA" w14:textId="77777777" w:rsidTr="00090F4F">
        <w:trPr>
          <w:trHeight w:val="414"/>
        </w:trPr>
        <w:tc>
          <w:tcPr>
            <w:tcW w:w="8641" w:type="dxa"/>
            <w:gridSpan w:val="4"/>
            <w:shd w:val="clear" w:color="auto" w:fill="FFFFFF"/>
            <w:vAlign w:val="center"/>
          </w:tcPr>
          <w:p w14:paraId="645E7CE9"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CED" w14:textId="77777777" w:rsidTr="00090F4F">
        <w:trPr>
          <w:trHeight w:val="414"/>
        </w:trPr>
        <w:tc>
          <w:tcPr>
            <w:tcW w:w="4320" w:type="dxa"/>
            <w:gridSpan w:val="3"/>
            <w:shd w:val="clear" w:color="auto" w:fill="FFFFFF"/>
            <w:vAlign w:val="center"/>
          </w:tcPr>
          <w:p w14:paraId="645E7CEB"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EC" w14:textId="77777777" w:rsidR="004B664D" w:rsidRPr="00E07693" w:rsidRDefault="004B664D" w:rsidP="004B664D">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B664D" w:rsidRPr="00DF5B3F" w14:paraId="645E7CEF" w14:textId="77777777" w:rsidTr="00090F4F">
        <w:trPr>
          <w:trHeight w:val="414"/>
        </w:trPr>
        <w:tc>
          <w:tcPr>
            <w:tcW w:w="8641" w:type="dxa"/>
            <w:gridSpan w:val="4"/>
            <w:shd w:val="clear" w:color="auto" w:fill="FFFFFF"/>
            <w:vAlign w:val="center"/>
          </w:tcPr>
          <w:p w14:paraId="645E7CEE"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CF1" w14:textId="77777777" w:rsidTr="00090F4F">
        <w:trPr>
          <w:trHeight w:val="414"/>
        </w:trPr>
        <w:tc>
          <w:tcPr>
            <w:tcW w:w="8641" w:type="dxa"/>
            <w:gridSpan w:val="4"/>
            <w:shd w:val="clear" w:color="auto" w:fill="FFFFFF"/>
            <w:vAlign w:val="center"/>
          </w:tcPr>
          <w:p w14:paraId="645E7CF0" w14:textId="438DD4DB" w:rsidR="004B664D" w:rsidRDefault="004B664D"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F61086">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B327E2">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B664D" w:rsidRPr="00DF5B3F" w14:paraId="645E7CF3" w14:textId="77777777" w:rsidTr="00090F4F">
        <w:trPr>
          <w:trHeight w:val="414"/>
        </w:trPr>
        <w:tc>
          <w:tcPr>
            <w:tcW w:w="8641" w:type="dxa"/>
            <w:gridSpan w:val="4"/>
            <w:shd w:val="clear" w:color="auto" w:fill="FFFFFF"/>
            <w:vAlign w:val="center"/>
          </w:tcPr>
          <w:p w14:paraId="645E7CF2"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CF6" w14:textId="77777777" w:rsidTr="00090F4F">
        <w:trPr>
          <w:trHeight w:val="414"/>
        </w:trPr>
        <w:tc>
          <w:tcPr>
            <w:tcW w:w="4320" w:type="dxa"/>
            <w:gridSpan w:val="3"/>
            <w:shd w:val="clear" w:color="auto" w:fill="FFFFFF"/>
            <w:vAlign w:val="center"/>
          </w:tcPr>
          <w:p w14:paraId="645E7CF4" w14:textId="77777777" w:rsidR="004B664D" w:rsidRPr="00F30CB9" w:rsidRDefault="004B664D" w:rsidP="004B664D">
            <w:pPr>
              <w:rPr>
                <w:b/>
              </w:rPr>
            </w:pPr>
            <w:r>
              <w:rPr>
                <w:rFonts w:eastAsia="Times New Roman"/>
                <w:color w:val="000000"/>
                <w:lang w:eastAsia="es-MX"/>
              </w:rPr>
              <w:lastRenderedPageBreak/>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CF5"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C8246E" w:rsidRPr="00C355B5" w14:paraId="3BBB540C" w14:textId="77777777" w:rsidTr="00EB1FFA">
        <w:trPr>
          <w:trHeight w:val="414"/>
        </w:trPr>
        <w:tc>
          <w:tcPr>
            <w:tcW w:w="8641" w:type="dxa"/>
            <w:gridSpan w:val="4"/>
            <w:shd w:val="clear" w:color="auto" w:fill="FFFFFF"/>
          </w:tcPr>
          <w:p w14:paraId="7410200A" w14:textId="7E30B9AF" w:rsidR="00C8246E" w:rsidRDefault="00E14B0F" w:rsidP="00C8246E">
            <w:pPr>
              <w:rPr>
                <w:b/>
              </w:rPr>
            </w:pPr>
            <w:r>
              <w:rPr>
                <w:b/>
              </w:rPr>
              <w:t>En caso de contar</w:t>
            </w:r>
            <w:r w:rsidR="00C8246E" w:rsidRPr="00CE67E5">
              <w:rPr>
                <w:b/>
              </w:rPr>
              <w:t xml:space="preserve"> con una propuesta específica sobre alguna de las medidas relacionadas con</w:t>
            </w:r>
            <w:r w:rsidR="00C8246E">
              <w:rPr>
                <w:b/>
              </w:rPr>
              <w:t xml:space="preserve"> Conductas y No Discriminación</w:t>
            </w:r>
            <w:r w:rsidR="00F771EF">
              <w:rPr>
                <w:b/>
              </w:rPr>
              <w:t>, deber</w:t>
            </w:r>
            <w:r w:rsidR="00322499">
              <w:rPr>
                <w:b/>
              </w:rPr>
              <w:t>á indicarla</w:t>
            </w:r>
            <w:r w:rsidR="00E75B64">
              <w:rPr>
                <w:b/>
              </w:rPr>
              <w:t>.</w:t>
            </w:r>
          </w:p>
          <w:p w14:paraId="675ED26B" w14:textId="14EEC685" w:rsidR="00C8246E" w:rsidRPr="00C355B5" w:rsidRDefault="000228C4" w:rsidP="00C8246E">
            <w:pPr>
              <w:rPr>
                <w:rFonts w:eastAsia="Times New Roman"/>
                <w:color w:val="7F7F7F" w:themeColor="text1" w:themeTint="8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C8246E" w14:paraId="6145C59B" w14:textId="77777777" w:rsidTr="00EB1FFA">
        <w:trPr>
          <w:trHeight w:val="414"/>
        </w:trPr>
        <w:tc>
          <w:tcPr>
            <w:tcW w:w="3047" w:type="dxa"/>
            <w:gridSpan w:val="2"/>
            <w:shd w:val="clear" w:color="auto" w:fill="FFFFFF"/>
          </w:tcPr>
          <w:p w14:paraId="1C942FE5"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gridSpan w:val="2"/>
            <w:shd w:val="clear" w:color="auto" w:fill="FFFFFF"/>
          </w:tcPr>
          <w:p w14:paraId="7BFE2E5E"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C8246E" w14:paraId="2FD0C100" w14:textId="77777777" w:rsidTr="00EB1FFA">
        <w:trPr>
          <w:trHeight w:val="414"/>
        </w:trPr>
        <w:tc>
          <w:tcPr>
            <w:tcW w:w="3047" w:type="dxa"/>
            <w:gridSpan w:val="2"/>
            <w:shd w:val="clear" w:color="auto" w:fill="FFFFFF"/>
          </w:tcPr>
          <w:p w14:paraId="4CBAB615" w14:textId="77777777" w:rsidR="00C8246E" w:rsidRPr="008753B7" w:rsidRDefault="00C8246E" w:rsidP="00C8246E">
            <w:pPr>
              <w:jc w:val="center"/>
              <w:rPr>
                <w:rFonts w:eastAsia="Times New Roman"/>
                <w:color w:val="7F7F7F" w:themeColor="text1" w:themeTint="80"/>
                <w:lang w:eastAsia="es-MX"/>
              </w:rPr>
            </w:pPr>
            <w:r w:rsidRPr="004C11A9">
              <w:rPr>
                <w:rFonts w:eastAsia="Times New Roman"/>
                <w:color w:val="7F7F7F" w:themeColor="text1" w:themeTint="80"/>
                <w:lang w:eastAsia="es-MX"/>
              </w:rPr>
              <w:t>[Indique medida]</w:t>
            </w:r>
          </w:p>
        </w:tc>
        <w:tc>
          <w:tcPr>
            <w:tcW w:w="5594" w:type="dxa"/>
            <w:gridSpan w:val="2"/>
            <w:shd w:val="clear" w:color="auto" w:fill="FFFFFF"/>
          </w:tcPr>
          <w:p w14:paraId="31E81740" w14:textId="77777777" w:rsidR="00C8246E" w:rsidRDefault="00C8246E" w:rsidP="00C8246E">
            <w:pPr>
              <w:jc w:val="center"/>
              <w:rPr>
                <w:rFonts w:eastAsia="Times New Roman"/>
                <w:color w:val="7F7F7F" w:themeColor="text1" w:themeTint="80"/>
                <w:lang w:eastAsia="es-MX"/>
              </w:rPr>
            </w:pPr>
            <w:r w:rsidRPr="00CE67E5">
              <w:rPr>
                <w:rFonts w:eastAsia="Times New Roman"/>
                <w:color w:val="7F7F7F" w:themeColor="text1" w:themeTint="80"/>
                <w:lang w:eastAsia="es-MX"/>
              </w:rPr>
              <w:t>[Señale la propuesta]</w:t>
            </w:r>
          </w:p>
        </w:tc>
      </w:tr>
      <w:tr w:rsidR="004B664D" w:rsidRPr="00DF5B3F" w14:paraId="645E7D00" w14:textId="77777777" w:rsidTr="0033646F">
        <w:trPr>
          <w:trHeight w:val="414"/>
        </w:trPr>
        <w:tc>
          <w:tcPr>
            <w:tcW w:w="1754" w:type="dxa"/>
            <w:shd w:val="clear" w:color="auto" w:fill="C5E0B3"/>
            <w:vAlign w:val="center"/>
          </w:tcPr>
          <w:p w14:paraId="645E7CF7" w14:textId="77777777" w:rsidR="004B664D" w:rsidRDefault="004B664D" w:rsidP="004B664D">
            <w:pPr>
              <w:spacing w:after="0" w:line="276" w:lineRule="auto"/>
              <w:jc w:val="center"/>
              <w:rPr>
                <w:rFonts w:eastAsia="Times New Roman"/>
                <w:b/>
                <w:color w:val="000000"/>
                <w:lang w:eastAsia="es-MX"/>
              </w:rPr>
            </w:pPr>
            <w:r>
              <w:rPr>
                <w:rFonts w:eastAsia="Times New Roman"/>
                <w:b/>
                <w:color w:val="000000"/>
                <w:lang w:eastAsia="es-MX"/>
              </w:rPr>
              <w:t>Medidas referentes a</w:t>
            </w:r>
          </w:p>
          <w:p w14:paraId="645E7CF8" w14:textId="77777777" w:rsidR="004B664D" w:rsidRDefault="004B664D" w:rsidP="004B664D">
            <w:pPr>
              <w:spacing w:after="0" w:line="276" w:lineRule="auto"/>
              <w:jc w:val="center"/>
              <w:rPr>
                <w:rFonts w:eastAsia="Times New Roman"/>
                <w:b/>
                <w:color w:val="000000"/>
                <w:lang w:eastAsia="es-MX"/>
              </w:rPr>
            </w:pPr>
            <w:r>
              <w:rPr>
                <w:rFonts w:eastAsia="Times New Roman"/>
                <w:b/>
                <w:color w:val="000000"/>
                <w:lang w:eastAsia="es-MX"/>
              </w:rPr>
              <w:t>Desagregación de la red local</w:t>
            </w:r>
          </w:p>
          <w:p w14:paraId="645E7CF9" w14:textId="77777777" w:rsidR="00CA486F" w:rsidRDefault="00CA486F" w:rsidP="004B664D">
            <w:pPr>
              <w:spacing w:after="0" w:line="276" w:lineRule="auto"/>
              <w:jc w:val="center"/>
              <w:rPr>
                <w:rFonts w:eastAsia="Times New Roman"/>
                <w:b/>
                <w:color w:val="000000"/>
                <w:lang w:eastAsia="es-MX"/>
              </w:rPr>
            </w:pPr>
          </w:p>
          <w:p w14:paraId="645E7CFA" w14:textId="332BB252" w:rsidR="00190DAE" w:rsidRDefault="00190DAE" w:rsidP="004B664D">
            <w:pPr>
              <w:spacing w:after="0" w:line="276" w:lineRule="auto"/>
              <w:jc w:val="center"/>
              <w:rPr>
                <w:rFonts w:eastAsia="Times New Roman"/>
                <w:b/>
                <w:color w:val="000000"/>
                <w:lang w:eastAsia="es-MX"/>
              </w:rPr>
            </w:pPr>
            <w:r>
              <w:rPr>
                <w:rFonts w:eastAsia="Times New Roman"/>
                <w:b/>
                <w:color w:val="000000"/>
                <w:lang w:eastAsia="es-MX"/>
              </w:rPr>
              <w:t xml:space="preserve">Anexo 3: </w:t>
            </w:r>
            <w:r w:rsidR="00D65CD0">
              <w:t xml:space="preserve"> </w:t>
            </w:r>
            <w:r w:rsidR="00D65CD0" w:rsidRPr="00D65CD0">
              <w:rPr>
                <w:rFonts w:eastAsia="Times New Roman"/>
                <w:b/>
                <w:color w:val="000000"/>
                <w:lang w:eastAsia="es-MX"/>
              </w:rPr>
              <w:t>4, 5, 6, 7, 8, 9, 10, 11, 12, 13, 14, 15, 26, 28, 33, 34, 36, 37, 38, 39, 41, 42, 43</w:t>
            </w:r>
            <w:r w:rsidR="00D65CD0">
              <w:rPr>
                <w:rFonts w:eastAsia="Times New Roman"/>
                <w:b/>
                <w:color w:val="000000"/>
                <w:lang w:eastAsia="es-MX"/>
              </w:rPr>
              <w:t xml:space="preserve"> y</w:t>
            </w:r>
            <w:r w:rsidR="00D65CD0" w:rsidRPr="00D65CD0">
              <w:rPr>
                <w:rFonts w:eastAsia="Times New Roman"/>
                <w:b/>
                <w:color w:val="000000"/>
                <w:lang w:eastAsia="es-MX"/>
              </w:rPr>
              <w:t xml:space="preserve"> 51</w:t>
            </w:r>
            <w:r w:rsidR="0033646F">
              <w:rPr>
                <w:rFonts w:eastAsia="Times New Roman"/>
                <w:b/>
                <w:color w:val="000000"/>
                <w:lang w:eastAsia="es-MX"/>
              </w:rPr>
              <w:t>.</w:t>
            </w:r>
          </w:p>
        </w:tc>
        <w:tc>
          <w:tcPr>
            <w:tcW w:w="6887" w:type="dxa"/>
            <w:gridSpan w:val="3"/>
            <w:shd w:val="clear" w:color="auto" w:fill="C5E0B3"/>
            <w:vAlign w:val="center"/>
          </w:tcPr>
          <w:p w14:paraId="645E7CFB" w14:textId="77777777" w:rsidR="004B664D" w:rsidRPr="00AD5232" w:rsidRDefault="004B664D" w:rsidP="004B664D">
            <w:pPr>
              <w:spacing w:after="0"/>
              <w:rPr>
                <w:b/>
                <w:lang w:eastAsia="es-MX"/>
              </w:rPr>
            </w:pPr>
            <w:r w:rsidRPr="00AD5232">
              <w:rPr>
                <w:b/>
                <w:lang w:eastAsia="es-MX"/>
              </w:rPr>
              <w:t>Objetivo</w:t>
            </w:r>
            <w:r w:rsidR="00EA2FE2">
              <w:rPr>
                <w:b/>
                <w:lang w:eastAsia="es-MX"/>
              </w:rPr>
              <w:t>s</w:t>
            </w:r>
            <w:r w:rsidRPr="00AD5232">
              <w:rPr>
                <w:b/>
                <w:lang w:eastAsia="es-MX"/>
              </w:rPr>
              <w:t xml:space="preserve"> </w:t>
            </w:r>
            <w:r w:rsidR="00220DF9">
              <w:rPr>
                <w:b/>
                <w:lang w:eastAsia="es-MX"/>
              </w:rPr>
              <w:t>generales</w:t>
            </w:r>
            <w:r w:rsidRPr="00AD5232">
              <w:rPr>
                <w:b/>
                <w:lang w:eastAsia="es-MX"/>
              </w:rPr>
              <w:t>:</w:t>
            </w:r>
          </w:p>
          <w:p w14:paraId="645E7CFC" w14:textId="77777777" w:rsidR="00724860" w:rsidRDefault="00724860" w:rsidP="00724860">
            <w:pPr>
              <w:numPr>
                <w:ilvl w:val="0"/>
                <w:numId w:val="21"/>
              </w:numPr>
              <w:spacing w:after="0"/>
              <w:rPr>
                <w:lang w:eastAsia="es-MX"/>
              </w:rPr>
            </w:pPr>
            <w:r>
              <w:rPr>
                <w:lang w:eastAsia="es-MX"/>
              </w:rPr>
              <w:t>Reducir o eliminar barreras a la entrada y la expansión de participantes distintos al AEPT.</w:t>
            </w:r>
          </w:p>
          <w:p w14:paraId="645E7CFD" w14:textId="77777777" w:rsidR="00BE5E69" w:rsidRDefault="00BE5E69" w:rsidP="00724860">
            <w:pPr>
              <w:numPr>
                <w:ilvl w:val="0"/>
                <w:numId w:val="21"/>
              </w:numPr>
              <w:spacing w:after="0"/>
              <w:rPr>
                <w:lang w:eastAsia="es-MX"/>
              </w:rPr>
            </w:pPr>
            <w:r>
              <w:t>Remediar y prevenir condiciones y conductas con efectos que no favorezcan la competencia y libre concurrencia.</w:t>
            </w:r>
          </w:p>
          <w:p w14:paraId="5B66EB2D" w14:textId="77777777" w:rsidR="00194F9E" w:rsidRDefault="00724860" w:rsidP="00194F9E">
            <w:pPr>
              <w:numPr>
                <w:ilvl w:val="0"/>
                <w:numId w:val="21"/>
              </w:numPr>
              <w:spacing w:after="0"/>
              <w:rPr>
                <w:lang w:eastAsia="es-MX"/>
              </w:rPr>
            </w:pPr>
            <w:r>
              <w:rPr>
                <w:lang w:eastAsia="es-MX"/>
              </w:rPr>
              <w:t>Promover el uso eficiente de las redes y la infraestructura.</w:t>
            </w:r>
          </w:p>
          <w:p w14:paraId="645E7CFF" w14:textId="1196A5E5" w:rsidR="004B664D" w:rsidRPr="00DF67B4" w:rsidRDefault="00A005F0" w:rsidP="00194F9E">
            <w:pPr>
              <w:numPr>
                <w:ilvl w:val="0"/>
                <w:numId w:val="21"/>
              </w:numPr>
              <w:spacing w:after="0"/>
              <w:rPr>
                <w:lang w:eastAsia="es-MX"/>
              </w:rPr>
            </w:pPr>
            <w:r>
              <w:rPr>
                <w:lang w:eastAsia="es-MX"/>
              </w:rPr>
              <w:t>Aumentar la penetración de los servicios de telecomunicaciones.</w:t>
            </w:r>
          </w:p>
        </w:tc>
      </w:tr>
      <w:tr w:rsidR="004B664D" w:rsidRPr="00DF5B3F" w14:paraId="645E7D07" w14:textId="77777777" w:rsidTr="00090F4F">
        <w:trPr>
          <w:trHeight w:val="414"/>
        </w:trPr>
        <w:tc>
          <w:tcPr>
            <w:tcW w:w="8641" w:type="dxa"/>
            <w:gridSpan w:val="4"/>
            <w:shd w:val="clear" w:color="auto" w:fill="FFFFFF"/>
            <w:vAlign w:val="center"/>
          </w:tcPr>
          <w:p w14:paraId="645E7D01" w14:textId="77777777" w:rsidR="007D23B9" w:rsidRPr="00E07693" w:rsidRDefault="007D23B9" w:rsidP="00E07693">
            <w:pPr>
              <w:rPr>
                <w:b/>
              </w:rPr>
            </w:pPr>
            <w:r>
              <w:rPr>
                <w:b/>
              </w:rPr>
              <w:t>Co</w:t>
            </w:r>
            <w:r w:rsidRPr="00AD5232">
              <w:rPr>
                <w:b/>
              </w:rPr>
              <w:t>n</w:t>
            </w:r>
            <w:r>
              <w:rPr>
                <w:b/>
              </w:rPr>
              <w:t>texto</w:t>
            </w:r>
            <w:r w:rsidRPr="00AD5232">
              <w:rPr>
                <w:b/>
              </w:rPr>
              <w:t>:</w:t>
            </w:r>
          </w:p>
          <w:p w14:paraId="645E7D02" w14:textId="77777777" w:rsidR="004B664D" w:rsidRDefault="004B664D" w:rsidP="000D33C0">
            <w:r w:rsidRPr="00CB50A9">
              <w:t>El artículo Octavo Transitorio del Decreto</w:t>
            </w:r>
            <w:r w:rsidR="000D33C0" w:rsidRPr="00CB50A9">
              <w:t xml:space="preserve"> de Reforma Constitucional</w:t>
            </w:r>
            <w:r w:rsidR="000D33C0" w:rsidRPr="00011A76">
              <w:rPr>
                <w:rStyle w:val="Refdenotaalpie"/>
              </w:rPr>
              <w:footnoteReference w:id="4"/>
            </w:r>
            <w:r w:rsidRPr="00011A76">
              <w:t xml:space="preserve"> en su frac</w:t>
            </w:r>
            <w:r w:rsidRPr="00E979C7">
              <w:t xml:space="preserve">ción IV establece la obligación a cargo del Instituto de establecer las medidas que permitan la desagregación efectiva de la red local del </w:t>
            </w:r>
            <w:r w:rsidR="00727233" w:rsidRPr="00CB50A9">
              <w:t>AEPT</w:t>
            </w:r>
            <w:r w:rsidRPr="00CB50A9">
              <w:t xml:space="preserve"> </w:t>
            </w:r>
            <w:r w:rsidRPr="00011A76">
              <w:t>de manera que otros Concesionarios de telecomunicaciones puedan acceder, entre otros, a los medios físicos, técnicos y lógicos de conexión entre cualquier punto terminal de la red pública de telecomunicaciones y el punto de acceso a la red local pertenecientes a dicho agente</w:t>
            </w:r>
            <w:r w:rsidR="00253095">
              <w:t>, a efecto de procurar la cobertura universal y el aumento en la penetración de los servicio de telecomunicaciones.</w:t>
            </w:r>
          </w:p>
          <w:p w14:paraId="645E7D03" w14:textId="77777777" w:rsidR="00767118" w:rsidRDefault="00767118" w:rsidP="000D33C0">
            <w:pPr>
              <w:rPr>
                <w:b/>
              </w:rPr>
            </w:pPr>
          </w:p>
          <w:p w14:paraId="645E7D04" w14:textId="77777777" w:rsidR="00D65CD0" w:rsidRDefault="00D65CD0" w:rsidP="000D33C0">
            <w:pPr>
              <w:rPr>
                <w:b/>
              </w:rPr>
            </w:pPr>
            <w:r>
              <w:rPr>
                <w:b/>
              </w:rPr>
              <w:t>Resumen de las medidas impuestas:</w:t>
            </w:r>
          </w:p>
          <w:p w14:paraId="645E7D05" w14:textId="77777777" w:rsidR="00D65CD0" w:rsidRPr="00CB50A9" w:rsidRDefault="00D65CD0" w:rsidP="00D65CD0">
            <w:r w:rsidRPr="00CB50A9">
              <w:t xml:space="preserve">El Instituto impuso medidas al AEPT referentes a prestar los servicios mayoristas de desagregación total y compartida del bucle y sub bucle, el servicio de acceso indirecto, el servicio de reventa de línea, el servicio de coubicación para desagregación y servicios auxiliares, </w:t>
            </w:r>
            <w:r w:rsidR="006720B6">
              <w:t xml:space="preserve">publicando para ello una </w:t>
            </w:r>
            <w:r w:rsidRPr="00011A76">
              <w:t>o</w:t>
            </w:r>
            <w:r w:rsidRPr="00E979C7">
              <w:t>ferta de r</w:t>
            </w:r>
            <w:r w:rsidRPr="00E40317">
              <w:t>eferencia</w:t>
            </w:r>
            <w:r w:rsidR="006720B6">
              <w:t>, previamente autorizada por el Instituto</w:t>
            </w:r>
            <w:r w:rsidRPr="00E40317">
              <w:t>. Asi</w:t>
            </w:r>
            <w:r w:rsidRPr="00CB50A9">
              <w:t xml:space="preserve">mismo, se mandató que el AEPT </w:t>
            </w:r>
            <w:r w:rsidR="00E41FA8">
              <w:t>debería suscribir</w:t>
            </w:r>
            <w:r w:rsidRPr="00CB50A9">
              <w:t xml:space="preserve"> un </w:t>
            </w:r>
            <w:r w:rsidRPr="00CB50A9">
              <w:lastRenderedPageBreak/>
              <w:t>convenio de desagregación en el que se manifiesten las condiciones contenidas en la oferta de referencia, así como las estableci</w:t>
            </w:r>
            <w:r w:rsidRPr="00011A76">
              <w:t>das en la normatividad vigente</w:t>
            </w:r>
            <w:r w:rsidR="00930A58">
              <w:t>, entre otras medidas</w:t>
            </w:r>
            <w:r w:rsidRPr="00011A76">
              <w:t>.</w:t>
            </w:r>
            <w:r w:rsidR="00E41FA8">
              <w:t xml:space="preserve"> </w:t>
            </w:r>
            <w:r w:rsidRPr="00CB50A9">
              <w:t xml:space="preserve">En línea con lo anterior, </w:t>
            </w:r>
            <w:r>
              <w:t>se señalaron</w:t>
            </w:r>
            <w:r w:rsidRPr="00CB50A9">
              <w:t xml:space="preserve"> la</w:t>
            </w:r>
            <w:r>
              <w:t>s</w:t>
            </w:r>
            <w:r w:rsidRPr="00CB50A9">
              <w:t xml:space="preserve"> metodología</w:t>
            </w:r>
            <w:r>
              <w:t>s</w:t>
            </w:r>
            <w:r w:rsidRPr="00CB50A9">
              <w:t xml:space="preserve"> de costos para la determinación de la</w:t>
            </w:r>
            <w:r>
              <w:t>s</w:t>
            </w:r>
            <w:r w:rsidRPr="00CB50A9">
              <w:t xml:space="preserve"> tar</w:t>
            </w:r>
            <w:r w:rsidRPr="00011A76">
              <w:t>ifa</w:t>
            </w:r>
            <w:r>
              <w:t>s</w:t>
            </w:r>
            <w:r w:rsidRPr="00011A76">
              <w:t xml:space="preserve"> de los servicios regulados.</w:t>
            </w:r>
          </w:p>
          <w:p w14:paraId="645E7D06" w14:textId="77777777" w:rsidR="00E41FA8" w:rsidRPr="00CB50A9" w:rsidRDefault="00E41FA8" w:rsidP="00767118">
            <w:r>
              <w:t>A través de la</w:t>
            </w:r>
            <w:r w:rsidR="00D65CD0" w:rsidRPr="00CB50A9">
              <w:t xml:space="preserve"> Resolución Bienal </w:t>
            </w:r>
            <w:r w:rsidR="00D65CD0">
              <w:t xml:space="preserve">de Telecomunicaciones </w:t>
            </w:r>
            <w:r w:rsidR="00D65CD0" w:rsidRPr="00CB50A9">
              <w:t xml:space="preserve">se </w:t>
            </w:r>
            <w:r>
              <w:t xml:space="preserve">hicieron adecuaciones </w:t>
            </w:r>
            <w:r w:rsidR="005916BC">
              <w:t>en materia de inclusión de</w:t>
            </w:r>
            <w:r>
              <w:t xml:space="preserve"> nuevas figuras legales</w:t>
            </w:r>
            <w:r w:rsidR="005916BC">
              <w:t>;</w:t>
            </w:r>
            <w:r>
              <w:rPr>
                <w:rFonts w:eastAsia="Times New Roman"/>
                <w:color w:val="000000"/>
                <w:lang w:eastAsia="es-MX"/>
              </w:rPr>
              <w:t xml:space="preserve"> homologa</w:t>
            </w:r>
            <w:r w:rsidR="005916BC">
              <w:rPr>
                <w:rFonts w:eastAsia="Times New Roman"/>
                <w:color w:val="000000"/>
                <w:lang w:eastAsia="es-MX"/>
              </w:rPr>
              <w:t>ción</w:t>
            </w:r>
            <w:r>
              <w:rPr>
                <w:rFonts w:eastAsia="Times New Roman"/>
                <w:color w:val="000000"/>
                <w:lang w:eastAsia="es-MX"/>
              </w:rPr>
              <w:t xml:space="preserve"> con lo establecido en la LFTR y otros ordenamientos jurídicos</w:t>
            </w:r>
            <w:r w:rsidR="005916BC">
              <w:t>;</w:t>
            </w:r>
            <w:r>
              <w:t xml:space="preserve"> </w:t>
            </w:r>
            <w:r w:rsidR="005916BC">
              <w:t>acceso de</w:t>
            </w:r>
            <w:r>
              <w:t xml:space="preserve"> los prestadores del servicio</w:t>
            </w:r>
            <w:r w:rsidR="00D65CD0" w:rsidRPr="00CB50A9">
              <w:t xml:space="preserve"> </w:t>
            </w:r>
            <w:r w:rsidR="005916BC">
              <w:t xml:space="preserve">de </w:t>
            </w:r>
            <w:r w:rsidR="00D65CD0" w:rsidRPr="00CB50A9">
              <w:t>telefonía pública</w:t>
            </w:r>
            <w:r>
              <w:t xml:space="preserve"> </w:t>
            </w:r>
            <w:r w:rsidR="005916BC">
              <w:t>a</w:t>
            </w:r>
            <w:r w:rsidR="0023266B">
              <w:t xml:space="preserve"> los servicios de desagregación</w:t>
            </w:r>
            <w:r w:rsidR="005916BC">
              <w:t>,</w:t>
            </w:r>
            <w:r w:rsidR="0023266B">
              <w:t xml:space="preserve"> y</w:t>
            </w:r>
            <w:r>
              <w:t xml:space="preserve"> </w:t>
            </w:r>
            <w:r w:rsidR="0023266B">
              <w:t>precis</w:t>
            </w:r>
            <w:r w:rsidR="005916BC">
              <w:t>iones de</w:t>
            </w:r>
            <w:r w:rsidR="0023266B">
              <w:t xml:space="preserve"> procedimientos</w:t>
            </w:r>
            <w:r w:rsidR="005916BC">
              <w:t xml:space="preserve"> y</w:t>
            </w:r>
            <w:r w:rsidR="0023266B">
              <w:t xml:space="preserve"> parámetros de calidad, </w:t>
            </w:r>
            <w:r>
              <w:t>entre otras</w:t>
            </w:r>
            <w:r w:rsidR="00D65CD0">
              <w:t>.</w:t>
            </w:r>
          </w:p>
        </w:tc>
      </w:tr>
      <w:tr w:rsidR="004B664D" w:rsidRPr="00DF67B4" w14:paraId="645E7D09" w14:textId="77777777" w:rsidTr="00090F4F">
        <w:trPr>
          <w:trHeight w:val="414"/>
        </w:trPr>
        <w:tc>
          <w:tcPr>
            <w:tcW w:w="8641" w:type="dxa"/>
            <w:gridSpan w:val="4"/>
            <w:shd w:val="clear" w:color="auto" w:fill="FFFFFF"/>
            <w:vAlign w:val="center"/>
          </w:tcPr>
          <w:p w14:paraId="645E7D08" w14:textId="50C19080"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 xml:space="preserve">Cuáles son los efectos que las medidas referentes a </w:t>
            </w:r>
            <w:r w:rsidR="000D33C0">
              <w:rPr>
                <w:rFonts w:eastAsia="Times New Roman"/>
                <w:b/>
                <w:color w:val="000000"/>
                <w:szCs w:val="20"/>
                <w:lang w:eastAsia="es-MX"/>
              </w:rPr>
              <w:t>desagregación</w:t>
            </w:r>
            <w:r>
              <w:rPr>
                <w:rFonts w:eastAsia="Times New Roman"/>
                <w:b/>
                <w:color w:val="000000"/>
                <w:szCs w:val="20"/>
                <w:lang w:eastAsia="es-MX"/>
              </w:rPr>
              <w:t xml:space="preserve"> </w:t>
            </w:r>
            <w:r w:rsidR="00553C2D">
              <w:rPr>
                <w:rFonts w:eastAsia="Times New Roman"/>
                <w:b/>
                <w:color w:val="000000"/>
                <w:szCs w:val="20"/>
                <w:lang w:eastAsia="es-MX"/>
              </w:rPr>
              <w:t xml:space="preserve">de la red local </w:t>
            </w:r>
            <w:r>
              <w:rPr>
                <w:rFonts w:eastAsia="Times New Roman"/>
                <w:b/>
                <w:color w:val="000000"/>
                <w:szCs w:val="20"/>
                <w:lang w:eastAsia="es-MX"/>
              </w:rPr>
              <w:t>han generado</w:t>
            </w:r>
            <w:r w:rsidR="00F61086">
              <w:rPr>
                <w:rFonts w:eastAsia="Times New Roman"/>
                <w:b/>
                <w:color w:val="000000"/>
                <w:szCs w:val="20"/>
                <w:lang w:eastAsia="es-MX"/>
              </w:rPr>
              <w:t xml:space="preserve"> en el sector de telecomunicaciones</w:t>
            </w:r>
            <w:r>
              <w:rPr>
                <w:rFonts w:eastAsia="Times New Roman"/>
                <w:b/>
                <w:color w:val="000000"/>
                <w:szCs w:val="20"/>
                <w:lang w:eastAsia="es-MX"/>
              </w:rPr>
              <w:t>? ¿</w:t>
            </w:r>
            <w:r w:rsidR="0026124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B664D" w:rsidRPr="00DF67B4" w14:paraId="645E7D0B" w14:textId="77777777" w:rsidTr="00090F4F">
        <w:trPr>
          <w:trHeight w:val="414"/>
        </w:trPr>
        <w:tc>
          <w:tcPr>
            <w:tcW w:w="8641" w:type="dxa"/>
            <w:gridSpan w:val="4"/>
            <w:shd w:val="clear" w:color="auto" w:fill="FFFFFF"/>
            <w:vAlign w:val="center"/>
          </w:tcPr>
          <w:p w14:paraId="645E7D0A" w14:textId="77777777" w:rsidR="004B664D" w:rsidRPr="00DF67B4" w:rsidRDefault="004B664D" w:rsidP="004B664D">
            <w:pPr>
              <w:spacing w:after="0" w:line="276" w:lineRule="auto"/>
              <w:rPr>
                <w:rFonts w:eastAsia="Times New Roman"/>
                <w:b/>
                <w:color w:val="000000"/>
                <w:lang w:eastAsia="es-MX"/>
              </w:rPr>
            </w:pPr>
          </w:p>
        </w:tc>
      </w:tr>
      <w:tr w:rsidR="004B664D" w:rsidRPr="00F30CB9" w14:paraId="645E7D0E" w14:textId="77777777" w:rsidTr="00090F4F">
        <w:trPr>
          <w:trHeight w:val="414"/>
        </w:trPr>
        <w:tc>
          <w:tcPr>
            <w:tcW w:w="4320" w:type="dxa"/>
            <w:gridSpan w:val="3"/>
            <w:shd w:val="clear" w:color="auto" w:fill="FFFFFF"/>
            <w:vAlign w:val="center"/>
          </w:tcPr>
          <w:p w14:paraId="645E7D0C"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0D"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67B4" w14:paraId="645E7D10" w14:textId="77777777" w:rsidTr="00090F4F">
        <w:trPr>
          <w:trHeight w:val="414"/>
        </w:trPr>
        <w:tc>
          <w:tcPr>
            <w:tcW w:w="8641" w:type="dxa"/>
            <w:gridSpan w:val="4"/>
            <w:shd w:val="clear" w:color="auto" w:fill="FFFFFF"/>
            <w:vAlign w:val="center"/>
          </w:tcPr>
          <w:p w14:paraId="645E7D0F" w14:textId="0355B30E"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B664D" w:rsidRPr="00DF67B4" w14:paraId="645E7D12" w14:textId="77777777" w:rsidTr="00090F4F">
        <w:trPr>
          <w:trHeight w:val="414"/>
        </w:trPr>
        <w:tc>
          <w:tcPr>
            <w:tcW w:w="8641" w:type="dxa"/>
            <w:gridSpan w:val="4"/>
            <w:shd w:val="clear" w:color="auto" w:fill="FFFFFF"/>
            <w:vAlign w:val="center"/>
          </w:tcPr>
          <w:p w14:paraId="645E7D11" w14:textId="77777777" w:rsidR="004B664D" w:rsidRPr="00DF67B4" w:rsidRDefault="004B664D" w:rsidP="004B664D">
            <w:pPr>
              <w:spacing w:after="0" w:line="276" w:lineRule="auto"/>
              <w:rPr>
                <w:rFonts w:eastAsia="Times New Roman"/>
                <w:b/>
                <w:color w:val="000000"/>
                <w:lang w:eastAsia="es-MX"/>
              </w:rPr>
            </w:pPr>
          </w:p>
        </w:tc>
      </w:tr>
      <w:tr w:rsidR="004B664D" w:rsidRPr="00F30CB9" w14:paraId="645E7D15" w14:textId="77777777" w:rsidTr="00090F4F">
        <w:trPr>
          <w:trHeight w:val="414"/>
        </w:trPr>
        <w:tc>
          <w:tcPr>
            <w:tcW w:w="4320" w:type="dxa"/>
            <w:gridSpan w:val="3"/>
            <w:shd w:val="clear" w:color="auto" w:fill="FFFFFF"/>
            <w:vAlign w:val="center"/>
          </w:tcPr>
          <w:p w14:paraId="645E7D13"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14" w14:textId="77777777" w:rsidR="004B664D" w:rsidRPr="00E07693" w:rsidRDefault="004B664D" w:rsidP="004B664D">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B664D" w:rsidRPr="00DF67B4" w14:paraId="645E7D17" w14:textId="77777777" w:rsidTr="00090F4F">
        <w:trPr>
          <w:trHeight w:val="414"/>
        </w:trPr>
        <w:tc>
          <w:tcPr>
            <w:tcW w:w="8641" w:type="dxa"/>
            <w:gridSpan w:val="4"/>
            <w:shd w:val="clear" w:color="auto" w:fill="FFFFFF"/>
            <w:vAlign w:val="center"/>
          </w:tcPr>
          <w:p w14:paraId="645E7D16" w14:textId="77777777" w:rsidR="004B664D" w:rsidRPr="00DF67B4" w:rsidRDefault="004B664D" w:rsidP="004B664D">
            <w:pPr>
              <w:spacing w:after="0" w:line="276" w:lineRule="auto"/>
              <w:rPr>
                <w:rFonts w:eastAsia="Times New Roman"/>
                <w:b/>
                <w:color w:val="000000"/>
                <w:lang w:eastAsia="es-MX"/>
              </w:rPr>
            </w:pPr>
          </w:p>
        </w:tc>
      </w:tr>
      <w:tr w:rsidR="004B664D" w14:paraId="645E7D19" w14:textId="77777777" w:rsidTr="00090F4F">
        <w:trPr>
          <w:trHeight w:val="414"/>
        </w:trPr>
        <w:tc>
          <w:tcPr>
            <w:tcW w:w="8641" w:type="dxa"/>
            <w:gridSpan w:val="4"/>
            <w:shd w:val="clear" w:color="auto" w:fill="FFFFFF"/>
            <w:vAlign w:val="center"/>
          </w:tcPr>
          <w:p w14:paraId="645E7D18" w14:textId="783706C1" w:rsidR="004B664D" w:rsidRDefault="004B664D"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F61086">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B327E2">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r w:rsidR="00261246" w:rsidRPr="001A5B2D" w:rsidDel="00261246">
              <w:rPr>
                <w:rFonts w:eastAsia="Times New Roman"/>
                <w:b/>
                <w:color w:val="000000"/>
                <w:szCs w:val="20"/>
                <w:lang w:eastAsia="es-MX"/>
              </w:rPr>
              <w:t xml:space="preserve"> </w:t>
            </w:r>
          </w:p>
        </w:tc>
      </w:tr>
      <w:tr w:rsidR="004B664D" w:rsidRPr="00DF67B4" w14:paraId="645E7D1B" w14:textId="77777777" w:rsidTr="00090F4F">
        <w:trPr>
          <w:trHeight w:val="414"/>
        </w:trPr>
        <w:tc>
          <w:tcPr>
            <w:tcW w:w="8641" w:type="dxa"/>
            <w:gridSpan w:val="4"/>
            <w:shd w:val="clear" w:color="auto" w:fill="FFFFFF"/>
            <w:vAlign w:val="center"/>
          </w:tcPr>
          <w:p w14:paraId="645E7D1A" w14:textId="77777777" w:rsidR="004B664D" w:rsidRPr="00DF67B4" w:rsidRDefault="004B664D" w:rsidP="004B664D">
            <w:pPr>
              <w:spacing w:after="0" w:line="276" w:lineRule="auto"/>
              <w:rPr>
                <w:rFonts w:eastAsia="Times New Roman"/>
                <w:b/>
                <w:color w:val="000000"/>
                <w:lang w:eastAsia="es-MX"/>
              </w:rPr>
            </w:pPr>
          </w:p>
        </w:tc>
      </w:tr>
      <w:tr w:rsidR="004B664D" w:rsidRPr="00F30CB9" w14:paraId="645E7D1E" w14:textId="77777777" w:rsidTr="00090F4F">
        <w:trPr>
          <w:trHeight w:val="414"/>
        </w:trPr>
        <w:tc>
          <w:tcPr>
            <w:tcW w:w="4320" w:type="dxa"/>
            <w:gridSpan w:val="3"/>
            <w:shd w:val="clear" w:color="auto" w:fill="FFFFFF"/>
            <w:vAlign w:val="center"/>
          </w:tcPr>
          <w:p w14:paraId="645E7D1C"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1D"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6553B6" w:rsidRPr="00F30CB9" w14:paraId="7AEEABC1" w14:textId="77777777" w:rsidTr="00857118">
        <w:trPr>
          <w:trHeight w:val="414"/>
        </w:trPr>
        <w:tc>
          <w:tcPr>
            <w:tcW w:w="8641" w:type="dxa"/>
            <w:gridSpan w:val="4"/>
            <w:shd w:val="clear" w:color="auto" w:fill="FFFFFF"/>
          </w:tcPr>
          <w:p w14:paraId="07423A8C" w14:textId="519260A8" w:rsidR="006553B6" w:rsidRDefault="00E14B0F" w:rsidP="00240D9F">
            <w:r>
              <w:rPr>
                <w:b/>
              </w:rPr>
              <w:t>En caso de contar</w:t>
            </w:r>
            <w:r w:rsidR="00857118" w:rsidRPr="00857118">
              <w:rPr>
                <w:b/>
              </w:rPr>
              <w:t xml:space="preserve"> con una propuesta específica sobre alguna de las medidas relacionadas con la </w:t>
            </w:r>
            <w:r w:rsidR="00857118">
              <w:rPr>
                <w:b/>
              </w:rPr>
              <w:t>desagregación de la red local</w:t>
            </w:r>
            <w:r w:rsidR="00857118" w:rsidRPr="00857118">
              <w:rPr>
                <w:b/>
              </w:rPr>
              <w:t xml:space="preserve">, </w:t>
            </w:r>
            <w:r w:rsidR="00E75B64">
              <w:rPr>
                <w:b/>
              </w:rPr>
              <w:t>deber</w:t>
            </w:r>
            <w:r w:rsidR="00322499">
              <w:rPr>
                <w:b/>
              </w:rPr>
              <w:t>á indicarla</w:t>
            </w:r>
            <w:r w:rsidR="00E75B64">
              <w:rPr>
                <w:b/>
              </w:rPr>
              <w:t>.</w:t>
            </w:r>
          </w:p>
          <w:p w14:paraId="569A5D00" w14:textId="74803B3B" w:rsidR="006553B6" w:rsidRPr="00E07693" w:rsidRDefault="000228C4" w:rsidP="00240D9F">
            <w:pPr>
              <w:rPr>
                <w:rFonts w:eastAsia="Times New Roman"/>
                <w:color w:val="7F7F7F" w:themeColor="text1" w:themeTint="8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6553B6" w:rsidRPr="00F30CB9" w14:paraId="1B3E51B7" w14:textId="77777777" w:rsidTr="00857118">
        <w:trPr>
          <w:trHeight w:val="414"/>
        </w:trPr>
        <w:tc>
          <w:tcPr>
            <w:tcW w:w="4320" w:type="dxa"/>
            <w:gridSpan w:val="3"/>
            <w:shd w:val="clear" w:color="auto" w:fill="FFFFFF"/>
          </w:tcPr>
          <w:p w14:paraId="16846B2D" w14:textId="5ED162BD" w:rsidR="006553B6" w:rsidRPr="00857118" w:rsidRDefault="00857118" w:rsidP="00857118">
            <w:pPr>
              <w:jc w:val="center"/>
              <w:rPr>
                <w:rFonts w:eastAsia="Times New Roman"/>
                <w:color w:val="7F7F7F" w:themeColor="text1" w:themeTint="80"/>
                <w:lang w:eastAsia="es-MX"/>
              </w:rPr>
            </w:pPr>
            <w:r w:rsidRPr="00857118">
              <w:rPr>
                <w:rFonts w:eastAsia="Times New Roman"/>
                <w:color w:val="7F7F7F" w:themeColor="text1" w:themeTint="80"/>
                <w:lang w:eastAsia="es-MX"/>
              </w:rPr>
              <w:t>[Indique medida]</w:t>
            </w:r>
          </w:p>
        </w:tc>
        <w:tc>
          <w:tcPr>
            <w:tcW w:w="4321" w:type="dxa"/>
            <w:shd w:val="clear" w:color="auto" w:fill="FFFFFF"/>
          </w:tcPr>
          <w:p w14:paraId="7110594A" w14:textId="21C5C634" w:rsidR="006553B6" w:rsidRDefault="00857118" w:rsidP="00857118">
            <w:pPr>
              <w:jc w:val="center"/>
              <w:rPr>
                <w:rFonts w:eastAsia="Times New Roman"/>
                <w:color w:val="7F7F7F" w:themeColor="text1" w:themeTint="80"/>
                <w:lang w:eastAsia="es-MX"/>
              </w:rPr>
            </w:pPr>
            <w:r w:rsidRPr="00857118">
              <w:rPr>
                <w:rFonts w:eastAsia="Times New Roman"/>
                <w:color w:val="7F7F7F" w:themeColor="text1" w:themeTint="80"/>
                <w:lang w:eastAsia="es-MX"/>
              </w:rPr>
              <w:t>[Señale la propuesta]</w:t>
            </w:r>
          </w:p>
        </w:tc>
      </w:tr>
      <w:tr w:rsidR="00857118" w:rsidRPr="00F30CB9" w14:paraId="0283DDEC" w14:textId="77777777" w:rsidTr="00857118">
        <w:trPr>
          <w:trHeight w:val="414"/>
        </w:trPr>
        <w:tc>
          <w:tcPr>
            <w:tcW w:w="4320" w:type="dxa"/>
            <w:gridSpan w:val="3"/>
            <w:shd w:val="clear" w:color="auto" w:fill="FFFFFF"/>
          </w:tcPr>
          <w:p w14:paraId="5DA23F26" w14:textId="243A9328" w:rsidR="00857118" w:rsidRPr="00857118" w:rsidRDefault="00857118" w:rsidP="00857118">
            <w:pPr>
              <w:jc w:val="center"/>
              <w:rPr>
                <w:rFonts w:eastAsia="Times New Roman"/>
                <w:color w:val="7F7F7F" w:themeColor="text1" w:themeTint="80"/>
                <w:lang w:eastAsia="es-MX"/>
              </w:rPr>
            </w:pPr>
            <w:r w:rsidRPr="00857118">
              <w:rPr>
                <w:rFonts w:eastAsia="Times New Roman"/>
                <w:color w:val="7F7F7F" w:themeColor="text1" w:themeTint="80"/>
                <w:lang w:eastAsia="es-MX"/>
              </w:rPr>
              <w:t>[Indique medida]</w:t>
            </w:r>
          </w:p>
        </w:tc>
        <w:tc>
          <w:tcPr>
            <w:tcW w:w="4321" w:type="dxa"/>
            <w:shd w:val="clear" w:color="auto" w:fill="FFFFFF"/>
          </w:tcPr>
          <w:p w14:paraId="345D8353" w14:textId="7E9B3B30" w:rsidR="00857118" w:rsidRDefault="00857118" w:rsidP="00857118">
            <w:pPr>
              <w:jc w:val="center"/>
              <w:rPr>
                <w:rFonts w:eastAsia="Times New Roman"/>
                <w:color w:val="7F7F7F" w:themeColor="text1" w:themeTint="80"/>
                <w:lang w:eastAsia="es-MX"/>
              </w:rPr>
            </w:pPr>
            <w:r w:rsidRPr="00857118">
              <w:rPr>
                <w:rFonts w:eastAsia="Times New Roman"/>
                <w:color w:val="7F7F7F" w:themeColor="text1" w:themeTint="80"/>
                <w:lang w:eastAsia="es-MX"/>
              </w:rPr>
              <w:t>[Señale la propuesta]</w:t>
            </w:r>
          </w:p>
        </w:tc>
      </w:tr>
      <w:tr w:rsidR="004B664D" w:rsidRPr="00DF5B3F" w14:paraId="645E7D27" w14:textId="77777777" w:rsidTr="00CA486F">
        <w:trPr>
          <w:trHeight w:val="414"/>
        </w:trPr>
        <w:tc>
          <w:tcPr>
            <w:tcW w:w="1754" w:type="dxa"/>
            <w:shd w:val="clear" w:color="auto" w:fill="C5E0B3"/>
            <w:vAlign w:val="center"/>
          </w:tcPr>
          <w:p w14:paraId="645E7D1F" w14:textId="77777777" w:rsidR="004B664D" w:rsidRDefault="004B664D" w:rsidP="004B664D">
            <w:pPr>
              <w:spacing w:after="0" w:line="276" w:lineRule="auto"/>
              <w:jc w:val="center"/>
              <w:rPr>
                <w:rFonts w:eastAsia="Times New Roman"/>
                <w:b/>
                <w:color w:val="000000"/>
                <w:lang w:eastAsia="es-MX"/>
              </w:rPr>
            </w:pPr>
            <w:r>
              <w:rPr>
                <w:rFonts w:eastAsia="Times New Roman"/>
                <w:b/>
                <w:color w:val="000000"/>
                <w:lang w:eastAsia="es-MX"/>
              </w:rPr>
              <w:t>Medidas referentes a</w:t>
            </w:r>
          </w:p>
          <w:p w14:paraId="645E7D20" w14:textId="77777777" w:rsidR="004B664D" w:rsidRDefault="004B664D" w:rsidP="004B664D">
            <w:pPr>
              <w:spacing w:after="0" w:line="276" w:lineRule="auto"/>
              <w:jc w:val="center"/>
              <w:rPr>
                <w:rFonts w:eastAsia="Times New Roman"/>
                <w:b/>
                <w:color w:val="000000"/>
                <w:lang w:eastAsia="es-MX"/>
              </w:rPr>
            </w:pPr>
            <w:r>
              <w:rPr>
                <w:rFonts w:eastAsia="Times New Roman"/>
                <w:b/>
                <w:color w:val="000000"/>
                <w:lang w:eastAsia="es-MX"/>
              </w:rPr>
              <w:t>Usuarios finales</w:t>
            </w:r>
          </w:p>
          <w:p w14:paraId="645E7D21" w14:textId="77777777" w:rsidR="00CA486F" w:rsidRDefault="00CA486F" w:rsidP="0033646F">
            <w:pPr>
              <w:spacing w:after="0" w:line="276" w:lineRule="auto"/>
              <w:jc w:val="center"/>
              <w:rPr>
                <w:rFonts w:eastAsia="Times New Roman"/>
                <w:b/>
                <w:color w:val="000000"/>
                <w:lang w:eastAsia="es-MX"/>
              </w:rPr>
            </w:pPr>
          </w:p>
          <w:p w14:paraId="645E7D22" w14:textId="77777777" w:rsidR="00A976EE" w:rsidRDefault="00A976EE" w:rsidP="0033646F">
            <w:pPr>
              <w:spacing w:after="0" w:line="276" w:lineRule="auto"/>
              <w:jc w:val="center"/>
              <w:rPr>
                <w:rFonts w:eastAsia="Times New Roman"/>
                <w:b/>
                <w:color w:val="000000"/>
                <w:lang w:eastAsia="es-MX"/>
              </w:rPr>
            </w:pPr>
            <w:r>
              <w:rPr>
                <w:rFonts w:eastAsia="Times New Roman"/>
                <w:b/>
                <w:color w:val="000000"/>
                <w:lang w:eastAsia="es-MX"/>
              </w:rPr>
              <w:lastRenderedPageBreak/>
              <w:t xml:space="preserve">Anexo 2: </w:t>
            </w:r>
            <w:r w:rsidR="0033646F" w:rsidRPr="0033646F">
              <w:rPr>
                <w:rFonts w:eastAsia="Times New Roman"/>
                <w:b/>
                <w:color w:val="000000"/>
                <w:lang w:eastAsia="es-MX"/>
              </w:rPr>
              <w:t>40,</w:t>
            </w:r>
            <w:r w:rsidR="0033646F">
              <w:rPr>
                <w:rFonts w:eastAsia="Times New Roman"/>
                <w:b/>
                <w:color w:val="000000"/>
                <w:lang w:eastAsia="es-MX"/>
              </w:rPr>
              <w:t xml:space="preserve"> 45, 46, 47, 48, 49, 50, 51, 52 y</w:t>
            </w:r>
            <w:r w:rsidR="0033646F" w:rsidRPr="0033646F">
              <w:rPr>
                <w:rFonts w:eastAsia="Times New Roman"/>
                <w:b/>
                <w:color w:val="000000"/>
                <w:lang w:eastAsia="es-MX"/>
              </w:rPr>
              <w:t xml:space="preserve"> 53</w:t>
            </w:r>
            <w:r w:rsidR="0033646F">
              <w:rPr>
                <w:rFonts w:eastAsia="Times New Roman"/>
                <w:b/>
                <w:color w:val="000000"/>
                <w:lang w:eastAsia="es-MX"/>
              </w:rPr>
              <w:t>.</w:t>
            </w:r>
          </w:p>
        </w:tc>
        <w:tc>
          <w:tcPr>
            <w:tcW w:w="6887" w:type="dxa"/>
            <w:gridSpan w:val="3"/>
            <w:shd w:val="clear" w:color="auto" w:fill="C5E0B3"/>
            <w:vAlign w:val="center"/>
          </w:tcPr>
          <w:p w14:paraId="645E7D23" w14:textId="77777777" w:rsidR="004B664D" w:rsidRPr="00AD5232" w:rsidRDefault="004B664D" w:rsidP="00CA486F">
            <w:pPr>
              <w:spacing w:after="0"/>
              <w:jc w:val="left"/>
              <w:rPr>
                <w:b/>
                <w:lang w:eastAsia="es-MX"/>
              </w:rPr>
            </w:pPr>
            <w:r w:rsidRPr="00AD5232">
              <w:rPr>
                <w:b/>
                <w:lang w:eastAsia="es-MX"/>
              </w:rPr>
              <w:lastRenderedPageBreak/>
              <w:t>Objetivo</w:t>
            </w:r>
            <w:r w:rsidR="00EA2FE2">
              <w:rPr>
                <w:b/>
                <w:lang w:eastAsia="es-MX"/>
              </w:rPr>
              <w:t>s</w:t>
            </w:r>
            <w:r w:rsidRPr="00AD5232">
              <w:rPr>
                <w:b/>
                <w:lang w:eastAsia="es-MX"/>
              </w:rPr>
              <w:t xml:space="preserve"> </w:t>
            </w:r>
            <w:r w:rsidR="00220DF9">
              <w:rPr>
                <w:b/>
                <w:lang w:eastAsia="es-MX"/>
              </w:rPr>
              <w:t>generales</w:t>
            </w:r>
            <w:r w:rsidRPr="00AD5232">
              <w:rPr>
                <w:b/>
                <w:lang w:eastAsia="es-MX"/>
              </w:rPr>
              <w:t>:</w:t>
            </w:r>
          </w:p>
          <w:p w14:paraId="645E7D24" w14:textId="77777777" w:rsidR="00E6369E" w:rsidRPr="00870F7C" w:rsidRDefault="00E6369E" w:rsidP="00CA486F">
            <w:pPr>
              <w:numPr>
                <w:ilvl w:val="0"/>
                <w:numId w:val="21"/>
              </w:numPr>
              <w:spacing w:after="0"/>
              <w:jc w:val="left"/>
              <w:rPr>
                <w:lang w:eastAsia="es-MX"/>
              </w:rPr>
            </w:pPr>
            <w:r>
              <w:rPr>
                <w:lang w:eastAsia="es-MX"/>
              </w:rPr>
              <w:t>Reducir las asimetrías de información</w:t>
            </w:r>
            <w:r w:rsidRPr="00870F7C">
              <w:rPr>
                <w:lang w:eastAsia="es-MX"/>
              </w:rPr>
              <w:t xml:space="preserve">. </w:t>
            </w:r>
          </w:p>
          <w:p w14:paraId="645E7D25" w14:textId="77777777" w:rsidR="006C1EC3" w:rsidRPr="00870F7C" w:rsidRDefault="006C1EC3" w:rsidP="00CA486F">
            <w:pPr>
              <w:numPr>
                <w:ilvl w:val="0"/>
                <w:numId w:val="21"/>
              </w:numPr>
              <w:spacing w:after="0"/>
              <w:jc w:val="left"/>
              <w:rPr>
                <w:lang w:eastAsia="es-MX"/>
              </w:rPr>
            </w:pPr>
            <w:r>
              <w:t>Remediar y prevenir condiciones y conductas con efectos que no favorezcan la competencia y libre concurrencia</w:t>
            </w:r>
            <w:r w:rsidR="00E6369E">
              <w:t>.</w:t>
            </w:r>
          </w:p>
          <w:p w14:paraId="645E7D26" w14:textId="77777777" w:rsidR="004B664D" w:rsidRPr="00DF67B4" w:rsidRDefault="006C1EC3" w:rsidP="00CA486F">
            <w:pPr>
              <w:numPr>
                <w:ilvl w:val="0"/>
                <w:numId w:val="21"/>
              </w:numPr>
              <w:spacing w:after="0"/>
              <w:jc w:val="left"/>
              <w:rPr>
                <w:lang w:eastAsia="es-MX"/>
              </w:rPr>
            </w:pPr>
            <w:r>
              <w:rPr>
                <w:lang w:eastAsia="es-MX"/>
              </w:rPr>
              <w:lastRenderedPageBreak/>
              <w:t>Disminuir costos de transacción.</w:t>
            </w:r>
          </w:p>
        </w:tc>
      </w:tr>
      <w:tr w:rsidR="004B664D" w:rsidRPr="00DF5B3F" w14:paraId="645E7D2D" w14:textId="77777777" w:rsidTr="00090F4F">
        <w:trPr>
          <w:trHeight w:val="414"/>
        </w:trPr>
        <w:tc>
          <w:tcPr>
            <w:tcW w:w="8641" w:type="dxa"/>
            <w:gridSpan w:val="4"/>
            <w:shd w:val="clear" w:color="auto" w:fill="FFFFFF"/>
            <w:vAlign w:val="center"/>
          </w:tcPr>
          <w:p w14:paraId="645E7D28" w14:textId="77777777" w:rsidR="004B664D" w:rsidRPr="00AD5232" w:rsidRDefault="007D23B9" w:rsidP="00BE3C0A">
            <w:pPr>
              <w:rPr>
                <w:b/>
              </w:rPr>
            </w:pPr>
            <w:r w:rsidRPr="007D23B9">
              <w:rPr>
                <w:b/>
              </w:rPr>
              <w:lastRenderedPageBreak/>
              <w:t>Contexto:</w:t>
            </w:r>
          </w:p>
          <w:p w14:paraId="645E7D29" w14:textId="77777777" w:rsidR="004B664D" w:rsidRDefault="00E6673E" w:rsidP="004B664D">
            <w:r>
              <w:t>Los costos de cambio que enfrentan los usuarios para migrar de operador de telecomunicaciones pueden llegar a formar una barrera a la entrada y/o expansión de operadores eficientes alternos. Asimismo, parte del desarrollo del sector involucra la protección de los usuarios finales en los procesos de contratación de los servicios.</w:t>
            </w:r>
          </w:p>
          <w:p w14:paraId="645E7D2A" w14:textId="77777777" w:rsidR="006720B6" w:rsidRDefault="006720B6" w:rsidP="004B664D">
            <w:pPr>
              <w:rPr>
                <w:b/>
              </w:rPr>
            </w:pPr>
            <w:r>
              <w:rPr>
                <w:b/>
              </w:rPr>
              <w:t>Resumen de medidas impuestas:</w:t>
            </w:r>
          </w:p>
          <w:p w14:paraId="645E7D2B" w14:textId="2123AE4F" w:rsidR="00E0044F" w:rsidRDefault="00E0044F" w:rsidP="00E0044F">
            <w:r>
              <w:t xml:space="preserve">El Instituto impuso medidas al AEPT referentes a información mínima que el AEPT debe proveer a los usuarios finales, condiciones de publicidad, contratación y cancelación, facturación de los servicios y canales de atención, entre otras. Además, el Instituto impuso medidas al AEPT referentes al control tarifario bajo un sistema de precios tope de las tarifas minoristas del servicio local fijo, servicio de acceso a internet y servicio de larga distancia.  </w:t>
            </w:r>
          </w:p>
          <w:p w14:paraId="645E7D2C" w14:textId="77777777" w:rsidR="004B664D" w:rsidRPr="00E07693" w:rsidRDefault="00E0044F" w:rsidP="00A22B36">
            <w:pPr>
              <w:rPr>
                <w:b/>
              </w:rPr>
            </w:pPr>
            <w:r>
              <w:rPr>
                <w:rFonts w:eastAsia="Times New Roman"/>
                <w:color w:val="000000"/>
                <w:lang w:eastAsia="es-MX"/>
              </w:rPr>
              <w:t>A través de la Resolución Bienal de Telecomunicaciones se hicieron adecuaciones a efecto de homologar con lo establecido en la LFTR y otros ordenamientos jurídicos.</w:t>
            </w:r>
          </w:p>
        </w:tc>
      </w:tr>
      <w:tr w:rsidR="004B664D" w:rsidRPr="00DF5B3F" w14:paraId="645E7D2F" w14:textId="77777777" w:rsidTr="00090F4F">
        <w:trPr>
          <w:trHeight w:val="414"/>
        </w:trPr>
        <w:tc>
          <w:tcPr>
            <w:tcW w:w="8641" w:type="dxa"/>
            <w:gridSpan w:val="4"/>
            <w:shd w:val="clear" w:color="auto" w:fill="FFFFFF"/>
            <w:vAlign w:val="center"/>
          </w:tcPr>
          <w:p w14:paraId="645E7D2E" w14:textId="2EB084B1"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Pr>
                <w:rFonts w:eastAsia="Times New Roman"/>
                <w:b/>
                <w:color w:val="000000"/>
                <w:szCs w:val="20"/>
                <w:lang w:eastAsia="es-MX"/>
              </w:rPr>
              <w:t>Cuáles son los efectos que las medidas referentes a usuarios finales han generado</w:t>
            </w:r>
            <w:r w:rsidR="00F61086">
              <w:rPr>
                <w:rFonts w:eastAsia="Times New Roman"/>
                <w:b/>
                <w:color w:val="000000"/>
                <w:szCs w:val="20"/>
                <w:lang w:eastAsia="es-MX"/>
              </w:rPr>
              <w:t xml:space="preserve"> en el sector de telecomunicaciones</w:t>
            </w:r>
            <w:r>
              <w:rPr>
                <w:rFonts w:eastAsia="Times New Roman"/>
                <w:b/>
                <w:color w:val="000000"/>
                <w:szCs w:val="20"/>
                <w:lang w:eastAsia="es-MX"/>
              </w:rPr>
              <w:t>? ¿</w:t>
            </w:r>
            <w:r w:rsidR="00261246">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 </w:t>
            </w:r>
          </w:p>
        </w:tc>
      </w:tr>
      <w:tr w:rsidR="004B664D" w:rsidRPr="00DF5B3F" w14:paraId="645E7D31" w14:textId="77777777" w:rsidTr="00090F4F">
        <w:trPr>
          <w:trHeight w:val="414"/>
        </w:trPr>
        <w:tc>
          <w:tcPr>
            <w:tcW w:w="8641" w:type="dxa"/>
            <w:gridSpan w:val="4"/>
            <w:shd w:val="clear" w:color="auto" w:fill="FFFFFF"/>
            <w:vAlign w:val="center"/>
          </w:tcPr>
          <w:p w14:paraId="645E7D30"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34" w14:textId="77777777" w:rsidTr="00090F4F">
        <w:trPr>
          <w:trHeight w:val="414"/>
        </w:trPr>
        <w:tc>
          <w:tcPr>
            <w:tcW w:w="4320" w:type="dxa"/>
            <w:gridSpan w:val="3"/>
            <w:shd w:val="clear" w:color="auto" w:fill="FFFFFF"/>
            <w:vAlign w:val="center"/>
          </w:tcPr>
          <w:p w14:paraId="645E7D32"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33"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5B3F" w14:paraId="645E7D36" w14:textId="77777777" w:rsidTr="00090F4F">
        <w:trPr>
          <w:trHeight w:val="414"/>
        </w:trPr>
        <w:tc>
          <w:tcPr>
            <w:tcW w:w="8641" w:type="dxa"/>
            <w:gridSpan w:val="4"/>
            <w:shd w:val="clear" w:color="auto" w:fill="FFFFFF"/>
            <w:vAlign w:val="center"/>
          </w:tcPr>
          <w:p w14:paraId="645E7D35" w14:textId="4BD44ECD"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r w:rsidR="00261246" w:rsidRPr="001A5B2D" w:rsidDel="00261246">
              <w:rPr>
                <w:rFonts w:eastAsia="Times New Roman"/>
                <w:b/>
                <w:color w:val="000000"/>
                <w:szCs w:val="20"/>
                <w:lang w:eastAsia="es-MX"/>
              </w:rPr>
              <w:t xml:space="preserve"> </w:t>
            </w:r>
          </w:p>
        </w:tc>
      </w:tr>
      <w:tr w:rsidR="004B664D" w:rsidRPr="00DF5B3F" w14:paraId="645E7D38" w14:textId="77777777" w:rsidTr="00090F4F">
        <w:trPr>
          <w:trHeight w:val="414"/>
        </w:trPr>
        <w:tc>
          <w:tcPr>
            <w:tcW w:w="8641" w:type="dxa"/>
            <w:gridSpan w:val="4"/>
            <w:shd w:val="clear" w:color="auto" w:fill="FFFFFF"/>
            <w:vAlign w:val="center"/>
          </w:tcPr>
          <w:p w14:paraId="645E7D37"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3B" w14:textId="77777777" w:rsidTr="00090F4F">
        <w:trPr>
          <w:trHeight w:val="414"/>
        </w:trPr>
        <w:tc>
          <w:tcPr>
            <w:tcW w:w="4320" w:type="dxa"/>
            <w:gridSpan w:val="3"/>
            <w:shd w:val="clear" w:color="auto" w:fill="FFFFFF"/>
            <w:vAlign w:val="center"/>
          </w:tcPr>
          <w:p w14:paraId="645E7D39"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3A"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5B3F" w14:paraId="645E7D3D" w14:textId="77777777" w:rsidTr="00090F4F">
        <w:trPr>
          <w:trHeight w:val="414"/>
        </w:trPr>
        <w:tc>
          <w:tcPr>
            <w:tcW w:w="8641" w:type="dxa"/>
            <w:gridSpan w:val="4"/>
            <w:shd w:val="clear" w:color="auto" w:fill="FFFFFF"/>
            <w:vAlign w:val="center"/>
          </w:tcPr>
          <w:p w14:paraId="645E7D3C"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3F" w14:textId="77777777" w:rsidTr="00090F4F">
        <w:trPr>
          <w:trHeight w:val="414"/>
        </w:trPr>
        <w:tc>
          <w:tcPr>
            <w:tcW w:w="8641" w:type="dxa"/>
            <w:gridSpan w:val="4"/>
            <w:shd w:val="clear" w:color="auto" w:fill="FFFFFF"/>
            <w:vAlign w:val="center"/>
          </w:tcPr>
          <w:p w14:paraId="645E7D3E" w14:textId="3B4E329A" w:rsidR="004B664D" w:rsidRDefault="004B664D"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261246">
              <w:rPr>
                <w:rFonts w:eastAsia="Times New Roman"/>
                <w:b/>
                <w:color w:val="000000"/>
                <w:szCs w:val="20"/>
                <w:lang w:eastAsia="es-MX"/>
              </w:rPr>
              <w:t>En qué grado considera</w:t>
            </w:r>
            <w:r w:rsidR="00261246"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 xml:space="preserve">las acciones </w:t>
            </w:r>
            <w:r w:rsidR="00F61086">
              <w:rPr>
                <w:rFonts w:eastAsia="Times New Roman"/>
                <w:b/>
                <w:color w:val="000000"/>
                <w:szCs w:val="20"/>
                <w:lang w:eastAsia="es-MX"/>
              </w:rPr>
              <w:t xml:space="preserve">y/o instrumentos </w:t>
            </w:r>
            <w:r>
              <w:rPr>
                <w:rFonts w:eastAsia="Times New Roman"/>
                <w:b/>
                <w:color w:val="000000"/>
                <w:szCs w:val="20"/>
                <w:lang w:eastAsia="es-MX"/>
              </w:rPr>
              <w:t xml:space="preserve">mediante las cuales se han </w:t>
            </w:r>
            <w:r w:rsidR="00B327E2">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r w:rsidR="00261246" w:rsidRPr="001A5B2D" w:rsidDel="00261246">
              <w:rPr>
                <w:rFonts w:eastAsia="Times New Roman"/>
                <w:b/>
                <w:color w:val="000000"/>
                <w:szCs w:val="20"/>
                <w:lang w:eastAsia="es-MX"/>
              </w:rPr>
              <w:t xml:space="preserve"> </w:t>
            </w:r>
          </w:p>
        </w:tc>
      </w:tr>
      <w:tr w:rsidR="004B664D" w:rsidRPr="00DF5B3F" w14:paraId="645E7D41" w14:textId="77777777" w:rsidTr="00090F4F">
        <w:trPr>
          <w:trHeight w:val="414"/>
        </w:trPr>
        <w:tc>
          <w:tcPr>
            <w:tcW w:w="8641" w:type="dxa"/>
            <w:gridSpan w:val="4"/>
            <w:shd w:val="clear" w:color="auto" w:fill="FFFFFF"/>
            <w:vAlign w:val="center"/>
          </w:tcPr>
          <w:p w14:paraId="645E7D40"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44" w14:textId="77777777" w:rsidTr="00090F4F">
        <w:trPr>
          <w:trHeight w:val="414"/>
        </w:trPr>
        <w:tc>
          <w:tcPr>
            <w:tcW w:w="4320" w:type="dxa"/>
            <w:gridSpan w:val="3"/>
            <w:shd w:val="clear" w:color="auto" w:fill="FFFFFF"/>
            <w:vAlign w:val="center"/>
          </w:tcPr>
          <w:p w14:paraId="645E7D42"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43" w14:textId="77777777" w:rsidR="004B664D" w:rsidRPr="00E07693" w:rsidRDefault="004B664D" w:rsidP="004B664D">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EF1B8C" w:rsidRPr="0038337E" w14:paraId="7F13C24E" w14:textId="77777777" w:rsidTr="006A5E4C">
        <w:trPr>
          <w:trHeight w:val="414"/>
        </w:trPr>
        <w:tc>
          <w:tcPr>
            <w:tcW w:w="8641" w:type="dxa"/>
            <w:gridSpan w:val="4"/>
            <w:shd w:val="clear" w:color="auto" w:fill="FFFFFF"/>
            <w:vAlign w:val="center"/>
          </w:tcPr>
          <w:p w14:paraId="1A1938B2" w14:textId="218254DC" w:rsidR="00EF1B8C" w:rsidRDefault="00E14B0F" w:rsidP="00EF1B8C">
            <w:pPr>
              <w:rPr>
                <w:rFonts w:eastAsia="Times New Roman"/>
                <w:b/>
                <w:color w:val="000000"/>
                <w:szCs w:val="20"/>
                <w:lang w:eastAsia="es-MX"/>
              </w:rPr>
            </w:pPr>
            <w:r>
              <w:rPr>
                <w:rFonts w:eastAsia="Times New Roman"/>
                <w:b/>
                <w:color w:val="000000"/>
                <w:szCs w:val="20"/>
                <w:lang w:eastAsia="es-MX"/>
              </w:rPr>
              <w:lastRenderedPageBreak/>
              <w:t>En caso de contar</w:t>
            </w:r>
            <w:r w:rsidR="00EF1B8C" w:rsidRPr="0038337E">
              <w:rPr>
                <w:rFonts w:eastAsia="Times New Roman"/>
                <w:b/>
                <w:color w:val="000000"/>
                <w:szCs w:val="20"/>
                <w:lang w:eastAsia="es-MX"/>
              </w:rPr>
              <w:t xml:space="preserve"> con una propuesta </w:t>
            </w:r>
            <w:r w:rsidR="00EF1B8C">
              <w:rPr>
                <w:rFonts w:eastAsia="Times New Roman"/>
                <w:b/>
                <w:color w:val="000000"/>
                <w:szCs w:val="20"/>
                <w:lang w:eastAsia="es-MX"/>
              </w:rPr>
              <w:t>específica</w:t>
            </w:r>
            <w:r w:rsidR="00EF1B8C" w:rsidRPr="0038337E">
              <w:rPr>
                <w:rFonts w:eastAsia="Times New Roman"/>
                <w:b/>
                <w:color w:val="000000"/>
                <w:szCs w:val="20"/>
                <w:lang w:eastAsia="es-MX"/>
              </w:rPr>
              <w:t xml:space="preserve"> sobre </w:t>
            </w:r>
            <w:r w:rsidR="00EF1B8C">
              <w:rPr>
                <w:rFonts w:eastAsia="Times New Roman"/>
                <w:b/>
                <w:color w:val="000000"/>
                <w:szCs w:val="20"/>
                <w:lang w:eastAsia="es-MX"/>
              </w:rPr>
              <w:t xml:space="preserve">alguna de </w:t>
            </w:r>
            <w:r w:rsidR="00EF1B8C" w:rsidRPr="0038337E">
              <w:rPr>
                <w:rFonts w:eastAsia="Times New Roman"/>
                <w:b/>
                <w:color w:val="000000"/>
                <w:szCs w:val="20"/>
                <w:lang w:eastAsia="es-MX"/>
              </w:rPr>
              <w:t xml:space="preserve">las medidas relacionadas con </w:t>
            </w:r>
            <w:r w:rsidR="00C7426B">
              <w:rPr>
                <w:rFonts w:eastAsia="Times New Roman"/>
                <w:b/>
                <w:color w:val="000000"/>
                <w:szCs w:val="20"/>
                <w:lang w:eastAsia="es-MX"/>
              </w:rPr>
              <w:t>usuarios f</w:t>
            </w:r>
            <w:r w:rsidR="00325847">
              <w:rPr>
                <w:rFonts w:eastAsia="Times New Roman"/>
                <w:b/>
                <w:color w:val="000000"/>
                <w:szCs w:val="20"/>
                <w:lang w:eastAsia="es-MX"/>
              </w:rPr>
              <w:t>inales</w:t>
            </w:r>
            <w:r w:rsidR="00E75B64">
              <w:rPr>
                <w:rFonts w:eastAsia="Times New Roman"/>
                <w:b/>
                <w:color w:val="000000"/>
                <w:szCs w:val="20"/>
                <w:lang w:eastAsia="es-MX"/>
              </w:rPr>
              <w:t>, deber</w:t>
            </w:r>
            <w:r w:rsidR="00322499">
              <w:rPr>
                <w:rFonts w:eastAsia="Times New Roman"/>
                <w:b/>
                <w:color w:val="000000"/>
                <w:szCs w:val="20"/>
                <w:lang w:eastAsia="es-MX"/>
              </w:rPr>
              <w:t>á indicarla</w:t>
            </w:r>
            <w:r w:rsidR="00E75B64">
              <w:rPr>
                <w:rFonts w:eastAsia="Times New Roman"/>
                <w:b/>
                <w:color w:val="000000"/>
                <w:szCs w:val="20"/>
                <w:lang w:eastAsia="es-MX"/>
              </w:rPr>
              <w:t>.</w:t>
            </w:r>
          </w:p>
          <w:p w14:paraId="5B664FE4" w14:textId="1A7735F2" w:rsidR="00EF1B8C" w:rsidRPr="0038337E" w:rsidRDefault="000228C4" w:rsidP="00EF1B8C">
            <w:pPr>
              <w:rPr>
                <w:rFonts w:eastAsia="Times New Roman"/>
                <w:color w:val="00000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EF1B8C" w14:paraId="7352E6BB" w14:textId="77777777" w:rsidTr="006A5E4C">
        <w:trPr>
          <w:trHeight w:val="414"/>
        </w:trPr>
        <w:tc>
          <w:tcPr>
            <w:tcW w:w="3047" w:type="dxa"/>
            <w:gridSpan w:val="2"/>
            <w:shd w:val="clear" w:color="auto" w:fill="FFFFFF"/>
            <w:vAlign w:val="center"/>
          </w:tcPr>
          <w:p w14:paraId="34121A6E" w14:textId="77777777" w:rsidR="00EF1B8C" w:rsidRDefault="00EF1B8C" w:rsidP="00EF1B8C">
            <w:pPr>
              <w:jc w:val="center"/>
              <w:rPr>
                <w:rFonts w:eastAsia="Times New Roman"/>
                <w:color w:val="00000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gridSpan w:val="2"/>
            <w:shd w:val="clear" w:color="auto" w:fill="FFFFFF"/>
            <w:vAlign w:val="center"/>
          </w:tcPr>
          <w:p w14:paraId="358CBD9C" w14:textId="77777777" w:rsidR="00EF1B8C" w:rsidRDefault="00EF1B8C" w:rsidP="00EF1B8C">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r w:rsidR="00EF1B8C" w14:paraId="0F575DC0" w14:textId="77777777" w:rsidTr="006A5E4C">
        <w:trPr>
          <w:trHeight w:val="414"/>
        </w:trPr>
        <w:tc>
          <w:tcPr>
            <w:tcW w:w="3047" w:type="dxa"/>
            <w:gridSpan w:val="2"/>
            <w:shd w:val="clear" w:color="auto" w:fill="FFFFFF"/>
            <w:vAlign w:val="center"/>
          </w:tcPr>
          <w:p w14:paraId="4E6A84B3" w14:textId="77777777" w:rsidR="00EF1B8C" w:rsidRDefault="00EF1B8C" w:rsidP="00EF1B8C">
            <w:pPr>
              <w:jc w:val="center"/>
              <w:rPr>
                <w:rFonts w:eastAsia="Times New Roman"/>
                <w:color w:val="7F7F7F" w:themeColor="text1" w:themeTint="8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gridSpan w:val="2"/>
            <w:shd w:val="clear" w:color="auto" w:fill="FFFFFF"/>
            <w:vAlign w:val="center"/>
          </w:tcPr>
          <w:p w14:paraId="6771AF1A" w14:textId="77777777" w:rsidR="00EF1B8C" w:rsidRDefault="00EF1B8C" w:rsidP="00EF1B8C">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r w:rsidR="004B664D" w:rsidRPr="00DF5B3F" w14:paraId="645E7D4E" w14:textId="77777777" w:rsidTr="0033646F">
        <w:trPr>
          <w:trHeight w:val="414"/>
        </w:trPr>
        <w:tc>
          <w:tcPr>
            <w:tcW w:w="1754" w:type="dxa"/>
            <w:shd w:val="clear" w:color="auto" w:fill="C5E0B3"/>
            <w:vAlign w:val="center"/>
          </w:tcPr>
          <w:p w14:paraId="645E7D45" w14:textId="1D20CCBB" w:rsidR="004B664D" w:rsidRDefault="004B664D" w:rsidP="004B664D">
            <w:pPr>
              <w:spacing w:after="0" w:line="276" w:lineRule="auto"/>
              <w:jc w:val="center"/>
              <w:rPr>
                <w:rFonts w:eastAsia="Times New Roman"/>
                <w:b/>
                <w:color w:val="000000"/>
                <w:lang w:eastAsia="es-MX"/>
              </w:rPr>
            </w:pPr>
            <w:r>
              <w:rPr>
                <w:rFonts w:eastAsia="Times New Roman"/>
                <w:b/>
                <w:color w:val="000000"/>
                <w:lang w:eastAsia="es-MX"/>
              </w:rPr>
              <w:t xml:space="preserve">Medidas referentes </w:t>
            </w:r>
            <w:r w:rsidR="006720B6">
              <w:rPr>
                <w:rFonts w:eastAsia="Times New Roman"/>
                <w:b/>
                <w:color w:val="000000"/>
                <w:lang w:eastAsia="es-MX"/>
              </w:rPr>
              <w:t xml:space="preserve">a </w:t>
            </w:r>
            <w:r w:rsidR="00C830FE">
              <w:rPr>
                <w:rFonts w:eastAsia="Times New Roman"/>
                <w:b/>
                <w:color w:val="000000"/>
                <w:lang w:eastAsia="es-MX"/>
              </w:rPr>
              <w:t>I</w:t>
            </w:r>
            <w:r w:rsidR="006720B6">
              <w:rPr>
                <w:rFonts w:eastAsia="Times New Roman"/>
                <w:b/>
                <w:color w:val="000000"/>
                <w:lang w:eastAsia="es-MX"/>
              </w:rPr>
              <w:t>nformación</w:t>
            </w:r>
          </w:p>
          <w:p w14:paraId="645E7D46" w14:textId="77777777" w:rsidR="00CA486F" w:rsidRDefault="00CA486F" w:rsidP="0033646F">
            <w:pPr>
              <w:spacing w:after="0" w:line="276" w:lineRule="auto"/>
              <w:jc w:val="center"/>
              <w:rPr>
                <w:rFonts w:eastAsia="Times New Roman"/>
                <w:b/>
                <w:color w:val="000000"/>
                <w:lang w:eastAsia="es-MX"/>
              </w:rPr>
            </w:pPr>
          </w:p>
          <w:p w14:paraId="645E7D47" w14:textId="1BFB296B" w:rsidR="00C01ABF" w:rsidRDefault="0033646F" w:rsidP="0033646F">
            <w:pPr>
              <w:spacing w:after="0" w:line="276" w:lineRule="auto"/>
              <w:jc w:val="center"/>
              <w:rPr>
                <w:rFonts w:eastAsia="Times New Roman"/>
                <w:b/>
                <w:color w:val="000000"/>
                <w:lang w:eastAsia="es-MX"/>
              </w:rPr>
            </w:pPr>
            <w:r>
              <w:rPr>
                <w:rFonts w:eastAsia="Times New Roman"/>
                <w:b/>
                <w:color w:val="000000"/>
                <w:lang w:eastAsia="es-MX"/>
              </w:rPr>
              <w:t>Anexo</w:t>
            </w:r>
            <w:r w:rsidR="006720B6">
              <w:rPr>
                <w:rFonts w:eastAsia="Times New Roman"/>
                <w:b/>
                <w:color w:val="000000"/>
                <w:lang w:eastAsia="es-MX"/>
              </w:rPr>
              <w:t xml:space="preserve"> </w:t>
            </w:r>
            <w:r>
              <w:rPr>
                <w:rFonts w:eastAsia="Times New Roman"/>
                <w:b/>
                <w:color w:val="000000"/>
                <w:lang w:eastAsia="es-MX"/>
              </w:rPr>
              <w:t>2:  26, 27, 42</w:t>
            </w:r>
            <w:r w:rsidR="006720B6">
              <w:rPr>
                <w:rFonts w:eastAsia="Times New Roman"/>
                <w:b/>
                <w:color w:val="000000"/>
                <w:lang w:eastAsia="es-MX"/>
              </w:rPr>
              <w:t xml:space="preserve">, </w:t>
            </w:r>
            <w:r w:rsidR="00EB1FFA">
              <w:rPr>
                <w:rFonts w:eastAsia="Times New Roman"/>
                <w:b/>
                <w:color w:val="000000"/>
                <w:lang w:eastAsia="es-MX"/>
              </w:rPr>
              <w:t xml:space="preserve">44, </w:t>
            </w:r>
            <w:r w:rsidR="006720B6">
              <w:rPr>
                <w:rFonts w:eastAsia="Times New Roman"/>
                <w:b/>
                <w:color w:val="000000"/>
                <w:lang w:eastAsia="es-MX"/>
              </w:rPr>
              <w:t>54</w:t>
            </w:r>
            <w:r>
              <w:rPr>
                <w:rFonts w:eastAsia="Times New Roman"/>
                <w:b/>
                <w:color w:val="000000"/>
                <w:lang w:eastAsia="es-MX"/>
              </w:rPr>
              <w:t xml:space="preserve"> y 68.     </w:t>
            </w:r>
          </w:p>
          <w:p w14:paraId="645E7D48" w14:textId="7E6300F1" w:rsidR="0033646F" w:rsidRPr="0033646F" w:rsidRDefault="0033646F" w:rsidP="0033646F">
            <w:pPr>
              <w:spacing w:after="0" w:line="276" w:lineRule="auto"/>
              <w:jc w:val="center"/>
              <w:rPr>
                <w:rFonts w:eastAsia="Times New Roman"/>
                <w:b/>
                <w:color w:val="000000"/>
                <w:lang w:eastAsia="es-MX"/>
              </w:rPr>
            </w:pPr>
            <w:r>
              <w:rPr>
                <w:rFonts w:eastAsia="Times New Roman"/>
                <w:b/>
                <w:color w:val="000000"/>
                <w:lang w:eastAsia="es-MX"/>
              </w:rPr>
              <w:t>Anexo</w:t>
            </w:r>
            <w:r w:rsidR="006720B6">
              <w:rPr>
                <w:rFonts w:eastAsia="Times New Roman"/>
                <w:b/>
                <w:color w:val="000000"/>
                <w:lang w:eastAsia="es-MX"/>
              </w:rPr>
              <w:t xml:space="preserve"> </w:t>
            </w:r>
            <w:r>
              <w:rPr>
                <w:rFonts w:eastAsia="Times New Roman"/>
                <w:b/>
                <w:color w:val="000000"/>
                <w:lang w:eastAsia="es-MX"/>
              </w:rPr>
              <w:t xml:space="preserve">3: </w:t>
            </w:r>
            <w:r w:rsidRPr="0033646F">
              <w:rPr>
                <w:rFonts w:eastAsia="Times New Roman"/>
                <w:b/>
                <w:color w:val="000000"/>
                <w:lang w:eastAsia="es-MX"/>
              </w:rPr>
              <w:t>16, 17</w:t>
            </w:r>
            <w:r>
              <w:rPr>
                <w:rFonts w:eastAsia="Times New Roman"/>
                <w:b/>
                <w:color w:val="000000"/>
                <w:lang w:eastAsia="es-MX"/>
              </w:rPr>
              <w:t>, 18</w:t>
            </w:r>
            <w:r w:rsidR="006720B6">
              <w:rPr>
                <w:rFonts w:eastAsia="Times New Roman"/>
                <w:b/>
                <w:color w:val="000000"/>
                <w:lang w:eastAsia="es-MX"/>
              </w:rPr>
              <w:t xml:space="preserve">, 19, </w:t>
            </w:r>
            <w:r w:rsidR="00EB1FFA">
              <w:rPr>
                <w:rFonts w:eastAsia="Times New Roman"/>
                <w:b/>
                <w:color w:val="000000"/>
                <w:lang w:eastAsia="es-MX"/>
              </w:rPr>
              <w:t xml:space="preserve">20, </w:t>
            </w:r>
            <w:r w:rsidRPr="0033646F">
              <w:rPr>
                <w:rFonts w:eastAsia="Times New Roman"/>
                <w:b/>
                <w:color w:val="000000"/>
                <w:lang w:eastAsia="es-MX"/>
              </w:rPr>
              <w:t>21</w:t>
            </w:r>
            <w:r w:rsidR="006720B6">
              <w:rPr>
                <w:rFonts w:eastAsia="Times New Roman"/>
                <w:b/>
                <w:color w:val="000000"/>
                <w:lang w:eastAsia="es-MX"/>
              </w:rPr>
              <w:t>, 30, 31 y 35</w:t>
            </w:r>
            <w:r>
              <w:rPr>
                <w:rFonts w:eastAsia="Times New Roman"/>
                <w:b/>
                <w:color w:val="000000"/>
                <w:lang w:eastAsia="es-MX"/>
              </w:rPr>
              <w:t>.</w:t>
            </w:r>
          </w:p>
          <w:p w14:paraId="645E7D49" w14:textId="77777777" w:rsidR="0033646F" w:rsidRDefault="0033646F" w:rsidP="004B664D">
            <w:pPr>
              <w:spacing w:after="0" w:line="276" w:lineRule="auto"/>
              <w:jc w:val="center"/>
              <w:rPr>
                <w:rFonts w:eastAsia="Times New Roman"/>
                <w:b/>
                <w:color w:val="000000"/>
                <w:lang w:eastAsia="es-MX"/>
              </w:rPr>
            </w:pPr>
          </w:p>
        </w:tc>
        <w:tc>
          <w:tcPr>
            <w:tcW w:w="6887" w:type="dxa"/>
            <w:gridSpan w:val="3"/>
            <w:shd w:val="clear" w:color="auto" w:fill="C5E0B3"/>
            <w:vAlign w:val="center"/>
          </w:tcPr>
          <w:p w14:paraId="645E7D4A" w14:textId="77777777" w:rsidR="004B664D" w:rsidRPr="00F40A71" w:rsidRDefault="004B664D" w:rsidP="004B664D">
            <w:pPr>
              <w:rPr>
                <w:rFonts w:eastAsia="Times New Roman"/>
                <w:b/>
                <w:color w:val="000000"/>
                <w:lang w:eastAsia="es-MX"/>
              </w:rPr>
            </w:pPr>
            <w:r>
              <w:rPr>
                <w:rFonts w:eastAsia="Times New Roman"/>
                <w:b/>
                <w:color w:val="000000"/>
                <w:lang w:eastAsia="es-MX"/>
              </w:rPr>
              <w:t xml:space="preserve">Objetivos </w:t>
            </w:r>
            <w:r w:rsidR="00220DF9">
              <w:rPr>
                <w:rFonts w:eastAsia="Times New Roman"/>
                <w:b/>
                <w:color w:val="000000"/>
                <w:lang w:eastAsia="es-MX"/>
              </w:rPr>
              <w:t>generales:</w:t>
            </w:r>
          </w:p>
          <w:p w14:paraId="645E7D4B" w14:textId="77777777" w:rsidR="00E6369E" w:rsidRDefault="00E6369E" w:rsidP="00FA1443">
            <w:pPr>
              <w:numPr>
                <w:ilvl w:val="0"/>
                <w:numId w:val="22"/>
              </w:numPr>
              <w:spacing w:after="0"/>
              <w:rPr>
                <w:rFonts w:eastAsia="Times New Roman"/>
                <w:color w:val="000000"/>
                <w:lang w:eastAsia="es-MX"/>
              </w:rPr>
            </w:pPr>
            <w:r w:rsidRPr="009649BB">
              <w:rPr>
                <w:rFonts w:eastAsia="Times New Roman"/>
                <w:color w:val="000000"/>
                <w:lang w:eastAsia="es-MX"/>
              </w:rPr>
              <w:t>Reducir asimetrías de información</w:t>
            </w:r>
            <w:r w:rsidR="00E44733">
              <w:rPr>
                <w:rFonts w:eastAsia="Times New Roman"/>
                <w:color w:val="000000"/>
                <w:lang w:eastAsia="es-MX"/>
              </w:rPr>
              <w:t>.</w:t>
            </w:r>
          </w:p>
          <w:p w14:paraId="645E7D4C" w14:textId="77777777" w:rsidR="00E44733" w:rsidRDefault="00E44733" w:rsidP="00FA1443">
            <w:pPr>
              <w:numPr>
                <w:ilvl w:val="0"/>
                <w:numId w:val="22"/>
              </w:numPr>
              <w:spacing w:after="0"/>
              <w:rPr>
                <w:rFonts w:eastAsia="Times New Roman"/>
                <w:color w:val="000000"/>
                <w:lang w:eastAsia="es-MX"/>
              </w:rPr>
            </w:pPr>
            <w:r>
              <w:rPr>
                <w:rFonts w:eastAsia="Times New Roman"/>
                <w:color w:val="000000"/>
                <w:lang w:eastAsia="es-MX"/>
              </w:rPr>
              <w:t>Reducir costos de transacción.</w:t>
            </w:r>
          </w:p>
          <w:p w14:paraId="645E7D4D" w14:textId="77777777" w:rsidR="004B664D" w:rsidRPr="00DF67B4" w:rsidRDefault="004B664D" w:rsidP="00FA1443">
            <w:pPr>
              <w:spacing w:after="0"/>
              <w:rPr>
                <w:rFonts w:eastAsia="Times New Roman"/>
                <w:b/>
                <w:color w:val="000000"/>
                <w:lang w:eastAsia="es-MX"/>
              </w:rPr>
            </w:pPr>
          </w:p>
        </w:tc>
      </w:tr>
      <w:tr w:rsidR="004B664D" w:rsidRPr="00DF5B3F" w14:paraId="645E7D54" w14:textId="77777777" w:rsidTr="00090F4F">
        <w:trPr>
          <w:trHeight w:val="414"/>
        </w:trPr>
        <w:tc>
          <w:tcPr>
            <w:tcW w:w="8641" w:type="dxa"/>
            <w:gridSpan w:val="4"/>
            <w:shd w:val="clear" w:color="auto" w:fill="FFFFFF"/>
            <w:vAlign w:val="center"/>
          </w:tcPr>
          <w:p w14:paraId="645E7D4F" w14:textId="77777777" w:rsidR="00E0044F" w:rsidRPr="00F40A71" w:rsidRDefault="00E0044F" w:rsidP="00E0044F">
            <w:pPr>
              <w:rPr>
                <w:b/>
              </w:rPr>
            </w:pPr>
            <w:r w:rsidRPr="00CA486F">
              <w:rPr>
                <w:b/>
              </w:rPr>
              <w:t>Contexto:</w:t>
            </w:r>
          </w:p>
          <w:p w14:paraId="645E7D50" w14:textId="77777777" w:rsidR="00E0044F" w:rsidRPr="00CA486F" w:rsidRDefault="00E0044F" w:rsidP="00E0044F">
            <w:r>
              <w:t>La información es un elemento indispensable para el buen funcionamiento de un mercado; entre mayor información esté disponible entre oferentes y demandantes</w:t>
            </w:r>
            <w:r w:rsidR="002D6585">
              <w:t>,</w:t>
            </w:r>
            <w:r>
              <w:t xml:space="preserve"> mejores decisiones de intercambio resultarán entre los agentes económicos. En el caso de los concesionarios de redes públicas de telecomunicaciones que deseen ofertar servicios al usuario final, es necesario conocer con la mayor certeza posible los insumos disponibles y tener un medio eficiente para realizar solicitudes y dar seguimiento a la prestación de los servicios, entre otros elementos. En el caso del regulador, este también requiere acceso a información relativa a la prestación tanto de servicios minoristas como </w:t>
            </w:r>
            <w:r w:rsidRPr="00CA486F">
              <w:t>mayoristas para la mejor toma de decisiones.</w:t>
            </w:r>
          </w:p>
          <w:p w14:paraId="645E7D51" w14:textId="77777777" w:rsidR="00E0044F" w:rsidRDefault="00E0044F" w:rsidP="00E0044F">
            <w:pPr>
              <w:rPr>
                <w:b/>
              </w:rPr>
            </w:pPr>
            <w:r w:rsidRPr="00CA486F">
              <w:rPr>
                <w:b/>
              </w:rPr>
              <w:t>Resumen d</w:t>
            </w:r>
            <w:r>
              <w:rPr>
                <w:b/>
              </w:rPr>
              <w:t>e las medidas impuestas:</w:t>
            </w:r>
          </w:p>
          <w:p w14:paraId="645E7D52" w14:textId="77777777" w:rsidR="00E0044F" w:rsidRPr="00BD71EA" w:rsidRDefault="00E0044F" w:rsidP="00E0044F">
            <w:r w:rsidRPr="00BD71EA">
              <w:t xml:space="preserve">El Instituto impuso medidas al AEPT referentes a poner a disposición del Instituto y </w:t>
            </w:r>
            <w:r>
              <w:t xml:space="preserve">de </w:t>
            </w:r>
            <w:r w:rsidRPr="00BD71EA">
              <w:t xml:space="preserve">los </w:t>
            </w:r>
            <w:r>
              <w:t>CS un SEG</w:t>
            </w:r>
            <w:r w:rsidRPr="00BD71EA">
              <w:t xml:space="preserve">, </w:t>
            </w:r>
            <w:r>
              <w:t xml:space="preserve">con información relativa a su red y como medio para solicitar los servicios mayoristas y dar seguimiento a su provisión, normativas y criterios técnicos, así como asociadas con información de planes comerciales, tráficos y líneas, </w:t>
            </w:r>
            <w:r w:rsidRPr="00BD71EA">
              <w:t xml:space="preserve">la información relativa a sus instalaciones y criterios técnicos para </w:t>
            </w:r>
            <w:r w:rsidRPr="00011A76">
              <w:t>el acceso a la infraestructura</w:t>
            </w:r>
            <w:r>
              <w:t>, entre otras</w:t>
            </w:r>
            <w:r w:rsidRPr="00011A76">
              <w:t>.</w:t>
            </w:r>
          </w:p>
          <w:p w14:paraId="645E7D53" w14:textId="77777777" w:rsidR="004B664D" w:rsidRPr="00F40A71" w:rsidRDefault="00E0044F" w:rsidP="00767118">
            <w:r w:rsidRPr="00BD71EA">
              <w:t>A través de la Resolución Bienal</w:t>
            </w:r>
            <w:r>
              <w:t xml:space="preserve"> de Telecomunicaciones </w:t>
            </w:r>
            <w:r>
              <w:rPr>
                <w:rFonts w:eastAsia="Times New Roman"/>
                <w:color w:val="000000"/>
                <w:lang w:eastAsia="es-MX"/>
              </w:rPr>
              <w:t xml:space="preserve">se hicieron adecuaciones </w:t>
            </w:r>
            <w:r w:rsidR="00454BD4">
              <w:rPr>
                <w:rFonts w:eastAsia="Times New Roman"/>
                <w:color w:val="000000"/>
                <w:lang w:eastAsia="es-MX"/>
              </w:rPr>
              <w:t xml:space="preserve"> relacionadas con información y características de operación del SEG (por ej., mapas de cobertura, tipo y calidad de la información, notificaciones y alta de inventarios</w:t>
            </w:r>
            <w:r w:rsidR="00767118">
              <w:rPr>
                <w:rFonts w:eastAsia="Times New Roman"/>
                <w:color w:val="000000"/>
                <w:lang w:eastAsia="es-MX"/>
              </w:rPr>
              <w:t>), entre otras</w:t>
            </w:r>
            <w:r>
              <w:rPr>
                <w:rFonts w:eastAsia="Times New Roman"/>
                <w:color w:val="000000"/>
                <w:lang w:eastAsia="es-MX"/>
              </w:rPr>
              <w:t>.</w:t>
            </w:r>
          </w:p>
        </w:tc>
      </w:tr>
      <w:tr w:rsidR="004B664D" w:rsidRPr="00DF5B3F" w14:paraId="645E7D56" w14:textId="77777777" w:rsidTr="00090F4F">
        <w:trPr>
          <w:trHeight w:val="414"/>
        </w:trPr>
        <w:tc>
          <w:tcPr>
            <w:tcW w:w="8641" w:type="dxa"/>
            <w:gridSpan w:val="4"/>
            <w:shd w:val="clear" w:color="auto" w:fill="FFFFFF"/>
            <w:vAlign w:val="center"/>
          </w:tcPr>
          <w:p w14:paraId="645E7D55" w14:textId="679126DB"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Cuáles son los efecto</w:t>
            </w:r>
            <w:r w:rsidR="002D6585">
              <w:rPr>
                <w:rFonts w:eastAsia="Times New Roman"/>
                <w:b/>
                <w:color w:val="000000"/>
                <w:szCs w:val="20"/>
                <w:lang w:eastAsia="es-MX"/>
              </w:rPr>
              <w:t>s que las medidas referentes a Información</w:t>
            </w:r>
            <w:r>
              <w:rPr>
                <w:rFonts w:eastAsia="Times New Roman"/>
                <w:b/>
                <w:color w:val="000000"/>
                <w:szCs w:val="20"/>
                <w:lang w:eastAsia="es-MX"/>
              </w:rPr>
              <w:t xml:space="preserve"> han generado</w:t>
            </w:r>
            <w:r w:rsidR="00F61086">
              <w:rPr>
                <w:rFonts w:eastAsia="Times New Roman"/>
                <w:b/>
                <w:color w:val="000000"/>
                <w:szCs w:val="20"/>
                <w:lang w:eastAsia="es-MX"/>
              </w:rPr>
              <w:t xml:space="preserve"> en el sector de telecomunicaciones</w:t>
            </w:r>
            <w:r>
              <w:rPr>
                <w:rFonts w:eastAsia="Times New Roman"/>
                <w:b/>
                <w:color w:val="000000"/>
                <w:szCs w:val="20"/>
                <w:lang w:eastAsia="es-MX"/>
              </w:rPr>
              <w:t>? ¿</w:t>
            </w:r>
            <w:r w:rsidR="004A7D7B">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B664D" w:rsidRPr="00DF5B3F" w14:paraId="645E7D58" w14:textId="77777777" w:rsidTr="00090F4F">
        <w:trPr>
          <w:trHeight w:val="414"/>
        </w:trPr>
        <w:tc>
          <w:tcPr>
            <w:tcW w:w="8641" w:type="dxa"/>
            <w:gridSpan w:val="4"/>
            <w:shd w:val="clear" w:color="auto" w:fill="FFFFFF"/>
            <w:vAlign w:val="center"/>
          </w:tcPr>
          <w:p w14:paraId="645E7D57"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5B" w14:textId="77777777" w:rsidTr="00090F4F">
        <w:trPr>
          <w:trHeight w:val="414"/>
        </w:trPr>
        <w:tc>
          <w:tcPr>
            <w:tcW w:w="4320" w:type="dxa"/>
            <w:gridSpan w:val="3"/>
            <w:shd w:val="clear" w:color="auto" w:fill="FFFFFF"/>
            <w:vAlign w:val="center"/>
          </w:tcPr>
          <w:p w14:paraId="645E7D59"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5A"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5B3F" w14:paraId="645E7D5D" w14:textId="77777777" w:rsidTr="00090F4F">
        <w:trPr>
          <w:trHeight w:val="414"/>
        </w:trPr>
        <w:tc>
          <w:tcPr>
            <w:tcW w:w="8641" w:type="dxa"/>
            <w:gridSpan w:val="4"/>
            <w:shd w:val="clear" w:color="auto" w:fill="FFFFFF"/>
            <w:vAlign w:val="center"/>
          </w:tcPr>
          <w:p w14:paraId="645E7D5C" w14:textId="0143DC84"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4A7D7B">
              <w:rPr>
                <w:rFonts w:eastAsia="Times New Roman"/>
                <w:b/>
                <w:color w:val="000000"/>
                <w:szCs w:val="20"/>
                <w:lang w:eastAsia="es-MX"/>
              </w:rPr>
              <w:t>En qué grado considera</w:t>
            </w:r>
            <w:r w:rsidR="004A7D7B"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p>
        </w:tc>
      </w:tr>
      <w:tr w:rsidR="004B664D" w:rsidRPr="00DF5B3F" w14:paraId="645E7D5F" w14:textId="77777777" w:rsidTr="00090F4F">
        <w:trPr>
          <w:trHeight w:val="414"/>
        </w:trPr>
        <w:tc>
          <w:tcPr>
            <w:tcW w:w="8641" w:type="dxa"/>
            <w:gridSpan w:val="4"/>
            <w:shd w:val="clear" w:color="auto" w:fill="FFFFFF"/>
            <w:vAlign w:val="center"/>
          </w:tcPr>
          <w:p w14:paraId="645E7D5E"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62" w14:textId="77777777" w:rsidTr="00090F4F">
        <w:trPr>
          <w:trHeight w:val="414"/>
        </w:trPr>
        <w:tc>
          <w:tcPr>
            <w:tcW w:w="4320" w:type="dxa"/>
            <w:gridSpan w:val="3"/>
            <w:shd w:val="clear" w:color="auto" w:fill="FFFFFF"/>
            <w:vAlign w:val="center"/>
          </w:tcPr>
          <w:p w14:paraId="645E7D60"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61"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4B664D" w:rsidRPr="00DF5B3F" w14:paraId="645E7D64" w14:textId="77777777" w:rsidTr="00090F4F">
        <w:trPr>
          <w:trHeight w:val="414"/>
        </w:trPr>
        <w:tc>
          <w:tcPr>
            <w:tcW w:w="8641" w:type="dxa"/>
            <w:gridSpan w:val="4"/>
            <w:shd w:val="clear" w:color="auto" w:fill="FFFFFF"/>
            <w:vAlign w:val="center"/>
          </w:tcPr>
          <w:p w14:paraId="645E7D63"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66" w14:textId="77777777" w:rsidTr="00090F4F">
        <w:trPr>
          <w:trHeight w:val="414"/>
        </w:trPr>
        <w:tc>
          <w:tcPr>
            <w:tcW w:w="8641" w:type="dxa"/>
            <w:gridSpan w:val="4"/>
            <w:shd w:val="clear" w:color="auto" w:fill="FFFFFF"/>
            <w:vAlign w:val="center"/>
          </w:tcPr>
          <w:p w14:paraId="645E7D65" w14:textId="7C62BDDA" w:rsidR="004B664D" w:rsidRDefault="004B664D"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4A7D7B">
              <w:rPr>
                <w:rFonts w:eastAsia="Times New Roman"/>
                <w:b/>
                <w:color w:val="000000"/>
                <w:szCs w:val="20"/>
                <w:lang w:eastAsia="es-MX"/>
              </w:rPr>
              <w:t>En qué grado considera</w:t>
            </w:r>
            <w:r w:rsidR="004A7D7B"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F61086">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B327E2">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B664D" w:rsidRPr="00DF5B3F" w14:paraId="645E7D68" w14:textId="77777777" w:rsidTr="00090F4F">
        <w:trPr>
          <w:trHeight w:val="414"/>
        </w:trPr>
        <w:tc>
          <w:tcPr>
            <w:tcW w:w="8641" w:type="dxa"/>
            <w:gridSpan w:val="4"/>
            <w:shd w:val="clear" w:color="auto" w:fill="FFFFFF"/>
            <w:vAlign w:val="center"/>
          </w:tcPr>
          <w:p w14:paraId="645E7D67"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6B" w14:textId="77777777" w:rsidTr="00090F4F">
        <w:trPr>
          <w:trHeight w:val="414"/>
        </w:trPr>
        <w:tc>
          <w:tcPr>
            <w:tcW w:w="4320" w:type="dxa"/>
            <w:gridSpan w:val="3"/>
            <w:shd w:val="clear" w:color="auto" w:fill="FFFFFF"/>
            <w:vAlign w:val="center"/>
          </w:tcPr>
          <w:p w14:paraId="645E7D69"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6A"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EF1B8C" w:rsidRPr="0038337E" w14:paraId="1559A1FF" w14:textId="77777777" w:rsidTr="006A5E4C">
        <w:trPr>
          <w:trHeight w:val="414"/>
        </w:trPr>
        <w:tc>
          <w:tcPr>
            <w:tcW w:w="8641" w:type="dxa"/>
            <w:gridSpan w:val="4"/>
            <w:shd w:val="clear" w:color="auto" w:fill="FFFFFF"/>
            <w:vAlign w:val="center"/>
          </w:tcPr>
          <w:p w14:paraId="7A820FC7" w14:textId="68AE525A" w:rsidR="00EF1B8C" w:rsidRDefault="00AC398C" w:rsidP="00EF1B8C">
            <w:pPr>
              <w:rPr>
                <w:rFonts w:eastAsia="Times New Roman"/>
                <w:b/>
                <w:color w:val="000000"/>
                <w:szCs w:val="20"/>
                <w:lang w:eastAsia="es-MX"/>
              </w:rPr>
            </w:pPr>
            <w:r>
              <w:rPr>
                <w:rFonts w:eastAsia="Times New Roman"/>
                <w:b/>
                <w:color w:val="000000"/>
                <w:szCs w:val="20"/>
                <w:lang w:eastAsia="es-MX"/>
              </w:rPr>
              <w:t>En caso de contar</w:t>
            </w:r>
            <w:r w:rsidR="00EF1B8C" w:rsidRPr="0038337E">
              <w:rPr>
                <w:rFonts w:eastAsia="Times New Roman"/>
                <w:b/>
                <w:color w:val="000000"/>
                <w:szCs w:val="20"/>
                <w:lang w:eastAsia="es-MX"/>
              </w:rPr>
              <w:t xml:space="preserve"> con una propuesta </w:t>
            </w:r>
            <w:r w:rsidR="00EF1B8C">
              <w:rPr>
                <w:rFonts w:eastAsia="Times New Roman"/>
                <w:b/>
                <w:color w:val="000000"/>
                <w:szCs w:val="20"/>
                <w:lang w:eastAsia="es-MX"/>
              </w:rPr>
              <w:t>específica</w:t>
            </w:r>
            <w:r w:rsidR="00EF1B8C" w:rsidRPr="0038337E">
              <w:rPr>
                <w:rFonts w:eastAsia="Times New Roman"/>
                <w:b/>
                <w:color w:val="000000"/>
                <w:szCs w:val="20"/>
                <w:lang w:eastAsia="es-MX"/>
              </w:rPr>
              <w:t xml:space="preserve"> sobre </w:t>
            </w:r>
            <w:r w:rsidR="00EF1B8C">
              <w:rPr>
                <w:rFonts w:eastAsia="Times New Roman"/>
                <w:b/>
                <w:color w:val="000000"/>
                <w:szCs w:val="20"/>
                <w:lang w:eastAsia="es-MX"/>
              </w:rPr>
              <w:t xml:space="preserve">alguna de </w:t>
            </w:r>
            <w:r w:rsidR="00EF1B8C" w:rsidRPr="0038337E">
              <w:rPr>
                <w:rFonts w:eastAsia="Times New Roman"/>
                <w:b/>
                <w:color w:val="000000"/>
                <w:szCs w:val="20"/>
                <w:lang w:eastAsia="es-MX"/>
              </w:rPr>
              <w:t xml:space="preserve">las medidas relacionadas con </w:t>
            </w:r>
            <w:r w:rsidR="00C7426B">
              <w:rPr>
                <w:rFonts w:eastAsia="Times New Roman"/>
                <w:b/>
                <w:color w:val="000000"/>
                <w:szCs w:val="20"/>
                <w:lang w:eastAsia="es-MX"/>
              </w:rPr>
              <w:t>i</w:t>
            </w:r>
            <w:r w:rsidR="00325847">
              <w:rPr>
                <w:rFonts w:eastAsia="Times New Roman"/>
                <w:b/>
                <w:color w:val="000000"/>
                <w:szCs w:val="20"/>
                <w:lang w:eastAsia="es-MX"/>
              </w:rPr>
              <w:t>nformación</w:t>
            </w:r>
            <w:r w:rsidR="00E75B64">
              <w:rPr>
                <w:rFonts w:eastAsia="Times New Roman"/>
                <w:b/>
                <w:color w:val="000000"/>
                <w:szCs w:val="20"/>
                <w:lang w:eastAsia="es-MX"/>
              </w:rPr>
              <w:t>, deber</w:t>
            </w:r>
            <w:r w:rsidR="00322499">
              <w:rPr>
                <w:rFonts w:eastAsia="Times New Roman"/>
                <w:b/>
                <w:color w:val="000000"/>
                <w:szCs w:val="20"/>
                <w:lang w:eastAsia="es-MX"/>
              </w:rPr>
              <w:t>á indicarla</w:t>
            </w:r>
            <w:r w:rsidR="00E75B64">
              <w:rPr>
                <w:rFonts w:eastAsia="Times New Roman"/>
                <w:b/>
                <w:color w:val="000000"/>
                <w:szCs w:val="20"/>
                <w:lang w:eastAsia="es-MX"/>
              </w:rPr>
              <w:t>.</w:t>
            </w:r>
          </w:p>
          <w:p w14:paraId="0DABDD68" w14:textId="519580A7" w:rsidR="00EF1B8C" w:rsidRPr="0038337E" w:rsidRDefault="000228C4" w:rsidP="00EF1B8C">
            <w:pPr>
              <w:rPr>
                <w:rFonts w:eastAsia="Times New Roman"/>
                <w:color w:val="00000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EF1B8C" w14:paraId="14307179" w14:textId="77777777" w:rsidTr="006A5E4C">
        <w:trPr>
          <w:trHeight w:val="414"/>
        </w:trPr>
        <w:tc>
          <w:tcPr>
            <w:tcW w:w="3047" w:type="dxa"/>
            <w:gridSpan w:val="2"/>
            <w:shd w:val="clear" w:color="auto" w:fill="FFFFFF"/>
            <w:vAlign w:val="center"/>
          </w:tcPr>
          <w:p w14:paraId="2AA8647E" w14:textId="77777777" w:rsidR="00EF1B8C" w:rsidRDefault="00EF1B8C" w:rsidP="00EF1B8C">
            <w:pPr>
              <w:jc w:val="center"/>
              <w:rPr>
                <w:rFonts w:eastAsia="Times New Roman"/>
                <w:color w:val="00000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gridSpan w:val="2"/>
            <w:shd w:val="clear" w:color="auto" w:fill="FFFFFF"/>
            <w:vAlign w:val="center"/>
          </w:tcPr>
          <w:p w14:paraId="1923F9BC" w14:textId="77777777" w:rsidR="00EF1B8C" w:rsidRDefault="00EF1B8C" w:rsidP="00EF1B8C">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r w:rsidR="00EF1B8C" w14:paraId="13B79121" w14:textId="77777777" w:rsidTr="006A5E4C">
        <w:trPr>
          <w:trHeight w:val="414"/>
        </w:trPr>
        <w:tc>
          <w:tcPr>
            <w:tcW w:w="3047" w:type="dxa"/>
            <w:gridSpan w:val="2"/>
            <w:shd w:val="clear" w:color="auto" w:fill="FFFFFF"/>
            <w:vAlign w:val="center"/>
          </w:tcPr>
          <w:p w14:paraId="217DF012" w14:textId="77777777" w:rsidR="00EF1B8C" w:rsidRDefault="00EF1B8C" w:rsidP="00EF1B8C">
            <w:pPr>
              <w:jc w:val="center"/>
              <w:rPr>
                <w:rFonts w:eastAsia="Times New Roman"/>
                <w:color w:val="7F7F7F" w:themeColor="text1" w:themeTint="8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gridSpan w:val="2"/>
            <w:shd w:val="clear" w:color="auto" w:fill="FFFFFF"/>
            <w:vAlign w:val="center"/>
          </w:tcPr>
          <w:p w14:paraId="776FB675" w14:textId="77777777" w:rsidR="00EF1B8C" w:rsidRDefault="00EF1B8C" w:rsidP="00EF1B8C">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r w:rsidR="004B664D" w:rsidRPr="00DF5B3F" w14:paraId="645E7D74" w14:textId="77777777" w:rsidTr="00CA486F">
        <w:trPr>
          <w:trHeight w:val="290"/>
        </w:trPr>
        <w:tc>
          <w:tcPr>
            <w:tcW w:w="1754" w:type="dxa"/>
            <w:shd w:val="clear" w:color="auto" w:fill="C5E0B3"/>
            <w:vAlign w:val="center"/>
          </w:tcPr>
          <w:p w14:paraId="645E7D6C" w14:textId="438A67E2" w:rsidR="004B664D" w:rsidRDefault="004B664D" w:rsidP="00CA486F">
            <w:pPr>
              <w:spacing w:after="0" w:line="276" w:lineRule="auto"/>
              <w:jc w:val="center"/>
              <w:rPr>
                <w:rFonts w:eastAsia="Times New Roman"/>
                <w:b/>
                <w:color w:val="000000"/>
                <w:lang w:eastAsia="es-MX"/>
              </w:rPr>
            </w:pPr>
            <w:r w:rsidRPr="00D26916">
              <w:rPr>
                <w:rFonts w:eastAsia="Times New Roman"/>
                <w:b/>
                <w:color w:val="000000"/>
                <w:lang w:eastAsia="es-MX"/>
              </w:rPr>
              <w:t xml:space="preserve">Medidas referentes a </w:t>
            </w:r>
            <w:r w:rsidR="0038344C">
              <w:rPr>
                <w:rFonts w:eastAsia="Times New Roman"/>
                <w:b/>
                <w:color w:val="000000"/>
                <w:lang w:eastAsia="es-MX"/>
              </w:rPr>
              <w:t xml:space="preserve">Conductas y </w:t>
            </w:r>
            <w:r w:rsidR="002D6585">
              <w:rPr>
                <w:rFonts w:eastAsia="Times New Roman"/>
                <w:b/>
                <w:color w:val="000000"/>
                <w:lang w:eastAsia="es-MX"/>
              </w:rPr>
              <w:t xml:space="preserve">No </w:t>
            </w:r>
            <w:r w:rsidR="009F701D">
              <w:rPr>
                <w:rFonts w:eastAsia="Times New Roman"/>
                <w:b/>
                <w:color w:val="000000"/>
                <w:lang w:eastAsia="es-MX"/>
              </w:rPr>
              <w:t>Discriminación</w:t>
            </w:r>
          </w:p>
          <w:p w14:paraId="645E7D6D" w14:textId="77777777" w:rsidR="00CA486F" w:rsidRDefault="00CA486F" w:rsidP="00CA486F">
            <w:pPr>
              <w:spacing w:after="0" w:line="276" w:lineRule="auto"/>
              <w:jc w:val="center"/>
              <w:rPr>
                <w:rFonts w:eastAsia="Times New Roman"/>
                <w:b/>
                <w:color w:val="000000"/>
                <w:lang w:eastAsia="es-MX"/>
              </w:rPr>
            </w:pPr>
          </w:p>
          <w:p w14:paraId="645E7D6E" w14:textId="731A5D9C" w:rsidR="0033646F" w:rsidRDefault="00D94035" w:rsidP="00CA486F">
            <w:pPr>
              <w:spacing w:after="0" w:line="276" w:lineRule="auto"/>
              <w:jc w:val="center"/>
              <w:rPr>
                <w:rFonts w:eastAsia="Times New Roman"/>
                <w:b/>
                <w:color w:val="000000"/>
                <w:lang w:eastAsia="es-MX"/>
              </w:rPr>
            </w:pPr>
            <w:r w:rsidRPr="00D94035">
              <w:rPr>
                <w:rFonts w:eastAsia="Times New Roman"/>
                <w:b/>
                <w:color w:val="000000"/>
                <w:lang w:eastAsia="es-MX"/>
              </w:rPr>
              <w:t>Anexo 2: 35, 64</w:t>
            </w:r>
            <w:r w:rsidR="00EC0DED">
              <w:rPr>
                <w:rFonts w:eastAsia="Times New Roman"/>
                <w:b/>
                <w:color w:val="000000"/>
                <w:lang w:eastAsia="es-MX"/>
              </w:rPr>
              <w:t xml:space="preserve">, </w:t>
            </w:r>
            <w:r w:rsidRPr="00D94035">
              <w:rPr>
                <w:rFonts w:eastAsia="Times New Roman"/>
                <w:b/>
                <w:color w:val="000000"/>
                <w:lang w:eastAsia="es-MX"/>
              </w:rPr>
              <w:t>66</w:t>
            </w:r>
            <w:r w:rsidR="00EC0DED">
              <w:rPr>
                <w:rFonts w:eastAsia="Times New Roman"/>
                <w:b/>
                <w:color w:val="000000"/>
                <w:lang w:eastAsia="es-MX"/>
              </w:rPr>
              <w:t xml:space="preserve"> y 67</w:t>
            </w:r>
            <w:r>
              <w:rPr>
                <w:rFonts w:eastAsia="Times New Roman"/>
                <w:b/>
                <w:color w:val="000000"/>
                <w:lang w:eastAsia="es-MX"/>
              </w:rPr>
              <w:t>.</w:t>
            </w:r>
          </w:p>
          <w:p w14:paraId="645E7D6F" w14:textId="77777777" w:rsidR="0033646F" w:rsidRPr="00D26916" w:rsidRDefault="0033646F" w:rsidP="00CA486F">
            <w:pPr>
              <w:spacing w:after="0" w:line="276" w:lineRule="auto"/>
              <w:jc w:val="center"/>
              <w:rPr>
                <w:rFonts w:eastAsia="Times New Roman"/>
                <w:b/>
                <w:color w:val="000000"/>
                <w:lang w:eastAsia="es-MX"/>
              </w:rPr>
            </w:pPr>
            <w:r>
              <w:rPr>
                <w:rFonts w:eastAsia="Times New Roman"/>
                <w:b/>
                <w:color w:val="000000"/>
                <w:lang w:eastAsia="es-MX"/>
              </w:rPr>
              <w:t xml:space="preserve">Anexo 3: 7, 25, 27, </w:t>
            </w:r>
            <w:r w:rsidR="00F021C6">
              <w:rPr>
                <w:rFonts w:eastAsia="Times New Roman"/>
                <w:b/>
                <w:color w:val="000000"/>
                <w:lang w:eastAsia="es-MX"/>
              </w:rPr>
              <w:t>29, 32,</w:t>
            </w:r>
            <w:r>
              <w:rPr>
                <w:rFonts w:eastAsia="Times New Roman"/>
                <w:b/>
                <w:color w:val="000000"/>
                <w:lang w:eastAsia="es-MX"/>
              </w:rPr>
              <w:t xml:space="preserve"> 48</w:t>
            </w:r>
            <w:r w:rsidR="00EC0DED">
              <w:rPr>
                <w:rFonts w:eastAsia="Times New Roman"/>
                <w:b/>
                <w:color w:val="000000"/>
                <w:lang w:eastAsia="es-MX"/>
              </w:rPr>
              <w:t>, 49</w:t>
            </w:r>
            <w:r>
              <w:rPr>
                <w:rFonts w:eastAsia="Times New Roman"/>
                <w:b/>
                <w:color w:val="000000"/>
                <w:lang w:eastAsia="es-MX"/>
              </w:rPr>
              <w:t xml:space="preserve"> y</w:t>
            </w:r>
            <w:r w:rsidRPr="0033646F">
              <w:rPr>
                <w:rFonts w:eastAsia="Times New Roman"/>
                <w:b/>
                <w:color w:val="000000"/>
                <w:lang w:eastAsia="es-MX"/>
              </w:rPr>
              <w:t xml:space="preserve"> 50</w:t>
            </w:r>
            <w:r>
              <w:rPr>
                <w:rFonts w:eastAsia="Times New Roman"/>
                <w:b/>
                <w:color w:val="000000"/>
                <w:lang w:eastAsia="es-MX"/>
              </w:rPr>
              <w:t>.</w:t>
            </w:r>
          </w:p>
        </w:tc>
        <w:tc>
          <w:tcPr>
            <w:tcW w:w="6887" w:type="dxa"/>
            <w:gridSpan w:val="3"/>
            <w:shd w:val="clear" w:color="auto" w:fill="C5E0B3"/>
            <w:vAlign w:val="center"/>
          </w:tcPr>
          <w:p w14:paraId="645E7D70" w14:textId="77777777" w:rsidR="004B664D" w:rsidRPr="00DE1831" w:rsidRDefault="004B664D" w:rsidP="00FA1443">
            <w:pPr>
              <w:spacing w:after="0" w:line="276" w:lineRule="auto"/>
              <w:rPr>
                <w:rFonts w:eastAsia="Times New Roman"/>
                <w:b/>
                <w:color w:val="000000"/>
                <w:lang w:eastAsia="es-MX"/>
              </w:rPr>
            </w:pPr>
            <w:r>
              <w:rPr>
                <w:rFonts w:eastAsia="Times New Roman"/>
                <w:b/>
                <w:color w:val="000000"/>
                <w:lang w:eastAsia="es-MX"/>
              </w:rPr>
              <w:t xml:space="preserve">Objetivos </w:t>
            </w:r>
            <w:r w:rsidR="00220DF9">
              <w:rPr>
                <w:rFonts w:eastAsia="Times New Roman"/>
                <w:b/>
                <w:color w:val="000000"/>
                <w:lang w:eastAsia="es-MX"/>
              </w:rPr>
              <w:t>generales</w:t>
            </w:r>
            <w:r>
              <w:rPr>
                <w:rFonts w:eastAsia="Times New Roman"/>
                <w:b/>
                <w:color w:val="000000"/>
                <w:lang w:eastAsia="es-MX"/>
              </w:rPr>
              <w:t>:</w:t>
            </w:r>
          </w:p>
          <w:p w14:paraId="645E7D71" w14:textId="77777777" w:rsidR="00FF1C5A" w:rsidRPr="00FA1443" w:rsidRDefault="00205C60" w:rsidP="00EC0DED">
            <w:pPr>
              <w:numPr>
                <w:ilvl w:val="0"/>
                <w:numId w:val="23"/>
              </w:numPr>
              <w:spacing w:after="0" w:line="276" w:lineRule="auto"/>
              <w:rPr>
                <w:rFonts w:eastAsia="Times New Roman"/>
                <w:b/>
                <w:color w:val="000000"/>
                <w:lang w:eastAsia="es-MX"/>
              </w:rPr>
            </w:pPr>
            <w:r w:rsidRPr="00205C60">
              <w:t>Remediar y prevenir condiciones y conductas con efectos que no favorezcan la competencia y libre concurrencia</w:t>
            </w:r>
            <w:r w:rsidR="00E44733">
              <w:t>.</w:t>
            </w:r>
          </w:p>
          <w:p w14:paraId="645E7D73" w14:textId="0EC7BC18" w:rsidR="004B664D" w:rsidRPr="00DF67B4" w:rsidRDefault="00FF1C5A" w:rsidP="00194F9E">
            <w:pPr>
              <w:numPr>
                <w:ilvl w:val="0"/>
                <w:numId w:val="23"/>
              </w:numPr>
              <w:spacing w:after="0" w:line="276" w:lineRule="auto"/>
              <w:rPr>
                <w:rFonts w:eastAsia="Times New Roman"/>
                <w:b/>
                <w:color w:val="000000"/>
                <w:lang w:eastAsia="es-MX"/>
              </w:rPr>
            </w:pPr>
            <w:r>
              <w:t>Promover el acceso eficiente a servicios mayoristas.</w:t>
            </w:r>
            <w:r w:rsidRPr="00550A91" w:rsidDel="00550A91">
              <w:t xml:space="preserve"> </w:t>
            </w:r>
          </w:p>
        </w:tc>
      </w:tr>
      <w:tr w:rsidR="002D6585" w:rsidRPr="00DF5B3F" w14:paraId="645E7D7A" w14:textId="77777777" w:rsidTr="00090F4F">
        <w:trPr>
          <w:trHeight w:val="290"/>
        </w:trPr>
        <w:tc>
          <w:tcPr>
            <w:tcW w:w="8641" w:type="dxa"/>
            <w:gridSpan w:val="4"/>
            <w:shd w:val="clear" w:color="auto" w:fill="FFFFFF"/>
          </w:tcPr>
          <w:p w14:paraId="645E7D75" w14:textId="77777777" w:rsidR="002D6585" w:rsidRDefault="002D6585" w:rsidP="002D6585">
            <w:pPr>
              <w:rPr>
                <w:b/>
                <w:lang w:eastAsia="es-MX"/>
              </w:rPr>
            </w:pPr>
            <w:r w:rsidRPr="007D23B9">
              <w:rPr>
                <w:b/>
                <w:lang w:eastAsia="es-MX"/>
              </w:rPr>
              <w:t>Contexto</w:t>
            </w:r>
            <w:r w:rsidRPr="0079746F">
              <w:rPr>
                <w:lang w:eastAsia="es-MX"/>
              </w:rPr>
              <w:t>:</w:t>
            </w:r>
          </w:p>
          <w:p w14:paraId="645E7D76" w14:textId="77777777" w:rsidR="002D6585" w:rsidRDefault="002D6585" w:rsidP="002D6585">
            <w:pPr>
              <w:rPr>
                <w:lang w:eastAsia="es-MX"/>
              </w:rPr>
            </w:pPr>
            <w:r>
              <w:rPr>
                <w:lang w:eastAsia="es-MX"/>
              </w:rPr>
              <w:t xml:space="preserve">Con la finalidad de prevenir el desplazamiento indebido de los competidores, resulta conveniente establecer medidas que mitiguen que un operador incurra en prácticas </w:t>
            </w:r>
            <w:r>
              <w:rPr>
                <w:lang w:eastAsia="es-MX"/>
              </w:rPr>
              <w:lastRenderedPageBreak/>
              <w:t>anticompetitivas. Asimismo, cuando un operador verticalmente integrado está obligado a poner a disposición de terceros insumos no replicables con los que cuenta, resulta primordial velar porque estos se provean en términos no discriminatorios, es decir, bajo los mismos términos, procesos, sistemas y condiciones económicas, entre otros.</w:t>
            </w:r>
          </w:p>
          <w:p w14:paraId="645E7D77" w14:textId="77777777" w:rsidR="002D6585" w:rsidRDefault="002D6585" w:rsidP="002D6585">
            <w:pPr>
              <w:rPr>
                <w:b/>
                <w:lang w:eastAsia="es-MX"/>
              </w:rPr>
            </w:pPr>
            <w:r w:rsidRPr="007269C5">
              <w:rPr>
                <w:b/>
                <w:lang w:eastAsia="es-MX"/>
              </w:rPr>
              <w:t>Resumen</w:t>
            </w:r>
            <w:r>
              <w:rPr>
                <w:b/>
                <w:lang w:eastAsia="es-MX"/>
              </w:rPr>
              <w:t xml:space="preserve"> de medidas impuestas:</w:t>
            </w:r>
          </w:p>
          <w:p w14:paraId="645E7D78" w14:textId="77777777" w:rsidR="002D6585" w:rsidRDefault="002D6585" w:rsidP="002D6585">
            <w:r w:rsidRPr="00BD71EA">
              <w:t xml:space="preserve">El Instituto impuso medidas al AEPT referentes </w:t>
            </w:r>
            <w:r>
              <w:t>a la provisión de servicios al usuario final en términos que no desplacen indebidamente a la competencia, así como en lo referente a la atención de solicitudes de prestación de servicios mayoristas, haciendo énfasis en el trato no discriminatorio.</w:t>
            </w:r>
            <w:r w:rsidDel="005833EC">
              <w:t xml:space="preserve"> </w:t>
            </w:r>
          </w:p>
          <w:p w14:paraId="645E7D79" w14:textId="77777777" w:rsidR="002D6585" w:rsidRPr="00373DEB" w:rsidRDefault="002D6585" w:rsidP="002D6585">
            <w:pPr>
              <w:rPr>
                <w:b/>
              </w:rPr>
            </w:pPr>
            <w:r w:rsidRPr="00BD71EA">
              <w:t>A través de la Resolución Bienal</w:t>
            </w:r>
            <w:r>
              <w:t xml:space="preserve"> de Telecomunicaciones </w:t>
            </w:r>
            <w:r>
              <w:rPr>
                <w:rFonts w:eastAsia="Times New Roman"/>
                <w:color w:val="000000"/>
                <w:lang w:eastAsia="es-MX"/>
              </w:rPr>
              <w:t>se hicieron adecuaciones a efecto de prevenir prácticas anticompetitivas asociadas con el estrechamiento de márgenes</w:t>
            </w:r>
            <w:r w:rsidR="00454BD4">
              <w:rPr>
                <w:rFonts w:eastAsia="Times New Roman"/>
                <w:color w:val="000000"/>
                <w:lang w:eastAsia="es-MX"/>
              </w:rPr>
              <w:t xml:space="preserve"> y la discriminación, tanto por la vía de precios como por una vía distinta (por ej., técnica), mediante la incorporación de obligaciones de equivalencia de insumos y replicabilidad económica y técnica de las ofertas minoristas</w:t>
            </w:r>
            <w:r>
              <w:rPr>
                <w:rFonts w:eastAsia="Times New Roman"/>
                <w:color w:val="000000"/>
                <w:lang w:eastAsia="es-MX"/>
              </w:rPr>
              <w:t>.</w:t>
            </w:r>
          </w:p>
        </w:tc>
      </w:tr>
      <w:tr w:rsidR="004B664D" w:rsidRPr="00DF5B3F" w14:paraId="645E7D7C" w14:textId="77777777" w:rsidTr="00090F4F">
        <w:trPr>
          <w:trHeight w:val="290"/>
        </w:trPr>
        <w:tc>
          <w:tcPr>
            <w:tcW w:w="8641" w:type="dxa"/>
            <w:gridSpan w:val="4"/>
            <w:shd w:val="clear" w:color="auto" w:fill="FFFFFF"/>
            <w:vAlign w:val="center"/>
          </w:tcPr>
          <w:p w14:paraId="645E7D7B" w14:textId="71ECCE2F"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lastRenderedPageBreak/>
              <w:t>¿</w:t>
            </w:r>
            <w:r>
              <w:rPr>
                <w:rFonts w:eastAsia="Times New Roman"/>
                <w:b/>
                <w:color w:val="000000"/>
                <w:szCs w:val="20"/>
                <w:lang w:eastAsia="es-MX"/>
              </w:rPr>
              <w:t xml:space="preserve">Cuáles son los efectos que las medidas referentes a </w:t>
            </w:r>
            <w:r w:rsidR="007647E5">
              <w:rPr>
                <w:rFonts w:eastAsia="Times New Roman"/>
                <w:b/>
                <w:color w:val="000000"/>
                <w:szCs w:val="20"/>
                <w:lang w:eastAsia="es-MX"/>
              </w:rPr>
              <w:t>Conductas y No Discriminación</w:t>
            </w:r>
            <w:r w:rsidR="00C40D28">
              <w:rPr>
                <w:rFonts w:eastAsia="Times New Roman"/>
                <w:b/>
                <w:color w:val="000000"/>
                <w:szCs w:val="20"/>
                <w:lang w:eastAsia="es-MX"/>
              </w:rPr>
              <w:t xml:space="preserve"> </w:t>
            </w:r>
            <w:r>
              <w:rPr>
                <w:rFonts w:eastAsia="Times New Roman"/>
                <w:b/>
                <w:color w:val="000000"/>
                <w:szCs w:val="20"/>
                <w:lang w:eastAsia="es-MX"/>
              </w:rPr>
              <w:t>han generado</w:t>
            </w:r>
            <w:r w:rsidR="00F61086">
              <w:rPr>
                <w:rFonts w:eastAsia="Times New Roman"/>
                <w:b/>
                <w:color w:val="000000"/>
                <w:szCs w:val="20"/>
                <w:lang w:eastAsia="es-MX"/>
              </w:rPr>
              <w:t xml:space="preserve"> en el sector de telecomunicaciones</w:t>
            </w:r>
            <w:r>
              <w:rPr>
                <w:rFonts w:eastAsia="Times New Roman"/>
                <w:b/>
                <w:color w:val="000000"/>
                <w:szCs w:val="20"/>
                <w:lang w:eastAsia="es-MX"/>
              </w:rPr>
              <w:t>? ¿</w:t>
            </w:r>
            <w:r w:rsidR="004A7D7B">
              <w:rPr>
                <w:rFonts w:eastAsia="Times New Roman"/>
                <w:b/>
                <w:color w:val="000000"/>
                <w:szCs w:val="20"/>
                <w:lang w:eastAsia="es-MX"/>
              </w:rPr>
              <w:t>De qué manera</w:t>
            </w:r>
            <w:r>
              <w:rPr>
                <w:rFonts w:eastAsia="Times New Roman"/>
                <w:b/>
                <w:color w:val="000000"/>
                <w:szCs w:val="20"/>
                <w:lang w:eastAsia="es-MX"/>
              </w:rPr>
              <w:t xml:space="preserve"> han contribuido a alcanzar el objetivo para el cual fueron creadas las medidas?</w:t>
            </w:r>
          </w:p>
        </w:tc>
      </w:tr>
      <w:tr w:rsidR="004B664D" w:rsidRPr="00DF5B3F" w14:paraId="645E7D7E" w14:textId="77777777" w:rsidTr="00090F4F">
        <w:trPr>
          <w:trHeight w:val="290"/>
        </w:trPr>
        <w:tc>
          <w:tcPr>
            <w:tcW w:w="8641" w:type="dxa"/>
            <w:gridSpan w:val="4"/>
            <w:shd w:val="clear" w:color="auto" w:fill="FFFFFF"/>
            <w:vAlign w:val="center"/>
          </w:tcPr>
          <w:p w14:paraId="645E7D7D"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81" w14:textId="77777777" w:rsidTr="00090F4F">
        <w:trPr>
          <w:trHeight w:val="290"/>
        </w:trPr>
        <w:tc>
          <w:tcPr>
            <w:tcW w:w="4320" w:type="dxa"/>
            <w:gridSpan w:val="3"/>
            <w:shd w:val="clear" w:color="auto" w:fill="FFFFFF"/>
            <w:vAlign w:val="center"/>
          </w:tcPr>
          <w:p w14:paraId="645E7D7F"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80" w14:textId="77777777" w:rsidR="004B664D" w:rsidRPr="00E07693" w:rsidRDefault="004B664D" w:rsidP="004B664D">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B664D" w:rsidRPr="00DF5B3F" w14:paraId="645E7D83" w14:textId="77777777" w:rsidTr="00090F4F">
        <w:trPr>
          <w:trHeight w:val="290"/>
        </w:trPr>
        <w:tc>
          <w:tcPr>
            <w:tcW w:w="8641" w:type="dxa"/>
            <w:gridSpan w:val="4"/>
            <w:shd w:val="clear" w:color="auto" w:fill="FFFFFF"/>
            <w:vAlign w:val="center"/>
          </w:tcPr>
          <w:p w14:paraId="645E7D82" w14:textId="3182D66C" w:rsidR="004B664D" w:rsidRPr="00DF67B4" w:rsidRDefault="004B664D" w:rsidP="0077234F">
            <w:pPr>
              <w:spacing w:after="0" w:line="276" w:lineRule="auto"/>
              <w:rPr>
                <w:rFonts w:eastAsia="Times New Roman"/>
                <w:b/>
                <w:color w:val="000000"/>
                <w:lang w:eastAsia="es-MX"/>
              </w:rPr>
            </w:pPr>
            <w:r w:rsidRPr="001A5B2D">
              <w:rPr>
                <w:rFonts w:eastAsia="Times New Roman"/>
                <w:b/>
                <w:color w:val="000000"/>
                <w:szCs w:val="20"/>
                <w:lang w:eastAsia="es-MX"/>
              </w:rPr>
              <w:t>¿</w:t>
            </w:r>
            <w:r w:rsidR="004A7D7B">
              <w:rPr>
                <w:rFonts w:eastAsia="Times New Roman"/>
                <w:b/>
                <w:color w:val="000000"/>
                <w:szCs w:val="20"/>
                <w:lang w:eastAsia="es-MX"/>
              </w:rPr>
              <w:t>En qué grado considera</w:t>
            </w:r>
            <w:r w:rsidR="004A7D7B"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el diseño de las medidas </w:t>
            </w:r>
            <w:r>
              <w:rPr>
                <w:rFonts w:eastAsia="Times New Roman"/>
                <w:b/>
                <w:color w:val="000000"/>
                <w:szCs w:val="20"/>
                <w:lang w:eastAsia="es-MX"/>
              </w:rPr>
              <w:t>está alineado</w:t>
            </w:r>
            <w:r w:rsidRPr="001A5B2D">
              <w:rPr>
                <w:rFonts w:eastAsia="Times New Roman"/>
                <w:b/>
                <w:color w:val="000000"/>
                <w:szCs w:val="20"/>
                <w:lang w:eastAsia="es-MX"/>
              </w:rPr>
              <w:t xml:space="preserve"> con los objetivos originalmente planteados?</w:t>
            </w:r>
            <w:r w:rsidR="004A7D7B" w:rsidRPr="001A5B2D" w:rsidDel="004A7D7B">
              <w:rPr>
                <w:rFonts w:eastAsia="Times New Roman"/>
                <w:b/>
                <w:color w:val="000000"/>
                <w:szCs w:val="20"/>
                <w:lang w:eastAsia="es-MX"/>
              </w:rPr>
              <w:t xml:space="preserve"> </w:t>
            </w:r>
          </w:p>
        </w:tc>
      </w:tr>
      <w:tr w:rsidR="004B664D" w:rsidRPr="00DF5B3F" w14:paraId="645E7D85" w14:textId="77777777" w:rsidTr="00090F4F">
        <w:trPr>
          <w:trHeight w:val="290"/>
        </w:trPr>
        <w:tc>
          <w:tcPr>
            <w:tcW w:w="8641" w:type="dxa"/>
            <w:gridSpan w:val="4"/>
            <w:shd w:val="clear" w:color="auto" w:fill="FFFFFF"/>
            <w:vAlign w:val="center"/>
          </w:tcPr>
          <w:p w14:paraId="645E7D84"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88" w14:textId="77777777" w:rsidTr="00090F4F">
        <w:trPr>
          <w:trHeight w:val="290"/>
        </w:trPr>
        <w:tc>
          <w:tcPr>
            <w:tcW w:w="4320" w:type="dxa"/>
            <w:gridSpan w:val="3"/>
            <w:shd w:val="clear" w:color="auto" w:fill="FFFFFF"/>
            <w:vAlign w:val="center"/>
          </w:tcPr>
          <w:p w14:paraId="645E7D86"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87" w14:textId="77777777" w:rsidR="004B664D" w:rsidRPr="00E07693" w:rsidRDefault="004B664D" w:rsidP="004B664D">
            <w:pPr>
              <w:rPr>
                <w:b/>
                <w:color w:val="7F7F7F" w:themeColor="text1" w:themeTint="80"/>
              </w:rPr>
            </w:pPr>
            <w:r w:rsidRPr="00E07693">
              <w:rPr>
                <w:rFonts w:eastAsia="Times New Roman"/>
                <w:color w:val="7F7F7F" w:themeColor="text1" w:themeTint="80"/>
                <w:lang w:eastAsia="es-MX"/>
              </w:rPr>
              <w:t>[Indique nombre, sección y páginas del documento]</w:t>
            </w:r>
          </w:p>
        </w:tc>
      </w:tr>
      <w:tr w:rsidR="004B664D" w:rsidRPr="00DF5B3F" w14:paraId="645E7D8A" w14:textId="77777777" w:rsidTr="00090F4F">
        <w:trPr>
          <w:trHeight w:val="290"/>
        </w:trPr>
        <w:tc>
          <w:tcPr>
            <w:tcW w:w="8641" w:type="dxa"/>
            <w:gridSpan w:val="4"/>
            <w:shd w:val="clear" w:color="auto" w:fill="FFFFFF"/>
            <w:vAlign w:val="center"/>
          </w:tcPr>
          <w:p w14:paraId="645E7D89"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8C" w14:textId="77777777" w:rsidTr="00090F4F">
        <w:trPr>
          <w:trHeight w:val="290"/>
        </w:trPr>
        <w:tc>
          <w:tcPr>
            <w:tcW w:w="8641" w:type="dxa"/>
            <w:gridSpan w:val="4"/>
            <w:shd w:val="clear" w:color="auto" w:fill="FFFFFF"/>
            <w:vAlign w:val="center"/>
          </w:tcPr>
          <w:p w14:paraId="645E7D8B" w14:textId="4FFE48C2" w:rsidR="004B664D" w:rsidRDefault="004B664D" w:rsidP="0077234F">
            <w:pPr>
              <w:spacing w:after="0" w:line="276" w:lineRule="auto"/>
              <w:rPr>
                <w:rFonts w:eastAsia="Times New Roman"/>
                <w:color w:val="000000"/>
                <w:lang w:eastAsia="es-MX"/>
              </w:rPr>
            </w:pPr>
            <w:r w:rsidRPr="001A5B2D">
              <w:rPr>
                <w:rFonts w:eastAsia="Times New Roman"/>
                <w:b/>
                <w:color w:val="000000"/>
                <w:szCs w:val="20"/>
                <w:lang w:eastAsia="es-MX"/>
              </w:rPr>
              <w:t>¿</w:t>
            </w:r>
            <w:r w:rsidR="004A7D7B">
              <w:rPr>
                <w:rFonts w:eastAsia="Times New Roman"/>
                <w:b/>
                <w:color w:val="000000"/>
                <w:szCs w:val="20"/>
                <w:lang w:eastAsia="es-MX"/>
              </w:rPr>
              <w:t>En qué grado considera</w:t>
            </w:r>
            <w:r w:rsidR="004A7D7B" w:rsidRPr="001A5B2D">
              <w:rPr>
                <w:rFonts w:eastAsia="Times New Roman"/>
                <w:b/>
                <w:color w:val="000000"/>
                <w:szCs w:val="20"/>
                <w:lang w:eastAsia="es-MX"/>
              </w:rPr>
              <w:t xml:space="preserve"> </w:t>
            </w:r>
            <w:r w:rsidRPr="001A5B2D">
              <w:rPr>
                <w:rFonts w:eastAsia="Times New Roman"/>
                <w:b/>
                <w:color w:val="000000"/>
                <w:szCs w:val="20"/>
                <w:lang w:eastAsia="es-MX"/>
              </w:rPr>
              <w:t xml:space="preserve">que </w:t>
            </w:r>
            <w:r>
              <w:rPr>
                <w:rFonts w:eastAsia="Times New Roman"/>
                <w:b/>
                <w:color w:val="000000"/>
                <w:szCs w:val="20"/>
                <w:lang w:eastAsia="es-MX"/>
              </w:rPr>
              <w:t>las acciones</w:t>
            </w:r>
            <w:r w:rsidR="00F61086">
              <w:rPr>
                <w:rFonts w:eastAsia="Times New Roman"/>
                <w:b/>
                <w:color w:val="000000"/>
                <w:szCs w:val="20"/>
                <w:lang w:eastAsia="es-MX"/>
              </w:rPr>
              <w:t xml:space="preserve"> y/o instrumentos</w:t>
            </w:r>
            <w:r>
              <w:rPr>
                <w:rFonts w:eastAsia="Times New Roman"/>
                <w:b/>
                <w:color w:val="000000"/>
                <w:szCs w:val="20"/>
                <w:lang w:eastAsia="es-MX"/>
              </w:rPr>
              <w:t xml:space="preserve"> mediante las cuales se han </w:t>
            </w:r>
            <w:r w:rsidR="00B327E2">
              <w:rPr>
                <w:rFonts w:eastAsia="Times New Roman"/>
                <w:b/>
                <w:color w:val="000000"/>
                <w:szCs w:val="20"/>
                <w:lang w:eastAsia="es-MX"/>
              </w:rPr>
              <w:t xml:space="preserve">implementado </w:t>
            </w:r>
            <w:r>
              <w:rPr>
                <w:rFonts w:eastAsia="Times New Roman"/>
                <w:b/>
                <w:color w:val="000000"/>
                <w:szCs w:val="20"/>
                <w:lang w:eastAsia="es-MX"/>
              </w:rPr>
              <w:t>las medidas han sido adecuadas para alcanzar los objetivos por los que se plantearon?</w:t>
            </w:r>
          </w:p>
        </w:tc>
      </w:tr>
      <w:tr w:rsidR="004B664D" w:rsidRPr="00DF5B3F" w14:paraId="645E7D8E" w14:textId="77777777" w:rsidTr="00090F4F">
        <w:trPr>
          <w:trHeight w:val="290"/>
        </w:trPr>
        <w:tc>
          <w:tcPr>
            <w:tcW w:w="8641" w:type="dxa"/>
            <w:gridSpan w:val="4"/>
            <w:shd w:val="clear" w:color="auto" w:fill="FFFFFF"/>
            <w:vAlign w:val="center"/>
          </w:tcPr>
          <w:p w14:paraId="645E7D8D" w14:textId="77777777" w:rsidR="004B664D" w:rsidRPr="00DF67B4" w:rsidRDefault="004B664D" w:rsidP="004B664D">
            <w:pPr>
              <w:spacing w:after="0" w:line="276" w:lineRule="auto"/>
              <w:rPr>
                <w:rFonts w:eastAsia="Times New Roman"/>
                <w:b/>
                <w:color w:val="000000"/>
                <w:lang w:eastAsia="es-MX"/>
              </w:rPr>
            </w:pPr>
          </w:p>
        </w:tc>
      </w:tr>
      <w:tr w:rsidR="004B664D" w:rsidRPr="00DF5B3F" w14:paraId="645E7D91" w14:textId="77777777" w:rsidTr="00090F4F">
        <w:trPr>
          <w:trHeight w:val="290"/>
        </w:trPr>
        <w:tc>
          <w:tcPr>
            <w:tcW w:w="4320" w:type="dxa"/>
            <w:gridSpan w:val="3"/>
            <w:shd w:val="clear" w:color="auto" w:fill="FFFFFF"/>
            <w:vAlign w:val="center"/>
          </w:tcPr>
          <w:p w14:paraId="645E7D8F" w14:textId="77777777" w:rsidR="004B664D" w:rsidRPr="00F30CB9" w:rsidRDefault="004B664D" w:rsidP="004B664D">
            <w:pPr>
              <w:rPr>
                <w:b/>
              </w:rPr>
            </w:pPr>
            <w:r>
              <w:rPr>
                <w:rFonts w:eastAsia="Times New Roman"/>
                <w:color w:val="000000"/>
                <w:lang w:eastAsia="es-MX"/>
              </w:rPr>
              <w:t>Liste los documentos asociados  a los comentarios manifestados</w:t>
            </w:r>
            <w:r w:rsidR="004802CE">
              <w:rPr>
                <w:rFonts w:eastAsia="Times New Roman"/>
                <w:color w:val="000000"/>
                <w:lang w:eastAsia="es-MX"/>
              </w:rPr>
              <w:t>:</w:t>
            </w:r>
          </w:p>
        </w:tc>
        <w:tc>
          <w:tcPr>
            <w:tcW w:w="4321" w:type="dxa"/>
            <w:shd w:val="clear" w:color="auto" w:fill="FFFFFF"/>
            <w:vAlign w:val="center"/>
          </w:tcPr>
          <w:p w14:paraId="645E7D90" w14:textId="77777777" w:rsidR="004B664D" w:rsidRPr="00F30CB9" w:rsidRDefault="004B664D" w:rsidP="004B664D">
            <w:pPr>
              <w:rPr>
                <w:b/>
              </w:rPr>
            </w:pPr>
            <w:r w:rsidRPr="00E07693">
              <w:rPr>
                <w:rFonts w:eastAsia="Times New Roman"/>
                <w:color w:val="7F7F7F" w:themeColor="text1" w:themeTint="80"/>
                <w:lang w:eastAsia="es-MX"/>
              </w:rPr>
              <w:t>[Indique nombre, sección y páginas del documento]</w:t>
            </w:r>
          </w:p>
        </w:tc>
      </w:tr>
      <w:tr w:rsidR="00EF1B8C" w:rsidRPr="0038337E" w14:paraId="482D1782" w14:textId="77777777" w:rsidTr="006A5E4C">
        <w:trPr>
          <w:trHeight w:val="414"/>
        </w:trPr>
        <w:tc>
          <w:tcPr>
            <w:tcW w:w="8641" w:type="dxa"/>
            <w:gridSpan w:val="4"/>
            <w:shd w:val="clear" w:color="auto" w:fill="FFFFFF"/>
            <w:vAlign w:val="center"/>
          </w:tcPr>
          <w:p w14:paraId="55406CF3" w14:textId="14B56939" w:rsidR="00EF1B8C" w:rsidRDefault="00AC398C" w:rsidP="006A5E4C">
            <w:pPr>
              <w:rPr>
                <w:rFonts w:eastAsia="Times New Roman"/>
                <w:b/>
                <w:color w:val="000000"/>
                <w:szCs w:val="20"/>
                <w:lang w:eastAsia="es-MX"/>
              </w:rPr>
            </w:pPr>
            <w:r>
              <w:rPr>
                <w:rFonts w:eastAsia="Times New Roman"/>
                <w:b/>
                <w:color w:val="000000"/>
                <w:szCs w:val="20"/>
                <w:lang w:eastAsia="es-MX"/>
              </w:rPr>
              <w:t>En caso de contar</w:t>
            </w:r>
            <w:r w:rsidR="00EF1B8C" w:rsidRPr="0038337E">
              <w:rPr>
                <w:rFonts w:eastAsia="Times New Roman"/>
                <w:b/>
                <w:color w:val="000000"/>
                <w:szCs w:val="20"/>
                <w:lang w:eastAsia="es-MX"/>
              </w:rPr>
              <w:t xml:space="preserve"> con una propuesta </w:t>
            </w:r>
            <w:r w:rsidR="00EF1B8C">
              <w:rPr>
                <w:rFonts w:eastAsia="Times New Roman"/>
                <w:b/>
                <w:color w:val="000000"/>
                <w:szCs w:val="20"/>
                <w:lang w:eastAsia="es-MX"/>
              </w:rPr>
              <w:t>específica</w:t>
            </w:r>
            <w:r w:rsidR="00EF1B8C" w:rsidRPr="0038337E">
              <w:rPr>
                <w:rFonts w:eastAsia="Times New Roman"/>
                <w:b/>
                <w:color w:val="000000"/>
                <w:szCs w:val="20"/>
                <w:lang w:eastAsia="es-MX"/>
              </w:rPr>
              <w:t xml:space="preserve"> sobre </w:t>
            </w:r>
            <w:r w:rsidR="00EF1B8C">
              <w:rPr>
                <w:rFonts w:eastAsia="Times New Roman"/>
                <w:b/>
                <w:color w:val="000000"/>
                <w:szCs w:val="20"/>
                <w:lang w:eastAsia="es-MX"/>
              </w:rPr>
              <w:t xml:space="preserve">alguna de </w:t>
            </w:r>
            <w:r w:rsidR="00EF1B8C" w:rsidRPr="0038337E">
              <w:rPr>
                <w:rFonts w:eastAsia="Times New Roman"/>
                <w:b/>
                <w:color w:val="000000"/>
                <w:szCs w:val="20"/>
                <w:lang w:eastAsia="es-MX"/>
              </w:rPr>
              <w:t xml:space="preserve">las medidas relacionadas con </w:t>
            </w:r>
            <w:r w:rsidR="00325847">
              <w:rPr>
                <w:rFonts w:eastAsia="Times New Roman"/>
                <w:b/>
                <w:color w:val="000000"/>
                <w:szCs w:val="20"/>
                <w:lang w:eastAsia="es-MX"/>
              </w:rPr>
              <w:t>Conductas y No Discriminación</w:t>
            </w:r>
            <w:r w:rsidR="00E75B64">
              <w:rPr>
                <w:rFonts w:eastAsia="Times New Roman"/>
                <w:b/>
                <w:color w:val="000000"/>
                <w:szCs w:val="20"/>
                <w:lang w:eastAsia="es-MX"/>
              </w:rPr>
              <w:t>, deber</w:t>
            </w:r>
            <w:r w:rsidR="00322499">
              <w:rPr>
                <w:rFonts w:eastAsia="Times New Roman"/>
                <w:b/>
                <w:color w:val="000000"/>
                <w:szCs w:val="20"/>
                <w:lang w:eastAsia="es-MX"/>
              </w:rPr>
              <w:t>á indicarla</w:t>
            </w:r>
            <w:r w:rsidR="00E75B64">
              <w:rPr>
                <w:rFonts w:eastAsia="Times New Roman"/>
                <w:b/>
                <w:color w:val="000000"/>
                <w:szCs w:val="20"/>
                <w:lang w:eastAsia="es-MX"/>
              </w:rPr>
              <w:t>.</w:t>
            </w:r>
          </w:p>
          <w:p w14:paraId="0FCD0B09" w14:textId="7AB56A06" w:rsidR="00EF1B8C" w:rsidRPr="0038337E" w:rsidRDefault="000228C4" w:rsidP="006A5E4C">
            <w:pPr>
              <w:rPr>
                <w:rFonts w:eastAsia="Times New Roman"/>
                <w:color w:val="000000"/>
                <w:lang w:eastAsia="es-MX"/>
              </w:rPr>
            </w:pPr>
            <w:r w:rsidRPr="00E45538">
              <w:rPr>
                <w:rFonts w:eastAsia="Times New Roman"/>
                <w:color w:val="000000"/>
                <w:sz w:val="16"/>
                <w:szCs w:val="16"/>
                <w:lang w:eastAsia="es-MX"/>
              </w:rPr>
              <w:t>Nota:  a efecto de realizar una valoración adecuada, cualquier propuesta deberá estar sustentada en lo manifestado en las respuestas a las preguntas previas.</w:t>
            </w:r>
          </w:p>
        </w:tc>
      </w:tr>
      <w:tr w:rsidR="00EF1B8C" w14:paraId="1875DE2B" w14:textId="77777777" w:rsidTr="006A5E4C">
        <w:trPr>
          <w:trHeight w:val="414"/>
        </w:trPr>
        <w:tc>
          <w:tcPr>
            <w:tcW w:w="3047" w:type="dxa"/>
            <w:gridSpan w:val="2"/>
            <w:shd w:val="clear" w:color="auto" w:fill="FFFFFF"/>
            <w:vAlign w:val="center"/>
          </w:tcPr>
          <w:p w14:paraId="04EBBBC2" w14:textId="77777777" w:rsidR="00EF1B8C" w:rsidRDefault="00EF1B8C" w:rsidP="006A5E4C">
            <w:pPr>
              <w:jc w:val="center"/>
              <w:rPr>
                <w:rFonts w:eastAsia="Times New Roman"/>
                <w:color w:val="00000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gridSpan w:val="2"/>
            <w:shd w:val="clear" w:color="auto" w:fill="FFFFFF"/>
            <w:vAlign w:val="center"/>
          </w:tcPr>
          <w:p w14:paraId="628EB9AC" w14:textId="77777777" w:rsidR="00EF1B8C" w:rsidRDefault="00EF1B8C" w:rsidP="006A5E4C">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r w:rsidR="00EF1B8C" w14:paraId="1BB9363A" w14:textId="77777777" w:rsidTr="006A5E4C">
        <w:trPr>
          <w:trHeight w:val="414"/>
        </w:trPr>
        <w:tc>
          <w:tcPr>
            <w:tcW w:w="3047" w:type="dxa"/>
            <w:gridSpan w:val="2"/>
            <w:shd w:val="clear" w:color="auto" w:fill="FFFFFF"/>
            <w:vAlign w:val="center"/>
          </w:tcPr>
          <w:p w14:paraId="7CD8D38F" w14:textId="77777777" w:rsidR="00EF1B8C" w:rsidRDefault="00EF1B8C" w:rsidP="006A5E4C">
            <w:pPr>
              <w:jc w:val="center"/>
              <w:rPr>
                <w:rFonts w:eastAsia="Times New Roman"/>
                <w:color w:val="7F7F7F" w:themeColor="text1" w:themeTint="80"/>
                <w:lang w:eastAsia="es-MX"/>
              </w:rPr>
            </w:pPr>
            <w:r w:rsidRPr="005F491B">
              <w:rPr>
                <w:rFonts w:eastAsia="Times New Roman"/>
                <w:color w:val="7F7F7F" w:themeColor="text1" w:themeTint="80"/>
                <w:lang w:eastAsia="es-MX"/>
              </w:rPr>
              <w:t xml:space="preserve">[Indique </w:t>
            </w:r>
            <w:r>
              <w:rPr>
                <w:rFonts w:eastAsia="Times New Roman"/>
                <w:color w:val="7F7F7F" w:themeColor="text1" w:themeTint="80"/>
                <w:lang w:eastAsia="es-MX"/>
              </w:rPr>
              <w:t>medida</w:t>
            </w:r>
            <w:r w:rsidRPr="005F491B">
              <w:rPr>
                <w:rFonts w:eastAsia="Times New Roman"/>
                <w:color w:val="7F7F7F" w:themeColor="text1" w:themeTint="80"/>
                <w:lang w:eastAsia="es-MX"/>
              </w:rPr>
              <w:t>]</w:t>
            </w:r>
          </w:p>
        </w:tc>
        <w:tc>
          <w:tcPr>
            <w:tcW w:w="5594" w:type="dxa"/>
            <w:gridSpan w:val="2"/>
            <w:shd w:val="clear" w:color="auto" w:fill="FFFFFF"/>
            <w:vAlign w:val="center"/>
          </w:tcPr>
          <w:p w14:paraId="25392124" w14:textId="77777777" w:rsidR="00EF1B8C" w:rsidRDefault="00EF1B8C" w:rsidP="006A5E4C">
            <w:pPr>
              <w:jc w:val="center"/>
              <w:rPr>
                <w:rFonts w:eastAsia="Times New Roman"/>
                <w:color w:val="7F7F7F" w:themeColor="text1" w:themeTint="80"/>
                <w:lang w:eastAsia="es-MX"/>
              </w:rPr>
            </w:pPr>
            <w:r>
              <w:rPr>
                <w:rFonts w:eastAsia="Times New Roman"/>
                <w:color w:val="7F7F7F" w:themeColor="text1" w:themeTint="80"/>
                <w:lang w:eastAsia="es-MX"/>
              </w:rPr>
              <w:t>[Señale la propuesta</w:t>
            </w:r>
            <w:r w:rsidRPr="005F491B">
              <w:rPr>
                <w:rFonts w:eastAsia="Times New Roman"/>
                <w:color w:val="7F7F7F" w:themeColor="text1" w:themeTint="80"/>
                <w:lang w:eastAsia="es-MX"/>
              </w:rPr>
              <w:t>]</w:t>
            </w:r>
          </w:p>
        </w:tc>
      </w:tr>
    </w:tbl>
    <w:p w14:paraId="645E7D94" w14:textId="43F431C0" w:rsidR="00F24423" w:rsidRDefault="00F24423" w:rsidP="00170916">
      <w:pPr>
        <w:spacing w:after="0"/>
        <w:rPr>
          <w:sz w:val="16"/>
        </w:rPr>
      </w:pPr>
    </w:p>
    <w:p w14:paraId="0A256879" w14:textId="1A479616" w:rsidR="00915797" w:rsidRDefault="00915797" w:rsidP="00170916">
      <w:pPr>
        <w:spacing w:after="0"/>
        <w:rPr>
          <w:sz w:val="16"/>
        </w:rPr>
      </w:pPr>
    </w:p>
    <w:p w14:paraId="475583D6" w14:textId="77777777" w:rsidR="00915797" w:rsidRDefault="00915797" w:rsidP="00170916">
      <w:pPr>
        <w:spacing w:after="0"/>
        <w:rPr>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765"/>
        <w:gridCol w:w="4321"/>
      </w:tblGrid>
      <w:tr w:rsidR="00F24423" w:rsidRPr="00C41536" w14:paraId="645E7D96" w14:textId="77777777" w:rsidTr="00FE6BE3">
        <w:trPr>
          <w:trHeight w:val="581"/>
        </w:trPr>
        <w:tc>
          <w:tcPr>
            <w:tcW w:w="8641" w:type="dxa"/>
            <w:gridSpan w:val="3"/>
            <w:shd w:val="clear" w:color="auto" w:fill="D9D9D9"/>
            <w:vAlign w:val="center"/>
            <w:hideMark/>
          </w:tcPr>
          <w:p w14:paraId="645E7D95" w14:textId="77777777" w:rsidR="00F24423" w:rsidRPr="00C41536" w:rsidRDefault="00F24423" w:rsidP="00373DEB">
            <w:pPr>
              <w:numPr>
                <w:ilvl w:val="0"/>
                <w:numId w:val="2"/>
              </w:numPr>
              <w:spacing w:after="0" w:line="240" w:lineRule="auto"/>
              <w:ind w:right="1069"/>
              <w:contextualSpacing/>
              <w:jc w:val="center"/>
              <w:rPr>
                <w:rFonts w:eastAsia="Times New Roman"/>
                <w:b/>
                <w:bCs/>
                <w:color w:val="FFFFFF"/>
                <w:lang w:eastAsia="es-MX"/>
              </w:rPr>
            </w:pPr>
            <w:r w:rsidRPr="00DF5B3F">
              <w:rPr>
                <w:rFonts w:eastAsia="Times New Roman"/>
                <w:b/>
                <w:bCs/>
                <w:color w:val="000000"/>
                <w:lang w:eastAsia="es-MX"/>
              </w:rPr>
              <w:t xml:space="preserve">Comentarios, opiniones </w:t>
            </w:r>
            <w:r w:rsidRPr="00C41536">
              <w:rPr>
                <w:rFonts w:eastAsia="Times New Roman"/>
                <w:b/>
                <w:bCs/>
                <w:lang w:eastAsia="es-MX"/>
              </w:rPr>
              <w:t xml:space="preserve">y aportaciones </w:t>
            </w:r>
            <w:r>
              <w:rPr>
                <w:rFonts w:eastAsia="Times New Roman"/>
                <w:b/>
                <w:bCs/>
                <w:lang w:eastAsia="es-MX"/>
              </w:rPr>
              <w:t>únicamente sobre medidas que no se encuentren en los grupos anteriores</w:t>
            </w:r>
          </w:p>
        </w:tc>
      </w:tr>
      <w:tr w:rsidR="00F24423" w:rsidRPr="00243519" w14:paraId="645E7D99" w14:textId="77777777" w:rsidTr="00E07693">
        <w:trPr>
          <w:trHeight w:val="249"/>
        </w:trPr>
        <w:tc>
          <w:tcPr>
            <w:tcW w:w="8641" w:type="dxa"/>
            <w:gridSpan w:val="3"/>
            <w:shd w:val="clear" w:color="auto" w:fill="C5E0B3" w:themeFill="accent6" w:themeFillTint="66"/>
            <w:vAlign w:val="center"/>
          </w:tcPr>
          <w:p w14:paraId="645E7D97" w14:textId="77777777" w:rsidR="00F24423" w:rsidRDefault="00F24423" w:rsidP="00FE6BE3">
            <w:pPr>
              <w:spacing w:after="0" w:line="276" w:lineRule="auto"/>
              <w:jc w:val="center"/>
              <w:rPr>
                <w:rFonts w:eastAsia="Times New Roman"/>
                <w:b/>
                <w:color w:val="000000"/>
                <w:lang w:eastAsia="es-MX"/>
              </w:rPr>
            </w:pPr>
            <w:r w:rsidRPr="007647E5">
              <w:rPr>
                <w:rFonts w:eastAsia="Times New Roman"/>
                <w:b/>
                <w:color w:val="000000"/>
                <w:lang w:eastAsia="es-MX"/>
              </w:rPr>
              <w:t>Anexo 1</w:t>
            </w:r>
          </w:p>
          <w:p w14:paraId="645E7D98" w14:textId="693A203A" w:rsidR="007647E5" w:rsidRPr="007647E5" w:rsidRDefault="007647E5" w:rsidP="007647E5">
            <w:pPr>
              <w:spacing w:after="0" w:line="276" w:lineRule="auto"/>
              <w:jc w:val="center"/>
              <w:rPr>
                <w:rFonts w:eastAsia="Times New Roman"/>
                <w:b/>
                <w:color w:val="000000"/>
                <w:lang w:eastAsia="es-MX"/>
              </w:rPr>
            </w:pPr>
            <w:r w:rsidRPr="007647E5">
              <w:rPr>
                <w:rFonts w:eastAsia="Times New Roman"/>
                <w:b/>
                <w:color w:val="000000"/>
                <w:lang w:eastAsia="es-MX"/>
              </w:rPr>
              <w:t>3, 56, 68, 69, 70, 71, 72, 76 y 79</w:t>
            </w:r>
          </w:p>
        </w:tc>
      </w:tr>
      <w:tr w:rsidR="004C009A" w:rsidRPr="00243519" w14:paraId="645E7D9C" w14:textId="77777777" w:rsidTr="00E07693">
        <w:trPr>
          <w:trHeight w:val="239"/>
        </w:trPr>
        <w:tc>
          <w:tcPr>
            <w:tcW w:w="1555" w:type="dxa"/>
            <w:shd w:val="clear" w:color="auto" w:fill="C5E0B3" w:themeFill="accent6" w:themeFillTint="66"/>
            <w:vAlign w:val="center"/>
          </w:tcPr>
          <w:p w14:paraId="645E7D9A" w14:textId="77777777" w:rsidR="004C009A" w:rsidRPr="00E07693" w:rsidRDefault="004C009A" w:rsidP="00FE6BE3">
            <w:pPr>
              <w:spacing w:after="0" w:line="276" w:lineRule="auto"/>
              <w:jc w:val="center"/>
              <w:rPr>
                <w:rFonts w:eastAsia="Times New Roman"/>
                <w:b/>
                <w:color w:val="000000"/>
                <w:lang w:eastAsia="es-MX"/>
              </w:rPr>
            </w:pPr>
            <w:r w:rsidRPr="00E07693">
              <w:rPr>
                <w:rFonts w:eastAsia="Times New Roman"/>
                <w:b/>
                <w:color w:val="000000"/>
                <w:lang w:eastAsia="es-MX"/>
              </w:rPr>
              <w:t>Medida</w:t>
            </w:r>
          </w:p>
        </w:tc>
        <w:tc>
          <w:tcPr>
            <w:tcW w:w="7086" w:type="dxa"/>
            <w:gridSpan w:val="2"/>
            <w:shd w:val="clear" w:color="auto" w:fill="C5E0B3" w:themeFill="accent6" w:themeFillTint="66"/>
            <w:vAlign w:val="center"/>
          </w:tcPr>
          <w:p w14:paraId="645E7D9B" w14:textId="77777777" w:rsidR="004C009A" w:rsidRPr="00E07693" w:rsidRDefault="004C009A" w:rsidP="00FE6BE3">
            <w:pPr>
              <w:spacing w:after="0" w:line="276" w:lineRule="auto"/>
              <w:jc w:val="center"/>
              <w:rPr>
                <w:rFonts w:eastAsia="Times New Roman"/>
                <w:b/>
                <w:color w:val="000000"/>
                <w:lang w:eastAsia="es-MX"/>
              </w:rPr>
            </w:pPr>
            <w:r w:rsidRPr="00E07693">
              <w:rPr>
                <w:rFonts w:eastAsia="Times New Roman"/>
                <w:b/>
                <w:color w:val="000000"/>
                <w:lang w:eastAsia="es-MX"/>
              </w:rPr>
              <w:t>Comentario</w:t>
            </w:r>
          </w:p>
        </w:tc>
      </w:tr>
      <w:tr w:rsidR="004C009A" w:rsidRPr="00243519" w14:paraId="645E7D9F" w14:textId="77777777" w:rsidTr="00E07693">
        <w:trPr>
          <w:trHeight w:val="414"/>
        </w:trPr>
        <w:tc>
          <w:tcPr>
            <w:tcW w:w="1555" w:type="dxa"/>
            <w:shd w:val="clear" w:color="auto" w:fill="FFFFFF"/>
            <w:vAlign w:val="center"/>
          </w:tcPr>
          <w:p w14:paraId="645E7D9D" w14:textId="77777777" w:rsidR="004C009A" w:rsidRDefault="001B6766" w:rsidP="00FE6BE3">
            <w:pPr>
              <w:spacing w:after="0" w:line="276" w:lineRule="auto"/>
              <w:jc w:val="center"/>
              <w:rPr>
                <w:rFonts w:eastAsia="Times New Roman"/>
                <w:bCs/>
                <w:color w:val="000000"/>
                <w:lang w:eastAsia="es-MX"/>
              </w:rPr>
            </w:pPr>
            <w:r w:rsidRPr="00FA1443">
              <w:rPr>
                <w:rFonts w:eastAsia="Times New Roman"/>
                <w:color w:val="7F7F7F" w:themeColor="text1" w:themeTint="80"/>
                <w:lang w:eastAsia="es-MX"/>
              </w:rPr>
              <w:t>[Indique número]</w:t>
            </w:r>
            <w:r w:rsidRPr="001B6766">
              <w:rPr>
                <w:rFonts w:eastAsia="Times New Roman"/>
                <w:bCs/>
                <w:color w:val="000000"/>
                <w:lang w:eastAsia="es-MX"/>
              </w:rPr>
              <w:t xml:space="preserve"> </w:t>
            </w:r>
          </w:p>
        </w:tc>
        <w:tc>
          <w:tcPr>
            <w:tcW w:w="7086" w:type="dxa"/>
            <w:gridSpan w:val="2"/>
            <w:shd w:val="clear" w:color="auto" w:fill="FFFFFF"/>
            <w:vAlign w:val="center"/>
          </w:tcPr>
          <w:p w14:paraId="645E7D9E" w14:textId="77777777" w:rsidR="004C009A" w:rsidRDefault="004C009A" w:rsidP="00FE6BE3">
            <w:pPr>
              <w:spacing w:after="0" w:line="276" w:lineRule="auto"/>
              <w:jc w:val="center"/>
              <w:rPr>
                <w:rFonts w:eastAsia="Times New Roman"/>
                <w:bCs/>
                <w:color w:val="000000"/>
                <w:lang w:eastAsia="es-MX"/>
              </w:rPr>
            </w:pPr>
          </w:p>
        </w:tc>
      </w:tr>
      <w:tr w:rsidR="004C009A" w:rsidRPr="00243519" w14:paraId="645E7DA2" w14:textId="77777777" w:rsidTr="00E07693">
        <w:trPr>
          <w:trHeight w:val="414"/>
        </w:trPr>
        <w:tc>
          <w:tcPr>
            <w:tcW w:w="1555" w:type="dxa"/>
            <w:shd w:val="clear" w:color="auto" w:fill="FFFFFF"/>
          </w:tcPr>
          <w:p w14:paraId="645E7DA0" w14:textId="77777777" w:rsidR="004C009A" w:rsidRPr="00FD6D61" w:rsidRDefault="00C341D6" w:rsidP="00FE6BE3">
            <w:pPr>
              <w:spacing w:after="0" w:line="276" w:lineRule="auto"/>
              <w:jc w:val="center"/>
            </w:pPr>
            <w:r w:rsidRPr="00300958">
              <w:rPr>
                <w:rFonts w:eastAsia="Times New Roman"/>
                <w:color w:val="7F7F7F" w:themeColor="text1" w:themeTint="80"/>
                <w:lang w:eastAsia="es-MX"/>
              </w:rPr>
              <w:t xml:space="preserve">[Indique </w:t>
            </w:r>
            <w:r>
              <w:rPr>
                <w:rFonts w:eastAsia="Times New Roman"/>
                <w:color w:val="7F7F7F" w:themeColor="text1" w:themeTint="80"/>
                <w:lang w:eastAsia="es-MX"/>
              </w:rPr>
              <w:t>número</w:t>
            </w:r>
            <w:r w:rsidRPr="00300958">
              <w:rPr>
                <w:rFonts w:eastAsia="Times New Roman"/>
                <w:color w:val="7F7F7F" w:themeColor="text1" w:themeTint="80"/>
                <w:lang w:eastAsia="es-MX"/>
              </w:rPr>
              <w:t>]</w:t>
            </w:r>
            <w:r w:rsidR="00247994">
              <w:rPr>
                <w:rFonts w:eastAsia="Times New Roman"/>
                <w:bCs/>
                <w:color w:val="000000"/>
                <w:lang w:eastAsia="es-MX"/>
              </w:rPr>
              <w:t xml:space="preserve"> </w:t>
            </w:r>
          </w:p>
        </w:tc>
        <w:tc>
          <w:tcPr>
            <w:tcW w:w="7086" w:type="dxa"/>
            <w:gridSpan w:val="2"/>
            <w:shd w:val="clear" w:color="auto" w:fill="FFFFFF"/>
          </w:tcPr>
          <w:p w14:paraId="645E7DA1" w14:textId="77777777" w:rsidR="004C009A" w:rsidRPr="00FD6D61" w:rsidRDefault="004C009A" w:rsidP="00FE6BE3">
            <w:pPr>
              <w:spacing w:after="0" w:line="276" w:lineRule="auto"/>
              <w:jc w:val="center"/>
            </w:pPr>
          </w:p>
        </w:tc>
      </w:tr>
      <w:tr w:rsidR="00F24423" w:rsidRPr="00243519" w14:paraId="645E7DA5" w14:textId="77777777" w:rsidTr="00FE6BE3">
        <w:trPr>
          <w:trHeight w:val="414"/>
        </w:trPr>
        <w:tc>
          <w:tcPr>
            <w:tcW w:w="4320" w:type="dxa"/>
            <w:gridSpan w:val="2"/>
            <w:shd w:val="clear" w:color="auto" w:fill="FFFFFF"/>
          </w:tcPr>
          <w:p w14:paraId="645E7DA3" w14:textId="77777777" w:rsidR="00F24423" w:rsidRDefault="00F24423" w:rsidP="00E07693">
            <w:pPr>
              <w:spacing w:after="0" w:line="276" w:lineRule="auto"/>
              <w:rPr>
                <w:rFonts w:eastAsia="Times New Roman"/>
                <w:bCs/>
                <w:color w:val="000000"/>
                <w:lang w:eastAsia="es-MX"/>
              </w:rPr>
            </w:pPr>
            <w:r w:rsidRPr="00FD6D61">
              <w:t>Liste los documentos asociados  a los comentarios manifestados</w:t>
            </w:r>
            <w:r w:rsidR="003E5B1D">
              <w:t>:</w:t>
            </w:r>
          </w:p>
        </w:tc>
        <w:tc>
          <w:tcPr>
            <w:tcW w:w="4321" w:type="dxa"/>
            <w:shd w:val="clear" w:color="auto" w:fill="FFFFFF"/>
          </w:tcPr>
          <w:p w14:paraId="645E7DA4" w14:textId="77777777" w:rsidR="00F24423" w:rsidRDefault="00F24423" w:rsidP="00E07693">
            <w:pPr>
              <w:spacing w:after="0" w:line="276" w:lineRule="auto"/>
              <w:rPr>
                <w:rFonts w:eastAsia="Times New Roman"/>
                <w:bCs/>
                <w:color w:val="000000"/>
                <w:lang w:eastAsia="es-MX"/>
              </w:rPr>
            </w:pPr>
            <w:r w:rsidRPr="00300958">
              <w:rPr>
                <w:rFonts w:eastAsia="Times New Roman"/>
                <w:color w:val="7F7F7F" w:themeColor="text1" w:themeTint="80"/>
                <w:lang w:eastAsia="es-MX"/>
              </w:rPr>
              <w:t>[Indique nombre, sección y páginas del documento]</w:t>
            </w:r>
          </w:p>
        </w:tc>
      </w:tr>
      <w:tr w:rsidR="004C009A" w:rsidRPr="00243519" w14:paraId="645E7DA8" w14:textId="77777777" w:rsidTr="00FE6BE3">
        <w:trPr>
          <w:trHeight w:val="414"/>
        </w:trPr>
        <w:tc>
          <w:tcPr>
            <w:tcW w:w="4320" w:type="dxa"/>
            <w:gridSpan w:val="2"/>
            <w:shd w:val="clear" w:color="auto" w:fill="FFFFFF"/>
            <w:vAlign w:val="center"/>
          </w:tcPr>
          <w:p w14:paraId="645E7DA6" w14:textId="77777777" w:rsidR="004C009A" w:rsidRDefault="004C009A" w:rsidP="00FE6BE3">
            <w:pPr>
              <w:spacing w:after="0" w:line="276" w:lineRule="auto"/>
              <w:jc w:val="center"/>
              <w:rPr>
                <w:rFonts w:eastAsia="Times New Roman"/>
                <w:bCs/>
                <w:color w:val="000000"/>
                <w:lang w:eastAsia="es-MX"/>
              </w:rPr>
            </w:pPr>
          </w:p>
        </w:tc>
        <w:tc>
          <w:tcPr>
            <w:tcW w:w="4321" w:type="dxa"/>
            <w:shd w:val="clear" w:color="auto" w:fill="FFFFFF"/>
            <w:vAlign w:val="center"/>
          </w:tcPr>
          <w:p w14:paraId="645E7DA7" w14:textId="77777777" w:rsidR="004C009A" w:rsidRDefault="004C009A" w:rsidP="00FE6BE3">
            <w:pPr>
              <w:spacing w:after="0" w:line="276" w:lineRule="auto"/>
              <w:jc w:val="center"/>
              <w:rPr>
                <w:rFonts w:eastAsia="Times New Roman"/>
                <w:bCs/>
                <w:color w:val="000000"/>
                <w:lang w:eastAsia="es-MX"/>
              </w:rPr>
            </w:pPr>
          </w:p>
        </w:tc>
      </w:tr>
      <w:tr w:rsidR="004C009A" w:rsidRPr="00243519" w14:paraId="645E7DAB" w14:textId="77777777" w:rsidTr="00E07693">
        <w:trPr>
          <w:trHeight w:val="213"/>
        </w:trPr>
        <w:tc>
          <w:tcPr>
            <w:tcW w:w="8641" w:type="dxa"/>
            <w:gridSpan w:val="3"/>
            <w:shd w:val="clear" w:color="auto" w:fill="C5E0B3" w:themeFill="accent6" w:themeFillTint="66"/>
            <w:vAlign w:val="center"/>
          </w:tcPr>
          <w:p w14:paraId="645E7DA9" w14:textId="77777777" w:rsidR="004C009A" w:rsidRDefault="00FE5B1E" w:rsidP="00FE6BE3">
            <w:pPr>
              <w:spacing w:after="0" w:line="276" w:lineRule="auto"/>
              <w:jc w:val="center"/>
              <w:rPr>
                <w:rFonts w:eastAsia="Times New Roman"/>
                <w:b/>
                <w:color w:val="000000"/>
                <w:lang w:eastAsia="es-MX"/>
              </w:rPr>
            </w:pPr>
            <w:r w:rsidRPr="00E07693">
              <w:rPr>
                <w:rFonts w:eastAsia="Times New Roman"/>
                <w:b/>
                <w:color w:val="000000"/>
                <w:lang w:eastAsia="es-MX"/>
              </w:rPr>
              <w:t>Anexo 2</w:t>
            </w:r>
          </w:p>
          <w:p w14:paraId="645E7DAA" w14:textId="07175613" w:rsidR="007647E5" w:rsidRPr="00E07693" w:rsidRDefault="009233C4" w:rsidP="009233C4">
            <w:pPr>
              <w:spacing w:after="0" w:line="276" w:lineRule="auto"/>
              <w:jc w:val="center"/>
              <w:rPr>
                <w:rFonts w:eastAsia="Times New Roman"/>
                <w:b/>
                <w:color w:val="000000"/>
                <w:lang w:eastAsia="es-MX"/>
              </w:rPr>
            </w:pPr>
            <w:r w:rsidRPr="009233C4">
              <w:rPr>
                <w:rFonts w:eastAsia="Times New Roman"/>
                <w:b/>
                <w:color w:val="000000"/>
                <w:lang w:eastAsia="es-MX"/>
              </w:rPr>
              <w:t>3, 55, 56, 57, 58, 59, 63, 65 y 70</w:t>
            </w:r>
          </w:p>
        </w:tc>
      </w:tr>
      <w:tr w:rsidR="004C009A" w:rsidRPr="00243519" w14:paraId="645E7DAE" w14:textId="77777777" w:rsidTr="00E07693">
        <w:trPr>
          <w:trHeight w:val="204"/>
        </w:trPr>
        <w:tc>
          <w:tcPr>
            <w:tcW w:w="1555" w:type="dxa"/>
            <w:shd w:val="clear" w:color="auto" w:fill="C5E0B3" w:themeFill="accent6" w:themeFillTint="66"/>
            <w:vAlign w:val="center"/>
          </w:tcPr>
          <w:p w14:paraId="645E7DAC" w14:textId="77777777" w:rsidR="004C009A" w:rsidRPr="00E07693" w:rsidRDefault="00FE5B1E" w:rsidP="00FE6BE3">
            <w:pPr>
              <w:spacing w:after="0" w:line="276" w:lineRule="auto"/>
              <w:jc w:val="center"/>
              <w:rPr>
                <w:rFonts w:eastAsia="Times New Roman"/>
                <w:b/>
                <w:color w:val="000000"/>
                <w:lang w:eastAsia="es-MX"/>
              </w:rPr>
            </w:pPr>
            <w:r w:rsidRPr="00E07693">
              <w:rPr>
                <w:rFonts w:eastAsia="Times New Roman"/>
                <w:b/>
                <w:color w:val="000000"/>
                <w:lang w:eastAsia="es-MX"/>
              </w:rPr>
              <w:t>Medida</w:t>
            </w:r>
          </w:p>
        </w:tc>
        <w:tc>
          <w:tcPr>
            <w:tcW w:w="7086" w:type="dxa"/>
            <w:gridSpan w:val="2"/>
            <w:shd w:val="clear" w:color="auto" w:fill="C5E0B3" w:themeFill="accent6" w:themeFillTint="66"/>
            <w:vAlign w:val="center"/>
          </w:tcPr>
          <w:p w14:paraId="645E7DAD" w14:textId="77777777" w:rsidR="004C009A" w:rsidRPr="00E07693" w:rsidRDefault="00FE5B1E" w:rsidP="00FE6BE3">
            <w:pPr>
              <w:spacing w:after="0" w:line="276" w:lineRule="auto"/>
              <w:jc w:val="center"/>
              <w:rPr>
                <w:rFonts w:eastAsia="Times New Roman"/>
                <w:b/>
                <w:color w:val="000000"/>
                <w:lang w:eastAsia="es-MX"/>
              </w:rPr>
            </w:pPr>
            <w:r w:rsidRPr="00E07693">
              <w:rPr>
                <w:rFonts w:eastAsia="Times New Roman"/>
                <w:b/>
                <w:color w:val="000000"/>
                <w:lang w:eastAsia="es-MX"/>
              </w:rPr>
              <w:t>Comentario</w:t>
            </w:r>
          </w:p>
        </w:tc>
      </w:tr>
      <w:tr w:rsidR="004C009A" w:rsidRPr="00243519" w14:paraId="645E7DB1" w14:textId="77777777" w:rsidTr="00E07693">
        <w:trPr>
          <w:trHeight w:val="414"/>
        </w:trPr>
        <w:tc>
          <w:tcPr>
            <w:tcW w:w="1555" w:type="dxa"/>
            <w:shd w:val="clear" w:color="auto" w:fill="FFFFFF"/>
            <w:vAlign w:val="center"/>
          </w:tcPr>
          <w:p w14:paraId="645E7DAF" w14:textId="77777777" w:rsidR="004C009A" w:rsidRDefault="001B6766" w:rsidP="00FE6BE3">
            <w:pPr>
              <w:spacing w:after="0" w:line="276" w:lineRule="auto"/>
              <w:jc w:val="center"/>
              <w:rPr>
                <w:rFonts w:eastAsia="Times New Roman"/>
                <w:bCs/>
                <w:color w:val="000000"/>
                <w:lang w:eastAsia="es-MX"/>
              </w:rPr>
            </w:pPr>
            <w:r w:rsidRPr="005F491B">
              <w:rPr>
                <w:rFonts w:eastAsia="Times New Roman"/>
                <w:color w:val="7F7F7F" w:themeColor="text1" w:themeTint="80"/>
                <w:lang w:eastAsia="es-MX"/>
              </w:rPr>
              <w:t>[Indique número]</w:t>
            </w:r>
            <w:r w:rsidRPr="001B6766">
              <w:rPr>
                <w:rFonts w:eastAsia="Times New Roman"/>
                <w:bCs/>
                <w:color w:val="000000"/>
                <w:lang w:eastAsia="es-MX"/>
              </w:rPr>
              <w:t xml:space="preserve"> </w:t>
            </w:r>
          </w:p>
        </w:tc>
        <w:tc>
          <w:tcPr>
            <w:tcW w:w="7086" w:type="dxa"/>
            <w:gridSpan w:val="2"/>
            <w:shd w:val="clear" w:color="auto" w:fill="FFFFFF"/>
            <w:vAlign w:val="center"/>
          </w:tcPr>
          <w:p w14:paraId="645E7DB0" w14:textId="77777777" w:rsidR="004C009A" w:rsidRDefault="004C009A" w:rsidP="00FE6BE3">
            <w:pPr>
              <w:spacing w:after="0" w:line="276" w:lineRule="auto"/>
              <w:jc w:val="center"/>
              <w:rPr>
                <w:rFonts w:eastAsia="Times New Roman"/>
                <w:bCs/>
                <w:color w:val="000000"/>
                <w:lang w:eastAsia="es-MX"/>
              </w:rPr>
            </w:pPr>
          </w:p>
        </w:tc>
      </w:tr>
      <w:tr w:rsidR="004C009A" w:rsidRPr="00243519" w14:paraId="645E7DB4" w14:textId="77777777" w:rsidTr="00FA1443">
        <w:trPr>
          <w:trHeight w:val="414"/>
        </w:trPr>
        <w:tc>
          <w:tcPr>
            <w:tcW w:w="1555" w:type="dxa"/>
            <w:shd w:val="clear" w:color="auto" w:fill="FFFFFF"/>
          </w:tcPr>
          <w:p w14:paraId="645E7DB2" w14:textId="77777777" w:rsidR="004C009A" w:rsidRDefault="001B6766" w:rsidP="00FE6BE3">
            <w:pPr>
              <w:spacing w:after="0" w:line="276" w:lineRule="auto"/>
              <w:jc w:val="center"/>
              <w:rPr>
                <w:rFonts w:eastAsia="Times New Roman"/>
                <w:bCs/>
                <w:color w:val="000000"/>
                <w:lang w:eastAsia="es-MX"/>
              </w:rPr>
            </w:pPr>
            <w:r w:rsidRPr="00300958">
              <w:rPr>
                <w:rFonts w:eastAsia="Times New Roman"/>
                <w:color w:val="7F7F7F" w:themeColor="text1" w:themeTint="80"/>
                <w:lang w:eastAsia="es-MX"/>
              </w:rPr>
              <w:t xml:space="preserve">[Indique </w:t>
            </w:r>
            <w:r>
              <w:rPr>
                <w:rFonts w:eastAsia="Times New Roman"/>
                <w:color w:val="7F7F7F" w:themeColor="text1" w:themeTint="80"/>
                <w:lang w:eastAsia="es-MX"/>
              </w:rPr>
              <w:t>número</w:t>
            </w:r>
            <w:r w:rsidRPr="00300958">
              <w:rPr>
                <w:rFonts w:eastAsia="Times New Roman"/>
                <w:color w:val="7F7F7F" w:themeColor="text1" w:themeTint="80"/>
                <w:lang w:eastAsia="es-MX"/>
              </w:rPr>
              <w:t>]</w:t>
            </w:r>
            <w:r>
              <w:rPr>
                <w:rFonts w:eastAsia="Times New Roman"/>
                <w:bCs/>
                <w:color w:val="000000"/>
                <w:lang w:eastAsia="es-MX"/>
              </w:rPr>
              <w:t xml:space="preserve"> </w:t>
            </w:r>
          </w:p>
        </w:tc>
        <w:tc>
          <w:tcPr>
            <w:tcW w:w="7086" w:type="dxa"/>
            <w:gridSpan w:val="2"/>
            <w:shd w:val="clear" w:color="auto" w:fill="FFFFFF"/>
            <w:vAlign w:val="center"/>
          </w:tcPr>
          <w:p w14:paraId="645E7DB3" w14:textId="77777777" w:rsidR="004C009A" w:rsidRDefault="004C009A" w:rsidP="00FE6BE3">
            <w:pPr>
              <w:spacing w:after="0" w:line="276" w:lineRule="auto"/>
              <w:jc w:val="center"/>
              <w:rPr>
                <w:rFonts w:eastAsia="Times New Roman"/>
                <w:bCs/>
                <w:color w:val="000000"/>
                <w:lang w:eastAsia="es-MX"/>
              </w:rPr>
            </w:pPr>
          </w:p>
        </w:tc>
      </w:tr>
      <w:tr w:rsidR="00FE5B1E" w:rsidRPr="00243519" w14:paraId="645E7DB7" w14:textId="77777777" w:rsidTr="00E07693">
        <w:trPr>
          <w:trHeight w:val="414"/>
        </w:trPr>
        <w:tc>
          <w:tcPr>
            <w:tcW w:w="4320" w:type="dxa"/>
            <w:gridSpan w:val="2"/>
            <w:shd w:val="clear" w:color="auto" w:fill="FFFFFF"/>
          </w:tcPr>
          <w:p w14:paraId="645E7DB5" w14:textId="77777777" w:rsidR="00FE5B1E" w:rsidRDefault="00FE5B1E" w:rsidP="00E07693">
            <w:pPr>
              <w:spacing w:after="0" w:line="276" w:lineRule="auto"/>
              <w:rPr>
                <w:rFonts w:eastAsia="Times New Roman"/>
                <w:bCs/>
                <w:color w:val="000000"/>
                <w:lang w:eastAsia="es-MX"/>
              </w:rPr>
            </w:pPr>
            <w:r w:rsidRPr="00FD6D61">
              <w:t>Liste los documentos asociados  a los comentarios manifestados</w:t>
            </w:r>
            <w:r w:rsidR="003E5B1D">
              <w:t>:</w:t>
            </w:r>
          </w:p>
        </w:tc>
        <w:tc>
          <w:tcPr>
            <w:tcW w:w="4321" w:type="dxa"/>
            <w:shd w:val="clear" w:color="auto" w:fill="FFFFFF"/>
          </w:tcPr>
          <w:p w14:paraId="645E7DB6" w14:textId="77777777" w:rsidR="00FE5B1E" w:rsidRPr="00300958" w:rsidRDefault="00FE5B1E" w:rsidP="00E07693">
            <w:pPr>
              <w:spacing w:after="0" w:line="276" w:lineRule="auto"/>
              <w:rPr>
                <w:rFonts w:eastAsia="Times New Roman"/>
                <w:color w:val="7F7F7F" w:themeColor="text1" w:themeTint="80"/>
                <w:lang w:eastAsia="es-MX"/>
              </w:rPr>
            </w:pPr>
            <w:r w:rsidRPr="00300958">
              <w:rPr>
                <w:rFonts w:eastAsia="Times New Roman"/>
                <w:color w:val="7F7F7F" w:themeColor="text1" w:themeTint="80"/>
                <w:lang w:eastAsia="es-MX"/>
              </w:rPr>
              <w:t>[Indique nombre, sección y páginas del documento]</w:t>
            </w:r>
          </w:p>
        </w:tc>
      </w:tr>
      <w:tr w:rsidR="004C009A" w:rsidRPr="00243519" w14:paraId="645E7DBA" w14:textId="77777777" w:rsidTr="00FE6BE3">
        <w:trPr>
          <w:trHeight w:val="414"/>
        </w:trPr>
        <w:tc>
          <w:tcPr>
            <w:tcW w:w="4320" w:type="dxa"/>
            <w:gridSpan w:val="2"/>
            <w:shd w:val="clear" w:color="auto" w:fill="FFFFFF"/>
            <w:vAlign w:val="center"/>
          </w:tcPr>
          <w:p w14:paraId="645E7DB8" w14:textId="77777777" w:rsidR="004C009A" w:rsidRDefault="004C009A" w:rsidP="00FE6BE3">
            <w:pPr>
              <w:spacing w:after="0" w:line="276" w:lineRule="auto"/>
              <w:jc w:val="center"/>
              <w:rPr>
                <w:rFonts w:eastAsia="Times New Roman"/>
                <w:bCs/>
                <w:color w:val="000000"/>
                <w:lang w:eastAsia="es-MX"/>
              </w:rPr>
            </w:pPr>
          </w:p>
        </w:tc>
        <w:tc>
          <w:tcPr>
            <w:tcW w:w="4321" w:type="dxa"/>
            <w:shd w:val="clear" w:color="auto" w:fill="FFFFFF"/>
            <w:vAlign w:val="center"/>
          </w:tcPr>
          <w:p w14:paraId="645E7DB9" w14:textId="77777777" w:rsidR="004C009A" w:rsidRDefault="004C009A" w:rsidP="00FE6BE3">
            <w:pPr>
              <w:spacing w:after="0" w:line="276" w:lineRule="auto"/>
              <w:jc w:val="center"/>
              <w:rPr>
                <w:rFonts w:eastAsia="Times New Roman"/>
                <w:bCs/>
                <w:color w:val="000000"/>
                <w:lang w:eastAsia="es-MX"/>
              </w:rPr>
            </w:pPr>
          </w:p>
        </w:tc>
      </w:tr>
      <w:tr w:rsidR="00FE5B1E" w:rsidRPr="00243519" w14:paraId="645E7DBD" w14:textId="77777777" w:rsidTr="00E07693">
        <w:trPr>
          <w:trHeight w:val="191"/>
        </w:trPr>
        <w:tc>
          <w:tcPr>
            <w:tcW w:w="8641" w:type="dxa"/>
            <w:gridSpan w:val="3"/>
            <w:shd w:val="clear" w:color="auto" w:fill="C5E0B3" w:themeFill="accent6" w:themeFillTint="66"/>
            <w:vAlign w:val="center"/>
          </w:tcPr>
          <w:p w14:paraId="645E7DBB" w14:textId="77777777" w:rsidR="00FE5B1E" w:rsidRDefault="00FE5B1E" w:rsidP="00FE6BE3">
            <w:pPr>
              <w:spacing w:after="0" w:line="276" w:lineRule="auto"/>
              <w:jc w:val="center"/>
              <w:rPr>
                <w:rFonts w:eastAsia="Times New Roman"/>
                <w:b/>
                <w:color w:val="000000"/>
                <w:lang w:eastAsia="es-MX"/>
              </w:rPr>
            </w:pPr>
            <w:r w:rsidRPr="00E07693">
              <w:rPr>
                <w:rFonts w:eastAsia="Times New Roman"/>
                <w:b/>
                <w:color w:val="000000"/>
                <w:lang w:eastAsia="es-MX"/>
              </w:rPr>
              <w:t>Anexo 3</w:t>
            </w:r>
          </w:p>
          <w:p w14:paraId="645E7DBC" w14:textId="14BD288D" w:rsidR="009233C4" w:rsidRPr="00E07693" w:rsidRDefault="009233C4" w:rsidP="009233C4">
            <w:pPr>
              <w:spacing w:after="0" w:line="276" w:lineRule="auto"/>
              <w:jc w:val="center"/>
              <w:rPr>
                <w:rFonts w:eastAsia="Times New Roman"/>
                <w:b/>
                <w:color w:val="000000"/>
                <w:lang w:eastAsia="es-MX"/>
              </w:rPr>
            </w:pPr>
            <w:r w:rsidRPr="009233C4">
              <w:rPr>
                <w:rFonts w:eastAsia="Times New Roman"/>
                <w:b/>
                <w:color w:val="000000"/>
                <w:lang w:eastAsia="es-MX"/>
              </w:rPr>
              <w:t>3, 22, 23, 24, 40, 44, 45, 46 y 47</w:t>
            </w:r>
          </w:p>
        </w:tc>
      </w:tr>
      <w:tr w:rsidR="004C009A" w:rsidRPr="00243519" w14:paraId="645E7DC0" w14:textId="77777777" w:rsidTr="00E07693">
        <w:trPr>
          <w:trHeight w:val="323"/>
        </w:trPr>
        <w:tc>
          <w:tcPr>
            <w:tcW w:w="1555" w:type="dxa"/>
            <w:shd w:val="clear" w:color="auto" w:fill="C5E0B3" w:themeFill="accent6" w:themeFillTint="66"/>
            <w:vAlign w:val="center"/>
          </w:tcPr>
          <w:p w14:paraId="645E7DBE" w14:textId="77777777" w:rsidR="004C009A" w:rsidRPr="00E07693" w:rsidRDefault="00FE5B1E" w:rsidP="00FE6BE3">
            <w:pPr>
              <w:spacing w:after="0" w:line="276" w:lineRule="auto"/>
              <w:jc w:val="center"/>
              <w:rPr>
                <w:rFonts w:eastAsia="Times New Roman"/>
                <w:b/>
                <w:color w:val="000000"/>
                <w:lang w:eastAsia="es-MX"/>
              </w:rPr>
            </w:pPr>
            <w:r>
              <w:rPr>
                <w:rFonts w:eastAsia="Times New Roman"/>
                <w:b/>
                <w:bCs/>
                <w:color w:val="000000"/>
                <w:lang w:eastAsia="es-MX"/>
              </w:rPr>
              <w:t>Medida</w:t>
            </w:r>
          </w:p>
        </w:tc>
        <w:tc>
          <w:tcPr>
            <w:tcW w:w="7086" w:type="dxa"/>
            <w:gridSpan w:val="2"/>
            <w:shd w:val="clear" w:color="auto" w:fill="C5E0B3" w:themeFill="accent6" w:themeFillTint="66"/>
            <w:vAlign w:val="center"/>
          </w:tcPr>
          <w:p w14:paraId="645E7DBF" w14:textId="77777777" w:rsidR="004C009A" w:rsidRPr="00E07693" w:rsidRDefault="00FE5B1E" w:rsidP="00FE6BE3">
            <w:pPr>
              <w:spacing w:after="0" w:line="276" w:lineRule="auto"/>
              <w:jc w:val="center"/>
              <w:rPr>
                <w:rFonts w:eastAsia="Times New Roman"/>
                <w:b/>
                <w:color w:val="000000"/>
                <w:lang w:eastAsia="es-MX"/>
              </w:rPr>
            </w:pPr>
            <w:r w:rsidRPr="00E07693">
              <w:rPr>
                <w:rFonts w:eastAsia="Times New Roman"/>
                <w:b/>
                <w:color w:val="000000"/>
                <w:lang w:eastAsia="es-MX"/>
              </w:rPr>
              <w:t>Comentario</w:t>
            </w:r>
          </w:p>
        </w:tc>
      </w:tr>
      <w:tr w:rsidR="004C009A" w:rsidRPr="00243519" w14:paraId="645E7DC3" w14:textId="77777777" w:rsidTr="00FA1443">
        <w:trPr>
          <w:trHeight w:val="414"/>
        </w:trPr>
        <w:tc>
          <w:tcPr>
            <w:tcW w:w="1555" w:type="dxa"/>
            <w:shd w:val="clear" w:color="auto" w:fill="FFFFFF"/>
          </w:tcPr>
          <w:p w14:paraId="645E7DC1" w14:textId="77777777" w:rsidR="004C009A" w:rsidRDefault="001B6766" w:rsidP="00FE6BE3">
            <w:pPr>
              <w:spacing w:after="0" w:line="276" w:lineRule="auto"/>
              <w:jc w:val="center"/>
              <w:rPr>
                <w:rFonts w:eastAsia="Times New Roman"/>
                <w:bCs/>
                <w:color w:val="000000"/>
                <w:lang w:eastAsia="es-MX"/>
              </w:rPr>
            </w:pPr>
            <w:r w:rsidRPr="00FA1443">
              <w:rPr>
                <w:rFonts w:eastAsia="Times New Roman"/>
                <w:color w:val="7F7F7F" w:themeColor="text1" w:themeTint="80"/>
                <w:lang w:eastAsia="es-MX"/>
              </w:rPr>
              <w:t>[Indique número]</w:t>
            </w:r>
            <w:r w:rsidRPr="00C6502E">
              <w:t xml:space="preserve"> </w:t>
            </w:r>
          </w:p>
        </w:tc>
        <w:tc>
          <w:tcPr>
            <w:tcW w:w="7086" w:type="dxa"/>
            <w:gridSpan w:val="2"/>
            <w:shd w:val="clear" w:color="auto" w:fill="FFFFFF"/>
            <w:vAlign w:val="center"/>
          </w:tcPr>
          <w:p w14:paraId="645E7DC2" w14:textId="77777777" w:rsidR="004C009A" w:rsidRDefault="004C009A" w:rsidP="00FE6BE3">
            <w:pPr>
              <w:spacing w:after="0" w:line="276" w:lineRule="auto"/>
              <w:jc w:val="center"/>
              <w:rPr>
                <w:rFonts w:eastAsia="Times New Roman"/>
                <w:bCs/>
                <w:color w:val="000000"/>
                <w:lang w:eastAsia="es-MX"/>
              </w:rPr>
            </w:pPr>
          </w:p>
        </w:tc>
      </w:tr>
      <w:tr w:rsidR="004C009A" w:rsidRPr="00243519" w14:paraId="645E7DC6" w14:textId="77777777" w:rsidTr="00FA1443">
        <w:trPr>
          <w:trHeight w:val="414"/>
        </w:trPr>
        <w:tc>
          <w:tcPr>
            <w:tcW w:w="1555" w:type="dxa"/>
            <w:shd w:val="clear" w:color="auto" w:fill="FFFFFF"/>
          </w:tcPr>
          <w:p w14:paraId="645E7DC4" w14:textId="77777777" w:rsidR="004C009A" w:rsidRDefault="001B6766" w:rsidP="00FE6BE3">
            <w:pPr>
              <w:spacing w:after="0" w:line="276" w:lineRule="auto"/>
              <w:jc w:val="center"/>
              <w:rPr>
                <w:rFonts w:eastAsia="Times New Roman"/>
                <w:bCs/>
                <w:color w:val="000000"/>
                <w:lang w:eastAsia="es-MX"/>
              </w:rPr>
            </w:pPr>
            <w:r w:rsidRPr="00FA1443">
              <w:rPr>
                <w:rFonts w:eastAsia="Times New Roman"/>
                <w:color w:val="7F7F7F" w:themeColor="text1" w:themeTint="80"/>
                <w:lang w:eastAsia="es-MX"/>
              </w:rPr>
              <w:t>[Indique número]</w:t>
            </w:r>
            <w:r w:rsidRPr="00C6502E">
              <w:t xml:space="preserve"> </w:t>
            </w:r>
          </w:p>
        </w:tc>
        <w:tc>
          <w:tcPr>
            <w:tcW w:w="7086" w:type="dxa"/>
            <w:gridSpan w:val="2"/>
            <w:shd w:val="clear" w:color="auto" w:fill="FFFFFF"/>
            <w:vAlign w:val="center"/>
          </w:tcPr>
          <w:p w14:paraId="645E7DC5" w14:textId="77777777" w:rsidR="004C009A" w:rsidRDefault="004C009A" w:rsidP="00FE6BE3">
            <w:pPr>
              <w:spacing w:after="0" w:line="276" w:lineRule="auto"/>
              <w:jc w:val="center"/>
              <w:rPr>
                <w:rFonts w:eastAsia="Times New Roman"/>
                <w:bCs/>
                <w:color w:val="000000"/>
                <w:lang w:eastAsia="es-MX"/>
              </w:rPr>
            </w:pPr>
          </w:p>
        </w:tc>
      </w:tr>
      <w:tr w:rsidR="00FE5B1E" w:rsidRPr="00243519" w14:paraId="645E7DC9" w14:textId="77777777" w:rsidTr="00E07693">
        <w:trPr>
          <w:trHeight w:val="414"/>
        </w:trPr>
        <w:tc>
          <w:tcPr>
            <w:tcW w:w="4320" w:type="dxa"/>
            <w:gridSpan w:val="2"/>
            <w:shd w:val="clear" w:color="auto" w:fill="FFFFFF"/>
          </w:tcPr>
          <w:p w14:paraId="645E7DC7" w14:textId="77777777" w:rsidR="00FE5B1E" w:rsidRDefault="00FE5B1E" w:rsidP="00E07693">
            <w:pPr>
              <w:spacing w:after="0" w:line="276" w:lineRule="auto"/>
              <w:rPr>
                <w:rFonts w:eastAsia="Times New Roman"/>
                <w:bCs/>
                <w:color w:val="000000"/>
                <w:lang w:eastAsia="es-MX"/>
              </w:rPr>
            </w:pPr>
            <w:r w:rsidRPr="00FD6D61">
              <w:t>Liste los documentos asociados  a los comentarios manifestados</w:t>
            </w:r>
            <w:r w:rsidR="003E5B1D">
              <w:t>:</w:t>
            </w:r>
          </w:p>
        </w:tc>
        <w:tc>
          <w:tcPr>
            <w:tcW w:w="4321" w:type="dxa"/>
            <w:shd w:val="clear" w:color="auto" w:fill="FFFFFF"/>
          </w:tcPr>
          <w:p w14:paraId="645E7DC8" w14:textId="77777777" w:rsidR="00FE5B1E" w:rsidRDefault="00FE5B1E" w:rsidP="00E07693">
            <w:pPr>
              <w:spacing w:after="0" w:line="276" w:lineRule="auto"/>
              <w:rPr>
                <w:rFonts w:eastAsia="Times New Roman"/>
                <w:bCs/>
                <w:color w:val="000000"/>
                <w:lang w:eastAsia="es-MX"/>
              </w:rPr>
            </w:pPr>
            <w:r w:rsidRPr="00300958">
              <w:rPr>
                <w:rFonts w:eastAsia="Times New Roman"/>
                <w:color w:val="7F7F7F" w:themeColor="text1" w:themeTint="80"/>
                <w:lang w:eastAsia="es-MX"/>
              </w:rPr>
              <w:t>[Indique nombre, sección y páginas del documento]</w:t>
            </w:r>
          </w:p>
        </w:tc>
      </w:tr>
      <w:tr w:rsidR="004C009A" w:rsidRPr="00243519" w14:paraId="645E7DCC" w14:textId="77777777" w:rsidTr="00FE6BE3">
        <w:trPr>
          <w:trHeight w:val="414"/>
        </w:trPr>
        <w:tc>
          <w:tcPr>
            <w:tcW w:w="4320" w:type="dxa"/>
            <w:gridSpan w:val="2"/>
            <w:shd w:val="clear" w:color="auto" w:fill="FFFFFF"/>
            <w:vAlign w:val="center"/>
          </w:tcPr>
          <w:p w14:paraId="645E7DCA" w14:textId="77777777" w:rsidR="004C009A" w:rsidRDefault="004C009A" w:rsidP="00FE6BE3">
            <w:pPr>
              <w:spacing w:after="0" w:line="276" w:lineRule="auto"/>
              <w:jc w:val="center"/>
              <w:rPr>
                <w:rFonts w:eastAsia="Times New Roman"/>
                <w:bCs/>
                <w:color w:val="000000"/>
                <w:lang w:eastAsia="es-MX"/>
              </w:rPr>
            </w:pPr>
          </w:p>
        </w:tc>
        <w:tc>
          <w:tcPr>
            <w:tcW w:w="4321" w:type="dxa"/>
            <w:shd w:val="clear" w:color="auto" w:fill="FFFFFF"/>
            <w:vAlign w:val="center"/>
          </w:tcPr>
          <w:p w14:paraId="645E7DCB" w14:textId="77777777" w:rsidR="004C009A" w:rsidRDefault="004C009A" w:rsidP="00FE6BE3">
            <w:pPr>
              <w:spacing w:after="0" w:line="276" w:lineRule="auto"/>
              <w:jc w:val="center"/>
              <w:rPr>
                <w:rFonts w:eastAsia="Times New Roman"/>
                <w:bCs/>
                <w:color w:val="000000"/>
                <w:lang w:eastAsia="es-MX"/>
              </w:rPr>
            </w:pPr>
          </w:p>
        </w:tc>
      </w:tr>
      <w:tr w:rsidR="00F24423" w:rsidRPr="00243519" w14:paraId="645E7DCE" w14:textId="77777777" w:rsidTr="00FE6BE3">
        <w:trPr>
          <w:trHeight w:val="108"/>
        </w:trPr>
        <w:tc>
          <w:tcPr>
            <w:tcW w:w="8641" w:type="dxa"/>
            <w:gridSpan w:val="3"/>
            <w:shd w:val="clear" w:color="auto" w:fill="C5E0B3"/>
            <w:vAlign w:val="center"/>
          </w:tcPr>
          <w:p w14:paraId="645E7DCD" w14:textId="77777777" w:rsidR="00F24423" w:rsidRPr="00AD37DA" w:rsidRDefault="00F24423" w:rsidP="00FE6BE3">
            <w:pPr>
              <w:spacing w:after="0" w:line="240" w:lineRule="auto"/>
              <w:rPr>
                <w:rFonts w:ascii="ITC Avant Garde" w:eastAsia="Times New Roman" w:hAnsi="ITC Avant Garde"/>
                <w:color w:val="000000"/>
                <w:lang w:eastAsia="es-MX"/>
              </w:rPr>
            </w:pPr>
            <w:r>
              <w:rPr>
                <w:rFonts w:ascii="ITC Avant Garde" w:eastAsia="Times New Roman" w:hAnsi="ITC Avant Garde"/>
                <w:b/>
                <w:color w:val="000000"/>
                <w:sz w:val="16"/>
                <w:lang w:eastAsia="es-MX"/>
              </w:rPr>
              <w:t>Nota</w:t>
            </w:r>
            <w:r w:rsidRPr="009E2EB0">
              <w:rPr>
                <w:rFonts w:ascii="ITC Avant Garde" w:eastAsia="Times New Roman" w:hAnsi="ITC Avant Garde"/>
                <w:b/>
                <w:color w:val="000000"/>
                <w:sz w:val="16"/>
                <w:lang w:eastAsia="es-MX"/>
              </w:rPr>
              <w:t>:</w:t>
            </w:r>
            <w:r>
              <w:rPr>
                <w:rFonts w:ascii="ITC Avant Garde" w:eastAsia="Times New Roman" w:hAnsi="ITC Avant Garde"/>
                <w:b/>
                <w:color w:val="000000"/>
                <w:sz w:val="16"/>
                <w:lang w:eastAsia="es-MX"/>
              </w:rPr>
              <w:t xml:space="preserve"> </w:t>
            </w:r>
            <w:r>
              <w:rPr>
                <w:rFonts w:ascii="ITC Avant Garde" w:eastAsia="Times New Roman" w:hAnsi="ITC Avant Garde"/>
                <w:color w:val="000000"/>
                <w:sz w:val="14"/>
                <w:szCs w:val="14"/>
                <w:lang w:eastAsia="es-MX"/>
              </w:rPr>
              <w:t>Favor de añadir</w:t>
            </w:r>
            <w:r w:rsidRPr="00B6756D">
              <w:rPr>
                <w:rFonts w:ascii="ITC Avant Garde" w:eastAsia="Times New Roman" w:hAnsi="ITC Avant Garde"/>
                <w:color w:val="000000"/>
                <w:sz w:val="14"/>
                <w:szCs w:val="14"/>
                <w:lang w:eastAsia="es-MX"/>
              </w:rPr>
              <w:t xml:space="preserve"> cuantas </w:t>
            </w:r>
            <w:r>
              <w:rPr>
                <w:rFonts w:ascii="ITC Avant Garde" w:eastAsia="Times New Roman" w:hAnsi="ITC Avant Garde"/>
                <w:color w:val="000000"/>
                <w:sz w:val="14"/>
                <w:szCs w:val="14"/>
                <w:lang w:eastAsia="es-MX"/>
              </w:rPr>
              <w:t>filas</w:t>
            </w:r>
            <w:r w:rsidRPr="00B6756D">
              <w:rPr>
                <w:rFonts w:ascii="ITC Avant Garde" w:eastAsia="Times New Roman" w:hAnsi="ITC Avant Garde"/>
                <w:color w:val="000000"/>
                <w:sz w:val="14"/>
                <w:szCs w:val="14"/>
                <w:lang w:eastAsia="es-MX"/>
              </w:rPr>
              <w:t xml:space="preserve"> </w:t>
            </w:r>
            <w:r>
              <w:rPr>
                <w:rFonts w:ascii="ITC Avant Garde" w:eastAsia="Times New Roman" w:hAnsi="ITC Avant Garde"/>
                <w:color w:val="000000"/>
                <w:sz w:val="14"/>
                <w:szCs w:val="14"/>
                <w:lang w:eastAsia="es-MX"/>
              </w:rPr>
              <w:t xml:space="preserve">considere </w:t>
            </w:r>
            <w:r w:rsidRPr="00B6756D">
              <w:rPr>
                <w:rFonts w:ascii="ITC Avant Garde" w:eastAsia="Times New Roman" w:hAnsi="ITC Avant Garde"/>
                <w:color w:val="000000"/>
                <w:sz w:val="14"/>
                <w:szCs w:val="14"/>
                <w:lang w:eastAsia="es-MX"/>
              </w:rPr>
              <w:t>necesarias</w:t>
            </w:r>
            <w:r w:rsidR="004C009A">
              <w:rPr>
                <w:rFonts w:ascii="ITC Avant Garde" w:eastAsia="Times New Roman" w:hAnsi="ITC Avant Garde"/>
                <w:color w:val="000000"/>
                <w:sz w:val="14"/>
                <w:szCs w:val="14"/>
                <w:lang w:eastAsia="es-MX"/>
              </w:rPr>
              <w:t xml:space="preserve"> indicando el número de medida</w:t>
            </w:r>
            <w:r>
              <w:rPr>
                <w:rFonts w:ascii="ITC Avant Garde" w:eastAsia="Times New Roman" w:hAnsi="ITC Avant Garde"/>
                <w:color w:val="000000"/>
                <w:sz w:val="14"/>
                <w:szCs w:val="14"/>
                <w:lang w:eastAsia="es-MX"/>
              </w:rPr>
              <w:t xml:space="preserve"> </w:t>
            </w:r>
            <w:r w:rsidR="004C009A">
              <w:rPr>
                <w:rFonts w:ascii="ITC Avant Garde" w:eastAsia="Times New Roman" w:hAnsi="ITC Avant Garde"/>
                <w:color w:val="000000"/>
                <w:sz w:val="14"/>
                <w:szCs w:val="14"/>
                <w:lang w:eastAsia="es-MX"/>
              </w:rPr>
              <w:t>de conformidad con el anexo</w:t>
            </w:r>
            <w:r>
              <w:rPr>
                <w:rFonts w:ascii="ITC Avant Garde" w:eastAsia="Times New Roman" w:hAnsi="ITC Avant Garde"/>
                <w:color w:val="000000"/>
                <w:sz w:val="14"/>
                <w:szCs w:val="14"/>
                <w:lang w:eastAsia="es-MX"/>
              </w:rPr>
              <w:t xml:space="preserve"> al que refiere el comentario</w:t>
            </w:r>
          </w:p>
        </w:tc>
      </w:tr>
    </w:tbl>
    <w:p w14:paraId="645E7DCF" w14:textId="77777777" w:rsidR="00F24423" w:rsidRDefault="00F24423" w:rsidP="00170916">
      <w:pPr>
        <w:spacing w:after="0"/>
        <w:rPr>
          <w:sz w:val="16"/>
        </w:rPr>
      </w:pPr>
    </w:p>
    <w:p w14:paraId="645E7DD0" w14:textId="3C9EB235" w:rsidR="009B079D" w:rsidRDefault="009B079D" w:rsidP="00170916">
      <w:pPr>
        <w:spacing w:after="0"/>
        <w:rPr>
          <w:sz w:val="16"/>
        </w:rPr>
      </w:pPr>
    </w:p>
    <w:p w14:paraId="2F276E80" w14:textId="31180E5D" w:rsidR="00915797" w:rsidRDefault="00915797" w:rsidP="00170916">
      <w:pPr>
        <w:spacing w:after="0"/>
        <w:rPr>
          <w:sz w:val="16"/>
        </w:rPr>
      </w:pPr>
    </w:p>
    <w:p w14:paraId="02EBC434" w14:textId="77777777" w:rsidR="00915797" w:rsidRDefault="00915797" w:rsidP="00170916">
      <w:pPr>
        <w:spacing w:after="0"/>
        <w:rPr>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1"/>
      </w:tblGrid>
      <w:tr w:rsidR="009B079D" w:rsidRPr="00C41536" w14:paraId="645E7DD2" w14:textId="77777777" w:rsidTr="001D7360">
        <w:trPr>
          <w:trHeight w:val="581"/>
        </w:trPr>
        <w:tc>
          <w:tcPr>
            <w:tcW w:w="8641" w:type="dxa"/>
            <w:shd w:val="clear" w:color="auto" w:fill="D9D9D9"/>
            <w:vAlign w:val="center"/>
            <w:hideMark/>
          </w:tcPr>
          <w:p w14:paraId="645E7DD1" w14:textId="77777777" w:rsidR="009B079D" w:rsidRPr="00C41536" w:rsidRDefault="009B079D" w:rsidP="00E07693">
            <w:pPr>
              <w:numPr>
                <w:ilvl w:val="0"/>
                <w:numId w:val="2"/>
              </w:numPr>
              <w:spacing w:after="0" w:line="240" w:lineRule="auto"/>
              <w:ind w:right="1069"/>
              <w:contextualSpacing/>
              <w:jc w:val="center"/>
              <w:rPr>
                <w:rFonts w:eastAsia="Times New Roman"/>
                <w:b/>
                <w:bCs/>
                <w:color w:val="FFFFFF"/>
                <w:lang w:eastAsia="es-MX"/>
              </w:rPr>
            </w:pPr>
            <w:r w:rsidRPr="00DF5B3F">
              <w:rPr>
                <w:rFonts w:eastAsia="Times New Roman"/>
                <w:b/>
                <w:bCs/>
                <w:color w:val="000000"/>
                <w:lang w:eastAsia="es-MX"/>
              </w:rPr>
              <w:lastRenderedPageBreak/>
              <w:t xml:space="preserve">Comentarios, opiniones </w:t>
            </w:r>
            <w:r w:rsidRPr="00C41536">
              <w:rPr>
                <w:rFonts w:eastAsia="Times New Roman"/>
                <w:b/>
                <w:bCs/>
                <w:lang w:eastAsia="es-MX"/>
              </w:rPr>
              <w:t xml:space="preserve">y aportaciones </w:t>
            </w:r>
            <w:r>
              <w:rPr>
                <w:rFonts w:eastAsia="Times New Roman"/>
                <w:b/>
                <w:bCs/>
                <w:lang w:eastAsia="es-MX"/>
              </w:rPr>
              <w:t>generales</w:t>
            </w:r>
            <w:r w:rsidR="008337E3">
              <w:rPr>
                <w:rFonts w:eastAsia="Times New Roman"/>
                <w:b/>
                <w:bCs/>
                <w:lang w:eastAsia="es-MX"/>
              </w:rPr>
              <w:t xml:space="preserve"> del participante sobre el asunto en consulta pública</w:t>
            </w:r>
          </w:p>
        </w:tc>
      </w:tr>
      <w:tr w:rsidR="009B079D" w:rsidRPr="00342582" w14:paraId="645E7DD4" w14:textId="77777777" w:rsidTr="001D7360">
        <w:trPr>
          <w:trHeight w:val="414"/>
        </w:trPr>
        <w:tc>
          <w:tcPr>
            <w:tcW w:w="8641" w:type="dxa"/>
            <w:shd w:val="clear" w:color="auto" w:fill="FFFFFF"/>
            <w:vAlign w:val="center"/>
          </w:tcPr>
          <w:p w14:paraId="157455C1" w14:textId="77777777" w:rsidR="009B079D" w:rsidRDefault="009B079D" w:rsidP="001D7360">
            <w:pPr>
              <w:spacing w:line="276" w:lineRule="auto"/>
              <w:rPr>
                <w:lang w:eastAsia="es-MX"/>
              </w:rPr>
            </w:pPr>
          </w:p>
          <w:p w14:paraId="50D15575" w14:textId="77777777" w:rsidR="0077234F" w:rsidRDefault="0077234F" w:rsidP="001D7360">
            <w:pPr>
              <w:spacing w:line="276" w:lineRule="auto"/>
              <w:rPr>
                <w:lang w:eastAsia="es-MX"/>
              </w:rPr>
            </w:pPr>
          </w:p>
          <w:p w14:paraId="17C18BF2" w14:textId="77777777" w:rsidR="0077234F" w:rsidRDefault="0077234F" w:rsidP="001D7360">
            <w:pPr>
              <w:spacing w:line="276" w:lineRule="auto"/>
              <w:rPr>
                <w:lang w:eastAsia="es-MX"/>
              </w:rPr>
            </w:pPr>
          </w:p>
          <w:p w14:paraId="645E7DD3" w14:textId="3DB65AAE" w:rsidR="0077234F" w:rsidRPr="00342582" w:rsidRDefault="0077234F" w:rsidP="001D7360">
            <w:pPr>
              <w:spacing w:line="276" w:lineRule="auto"/>
              <w:rPr>
                <w:lang w:eastAsia="es-MX"/>
              </w:rPr>
            </w:pPr>
          </w:p>
        </w:tc>
      </w:tr>
    </w:tbl>
    <w:p w14:paraId="645E7DD5" w14:textId="77777777" w:rsidR="00F24423" w:rsidRPr="00C41536" w:rsidRDefault="00F24423" w:rsidP="00170916">
      <w:pPr>
        <w:spacing w:after="0"/>
        <w:rPr>
          <w:sz w:val="16"/>
        </w:rPr>
      </w:pPr>
    </w:p>
    <w:sectPr w:rsidR="00F24423" w:rsidRPr="00C41536" w:rsidSect="00FC6EE4">
      <w:headerReference w:type="default" r:id="rId19"/>
      <w:footerReference w:type="default" r:id="rId20"/>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A531" w14:textId="77777777" w:rsidR="00050BED" w:rsidRDefault="00050BED" w:rsidP="0038199D">
      <w:pPr>
        <w:spacing w:after="0" w:line="240" w:lineRule="auto"/>
      </w:pPr>
      <w:r>
        <w:separator/>
      </w:r>
    </w:p>
  </w:endnote>
  <w:endnote w:type="continuationSeparator" w:id="0">
    <w:p w14:paraId="66A86300" w14:textId="77777777" w:rsidR="00050BED" w:rsidRDefault="00050BED" w:rsidP="0038199D">
      <w:pPr>
        <w:spacing w:after="0" w:line="240" w:lineRule="auto"/>
      </w:pPr>
      <w:r>
        <w:continuationSeparator/>
      </w:r>
    </w:p>
  </w:endnote>
  <w:endnote w:type="continuationNotice" w:id="1">
    <w:p w14:paraId="1FF2F2ED" w14:textId="77777777" w:rsidR="00050BED" w:rsidRDefault="00050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7DDF" w14:textId="36CB84CE" w:rsidR="00FA58E1" w:rsidRPr="00DF5B3F" w:rsidRDefault="00FA58E1">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63C81" w:rsidRPr="00063C81">
      <w:rPr>
        <w:rFonts w:ascii="ITC Avant Garde" w:hAnsi="ITC Avant Garde"/>
        <w:noProof/>
        <w:color w:val="323E4F"/>
        <w:sz w:val="14"/>
        <w:szCs w:val="24"/>
        <w:lang w:val="es-ES"/>
      </w:rPr>
      <w:t>21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63C81" w:rsidRPr="00063C81">
      <w:rPr>
        <w:rFonts w:ascii="ITC Avant Garde" w:hAnsi="ITC Avant Garde"/>
        <w:noProof/>
        <w:color w:val="323E4F"/>
        <w:sz w:val="14"/>
        <w:szCs w:val="24"/>
        <w:lang w:val="es-ES"/>
      </w:rPr>
      <w:t>27</w:t>
    </w:r>
    <w:r w:rsidRPr="00DF5B3F">
      <w:rPr>
        <w:rFonts w:ascii="ITC Avant Garde" w:hAnsi="ITC Avant Garde"/>
        <w:color w:val="323E4F"/>
        <w:sz w:val="14"/>
        <w:szCs w:val="24"/>
      </w:rPr>
      <w:fldChar w:fldCharType="end"/>
    </w:r>
  </w:p>
  <w:p w14:paraId="645E7DE0" w14:textId="77777777" w:rsidR="00FA58E1" w:rsidRDefault="00FA58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BA42" w14:textId="77777777" w:rsidR="00050BED" w:rsidRDefault="00050BED" w:rsidP="0038199D">
      <w:pPr>
        <w:spacing w:after="0" w:line="240" w:lineRule="auto"/>
      </w:pPr>
      <w:r>
        <w:separator/>
      </w:r>
    </w:p>
  </w:footnote>
  <w:footnote w:type="continuationSeparator" w:id="0">
    <w:p w14:paraId="5C4B6EDA" w14:textId="77777777" w:rsidR="00050BED" w:rsidRDefault="00050BED" w:rsidP="0038199D">
      <w:pPr>
        <w:spacing w:after="0" w:line="240" w:lineRule="auto"/>
      </w:pPr>
      <w:r>
        <w:continuationSeparator/>
      </w:r>
    </w:p>
  </w:footnote>
  <w:footnote w:type="continuationNotice" w:id="1">
    <w:p w14:paraId="79E3CA7A" w14:textId="77777777" w:rsidR="00050BED" w:rsidRDefault="00050BED">
      <w:pPr>
        <w:spacing w:after="0" w:line="240" w:lineRule="auto"/>
      </w:pPr>
    </w:p>
  </w:footnote>
  <w:footnote w:id="2">
    <w:p w14:paraId="645E7DE5" w14:textId="77777777" w:rsidR="00FA58E1" w:rsidRPr="00194F9E" w:rsidRDefault="00FA58E1" w:rsidP="00194F9E">
      <w:pPr>
        <w:pStyle w:val="Textonotapie"/>
        <w:spacing w:after="0"/>
        <w:jc w:val="left"/>
        <w:rPr>
          <w:color w:val="0563C1"/>
          <w:sz w:val="18"/>
          <w:u w:val="single"/>
        </w:rPr>
      </w:pPr>
      <w:r w:rsidRPr="00194F9E">
        <w:rPr>
          <w:rStyle w:val="Refdenotaalpie"/>
          <w:sz w:val="18"/>
        </w:rPr>
        <w:footnoteRef/>
      </w:r>
      <w:r w:rsidRPr="00194F9E">
        <w:rPr>
          <w:sz w:val="18"/>
        </w:rPr>
        <w:t xml:space="preserve">Disponible en: </w:t>
      </w:r>
      <w:hyperlink r:id="rId1" w:history="1">
        <w:r w:rsidRPr="00194F9E">
          <w:rPr>
            <w:rStyle w:val="Hipervnculo"/>
            <w:sz w:val="18"/>
          </w:rPr>
          <w:t>http://www.ift.org.mx/sites/default/files/p_ift_ext_060314_76_version_publica_hoja.pdf</w:t>
        </w:r>
      </w:hyperlink>
    </w:p>
  </w:footnote>
  <w:footnote w:id="3">
    <w:p w14:paraId="645E7DE6" w14:textId="77777777" w:rsidR="00FA58E1" w:rsidRDefault="00FA58E1" w:rsidP="00194F9E">
      <w:pPr>
        <w:pStyle w:val="Textonotapie"/>
        <w:spacing w:after="0"/>
      </w:pPr>
      <w:r w:rsidRPr="00194F9E">
        <w:rPr>
          <w:rStyle w:val="Refdenotaalpie"/>
          <w:sz w:val="18"/>
        </w:rPr>
        <w:footnoteRef/>
      </w:r>
      <w:r w:rsidRPr="00194F9E">
        <w:rPr>
          <w:sz w:val="18"/>
        </w:rPr>
        <w:t xml:space="preserve"> Disponible en: </w:t>
      </w:r>
      <w:hyperlink r:id="rId2" w:history="1">
        <w:r w:rsidRPr="00194F9E">
          <w:rPr>
            <w:rStyle w:val="Hipervnculo"/>
            <w:sz w:val="18"/>
          </w:rPr>
          <w:t>http://www.ift.org.mx/sites/default/files/pitfext270217119verpub_1.pdf</w:t>
        </w:r>
      </w:hyperlink>
    </w:p>
  </w:footnote>
  <w:footnote w:id="4">
    <w:p w14:paraId="645E7DE7" w14:textId="77777777" w:rsidR="00FA58E1" w:rsidRDefault="00FA58E1">
      <w:pPr>
        <w:pStyle w:val="Textonotapie"/>
      </w:pPr>
      <w:r>
        <w:rPr>
          <w:rStyle w:val="Refdenotaalpie"/>
        </w:rPr>
        <w:footnoteRef/>
      </w:r>
      <w:r>
        <w:t xml:space="preserve"> </w:t>
      </w:r>
      <w:r w:rsidRPr="000D33C0">
        <w:t>DECRETO por el que se reforman y adicionan diversas disposiciones de los artículos 6o., 7o., 27, 28, 73, 78, 94 y 105 de la Constitución Política de los Estados Unidos Mexicanos, en materia de telecomunicaciones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7DDC" w14:textId="77777777" w:rsidR="00FA58E1" w:rsidRPr="007A6974" w:rsidRDefault="00FA58E1" w:rsidP="00800852">
    <w:pPr>
      <w:pStyle w:val="Encabezado"/>
      <w:tabs>
        <w:tab w:val="clear" w:pos="4419"/>
      </w:tabs>
    </w:pPr>
    <w:r>
      <w:rPr>
        <w:noProof/>
        <w:lang w:eastAsia="es-MX"/>
      </w:rPr>
      <w:drawing>
        <wp:anchor distT="0" distB="762" distL="114300" distR="114300" simplePos="0" relativeHeight="251658240" behindDoc="1" locked="0" layoutInCell="1" allowOverlap="1" wp14:anchorId="645E7DE1" wp14:editId="645E7DE2">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45E7DDD" w14:textId="77777777" w:rsidR="00FA58E1" w:rsidRDefault="00FA58E1" w:rsidP="004D5EAB">
    <w:pPr>
      <w:pStyle w:val="Encabezado"/>
      <w:ind w:left="3119"/>
      <w:rPr>
        <w:b/>
      </w:rPr>
    </w:pPr>
    <w:r>
      <w:rPr>
        <w:b/>
      </w:rPr>
      <w:t>Consulta p</w:t>
    </w:r>
    <w:r w:rsidRPr="00005DB7">
      <w:rPr>
        <w:b/>
      </w:rPr>
      <w:t xml:space="preserve">ública </w:t>
    </w:r>
    <w:r>
      <w:rPr>
        <w:b/>
      </w:rPr>
      <w:t>sobre</w:t>
    </w:r>
    <w:r w:rsidRPr="00FC6EE4">
      <w:rPr>
        <w:b/>
      </w:rPr>
      <w:t xml:space="preserve"> la efectividad en términos de competencia de las medidas impuestas al Agente Económico Preponderante en el Sector de </w:t>
    </w:r>
    <w:r>
      <w:rPr>
        <w:b/>
      </w:rPr>
      <w:t>Telecomunicaciones</w:t>
    </w:r>
  </w:p>
  <w:p w14:paraId="645E7DDE" w14:textId="77777777" w:rsidR="00FA58E1" w:rsidRPr="007A6974" w:rsidRDefault="00FA58E1" w:rsidP="004D5EAB">
    <w:pPr>
      <w:pStyle w:val="Encabezado"/>
      <w:ind w:left="3119"/>
    </w:pPr>
    <w:r>
      <w:rPr>
        <w:noProof/>
        <w:lang w:eastAsia="es-MX"/>
      </w:rPr>
      <mc:AlternateContent>
        <mc:Choice Requires="wps">
          <w:drawing>
            <wp:anchor distT="4294967295" distB="4294967295" distL="114300" distR="114300" simplePos="0" relativeHeight="251658241" behindDoc="0" locked="0" layoutInCell="1" allowOverlap="1" wp14:anchorId="645E7DE3" wp14:editId="645E7DE4">
              <wp:simplePos x="0" y="0"/>
              <wp:positionH relativeFrom="column">
                <wp:posOffset>635</wp:posOffset>
              </wp:positionH>
              <wp:positionV relativeFrom="paragraph">
                <wp:posOffset>297814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A29440"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3.45pt" to="44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3F54DAD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F14C9"/>
    <w:multiLevelType w:val="hybridMultilevel"/>
    <w:tmpl w:val="5532D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940C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8541566"/>
    <w:multiLevelType w:val="hybridMultilevel"/>
    <w:tmpl w:val="8DCA127E"/>
    <w:lvl w:ilvl="0" w:tplc="8174AECE">
      <w:start w:val="3"/>
      <w:numFmt w:val="bullet"/>
      <w:lvlText w:val="-"/>
      <w:lvlJc w:val="left"/>
      <w:pPr>
        <w:ind w:left="1068" w:hanging="360"/>
      </w:pPr>
      <w:rPr>
        <w:rFonts w:ascii="ITC Avant Garde" w:eastAsia="Times New Roman" w:hAnsi="ITC Avant Garde" w:cs="Arial"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B293D6F"/>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4F29BC"/>
    <w:multiLevelType w:val="hybridMultilevel"/>
    <w:tmpl w:val="8572F48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2B691375"/>
    <w:multiLevelType w:val="hybridMultilevel"/>
    <w:tmpl w:val="4002F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BB2D6C"/>
    <w:multiLevelType w:val="hybridMultilevel"/>
    <w:tmpl w:val="A98CD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1A3483"/>
    <w:multiLevelType w:val="hybridMultilevel"/>
    <w:tmpl w:val="8C60E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0B681A"/>
    <w:multiLevelType w:val="hybridMultilevel"/>
    <w:tmpl w:val="114A8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7D6F38"/>
    <w:multiLevelType w:val="hybridMultilevel"/>
    <w:tmpl w:val="2A345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7" w15:restartNumberingAfterBreak="0">
    <w:nsid w:val="52D20BA3"/>
    <w:multiLevelType w:val="hybridMultilevel"/>
    <w:tmpl w:val="4B1E535A"/>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E33860"/>
    <w:multiLevelType w:val="hybridMultilevel"/>
    <w:tmpl w:val="A9047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F55318"/>
    <w:multiLevelType w:val="hybridMultilevel"/>
    <w:tmpl w:val="E0CA1F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4" w15:restartNumberingAfterBreak="0">
    <w:nsid w:val="6C391978"/>
    <w:multiLevelType w:val="hybridMultilevel"/>
    <w:tmpl w:val="67B61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C577DB"/>
    <w:multiLevelType w:val="hybridMultilevel"/>
    <w:tmpl w:val="36D4E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15:restartNumberingAfterBreak="0">
    <w:nsid w:val="7DD82C1E"/>
    <w:multiLevelType w:val="hybridMultilevel"/>
    <w:tmpl w:val="81A40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2"/>
  </w:num>
  <w:num w:numId="5">
    <w:abstractNumId w:val="22"/>
  </w:num>
  <w:num w:numId="6">
    <w:abstractNumId w:val="11"/>
  </w:num>
  <w:num w:numId="7">
    <w:abstractNumId w:val="19"/>
  </w:num>
  <w:num w:numId="8">
    <w:abstractNumId w:val="20"/>
  </w:num>
  <w:num w:numId="9">
    <w:abstractNumId w:val="10"/>
  </w:num>
  <w:num w:numId="10">
    <w:abstractNumId w:val="1"/>
  </w:num>
  <w:num w:numId="11">
    <w:abstractNumId w:val="4"/>
  </w:num>
  <w:num w:numId="12">
    <w:abstractNumId w:val="21"/>
  </w:num>
  <w:num w:numId="13">
    <w:abstractNumId w:val="18"/>
  </w:num>
  <w:num w:numId="14">
    <w:abstractNumId w:val="15"/>
  </w:num>
  <w:num w:numId="15">
    <w:abstractNumId w:val="14"/>
  </w:num>
  <w:num w:numId="16">
    <w:abstractNumId w:val="8"/>
  </w:num>
  <w:num w:numId="17">
    <w:abstractNumId w:val="7"/>
  </w:num>
  <w:num w:numId="18">
    <w:abstractNumId w:val="5"/>
  </w:num>
  <w:num w:numId="19">
    <w:abstractNumId w:val="25"/>
  </w:num>
  <w:num w:numId="20">
    <w:abstractNumId w:val="24"/>
  </w:num>
  <w:num w:numId="21">
    <w:abstractNumId w:val="27"/>
  </w:num>
  <w:num w:numId="22">
    <w:abstractNumId w:val="9"/>
  </w:num>
  <w:num w:numId="23">
    <w:abstractNumId w:val="2"/>
  </w:num>
  <w:num w:numId="24">
    <w:abstractNumId w:val="6"/>
  </w:num>
  <w:num w:numId="25">
    <w:abstractNumId w:val="16"/>
  </w:num>
  <w:num w:numId="26">
    <w:abstractNumId w:val="23"/>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31D2"/>
    <w:rsid w:val="000049D9"/>
    <w:rsid w:val="000055EA"/>
    <w:rsid w:val="00005DB7"/>
    <w:rsid w:val="00006D61"/>
    <w:rsid w:val="00007590"/>
    <w:rsid w:val="00011A76"/>
    <w:rsid w:val="00012360"/>
    <w:rsid w:val="00016F6B"/>
    <w:rsid w:val="0002237C"/>
    <w:rsid w:val="000223B1"/>
    <w:rsid w:val="000228C4"/>
    <w:rsid w:val="000239B5"/>
    <w:rsid w:val="0002480E"/>
    <w:rsid w:val="00025554"/>
    <w:rsid w:val="00026A11"/>
    <w:rsid w:val="00030E6E"/>
    <w:rsid w:val="000328CB"/>
    <w:rsid w:val="00032B83"/>
    <w:rsid w:val="000356DE"/>
    <w:rsid w:val="00042B58"/>
    <w:rsid w:val="000462CC"/>
    <w:rsid w:val="00050BED"/>
    <w:rsid w:val="0005104A"/>
    <w:rsid w:val="00051564"/>
    <w:rsid w:val="00053179"/>
    <w:rsid w:val="00054F23"/>
    <w:rsid w:val="00062E32"/>
    <w:rsid w:val="00063C81"/>
    <w:rsid w:val="00065222"/>
    <w:rsid w:val="000656A5"/>
    <w:rsid w:val="00070540"/>
    <w:rsid w:val="000806B4"/>
    <w:rsid w:val="00080F20"/>
    <w:rsid w:val="00081850"/>
    <w:rsid w:val="00083FF2"/>
    <w:rsid w:val="00085213"/>
    <w:rsid w:val="00087A49"/>
    <w:rsid w:val="00090F4F"/>
    <w:rsid w:val="000917D0"/>
    <w:rsid w:val="000931D8"/>
    <w:rsid w:val="0009675B"/>
    <w:rsid w:val="000A0A04"/>
    <w:rsid w:val="000A19CE"/>
    <w:rsid w:val="000A36B3"/>
    <w:rsid w:val="000A5CFB"/>
    <w:rsid w:val="000A6255"/>
    <w:rsid w:val="000A6471"/>
    <w:rsid w:val="000A6C9E"/>
    <w:rsid w:val="000B70F9"/>
    <w:rsid w:val="000B727D"/>
    <w:rsid w:val="000C12A7"/>
    <w:rsid w:val="000C2075"/>
    <w:rsid w:val="000D2838"/>
    <w:rsid w:val="000D33C0"/>
    <w:rsid w:val="000D6C68"/>
    <w:rsid w:val="000E1651"/>
    <w:rsid w:val="000E313C"/>
    <w:rsid w:val="000E33DE"/>
    <w:rsid w:val="000E4172"/>
    <w:rsid w:val="000E41F3"/>
    <w:rsid w:val="000E4976"/>
    <w:rsid w:val="000E4D59"/>
    <w:rsid w:val="000E55B0"/>
    <w:rsid w:val="000E7E13"/>
    <w:rsid w:val="000F2D02"/>
    <w:rsid w:val="000F3DBF"/>
    <w:rsid w:val="000F7B91"/>
    <w:rsid w:val="00100C9C"/>
    <w:rsid w:val="00101224"/>
    <w:rsid w:val="00105FCC"/>
    <w:rsid w:val="001124B6"/>
    <w:rsid w:val="00113E92"/>
    <w:rsid w:val="001151DC"/>
    <w:rsid w:val="00117933"/>
    <w:rsid w:val="00120F56"/>
    <w:rsid w:val="00120FA3"/>
    <w:rsid w:val="0012177E"/>
    <w:rsid w:val="001309FC"/>
    <w:rsid w:val="00132373"/>
    <w:rsid w:val="001331D8"/>
    <w:rsid w:val="00134808"/>
    <w:rsid w:val="00135F0F"/>
    <w:rsid w:val="0013714A"/>
    <w:rsid w:val="00137361"/>
    <w:rsid w:val="001513FF"/>
    <w:rsid w:val="0015184F"/>
    <w:rsid w:val="00151C08"/>
    <w:rsid w:val="00152B0E"/>
    <w:rsid w:val="001532EF"/>
    <w:rsid w:val="0015365A"/>
    <w:rsid w:val="001546F0"/>
    <w:rsid w:val="001564CC"/>
    <w:rsid w:val="00160352"/>
    <w:rsid w:val="00160AF5"/>
    <w:rsid w:val="00161D3A"/>
    <w:rsid w:val="001643E9"/>
    <w:rsid w:val="00167C1A"/>
    <w:rsid w:val="0017042B"/>
    <w:rsid w:val="001708F0"/>
    <w:rsid w:val="00170916"/>
    <w:rsid w:val="0017355A"/>
    <w:rsid w:val="00174196"/>
    <w:rsid w:val="00174F89"/>
    <w:rsid w:val="00183683"/>
    <w:rsid w:val="00184422"/>
    <w:rsid w:val="001908B3"/>
    <w:rsid w:val="00190DAE"/>
    <w:rsid w:val="001911FE"/>
    <w:rsid w:val="00193764"/>
    <w:rsid w:val="00194F9E"/>
    <w:rsid w:val="00195571"/>
    <w:rsid w:val="001962CE"/>
    <w:rsid w:val="001A3AF3"/>
    <w:rsid w:val="001A5B2D"/>
    <w:rsid w:val="001B0318"/>
    <w:rsid w:val="001B2679"/>
    <w:rsid w:val="001B57CB"/>
    <w:rsid w:val="001B6766"/>
    <w:rsid w:val="001C0BAD"/>
    <w:rsid w:val="001C1C58"/>
    <w:rsid w:val="001C2306"/>
    <w:rsid w:val="001C2A58"/>
    <w:rsid w:val="001C453E"/>
    <w:rsid w:val="001C579B"/>
    <w:rsid w:val="001C6CE2"/>
    <w:rsid w:val="001D0127"/>
    <w:rsid w:val="001D1AB6"/>
    <w:rsid w:val="001D7320"/>
    <w:rsid w:val="001D7360"/>
    <w:rsid w:val="001E0388"/>
    <w:rsid w:val="001E1636"/>
    <w:rsid w:val="001E390C"/>
    <w:rsid w:val="001E468B"/>
    <w:rsid w:val="001E4AFC"/>
    <w:rsid w:val="001F0B2D"/>
    <w:rsid w:val="001F1E68"/>
    <w:rsid w:val="001F1EB1"/>
    <w:rsid w:val="001F2ABB"/>
    <w:rsid w:val="001F346E"/>
    <w:rsid w:val="001F4DCA"/>
    <w:rsid w:val="001F662C"/>
    <w:rsid w:val="00205C60"/>
    <w:rsid w:val="00210B70"/>
    <w:rsid w:val="00212CF3"/>
    <w:rsid w:val="00215E95"/>
    <w:rsid w:val="00220DF9"/>
    <w:rsid w:val="0022337B"/>
    <w:rsid w:val="00227EAC"/>
    <w:rsid w:val="00231EBB"/>
    <w:rsid w:val="0023266B"/>
    <w:rsid w:val="00234382"/>
    <w:rsid w:val="0023735A"/>
    <w:rsid w:val="00240D9F"/>
    <w:rsid w:val="00243519"/>
    <w:rsid w:val="00247994"/>
    <w:rsid w:val="00251DD4"/>
    <w:rsid w:val="00251E87"/>
    <w:rsid w:val="00253095"/>
    <w:rsid w:val="00253898"/>
    <w:rsid w:val="00254288"/>
    <w:rsid w:val="00257003"/>
    <w:rsid w:val="00260D54"/>
    <w:rsid w:val="00261246"/>
    <w:rsid w:val="002620C5"/>
    <w:rsid w:val="00262638"/>
    <w:rsid w:val="002629D9"/>
    <w:rsid w:val="002633D9"/>
    <w:rsid w:val="002642FA"/>
    <w:rsid w:val="002644CB"/>
    <w:rsid w:val="002705A7"/>
    <w:rsid w:val="0027071A"/>
    <w:rsid w:val="0027256E"/>
    <w:rsid w:val="00276279"/>
    <w:rsid w:val="002771ED"/>
    <w:rsid w:val="00281F00"/>
    <w:rsid w:val="00281FA8"/>
    <w:rsid w:val="002853B9"/>
    <w:rsid w:val="002855A7"/>
    <w:rsid w:val="00290EA2"/>
    <w:rsid w:val="00292F91"/>
    <w:rsid w:val="002A4470"/>
    <w:rsid w:val="002A5BB8"/>
    <w:rsid w:val="002B0B31"/>
    <w:rsid w:val="002B0FE3"/>
    <w:rsid w:val="002B24F8"/>
    <w:rsid w:val="002C1DB6"/>
    <w:rsid w:val="002C3F72"/>
    <w:rsid w:val="002C41FA"/>
    <w:rsid w:val="002D017E"/>
    <w:rsid w:val="002D03EC"/>
    <w:rsid w:val="002D080E"/>
    <w:rsid w:val="002D2FC6"/>
    <w:rsid w:val="002D4D7A"/>
    <w:rsid w:val="002D6585"/>
    <w:rsid w:val="002E0482"/>
    <w:rsid w:val="002E0E21"/>
    <w:rsid w:val="002E3F35"/>
    <w:rsid w:val="002E4BE6"/>
    <w:rsid w:val="002E6B1C"/>
    <w:rsid w:val="002F0297"/>
    <w:rsid w:val="002F1577"/>
    <w:rsid w:val="002F2985"/>
    <w:rsid w:val="002F5E8B"/>
    <w:rsid w:val="002F6C2C"/>
    <w:rsid w:val="002F7CAE"/>
    <w:rsid w:val="00300958"/>
    <w:rsid w:val="00301298"/>
    <w:rsid w:val="00304F09"/>
    <w:rsid w:val="00307092"/>
    <w:rsid w:val="00311709"/>
    <w:rsid w:val="003164EC"/>
    <w:rsid w:val="00317436"/>
    <w:rsid w:val="00320E08"/>
    <w:rsid w:val="00321983"/>
    <w:rsid w:val="00322499"/>
    <w:rsid w:val="003232C8"/>
    <w:rsid w:val="00323F3A"/>
    <w:rsid w:val="00325847"/>
    <w:rsid w:val="00326B20"/>
    <w:rsid w:val="003275BD"/>
    <w:rsid w:val="00327E38"/>
    <w:rsid w:val="00327ED3"/>
    <w:rsid w:val="0033085C"/>
    <w:rsid w:val="00334DE8"/>
    <w:rsid w:val="0033646F"/>
    <w:rsid w:val="003366D0"/>
    <w:rsid w:val="003423BB"/>
    <w:rsid w:val="00342582"/>
    <w:rsid w:val="00343317"/>
    <w:rsid w:val="003435EA"/>
    <w:rsid w:val="003530FF"/>
    <w:rsid w:val="0035334B"/>
    <w:rsid w:val="00354550"/>
    <w:rsid w:val="00354C50"/>
    <w:rsid w:val="00357973"/>
    <w:rsid w:val="003608F3"/>
    <w:rsid w:val="003613DA"/>
    <w:rsid w:val="003639E5"/>
    <w:rsid w:val="00365145"/>
    <w:rsid w:val="00373DEB"/>
    <w:rsid w:val="00375FF6"/>
    <w:rsid w:val="003764E2"/>
    <w:rsid w:val="0038199D"/>
    <w:rsid w:val="0038337E"/>
    <w:rsid w:val="0038344C"/>
    <w:rsid w:val="0038478F"/>
    <w:rsid w:val="00384ADF"/>
    <w:rsid w:val="00385C57"/>
    <w:rsid w:val="003874A2"/>
    <w:rsid w:val="00387F81"/>
    <w:rsid w:val="003916ED"/>
    <w:rsid w:val="0039242A"/>
    <w:rsid w:val="00393B5A"/>
    <w:rsid w:val="00395DEB"/>
    <w:rsid w:val="003A28AF"/>
    <w:rsid w:val="003A2E1E"/>
    <w:rsid w:val="003B524B"/>
    <w:rsid w:val="003C13C0"/>
    <w:rsid w:val="003C2557"/>
    <w:rsid w:val="003D1EE1"/>
    <w:rsid w:val="003D26FF"/>
    <w:rsid w:val="003D33BC"/>
    <w:rsid w:val="003D5FD7"/>
    <w:rsid w:val="003E0282"/>
    <w:rsid w:val="003E5B1D"/>
    <w:rsid w:val="003E6520"/>
    <w:rsid w:val="003E6A67"/>
    <w:rsid w:val="003F2F84"/>
    <w:rsid w:val="0040661E"/>
    <w:rsid w:val="00406D19"/>
    <w:rsid w:val="0041087B"/>
    <w:rsid w:val="00411CCC"/>
    <w:rsid w:val="00412CD9"/>
    <w:rsid w:val="004141B1"/>
    <w:rsid w:val="004229EF"/>
    <w:rsid w:val="00424C09"/>
    <w:rsid w:val="0043143F"/>
    <w:rsid w:val="004317BC"/>
    <w:rsid w:val="0043292E"/>
    <w:rsid w:val="004339B7"/>
    <w:rsid w:val="00436AD1"/>
    <w:rsid w:val="00442425"/>
    <w:rsid w:val="00454BD4"/>
    <w:rsid w:val="00456496"/>
    <w:rsid w:val="00461A06"/>
    <w:rsid w:val="00463E62"/>
    <w:rsid w:val="00464A53"/>
    <w:rsid w:val="00464AE1"/>
    <w:rsid w:val="004669CE"/>
    <w:rsid w:val="004670DC"/>
    <w:rsid w:val="00472A72"/>
    <w:rsid w:val="00473497"/>
    <w:rsid w:val="004802CE"/>
    <w:rsid w:val="004818E0"/>
    <w:rsid w:val="00486B51"/>
    <w:rsid w:val="004906B0"/>
    <w:rsid w:val="00491FC3"/>
    <w:rsid w:val="0049205A"/>
    <w:rsid w:val="00493683"/>
    <w:rsid w:val="00493D5F"/>
    <w:rsid w:val="00494E21"/>
    <w:rsid w:val="00496BA4"/>
    <w:rsid w:val="004970C4"/>
    <w:rsid w:val="004A1C9A"/>
    <w:rsid w:val="004A1E0C"/>
    <w:rsid w:val="004A7D7B"/>
    <w:rsid w:val="004B156C"/>
    <w:rsid w:val="004B24DC"/>
    <w:rsid w:val="004B3E4B"/>
    <w:rsid w:val="004B4337"/>
    <w:rsid w:val="004B5FCF"/>
    <w:rsid w:val="004B664D"/>
    <w:rsid w:val="004B6E9A"/>
    <w:rsid w:val="004C009A"/>
    <w:rsid w:val="004C07D6"/>
    <w:rsid w:val="004C11A9"/>
    <w:rsid w:val="004C33B6"/>
    <w:rsid w:val="004C3DC1"/>
    <w:rsid w:val="004C4695"/>
    <w:rsid w:val="004C54AA"/>
    <w:rsid w:val="004C5CB4"/>
    <w:rsid w:val="004C6290"/>
    <w:rsid w:val="004D267A"/>
    <w:rsid w:val="004D4086"/>
    <w:rsid w:val="004D50E4"/>
    <w:rsid w:val="004D5EAB"/>
    <w:rsid w:val="004D64DD"/>
    <w:rsid w:val="004D6D51"/>
    <w:rsid w:val="004D723B"/>
    <w:rsid w:val="004D7960"/>
    <w:rsid w:val="004E027F"/>
    <w:rsid w:val="004E2A3A"/>
    <w:rsid w:val="004E39C5"/>
    <w:rsid w:val="004E5EB4"/>
    <w:rsid w:val="004F0D2F"/>
    <w:rsid w:val="004F4C27"/>
    <w:rsid w:val="004F704F"/>
    <w:rsid w:val="0050341B"/>
    <w:rsid w:val="00503F97"/>
    <w:rsid w:val="005078DB"/>
    <w:rsid w:val="00511FAE"/>
    <w:rsid w:val="00513590"/>
    <w:rsid w:val="005147AA"/>
    <w:rsid w:val="00517201"/>
    <w:rsid w:val="005207F2"/>
    <w:rsid w:val="00522212"/>
    <w:rsid w:val="0052296A"/>
    <w:rsid w:val="00522AFC"/>
    <w:rsid w:val="00523106"/>
    <w:rsid w:val="00523F2D"/>
    <w:rsid w:val="00527DEE"/>
    <w:rsid w:val="00530C94"/>
    <w:rsid w:val="005376D4"/>
    <w:rsid w:val="005401D6"/>
    <w:rsid w:val="00540702"/>
    <w:rsid w:val="0054335F"/>
    <w:rsid w:val="00550A91"/>
    <w:rsid w:val="00553C2D"/>
    <w:rsid w:val="00556E58"/>
    <w:rsid w:val="0056061D"/>
    <w:rsid w:val="0056118B"/>
    <w:rsid w:val="005650EA"/>
    <w:rsid w:val="0056621F"/>
    <w:rsid w:val="00566513"/>
    <w:rsid w:val="0056792E"/>
    <w:rsid w:val="00570702"/>
    <w:rsid w:val="00570980"/>
    <w:rsid w:val="00572D4A"/>
    <w:rsid w:val="0057399F"/>
    <w:rsid w:val="00574581"/>
    <w:rsid w:val="005774B5"/>
    <w:rsid w:val="005833EC"/>
    <w:rsid w:val="00583C18"/>
    <w:rsid w:val="00585DC0"/>
    <w:rsid w:val="00586B4B"/>
    <w:rsid w:val="00590D66"/>
    <w:rsid w:val="00590E02"/>
    <w:rsid w:val="005916BC"/>
    <w:rsid w:val="005924F6"/>
    <w:rsid w:val="00593E83"/>
    <w:rsid w:val="00595257"/>
    <w:rsid w:val="0059559D"/>
    <w:rsid w:val="00596C21"/>
    <w:rsid w:val="005A5CB9"/>
    <w:rsid w:val="005B0C36"/>
    <w:rsid w:val="005B2A76"/>
    <w:rsid w:val="005B3E9A"/>
    <w:rsid w:val="005B505F"/>
    <w:rsid w:val="005C0435"/>
    <w:rsid w:val="005C06DB"/>
    <w:rsid w:val="005C1698"/>
    <w:rsid w:val="005C1A13"/>
    <w:rsid w:val="005C5A6C"/>
    <w:rsid w:val="005D23D8"/>
    <w:rsid w:val="005D2990"/>
    <w:rsid w:val="005D4603"/>
    <w:rsid w:val="005D4E1D"/>
    <w:rsid w:val="005D66E7"/>
    <w:rsid w:val="005E1839"/>
    <w:rsid w:val="005E3113"/>
    <w:rsid w:val="005F0265"/>
    <w:rsid w:val="005F2213"/>
    <w:rsid w:val="005F26DF"/>
    <w:rsid w:val="00600066"/>
    <w:rsid w:val="006026ED"/>
    <w:rsid w:val="00602F6B"/>
    <w:rsid w:val="00603B41"/>
    <w:rsid w:val="006047A0"/>
    <w:rsid w:val="006056A4"/>
    <w:rsid w:val="00605BD9"/>
    <w:rsid w:val="00605C49"/>
    <w:rsid w:val="00606C45"/>
    <w:rsid w:val="00612345"/>
    <w:rsid w:val="00612465"/>
    <w:rsid w:val="00613F7F"/>
    <w:rsid w:val="00614E86"/>
    <w:rsid w:val="0061531A"/>
    <w:rsid w:val="00616AE3"/>
    <w:rsid w:val="00620602"/>
    <w:rsid w:val="006207A6"/>
    <w:rsid w:val="00623761"/>
    <w:rsid w:val="0062543C"/>
    <w:rsid w:val="00626882"/>
    <w:rsid w:val="0063099E"/>
    <w:rsid w:val="006322EC"/>
    <w:rsid w:val="006338B2"/>
    <w:rsid w:val="006340FB"/>
    <w:rsid w:val="00636F63"/>
    <w:rsid w:val="00637B99"/>
    <w:rsid w:val="00641227"/>
    <w:rsid w:val="006501F2"/>
    <w:rsid w:val="006553B6"/>
    <w:rsid w:val="006563D6"/>
    <w:rsid w:val="0065701C"/>
    <w:rsid w:val="006601AF"/>
    <w:rsid w:val="00660E5B"/>
    <w:rsid w:val="00663E3A"/>
    <w:rsid w:val="00665A23"/>
    <w:rsid w:val="00665AE0"/>
    <w:rsid w:val="00665CCD"/>
    <w:rsid w:val="006679E4"/>
    <w:rsid w:val="00667FD0"/>
    <w:rsid w:val="00670356"/>
    <w:rsid w:val="006720B6"/>
    <w:rsid w:val="00675908"/>
    <w:rsid w:val="0068348D"/>
    <w:rsid w:val="00683955"/>
    <w:rsid w:val="00684709"/>
    <w:rsid w:val="00686265"/>
    <w:rsid w:val="006909EA"/>
    <w:rsid w:val="00692320"/>
    <w:rsid w:val="00692F48"/>
    <w:rsid w:val="00695236"/>
    <w:rsid w:val="00696CF6"/>
    <w:rsid w:val="006A38BA"/>
    <w:rsid w:val="006A40E7"/>
    <w:rsid w:val="006A4FB7"/>
    <w:rsid w:val="006A5E4C"/>
    <w:rsid w:val="006A72C4"/>
    <w:rsid w:val="006A783C"/>
    <w:rsid w:val="006B0B12"/>
    <w:rsid w:val="006B30F6"/>
    <w:rsid w:val="006B3A3B"/>
    <w:rsid w:val="006B4BB6"/>
    <w:rsid w:val="006C1EC3"/>
    <w:rsid w:val="006C2912"/>
    <w:rsid w:val="006C2DD2"/>
    <w:rsid w:val="006C6C31"/>
    <w:rsid w:val="006D49CC"/>
    <w:rsid w:val="006D7013"/>
    <w:rsid w:val="006D71E0"/>
    <w:rsid w:val="006D7782"/>
    <w:rsid w:val="006E2443"/>
    <w:rsid w:val="006E59FA"/>
    <w:rsid w:val="006E6053"/>
    <w:rsid w:val="006E71D8"/>
    <w:rsid w:val="006F0290"/>
    <w:rsid w:val="006F348B"/>
    <w:rsid w:val="006F5018"/>
    <w:rsid w:val="006F5926"/>
    <w:rsid w:val="006F5989"/>
    <w:rsid w:val="00702DFA"/>
    <w:rsid w:val="00704C3F"/>
    <w:rsid w:val="00707318"/>
    <w:rsid w:val="00707332"/>
    <w:rsid w:val="0070752B"/>
    <w:rsid w:val="00710A1A"/>
    <w:rsid w:val="007156C1"/>
    <w:rsid w:val="007161F9"/>
    <w:rsid w:val="00722847"/>
    <w:rsid w:val="00722A48"/>
    <w:rsid w:val="00722F99"/>
    <w:rsid w:val="00724860"/>
    <w:rsid w:val="00725EDB"/>
    <w:rsid w:val="007269C5"/>
    <w:rsid w:val="00727233"/>
    <w:rsid w:val="00731675"/>
    <w:rsid w:val="00732912"/>
    <w:rsid w:val="00734BFB"/>
    <w:rsid w:val="00735DEE"/>
    <w:rsid w:val="00736B42"/>
    <w:rsid w:val="00743EEB"/>
    <w:rsid w:val="00750347"/>
    <w:rsid w:val="007503CC"/>
    <w:rsid w:val="00751B8D"/>
    <w:rsid w:val="00753ED0"/>
    <w:rsid w:val="00762596"/>
    <w:rsid w:val="00762996"/>
    <w:rsid w:val="007637BC"/>
    <w:rsid w:val="007644BA"/>
    <w:rsid w:val="007647E5"/>
    <w:rsid w:val="00766063"/>
    <w:rsid w:val="007666ED"/>
    <w:rsid w:val="00767118"/>
    <w:rsid w:val="00771BE5"/>
    <w:rsid w:val="0077234F"/>
    <w:rsid w:val="0077357C"/>
    <w:rsid w:val="00774FEC"/>
    <w:rsid w:val="00775A27"/>
    <w:rsid w:val="00775AF8"/>
    <w:rsid w:val="00780B7B"/>
    <w:rsid w:val="00781050"/>
    <w:rsid w:val="00786B84"/>
    <w:rsid w:val="00786C23"/>
    <w:rsid w:val="00787054"/>
    <w:rsid w:val="007902E8"/>
    <w:rsid w:val="0079050E"/>
    <w:rsid w:val="007918C3"/>
    <w:rsid w:val="00793514"/>
    <w:rsid w:val="007954DC"/>
    <w:rsid w:val="0079746F"/>
    <w:rsid w:val="007978CB"/>
    <w:rsid w:val="007A1409"/>
    <w:rsid w:val="007A35A2"/>
    <w:rsid w:val="007A3859"/>
    <w:rsid w:val="007A6974"/>
    <w:rsid w:val="007B0A86"/>
    <w:rsid w:val="007B31AA"/>
    <w:rsid w:val="007B36BD"/>
    <w:rsid w:val="007B4AB3"/>
    <w:rsid w:val="007C02A2"/>
    <w:rsid w:val="007C07D3"/>
    <w:rsid w:val="007C6576"/>
    <w:rsid w:val="007D23B9"/>
    <w:rsid w:val="007D424A"/>
    <w:rsid w:val="007D4A23"/>
    <w:rsid w:val="007E04FB"/>
    <w:rsid w:val="007E1274"/>
    <w:rsid w:val="007E17A3"/>
    <w:rsid w:val="007E18A2"/>
    <w:rsid w:val="007E3236"/>
    <w:rsid w:val="007E6974"/>
    <w:rsid w:val="007F307E"/>
    <w:rsid w:val="007F6545"/>
    <w:rsid w:val="007F74A3"/>
    <w:rsid w:val="007F7C4A"/>
    <w:rsid w:val="00800852"/>
    <w:rsid w:val="008048ED"/>
    <w:rsid w:val="00804BB7"/>
    <w:rsid w:val="00804E01"/>
    <w:rsid w:val="00810901"/>
    <w:rsid w:val="00812E4D"/>
    <w:rsid w:val="00814039"/>
    <w:rsid w:val="008151B6"/>
    <w:rsid w:val="00815301"/>
    <w:rsid w:val="008173AD"/>
    <w:rsid w:val="008200BE"/>
    <w:rsid w:val="00821B5B"/>
    <w:rsid w:val="00822AF0"/>
    <w:rsid w:val="00824112"/>
    <w:rsid w:val="00825141"/>
    <w:rsid w:val="00825BB9"/>
    <w:rsid w:val="00825E3F"/>
    <w:rsid w:val="00826A3D"/>
    <w:rsid w:val="00826F56"/>
    <w:rsid w:val="00827BF7"/>
    <w:rsid w:val="00832DBA"/>
    <w:rsid w:val="0083334E"/>
    <w:rsid w:val="008337E3"/>
    <w:rsid w:val="008350E2"/>
    <w:rsid w:val="00835210"/>
    <w:rsid w:val="008356F9"/>
    <w:rsid w:val="00841823"/>
    <w:rsid w:val="00841B17"/>
    <w:rsid w:val="008470C8"/>
    <w:rsid w:val="00857118"/>
    <w:rsid w:val="008642A0"/>
    <w:rsid w:val="008658B5"/>
    <w:rsid w:val="00867813"/>
    <w:rsid w:val="00870F7C"/>
    <w:rsid w:val="008711D6"/>
    <w:rsid w:val="00871441"/>
    <w:rsid w:val="00872CF0"/>
    <w:rsid w:val="008737F5"/>
    <w:rsid w:val="00874AB3"/>
    <w:rsid w:val="00875027"/>
    <w:rsid w:val="00875187"/>
    <w:rsid w:val="008753B7"/>
    <w:rsid w:val="00875DA9"/>
    <w:rsid w:val="008806D3"/>
    <w:rsid w:val="00880D7C"/>
    <w:rsid w:val="008843FB"/>
    <w:rsid w:val="00887233"/>
    <w:rsid w:val="008913F1"/>
    <w:rsid w:val="008919AC"/>
    <w:rsid w:val="008932C8"/>
    <w:rsid w:val="00897511"/>
    <w:rsid w:val="008A1C50"/>
    <w:rsid w:val="008A5565"/>
    <w:rsid w:val="008C4713"/>
    <w:rsid w:val="008C679D"/>
    <w:rsid w:val="008D106B"/>
    <w:rsid w:val="008D239D"/>
    <w:rsid w:val="008D30AB"/>
    <w:rsid w:val="008D50AC"/>
    <w:rsid w:val="008D573A"/>
    <w:rsid w:val="008D68ED"/>
    <w:rsid w:val="008D6F27"/>
    <w:rsid w:val="008D72D0"/>
    <w:rsid w:val="008E085D"/>
    <w:rsid w:val="008E393E"/>
    <w:rsid w:val="008E419A"/>
    <w:rsid w:val="008E76A6"/>
    <w:rsid w:val="008F1861"/>
    <w:rsid w:val="008F2B1A"/>
    <w:rsid w:val="008F4235"/>
    <w:rsid w:val="008F4C96"/>
    <w:rsid w:val="00900E99"/>
    <w:rsid w:val="0090198A"/>
    <w:rsid w:val="00902CE5"/>
    <w:rsid w:val="00903C94"/>
    <w:rsid w:val="009145BF"/>
    <w:rsid w:val="00915797"/>
    <w:rsid w:val="00915CEA"/>
    <w:rsid w:val="00920442"/>
    <w:rsid w:val="009233C4"/>
    <w:rsid w:val="00924299"/>
    <w:rsid w:val="009275FD"/>
    <w:rsid w:val="00927A6B"/>
    <w:rsid w:val="00930A58"/>
    <w:rsid w:val="00936949"/>
    <w:rsid w:val="00936DF2"/>
    <w:rsid w:val="00942344"/>
    <w:rsid w:val="009426CC"/>
    <w:rsid w:val="00942B6E"/>
    <w:rsid w:val="009446CC"/>
    <w:rsid w:val="00944945"/>
    <w:rsid w:val="0095074F"/>
    <w:rsid w:val="00951E02"/>
    <w:rsid w:val="00962081"/>
    <w:rsid w:val="00965893"/>
    <w:rsid w:val="00976C58"/>
    <w:rsid w:val="00976CD2"/>
    <w:rsid w:val="00976F70"/>
    <w:rsid w:val="009772F8"/>
    <w:rsid w:val="009827F8"/>
    <w:rsid w:val="00985F4B"/>
    <w:rsid w:val="00991EA5"/>
    <w:rsid w:val="00994749"/>
    <w:rsid w:val="00997681"/>
    <w:rsid w:val="009A2C71"/>
    <w:rsid w:val="009A5268"/>
    <w:rsid w:val="009B0608"/>
    <w:rsid w:val="009B079D"/>
    <w:rsid w:val="009B40BD"/>
    <w:rsid w:val="009B7A0B"/>
    <w:rsid w:val="009B7F31"/>
    <w:rsid w:val="009C1FF6"/>
    <w:rsid w:val="009C6C17"/>
    <w:rsid w:val="009C769E"/>
    <w:rsid w:val="009D0B43"/>
    <w:rsid w:val="009D3DDA"/>
    <w:rsid w:val="009D59B7"/>
    <w:rsid w:val="009D76C6"/>
    <w:rsid w:val="009E1532"/>
    <w:rsid w:val="009E197F"/>
    <w:rsid w:val="009E2795"/>
    <w:rsid w:val="009E3AE9"/>
    <w:rsid w:val="009E4233"/>
    <w:rsid w:val="009E5ED6"/>
    <w:rsid w:val="009F08E0"/>
    <w:rsid w:val="009F19AE"/>
    <w:rsid w:val="009F5004"/>
    <w:rsid w:val="009F701D"/>
    <w:rsid w:val="00A005F0"/>
    <w:rsid w:val="00A0273A"/>
    <w:rsid w:val="00A04F15"/>
    <w:rsid w:val="00A11F98"/>
    <w:rsid w:val="00A1372C"/>
    <w:rsid w:val="00A144C6"/>
    <w:rsid w:val="00A1584C"/>
    <w:rsid w:val="00A219B1"/>
    <w:rsid w:val="00A22B36"/>
    <w:rsid w:val="00A24CD2"/>
    <w:rsid w:val="00A25465"/>
    <w:rsid w:val="00A314AB"/>
    <w:rsid w:val="00A31A6A"/>
    <w:rsid w:val="00A3415B"/>
    <w:rsid w:val="00A41611"/>
    <w:rsid w:val="00A41F5F"/>
    <w:rsid w:val="00A440FB"/>
    <w:rsid w:val="00A454F4"/>
    <w:rsid w:val="00A5121D"/>
    <w:rsid w:val="00A5156A"/>
    <w:rsid w:val="00A554A2"/>
    <w:rsid w:val="00A60361"/>
    <w:rsid w:val="00A625CE"/>
    <w:rsid w:val="00A64859"/>
    <w:rsid w:val="00A70809"/>
    <w:rsid w:val="00A714AD"/>
    <w:rsid w:val="00A73FFC"/>
    <w:rsid w:val="00A751A5"/>
    <w:rsid w:val="00A75A67"/>
    <w:rsid w:val="00A819A7"/>
    <w:rsid w:val="00A8483D"/>
    <w:rsid w:val="00A85BF9"/>
    <w:rsid w:val="00A91781"/>
    <w:rsid w:val="00A917C8"/>
    <w:rsid w:val="00A922CD"/>
    <w:rsid w:val="00A92B29"/>
    <w:rsid w:val="00A93747"/>
    <w:rsid w:val="00A9464D"/>
    <w:rsid w:val="00A962B2"/>
    <w:rsid w:val="00A976EE"/>
    <w:rsid w:val="00AA083C"/>
    <w:rsid w:val="00AA3AA0"/>
    <w:rsid w:val="00AA6185"/>
    <w:rsid w:val="00AA70C3"/>
    <w:rsid w:val="00AB2785"/>
    <w:rsid w:val="00AB5C70"/>
    <w:rsid w:val="00AB65A0"/>
    <w:rsid w:val="00AB78E7"/>
    <w:rsid w:val="00AC0ACB"/>
    <w:rsid w:val="00AC22C8"/>
    <w:rsid w:val="00AC2DE5"/>
    <w:rsid w:val="00AC327D"/>
    <w:rsid w:val="00AC398C"/>
    <w:rsid w:val="00AC3ED9"/>
    <w:rsid w:val="00AC6C13"/>
    <w:rsid w:val="00AD4210"/>
    <w:rsid w:val="00AD5232"/>
    <w:rsid w:val="00AD58DC"/>
    <w:rsid w:val="00AD5E40"/>
    <w:rsid w:val="00AE151B"/>
    <w:rsid w:val="00AE3856"/>
    <w:rsid w:val="00AE58F2"/>
    <w:rsid w:val="00AE6C10"/>
    <w:rsid w:val="00AE778E"/>
    <w:rsid w:val="00AF0F23"/>
    <w:rsid w:val="00AF4AE9"/>
    <w:rsid w:val="00B04F67"/>
    <w:rsid w:val="00B10E8F"/>
    <w:rsid w:val="00B11B39"/>
    <w:rsid w:val="00B1404C"/>
    <w:rsid w:val="00B16B29"/>
    <w:rsid w:val="00B213DF"/>
    <w:rsid w:val="00B21A1E"/>
    <w:rsid w:val="00B24068"/>
    <w:rsid w:val="00B244A3"/>
    <w:rsid w:val="00B24877"/>
    <w:rsid w:val="00B25814"/>
    <w:rsid w:val="00B2652D"/>
    <w:rsid w:val="00B31CD2"/>
    <w:rsid w:val="00B327E2"/>
    <w:rsid w:val="00B33EDA"/>
    <w:rsid w:val="00B350F8"/>
    <w:rsid w:val="00B47E0E"/>
    <w:rsid w:val="00B51596"/>
    <w:rsid w:val="00B51EC2"/>
    <w:rsid w:val="00B525F4"/>
    <w:rsid w:val="00B533DC"/>
    <w:rsid w:val="00B5425A"/>
    <w:rsid w:val="00B6397E"/>
    <w:rsid w:val="00B63F3D"/>
    <w:rsid w:val="00B65683"/>
    <w:rsid w:val="00B67D7E"/>
    <w:rsid w:val="00B70D8A"/>
    <w:rsid w:val="00B71158"/>
    <w:rsid w:val="00B74B52"/>
    <w:rsid w:val="00B7704C"/>
    <w:rsid w:val="00B8258E"/>
    <w:rsid w:val="00B83415"/>
    <w:rsid w:val="00B84A7E"/>
    <w:rsid w:val="00B85D7D"/>
    <w:rsid w:val="00B90716"/>
    <w:rsid w:val="00B925F0"/>
    <w:rsid w:val="00B93434"/>
    <w:rsid w:val="00B96FA0"/>
    <w:rsid w:val="00B97484"/>
    <w:rsid w:val="00B97BF9"/>
    <w:rsid w:val="00B97D44"/>
    <w:rsid w:val="00BA1907"/>
    <w:rsid w:val="00BA5B94"/>
    <w:rsid w:val="00BA6E7A"/>
    <w:rsid w:val="00BA7E1F"/>
    <w:rsid w:val="00BB25F2"/>
    <w:rsid w:val="00BB5FE5"/>
    <w:rsid w:val="00BB706F"/>
    <w:rsid w:val="00BC3AC4"/>
    <w:rsid w:val="00BC3D18"/>
    <w:rsid w:val="00BC4DDE"/>
    <w:rsid w:val="00BD0F52"/>
    <w:rsid w:val="00BD2359"/>
    <w:rsid w:val="00BD54A8"/>
    <w:rsid w:val="00BD6FD4"/>
    <w:rsid w:val="00BE215D"/>
    <w:rsid w:val="00BE3C0A"/>
    <w:rsid w:val="00BE5E69"/>
    <w:rsid w:val="00BE7ED3"/>
    <w:rsid w:val="00BF2D93"/>
    <w:rsid w:val="00BF326C"/>
    <w:rsid w:val="00BF5AE1"/>
    <w:rsid w:val="00BF5F1E"/>
    <w:rsid w:val="00BF7B06"/>
    <w:rsid w:val="00C01ABF"/>
    <w:rsid w:val="00C11702"/>
    <w:rsid w:val="00C14051"/>
    <w:rsid w:val="00C146C6"/>
    <w:rsid w:val="00C2095E"/>
    <w:rsid w:val="00C209FB"/>
    <w:rsid w:val="00C20EF3"/>
    <w:rsid w:val="00C2143C"/>
    <w:rsid w:val="00C247C8"/>
    <w:rsid w:val="00C2499F"/>
    <w:rsid w:val="00C300E9"/>
    <w:rsid w:val="00C30E0E"/>
    <w:rsid w:val="00C3151F"/>
    <w:rsid w:val="00C332E5"/>
    <w:rsid w:val="00C341D6"/>
    <w:rsid w:val="00C355B5"/>
    <w:rsid w:val="00C3749A"/>
    <w:rsid w:val="00C40043"/>
    <w:rsid w:val="00C40735"/>
    <w:rsid w:val="00C40D28"/>
    <w:rsid w:val="00C410A7"/>
    <w:rsid w:val="00C41536"/>
    <w:rsid w:val="00C42DD1"/>
    <w:rsid w:val="00C50363"/>
    <w:rsid w:val="00C56B77"/>
    <w:rsid w:val="00C72F22"/>
    <w:rsid w:val="00C7426B"/>
    <w:rsid w:val="00C74C8F"/>
    <w:rsid w:val="00C811DB"/>
    <w:rsid w:val="00C8246E"/>
    <w:rsid w:val="00C825F4"/>
    <w:rsid w:val="00C830FE"/>
    <w:rsid w:val="00C844AE"/>
    <w:rsid w:val="00C84C83"/>
    <w:rsid w:val="00C900FF"/>
    <w:rsid w:val="00CA0A84"/>
    <w:rsid w:val="00CA32F5"/>
    <w:rsid w:val="00CA3E0A"/>
    <w:rsid w:val="00CA486F"/>
    <w:rsid w:val="00CB2227"/>
    <w:rsid w:val="00CB50A9"/>
    <w:rsid w:val="00CB70D1"/>
    <w:rsid w:val="00CB7780"/>
    <w:rsid w:val="00CB7954"/>
    <w:rsid w:val="00CC0A8C"/>
    <w:rsid w:val="00CC382A"/>
    <w:rsid w:val="00CC53F7"/>
    <w:rsid w:val="00CC549F"/>
    <w:rsid w:val="00CC5B8C"/>
    <w:rsid w:val="00CD17B9"/>
    <w:rsid w:val="00CD34DC"/>
    <w:rsid w:val="00CD3689"/>
    <w:rsid w:val="00CD36E2"/>
    <w:rsid w:val="00CE0397"/>
    <w:rsid w:val="00CE2EC2"/>
    <w:rsid w:val="00CE42FE"/>
    <w:rsid w:val="00CE67E5"/>
    <w:rsid w:val="00CF2A0B"/>
    <w:rsid w:val="00CF55CD"/>
    <w:rsid w:val="00CF5A1C"/>
    <w:rsid w:val="00CF5A9F"/>
    <w:rsid w:val="00D0425F"/>
    <w:rsid w:val="00D042D4"/>
    <w:rsid w:val="00D12E2C"/>
    <w:rsid w:val="00D13CA5"/>
    <w:rsid w:val="00D15798"/>
    <w:rsid w:val="00D169E2"/>
    <w:rsid w:val="00D174E5"/>
    <w:rsid w:val="00D20E19"/>
    <w:rsid w:val="00D24909"/>
    <w:rsid w:val="00D26338"/>
    <w:rsid w:val="00D26916"/>
    <w:rsid w:val="00D32B71"/>
    <w:rsid w:val="00D3393B"/>
    <w:rsid w:val="00D3612D"/>
    <w:rsid w:val="00D36F1B"/>
    <w:rsid w:val="00D42423"/>
    <w:rsid w:val="00D43B70"/>
    <w:rsid w:val="00D465B2"/>
    <w:rsid w:val="00D472B6"/>
    <w:rsid w:val="00D4784F"/>
    <w:rsid w:val="00D532D4"/>
    <w:rsid w:val="00D53EFD"/>
    <w:rsid w:val="00D56DC9"/>
    <w:rsid w:val="00D61399"/>
    <w:rsid w:val="00D631CB"/>
    <w:rsid w:val="00D64263"/>
    <w:rsid w:val="00D64649"/>
    <w:rsid w:val="00D650EE"/>
    <w:rsid w:val="00D65CD0"/>
    <w:rsid w:val="00D67602"/>
    <w:rsid w:val="00D6764E"/>
    <w:rsid w:val="00D71267"/>
    <w:rsid w:val="00D74C31"/>
    <w:rsid w:val="00D7545D"/>
    <w:rsid w:val="00D76EFE"/>
    <w:rsid w:val="00D772C5"/>
    <w:rsid w:val="00D8198F"/>
    <w:rsid w:val="00D821DA"/>
    <w:rsid w:val="00D8238F"/>
    <w:rsid w:val="00D850D1"/>
    <w:rsid w:val="00D94035"/>
    <w:rsid w:val="00D94F82"/>
    <w:rsid w:val="00D95122"/>
    <w:rsid w:val="00DA2884"/>
    <w:rsid w:val="00DA3342"/>
    <w:rsid w:val="00DA4200"/>
    <w:rsid w:val="00DA5B55"/>
    <w:rsid w:val="00DA5FF2"/>
    <w:rsid w:val="00DA7E48"/>
    <w:rsid w:val="00DB02DA"/>
    <w:rsid w:val="00DB129E"/>
    <w:rsid w:val="00DB22BD"/>
    <w:rsid w:val="00DC3C6C"/>
    <w:rsid w:val="00DD0459"/>
    <w:rsid w:val="00DD21AD"/>
    <w:rsid w:val="00DD2DD7"/>
    <w:rsid w:val="00DD57E2"/>
    <w:rsid w:val="00DD7A31"/>
    <w:rsid w:val="00DE0098"/>
    <w:rsid w:val="00DE1262"/>
    <w:rsid w:val="00DE1831"/>
    <w:rsid w:val="00DE2B2A"/>
    <w:rsid w:val="00DE453D"/>
    <w:rsid w:val="00DE52A2"/>
    <w:rsid w:val="00DF0214"/>
    <w:rsid w:val="00DF0350"/>
    <w:rsid w:val="00DF1408"/>
    <w:rsid w:val="00DF154A"/>
    <w:rsid w:val="00DF1FA1"/>
    <w:rsid w:val="00DF2E0E"/>
    <w:rsid w:val="00DF474D"/>
    <w:rsid w:val="00DF5B3F"/>
    <w:rsid w:val="00DF5CB5"/>
    <w:rsid w:val="00DF67B4"/>
    <w:rsid w:val="00DF7620"/>
    <w:rsid w:val="00E0044F"/>
    <w:rsid w:val="00E048BB"/>
    <w:rsid w:val="00E07165"/>
    <w:rsid w:val="00E07693"/>
    <w:rsid w:val="00E14B0F"/>
    <w:rsid w:val="00E159A4"/>
    <w:rsid w:val="00E163AB"/>
    <w:rsid w:val="00E17C76"/>
    <w:rsid w:val="00E21963"/>
    <w:rsid w:val="00E219BD"/>
    <w:rsid w:val="00E223EE"/>
    <w:rsid w:val="00E22E5B"/>
    <w:rsid w:val="00E25A22"/>
    <w:rsid w:val="00E302C1"/>
    <w:rsid w:val="00E31639"/>
    <w:rsid w:val="00E33CFD"/>
    <w:rsid w:val="00E34D58"/>
    <w:rsid w:val="00E358BB"/>
    <w:rsid w:val="00E3734E"/>
    <w:rsid w:val="00E40317"/>
    <w:rsid w:val="00E41FA8"/>
    <w:rsid w:val="00E426AB"/>
    <w:rsid w:val="00E44733"/>
    <w:rsid w:val="00E4504B"/>
    <w:rsid w:val="00E46B79"/>
    <w:rsid w:val="00E47C26"/>
    <w:rsid w:val="00E52700"/>
    <w:rsid w:val="00E557E3"/>
    <w:rsid w:val="00E560BF"/>
    <w:rsid w:val="00E560F3"/>
    <w:rsid w:val="00E56F28"/>
    <w:rsid w:val="00E5705B"/>
    <w:rsid w:val="00E6139D"/>
    <w:rsid w:val="00E6250C"/>
    <w:rsid w:val="00E6369E"/>
    <w:rsid w:val="00E64007"/>
    <w:rsid w:val="00E6476B"/>
    <w:rsid w:val="00E6673E"/>
    <w:rsid w:val="00E70C35"/>
    <w:rsid w:val="00E73D13"/>
    <w:rsid w:val="00E74B25"/>
    <w:rsid w:val="00E74BF7"/>
    <w:rsid w:val="00E75B64"/>
    <w:rsid w:val="00E75D2E"/>
    <w:rsid w:val="00E8146C"/>
    <w:rsid w:val="00E83986"/>
    <w:rsid w:val="00E83BF5"/>
    <w:rsid w:val="00E83DAD"/>
    <w:rsid w:val="00E84619"/>
    <w:rsid w:val="00E91B5A"/>
    <w:rsid w:val="00E93499"/>
    <w:rsid w:val="00E944B2"/>
    <w:rsid w:val="00E96001"/>
    <w:rsid w:val="00E979C7"/>
    <w:rsid w:val="00E97F86"/>
    <w:rsid w:val="00EA2FE2"/>
    <w:rsid w:val="00EA2FF2"/>
    <w:rsid w:val="00EA66B4"/>
    <w:rsid w:val="00EA6ACC"/>
    <w:rsid w:val="00EB1D99"/>
    <w:rsid w:val="00EB1FFA"/>
    <w:rsid w:val="00EB3120"/>
    <w:rsid w:val="00EB79D7"/>
    <w:rsid w:val="00EC0DED"/>
    <w:rsid w:val="00EC5AC0"/>
    <w:rsid w:val="00EC63DB"/>
    <w:rsid w:val="00ED1F5D"/>
    <w:rsid w:val="00ED5477"/>
    <w:rsid w:val="00ED60D2"/>
    <w:rsid w:val="00ED7E28"/>
    <w:rsid w:val="00EE23B6"/>
    <w:rsid w:val="00EF1B8C"/>
    <w:rsid w:val="00EF1D11"/>
    <w:rsid w:val="00EF22E3"/>
    <w:rsid w:val="00EF2911"/>
    <w:rsid w:val="00EF3D59"/>
    <w:rsid w:val="00EF5B28"/>
    <w:rsid w:val="00EF6B60"/>
    <w:rsid w:val="00F01D96"/>
    <w:rsid w:val="00F021C6"/>
    <w:rsid w:val="00F02AA2"/>
    <w:rsid w:val="00F05C3C"/>
    <w:rsid w:val="00F05C4B"/>
    <w:rsid w:val="00F05F64"/>
    <w:rsid w:val="00F06346"/>
    <w:rsid w:val="00F07326"/>
    <w:rsid w:val="00F0799C"/>
    <w:rsid w:val="00F12D94"/>
    <w:rsid w:val="00F20915"/>
    <w:rsid w:val="00F212B2"/>
    <w:rsid w:val="00F24423"/>
    <w:rsid w:val="00F24F8F"/>
    <w:rsid w:val="00F262B0"/>
    <w:rsid w:val="00F30CB9"/>
    <w:rsid w:val="00F32679"/>
    <w:rsid w:val="00F362D7"/>
    <w:rsid w:val="00F36EAB"/>
    <w:rsid w:val="00F40A71"/>
    <w:rsid w:val="00F44EC5"/>
    <w:rsid w:val="00F4754B"/>
    <w:rsid w:val="00F52268"/>
    <w:rsid w:val="00F526F7"/>
    <w:rsid w:val="00F5562F"/>
    <w:rsid w:val="00F61086"/>
    <w:rsid w:val="00F625E6"/>
    <w:rsid w:val="00F62EF8"/>
    <w:rsid w:val="00F64493"/>
    <w:rsid w:val="00F65C8B"/>
    <w:rsid w:val="00F66705"/>
    <w:rsid w:val="00F670AE"/>
    <w:rsid w:val="00F73C29"/>
    <w:rsid w:val="00F771EF"/>
    <w:rsid w:val="00F8111D"/>
    <w:rsid w:val="00F823BA"/>
    <w:rsid w:val="00F83305"/>
    <w:rsid w:val="00F87480"/>
    <w:rsid w:val="00F91B06"/>
    <w:rsid w:val="00F94A3B"/>
    <w:rsid w:val="00FA1443"/>
    <w:rsid w:val="00FA17DF"/>
    <w:rsid w:val="00FA58E1"/>
    <w:rsid w:val="00FA60A0"/>
    <w:rsid w:val="00FA663B"/>
    <w:rsid w:val="00FB1626"/>
    <w:rsid w:val="00FB2C9E"/>
    <w:rsid w:val="00FB4BA2"/>
    <w:rsid w:val="00FB53F4"/>
    <w:rsid w:val="00FC5444"/>
    <w:rsid w:val="00FC64AE"/>
    <w:rsid w:val="00FC6BC8"/>
    <w:rsid w:val="00FC6C34"/>
    <w:rsid w:val="00FC6EE4"/>
    <w:rsid w:val="00FD0A2B"/>
    <w:rsid w:val="00FD4567"/>
    <w:rsid w:val="00FD506D"/>
    <w:rsid w:val="00FD7F36"/>
    <w:rsid w:val="00FE333E"/>
    <w:rsid w:val="00FE5B1E"/>
    <w:rsid w:val="00FE6BE3"/>
    <w:rsid w:val="00FF0C67"/>
    <w:rsid w:val="00FF1C5A"/>
    <w:rsid w:val="00FF22F6"/>
    <w:rsid w:val="00FF3813"/>
    <w:rsid w:val="00FF44A3"/>
    <w:rsid w:val="00FF5DA1"/>
    <w:rsid w:val="00FF5E08"/>
    <w:rsid w:val="00FF7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E7B12"/>
  <w15:chartTrackingRefBased/>
  <w15:docId w15:val="{1E3A015F-C043-48FA-9269-1514A4E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42582"/>
    <w:pPr>
      <w:spacing w:after="160" w:line="259" w:lineRule="auto"/>
      <w:jc w:val="both"/>
    </w:pPr>
    <w:rPr>
      <w:rFonts w:ascii="Century Gothic" w:hAnsi="Century Gothic"/>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Cs w:val="20"/>
    </w:rPr>
  </w:style>
  <w:style w:type="character" w:customStyle="1" w:styleId="TextocomentarioCar">
    <w:name w:val="Texto comentario Ca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6CF6"/>
    <w:pPr>
      <w:autoSpaceDE w:val="0"/>
      <w:autoSpaceDN w:val="0"/>
      <w:adjustRightInd w:val="0"/>
    </w:pPr>
    <w:rPr>
      <w:rFonts w:ascii="ITC Avant Garde" w:hAnsi="ITC Avant Garde" w:cs="ITC Avant Garde"/>
      <w:color w:val="000000"/>
      <w:sz w:val="24"/>
      <w:szCs w:val="24"/>
    </w:rPr>
  </w:style>
  <w:style w:type="paragraph" w:styleId="Textonotapie">
    <w:name w:val="footnote text"/>
    <w:aliases w:val="Pie depágina,~FootnoteText,Footnote Text Char1,Footnote Text Char Char1,Footnote Text Char4 Char Char,Footnote Text Char1 Char1 Char1 Char,Footnote Text Char Char1 Char1 Char Char,Footnote Text Char1 Char1 Char1 Char Char Char1,fn"/>
    <w:basedOn w:val="Normal"/>
    <w:link w:val="TextonotapieCar"/>
    <w:uiPriority w:val="99"/>
    <w:unhideWhenUsed/>
    <w:qFormat/>
    <w:rsid w:val="00870F7C"/>
    <w:rPr>
      <w:szCs w:val="20"/>
    </w:rPr>
  </w:style>
  <w:style w:type="character" w:customStyle="1" w:styleId="TextonotapieCar">
    <w:name w:val="Texto nota pie Car"/>
    <w:aliases w:val="Pie depágina Car,~FootnoteText Car,Footnote Text Char1 Car,Footnote Text Char Char1 Car,Footnote Text Char4 Char Char Car,Footnote Text Char1 Char1 Char1 Char Car,Footnote Text Char Char1 Char1 Char Char Car,fn Car"/>
    <w:link w:val="Textonotapie"/>
    <w:uiPriority w:val="99"/>
    <w:rsid w:val="00870F7C"/>
    <w:rPr>
      <w:lang w:eastAsia="en-US"/>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
    <w:uiPriority w:val="99"/>
    <w:unhideWhenUsed/>
    <w:qFormat/>
    <w:rsid w:val="00870F7C"/>
    <w:rPr>
      <w:vertAlign w:val="superscript"/>
    </w:rPr>
  </w:style>
  <w:style w:type="paragraph" w:styleId="Ttulo">
    <w:name w:val="Title"/>
    <w:basedOn w:val="Normal"/>
    <w:next w:val="Normal"/>
    <w:link w:val="TtuloCar"/>
    <w:uiPriority w:val="10"/>
    <w:qFormat/>
    <w:rsid w:val="00FF75D4"/>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FF75D4"/>
    <w:rPr>
      <w:rFonts w:ascii="Calibri Light" w:eastAsia="Times New Roman" w:hAnsi="Calibri Light" w:cs="Times New Roman"/>
      <w:b/>
      <w:bCs/>
      <w:kern w:val="28"/>
      <w:sz w:val="32"/>
      <w:szCs w:val="32"/>
      <w:lang w:eastAsia="en-US"/>
    </w:rPr>
  </w:style>
  <w:style w:type="paragraph" w:styleId="Textoindependiente">
    <w:name w:val="Body Text"/>
    <w:basedOn w:val="Normal"/>
    <w:link w:val="TextoindependienteCar"/>
    <w:uiPriority w:val="99"/>
    <w:unhideWhenUsed/>
    <w:rsid w:val="00FF75D4"/>
    <w:pPr>
      <w:spacing w:after="120"/>
    </w:pPr>
  </w:style>
  <w:style w:type="character" w:customStyle="1" w:styleId="TextoindependienteCar">
    <w:name w:val="Texto independiente Car"/>
    <w:link w:val="Textoindependiente"/>
    <w:uiPriority w:val="99"/>
    <w:rsid w:val="00FF75D4"/>
    <w:rPr>
      <w:rFonts w:ascii="Century Gothic" w:hAnsi="Century Gothic"/>
      <w:szCs w:val="22"/>
      <w:lang w:eastAsia="en-US"/>
    </w:rPr>
  </w:style>
  <w:style w:type="paragraph" w:styleId="Prrafodelista">
    <w:name w:val="List Paragraph"/>
    <w:basedOn w:val="Normal"/>
    <w:uiPriority w:val="34"/>
    <w:qFormat/>
    <w:rsid w:val="00F262B0"/>
    <w:pPr>
      <w:ind w:left="720"/>
      <w:contextualSpacing/>
      <w:jc w:val="left"/>
    </w:pPr>
    <w:rPr>
      <w:rFonts w:ascii="Calibri" w:hAnsi="Calibri"/>
      <w:sz w:val="22"/>
    </w:rPr>
  </w:style>
  <w:style w:type="character" w:styleId="Textodelmarcadordeposicin">
    <w:name w:val="Placeholder Text"/>
    <w:uiPriority w:val="99"/>
    <w:rsid w:val="00F262B0"/>
    <w:rPr>
      <w:color w:val="808080"/>
    </w:rPr>
  </w:style>
  <w:style w:type="paragraph" w:styleId="Revisin">
    <w:name w:val="Revision"/>
    <w:hidden/>
    <w:uiPriority w:val="71"/>
    <w:unhideWhenUsed/>
    <w:rsid w:val="0022337B"/>
    <w:rPr>
      <w:rFonts w:ascii="Century Gothic" w:hAnsi="Century Gothic"/>
      <w:szCs w:val="22"/>
      <w:lang w:eastAsia="en-US"/>
    </w:rPr>
  </w:style>
  <w:style w:type="character" w:styleId="Hipervnculovisitado">
    <w:name w:val="FollowedHyperlink"/>
    <w:basedOn w:val="Fuentedeprrafopredeter"/>
    <w:uiPriority w:val="99"/>
    <w:semiHidden/>
    <w:unhideWhenUsed/>
    <w:rsid w:val="000C2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9371">
      <w:bodyDiv w:val="1"/>
      <w:marLeft w:val="0"/>
      <w:marRight w:val="0"/>
      <w:marTop w:val="0"/>
      <w:marBottom w:val="0"/>
      <w:divBdr>
        <w:top w:val="none" w:sz="0" w:space="0" w:color="auto"/>
        <w:left w:val="none" w:sz="0" w:space="0" w:color="auto"/>
        <w:bottom w:val="none" w:sz="0" w:space="0" w:color="auto"/>
        <w:right w:val="none" w:sz="0" w:space="0" w:color="auto"/>
      </w:divBdr>
      <w:divsChild>
        <w:div w:id="321785560">
          <w:marLeft w:val="0"/>
          <w:marRight w:val="0"/>
          <w:marTop w:val="0"/>
          <w:marBottom w:val="0"/>
          <w:divBdr>
            <w:top w:val="none" w:sz="0" w:space="0" w:color="auto"/>
            <w:left w:val="none" w:sz="0" w:space="0" w:color="auto"/>
            <w:bottom w:val="none" w:sz="0" w:space="0" w:color="auto"/>
            <w:right w:val="none" w:sz="0" w:space="0" w:color="auto"/>
          </w:divBdr>
          <w:divsChild>
            <w:div w:id="13612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5949">
      <w:bodyDiv w:val="1"/>
      <w:marLeft w:val="0"/>
      <w:marRight w:val="0"/>
      <w:marTop w:val="0"/>
      <w:marBottom w:val="0"/>
      <w:divBdr>
        <w:top w:val="none" w:sz="0" w:space="0" w:color="auto"/>
        <w:left w:val="none" w:sz="0" w:space="0" w:color="auto"/>
        <w:bottom w:val="none" w:sz="0" w:space="0" w:color="auto"/>
        <w:right w:val="none" w:sz="0" w:space="0" w:color="auto"/>
      </w:divBdr>
      <w:divsChild>
        <w:div w:id="434447680">
          <w:marLeft w:val="0"/>
          <w:marRight w:val="0"/>
          <w:marTop w:val="0"/>
          <w:marBottom w:val="0"/>
          <w:divBdr>
            <w:top w:val="none" w:sz="0" w:space="0" w:color="auto"/>
            <w:left w:val="none" w:sz="0" w:space="0" w:color="auto"/>
            <w:bottom w:val="none" w:sz="0" w:space="0" w:color="auto"/>
            <w:right w:val="none" w:sz="0" w:space="0" w:color="auto"/>
          </w:divBdr>
          <w:divsChild>
            <w:div w:id="19982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639">
      <w:bodyDiv w:val="1"/>
      <w:marLeft w:val="0"/>
      <w:marRight w:val="0"/>
      <w:marTop w:val="0"/>
      <w:marBottom w:val="0"/>
      <w:divBdr>
        <w:top w:val="none" w:sz="0" w:space="0" w:color="auto"/>
        <w:left w:val="none" w:sz="0" w:space="0" w:color="auto"/>
        <w:bottom w:val="none" w:sz="0" w:space="0" w:color="auto"/>
        <w:right w:val="none" w:sz="0" w:space="0" w:color="auto"/>
      </w:divBdr>
      <w:divsChild>
        <w:div w:id="1455250445">
          <w:marLeft w:val="0"/>
          <w:marRight w:val="0"/>
          <w:marTop w:val="0"/>
          <w:marBottom w:val="0"/>
          <w:divBdr>
            <w:top w:val="none" w:sz="0" w:space="0" w:color="auto"/>
            <w:left w:val="none" w:sz="0" w:space="0" w:color="auto"/>
            <w:bottom w:val="none" w:sz="0" w:space="0" w:color="auto"/>
            <w:right w:val="none" w:sz="0" w:space="0" w:color="auto"/>
          </w:divBdr>
          <w:divsChild>
            <w:div w:id="9050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90585">
      <w:bodyDiv w:val="1"/>
      <w:marLeft w:val="0"/>
      <w:marRight w:val="0"/>
      <w:marTop w:val="0"/>
      <w:marBottom w:val="0"/>
      <w:divBdr>
        <w:top w:val="none" w:sz="0" w:space="0" w:color="auto"/>
        <w:left w:val="none" w:sz="0" w:space="0" w:color="auto"/>
        <w:bottom w:val="none" w:sz="0" w:space="0" w:color="auto"/>
        <w:right w:val="none" w:sz="0" w:space="0" w:color="auto"/>
      </w:divBdr>
      <w:divsChild>
        <w:div w:id="1171069677">
          <w:marLeft w:val="0"/>
          <w:marRight w:val="0"/>
          <w:marTop w:val="0"/>
          <w:marBottom w:val="0"/>
          <w:divBdr>
            <w:top w:val="none" w:sz="0" w:space="0" w:color="auto"/>
            <w:left w:val="none" w:sz="0" w:space="0" w:color="auto"/>
            <w:bottom w:val="none" w:sz="0" w:space="0" w:color="auto"/>
            <w:right w:val="none" w:sz="0" w:space="0" w:color="auto"/>
          </w:divBdr>
        </w:div>
      </w:divsChild>
    </w:div>
    <w:div w:id="322927007">
      <w:bodyDiv w:val="1"/>
      <w:marLeft w:val="0"/>
      <w:marRight w:val="0"/>
      <w:marTop w:val="0"/>
      <w:marBottom w:val="0"/>
      <w:divBdr>
        <w:top w:val="none" w:sz="0" w:space="0" w:color="auto"/>
        <w:left w:val="none" w:sz="0" w:space="0" w:color="auto"/>
        <w:bottom w:val="none" w:sz="0" w:space="0" w:color="auto"/>
        <w:right w:val="none" w:sz="0" w:space="0" w:color="auto"/>
      </w:divBdr>
      <w:divsChild>
        <w:div w:id="923221967">
          <w:marLeft w:val="0"/>
          <w:marRight w:val="0"/>
          <w:marTop w:val="0"/>
          <w:marBottom w:val="0"/>
          <w:divBdr>
            <w:top w:val="none" w:sz="0" w:space="0" w:color="auto"/>
            <w:left w:val="none" w:sz="0" w:space="0" w:color="auto"/>
            <w:bottom w:val="none" w:sz="0" w:space="0" w:color="auto"/>
            <w:right w:val="none" w:sz="0" w:space="0" w:color="auto"/>
          </w:divBdr>
          <w:divsChild>
            <w:div w:id="7756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887">
      <w:bodyDiv w:val="1"/>
      <w:marLeft w:val="0"/>
      <w:marRight w:val="0"/>
      <w:marTop w:val="0"/>
      <w:marBottom w:val="0"/>
      <w:divBdr>
        <w:top w:val="none" w:sz="0" w:space="0" w:color="auto"/>
        <w:left w:val="none" w:sz="0" w:space="0" w:color="auto"/>
        <w:bottom w:val="none" w:sz="0" w:space="0" w:color="auto"/>
        <w:right w:val="none" w:sz="0" w:space="0" w:color="auto"/>
      </w:divBdr>
      <w:divsChild>
        <w:div w:id="300623405">
          <w:marLeft w:val="0"/>
          <w:marRight w:val="0"/>
          <w:marTop w:val="0"/>
          <w:marBottom w:val="0"/>
          <w:divBdr>
            <w:top w:val="none" w:sz="0" w:space="0" w:color="auto"/>
            <w:left w:val="none" w:sz="0" w:space="0" w:color="auto"/>
            <w:bottom w:val="none" w:sz="0" w:space="0" w:color="auto"/>
            <w:right w:val="none" w:sz="0" w:space="0" w:color="auto"/>
          </w:divBdr>
          <w:divsChild>
            <w:div w:id="544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708">
      <w:bodyDiv w:val="1"/>
      <w:marLeft w:val="0"/>
      <w:marRight w:val="0"/>
      <w:marTop w:val="0"/>
      <w:marBottom w:val="0"/>
      <w:divBdr>
        <w:top w:val="none" w:sz="0" w:space="0" w:color="auto"/>
        <w:left w:val="none" w:sz="0" w:space="0" w:color="auto"/>
        <w:bottom w:val="none" w:sz="0" w:space="0" w:color="auto"/>
        <w:right w:val="none" w:sz="0" w:space="0" w:color="auto"/>
      </w:divBdr>
      <w:divsChild>
        <w:div w:id="1787235827">
          <w:marLeft w:val="0"/>
          <w:marRight w:val="0"/>
          <w:marTop w:val="0"/>
          <w:marBottom w:val="0"/>
          <w:divBdr>
            <w:top w:val="none" w:sz="0" w:space="0" w:color="auto"/>
            <w:left w:val="none" w:sz="0" w:space="0" w:color="auto"/>
            <w:bottom w:val="none" w:sz="0" w:space="0" w:color="auto"/>
            <w:right w:val="none" w:sz="0" w:space="0" w:color="auto"/>
          </w:divBdr>
        </w:div>
      </w:divsChild>
    </w:div>
    <w:div w:id="562986950">
      <w:bodyDiv w:val="1"/>
      <w:marLeft w:val="0"/>
      <w:marRight w:val="0"/>
      <w:marTop w:val="0"/>
      <w:marBottom w:val="0"/>
      <w:divBdr>
        <w:top w:val="none" w:sz="0" w:space="0" w:color="auto"/>
        <w:left w:val="none" w:sz="0" w:space="0" w:color="auto"/>
        <w:bottom w:val="none" w:sz="0" w:space="0" w:color="auto"/>
        <w:right w:val="none" w:sz="0" w:space="0" w:color="auto"/>
      </w:divBdr>
      <w:divsChild>
        <w:div w:id="969165546">
          <w:marLeft w:val="0"/>
          <w:marRight w:val="0"/>
          <w:marTop w:val="0"/>
          <w:marBottom w:val="0"/>
          <w:divBdr>
            <w:top w:val="none" w:sz="0" w:space="0" w:color="auto"/>
            <w:left w:val="none" w:sz="0" w:space="0" w:color="auto"/>
            <w:bottom w:val="none" w:sz="0" w:space="0" w:color="auto"/>
            <w:right w:val="none" w:sz="0" w:space="0" w:color="auto"/>
          </w:divBdr>
          <w:divsChild>
            <w:div w:id="17587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2">
      <w:bodyDiv w:val="1"/>
      <w:marLeft w:val="0"/>
      <w:marRight w:val="0"/>
      <w:marTop w:val="0"/>
      <w:marBottom w:val="0"/>
      <w:divBdr>
        <w:top w:val="none" w:sz="0" w:space="0" w:color="auto"/>
        <w:left w:val="none" w:sz="0" w:space="0" w:color="auto"/>
        <w:bottom w:val="none" w:sz="0" w:space="0" w:color="auto"/>
        <w:right w:val="none" w:sz="0" w:space="0" w:color="auto"/>
      </w:divBdr>
      <w:divsChild>
        <w:div w:id="159198365">
          <w:marLeft w:val="0"/>
          <w:marRight w:val="0"/>
          <w:marTop w:val="0"/>
          <w:marBottom w:val="0"/>
          <w:divBdr>
            <w:top w:val="none" w:sz="0" w:space="0" w:color="auto"/>
            <w:left w:val="none" w:sz="0" w:space="0" w:color="auto"/>
            <w:bottom w:val="none" w:sz="0" w:space="0" w:color="auto"/>
            <w:right w:val="none" w:sz="0" w:space="0" w:color="auto"/>
          </w:divBdr>
        </w:div>
      </w:divsChild>
    </w:div>
    <w:div w:id="737047989">
      <w:bodyDiv w:val="1"/>
      <w:marLeft w:val="0"/>
      <w:marRight w:val="0"/>
      <w:marTop w:val="0"/>
      <w:marBottom w:val="0"/>
      <w:divBdr>
        <w:top w:val="none" w:sz="0" w:space="0" w:color="auto"/>
        <w:left w:val="none" w:sz="0" w:space="0" w:color="auto"/>
        <w:bottom w:val="none" w:sz="0" w:space="0" w:color="auto"/>
        <w:right w:val="none" w:sz="0" w:space="0" w:color="auto"/>
      </w:divBdr>
      <w:divsChild>
        <w:div w:id="1835342370">
          <w:marLeft w:val="0"/>
          <w:marRight w:val="0"/>
          <w:marTop w:val="0"/>
          <w:marBottom w:val="0"/>
          <w:divBdr>
            <w:top w:val="none" w:sz="0" w:space="0" w:color="auto"/>
            <w:left w:val="none" w:sz="0" w:space="0" w:color="auto"/>
            <w:bottom w:val="none" w:sz="0" w:space="0" w:color="auto"/>
            <w:right w:val="none" w:sz="0" w:space="0" w:color="auto"/>
          </w:divBdr>
          <w:divsChild>
            <w:div w:id="500315600">
              <w:marLeft w:val="0"/>
              <w:marRight w:val="0"/>
              <w:marTop w:val="0"/>
              <w:marBottom w:val="0"/>
              <w:divBdr>
                <w:top w:val="none" w:sz="0" w:space="0" w:color="auto"/>
                <w:left w:val="none" w:sz="0" w:space="0" w:color="auto"/>
                <w:bottom w:val="none" w:sz="0" w:space="0" w:color="auto"/>
                <w:right w:val="none" w:sz="0" w:space="0" w:color="auto"/>
              </w:divBdr>
              <w:divsChild>
                <w:div w:id="571500936">
                  <w:marLeft w:val="0"/>
                  <w:marRight w:val="0"/>
                  <w:marTop w:val="0"/>
                  <w:marBottom w:val="0"/>
                  <w:divBdr>
                    <w:top w:val="none" w:sz="0" w:space="0" w:color="auto"/>
                    <w:left w:val="none" w:sz="0" w:space="0" w:color="auto"/>
                    <w:bottom w:val="none" w:sz="0" w:space="0" w:color="auto"/>
                    <w:right w:val="none" w:sz="0" w:space="0" w:color="auto"/>
                  </w:divBdr>
                </w:div>
              </w:divsChild>
            </w:div>
            <w:div w:id="1318723599">
              <w:marLeft w:val="0"/>
              <w:marRight w:val="0"/>
              <w:marTop w:val="0"/>
              <w:marBottom w:val="0"/>
              <w:divBdr>
                <w:top w:val="none" w:sz="0" w:space="0" w:color="auto"/>
                <w:left w:val="none" w:sz="0" w:space="0" w:color="auto"/>
                <w:bottom w:val="none" w:sz="0" w:space="0" w:color="auto"/>
                <w:right w:val="none" w:sz="0" w:space="0" w:color="auto"/>
              </w:divBdr>
              <w:divsChild>
                <w:div w:id="1235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2629">
      <w:bodyDiv w:val="1"/>
      <w:marLeft w:val="0"/>
      <w:marRight w:val="0"/>
      <w:marTop w:val="0"/>
      <w:marBottom w:val="0"/>
      <w:divBdr>
        <w:top w:val="none" w:sz="0" w:space="0" w:color="auto"/>
        <w:left w:val="none" w:sz="0" w:space="0" w:color="auto"/>
        <w:bottom w:val="none" w:sz="0" w:space="0" w:color="auto"/>
        <w:right w:val="none" w:sz="0" w:space="0" w:color="auto"/>
      </w:divBdr>
      <w:divsChild>
        <w:div w:id="1210848705">
          <w:marLeft w:val="0"/>
          <w:marRight w:val="0"/>
          <w:marTop w:val="0"/>
          <w:marBottom w:val="0"/>
          <w:divBdr>
            <w:top w:val="none" w:sz="0" w:space="0" w:color="auto"/>
            <w:left w:val="none" w:sz="0" w:space="0" w:color="auto"/>
            <w:bottom w:val="none" w:sz="0" w:space="0" w:color="auto"/>
            <w:right w:val="none" w:sz="0" w:space="0" w:color="auto"/>
          </w:divBdr>
          <w:divsChild>
            <w:div w:id="2143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3397">
      <w:bodyDiv w:val="1"/>
      <w:marLeft w:val="0"/>
      <w:marRight w:val="0"/>
      <w:marTop w:val="0"/>
      <w:marBottom w:val="0"/>
      <w:divBdr>
        <w:top w:val="none" w:sz="0" w:space="0" w:color="auto"/>
        <w:left w:val="none" w:sz="0" w:space="0" w:color="auto"/>
        <w:bottom w:val="none" w:sz="0" w:space="0" w:color="auto"/>
        <w:right w:val="none" w:sz="0" w:space="0" w:color="auto"/>
      </w:divBdr>
      <w:divsChild>
        <w:div w:id="2025207126">
          <w:marLeft w:val="0"/>
          <w:marRight w:val="0"/>
          <w:marTop w:val="0"/>
          <w:marBottom w:val="0"/>
          <w:divBdr>
            <w:top w:val="none" w:sz="0" w:space="0" w:color="auto"/>
            <w:left w:val="none" w:sz="0" w:space="0" w:color="auto"/>
            <w:bottom w:val="none" w:sz="0" w:space="0" w:color="auto"/>
            <w:right w:val="none" w:sz="0" w:space="0" w:color="auto"/>
          </w:divBdr>
        </w:div>
      </w:divsChild>
    </w:div>
    <w:div w:id="862011963">
      <w:bodyDiv w:val="1"/>
      <w:marLeft w:val="0"/>
      <w:marRight w:val="0"/>
      <w:marTop w:val="0"/>
      <w:marBottom w:val="0"/>
      <w:divBdr>
        <w:top w:val="none" w:sz="0" w:space="0" w:color="auto"/>
        <w:left w:val="none" w:sz="0" w:space="0" w:color="auto"/>
        <w:bottom w:val="none" w:sz="0" w:space="0" w:color="auto"/>
        <w:right w:val="none" w:sz="0" w:space="0" w:color="auto"/>
      </w:divBdr>
      <w:divsChild>
        <w:div w:id="766460900">
          <w:marLeft w:val="0"/>
          <w:marRight w:val="0"/>
          <w:marTop w:val="0"/>
          <w:marBottom w:val="0"/>
          <w:divBdr>
            <w:top w:val="none" w:sz="0" w:space="0" w:color="auto"/>
            <w:left w:val="none" w:sz="0" w:space="0" w:color="auto"/>
            <w:bottom w:val="none" w:sz="0" w:space="0" w:color="auto"/>
            <w:right w:val="none" w:sz="0" w:space="0" w:color="auto"/>
          </w:divBdr>
          <w:divsChild>
            <w:div w:id="206182900">
              <w:marLeft w:val="0"/>
              <w:marRight w:val="0"/>
              <w:marTop w:val="0"/>
              <w:marBottom w:val="0"/>
              <w:divBdr>
                <w:top w:val="none" w:sz="0" w:space="0" w:color="auto"/>
                <w:left w:val="none" w:sz="0" w:space="0" w:color="auto"/>
                <w:bottom w:val="none" w:sz="0" w:space="0" w:color="auto"/>
                <w:right w:val="none" w:sz="0" w:space="0" w:color="auto"/>
              </w:divBdr>
              <w:divsChild>
                <w:div w:id="278491831">
                  <w:marLeft w:val="0"/>
                  <w:marRight w:val="0"/>
                  <w:marTop w:val="0"/>
                  <w:marBottom w:val="0"/>
                  <w:divBdr>
                    <w:top w:val="none" w:sz="0" w:space="0" w:color="auto"/>
                    <w:left w:val="none" w:sz="0" w:space="0" w:color="auto"/>
                    <w:bottom w:val="none" w:sz="0" w:space="0" w:color="auto"/>
                    <w:right w:val="none" w:sz="0" w:space="0" w:color="auto"/>
                  </w:divBdr>
                  <w:divsChild>
                    <w:div w:id="17628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0574">
          <w:marLeft w:val="0"/>
          <w:marRight w:val="0"/>
          <w:marTop w:val="0"/>
          <w:marBottom w:val="0"/>
          <w:divBdr>
            <w:top w:val="none" w:sz="0" w:space="0" w:color="auto"/>
            <w:left w:val="none" w:sz="0" w:space="0" w:color="auto"/>
            <w:bottom w:val="none" w:sz="0" w:space="0" w:color="auto"/>
            <w:right w:val="none" w:sz="0" w:space="0" w:color="auto"/>
          </w:divBdr>
          <w:divsChild>
            <w:div w:id="1175609638">
              <w:marLeft w:val="0"/>
              <w:marRight w:val="0"/>
              <w:marTop w:val="0"/>
              <w:marBottom w:val="0"/>
              <w:divBdr>
                <w:top w:val="none" w:sz="0" w:space="0" w:color="auto"/>
                <w:left w:val="none" w:sz="0" w:space="0" w:color="auto"/>
                <w:bottom w:val="none" w:sz="0" w:space="0" w:color="auto"/>
                <w:right w:val="none" w:sz="0" w:space="0" w:color="auto"/>
              </w:divBdr>
              <w:divsChild>
                <w:div w:id="469326042">
                  <w:marLeft w:val="0"/>
                  <w:marRight w:val="0"/>
                  <w:marTop w:val="0"/>
                  <w:marBottom w:val="0"/>
                  <w:divBdr>
                    <w:top w:val="none" w:sz="0" w:space="0" w:color="auto"/>
                    <w:left w:val="none" w:sz="0" w:space="0" w:color="auto"/>
                    <w:bottom w:val="none" w:sz="0" w:space="0" w:color="auto"/>
                    <w:right w:val="none" w:sz="0" w:space="0" w:color="auto"/>
                  </w:divBdr>
                  <w:divsChild>
                    <w:div w:id="439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09750">
      <w:bodyDiv w:val="1"/>
      <w:marLeft w:val="0"/>
      <w:marRight w:val="0"/>
      <w:marTop w:val="0"/>
      <w:marBottom w:val="0"/>
      <w:divBdr>
        <w:top w:val="none" w:sz="0" w:space="0" w:color="auto"/>
        <w:left w:val="none" w:sz="0" w:space="0" w:color="auto"/>
        <w:bottom w:val="none" w:sz="0" w:space="0" w:color="auto"/>
        <w:right w:val="none" w:sz="0" w:space="0" w:color="auto"/>
      </w:divBdr>
      <w:divsChild>
        <w:div w:id="1774085599">
          <w:marLeft w:val="0"/>
          <w:marRight w:val="0"/>
          <w:marTop w:val="0"/>
          <w:marBottom w:val="0"/>
          <w:divBdr>
            <w:top w:val="none" w:sz="0" w:space="0" w:color="auto"/>
            <w:left w:val="none" w:sz="0" w:space="0" w:color="auto"/>
            <w:bottom w:val="none" w:sz="0" w:space="0" w:color="auto"/>
            <w:right w:val="none" w:sz="0" w:space="0" w:color="auto"/>
          </w:divBdr>
          <w:divsChild>
            <w:div w:id="3681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9728">
      <w:bodyDiv w:val="1"/>
      <w:marLeft w:val="0"/>
      <w:marRight w:val="0"/>
      <w:marTop w:val="0"/>
      <w:marBottom w:val="0"/>
      <w:divBdr>
        <w:top w:val="none" w:sz="0" w:space="0" w:color="auto"/>
        <w:left w:val="none" w:sz="0" w:space="0" w:color="auto"/>
        <w:bottom w:val="none" w:sz="0" w:space="0" w:color="auto"/>
        <w:right w:val="none" w:sz="0" w:space="0" w:color="auto"/>
      </w:divBdr>
      <w:divsChild>
        <w:div w:id="1489789003">
          <w:marLeft w:val="0"/>
          <w:marRight w:val="0"/>
          <w:marTop w:val="0"/>
          <w:marBottom w:val="0"/>
          <w:divBdr>
            <w:top w:val="none" w:sz="0" w:space="0" w:color="auto"/>
            <w:left w:val="none" w:sz="0" w:space="0" w:color="auto"/>
            <w:bottom w:val="none" w:sz="0" w:space="0" w:color="auto"/>
            <w:right w:val="none" w:sz="0" w:space="0" w:color="auto"/>
          </w:divBdr>
          <w:divsChild>
            <w:div w:id="9136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87555223">
      <w:bodyDiv w:val="1"/>
      <w:marLeft w:val="0"/>
      <w:marRight w:val="0"/>
      <w:marTop w:val="0"/>
      <w:marBottom w:val="0"/>
      <w:divBdr>
        <w:top w:val="none" w:sz="0" w:space="0" w:color="auto"/>
        <w:left w:val="none" w:sz="0" w:space="0" w:color="auto"/>
        <w:bottom w:val="none" w:sz="0" w:space="0" w:color="auto"/>
        <w:right w:val="none" w:sz="0" w:space="0" w:color="auto"/>
      </w:divBdr>
      <w:divsChild>
        <w:div w:id="1386366436">
          <w:marLeft w:val="0"/>
          <w:marRight w:val="0"/>
          <w:marTop w:val="0"/>
          <w:marBottom w:val="0"/>
          <w:divBdr>
            <w:top w:val="none" w:sz="0" w:space="0" w:color="auto"/>
            <w:left w:val="none" w:sz="0" w:space="0" w:color="auto"/>
            <w:bottom w:val="none" w:sz="0" w:space="0" w:color="auto"/>
            <w:right w:val="none" w:sz="0" w:space="0" w:color="auto"/>
          </w:divBdr>
        </w:div>
      </w:divsChild>
    </w:div>
    <w:div w:id="1505976814">
      <w:bodyDiv w:val="1"/>
      <w:marLeft w:val="0"/>
      <w:marRight w:val="0"/>
      <w:marTop w:val="0"/>
      <w:marBottom w:val="0"/>
      <w:divBdr>
        <w:top w:val="none" w:sz="0" w:space="0" w:color="auto"/>
        <w:left w:val="none" w:sz="0" w:space="0" w:color="auto"/>
        <w:bottom w:val="none" w:sz="0" w:space="0" w:color="auto"/>
        <w:right w:val="none" w:sz="0" w:space="0" w:color="auto"/>
      </w:divBdr>
      <w:divsChild>
        <w:div w:id="611788438">
          <w:marLeft w:val="0"/>
          <w:marRight w:val="0"/>
          <w:marTop w:val="0"/>
          <w:marBottom w:val="0"/>
          <w:divBdr>
            <w:top w:val="none" w:sz="0" w:space="0" w:color="auto"/>
            <w:left w:val="none" w:sz="0" w:space="0" w:color="auto"/>
            <w:bottom w:val="none" w:sz="0" w:space="0" w:color="auto"/>
            <w:right w:val="none" w:sz="0" w:space="0" w:color="auto"/>
          </w:divBdr>
          <w:divsChild>
            <w:div w:id="591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9135">
      <w:bodyDiv w:val="1"/>
      <w:marLeft w:val="0"/>
      <w:marRight w:val="0"/>
      <w:marTop w:val="0"/>
      <w:marBottom w:val="0"/>
      <w:divBdr>
        <w:top w:val="none" w:sz="0" w:space="0" w:color="auto"/>
        <w:left w:val="none" w:sz="0" w:space="0" w:color="auto"/>
        <w:bottom w:val="none" w:sz="0" w:space="0" w:color="auto"/>
        <w:right w:val="none" w:sz="0" w:space="0" w:color="auto"/>
      </w:divBdr>
      <w:divsChild>
        <w:div w:id="1873416956">
          <w:marLeft w:val="0"/>
          <w:marRight w:val="0"/>
          <w:marTop w:val="0"/>
          <w:marBottom w:val="0"/>
          <w:divBdr>
            <w:top w:val="none" w:sz="0" w:space="0" w:color="auto"/>
            <w:left w:val="none" w:sz="0" w:space="0" w:color="auto"/>
            <w:bottom w:val="none" w:sz="0" w:space="0" w:color="auto"/>
            <w:right w:val="none" w:sz="0" w:space="0" w:color="auto"/>
          </w:divBdr>
          <w:divsChild>
            <w:div w:id="1613780601">
              <w:marLeft w:val="0"/>
              <w:marRight w:val="0"/>
              <w:marTop w:val="0"/>
              <w:marBottom w:val="0"/>
              <w:divBdr>
                <w:top w:val="none" w:sz="0" w:space="0" w:color="auto"/>
                <w:left w:val="none" w:sz="0" w:space="0" w:color="auto"/>
                <w:bottom w:val="none" w:sz="0" w:space="0" w:color="auto"/>
                <w:right w:val="none" w:sz="0" w:space="0" w:color="auto"/>
              </w:divBdr>
              <w:divsChild>
                <w:div w:id="1382245676">
                  <w:marLeft w:val="0"/>
                  <w:marRight w:val="0"/>
                  <w:marTop w:val="0"/>
                  <w:marBottom w:val="0"/>
                  <w:divBdr>
                    <w:top w:val="none" w:sz="0" w:space="0" w:color="auto"/>
                    <w:left w:val="none" w:sz="0" w:space="0" w:color="auto"/>
                    <w:bottom w:val="none" w:sz="0" w:space="0" w:color="auto"/>
                    <w:right w:val="none" w:sz="0" w:space="0" w:color="auto"/>
                  </w:divBdr>
                  <w:divsChild>
                    <w:div w:id="6677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51039">
          <w:marLeft w:val="0"/>
          <w:marRight w:val="0"/>
          <w:marTop w:val="0"/>
          <w:marBottom w:val="0"/>
          <w:divBdr>
            <w:top w:val="none" w:sz="0" w:space="0" w:color="auto"/>
            <w:left w:val="none" w:sz="0" w:space="0" w:color="auto"/>
            <w:bottom w:val="none" w:sz="0" w:space="0" w:color="auto"/>
            <w:right w:val="none" w:sz="0" w:space="0" w:color="auto"/>
          </w:divBdr>
          <w:divsChild>
            <w:div w:id="1357197898">
              <w:marLeft w:val="0"/>
              <w:marRight w:val="0"/>
              <w:marTop w:val="0"/>
              <w:marBottom w:val="0"/>
              <w:divBdr>
                <w:top w:val="none" w:sz="0" w:space="0" w:color="auto"/>
                <w:left w:val="none" w:sz="0" w:space="0" w:color="auto"/>
                <w:bottom w:val="none" w:sz="0" w:space="0" w:color="auto"/>
                <w:right w:val="none" w:sz="0" w:space="0" w:color="auto"/>
              </w:divBdr>
              <w:divsChild>
                <w:div w:id="1653871222">
                  <w:marLeft w:val="0"/>
                  <w:marRight w:val="0"/>
                  <w:marTop w:val="0"/>
                  <w:marBottom w:val="0"/>
                  <w:divBdr>
                    <w:top w:val="none" w:sz="0" w:space="0" w:color="auto"/>
                    <w:left w:val="none" w:sz="0" w:space="0" w:color="auto"/>
                    <w:bottom w:val="none" w:sz="0" w:space="0" w:color="auto"/>
                    <w:right w:val="none" w:sz="0" w:space="0" w:color="auto"/>
                  </w:divBdr>
                  <w:divsChild>
                    <w:div w:id="14882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3588">
      <w:bodyDiv w:val="1"/>
      <w:marLeft w:val="0"/>
      <w:marRight w:val="0"/>
      <w:marTop w:val="0"/>
      <w:marBottom w:val="0"/>
      <w:divBdr>
        <w:top w:val="none" w:sz="0" w:space="0" w:color="auto"/>
        <w:left w:val="none" w:sz="0" w:space="0" w:color="auto"/>
        <w:bottom w:val="none" w:sz="0" w:space="0" w:color="auto"/>
        <w:right w:val="none" w:sz="0" w:space="0" w:color="auto"/>
      </w:divBdr>
      <w:divsChild>
        <w:div w:id="177039072">
          <w:marLeft w:val="0"/>
          <w:marRight w:val="0"/>
          <w:marTop w:val="0"/>
          <w:marBottom w:val="0"/>
          <w:divBdr>
            <w:top w:val="none" w:sz="0" w:space="0" w:color="auto"/>
            <w:left w:val="none" w:sz="0" w:space="0" w:color="auto"/>
            <w:bottom w:val="none" w:sz="0" w:space="0" w:color="auto"/>
            <w:right w:val="none" w:sz="0" w:space="0" w:color="auto"/>
          </w:divBdr>
          <w:divsChild>
            <w:div w:id="101875137">
              <w:marLeft w:val="0"/>
              <w:marRight w:val="0"/>
              <w:marTop w:val="0"/>
              <w:marBottom w:val="0"/>
              <w:divBdr>
                <w:top w:val="none" w:sz="0" w:space="0" w:color="auto"/>
                <w:left w:val="none" w:sz="0" w:space="0" w:color="auto"/>
                <w:bottom w:val="none" w:sz="0" w:space="0" w:color="auto"/>
                <w:right w:val="none" w:sz="0" w:space="0" w:color="auto"/>
              </w:divBdr>
              <w:divsChild>
                <w:div w:id="165636827">
                  <w:marLeft w:val="0"/>
                  <w:marRight w:val="0"/>
                  <w:marTop w:val="0"/>
                  <w:marBottom w:val="0"/>
                  <w:divBdr>
                    <w:top w:val="none" w:sz="0" w:space="0" w:color="auto"/>
                    <w:left w:val="none" w:sz="0" w:space="0" w:color="auto"/>
                    <w:bottom w:val="none" w:sz="0" w:space="0" w:color="auto"/>
                    <w:right w:val="none" w:sz="0" w:space="0" w:color="auto"/>
                  </w:divBdr>
                  <w:divsChild>
                    <w:div w:id="14444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40250">
          <w:marLeft w:val="0"/>
          <w:marRight w:val="0"/>
          <w:marTop w:val="0"/>
          <w:marBottom w:val="0"/>
          <w:divBdr>
            <w:top w:val="none" w:sz="0" w:space="0" w:color="auto"/>
            <w:left w:val="none" w:sz="0" w:space="0" w:color="auto"/>
            <w:bottom w:val="none" w:sz="0" w:space="0" w:color="auto"/>
            <w:right w:val="none" w:sz="0" w:space="0" w:color="auto"/>
          </w:divBdr>
          <w:divsChild>
            <w:div w:id="1498154242">
              <w:marLeft w:val="0"/>
              <w:marRight w:val="0"/>
              <w:marTop w:val="0"/>
              <w:marBottom w:val="0"/>
              <w:divBdr>
                <w:top w:val="none" w:sz="0" w:space="0" w:color="auto"/>
                <w:left w:val="none" w:sz="0" w:space="0" w:color="auto"/>
                <w:bottom w:val="none" w:sz="0" w:space="0" w:color="auto"/>
                <w:right w:val="none" w:sz="0" w:space="0" w:color="auto"/>
              </w:divBdr>
              <w:divsChild>
                <w:div w:id="1903365320">
                  <w:marLeft w:val="0"/>
                  <w:marRight w:val="0"/>
                  <w:marTop w:val="0"/>
                  <w:marBottom w:val="0"/>
                  <w:divBdr>
                    <w:top w:val="none" w:sz="0" w:space="0" w:color="auto"/>
                    <w:left w:val="none" w:sz="0" w:space="0" w:color="auto"/>
                    <w:bottom w:val="none" w:sz="0" w:space="0" w:color="auto"/>
                    <w:right w:val="none" w:sz="0" w:space="0" w:color="auto"/>
                  </w:divBdr>
                  <w:divsChild>
                    <w:div w:id="14648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4422">
      <w:bodyDiv w:val="1"/>
      <w:marLeft w:val="0"/>
      <w:marRight w:val="0"/>
      <w:marTop w:val="0"/>
      <w:marBottom w:val="0"/>
      <w:divBdr>
        <w:top w:val="none" w:sz="0" w:space="0" w:color="auto"/>
        <w:left w:val="none" w:sz="0" w:space="0" w:color="auto"/>
        <w:bottom w:val="none" w:sz="0" w:space="0" w:color="auto"/>
        <w:right w:val="none" w:sz="0" w:space="0" w:color="auto"/>
      </w:divBdr>
      <w:divsChild>
        <w:div w:id="2060670100">
          <w:marLeft w:val="0"/>
          <w:marRight w:val="0"/>
          <w:marTop w:val="0"/>
          <w:marBottom w:val="0"/>
          <w:divBdr>
            <w:top w:val="none" w:sz="0" w:space="0" w:color="auto"/>
            <w:left w:val="none" w:sz="0" w:space="0" w:color="auto"/>
            <w:bottom w:val="none" w:sz="0" w:space="0" w:color="auto"/>
            <w:right w:val="none" w:sz="0" w:space="0" w:color="auto"/>
          </w:divBdr>
          <w:divsChild>
            <w:div w:id="7229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2967">
      <w:bodyDiv w:val="1"/>
      <w:marLeft w:val="0"/>
      <w:marRight w:val="0"/>
      <w:marTop w:val="0"/>
      <w:marBottom w:val="0"/>
      <w:divBdr>
        <w:top w:val="none" w:sz="0" w:space="0" w:color="auto"/>
        <w:left w:val="none" w:sz="0" w:space="0" w:color="auto"/>
        <w:bottom w:val="none" w:sz="0" w:space="0" w:color="auto"/>
        <w:right w:val="none" w:sz="0" w:space="0" w:color="auto"/>
      </w:divBdr>
      <w:divsChild>
        <w:div w:id="240217605">
          <w:marLeft w:val="0"/>
          <w:marRight w:val="0"/>
          <w:marTop w:val="0"/>
          <w:marBottom w:val="0"/>
          <w:divBdr>
            <w:top w:val="none" w:sz="0" w:space="0" w:color="auto"/>
            <w:left w:val="none" w:sz="0" w:space="0" w:color="auto"/>
            <w:bottom w:val="none" w:sz="0" w:space="0" w:color="auto"/>
            <w:right w:val="none" w:sz="0" w:space="0" w:color="auto"/>
          </w:divBdr>
          <w:divsChild>
            <w:div w:id="328755827">
              <w:marLeft w:val="0"/>
              <w:marRight w:val="0"/>
              <w:marTop w:val="0"/>
              <w:marBottom w:val="0"/>
              <w:divBdr>
                <w:top w:val="none" w:sz="0" w:space="0" w:color="auto"/>
                <w:left w:val="none" w:sz="0" w:space="0" w:color="auto"/>
                <w:bottom w:val="none" w:sz="0" w:space="0" w:color="auto"/>
                <w:right w:val="none" w:sz="0" w:space="0" w:color="auto"/>
              </w:divBdr>
              <w:divsChild>
                <w:div w:id="180513696">
                  <w:marLeft w:val="0"/>
                  <w:marRight w:val="0"/>
                  <w:marTop w:val="0"/>
                  <w:marBottom w:val="0"/>
                  <w:divBdr>
                    <w:top w:val="none" w:sz="0" w:space="0" w:color="auto"/>
                    <w:left w:val="none" w:sz="0" w:space="0" w:color="auto"/>
                    <w:bottom w:val="none" w:sz="0" w:space="0" w:color="auto"/>
                    <w:right w:val="none" w:sz="0" w:space="0" w:color="auto"/>
                  </w:divBdr>
                </w:div>
              </w:divsChild>
            </w:div>
            <w:div w:id="1245609423">
              <w:marLeft w:val="0"/>
              <w:marRight w:val="0"/>
              <w:marTop w:val="0"/>
              <w:marBottom w:val="0"/>
              <w:divBdr>
                <w:top w:val="none" w:sz="0" w:space="0" w:color="auto"/>
                <w:left w:val="none" w:sz="0" w:space="0" w:color="auto"/>
                <w:bottom w:val="none" w:sz="0" w:space="0" w:color="auto"/>
                <w:right w:val="none" w:sz="0" w:space="0" w:color="auto"/>
              </w:divBdr>
              <w:divsChild>
                <w:div w:id="16927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1782">
      <w:bodyDiv w:val="1"/>
      <w:marLeft w:val="0"/>
      <w:marRight w:val="0"/>
      <w:marTop w:val="0"/>
      <w:marBottom w:val="0"/>
      <w:divBdr>
        <w:top w:val="none" w:sz="0" w:space="0" w:color="auto"/>
        <w:left w:val="none" w:sz="0" w:space="0" w:color="auto"/>
        <w:bottom w:val="none" w:sz="0" w:space="0" w:color="auto"/>
        <w:right w:val="none" w:sz="0" w:space="0" w:color="auto"/>
      </w:divBdr>
      <w:divsChild>
        <w:div w:id="1000162505">
          <w:marLeft w:val="0"/>
          <w:marRight w:val="0"/>
          <w:marTop w:val="0"/>
          <w:marBottom w:val="0"/>
          <w:divBdr>
            <w:top w:val="none" w:sz="0" w:space="0" w:color="auto"/>
            <w:left w:val="none" w:sz="0" w:space="0" w:color="auto"/>
            <w:bottom w:val="none" w:sz="0" w:space="0" w:color="auto"/>
            <w:right w:val="none" w:sz="0" w:space="0" w:color="auto"/>
          </w:divBdr>
          <w:divsChild>
            <w:div w:id="13903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6836">
      <w:bodyDiv w:val="1"/>
      <w:marLeft w:val="0"/>
      <w:marRight w:val="0"/>
      <w:marTop w:val="0"/>
      <w:marBottom w:val="0"/>
      <w:divBdr>
        <w:top w:val="none" w:sz="0" w:space="0" w:color="auto"/>
        <w:left w:val="none" w:sz="0" w:space="0" w:color="auto"/>
        <w:bottom w:val="none" w:sz="0" w:space="0" w:color="auto"/>
        <w:right w:val="none" w:sz="0" w:space="0" w:color="auto"/>
      </w:divBdr>
      <w:divsChild>
        <w:div w:id="1379891305">
          <w:marLeft w:val="0"/>
          <w:marRight w:val="0"/>
          <w:marTop w:val="0"/>
          <w:marBottom w:val="0"/>
          <w:divBdr>
            <w:top w:val="none" w:sz="0" w:space="0" w:color="auto"/>
            <w:left w:val="none" w:sz="0" w:space="0" w:color="auto"/>
            <w:bottom w:val="none" w:sz="0" w:space="0" w:color="auto"/>
            <w:right w:val="none" w:sz="0" w:space="0" w:color="auto"/>
          </w:divBdr>
          <w:divsChild>
            <w:div w:id="10191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3972">
      <w:bodyDiv w:val="1"/>
      <w:marLeft w:val="0"/>
      <w:marRight w:val="0"/>
      <w:marTop w:val="0"/>
      <w:marBottom w:val="0"/>
      <w:divBdr>
        <w:top w:val="none" w:sz="0" w:space="0" w:color="auto"/>
        <w:left w:val="none" w:sz="0" w:space="0" w:color="auto"/>
        <w:bottom w:val="none" w:sz="0" w:space="0" w:color="auto"/>
        <w:right w:val="none" w:sz="0" w:space="0" w:color="auto"/>
      </w:divBdr>
      <w:divsChild>
        <w:div w:id="484779794">
          <w:marLeft w:val="0"/>
          <w:marRight w:val="0"/>
          <w:marTop w:val="0"/>
          <w:marBottom w:val="0"/>
          <w:divBdr>
            <w:top w:val="none" w:sz="0" w:space="0" w:color="auto"/>
            <w:left w:val="none" w:sz="0" w:space="0" w:color="auto"/>
            <w:bottom w:val="none" w:sz="0" w:space="0" w:color="auto"/>
            <w:right w:val="none" w:sz="0" w:space="0" w:color="auto"/>
          </w:divBdr>
        </w:div>
      </w:divsChild>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80667129">
      <w:bodyDiv w:val="1"/>
      <w:marLeft w:val="0"/>
      <w:marRight w:val="0"/>
      <w:marTop w:val="0"/>
      <w:marBottom w:val="0"/>
      <w:divBdr>
        <w:top w:val="none" w:sz="0" w:space="0" w:color="auto"/>
        <w:left w:val="none" w:sz="0" w:space="0" w:color="auto"/>
        <w:bottom w:val="none" w:sz="0" w:space="0" w:color="auto"/>
        <w:right w:val="none" w:sz="0" w:space="0" w:color="auto"/>
      </w:divBdr>
      <w:divsChild>
        <w:div w:id="303512870">
          <w:marLeft w:val="0"/>
          <w:marRight w:val="0"/>
          <w:marTop w:val="0"/>
          <w:marBottom w:val="0"/>
          <w:divBdr>
            <w:top w:val="none" w:sz="0" w:space="0" w:color="auto"/>
            <w:left w:val="none" w:sz="0" w:space="0" w:color="auto"/>
            <w:bottom w:val="none" w:sz="0" w:space="0" w:color="auto"/>
            <w:right w:val="none" w:sz="0" w:space="0" w:color="auto"/>
          </w:divBdr>
          <w:divsChild>
            <w:div w:id="1839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4803">
      <w:bodyDiv w:val="1"/>
      <w:marLeft w:val="0"/>
      <w:marRight w:val="0"/>
      <w:marTop w:val="0"/>
      <w:marBottom w:val="0"/>
      <w:divBdr>
        <w:top w:val="none" w:sz="0" w:space="0" w:color="auto"/>
        <w:left w:val="none" w:sz="0" w:space="0" w:color="auto"/>
        <w:bottom w:val="none" w:sz="0" w:space="0" w:color="auto"/>
        <w:right w:val="none" w:sz="0" w:space="0" w:color="auto"/>
      </w:divBdr>
      <w:divsChild>
        <w:div w:id="1596327081">
          <w:marLeft w:val="0"/>
          <w:marRight w:val="0"/>
          <w:marTop w:val="0"/>
          <w:marBottom w:val="0"/>
          <w:divBdr>
            <w:top w:val="none" w:sz="0" w:space="0" w:color="auto"/>
            <w:left w:val="none" w:sz="0" w:space="0" w:color="auto"/>
            <w:bottom w:val="none" w:sz="0" w:space="0" w:color="auto"/>
            <w:right w:val="none" w:sz="0" w:space="0" w:color="auto"/>
          </w:divBdr>
          <w:divsChild>
            <w:div w:id="2128502977">
              <w:marLeft w:val="0"/>
              <w:marRight w:val="0"/>
              <w:marTop w:val="0"/>
              <w:marBottom w:val="0"/>
              <w:divBdr>
                <w:top w:val="none" w:sz="0" w:space="0" w:color="auto"/>
                <w:left w:val="none" w:sz="0" w:space="0" w:color="auto"/>
                <w:bottom w:val="none" w:sz="0" w:space="0" w:color="auto"/>
                <w:right w:val="none" w:sz="0" w:space="0" w:color="auto"/>
              </w:divBdr>
              <w:divsChild>
                <w:div w:id="449473260">
                  <w:marLeft w:val="0"/>
                  <w:marRight w:val="0"/>
                  <w:marTop w:val="0"/>
                  <w:marBottom w:val="0"/>
                  <w:divBdr>
                    <w:top w:val="none" w:sz="0" w:space="0" w:color="auto"/>
                    <w:left w:val="none" w:sz="0" w:space="0" w:color="auto"/>
                    <w:bottom w:val="none" w:sz="0" w:space="0" w:color="auto"/>
                    <w:right w:val="none" w:sz="0" w:space="0" w:color="auto"/>
                  </w:divBdr>
                  <w:divsChild>
                    <w:div w:id="279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7677">
          <w:marLeft w:val="0"/>
          <w:marRight w:val="0"/>
          <w:marTop w:val="0"/>
          <w:marBottom w:val="0"/>
          <w:divBdr>
            <w:top w:val="none" w:sz="0" w:space="0" w:color="auto"/>
            <w:left w:val="none" w:sz="0" w:space="0" w:color="auto"/>
            <w:bottom w:val="none" w:sz="0" w:space="0" w:color="auto"/>
            <w:right w:val="none" w:sz="0" w:space="0" w:color="auto"/>
          </w:divBdr>
          <w:divsChild>
            <w:div w:id="858471134">
              <w:marLeft w:val="0"/>
              <w:marRight w:val="0"/>
              <w:marTop w:val="0"/>
              <w:marBottom w:val="0"/>
              <w:divBdr>
                <w:top w:val="none" w:sz="0" w:space="0" w:color="auto"/>
                <w:left w:val="none" w:sz="0" w:space="0" w:color="auto"/>
                <w:bottom w:val="none" w:sz="0" w:space="0" w:color="auto"/>
                <w:right w:val="none" w:sz="0" w:space="0" w:color="auto"/>
              </w:divBdr>
              <w:divsChild>
                <w:div w:id="1938562969">
                  <w:marLeft w:val="0"/>
                  <w:marRight w:val="0"/>
                  <w:marTop w:val="0"/>
                  <w:marBottom w:val="0"/>
                  <w:divBdr>
                    <w:top w:val="none" w:sz="0" w:space="0" w:color="auto"/>
                    <w:left w:val="none" w:sz="0" w:space="0" w:color="auto"/>
                    <w:bottom w:val="none" w:sz="0" w:space="0" w:color="auto"/>
                    <w:right w:val="none" w:sz="0" w:space="0" w:color="auto"/>
                  </w:divBdr>
                  <w:divsChild>
                    <w:div w:id="13167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yperlink" Target="http://www.ift.org.mx/sites/default/files/anexo_3_medidas_2014-2017_aep_telecomunicaciones_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gunda_bienal_telecom@ift.org.mx" TargetMode="External"/><Relationship Id="rId17" Type="http://schemas.openxmlformats.org/officeDocument/2006/relationships/hyperlink" Target="http://www.ift.org.mx/sites/default/files/anexo_2_medidas_2014-2017_aep_telecomunicaciones_1.pdf" TargetMode="External"/><Relationship Id="rId2" Type="http://schemas.openxmlformats.org/officeDocument/2006/relationships/customXml" Target="../customXml/item2.xml"/><Relationship Id="rId16" Type="http://schemas.openxmlformats.org/officeDocument/2006/relationships/hyperlink" Target="http://www.ift.org.mx/sites/default/files/anexo_1_medidas_2014-2017_aep_telecomunicaciones_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erika.yatzil@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yel.munoz@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pitfext270217119verpub_1.pdf" TargetMode="External"/><Relationship Id="rId1" Type="http://schemas.openxmlformats.org/officeDocument/2006/relationships/hyperlink" Target="http://www.ift.org.mx/sites/default/files/p_ift_ext_060314_76_version_publica_hoj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63D2BF493A476D802BBBE51AF0CC7E"/>
        <w:category>
          <w:name w:val="General"/>
          <w:gallery w:val="placeholder"/>
        </w:category>
        <w:types>
          <w:type w:val="bbPlcHdr"/>
        </w:types>
        <w:behaviors>
          <w:behavior w:val="content"/>
        </w:behaviors>
        <w:guid w:val="{5DBB7390-FB29-4890-9C1C-E533BE9CFC4E}"/>
      </w:docPartPr>
      <w:docPartBody>
        <w:p w:rsidR="00F516B5" w:rsidRDefault="00351128" w:rsidP="00351128">
          <w:pPr>
            <w:pStyle w:val="BA63D2BF493A476D802BBBE51AF0CC7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28"/>
    <w:rsid w:val="000A531A"/>
    <w:rsid w:val="001A02FC"/>
    <w:rsid w:val="002976C5"/>
    <w:rsid w:val="00351128"/>
    <w:rsid w:val="0040719A"/>
    <w:rsid w:val="00A12253"/>
    <w:rsid w:val="00A34F1E"/>
    <w:rsid w:val="00AA36D8"/>
    <w:rsid w:val="00D242E3"/>
    <w:rsid w:val="00D55BAB"/>
    <w:rsid w:val="00DA30B0"/>
    <w:rsid w:val="00EB6EC8"/>
    <w:rsid w:val="00EC0BBB"/>
    <w:rsid w:val="00F30376"/>
    <w:rsid w:val="00F516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128"/>
  </w:style>
  <w:style w:type="paragraph" w:customStyle="1" w:styleId="BA63D2BF493A476D802BBBE51AF0CC7E">
    <w:name w:val="BA63D2BF493A476D802BBBE51AF0CC7E"/>
    <w:rsid w:val="00351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6F785A9B-C64C-47B5-926A-E77B6E0FEE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369F9-4228-409C-A58B-F9E8259C7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14010E-9A69-4E6B-875E-ED08FDEB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9301</Words>
  <Characters>51158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60339</CharactersWithSpaces>
  <SharedDoc>false</SharedDoc>
  <HLinks>
    <vt:vector size="66" baseType="variant">
      <vt:variant>
        <vt:i4>3932203</vt:i4>
      </vt:variant>
      <vt:variant>
        <vt:i4>21</vt:i4>
      </vt:variant>
      <vt:variant>
        <vt:i4>0</vt:i4>
      </vt:variant>
      <vt:variant>
        <vt:i4>5</vt:i4>
      </vt:variant>
      <vt:variant>
        <vt:lpwstr>http://www.ift.org.mx/sites/default/files/anexo_3_medidas_2014-2017_aep_telecomunicaciones_1.pdf</vt:lpwstr>
      </vt:variant>
      <vt:variant>
        <vt:lpwstr/>
      </vt:variant>
      <vt:variant>
        <vt:i4>3932202</vt:i4>
      </vt:variant>
      <vt:variant>
        <vt:i4>18</vt:i4>
      </vt:variant>
      <vt:variant>
        <vt:i4>0</vt:i4>
      </vt:variant>
      <vt:variant>
        <vt:i4>5</vt:i4>
      </vt:variant>
      <vt:variant>
        <vt:lpwstr>http://www.ift.org.mx/sites/default/files/anexo_2_medidas_2014-2017_aep_telecomunicaciones_1.pdf</vt:lpwstr>
      </vt:variant>
      <vt:variant>
        <vt:lpwstr/>
      </vt:variant>
      <vt:variant>
        <vt:i4>3932201</vt:i4>
      </vt:variant>
      <vt:variant>
        <vt:i4>15</vt:i4>
      </vt:variant>
      <vt:variant>
        <vt:i4>0</vt:i4>
      </vt:variant>
      <vt:variant>
        <vt:i4>5</vt:i4>
      </vt:variant>
      <vt:variant>
        <vt:lpwstr>http://www.ift.org.mx/sites/default/files/anexo_1_medidas_2014-2017_aep_telecomunicaciones_1.pdf</vt:lpwstr>
      </vt:variant>
      <vt:variant>
        <vt:lpwstr/>
      </vt:variant>
      <vt:variant>
        <vt:i4>1704001</vt:i4>
      </vt:variant>
      <vt:variant>
        <vt:i4>12</vt:i4>
      </vt:variant>
      <vt:variant>
        <vt:i4>0</vt:i4>
      </vt:variant>
      <vt:variant>
        <vt:i4>5</vt:i4>
      </vt:variant>
      <vt:variant>
        <vt:lpwstr>mailto:___________@ift.org.mx</vt:lpwstr>
      </vt:variant>
      <vt:variant>
        <vt:lpwstr/>
      </vt:variant>
      <vt:variant>
        <vt:i4>1704001</vt:i4>
      </vt:variant>
      <vt:variant>
        <vt:i4>9</vt:i4>
      </vt:variant>
      <vt:variant>
        <vt:i4>0</vt:i4>
      </vt:variant>
      <vt:variant>
        <vt:i4>5</vt:i4>
      </vt:variant>
      <vt:variant>
        <vt:lpwstr>mailto:___________@ift.org.mx</vt:lpwstr>
      </vt:variant>
      <vt:variant>
        <vt:lpwstr/>
      </vt:variant>
      <vt:variant>
        <vt:i4>1704001</vt:i4>
      </vt:variant>
      <vt:variant>
        <vt:i4>6</vt:i4>
      </vt:variant>
      <vt:variant>
        <vt:i4>0</vt:i4>
      </vt:variant>
      <vt:variant>
        <vt:i4>5</vt:i4>
      </vt:variant>
      <vt:variant>
        <vt:lpwstr>mailto:___________@ift.org.mx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5111858</vt:i4>
      </vt:variant>
      <vt:variant>
        <vt:i4>0</vt:i4>
      </vt:variant>
      <vt:variant>
        <vt:i4>0</vt:i4>
      </vt:variant>
      <vt:variant>
        <vt:i4>5</vt:i4>
      </vt:variant>
      <vt:variant>
        <vt:lpwstr>mailto:____________________@ift.org.mx</vt:lpwstr>
      </vt:variant>
      <vt:variant>
        <vt:lpwstr/>
      </vt:variant>
      <vt:variant>
        <vt:i4>1572867</vt:i4>
      </vt:variant>
      <vt:variant>
        <vt:i4>6</vt:i4>
      </vt:variant>
      <vt:variant>
        <vt:i4>0</vt:i4>
      </vt:variant>
      <vt:variant>
        <vt:i4>5</vt:i4>
      </vt:variant>
      <vt:variant>
        <vt:lpwstr>http://berec.europa.eu/doc/berec/bor_10_44rev1.pdf</vt:lpwstr>
      </vt:variant>
      <vt:variant>
        <vt:lpwstr/>
      </vt:variant>
      <vt:variant>
        <vt:i4>2555968</vt:i4>
      </vt:variant>
      <vt:variant>
        <vt:i4>3</vt:i4>
      </vt:variant>
      <vt:variant>
        <vt:i4>0</vt:i4>
      </vt:variant>
      <vt:variant>
        <vt:i4>5</vt:i4>
      </vt:variant>
      <vt:variant>
        <vt:lpwstr>http://www.ift.org.mx/sites/default/files/pitfext270217119verpub_1.pdf</vt:lpwstr>
      </vt:variant>
      <vt:variant>
        <vt:lpwstr/>
      </vt:variant>
      <vt:variant>
        <vt:i4>3670087</vt:i4>
      </vt:variant>
      <vt:variant>
        <vt:i4>0</vt:i4>
      </vt:variant>
      <vt:variant>
        <vt:i4>0</vt:i4>
      </vt:variant>
      <vt:variant>
        <vt:i4>5</vt:i4>
      </vt:variant>
      <vt:variant>
        <vt:lpwstr>http://www.ift.org.mx/sites/default/files/p_ift_ext_060314_76_version_publica_hoja.pdf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c:creator>
  <cp:keywords/>
  <dc:description/>
  <cp:lastModifiedBy>Josue Teoyotl Calderon</cp:lastModifiedBy>
  <cp:revision>3</cp:revision>
  <cp:lastPrinted>2019-03-22T18:49:00Z</cp:lastPrinted>
  <dcterms:created xsi:type="dcterms:W3CDTF">2019-03-22T19:06:00Z</dcterms:created>
  <dcterms:modified xsi:type="dcterms:W3CDTF">2019-04-11T23:50:00Z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