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DBAF" w14:textId="77777777" w:rsidR="0013775E" w:rsidRPr="006951A1" w:rsidRDefault="0013775E" w:rsidP="0013775E">
      <w:pPr>
        <w:spacing w:before="240"/>
        <w:jc w:val="both"/>
        <w:rPr>
          <w:rFonts w:ascii="ITC Avant Garde" w:hAnsi="ITC Avant Garde"/>
          <w:b/>
          <w:sz w:val="22"/>
          <w:szCs w:val="22"/>
        </w:rPr>
      </w:pPr>
      <w:r w:rsidRPr="006951A1">
        <w:rPr>
          <w:rFonts w:ascii="ITC Avant Garde" w:hAnsi="ITC Avant Garde"/>
          <w:b/>
          <w:sz w:val="22"/>
          <w:szCs w:val="22"/>
        </w:rPr>
        <w:t xml:space="preserve">ACUERDO MEDIANTE EL CUAL EL PLENO DEL INSTITUTO FEDERAL DE TELECOMUNICACIONES MODIFICA LAS REGLAS DE PORTABILIDAD NUMÉRICA. </w:t>
      </w:r>
    </w:p>
    <w:p w14:paraId="550E7A2D" w14:textId="77777777" w:rsidR="0013775E" w:rsidRPr="00564B23" w:rsidRDefault="0013775E" w:rsidP="00564B23">
      <w:pPr>
        <w:pStyle w:val="Sinespaciado"/>
        <w:rPr>
          <w:sz w:val="20"/>
        </w:rPr>
      </w:pPr>
    </w:p>
    <w:p w14:paraId="2771F3A1" w14:textId="77777777" w:rsidR="0013775E" w:rsidRPr="00564B23" w:rsidRDefault="0013775E" w:rsidP="00564B23">
      <w:pPr>
        <w:pStyle w:val="Sinespaciado"/>
        <w:rPr>
          <w:sz w:val="20"/>
        </w:rPr>
      </w:pPr>
    </w:p>
    <w:p w14:paraId="599C4273" w14:textId="77777777" w:rsidR="009E26C2" w:rsidRPr="006951A1" w:rsidRDefault="009E26C2" w:rsidP="009E26C2">
      <w:pPr>
        <w:jc w:val="center"/>
        <w:rPr>
          <w:rFonts w:ascii="ITC Avant Garde" w:hAnsi="ITC Avant Garde"/>
          <w:b/>
          <w:sz w:val="22"/>
          <w:szCs w:val="22"/>
        </w:rPr>
      </w:pPr>
      <w:r w:rsidRPr="006951A1">
        <w:rPr>
          <w:rFonts w:ascii="ITC Avant Garde" w:hAnsi="ITC Avant Garde"/>
          <w:b/>
          <w:sz w:val="22"/>
          <w:szCs w:val="22"/>
        </w:rPr>
        <w:t>ANTECEDENTES</w:t>
      </w:r>
    </w:p>
    <w:p w14:paraId="5AAE233F" w14:textId="77777777" w:rsidR="009E26C2" w:rsidRPr="00564B23" w:rsidRDefault="009E26C2" w:rsidP="00564B23">
      <w:pPr>
        <w:pStyle w:val="Sinespaciado"/>
        <w:rPr>
          <w:sz w:val="20"/>
        </w:rPr>
      </w:pPr>
    </w:p>
    <w:p w14:paraId="658B102F" w14:textId="77777777" w:rsidR="0013775E" w:rsidRPr="00564B23" w:rsidRDefault="0013775E" w:rsidP="00564B23">
      <w:pPr>
        <w:pStyle w:val="Sinespaciado"/>
        <w:rPr>
          <w:rFonts w:eastAsia="Times New Roman" w:cs="Arial"/>
          <w:kern w:val="2"/>
          <w:sz w:val="20"/>
          <w:lang w:eastAsia="ar-SA"/>
        </w:rPr>
      </w:pPr>
    </w:p>
    <w:p w14:paraId="22F8D549" w14:textId="74E16A94" w:rsidR="0013775E" w:rsidRPr="006951A1" w:rsidRDefault="009E26C2" w:rsidP="009E26C2">
      <w:pPr>
        <w:numPr>
          <w:ilvl w:val="0"/>
          <w:numId w:val="1"/>
        </w:numPr>
        <w:suppressAutoHyphens/>
        <w:jc w:val="both"/>
        <w:rPr>
          <w:rFonts w:ascii="ITC Avant Garde" w:hAnsi="ITC Avant Garde" w:cs="Arial"/>
          <w:color w:val="000000" w:themeColor="text1"/>
          <w:kern w:val="1"/>
          <w:sz w:val="22"/>
          <w:szCs w:val="22"/>
          <w:lang w:eastAsia="ar-SA"/>
        </w:rPr>
      </w:pPr>
      <w:r w:rsidRPr="006951A1">
        <w:rPr>
          <w:rFonts w:ascii="ITC Avant Garde" w:eastAsia="Times New Roman" w:hAnsi="ITC Avant Garde" w:cs="Arial"/>
          <w:kern w:val="1"/>
          <w:sz w:val="22"/>
          <w:szCs w:val="22"/>
          <w:lang w:eastAsia="ar-SA"/>
        </w:rPr>
        <w:t xml:space="preserve">El </w:t>
      </w:r>
      <w:r w:rsidR="006951A1" w:rsidRPr="006951A1">
        <w:rPr>
          <w:rFonts w:ascii="ITC Avant Garde" w:hAnsi="ITC Avant Garde"/>
          <w:sz w:val="22"/>
          <w:szCs w:val="22"/>
        </w:rPr>
        <w:t xml:space="preserve">11 de junio de 2013, se </w:t>
      </w:r>
      <w:r w:rsidR="00353D07">
        <w:rPr>
          <w:rFonts w:ascii="ITC Avant Garde" w:hAnsi="ITC Avant Garde"/>
          <w:sz w:val="22"/>
          <w:szCs w:val="22"/>
        </w:rPr>
        <w:t>publicó</w:t>
      </w:r>
      <w:r w:rsidR="006951A1" w:rsidRPr="006951A1">
        <w:rPr>
          <w:rFonts w:ascii="ITC Avant Garde" w:hAnsi="ITC Avant Garde"/>
          <w:sz w:val="22"/>
          <w:szCs w:val="22"/>
        </w:rPr>
        <w:t xml:space="preserve"> el “Decreto por el que se reforman y adicionan diversas disposiciones de los artículos 6o., 7o., 27, 28, 73, 78, 94 y 105 de la Constitución Política de los Estados Unidos Mexicanos, en mater</w:t>
      </w:r>
      <w:bookmarkStart w:id="0" w:name="_GoBack"/>
      <w:bookmarkEnd w:id="0"/>
      <w:r w:rsidR="006951A1" w:rsidRPr="006951A1">
        <w:rPr>
          <w:rFonts w:ascii="ITC Avant Garde" w:hAnsi="ITC Avant Garde"/>
          <w:sz w:val="22"/>
          <w:szCs w:val="22"/>
        </w:rPr>
        <w:t xml:space="preserve">ia de telecomunicaciones” (en lo sucesivo, el “Decreto”) publicado en el Diario Oficial de la Federación (en lo sucesivo, </w:t>
      </w:r>
      <w:r w:rsidR="006951A1">
        <w:rPr>
          <w:rFonts w:ascii="ITC Avant Garde" w:hAnsi="ITC Avant Garde"/>
          <w:sz w:val="22"/>
          <w:szCs w:val="22"/>
        </w:rPr>
        <w:t>“</w:t>
      </w:r>
      <w:r w:rsidR="006951A1" w:rsidRPr="006951A1">
        <w:rPr>
          <w:rFonts w:ascii="ITC Avant Garde" w:hAnsi="ITC Avant Garde"/>
          <w:sz w:val="22"/>
          <w:szCs w:val="22"/>
        </w:rPr>
        <w:t>DOF</w:t>
      </w:r>
      <w:r w:rsidR="006951A1">
        <w:rPr>
          <w:rFonts w:ascii="ITC Avant Garde" w:hAnsi="ITC Avant Garde"/>
          <w:sz w:val="22"/>
          <w:szCs w:val="22"/>
        </w:rPr>
        <w:t>”</w:t>
      </w:r>
      <w:r w:rsidR="006951A1" w:rsidRPr="006951A1">
        <w:rPr>
          <w:rFonts w:ascii="ITC Avant Garde" w:hAnsi="ITC Avant Garde"/>
          <w:sz w:val="22"/>
          <w:szCs w:val="22"/>
        </w:rPr>
        <w:t>) en la fecha antes señalada y el cual entró en vigor al día siguiente de su publicación, es decir el día 12 de junio de 2013.</w:t>
      </w:r>
    </w:p>
    <w:p w14:paraId="3F1B0ED0" w14:textId="77777777" w:rsidR="006951A1" w:rsidRPr="00564B23" w:rsidRDefault="006951A1" w:rsidP="00564B23">
      <w:pPr>
        <w:pStyle w:val="Sinespaciado"/>
        <w:rPr>
          <w:sz w:val="20"/>
          <w:lang w:eastAsia="ar-SA"/>
        </w:rPr>
      </w:pPr>
    </w:p>
    <w:p w14:paraId="0C140B5F" w14:textId="40EAB7BF" w:rsidR="006951A1" w:rsidRDefault="006951A1" w:rsidP="006951A1">
      <w:pPr>
        <w:numPr>
          <w:ilvl w:val="0"/>
          <w:numId w:val="1"/>
        </w:numPr>
        <w:suppressAutoHyphens/>
        <w:jc w:val="both"/>
        <w:rPr>
          <w:rFonts w:ascii="ITC Avant Garde" w:hAnsi="ITC Avant Garde" w:cs="Arial"/>
          <w:color w:val="000000" w:themeColor="text1"/>
          <w:kern w:val="1"/>
          <w:sz w:val="22"/>
          <w:szCs w:val="22"/>
          <w:lang w:eastAsia="ar-SA"/>
        </w:rPr>
      </w:pPr>
      <w:r w:rsidRPr="006951A1">
        <w:rPr>
          <w:rFonts w:ascii="ITC Avant Garde" w:hAnsi="ITC Avant Garde" w:cs="Arial"/>
          <w:color w:val="000000" w:themeColor="text1"/>
          <w:kern w:val="1"/>
          <w:sz w:val="22"/>
          <w:szCs w:val="22"/>
          <w:lang w:eastAsia="ar-SA"/>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353D07">
        <w:rPr>
          <w:rFonts w:ascii="ITC Avant Garde" w:hAnsi="ITC Avant Garde" w:cs="Arial"/>
          <w:color w:val="000000" w:themeColor="text1"/>
          <w:kern w:val="1"/>
          <w:sz w:val="22"/>
          <w:szCs w:val="22"/>
          <w:lang w:eastAsia="ar-SA"/>
        </w:rPr>
        <w:t xml:space="preserve">el cual </w:t>
      </w:r>
      <w:r w:rsidRPr="006951A1">
        <w:rPr>
          <w:rFonts w:ascii="ITC Avant Garde" w:hAnsi="ITC Avant Garde" w:cs="Arial"/>
          <w:color w:val="000000" w:themeColor="text1"/>
          <w:kern w:val="1"/>
          <w:sz w:val="22"/>
          <w:szCs w:val="22"/>
          <w:lang w:eastAsia="ar-SA"/>
        </w:rPr>
        <w:t>entr</w:t>
      </w:r>
      <w:r w:rsidR="00353D07">
        <w:rPr>
          <w:rFonts w:ascii="ITC Avant Garde" w:hAnsi="ITC Avant Garde" w:cs="Arial"/>
          <w:color w:val="000000" w:themeColor="text1"/>
          <w:kern w:val="1"/>
          <w:sz w:val="22"/>
          <w:szCs w:val="22"/>
          <w:lang w:eastAsia="ar-SA"/>
        </w:rPr>
        <w:t>ó</w:t>
      </w:r>
      <w:r w:rsidRPr="006951A1">
        <w:rPr>
          <w:rFonts w:ascii="ITC Avant Garde" w:hAnsi="ITC Avant Garde" w:cs="Arial"/>
          <w:color w:val="000000" w:themeColor="text1"/>
          <w:kern w:val="1"/>
          <w:sz w:val="22"/>
          <w:szCs w:val="22"/>
          <w:lang w:eastAsia="ar-SA"/>
        </w:rPr>
        <w:t xml:space="preserve"> en vigor treinta días naturales siguientes a su publicación, es dec</w:t>
      </w:r>
      <w:r>
        <w:rPr>
          <w:rFonts w:ascii="ITC Avant Garde" w:hAnsi="ITC Avant Garde" w:cs="Arial"/>
          <w:color w:val="000000" w:themeColor="text1"/>
          <w:kern w:val="1"/>
          <w:sz w:val="22"/>
          <w:szCs w:val="22"/>
          <w:lang w:eastAsia="ar-SA"/>
        </w:rPr>
        <w:t>ir, el 13 de agosto de 2014.</w:t>
      </w:r>
    </w:p>
    <w:p w14:paraId="7804EBC3" w14:textId="77777777" w:rsidR="006951A1" w:rsidRPr="00564B23" w:rsidRDefault="006951A1" w:rsidP="00564B23">
      <w:pPr>
        <w:pStyle w:val="Sinespaciado"/>
        <w:rPr>
          <w:sz w:val="20"/>
          <w:lang w:eastAsia="ar-SA"/>
        </w:rPr>
      </w:pPr>
    </w:p>
    <w:p w14:paraId="6FD59724" w14:textId="77777777" w:rsidR="0013775E" w:rsidRPr="001B27B4" w:rsidRDefault="006951A1" w:rsidP="006951A1">
      <w:pPr>
        <w:numPr>
          <w:ilvl w:val="0"/>
          <w:numId w:val="1"/>
        </w:numPr>
        <w:suppressAutoHyphens/>
        <w:jc w:val="both"/>
        <w:rPr>
          <w:rFonts w:ascii="ITC Avant Garde" w:hAnsi="ITC Avant Garde" w:cs="Arial"/>
          <w:color w:val="000000" w:themeColor="text1"/>
          <w:kern w:val="1"/>
          <w:sz w:val="22"/>
          <w:szCs w:val="22"/>
          <w:lang w:eastAsia="ar-SA"/>
        </w:rPr>
      </w:pPr>
      <w:r w:rsidRPr="001B27B4">
        <w:rPr>
          <w:rFonts w:ascii="ITC Avant Garde" w:hAnsi="ITC Avant Garde" w:cs="Arial"/>
          <w:color w:val="000000" w:themeColor="text1"/>
          <w:kern w:val="1"/>
          <w:sz w:val="22"/>
          <w:szCs w:val="22"/>
          <w:lang w:eastAsia="ar-SA"/>
        </w:rPr>
        <w:t>El 4 de septiembre de 2014, se publicó en el DOF el Estatuto Orgánico del Instituto Federal de Telecomunicaciones (en lo sucesivo, el “Estatuto”),</w:t>
      </w:r>
      <w:r w:rsidRPr="00016D76">
        <w:rPr>
          <w:rFonts w:ascii="ITC Avant Garde" w:hAnsi="ITC Avant Garde" w:cs="Arial"/>
          <w:color w:val="000000" w:themeColor="text1"/>
          <w:kern w:val="1"/>
          <w:sz w:val="22"/>
          <w:szCs w:val="22"/>
          <w:lang w:eastAsia="ar-SA"/>
        </w:rPr>
        <w:t xml:space="preserve"> mismo que entró en vigor el 26 de septiembre de 2014; el 7 de diciembre de 2018 se publicó en el DOF su última modificación.</w:t>
      </w:r>
    </w:p>
    <w:p w14:paraId="7014314B" w14:textId="77777777" w:rsidR="006951A1" w:rsidRPr="001B27B4" w:rsidRDefault="006951A1" w:rsidP="006951A1">
      <w:pPr>
        <w:pStyle w:val="Prrafodelista"/>
        <w:rPr>
          <w:rFonts w:ascii="ITC Avant Garde" w:hAnsi="ITC Avant Garde" w:cs="Arial"/>
          <w:color w:val="000000" w:themeColor="text1"/>
          <w:kern w:val="1"/>
          <w:sz w:val="22"/>
          <w:szCs w:val="22"/>
          <w:lang w:eastAsia="ar-SA"/>
        </w:rPr>
      </w:pPr>
    </w:p>
    <w:p w14:paraId="51B3F5C4" w14:textId="77777777" w:rsidR="006951A1" w:rsidRDefault="006951A1" w:rsidP="006951A1">
      <w:pPr>
        <w:numPr>
          <w:ilvl w:val="0"/>
          <w:numId w:val="1"/>
        </w:numPr>
        <w:suppressAutoHyphens/>
        <w:jc w:val="both"/>
        <w:rPr>
          <w:rFonts w:ascii="ITC Avant Garde" w:hAnsi="ITC Avant Garde" w:cs="Arial"/>
          <w:color w:val="000000" w:themeColor="text1"/>
          <w:kern w:val="1"/>
          <w:sz w:val="22"/>
          <w:szCs w:val="22"/>
          <w:lang w:val="es-MX" w:eastAsia="ar-SA"/>
        </w:rPr>
      </w:pPr>
      <w:r w:rsidRPr="001B27B4">
        <w:rPr>
          <w:rFonts w:ascii="ITC Avant Garde" w:hAnsi="ITC Avant Garde" w:cs="Arial"/>
          <w:color w:val="000000" w:themeColor="text1"/>
          <w:kern w:val="1"/>
          <w:sz w:val="22"/>
          <w:szCs w:val="22"/>
          <w:lang w:eastAsia="ar-SA"/>
        </w:rPr>
        <w:t>El 12 de noviembre de 2014, se</w:t>
      </w:r>
      <w:r>
        <w:rPr>
          <w:rFonts w:ascii="ITC Avant Garde" w:hAnsi="ITC Avant Garde" w:cs="Arial"/>
          <w:color w:val="000000" w:themeColor="text1"/>
          <w:kern w:val="1"/>
          <w:sz w:val="22"/>
          <w:szCs w:val="22"/>
          <w:lang w:eastAsia="ar-SA"/>
        </w:rPr>
        <w:t xml:space="preserve"> publicó en el </w:t>
      </w:r>
      <w:r w:rsidRPr="00200B26">
        <w:rPr>
          <w:rFonts w:ascii="ITC Avant Garde" w:hAnsi="ITC Avant Garde" w:cs="Arial"/>
          <w:color w:val="000000" w:themeColor="text1"/>
          <w:kern w:val="1"/>
          <w:sz w:val="22"/>
          <w:szCs w:val="22"/>
          <w:lang w:eastAsia="ar-SA"/>
        </w:rPr>
        <w:t>DO</w:t>
      </w:r>
      <w:r w:rsidR="00200B26">
        <w:rPr>
          <w:rFonts w:ascii="ITC Avant Garde" w:hAnsi="ITC Avant Garde" w:cs="Arial"/>
          <w:color w:val="000000" w:themeColor="text1"/>
          <w:kern w:val="1"/>
          <w:sz w:val="22"/>
          <w:szCs w:val="22"/>
          <w:lang w:eastAsia="ar-SA"/>
        </w:rPr>
        <w:t xml:space="preserve">F el </w:t>
      </w:r>
      <w:r w:rsidR="00494B39">
        <w:rPr>
          <w:rFonts w:ascii="ITC Avant Garde" w:hAnsi="ITC Avant Garde" w:cs="Arial"/>
          <w:color w:val="000000" w:themeColor="text1"/>
          <w:kern w:val="1"/>
          <w:sz w:val="22"/>
          <w:szCs w:val="22"/>
          <w:lang w:eastAsia="ar-SA"/>
        </w:rPr>
        <w:t>“</w:t>
      </w:r>
      <w:r w:rsidR="00200B26">
        <w:rPr>
          <w:rFonts w:ascii="ITC Avant Garde" w:hAnsi="ITC Avant Garde" w:cs="Arial"/>
          <w:color w:val="000000" w:themeColor="text1"/>
          <w:kern w:val="1"/>
          <w:sz w:val="22"/>
          <w:szCs w:val="22"/>
          <w:lang w:eastAsia="ar-SA"/>
        </w:rPr>
        <w:t>Acuerdo</w:t>
      </w:r>
      <w:r w:rsidRPr="00200B26">
        <w:rPr>
          <w:rFonts w:ascii="ITC Avant Garde" w:hAnsi="ITC Avant Garde" w:cs="Arial"/>
          <w:color w:val="000000" w:themeColor="text1"/>
          <w:kern w:val="1"/>
          <w:sz w:val="22"/>
          <w:szCs w:val="22"/>
          <w:lang w:val="es-MX" w:eastAsia="ar-SA"/>
        </w:rPr>
        <w:t xml:space="preserve">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00494B39">
        <w:rPr>
          <w:rFonts w:ascii="ITC Avant Garde" w:hAnsi="ITC Avant Garde" w:cs="Arial"/>
          <w:color w:val="000000" w:themeColor="text1"/>
          <w:kern w:val="1"/>
          <w:sz w:val="22"/>
          <w:szCs w:val="22"/>
          <w:lang w:val="es-MX" w:eastAsia="ar-SA"/>
        </w:rPr>
        <w:t>”</w:t>
      </w:r>
    </w:p>
    <w:p w14:paraId="7FE85337" w14:textId="77777777" w:rsidR="00494B39" w:rsidRDefault="00494B39" w:rsidP="00494B39">
      <w:pPr>
        <w:pStyle w:val="Prrafodelista"/>
        <w:rPr>
          <w:rFonts w:ascii="ITC Avant Garde" w:hAnsi="ITC Avant Garde" w:cs="Arial"/>
          <w:color w:val="000000" w:themeColor="text1"/>
          <w:kern w:val="1"/>
          <w:sz w:val="22"/>
          <w:szCs w:val="22"/>
          <w:lang w:val="es-MX" w:eastAsia="ar-SA"/>
        </w:rPr>
      </w:pPr>
    </w:p>
    <w:p w14:paraId="0ECD5E38" w14:textId="77777777" w:rsidR="00200B26" w:rsidRPr="00494B39" w:rsidRDefault="00494B39" w:rsidP="003811DD">
      <w:pPr>
        <w:numPr>
          <w:ilvl w:val="0"/>
          <w:numId w:val="1"/>
        </w:numPr>
        <w:suppressAutoHyphens/>
        <w:jc w:val="both"/>
        <w:rPr>
          <w:rFonts w:ascii="ITC Avant Garde" w:hAnsi="ITC Avant Garde" w:cs="Arial"/>
          <w:color w:val="000000" w:themeColor="text1"/>
          <w:kern w:val="1"/>
          <w:sz w:val="22"/>
          <w:szCs w:val="22"/>
          <w:lang w:val="es-MX" w:eastAsia="ar-SA"/>
        </w:rPr>
      </w:pPr>
      <w:r w:rsidRPr="00494B39">
        <w:rPr>
          <w:rFonts w:ascii="ITC Avant Garde" w:hAnsi="ITC Avant Garde" w:cs="Arial"/>
          <w:color w:val="000000" w:themeColor="text1"/>
          <w:kern w:val="1"/>
          <w:sz w:val="22"/>
          <w:szCs w:val="22"/>
          <w:lang w:val="es-MX" w:eastAsia="ar-SA"/>
        </w:rPr>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w:t>
      </w:r>
      <w:r>
        <w:rPr>
          <w:rFonts w:ascii="ITC Avant Garde" w:hAnsi="ITC Avant Garde" w:cs="Arial"/>
          <w:color w:val="000000" w:themeColor="text1"/>
          <w:kern w:val="1"/>
          <w:sz w:val="22"/>
          <w:szCs w:val="22"/>
          <w:lang w:val="es-MX" w:eastAsia="ar-SA"/>
        </w:rPr>
        <w:t>.</w:t>
      </w:r>
      <w:r w:rsidRPr="00494B39">
        <w:rPr>
          <w:rFonts w:ascii="ITC Avant Garde" w:hAnsi="ITC Avant Garde" w:cs="Arial"/>
          <w:color w:val="000000" w:themeColor="text1"/>
          <w:kern w:val="1"/>
          <w:sz w:val="22"/>
          <w:szCs w:val="22"/>
          <w:lang w:val="es-MX" w:eastAsia="ar-SA"/>
        </w:rPr>
        <w:t xml:space="preserve">” </w:t>
      </w:r>
    </w:p>
    <w:p w14:paraId="77A439EC" w14:textId="77777777" w:rsidR="00494B39" w:rsidRDefault="00494B39" w:rsidP="00200B26">
      <w:pPr>
        <w:pStyle w:val="Prrafodelista"/>
        <w:rPr>
          <w:rFonts w:ascii="ITC Avant Garde" w:hAnsi="ITC Avant Garde" w:cs="Arial"/>
          <w:color w:val="000000" w:themeColor="text1"/>
          <w:kern w:val="1"/>
          <w:sz w:val="22"/>
          <w:szCs w:val="22"/>
          <w:lang w:val="es-MX" w:eastAsia="ar-SA"/>
        </w:rPr>
      </w:pPr>
    </w:p>
    <w:p w14:paraId="724EF9AF" w14:textId="77777777" w:rsidR="00D54488" w:rsidRPr="00DD1C1F" w:rsidRDefault="00494B39" w:rsidP="00DB08C5">
      <w:pPr>
        <w:numPr>
          <w:ilvl w:val="0"/>
          <w:numId w:val="1"/>
        </w:num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t>El 11 de mayo de 2018, se publicó en el DOF el “</w:t>
      </w:r>
      <w:r w:rsidRPr="00494B39">
        <w:rPr>
          <w:rFonts w:ascii="ITC Avant Garde" w:hAnsi="ITC Avant Garde" w:cs="Arial"/>
          <w:color w:val="000000" w:themeColor="text1"/>
          <w:kern w:val="1"/>
          <w:sz w:val="22"/>
          <w:szCs w:val="22"/>
          <w:lang w:eastAsia="ar-SA"/>
        </w:rPr>
        <w:t>A</w:t>
      </w:r>
      <w:r>
        <w:rPr>
          <w:rFonts w:ascii="ITC Avant Garde" w:hAnsi="ITC Avant Garde" w:cs="Arial"/>
          <w:color w:val="000000" w:themeColor="text1"/>
          <w:kern w:val="1"/>
          <w:sz w:val="22"/>
          <w:szCs w:val="22"/>
          <w:lang w:eastAsia="ar-SA"/>
        </w:rPr>
        <w:t>cuerdo</w:t>
      </w:r>
      <w:r w:rsidRPr="00494B39">
        <w:rPr>
          <w:rFonts w:ascii="ITC Avant Garde" w:hAnsi="ITC Avant Garde" w:cs="Arial"/>
          <w:color w:val="000000" w:themeColor="text1"/>
          <w:kern w:val="1"/>
          <w:sz w:val="22"/>
          <w:szCs w:val="22"/>
          <w:lang w:eastAsia="ar-SA"/>
        </w:rPr>
        <w:t xml:space="preserve">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Pr>
          <w:rFonts w:ascii="ITC Avant Garde" w:hAnsi="ITC Avant Garde" w:cs="Arial"/>
          <w:color w:val="000000" w:themeColor="text1"/>
          <w:kern w:val="1"/>
          <w:sz w:val="22"/>
          <w:szCs w:val="22"/>
          <w:lang w:eastAsia="ar-SA"/>
        </w:rPr>
        <w:t>.</w:t>
      </w:r>
      <w:r w:rsidRPr="00494B39">
        <w:rPr>
          <w:rFonts w:ascii="ITC Avant Garde" w:hAnsi="ITC Avant Garde" w:cs="Arial"/>
          <w:color w:val="000000" w:themeColor="text1"/>
          <w:kern w:val="1"/>
          <w:sz w:val="22"/>
          <w:szCs w:val="22"/>
          <w:lang w:eastAsia="ar-SA"/>
        </w:rPr>
        <w:t>"</w:t>
      </w:r>
    </w:p>
    <w:p w14:paraId="5ACD9E97" w14:textId="77777777" w:rsidR="00D54488" w:rsidRDefault="00D54488" w:rsidP="00DD1C1F">
      <w:pPr>
        <w:suppressAutoHyphens/>
        <w:ind w:left="360"/>
        <w:jc w:val="both"/>
        <w:rPr>
          <w:rFonts w:ascii="ITC Avant Garde" w:hAnsi="ITC Avant Garde" w:cs="Arial"/>
          <w:color w:val="000000" w:themeColor="text1"/>
          <w:kern w:val="1"/>
          <w:sz w:val="22"/>
          <w:szCs w:val="22"/>
          <w:lang w:val="es-MX" w:eastAsia="ar-SA"/>
        </w:rPr>
      </w:pPr>
    </w:p>
    <w:p w14:paraId="1D49F5FA" w14:textId="77777777" w:rsidR="00494B39" w:rsidRDefault="00494B39" w:rsidP="00494B39">
      <w:pPr>
        <w:numPr>
          <w:ilvl w:val="0"/>
          <w:numId w:val="1"/>
        </w:numPr>
        <w:suppressAutoHyphens/>
        <w:jc w:val="both"/>
        <w:rPr>
          <w:rFonts w:ascii="ITC Avant Garde" w:hAnsi="ITC Avant Garde" w:cs="Arial"/>
          <w:color w:val="000000" w:themeColor="text1"/>
          <w:kern w:val="1"/>
          <w:sz w:val="22"/>
          <w:szCs w:val="22"/>
          <w:lang w:val="es-MX" w:eastAsia="ar-SA"/>
        </w:rPr>
      </w:pPr>
      <w:r>
        <w:rPr>
          <w:rFonts w:ascii="ITC Avant Garde" w:hAnsi="ITC Avant Garde" w:cs="Arial"/>
          <w:color w:val="000000" w:themeColor="text1"/>
          <w:kern w:val="1"/>
          <w:sz w:val="22"/>
          <w:szCs w:val="22"/>
          <w:lang w:val="es-MX" w:eastAsia="ar-SA"/>
        </w:rPr>
        <w:lastRenderedPageBreak/>
        <w:t xml:space="preserve">El 14 de diciembre de </w:t>
      </w:r>
      <w:r w:rsidR="009960A8">
        <w:rPr>
          <w:rFonts w:ascii="ITC Avant Garde" w:hAnsi="ITC Avant Garde" w:cs="Arial"/>
          <w:color w:val="000000" w:themeColor="text1"/>
          <w:kern w:val="1"/>
          <w:sz w:val="22"/>
          <w:szCs w:val="22"/>
          <w:lang w:val="es-MX" w:eastAsia="ar-SA"/>
        </w:rPr>
        <w:t xml:space="preserve">2018, se recibió en la oficialía de partes del Instituto escrito de la Asociación Nacional de Telecomunicaciones, A.C. (“ANATEL”), por el que </w:t>
      </w:r>
      <w:r w:rsidR="00FE23DD">
        <w:rPr>
          <w:rFonts w:ascii="ITC Avant Garde" w:hAnsi="ITC Avant Garde" w:cs="Arial"/>
          <w:color w:val="000000" w:themeColor="text1"/>
          <w:kern w:val="1"/>
          <w:sz w:val="22"/>
          <w:szCs w:val="22"/>
          <w:lang w:val="es-MX" w:eastAsia="ar-SA"/>
        </w:rPr>
        <w:t xml:space="preserve">solicita </w:t>
      </w:r>
      <w:r w:rsidR="009960A8">
        <w:rPr>
          <w:rFonts w:ascii="ITC Avant Garde" w:hAnsi="ITC Avant Garde" w:cs="Arial"/>
          <w:color w:val="000000" w:themeColor="text1"/>
          <w:kern w:val="1"/>
          <w:sz w:val="22"/>
          <w:szCs w:val="22"/>
          <w:lang w:val="es-MX" w:eastAsia="ar-SA"/>
        </w:rPr>
        <w:t>se analicen diversas propuestas de modificación a las Reglas de Portabilidad Numérica.</w:t>
      </w:r>
    </w:p>
    <w:p w14:paraId="396E399C" w14:textId="77777777" w:rsidR="00DE2B10" w:rsidRDefault="00DE2B10" w:rsidP="00DD1C1F">
      <w:pPr>
        <w:suppressAutoHyphens/>
        <w:ind w:left="360"/>
        <w:jc w:val="both"/>
        <w:rPr>
          <w:rFonts w:ascii="ITC Avant Garde" w:hAnsi="ITC Avant Garde" w:cs="Arial"/>
          <w:color w:val="000000" w:themeColor="text1"/>
          <w:kern w:val="1"/>
          <w:sz w:val="22"/>
          <w:szCs w:val="22"/>
          <w:lang w:val="es-MX" w:eastAsia="ar-SA"/>
        </w:rPr>
      </w:pPr>
    </w:p>
    <w:p w14:paraId="0D2ED93B" w14:textId="77777777" w:rsidR="00A7669A" w:rsidRPr="004F3FA6" w:rsidRDefault="00A7669A" w:rsidP="00A7669A">
      <w:pPr>
        <w:numPr>
          <w:ilvl w:val="0"/>
          <w:numId w:val="1"/>
        </w:numPr>
        <w:suppressAutoHyphens/>
        <w:jc w:val="both"/>
        <w:rPr>
          <w:rFonts w:ascii="ITC Avant Garde" w:hAnsi="ITC Avant Garde" w:cs="Arial"/>
          <w:color w:val="000000" w:themeColor="text1"/>
          <w:kern w:val="1"/>
          <w:sz w:val="22"/>
          <w:szCs w:val="22"/>
          <w:lang w:val="es-MX" w:eastAsia="ar-SA"/>
        </w:rPr>
      </w:pPr>
      <w:r w:rsidRPr="004F3FA6">
        <w:rPr>
          <w:rFonts w:ascii="ITC Avant Garde" w:hAnsi="ITC Avant Garde" w:cs="Arial"/>
          <w:color w:val="000000" w:themeColor="text1"/>
          <w:kern w:val="1"/>
          <w:sz w:val="22"/>
          <w:szCs w:val="22"/>
          <w:lang w:val="es-MX" w:eastAsia="ar-SA"/>
        </w:rPr>
        <w:t>El 20 de marzo de 2019, se publicó en el DOF el “Acuerdo mediante el cual el Pleno del Instituto Federal de Telecomunicaciones modifica los Planes Técnicos Fundamentales de Numeración y de Señalización, así como lo referente a las Reglas de Portabilidad Numérica, publicados el 11 de mayo de 2018.”</w:t>
      </w:r>
    </w:p>
    <w:p w14:paraId="59507257" w14:textId="77777777" w:rsidR="00A7669A" w:rsidRPr="004F3FA6" w:rsidRDefault="00A7669A" w:rsidP="001E4A07">
      <w:pPr>
        <w:pStyle w:val="Prrafodelista"/>
        <w:rPr>
          <w:rFonts w:ascii="ITC Avant Garde" w:hAnsi="ITC Avant Garde" w:cs="Arial"/>
          <w:color w:val="000000" w:themeColor="text1"/>
          <w:kern w:val="1"/>
          <w:sz w:val="22"/>
          <w:szCs w:val="22"/>
          <w:lang w:val="es-MX" w:eastAsia="ar-SA"/>
        </w:rPr>
      </w:pPr>
    </w:p>
    <w:p w14:paraId="7E3F5F80" w14:textId="4A6EC1F4" w:rsidR="00A7669A" w:rsidRPr="009C4FFE" w:rsidRDefault="004C058C" w:rsidP="00A7669A">
      <w:pPr>
        <w:pStyle w:val="Prrafodelista"/>
        <w:numPr>
          <w:ilvl w:val="0"/>
          <w:numId w:val="1"/>
        </w:numPr>
        <w:spacing w:before="240"/>
        <w:jc w:val="both"/>
        <w:rPr>
          <w:rFonts w:ascii="ITC Avant Garde" w:hAnsi="ITC Avant Garde"/>
          <w:sz w:val="22"/>
          <w:szCs w:val="22"/>
        </w:rPr>
      </w:pPr>
      <w:r w:rsidRPr="009C4FFE">
        <w:rPr>
          <w:rFonts w:ascii="ITC Avant Garde" w:hAnsi="ITC Avant Garde"/>
          <w:sz w:val="22"/>
          <w:szCs w:val="22"/>
        </w:rPr>
        <w:t xml:space="preserve">El 20 de marzo de 2015, mediante Acuerdo P/IFT/200319/125, el Pleno del Instituto Federal de Telecomunicaciones determina someter a Consulta Pública el </w:t>
      </w:r>
      <w:r w:rsidR="00A7669A" w:rsidRPr="009C4FFE">
        <w:rPr>
          <w:rFonts w:ascii="ITC Avant Garde" w:hAnsi="ITC Avant Garde"/>
          <w:sz w:val="22"/>
          <w:szCs w:val="22"/>
        </w:rPr>
        <w:t>“</w:t>
      </w:r>
      <w:r w:rsidR="003A4214" w:rsidRPr="009C4FFE">
        <w:rPr>
          <w:rFonts w:ascii="ITC Avant Garde" w:hAnsi="ITC Avant Garde"/>
          <w:sz w:val="22"/>
          <w:szCs w:val="22"/>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Federación el 11 de mayo de</w:t>
      </w:r>
      <w:r w:rsidR="00A7669A" w:rsidRPr="009C4FFE">
        <w:rPr>
          <w:rFonts w:ascii="ITC Avant Garde" w:hAnsi="ITC Avant Garde"/>
          <w:sz w:val="22"/>
          <w:szCs w:val="22"/>
        </w:rPr>
        <w:t xml:space="preserve"> 2018.” </w:t>
      </w:r>
    </w:p>
    <w:p w14:paraId="040D351C" w14:textId="77777777" w:rsidR="00A7669A" w:rsidRPr="004F3FA6" w:rsidRDefault="00A7669A" w:rsidP="00A7669A">
      <w:pPr>
        <w:pStyle w:val="Prrafodelista"/>
        <w:rPr>
          <w:rFonts w:ascii="ITC Avant Garde" w:hAnsi="ITC Avant Garde" w:cs="Arial"/>
          <w:color w:val="000000" w:themeColor="text1"/>
          <w:kern w:val="1"/>
          <w:sz w:val="22"/>
          <w:szCs w:val="22"/>
          <w:lang w:val="es-MX" w:eastAsia="ar-SA"/>
        </w:rPr>
      </w:pPr>
    </w:p>
    <w:p w14:paraId="09BB2F91" w14:textId="77777777" w:rsidR="00A7669A" w:rsidRPr="004F3FA6" w:rsidRDefault="00A7669A" w:rsidP="00A7669A">
      <w:pPr>
        <w:numPr>
          <w:ilvl w:val="0"/>
          <w:numId w:val="1"/>
        </w:numPr>
        <w:suppressAutoHyphens/>
        <w:jc w:val="both"/>
        <w:rPr>
          <w:rFonts w:ascii="ITC Avant Garde" w:hAnsi="ITC Avant Garde" w:cs="Arial"/>
          <w:color w:val="000000" w:themeColor="text1"/>
          <w:kern w:val="1"/>
          <w:sz w:val="22"/>
          <w:szCs w:val="22"/>
          <w:lang w:val="es-MX" w:eastAsia="ar-SA"/>
        </w:rPr>
      </w:pPr>
      <w:r w:rsidRPr="004F3FA6">
        <w:rPr>
          <w:rFonts w:ascii="ITC Avant Garde" w:hAnsi="ITC Avant Garde" w:cs="Arial"/>
          <w:color w:val="000000" w:themeColor="text1"/>
          <w:kern w:val="1"/>
          <w:sz w:val="22"/>
          <w:szCs w:val="22"/>
          <w:lang w:val="es-MX" w:eastAsia="ar-SA"/>
        </w:rPr>
        <w:t>El 5 de septiembre de 2019, la Coordinación General de Mejora Regulatoria, emitió su opinión no vinculante mediante oficio IFT/211/CGMR/147/2019.</w:t>
      </w:r>
    </w:p>
    <w:p w14:paraId="7831EB38" w14:textId="77777777" w:rsidR="00494B39" w:rsidRDefault="00494B39" w:rsidP="00494B39">
      <w:pPr>
        <w:pStyle w:val="Prrafodelista"/>
        <w:rPr>
          <w:rFonts w:ascii="ITC Avant Garde" w:hAnsi="ITC Avant Garde" w:cs="Arial"/>
          <w:color w:val="000000" w:themeColor="text1"/>
          <w:kern w:val="1"/>
          <w:sz w:val="22"/>
          <w:szCs w:val="22"/>
          <w:lang w:val="es-MX" w:eastAsia="ar-SA"/>
        </w:rPr>
      </w:pPr>
    </w:p>
    <w:p w14:paraId="2E19C57F" w14:textId="77777777" w:rsidR="00564B23" w:rsidRDefault="00564B23" w:rsidP="00494B39">
      <w:pPr>
        <w:pStyle w:val="Prrafodelista"/>
        <w:rPr>
          <w:rFonts w:ascii="ITC Avant Garde" w:hAnsi="ITC Avant Garde" w:cs="Arial"/>
          <w:color w:val="000000" w:themeColor="text1"/>
          <w:kern w:val="1"/>
          <w:sz w:val="22"/>
          <w:szCs w:val="22"/>
          <w:lang w:val="es-MX" w:eastAsia="ar-SA"/>
        </w:rPr>
      </w:pPr>
    </w:p>
    <w:p w14:paraId="2DBA603F" w14:textId="77777777" w:rsidR="009E26C2" w:rsidRPr="0013775E" w:rsidRDefault="009E26C2" w:rsidP="009E26C2">
      <w:pPr>
        <w:jc w:val="center"/>
        <w:rPr>
          <w:rFonts w:ascii="ITC Avant Garde" w:eastAsia="Times New Roman" w:hAnsi="ITC Avant Garde" w:cs="Arial"/>
          <w:b/>
          <w:kern w:val="2"/>
          <w:sz w:val="22"/>
          <w:szCs w:val="22"/>
          <w:lang w:eastAsia="ar-SA"/>
        </w:rPr>
      </w:pPr>
      <w:r w:rsidRPr="0013775E">
        <w:rPr>
          <w:rFonts w:ascii="ITC Avant Garde" w:eastAsia="Times New Roman" w:hAnsi="ITC Avant Garde" w:cs="Arial"/>
          <w:b/>
          <w:kern w:val="2"/>
          <w:sz w:val="22"/>
          <w:szCs w:val="22"/>
          <w:lang w:eastAsia="ar-SA"/>
        </w:rPr>
        <w:t>CONSIDERANDO</w:t>
      </w:r>
    </w:p>
    <w:p w14:paraId="620B12D2" w14:textId="77777777" w:rsidR="009E26C2" w:rsidRPr="0013775E" w:rsidRDefault="009E26C2" w:rsidP="009E26C2">
      <w:pPr>
        <w:jc w:val="center"/>
        <w:rPr>
          <w:rFonts w:ascii="ITC Avant Garde" w:eastAsia="Times New Roman" w:hAnsi="ITC Avant Garde" w:cs="Arial"/>
          <w:b/>
          <w:kern w:val="2"/>
          <w:sz w:val="22"/>
          <w:szCs w:val="22"/>
          <w:lang w:eastAsia="ar-SA"/>
        </w:rPr>
      </w:pPr>
    </w:p>
    <w:p w14:paraId="5DDDFC7F" w14:textId="77777777" w:rsidR="009E26C2" w:rsidRPr="0013775E" w:rsidRDefault="009E26C2" w:rsidP="009E26C2">
      <w:pPr>
        <w:jc w:val="center"/>
        <w:rPr>
          <w:rFonts w:ascii="ITC Avant Garde" w:eastAsia="Times New Roman" w:hAnsi="ITC Avant Garde" w:cs="Arial"/>
          <w:b/>
          <w:kern w:val="2"/>
          <w:sz w:val="22"/>
          <w:szCs w:val="22"/>
          <w:lang w:eastAsia="ar-SA"/>
        </w:rPr>
      </w:pPr>
    </w:p>
    <w:p w14:paraId="282C77CB" w14:textId="77777777" w:rsidR="009E26C2" w:rsidRPr="0013775E" w:rsidRDefault="00741A46" w:rsidP="009E26C2">
      <w:pPr>
        <w:suppressAutoHyphens/>
        <w:ind w:right="-62"/>
        <w:jc w:val="both"/>
        <w:rPr>
          <w:rFonts w:ascii="ITC Avant Garde" w:eastAsia="Times New Roman" w:hAnsi="ITC Avant Garde" w:cs="Arial"/>
          <w:kern w:val="1"/>
          <w:sz w:val="22"/>
          <w:szCs w:val="22"/>
          <w:lang w:eastAsia="ar-SA"/>
        </w:rPr>
      </w:pPr>
      <w:r>
        <w:rPr>
          <w:rFonts w:ascii="ITC Avant Garde" w:eastAsia="Times New Roman" w:hAnsi="ITC Avant Garde" w:cs="Arial"/>
          <w:b/>
          <w:kern w:val="2"/>
          <w:sz w:val="22"/>
          <w:szCs w:val="22"/>
          <w:lang w:eastAsia="ar-SA"/>
        </w:rPr>
        <w:t>PRIMERO.</w:t>
      </w:r>
      <w:r w:rsidR="009E26C2" w:rsidRPr="0013775E">
        <w:rPr>
          <w:rFonts w:ascii="ITC Avant Garde" w:eastAsia="Times New Roman" w:hAnsi="ITC Avant Garde" w:cs="Arial"/>
          <w:b/>
          <w:kern w:val="2"/>
          <w:sz w:val="22"/>
          <w:szCs w:val="22"/>
          <w:lang w:eastAsia="ar-SA"/>
        </w:rPr>
        <w:t xml:space="preserve"> </w:t>
      </w:r>
      <w:r w:rsidR="009960A8">
        <w:rPr>
          <w:rFonts w:ascii="ITC Avant Garde" w:eastAsia="Times New Roman" w:hAnsi="ITC Avant Garde" w:cs="Arial"/>
          <w:b/>
          <w:kern w:val="2"/>
          <w:sz w:val="22"/>
          <w:szCs w:val="22"/>
          <w:lang w:eastAsia="ar-SA"/>
        </w:rPr>
        <w:t>C</w:t>
      </w:r>
      <w:r w:rsidR="009E26C2" w:rsidRPr="0013775E">
        <w:rPr>
          <w:rFonts w:ascii="ITC Avant Garde" w:eastAsia="Times New Roman" w:hAnsi="ITC Avant Garde" w:cs="Arial"/>
          <w:b/>
          <w:kern w:val="2"/>
          <w:sz w:val="22"/>
          <w:szCs w:val="22"/>
          <w:lang w:eastAsia="ar-SA"/>
        </w:rPr>
        <w:t>omp</w:t>
      </w:r>
      <w:r w:rsidR="0084731D">
        <w:rPr>
          <w:rFonts w:ascii="ITC Avant Garde" w:eastAsia="Times New Roman" w:hAnsi="ITC Avant Garde" w:cs="Arial"/>
          <w:b/>
          <w:kern w:val="2"/>
          <w:sz w:val="22"/>
          <w:szCs w:val="22"/>
          <w:lang w:eastAsia="ar-SA"/>
        </w:rPr>
        <w:t xml:space="preserve">etencia </w:t>
      </w:r>
      <w:r w:rsidR="009E26C2" w:rsidRPr="0013775E">
        <w:rPr>
          <w:rFonts w:ascii="ITC Avant Garde" w:eastAsia="Times New Roman" w:hAnsi="ITC Avant Garde" w:cs="Arial"/>
          <w:b/>
          <w:kern w:val="2"/>
          <w:sz w:val="22"/>
          <w:szCs w:val="22"/>
          <w:lang w:eastAsia="ar-SA"/>
        </w:rPr>
        <w:t>del Instituto.</w:t>
      </w:r>
      <w:r w:rsidR="009E26C2" w:rsidRPr="0013775E">
        <w:rPr>
          <w:rFonts w:ascii="ITC Avant Garde" w:hAnsi="ITC Avant Garde" w:cs="Arial"/>
          <w:b/>
          <w:kern w:val="2"/>
          <w:sz w:val="22"/>
          <w:szCs w:val="22"/>
          <w:lang w:eastAsia="ar-SA"/>
        </w:rPr>
        <w:t xml:space="preserve"> </w:t>
      </w:r>
      <w:r w:rsidR="009E26C2" w:rsidRPr="0013775E">
        <w:rPr>
          <w:rFonts w:ascii="ITC Avant Garde" w:eastAsia="Times New Roman" w:hAnsi="ITC Avant Garde" w:cs="Arial"/>
          <w:kern w:val="1"/>
          <w:sz w:val="22"/>
          <w:szCs w:val="22"/>
          <w:lang w:eastAsia="ar-SA"/>
        </w:rPr>
        <w:t>De conformidad con lo establecido por el artículo 28 párrafo décimo quinto de la Constitución Política de los Estados Unidos Mexicanos (“Constitución”), el Instituto tiene por objeto el desarrollo eficiente de la radiodifusión y las telecomunicaciones, conforme a lo dispuesto en la propia Constitución y en los términos que fijen las leyes.</w:t>
      </w:r>
    </w:p>
    <w:p w14:paraId="4CFC708D"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p>
    <w:p w14:paraId="0B76A7D8" w14:textId="77777777" w:rsidR="009E26C2" w:rsidRPr="0013775E"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Para tal efecto, en términos del precepto constitucional invocado, así como de los artículos 1 y 7 de la Ley Federal de Telecomunicaciones y Radiodifusión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 y 7° de la Constitución.</w:t>
      </w:r>
    </w:p>
    <w:p w14:paraId="6211BC0B" w14:textId="77777777" w:rsidR="009E26C2" w:rsidRPr="0013775E" w:rsidRDefault="009E26C2" w:rsidP="009E26C2">
      <w:pPr>
        <w:jc w:val="both"/>
        <w:rPr>
          <w:rFonts w:ascii="ITC Avant Garde" w:hAnsi="ITC Avant Garde" w:cs="Arial"/>
          <w:sz w:val="22"/>
          <w:szCs w:val="22"/>
        </w:rPr>
      </w:pPr>
    </w:p>
    <w:p w14:paraId="5D67E323" w14:textId="77777777" w:rsidR="009E26C2" w:rsidRDefault="009E26C2" w:rsidP="009E26C2">
      <w:pPr>
        <w:suppressAutoHyphens/>
        <w:ind w:right="-62"/>
        <w:jc w:val="both"/>
        <w:rPr>
          <w:rFonts w:ascii="ITC Avant Garde" w:eastAsia="Times New Roman" w:hAnsi="ITC Avant Garde" w:cs="Arial"/>
          <w:kern w:val="1"/>
          <w:sz w:val="22"/>
          <w:szCs w:val="22"/>
          <w:lang w:eastAsia="ar-SA"/>
        </w:rPr>
      </w:pPr>
      <w:r w:rsidRPr="0013775E">
        <w:rPr>
          <w:rFonts w:ascii="ITC Avant Garde" w:eastAsia="Times New Roman" w:hAnsi="ITC Avant Garde" w:cs="Arial"/>
          <w:kern w:val="1"/>
          <w:sz w:val="22"/>
          <w:szCs w:val="22"/>
          <w:lang w:eastAsia="ar-SA"/>
        </w:rPr>
        <w:t xml:space="preserve">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w:t>
      </w:r>
      <w:r w:rsidRPr="0013775E">
        <w:rPr>
          <w:rFonts w:ascii="ITC Avant Garde" w:eastAsia="Times New Roman" w:hAnsi="ITC Avant Garde" w:cs="Arial"/>
          <w:kern w:val="1"/>
          <w:sz w:val="22"/>
          <w:szCs w:val="22"/>
          <w:lang w:eastAsia="ar-SA"/>
        </w:rPr>
        <w:lastRenderedPageBreak/>
        <w:t xml:space="preserve">Instituto, conforme a lo establecido por </w:t>
      </w:r>
      <w:r w:rsidRPr="0084731D">
        <w:rPr>
          <w:rFonts w:ascii="ITC Avant Garde" w:eastAsia="Times New Roman" w:hAnsi="ITC Avant Garde" w:cs="Arial"/>
          <w:kern w:val="1"/>
          <w:sz w:val="22"/>
          <w:szCs w:val="22"/>
          <w:lang w:eastAsia="ar-SA"/>
        </w:rPr>
        <w:t>los artículos 15 fracciones I y LVI, 16 y 17 fracción I de la Ley</w:t>
      </w:r>
      <w:r w:rsidR="000815DF">
        <w:rPr>
          <w:rFonts w:ascii="ITC Avant Garde" w:eastAsia="Times New Roman" w:hAnsi="ITC Avant Garde" w:cs="Arial"/>
          <w:kern w:val="1"/>
          <w:sz w:val="22"/>
          <w:szCs w:val="22"/>
          <w:lang w:eastAsia="ar-SA"/>
        </w:rPr>
        <w:t xml:space="preserve"> Federal de Telecomunicaciones y Radiodifusión</w:t>
      </w:r>
      <w:r w:rsidRPr="0084731D">
        <w:rPr>
          <w:rFonts w:ascii="ITC Avant Garde" w:eastAsia="Times New Roman" w:hAnsi="ITC Avant Garde" w:cs="Arial"/>
          <w:kern w:val="1"/>
          <w:sz w:val="22"/>
          <w:szCs w:val="22"/>
          <w:lang w:eastAsia="ar-SA"/>
        </w:rPr>
        <w:t xml:space="preserve"> y 6 fracción XXV de</w:t>
      </w:r>
      <w:r w:rsidRPr="0013775E">
        <w:rPr>
          <w:rFonts w:ascii="ITC Avant Garde" w:eastAsia="Times New Roman" w:hAnsi="ITC Avant Garde" w:cs="Arial"/>
          <w:kern w:val="1"/>
          <w:sz w:val="22"/>
          <w:szCs w:val="22"/>
          <w:lang w:eastAsia="ar-SA"/>
        </w:rPr>
        <w:t xml:space="preserve"> su Estatuto Orgánico, podrá ordenar la publicación en el DOF, de los acuerdos y resoluciones de carácter general que emita y de aquellos en los que así lo determine.</w:t>
      </w:r>
    </w:p>
    <w:p w14:paraId="75819A31" w14:textId="77777777" w:rsidR="00CA4101" w:rsidRDefault="00CA4101" w:rsidP="009E26C2">
      <w:pPr>
        <w:suppressAutoHyphens/>
        <w:ind w:right="-62"/>
        <w:jc w:val="both"/>
        <w:rPr>
          <w:rFonts w:ascii="ITC Avant Garde" w:eastAsia="Times New Roman" w:hAnsi="ITC Avant Garde" w:cs="Arial"/>
          <w:kern w:val="1"/>
          <w:sz w:val="22"/>
          <w:szCs w:val="22"/>
          <w:lang w:eastAsia="ar-SA"/>
        </w:rPr>
      </w:pPr>
    </w:p>
    <w:p w14:paraId="080539E6" w14:textId="77777777" w:rsidR="009E26C2" w:rsidRPr="0013775E" w:rsidRDefault="009E26C2" w:rsidP="009E26C2">
      <w:pPr>
        <w:contextualSpacing/>
        <w:jc w:val="both"/>
        <w:rPr>
          <w:rFonts w:ascii="ITC Avant Garde" w:hAnsi="ITC Avant Garde" w:cs="Arial"/>
          <w:bCs/>
          <w:sz w:val="22"/>
          <w:szCs w:val="22"/>
        </w:rPr>
      </w:pPr>
    </w:p>
    <w:p w14:paraId="4B8AD5D7" w14:textId="77777777" w:rsidR="006A0475" w:rsidRPr="00BC543D" w:rsidRDefault="00D44FC8" w:rsidP="006A0475">
      <w:pPr>
        <w:jc w:val="both"/>
        <w:rPr>
          <w:rFonts w:ascii="ITC Avant Garde" w:eastAsia="Times New Roman" w:hAnsi="ITC Avant Garde" w:cs="Arial"/>
          <w:kern w:val="2"/>
          <w:sz w:val="22"/>
          <w:szCs w:val="22"/>
          <w:lang w:eastAsia="ar-SA"/>
        </w:rPr>
      </w:pPr>
      <w:r w:rsidRPr="00BC543D">
        <w:rPr>
          <w:rFonts w:ascii="ITC Avant Garde" w:eastAsia="Times New Roman" w:hAnsi="ITC Avant Garde" w:cs="Arial"/>
          <w:b/>
          <w:kern w:val="2"/>
          <w:sz w:val="22"/>
          <w:szCs w:val="22"/>
          <w:lang w:eastAsia="ar-SA"/>
        </w:rPr>
        <w:t>SEGUNDO</w:t>
      </w:r>
      <w:r w:rsidR="006A0475" w:rsidRPr="00BC543D">
        <w:rPr>
          <w:rFonts w:ascii="ITC Avant Garde" w:eastAsia="Times New Roman" w:hAnsi="ITC Avant Garde" w:cs="Arial"/>
          <w:b/>
          <w:kern w:val="2"/>
          <w:sz w:val="22"/>
          <w:szCs w:val="22"/>
          <w:lang w:eastAsia="ar-SA"/>
        </w:rPr>
        <w:t xml:space="preserve">. Consulta pública. </w:t>
      </w:r>
      <w:r w:rsidR="006A0475" w:rsidRPr="00BC543D">
        <w:rPr>
          <w:rFonts w:ascii="ITC Avant Garde" w:eastAsia="Times New Roman" w:hAnsi="ITC Avant Garde" w:cs="Arial"/>
          <w:kern w:val="2"/>
          <w:sz w:val="22"/>
          <w:szCs w:val="22"/>
          <w:lang w:eastAsia="ar-SA"/>
        </w:rPr>
        <w:t xml:space="preserve">La consulta pública tiene por objeto cumplir con los principios de transparencia y participación ciudadana por parte del Instituto, con la finalidad de recabar comentarios de la industria, de especialistas en la materia y del público en general, que contribuyan a un mejor planteamiento de la propuesta de modificación, para que sean analizados por este Instituto, y de resultar procedente, con ellos fortalecer sus disposiciones con el fin de perfeccionar su diseño y operación. </w:t>
      </w:r>
    </w:p>
    <w:p w14:paraId="283A762B" w14:textId="77777777" w:rsidR="001C517F" w:rsidRPr="00BC543D" w:rsidRDefault="001C517F" w:rsidP="009E26C2">
      <w:pPr>
        <w:jc w:val="both"/>
        <w:rPr>
          <w:rFonts w:ascii="ITC Avant Garde" w:eastAsia="Times New Roman" w:hAnsi="ITC Avant Garde" w:cs="Arial"/>
          <w:kern w:val="2"/>
          <w:sz w:val="22"/>
          <w:szCs w:val="22"/>
          <w:lang w:eastAsia="ar-SA"/>
        </w:rPr>
      </w:pPr>
    </w:p>
    <w:p w14:paraId="65D41A06" w14:textId="77777777" w:rsidR="006A0475" w:rsidRPr="006A0475" w:rsidRDefault="006A0475" w:rsidP="006A0475">
      <w:pPr>
        <w:jc w:val="both"/>
        <w:rPr>
          <w:rFonts w:ascii="ITC Avant Garde" w:eastAsia="Times New Roman" w:hAnsi="ITC Avant Garde" w:cs="Arial"/>
          <w:kern w:val="2"/>
          <w:sz w:val="22"/>
          <w:szCs w:val="22"/>
          <w:lang w:eastAsia="ar-SA"/>
        </w:rPr>
      </w:pPr>
      <w:r w:rsidRPr="00BC543D">
        <w:rPr>
          <w:rFonts w:ascii="ITC Avant Garde" w:eastAsia="Times New Roman" w:hAnsi="ITC Avant Garde" w:cs="Arial"/>
          <w:kern w:val="2"/>
          <w:sz w:val="22"/>
          <w:szCs w:val="22"/>
          <w:lang w:eastAsia="ar-SA"/>
        </w:rPr>
        <w:t>En ese sentido, el artículo 51 de la LFTR establece que</w:t>
      </w:r>
      <w:r w:rsidR="00D07666" w:rsidRPr="00BC543D">
        <w:rPr>
          <w:rFonts w:ascii="ITC Avant Garde" w:eastAsia="Times New Roman" w:hAnsi="ITC Avant Garde" w:cs="Arial"/>
          <w:kern w:val="2"/>
          <w:sz w:val="22"/>
          <w:szCs w:val="22"/>
          <w:lang w:eastAsia="ar-SA"/>
        </w:rPr>
        <w:t>,</w:t>
      </w:r>
      <w:r w:rsidRPr="00BC543D">
        <w:rPr>
          <w:rFonts w:ascii="ITC Avant Garde" w:eastAsia="Times New Roman" w:hAnsi="ITC Avant Garde" w:cs="Arial"/>
          <w:kern w:val="2"/>
          <w:sz w:val="22"/>
          <w:szCs w:val="22"/>
          <w:lang w:eastAsia="ar-SA"/>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14F7402F" w14:textId="77777777" w:rsidR="001C517F" w:rsidRDefault="001C517F" w:rsidP="009E26C2">
      <w:pPr>
        <w:jc w:val="both"/>
        <w:rPr>
          <w:rFonts w:ascii="ITC Avant Garde" w:eastAsia="Times New Roman" w:hAnsi="ITC Avant Garde" w:cs="Arial"/>
          <w:kern w:val="2"/>
          <w:sz w:val="22"/>
          <w:szCs w:val="22"/>
          <w:lang w:eastAsia="ar-SA"/>
        </w:rPr>
      </w:pPr>
    </w:p>
    <w:p w14:paraId="6C66030B" w14:textId="77777777" w:rsidR="006A0475" w:rsidRDefault="006A0475" w:rsidP="006A0475">
      <w:pPr>
        <w:jc w:val="both"/>
        <w:rPr>
          <w:rFonts w:ascii="ITC Avant Garde" w:eastAsia="Times New Roman" w:hAnsi="ITC Avant Garde" w:cs="Arial"/>
          <w:kern w:val="2"/>
          <w:sz w:val="22"/>
          <w:szCs w:val="22"/>
          <w:lang w:eastAsia="ar-SA"/>
        </w:rPr>
      </w:pPr>
      <w:r w:rsidRPr="006A0475">
        <w:rPr>
          <w:rFonts w:ascii="ITC Avant Garde" w:eastAsia="Times New Roman" w:hAnsi="ITC Avant Garde" w:cs="Arial"/>
          <w:kern w:val="2"/>
          <w:sz w:val="22"/>
          <w:szCs w:val="22"/>
          <w:lang w:eastAsia="ar-SA"/>
        </w:rPr>
        <w:t xml:space="preserve">En </w:t>
      </w:r>
      <w:r w:rsidR="002446A6">
        <w:rPr>
          <w:rFonts w:ascii="ITC Avant Garde" w:eastAsia="Times New Roman" w:hAnsi="ITC Avant Garde" w:cs="Arial"/>
          <w:kern w:val="2"/>
          <w:sz w:val="22"/>
          <w:szCs w:val="22"/>
          <w:lang w:eastAsia="ar-SA"/>
        </w:rPr>
        <w:t xml:space="preserve">atención a las instrucciones del Pleno, </w:t>
      </w:r>
      <w:r w:rsidRPr="006A0475">
        <w:rPr>
          <w:rFonts w:ascii="ITC Avant Garde" w:eastAsia="Times New Roman" w:hAnsi="ITC Avant Garde" w:cs="Arial"/>
          <w:kern w:val="2"/>
          <w:sz w:val="22"/>
          <w:szCs w:val="22"/>
          <w:lang w:eastAsia="ar-SA"/>
        </w:rPr>
        <w:t>el “</w:t>
      </w:r>
      <w:r w:rsidR="00AB283D" w:rsidRPr="00AB283D">
        <w:rPr>
          <w:rFonts w:ascii="ITC Avant Garde" w:eastAsia="Times New Roman" w:hAnsi="ITC Avant Garde" w:cs="Arial"/>
          <w:kern w:val="2"/>
          <w:sz w:val="22"/>
          <w:szCs w:val="22"/>
          <w:lang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FEDERACIÓN EL 11 DE MAYO DE 2018</w:t>
      </w:r>
      <w:r w:rsidRPr="006A0475">
        <w:rPr>
          <w:rFonts w:ascii="ITC Avant Garde" w:eastAsia="Times New Roman" w:hAnsi="ITC Avant Garde" w:cs="Arial"/>
          <w:kern w:val="2"/>
          <w:sz w:val="22"/>
          <w:szCs w:val="22"/>
          <w:lang w:eastAsia="ar-SA"/>
        </w:rPr>
        <w:t>”</w:t>
      </w:r>
      <w:r w:rsidR="00DB08C5">
        <w:rPr>
          <w:rFonts w:ascii="ITC Avant Garde" w:eastAsia="Times New Roman" w:hAnsi="ITC Avant Garde" w:cs="Arial"/>
          <w:kern w:val="2"/>
          <w:sz w:val="22"/>
          <w:szCs w:val="22"/>
          <w:lang w:eastAsia="ar-SA"/>
        </w:rPr>
        <w:t xml:space="preserve"> </w:t>
      </w:r>
      <w:r w:rsidR="002446A6">
        <w:rPr>
          <w:rFonts w:ascii="ITC Avant Garde" w:eastAsia="Times New Roman" w:hAnsi="ITC Avant Garde" w:cs="Arial"/>
          <w:kern w:val="2"/>
          <w:sz w:val="22"/>
          <w:szCs w:val="22"/>
          <w:lang w:eastAsia="ar-SA"/>
        </w:rPr>
        <w:t>(e</w:t>
      </w:r>
      <w:r w:rsidR="00023A85">
        <w:rPr>
          <w:rFonts w:ascii="ITC Avant Garde" w:eastAsia="Times New Roman" w:hAnsi="ITC Avant Garde" w:cs="Arial"/>
          <w:kern w:val="2"/>
          <w:sz w:val="22"/>
          <w:szCs w:val="22"/>
          <w:lang w:eastAsia="ar-SA"/>
        </w:rPr>
        <w:t>n lo sucesivo, el</w:t>
      </w:r>
      <w:r w:rsidR="002446A6">
        <w:rPr>
          <w:rFonts w:ascii="ITC Avant Garde" w:eastAsia="Times New Roman" w:hAnsi="ITC Avant Garde" w:cs="Arial"/>
          <w:kern w:val="2"/>
          <w:sz w:val="22"/>
          <w:szCs w:val="22"/>
          <w:lang w:eastAsia="ar-SA"/>
        </w:rPr>
        <w:t xml:space="preserve"> “Anteproyecto”),</w:t>
      </w:r>
      <w:r w:rsidR="002446A6" w:rsidRPr="006A0475">
        <w:rPr>
          <w:rFonts w:ascii="ITC Avant Garde" w:eastAsia="Times New Roman" w:hAnsi="ITC Avant Garde" w:cs="Arial"/>
          <w:kern w:val="2"/>
          <w:sz w:val="22"/>
          <w:szCs w:val="22"/>
          <w:lang w:eastAsia="ar-SA"/>
        </w:rPr>
        <w:t xml:space="preserve"> </w:t>
      </w:r>
      <w:r w:rsidR="002446A6">
        <w:rPr>
          <w:rFonts w:ascii="ITC Avant Garde" w:eastAsia="Times New Roman" w:hAnsi="ITC Avant Garde" w:cs="Arial"/>
          <w:kern w:val="2"/>
          <w:sz w:val="22"/>
          <w:szCs w:val="22"/>
          <w:lang w:eastAsia="ar-SA"/>
        </w:rPr>
        <w:t xml:space="preserve">fue publicado en el portal del Instituto para consulta pública durante el periodo comprendido del 26 de marzo al 29 de abril de 2019 (20 días hábiles), registrándose </w:t>
      </w:r>
      <w:r w:rsidR="00C64298">
        <w:rPr>
          <w:rFonts w:ascii="ITC Avant Garde" w:eastAsia="Times New Roman" w:hAnsi="ITC Avant Garde" w:cs="Arial"/>
          <w:kern w:val="2"/>
          <w:sz w:val="22"/>
          <w:szCs w:val="22"/>
          <w:lang w:eastAsia="ar-SA"/>
        </w:rPr>
        <w:t>la</w:t>
      </w:r>
      <w:r w:rsidR="0094405F">
        <w:rPr>
          <w:rFonts w:ascii="ITC Avant Garde" w:eastAsia="Times New Roman" w:hAnsi="ITC Avant Garde" w:cs="Arial"/>
          <w:kern w:val="2"/>
          <w:sz w:val="22"/>
          <w:szCs w:val="22"/>
          <w:lang w:eastAsia="ar-SA"/>
        </w:rPr>
        <w:t xml:space="preserve"> </w:t>
      </w:r>
      <w:r w:rsidR="002446A6" w:rsidRPr="00016D76">
        <w:rPr>
          <w:rFonts w:ascii="ITC Avant Garde" w:eastAsia="Times New Roman" w:hAnsi="ITC Avant Garde" w:cs="Arial"/>
          <w:kern w:val="2"/>
          <w:sz w:val="22"/>
          <w:szCs w:val="22"/>
          <w:lang w:eastAsia="ar-SA"/>
        </w:rPr>
        <w:t xml:space="preserve">participación de 7 personas morales y </w:t>
      </w:r>
      <w:r w:rsidR="002446A6" w:rsidRPr="005A2A4D">
        <w:rPr>
          <w:rFonts w:ascii="ITC Avant Garde" w:eastAsia="Times New Roman" w:hAnsi="ITC Avant Garde" w:cs="Arial"/>
          <w:kern w:val="2"/>
          <w:sz w:val="22"/>
          <w:szCs w:val="22"/>
          <w:lang w:eastAsia="ar-SA"/>
        </w:rPr>
        <w:t>una dependencia gubernamental</w:t>
      </w:r>
      <w:r w:rsidR="002446A6" w:rsidRPr="00016D76">
        <w:rPr>
          <w:rFonts w:ascii="ITC Avant Garde" w:eastAsia="Times New Roman" w:hAnsi="ITC Avant Garde" w:cs="Arial"/>
          <w:kern w:val="2"/>
          <w:sz w:val="22"/>
          <w:szCs w:val="22"/>
          <w:lang w:eastAsia="ar-SA"/>
        </w:rPr>
        <w:t xml:space="preserve"> .</w:t>
      </w:r>
    </w:p>
    <w:p w14:paraId="208FB123" w14:textId="77777777" w:rsidR="00D44FC8" w:rsidRDefault="00D44FC8" w:rsidP="006A0475">
      <w:pPr>
        <w:jc w:val="both"/>
        <w:rPr>
          <w:rFonts w:ascii="ITC Avant Garde" w:eastAsia="Times New Roman" w:hAnsi="ITC Avant Garde" w:cs="Arial"/>
          <w:kern w:val="2"/>
          <w:sz w:val="22"/>
          <w:szCs w:val="22"/>
          <w:lang w:eastAsia="ar-SA"/>
        </w:rPr>
      </w:pPr>
    </w:p>
    <w:p w14:paraId="438B542C" w14:textId="36246B13" w:rsidR="00C64298" w:rsidRPr="001E4A07" w:rsidRDefault="00C64298" w:rsidP="00C64298">
      <w:pPr>
        <w:ind w:right="-58"/>
        <w:jc w:val="both"/>
        <w:rPr>
          <w:rFonts w:ascii="ITC Avant Garde" w:hAnsi="ITC Avant Garde"/>
          <w:sz w:val="22"/>
        </w:rPr>
      </w:pPr>
      <w:r w:rsidRPr="001E4A07">
        <w:rPr>
          <w:rFonts w:ascii="ITC Avant Garde" w:hAnsi="ITC Avant Garde"/>
          <w:kern w:val="2"/>
          <w:sz w:val="22"/>
        </w:rPr>
        <w:t>Los comentarios recibidos en la consulta pública, fueron analizados y, en su caso, incorporados en el Acuerdo con el propósito de robustecerlo, por lo que las respuestas a éstos se encuentran publicadas en el apartado del portal de Internet del Instituto, relacionado con las consultas públicas, a través del informe de consideraciones correspondiente</w:t>
      </w:r>
      <w:r w:rsidRPr="001E4A07">
        <w:rPr>
          <w:rFonts w:ascii="ITC Avant Garde" w:hAnsi="ITC Avant Garde"/>
          <w:sz w:val="22"/>
        </w:rPr>
        <w:t xml:space="preserve">. </w:t>
      </w:r>
    </w:p>
    <w:p w14:paraId="6179D722" w14:textId="77777777" w:rsidR="00810D66" w:rsidRDefault="00810D66" w:rsidP="00D44FC8">
      <w:pPr>
        <w:jc w:val="both"/>
        <w:rPr>
          <w:rFonts w:ascii="ITC Avant Garde" w:eastAsia="Times New Roman" w:hAnsi="ITC Avant Garde" w:cs="Arial"/>
          <w:b/>
          <w:kern w:val="2"/>
          <w:sz w:val="22"/>
          <w:szCs w:val="22"/>
          <w:lang w:eastAsia="ar-SA"/>
        </w:rPr>
      </w:pPr>
    </w:p>
    <w:p w14:paraId="636328BB" w14:textId="77777777" w:rsidR="00410682" w:rsidRDefault="00410682" w:rsidP="00D44FC8">
      <w:pPr>
        <w:jc w:val="both"/>
        <w:rPr>
          <w:rFonts w:ascii="ITC Avant Garde" w:eastAsia="Times New Roman" w:hAnsi="ITC Avant Garde" w:cs="Arial"/>
          <w:b/>
          <w:kern w:val="2"/>
          <w:sz w:val="22"/>
          <w:szCs w:val="22"/>
          <w:lang w:eastAsia="ar-SA"/>
        </w:rPr>
      </w:pPr>
    </w:p>
    <w:p w14:paraId="064FA6C5" w14:textId="7C603216" w:rsidR="001E4A07" w:rsidRDefault="00410682" w:rsidP="001E4A07">
      <w:pPr>
        <w:jc w:val="both"/>
        <w:rPr>
          <w:rFonts w:ascii="ITC Avant Garde" w:hAnsi="ITC Avant Garde" w:cs="Segoe UI"/>
          <w:color w:val="000000"/>
          <w:shd w:val="clear" w:color="auto" w:fill="FFFFFF"/>
        </w:rPr>
      </w:pPr>
      <w:r>
        <w:rPr>
          <w:rFonts w:ascii="ITC Avant Garde" w:eastAsia="Times New Roman" w:hAnsi="ITC Avant Garde" w:cs="Arial"/>
          <w:b/>
          <w:kern w:val="2"/>
          <w:sz w:val="22"/>
          <w:szCs w:val="22"/>
          <w:lang w:eastAsia="ar-SA"/>
        </w:rPr>
        <w:t>TERCERO</w:t>
      </w:r>
      <w:r w:rsidR="00D44FC8" w:rsidRPr="0013775E">
        <w:rPr>
          <w:rFonts w:ascii="ITC Avant Garde" w:eastAsia="Times New Roman" w:hAnsi="ITC Avant Garde" w:cs="Arial"/>
          <w:b/>
          <w:kern w:val="2"/>
          <w:sz w:val="22"/>
          <w:szCs w:val="22"/>
          <w:lang w:eastAsia="ar-SA"/>
        </w:rPr>
        <w:t>. Modificación de las Reglas de Portabilidad Numérica.</w:t>
      </w:r>
      <w:r w:rsidR="001E4A07">
        <w:rPr>
          <w:rFonts w:ascii="ITC Avant Garde" w:eastAsia="Times New Roman" w:hAnsi="ITC Avant Garde" w:cs="Arial"/>
          <w:b/>
          <w:kern w:val="2"/>
          <w:sz w:val="22"/>
          <w:szCs w:val="22"/>
          <w:lang w:eastAsia="ar-SA"/>
        </w:rPr>
        <w:t xml:space="preserve"> </w:t>
      </w:r>
      <w:r w:rsidR="001E4A07" w:rsidRPr="001936F8">
        <w:rPr>
          <w:rFonts w:ascii="ITC Avant Garde" w:hAnsi="ITC Avant Garde" w:cs="Segoe UI"/>
          <w:color w:val="000000"/>
          <w:sz w:val="22"/>
          <w:szCs w:val="22"/>
          <w:shd w:val="clear" w:color="auto" w:fill="FFFFFF"/>
        </w:rPr>
        <w:t xml:space="preserve">El artículo 191 fracciones III y IV de la Ley señala que los usuarios gozarán de los derechos previstos en ella y en la Ley Federal de Protección al Consumidor, así como de los consagrados en las demás disposiciones aplicables, destacando particularmente como derechos de los usuarios, entre otros, la portabilidad </w:t>
      </w:r>
      <w:r w:rsidR="001E4A07" w:rsidRPr="001936F8">
        <w:rPr>
          <w:rFonts w:ascii="ITC Avant Garde" w:hAnsi="ITC Avant Garde" w:cs="Segoe UI"/>
          <w:color w:val="000000"/>
          <w:sz w:val="22"/>
          <w:szCs w:val="22"/>
          <w:shd w:val="clear" w:color="auto" w:fill="FFFFFF"/>
        </w:rPr>
        <w:lastRenderedPageBreak/>
        <w:t>gratuita del número telefónico dentro del plazo que determine el Instituto, así como a elegir libremente su proveedor de servicios.</w:t>
      </w:r>
    </w:p>
    <w:p w14:paraId="38BD9641" w14:textId="77777777" w:rsidR="001E4A07" w:rsidRDefault="001E4A07" w:rsidP="001E4A07">
      <w:pPr>
        <w:contextualSpacing/>
        <w:jc w:val="both"/>
        <w:rPr>
          <w:rFonts w:ascii="ITC Avant Garde" w:hAnsi="ITC Avant Garde" w:cs="Segoe UI"/>
          <w:color w:val="000000"/>
          <w:shd w:val="clear" w:color="auto" w:fill="FFFFFF"/>
        </w:rPr>
      </w:pPr>
    </w:p>
    <w:p w14:paraId="5C3A086A" w14:textId="77777777" w:rsidR="001E4A07" w:rsidRPr="001936F8" w:rsidRDefault="001E4A07" w:rsidP="001E4A07">
      <w:pPr>
        <w:contextualSpacing/>
        <w:jc w:val="both"/>
        <w:rPr>
          <w:rFonts w:ascii="ITC Avant Garde" w:hAnsi="ITC Avant Garde" w:cs="Segoe UI"/>
          <w:color w:val="000000"/>
          <w:sz w:val="22"/>
          <w:szCs w:val="22"/>
          <w:shd w:val="clear" w:color="auto" w:fill="FFFFFF"/>
        </w:rPr>
      </w:pPr>
      <w:r w:rsidRPr="001936F8">
        <w:rPr>
          <w:rFonts w:ascii="ITC Avant Garde" w:hAnsi="ITC Avant Garde" w:cs="Segoe UI"/>
          <w:color w:val="000000"/>
          <w:sz w:val="22"/>
          <w:szCs w:val="22"/>
          <w:shd w:val="clear" w:color="auto" w:fill="FFFFFF"/>
        </w:rPr>
        <w:t xml:space="preserve">En términos de lo establecido por la Ley, la portabilidad numérica es el derecho de los usuarios de conservar el mismo número telefónico al cambiarse de concesionario o prestador de servicio. La portabilidad, facilita la decisión del usuario respecto al prestador de servicios de telecomunicaciones que desee que le preste </w:t>
      </w:r>
      <w:r>
        <w:rPr>
          <w:rFonts w:ascii="ITC Avant Garde" w:hAnsi="ITC Avant Garde" w:cs="Segoe UI"/>
          <w:color w:val="000000"/>
          <w:shd w:val="clear" w:color="auto" w:fill="FFFFFF"/>
        </w:rPr>
        <w:t xml:space="preserve">dichos servicios, </w:t>
      </w:r>
      <w:r w:rsidRPr="001936F8">
        <w:rPr>
          <w:rFonts w:ascii="ITC Avant Garde" w:hAnsi="ITC Avant Garde" w:cs="Segoe UI"/>
          <w:color w:val="000000"/>
          <w:sz w:val="22"/>
          <w:szCs w:val="22"/>
          <w:shd w:val="clear" w:color="auto" w:fill="FFFFFF"/>
        </w:rPr>
        <w:t>considerando condiciones de calidad, precio cobertura y atención que se ofrecen en el mercado</w:t>
      </w:r>
      <w:r>
        <w:rPr>
          <w:rFonts w:ascii="ITC Avant Garde" w:hAnsi="ITC Avant Garde" w:cs="Segoe UI"/>
          <w:color w:val="000000"/>
          <w:shd w:val="clear" w:color="auto" w:fill="FFFFFF"/>
        </w:rPr>
        <w:t>.</w:t>
      </w:r>
    </w:p>
    <w:p w14:paraId="3961AB51" w14:textId="77777777" w:rsidR="001E4A07" w:rsidRPr="001936F8" w:rsidRDefault="001E4A07" w:rsidP="001E4A07">
      <w:pPr>
        <w:contextualSpacing/>
        <w:jc w:val="both"/>
        <w:rPr>
          <w:rFonts w:ascii="ITC Avant Garde" w:hAnsi="ITC Avant Garde" w:cs="Segoe UI"/>
          <w:color w:val="000000"/>
          <w:sz w:val="22"/>
          <w:szCs w:val="22"/>
          <w:shd w:val="clear" w:color="auto" w:fill="FFFFFF"/>
        </w:rPr>
      </w:pPr>
    </w:p>
    <w:p w14:paraId="72F60FF9" w14:textId="052744FF" w:rsidR="001E4A07" w:rsidRPr="00F86144" w:rsidRDefault="001E4A07" w:rsidP="001E4A07">
      <w:pPr>
        <w:contextualSpacing/>
        <w:jc w:val="both"/>
        <w:rPr>
          <w:rFonts w:ascii="ITC Avant Garde" w:hAnsi="ITC Avant Garde"/>
          <w:sz w:val="22"/>
          <w:szCs w:val="22"/>
        </w:rPr>
      </w:pPr>
      <w:r w:rsidRPr="0004675F">
        <w:rPr>
          <w:rFonts w:ascii="ITC Avant Garde" w:hAnsi="ITC Avant Garde" w:cs="Segoe UI"/>
          <w:color w:val="000000"/>
          <w:sz w:val="22"/>
          <w:szCs w:val="22"/>
          <w:shd w:val="clear" w:color="auto" w:fill="FFFFFF"/>
        </w:rPr>
        <w:t>Hoy en día, la Regla 39 de las Reglas de Portabilidad Numérica establecen que el NIP de Confirmación es un requisito</w:t>
      </w:r>
      <w:r w:rsidRPr="00F86144">
        <w:rPr>
          <w:rFonts w:ascii="ITC Avant Garde" w:hAnsi="ITC Avant Garde"/>
          <w:sz w:val="22"/>
          <w:szCs w:val="22"/>
        </w:rPr>
        <w:t xml:space="preserve"> indispensable para corroborar la voluntad de los usuarios a portar su número, y que puede ser obtenido a través de los siguientes mecanismos:</w:t>
      </w:r>
    </w:p>
    <w:p w14:paraId="4E8EA06F" w14:textId="77777777" w:rsidR="001E4A07" w:rsidRPr="00F86144" w:rsidRDefault="001E4A07" w:rsidP="001E4A07">
      <w:pPr>
        <w:contextualSpacing/>
        <w:jc w:val="both"/>
        <w:rPr>
          <w:rFonts w:ascii="ITC Avant Garde" w:hAnsi="ITC Avant Garde"/>
          <w:sz w:val="22"/>
          <w:szCs w:val="22"/>
        </w:rPr>
      </w:pPr>
    </w:p>
    <w:p w14:paraId="64CFC395" w14:textId="2A252805" w:rsidR="001E4A07" w:rsidRPr="00697E2B" w:rsidRDefault="001E4A07" w:rsidP="001E4A07">
      <w:pPr>
        <w:pStyle w:val="Prrafodelista"/>
        <w:numPr>
          <w:ilvl w:val="0"/>
          <w:numId w:val="16"/>
        </w:numPr>
        <w:spacing w:after="160"/>
        <w:jc w:val="both"/>
        <w:rPr>
          <w:rFonts w:ascii="ITC Avant Garde" w:hAnsi="ITC Avant Garde"/>
          <w:sz w:val="22"/>
          <w:szCs w:val="22"/>
        </w:rPr>
      </w:pPr>
      <w:r w:rsidRPr="00F86144">
        <w:rPr>
          <w:rFonts w:ascii="ITC Avant Garde" w:hAnsi="ITC Avant Garde"/>
          <w:sz w:val="22"/>
          <w:szCs w:val="22"/>
        </w:rPr>
        <w:t xml:space="preserve">Para usuarios del servicio móvil, el Proveedor Receptor podrá solicitar al ABD, </w:t>
      </w:r>
      <w:proofErr w:type="gramStart"/>
      <w:r w:rsidRPr="00F86144">
        <w:rPr>
          <w:rFonts w:ascii="ITC Avant Garde" w:hAnsi="ITC Avant Garde"/>
          <w:sz w:val="22"/>
          <w:szCs w:val="22"/>
        </w:rPr>
        <w:t>que</w:t>
      </w:r>
      <w:proofErr w:type="gramEnd"/>
      <w:r w:rsidRPr="00F86144">
        <w:rPr>
          <w:rFonts w:ascii="ITC Avant Garde" w:hAnsi="ITC Avant Garde"/>
          <w:sz w:val="22"/>
          <w:szCs w:val="22"/>
        </w:rPr>
        <w:t xml:space="preserve"> a través del Sistema Automático de Verificación, se env</w:t>
      </w:r>
      <w:r w:rsidR="004D4B17">
        <w:rPr>
          <w:rFonts w:ascii="ITC Avant Garde" w:hAnsi="ITC Avant Garde"/>
          <w:sz w:val="22"/>
          <w:szCs w:val="22"/>
        </w:rPr>
        <w:t>íe</w:t>
      </w:r>
      <w:r w:rsidRPr="00697E2B">
        <w:rPr>
          <w:rFonts w:ascii="ITC Avant Garde" w:hAnsi="ITC Avant Garde"/>
          <w:sz w:val="22"/>
          <w:szCs w:val="22"/>
        </w:rPr>
        <w:t xml:space="preserve"> un mensaje de texto con el NIP de Confirmación hacia el número a ser portado.</w:t>
      </w:r>
    </w:p>
    <w:p w14:paraId="118F1C59" w14:textId="77777777" w:rsidR="001E4A07" w:rsidRPr="00697E2B" w:rsidRDefault="001E4A07" w:rsidP="001E4A07">
      <w:pPr>
        <w:pStyle w:val="Prrafodelista"/>
        <w:jc w:val="both"/>
        <w:rPr>
          <w:rFonts w:ascii="ITC Avant Garde" w:hAnsi="ITC Avant Garde"/>
          <w:sz w:val="22"/>
          <w:szCs w:val="22"/>
        </w:rPr>
      </w:pPr>
    </w:p>
    <w:p w14:paraId="3A3F476B" w14:textId="512182B3" w:rsidR="001E4A07" w:rsidRPr="00697E2B" w:rsidRDefault="001E4A07" w:rsidP="001E4A07">
      <w:pPr>
        <w:pStyle w:val="Prrafodelista"/>
        <w:numPr>
          <w:ilvl w:val="0"/>
          <w:numId w:val="16"/>
        </w:numPr>
        <w:spacing w:after="160"/>
        <w:jc w:val="both"/>
        <w:rPr>
          <w:rFonts w:ascii="ITC Avant Garde" w:hAnsi="ITC Avant Garde"/>
          <w:sz w:val="22"/>
          <w:szCs w:val="22"/>
        </w:rPr>
      </w:pPr>
      <w:r w:rsidRPr="00697E2B">
        <w:rPr>
          <w:rFonts w:ascii="ITC Avant Garde" w:hAnsi="ITC Avant Garde"/>
          <w:sz w:val="22"/>
          <w:szCs w:val="22"/>
        </w:rPr>
        <w:t xml:space="preserve">Los usuarios del servicio móvil, pueden solicitar el NIP de confirmación enviando un mensaje de texto con la palabra “NIP” al número 051, </w:t>
      </w:r>
      <w:r w:rsidR="00697E2B">
        <w:rPr>
          <w:rFonts w:ascii="ITC Avant Garde" w:hAnsi="ITC Avant Garde"/>
          <w:sz w:val="22"/>
          <w:szCs w:val="22"/>
        </w:rPr>
        <w:t xml:space="preserve">y se </w:t>
      </w:r>
      <w:r w:rsidRPr="00697E2B">
        <w:rPr>
          <w:rFonts w:ascii="ITC Avant Garde" w:hAnsi="ITC Avant Garde"/>
          <w:sz w:val="22"/>
          <w:szCs w:val="22"/>
        </w:rPr>
        <w:t>enví</w:t>
      </w:r>
      <w:r w:rsidR="00697E2B">
        <w:rPr>
          <w:rFonts w:ascii="ITC Avant Garde" w:hAnsi="ITC Avant Garde"/>
          <w:sz w:val="22"/>
          <w:szCs w:val="22"/>
        </w:rPr>
        <w:t>a</w:t>
      </w:r>
      <w:r w:rsidRPr="00697E2B">
        <w:rPr>
          <w:rFonts w:ascii="ITC Avant Garde" w:hAnsi="ITC Avant Garde"/>
          <w:sz w:val="22"/>
          <w:szCs w:val="22"/>
        </w:rPr>
        <w:t xml:space="preserve"> a través del Sistema Automático de Verificación al número telefónico desde el que se originó el referido mensaje. </w:t>
      </w:r>
    </w:p>
    <w:p w14:paraId="28A3997B" w14:textId="77777777" w:rsidR="001E4A07" w:rsidRPr="00697E2B" w:rsidRDefault="001E4A07" w:rsidP="001E4A07">
      <w:pPr>
        <w:pStyle w:val="Prrafodelista"/>
        <w:jc w:val="both"/>
        <w:rPr>
          <w:rFonts w:ascii="ITC Avant Garde" w:hAnsi="ITC Avant Garde"/>
          <w:sz w:val="22"/>
          <w:szCs w:val="22"/>
        </w:rPr>
      </w:pPr>
    </w:p>
    <w:p w14:paraId="2743D3B5" w14:textId="34B7DCC9" w:rsidR="001E4A07" w:rsidRPr="00697E2B" w:rsidRDefault="001E4A07" w:rsidP="001E4A07">
      <w:pPr>
        <w:pStyle w:val="Prrafodelista"/>
        <w:numPr>
          <w:ilvl w:val="0"/>
          <w:numId w:val="16"/>
        </w:numPr>
        <w:spacing w:after="160"/>
        <w:jc w:val="both"/>
        <w:rPr>
          <w:rFonts w:ascii="ITC Avant Garde" w:hAnsi="ITC Avant Garde"/>
          <w:sz w:val="22"/>
          <w:szCs w:val="22"/>
        </w:rPr>
      </w:pPr>
      <w:r w:rsidRPr="00697E2B">
        <w:rPr>
          <w:rFonts w:ascii="ITC Avant Garde" w:hAnsi="ITC Avant Garde"/>
          <w:sz w:val="22"/>
          <w:szCs w:val="22"/>
        </w:rPr>
        <w:t xml:space="preserve">Los usuarios podrán realizar una llamada desde el número a ser portado para la generación del NIP de confirmación marcando el número 051, el ABD al recibir la llamada generará el NIP </w:t>
      </w:r>
      <w:r w:rsidR="004D4B17">
        <w:rPr>
          <w:rFonts w:ascii="ITC Avant Garde" w:hAnsi="ITC Avant Garde"/>
          <w:sz w:val="22"/>
          <w:szCs w:val="22"/>
        </w:rPr>
        <w:t xml:space="preserve">de confirmación </w:t>
      </w:r>
      <w:r w:rsidRPr="00697E2B">
        <w:rPr>
          <w:rFonts w:ascii="ITC Avant Garde" w:hAnsi="ITC Avant Garde"/>
          <w:sz w:val="22"/>
          <w:szCs w:val="22"/>
        </w:rPr>
        <w:t>y se reproducirá a través de un mensaje audible al usuario.</w:t>
      </w:r>
    </w:p>
    <w:p w14:paraId="701DA04A" w14:textId="77777777" w:rsidR="001E4A07" w:rsidRPr="00697E2B" w:rsidRDefault="001E4A07" w:rsidP="001E4A07">
      <w:pPr>
        <w:pStyle w:val="Prrafodelista"/>
        <w:jc w:val="both"/>
        <w:rPr>
          <w:rFonts w:ascii="ITC Avant Garde" w:hAnsi="ITC Avant Garde"/>
          <w:sz w:val="22"/>
          <w:szCs w:val="22"/>
        </w:rPr>
      </w:pPr>
    </w:p>
    <w:p w14:paraId="4CF634CE"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r w:rsidRPr="00697E2B">
        <w:rPr>
          <w:rFonts w:ascii="ITC Avant Garde" w:hAnsi="ITC Avant Garde" w:cs="Segoe UI"/>
          <w:color w:val="000000"/>
          <w:sz w:val="22"/>
          <w:szCs w:val="22"/>
          <w:shd w:val="clear" w:color="auto" w:fill="FFFFFF"/>
        </w:rPr>
        <w:t>Cabe destacar que para el mecanismo a que se refiere el inciso a), se han presentado casos donde se tramita el NIP por un tercero sin la solicitud expresa del usuario, haciendo un mal uso del mismo, posteriormente los persuaden para entregar el NIP de confirmación y portarlos.</w:t>
      </w:r>
    </w:p>
    <w:p w14:paraId="1C549D80"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p>
    <w:p w14:paraId="752B0918"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r w:rsidRPr="00697E2B">
        <w:rPr>
          <w:rFonts w:ascii="ITC Avant Garde" w:hAnsi="ITC Avant Garde" w:cs="Segoe UI"/>
          <w:color w:val="000000"/>
          <w:sz w:val="22"/>
          <w:szCs w:val="22"/>
          <w:shd w:val="clear" w:color="auto" w:fill="FFFFFF"/>
        </w:rPr>
        <w:t>Es de enfatizar que, para los mecanismos a que se refieren los incisos b) y c) el usuario hace la solicitud del NIP de confirmación a través del número a ser portado, sin intervenciones de terceros, ejerciendo su derecho de portarse eligiendo libremente a su proveedor de servicios.</w:t>
      </w:r>
    </w:p>
    <w:p w14:paraId="0F08D682"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p>
    <w:p w14:paraId="6119E535"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p>
    <w:p w14:paraId="397B13FF" w14:textId="36F7799E" w:rsidR="001E4A07" w:rsidRPr="00697E2B" w:rsidRDefault="001E4A07" w:rsidP="001E4A07">
      <w:pPr>
        <w:contextualSpacing/>
        <w:jc w:val="both"/>
        <w:rPr>
          <w:rFonts w:ascii="ITC Avant Garde" w:hAnsi="ITC Avant Garde" w:cs="Segoe UI"/>
          <w:color w:val="000000"/>
          <w:sz w:val="22"/>
          <w:szCs w:val="22"/>
          <w:shd w:val="clear" w:color="auto" w:fill="FFFFFF"/>
        </w:rPr>
      </w:pPr>
      <w:r w:rsidRPr="00697E2B">
        <w:rPr>
          <w:rFonts w:ascii="ITC Avant Garde" w:hAnsi="ITC Avant Garde" w:cs="Segoe UI"/>
          <w:color w:val="000000"/>
          <w:sz w:val="22"/>
          <w:szCs w:val="22"/>
          <w:shd w:val="clear" w:color="auto" w:fill="FFFFFF"/>
        </w:rPr>
        <w:t xml:space="preserve">En virtud de lo anterior, surge la necesidad de mitigar las portabilidades ejecutadas sin la solicitud expresa del usuario, mismos que se ven afectados en la mayoría de los casos con la pérdida de saldos acumulados, así como el </w:t>
      </w:r>
      <w:r w:rsidRPr="00697E2B">
        <w:rPr>
          <w:rFonts w:ascii="ITC Avant Garde" w:hAnsi="ITC Avant Garde" w:cs="Segoe UI"/>
          <w:color w:val="000000"/>
          <w:sz w:val="22"/>
          <w:szCs w:val="22"/>
          <w:shd w:val="clear" w:color="auto" w:fill="FFFFFF"/>
        </w:rPr>
        <w:lastRenderedPageBreak/>
        <w:t>dejar de contar con la prestación del servicio por un tiempo determinado</w:t>
      </w:r>
      <w:r w:rsidR="00463930">
        <w:rPr>
          <w:rFonts w:ascii="ITC Avant Garde" w:hAnsi="ITC Avant Garde" w:cs="Segoe UI"/>
          <w:color w:val="000000"/>
          <w:sz w:val="22"/>
          <w:szCs w:val="22"/>
          <w:shd w:val="clear" w:color="auto" w:fill="FFFFFF"/>
        </w:rPr>
        <w:t>, derivado de que esta portabilidad le obliga a presentarse ante el operador receptor para contar con la tarjeta SIM la cual es necesaria para que tenga servicio</w:t>
      </w:r>
      <w:r w:rsidRPr="00697E2B">
        <w:rPr>
          <w:rFonts w:ascii="ITC Avant Garde" w:hAnsi="ITC Avant Garde" w:cs="Segoe UI"/>
          <w:color w:val="000000"/>
          <w:sz w:val="22"/>
          <w:szCs w:val="22"/>
          <w:shd w:val="clear" w:color="auto" w:fill="FFFFFF"/>
        </w:rPr>
        <w:t xml:space="preserve">. </w:t>
      </w:r>
    </w:p>
    <w:p w14:paraId="41BAED23" w14:textId="77777777" w:rsidR="001E4A07" w:rsidRPr="00697E2B" w:rsidRDefault="001E4A07" w:rsidP="001E4A07">
      <w:pPr>
        <w:contextualSpacing/>
        <w:jc w:val="both"/>
        <w:rPr>
          <w:rFonts w:ascii="ITC Avant Garde" w:hAnsi="ITC Avant Garde" w:cs="Segoe UI"/>
          <w:color w:val="000000"/>
          <w:sz w:val="22"/>
          <w:szCs w:val="22"/>
          <w:shd w:val="clear" w:color="auto" w:fill="FFFFFF"/>
        </w:rPr>
      </w:pPr>
    </w:p>
    <w:p w14:paraId="3B2826D7" w14:textId="22275174" w:rsidR="001E4A07" w:rsidRPr="0004675F" w:rsidRDefault="001E4A07" w:rsidP="001E4A07">
      <w:pPr>
        <w:contextualSpacing/>
        <w:jc w:val="both"/>
        <w:rPr>
          <w:rFonts w:ascii="ITC Avant Garde" w:hAnsi="ITC Avant Garde" w:cs="Segoe UI"/>
          <w:color w:val="000000"/>
          <w:sz w:val="22"/>
          <w:szCs w:val="22"/>
          <w:shd w:val="clear" w:color="auto" w:fill="FFFFFF"/>
        </w:rPr>
      </w:pPr>
      <w:r w:rsidRPr="00697E2B">
        <w:rPr>
          <w:rFonts w:ascii="ITC Avant Garde" w:hAnsi="ITC Avant Garde" w:cs="Segoe UI"/>
          <w:color w:val="000000"/>
          <w:sz w:val="22"/>
          <w:szCs w:val="22"/>
          <w:shd w:val="clear" w:color="auto" w:fill="FFFFFF"/>
        </w:rPr>
        <w:t xml:space="preserve">Por lo tanto, las modificaciones a las Reglas de Portabilidad Numérica a que se refiere el presente Acuerdo, fortalecen el derecho de los usuarios del servicio móvil a elegir libremente a su proveedor de servicios, así como de conservar el mismo número telefónico al cambiarse de concesionario o prestador de servicio de su elección, </w:t>
      </w:r>
      <w:r w:rsidR="004D4B17">
        <w:rPr>
          <w:rFonts w:ascii="ITC Avant Garde" w:hAnsi="ITC Avant Garde" w:cs="Segoe UI"/>
          <w:color w:val="000000"/>
          <w:sz w:val="22"/>
          <w:szCs w:val="22"/>
          <w:shd w:val="clear" w:color="auto" w:fill="FFFFFF"/>
        </w:rPr>
        <w:t xml:space="preserve">en virtud de </w:t>
      </w:r>
      <w:r w:rsidRPr="00F86144">
        <w:rPr>
          <w:rFonts w:ascii="ITC Avant Garde" w:hAnsi="ITC Avant Garde" w:cs="Segoe UI"/>
          <w:color w:val="000000"/>
          <w:sz w:val="22"/>
          <w:szCs w:val="22"/>
          <w:shd w:val="clear" w:color="auto" w:fill="FFFFFF"/>
        </w:rPr>
        <w:t xml:space="preserve">que garantizan que estos inicien un proceso de portabilidad por voluntad propia sin la intervención de terceros, una vez que hayan determinado la mejor oferta de servicios de telefonía en términos de calidad, precio, cobertura y atención; </w:t>
      </w:r>
      <w:r w:rsidR="004D4B17">
        <w:rPr>
          <w:rFonts w:ascii="ITC Avant Garde" w:hAnsi="ITC Avant Garde" w:cs="Segoe UI"/>
          <w:color w:val="000000"/>
          <w:sz w:val="22"/>
          <w:szCs w:val="22"/>
          <w:shd w:val="clear" w:color="auto" w:fill="FFFFFF"/>
        </w:rPr>
        <w:t xml:space="preserve">dichas </w:t>
      </w:r>
      <w:r w:rsidRPr="00F86144">
        <w:rPr>
          <w:rFonts w:ascii="ITC Avant Garde" w:hAnsi="ITC Avant Garde" w:cs="Segoe UI"/>
          <w:color w:val="000000"/>
          <w:sz w:val="22"/>
          <w:szCs w:val="22"/>
          <w:shd w:val="clear" w:color="auto" w:fill="FFFFFF"/>
        </w:rPr>
        <w:t xml:space="preserve">modificaciones reforzarán los principios generales establecidos en la regla 35 de las Reglas de Portabilidad Numérica, en el sentido de que sea el usuario </w:t>
      </w:r>
      <w:r w:rsidR="004D4B17" w:rsidRPr="00015F39">
        <w:rPr>
          <w:rFonts w:ascii="ITC Avant Garde" w:hAnsi="ITC Avant Garde" w:cs="Segoe UI"/>
          <w:color w:val="000000"/>
          <w:sz w:val="22"/>
          <w:szCs w:val="22"/>
          <w:shd w:val="clear" w:color="auto" w:fill="FFFFFF"/>
        </w:rPr>
        <w:t xml:space="preserve">por solicitud expresa </w:t>
      </w:r>
      <w:r w:rsidRPr="00F86144">
        <w:rPr>
          <w:rFonts w:ascii="ITC Avant Garde" w:hAnsi="ITC Avant Garde" w:cs="Segoe UI"/>
          <w:color w:val="000000"/>
          <w:sz w:val="22"/>
          <w:szCs w:val="22"/>
          <w:shd w:val="clear" w:color="auto" w:fill="FFFFFF"/>
        </w:rPr>
        <w:t>quien inicie el proceso ante el Proveedor Receptor con quien desee contratar el servicio telefónico.</w:t>
      </w:r>
    </w:p>
    <w:p w14:paraId="5E63CF3F" w14:textId="77777777" w:rsidR="001E4A07" w:rsidRDefault="001E4A07" w:rsidP="00D44FC8">
      <w:pPr>
        <w:jc w:val="both"/>
        <w:rPr>
          <w:rFonts w:ascii="ITC Avant Garde" w:eastAsia="Times New Roman" w:hAnsi="ITC Avant Garde" w:cs="Arial"/>
          <w:b/>
          <w:kern w:val="2"/>
          <w:sz w:val="22"/>
          <w:szCs w:val="22"/>
          <w:lang w:eastAsia="ar-SA"/>
        </w:rPr>
      </w:pPr>
    </w:p>
    <w:p w14:paraId="6E1E7854" w14:textId="50B0A49E" w:rsidR="00D44FC8" w:rsidRDefault="001E4A07" w:rsidP="00D44FC8">
      <w:p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eastAsia="ar-SA"/>
        </w:rPr>
        <w:t>No se omite mencionar que e</w:t>
      </w:r>
      <w:r w:rsidR="00D44FC8" w:rsidRPr="0013775E">
        <w:rPr>
          <w:rFonts w:ascii="ITC Avant Garde" w:eastAsia="Times New Roman" w:hAnsi="ITC Avant Garde" w:cs="Arial"/>
          <w:kern w:val="2"/>
          <w:sz w:val="22"/>
          <w:szCs w:val="22"/>
          <w:lang w:eastAsia="ar-SA"/>
        </w:rPr>
        <w:t xml:space="preserve">l Instituto </w:t>
      </w:r>
      <w:r w:rsidR="00D44FC8">
        <w:rPr>
          <w:rFonts w:ascii="ITC Avant Garde" w:eastAsia="Times New Roman" w:hAnsi="ITC Avant Garde" w:cs="Arial"/>
          <w:kern w:val="2"/>
          <w:sz w:val="22"/>
          <w:szCs w:val="22"/>
          <w:lang w:eastAsia="ar-SA"/>
        </w:rPr>
        <w:t xml:space="preserve">realiza constantemente un </w:t>
      </w:r>
      <w:r w:rsidR="00D44FC8" w:rsidRPr="0013775E">
        <w:rPr>
          <w:rFonts w:ascii="ITC Avant Garde" w:eastAsia="Times New Roman" w:hAnsi="ITC Avant Garde" w:cs="Arial"/>
          <w:kern w:val="2"/>
          <w:sz w:val="22"/>
          <w:szCs w:val="22"/>
          <w:lang w:eastAsia="ar-SA"/>
        </w:rPr>
        <w:t xml:space="preserve">seguimiento puntual del proceso de portabilidad numérica a partir del análisis de las estadísticas y tendencias diarias de las portaciones efectivas que se han realizado a la fecha y de la continua observancia a la implementación técnica y operativa de los sistemas y procesos que rigen la interacción entre los Proveedores de Servicios de Telecomunicaciones </w:t>
      </w:r>
      <w:r w:rsidR="008A6D7F">
        <w:rPr>
          <w:rFonts w:ascii="ITC Avant Garde" w:eastAsia="Times New Roman" w:hAnsi="ITC Avant Garde" w:cs="Arial"/>
          <w:kern w:val="2"/>
          <w:sz w:val="22"/>
          <w:szCs w:val="22"/>
          <w:lang w:eastAsia="ar-SA"/>
        </w:rPr>
        <w:t xml:space="preserve">(en adelante, los “PST”) </w:t>
      </w:r>
      <w:r w:rsidR="00D44FC8" w:rsidRPr="0013775E">
        <w:rPr>
          <w:rFonts w:ascii="ITC Avant Garde" w:eastAsia="Times New Roman" w:hAnsi="ITC Avant Garde" w:cs="Arial"/>
          <w:kern w:val="2"/>
          <w:sz w:val="22"/>
          <w:szCs w:val="22"/>
          <w:lang w:eastAsia="ar-SA"/>
        </w:rPr>
        <w:t xml:space="preserve">y el Administrador de la Base de datos de Portabilidad </w:t>
      </w:r>
      <w:r w:rsidR="008A6D7F">
        <w:rPr>
          <w:rFonts w:ascii="ITC Avant Garde" w:eastAsia="Times New Roman" w:hAnsi="ITC Avant Garde" w:cs="Arial"/>
          <w:kern w:val="2"/>
          <w:sz w:val="22"/>
          <w:szCs w:val="22"/>
          <w:lang w:eastAsia="ar-SA"/>
        </w:rPr>
        <w:t>(en adelante, el “ABD”</w:t>
      </w:r>
      <w:r w:rsidR="00FB6DA5">
        <w:rPr>
          <w:rFonts w:ascii="ITC Avant Garde" w:eastAsia="Times New Roman" w:hAnsi="ITC Avant Garde" w:cs="Arial"/>
          <w:kern w:val="2"/>
          <w:sz w:val="22"/>
          <w:szCs w:val="22"/>
          <w:lang w:eastAsia="ar-SA"/>
        </w:rPr>
        <w:t>)</w:t>
      </w:r>
      <w:r w:rsidR="008A6D7F">
        <w:rPr>
          <w:rFonts w:ascii="ITC Avant Garde" w:eastAsia="Times New Roman" w:hAnsi="ITC Avant Garde" w:cs="Arial"/>
          <w:kern w:val="2"/>
          <w:sz w:val="22"/>
          <w:szCs w:val="22"/>
          <w:lang w:eastAsia="ar-SA"/>
        </w:rPr>
        <w:t xml:space="preserve"> </w:t>
      </w:r>
      <w:r w:rsidR="00D44FC8" w:rsidRPr="0013775E">
        <w:rPr>
          <w:rFonts w:ascii="ITC Avant Garde" w:eastAsia="Times New Roman" w:hAnsi="ITC Avant Garde" w:cs="Arial"/>
          <w:kern w:val="2"/>
          <w:sz w:val="22"/>
          <w:szCs w:val="22"/>
          <w:lang w:eastAsia="ar-SA"/>
        </w:rPr>
        <w:t xml:space="preserve">para efecto de la </w:t>
      </w:r>
      <w:r w:rsidR="00D44FC8" w:rsidRPr="00CE6834">
        <w:rPr>
          <w:rFonts w:ascii="ITC Avant Garde" w:eastAsia="Times New Roman" w:hAnsi="ITC Avant Garde" w:cs="Arial"/>
          <w:kern w:val="2"/>
          <w:sz w:val="22"/>
          <w:szCs w:val="22"/>
          <w:lang w:eastAsia="ar-SA"/>
        </w:rPr>
        <w:t xml:space="preserve">debida atención de las solicitudes de portabilidad que se generen. </w:t>
      </w:r>
    </w:p>
    <w:p w14:paraId="21FB2C06" w14:textId="77777777" w:rsidR="00ED2392" w:rsidRDefault="00ED2392" w:rsidP="00D44FC8">
      <w:pPr>
        <w:jc w:val="both"/>
        <w:rPr>
          <w:rFonts w:ascii="ITC Avant Garde" w:eastAsia="Times New Roman" w:hAnsi="ITC Avant Garde" w:cs="Arial"/>
          <w:kern w:val="2"/>
          <w:sz w:val="22"/>
          <w:szCs w:val="22"/>
          <w:lang w:eastAsia="ar-SA"/>
        </w:rPr>
      </w:pPr>
    </w:p>
    <w:p w14:paraId="3BD49F3F" w14:textId="77777777" w:rsidR="00666229" w:rsidRDefault="008D24B9" w:rsidP="00041E73">
      <w:pPr>
        <w:jc w:val="both"/>
        <w:rPr>
          <w:rFonts w:ascii="ITC Avant Garde" w:eastAsiaTheme="minorHAnsi" w:hAnsi="ITC Avant Garde"/>
          <w:sz w:val="22"/>
          <w:szCs w:val="22"/>
          <w:lang w:val="es-MX"/>
        </w:rPr>
      </w:pPr>
      <w:r>
        <w:rPr>
          <w:rFonts w:ascii="ITC Avant Garde" w:eastAsiaTheme="minorHAnsi" w:hAnsi="ITC Avant Garde"/>
          <w:sz w:val="22"/>
          <w:szCs w:val="22"/>
          <w:lang w:val="es-MX"/>
        </w:rPr>
        <w:t xml:space="preserve">Para ese mismo fin, el Instituto cuenta con la herramienta “Soy Usuario”, de la que se desprende que </w:t>
      </w:r>
      <w:r w:rsidR="00ED2392" w:rsidRPr="00041E73">
        <w:rPr>
          <w:rFonts w:ascii="ITC Avant Garde" w:eastAsiaTheme="minorHAnsi" w:hAnsi="ITC Avant Garde"/>
          <w:sz w:val="22"/>
          <w:szCs w:val="22"/>
          <w:lang w:val="es-MX"/>
        </w:rPr>
        <w:t>las inconformidades recibidas</w:t>
      </w:r>
      <w:r>
        <w:rPr>
          <w:rFonts w:ascii="ITC Avant Garde" w:eastAsiaTheme="minorHAnsi" w:hAnsi="ITC Avant Garde"/>
          <w:sz w:val="22"/>
          <w:szCs w:val="22"/>
          <w:lang w:val="es-MX"/>
        </w:rPr>
        <w:t xml:space="preserve"> </w:t>
      </w:r>
      <w:r w:rsidR="00ED2392" w:rsidRPr="00041E73">
        <w:rPr>
          <w:rFonts w:ascii="ITC Avant Garde" w:eastAsiaTheme="minorHAnsi" w:hAnsi="ITC Avant Garde"/>
          <w:sz w:val="22"/>
          <w:szCs w:val="22"/>
          <w:lang w:val="es-MX"/>
        </w:rPr>
        <w:t>con motivo de Portabilidad, se ha</w:t>
      </w:r>
      <w:r>
        <w:rPr>
          <w:rFonts w:ascii="ITC Avant Garde" w:eastAsiaTheme="minorHAnsi" w:hAnsi="ITC Avant Garde"/>
          <w:sz w:val="22"/>
          <w:szCs w:val="22"/>
          <w:lang w:val="es-MX"/>
        </w:rPr>
        <w:t>n</w:t>
      </w:r>
      <w:r w:rsidR="00ED2392" w:rsidRPr="00041E73">
        <w:rPr>
          <w:rFonts w:ascii="ITC Avant Garde" w:eastAsiaTheme="minorHAnsi" w:hAnsi="ITC Avant Garde"/>
          <w:sz w:val="22"/>
          <w:szCs w:val="22"/>
          <w:lang w:val="es-MX"/>
        </w:rPr>
        <w:t xml:space="preserve"> </w:t>
      </w:r>
      <w:r w:rsidR="00ED2392" w:rsidRPr="001246FE">
        <w:rPr>
          <w:rFonts w:ascii="ITC Avant Garde" w:eastAsiaTheme="minorHAnsi" w:hAnsi="ITC Avant Garde"/>
          <w:sz w:val="22"/>
          <w:szCs w:val="22"/>
          <w:lang w:val="es-MX"/>
        </w:rPr>
        <w:t>increment</w:t>
      </w:r>
      <w:r w:rsidRPr="001246FE">
        <w:rPr>
          <w:rFonts w:ascii="ITC Avant Garde" w:eastAsiaTheme="minorHAnsi" w:hAnsi="ITC Avant Garde"/>
          <w:sz w:val="22"/>
          <w:szCs w:val="22"/>
          <w:lang w:val="es-MX"/>
        </w:rPr>
        <w:t>ado</w:t>
      </w:r>
      <w:r w:rsidR="00ED2392" w:rsidRPr="001246FE">
        <w:rPr>
          <w:rFonts w:ascii="ITC Avant Garde" w:eastAsiaTheme="minorHAnsi" w:hAnsi="ITC Avant Garde"/>
          <w:sz w:val="22"/>
          <w:szCs w:val="22"/>
          <w:lang w:val="es-MX"/>
        </w:rPr>
        <w:t xml:space="preserve"> considerable</w:t>
      </w:r>
      <w:r w:rsidRPr="001246FE">
        <w:rPr>
          <w:rFonts w:ascii="ITC Avant Garde" w:eastAsiaTheme="minorHAnsi" w:hAnsi="ITC Avant Garde"/>
          <w:sz w:val="22"/>
          <w:szCs w:val="22"/>
          <w:lang w:val="es-MX"/>
        </w:rPr>
        <w:t>mente</w:t>
      </w:r>
      <w:r w:rsidR="00ED2392" w:rsidRPr="001246FE">
        <w:rPr>
          <w:rFonts w:ascii="ITC Avant Garde" w:eastAsiaTheme="minorHAnsi" w:hAnsi="ITC Avant Garde"/>
          <w:sz w:val="22"/>
          <w:szCs w:val="22"/>
          <w:lang w:val="es-MX"/>
        </w:rPr>
        <w:t xml:space="preserve"> en el periodo comprendido del año 2017 al 201</w:t>
      </w:r>
      <w:r w:rsidR="00666229" w:rsidRPr="001246FE">
        <w:rPr>
          <w:rFonts w:ascii="ITC Avant Garde" w:eastAsiaTheme="minorHAnsi" w:hAnsi="ITC Avant Garde"/>
          <w:sz w:val="22"/>
          <w:szCs w:val="22"/>
          <w:lang w:val="es-MX"/>
        </w:rPr>
        <w:t>9, como se puede observar en la Tabla 1 y Gráfica 1:</w:t>
      </w:r>
      <w:r w:rsidR="00ED2392" w:rsidRPr="00041E73">
        <w:rPr>
          <w:rFonts w:ascii="ITC Avant Garde" w:eastAsiaTheme="minorHAnsi" w:hAnsi="ITC Avant Garde"/>
          <w:sz w:val="22"/>
          <w:szCs w:val="22"/>
          <w:lang w:val="es-MX"/>
        </w:rPr>
        <w:t xml:space="preserve"> </w:t>
      </w:r>
    </w:p>
    <w:p w14:paraId="66EE0F26" w14:textId="77777777" w:rsidR="00666229" w:rsidRDefault="00666229" w:rsidP="00041E73">
      <w:pPr>
        <w:jc w:val="both"/>
        <w:rPr>
          <w:rFonts w:ascii="ITC Avant Garde" w:eastAsiaTheme="minorHAnsi" w:hAnsi="ITC Avant Garde"/>
          <w:sz w:val="22"/>
          <w:szCs w:val="22"/>
          <w:lang w:val="es-MX"/>
        </w:rPr>
      </w:pPr>
    </w:p>
    <w:tbl>
      <w:tblPr>
        <w:tblStyle w:val="Tabladecuadrcula4-nfasis6"/>
        <w:tblW w:w="0" w:type="auto"/>
        <w:jc w:val="center"/>
        <w:tblLook w:val="04A0" w:firstRow="1" w:lastRow="0" w:firstColumn="1" w:lastColumn="0" w:noHBand="0" w:noVBand="1"/>
      </w:tblPr>
      <w:tblGrid>
        <w:gridCol w:w="1010"/>
        <w:gridCol w:w="2671"/>
        <w:gridCol w:w="1988"/>
        <w:gridCol w:w="1012"/>
      </w:tblGrid>
      <w:tr w:rsidR="00666229" w14:paraId="67D9194A" w14:textId="77777777" w:rsidTr="00221C39">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55C807C9"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Año</w:t>
            </w:r>
          </w:p>
        </w:tc>
        <w:tc>
          <w:tcPr>
            <w:tcW w:w="2671" w:type="dxa"/>
            <w:vAlign w:val="center"/>
          </w:tcPr>
          <w:p w14:paraId="75DF81D5" w14:textId="77777777" w:rsidR="00666229" w:rsidRPr="00221C39" w:rsidRDefault="00666229" w:rsidP="001246FE">
            <w:pPr>
              <w:pStyle w:val="Texto"/>
              <w:spacing w:after="24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Trimestre</w:t>
            </w:r>
          </w:p>
        </w:tc>
        <w:tc>
          <w:tcPr>
            <w:tcW w:w="1988" w:type="dxa"/>
            <w:vAlign w:val="center"/>
          </w:tcPr>
          <w:p w14:paraId="1A84C417" w14:textId="77777777" w:rsidR="00666229" w:rsidRPr="00221C39" w:rsidRDefault="00666229" w:rsidP="001246FE">
            <w:pPr>
              <w:pStyle w:val="Texto"/>
              <w:spacing w:after="24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Tipo de problemática</w:t>
            </w:r>
          </w:p>
        </w:tc>
        <w:tc>
          <w:tcPr>
            <w:tcW w:w="1012" w:type="dxa"/>
            <w:vAlign w:val="center"/>
          </w:tcPr>
          <w:p w14:paraId="726355A2" w14:textId="77777777" w:rsidR="00666229" w:rsidRPr="00221C39" w:rsidRDefault="00666229" w:rsidP="001246FE">
            <w:pPr>
              <w:pStyle w:val="Texto"/>
              <w:spacing w:after="24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Total</w:t>
            </w:r>
          </w:p>
        </w:tc>
      </w:tr>
      <w:tr w:rsidR="00666229" w14:paraId="18E76403" w14:textId="77777777" w:rsidTr="00221C39">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0EAC2C63"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2017</w:t>
            </w:r>
          </w:p>
        </w:tc>
        <w:tc>
          <w:tcPr>
            <w:tcW w:w="2671" w:type="dxa"/>
            <w:vAlign w:val="center"/>
          </w:tcPr>
          <w:p w14:paraId="7E2F9925"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enero-marzo</w:t>
            </w:r>
          </w:p>
        </w:tc>
        <w:tc>
          <w:tcPr>
            <w:tcW w:w="1988" w:type="dxa"/>
            <w:vAlign w:val="center"/>
          </w:tcPr>
          <w:p w14:paraId="03130FB7"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0D4E88EB"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232</w:t>
            </w:r>
          </w:p>
        </w:tc>
      </w:tr>
      <w:tr w:rsidR="00666229" w14:paraId="11EDC7CF" w14:textId="77777777" w:rsidTr="00221C39">
        <w:trPr>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7FF479E1"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2017</w:t>
            </w:r>
          </w:p>
        </w:tc>
        <w:tc>
          <w:tcPr>
            <w:tcW w:w="2671" w:type="dxa"/>
            <w:vAlign w:val="center"/>
          </w:tcPr>
          <w:p w14:paraId="60F4A389"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abril-junio</w:t>
            </w:r>
          </w:p>
        </w:tc>
        <w:tc>
          <w:tcPr>
            <w:tcW w:w="1988" w:type="dxa"/>
            <w:vAlign w:val="center"/>
          </w:tcPr>
          <w:p w14:paraId="2432AB7E"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46E9C9C1"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271</w:t>
            </w:r>
          </w:p>
        </w:tc>
      </w:tr>
      <w:tr w:rsidR="00666229" w14:paraId="1C9D0ED4" w14:textId="77777777" w:rsidTr="00221C39">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6A1709BE"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2017</w:t>
            </w:r>
          </w:p>
        </w:tc>
        <w:tc>
          <w:tcPr>
            <w:tcW w:w="2671" w:type="dxa"/>
            <w:vAlign w:val="center"/>
          </w:tcPr>
          <w:p w14:paraId="10DDAB0C"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julio-septiembre</w:t>
            </w:r>
          </w:p>
        </w:tc>
        <w:tc>
          <w:tcPr>
            <w:tcW w:w="1988" w:type="dxa"/>
            <w:vAlign w:val="center"/>
          </w:tcPr>
          <w:p w14:paraId="22F7A9DA"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123BD668"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273</w:t>
            </w:r>
          </w:p>
        </w:tc>
      </w:tr>
      <w:tr w:rsidR="00666229" w14:paraId="6D476A9A" w14:textId="77777777" w:rsidTr="00221C39">
        <w:trPr>
          <w:trHeight w:val="253"/>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504E9396" w14:textId="77777777" w:rsidR="00666229" w:rsidRPr="00221C39" w:rsidRDefault="00666229" w:rsidP="00666229">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2017</w:t>
            </w:r>
          </w:p>
        </w:tc>
        <w:tc>
          <w:tcPr>
            <w:tcW w:w="2671" w:type="dxa"/>
            <w:vAlign w:val="center"/>
          </w:tcPr>
          <w:p w14:paraId="7180C0A6" w14:textId="77777777" w:rsidR="00666229" w:rsidRPr="005536D5" w:rsidRDefault="00666229" w:rsidP="00666229">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octubre-diciembre</w:t>
            </w:r>
          </w:p>
        </w:tc>
        <w:tc>
          <w:tcPr>
            <w:tcW w:w="1988" w:type="dxa"/>
          </w:tcPr>
          <w:p w14:paraId="736B945E" w14:textId="77777777" w:rsidR="00666229" w:rsidRPr="005536D5" w:rsidRDefault="00666229" w:rsidP="00666229">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0127C1EE" w14:textId="77777777" w:rsidR="00666229" w:rsidRPr="005536D5" w:rsidRDefault="00AA31BF" w:rsidP="00666229">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3</w:t>
            </w:r>
            <w:r w:rsidR="00666229" w:rsidRPr="005536D5">
              <w:rPr>
                <w:rFonts w:ascii="ITC Avant Garde" w:eastAsiaTheme="minorHAnsi" w:hAnsi="ITC Avant Garde" w:cstheme="minorBidi"/>
                <w:sz w:val="20"/>
                <w:szCs w:val="20"/>
                <w:lang w:val="es-MX" w:eastAsia="en-US"/>
              </w:rPr>
              <w:t>82</w:t>
            </w:r>
          </w:p>
        </w:tc>
      </w:tr>
      <w:tr w:rsidR="001246FE" w14:paraId="5AC44AD0" w14:textId="77777777" w:rsidTr="00221C3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67D1770D"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lastRenderedPageBreak/>
              <w:t>2018</w:t>
            </w:r>
          </w:p>
        </w:tc>
        <w:tc>
          <w:tcPr>
            <w:tcW w:w="2671" w:type="dxa"/>
            <w:vAlign w:val="center"/>
          </w:tcPr>
          <w:p w14:paraId="69D122AF"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enero-marzo</w:t>
            </w:r>
          </w:p>
        </w:tc>
        <w:tc>
          <w:tcPr>
            <w:tcW w:w="1988" w:type="dxa"/>
            <w:vAlign w:val="center"/>
          </w:tcPr>
          <w:p w14:paraId="172C822C"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218A895C"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368</w:t>
            </w:r>
          </w:p>
        </w:tc>
      </w:tr>
      <w:tr w:rsidR="008B0D60" w14:paraId="5D4EF8CD" w14:textId="77777777" w:rsidTr="00221C39">
        <w:trPr>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3776F6D6"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2018</w:t>
            </w:r>
          </w:p>
        </w:tc>
        <w:tc>
          <w:tcPr>
            <w:tcW w:w="2671" w:type="dxa"/>
            <w:vAlign w:val="center"/>
          </w:tcPr>
          <w:p w14:paraId="69E85172" w14:textId="77777777" w:rsidR="00666229" w:rsidRPr="005536D5" w:rsidRDefault="00AA31BF"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abril-junio</w:t>
            </w:r>
          </w:p>
        </w:tc>
        <w:tc>
          <w:tcPr>
            <w:tcW w:w="1988" w:type="dxa"/>
            <w:vAlign w:val="center"/>
          </w:tcPr>
          <w:p w14:paraId="10897D3A"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0595C263"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421</w:t>
            </w:r>
          </w:p>
        </w:tc>
      </w:tr>
      <w:tr w:rsidR="008B0D60" w14:paraId="251E03E8" w14:textId="77777777" w:rsidTr="00221C3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39ABAA16"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2018</w:t>
            </w:r>
          </w:p>
        </w:tc>
        <w:tc>
          <w:tcPr>
            <w:tcW w:w="2671" w:type="dxa"/>
            <w:vAlign w:val="center"/>
          </w:tcPr>
          <w:p w14:paraId="09A8F120" w14:textId="77777777" w:rsidR="00666229" w:rsidRPr="005536D5" w:rsidRDefault="00AA31BF"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julio-septiembre</w:t>
            </w:r>
          </w:p>
        </w:tc>
        <w:tc>
          <w:tcPr>
            <w:tcW w:w="1988" w:type="dxa"/>
            <w:vAlign w:val="center"/>
          </w:tcPr>
          <w:p w14:paraId="31371804"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29A11E8E"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976</w:t>
            </w:r>
          </w:p>
        </w:tc>
      </w:tr>
      <w:tr w:rsidR="008B0D60" w14:paraId="35EC9850" w14:textId="77777777" w:rsidTr="00221C39">
        <w:trPr>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0B88985A"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2018</w:t>
            </w:r>
          </w:p>
        </w:tc>
        <w:tc>
          <w:tcPr>
            <w:tcW w:w="2671" w:type="dxa"/>
            <w:vAlign w:val="center"/>
          </w:tcPr>
          <w:p w14:paraId="12496999"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octubre-diciembre</w:t>
            </w:r>
          </w:p>
        </w:tc>
        <w:tc>
          <w:tcPr>
            <w:tcW w:w="1988" w:type="dxa"/>
            <w:vAlign w:val="center"/>
          </w:tcPr>
          <w:p w14:paraId="2564CF33"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276DAF58" w14:textId="77777777" w:rsidR="00666229" w:rsidRPr="005536D5" w:rsidRDefault="00666229" w:rsidP="001246FE">
            <w:pPr>
              <w:pStyle w:val="Texto"/>
              <w:spacing w:after="24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1056</w:t>
            </w:r>
          </w:p>
        </w:tc>
      </w:tr>
      <w:tr w:rsidR="008B0D60" w14:paraId="384B7655" w14:textId="77777777" w:rsidTr="00221C39">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010" w:type="dxa"/>
            <w:vAlign w:val="center"/>
          </w:tcPr>
          <w:p w14:paraId="509C0AA1" w14:textId="77777777" w:rsidR="00666229" w:rsidRPr="00221C39" w:rsidRDefault="00666229" w:rsidP="001246FE">
            <w:pPr>
              <w:pStyle w:val="Texto"/>
              <w:spacing w:after="240" w:line="240" w:lineRule="auto"/>
              <w:jc w:val="center"/>
              <w:rPr>
                <w:rFonts w:ascii="ITC Avant Garde" w:eastAsiaTheme="minorHAnsi" w:hAnsi="ITC Avant Garde" w:cstheme="minorBidi"/>
                <w:sz w:val="22"/>
                <w:szCs w:val="22"/>
                <w:lang w:val="es-MX" w:eastAsia="en-US"/>
              </w:rPr>
            </w:pPr>
            <w:r w:rsidRPr="00221C39">
              <w:rPr>
                <w:rFonts w:ascii="ITC Avant Garde" w:eastAsiaTheme="minorHAnsi" w:hAnsi="ITC Avant Garde" w:cstheme="minorBidi"/>
                <w:sz w:val="22"/>
                <w:szCs w:val="22"/>
                <w:lang w:val="es-MX" w:eastAsia="en-US"/>
              </w:rPr>
              <w:t>2019</w:t>
            </w:r>
          </w:p>
        </w:tc>
        <w:tc>
          <w:tcPr>
            <w:tcW w:w="2671" w:type="dxa"/>
            <w:vAlign w:val="center"/>
          </w:tcPr>
          <w:p w14:paraId="0D50ACF7"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enero-marzo</w:t>
            </w:r>
          </w:p>
        </w:tc>
        <w:tc>
          <w:tcPr>
            <w:tcW w:w="1988" w:type="dxa"/>
            <w:vAlign w:val="center"/>
          </w:tcPr>
          <w:p w14:paraId="6B08377A" w14:textId="77777777" w:rsidR="00666229" w:rsidRPr="005536D5" w:rsidRDefault="00666229" w:rsidP="001246FE">
            <w:pPr>
              <w:pStyle w:val="Texto"/>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Portabilidad</w:t>
            </w:r>
          </w:p>
        </w:tc>
        <w:tc>
          <w:tcPr>
            <w:tcW w:w="1012" w:type="dxa"/>
            <w:vAlign w:val="center"/>
          </w:tcPr>
          <w:p w14:paraId="3545228E" w14:textId="77777777" w:rsidR="00666229" w:rsidRPr="005536D5" w:rsidRDefault="00666229" w:rsidP="001246FE">
            <w:pPr>
              <w:pStyle w:val="Texto"/>
              <w:keepNext/>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szCs w:val="20"/>
                <w:lang w:val="es-MX" w:eastAsia="en-US"/>
              </w:rPr>
            </w:pPr>
            <w:r w:rsidRPr="005536D5">
              <w:rPr>
                <w:rFonts w:ascii="ITC Avant Garde" w:eastAsiaTheme="minorHAnsi" w:hAnsi="ITC Avant Garde" w:cstheme="minorBidi"/>
                <w:sz w:val="20"/>
                <w:szCs w:val="20"/>
                <w:lang w:val="es-MX" w:eastAsia="en-US"/>
              </w:rPr>
              <w:t>1020</w:t>
            </w:r>
          </w:p>
        </w:tc>
      </w:tr>
    </w:tbl>
    <w:p w14:paraId="42075F10" w14:textId="1A251E8A" w:rsidR="00666229" w:rsidRDefault="00666229" w:rsidP="001246FE">
      <w:pPr>
        <w:pStyle w:val="Descripcin"/>
        <w:jc w:val="center"/>
        <w:rPr>
          <w:rFonts w:ascii="ITC Avant Garde" w:hAnsi="ITC Avant Garde"/>
          <w:color w:val="auto"/>
          <w:sz w:val="16"/>
        </w:rPr>
      </w:pPr>
      <w:r w:rsidRPr="001246FE">
        <w:rPr>
          <w:rFonts w:ascii="ITC Avant Garde" w:hAnsi="ITC Avant Garde"/>
          <w:b/>
          <w:color w:val="auto"/>
          <w:sz w:val="16"/>
        </w:rPr>
        <w:t xml:space="preserve">Tabla </w:t>
      </w:r>
      <w:r w:rsidRPr="001246FE">
        <w:rPr>
          <w:rFonts w:ascii="ITC Avant Garde" w:hAnsi="ITC Avant Garde"/>
          <w:b/>
          <w:color w:val="auto"/>
          <w:sz w:val="16"/>
        </w:rPr>
        <w:fldChar w:fldCharType="begin"/>
      </w:r>
      <w:r w:rsidRPr="001246FE">
        <w:rPr>
          <w:rFonts w:ascii="ITC Avant Garde" w:hAnsi="ITC Avant Garde"/>
          <w:b/>
          <w:color w:val="auto"/>
          <w:sz w:val="16"/>
        </w:rPr>
        <w:instrText xml:space="preserve"> SEQ Tabla \* ARABIC </w:instrText>
      </w:r>
      <w:r w:rsidRPr="001246FE">
        <w:rPr>
          <w:rFonts w:ascii="ITC Avant Garde" w:hAnsi="ITC Avant Garde"/>
          <w:b/>
          <w:color w:val="auto"/>
          <w:sz w:val="16"/>
        </w:rPr>
        <w:fldChar w:fldCharType="separate"/>
      </w:r>
      <w:r w:rsidR="00070F54">
        <w:rPr>
          <w:rFonts w:ascii="ITC Avant Garde" w:hAnsi="ITC Avant Garde"/>
          <w:b/>
          <w:noProof/>
          <w:color w:val="auto"/>
          <w:sz w:val="16"/>
        </w:rPr>
        <w:t>1</w:t>
      </w:r>
      <w:r w:rsidRPr="001246FE">
        <w:rPr>
          <w:rFonts w:ascii="ITC Avant Garde" w:hAnsi="ITC Avant Garde"/>
          <w:b/>
          <w:color w:val="auto"/>
          <w:sz w:val="16"/>
        </w:rPr>
        <w:fldChar w:fldCharType="end"/>
      </w:r>
      <w:r w:rsidRPr="001246FE">
        <w:rPr>
          <w:rFonts w:ascii="ITC Avant Garde" w:hAnsi="ITC Avant Garde"/>
          <w:b/>
          <w:color w:val="auto"/>
          <w:sz w:val="16"/>
        </w:rPr>
        <w:t>.</w:t>
      </w:r>
      <w:r w:rsidRPr="001246FE">
        <w:rPr>
          <w:rFonts w:ascii="ITC Avant Garde" w:hAnsi="ITC Avant Garde"/>
          <w:color w:val="auto"/>
          <w:sz w:val="16"/>
        </w:rPr>
        <w:t xml:space="preserve"> Inconformidades report</w:t>
      </w:r>
      <w:r w:rsidR="00720C6C">
        <w:rPr>
          <w:rFonts w:ascii="ITC Avant Garde" w:hAnsi="ITC Avant Garde"/>
          <w:color w:val="auto"/>
          <w:sz w:val="16"/>
        </w:rPr>
        <w:t>adas con motivo de portabilidad</w:t>
      </w:r>
      <w:r w:rsidRPr="001246FE">
        <w:rPr>
          <w:rFonts w:ascii="ITC Avant Garde" w:hAnsi="ITC Avant Garde"/>
          <w:color w:val="auto"/>
          <w:sz w:val="16"/>
        </w:rPr>
        <w:t>.</w:t>
      </w:r>
    </w:p>
    <w:p w14:paraId="2FD6CDE4" w14:textId="77777777" w:rsidR="00666229" w:rsidRPr="002B68C7" w:rsidRDefault="00666229" w:rsidP="00666229">
      <w:pPr>
        <w:rPr>
          <w:rFonts w:ascii="ITC Avant Garde" w:hAnsi="ITC Avant Garde"/>
          <w:sz w:val="16"/>
          <w:szCs w:val="16"/>
        </w:rPr>
      </w:pPr>
      <w:r w:rsidRPr="002B68C7">
        <w:rPr>
          <w:rFonts w:ascii="ITC Avant Garde" w:hAnsi="ITC Avant Garde"/>
          <w:sz w:val="16"/>
          <w:szCs w:val="16"/>
        </w:rPr>
        <w:t xml:space="preserve">Fuente: </w:t>
      </w:r>
      <w:r>
        <w:rPr>
          <w:rFonts w:ascii="ITC Avant Garde" w:hAnsi="ITC Avant Garde"/>
          <w:sz w:val="16"/>
          <w:szCs w:val="16"/>
        </w:rPr>
        <w:t>E</w:t>
      </w:r>
      <w:r w:rsidRPr="002B68C7">
        <w:rPr>
          <w:rFonts w:ascii="ITC Avant Garde" w:hAnsi="ITC Avant Garde"/>
          <w:sz w:val="16"/>
          <w:szCs w:val="16"/>
        </w:rPr>
        <w:t>laboración propia con información del Instituto, informes estadísticos “Soy Usuario”.</w:t>
      </w:r>
    </w:p>
    <w:p w14:paraId="5EA57EF0" w14:textId="77777777" w:rsidR="00666229" w:rsidRDefault="00666229" w:rsidP="001246FE">
      <w:pPr>
        <w:rPr>
          <w:lang w:val="es-MX"/>
        </w:rPr>
      </w:pPr>
    </w:p>
    <w:p w14:paraId="0E03B899" w14:textId="77777777" w:rsidR="00666229" w:rsidRDefault="00AA31BF" w:rsidP="001246FE">
      <w:pPr>
        <w:keepNext/>
        <w:jc w:val="center"/>
      </w:pPr>
      <w:r>
        <w:rPr>
          <w:noProof/>
          <w:lang w:val="es-MX" w:eastAsia="es-MX"/>
        </w:rPr>
        <w:drawing>
          <wp:inline distT="0" distB="0" distL="0" distR="0" wp14:anchorId="52553133" wp14:editId="294D50FD">
            <wp:extent cx="4584700" cy="27559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FCD7F47" w14:textId="77777777" w:rsidR="009A2302" w:rsidRPr="001246FE" w:rsidRDefault="003012E3" w:rsidP="009A2302">
      <w:pPr>
        <w:pStyle w:val="Descripcin"/>
        <w:jc w:val="center"/>
        <w:rPr>
          <w:rFonts w:ascii="ITC Avant Garde" w:hAnsi="ITC Avant Garde"/>
          <w:color w:val="auto"/>
          <w:sz w:val="16"/>
        </w:rPr>
      </w:pPr>
      <w:r>
        <w:rPr>
          <w:rFonts w:ascii="ITC Avant Garde" w:hAnsi="ITC Avant Garde"/>
          <w:b/>
          <w:color w:val="auto"/>
          <w:sz w:val="16"/>
        </w:rPr>
        <w:t>Gráfica 1</w:t>
      </w:r>
      <w:r w:rsidR="009A2302" w:rsidRPr="001246FE">
        <w:rPr>
          <w:rFonts w:ascii="ITC Avant Garde" w:hAnsi="ITC Avant Garde"/>
          <w:b/>
          <w:color w:val="auto"/>
          <w:sz w:val="16"/>
        </w:rPr>
        <w:t>.</w:t>
      </w:r>
      <w:r w:rsidR="009A2302" w:rsidRPr="001246FE">
        <w:rPr>
          <w:rFonts w:ascii="ITC Avant Garde" w:hAnsi="ITC Avant Garde"/>
          <w:color w:val="auto"/>
          <w:sz w:val="16"/>
        </w:rPr>
        <w:t xml:space="preserve"> Inconformidades reportadas con motivo de portabilidad.</w:t>
      </w:r>
    </w:p>
    <w:p w14:paraId="49989B63" w14:textId="77777777" w:rsidR="00666229" w:rsidRDefault="00666229" w:rsidP="00666229">
      <w:pPr>
        <w:pStyle w:val="Texto"/>
        <w:spacing w:after="240" w:line="240" w:lineRule="auto"/>
        <w:ind w:firstLine="0"/>
        <w:rPr>
          <w:rFonts w:ascii="ITC Avant Garde" w:eastAsiaTheme="minorHAnsi" w:hAnsi="ITC Avant Garde" w:cstheme="minorBidi"/>
          <w:lang w:val="es-MX" w:eastAsia="en-US"/>
        </w:rPr>
      </w:pPr>
      <w:r w:rsidRPr="002B68C7">
        <w:rPr>
          <w:rFonts w:ascii="ITC Avant Garde" w:hAnsi="ITC Avant Garde"/>
          <w:sz w:val="16"/>
          <w:szCs w:val="16"/>
        </w:rPr>
        <w:t xml:space="preserve">Fuente: </w:t>
      </w:r>
      <w:r>
        <w:rPr>
          <w:rFonts w:ascii="ITC Avant Garde" w:hAnsi="ITC Avant Garde"/>
          <w:sz w:val="16"/>
          <w:szCs w:val="16"/>
        </w:rPr>
        <w:t>E</w:t>
      </w:r>
      <w:r w:rsidRPr="002B68C7">
        <w:rPr>
          <w:rFonts w:ascii="ITC Avant Garde" w:hAnsi="ITC Avant Garde"/>
          <w:sz w:val="16"/>
          <w:szCs w:val="16"/>
        </w:rPr>
        <w:t>laboración propia con información del Instituto, informes estadísticos “Soy Usuario”.</w:t>
      </w:r>
    </w:p>
    <w:p w14:paraId="7E8E0193" w14:textId="4957BEBE" w:rsidR="00ED2392" w:rsidRDefault="00ED2392" w:rsidP="00041E73">
      <w:pPr>
        <w:jc w:val="both"/>
        <w:rPr>
          <w:rFonts w:ascii="ITC Avant Garde" w:eastAsiaTheme="minorHAnsi" w:hAnsi="ITC Avant Garde"/>
          <w:sz w:val="22"/>
          <w:szCs w:val="22"/>
          <w:lang w:val="es-MX"/>
        </w:rPr>
      </w:pPr>
      <w:r w:rsidRPr="00041E73">
        <w:rPr>
          <w:rFonts w:ascii="ITC Avant Garde" w:eastAsiaTheme="minorHAnsi" w:hAnsi="ITC Avant Garde"/>
          <w:sz w:val="22"/>
          <w:szCs w:val="22"/>
          <w:lang w:val="es-MX"/>
        </w:rPr>
        <w:t xml:space="preserve">Dicho incremento de inconformidades se concentra principalmente en aquellas que fueron ingresadas con motivo de portaciones de números ejecutadas sin el consentimiento del </w:t>
      </w:r>
      <w:r w:rsidR="00C64298">
        <w:rPr>
          <w:rFonts w:ascii="ITC Avant Garde" w:eastAsiaTheme="minorHAnsi" w:hAnsi="ITC Avant Garde"/>
          <w:sz w:val="22"/>
          <w:szCs w:val="22"/>
          <w:lang w:val="es-MX"/>
        </w:rPr>
        <w:t>u</w:t>
      </w:r>
      <w:r w:rsidRPr="00041E73">
        <w:rPr>
          <w:rFonts w:ascii="ITC Avant Garde" w:eastAsiaTheme="minorHAnsi" w:hAnsi="ITC Avant Garde"/>
          <w:sz w:val="22"/>
          <w:szCs w:val="22"/>
          <w:lang w:val="es-MX"/>
        </w:rPr>
        <w:t>suario. En</w:t>
      </w:r>
      <w:r w:rsidR="00811C6F">
        <w:rPr>
          <w:rFonts w:ascii="ITC Avant Garde" w:eastAsiaTheme="minorHAnsi" w:hAnsi="ITC Avant Garde"/>
          <w:sz w:val="22"/>
          <w:szCs w:val="22"/>
          <w:lang w:val="es-MX"/>
        </w:rPr>
        <w:t xml:space="preserve"> el año</w:t>
      </w:r>
      <w:r w:rsidR="002742FA">
        <w:rPr>
          <w:rFonts w:ascii="ITC Avant Garde" w:eastAsiaTheme="minorHAnsi" w:hAnsi="ITC Avant Garde"/>
          <w:sz w:val="22"/>
          <w:szCs w:val="22"/>
          <w:lang w:val="es-MX"/>
        </w:rPr>
        <w:t xml:space="preserve"> 20</w:t>
      </w:r>
      <w:r w:rsidRPr="00041E73">
        <w:rPr>
          <w:rFonts w:ascii="ITC Avant Garde" w:eastAsiaTheme="minorHAnsi" w:hAnsi="ITC Avant Garde"/>
          <w:sz w:val="22"/>
          <w:szCs w:val="22"/>
          <w:lang w:val="es-MX"/>
        </w:rPr>
        <w:t>18</w:t>
      </w:r>
      <w:r w:rsidR="003811DD">
        <w:rPr>
          <w:rFonts w:ascii="ITC Avant Garde" w:eastAsiaTheme="minorHAnsi" w:hAnsi="ITC Avant Garde"/>
          <w:sz w:val="22"/>
          <w:szCs w:val="22"/>
          <w:lang w:val="es-MX"/>
        </w:rPr>
        <w:t xml:space="preserve"> </w:t>
      </w:r>
      <w:r w:rsidR="00811C6F">
        <w:rPr>
          <w:rFonts w:ascii="ITC Avant Garde" w:eastAsiaTheme="minorHAnsi" w:hAnsi="ITC Avant Garde"/>
          <w:sz w:val="22"/>
          <w:szCs w:val="22"/>
          <w:lang w:val="es-MX"/>
        </w:rPr>
        <w:t>se recibieron</w:t>
      </w:r>
      <w:r w:rsidR="003811DD">
        <w:rPr>
          <w:rFonts w:ascii="ITC Avant Garde" w:eastAsiaTheme="minorHAnsi" w:hAnsi="ITC Avant Garde"/>
          <w:sz w:val="22"/>
          <w:szCs w:val="22"/>
          <w:lang w:val="es-MX"/>
        </w:rPr>
        <w:t xml:space="preserve"> </w:t>
      </w:r>
      <w:r w:rsidR="00A7669A" w:rsidRPr="004F3FA6">
        <w:rPr>
          <w:rFonts w:ascii="ITC Avant Garde" w:eastAsiaTheme="minorHAnsi" w:hAnsi="ITC Avant Garde"/>
          <w:sz w:val="22"/>
          <w:szCs w:val="22"/>
          <w:lang w:val="es-MX"/>
        </w:rPr>
        <w:t>1</w:t>
      </w:r>
      <w:r w:rsidR="002B0D74">
        <w:rPr>
          <w:rFonts w:ascii="ITC Avant Garde" w:eastAsiaTheme="minorHAnsi" w:hAnsi="ITC Avant Garde"/>
          <w:sz w:val="22"/>
          <w:szCs w:val="22"/>
          <w:lang w:val="es-MX"/>
        </w:rPr>
        <w:t xml:space="preserve"> </w:t>
      </w:r>
      <w:r w:rsidR="00A7669A" w:rsidRPr="004F3FA6">
        <w:rPr>
          <w:rFonts w:ascii="ITC Avant Garde" w:eastAsiaTheme="minorHAnsi" w:hAnsi="ITC Avant Garde"/>
          <w:sz w:val="22"/>
          <w:szCs w:val="22"/>
          <w:lang w:val="es-MX"/>
        </w:rPr>
        <w:t>056 y</w:t>
      </w:r>
      <w:r w:rsidR="003811DD">
        <w:rPr>
          <w:rFonts w:ascii="ITC Avant Garde" w:eastAsiaTheme="minorHAnsi" w:hAnsi="ITC Avant Garde"/>
          <w:sz w:val="22"/>
          <w:szCs w:val="22"/>
          <w:lang w:val="es-MX"/>
        </w:rPr>
        <w:t xml:space="preserve"> </w:t>
      </w:r>
      <w:r w:rsidR="00811C6F">
        <w:rPr>
          <w:rFonts w:ascii="ITC Avant Garde" w:eastAsiaTheme="minorHAnsi" w:hAnsi="ITC Avant Garde"/>
          <w:sz w:val="22"/>
          <w:szCs w:val="22"/>
          <w:lang w:val="es-MX"/>
        </w:rPr>
        <w:t xml:space="preserve">en el primer trimestre del año 2019 se recibieron </w:t>
      </w:r>
      <w:r w:rsidR="00A7669A" w:rsidRPr="004F3FA6">
        <w:rPr>
          <w:rFonts w:ascii="ITC Avant Garde" w:eastAsiaTheme="minorHAnsi" w:hAnsi="ITC Avant Garde"/>
          <w:sz w:val="22"/>
          <w:szCs w:val="22"/>
          <w:lang w:val="es-MX"/>
        </w:rPr>
        <w:t>1</w:t>
      </w:r>
      <w:r w:rsidR="002B0D74">
        <w:rPr>
          <w:rFonts w:ascii="ITC Avant Garde" w:eastAsiaTheme="minorHAnsi" w:hAnsi="ITC Avant Garde"/>
          <w:sz w:val="22"/>
          <w:szCs w:val="22"/>
          <w:lang w:val="es-MX"/>
        </w:rPr>
        <w:t xml:space="preserve"> </w:t>
      </w:r>
      <w:r w:rsidR="00A7669A" w:rsidRPr="004F3FA6">
        <w:rPr>
          <w:rFonts w:ascii="ITC Avant Garde" w:eastAsiaTheme="minorHAnsi" w:hAnsi="ITC Avant Garde"/>
          <w:sz w:val="22"/>
          <w:szCs w:val="22"/>
          <w:lang w:val="es-MX"/>
        </w:rPr>
        <w:t xml:space="preserve">020 </w:t>
      </w:r>
      <w:r w:rsidRPr="00041E73">
        <w:rPr>
          <w:rFonts w:ascii="ITC Avant Garde" w:eastAsiaTheme="minorHAnsi" w:hAnsi="ITC Avant Garde"/>
          <w:sz w:val="22"/>
          <w:szCs w:val="22"/>
          <w:lang w:val="es-MX"/>
        </w:rPr>
        <w:t>inconformidades</w:t>
      </w:r>
      <w:r w:rsidR="00811C6F">
        <w:rPr>
          <w:rFonts w:ascii="ITC Avant Garde" w:eastAsiaTheme="minorHAnsi" w:hAnsi="ITC Avant Garde"/>
          <w:sz w:val="22"/>
          <w:szCs w:val="22"/>
          <w:lang w:val="es-MX"/>
        </w:rPr>
        <w:t xml:space="preserve"> de portaciones sin consentimiento</w:t>
      </w:r>
      <w:r w:rsidR="00666229">
        <w:rPr>
          <w:rFonts w:ascii="ITC Avant Garde" w:eastAsiaTheme="minorHAnsi" w:hAnsi="ITC Avant Garde"/>
          <w:sz w:val="22"/>
          <w:szCs w:val="22"/>
          <w:lang w:val="es-MX"/>
        </w:rPr>
        <w:t xml:space="preserve">, </w:t>
      </w:r>
      <w:r w:rsidRPr="00041E73">
        <w:rPr>
          <w:rFonts w:ascii="ITC Avant Garde" w:eastAsiaTheme="minorHAnsi" w:hAnsi="ITC Avant Garde"/>
          <w:sz w:val="22"/>
          <w:szCs w:val="22"/>
          <w:lang w:val="es-MX"/>
        </w:rPr>
        <w:t xml:space="preserve">frente a </w:t>
      </w:r>
      <w:r w:rsidR="00A7669A" w:rsidRPr="004F3FA6">
        <w:rPr>
          <w:rFonts w:ascii="ITC Avant Garde" w:eastAsiaTheme="minorHAnsi" w:hAnsi="ITC Avant Garde"/>
          <w:sz w:val="22"/>
          <w:szCs w:val="22"/>
          <w:lang w:val="es-MX"/>
        </w:rPr>
        <w:t>271</w:t>
      </w:r>
      <w:r w:rsidRPr="00041E73">
        <w:rPr>
          <w:rFonts w:ascii="ITC Avant Garde" w:eastAsiaTheme="minorHAnsi" w:hAnsi="ITC Avant Garde"/>
          <w:sz w:val="22"/>
          <w:szCs w:val="22"/>
          <w:lang w:val="es-MX"/>
        </w:rPr>
        <w:t xml:space="preserve"> recibidas en el año 2017</w:t>
      </w:r>
      <w:r w:rsidR="00666229">
        <w:rPr>
          <w:rFonts w:ascii="ITC Avant Garde" w:eastAsiaTheme="minorHAnsi" w:hAnsi="ITC Avant Garde"/>
          <w:sz w:val="22"/>
          <w:szCs w:val="22"/>
          <w:lang w:val="es-MX"/>
        </w:rPr>
        <w:t>.</w:t>
      </w:r>
    </w:p>
    <w:p w14:paraId="28DF51B9" w14:textId="77777777" w:rsidR="00ED2392" w:rsidRPr="005A2A4D" w:rsidRDefault="00ED2392" w:rsidP="001246FE">
      <w:pPr>
        <w:jc w:val="center"/>
        <w:rPr>
          <w:sz w:val="16"/>
          <w:szCs w:val="16"/>
        </w:rPr>
      </w:pPr>
    </w:p>
    <w:p w14:paraId="1A4F00A6" w14:textId="77777777" w:rsidR="005C776F" w:rsidRDefault="00ED2392" w:rsidP="005C776F">
      <w:pPr>
        <w:jc w:val="both"/>
        <w:rPr>
          <w:rFonts w:ascii="ITC Avant Garde" w:hAnsi="ITC Avant Garde"/>
          <w:sz w:val="22"/>
          <w:szCs w:val="22"/>
        </w:rPr>
      </w:pPr>
      <w:r w:rsidRPr="005A2A4D">
        <w:rPr>
          <w:rFonts w:ascii="ITC Avant Garde" w:hAnsi="ITC Avant Garde"/>
          <w:sz w:val="22"/>
          <w:szCs w:val="22"/>
        </w:rPr>
        <w:t xml:space="preserve">Para mitigar dicha problemática, en octubre de 2018 el Instituto publicó una serie de recomendaciones al </w:t>
      </w:r>
      <w:r w:rsidR="00C64298">
        <w:rPr>
          <w:rFonts w:ascii="ITC Avant Garde" w:hAnsi="ITC Avant Garde"/>
          <w:sz w:val="22"/>
          <w:szCs w:val="22"/>
        </w:rPr>
        <w:t>u</w:t>
      </w:r>
      <w:r w:rsidRPr="005A2A4D">
        <w:rPr>
          <w:rFonts w:ascii="ITC Avant Garde" w:hAnsi="ITC Avant Garde"/>
          <w:sz w:val="22"/>
          <w:szCs w:val="22"/>
        </w:rPr>
        <w:t xml:space="preserve">suario a través de </w:t>
      </w:r>
      <w:r w:rsidR="008D24B9">
        <w:rPr>
          <w:rFonts w:ascii="ITC Avant Garde" w:hAnsi="ITC Avant Garde"/>
          <w:sz w:val="22"/>
          <w:szCs w:val="22"/>
        </w:rPr>
        <w:t xml:space="preserve">la </w:t>
      </w:r>
      <w:r w:rsidRPr="005A2A4D">
        <w:rPr>
          <w:rFonts w:ascii="ITC Avant Garde" w:hAnsi="ITC Avant Garde"/>
          <w:sz w:val="22"/>
          <w:szCs w:val="22"/>
        </w:rPr>
        <w:t>herramienta</w:t>
      </w:r>
      <w:r w:rsidR="008D24B9">
        <w:rPr>
          <w:rFonts w:ascii="ITC Avant Garde" w:hAnsi="ITC Avant Garde"/>
          <w:sz w:val="22"/>
          <w:szCs w:val="22"/>
        </w:rPr>
        <w:t xml:space="preserve"> </w:t>
      </w:r>
      <w:r w:rsidR="008D24B9" w:rsidRPr="00041E73">
        <w:rPr>
          <w:rFonts w:ascii="ITC Avant Garde" w:eastAsiaTheme="minorHAnsi" w:hAnsi="ITC Avant Garde"/>
          <w:sz w:val="22"/>
          <w:szCs w:val="22"/>
          <w:lang w:val="es-MX"/>
        </w:rPr>
        <w:t>“Soy Usuario”</w:t>
      </w:r>
      <w:r w:rsidRPr="005A2A4D">
        <w:rPr>
          <w:rFonts w:ascii="ITC Avant Garde" w:hAnsi="ITC Avant Garde"/>
          <w:sz w:val="22"/>
          <w:szCs w:val="22"/>
        </w:rPr>
        <w:t xml:space="preserve">, las cuales indican cómo </w:t>
      </w:r>
      <w:r w:rsidR="001B27B4">
        <w:rPr>
          <w:rFonts w:ascii="ITC Avant Garde" w:hAnsi="ITC Avant Garde"/>
          <w:sz w:val="22"/>
          <w:szCs w:val="22"/>
        </w:rPr>
        <w:t xml:space="preserve">se </w:t>
      </w:r>
      <w:r w:rsidRPr="00A13B42">
        <w:rPr>
          <w:rFonts w:ascii="ITC Avant Garde" w:hAnsi="ITC Avant Garde"/>
          <w:sz w:val="22"/>
          <w:szCs w:val="22"/>
        </w:rPr>
        <w:t>debe actuar en caso de re</w:t>
      </w:r>
      <w:r w:rsidR="00EA5BFC">
        <w:rPr>
          <w:rFonts w:ascii="ITC Avant Garde" w:hAnsi="ITC Avant Garde"/>
          <w:sz w:val="22"/>
          <w:szCs w:val="22"/>
        </w:rPr>
        <w:t>cibir un mensaje con el NIP de C</w:t>
      </w:r>
      <w:r w:rsidRPr="00A13B42">
        <w:rPr>
          <w:rFonts w:ascii="ITC Avant Garde" w:hAnsi="ITC Avant Garde"/>
          <w:sz w:val="22"/>
          <w:szCs w:val="22"/>
        </w:rPr>
        <w:t>onfirmación de portabilidad sin haberlo solicitado.</w:t>
      </w:r>
    </w:p>
    <w:p w14:paraId="63D89CFF" w14:textId="04D0B19F" w:rsidR="005C776F" w:rsidRPr="005A2A4D" w:rsidRDefault="005C776F" w:rsidP="005C776F">
      <w:pPr>
        <w:jc w:val="both"/>
        <w:rPr>
          <w:rFonts w:ascii="ITC Avant Garde" w:hAnsi="ITC Avant Garde"/>
          <w:sz w:val="22"/>
          <w:szCs w:val="22"/>
        </w:rPr>
      </w:pPr>
    </w:p>
    <w:p w14:paraId="080BC16D" w14:textId="77777777" w:rsidR="005C776F" w:rsidRDefault="008D24B9" w:rsidP="00987D2F">
      <w:pPr>
        <w:jc w:val="both"/>
        <w:rPr>
          <w:rFonts w:ascii="ITC Avant Garde" w:hAnsi="ITC Avant Garde"/>
          <w:sz w:val="22"/>
          <w:szCs w:val="22"/>
        </w:rPr>
      </w:pPr>
      <w:r>
        <w:rPr>
          <w:rFonts w:ascii="ITC Avant Garde" w:hAnsi="ITC Avant Garde"/>
          <w:sz w:val="22"/>
          <w:szCs w:val="22"/>
        </w:rPr>
        <w:t>Asimismo,</w:t>
      </w:r>
      <w:r w:rsidR="00B948BF">
        <w:rPr>
          <w:rFonts w:ascii="ITC Avant Garde" w:hAnsi="ITC Avant Garde"/>
          <w:sz w:val="22"/>
          <w:szCs w:val="22"/>
        </w:rPr>
        <w:t xml:space="preserve"> ANATEL en el escrito </w:t>
      </w:r>
      <w:r w:rsidR="008F5F5B">
        <w:rPr>
          <w:rFonts w:ascii="ITC Avant Garde" w:hAnsi="ITC Avant Garde"/>
          <w:sz w:val="22"/>
          <w:szCs w:val="22"/>
        </w:rPr>
        <w:t xml:space="preserve">indicado </w:t>
      </w:r>
      <w:r w:rsidR="00B948BF">
        <w:rPr>
          <w:rFonts w:ascii="ITC Avant Garde" w:hAnsi="ITC Avant Garde"/>
          <w:sz w:val="22"/>
          <w:szCs w:val="22"/>
        </w:rPr>
        <w:t>en el Antecedente VII, señaló que l</w:t>
      </w:r>
      <w:r w:rsidR="009E5DB9" w:rsidRPr="009E5DB9">
        <w:rPr>
          <w:rFonts w:ascii="ITC Avant Garde" w:hAnsi="ITC Avant Garde"/>
          <w:sz w:val="22"/>
          <w:szCs w:val="22"/>
        </w:rPr>
        <w:t xml:space="preserve">as cifras del Proceso de Reversión </w:t>
      </w:r>
      <w:r w:rsidR="00B948BF">
        <w:rPr>
          <w:rFonts w:ascii="ITC Avant Garde" w:hAnsi="ITC Avant Garde"/>
          <w:sz w:val="22"/>
          <w:szCs w:val="22"/>
        </w:rPr>
        <w:t xml:space="preserve">realizados por el ABD </w:t>
      </w:r>
      <w:r w:rsidR="00B948BF" w:rsidRPr="009E5DB9">
        <w:rPr>
          <w:rFonts w:ascii="ITC Avant Garde" w:hAnsi="ITC Avant Garde"/>
          <w:sz w:val="22"/>
          <w:szCs w:val="22"/>
        </w:rPr>
        <w:t xml:space="preserve">para las líneas móviles </w:t>
      </w:r>
      <w:r w:rsidR="009E5DB9" w:rsidRPr="009E5DB9">
        <w:rPr>
          <w:rFonts w:ascii="ITC Avant Garde" w:hAnsi="ITC Avant Garde"/>
          <w:sz w:val="22"/>
          <w:szCs w:val="22"/>
        </w:rPr>
        <w:t>de</w:t>
      </w:r>
      <w:r w:rsidR="002F2A90">
        <w:rPr>
          <w:rFonts w:ascii="ITC Avant Garde" w:hAnsi="ITC Avant Garde"/>
          <w:sz w:val="22"/>
          <w:szCs w:val="22"/>
        </w:rPr>
        <w:t xml:space="preserve"> los </w:t>
      </w:r>
      <w:r w:rsidR="009E5DB9" w:rsidRPr="009E5DB9">
        <w:rPr>
          <w:rFonts w:ascii="ITC Avant Garde" w:hAnsi="ITC Avant Garde"/>
          <w:sz w:val="22"/>
          <w:szCs w:val="22"/>
        </w:rPr>
        <w:t>año</w:t>
      </w:r>
      <w:r w:rsidR="002F2A90">
        <w:rPr>
          <w:rFonts w:ascii="ITC Avant Garde" w:hAnsi="ITC Avant Garde"/>
          <w:sz w:val="22"/>
          <w:szCs w:val="22"/>
        </w:rPr>
        <w:t>s</w:t>
      </w:r>
      <w:r w:rsidR="009E5DB9" w:rsidRPr="009E5DB9">
        <w:rPr>
          <w:rFonts w:ascii="ITC Avant Garde" w:hAnsi="ITC Avant Garde"/>
          <w:sz w:val="22"/>
          <w:szCs w:val="22"/>
        </w:rPr>
        <w:t xml:space="preserve"> 2017 </w:t>
      </w:r>
      <w:r w:rsidR="00B948BF">
        <w:rPr>
          <w:rFonts w:ascii="ITC Avant Garde" w:hAnsi="ITC Avant Garde"/>
          <w:sz w:val="22"/>
          <w:szCs w:val="22"/>
        </w:rPr>
        <w:t xml:space="preserve">y </w:t>
      </w:r>
      <w:r w:rsidR="009E5DB9" w:rsidRPr="009E5DB9">
        <w:rPr>
          <w:rFonts w:ascii="ITC Avant Garde" w:hAnsi="ITC Avant Garde"/>
          <w:sz w:val="22"/>
          <w:szCs w:val="22"/>
        </w:rPr>
        <w:t xml:space="preserve">2018, </w:t>
      </w:r>
      <w:r w:rsidR="008F5F5B">
        <w:rPr>
          <w:rFonts w:ascii="ITC Avant Garde" w:hAnsi="ITC Avant Garde"/>
          <w:sz w:val="22"/>
          <w:szCs w:val="22"/>
        </w:rPr>
        <w:t>muestran</w:t>
      </w:r>
      <w:r w:rsidR="008F5F5B" w:rsidRPr="009E5DB9">
        <w:rPr>
          <w:rFonts w:ascii="ITC Avant Garde" w:hAnsi="ITC Avant Garde"/>
          <w:sz w:val="22"/>
          <w:szCs w:val="22"/>
        </w:rPr>
        <w:t xml:space="preserve"> </w:t>
      </w:r>
      <w:r w:rsidR="009E5DB9" w:rsidRPr="009E5DB9">
        <w:rPr>
          <w:rFonts w:ascii="ITC Avant Garde" w:hAnsi="ITC Avant Garde"/>
          <w:sz w:val="22"/>
          <w:szCs w:val="22"/>
        </w:rPr>
        <w:t xml:space="preserve">un considerable aumento de solicitudes de </w:t>
      </w:r>
      <w:r w:rsidR="009E5DB9" w:rsidRPr="009E5DB9">
        <w:rPr>
          <w:rFonts w:ascii="ITC Avant Garde" w:hAnsi="ITC Avant Garde"/>
          <w:sz w:val="22"/>
          <w:szCs w:val="22"/>
        </w:rPr>
        <w:lastRenderedPageBreak/>
        <w:t>reversión</w:t>
      </w:r>
      <w:r w:rsidR="00D150A0">
        <w:rPr>
          <w:rFonts w:ascii="ITC Avant Garde" w:hAnsi="ITC Avant Garde"/>
          <w:sz w:val="22"/>
          <w:szCs w:val="22"/>
        </w:rPr>
        <w:t xml:space="preserve"> </w:t>
      </w:r>
      <w:r w:rsidR="00D150A0" w:rsidRPr="008C25BD">
        <w:rPr>
          <w:rFonts w:ascii="ITC Avant Garde" w:hAnsi="ITC Avant Garde"/>
          <w:sz w:val="22"/>
          <w:szCs w:val="22"/>
        </w:rPr>
        <w:t xml:space="preserve">(ver </w:t>
      </w:r>
      <w:r w:rsidR="00AA31BF">
        <w:rPr>
          <w:rFonts w:ascii="ITC Avant Garde" w:hAnsi="ITC Avant Garde"/>
          <w:sz w:val="22"/>
          <w:szCs w:val="22"/>
        </w:rPr>
        <w:t>G</w:t>
      </w:r>
      <w:r w:rsidR="00D150A0" w:rsidRPr="008C25BD">
        <w:rPr>
          <w:rFonts w:ascii="ITC Avant Garde" w:hAnsi="ITC Avant Garde"/>
          <w:sz w:val="22"/>
          <w:szCs w:val="22"/>
        </w:rPr>
        <w:t xml:space="preserve">ráfica </w:t>
      </w:r>
      <w:r w:rsidR="00FC00B5" w:rsidRPr="008C25BD">
        <w:rPr>
          <w:rFonts w:ascii="ITC Avant Garde" w:hAnsi="ITC Avant Garde"/>
          <w:sz w:val="22"/>
          <w:szCs w:val="22"/>
        </w:rPr>
        <w:t>2</w:t>
      </w:r>
      <w:r w:rsidR="00D150A0" w:rsidRPr="008C25BD">
        <w:rPr>
          <w:rFonts w:ascii="ITC Avant Garde" w:hAnsi="ITC Avant Garde"/>
          <w:sz w:val="22"/>
          <w:szCs w:val="22"/>
        </w:rPr>
        <w:t>)</w:t>
      </w:r>
      <w:r w:rsidR="00B948BF" w:rsidRPr="008C25BD">
        <w:rPr>
          <w:rFonts w:ascii="ITC Avant Garde" w:hAnsi="ITC Avant Garde"/>
          <w:sz w:val="22"/>
          <w:szCs w:val="22"/>
        </w:rPr>
        <w:t>, desta</w:t>
      </w:r>
      <w:r w:rsidR="007A7C34">
        <w:rPr>
          <w:rFonts w:ascii="ITC Avant Garde" w:hAnsi="ITC Avant Garde"/>
          <w:sz w:val="22"/>
          <w:szCs w:val="22"/>
        </w:rPr>
        <w:t>cando</w:t>
      </w:r>
      <w:r w:rsidR="00B948BF" w:rsidRPr="008C25BD">
        <w:rPr>
          <w:rFonts w:ascii="ITC Avant Garde" w:hAnsi="ITC Avant Garde"/>
          <w:sz w:val="22"/>
          <w:szCs w:val="22"/>
        </w:rPr>
        <w:t xml:space="preserve"> que</w:t>
      </w:r>
      <w:r w:rsidR="009E5DB9" w:rsidRPr="009E5DB9">
        <w:rPr>
          <w:rFonts w:ascii="ITC Avant Garde" w:hAnsi="ITC Avant Garde"/>
          <w:sz w:val="22"/>
          <w:szCs w:val="22"/>
        </w:rPr>
        <w:t xml:space="preserve">, la principal causa de dichos procesos ha derivado de solicitudes de </w:t>
      </w:r>
      <w:r w:rsidR="00C64298">
        <w:rPr>
          <w:rFonts w:ascii="ITC Avant Garde" w:hAnsi="ITC Avant Garde"/>
          <w:sz w:val="22"/>
          <w:szCs w:val="22"/>
        </w:rPr>
        <w:t>u</w:t>
      </w:r>
      <w:r w:rsidR="009E5DB9" w:rsidRPr="009E5DB9">
        <w:rPr>
          <w:rFonts w:ascii="ITC Avant Garde" w:hAnsi="ITC Avant Garde"/>
          <w:sz w:val="22"/>
          <w:szCs w:val="22"/>
        </w:rPr>
        <w:t>suarios móviles que acudieron ante el Proveedor Donador sustentando que la portabilidad se llevó a cabo sin su consentimiento.</w:t>
      </w:r>
    </w:p>
    <w:p w14:paraId="46081D75" w14:textId="77777777" w:rsidR="009E5DB9" w:rsidRPr="005A2A4D" w:rsidRDefault="009E5DB9" w:rsidP="005A2A4D">
      <w:pPr>
        <w:jc w:val="both"/>
        <w:rPr>
          <w:rFonts w:ascii="ITC Avant Garde" w:hAnsi="ITC Avant Garde"/>
          <w:sz w:val="22"/>
          <w:szCs w:val="22"/>
        </w:rPr>
      </w:pPr>
    </w:p>
    <w:p w14:paraId="405EE772" w14:textId="77777777" w:rsidR="00217473" w:rsidRPr="003F7210" w:rsidRDefault="00217473" w:rsidP="003F7210">
      <w:pPr>
        <w:pStyle w:val="Texto"/>
        <w:keepNext/>
        <w:spacing w:after="240" w:line="240" w:lineRule="auto"/>
        <w:ind w:firstLine="0"/>
        <w:jc w:val="center"/>
      </w:pPr>
      <w:r w:rsidRPr="003F7210">
        <w:rPr>
          <w:noProof/>
          <w:lang w:val="es-MX" w:eastAsia="es-MX"/>
        </w:rPr>
        <w:drawing>
          <wp:inline distT="0" distB="0" distL="0" distR="0" wp14:anchorId="1628BD20" wp14:editId="33EC257B">
            <wp:extent cx="4519914" cy="2349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7266" cy="2368916"/>
                    </a:xfrm>
                    <a:prstGeom prst="rect">
                      <a:avLst/>
                    </a:prstGeom>
                    <a:noFill/>
                  </pic:spPr>
                </pic:pic>
              </a:graphicData>
            </a:graphic>
          </wp:inline>
        </w:drawing>
      </w:r>
    </w:p>
    <w:p w14:paraId="13E1E75E" w14:textId="77777777" w:rsidR="009A2302" w:rsidRPr="003F7210" w:rsidRDefault="009A2302" w:rsidP="009A2302">
      <w:pPr>
        <w:pStyle w:val="Descripcin"/>
        <w:jc w:val="center"/>
        <w:rPr>
          <w:rFonts w:ascii="ITC Avant Garde" w:hAnsi="ITC Avant Garde"/>
          <w:color w:val="auto"/>
          <w:sz w:val="16"/>
        </w:rPr>
      </w:pPr>
      <w:r w:rsidRPr="003F7210">
        <w:rPr>
          <w:rFonts w:ascii="ITC Avant Garde" w:hAnsi="ITC Avant Garde"/>
          <w:b/>
          <w:color w:val="auto"/>
          <w:sz w:val="16"/>
        </w:rPr>
        <w:t xml:space="preserve">Gráfica </w:t>
      </w:r>
      <w:r w:rsidR="003012E3">
        <w:rPr>
          <w:rFonts w:ascii="ITC Avant Garde" w:hAnsi="ITC Avant Garde"/>
          <w:b/>
          <w:color w:val="auto"/>
          <w:sz w:val="16"/>
        </w:rPr>
        <w:t>2</w:t>
      </w:r>
      <w:r w:rsidRPr="003F7210">
        <w:rPr>
          <w:rFonts w:ascii="ITC Avant Garde" w:hAnsi="ITC Avant Garde"/>
          <w:b/>
          <w:color w:val="auto"/>
          <w:sz w:val="16"/>
        </w:rPr>
        <w:t xml:space="preserve">. </w:t>
      </w:r>
      <w:r w:rsidRPr="003F7210">
        <w:rPr>
          <w:rFonts w:ascii="ITC Avant Garde" w:hAnsi="ITC Avant Garde"/>
          <w:color w:val="auto"/>
          <w:sz w:val="16"/>
        </w:rPr>
        <w:t>Estadísticas de reversiones de portabilidad.</w:t>
      </w:r>
    </w:p>
    <w:p w14:paraId="5C75CAA7" w14:textId="77777777" w:rsidR="00D150A0" w:rsidRPr="003F7210" w:rsidRDefault="00D150A0" w:rsidP="003F7210">
      <w:pPr>
        <w:pStyle w:val="Descripcin"/>
        <w:contextualSpacing/>
        <w:rPr>
          <w:rFonts w:ascii="ITC Avant Garde" w:eastAsia="Calibri" w:hAnsi="ITC Avant Garde" w:cs="Arial"/>
          <w:i w:val="0"/>
          <w:color w:val="auto"/>
          <w:sz w:val="16"/>
        </w:rPr>
      </w:pPr>
      <w:r w:rsidRPr="003F7210">
        <w:rPr>
          <w:rFonts w:ascii="ITC Avant Garde" w:hAnsi="ITC Avant Garde"/>
          <w:i w:val="0"/>
          <w:color w:val="auto"/>
          <w:sz w:val="16"/>
        </w:rPr>
        <w:t xml:space="preserve">Fuente: </w:t>
      </w:r>
      <w:r w:rsidR="00B948BF" w:rsidRPr="003F7210">
        <w:rPr>
          <w:rFonts w:ascii="ITC Avant Garde" w:hAnsi="ITC Avant Garde"/>
          <w:i w:val="0"/>
          <w:color w:val="auto"/>
          <w:sz w:val="16"/>
        </w:rPr>
        <w:t>ANATEL</w:t>
      </w:r>
      <w:r w:rsidRPr="003F7210">
        <w:rPr>
          <w:rFonts w:ascii="ITC Avant Garde" w:hAnsi="ITC Avant Garde"/>
          <w:i w:val="0"/>
          <w:color w:val="auto"/>
          <w:sz w:val="16"/>
        </w:rPr>
        <w:t>.</w:t>
      </w:r>
    </w:p>
    <w:p w14:paraId="2DEC49C7" w14:textId="77777777" w:rsidR="00ED2392" w:rsidRPr="005A2A4D" w:rsidRDefault="002F2A90" w:rsidP="00ED2392">
      <w:pPr>
        <w:pStyle w:val="Texto"/>
        <w:spacing w:after="240" w:line="240" w:lineRule="auto"/>
        <w:ind w:firstLine="0"/>
        <w:rPr>
          <w:rFonts w:ascii="ITC Avant Garde" w:eastAsiaTheme="minorEastAsia" w:hAnsi="ITC Avant Garde" w:cstheme="minorBidi"/>
          <w:sz w:val="22"/>
          <w:szCs w:val="22"/>
          <w:lang w:val="es-ES_tradnl" w:eastAsia="en-US"/>
        </w:rPr>
      </w:pPr>
      <w:r>
        <w:rPr>
          <w:rFonts w:ascii="ITC Avant Garde" w:eastAsiaTheme="minorEastAsia" w:hAnsi="ITC Avant Garde" w:cstheme="minorBidi"/>
          <w:sz w:val="22"/>
          <w:szCs w:val="22"/>
          <w:lang w:val="es-ES_tradnl" w:eastAsia="en-US"/>
        </w:rPr>
        <w:t>Continúa señalando ANATEL que e</w:t>
      </w:r>
      <w:r w:rsidR="00ED2392" w:rsidRPr="005A2A4D">
        <w:rPr>
          <w:rFonts w:ascii="ITC Avant Garde" w:eastAsiaTheme="minorEastAsia" w:hAnsi="ITC Avant Garde" w:cstheme="minorBidi"/>
          <w:sz w:val="22"/>
          <w:szCs w:val="22"/>
          <w:lang w:val="es-ES_tradnl" w:eastAsia="en-US"/>
        </w:rPr>
        <w:t xml:space="preserve">n la </w:t>
      </w:r>
      <w:r w:rsidR="00AA31BF">
        <w:rPr>
          <w:rFonts w:ascii="ITC Avant Garde" w:eastAsiaTheme="minorEastAsia" w:hAnsi="ITC Avant Garde" w:cstheme="minorBidi"/>
          <w:sz w:val="22"/>
          <w:szCs w:val="22"/>
          <w:lang w:val="es-ES_tradnl" w:eastAsia="en-US"/>
        </w:rPr>
        <w:t>G</w:t>
      </w:r>
      <w:r w:rsidR="00BC167D">
        <w:rPr>
          <w:rFonts w:ascii="ITC Avant Garde" w:eastAsiaTheme="minorEastAsia" w:hAnsi="ITC Avant Garde" w:cstheme="minorBidi"/>
          <w:sz w:val="22"/>
          <w:szCs w:val="22"/>
          <w:lang w:val="es-ES_tradnl" w:eastAsia="en-US"/>
        </w:rPr>
        <w:t>ráfica 2</w:t>
      </w:r>
      <w:r w:rsidR="00ED2392" w:rsidRPr="005A2A4D">
        <w:rPr>
          <w:rFonts w:ascii="ITC Avant Garde" w:eastAsiaTheme="minorEastAsia" w:hAnsi="ITC Avant Garde" w:cstheme="minorBidi"/>
          <w:sz w:val="22"/>
          <w:szCs w:val="22"/>
          <w:lang w:val="es-ES_tradnl" w:eastAsia="en-US"/>
        </w:rPr>
        <w:t xml:space="preserve">, se aprecia que en los meses de septiembre y octubre de 2017 existe un leve decremento en las solicitudes de reversión; lo anterior debido a que los operadores móviles y el Instituto, lanzaron por su cuenta campañas publicitarias alertando a los </w:t>
      </w:r>
      <w:r w:rsidR="00C64298">
        <w:rPr>
          <w:rFonts w:ascii="ITC Avant Garde" w:eastAsiaTheme="minorEastAsia" w:hAnsi="ITC Avant Garde" w:cstheme="minorBidi"/>
          <w:sz w:val="22"/>
          <w:szCs w:val="22"/>
          <w:lang w:val="es-ES_tradnl" w:eastAsia="en-US"/>
        </w:rPr>
        <w:t>u</w:t>
      </w:r>
      <w:r w:rsidR="00ED2392" w:rsidRPr="005A2A4D">
        <w:rPr>
          <w:rFonts w:ascii="ITC Avant Garde" w:eastAsiaTheme="minorEastAsia" w:hAnsi="ITC Avant Garde" w:cstheme="minorBidi"/>
          <w:sz w:val="22"/>
          <w:szCs w:val="22"/>
          <w:lang w:val="es-ES_tradnl" w:eastAsia="en-US"/>
        </w:rPr>
        <w:t>suarios respecto de portaciones ejecutadas sin consentimiento.</w:t>
      </w:r>
    </w:p>
    <w:p w14:paraId="5CD71A5A" w14:textId="366FDE02" w:rsidR="00987D2F" w:rsidRPr="00CE6834" w:rsidRDefault="00987D2F" w:rsidP="00987D2F">
      <w:pPr>
        <w:jc w:val="both"/>
        <w:rPr>
          <w:rFonts w:ascii="ITC Avant Garde" w:eastAsia="Times New Roman" w:hAnsi="ITC Avant Garde" w:cs="Arial"/>
          <w:kern w:val="2"/>
          <w:sz w:val="22"/>
          <w:szCs w:val="22"/>
          <w:lang w:eastAsia="ar-SA"/>
        </w:rPr>
      </w:pPr>
      <w:r w:rsidRPr="005A2A4D">
        <w:rPr>
          <w:rFonts w:ascii="ITC Avant Garde" w:hAnsi="ITC Avant Garde"/>
          <w:sz w:val="22"/>
          <w:szCs w:val="22"/>
        </w:rPr>
        <w:t xml:space="preserve">Tomando en consideración </w:t>
      </w:r>
      <w:r>
        <w:rPr>
          <w:rFonts w:ascii="ITC Avant Garde" w:hAnsi="ITC Avant Garde"/>
          <w:sz w:val="22"/>
          <w:szCs w:val="22"/>
        </w:rPr>
        <w:t xml:space="preserve">las propuestas de modificación a las Reglas de Portabilidad presentadas por ANATEL en el escrito señalado en el Antecedente VII y </w:t>
      </w:r>
      <w:r w:rsidRPr="005A2A4D">
        <w:rPr>
          <w:rFonts w:ascii="ITC Avant Garde" w:hAnsi="ITC Avant Garde"/>
          <w:sz w:val="22"/>
          <w:szCs w:val="22"/>
        </w:rPr>
        <w:t>las manifestaciones vertidas durante el proceso de consulta pública antes referido,</w:t>
      </w:r>
      <w:r>
        <w:rPr>
          <w:rFonts w:ascii="ITC Avant Garde" w:hAnsi="ITC Avant Garde"/>
          <w:sz w:val="22"/>
          <w:szCs w:val="22"/>
        </w:rPr>
        <w:t xml:space="preserve"> </w:t>
      </w:r>
      <w:r w:rsidRPr="005A2A4D">
        <w:rPr>
          <w:rFonts w:ascii="ITC Avant Garde" w:hAnsi="ITC Avant Garde"/>
          <w:sz w:val="22"/>
          <w:szCs w:val="22"/>
        </w:rPr>
        <w:t xml:space="preserve">el Instituto </w:t>
      </w:r>
      <w:r w:rsidR="00E46C96">
        <w:rPr>
          <w:rFonts w:ascii="ITC Avant Garde" w:hAnsi="ITC Avant Garde"/>
          <w:sz w:val="22"/>
          <w:szCs w:val="22"/>
        </w:rPr>
        <w:t xml:space="preserve"> considera necesario </w:t>
      </w:r>
      <w:r w:rsidRPr="005A2A4D">
        <w:rPr>
          <w:rFonts w:ascii="ITC Avant Garde" w:hAnsi="ITC Avant Garde"/>
          <w:sz w:val="22"/>
          <w:szCs w:val="22"/>
        </w:rPr>
        <w:t xml:space="preserve">modificar las Reglas de Portabilidad vigentes a efecto </w:t>
      </w:r>
      <w:r w:rsidR="00534B61">
        <w:rPr>
          <w:rFonts w:ascii="ITC Avant Garde" w:hAnsi="ITC Avant Garde"/>
          <w:sz w:val="22"/>
          <w:szCs w:val="22"/>
        </w:rPr>
        <w:t xml:space="preserve">contar con una solución que proteja en mayor medida al usuario reduciendo considerablemente las portaciones ejecutadas sin su consentimiento, implementando </w:t>
      </w:r>
      <w:r w:rsidR="009A29CD">
        <w:rPr>
          <w:rFonts w:ascii="ITC Avant Garde" w:hAnsi="ITC Avant Garde"/>
          <w:sz w:val="22"/>
          <w:szCs w:val="22"/>
        </w:rPr>
        <w:t xml:space="preserve">diferentes medidas, entre las cuales </w:t>
      </w:r>
      <w:r>
        <w:rPr>
          <w:rFonts w:ascii="ITC Avant Garde" w:hAnsi="ITC Avant Garde"/>
          <w:sz w:val="22"/>
          <w:szCs w:val="22"/>
        </w:rPr>
        <w:t>destacan</w:t>
      </w:r>
      <w:r w:rsidR="009A29CD">
        <w:rPr>
          <w:rFonts w:ascii="ITC Avant Garde" w:hAnsi="ITC Avant Garde"/>
          <w:sz w:val="22"/>
          <w:szCs w:val="22"/>
        </w:rPr>
        <w:t xml:space="preserve"> la</w:t>
      </w:r>
      <w:r>
        <w:rPr>
          <w:rFonts w:ascii="ITC Avant Garde" w:hAnsi="ITC Avant Garde"/>
          <w:sz w:val="22"/>
          <w:szCs w:val="22"/>
        </w:rPr>
        <w:t>s</w:t>
      </w:r>
      <w:r w:rsidRPr="005A2A4D">
        <w:rPr>
          <w:rFonts w:ascii="ITC Avant Garde" w:hAnsi="ITC Avant Garde"/>
          <w:sz w:val="22"/>
          <w:szCs w:val="22"/>
        </w:rPr>
        <w:t xml:space="preserve"> siguiente</w:t>
      </w:r>
      <w:r>
        <w:rPr>
          <w:rFonts w:ascii="ITC Avant Garde" w:hAnsi="ITC Avant Garde"/>
          <w:sz w:val="22"/>
          <w:szCs w:val="22"/>
        </w:rPr>
        <w:t>s</w:t>
      </w:r>
      <w:r w:rsidRPr="005A2A4D">
        <w:rPr>
          <w:rFonts w:ascii="ITC Avant Garde" w:hAnsi="ITC Avant Garde"/>
          <w:sz w:val="22"/>
          <w:szCs w:val="22"/>
        </w:rPr>
        <w:t xml:space="preserve">: </w:t>
      </w:r>
    </w:p>
    <w:p w14:paraId="431ADE57" w14:textId="77777777" w:rsidR="00987D2F" w:rsidRDefault="00987D2F" w:rsidP="00D44FC8">
      <w:pPr>
        <w:jc w:val="both"/>
        <w:rPr>
          <w:rFonts w:ascii="ITC Avant Garde" w:hAnsi="ITC Avant Garde"/>
          <w:sz w:val="22"/>
          <w:szCs w:val="22"/>
        </w:rPr>
      </w:pPr>
    </w:p>
    <w:p w14:paraId="78D07BCE" w14:textId="77777777" w:rsidR="00CE6834" w:rsidRPr="00D150A0" w:rsidRDefault="00D150A0" w:rsidP="00D150A0">
      <w:pPr>
        <w:pStyle w:val="Prrafodelista"/>
        <w:numPr>
          <w:ilvl w:val="0"/>
          <w:numId w:val="6"/>
        </w:numPr>
        <w:jc w:val="both"/>
        <w:rPr>
          <w:rFonts w:ascii="ITC Avant Garde" w:eastAsia="Times New Roman" w:hAnsi="ITC Avant Garde" w:cs="Arial"/>
          <w:b/>
          <w:kern w:val="2"/>
          <w:sz w:val="22"/>
          <w:szCs w:val="22"/>
          <w:lang w:eastAsia="ar-SA"/>
        </w:rPr>
      </w:pPr>
      <w:r>
        <w:rPr>
          <w:rFonts w:ascii="ITC Avant Garde" w:eastAsia="Times New Roman" w:hAnsi="ITC Avant Garde" w:cs="Arial"/>
          <w:b/>
          <w:kern w:val="2"/>
          <w:sz w:val="22"/>
          <w:szCs w:val="22"/>
          <w:lang w:eastAsia="ar-SA"/>
        </w:rPr>
        <w:t>La e</w:t>
      </w:r>
      <w:r w:rsidR="00CE6834" w:rsidRPr="00D150A0">
        <w:rPr>
          <w:rFonts w:ascii="ITC Avant Garde" w:eastAsia="Times New Roman" w:hAnsi="ITC Avant Garde" w:cs="Arial"/>
          <w:b/>
          <w:kern w:val="2"/>
          <w:sz w:val="22"/>
          <w:szCs w:val="22"/>
          <w:lang w:eastAsia="ar-SA"/>
        </w:rPr>
        <w:t>liminación de</w:t>
      </w:r>
      <w:r w:rsidRPr="00D150A0">
        <w:rPr>
          <w:rFonts w:ascii="ITC Avant Garde" w:eastAsia="Times New Roman" w:hAnsi="ITC Avant Garde" w:cs="Arial"/>
          <w:b/>
          <w:kern w:val="2"/>
          <w:sz w:val="22"/>
          <w:szCs w:val="22"/>
          <w:lang w:eastAsia="ar-SA"/>
        </w:rPr>
        <w:t>l</w:t>
      </w:r>
      <w:r w:rsidR="00CE6834" w:rsidRPr="00D150A0">
        <w:rPr>
          <w:rFonts w:ascii="ITC Avant Garde" w:eastAsia="Times New Roman" w:hAnsi="ITC Avant Garde" w:cs="Arial"/>
          <w:b/>
          <w:kern w:val="2"/>
          <w:sz w:val="22"/>
          <w:szCs w:val="22"/>
          <w:lang w:eastAsia="ar-SA"/>
        </w:rPr>
        <w:t xml:space="preserve"> mecanismo de solicitud de NIP de Confirmación para el</w:t>
      </w:r>
      <w:r w:rsidR="00B101F9" w:rsidRPr="00D150A0">
        <w:rPr>
          <w:rFonts w:ascii="ITC Avant Garde" w:eastAsia="Times New Roman" w:hAnsi="ITC Avant Garde" w:cs="Arial"/>
          <w:b/>
          <w:kern w:val="2"/>
          <w:sz w:val="22"/>
          <w:szCs w:val="22"/>
          <w:lang w:eastAsia="ar-SA"/>
        </w:rPr>
        <w:t xml:space="preserve"> servicio móvil</w:t>
      </w:r>
      <w:r w:rsidRPr="00D150A0">
        <w:rPr>
          <w:rFonts w:ascii="ITC Avant Garde" w:eastAsia="Times New Roman" w:hAnsi="ITC Avant Garde" w:cs="Arial"/>
          <w:b/>
          <w:kern w:val="2"/>
          <w:sz w:val="22"/>
          <w:szCs w:val="22"/>
          <w:lang w:eastAsia="ar-SA"/>
        </w:rPr>
        <w:t xml:space="preserve"> </w:t>
      </w:r>
      <w:r w:rsidR="00977A02" w:rsidRPr="00D150A0">
        <w:rPr>
          <w:rFonts w:ascii="ITC Avant Garde" w:eastAsia="Times New Roman" w:hAnsi="ITC Avant Garde" w:cs="Arial"/>
          <w:b/>
          <w:kern w:val="2"/>
          <w:sz w:val="22"/>
          <w:szCs w:val="22"/>
          <w:lang w:eastAsia="ar-SA"/>
        </w:rPr>
        <w:t>a través del cual el Proveedor Receptor podía solicitar</w:t>
      </w:r>
      <w:r>
        <w:rPr>
          <w:rFonts w:ascii="ITC Avant Garde" w:eastAsia="Times New Roman" w:hAnsi="ITC Avant Garde" w:cs="Arial"/>
          <w:b/>
          <w:kern w:val="2"/>
          <w:sz w:val="22"/>
          <w:szCs w:val="22"/>
          <w:lang w:eastAsia="ar-SA"/>
        </w:rPr>
        <w:t>lo</w:t>
      </w:r>
      <w:r w:rsidR="00977A02" w:rsidRPr="00D150A0">
        <w:rPr>
          <w:rFonts w:ascii="ITC Avant Garde" w:eastAsia="Times New Roman" w:hAnsi="ITC Avant Garde" w:cs="Arial"/>
          <w:b/>
          <w:kern w:val="2"/>
          <w:sz w:val="22"/>
          <w:szCs w:val="22"/>
          <w:lang w:eastAsia="ar-SA"/>
        </w:rPr>
        <w:t xml:space="preserve"> al ABD</w:t>
      </w:r>
      <w:r w:rsidR="00653B2C" w:rsidRPr="00D150A0">
        <w:rPr>
          <w:rFonts w:ascii="ITC Avant Garde" w:eastAsia="Times New Roman" w:hAnsi="ITC Avant Garde" w:cs="Arial"/>
          <w:b/>
          <w:kern w:val="2"/>
          <w:sz w:val="22"/>
          <w:szCs w:val="22"/>
          <w:lang w:eastAsia="ar-SA"/>
        </w:rPr>
        <w:t xml:space="preserve">, </w:t>
      </w:r>
      <w:r>
        <w:rPr>
          <w:rFonts w:ascii="ITC Avant Garde" w:eastAsia="Times New Roman" w:hAnsi="ITC Avant Garde" w:cs="Arial"/>
          <w:b/>
          <w:kern w:val="2"/>
          <w:sz w:val="22"/>
          <w:szCs w:val="22"/>
          <w:lang w:eastAsia="ar-SA"/>
        </w:rPr>
        <w:t xml:space="preserve">la </w:t>
      </w:r>
      <w:r w:rsidR="00653B2C" w:rsidRPr="00D150A0">
        <w:rPr>
          <w:rFonts w:ascii="ITC Avant Garde" w:eastAsia="Times New Roman" w:hAnsi="ITC Avant Garde" w:cs="Arial"/>
          <w:b/>
          <w:kern w:val="2"/>
          <w:sz w:val="22"/>
          <w:szCs w:val="22"/>
          <w:lang w:eastAsia="ar-SA"/>
        </w:rPr>
        <w:t>modificación a la redacción del mensaje de texto enviado al Usuario de servicio móvil</w:t>
      </w:r>
      <w:r w:rsidR="00E34C19" w:rsidRPr="00D150A0">
        <w:rPr>
          <w:rFonts w:ascii="ITC Avant Garde" w:eastAsia="Times New Roman" w:hAnsi="ITC Avant Garde" w:cs="Arial"/>
          <w:b/>
          <w:kern w:val="2"/>
          <w:sz w:val="22"/>
          <w:szCs w:val="22"/>
          <w:lang w:eastAsia="ar-SA"/>
        </w:rPr>
        <w:t xml:space="preserve"> </w:t>
      </w:r>
      <w:r w:rsidR="00445D49" w:rsidRPr="00D150A0">
        <w:rPr>
          <w:rFonts w:ascii="ITC Avant Garde" w:eastAsia="Times New Roman" w:hAnsi="ITC Avant Garde" w:cs="Arial"/>
          <w:b/>
          <w:kern w:val="2"/>
          <w:sz w:val="22"/>
          <w:szCs w:val="22"/>
          <w:lang w:eastAsia="ar-SA"/>
        </w:rPr>
        <w:t xml:space="preserve">y </w:t>
      </w:r>
      <w:r>
        <w:rPr>
          <w:rFonts w:ascii="ITC Avant Garde" w:eastAsia="Times New Roman" w:hAnsi="ITC Avant Garde" w:cs="Arial"/>
          <w:b/>
          <w:kern w:val="2"/>
          <w:sz w:val="22"/>
          <w:szCs w:val="22"/>
          <w:lang w:eastAsia="ar-SA"/>
        </w:rPr>
        <w:t xml:space="preserve">la </w:t>
      </w:r>
      <w:r w:rsidR="00B05EC9" w:rsidRPr="00D150A0">
        <w:rPr>
          <w:rFonts w:ascii="ITC Avant Garde" w:eastAsia="Times New Roman" w:hAnsi="ITC Avant Garde" w:cs="Arial"/>
          <w:b/>
          <w:kern w:val="2"/>
          <w:sz w:val="22"/>
          <w:szCs w:val="22"/>
          <w:lang w:eastAsia="ar-SA"/>
        </w:rPr>
        <w:t>reducci</w:t>
      </w:r>
      <w:r w:rsidR="00E34C19" w:rsidRPr="00D150A0">
        <w:rPr>
          <w:rFonts w:ascii="ITC Avant Garde" w:eastAsia="Times New Roman" w:hAnsi="ITC Avant Garde" w:cs="Arial"/>
          <w:b/>
          <w:kern w:val="2"/>
          <w:sz w:val="22"/>
          <w:szCs w:val="22"/>
          <w:lang w:eastAsia="ar-SA"/>
        </w:rPr>
        <w:t>ón de vigencia del NIP de C</w:t>
      </w:r>
      <w:r w:rsidR="00B05EC9" w:rsidRPr="00D150A0">
        <w:rPr>
          <w:rFonts w:ascii="ITC Avant Garde" w:eastAsia="Times New Roman" w:hAnsi="ITC Avant Garde" w:cs="Arial"/>
          <w:b/>
          <w:kern w:val="2"/>
          <w:sz w:val="22"/>
          <w:szCs w:val="22"/>
          <w:lang w:eastAsia="ar-SA"/>
        </w:rPr>
        <w:t>onfirmación</w:t>
      </w:r>
      <w:r w:rsidR="00B101F9" w:rsidRPr="00D150A0">
        <w:rPr>
          <w:rFonts w:ascii="ITC Avant Garde" w:eastAsia="Times New Roman" w:hAnsi="ITC Avant Garde" w:cs="Arial"/>
          <w:b/>
          <w:kern w:val="2"/>
          <w:sz w:val="22"/>
          <w:szCs w:val="22"/>
          <w:lang w:eastAsia="ar-SA"/>
        </w:rPr>
        <w:t>.</w:t>
      </w:r>
    </w:p>
    <w:p w14:paraId="712A839F" w14:textId="77777777" w:rsidR="00CB084E" w:rsidRDefault="00761E13" w:rsidP="005A2A4D">
      <w:pPr>
        <w:pStyle w:val="Prrafodelista"/>
        <w:jc w:val="both"/>
        <w:rPr>
          <w:rFonts w:ascii="ITC Avant Garde" w:hAnsi="ITC Avant Garde"/>
          <w:sz w:val="22"/>
          <w:szCs w:val="22"/>
        </w:rPr>
      </w:pPr>
      <w:r>
        <w:rPr>
          <w:rFonts w:ascii="ITC Avant Garde" w:hAnsi="ITC Avant Garde"/>
          <w:sz w:val="22"/>
          <w:szCs w:val="22"/>
        </w:rPr>
        <w:t xml:space="preserve">La Regla 39 </w:t>
      </w:r>
      <w:r w:rsidR="00BD3DF3">
        <w:rPr>
          <w:rFonts w:ascii="ITC Avant Garde" w:hAnsi="ITC Avant Garde"/>
          <w:sz w:val="22"/>
          <w:szCs w:val="22"/>
        </w:rPr>
        <w:t xml:space="preserve">de las Reglas de Portabilidad </w:t>
      </w:r>
      <w:r w:rsidR="00CB084E">
        <w:rPr>
          <w:rFonts w:ascii="ITC Avant Garde" w:hAnsi="ITC Avant Garde"/>
          <w:sz w:val="22"/>
          <w:szCs w:val="22"/>
        </w:rPr>
        <w:t xml:space="preserve">establece los mecanismos a través de los cuales </w:t>
      </w:r>
      <w:r w:rsidR="00EA5BFC">
        <w:rPr>
          <w:rFonts w:ascii="ITC Avant Garde" w:hAnsi="ITC Avant Garde"/>
          <w:sz w:val="22"/>
          <w:szCs w:val="22"/>
        </w:rPr>
        <w:t>puede ser solicitado el NIP de C</w:t>
      </w:r>
      <w:r w:rsidR="00CB084E">
        <w:rPr>
          <w:rFonts w:ascii="ITC Avant Garde" w:hAnsi="ITC Avant Garde"/>
          <w:sz w:val="22"/>
          <w:szCs w:val="22"/>
        </w:rPr>
        <w:t xml:space="preserve">onfirmación. En particular, el primer párrafo de la fracción I </w:t>
      </w:r>
      <w:r w:rsidR="00D150A0">
        <w:rPr>
          <w:rFonts w:ascii="ITC Avant Garde" w:hAnsi="ITC Avant Garde"/>
          <w:sz w:val="22"/>
          <w:szCs w:val="22"/>
        </w:rPr>
        <w:t xml:space="preserve">determina </w:t>
      </w:r>
      <w:r>
        <w:rPr>
          <w:rFonts w:ascii="ITC Avant Garde" w:hAnsi="ITC Avant Garde"/>
          <w:sz w:val="22"/>
          <w:szCs w:val="22"/>
        </w:rPr>
        <w:t xml:space="preserve">que, para </w:t>
      </w:r>
      <w:r w:rsidRPr="000D1F2C">
        <w:rPr>
          <w:rFonts w:ascii="ITC Avant Garde" w:hAnsi="ITC Avant Garde"/>
          <w:sz w:val="22"/>
          <w:szCs w:val="22"/>
        </w:rPr>
        <w:t>Usuarios del Servicio Móvil, el Proveedor Recep</w:t>
      </w:r>
      <w:r>
        <w:rPr>
          <w:rFonts w:ascii="ITC Avant Garde" w:hAnsi="ITC Avant Garde"/>
          <w:sz w:val="22"/>
          <w:szCs w:val="22"/>
        </w:rPr>
        <w:t>tor podrá solicitar al ABD</w:t>
      </w:r>
      <w:r w:rsidR="00113F41">
        <w:rPr>
          <w:rFonts w:ascii="ITC Avant Garde" w:hAnsi="ITC Avant Garde"/>
          <w:sz w:val="22"/>
          <w:szCs w:val="22"/>
        </w:rPr>
        <w:t>,</w:t>
      </w:r>
      <w:r>
        <w:rPr>
          <w:rFonts w:ascii="ITC Avant Garde" w:hAnsi="ITC Avant Garde"/>
          <w:sz w:val="22"/>
          <w:szCs w:val="22"/>
        </w:rPr>
        <w:t xml:space="preserve"> </w:t>
      </w:r>
      <w:proofErr w:type="gramStart"/>
      <w:r>
        <w:rPr>
          <w:rFonts w:ascii="ITC Avant Garde" w:hAnsi="ITC Avant Garde"/>
          <w:sz w:val="22"/>
          <w:szCs w:val="22"/>
        </w:rPr>
        <w:lastRenderedPageBreak/>
        <w:t>que</w:t>
      </w:r>
      <w:proofErr w:type="gramEnd"/>
      <w:r>
        <w:rPr>
          <w:rFonts w:ascii="ITC Avant Garde" w:hAnsi="ITC Avant Garde"/>
          <w:sz w:val="22"/>
          <w:szCs w:val="22"/>
        </w:rPr>
        <w:t xml:space="preserve"> </w:t>
      </w:r>
      <w:r w:rsidRPr="000D1F2C">
        <w:rPr>
          <w:rFonts w:ascii="ITC Avant Garde" w:hAnsi="ITC Avant Garde"/>
          <w:sz w:val="22"/>
          <w:szCs w:val="22"/>
        </w:rPr>
        <w:t>a través del Sistema Automático de Verificación, se envíe un mensaje de texto con el NIP de Confirmación hacia el número a ser portado.</w:t>
      </w:r>
      <w:r>
        <w:rPr>
          <w:rFonts w:ascii="ITC Avant Garde" w:hAnsi="ITC Avant Garde"/>
          <w:sz w:val="22"/>
          <w:szCs w:val="22"/>
        </w:rPr>
        <w:t xml:space="preserve"> </w:t>
      </w:r>
    </w:p>
    <w:p w14:paraId="07085949" w14:textId="77777777" w:rsidR="00CB084E" w:rsidRDefault="00CB084E" w:rsidP="005A2A4D">
      <w:pPr>
        <w:pStyle w:val="Prrafodelista"/>
        <w:jc w:val="both"/>
        <w:rPr>
          <w:rFonts w:ascii="ITC Avant Garde" w:hAnsi="ITC Avant Garde"/>
          <w:sz w:val="22"/>
          <w:szCs w:val="22"/>
        </w:rPr>
      </w:pPr>
    </w:p>
    <w:p w14:paraId="6655F5FF" w14:textId="77777777" w:rsidR="00653B2C" w:rsidRDefault="00D150A0" w:rsidP="00B05EC9">
      <w:pPr>
        <w:pStyle w:val="Prrafodelista"/>
        <w:jc w:val="both"/>
        <w:rPr>
          <w:rFonts w:ascii="ITC Avant Garde" w:hAnsi="ITC Avant Garde"/>
          <w:sz w:val="22"/>
          <w:szCs w:val="22"/>
        </w:rPr>
      </w:pPr>
      <w:r>
        <w:rPr>
          <w:rFonts w:ascii="ITC Avant Garde" w:hAnsi="ITC Avant Garde"/>
          <w:sz w:val="22"/>
          <w:szCs w:val="22"/>
        </w:rPr>
        <w:t>E</w:t>
      </w:r>
      <w:r w:rsidR="00653B2C">
        <w:rPr>
          <w:rFonts w:ascii="ITC Avant Garde" w:hAnsi="ITC Avant Garde"/>
          <w:sz w:val="22"/>
          <w:szCs w:val="22"/>
        </w:rPr>
        <w:t xml:space="preserve">n el cuarto párrafo de la fracción I, </w:t>
      </w:r>
      <w:r>
        <w:rPr>
          <w:rFonts w:ascii="ITC Avant Garde" w:hAnsi="ITC Avant Garde"/>
          <w:sz w:val="22"/>
          <w:szCs w:val="22"/>
        </w:rPr>
        <w:t xml:space="preserve">se </w:t>
      </w:r>
      <w:r w:rsidR="00653B2C">
        <w:rPr>
          <w:rFonts w:ascii="ITC Avant Garde" w:hAnsi="ITC Avant Garde"/>
          <w:sz w:val="22"/>
          <w:szCs w:val="22"/>
        </w:rPr>
        <w:t>indica el mensaje de texto que recibirán los Usuar</w:t>
      </w:r>
      <w:r w:rsidR="00EA5BFC">
        <w:rPr>
          <w:rFonts w:ascii="ITC Avant Garde" w:hAnsi="ITC Avant Garde"/>
          <w:sz w:val="22"/>
          <w:szCs w:val="22"/>
        </w:rPr>
        <w:t>ios cuando soliciten el NIP de C</w:t>
      </w:r>
      <w:r w:rsidR="00653B2C">
        <w:rPr>
          <w:rFonts w:ascii="ITC Avant Garde" w:hAnsi="ITC Avant Garde"/>
          <w:sz w:val="22"/>
          <w:szCs w:val="22"/>
        </w:rPr>
        <w:t>onfirmaci</w:t>
      </w:r>
      <w:r w:rsidR="00D90153">
        <w:rPr>
          <w:rFonts w:ascii="ITC Avant Garde" w:hAnsi="ITC Avant Garde"/>
          <w:sz w:val="22"/>
          <w:szCs w:val="22"/>
        </w:rPr>
        <w:t>ón enviando a través de un mensaje de texto la palabra “NIP” al número 051.</w:t>
      </w:r>
    </w:p>
    <w:p w14:paraId="0ACB257C" w14:textId="77777777" w:rsidR="00653B2C" w:rsidRDefault="00653B2C" w:rsidP="00B05EC9">
      <w:pPr>
        <w:pStyle w:val="Prrafodelista"/>
        <w:jc w:val="both"/>
        <w:rPr>
          <w:rFonts w:ascii="ITC Avant Garde" w:hAnsi="ITC Avant Garde"/>
          <w:sz w:val="22"/>
          <w:szCs w:val="22"/>
        </w:rPr>
      </w:pPr>
    </w:p>
    <w:p w14:paraId="2E69C477" w14:textId="77777777" w:rsidR="00B05EC9" w:rsidRPr="00B63917" w:rsidRDefault="00653B2C" w:rsidP="00B05EC9">
      <w:pPr>
        <w:pStyle w:val="Prrafodelista"/>
        <w:jc w:val="both"/>
        <w:rPr>
          <w:rFonts w:ascii="ITC Avant Garde" w:eastAsia="Times New Roman" w:hAnsi="ITC Avant Garde" w:cs="Arial"/>
          <w:kern w:val="2"/>
          <w:sz w:val="22"/>
          <w:szCs w:val="22"/>
          <w:lang w:eastAsia="ar-SA"/>
        </w:rPr>
      </w:pPr>
      <w:r>
        <w:rPr>
          <w:rFonts w:ascii="ITC Avant Garde" w:hAnsi="ITC Avant Garde"/>
          <w:sz w:val="22"/>
          <w:szCs w:val="22"/>
        </w:rPr>
        <w:t xml:space="preserve">Finalmente, </w:t>
      </w:r>
      <w:r w:rsidR="00B05EC9">
        <w:rPr>
          <w:rFonts w:ascii="ITC Avant Garde" w:hAnsi="ITC Avant Garde"/>
          <w:sz w:val="22"/>
          <w:szCs w:val="22"/>
        </w:rPr>
        <w:t xml:space="preserve">esta regla </w:t>
      </w:r>
      <w:r w:rsidR="00BD3DF3">
        <w:rPr>
          <w:rFonts w:ascii="ITC Avant Garde" w:hAnsi="ITC Avant Garde"/>
          <w:sz w:val="22"/>
          <w:szCs w:val="22"/>
        </w:rPr>
        <w:t xml:space="preserve">también </w:t>
      </w:r>
      <w:r w:rsidR="00B05EC9">
        <w:rPr>
          <w:rFonts w:ascii="ITC Avant Garde" w:hAnsi="ITC Avant Garde"/>
          <w:sz w:val="22"/>
          <w:szCs w:val="22"/>
        </w:rPr>
        <w:t xml:space="preserve">establece en su último párrafo que </w:t>
      </w:r>
      <w:r w:rsidR="00B05EC9">
        <w:rPr>
          <w:rFonts w:ascii="ITC Avant Garde" w:eastAsia="Times New Roman" w:hAnsi="ITC Avant Garde" w:cs="Arial"/>
          <w:kern w:val="2"/>
          <w:sz w:val="22"/>
          <w:szCs w:val="22"/>
          <w:lang w:eastAsia="ar-SA"/>
        </w:rPr>
        <w:t>el ABD deberá mantener durante 15 (quince) días naturales a partir de su generación, un registro de los NIP de Confirmación enviados y sus correspondientes Número</w:t>
      </w:r>
      <w:r w:rsidR="003A42BF">
        <w:rPr>
          <w:rFonts w:ascii="ITC Avant Garde" w:eastAsia="Times New Roman" w:hAnsi="ITC Avant Garde" w:cs="Arial"/>
          <w:kern w:val="2"/>
          <w:sz w:val="22"/>
          <w:szCs w:val="22"/>
          <w:lang w:eastAsia="ar-SA"/>
        </w:rPr>
        <w:t>s</w:t>
      </w:r>
      <w:r w:rsidR="00B05EC9">
        <w:rPr>
          <w:rFonts w:ascii="ITC Avant Garde" w:eastAsia="Times New Roman" w:hAnsi="ITC Avant Garde" w:cs="Arial"/>
          <w:kern w:val="2"/>
          <w:sz w:val="22"/>
          <w:szCs w:val="22"/>
          <w:lang w:eastAsia="ar-SA"/>
        </w:rPr>
        <w:t xml:space="preserve"> Nacionales asociados. </w:t>
      </w:r>
    </w:p>
    <w:p w14:paraId="2AA2C879" w14:textId="77777777" w:rsidR="00D150A0" w:rsidRDefault="00D150A0" w:rsidP="005A2A4D">
      <w:pPr>
        <w:pStyle w:val="Prrafodelista"/>
        <w:jc w:val="both"/>
        <w:rPr>
          <w:rFonts w:ascii="ITC Avant Garde" w:hAnsi="ITC Avant Garde"/>
          <w:sz w:val="22"/>
          <w:szCs w:val="22"/>
        </w:rPr>
      </w:pPr>
    </w:p>
    <w:p w14:paraId="41F1891F" w14:textId="64B37D8F" w:rsidR="002B2CC3" w:rsidRDefault="00B05EC9" w:rsidP="005B64D3">
      <w:pPr>
        <w:pStyle w:val="Prrafodelista"/>
        <w:jc w:val="both"/>
        <w:rPr>
          <w:rFonts w:ascii="ITC Avant Garde" w:hAnsi="ITC Avant Garde"/>
          <w:sz w:val="22"/>
          <w:szCs w:val="22"/>
        </w:rPr>
      </w:pPr>
      <w:r>
        <w:rPr>
          <w:rFonts w:ascii="ITC Avant Garde" w:hAnsi="ITC Avant Garde"/>
          <w:sz w:val="22"/>
          <w:szCs w:val="22"/>
        </w:rPr>
        <w:t>Al respecto, la ocurrencia de l</w:t>
      </w:r>
      <w:r w:rsidR="00F2391C">
        <w:rPr>
          <w:rFonts w:ascii="ITC Avant Garde" w:hAnsi="ITC Avant Garde"/>
          <w:sz w:val="22"/>
          <w:szCs w:val="22"/>
        </w:rPr>
        <w:t xml:space="preserve">as portaciones ejecutadas </w:t>
      </w:r>
      <w:r>
        <w:rPr>
          <w:rFonts w:ascii="ITC Avant Garde" w:hAnsi="ITC Avant Garde"/>
          <w:sz w:val="22"/>
          <w:szCs w:val="22"/>
        </w:rPr>
        <w:t>sin el consentimiento del Usuario señaladas con anterioridad</w:t>
      </w:r>
      <w:r w:rsidR="00D90153">
        <w:rPr>
          <w:rFonts w:ascii="ITC Avant Garde" w:hAnsi="ITC Avant Garde"/>
          <w:sz w:val="22"/>
          <w:szCs w:val="22"/>
        </w:rPr>
        <w:t>,</w:t>
      </w:r>
      <w:r>
        <w:rPr>
          <w:rFonts w:ascii="ITC Avant Garde" w:hAnsi="ITC Avant Garde"/>
          <w:sz w:val="22"/>
          <w:szCs w:val="22"/>
        </w:rPr>
        <w:t xml:space="preserve"> </w:t>
      </w:r>
      <w:r w:rsidR="00EB0EF3">
        <w:rPr>
          <w:rFonts w:ascii="ITC Avant Garde" w:hAnsi="ITC Avant Garde"/>
          <w:sz w:val="22"/>
        </w:rPr>
        <w:t>serán</w:t>
      </w:r>
      <w:r w:rsidR="00EB0EF3">
        <w:rPr>
          <w:rFonts w:ascii="ITC Avant Garde" w:hAnsi="ITC Avant Garde"/>
          <w:sz w:val="22"/>
          <w:szCs w:val="22"/>
        </w:rPr>
        <w:t xml:space="preserve"> </w:t>
      </w:r>
      <w:r w:rsidR="00767D04">
        <w:rPr>
          <w:rFonts w:ascii="ITC Avant Garde" w:hAnsi="ITC Avant Garde"/>
          <w:sz w:val="22"/>
          <w:szCs w:val="22"/>
        </w:rPr>
        <w:t>mitiga</w:t>
      </w:r>
      <w:r w:rsidR="00EB0EF3">
        <w:rPr>
          <w:rFonts w:ascii="ITC Avant Garde" w:hAnsi="ITC Avant Garde"/>
          <w:sz w:val="22"/>
          <w:szCs w:val="22"/>
        </w:rPr>
        <w:t>das</w:t>
      </w:r>
      <w:r>
        <w:rPr>
          <w:rFonts w:ascii="ITC Avant Garde" w:hAnsi="ITC Avant Garde"/>
          <w:sz w:val="22"/>
          <w:szCs w:val="22"/>
        </w:rPr>
        <w:t xml:space="preserve"> </w:t>
      </w:r>
      <w:r w:rsidR="00B076CF">
        <w:rPr>
          <w:rFonts w:ascii="ITC Avant Garde" w:hAnsi="ITC Avant Garde"/>
          <w:sz w:val="22"/>
          <w:szCs w:val="22"/>
        </w:rPr>
        <w:t>mediante</w:t>
      </w:r>
      <w:r>
        <w:rPr>
          <w:rFonts w:ascii="ITC Avant Garde" w:hAnsi="ITC Avant Garde"/>
          <w:sz w:val="22"/>
          <w:szCs w:val="22"/>
        </w:rPr>
        <w:t xml:space="preserve"> la</w:t>
      </w:r>
      <w:r w:rsidR="00B101F9">
        <w:rPr>
          <w:rFonts w:ascii="ITC Avant Garde" w:hAnsi="ITC Avant Garde"/>
          <w:sz w:val="22"/>
          <w:szCs w:val="22"/>
        </w:rPr>
        <w:t xml:space="preserve"> </w:t>
      </w:r>
      <w:r w:rsidR="00B101F9" w:rsidRPr="00B101F9">
        <w:rPr>
          <w:rFonts w:ascii="ITC Avant Garde" w:hAnsi="ITC Avant Garde"/>
          <w:sz w:val="22"/>
          <w:szCs w:val="22"/>
        </w:rPr>
        <w:t>elimina</w:t>
      </w:r>
      <w:r>
        <w:rPr>
          <w:rFonts w:ascii="ITC Avant Garde" w:hAnsi="ITC Avant Garde"/>
          <w:sz w:val="22"/>
          <w:szCs w:val="22"/>
        </w:rPr>
        <w:t>ción</w:t>
      </w:r>
      <w:r w:rsidR="00B101F9" w:rsidRPr="00B101F9">
        <w:rPr>
          <w:rFonts w:ascii="ITC Avant Garde" w:hAnsi="ITC Avant Garde"/>
          <w:sz w:val="22"/>
          <w:szCs w:val="22"/>
        </w:rPr>
        <w:t xml:space="preserve"> </w:t>
      </w:r>
      <w:r>
        <w:rPr>
          <w:rFonts w:ascii="ITC Avant Garde" w:hAnsi="ITC Avant Garde"/>
          <w:sz w:val="22"/>
          <w:szCs w:val="22"/>
        </w:rPr>
        <w:t>d</w:t>
      </w:r>
      <w:r w:rsidR="00B101F9" w:rsidRPr="00B101F9">
        <w:rPr>
          <w:rFonts w:ascii="ITC Avant Garde" w:hAnsi="ITC Avant Garde"/>
          <w:sz w:val="22"/>
          <w:szCs w:val="22"/>
        </w:rPr>
        <w:t xml:space="preserve">el mecanismo a través del </w:t>
      </w:r>
      <w:r w:rsidR="00D90153">
        <w:rPr>
          <w:rFonts w:ascii="ITC Avant Garde" w:hAnsi="ITC Avant Garde"/>
          <w:sz w:val="22"/>
          <w:szCs w:val="22"/>
        </w:rPr>
        <w:t>cual el Proveedor Receptor p</w:t>
      </w:r>
      <w:r w:rsidR="00F10BA6">
        <w:rPr>
          <w:rFonts w:ascii="ITC Avant Garde" w:hAnsi="ITC Avant Garde"/>
          <w:sz w:val="22"/>
          <w:szCs w:val="22"/>
        </w:rPr>
        <w:t>odía</w:t>
      </w:r>
      <w:r w:rsidR="00B101F9" w:rsidRPr="00B101F9">
        <w:rPr>
          <w:rFonts w:ascii="ITC Avant Garde" w:hAnsi="ITC Avant Garde"/>
          <w:sz w:val="22"/>
          <w:szCs w:val="22"/>
        </w:rPr>
        <w:t xml:space="preserve"> solicitar al ABD el NIP de </w:t>
      </w:r>
      <w:r w:rsidR="00B076CF">
        <w:rPr>
          <w:rFonts w:ascii="ITC Avant Garde" w:hAnsi="ITC Avant Garde"/>
          <w:sz w:val="22"/>
          <w:szCs w:val="22"/>
        </w:rPr>
        <w:t>C</w:t>
      </w:r>
      <w:r w:rsidR="00B101F9" w:rsidRPr="00B101F9">
        <w:rPr>
          <w:rFonts w:ascii="ITC Avant Garde" w:hAnsi="ITC Avant Garde"/>
          <w:sz w:val="22"/>
          <w:szCs w:val="22"/>
        </w:rPr>
        <w:t xml:space="preserve">onfirmación para </w:t>
      </w:r>
      <w:r w:rsidR="00B101F9">
        <w:rPr>
          <w:rFonts w:ascii="ITC Avant Garde" w:hAnsi="ITC Avant Garde"/>
          <w:sz w:val="22"/>
          <w:szCs w:val="22"/>
        </w:rPr>
        <w:t>el servicio móvil</w:t>
      </w:r>
      <w:r>
        <w:rPr>
          <w:rFonts w:ascii="ITC Avant Garde" w:hAnsi="ITC Avant Garde"/>
          <w:sz w:val="22"/>
          <w:szCs w:val="22"/>
        </w:rPr>
        <w:t xml:space="preserve">, dado que </w:t>
      </w:r>
      <w:r w:rsidR="00D90153" w:rsidRPr="00041E73">
        <w:rPr>
          <w:rFonts w:ascii="ITC Avant Garde" w:hAnsi="ITC Avant Garde"/>
          <w:sz w:val="22"/>
          <w:szCs w:val="22"/>
        </w:rPr>
        <w:t xml:space="preserve">se garantizará </w:t>
      </w:r>
      <w:r w:rsidR="00BD3DF3">
        <w:rPr>
          <w:rFonts w:ascii="ITC Avant Garde" w:hAnsi="ITC Avant Garde"/>
          <w:sz w:val="22"/>
          <w:szCs w:val="22"/>
        </w:rPr>
        <w:t xml:space="preserve">la </w:t>
      </w:r>
      <w:r w:rsidR="00CB084E" w:rsidRPr="00A13B42">
        <w:rPr>
          <w:rFonts w:ascii="ITC Avant Garde" w:hAnsi="ITC Avant Garde"/>
          <w:sz w:val="22"/>
          <w:szCs w:val="22"/>
        </w:rPr>
        <w:t xml:space="preserve">voluntad </w:t>
      </w:r>
      <w:r w:rsidR="00BD3DF3">
        <w:rPr>
          <w:rFonts w:ascii="ITC Avant Garde" w:hAnsi="ITC Avant Garde"/>
          <w:sz w:val="22"/>
          <w:szCs w:val="22"/>
        </w:rPr>
        <w:t>del Usuario</w:t>
      </w:r>
      <w:r w:rsidR="00767D04">
        <w:rPr>
          <w:rFonts w:ascii="ITC Avant Garde" w:hAnsi="ITC Avant Garde"/>
          <w:sz w:val="22"/>
          <w:szCs w:val="22"/>
        </w:rPr>
        <w:t xml:space="preserve"> de realizar su proceso de portabilidad</w:t>
      </w:r>
      <w:r w:rsidR="00BD3DF3">
        <w:rPr>
          <w:rFonts w:ascii="ITC Avant Garde" w:hAnsi="ITC Avant Garde"/>
          <w:sz w:val="22"/>
          <w:szCs w:val="22"/>
        </w:rPr>
        <w:t>, al tener que</w:t>
      </w:r>
      <w:r>
        <w:rPr>
          <w:rFonts w:ascii="ITC Avant Garde" w:hAnsi="ITC Avant Garde"/>
          <w:sz w:val="22"/>
          <w:szCs w:val="22"/>
        </w:rPr>
        <w:t xml:space="preserve"> </w:t>
      </w:r>
      <w:r w:rsidR="00CB084E" w:rsidRPr="005A2A4D">
        <w:rPr>
          <w:rFonts w:ascii="ITC Avant Garde" w:hAnsi="ITC Avant Garde"/>
          <w:sz w:val="22"/>
          <w:szCs w:val="22"/>
        </w:rPr>
        <w:t>solici</w:t>
      </w:r>
      <w:r w:rsidR="00F2391C" w:rsidRPr="00F2391C">
        <w:rPr>
          <w:rFonts w:ascii="ITC Avant Garde" w:hAnsi="ITC Avant Garde"/>
          <w:sz w:val="22"/>
          <w:szCs w:val="22"/>
        </w:rPr>
        <w:t xml:space="preserve">tar </w:t>
      </w:r>
      <w:r w:rsidR="00BD3DF3">
        <w:rPr>
          <w:rFonts w:ascii="ITC Avant Garde" w:hAnsi="ITC Avant Garde"/>
          <w:sz w:val="22"/>
          <w:szCs w:val="22"/>
        </w:rPr>
        <w:t xml:space="preserve">directamente </w:t>
      </w:r>
      <w:r w:rsidR="00F2391C" w:rsidRPr="00F2391C">
        <w:rPr>
          <w:rFonts w:ascii="ITC Avant Garde" w:hAnsi="ITC Avant Garde"/>
          <w:sz w:val="22"/>
          <w:szCs w:val="22"/>
        </w:rPr>
        <w:t>su NIP de C</w:t>
      </w:r>
      <w:r w:rsidR="00CB084E" w:rsidRPr="005A2A4D">
        <w:rPr>
          <w:rFonts w:ascii="ITC Avant Garde" w:hAnsi="ITC Avant Garde"/>
          <w:sz w:val="22"/>
          <w:szCs w:val="22"/>
        </w:rPr>
        <w:t>onfirmación desde el número</w:t>
      </w:r>
      <w:r w:rsidR="00D150A0">
        <w:rPr>
          <w:rFonts w:ascii="ITC Avant Garde" w:hAnsi="ITC Avant Garde"/>
          <w:sz w:val="22"/>
          <w:szCs w:val="22"/>
        </w:rPr>
        <w:t xml:space="preserve"> telefónico</w:t>
      </w:r>
      <w:r w:rsidR="00CB084E" w:rsidRPr="005A2A4D">
        <w:rPr>
          <w:rFonts w:ascii="ITC Avant Garde" w:hAnsi="ITC Avant Garde"/>
          <w:sz w:val="22"/>
          <w:szCs w:val="22"/>
        </w:rPr>
        <w:t xml:space="preserve"> a ser portado sin la intervención de un tercero. </w:t>
      </w:r>
      <w:r w:rsidR="005B64D3">
        <w:rPr>
          <w:rFonts w:ascii="ITC Avant Garde" w:hAnsi="ITC Avant Garde"/>
          <w:sz w:val="22"/>
          <w:szCs w:val="22"/>
        </w:rPr>
        <w:t xml:space="preserve">Aunado a esto, se considera </w:t>
      </w:r>
      <w:r w:rsidR="002B2CC3">
        <w:rPr>
          <w:rFonts w:ascii="ITC Avant Garde" w:hAnsi="ITC Avant Garde"/>
          <w:sz w:val="22"/>
          <w:szCs w:val="22"/>
        </w:rPr>
        <w:t>necesario</w:t>
      </w:r>
      <w:r w:rsidR="005B64D3">
        <w:rPr>
          <w:rFonts w:ascii="ITC Avant Garde" w:hAnsi="ITC Avant Garde"/>
          <w:sz w:val="22"/>
          <w:szCs w:val="22"/>
        </w:rPr>
        <w:t xml:space="preserve"> modificar la redacción del mensaje de texto enviado al Usuario del servicio móvil referente al </w:t>
      </w:r>
      <w:r w:rsidR="005B64D3" w:rsidRPr="005B64D3">
        <w:rPr>
          <w:rFonts w:ascii="ITC Avant Garde" w:hAnsi="ITC Avant Garde"/>
          <w:sz w:val="22"/>
          <w:szCs w:val="22"/>
        </w:rPr>
        <w:t>NIP de confirmación con el fin de resaltar su importancia</w:t>
      </w:r>
      <w:r w:rsidR="005B64D3">
        <w:rPr>
          <w:rFonts w:ascii="ITC Avant Garde" w:hAnsi="ITC Avant Garde"/>
          <w:sz w:val="22"/>
          <w:szCs w:val="22"/>
        </w:rPr>
        <w:t xml:space="preserve">. </w:t>
      </w:r>
    </w:p>
    <w:p w14:paraId="6A2648D2" w14:textId="77777777" w:rsidR="00035F68" w:rsidRDefault="00035F68" w:rsidP="005B64D3">
      <w:pPr>
        <w:pStyle w:val="Prrafodelista"/>
        <w:jc w:val="both"/>
        <w:rPr>
          <w:rFonts w:ascii="ITC Avant Garde" w:hAnsi="ITC Avant Garde"/>
          <w:sz w:val="22"/>
          <w:szCs w:val="22"/>
        </w:rPr>
      </w:pPr>
    </w:p>
    <w:p w14:paraId="59C482F8" w14:textId="77777777" w:rsidR="0036504E" w:rsidRPr="005A2A4D" w:rsidRDefault="00D150A0" w:rsidP="0036504E">
      <w:pPr>
        <w:pStyle w:val="Prrafodelista"/>
        <w:jc w:val="both"/>
        <w:rPr>
          <w:rFonts w:ascii="ITC Avant Garde" w:hAnsi="ITC Avant Garde"/>
          <w:sz w:val="22"/>
          <w:szCs w:val="22"/>
        </w:rPr>
      </w:pPr>
      <w:r>
        <w:rPr>
          <w:rFonts w:ascii="ITC Avant Garde" w:hAnsi="ITC Avant Garde"/>
          <w:sz w:val="22"/>
          <w:szCs w:val="22"/>
        </w:rPr>
        <w:t>Adicionalmente</w:t>
      </w:r>
      <w:r w:rsidR="00F2391C" w:rsidRPr="005B64D3">
        <w:rPr>
          <w:rFonts w:ascii="ITC Avant Garde" w:hAnsi="ITC Avant Garde"/>
          <w:sz w:val="22"/>
          <w:szCs w:val="22"/>
        </w:rPr>
        <w:t xml:space="preserve">, </w:t>
      </w:r>
      <w:r w:rsidR="00035F68" w:rsidRPr="005B64D3">
        <w:rPr>
          <w:rFonts w:ascii="ITC Avant Garde" w:hAnsi="ITC Avant Garde"/>
          <w:sz w:val="22"/>
          <w:szCs w:val="22"/>
        </w:rPr>
        <w:t>con el objeto de disminuir el lapso en que podría ejecutarse una portación sin consentimiento del Usuario</w:t>
      </w:r>
      <w:r w:rsidR="00035F68">
        <w:rPr>
          <w:rFonts w:ascii="ITC Avant Garde" w:hAnsi="ITC Avant Garde"/>
          <w:sz w:val="22"/>
          <w:szCs w:val="22"/>
        </w:rPr>
        <w:t>,</w:t>
      </w:r>
      <w:r w:rsidR="00035F68" w:rsidRPr="005B64D3">
        <w:rPr>
          <w:rFonts w:ascii="ITC Avant Garde" w:hAnsi="ITC Avant Garde"/>
          <w:sz w:val="22"/>
          <w:szCs w:val="22"/>
        </w:rPr>
        <w:t xml:space="preserve"> </w:t>
      </w:r>
      <w:r w:rsidR="00F2391C" w:rsidRPr="005B64D3">
        <w:rPr>
          <w:rFonts w:ascii="ITC Avant Garde" w:hAnsi="ITC Avant Garde"/>
          <w:sz w:val="22"/>
          <w:szCs w:val="22"/>
        </w:rPr>
        <w:t xml:space="preserve">se considera pertinente la reducción de la </w:t>
      </w:r>
      <w:r w:rsidR="00EA5BFC" w:rsidRPr="005B64D3">
        <w:rPr>
          <w:rFonts w:ascii="ITC Avant Garde" w:hAnsi="ITC Avant Garde"/>
          <w:sz w:val="22"/>
          <w:szCs w:val="22"/>
        </w:rPr>
        <w:t>vigencia del NIP de C</w:t>
      </w:r>
      <w:r w:rsidR="00F2391C" w:rsidRPr="005B64D3">
        <w:rPr>
          <w:rFonts w:ascii="ITC Avant Garde" w:hAnsi="ITC Avant Garde"/>
          <w:sz w:val="22"/>
          <w:szCs w:val="22"/>
        </w:rPr>
        <w:t>onfirmación de 15 a 5 días</w:t>
      </w:r>
      <w:r w:rsidR="00D90153" w:rsidRPr="005B64D3">
        <w:rPr>
          <w:rFonts w:ascii="ITC Avant Garde" w:hAnsi="ITC Avant Garde"/>
          <w:sz w:val="22"/>
          <w:szCs w:val="22"/>
        </w:rPr>
        <w:t>. Lo anterior</w:t>
      </w:r>
      <w:r w:rsidR="00F2391C" w:rsidRPr="005B64D3">
        <w:rPr>
          <w:rFonts w:ascii="ITC Avant Garde" w:hAnsi="ITC Avant Garde"/>
          <w:sz w:val="22"/>
          <w:szCs w:val="22"/>
        </w:rPr>
        <w:t xml:space="preserve">, sin perjuicio de que </w:t>
      </w:r>
      <w:r w:rsidR="00D90153" w:rsidRPr="005B64D3">
        <w:rPr>
          <w:rFonts w:ascii="ITC Avant Garde" w:hAnsi="ITC Avant Garde"/>
          <w:sz w:val="22"/>
          <w:szCs w:val="22"/>
        </w:rPr>
        <w:t>pueda solicitar</w:t>
      </w:r>
      <w:r w:rsidR="00F2391C" w:rsidRPr="005B64D3">
        <w:rPr>
          <w:rFonts w:ascii="ITC Avant Garde" w:hAnsi="ITC Avant Garde"/>
          <w:sz w:val="22"/>
          <w:szCs w:val="22"/>
        </w:rPr>
        <w:t xml:space="preserve"> tantos </w:t>
      </w:r>
      <w:proofErr w:type="spellStart"/>
      <w:r w:rsidR="00F2391C" w:rsidRPr="005B64D3">
        <w:rPr>
          <w:rFonts w:ascii="ITC Avant Garde" w:hAnsi="ITC Avant Garde"/>
          <w:sz w:val="22"/>
          <w:szCs w:val="22"/>
        </w:rPr>
        <w:t>NIPs</w:t>
      </w:r>
      <w:proofErr w:type="spellEnd"/>
      <w:r w:rsidR="00F2391C" w:rsidRPr="005B64D3">
        <w:rPr>
          <w:rFonts w:ascii="ITC Avant Garde" w:hAnsi="ITC Avant Garde"/>
          <w:sz w:val="22"/>
          <w:szCs w:val="22"/>
        </w:rPr>
        <w:t xml:space="preserve"> de Confirmación como considere necesarios para ejercer su derecho a la portabilidad.</w:t>
      </w:r>
      <w:r w:rsidR="00035F68">
        <w:rPr>
          <w:rFonts w:ascii="ITC Avant Garde" w:hAnsi="ITC Avant Garde"/>
          <w:sz w:val="22"/>
          <w:szCs w:val="22"/>
        </w:rPr>
        <w:t xml:space="preserve"> </w:t>
      </w:r>
    </w:p>
    <w:p w14:paraId="62E14666" w14:textId="77777777" w:rsidR="00D2121D" w:rsidRDefault="00D2121D" w:rsidP="005A2A4D">
      <w:pPr>
        <w:pStyle w:val="Prrafodelista"/>
        <w:jc w:val="both"/>
        <w:rPr>
          <w:rFonts w:ascii="ITC Avant Garde" w:eastAsia="Times New Roman" w:hAnsi="ITC Avant Garde" w:cs="Arial"/>
          <w:b/>
          <w:kern w:val="2"/>
          <w:sz w:val="22"/>
          <w:szCs w:val="22"/>
          <w:lang w:eastAsia="ar-SA"/>
        </w:rPr>
      </w:pPr>
    </w:p>
    <w:p w14:paraId="77569CE1" w14:textId="77777777" w:rsidR="00445D49" w:rsidRDefault="00445D49" w:rsidP="005A2A4D">
      <w:pPr>
        <w:pStyle w:val="Prrafodelista"/>
        <w:numPr>
          <w:ilvl w:val="0"/>
          <w:numId w:val="6"/>
        </w:numPr>
        <w:jc w:val="both"/>
        <w:rPr>
          <w:rFonts w:ascii="ITC Avant Garde" w:hAnsi="ITC Avant Garde"/>
          <w:b/>
          <w:kern w:val="2"/>
          <w:sz w:val="22"/>
          <w:szCs w:val="22"/>
          <w:lang w:eastAsia="ar-SA"/>
        </w:rPr>
      </w:pPr>
      <w:r>
        <w:rPr>
          <w:rFonts w:ascii="ITC Avant Garde" w:eastAsia="Times New Roman" w:hAnsi="ITC Avant Garde" w:cs="Arial"/>
          <w:b/>
          <w:kern w:val="2"/>
          <w:sz w:val="22"/>
          <w:szCs w:val="22"/>
          <w:lang w:eastAsia="ar-SA"/>
        </w:rPr>
        <w:t xml:space="preserve">Autenticación de facturas a través del </w:t>
      </w:r>
      <w:r w:rsidRPr="00445D49">
        <w:rPr>
          <w:rFonts w:ascii="ITC Avant Garde" w:eastAsia="Times New Roman" w:hAnsi="ITC Avant Garde" w:cs="Arial"/>
          <w:b/>
          <w:kern w:val="2"/>
          <w:sz w:val="22"/>
          <w:szCs w:val="22"/>
          <w:lang w:eastAsia="ar-SA"/>
        </w:rPr>
        <w:t>sistema de verificación de comprobantes fiscales digitales por Internet que administra el Sistema de Administración Tributaria</w:t>
      </w:r>
      <w:r>
        <w:rPr>
          <w:rFonts w:ascii="ITC Avant Garde" w:eastAsia="Times New Roman" w:hAnsi="ITC Avant Garde" w:cs="Arial"/>
          <w:b/>
          <w:kern w:val="2"/>
          <w:sz w:val="22"/>
          <w:szCs w:val="22"/>
          <w:lang w:eastAsia="ar-SA"/>
        </w:rPr>
        <w:t>.</w:t>
      </w:r>
    </w:p>
    <w:p w14:paraId="50CD5E2C" w14:textId="77777777" w:rsidR="00445D49" w:rsidRDefault="00445D49" w:rsidP="005A2A4D">
      <w:pPr>
        <w:pStyle w:val="Prrafodelista"/>
        <w:jc w:val="both"/>
        <w:rPr>
          <w:rFonts w:ascii="ITC Avant Garde" w:hAnsi="ITC Avant Garde"/>
          <w:b/>
          <w:kern w:val="2"/>
          <w:sz w:val="22"/>
          <w:szCs w:val="22"/>
          <w:lang w:eastAsia="ar-SA"/>
        </w:rPr>
      </w:pPr>
    </w:p>
    <w:p w14:paraId="71A29054" w14:textId="01C52424" w:rsidR="00C46B31" w:rsidRPr="00C46B31" w:rsidRDefault="00445D49" w:rsidP="00C46B31">
      <w:pPr>
        <w:pStyle w:val="Prrafodelista"/>
        <w:jc w:val="both"/>
        <w:rPr>
          <w:rFonts w:ascii="ITC Avant Garde" w:hAnsi="ITC Avant Garde"/>
          <w:sz w:val="22"/>
          <w:szCs w:val="22"/>
        </w:rPr>
      </w:pPr>
      <w:r>
        <w:rPr>
          <w:rFonts w:ascii="ITC Avant Garde" w:hAnsi="ITC Avant Garde"/>
          <w:sz w:val="22"/>
          <w:szCs w:val="22"/>
        </w:rPr>
        <w:t>E</w:t>
      </w:r>
      <w:r w:rsidRPr="005A2A4D">
        <w:rPr>
          <w:rFonts w:ascii="ITC Avant Garde" w:hAnsi="ITC Avant Garde"/>
          <w:sz w:val="22"/>
          <w:szCs w:val="22"/>
        </w:rPr>
        <w:t>n el proceso actual de la portabilidad numérica</w:t>
      </w:r>
      <w:r>
        <w:rPr>
          <w:rFonts w:ascii="ITC Avant Garde" w:hAnsi="ITC Avant Garde"/>
          <w:sz w:val="22"/>
          <w:szCs w:val="22"/>
        </w:rPr>
        <w:t xml:space="preserve"> se ha detectado que</w:t>
      </w:r>
      <w:r w:rsidR="00E34C19">
        <w:rPr>
          <w:rFonts w:ascii="ITC Avant Garde" w:hAnsi="ITC Avant Garde"/>
          <w:sz w:val="22"/>
          <w:szCs w:val="22"/>
        </w:rPr>
        <w:t>,</w:t>
      </w:r>
      <w:r w:rsidRPr="005A2A4D">
        <w:rPr>
          <w:rFonts w:ascii="ITC Avant Garde" w:hAnsi="ITC Avant Garde"/>
          <w:sz w:val="22"/>
          <w:szCs w:val="22"/>
        </w:rPr>
        <w:t xml:space="preserve"> </w:t>
      </w:r>
      <w:r w:rsidR="00E34C19">
        <w:rPr>
          <w:rFonts w:ascii="ITC Avant Garde" w:hAnsi="ITC Avant Garde"/>
          <w:sz w:val="22"/>
          <w:szCs w:val="22"/>
        </w:rPr>
        <w:t xml:space="preserve">cuando </w:t>
      </w:r>
      <w:r w:rsidRPr="005A2A4D">
        <w:rPr>
          <w:rFonts w:ascii="ITC Avant Garde" w:hAnsi="ITC Avant Garde"/>
          <w:sz w:val="22"/>
          <w:szCs w:val="22"/>
        </w:rPr>
        <w:t xml:space="preserve">el Proveedor Donador </w:t>
      </w:r>
      <w:r w:rsidR="00E34C19">
        <w:rPr>
          <w:rFonts w:ascii="ITC Avant Garde" w:hAnsi="ITC Avant Garde"/>
          <w:sz w:val="22"/>
          <w:szCs w:val="22"/>
        </w:rPr>
        <w:t xml:space="preserve">rechaza una solicitud de portabilidad y </w:t>
      </w:r>
      <w:r w:rsidR="00E34C19" w:rsidRPr="00E34C19">
        <w:rPr>
          <w:rFonts w:ascii="ITC Avant Garde" w:hAnsi="ITC Avant Garde"/>
          <w:sz w:val="22"/>
          <w:szCs w:val="22"/>
        </w:rPr>
        <w:t>lo</w:t>
      </w:r>
      <w:r w:rsidRPr="005A2A4D">
        <w:rPr>
          <w:rFonts w:ascii="ITC Avant Garde" w:hAnsi="ITC Avant Garde"/>
          <w:sz w:val="22"/>
          <w:szCs w:val="22"/>
        </w:rPr>
        <w:t xml:space="preserve"> acredita mediante factura, el ABD no cuenta con ningún criterio de validación para poder </w:t>
      </w:r>
      <w:r w:rsidR="00D90153" w:rsidRPr="00041E73">
        <w:rPr>
          <w:rFonts w:ascii="ITC Avant Garde" w:hAnsi="ITC Avant Garde"/>
          <w:sz w:val="22"/>
          <w:szCs w:val="22"/>
        </w:rPr>
        <w:t>confirmar</w:t>
      </w:r>
      <w:r w:rsidRPr="005A2A4D">
        <w:rPr>
          <w:rFonts w:ascii="ITC Avant Garde" w:hAnsi="ITC Avant Garde"/>
          <w:sz w:val="22"/>
          <w:szCs w:val="22"/>
        </w:rPr>
        <w:t xml:space="preserve"> que sea motivo de rechazo legítimo, por lo cual, se considera pertinente a</w:t>
      </w:r>
      <w:r w:rsidR="00F4300E">
        <w:rPr>
          <w:rFonts w:ascii="ITC Avant Garde" w:hAnsi="ITC Avant Garde"/>
          <w:sz w:val="22"/>
          <w:szCs w:val="22"/>
        </w:rPr>
        <w:t>dicionar</w:t>
      </w:r>
      <w:r w:rsidRPr="005A2A4D">
        <w:rPr>
          <w:rFonts w:ascii="ITC Avant Garde" w:hAnsi="ITC Avant Garde"/>
          <w:sz w:val="22"/>
          <w:szCs w:val="22"/>
        </w:rPr>
        <w:t xml:space="preserve"> que el </w:t>
      </w:r>
      <w:r w:rsidR="00D90153">
        <w:rPr>
          <w:rFonts w:ascii="ITC Avant Garde" w:hAnsi="ITC Avant Garde"/>
          <w:sz w:val="22"/>
          <w:szCs w:val="22"/>
        </w:rPr>
        <w:t>Proveedor D</w:t>
      </w:r>
      <w:r w:rsidR="00E34C19">
        <w:rPr>
          <w:rFonts w:ascii="ITC Avant Garde" w:hAnsi="ITC Avant Garde"/>
          <w:sz w:val="22"/>
          <w:szCs w:val="22"/>
        </w:rPr>
        <w:t xml:space="preserve">onador acredite mediante </w:t>
      </w:r>
      <w:r w:rsidR="00E34C19" w:rsidRPr="00B63917">
        <w:rPr>
          <w:rFonts w:ascii="ITC Avant Garde" w:hAnsi="ITC Avant Garde"/>
          <w:sz w:val="22"/>
          <w:szCs w:val="22"/>
        </w:rPr>
        <w:t xml:space="preserve">facturas </w:t>
      </w:r>
      <w:r w:rsidR="00E34C19">
        <w:rPr>
          <w:rFonts w:ascii="ITC Avant Garde" w:hAnsi="ITC Avant Garde"/>
          <w:sz w:val="22"/>
          <w:szCs w:val="22"/>
        </w:rPr>
        <w:t xml:space="preserve">que puedan ser autenticadas </w:t>
      </w:r>
      <w:r w:rsidR="00E34C19" w:rsidRPr="00B63917">
        <w:rPr>
          <w:rFonts w:ascii="ITC Avant Garde" w:hAnsi="ITC Avant Garde"/>
          <w:sz w:val="22"/>
          <w:szCs w:val="22"/>
        </w:rPr>
        <w:t>a través del sistema de verificación de comprobantes fiscales digitales por Internet que administra el Sistema de Administración Tributaria</w:t>
      </w:r>
      <w:r w:rsidR="00F51219">
        <w:rPr>
          <w:rFonts w:ascii="ITC Avant Garde" w:hAnsi="ITC Avant Garde"/>
          <w:sz w:val="22"/>
          <w:szCs w:val="22"/>
        </w:rPr>
        <w:t>,</w:t>
      </w:r>
      <w:r w:rsidR="00E34C19" w:rsidRPr="00E34C19">
        <w:rPr>
          <w:rFonts w:ascii="ITC Avant Garde" w:hAnsi="ITC Avant Garde"/>
          <w:sz w:val="22"/>
          <w:szCs w:val="22"/>
        </w:rPr>
        <w:t xml:space="preserve"> </w:t>
      </w:r>
      <w:r w:rsidR="00E34C19">
        <w:rPr>
          <w:rFonts w:ascii="ITC Avant Garde" w:hAnsi="ITC Avant Garde"/>
          <w:sz w:val="22"/>
          <w:szCs w:val="22"/>
        </w:rPr>
        <w:t xml:space="preserve">para que el </w:t>
      </w:r>
      <w:r w:rsidRPr="005A2A4D">
        <w:rPr>
          <w:rFonts w:ascii="ITC Avant Garde" w:hAnsi="ITC Avant Garde"/>
          <w:sz w:val="22"/>
          <w:szCs w:val="22"/>
        </w:rPr>
        <w:t xml:space="preserve">referido ABD pueda </w:t>
      </w:r>
      <w:r w:rsidR="00E34C19">
        <w:rPr>
          <w:rFonts w:ascii="ITC Avant Garde" w:hAnsi="ITC Avant Garde"/>
          <w:sz w:val="22"/>
          <w:szCs w:val="22"/>
        </w:rPr>
        <w:t>validarlas</w:t>
      </w:r>
      <w:r w:rsidRPr="005A2A4D">
        <w:rPr>
          <w:rFonts w:ascii="ITC Avant Garde" w:hAnsi="ITC Avant Garde"/>
          <w:sz w:val="22"/>
          <w:szCs w:val="22"/>
        </w:rPr>
        <w:t>.</w:t>
      </w:r>
      <w:r w:rsidR="00035F68">
        <w:rPr>
          <w:rFonts w:ascii="ITC Avant Garde" w:hAnsi="ITC Avant Garde"/>
          <w:sz w:val="22"/>
          <w:szCs w:val="22"/>
        </w:rPr>
        <w:t xml:space="preserve"> </w:t>
      </w:r>
    </w:p>
    <w:p w14:paraId="0487D843" w14:textId="77777777" w:rsidR="00446DC5" w:rsidRDefault="00446DC5" w:rsidP="00446DC5">
      <w:pPr>
        <w:pStyle w:val="Prrafodelista"/>
        <w:jc w:val="both"/>
        <w:rPr>
          <w:rFonts w:ascii="ITC Avant Garde" w:hAnsi="ITC Avant Garde"/>
          <w:sz w:val="22"/>
          <w:szCs w:val="22"/>
        </w:rPr>
      </w:pPr>
    </w:p>
    <w:p w14:paraId="6A802BA0" w14:textId="77777777" w:rsidR="0036504E" w:rsidRDefault="0036504E" w:rsidP="005A2A4D">
      <w:pPr>
        <w:pStyle w:val="Prrafodelista"/>
        <w:numPr>
          <w:ilvl w:val="0"/>
          <w:numId w:val="6"/>
        </w:numPr>
        <w:jc w:val="both"/>
        <w:rPr>
          <w:rFonts w:ascii="ITC Avant Garde" w:hAnsi="ITC Avant Garde"/>
          <w:b/>
          <w:sz w:val="22"/>
          <w:szCs w:val="22"/>
        </w:rPr>
      </w:pPr>
      <w:r>
        <w:rPr>
          <w:rFonts w:ascii="ITC Avant Garde" w:hAnsi="ITC Avant Garde"/>
          <w:b/>
          <w:sz w:val="22"/>
          <w:szCs w:val="22"/>
        </w:rPr>
        <w:lastRenderedPageBreak/>
        <w:t xml:space="preserve">Plazo </w:t>
      </w:r>
      <w:r w:rsidRPr="0036504E">
        <w:rPr>
          <w:rFonts w:ascii="ITC Avant Garde" w:hAnsi="ITC Avant Garde"/>
          <w:b/>
          <w:sz w:val="22"/>
          <w:szCs w:val="22"/>
        </w:rPr>
        <w:t>específico para el ingreso de una solicitud de reversión a causa de la portabilidad ejecutada sin consentimiento del Usuario.</w:t>
      </w:r>
    </w:p>
    <w:p w14:paraId="5216762F" w14:textId="77777777" w:rsidR="00897BC4" w:rsidRDefault="00897BC4" w:rsidP="00016D76">
      <w:pPr>
        <w:pStyle w:val="Prrafodelista"/>
        <w:jc w:val="both"/>
        <w:rPr>
          <w:rFonts w:ascii="ITC Avant Garde" w:hAnsi="ITC Avant Garde"/>
          <w:b/>
          <w:sz w:val="22"/>
          <w:szCs w:val="22"/>
        </w:rPr>
      </w:pPr>
    </w:p>
    <w:p w14:paraId="42C0D9D7" w14:textId="77777777" w:rsidR="00C46B31" w:rsidRDefault="00446DC5" w:rsidP="00446DC5">
      <w:pPr>
        <w:pStyle w:val="Prrafodelista"/>
        <w:jc w:val="both"/>
        <w:rPr>
          <w:rFonts w:ascii="ITC Avant Garde" w:hAnsi="ITC Avant Garde"/>
          <w:sz w:val="22"/>
          <w:szCs w:val="22"/>
        </w:rPr>
      </w:pPr>
      <w:r w:rsidRPr="0036504E">
        <w:rPr>
          <w:rFonts w:ascii="ITC Avant Garde" w:hAnsi="ITC Avant Garde"/>
          <w:sz w:val="22"/>
          <w:szCs w:val="22"/>
        </w:rPr>
        <w:t xml:space="preserve">En la regla 52 </w:t>
      </w:r>
      <w:r w:rsidR="00C46B31">
        <w:rPr>
          <w:rFonts w:ascii="ITC Avant Garde" w:hAnsi="ITC Avant Garde"/>
          <w:sz w:val="22"/>
          <w:szCs w:val="22"/>
        </w:rPr>
        <w:t xml:space="preserve">fracción I, se indica que el Proveedor Donador ingresará la reversión a solicitud del Usuario y, en la </w:t>
      </w:r>
      <w:r w:rsidRPr="0036504E">
        <w:rPr>
          <w:rFonts w:ascii="ITC Avant Garde" w:hAnsi="ITC Avant Garde"/>
          <w:sz w:val="22"/>
          <w:szCs w:val="22"/>
        </w:rPr>
        <w:t>fracción I</w:t>
      </w:r>
      <w:r w:rsidR="0036504E" w:rsidRPr="0036504E">
        <w:rPr>
          <w:rFonts w:ascii="ITC Avant Garde" w:hAnsi="ITC Avant Garde"/>
          <w:sz w:val="22"/>
          <w:szCs w:val="22"/>
        </w:rPr>
        <w:t>II</w:t>
      </w:r>
      <w:r w:rsidRPr="0036504E">
        <w:rPr>
          <w:rFonts w:ascii="ITC Avant Garde" w:hAnsi="ITC Avant Garde"/>
          <w:sz w:val="22"/>
          <w:szCs w:val="22"/>
        </w:rPr>
        <w:t xml:space="preserve"> se establece que</w:t>
      </w:r>
      <w:r w:rsidR="0036504E">
        <w:rPr>
          <w:rFonts w:ascii="ITC Avant Garde" w:hAnsi="ITC Avant Garde"/>
          <w:sz w:val="22"/>
          <w:szCs w:val="22"/>
        </w:rPr>
        <w:t>,</w:t>
      </w:r>
      <w:r w:rsidRPr="0036504E">
        <w:rPr>
          <w:rFonts w:ascii="ITC Avant Garde" w:hAnsi="ITC Avant Garde"/>
          <w:sz w:val="22"/>
          <w:szCs w:val="22"/>
        </w:rPr>
        <w:t xml:space="preserve"> </w:t>
      </w:r>
      <w:r w:rsidR="0036504E">
        <w:rPr>
          <w:rFonts w:ascii="ITC Avant Garde" w:hAnsi="ITC Avant Garde"/>
          <w:sz w:val="22"/>
          <w:szCs w:val="22"/>
        </w:rPr>
        <w:t>c</w:t>
      </w:r>
      <w:r w:rsidR="0036504E" w:rsidRPr="0036504E">
        <w:rPr>
          <w:rFonts w:ascii="ITC Avant Garde" w:hAnsi="ITC Avant Garde"/>
          <w:sz w:val="22"/>
          <w:szCs w:val="22"/>
        </w:rPr>
        <w:t>uando el Proveedor Donador promueva la reversión a causa de portabilidad ejecutada sin el consentimiento del Usuario, deberá remitir un escrito firmado por éste, acompañado de documentos de identificación y un comprobante de numeración válido</w:t>
      </w:r>
      <w:r w:rsidR="0036504E">
        <w:rPr>
          <w:rFonts w:ascii="ITC Avant Garde" w:hAnsi="ITC Avant Garde"/>
          <w:sz w:val="22"/>
          <w:szCs w:val="22"/>
        </w:rPr>
        <w:t>.</w:t>
      </w:r>
      <w:r w:rsidR="00B46D34">
        <w:rPr>
          <w:rFonts w:ascii="ITC Avant Garde" w:hAnsi="ITC Avant Garde"/>
          <w:sz w:val="22"/>
          <w:szCs w:val="22"/>
        </w:rPr>
        <w:t xml:space="preserve"> </w:t>
      </w:r>
    </w:p>
    <w:p w14:paraId="7B71F51A" w14:textId="77777777" w:rsidR="00C46B31" w:rsidRDefault="00C46B31" w:rsidP="00446DC5">
      <w:pPr>
        <w:pStyle w:val="Prrafodelista"/>
        <w:jc w:val="both"/>
        <w:rPr>
          <w:rFonts w:ascii="ITC Avant Garde" w:hAnsi="ITC Avant Garde"/>
          <w:sz w:val="22"/>
          <w:szCs w:val="22"/>
        </w:rPr>
      </w:pPr>
    </w:p>
    <w:p w14:paraId="5DD4EB24" w14:textId="77777777" w:rsidR="00FD611D" w:rsidRDefault="00FD6B95" w:rsidP="00446DC5">
      <w:pPr>
        <w:pStyle w:val="Prrafodelista"/>
        <w:jc w:val="both"/>
        <w:rPr>
          <w:rFonts w:ascii="ITC Avant Garde" w:hAnsi="ITC Avant Garde"/>
          <w:sz w:val="22"/>
          <w:szCs w:val="22"/>
        </w:rPr>
      </w:pPr>
      <w:r>
        <w:rPr>
          <w:rFonts w:ascii="ITC Avant Garde" w:hAnsi="ITC Avant Garde"/>
          <w:sz w:val="22"/>
          <w:szCs w:val="22"/>
        </w:rPr>
        <w:t>Sin embargo, la regla</w:t>
      </w:r>
      <w:r w:rsidR="00FD611D" w:rsidRPr="00FD611D">
        <w:rPr>
          <w:rFonts w:ascii="ITC Avant Garde" w:hAnsi="ITC Avant Garde"/>
          <w:sz w:val="22"/>
          <w:szCs w:val="22"/>
        </w:rPr>
        <w:t xml:space="preserve"> no establece el plazo específico en el que el Proveedor Donador deberá realizar el ingreso de una solicitud de reversión</w:t>
      </w:r>
      <w:r w:rsidR="003B6A4F">
        <w:rPr>
          <w:rFonts w:ascii="ITC Avant Garde" w:hAnsi="ITC Avant Garde"/>
          <w:sz w:val="22"/>
          <w:szCs w:val="22"/>
        </w:rPr>
        <w:t>,</w:t>
      </w:r>
      <w:r w:rsidR="00FD611D" w:rsidRPr="00FD611D">
        <w:rPr>
          <w:rFonts w:ascii="ITC Avant Garde" w:hAnsi="ITC Avant Garde"/>
          <w:sz w:val="22"/>
          <w:szCs w:val="22"/>
        </w:rPr>
        <w:t xml:space="preserve"> una vez </w:t>
      </w:r>
      <w:r w:rsidR="003B6A4F">
        <w:rPr>
          <w:rFonts w:ascii="ITC Avant Garde" w:hAnsi="ITC Avant Garde"/>
          <w:sz w:val="22"/>
          <w:szCs w:val="22"/>
        </w:rPr>
        <w:t xml:space="preserve">que </w:t>
      </w:r>
      <w:r w:rsidR="00FD611D" w:rsidRPr="00FD611D">
        <w:rPr>
          <w:rFonts w:ascii="ITC Avant Garde" w:hAnsi="ITC Avant Garde"/>
          <w:sz w:val="22"/>
          <w:szCs w:val="22"/>
        </w:rPr>
        <w:t>cuent</w:t>
      </w:r>
      <w:r w:rsidR="00FD611D">
        <w:rPr>
          <w:rFonts w:ascii="ITC Avant Garde" w:hAnsi="ITC Avant Garde"/>
          <w:sz w:val="22"/>
          <w:szCs w:val="22"/>
        </w:rPr>
        <w:t>a</w:t>
      </w:r>
      <w:r w:rsidR="00FD611D" w:rsidRPr="00FD611D">
        <w:rPr>
          <w:rFonts w:ascii="ITC Avant Garde" w:hAnsi="ITC Avant Garde"/>
          <w:sz w:val="22"/>
          <w:szCs w:val="22"/>
        </w:rPr>
        <w:t xml:space="preserve"> con la solicitud del Usuario y la documentación requerida, </w:t>
      </w:r>
      <w:r w:rsidR="00FD611D">
        <w:rPr>
          <w:rFonts w:ascii="ITC Avant Garde" w:hAnsi="ITC Avant Garde"/>
          <w:sz w:val="22"/>
          <w:szCs w:val="22"/>
        </w:rPr>
        <w:t>lo que podría retrasar el proceso.</w:t>
      </w:r>
    </w:p>
    <w:p w14:paraId="4C4DB84B" w14:textId="77777777" w:rsidR="00FD611D" w:rsidRDefault="00FD611D" w:rsidP="00767D04">
      <w:pPr>
        <w:pStyle w:val="Prrafodelista"/>
        <w:jc w:val="both"/>
        <w:rPr>
          <w:rFonts w:ascii="ITC Avant Garde" w:hAnsi="ITC Avant Garde"/>
          <w:sz w:val="22"/>
          <w:szCs w:val="22"/>
        </w:rPr>
      </w:pPr>
    </w:p>
    <w:p w14:paraId="5CA3E485" w14:textId="77777777" w:rsidR="00767D04" w:rsidRDefault="00B46D34" w:rsidP="00767D04">
      <w:pPr>
        <w:pStyle w:val="Prrafodelista"/>
        <w:jc w:val="both"/>
        <w:rPr>
          <w:rFonts w:ascii="ITC Avant Garde" w:hAnsi="ITC Avant Garde"/>
          <w:sz w:val="22"/>
          <w:szCs w:val="22"/>
        </w:rPr>
      </w:pPr>
      <w:r>
        <w:rPr>
          <w:rFonts w:ascii="ITC Avant Garde" w:hAnsi="ITC Avant Garde"/>
          <w:sz w:val="22"/>
          <w:szCs w:val="22"/>
        </w:rPr>
        <w:t xml:space="preserve">Por tal motivo, a efecto de </w:t>
      </w:r>
      <w:r w:rsidR="00FD611D" w:rsidRPr="00FD611D">
        <w:rPr>
          <w:rFonts w:ascii="ITC Avant Garde" w:hAnsi="ITC Avant Garde"/>
          <w:sz w:val="22"/>
          <w:szCs w:val="22"/>
        </w:rPr>
        <w:t>agilizar el proceso y dar certidumbre a los Usuarios respecto al ingreso de su solicitud de reversión</w:t>
      </w:r>
      <w:r w:rsidR="00FD611D">
        <w:rPr>
          <w:rFonts w:ascii="ITC Avant Garde" w:hAnsi="ITC Avant Garde"/>
          <w:sz w:val="22"/>
          <w:szCs w:val="22"/>
        </w:rPr>
        <w:t xml:space="preserve">, se considera </w:t>
      </w:r>
      <w:r w:rsidR="003B6A4F">
        <w:rPr>
          <w:rFonts w:ascii="ITC Avant Garde" w:hAnsi="ITC Avant Garde"/>
          <w:sz w:val="22"/>
          <w:szCs w:val="22"/>
        </w:rPr>
        <w:t xml:space="preserve">pertinente </w:t>
      </w:r>
      <w:r>
        <w:rPr>
          <w:rFonts w:ascii="ITC Avant Garde" w:hAnsi="ITC Avant Garde"/>
          <w:sz w:val="22"/>
          <w:szCs w:val="22"/>
        </w:rPr>
        <w:t>estable</w:t>
      </w:r>
      <w:r w:rsidR="00FD611D">
        <w:rPr>
          <w:rFonts w:ascii="ITC Avant Garde" w:hAnsi="ITC Avant Garde"/>
          <w:sz w:val="22"/>
          <w:szCs w:val="22"/>
        </w:rPr>
        <w:t xml:space="preserve">cer </w:t>
      </w:r>
      <w:r w:rsidR="00C46B31">
        <w:rPr>
          <w:rFonts w:ascii="ITC Avant Garde" w:hAnsi="ITC Avant Garde"/>
          <w:sz w:val="22"/>
          <w:szCs w:val="22"/>
        </w:rPr>
        <w:t>como obligación para el Proveedor Donador el ingreso de las solicitudes de reversión</w:t>
      </w:r>
      <w:r w:rsidR="00FD611D">
        <w:rPr>
          <w:rFonts w:ascii="ITC Avant Garde" w:hAnsi="ITC Avant Garde"/>
          <w:sz w:val="22"/>
          <w:szCs w:val="22"/>
        </w:rPr>
        <w:t xml:space="preserve">, así como un plazo específico </w:t>
      </w:r>
      <w:r w:rsidRPr="00B46D34">
        <w:rPr>
          <w:rFonts w:ascii="ITC Avant Garde" w:hAnsi="ITC Avant Garde"/>
          <w:sz w:val="22"/>
          <w:szCs w:val="22"/>
        </w:rPr>
        <w:t xml:space="preserve">para </w:t>
      </w:r>
      <w:r w:rsidR="00FD611D">
        <w:rPr>
          <w:rFonts w:ascii="ITC Avant Garde" w:hAnsi="ITC Avant Garde"/>
          <w:sz w:val="22"/>
          <w:szCs w:val="22"/>
        </w:rPr>
        <w:t xml:space="preserve">aquellas </w:t>
      </w:r>
      <w:r w:rsidR="003B6A4F">
        <w:rPr>
          <w:rFonts w:ascii="ITC Avant Garde" w:hAnsi="ITC Avant Garde"/>
          <w:sz w:val="22"/>
          <w:szCs w:val="22"/>
        </w:rPr>
        <w:t xml:space="preserve">que fueron </w:t>
      </w:r>
      <w:r w:rsidRPr="00B46D34">
        <w:rPr>
          <w:rFonts w:ascii="ITC Avant Garde" w:hAnsi="ITC Avant Garde"/>
          <w:sz w:val="22"/>
          <w:szCs w:val="22"/>
        </w:rPr>
        <w:t>ejecutada</w:t>
      </w:r>
      <w:r w:rsidR="00FD611D">
        <w:rPr>
          <w:rFonts w:ascii="ITC Avant Garde" w:hAnsi="ITC Avant Garde"/>
          <w:sz w:val="22"/>
          <w:szCs w:val="22"/>
        </w:rPr>
        <w:t>s</w:t>
      </w:r>
      <w:r>
        <w:rPr>
          <w:rFonts w:ascii="ITC Avant Garde" w:hAnsi="ITC Avant Garde"/>
          <w:sz w:val="22"/>
          <w:szCs w:val="22"/>
        </w:rPr>
        <w:t xml:space="preserve"> sin consentimiento del Usuario</w:t>
      </w:r>
      <w:r w:rsidR="00C46B31">
        <w:rPr>
          <w:rFonts w:ascii="ITC Avant Garde" w:hAnsi="ITC Avant Garde"/>
          <w:sz w:val="22"/>
          <w:szCs w:val="22"/>
        </w:rPr>
        <w:t>.</w:t>
      </w:r>
    </w:p>
    <w:p w14:paraId="1682A2E7" w14:textId="77777777" w:rsidR="00E34C19" w:rsidRDefault="00E34C19" w:rsidP="005A2A4D">
      <w:pPr>
        <w:pStyle w:val="Prrafodelista"/>
        <w:jc w:val="both"/>
        <w:rPr>
          <w:rFonts w:ascii="ITC Avant Garde" w:hAnsi="ITC Avant Garde"/>
          <w:sz w:val="22"/>
          <w:szCs w:val="22"/>
        </w:rPr>
      </w:pPr>
    </w:p>
    <w:p w14:paraId="2CB03091" w14:textId="77777777" w:rsidR="00445D49" w:rsidRPr="005A2A4D" w:rsidRDefault="00445D49" w:rsidP="00A13B42">
      <w:pPr>
        <w:ind w:left="708"/>
        <w:jc w:val="both"/>
        <w:rPr>
          <w:rFonts w:ascii="ITC Avant Garde" w:eastAsia="Times New Roman" w:hAnsi="ITC Avant Garde" w:cs="Arial"/>
          <w:b/>
          <w:kern w:val="2"/>
          <w:sz w:val="22"/>
          <w:szCs w:val="22"/>
          <w:lang w:eastAsia="ar-SA"/>
        </w:rPr>
      </w:pPr>
    </w:p>
    <w:p w14:paraId="7E43EA70" w14:textId="35A867A2" w:rsidR="00D44FC8" w:rsidRDefault="00C00EEE" w:rsidP="006A0475">
      <w:pPr>
        <w:jc w:val="both"/>
        <w:rPr>
          <w:rFonts w:ascii="ITC Avant Garde" w:eastAsia="Times New Roman" w:hAnsi="ITC Avant Garde" w:cs="Arial"/>
          <w:kern w:val="2"/>
          <w:sz w:val="22"/>
          <w:szCs w:val="22"/>
          <w:lang w:eastAsia="ar-SA"/>
        </w:rPr>
      </w:pPr>
      <w:r w:rsidRPr="005A2A4D">
        <w:rPr>
          <w:rFonts w:ascii="ITC Avant Garde" w:eastAsia="Times New Roman" w:hAnsi="ITC Avant Garde" w:cs="Arial"/>
          <w:b/>
          <w:kern w:val="2"/>
          <w:sz w:val="22"/>
          <w:szCs w:val="22"/>
          <w:lang w:eastAsia="ar-SA"/>
        </w:rPr>
        <w:t>CUARTO. Análisis de Impacto Regulatorio.</w:t>
      </w:r>
      <w:r w:rsidRPr="005A2A4D">
        <w:rPr>
          <w:rFonts w:ascii="ITC Avant Garde" w:eastAsia="Times New Roman" w:hAnsi="ITC Avant Garde" w:cs="Arial"/>
          <w:kern w:val="2"/>
          <w:sz w:val="22"/>
          <w:szCs w:val="22"/>
          <w:lang w:eastAsia="ar-SA"/>
        </w:rPr>
        <w:t xml:space="preserve"> El segundo párrafo del artículo 51 de la Ley establece que previo a la emisión de reglas, lineamientos o disposiciones administrativas de carácter general de que se trate, el Instituto deberá realizar y hacer público un análisis de impacto regulatorio o, en su caso, solicitar el apoyo de la Comisión Federal de Mejora Regulatoria. </w:t>
      </w:r>
    </w:p>
    <w:p w14:paraId="0E85BAA2" w14:textId="77777777" w:rsidR="00D44FC8" w:rsidRDefault="00D44FC8" w:rsidP="006A0475">
      <w:pPr>
        <w:jc w:val="both"/>
        <w:rPr>
          <w:rFonts w:ascii="ITC Avant Garde" w:eastAsia="Times New Roman" w:hAnsi="ITC Avant Garde" w:cs="Arial"/>
          <w:kern w:val="2"/>
          <w:sz w:val="22"/>
          <w:szCs w:val="22"/>
          <w:lang w:eastAsia="ar-SA"/>
        </w:rPr>
      </w:pPr>
    </w:p>
    <w:p w14:paraId="3B559AB7" w14:textId="77777777" w:rsidR="00D44FC8" w:rsidRDefault="00C00EEE" w:rsidP="006A0475">
      <w:pPr>
        <w:jc w:val="both"/>
        <w:rPr>
          <w:rFonts w:ascii="ITC Avant Garde" w:eastAsia="Times New Roman" w:hAnsi="ITC Avant Garde" w:cs="Arial"/>
          <w:kern w:val="2"/>
          <w:sz w:val="22"/>
          <w:szCs w:val="22"/>
          <w:lang w:eastAsia="ar-SA"/>
        </w:rPr>
      </w:pPr>
      <w:r w:rsidRPr="005A2A4D">
        <w:rPr>
          <w:rFonts w:ascii="ITC Avant Garde" w:eastAsia="Times New Roman" w:hAnsi="ITC Avant Garde" w:cs="Arial"/>
          <w:kern w:val="2"/>
          <w:sz w:val="22"/>
          <w:szCs w:val="22"/>
          <w:lang w:eastAsia="ar-SA"/>
        </w:rPr>
        <w:t xml:space="preserve">Al respecto, </w:t>
      </w:r>
      <w:r w:rsidR="00BC543D">
        <w:rPr>
          <w:rFonts w:ascii="ITC Avant Garde" w:eastAsia="Times New Roman" w:hAnsi="ITC Avant Garde" w:cs="Arial"/>
          <w:kern w:val="2"/>
          <w:sz w:val="22"/>
          <w:szCs w:val="22"/>
          <w:lang w:eastAsia="ar-SA"/>
        </w:rPr>
        <w:t xml:space="preserve">se </w:t>
      </w:r>
      <w:r w:rsidRPr="005A2A4D">
        <w:rPr>
          <w:rFonts w:ascii="ITC Avant Garde" w:eastAsia="Times New Roman" w:hAnsi="ITC Avant Garde" w:cs="Arial"/>
          <w:kern w:val="2"/>
          <w:sz w:val="22"/>
          <w:szCs w:val="22"/>
          <w:lang w:eastAsia="ar-SA"/>
        </w:rPr>
        <w:t xml:space="preserve">realizó el Análisis de Impacto Regulatorio correspondiente, mismo que fue sometido formalmente a opinión </w:t>
      </w:r>
      <w:r w:rsidR="008F5F5B">
        <w:rPr>
          <w:rFonts w:ascii="ITC Avant Garde" w:eastAsia="Times New Roman" w:hAnsi="ITC Avant Garde" w:cs="Arial"/>
          <w:kern w:val="2"/>
          <w:sz w:val="22"/>
          <w:szCs w:val="22"/>
          <w:lang w:eastAsia="ar-SA"/>
        </w:rPr>
        <w:t xml:space="preserve">no vinculante </w:t>
      </w:r>
      <w:r w:rsidRPr="005A2A4D">
        <w:rPr>
          <w:rFonts w:ascii="ITC Avant Garde" w:eastAsia="Times New Roman" w:hAnsi="ITC Avant Garde" w:cs="Arial"/>
          <w:kern w:val="2"/>
          <w:sz w:val="22"/>
          <w:szCs w:val="22"/>
          <w:lang w:eastAsia="ar-SA"/>
        </w:rPr>
        <w:t xml:space="preserve">de la Coordinación General de Mejora Regulatoria (“CGMR”) del propio Instituto. </w:t>
      </w:r>
    </w:p>
    <w:p w14:paraId="5E1D2B5B" w14:textId="77777777" w:rsidR="00D44FC8" w:rsidRDefault="00D44FC8" w:rsidP="006A0475">
      <w:pPr>
        <w:jc w:val="both"/>
        <w:rPr>
          <w:rFonts w:ascii="ITC Avant Garde" w:eastAsia="Times New Roman" w:hAnsi="ITC Avant Garde" w:cs="Arial"/>
          <w:kern w:val="2"/>
          <w:sz w:val="22"/>
          <w:szCs w:val="22"/>
          <w:lang w:eastAsia="ar-SA"/>
        </w:rPr>
      </w:pPr>
    </w:p>
    <w:p w14:paraId="201529D6" w14:textId="77777777" w:rsidR="00D44FC8" w:rsidRPr="002B3C7E" w:rsidRDefault="00C00EEE" w:rsidP="009158FA">
      <w:pPr>
        <w:jc w:val="both"/>
        <w:rPr>
          <w:rFonts w:ascii="ITC Avant Garde" w:eastAsia="Times New Roman" w:hAnsi="ITC Avant Garde" w:cs="Arial"/>
          <w:kern w:val="2"/>
          <w:sz w:val="22"/>
          <w:szCs w:val="22"/>
          <w:lang w:eastAsia="ar-SA"/>
        </w:rPr>
      </w:pPr>
      <w:r w:rsidRPr="005A2A4D">
        <w:rPr>
          <w:rFonts w:ascii="ITC Avant Garde" w:eastAsia="Times New Roman" w:hAnsi="ITC Avant Garde" w:cs="Arial"/>
          <w:kern w:val="2"/>
          <w:sz w:val="22"/>
          <w:szCs w:val="22"/>
          <w:lang w:eastAsia="ar-SA"/>
        </w:rPr>
        <w:t xml:space="preserve">Como consecuencia de lo anterior, mediante oficio </w:t>
      </w:r>
      <w:r w:rsidR="00CA6C59">
        <w:rPr>
          <w:rFonts w:ascii="ITC Avant Garde" w:eastAsia="Times New Roman" w:hAnsi="ITC Avant Garde" w:cs="Arial"/>
          <w:kern w:val="2"/>
          <w:sz w:val="22"/>
          <w:szCs w:val="22"/>
          <w:lang w:eastAsia="ar-SA"/>
        </w:rPr>
        <w:t>IFT/211/CGMR/147/2019</w:t>
      </w:r>
      <w:r w:rsidR="00D44FC8">
        <w:rPr>
          <w:rFonts w:ascii="ITC Avant Garde" w:eastAsia="Times New Roman" w:hAnsi="ITC Avant Garde" w:cs="Arial"/>
          <w:kern w:val="2"/>
          <w:sz w:val="22"/>
          <w:szCs w:val="22"/>
          <w:lang w:eastAsia="ar-SA"/>
        </w:rPr>
        <w:t xml:space="preserve"> </w:t>
      </w:r>
      <w:r w:rsidRPr="005A2A4D">
        <w:rPr>
          <w:rFonts w:ascii="ITC Avant Garde" w:eastAsia="Times New Roman" w:hAnsi="ITC Avant Garde" w:cs="Arial"/>
          <w:kern w:val="2"/>
          <w:sz w:val="22"/>
          <w:szCs w:val="22"/>
          <w:lang w:eastAsia="ar-SA"/>
        </w:rPr>
        <w:t xml:space="preserve">de </w:t>
      </w:r>
      <w:r w:rsidRPr="008B0D60">
        <w:rPr>
          <w:rFonts w:ascii="ITC Avant Garde" w:eastAsia="Times New Roman" w:hAnsi="ITC Avant Garde" w:cs="Arial"/>
          <w:kern w:val="2"/>
          <w:sz w:val="22"/>
          <w:szCs w:val="22"/>
          <w:lang w:eastAsia="ar-SA"/>
        </w:rPr>
        <w:t xml:space="preserve">fecha </w:t>
      </w:r>
      <w:r w:rsidR="00CA6C59" w:rsidRPr="008B0D60">
        <w:rPr>
          <w:rFonts w:ascii="ITC Avant Garde" w:eastAsia="Times New Roman" w:hAnsi="ITC Avant Garde" w:cs="Arial"/>
          <w:kern w:val="2"/>
          <w:sz w:val="22"/>
          <w:szCs w:val="22"/>
          <w:lang w:eastAsia="ar-SA"/>
        </w:rPr>
        <w:t xml:space="preserve">5 de septiembre </w:t>
      </w:r>
      <w:r w:rsidRPr="008B0D60">
        <w:rPr>
          <w:rFonts w:ascii="ITC Avant Garde" w:eastAsia="Times New Roman" w:hAnsi="ITC Avant Garde" w:cs="Arial"/>
          <w:kern w:val="2"/>
          <w:sz w:val="22"/>
          <w:szCs w:val="22"/>
          <w:lang w:eastAsia="ar-SA"/>
        </w:rPr>
        <w:t>de 201</w:t>
      </w:r>
      <w:r w:rsidR="00D44FC8" w:rsidRPr="008B0D60">
        <w:rPr>
          <w:rFonts w:ascii="ITC Avant Garde" w:eastAsia="Times New Roman" w:hAnsi="ITC Avant Garde" w:cs="Arial"/>
          <w:kern w:val="2"/>
          <w:sz w:val="22"/>
          <w:szCs w:val="22"/>
          <w:lang w:eastAsia="ar-SA"/>
        </w:rPr>
        <w:t>9</w:t>
      </w:r>
      <w:r w:rsidRPr="008B0D60">
        <w:rPr>
          <w:rFonts w:ascii="ITC Avant Garde" w:eastAsia="Times New Roman" w:hAnsi="ITC Avant Garde" w:cs="Arial"/>
          <w:kern w:val="2"/>
          <w:sz w:val="22"/>
          <w:szCs w:val="22"/>
          <w:lang w:eastAsia="ar-SA"/>
        </w:rPr>
        <w:t>,</w:t>
      </w:r>
      <w:r w:rsidR="007D2849" w:rsidRPr="008B0D60">
        <w:rPr>
          <w:rFonts w:ascii="ITC Avant Garde" w:eastAsia="Times New Roman" w:hAnsi="ITC Avant Garde" w:cs="Arial"/>
          <w:kern w:val="2"/>
          <w:sz w:val="22"/>
          <w:szCs w:val="22"/>
          <w:lang w:eastAsia="ar-SA"/>
        </w:rPr>
        <w:t xml:space="preserve"> señalado en el Antecedente IX,</w:t>
      </w:r>
      <w:r w:rsidRPr="008B0D60">
        <w:rPr>
          <w:rFonts w:ascii="ITC Avant Garde" w:eastAsia="Times New Roman" w:hAnsi="ITC Avant Garde" w:cs="Arial"/>
          <w:kern w:val="2"/>
          <w:sz w:val="22"/>
          <w:szCs w:val="22"/>
          <w:lang w:eastAsia="ar-SA"/>
        </w:rPr>
        <w:t xml:space="preserve"> la CGMR emitió la opinión no vinculante respecto del Anteproyecto de mérito</w:t>
      </w:r>
      <w:r w:rsidR="006D3628">
        <w:rPr>
          <w:rFonts w:ascii="ITC Avant Garde" w:eastAsia="Times New Roman" w:hAnsi="ITC Avant Garde" w:cs="Arial"/>
          <w:kern w:val="2"/>
          <w:sz w:val="22"/>
          <w:szCs w:val="22"/>
          <w:lang w:eastAsia="ar-SA"/>
        </w:rPr>
        <w:t>.</w:t>
      </w:r>
      <w:r w:rsidR="007D2849" w:rsidRPr="008B0D60">
        <w:rPr>
          <w:rFonts w:ascii="ITC Avant Garde" w:eastAsia="Times New Roman" w:hAnsi="ITC Avant Garde" w:cs="Arial"/>
          <w:kern w:val="2"/>
          <w:sz w:val="22"/>
          <w:szCs w:val="22"/>
          <w:lang w:eastAsia="ar-SA"/>
        </w:rPr>
        <w:t xml:space="preserve"> </w:t>
      </w:r>
    </w:p>
    <w:p w14:paraId="66F2C02B" w14:textId="77777777" w:rsidR="001246FE" w:rsidRDefault="00271169" w:rsidP="006A0475">
      <w:pPr>
        <w:jc w:val="both"/>
        <w:rPr>
          <w:rFonts w:ascii="ITC Avant Garde" w:eastAsia="Times New Roman" w:hAnsi="ITC Avant Garde" w:cs="Arial"/>
          <w:kern w:val="2"/>
          <w:sz w:val="22"/>
          <w:szCs w:val="22"/>
          <w:lang w:eastAsia="ar-SA"/>
        </w:rPr>
      </w:pPr>
      <w:r>
        <w:rPr>
          <w:rFonts w:ascii="ITC Avant Garde" w:eastAsia="Times New Roman" w:hAnsi="ITC Avant Garde" w:cs="Arial"/>
          <w:kern w:val="2"/>
          <w:sz w:val="22"/>
          <w:szCs w:val="22"/>
          <w:lang w:eastAsia="ar-SA"/>
        </w:rPr>
        <w:t xml:space="preserve"> </w:t>
      </w:r>
    </w:p>
    <w:p w14:paraId="09C33220" w14:textId="77777777" w:rsidR="002D5EB7" w:rsidRDefault="002D5EB7" w:rsidP="002D5EB7">
      <w:pPr>
        <w:jc w:val="both"/>
        <w:rPr>
          <w:rFonts w:ascii="ITC Avant Garde" w:eastAsia="Times New Roman" w:hAnsi="ITC Avant Garde" w:cs="Arial"/>
          <w:kern w:val="2"/>
          <w:sz w:val="22"/>
          <w:szCs w:val="22"/>
          <w:lang w:val="es-ES" w:eastAsia="ar-SA"/>
        </w:rPr>
      </w:pPr>
      <w:r w:rsidRPr="001C5BB4">
        <w:rPr>
          <w:rFonts w:ascii="ITC Avant Garde" w:eastAsia="Times New Roman" w:hAnsi="ITC Avant Garde" w:cs="Arial"/>
          <w:kern w:val="2"/>
          <w:sz w:val="22"/>
          <w:szCs w:val="22"/>
          <w:lang w:val="es-ES" w:eastAsia="ar-SA"/>
        </w:rPr>
        <w:t xml:space="preserve">Por las razones expuestas con fundamento en los artículos 6o. y 28, párrafos décimo quinto y vigésimo, fracción IV, de la Constitución Política de los Estados Unidos Mexicanos; 1, 2, 7, 15, fracciones I y LVI, 16, 17 fracción I, de la Ley Federal </w:t>
      </w:r>
      <w:r w:rsidRPr="001246FE">
        <w:rPr>
          <w:rFonts w:ascii="ITC Avant Garde" w:eastAsia="Times New Roman" w:hAnsi="ITC Avant Garde" w:cs="Arial"/>
          <w:kern w:val="2"/>
          <w:sz w:val="22"/>
          <w:szCs w:val="22"/>
          <w:lang w:val="es-ES" w:eastAsia="ar-SA"/>
        </w:rPr>
        <w:t>de Telecomunicaciones y Radiodifusión, 1, 4, fracción I y 6 fracci</w:t>
      </w:r>
      <w:r w:rsidR="00FD611D" w:rsidRPr="001246FE">
        <w:rPr>
          <w:rFonts w:ascii="ITC Avant Garde" w:eastAsia="Times New Roman" w:hAnsi="ITC Avant Garde" w:cs="Arial"/>
          <w:kern w:val="2"/>
          <w:sz w:val="22"/>
          <w:szCs w:val="22"/>
          <w:lang w:val="es-ES" w:eastAsia="ar-SA"/>
        </w:rPr>
        <w:t xml:space="preserve">ones XXV y </w:t>
      </w:r>
      <w:r w:rsidRPr="001246FE">
        <w:rPr>
          <w:rFonts w:ascii="ITC Avant Garde" w:eastAsia="Times New Roman" w:hAnsi="ITC Avant Garde" w:cs="Arial"/>
          <w:kern w:val="2"/>
          <w:sz w:val="22"/>
          <w:szCs w:val="22"/>
          <w:lang w:val="es-ES" w:eastAsia="ar-SA"/>
        </w:rPr>
        <w:t>XXXVIII</w:t>
      </w:r>
      <w:r w:rsidR="00837A71" w:rsidRPr="001246FE">
        <w:rPr>
          <w:rFonts w:ascii="ITC Avant Garde" w:eastAsia="Times New Roman" w:hAnsi="ITC Avant Garde" w:cs="Arial"/>
          <w:kern w:val="2"/>
          <w:sz w:val="22"/>
          <w:szCs w:val="22"/>
          <w:lang w:val="es-ES" w:eastAsia="ar-SA"/>
        </w:rPr>
        <w:t xml:space="preserve"> </w:t>
      </w:r>
      <w:r w:rsidRPr="001246FE">
        <w:rPr>
          <w:rFonts w:ascii="ITC Avant Garde" w:eastAsia="Times New Roman" w:hAnsi="ITC Avant Garde" w:cs="Arial"/>
          <w:kern w:val="2"/>
          <w:sz w:val="22"/>
          <w:szCs w:val="22"/>
          <w:lang w:eastAsia="ar-SA"/>
        </w:rPr>
        <w:t xml:space="preserve">del Estatuto Orgánico del Instituto, </w:t>
      </w:r>
      <w:r w:rsidRPr="001246FE">
        <w:rPr>
          <w:rFonts w:ascii="ITC Avant Garde" w:eastAsia="Times New Roman" w:hAnsi="ITC Avant Garde" w:cs="Arial"/>
          <w:kern w:val="2"/>
          <w:sz w:val="22"/>
          <w:szCs w:val="22"/>
          <w:lang w:val="es-ES" w:eastAsia="ar-SA"/>
        </w:rPr>
        <w:t xml:space="preserve">el Pleno del Instituto Federal de Telecomunicaciones </w:t>
      </w:r>
      <w:r w:rsidRPr="001C5BB4">
        <w:rPr>
          <w:rFonts w:ascii="ITC Avant Garde" w:eastAsia="Times New Roman" w:hAnsi="ITC Avant Garde" w:cs="Arial"/>
          <w:kern w:val="2"/>
          <w:sz w:val="22"/>
          <w:szCs w:val="22"/>
          <w:lang w:val="es-ES" w:eastAsia="ar-SA"/>
        </w:rPr>
        <w:t>emite el siguiente:</w:t>
      </w:r>
    </w:p>
    <w:p w14:paraId="2066BCCF" w14:textId="77777777" w:rsidR="00411FC6" w:rsidRDefault="00411FC6" w:rsidP="002D5EB7">
      <w:pPr>
        <w:jc w:val="both"/>
        <w:rPr>
          <w:rFonts w:ascii="ITC Avant Garde" w:eastAsia="Times New Roman" w:hAnsi="ITC Avant Garde" w:cs="Arial"/>
          <w:kern w:val="2"/>
          <w:sz w:val="22"/>
          <w:szCs w:val="22"/>
          <w:lang w:val="es-ES" w:eastAsia="ar-SA"/>
        </w:rPr>
      </w:pPr>
    </w:p>
    <w:p w14:paraId="20661A1B" w14:textId="77777777" w:rsidR="00FF6A00" w:rsidRDefault="00FF6A00" w:rsidP="002D5EB7">
      <w:pPr>
        <w:jc w:val="both"/>
        <w:rPr>
          <w:rFonts w:ascii="ITC Avant Garde" w:eastAsia="Times New Roman" w:hAnsi="ITC Avant Garde" w:cs="Arial"/>
          <w:kern w:val="2"/>
          <w:sz w:val="22"/>
          <w:szCs w:val="22"/>
          <w:lang w:val="es-ES" w:eastAsia="ar-SA"/>
        </w:rPr>
      </w:pPr>
    </w:p>
    <w:p w14:paraId="08044D89" w14:textId="77777777" w:rsidR="00411FC6" w:rsidRPr="00411FC6" w:rsidRDefault="00411FC6" w:rsidP="00411FC6">
      <w:pPr>
        <w:jc w:val="center"/>
        <w:rPr>
          <w:rFonts w:ascii="ITC Avant Garde" w:eastAsia="Times New Roman" w:hAnsi="ITC Avant Garde" w:cs="Arial"/>
          <w:b/>
          <w:kern w:val="2"/>
          <w:sz w:val="22"/>
          <w:szCs w:val="22"/>
          <w:lang w:val="es-ES" w:eastAsia="ar-SA"/>
        </w:rPr>
      </w:pPr>
      <w:r w:rsidRPr="00411FC6">
        <w:rPr>
          <w:rFonts w:ascii="ITC Avant Garde" w:eastAsia="Times New Roman" w:hAnsi="ITC Avant Garde" w:cs="Arial"/>
          <w:b/>
          <w:kern w:val="2"/>
          <w:sz w:val="22"/>
          <w:szCs w:val="22"/>
          <w:lang w:val="es-ES" w:eastAsia="ar-SA"/>
        </w:rPr>
        <w:t>ACUERDO</w:t>
      </w:r>
    </w:p>
    <w:p w14:paraId="281F3E70" w14:textId="77777777" w:rsidR="00411FC6" w:rsidRPr="00411FC6" w:rsidRDefault="00411FC6" w:rsidP="00411FC6">
      <w:pPr>
        <w:jc w:val="both"/>
        <w:rPr>
          <w:rFonts w:ascii="ITC Avant Garde" w:eastAsia="Times New Roman" w:hAnsi="ITC Avant Garde" w:cs="Arial"/>
          <w:b/>
          <w:kern w:val="2"/>
          <w:sz w:val="22"/>
          <w:szCs w:val="22"/>
          <w:lang w:val="es-ES" w:eastAsia="ar-SA"/>
        </w:rPr>
      </w:pPr>
    </w:p>
    <w:p w14:paraId="51AB14F8" w14:textId="77777777" w:rsidR="00A8501C" w:rsidRDefault="00A8501C" w:rsidP="00411FC6">
      <w:pPr>
        <w:jc w:val="both"/>
        <w:rPr>
          <w:rFonts w:ascii="ITC Avant Garde" w:eastAsia="Times New Roman" w:hAnsi="ITC Avant Garde" w:cs="Arial"/>
          <w:kern w:val="2"/>
          <w:sz w:val="22"/>
          <w:szCs w:val="22"/>
          <w:lang w:val="es-ES" w:eastAsia="ar-SA"/>
        </w:rPr>
      </w:pPr>
    </w:p>
    <w:p w14:paraId="2B505678" w14:textId="77777777" w:rsidR="00C255EB" w:rsidRDefault="00EF2038" w:rsidP="00411FC6">
      <w:pPr>
        <w:jc w:val="both"/>
        <w:rPr>
          <w:rFonts w:ascii="ITC Avant Garde" w:eastAsia="Times New Roman" w:hAnsi="ITC Avant Garde" w:cs="Arial"/>
          <w:kern w:val="2"/>
          <w:sz w:val="22"/>
          <w:szCs w:val="22"/>
          <w:lang w:val="es-ES" w:eastAsia="ar-SA"/>
        </w:rPr>
      </w:pPr>
      <w:r w:rsidRPr="00EF2038">
        <w:rPr>
          <w:rFonts w:ascii="ITC Avant Garde" w:hAnsi="ITC Avant Garde"/>
          <w:b/>
          <w:bCs/>
          <w:sz w:val="22"/>
          <w:szCs w:val="22"/>
          <w:lang w:val="es-MX"/>
        </w:rPr>
        <w:t>ÚNICO.-</w:t>
      </w:r>
      <w:r>
        <w:rPr>
          <w:rFonts w:ascii="ITC Avant Garde" w:hAnsi="ITC Avant Garde"/>
          <w:bCs/>
          <w:sz w:val="22"/>
          <w:szCs w:val="22"/>
          <w:lang w:val="es-MX"/>
        </w:rPr>
        <w:t xml:space="preserve"> </w:t>
      </w:r>
      <w:r w:rsidR="005D03BC">
        <w:rPr>
          <w:rFonts w:ascii="ITC Avant Garde" w:hAnsi="ITC Avant Garde"/>
          <w:bCs/>
          <w:sz w:val="22"/>
          <w:szCs w:val="22"/>
          <w:lang w:val="es-MX"/>
        </w:rPr>
        <w:t xml:space="preserve">Se </w:t>
      </w:r>
      <w:r w:rsidR="00821768">
        <w:rPr>
          <w:rFonts w:ascii="ITC Avant Garde" w:hAnsi="ITC Avant Garde"/>
          <w:b/>
          <w:bCs/>
          <w:sz w:val="22"/>
          <w:szCs w:val="22"/>
          <w:lang w:val="es-MX"/>
        </w:rPr>
        <w:t>MODIFICA</w:t>
      </w:r>
      <w:r w:rsidR="005D03BC" w:rsidRPr="007F7EA8">
        <w:rPr>
          <w:rFonts w:ascii="ITC Avant Garde" w:hAnsi="ITC Avant Garde"/>
          <w:b/>
          <w:bCs/>
          <w:sz w:val="22"/>
          <w:szCs w:val="22"/>
          <w:lang w:val="es-MX"/>
        </w:rPr>
        <w:t xml:space="preserve"> </w:t>
      </w:r>
      <w:r w:rsidR="005F1C2B">
        <w:rPr>
          <w:rFonts w:ascii="ITC Avant Garde" w:hAnsi="ITC Avant Garde"/>
          <w:bCs/>
          <w:sz w:val="22"/>
          <w:szCs w:val="22"/>
          <w:lang w:val="es-MX"/>
        </w:rPr>
        <w:t>la</w:t>
      </w:r>
      <w:r w:rsidR="005D03BC" w:rsidRPr="00441102">
        <w:rPr>
          <w:rFonts w:ascii="ITC Avant Garde" w:hAnsi="ITC Avant Garde"/>
          <w:bCs/>
          <w:sz w:val="22"/>
          <w:szCs w:val="22"/>
          <w:lang w:val="es-MX"/>
        </w:rPr>
        <w:t xml:space="preserve"> </w:t>
      </w:r>
      <w:r w:rsidR="00821768">
        <w:rPr>
          <w:rFonts w:ascii="ITC Avant Garde" w:hAnsi="ITC Avant Garde"/>
          <w:bCs/>
          <w:sz w:val="22"/>
          <w:szCs w:val="22"/>
          <w:lang w:val="es-MX"/>
        </w:rPr>
        <w:t>fracción</w:t>
      </w:r>
      <w:r w:rsidR="005D03BC">
        <w:rPr>
          <w:rFonts w:ascii="ITC Avant Garde" w:hAnsi="ITC Avant Garde"/>
          <w:bCs/>
          <w:sz w:val="22"/>
          <w:szCs w:val="22"/>
          <w:lang w:val="es-MX"/>
        </w:rPr>
        <w:t xml:space="preserve"> I, los subpárrafos primero y tercero del párrafo segundo de la fracción </w:t>
      </w:r>
      <w:r w:rsidR="00587BDB">
        <w:rPr>
          <w:rFonts w:ascii="ITC Avant Garde" w:hAnsi="ITC Avant Garde"/>
          <w:bCs/>
          <w:sz w:val="22"/>
          <w:szCs w:val="22"/>
          <w:lang w:val="es-MX"/>
        </w:rPr>
        <w:t>III y</w:t>
      </w:r>
      <w:r w:rsidR="005D03BC">
        <w:rPr>
          <w:rFonts w:ascii="ITC Avant Garde" w:hAnsi="ITC Avant Garde"/>
          <w:bCs/>
          <w:sz w:val="22"/>
          <w:szCs w:val="22"/>
          <w:lang w:val="es-MX"/>
        </w:rPr>
        <w:t xml:space="preserve"> </w:t>
      </w:r>
      <w:r w:rsidR="00821768">
        <w:rPr>
          <w:rFonts w:ascii="ITC Avant Garde" w:hAnsi="ITC Avant Garde"/>
          <w:bCs/>
          <w:sz w:val="22"/>
          <w:szCs w:val="22"/>
          <w:lang w:val="es-MX"/>
        </w:rPr>
        <w:t xml:space="preserve">los subpárrafos </w:t>
      </w:r>
      <w:r w:rsidR="00C42D72">
        <w:rPr>
          <w:rFonts w:ascii="ITC Avant Garde" w:hAnsi="ITC Avant Garde"/>
          <w:bCs/>
          <w:sz w:val="22"/>
          <w:szCs w:val="22"/>
          <w:lang w:val="es-MX"/>
        </w:rPr>
        <w:t>primero a cuarto del primer</w:t>
      </w:r>
      <w:r w:rsidR="00821768">
        <w:rPr>
          <w:rFonts w:ascii="ITC Avant Garde" w:hAnsi="ITC Avant Garde"/>
          <w:bCs/>
          <w:sz w:val="22"/>
          <w:szCs w:val="22"/>
          <w:lang w:val="es-MX"/>
        </w:rPr>
        <w:t xml:space="preserve"> párrafo </w:t>
      </w:r>
      <w:r w:rsidR="00C42D72">
        <w:rPr>
          <w:rFonts w:ascii="ITC Avant Garde" w:hAnsi="ITC Avant Garde"/>
          <w:bCs/>
          <w:sz w:val="22"/>
          <w:szCs w:val="22"/>
          <w:lang w:val="es-MX"/>
        </w:rPr>
        <w:t xml:space="preserve">de la fracción </w:t>
      </w:r>
      <w:r w:rsidR="005D03BC">
        <w:rPr>
          <w:rFonts w:ascii="ITC Avant Garde" w:hAnsi="ITC Avant Garde"/>
          <w:bCs/>
          <w:sz w:val="22"/>
          <w:szCs w:val="22"/>
          <w:lang w:val="es-MX"/>
        </w:rPr>
        <w:t>IV</w:t>
      </w:r>
      <w:r w:rsidR="00587BDB">
        <w:rPr>
          <w:rFonts w:ascii="ITC Avant Garde" w:hAnsi="ITC Avant Garde"/>
          <w:bCs/>
          <w:sz w:val="22"/>
          <w:szCs w:val="22"/>
          <w:lang w:val="es-MX"/>
        </w:rPr>
        <w:t xml:space="preserve">, todas del segundo párrafo, así como </w:t>
      </w:r>
      <w:r w:rsidR="005D03BC">
        <w:rPr>
          <w:rFonts w:ascii="ITC Avant Garde" w:hAnsi="ITC Avant Garde"/>
          <w:bCs/>
          <w:sz w:val="22"/>
          <w:szCs w:val="22"/>
          <w:lang w:val="es-MX"/>
        </w:rPr>
        <w:t xml:space="preserve">el último párrafo de la </w:t>
      </w:r>
      <w:r w:rsidR="00C42D72">
        <w:rPr>
          <w:rFonts w:ascii="ITC Avant Garde" w:hAnsi="ITC Avant Garde"/>
          <w:bCs/>
          <w:sz w:val="22"/>
          <w:szCs w:val="22"/>
          <w:lang w:val="es-MX"/>
        </w:rPr>
        <w:t>R</w:t>
      </w:r>
      <w:r w:rsidR="005D03BC" w:rsidRPr="00441102">
        <w:rPr>
          <w:rFonts w:ascii="ITC Avant Garde" w:hAnsi="ITC Avant Garde"/>
          <w:bCs/>
          <w:sz w:val="22"/>
          <w:szCs w:val="22"/>
          <w:lang w:val="es-MX"/>
        </w:rPr>
        <w:t>egla 39</w:t>
      </w:r>
      <w:r w:rsidR="005F1C2B">
        <w:rPr>
          <w:rFonts w:ascii="ITC Avant Garde" w:hAnsi="ITC Avant Garde"/>
          <w:bCs/>
          <w:sz w:val="22"/>
          <w:szCs w:val="22"/>
          <w:lang w:val="es-MX"/>
        </w:rPr>
        <w:t>;</w:t>
      </w:r>
      <w:r w:rsidR="005D03BC">
        <w:rPr>
          <w:rFonts w:ascii="ITC Avant Garde" w:hAnsi="ITC Avant Garde"/>
          <w:bCs/>
          <w:sz w:val="22"/>
          <w:szCs w:val="22"/>
          <w:lang w:val="es-MX"/>
        </w:rPr>
        <w:t xml:space="preserve"> </w:t>
      </w:r>
      <w:r w:rsidR="005F1C2B">
        <w:rPr>
          <w:rFonts w:ascii="ITC Avant Garde" w:hAnsi="ITC Avant Garde"/>
          <w:bCs/>
          <w:sz w:val="22"/>
          <w:szCs w:val="22"/>
          <w:lang w:val="es-MX"/>
        </w:rPr>
        <w:t xml:space="preserve">los incisos c. y d. de </w:t>
      </w:r>
      <w:r w:rsidR="005D03BC">
        <w:rPr>
          <w:rFonts w:ascii="ITC Avant Garde" w:hAnsi="ITC Avant Garde"/>
          <w:bCs/>
          <w:sz w:val="22"/>
          <w:szCs w:val="22"/>
          <w:lang w:val="es-MX"/>
        </w:rPr>
        <w:t>la</w:t>
      </w:r>
      <w:r w:rsidR="005F1C2B">
        <w:rPr>
          <w:rFonts w:ascii="ITC Avant Garde" w:hAnsi="ITC Avant Garde"/>
          <w:bCs/>
          <w:sz w:val="22"/>
          <w:szCs w:val="22"/>
          <w:lang w:val="es-MX"/>
        </w:rPr>
        <w:t xml:space="preserve"> fracción</w:t>
      </w:r>
      <w:r w:rsidR="00C42D72">
        <w:rPr>
          <w:rFonts w:ascii="ITC Avant Garde" w:hAnsi="ITC Avant Garde"/>
          <w:bCs/>
          <w:sz w:val="22"/>
          <w:szCs w:val="22"/>
          <w:lang w:val="es-MX"/>
        </w:rPr>
        <w:t xml:space="preserve"> VI y </w:t>
      </w:r>
      <w:r w:rsidR="005F1C2B">
        <w:rPr>
          <w:rFonts w:ascii="ITC Avant Garde" w:hAnsi="ITC Avant Garde"/>
          <w:bCs/>
          <w:sz w:val="22"/>
          <w:szCs w:val="22"/>
          <w:lang w:val="es-MX"/>
        </w:rPr>
        <w:t xml:space="preserve">los incisos d. y e. de la fracción </w:t>
      </w:r>
      <w:r w:rsidR="00C42D72">
        <w:rPr>
          <w:rFonts w:ascii="ITC Avant Garde" w:hAnsi="ITC Avant Garde"/>
          <w:bCs/>
          <w:sz w:val="22"/>
          <w:szCs w:val="22"/>
          <w:lang w:val="es-MX"/>
        </w:rPr>
        <w:t>VII de la R</w:t>
      </w:r>
      <w:r w:rsidR="005D03BC">
        <w:rPr>
          <w:rFonts w:ascii="ITC Avant Garde" w:hAnsi="ITC Avant Garde"/>
          <w:bCs/>
          <w:sz w:val="22"/>
          <w:szCs w:val="22"/>
          <w:lang w:val="es-MX"/>
        </w:rPr>
        <w:t>egla 47</w:t>
      </w:r>
      <w:r w:rsidR="005F1C2B">
        <w:rPr>
          <w:rFonts w:ascii="ITC Avant Garde" w:hAnsi="ITC Avant Garde"/>
          <w:bCs/>
          <w:sz w:val="22"/>
          <w:szCs w:val="22"/>
          <w:lang w:val="es-MX"/>
        </w:rPr>
        <w:t>,</w:t>
      </w:r>
      <w:r w:rsidR="005D03BC">
        <w:rPr>
          <w:rFonts w:ascii="ITC Avant Garde" w:hAnsi="ITC Avant Garde"/>
          <w:bCs/>
          <w:sz w:val="22"/>
          <w:szCs w:val="22"/>
          <w:lang w:val="es-MX"/>
        </w:rPr>
        <w:t xml:space="preserve"> </w:t>
      </w:r>
      <w:r w:rsidR="007217A9">
        <w:rPr>
          <w:rFonts w:ascii="ITC Avant Garde" w:hAnsi="ITC Avant Garde"/>
          <w:bCs/>
          <w:sz w:val="22"/>
          <w:szCs w:val="22"/>
          <w:lang w:val="es-MX"/>
        </w:rPr>
        <w:t>así como</w:t>
      </w:r>
      <w:r w:rsidR="00962B98">
        <w:rPr>
          <w:rFonts w:ascii="ITC Avant Garde" w:hAnsi="ITC Avant Garde"/>
          <w:bCs/>
          <w:sz w:val="22"/>
          <w:szCs w:val="22"/>
          <w:lang w:val="es-MX"/>
        </w:rPr>
        <w:t xml:space="preserve"> </w:t>
      </w:r>
      <w:r w:rsidR="005F1C2B">
        <w:rPr>
          <w:rFonts w:ascii="ITC Avant Garde" w:hAnsi="ITC Avant Garde"/>
          <w:bCs/>
          <w:sz w:val="22"/>
          <w:szCs w:val="22"/>
          <w:lang w:val="es-MX"/>
        </w:rPr>
        <w:t>la fracción</w:t>
      </w:r>
      <w:r w:rsidR="00C42D72">
        <w:rPr>
          <w:rFonts w:ascii="ITC Avant Garde" w:hAnsi="ITC Avant Garde"/>
          <w:bCs/>
          <w:sz w:val="22"/>
          <w:szCs w:val="22"/>
          <w:lang w:val="es-MX"/>
        </w:rPr>
        <w:t xml:space="preserve"> I y</w:t>
      </w:r>
      <w:r w:rsidR="005F1C2B">
        <w:rPr>
          <w:rFonts w:ascii="ITC Avant Garde" w:hAnsi="ITC Avant Garde"/>
          <w:bCs/>
          <w:sz w:val="22"/>
          <w:szCs w:val="22"/>
          <w:lang w:val="es-MX"/>
        </w:rPr>
        <w:t xml:space="preserve"> la fracción</w:t>
      </w:r>
      <w:r w:rsidR="00C42D72">
        <w:rPr>
          <w:rFonts w:ascii="ITC Avant Garde" w:hAnsi="ITC Avant Garde"/>
          <w:bCs/>
          <w:sz w:val="22"/>
          <w:szCs w:val="22"/>
          <w:lang w:val="es-MX"/>
        </w:rPr>
        <w:t xml:space="preserve"> III </w:t>
      </w:r>
      <w:r w:rsidR="005911A0">
        <w:rPr>
          <w:rFonts w:ascii="ITC Avant Garde" w:hAnsi="ITC Avant Garde"/>
          <w:bCs/>
          <w:sz w:val="22"/>
          <w:szCs w:val="22"/>
          <w:lang w:val="es-MX"/>
        </w:rPr>
        <w:t xml:space="preserve">del primer párrafo </w:t>
      </w:r>
      <w:r w:rsidR="00C42D72">
        <w:rPr>
          <w:rFonts w:ascii="ITC Avant Garde" w:hAnsi="ITC Avant Garde"/>
          <w:bCs/>
          <w:sz w:val="22"/>
          <w:szCs w:val="22"/>
          <w:lang w:val="es-MX"/>
        </w:rPr>
        <w:t>de la R</w:t>
      </w:r>
      <w:r w:rsidR="005D03BC">
        <w:rPr>
          <w:rFonts w:ascii="ITC Avant Garde" w:hAnsi="ITC Avant Garde"/>
          <w:bCs/>
          <w:sz w:val="22"/>
          <w:szCs w:val="22"/>
          <w:lang w:val="es-MX"/>
        </w:rPr>
        <w:t>egla 52</w:t>
      </w:r>
      <w:r w:rsidR="00F9339A">
        <w:rPr>
          <w:rFonts w:ascii="ITC Avant Garde" w:hAnsi="ITC Avant Garde"/>
          <w:bCs/>
          <w:sz w:val="22"/>
          <w:szCs w:val="22"/>
          <w:lang w:val="es-MX"/>
        </w:rPr>
        <w:t>,</w:t>
      </w:r>
      <w:r w:rsidR="00C42D72">
        <w:rPr>
          <w:rFonts w:ascii="ITC Avant Garde" w:hAnsi="ITC Avant Garde"/>
          <w:bCs/>
          <w:sz w:val="22"/>
          <w:szCs w:val="22"/>
          <w:lang w:val="es-MX"/>
        </w:rPr>
        <w:t xml:space="preserve"> y s</w:t>
      </w:r>
      <w:r w:rsidR="00A8501C">
        <w:rPr>
          <w:rFonts w:ascii="ITC Avant Garde" w:hAnsi="ITC Avant Garde"/>
          <w:bCs/>
          <w:sz w:val="22"/>
          <w:szCs w:val="22"/>
          <w:lang w:val="es-MX"/>
        </w:rPr>
        <w:t xml:space="preserve">e </w:t>
      </w:r>
      <w:r w:rsidR="00C255EB" w:rsidRPr="007F739A">
        <w:rPr>
          <w:rFonts w:ascii="ITC Avant Garde" w:hAnsi="ITC Avant Garde"/>
          <w:b/>
          <w:bCs/>
          <w:sz w:val="22"/>
          <w:szCs w:val="22"/>
          <w:lang w:val="es-MX"/>
        </w:rPr>
        <w:t>ADICIONA</w:t>
      </w:r>
      <w:r w:rsidR="00C255EB" w:rsidRPr="007F739A">
        <w:rPr>
          <w:rFonts w:ascii="ITC Avant Garde" w:hAnsi="ITC Avant Garde"/>
          <w:bCs/>
          <w:sz w:val="22"/>
          <w:szCs w:val="22"/>
          <w:lang w:val="es-MX"/>
        </w:rPr>
        <w:t xml:space="preserve"> </w:t>
      </w:r>
      <w:r w:rsidR="00B17548">
        <w:rPr>
          <w:rFonts w:ascii="ITC Avant Garde" w:hAnsi="ITC Avant Garde"/>
          <w:bCs/>
          <w:sz w:val="22"/>
          <w:szCs w:val="22"/>
          <w:lang w:val="es-MX"/>
        </w:rPr>
        <w:t>un</w:t>
      </w:r>
      <w:r w:rsidR="00B17548" w:rsidRPr="007F739A">
        <w:rPr>
          <w:rFonts w:ascii="ITC Avant Garde" w:hAnsi="ITC Avant Garde"/>
          <w:bCs/>
          <w:sz w:val="22"/>
          <w:szCs w:val="22"/>
          <w:lang w:val="es-MX"/>
        </w:rPr>
        <w:t xml:space="preserve"> </w:t>
      </w:r>
      <w:r w:rsidR="00C255EB" w:rsidRPr="007F739A">
        <w:rPr>
          <w:rFonts w:ascii="ITC Avant Garde" w:hAnsi="ITC Avant Garde"/>
          <w:bCs/>
          <w:sz w:val="22"/>
          <w:szCs w:val="22"/>
          <w:lang w:val="es-MX"/>
        </w:rPr>
        <w:t xml:space="preserve">último párrafo </w:t>
      </w:r>
      <w:r w:rsidR="00B17548">
        <w:rPr>
          <w:rFonts w:ascii="ITC Avant Garde" w:hAnsi="ITC Avant Garde"/>
          <w:bCs/>
          <w:sz w:val="22"/>
          <w:szCs w:val="22"/>
          <w:lang w:val="es-MX"/>
        </w:rPr>
        <w:t>a</w:t>
      </w:r>
      <w:r w:rsidR="00B17548" w:rsidRPr="007F739A">
        <w:rPr>
          <w:rFonts w:ascii="ITC Avant Garde" w:hAnsi="ITC Avant Garde"/>
          <w:bCs/>
          <w:sz w:val="22"/>
          <w:szCs w:val="22"/>
          <w:lang w:val="es-MX"/>
        </w:rPr>
        <w:t xml:space="preserve"> </w:t>
      </w:r>
      <w:r w:rsidR="00C255EB" w:rsidRPr="007F739A">
        <w:rPr>
          <w:rFonts w:ascii="ITC Avant Garde" w:hAnsi="ITC Avant Garde"/>
          <w:bCs/>
          <w:sz w:val="22"/>
          <w:szCs w:val="22"/>
          <w:lang w:val="es-MX"/>
        </w:rPr>
        <w:t xml:space="preserve">la fracción II de la </w:t>
      </w:r>
      <w:r w:rsidR="00AE3AEB">
        <w:rPr>
          <w:rFonts w:ascii="ITC Avant Garde" w:hAnsi="ITC Avant Garde"/>
          <w:bCs/>
          <w:sz w:val="22"/>
          <w:szCs w:val="22"/>
          <w:lang w:val="es-MX"/>
        </w:rPr>
        <w:t>R</w:t>
      </w:r>
      <w:r w:rsidR="00C255EB" w:rsidRPr="007F739A">
        <w:rPr>
          <w:rFonts w:ascii="ITC Avant Garde" w:hAnsi="ITC Avant Garde"/>
          <w:bCs/>
          <w:sz w:val="22"/>
          <w:szCs w:val="22"/>
          <w:lang w:val="es-MX"/>
        </w:rPr>
        <w:t>egla 47</w:t>
      </w:r>
      <w:r w:rsidR="00AE3AEB">
        <w:rPr>
          <w:rFonts w:ascii="ITC Avant Garde" w:hAnsi="ITC Avant Garde"/>
          <w:bCs/>
          <w:sz w:val="22"/>
          <w:szCs w:val="22"/>
          <w:lang w:val="es-MX"/>
        </w:rPr>
        <w:t xml:space="preserve"> de las Reglas de Portabilidad Numérica, </w:t>
      </w:r>
      <w:r w:rsidR="00C255EB" w:rsidRPr="00441102">
        <w:rPr>
          <w:rFonts w:ascii="ITC Avant Garde" w:hAnsi="ITC Avant Garde"/>
          <w:bCs/>
          <w:sz w:val="22"/>
          <w:szCs w:val="22"/>
          <w:lang w:val="es-MX"/>
        </w:rPr>
        <w:t>para quedar como sigue</w:t>
      </w:r>
      <w:r w:rsidR="00C255EB">
        <w:rPr>
          <w:rFonts w:ascii="ITC Avant Garde" w:eastAsia="Times New Roman" w:hAnsi="ITC Avant Garde" w:cs="Arial"/>
          <w:kern w:val="2"/>
          <w:sz w:val="22"/>
          <w:szCs w:val="22"/>
          <w:lang w:val="es-ES" w:eastAsia="ar-SA"/>
        </w:rPr>
        <w:t>:</w:t>
      </w:r>
    </w:p>
    <w:p w14:paraId="44121468" w14:textId="77777777" w:rsidR="00C255EB" w:rsidRDefault="00C255EB" w:rsidP="00411FC6">
      <w:pPr>
        <w:jc w:val="both"/>
        <w:rPr>
          <w:rFonts w:ascii="ITC Avant Garde" w:eastAsia="Times New Roman" w:hAnsi="ITC Avant Garde" w:cs="Arial"/>
          <w:kern w:val="2"/>
          <w:sz w:val="22"/>
          <w:szCs w:val="22"/>
          <w:lang w:val="es-ES" w:eastAsia="ar-SA"/>
        </w:rPr>
      </w:pPr>
    </w:p>
    <w:p w14:paraId="04A5B952" w14:textId="77777777" w:rsidR="00C255EB" w:rsidRDefault="00D20AE0" w:rsidP="00C255EB">
      <w:pPr>
        <w:pStyle w:val="Texto"/>
        <w:spacing w:before="240" w:after="240" w:line="221" w:lineRule="exact"/>
        <w:ind w:left="426" w:firstLine="282"/>
        <w:rPr>
          <w:rFonts w:ascii="ITC Avant Garde" w:hAnsi="ITC Avant Garde"/>
          <w:sz w:val="22"/>
          <w:szCs w:val="22"/>
          <w:lang w:val="es-ES_tradnl"/>
        </w:rPr>
      </w:pPr>
      <w:r>
        <w:rPr>
          <w:rFonts w:ascii="ITC Avant Garde" w:hAnsi="ITC Avant Garde"/>
          <w:b/>
          <w:sz w:val="22"/>
          <w:szCs w:val="22"/>
          <w:lang w:val="es-ES_tradnl"/>
        </w:rPr>
        <w:t>“</w:t>
      </w:r>
      <w:r w:rsidR="00C255EB" w:rsidRPr="0086550B">
        <w:rPr>
          <w:rFonts w:ascii="ITC Avant Garde" w:hAnsi="ITC Avant Garde"/>
          <w:b/>
          <w:sz w:val="22"/>
          <w:szCs w:val="22"/>
          <w:lang w:val="es-ES_tradnl"/>
        </w:rPr>
        <w:t xml:space="preserve">Regla 39. </w:t>
      </w:r>
      <w:r w:rsidR="00C255EB">
        <w:rPr>
          <w:rFonts w:ascii="ITC Avant Garde" w:hAnsi="ITC Avant Garde"/>
          <w:b/>
          <w:sz w:val="22"/>
          <w:szCs w:val="22"/>
          <w:lang w:val="es-ES_tradnl"/>
        </w:rPr>
        <w:t>NIP de Confirmación.</w:t>
      </w:r>
      <w:r w:rsidR="00C255EB" w:rsidRPr="00493D2A">
        <w:t xml:space="preserve"> </w:t>
      </w:r>
      <w:r w:rsidR="00C255EB" w:rsidRPr="00490958">
        <w:rPr>
          <w:rFonts w:ascii="ITC Avant Garde" w:hAnsi="ITC Avant Garde"/>
          <w:sz w:val="22"/>
          <w:szCs w:val="22"/>
          <w:lang w:val="es-ES_tradnl"/>
        </w:rPr>
        <w:t>…</w:t>
      </w:r>
      <w:r w:rsidR="00C255EB" w:rsidRPr="00812429">
        <w:rPr>
          <w:rFonts w:ascii="ITC Avant Garde" w:hAnsi="ITC Avant Garde"/>
          <w:sz w:val="22"/>
          <w:szCs w:val="22"/>
          <w:lang w:val="es-ES_tradnl"/>
        </w:rPr>
        <w:t xml:space="preserve"> </w:t>
      </w:r>
    </w:p>
    <w:p w14:paraId="64C3229A" w14:textId="77777777" w:rsidR="00C255EB" w:rsidRDefault="00C255EB" w:rsidP="00C255EB">
      <w:pPr>
        <w:pStyle w:val="Texto"/>
        <w:spacing w:before="240" w:after="240" w:line="221" w:lineRule="exact"/>
        <w:ind w:firstLine="708"/>
        <w:rPr>
          <w:rFonts w:ascii="ITC Avant Garde" w:hAnsi="ITC Avant Garde"/>
          <w:sz w:val="22"/>
          <w:szCs w:val="22"/>
          <w:lang w:val="es-ES_tradnl"/>
        </w:rPr>
      </w:pPr>
      <w:r w:rsidRPr="0086550B">
        <w:rPr>
          <w:rFonts w:ascii="ITC Avant Garde" w:hAnsi="ITC Avant Garde"/>
          <w:sz w:val="22"/>
          <w:szCs w:val="22"/>
          <w:lang w:val="es-ES_tradnl"/>
        </w:rPr>
        <w:t>…</w:t>
      </w:r>
    </w:p>
    <w:p w14:paraId="2D136768" w14:textId="2E3AF5DF" w:rsidR="00C255EB" w:rsidRPr="00F95530" w:rsidRDefault="003B1B56" w:rsidP="00FE4023">
      <w:pPr>
        <w:pStyle w:val="Texto"/>
        <w:spacing w:before="240" w:after="240" w:line="240" w:lineRule="auto"/>
        <w:ind w:left="1560" w:hanging="708"/>
        <w:rPr>
          <w:rFonts w:ascii="ITC Avant Garde" w:hAnsi="ITC Avant Garde"/>
          <w:b/>
          <w:sz w:val="22"/>
          <w:lang w:val="es-ES_tradnl"/>
        </w:rPr>
      </w:pPr>
      <w:r w:rsidRPr="003B1B56">
        <w:rPr>
          <w:rFonts w:ascii="ITC Avant Garde" w:hAnsi="ITC Avant Garde"/>
          <w:b/>
          <w:sz w:val="22"/>
          <w:szCs w:val="22"/>
          <w:lang w:val="es-ES_tradnl"/>
        </w:rPr>
        <w:t>I.</w:t>
      </w:r>
      <w:r>
        <w:rPr>
          <w:rFonts w:ascii="ITC Avant Garde" w:hAnsi="ITC Avant Garde"/>
          <w:sz w:val="22"/>
          <w:szCs w:val="22"/>
          <w:lang w:val="es-ES_tradnl"/>
        </w:rPr>
        <w:t xml:space="preserve"> </w:t>
      </w:r>
      <w:r w:rsidR="00A37604">
        <w:rPr>
          <w:rFonts w:ascii="ITC Avant Garde" w:hAnsi="ITC Avant Garde"/>
          <w:sz w:val="22"/>
          <w:szCs w:val="22"/>
          <w:lang w:val="es-ES_tradnl"/>
        </w:rPr>
        <w:tab/>
      </w:r>
      <w:r w:rsidR="00C255EB">
        <w:rPr>
          <w:rFonts w:ascii="ITC Avant Garde" w:hAnsi="ITC Avant Garde"/>
          <w:sz w:val="22"/>
          <w:szCs w:val="22"/>
          <w:lang w:val="es-ES_tradnl"/>
        </w:rPr>
        <w:t>Los</w:t>
      </w:r>
      <w:r w:rsidR="00C255EB" w:rsidRPr="004C61CD">
        <w:rPr>
          <w:rFonts w:ascii="ITC Avant Garde" w:hAnsi="ITC Avant Garde"/>
          <w:sz w:val="22"/>
          <w:szCs w:val="22"/>
          <w:lang w:val="es-ES_tradnl"/>
        </w:rPr>
        <w:t xml:space="preserve"> concesionarios del servicio local móvil deberán habilitar un mecanismo</w:t>
      </w:r>
      <w:r w:rsidR="00C255EB">
        <w:rPr>
          <w:rFonts w:ascii="ITC Avant Garde" w:hAnsi="ITC Avant Garde"/>
          <w:sz w:val="22"/>
          <w:szCs w:val="22"/>
          <w:lang w:val="es-ES_tradnl"/>
        </w:rPr>
        <w:t xml:space="preserve"> para</w:t>
      </w:r>
      <w:r w:rsidR="00C255EB" w:rsidRPr="004C61CD">
        <w:rPr>
          <w:rFonts w:ascii="ITC Avant Garde" w:hAnsi="ITC Avant Garde"/>
          <w:sz w:val="22"/>
          <w:szCs w:val="22"/>
          <w:lang w:val="es-ES_tradnl"/>
        </w:rPr>
        <w:t xml:space="preserve"> que</w:t>
      </w:r>
      <w:r w:rsidR="00C160C0">
        <w:rPr>
          <w:rFonts w:ascii="ITC Avant Garde" w:hAnsi="ITC Avant Garde"/>
          <w:sz w:val="22"/>
          <w:szCs w:val="22"/>
          <w:lang w:val="es-ES_tradnl"/>
        </w:rPr>
        <w:t>,</w:t>
      </w:r>
      <w:r w:rsidR="00C255EB" w:rsidRPr="004C61CD">
        <w:rPr>
          <w:rFonts w:ascii="ITC Avant Garde" w:hAnsi="ITC Avant Garde"/>
          <w:sz w:val="22"/>
          <w:szCs w:val="22"/>
          <w:lang w:val="es-ES_tradnl"/>
        </w:rPr>
        <w:t xml:space="preserve"> cuando el Usuario envíe un mensaje de texto con la palabra “NIP” al número 051, el concesionario solicite e</w:t>
      </w:r>
      <w:r w:rsidR="00C255EB">
        <w:rPr>
          <w:rFonts w:ascii="ITC Avant Garde" w:hAnsi="ITC Avant Garde"/>
          <w:sz w:val="22"/>
          <w:szCs w:val="22"/>
          <w:lang w:val="es-ES_tradnl"/>
        </w:rPr>
        <w:t>l NIP de Confirmación al ABD y é</w:t>
      </w:r>
      <w:r w:rsidR="00C255EB" w:rsidRPr="004C61CD">
        <w:rPr>
          <w:rFonts w:ascii="ITC Avant Garde" w:hAnsi="ITC Avant Garde"/>
          <w:sz w:val="22"/>
          <w:szCs w:val="22"/>
          <w:lang w:val="es-ES_tradnl"/>
        </w:rPr>
        <w:t>ste lo genere y envíe a través del Sistema Automático de Verificación, al número telefónico desde el que se originó el mensaje.</w:t>
      </w:r>
    </w:p>
    <w:p w14:paraId="5C72C51D" w14:textId="77777777" w:rsidR="00C34EA1" w:rsidRDefault="00C160C0" w:rsidP="00FE4023">
      <w:pPr>
        <w:pStyle w:val="Texto"/>
        <w:spacing w:before="240" w:after="240" w:line="240" w:lineRule="auto"/>
        <w:ind w:left="1560" w:firstLine="0"/>
        <w:rPr>
          <w:rFonts w:ascii="ITC Avant Garde" w:hAnsi="ITC Avant Garde"/>
          <w:sz w:val="22"/>
          <w:szCs w:val="22"/>
          <w:lang w:val="es-ES_tradnl"/>
        </w:rPr>
      </w:pPr>
      <w:r w:rsidRPr="00C160C0">
        <w:rPr>
          <w:rFonts w:ascii="ITC Avant Garde" w:hAnsi="ITC Avant Garde"/>
          <w:sz w:val="22"/>
          <w:szCs w:val="22"/>
          <w:lang w:val="es-MX"/>
        </w:rPr>
        <w:t>El mensaje de texto que se enviará al número telefónico para el que se solicitó el NIP de Confirmación contendrá la siguiente leyenda:</w:t>
      </w:r>
      <w:r w:rsidRPr="00C160C0" w:rsidDel="00C160C0">
        <w:rPr>
          <w:rFonts w:ascii="ITC Avant Garde" w:hAnsi="ITC Avant Garde"/>
          <w:sz w:val="22"/>
          <w:szCs w:val="22"/>
          <w:lang w:val="es-ES_tradnl"/>
        </w:rPr>
        <w:t xml:space="preserve"> </w:t>
      </w:r>
    </w:p>
    <w:p w14:paraId="3A00DC8D" w14:textId="327D3A04" w:rsidR="00C255EB" w:rsidRPr="004C61CD" w:rsidRDefault="00C255EB" w:rsidP="00FE4023">
      <w:pPr>
        <w:pStyle w:val="Texto"/>
        <w:spacing w:before="240" w:after="240" w:line="240" w:lineRule="auto"/>
        <w:ind w:left="2124" w:firstLine="0"/>
        <w:rPr>
          <w:rFonts w:ascii="ITC Avant Garde" w:hAnsi="ITC Avant Garde"/>
          <w:sz w:val="22"/>
          <w:szCs w:val="22"/>
          <w:lang w:val="es-ES_tradnl"/>
        </w:rPr>
      </w:pPr>
      <w:r>
        <w:rPr>
          <w:rFonts w:ascii="ITC Avant Garde" w:hAnsi="ITC Avant Garde"/>
          <w:sz w:val="22"/>
          <w:szCs w:val="22"/>
          <w:lang w:val="es-ES_tradnl"/>
        </w:rPr>
        <w:t xml:space="preserve">“ATENCION. EL NIP </w:t>
      </w:r>
      <w:r w:rsidRPr="004C61CD">
        <w:rPr>
          <w:rFonts w:ascii="ITC Avant Garde" w:hAnsi="ITC Avant Garde"/>
          <w:sz w:val="22"/>
          <w:szCs w:val="22"/>
          <w:lang w:val="es-ES_tradnl"/>
        </w:rPr>
        <w:t xml:space="preserve">SIRVE PARA CAMBIARTE DE </w:t>
      </w:r>
      <w:r>
        <w:rPr>
          <w:rFonts w:ascii="ITC Avant Garde" w:hAnsi="ITC Avant Garde"/>
          <w:sz w:val="22"/>
          <w:szCs w:val="22"/>
          <w:lang w:val="es-ES_tradnl"/>
        </w:rPr>
        <w:t>EMPRESA DE TELEFONIA MOVIL</w:t>
      </w:r>
      <w:r w:rsidRPr="004C61CD">
        <w:rPr>
          <w:rFonts w:ascii="ITC Avant Garde" w:hAnsi="ITC Avant Garde"/>
          <w:sz w:val="22"/>
          <w:szCs w:val="22"/>
          <w:lang w:val="es-ES_tradnl"/>
        </w:rPr>
        <w:t>. ENTR</w:t>
      </w:r>
      <w:r>
        <w:rPr>
          <w:rFonts w:ascii="ITC Avant Garde" w:hAnsi="ITC Avant Garde"/>
          <w:sz w:val="22"/>
          <w:szCs w:val="22"/>
          <w:lang w:val="es-ES_tradnl"/>
        </w:rPr>
        <w:t>E</w:t>
      </w:r>
      <w:r w:rsidRPr="004C61CD">
        <w:rPr>
          <w:rFonts w:ascii="ITC Avant Garde" w:hAnsi="ITC Avant Garde"/>
          <w:sz w:val="22"/>
          <w:szCs w:val="22"/>
          <w:lang w:val="es-ES_tradnl"/>
        </w:rPr>
        <w:t>GALO S</w:t>
      </w:r>
      <w:r>
        <w:rPr>
          <w:rFonts w:ascii="ITC Avant Garde" w:hAnsi="ITC Avant Garde"/>
          <w:sz w:val="22"/>
          <w:szCs w:val="22"/>
          <w:lang w:val="es-ES_tradnl"/>
        </w:rPr>
        <w:t>O</w:t>
      </w:r>
      <w:r w:rsidRPr="004C61CD">
        <w:rPr>
          <w:rFonts w:ascii="ITC Avant Garde" w:hAnsi="ITC Avant Garde"/>
          <w:sz w:val="22"/>
          <w:szCs w:val="22"/>
          <w:lang w:val="es-ES_tradnl"/>
        </w:rPr>
        <w:t xml:space="preserve">LO SI DESEAS INICIAR TU CAMBIO. TU NIP ES XXXX VIGENTE </w:t>
      </w:r>
      <w:r>
        <w:rPr>
          <w:rFonts w:ascii="ITC Avant Garde" w:hAnsi="ITC Avant Garde"/>
          <w:sz w:val="22"/>
          <w:szCs w:val="22"/>
          <w:lang w:val="es-ES_tradnl"/>
        </w:rPr>
        <w:t>AL</w:t>
      </w:r>
      <w:r w:rsidRPr="004C61CD">
        <w:rPr>
          <w:rFonts w:ascii="ITC Avant Garde" w:hAnsi="ITC Avant Garde"/>
          <w:sz w:val="22"/>
          <w:szCs w:val="22"/>
          <w:lang w:val="es-ES_tradnl"/>
        </w:rPr>
        <w:t xml:space="preserve"> DD-MM-AA</w:t>
      </w:r>
      <w:r>
        <w:rPr>
          <w:rFonts w:ascii="ITC Avant Garde" w:hAnsi="ITC Avant Garde"/>
          <w:sz w:val="22"/>
          <w:szCs w:val="22"/>
          <w:lang w:val="es-ES_tradnl"/>
        </w:rPr>
        <w:t>”</w:t>
      </w:r>
      <w:r w:rsidRPr="004C61CD">
        <w:rPr>
          <w:rFonts w:ascii="ITC Avant Garde" w:hAnsi="ITC Avant Garde"/>
          <w:sz w:val="22"/>
          <w:szCs w:val="22"/>
          <w:lang w:val="es-ES_tradnl"/>
        </w:rPr>
        <w:t>.</w:t>
      </w:r>
    </w:p>
    <w:p w14:paraId="4E19E018" w14:textId="77777777" w:rsidR="00A45F1F" w:rsidRPr="00A45F1F" w:rsidRDefault="00A45F1F" w:rsidP="00FE4023">
      <w:pPr>
        <w:pStyle w:val="Texto"/>
        <w:spacing w:before="240" w:after="240"/>
        <w:ind w:left="3534" w:hanging="1410"/>
        <w:rPr>
          <w:rFonts w:ascii="ITC Avant Garde" w:hAnsi="ITC Avant Garde"/>
          <w:sz w:val="22"/>
          <w:szCs w:val="22"/>
        </w:rPr>
      </w:pPr>
      <w:proofErr w:type="spellStart"/>
      <w:r w:rsidRPr="00A45F1F">
        <w:rPr>
          <w:rFonts w:ascii="ITC Avant Garde" w:hAnsi="ITC Avant Garde"/>
          <w:sz w:val="22"/>
          <w:szCs w:val="22"/>
        </w:rPr>
        <w:t>Donde</w:t>
      </w:r>
      <w:proofErr w:type="spellEnd"/>
      <w:r w:rsidRPr="00A45F1F">
        <w:rPr>
          <w:rFonts w:ascii="ITC Avant Garde" w:hAnsi="ITC Avant Garde"/>
          <w:sz w:val="22"/>
          <w:szCs w:val="22"/>
        </w:rPr>
        <w:t xml:space="preserve">: </w:t>
      </w:r>
      <w:r w:rsidR="009042FD">
        <w:rPr>
          <w:rFonts w:ascii="ITC Avant Garde" w:hAnsi="ITC Avant Garde"/>
          <w:sz w:val="22"/>
          <w:szCs w:val="22"/>
        </w:rPr>
        <w:tab/>
      </w:r>
      <w:r w:rsidRPr="00A45F1F">
        <w:rPr>
          <w:rFonts w:ascii="ITC Avant Garde" w:hAnsi="ITC Avant Garde"/>
          <w:sz w:val="22"/>
          <w:szCs w:val="22"/>
        </w:rPr>
        <w:t>XXXX es el NIP de Confirmación generado por el ABD</w:t>
      </w:r>
      <w:r w:rsidR="00C9308C">
        <w:rPr>
          <w:rFonts w:ascii="ITC Avant Garde" w:hAnsi="ITC Avant Garde"/>
          <w:sz w:val="22"/>
          <w:szCs w:val="22"/>
        </w:rPr>
        <w:t>,</w:t>
      </w:r>
      <w:r w:rsidRPr="00A45F1F">
        <w:rPr>
          <w:rFonts w:ascii="ITC Avant Garde" w:hAnsi="ITC Avant Garde"/>
          <w:sz w:val="22"/>
          <w:szCs w:val="22"/>
        </w:rPr>
        <w:t xml:space="preserve"> y</w:t>
      </w:r>
    </w:p>
    <w:p w14:paraId="51B6CE83" w14:textId="77777777" w:rsidR="00C255EB" w:rsidRDefault="00C255EB" w:rsidP="00FE4023">
      <w:pPr>
        <w:pStyle w:val="Texto"/>
        <w:spacing w:before="240" w:after="240" w:line="240" w:lineRule="auto"/>
        <w:ind w:left="3534" w:firstLine="0"/>
        <w:rPr>
          <w:rFonts w:ascii="ITC Avant Garde" w:hAnsi="ITC Avant Garde"/>
          <w:sz w:val="22"/>
          <w:szCs w:val="22"/>
          <w:lang w:val="es-ES_tradnl"/>
        </w:rPr>
      </w:pPr>
      <w:r w:rsidRPr="004C61CD">
        <w:rPr>
          <w:rFonts w:ascii="ITC Avant Garde" w:hAnsi="ITC Avant Garde"/>
          <w:sz w:val="22"/>
          <w:szCs w:val="22"/>
          <w:lang w:val="es-ES_tradnl"/>
        </w:rPr>
        <w:t>DD-MM-AA es la fecha de vigencia del NIP expresada en días (DD), mes (MM) y a</w:t>
      </w:r>
      <w:r>
        <w:rPr>
          <w:rFonts w:ascii="ITC Avant Garde" w:hAnsi="ITC Avant Garde"/>
          <w:sz w:val="22"/>
          <w:szCs w:val="22"/>
          <w:lang w:val="es-ES_tradnl"/>
        </w:rPr>
        <w:t>ñ</w:t>
      </w:r>
      <w:r w:rsidRPr="004C61CD">
        <w:rPr>
          <w:rFonts w:ascii="ITC Avant Garde" w:hAnsi="ITC Avant Garde"/>
          <w:sz w:val="22"/>
          <w:szCs w:val="22"/>
          <w:lang w:val="es-ES_tradnl"/>
        </w:rPr>
        <w:t>o (AA).</w:t>
      </w:r>
    </w:p>
    <w:p w14:paraId="6D1D509A" w14:textId="77777777" w:rsidR="00C255EB" w:rsidRDefault="00C255EB" w:rsidP="002F3BD0">
      <w:pPr>
        <w:pStyle w:val="Texto"/>
        <w:spacing w:before="240" w:after="240" w:line="240" w:lineRule="auto"/>
        <w:ind w:left="851" w:firstLine="0"/>
        <w:rPr>
          <w:rFonts w:ascii="ITC Avant Garde" w:hAnsi="ITC Avant Garde"/>
          <w:sz w:val="22"/>
          <w:szCs w:val="22"/>
          <w:lang w:val="es-ES_tradnl"/>
        </w:rPr>
      </w:pPr>
      <w:r w:rsidRPr="004C61CD">
        <w:rPr>
          <w:rFonts w:ascii="ITC Avant Garde" w:hAnsi="ITC Avant Garde"/>
          <w:b/>
          <w:sz w:val="22"/>
          <w:szCs w:val="22"/>
          <w:lang w:val="es-ES_tradnl"/>
        </w:rPr>
        <w:t>I</w:t>
      </w:r>
      <w:r>
        <w:rPr>
          <w:rFonts w:ascii="ITC Avant Garde" w:hAnsi="ITC Avant Garde"/>
          <w:b/>
          <w:sz w:val="22"/>
          <w:szCs w:val="22"/>
          <w:lang w:val="es-ES_tradnl"/>
        </w:rPr>
        <w:t>I</w:t>
      </w:r>
      <w:r w:rsidRPr="004C61CD">
        <w:rPr>
          <w:rFonts w:ascii="ITC Avant Garde" w:hAnsi="ITC Avant Garde"/>
          <w:b/>
          <w:sz w:val="22"/>
          <w:szCs w:val="22"/>
          <w:lang w:val="es-ES_tradnl"/>
        </w:rPr>
        <w:t>.</w:t>
      </w:r>
      <w:r>
        <w:rPr>
          <w:rFonts w:ascii="ITC Avant Garde" w:hAnsi="ITC Avant Garde"/>
          <w:b/>
          <w:sz w:val="22"/>
          <w:szCs w:val="22"/>
          <w:lang w:val="es-ES_tradnl"/>
        </w:rPr>
        <w:t xml:space="preserve"> </w:t>
      </w:r>
      <w:r w:rsidR="00DA47F4">
        <w:rPr>
          <w:rFonts w:ascii="ITC Avant Garde" w:hAnsi="ITC Avant Garde"/>
          <w:b/>
          <w:sz w:val="22"/>
          <w:szCs w:val="22"/>
          <w:lang w:val="es-ES_tradnl"/>
        </w:rPr>
        <w:tab/>
      </w:r>
      <w:r w:rsidRPr="0044606F">
        <w:rPr>
          <w:rFonts w:ascii="ITC Avant Garde" w:hAnsi="ITC Avant Garde"/>
          <w:sz w:val="22"/>
          <w:szCs w:val="22"/>
          <w:lang w:val="es-ES_tradnl"/>
        </w:rPr>
        <w:t>…</w:t>
      </w:r>
    </w:p>
    <w:p w14:paraId="18AA1C0F" w14:textId="77777777" w:rsidR="00C255EB" w:rsidRDefault="00C255EB" w:rsidP="002F3BD0">
      <w:pPr>
        <w:pStyle w:val="Texto"/>
        <w:spacing w:before="240" w:after="240" w:line="240" w:lineRule="auto"/>
        <w:ind w:left="851" w:firstLine="0"/>
        <w:rPr>
          <w:rFonts w:ascii="ITC Avant Garde" w:hAnsi="ITC Avant Garde"/>
          <w:sz w:val="22"/>
          <w:szCs w:val="22"/>
          <w:lang w:val="es-ES_tradnl"/>
        </w:rPr>
      </w:pPr>
      <w:r w:rsidRPr="0088551E">
        <w:rPr>
          <w:rFonts w:ascii="ITC Avant Garde" w:hAnsi="ITC Avant Garde"/>
          <w:b/>
          <w:sz w:val="22"/>
          <w:szCs w:val="22"/>
          <w:lang w:val="es-ES_tradnl"/>
        </w:rPr>
        <w:t>III.</w:t>
      </w:r>
      <w:r w:rsidRPr="0044606F">
        <w:rPr>
          <w:rFonts w:ascii="ITC Avant Garde" w:hAnsi="ITC Avant Garde"/>
          <w:sz w:val="22"/>
          <w:szCs w:val="22"/>
          <w:lang w:val="es-ES_tradnl"/>
        </w:rPr>
        <w:t xml:space="preserve"> </w:t>
      </w:r>
      <w:r w:rsidR="00DA47F4">
        <w:rPr>
          <w:rFonts w:ascii="ITC Avant Garde" w:hAnsi="ITC Avant Garde"/>
          <w:sz w:val="22"/>
          <w:szCs w:val="22"/>
          <w:lang w:val="es-ES_tradnl"/>
        </w:rPr>
        <w:tab/>
      </w:r>
      <w:r w:rsidRPr="0044606F">
        <w:rPr>
          <w:rFonts w:ascii="ITC Avant Garde" w:hAnsi="ITC Avant Garde"/>
          <w:sz w:val="22"/>
          <w:szCs w:val="22"/>
          <w:lang w:val="es-ES_tradnl"/>
        </w:rPr>
        <w:t>…</w:t>
      </w:r>
    </w:p>
    <w:p w14:paraId="51032585" w14:textId="77777777" w:rsidR="00C255EB" w:rsidRDefault="00C255EB" w:rsidP="002F3BD0">
      <w:pPr>
        <w:pStyle w:val="Texto"/>
        <w:spacing w:before="240" w:after="240" w:line="240" w:lineRule="auto"/>
        <w:ind w:left="708" w:firstLine="708"/>
        <w:rPr>
          <w:rFonts w:ascii="ITC Avant Garde" w:hAnsi="ITC Avant Garde"/>
          <w:sz w:val="22"/>
          <w:szCs w:val="22"/>
          <w:lang w:val="es-ES_tradnl"/>
        </w:rPr>
      </w:pPr>
      <w:r w:rsidRPr="0088551E">
        <w:rPr>
          <w:rFonts w:ascii="ITC Avant Garde" w:hAnsi="ITC Avant Garde"/>
          <w:sz w:val="22"/>
          <w:szCs w:val="22"/>
          <w:lang w:val="es-ES_tradnl"/>
        </w:rPr>
        <w:t>…</w:t>
      </w:r>
    </w:p>
    <w:p w14:paraId="00C33065" w14:textId="77777777" w:rsidR="00C255EB" w:rsidRPr="00C11B8B" w:rsidRDefault="00C255EB" w:rsidP="00FE4023">
      <w:pPr>
        <w:pStyle w:val="Texto"/>
        <w:spacing w:before="240" w:after="240" w:line="240" w:lineRule="auto"/>
        <w:ind w:left="2124" w:firstLine="0"/>
        <w:rPr>
          <w:rFonts w:ascii="ITC Avant Garde" w:hAnsi="ITC Avant Garde"/>
          <w:sz w:val="22"/>
          <w:szCs w:val="22"/>
          <w:lang w:val="es-ES_tradnl"/>
        </w:rPr>
      </w:pPr>
      <w:r w:rsidRPr="00C11B8B">
        <w:rPr>
          <w:rFonts w:ascii="ITC Avant Garde" w:hAnsi="ITC Avant Garde"/>
          <w:sz w:val="22"/>
          <w:szCs w:val="22"/>
          <w:lang w:val="es-ES_tradnl"/>
        </w:rPr>
        <w:t>“POR FAVOR, ASEGÚRESE DE ESTAR LLAMANDO DESDE EL NÚMERO TELEFÓNICO QUE DESEA PORTAR. EL NÚMERO QUE DESEA PORTAR TIENE TERMINACIÓN ####”.</w:t>
      </w:r>
    </w:p>
    <w:p w14:paraId="5B243455" w14:textId="77777777" w:rsidR="00C255EB" w:rsidRDefault="00C255EB" w:rsidP="00FE4023">
      <w:pPr>
        <w:pStyle w:val="Texto"/>
        <w:spacing w:before="240" w:after="240" w:line="240" w:lineRule="auto"/>
        <w:ind w:left="1416" w:firstLine="708"/>
        <w:rPr>
          <w:rFonts w:ascii="ITC Avant Garde" w:hAnsi="ITC Avant Garde"/>
          <w:sz w:val="22"/>
          <w:szCs w:val="22"/>
          <w:lang w:val="es-ES_tradnl"/>
        </w:rPr>
      </w:pPr>
      <w:r>
        <w:rPr>
          <w:rFonts w:ascii="ITC Avant Garde" w:hAnsi="ITC Avant Garde"/>
          <w:sz w:val="22"/>
          <w:szCs w:val="22"/>
          <w:lang w:val="es-ES_tradnl"/>
        </w:rPr>
        <w:t>…</w:t>
      </w:r>
    </w:p>
    <w:p w14:paraId="16F89014" w14:textId="77777777" w:rsidR="00C255EB" w:rsidRDefault="00C255EB" w:rsidP="00FE4023">
      <w:pPr>
        <w:pStyle w:val="Texto"/>
        <w:spacing w:before="240" w:after="240" w:line="240" w:lineRule="auto"/>
        <w:ind w:left="2124" w:firstLine="0"/>
        <w:rPr>
          <w:rFonts w:ascii="ITC Avant Garde" w:hAnsi="ITC Avant Garde"/>
          <w:sz w:val="22"/>
          <w:szCs w:val="22"/>
          <w:lang w:val="es-ES_tradnl"/>
        </w:rPr>
      </w:pPr>
      <w:proofErr w:type="spellStart"/>
      <w:r>
        <w:rPr>
          <w:rFonts w:ascii="ITC Avant Garde" w:hAnsi="ITC Avant Garde"/>
          <w:sz w:val="22"/>
          <w:szCs w:val="22"/>
          <w:lang w:val="es-ES_tradnl"/>
        </w:rPr>
        <w:lastRenderedPageBreak/>
        <w:t>D</w:t>
      </w:r>
      <w:r w:rsidR="00FE4023">
        <w:rPr>
          <w:rFonts w:ascii="ITC Avant Garde" w:hAnsi="ITC Avant Garde"/>
          <w:sz w:val="22"/>
          <w:szCs w:val="22"/>
          <w:lang w:val="es-ES_tradnl"/>
        </w:rPr>
        <w:t>o</w:t>
      </w:r>
      <w:r>
        <w:rPr>
          <w:rFonts w:ascii="ITC Avant Garde" w:hAnsi="ITC Avant Garde"/>
          <w:sz w:val="22"/>
          <w:szCs w:val="22"/>
          <w:lang w:val="es-ES_tradnl"/>
        </w:rPr>
        <w:t>nde</w:t>
      </w:r>
      <w:proofErr w:type="spellEnd"/>
      <w:r>
        <w:rPr>
          <w:rFonts w:ascii="ITC Avant Garde" w:hAnsi="ITC Avant Garde"/>
          <w:sz w:val="22"/>
          <w:szCs w:val="22"/>
          <w:lang w:val="es-ES_tradnl"/>
        </w:rPr>
        <w:t>: #### es la terminación del número nacional y deberá reproducirse dígito por dígito.</w:t>
      </w:r>
    </w:p>
    <w:p w14:paraId="58BBFD1F" w14:textId="77777777" w:rsidR="00C255EB" w:rsidRPr="008D4D03" w:rsidRDefault="00C255EB" w:rsidP="00FE4023">
      <w:pPr>
        <w:pStyle w:val="Texto"/>
        <w:spacing w:before="240" w:after="240" w:line="240" w:lineRule="auto"/>
        <w:ind w:left="1560" w:hanging="142"/>
        <w:rPr>
          <w:rFonts w:ascii="ITC Avant Garde" w:hAnsi="ITC Avant Garde"/>
          <w:sz w:val="22"/>
          <w:szCs w:val="22"/>
          <w:lang w:val="es-ES_tradnl"/>
        </w:rPr>
      </w:pPr>
      <w:r w:rsidRPr="008D4D03">
        <w:rPr>
          <w:rFonts w:ascii="ITC Avant Garde" w:hAnsi="ITC Avant Garde"/>
          <w:sz w:val="22"/>
          <w:szCs w:val="22"/>
          <w:lang w:val="es-ES_tradnl"/>
        </w:rPr>
        <w:t>…</w:t>
      </w:r>
    </w:p>
    <w:p w14:paraId="3EEA6E65" w14:textId="77777777" w:rsidR="00C255EB" w:rsidRPr="0077303D" w:rsidRDefault="00C255EB" w:rsidP="00FE4023">
      <w:pPr>
        <w:pStyle w:val="Texto"/>
        <w:spacing w:before="240" w:after="240" w:line="240" w:lineRule="auto"/>
        <w:ind w:left="1560" w:hanging="142"/>
        <w:rPr>
          <w:rFonts w:ascii="ITC Avant Garde" w:hAnsi="ITC Avant Garde"/>
          <w:sz w:val="22"/>
          <w:szCs w:val="22"/>
          <w:lang w:val="es-ES_tradnl"/>
        </w:rPr>
      </w:pPr>
      <w:r w:rsidRPr="008D4D03">
        <w:rPr>
          <w:rFonts w:ascii="ITC Avant Garde" w:hAnsi="ITC Avant Garde"/>
          <w:sz w:val="22"/>
          <w:szCs w:val="22"/>
          <w:lang w:val="es-ES_tradnl"/>
        </w:rPr>
        <w:t>…</w:t>
      </w:r>
    </w:p>
    <w:p w14:paraId="4299F441" w14:textId="77777777" w:rsidR="00C255EB" w:rsidRDefault="00C255EB" w:rsidP="009A52C7">
      <w:pPr>
        <w:pStyle w:val="Texto"/>
        <w:spacing w:before="240" w:after="240" w:line="240" w:lineRule="auto"/>
        <w:ind w:left="851" w:firstLine="0"/>
        <w:rPr>
          <w:rFonts w:ascii="ITC Avant Garde" w:hAnsi="ITC Avant Garde"/>
          <w:sz w:val="22"/>
          <w:szCs w:val="22"/>
          <w:lang w:val="es-ES_tradnl"/>
        </w:rPr>
      </w:pPr>
      <w:r>
        <w:rPr>
          <w:rFonts w:ascii="ITC Avant Garde" w:hAnsi="ITC Avant Garde"/>
          <w:b/>
          <w:sz w:val="22"/>
          <w:szCs w:val="22"/>
          <w:lang w:val="es-ES_tradnl"/>
        </w:rPr>
        <w:t>IV.</w:t>
      </w:r>
      <w:r>
        <w:rPr>
          <w:rFonts w:ascii="ITC Avant Garde" w:hAnsi="ITC Avant Garde"/>
          <w:sz w:val="22"/>
          <w:szCs w:val="22"/>
          <w:lang w:val="es-ES_tradnl"/>
        </w:rPr>
        <w:t xml:space="preserve"> </w:t>
      </w:r>
      <w:r w:rsidR="000451FD">
        <w:rPr>
          <w:rFonts w:ascii="ITC Avant Garde" w:hAnsi="ITC Avant Garde"/>
          <w:sz w:val="22"/>
          <w:szCs w:val="22"/>
          <w:lang w:val="es-ES_tradnl"/>
        </w:rPr>
        <w:tab/>
      </w:r>
      <w:r>
        <w:rPr>
          <w:rFonts w:ascii="ITC Avant Garde" w:hAnsi="ITC Avant Garde"/>
          <w:sz w:val="22"/>
          <w:szCs w:val="22"/>
          <w:lang w:val="es-ES_tradnl"/>
        </w:rPr>
        <w:t>…</w:t>
      </w:r>
      <w:r w:rsidRPr="004C61CD">
        <w:rPr>
          <w:rFonts w:ascii="ITC Avant Garde" w:hAnsi="ITC Avant Garde"/>
          <w:sz w:val="22"/>
          <w:szCs w:val="22"/>
          <w:lang w:val="es-ES_tradnl"/>
        </w:rPr>
        <w:t xml:space="preserve"> </w:t>
      </w:r>
    </w:p>
    <w:p w14:paraId="273C3A1B" w14:textId="77777777" w:rsidR="00C255EB" w:rsidRDefault="00C255EB" w:rsidP="00FE4023">
      <w:pPr>
        <w:pStyle w:val="Texto"/>
        <w:spacing w:before="240" w:after="240" w:line="240" w:lineRule="auto"/>
        <w:ind w:left="2127" w:firstLine="0"/>
        <w:rPr>
          <w:rFonts w:ascii="ITC Avant Garde" w:hAnsi="ITC Avant Garde"/>
          <w:sz w:val="22"/>
          <w:szCs w:val="22"/>
          <w:lang w:val="es-ES_tradnl"/>
        </w:rPr>
      </w:pPr>
      <w:r w:rsidRPr="00B55B45">
        <w:rPr>
          <w:rFonts w:ascii="ITC Avant Garde" w:hAnsi="ITC Avant Garde"/>
          <w:sz w:val="22"/>
          <w:szCs w:val="22"/>
          <w:lang w:val="es-ES_tradnl"/>
        </w:rPr>
        <w:t>“EL NIP DE PORTABILIDAD LE PERMITE REALIZAR EL CAMBIO DE EMPRESA DE TELEFONÍA DEL NÚMERO TELEFÓNICO CON TERMINACIÓN ####. ENTREGUE EL NIP A LA NUEVA EMPRESA S</w:t>
      </w:r>
      <w:r w:rsidR="00FE4023">
        <w:rPr>
          <w:rFonts w:ascii="ITC Avant Garde" w:hAnsi="ITC Avant Garde"/>
          <w:sz w:val="22"/>
          <w:szCs w:val="22"/>
          <w:lang w:val="es-ES_tradnl"/>
        </w:rPr>
        <w:t>O</w:t>
      </w:r>
      <w:r w:rsidRPr="00B55B45">
        <w:rPr>
          <w:rFonts w:ascii="ITC Avant Garde" w:hAnsi="ITC Avant Garde"/>
          <w:sz w:val="22"/>
          <w:szCs w:val="22"/>
          <w:lang w:val="es-ES_tradnl"/>
        </w:rPr>
        <w:t>LO SI SE DESEA CAMBIAR. SU NIP DE PORTABILIDAD ES X</w:t>
      </w:r>
      <w:r>
        <w:rPr>
          <w:rFonts w:ascii="ITC Avant Garde" w:hAnsi="ITC Avant Garde"/>
          <w:sz w:val="22"/>
          <w:szCs w:val="22"/>
          <w:lang w:val="es-ES_tradnl"/>
        </w:rPr>
        <w:t>XXX Y TIENE UNA VIGENCIA AL DD DE MM DE</w:t>
      </w:r>
      <w:r w:rsidRPr="00B55B45">
        <w:rPr>
          <w:rFonts w:ascii="ITC Avant Garde" w:hAnsi="ITC Avant Garde"/>
          <w:sz w:val="22"/>
          <w:szCs w:val="22"/>
          <w:lang w:val="es-ES_tradnl"/>
        </w:rPr>
        <w:t xml:space="preserve"> AAAA”.</w:t>
      </w:r>
    </w:p>
    <w:p w14:paraId="4C8DE524" w14:textId="77777777" w:rsidR="00C255EB" w:rsidRDefault="00184433" w:rsidP="00FE4023">
      <w:pPr>
        <w:pStyle w:val="Texto"/>
        <w:spacing w:before="240" w:after="240" w:line="240" w:lineRule="auto"/>
        <w:ind w:left="3534" w:hanging="1410"/>
        <w:rPr>
          <w:rFonts w:ascii="ITC Avant Garde" w:hAnsi="ITC Avant Garde"/>
          <w:sz w:val="22"/>
          <w:szCs w:val="22"/>
          <w:lang w:val="es-ES_tradnl"/>
        </w:rPr>
      </w:pPr>
      <w:proofErr w:type="spellStart"/>
      <w:r w:rsidRPr="00184433">
        <w:rPr>
          <w:rFonts w:ascii="ITC Avant Garde" w:hAnsi="ITC Avant Garde"/>
          <w:sz w:val="22"/>
          <w:szCs w:val="22"/>
          <w:lang w:val="es-MX"/>
        </w:rPr>
        <w:t>Donde</w:t>
      </w:r>
      <w:proofErr w:type="spellEnd"/>
      <w:r w:rsidRPr="00184433">
        <w:rPr>
          <w:rFonts w:ascii="ITC Avant Garde" w:hAnsi="ITC Avant Garde"/>
          <w:sz w:val="22"/>
          <w:szCs w:val="22"/>
          <w:lang w:val="es-MX"/>
        </w:rPr>
        <w:t xml:space="preserve">: </w:t>
      </w:r>
      <w:r w:rsidR="008E5B44">
        <w:rPr>
          <w:rFonts w:ascii="ITC Avant Garde" w:hAnsi="ITC Avant Garde"/>
          <w:sz w:val="22"/>
          <w:szCs w:val="22"/>
          <w:lang w:val="es-MX"/>
        </w:rPr>
        <w:tab/>
      </w:r>
      <w:r w:rsidRPr="00184433">
        <w:rPr>
          <w:rFonts w:ascii="ITC Avant Garde" w:hAnsi="ITC Avant Garde"/>
          <w:sz w:val="22"/>
          <w:szCs w:val="22"/>
          <w:lang w:val="es-MX"/>
        </w:rPr>
        <w:t>XXXX es el NIP de Confirmación generado por el ABD y deberá reproducirse dígito por dígito</w:t>
      </w:r>
      <w:r w:rsidRPr="00184433">
        <w:rPr>
          <w:rFonts w:ascii="ITC Avant Garde" w:hAnsi="ITC Avant Garde"/>
          <w:sz w:val="22"/>
          <w:szCs w:val="22"/>
          <w:u w:val="single"/>
          <w:lang w:val="es-MX"/>
        </w:rPr>
        <w:t>,</w:t>
      </w:r>
    </w:p>
    <w:p w14:paraId="7A9C6CEB" w14:textId="77777777" w:rsidR="00C255EB" w:rsidRDefault="00C255EB" w:rsidP="00FE4023">
      <w:pPr>
        <w:pStyle w:val="Texto"/>
        <w:spacing w:before="240" w:after="240" w:line="240" w:lineRule="auto"/>
        <w:ind w:left="3537" w:firstLine="0"/>
        <w:rPr>
          <w:rFonts w:ascii="ITC Avant Garde" w:hAnsi="ITC Avant Garde"/>
          <w:sz w:val="22"/>
          <w:szCs w:val="22"/>
          <w:lang w:val="es-ES_tradnl"/>
        </w:rPr>
      </w:pPr>
      <w:r w:rsidRPr="00B55B45">
        <w:rPr>
          <w:rFonts w:ascii="ITC Avant Garde" w:hAnsi="ITC Avant Garde"/>
          <w:sz w:val="22"/>
          <w:szCs w:val="22"/>
          <w:lang w:val="es-ES_tradnl"/>
        </w:rPr>
        <w:t>#### es la terminación del número nacional y deberá reproducirse dígito por dígito</w:t>
      </w:r>
      <w:r w:rsidR="00184433">
        <w:rPr>
          <w:rFonts w:ascii="ITC Avant Garde" w:hAnsi="ITC Avant Garde"/>
          <w:sz w:val="22"/>
          <w:szCs w:val="22"/>
          <w:lang w:val="es-ES_tradnl"/>
        </w:rPr>
        <w:t>, y</w:t>
      </w:r>
    </w:p>
    <w:p w14:paraId="5E0B6137" w14:textId="77777777" w:rsidR="00C255EB" w:rsidRDefault="00C255EB" w:rsidP="00FE4023">
      <w:pPr>
        <w:pStyle w:val="Texto"/>
        <w:spacing w:before="240" w:after="240" w:line="240" w:lineRule="auto"/>
        <w:ind w:left="3537" w:firstLine="0"/>
        <w:rPr>
          <w:rFonts w:ascii="ITC Avant Garde" w:hAnsi="ITC Avant Garde"/>
          <w:sz w:val="22"/>
          <w:szCs w:val="22"/>
          <w:lang w:val="es-ES_tradnl"/>
        </w:rPr>
      </w:pPr>
      <w:r w:rsidRPr="00B55B45">
        <w:rPr>
          <w:rFonts w:ascii="ITC Avant Garde" w:hAnsi="ITC Avant Garde"/>
          <w:sz w:val="22"/>
          <w:szCs w:val="22"/>
          <w:lang w:val="es-ES_tradnl"/>
        </w:rPr>
        <w:t>DD-MM-AAAA es la fecha de vigencia del NIP expresada en días (DD), mes (MM) y año (AA) y deberá reproducirse con el número del día, el nombre del mes y el nombre del año.</w:t>
      </w:r>
    </w:p>
    <w:p w14:paraId="759D5FE8" w14:textId="77777777" w:rsidR="00C255EB" w:rsidRDefault="00C255EB" w:rsidP="00FE4023">
      <w:pPr>
        <w:pStyle w:val="Texto"/>
        <w:spacing w:before="240" w:after="240" w:line="240" w:lineRule="auto"/>
        <w:ind w:left="708" w:firstLine="708"/>
        <w:rPr>
          <w:rFonts w:ascii="ITC Avant Garde" w:hAnsi="ITC Avant Garde"/>
          <w:sz w:val="22"/>
          <w:szCs w:val="22"/>
          <w:lang w:val="es-ES_tradnl"/>
        </w:rPr>
      </w:pPr>
      <w:r>
        <w:rPr>
          <w:rFonts w:ascii="ITC Avant Garde" w:hAnsi="ITC Avant Garde"/>
          <w:sz w:val="22"/>
          <w:szCs w:val="22"/>
          <w:lang w:val="es-ES_tradnl"/>
        </w:rPr>
        <w:t>…</w:t>
      </w:r>
    </w:p>
    <w:p w14:paraId="31753AD2" w14:textId="77777777" w:rsidR="00C255EB" w:rsidRPr="004C61CD" w:rsidRDefault="00C255EB" w:rsidP="00FE4023">
      <w:pPr>
        <w:pStyle w:val="Texto"/>
        <w:spacing w:before="240" w:after="240" w:line="240" w:lineRule="auto"/>
        <w:ind w:left="708" w:firstLine="708"/>
        <w:rPr>
          <w:rFonts w:ascii="ITC Avant Garde" w:hAnsi="ITC Avant Garde"/>
          <w:sz w:val="22"/>
          <w:szCs w:val="22"/>
          <w:lang w:val="es-ES_tradnl"/>
        </w:rPr>
      </w:pPr>
      <w:r>
        <w:rPr>
          <w:rFonts w:ascii="ITC Avant Garde" w:hAnsi="ITC Avant Garde"/>
          <w:sz w:val="22"/>
          <w:szCs w:val="22"/>
          <w:lang w:val="es-ES_tradnl"/>
        </w:rPr>
        <w:t>…</w:t>
      </w:r>
    </w:p>
    <w:p w14:paraId="795E67B9" w14:textId="77777777" w:rsidR="00C255EB" w:rsidRDefault="00C255EB" w:rsidP="00C255EB">
      <w:pPr>
        <w:spacing w:before="240" w:after="240"/>
        <w:ind w:left="425" w:firstLine="284"/>
        <w:jc w:val="both"/>
        <w:outlineLvl w:val="1"/>
        <w:rPr>
          <w:rFonts w:ascii="ITC Avant Garde" w:eastAsia="Times New Roman" w:hAnsi="ITC Avant Garde" w:cs="Arial"/>
          <w:bCs/>
          <w:sz w:val="22"/>
          <w:szCs w:val="22"/>
        </w:rPr>
      </w:pPr>
      <w:r w:rsidRPr="00B55B45">
        <w:rPr>
          <w:rFonts w:ascii="ITC Avant Garde" w:eastAsia="Times New Roman" w:hAnsi="ITC Avant Garde" w:cs="Arial"/>
          <w:bCs/>
          <w:sz w:val="22"/>
          <w:szCs w:val="22"/>
        </w:rPr>
        <w:t xml:space="preserve">Para efectos de la validación durante el Proceso de Portabilidad, </w:t>
      </w:r>
      <w:r>
        <w:rPr>
          <w:rFonts w:ascii="ITC Avant Garde" w:eastAsia="Times New Roman" w:hAnsi="ITC Avant Garde" w:cs="Arial"/>
          <w:bCs/>
          <w:sz w:val="22"/>
          <w:szCs w:val="22"/>
        </w:rPr>
        <w:t xml:space="preserve">el ABD deberá mantener durante </w:t>
      </w:r>
      <w:r w:rsidRPr="00B55B45">
        <w:rPr>
          <w:rFonts w:ascii="ITC Avant Garde" w:eastAsia="Times New Roman" w:hAnsi="ITC Avant Garde" w:cs="Arial"/>
          <w:bCs/>
          <w:sz w:val="22"/>
          <w:szCs w:val="22"/>
        </w:rPr>
        <w:t>5 (</w:t>
      </w:r>
      <w:r>
        <w:rPr>
          <w:rFonts w:ascii="ITC Avant Garde" w:eastAsia="Times New Roman" w:hAnsi="ITC Avant Garde" w:cs="Arial"/>
          <w:bCs/>
          <w:sz w:val="22"/>
          <w:szCs w:val="22"/>
        </w:rPr>
        <w:t>cinco</w:t>
      </w:r>
      <w:r w:rsidRPr="00B55B45">
        <w:rPr>
          <w:rFonts w:ascii="ITC Avant Garde" w:eastAsia="Times New Roman" w:hAnsi="ITC Avant Garde" w:cs="Arial"/>
          <w:bCs/>
          <w:sz w:val="22"/>
          <w:szCs w:val="22"/>
        </w:rPr>
        <w:t>) días naturales a partir de su generación, un registro de los NIP de Confirmación enviados y sus correspondientes Números Nacionales asociados, los cuales podrán ser utilizados por cualquier Proveedor de Servicios de Telecomunicaciones, independientemente del medio de generación. Cuando se solicite un nuevo NIP de Confirmación para un mismo núme</w:t>
      </w:r>
      <w:r>
        <w:rPr>
          <w:rFonts w:ascii="ITC Avant Garde" w:eastAsia="Times New Roman" w:hAnsi="ITC Avant Garde" w:cs="Arial"/>
          <w:bCs/>
          <w:sz w:val="22"/>
          <w:szCs w:val="22"/>
        </w:rPr>
        <w:t xml:space="preserve">ro y no hayan transcurrido los </w:t>
      </w:r>
      <w:r w:rsidRPr="00B55B45">
        <w:rPr>
          <w:rFonts w:ascii="ITC Avant Garde" w:eastAsia="Times New Roman" w:hAnsi="ITC Avant Garde" w:cs="Arial"/>
          <w:bCs/>
          <w:sz w:val="22"/>
          <w:szCs w:val="22"/>
        </w:rPr>
        <w:t>5 (</w:t>
      </w:r>
      <w:r>
        <w:rPr>
          <w:rFonts w:ascii="ITC Avant Garde" w:eastAsia="Times New Roman" w:hAnsi="ITC Avant Garde" w:cs="Arial"/>
          <w:bCs/>
          <w:sz w:val="22"/>
          <w:szCs w:val="22"/>
        </w:rPr>
        <w:t>cinco</w:t>
      </w:r>
      <w:r w:rsidRPr="00B55B45">
        <w:rPr>
          <w:rFonts w:ascii="ITC Avant Garde" w:eastAsia="Times New Roman" w:hAnsi="ITC Avant Garde" w:cs="Arial"/>
          <w:bCs/>
          <w:sz w:val="22"/>
          <w:szCs w:val="22"/>
        </w:rPr>
        <w:t xml:space="preserve">) días naturales señalados, el ABD deberá proveer el mismo NIP de Confirmación, sin que esto implique modificar la fecha de su vencimiento. </w:t>
      </w:r>
    </w:p>
    <w:p w14:paraId="35BE1174" w14:textId="77777777" w:rsidR="00C255EB" w:rsidRPr="004B6103" w:rsidRDefault="00C255EB" w:rsidP="00C255EB">
      <w:pPr>
        <w:spacing w:before="240" w:after="240"/>
        <w:ind w:left="425" w:firstLine="284"/>
        <w:jc w:val="both"/>
        <w:outlineLvl w:val="1"/>
        <w:rPr>
          <w:rFonts w:ascii="ITC Avant Garde" w:eastAsia="Times New Roman" w:hAnsi="ITC Avant Garde" w:cs="Arial"/>
          <w:b/>
          <w:bCs/>
          <w:sz w:val="22"/>
          <w:szCs w:val="22"/>
        </w:rPr>
      </w:pPr>
      <w:r w:rsidRPr="004B6103">
        <w:rPr>
          <w:rFonts w:ascii="ITC Avant Garde" w:eastAsia="Times New Roman" w:hAnsi="ITC Avant Garde" w:cs="Arial"/>
          <w:b/>
          <w:bCs/>
          <w:sz w:val="22"/>
          <w:szCs w:val="22"/>
        </w:rPr>
        <w:t xml:space="preserve">Regla 47. Proceso Administrativo de Portabilidad. </w:t>
      </w:r>
      <w:r w:rsidRPr="00585484">
        <w:rPr>
          <w:rFonts w:ascii="ITC Avant Garde" w:eastAsia="Times New Roman" w:hAnsi="ITC Avant Garde" w:cs="Arial"/>
          <w:bCs/>
          <w:sz w:val="22"/>
          <w:szCs w:val="22"/>
        </w:rPr>
        <w:t>…</w:t>
      </w:r>
    </w:p>
    <w:p w14:paraId="57B062AF" w14:textId="77777777" w:rsidR="00C255EB" w:rsidRPr="002677E9" w:rsidRDefault="00C255EB" w:rsidP="005C7864">
      <w:pPr>
        <w:pStyle w:val="Prrafodelista"/>
        <w:numPr>
          <w:ilvl w:val="0"/>
          <w:numId w:val="8"/>
        </w:numPr>
        <w:spacing w:before="240" w:after="240"/>
        <w:ind w:left="1418"/>
        <w:jc w:val="both"/>
        <w:outlineLvl w:val="1"/>
        <w:rPr>
          <w:rFonts w:ascii="ITC Avant Garde" w:eastAsia="Times New Roman" w:hAnsi="ITC Avant Garde" w:cs="Arial"/>
          <w:sz w:val="22"/>
          <w:szCs w:val="22"/>
        </w:rPr>
      </w:pPr>
      <w:r w:rsidRPr="002677E9">
        <w:rPr>
          <w:rFonts w:ascii="ITC Avant Garde" w:eastAsia="Times New Roman" w:hAnsi="ITC Avant Garde" w:cs="Arial"/>
          <w:sz w:val="22"/>
          <w:szCs w:val="22"/>
        </w:rPr>
        <w:t>…</w:t>
      </w:r>
    </w:p>
    <w:p w14:paraId="24C6C1B9" w14:textId="77777777" w:rsidR="00C255EB" w:rsidRPr="00C8020A" w:rsidRDefault="00C255EB" w:rsidP="005C7864">
      <w:pPr>
        <w:pStyle w:val="Prrafodelista"/>
        <w:numPr>
          <w:ilvl w:val="0"/>
          <w:numId w:val="8"/>
        </w:numPr>
        <w:spacing w:before="240" w:after="240"/>
        <w:ind w:left="1418"/>
        <w:jc w:val="both"/>
        <w:outlineLvl w:val="1"/>
        <w:rPr>
          <w:rFonts w:ascii="ITC Avant Garde" w:eastAsia="Times New Roman" w:hAnsi="ITC Avant Garde" w:cs="Arial"/>
          <w:bCs/>
          <w:sz w:val="22"/>
          <w:szCs w:val="22"/>
        </w:rPr>
      </w:pPr>
      <w:r>
        <w:rPr>
          <w:rFonts w:ascii="ITC Avant Garde" w:eastAsia="Times New Roman" w:hAnsi="ITC Avant Garde" w:cs="Arial"/>
          <w:b/>
          <w:bCs/>
          <w:sz w:val="22"/>
          <w:szCs w:val="22"/>
        </w:rPr>
        <w:lastRenderedPageBreak/>
        <w:t xml:space="preserve">Ingreso de Solicitud. </w:t>
      </w:r>
      <w:r w:rsidRPr="00C8020A">
        <w:rPr>
          <w:rFonts w:ascii="ITC Avant Garde" w:eastAsia="Times New Roman" w:hAnsi="ITC Avant Garde" w:cs="Arial"/>
          <w:sz w:val="22"/>
          <w:szCs w:val="22"/>
        </w:rPr>
        <w:t>…</w:t>
      </w:r>
    </w:p>
    <w:p w14:paraId="78028A21" w14:textId="77777777" w:rsidR="00C255EB" w:rsidRPr="00FE4023" w:rsidRDefault="00C255EB" w:rsidP="00FE4023">
      <w:pPr>
        <w:pStyle w:val="Prrafodelista"/>
        <w:numPr>
          <w:ilvl w:val="0"/>
          <w:numId w:val="9"/>
        </w:numPr>
        <w:spacing w:before="240" w:after="240"/>
        <w:ind w:left="1773" w:hanging="357"/>
        <w:jc w:val="both"/>
        <w:outlineLvl w:val="1"/>
        <w:rPr>
          <w:rFonts w:ascii="ITC Avant Garde" w:eastAsia="Times New Roman" w:hAnsi="ITC Avant Garde" w:cs="Arial"/>
          <w:b/>
          <w:sz w:val="22"/>
          <w:szCs w:val="22"/>
        </w:rPr>
      </w:pPr>
      <w:r w:rsidRPr="00170201">
        <w:rPr>
          <w:rFonts w:ascii="ITC Avant Garde" w:eastAsia="Times New Roman" w:hAnsi="ITC Avant Garde" w:cs="Arial"/>
          <w:sz w:val="22"/>
          <w:szCs w:val="22"/>
        </w:rPr>
        <w:t>a</w:t>
      </w:r>
      <w:r w:rsidRPr="00632D65">
        <w:rPr>
          <w:rFonts w:ascii="ITC Avant Garde" w:eastAsia="Times New Roman" w:hAnsi="ITC Avant Garde" w:cs="Arial"/>
          <w:b/>
          <w:sz w:val="22"/>
          <w:szCs w:val="22"/>
        </w:rPr>
        <w:t xml:space="preserve"> </w:t>
      </w:r>
      <w:r w:rsidR="00B06897">
        <w:rPr>
          <w:rFonts w:ascii="ITC Avant Garde" w:eastAsia="Times New Roman" w:hAnsi="ITC Avant Garde" w:cs="Arial"/>
          <w:b/>
          <w:sz w:val="22"/>
          <w:szCs w:val="22"/>
        </w:rPr>
        <w:t>i</w:t>
      </w:r>
      <w:r>
        <w:rPr>
          <w:rFonts w:ascii="ITC Avant Garde" w:eastAsia="Times New Roman" w:hAnsi="ITC Avant Garde" w:cs="Arial"/>
          <w:b/>
          <w:bCs/>
          <w:sz w:val="22"/>
          <w:szCs w:val="22"/>
        </w:rPr>
        <w:t>)</w:t>
      </w:r>
      <w:r w:rsidRPr="00632D65">
        <w:rPr>
          <w:rFonts w:ascii="ITC Avant Garde" w:eastAsia="Times New Roman" w:hAnsi="ITC Avant Garde" w:cs="Arial"/>
          <w:b/>
          <w:sz w:val="22"/>
          <w:szCs w:val="22"/>
        </w:rPr>
        <w:t xml:space="preserve"> </w:t>
      </w:r>
      <w:r w:rsidRPr="00C8020A">
        <w:rPr>
          <w:rFonts w:ascii="ITC Avant Garde" w:eastAsia="Times New Roman" w:hAnsi="ITC Avant Garde" w:cs="Arial"/>
          <w:sz w:val="22"/>
          <w:szCs w:val="22"/>
        </w:rPr>
        <w:t>…</w:t>
      </w:r>
    </w:p>
    <w:p w14:paraId="147A0F79" w14:textId="77777777" w:rsidR="00B06897" w:rsidRDefault="00B06897" w:rsidP="00FE4023">
      <w:pPr>
        <w:spacing w:before="240" w:after="240"/>
        <w:ind w:left="1416"/>
        <w:jc w:val="both"/>
        <w:outlineLvl w:val="1"/>
        <w:rPr>
          <w:rFonts w:ascii="ITC Avant Garde" w:eastAsia="Times New Roman" w:hAnsi="ITC Avant Garde" w:cs="Arial"/>
          <w:sz w:val="22"/>
          <w:szCs w:val="22"/>
        </w:rPr>
      </w:pPr>
      <w:r w:rsidRPr="00FE4023">
        <w:rPr>
          <w:rFonts w:ascii="ITC Avant Garde" w:eastAsia="Times New Roman" w:hAnsi="ITC Avant Garde" w:cs="Arial"/>
          <w:sz w:val="22"/>
          <w:szCs w:val="22"/>
        </w:rPr>
        <w:t>…</w:t>
      </w:r>
    </w:p>
    <w:p w14:paraId="29B0559F" w14:textId="77777777" w:rsidR="00B06897" w:rsidRPr="00FE4023" w:rsidRDefault="00B06897" w:rsidP="00FE4023">
      <w:pPr>
        <w:spacing w:before="240" w:after="240"/>
        <w:ind w:left="1416"/>
        <w:jc w:val="both"/>
        <w:outlineLvl w:val="1"/>
        <w:rPr>
          <w:rFonts w:ascii="ITC Avant Garde" w:eastAsia="Times New Roman" w:hAnsi="ITC Avant Garde" w:cs="Arial"/>
          <w:sz w:val="22"/>
          <w:szCs w:val="22"/>
        </w:rPr>
      </w:pPr>
      <w:r w:rsidRPr="00FE4023">
        <w:rPr>
          <w:rFonts w:ascii="ITC Avant Garde" w:eastAsia="Times New Roman" w:hAnsi="ITC Avant Garde" w:cs="Arial"/>
          <w:b/>
          <w:sz w:val="22"/>
          <w:szCs w:val="22"/>
        </w:rPr>
        <w:t>j)</w:t>
      </w:r>
      <w:r>
        <w:rPr>
          <w:rFonts w:ascii="ITC Avant Garde" w:eastAsia="Times New Roman" w:hAnsi="ITC Avant Garde" w:cs="Arial"/>
          <w:sz w:val="22"/>
          <w:szCs w:val="22"/>
        </w:rPr>
        <w:t xml:space="preserve"> y </w:t>
      </w:r>
      <w:r w:rsidRPr="00FE4023">
        <w:rPr>
          <w:rFonts w:ascii="ITC Avant Garde" w:eastAsia="Times New Roman" w:hAnsi="ITC Avant Garde" w:cs="Arial"/>
          <w:b/>
          <w:sz w:val="22"/>
          <w:szCs w:val="22"/>
        </w:rPr>
        <w:t>k)</w:t>
      </w:r>
    </w:p>
    <w:p w14:paraId="6CD1853B" w14:textId="77777777" w:rsidR="00C255EB" w:rsidRPr="00C8020A" w:rsidRDefault="00C255EB" w:rsidP="00FE4023">
      <w:pPr>
        <w:spacing w:before="240" w:after="240"/>
        <w:ind w:left="134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3CF12BC9" w14:textId="77777777" w:rsidR="00C255EB" w:rsidRPr="00C8020A" w:rsidRDefault="00C255EB" w:rsidP="00FE4023">
      <w:pPr>
        <w:spacing w:before="240" w:after="240"/>
        <w:ind w:left="1348"/>
        <w:jc w:val="both"/>
        <w:outlineLvl w:val="1"/>
        <w:rPr>
          <w:rFonts w:ascii="ITC Avant Garde" w:eastAsia="Times New Roman" w:hAnsi="ITC Avant Garde" w:cs="Arial"/>
          <w:bCs/>
          <w:sz w:val="22"/>
          <w:szCs w:val="22"/>
        </w:rPr>
      </w:pPr>
      <w:r w:rsidRPr="00C8020A">
        <w:rPr>
          <w:rFonts w:ascii="ITC Avant Garde" w:eastAsia="Times New Roman" w:hAnsi="ITC Avant Garde" w:cs="Arial"/>
          <w:bCs/>
          <w:sz w:val="22"/>
          <w:szCs w:val="22"/>
        </w:rPr>
        <w:t>…</w:t>
      </w:r>
    </w:p>
    <w:p w14:paraId="0B298189" w14:textId="77777777" w:rsidR="00C255EB" w:rsidRDefault="00C255EB" w:rsidP="00FE4023">
      <w:pPr>
        <w:spacing w:before="240" w:after="240"/>
        <w:ind w:left="1348"/>
        <w:jc w:val="both"/>
        <w:outlineLvl w:val="1"/>
        <w:rPr>
          <w:rFonts w:ascii="ITC Avant Garde" w:eastAsia="Times New Roman" w:hAnsi="ITC Avant Garde" w:cs="Arial"/>
          <w:sz w:val="22"/>
          <w:szCs w:val="22"/>
        </w:rPr>
      </w:pPr>
      <w:r>
        <w:rPr>
          <w:rFonts w:ascii="ITC Avant Garde" w:eastAsia="Times New Roman" w:hAnsi="ITC Avant Garde" w:cs="Arial"/>
          <w:sz w:val="22"/>
          <w:szCs w:val="22"/>
        </w:rPr>
        <w:t>…</w:t>
      </w:r>
    </w:p>
    <w:p w14:paraId="525B0B22" w14:textId="77777777" w:rsidR="00C255EB" w:rsidRDefault="00C255EB" w:rsidP="00FE4023">
      <w:pPr>
        <w:spacing w:before="240" w:after="240"/>
        <w:ind w:left="1348"/>
        <w:jc w:val="both"/>
        <w:outlineLvl w:val="1"/>
        <w:rPr>
          <w:rFonts w:ascii="ITC Avant Garde" w:eastAsia="Times New Roman" w:hAnsi="ITC Avant Garde" w:cs="Arial"/>
          <w:bCs/>
          <w:sz w:val="22"/>
          <w:szCs w:val="22"/>
        </w:rPr>
      </w:pPr>
      <w:r>
        <w:rPr>
          <w:rFonts w:ascii="ITC Avant Garde" w:eastAsia="Times New Roman" w:hAnsi="ITC Avant Garde" w:cs="Arial"/>
          <w:sz w:val="22"/>
          <w:szCs w:val="22"/>
        </w:rPr>
        <w:t>…</w:t>
      </w:r>
    </w:p>
    <w:p w14:paraId="09C6F132" w14:textId="77777777" w:rsidR="00C255EB" w:rsidRDefault="00C255EB" w:rsidP="00FE4023">
      <w:pPr>
        <w:spacing w:before="240" w:after="240"/>
        <w:ind w:left="134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301FB679" w14:textId="77777777" w:rsidR="00C255EB" w:rsidRPr="00632D65" w:rsidRDefault="00C255EB" w:rsidP="005C7864">
      <w:pPr>
        <w:tabs>
          <w:tab w:val="left" w:pos="1428"/>
        </w:tabs>
        <w:spacing w:before="240" w:after="240"/>
        <w:ind w:left="1276"/>
        <w:jc w:val="both"/>
        <w:outlineLvl w:val="1"/>
        <w:rPr>
          <w:rFonts w:ascii="ITC Avant Garde" w:eastAsia="Times New Roman" w:hAnsi="ITC Avant Garde" w:cs="Arial"/>
          <w:sz w:val="22"/>
          <w:szCs w:val="22"/>
        </w:rPr>
      </w:pPr>
      <w:r w:rsidRPr="00890B33">
        <w:rPr>
          <w:rFonts w:ascii="ITC Avant Garde" w:eastAsia="Times New Roman" w:hAnsi="ITC Avant Garde" w:cs="Arial"/>
          <w:sz w:val="22"/>
          <w:szCs w:val="22"/>
        </w:rPr>
        <w:t>Los Proveedores Receptores deberán remitir a los Usuarios la información necesaria, completa y veraz para acceder al Sistema de Información con el fin de que estos puedan consultar el estado que guarda su solicitud.</w:t>
      </w:r>
    </w:p>
    <w:p w14:paraId="4BA81959" w14:textId="77777777" w:rsidR="00C255EB" w:rsidRPr="00F57084" w:rsidRDefault="00C255EB" w:rsidP="005C7864">
      <w:pPr>
        <w:spacing w:before="240" w:after="240"/>
        <w:ind w:left="708" w:firstLine="1"/>
        <w:jc w:val="both"/>
        <w:outlineLvl w:val="1"/>
        <w:rPr>
          <w:rFonts w:ascii="ITC Avant Garde" w:eastAsia="Times New Roman" w:hAnsi="ITC Avant Garde" w:cs="Arial"/>
          <w:bCs/>
          <w:sz w:val="22"/>
          <w:szCs w:val="22"/>
        </w:rPr>
      </w:pPr>
      <w:r>
        <w:rPr>
          <w:rFonts w:ascii="ITC Avant Garde" w:eastAsia="Times New Roman" w:hAnsi="ITC Avant Garde" w:cs="Arial"/>
          <w:b/>
          <w:bCs/>
          <w:sz w:val="22"/>
          <w:szCs w:val="22"/>
        </w:rPr>
        <w:t xml:space="preserve">III. </w:t>
      </w:r>
      <w:r w:rsidRPr="0038531F">
        <w:rPr>
          <w:rFonts w:ascii="ITC Avant Garde" w:eastAsia="Times New Roman" w:hAnsi="ITC Avant Garde" w:cs="Arial"/>
          <w:bCs/>
          <w:sz w:val="22"/>
          <w:szCs w:val="22"/>
        </w:rPr>
        <w:t>a</w:t>
      </w:r>
      <w:r>
        <w:rPr>
          <w:rFonts w:ascii="ITC Avant Garde" w:eastAsia="Times New Roman" w:hAnsi="ITC Avant Garde" w:cs="Arial"/>
          <w:b/>
          <w:bCs/>
          <w:sz w:val="22"/>
          <w:szCs w:val="22"/>
        </w:rPr>
        <w:t xml:space="preserve"> V. </w:t>
      </w:r>
      <w:r w:rsidRPr="007446AC">
        <w:rPr>
          <w:rFonts w:ascii="ITC Avant Garde" w:eastAsia="Times New Roman" w:hAnsi="ITC Avant Garde" w:cs="Arial"/>
          <w:bCs/>
          <w:sz w:val="22"/>
          <w:szCs w:val="22"/>
        </w:rPr>
        <w:t>…</w:t>
      </w:r>
    </w:p>
    <w:p w14:paraId="0AE13990" w14:textId="77777777" w:rsidR="00C255EB" w:rsidRPr="004B6103" w:rsidRDefault="00C255EB" w:rsidP="005C7864">
      <w:pPr>
        <w:spacing w:before="240" w:after="240"/>
        <w:ind w:left="708" w:firstLine="1"/>
        <w:jc w:val="both"/>
        <w:outlineLvl w:val="1"/>
        <w:rPr>
          <w:rFonts w:ascii="ITC Avant Garde" w:eastAsia="Times New Roman" w:hAnsi="ITC Avant Garde" w:cs="Arial"/>
          <w:bCs/>
          <w:sz w:val="22"/>
          <w:szCs w:val="22"/>
        </w:rPr>
      </w:pPr>
      <w:r w:rsidRPr="004B6103">
        <w:rPr>
          <w:rFonts w:ascii="ITC Avant Garde" w:eastAsia="Times New Roman" w:hAnsi="ITC Avant Garde" w:cs="Arial"/>
          <w:b/>
          <w:bCs/>
          <w:sz w:val="22"/>
          <w:szCs w:val="22"/>
        </w:rPr>
        <w:t>VI.</w:t>
      </w:r>
      <w:r w:rsidRPr="004B6103">
        <w:rPr>
          <w:rFonts w:ascii="ITC Avant Garde" w:eastAsia="Times New Roman" w:hAnsi="ITC Avant Garde" w:cs="Arial"/>
          <w:b/>
          <w:bCs/>
          <w:sz w:val="22"/>
          <w:szCs w:val="22"/>
        </w:rPr>
        <w:tab/>
        <w:t>Envío de rechazo del Proveedor Donador.</w:t>
      </w:r>
      <w:r>
        <w:rPr>
          <w:rFonts w:ascii="ITC Avant Garde" w:eastAsia="Times New Roman" w:hAnsi="ITC Avant Garde" w:cs="Arial"/>
          <w:b/>
          <w:bCs/>
          <w:sz w:val="22"/>
          <w:szCs w:val="22"/>
        </w:rPr>
        <w:t xml:space="preserve"> </w:t>
      </w:r>
      <w:r>
        <w:rPr>
          <w:rFonts w:ascii="ITC Avant Garde" w:eastAsia="Times New Roman" w:hAnsi="ITC Avant Garde" w:cs="Arial"/>
          <w:bCs/>
          <w:sz w:val="22"/>
          <w:szCs w:val="22"/>
        </w:rPr>
        <w:t>…</w:t>
      </w:r>
    </w:p>
    <w:p w14:paraId="7D69EEB3" w14:textId="77777777" w:rsidR="00C255EB" w:rsidRDefault="00C255EB" w:rsidP="005C7864">
      <w:pPr>
        <w:spacing w:before="240" w:after="240"/>
        <w:ind w:left="1408" w:hanging="132"/>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a.</w:t>
      </w:r>
      <w:r>
        <w:rPr>
          <w:rFonts w:ascii="ITC Avant Garde" w:eastAsia="Times New Roman" w:hAnsi="ITC Avant Garde" w:cs="Arial"/>
          <w:bCs/>
          <w:sz w:val="22"/>
          <w:szCs w:val="22"/>
        </w:rPr>
        <w:t xml:space="preserve"> y </w:t>
      </w:r>
      <w:r w:rsidRPr="00BE4707">
        <w:rPr>
          <w:rFonts w:ascii="ITC Avant Garde" w:eastAsia="Times New Roman" w:hAnsi="ITC Avant Garde" w:cs="Arial"/>
          <w:b/>
          <w:bCs/>
          <w:sz w:val="22"/>
          <w:szCs w:val="22"/>
        </w:rPr>
        <w:t>b.</w:t>
      </w:r>
      <w:r w:rsidRPr="004B6103">
        <w:rPr>
          <w:rFonts w:ascii="ITC Avant Garde" w:eastAsia="Times New Roman" w:hAnsi="ITC Avant Garde" w:cs="Arial"/>
          <w:bCs/>
          <w:sz w:val="22"/>
          <w:szCs w:val="22"/>
        </w:rPr>
        <w:tab/>
      </w:r>
      <w:r>
        <w:rPr>
          <w:rFonts w:ascii="ITC Avant Garde" w:eastAsia="Times New Roman" w:hAnsi="ITC Avant Garde" w:cs="Arial"/>
          <w:bCs/>
          <w:sz w:val="22"/>
          <w:szCs w:val="22"/>
        </w:rPr>
        <w:t>…</w:t>
      </w:r>
    </w:p>
    <w:p w14:paraId="63F73B5E" w14:textId="77777777" w:rsidR="00C255EB" w:rsidRDefault="00C255EB" w:rsidP="00FE4023">
      <w:pPr>
        <w:spacing w:before="240" w:after="240"/>
        <w:ind w:left="2127" w:hanging="851"/>
        <w:jc w:val="both"/>
        <w:outlineLvl w:val="1"/>
        <w:rPr>
          <w:rFonts w:ascii="ITC Avant Garde" w:eastAsia="Times New Roman" w:hAnsi="ITC Avant Garde" w:cs="Arial"/>
          <w:bCs/>
          <w:sz w:val="22"/>
          <w:szCs w:val="22"/>
        </w:rPr>
      </w:pPr>
      <w:r w:rsidRPr="00BE4707">
        <w:rPr>
          <w:rFonts w:ascii="ITC Avant Garde" w:eastAsia="Times New Roman" w:hAnsi="ITC Avant Garde" w:cs="Arial"/>
          <w:b/>
          <w:bCs/>
          <w:sz w:val="22"/>
          <w:szCs w:val="22"/>
        </w:rPr>
        <w:t>c.</w:t>
      </w:r>
      <w:r w:rsidRPr="00BE4707">
        <w:rPr>
          <w:rFonts w:ascii="ITC Avant Garde" w:eastAsia="Times New Roman" w:hAnsi="ITC Avant Garde" w:cs="Arial"/>
          <w:b/>
          <w:bCs/>
          <w:sz w:val="22"/>
          <w:szCs w:val="22"/>
        </w:rPr>
        <w:tab/>
      </w:r>
      <w:r w:rsidRPr="00BE4707">
        <w:rPr>
          <w:rFonts w:ascii="ITC Avant Garde" w:eastAsia="Times New Roman" w:hAnsi="ITC Avant Garde" w:cs="Arial"/>
          <w:bCs/>
          <w:sz w:val="22"/>
          <w:szCs w:val="22"/>
        </w:rPr>
        <w:t>Si la causa de rechazo es por la causa señalada en el inciso d</w:t>
      </w:r>
      <w:r>
        <w:rPr>
          <w:rFonts w:ascii="ITC Avant Garde" w:eastAsia="Times New Roman" w:hAnsi="ITC Avant Garde" w:cs="Arial"/>
          <w:bCs/>
          <w:sz w:val="22"/>
          <w:szCs w:val="22"/>
        </w:rPr>
        <w:t>)</w:t>
      </w:r>
      <w:r w:rsidRPr="00BE4707">
        <w:rPr>
          <w:rFonts w:ascii="ITC Avant Garde" w:eastAsia="Times New Roman" w:hAnsi="ITC Avant Garde" w:cs="Arial"/>
          <w:bCs/>
          <w:sz w:val="22"/>
          <w:szCs w:val="22"/>
        </w:rPr>
        <w:t xml:space="preserve"> de la fracción V de la presente Regla, deberá indicar los números que pertenecen a otro usuario y acreditarlo con la factura que pueda ser autenticada a través del sistema de verificación de comprobantes fiscales digitales por Internet que administra el Sistema de Administraci</w:t>
      </w:r>
      <w:r>
        <w:rPr>
          <w:rFonts w:ascii="ITC Avant Garde" w:eastAsia="Times New Roman" w:hAnsi="ITC Avant Garde" w:cs="Arial"/>
          <w:bCs/>
          <w:sz w:val="22"/>
          <w:szCs w:val="22"/>
        </w:rPr>
        <w:t>ón Tributaria o contrato emitido</w:t>
      </w:r>
      <w:r w:rsidRPr="00BE4707">
        <w:rPr>
          <w:rFonts w:ascii="ITC Avant Garde" w:eastAsia="Times New Roman" w:hAnsi="ITC Avant Garde" w:cs="Arial"/>
          <w:bCs/>
          <w:sz w:val="22"/>
          <w:szCs w:val="22"/>
        </w:rPr>
        <w:t xml:space="preserve"> para ese número a otro Usuario</w:t>
      </w:r>
      <w:r w:rsidRPr="008D4D03">
        <w:rPr>
          <w:rFonts w:ascii="ITC Avant Garde" w:eastAsia="Times New Roman" w:hAnsi="ITC Avant Garde" w:cs="Arial"/>
          <w:bCs/>
          <w:sz w:val="22"/>
          <w:szCs w:val="22"/>
        </w:rPr>
        <w:t>. La factura no deberá tener una antigüedad mayor a 40 (cuar</w:t>
      </w:r>
      <w:r w:rsidRPr="00BE4707">
        <w:rPr>
          <w:rFonts w:ascii="ITC Avant Garde" w:eastAsia="Times New Roman" w:hAnsi="ITC Avant Garde" w:cs="Arial"/>
          <w:bCs/>
          <w:sz w:val="22"/>
          <w:szCs w:val="22"/>
        </w:rPr>
        <w:t>enta) días naturales contados a partir de la fecha de emisión, y</w:t>
      </w:r>
    </w:p>
    <w:p w14:paraId="1EAD662F" w14:textId="77777777" w:rsidR="00C255EB" w:rsidRPr="004B6103" w:rsidRDefault="00C255EB" w:rsidP="00FE4023">
      <w:pPr>
        <w:spacing w:before="240" w:after="240"/>
        <w:ind w:left="2127" w:hanging="851"/>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d.</w:t>
      </w:r>
      <w:r w:rsidRPr="006E3508">
        <w:rPr>
          <w:rFonts w:ascii="ITC Avant Garde" w:eastAsia="Times New Roman" w:hAnsi="ITC Avant Garde" w:cs="Arial"/>
          <w:b/>
          <w:bCs/>
          <w:sz w:val="22"/>
          <w:szCs w:val="22"/>
        </w:rPr>
        <w:tab/>
      </w:r>
      <w:r w:rsidRPr="004B6103">
        <w:rPr>
          <w:rFonts w:ascii="ITC Avant Garde" w:eastAsia="Times New Roman" w:hAnsi="ITC Avant Garde" w:cs="Arial"/>
          <w:bCs/>
          <w:sz w:val="22"/>
          <w:szCs w:val="22"/>
        </w:rPr>
        <w:t xml:space="preserve">Si la causa de rechazo es la señalada en el inciso e) de la fracción V de la </w:t>
      </w:r>
      <w:r w:rsidRPr="001B18C8">
        <w:rPr>
          <w:rFonts w:ascii="ITC Avant Garde" w:eastAsia="Times New Roman" w:hAnsi="ITC Avant Garde" w:cs="Arial"/>
          <w:bCs/>
          <w:sz w:val="22"/>
          <w:szCs w:val="22"/>
        </w:rPr>
        <w:t xml:space="preserve">presente Regla, el Proveedor Donador deberá acreditarlo con la factura que pueda ser autenticada a través del sistema de verificación de comprobantes fiscales digitales por </w:t>
      </w:r>
      <w:r w:rsidRPr="008D4D03">
        <w:rPr>
          <w:rFonts w:ascii="ITC Avant Garde" w:eastAsia="Times New Roman" w:hAnsi="ITC Avant Garde" w:cs="Arial"/>
          <w:bCs/>
          <w:sz w:val="22"/>
          <w:szCs w:val="22"/>
        </w:rPr>
        <w:t xml:space="preserve">Internet que administra el Sistema de Administración Tributaria o contrato emitido para ese número a una Persona Moral. La factura no deberá tener una antigüedad mayor a 40 </w:t>
      </w:r>
      <w:r w:rsidRPr="008D4D03">
        <w:rPr>
          <w:rFonts w:ascii="ITC Avant Garde" w:eastAsia="Times New Roman" w:hAnsi="ITC Avant Garde" w:cs="Arial"/>
          <w:bCs/>
          <w:sz w:val="22"/>
          <w:szCs w:val="22"/>
        </w:rPr>
        <w:lastRenderedPageBreak/>
        <w:t>(cuarenta) días naturales contados a partir de la fecha de emisión.</w:t>
      </w:r>
    </w:p>
    <w:p w14:paraId="7D35D52A" w14:textId="77777777" w:rsidR="00C255EB" w:rsidRPr="004B6103" w:rsidRDefault="00C255EB" w:rsidP="005C7864">
      <w:pPr>
        <w:spacing w:before="240" w:after="240"/>
        <w:ind w:left="708" w:firstLine="1"/>
        <w:jc w:val="both"/>
        <w:outlineLvl w:val="1"/>
        <w:rPr>
          <w:rFonts w:ascii="ITC Avant Garde" w:eastAsia="Times New Roman" w:hAnsi="ITC Avant Garde" w:cs="Arial"/>
          <w:bCs/>
          <w:sz w:val="22"/>
          <w:szCs w:val="22"/>
        </w:rPr>
      </w:pPr>
      <w:r w:rsidRPr="004B6103">
        <w:rPr>
          <w:rFonts w:ascii="ITC Avant Garde" w:eastAsia="Times New Roman" w:hAnsi="ITC Avant Garde" w:cs="Arial"/>
          <w:b/>
          <w:bCs/>
          <w:sz w:val="22"/>
          <w:szCs w:val="22"/>
        </w:rPr>
        <w:t>VII.</w:t>
      </w:r>
      <w:r w:rsidRPr="004B6103">
        <w:rPr>
          <w:rFonts w:ascii="ITC Avant Garde" w:eastAsia="Times New Roman" w:hAnsi="ITC Avant Garde" w:cs="Arial"/>
          <w:b/>
          <w:bCs/>
          <w:sz w:val="22"/>
          <w:szCs w:val="22"/>
        </w:rPr>
        <w:tab/>
      </w:r>
      <w:r w:rsidRPr="006E3508">
        <w:rPr>
          <w:rFonts w:ascii="ITC Avant Garde" w:eastAsia="Times New Roman" w:hAnsi="ITC Avant Garde" w:cs="Arial"/>
          <w:b/>
          <w:bCs/>
          <w:sz w:val="22"/>
          <w:szCs w:val="22"/>
        </w:rPr>
        <w:t xml:space="preserve">Validación del rechazo por parte del ABD. </w:t>
      </w:r>
      <w:r>
        <w:rPr>
          <w:rFonts w:ascii="ITC Avant Garde" w:eastAsia="Times New Roman" w:hAnsi="ITC Avant Garde" w:cs="Arial"/>
          <w:bCs/>
          <w:sz w:val="22"/>
          <w:szCs w:val="22"/>
        </w:rPr>
        <w:t>…</w:t>
      </w:r>
    </w:p>
    <w:p w14:paraId="153FA006" w14:textId="77777777" w:rsidR="00C255EB" w:rsidRPr="004B6103" w:rsidRDefault="00C255EB" w:rsidP="00CC51A9">
      <w:pPr>
        <w:spacing w:before="240" w:after="240"/>
        <w:ind w:left="1276" w:firstLine="142"/>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a.</w:t>
      </w:r>
      <w:r w:rsidRPr="006E3508">
        <w:rPr>
          <w:rFonts w:ascii="ITC Avant Garde" w:eastAsia="Times New Roman" w:hAnsi="ITC Avant Garde" w:cs="Arial"/>
          <w:bCs/>
          <w:sz w:val="22"/>
          <w:szCs w:val="22"/>
        </w:rPr>
        <w:t xml:space="preserve"> a</w:t>
      </w:r>
      <w:r w:rsidRPr="006E3508">
        <w:rPr>
          <w:rFonts w:ascii="ITC Avant Garde" w:eastAsia="Times New Roman" w:hAnsi="ITC Avant Garde" w:cs="Arial"/>
          <w:b/>
          <w:bCs/>
          <w:sz w:val="22"/>
          <w:szCs w:val="22"/>
        </w:rPr>
        <w:t xml:space="preserve"> </w:t>
      </w:r>
      <w:r>
        <w:rPr>
          <w:rFonts w:ascii="ITC Avant Garde" w:eastAsia="Times New Roman" w:hAnsi="ITC Avant Garde" w:cs="Arial"/>
          <w:b/>
          <w:bCs/>
          <w:sz w:val="22"/>
          <w:szCs w:val="22"/>
        </w:rPr>
        <w:t>c</w:t>
      </w:r>
      <w:r w:rsidRPr="006E3508">
        <w:rPr>
          <w:rFonts w:ascii="ITC Avant Garde" w:eastAsia="Times New Roman" w:hAnsi="ITC Avant Garde" w:cs="Arial"/>
          <w:b/>
          <w:bCs/>
          <w:sz w:val="22"/>
          <w:szCs w:val="22"/>
        </w:rPr>
        <w:t>.</w:t>
      </w:r>
      <w:r w:rsidRPr="004B6103">
        <w:rPr>
          <w:rFonts w:ascii="ITC Avant Garde" w:eastAsia="Times New Roman" w:hAnsi="ITC Avant Garde" w:cs="Arial"/>
          <w:bCs/>
          <w:sz w:val="22"/>
          <w:szCs w:val="22"/>
        </w:rPr>
        <w:tab/>
      </w:r>
      <w:r>
        <w:rPr>
          <w:rFonts w:ascii="ITC Avant Garde" w:eastAsia="Times New Roman" w:hAnsi="ITC Avant Garde" w:cs="Arial"/>
          <w:bCs/>
          <w:sz w:val="22"/>
          <w:szCs w:val="22"/>
        </w:rPr>
        <w:t xml:space="preserve"> …</w:t>
      </w:r>
    </w:p>
    <w:p w14:paraId="44EAD215" w14:textId="77777777" w:rsidR="00C255EB" w:rsidRDefault="00C255EB" w:rsidP="00FE4023">
      <w:pPr>
        <w:spacing w:before="240" w:after="240"/>
        <w:ind w:left="2123" w:hanging="705"/>
        <w:jc w:val="both"/>
        <w:outlineLvl w:val="1"/>
        <w:rPr>
          <w:rFonts w:ascii="ITC Avant Garde" w:eastAsia="Times New Roman" w:hAnsi="ITC Avant Garde" w:cs="Arial"/>
          <w:b/>
          <w:bCs/>
          <w:sz w:val="22"/>
          <w:szCs w:val="22"/>
        </w:rPr>
      </w:pPr>
      <w:r>
        <w:rPr>
          <w:rFonts w:ascii="ITC Avant Garde" w:eastAsia="Times New Roman" w:hAnsi="ITC Avant Garde" w:cs="Arial"/>
          <w:b/>
          <w:bCs/>
          <w:sz w:val="22"/>
          <w:szCs w:val="22"/>
        </w:rPr>
        <w:t>d.</w:t>
      </w:r>
      <w:r w:rsidRPr="00415A6B">
        <w:rPr>
          <w:rFonts w:ascii="ITC Avant Garde" w:eastAsia="Times New Roman" w:hAnsi="ITC Avant Garde" w:cs="Arial"/>
          <w:bCs/>
          <w:sz w:val="22"/>
          <w:szCs w:val="22"/>
        </w:rPr>
        <w:t xml:space="preserve"> </w:t>
      </w:r>
      <w:r w:rsidR="0060119C">
        <w:rPr>
          <w:rFonts w:ascii="ITC Avant Garde" w:eastAsia="Times New Roman" w:hAnsi="ITC Avant Garde" w:cs="Arial"/>
          <w:bCs/>
          <w:sz w:val="22"/>
          <w:szCs w:val="22"/>
        </w:rPr>
        <w:tab/>
      </w:r>
      <w:r w:rsidRPr="00415A6B">
        <w:rPr>
          <w:rFonts w:ascii="ITC Avant Garde" w:eastAsia="Times New Roman" w:hAnsi="ITC Avant Garde" w:cs="Arial"/>
          <w:bCs/>
          <w:sz w:val="22"/>
          <w:szCs w:val="22"/>
        </w:rPr>
        <w:t xml:space="preserve">Que </w:t>
      </w:r>
      <w:r>
        <w:rPr>
          <w:rFonts w:ascii="ITC Avant Garde" w:eastAsia="Times New Roman" w:hAnsi="ITC Avant Garde" w:cs="Arial"/>
          <w:bCs/>
          <w:sz w:val="22"/>
          <w:szCs w:val="22"/>
        </w:rPr>
        <w:t>el Proveedor Donador haya acreditado a través de factura válida que pueda ser autenticada a través del sistema de verificación de comprobantes fiscales digitales por Internet que administra el Sistema de Administración Tributaria o contrato, que algún(os) número(s) pertenecen a otro Usuario, y</w:t>
      </w:r>
    </w:p>
    <w:p w14:paraId="7F8A498A" w14:textId="77777777" w:rsidR="00C255EB" w:rsidRPr="004B6103" w:rsidRDefault="00C255EB" w:rsidP="00FE4023">
      <w:pPr>
        <w:spacing w:before="240" w:after="240"/>
        <w:ind w:left="2123" w:hanging="705"/>
        <w:jc w:val="both"/>
        <w:outlineLvl w:val="1"/>
        <w:rPr>
          <w:rFonts w:ascii="ITC Avant Garde" w:eastAsia="Times New Roman" w:hAnsi="ITC Avant Garde" w:cs="Arial"/>
          <w:bCs/>
          <w:sz w:val="22"/>
          <w:szCs w:val="22"/>
        </w:rPr>
      </w:pPr>
      <w:r w:rsidRPr="006E3508">
        <w:rPr>
          <w:rFonts w:ascii="ITC Avant Garde" w:eastAsia="Times New Roman" w:hAnsi="ITC Avant Garde" w:cs="Arial"/>
          <w:b/>
          <w:bCs/>
          <w:sz w:val="22"/>
          <w:szCs w:val="22"/>
        </w:rPr>
        <w:t>e.</w:t>
      </w:r>
      <w:r>
        <w:rPr>
          <w:rFonts w:ascii="ITC Avant Garde" w:eastAsia="Times New Roman" w:hAnsi="ITC Avant Garde" w:cs="Arial"/>
          <w:b/>
          <w:bCs/>
          <w:sz w:val="22"/>
          <w:szCs w:val="22"/>
        </w:rPr>
        <w:t xml:space="preserve"> </w:t>
      </w:r>
      <w:r w:rsidR="0060119C">
        <w:rPr>
          <w:rFonts w:ascii="ITC Avant Garde" w:eastAsia="Times New Roman" w:hAnsi="ITC Avant Garde" w:cs="Arial"/>
          <w:b/>
          <w:bCs/>
          <w:sz w:val="22"/>
          <w:szCs w:val="22"/>
        </w:rPr>
        <w:tab/>
      </w:r>
      <w:r w:rsidRPr="001B18C8">
        <w:rPr>
          <w:rFonts w:ascii="ITC Avant Garde" w:eastAsia="Times New Roman" w:hAnsi="ITC Avant Garde" w:cs="Arial"/>
          <w:bCs/>
          <w:sz w:val="22"/>
          <w:szCs w:val="22"/>
        </w:rPr>
        <w:t xml:space="preserve">Que el Proveedor </w:t>
      </w:r>
      <w:r w:rsidRPr="008D4D03">
        <w:rPr>
          <w:rFonts w:ascii="ITC Avant Garde" w:eastAsia="Times New Roman" w:hAnsi="ITC Avant Garde" w:cs="Arial"/>
          <w:bCs/>
          <w:sz w:val="22"/>
          <w:szCs w:val="22"/>
        </w:rPr>
        <w:t xml:space="preserve">Donador haya acreditado a través de factura </w:t>
      </w:r>
      <w:r>
        <w:rPr>
          <w:rFonts w:ascii="ITC Avant Garde" w:eastAsia="Times New Roman" w:hAnsi="ITC Avant Garde" w:cs="Arial"/>
          <w:bCs/>
          <w:sz w:val="22"/>
          <w:szCs w:val="22"/>
        </w:rPr>
        <w:t xml:space="preserve">válida </w:t>
      </w:r>
      <w:r w:rsidRPr="008D4D03">
        <w:rPr>
          <w:rFonts w:ascii="ITC Avant Garde" w:eastAsia="Times New Roman" w:hAnsi="ITC Avant Garde" w:cs="Arial"/>
          <w:bCs/>
          <w:sz w:val="22"/>
          <w:szCs w:val="22"/>
        </w:rPr>
        <w:t>que pueda ser autenticada a través del sistema de verificación de comprobantes fiscales digitales por Internet que administra el Sistema de Administración Tributaria o contrato, que algún(os) número</w:t>
      </w:r>
      <w:r w:rsidRPr="001B18C8">
        <w:rPr>
          <w:rFonts w:ascii="ITC Avant Garde" w:eastAsia="Times New Roman" w:hAnsi="ITC Avant Garde" w:cs="Arial"/>
          <w:bCs/>
          <w:sz w:val="22"/>
          <w:szCs w:val="22"/>
        </w:rPr>
        <w:t>(s) pertenece(n) a una Persona Moral y el trámite se realizó como Persona Física.</w:t>
      </w:r>
    </w:p>
    <w:p w14:paraId="77343222" w14:textId="77777777" w:rsidR="00C255EB" w:rsidRDefault="00C255EB" w:rsidP="002B3147">
      <w:pPr>
        <w:spacing w:before="240" w:after="240"/>
        <w:ind w:left="1416" w:firstLine="2"/>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28743E0F" w14:textId="77777777" w:rsidR="00C255EB" w:rsidRDefault="00C255EB" w:rsidP="002B3147">
      <w:pPr>
        <w:spacing w:before="240" w:after="240"/>
        <w:ind w:left="1416" w:firstLine="2"/>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0E7D9B18" w14:textId="77777777" w:rsidR="00C255EB" w:rsidRDefault="00C255EB" w:rsidP="002B3147">
      <w:pPr>
        <w:spacing w:before="240" w:after="240"/>
        <w:ind w:left="1416" w:firstLine="2"/>
        <w:jc w:val="both"/>
        <w:outlineLvl w:val="1"/>
        <w:rPr>
          <w:rFonts w:ascii="ITC Avant Garde" w:eastAsia="Times New Roman" w:hAnsi="ITC Avant Garde" w:cs="Arial"/>
          <w:bCs/>
          <w:sz w:val="22"/>
          <w:szCs w:val="22"/>
        </w:rPr>
      </w:pPr>
      <w:r w:rsidRPr="005B77C3">
        <w:rPr>
          <w:rFonts w:ascii="ITC Avant Garde" w:eastAsia="Times New Roman" w:hAnsi="ITC Avant Garde" w:cs="Arial"/>
          <w:bCs/>
          <w:sz w:val="22"/>
          <w:szCs w:val="22"/>
        </w:rPr>
        <w:t>…</w:t>
      </w:r>
    </w:p>
    <w:p w14:paraId="03B3B2CD" w14:textId="77777777" w:rsidR="00C255EB" w:rsidRDefault="00C255EB" w:rsidP="002B3147">
      <w:pPr>
        <w:spacing w:before="240" w:after="240"/>
        <w:ind w:left="708" w:firstLine="1"/>
        <w:jc w:val="both"/>
        <w:outlineLvl w:val="1"/>
        <w:rPr>
          <w:rFonts w:ascii="ITC Avant Garde" w:eastAsia="Times New Roman" w:hAnsi="ITC Avant Garde" w:cs="Arial"/>
          <w:bCs/>
          <w:sz w:val="22"/>
          <w:szCs w:val="22"/>
        </w:rPr>
      </w:pPr>
      <w:r>
        <w:rPr>
          <w:rFonts w:ascii="ITC Avant Garde" w:eastAsia="Times New Roman" w:hAnsi="ITC Avant Garde" w:cs="Arial"/>
          <w:b/>
          <w:bCs/>
          <w:sz w:val="22"/>
          <w:szCs w:val="22"/>
        </w:rPr>
        <w:t>VIII</w:t>
      </w:r>
      <w:r w:rsidRPr="004B6103">
        <w:rPr>
          <w:rFonts w:ascii="ITC Avant Garde" w:eastAsia="Times New Roman" w:hAnsi="ITC Avant Garde" w:cs="Arial"/>
          <w:b/>
          <w:bCs/>
          <w:sz w:val="22"/>
          <w:szCs w:val="22"/>
        </w:rPr>
        <w:t>.</w:t>
      </w:r>
      <w:r>
        <w:rPr>
          <w:rFonts w:ascii="ITC Avant Garde" w:eastAsia="Times New Roman" w:hAnsi="ITC Avant Garde" w:cs="Arial"/>
          <w:b/>
          <w:bCs/>
          <w:sz w:val="22"/>
          <w:szCs w:val="22"/>
        </w:rPr>
        <w:t xml:space="preserve"> </w:t>
      </w:r>
      <w:r w:rsidRPr="00FE2BB6">
        <w:rPr>
          <w:rFonts w:ascii="ITC Avant Garde" w:eastAsia="Times New Roman" w:hAnsi="ITC Avant Garde" w:cs="Arial"/>
          <w:bCs/>
          <w:sz w:val="22"/>
          <w:szCs w:val="22"/>
        </w:rPr>
        <w:t>a</w:t>
      </w:r>
      <w:r>
        <w:rPr>
          <w:rFonts w:ascii="ITC Avant Garde" w:eastAsia="Times New Roman" w:hAnsi="ITC Avant Garde" w:cs="Arial"/>
          <w:b/>
          <w:bCs/>
          <w:sz w:val="22"/>
          <w:szCs w:val="22"/>
        </w:rPr>
        <w:t xml:space="preserve"> X.</w:t>
      </w:r>
      <w:r w:rsidRPr="00FE2BB6">
        <w:rPr>
          <w:rFonts w:ascii="ITC Avant Garde" w:eastAsia="Times New Roman" w:hAnsi="ITC Avant Garde" w:cs="Arial"/>
          <w:bCs/>
          <w:sz w:val="22"/>
          <w:szCs w:val="22"/>
        </w:rPr>
        <w:t xml:space="preserve"> …</w:t>
      </w:r>
    </w:p>
    <w:p w14:paraId="1FDF161A" w14:textId="77777777" w:rsidR="00C255EB" w:rsidRDefault="00C255EB" w:rsidP="00C255EB">
      <w:pPr>
        <w:spacing w:before="240" w:after="240"/>
        <w:ind w:left="708"/>
        <w:jc w:val="both"/>
        <w:outlineLvl w:val="1"/>
        <w:rPr>
          <w:rFonts w:ascii="ITC Avant Garde" w:eastAsia="Times New Roman" w:hAnsi="ITC Avant Garde" w:cs="Arial"/>
          <w:bCs/>
          <w:sz w:val="22"/>
          <w:szCs w:val="22"/>
        </w:rPr>
      </w:pPr>
      <w:r w:rsidRPr="00A7687A">
        <w:rPr>
          <w:rFonts w:ascii="ITC Avant Garde" w:eastAsia="Times New Roman" w:hAnsi="ITC Avant Garde" w:cs="Arial"/>
          <w:b/>
          <w:bCs/>
          <w:sz w:val="22"/>
          <w:szCs w:val="22"/>
        </w:rPr>
        <w:t>Regla 52. Proceso de Reversión.</w:t>
      </w:r>
      <w:r>
        <w:rPr>
          <w:rFonts w:ascii="ITC Avant Garde" w:eastAsia="Times New Roman" w:hAnsi="ITC Avant Garde" w:cs="Arial"/>
          <w:bCs/>
          <w:sz w:val="22"/>
          <w:szCs w:val="22"/>
        </w:rPr>
        <w:t xml:space="preserve"> …</w:t>
      </w:r>
    </w:p>
    <w:p w14:paraId="4C5F9CB1" w14:textId="77777777" w:rsidR="00C255EB" w:rsidRDefault="00C255EB" w:rsidP="00FE4023">
      <w:pPr>
        <w:pStyle w:val="Prrafodelista"/>
        <w:numPr>
          <w:ilvl w:val="0"/>
          <w:numId w:val="7"/>
        </w:numPr>
        <w:spacing w:before="240" w:after="240"/>
        <w:ind w:left="1418" w:hanging="709"/>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El Proveedor Donador deberá ingresar la solicitud que contenga al menos los siguientes campos:</w:t>
      </w:r>
    </w:p>
    <w:p w14:paraId="0B0B0374" w14:textId="77777777" w:rsidR="00C255EB" w:rsidRPr="00A7687A" w:rsidRDefault="00C255EB" w:rsidP="008478A3">
      <w:pPr>
        <w:spacing w:before="240" w:after="240"/>
        <w:ind w:left="708" w:firstLine="710"/>
        <w:jc w:val="both"/>
        <w:outlineLvl w:val="1"/>
        <w:rPr>
          <w:rFonts w:ascii="ITC Avant Garde" w:eastAsia="Times New Roman" w:hAnsi="ITC Avant Garde" w:cs="Arial"/>
          <w:bCs/>
          <w:sz w:val="22"/>
          <w:szCs w:val="22"/>
        </w:rPr>
      </w:pPr>
      <w:r w:rsidRPr="005C75D3">
        <w:rPr>
          <w:rFonts w:ascii="ITC Avant Garde" w:eastAsia="Times New Roman" w:hAnsi="ITC Avant Garde" w:cs="Arial"/>
          <w:b/>
          <w:bCs/>
          <w:sz w:val="22"/>
          <w:szCs w:val="22"/>
        </w:rPr>
        <w:t>a.</w:t>
      </w:r>
      <w:r w:rsidRPr="00A7687A">
        <w:rPr>
          <w:rFonts w:ascii="ITC Avant Garde" w:eastAsia="Times New Roman" w:hAnsi="ITC Avant Garde" w:cs="Arial"/>
          <w:bCs/>
          <w:sz w:val="22"/>
          <w:szCs w:val="22"/>
        </w:rPr>
        <w:t xml:space="preserve"> a </w:t>
      </w:r>
      <w:r w:rsidRPr="005C75D3">
        <w:rPr>
          <w:rFonts w:ascii="ITC Avant Garde" w:eastAsia="Times New Roman" w:hAnsi="ITC Avant Garde" w:cs="Arial"/>
          <w:b/>
          <w:bCs/>
          <w:sz w:val="22"/>
          <w:szCs w:val="22"/>
        </w:rPr>
        <w:t>c.</w:t>
      </w:r>
      <w:r>
        <w:rPr>
          <w:rFonts w:ascii="ITC Avant Garde" w:eastAsia="Times New Roman" w:hAnsi="ITC Avant Garde" w:cs="Arial"/>
          <w:bCs/>
          <w:sz w:val="22"/>
          <w:szCs w:val="22"/>
        </w:rPr>
        <w:t xml:space="preserve"> …</w:t>
      </w:r>
    </w:p>
    <w:p w14:paraId="409021C1" w14:textId="77777777" w:rsidR="00C255EB" w:rsidRDefault="00C255EB" w:rsidP="008478A3">
      <w:pPr>
        <w:pStyle w:val="Prrafodelista"/>
        <w:numPr>
          <w:ilvl w:val="0"/>
          <w:numId w:val="7"/>
        </w:numPr>
        <w:spacing w:before="240" w:after="240"/>
        <w:ind w:left="1418" w:hanging="709"/>
        <w:jc w:val="both"/>
        <w:outlineLvl w:val="1"/>
        <w:rPr>
          <w:rFonts w:ascii="ITC Avant Garde" w:eastAsia="Times New Roman" w:hAnsi="ITC Avant Garde" w:cs="Arial"/>
          <w:bCs/>
          <w:sz w:val="22"/>
          <w:szCs w:val="22"/>
        </w:rPr>
      </w:pPr>
      <w:r w:rsidRPr="005C75D3">
        <w:rPr>
          <w:rFonts w:ascii="ITC Avant Garde" w:eastAsia="Times New Roman" w:hAnsi="ITC Avant Garde" w:cs="Arial"/>
          <w:bCs/>
          <w:sz w:val="22"/>
          <w:szCs w:val="22"/>
        </w:rPr>
        <w:t>…</w:t>
      </w:r>
    </w:p>
    <w:p w14:paraId="7CBC8AD0" w14:textId="1380E148" w:rsidR="00A7669A" w:rsidRDefault="00C255EB" w:rsidP="00A7669A">
      <w:pPr>
        <w:pStyle w:val="Prrafodelista"/>
        <w:numPr>
          <w:ilvl w:val="0"/>
          <w:numId w:val="7"/>
        </w:numPr>
        <w:spacing w:before="240" w:after="240"/>
        <w:ind w:left="1418" w:hanging="709"/>
        <w:jc w:val="both"/>
        <w:outlineLvl w:val="1"/>
        <w:rPr>
          <w:rFonts w:ascii="ITC Avant Garde" w:eastAsia="Times New Roman" w:hAnsi="ITC Avant Garde" w:cs="Arial"/>
          <w:bCs/>
          <w:sz w:val="22"/>
          <w:szCs w:val="22"/>
        </w:rPr>
      </w:pPr>
      <w:r w:rsidRPr="00A7669A">
        <w:rPr>
          <w:rFonts w:ascii="ITC Avant Garde" w:eastAsia="Times New Roman" w:hAnsi="ITC Avant Garde" w:cs="Arial"/>
          <w:bCs/>
          <w:sz w:val="22"/>
          <w:szCs w:val="22"/>
        </w:rPr>
        <w:t xml:space="preserve">Cuando el Usuario solicite al Proveedor Donador promover la reversión a causa de portabilidad ejecutada sin su consentimiento, éste deberá remitir un escrito firmado por el Usuario, acompañado de documentos de identificación y un comprobante de numeración válido, </w:t>
      </w:r>
      <w:r w:rsidR="00A7669A" w:rsidRPr="00A7669A">
        <w:rPr>
          <w:rFonts w:ascii="ITC Avant Garde" w:eastAsia="Times New Roman" w:hAnsi="ITC Avant Garde" w:cs="Arial"/>
          <w:bCs/>
          <w:sz w:val="22"/>
          <w:szCs w:val="22"/>
        </w:rPr>
        <w:t xml:space="preserve">a más tardar el Día Hábil siguiente a la solicitud del Usuario </w:t>
      </w:r>
      <w:r w:rsidRPr="00A7669A">
        <w:rPr>
          <w:rFonts w:ascii="ITC Avant Garde" w:eastAsia="Times New Roman" w:hAnsi="ITC Avant Garde" w:cs="Arial"/>
          <w:bCs/>
          <w:sz w:val="22"/>
          <w:szCs w:val="22"/>
        </w:rPr>
        <w:t xml:space="preserve">y de la entrega de la documentación requerida. Si el Proveedor Donador no envía dicha información, la solicitud de reversión se tendrá por rechazada. En caso de que se haya exhibido la información </w:t>
      </w:r>
      <w:r w:rsidRPr="00A7669A">
        <w:rPr>
          <w:rFonts w:ascii="ITC Avant Garde" w:eastAsia="Times New Roman" w:hAnsi="ITC Avant Garde" w:cs="Arial"/>
          <w:bCs/>
          <w:sz w:val="22"/>
          <w:szCs w:val="22"/>
        </w:rPr>
        <w:lastRenderedPageBreak/>
        <w:t xml:space="preserve">completa mencionada, </w:t>
      </w:r>
      <w:r w:rsidR="00A7669A" w:rsidRPr="006872F0">
        <w:rPr>
          <w:rFonts w:ascii="ITC Avant Garde" w:eastAsia="Times New Roman" w:hAnsi="ITC Avant Garde" w:cs="Arial"/>
          <w:bCs/>
          <w:sz w:val="22"/>
          <w:szCs w:val="22"/>
        </w:rPr>
        <w:t>el ABD deberá resolver sobre la solicitud de reversión a más tardar a las 21:00 horas del Día Hábil en que se ingresó la solicitud de reversión.</w:t>
      </w:r>
    </w:p>
    <w:p w14:paraId="61F840C8" w14:textId="12D47C98" w:rsidR="00C255EB" w:rsidRPr="00A7669A" w:rsidRDefault="00C255EB" w:rsidP="00A7669A">
      <w:pPr>
        <w:pStyle w:val="Prrafodelista"/>
        <w:spacing w:before="240" w:after="240"/>
        <w:ind w:left="1068"/>
        <w:jc w:val="both"/>
        <w:outlineLvl w:val="1"/>
        <w:rPr>
          <w:rFonts w:ascii="ITC Avant Garde" w:eastAsia="Times New Roman" w:hAnsi="ITC Avant Garde" w:cs="Arial"/>
          <w:bCs/>
          <w:sz w:val="22"/>
          <w:szCs w:val="22"/>
        </w:rPr>
      </w:pPr>
    </w:p>
    <w:p w14:paraId="0BDA1D4A" w14:textId="77777777" w:rsidR="00C255EB" w:rsidRDefault="00C255EB" w:rsidP="002B3147">
      <w:pPr>
        <w:pStyle w:val="Prrafodelista"/>
        <w:numPr>
          <w:ilvl w:val="0"/>
          <w:numId w:val="7"/>
        </w:numPr>
        <w:spacing w:before="240" w:after="240"/>
        <w:ind w:left="1134" w:hanging="425"/>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 xml:space="preserve">y </w:t>
      </w:r>
      <w:r w:rsidRPr="005C75D3">
        <w:rPr>
          <w:rFonts w:ascii="ITC Avant Garde" w:eastAsia="Times New Roman" w:hAnsi="ITC Avant Garde" w:cs="Arial"/>
          <w:b/>
          <w:bCs/>
          <w:sz w:val="22"/>
          <w:szCs w:val="22"/>
        </w:rPr>
        <w:t>V</w:t>
      </w:r>
      <w:r>
        <w:rPr>
          <w:rFonts w:ascii="ITC Avant Garde" w:eastAsia="Times New Roman" w:hAnsi="ITC Avant Garde" w:cs="Arial"/>
          <w:b/>
          <w:bCs/>
          <w:sz w:val="22"/>
          <w:szCs w:val="22"/>
        </w:rPr>
        <w:t xml:space="preserve">. </w:t>
      </w:r>
      <w:r w:rsidRPr="005C75D3">
        <w:rPr>
          <w:rFonts w:ascii="ITC Avant Garde" w:eastAsia="Times New Roman" w:hAnsi="ITC Avant Garde" w:cs="Arial"/>
          <w:bCs/>
          <w:sz w:val="22"/>
          <w:szCs w:val="22"/>
        </w:rPr>
        <w:t>…</w:t>
      </w:r>
    </w:p>
    <w:p w14:paraId="49A2512F" w14:textId="77777777" w:rsidR="00C255EB" w:rsidRDefault="00C255EB" w:rsidP="00C255EB">
      <w:pPr>
        <w:spacing w:before="240" w:after="240"/>
        <w:ind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731165D7" w14:textId="77777777" w:rsidR="00C255EB" w:rsidRDefault="00C255EB" w:rsidP="00C255EB">
      <w:pPr>
        <w:spacing w:before="240" w:after="240"/>
        <w:ind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p>
    <w:p w14:paraId="7D7CED47" w14:textId="77777777" w:rsidR="00C255EB" w:rsidRPr="00A940DA" w:rsidRDefault="00C255EB" w:rsidP="00C255EB">
      <w:pPr>
        <w:spacing w:before="240" w:after="240"/>
        <w:ind w:firstLine="708"/>
        <w:jc w:val="both"/>
        <w:outlineLvl w:val="1"/>
        <w:rPr>
          <w:rFonts w:ascii="ITC Avant Garde" w:eastAsia="Times New Roman" w:hAnsi="ITC Avant Garde" w:cs="Arial"/>
          <w:bCs/>
          <w:sz w:val="22"/>
          <w:szCs w:val="22"/>
        </w:rPr>
      </w:pPr>
      <w:r>
        <w:rPr>
          <w:rFonts w:ascii="ITC Avant Garde" w:eastAsia="Times New Roman" w:hAnsi="ITC Avant Garde" w:cs="Arial"/>
          <w:bCs/>
          <w:sz w:val="22"/>
          <w:szCs w:val="22"/>
        </w:rPr>
        <w:t>…</w:t>
      </w:r>
      <w:r w:rsidR="00D20AE0">
        <w:rPr>
          <w:rFonts w:ascii="ITC Avant Garde" w:eastAsia="Times New Roman" w:hAnsi="ITC Avant Garde" w:cs="Arial"/>
          <w:bCs/>
          <w:sz w:val="22"/>
          <w:szCs w:val="22"/>
        </w:rPr>
        <w:t>”</w:t>
      </w:r>
    </w:p>
    <w:p w14:paraId="3CA7A684" w14:textId="77777777" w:rsidR="00C255EB" w:rsidRPr="002231C9" w:rsidRDefault="00C255EB" w:rsidP="00C255EB">
      <w:pPr>
        <w:pStyle w:val="ANOTACION"/>
        <w:spacing w:before="240" w:after="240" w:line="323" w:lineRule="exact"/>
        <w:rPr>
          <w:rFonts w:ascii="ITC Avant Garde" w:hAnsi="ITC Avant Garde"/>
          <w:sz w:val="22"/>
          <w:szCs w:val="22"/>
        </w:rPr>
      </w:pPr>
      <w:r w:rsidRPr="002231C9">
        <w:rPr>
          <w:rFonts w:ascii="ITC Avant Garde" w:hAnsi="ITC Avant Garde"/>
          <w:sz w:val="22"/>
          <w:szCs w:val="22"/>
        </w:rPr>
        <w:t>TRANSITORIO</w:t>
      </w:r>
      <w:r w:rsidR="00D20AE0">
        <w:rPr>
          <w:rFonts w:ascii="ITC Avant Garde" w:hAnsi="ITC Avant Garde"/>
          <w:sz w:val="22"/>
          <w:szCs w:val="22"/>
        </w:rPr>
        <w:t>S</w:t>
      </w:r>
    </w:p>
    <w:p w14:paraId="06ABFB2F" w14:textId="5F1643B4" w:rsidR="00C255EB" w:rsidRDefault="00D20AE0" w:rsidP="00C255EB">
      <w:pPr>
        <w:pStyle w:val="Texto"/>
        <w:spacing w:before="240" w:after="240" w:line="323" w:lineRule="exact"/>
        <w:ind w:firstLine="0"/>
        <w:rPr>
          <w:rFonts w:ascii="ITC Avant Garde" w:hAnsi="ITC Avant Garde"/>
          <w:sz w:val="22"/>
          <w:szCs w:val="22"/>
        </w:rPr>
      </w:pPr>
      <w:r>
        <w:rPr>
          <w:rFonts w:ascii="ITC Avant Garde" w:hAnsi="ITC Avant Garde"/>
          <w:b/>
          <w:sz w:val="22"/>
          <w:szCs w:val="22"/>
        </w:rPr>
        <w:t>PRIMERO</w:t>
      </w:r>
      <w:r w:rsidR="00C255EB" w:rsidRPr="002231C9">
        <w:rPr>
          <w:rFonts w:ascii="ITC Avant Garde" w:hAnsi="ITC Avant Garde"/>
          <w:b/>
          <w:sz w:val="22"/>
          <w:szCs w:val="22"/>
        </w:rPr>
        <w:t xml:space="preserve">. </w:t>
      </w:r>
      <w:r w:rsidR="00A8501C">
        <w:rPr>
          <w:rFonts w:ascii="ITC Avant Garde" w:hAnsi="ITC Avant Garde"/>
          <w:sz w:val="22"/>
          <w:szCs w:val="22"/>
        </w:rPr>
        <w:t xml:space="preserve">Las presentes </w:t>
      </w:r>
      <w:r w:rsidR="001246FE">
        <w:rPr>
          <w:rFonts w:ascii="ITC Avant Garde" w:hAnsi="ITC Avant Garde"/>
          <w:sz w:val="22"/>
          <w:szCs w:val="22"/>
        </w:rPr>
        <w:t xml:space="preserve">modificaciones </w:t>
      </w:r>
      <w:r w:rsidR="00A7669A">
        <w:rPr>
          <w:rFonts w:ascii="ITC Avant Garde" w:hAnsi="ITC Avant Garde"/>
          <w:sz w:val="22"/>
          <w:szCs w:val="22"/>
        </w:rPr>
        <w:t xml:space="preserve">en vigor a los sesenta días naturales contados, </w:t>
      </w:r>
      <w:r w:rsidR="00C255EB">
        <w:rPr>
          <w:rFonts w:ascii="ITC Avant Garde" w:hAnsi="ITC Avant Garde"/>
          <w:sz w:val="22"/>
          <w:szCs w:val="22"/>
        </w:rPr>
        <w:t>a partir de su publicación</w:t>
      </w:r>
      <w:r w:rsidR="00C255EB" w:rsidRPr="002231C9">
        <w:rPr>
          <w:rFonts w:ascii="ITC Avant Garde" w:hAnsi="ITC Avant Garde"/>
          <w:sz w:val="22"/>
          <w:szCs w:val="22"/>
        </w:rPr>
        <w:t xml:space="preserve"> en el Di</w:t>
      </w:r>
      <w:r w:rsidR="00C255EB">
        <w:rPr>
          <w:rFonts w:ascii="ITC Avant Garde" w:hAnsi="ITC Avant Garde"/>
          <w:sz w:val="22"/>
          <w:szCs w:val="22"/>
        </w:rPr>
        <w:t>ario Oficial de la Federación.</w:t>
      </w:r>
    </w:p>
    <w:p w14:paraId="0ECFFCC4" w14:textId="77777777" w:rsidR="00D20AE0" w:rsidRPr="00F86144" w:rsidRDefault="00D20AE0" w:rsidP="00D20AE0">
      <w:pPr>
        <w:autoSpaceDE w:val="0"/>
        <w:autoSpaceDN w:val="0"/>
        <w:adjustRightInd w:val="0"/>
        <w:jc w:val="both"/>
        <w:rPr>
          <w:rFonts w:ascii="ITC Avant Garde" w:hAnsi="ITC Avant Garde" w:cs="Arial"/>
          <w:sz w:val="22"/>
          <w:szCs w:val="21"/>
        </w:rPr>
      </w:pPr>
      <w:r w:rsidRPr="00F86144">
        <w:rPr>
          <w:rFonts w:ascii="ITC Avant Garde" w:hAnsi="ITC Avant Garde" w:cs="Arial"/>
          <w:b/>
          <w:sz w:val="22"/>
          <w:szCs w:val="21"/>
        </w:rPr>
        <w:t xml:space="preserve">SEGUNDO. - </w:t>
      </w:r>
      <w:r w:rsidRPr="00F86144">
        <w:rPr>
          <w:rFonts w:ascii="ITC Avant Garde" w:hAnsi="ITC Avant Garde" w:cs="Arial"/>
          <w:sz w:val="22"/>
          <w:szCs w:val="21"/>
        </w:rPr>
        <w:t>Las solicitudes de portabilidad y los procesos de reversión</w:t>
      </w:r>
      <w:r w:rsidR="00D046B4" w:rsidRPr="00F86144">
        <w:rPr>
          <w:rFonts w:ascii="ITC Avant Garde" w:hAnsi="ITC Avant Garde" w:cs="Arial"/>
          <w:sz w:val="22"/>
          <w:szCs w:val="21"/>
        </w:rPr>
        <w:t xml:space="preserve"> de portabilidad</w:t>
      </w:r>
      <w:r w:rsidRPr="00F86144">
        <w:rPr>
          <w:rFonts w:ascii="ITC Avant Garde" w:hAnsi="ITC Avant Garde" w:cs="Arial"/>
          <w:sz w:val="22"/>
          <w:szCs w:val="21"/>
        </w:rPr>
        <w:t xml:space="preserve"> que al momento de la entrada en vigor del presente Acuerdo</w:t>
      </w:r>
      <w:r w:rsidR="00094AC6" w:rsidRPr="00F86144">
        <w:rPr>
          <w:rFonts w:ascii="ITC Avant Garde" w:hAnsi="ITC Avant Garde" w:cs="Arial"/>
          <w:sz w:val="22"/>
          <w:szCs w:val="21"/>
        </w:rPr>
        <w:t xml:space="preserve"> se encuentren en trámite, se </w:t>
      </w:r>
      <w:r w:rsidR="007B3AC0" w:rsidRPr="00F86144">
        <w:rPr>
          <w:rFonts w:ascii="ITC Avant Garde" w:hAnsi="ITC Avant Garde" w:cs="Arial"/>
          <w:sz w:val="22"/>
          <w:szCs w:val="21"/>
        </w:rPr>
        <w:t>resolverán</w:t>
      </w:r>
      <w:r w:rsidRPr="00F86144">
        <w:rPr>
          <w:rFonts w:ascii="ITC Avant Garde" w:hAnsi="ITC Avant Garde" w:cs="Arial"/>
          <w:sz w:val="22"/>
          <w:szCs w:val="21"/>
        </w:rPr>
        <w:t xml:space="preserve"> de conformidad con las disposiciones vigentes al momento de su presentación.</w:t>
      </w:r>
    </w:p>
    <w:p w14:paraId="5C2091A4" w14:textId="77777777" w:rsidR="00D20AE0" w:rsidRPr="002231C9" w:rsidRDefault="00D20AE0" w:rsidP="00C255EB">
      <w:pPr>
        <w:pStyle w:val="Texto"/>
        <w:spacing w:before="240" w:after="240" w:line="323" w:lineRule="exact"/>
        <w:ind w:firstLine="0"/>
        <w:rPr>
          <w:rFonts w:ascii="ITC Avant Garde" w:hAnsi="ITC Avant Garde"/>
          <w:sz w:val="22"/>
          <w:szCs w:val="22"/>
        </w:rPr>
      </w:pPr>
    </w:p>
    <w:p w14:paraId="68802162" w14:textId="77777777" w:rsidR="00564B23" w:rsidRDefault="00564B23" w:rsidP="00271169">
      <w:pPr>
        <w:jc w:val="both"/>
        <w:rPr>
          <w:rFonts w:ascii="Calibri" w:eastAsia="Calibri" w:hAnsi="Calibri" w:cs="Times New Roman"/>
          <w:sz w:val="22"/>
          <w:szCs w:val="22"/>
          <w:lang w:val="es-ES"/>
        </w:rPr>
      </w:pPr>
    </w:p>
    <w:tbl>
      <w:tblPr>
        <w:tblStyle w:val="Tablaconcuadrcula"/>
        <w:tblW w:w="10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tblGrid>
      <w:tr w:rsidR="00EF2038" w:rsidRPr="00AA4759" w14:paraId="6ED92A5E" w14:textId="77777777" w:rsidTr="003811DD">
        <w:trPr>
          <w:trHeight w:val="745"/>
          <w:jc w:val="center"/>
        </w:trPr>
        <w:tc>
          <w:tcPr>
            <w:tcW w:w="10048" w:type="dxa"/>
            <w:gridSpan w:val="2"/>
            <w:vAlign w:val="center"/>
          </w:tcPr>
          <w:p w14:paraId="168DA085" w14:textId="77777777" w:rsidR="00EF2038" w:rsidRPr="00AA4759" w:rsidRDefault="00EF2038" w:rsidP="003811DD">
            <w:pPr>
              <w:jc w:val="center"/>
              <w:rPr>
                <w:rFonts w:ascii="ITC Avant Garde" w:eastAsia="Calibri" w:hAnsi="ITC Avant Garde" w:cs="Arial"/>
                <w:b/>
                <w:sz w:val="22"/>
                <w:szCs w:val="22"/>
                <w:lang w:val="es-MX"/>
              </w:rPr>
            </w:pPr>
          </w:p>
          <w:p w14:paraId="5253C1B7" w14:textId="77777777" w:rsidR="00EF2038" w:rsidRPr="00AA4759" w:rsidRDefault="00EF2038" w:rsidP="003811DD">
            <w:pPr>
              <w:jc w:val="center"/>
              <w:rPr>
                <w:rFonts w:ascii="ITC Avant Garde" w:eastAsia="Calibri" w:hAnsi="ITC Avant Garde" w:cs="Arial"/>
                <w:b/>
                <w:bCs/>
                <w:sz w:val="22"/>
                <w:szCs w:val="22"/>
                <w:lang w:val="es-MX"/>
              </w:rPr>
            </w:pPr>
            <w:r w:rsidRPr="00AA4759">
              <w:rPr>
                <w:rFonts w:ascii="ITC Avant Garde" w:eastAsia="Calibri" w:hAnsi="ITC Avant Garde" w:cs="Arial"/>
                <w:b/>
                <w:sz w:val="22"/>
                <w:szCs w:val="22"/>
                <w:lang w:val="es-MX"/>
              </w:rPr>
              <w:t>Gabriel Oswaldo Contreras Saldívar</w:t>
            </w:r>
          </w:p>
          <w:p w14:paraId="723B7A8B" w14:textId="77777777" w:rsidR="00EF2038" w:rsidRPr="00AA4759" w:rsidRDefault="00EF2038" w:rsidP="003811DD">
            <w:pPr>
              <w:jc w:val="center"/>
              <w:rPr>
                <w:rFonts w:ascii="ITC Avant Garde" w:eastAsia="Calibri" w:hAnsi="ITC Avant Garde" w:cs="Arial"/>
                <w:b/>
                <w:sz w:val="22"/>
                <w:szCs w:val="22"/>
                <w:lang w:val="es-MX"/>
              </w:rPr>
            </w:pPr>
            <w:r w:rsidRPr="00AA4759">
              <w:rPr>
                <w:rFonts w:ascii="ITC Avant Garde" w:eastAsia="Calibri" w:hAnsi="ITC Avant Garde" w:cs="Arial"/>
                <w:b/>
                <w:sz w:val="22"/>
                <w:szCs w:val="22"/>
                <w:lang w:val="es-MX"/>
              </w:rPr>
              <w:t>Comisionado Presidente</w:t>
            </w:r>
          </w:p>
        </w:tc>
      </w:tr>
      <w:tr w:rsidR="00EF2038" w:rsidRPr="00AA4759" w14:paraId="655934D1" w14:textId="77777777" w:rsidTr="003811DD">
        <w:trPr>
          <w:trHeight w:val="1655"/>
          <w:jc w:val="center"/>
        </w:trPr>
        <w:tc>
          <w:tcPr>
            <w:tcW w:w="5024" w:type="dxa"/>
            <w:vAlign w:val="center"/>
          </w:tcPr>
          <w:p w14:paraId="1C3B4C5D"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29ED5B23"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11CE0EE8"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291E8ECF"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14595B57" w14:textId="77777777" w:rsidR="00EF2038" w:rsidRPr="00AA4759" w:rsidRDefault="00EF2038" w:rsidP="003811DD">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 xml:space="preserve">Mario Germán </w:t>
            </w:r>
            <w:proofErr w:type="spellStart"/>
            <w:r w:rsidRPr="00AA4759">
              <w:rPr>
                <w:rFonts w:ascii="ITC Avant Garde" w:eastAsia="Calibri" w:hAnsi="ITC Avant Garde"/>
                <w:b/>
                <w:sz w:val="22"/>
                <w:szCs w:val="22"/>
                <w:lang w:val="es-MX"/>
              </w:rPr>
              <w:t>Fromow</w:t>
            </w:r>
            <w:proofErr w:type="spellEnd"/>
            <w:r w:rsidRPr="00AA4759">
              <w:rPr>
                <w:rFonts w:ascii="ITC Avant Garde" w:eastAsia="Calibri" w:hAnsi="ITC Avant Garde"/>
                <w:b/>
                <w:sz w:val="22"/>
                <w:szCs w:val="22"/>
                <w:lang w:val="es-MX"/>
              </w:rPr>
              <w:t xml:space="preserve"> Rangel</w:t>
            </w:r>
          </w:p>
          <w:p w14:paraId="4311DEAA" w14:textId="77777777" w:rsidR="00EF2038" w:rsidRPr="00AA4759" w:rsidRDefault="00EF2038" w:rsidP="003811DD">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c>
          <w:tcPr>
            <w:tcW w:w="5024" w:type="dxa"/>
            <w:vAlign w:val="center"/>
          </w:tcPr>
          <w:p w14:paraId="1F97F33B"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235ADF40"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7033524B"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7BE9025A"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350C2152" w14:textId="77777777" w:rsidR="00EF2038" w:rsidRPr="00AA4759" w:rsidRDefault="00EF2038" w:rsidP="003811DD">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Adolfo Cuevas Teja</w:t>
            </w:r>
          </w:p>
          <w:p w14:paraId="2D670C8C" w14:textId="77777777" w:rsidR="00EF2038" w:rsidRPr="00AA4759" w:rsidRDefault="00EF2038" w:rsidP="003811DD">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r w:rsidR="00EF2038" w:rsidRPr="00AA4759" w14:paraId="58A9688D" w14:textId="77777777" w:rsidTr="003811DD">
        <w:trPr>
          <w:trHeight w:val="1672"/>
          <w:jc w:val="center"/>
        </w:trPr>
        <w:tc>
          <w:tcPr>
            <w:tcW w:w="5024" w:type="dxa"/>
            <w:vAlign w:val="center"/>
          </w:tcPr>
          <w:p w14:paraId="2A4C2D97"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77DB067"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3BE54240"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652B5B21"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B53DE93" w14:textId="77777777" w:rsidR="00EF2038" w:rsidRPr="00AA4759" w:rsidRDefault="00EF2038" w:rsidP="003811DD">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Javier Juárez Mojica</w:t>
            </w:r>
          </w:p>
          <w:p w14:paraId="6B8E8238" w14:textId="77777777" w:rsidR="00EF2038" w:rsidRPr="00AA4759" w:rsidRDefault="00EF2038" w:rsidP="003811DD">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c>
          <w:tcPr>
            <w:tcW w:w="5024" w:type="dxa"/>
            <w:vAlign w:val="center"/>
          </w:tcPr>
          <w:p w14:paraId="55268FDC"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369CBF4"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CC23219"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5108B67B"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564D7EE0" w14:textId="77777777" w:rsidR="00EF2038" w:rsidRPr="00AA4759" w:rsidRDefault="00EF2038" w:rsidP="003811DD">
            <w:pPr>
              <w:tabs>
                <w:tab w:val="left" w:pos="993"/>
              </w:tabs>
              <w:ind w:right="-1"/>
              <w:jc w:val="center"/>
              <w:rPr>
                <w:rFonts w:ascii="ITC Avant Garde" w:eastAsia="Calibri" w:hAnsi="ITC Avant Garde"/>
                <w:b/>
                <w:bCs/>
                <w:sz w:val="22"/>
                <w:szCs w:val="22"/>
                <w:lang w:val="es-MX"/>
              </w:rPr>
            </w:pPr>
            <w:r w:rsidRPr="00AA4759">
              <w:rPr>
                <w:rFonts w:ascii="ITC Avant Garde" w:eastAsia="Calibri" w:hAnsi="ITC Avant Garde"/>
                <w:b/>
                <w:sz w:val="22"/>
                <w:szCs w:val="22"/>
                <w:lang w:val="es-MX"/>
              </w:rPr>
              <w:t xml:space="preserve">Arturo Robles </w:t>
            </w:r>
            <w:proofErr w:type="spellStart"/>
            <w:r w:rsidRPr="00AA4759">
              <w:rPr>
                <w:rFonts w:ascii="ITC Avant Garde" w:eastAsia="Calibri" w:hAnsi="ITC Avant Garde"/>
                <w:b/>
                <w:sz w:val="22"/>
                <w:szCs w:val="22"/>
                <w:lang w:val="es-MX"/>
              </w:rPr>
              <w:t>Rovalo</w:t>
            </w:r>
            <w:proofErr w:type="spellEnd"/>
          </w:p>
          <w:p w14:paraId="76092A51" w14:textId="77777777" w:rsidR="00EF2038" w:rsidRPr="00AA4759" w:rsidRDefault="00EF2038" w:rsidP="003811DD">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r w:rsidR="00EF2038" w:rsidRPr="00AA4759" w14:paraId="6BFF5686" w14:textId="77777777" w:rsidTr="003811DD">
        <w:trPr>
          <w:trHeight w:val="1655"/>
          <w:jc w:val="center"/>
        </w:trPr>
        <w:tc>
          <w:tcPr>
            <w:tcW w:w="5024" w:type="dxa"/>
            <w:vAlign w:val="center"/>
          </w:tcPr>
          <w:p w14:paraId="761CBE43"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7BC16C3"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15C20B96"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50433DAD"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3EA1FAED" w14:textId="77777777" w:rsidR="00EF2038" w:rsidRPr="00AA4759" w:rsidRDefault="00EF2038" w:rsidP="003811DD">
            <w:pPr>
              <w:tabs>
                <w:tab w:val="left" w:pos="993"/>
              </w:tabs>
              <w:ind w:right="-1"/>
              <w:jc w:val="center"/>
              <w:rPr>
                <w:rFonts w:ascii="ITC Avant Garde" w:eastAsia="Calibri" w:hAnsi="ITC Avant Garde"/>
                <w:b/>
                <w:bCs/>
                <w:sz w:val="22"/>
                <w:szCs w:val="22"/>
                <w:lang w:val="es-MX"/>
              </w:rPr>
            </w:pPr>
            <w:proofErr w:type="spellStart"/>
            <w:r w:rsidRPr="00AA4759">
              <w:rPr>
                <w:rFonts w:ascii="ITC Avant Garde" w:eastAsia="Calibri" w:hAnsi="ITC Avant Garde"/>
                <w:b/>
                <w:sz w:val="22"/>
                <w:szCs w:val="22"/>
                <w:lang w:val="es-MX"/>
              </w:rPr>
              <w:t>Sóstenes</w:t>
            </w:r>
            <w:proofErr w:type="spellEnd"/>
            <w:r w:rsidRPr="00AA4759">
              <w:rPr>
                <w:rFonts w:ascii="ITC Avant Garde" w:eastAsia="Calibri" w:hAnsi="ITC Avant Garde"/>
                <w:b/>
                <w:sz w:val="22"/>
                <w:szCs w:val="22"/>
                <w:lang w:val="es-MX"/>
              </w:rPr>
              <w:t xml:space="preserve"> Díaz González</w:t>
            </w:r>
          </w:p>
          <w:p w14:paraId="67243135" w14:textId="77777777" w:rsidR="00EF2038" w:rsidRPr="00AA4759" w:rsidRDefault="00EF2038" w:rsidP="003811DD">
            <w:pPr>
              <w:jc w:val="center"/>
              <w:rPr>
                <w:rFonts w:ascii="Times New Roman" w:eastAsia="Calibri" w:hAnsi="Times New Roman"/>
                <w:noProof/>
                <w:sz w:val="22"/>
                <w:szCs w:val="22"/>
                <w:shd w:val="clear" w:color="auto" w:fill="FFFFFF"/>
                <w:lang w:val="es-ES"/>
              </w:rPr>
            </w:pPr>
            <w:r w:rsidRPr="00AA4759">
              <w:rPr>
                <w:rFonts w:ascii="ITC Avant Garde" w:eastAsia="Calibri" w:hAnsi="ITC Avant Garde"/>
                <w:b/>
                <w:noProof/>
                <w:sz w:val="22"/>
                <w:szCs w:val="22"/>
                <w:lang w:val="es-ES"/>
              </w:rPr>
              <w:t>Comisionado</w:t>
            </w:r>
          </w:p>
        </w:tc>
        <w:tc>
          <w:tcPr>
            <w:tcW w:w="5024" w:type="dxa"/>
            <w:vAlign w:val="center"/>
          </w:tcPr>
          <w:p w14:paraId="7280B9A8"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F5F6874"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1A36FEE3"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4ADD0EA6" w14:textId="77777777" w:rsidR="00EF2038" w:rsidRPr="00AA4759" w:rsidRDefault="00EF2038" w:rsidP="003811DD">
            <w:pPr>
              <w:jc w:val="center"/>
              <w:rPr>
                <w:rFonts w:ascii="ITC Avant Garde" w:eastAsia="Calibri" w:hAnsi="ITC Avant Garde"/>
                <w:sz w:val="22"/>
                <w:szCs w:val="22"/>
                <w:shd w:val="clear" w:color="auto" w:fill="FFFFFF"/>
                <w:lang w:val="es-MX"/>
              </w:rPr>
            </w:pPr>
          </w:p>
          <w:p w14:paraId="1D87DB63" w14:textId="77777777" w:rsidR="00EF2038" w:rsidRPr="00AA4759" w:rsidRDefault="00EF2038" w:rsidP="003811DD">
            <w:pPr>
              <w:jc w:val="center"/>
              <w:rPr>
                <w:rFonts w:ascii="ITC Avant Garde" w:eastAsia="Calibri" w:hAnsi="ITC Avant Garde"/>
                <w:b/>
                <w:sz w:val="22"/>
                <w:szCs w:val="22"/>
                <w:shd w:val="clear" w:color="auto" w:fill="FFFFFF"/>
                <w:lang w:val="es-MX"/>
              </w:rPr>
            </w:pPr>
            <w:r w:rsidRPr="00AA4759">
              <w:rPr>
                <w:rFonts w:ascii="ITC Avant Garde" w:eastAsia="Calibri" w:hAnsi="ITC Avant Garde"/>
                <w:b/>
                <w:sz w:val="22"/>
                <w:szCs w:val="22"/>
                <w:shd w:val="clear" w:color="auto" w:fill="FFFFFF"/>
                <w:lang w:val="es-MX"/>
              </w:rPr>
              <w:t>Ramiro Camacho Castillo</w:t>
            </w:r>
          </w:p>
          <w:p w14:paraId="7FF819B6" w14:textId="77777777" w:rsidR="00EF2038" w:rsidRPr="00AA4759" w:rsidRDefault="00EF2038" w:rsidP="003811DD">
            <w:pPr>
              <w:jc w:val="center"/>
              <w:rPr>
                <w:rFonts w:ascii="ITC Avant Garde" w:eastAsia="Calibri" w:hAnsi="ITC Avant Garde"/>
                <w:sz w:val="22"/>
                <w:szCs w:val="22"/>
                <w:shd w:val="clear" w:color="auto" w:fill="FFFFFF"/>
                <w:lang w:val="es-MX"/>
              </w:rPr>
            </w:pPr>
            <w:r w:rsidRPr="00AA4759">
              <w:rPr>
                <w:rFonts w:ascii="ITC Avant Garde" w:eastAsia="Calibri" w:hAnsi="ITC Avant Garde"/>
                <w:b/>
                <w:sz w:val="22"/>
                <w:szCs w:val="22"/>
                <w:lang w:val="es-MX"/>
              </w:rPr>
              <w:t>Comisionado</w:t>
            </w:r>
          </w:p>
        </w:tc>
      </w:tr>
    </w:tbl>
    <w:p w14:paraId="3DA732D0" w14:textId="77777777" w:rsidR="00EF2038" w:rsidRPr="00564B23" w:rsidRDefault="00EF2038" w:rsidP="00271169">
      <w:pPr>
        <w:jc w:val="both"/>
        <w:rPr>
          <w:rFonts w:ascii="Calibri" w:eastAsia="Calibri" w:hAnsi="Calibri" w:cs="Times New Roman"/>
          <w:sz w:val="22"/>
          <w:szCs w:val="22"/>
          <w:lang w:val="es-ES"/>
        </w:rPr>
      </w:pPr>
    </w:p>
    <w:sectPr w:rsidR="00EF2038" w:rsidRPr="00564B23" w:rsidSect="00564B23">
      <w:headerReference w:type="even" r:id="rId10"/>
      <w:headerReference w:type="default" r:id="rId11"/>
      <w:footerReference w:type="even" r:id="rId12"/>
      <w:footerReference w:type="default" r:id="rId13"/>
      <w:headerReference w:type="first" r:id="rId14"/>
      <w:footerReference w:type="first" r:id="rId15"/>
      <w:pgSz w:w="12240" w:h="15840"/>
      <w:pgMar w:top="1985" w:right="1985"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90C5" w14:textId="77777777" w:rsidR="00EA2497" w:rsidRDefault="00EA2497" w:rsidP="00564B23">
      <w:r>
        <w:separator/>
      </w:r>
    </w:p>
  </w:endnote>
  <w:endnote w:type="continuationSeparator" w:id="0">
    <w:p w14:paraId="4CC02A28" w14:textId="77777777" w:rsidR="00EA2497" w:rsidRDefault="00EA2497" w:rsidP="00564B23">
      <w:r>
        <w:continuationSeparator/>
      </w:r>
    </w:p>
  </w:endnote>
  <w:endnote w:type="continuationNotice" w:id="1">
    <w:p w14:paraId="3781622E" w14:textId="77777777" w:rsidR="00EA2497" w:rsidRDefault="00EA2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74FC6" w14:textId="77777777" w:rsidR="007252D7" w:rsidRDefault="007252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628591"/>
      <w:docPartObj>
        <w:docPartGallery w:val="Page Numbers (Bottom of Page)"/>
        <w:docPartUnique/>
      </w:docPartObj>
    </w:sdtPr>
    <w:sdtEndPr/>
    <w:sdtContent>
      <w:sdt>
        <w:sdtPr>
          <w:id w:val="-1769616900"/>
          <w:docPartObj>
            <w:docPartGallery w:val="Page Numbers (Top of Page)"/>
            <w:docPartUnique/>
          </w:docPartObj>
        </w:sdtPr>
        <w:sdtEndPr/>
        <w:sdtContent>
          <w:p w14:paraId="3C5735C7" w14:textId="26C9AA51" w:rsidR="00E94CB2" w:rsidRDefault="00E94CB2">
            <w:pPr>
              <w:pStyle w:val="Piedepgina"/>
              <w:jc w:val="right"/>
            </w:pPr>
            <w:r w:rsidRPr="00564B23">
              <w:rPr>
                <w:rFonts w:ascii="ITC Avant Garde" w:hAnsi="ITC Avant Garde"/>
                <w:sz w:val="20"/>
                <w:lang w:val="es-ES"/>
              </w:rPr>
              <w:t xml:space="preserve">Página </w:t>
            </w:r>
            <w:r w:rsidRPr="00564B23">
              <w:rPr>
                <w:rFonts w:ascii="ITC Avant Garde" w:hAnsi="ITC Avant Garde"/>
                <w:b/>
                <w:bCs/>
                <w:sz w:val="20"/>
              </w:rPr>
              <w:fldChar w:fldCharType="begin"/>
            </w:r>
            <w:r w:rsidRPr="00564B23">
              <w:rPr>
                <w:rFonts w:ascii="ITC Avant Garde" w:hAnsi="ITC Avant Garde"/>
                <w:b/>
                <w:bCs/>
                <w:sz w:val="20"/>
              </w:rPr>
              <w:instrText>PAGE</w:instrText>
            </w:r>
            <w:r w:rsidRPr="00564B23">
              <w:rPr>
                <w:rFonts w:ascii="ITC Avant Garde" w:hAnsi="ITC Avant Garde"/>
                <w:b/>
                <w:bCs/>
                <w:sz w:val="20"/>
              </w:rPr>
              <w:fldChar w:fldCharType="separate"/>
            </w:r>
            <w:r w:rsidR="00070F54">
              <w:rPr>
                <w:rFonts w:ascii="ITC Avant Garde" w:hAnsi="ITC Avant Garde"/>
                <w:b/>
                <w:bCs/>
                <w:noProof/>
                <w:sz w:val="20"/>
              </w:rPr>
              <w:t>15</w:t>
            </w:r>
            <w:r w:rsidRPr="00564B23">
              <w:rPr>
                <w:rFonts w:ascii="ITC Avant Garde" w:hAnsi="ITC Avant Garde"/>
                <w:b/>
                <w:bCs/>
                <w:sz w:val="20"/>
              </w:rPr>
              <w:fldChar w:fldCharType="end"/>
            </w:r>
            <w:r w:rsidRPr="00564B23">
              <w:rPr>
                <w:rFonts w:ascii="ITC Avant Garde" w:hAnsi="ITC Avant Garde"/>
                <w:sz w:val="20"/>
                <w:lang w:val="es-ES"/>
              </w:rPr>
              <w:t xml:space="preserve"> de </w:t>
            </w:r>
            <w:r w:rsidRPr="00564B23">
              <w:rPr>
                <w:rFonts w:ascii="ITC Avant Garde" w:hAnsi="ITC Avant Garde"/>
                <w:b/>
                <w:bCs/>
                <w:sz w:val="20"/>
              </w:rPr>
              <w:fldChar w:fldCharType="begin"/>
            </w:r>
            <w:r w:rsidRPr="00564B23">
              <w:rPr>
                <w:rFonts w:ascii="ITC Avant Garde" w:hAnsi="ITC Avant Garde"/>
                <w:b/>
                <w:bCs/>
                <w:sz w:val="20"/>
              </w:rPr>
              <w:instrText>NUMPAGES</w:instrText>
            </w:r>
            <w:r w:rsidRPr="00564B23">
              <w:rPr>
                <w:rFonts w:ascii="ITC Avant Garde" w:hAnsi="ITC Avant Garde"/>
                <w:b/>
                <w:bCs/>
                <w:sz w:val="20"/>
              </w:rPr>
              <w:fldChar w:fldCharType="separate"/>
            </w:r>
            <w:r w:rsidR="00070F54">
              <w:rPr>
                <w:rFonts w:ascii="ITC Avant Garde" w:hAnsi="ITC Avant Garde"/>
                <w:b/>
                <w:bCs/>
                <w:noProof/>
                <w:sz w:val="20"/>
              </w:rPr>
              <w:t>15</w:t>
            </w:r>
            <w:r w:rsidRPr="00564B23">
              <w:rPr>
                <w:rFonts w:ascii="ITC Avant Garde" w:hAnsi="ITC Avant Garde"/>
                <w:b/>
                <w:bCs/>
                <w:sz w:val="20"/>
              </w:rPr>
              <w:fldChar w:fldCharType="end"/>
            </w:r>
          </w:p>
        </w:sdtContent>
      </w:sdt>
    </w:sdtContent>
  </w:sdt>
  <w:p w14:paraId="78B6F0F3" w14:textId="77777777" w:rsidR="00E94CB2" w:rsidRDefault="00E94C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52D7" w14:textId="77777777" w:rsidR="007252D7" w:rsidRDefault="007252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E2CB" w14:textId="77777777" w:rsidR="00EA2497" w:rsidRDefault="00EA2497" w:rsidP="00564B23">
      <w:r>
        <w:separator/>
      </w:r>
    </w:p>
  </w:footnote>
  <w:footnote w:type="continuationSeparator" w:id="0">
    <w:p w14:paraId="4CDA4DCD" w14:textId="77777777" w:rsidR="00EA2497" w:rsidRDefault="00EA2497" w:rsidP="00564B23">
      <w:r>
        <w:continuationSeparator/>
      </w:r>
    </w:p>
  </w:footnote>
  <w:footnote w:type="continuationNotice" w:id="1">
    <w:p w14:paraId="65C73A05" w14:textId="77777777" w:rsidR="00EA2497" w:rsidRDefault="00EA24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7D97" w14:textId="36ABC059" w:rsidR="007252D7" w:rsidRDefault="007252D7">
    <w:pPr>
      <w:pStyle w:val="Encabezado"/>
    </w:pPr>
    <w:r>
      <w:rPr>
        <w:noProof/>
      </w:rPr>
      <w:pict w14:anchorId="0CC32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1297" o:spid="_x0000_s2050" type="#_x0000_t136" style="position:absolute;margin-left:0;margin-top:0;width:424pt;height:15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3BB1" w14:textId="5B5D3815" w:rsidR="007252D7" w:rsidRDefault="007252D7">
    <w:pPr>
      <w:pStyle w:val="Encabezado"/>
    </w:pPr>
    <w:r>
      <w:rPr>
        <w:noProof/>
      </w:rPr>
      <w:pict w14:anchorId="679BB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1298" o:spid="_x0000_s2051" type="#_x0000_t136" style="position:absolute;margin-left:0;margin-top:0;width:424pt;height:15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4BB1" w14:textId="4DE6C372" w:rsidR="007252D7" w:rsidRDefault="007252D7">
    <w:pPr>
      <w:pStyle w:val="Encabezado"/>
    </w:pPr>
    <w:r>
      <w:rPr>
        <w:noProof/>
      </w:rPr>
      <w:pict w14:anchorId="434F2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1296" o:spid="_x0000_s2049" type="#_x0000_t136" style="position:absolute;margin-left:0;margin-top:0;width:424pt;height:15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6D"/>
    <w:multiLevelType w:val="hybridMultilevel"/>
    <w:tmpl w:val="9244D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F04126"/>
    <w:multiLevelType w:val="hybridMultilevel"/>
    <w:tmpl w:val="62408DB4"/>
    <w:lvl w:ilvl="0" w:tplc="3F40E0E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 w15:restartNumberingAfterBreak="0">
    <w:nsid w:val="16B55931"/>
    <w:multiLevelType w:val="hybridMultilevel"/>
    <w:tmpl w:val="0D525E76"/>
    <w:lvl w:ilvl="0" w:tplc="379E3868">
      <w:start w:val="1"/>
      <w:numFmt w:val="upperRoman"/>
      <w:lvlText w:val="%1."/>
      <w:lvlJc w:val="left"/>
      <w:pPr>
        <w:ind w:left="2136" w:hanging="720"/>
      </w:pPr>
      <w:rPr>
        <w:rFonts w:ascii="ITC Avant Garde" w:eastAsia="Times New Roman" w:hAnsi="ITC Avant Garde" w:cs="Arial"/>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045ED"/>
    <w:multiLevelType w:val="hybridMultilevel"/>
    <w:tmpl w:val="365481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7271B"/>
    <w:multiLevelType w:val="hybridMultilevel"/>
    <w:tmpl w:val="3E9A0626"/>
    <w:lvl w:ilvl="0" w:tplc="CC22B8F0">
      <w:start w:val="1"/>
      <w:numFmt w:val="upperRoman"/>
      <w:lvlText w:val="%1."/>
      <w:lvlJc w:val="left"/>
      <w:pPr>
        <w:ind w:left="2712" w:hanging="360"/>
      </w:pPr>
      <w:rPr>
        <w:rFonts w:hint="default"/>
        <w:b/>
      </w:rPr>
    </w:lvl>
    <w:lvl w:ilvl="1" w:tplc="080A0019">
      <w:start w:val="1"/>
      <w:numFmt w:val="lowerLetter"/>
      <w:lvlText w:val="%2."/>
      <w:lvlJc w:val="left"/>
      <w:pPr>
        <w:ind w:left="3432" w:hanging="360"/>
      </w:pPr>
    </w:lvl>
    <w:lvl w:ilvl="2" w:tplc="080A001B" w:tentative="1">
      <w:start w:val="1"/>
      <w:numFmt w:val="lowerRoman"/>
      <w:lvlText w:val="%3."/>
      <w:lvlJc w:val="right"/>
      <w:pPr>
        <w:ind w:left="4152" w:hanging="180"/>
      </w:pPr>
    </w:lvl>
    <w:lvl w:ilvl="3" w:tplc="080A000F" w:tentative="1">
      <w:start w:val="1"/>
      <w:numFmt w:val="decimal"/>
      <w:lvlText w:val="%4."/>
      <w:lvlJc w:val="left"/>
      <w:pPr>
        <w:ind w:left="4872" w:hanging="360"/>
      </w:pPr>
    </w:lvl>
    <w:lvl w:ilvl="4" w:tplc="080A0019" w:tentative="1">
      <w:start w:val="1"/>
      <w:numFmt w:val="lowerLetter"/>
      <w:lvlText w:val="%5."/>
      <w:lvlJc w:val="left"/>
      <w:pPr>
        <w:ind w:left="5592" w:hanging="360"/>
      </w:pPr>
    </w:lvl>
    <w:lvl w:ilvl="5" w:tplc="080A001B" w:tentative="1">
      <w:start w:val="1"/>
      <w:numFmt w:val="lowerRoman"/>
      <w:lvlText w:val="%6."/>
      <w:lvlJc w:val="right"/>
      <w:pPr>
        <w:ind w:left="6312" w:hanging="180"/>
      </w:pPr>
    </w:lvl>
    <w:lvl w:ilvl="6" w:tplc="080A000F" w:tentative="1">
      <w:start w:val="1"/>
      <w:numFmt w:val="decimal"/>
      <w:lvlText w:val="%7."/>
      <w:lvlJc w:val="left"/>
      <w:pPr>
        <w:ind w:left="7032" w:hanging="360"/>
      </w:pPr>
    </w:lvl>
    <w:lvl w:ilvl="7" w:tplc="080A0019" w:tentative="1">
      <w:start w:val="1"/>
      <w:numFmt w:val="lowerLetter"/>
      <w:lvlText w:val="%8."/>
      <w:lvlJc w:val="left"/>
      <w:pPr>
        <w:ind w:left="7752" w:hanging="360"/>
      </w:pPr>
    </w:lvl>
    <w:lvl w:ilvl="8" w:tplc="080A001B" w:tentative="1">
      <w:start w:val="1"/>
      <w:numFmt w:val="lowerRoman"/>
      <w:lvlText w:val="%9."/>
      <w:lvlJc w:val="right"/>
      <w:pPr>
        <w:ind w:left="8472" w:hanging="180"/>
      </w:pPr>
    </w:lvl>
  </w:abstractNum>
  <w:abstractNum w:abstractNumId="6" w15:restartNumberingAfterBreak="0">
    <w:nsid w:val="24992D09"/>
    <w:multiLevelType w:val="hybridMultilevel"/>
    <w:tmpl w:val="E8045DF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DED75A0"/>
    <w:multiLevelType w:val="hybridMultilevel"/>
    <w:tmpl w:val="6D0E09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2227F2"/>
    <w:multiLevelType w:val="hybridMultilevel"/>
    <w:tmpl w:val="351A965C"/>
    <w:lvl w:ilvl="0" w:tplc="AC68A362">
      <w:start w:val="1"/>
      <w:numFmt w:val="bullet"/>
      <w:lvlText w:val="•"/>
      <w:lvlJc w:val="left"/>
      <w:pPr>
        <w:tabs>
          <w:tab w:val="num" w:pos="720"/>
        </w:tabs>
        <w:ind w:left="720" w:hanging="360"/>
      </w:pPr>
      <w:rPr>
        <w:rFonts w:ascii="Times New Roman" w:hAnsi="Times New Roman" w:hint="default"/>
      </w:rPr>
    </w:lvl>
    <w:lvl w:ilvl="1" w:tplc="8E5CDE50" w:tentative="1">
      <w:start w:val="1"/>
      <w:numFmt w:val="bullet"/>
      <w:lvlText w:val="•"/>
      <w:lvlJc w:val="left"/>
      <w:pPr>
        <w:tabs>
          <w:tab w:val="num" w:pos="1440"/>
        </w:tabs>
        <w:ind w:left="1440" w:hanging="360"/>
      </w:pPr>
      <w:rPr>
        <w:rFonts w:ascii="Times New Roman" w:hAnsi="Times New Roman" w:hint="default"/>
      </w:rPr>
    </w:lvl>
    <w:lvl w:ilvl="2" w:tplc="51A49ABC" w:tentative="1">
      <w:start w:val="1"/>
      <w:numFmt w:val="bullet"/>
      <w:lvlText w:val="•"/>
      <w:lvlJc w:val="left"/>
      <w:pPr>
        <w:tabs>
          <w:tab w:val="num" w:pos="2160"/>
        </w:tabs>
        <w:ind w:left="2160" w:hanging="360"/>
      </w:pPr>
      <w:rPr>
        <w:rFonts w:ascii="Times New Roman" w:hAnsi="Times New Roman" w:hint="default"/>
      </w:rPr>
    </w:lvl>
    <w:lvl w:ilvl="3" w:tplc="9A80B3B8" w:tentative="1">
      <w:start w:val="1"/>
      <w:numFmt w:val="bullet"/>
      <w:lvlText w:val="•"/>
      <w:lvlJc w:val="left"/>
      <w:pPr>
        <w:tabs>
          <w:tab w:val="num" w:pos="2880"/>
        </w:tabs>
        <w:ind w:left="2880" w:hanging="360"/>
      </w:pPr>
      <w:rPr>
        <w:rFonts w:ascii="Times New Roman" w:hAnsi="Times New Roman" w:hint="default"/>
      </w:rPr>
    </w:lvl>
    <w:lvl w:ilvl="4" w:tplc="0C546B12" w:tentative="1">
      <w:start w:val="1"/>
      <w:numFmt w:val="bullet"/>
      <w:lvlText w:val="•"/>
      <w:lvlJc w:val="left"/>
      <w:pPr>
        <w:tabs>
          <w:tab w:val="num" w:pos="3600"/>
        </w:tabs>
        <w:ind w:left="3600" w:hanging="360"/>
      </w:pPr>
      <w:rPr>
        <w:rFonts w:ascii="Times New Roman" w:hAnsi="Times New Roman" w:hint="default"/>
      </w:rPr>
    </w:lvl>
    <w:lvl w:ilvl="5" w:tplc="2976F7B2" w:tentative="1">
      <w:start w:val="1"/>
      <w:numFmt w:val="bullet"/>
      <w:lvlText w:val="•"/>
      <w:lvlJc w:val="left"/>
      <w:pPr>
        <w:tabs>
          <w:tab w:val="num" w:pos="4320"/>
        </w:tabs>
        <w:ind w:left="4320" w:hanging="360"/>
      </w:pPr>
      <w:rPr>
        <w:rFonts w:ascii="Times New Roman" w:hAnsi="Times New Roman" w:hint="default"/>
      </w:rPr>
    </w:lvl>
    <w:lvl w:ilvl="6" w:tplc="128286F8" w:tentative="1">
      <w:start w:val="1"/>
      <w:numFmt w:val="bullet"/>
      <w:lvlText w:val="•"/>
      <w:lvlJc w:val="left"/>
      <w:pPr>
        <w:tabs>
          <w:tab w:val="num" w:pos="5040"/>
        </w:tabs>
        <w:ind w:left="5040" w:hanging="360"/>
      </w:pPr>
      <w:rPr>
        <w:rFonts w:ascii="Times New Roman" w:hAnsi="Times New Roman" w:hint="default"/>
      </w:rPr>
    </w:lvl>
    <w:lvl w:ilvl="7" w:tplc="6D2E1E68" w:tentative="1">
      <w:start w:val="1"/>
      <w:numFmt w:val="bullet"/>
      <w:lvlText w:val="•"/>
      <w:lvlJc w:val="left"/>
      <w:pPr>
        <w:tabs>
          <w:tab w:val="num" w:pos="5760"/>
        </w:tabs>
        <w:ind w:left="5760" w:hanging="360"/>
      </w:pPr>
      <w:rPr>
        <w:rFonts w:ascii="Times New Roman" w:hAnsi="Times New Roman" w:hint="default"/>
      </w:rPr>
    </w:lvl>
    <w:lvl w:ilvl="8" w:tplc="C05E83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A6245A6"/>
    <w:multiLevelType w:val="hybridMultilevel"/>
    <w:tmpl w:val="C40453E2"/>
    <w:lvl w:ilvl="0" w:tplc="080A0013">
      <w:start w:val="1"/>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766324C"/>
    <w:multiLevelType w:val="hybridMultilevel"/>
    <w:tmpl w:val="81147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31290"/>
    <w:multiLevelType w:val="hybridMultilevel"/>
    <w:tmpl w:val="C52E104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8E04097"/>
    <w:multiLevelType w:val="hybridMultilevel"/>
    <w:tmpl w:val="4C62BD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C1445C"/>
    <w:multiLevelType w:val="hybridMultilevel"/>
    <w:tmpl w:val="B9824A22"/>
    <w:lvl w:ilvl="0" w:tplc="48C058A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9004C2"/>
    <w:multiLevelType w:val="hybridMultilevel"/>
    <w:tmpl w:val="5FB8B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B20E9E"/>
    <w:multiLevelType w:val="hybridMultilevel"/>
    <w:tmpl w:val="DF46FD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4"/>
  </w:num>
  <w:num w:numId="5">
    <w:abstractNumId w:val="15"/>
  </w:num>
  <w:num w:numId="6">
    <w:abstractNumId w:val="13"/>
  </w:num>
  <w:num w:numId="7">
    <w:abstractNumId w:val="5"/>
  </w:num>
  <w:num w:numId="8">
    <w:abstractNumId w:val="2"/>
  </w:num>
  <w:num w:numId="9">
    <w:abstractNumId w:val="1"/>
  </w:num>
  <w:num w:numId="10">
    <w:abstractNumId w:val="6"/>
  </w:num>
  <w:num w:numId="11">
    <w:abstractNumId w:val="0"/>
  </w:num>
  <w:num w:numId="12">
    <w:abstractNumId w:val="11"/>
  </w:num>
  <w:num w:numId="13">
    <w:abstractNumId w:val="8"/>
  </w:num>
  <w:num w:numId="14">
    <w:abstractNumId w:val="10"/>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_tradnl"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 w:vendorID="64" w:dllVersion="131078" w:nlCheck="1" w:checkStyle="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C2"/>
    <w:rsid w:val="00006357"/>
    <w:rsid w:val="000077A8"/>
    <w:rsid w:val="00016D76"/>
    <w:rsid w:val="00023A85"/>
    <w:rsid w:val="00024227"/>
    <w:rsid w:val="000275A1"/>
    <w:rsid w:val="00035F68"/>
    <w:rsid w:val="00041E73"/>
    <w:rsid w:val="000441CA"/>
    <w:rsid w:val="000451FD"/>
    <w:rsid w:val="0004675F"/>
    <w:rsid w:val="00046B4C"/>
    <w:rsid w:val="00070F54"/>
    <w:rsid w:val="000815DF"/>
    <w:rsid w:val="0008331B"/>
    <w:rsid w:val="00086641"/>
    <w:rsid w:val="00086A1F"/>
    <w:rsid w:val="000948FC"/>
    <w:rsid w:val="00094AC6"/>
    <w:rsid w:val="00097A4D"/>
    <w:rsid w:val="000A0448"/>
    <w:rsid w:val="000A17AA"/>
    <w:rsid w:val="000B07F3"/>
    <w:rsid w:val="000B326E"/>
    <w:rsid w:val="000B7143"/>
    <w:rsid w:val="000C1BED"/>
    <w:rsid w:val="000D1CDC"/>
    <w:rsid w:val="000D6508"/>
    <w:rsid w:val="000F52D9"/>
    <w:rsid w:val="000F61F2"/>
    <w:rsid w:val="001101CF"/>
    <w:rsid w:val="0011274F"/>
    <w:rsid w:val="00113F41"/>
    <w:rsid w:val="00122D53"/>
    <w:rsid w:val="001246FE"/>
    <w:rsid w:val="00125153"/>
    <w:rsid w:val="0013775E"/>
    <w:rsid w:val="001536E7"/>
    <w:rsid w:val="0015432A"/>
    <w:rsid w:val="001648F7"/>
    <w:rsid w:val="0016789E"/>
    <w:rsid w:val="00170EAB"/>
    <w:rsid w:val="00177AA2"/>
    <w:rsid w:val="00177EB3"/>
    <w:rsid w:val="00184433"/>
    <w:rsid w:val="00190EDE"/>
    <w:rsid w:val="0019264A"/>
    <w:rsid w:val="001B27B4"/>
    <w:rsid w:val="001C3A6E"/>
    <w:rsid w:val="001C517F"/>
    <w:rsid w:val="001C5BB4"/>
    <w:rsid w:val="001E4A07"/>
    <w:rsid w:val="00200B26"/>
    <w:rsid w:val="00202BA3"/>
    <w:rsid w:val="00206742"/>
    <w:rsid w:val="00217473"/>
    <w:rsid w:val="00221C39"/>
    <w:rsid w:val="00227D9A"/>
    <w:rsid w:val="002446A6"/>
    <w:rsid w:val="00246294"/>
    <w:rsid w:val="00253F8B"/>
    <w:rsid w:val="00267098"/>
    <w:rsid w:val="0026760C"/>
    <w:rsid w:val="00271169"/>
    <w:rsid w:val="002742FA"/>
    <w:rsid w:val="0028290A"/>
    <w:rsid w:val="00295807"/>
    <w:rsid w:val="002B0D74"/>
    <w:rsid w:val="002B1064"/>
    <w:rsid w:val="002B1263"/>
    <w:rsid w:val="002B2CC3"/>
    <w:rsid w:val="002B2EF7"/>
    <w:rsid w:val="002B2F0C"/>
    <w:rsid w:val="002B3147"/>
    <w:rsid w:val="002B3C7E"/>
    <w:rsid w:val="002B4DB3"/>
    <w:rsid w:val="002C760F"/>
    <w:rsid w:val="002D1B02"/>
    <w:rsid w:val="002D2492"/>
    <w:rsid w:val="002D5EB7"/>
    <w:rsid w:val="002E0143"/>
    <w:rsid w:val="002E2422"/>
    <w:rsid w:val="002F2A90"/>
    <w:rsid w:val="002F321B"/>
    <w:rsid w:val="002F3BD0"/>
    <w:rsid w:val="002F57B9"/>
    <w:rsid w:val="00300BEB"/>
    <w:rsid w:val="003012E3"/>
    <w:rsid w:val="00304DDB"/>
    <w:rsid w:val="00307CC6"/>
    <w:rsid w:val="00345C09"/>
    <w:rsid w:val="00353D07"/>
    <w:rsid w:val="0036504E"/>
    <w:rsid w:val="00367A15"/>
    <w:rsid w:val="003771D5"/>
    <w:rsid w:val="00377732"/>
    <w:rsid w:val="003805CB"/>
    <w:rsid w:val="003811DD"/>
    <w:rsid w:val="00387521"/>
    <w:rsid w:val="003902A6"/>
    <w:rsid w:val="003A4214"/>
    <w:rsid w:val="003A42BF"/>
    <w:rsid w:val="003A4391"/>
    <w:rsid w:val="003A45EE"/>
    <w:rsid w:val="003B1B56"/>
    <w:rsid w:val="003B636B"/>
    <w:rsid w:val="003B6A4F"/>
    <w:rsid w:val="003D06C5"/>
    <w:rsid w:val="003D1BE9"/>
    <w:rsid w:val="003F55B0"/>
    <w:rsid w:val="003F7210"/>
    <w:rsid w:val="0040007A"/>
    <w:rsid w:val="004015DB"/>
    <w:rsid w:val="00410682"/>
    <w:rsid w:val="00411FC6"/>
    <w:rsid w:val="00412FCB"/>
    <w:rsid w:val="00414A6D"/>
    <w:rsid w:val="0043416B"/>
    <w:rsid w:val="004365AD"/>
    <w:rsid w:val="004370A2"/>
    <w:rsid w:val="00445D49"/>
    <w:rsid w:val="00446C9D"/>
    <w:rsid w:val="00446DC5"/>
    <w:rsid w:val="004507D0"/>
    <w:rsid w:val="00452126"/>
    <w:rsid w:val="00463930"/>
    <w:rsid w:val="00463AB3"/>
    <w:rsid w:val="004735A5"/>
    <w:rsid w:val="00490958"/>
    <w:rsid w:val="00494B39"/>
    <w:rsid w:val="004C058C"/>
    <w:rsid w:val="004D0BA6"/>
    <w:rsid w:val="004D3D00"/>
    <w:rsid w:val="004D4B17"/>
    <w:rsid w:val="004F20DB"/>
    <w:rsid w:val="00500CD7"/>
    <w:rsid w:val="00503007"/>
    <w:rsid w:val="005046EE"/>
    <w:rsid w:val="005064BB"/>
    <w:rsid w:val="00534B61"/>
    <w:rsid w:val="005536D5"/>
    <w:rsid w:val="00557DBF"/>
    <w:rsid w:val="00564B23"/>
    <w:rsid w:val="00585484"/>
    <w:rsid w:val="00587BDB"/>
    <w:rsid w:val="005911A0"/>
    <w:rsid w:val="00594DF3"/>
    <w:rsid w:val="00597DE3"/>
    <w:rsid w:val="005A2A4D"/>
    <w:rsid w:val="005A4E01"/>
    <w:rsid w:val="005B53CC"/>
    <w:rsid w:val="005B64D3"/>
    <w:rsid w:val="005C051B"/>
    <w:rsid w:val="005C445E"/>
    <w:rsid w:val="005C776F"/>
    <w:rsid w:val="005C7864"/>
    <w:rsid w:val="005D03BC"/>
    <w:rsid w:val="005D10A6"/>
    <w:rsid w:val="005F0A48"/>
    <w:rsid w:val="005F1C2B"/>
    <w:rsid w:val="00601044"/>
    <w:rsid w:val="0060119C"/>
    <w:rsid w:val="00611C32"/>
    <w:rsid w:val="00611C5A"/>
    <w:rsid w:val="00622A79"/>
    <w:rsid w:val="00623EAD"/>
    <w:rsid w:val="006330F9"/>
    <w:rsid w:val="00640E50"/>
    <w:rsid w:val="006457EE"/>
    <w:rsid w:val="00653B2C"/>
    <w:rsid w:val="00666229"/>
    <w:rsid w:val="00667814"/>
    <w:rsid w:val="00676510"/>
    <w:rsid w:val="00683689"/>
    <w:rsid w:val="00694CFD"/>
    <w:rsid w:val="006951A1"/>
    <w:rsid w:val="00695882"/>
    <w:rsid w:val="00697E2B"/>
    <w:rsid w:val="006A0475"/>
    <w:rsid w:val="006B39E4"/>
    <w:rsid w:val="006C1BB1"/>
    <w:rsid w:val="006C2479"/>
    <w:rsid w:val="006D3628"/>
    <w:rsid w:val="006E7643"/>
    <w:rsid w:val="006F7D43"/>
    <w:rsid w:val="00700A57"/>
    <w:rsid w:val="00705A4B"/>
    <w:rsid w:val="007102E2"/>
    <w:rsid w:val="0071242E"/>
    <w:rsid w:val="00713FFC"/>
    <w:rsid w:val="00720C6C"/>
    <w:rsid w:val="007217A9"/>
    <w:rsid w:val="007252D7"/>
    <w:rsid w:val="00732131"/>
    <w:rsid w:val="00734A2F"/>
    <w:rsid w:val="00740DA4"/>
    <w:rsid w:val="00741A46"/>
    <w:rsid w:val="00761E13"/>
    <w:rsid w:val="00767D04"/>
    <w:rsid w:val="007827A1"/>
    <w:rsid w:val="00784A60"/>
    <w:rsid w:val="007929A4"/>
    <w:rsid w:val="007A23E9"/>
    <w:rsid w:val="007A7C34"/>
    <w:rsid w:val="007B3AC0"/>
    <w:rsid w:val="007B605C"/>
    <w:rsid w:val="007C0AC3"/>
    <w:rsid w:val="007D2849"/>
    <w:rsid w:val="007F4E08"/>
    <w:rsid w:val="00804EFA"/>
    <w:rsid w:val="008106B9"/>
    <w:rsid w:val="00810D66"/>
    <w:rsid w:val="00811C6F"/>
    <w:rsid w:val="00821768"/>
    <w:rsid w:val="00837A71"/>
    <w:rsid w:val="0084731D"/>
    <w:rsid w:val="008478A3"/>
    <w:rsid w:val="0088602C"/>
    <w:rsid w:val="00897BC4"/>
    <w:rsid w:val="008A6D7F"/>
    <w:rsid w:val="008A7822"/>
    <w:rsid w:val="008B0D60"/>
    <w:rsid w:val="008B4147"/>
    <w:rsid w:val="008C25BD"/>
    <w:rsid w:val="008C3CEE"/>
    <w:rsid w:val="008C60AE"/>
    <w:rsid w:val="008D24B9"/>
    <w:rsid w:val="008D4759"/>
    <w:rsid w:val="008E5B44"/>
    <w:rsid w:val="008F5F5B"/>
    <w:rsid w:val="008F79A9"/>
    <w:rsid w:val="009042FD"/>
    <w:rsid w:val="00905519"/>
    <w:rsid w:val="009127E6"/>
    <w:rsid w:val="009158FA"/>
    <w:rsid w:val="0092266D"/>
    <w:rsid w:val="0093063B"/>
    <w:rsid w:val="009403A3"/>
    <w:rsid w:val="0094405F"/>
    <w:rsid w:val="00962B98"/>
    <w:rsid w:val="00965AD0"/>
    <w:rsid w:val="00966007"/>
    <w:rsid w:val="00970860"/>
    <w:rsid w:val="00977A02"/>
    <w:rsid w:val="00987D2F"/>
    <w:rsid w:val="00990F9B"/>
    <w:rsid w:val="009960A8"/>
    <w:rsid w:val="009A2302"/>
    <w:rsid w:val="009A29CD"/>
    <w:rsid w:val="009A52C7"/>
    <w:rsid w:val="009B101A"/>
    <w:rsid w:val="009B4C7F"/>
    <w:rsid w:val="009B7A96"/>
    <w:rsid w:val="009C15DA"/>
    <w:rsid w:val="009C4C27"/>
    <w:rsid w:val="009C4FFE"/>
    <w:rsid w:val="009D53F1"/>
    <w:rsid w:val="009E26C2"/>
    <w:rsid w:val="009E4578"/>
    <w:rsid w:val="009E5DB9"/>
    <w:rsid w:val="009F77E0"/>
    <w:rsid w:val="00A0609A"/>
    <w:rsid w:val="00A13B42"/>
    <w:rsid w:val="00A24D5E"/>
    <w:rsid w:val="00A33866"/>
    <w:rsid w:val="00A3618C"/>
    <w:rsid w:val="00A37604"/>
    <w:rsid w:val="00A45F1F"/>
    <w:rsid w:val="00A51442"/>
    <w:rsid w:val="00A5458D"/>
    <w:rsid w:val="00A63FFA"/>
    <w:rsid w:val="00A70EBB"/>
    <w:rsid w:val="00A7669A"/>
    <w:rsid w:val="00A8501C"/>
    <w:rsid w:val="00A96174"/>
    <w:rsid w:val="00A96E59"/>
    <w:rsid w:val="00AA12CD"/>
    <w:rsid w:val="00AA31BF"/>
    <w:rsid w:val="00AA4759"/>
    <w:rsid w:val="00AA722F"/>
    <w:rsid w:val="00AB05AA"/>
    <w:rsid w:val="00AB283D"/>
    <w:rsid w:val="00AB4059"/>
    <w:rsid w:val="00AB5F54"/>
    <w:rsid w:val="00AE3AEB"/>
    <w:rsid w:val="00AE433B"/>
    <w:rsid w:val="00AF38DD"/>
    <w:rsid w:val="00B05EC9"/>
    <w:rsid w:val="00B06897"/>
    <w:rsid w:val="00B076CF"/>
    <w:rsid w:val="00B101F9"/>
    <w:rsid w:val="00B16660"/>
    <w:rsid w:val="00B17548"/>
    <w:rsid w:val="00B1790B"/>
    <w:rsid w:val="00B33658"/>
    <w:rsid w:val="00B42BA0"/>
    <w:rsid w:val="00B46D34"/>
    <w:rsid w:val="00B52D99"/>
    <w:rsid w:val="00B54AE4"/>
    <w:rsid w:val="00B577B4"/>
    <w:rsid w:val="00B7672C"/>
    <w:rsid w:val="00B948BF"/>
    <w:rsid w:val="00BB53E1"/>
    <w:rsid w:val="00BC167D"/>
    <w:rsid w:val="00BC543D"/>
    <w:rsid w:val="00BC5E43"/>
    <w:rsid w:val="00BD3DF3"/>
    <w:rsid w:val="00BE7F19"/>
    <w:rsid w:val="00BF5694"/>
    <w:rsid w:val="00C008E8"/>
    <w:rsid w:val="00C00EEE"/>
    <w:rsid w:val="00C01C0A"/>
    <w:rsid w:val="00C029E1"/>
    <w:rsid w:val="00C160C0"/>
    <w:rsid w:val="00C2396A"/>
    <w:rsid w:val="00C255EB"/>
    <w:rsid w:val="00C30D27"/>
    <w:rsid w:val="00C34EA1"/>
    <w:rsid w:val="00C3724C"/>
    <w:rsid w:val="00C42D72"/>
    <w:rsid w:val="00C46B31"/>
    <w:rsid w:val="00C54880"/>
    <w:rsid w:val="00C64298"/>
    <w:rsid w:val="00C74F49"/>
    <w:rsid w:val="00C9121C"/>
    <w:rsid w:val="00C9308C"/>
    <w:rsid w:val="00CA4101"/>
    <w:rsid w:val="00CA6C59"/>
    <w:rsid w:val="00CB084E"/>
    <w:rsid w:val="00CC490F"/>
    <w:rsid w:val="00CC51A9"/>
    <w:rsid w:val="00CD2B2B"/>
    <w:rsid w:val="00CD48A2"/>
    <w:rsid w:val="00CD5AB6"/>
    <w:rsid w:val="00CE2A63"/>
    <w:rsid w:val="00CE6834"/>
    <w:rsid w:val="00CE7D7F"/>
    <w:rsid w:val="00CF787B"/>
    <w:rsid w:val="00D046B4"/>
    <w:rsid w:val="00D07666"/>
    <w:rsid w:val="00D11FFD"/>
    <w:rsid w:val="00D150A0"/>
    <w:rsid w:val="00D165DC"/>
    <w:rsid w:val="00D20AE0"/>
    <w:rsid w:val="00D2121D"/>
    <w:rsid w:val="00D2629D"/>
    <w:rsid w:val="00D35F9B"/>
    <w:rsid w:val="00D41CED"/>
    <w:rsid w:val="00D44FC8"/>
    <w:rsid w:val="00D54488"/>
    <w:rsid w:val="00D602AF"/>
    <w:rsid w:val="00D860F9"/>
    <w:rsid w:val="00D90153"/>
    <w:rsid w:val="00D94A2D"/>
    <w:rsid w:val="00DA1D5A"/>
    <w:rsid w:val="00DA47F4"/>
    <w:rsid w:val="00DA73BF"/>
    <w:rsid w:val="00DB08C5"/>
    <w:rsid w:val="00DB3E39"/>
    <w:rsid w:val="00DD1C1F"/>
    <w:rsid w:val="00DD226A"/>
    <w:rsid w:val="00DD4BC5"/>
    <w:rsid w:val="00DD6DE8"/>
    <w:rsid w:val="00DE2B10"/>
    <w:rsid w:val="00DF548F"/>
    <w:rsid w:val="00E100FB"/>
    <w:rsid w:val="00E1171C"/>
    <w:rsid w:val="00E22C03"/>
    <w:rsid w:val="00E273F7"/>
    <w:rsid w:val="00E34C19"/>
    <w:rsid w:val="00E354C2"/>
    <w:rsid w:val="00E36EE7"/>
    <w:rsid w:val="00E46C96"/>
    <w:rsid w:val="00E538EB"/>
    <w:rsid w:val="00E82F36"/>
    <w:rsid w:val="00E91A33"/>
    <w:rsid w:val="00E94CB2"/>
    <w:rsid w:val="00EA2497"/>
    <w:rsid w:val="00EA4C19"/>
    <w:rsid w:val="00EA5BFC"/>
    <w:rsid w:val="00EA6664"/>
    <w:rsid w:val="00EA77AB"/>
    <w:rsid w:val="00EB0EF3"/>
    <w:rsid w:val="00ED2392"/>
    <w:rsid w:val="00ED7E01"/>
    <w:rsid w:val="00EE1CE4"/>
    <w:rsid w:val="00EE4533"/>
    <w:rsid w:val="00EF2038"/>
    <w:rsid w:val="00F10BA6"/>
    <w:rsid w:val="00F12AFB"/>
    <w:rsid w:val="00F2391C"/>
    <w:rsid w:val="00F4300E"/>
    <w:rsid w:val="00F50F3C"/>
    <w:rsid w:val="00F51219"/>
    <w:rsid w:val="00F51371"/>
    <w:rsid w:val="00F52B23"/>
    <w:rsid w:val="00F86144"/>
    <w:rsid w:val="00F909DF"/>
    <w:rsid w:val="00F9339A"/>
    <w:rsid w:val="00F93612"/>
    <w:rsid w:val="00F9400E"/>
    <w:rsid w:val="00F97F98"/>
    <w:rsid w:val="00FB4FEA"/>
    <w:rsid w:val="00FB6DA5"/>
    <w:rsid w:val="00FB7A75"/>
    <w:rsid w:val="00FC00B5"/>
    <w:rsid w:val="00FC266B"/>
    <w:rsid w:val="00FC39C7"/>
    <w:rsid w:val="00FD1667"/>
    <w:rsid w:val="00FD4E6A"/>
    <w:rsid w:val="00FD4EB2"/>
    <w:rsid w:val="00FD611D"/>
    <w:rsid w:val="00FD6B95"/>
    <w:rsid w:val="00FE23DD"/>
    <w:rsid w:val="00FE4023"/>
    <w:rsid w:val="00FF6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A5E72A"/>
  <w15:chartTrackingRefBased/>
  <w15:docId w15:val="{C489F348-E7C8-48A4-9953-41B85D9D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1C"/>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26C2"/>
    <w:pPr>
      <w:ind w:left="720"/>
      <w:contextualSpacing/>
    </w:pPr>
  </w:style>
  <w:style w:type="character" w:customStyle="1" w:styleId="PrrafodelistaCar">
    <w:name w:val="Párrafo de lista Car"/>
    <w:link w:val="Prrafodelista"/>
    <w:uiPriority w:val="34"/>
    <w:locked/>
    <w:rsid w:val="009E26C2"/>
    <w:rPr>
      <w:rFonts w:eastAsiaTheme="minorEastAsia"/>
      <w:sz w:val="24"/>
      <w:szCs w:val="24"/>
      <w:lang w:val="es-ES_tradnl"/>
    </w:rPr>
  </w:style>
  <w:style w:type="character" w:styleId="Refdecomentario">
    <w:name w:val="annotation reference"/>
    <w:basedOn w:val="Fuentedeprrafopredeter"/>
    <w:uiPriority w:val="99"/>
    <w:semiHidden/>
    <w:unhideWhenUsed/>
    <w:rsid w:val="009E26C2"/>
    <w:rPr>
      <w:sz w:val="16"/>
      <w:szCs w:val="16"/>
    </w:rPr>
  </w:style>
  <w:style w:type="paragraph" w:styleId="Textocomentario">
    <w:name w:val="annotation text"/>
    <w:basedOn w:val="Normal"/>
    <w:link w:val="TextocomentarioCar"/>
    <w:uiPriority w:val="99"/>
    <w:unhideWhenUsed/>
    <w:rsid w:val="009E26C2"/>
    <w:rPr>
      <w:sz w:val="20"/>
      <w:szCs w:val="20"/>
    </w:rPr>
  </w:style>
  <w:style w:type="character" w:customStyle="1" w:styleId="TextocomentarioCar">
    <w:name w:val="Texto comentario Car"/>
    <w:basedOn w:val="Fuentedeprrafopredeter"/>
    <w:link w:val="Textocomentario"/>
    <w:uiPriority w:val="99"/>
    <w:rsid w:val="009E26C2"/>
    <w:rPr>
      <w:rFonts w:eastAsiaTheme="minorEastAsia"/>
      <w:sz w:val="20"/>
      <w:szCs w:val="20"/>
      <w:lang w:val="es-ES_tradnl"/>
    </w:rPr>
  </w:style>
  <w:style w:type="character" w:styleId="Textoennegrita">
    <w:name w:val="Strong"/>
    <w:basedOn w:val="Fuentedeprrafopredeter"/>
    <w:uiPriority w:val="22"/>
    <w:qFormat/>
    <w:rsid w:val="009E26C2"/>
    <w:rPr>
      <w:b/>
      <w:bCs/>
    </w:rPr>
  </w:style>
  <w:style w:type="paragraph" w:styleId="Textodeglobo">
    <w:name w:val="Balloon Text"/>
    <w:basedOn w:val="Normal"/>
    <w:link w:val="TextodegloboCar"/>
    <w:uiPriority w:val="99"/>
    <w:semiHidden/>
    <w:unhideWhenUsed/>
    <w:rsid w:val="009E26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6C2"/>
    <w:rPr>
      <w:rFonts w:ascii="Segoe UI" w:eastAsiaTheme="minorEastAsia"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2B2EF7"/>
    <w:rPr>
      <w:b/>
      <w:bCs/>
    </w:rPr>
  </w:style>
  <w:style w:type="character" w:customStyle="1" w:styleId="AsuntodelcomentarioCar">
    <w:name w:val="Asunto del comentario Car"/>
    <w:basedOn w:val="TextocomentarioCar"/>
    <w:link w:val="Asuntodelcomentario"/>
    <w:uiPriority w:val="99"/>
    <w:semiHidden/>
    <w:rsid w:val="002B2EF7"/>
    <w:rPr>
      <w:rFonts w:eastAsiaTheme="minorEastAsia"/>
      <w:b/>
      <w:bCs/>
      <w:sz w:val="20"/>
      <w:szCs w:val="20"/>
      <w:lang w:val="es-ES_tradnl"/>
    </w:rPr>
  </w:style>
  <w:style w:type="table" w:styleId="Tablaconcuadrcula">
    <w:name w:val="Table Grid"/>
    <w:basedOn w:val="Tablanormal"/>
    <w:uiPriority w:val="39"/>
    <w:rsid w:val="00AA47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4B23"/>
    <w:pPr>
      <w:tabs>
        <w:tab w:val="center" w:pos="4419"/>
        <w:tab w:val="right" w:pos="8838"/>
      </w:tabs>
    </w:pPr>
  </w:style>
  <w:style w:type="character" w:customStyle="1" w:styleId="EncabezadoCar">
    <w:name w:val="Encabezado Car"/>
    <w:basedOn w:val="Fuentedeprrafopredeter"/>
    <w:link w:val="Encabezado"/>
    <w:uiPriority w:val="99"/>
    <w:rsid w:val="00564B23"/>
    <w:rPr>
      <w:rFonts w:eastAsiaTheme="minorEastAsia"/>
      <w:sz w:val="24"/>
      <w:szCs w:val="24"/>
      <w:lang w:val="es-ES_tradnl"/>
    </w:rPr>
  </w:style>
  <w:style w:type="paragraph" w:styleId="Piedepgina">
    <w:name w:val="footer"/>
    <w:basedOn w:val="Normal"/>
    <w:link w:val="PiedepginaCar"/>
    <w:uiPriority w:val="99"/>
    <w:unhideWhenUsed/>
    <w:rsid w:val="00564B23"/>
    <w:pPr>
      <w:tabs>
        <w:tab w:val="center" w:pos="4419"/>
        <w:tab w:val="right" w:pos="8838"/>
      </w:tabs>
    </w:pPr>
  </w:style>
  <w:style w:type="character" w:customStyle="1" w:styleId="PiedepginaCar">
    <w:name w:val="Pie de página Car"/>
    <w:basedOn w:val="Fuentedeprrafopredeter"/>
    <w:link w:val="Piedepgina"/>
    <w:uiPriority w:val="99"/>
    <w:rsid w:val="00564B23"/>
    <w:rPr>
      <w:rFonts w:eastAsiaTheme="minorEastAsia"/>
      <w:sz w:val="24"/>
      <w:szCs w:val="24"/>
      <w:lang w:val="es-ES_tradnl"/>
    </w:rPr>
  </w:style>
  <w:style w:type="paragraph" w:styleId="Sinespaciado">
    <w:name w:val="No Spacing"/>
    <w:uiPriority w:val="1"/>
    <w:qFormat/>
    <w:rsid w:val="00564B23"/>
    <w:pPr>
      <w:spacing w:after="0" w:line="240" w:lineRule="auto"/>
    </w:pPr>
    <w:rPr>
      <w:rFonts w:eastAsiaTheme="minorEastAsia"/>
      <w:sz w:val="24"/>
      <w:szCs w:val="24"/>
      <w:lang w:val="es-ES_tradnl"/>
    </w:rPr>
  </w:style>
  <w:style w:type="paragraph" w:styleId="Revisin">
    <w:name w:val="Revision"/>
    <w:hidden/>
    <w:uiPriority w:val="99"/>
    <w:semiHidden/>
    <w:rsid w:val="00CC490F"/>
    <w:pPr>
      <w:spacing w:after="0" w:line="240" w:lineRule="auto"/>
    </w:pPr>
    <w:rPr>
      <w:rFonts w:eastAsiaTheme="minorEastAsia"/>
      <w:sz w:val="24"/>
      <w:szCs w:val="24"/>
      <w:lang w:val="es-ES_tradnl"/>
    </w:rPr>
  </w:style>
  <w:style w:type="paragraph" w:customStyle="1" w:styleId="Texto">
    <w:name w:val="Texto"/>
    <w:basedOn w:val="Normal"/>
    <w:link w:val="TextoCar"/>
    <w:rsid w:val="00CB084E"/>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CB084E"/>
    <w:rPr>
      <w:rFonts w:ascii="Arial" w:eastAsia="Times New Roman" w:hAnsi="Arial" w:cs="Arial"/>
      <w:sz w:val="18"/>
      <w:szCs w:val="18"/>
      <w:lang w:val="es-ES" w:eastAsia="es-ES"/>
    </w:rPr>
  </w:style>
  <w:style w:type="paragraph" w:customStyle="1" w:styleId="ANOTACION">
    <w:name w:val="ANOTACION"/>
    <w:basedOn w:val="Normal"/>
    <w:link w:val="ANOTACIONCar"/>
    <w:rsid w:val="00041E73"/>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ANOTACIONCar">
    <w:name w:val="ANOTACION Car"/>
    <w:link w:val="ANOTACION"/>
    <w:locked/>
    <w:rsid w:val="00041E73"/>
    <w:rPr>
      <w:rFonts w:ascii="Times New Roman" w:eastAsia="Times New Roman" w:hAnsi="Times New Roman" w:cs="Times New Roman"/>
      <w:b/>
      <w:sz w:val="18"/>
      <w:szCs w:val="20"/>
      <w:lang w:val="es-ES_tradnl" w:eastAsia="es-ES"/>
    </w:rPr>
  </w:style>
  <w:style w:type="paragraph" w:styleId="Descripcin">
    <w:name w:val="caption"/>
    <w:basedOn w:val="Normal"/>
    <w:next w:val="Normal"/>
    <w:uiPriority w:val="35"/>
    <w:unhideWhenUsed/>
    <w:qFormat/>
    <w:rsid w:val="00D150A0"/>
    <w:pPr>
      <w:spacing w:after="200"/>
    </w:pPr>
    <w:rPr>
      <w:rFonts w:eastAsiaTheme="minorHAnsi"/>
      <w:i/>
      <w:iCs/>
      <w:color w:val="44546A" w:themeColor="text2"/>
      <w:sz w:val="18"/>
      <w:szCs w:val="18"/>
      <w:lang w:val="es-MX"/>
    </w:rPr>
  </w:style>
  <w:style w:type="table" w:styleId="Tabladecuadrcula4-nfasis6">
    <w:name w:val="Grid Table 4 Accent 6"/>
    <w:basedOn w:val="Tablanormal"/>
    <w:uiPriority w:val="49"/>
    <w:rsid w:val="006662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5713">
      <w:bodyDiv w:val="1"/>
      <w:marLeft w:val="0"/>
      <w:marRight w:val="0"/>
      <w:marTop w:val="0"/>
      <w:marBottom w:val="0"/>
      <w:divBdr>
        <w:top w:val="none" w:sz="0" w:space="0" w:color="auto"/>
        <w:left w:val="none" w:sz="0" w:space="0" w:color="auto"/>
        <w:bottom w:val="none" w:sz="0" w:space="0" w:color="auto"/>
        <w:right w:val="none" w:sz="0" w:space="0" w:color="auto"/>
      </w:divBdr>
    </w:div>
    <w:div w:id="1141725379">
      <w:bodyDiv w:val="1"/>
      <w:marLeft w:val="0"/>
      <w:marRight w:val="0"/>
      <w:marTop w:val="0"/>
      <w:marBottom w:val="0"/>
      <w:divBdr>
        <w:top w:val="none" w:sz="0" w:space="0" w:color="auto"/>
        <w:left w:val="none" w:sz="0" w:space="0" w:color="auto"/>
        <w:bottom w:val="none" w:sz="0" w:space="0" w:color="auto"/>
        <w:right w:val="none" w:sz="0" w:space="0" w:color="auto"/>
      </w:divBdr>
      <w:divsChild>
        <w:div w:id="195586641">
          <w:marLeft w:val="547"/>
          <w:marRight w:val="0"/>
          <w:marTop w:val="0"/>
          <w:marBottom w:val="0"/>
          <w:divBdr>
            <w:top w:val="none" w:sz="0" w:space="0" w:color="auto"/>
            <w:left w:val="none" w:sz="0" w:space="0" w:color="auto"/>
            <w:bottom w:val="none" w:sz="0" w:space="0" w:color="auto"/>
            <w:right w:val="none" w:sz="0" w:space="0" w:color="auto"/>
          </w:divBdr>
        </w:div>
      </w:divsChild>
    </w:div>
    <w:div w:id="13929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BCE1132-C4E2-450A-A714-D4E028BA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4118</Words>
  <Characters>22653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DCLTyR</dc:creator>
  <cp:keywords/>
  <dc:description/>
  <cp:lastModifiedBy>Thalia Silva Barron</cp:lastModifiedBy>
  <cp:revision>9</cp:revision>
  <cp:lastPrinted>2019-10-10T14:13:00Z</cp:lastPrinted>
  <dcterms:created xsi:type="dcterms:W3CDTF">2019-10-10T01:53:00Z</dcterms:created>
  <dcterms:modified xsi:type="dcterms:W3CDTF">2019-10-10T14:13:00Z</dcterms:modified>
</cp:coreProperties>
</file>