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775E" w:rsidRPr="006951A1" w:rsidRDefault="0013775E" w:rsidP="0013775E">
      <w:pPr>
        <w:spacing w:before="240"/>
        <w:jc w:val="both"/>
        <w:rPr>
          <w:rFonts w:ascii="ITC Avant Garde" w:hAnsi="ITC Avant Garde"/>
          <w:b/>
          <w:sz w:val="22"/>
          <w:szCs w:val="22"/>
        </w:rPr>
      </w:pPr>
      <w:r w:rsidRPr="006951A1">
        <w:rPr>
          <w:rFonts w:ascii="ITC Avant Garde" w:hAnsi="ITC Avant Garde"/>
          <w:b/>
          <w:sz w:val="22"/>
          <w:szCs w:val="22"/>
        </w:rPr>
        <w:t xml:space="preserve">ACUERDO MEDIANTE EL CUAL EL PLENO DEL INSTITUTO FEDERAL DE TELECOMUNICACIONES DETERMINA SOMETER A CONSULTA PÚBLICA EL “ANTEPROYECTO DE ACUERDO MEDIANTE EL CUAL EL PLENO DEL INSTITUTO FEDERAL DE TELECOMUNICACIONES MODIFICA LAS REGLAS DE PORTABILIDAD NUMÉRICA, PUBLICADAS EN EL DIARIO OFICIAL DE LA FEDERACIÓN EL 12 DE NOVIEMBRE DE 2014, </w:t>
      </w:r>
      <w:r w:rsidR="00AB283D">
        <w:rPr>
          <w:rFonts w:ascii="ITC Avant Garde" w:hAnsi="ITC Avant Garde"/>
          <w:b/>
          <w:sz w:val="22"/>
          <w:szCs w:val="22"/>
        </w:rPr>
        <w:t>Y LA</w:t>
      </w:r>
      <w:r w:rsidR="00A63FFA">
        <w:rPr>
          <w:rFonts w:ascii="ITC Avant Garde" w:hAnsi="ITC Avant Garde"/>
          <w:b/>
          <w:sz w:val="22"/>
          <w:szCs w:val="22"/>
        </w:rPr>
        <w:t xml:space="preserve">S </w:t>
      </w:r>
      <w:r w:rsidRPr="006951A1">
        <w:rPr>
          <w:rFonts w:ascii="ITC Avant Garde" w:hAnsi="ITC Avant Garde"/>
          <w:b/>
          <w:sz w:val="22"/>
          <w:szCs w:val="22"/>
        </w:rPr>
        <w:t xml:space="preserve">MODIFICACIONES PUBLICADAS EN EL DIARIO OFICIAL DE LA FEDERACIÓN </w:t>
      </w:r>
      <w:r w:rsidRPr="00AA4759">
        <w:rPr>
          <w:rFonts w:ascii="ITC Avant Garde" w:hAnsi="ITC Avant Garde"/>
          <w:b/>
          <w:sz w:val="22"/>
          <w:szCs w:val="22"/>
        </w:rPr>
        <w:t>EL 11</w:t>
      </w:r>
      <w:r w:rsidRPr="006951A1">
        <w:rPr>
          <w:rFonts w:ascii="ITC Avant Garde" w:hAnsi="ITC Avant Garde"/>
          <w:b/>
          <w:sz w:val="22"/>
          <w:szCs w:val="22"/>
        </w:rPr>
        <w:t xml:space="preserve"> DE MAYO DE 2018.” </w:t>
      </w:r>
    </w:p>
    <w:p w:rsidR="0013775E" w:rsidRPr="00564B23" w:rsidRDefault="0013775E" w:rsidP="00564B23">
      <w:pPr>
        <w:pStyle w:val="Sinespaciado"/>
        <w:rPr>
          <w:sz w:val="20"/>
        </w:rPr>
      </w:pPr>
    </w:p>
    <w:p w:rsidR="0013775E" w:rsidRPr="00564B23" w:rsidRDefault="0013775E" w:rsidP="00564B23">
      <w:pPr>
        <w:pStyle w:val="Sinespaciado"/>
        <w:rPr>
          <w:sz w:val="20"/>
        </w:rPr>
      </w:pPr>
    </w:p>
    <w:p w:rsidR="009E26C2" w:rsidRPr="006951A1" w:rsidRDefault="009E26C2" w:rsidP="009E26C2">
      <w:pPr>
        <w:jc w:val="center"/>
        <w:rPr>
          <w:rFonts w:ascii="ITC Avant Garde" w:hAnsi="ITC Avant Garde"/>
          <w:b/>
          <w:sz w:val="22"/>
          <w:szCs w:val="22"/>
        </w:rPr>
      </w:pPr>
      <w:r w:rsidRPr="006951A1">
        <w:rPr>
          <w:rFonts w:ascii="ITC Avant Garde" w:hAnsi="ITC Avant Garde"/>
          <w:b/>
          <w:sz w:val="22"/>
          <w:szCs w:val="22"/>
        </w:rPr>
        <w:t>ANTECEDENTES</w:t>
      </w:r>
    </w:p>
    <w:p w:rsidR="009E26C2" w:rsidRPr="00564B23" w:rsidRDefault="009E26C2" w:rsidP="00564B23">
      <w:pPr>
        <w:pStyle w:val="Sinespaciado"/>
        <w:rPr>
          <w:sz w:val="20"/>
        </w:rPr>
      </w:pPr>
    </w:p>
    <w:p w:rsidR="0013775E" w:rsidRPr="00564B23" w:rsidRDefault="0013775E" w:rsidP="00564B23">
      <w:pPr>
        <w:pStyle w:val="Sinespaciado"/>
        <w:rPr>
          <w:rFonts w:eastAsia="Times New Roman" w:cs="Arial"/>
          <w:kern w:val="2"/>
          <w:sz w:val="20"/>
          <w:lang w:eastAsia="ar-SA"/>
        </w:rPr>
      </w:pPr>
    </w:p>
    <w:p w:rsidR="0013775E" w:rsidRPr="006951A1" w:rsidRDefault="009E26C2" w:rsidP="009E26C2">
      <w:pPr>
        <w:numPr>
          <w:ilvl w:val="0"/>
          <w:numId w:val="1"/>
        </w:numPr>
        <w:suppressAutoHyphens/>
        <w:jc w:val="both"/>
        <w:rPr>
          <w:rFonts w:ascii="ITC Avant Garde" w:hAnsi="ITC Avant Garde" w:cs="Arial"/>
          <w:color w:val="000000" w:themeColor="text1"/>
          <w:kern w:val="1"/>
          <w:sz w:val="22"/>
          <w:szCs w:val="22"/>
          <w:lang w:eastAsia="ar-SA"/>
        </w:rPr>
      </w:pPr>
      <w:r w:rsidRPr="006951A1">
        <w:rPr>
          <w:rFonts w:ascii="ITC Avant Garde" w:eastAsia="Times New Roman" w:hAnsi="ITC Avant Garde" w:cs="Arial"/>
          <w:kern w:val="1"/>
          <w:sz w:val="22"/>
          <w:szCs w:val="22"/>
          <w:lang w:eastAsia="ar-SA"/>
        </w:rPr>
        <w:t xml:space="preserve">El </w:t>
      </w:r>
      <w:r w:rsidR="006951A1" w:rsidRPr="006951A1">
        <w:rPr>
          <w:rFonts w:ascii="ITC Avant Garde" w:hAnsi="ITC Avant Garde"/>
          <w:sz w:val="22"/>
          <w:szCs w:val="22"/>
        </w:rPr>
        <w:t xml:space="preserve">11 de junio de 2013, se creó el Instituto Federal de Telecomunicaciones (en lo sucesivo, el “Instituto”) como un órgano autónomo con personalidad jurídica y patrimonio propio, cuyo objeto es regular, promover y supervisar el uso, aprovechamiento y explotación </w:t>
      </w:r>
      <w:r w:rsidR="006951A1" w:rsidRPr="006951A1">
        <w:rPr>
          <w:rFonts w:ascii="ITC Avant Garde" w:eastAsia="Times New Roman" w:hAnsi="ITC Avant Garde" w:cs="Times New Roman"/>
          <w:sz w:val="22"/>
          <w:szCs w:val="22"/>
          <w:lang w:val="es-ES" w:eastAsia="es-ES"/>
        </w:rPr>
        <w:t xml:space="preserve">del espectro radioeléctrico, las redes y la prestación </w:t>
      </w:r>
      <w:r w:rsidR="006951A1" w:rsidRPr="006951A1">
        <w:rPr>
          <w:rFonts w:ascii="ITC Avant Garde" w:hAnsi="ITC Avant Garde"/>
          <w:sz w:val="22"/>
          <w:szCs w:val="22"/>
        </w:rPr>
        <w:t xml:space="preserve">de los servicios de radiodifusión y telecomunicaciones, además de ser la autoridad en materia de competencia económica en los sectores de los servicios antes aludidos, conforme a lo dispuesto en el “Decreto por el que se reforman y adicionan diversas disposiciones de los artículos 6o., 7o., 27, 28, 73, 78, 94 y 105 de la Constitución Política de los Estados Unidos Mexicanos, en materia de telecomunicaciones” (en lo sucesivo, el “Decreto”) publicado en el Diario Oficial de la Federación (en lo sucesivo, </w:t>
      </w:r>
      <w:r w:rsidR="006951A1">
        <w:rPr>
          <w:rFonts w:ascii="ITC Avant Garde" w:hAnsi="ITC Avant Garde"/>
          <w:sz w:val="22"/>
          <w:szCs w:val="22"/>
        </w:rPr>
        <w:t>“</w:t>
      </w:r>
      <w:r w:rsidR="006951A1" w:rsidRPr="006951A1">
        <w:rPr>
          <w:rFonts w:ascii="ITC Avant Garde" w:hAnsi="ITC Avant Garde"/>
          <w:sz w:val="22"/>
          <w:szCs w:val="22"/>
        </w:rPr>
        <w:t>DOF</w:t>
      </w:r>
      <w:r w:rsidR="006951A1">
        <w:rPr>
          <w:rFonts w:ascii="ITC Avant Garde" w:hAnsi="ITC Avant Garde"/>
          <w:sz w:val="22"/>
          <w:szCs w:val="22"/>
        </w:rPr>
        <w:t>”</w:t>
      </w:r>
      <w:r w:rsidR="006951A1" w:rsidRPr="006951A1">
        <w:rPr>
          <w:rFonts w:ascii="ITC Avant Garde" w:hAnsi="ITC Avant Garde"/>
          <w:sz w:val="22"/>
          <w:szCs w:val="22"/>
        </w:rPr>
        <w:t>) en la fecha antes señalada y el cual entró en vigor al día siguiente de su publicación, es decir el día 12 de junio de 2013.</w:t>
      </w:r>
    </w:p>
    <w:p w:rsidR="006951A1" w:rsidRPr="00564B23" w:rsidRDefault="006951A1" w:rsidP="00564B23">
      <w:pPr>
        <w:pStyle w:val="Sinespaciado"/>
        <w:rPr>
          <w:sz w:val="20"/>
          <w:lang w:eastAsia="ar-SA"/>
        </w:rPr>
      </w:pPr>
    </w:p>
    <w:p w:rsidR="006951A1" w:rsidRDefault="006951A1" w:rsidP="006951A1">
      <w:pPr>
        <w:numPr>
          <w:ilvl w:val="0"/>
          <w:numId w:val="1"/>
        </w:numPr>
        <w:suppressAutoHyphens/>
        <w:jc w:val="both"/>
        <w:rPr>
          <w:rFonts w:ascii="ITC Avant Garde" w:hAnsi="ITC Avant Garde" w:cs="Arial"/>
          <w:color w:val="000000" w:themeColor="text1"/>
          <w:kern w:val="1"/>
          <w:sz w:val="22"/>
          <w:szCs w:val="22"/>
          <w:lang w:eastAsia="ar-SA"/>
        </w:rPr>
      </w:pPr>
      <w:r w:rsidRPr="006951A1">
        <w:rPr>
          <w:rFonts w:ascii="ITC Avant Garde" w:hAnsi="ITC Avant Garde" w:cs="Arial"/>
          <w:color w:val="000000" w:themeColor="text1"/>
          <w:kern w:val="1"/>
          <w:sz w:val="22"/>
          <w:szCs w:val="22"/>
          <w:lang w:eastAsia="ar-SA"/>
        </w:rPr>
        <w:t>El 14 de julio de 2014, se publicó en el DOF, el “Decreto por el que se expiden la Ley Federal de Telecomunicaciones y Radiodifusión, y la Ley del Sistema Público de Radiodifusión del Estado Mexicano; y se reforman, adicionan y derogan diversas disposiciones en materia de telecomunicaciones y radiodifusión”, ordenamientos que entraron en vigor treinta días naturales siguientes a su publicación, es dec</w:t>
      </w:r>
      <w:r>
        <w:rPr>
          <w:rFonts w:ascii="ITC Avant Garde" w:hAnsi="ITC Avant Garde" w:cs="Arial"/>
          <w:color w:val="000000" w:themeColor="text1"/>
          <w:kern w:val="1"/>
          <w:sz w:val="22"/>
          <w:szCs w:val="22"/>
          <w:lang w:eastAsia="ar-SA"/>
        </w:rPr>
        <w:t>ir, el 13 de agosto de 2014.</w:t>
      </w:r>
    </w:p>
    <w:p w:rsidR="006951A1" w:rsidRPr="00564B23" w:rsidRDefault="006951A1" w:rsidP="00564B23">
      <w:pPr>
        <w:pStyle w:val="Sinespaciado"/>
        <w:rPr>
          <w:sz w:val="20"/>
          <w:lang w:eastAsia="ar-SA"/>
        </w:rPr>
      </w:pPr>
    </w:p>
    <w:p w:rsidR="0013775E" w:rsidRDefault="006951A1" w:rsidP="006951A1">
      <w:pPr>
        <w:numPr>
          <w:ilvl w:val="0"/>
          <w:numId w:val="1"/>
        </w:numPr>
        <w:suppressAutoHyphens/>
        <w:jc w:val="both"/>
        <w:rPr>
          <w:rFonts w:ascii="ITC Avant Garde" w:hAnsi="ITC Avant Garde" w:cs="Arial"/>
          <w:color w:val="000000" w:themeColor="text1"/>
          <w:kern w:val="1"/>
          <w:sz w:val="22"/>
          <w:szCs w:val="22"/>
          <w:lang w:eastAsia="ar-SA"/>
        </w:rPr>
      </w:pPr>
      <w:r w:rsidRPr="006951A1">
        <w:rPr>
          <w:rFonts w:ascii="ITC Avant Garde" w:hAnsi="ITC Avant Garde" w:cs="Arial"/>
          <w:color w:val="000000" w:themeColor="text1"/>
          <w:kern w:val="1"/>
          <w:sz w:val="22"/>
          <w:szCs w:val="22"/>
          <w:lang w:eastAsia="ar-SA"/>
        </w:rPr>
        <w:t xml:space="preserve">El 4 de septiembre de 2014, se publicó en el DOF el Estatuto Orgánico del Instituto Federal de Telecomunicaciones (en lo sucesivo, el “Estatuto”), mismo que entró en vigor el 26 de septiembre de 2014; el </w:t>
      </w:r>
      <w:r>
        <w:rPr>
          <w:rFonts w:ascii="ITC Avant Garde" w:hAnsi="ITC Avant Garde" w:cs="Arial"/>
          <w:color w:val="000000" w:themeColor="text1"/>
          <w:kern w:val="1"/>
          <w:sz w:val="22"/>
          <w:szCs w:val="22"/>
          <w:lang w:eastAsia="ar-SA"/>
        </w:rPr>
        <w:t xml:space="preserve">7 de diciembre de 2018 </w:t>
      </w:r>
      <w:r w:rsidRPr="006951A1">
        <w:rPr>
          <w:rFonts w:ascii="ITC Avant Garde" w:hAnsi="ITC Avant Garde" w:cs="Arial"/>
          <w:color w:val="000000" w:themeColor="text1"/>
          <w:kern w:val="1"/>
          <w:sz w:val="22"/>
          <w:szCs w:val="22"/>
          <w:lang w:eastAsia="ar-SA"/>
        </w:rPr>
        <w:t>se publicó en el DOF su última modificación.</w:t>
      </w:r>
    </w:p>
    <w:p w:rsidR="006951A1" w:rsidRDefault="006951A1" w:rsidP="006951A1">
      <w:pPr>
        <w:pStyle w:val="Prrafodelista"/>
        <w:rPr>
          <w:rFonts w:ascii="ITC Avant Garde" w:hAnsi="ITC Avant Garde" w:cs="Arial"/>
          <w:color w:val="000000" w:themeColor="text1"/>
          <w:kern w:val="1"/>
          <w:sz w:val="22"/>
          <w:szCs w:val="22"/>
          <w:lang w:eastAsia="ar-SA"/>
        </w:rPr>
      </w:pPr>
    </w:p>
    <w:p w:rsidR="006951A1" w:rsidRDefault="006951A1" w:rsidP="006951A1">
      <w:pPr>
        <w:numPr>
          <w:ilvl w:val="0"/>
          <w:numId w:val="1"/>
        </w:numPr>
        <w:suppressAutoHyphens/>
        <w:jc w:val="both"/>
        <w:rPr>
          <w:rFonts w:ascii="ITC Avant Garde" w:hAnsi="ITC Avant Garde" w:cs="Arial"/>
          <w:color w:val="000000" w:themeColor="text1"/>
          <w:kern w:val="1"/>
          <w:sz w:val="22"/>
          <w:szCs w:val="22"/>
          <w:lang w:val="es-MX" w:eastAsia="ar-SA"/>
        </w:rPr>
      </w:pPr>
      <w:r w:rsidRPr="006951A1">
        <w:rPr>
          <w:rFonts w:ascii="ITC Avant Garde" w:hAnsi="ITC Avant Garde" w:cs="Arial"/>
          <w:color w:val="000000" w:themeColor="text1"/>
          <w:kern w:val="1"/>
          <w:sz w:val="22"/>
          <w:szCs w:val="22"/>
          <w:lang w:eastAsia="ar-SA"/>
        </w:rPr>
        <w:t xml:space="preserve">El </w:t>
      </w:r>
      <w:r>
        <w:rPr>
          <w:rFonts w:ascii="ITC Avant Garde" w:hAnsi="ITC Avant Garde" w:cs="Arial"/>
          <w:color w:val="000000" w:themeColor="text1"/>
          <w:kern w:val="1"/>
          <w:sz w:val="22"/>
          <w:szCs w:val="22"/>
          <w:lang w:eastAsia="ar-SA"/>
        </w:rPr>
        <w:t xml:space="preserve">12 de noviembre de 2014, se publicó en el </w:t>
      </w:r>
      <w:r w:rsidRPr="00200B26">
        <w:rPr>
          <w:rFonts w:ascii="ITC Avant Garde" w:hAnsi="ITC Avant Garde" w:cs="Arial"/>
          <w:color w:val="000000" w:themeColor="text1"/>
          <w:kern w:val="1"/>
          <w:sz w:val="22"/>
          <w:szCs w:val="22"/>
          <w:lang w:eastAsia="ar-SA"/>
        </w:rPr>
        <w:t>DO</w:t>
      </w:r>
      <w:r w:rsidR="00200B26">
        <w:rPr>
          <w:rFonts w:ascii="ITC Avant Garde" w:hAnsi="ITC Avant Garde" w:cs="Arial"/>
          <w:color w:val="000000" w:themeColor="text1"/>
          <w:kern w:val="1"/>
          <w:sz w:val="22"/>
          <w:szCs w:val="22"/>
          <w:lang w:eastAsia="ar-SA"/>
        </w:rPr>
        <w:t xml:space="preserve">F el </w:t>
      </w:r>
      <w:r w:rsidR="00494B39">
        <w:rPr>
          <w:rFonts w:ascii="ITC Avant Garde" w:hAnsi="ITC Avant Garde" w:cs="Arial"/>
          <w:color w:val="000000" w:themeColor="text1"/>
          <w:kern w:val="1"/>
          <w:sz w:val="22"/>
          <w:szCs w:val="22"/>
          <w:lang w:eastAsia="ar-SA"/>
        </w:rPr>
        <w:t>“</w:t>
      </w:r>
      <w:r w:rsidR="00200B26">
        <w:rPr>
          <w:rFonts w:ascii="ITC Avant Garde" w:hAnsi="ITC Avant Garde" w:cs="Arial"/>
          <w:color w:val="000000" w:themeColor="text1"/>
          <w:kern w:val="1"/>
          <w:sz w:val="22"/>
          <w:szCs w:val="22"/>
          <w:lang w:eastAsia="ar-SA"/>
        </w:rPr>
        <w:t>Acuerdo</w:t>
      </w:r>
      <w:r w:rsidRPr="00200B26">
        <w:rPr>
          <w:rFonts w:ascii="ITC Avant Garde" w:hAnsi="ITC Avant Garde" w:cs="Arial"/>
          <w:color w:val="000000" w:themeColor="text1"/>
          <w:kern w:val="1"/>
          <w:sz w:val="22"/>
          <w:szCs w:val="22"/>
          <w:lang w:val="es-MX" w:eastAsia="ar-SA"/>
        </w:rPr>
        <w:t xml:space="preserve"> mediante el cual el Pleno del Instituto Federal de Telecomunicaciones emite las Reglas de Portabilidad Numérica y modifica el Plan Técnico Fundamental de Numeración, el Plan Técnico Fundamental de Señalización y las especificaciones operativas para la implantación de portabilidad de números geográficos y no geográficos.</w:t>
      </w:r>
      <w:r w:rsidR="00494B39">
        <w:rPr>
          <w:rFonts w:ascii="ITC Avant Garde" w:hAnsi="ITC Avant Garde" w:cs="Arial"/>
          <w:color w:val="000000" w:themeColor="text1"/>
          <w:kern w:val="1"/>
          <w:sz w:val="22"/>
          <w:szCs w:val="22"/>
          <w:lang w:val="es-MX" w:eastAsia="ar-SA"/>
        </w:rPr>
        <w:t>”</w:t>
      </w:r>
    </w:p>
    <w:p w:rsidR="00494B39" w:rsidRDefault="00494B39" w:rsidP="00494B39">
      <w:pPr>
        <w:pStyle w:val="Prrafodelista"/>
        <w:rPr>
          <w:rFonts w:ascii="ITC Avant Garde" w:hAnsi="ITC Avant Garde" w:cs="Arial"/>
          <w:color w:val="000000" w:themeColor="text1"/>
          <w:kern w:val="1"/>
          <w:sz w:val="22"/>
          <w:szCs w:val="22"/>
          <w:lang w:val="es-MX" w:eastAsia="ar-SA"/>
        </w:rPr>
      </w:pPr>
    </w:p>
    <w:p w:rsidR="00200B26" w:rsidRPr="00494B39" w:rsidRDefault="00494B39" w:rsidP="000F6C30">
      <w:pPr>
        <w:numPr>
          <w:ilvl w:val="0"/>
          <w:numId w:val="1"/>
        </w:numPr>
        <w:suppressAutoHyphens/>
        <w:jc w:val="both"/>
        <w:rPr>
          <w:rFonts w:ascii="ITC Avant Garde" w:hAnsi="ITC Avant Garde" w:cs="Arial"/>
          <w:color w:val="000000" w:themeColor="text1"/>
          <w:kern w:val="1"/>
          <w:sz w:val="22"/>
          <w:szCs w:val="22"/>
          <w:lang w:val="es-MX" w:eastAsia="ar-SA"/>
        </w:rPr>
      </w:pPr>
      <w:r w:rsidRPr="00494B39">
        <w:rPr>
          <w:rFonts w:ascii="ITC Avant Garde" w:hAnsi="ITC Avant Garde" w:cs="Arial"/>
          <w:color w:val="000000" w:themeColor="text1"/>
          <w:kern w:val="1"/>
          <w:sz w:val="22"/>
          <w:szCs w:val="22"/>
          <w:lang w:val="es-MX" w:eastAsia="ar-SA"/>
        </w:rPr>
        <w:lastRenderedPageBreak/>
        <w:t>El 23 de junio de 2015, se publicó en el DOF el “Acuerdo mediante el cual el Pleno del Instituto Federal de Telecomunicaciones modifica las Reglas de Portabilidad Numérica publicadas el 12 de noviembre de 2014, así como el Plan Técnico Fundamental de Numeración publicado el 21 de junio de 1996</w:t>
      </w:r>
      <w:r>
        <w:rPr>
          <w:rFonts w:ascii="ITC Avant Garde" w:hAnsi="ITC Avant Garde" w:cs="Arial"/>
          <w:color w:val="000000" w:themeColor="text1"/>
          <w:kern w:val="1"/>
          <w:sz w:val="22"/>
          <w:szCs w:val="22"/>
          <w:lang w:val="es-MX" w:eastAsia="ar-SA"/>
        </w:rPr>
        <w:t>.</w:t>
      </w:r>
      <w:r w:rsidRPr="00494B39">
        <w:rPr>
          <w:rFonts w:ascii="ITC Avant Garde" w:hAnsi="ITC Avant Garde" w:cs="Arial"/>
          <w:color w:val="000000" w:themeColor="text1"/>
          <w:kern w:val="1"/>
          <w:sz w:val="22"/>
          <w:szCs w:val="22"/>
          <w:lang w:val="es-MX" w:eastAsia="ar-SA"/>
        </w:rPr>
        <w:t xml:space="preserve">” </w:t>
      </w:r>
    </w:p>
    <w:p w:rsidR="00494B39" w:rsidRDefault="00494B39" w:rsidP="00200B26">
      <w:pPr>
        <w:pStyle w:val="Prrafodelista"/>
        <w:rPr>
          <w:rFonts w:ascii="ITC Avant Garde" w:hAnsi="ITC Avant Garde" w:cs="Arial"/>
          <w:color w:val="000000" w:themeColor="text1"/>
          <w:kern w:val="1"/>
          <w:sz w:val="22"/>
          <w:szCs w:val="22"/>
          <w:lang w:val="es-MX" w:eastAsia="ar-SA"/>
        </w:rPr>
      </w:pPr>
    </w:p>
    <w:p w:rsidR="00200B26" w:rsidRPr="00494B39" w:rsidRDefault="00494B39" w:rsidP="00494B39">
      <w:pPr>
        <w:numPr>
          <w:ilvl w:val="0"/>
          <w:numId w:val="1"/>
        </w:numPr>
        <w:suppressAutoHyphens/>
        <w:jc w:val="both"/>
        <w:rPr>
          <w:rFonts w:ascii="ITC Avant Garde" w:hAnsi="ITC Avant Garde" w:cs="Arial"/>
          <w:color w:val="000000" w:themeColor="text1"/>
          <w:kern w:val="1"/>
          <w:sz w:val="22"/>
          <w:szCs w:val="22"/>
          <w:lang w:val="es-MX" w:eastAsia="ar-SA"/>
        </w:rPr>
      </w:pPr>
      <w:r>
        <w:rPr>
          <w:rFonts w:ascii="ITC Avant Garde" w:hAnsi="ITC Avant Garde" w:cs="Arial"/>
          <w:color w:val="000000" w:themeColor="text1"/>
          <w:kern w:val="1"/>
          <w:sz w:val="22"/>
          <w:szCs w:val="22"/>
          <w:lang w:val="es-MX" w:eastAsia="ar-SA"/>
        </w:rPr>
        <w:t>El 11 de mayo de 2018, se publicó en el DOF el “</w:t>
      </w:r>
      <w:r w:rsidRPr="00494B39">
        <w:rPr>
          <w:rFonts w:ascii="ITC Avant Garde" w:hAnsi="ITC Avant Garde" w:cs="Arial"/>
          <w:color w:val="000000" w:themeColor="text1"/>
          <w:kern w:val="1"/>
          <w:sz w:val="22"/>
          <w:szCs w:val="22"/>
          <w:lang w:eastAsia="ar-SA"/>
        </w:rPr>
        <w:t>A</w:t>
      </w:r>
      <w:r>
        <w:rPr>
          <w:rFonts w:ascii="ITC Avant Garde" w:hAnsi="ITC Avant Garde" w:cs="Arial"/>
          <w:color w:val="000000" w:themeColor="text1"/>
          <w:kern w:val="1"/>
          <w:sz w:val="22"/>
          <w:szCs w:val="22"/>
          <w:lang w:eastAsia="ar-SA"/>
        </w:rPr>
        <w:t>cuerdo</w:t>
      </w:r>
      <w:r w:rsidRPr="00494B39">
        <w:rPr>
          <w:rFonts w:ascii="ITC Avant Garde" w:hAnsi="ITC Avant Garde" w:cs="Arial"/>
          <w:color w:val="000000" w:themeColor="text1"/>
          <w:kern w:val="1"/>
          <w:sz w:val="22"/>
          <w:szCs w:val="22"/>
          <w:lang w:eastAsia="ar-SA"/>
        </w:rPr>
        <w:t xml:space="preserve"> mediante el cual el Pleno del Instituto Federal de Telecomunicaciones aprueba y emite "El Plan Técnico Fundamental de Numeración, el Plan Técnico Fundamental de Señalización y la modificación a las Reglas de Portabilidad Numérica, publicadas el 12 de noviembre de 2014</w:t>
      </w:r>
      <w:r>
        <w:rPr>
          <w:rFonts w:ascii="ITC Avant Garde" w:hAnsi="ITC Avant Garde" w:cs="Arial"/>
          <w:color w:val="000000" w:themeColor="text1"/>
          <w:kern w:val="1"/>
          <w:sz w:val="22"/>
          <w:szCs w:val="22"/>
          <w:lang w:eastAsia="ar-SA"/>
        </w:rPr>
        <w:t>.</w:t>
      </w:r>
      <w:r w:rsidRPr="00494B39">
        <w:rPr>
          <w:rFonts w:ascii="ITC Avant Garde" w:hAnsi="ITC Avant Garde" w:cs="Arial"/>
          <w:color w:val="000000" w:themeColor="text1"/>
          <w:kern w:val="1"/>
          <w:sz w:val="22"/>
          <w:szCs w:val="22"/>
          <w:lang w:eastAsia="ar-SA"/>
        </w:rPr>
        <w:t>"</w:t>
      </w:r>
    </w:p>
    <w:p w:rsidR="00494B39" w:rsidRDefault="00494B39" w:rsidP="00494B39">
      <w:pPr>
        <w:pStyle w:val="Prrafodelista"/>
        <w:rPr>
          <w:rFonts w:ascii="ITC Avant Garde" w:hAnsi="ITC Avant Garde" w:cs="Arial"/>
          <w:color w:val="000000" w:themeColor="text1"/>
          <w:kern w:val="1"/>
          <w:sz w:val="22"/>
          <w:szCs w:val="22"/>
          <w:lang w:val="es-MX" w:eastAsia="ar-SA"/>
        </w:rPr>
      </w:pPr>
    </w:p>
    <w:p w:rsidR="00494B39" w:rsidRPr="00494B39" w:rsidRDefault="00494B39" w:rsidP="00494B39">
      <w:pPr>
        <w:numPr>
          <w:ilvl w:val="0"/>
          <w:numId w:val="1"/>
        </w:numPr>
        <w:suppressAutoHyphens/>
        <w:jc w:val="both"/>
        <w:rPr>
          <w:rFonts w:ascii="ITC Avant Garde" w:hAnsi="ITC Avant Garde" w:cs="Arial"/>
          <w:color w:val="000000" w:themeColor="text1"/>
          <w:kern w:val="1"/>
          <w:sz w:val="22"/>
          <w:szCs w:val="22"/>
          <w:lang w:val="es-MX" w:eastAsia="ar-SA"/>
        </w:rPr>
      </w:pPr>
      <w:r>
        <w:rPr>
          <w:rFonts w:ascii="ITC Avant Garde" w:hAnsi="ITC Avant Garde" w:cs="Arial"/>
          <w:color w:val="000000" w:themeColor="text1"/>
          <w:kern w:val="1"/>
          <w:sz w:val="22"/>
          <w:szCs w:val="22"/>
          <w:lang w:val="es-MX" w:eastAsia="ar-SA"/>
        </w:rPr>
        <w:t xml:space="preserve">El 14 de diciembre de </w:t>
      </w:r>
      <w:r w:rsidR="009960A8">
        <w:rPr>
          <w:rFonts w:ascii="ITC Avant Garde" w:hAnsi="ITC Avant Garde" w:cs="Arial"/>
          <w:color w:val="000000" w:themeColor="text1"/>
          <w:kern w:val="1"/>
          <w:sz w:val="22"/>
          <w:szCs w:val="22"/>
          <w:lang w:val="es-MX" w:eastAsia="ar-SA"/>
        </w:rPr>
        <w:t xml:space="preserve">2018, se recibió en la oficialía de partes del Instituto escrito de la Asociación Nacional de Telecomunicaciones, A.C. (“ANATEL”), por el que </w:t>
      </w:r>
      <w:r w:rsidR="00FE23DD">
        <w:rPr>
          <w:rFonts w:ascii="ITC Avant Garde" w:hAnsi="ITC Avant Garde" w:cs="Arial"/>
          <w:color w:val="000000" w:themeColor="text1"/>
          <w:kern w:val="1"/>
          <w:sz w:val="22"/>
          <w:szCs w:val="22"/>
          <w:lang w:val="es-MX" w:eastAsia="ar-SA"/>
        </w:rPr>
        <w:t xml:space="preserve">solicita </w:t>
      </w:r>
      <w:r w:rsidR="009960A8">
        <w:rPr>
          <w:rFonts w:ascii="ITC Avant Garde" w:hAnsi="ITC Avant Garde" w:cs="Arial"/>
          <w:color w:val="000000" w:themeColor="text1"/>
          <w:kern w:val="1"/>
          <w:sz w:val="22"/>
          <w:szCs w:val="22"/>
          <w:lang w:val="es-MX" w:eastAsia="ar-SA"/>
        </w:rPr>
        <w:t>se analicen diversas propuestas de modificación a las Reglas de Portabilidad Numérica.</w:t>
      </w:r>
    </w:p>
    <w:p w:rsidR="00494B39" w:rsidRDefault="00494B39" w:rsidP="00494B39">
      <w:pPr>
        <w:pStyle w:val="Prrafodelista"/>
        <w:rPr>
          <w:rFonts w:ascii="ITC Avant Garde" w:hAnsi="ITC Avant Garde" w:cs="Arial"/>
          <w:color w:val="000000" w:themeColor="text1"/>
          <w:kern w:val="1"/>
          <w:sz w:val="22"/>
          <w:szCs w:val="22"/>
          <w:lang w:val="es-MX" w:eastAsia="ar-SA"/>
        </w:rPr>
      </w:pPr>
    </w:p>
    <w:p w:rsidR="00564B23" w:rsidRDefault="00564B23" w:rsidP="00494B39">
      <w:pPr>
        <w:pStyle w:val="Prrafodelista"/>
        <w:rPr>
          <w:rFonts w:ascii="ITC Avant Garde" w:hAnsi="ITC Avant Garde" w:cs="Arial"/>
          <w:color w:val="000000" w:themeColor="text1"/>
          <w:kern w:val="1"/>
          <w:sz w:val="22"/>
          <w:szCs w:val="22"/>
          <w:lang w:val="es-MX" w:eastAsia="ar-SA"/>
        </w:rPr>
      </w:pPr>
    </w:p>
    <w:p w:rsidR="009E26C2" w:rsidRPr="0013775E" w:rsidRDefault="009E26C2" w:rsidP="009E26C2">
      <w:pPr>
        <w:jc w:val="center"/>
        <w:rPr>
          <w:rFonts w:ascii="ITC Avant Garde" w:eastAsia="Times New Roman" w:hAnsi="ITC Avant Garde" w:cs="Arial"/>
          <w:b/>
          <w:kern w:val="2"/>
          <w:sz w:val="22"/>
          <w:szCs w:val="22"/>
          <w:lang w:eastAsia="ar-SA"/>
        </w:rPr>
      </w:pPr>
      <w:r w:rsidRPr="0013775E">
        <w:rPr>
          <w:rFonts w:ascii="ITC Avant Garde" w:eastAsia="Times New Roman" w:hAnsi="ITC Avant Garde" w:cs="Arial"/>
          <w:b/>
          <w:kern w:val="2"/>
          <w:sz w:val="22"/>
          <w:szCs w:val="22"/>
          <w:lang w:eastAsia="ar-SA"/>
        </w:rPr>
        <w:t>CONSIDERANDO</w:t>
      </w:r>
    </w:p>
    <w:p w:rsidR="009E26C2" w:rsidRPr="0013775E" w:rsidRDefault="009E26C2" w:rsidP="009E26C2">
      <w:pPr>
        <w:jc w:val="center"/>
        <w:rPr>
          <w:rFonts w:ascii="ITC Avant Garde" w:eastAsia="Times New Roman" w:hAnsi="ITC Avant Garde" w:cs="Arial"/>
          <w:b/>
          <w:kern w:val="2"/>
          <w:sz w:val="22"/>
          <w:szCs w:val="22"/>
          <w:lang w:eastAsia="ar-SA"/>
        </w:rPr>
      </w:pPr>
    </w:p>
    <w:p w:rsidR="009E26C2" w:rsidRPr="0013775E" w:rsidRDefault="009E26C2" w:rsidP="009E26C2">
      <w:pPr>
        <w:jc w:val="center"/>
        <w:rPr>
          <w:rFonts w:ascii="ITC Avant Garde" w:eastAsia="Times New Roman" w:hAnsi="ITC Avant Garde" w:cs="Arial"/>
          <w:b/>
          <w:kern w:val="2"/>
          <w:sz w:val="22"/>
          <w:szCs w:val="22"/>
          <w:lang w:eastAsia="ar-SA"/>
        </w:rPr>
      </w:pPr>
    </w:p>
    <w:p w:rsidR="009E26C2" w:rsidRPr="0013775E" w:rsidRDefault="009E26C2" w:rsidP="009E26C2">
      <w:pPr>
        <w:suppressAutoHyphens/>
        <w:ind w:right="-62"/>
        <w:jc w:val="both"/>
        <w:rPr>
          <w:rFonts w:ascii="ITC Avant Garde" w:eastAsia="Times New Roman" w:hAnsi="ITC Avant Garde" w:cs="Arial"/>
          <w:kern w:val="1"/>
          <w:sz w:val="22"/>
          <w:szCs w:val="22"/>
          <w:lang w:eastAsia="ar-SA"/>
        </w:rPr>
      </w:pPr>
      <w:proofErr w:type="gramStart"/>
      <w:r w:rsidRPr="0013775E">
        <w:rPr>
          <w:rFonts w:ascii="ITC Avant Garde" w:eastAsia="Times New Roman" w:hAnsi="ITC Avant Garde" w:cs="Arial"/>
          <w:b/>
          <w:kern w:val="2"/>
          <w:sz w:val="22"/>
          <w:szCs w:val="22"/>
          <w:lang w:eastAsia="ar-SA"/>
        </w:rPr>
        <w:t>PRIMERO.-</w:t>
      </w:r>
      <w:proofErr w:type="gramEnd"/>
      <w:r w:rsidRPr="0013775E">
        <w:rPr>
          <w:rFonts w:ascii="ITC Avant Garde" w:eastAsia="Times New Roman" w:hAnsi="ITC Avant Garde" w:cs="Arial"/>
          <w:b/>
          <w:kern w:val="2"/>
          <w:sz w:val="22"/>
          <w:szCs w:val="22"/>
          <w:lang w:eastAsia="ar-SA"/>
        </w:rPr>
        <w:t xml:space="preserve"> </w:t>
      </w:r>
      <w:r w:rsidR="009960A8">
        <w:rPr>
          <w:rFonts w:ascii="ITC Avant Garde" w:eastAsia="Times New Roman" w:hAnsi="ITC Avant Garde" w:cs="Arial"/>
          <w:b/>
          <w:kern w:val="2"/>
          <w:sz w:val="22"/>
          <w:szCs w:val="22"/>
          <w:lang w:eastAsia="ar-SA"/>
        </w:rPr>
        <w:t>C</w:t>
      </w:r>
      <w:r w:rsidRPr="0013775E">
        <w:rPr>
          <w:rFonts w:ascii="ITC Avant Garde" w:eastAsia="Times New Roman" w:hAnsi="ITC Avant Garde" w:cs="Arial"/>
          <w:b/>
          <w:kern w:val="2"/>
          <w:sz w:val="22"/>
          <w:szCs w:val="22"/>
          <w:lang w:eastAsia="ar-SA"/>
        </w:rPr>
        <w:t>omp</w:t>
      </w:r>
      <w:r w:rsidR="0084731D">
        <w:rPr>
          <w:rFonts w:ascii="ITC Avant Garde" w:eastAsia="Times New Roman" w:hAnsi="ITC Avant Garde" w:cs="Arial"/>
          <w:b/>
          <w:kern w:val="2"/>
          <w:sz w:val="22"/>
          <w:szCs w:val="22"/>
          <w:lang w:eastAsia="ar-SA"/>
        </w:rPr>
        <w:t xml:space="preserve">etencia </w:t>
      </w:r>
      <w:r w:rsidRPr="0013775E">
        <w:rPr>
          <w:rFonts w:ascii="ITC Avant Garde" w:eastAsia="Times New Roman" w:hAnsi="ITC Avant Garde" w:cs="Arial"/>
          <w:b/>
          <w:kern w:val="2"/>
          <w:sz w:val="22"/>
          <w:szCs w:val="22"/>
          <w:lang w:eastAsia="ar-SA"/>
        </w:rPr>
        <w:t>del Instituto.</w:t>
      </w:r>
      <w:r w:rsidRPr="0013775E">
        <w:rPr>
          <w:rFonts w:ascii="ITC Avant Garde" w:hAnsi="ITC Avant Garde" w:cs="Arial"/>
          <w:b/>
          <w:kern w:val="2"/>
          <w:sz w:val="22"/>
          <w:szCs w:val="22"/>
          <w:lang w:eastAsia="ar-SA"/>
        </w:rPr>
        <w:t xml:space="preserve"> </w:t>
      </w:r>
      <w:r w:rsidRPr="0013775E">
        <w:rPr>
          <w:rFonts w:ascii="ITC Avant Garde" w:eastAsia="Times New Roman" w:hAnsi="ITC Avant Garde" w:cs="Arial"/>
          <w:kern w:val="1"/>
          <w:sz w:val="22"/>
          <w:szCs w:val="22"/>
          <w:lang w:eastAsia="ar-SA"/>
        </w:rPr>
        <w:t>De conformidad con lo establecido por el artículo 28 párrafo décimo quinto de la Constitución Política de los Estados Unidos Mexicanos (“Constitución”), el Instituto tiene por objeto el desarrollo eficiente de la radiodifusión y las telecomunicaciones, conforme a lo dispuesto en la propia Constitución y en los términos que fijen las leyes.</w:t>
      </w:r>
    </w:p>
    <w:p w:rsidR="009E26C2" w:rsidRPr="0013775E" w:rsidRDefault="009E26C2" w:rsidP="009E26C2">
      <w:pPr>
        <w:suppressAutoHyphens/>
        <w:ind w:right="-62"/>
        <w:jc w:val="both"/>
        <w:rPr>
          <w:rFonts w:ascii="ITC Avant Garde" w:eastAsia="Times New Roman" w:hAnsi="ITC Avant Garde" w:cs="Arial"/>
          <w:kern w:val="1"/>
          <w:sz w:val="22"/>
          <w:szCs w:val="22"/>
          <w:lang w:eastAsia="ar-SA"/>
        </w:rPr>
      </w:pPr>
    </w:p>
    <w:p w:rsidR="009E26C2" w:rsidRPr="0013775E" w:rsidRDefault="009E26C2" w:rsidP="009E26C2">
      <w:pPr>
        <w:suppressAutoHyphens/>
        <w:ind w:right="-62"/>
        <w:jc w:val="both"/>
        <w:rPr>
          <w:rFonts w:ascii="ITC Avant Garde" w:eastAsia="Times New Roman" w:hAnsi="ITC Avant Garde" w:cs="Arial"/>
          <w:kern w:val="1"/>
          <w:sz w:val="22"/>
          <w:szCs w:val="22"/>
          <w:lang w:eastAsia="ar-SA"/>
        </w:rPr>
      </w:pPr>
      <w:r w:rsidRPr="0013775E">
        <w:rPr>
          <w:rFonts w:ascii="ITC Avant Garde" w:eastAsia="Times New Roman" w:hAnsi="ITC Avant Garde" w:cs="Arial"/>
          <w:kern w:val="1"/>
          <w:sz w:val="22"/>
          <w:szCs w:val="22"/>
          <w:lang w:eastAsia="ar-SA"/>
        </w:rPr>
        <w:t>Para tal efecto, en términos del precepto constitucional invocado, así como de los artículos 1 y 7 de la Ley Federal de Telecomunicaciones y Radiodifusión (“Ley”), el Instituto tiene a su cargo la regulación, promoción y supervisión del uso, aprovechamiento y explotación del espectro radioeléctrico, los recursos orbitales, los servicios satelitales, las redes públicas de telecomunicaciones y la prestación de los servicios de radiodifusión y de telecomunicaciones, así como del acceso a la infraestructura activa y pasiva y otros insumos esenciales, garantizando lo establecido por los artículos 6° y 7° de la Constitución.</w:t>
      </w:r>
    </w:p>
    <w:p w:rsidR="009E26C2" w:rsidRPr="0013775E" w:rsidRDefault="009E26C2" w:rsidP="009E26C2">
      <w:pPr>
        <w:jc w:val="both"/>
        <w:rPr>
          <w:rFonts w:ascii="ITC Avant Garde" w:hAnsi="ITC Avant Garde" w:cs="Arial"/>
          <w:sz w:val="22"/>
          <w:szCs w:val="22"/>
        </w:rPr>
      </w:pPr>
    </w:p>
    <w:p w:rsidR="009E26C2" w:rsidRPr="0013775E" w:rsidRDefault="009E26C2" w:rsidP="009E26C2">
      <w:pPr>
        <w:suppressAutoHyphens/>
        <w:ind w:right="-62"/>
        <w:jc w:val="both"/>
        <w:rPr>
          <w:rFonts w:ascii="ITC Avant Garde" w:eastAsia="Times New Roman" w:hAnsi="ITC Avant Garde" w:cs="Arial"/>
          <w:kern w:val="1"/>
          <w:sz w:val="22"/>
          <w:szCs w:val="22"/>
          <w:lang w:eastAsia="ar-SA"/>
        </w:rPr>
      </w:pPr>
      <w:r w:rsidRPr="0013775E">
        <w:rPr>
          <w:rFonts w:ascii="ITC Avant Garde" w:eastAsia="Times New Roman" w:hAnsi="ITC Avant Garde" w:cs="Arial"/>
          <w:kern w:val="1"/>
          <w:sz w:val="22"/>
          <w:szCs w:val="22"/>
          <w:lang w:eastAsia="ar-SA"/>
        </w:rPr>
        <w:t>Asimismo, el Instituto es la autoridad en materia de competencia económica de los sectores de radiodifusión y telecomunicaciones, por lo que en éstos ejercerá en forma exclusiva las facultades establecidas por el artículo 28 de la Constitución, la Ley y la Ley Federal de Competencia Económica.</w:t>
      </w:r>
    </w:p>
    <w:p w:rsidR="009E26C2" w:rsidRPr="0013775E" w:rsidRDefault="009E26C2" w:rsidP="009E26C2">
      <w:pPr>
        <w:jc w:val="both"/>
        <w:rPr>
          <w:rFonts w:ascii="ITC Avant Garde" w:hAnsi="ITC Avant Garde" w:cs="Arial"/>
          <w:sz w:val="22"/>
          <w:szCs w:val="22"/>
        </w:rPr>
      </w:pPr>
    </w:p>
    <w:p w:rsidR="009E26C2" w:rsidRDefault="009E26C2" w:rsidP="009E26C2">
      <w:pPr>
        <w:suppressAutoHyphens/>
        <w:ind w:right="-62"/>
        <w:jc w:val="both"/>
        <w:rPr>
          <w:rFonts w:ascii="ITC Avant Garde" w:eastAsia="Times New Roman" w:hAnsi="ITC Avant Garde" w:cs="Arial"/>
          <w:kern w:val="1"/>
          <w:sz w:val="22"/>
          <w:szCs w:val="22"/>
          <w:lang w:eastAsia="ar-SA"/>
        </w:rPr>
      </w:pPr>
      <w:r w:rsidRPr="0013775E">
        <w:rPr>
          <w:rFonts w:ascii="ITC Avant Garde" w:eastAsia="Times New Roman" w:hAnsi="ITC Avant Garde" w:cs="Arial"/>
          <w:kern w:val="1"/>
          <w:sz w:val="22"/>
          <w:szCs w:val="22"/>
          <w:lang w:eastAsia="ar-SA"/>
        </w:rPr>
        <w:t xml:space="preserve">De igual forma, la fracción IV del párrafo vigésimo del artículo 28 de la Constitución, señala que el Instituto podrá emitir disposiciones administrativas de carácter general exclusivamente para el cumplimiento de su función regulatoria en el sector de su competencia. En ese sentido, el Pleno del Instituto, conforme a lo establecido por </w:t>
      </w:r>
      <w:r w:rsidRPr="0084731D">
        <w:rPr>
          <w:rFonts w:ascii="ITC Avant Garde" w:eastAsia="Times New Roman" w:hAnsi="ITC Avant Garde" w:cs="Arial"/>
          <w:kern w:val="1"/>
          <w:sz w:val="22"/>
          <w:szCs w:val="22"/>
          <w:lang w:eastAsia="ar-SA"/>
        </w:rPr>
        <w:t>los artículos 15 fracciones I y LVI, 16 y 17 fracción I de la Ley y 6 fracción XXV de</w:t>
      </w:r>
      <w:r w:rsidRPr="0013775E">
        <w:rPr>
          <w:rFonts w:ascii="ITC Avant Garde" w:eastAsia="Times New Roman" w:hAnsi="ITC Avant Garde" w:cs="Arial"/>
          <w:kern w:val="1"/>
          <w:sz w:val="22"/>
          <w:szCs w:val="22"/>
          <w:lang w:eastAsia="ar-SA"/>
        </w:rPr>
        <w:t xml:space="preserve"> su Estatuto Orgánico, podrá ordenar la publicación en el DOF, de los acuerdos y resoluciones de carácter general que emita y de aquellos en los que así lo determine.</w:t>
      </w:r>
    </w:p>
    <w:p w:rsidR="00CA4101" w:rsidRDefault="00CA4101" w:rsidP="009E26C2">
      <w:pPr>
        <w:suppressAutoHyphens/>
        <w:ind w:right="-62"/>
        <w:jc w:val="both"/>
        <w:rPr>
          <w:rFonts w:ascii="ITC Avant Garde" w:eastAsia="Times New Roman" w:hAnsi="ITC Avant Garde" w:cs="Arial"/>
          <w:kern w:val="1"/>
          <w:sz w:val="22"/>
          <w:szCs w:val="22"/>
          <w:lang w:eastAsia="ar-SA"/>
        </w:rPr>
      </w:pPr>
    </w:p>
    <w:p w:rsidR="009E26C2" w:rsidRPr="0013775E" w:rsidRDefault="009E26C2" w:rsidP="009E26C2">
      <w:pPr>
        <w:contextualSpacing/>
        <w:jc w:val="both"/>
        <w:rPr>
          <w:rFonts w:ascii="ITC Avant Garde" w:hAnsi="ITC Avant Garde" w:cs="Arial"/>
          <w:bCs/>
          <w:sz w:val="22"/>
          <w:szCs w:val="22"/>
        </w:rPr>
      </w:pPr>
    </w:p>
    <w:p w:rsidR="00CA4101" w:rsidRDefault="009E26C2" w:rsidP="009E26C2">
      <w:pPr>
        <w:jc w:val="both"/>
        <w:rPr>
          <w:rFonts w:ascii="ITC Avant Garde" w:eastAsia="Times New Roman" w:hAnsi="ITC Avant Garde" w:cs="Arial"/>
          <w:kern w:val="2"/>
          <w:sz w:val="22"/>
          <w:szCs w:val="22"/>
          <w:lang w:eastAsia="ar-SA"/>
        </w:rPr>
      </w:pPr>
      <w:proofErr w:type="gramStart"/>
      <w:r w:rsidRPr="0013775E">
        <w:rPr>
          <w:rFonts w:ascii="ITC Avant Garde" w:eastAsia="Times New Roman" w:hAnsi="ITC Avant Garde" w:cs="Arial"/>
          <w:b/>
          <w:kern w:val="2"/>
          <w:sz w:val="22"/>
          <w:szCs w:val="22"/>
          <w:lang w:eastAsia="ar-SA"/>
        </w:rPr>
        <w:t>SEGUNDO.-</w:t>
      </w:r>
      <w:proofErr w:type="gramEnd"/>
      <w:r w:rsidRPr="0013775E">
        <w:rPr>
          <w:rFonts w:ascii="ITC Avant Garde" w:eastAsia="Times New Roman" w:hAnsi="ITC Avant Garde" w:cs="Arial"/>
          <w:b/>
          <w:kern w:val="2"/>
          <w:sz w:val="22"/>
          <w:szCs w:val="22"/>
          <w:lang w:eastAsia="ar-SA"/>
        </w:rPr>
        <w:t xml:space="preserve"> Modificación de las Reglas de Portabilidad Numérica. </w:t>
      </w:r>
      <w:r w:rsidRPr="0013775E">
        <w:rPr>
          <w:rFonts w:ascii="ITC Avant Garde" w:eastAsia="Times New Roman" w:hAnsi="ITC Avant Garde" w:cs="Arial"/>
          <w:kern w:val="2"/>
          <w:sz w:val="22"/>
          <w:szCs w:val="22"/>
          <w:lang w:eastAsia="ar-SA"/>
        </w:rPr>
        <w:t xml:space="preserve">El Instituto </w:t>
      </w:r>
      <w:r w:rsidR="00CA4101">
        <w:rPr>
          <w:rFonts w:ascii="ITC Avant Garde" w:eastAsia="Times New Roman" w:hAnsi="ITC Avant Garde" w:cs="Arial"/>
          <w:kern w:val="2"/>
          <w:sz w:val="22"/>
          <w:szCs w:val="22"/>
          <w:lang w:eastAsia="ar-SA"/>
        </w:rPr>
        <w:t xml:space="preserve">realiza constantemente un </w:t>
      </w:r>
      <w:r w:rsidRPr="0013775E">
        <w:rPr>
          <w:rFonts w:ascii="ITC Avant Garde" w:eastAsia="Times New Roman" w:hAnsi="ITC Avant Garde" w:cs="Arial"/>
          <w:kern w:val="2"/>
          <w:sz w:val="22"/>
          <w:szCs w:val="22"/>
          <w:lang w:eastAsia="ar-SA"/>
        </w:rPr>
        <w:t>seguimiento puntual del proceso de portabilidad numérica a partir del análisis de las estadísticas y tendencias diarias de las portaciones efectivas que se han realizado a la fecha y de la continua observancia a la implementación técnica y operativa de los sistemas y procesos que rigen la interacción entre los Proveedores de Servicios de Telecomunicaciones y el Administrador de la Base de datos de Portabilidad para efecto de la debida atención de las solicitudes de portabilidad que se generen. Este seguimiento se ha apoyado también en las labores del Comité Técnico en Materias de Portabilidad, Numeración y Señalización y del Grupo de Trabajo para la implementación técnica y operativa de la portabilidad</w:t>
      </w:r>
      <w:r w:rsidR="00CA4101">
        <w:rPr>
          <w:rFonts w:ascii="ITC Avant Garde" w:eastAsia="Times New Roman" w:hAnsi="ITC Avant Garde" w:cs="Arial"/>
          <w:kern w:val="2"/>
          <w:sz w:val="22"/>
          <w:szCs w:val="22"/>
          <w:lang w:eastAsia="ar-SA"/>
        </w:rPr>
        <w:t>.</w:t>
      </w:r>
    </w:p>
    <w:p w:rsidR="00CA4101" w:rsidRDefault="00CA4101" w:rsidP="009E26C2">
      <w:pPr>
        <w:jc w:val="both"/>
        <w:rPr>
          <w:rFonts w:ascii="ITC Avant Garde" w:eastAsia="Times New Roman" w:hAnsi="ITC Avant Garde" w:cs="Arial"/>
          <w:kern w:val="2"/>
          <w:sz w:val="22"/>
          <w:szCs w:val="22"/>
          <w:lang w:eastAsia="ar-SA"/>
        </w:rPr>
      </w:pPr>
    </w:p>
    <w:p w:rsidR="002B2EF7" w:rsidRDefault="00304DDB" w:rsidP="00304DDB">
      <w:pPr>
        <w:jc w:val="both"/>
        <w:rPr>
          <w:rFonts w:ascii="ITC Avant Garde" w:eastAsia="Times New Roman" w:hAnsi="ITC Avant Garde" w:cs="Arial"/>
          <w:kern w:val="2"/>
          <w:sz w:val="22"/>
          <w:szCs w:val="22"/>
          <w:lang w:eastAsia="ar-SA"/>
        </w:rPr>
      </w:pPr>
      <w:r>
        <w:rPr>
          <w:rFonts w:ascii="ITC Avant Garde" w:eastAsia="Times New Roman" w:hAnsi="ITC Avant Garde" w:cs="Arial"/>
          <w:kern w:val="2"/>
          <w:sz w:val="22"/>
          <w:szCs w:val="22"/>
          <w:lang w:eastAsia="ar-SA"/>
        </w:rPr>
        <w:t xml:space="preserve">Así, </w:t>
      </w:r>
      <w:r w:rsidR="001C517F">
        <w:rPr>
          <w:rFonts w:ascii="ITC Avant Garde" w:eastAsia="Times New Roman" w:hAnsi="ITC Avant Garde" w:cs="Arial"/>
          <w:kern w:val="2"/>
          <w:sz w:val="22"/>
          <w:szCs w:val="22"/>
          <w:lang w:eastAsia="ar-SA"/>
        </w:rPr>
        <w:t xml:space="preserve">por un lado, </w:t>
      </w:r>
      <w:r w:rsidR="001C517F" w:rsidRPr="001C517F">
        <w:rPr>
          <w:rFonts w:ascii="ITC Avant Garde" w:eastAsia="Times New Roman" w:hAnsi="ITC Avant Garde" w:cs="Arial"/>
          <w:kern w:val="2"/>
          <w:sz w:val="22"/>
          <w:szCs w:val="22"/>
          <w:lang w:val="es-419" w:eastAsia="ar-SA"/>
        </w:rPr>
        <w:t xml:space="preserve">el Instituto </w:t>
      </w:r>
      <w:r w:rsidR="0016789E">
        <w:rPr>
          <w:rFonts w:ascii="ITC Avant Garde" w:eastAsia="Times New Roman" w:hAnsi="ITC Avant Garde" w:cs="Arial"/>
          <w:kern w:val="2"/>
          <w:sz w:val="22"/>
          <w:szCs w:val="22"/>
          <w:lang w:val="es-419" w:eastAsia="ar-SA"/>
        </w:rPr>
        <w:t>ha identificado</w:t>
      </w:r>
      <w:r w:rsidR="001C517F" w:rsidRPr="001C517F">
        <w:rPr>
          <w:rFonts w:ascii="ITC Avant Garde" w:eastAsia="Times New Roman" w:hAnsi="ITC Avant Garde" w:cs="Arial"/>
          <w:kern w:val="2"/>
          <w:sz w:val="22"/>
          <w:szCs w:val="22"/>
          <w:lang w:val="es-419" w:eastAsia="ar-SA"/>
        </w:rPr>
        <w:t xml:space="preserve"> mejoras al proceso de portabilidad </w:t>
      </w:r>
      <w:r w:rsidR="000B326E">
        <w:rPr>
          <w:rFonts w:ascii="ITC Avant Garde" w:eastAsia="Times New Roman" w:hAnsi="ITC Avant Garde" w:cs="Arial"/>
          <w:kern w:val="2"/>
          <w:sz w:val="22"/>
          <w:szCs w:val="22"/>
          <w:lang w:val="es-419" w:eastAsia="ar-SA"/>
        </w:rPr>
        <w:t xml:space="preserve">a efectos de reducir las portaciones sin consentimiento de </w:t>
      </w:r>
      <w:r w:rsidR="001C517F" w:rsidRPr="001C517F">
        <w:rPr>
          <w:rFonts w:ascii="ITC Avant Garde" w:eastAsia="Times New Roman" w:hAnsi="ITC Avant Garde" w:cs="Arial"/>
          <w:kern w:val="2"/>
          <w:sz w:val="22"/>
          <w:szCs w:val="22"/>
          <w:lang w:val="es-419" w:eastAsia="ar-SA"/>
        </w:rPr>
        <w:t>los usuarios</w:t>
      </w:r>
      <w:r w:rsidR="001C517F">
        <w:rPr>
          <w:rFonts w:ascii="ITC Avant Garde" w:eastAsia="Times New Roman" w:hAnsi="ITC Avant Garde" w:cs="Arial"/>
          <w:kern w:val="2"/>
          <w:sz w:val="22"/>
          <w:szCs w:val="22"/>
          <w:lang w:val="es-419" w:eastAsia="ar-SA"/>
        </w:rPr>
        <w:t xml:space="preserve"> y por otro, </w:t>
      </w:r>
      <w:r>
        <w:rPr>
          <w:rFonts w:ascii="ITC Avant Garde" w:eastAsia="Times New Roman" w:hAnsi="ITC Avant Garde" w:cs="Arial"/>
          <w:kern w:val="2"/>
          <w:sz w:val="22"/>
          <w:szCs w:val="22"/>
          <w:lang w:eastAsia="ar-SA"/>
        </w:rPr>
        <w:t>ANATEL</w:t>
      </w:r>
      <w:r w:rsidR="00CA4101">
        <w:rPr>
          <w:rFonts w:ascii="ITC Avant Garde" w:eastAsia="Times New Roman" w:hAnsi="ITC Avant Garde" w:cs="Arial"/>
          <w:kern w:val="2"/>
          <w:sz w:val="22"/>
          <w:szCs w:val="22"/>
          <w:lang w:eastAsia="ar-SA"/>
        </w:rPr>
        <w:t xml:space="preserve"> </w:t>
      </w:r>
      <w:r w:rsidR="002B2EF7">
        <w:rPr>
          <w:rFonts w:ascii="ITC Avant Garde" w:eastAsia="Times New Roman" w:hAnsi="ITC Avant Garde" w:cs="Arial"/>
          <w:kern w:val="2"/>
          <w:sz w:val="22"/>
          <w:szCs w:val="22"/>
          <w:lang w:eastAsia="ar-SA"/>
        </w:rPr>
        <w:t xml:space="preserve">propone de manera general </w:t>
      </w:r>
      <w:r w:rsidR="001C517F">
        <w:rPr>
          <w:rFonts w:ascii="ITC Avant Garde" w:eastAsia="Times New Roman" w:hAnsi="ITC Avant Garde" w:cs="Arial"/>
          <w:kern w:val="2"/>
          <w:sz w:val="22"/>
          <w:szCs w:val="22"/>
          <w:lang w:eastAsia="ar-SA"/>
        </w:rPr>
        <w:t>diversas modificaciones, consistentes en</w:t>
      </w:r>
      <w:r w:rsidR="002B2EF7">
        <w:rPr>
          <w:rFonts w:ascii="ITC Avant Garde" w:eastAsia="Times New Roman" w:hAnsi="ITC Avant Garde" w:cs="Arial"/>
          <w:kern w:val="2"/>
          <w:sz w:val="22"/>
          <w:szCs w:val="22"/>
          <w:lang w:eastAsia="ar-SA"/>
        </w:rPr>
        <w:t>:</w:t>
      </w:r>
    </w:p>
    <w:p w:rsidR="002B2EF7" w:rsidRDefault="002B2EF7" w:rsidP="00304DDB">
      <w:pPr>
        <w:jc w:val="both"/>
        <w:rPr>
          <w:rFonts w:ascii="ITC Avant Garde" w:eastAsia="Times New Roman" w:hAnsi="ITC Avant Garde" w:cs="Arial"/>
          <w:kern w:val="2"/>
          <w:sz w:val="22"/>
          <w:szCs w:val="22"/>
          <w:lang w:eastAsia="ar-SA"/>
        </w:rPr>
      </w:pPr>
    </w:p>
    <w:p w:rsidR="009E26C2" w:rsidRPr="0013775E" w:rsidRDefault="009E26C2" w:rsidP="009E26C2">
      <w:pPr>
        <w:pStyle w:val="Prrafodelista"/>
        <w:numPr>
          <w:ilvl w:val="0"/>
          <w:numId w:val="2"/>
        </w:numPr>
        <w:ind w:left="426" w:hanging="284"/>
        <w:jc w:val="both"/>
        <w:rPr>
          <w:rFonts w:ascii="ITC Avant Garde" w:eastAsia="Times New Roman" w:hAnsi="ITC Avant Garde" w:cs="Arial"/>
          <w:kern w:val="2"/>
          <w:sz w:val="22"/>
          <w:szCs w:val="22"/>
          <w:lang w:eastAsia="ar-SA"/>
        </w:rPr>
      </w:pPr>
      <w:r w:rsidRPr="0013775E">
        <w:rPr>
          <w:rFonts w:ascii="ITC Avant Garde" w:eastAsia="Times New Roman" w:hAnsi="ITC Avant Garde" w:cs="Arial"/>
          <w:kern w:val="2"/>
          <w:sz w:val="22"/>
          <w:szCs w:val="22"/>
          <w:lang w:eastAsia="ar-SA"/>
        </w:rPr>
        <w:t>Que a fin de reforzar el mecanismo de g</w:t>
      </w:r>
      <w:r w:rsidR="000B326E">
        <w:rPr>
          <w:rFonts w:ascii="ITC Avant Garde" w:eastAsia="Times New Roman" w:hAnsi="ITC Avant Garde" w:cs="Arial"/>
          <w:kern w:val="2"/>
          <w:sz w:val="22"/>
          <w:szCs w:val="22"/>
          <w:lang w:eastAsia="ar-SA"/>
        </w:rPr>
        <w:t>eneración y entrega del NIP de c</w:t>
      </w:r>
      <w:r w:rsidRPr="0013775E">
        <w:rPr>
          <w:rFonts w:ascii="ITC Avant Garde" w:eastAsia="Times New Roman" w:hAnsi="ITC Avant Garde" w:cs="Arial"/>
          <w:kern w:val="2"/>
          <w:sz w:val="22"/>
          <w:szCs w:val="22"/>
          <w:lang w:eastAsia="ar-SA"/>
        </w:rPr>
        <w:t>onfirmación cuando el proveedor receptor solicite la generación del m</w:t>
      </w:r>
      <w:r w:rsidR="000B326E">
        <w:rPr>
          <w:rFonts w:ascii="ITC Avant Garde" w:eastAsia="Times New Roman" w:hAnsi="ITC Avant Garde" w:cs="Arial"/>
          <w:kern w:val="2"/>
          <w:sz w:val="22"/>
          <w:szCs w:val="22"/>
          <w:lang w:eastAsia="ar-SA"/>
        </w:rPr>
        <w:t>ismo a través del sistema del ABD</w:t>
      </w:r>
      <w:r w:rsidRPr="0013775E">
        <w:rPr>
          <w:rFonts w:ascii="ITC Avant Garde" w:eastAsia="Times New Roman" w:hAnsi="ITC Avant Garde" w:cs="Arial"/>
          <w:kern w:val="2"/>
          <w:sz w:val="22"/>
          <w:szCs w:val="22"/>
          <w:lang w:eastAsia="ar-SA"/>
        </w:rPr>
        <w:t xml:space="preserve">, el usuario la confirme vía SMS en un plazo máximo de 24 horas. </w:t>
      </w:r>
    </w:p>
    <w:p w:rsidR="009E26C2" w:rsidRDefault="009E26C2" w:rsidP="00B33658">
      <w:pPr>
        <w:pStyle w:val="Prrafodelista"/>
        <w:numPr>
          <w:ilvl w:val="0"/>
          <w:numId w:val="2"/>
        </w:numPr>
        <w:ind w:left="426" w:hanging="284"/>
        <w:jc w:val="both"/>
        <w:rPr>
          <w:rFonts w:ascii="ITC Avant Garde" w:eastAsia="Times New Roman" w:hAnsi="ITC Avant Garde" w:cs="Arial"/>
          <w:kern w:val="2"/>
          <w:sz w:val="22"/>
          <w:szCs w:val="22"/>
          <w:lang w:eastAsia="ar-SA"/>
        </w:rPr>
      </w:pPr>
      <w:r w:rsidRPr="0013775E">
        <w:rPr>
          <w:rFonts w:ascii="ITC Avant Garde" w:eastAsia="Times New Roman" w:hAnsi="ITC Avant Garde" w:cs="Arial"/>
          <w:kern w:val="2"/>
          <w:sz w:val="22"/>
          <w:szCs w:val="22"/>
          <w:lang w:eastAsia="ar-SA"/>
        </w:rPr>
        <w:t xml:space="preserve">Que a fin </w:t>
      </w:r>
      <w:r w:rsidR="003D06C5">
        <w:rPr>
          <w:rFonts w:ascii="ITC Avant Garde" w:eastAsia="Times New Roman" w:hAnsi="ITC Avant Garde" w:cs="Arial"/>
          <w:kern w:val="2"/>
          <w:sz w:val="22"/>
          <w:szCs w:val="22"/>
          <w:lang w:eastAsia="ar-SA"/>
        </w:rPr>
        <w:t>dar claridad al men</w:t>
      </w:r>
      <w:r w:rsidR="000D6508">
        <w:rPr>
          <w:rFonts w:ascii="ITC Avant Garde" w:eastAsia="Times New Roman" w:hAnsi="ITC Avant Garde" w:cs="Arial"/>
          <w:kern w:val="2"/>
          <w:sz w:val="22"/>
          <w:szCs w:val="22"/>
          <w:lang w:eastAsia="ar-SA"/>
        </w:rPr>
        <w:t>s</w:t>
      </w:r>
      <w:r w:rsidR="00C9121C">
        <w:rPr>
          <w:rFonts w:ascii="ITC Avant Garde" w:eastAsia="Times New Roman" w:hAnsi="ITC Avant Garde" w:cs="Arial"/>
          <w:kern w:val="2"/>
          <w:sz w:val="22"/>
          <w:szCs w:val="22"/>
          <w:lang w:eastAsia="ar-SA"/>
        </w:rPr>
        <w:t>aje que reciba el u</w:t>
      </w:r>
      <w:r w:rsidR="003D06C5">
        <w:rPr>
          <w:rFonts w:ascii="ITC Avant Garde" w:eastAsia="Times New Roman" w:hAnsi="ITC Avant Garde" w:cs="Arial"/>
          <w:kern w:val="2"/>
          <w:sz w:val="22"/>
          <w:szCs w:val="22"/>
          <w:lang w:eastAsia="ar-SA"/>
        </w:rPr>
        <w:t xml:space="preserve">suario en relación con el NIP de confirmación y </w:t>
      </w:r>
      <w:r w:rsidRPr="0013775E">
        <w:rPr>
          <w:rFonts w:ascii="ITC Avant Garde" w:eastAsia="Times New Roman" w:hAnsi="ITC Avant Garde" w:cs="Arial"/>
          <w:kern w:val="2"/>
          <w:sz w:val="22"/>
          <w:szCs w:val="22"/>
          <w:lang w:eastAsia="ar-SA"/>
        </w:rPr>
        <w:t>de</w:t>
      </w:r>
      <w:r w:rsidR="003D06C5">
        <w:rPr>
          <w:rFonts w:ascii="ITC Avant Garde" w:eastAsia="Times New Roman" w:hAnsi="ITC Avant Garde" w:cs="Arial"/>
          <w:kern w:val="2"/>
          <w:sz w:val="22"/>
          <w:szCs w:val="22"/>
          <w:lang w:eastAsia="ar-SA"/>
        </w:rPr>
        <w:t xml:space="preserve"> resaltar su importancia, </w:t>
      </w:r>
      <w:r w:rsidR="00C9121C">
        <w:rPr>
          <w:rFonts w:ascii="ITC Avant Garde" w:eastAsia="Times New Roman" w:hAnsi="ITC Avant Garde" w:cs="Arial"/>
          <w:kern w:val="2"/>
          <w:sz w:val="22"/>
          <w:szCs w:val="22"/>
          <w:lang w:eastAsia="ar-SA"/>
        </w:rPr>
        <w:t>se modifiquen</w:t>
      </w:r>
      <w:r w:rsidRPr="0013775E">
        <w:rPr>
          <w:rFonts w:ascii="ITC Avant Garde" w:eastAsia="Times New Roman" w:hAnsi="ITC Avant Garde" w:cs="Arial"/>
          <w:kern w:val="2"/>
          <w:sz w:val="22"/>
          <w:szCs w:val="22"/>
          <w:lang w:eastAsia="ar-SA"/>
        </w:rPr>
        <w:t xml:space="preserve"> </w:t>
      </w:r>
      <w:r w:rsidR="00C9121C">
        <w:rPr>
          <w:rFonts w:ascii="ITC Avant Garde" w:eastAsia="Times New Roman" w:hAnsi="ITC Avant Garde" w:cs="Arial"/>
          <w:kern w:val="2"/>
          <w:sz w:val="22"/>
          <w:szCs w:val="22"/>
          <w:lang w:eastAsia="ar-SA"/>
        </w:rPr>
        <w:t>y adicionen</w:t>
      </w:r>
      <w:r w:rsidR="003D06C5">
        <w:rPr>
          <w:rFonts w:ascii="ITC Avant Garde" w:eastAsia="Times New Roman" w:hAnsi="ITC Avant Garde" w:cs="Arial"/>
          <w:kern w:val="2"/>
          <w:sz w:val="22"/>
          <w:szCs w:val="22"/>
          <w:lang w:eastAsia="ar-SA"/>
        </w:rPr>
        <w:t xml:space="preserve"> </w:t>
      </w:r>
      <w:r w:rsidRPr="0013775E">
        <w:rPr>
          <w:rFonts w:ascii="ITC Avant Garde" w:eastAsia="Times New Roman" w:hAnsi="ITC Avant Garde" w:cs="Arial"/>
          <w:kern w:val="2"/>
          <w:sz w:val="22"/>
          <w:szCs w:val="22"/>
          <w:lang w:eastAsia="ar-SA"/>
        </w:rPr>
        <w:t xml:space="preserve">textos de las leyendas de los mensajes a ser mostrados al </w:t>
      </w:r>
      <w:r w:rsidR="00C9121C">
        <w:rPr>
          <w:rFonts w:ascii="ITC Avant Garde" w:eastAsia="Times New Roman" w:hAnsi="ITC Avant Garde" w:cs="Arial"/>
          <w:kern w:val="2"/>
          <w:sz w:val="22"/>
          <w:szCs w:val="22"/>
          <w:lang w:eastAsia="ar-SA"/>
        </w:rPr>
        <w:t>u</w:t>
      </w:r>
      <w:r w:rsidRPr="0013775E">
        <w:rPr>
          <w:rFonts w:ascii="ITC Avant Garde" w:eastAsia="Times New Roman" w:hAnsi="ITC Avant Garde" w:cs="Arial"/>
          <w:kern w:val="2"/>
          <w:sz w:val="22"/>
          <w:szCs w:val="22"/>
          <w:lang w:eastAsia="ar-SA"/>
        </w:rPr>
        <w:t>suario.</w:t>
      </w:r>
    </w:p>
    <w:p w:rsidR="009E26C2" w:rsidRPr="0013775E" w:rsidRDefault="009E26C2" w:rsidP="009E26C2">
      <w:pPr>
        <w:pStyle w:val="Prrafodelista"/>
        <w:numPr>
          <w:ilvl w:val="0"/>
          <w:numId w:val="2"/>
        </w:numPr>
        <w:ind w:left="426" w:hanging="284"/>
        <w:jc w:val="both"/>
        <w:rPr>
          <w:rFonts w:ascii="ITC Avant Garde" w:eastAsia="Times New Roman" w:hAnsi="ITC Avant Garde" w:cs="Arial"/>
          <w:kern w:val="2"/>
          <w:sz w:val="22"/>
          <w:szCs w:val="22"/>
          <w:lang w:eastAsia="ar-SA"/>
        </w:rPr>
      </w:pPr>
      <w:r w:rsidRPr="0013775E">
        <w:rPr>
          <w:rFonts w:ascii="ITC Avant Garde" w:eastAsia="Times New Roman" w:hAnsi="ITC Avant Garde" w:cs="Arial"/>
          <w:kern w:val="2"/>
          <w:sz w:val="22"/>
          <w:szCs w:val="22"/>
          <w:lang w:eastAsia="ar-SA"/>
        </w:rPr>
        <w:t>Que derivado de la adición del mecanismo de g</w:t>
      </w:r>
      <w:r w:rsidR="00C9121C">
        <w:rPr>
          <w:rFonts w:ascii="ITC Avant Garde" w:eastAsia="Times New Roman" w:hAnsi="ITC Avant Garde" w:cs="Arial"/>
          <w:kern w:val="2"/>
          <w:sz w:val="22"/>
          <w:szCs w:val="22"/>
          <w:lang w:eastAsia="ar-SA"/>
        </w:rPr>
        <w:t>eneración y entrega del NIP de c</w:t>
      </w:r>
      <w:r w:rsidRPr="0013775E">
        <w:rPr>
          <w:rFonts w:ascii="ITC Avant Garde" w:eastAsia="Times New Roman" w:hAnsi="ITC Avant Garde" w:cs="Arial"/>
          <w:kern w:val="2"/>
          <w:sz w:val="22"/>
          <w:szCs w:val="22"/>
          <w:lang w:eastAsia="ar-SA"/>
        </w:rPr>
        <w:t xml:space="preserve">onfirmación, en el cual el usuario confirme vía SMS, se adiciona que tanto el NIP de confirmación como la solicitud de aprobación del usuario se entreguen en términos no discriminatorios y con los parámetros de calidad </w:t>
      </w:r>
      <w:r w:rsidR="00C9121C">
        <w:rPr>
          <w:rFonts w:ascii="ITC Avant Garde" w:eastAsia="Times New Roman" w:hAnsi="ITC Avant Garde" w:cs="Arial"/>
          <w:kern w:val="2"/>
          <w:sz w:val="22"/>
          <w:szCs w:val="22"/>
          <w:lang w:eastAsia="ar-SA"/>
        </w:rPr>
        <w:t xml:space="preserve">ya </w:t>
      </w:r>
      <w:r w:rsidRPr="0013775E">
        <w:rPr>
          <w:rFonts w:ascii="ITC Avant Garde" w:eastAsia="Times New Roman" w:hAnsi="ITC Avant Garde" w:cs="Arial"/>
          <w:kern w:val="2"/>
          <w:sz w:val="22"/>
          <w:szCs w:val="22"/>
          <w:lang w:eastAsia="ar-SA"/>
        </w:rPr>
        <w:t>establecidos.</w:t>
      </w:r>
    </w:p>
    <w:p w:rsidR="009E26C2" w:rsidRPr="0013775E" w:rsidRDefault="009E26C2" w:rsidP="009E26C2">
      <w:pPr>
        <w:pStyle w:val="Prrafodelista"/>
        <w:numPr>
          <w:ilvl w:val="0"/>
          <w:numId w:val="2"/>
        </w:numPr>
        <w:ind w:left="426" w:hanging="284"/>
        <w:jc w:val="both"/>
        <w:rPr>
          <w:rFonts w:ascii="ITC Avant Garde" w:eastAsia="Times New Roman" w:hAnsi="ITC Avant Garde" w:cs="Arial"/>
          <w:kern w:val="2"/>
          <w:sz w:val="22"/>
          <w:szCs w:val="22"/>
          <w:lang w:eastAsia="ar-SA"/>
        </w:rPr>
      </w:pPr>
      <w:r w:rsidRPr="0013775E">
        <w:rPr>
          <w:rFonts w:ascii="ITC Avant Garde" w:eastAsia="Times New Roman" w:hAnsi="ITC Avant Garde" w:cs="Arial"/>
          <w:kern w:val="2"/>
          <w:sz w:val="22"/>
          <w:szCs w:val="22"/>
          <w:lang w:eastAsia="ar-SA"/>
        </w:rPr>
        <w:t>Que, en caso de rechazo de la solicitud de portabilidad, se acredite con la factura que pueda ser autenticada a través del sistema de verificación de comprobantes fiscales digitales por Internet que administra el SAT.</w:t>
      </w:r>
    </w:p>
    <w:p w:rsidR="009E26C2" w:rsidRPr="0013775E" w:rsidRDefault="009E26C2" w:rsidP="009E26C2">
      <w:pPr>
        <w:jc w:val="both"/>
        <w:rPr>
          <w:rFonts w:eastAsia="Times New Roman" w:cs="Arial"/>
          <w:b/>
          <w:kern w:val="2"/>
          <w:sz w:val="22"/>
          <w:szCs w:val="22"/>
          <w:lang w:val="uz-Cyrl-UZ" w:eastAsia="ar-SA"/>
        </w:rPr>
      </w:pPr>
    </w:p>
    <w:p w:rsidR="009E26C2" w:rsidRPr="0013775E" w:rsidRDefault="001C517F" w:rsidP="009E26C2">
      <w:pPr>
        <w:jc w:val="both"/>
        <w:rPr>
          <w:rFonts w:ascii="ITC Avant Garde" w:eastAsia="Times New Roman" w:hAnsi="ITC Avant Garde" w:cs="Arial"/>
          <w:kern w:val="2"/>
          <w:sz w:val="22"/>
          <w:szCs w:val="22"/>
          <w:lang w:eastAsia="ar-SA"/>
        </w:rPr>
      </w:pPr>
      <w:r>
        <w:rPr>
          <w:rFonts w:ascii="ITC Avant Garde" w:eastAsia="Times New Roman" w:hAnsi="ITC Avant Garde" w:cs="Arial"/>
          <w:kern w:val="2"/>
          <w:sz w:val="22"/>
          <w:szCs w:val="22"/>
          <w:lang w:val="es-419" w:eastAsia="ar-SA"/>
        </w:rPr>
        <w:t>Como</w:t>
      </w:r>
      <w:r w:rsidR="009E26C2" w:rsidRPr="0013775E">
        <w:rPr>
          <w:rFonts w:ascii="ITC Avant Garde" w:eastAsia="Times New Roman" w:hAnsi="ITC Avant Garde" w:cs="Arial"/>
          <w:kern w:val="2"/>
          <w:sz w:val="22"/>
          <w:szCs w:val="22"/>
          <w:lang w:eastAsia="ar-SA"/>
        </w:rPr>
        <w:t xml:space="preserve"> resultado de </w:t>
      </w:r>
      <w:r w:rsidR="002B2EF7">
        <w:rPr>
          <w:rFonts w:ascii="ITC Avant Garde" w:eastAsia="Times New Roman" w:hAnsi="ITC Avant Garde" w:cs="Arial"/>
          <w:kern w:val="2"/>
          <w:sz w:val="22"/>
          <w:szCs w:val="22"/>
          <w:lang w:eastAsia="ar-SA"/>
        </w:rPr>
        <w:t xml:space="preserve">un análisis concatenado, </w:t>
      </w:r>
      <w:r w:rsidR="009E26C2" w:rsidRPr="0013775E">
        <w:rPr>
          <w:rFonts w:ascii="ITC Avant Garde" w:eastAsia="Times New Roman" w:hAnsi="ITC Avant Garde" w:cs="Arial"/>
          <w:kern w:val="2"/>
          <w:sz w:val="22"/>
          <w:szCs w:val="22"/>
          <w:lang w:eastAsia="ar-SA"/>
        </w:rPr>
        <w:t>se identificaron diversas mejoras al proceso de por</w:t>
      </w:r>
      <w:r w:rsidR="00C9121C">
        <w:rPr>
          <w:rFonts w:ascii="ITC Avant Garde" w:eastAsia="Times New Roman" w:hAnsi="ITC Avant Garde" w:cs="Arial"/>
          <w:kern w:val="2"/>
          <w:sz w:val="22"/>
          <w:szCs w:val="22"/>
          <w:lang w:eastAsia="ar-SA"/>
        </w:rPr>
        <w:t>tabilidad en beneficio de los u</w:t>
      </w:r>
      <w:r w:rsidR="009E26C2" w:rsidRPr="0013775E">
        <w:rPr>
          <w:rFonts w:ascii="ITC Avant Garde" w:eastAsia="Times New Roman" w:hAnsi="ITC Avant Garde" w:cs="Arial"/>
          <w:kern w:val="2"/>
          <w:sz w:val="22"/>
          <w:szCs w:val="22"/>
          <w:lang w:eastAsia="ar-SA"/>
        </w:rPr>
        <w:t>suarios, mismas que sirvieron de base para la elaboración del Anteproyecto materia del presente Acuerdo.</w:t>
      </w:r>
    </w:p>
    <w:p w:rsidR="009E26C2" w:rsidRPr="001C517F" w:rsidRDefault="009E26C2" w:rsidP="009E26C2">
      <w:pPr>
        <w:jc w:val="both"/>
        <w:rPr>
          <w:rFonts w:ascii="ITC Avant Garde" w:eastAsia="Times New Roman" w:hAnsi="ITC Avant Garde" w:cs="Arial"/>
          <w:kern w:val="2"/>
          <w:sz w:val="22"/>
          <w:szCs w:val="22"/>
          <w:lang w:eastAsia="ar-SA"/>
        </w:rPr>
      </w:pPr>
    </w:p>
    <w:p w:rsidR="00CA4101" w:rsidRDefault="00CA4101" w:rsidP="009E26C2">
      <w:pPr>
        <w:jc w:val="both"/>
        <w:rPr>
          <w:rFonts w:ascii="ITC Avant Garde" w:eastAsia="Times New Roman" w:hAnsi="ITC Avant Garde" w:cs="Arial"/>
          <w:kern w:val="2"/>
          <w:sz w:val="22"/>
          <w:szCs w:val="22"/>
          <w:lang w:eastAsia="ar-SA"/>
        </w:rPr>
      </w:pPr>
    </w:p>
    <w:p w:rsidR="006A0475" w:rsidRPr="006A0475" w:rsidRDefault="006A0475" w:rsidP="006A0475">
      <w:pPr>
        <w:jc w:val="both"/>
        <w:rPr>
          <w:rFonts w:ascii="ITC Avant Garde" w:eastAsia="Times New Roman" w:hAnsi="ITC Avant Garde" w:cs="Arial"/>
          <w:kern w:val="2"/>
          <w:sz w:val="22"/>
          <w:szCs w:val="22"/>
          <w:lang w:eastAsia="ar-SA"/>
        </w:rPr>
      </w:pPr>
      <w:proofErr w:type="gramStart"/>
      <w:r>
        <w:rPr>
          <w:rFonts w:ascii="ITC Avant Garde" w:eastAsia="Times New Roman" w:hAnsi="ITC Avant Garde" w:cs="Arial"/>
          <w:b/>
          <w:kern w:val="2"/>
          <w:sz w:val="22"/>
          <w:szCs w:val="22"/>
          <w:lang w:eastAsia="ar-SA"/>
        </w:rPr>
        <w:t>T</w:t>
      </w:r>
      <w:r w:rsidRPr="0013775E">
        <w:rPr>
          <w:rFonts w:ascii="ITC Avant Garde" w:eastAsia="Times New Roman" w:hAnsi="ITC Avant Garde" w:cs="Arial"/>
          <w:b/>
          <w:kern w:val="2"/>
          <w:sz w:val="22"/>
          <w:szCs w:val="22"/>
          <w:lang w:eastAsia="ar-SA"/>
        </w:rPr>
        <w:t>E</w:t>
      </w:r>
      <w:r>
        <w:rPr>
          <w:rFonts w:ascii="ITC Avant Garde" w:eastAsia="Times New Roman" w:hAnsi="ITC Avant Garde" w:cs="Arial"/>
          <w:b/>
          <w:kern w:val="2"/>
          <w:sz w:val="22"/>
          <w:szCs w:val="22"/>
          <w:lang w:eastAsia="ar-SA"/>
        </w:rPr>
        <w:t>RCERO.-</w:t>
      </w:r>
      <w:proofErr w:type="gramEnd"/>
      <w:r>
        <w:rPr>
          <w:rFonts w:ascii="ITC Avant Garde" w:eastAsia="Times New Roman" w:hAnsi="ITC Avant Garde" w:cs="Arial"/>
          <w:b/>
          <w:kern w:val="2"/>
          <w:sz w:val="22"/>
          <w:szCs w:val="22"/>
          <w:lang w:eastAsia="ar-SA"/>
        </w:rPr>
        <w:t xml:space="preserve"> Consulta pública. </w:t>
      </w:r>
      <w:r w:rsidRPr="006A0475">
        <w:rPr>
          <w:rFonts w:ascii="ITC Avant Garde" w:eastAsia="Times New Roman" w:hAnsi="ITC Avant Garde" w:cs="Arial"/>
          <w:kern w:val="2"/>
          <w:sz w:val="22"/>
          <w:szCs w:val="22"/>
          <w:lang w:eastAsia="ar-SA"/>
        </w:rPr>
        <w:t xml:space="preserve">La consulta pública tiene por objeto cumplir con los principios de transparencia y participación ciudadana por parte del Instituto, con la finalidad de recabar comentarios de la industria, de especialistas en la materia y del público en general, </w:t>
      </w:r>
      <w:r>
        <w:rPr>
          <w:rFonts w:ascii="ITC Avant Garde" w:eastAsia="Times New Roman" w:hAnsi="ITC Avant Garde" w:cs="Arial"/>
          <w:kern w:val="2"/>
          <w:sz w:val="22"/>
          <w:szCs w:val="22"/>
          <w:lang w:eastAsia="ar-SA"/>
        </w:rPr>
        <w:t xml:space="preserve">que contribuyan a un mejor planteamiento de la propuesta de modificación, </w:t>
      </w:r>
      <w:r w:rsidRPr="006A0475">
        <w:rPr>
          <w:rFonts w:ascii="ITC Avant Garde" w:eastAsia="Times New Roman" w:hAnsi="ITC Avant Garde" w:cs="Arial"/>
          <w:kern w:val="2"/>
          <w:sz w:val="22"/>
          <w:szCs w:val="22"/>
          <w:lang w:eastAsia="ar-SA"/>
        </w:rPr>
        <w:t xml:space="preserve">para que sean analizados por este Instituto, y de resultar procedente, con ellos fortalecer sus disposiciones con el fin de perfeccionar su diseño y operación. </w:t>
      </w:r>
    </w:p>
    <w:p w:rsidR="001C517F" w:rsidRDefault="001C517F" w:rsidP="009E26C2">
      <w:pPr>
        <w:jc w:val="both"/>
        <w:rPr>
          <w:rFonts w:ascii="ITC Avant Garde" w:eastAsia="Times New Roman" w:hAnsi="ITC Avant Garde" w:cs="Arial"/>
          <w:kern w:val="2"/>
          <w:sz w:val="22"/>
          <w:szCs w:val="22"/>
          <w:lang w:eastAsia="ar-SA"/>
        </w:rPr>
      </w:pPr>
    </w:p>
    <w:p w:rsidR="006A0475" w:rsidRPr="006A0475" w:rsidRDefault="006A0475" w:rsidP="006A0475">
      <w:pPr>
        <w:jc w:val="both"/>
        <w:rPr>
          <w:rFonts w:ascii="ITC Avant Garde" w:eastAsia="Times New Roman" w:hAnsi="ITC Avant Garde" w:cs="Arial"/>
          <w:kern w:val="2"/>
          <w:sz w:val="22"/>
          <w:szCs w:val="22"/>
          <w:lang w:eastAsia="ar-SA"/>
        </w:rPr>
      </w:pPr>
      <w:r w:rsidRPr="006A0475">
        <w:rPr>
          <w:rFonts w:ascii="ITC Avant Garde" w:eastAsia="Times New Roman" w:hAnsi="ITC Avant Garde" w:cs="Arial"/>
          <w:kern w:val="2"/>
          <w:sz w:val="22"/>
          <w:szCs w:val="22"/>
          <w:lang w:eastAsia="ar-SA"/>
        </w:rPr>
        <w:t xml:space="preserve">En ese sentido, el artículo 51 de la LFTR establece </w:t>
      </w:r>
      <w:proofErr w:type="gramStart"/>
      <w:r w:rsidRPr="006A0475">
        <w:rPr>
          <w:rFonts w:ascii="ITC Avant Garde" w:eastAsia="Times New Roman" w:hAnsi="ITC Avant Garde" w:cs="Arial"/>
          <w:kern w:val="2"/>
          <w:sz w:val="22"/>
          <w:szCs w:val="22"/>
          <w:lang w:eastAsia="ar-SA"/>
        </w:rPr>
        <w:t>que</w:t>
      </w:r>
      <w:proofErr w:type="gramEnd"/>
      <w:r w:rsidRPr="006A0475">
        <w:rPr>
          <w:rFonts w:ascii="ITC Avant Garde" w:eastAsia="Times New Roman" w:hAnsi="ITC Avant Garde" w:cs="Arial"/>
          <w:kern w:val="2"/>
          <w:sz w:val="22"/>
          <w:szCs w:val="22"/>
          <w:lang w:eastAsia="ar-SA"/>
        </w:rPr>
        <w:t xml:space="preserve"> para la emisión y modificación de reglas, lineamientos, o disposiciones administrativas de carácter general, así como en cualquier caso que determine el Pleno, el Instituto deberá realizar consultas públicas bajo los principios de transparencia y participación ciudadana, en los términos que determine el Pleno, salvo que la publicidad pudiera comprometer los efectos que se pretenden resolver o prevenir en una situación de emergencia.</w:t>
      </w:r>
    </w:p>
    <w:p w:rsidR="001C517F" w:rsidRDefault="001C517F" w:rsidP="009E26C2">
      <w:pPr>
        <w:jc w:val="both"/>
        <w:rPr>
          <w:rFonts w:ascii="ITC Avant Garde" w:eastAsia="Times New Roman" w:hAnsi="ITC Avant Garde" w:cs="Arial"/>
          <w:kern w:val="2"/>
          <w:sz w:val="22"/>
          <w:szCs w:val="22"/>
          <w:lang w:eastAsia="ar-SA"/>
        </w:rPr>
      </w:pPr>
    </w:p>
    <w:p w:rsidR="006A0475" w:rsidRDefault="006A0475" w:rsidP="006A0475">
      <w:pPr>
        <w:jc w:val="both"/>
        <w:rPr>
          <w:rFonts w:ascii="ITC Avant Garde" w:eastAsia="Times New Roman" w:hAnsi="ITC Avant Garde" w:cs="Arial"/>
          <w:kern w:val="2"/>
          <w:sz w:val="22"/>
          <w:szCs w:val="22"/>
          <w:lang w:eastAsia="ar-SA"/>
        </w:rPr>
      </w:pPr>
      <w:r w:rsidRPr="006A0475">
        <w:rPr>
          <w:rFonts w:ascii="ITC Avant Garde" w:eastAsia="Times New Roman" w:hAnsi="ITC Avant Garde" w:cs="Arial"/>
          <w:kern w:val="2"/>
          <w:sz w:val="22"/>
          <w:szCs w:val="22"/>
          <w:lang w:eastAsia="ar-SA"/>
        </w:rPr>
        <w:t>En el caso del “</w:t>
      </w:r>
      <w:r w:rsidR="00AB283D" w:rsidRPr="00AB283D">
        <w:rPr>
          <w:rFonts w:ascii="ITC Avant Garde" w:eastAsia="Times New Roman" w:hAnsi="ITC Avant Garde" w:cs="Arial"/>
          <w:kern w:val="2"/>
          <w:sz w:val="22"/>
          <w:szCs w:val="22"/>
          <w:lang w:eastAsia="ar-SA"/>
        </w:rPr>
        <w:t>ANTEPROYECTO DE ACUERDO MEDIANTE EL CUAL EL PLENO DEL INSTITUTO FEDERAL DE TELECOMUNICACIONES MODIFICA LAS REGLAS DE PORTABILIDAD NUMÉRICA, PUBLICADAS EN EL DIARIO OFICIAL DE LA FEDERACIÓN EL 12 DE NOVIEMBRE DE 2014, Y LAS MODIFICACIONES PUBLICADAS EN EL DIARIO OFICIAL DE LA FEDERACIÓN EL 11 DE MAYO DE 2018.</w:t>
      </w:r>
      <w:r w:rsidRPr="006A0475">
        <w:rPr>
          <w:rFonts w:ascii="ITC Avant Garde" w:eastAsia="Times New Roman" w:hAnsi="ITC Avant Garde" w:cs="Arial"/>
          <w:kern w:val="2"/>
          <w:sz w:val="22"/>
          <w:szCs w:val="22"/>
          <w:lang w:eastAsia="ar-SA"/>
        </w:rPr>
        <w:t>”</w:t>
      </w:r>
      <w:r>
        <w:rPr>
          <w:rFonts w:ascii="ITC Avant Garde" w:eastAsia="Times New Roman" w:hAnsi="ITC Avant Garde" w:cs="Arial"/>
          <w:kern w:val="2"/>
          <w:sz w:val="22"/>
          <w:szCs w:val="22"/>
          <w:lang w:eastAsia="ar-SA"/>
        </w:rPr>
        <w:t>,</w:t>
      </w:r>
      <w:r w:rsidRPr="006A0475">
        <w:rPr>
          <w:rFonts w:ascii="ITC Avant Garde" w:eastAsia="Times New Roman" w:hAnsi="ITC Avant Garde" w:cs="Arial"/>
          <w:kern w:val="2"/>
          <w:sz w:val="22"/>
          <w:szCs w:val="22"/>
          <w:lang w:eastAsia="ar-SA"/>
        </w:rPr>
        <w:t xml:space="preserve"> se considera que su publicidad no compromete los efectos que se pretenden resolver y tampoco es necesario prevenir</w:t>
      </w:r>
      <w:r w:rsidR="00D11FFD">
        <w:rPr>
          <w:rFonts w:ascii="ITC Avant Garde" w:eastAsia="Times New Roman" w:hAnsi="ITC Avant Garde" w:cs="Arial"/>
          <w:kern w:val="2"/>
          <w:sz w:val="22"/>
          <w:szCs w:val="22"/>
          <w:lang w:eastAsia="ar-SA"/>
        </w:rPr>
        <w:t xml:space="preserve"> alguna situación de emergencia, por el contrario,</w:t>
      </w:r>
      <w:r w:rsidRPr="006A0475">
        <w:rPr>
          <w:rFonts w:ascii="ITC Avant Garde" w:eastAsia="Times New Roman" w:hAnsi="ITC Avant Garde" w:cs="Arial"/>
          <w:kern w:val="2"/>
          <w:sz w:val="22"/>
          <w:szCs w:val="22"/>
          <w:lang w:eastAsia="ar-SA"/>
        </w:rPr>
        <w:t xml:space="preserve"> con la consulta pública del Anteproyecto se alcanzarán los siguientes objetivos:</w:t>
      </w:r>
    </w:p>
    <w:p w:rsidR="006A0475" w:rsidRDefault="006A0475" w:rsidP="006A0475">
      <w:pPr>
        <w:jc w:val="both"/>
        <w:rPr>
          <w:rFonts w:ascii="ITC Avant Garde" w:eastAsia="Times New Roman" w:hAnsi="ITC Avant Garde" w:cs="Arial"/>
          <w:kern w:val="2"/>
          <w:sz w:val="22"/>
          <w:szCs w:val="22"/>
          <w:lang w:eastAsia="ar-SA"/>
        </w:rPr>
      </w:pPr>
    </w:p>
    <w:p w:rsidR="006A0475" w:rsidRPr="006A0475" w:rsidRDefault="006A0475" w:rsidP="00AB283D">
      <w:pPr>
        <w:numPr>
          <w:ilvl w:val="0"/>
          <w:numId w:val="3"/>
        </w:numPr>
        <w:jc w:val="both"/>
        <w:rPr>
          <w:rFonts w:ascii="ITC Avant Garde" w:eastAsia="Times New Roman" w:hAnsi="ITC Avant Garde" w:cs="Arial"/>
          <w:kern w:val="2"/>
          <w:sz w:val="22"/>
          <w:szCs w:val="22"/>
          <w:lang w:eastAsia="ar-SA"/>
        </w:rPr>
      </w:pPr>
      <w:r w:rsidRPr="006A0475">
        <w:rPr>
          <w:rFonts w:ascii="ITC Avant Garde" w:eastAsia="Times New Roman" w:hAnsi="ITC Avant Garde" w:cs="Arial"/>
          <w:kern w:val="2"/>
          <w:sz w:val="22"/>
          <w:szCs w:val="22"/>
          <w:lang w:eastAsia="ar-SA"/>
        </w:rPr>
        <w:t>Observar el principio de transparencia en la emisión del “</w:t>
      </w:r>
      <w:r w:rsidR="00AB283D" w:rsidRPr="00AB283D">
        <w:rPr>
          <w:rFonts w:ascii="ITC Avant Garde" w:eastAsia="Times New Roman" w:hAnsi="ITC Avant Garde" w:cs="Arial"/>
          <w:kern w:val="2"/>
          <w:sz w:val="22"/>
          <w:szCs w:val="22"/>
          <w:lang w:eastAsia="ar-SA"/>
        </w:rPr>
        <w:t>ANTEPROYECTO DE ACUERDO MEDIANTE EL CUAL EL PLENO DEL INSTITUTO FEDERAL DE TELECOMUNICACIONES MODIFICA LAS REGLAS DE PORTABILIDAD NUMÉRICA, PUBLICADAS EN EL DIARIO OFICIAL DE LA FEDERACIÓN EL 12 DE NOVIEMBRE DE 2014, Y LAS MODIFICACIONES PUBLICADAS EN EL DIARIO OFICIAL DE LA F</w:t>
      </w:r>
      <w:r w:rsidR="00AB283D">
        <w:rPr>
          <w:rFonts w:ascii="ITC Avant Garde" w:eastAsia="Times New Roman" w:hAnsi="ITC Avant Garde" w:cs="Arial"/>
          <w:kern w:val="2"/>
          <w:sz w:val="22"/>
          <w:szCs w:val="22"/>
          <w:lang w:eastAsia="ar-SA"/>
        </w:rPr>
        <w:t>EDERACIÓN EL 11 DE MAYO DE 2018</w:t>
      </w:r>
      <w:r w:rsidRPr="006A0475">
        <w:rPr>
          <w:rFonts w:ascii="ITC Avant Garde" w:eastAsia="Times New Roman" w:hAnsi="ITC Avant Garde" w:cs="Arial"/>
          <w:kern w:val="2"/>
          <w:sz w:val="22"/>
          <w:szCs w:val="22"/>
          <w:lang w:eastAsia="ar-SA"/>
        </w:rPr>
        <w:t xml:space="preserve">”, que impacta a los sectores de las telecomunicaciones y radiodifusión. </w:t>
      </w:r>
    </w:p>
    <w:p w:rsidR="006A0475" w:rsidRPr="006A0475" w:rsidRDefault="006A0475" w:rsidP="006A0475">
      <w:pPr>
        <w:numPr>
          <w:ilvl w:val="0"/>
          <w:numId w:val="3"/>
        </w:numPr>
        <w:jc w:val="both"/>
        <w:rPr>
          <w:rFonts w:ascii="ITC Avant Garde" w:eastAsia="Times New Roman" w:hAnsi="ITC Avant Garde" w:cs="Arial"/>
          <w:kern w:val="2"/>
          <w:sz w:val="22"/>
          <w:szCs w:val="22"/>
          <w:lang w:eastAsia="ar-SA"/>
        </w:rPr>
      </w:pPr>
      <w:r w:rsidRPr="006A0475">
        <w:rPr>
          <w:rFonts w:ascii="ITC Avant Garde" w:eastAsia="Times New Roman" w:hAnsi="ITC Avant Garde" w:cs="Arial"/>
          <w:kern w:val="2"/>
          <w:sz w:val="22"/>
          <w:szCs w:val="22"/>
          <w:lang w:eastAsia="ar-SA"/>
        </w:rPr>
        <w:t xml:space="preserve">Fortalecer el proyecto de regulación con los planteamientos expuestos mediante la participación ciudadana, a fin de generar un documento que brinde una cobertura optima a las necesidades y sugerencias </w:t>
      </w:r>
      <w:r>
        <w:rPr>
          <w:rFonts w:ascii="ITC Avant Garde" w:eastAsia="Times New Roman" w:hAnsi="ITC Avant Garde" w:cs="Arial"/>
          <w:kern w:val="2"/>
          <w:sz w:val="22"/>
          <w:szCs w:val="22"/>
          <w:lang w:eastAsia="ar-SA"/>
        </w:rPr>
        <w:t>en beneficio de todo el sector y por supuesto de los usuarios.</w:t>
      </w:r>
    </w:p>
    <w:p w:rsidR="006A0475" w:rsidRPr="006A0475" w:rsidRDefault="00B42BA0" w:rsidP="006A0475">
      <w:pPr>
        <w:numPr>
          <w:ilvl w:val="0"/>
          <w:numId w:val="3"/>
        </w:numPr>
        <w:jc w:val="both"/>
        <w:rPr>
          <w:rFonts w:ascii="ITC Avant Garde" w:eastAsia="Times New Roman" w:hAnsi="ITC Avant Garde" w:cs="Arial"/>
          <w:kern w:val="2"/>
          <w:sz w:val="22"/>
          <w:szCs w:val="22"/>
          <w:lang w:eastAsia="ar-SA"/>
        </w:rPr>
      </w:pPr>
      <w:r>
        <w:rPr>
          <w:rFonts w:ascii="ITC Avant Garde" w:eastAsia="Times New Roman" w:hAnsi="ITC Avant Garde" w:cs="Arial"/>
          <w:kern w:val="2"/>
          <w:sz w:val="22"/>
          <w:szCs w:val="22"/>
          <w:lang w:eastAsia="ar-SA"/>
        </w:rPr>
        <w:t>P</w:t>
      </w:r>
      <w:r w:rsidR="006A0475" w:rsidRPr="006A0475">
        <w:rPr>
          <w:rFonts w:ascii="ITC Avant Garde" w:eastAsia="Times New Roman" w:hAnsi="ITC Avant Garde" w:cs="Arial"/>
          <w:kern w:val="2"/>
          <w:sz w:val="22"/>
          <w:szCs w:val="22"/>
          <w:lang w:eastAsia="ar-SA"/>
        </w:rPr>
        <w:t>romover la participación ciudadana, para que aporte sus comentarios e inquietudes, lo que redundará en una interacción con el Instituto que permita contar con una regulación asertiva.</w:t>
      </w:r>
    </w:p>
    <w:p w:rsidR="006A0475" w:rsidRDefault="006A0475" w:rsidP="006A0475">
      <w:pPr>
        <w:jc w:val="both"/>
        <w:rPr>
          <w:rFonts w:ascii="ITC Avant Garde" w:eastAsia="Times New Roman" w:hAnsi="ITC Avant Garde" w:cs="Arial"/>
          <w:kern w:val="2"/>
          <w:sz w:val="22"/>
          <w:szCs w:val="22"/>
          <w:lang w:eastAsia="ar-SA"/>
        </w:rPr>
      </w:pPr>
    </w:p>
    <w:p w:rsidR="006A0475" w:rsidRDefault="006A0475" w:rsidP="006A0475">
      <w:pPr>
        <w:jc w:val="both"/>
        <w:rPr>
          <w:rFonts w:ascii="ITC Avant Garde" w:eastAsia="Times New Roman" w:hAnsi="ITC Avant Garde" w:cs="Arial"/>
          <w:kern w:val="2"/>
          <w:sz w:val="22"/>
          <w:szCs w:val="22"/>
          <w:lang w:eastAsia="ar-SA"/>
        </w:rPr>
      </w:pPr>
    </w:p>
    <w:p w:rsidR="00564B23" w:rsidRDefault="00564B23" w:rsidP="006A0475">
      <w:pPr>
        <w:jc w:val="both"/>
        <w:rPr>
          <w:rFonts w:ascii="ITC Avant Garde" w:eastAsia="Times New Roman" w:hAnsi="ITC Avant Garde" w:cs="Arial"/>
          <w:kern w:val="2"/>
          <w:sz w:val="22"/>
          <w:szCs w:val="22"/>
          <w:lang w:eastAsia="ar-SA"/>
        </w:rPr>
      </w:pPr>
    </w:p>
    <w:p w:rsidR="00564B23" w:rsidRPr="006A0475" w:rsidRDefault="00564B23" w:rsidP="006A0475">
      <w:pPr>
        <w:jc w:val="both"/>
        <w:rPr>
          <w:rFonts w:ascii="ITC Avant Garde" w:eastAsia="Times New Roman" w:hAnsi="ITC Avant Garde" w:cs="Arial"/>
          <w:kern w:val="2"/>
          <w:sz w:val="22"/>
          <w:szCs w:val="22"/>
          <w:lang w:eastAsia="ar-SA"/>
        </w:rPr>
      </w:pPr>
    </w:p>
    <w:p w:rsidR="006A0475" w:rsidRPr="006A0475" w:rsidRDefault="006A0475" w:rsidP="006A0475">
      <w:pPr>
        <w:jc w:val="both"/>
        <w:rPr>
          <w:rFonts w:ascii="ITC Avant Garde" w:eastAsia="Times New Roman" w:hAnsi="ITC Avant Garde" w:cs="Arial"/>
          <w:bCs/>
          <w:kern w:val="2"/>
          <w:sz w:val="22"/>
          <w:szCs w:val="22"/>
          <w:lang w:eastAsia="ar-SA"/>
        </w:rPr>
      </w:pPr>
      <w:r w:rsidRPr="006A0475">
        <w:rPr>
          <w:rFonts w:ascii="ITC Avant Garde" w:eastAsia="Times New Roman" w:hAnsi="ITC Avant Garde" w:cs="Arial"/>
          <w:bCs/>
          <w:kern w:val="2"/>
          <w:sz w:val="22"/>
          <w:szCs w:val="22"/>
          <w:lang w:eastAsia="ar-SA"/>
        </w:rPr>
        <w:t>En este sentido, el Pleno del Instituto estima conveniente someter a consulta pública el “</w:t>
      </w:r>
      <w:r w:rsidR="00AB283D" w:rsidRPr="00AB283D">
        <w:rPr>
          <w:rFonts w:ascii="ITC Avant Garde" w:eastAsia="Times New Roman" w:hAnsi="ITC Avant Garde" w:cs="Arial"/>
          <w:bCs/>
          <w:kern w:val="2"/>
          <w:sz w:val="22"/>
          <w:szCs w:val="22"/>
          <w:lang w:eastAsia="ar-SA"/>
        </w:rPr>
        <w:t>ANTEPROYECTO DE ACUERDO MEDIANTE EL CUAL EL PLENO DEL INSTITUTO FEDERAL DE TELECOMUNICACIONES MODIFICA LAS REGLAS DE PORTABILIDAD NUMÉRICA, PUBLICADAS EN EL DIARIO OFICIAL DE LA FEDERACIÓN EL 12 DE NOVIEMBRE DE 2014, Y LAS MODIFICACIONES PUBLICADAS EN EL DIARIO OFICIAL DE LA FED</w:t>
      </w:r>
      <w:r w:rsidR="00AB283D">
        <w:rPr>
          <w:rFonts w:ascii="ITC Avant Garde" w:eastAsia="Times New Roman" w:hAnsi="ITC Avant Garde" w:cs="Arial"/>
          <w:bCs/>
          <w:kern w:val="2"/>
          <w:sz w:val="22"/>
          <w:szCs w:val="22"/>
          <w:lang w:eastAsia="ar-SA"/>
        </w:rPr>
        <w:t>ERACIÓN EL 11 DE MAYO DE 2018</w:t>
      </w:r>
      <w:r w:rsidRPr="006A0475">
        <w:rPr>
          <w:rFonts w:ascii="ITC Avant Garde" w:eastAsia="Times New Roman" w:hAnsi="ITC Avant Garde" w:cs="Arial"/>
          <w:bCs/>
          <w:kern w:val="2"/>
          <w:sz w:val="22"/>
          <w:szCs w:val="22"/>
          <w:lang w:eastAsia="ar-SA"/>
        </w:rPr>
        <w:t xml:space="preserve">”; el cual se adjunta al presente Acuerdo como Anexo Único y forma parte integral de éste; al efecto, una vez concluido el plazo de consulta respectivo, se publicarán en el portal de Internet del Instituto todos y cada uno de los comentarios, opiniones y propuestas recibidas. </w:t>
      </w:r>
    </w:p>
    <w:p w:rsidR="006A0475" w:rsidRPr="006A0475" w:rsidRDefault="006A0475" w:rsidP="006A0475">
      <w:pPr>
        <w:jc w:val="both"/>
        <w:rPr>
          <w:rFonts w:ascii="ITC Avant Garde" w:eastAsia="Times New Roman" w:hAnsi="ITC Avant Garde" w:cs="Arial"/>
          <w:bCs/>
          <w:kern w:val="2"/>
          <w:sz w:val="22"/>
          <w:szCs w:val="22"/>
          <w:lang w:eastAsia="ar-SA"/>
        </w:rPr>
      </w:pPr>
    </w:p>
    <w:p w:rsidR="002D5EB7" w:rsidRPr="002D5EB7" w:rsidRDefault="002D5EB7" w:rsidP="002D5EB7">
      <w:pPr>
        <w:jc w:val="both"/>
        <w:rPr>
          <w:rFonts w:ascii="ITC Avant Garde" w:eastAsia="Times New Roman" w:hAnsi="ITC Avant Garde" w:cs="Arial"/>
          <w:bCs/>
          <w:kern w:val="2"/>
          <w:sz w:val="22"/>
          <w:szCs w:val="22"/>
          <w:lang w:eastAsia="ar-SA"/>
        </w:rPr>
      </w:pPr>
      <w:r w:rsidRPr="002D5EB7">
        <w:rPr>
          <w:rFonts w:ascii="ITC Avant Garde" w:eastAsia="Times New Roman" w:hAnsi="ITC Avant Garde" w:cs="Arial"/>
          <w:bCs/>
          <w:kern w:val="2"/>
          <w:sz w:val="22"/>
          <w:szCs w:val="22"/>
          <w:lang w:eastAsia="ar-SA"/>
        </w:rPr>
        <w:t xml:space="preserve">Por lo anterior, el Anteproyecto propuesto debe estar sujeto a un proceso de consulta pública por un periodo de </w:t>
      </w:r>
      <w:r w:rsidR="00640E50">
        <w:rPr>
          <w:rFonts w:ascii="ITC Avant Garde" w:eastAsia="Times New Roman" w:hAnsi="ITC Avant Garde" w:cs="Arial"/>
          <w:bCs/>
          <w:kern w:val="2"/>
          <w:sz w:val="22"/>
          <w:szCs w:val="22"/>
          <w:lang w:eastAsia="ar-SA"/>
        </w:rPr>
        <w:t>20 (veinte)</w:t>
      </w:r>
      <w:r w:rsidR="00640E50" w:rsidRPr="002D5EB7">
        <w:rPr>
          <w:rFonts w:ascii="ITC Avant Garde" w:eastAsia="Times New Roman" w:hAnsi="ITC Avant Garde" w:cs="Arial"/>
          <w:bCs/>
          <w:kern w:val="2"/>
          <w:sz w:val="22"/>
          <w:szCs w:val="22"/>
          <w:lang w:eastAsia="ar-SA"/>
        </w:rPr>
        <w:t xml:space="preserve"> </w:t>
      </w:r>
      <w:r w:rsidRPr="002D5EB7">
        <w:rPr>
          <w:rFonts w:ascii="ITC Avant Garde" w:eastAsia="Times New Roman" w:hAnsi="ITC Avant Garde" w:cs="Arial"/>
          <w:bCs/>
          <w:kern w:val="2"/>
          <w:sz w:val="22"/>
          <w:szCs w:val="22"/>
          <w:lang w:eastAsia="ar-SA"/>
        </w:rPr>
        <w:t>días hábiles</w:t>
      </w:r>
      <w:r w:rsidRPr="002D5EB7">
        <w:rPr>
          <w:rFonts w:ascii="ITC Avant Garde" w:eastAsia="Times New Roman" w:hAnsi="ITC Avant Garde" w:cs="Arial"/>
          <w:b/>
          <w:bCs/>
          <w:kern w:val="2"/>
          <w:sz w:val="22"/>
          <w:szCs w:val="22"/>
          <w:lang w:eastAsia="ar-SA"/>
        </w:rPr>
        <w:t xml:space="preserve"> </w:t>
      </w:r>
      <w:r w:rsidRPr="002D5EB7">
        <w:rPr>
          <w:rFonts w:ascii="ITC Avant Garde" w:eastAsia="Times New Roman" w:hAnsi="ITC Avant Garde" w:cs="Arial"/>
          <w:bCs/>
          <w:kern w:val="2"/>
          <w:sz w:val="22"/>
          <w:szCs w:val="22"/>
          <w:lang w:eastAsia="ar-SA"/>
        </w:rPr>
        <w:t xml:space="preserve">a fin de transparentar y promover la participación ciudadana en los procesos de emisión de disposiciones de carácter general que genere el Instituto, a efecto de dar cabal cumplimiento a lo establecido en el dispositivo legal señalado. </w:t>
      </w:r>
    </w:p>
    <w:p w:rsidR="002D5EB7" w:rsidRPr="002D5EB7" w:rsidRDefault="002D5EB7" w:rsidP="002D5EB7">
      <w:pPr>
        <w:jc w:val="both"/>
        <w:rPr>
          <w:rFonts w:ascii="ITC Avant Garde" w:eastAsia="Times New Roman" w:hAnsi="ITC Avant Garde" w:cs="Arial"/>
          <w:bCs/>
          <w:kern w:val="2"/>
          <w:sz w:val="22"/>
          <w:szCs w:val="22"/>
          <w:lang w:eastAsia="ar-SA"/>
        </w:rPr>
      </w:pPr>
    </w:p>
    <w:p w:rsidR="002D5EB7" w:rsidRPr="002D5EB7" w:rsidRDefault="002D5EB7" w:rsidP="002D5EB7">
      <w:pPr>
        <w:jc w:val="both"/>
        <w:rPr>
          <w:rFonts w:ascii="ITC Avant Garde" w:eastAsia="Times New Roman" w:hAnsi="ITC Avant Garde" w:cs="Arial"/>
          <w:kern w:val="2"/>
          <w:sz w:val="22"/>
          <w:szCs w:val="22"/>
          <w:lang w:val="es-ES" w:eastAsia="ar-SA"/>
        </w:rPr>
      </w:pPr>
      <w:r w:rsidRPr="001C5BB4">
        <w:rPr>
          <w:rFonts w:ascii="ITC Avant Garde" w:eastAsia="Times New Roman" w:hAnsi="ITC Avant Garde" w:cs="Arial"/>
          <w:kern w:val="2"/>
          <w:sz w:val="22"/>
          <w:szCs w:val="22"/>
          <w:lang w:val="es-ES" w:eastAsia="ar-SA"/>
        </w:rPr>
        <w:t>Por las razones expuestas con fundamento en los artículos 6o. y 28, párrafos décimo quinto y vigésimo, fracción IV, de la Constitución Política de los Estados Unidos Mexicanos; 1, 2, 7, 15, fracciones I y LVI, 16, 17 fracción I, 51 y 52, de la Ley Federal de Telecomunicaciones y Radiodifusión, 1, 4, fracción I y 6 fracción XXXVIII</w:t>
      </w:r>
      <w:r w:rsidR="00837A71" w:rsidRPr="001C5BB4">
        <w:rPr>
          <w:rFonts w:ascii="ITC Avant Garde" w:eastAsia="Times New Roman" w:hAnsi="ITC Avant Garde" w:cs="Arial"/>
          <w:kern w:val="2"/>
          <w:sz w:val="22"/>
          <w:szCs w:val="22"/>
          <w:lang w:val="es-ES" w:eastAsia="ar-SA"/>
        </w:rPr>
        <w:t xml:space="preserve"> </w:t>
      </w:r>
      <w:r w:rsidRPr="001C5BB4">
        <w:rPr>
          <w:rFonts w:ascii="ITC Avant Garde" w:eastAsia="Times New Roman" w:hAnsi="ITC Avant Garde" w:cs="Arial"/>
          <w:kern w:val="2"/>
          <w:sz w:val="22"/>
          <w:szCs w:val="22"/>
          <w:lang w:eastAsia="ar-SA"/>
        </w:rPr>
        <w:t xml:space="preserve">del Estatuto Orgánico del Instituto, </w:t>
      </w:r>
      <w:r w:rsidRPr="001C5BB4">
        <w:rPr>
          <w:rFonts w:ascii="ITC Avant Garde" w:eastAsia="Times New Roman" w:hAnsi="ITC Avant Garde" w:cs="Arial"/>
          <w:kern w:val="2"/>
          <w:sz w:val="22"/>
          <w:szCs w:val="22"/>
          <w:lang w:val="es-ES" w:eastAsia="ar-SA"/>
        </w:rPr>
        <w:t>el Pleno del Instituto Federal de Telecomunicaciones emite el siguiente:</w:t>
      </w:r>
    </w:p>
    <w:p w:rsidR="006A0475" w:rsidRDefault="006A0475" w:rsidP="009E26C2">
      <w:pPr>
        <w:jc w:val="both"/>
        <w:rPr>
          <w:rFonts w:ascii="ITC Avant Garde" w:eastAsia="Times New Roman" w:hAnsi="ITC Avant Garde" w:cs="Arial"/>
          <w:kern w:val="2"/>
          <w:sz w:val="22"/>
          <w:szCs w:val="22"/>
          <w:lang w:eastAsia="ar-SA"/>
        </w:rPr>
      </w:pPr>
    </w:p>
    <w:p w:rsidR="006A0475" w:rsidRDefault="006A0475" w:rsidP="009E26C2">
      <w:pPr>
        <w:jc w:val="both"/>
        <w:rPr>
          <w:rFonts w:ascii="ITC Avant Garde" w:eastAsia="Times New Roman" w:hAnsi="ITC Avant Garde" w:cs="Arial"/>
          <w:kern w:val="2"/>
          <w:sz w:val="22"/>
          <w:szCs w:val="22"/>
          <w:lang w:eastAsia="ar-SA"/>
        </w:rPr>
      </w:pPr>
    </w:p>
    <w:p w:rsidR="002D5EB7" w:rsidRPr="002D5EB7" w:rsidRDefault="002D5EB7" w:rsidP="002D5EB7">
      <w:pPr>
        <w:jc w:val="center"/>
        <w:rPr>
          <w:rFonts w:ascii="ITC Avant Garde" w:eastAsia="Times New Roman" w:hAnsi="ITC Avant Garde" w:cs="Arial"/>
          <w:b/>
          <w:kern w:val="2"/>
          <w:sz w:val="22"/>
          <w:szCs w:val="22"/>
          <w:lang w:val="es-MX" w:eastAsia="ar-SA"/>
        </w:rPr>
      </w:pPr>
      <w:r w:rsidRPr="002D5EB7">
        <w:rPr>
          <w:rFonts w:ascii="ITC Avant Garde" w:eastAsia="Times New Roman" w:hAnsi="ITC Avant Garde" w:cs="Arial"/>
          <w:b/>
          <w:kern w:val="2"/>
          <w:sz w:val="22"/>
          <w:szCs w:val="22"/>
          <w:lang w:val="es-MX" w:eastAsia="ar-SA"/>
        </w:rPr>
        <w:t>ACUERDO</w:t>
      </w:r>
    </w:p>
    <w:p w:rsidR="002D5EB7" w:rsidRPr="002D5EB7" w:rsidRDefault="002D5EB7" w:rsidP="002D5EB7">
      <w:pPr>
        <w:jc w:val="both"/>
        <w:rPr>
          <w:rFonts w:ascii="ITC Avant Garde" w:eastAsia="Times New Roman" w:hAnsi="ITC Avant Garde" w:cs="Arial"/>
          <w:kern w:val="2"/>
          <w:sz w:val="22"/>
          <w:szCs w:val="22"/>
          <w:lang w:val="es-MX" w:eastAsia="ar-SA"/>
        </w:rPr>
      </w:pPr>
    </w:p>
    <w:p w:rsidR="002D5EB7" w:rsidRPr="002D5EB7" w:rsidRDefault="002D5EB7" w:rsidP="002D5EB7">
      <w:pPr>
        <w:jc w:val="both"/>
        <w:rPr>
          <w:rFonts w:ascii="ITC Avant Garde" w:eastAsia="Times New Roman" w:hAnsi="ITC Avant Garde" w:cs="Arial"/>
          <w:kern w:val="2"/>
          <w:sz w:val="22"/>
          <w:szCs w:val="22"/>
          <w:lang w:val="es-MX" w:eastAsia="ar-SA"/>
        </w:rPr>
      </w:pPr>
    </w:p>
    <w:p w:rsidR="002D5EB7" w:rsidRDefault="002D5EB7" w:rsidP="002D5EB7">
      <w:pPr>
        <w:jc w:val="both"/>
        <w:rPr>
          <w:rFonts w:ascii="ITC Avant Garde" w:eastAsia="Times New Roman" w:hAnsi="ITC Avant Garde" w:cs="Arial"/>
          <w:kern w:val="2"/>
          <w:sz w:val="22"/>
          <w:szCs w:val="22"/>
          <w:lang w:eastAsia="ar-SA"/>
        </w:rPr>
      </w:pPr>
      <w:proofErr w:type="gramStart"/>
      <w:r w:rsidRPr="002D5EB7">
        <w:rPr>
          <w:rFonts w:ascii="ITC Avant Garde" w:eastAsia="Times New Roman" w:hAnsi="ITC Avant Garde" w:cs="Arial"/>
          <w:b/>
          <w:kern w:val="2"/>
          <w:sz w:val="22"/>
          <w:szCs w:val="22"/>
          <w:lang w:val="es-MX" w:eastAsia="ar-SA"/>
        </w:rPr>
        <w:t>PRIMERO</w:t>
      </w:r>
      <w:r w:rsidRPr="002D5EB7">
        <w:rPr>
          <w:rFonts w:ascii="ITC Avant Garde" w:eastAsia="Times New Roman" w:hAnsi="ITC Avant Garde" w:cs="Arial"/>
          <w:kern w:val="2"/>
          <w:sz w:val="22"/>
          <w:szCs w:val="22"/>
          <w:lang w:val="es-MX" w:eastAsia="ar-SA"/>
        </w:rPr>
        <w:t>.-</w:t>
      </w:r>
      <w:proofErr w:type="gramEnd"/>
      <w:r w:rsidRPr="002D5EB7">
        <w:rPr>
          <w:rFonts w:ascii="ITC Avant Garde" w:eastAsia="Times New Roman" w:hAnsi="ITC Avant Garde" w:cs="Arial"/>
          <w:kern w:val="2"/>
          <w:sz w:val="22"/>
          <w:szCs w:val="22"/>
          <w:lang w:val="es-MX" w:eastAsia="ar-SA"/>
        </w:rPr>
        <w:t xml:space="preserve"> </w:t>
      </w:r>
      <w:r w:rsidRPr="002D5EB7">
        <w:rPr>
          <w:rFonts w:ascii="ITC Avant Garde" w:eastAsia="Times New Roman" w:hAnsi="ITC Avant Garde" w:cs="Arial"/>
          <w:bCs/>
          <w:kern w:val="2"/>
          <w:sz w:val="22"/>
          <w:szCs w:val="22"/>
          <w:lang w:eastAsia="ar-SA"/>
        </w:rPr>
        <w:t>Se determina someter a consulta pública el “</w:t>
      </w:r>
      <w:r w:rsidR="00AB283D" w:rsidRPr="00AB283D">
        <w:rPr>
          <w:rFonts w:ascii="ITC Avant Garde" w:eastAsia="Times New Roman" w:hAnsi="ITC Avant Garde" w:cs="Arial"/>
          <w:bCs/>
          <w:kern w:val="2"/>
          <w:sz w:val="22"/>
          <w:szCs w:val="22"/>
          <w:lang w:eastAsia="ar-SA"/>
        </w:rPr>
        <w:t>ANTEPROYECTO DE ACUERDO MEDIANTE EL CUAL EL PLENO DEL INSTITUTO FEDERAL DE TELECOMUNICACIONES MODIFICA LAS REGLAS DE PORTABILIDAD NUMÉRICA, PUBLICADAS EN EL DIARIO OFICIAL DE LA FEDERACIÓN EL 12 DE NOVIEMBRE DE 2014, Y LAS MODIFICACIONES PUBLICADAS EN EL DIARIO OFICIAL DE LA F</w:t>
      </w:r>
      <w:r w:rsidR="00AB283D">
        <w:rPr>
          <w:rFonts w:ascii="ITC Avant Garde" w:eastAsia="Times New Roman" w:hAnsi="ITC Avant Garde" w:cs="Arial"/>
          <w:bCs/>
          <w:kern w:val="2"/>
          <w:sz w:val="22"/>
          <w:szCs w:val="22"/>
          <w:lang w:eastAsia="ar-SA"/>
        </w:rPr>
        <w:t>EDERACIÓN EL 11 DE MAYO DE 2018</w:t>
      </w:r>
      <w:r w:rsidRPr="002D5EB7">
        <w:rPr>
          <w:rFonts w:ascii="ITC Avant Garde" w:eastAsia="Times New Roman" w:hAnsi="ITC Avant Garde" w:cs="Arial"/>
          <w:bCs/>
          <w:kern w:val="2"/>
          <w:sz w:val="22"/>
          <w:szCs w:val="22"/>
          <w:lang w:eastAsia="ar-SA"/>
        </w:rPr>
        <w:t xml:space="preserve">”, </w:t>
      </w:r>
      <w:r w:rsidRPr="002D5EB7">
        <w:rPr>
          <w:rFonts w:ascii="ITC Avant Garde" w:eastAsia="Times New Roman" w:hAnsi="ITC Avant Garde" w:cs="Arial"/>
          <w:kern w:val="2"/>
          <w:sz w:val="22"/>
          <w:szCs w:val="22"/>
          <w:lang w:eastAsia="ar-SA"/>
        </w:rPr>
        <w:t xml:space="preserve">mismo que se encuentra como Anexo Único del presente Acuerdo. Dicha consulta pública se realizará durante </w:t>
      </w:r>
      <w:r w:rsidR="00640E50">
        <w:rPr>
          <w:rFonts w:ascii="ITC Avant Garde" w:eastAsia="Times New Roman" w:hAnsi="ITC Avant Garde" w:cs="Arial"/>
          <w:kern w:val="2"/>
          <w:sz w:val="22"/>
          <w:szCs w:val="22"/>
          <w:lang w:eastAsia="ar-SA"/>
        </w:rPr>
        <w:t>20 (veinte)</w:t>
      </w:r>
      <w:r w:rsidR="00640E50" w:rsidRPr="002D5EB7">
        <w:rPr>
          <w:rFonts w:ascii="ITC Avant Garde" w:eastAsia="Times New Roman" w:hAnsi="ITC Avant Garde" w:cs="Arial"/>
          <w:kern w:val="2"/>
          <w:sz w:val="22"/>
          <w:szCs w:val="22"/>
          <w:lang w:eastAsia="ar-SA"/>
        </w:rPr>
        <w:t xml:space="preserve"> </w:t>
      </w:r>
      <w:r w:rsidRPr="002D5EB7">
        <w:rPr>
          <w:rFonts w:ascii="ITC Avant Garde" w:eastAsia="Times New Roman" w:hAnsi="ITC Avant Garde" w:cs="Arial"/>
          <w:kern w:val="2"/>
          <w:sz w:val="22"/>
          <w:szCs w:val="22"/>
          <w:lang w:eastAsia="ar-SA"/>
        </w:rPr>
        <w:t>días hábiles, contados a partir de su publicación en el portal de Internet del Instituto Federal de Telecomunicaciones.</w:t>
      </w:r>
      <w:r w:rsidRPr="002D5EB7" w:rsidDel="009026F6">
        <w:rPr>
          <w:rFonts w:ascii="ITC Avant Garde" w:eastAsia="Times New Roman" w:hAnsi="ITC Avant Garde" w:cs="Arial"/>
          <w:kern w:val="2"/>
          <w:sz w:val="22"/>
          <w:szCs w:val="22"/>
          <w:lang w:eastAsia="ar-SA"/>
        </w:rPr>
        <w:t xml:space="preserve"> </w:t>
      </w:r>
    </w:p>
    <w:p w:rsidR="002D5EB7" w:rsidRPr="002D5EB7" w:rsidRDefault="002D5EB7" w:rsidP="002D5EB7">
      <w:pPr>
        <w:jc w:val="both"/>
        <w:rPr>
          <w:rFonts w:ascii="ITC Avant Garde" w:eastAsia="Times New Roman" w:hAnsi="ITC Avant Garde" w:cs="Arial"/>
          <w:b/>
          <w:bCs/>
          <w:kern w:val="2"/>
          <w:sz w:val="22"/>
          <w:szCs w:val="22"/>
          <w:lang w:eastAsia="ar-SA"/>
        </w:rPr>
      </w:pPr>
    </w:p>
    <w:p w:rsidR="002D5EB7" w:rsidRPr="002D5EB7" w:rsidRDefault="002D5EB7" w:rsidP="002D5EB7">
      <w:pPr>
        <w:jc w:val="both"/>
        <w:rPr>
          <w:rFonts w:ascii="ITC Avant Garde" w:eastAsia="Times New Roman" w:hAnsi="ITC Avant Garde" w:cs="Arial"/>
          <w:kern w:val="2"/>
          <w:sz w:val="22"/>
          <w:szCs w:val="22"/>
          <w:lang w:val="es-MX" w:eastAsia="ar-SA"/>
        </w:rPr>
      </w:pPr>
      <w:proofErr w:type="gramStart"/>
      <w:r w:rsidRPr="002D5EB7">
        <w:rPr>
          <w:rFonts w:ascii="ITC Avant Garde" w:eastAsia="Times New Roman" w:hAnsi="ITC Avant Garde" w:cs="Arial"/>
          <w:b/>
          <w:kern w:val="2"/>
          <w:sz w:val="22"/>
          <w:szCs w:val="22"/>
          <w:lang w:val="es-MX" w:eastAsia="ar-SA"/>
        </w:rPr>
        <w:t>SEGUNDO</w:t>
      </w:r>
      <w:r w:rsidRPr="002D5EB7">
        <w:rPr>
          <w:rFonts w:ascii="ITC Avant Garde" w:eastAsia="Times New Roman" w:hAnsi="ITC Avant Garde" w:cs="Arial"/>
          <w:kern w:val="2"/>
          <w:sz w:val="22"/>
          <w:szCs w:val="22"/>
          <w:lang w:val="es-MX" w:eastAsia="ar-SA"/>
        </w:rPr>
        <w:t>.-</w:t>
      </w:r>
      <w:proofErr w:type="gramEnd"/>
      <w:r w:rsidRPr="002D5EB7">
        <w:rPr>
          <w:rFonts w:ascii="ITC Avant Garde" w:eastAsia="Times New Roman" w:hAnsi="ITC Avant Garde" w:cs="Arial"/>
          <w:kern w:val="2"/>
          <w:sz w:val="22"/>
          <w:szCs w:val="22"/>
          <w:lang w:val="es-MX" w:eastAsia="ar-SA"/>
        </w:rPr>
        <w:t xml:space="preserve"> Se instruye a la Unidad de Política Regulatoria, por conducto de la Dirección General de Regulación Técnica, a recibir y dar la atención que corresponda a las opiniones que sean vertidas de la consulta pública materia del presente Acuerdo.</w:t>
      </w:r>
    </w:p>
    <w:p w:rsidR="002D5EB7" w:rsidRDefault="002D5EB7" w:rsidP="002D5EB7">
      <w:pPr>
        <w:jc w:val="both"/>
        <w:rPr>
          <w:rFonts w:ascii="ITC Avant Garde" w:eastAsia="Times New Roman" w:hAnsi="ITC Avant Garde" w:cs="Arial"/>
          <w:kern w:val="2"/>
          <w:sz w:val="22"/>
          <w:szCs w:val="22"/>
          <w:lang w:val="es-MX" w:eastAsia="ar-SA"/>
        </w:rPr>
      </w:pPr>
    </w:p>
    <w:p w:rsidR="00564B23" w:rsidRDefault="00564B23" w:rsidP="002D5EB7">
      <w:pPr>
        <w:jc w:val="both"/>
        <w:rPr>
          <w:rFonts w:ascii="ITC Avant Garde" w:eastAsia="Times New Roman" w:hAnsi="ITC Avant Garde" w:cs="Arial"/>
          <w:kern w:val="2"/>
          <w:sz w:val="22"/>
          <w:szCs w:val="22"/>
          <w:lang w:val="es-MX" w:eastAsia="ar-SA"/>
        </w:rPr>
      </w:pPr>
    </w:p>
    <w:p w:rsidR="00564B23" w:rsidRPr="002D5EB7" w:rsidRDefault="00564B23" w:rsidP="002D5EB7">
      <w:pPr>
        <w:jc w:val="both"/>
        <w:rPr>
          <w:rFonts w:ascii="ITC Avant Garde" w:eastAsia="Times New Roman" w:hAnsi="ITC Avant Garde" w:cs="Arial"/>
          <w:kern w:val="2"/>
          <w:sz w:val="22"/>
          <w:szCs w:val="22"/>
          <w:lang w:val="es-MX" w:eastAsia="ar-SA"/>
        </w:rPr>
      </w:pPr>
    </w:p>
    <w:p w:rsidR="002D5EB7" w:rsidRDefault="002D5EB7" w:rsidP="002D5EB7">
      <w:pPr>
        <w:jc w:val="both"/>
        <w:rPr>
          <w:rFonts w:ascii="ITC Avant Garde" w:eastAsia="Times New Roman" w:hAnsi="ITC Avant Garde" w:cs="Arial"/>
          <w:kern w:val="2"/>
          <w:sz w:val="22"/>
          <w:szCs w:val="22"/>
          <w:lang w:val="es-MX" w:eastAsia="ar-SA"/>
        </w:rPr>
      </w:pPr>
      <w:proofErr w:type="gramStart"/>
      <w:r w:rsidRPr="002D5EB7">
        <w:rPr>
          <w:rFonts w:ascii="ITC Avant Garde" w:eastAsia="Times New Roman" w:hAnsi="ITC Avant Garde" w:cs="Arial"/>
          <w:b/>
          <w:kern w:val="2"/>
          <w:sz w:val="22"/>
          <w:szCs w:val="22"/>
          <w:lang w:val="es-MX" w:eastAsia="ar-SA"/>
        </w:rPr>
        <w:t>TERCERO.-</w:t>
      </w:r>
      <w:proofErr w:type="gramEnd"/>
      <w:r w:rsidRPr="002D5EB7">
        <w:rPr>
          <w:rFonts w:ascii="ITC Avant Garde" w:eastAsia="Times New Roman" w:hAnsi="ITC Avant Garde" w:cs="Arial"/>
          <w:b/>
          <w:kern w:val="2"/>
          <w:sz w:val="22"/>
          <w:szCs w:val="22"/>
          <w:lang w:val="es-MX" w:eastAsia="ar-SA"/>
        </w:rPr>
        <w:t xml:space="preserve"> </w:t>
      </w:r>
      <w:r w:rsidRPr="002D5EB7">
        <w:rPr>
          <w:rFonts w:ascii="ITC Avant Garde" w:eastAsia="Times New Roman" w:hAnsi="ITC Avant Garde" w:cs="Arial"/>
          <w:kern w:val="2"/>
          <w:sz w:val="22"/>
          <w:szCs w:val="22"/>
          <w:lang w:val="es-MX" w:eastAsia="ar-SA"/>
        </w:rPr>
        <w:t>Publíquese en la página de Internet del Instituto Federal de Telecomunicaciones.</w:t>
      </w:r>
    </w:p>
    <w:p w:rsidR="00564B23" w:rsidRDefault="00564B23" w:rsidP="002D5EB7">
      <w:pPr>
        <w:jc w:val="both"/>
        <w:rPr>
          <w:rFonts w:ascii="ITC Avant Garde" w:eastAsia="Times New Roman" w:hAnsi="ITC Avant Garde" w:cs="Arial"/>
          <w:kern w:val="2"/>
          <w:sz w:val="22"/>
          <w:szCs w:val="22"/>
          <w:lang w:val="es-MX" w:eastAsia="ar-SA"/>
        </w:rPr>
      </w:pPr>
    </w:p>
    <w:p w:rsidR="00564B23" w:rsidRDefault="00564B23" w:rsidP="002D5EB7">
      <w:pPr>
        <w:jc w:val="both"/>
        <w:rPr>
          <w:rFonts w:ascii="ITC Avant Garde" w:eastAsia="Times New Roman" w:hAnsi="ITC Avant Garde" w:cs="Arial"/>
          <w:kern w:val="2"/>
          <w:sz w:val="22"/>
          <w:szCs w:val="22"/>
          <w:lang w:val="es-MX" w:eastAsia="ar-SA"/>
        </w:rPr>
      </w:pPr>
    </w:p>
    <w:p w:rsidR="00564B23" w:rsidRDefault="00564B23" w:rsidP="002D5EB7">
      <w:pPr>
        <w:jc w:val="both"/>
        <w:rPr>
          <w:rFonts w:ascii="ITC Avant Garde" w:eastAsia="Times New Roman" w:hAnsi="ITC Avant Garde" w:cs="Arial"/>
          <w:kern w:val="2"/>
          <w:sz w:val="22"/>
          <w:szCs w:val="22"/>
          <w:lang w:val="es-MX" w:eastAsia="ar-SA"/>
        </w:rPr>
      </w:pPr>
    </w:p>
    <w:p w:rsidR="00564B23" w:rsidRDefault="00564B23" w:rsidP="002D5EB7">
      <w:pPr>
        <w:jc w:val="both"/>
        <w:rPr>
          <w:rFonts w:ascii="ITC Avant Garde" w:eastAsia="Times New Roman" w:hAnsi="ITC Avant Garde" w:cs="Arial"/>
          <w:kern w:val="2"/>
          <w:sz w:val="22"/>
          <w:szCs w:val="22"/>
          <w:lang w:val="es-MX" w:eastAsia="ar-SA"/>
        </w:rPr>
      </w:pPr>
    </w:p>
    <w:p w:rsidR="00564B23" w:rsidRDefault="00564B23" w:rsidP="002D5EB7">
      <w:pPr>
        <w:jc w:val="both"/>
        <w:rPr>
          <w:rFonts w:ascii="ITC Avant Garde" w:eastAsia="Times New Roman" w:hAnsi="ITC Avant Garde" w:cs="Arial"/>
          <w:kern w:val="2"/>
          <w:sz w:val="22"/>
          <w:szCs w:val="22"/>
          <w:lang w:val="es-MX" w:eastAsia="ar-SA"/>
        </w:rPr>
      </w:pPr>
    </w:p>
    <w:p w:rsidR="00564B23" w:rsidRDefault="00564B23" w:rsidP="002D5EB7">
      <w:pPr>
        <w:jc w:val="both"/>
        <w:rPr>
          <w:rFonts w:ascii="ITC Avant Garde" w:eastAsia="Times New Roman" w:hAnsi="ITC Avant Garde" w:cs="Arial"/>
          <w:kern w:val="2"/>
          <w:sz w:val="22"/>
          <w:szCs w:val="22"/>
          <w:lang w:val="es-MX" w:eastAsia="ar-SA"/>
        </w:rPr>
      </w:pPr>
    </w:p>
    <w:p w:rsidR="00564B23" w:rsidRDefault="00564B23" w:rsidP="002D5EB7">
      <w:pPr>
        <w:jc w:val="both"/>
        <w:rPr>
          <w:rFonts w:ascii="ITC Avant Garde" w:eastAsia="Times New Roman" w:hAnsi="ITC Avant Garde" w:cs="Arial"/>
          <w:kern w:val="2"/>
          <w:sz w:val="22"/>
          <w:szCs w:val="22"/>
          <w:lang w:val="es-MX" w:eastAsia="ar-SA"/>
        </w:rPr>
      </w:pPr>
    </w:p>
    <w:p w:rsidR="00564B23" w:rsidRDefault="00564B23" w:rsidP="002D5EB7">
      <w:pPr>
        <w:jc w:val="both"/>
        <w:rPr>
          <w:rFonts w:ascii="ITC Avant Garde" w:eastAsia="Times New Roman" w:hAnsi="ITC Avant Garde" w:cs="Arial"/>
          <w:kern w:val="2"/>
          <w:sz w:val="22"/>
          <w:szCs w:val="22"/>
          <w:lang w:val="es-MX" w:eastAsia="ar-SA"/>
        </w:rPr>
      </w:pPr>
    </w:p>
    <w:p w:rsidR="00564B23" w:rsidRDefault="00564B23" w:rsidP="002D5EB7">
      <w:pPr>
        <w:jc w:val="both"/>
        <w:rPr>
          <w:rFonts w:ascii="ITC Avant Garde" w:eastAsia="Times New Roman" w:hAnsi="ITC Avant Garde" w:cs="Arial"/>
          <w:kern w:val="2"/>
          <w:sz w:val="22"/>
          <w:szCs w:val="22"/>
          <w:lang w:val="es-MX" w:eastAsia="ar-SA"/>
        </w:rPr>
      </w:pPr>
    </w:p>
    <w:p w:rsidR="00564B23" w:rsidRDefault="00564B23" w:rsidP="002D5EB7">
      <w:pPr>
        <w:jc w:val="both"/>
        <w:rPr>
          <w:rFonts w:ascii="ITC Avant Garde" w:eastAsia="Times New Roman" w:hAnsi="ITC Avant Garde" w:cs="Arial"/>
          <w:kern w:val="2"/>
          <w:sz w:val="22"/>
          <w:szCs w:val="22"/>
          <w:lang w:val="es-MX" w:eastAsia="ar-SA"/>
        </w:rPr>
      </w:pPr>
    </w:p>
    <w:p w:rsidR="00564B23" w:rsidRDefault="00564B23" w:rsidP="002D5EB7">
      <w:pPr>
        <w:jc w:val="both"/>
        <w:rPr>
          <w:rFonts w:ascii="ITC Avant Garde" w:eastAsia="Times New Roman" w:hAnsi="ITC Avant Garde" w:cs="Arial"/>
          <w:kern w:val="2"/>
          <w:sz w:val="22"/>
          <w:szCs w:val="22"/>
          <w:lang w:val="es-MX" w:eastAsia="ar-SA"/>
        </w:rPr>
      </w:pPr>
    </w:p>
    <w:p w:rsidR="00564B23" w:rsidRDefault="00564B23" w:rsidP="002D5EB7">
      <w:pPr>
        <w:jc w:val="both"/>
        <w:rPr>
          <w:rFonts w:ascii="ITC Avant Garde" w:eastAsia="Times New Roman" w:hAnsi="ITC Avant Garde" w:cs="Arial"/>
          <w:kern w:val="2"/>
          <w:sz w:val="22"/>
          <w:szCs w:val="22"/>
          <w:lang w:val="es-MX" w:eastAsia="ar-SA"/>
        </w:rPr>
      </w:pPr>
    </w:p>
    <w:p w:rsidR="00564B23" w:rsidRPr="002D5EB7" w:rsidRDefault="00564B23" w:rsidP="002D5EB7">
      <w:pPr>
        <w:jc w:val="both"/>
        <w:rPr>
          <w:rFonts w:ascii="ITC Avant Garde" w:eastAsia="Times New Roman" w:hAnsi="ITC Avant Garde" w:cs="Arial"/>
          <w:kern w:val="2"/>
          <w:sz w:val="22"/>
          <w:szCs w:val="22"/>
          <w:lang w:val="es-MX" w:eastAsia="ar-SA"/>
        </w:rPr>
      </w:pPr>
    </w:p>
    <w:tbl>
      <w:tblPr>
        <w:tblStyle w:val="Tablaconcuadrcula"/>
        <w:tblW w:w="100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4"/>
        <w:gridCol w:w="5024"/>
      </w:tblGrid>
      <w:tr w:rsidR="00AA4759" w:rsidRPr="00AA4759" w:rsidTr="00C54880">
        <w:trPr>
          <w:trHeight w:val="745"/>
          <w:jc w:val="center"/>
        </w:trPr>
        <w:tc>
          <w:tcPr>
            <w:tcW w:w="10048" w:type="dxa"/>
            <w:gridSpan w:val="2"/>
            <w:vAlign w:val="center"/>
          </w:tcPr>
          <w:p w:rsidR="00AA4759" w:rsidRPr="00AA4759" w:rsidRDefault="00AA4759" w:rsidP="00C54880">
            <w:pPr>
              <w:jc w:val="center"/>
              <w:rPr>
                <w:rFonts w:ascii="ITC Avant Garde" w:eastAsia="Calibri" w:hAnsi="ITC Avant Garde" w:cs="Arial"/>
                <w:b/>
                <w:sz w:val="22"/>
                <w:szCs w:val="22"/>
                <w:lang w:val="es-MX"/>
              </w:rPr>
            </w:pPr>
          </w:p>
          <w:p w:rsidR="00AA4759" w:rsidRPr="00AA4759" w:rsidRDefault="00AA4759" w:rsidP="00C54880">
            <w:pPr>
              <w:jc w:val="center"/>
              <w:rPr>
                <w:rFonts w:ascii="ITC Avant Garde" w:eastAsia="Calibri" w:hAnsi="ITC Avant Garde" w:cs="Arial"/>
                <w:b/>
                <w:bCs/>
                <w:sz w:val="22"/>
                <w:szCs w:val="22"/>
                <w:lang w:val="es-MX"/>
              </w:rPr>
            </w:pPr>
            <w:r w:rsidRPr="00AA4759">
              <w:rPr>
                <w:rFonts w:ascii="ITC Avant Garde" w:eastAsia="Calibri" w:hAnsi="ITC Avant Garde" w:cs="Arial"/>
                <w:b/>
                <w:sz w:val="22"/>
                <w:szCs w:val="22"/>
                <w:lang w:val="es-MX"/>
              </w:rPr>
              <w:t>Gabriel Oswaldo Contreras Saldívar</w:t>
            </w:r>
          </w:p>
          <w:p w:rsidR="00AA4759" w:rsidRPr="00AA4759" w:rsidRDefault="00AA4759" w:rsidP="00C54880">
            <w:pPr>
              <w:jc w:val="center"/>
              <w:rPr>
                <w:rFonts w:ascii="ITC Avant Garde" w:eastAsia="Calibri" w:hAnsi="ITC Avant Garde" w:cs="Arial"/>
                <w:b/>
                <w:sz w:val="22"/>
                <w:szCs w:val="22"/>
                <w:lang w:val="es-MX"/>
              </w:rPr>
            </w:pPr>
            <w:r w:rsidRPr="00AA4759">
              <w:rPr>
                <w:rFonts w:ascii="ITC Avant Garde" w:eastAsia="Calibri" w:hAnsi="ITC Avant Garde" w:cs="Arial"/>
                <w:b/>
                <w:sz w:val="22"/>
                <w:szCs w:val="22"/>
                <w:lang w:val="es-MX"/>
              </w:rPr>
              <w:t>Comisionado Presidente</w:t>
            </w:r>
          </w:p>
        </w:tc>
      </w:tr>
      <w:tr w:rsidR="00AA4759" w:rsidRPr="00AA4759" w:rsidTr="00C54880">
        <w:trPr>
          <w:trHeight w:val="1655"/>
          <w:jc w:val="center"/>
        </w:trPr>
        <w:tc>
          <w:tcPr>
            <w:tcW w:w="5024" w:type="dxa"/>
            <w:vAlign w:val="center"/>
          </w:tcPr>
          <w:p w:rsidR="00AA4759" w:rsidRPr="00AA4759" w:rsidRDefault="00AA4759" w:rsidP="00C54880">
            <w:pPr>
              <w:jc w:val="center"/>
              <w:rPr>
                <w:rFonts w:ascii="ITC Avant Garde" w:eastAsia="Calibri" w:hAnsi="ITC Avant Garde"/>
                <w:sz w:val="22"/>
                <w:szCs w:val="22"/>
                <w:shd w:val="clear" w:color="auto" w:fill="FFFFFF"/>
                <w:lang w:val="es-MX"/>
              </w:rPr>
            </w:pPr>
          </w:p>
          <w:p w:rsidR="00AA4759" w:rsidRPr="00AA4759" w:rsidRDefault="00AA4759" w:rsidP="00C54880">
            <w:pPr>
              <w:jc w:val="center"/>
              <w:rPr>
                <w:rFonts w:ascii="ITC Avant Garde" w:eastAsia="Calibri" w:hAnsi="ITC Avant Garde"/>
                <w:sz w:val="22"/>
                <w:szCs w:val="22"/>
                <w:shd w:val="clear" w:color="auto" w:fill="FFFFFF"/>
                <w:lang w:val="es-MX"/>
              </w:rPr>
            </w:pPr>
          </w:p>
          <w:p w:rsidR="00AA4759" w:rsidRPr="00AA4759" w:rsidRDefault="00AA4759" w:rsidP="00C54880">
            <w:pPr>
              <w:jc w:val="center"/>
              <w:rPr>
                <w:rFonts w:ascii="ITC Avant Garde" w:eastAsia="Calibri" w:hAnsi="ITC Avant Garde"/>
                <w:sz w:val="22"/>
                <w:szCs w:val="22"/>
                <w:shd w:val="clear" w:color="auto" w:fill="FFFFFF"/>
                <w:lang w:val="es-MX"/>
              </w:rPr>
            </w:pPr>
          </w:p>
          <w:p w:rsidR="00AA4759" w:rsidRPr="00AA4759" w:rsidRDefault="00AA4759" w:rsidP="00C54880">
            <w:pPr>
              <w:jc w:val="center"/>
              <w:rPr>
                <w:rFonts w:ascii="ITC Avant Garde" w:eastAsia="Calibri" w:hAnsi="ITC Avant Garde"/>
                <w:sz w:val="22"/>
                <w:szCs w:val="22"/>
                <w:shd w:val="clear" w:color="auto" w:fill="FFFFFF"/>
                <w:lang w:val="es-MX"/>
              </w:rPr>
            </w:pPr>
          </w:p>
          <w:p w:rsidR="00AA4759" w:rsidRPr="00AA4759" w:rsidRDefault="00AA4759" w:rsidP="00C54880">
            <w:pPr>
              <w:tabs>
                <w:tab w:val="left" w:pos="993"/>
              </w:tabs>
              <w:ind w:right="-1"/>
              <w:jc w:val="center"/>
              <w:rPr>
                <w:rFonts w:ascii="ITC Avant Garde" w:eastAsia="Calibri" w:hAnsi="ITC Avant Garde"/>
                <w:b/>
                <w:bCs/>
                <w:sz w:val="22"/>
                <w:szCs w:val="22"/>
                <w:lang w:val="es-MX"/>
              </w:rPr>
            </w:pPr>
            <w:r w:rsidRPr="00AA4759">
              <w:rPr>
                <w:rFonts w:ascii="ITC Avant Garde" w:eastAsia="Calibri" w:hAnsi="ITC Avant Garde"/>
                <w:b/>
                <w:sz w:val="22"/>
                <w:szCs w:val="22"/>
                <w:lang w:val="es-MX"/>
              </w:rPr>
              <w:t>Mario Germán Fromow Rangel</w:t>
            </w:r>
          </w:p>
          <w:p w:rsidR="00AA4759" w:rsidRPr="00AA4759" w:rsidRDefault="00AA4759" w:rsidP="00C54880">
            <w:pPr>
              <w:jc w:val="center"/>
              <w:rPr>
                <w:rFonts w:ascii="ITC Avant Garde" w:eastAsia="Calibri" w:hAnsi="ITC Avant Garde"/>
                <w:sz w:val="22"/>
                <w:szCs w:val="22"/>
                <w:shd w:val="clear" w:color="auto" w:fill="FFFFFF"/>
                <w:lang w:val="es-MX"/>
              </w:rPr>
            </w:pPr>
            <w:r w:rsidRPr="00AA4759">
              <w:rPr>
                <w:rFonts w:ascii="ITC Avant Garde" w:eastAsia="Calibri" w:hAnsi="ITC Avant Garde"/>
                <w:b/>
                <w:sz w:val="22"/>
                <w:szCs w:val="22"/>
                <w:lang w:val="es-MX"/>
              </w:rPr>
              <w:t>Comisionado</w:t>
            </w:r>
          </w:p>
        </w:tc>
        <w:tc>
          <w:tcPr>
            <w:tcW w:w="5024" w:type="dxa"/>
            <w:vAlign w:val="center"/>
          </w:tcPr>
          <w:p w:rsidR="00AA4759" w:rsidRPr="00AA4759" w:rsidRDefault="00AA4759" w:rsidP="00C54880">
            <w:pPr>
              <w:jc w:val="center"/>
              <w:rPr>
                <w:rFonts w:ascii="ITC Avant Garde" w:eastAsia="Calibri" w:hAnsi="ITC Avant Garde"/>
                <w:sz w:val="22"/>
                <w:szCs w:val="22"/>
                <w:shd w:val="clear" w:color="auto" w:fill="FFFFFF"/>
                <w:lang w:val="es-MX"/>
              </w:rPr>
            </w:pPr>
          </w:p>
          <w:p w:rsidR="00AA4759" w:rsidRPr="00AA4759" w:rsidRDefault="00AA4759" w:rsidP="00C54880">
            <w:pPr>
              <w:jc w:val="center"/>
              <w:rPr>
                <w:rFonts w:ascii="ITC Avant Garde" w:eastAsia="Calibri" w:hAnsi="ITC Avant Garde"/>
                <w:sz w:val="22"/>
                <w:szCs w:val="22"/>
                <w:shd w:val="clear" w:color="auto" w:fill="FFFFFF"/>
                <w:lang w:val="es-MX"/>
              </w:rPr>
            </w:pPr>
          </w:p>
          <w:p w:rsidR="00AA4759" w:rsidRPr="00AA4759" w:rsidRDefault="00AA4759" w:rsidP="00C54880">
            <w:pPr>
              <w:jc w:val="center"/>
              <w:rPr>
                <w:rFonts w:ascii="ITC Avant Garde" w:eastAsia="Calibri" w:hAnsi="ITC Avant Garde"/>
                <w:sz w:val="22"/>
                <w:szCs w:val="22"/>
                <w:shd w:val="clear" w:color="auto" w:fill="FFFFFF"/>
                <w:lang w:val="es-MX"/>
              </w:rPr>
            </w:pPr>
          </w:p>
          <w:p w:rsidR="00AA4759" w:rsidRPr="00AA4759" w:rsidRDefault="00AA4759" w:rsidP="00C54880">
            <w:pPr>
              <w:jc w:val="center"/>
              <w:rPr>
                <w:rFonts w:ascii="ITC Avant Garde" w:eastAsia="Calibri" w:hAnsi="ITC Avant Garde"/>
                <w:sz w:val="22"/>
                <w:szCs w:val="22"/>
                <w:shd w:val="clear" w:color="auto" w:fill="FFFFFF"/>
                <w:lang w:val="es-MX"/>
              </w:rPr>
            </w:pPr>
          </w:p>
          <w:p w:rsidR="00AA4759" w:rsidRPr="00AA4759" w:rsidRDefault="00AA4759" w:rsidP="00C54880">
            <w:pPr>
              <w:tabs>
                <w:tab w:val="left" w:pos="993"/>
              </w:tabs>
              <w:ind w:right="-1"/>
              <w:jc w:val="center"/>
              <w:rPr>
                <w:rFonts w:ascii="ITC Avant Garde" w:eastAsia="Calibri" w:hAnsi="ITC Avant Garde"/>
                <w:b/>
                <w:bCs/>
                <w:sz w:val="22"/>
                <w:szCs w:val="22"/>
                <w:lang w:val="es-MX"/>
              </w:rPr>
            </w:pPr>
            <w:r w:rsidRPr="00AA4759">
              <w:rPr>
                <w:rFonts w:ascii="ITC Avant Garde" w:eastAsia="Calibri" w:hAnsi="ITC Avant Garde"/>
                <w:b/>
                <w:sz w:val="22"/>
                <w:szCs w:val="22"/>
                <w:lang w:val="es-MX"/>
              </w:rPr>
              <w:t>Adolfo Cuevas Teja</w:t>
            </w:r>
          </w:p>
          <w:p w:rsidR="00AA4759" w:rsidRPr="00AA4759" w:rsidRDefault="00AA4759" w:rsidP="00C54880">
            <w:pPr>
              <w:jc w:val="center"/>
              <w:rPr>
                <w:rFonts w:ascii="ITC Avant Garde" w:eastAsia="Calibri" w:hAnsi="ITC Avant Garde"/>
                <w:sz w:val="22"/>
                <w:szCs w:val="22"/>
                <w:shd w:val="clear" w:color="auto" w:fill="FFFFFF"/>
                <w:lang w:val="es-MX"/>
              </w:rPr>
            </w:pPr>
            <w:r w:rsidRPr="00AA4759">
              <w:rPr>
                <w:rFonts w:ascii="ITC Avant Garde" w:eastAsia="Calibri" w:hAnsi="ITC Avant Garde"/>
                <w:b/>
                <w:sz w:val="22"/>
                <w:szCs w:val="22"/>
                <w:lang w:val="es-MX"/>
              </w:rPr>
              <w:t>Comisionado</w:t>
            </w:r>
          </w:p>
        </w:tc>
      </w:tr>
      <w:tr w:rsidR="00AA4759" w:rsidRPr="00AA4759" w:rsidTr="00C54880">
        <w:trPr>
          <w:trHeight w:val="1672"/>
          <w:jc w:val="center"/>
        </w:trPr>
        <w:tc>
          <w:tcPr>
            <w:tcW w:w="5024" w:type="dxa"/>
            <w:vAlign w:val="center"/>
          </w:tcPr>
          <w:p w:rsidR="00AA4759" w:rsidRPr="00AA4759" w:rsidRDefault="00AA4759" w:rsidP="00C54880">
            <w:pPr>
              <w:jc w:val="center"/>
              <w:rPr>
                <w:rFonts w:ascii="ITC Avant Garde" w:eastAsia="Calibri" w:hAnsi="ITC Avant Garde"/>
                <w:sz w:val="22"/>
                <w:szCs w:val="22"/>
                <w:shd w:val="clear" w:color="auto" w:fill="FFFFFF"/>
                <w:lang w:val="es-MX"/>
              </w:rPr>
            </w:pPr>
          </w:p>
          <w:p w:rsidR="00AA4759" w:rsidRPr="00AA4759" w:rsidRDefault="00AA4759" w:rsidP="00C54880">
            <w:pPr>
              <w:jc w:val="center"/>
              <w:rPr>
                <w:rFonts w:ascii="ITC Avant Garde" w:eastAsia="Calibri" w:hAnsi="ITC Avant Garde"/>
                <w:sz w:val="22"/>
                <w:szCs w:val="22"/>
                <w:shd w:val="clear" w:color="auto" w:fill="FFFFFF"/>
                <w:lang w:val="es-MX"/>
              </w:rPr>
            </w:pPr>
          </w:p>
          <w:p w:rsidR="00AA4759" w:rsidRPr="00AA4759" w:rsidRDefault="00AA4759" w:rsidP="00C54880">
            <w:pPr>
              <w:jc w:val="center"/>
              <w:rPr>
                <w:rFonts w:ascii="ITC Avant Garde" w:eastAsia="Calibri" w:hAnsi="ITC Avant Garde"/>
                <w:sz w:val="22"/>
                <w:szCs w:val="22"/>
                <w:shd w:val="clear" w:color="auto" w:fill="FFFFFF"/>
                <w:lang w:val="es-MX"/>
              </w:rPr>
            </w:pPr>
          </w:p>
          <w:p w:rsidR="00AA4759" w:rsidRPr="00AA4759" w:rsidRDefault="00AA4759" w:rsidP="00C54880">
            <w:pPr>
              <w:jc w:val="center"/>
              <w:rPr>
                <w:rFonts w:ascii="ITC Avant Garde" w:eastAsia="Calibri" w:hAnsi="ITC Avant Garde"/>
                <w:sz w:val="22"/>
                <w:szCs w:val="22"/>
                <w:shd w:val="clear" w:color="auto" w:fill="FFFFFF"/>
                <w:lang w:val="es-MX"/>
              </w:rPr>
            </w:pPr>
          </w:p>
          <w:p w:rsidR="00AA4759" w:rsidRPr="00AA4759" w:rsidRDefault="00AA4759" w:rsidP="00C54880">
            <w:pPr>
              <w:tabs>
                <w:tab w:val="left" w:pos="993"/>
              </w:tabs>
              <w:ind w:right="-1"/>
              <w:jc w:val="center"/>
              <w:rPr>
                <w:rFonts w:ascii="ITC Avant Garde" w:eastAsia="Calibri" w:hAnsi="ITC Avant Garde"/>
                <w:b/>
                <w:bCs/>
                <w:sz w:val="22"/>
                <w:szCs w:val="22"/>
                <w:lang w:val="es-MX"/>
              </w:rPr>
            </w:pPr>
            <w:r w:rsidRPr="00AA4759">
              <w:rPr>
                <w:rFonts w:ascii="ITC Avant Garde" w:eastAsia="Calibri" w:hAnsi="ITC Avant Garde"/>
                <w:b/>
                <w:sz w:val="22"/>
                <w:szCs w:val="22"/>
                <w:lang w:val="es-MX"/>
              </w:rPr>
              <w:t>Javier Juárez Mojica</w:t>
            </w:r>
          </w:p>
          <w:p w:rsidR="00AA4759" w:rsidRPr="00AA4759" w:rsidRDefault="00AA4759" w:rsidP="00C54880">
            <w:pPr>
              <w:jc w:val="center"/>
              <w:rPr>
                <w:rFonts w:ascii="ITC Avant Garde" w:eastAsia="Calibri" w:hAnsi="ITC Avant Garde"/>
                <w:sz w:val="22"/>
                <w:szCs w:val="22"/>
                <w:shd w:val="clear" w:color="auto" w:fill="FFFFFF"/>
                <w:lang w:val="es-MX"/>
              </w:rPr>
            </w:pPr>
            <w:r w:rsidRPr="00AA4759">
              <w:rPr>
                <w:rFonts w:ascii="ITC Avant Garde" w:eastAsia="Calibri" w:hAnsi="ITC Avant Garde"/>
                <w:b/>
                <w:sz w:val="22"/>
                <w:szCs w:val="22"/>
                <w:lang w:val="es-MX"/>
              </w:rPr>
              <w:t>Comisionado</w:t>
            </w:r>
          </w:p>
        </w:tc>
        <w:tc>
          <w:tcPr>
            <w:tcW w:w="5024" w:type="dxa"/>
            <w:vAlign w:val="center"/>
          </w:tcPr>
          <w:p w:rsidR="00AA4759" w:rsidRPr="00AA4759" w:rsidRDefault="00AA4759" w:rsidP="00C54880">
            <w:pPr>
              <w:jc w:val="center"/>
              <w:rPr>
                <w:rFonts w:ascii="ITC Avant Garde" w:eastAsia="Calibri" w:hAnsi="ITC Avant Garde"/>
                <w:sz w:val="22"/>
                <w:szCs w:val="22"/>
                <w:shd w:val="clear" w:color="auto" w:fill="FFFFFF"/>
                <w:lang w:val="es-MX"/>
              </w:rPr>
            </w:pPr>
          </w:p>
          <w:p w:rsidR="00AA4759" w:rsidRPr="00AA4759" w:rsidRDefault="00AA4759" w:rsidP="00C54880">
            <w:pPr>
              <w:jc w:val="center"/>
              <w:rPr>
                <w:rFonts w:ascii="ITC Avant Garde" w:eastAsia="Calibri" w:hAnsi="ITC Avant Garde"/>
                <w:sz w:val="22"/>
                <w:szCs w:val="22"/>
                <w:shd w:val="clear" w:color="auto" w:fill="FFFFFF"/>
                <w:lang w:val="es-MX"/>
              </w:rPr>
            </w:pPr>
          </w:p>
          <w:p w:rsidR="00AA4759" w:rsidRPr="00AA4759" w:rsidRDefault="00AA4759" w:rsidP="00C54880">
            <w:pPr>
              <w:jc w:val="center"/>
              <w:rPr>
                <w:rFonts w:ascii="ITC Avant Garde" w:eastAsia="Calibri" w:hAnsi="ITC Avant Garde"/>
                <w:sz w:val="22"/>
                <w:szCs w:val="22"/>
                <w:shd w:val="clear" w:color="auto" w:fill="FFFFFF"/>
                <w:lang w:val="es-MX"/>
              </w:rPr>
            </w:pPr>
          </w:p>
          <w:p w:rsidR="00AA4759" w:rsidRPr="00AA4759" w:rsidRDefault="00AA4759" w:rsidP="00C54880">
            <w:pPr>
              <w:jc w:val="center"/>
              <w:rPr>
                <w:rFonts w:ascii="ITC Avant Garde" w:eastAsia="Calibri" w:hAnsi="ITC Avant Garde"/>
                <w:sz w:val="22"/>
                <w:szCs w:val="22"/>
                <w:shd w:val="clear" w:color="auto" w:fill="FFFFFF"/>
                <w:lang w:val="es-MX"/>
              </w:rPr>
            </w:pPr>
          </w:p>
          <w:p w:rsidR="00AA4759" w:rsidRPr="00AA4759" w:rsidRDefault="00AA4759" w:rsidP="00C54880">
            <w:pPr>
              <w:tabs>
                <w:tab w:val="left" w:pos="993"/>
              </w:tabs>
              <w:ind w:right="-1"/>
              <w:jc w:val="center"/>
              <w:rPr>
                <w:rFonts w:ascii="ITC Avant Garde" w:eastAsia="Calibri" w:hAnsi="ITC Avant Garde"/>
                <w:b/>
                <w:bCs/>
                <w:sz w:val="22"/>
                <w:szCs w:val="22"/>
                <w:lang w:val="es-MX"/>
              </w:rPr>
            </w:pPr>
            <w:r w:rsidRPr="00AA4759">
              <w:rPr>
                <w:rFonts w:ascii="ITC Avant Garde" w:eastAsia="Calibri" w:hAnsi="ITC Avant Garde"/>
                <w:b/>
                <w:sz w:val="22"/>
                <w:szCs w:val="22"/>
                <w:lang w:val="es-MX"/>
              </w:rPr>
              <w:t>Arturo Robles Rovalo</w:t>
            </w:r>
          </w:p>
          <w:p w:rsidR="00AA4759" w:rsidRPr="00AA4759" w:rsidRDefault="00AA4759" w:rsidP="00C54880">
            <w:pPr>
              <w:jc w:val="center"/>
              <w:rPr>
                <w:rFonts w:ascii="ITC Avant Garde" w:eastAsia="Calibri" w:hAnsi="ITC Avant Garde"/>
                <w:sz w:val="22"/>
                <w:szCs w:val="22"/>
                <w:shd w:val="clear" w:color="auto" w:fill="FFFFFF"/>
                <w:lang w:val="es-MX"/>
              </w:rPr>
            </w:pPr>
            <w:r w:rsidRPr="00AA4759">
              <w:rPr>
                <w:rFonts w:ascii="ITC Avant Garde" w:eastAsia="Calibri" w:hAnsi="ITC Avant Garde"/>
                <w:b/>
                <w:sz w:val="22"/>
                <w:szCs w:val="22"/>
                <w:lang w:val="es-MX"/>
              </w:rPr>
              <w:t>Comisionado</w:t>
            </w:r>
          </w:p>
        </w:tc>
      </w:tr>
      <w:tr w:rsidR="00AA4759" w:rsidRPr="00AA4759" w:rsidTr="00C54880">
        <w:trPr>
          <w:trHeight w:val="1655"/>
          <w:jc w:val="center"/>
        </w:trPr>
        <w:tc>
          <w:tcPr>
            <w:tcW w:w="5024" w:type="dxa"/>
            <w:vAlign w:val="center"/>
          </w:tcPr>
          <w:p w:rsidR="00AA4759" w:rsidRPr="00AA4759" w:rsidRDefault="00AA4759" w:rsidP="00C54880">
            <w:pPr>
              <w:jc w:val="center"/>
              <w:rPr>
                <w:rFonts w:ascii="ITC Avant Garde" w:eastAsia="Calibri" w:hAnsi="ITC Avant Garde"/>
                <w:sz w:val="22"/>
                <w:szCs w:val="22"/>
                <w:shd w:val="clear" w:color="auto" w:fill="FFFFFF"/>
                <w:lang w:val="es-MX"/>
              </w:rPr>
            </w:pPr>
          </w:p>
          <w:p w:rsidR="00AA4759" w:rsidRPr="00AA4759" w:rsidRDefault="00AA4759" w:rsidP="00C54880">
            <w:pPr>
              <w:jc w:val="center"/>
              <w:rPr>
                <w:rFonts w:ascii="ITC Avant Garde" w:eastAsia="Calibri" w:hAnsi="ITC Avant Garde"/>
                <w:sz w:val="22"/>
                <w:szCs w:val="22"/>
                <w:shd w:val="clear" w:color="auto" w:fill="FFFFFF"/>
                <w:lang w:val="es-MX"/>
              </w:rPr>
            </w:pPr>
          </w:p>
          <w:p w:rsidR="00AA4759" w:rsidRPr="00AA4759" w:rsidRDefault="00AA4759" w:rsidP="00C54880">
            <w:pPr>
              <w:jc w:val="center"/>
              <w:rPr>
                <w:rFonts w:ascii="ITC Avant Garde" w:eastAsia="Calibri" w:hAnsi="ITC Avant Garde"/>
                <w:sz w:val="22"/>
                <w:szCs w:val="22"/>
                <w:shd w:val="clear" w:color="auto" w:fill="FFFFFF"/>
                <w:lang w:val="es-MX"/>
              </w:rPr>
            </w:pPr>
          </w:p>
          <w:p w:rsidR="00AA4759" w:rsidRPr="00AA4759" w:rsidRDefault="00AA4759" w:rsidP="00C54880">
            <w:pPr>
              <w:jc w:val="center"/>
              <w:rPr>
                <w:rFonts w:ascii="ITC Avant Garde" w:eastAsia="Calibri" w:hAnsi="ITC Avant Garde"/>
                <w:sz w:val="22"/>
                <w:szCs w:val="22"/>
                <w:shd w:val="clear" w:color="auto" w:fill="FFFFFF"/>
                <w:lang w:val="es-MX"/>
              </w:rPr>
            </w:pPr>
          </w:p>
          <w:p w:rsidR="00AA4759" w:rsidRPr="00AA4759" w:rsidRDefault="00AA4759" w:rsidP="00C54880">
            <w:pPr>
              <w:tabs>
                <w:tab w:val="left" w:pos="993"/>
              </w:tabs>
              <w:ind w:right="-1"/>
              <w:jc w:val="center"/>
              <w:rPr>
                <w:rFonts w:ascii="ITC Avant Garde" w:eastAsia="Calibri" w:hAnsi="ITC Avant Garde"/>
                <w:b/>
                <w:bCs/>
                <w:sz w:val="22"/>
                <w:szCs w:val="22"/>
                <w:lang w:val="es-MX"/>
              </w:rPr>
            </w:pPr>
            <w:r w:rsidRPr="00AA4759">
              <w:rPr>
                <w:rFonts w:ascii="ITC Avant Garde" w:eastAsia="Calibri" w:hAnsi="ITC Avant Garde"/>
                <w:b/>
                <w:sz w:val="22"/>
                <w:szCs w:val="22"/>
                <w:lang w:val="es-MX"/>
              </w:rPr>
              <w:t>Sóstenes Díaz González</w:t>
            </w:r>
          </w:p>
          <w:p w:rsidR="00AA4759" w:rsidRPr="00AA4759" w:rsidRDefault="00AA4759" w:rsidP="00C54880">
            <w:pPr>
              <w:jc w:val="center"/>
              <w:rPr>
                <w:rFonts w:ascii="Times New Roman" w:eastAsia="Calibri" w:hAnsi="Times New Roman"/>
                <w:noProof/>
                <w:sz w:val="22"/>
                <w:szCs w:val="22"/>
                <w:shd w:val="clear" w:color="auto" w:fill="FFFFFF"/>
                <w:lang w:val="es-ES"/>
              </w:rPr>
            </w:pPr>
            <w:r w:rsidRPr="00AA4759">
              <w:rPr>
                <w:rFonts w:ascii="ITC Avant Garde" w:eastAsia="Calibri" w:hAnsi="ITC Avant Garde"/>
                <w:b/>
                <w:noProof/>
                <w:sz w:val="22"/>
                <w:szCs w:val="22"/>
                <w:lang w:val="es-ES"/>
              </w:rPr>
              <w:t>Comisionado</w:t>
            </w:r>
          </w:p>
        </w:tc>
        <w:tc>
          <w:tcPr>
            <w:tcW w:w="5024" w:type="dxa"/>
            <w:vAlign w:val="center"/>
          </w:tcPr>
          <w:p w:rsidR="00AA4759" w:rsidRPr="00AA4759" w:rsidRDefault="00AA4759" w:rsidP="00C54880">
            <w:pPr>
              <w:jc w:val="center"/>
              <w:rPr>
                <w:rFonts w:ascii="ITC Avant Garde" w:eastAsia="Calibri" w:hAnsi="ITC Avant Garde"/>
                <w:sz w:val="22"/>
                <w:szCs w:val="22"/>
                <w:shd w:val="clear" w:color="auto" w:fill="FFFFFF"/>
                <w:lang w:val="es-MX"/>
              </w:rPr>
            </w:pPr>
          </w:p>
          <w:p w:rsidR="00AA4759" w:rsidRPr="00AA4759" w:rsidRDefault="00AA4759" w:rsidP="00C54880">
            <w:pPr>
              <w:jc w:val="center"/>
              <w:rPr>
                <w:rFonts w:ascii="ITC Avant Garde" w:eastAsia="Calibri" w:hAnsi="ITC Avant Garde"/>
                <w:sz w:val="22"/>
                <w:szCs w:val="22"/>
                <w:shd w:val="clear" w:color="auto" w:fill="FFFFFF"/>
                <w:lang w:val="es-MX"/>
              </w:rPr>
            </w:pPr>
          </w:p>
          <w:p w:rsidR="00AA4759" w:rsidRPr="00AA4759" w:rsidRDefault="00AA4759" w:rsidP="00C54880">
            <w:pPr>
              <w:jc w:val="center"/>
              <w:rPr>
                <w:rFonts w:ascii="ITC Avant Garde" w:eastAsia="Calibri" w:hAnsi="ITC Avant Garde"/>
                <w:sz w:val="22"/>
                <w:szCs w:val="22"/>
                <w:shd w:val="clear" w:color="auto" w:fill="FFFFFF"/>
                <w:lang w:val="es-MX"/>
              </w:rPr>
            </w:pPr>
          </w:p>
          <w:p w:rsidR="00AA4759" w:rsidRPr="00AA4759" w:rsidRDefault="00AA4759" w:rsidP="00C54880">
            <w:pPr>
              <w:jc w:val="center"/>
              <w:rPr>
                <w:rFonts w:ascii="ITC Avant Garde" w:eastAsia="Calibri" w:hAnsi="ITC Avant Garde"/>
                <w:sz w:val="22"/>
                <w:szCs w:val="22"/>
                <w:shd w:val="clear" w:color="auto" w:fill="FFFFFF"/>
                <w:lang w:val="es-MX"/>
              </w:rPr>
            </w:pPr>
          </w:p>
          <w:p w:rsidR="00AA4759" w:rsidRPr="00AA4759" w:rsidRDefault="00AA4759" w:rsidP="00C54880">
            <w:pPr>
              <w:jc w:val="center"/>
              <w:rPr>
                <w:rFonts w:ascii="ITC Avant Garde" w:eastAsia="Calibri" w:hAnsi="ITC Avant Garde"/>
                <w:b/>
                <w:sz w:val="22"/>
                <w:szCs w:val="22"/>
                <w:shd w:val="clear" w:color="auto" w:fill="FFFFFF"/>
                <w:lang w:val="es-MX"/>
              </w:rPr>
            </w:pPr>
            <w:r w:rsidRPr="00AA4759">
              <w:rPr>
                <w:rFonts w:ascii="ITC Avant Garde" w:eastAsia="Calibri" w:hAnsi="ITC Avant Garde"/>
                <w:b/>
                <w:sz w:val="22"/>
                <w:szCs w:val="22"/>
                <w:shd w:val="clear" w:color="auto" w:fill="FFFFFF"/>
                <w:lang w:val="es-MX"/>
              </w:rPr>
              <w:t>Ramiro Camacho Castillo</w:t>
            </w:r>
          </w:p>
          <w:p w:rsidR="00AA4759" w:rsidRPr="00AA4759" w:rsidRDefault="00AA4759" w:rsidP="00C54880">
            <w:pPr>
              <w:jc w:val="center"/>
              <w:rPr>
                <w:rFonts w:ascii="ITC Avant Garde" w:eastAsia="Calibri" w:hAnsi="ITC Avant Garde"/>
                <w:sz w:val="22"/>
                <w:szCs w:val="22"/>
                <w:shd w:val="clear" w:color="auto" w:fill="FFFFFF"/>
                <w:lang w:val="es-MX"/>
              </w:rPr>
            </w:pPr>
            <w:r w:rsidRPr="00AA4759">
              <w:rPr>
                <w:rFonts w:ascii="ITC Avant Garde" w:eastAsia="Calibri" w:hAnsi="ITC Avant Garde"/>
                <w:b/>
                <w:sz w:val="22"/>
                <w:szCs w:val="22"/>
                <w:lang w:val="es-MX"/>
              </w:rPr>
              <w:t>Comisionado</w:t>
            </w:r>
          </w:p>
        </w:tc>
      </w:tr>
    </w:tbl>
    <w:p w:rsidR="00AA4759" w:rsidRDefault="00AA4759" w:rsidP="00AA4759">
      <w:pPr>
        <w:spacing w:after="200"/>
        <w:rPr>
          <w:rFonts w:ascii="Calibri" w:eastAsia="Calibri" w:hAnsi="Calibri" w:cs="Times New Roman"/>
          <w:sz w:val="22"/>
          <w:szCs w:val="22"/>
          <w:lang w:val="es-MX"/>
        </w:rPr>
      </w:pPr>
    </w:p>
    <w:p w:rsidR="00564B23" w:rsidRDefault="00564B23" w:rsidP="00AA4759">
      <w:pPr>
        <w:spacing w:after="200"/>
        <w:rPr>
          <w:rFonts w:ascii="Calibri" w:eastAsia="Calibri" w:hAnsi="Calibri" w:cs="Times New Roman"/>
          <w:sz w:val="22"/>
          <w:szCs w:val="22"/>
          <w:lang w:val="es-MX"/>
        </w:rPr>
      </w:pPr>
    </w:p>
    <w:p w:rsidR="00564B23" w:rsidRPr="00564B23" w:rsidRDefault="00564B23" w:rsidP="00564B23">
      <w:pPr>
        <w:jc w:val="both"/>
        <w:rPr>
          <w:rFonts w:ascii="ITC Avant Garde" w:eastAsiaTheme="minorHAnsi" w:hAnsi="ITC Avant Garde"/>
          <w:b/>
          <w:sz w:val="12"/>
          <w:szCs w:val="22"/>
          <w:lang w:val="es-ES"/>
        </w:rPr>
      </w:pPr>
      <w:r w:rsidRPr="00564B23">
        <w:rPr>
          <w:rFonts w:ascii="ITC Avant Garde" w:hAnsi="ITC Avant Garde"/>
          <w:sz w:val="14"/>
          <w:lang w:val="es-ES"/>
        </w:rPr>
        <w:t xml:space="preserve">El presente Acuerdo fue aprobado por el </w:t>
      </w:r>
      <w:r w:rsidRPr="00564B23">
        <w:rPr>
          <w:rFonts w:ascii="ITC Avant Garde" w:hAnsi="ITC Avant Garde"/>
          <w:sz w:val="14"/>
        </w:rPr>
        <w:t>P</w:t>
      </w:r>
      <w:bookmarkStart w:id="0" w:name="_GoBack"/>
      <w:bookmarkEnd w:id="0"/>
      <w:r w:rsidRPr="00564B23">
        <w:rPr>
          <w:rFonts w:ascii="ITC Avant Garde" w:hAnsi="ITC Avant Garde"/>
          <w:sz w:val="14"/>
        </w:rPr>
        <w:t xml:space="preserve">leno del Instituto Federal de Telecomunicaciones en su IX Sesión Ordinaria celebrada el 20 de marzo de 2019, por </w:t>
      </w:r>
      <w:r w:rsidRPr="00564B23">
        <w:rPr>
          <w:rFonts w:ascii="ITC Avant Garde" w:hAnsi="ITC Avant Garde"/>
          <w:bCs/>
          <w:sz w:val="14"/>
        </w:rPr>
        <w:t>unanimidad</w:t>
      </w:r>
      <w:r w:rsidRPr="00564B23">
        <w:rPr>
          <w:rFonts w:ascii="ITC Avant Garde" w:hAnsi="ITC Avant Garde"/>
          <w:b/>
          <w:bCs/>
          <w:sz w:val="14"/>
        </w:rPr>
        <w:t xml:space="preserve"> </w:t>
      </w:r>
      <w:r w:rsidRPr="00564B23">
        <w:rPr>
          <w:rFonts w:ascii="ITC Avant Garde" w:hAnsi="ITC Avant Garde"/>
          <w:sz w:val="14"/>
        </w:rPr>
        <w:t xml:space="preserve">de votos de los Comisionados Gabriel Oswaldo Contreras Saldívar, Mario Germán Fromow Rangel, Adolfo Cuevas Teja, Javier Juárez Mojica, Arturo Robles Rovalo, Sóstenes Díaz González y Ramiro Camacho Castillo;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w:t>
      </w:r>
      <w:r w:rsidRPr="00564B23">
        <w:rPr>
          <w:rFonts w:ascii="ITC Avant Garde" w:hAnsi="ITC Avant Garde"/>
          <w:bCs/>
          <w:sz w:val="14"/>
        </w:rPr>
        <w:t>P/IFT/200319/125.</w:t>
      </w:r>
    </w:p>
    <w:p w:rsidR="00564B23" w:rsidRPr="00564B23" w:rsidRDefault="00564B23" w:rsidP="00AA4759">
      <w:pPr>
        <w:spacing w:after="200"/>
        <w:rPr>
          <w:rFonts w:ascii="Calibri" w:eastAsia="Calibri" w:hAnsi="Calibri" w:cs="Times New Roman"/>
          <w:sz w:val="22"/>
          <w:szCs w:val="22"/>
          <w:lang w:val="es-ES"/>
        </w:rPr>
      </w:pPr>
    </w:p>
    <w:sectPr w:rsidR="00564B23" w:rsidRPr="00564B23" w:rsidSect="00564B23">
      <w:footerReference w:type="default" r:id="rId8"/>
      <w:pgSz w:w="12240" w:h="15840"/>
      <w:pgMar w:top="1985" w:right="1985" w:bottom="1134"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4B23" w:rsidRDefault="00564B23" w:rsidP="00564B23">
      <w:r>
        <w:separator/>
      </w:r>
    </w:p>
  </w:endnote>
  <w:endnote w:type="continuationSeparator" w:id="0">
    <w:p w:rsidR="00564B23" w:rsidRDefault="00564B23" w:rsidP="00564B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5628591"/>
      <w:docPartObj>
        <w:docPartGallery w:val="Page Numbers (Bottom of Page)"/>
        <w:docPartUnique/>
      </w:docPartObj>
    </w:sdtPr>
    <w:sdtContent>
      <w:sdt>
        <w:sdtPr>
          <w:id w:val="-1769616900"/>
          <w:docPartObj>
            <w:docPartGallery w:val="Page Numbers (Top of Page)"/>
            <w:docPartUnique/>
          </w:docPartObj>
        </w:sdtPr>
        <w:sdtContent>
          <w:p w:rsidR="00564B23" w:rsidRDefault="00564B23">
            <w:pPr>
              <w:pStyle w:val="Piedepgina"/>
              <w:jc w:val="right"/>
            </w:pPr>
            <w:r w:rsidRPr="00564B23">
              <w:rPr>
                <w:rFonts w:ascii="ITC Avant Garde" w:hAnsi="ITC Avant Garde"/>
                <w:sz w:val="20"/>
                <w:lang w:val="es-ES"/>
              </w:rPr>
              <w:t xml:space="preserve">Página </w:t>
            </w:r>
            <w:r w:rsidRPr="00564B23">
              <w:rPr>
                <w:rFonts w:ascii="ITC Avant Garde" w:hAnsi="ITC Avant Garde"/>
                <w:b/>
                <w:bCs/>
                <w:sz w:val="20"/>
              </w:rPr>
              <w:fldChar w:fldCharType="begin"/>
            </w:r>
            <w:r w:rsidRPr="00564B23">
              <w:rPr>
                <w:rFonts w:ascii="ITC Avant Garde" w:hAnsi="ITC Avant Garde"/>
                <w:b/>
                <w:bCs/>
                <w:sz w:val="20"/>
              </w:rPr>
              <w:instrText>PAGE</w:instrText>
            </w:r>
            <w:r w:rsidRPr="00564B23">
              <w:rPr>
                <w:rFonts w:ascii="ITC Avant Garde" w:hAnsi="ITC Avant Garde"/>
                <w:b/>
                <w:bCs/>
                <w:sz w:val="20"/>
              </w:rPr>
              <w:fldChar w:fldCharType="separate"/>
            </w:r>
            <w:r w:rsidR="00C54880">
              <w:rPr>
                <w:rFonts w:ascii="ITC Avant Garde" w:hAnsi="ITC Avant Garde"/>
                <w:b/>
                <w:bCs/>
                <w:noProof/>
                <w:sz w:val="20"/>
              </w:rPr>
              <w:t>2</w:t>
            </w:r>
            <w:r w:rsidRPr="00564B23">
              <w:rPr>
                <w:rFonts w:ascii="ITC Avant Garde" w:hAnsi="ITC Avant Garde"/>
                <w:b/>
                <w:bCs/>
                <w:sz w:val="20"/>
              </w:rPr>
              <w:fldChar w:fldCharType="end"/>
            </w:r>
            <w:r w:rsidRPr="00564B23">
              <w:rPr>
                <w:rFonts w:ascii="ITC Avant Garde" w:hAnsi="ITC Avant Garde"/>
                <w:sz w:val="20"/>
                <w:lang w:val="es-ES"/>
              </w:rPr>
              <w:t xml:space="preserve"> de </w:t>
            </w:r>
            <w:r w:rsidRPr="00564B23">
              <w:rPr>
                <w:rFonts w:ascii="ITC Avant Garde" w:hAnsi="ITC Avant Garde"/>
                <w:b/>
                <w:bCs/>
                <w:sz w:val="20"/>
              </w:rPr>
              <w:fldChar w:fldCharType="begin"/>
            </w:r>
            <w:r w:rsidRPr="00564B23">
              <w:rPr>
                <w:rFonts w:ascii="ITC Avant Garde" w:hAnsi="ITC Avant Garde"/>
                <w:b/>
                <w:bCs/>
                <w:sz w:val="20"/>
              </w:rPr>
              <w:instrText>NUMPAGES</w:instrText>
            </w:r>
            <w:r w:rsidRPr="00564B23">
              <w:rPr>
                <w:rFonts w:ascii="ITC Avant Garde" w:hAnsi="ITC Avant Garde"/>
                <w:b/>
                <w:bCs/>
                <w:sz w:val="20"/>
              </w:rPr>
              <w:fldChar w:fldCharType="separate"/>
            </w:r>
            <w:r w:rsidR="00C54880">
              <w:rPr>
                <w:rFonts w:ascii="ITC Avant Garde" w:hAnsi="ITC Avant Garde"/>
                <w:b/>
                <w:bCs/>
                <w:noProof/>
                <w:sz w:val="20"/>
              </w:rPr>
              <w:t>6</w:t>
            </w:r>
            <w:r w:rsidRPr="00564B23">
              <w:rPr>
                <w:rFonts w:ascii="ITC Avant Garde" w:hAnsi="ITC Avant Garde"/>
                <w:b/>
                <w:bCs/>
                <w:sz w:val="20"/>
              </w:rPr>
              <w:fldChar w:fldCharType="end"/>
            </w:r>
          </w:p>
        </w:sdtContent>
      </w:sdt>
    </w:sdtContent>
  </w:sdt>
  <w:p w:rsidR="00564B23" w:rsidRDefault="00564B2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4B23" w:rsidRDefault="00564B23" w:rsidP="00564B23">
      <w:r>
        <w:separator/>
      </w:r>
    </w:p>
  </w:footnote>
  <w:footnote w:type="continuationSeparator" w:id="0">
    <w:p w:rsidR="00564B23" w:rsidRDefault="00564B23" w:rsidP="00564B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882630"/>
    <w:multiLevelType w:val="hybridMultilevel"/>
    <w:tmpl w:val="445CD32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DED75A0"/>
    <w:multiLevelType w:val="hybridMultilevel"/>
    <w:tmpl w:val="6D0E099A"/>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4A6245A6"/>
    <w:multiLevelType w:val="hybridMultilevel"/>
    <w:tmpl w:val="C40453E2"/>
    <w:lvl w:ilvl="0" w:tplc="080A0013">
      <w:start w:val="1"/>
      <w:numFmt w:val="upperRoman"/>
      <w:lvlText w:val="%1."/>
      <w:lvlJc w:val="right"/>
      <w:pPr>
        <w:ind w:left="360" w:hanging="360"/>
      </w:pPr>
      <w:rPr>
        <w:rFonts w:hint="default"/>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5"/>
  <w:activeWritingStyle w:appName="MSWord" w:lang="es-ES_tradnl" w:vendorID="64" w:dllVersion="131078" w:nlCheck="1" w:checkStyle="0"/>
  <w:activeWritingStyle w:appName="MSWord" w:lang="es-MX" w:vendorID="64" w:dllVersion="131078" w:nlCheck="1" w:checkStyle="0"/>
  <w:activeWritingStyle w:appName="MSWord" w:lang="es-419" w:vendorID="64" w:dllVersion="131078" w:nlCheck="1" w:checkStyle="0"/>
  <w:activeWritingStyle w:appName="MSWord" w:lang="es-ES" w:vendorID="64" w:dllVersion="131078" w:nlCheck="1" w:checkStyle="0"/>
  <w:proofState w:spelling="clean" w:grammar="clean"/>
  <w:revisionView w:markup="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6C2"/>
    <w:rsid w:val="000441CA"/>
    <w:rsid w:val="000B326E"/>
    <w:rsid w:val="000D6508"/>
    <w:rsid w:val="0013775E"/>
    <w:rsid w:val="0016789E"/>
    <w:rsid w:val="00177AA2"/>
    <w:rsid w:val="001C517F"/>
    <w:rsid w:val="001C5BB4"/>
    <w:rsid w:val="00200B26"/>
    <w:rsid w:val="00253F8B"/>
    <w:rsid w:val="002B1064"/>
    <w:rsid w:val="002B2EF7"/>
    <w:rsid w:val="002D5EB7"/>
    <w:rsid w:val="00304DDB"/>
    <w:rsid w:val="003771D5"/>
    <w:rsid w:val="003D06C5"/>
    <w:rsid w:val="00414A6D"/>
    <w:rsid w:val="00494B39"/>
    <w:rsid w:val="004D0BA6"/>
    <w:rsid w:val="00564B23"/>
    <w:rsid w:val="005A4E01"/>
    <w:rsid w:val="005D10A6"/>
    <w:rsid w:val="00640E50"/>
    <w:rsid w:val="00694CFD"/>
    <w:rsid w:val="006951A1"/>
    <w:rsid w:val="006A0475"/>
    <w:rsid w:val="00740DA4"/>
    <w:rsid w:val="007827A1"/>
    <w:rsid w:val="00837A71"/>
    <w:rsid w:val="0084731D"/>
    <w:rsid w:val="008D4759"/>
    <w:rsid w:val="009403A3"/>
    <w:rsid w:val="009960A8"/>
    <w:rsid w:val="009E26C2"/>
    <w:rsid w:val="00A24D5E"/>
    <w:rsid w:val="00A63FFA"/>
    <w:rsid w:val="00AA4759"/>
    <w:rsid w:val="00AB283D"/>
    <w:rsid w:val="00B33658"/>
    <w:rsid w:val="00B42BA0"/>
    <w:rsid w:val="00B7672C"/>
    <w:rsid w:val="00C54880"/>
    <w:rsid w:val="00C9121C"/>
    <w:rsid w:val="00CA4101"/>
    <w:rsid w:val="00CD48A2"/>
    <w:rsid w:val="00CE7D7F"/>
    <w:rsid w:val="00D11FFD"/>
    <w:rsid w:val="00D165DC"/>
    <w:rsid w:val="00D35F9B"/>
    <w:rsid w:val="00DD6DE8"/>
    <w:rsid w:val="00F97F98"/>
    <w:rsid w:val="00FC266B"/>
    <w:rsid w:val="00FE23D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F84DA"/>
  <w15:chartTrackingRefBased/>
  <w15:docId w15:val="{C489F348-E7C8-48A4-9953-41B85D9D6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26C2"/>
    <w:pPr>
      <w:spacing w:after="0" w:line="240" w:lineRule="auto"/>
    </w:pPr>
    <w:rPr>
      <w:rFonts w:eastAsiaTheme="minorEastAsia"/>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9E26C2"/>
    <w:pPr>
      <w:ind w:left="720"/>
      <w:contextualSpacing/>
    </w:pPr>
  </w:style>
  <w:style w:type="character" w:customStyle="1" w:styleId="PrrafodelistaCar">
    <w:name w:val="Párrafo de lista Car"/>
    <w:link w:val="Prrafodelista"/>
    <w:uiPriority w:val="34"/>
    <w:locked/>
    <w:rsid w:val="009E26C2"/>
    <w:rPr>
      <w:rFonts w:eastAsiaTheme="minorEastAsia"/>
      <w:sz w:val="24"/>
      <w:szCs w:val="24"/>
      <w:lang w:val="es-ES_tradnl"/>
    </w:rPr>
  </w:style>
  <w:style w:type="character" w:styleId="Refdecomentario">
    <w:name w:val="annotation reference"/>
    <w:basedOn w:val="Fuentedeprrafopredeter"/>
    <w:uiPriority w:val="99"/>
    <w:semiHidden/>
    <w:unhideWhenUsed/>
    <w:rsid w:val="009E26C2"/>
    <w:rPr>
      <w:sz w:val="16"/>
      <w:szCs w:val="16"/>
    </w:rPr>
  </w:style>
  <w:style w:type="paragraph" w:styleId="Textocomentario">
    <w:name w:val="annotation text"/>
    <w:basedOn w:val="Normal"/>
    <w:link w:val="TextocomentarioCar"/>
    <w:unhideWhenUsed/>
    <w:rsid w:val="009E26C2"/>
    <w:rPr>
      <w:sz w:val="20"/>
      <w:szCs w:val="20"/>
    </w:rPr>
  </w:style>
  <w:style w:type="character" w:customStyle="1" w:styleId="TextocomentarioCar">
    <w:name w:val="Texto comentario Car"/>
    <w:basedOn w:val="Fuentedeprrafopredeter"/>
    <w:link w:val="Textocomentario"/>
    <w:rsid w:val="009E26C2"/>
    <w:rPr>
      <w:rFonts w:eastAsiaTheme="minorEastAsia"/>
      <w:sz w:val="20"/>
      <w:szCs w:val="20"/>
      <w:lang w:val="es-ES_tradnl"/>
    </w:rPr>
  </w:style>
  <w:style w:type="character" w:styleId="Textoennegrita">
    <w:name w:val="Strong"/>
    <w:basedOn w:val="Fuentedeprrafopredeter"/>
    <w:uiPriority w:val="22"/>
    <w:qFormat/>
    <w:rsid w:val="009E26C2"/>
    <w:rPr>
      <w:b/>
      <w:bCs/>
    </w:rPr>
  </w:style>
  <w:style w:type="paragraph" w:styleId="Textodeglobo">
    <w:name w:val="Balloon Text"/>
    <w:basedOn w:val="Normal"/>
    <w:link w:val="TextodegloboCar"/>
    <w:uiPriority w:val="99"/>
    <w:semiHidden/>
    <w:unhideWhenUsed/>
    <w:rsid w:val="009E26C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E26C2"/>
    <w:rPr>
      <w:rFonts w:ascii="Segoe UI" w:eastAsiaTheme="minorEastAsia" w:hAnsi="Segoe UI" w:cs="Segoe UI"/>
      <w:sz w:val="18"/>
      <w:szCs w:val="18"/>
      <w:lang w:val="es-ES_tradnl"/>
    </w:rPr>
  </w:style>
  <w:style w:type="paragraph" w:styleId="Asuntodelcomentario">
    <w:name w:val="annotation subject"/>
    <w:basedOn w:val="Textocomentario"/>
    <w:next w:val="Textocomentario"/>
    <w:link w:val="AsuntodelcomentarioCar"/>
    <w:uiPriority w:val="99"/>
    <w:semiHidden/>
    <w:unhideWhenUsed/>
    <w:rsid w:val="002B2EF7"/>
    <w:rPr>
      <w:b/>
      <w:bCs/>
    </w:rPr>
  </w:style>
  <w:style w:type="character" w:customStyle="1" w:styleId="AsuntodelcomentarioCar">
    <w:name w:val="Asunto del comentario Car"/>
    <w:basedOn w:val="TextocomentarioCar"/>
    <w:link w:val="Asuntodelcomentario"/>
    <w:uiPriority w:val="99"/>
    <w:semiHidden/>
    <w:rsid w:val="002B2EF7"/>
    <w:rPr>
      <w:rFonts w:eastAsiaTheme="minorEastAsia"/>
      <w:b/>
      <w:bCs/>
      <w:sz w:val="20"/>
      <w:szCs w:val="20"/>
      <w:lang w:val="es-ES_tradnl"/>
    </w:rPr>
  </w:style>
  <w:style w:type="table" w:styleId="Tablaconcuadrcula">
    <w:name w:val="Table Grid"/>
    <w:basedOn w:val="Tablanormal"/>
    <w:uiPriority w:val="39"/>
    <w:rsid w:val="00AA4759"/>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564B23"/>
    <w:pPr>
      <w:tabs>
        <w:tab w:val="center" w:pos="4419"/>
        <w:tab w:val="right" w:pos="8838"/>
      </w:tabs>
    </w:pPr>
  </w:style>
  <w:style w:type="character" w:customStyle="1" w:styleId="EncabezadoCar">
    <w:name w:val="Encabezado Car"/>
    <w:basedOn w:val="Fuentedeprrafopredeter"/>
    <w:link w:val="Encabezado"/>
    <w:uiPriority w:val="99"/>
    <w:rsid w:val="00564B23"/>
    <w:rPr>
      <w:rFonts w:eastAsiaTheme="minorEastAsia"/>
      <w:sz w:val="24"/>
      <w:szCs w:val="24"/>
      <w:lang w:val="es-ES_tradnl"/>
    </w:rPr>
  </w:style>
  <w:style w:type="paragraph" w:styleId="Piedepgina">
    <w:name w:val="footer"/>
    <w:basedOn w:val="Normal"/>
    <w:link w:val="PiedepginaCar"/>
    <w:uiPriority w:val="99"/>
    <w:unhideWhenUsed/>
    <w:rsid w:val="00564B23"/>
    <w:pPr>
      <w:tabs>
        <w:tab w:val="center" w:pos="4419"/>
        <w:tab w:val="right" w:pos="8838"/>
      </w:tabs>
    </w:pPr>
  </w:style>
  <w:style w:type="character" w:customStyle="1" w:styleId="PiedepginaCar">
    <w:name w:val="Pie de página Car"/>
    <w:basedOn w:val="Fuentedeprrafopredeter"/>
    <w:link w:val="Piedepgina"/>
    <w:uiPriority w:val="99"/>
    <w:rsid w:val="00564B23"/>
    <w:rPr>
      <w:rFonts w:eastAsiaTheme="minorEastAsia"/>
      <w:sz w:val="24"/>
      <w:szCs w:val="24"/>
      <w:lang w:val="es-ES_tradnl"/>
    </w:rPr>
  </w:style>
  <w:style w:type="paragraph" w:styleId="Sinespaciado">
    <w:name w:val="No Spacing"/>
    <w:uiPriority w:val="1"/>
    <w:qFormat/>
    <w:rsid w:val="00564B23"/>
    <w:pPr>
      <w:spacing w:after="0" w:line="240" w:lineRule="auto"/>
    </w:pPr>
    <w:rPr>
      <w:rFonts w:eastAsiaTheme="minorEastAsia"/>
      <w:sz w:val="24"/>
      <w:szCs w:val="2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5645713">
      <w:bodyDiv w:val="1"/>
      <w:marLeft w:val="0"/>
      <w:marRight w:val="0"/>
      <w:marTop w:val="0"/>
      <w:marBottom w:val="0"/>
      <w:divBdr>
        <w:top w:val="none" w:sz="0" w:space="0" w:color="auto"/>
        <w:left w:val="none" w:sz="0" w:space="0" w:color="auto"/>
        <w:bottom w:val="none" w:sz="0" w:space="0" w:color="auto"/>
        <w:right w:val="none" w:sz="0" w:space="0" w:color="auto"/>
      </w:divBdr>
    </w:div>
    <w:div w:id="1392928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1F791339-17D1-4745-B774-F105A88E6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2087</Words>
  <Characters>11479</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DCLTyR</dc:creator>
  <cp:keywords/>
  <dc:description/>
  <cp:lastModifiedBy>Erick Alan Cruz Rivera</cp:lastModifiedBy>
  <cp:revision>4</cp:revision>
  <dcterms:created xsi:type="dcterms:W3CDTF">2019-03-25T20:18:00Z</dcterms:created>
  <dcterms:modified xsi:type="dcterms:W3CDTF">2019-03-25T23:15:00Z</dcterms:modified>
</cp:coreProperties>
</file>