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rsidR="006601AF" w:rsidRPr="00F36A5D" w:rsidRDefault="006601AF" w:rsidP="00C900FF">
      <w:pPr>
        <w:spacing w:after="0"/>
        <w:rPr>
          <w:rFonts w:ascii="ITC Avant Garde" w:hAnsi="ITC Avant Garde"/>
          <w:b/>
        </w:rPr>
      </w:pPr>
    </w:p>
    <w:p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rsidR="004970C4" w:rsidRPr="00F36A5D" w:rsidRDefault="004970C4" w:rsidP="007A6974">
      <w:pPr>
        <w:spacing w:after="0"/>
        <w:rPr>
          <w:rFonts w:ascii="ITC Avant Garde" w:hAnsi="ITC Avant Garde"/>
          <w:b/>
          <w:sz w:val="16"/>
        </w:rPr>
      </w:pPr>
    </w:p>
    <w:p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r w:rsidR="00DD369A" w:rsidRPr="00D04C11">
        <w:rPr>
          <w:rFonts w:ascii="ITC Avant Garde" w:hAnsi="ITC Avant Garde"/>
          <w:b/>
          <w:sz w:val="14"/>
          <w:szCs w:val="14"/>
          <w:u w:val="single"/>
        </w:rPr>
        <w:t>gestiondetrafico</w:t>
      </w:r>
      <w:r w:rsidR="004D5EAB" w:rsidRPr="00D04C11">
        <w:rPr>
          <w:rFonts w:ascii="ITC Avant Garde" w:hAnsi="ITC Avant Garde"/>
          <w:b/>
          <w:sz w:val="14"/>
          <w:szCs w:val="14"/>
          <w:u w:val="single"/>
        </w:rPr>
        <w:t>@ift.org.mx</w:t>
      </w:r>
      <w:r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Pr="00F36A5D">
        <w:rPr>
          <w:rFonts w:ascii="ITC Avant Garde" w:hAnsi="ITC Avant Garde"/>
          <w:sz w:val="14"/>
          <w:szCs w:val="14"/>
        </w:rPr>
        <w:t xml:space="preserve">del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El período de consulta pública será del</w:t>
      </w:r>
      <w:r w:rsidR="000D2838" w:rsidRPr="00F36A5D">
        <w:rPr>
          <w:rFonts w:ascii="ITC Avant Garde" w:hAnsi="ITC Avant Garde"/>
          <w:sz w:val="14"/>
          <w:szCs w:val="14"/>
        </w:rPr>
        <w:t xml:space="preserve"> </w:t>
      </w:r>
      <w:r w:rsidR="00691A52">
        <w:rPr>
          <w:rFonts w:ascii="ITC Avant Garde" w:hAnsi="ITC Avant Garde"/>
          <w:b/>
          <w:sz w:val="14"/>
          <w:szCs w:val="14"/>
          <w:u w:val="single"/>
        </w:rPr>
        <w:t>18</w:t>
      </w:r>
      <w:r w:rsidR="00EB0C2F" w:rsidRPr="00D04C11">
        <w:rPr>
          <w:rFonts w:ascii="ITC Avant Garde" w:hAnsi="ITC Avant Garde"/>
          <w:b/>
          <w:sz w:val="14"/>
          <w:szCs w:val="14"/>
          <w:u w:val="single"/>
        </w:rPr>
        <w:t xml:space="preserve"> </w:t>
      </w:r>
      <w:r w:rsidR="008C679D" w:rsidRPr="00D04C11">
        <w:rPr>
          <w:rFonts w:ascii="ITC Avant Garde" w:hAnsi="ITC Avant Garde"/>
          <w:b/>
          <w:sz w:val="14"/>
          <w:szCs w:val="14"/>
          <w:u w:val="single"/>
        </w:rPr>
        <w:t xml:space="preserve">de </w:t>
      </w:r>
      <w:r w:rsidR="00EB0C2F" w:rsidRPr="00D04C11">
        <w:rPr>
          <w:rFonts w:ascii="ITC Avant Garde" w:hAnsi="ITC Avant Garde"/>
          <w:b/>
          <w:sz w:val="14"/>
          <w:szCs w:val="14"/>
          <w:u w:val="single"/>
        </w:rPr>
        <w:t xml:space="preserve">diciembre de 2019 </w:t>
      </w:r>
      <w:r w:rsidR="000D2838" w:rsidRPr="00D04C11">
        <w:rPr>
          <w:rFonts w:ascii="ITC Avant Garde" w:hAnsi="ITC Avant Garde"/>
          <w:b/>
          <w:sz w:val="14"/>
          <w:szCs w:val="14"/>
          <w:u w:val="single"/>
        </w:rPr>
        <w:t>al</w:t>
      </w:r>
      <w:r w:rsidR="00AC48C3">
        <w:rPr>
          <w:rFonts w:ascii="ITC Avant Garde" w:hAnsi="ITC Avant Garde"/>
          <w:b/>
          <w:sz w:val="14"/>
          <w:szCs w:val="14"/>
          <w:u w:val="single"/>
        </w:rPr>
        <w:t xml:space="preserve"> 1</w:t>
      </w:r>
      <w:r w:rsidR="0079751A">
        <w:rPr>
          <w:rFonts w:ascii="ITC Avant Garde" w:hAnsi="ITC Avant Garde"/>
          <w:b/>
          <w:sz w:val="14"/>
          <w:szCs w:val="14"/>
          <w:u w:val="single"/>
        </w:rPr>
        <w:t>5 de junio</w:t>
      </w:r>
      <w:r w:rsidR="00AC48C3">
        <w:rPr>
          <w:rFonts w:ascii="ITC Avant Garde" w:hAnsi="ITC Avant Garde"/>
          <w:b/>
          <w:sz w:val="14"/>
          <w:szCs w:val="14"/>
          <w:u w:val="single"/>
        </w:rPr>
        <w:t xml:space="preserve"> </w:t>
      </w:r>
      <w:r w:rsidR="000D2838" w:rsidRPr="00D04C11">
        <w:rPr>
          <w:rFonts w:ascii="ITC Avant Garde" w:hAnsi="ITC Avant Garde"/>
          <w:b/>
          <w:sz w:val="14"/>
          <w:szCs w:val="14"/>
          <w:u w:val="single"/>
        </w:rPr>
        <w:t>de 20</w:t>
      </w:r>
      <w:r w:rsidR="00EB0C2F" w:rsidRPr="00CC12CA">
        <w:rPr>
          <w:rFonts w:ascii="ITC Avant Garde" w:hAnsi="ITC Avant Garde"/>
          <w:b/>
          <w:sz w:val="14"/>
          <w:szCs w:val="14"/>
          <w:u w:val="single"/>
        </w:rPr>
        <w:t>20</w:t>
      </w:r>
      <w:r w:rsidR="00CC12CA" w:rsidRPr="00CC12CA">
        <w:rPr>
          <w:rFonts w:ascii="ITC Avant Garde" w:hAnsi="ITC Avant Garde"/>
          <w:sz w:val="14"/>
          <w:szCs w:val="14"/>
        </w:rPr>
        <w:t xml:space="preserve"> (i.e. 65 días hábiles)</w:t>
      </w:r>
      <w:r w:rsidRPr="00CC12CA">
        <w:rPr>
          <w:rFonts w:ascii="ITC Avant Garde" w:hAnsi="ITC Avant Garde"/>
          <w:sz w:val="14"/>
          <w:szCs w:val="14"/>
        </w:rPr>
        <w:t xml:space="preserve">. </w:t>
      </w:r>
      <w:r w:rsidRPr="00F36A5D">
        <w:rPr>
          <w:rFonts w:ascii="ITC Avant Garde" w:hAnsi="ITC Avant Garde"/>
          <w:sz w:val="14"/>
          <w:szCs w:val="14"/>
        </w:rPr>
        <w:t>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w:t>
      </w:r>
      <w:bookmarkStart w:id="0" w:name="_GoBack"/>
      <w:bookmarkEnd w:id="0"/>
      <w:r w:rsidRPr="00F36A5D">
        <w:rPr>
          <w:rFonts w:ascii="ITC Avant Garde" w:hAnsi="ITC Avant Garde"/>
          <w:sz w:val="14"/>
          <w:szCs w:val="14"/>
        </w:rPr>
        <w:t>ntos adjuntos en la siguiente dirección electrónica:</w:t>
      </w:r>
      <w:r w:rsidR="000D2838" w:rsidRPr="00F36A5D">
        <w:rPr>
          <w:rFonts w:ascii="ITC Avant Garde" w:hAnsi="ITC Avant Garde"/>
          <w:sz w:val="14"/>
          <w:szCs w:val="14"/>
        </w:rPr>
        <w:t xml:space="preserve"> </w:t>
      </w:r>
      <w:hyperlink r:id="rId11"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rsidR="006601AF" w:rsidRPr="00F36A5D"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A75A67" w:rsidRPr="00F36A5D">
        <w:rPr>
          <w:rFonts w:ascii="ITC Avant Garde" w:hAnsi="ITC Avant Garde"/>
          <w:sz w:val="14"/>
          <w:szCs w:val="14"/>
        </w:rPr>
        <w:t>el</w:t>
      </w:r>
      <w:r w:rsidRPr="00F36A5D">
        <w:rPr>
          <w:rFonts w:ascii="ITC Avant Garde" w:hAnsi="ITC Avant Garde"/>
          <w:sz w:val="14"/>
          <w:szCs w:val="14"/>
        </w:rPr>
        <w:t xml:space="preserve"> siguiente punto de contacto: </w:t>
      </w:r>
      <w:r w:rsidR="00EB0C2F">
        <w:rPr>
          <w:rFonts w:ascii="ITC Avant Garde" w:hAnsi="ITC Avant Garde"/>
          <w:sz w:val="14"/>
          <w:szCs w:val="14"/>
        </w:rPr>
        <w:t>María Isabel Reza Meneses</w:t>
      </w:r>
      <w:r w:rsidR="00EB0C2F" w:rsidRPr="00F36A5D">
        <w:rPr>
          <w:rFonts w:ascii="ITC Avant Garde" w:hAnsi="ITC Avant Garde"/>
          <w:sz w:val="14"/>
          <w:szCs w:val="14"/>
        </w:rPr>
        <w:t xml:space="preserve">, </w:t>
      </w:r>
      <w:r w:rsidR="00EB0C2F">
        <w:rPr>
          <w:rFonts w:ascii="ITC Avant Garde" w:hAnsi="ITC Avant Garde"/>
          <w:sz w:val="14"/>
          <w:szCs w:val="14"/>
        </w:rPr>
        <w:t>Directora de Desarrollo Digital,</w:t>
      </w:r>
      <w:r w:rsidR="000E41F3" w:rsidRPr="00F36A5D">
        <w:rPr>
          <w:rFonts w:ascii="ITC Avant Garde" w:hAnsi="ITC Avant Garde"/>
          <w:sz w:val="14"/>
          <w:szCs w:val="14"/>
        </w:rPr>
        <w:t xml:space="preserve"> </w:t>
      </w:r>
      <w:r w:rsidRPr="00F36A5D">
        <w:rPr>
          <w:rFonts w:ascii="ITC Avant Garde" w:hAnsi="ITC Avant Garde"/>
          <w:sz w:val="14"/>
          <w:szCs w:val="14"/>
        </w:rPr>
        <w:t xml:space="preserve">correo electrónico: </w:t>
      </w:r>
      <w:hyperlink r:id="rId12" w:history="1">
        <w:r w:rsidR="00EB0C2F">
          <w:rPr>
            <w:rStyle w:val="Hipervnculo"/>
            <w:rFonts w:ascii="ITC Avant Garde" w:hAnsi="ITC Avant Garde"/>
            <w:sz w:val="14"/>
            <w:szCs w:val="14"/>
          </w:rPr>
          <w:t>maria.reza</w:t>
        </w:r>
        <w:r w:rsidR="00EB0C2F" w:rsidRPr="00F36A5D">
          <w:rPr>
            <w:rStyle w:val="Hipervnculo"/>
            <w:rFonts w:ascii="ITC Avant Garde" w:hAnsi="ITC Avant Garde"/>
            <w:sz w:val="14"/>
            <w:szCs w:val="14"/>
          </w:rPr>
          <w:t>@ift.org.mx</w:t>
        </w:r>
      </w:hyperlink>
      <w:r w:rsidR="00A75A67" w:rsidRPr="00F36A5D">
        <w:rPr>
          <w:rFonts w:ascii="ITC Avant Garde" w:hAnsi="ITC Avant Garde"/>
          <w:sz w:val="14"/>
          <w:szCs w:val="14"/>
        </w:rPr>
        <w:t xml:space="preserve"> o bien, a través del </w:t>
      </w:r>
      <w:r w:rsidRPr="00F36A5D">
        <w:rPr>
          <w:rFonts w:ascii="ITC Avant Garde" w:hAnsi="ITC Avant Garde"/>
          <w:sz w:val="14"/>
          <w:szCs w:val="14"/>
        </w:rPr>
        <w:t xml:space="preserve">número telefónico 55 </w:t>
      </w:r>
      <w:r w:rsidR="004D5EAB" w:rsidRPr="00F36A5D">
        <w:rPr>
          <w:rFonts w:ascii="ITC Avant Garde" w:hAnsi="ITC Avant Garde"/>
          <w:sz w:val="14"/>
          <w:szCs w:val="14"/>
        </w:rPr>
        <w:t>5015</w:t>
      </w:r>
      <w:r w:rsidR="00600DB8">
        <w:rPr>
          <w:rFonts w:ascii="ITC Avant Garde" w:hAnsi="ITC Avant Garde"/>
          <w:sz w:val="14"/>
          <w:szCs w:val="14"/>
        </w:rPr>
        <w:t xml:space="preserve"> </w:t>
      </w:r>
      <w:r w:rsidR="004D5EAB" w:rsidRPr="00F36A5D">
        <w:rPr>
          <w:rFonts w:ascii="ITC Avant Garde" w:hAnsi="ITC Avant Garde"/>
          <w:sz w:val="14"/>
          <w:szCs w:val="14"/>
        </w:rPr>
        <w:t>4000</w:t>
      </w:r>
      <w:r w:rsidR="00A75A67" w:rsidRPr="00F36A5D">
        <w:rPr>
          <w:rFonts w:ascii="ITC Avant Garde" w:hAnsi="ITC Avant Garde"/>
          <w:sz w:val="14"/>
          <w:szCs w:val="14"/>
        </w:rPr>
        <w:t>,</w:t>
      </w:r>
      <w:r w:rsidR="004D5EAB" w:rsidRPr="00F36A5D">
        <w:rPr>
          <w:rFonts w:ascii="ITC Avant Garde" w:hAnsi="ITC Avant Garde"/>
          <w:sz w:val="14"/>
          <w:szCs w:val="14"/>
        </w:rPr>
        <w:t xml:space="preserve"> extensión </w:t>
      </w:r>
      <w:r w:rsidR="00EB0C2F" w:rsidRPr="003D0906">
        <w:rPr>
          <w:rFonts w:ascii="ITC Avant Garde" w:hAnsi="ITC Avant Garde"/>
          <w:sz w:val="14"/>
          <w:szCs w:val="14"/>
        </w:rPr>
        <w:t>2495</w:t>
      </w:r>
      <w:r w:rsidR="0038199D" w:rsidRPr="003D0906">
        <w:rPr>
          <w:rFonts w:ascii="ITC Avant Garde" w:hAnsi="ITC Avant Garde"/>
          <w:sz w:val="14"/>
          <w:szCs w:val="14"/>
        </w:rPr>
        <w:t>.</w:t>
      </w:r>
    </w:p>
    <w:p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rsidTr="00297840">
        <w:trPr>
          <w:trHeight w:val="600"/>
          <w:jc w:val="center"/>
        </w:trPr>
        <w:tc>
          <w:tcPr>
            <w:tcW w:w="8742" w:type="dxa"/>
            <w:gridSpan w:val="2"/>
            <w:shd w:val="clear" w:color="auto" w:fill="D9D9D9"/>
            <w:vAlign w:val="center"/>
            <w:hideMark/>
          </w:tcPr>
          <w:p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del participante</w:t>
            </w:r>
          </w:p>
        </w:tc>
      </w:tr>
      <w:tr w:rsidR="00DF154A" w:rsidRPr="00F36A5D" w:rsidTr="00297840">
        <w:trPr>
          <w:trHeight w:val="509"/>
          <w:jc w:val="center"/>
        </w:trPr>
        <w:tc>
          <w:tcPr>
            <w:tcW w:w="4679" w:type="dxa"/>
            <w:shd w:val="clear" w:color="auto" w:fill="C5E0B3"/>
            <w:vAlign w:val="center"/>
            <w:hideMark/>
          </w:tcPr>
          <w:p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rsidTr="00297840">
        <w:trPr>
          <w:trHeight w:val="403"/>
          <w:jc w:val="center"/>
        </w:trPr>
        <w:tc>
          <w:tcPr>
            <w:tcW w:w="4679" w:type="dxa"/>
            <w:shd w:val="clear" w:color="auto" w:fill="E2EFD9"/>
            <w:vAlign w:val="center"/>
            <w:hideMark/>
          </w:tcPr>
          <w:p w:rsidR="00DF154A" w:rsidRPr="00F36A5D" w:rsidRDefault="00DF154A">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del 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8A0E6C" w:rsidRPr="00F36A5D" w:rsidTr="00297840">
        <w:trPr>
          <w:trHeight w:val="523"/>
          <w:jc w:val="center"/>
        </w:trPr>
        <w:tc>
          <w:tcPr>
            <w:tcW w:w="4679" w:type="dxa"/>
            <w:shd w:val="clear" w:color="auto" w:fill="C5E0B3"/>
            <w:vAlign w:val="center"/>
            <w:hideMark/>
          </w:tcPr>
          <w:p w:rsidR="008A0E6C" w:rsidRPr="00F36A5D" w:rsidRDefault="008A0E6C" w:rsidP="008A0E6C">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rsidR="008A0E6C" w:rsidRPr="00F36A5D" w:rsidRDefault="008A0E6C" w:rsidP="008A0E6C">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En caso de contar con representante legal, adjuntar copia digitalizada del documento que acredite dicha representación, vía correo electrónico.</w:t>
            </w:r>
          </w:p>
        </w:tc>
        <w:tc>
          <w:tcPr>
            <w:tcW w:w="4063" w:type="dxa"/>
            <w:shd w:val="clear" w:color="auto" w:fill="auto"/>
            <w:vAlign w:val="center"/>
            <w:hideMark/>
          </w:tcPr>
          <w:p w:rsidR="008A0E6C" w:rsidRPr="00F36A5D" w:rsidRDefault="00431AC2" w:rsidP="008A0E6C">
            <w:pPr>
              <w:spacing w:after="0" w:line="240" w:lineRule="auto"/>
              <w:jc w:val="center"/>
              <w:rPr>
                <w:rFonts w:ascii="ITC Avant Garde" w:eastAsia="Times New Roman" w:hAnsi="ITC Avant Garde"/>
                <w:color w:val="000000"/>
                <w:sz w:val="20"/>
                <w:lang w:eastAsia="es-MX"/>
              </w:rPr>
            </w:pPr>
            <w:sdt>
              <w:sdtPr>
                <w:rPr>
                  <w:rFonts w:ascii="Century Gothic" w:eastAsia="Times New Roman" w:hAnsi="Century Gothic"/>
                  <w:color w:val="000000"/>
                  <w:sz w:val="20"/>
                  <w:lang w:eastAsia="es-MX"/>
                </w:rPr>
                <w:tag w:val="(Seleccione opción)"/>
                <w:id w:val="1931310767"/>
                <w:placeholder>
                  <w:docPart w:val="56EB199AEAB04CC687D7D57E8C434C8C"/>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r w:rsidR="008A0E6C" w:rsidRPr="00DC3C6C">
                  <w:rPr>
                    <w:rStyle w:val="Textodelmarcadordeposicin"/>
                    <w:rFonts w:ascii="Century Gothic" w:hAnsi="Century Gothic"/>
                    <w:sz w:val="20"/>
                  </w:rPr>
                  <w:t>Elija un elemento.</w:t>
                </w:r>
              </w:sdtContent>
            </w:sdt>
          </w:p>
        </w:tc>
      </w:tr>
      <w:tr w:rsidR="00DF154A" w:rsidRPr="00F36A5D" w:rsidTr="00297840">
        <w:trPr>
          <w:trHeight w:val="300"/>
          <w:jc w:val="center"/>
        </w:trPr>
        <w:tc>
          <w:tcPr>
            <w:tcW w:w="8742" w:type="dxa"/>
            <w:gridSpan w:val="2"/>
            <w:shd w:val="clear" w:color="auto" w:fill="D9D9D9"/>
            <w:noWrap/>
            <w:vAlign w:val="center"/>
            <w:hideMark/>
          </w:tcPr>
          <w:p w:rsidR="00D50117" w:rsidRPr="00F36A5D" w:rsidRDefault="00DF154A"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 xml:space="preserve">AVISO </w:t>
            </w:r>
            <w:r w:rsidR="000E55B0" w:rsidRPr="00F36A5D">
              <w:rPr>
                <w:rFonts w:ascii="ITC Avant Garde" w:eastAsia="Times New Roman" w:hAnsi="ITC Avant Garde"/>
                <w:b/>
                <w:bCs/>
                <w:color w:val="000000"/>
                <w:lang w:eastAsia="es-MX"/>
              </w:rPr>
              <w:t>DE PRIVACIDAD</w:t>
            </w:r>
          </w:p>
        </w:tc>
      </w:tr>
      <w:tr w:rsidR="00DF154A" w:rsidRPr="00F36A5D" w:rsidTr="00297840">
        <w:trPr>
          <w:trHeight w:val="274"/>
          <w:jc w:val="center"/>
        </w:trPr>
        <w:tc>
          <w:tcPr>
            <w:tcW w:w="8742" w:type="dxa"/>
            <w:gridSpan w:val="2"/>
            <w:shd w:val="clear" w:color="auto" w:fill="auto"/>
            <w:vAlign w:val="center"/>
            <w:hideMark/>
          </w:tcPr>
          <w:p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rsidR="000E55B0" w:rsidRPr="00F36A5D" w:rsidRDefault="000E55B0" w:rsidP="00297840">
            <w:pPr>
              <w:spacing w:after="0" w:line="240" w:lineRule="auto"/>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los Sujetos Obligados (en lo sucesivo, la “LGPDPPSO”)</w:t>
            </w:r>
            <w:r w:rsidR="003D1CAC" w:rsidRPr="00F36A5D">
              <w:rPr>
                <w:rFonts w:ascii="ITC Avant Garde" w:hAnsi="ITC Avant Garde"/>
              </w:rPr>
              <w:t xml:space="preserve"> </w:t>
            </w:r>
            <w:r w:rsidR="003D1CAC" w:rsidRPr="00F36A5D">
              <w:rPr>
                <w:rFonts w:ascii="ITC Avant Garde" w:eastAsia="Times New Roman" w:hAnsi="ITC Avant Garde"/>
                <w:color w:val="000000"/>
                <w:sz w:val="14"/>
                <w:szCs w:val="16"/>
                <w:lang w:eastAsia="es-MX"/>
              </w:rPr>
              <w:t xml:space="preserve">y numerales 9, fracción II, 11, fracción II, 15 y 26 al 45 de los Lineamientos Generales de Protección de </w:t>
            </w:r>
            <w:r w:rsidR="00A74360" w:rsidRPr="00F36A5D">
              <w:rPr>
                <w:rFonts w:ascii="ITC Avant Garde" w:eastAsia="Times New Roman" w:hAnsi="ITC Avant Garde"/>
                <w:color w:val="000000"/>
                <w:sz w:val="14"/>
                <w:szCs w:val="16"/>
                <w:lang w:eastAsia="es-MX"/>
              </w:rPr>
              <w:t>D</w:t>
            </w:r>
            <w:r w:rsidR="003D1CAC" w:rsidRPr="00F36A5D">
              <w:rPr>
                <w:rFonts w:ascii="ITC Avant Garde" w:eastAsia="Times New Roman" w:hAnsi="ITC Avant Garde"/>
                <w:color w:val="000000"/>
                <w:sz w:val="14"/>
                <w:szCs w:val="16"/>
                <w:lang w:eastAsia="es-MX"/>
              </w:rPr>
              <w:t xml:space="preserve">atos Personales </w:t>
            </w:r>
            <w:r w:rsidR="00A74360" w:rsidRPr="00F36A5D">
              <w:rPr>
                <w:rFonts w:ascii="ITC Avant Garde" w:eastAsia="Times New Roman" w:hAnsi="ITC Avant Garde"/>
                <w:color w:val="000000"/>
                <w:sz w:val="14"/>
                <w:szCs w:val="16"/>
                <w:lang w:eastAsia="es-MX"/>
              </w:rPr>
              <w:t xml:space="preserve">para el Sector Público </w:t>
            </w:r>
            <w:r w:rsidR="003D1CAC" w:rsidRPr="00F36A5D">
              <w:rPr>
                <w:rFonts w:ascii="ITC Avant Garde" w:eastAsia="Times New Roman" w:hAnsi="ITC Avant Garde"/>
                <w:color w:val="000000"/>
                <w:sz w:val="14"/>
                <w:szCs w:val="16"/>
                <w:lang w:eastAsia="es-MX"/>
              </w:rPr>
              <w:t>(en lo sucesivo los “Lineamientos”)</w:t>
            </w:r>
            <w:r w:rsidRPr="00F36A5D">
              <w:rPr>
                <w:rFonts w:ascii="ITC Avant Garde" w:eastAsia="Times New Roman" w:hAnsi="ITC Avant Garde"/>
                <w:color w:val="000000"/>
                <w:sz w:val="14"/>
                <w:szCs w:val="16"/>
                <w:lang w:eastAsia="es-MX"/>
              </w:rPr>
              <w:t>, se pone a disposición de los particip</w:t>
            </w:r>
            <w:r w:rsidR="00735DEE" w:rsidRPr="00F36A5D">
              <w:rPr>
                <w:rFonts w:ascii="ITC Avant Garde" w:eastAsia="Times New Roman" w:hAnsi="ITC Avant Garde"/>
                <w:color w:val="000000"/>
                <w:sz w:val="14"/>
                <w:szCs w:val="16"/>
                <w:lang w:eastAsia="es-MX"/>
              </w:rPr>
              <w:t>antes el siguiente Aviso de Privacidad Integral:</w:t>
            </w:r>
          </w:p>
          <w:p w:rsidR="00735DEE" w:rsidRPr="00F36A5D" w:rsidRDefault="00735DEE" w:rsidP="00297840">
            <w:pPr>
              <w:spacing w:after="0" w:line="240" w:lineRule="auto"/>
              <w:jc w:val="both"/>
              <w:rPr>
                <w:rFonts w:ascii="ITC Avant Garde" w:eastAsia="Times New Roman" w:hAnsi="ITC Avant Garde"/>
                <w:color w:val="000000"/>
                <w:sz w:val="14"/>
                <w:szCs w:val="16"/>
                <w:lang w:eastAsia="es-MX"/>
              </w:rPr>
            </w:pPr>
          </w:p>
          <w:p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Denominación del responsable:</w:t>
            </w:r>
            <w:r w:rsidRPr="00F36A5D">
              <w:rPr>
                <w:rFonts w:ascii="ITC Avant Garde" w:eastAsia="Times New Roman" w:hAnsi="ITC Avant Garde"/>
                <w:color w:val="000000"/>
                <w:sz w:val="14"/>
                <w:szCs w:val="16"/>
                <w:lang w:eastAsia="es-MX"/>
              </w:rPr>
              <w:t xml:space="preserve"> Instituto Federal de Telecomunicaciones</w:t>
            </w:r>
            <w:r w:rsidR="00A7050F" w:rsidRPr="00F36A5D">
              <w:rPr>
                <w:rFonts w:ascii="ITC Avant Garde" w:eastAsia="Times New Roman" w:hAnsi="ITC Avant Garde"/>
                <w:color w:val="000000"/>
                <w:sz w:val="14"/>
                <w:szCs w:val="16"/>
                <w:lang w:eastAsia="es-MX"/>
              </w:rPr>
              <w:t xml:space="preserve"> (en lo sucesivo, el “IFT”)</w:t>
            </w:r>
            <w:r w:rsidRPr="00F36A5D">
              <w:rPr>
                <w:rFonts w:ascii="ITC Avant Garde" w:eastAsia="Times New Roman" w:hAnsi="ITC Avant Garde"/>
                <w:color w:val="000000"/>
                <w:sz w:val="14"/>
                <w:szCs w:val="16"/>
                <w:lang w:eastAsia="es-MX"/>
              </w:rPr>
              <w:t>.</w:t>
            </w:r>
          </w:p>
          <w:p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Domicilio del responsable:</w:t>
            </w:r>
            <w:r w:rsidRPr="00F36A5D">
              <w:rPr>
                <w:rFonts w:ascii="ITC Avant Garde" w:eastAsia="Times New Roman" w:hAnsi="ITC Avant Garde"/>
                <w:color w:val="000000"/>
                <w:sz w:val="14"/>
                <w:szCs w:val="16"/>
                <w:lang w:eastAsia="es-MX"/>
              </w:rPr>
              <w:t xml:space="preserve"> Insurgentes Sur 1143, Col. Nochebuena, Delegación Benito Juárez, C.</w:t>
            </w:r>
            <w:r w:rsidR="00EA6ACC"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P. 03720, Ciudad de México, México. </w:t>
            </w:r>
          </w:p>
          <w:p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Datos personales que serán sometidos a tratamiento y su finalidad:</w:t>
            </w:r>
            <w:r w:rsidRPr="00F36A5D">
              <w:rPr>
                <w:rFonts w:ascii="ITC Avant Garde" w:eastAsia="Times New Roman" w:hAnsi="ITC Avant Garde"/>
                <w:color w:val="000000"/>
                <w:sz w:val="14"/>
                <w:szCs w:val="16"/>
                <w:lang w:eastAsia="es-MX"/>
              </w:rPr>
              <w:t xml:space="preserve"> Los comentarios, opiniones y aportaciones presentadas durante la vigencia de cada consulta pública, </w:t>
            </w:r>
            <w:r w:rsidRPr="00F36A5D">
              <w:rPr>
                <w:rFonts w:ascii="ITC Avant Garde" w:eastAsia="Times New Roman" w:hAnsi="ITC Avant Garde"/>
                <w:b/>
                <w:color w:val="000000"/>
                <w:sz w:val="14"/>
                <w:szCs w:val="16"/>
                <w:u w:val="single"/>
                <w:lang w:eastAsia="es-MX"/>
              </w:rPr>
              <w:t>serán divulgados íntegramente</w:t>
            </w:r>
            <w:r w:rsidRPr="00F36A5D">
              <w:rPr>
                <w:rFonts w:ascii="ITC Avant Garde" w:eastAsia="Times New Roman" w:hAnsi="ITC Avant Garde"/>
                <w:color w:val="000000"/>
                <w:sz w:val="14"/>
                <w:szCs w:val="16"/>
                <w:lang w:eastAsia="es-MX"/>
              </w:rPr>
              <w:t xml:space="preserve"> en el portal electrónico del Instituto </w:t>
            </w:r>
            <w:r w:rsidR="00555B10" w:rsidRPr="00F36A5D">
              <w:rPr>
                <w:rFonts w:ascii="ITC Avant Garde" w:eastAsia="Times New Roman" w:hAnsi="ITC Avant Garde"/>
                <w:color w:val="000000"/>
                <w:sz w:val="14"/>
                <w:szCs w:val="16"/>
                <w:lang w:eastAsia="es-MX"/>
              </w:rPr>
              <w:t xml:space="preserve">de manera asociada con el titular de los mismos </w:t>
            </w:r>
            <w:r w:rsidRPr="00F36A5D">
              <w:rPr>
                <w:rFonts w:ascii="ITC Avant Garde" w:eastAsia="Times New Roman" w:hAnsi="ITC Avant Garde"/>
                <w:color w:val="000000"/>
                <w:sz w:val="14"/>
                <w:szCs w:val="16"/>
                <w:lang w:eastAsia="es-MX"/>
              </w:rPr>
              <w:t xml:space="preserve">y, en ese sentido, serán considerados invariablemente públicos en términos de lo dispuesto en el </w:t>
            </w:r>
            <w:r w:rsidR="00A62E59" w:rsidRPr="00F36A5D">
              <w:rPr>
                <w:rFonts w:ascii="ITC Avant Garde" w:eastAsia="Times New Roman" w:hAnsi="ITC Avant Garde"/>
                <w:color w:val="000000"/>
                <w:sz w:val="14"/>
                <w:szCs w:val="16"/>
                <w:lang w:eastAsia="es-MX"/>
              </w:rPr>
              <w:t>numeral Octavo de los Lineamientos de Consulta Pública y Análisis de Impacto Regulatorio</w:t>
            </w:r>
            <w:r w:rsidRPr="00F36A5D">
              <w:rPr>
                <w:rFonts w:ascii="ITC Avant Garde" w:eastAsia="Times New Roman" w:hAnsi="ITC Avant Garde"/>
                <w:color w:val="000000"/>
                <w:sz w:val="14"/>
                <w:szCs w:val="16"/>
                <w:lang w:eastAsia="es-MX"/>
              </w:rPr>
              <w:t xml:space="preserve">. </w:t>
            </w:r>
            <w:r w:rsidR="00C83664" w:rsidRPr="00F36A5D">
              <w:rPr>
                <w:rFonts w:ascii="ITC Avant Garde" w:eastAsia="Times New Roman" w:hAnsi="ITC Avant Garde"/>
                <w:color w:val="000000"/>
                <w:sz w:val="14"/>
                <w:szCs w:val="16"/>
                <w:lang w:eastAsia="es-MX"/>
              </w:rPr>
              <w:t xml:space="preserve">Ello, toda vez que la naturaleza de las consultas públicas consiste en promover la participación ciudadana y transparentar el proceso de elaboración de nuevas regulaciones, así como de cualquier otro asunto que estime el Pleno del </w:t>
            </w:r>
            <w:r w:rsidR="004B053F" w:rsidRPr="00F36A5D">
              <w:rPr>
                <w:rFonts w:ascii="ITC Avant Garde" w:eastAsia="Times New Roman" w:hAnsi="ITC Avant Garde"/>
                <w:color w:val="000000"/>
                <w:sz w:val="14"/>
                <w:szCs w:val="16"/>
                <w:lang w:eastAsia="es-MX"/>
              </w:rPr>
              <w:t>IFT</w:t>
            </w:r>
            <w:r w:rsidR="00C83664" w:rsidRPr="00F36A5D">
              <w:rPr>
                <w:rFonts w:ascii="ITC Avant Garde" w:eastAsia="Times New Roman" w:hAnsi="ITC Avant Garde"/>
                <w:color w:val="000000"/>
                <w:sz w:val="14"/>
                <w:szCs w:val="16"/>
                <w:lang w:eastAsia="es-MX"/>
              </w:rPr>
              <w:t xml:space="preserve"> a efecto de generar un espacio de intercambio de información, opiniones y puntos de vista sobre cualquier tema de interés que este órgano constitucional autónomo someta al escrutinio público. </w:t>
            </w:r>
            <w:r w:rsidRPr="00F36A5D">
              <w:rPr>
                <w:rFonts w:ascii="ITC Avant Garde" w:eastAsia="Times New Roman" w:hAnsi="ITC Avant Garde"/>
                <w:color w:val="000000"/>
                <w:sz w:val="14"/>
                <w:szCs w:val="16"/>
                <w:lang w:eastAsia="es-MX"/>
              </w:rPr>
              <w:t>En caso de que dentro de los documentos que sean remitidos se advierta información distinta al nombre</w:t>
            </w:r>
            <w:r w:rsidR="00A751A5" w:rsidRPr="00F36A5D">
              <w:rPr>
                <w:rFonts w:ascii="ITC Avant Garde" w:eastAsia="Times New Roman" w:hAnsi="ITC Avant Garde"/>
                <w:color w:val="000000"/>
                <w:sz w:val="14"/>
                <w:szCs w:val="16"/>
                <w:lang w:eastAsia="es-MX"/>
              </w:rPr>
              <w:t xml:space="preserve"> y</w:t>
            </w:r>
            <w:r w:rsidRPr="00F36A5D">
              <w:rPr>
                <w:rFonts w:ascii="ITC Avant Garde" w:eastAsia="Times New Roman" w:hAnsi="ITC Avant Garde"/>
                <w:color w:val="000000"/>
                <w:sz w:val="14"/>
                <w:szCs w:val="16"/>
                <w:lang w:eastAsia="es-MX"/>
              </w:rPr>
              <w:t xml:space="preserve"> opinión</w:t>
            </w:r>
            <w:r w:rsidR="00A751A5"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y </w:t>
            </w:r>
            <w:r w:rsidR="00D13998" w:rsidRPr="00F36A5D">
              <w:rPr>
                <w:rFonts w:ascii="ITC Avant Garde" w:eastAsia="Times New Roman" w:hAnsi="ITC Avant Garde"/>
                <w:color w:val="000000"/>
                <w:sz w:val="14"/>
                <w:szCs w:val="16"/>
                <w:lang w:eastAsia="es-MX"/>
              </w:rPr>
              <w:t xml:space="preserve">ésta incluya </w:t>
            </w:r>
            <w:r w:rsidR="00A7050F" w:rsidRPr="00F36A5D">
              <w:rPr>
                <w:rFonts w:ascii="ITC Avant Garde" w:eastAsia="Times New Roman" w:hAnsi="ITC Avant Garde"/>
                <w:color w:val="000000"/>
                <w:sz w:val="14"/>
                <w:szCs w:val="16"/>
                <w:lang w:eastAsia="es-MX"/>
              </w:rPr>
              <w:t>datos personales</w:t>
            </w:r>
            <w:r w:rsidR="00120D05" w:rsidRPr="00F36A5D">
              <w:rPr>
                <w:rFonts w:ascii="ITC Avant Garde" w:eastAsia="Times New Roman" w:hAnsi="ITC Avant Garde"/>
                <w:color w:val="000000"/>
                <w:sz w:val="14"/>
                <w:szCs w:val="16"/>
                <w:lang w:eastAsia="es-MX"/>
              </w:rPr>
              <w:t xml:space="preserve"> que tengan el carácter de confidencial, </w:t>
            </w:r>
            <w:r w:rsidRPr="00F36A5D">
              <w:rPr>
                <w:rFonts w:ascii="ITC Avant Garde" w:eastAsia="Times New Roman" w:hAnsi="ITC Avant Garde"/>
                <w:color w:val="000000"/>
                <w:sz w:val="14"/>
                <w:szCs w:val="16"/>
                <w:lang w:eastAsia="es-MX"/>
              </w:rPr>
              <w:t>se procederá a su protección. Con relación al nombre y la opinión de quien participa en este ejercicio, se entiende que otorga su consentimiento para la difusión de dichos datos</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cuando menos</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el portal del Instituto</w:t>
            </w:r>
            <w:r w:rsidR="00160352"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en términos de lo dispuesto en </w:t>
            </w:r>
            <w:r w:rsidR="00A11685" w:rsidRPr="00F36A5D">
              <w:rPr>
                <w:rFonts w:ascii="ITC Avant Garde" w:eastAsia="Times New Roman" w:hAnsi="ITC Avant Garde"/>
                <w:color w:val="000000"/>
                <w:sz w:val="14"/>
                <w:szCs w:val="16"/>
                <w:lang w:eastAsia="es-MX"/>
              </w:rPr>
              <w:t xml:space="preserve">los </w:t>
            </w:r>
            <w:r w:rsidRPr="00F36A5D">
              <w:rPr>
                <w:rFonts w:ascii="ITC Avant Garde" w:eastAsia="Times New Roman" w:hAnsi="ITC Avant Garde"/>
                <w:color w:val="000000"/>
                <w:sz w:val="14"/>
                <w:szCs w:val="16"/>
                <w:lang w:eastAsia="es-MX"/>
              </w:rPr>
              <w:t>artículo</w:t>
            </w:r>
            <w:r w:rsidR="002B4BB2" w:rsidRPr="00F36A5D">
              <w:rPr>
                <w:rFonts w:ascii="ITC Avant Garde" w:eastAsia="Times New Roman" w:hAnsi="ITC Avant Garde"/>
                <w:color w:val="000000"/>
                <w:sz w:val="14"/>
                <w:szCs w:val="16"/>
                <w:lang w:eastAsia="es-MX"/>
              </w:rPr>
              <w:t xml:space="preserve">s </w:t>
            </w:r>
            <w:r w:rsidR="00A11685" w:rsidRPr="00F36A5D">
              <w:rPr>
                <w:rFonts w:ascii="ITC Avant Garde" w:eastAsia="Times New Roman" w:hAnsi="ITC Avant Garde"/>
                <w:color w:val="000000"/>
                <w:sz w:val="14"/>
                <w:szCs w:val="16"/>
                <w:lang w:eastAsia="es-MX"/>
              </w:rPr>
              <w:t>20 y</w:t>
            </w:r>
            <w:r w:rsidRPr="00F36A5D">
              <w:rPr>
                <w:rFonts w:ascii="ITC Avant Garde" w:eastAsia="Times New Roman" w:hAnsi="ITC Avant Garde"/>
                <w:color w:val="000000"/>
                <w:sz w:val="14"/>
                <w:szCs w:val="16"/>
                <w:lang w:eastAsia="es-MX"/>
              </w:rPr>
              <w:t xml:space="preserve"> 21, segundo </w:t>
            </w:r>
            <w:r w:rsidR="00A11685" w:rsidRPr="00F36A5D">
              <w:rPr>
                <w:rFonts w:ascii="ITC Avant Garde" w:eastAsia="Times New Roman" w:hAnsi="ITC Avant Garde"/>
                <w:color w:val="000000"/>
                <w:sz w:val="14"/>
                <w:szCs w:val="16"/>
                <w:lang w:eastAsia="es-MX"/>
              </w:rPr>
              <w:t xml:space="preserve">y tercer </w:t>
            </w:r>
            <w:r w:rsidRPr="00F36A5D">
              <w:rPr>
                <w:rFonts w:ascii="ITC Avant Garde" w:eastAsia="Times New Roman" w:hAnsi="ITC Avant Garde"/>
                <w:color w:val="000000"/>
                <w:sz w:val="14"/>
                <w:szCs w:val="16"/>
                <w:lang w:eastAsia="es-MX"/>
              </w:rPr>
              <w:t>párrafo</w:t>
            </w:r>
            <w:r w:rsidR="00A11685" w:rsidRPr="00F36A5D">
              <w:rPr>
                <w:rFonts w:ascii="ITC Avant Garde" w:eastAsia="Times New Roman" w:hAnsi="ITC Avant Garde"/>
                <w:color w:val="000000"/>
                <w:sz w:val="14"/>
                <w:szCs w:val="16"/>
                <w:lang w:eastAsia="es-MX"/>
              </w:rPr>
              <w:t>s</w:t>
            </w:r>
            <w:r w:rsidR="00942344" w:rsidRPr="00F36A5D">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de la LGPDPPSO</w:t>
            </w:r>
            <w:r w:rsidR="002B4BB2" w:rsidRPr="00F36A5D">
              <w:rPr>
                <w:rFonts w:ascii="ITC Avant Garde" w:eastAsia="Times New Roman" w:hAnsi="ITC Avant Garde"/>
                <w:color w:val="000000"/>
                <w:sz w:val="14"/>
                <w:szCs w:val="16"/>
                <w:lang w:eastAsia="es-MX"/>
              </w:rPr>
              <w:t xml:space="preserve"> y</w:t>
            </w:r>
            <w:r w:rsidR="00092755" w:rsidRPr="00F36A5D">
              <w:rPr>
                <w:rFonts w:ascii="ITC Avant Garde" w:eastAsia="Times New Roman" w:hAnsi="ITC Avant Garde"/>
                <w:color w:val="000000"/>
                <w:sz w:val="14"/>
                <w:szCs w:val="16"/>
                <w:lang w:eastAsia="es-MX"/>
              </w:rPr>
              <w:t xml:space="preserve"> los numerales</w:t>
            </w:r>
            <w:r w:rsidR="00450FCD" w:rsidRPr="00F36A5D">
              <w:rPr>
                <w:rFonts w:ascii="ITC Avant Garde" w:eastAsia="Times New Roman" w:hAnsi="ITC Avant Garde"/>
                <w:color w:val="000000"/>
                <w:sz w:val="14"/>
                <w:szCs w:val="16"/>
                <w:lang w:eastAsia="es-MX"/>
              </w:rPr>
              <w:t xml:space="preserve"> </w:t>
            </w:r>
            <w:r w:rsidR="00092755" w:rsidRPr="00F36A5D">
              <w:rPr>
                <w:rFonts w:ascii="ITC Avant Garde" w:eastAsia="Times New Roman" w:hAnsi="ITC Avant Garde"/>
                <w:color w:val="000000"/>
                <w:sz w:val="14"/>
                <w:szCs w:val="16"/>
                <w:lang w:eastAsia="es-MX"/>
              </w:rPr>
              <w:t xml:space="preserve">12 y 15 de los </w:t>
            </w:r>
            <w:r w:rsidR="004B053F" w:rsidRPr="00F36A5D">
              <w:rPr>
                <w:rFonts w:ascii="ITC Avant Garde" w:eastAsia="Times New Roman" w:hAnsi="ITC Avant Garde"/>
                <w:color w:val="000000"/>
                <w:sz w:val="14"/>
                <w:szCs w:val="16"/>
                <w:lang w:eastAsia="es-MX"/>
              </w:rPr>
              <w:t>Lineamientos.</w:t>
            </w:r>
          </w:p>
          <w:p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0E55B0" w:rsidRPr="00F36A5D" w:rsidRDefault="000E55B0" w:rsidP="002978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lastRenderedPageBreak/>
              <w:t>Información relativa a las transferencias de datos personales que requieran consentimiento:</w:t>
            </w:r>
            <w:r w:rsidRPr="00F36A5D">
              <w:rPr>
                <w:rFonts w:ascii="ITC Avant Garde" w:eastAsia="Times New Roman" w:hAnsi="ITC Avant Garde"/>
                <w:color w:val="000000"/>
                <w:sz w:val="14"/>
                <w:szCs w:val="16"/>
                <w:lang w:eastAsia="es-MX"/>
              </w:rPr>
              <w:t xml:space="preserve"> </w:t>
            </w:r>
            <w:r w:rsidR="00A7050F" w:rsidRPr="00F36A5D">
              <w:rPr>
                <w:rFonts w:ascii="ITC Avant Garde" w:eastAsia="Times New Roman" w:hAnsi="ITC Avant Garde"/>
                <w:color w:val="000000"/>
                <w:sz w:val="14"/>
                <w:szCs w:val="16"/>
                <w:lang w:eastAsia="es-MX"/>
              </w:rPr>
              <w:t>Los datos personales recabados con motivo de los procesos de consulta pública no serán objeto de transferencias que requieran el consentimiento del titular.</w:t>
            </w:r>
          </w:p>
          <w:p w:rsidR="00D22B9D" w:rsidRPr="00F36A5D" w:rsidRDefault="00D22B9D" w:rsidP="00297840">
            <w:pPr>
              <w:spacing w:after="0" w:line="240" w:lineRule="auto"/>
              <w:ind w:left="492" w:right="229"/>
              <w:contextualSpacing/>
              <w:jc w:val="both"/>
              <w:rPr>
                <w:rFonts w:ascii="ITC Avant Garde" w:eastAsia="Times New Roman" w:hAnsi="ITC Avant Garde"/>
                <w:color w:val="000000"/>
                <w:sz w:val="14"/>
                <w:szCs w:val="16"/>
                <w:lang w:eastAsia="es-MX"/>
              </w:rPr>
            </w:pPr>
          </w:p>
          <w:p w:rsidR="000E55B0" w:rsidRPr="00F36A5D" w:rsidRDefault="000E55B0" w:rsidP="00297840">
            <w:pPr>
              <w:numPr>
                <w:ilvl w:val="0"/>
                <w:numId w:val="9"/>
              </w:numPr>
              <w:spacing w:after="0" w:line="240" w:lineRule="auto"/>
              <w:ind w:left="492" w:right="229" w:hanging="283"/>
              <w:contextualSpacing/>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Fundamento legal que faculta al responsable para llevar a cabo el tratamiento:</w:t>
            </w:r>
            <w:r w:rsidRPr="00F36A5D">
              <w:rPr>
                <w:rFonts w:ascii="ITC Avant Garde" w:eastAsia="Times New Roman" w:hAnsi="ITC Avant Garde"/>
                <w:color w:val="000000"/>
                <w:sz w:val="14"/>
                <w:szCs w:val="16"/>
                <w:lang w:eastAsia="es-MX"/>
              </w:rPr>
              <w:t xml:space="preserve"> </w:t>
            </w:r>
            <w:r w:rsidR="00A7050F" w:rsidRPr="00F36A5D">
              <w:rPr>
                <w:rFonts w:ascii="ITC Avant Garde" w:eastAsia="Times New Roman" w:hAnsi="ITC Avant Garde"/>
                <w:color w:val="000000"/>
                <w:sz w:val="14"/>
                <w:szCs w:val="16"/>
                <w:lang w:eastAsia="es-MX"/>
              </w:rPr>
              <w:t xml:space="preserve">El IFT, convencido de la utilidad e importancia que reviste la transparencia y la participación ciudadana en el proceso de elaboración de nuevas regulaciones, así como de cualquier otro asunto que resulte de interés, realiza consultas públicas con base en lo señalado en los artículos </w:t>
            </w:r>
            <w:r w:rsidR="00A57E13" w:rsidRPr="00F36A5D">
              <w:rPr>
                <w:rFonts w:ascii="ITC Avant Garde" w:eastAsia="Times New Roman" w:hAnsi="ITC Avant Garde"/>
                <w:color w:val="000000"/>
                <w:sz w:val="14"/>
                <w:szCs w:val="16"/>
                <w:lang w:eastAsia="es-MX"/>
              </w:rPr>
              <w:t xml:space="preserve">15, fracciones XL y XLI, </w:t>
            </w:r>
            <w:r w:rsidR="00B533DC" w:rsidRPr="00F36A5D">
              <w:rPr>
                <w:rFonts w:ascii="ITC Avant Garde" w:eastAsia="Times New Roman" w:hAnsi="ITC Avant Garde"/>
                <w:color w:val="000000"/>
                <w:sz w:val="14"/>
                <w:szCs w:val="16"/>
                <w:lang w:eastAsia="es-MX"/>
              </w:rPr>
              <w:t xml:space="preserve"> 51 de la Ley Federal de Telecomunicaciones y Radiodifusión</w:t>
            </w:r>
            <w:r w:rsidR="00A57E13" w:rsidRPr="00F36A5D">
              <w:rPr>
                <w:rFonts w:ascii="ITC Avant Garde" w:eastAsia="Times New Roman" w:hAnsi="ITC Avant Garde"/>
                <w:color w:val="000000"/>
                <w:sz w:val="14"/>
                <w:szCs w:val="16"/>
                <w:lang w:eastAsia="es-MX"/>
              </w:rPr>
              <w:t xml:space="preserve"> , última modificación publicada en el Diario Oficial de la Federación el 31 de octubre de 2017</w:t>
            </w:r>
            <w:r w:rsidR="00942344" w:rsidRPr="00F36A5D">
              <w:rPr>
                <w:rFonts w:ascii="ITC Avant Garde" w:eastAsia="Times New Roman" w:hAnsi="ITC Avant Garde"/>
                <w:color w:val="000000"/>
                <w:sz w:val="14"/>
                <w:szCs w:val="16"/>
                <w:lang w:eastAsia="es-MX"/>
              </w:rPr>
              <w:t xml:space="preserve">,12, fracción XXII, segundo y tercer párrafos y 138 de la Ley Federal de Competencia Económica, </w:t>
            </w:r>
            <w:r w:rsidR="00A57E13" w:rsidRPr="00F36A5D">
              <w:rPr>
                <w:rFonts w:ascii="ITC Avant Garde" w:eastAsia="Times New Roman" w:hAnsi="ITC Avant Garde"/>
                <w:color w:val="000000"/>
                <w:sz w:val="14"/>
                <w:szCs w:val="16"/>
                <w:lang w:eastAsia="es-MX"/>
              </w:rPr>
              <w:t xml:space="preserve">última modificación publicada en el Diario Oficial de la Federación el 27 de enero de 2017, </w:t>
            </w:r>
            <w:r w:rsidR="00942344" w:rsidRPr="00F36A5D">
              <w:rPr>
                <w:rFonts w:ascii="ITC Avant Garde" w:eastAsia="Times New Roman" w:hAnsi="ITC Avant Garde"/>
                <w:color w:val="000000"/>
                <w:sz w:val="14"/>
                <w:szCs w:val="16"/>
                <w:lang w:eastAsia="es-MX"/>
              </w:rPr>
              <w:t xml:space="preserve">así como </w:t>
            </w:r>
            <w:r w:rsidR="008A5565" w:rsidRPr="00F36A5D">
              <w:rPr>
                <w:rFonts w:ascii="ITC Avant Garde" w:eastAsia="Times New Roman" w:hAnsi="ITC Avant Garde"/>
                <w:color w:val="000000"/>
                <w:sz w:val="14"/>
                <w:szCs w:val="16"/>
                <w:lang w:eastAsia="es-MX"/>
              </w:rPr>
              <w:t xml:space="preserve">el </w:t>
            </w:r>
            <w:r w:rsidR="00942344" w:rsidRPr="00F36A5D">
              <w:rPr>
                <w:rFonts w:ascii="ITC Avant Garde" w:eastAsia="Times New Roman" w:hAnsi="ITC Avant Garde"/>
                <w:color w:val="000000"/>
                <w:sz w:val="14"/>
                <w:szCs w:val="16"/>
                <w:lang w:eastAsia="es-MX"/>
              </w:rPr>
              <w:t>Lineamiento</w:t>
            </w:r>
            <w:r w:rsidR="00B533DC" w:rsidRPr="00F36A5D">
              <w:rPr>
                <w:rFonts w:ascii="ITC Avant Garde" w:eastAsia="Times New Roman" w:hAnsi="ITC Avant Garde"/>
                <w:color w:val="000000"/>
                <w:sz w:val="14"/>
                <w:szCs w:val="16"/>
                <w:lang w:eastAsia="es-MX"/>
              </w:rPr>
              <w:t xml:space="preserve"> Octavo de los Lineamientos de Consulta Pública y Análisis de Impacto Regulatorio del Instituto Federal de Telecomunicaciones, publicados en el Diario Oficial de la Federación el 8 de noviembre de 2017.</w:t>
            </w:r>
          </w:p>
          <w:p w:rsidR="00D22B9D" w:rsidRPr="00F36A5D" w:rsidRDefault="00D22B9D" w:rsidP="00297840">
            <w:pPr>
              <w:spacing w:after="0" w:line="240" w:lineRule="auto"/>
              <w:ind w:left="492" w:right="229"/>
              <w:contextualSpacing/>
              <w:jc w:val="both"/>
              <w:rPr>
                <w:rFonts w:ascii="ITC Avant Garde" w:eastAsia="Times New Roman" w:hAnsi="ITC Avant Garde"/>
                <w:color w:val="000000"/>
                <w:sz w:val="14"/>
                <w:szCs w:val="16"/>
                <w:lang w:eastAsia="es-MX"/>
              </w:rPr>
            </w:pPr>
          </w:p>
          <w:p w:rsidR="000E55B0"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Mecanismos y medios disponibles para que el titular, en su caso, pueda manifestar su negativa para el tratamiento de sus datos personales para finalidades y transferencias de datos personales que requieren el consentimiento del titular:</w:t>
            </w:r>
            <w:r w:rsidRPr="00F36A5D">
              <w:rPr>
                <w:rFonts w:ascii="ITC Avant Garde" w:eastAsia="Times New Roman" w:hAnsi="ITC Avant Garde"/>
                <w:color w:val="000000"/>
                <w:sz w:val="14"/>
                <w:szCs w:val="16"/>
                <w:lang w:eastAsia="es-MX"/>
              </w:rPr>
              <w:t xml:space="preserve"> </w:t>
            </w:r>
            <w:r w:rsidR="00A57E13" w:rsidRPr="00F36A5D">
              <w:rPr>
                <w:rFonts w:ascii="ITC Avant Garde" w:eastAsia="Times New Roman" w:hAnsi="ITC Avant Garde"/>
                <w:color w:val="000000"/>
                <w:sz w:val="14"/>
                <w:szCs w:val="16"/>
                <w:lang w:eastAsia="es-MX"/>
              </w:rPr>
              <w:t>En concordancia con lo señalado en el apartado IV, del presente aviso de privacidad, se informa que los datos personales recabados con motivo de los procesos de consulta pública no serán objeto de transferencias que requieran el consentimiento del titular. No obstante, s</w:t>
            </w:r>
            <w:r w:rsidRPr="00F36A5D">
              <w:rPr>
                <w:rFonts w:ascii="ITC Avant Garde" w:eastAsia="Times New Roman" w:hAnsi="ITC Avant Garde"/>
                <w:color w:val="000000"/>
                <w:sz w:val="14"/>
                <w:szCs w:val="16"/>
                <w:lang w:eastAsia="es-MX"/>
              </w:rPr>
              <w:t xml:space="preserve">e ponen a disposición los siguientes puntos de contacto: </w:t>
            </w:r>
            <w:r w:rsidR="00D04C11">
              <w:rPr>
                <w:rFonts w:ascii="ITC Avant Garde" w:eastAsia="Times New Roman" w:hAnsi="ITC Avant Garde"/>
                <w:color w:val="000000"/>
                <w:sz w:val="14"/>
                <w:szCs w:val="16"/>
                <w:lang w:eastAsia="es-MX"/>
              </w:rPr>
              <w:t>Lorena Velá</w:t>
            </w:r>
            <w:r w:rsidR="003D0906">
              <w:rPr>
                <w:rFonts w:ascii="ITC Avant Garde" w:eastAsia="Times New Roman" w:hAnsi="ITC Avant Garde"/>
                <w:color w:val="000000"/>
                <w:sz w:val="14"/>
                <w:szCs w:val="16"/>
                <w:lang w:eastAsia="es-MX"/>
              </w:rPr>
              <w:t>zquez López, Subdirectora de Desarrollo Digital 2</w:t>
            </w:r>
            <w:r w:rsidRPr="00F36A5D">
              <w:rPr>
                <w:rFonts w:ascii="ITC Avant Garde" w:eastAsia="Times New Roman" w:hAnsi="ITC Avant Garde"/>
                <w:color w:val="000000"/>
                <w:sz w:val="14"/>
                <w:szCs w:val="16"/>
                <w:lang w:eastAsia="es-MX"/>
              </w:rPr>
              <w:t xml:space="preserve"> y </w:t>
            </w:r>
            <w:r w:rsidR="003D0906">
              <w:rPr>
                <w:rFonts w:ascii="ITC Avant Garde" w:eastAsia="Times New Roman" w:hAnsi="ITC Avant Garde"/>
                <w:color w:val="000000"/>
                <w:sz w:val="14"/>
                <w:szCs w:val="16"/>
                <w:lang w:eastAsia="es-MX"/>
              </w:rPr>
              <w:t>Edwin Andrés Montes de Oca Pérez</w:t>
            </w:r>
            <w:r w:rsidR="00D04C11">
              <w:rPr>
                <w:rFonts w:ascii="ITC Avant Garde" w:eastAsia="Times New Roman" w:hAnsi="ITC Avant Garde"/>
                <w:color w:val="000000"/>
                <w:sz w:val="14"/>
                <w:szCs w:val="16"/>
                <w:lang w:eastAsia="es-MX"/>
              </w:rPr>
              <w:t>, Subdirector de Desarrollo Digital 1</w:t>
            </w:r>
            <w:r w:rsidR="003D0906">
              <w:rPr>
                <w:rFonts w:ascii="ITC Avant Garde" w:eastAsia="Times New Roman" w:hAnsi="ITC Avant Garde"/>
                <w:color w:val="000000"/>
                <w:sz w:val="14"/>
                <w:szCs w:val="16"/>
                <w:lang w:eastAsia="es-MX"/>
              </w:rPr>
              <w:t>,</w:t>
            </w:r>
            <w:r w:rsidRPr="00F36A5D">
              <w:rPr>
                <w:rFonts w:ascii="ITC Avant Garde" w:eastAsia="Times New Roman" w:hAnsi="ITC Avant Garde"/>
                <w:color w:val="000000"/>
                <w:sz w:val="14"/>
                <w:szCs w:val="16"/>
                <w:lang w:eastAsia="es-MX"/>
              </w:rPr>
              <w:t xml:space="preserve"> correo electrónico: </w:t>
            </w:r>
            <w:r w:rsidR="003D0906" w:rsidRPr="00D04C11">
              <w:rPr>
                <w:rFonts w:ascii="ITC Avant Garde" w:eastAsia="Times New Roman" w:hAnsi="ITC Avant Garde"/>
                <w:b/>
                <w:color w:val="000000"/>
                <w:sz w:val="14"/>
                <w:szCs w:val="16"/>
                <w:lang w:eastAsia="es-MX"/>
              </w:rPr>
              <w:t>lorena.velazquez@</w:t>
            </w:r>
            <w:r w:rsidRPr="00D04C11">
              <w:rPr>
                <w:rFonts w:ascii="ITC Avant Garde" w:eastAsia="Times New Roman" w:hAnsi="ITC Avant Garde"/>
                <w:b/>
                <w:color w:val="000000"/>
                <w:sz w:val="14"/>
                <w:szCs w:val="16"/>
                <w:lang w:eastAsia="es-MX"/>
              </w:rPr>
              <w:t>ift.org.mx</w:t>
            </w:r>
            <w:r w:rsidRPr="00F36A5D">
              <w:rPr>
                <w:rFonts w:ascii="ITC Avant Garde" w:eastAsia="Times New Roman" w:hAnsi="ITC Avant Garde"/>
                <w:color w:val="000000"/>
                <w:sz w:val="14"/>
                <w:szCs w:val="16"/>
                <w:lang w:eastAsia="es-MX"/>
              </w:rPr>
              <w:t xml:space="preserve"> y </w:t>
            </w:r>
            <w:r w:rsidR="003D0906" w:rsidRPr="00D04C11">
              <w:rPr>
                <w:rFonts w:ascii="ITC Avant Garde" w:eastAsia="Times New Roman" w:hAnsi="ITC Avant Garde"/>
                <w:b/>
                <w:color w:val="000000"/>
                <w:sz w:val="14"/>
                <w:szCs w:val="16"/>
                <w:lang w:eastAsia="es-MX"/>
              </w:rPr>
              <w:t>edwin.montesdeoca</w:t>
            </w:r>
            <w:r w:rsidRPr="00D04C11">
              <w:rPr>
                <w:rFonts w:ascii="ITC Avant Garde" w:eastAsia="Times New Roman" w:hAnsi="ITC Avant Garde"/>
                <w:b/>
                <w:color w:val="000000"/>
                <w:sz w:val="14"/>
                <w:szCs w:val="16"/>
                <w:lang w:eastAsia="es-MX"/>
              </w:rPr>
              <w:t>@ift.org.mx</w:t>
            </w:r>
            <w:r w:rsidRPr="00F36A5D">
              <w:rPr>
                <w:rFonts w:ascii="ITC Avant Garde" w:eastAsia="Times New Roman" w:hAnsi="ITC Avant Garde"/>
                <w:color w:val="000000"/>
                <w:sz w:val="14"/>
                <w:szCs w:val="16"/>
                <w:lang w:eastAsia="es-MX"/>
              </w:rPr>
              <w:t xml:space="preserve"> y número telefónico 55 5015</w:t>
            </w:r>
            <w:r w:rsidR="00600DB8">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4000 extensión </w:t>
            </w:r>
            <w:r w:rsidR="003D0906">
              <w:rPr>
                <w:rFonts w:ascii="ITC Avant Garde" w:eastAsia="Times New Roman" w:hAnsi="ITC Avant Garde"/>
                <w:color w:val="000000"/>
                <w:sz w:val="14"/>
                <w:szCs w:val="16"/>
                <w:lang w:eastAsia="es-MX"/>
              </w:rPr>
              <w:t>4392</w:t>
            </w:r>
            <w:r w:rsidR="003D0906" w:rsidRPr="00F36A5D">
              <w:rPr>
                <w:rFonts w:ascii="ITC Avant Garde" w:eastAsia="Times New Roman" w:hAnsi="ITC Avant Garde"/>
                <w:color w:val="000000"/>
                <w:sz w:val="14"/>
                <w:szCs w:val="16"/>
                <w:lang w:eastAsia="es-MX"/>
              </w:rPr>
              <w:t xml:space="preserve"> </w:t>
            </w:r>
            <w:r w:rsidRPr="00F36A5D">
              <w:rPr>
                <w:rFonts w:ascii="ITC Avant Garde" w:eastAsia="Times New Roman" w:hAnsi="ITC Avant Garde"/>
                <w:color w:val="000000"/>
                <w:sz w:val="14"/>
                <w:szCs w:val="16"/>
                <w:lang w:eastAsia="es-MX"/>
              </w:rPr>
              <w:t xml:space="preserve">y </w:t>
            </w:r>
            <w:r w:rsidR="003D0906">
              <w:rPr>
                <w:rFonts w:ascii="ITC Avant Garde" w:eastAsia="Times New Roman" w:hAnsi="ITC Avant Garde"/>
                <w:color w:val="000000"/>
                <w:sz w:val="14"/>
                <w:szCs w:val="16"/>
                <w:lang w:eastAsia="es-MX"/>
              </w:rPr>
              <w:t>4411</w:t>
            </w:r>
            <w:r w:rsidRPr="00F36A5D">
              <w:rPr>
                <w:rFonts w:ascii="ITC Avant Garde" w:eastAsia="Times New Roman" w:hAnsi="ITC Avant Garde"/>
                <w:color w:val="000000"/>
                <w:sz w:val="14"/>
                <w:szCs w:val="16"/>
                <w:lang w:eastAsia="es-MX"/>
              </w:rPr>
              <w:t xml:space="preserve">, respectivamente, con quienes el titular de los datos personales podrá comunicarse </w:t>
            </w:r>
            <w:r w:rsidR="00A57E13" w:rsidRPr="00F36A5D">
              <w:rPr>
                <w:rFonts w:ascii="ITC Avant Garde" w:eastAsia="Times New Roman" w:hAnsi="ITC Avant Garde"/>
                <w:color w:val="000000"/>
                <w:sz w:val="14"/>
                <w:szCs w:val="16"/>
                <w:lang w:eastAsia="es-MX"/>
              </w:rPr>
              <w:t xml:space="preserve">para cualquier manifestación o inquietud al respecto. </w:t>
            </w:r>
          </w:p>
          <w:p w:rsidR="00D22B9D" w:rsidRPr="00F36A5D" w:rsidRDefault="00D22B9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 xml:space="preserve">Los mecanismos, medios y procedimientos disponibles para ejercer los derechos </w:t>
            </w:r>
            <w:r w:rsidR="00942344" w:rsidRPr="00F36A5D">
              <w:rPr>
                <w:rFonts w:ascii="ITC Avant Garde" w:eastAsia="Times New Roman" w:hAnsi="ITC Avant Garde"/>
                <w:b/>
                <w:color w:val="000000"/>
                <w:sz w:val="14"/>
                <w:szCs w:val="16"/>
                <w:lang w:eastAsia="es-MX"/>
              </w:rPr>
              <w:t xml:space="preserve">de acceso, rectificación, cancelación u oposición sobre el tratamiento de sus datos personales (en lo sucesivo, los “derechos </w:t>
            </w:r>
            <w:r w:rsidRPr="00F36A5D">
              <w:rPr>
                <w:rFonts w:ascii="ITC Avant Garde" w:eastAsia="Times New Roman" w:hAnsi="ITC Avant Garde"/>
                <w:b/>
                <w:color w:val="000000"/>
                <w:sz w:val="14"/>
                <w:szCs w:val="16"/>
                <w:lang w:eastAsia="es-MX"/>
              </w:rPr>
              <w:t>ARCO</w:t>
            </w:r>
            <w:r w:rsidR="00942344"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b/>
                <w:color w:val="000000"/>
                <w:sz w:val="14"/>
                <w:szCs w:val="16"/>
                <w:lang w:eastAsia="es-MX"/>
              </w:rPr>
              <w:t>:</w:t>
            </w:r>
            <w:r w:rsidRPr="00F36A5D">
              <w:rPr>
                <w:rFonts w:ascii="ITC Avant Garde" w:eastAsia="Times New Roman" w:hAnsi="ITC Avant Garde"/>
                <w:color w:val="000000"/>
                <w:sz w:val="14"/>
                <w:szCs w:val="16"/>
                <w:lang w:eastAsia="es-MX"/>
              </w:rPr>
              <w:t xml:space="preserve"> </w:t>
            </w:r>
            <w:r w:rsidR="00A57E13"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El procedimiento se regirá por lo dispuesto en los artículos 48 a 56 de la LGPDPPSO, así como en los numerales 73 al 107 de los Lineamientos, de conformidad con lo siguiente:</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Default="00A57E13" w:rsidP="00297840">
            <w:pPr>
              <w:pStyle w:val="Listavistosa-nfasis11"/>
              <w:numPr>
                <w:ilvl w:val="0"/>
                <w:numId w:val="15"/>
              </w:numPr>
              <w:spacing w:after="0" w:line="240" w:lineRule="auto"/>
              <w:ind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requisitos que debe contener la solicitud para el ejercicio de los derechos ARCO</w:t>
            </w:r>
          </w:p>
          <w:p w:rsidR="00F36A5D" w:rsidRPr="00F36A5D" w:rsidRDefault="00F36A5D" w:rsidP="00297840">
            <w:pPr>
              <w:pStyle w:val="Listavistosa-nfasis11"/>
              <w:spacing w:after="0" w:line="240" w:lineRule="auto"/>
              <w:ind w:left="85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Nombre del titular y su domicilio o cualquier otro medio para recibir notificaciones;</w:t>
            </w:r>
          </w:p>
          <w:p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documentos que acrediten la identidad del titular y, en su caso, la personalidad e identidad de su representante;</w:t>
            </w:r>
          </w:p>
          <w:p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ser posible, el área responsable que trata los datos personales y ante la cual se presenta la solicitud;</w:t>
            </w:r>
          </w:p>
          <w:p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descripción clara y precisa de los datos personales respecto de los que se busca ejercer alguno de los derechos ARCO;</w:t>
            </w:r>
          </w:p>
          <w:p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La descripción del derecho ARCO que se pretende ejercer, o bien, lo que solicita el titular, y </w:t>
            </w:r>
          </w:p>
          <w:p w:rsidR="00A57E13" w:rsidRPr="00F36A5D" w:rsidRDefault="00A57E13" w:rsidP="00297840">
            <w:pPr>
              <w:pStyle w:val="Listavistosa-nfasis11"/>
              <w:numPr>
                <w:ilvl w:val="0"/>
                <w:numId w:val="12"/>
              </w:numPr>
              <w:spacing w:after="0" w:line="240" w:lineRule="auto"/>
              <w:ind w:right="1012"/>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Cualquier otro elemento o documento que facilite la localización de los datos personales, en su caso. </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F812E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b) Los medios a través de los cuales el titular podrá presentar solicitudes para el ejercicio de los derechos ARCO</w:t>
            </w:r>
          </w:p>
          <w:p w:rsidR="00F812E3" w:rsidRPr="00F36A5D" w:rsidRDefault="00F812E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Los mismos se encuentran establecidos en el párrafo octavo del artículo 52 de la LGPDPPSO, que señala lo siguiente: </w:t>
            </w:r>
          </w:p>
          <w:p w:rsidR="00F812E3" w:rsidRPr="00F36A5D" w:rsidRDefault="00F812E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539"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Las solicitudes para el ejercicio de los derechos ARCO deberán presentarse ante la Unidad de Transparencia del responsable, que el titular considere competente, a través de escrito libre, formatos, medios electrónicos o cualquier otro medio qu</w:t>
            </w:r>
            <w:r w:rsidR="00AD0D63">
              <w:rPr>
                <w:rFonts w:ascii="ITC Avant Garde" w:eastAsia="Times New Roman" w:hAnsi="ITC Avant Garde"/>
                <w:color w:val="000000"/>
                <w:sz w:val="14"/>
                <w:szCs w:val="16"/>
                <w:lang w:eastAsia="es-MX"/>
              </w:rPr>
              <w:t>e al efecto establezca el INAI.</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 Los formularios, sistemas y otros medios simplificados que, en su caso, el Instituto hubiere establecido para facilitar al titular el ejercicio de sus derechos ARCO.</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Los formularios que ha desarrollado el INAI para el ejercicio de los derechos ARCO, se encuentran disponibles en su  portal de Internet (</w:t>
            </w:r>
            <w:hyperlink r:id="rId13" w:history="1">
              <w:r w:rsidRPr="00F36A5D">
                <w:rPr>
                  <w:rStyle w:val="Hipervnculo"/>
                  <w:rFonts w:ascii="ITC Avant Garde" w:eastAsia="Times New Roman" w:hAnsi="ITC Avant Garde"/>
                  <w:sz w:val="14"/>
                  <w:szCs w:val="16"/>
                  <w:lang w:eastAsia="es-MX"/>
                </w:rPr>
                <w:t>www.inai.org.mx</w:t>
              </w:r>
            </w:hyperlink>
            <w:r w:rsidRPr="00F36A5D">
              <w:rPr>
                <w:rFonts w:ascii="ITC Avant Garde" w:eastAsia="Times New Roman" w:hAnsi="ITC Avant Garde"/>
                <w:color w:val="000000"/>
                <w:sz w:val="14"/>
                <w:szCs w:val="16"/>
                <w:lang w:eastAsia="es-MX"/>
              </w:rPr>
              <w:t>), en la sección “</w:t>
            </w:r>
            <w:r w:rsidR="00F36A5D">
              <w:rPr>
                <w:rFonts w:ascii="ITC Avant Garde" w:eastAsia="Times New Roman" w:hAnsi="ITC Avant Garde"/>
                <w:color w:val="000000"/>
                <w:sz w:val="14"/>
                <w:szCs w:val="16"/>
                <w:lang w:eastAsia="es-MX"/>
              </w:rPr>
              <w:t>Protección de Datos Personales”/</w:t>
            </w:r>
            <w:r w:rsidRPr="00F36A5D">
              <w:rPr>
                <w:rFonts w:ascii="ITC Avant Garde" w:eastAsia="Times New Roman" w:hAnsi="ITC Avant Garde"/>
                <w:color w:val="000000"/>
                <w:sz w:val="14"/>
                <w:szCs w:val="16"/>
                <w:lang w:eastAsia="es-MX"/>
              </w:rPr>
              <w:t>“¿Cómo ejercer el derecho a la protección de datos pe</w:t>
            </w:r>
            <w:r w:rsidR="00F36A5D">
              <w:rPr>
                <w:rFonts w:ascii="ITC Avant Garde" w:eastAsia="Times New Roman" w:hAnsi="ITC Avant Garde"/>
                <w:color w:val="000000"/>
                <w:sz w:val="14"/>
                <w:szCs w:val="16"/>
                <w:lang w:eastAsia="es-MX"/>
              </w:rPr>
              <w:t>rsonales?/“Formatos”/”</w:t>
            </w:r>
            <w:r w:rsidR="00F36A5D" w:rsidRPr="00F36A5D">
              <w:rPr>
                <w:rFonts w:ascii="ITC Avant Garde" w:eastAsia="Times New Roman" w:hAnsi="ITC Avant Garde"/>
                <w:color w:val="000000"/>
                <w:sz w:val="14"/>
                <w:szCs w:val="16"/>
                <w:lang w:eastAsia="es-MX"/>
              </w:rPr>
              <w:t>Sector</w:t>
            </w:r>
            <w:r w:rsidRPr="00F36A5D">
              <w:rPr>
                <w:rFonts w:ascii="ITC Avant Garde" w:eastAsia="Times New Roman" w:hAnsi="ITC Avant Garde"/>
                <w:color w:val="000000"/>
                <w:sz w:val="14"/>
                <w:szCs w:val="16"/>
                <w:lang w:eastAsia="es-MX"/>
              </w:rPr>
              <w:t xml:space="preserve"> Público”.</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d) Los medios habilitados para dar respuesta a las solicitudes para el ejercicio de los derechos ARCO </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De conformidad con lo establecido en el numeral 90 de los Lineamientos,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últimos medios.</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 La modalidad o medios de reproducción de los datos personales </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lastRenderedPageBreak/>
              <w:t>Según lo dispuesto en el numeral 92 de los Lineamientos,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f) Los plazos establecidos dentro del procedimiento -los cuales no deberán contravenir los previsto en los artículos 51, 52, 53 y 54 de la LGPDPPSO- son los siguientes:</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responsable deberá establecer procedimientos sencillos que permitan el ejercicio de los derechos ARCO, cuyo plazo de respuesta no deberá exceder de veinte días contados a partir del día siguiente a la recepción de la solicitud.</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plazo referido en el párrafo anterior podrá ser ampliado por una sola vez hasta por diez días cuando así lo justifiquen las circunstancias, y siempre y cuando se le notifique al titular dentro del plazo de respuesta.</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resultar procedente el ejercicio de los derechos ARCO, el responsable deberá hacerlo efectivo en un plazo que no podrá exceder de quince días contados a partir del día siguiente en que se haya notificado la respuesta al titular.</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Transcurrido el plazo sin desahogar la prevención se tendrá por no presentada la solicitud de ejercicio de los derechos ARCO. </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La prevención tendrá el efecto de interrumpir el plazo que tiene el INAI para resolver la solicitud de ejercicio de los derechos ARCO.</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w:t>
            </w:r>
          </w:p>
          <w:p w:rsidR="00F812E3" w:rsidRPr="00F36A5D" w:rsidRDefault="00F812E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rsidR="009160D3" w:rsidRPr="00F36A5D" w:rsidRDefault="009160D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0A0F69"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 xml:space="preserve">En el caso en concreto, se informa que </w:t>
            </w:r>
            <w:r w:rsidRPr="00F36A5D">
              <w:rPr>
                <w:rFonts w:ascii="ITC Avant Garde" w:eastAsia="Times New Roman" w:hAnsi="ITC Avant Garde"/>
                <w:color w:val="000000"/>
                <w:sz w:val="14"/>
                <w:szCs w:val="16"/>
                <w:u w:val="single"/>
                <w:lang w:eastAsia="es-MX"/>
              </w:rPr>
              <w:t>no existe</w:t>
            </w:r>
            <w:r w:rsidR="00266BE0" w:rsidRPr="00F36A5D">
              <w:rPr>
                <w:rFonts w:ascii="ITC Avant Garde" w:eastAsia="Times New Roman" w:hAnsi="ITC Avant Garde"/>
                <w:color w:val="000000"/>
                <w:sz w:val="14"/>
                <w:szCs w:val="16"/>
                <w:u w:val="single"/>
                <w:lang w:eastAsia="es-MX"/>
              </w:rPr>
              <w:t>/existe</w:t>
            </w:r>
            <w:r w:rsidRPr="00F36A5D">
              <w:rPr>
                <w:rFonts w:ascii="ITC Avant Garde" w:eastAsia="Times New Roman" w:hAnsi="ITC Avant Garde"/>
                <w:color w:val="000000"/>
                <w:sz w:val="14"/>
                <w:szCs w:val="16"/>
                <w:u w:val="single"/>
                <w:lang w:eastAsia="es-MX"/>
              </w:rPr>
              <w:t xml:space="preserve"> </w:t>
            </w:r>
            <w:r w:rsidRPr="00F36A5D">
              <w:rPr>
                <w:rFonts w:ascii="ITC Avant Garde" w:eastAsia="Times New Roman" w:hAnsi="ITC Avant Garde"/>
                <w:color w:val="000000"/>
                <w:sz w:val="14"/>
                <w:szCs w:val="16"/>
                <w:lang w:eastAsia="es-MX"/>
              </w:rPr>
              <w:t>un procedimiento específico para solicitar el ejercicio de los derechos ARCO en relación con los datos personales que son recabados con motivo de</w:t>
            </w:r>
            <w:r w:rsidR="00464849" w:rsidRPr="00F36A5D">
              <w:rPr>
                <w:rFonts w:ascii="ITC Avant Garde" w:eastAsia="Times New Roman" w:hAnsi="ITC Avant Garde"/>
                <w:color w:val="000000"/>
                <w:sz w:val="14"/>
                <w:szCs w:val="16"/>
                <w:lang w:eastAsia="es-MX"/>
              </w:rPr>
              <w:t xml:space="preserve">l proceso consultivo que nos ocupa. </w:t>
            </w:r>
            <w:r w:rsidR="00266BE0" w:rsidRPr="00F36A5D">
              <w:rPr>
                <w:rFonts w:ascii="ITC Avant Garde" w:eastAsia="Times New Roman" w:hAnsi="ITC Avant Garde"/>
                <w:color w:val="000000"/>
                <w:sz w:val="14"/>
                <w:szCs w:val="16"/>
                <w:lang w:eastAsia="es-MX"/>
              </w:rPr>
              <w:t>(Descripción en caso de existir)</w:t>
            </w:r>
            <w:r w:rsidR="00F36A5D">
              <w:rPr>
                <w:rFonts w:ascii="ITC Avant Garde" w:eastAsia="Times New Roman" w:hAnsi="ITC Avant Garde"/>
                <w:color w:val="000000"/>
                <w:sz w:val="14"/>
                <w:szCs w:val="16"/>
                <w:lang w:eastAsia="es-MX"/>
              </w:rPr>
              <w:t>.</w:t>
            </w:r>
          </w:p>
          <w:p w:rsidR="009160D3" w:rsidRPr="00F36A5D" w:rsidRDefault="009160D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A57E13" w:rsidRPr="00F36A5D"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g) El derecho que tiene el titular de presentar un recurso de revisión ante el INAI en caso de estar inconforme con la respuesta</w:t>
            </w:r>
          </w:p>
          <w:p w:rsidR="009160D3" w:rsidRPr="00F36A5D" w:rsidRDefault="009160D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9160D3" w:rsidRDefault="00A57E13"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r w:rsidRPr="00F36A5D">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rsidR="00F36A5D" w:rsidRDefault="00F36A5D" w:rsidP="00297840">
            <w:pPr>
              <w:pStyle w:val="Listavistosa-nfasis11"/>
              <w:spacing w:after="0" w:line="240" w:lineRule="auto"/>
              <w:ind w:left="492" w:right="229"/>
              <w:jc w:val="both"/>
              <w:rPr>
                <w:rFonts w:ascii="ITC Avant Garde" w:eastAsia="Times New Roman" w:hAnsi="ITC Avant Garde"/>
                <w:color w:val="000000"/>
                <w:sz w:val="14"/>
                <w:szCs w:val="16"/>
                <w:lang w:eastAsia="es-MX"/>
              </w:rPr>
            </w:pPr>
          </w:p>
          <w:p w:rsidR="00EC144A" w:rsidRDefault="000E55B0" w:rsidP="00EC144A">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EC144A">
              <w:rPr>
                <w:rFonts w:ascii="ITC Avant Garde" w:eastAsia="Times New Roman" w:hAnsi="ITC Avant Garde"/>
                <w:b/>
                <w:color w:val="000000"/>
                <w:sz w:val="14"/>
                <w:szCs w:val="16"/>
                <w:lang w:eastAsia="es-MX"/>
              </w:rPr>
              <w:t xml:space="preserve">El domicilio de la Unidad de Transparencia del </w:t>
            </w:r>
            <w:r w:rsidR="000E54B6" w:rsidRPr="00EC144A">
              <w:rPr>
                <w:rFonts w:ascii="ITC Avant Garde" w:eastAsia="Times New Roman" w:hAnsi="ITC Avant Garde"/>
                <w:b/>
                <w:color w:val="000000"/>
                <w:sz w:val="14"/>
                <w:szCs w:val="16"/>
                <w:lang w:eastAsia="es-MX"/>
              </w:rPr>
              <w:t>IFT</w:t>
            </w:r>
            <w:r w:rsidRPr="00EC144A">
              <w:rPr>
                <w:rFonts w:ascii="ITC Avant Garde" w:eastAsia="Times New Roman" w:hAnsi="ITC Avant Garde"/>
                <w:b/>
                <w:color w:val="000000"/>
                <w:sz w:val="14"/>
                <w:szCs w:val="16"/>
                <w:lang w:eastAsia="es-MX"/>
              </w:rPr>
              <w:t>:</w:t>
            </w:r>
            <w:r w:rsidRPr="00EC144A">
              <w:rPr>
                <w:rFonts w:ascii="ITC Avant Garde" w:eastAsia="Times New Roman" w:hAnsi="ITC Avant Garde"/>
                <w:color w:val="000000"/>
                <w:sz w:val="14"/>
                <w:szCs w:val="16"/>
                <w:lang w:eastAsia="es-MX"/>
              </w:rPr>
              <w:t xml:space="preserve"> Insurgentes Sur 1143, Col. Nochebuena, Delegación Benito Juárez, C.</w:t>
            </w:r>
            <w:r w:rsidR="00903C94" w:rsidRPr="00EC144A">
              <w:rPr>
                <w:rFonts w:ascii="ITC Avant Garde" w:eastAsia="Times New Roman" w:hAnsi="ITC Avant Garde"/>
                <w:color w:val="000000"/>
                <w:sz w:val="14"/>
                <w:szCs w:val="16"/>
                <w:lang w:eastAsia="es-MX"/>
              </w:rPr>
              <w:t xml:space="preserve"> </w:t>
            </w:r>
            <w:r w:rsidRPr="00EC144A">
              <w:rPr>
                <w:rFonts w:ascii="ITC Avant Garde" w:eastAsia="Times New Roman" w:hAnsi="ITC Avant Garde"/>
                <w:color w:val="000000"/>
                <w:sz w:val="14"/>
                <w:szCs w:val="16"/>
                <w:lang w:eastAsia="es-MX"/>
              </w:rPr>
              <w:t>P. 03720, Ciudad de México, México.</w:t>
            </w:r>
            <w:r w:rsidR="00EC144A" w:rsidRPr="00EC144A">
              <w:rPr>
                <w:rFonts w:ascii="ITC Avant Garde" w:eastAsia="Times New Roman" w:hAnsi="ITC Avant Garde"/>
                <w:color w:val="000000"/>
                <w:sz w:val="14"/>
                <w:szCs w:val="16"/>
                <w:lang w:eastAsia="es-MX"/>
              </w:rPr>
              <w:t xml:space="preserve"> Planta Baja, </w:t>
            </w:r>
            <w:r w:rsidR="00C474AE">
              <w:rPr>
                <w:rFonts w:ascii="ITC Avant Garde" w:eastAsia="Times New Roman" w:hAnsi="ITC Avant Garde"/>
                <w:color w:val="000000"/>
                <w:sz w:val="14"/>
                <w:szCs w:val="16"/>
                <w:lang w:eastAsia="es-MX"/>
              </w:rPr>
              <w:t xml:space="preserve">teléfono </w:t>
            </w:r>
            <w:r w:rsidR="00600DB8">
              <w:rPr>
                <w:rFonts w:ascii="ITC Avant Garde" w:eastAsia="Times New Roman" w:hAnsi="ITC Avant Garde"/>
                <w:color w:val="000000"/>
                <w:sz w:val="14"/>
                <w:szCs w:val="16"/>
                <w:lang w:eastAsia="es-MX"/>
              </w:rPr>
              <w:t xml:space="preserve">55 </w:t>
            </w:r>
            <w:r w:rsidR="00C474AE">
              <w:rPr>
                <w:rFonts w:ascii="ITC Avant Garde" w:eastAsia="Times New Roman" w:hAnsi="ITC Avant Garde"/>
                <w:color w:val="000000"/>
                <w:sz w:val="14"/>
                <w:szCs w:val="16"/>
                <w:lang w:eastAsia="es-MX"/>
              </w:rPr>
              <w:t>5015</w:t>
            </w:r>
            <w:r w:rsidR="00600DB8">
              <w:rPr>
                <w:rFonts w:ascii="ITC Avant Garde" w:eastAsia="Times New Roman" w:hAnsi="ITC Avant Garde"/>
                <w:color w:val="000000"/>
                <w:sz w:val="14"/>
                <w:szCs w:val="16"/>
                <w:lang w:eastAsia="es-MX"/>
              </w:rPr>
              <w:t xml:space="preserve"> </w:t>
            </w:r>
            <w:r w:rsidR="00C474AE">
              <w:rPr>
                <w:rFonts w:ascii="ITC Avant Garde" w:eastAsia="Times New Roman" w:hAnsi="ITC Avant Garde"/>
                <w:color w:val="000000"/>
                <w:sz w:val="14"/>
                <w:szCs w:val="16"/>
                <w:lang w:eastAsia="es-MX"/>
              </w:rPr>
              <w:t>4000, extensión 4267.</w:t>
            </w:r>
          </w:p>
          <w:p w:rsidR="00F36A5D" w:rsidRPr="00EC144A" w:rsidRDefault="00F36A5D" w:rsidP="00EC144A">
            <w:pPr>
              <w:pStyle w:val="Listavistosa-nfasis11"/>
              <w:spacing w:after="0" w:line="240" w:lineRule="auto"/>
              <w:ind w:left="0" w:right="229"/>
              <w:jc w:val="both"/>
              <w:rPr>
                <w:rFonts w:ascii="ITC Avant Garde" w:eastAsia="Times New Roman" w:hAnsi="ITC Avant Garde"/>
                <w:color w:val="000000"/>
                <w:sz w:val="14"/>
                <w:szCs w:val="16"/>
                <w:lang w:eastAsia="es-MX"/>
              </w:rPr>
            </w:pPr>
          </w:p>
          <w:p w:rsidR="006B0B12" w:rsidRPr="00F36A5D" w:rsidRDefault="000E55B0" w:rsidP="00297840">
            <w:pPr>
              <w:pStyle w:val="Listavistosa-nfasis11"/>
              <w:numPr>
                <w:ilvl w:val="0"/>
                <w:numId w:val="9"/>
              </w:numPr>
              <w:spacing w:after="0" w:line="240" w:lineRule="auto"/>
              <w:ind w:left="492" w:right="229" w:hanging="283"/>
              <w:jc w:val="both"/>
              <w:rPr>
                <w:rFonts w:ascii="ITC Avant Garde" w:eastAsia="Times New Roman" w:hAnsi="ITC Avant Garde"/>
                <w:color w:val="000000"/>
                <w:sz w:val="14"/>
                <w:szCs w:val="16"/>
                <w:lang w:eastAsia="es-MX"/>
              </w:rPr>
            </w:pPr>
            <w:r w:rsidRPr="00F36A5D">
              <w:rPr>
                <w:rFonts w:ascii="ITC Avant Garde" w:eastAsia="Times New Roman" w:hAnsi="ITC Avant Garde"/>
                <w:b/>
                <w:color w:val="000000"/>
                <w:sz w:val="14"/>
                <w:szCs w:val="16"/>
                <w:lang w:eastAsia="es-MX"/>
              </w:rPr>
              <w:t>Los medios a través de los cuales el responsable comunicará a los titulares los cambios al aviso de privacidad</w:t>
            </w:r>
            <w:r w:rsidRPr="00F36A5D">
              <w:rPr>
                <w:rFonts w:ascii="ITC Avant Garde" w:eastAsia="Times New Roman" w:hAnsi="ITC Avant Garde"/>
                <w:color w:val="000000"/>
                <w:sz w:val="14"/>
                <w:szCs w:val="16"/>
                <w:lang w:eastAsia="es-MX"/>
              </w:rPr>
              <w:t xml:space="preserve">: Todo cambio al </w:t>
            </w:r>
            <w:r w:rsidR="006B0B12" w:rsidRPr="00F36A5D">
              <w:rPr>
                <w:rFonts w:ascii="ITC Avant Garde" w:eastAsia="Times New Roman" w:hAnsi="ITC Avant Garde"/>
                <w:color w:val="000000"/>
                <w:sz w:val="14"/>
                <w:szCs w:val="16"/>
                <w:lang w:eastAsia="es-MX"/>
              </w:rPr>
              <w:t>A</w:t>
            </w:r>
            <w:r w:rsidRPr="00F36A5D">
              <w:rPr>
                <w:rFonts w:ascii="ITC Avant Garde" w:eastAsia="Times New Roman" w:hAnsi="ITC Avant Garde"/>
                <w:color w:val="000000"/>
                <w:sz w:val="14"/>
                <w:szCs w:val="16"/>
                <w:lang w:eastAsia="es-MX"/>
              </w:rPr>
              <w:t xml:space="preserve">viso de </w:t>
            </w:r>
            <w:r w:rsidR="006B0B12" w:rsidRPr="00F36A5D">
              <w:rPr>
                <w:rFonts w:ascii="ITC Avant Garde" w:eastAsia="Times New Roman" w:hAnsi="ITC Avant Garde"/>
                <w:color w:val="000000"/>
                <w:sz w:val="14"/>
                <w:szCs w:val="16"/>
                <w:lang w:eastAsia="es-MX"/>
              </w:rPr>
              <w:t>P</w:t>
            </w:r>
            <w:r w:rsidRPr="00F36A5D">
              <w:rPr>
                <w:rFonts w:ascii="ITC Avant Garde" w:eastAsia="Times New Roman" w:hAnsi="ITC Avant Garde"/>
                <w:color w:val="000000"/>
                <w:sz w:val="14"/>
                <w:szCs w:val="16"/>
                <w:lang w:eastAsia="es-MX"/>
              </w:rPr>
              <w:t>rivacidad será comunicado a los titulares de datos personales en el apartado de consultas públicas del portal de internet del IFT.</w:t>
            </w:r>
          </w:p>
          <w:p w:rsidR="00F36A5D" w:rsidRDefault="00F36A5D" w:rsidP="00297840">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rsidR="00297840" w:rsidRDefault="00297840" w:rsidP="00297840">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rsidR="00297840" w:rsidRDefault="00297840" w:rsidP="00297840">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rsidR="00297840" w:rsidRDefault="00297840" w:rsidP="00297840">
            <w:pPr>
              <w:pStyle w:val="Listavistosa-nfasis11"/>
              <w:spacing w:after="0" w:line="240" w:lineRule="auto"/>
              <w:ind w:left="403" w:right="229" w:hanging="280"/>
              <w:jc w:val="both"/>
              <w:rPr>
                <w:rFonts w:ascii="ITC Avant Garde" w:eastAsia="Times New Roman" w:hAnsi="ITC Avant Garde"/>
                <w:color w:val="000000"/>
                <w:sz w:val="14"/>
                <w:szCs w:val="16"/>
                <w:lang w:eastAsia="es-MX"/>
              </w:rPr>
            </w:pPr>
          </w:p>
          <w:p w:rsidR="00297840" w:rsidRPr="00F36A5D" w:rsidRDefault="00297840" w:rsidP="00297840">
            <w:pPr>
              <w:pStyle w:val="Listavistosa-nfasis11"/>
              <w:spacing w:after="0" w:line="240" w:lineRule="auto"/>
              <w:ind w:left="0" w:right="229"/>
              <w:jc w:val="both"/>
              <w:rPr>
                <w:rFonts w:ascii="ITC Avant Garde" w:eastAsia="Times New Roman" w:hAnsi="ITC Avant Garde"/>
                <w:color w:val="000000"/>
                <w:sz w:val="14"/>
                <w:szCs w:val="16"/>
                <w:lang w:eastAsia="es-MX"/>
              </w:rPr>
            </w:pPr>
          </w:p>
        </w:tc>
      </w:tr>
    </w:tbl>
    <w:p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rsidTr="008A0E6C">
        <w:trPr>
          <w:trHeight w:val="581"/>
        </w:trPr>
        <w:tc>
          <w:tcPr>
            <w:tcW w:w="8859" w:type="dxa"/>
            <w:gridSpan w:val="2"/>
            <w:shd w:val="clear" w:color="auto" w:fill="D9D9D9"/>
            <w:vAlign w:val="center"/>
            <w:hideMark/>
          </w:tcPr>
          <w:p w:rsidR="000E55B0" w:rsidRPr="00F36A5D" w:rsidRDefault="000E55B0" w:rsidP="00297840">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lastRenderedPageBreak/>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del participante sobre el asunto en consulta pública</w:t>
            </w:r>
          </w:p>
        </w:tc>
      </w:tr>
      <w:tr w:rsidR="000E55B0" w:rsidRPr="00F36A5D" w:rsidTr="008A0E6C">
        <w:trPr>
          <w:trHeight w:val="399"/>
        </w:trPr>
        <w:tc>
          <w:tcPr>
            <w:tcW w:w="1684" w:type="dxa"/>
            <w:shd w:val="clear" w:color="auto" w:fill="C5E0B3"/>
            <w:vAlign w:val="center"/>
            <w:hideMark/>
          </w:tcPr>
          <w:p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rsidR="000E55B0" w:rsidRPr="00975C25" w:rsidRDefault="000E55B0" w:rsidP="00297840">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rsidTr="008A0E6C">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8A0E6C">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8A0E6C">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8A0E6C">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8A0E6C">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8A0E6C">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8A0E6C">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8A0E6C">
        <w:trPr>
          <w:trHeight w:val="290"/>
        </w:trPr>
        <w:tc>
          <w:tcPr>
            <w:tcW w:w="1684" w:type="dxa"/>
            <w:shd w:val="clear" w:color="auto" w:fill="auto"/>
            <w:vAlign w:val="center"/>
          </w:tcPr>
          <w:p w:rsidR="000E55B0" w:rsidRPr="00F36A5D" w:rsidRDefault="000E55B0" w:rsidP="00297840">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rsidR="000E55B0" w:rsidRPr="00F36A5D" w:rsidRDefault="000E55B0" w:rsidP="00297840">
            <w:pPr>
              <w:spacing w:after="0" w:line="240" w:lineRule="auto"/>
              <w:rPr>
                <w:rFonts w:ascii="ITC Avant Garde" w:eastAsia="Times New Roman" w:hAnsi="ITC Avant Garde"/>
                <w:color w:val="000000"/>
                <w:lang w:eastAsia="es-MX"/>
              </w:rPr>
            </w:pPr>
          </w:p>
        </w:tc>
      </w:tr>
      <w:tr w:rsidR="000E55B0" w:rsidRPr="00F36A5D" w:rsidTr="008A0E6C">
        <w:trPr>
          <w:trHeight w:val="130"/>
        </w:trPr>
        <w:tc>
          <w:tcPr>
            <w:tcW w:w="8859" w:type="dxa"/>
            <w:gridSpan w:val="2"/>
            <w:shd w:val="clear" w:color="auto" w:fill="C5E0B3"/>
            <w:vAlign w:val="center"/>
          </w:tcPr>
          <w:p w:rsidR="000E55B0" w:rsidRPr="00F36A5D" w:rsidRDefault="000E55B0" w:rsidP="00297840">
            <w:pPr>
              <w:spacing w:after="0" w:line="240" w:lineRule="auto"/>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rsidR="0086154B" w:rsidRDefault="0086154B" w:rsidP="00C41536">
      <w:pPr>
        <w:spacing w:after="0"/>
        <w:jc w:val="both"/>
        <w:rPr>
          <w:rFonts w:ascii="ITC Avant Garde" w:hAnsi="ITC Avant Garde"/>
          <w:sz w:val="12"/>
        </w:rPr>
      </w:pPr>
    </w:p>
    <w:p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rsidTr="008A0E6C">
        <w:trPr>
          <w:jc w:val="center"/>
        </w:trPr>
        <w:tc>
          <w:tcPr>
            <w:tcW w:w="8789" w:type="dxa"/>
            <w:shd w:val="clear" w:color="auto" w:fill="D9D9D9"/>
          </w:tcPr>
          <w:p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del participante sobre el asunto en consulta pública</w:t>
            </w:r>
          </w:p>
        </w:tc>
      </w:tr>
      <w:tr w:rsidR="00975C25" w:rsidRPr="00670385" w:rsidTr="008A0E6C">
        <w:trPr>
          <w:jc w:val="center"/>
        </w:trPr>
        <w:tc>
          <w:tcPr>
            <w:tcW w:w="8789" w:type="dxa"/>
            <w:shd w:val="clear" w:color="auto" w:fill="auto"/>
          </w:tcPr>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p w:rsidR="00975C25" w:rsidRPr="00670385" w:rsidRDefault="00975C25" w:rsidP="00670385">
            <w:pPr>
              <w:spacing w:after="0"/>
              <w:jc w:val="both"/>
              <w:rPr>
                <w:rFonts w:ascii="ITC Avant Garde" w:hAnsi="ITC Avant Garde"/>
                <w:sz w:val="12"/>
              </w:rPr>
            </w:pPr>
          </w:p>
        </w:tc>
      </w:tr>
      <w:tr w:rsidR="00975C25" w:rsidRPr="00670385" w:rsidTr="008A0E6C">
        <w:trPr>
          <w:jc w:val="center"/>
        </w:trPr>
        <w:tc>
          <w:tcPr>
            <w:tcW w:w="8789" w:type="dxa"/>
            <w:shd w:val="clear" w:color="auto" w:fill="C5E0B3"/>
          </w:tcPr>
          <w:p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rsidR="00DF154A" w:rsidRDefault="00DF154A" w:rsidP="00170916">
      <w:pPr>
        <w:spacing w:after="0"/>
        <w:jc w:val="both"/>
        <w:rPr>
          <w:rFonts w:ascii="ITC Avant Garde" w:hAnsi="ITC Avant Garde"/>
          <w:sz w:val="16"/>
        </w:rPr>
      </w:pPr>
    </w:p>
    <w:p w:rsidR="003D0906" w:rsidRDefault="003D0906" w:rsidP="003D0906">
      <w:pPr>
        <w:spacing w:after="0"/>
        <w:jc w:val="center"/>
        <w:rPr>
          <w:rFonts w:ascii="Century Gothic" w:hAnsi="Century Gothic"/>
          <w:b/>
        </w:rPr>
      </w:pPr>
    </w:p>
    <w:p w:rsidR="003D0906" w:rsidRDefault="003D0906" w:rsidP="003D0906">
      <w:pPr>
        <w:spacing w:after="0"/>
        <w:jc w:val="both"/>
        <w:rPr>
          <w:rFonts w:ascii="Century Gothic" w:hAnsi="Century Gothic"/>
          <w:sz w:val="16"/>
        </w:rPr>
      </w:pPr>
    </w:p>
    <w:p w:rsidR="003D0906" w:rsidRDefault="003D0906" w:rsidP="003D0906">
      <w:pPr>
        <w:spacing w:after="0"/>
        <w:jc w:val="both"/>
        <w:rPr>
          <w:rFonts w:ascii="Century Gothic" w:hAnsi="Century Gothic"/>
          <w:sz w:val="16"/>
        </w:rPr>
      </w:pPr>
    </w:p>
    <w:p w:rsidR="003D0906" w:rsidRDefault="003D0906" w:rsidP="003D0906">
      <w:pPr>
        <w:spacing w:after="0"/>
        <w:jc w:val="both"/>
        <w:rPr>
          <w:rFonts w:ascii="Century Gothic" w:hAnsi="Century Gothic"/>
          <w:sz w:val="16"/>
        </w:rPr>
      </w:pPr>
    </w:p>
    <w:p w:rsidR="003D0906" w:rsidRDefault="003D0906" w:rsidP="003D0906">
      <w:pPr>
        <w:spacing w:after="0"/>
        <w:jc w:val="both"/>
        <w:rPr>
          <w:rFonts w:ascii="Century Gothic" w:hAnsi="Century Gothic"/>
          <w:sz w:val="16"/>
        </w:rPr>
      </w:pPr>
    </w:p>
    <w:p w:rsidR="003D0906" w:rsidRDefault="003D0906" w:rsidP="003D0906">
      <w:pPr>
        <w:spacing w:after="0"/>
        <w:jc w:val="both"/>
        <w:rPr>
          <w:rFonts w:ascii="Century Gothic" w:hAnsi="Century Gothic"/>
          <w:sz w:val="16"/>
        </w:rPr>
      </w:pPr>
    </w:p>
    <w:p w:rsidR="003D0906" w:rsidRDefault="003D0906" w:rsidP="003D0906">
      <w:pPr>
        <w:spacing w:after="0"/>
        <w:jc w:val="both"/>
        <w:rPr>
          <w:rFonts w:ascii="Century Gothic" w:hAnsi="Century Gothic"/>
          <w:sz w:val="16"/>
        </w:rPr>
      </w:pPr>
    </w:p>
    <w:p w:rsidR="003D0906" w:rsidRDefault="003D0906" w:rsidP="003D0906">
      <w:pPr>
        <w:spacing w:after="0"/>
        <w:jc w:val="both"/>
        <w:rPr>
          <w:rFonts w:ascii="Century Gothic" w:hAnsi="Century Gothic"/>
          <w:sz w:val="16"/>
        </w:rPr>
      </w:pPr>
    </w:p>
    <w:p w:rsidR="003D0906" w:rsidRDefault="003D0906" w:rsidP="003D0906">
      <w:pPr>
        <w:spacing w:after="0"/>
        <w:jc w:val="both"/>
        <w:rPr>
          <w:rFonts w:ascii="Century Gothic" w:hAnsi="Century Gothic"/>
          <w:sz w:val="16"/>
        </w:rPr>
      </w:pPr>
    </w:p>
    <w:p w:rsidR="003D0906" w:rsidRDefault="003D0906" w:rsidP="003D0906">
      <w:pPr>
        <w:spacing w:after="0"/>
        <w:jc w:val="both"/>
        <w:rPr>
          <w:rFonts w:ascii="Century Gothic" w:hAnsi="Century Gothic"/>
          <w:sz w:val="16"/>
        </w:rPr>
      </w:pPr>
    </w:p>
    <w:p w:rsidR="003D0906" w:rsidRDefault="003D0906" w:rsidP="003D0906">
      <w:pPr>
        <w:spacing w:after="0"/>
        <w:jc w:val="both"/>
        <w:rPr>
          <w:rFonts w:ascii="Century Gothic" w:hAnsi="Century Gothic"/>
          <w:sz w:val="16"/>
        </w:rPr>
      </w:pPr>
    </w:p>
    <w:p w:rsidR="003D0906" w:rsidRDefault="003D0906" w:rsidP="003D0906">
      <w:pPr>
        <w:spacing w:after="0"/>
        <w:jc w:val="both"/>
        <w:rPr>
          <w:rFonts w:ascii="Century Gothic" w:hAnsi="Century Gothic"/>
          <w:sz w:val="16"/>
        </w:rPr>
      </w:pPr>
    </w:p>
    <w:p w:rsidR="003D0906" w:rsidRDefault="003D0906" w:rsidP="003D0906">
      <w:pPr>
        <w:spacing w:after="0"/>
        <w:jc w:val="both"/>
        <w:rPr>
          <w:rFonts w:ascii="Century Gothic" w:hAnsi="Century Gothic"/>
          <w:sz w:val="16"/>
        </w:rPr>
      </w:pPr>
    </w:p>
    <w:p w:rsidR="003D0906" w:rsidRDefault="003D0906" w:rsidP="003D0906">
      <w:pPr>
        <w:spacing w:after="0"/>
        <w:jc w:val="both"/>
        <w:rPr>
          <w:rFonts w:ascii="Century Gothic" w:hAnsi="Century Gothic"/>
          <w:sz w:val="16"/>
        </w:rPr>
      </w:pPr>
    </w:p>
    <w:p w:rsidR="003D0906" w:rsidRDefault="003D0906" w:rsidP="003D0906">
      <w:pPr>
        <w:spacing w:after="0"/>
        <w:jc w:val="both"/>
        <w:rPr>
          <w:rFonts w:ascii="Century Gothic" w:hAnsi="Century Gothic"/>
          <w:sz w:val="16"/>
        </w:rPr>
      </w:pPr>
    </w:p>
    <w:p w:rsidR="003D0906" w:rsidRDefault="003D0906" w:rsidP="003D0906">
      <w:pPr>
        <w:spacing w:after="0"/>
        <w:jc w:val="both"/>
        <w:rPr>
          <w:rFonts w:ascii="Century Gothic" w:hAnsi="Century Gothic"/>
          <w:sz w:val="16"/>
        </w:rPr>
      </w:pPr>
    </w:p>
    <w:p w:rsidR="003D0906" w:rsidRDefault="003D0906" w:rsidP="003D0906">
      <w:pPr>
        <w:spacing w:after="0"/>
        <w:jc w:val="both"/>
        <w:rPr>
          <w:rFonts w:ascii="Century Gothic" w:hAnsi="Century Gothic"/>
          <w:sz w:val="16"/>
        </w:rPr>
      </w:pPr>
    </w:p>
    <w:p w:rsidR="003D0906" w:rsidRDefault="003D0906" w:rsidP="003D0906">
      <w:pPr>
        <w:spacing w:after="0"/>
        <w:jc w:val="both"/>
        <w:rPr>
          <w:rFonts w:ascii="Century Gothic" w:hAnsi="Century Gothic"/>
          <w:sz w:val="16"/>
        </w:rPr>
      </w:pPr>
    </w:p>
    <w:p w:rsidR="003127B5" w:rsidRDefault="003127B5" w:rsidP="003D0906">
      <w:pPr>
        <w:spacing w:after="0"/>
        <w:jc w:val="both"/>
        <w:rPr>
          <w:rFonts w:ascii="Century Gothic" w:hAnsi="Century Gothic"/>
          <w:sz w:val="16"/>
        </w:rPr>
      </w:pPr>
    </w:p>
    <w:p w:rsidR="003127B5" w:rsidRDefault="003127B5" w:rsidP="003D0906">
      <w:pPr>
        <w:spacing w:after="0"/>
        <w:jc w:val="both"/>
        <w:rPr>
          <w:rFonts w:ascii="Century Gothic" w:hAnsi="Century Gothic"/>
          <w:sz w:val="16"/>
        </w:rPr>
      </w:pPr>
    </w:p>
    <w:p w:rsidR="003127B5" w:rsidRDefault="003127B5" w:rsidP="003D0906">
      <w:pPr>
        <w:spacing w:after="0"/>
        <w:jc w:val="both"/>
        <w:rPr>
          <w:rFonts w:ascii="Century Gothic" w:hAnsi="Century Gothic"/>
          <w:sz w:val="16"/>
        </w:rPr>
      </w:pPr>
    </w:p>
    <w:p w:rsidR="003127B5" w:rsidRDefault="003127B5" w:rsidP="003D0906">
      <w:pPr>
        <w:spacing w:after="0"/>
        <w:jc w:val="both"/>
        <w:rPr>
          <w:rFonts w:ascii="Century Gothic" w:hAnsi="Century Gothic"/>
          <w:sz w:val="16"/>
        </w:rPr>
      </w:pPr>
    </w:p>
    <w:p w:rsidR="003127B5" w:rsidRDefault="003127B5" w:rsidP="003D0906">
      <w:pPr>
        <w:spacing w:after="0"/>
        <w:jc w:val="both"/>
        <w:rPr>
          <w:rFonts w:ascii="Century Gothic" w:hAnsi="Century Gothic"/>
          <w:sz w:val="16"/>
        </w:rPr>
      </w:pPr>
    </w:p>
    <w:p w:rsidR="003127B5" w:rsidRDefault="003127B5" w:rsidP="003D0906">
      <w:pPr>
        <w:spacing w:after="0"/>
        <w:jc w:val="both"/>
        <w:rPr>
          <w:rFonts w:ascii="Century Gothic" w:hAnsi="Century Gothic"/>
          <w:sz w:val="16"/>
        </w:rPr>
      </w:pPr>
    </w:p>
    <w:p w:rsidR="003127B5" w:rsidRDefault="003127B5" w:rsidP="003D0906">
      <w:pPr>
        <w:spacing w:after="0"/>
        <w:jc w:val="both"/>
        <w:rPr>
          <w:rFonts w:ascii="Century Gothic" w:hAnsi="Century Gothic"/>
          <w:sz w:val="16"/>
        </w:rPr>
      </w:pPr>
    </w:p>
    <w:p w:rsidR="003127B5" w:rsidRDefault="003127B5" w:rsidP="003D0906">
      <w:pPr>
        <w:spacing w:after="0"/>
        <w:jc w:val="both"/>
        <w:rPr>
          <w:rFonts w:ascii="Century Gothic" w:hAnsi="Century Gothic"/>
          <w:sz w:val="16"/>
        </w:rPr>
      </w:pPr>
    </w:p>
    <w:p w:rsidR="003127B5" w:rsidRDefault="003127B5" w:rsidP="003D0906">
      <w:pPr>
        <w:spacing w:after="0"/>
        <w:jc w:val="both"/>
        <w:rPr>
          <w:rFonts w:ascii="Century Gothic" w:hAnsi="Century Gothic"/>
          <w:sz w:val="16"/>
        </w:rPr>
      </w:pPr>
    </w:p>
    <w:p w:rsidR="003D0906" w:rsidRDefault="003D0906" w:rsidP="003D0906">
      <w:pPr>
        <w:spacing w:after="0"/>
        <w:jc w:val="both"/>
        <w:rPr>
          <w:rFonts w:ascii="Century Gothic" w:hAnsi="Century Gothic"/>
          <w:sz w:val="16"/>
        </w:rPr>
      </w:pPr>
    </w:p>
    <w:p w:rsidR="003D0906" w:rsidRDefault="003D0906" w:rsidP="003D0906">
      <w:pPr>
        <w:spacing w:after="120" w:line="240" w:lineRule="auto"/>
        <w:jc w:val="both"/>
        <w:rPr>
          <w:rFonts w:ascii="ITC Avant Garde" w:hAnsi="ITC Avant Garde"/>
          <w:b/>
        </w:rPr>
      </w:pPr>
      <w:r>
        <w:rPr>
          <w:rFonts w:ascii="ITC Avant Garde" w:hAnsi="ITC Avant Garde"/>
          <w:b/>
        </w:rPr>
        <w:lastRenderedPageBreak/>
        <w:t>DOCUMENTO DE PREGUNTAS ABIERTAS SOBRE TEMAS RELEVANTES</w:t>
      </w:r>
    </w:p>
    <w:p w:rsidR="003D0906" w:rsidRDefault="003D0906" w:rsidP="003D0906">
      <w:pPr>
        <w:pBdr>
          <w:bottom w:val="single" w:sz="6" w:space="0" w:color="auto"/>
        </w:pBdr>
        <w:spacing w:after="120" w:line="240" w:lineRule="auto"/>
        <w:rPr>
          <w:rFonts w:ascii="ITC Avant Garde" w:hAnsi="ITC Avant Garde"/>
          <w:b/>
        </w:rPr>
      </w:pPr>
    </w:p>
    <w:p w:rsidR="003D0906" w:rsidRPr="00B30587" w:rsidRDefault="003D0906" w:rsidP="003D0906">
      <w:pPr>
        <w:pStyle w:val="Prrafodelista"/>
        <w:numPr>
          <w:ilvl w:val="0"/>
          <w:numId w:val="22"/>
        </w:numPr>
        <w:pBdr>
          <w:bottom w:val="single" w:sz="6" w:space="1" w:color="auto"/>
        </w:pBdr>
        <w:spacing w:after="120" w:line="240" w:lineRule="auto"/>
        <w:contextualSpacing/>
        <w:rPr>
          <w:rFonts w:ascii="ITC Avant Garde" w:hAnsi="ITC Avant Garde"/>
          <w:b/>
        </w:rPr>
      </w:pPr>
      <w:r w:rsidRPr="00B30587">
        <w:rPr>
          <w:rFonts w:ascii="ITC Avant Garde" w:hAnsi="ITC Avant Garde"/>
          <w:b/>
        </w:rPr>
        <w:t>GESTIÓN DE TRÁFICO</w:t>
      </w:r>
    </w:p>
    <w:p w:rsidR="003D0906" w:rsidRPr="00DA7F99" w:rsidRDefault="003D0906" w:rsidP="003D0906">
      <w:pPr>
        <w:spacing w:after="120" w:line="240" w:lineRule="auto"/>
        <w:jc w:val="both"/>
        <w:rPr>
          <w:rFonts w:ascii="ITC Avant Garde" w:hAnsi="ITC Avant Garde"/>
          <w:b/>
          <w:i/>
        </w:rPr>
      </w:pPr>
      <w:r w:rsidRPr="00DA7F99">
        <w:rPr>
          <w:rFonts w:ascii="ITC Avant Garde" w:hAnsi="ITC Avant Garde"/>
          <w:b/>
          <w:i/>
        </w:rPr>
        <w:t>Contexto</w:t>
      </w:r>
    </w:p>
    <w:p w:rsidR="003D0906" w:rsidRDefault="003D0906" w:rsidP="003D0906">
      <w:pPr>
        <w:spacing w:after="120" w:line="240" w:lineRule="auto"/>
        <w:jc w:val="both"/>
        <w:rPr>
          <w:rFonts w:ascii="ITC Avant Garde" w:eastAsia="Times New Roman" w:hAnsi="ITC Avant Garde"/>
        </w:rPr>
      </w:pPr>
    </w:p>
    <w:p w:rsidR="003D0906" w:rsidRPr="007824BA" w:rsidRDefault="003D0906" w:rsidP="003D0906">
      <w:pPr>
        <w:spacing w:after="120" w:line="240" w:lineRule="auto"/>
        <w:jc w:val="both"/>
        <w:rPr>
          <w:rFonts w:ascii="ITC Avant Garde" w:eastAsia="Times New Roman" w:hAnsi="ITC Avant Garde"/>
        </w:rPr>
      </w:pPr>
      <w:r>
        <w:rPr>
          <w:rFonts w:ascii="ITC Avant Garde" w:eastAsia="Times New Roman" w:hAnsi="ITC Avant Garde"/>
        </w:rPr>
        <w:t xml:space="preserve">Diversos estudios prevén que el tráfico IP mundial crecerá exponencialmente durante los siguientes años, </w:t>
      </w:r>
      <w:r w:rsidRPr="00373FC6">
        <w:rPr>
          <w:rFonts w:ascii="ITC Avant Garde" w:eastAsia="Times New Roman" w:hAnsi="ITC Avant Garde"/>
        </w:rPr>
        <w:t>provoca</w:t>
      </w:r>
      <w:r>
        <w:rPr>
          <w:rFonts w:ascii="ITC Avant Garde" w:eastAsia="Times New Roman" w:hAnsi="ITC Avant Garde"/>
        </w:rPr>
        <w:t>n</w:t>
      </w:r>
      <w:r w:rsidRPr="00373FC6">
        <w:rPr>
          <w:rFonts w:ascii="ITC Avant Garde" w:eastAsia="Times New Roman" w:hAnsi="ITC Avant Garde"/>
        </w:rPr>
        <w:t xml:space="preserve">do </w:t>
      </w:r>
      <w:r>
        <w:rPr>
          <w:rFonts w:ascii="ITC Avant Garde" w:eastAsia="Times New Roman" w:hAnsi="ITC Avant Garde"/>
        </w:rPr>
        <w:t>congestión en</w:t>
      </w:r>
      <w:r w:rsidRPr="00373FC6">
        <w:rPr>
          <w:rFonts w:ascii="ITC Avant Garde" w:eastAsia="Times New Roman" w:hAnsi="ITC Avant Garde"/>
        </w:rPr>
        <w:t xml:space="preserve"> las </w:t>
      </w:r>
      <w:r>
        <w:rPr>
          <w:rFonts w:ascii="ITC Avant Garde" w:eastAsia="Times New Roman" w:hAnsi="ITC Avant Garde"/>
        </w:rPr>
        <w:t xml:space="preserve">redes y </w:t>
      </w:r>
      <w:r w:rsidRPr="00373FC6">
        <w:rPr>
          <w:rFonts w:ascii="ITC Avant Garde" w:eastAsia="Times New Roman" w:hAnsi="ITC Avant Garde"/>
        </w:rPr>
        <w:t>haciendo necesaria la implementación de diversas medidas de gestión de tráfico y administración de red.</w:t>
      </w:r>
      <w:r>
        <w:rPr>
          <w:rStyle w:val="Refdenotaalpie"/>
          <w:rFonts w:ascii="ITC Avant Garde" w:eastAsia="Times New Roman" w:hAnsi="ITC Avant Garde"/>
        </w:rPr>
        <w:footnoteReference w:id="1"/>
      </w:r>
      <w:r>
        <w:rPr>
          <w:rFonts w:ascii="ITC Avant Garde" w:eastAsia="Times New Roman" w:hAnsi="ITC Avant Garde"/>
        </w:rPr>
        <w:t xml:space="preserve"> </w:t>
      </w:r>
      <w:r w:rsidRPr="003A53BE">
        <w:rPr>
          <w:rFonts w:ascii="ITC Avant Garde" w:eastAsia="Times New Roman" w:hAnsi="ITC Avant Garde"/>
          <w:bCs/>
        </w:rPr>
        <w:t xml:space="preserve">De acuerdo </w:t>
      </w:r>
      <w:r>
        <w:rPr>
          <w:rFonts w:ascii="ITC Avant Garde" w:eastAsia="Times New Roman" w:hAnsi="ITC Avant Garde"/>
          <w:bCs/>
        </w:rPr>
        <w:t xml:space="preserve">a un informe </w:t>
      </w:r>
      <w:r w:rsidRPr="003A53BE">
        <w:rPr>
          <w:rFonts w:ascii="ITC Avant Garde" w:eastAsia="Times New Roman" w:hAnsi="ITC Avant Garde"/>
          <w:bCs/>
        </w:rPr>
        <w:t>realizado por CISCO,</w:t>
      </w:r>
      <w:r>
        <w:rPr>
          <w:rFonts w:ascii="ITC Avant Garde" w:eastAsia="Times New Roman" w:hAnsi="ITC Avant Garde"/>
          <w:bCs/>
        </w:rPr>
        <w:t xml:space="preserve"> el tráfico de Internet, a nivel mundial, llegará a 366 exabytes (EB) per cápita en 2022</w:t>
      </w:r>
      <w:r w:rsidRPr="008337D5">
        <w:rPr>
          <w:rFonts w:ascii="ITC Avant Garde" w:eastAsia="Times New Roman" w:hAnsi="ITC Avant Garde"/>
          <w:bCs/>
        </w:rPr>
        <w:t>, frente</w:t>
      </w:r>
      <w:r>
        <w:rPr>
          <w:rFonts w:ascii="ITC Avant Garde" w:eastAsia="Times New Roman" w:hAnsi="ITC Avant Garde"/>
          <w:bCs/>
        </w:rPr>
        <w:t xml:space="preserve"> a los 122 EB per cápita en 2017.</w:t>
      </w:r>
      <w:r w:rsidRPr="00484693">
        <w:rPr>
          <w:rStyle w:val="Refdenotaalpie"/>
        </w:rPr>
        <w:footnoteReference w:id="2"/>
      </w:r>
      <w:r w:rsidRPr="00484693" w:rsidDel="00B87AEA">
        <w:rPr>
          <w:rFonts w:ascii="ITC Avant Garde" w:hAnsi="ITC Avant Garde"/>
        </w:rPr>
        <w:t xml:space="preserve"> </w:t>
      </w:r>
    </w:p>
    <w:p w:rsidR="003D0906" w:rsidRPr="002266A8" w:rsidRDefault="003D0906" w:rsidP="003D0906">
      <w:pPr>
        <w:spacing w:after="120" w:line="240" w:lineRule="auto"/>
        <w:jc w:val="both"/>
        <w:rPr>
          <w:rFonts w:ascii="ITC Avant Garde" w:eastAsia="Times New Roman" w:hAnsi="ITC Avant Garde"/>
          <w:bCs/>
        </w:rPr>
      </w:pPr>
      <w:r>
        <w:rPr>
          <w:rFonts w:ascii="ITC Avant Garde" w:eastAsia="Times New Roman" w:hAnsi="ITC Avant Garde" w:cs="Arial"/>
          <w:bCs/>
          <w:lang w:eastAsia="es-MX"/>
        </w:rPr>
        <w:t xml:space="preserve">Por otra parte, existen amenazas cotidianas a la seguridad e integridad de las redes que pueden poner en riesgo la continuidad y funcionamiento del servicio de acceso a Internet, así como la </w:t>
      </w:r>
      <w:r w:rsidRPr="00BC492A">
        <w:rPr>
          <w:rFonts w:ascii="ITC Avant Garde" w:eastAsia="Times New Roman" w:hAnsi="ITC Avant Garde" w:cs="Arial"/>
          <w:bCs/>
          <w:lang w:eastAsia="es-MX"/>
        </w:rPr>
        <w:t>pri</w:t>
      </w:r>
      <w:r>
        <w:rPr>
          <w:rFonts w:ascii="ITC Avant Garde" w:eastAsia="Times New Roman" w:hAnsi="ITC Avant Garde" w:cs="Arial"/>
          <w:bCs/>
          <w:lang w:eastAsia="es-MX"/>
        </w:rPr>
        <w:t>vacidad de los usuarios finales. Dichos riesgos requieren ser enfrentados en tiempo real por los prestadores del s</w:t>
      </w:r>
      <w:r w:rsidRPr="002D0282">
        <w:rPr>
          <w:rFonts w:ascii="ITC Avant Garde" w:eastAsia="Times New Roman" w:hAnsi="ITC Avant Garde" w:cs="Arial"/>
          <w:bCs/>
          <w:lang w:eastAsia="es-MX"/>
        </w:rPr>
        <w:t xml:space="preserve">ervicio de acceso a </w:t>
      </w:r>
      <w:r w:rsidRPr="002266A8">
        <w:rPr>
          <w:rFonts w:ascii="ITC Avant Garde" w:eastAsia="Times New Roman" w:hAnsi="ITC Avant Garde" w:cs="Arial"/>
          <w:bCs/>
          <w:lang w:eastAsia="es-MX"/>
        </w:rPr>
        <w:t xml:space="preserve">Internet (en lo sucesivo PSI). </w:t>
      </w:r>
    </w:p>
    <w:p w:rsidR="003D0906" w:rsidRDefault="003D0906" w:rsidP="003D0906">
      <w:pPr>
        <w:spacing w:after="120" w:line="240" w:lineRule="auto"/>
        <w:jc w:val="both"/>
        <w:rPr>
          <w:rFonts w:ascii="ITC Avant Garde" w:eastAsia="Times New Roman" w:hAnsi="ITC Avant Garde"/>
        </w:rPr>
      </w:pPr>
      <w:r w:rsidRPr="002266A8">
        <w:rPr>
          <w:rFonts w:ascii="ITC Avant Garde" w:eastAsia="Times New Roman" w:hAnsi="ITC Avant Garde"/>
        </w:rPr>
        <w:t>La gestión de tráfico y administración de red se refiere al conjunto de técnicas que permiten a los ISP la clasificación de tráfico, la implementación de calidad en el servicio (QoS por sus siglas en inglés) para aplicaciones en tiempo real y la diferenciación de categorías de tráfico.</w:t>
      </w:r>
      <w:r w:rsidRPr="002266A8">
        <w:rPr>
          <w:rStyle w:val="Refdenotaalpie"/>
          <w:rFonts w:ascii="ITC Avant Garde" w:eastAsia="Times New Roman" w:hAnsi="ITC Avant Garde"/>
        </w:rPr>
        <w:footnoteReference w:id="3"/>
      </w:r>
      <w:r w:rsidRPr="002266A8">
        <w:rPr>
          <w:rFonts w:ascii="ITC Avant Garde" w:eastAsia="Times New Roman" w:hAnsi="ITC Avant Garde"/>
        </w:rPr>
        <w:t xml:space="preserve"> Este tipo de medidas o acciones son comúnmente consideradas razonables por los órganos reguladores cuando se realizan con el fin de optimizar el manejo de tráfico de una red</w:t>
      </w:r>
      <w:r w:rsidRPr="003A53BE">
        <w:rPr>
          <w:rFonts w:ascii="ITC Avant Garde" w:eastAsia="Times New Roman" w:hAnsi="ITC Avant Garde"/>
        </w:rPr>
        <w:t xml:space="preserve"> o para hacer una mejor planeación de la inversión en infr</w:t>
      </w:r>
      <w:r>
        <w:rPr>
          <w:rFonts w:ascii="ITC Avant Garde" w:eastAsia="Times New Roman" w:hAnsi="ITC Avant Garde"/>
        </w:rPr>
        <w:t>aestructura que requiere un PSI</w:t>
      </w:r>
      <w:r w:rsidRPr="003A53BE">
        <w:rPr>
          <w:rFonts w:ascii="ITC Avant Garde" w:eastAsia="Times New Roman" w:hAnsi="ITC Avant Garde"/>
        </w:rPr>
        <w:t xml:space="preserve"> </w:t>
      </w:r>
      <w:r>
        <w:rPr>
          <w:rFonts w:ascii="ITC Avant Garde" w:eastAsia="Times New Roman" w:hAnsi="ITC Avant Garde"/>
        </w:rPr>
        <w:t>a fin de</w:t>
      </w:r>
      <w:r w:rsidRPr="003A53BE">
        <w:rPr>
          <w:rFonts w:ascii="ITC Avant Garde" w:eastAsia="Times New Roman" w:hAnsi="ITC Avant Garde"/>
        </w:rPr>
        <w:t xml:space="preserve"> satisfacer su demanda y hacer frente </w:t>
      </w:r>
      <w:r>
        <w:rPr>
          <w:rFonts w:ascii="ITC Avant Garde" w:eastAsia="Times New Roman" w:hAnsi="ITC Avant Garde"/>
        </w:rPr>
        <w:t>a la creciente demanda y posible</w:t>
      </w:r>
      <w:r w:rsidRPr="003A53BE">
        <w:rPr>
          <w:rFonts w:ascii="ITC Avant Garde" w:eastAsia="Times New Roman" w:hAnsi="ITC Avant Garde"/>
        </w:rPr>
        <w:t xml:space="preserve"> congestión de red</w:t>
      </w:r>
      <w:r w:rsidRPr="003A53BE">
        <w:rPr>
          <w:rFonts w:ascii="ITC Avant Garde" w:eastAsia="Times New Roman" w:hAnsi="ITC Avant Garde"/>
          <w:vertAlign w:val="superscript"/>
        </w:rPr>
        <w:footnoteReference w:id="4"/>
      </w:r>
      <w:r w:rsidRPr="003A53BE">
        <w:rPr>
          <w:rFonts w:ascii="ITC Avant Garde" w:eastAsia="Times New Roman" w:hAnsi="ITC Avant Garde"/>
        </w:rPr>
        <w:t>.</w:t>
      </w:r>
    </w:p>
    <w:p w:rsidR="003D0906" w:rsidRDefault="003D0906" w:rsidP="003D0906">
      <w:pPr>
        <w:spacing w:after="120" w:line="240" w:lineRule="auto"/>
        <w:jc w:val="both"/>
        <w:rPr>
          <w:rFonts w:ascii="ITC Avant Garde" w:eastAsia="Times New Roman" w:hAnsi="ITC Avant Garde" w:cs="Arial"/>
          <w:bCs/>
          <w:lang w:eastAsia="es-MX"/>
        </w:rPr>
      </w:pPr>
    </w:p>
    <w:p w:rsidR="003D0906" w:rsidRDefault="003D0906" w:rsidP="003D0906">
      <w:pPr>
        <w:spacing w:after="120" w:line="240" w:lineRule="auto"/>
        <w:jc w:val="both"/>
        <w:rPr>
          <w:rFonts w:ascii="ITC Avant Garde" w:eastAsia="Times New Roman" w:hAnsi="ITC Avant Garde" w:cs="Arial"/>
          <w:bCs/>
          <w:lang w:eastAsia="es-MX"/>
        </w:rPr>
      </w:pPr>
    </w:p>
    <w:p w:rsidR="003D0906" w:rsidRDefault="003D0906" w:rsidP="003D0906">
      <w:pPr>
        <w:spacing w:after="120" w:line="240" w:lineRule="auto"/>
        <w:jc w:val="both"/>
        <w:rPr>
          <w:rFonts w:ascii="ITC Avant Garde" w:eastAsia="Times New Roman" w:hAnsi="ITC Avant Garde" w:cs="Arial"/>
          <w:bCs/>
          <w:lang w:eastAsia="es-MX"/>
        </w:rPr>
      </w:pPr>
    </w:p>
    <w:p w:rsidR="003D0906" w:rsidRPr="00B11F73" w:rsidRDefault="003D0906" w:rsidP="003D0906">
      <w:pPr>
        <w:spacing w:after="120" w:line="240" w:lineRule="auto"/>
        <w:jc w:val="both"/>
        <w:rPr>
          <w:rFonts w:ascii="ITC Avant Garde" w:eastAsia="Times New Roman" w:hAnsi="ITC Avant Garde" w:cs="Arial"/>
          <w:bCs/>
          <w:lang w:eastAsia="es-MX"/>
        </w:rPr>
      </w:pPr>
      <w:r>
        <w:rPr>
          <w:rFonts w:ascii="ITC Avant Garde" w:eastAsia="Times New Roman" w:hAnsi="ITC Avant Garde" w:cs="Arial"/>
          <w:bCs/>
          <w:lang w:eastAsia="es-MX"/>
        </w:rPr>
        <w:lastRenderedPageBreak/>
        <w:t xml:space="preserve">Reconociendo que la implementación de medidas o acciones de gestión de tráfico y administración de red es una actividad necesaria e inherente a la naturaleza misma de las redes, los PSI deberán guiar su actuación por principios reconocidos en diversas regulaciones a nivel internacional en materia de neutralidad de red, tales como la no </w:t>
      </w:r>
      <w:r w:rsidRPr="00B11F73">
        <w:rPr>
          <w:rFonts w:ascii="ITC Avant Garde" w:eastAsia="Times New Roman" w:hAnsi="ITC Avant Garde" w:cs="Arial"/>
          <w:bCs/>
          <w:lang w:eastAsia="es-MX"/>
        </w:rPr>
        <w:t>di</w:t>
      </w:r>
      <w:r>
        <w:rPr>
          <w:rFonts w:ascii="ITC Avant Garde" w:eastAsia="Times New Roman" w:hAnsi="ITC Avant Garde" w:cs="Arial"/>
          <w:bCs/>
          <w:lang w:eastAsia="es-MX"/>
        </w:rPr>
        <w:t xml:space="preserve">scriminación, la proporcionalidad y la transparencia. Adicionalmente, resulta relevante identificar información sobre el estado actual de las redes en México, las amenazas a su funcionamiento óptimo y las estrategias que los PSI consideran necesarias y adecuadas para hacer frente a dichas amenazas. </w:t>
      </w:r>
    </w:p>
    <w:p w:rsidR="003D0906" w:rsidRPr="00DA7F99" w:rsidRDefault="003D0906" w:rsidP="003D0906">
      <w:pPr>
        <w:spacing w:after="120" w:line="240" w:lineRule="auto"/>
        <w:jc w:val="both"/>
        <w:rPr>
          <w:rFonts w:ascii="ITC Avant Garde" w:eastAsia="Times New Roman" w:hAnsi="ITC Avant Garde" w:cs="Arial"/>
          <w:bCs/>
          <w:lang w:eastAsia="es-MX"/>
        </w:rPr>
      </w:pPr>
      <w:r w:rsidRPr="00DA7F99">
        <w:rPr>
          <w:rFonts w:ascii="ITC Avant Garde" w:eastAsia="Times New Roman" w:hAnsi="ITC Avant Garde" w:cs="Arial"/>
          <w:bCs/>
          <w:lang w:eastAsia="es-MX"/>
        </w:rPr>
        <w:t xml:space="preserve">Para mayor información </w:t>
      </w:r>
      <w:r>
        <w:rPr>
          <w:rFonts w:ascii="ITC Avant Garde" w:eastAsia="Times New Roman" w:hAnsi="ITC Avant Garde" w:cs="Arial"/>
          <w:bCs/>
          <w:lang w:eastAsia="es-MX"/>
        </w:rPr>
        <w:t xml:space="preserve">sobre este tema </w:t>
      </w:r>
      <w:r w:rsidRPr="00DA7F99">
        <w:rPr>
          <w:rFonts w:ascii="ITC Avant Garde" w:eastAsia="Times New Roman" w:hAnsi="ITC Avant Garde" w:cs="Arial"/>
          <w:bCs/>
          <w:lang w:eastAsia="es-MX"/>
        </w:rPr>
        <w:t>consultar el Estudio “</w:t>
      </w:r>
      <w:r>
        <w:rPr>
          <w:rFonts w:ascii="ITC Avant Garde" w:eastAsia="Times New Roman" w:hAnsi="ITC Avant Garde" w:cs="Arial"/>
          <w:bCs/>
          <w:lang w:eastAsia="es-MX"/>
        </w:rPr>
        <w:t>Neutralidad de Red”</w:t>
      </w:r>
      <w:r>
        <w:rPr>
          <w:rStyle w:val="Refdenotaalpie"/>
          <w:rFonts w:ascii="ITC Avant Garde" w:eastAsia="Times New Roman" w:hAnsi="ITC Avant Garde" w:cs="Arial"/>
          <w:bCs/>
          <w:lang w:eastAsia="es-MX"/>
        </w:rPr>
        <w:footnoteReference w:id="5"/>
      </w:r>
      <w:r>
        <w:rPr>
          <w:rFonts w:ascii="ITC Avant Garde" w:eastAsia="Times New Roman" w:hAnsi="ITC Avant Garde" w:cs="Arial"/>
          <w:bCs/>
          <w:lang w:eastAsia="es-MX"/>
        </w:rPr>
        <w:t xml:space="preserve"> (en lo sucesivo “el Estudio”), apartados 2, 3, 6 y 8.</w:t>
      </w:r>
    </w:p>
    <w:p w:rsidR="003D0906" w:rsidRPr="003B6013" w:rsidRDefault="003D0906" w:rsidP="003D0906">
      <w:pPr>
        <w:jc w:val="both"/>
        <w:rPr>
          <w:rFonts w:ascii="ITC Avant Garde" w:hAnsi="ITC Avant Garde"/>
          <w:b/>
          <w:i/>
        </w:rPr>
      </w:pPr>
      <w:r w:rsidRPr="00DA7F99">
        <w:rPr>
          <w:rFonts w:ascii="ITC Avant Garde" w:hAnsi="ITC Avant Garde"/>
          <w:b/>
          <w:i/>
        </w:rPr>
        <w:t>Preguntas</w:t>
      </w:r>
    </w:p>
    <w:p w:rsidR="003D0906" w:rsidRDefault="003D0906" w:rsidP="003D0906">
      <w:pPr>
        <w:pStyle w:val="Prrafodelista"/>
        <w:numPr>
          <w:ilvl w:val="0"/>
          <w:numId w:val="18"/>
        </w:numPr>
        <w:spacing w:after="120" w:line="240" w:lineRule="auto"/>
        <w:jc w:val="both"/>
        <w:rPr>
          <w:rFonts w:ascii="ITC Avant Garde" w:hAnsi="ITC Avant Garde"/>
        </w:rPr>
      </w:pPr>
      <w:r>
        <w:rPr>
          <w:rFonts w:ascii="ITC Avant Garde" w:hAnsi="ITC Avant Garde"/>
        </w:rPr>
        <w:t>¿En qué casos, o bajo qué parámetros, considera que existe congestión en la red de un PSI? ¿Cómo definiría la congestión de red excepcional y la congestión temporal?</w:t>
      </w:r>
    </w:p>
    <w:p w:rsidR="003D0906" w:rsidRPr="009E4B6B" w:rsidRDefault="003D0906" w:rsidP="003D0906">
      <w:pPr>
        <w:pStyle w:val="Prrafodelista"/>
        <w:numPr>
          <w:ilvl w:val="0"/>
          <w:numId w:val="18"/>
        </w:numPr>
        <w:spacing w:after="120" w:line="240" w:lineRule="auto"/>
        <w:jc w:val="both"/>
        <w:rPr>
          <w:rFonts w:ascii="ITC Avant Garde" w:hAnsi="ITC Avant Garde"/>
        </w:rPr>
      </w:pPr>
      <w:r w:rsidRPr="009E4B6B">
        <w:rPr>
          <w:rFonts w:ascii="ITC Avant Garde" w:hAnsi="ITC Avant Garde"/>
        </w:rPr>
        <w:t xml:space="preserve">¿Considera que existen ciertos tipos </w:t>
      </w:r>
      <w:r>
        <w:rPr>
          <w:rFonts w:ascii="ITC Avant Garde" w:hAnsi="ITC Avant Garde"/>
        </w:rPr>
        <w:t>de tráfico</w:t>
      </w:r>
      <w:r w:rsidRPr="009E4B6B">
        <w:rPr>
          <w:rFonts w:ascii="ITC Avant Garde" w:hAnsi="ITC Avant Garde"/>
        </w:rPr>
        <w:t xml:space="preserve"> - sensibles al </w:t>
      </w:r>
      <w:r>
        <w:rPr>
          <w:rFonts w:ascii="ITC Avant Garde" w:hAnsi="ITC Avant Garde"/>
        </w:rPr>
        <w:t>retardo (Jitter)</w:t>
      </w:r>
      <w:r w:rsidRPr="009E4B6B">
        <w:rPr>
          <w:rFonts w:ascii="ITC Avant Garde" w:hAnsi="ITC Avant Garde"/>
        </w:rPr>
        <w:t xml:space="preserve">, por ejemplo - cuyo tráfico debería ser priorizado sobre otro en momentos de congestión? </w:t>
      </w:r>
      <w:r>
        <w:rPr>
          <w:rFonts w:ascii="ITC Avant Garde" w:hAnsi="ITC Avant Garde"/>
        </w:rPr>
        <w:t>Presente evidencia o casos de estudio concretos</w:t>
      </w:r>
      <w:r w:rsidRPr="009E4B6B">
        <w:rPr>
          <w:rFonts w:ascii="ITC Avant Garde" w:hAnsi="ITC Avant Garde"/>
        </w:rPr>
        <w:t>.</w:t>
      </w:r>
    </w:p>
    <w:p w:rsidR="003D0906" w:rsidRPr="00341F44" w:rsidRDefault="003D0906" w:rsidP="003D0906">
      <w:pPr>
        <w:pStyle w:val="Prrafodelista"/>
        <w:numPr>
          <w:ilvl w:val="0"/>
          <w:numId w:val="18"/>
        </w:numPr>
        <w:spacing w:after="120"/>
        <w:jc w:val="both"/>
        <w:rPr>
          <w:rFonts w:ascii="ITC Avant Garde" w:hAnsi="ITC Avant Garde"/>
        </w:rPr>
      </w:pPr>
      <w:r w:rsidRPr="00341F44">
        <w:rPr>
          <w:rFonts w:ascii="ITC Avant Garde" w:hAnsi="ITC Avant Garde"/>
        </w:rPr>
        <w:t>¿Cuáles considera que son las principales amenazas a la integridad y la seguridad de la red</w:t>
      </w:r>
      <w:r w:rsidRPr="00D03927">
        <w:rPr>
          <w:rFonts w:ascii="ITC Avant Garde" w:hAnsi="ITC Avant Garde"/>
        </w:rPr>
        <w:t>?</w:t>
      </w:r>
    </w:p>
    <w:p w:rsidR="003D0906" w:rsidRPr="00341F44" w:rsidRDefault="003D0906" w:rsidP="003D0906">
      <w:pPr>
        <w:pStyle w:val="Prrafodelista"/>
        <w:numPr>
          <w:ilvl w:val="0"/>
          <w:numId w:val="18"/>
        </w:numPr>
        <w:spacing w:after="120"/>
        <w:jc w:val="both"/>
        <w:rPr>
          <w:rFonts w:ascii="ITC Avant Garde" w:hAnsi="ITC Avant Garde"/>
        </w:rPr>
      </w:pPr>
      <w:r w:rsidRPr="00D03927">
        <w:rPr>
          <w:rFonts w:ascii="ITC Avant Garde" w:hAnsi="ITC Avant Garde"/>
        </w:rPr>
        <w:t xml:space="preserve">¿Cuáles considera que son las principales amenazas </w:t>
      </w:r>
      <w:r w:rsidRPr="00341F44">
        <w:rPr>
          <w:rFonts w:ascii="ITC Avant Garde" w:hAnsi="ITC Avant Garde"/>
        </w:rPr>
        <w:t xml:space="preserve">a la privacidad </w:t>
      </w:r>
      <w:r>
        <w:rPr>
          <w:rFonts w:ascii="ITC Avant Garde" w:hAnsi="ITC Avant Garde"/>
        </w:rPr>
        <w:t>de las comunicaciones de los usuarios finales</w:t>
      </w:r>
      <w:r w:rsidRPr="00341F44">
        <w:rPr>
          <w:rFonts w:ascii="ITC Avant Garde" w:hAnsi="ITC Avant Garde"/>
        </w:rPr>
        <w:t xml:space="preserve"> en Internet?</w:t>
      </w:r>
    </w:p>
    <w:p w:rsidR="003D0906" w:rsidRPr="00745A56" w:rsidRDefault="003D0906" w:rsidP="003D0906">
      <w:pPr>
        <w:pStyle w:val="Prrafodelista"/>
        <w:numPr>
          <w:ilvl w:val="0"/>
          <w:numId w:val="18"/>
        </w:numPr>
        <w:spacing w:after="120" w:line="240" w:lineRule="auto"/>
        <w:jc w:val="both"/>
        <w:rPr>
          <w:rFonts w:ascii="ITC Avant Garde" w:hAnsi="ITC Avant Garde"/>
        </w:rPr>
      </w:pPr>
      <w:r>
        <w:rPr>
          <w:rFonts w:ascii="ITC Avant Garde" w:hAnsi="ITC Avant Garde"/>
        </w:rPr>
        <w:t xml:space="preserve">¿Qué prácticas, </w:t>
      </w:r>
      <w:r w:rsidRPr="00C815CA">
        <w:rPr>
          <w:rFonts w:ascii="ITC Avant Garde" w:hAnsi="ITC Avant Garde"/>
        </w:rPr>
        <w:t xml:space="preserve">medidas o acciones </w:t>
      </w:r>
      <w:r>
        <w:rPr>
          <w:rFonts w:ascii="ITC Avant Garde" w:hAnsi="ITC Avant Garde"/>
        </w:rPr>
        <w:t xml:space="preserve">de </w:t>
      </w:r>
      <w:r w:rsidRPr="00C815CA">
        <w:rPr>
          <w:rFonts w:ascii="ITC Avant Garde" w:hAnsi="ITC Avant Garde"/>
          <w:bCs/>
          <w:lang w:val="es-EC"/>
        </w:rPr>
        <w:t xml:space="preserve">gestión de tráfico y administración de red </w:t>
      </w:r>
      <w:r>
        <w:rPr>
          <w:rFonts w:ascii="ITC Avant Garde" w:hAnsi="ITC Avant Garde"/>
          <w:bCs/>
          <w:lang w:val="es-EC"/>
        </w:rPr>
        <w:t xml:space="preserve">considera indispensables </w:t>
      </w:r>
      <w:r w:rsidRPr="00C815CA">
        <w:rPr>
          <w:rFonts w:ascii="ITC Avant Garde" w:hAnsi="ITC Avant Garde"/>
          <w:bCs/>
          <w:lang w:val="es-EC"/>
        </w:rPr>
        <w:t>a fin de garantizar</w:t>
      </w:r>
      <w:r>
        <w:rPr>
          <w:rFonts w:ascii="ITC Avant Garde" w:hAnsi="ITC Avant Garde"/>
          <w:bCs/>
          <w:lang w:val="es-EC"/>
        </w:rPr>
        <w:t xml:space="preserve"> </w:t>
      </w:r>
      <w:r w:rsidRPr="005B0CFB">
        <w:rPr>
          <w:rFonts w:ascii="ITC Avant Garde" w:hAnsi="ITC Avant Garde"/>
        </w:rPr>
        <w:t xml:space="preserve">la integridad y la </w:t>
      </w:r>
      <w:r>
        <w:rPr>
          <w:rFonts w:ascii="ITC Avant Garde" w:hAnsi="ITC Avant Garde"/>
        </w:rPr>
        <w:t xml:space="preserve">seguridad de la red, así como </w:t>
      </w:r>
      <w:r w:rsidRPr="005B0CFB">
        <w:rPr>
          <w:rFonts w:ascii="ITC Avant Garde" w:hAnsi="ITC Avant Garde"/>
        </w:rPr>
        <w:t xml:space="preserve">la privacidad de </w:t>
      </w:r>
      <w:r>
        <w:rPr>
          <w:rFonts w:ascii="ITC Avant Garde" w:hAnsi="ITC Avant Garde"/>
        </w:rPr>
        <w:t>las</w:t>
      </w:r>
      <w:r w:rsidRPr="005B0CFB">
        <w:rPr>
          <w:rFonts w:ascii="ITC Avant Garde" w:hAnsi="ITC Avant Garde"/>
        </w:rPr>
        <w:t xml:space="preserve"> comunicaciones</w:t>
      </w:r>
      <w:r>
        <w:rPr>
          <w:rFonts w:ascii="ITC Avant Garde" w:hAnsi="ITC Avant Garde"/>
        </w:rPr>
        <w:t xml:space="preserve"> de los usuarios finales</w:t>
      </w:r>
      <w:r w:rsidRPr="005B0CFB">
        <w:rPr>
          <w:rFonts w:ascii="ITC Avant Garde" w:hAnsi="ITC Avant Garde"/>
        </w:rPr>
        <w:t xml:space="preserve"> en Internet</w:t>
      </w:r>
      <w:r>
        <w:rPr>
          <w:rFonts w:ascii="ITC Avant Garde" w:hAnsi="ITC Avant Garde"/>
        </w:rPr>
        <w:t>?</w:t>
      </w:r>
    </w:p>
    <w:p w:rsidR="003D0906" w:rsidRDefault="003D0906" w:rsidP="003D0906">
      <w:pPr>
        <w:pStyle w:val="Prrafodelista"/>
        <w:numPr>
          <w:ilvl w:val="0"/>
          <w:numId w:val="18"/>
        </w:numPr>
        <w:spacing w:after="120" w:line="240" w:lineRule="auto"/>
        <w:jc w:val="both"/>
        <w:rPr>
          <w:rFonts w:ascii="ITC Avant Garde" w:hAnsi="ITC Avant Garde"/>
        </w:rPr>
      </w:pPr>
      <w:r>
        <w:rPr>
          <w:rFonts w:ascii="ITC Avant Garde" w:hAnsi="ITC Avant Garde"/>
        </w:rPr>
        <w:t xml:space="preserve">¿Qué prácticas, </w:t>
      </w:r>
      <w:r w:rsidRPr="00C815CA">
        <w:rPr>
          <w:rFonts w:ascii="ITC Avant Garde" w:hAnsi="ITC Avant Garde"/>
        </w:rPr>
        <w:t xml:space="preserve">medidas o acciones </w:t>
      </w:r>
      <w:r>
        <w:rPr>
          <w:rFonts w:ascii="ITC Avant Garde" w:hAnsi="ITC Avant Garde"/>
        </w:rPr>
        <w:t xml:space="preserve">de </w:t>
      </w:r>
      <w:r w:rsidRPr="00C815CA">
        <w:rPr>
          <w:rFonts w:ascii="ITC Avant Garde" w:hAnsi="ITC Avant Garde"/>
          <w:bCs/>
          <w:lang w:val="es-EC"/>
        </w:rPr>
        <w:t xml:space="preserve">gestión de tráfico y administración de red </w:t>
      </w:r>
      <w:r>
        <w:rPr>
          <w:rFonts w:ascii="ITC Avant Garde" w:hAnsi="ITC Avant Garde"/>
          <w:bCs/>
          <w:lang w:val="es-EC"/>
        </w:rPr>
        <w:t xml:space="preserve">considera indispensables </w:t>
      </w:r>
      <w:r w:rsidRPr="00C815CA">
        <w:rPr>
          <w:rFonts w:ascii="ITC Avant Garde" w:hAnsi="ITC Avant Garde"/>
          <w:bCs/>
          <w:lang w:val="es-EC"/>
        </w:rPr>
        <w:t>a fin de garantizar la calidad o velocidad contratada por el usuario</w:t>
      </w:r>
      <w:r>
        <w:rPr>
          <w:rFonts w:ascii="ITC Avant Garde" w:hAnsi="ITC Avant Garde"/>
          <w:bCs/>
          <w:lang w:val="es-EC"/>
        </w:rPr>
        <w:t xml:space="preserve"> a un </w:t>
      </w:r>
      <w:r>
        <w:rPr>
          <w:rFonts w:ascii="ITC Avant Garde" w:hAnsi="ITC Avant Garde"/>
        </w:rPr>
        <w:t>PSI</w:t>
      </w:r>
      <w:r w:rsidRPr="00C815CA">
        <w:rPr>
          <w:rFonts w:ascii="ITC Avant Garde" w:hAnsi="ITC Avant Garde"/>
        </w:rPr>
        <w:t xml:space="preserve">? </w:t>
      </w:r>
    </w:p>
    <w:p w:rsidR="003D0906" w:rsidRDefault="003D0906" w:rsidP="003D0906">
      <w:pPr>
        <w:spacing w:after="120" w:line="240" w:lineRule="auto"/>
        <w:jc w:val="both"/>
        <w:rPr>
          <w:rFonts w:ascii="ITC Avant Garde" w:hAnsi="ITC Avant Garde"/>
        </w:rPr>
      </w:pPr>
    </w:p>
    <w:p w:rsidR="003D0906" w:rsidRDefault="003D0906" w:rsidP="003D0906">
      <w:pPr>
        <w:spacing w:after="120" w:line="240" w:lineRule="auto"/>
        <w:jc w:val="both"/>
        <w:rPr>
          <w:rFonts w:ascii="ITC Avant Garde" w:hAnsi="ITC Avant Garde"/>
        </w:rPr>
      </w:pPr>
    </w:p>
    <w:p w:rsidR="003D0906" w:rsidRPr="00B6282A" w:rsidRDefault="003D0906" w:rsidP="003D0906">
      <w:pPr>
        <w:spacing w:after="120" w:line="240" w:lineRule="auto"/>
        <w:jc w:val="both"/>
        <w:rPr>
          <w:rFonts w:ascii="ITC Avant Garde" w:hAnsi="ITC Avant Garde"/>
        </w:rPr>
      </w:pPr>
    </w:p>
    <w:p w:rsidR="003D0906" w:rsidRPr="005B0CFB" w:rsidRDefault="003D0906" w:rsidP="003D0906">
      <w:pPr>
        <w:spacing w:after="120" w:line="240" w:lineRule="auto"/>
        <w:jc w:val="both"/>
        <w:rPr>
          <w:rFonts w:ascii="ITC Avant Garde" w:hAnsi="ITC Avant Garde"/>
          <w:b/>
        </w:rPr>
      </w:pPr>
    </w:p>
    <w:p w:rsidR="003D0906" w:rsidRDefault="003D0906" w:rsidP="003D0906">
      <w:pPr>
        <w:pStyle w:val="Prrafodelista"/>
        <w:numPr>
          <w:ilvl w:val="0"/>
          <w:numId w:val="22"/>
        </w:numPr>
        <w:pBdr>
          <w:bottom w:val="single" w:sz="6" w:space="1" w:color="auto"/>
        </w:pBdr>
        <w:spacing w:after="120" w:line="240" w:lineRule="auto"/>
        <w:contextualSpacing/>
        <w:rPr>
          <w:rFonts w:ascii="ITC Avant Garde" w:hAnsi="ITC Avant Garde"/>
          <w:b/>
        </w:rPr>
      </w:pPr>
      <w:r w:rsidRPr="00DA7F99">
        <w:rPr>
          <w:rFonts w:ascii="ITC Avant Garde" w:hAnsi="ITC Avant Garde"/>
          <w:b/>
        </w:rPr>
        <w:lastRenderedPageBreak/>
        <w:t>SERVICIOS ESPECIALIZADOS</w:t>
      </w:r>
    </w:p>
    <w:p w:rsidR="003D0906" w:rsidRPr="00DA7F99" w:rsidRDefault="003D0906" w:rsidP="003D0906">
      <w:pPr>
        <w:spacing w:after="120" w:line="240" w:lineRule="auto"/>
        <w:jc w:val="both"/>
        <w:rPr>
          <w:rFonts w:ascii="ITC Avant Garde" w:hAnsi="ITC Avant Garde"/>
          <w:b/>
          <w:i/>
        </w:rPr>
      </w:pPr>
      <w:r w:rsidRPr="00DA7F99">
        <w:rPr>
          <w:rFonts w:ascii="ITC Avant Garde" w:hAnsi="ITC Avant Garde"/>
          <w:b/>
          <w:i/>
        </w:rPr>
        <w:t>Contexto</w:t>
      </w:r>
    </w:p>
    <w:p w:rsidR="003D0906" w:rsidRPr="00DA7F99" w:rsidRDefault="003D0906" w:rsidP="003D0906">
      <w:pPr>
        <w:spacing w:after="120" w:line="240" w:lineRule="auto"/>
        <w:jc w:val="both"/>
        <w:rPr>
          <w:rFonts w:ascii="ITC Avant Garde" w:eastAsia="Times New Roman" w:hAnsi="ITC Avant Garde" w:cs="Arial"/>
          <w:bCs/>
          <w:lang w:eastAsia="es-MX"/>
        </w:rPr>
      </w:pPr>
      <w:r w:rsidRPr="00DA7F99">
        <w:rPr>
          <w:rFonts w:ascii="ITC Avant Garde" w:eastAsia="Times New Roman" w:hAnsi="ITC Avant Garde" w:cs="Arial"/>
          <w:bCs/>
          <w:lang w:eastAsia="es-MX"/>
        </w:rPr>
        <w:t>Recurrentemente, l</w:t>
      </w:r>
      <w:r>
        <w:rPr>
          <w:rFonts w:ascii="ITC Avant Garde" w:eastAsia="Times New Roman" w:hAnsi="ITC Avant Garde" w:cs="Arial"/>
          <w:bCs/>
          <w:lang w:eastAsia="es-MX"/>
        </w:rPr>
        <w:t xml:space="preserve">os </w:t>
      </w:r>
      <w:r w:rsidRPr="002266A8">
        <w:rPr>
          <w:rFonts w:ascii="ITC Avant Garde" w:eastAsia="Times New Roman" w:hAnsi="ITC Avant Garde" w:cs="Arial"/>
          <w:bCs/>
          <w:lang w:eastAsia="es-MX"/>
        </w:rPr>
        <w:t>PSI sostienen que, a efecto</w:t>
      </w:r>
      <w:r w:rsidRPr="00DA7F99">
        <w:rPr>
          <w:rFonts w:ascii="ITC Avant Garde" w:eastAsia="Times New Roman" w:hAnsi="ITC Avant Garde" w:cs="Arial"/>
          <w:bCs/>
          <w:lang w:eastAsia="es-MX"/>
        </w:rPr>
        <w:t xml:space="preserve"> de enfrentar la creciente saturación de las redes existentes, debe permitírseles obtener ingresos adicionales a partir de la prestación de servi</w:t>
      </w:r>
      <w:r>
        <w:rPr>
          <w:rFonts w:ascii="ITC Avant Garde" w:eastAsia="Times New Roman" w:hAnsi="ITC Avant Garde" w:cs="Arial"/>
          <w:bCs/>
          <w:lang w:eastAsia="es-MX"/>
        </w:rPr>
        <w:t>cios especializados a aquellos p</w:t>
      </w:r>
      <w:r w:rsidRPr="00DA7F99">
        <w:rPr>
          <w:rFonts w:ascii="ITC Avant Garde" w:eastAsia="Times New Roman" w:hAnsi="ITC Avant Garde" w:cs="Arial"/>
          <w:bCs/>
          <w:lang w:eastAsia="es-MX"/>
        </w:rPr>
        <w:t xml:space="preserve">roveedores de </w:t>
      </w:r>
      <w:r w:rsidRPr="002266A8">
        <w:rPr>
          <w:rFonts w:ascii="ITC Avant Garde" w:eastAsia="Times New Roman" w:hAnsi="ITC Avant Garde" w:cs="Arial"/>
          <w:bCs/>
          <w:lang w:eastAsia="es-MX"/>
        </w:rPr>
        <w:t>contenidos, aplicaciones o servicios (en lo sucesivo PACS) que</w:t>
      </w:r>
      <w:r w:rsidRPr="00DA7F99">
        <w:rPr>
          <w:rFonts w:ascii="ITC Avant Garde" w:eastAsia="Times New Roman" w:hAnsi="ITC Avant Garde" w:cs="Arial"/>
          <w:bCs/>
          <w:lang w:eastAsia="es-MX"/>
        </w:rPr>
        <w:t xml:space="preserve"> así lo soliciten, situación que refleja la particularidad de la estrategia de precios en un mercado de dos lados. </w:t>
      </w:r>
    </w:p>
    <w:p w:rsidR="003D0906" w:rsidRPr="00DA7F99" w:rsidRDefault="003D0906" w:rsidP="003D0906">
      <w:pPr>
        <w:spacing w:after="120" w:line="240" w:lineRule="auto"/>
        <w:jc w:val="both"/>
        <w:rPr>
          <w:rFonts w:ascii="ITC Avant Garde" w:eastAsia="Times New Roman" w:hAnsi="ITC Avant Garde" w:cs="Arial"/>
          <w:bCs/>
          <w:lang w:eastAsia="es-MX"/>
        </w:rPr>
      </w:pPr>
      <w:r w:rsidRPr="00DA7F99">
        <w:rPr>
          <w:rFonts w:ascii="ITC Avant Garde" w:eastAsia="Times New Roman" w:hAnsi="ITC Avant Garde" w:cs="Arial"/>
          <w:bCs/>
          <w:lang w:eastAsia="es-MX"/>
        </w:rPr>
        <w:t xml:space="preserve">Los servicios especializados refieren a aquellos que </w:t>
      </w:r>
      <w:r>
        <w:rPr>
          <w:rFonts w:ascii="ITC Avant Garde" w:eastAsia="Times New Roman" w:hAnsi="ITC Avant Garde" w:cs="Arial"/>
          <w:bCs/>
          <w:lang w:eastAsia="es-MX"/>
        </w:rPr>
        <w:t>los PSI</w:t>
      </w:r>
      <w:r w:rsidRPr="00DA7F99">
        <w:rPr>
          <w:rFonts w:ascii="ITC Avant Garde" w:eastAsia="Times New Roman" w:hAnsi="ITC Avant Garde" w:cs="Arial"/>
          <w:bCs/>
          <w:lang w:eastAsia="es-MX"/>
        </w:rPr>
        <w:t xml:space="preserve"> ponen a disposición de los </w:t>
      </w:r>
      <w:r>
        <w:rPr>
          <w:rFonts w:ascii="ITC Avant Garde" w:eastAsia="Times New Roman" w:hAnsi="ITC Avant Garde" w:cs="Arial"/>
          <w:bCs/>
          <w:lang w:eastAsia="es-MX"/>
        </w:rPr>
        <w:t>PACS</w:t>
      </w:r>
      <w:r w:rsidRPr="00DA7F99">
        <w:rPr>
          <w:rFonts w:ascii="ITC Avant Garde" w:eastAsia="Times New Roman" w:hAnsi="ITC Avant Garde" w:cs="Arial"/>
          <w:bCs/>
          <w:lang w:eastAsia="es-MX"/>
        </w:rPr>
        <w:t xml:space="preserve"> y que proporcionan características y recursos de red específicos</w:t>
      </w:r>
      <w:r>
        <w:rPr>
          <w:rFonts w:ascii="ITC Avant Garde" w:eastAsia="Times New Roman" w:hAnsi="ITC Avant Garde" w:cs="Arial"/>
          <w:bCs/>
          <w:lang w:eastAsia="es-MX"/>
        </w:rPr>
        <w:t>, a efecto de que estos transmitan y/o mejoren la velocidad de carga, descarga o experiencia de usuario a cambio de una contraprestación económica</w:t>
      </w:r>
      <w:r w:rsidRPr="00DA7F99">
        <w:rPr>
          <w:rFonts w:ascii="ITC Avant Garde" w:eastAsia="Times New Roman" w:hAnsi="ITC Avant Garde" w:cs="Arial"/>
          <w:bCs/>
          <w:lang w:eastAsia="es-MX"/>
        </w:rPr>
        <w:t xml:space="preserve">. Dichos servicios </w:t>
      </w:r>
      <w:r>
        <w:rPr>
          <w:rFonts w:ascii="ITC Avant Garde" w:eastAsia="Times New Roman" w:hAnsi="ITC Avant Garde" w:cs="Arial"/>
          <w:bCs/>
          <w:lang w:eastAsia="es-MX"/>
        </w:rPr>
        <w:t>pueden incluir</w:t>
      </w:r>
      <w:r w:rsidRPr="00DA7F99">
        <w:rPr>
          <w:rFonts w:ascii="ITC Avant Garde" w:eastAsia="Times New Roman" w:hAnsi="ITC Avant Garde" w:cs="Arial"/>
          <w:bCs/>
          <w:lang w:eastAsia="es-MX"/>
        </w:rPr>
        <w:t xml:space="preserve"> </w:t>
      </w:r>
      <w:r>
        <w:rPr>
          <w:rFonts w:ascii="ITC Avant Garde" w:eastAsia="Times New Roman" w:hAnsi="ITC Avant Garde" w:cs="Arial"/>
          <w:bCs/>
          <w:lang w:eastAsia="es-MX"/>
        </w:rPr>
        <w:t xml:space="preserve">a </w:t>
      </w:r>
      <w:r w:rsidRPr="00DA7F99">
        <w:rPr>
          <w:rFonts w:ascii="ITC Avant Garde" w:eastAsia="Times New Roman" w:hAnsi="ITC Avant Garde" w:cs="Arial"/>
          <w:bCs/>
          <w:lang w:eastAsia="es-MX"/>
        </w:rPr>
        <w:t>los servicios de priorización pagada, los cuales dan un tratamiento diferenciado de tráfico a cambio de una contraprestación económica, la instalación de</w:t>
      </w:r>
      <w:r>
        <w:rPr>
          <w:rFonts w:ascii="ITC Avant Garde" w:eastAsia="Times New Roman" w:hAnsi="ITC Avant Garde" w:cs="Arial"/>
          <w:bCs/>
          <w:lang w:eastAsia="es-MX"/>
        </w:rPr>
        <w:t xml:space="preserve"> redes de distribución de contenidos</w:t>
      </w:r>
      <w:r w:rsidRPr="00DA7F99">
        <w:rPr>
          <w:rFonts w:ascii="ITC Avant Garde" w:eastAsia="Times New Roman" w:hAnsi="ITC Avant Garde" w:cs="Arial"/>
          <w:bCs/>
          <w:lang w:eastAsia="es-MX"/>
        </w:rPr>
        <w:t xml:space="preserve"> </w:t>
      </w:r>
      <w:r>
        <w:rPr>
          <w:rFonts w:ascii="ITC Avant Garde" w:eastAsia="Times New Roman" w:hAnsi="ITC Avant Garde" w:cs="Arial"/>
          <w:bCs/>
          <w:lang w:eastAsia="es-MX"/>
        </w:rPr>
        <w:t>(</w:t>
      </w:r>
      <w:r w:rsidRPr="008F3C26">
        <w:rPr>
          <w:rFonts w:ascii="ITC Avant Garde" w:eastAsia="Times New Roman" w:hAnsi="ITC Avant Garde" w:cs="Arial"/>
          <w:bCs/>
          <w:lang w:eastAsia="es-MX"/>
        </w:rPr>
        <w:t>CDN</w:t>
      </w:r>
      <w:r>
        <w:rPr>
          <w:rFonts w:ascii="ITC Avant Garde" w:eastAsia="Times New Roman" w:hAnsi="ITC Avant Garde" w:cs="Arial"/>
          <w:bCs/>
          <w:lang w:eastAsia="es-MX"/>
        </w:rPr>
        <w:t xml:space="preserve"> por sus siglas en inglés)</w:t>
      </w:r>
      <w:r w:rsidRPr="00DA7F99">
        <w:rPr>
          <w:rFonts w:ascii="ITC Avant Garde" w:eastAsia="Times New Roman" w:hAnsi="ITC Avant Garde" w:cs="Arial"/>
          <w:bCs/>
          <w:lang w:eastAsia="es-MX"/>
        </w:rPr>
        <w:t xml:space="preserve"> que acercan los contenidos a los usuarios finales, </w:t>
      </w:r>
      <w:r>
        <w:rPr>
          <w:rFonts w:ascii="ITC Avant Garde" w:eastAsia="Times New Roman" w:hAnsi="ITC Avant Garde" w:cs="Arial"/>
          <w:bCs/>
          <w:lang w:eastAsia="es-MX"/>
        </w:rPr>
        <w:t>redes privadas virtuales (</w:t>
      </w:r>
      <w:r w:rsidRPr="008F3C26">
        <w:rPr>
          <w:rFonts w:ascii="ITC Avant Garde" w:eastAsia="Times New Roman" w:hAnsi="ITC Avant Garde" w:cs="Arial"/>
          <w:bCs/>
          <w:lang w:eastAsia="es-MX"/>
        </w:rPr>
        <w:t>VPN</w:t>
      </w:r>
      <w:r>
        <w:rPr>
          <w:rFonts w:ascii="ITC Avant Garde" w:eastAsia="Times New Roman" w:hAnsi="ITC Avant Garde" w:cs="Arial"/>
          <w:bCs/>
          <w:lang w:eastAsia="es-MX"/>
        </w:rPr>
        <w:t xml:space="preserve"> por sus siglas en inglés)</w:t>
      </w:r>
      <w:r w:rsidRPr="00DA7F99">
        <w:rPr>
          <w:rFonts w:ascii="ITC Avant Garde" w:eastAsia="Times New Roman" w:hAnsi="ITC Avant Garde" w:cs="Arial"/>
          <w:bCs/>
          <w:lang w:eastAsia="es-MX"/>
        </w:rPr>
        <w:t xml:space="preserve"> que permiten a los </w:t>
      </w:r>
      <w:r>
        <w:rPr>
          <w:rFonts w:ascii="ITC Avant Garde" w:eastAsia="Times New Roman" w:hAnsi="ITC Avant Garde" w:cs="Arial"/>
          <w:bCs/>
          <w:lang w:eastAsia="es-MX"/>
        </w:rPr>
        <w:t>PSI</w:t>
      </w:r>
      <w:r w:rsidRPr="00DA7F99">
        <w:rPr>
          <w:rFonts w:ascii="ITC Avant Garde" w:eastAsia="Times New Roman" w:hAnsi="ITC Avant Garde" w:cs="Arial"/>
          <w:bCs/>
          <w:lang w:eastAsia="es-MX"/>
        </w:rPr>
        <w:t xml:space="preserve"> proporcionar capacidades y requerimientos específicos, entre otros. </w:t>
      </w:r>
    </w:p>
    <w:p w:rsidR="003D0906" w:rsidRPr="00DA7F99" w:rsidRDefault="003D0906" w:rsidP="003D0906">
      <w:pPr>
        <w:spacing w:after="120" w:line="240" w:lineRule="auto"/>
        <w:jc w:val="both"/>
        <w:rPr>
          <w:rFonts w:ascii="ITC Avant Garde" w:eastAsia="Times New Roman" w:hAnsi="ITC Avant Garde" w:cs="Arial"/>
          <w:bCs/>
          <w:lang w:eastAsia="es-MX"/>
        </w:rPr>
      </w:pPr>
      <w:r w:rsidRPr="00373FE7">
        <w:rPr>
          <w:rFonts w:ascii="ITC Avant Garde" w:hAnsi="ITC Avant Garde"/>
        </w:rPr>
        <w:t xml:space="preserve">Para mayor información sobre este tema, se recomienda consultar </w:t>
      </w:r>
      <w:r>
        <w:rPr>
          <w:rFonts w:ascii="ITC Avant Garde" w:hAnsi="ITC Avant Garde"/>
        </w:rPr>
        <w:t>el Estudio</w:t>
      </w:r>
      <w:r w:rsidRPr="00DA7F99">
        <w:rPr>
          <w:rFonts w:ascii="ITC Avant Garde" w:eastAsia="Times New Roman" w:hAnsi="ITC Avant Garde" w:cs="Arial"/>
          <w:bCs/>
          <w:lang w:eastAsia="es-MX"/>
        </w:rPr>
        <w:t>, apartados 6 y 7.</w:t>
      </w:r>
    </w:p>
    <w:p w:rsidR="003D0906" w:rsidRPr="003B6013" w:rsidRDefault="003D0906" w:rsidP="003D0906">
      <w:pPr>
        <w:jc w:val="both"/>
        <w:rPr>
          <w:rFonts w:ascii="ITC Avant Garde" w:hAnsi="ITC Avant Garde"/>
          <w:b/>
          <w:i/>
        </w:rPr>
      </w:pPr>
      <w:r w:rsidRPr="00DA7F99">
        <w:rPr>
          <w:rFonts w:ascii="ITC Avant Garde" w:hAnsi="ITC Avant Garde"/>
          <w:b/>
          <w:i/>
        </w:rPr>
        <w:t>Preguntas</w:t>
      </w:r>
    </w:p>
    <w:p w:rsidR="003D0906" w:rsidRPr="00DA7F99" w:rsidRDefault="003D0906" w:rsidP="003D0906">
      <w:pPr>
        <w:pStyle w:val="Prrafodelista"/>
        <w:numPr>
          <w:ilvl w:val="0"/>
          <w:numId w:val="17"/>
        </w:numPr>
        <w:spacing w:after="120" w:line="240" w:lineRule="auto"/>
        <w:jc w:val="both"/>
        <w:rPr>
          <w:rFonts w:ascii="ITC Avant Garde" w:hAnsi="ITC Avant Garde"/>
        </w:rPr>
      </w:pPr>
      <w:r w:rsidRPr="00DA7F99">
        <w:rPr>
          <w:rFonts w:ascii="ITC Avant Garde" w:hAnsi="ITC Avant Garde"/>
        </w:rPr>
        <w:t>¿Considera</w:t>
      </w:r>
      <w:r>
        <w:rPr>
          <w:rFonts w:ascii="ITC Avant Garde" w:hAnsi="ITC Avant Garde"/>
        </w:rPr>
        <w:t xml:space="preserve"> </w:t>
      </w:r>
      <w:r w:rsidRPr="00DA7F99">
        <w:rPr>
          <w:rFonts w:ascii="ITC Avant Garde" w:hAnsi="ITC Avant Garde"/>
        </w:rPr>
        <w:t xml:space="preserve">que </w:t>
      </w:r>
      <w:r>
        <w:rPr>
          <w:rFonts w:ascii="ITC Avant Garde" w:hAnsi="ITC Avant Garde"/>
        </w:rPr>
        <w:t>existen ciertos servicios especializados que debieran prohibirse</w:t>
      </w:r>
      <w:r w:rsidRPr="00DA7F99">
        <w:rPr>
          <w:rFonts w:ascii="ITC Avant Garde" w:hAnsi="ITC Avant Garde"/>
        </w:rPr>
        <w:t>?</w:t>
      </w:r>
      <w:r>
        <w:rPr>
          <w:rFonts w:ascii="ITC Avant Garde" w:hAnsi="ITC Avant Garde"/>
        </w:rPr>
        <w:t xml:space="preserve"> Justifique.</w:t>
      </w:r>
    </w:p>
    <w:p w:rsidR="003D0906" w:rsidRPr="00DA7F99" w:rsidRDefault="003D0906" w:rsidP="003D0906">
      <w:pPr>
        <w:pStyle w:val="Prrafodelista"/>
        <w:numPr>
          <w:ilvl w:val="0"/>
          <w:numId w:val="17"/>
        </w:numPr>
        <w:spacing w:after="120" w:line="240" w:lineRule="auto"/>
        <w:jc w:val="both"/>
        <w:rPr>
          <w:rFonts w:ascii="ITC Avant Garde" w:hAnsi="ITC Avant Garde"/>
        </w:rPr>
      </w:pPr>
      <w:r w:rsidRPr="00DA7F99">
        <w:rPr>
          <w:rFonts w:ascii="ITC Avant Garde" w:hAnsi="ITC Avant Garde"/>
        </w:rPr>
        <w:t xml:space="preserve">¿Considera que existen acuerdos comerciales entre </w:t>
      </w:r>
      <w:r>
        <w:rPr>
          <w:rFonts w:ascii="ITC Avant Garde" w:hAnsi="ITC Avant Garde"/>
        </w:rPr>
        <w:t>PSI</w:t>
      </w:r>
      <w:r w:rsidRPr="00DA7F99">
        <w:rPr>
          <w:rFonts w:ascii="ITC Avant Garde" w:hAnsi="ITC Avant Garde"/>
        </w:rPr>
        <w:t xml:space="preserve"> y </w:t>
      </w:r>
      <w:r>
        <w:rPr>
          <w:rFonts w:ascii="ITC Avant Garde" w:hAnsi="ITC Avant Garde"/>
        </w:rPr>
        <w:t>PACS</w:t>
      </w:r>
      <w:r w:rsidRPr="00DA7F99">
        <w:rPr>
          <w:rFonts w:ascii="ITC Avant Garde" w:hAnsi="ITC Avant Garde"/>
        </w:rPr>
        <w:t xml:space="preserve"> que favorecen la inversión en infraestructura y desarrollo sostenido de las redes? En caso afirmativo, ¿cómo es que favorecen?</w:t>
      </w:r>
    </w:p>
    <w:p w:rsidR="003D0906" w:rsidRPr="00DA7F99" w:rsidRDefault="003D0906" w:rsidP="003D0906">
      <w:pPr>
        <w:pStyle w:val="Prrafodelista"/>
        <w:numPr>
          <w:ilvl w:val="0"/>
          <w:numId w:val="17"/>
        </w:numPr>
        <w:spacing w:after="120" w:line="240" w:lineRule="auto"/>
        <w:jc w:val="both"/>
        <w:rPr>
          <w:rFonts w:ascii="ITC Avant Garde" w:hAnsi="ITC Avant Garde"/>
        </w:rPr>
      </w:pPr>
      <w:r>
        <w:rPr>
          <w:rFonts w:ascii="ITC Avant Garde" w:hAnsi="ITC Avant Garde"/>
        </w:rPr>
        <w:t xml:space="preserve">¿Qué mecanismos considera eficientes para garantizar que, al prestar </w:t>
      </w:r>
      <w:r w:rsidRPr="00DA7F99">
        <w:rPr>
          <w:rFonts w:ascii="ITC Avant Garde" w:hAnsi="ITC Avant Garde"/>
        </w:rPr>
        <w:t>servicios especializados</w:t>
      </w:r>
      <w:r>
        <w:rPr>
          <w:rFonts w:ascii="ITC Avant Garde" w:hAnsi="ITC Avant Garde"/>
        </w:rPr>
        <w:t xml:space="preserve">, los PSI garanticen la capacidad disponible de la red evitando degradar la </w:t>
      </w:r>
      <w:r w:rsidRPr="002266A8">
        <w:rPr>
          <w:rFonts w:ascii="ITC Avant Garde" w:hAnsi="ITC Avant Garde"/>
        </w:rPr>
        <w:t>calidad o la velocidad de tráfico correspondiente</w:t>
      </w:r>
      <w:r>
        <w:rPr>
          <w:rFonts w:ascii="ITC Avant Garde" w:hAnsi="ITC Avant Garde"/>
        </w:rPr>
        <w:t xml:space="preserve"> a contenidos, aplicaciones o servicios disponibles a través del servicio de acceso a Internet que prestan?</w:t>
      </w:r>
    </w:p>
    <w:p w:rsidR="003D0906" w:rsidRDefault="003D0906" w:rsidP="003D0906">
      <w:pPr>
        <w:pStyle w:val="Prrafodelista"/>
        <w:numPr>
          <w:ilvl w:val="0"/>
          <w:numId w:val="17"/>
        </w:numPr>
        <w:spacing w:after="120" w:line="240" w:lineRule="auto"/>
        <w:jc w:val="both"/>
        <w:rPr>
          <w:rFonts w:ascii="ITC Avant Garde" w:hAnsi="ITC Avant Garde"/>
        </w:rPr>
      </w:pPr>
      <w:r w:rsidRPr="00DA7F99">
        <w:rPr>
          <w:rFonts w:ascii="ITC Avant Garde" w:hAnsi="ITC Avant Garde"/>
        </w:rPr>
        <w:t xml:space="preserve">¿Considera que ciertos contenidos, aplicaciones o servicios </w:t>
      </w:r>
      <w:r>
        <w:rPr>
          <w:rFonts w:ascii="ITC Avant Garde" w:hAnsi="ITC Avant Garde"/>
        </w:rPr>
        <w:t>podrían contribuir</w:t>
      </w:r>
      <w:r w:rsidRPr="00DA7F99">
        <w:rPr>
          <w:rFonts w:ascii="ITC Avant Garde" w:hAnsi="ITC Avant Garde"/>
        </w:rPr>
        <w:t xml:space="preserve"> al congestionamiento de la red a nivel tal que result</w:t>
      </w:r>
      <w:r>
        <w:rPr>
          <w:rFonts w:ascii="ITC Avant Garde" w:hAnsi="ITC Avant Garde"/>
        </w:rPr>
        <w:t>e</w:t>
      </w:r>
      <w:r w:rsidRPr="00DA7F99">
        <w:rPr>
          <w:rFonts w:ascii="ITC Avant Garde" w:hAnsi="ITC Avant Garde"/>
        </w:rPr>
        <w:t xml:space="preserve"> necesario compartir los costos de inversión en las redes entre </w:t>
      </w:r>
      <w:r>
        <w:rPr>
          <w:rFonts w:ascii="ITC Avant Garde" w:hAnsi="ITC Avant Garde"/>
        </w:rPr>
        <w:t>PSI</w:t>
      </w:r>
      <w:r w:rsidRPr="00DA7F99">
        <w:rPr>
          <w:rFonts w:ascii="ITC Avant Garde" w:hAnsi="ITC Avant Garde"/>
        </w:rPr>
        <w:t xml:space="preserve"> y </w:t>
      </w:r>
      <w:r>
        <w:rPr>
          <w:rFonts w:ascii="ITC Avant Garde" w:hAnsi="ITC Avant Garde"/>
        </w:rPr>
        <w:t>PACS,</w:t>
      </w:r>
      <w:r w:rsidRPr="00DA7F99">
        <w:rPr>
          <w:rFonts w:ascii="ITC Avant Garde" w:hAnsi="ITC Avant Garde"/>
        </w:rPr>
        <w:t xml:space="preserve"> a fin de asegurar una mejor experiencia para los usuarios finales</w:t>
      </w:r>
      <w:r>
        <w:rPr>
          <w:rFonts w:ascii="ITC Avant Garde" w:hAnsi="ITC Avant Garde"/>
        </w:rPr>
        <w:t>, sin que esto se realice bajo la figura de los servicios especializados</w:t>
      </w:r>
      <w:r w:rsidRPr="00DA7F99">
        <w:rPr>
          <w:rFonts w:ascii="ITC Avant Garde" w:hAnsi="ITC Avant Garde"/>
        </w:rPr>
        <w:t>?</w:t>
      </w:r>
    </w:p>
    <w:p w:rsidR="003D0906" w:rsidRDefault="003D0906" w:rsidP="003D0906">
      <w:pPr>
        <w:pStyle w:val="Prrafodelista"/>
        <w:spacing w:after="120" w:line="240" w:lineRule="auto"/>
        <w:jc w:val="both"/>
        <w:rPr>
          <w:rFonts w:ascii="ITC Avant Garde" w:hAnsi="ITC Avant Garde"/>
        </w:rPr>
      </w:pPr>
    </w:p>
    <w:p w:rsidR="003D0906" w:rsidRPr="00DA7F99" w:rsidRDefault="003D0906" w:rsidP="003D0906">
      <w:pPr>
        <w:pStyle w:val="Prrafodelista"/>
        <w:spacing w:after="120" w:line="240" w:lineRule="auto"/>
        <w:jc w:val="both"/>
        <w:rPr>
          <w:rFonts w:ascii="ITC Avant Garde" w:hAnsi="ITC Avant Garde"/>
        </w:rPr>
      </w:pPr>
    </w:p>
    <w:p w:rsidR="003D0906" w:rsidRPr="00DA7F99" w:rsidRDefault="003D0906" w:rsidP="003D0906">
      <w:pPr>
        <w:pStyle w:val="Prrafodelista"/>
        <w:spacing w:after="120" w:line="240" w:lineRule="auto"/>
        <w:jc w:val="both"/>
        <w:rPr>
          <w:rFonts w:ascii="ITC Avant Garde" w:hAnsi="ITC Avant Garde"/>
        </w:rPr>
      </w:pPr>
    </w:p>
    <w:p w:rsidR="003D0906" w:rsidRPr="00DA7F99" w:rsidRDefault="003D0906" w:rsidP="003D0906">
      <w:pPr>
        <w:pStyle w:val="Prrafodelista"/>
        <w:numPr>
          <w:ilvl w:val="0"/>
          <w:numId w:val="22"/>
        </w:numPr>
        <w:pBdr>
          <w:bottom w:val="single" w:sz="6" w:space="1" w:color="auto"/>
        </w:pBdr>
        <w:spacing w:after="120" w:line="240" w:lineRule="auto"/>
        <w:contextualSpacing/>
        <w:rPr>
          <w:rFonts w:ascii="ITC Avant Garde" w:hAnsi="ITC Avant Garde"/>
          <w:b/>
        </w:rPr>
      </w:pPr>
      <w:r w:rsidRPr="00B30587" w:rsidDel="001528AF">
        <w:rPr>
          <w:rFonts w:ascii="ITC Avant Garde" w:hAnsi="ITC Avant Garde"/>
          <w:b/>
        </w:rPr>
        <w:lastRenderedPageBreak/>
        <w:t xml:space="preserve"> </w:t>
      </w:r>
      <w:r w:rsidRPr="00DA7F99">
        <w:rPr>
          <w:rFonts w:ascii="ITC Avant Garde" w:hAnsi="ITC Avant Garde"/>
          <w:b/>
        </w:rPr>
        <w:t>TRANSPARENCIA E INFORMACIÓN</w:t>
      </w:r>
      <w:r w:rsidRPr="00DA7F99">
        <w:rPr>
          <w:rFonts w:ascii="ITC Avant Garde" w:hAnsi="ITC Avant Garde"/>
          <w:b/>
        </w:rPr>
        <w:tab/>
      </w:r>
    </w:p>
    <w:p w:rsidR="003D0906" w:rsidRPr="00DA7F99" w:rsidRDefault="003D0906" w:rsidP="003D0906">
      <w:pPr>
        <w:jc w:val="both"/>
        <w:rPr>
          <w:rFonts w:ascii="ITC Avant Garde" w:hAnsi="ITC Avant Garde"/>
          <w:b/>
          <w:i/>
        </w:rPr>
      </w:pPr>
      <w:r w:rsidRPr="00DA7F99">
        <w:rPr>
          <w:rFonts w:ascii="ITC Avant Garde" w:hAnsi="ITC Avant Garde"/>
          <w:b/>
          <w:i/>
        </w:rPr>
        <w:t>Contexto</w:t>
      </w:r>
    </w:p>
    <w:p w:rsidR="003D0906" w:rsidRPr="00DA7F99" w:rsidRDefault="003D0906" w:rsidP="003D0906">
      <w:pPr>
        <w:jc w:val="both"/>
        <w:rPr>
          <w:rFonts w:ascii="ITC Avant Garde" w:hAnsi="ITC Avant Garde"/>
        </w:rPr>
      </w:pPr>
      <w:r w:rsidRPr="00DA7F99">
        <w:rPr>
          <w:rFonts w:ascii="ITC Avant Garde" w:hAnsi="ITC Avant Garde"/>
        </w:rPr>
        <w:t>La neutralidad de red parte de la premisa de que una red de información pública trata todos los contenidos, sitios y plataformas equitativamente. Gracias a esto la red puede transportar cualquier forma de información y soportar cualquier clase de aplicación. Una red completamente neutra sería</w:t>
      </w:r>
      <w:r>
        <w:rPr>
          <w:rFonts w:ascii="ITC Avant Garde" w:hAnsi="ITC Avant Garde"/>
        </w:rPr>
        <w:t>,</w:t>
      </w:r>
      <w:r w:rsidRPr="00DA7F99">
        <w:rPr>
          <w:rFonts w:ascii="ITC Avant Garde" w:hAnsi="ITC Avant Garde"/>
        </w:rPr>
        <w:t xml:space="preserve"> entonces</w:t>
      </w:r>
      <w:r>
        <w:rPr>
          <w:rFonts w:ascii="ITC Avant Garde" w:hAnsi="ITC Avant Garde"/>
        </w:rPr>
        <w:t>,</w:t>
      </w:r>
      <w:r w:rsidRPr="00DA7F99">
        <w:rPr>
          <w:rFonts w:ascii="ITC Avant Garde" w:hAnsi="ITC Avant Garde"/>
        </w:rPr>
        <w:t xml:space="preserve"> aquella que no distinguiera entre ningún tipo de tráfico, emisor o destinatario. En la práctica, sin embargo, existe evidencia para sostener que se requiere de cierta gestión de tráfico a fin de asegurar una operación eficiente de la red en favor de los usuarios y evitar la degradación del servicio</w:t>
      </w:r>
      <w:r w:rsidRPr="00DA7F99">
        <w:rPr>
          <w:rStyle w:val="Refdenotaalpie"/>
          <w:rFonts w:ascii="ITC Avant Garde" w:hAnsi="ITC Avant Garde"/>
        </w:rPr>
        <w:footnoteReference w:id="6"/>
      </w:r>
      <w:r w:rsidRPr="00DA7F99">
        <w:rPr>
          <w:rFonts w:ascii="ITC Avant Garde" w:hAnsi="ITC Avant Garde"/>
        </w:rPr>
        <w:t xml:space="preserve">. </w:t>
      </w:r>
    </w:p>
    <w:p w:rsidR="003D0906" w:rsidRPr="00DA7F99" w:rsidRDefault="003D0906" w:rsidP="003D0906">
      <w:pPr>
        <w:jc w:val="both"/>
        <w:rPr>
          <w:rFonts w:ascii="ITC Avant Garde" w:hAnsi="ITC Avant Garde"/>
        </w:rPr>
      </w:pPr>
      <w:r w:rsidRPr="00DA7F99">
        <w:rPr>
          <w:rFonts w:ascii="ITC Avant Garde" w:hAnsi="ITC Avant Garde"/>
        </w:rPr>
        <w:t xml:space="preserve">En razón de lo anterior, debe considerarse la importancia que tiene la simetría de la información en un mercado de dos lados, como lo es el del servicio de acceso a Internet. En donde la transparencia resulta ser un tema relevante, que dotará de información actualizada, verídica y certera a </w:t>
      </w:r>
      <w:r>
        <w:rPr>
          <w:rFonts w:ascii="ITC Avant Garde" w:hAnsi="ITC Avant Garde"/>
        </w:rPr>
        <w:t>PACS</w:t>
      </w:r>
      <w:r w:rsidRPr="00DA7F99">
        <w:rPr>
          <w:rFonts w:ascii="ITC Avant Garde" w:hAnsi="ITC Avant Garde"/>
        </w:rPr>
        <w:t xml:space="preserve"> y usuarios finales brindando certidumbre al mercado sobre su </w:t>
      </w:r>
      <w:r>
        <w:rPr>
          <w:rFonts w:ascii="ITC Avant Garde" w:hAnsi="ITC Avant Garde"/>
        </w:rPr>
        <w:t xml:space="preserve">operación y </w:t>
      </w:r>
      <w:r w:rsidRPr="00DA7F99">
        <w:rPr>
          <w:rFonts w:ascii="ITC Avant Garde" w:hAnsi="ITC Avant Garde"/>
        </w:rPr>
        <w:t>desarrollo.</w:t>
      </w:r>
    </w:p>
    <w:p w:rsidR="003D0906" w:rsidRPr="00DA7F99" w:rsidRDefault="003D0906" w:rsidP="003D0906">
      <w:pPr>
        <w:jc w:val="both"/>
        <w:rPr>
          <w:rFonts w:ascii="ITC Avant Garde" w:hAnsi="ITC Avant Garde"/>
          <w:b/>
          <w:i/>
        </w:rPr>
      </w:pPr>
      <w:r w:rsidRPr="00DA7F99">
        <w:rPr>
          <w:rFonts w:ascii="ITC Avant Garde" w:hAnsi="ITC Avant Garde"/>
          <w:b/>
          <w:i/>
        </w:rPr>
        <w:t>Preguntas</w:t>
      </w:r>
    </w:p>
    <w:p w:rsidR="003D0906" w:rsidRPr="00DA7F99" w:rsidRDefault="003D0906" w:rsidP="003D0906">
      <w:pPr>
        <w:pStyle w:val="Prrafodelista"/>
        <w:numPr>
          <w:ilvl w:val="0"/>
          <w:numId w:val="16"/>
        </w:numPr>
        <w:spacing w:after="120" w:line="240" w:lineRule="auto"/>
        <w:jc w:val="both"/>
        <w:rPr>
          <w:rFonts w:ascii="ITC Avant Garde" w:hAnsi="ITC Avant Garde"/>
        </w:rPr>
      </w:pPr>
      <w:r w:rsidRPr="00DA7F99">
        <w:rPr>
          <w:rFonts w:ascii="ITC Avant Garde" w:hAnsi="ITC Avant Garde"/>
        </w:rPr>
        <w:t xml:space="preserve">¿Considera que los </w:t>
      </w:r>
      <w:r>
        <w:rPr>
          <w:rFonts w:ascii="ITC Avant Garde" w:eastAsia="Times New Roman" w:hAnsi="ITC Avant Garde"/>
        </w:rPr>
        <w:t>PSI</w:t>
      </w:r>
      <w:r w:rsidRPr="00DA7F99">
        <w:rPr>
          <w:rFonts w:ascii="ITC Avant Garde" w:hAnsi="ITC Avant Garde"/>
        </w:rPr>
        <w:t xml:space="preserve"> brindan a sus usuarios finales información suficiente y accesible sobre las características del servicio ofrecido, incluyendo las políticas de gestión de tráfico y administración de red, velocidad, calidad y garantía del servicio?</w:t>
      </w:r>
    </w:p>
    <w:p w:rsidR="003D0906" w:rsidRPr="002266A8" w:rsidRDefault="003D0906" w:rsidP="003D0906">
      <w:pPr>
        <w:pStyle w:val="Prrafodelista"/>
        <w:numPr>
          <w:ilvl w:val="0"/>
          <w:numId w:val="16"/>
        </w:numPr>
        <w:spacing w:after="120" w:line="240" w:lineRule="auto"/>
        <w:jc w:val="both"/>
        <w:rPr>
          <w:rFonts w:ascii="ITC Avant Garde" w:hAnsi="ITC Avant Garde"/>
        </w:rPr>
      </w:pPr>
      <w:r w:rsidRPr="00DA7F99">
        <w:rPr>
          <w:rFonts w:ascii="ITC Avant Garde" w:hAnsi="ITC Avant Garde"/>
        </w:rPr>
        <w:t xml:space="preserve">¿Qué </w:t>
      </w:r>
      <w:r w:rsidRPr="002266A8">
        <w:rPr>
          <w:rFonts w:ascii="ITC Avant Garde" w:hAnsi="ITC Avant Garde"/>
        </w:rPr>
        <w:t xml:space="preserve">información, referente al servicio de acceso a Internet, considera relevante para hacer transparentes las políticas de gestión de tráfico implementadas por un prestador de dicho servicio? </w:t>
      </w:r>
    </w:p>
    <w:p w:rsidR="003D0906" w:rsidRDefault="003D0906" w:rsidP="003D0906">
      <w:pPr>
        <w:pStyle w:val="Prrafodelista"/>
        <w:numPr>
          <w:ilvl w:val="0"/>
          <w:numId w:val="16"/>
        </w:numPr>
        <w:spacing w:after="120" w:line="240" w:lineRule="auto"/>
        <w:jc w:val="both"/>
        <w:rPr>
          <w:rFonts w:ascii="ITC Avant Garde" w:hAnsi="ITC Avant Garde"/>
        </w:rPr>
      </w:pPr>
      <w:r w:rsidRPr="002266A8">
        <w:rPr>
          <w:rFonts w:ascii="ITC Avant Garde" w:hAnsi="ITC Avant Garde"/>
        </w:rPr>
        <w:t>¿Considera que existen los mecanismos de transparencia suficientes,</w:t>
      </w:r>
      <w:r>
        <w:rPr>
          <w:rFonts w:ascii="ITC Avant Garde" w:hAnsi="ITC Avant Garde"/>
        </w:rPr>
        <w:t xml:space="preserve"> que permitan garantizar el trato no discriminatorio que deben brindar los </w:t>
      </w:r>
      <w:r>
        <w:rPr>
          <w:rFonts w:ascii="ITC Avant Garde" w:eastAsia="Times New Roman" w:hAnsi="ITC Avant Garde"/>
        </w:rPr>
        <w:t>PSI</w:t>
      </w:r>
      <w:r>
        <w:rPr>
          <w:rFonts w:ascii="ITC Avant Garde" w:hAnsi="ITC Avant Garde"/>
        </w:rPr>
        <w:t xml:space="preserve"> a los PACS?</w:t>
      </w:r>
    </w:p>
    <w:p w:rsidR="003D0906" w:rsidRDefault="003D0906" w:rsidP="003D0906">
      <w:pPr>
        <w:pStyle w:val="Prrafodelista"/>
        <w:spacing w:after="120" w:line="240" w:lineRule="auto"/>
        <w:jc w:val="both"/>
        <w:rPr>
          <w:rFonts w:ascii="ITC Avant Garde" w:hAnsi="ITC Avant Garde"/>
        </w:rPr>
      </w:pPr>
    </w:p>
    <w:p w:rsidR="003D0906" w:rsidRDefault="003D0906" w:rsidP="003D0906">
      <w:pPr>
        <w:pStyle w:val="Prrafodelista"/>
        <w:spacing w:after="120" w:line="240" w:lineRule="auto"/>
        <w:jc w:val="both"/>
        <w:rPr>
          <w:rFonts w:ascii="ITC Avant Garde" w:hAnsi="ITC Avant Garde"/>
        </w:rPr>
      </w:pPr>
    </w:p>
    <w:p w:rsidR="003D0906" w:rsidRDefault="003D0906" w:rsidP="003D0906">
      <w:pPr>
        <w:pStyle w:val="Prrafodelista"/>
        <w:spacing w:after="120" w:line="240" w:lineRule="auto"/>
        <w:jc w:val="both"/>
        <w:rPr>
          <w:rFonts w:ascii="ITC Avant Garde" w:hAnsi="ITC Avant Garde"/>
        </w:rPr>
      </w:pPr>
    </w:p>
    <w:p w:rsidR="003D0906" w:rsidRDefault="003D0906" w:rsidP="003D0906">
      <w:pPr>
        <w:pStyle w:val="Prrafodelista"/>
        <w:spacing w:after="120" w:line="240" w:lineRule="auto"/>
        <w:jc w:val="both"/>
        <w:rPr>
          <w:rFonts w:ascii="ITC Avant Garde" w:hAnsi="ITC Avant Garde"/>
        </w:rPr>
      </w:pPr>
    </w:p>
    <w:p w:rsidR="003D0906" w:rsidRDefault="003D0906" w:rsidP="003D0906">
      <w:pPr>
        <w:pStyle w:val="Prrafodelista"/>
        <w:spacing w:after="120" w:line="240" w:lineRule="auto"/>
        <w:jc w:val="both"/>
        <w:rPr>
          <w:rFonts w:ascii="ITC Avant Garde" w:hAnsi="ITC Avant Garde"/>
        </w:rPr>
      </w:pPr>
    </w:p>
    <w:p w:rsidR="003D0906" w:rsidRDefault="003D0906" w:rsidP="003D0906">
      <w:pPr>
        <w:pStyle w:val="Prrafodelista"/>
        <w:spacing w:after="120" w:line="240" w:lineRule="auto"/>
        <w:jc w:val="both"/>
        <w:rPr>
          <w:rFonts w:ascii="ITC Avant Garde" w:hAnsi="ITC Avant Garde"/>
        </w:rPr>
      </w:pPr>
    </w:p>
    <w:p w:rsidR="003D0906" w:rsidRDefault="003D0906" w:rsidP="003D0906">
      <w:pPr>
        <w:pStyle w:val="Prrafodelista"/>
        <w:spacing w:after="120" w:line="240" w:lineRule="auto"/>
        <w:jc w:val="both"/>
        <w:rPr>
          <w:rFonts w:ascii="ITC Avant Garde" w:hAnsi="ITC Avant Garde"/>
        </w:rPr>
      </w:pPr>
    </w:p>
    <w:p w:rsidR="003D0906" w:rsidRPr="00373FE7" w:rsidRDefault="003D0906" w:rsidP="003D0906">
      <w:pPr>
        <w:pStyle w:val="Prrafodelista"/>
        <w:numPr>
          <w:ilvl w:val="0"/>
          <w:numId w:val="22"/>
        </w:numPr>
        <w:pBdr>
          <w:bottom w:val="single" w:sz="6" w:space="1" w:color="auto"/>
        </w:pBdr>
        <w:spacing w:after="120" w:line="240" w:lineRule="auto"/>
        <w:contextualSpacing/>
        <w:rPr>
          <w:rFonts w:ascii="ITC Avant Garde" w:hAnsi="ITC Avant Garde"/>
          <w:b/>
        </w:rPr>
      </w:pPr>
      <w:r w:rsidRPr="00373FE7">
        <w:rPr>
          <w:rFonts w:ascii="ITC Avant Garde" w:hAnsi="ITC Avant Garde"/>
          <w:b/>
        </w:rPr>
        <w:lastRenderedPageBreak/>
        <w:t>EXCLUSIVIDADES</w:t>
      </w:r>
    </w:p>
    <w:p w:rsidR="003D0906" w:rsidRPr="00373FE7" w:rsidRDefault="003D0906" w:rsidP="003D0906">
      <w:pPr>
        <w:spacing w:after="120" w:line="240" w:lineRule="auto"/>
        <w:jc w:val="both"/>
        <w:outlineLvl w:val="1"/>
        <w:rPr>
          <w:rFonts w:ascii="ITC Avant Garde" w:hAnsi="ITC Avant Garde"/>
          <w:b/>
          <w:i/>
        </w:rPr>
      </w:pPr>
      <w:r w:rsidRPr="00373FE7">
        <w:rPr>
          <w:rFonts w:ascii="ITC Avant Garde" w:hAnsi="ITC Avant Garde"/>
          <w:b/>
          <w:i/>
        </w:rPr>
        <w:t>Contexto</w:t>
      </w:r>
    </w:p>
    <w:p w:rsidR="003D0906" w:rsidRPr="00373FE7" w:rsidRDefault="003D0906" w:rsidP="003D0906">
      <w:pPr>
        <w:jc w:val="both"/>
        <w:rPr>
          <w:rFonts w:ascii="ITC Avant Garde" w:hAnsi="ITC Avant Garde"/>
        </w:rPr>
      </w:pPr>
      <w:r w:rsidRPr="00373FE7">
        <w:rPr>
          <w:rFonts w:ascii="ITC Avant Garde" w:hAnsi="ITC Avant Garde"/>
        </w:rPr>
        <w:t>Por la naturaleza de los mercados de dos lados y los efectos</w:t>
      </w:r>
      <w:r>
        <w:rPr>
          <w:rFonts w:ascii="ITC Avant Garde" w:hAnsi="ITC Avant Garde"/>
        </w:rPr>
        <w:t xml:space="preserve"> de red inherentes a él, ambos agentes e</w:t>
      </w:r>
      <w:r w:rsidRPr="00373FE7">
        <w:rPr>
          <w:rFonts w:ascii="ITC Avant Garde" w:hAnsi="ITC Avant Garde"/>
        </w:rPr>
        <w:t>conómicos (</w:t>
      </w:r>
      <w:r>
        <w:rPr>
          <w:rFonts w:ascii="ITC Avant Garde" w:hAnsi="ITC Avant Garde"/>
        </w:rPr>
        <w:t>PSI</w:t>
      </w:r>
      <w:r w:rsidRPr="00373FE7">
        <w:rPr>
          <w:rFonts w:ascii="ITC Avant Garde" w:hAnsi="ITC Avant Garde"/>
        </w:rPr>
        <w:t xml:space="preserve"> y </w:t>
      </w:r>
      <w:r>
        <w:rPr>
          <w:rFonts w:ascii="ITC Avant Garde" w:hAnsi="ITC Avant Garde"/>
        </w:rPr>
        <w:t>PACS</w:t>
      </w:r>
      <w:r w:rsidRPr="00373FE7">
        <w:rPr>
          <w:rFonts w:ascii="ITC Avant Garde" w:hAnsi="ITC Avant Garde"/>
        </w:rPr>
        <w:t xml:space="preserve">) enfrentan incentivos para tener acuerdos de exclusividad. Por un lado, los </w:t>
      </w:r>
      <w:r>
        <w:rPr>
          <w:rFonts w:ascii="ITC Avant Garde" w:hAnsi="ITC Avant Garde"/>
        </w:rPr>
        <w:t>PSI</w:t>
      </w:r>
      <w:r w:rsidRPr="00373FE7">
        <w:rPr>
          <w:rFonts w:ascii="ITC Avant Garde" w:hAnsi="ITC Avant Garde"/>
        </w:rPr>
        <w:t xml:space="preserve"> se beneficiarían de poder ofrecer a los usuarios finales un bien o servicio de manera exclusiva, por lo que buscarían aliarse con un </w:t>
      </w:r>
      <w:r>
        <w:rPr>
          <w:rFonts w:ascii="ITC Avant Garde" w:hAnsi="ITC Avant Garde"/>
        </w:rPr>
        <w:t xml:space="preserve">PAC </w:t>
      </w:r>
      <w:r w:rsidRPr="00373FE7">
        <w:rPr>
          <w:rFonts w:ascii="ITC Avant Garde" w:hAnsi="ITC Avant Garde"/>
        </w:rPr>
        <w:t xml:space="preserve">que sea popular entre sus usuarios. Por otro lado, los </w:t>
      </w:r>
      <w:r>
        <w:rPr>
          <w:rFonts w:ascii="ITC Avant Garde" w:hAnsi="ITC Avant Garde"/>
        </w:rPr>
        <w:t>PACS</w:t>
      </w:r>
      <w:r w:rsidRPr="00373FE7">
        <w:rPr>
          <w:rFonts w:ascii="ITC Avant Garde" w:hAnsi="ITC Avant Garde"/>
        </w:rPr>
        <w:t xml:space="preserve"> también se beneficiarían de tener acceso exclusivo (o prioritario) a todos los usuarios finales del </w:t>
      </w:r>
      <w:r>
        <w:rPr>
          <w:rFonts w:ascii="ITC Avant Garde" w:hAnsi="ITC Avant Garde"/>
        </w:rPr>
        <w:t>PSI</w:t>
      </w:r>
      <w:r w:rsidRPr="00373FE7">
        <w:rPr>
          <w:rFonts w:ascii="ITC Avant Garde" w:hAnsi="ITC Avant Garde"/>
        </w:rPr>
        <w:t xml:space="preserve">. </w:t>
      </w:r>
    </w:p>
    <w:p w:rsidR="003D0906" w:rsidRDefault="003D0906" w:rsidP="003D0906">
      <w:pPr>
        <w:jc w:val="both"/>
        <w:rPr>
          <w:rFonts w:ascii="ITC Avant Garde" w:hAnsi="ITC Avant Garde"/>
        </w:rPr>
      </w:pPr>
      <w:r w:rsidRPr="00373FE7">
        <w:rPr>
          <w:rFonts w:ascii="ITC Avant Garde" w:hAnsi="ITC Avant Garde"/>
        </w:rPr>
        <w:t>Si bien se identifican div</w:t>
      </w:r>
      <w:r>
        <w:rPr>
          <w:rFonts w:ascii="ITC Avant Garde" w:hAnsi="ITC Avant Garde"/>
        </w:rPr>
        <w:t>ersos tipos de exclusividades, e</w:t>
      </w:r>
      <w:r w:rsidRPr="00373FE7">
        <w:rPr>
          <w:rFonts w:ascii="ITC Avant Garde" w:hAnsi="ITC Avant Garde"/>
        </w:rPr>
        <w:t xml:space="preserve">stas se deben analizar en el contexto de la prestación de servicios especializados por parte de los </w:t>
      </w:r>
      <w:r>
        <w:rPr>
          <w:rFonts w:ascii="ITC Avant Garde" w:hAnsi="ITC Avant Garde"/>
        </w:rPr>
        <w:t xml:space="preserve">PSI </w:t>
      </w:r>
      <w:r w:rsidRPr="00373FE7">
        <w:rPr>
          <w:rFonts w:ascii="ITC Avant Garde" w:hAnsi="ITC Avant Garde"/>
        </w:rPr>
        <w:t xml:space="preserve">a los </w:t>
      </w:r>
      <w:r>
        <w:rPr>
          <w:rFonts w:ascii="ITC Avant Garde" w:hAnsi="ITC Avant Garde"/>
        </w:rPr>
        <w:t>PACS</w:t>
      </w:r>
      <w:r w:rsidRPr="00373FE7">
        <w:rPr>
          <w:rFonts w:ascii="ITC Avant Garde" w:hAnsi="ITC Avant Garde"/>
        </w:rPr>
        <w:t xml:space="preserve">. </w:t>
      </w:r>
    </w:p>
    <w:p w:rsidR="003D0906" w:rsidRPr="00373FE7" w:rsidRDefault="003D0906" w:rsidP="003D0906">
      <w:pPr>
        <w:jc w:val="both"/>
        <w:rPr>
          <w:rFonts w:ascii="ITC Avant Garde" w:hAnsi="ITC Avant Garde"/>
        </w:rPr>
      </w:pPr>
      <w:r w:rsidRPr="00373FE7">
        <w:rPr>
          <w:rFonts w:ascii="ITC Avant Garde" w:hAnsi="ITC Avant Garde"/>
        </w:rPr>
        <w:t xml:space="preserve">En particular, el esquema que se considera es aquel en el que a través de un acuerdo exclusivo se puede proveer un contenido, aplicación o servicio con calidad </w:t>
      </w:r>
      <w:r w:rsidRPr="00373FE7">
        <w:rPr>
          <w:rFonts w:ascii="ITC Avant Garde" w:hAnsi="ITC Avant Garde"/>
          <w:i/>
        </w:rPr>
        <w:t>Premium</w:t>
      </w:r>
      <w:r w:rsidRPr="00373FE7">
        <w:rPr>
          <w:rFonts w:ascii="ITC Avant Garde" w:hAnsi="ITC Avant Garde"/>
        </w:rPr>
        <w:t xml:space="preserve"> a través del </w:t>
      </w:r>
      <w:r>
        <w:rPr>
          <w:rFonts w:ascii="ITC Avant Garde" w:hAnsi="ITC Avant Garde"/>
        </w:rPr>
        <w:t>PSI</w:t>
      </w:r>
      <w:r w:rsidRPr="00373FE7">
        <w:rPr>
          <w:rFonts w:ascii="ITC Avant Garde" w:hAnsi="ITC Avant Garde"/>
        </w:rPr>
        <w:t xml:space="preserve"> que goza de la exclusividad y con calidad normal a través de sus competidores. </w:t>
      </w:r>
    </w:p>
    <w:p w:rsidR="003D0906" w:rsidRPr="00373FE7" w:rsidRDefault="003D0906" w:rsidP="003D0906">
      <w:pPr>
        <w:jc w:val="both"/>
        <w:rPr>
          <w:rFonts w:ascii="ITC Avant Garde" w:hAnsi="ITC Avant Garde"/>
        </w:rPr>
      </w:pPr>
      <w:r w:rsidRPr="00373FE7">
        <w:rPr>
          <w:rFonts w:ascii="ITC Avant Garde" w:hAnsi="ITC Avant Garde"/>
        </w:rPr>
        <w:t>La Comisión de Comercio de Estados Unidos</w:t>
      </w:r>
      <w:r w:rsidRPr="00373FE7">
        <w:rPr>
          <w:rFonts w:ascii="ITC Avant Garde" w:hAnsi="ITC Avant Garde"/>
          <w:vertAlign w:val="superscript"/>
        </w:rPr>
        <w:footnoteReference w:id="7"/>
      </w:r>
      <w:r w:rsidRPr="00373FE7">
        <w:rPr>
          <w:rFonts w:ascii="ITC Avant Garde" w:hAnsi="ITC Avant Garde"/>
        </w:rPr>
        <w:t>, en la misma línea que la escuela de Chicago, ha manifestado que los contratos de exclusividad no son necesariamente dañinos ya que pudieran generar ganancias en eficiencia al garantizar que exista un intercambio, aspecto que se analiza desde una perspectiva ex post en materia de competencia económica. Sin embargo, cuando se analizan mercados de dos lados el razonamiento anterior no necesariamente resulta suficiente, por lo que es conveniente retomar algunas de las particularidades de los mercados de dos lados que lo separan del análisis tradicional.</w:t>
      </w:r>
      <w:r w:rsidRPr="00373FE7">
        <w:rPr>
          <w:rFonts w:ascii="ITC Avant Garde" w:hAnsi="ITC Avant Garde"/>
          <w:bCs/>
        </w:rPr>
        <w:t xml:space="preserve"> </w:t>
      </w:r>
    </w:p>
    <w:p w:rsidR="003D0906" w:rsidRPr="00373FE7" w:rsidRDefault="003D0906" w:rsidP="003D0906">
      <w:pPr>
        <w:jc w:val="both"/>
        <w:rPr>
          <w:rFonts w:ascii="ITC Avant Garde" w:hAnsi="ITC Avant Garde"/>
        </w:rPr>
      </w:pPr>
      <w:r>
        <w:rPr>
          <w:rFonts w:ascii="ITC Avant Garde" w:hAnsi="ITC Avant Garde"/>
        </w:rPr>
        <w:t>P</w:t>
      </w:r>
      <w:r w:rsidRPr="00373FE7">
        <w:rPr>
          <w:rFonts w:ascii="ITC Avant Garde" w:hAnsi="ITC Avant Garde"/>
        </w:rPr>
        <w:t xml:space="preserve">or un lado, la prestación exclusiva de servicios especializados genera incentivos tanto para el </w:t>
      </w:r>
      <w:r>
        <w:rPr>
          <w:rFonts w:ascii="ITC Avant Garde" w:hAnsi="ITC Avant Garde"/>
          <w:lang w:eastAsia="es-MX"/>
        </w:rPr>
        <w:t>PSI</w:t>
      </w:r>
      <w:r w:rsidRPr="00373FE7">
        <w:rPr>
          <w:rFonts w:ascii="ITC Avant Garde" w:hAnsi="ITC Avant Garde"/>
          <w:lang w:eastAsia="es-MX"/>
        </w:rPr>
        <w:t xml:space="preserve"> como para los </w:t>
      </w:r>
      <w:r>
        <w:rPr>
          <w:rFonts w:ascii="ITC Avant Garde" w:hAnsi="ITC Avant Garde"/>
          <w:lang w:eastAsia="es-MX"/>
        </w:rPr>
        <w:t>PACS</w:t>
      </w:r>
      <w:r w:rsidRPr="00373FE7">
        <w:rPr>
          <w:rFonts w:ascii="ITC Avant Garde" w:hAnsi="ITC Avant Garde"/>
          <w:lang w:eastAsia="es-MX"/>
        </w:rPr>
        <w:t xml:space="preserve"> para propiciar la innovación en contenidos. Ello representa</w:t>
      </w:r>
      <w:r w:rsidRPr="00373FE7">
        <w:rPr>
          <w:rFonts w:ascii="ITC Avant Garde" w:hAnsi="ITC Avant Garde"/>
        </w:rPr>
        <w:t xml:space="preserve"> beneficios para los usuarios finales al tener acceso a una nueva gama de servicios y de mayor calidad, o </w:t>
      </w:r>
      <w:r w:rsidRPr="00373FE7">
        <w:rPr>
          <w:rFonts w:ascii="ITC Avant Garde" w:hAnsi="ITC Avant Garde"/>
          <w:i/>
        </w:rPr>
        <w:t>Premium</w:t>
      </w:r>
      <w:r w:rsidRPr="00373FE7">
        <w:rPr>
          <w:rFonts w:ascii="ITC Avant Garde" w:hAnsi="ITC Avant Garde"/>
        </w:rPr>
        <w:t>.</w:t>
      </w:r>
    </w:p>
    <w:p w:rsidR="003D0906" w:rsidRPr="00373FE7" w:rsidRDefault="003D0906" w:rsidP="003D0906">
      <w:pPr>
        <w:jc w:val="both"/>
        <w:rPr>
          <w:rFonts w:ascii="ITC Avant Garde" w:hAnsi="ITC Avant Garde" w:cs="Arial"/>
        </w:rPr>
      </w:pPr>
      <w:r w:rsidRPr="00373FE7">
        <w:rPr>
          <w:rFonts w:ascii="ITC Avant Garde" w:hAnsi="ITC Avant Garde"/>
        </w:rPr>
        <w:t xml:space="preserve">Por otro lado, una desventaja de la permisión de acuerdos de exclusividad es que estos pudieran derivar en </w:t>
      </w:r>
      <w:r w:rsidRPr="00373FE7">
        <w:rPr>
          <w:rFonts w:ascii="ITC Avant Garde" w:hAnsi="ITC Avant Garde" w:cs="Arial"/>
        </w:rPr>
        <w:t xml:space="preserve">la </w:t>
      </w:r>
      <w:r w:rsidRPr="002266A8">
        <w:rPr>
          <w:rFonts w:ascii="ITC Avant Garde" w:hAnsi="ITC Avant Garde" w:cs="Arial"/>
        </w:rPr>
        <w:t>fragmentación parcial de Internet que implica</w:t>
      </w:r>
      <w:r w:rsidRPr="00373FE7">
        <w:rPr>
          <w:rFonts w:ascii="ITC Avant Garde" w:hAnsi="ITC Avant Garde" w:cs="Arial"/>
        </w:rPr>
        <w:t xml:space="preserve"> que no todo el contenido estará disponible, en las mismas condiciones, para todos los usuarios. Lo anterior podría generar altos costos de cambio para los usuarios que quisieran la calidad </w:t>
      </w:r>
      <w:r w:rsidRPr="00373FE7">
        <w:rPr>
          <w:rFonts w:ascii="ITC Avant Garde" w:hAnsi="ITC Avant Garde" w:cs="Arial"/>
          <w:i/>
        </w:rPr>
        <w:t>Premium</w:t>
      </w:r>
      <w:r w:rsidRPr="00373FE7">
        <w:rPr>
          <w:rFonts w:ascii="ITC Avant Garde" w:hAnsi="ITC Avant Garde" w:cs="Arial"/>
        </w:rPr>
        <w:t xml:space="preserve"> de un contenido, pero que hubieran contratado el servicio de acceso a Internet con un </w:t>
      </w:r>
      <w:r>
        <w:rPr>
          <w:rFonts w:ascii="ITC Avant Garde" w:eastAsia="Times New Roman" w:hAnsi="ITC Avant Garde" w:cs="Arial"/>
          <w:bCs/>
          <w:lang w:eastAsia="es-MX"/>
        </w:rPr>
        <w:t>PSI</w:t>
      </w:r>
      <w:r w:rsidRPr="00373FE7">
        <w:rPr>
          <w:rFonts w:ascii="ITC Avant Garde" w:eastAsia="Times New Roman" w:hAnsi="ITC Avant Garde" w:cs="Arial"/>
          <w:bCs/>
          <w:lang w:eastAsia="es-MX"/>
        </w:rPr>
        <w:t xml:space="preserve"> </w:t>
      </w:r>
      <w:r w:rsidRPr="00373FE7">
        <w:rPr>
          <w:rFonts w:ascii="ITC Avant Garde" w:hAnsi="ITC Avant Garde" w:cs="Arial"/>
        </w:rPr>
        <w:t>que no lo ofreciera de esa forma.</w:t>
      </w:r>
    </w:p>
    <w:p w:rsidR="003D0906" w:rsidRDefault="003D0906" w:rsidP="003D0906">
      <w:pPr>
        <w:jc w:val="both"/>
        <w:rPr>
          <w:rFonts w:ascii="ITC Avant Garde" w:hAnsi="ITC Avant Garde"/>
        </w:rPr>
      </w:pPr>
    </w:p>
    <w:p w:rsidR="003D0906" w:rsidRPr="00373FE7" w:rsidRDefault="003D0906" w:rsidP="003D0906">
      <w:pPr>
        <w:jc w:val="both"/>
        <w:rPr>
          <w:rFonts w:ascii="ITC Avant Garde" w:hAnsi="ITC Avant Garde"/>
        </w:rPr>
      </w:pPr>
      <w:r w:rsidRPr="002266A8">
        <w:rPr>
          <w:rFonts w:ascii="ITC Avant Garde" w:hAnsi="ITC Avant Garde"/>
        </w:rPr>
        <w:lastRenderedPageBreak/>
        <w:t>Lo anterior, podría repercutir en los niveles de concentración en los mercados de prestación del servicio de acceso a Internet</w:t>
      </w:r>
      <w:r w:rsidRPr="002266A8">
        <w:rPr>
          <w:rFonts w:ascii="ITC Avant Garde" w:eastAsia="Times New Roman" w:hAnsi="ITC Avant Garde"/>
          <w:bCs/>
          <w:lang w:eastAsia="es-MX"/>
        </w:rPr>
        <w:t xml:space="preserve"> y de provisión de contenidos, aplicaciones o servicios. Esto </w:t>
      </w:r>
      <w:r w:rsidRPr="002266A8">
        <w:rPr>
          <w:rFonts w:ascii="ITC Avant Garde" w:hAnsi="ITC Avant Garde"/>
        </w:rPr>
        <w:t>debido</w:t>
      </w:r>
      <w:r w:rsidRPr="00373FE7">
        <w:rPr>
          <w:rFonts w:ascii="ITC Avant Garde" w:hAnsi="ITC Avant Garde"/>
        </w:rPr>
        <w:t xml:space="preserve"> a la presencia de externalidades de red, en las que los usuarios finales buscarían unirse al </w:t>
      </w:r>
      <w:r>
        <w:rPr>
          <w:rFonts w:ascii="ITC Avant Garde" w:eastAsia="Times New Roman" w:hAnsi="ITC Avant Garde"/>
          <w:bCs/>
          <w:lang w:eastAsia="es-MX"/>
        </w:rPr>
        <w:t>PSI</w:t>
      </w:r>
      <w:r w:rsidRPr="00373FE7">
        <w:rPr>
          <w:rFonts w:ascii="ITC Avant Garde" w:hAnsi="ITC Avant Garde"/>
        </w:rPr>
        <w:t xml:space="preserve"> que les pueda ofrecer acceso a dichos contenidos </w:t>
      </w:r>
      <w:r w:rsidRPr="00373FE7">
        <w:rPr>
          <w:rFonts w:ascii="ITC Avant Garde" w:hAnsi="ITC Avant Garde"/>
          <w:i/>
        </w:rPr>
        <w:t>Premium</w:t>
      </w:r>
      <w:r w:rsidRPr="00373FE7">
        <w:rPr>
          <w:rFonts w:ascii="ITC Avant Garde" w:hAnsi="ITC Avant Garde"/>
        </w:rPr>
        <w:t xml:space="preserve"> y los </w:t>
      </w:r>
      <w:r>
        <w:rPr>
          <w:rFonts w:ascii="ITC Avant Garde" w:eastAsia="Times New Roman" w:hAnsi="ITC Avant Garde"/>
          <w:bCs/>
          <w:lang w:eastAsia="es-MX"/>
        </w:rPr>
        <w:t>PACS</w:t>
      </w:r>
      <w:r w:rsidRPr="00373FE7">
        <w:rPr>
          <w:rFonts w:ascii="ITC Avant Garde" w:hAnsi="ITC Avant Garde"/>
        </w:rPr>
        <w:t xml:space="preserve"> tendrían incentivos </w:t>
      </w:r>
      <w:r>
        <w:rPr>
          <w:rFonts w:ascii="ITC Avant Garde" w:hAnsi="ITC Avant Garde"/>
        </w:rPr>
        <w:t>para</w:t>
      </w:r>
      <w:r w:rsidRPr="00373FE7">
        <w:rPr>
          <w:rFonts w:ascii="ITC Avant Garde" w:hAnsi="ITC Avant Garde"/>
        </w:rPr>
        <w:t xml:space="preserve"> firmar contratos de exclusividad con el </w:t>
      </w:r>
      <w:r>
        <w:rPr>
          <w:rFonts w:ascii="ITC Avant Garde" w:eastAsia="Times New Roman" w:hAnsi="ITC Avant Garde"/>
          <w:bCs/>
          <w:lang w:eastAsia="es-MX"/>
        </w:rPr>
        <w:t>PSI</w:t>
      </w:r>
      <w:r w:rsidRPr="00373FE7">
        <w:rPr>
          <w:rFonts w:ascii="ITC Avant Garde" w:hAnsi="ITC Avant Garde"/>
        </w:rPr>
        <w:t xml:space="preserve"> que tuviera mayor cantidad de usuarios. </w:t>
      </w:r>
    </w:p>
    <w:p w:rsidR="003D0906" w:rsidRDefault="003D0906" w:rsidP="003D0906">
      <w:pPr>
        <w:rPr>
          <w:rFonts w:ascii="ITC Avant Garde" w:hAnsi="ITC Avant Garde"/>
        </w:rPr>
      </w:pPr>
      <w:r w:rsidRPr="008F3C26">
        <w:rPr>
          <w:rFonts w:ascii="ITC Avant Garde" w:hAnsi="ITC Avant Garde"/>
        </w:rPr>
        <w:t xml:space="preserve">Para mayor información sobre este tema, se recomienda consultar </w:t>
      </w:r>
      <w:r>
        <w:rPr>
          <w:rFonts w:ascii="ITC Avant Garde" w:hAnsi="ITC Avant Garde"/>
        </w:rPr>
        <w:t>el Estudio, apartado 6.2.</w:t>
      </w:r>
      <w:r w:rsidDel="00FF53A0">
        <w:rPr>
          <w:rFonts w:ascii="ITC Avant Garde" w:hAnsi="ITC Avant Garde"/>
        </w:rPr>
        <w:t xml:space="preserve"> </w:t>
      </w:r>
    </w:p>
    <w:p w:rsidR="003D0906" w:rsidRPr="00373FE7" w:rsidRDefault="003D0906" w:rsidP="003D0906">
      <w:pPr>
        <w:rPr>
          <w:rFonts w:ascii="ITC Avant Garde" w:hAnsi="ITC Avant Garde"/>
          <w:b/>
          <w:i/>
        </w:rPr>
      </w:pPr>
      <w:r w:rsidRPr="00373FE7">
        <w:rPr>
          <w:rFonts w:ascii="ITC Avant Garde" w:hAnsi="ITC Avant Garde"/>
          <w:b/>
          <w:i/>
        </w:rPr>
        <w:t>Preguntas</w:t>
      </w:r>
    </w:p>
    <w:p w:rsidR="003D0906" w:rsidRPr="00373FE7" w:rsidRDefault="003D0906" w:rsidP="003D0906">
      <w:pPr>
        <w:numPr>
          <w:ilvl w:val="0"/>
          <w:numId w:val="19"/>
        </w:numPr>
        <w:spacing w:after="120" w:line="240" w:lineRule="auto"/>
        <w:jc w:val="both"/>
        <w:rPr>
          <w:rFonts w:ascii="ITC Avant Garde" w:hAnsi="ITC Avant Garde"/>
        </w:rPr>
      </w:pPr>
      <w:r w:rsidRPr="00373FE7">
        <w:rPr>
          <w:rFonts w:ascii="ITC Avant Garde" w:hAnsi="ITC Avant Garde"/>
        </w:rPr>
        <w:t xml:space="preserve">¿Cuáles son las ventajas y desventajas de permitir las exclusividades en un mercado de dos lados, en </w:t>
      </w:r>
      <w:r w:rsidRPr="002266A8">
        <w:rPr>
          <w:rFonts w:ascii="ITC Avant Garde" w:hAnsi="ITC Avant Garde"/>
        </w:rPr>
        <w:t>particular, en el mercado de Internet?</w:t>
      </w:r>
      <w:r w:rsidRPr="00373FE7">
        <w:rPr>
          <w:rFonts w:ascii="ITC Avant Garde" w:hAnsi="ITC Avant Garde"/>
        </w:rPr>
        <w:t xml:space="preserve"> </w:t>
      </w:r>
    </w:p>
    <w:p w:rsidR="003D0906" w:rsidRDefault="003D0906" w:rsidP="003D0906">
      <w:pPr>
        <w:spacing w:after="120" w:line="240" w:lineRule="auto"/>
        <w:jc w:val="both"/>
        <w:rPr>
          <w:rFonts w:ascii="ITC Avant Garde" w:hAnsi="ITC Avant Garde"/>
        </w:rPr>
      </w:pPr>
    </w:p>
    <w:p w:rsidR="003D0906" w:rsidRPr="00373FE7" w:rsidRDefault="003D0906" w:rsidP="003D0906">
      <w:pPr>
        <w:numPr>
          <w:ilvl w:val="0"/>
          <w:numId w:val="19"/>
        </w:numPr>
        <w:spacing w:after="120" w:line="240" w:lineRule="auto"/>
        <w:jc w:val="both"/>
        <w:rPr>
          <w:rFonts w:ascii="ITC Avant Garde" w:hAnsi="ITC Avant Garde"/>
        </w:rPr>
      </w:pPr>
      <w:r>
        <w:rPr>
          <w:rFonts w:ascii="ITC Avant Garde" w:hAnsi="ITC Avant Garde"/>
        </w:rPr>
        <w:t>¿</w:t>
      </w:r>
      <w:r w:rsidRPr="00373FE7">
        <w:rPr>
          <w:rFonts w:ascii="ITC Avant Garde" w:hAnsi="ITC Avant Garde"/>
        </w:rPr>
        <w:t>Considera</w:t>
      </w:r>
      <w:r>
        <w:rPr>
          <w:rFonts w:ascii="ITC Avant Garde" w:hAnsi="ITC Avant Garde"/>
        </w:rPr>
        <w:t xml:space="preserve"> </w:t>
      </w:r>
      <w:r w:rsidRPr="00373FE7">
        <w:rPr>
          <w:rFonts w:ascii="ITC Avant Garde" w:hAnsi="ITC Avant Garde"/>
        </w:rPr>
        <w:t xml:space="preserve">que debería regularse el tema de exclusividades entre </w:t>
      </w:r>
      <w:r>
        <w:rPr>
          <w:rFonts w:ascii="ITC Avant Garde" w:hAnsi="ITC Avant Garde"/>
        </w:rPr>
        <w:t>los PSI y PACS</w:t>
      </w:r>
      <w:r w:rsidRPr="00373FE7">
        <w:rPr>
          <w:rFonts w:ascii="ITC Avant Garde" w:hAnsi="ITC Avant Garde"/>
        </w:rPr>
        <w:t xml:space="preserve">? En </w:t>
      </w:r>
      <w:r>
        <w:rPr>
          <w:rFonts w:ascii="ITC Avant Garde" w:hAnsi="ITC Avant Garde"/>
        </w:rPr>
        <w:t>caso afirmativo</w:t>
      </w:r>
      <w:r w:rsidRPr="00373FE7">
        <w:rPr>
          <w:rFonts w:ascii="ITC Avant Garde" w:hAnsi="ITC Avant Garde"/>
        </w:rPr>
        <w:t xml:space="preserve">: </w:t>
      </w:r>
    </w:p>
    <w:p w:rsidR="003D0906" w:rsidRPr="0009563F" w:rsidRDefault="003D0906" w:rsidP="003D0906">
      <w:pPr>
        <w:pStyle w:val="Prrafodelista"/>
        <w:numPr>
          <w:ilvl w:val="1"/>
          <w:numId w:val="16"/>
        </w:numPr>
        <w:spacing w:after="120" w:line="240" w:lineRule="auto"/>
        <w:contextualSpacing/>
        <w:jc w:val="both"/>
        <w:rPr>
          <w:rFonts w:ascii="ITC Avant Garde" w:hAnsi="ITC Avant Garde"/>
        </w:rPr>
      </w:pPr>
      <w:r w:rsidRPr="0009563F">
        <w:rPr>
          <w:rFonts w:ascii="ITC Avant Garde" w:hAnsi="ITC Avant Garde"/>
        </w:rPr>
        <w:t>¿Debería la regulación ser específica en algún tipo de servicio especializado o para todos?</w:t>
      </w:r>
    </w:p>
    <w:p w:rsidR="003D0906" w:rsidRPr="00373FE7" w:rsidRDefault="003D0906" w:rsidP="003D0906">
      <w:pPr>
        <w:pStyle w:val="Prrafodelista"/>
        <w:spacing w:after="120" w:line="240" w:lineRule="auto"/>
        <w:jc w:val="both"/>
        <w:rPr>
          <w:rFonts w:ascii="ITC Avant Garde" w:hAnsi="ITC Avant Garde"/>
        </w:rPr>
      </w:pPr>
      <w:r w:rsidRPr="00373FE7">
        <w:rPr>
          <w:rFonts w:ascii="ITC Avant Garde" w:hAnsi="ITC Avant Garde"/>
        </w:rPr>
        <w:t xml:space="preserve"> </w:t>
      </w:r>
    </w:p>
    <w:p w:rsidR="003D0906" w:rsidRPr="00373FE7" w:rsidRDefault="003D0906" w:rsidP="003D0906">
      <w:pPr>
        <w:pStyle w:val="Prrafodelista"/>
        <w:numPr>
          <w:ilvl w:val="0"/>
          <w:numId w:val="22"/>
        </w:numPr>
        <w:pBdr>
          <w:bottom w:val="single" w:sz="6" w:space="1" w:color="auto"/>
        </w:pBdr>
        <w:spacing w:after="120" w:line="240" w:lineRule="auto"/>
        <w:contextualSpacing/>
        <w:rPr>
          <w:rFonts w:ascii="ITC Avant Garde" w:hAnsi="ITC Avant Garde"/>
          <w:b/>
        </w:rPr>
      </w:pPr>
      <w:r w:rsidRPr="00373FE7">
        <w:rPr>
          <w:rFonts w:ascii="ITC Avant Garde" w:hAnsi="ITC Avant Garde"/>
          <w:b/>
        </w:rPr>
        <w:t>ESQUEMAS DE DATOS GRATUITOS AL USUARIO FINAL</w:t>
      </w:r>
      <w:r>
        <w:rPr>
          <w:rFonts w:ascii="ITC Avant Garde" w:hAnsi="ITC Avant Garde"/>
          <w:b/>
        </w:rPr>
        <w:t xml:space="preserve"> (SERVICIOS DIFERENCIADOS)</w:t>
      </w:r>
    </w:p>
    <w:p w:rsidR="003D0906" w:rsidRPr="00373FE7" w:rsidRDefault="003D0906" w:rsidP="003D0906">
      <w:pPr>
        <w:spacing w:after="120" w:line="240" w:lineRule="auto"/>
        <w:jc w:val="both"/>
        <w:outlineLvl w:val="1"/>
        <w:rPr>
          <w:rFonts w:ascii="ITC Avant Garde" w:hAnsi="ITC Avant Garde"/>
          <w:b/>
          <w:i/>
        </w:rPr>
      </w:pPr>
      <w:r w:rsidRPr="00373FE7">
        <w:rPr>
          <w:rFonts w:ascii="ITC Avant Garde" w:hAnsi="ITC Avant Garde"/>
          <w:b/>
          <w:i/>
        </w:rPr>
        <w:t>Contexto</w:t>
      </w:r>
    </w:p>
    <w:p w:rsidR="003D0906" w:rsidRPr="00373FE7" w:rsidRDefault="003D0906" w:rsidP="003D0906">
      <w:pPr>
        <w:jc w:val="both"/>
        <w:rPr>
          <w:rFonts w:ascii="ITC Avant Garde" w:hAnsi="ITC Avant Garde"/>
        </w:rPr>
      </w:pPr>
      <w:r>
        <w:rPr>
          <w:rFonts w:ascii="ITC Avant Garde" w:hAnsi="ITC Avant Garde"/>
        </w:rPr>
        <w:t>E</w:t>
      </w:r>
      <w:r w:rsidRPr="00373FE7">
        <w:rPr>
          <w:rFonts w:ascii="ITC Avant Garde" w:hAnsi="ITC Avant Garde"/>
        </w:rPr>
        <w:t>n la actualidad</w:t>
      </w:r>
      <w:r>
        <w:rPr>
          <w:rFonts w:ascii="ITC Avant Garde" w:hAnsi="ITC Avant Garde"/>
        </w:rPr>
        <w:t>,</w:t>
      </w:r>
      <w:r w:rsidRPr="00373FE7">
        <w:rPr>
          <w:rFonts w:ascii="ITC Avant Garde" w:hAnsi="ITC Avant Garde"/>
        </w:rPr>
        <w:t xml:space="preserve"> </w:t>
      </w:r>
      <w:r w:rsidRPr="00373FE7">
        <w:rPr>
          <w:rFonts w:ascii="ITC Avant Garde" w:hAnsi="ITC Avant Garde" w:cs="Arial"/>
        </w:rPr>
        <w:t>en México</w:t>
      </w:r>
      <w:r>
        <w:rPr>
          <w:rFonts w:ascii="ITC Avant Garde" w:hAnsi="ITC Avant Garde" w:cs="Arial"/>
        </w:rPr>
        <w:t xml:space="preserve"> </w:t>
      </w:r>
      <w:r w:rsidRPr="00373FE7">
        <w:rPr>
          <w:rFonts w:ascii="ITC Avant Garde" w:hAnsi="ITC Avant Garde" w:cs="Arial"/>
        </w:rPr>
        <w:t xml:space="preserve">existen diversos operadores móviles que ofrecen paquetes </w:t>
      </w:r>
      <w:r w:rsidRPr="00373FE7">
        <w:rPr>
          <w:rFonts w:ascii="ITC Avant Garde" w:hAnsi="ITC Avant Garde"/>
        </w:rPr>
        <w:t xml:space="preserve">con esquemas de datos gratuitos como, por ejemplo, </w:t>
      </w:r>
      <w:r>
        <w:rPr>
          <w:rFonts w:ascii="ITC Avant Garde" w:hAnsi="ITC Avant Garde"/>
        </w:rPr>
        <w:t>redes sociales ilimitadas</w:t>
      </w:r>
      <w:r w:rsidRPr="00373FE7">
        <w:rPr>
          <w:rFonts w:ascii="ITC Avant Garde" w:hAnsi="ITC Avant Garde"/>
        </w:rPr>
        <w:t xml:space="preserve">. Dichas ofertas pueden ser resultado de un acuerdo entre un </w:t>
      </w:r>
      <w:r>
        <w:rPr>
          <w:rFonts w:ascii="ITC Avant Garde" w:hAnsi="ITC Avant Garde"/>
        </w:rPr>
        <w:t xml:space="preserve">PSI y un </w:t>
      </w:r>
      <w:r w:rsidRPr="002266A8">
        <w:rPr>
          <w:rFonts w:ascii="ITC Avant Garde" w:hAnsi="ITC Avant Garde"/>
        </w:rPr>
        <w:t>PACS específico, o</w:t>
      </w:r>
      <w:r w:rsidRPr="00373FE7">
        <w:rPr>
          <w:rFonts w:ascii="ITC Avant Garde" w:hAnsi="ITC Avant Garde"/>
        </w:rPr>
        <w:t xml:space="preserve"> bien, representar simplemente una decisión unilateral del </w:t>
      </w:r>
      <w:r>
        <w:rPr>
          <w:rFonts w:ascii="ITC Avant Garde" w:hAnsi="ITC Avant Garde"/>
        </w:rPr>
        <w:t>PSI</w:t>
      </w:r>
      <w:r w:rsidRPr="00373FE7">
        <w:rPr>
          <w:rFonts w:ascii="ITC Avant Garde" w:hAnsi="ITC Avant Garde"/>
        </w:rPr>
        <w:t xml:space="preserve"> para diferenciar su servicio ante el usuario final.</w:t>
      </w:r>
    </w:p>
    <w:p w:rsidR="003D0906" w:rsidRPr="00373FE7" w:rsidRDefault="003D0906" w:rsidP="003D0906">
      <w:pPr>
        <w:jc w:val="both"/>
        <w:rPr>
          <w:rFonts w:ascii="ITC Avant Garde" w:hAnsi="ITC Avant Garde"/>
        </w:rPr>
      </w:pPr>
      <w:r w:rsidRPr="00373FE7">
        <w:rPr>
          <w:rFonts w:ascii="ITC Avant Garde" w:hAnsi="ITC Avant Garde"/>
        </w:rPr>
        <w:t>En general, destacan los siguientes esquemas:</w:t>
      </w:r>
    </w:p>
    <w:p w:rsidR="003D0906" w:rsidRPr="00A81B64" w:rsidRDefault="003D0906" w:rsidP="003D0906">
      <w:pPr>
        <w:numPr>
          <w:ilvl w:val="0"/>
          <w:numId w:val="20"/>
        </w:numPr>
        <w:contextualSpacing/>
        <w:jc w:val="both"/>
        <w:rPr>
          <w:rFonts w:ascii="ITC Avant Garde" w:hAnsi="ITC Avant Garde"/>
        </w:rPr>
      </w:pPr>
      <w:r>
        <w:rPr>
          <w:rFonts w:ascii="ITC Avant Garde" w:hAnsi="ITC Avant Garde"/>
          <w:b/>
        </w:rPr>
        <w:t>Rating cero o datos de tráfico g</w:t>
      </w:r>
      <w:r w:rsidRPr="00A81B64">
        <w:rPr>
          <w:rFonts w:ascii="ITC Avant Garde" w:hAnsi="ITC Avant Garde"/>
          <w:b/>
        </w:rPr>
        <w:t>ratuito.</w:t>
      </w:r>
      <w:r w:rsidRPr="00A81B64">
        <w:rPr>
          <w:rFonts w:ascii="ITC Avant Garde" w:hAnsi="ITC Avant Garde"/>
        </w:rPr>
        <w:t xml:space="preserve"> Esquema en la que el </w:t>
      </w:r>
      <w:r>
        <w:rPr>
          <w:rFonts w:ascii="ITC Avant Garde" w:hAnsi="ITC Avant Garde"/>
        </w:rPr>
        <w:t>PSI</w:t>
      </w:r>
      <w:r w:rsidRPr="00A81B64">
        <w:rPr>
          <w:rFonts w:ascii="ITC Avant Garde" w:hAnsi="ITC Avant Garde"/>
        </w:rPr>
        <w:t>, por decisión unilateral y con el incentivo de diferenciarse de sus competidores, ofrece a sus usuarios finales que cuentan con servicio de datos, el acceso a ciertos contenidos, aplicaciones o servicios (generalmente redes sociales) sin que estos se contabilicen en su consumo.</w:t>
      </w:r>
    </w:p>
    <w:p w:rsidR="003D0906" w:rsidRDefault="003D0906" w:rsidP="003D0906">
      <w:pPr>
        <w:numPr>
          <w:ilvl w:val="0"/>
          <w:numId w:val="20"/>
        </w:numPr>
        <w:contextualSpacing/>
        <w:jc w:val="both"/>
        <w:rPr>
          <w:rFonts w:ascii="ITC Avant Garde" w:hAnsi="ITC Avant Garde"/>
        </w:rPr>
      </w:pPr>
      <w:r>
        <w:rPr>
          <w:rFonts w:ascii="ITC Avant Garde" w:hAnsi="ITC Avant Garde"/>
          <w:b/>
        </w:rPr>
        <w:t>Datos a</w:t>
      </w:r>
      <w:r w:rsidRPr="00A81B64">
        <w:rPr>
          <w:rFonts w:ascii="ITC Avant Garde" w:hAnsi="ITC Avant Garde"/>
          <w:b/>
        </w:rPr>
        <w:t>uspiciados.</w:t>
      </w:r>
      <w:r w:rsidRPr="00A81B64">
        <w:rPr>
          <w:rFonts w:ascii="ITC Avant Garde" w:hAnsi="ITC Avant Garde"/>
        </w:rPr>
        <w:t xml:space="preserve"> Esquemas de cobro revertido en el que un </w:t>
      </w:r>
      <w:r>
        <w:rPr>
          <w:rFonts w:ascii="ITC Avant Garde" w:hAnsi="ITC Avant Garde"/>
        </w:rPr>
        <w:t>PACS</w:t>
      </w:r>
      <w:r w:rsidRPr="00A81B64">
        <w:rPr>
          <w:rFonts w:ascii="ITC Avant Garde" w:hAnsi="ITC Avant Garde"/>
        </w:rPr>
        <w:t xml:space="preserve"> acuerda con un </w:t>
      </w:r>
      <w:r>
        <w:rPr>
          <w:rFonts w:ascii="ITC Avant Garde" w:hAnsi="ITC Avant Garde"/>
        </w:rPr>
        <w:t>PSI</w:t>
      </w:r>
      <w:r w:rsidRPr="00A81B64">
        <w:rPr>
          <w:rFonts w:ascii="ITC Avant Garde" w:hAnsi="ITC Avant Garde"/>
        </w:rPr>
        <w:t xml:space="preserve"> cubrir el costo del acceso de los usuarios finales de Internet a un contenido, aplicación o servicio específico. </w:t>
      </w:r>
    </w:p>
    <w:p w:rsidR="003D0906" w:rsidRDefault="003D0906" w:rsidP="003D0906">
      <w:pPr>
        <w:contextualSpacing/>
        <w:jc w:val="both"/>
        <w:rPr>
          <w:rFonts w:ascii="ITC Avant Garde" w:hAnsi="ITC Avant Garde"/>
        </w:rPr>
      </w:pPr>
    </w:p>
    <w:p w:rsidR="003D0906" w:rsidRPr="00A81B64" w:rsidRDefault="003D0906" w:rsidP="003D0906">
      <w:pPr>
        <w:contextualSpacing/>
        <w:jc w:val="both"/>
        <w:rPr>
          <w:rFonts w:ascii="ITC Avant Garde" w:hAnsi="ITC Avant Garde"/>
        </w:rPr>
      </w:pPr>
    </w:p>
    <w:p w:rsidR="003D0906" w:rsidRDefault="003D0906" w:rsidP="003D0906">
      <w:pPr>
        <w:numPr>
          <w:ilvl w:val="0"/>
          <w:numId w:val="20"/>
        </w:numPr>
        <w:contextualSpacing/>
        <w:jc w:val="both"/>
        <w:rPr>
          <w:rFonts w:ascii="ITC Avant Garde" w:hAnsi="ITC Avant Garde"/>
        </w:rPr>
      </w:pPr>
      <w:r w:rsidRPr="00373FE7">
        <w:rPr>
          <w:rFonts w:ascii="ITC Avant Garde" w:hAnsi="ITC Avant Garde"/>
          <w:b/>
        </w:rPr>
        <w:lastRenderedPageBreak/>
        <w:t>Plataformas de contenido gratuito</w:t>
      </w:r>
      <w:r w:rsidRPr="00373FE7">
        <w:rPr>
          <w:rFonts w:ascii="ITC Avant Garde" w:hAnsi="ITC Avant Garde"/>
        </w:rPr>
        <w:t xml:space="preserve">. Esquema promovido por los </w:t>
      </w:r>
      <w:r>
        <w:rPr>
          <w:rFonts w:ascii="ITC Avant Garde" w:hAnsi="ITC Avant Garde"/>
        </w:rPr>
        <w:t>PACS</w:t>
      </w:r>
      <w:r w:rsidRPr="00373FE7">
        <w:rPr>
          <w:rFonts w:ascii="ITC Avant Garde" w:hAnsi="ITC Avant Garde"/>
        </w:rPr>
        <w:t xml:space="preserve"> para proveer a usuarios finales – que no requieren tener un plan de datos o saldo – de acceso a un conjunto restringido de contenidos, aplicaciones o servicios. Generalmente, se promueven como estrategia para fomentar la adopción de banda ancha en poblaciones o regiones con escaso acceso. </w:t>
      </w:r>
    </w:p>
    <w:p w:rsidR="003D0906" w:rsidRPr="00373FE7" w:rsidRDefault="003D0906" w:rsidP="003D0906">
      <w:pPr>
        <w:ind w:left="780"/>
        <w:contextualSpacing/>
        <w:jc w:val="both"/>
        <w:rPr>
          <w:rFonts w:ascii="ITC Avant Garde" w:hAnsi="ITC Avant Garde"/>
        </w:rPr>
      </w:pPr>
    </w:p>
    <w:p w:rsidR="003D0906" w:rsidRPr="00373FE7" w:rsidRDefault="003D0906" w:rsidP="003D0906">
      <w:pPr>
        <w:jc w:val="both"/>
        <w:rPr>
          <w:rFonts w:ascii="ITC Avant Garde" w:eastAsia="Times New Roman" w:hAnsi="ITC Avant Garde"/>
        </w:rPr>
      </w:pPr>
      <w:r w:rsidRPr="00373FE7">
        <w:rPr>
          <w:rFonts w:ascii="ITC Avant Garde" w:hAnsi="ITC Avant Garde"/>
        </w:rPr>
        <w:t>Por el lado del usuario final, estas prácticas se consideran favorables debido a que estos podrían verse beneficiados al tener acceso a mayor contenido por el mismo precio, disminuir su gasto en el servicio de datos, o en un caso más extremo, ser nuevos usuarios del servicio de acceso a Internet. También pudieran generar una</w:t>
      </w:r>
      <w:r w:rsidRPr="00373FE7">
        <w:rPr>
          <w:rFonts w:ascii="ITC Avant Garde" w:eastAsia="Times New Roman" w:hAnsi="ITC Avant Garde"/>
        </w:rPr>
        <w:t xml:space="preserve"> ventaja al </w:t>
      </w:r>
      <w:r>
        <w:rPr>
          <w:rFonts w:ascii="ITC Avant Garde" w:eastAsia="Times New Roman" w:hAnsi="ITC Avant Garde"/>
        </w:rPr>
        <w:t>p</w:t>
      </w:r>
      <w:r w:rsidRPr="00373FE7">
        <w:rPr>
          <w:rFonts w:ascii="ITC Avant Garde" w:eastAsia="Times New Roman" w:hAnsi="ITC Avant Garde"/>
        </w:rPr>
        <w:t xml:space="preserve">roveedor cuyo contenido, aplicación o servicio es entregado gratuitamente por sobre el resto, ya que se incentiva a los usuarios finales a un mayor consumo de su contenido. Adicionalmente, es relevante considerar si habría o no un efecto del consumo de datos gratuitos en la congestión de las redes de los </w:t>
      </w:r>
      <w:r>
        <w:rPr>
          <w:rFonts w:ascii="ITC Avant Garde" w:eastAsia="Times New Roman" w:hAnsi="ITC Avant Garde"/>
        </w:rPr>
        <w:t>PSI</w:t>
      </w:r>
      <w:r w:rsidRPr="00373FE7">
        <w:rPr>
          <w:rFonts w:ascii="ITC Avant Garde" w:eastAsia="Times New Roman" w:hAnsi="ITC Avant Garde"/>
        </w:rPr>
        <w:t xml:space="preserve"> y las acciones que estos pudieran llevar a cabo en cuanto a la expansión de capacidad de las redes.</w:t>
      </w:r>
    </w:p>
    <w:p w:rsidR="003D0906" w:rsidRPr="00373FE7" w:rsidRDefault="003D0906" w:rsidP="003D0906">
      <w:pPr>
        <w:jc w:val="both"/>
        <w:rPr>
          <w:rFonts w:ascii="ITC Avant Garde" w:hAnsi="ITC Avant Garde"/>
        </w:rPr>
      </w:pPr>
      <w:r w:rsidRPr="00373FE7">
        <w:rPr>
          <w:rFonts w:ascii="ITC Avant Garde" w:hAnsi="ITC Avant Garde"/>
        </w:rPr>
        <w:t xml:space="preserve">Para mayor información sobre este tema, se recomienda consultar </w:t>
      </w:r>
      <w:r>
        <w:rPr>
          <w:rFonts w:ascii="ITC Avant Garde" w:hAnsi="ITC Avant Garde"/>
        </w:rPr>
        <w:t>el Estudio, apartados</w:t>
      </w:r>
      <w:r w:rsidRPr="00373FE7">
        <w:rPr>
          <w:rFonts w:ascii="ITC Avant Garde" w:hAnsi="ITC Avant Garde"/>
        </w:rPr>
        <w:t xml:space="preserve"> 6.2.2</w:t>
      </w:r>
      <w:r>
        <w:rPr>
          <w:rFonts w:ascii="ITC Avant Garde" w:hAnsi="ITC Avant Garde"/>
        </w:rPr>
        <w:t xml:space="preserve"> y 6.2.3</w:t>
      </w:r>
      <w:r w:rsidRPr="00373FE7">
        <w:rPr>
          <w:rFonts w:ascii="ITC Avant Garde" w:hAnsi="ITC Avant Garde"/>
        </w:rPr>
        <w:t>.</w:t>
      </w:r>
    </w:p>
    <w:p w:rsidR="003D0906" w:rsidRPr="00373FE7" w:rsidRDefault="003D0906" w:rsidP="003D0906">
      <w:pPr>
        <w:spacing w:after="120" w:line="240" w:lineRule="auto"/>
        <w:jc w:val="both"/>
        <w:outlineLvl w:val="1"/>
        <w:rPr>
          <w:rFonts w:ascii="ITC Avant Garde" w:hAnsi="ITC Avant Garde"/>
          <w:b/>
          <w:i/>
        </w:rPr>
      </w:pPr>
      <w:r w:rsidRPr="00373FE7">
        <w:rPr>
          <w:rFonts w:ascii="ITC Avant Garde" w:hAnsi="ITC Avant Garde"/>
          <w:b/>
          <w:i/>
        </w:rPr>
        <w:t>Preguntas</w:t>
      </w:r>
    </w:p>
    <w:p w:rsidR="003D0906" w:rsidRPr="00373FE7" w:rsidRDefault="003D0906" w:rsidP="003D0906">
      <w:pPr>
        <w:numPr>
          <w:ilvl w:val="0"/>
          <w:numId w:val="21"/>
        </w:numPr>
        <w:contextualSpacing/>
        <w:jc w:val="both"/>
        <w:rPr>
          <w:rFonts w:ascii="ITC Avant Garde" w:hAnsi="ITC Avant Garde"/>
        </w:rPr>
      </w:pPr>
      <w:r w:rsidRPr="00373FE7">
        <w:rPr>
          <w:rFonts w:ascii="ITC Avant Garde" w:hAnsi="ITC Avant Garde"/>
        </w:rPr>
        <w:t xml:space="preserve">¿Qué ventajas o desventajas considera que tienen este tipo de esquemas de consumo de datos tanto para usuarios finales, como para </w:t>
      </w:r>
      <w:r>
        <w:rPr>
          <w:rFonts w:ascii="ITC Avant Garde" w:hAnsi="ITC Avant Garde"/>
        </w:rPr>
        <w:t>los PSI y los PACS</w:t>
      </w:r>
      <w:r w:rsidRPr="00373FE7">
        <w:rPr>
          <w:rFonts w:ascii="ITC Avant Garde" w:hAnsi="ITC Avant Garde"/>
        </w:rPr>
        <w:t>?</w:t>
      </w:r>
    </w:p>
    <w:p w:rsidR="003D0906" w:rsidRPr="002266A8" w:rsidRDefault="003D0906" w:rsidP="003D0906">
      <w:pPr>
        <w:numPr>
          <w:ilvl w:val="0"/>
          <w:numId w:val="21"/>
        </w:numPr>
        <w:contextualSpacing/>
        <w:jc w:val="both"/>
        <w:rPr>
          <w:rFonts w:ascii="ITC Avant Garde" w:hAnsi="ITC Avant Garde"/>
        </w:rPr>
      </w:pPr>
      <w:r w:rsidRPr="002266A8">
        <w:rPr>
          <w:rFonts w:ascii="ITC Avant Garde" w:hAnsi="ITC Avant Garde"/>
        </w:rPr>
        <w:t>Con base en lo anterior, ¿considera que dichos esquemas contribuyen al desarrollo de Internet en su conjunto? Detalle su respuesta.</w:t>
      </w:r>
    </w:p>
    <w:p w:rsidR="003D0906" w:rsidRPr="00373FE7" w:rsidRDefault="003D0906" w:rsidP="003D0906">
      <w:pPr>
        <w:numPr>
          <w:ilvl w:val="0"/>
          <w:numId w:val="21"/>
        </w:numPr>
        <w:contextualSpacing/>
        <w:jc w:val="both"/>
        <w:rPr>
          <w:rFonts w:ascii="ITC Avant Garde" w:hAnsi="ITC Avant Garde"/>
        </w:rPr>
      </w:pPr>
      <w:r w:rsidRPr="002266A8">
        <w:rPr>
          <w:rFonts w:ascii="ITC Avant Garde" w:hAnsi="ITC Avant Garde"/>
        </w:rPr>
        <w:t>¿Considera que debería establecerse algún tipo de regulación para dichos esquemas de consumo de datos? En su caso</w:t>
      </w:r>
      <w:r w:rsidRPr="00373FE7">
        <w:rPr>
          <w:rFonts w:ascii="ITC Avant Garde" w:hAnsi="ITC Avant Garde"/>
        </w:rPr>
        <w:t xml:space="preserve">, ¿optaría por un esquema ex ante o ex post? Justifique su respuesta. </w:t>
      </w:r>
    </w:p>
    <w:p w:rsidR="003D0906" w:rsidRPr="003C3F25" w:rsidRDefault="003D0906" w:rsidP="003D0906">
      <w:pPr>
        <w:spacing w:after="120" w:line="240" w:lineRule="auto"/>
        <w:jc w:val="both"/>
        <w:rPr>
          <w:rFonts w:ascii="ITC Avant Garde" w:hAnsi="ITC Avant Garde"/>
        </w:rPr>
      </w:pPr>
    </w:p>
    <w:p w:rsidR="003D0906" w:rsidRPr="00C41536" w:rsidRDefault="003D0906" w:rsidP="003D0906">
      <w:pPr>
        <w:spacing w:after="0"/>
        <w:jc w:val="both"/>
        <w:rPr>
          <w:rFonts w:ascii="Century Gothic" w:hAnsi="Century Gothic"/>
          <w:sz w:val="16"/>
        </w:rPr>
      </w:pPr>
    </w:p>
    <w:p w:rsidR="003D0906" w:rsidRPr="00F36A5D" w:rsidRDefault="003D0906" w:rsidP="00170916">
      <w:pPr>
        <w:spacing w:after="0"/>
        <w:jc w:val="both"/>
        <w:rPr>
          <w:rFonts w:ascii="ITC Avant Garde" w:hAnsi="ITC Avant Garde"/>
          <w:sz w:val="16"/>
        </w:rPr>
      </w:pPr>
    </w:p>
    <w:sectPr w:rsidR="003D0906" w:rsidRPr="00F36A5D" w:rsidSect="0086154B">
      <w:headerReference w:type="default" r:id="rId14"/>
      <w:footerReference w:type="default" r:id="rId15"/>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AC2" w:rsidRDefault="00431AC2" w:rsidP="0038199D">
      <w:pPr>
        <w:spacing w:after="0" w:line="240" w:lineRule="auto"/>
      </w:pPr>
      <w:r>
        <w:separator/>
      </w:r>
    </w:p>
  </w:endnote>
  <w:endnote w:type="continuationSeparator" w:id="0">
    <w:p w:rsidR="00431AC2" w:rsidRDefault="00431AC2"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79751A" w:rsidRPr="0079751A">
      <w:rPr>
        <w:rFonts w:ascii="ITC Avant Garde" w:hAnsi="ITC Avant Garde"/>
        <w:noProof/>
        <w:color w:val="323E4F"/>
        <w:sz w:val="14"/>
        <w:szCs w:val="24"/>
        <w:lang w:val="es-ES"/>
      </w:rPr>
      <w:t>1</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79751A" w:rsidRPr="0079751A">
      <w:rPr>
        <w:rFonts w:ascii="ITC Avant Garde" w:hAnsi="ITC Avant Garde"/>
        <w:noProof/>
        <w:color w:val="323E4F"/>
        <w:sz w:val="14"/>
        <w:szCs w:val="24"/>
        <w:lang w:val="es-ES"/>
      </w:rPr>
      <w:t>11</w:t>
    </w:r>
    <w:r w:rsidRPr="00DF5B3F">
      <w:rPr>
        <w:rFonts w:ascii="ITC Avant Garde" w:hAnsi="ITC Avant Garde"/>
        <w:color w:val="323E4F"/>
        <w:sz w:val="14"/>
        <w:szCs w:val="24"/>
      </w:rPr>
      <w:fldChar w:fldCharType="end"/>
    </w:r>
  </w:p>
  <w:p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AC2" w:rsidRDefault="00431AC2" w:rsidP="0038199D">
      <w:pPr>
        <w:spacing w:after="0" w:line="240" w:lineRule="auto"/>
      </w:pPr>
      <w:r>
        <w:separator/>
      </w:r>
    </w:p>
  </w:footnote>
  <w:footnote w:type="continuationSeparator" w:id="0">
    <w:p w:rsidR="00431AC2" w:rsidRDefault="00431AC2" w:rsidP="0038199D">
      <w:pPr>
        <w:spacing w:after="0" w:line="240" w:lineRule="auto"/>
      </w:pPr>
      <w:r>
        <w:continuationSeparator/>
      </w:r>
    </w:p>
  </w:footnote>
  <w:footnote w:id="1">
    <w:p w:rsidR="003D0906" w:rsidRPr="00AC35B0" w:rsidRDefault="003D0906" w:rsidP="003D0906">
      <w:pPr>
        <w:pStyle w:val="Textonotapie"/>
        <w:rPr>
          <w:rFonts w:ascii="ITC Avant Garde" w:hAnsi="ITC Avant Garde"/>
          <w:sz w:val="16"/>
          <w:szCs w:val="16"/>
        </w:rPr>
      </w:pPr>
      <w:r w:rsidRPr="00AC35B0">
        <w:rPr>
          <w:rStyle w:val="Refdenotaalpie"/>
          <w:rFonts w:ascii="ITC Avant Garde" w:hAnsi="ITC Avant Garde"/>
          <w:sz w:val="16"/>
          <w:szCs w:val="16"/>
        </w:rPr>
        <w:footnoteRef/>
      </w:r>
      <w:r w:rsidRPr="00AC35B0">
        <w:rPr>
          <w:rFonts w:ascii="ITC Avant Garde" w:hAnsi="ITC Avant Garde"/>
          <w:sz w:val="16"/>
          <w:szCs w:val="16"/>
        </w:rPr>
        <w:t xml:space="preserve"> </w:t>
      </w:r>
      <w:r>
        <w:rPr>
          <w:rFonts w:ascii="ITC Avant Garde" w:hAnsi="ITC Avant Garde"/>
          <w:sz w:val="16"/>
          <w:szCs w:val="16"/>
        </w:rPr>
        <w:t>ITU.</w:t>
      </w:r>
      <w:r w:rsidRPr="00AC35B0">
        <w:rPr>
          <w:rFonts w:ascii="ITC Avant Garde" w:hAnsi="ITC Avant Garde"/>
          <w:sz w:val="16"/>
          <w:szCs w:val="16"/>
        </w:rPr>
        <w:t xml:space="preserve">“Tendencias en las reformas de telecomunicaciones 2013: Aspectos transnacionales de la reglamentación en una sociedad interconectada”. Disponible en: </w:t>
      </w:r>
      <w:hyperlink r:id="rId1" w:history="1">
        <w:r w:rsidRPr="00AC35B0">
          <w:rPr>
            <w:rStyle w:val="Hipervnculo"/>
            <w:rFonts w:ascii="ITC Avant Garde" w:hAnsi="ITC Avant Garde"/>
            <w:sz w:val="16"/>
            <w:szCs w:val="16"/>
          </w:rPr>
          <w:t>http://www.itu.int/es/publications/ITU-D/Pages/publications.aspx?parent=D-PREF-TTR.14-2013&amp;media=electronic</w:t>
        </w:r>
      </w:hyperlink>
    </w:p>
  </w:footnote>
  <w:footnote w:id="2">
    <w:p w:rsidR="003D0906" w:rsidRPr="001C1BE2" w:rsidRDefault="003D0906" w:rsidP="003D0906">
      <w:pPr>
        <w:pStyle w:val="PiedePgina0"/>
        <w:rPr>
          <w:rFonts w:ascii="ITC Avant Garde" w:hAnsi="ITC Avant Garde"/>
          <w:color w:val="000000"/>
          <w:lang w:eastAsia="es-MX"/>
        </w:rPr>
      </w:pPr>
      <w:r w:rsidRPr="008337D5">
        <w:rPr>
          <w:rStyle w:val="Refdenotaalpie"/>
        </w:rPr>
        <w:footnoteRef/>
      </w:r>
      <w:r w:rsidRPr="008337D5">
        <w:rPr>
          <w:rFonts w:ascii="ITC Avant Garde" w:hAnsi="ITC Avant Garde"/>
          <w:bCs w:val="0"/>
          <w:lang w:val="en-US"/>
        </w:rPr>
        <w:t xml:space="preserve"> </w:t>
      </w:r>
      <w:r>
        <w:rPr>
          <w:rFonts w:ascii="ITC Avant Garde" w:hAnsi="ITC Avant Garde"/>
          <w:bCs w:val="0"/>
        </w:rPr>
        <w:t>CISCO. 2019.</w:t>
      </w:r>
      <w:r w:rsidRPr="008337D5">
        <w:rPr>
          <w:rFonts w:ascii="ITC Avant Garde" w:hAnsi="ITC Avant Garde"/>
          <w:bCs w:val="0"/>
          <w:lang w:val="en-US"/>
        </w:rPr>
        <w:t xml:space="preserve"> “</w:t>
      </w:r>
      <w:r w:rsidRPr="00B87AEA">
        <w:rPr>
          <w:rFonts w:ascii="ITC Avant Garde" w:hAnsi="ITC Avant Garde"/>
          <w:bCs w:val="0"/>
          <w:lang w:val="en-US"/>
        </w:rPr>
        <w:t xml:space="preserve">Cisco Visual Networking Index: Forecast and Trends, 2017–2022”. Disponible en: https://www.cisco.com/c/en/us/solutions/collateral/service-provider/visual-networking-index-vni/white-paper-c11-741490.html     </w:t>
      </w:r>
    </w:p>
  </w:footnote>
  <w:footnote w:id="3">
    <w:p w:rsidR="003D0906" w:rsidRPr="00AC35B0" w:rsidRDefault="003D0906" w:rsidP="003D0906">
      <w:pPr>
        <w:pStyle w:val="Textonotapie"/>
        <w:rPr>
          <w:rFonts w:ascii="ITC Avant Garde" w:hAnsi="ITC Avant Garde"/>
          <w:sz w:val="16"/>
          <w:szCs w:val="16"/>
        </w:rPr>
      </w:pPr>
      <w:r w:rsidRPr="00AC35B0">
        <w:rPr>
          <w:rStyle w:val="Refdenotaalpie"/>
          <w:rFonts w:ascii="ITC Avant Garde" w:hAnsi="ITC Avant Garde"/>
          <w:sz w:val="16"/>
          <w:szCs w:val="16"/>
        </w:rPr>
        <w:footnoteRef/>
      </w:r>
      <w:r w:rsidRPr="00AC35B0">
        <w:rPr>
          <w:rFonts w:ascii="ITC Avant Garde" w:hAnsi="ITC Avant Garde"/>
          <w:sz w:val="16"/>
          <w:szCs w:val="16"/>
        </w:rPr>
        <w:t xml:space="preserve"> </w:t>
      </w:r>
      <w:r>
        <w:rPr>
          <w:rFonts w:ascii="ITC Avant Garde" w:hAnsi="ITC Avant Garde"/>
          <w:sz w:val="16"/>
          <w:szCs w:val="16"/>
        </w:rPr>
        <w:t>ITU, 2013</w:t>
      </w:r>
      <w:r w:rsidRPr="00AC35B0">
        <w:rPr>
          <w:rFonts w:ascii="ITC Avant Garde" w:hAnsi="ITC Avant Garde"/>
          <w:sz w:val="16"/>
          <w:szCs w:val="16"/>
        </w:rPr>
        <w:t xml:space="preserve"> “Tendencias en las reformas de telecomunicaciones 2013: Aspectos transnacionales de la reglamentación en una sociedad interconectada”. Disponible en: </w:t>
      </w:r>
      <w:hyperlink r:id="rId2" w:history="1">
        <w:r w:rsidRPr="00AC35B0">
          <w:rPr>
            <w:rStyle w:val="Hipervnculo"/>
            <w:rFonts w:ascii="ITC Avant Garde" w:hAnsi="ITC Avant Garde"/>
            <w:sz w:val="16"/>
            <w:szCs w:val="16"/>
          </w:rPr>
          <w:t>http://www.itu.int/es/publications/ITU-D/Pages/publications.aspx?parent=D-PREF-TTR.14-2013&amp;media=electronic</w:t>
        </w:r>
      </w:hyperlink>
    </w:p>
  </w:footnote>
  <w:footnote w:id="4">
    <w:p w:rsidR="003D0906" w:rsidRPr="00AC35B0" w:rsidRDefault="003D0906" w:rsidP="003D0906">
      <w:pPr>
        <w:jc w:val="both"/>
        <w:rPr>
          <w:rFonts w:ascii="ITC Avant Garde" w:hAnsi="ITC Avant Garde"/>
          <w:sz w:val="16"/>
          <w:szCs w:val="16"/>
        </w:rPr>
      </w:pPr>
      <w:r w:rsidRPr="00AC35B0">
        <w:rPr>
          <w:rStyle w:val="Refdenotaalpie"/>
          <w:rFonts w:ascii="ITC Avant Garde" w:hAnsi="ITC Avant Garde"/>
          <w:sz w:val="16"/>
          <w:szCs w:val="16"/>
        </w:rPr>
        <w:footnoteRef/>
      </w:r>
      <w:r w:rsidRPr="00AC35B0">
        <w:rPr>
          <w:rFonts w:ascii="ITC Avant Garde" w:hAnsi="ITC Avant Garde"/>
          <w:sz w:val="16"/>
          <w:szCs w:val="16"/>
          <w:lang w:val="en-US"/>
        </w:rPr>
        <w:t xml:space="preserve"> </w:t>
      </w:r>
      <w:r>
        <w:rPr>
          <w:rFonts w:ascii="ITC Avant Garde" w:hAnsi="ITC Avant Garde"/>
          <w:sz w:val="16"/>
          <w:szCs w:val="16"/>
          <w:lang w:val="en-US"/>
        </w:rPr>
        <w:t xml:space="preserve">Faulhaber &amp; Farber, 2009. </w:t>
      </w:r>
      <w:r w:rsidRPr="00AC35B0">
        <w:rPr>
          <w:rFonts w:ascii="ITC Avant Garde" w:hAnsi="ITC Avant Garde"/>
          <w:sz w:val="16"/>
          <w:szCs w:val="16"/>
          <w:lang w:val="en-US"/>
        </w:rPr>
        <w:t xml:space="preserve">“Innovation in the wireless ecosystem: a customer-centric framework”. </w:t>
      </w:r>
      <w:r w:rsidRPr="00AC35B0">
        <w:rPr>
          <w:rFonts w:ascii="ITC Avant Garde" w:hAnsi="ITC Avant Garde"/>
          <w:sz w:val="16"/>
          <w:szCs w:val="16"/>
        </w:rPr>
        <w:t xml:space="preserve">Disponible en: </w:t>
      </w:r>
      <w:hyperlink r:id="rId3" w:history="1">
        <w:r w:rsidRPr="00AC35B0">
          <w:rPr>
            <w:rFonts w:ascii="ITC Avant Garde" w:hAnsi="ITC Avant Garde"/>
            <w:sz w:val="16"/>
            <w:szCs w:val="16"/>
          </w:rPr>
          <w:t>http://ijoc.org/index.php/ijoc/article/viewFile/670/388</w:t>
        </w:r>
      </w:hyperlink>
      <w:r w:rsidRPr="00AC35B0">
        <w:rPr>
          <w:rFonts w:ascii="ITC Avant Garde" w:hAnsi="ITC Avant Garde"/>
          <w:sz w:val="16"/>
          <w:szCs w:val="16"/>
        </w:rPr>
        <w:t xml:space="preserve"> </w:t>
      </w:r>
    </w:p>
  </w:footnote>
  <w:footnote w:id="5">
    <w:p w:rsidR="003D0906" w:rsidRPr="00AC35B0" w:rsidRDefault="003D0906" w:rsidP="003D0906">
      <w:pPr>
        <w:pStyle w:val="Textonotapie"/>
        <w:rPr>
          <w:rFonts w:ascii="ITC Avant Garde" w:hAnsi="ITC Avant Garde"/>
          <w:sz w:val="16"/>
          <w:szCs w:val="16"/>
        </w:rPr>
      </w:pPr>
      <w:r w:rsidRPr="00AC35B0">
        <w:rPr>
          <w:rStyle w:val="Refdenotaalpie"/>
          <w:rFonts w:ascii="ITC Avant Garde" w:hAnsi="ITC Avant Garde"/>
          <w:sz w:val="16"/>
          <w:szCs w:val="16"/>
        </w:rPr>
        <w:footnoteRef/>
      </w:r>
      <w:r w:rsidRPr="00AC35B0">
        <w:rPr>
          <w:rFonts w:ascii="ITC Avant Garde" w:hAnsi="ITC Avant Garde"/>
          <w:sz w:val="16"/>
          <w:szCs w:val="16"/>
        </w:rPr>
        <w:t xml:space="preserve"> </w:t>
      </w:r>
      <w:r w:rsidRPr="003D0906">
        <w:rPr>
          <w:rFonts w:ascii="ITC Avant Garde" w:eastAsia="Calibri" w:hAnsi="ITC Avant Garde"/>
          <w:sz w:val="16"/>
          <w:szCs w:val="16"/>
        </w:rPr>
        <w:t xml:space="preserve">Estudio didáctico elaborado por la Unidad de Política Regulatoria del Instituto Federal de Telecomunicaciones, el cual ha sido publicado con un lenguaje compresible para el público en general a fin de contribuir y facilitar la comprensión del tema, promoviendo el acercamiento y participación de los diferentes interesados durante el proceso de consulta pública del ANTEPROYECTO DE LINEAMIENTOS PARA LA GESTIÓN DE TRÁFICO Y ADMINISTRACIÓN DE RED A QUE DEBERÁN SUJETARSE LOS CONCESIONARIOS Y AUTORIZADOS QUE PRESTEN EL SERVICIO DE ACCESO A INTERNET. Disponible en el sitio web del Instituto: </w:t>
      </w:r>
      <w:hyperlink r:id="rId4" w:history="1">
        <w:r w:rsidRPr="003D0906">
          <w:rPr>
            <w:rFonts w:ascii="ITC Avant Garde" w:eastAsia="Calibri" w:hAnsi="ITC Avant Garde"/>
            <w:sz w:val="16"/>
            <w:szCs w:val="16"/>
          </w:rPr>
          <w:t>www.ift.org.mx</w:t>
        </w:r>
      </w:hyperlink>
      <w:r w:rsidRPr="003D0906">
        <w:rPr>
          <w:rFonts w:ascii="ITC Avant Garde" w:eastAsia="Calibri" w:hAnsi="ITC Avant Garde"/>
          <w:sz w:val="16"/>
          <w:szCs w:val="16"/>
        </w:rPr>
        <w:t>.</w:t>
      </w:r>
    </w:p>
  </w:footnote>
  <w:footnote w:id="6">
    <w:p w:rsidR="003D0906" w:rsidRPr="00AC35B0" w:rsidRDefault="003D0906" w:rsidP="003D0906">
      <w:pPr>
        <w:pStyle w:val="PiedePgina0"/>
        <w:jc w:val="both"/>
        <w:rPr>
          <w:rFonts w:ascii="ITC Avant Garde" w:hAnsi="ITC Avant Garde"/>
        </w:rPr>
      </w:pPr>
      <w:r w:rsidRPr="00AC35B0">
        <w:rPr>
          <w:rStyle w:val="Refdenotaalpie"/>
          <w:rFonts w:ascii="ITC Avant Garde" w:hAnsi="ITC Avant Garde"/>
        </w:rPr>
        <w:footnoteRef/>
      </w:r>
      <w:r>
        <w:rPr>
          <w:rFonts w:ascii="ITC Avant Garde" w:hAnsi="ITC Avant Garde"/>
        </w:rPr>
        <w:t xml:space="preserve"> ITU, 2013</w:t>
      </w:r>
      <w:r w:rsidRPr="00AC35B0">
        <w:rPr>
          <w:rFonts w:ascii="ITC Avant Garde" w:hAnsi="ITC Avant Garde"/>
        </w:rPr>
        <w:t xml:space="preserve">“Tendencias en las reformas de telecomunicaciones 2013: Aspectos transnacionales de la reglamentación en una sociedad interconectada”. Disponible en: </w:t>
      </w:r>
      <w:hyperlink r:id="rId5" w:history="1">
        <w:r w:rsidRPr="00AC35B0">
          <w:rPr>
            <w:rStyle w:val="Hipervnculo"/>
            <w:rFonts w:ascii="ITC Avant Garde" w:hAnsi="ITC Avant Garde"/>
          </w:rPr>
          <w:t>http://www.itu.int/es/publications/ITU-D/Pages/publications.aspx?parent=D-PREF-TTR.14-2013&amp;media=electronic</w:t>
        </w:r>
      </w:hyperlink>
    </w:p>
  </w:footnote>
  <w:footnote w:id="7">
    <w:p w:rsidR="003D0906" w:rsidRPr="00AC35B0" w:rsidRDefault="003D0906" w:rsidP="003D0906">
      <w:pPr>
        <w:pStyle w:val="PiedePgina0"/>
        <w:jc w:val="both"/>
        <w:rPr>
          <w:rFonts w:ascii="ITC Avant Garde" w:hAnsi="ITC Avant Garde"/>
          <w:lang w:val="en-US"/>
        </w:rPr>
      </w:pPr>
      <w:r w:rsidRPr="00AC35B0">
        <w:rPr>
          <w:rStyle w:val="Refdenotaalpie"/>
          <w:rFonts w:ascii="ITC Avant Garde" w:hAnsi="ITC Avant Garde"/>
        </w:rPr>
        <w:footnoteRef/>
      </w:r>
      <w:r w:rsidRPr="00AC35B0">
        <w:rPr>
          <w:rFonts w:ascii="ITC Avant Garde" w:hAnsi="ITC Avant Garde"/>
          <w:lang w:val="en-US"/>
        </w:rPr>
        <w:t xml:space="preserve"> “Exclusive Supply or Purchase Agreements” Disponible en: </w:t>
      </w:r>
      <w:hyperlink r:id="rId6" w:history="1">
        <w:r w:rsidRPr="00AC35B0">
          <w:rPr>
            <w:rStyle w:val="Hipervnculo"/>
            <w:rFonts w:ascii="ITC Avant Garde" w:hAnsi="ITC Avant Garde"/>
            <w:lang w:val="en-US"/>
          </w:rPr>
          <w:t>https://www.ftc.gov/tips-advice/competition-guidance/guide-antitrust-laws/single-firm-conduct/exclusive-supply-or</w:t>
        </w:r>
      </w:hyperlink>
      <w:r w:rsidRPr="00AC35B0">
        <w:rPr>
          <w:rFonts w:ascii="ITC Avant Garde" w:hAnsi="ITC Avant Garde"/>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99D" w:rsidRPr="007A6974" w:rsidRDefault="008A0E6C" w:rsidP="00800852">
    <w:pPr>
      <w:pStyle w:val="Encabezado"/>
      <w:tabs>
        <w:tab w:val="clear" w:pos="4419"/>
      </w:tabs>
      <w:rPr>
        <w:rFonts w:ascii="Century Gothic" w:hAnsi="Century Gothic"/>
      </w:rPr>
    </w:pPr>
    <w:r>
      <w:rPr>
        <w:noProof/>
        <w:lang w:eastAsia="es-MX"/>
      </w:rPr>
      <w:drawing>
        <wp:anchor distT="0" distB="762" distL="114300" distR="114300" simplePos="0" relativeHeight="251657216" behindDoc="1" locked="0" layoutInCell="1" allowOverlap="1">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rsidR="004D7960" w:rsidRPr="00F36A5D" w:rsidRDefault="00005DB7" w:rsidP="004D5EAB">
    <w:pPr>
      <w:pStyle w:val="Encabezado"/>
      <w:ind w:left="3119"/>
      <w:jc w:val="both"/>
      <w:rPr>
        <w:rFonts w:ascii="ITC Avant Garde" w:hAnsi="ITC Avant Garde"/>
        <w:b/>
        <w:sz w:val="20"/>
      </w:rPr>
    </w:pPr>
    <w:r w:rsidRPr="00F36A5D">
      <w:rPr>
        <w:rFonts w:ascii="ITC Avant Garde" w:hAnsi="ITC Avant Garde"/>
        <w:b/>
        <w:sz w:val="20"/>
      </w:rPr>
      <w:t xml:space="preserve">Consulta Pública sobre el </w:t>
    </w:r>
    <w:r w:rsidR="000356DE" w:rsidRPr="00F36A5D">
      <w:rPr>
        <w:rFonts w:ascii="ITC Avant Garde" w:hAnsi="ITC Avant Garde"/>
        <w:b/>
        <w:sz w:val="20"/>
      </w:rPr>
      <w:t>“</w:t>
    </w:r>
    <w:r w:rsidR="00EB0C2F" w:rsidRPr="00EB0C2F">
      <w:rPr>
        <w:rFonts w:ascii="ITC Avant Garde" w:hAnsi="ITC Avant Garde"/>
        <w:b/>
        <w:sz w:val="20"/>
      </w:rPr>
      <w:t>Anteproyecto de Lineamientos para la gestión de tráfico y administración de red a que deberán sujetarse los concesionarios y autorizados que presten el servicio de acceso a internet</w:t>
    </w:r>
    <w:r w:rsidR="00EB0C2F">
      <w:rPr>
        <w:rFonts w:ascii="ITC Avant Garde" w:hAnsi="ITC Avant Garde"/>
        <w:b/>
        <w:sz w:val="20"/>
      </w:rPr>
      <w:t>”.</w:t>
    </w:r>
  </w:p>
  <w:p w:rsidR="0038199D" w:rsidRPr="007A6974" w:rsidRDefault="008A0E6C" w:rsidP="004D5EAB">
    <w:pPr>
      <w:pStyle w:val="Encabezado"/>
      <w:ind w:left="3119"/>
      <w:jc w:val="both"/>
      <w:rPr>
        <w:rFonts w:ascii="Century Gothic" w:hAnsi="Century Gothic"/>
      </w:rPr>
    </w:pPr>
    <w:r>
      <w:rPr>
        <w:noProof/>
        <w:lang w:eastAsia="es-MX"/>
      </w:rPr>
      <mc:AlternateContent>
        <mc:Choice Requires="wps">
          <w:drawing>
            <wp:anchor distT="4294967295" distB="4294967295" distL="114300" distR="114300" simplePos="0" relativeHeight="251658240" behindDoc="0" locked="0" layoutInCell="1" allowOverlap="1">
              <wp:simplePos x="0" y="0"/>
              <wp:positionH relativeFrom="column">
                <wp:posOffset>35560</wp:posOffset>
              </wp:positionH>
              <wp:positionV relativeFrom="paragraph">
                <wp:posOffset>128904</wp:posOffset>
              </wp:positionV>
              <wp:extent cx="5621655" cy="0"/>
              <wp:effectExtent l="0" t="0" r="17145"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9173611"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C25F29"/>
    <w:multiLevelType w:val="hybridMultilevel"/>
    <w:tmpl w:val="22183D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65D68F1"/>
    <w:multiLevelType w:val="hybridMultilevel"/>
    <w:tmpl w:val="4C826B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AD742BE"/>
    <w:multiLevelType w:val="hybridMultilevel"/>
    <w:tmpl w:val="22183D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28E3856"/>
    <w:multiLevelType w:val="hybridMultilevel"/>
    <w:tmpl w:val="F934F2A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7"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7D15200"/>
    <w:multiLevelType w:val="hybridMultilevel"/>
    <w:tmpl w:val="A280988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0D377FB"/>
    <w:multiLevelType w:val="hybridMultilevel"/>
    <w:tmpl w:val="4F3631D2"/>
    <w:lvl w:ilvl="0" w:tplc="432424E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5"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19"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FDB7989"/>
    <w:multiLevelType w:val="hybridMultilevel"/>
    <w:tmpl w:val="A920CD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num w:numId="1">
    <w:abstractNumId w:val="13"/>
  </w:num>
  <w:num w:numId="2">
    <w:abstractNumId w:val="0"/>
  </w:num>
  <w:num w:numId="3">
    <w:abstractNumId w:val="2"/>
  </w:num>
  <w:num w:numId="4">
    <w:abstractNumId w:val="9"/>
  </w:num>
  <w:num w:numId="5">
    <w:abstractNumId w:val="17"/>
  </w:num>
  <w:num w:numId="6">
    <w:abstractNumId w:val="8"/>
  </w:num>
  <w:num w:numId="7">
    <w:abstractNumId w:val="15"/>
  </w:num>
  <w:num w:numId="8">
    <w:abstractNumId w:val="16"/>
  </w:num>
  <w:num w:numId="9">
    <w:abstractNumId w:val="7"/>
  </w:num>
  <w:num w:numId="10">
    <w:abstractNumId w:val="1"/>
  </w:num>
  <w:num w:numId="11">
    <w:abstractNumId w:val="19"/>
  </w:num>
  <w:num w:numId="12">
    <w:abstractNumId w:val="11"/>
  </w:num>
  <w:num w:numId="13">
    <w:abstractNumId w:val="21"/>
  </w:num>
  <w:num w:numId="14">
    <w:abstractNumId w:val="14"/>
  </w:num>
  <w:num w:numId="15">
    <w:abstractNumId w:val="18"/>
  </w:num>
  <w:num w:numId="16">
    <w:abstractNumId w:val="5"/>
  </w:num>
  <w:num w:numId="17">
    <w:abstractNumId w:val="3"/>
  </w:num>
  <w:num w:numId="18">
    <w:abstractNumId w:val="20"/>
  </w:num>
  <w:num w:numId="19">
    <w:abstractNumId w:val="10"/>
  </w:num>
  <w:num w:numId="20">
    <w:abstractNumId w:val="6"/>
  </w:num>
  <w:num w:numId="21">
    <w:abstractNumId w:val="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9D"/>
    <w:rsid w:val="000049D9"/>
    <w:rsid w:val="000055EA"/>
    <w:rsid w:val="00005DB7"/>
    <w:rsid w:val="000253EE"/>
    <w:rsid w:val="00025623"/>
    <w:rsid w:val="00026723"/>
    <w:rsid w:val="00030E6E"/>
    <w:rsid w:val="000356DE"/>
    <w:rsid w:val="00054FB1"/>
    <w:rsid w:val="000751D5"/>
    <w:rsid w:val="00076A8C"/>
    <w:rsid w:val="00092755"/>
    <w:rsid w:val="000931D8"/>
    <w:rsid w:val="00097B00"/>
    <w:rsid w:val="000A0CEF"/>
    <w:rsid w:val="000A0F69"/>
    <w:rsid w:val="000A5CFB"/>
    <w:rsid w:val="000A6255"/>
    <w:rsid w:val="000D2838"/>
    <w:rsid w:val="000E41EA"/>
    <w:rsid w:val="000E41F3"/>
    <w:rsid w:val="000E54B6"/>
    <w:rsid w:val="000E55B0"/>
    <w:rsid w:val="00100C9C"/>
    <w:rsid w:val="001124B6"/>
    <w:rsid w:val="00120D05"/>
    <w:rsid w:val="001331D8"/>
    <w:rsid w:val="00160352"/>
    <w:rsid w:val="00170916"/>
    <w:rsid w:val="0017382C"/>
    <w:rsid w:val="00174196"/>
    <w:rsid w:val="001E0388"/>
    <w:rsid w:val="001F006E"/>
    <w:rsid w:val="00266BE0"/>
    <w:rsid w:val="002771ED"/>
    <w:rsid w:val="00290F56"/>
    <w:rsid w:val="00297840"/>
    <w:rsid w:val="002B4BB2"/>
    <w:rsid w:val="002D34FE"/>
    <w:rsid w:val="00307092"/>
    <w:rsid w:val="003127B5"/>
    <w:rsid w:val="00323F3A"/>
    <w:rsid w:val="003613DA"/>
    <w:rsid w:val="00375441"/>
    <w:rsid w:val="0038199D"/>
    <w:rsid w:val="003B524B"/>
    <w:rsid w:val="003C038E"/>
    <w:rsid w:val="003D0906"/>
    <w:rsid w:val="003D1CAC"/>
    <w:rsid w:val="0041087B"/>
    <w:rsid w:val="00410F8E"/>
    <w:rsid w:val="004141B1"/>
    <w:rsid w:val="004317BC"/>
    <w:rsid w:val="00431AC2"/>
    <w:rsid w:val="00450FCD"/>
    <w:rsid w:val="00461A06"/>
    <w:rsid w:val="00464849"/>
    <w:rsid w:val="00464AE1"/>
    <w:rsid w:val="004970C4"/>
    <w:rsid w:val="004A1FE1"/>
    <w:rsid w:val="004B053F"/>
    <w:rsid w:val="004C4695"/>
    <w:rsid w:val="004D5EAB"/>
    <w:rsid w:val="004D64DD"/>
    <w:rsid w:val="004D7960"/>
    <w:rsid w:val="004E2A3A"/>
    <w:rsid w:val="004F4C27"/>
    <w:rsid w:val="00511FAE"/>
    <w:rsid w:val="00511FB6"/>
    <w:rsid w:val="0052296A"/>
    <w:rsid w:val="00546F00"/>
    <w:rsid w:val="00555B10"/>
    <w:rsid w:val="00560390"/>
    <w:rsid w:val="00560477"/>
    <w:rsid w:val="00570F3A"/>
    <w:rsid w:val="0058551F"/>
    <w:rsid w:val="00591FDF"/>
    <w:rsid w:val="005B3E9A"/>
    <w:rsid w:val="005C0435"/>
    <w:rsid w:val="005C06DB"/>
    <w:rsid w:val="005D1DEE"/>
    <w:rsid w:val="005F0265"/>
    <w:rsid w:val="00600DB8"/>
    <w:rsid w:val="00603B41"/>
    <w:rsid w:val="00603F8D"/>
    <w:rsid w:val="00605BD9"/>
    <w:rsid w:val="00623761"/>
    <w:rsid w:val="006601AF"/>
    <w:rsid w:val="00670385"/>
    <w:rsid w:val="00691A52"/>
    <w:rsid w:val="006A6D93"/>
    <w:rsid w:val="006B0B12"/>
    <w:rsid w:val="006D2DFC"/>
    <w:rsid w:val="006F5989"/>
    <w:rsid w:val="00703850"/>
    <w:rsid w:val="00722DF3"/>
    <w:rsid w:val="00735DEE"/>
    <w:rsid w:val="007406C7"/>
    <w:rsid w:val="00762996"/>
    <w:rsid w:val="007644BA"/>
    <w:rsid w:val="0077357C"/>
    <w:rsid w:val="007843CF"/>
    <w:rsid w:val="0079751A"/>
    <w:rsid w:val="007978CB"/>
    <w:rsid w:val="007A6974"/>
    <w:rsid w:val="007D4A23"/>
    <w:rsid w:val="007E04FB"/>
    <w:rsid w:val="00800852"/>
    <w:rsid w:val="00802309"/>
    <w:rsid w:val="00804BB7"/>
    <w:rsid w:val="008200BE"/>
    <w:rsid w:val="0086154B"/>
    <w:rsid w:val="008658B5"/>
    <w:rsid w:val="008711D6"/>
    <w:rsid w:val="0087596E"/>
    <w:rsid w:val="008843FB"/>
    <w:rsid w:val="008A0E6C"/>
    <w:rsid w:val="008A1D07"/>
    <w:rsid w:val="008A5565"/>
    <w:rsid w:val="008C679D"/>
    <w:rsid w:val="008D106B"/>
    <w:rsid w:val="008F2B1A"/>
    <w:rsid w:val="00903C94"/>
    <w:rsid w:val="00915CEA"/>
    <w:rsid w:val="009160D3"/>
    <w:rsid w:val="00942344"/>
    <w:rsid w:val="009426CC"/>
    <w:rsid w:val="00975C25"/>
    <w:rsid w:val="009C6C17"/>
    <w:rsid w:val="009D3DDA"/>
    <w:rsid w:val="009E197F"/>
    <w:rsid w:val="00A11685"/>
    <w:rsid w:val="00A1372C"/>
    <w:rsid w:val="00A17D08"/>
    <w:rsid w:val="00A25465"/>
    <w:rsid w:val="00A3221E"/>
    <w:rsid w:val="00A454F4"/>
    <w:rsid w:val="00A57E13"/>
    <w:rsid w:val="00A60361"/>
    <w:rsid w:val="00A62E59"/>
    <w:rsid w:val="00A7050F"/>
    <w:rsid w:val="00A74360"/>
    <w:rsid w:val="00A751A5"/>
    <w:rsid w:val="00A75A67"/>
    <w:rsid w:val="00A917C8"/>
    <w:rsid w:val="00A92B29"/>
    <w:rsid w:val="00A93147"/>
    <w:rsid w:val="00AA70C3"/>
    <w:rsid w:val="00AC48C3"/>
    <w:rsid w:val="00AD0D63"/>
    <w:rsid w:val="00AE2B2D"/>
    <w:rsid w:val="00AE778E"/>
    <w:rsid w:val="00B17D0B"/>
    <w:rsid w:val="00B20E15"/>
    <w:rsid w:val="00B25678"/>
    <w:rsid w:val="00B533DC"/>
    <w:rsid w:val="00B72399"/>
    <w:rsid w:val="00B7304B"/>
    <w:rsid w:val="00B855BD"/>
    <w:rsid w:val="00B97BF9"/>
    <w:rsid w:val="00BB25F2"/>
    <w:rsid w:val="00C35A85"/>
    <w:rsid w:val="00C41536"/>
    <w:rsid w:val="00C42DD1"/>
    <w:rsid w:val="00C474AE"/>
    <w:rsid w:val="00C53026"/>
    <w:rsid w:val="00C56B77"/>
    <w:rsid w:val="00C60ADB"/>
    <w:rsid w:val="00C63CEB"/>
    <w:rsid w:val="00C83664"/>
    <w:rsid w:val="00C900FF"/>
    <w:rsid w:val="00CA32F5"/>
    <w:rsid w:val="00CB7035"/>
    <w:rsid w:val="00CB7780"/>
    <w:rsid w:val="00CC12CA"/>
    <w:rsid w:val="00CC382A"/>
    <w:rsid w:val="00CC53F7"/>
    <w:rsid w:val="00D04C11"/>
    <w:rsid w:val="00D13998"/>
    <w:rsid w:val="00D13CA5"/>
    <w:rsid w:val="00D22B9D"/>
    <w:rsid w:val="00D334B0"/>
    <w:rsid w:val="00D472B6"/>
    <w:rsid w:val="00D47A99"/>
    <w:rsid w:val="00D50117"/>
    <w:rsid w:val="00D61F55"/>
    <w:rsid w:val="00D76089"/>
    <w:rsid w:val="00D94F82"/>
    <w:rsid w:val="00DB357E"/>
    <w:rsid w:val="00DC3C6C"/>
    <w:rsid w:val="00DD369A"/>
    <w:rsid w:val="00DF154A"/>
    <w:rsid w:val="00DF5B3F"/>
    <w:rsid w:val="00DF5CB5"/>
    <w:rsid w:val="00E0525B"/>
    <w:rsid w:val="00E64007"/>
    <w:rsid w:val="00E71AFE"/>
    <w:rsid w:val="00E944B2"/>
    <w:rsid w:val="00EA6ACC"/>
    <w:rsid w:val="00EB0C2F"/>
    <w:rsid w:val="00EB1D99"/>
    <w:rsid w:val="00EC144A"/>
    <w:rsid w:val="00EC32C5"/>
    <w:rsid w:val="00F212B2"/>
    <w:rsid w:val="00F362D7"/>
    <w:rsid w:val="00F36A5D"/>
    <w:rsid w:val="00F45EB4"/>
    <w:rsid w:val="00F812E3"/>
    <w:rsid w:val="00FA17DF"/>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D728C6"/>
  <w15:chartTrackingRefBased/>
  <w15:docId w15:val="{88C3EB59-860B-435D-80DE-3CAC9D1A1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link w:val="PrrafodelistaCar"/>
    <w:uiPriority w:val="34"/>
    <w:qFormat/>
    <w:rsid w:val="00F36A5D"/>
    <w:pPr>
      <w:ind w:left="708"/>
    </w:pPr>
  </w:style>
  <w:style w:type="character" w:customStyle="1" w:styleId="PrrafodelistaCar">
    <w:name w:val="Párrafo de lista Car"/>
    <w:link w:val="Prrafodelista"/>
    <w:uiPriority w:val="34"/>
    <w:locked/>
    <w:rsid w:val="003D0906"/>
    <w:rPr>
      <w:sz w:val="22"/>
      <w:szCs w:val="22"/>
      <w:lang w:eastAsia="en-US"/>
    </w:rPr>
  </w:style>
  <w:style w:type="character" w:styleId="Refdenotaalpie">
    <w:name w:val="footnote reference"/>
    <w:uiPriority w:val="99"/>
    <w:unhideWhenUsed/>
    <w:rsid w:val="003D0906"/>
    <w:rPr>
      <w:vertAlign w:val="superscript"/>
    </w:rPr>
  </w:style>
  <w:style w:type="paragraph" w:customStyle="1" w:styleId="PiedePgina0">
    <w:name w:val="Pie de Página"/>
    <w:basedOn w:val="Sinespaciado"/>
    <w:link w:val="PiedePginaCar0"/>
    <w:qFormat/>
    <w:rsid w:val="003D0906"/>
    <w:pPr>
      <w:spacing w:line="160" w:lineRule="atLeast"/>
    </w:pPr>
    <w:rPr>
      <w:rFonts w:eastAsia="Times New Roman"/>
      <w:bCs/>
      <w:sz w:val="16"/>
      <w:szCs w:val="16"/>
    </w:rPr>
  </w:style>
  <w:style w:type="character" w:customStyle="1" w:styleId="PiedePginaCar0">
    <w:name w:val="Pie de Página Car"/>
    <w:link w:val="PiedePgina0"/>
    <w:rsid w:val="003D0906"/>
    <w:rPr>
      <w:rFonts w:eastAsia="Times New Roman"/>
      <w:bCs/>
      <w:sz w:val="16"/>
      <w:szCs w:val="16"/>
      <w:lang w:eastAsia="en-US"/>
    </w:rPr>
  </w:style>
  <w:style w:type="paragraph" w:styleId="Textonotapie">
    <w:name w:val="footnote text"/>
    <w:basedOn w:val="Normal"/>
    <w:link w:val="TextonotapieCar"/>
    <w:uiPriority w:val="99"/>
    <w:semiHidden/>
    <w:unhideWhenUsed/>
    <w:rsid w:val="003D0906"/>
    <w:pPr>
      <w:spacing w:after="0" w:line="240" w:lineRule="auto"/>
      <w:jc w:val="both"/>
    </w:pPr>
    <w:rPr>
      <w:rFonts w:eastAsia="Times New Roman"/>
      <w:sz w:val="20"/>
      <w:szCs w:val="20"/>
    </w:rPr>
  </w:style>
  <w:style w:type="character" w:customStyle="1" w:styleId="TextonotapieCar">
    <w:name w:val="Texto nota pie Car"/>
    <w:link w:val="Textonotapie"/>
    <w:uiPriority w:val="99"/>
    <w:semiHidden/>
    <w:rsid w:val="003D0906"/>
    <w:rPr>
      <w:rFonts w:eastAsia="Times New Roman"/>
      <w:lang w:eastAsia="en-US"/>
    </w:rPr>
  </w:style>
  <w:style w:type="paragraph" w:styleId="Sinespaciado">
    <w:name w:val="No Spacing"/>
    <w:uiPriority w:val="99"/>
    <w:qFormat/>
    <w:rsid w:val="003D0906"/>
    <w:rPr>
      <w:sz w:val="22"/>
      <w:szCs w:val="22"/>
      <w:lang w:eastAsia="en-US"/>
    </w:rPr>
  </w:style>
  <w:style w:type="character" w:styleId="Textodelmarcadordeposicin">
    <w:name w:val="Placeholder Text"/>
    <w:uiPriority w:val="99"/>
    <w:rsid w:val="008A0E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repointift/uni/AppData/Local/Microsoft/Windows/INetCache/Content.Outlook/AppData/Local/Microsoft/Windows/AppData/Local/Microsoft/Windows/INetCache/Content.Outlook/V2UMOADR/www.inai.org.m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___________@ift.org.mx"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industria/consultas-publica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ijoc.org/index.php/ijoc/article/viewFile/670/388" TargetMode="External"/><Relationship Id="rId2" Type="http://schemas.openxmlformats.org/officeDocument/2006/relationships/hyperlink" Target="http://www.itu.int/es/publications/ITU-D/Pages/publications.aspx?parent=D-PREF-TTR.14-2013&amp;media=electronic" TargetMode="External"/><Relationship Id="rId1" Type="http://schemas.openxmlformats.org/officeDocument/2006/relationships/hyperlink" Target="http://www.itu.int/es/publications/ITU-D/Pages/publications.aspx?parent=D-PREF-TTR.14-2013&amp;media=electronic" TargetMode="External"/><Relationship Id="rId6" Type="http://schemas.openxmlformats.org/officeDocument/2006/relationships/hyperlink" Target="https://www.ftc.gov/tips-advice/competition-guidance/guide-antitrust-laws/single-firm-conduct/exclusive-supply-or" TargetMode="External"/><Relationship Id="rId5" Type="http://schemas.openxmlformats.org/officeDocument/2006/relationships/hyperlink" Target="http://www.itu.int/es/publications/ITU-D/Pages/publications.aspx?parent=D-PREF-TTR.14-2013&amp;media=electronic" TargetMode="External"/><Relationship Id="rId4" Type="http://schemas.openxmlformats.org/officeDocument/2006/relationships/hyperlink" Target="http://www.ift.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EB199AEAB04CC687D7D57E8C434C8C"/>
        <w:category>
          <w:name w:val="General"/>
          <w:gallery w:val="placeholder"/>
        </w:category>
        <w:types>
          <w:type w:val="bbPlcHdr"/>
        </w:types>
        <w:behaviors>
          <w:behavior w:val="content"/>
        </w:behaviors>
        <w:guid w:val="{02848D1F-F103-4DD1-965F-027F88272F90}"/>
      </w:docPartPr>
      <w:docPartBody>
        <w:p w:rsidR="0006053C" w:rsidRDefault="004F06F4" w:rsidP="004F06F4">
          <w:pPr>
            <w:pStyle w:val="56EB199AEAB04CC687D7D57E8C434C8C"/>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6F4"/>
    <w:rsid w:val="0006053C"/>
    <w:rsid w:val="000958AA"/>
    <w:rsid w:val="00371F0C"/>
    <w:rsid w:val="004F06F4"/>
    <w:rsid w:val="0052607B"/>
    <w:rsid w:val="008358AC"/>
    <w:rsid w:val="00BB520A"/>
    <w:rsid w:val="00E56C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F06F4"/>
    <w:rPr>
      <w:color w:val="808080"/>
    </w:rPr>
  </w:style>
  <w:style w:type="paragraph" w:customStyle="1" w:styleId="FDC9D3D59D094F578C001F614AB1EB60">
    <w:name w:val="FDC9D3D59D094F578C001F614AB1EB60"/>
    <w:rsid w:val="004F06F4"/>
  </w:style>
  <w:style w:type="paragraph" w:customStyle="1" w:styleId="C5D2B49FEAF34002BE753D6BDFF0B031">
    <w:name w:val="C5D2B49FEAF34002BE753D6BDFF0B031"/>
    <w:rsid w:val="004F06F4"/>
  </w:style>
  <w:style w:type="paragraph" w:customStyle="1" w:styleId="56EB199AEAB04CC687D7D57E8C434C8C">
    <w:name w:val="56EB199AEAB04CC687D7D57E8C434C8C"/>
    <w:rsid w:val="004F06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3.xml><?xml version="1.0" encoding="utf-8"?>
<ds:datastoreItem xmlns:ds="http://schemas.openxmlformats.org/officeDocument/2006/customXml" ds:itemID="{4631DD94-8D43-418C-84A4-3CE649A350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6FD4DA-611E-403A-8A22-29DA588CB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4337</Words>
  <Characters>23854</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28135</CharactersWithSpaces>
  <SharedDoc>false</SharedDoc>
  <HLinks>
    <vt:vector size="54" baseType="variant">
      <vt:variant>
        <vt:i4>5046362</vt:i4>
      </vt:variant>
      <vt:variant>
        <vt:i4>6</vt:i4>
      </vt:variant>
      <vt:variant>
        <vt:i4>0</vt:i4>
      </vt:variant>
      <vt:variant>
        <vt:i4>5</vt:i4>
      </vt:variant>
      <vt:variant>
        <vt:lpwstr>http://sharepointift/uni/AppData/Local/Microsoft/Windows/INetCache/Content.Outlook/AppData/Local/Microsoft/Windows/AppData/Local/Microsoft/Windows/INetCache/Content.Outlook/V2UMOADR/www.inai.org.mx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5308511</vt:i4>
      </vt:variant>
      <vt:variant>
        <vt:i4>15</vt:i4>
      </vt:variant>
      <vt:variant>
        <vt:i4>0</vt:i4>
      </vt:variant>
      <vt:variant>
        <vt:i4>5</vt:i4>
      </vt:variant>
      <vt:variant>
        <vt:lpwstr>https://www.ftc.gov/tips-advice/competition-guidance/guide-antitrust-laws/single-firm-conduct/exclusive-supply-or</vt:lpwstr>
      </vt:variant>
      <vt:variant>
        <vt:lpwstr/>
      </vt:variant>
      <vt:variant>
        <vt:i4>3997742</vt:i4>
      </vt:variant>
      <vt:variant>
        <vt:i4>12</vt:i4>
      </vt:variant>
      <vt:variant>
        <vt:i4>0</vt:i4>
      </vt:variant>
      <vt:variant>
        <vt:i4>5</vt:i4>
      </vt:variant>
      <vt:variant>
        <vt:lpwstr>http://www.itu.int/es/publications/ITU-D/Pages/publications.aspx?parent=D-PREF-TTR.14-2013&amp;media=electronic</vt:lpwstr>
      </vt:variant>
      <vt:variant>
        <vt:lpwstr/>
      </vt:variant>
      <vt:variant>
        <vt:i4>8126524</vt:i4>
      </vt:variant>
      <vt:variant>
        <vt:i4>9</vt:i4>
      </vt:variant>
      <vt:variant>
        <vt:i4>0</vt:i4>
      </vt:variant>
      <vt:variant>
        <vt:i4>5</vt:i4>
      </vt:variant>
      <vt:variant>
        <vt:lpwstr>http://www.ift.org.mx/</vt:lpwstr>
      </vt:variant>
      <vt:variant>
        <vt:lpwstr/>
      </vt:variant>
      <vt:variant>
        <vt:i4>3145771</vt:i4>
      </vt:variant>
      <vt:variant>
        <vt:i4>6</vt:i4>
      </vt:variant>
      <vt:variant>
        <vt:i4>0</vt:i4>
      </vt:variant>
      <vt:variant>
        <vt:i4>5</vt:i4>
      </vt:variant>
      <vt:variant>
        <vt:lpwstr>http://ijoc.org/index.php/ijoc/article/viewFile/670/388</vt:lpwstr>
      </vt:variant>
      <vt:variant>
        <vt:lpwstr/>
      </vt:variant>
      <vt:variant>
        <vt:i4>3997742</vt:i4>
      </vt:variant>
      <vt:variant>
        <vt:i4>3</vt:i4>
      </vt:variant>
      <vt:variant>
        <vt:i4>0</vt:i4>
      </vt:variant>
      <vt:variant>
        <vt:i4>5</vt:i4>
      </vt:variant>
      <vt:variant>
        <vt:lpwstr>http://www.itu.int/es/publications/ITU-D/Pages/publications.aspx?parent=D-PREF-TTR.14-2013&amp;media=electronic</vt:lpwstr>
      </vt:variant>
      <vt:variant>
        <vt:lpwstr/>
      </vt:variant>
      <vt:variant>
        <vt:i4>3997742</vt:i4>
      </vt:variant>
      <vt:variant>
        <vt:i4>0</vt:i4>
      </vt:variant>
      <vt:variant>
        <vt:i4>0</vt:i4>
      </vt:variant>
      <vt:variant>
        <vt:i4>5</vt:i4>
      </vt:variant>
      <vt:variant>
        <vt:lpwstr>http://www.itu.int/es/publications/ITU-D/Pages/publications.aspx?parent=D-PREF-TTR.14-2013&amp;media=electronic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CGMR</cp:lastModifiedBy>
  <cp:revision>2</cp:revision>
  <dcterms:created xsi:type="dcterms:W3CDTF">2020-06-01T20:42:00Z</dcterms:created>
  <dcterms:modified xsi:type="dcterms:W3CDTF">2020-06-01T20:42:00Z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