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DD369A" w:rsidRPr="00D04C11">
        <w:rPr>
          <w:rFonts w:ascii="ITC Avant Garde" w:hAnsi="ITC Avant Garde"/>
          <w:b/>
          <w:sz w:val="14"/>
          <w:szCs w:val="14"/>
          <w:u w:val="single"/>
        </w:rPr>
        <w:t>gestiondetrafico</w:t>
      </w:r>
      <w:r w:rsidR="004D5EAB" w:rsidRPr="00D04C11">
        <w:rPr>
          <w:rFonts w:ascii="ITC Avant Garde" w:hAnsi="ITC Avant Garde"/>
          <w:b/>
          <w:sz w:val="14"/>
          <w:szCs w:val="14"/>
          <w:u w:val="single"/>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691A52">
        <w:rPr>
          <w:rFonts w:ascii="ITC Avant Garde" w:hAnsi="ITC Avant Garde"/>
          <w:b/>
          <w:sz w:val="14"/>
          <w:szCs w:val="14"/>
          <w:u w:val="single"/>
        </w:rPr>
        <w:t>18</w:t>
      </w:r>
      <w:r w:rsidR="00EB0C2F" w:rsidRPr="00D04C11">
        <w:rPr>
          <w:rFonts w:ascii="ITC Avant Garde" w:hAnsi="ITC Avant Garde"/>
          <w:b/>
          <w:sz w:val="14"/>
          <w:szCs w:val="14"/>
          <w:u w:val="single"/>
        </w:rPr>
        <w:t xml:space="preserve"> </w:t>
      </w:r>
      <w:r w:rsidR="008C679D" w:rsidRPr="00D04C11">
        <w:rPr>
          <w:rFonts w:ascii="ITC Avant Garde" w:hAnsi="ITC Avant Garde"/>
          <w:b/>
          <w:sz w:val="14"/>
          <w:szCs w:val="14"/>
          <w:u w:val="single"/>
        </w:rPr>
        <w:t xml:space="preserve">de </w:t>
      </w:r>
      <w:r w:rsidR="00EB0C2F" w:rsidRPr="00D04C11">
        <w:rPr>
          <w:rFonts w:ascii="ITC Avant Garde" w:hAnsi="ITC Avant Garde"/>
          <w:b/>
          <w:sz w:val="14"/>
          <w:szCs w:val="14"/>
          <w:u w:val="single"/>
        </w:rPr>
        <w:t xml:space="preserve">diciembre de 2019 </w:t>
      </w:r>
      <w:r w:rsidR="000D2838" w:rsidRPr="00D04C11">
        <w:rPr>
          <w:rFonts w:ascii="ITC Avant Garde" w:hAnsi="ITC Avant Garde"/>
          <w:b/>
          <w:sz w:val="14"/>
          <w:szCs w:val="14"/>
          <w:u w:val="single"/>
        </w:rPr>
        <w:t>al</w:t>
      </w:r>
      <w:r w:rsidR="00691A52">
        <w:rPr>
          <w:rFonts w:ascii="ITC Avant Garde" w:hAnsi="ITC Avant Garde"/>
          <w:b/>
          <w:sz w:val="14"/>
          <w:szCs w:val="14"/>
          <w:u w:val="single"/>
        </w:rPr>
        <w:t xml:space="preserve"> 06</w:t>
      </w:r>
      <w:bookmarkStart w:id="0" w:name="_GoBack"/>
      <w:bookmarkEnd w:id="0"/>
      <w:r w:rsidR="000D2838" w:rsidRPr="00D04C11">
        <w:rPr>
          <w:rFonts w:ascii="ITC Avant Garde" w:hAnsi="ITC Avant Garde"/>
          <w:b/>
          <w:sz w:val="14"/>
          <w:szCs w:val="14"/>
          <w:u w:val="single"/>
        </w:rPr>
        <w:t xml:space="preserve"> de </w:t>
      </w:r>
      <w:r w:rsidR="00076A8C" w:rsidRPr="00D04C11">
        <w:rPr>
          <w:rFonts w:ascii="ITC Avant Garde" w:hAnsi="ITC Avant Garde"/>
          <w:b/>
          <w:sz w:val="14"/>
          <w:szCs w:val="14"/>
          <w:u w:val="single"/>
        </w:rPr>
        <w:t>marzo</w:t>
      </w:r>
      <w:r w:rsidR="00EB0C2F" w:rsidRPr="00D04C11">
        <w:rPr>
          <w:rFonts w:ascii="ITC Avant Garde" w:hAnsi="ITC Avant Garde"/>
          <w:b/>
          <w:sz w:val="14"/>
          <w:szCs w:val="14"/>
          <w:u w:val="single"/>
        </w:rPr>
        <w:t xml:space="preserve"> </w:t>
      </w:r>
      <w:r w:rsidR="000D2838" w:rsidRPr="00D04C11">
        <w:rPr>
          <w:rFonts w:ascii="ITC Avant Garde" w:hAnsi="ITC Avant Garde"/>
          <w:b/>
          <w:sz w:val="14"/>
          <w:szCs w:val="14"/>
          <w:u w:val="single"/>
        </w:rPr>
        <w:t>de 20</w:t>
      </w:r>
      <w:r w:rsidR="00EB0C2F" w:rsidRPr="00D04C11">
        <w:rPr>
          <w:rFonts w:ascii="ITC Avant Garde" w:hAnsi="ITC Avant Garde"/>
          <w:b/>
          <w:sz w:val="14"/>
          <w:szCs w:val="14"/>
          <w:u w:val="single"/>
        </w:rPr>
        <w:t>20</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EB0C2F">
        <w:rPr>
          <w:rFonts w:ascii="ITC Avant Garde" w:hAnsi="ITC Avant Garde"/>
          <w:sz w:val="14"/>
          <w:szCs w:val="14"/>
        </w:rPr>
        <w:t>María Isabel Reza Meneses</w:t>
      </w:r>
      <w:r w:rsidR="00EB0C2F" w:rsidRPr="00F36A5D">
        <w:rPr>
          <w:rFonts w:ascii="ITC Avant Garde" w:hAnsi="ITC Avant Garde"/>
          <w:sz w:val="14"/>
          <w:szCs w:val="14"/>
        </w:rPr>
        <w:t xml:space="preserve">, </w:t>
      </w:r>
      <w:r w:rsidR="00EB0C2F">
        <w:rPr>
          <w:rFonts w:ascii="ITC Avant Garde" w:hAnsi="ITC Avant Garde"/>
          <w:sz w:val="14"/>
          <w:szCs w:val="14"/>
        </w:rPr>
        <w:t>Directora de Desarrollo Digital,</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EB0C2F">
          <w:rPr>
            <w:rStyle w:val="Hipervnculo"/>
            <w:rFonts w:ascii="ITC Avant Garde" w:hAnsi="ITC Avant Garde"/>
            <w:sz w:val="14"/>
            <w:szCs w:val="14"/>
          </w:rPr>
          <w:t>maria.reza</w:t>
        </w:r>
        <w:r w:rsidR="00EB0C2F" w:rsidRPr="00F36A5D">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EB0C2F" w:rsidRPr="003D0906">
        <w:rPr>
          <w:rFonts w:ascii="ITC Avant Garde" w:hAnsi="ITC Avant Garde"/>
          <w:sz w:val="14"/>
          <w:szCs w:val="14"/>
        </w:rPr>
        <w:t>2495</w:t>
      </w:r>
      <w:r w:rsidR="0038199D" w:rsidRPr="003D0906">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8A0E6C" w:rsidRPr="00F36A5D" w:rsidTr="00297840">
        <w:trPr>
          <w:trHeight w:val="523"/>
          <w:jc w:val="center"/>
        </w:trPr>
        <w:tc>
          <w:tcPr>
            <w:tcW w:w="4679" w:type="dxa"/>
            <w:shd w:val="clear" w:color="auto" w:fill="C5E0B3"/>
            <w:vAlign w:val="center"/>
            <w:hideMark/>
          </w:tcPr>
          <w:p w:rsidR="008A0E6C" w:rsidRPr="00F36A5D" w:rsidRDefault="008A0E6C" w:rsidP="008A0E6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8A0E6C" w:rsidRPr="00F36A5D" w:rsidRDefault="008A0E6C" w:rsidP="008A0E6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rsidR="008A0E6C" w:rsidRPr="00F36A5D" w:rsidRDefault="00054FB1" w:rsidP="008A0E6C">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56EB199AEAB04CC687D7D57E8C434C8C"/>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8A0E6C" w:rsidRPr="00DC3C6C">
                  <w:rPr>
                    <w:rStyle w:val="Textodelmarcadordeposicin"/>
                    <w:rFonts w:ascii="Century Gothic" w:hAnsi="Century Gothic"/>
                    <w:sz w:val="20"/>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D04C11">
              <w:rPr>
                <w:rFonts w:ascii="ITC Avant Garde" w:eastAsia="Times New Roman" w:hAnsi="ITC Avant Garde"/>
                <w:color w:val="000000"/>
                <w:sz w:val="14"/>
                <w:szCs w:val="16"/>
                <w:lang w:eastAsia="es-MX"/>
              </w:rPr>
              <w:t>Lorena Velá</w:t>
            </w:r>
            <w:r w:rsidR="003D0906">
              <w:rPr>
                <w:rFonts w:ascii="ITC Avant Garde" w:eastAsia="Times New Roman" w:hAnsi="ITC Avant Garde"/>
                <w:color w:val="000000"/>
                <w:sz w:val="14"/>
                <w:szCs w:val="16"/>
                <w:lang w:eastAsia="es-MX"/>
              </w:rPr>
              <w:t>zquez López, Subdirectora de Desarrollo Digital 2</w:t>
            </w:r>
            <w:r w:rsidRPr="00F36A5D">
              <w:rPr>
                <w:rFonts w:ascii="ITC Avant Garde" w:eastAsia="Times New Roman" w:hAnsi="ITC Avant Garde"/>
                <w:color w:val="000000"/>
                <w:sz w:val="14"/>
                <w:szCs w:val="16"/>
                <w:lang w:eastAsia="es-MX"/>
              </w:rPr>
              <w:t xml:space="preserve"> y </w:t>
            </w:r>
            <w:r w:rsidR="003D0906">
              <w:rPr>
                <w:rFonts w:ascii="ITC Avant Garde" w:eastAsia="Times New Roman" w:hAnsi="ITC Avant Garde"/>
                <w:color w:val="000000"/>
                <w:sz w:val="14"/>
                <w:szCs w:val="16"/>
                <w:lang w:eastAsia="es-MX"/>
              </w:rPr>
              <w:t>Edwin Andrés Montes de Oca Pérez</w:t>
            </w:r>
            <w:r w:rsidR="00D04C11">
              <w:rPr>
                <w:rFonts w:ascii="ITC Avant Garde" w:eastAsia="Times New Roman" w:hAnsi="ITC Avant Garde"/>
                <w:color w:val="000000"/>
                <w:sz w:val="14"/>
                <w:szCs w:val="16"/>
                <w:lang w:eastAsia="es-MX"/>
              </w:rPr>
              <w:t>, Subdirector de Desarrollo Digital 1</w:t>
            </w:r>
            <w:r w:rsidR="003D0906">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correo electrónico: </w:t>
            </w:r>
            <w:r w:rsidR="003D0906" w:rsidRPr="00D04C11">
              <w:rPr>
                <w:rFonts w:ascii="ITC Avant Garde" w:eastAsia="Times New Roman" w:hAnsi="ITC Avant Garde"/>
                <w:b/>
                <w:color w:val="000000"/>
                <w:sz w:val="14"/>
                <w:szCs w:val="16"/>
                <w:lang w:eastAsia="es-MX"/>
              </w:rPr>
              <w:t>lorena.velazquez@</w:t>
            </w:r>
            <w:r w:rsidRPr="00D04C11">
              <w:rPr>
                <w:rFonts w:ascii="ITC Avant Garde" w:eastAsia="Times New Roman" w:hAnsi="ITC Avant Garde"/>
                <w:b/>
                <w:color w:val="000000"/>
                <w:sz w:val="14"/>
                <w:szCs w:val="16"/>
                <w:lang w:eastAsia="es-MX"/>
              </w:rPr>
              <w:t>ift.org.mx</w:t>
            </w:r>
            <w:r w:rsidRPr="00F36A5D">
              <w:rPr>
                <w:rFonts w:ascii="ITC Avant Garde" w:eastAsia="Times New Roman" w:hAnsi="ITC Avant Garde"/>
                <w:color w:val="000000"/>
                <w:sz w:val="14"/>
                <w:szCs w:val="16"/>
                <w:lang w:eastAsia="es-MX"/>
              </w:rPr>
              <w:t xml:space="preserve"> y </w:t>
            </w:r>
            <w:r w:rsidR="003D0906" w:rsidRPr="00D04C11">
              <w:rPr>
                <w:rFonts w:ascii="ITC Avant Garde" w:eastAsia="Times New Roman" w:hAnsi="ITC Avant Garde"/>
                <w:b/>
                <w:color w:val="000000"/>
                <w:sz w:val="14"/>
                <w:szCs w:val="16"/>
                <w:lang w:eastAsia="es-MX"/>
              </w:rPr>
              <w:t>edwin.montesdeoca</w:t>
            </w:r>
            <w:r w:rsidRPr="00D04C11">
              <w:rPr>
                <w:rFonts w:ascii="ITC Avant Garde" w:eastAsia="Times New Roman" w:hAnsi="ITC Avant Garde"/>
                <w:b/>
                <w:color w:val="000000"/>
                <w:sz w:val="14"/>
                <w:szCs w:val="16"/>
                <w:lang w:eastAsia="es-MX"/>
              </w:rPr>
              <w:t>@ift.org.mx</w:t>
            </w:r>
            <w:r w:rsidRPr="00F36A5D">
              <w:rPr>
                <w:rFonts w:ascii="ITC Avant Garde" w:eastAsia="Times New Roman" w:hAnsi="ITC Avant Garde"/>
                <w:color w:val="000000"/>
                <w:sz w:val="14"/>
                <w:szCs w:val="16"/>
                <w:lang w:eastAsia="es-MX"/>
              </w:rPr>
              <w:t xml:space="preserve"> y 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4000 extensión </w:t>
            </w:r>
            <w:r w:rsidR="003D0906">
              <w:rPr>
                <w:rFonts w:ascii="ITC Avant Garde" w:eastAsia="Times New Roman" w:hAnsi="ITC Avant Garde"/>
                <w:color w:val="000000"/>
                <w:sz w:val="14"/>
                <w:szCs w:val="16"/>
                <w:lang w:eastAsia="es-MX"/>
              </w:rPr>
              <w:t>4392</w:t>
            </w:r>
            <w:r w:rsidR="003D0906"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y </w:t>
            </w:r>
            <w:r w:rsidR="003D0906">
              <w:rPr>
                <w:rFonts w:ascii="ITC Avant Garde" w:eastAsia="Times New Roman" w:hAnsi="ITC Avant Garde"/>
                <w:color w:val="000000"/>
                <w:sz w:val="14"/>
                <w:szCs w:val="16"/>
                <w:lang w:eastAsia="es-MX"/>
              </w:rPr>
              <w:t>4411</w:t>
            </w:r>
            <w:r w:rsidRPr="00F36A5D">
              <w:rPr>
                <w:rFonts w:ascii="ITC Avant Garde" w:eastAsia="Times New Roman" w:hAnsi="ITC Avant Garde"/>
                <w:color w:val="000000"/>
                <w:sz w:val="14"/>
                <w:szCs w:val="16"/>
                <w:lang w:eastAsia="es-MX"/>
              </w:rPr>
              <w:t xml:space="preserve">, respectivamente,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3"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8A0E6C">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8A0E6C">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8A0E6C">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8A0E6C">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8A0E6C">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Default="00DF154A" w:rsidP="00170916">
      <w:pPr>
        <w:spacing w:after="0"/>
        <w:jc w:val="both"/>
        <w:rPr>
          <w:rFonts w:ascii="ITC Avant Garde" w:hAnsi="ITC Avant Garde"/>
          <w:sz w:val="16"/>
        </w:rPr>
      </w:pPr>
    </w:p>
    <w:p w:rsidR="003D0906" w:rsidRDefault="003D0906" w:rsidP="003D0906">
      <w:pPr>
        <w:spacing w:after="0"/>
        <w:jc w:val="center"/>
        <w:rPr>
          <w:rFonts w:ascii="Century Gothic" w:hAnsi="Century Gothic"/>
          <w:b/>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120" w:line="240" w:lineRule="auto"/>
        <w:jc w:val="both"/>
        <w:rPr>
          <w:rFonts w:ascii="ITC Avant Garde" w:hAnsi="ITC Avant Garde"/>
          <w:b/>
        </w:rPr>
      </w:pPr>
      <w:r>
        <w:rPr>
          <w:rFonts w:ascii="ITC Avant Garde" w:hAnsi="ITC Avant Garde"/>
          <w:b/>
        </w:rPr>
        <w:lastRenderedPageBreak/>
        <w:t>DOCUMENTO DE PREGUNTAS ABIERTAS SOBRE TEMAS RELEVANTES</w:t>
      </w:r>
    </w:p>
    <w:p w:rsidR="003D0906" w:rsidRDefault="003D0906" w:rsidP="003D0906">
      <w:pPr>
        <w:pBdr>
          <w:bottom w:val="single" w:sz="6" w:space="0" w:color="auto"/>
        </w:pBdr>
        <w:spacing w:after="120" w:line="240" w:lineRule="auto"/>
        <w:rPr>
          <w:rFonts w:ascii="ITC Avant Garde" w:hAnsi="ITC Avant Garde"/>
          <w:b/>
        </w:rPr>
      </w:pPr>
    </w:p>
    <w:p w:rsidR="003D0906" w:rsidRPr="00B3058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B30587">
        <w:rPr>
          <w:rFonts w:ascii="ITC Avant Garde" w:hAnsi="ITC Avant Garde"/>
          <w:b/>
        </w:rPr>
        <w:t>GESTIÓN DE TRÁFICO</w:t>
      </w:r>
    </w:p>
    <w:p w:rsidR="003D0906" w:rsidRPr="00DA7F99" w:rsidRDefault="003D0906" w:rsidP="003D0906">
      <w:pPr>
        <w:spacing w:after="120" w:line="240" w:lineRule="auto"/>
        <w:jc w:val="both"/>
        <w:rPr>
          <w:rFonts w:ascii="ITC Avant Garde" w:hAnsi="ITC Avant Garde"/>
          <w:b/>
          <w:i/>
        </w:rPr>
      </w:pPr>
      <w:r w:rsidRPr="00DA7F99">
        <w:rPr>
          <w:rFonts w:ascii="ITC Avant Garde" w:hAnsi="ITC Avant Garde"/>
          <w:b/>
          <w:i/>
        </w:rPr>
        <w:t>Contexto</w:t>
      </w:r>
    </w:p>
    <w:p w:rsidR="003D0906" w:rsidRDefault="003D0906" w:rsidP="003D0906">
      <w:pPr>
        <w:spacing w:after="120" w:line="240" w:lineRule="auto"/>
        <w:jc w:val="both"/>
        <w:rPr>
          <w:rFonts w:ascii="ITC Avant Garde" w:eastAsia="Times New Roman" w:hAnsi="ITC Avant Garde"/>
        </w:rPr>
      </w:pPr>
    </w:p>
    <w:p w:rsidR="003D0906" w:rsidRPr="007824BA" w:rsidRDefault="003D0906" w:rsidP="003D0906">
      <w:pPr>
        <w:spacing w:after="120" w:line="240" w:lineRule="auto"/>
        <w:jc w:val="both"/>
        <w:rPr>
          <w:rFonts w:ascii="ITC Avant Garde" w:eastAsia="Times New Roman" w:hAnsi="ITC Avant Garde"/>
        </w:rPr>
      </w:pPr>
      <w:r>
        <w:rPr>
          <w:rFonts w:ascii="ITC Avant Garde" w:eastAsia="Times New Roman" w:hAnsi="ITC Avant Garde"/>
        </w:rPr>
        <w:t xml:space="preserve">Diversos estudios prevén que el tráfico IP mundial crecerá exponencialmente durante los siguientes años, </w:t>
      </w:r>
      <w:r w:rsidRPr="00373FC6">
        <w:rPr>
          <w:rFonts w:ascii="ITC Avant Garde" w:eastAsia="Times New Roman" w:hAnsi="ITC Avant Garde"/>
        </w:rPr>
        <w:t>provoca</w:t>
      </w:r>
      <w:r>
        <w:rPr>
          <w:rFonts w:ascii="ITC Avant Garde" w:eastAsia="Times New Roman" w:hAnsi="ITC Avant Garde"/>
        </w:rPr>
        <w:t>n</w:t>
      </w:r>
      <w:r w:rsidRPr="00373FC6">
        <w:rPr>
          <w:rFonts w:ascii="ITC Avant Garde" w:eastAsia="Times New Roman" w:hAnsi="ITC Avant Garde"/>
        </w:rPr>
        <w:t xml:space="preserve">do </w:t>
      </w:r>
      <w:r>
        <w:rPr>
          <w:rFonts w:ascii="ITC Avant Garde" w:eastAsia="Times New Roman" w:hAnsi="ITC Avant Garde"/>
        </w:rPr>
        <w:t>congestión en</w:t>
      </w:r>
      <w:r w:rsidRPr="00373FC6">
        <w:rPr>
          <w:rFonts w:ascii="ITC Avant Garde" w:eastAsia="Times New Roman" w:hAnsi="ITC Avant Garde"/>
        </w:rPr>
        <w:t xml:space="preserve"> las </w:t>
      </w:r>
      <w:r>
        <w:rPr>
          <w:rFonts w:ascii="ITC Avant Garde" w:eastAsia="Times New Roman" w:hAnsi="ITC Avant Garde"/>
        </w:rPr>
        <w:t xml:space="preserve">redes y </w:t>
      </w:r>
      <w:r w:rsidRPr="00373FC6">
        <w:rPr>
          <w:rFonts w:ascii="ITC Avant Garde" w:eastAsia="Times New Roman" w:hAnsi="ITC Avant Garde"/>
        </w:rPr>
        <w:t>haciendo necesaria la implementación de diversas medidas de gestión de tráfico y administración de red.</w:t>
      </w:r>
      <w:r>
        <w:rPr>
          <w:rStyle w:val="Refdenotaalpie"/>
          <w:rFonts w:ascii="ITC Avant Garde" w:eastAsia="Times New Roman" w:hAnsi="ITC Avant Garde"/>
        </w:rPr>
        <w:footnoteReference w:id="1"/>
      </w:r>
      <w:r>
        <w:rPr>
          <w:rFonts w:ascii="ITC Avant Garde" w:eastAsia="Times New Roman" w:hAnsi="ITC Avant Garde"/>
        </w:rPr>
        <w:t xml:space="preserve"> </w:t>
      </w:r>
      <w:r w:rsidRPr="003A53BE">
        <w:rPr>
          <w:rFonts w:ascii="ITC Avant Garde" w:eastAsia="Times New Roman" w:hAnsi="ITC Avant Garde"/>
          <w:bCs/>
        </w:rPr>
        <w:t xml:space="preserve">De acuerdo </w:t>
      </w:r>
      <w:r>
        <w:rPr>
          <w:rFonts w:ascii="ITC Avant Garde" w:eastAsia="Times New Roman" w:hAnsi="ITC Avant Garde"/>
          <w:bCs/>
        </w:rPr>
        <w:t xml:space="preserve">a un informe </w:t>
      </w:r>
      <w:r w:rsidRPr="003A53BE">
        <w:rPr>
          <w:rFonts w:ascii="ITC Avant Garde" w:eastAsia="Times New Roman" w:hAnsi="ITC Avant Garde"/>
          <w:bCs/>
        </w:rPr>
        <w:t>realizado por CISCO,</w:t>
      </w:r>
      <w:r>
        <w:rPr>
          <w:rFonts w:ascii="ITC Avant Garde" w:eastAsia="Times New Roman" w:hAnsi="ITC Avant Garde"/>
          <w:bCs/>
        </w:rPr>
        <w:t xml:space="preserve"> el tráfico de Internet, a nivel mundial, llegará a 366 exabytes (EB) per cápita en 2022</w:t>
      </w:r>
      <w:r w:rsidRPr="008337D5">
        <w:rPr>
          <w:rFonts w:ascii="ITC Avant Garde" w:eastAsia="Times New Roman" w:hAnsi="ITC Avant Garde"/>
          <w:bCs/>
        </w:rPr>
        <w:t>, frente</w:t>
      </w:r>
      <w:r>
        <w:rPr>
          <w:rFonts w:ascii="ITC Avant Garde" w:eastAsia="Times New Roman" w:hAnsi="ITC Avant Garde"/>
          <w:bCs/>
        </w:rPr>
        <w:t xml:space="preserve"> a los 122 EB per cápita en 2017.</w:t>
      </w:r>
      <w:r w:rsidRPr="00484693">
        <w:rPr>
          <w:rStyle w:val="Refdenotaalpie"/>
        </w:rPr>
        <w:footnoteReference w:id="2"/>
      </w:r>
      <w:r w:rsidRPr="00484693" w:rsidDel="00B87AEA">
        <w:rPr>
          <w:rFonts w:ascii="ITC Avant Garde" w:hAnsi="ITC Avant Garde"/>
        </w:rPr>
        <w:t xml:space="preserve"> </w:t>
      </w:r>
    </w:p>
    <w:p w:rsidR="003D0906" w:rsidRPr="002266A8" w:rsidRDefault="003D0906" w:rsidP="003D0906">
      <w:pPr>
        <w:spacing w:after="120" w:line="240" w:lineRule="auto"/>
        <w:jc w:val="both"/>
        <w:rPr>
          <w:rFonts w:ascii="ITC Avant Garde" w:eastAsia="Times New Roman" w:hAnsi="ITC Avant Garde"/>
          <w:bCs/>
        </w:rPr>
      </w:pPr>
      <w:r>
        <w:rPr>
          <w:rFonts w:ascii="ITC Avant Garde" w:eastAsia="Times New Roman" w:hAnsi="ITC Avant Garde" w:cs="Arial"/>
          <w:bCs/>
          <w:lang w:eastAsia="es-MX"/>
        </w:rPr>
        <w:t xml:space="preserve">Por otra parte, existen amenazas cotidianas a la seguridad e integridad de las redes que pueden poner en riesgo la continuidad y funcionamiento del servicio de acceso a Internet, así como la </w:t>
      </w:r>
      <w:r w:rsidRPr="00BC492A">
        <w:rPr>
          <w:rFonts w:ascii="ITC Avant Garde" w:eastAsia="Times New Roman" w:hAnsi="ITC Avant Garde" w:cs="Arial"/>
          <w:bCs/>
          <w:lang w:eastAsia="es-MX"/>
        </w:rPr>
        <w:t>pri</w:t>
      </w:r>
      <w:r>
        <w:rPr>
          <w:rFonts w:ascii="ITC Avant Garde" w:eastAsia="Times New Roman" w:hAnsi="ITC Avant Garde" w:cs="Arial"/>
          <w:bCs/>
          <w:lang w:eastAsia="es-MX"/>
        </w:rPr>
        <w:t>vacidad de los usuarios finales. Dichos riesgos requieren ser enfrentados en tiempo real por los prestadores del s</w:t>
      </w:r>
      <w:r w:rsidRPr="002D0282">
        <w:rPr>
          <w:rFonts w:ascii="ITC Avant Garde" w:eastAsia="Times New Roman" w:hAnsi="ITC Avant Garde" w:cs="Arial"/>
          <w:bCs/>
          <w:lang w:eastAsia="es-MX"/>
        </w:rPr>
        <w:t xml:space="preserve">ervicio de acceso a </w:t>
      </w:r>
      <w:r w:rsidRPr="002266A8">
        <w:rPr>
          <w:rFonts w:ascii="ITC Avant Garde" w:eastAsia="Times New Roman" w:hAnsi="ITC Avant Garde" w:cs="Arial"/>
          <w:bCs/>
          <w:lang w:eastAsia="es-MX"/>
        </w:rPr>
        <w:t xml:space="preserve">Internet (en lo sucesivo PSI). </w:t>
      </w:r>
    </w:p>
    <w:p w:rsidR="003D0906" w:rsidRDefault="003D0906" w:rsidP="003D0906">
      <w:pPr>
        <w:spacing w:after="120" w:line="240" w:lineRule="auto"/>
        <w:jc w:val="both"/>
        <w:rPr>
          <w:rFonts w:ascii="ITC Avant Garde" w:eastAsia="Times New Roman" w:hAnsi="ITC Avant Garde"/>
        </w:rPr>
      </w:pPr>
      <w:r w:rsidRPr="002266A8">
        <w:rPr>
          <w:rFonts w:ascii="ITC Avant Garde" w:eastAsia="Times New Roman" w:hAnsi="ITC Avant Garde"/>
        </w:rPr>
        <w:t>La gestión de tráfico y administración de red se refiere al conjunto de técnicas que permiten a los ISP la clasificación de tráfico, la implementación de calidad en el servicio (QoS por sus siglas en inglés) para aplicaciones en tiempo real y la diferenciación de categorías de tráfico.</w:t>
      </w:r>
      <w:r w:rsidRPr="002266A8">
        <w:rPr>
          <w:rStyle w:val="Refdenotaalpie"/>
          <w:rFonts w:ascii="ITC Avant Garde" w:eastAsia="Times New Roman" w:hAnsi="ITC Avant Garde"/>
        </w:rPr>
        <w:footnoteReference w:id="3"/>
      </w:r>
      <w:r w:rsidRPr="002266A8">
        <w:rPr>
          <w:rFonts w:ascii="ITC Avant Garde" w:eastAsia="Times New Roman" w:hAnsi="ITC Avant Garde"/>
        </w:rPr>
        <w:t xml:space="preserve"> Este tipo de medidas o acciones son comúnmente consideradas razonables por los órganos reguladores cuando se realizan con el fin de optimizar el manejo de tráfico de una red</w:t>
      </w:r>
      <w:r w:rsidRPr="003A53BE">
        <w:rPr>
          <w:rFonts w:ascii="ITC Avant Garde" w:eastAsia="Times New Roman" w:hAnsi="ITC Avant Garde"/>
        </w:rPr>
        <w:t xml:space="preserve"> o para hacer una mejor planeación de la inversión en infr</w:t>
      </w:r>
      <w:r>
        <w:rPr>
          <w:rFonts w:ascii="ITC Avant Garde" w:eastAsia="Times New Roman" w:hAnsi="ITC Avant Garde"/>
        </w:rPr>
        <w:t>aestructura que requiere un PSI</w:t>
      </w:r>
      <w:r w:rsidRPr="003A53BE">
        <w:rPr>
          <w:rFonts w:ascii="ITC Avant Garde" w:eastAsia="Times New Roman" w:hAnsi="ITC Avant Garde"/>
        </w:rPr>
        <w:t xml:space="preserve"> </w:t>
      </w:r>
      <w:r>
        <w:rPr>
          <w:rFonts w:ascii="ITC Avant Garde" w:eastAsia="Times New Roman" w:hAnsi="ITC Avant Garde"/>
        </w:rPr>
        <w:t>a fin de</w:t>
      </w:r>
      <w:r w:rsidRPr="003A53BE">
        <w:rPr>
          <w:rFonts w:ascii="ITC Avant Garde" w:eastAsia="Times New Roman" w:hAnsi="ITC Avant Garde"/>
        </w:rPr>
        <w:t xml:space="preserve"> satisfacer su demanda y hacer frente </w:t>
      </w:r>
      <w:r>
        <w:rPr>
          <w:rFonts w:ascii="ITC Avant Garde" w:eastAsia="Times New Roman" w:hAnsi="ITC Avant Garde"/>
        </w:rPr>
        <w:t>a la creciente demanda y posible</w:t>
      </w:r>
      <w:r w:rsidRPr="003A53BE">
        <w:rPr>
          <w:rFonts w:ascii="ITC Avant Garde" w:eastAsia="Times New Roman" w:hAnsi="ITC Avant Garde"/>
        </w:rPr>
        <w:t xml:space="preserve"> congestión de red</w:t>
      </w:r>
      <w:r w:rsidRPr="003A53BE">
        <w:rPr>
          <w:rFonts w:ascii="ITC Avant Garde" w:eastAsia="Times New Roman" w:hAnsi="ITC Avant Garde"/>
          <w:vertAlign w:val="superscript"/>
        </w:rPr>
        <w:footnoteReference w:id="4"/>
      </w:r>
      <w:r w:rsidRPr="003A53BE">
        <w:rPr>
          <w:rFonts w:ascii="ITC Avant Garde" w:eastAsia="Times New Roman" w:hAnsi="ITC Avant Garde"/>
        </w:rPr>
        <w:t>.</w:t>
      </w:r>
    </w:p>
    <w:p w:rsidR="003D0906" w:rsidRDefault="003D0906" w:rsidP="003D0906">
      <w:pPr>
        <w:spacing w:after="120" w:line="240" w:lineRule="auto"/>
        <w:jc w:val="both"/>
        <w:rPr>
          <w:rFonts w:ascii="ITC Avant Garde" w:eastAsia="Times New Roman" w:hAnsi="ITC Avant Garde" w:cs="Arial"/>
          <w:bCs/>
          <w:lang w:eastAsia="es-MX"/>
        </w:rPr>
      </w:pPr>
    </w:p>
    <w:p w:rsidR="003D0906" w:rsidRDefault="003D0906" w:rsidP="003D0906">
      <w:pPr>
        <w:spacing w:after="120" w:line="240" w:lineRule="auto"/>
        <w:jc w:val="both"/>
        <w:rPr>
          <w:rFonts w:ascii="ITC Avant Garde" w:eastAsia="Times New Roman" w:hAnsi="ITC Avant Garde" w:cs="Arial"/>
          <w:bCs/>
          <w:lang w:eastAsia="es-MX"/>
        </w:rPr>
      </w:pPr>
    </w:p>
    <w:p w:rsidR="003D0906" w:rsidRDefault="003D0906" w:rsidP="003D0906">
      <w:pPr>
        <w:spacing w:after="120" w:line="240" w:lineRule="auto"/>
        <w:jc w:val="both"/>
        <w:rPr>
          <w:rFonts w:ascii="ITC Avant Garde" w:eastAsia="Times New Roman" w:hAnsi="ITC Avant Garde" w:cs="Arial"/>
          <w:bCs/>
          <w:lang w:eastAsia="es-MX"/>
        </w:rPr>
      </w:pPr>
    </w:p>
    <w:p w:rsidR="003D0906" w:rsidRPr="00B11F73" w:rsidRDefault="003D0906" w:rsidP="003D0906">
      <w:pPr>
        <w:spacing w:after="120" w:line="240" w:lineRule="auto"/>
        <w:jc w:val="both"/>
        <w:rPr>
          <w:rFonts w:ascii="ITC Avant Garde" w:eastAsia="Times New Roman" w:hAnsi="ITC Avant Garde" w:cs="Arial"/>
          <w:bCs/>
          <w:lang w:eastAsia="es-MX"/>
        </w:rPr>
      </w:pPr>
      <w:r>
        <w:rPr>
          <w:rFonts w:ascii="ITC Avant Garde" w:eastAsia="Times New Roman" w:hAnsi="ITC Avant Garde" w:cs="Arial"/>
          <w:bCs/>
          <w:lang w:eastAsia="es-MX"/>
        </w:rPr>
        <w:lastRenderedPageBreak/>
        <w:t xml:space="preserve">Reconociendo que la implementación de medidas o acciones de gestión de tráfico y administración de red es una actividad necesaria e inherente a la naturaleza misma de las redes, los PSI deberán guiar su actuación por principios reconocidos en diversas regulaciones a nivel internacional en materia de neutralidad de red, tales como la no </w:t>
      </w:r>
      <w:r w:rsidRPr="00B11F73">
        <w:rPr>
          <w:rFonts w:ascii="ITC Avant Garde" w:eastAsia="Times New Roman" w:hAnsi="ITC Avant Garde" w:cs="Arial"/>
          <w:bCs/>
          <w:lang w:eastAsia="es-MX"/>
        </w:rPr>
        <w:t>di</w:t>
      </w:r>
      <w:r>
        <w:rPr>
          <w:rFonts w:ascii="ITC Avant Garde" w:eastAsia="Times New Roman" w:hAnsi="ITC Avant Garde" w:cs="Arial"/>
          <w:bCs/>
          <w:lang w:eastAsia="es-MX"/>
        </w:rPr>
        <w:t xml:space="preserve">scriminación, la proporcionalidad y la transparencia. Adicionalmente, resulta relevante identificar información sobre el estado actual de las redes en México, las amenazas a su funcionamiento óptimo y las estrategias que los PSI consideran necesarias y adecuadas para hacer frente a dichas amenazas.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 xml:space="preserve">Para mayor información </w:t>
      </w:r>
      <w:r>
        <w:rPr>
          <w:rFonts w:ascii="ITC Avant Garde" w:eastAsia="Times New Roman" w:hAnsi="ITC Avant Garde" w:cs="Arial"/>
          <w:bCs/>
          <w:lang w:eastAsia="es-MX"/>
        </w:rPr>
        <w:t xml:space="preserve">sobre este tema </w:t>
      </w:r>
      <w:r w:rsidRPr="00DA7F99">
        <w:rPr>
          <w:rFonts w:ascii="ITC Avant Garde" w:eastAsia="Times New Roman" w:hAnsi="ITC Avant Garde" w:cs="Arial"/>
          <w:bCs/>
          <w:lang w:eastAsia="es-MX"/>
        </w:rPr>
        <w:t>consultar el Estudio “</w:t>
      </w:r>
      <w:r>
        <w:rPr>
          <w:rFonts w:ascii="ITC Avant Garde" w:eastAsia="Times New Roman" w:hAnsi="ITC Avant Garde" w:cs="Arial"/>
          <w:bCs/>
          <w:lang w:eastAsia="es-MX"/>
        </w:rPr>
        <w:t>Neutralidad de Red”</w:t>
      </w:r>
      <w:r>
        <w:rPr>
          <w:rStyle w:val="Refdenotaalpie"/>
          <w:rFonts w:ascii="ITC Avant Garde" w:eastAsia="Times New Roman" w:hAnsi="ITC Avant Garde" w:cs="Arial"/>
          <w:bCs/>
          <w:lang w:eastAsia="es-MX"/>
        </w:rPr>
        <w:footnoteReference w:id="5"/>
      </w:r>
      <w:r>
        <w:rPr>
          <w:rFonts w:ascii="ITC Avant Garde" w:eastAsia="Times New Roman" w:hAnsi="ITC Avant Garde" w:cs="Arial"/>
          <w:bCs/>
          <w:lang w:eastAsia="es-MX"/>
        </w:rPr>
        <w:t xml:space="preserve"> (en lo sucesivo “el Estudio”), apartados 2, 3, 6 y 8.</w:t>
      </w:r>
    </w:p>
    <w:p w:rsidR="003D0906" w:rsidRPr="003B6013" w:rsidRDefault="003D0906" w:rsidP="003D0906">
      <w:pPr>
        <w:jc w:val="both"/>
        <w:rPr>
          <w:rFonts w:ascii="ITC Avant Garde" w:hAnsi="ITC Avant Garde"/>
          <w:b/>
          <w:i/>
        </w:rPr>
      </w:pPr>
      <w:r w:rsidRPr="00DA7F99">
        <w:rPr>
          <w:rFonts w:ascii="ITC Avant Garde" w:hAnsi="ITC Avant Garde"/>
          <w:b/>
          <w:i/>
        </w:rPr>
        <w:t>Preguntas</w:t>
      </w:r>
    </w:p>
    <w:p w:rsidR="003D090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¿En qué casos, o bajo qué parámetros, considera que existe congestión en la red de un PSI? ¿Cómo definiría la congestión de red excepcional y la congestión temporal?</w:t>
      </w:r>
    </w:p>
    <w:p w:rsidR="003D0906" w:rsidRPr="009E4B6B" w:rsidRDefault="003D0906" w:rsidP="003D0906">
      <w:pPr>
        <w:pStyle w:val="Prrafodelista"/>
        <w:numPr>
          <w:ilvl w:val="0"/>
          <w:numId w:val="18"/>
        </w:numPr>
        <w:spacing w:after="120" w:line="240" w:lineRule="auto"/>
        <w:jc w:val="both"/>
        <w:rPr>
          <w:rFonts w:ascii="ITC Avant Garde" w:hAnsi="ITC Avant Garde"/>
        </w:rPr>
      </w:pPr>
      <w:r w:rsidRPr="009E4B6B">
        <w:rPr>
          <w:rFonts w:ascii="ITC Avant Garde" w:hAnsi="ITC Avant Garde"/>
        </w:rPr>
        <w:t xml:space="preserve">¿Considera que existen ciertos tipos </w:t>
      </w:r>
      <w:r>
        <w:rPr>
          <w:rFonts w:ascii="ITC Avant Garde" w:hAnsi="ITC Avant Garde"/>
        </w:rPr>
        <w:t>de tráfico</w:t>
      </w:r>
      <w:r w:rsidRPr="009E4B6B">
        <w:rPr>
          <w:rFonts w:ascii="ITC Avant Garde" w:hAnsi="ITC Avant Garde"/>
        </w:rPr>
        <w:t xml:space="preserve"> - sensibles al </w:t>
      </w:r>
      <w:r>
        <w:rPr>
          <w:rFonts w:ascii="ITC Avant Garde" w:hAnsi="ITC Avant Garde"/>
        </w:rPr>
        <w:t>retardo (Jitter)</w:t>
      </w:r>
      <w:r w:rsidRPr="009E4B6B">
        <w:rPr>
          <w:rFonts w:ascii="ITC Avant Garde" w:hAnsi="ITC Avant Garde"/>
        </w:rPr>
        <w:t xml:space="preserve">, por ejemplo - cuyo tráfico debería ser priorizado sobre otro en momentos de congestión? </w:t>
      </w:r>
      <w:r>
        <w:rPr>
          <w:rFonts w:ascii="ITC Avant Garde" w:hAnsi="ITC Avant Garde"/>
        </w:rPr>
        <w:t>Presente evidencia o casos de estudio concretos</w:t>
      </w:r>
      <w:r w:rsidRPr="009E4B6B">
        <w:rPr>
          <w:rFonts w:ascii="ITC Avant Garde" w:hAnsi="ITC Avant Garde"/>
        </w:rPr>
        <w:t>.</w:t>
      </w:r>
    </w:p>
    <w:p w:rsidR="003D0906" w:rsidRPr="00341F44" w:rsidRDefault="003D0906" w:rsidP="003D0906">
      <w:pPr>
        <w:pStyle w:val="Prrafodelista"/>
        <w:numPr>
          <w:ilvl w:val="0"/>
          <w:numId w:val="18"/>
        </w:numPr>
        <w:spacing w:after="120"/>
        <w:jc w:val="both"/>
        <w:rPr>
          <w:rFonts w:ascii="ITC Avant Garde" w:hAnsi="ITC Avant Garde"/>
        </w:rPr>
      </w:pPr>
      <w:r w:rsidRPr="00341F44">
        <w:rPr>
          <w:rFonts w:ascii="ITC Avant Garde" w:hAnsi="ITC Avant Garde"/>
        </w:rPr>
        <w:t>¿Cuáles considera que son las principales amenazas a la integridad y la seguridad de la red</w:t>
      </w:r>
      <w:r w:rsidRPr="00D03927">
        <w:rPr>
          <w:rFonts w:ascii="ITC Avant Garde" w:hAnsi="ITC Avant Garde"/>
        </w:rPr>
        <w:t>?</w:t>
      </w:r>
    </w:p>
    <w:p w:rsidR="003D0906" w:rsidRPr="00341F44" w:rsidRDefault="003D0906" w:rsidP="003D0906">
      <w:pPr>
        <w:pStyle w:val="Prrafodelista"/>
        <w:numPr>
          <w:ilvl w:val="0"/>
          <w:numId w:val="18"/>
        </w:numPr>
        <w:spacing w:after="120"/>
        <w:jc w:val="both"/>
        <w:rPr>
          <w:rFonts w:ascii="ITC Avant Garde" w:hAnsi="ITC Avant Garde"/>
        </w:rPr>
      </w:pPr>
      <w:r w:rsidRPr="00D03927">
        <w:rPr>
          <w:rFonts w:ascii="ITC Avant Garde" w:hAnsi="ITC Avant Garde"/>
        </w:rPr>
        <w:t xml:space="preserve">¿Cuáles considera que son las principales amenazas </w:t>
      </w:r>
      <w:r w:rsidRPr="00341F44">
        <w:rPr>
          <w:rFonts w:ascii="ITC Avant Garde" w:hAnsi="ITC Avant Garde"/>
        </w:rPr>
        <w:t xml:space="preserve">a la privacidad </w:t>
      </w:r>
      <w:r>
        <w:rPr>
          <w:rFonts w:ascii="ITC Avant Garde" w:hAnsi="ITC Avant Garde"/>
        </w:rPr>
        <w:t>de las comunicaciones de los usuarios finales</w:t>
      </w:r>
      <w:r w:rsidRPr="00341F44">
        <w:rPr>
          <w:rFonts w:ascii="ITC Avant Garde" w:hAnsi="ITC Avant Garde"/>
        </w:rPr>
        <w:t xml:space="preserve"> en Internet?</w:t>
      </w:r>
    </w:p>
    <w:p w:rsidR="003D0906" w:rsidRPr="00745A5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 xml:space="preserve">¿Qué prácticas, </w:t>
      </w:r>
      <w:r w:rsidRPr="00C815CA">
        <w:rPr>
          <w:rFonts w:ascii="ITC Avant Garde" w:hAnsi="ITC Avant Garde"/>
        </w:rPr>
        <w:t xml:space="preserve">medidas o acciones </w:t>
      </w:r>
      <w:r>
        <w:rPr>
          <w:rFonts w:ascii="ITC Avant Garde" w:hAnsi="ITC Avant Garde"/>
        </w:rPr>
        <w:t xml:space="preserve">de </w:t>
      </w:r>
      <w:r w:rsidRPr="00C815CA">
        <w:rPr>
          <w:rFonts w:ascii="ITC Avant Garde" w:hAnsi="ITC Avant Garde"/>
          <w:bCs/>
          <w:lang w:val="es-EC"/>
        </w:rPr>
        <w:t xml:space="preserve">gestión de tráfico y administración de red </w:t>
      </w:r>
      <w:r>
        <w:rPr>
          <w:rFonts w:ascii="ITC Avant Garde" w:hAnsi="ITC Avant Garde"/>
          <w:bCs/>
          <w:lang w:val="es-EC"/>
        </w:rPr>
        <w:t xml:space="preserve">considera indispensables </w:t>
      </w:r>
      <w:r w:rsidRPr="00C815CA">
        <w:rPr>
          <w:rFonts w:ascii="ITC Avant Garde" w:hAnsi="ITC Avant Garde"/>
          <w:bCs/>
          <w:lang w:val="es-EC"/>
        </w:rPr>
        <w:t>a fin de garantizar</w:t>
      </w:r>
      <w:r>
        <w:rPr>
          <w:rFonts w:ascii="ITC Avant Garde" w:hAnsi="ITC Avant Garde"/>
          <w:bCs/>
          <w:lang w:val="es-EC"/>
        </w:rPr>
        <w:t xml:space="preserve"> </w:t>
      </w:r>
      <w:r w:rsidRPr="005B0CFB">
        <w:rPr>
          <w:rFonts w:ascii="ITC Avant Garde" w:hAnsi="ITC Avant Garde"/>
        </w:rPr>
        <w:t xml:space="preserve">la integridad y la </w:t>
      </w:r>
      <w:r>
        <w:rPr>
          <w:rFonts w:ascii="ITC Avant Garde" w:hAnsi="ITC Avant Garde"/>
        </w:rPr>
        <w:t xml:space="preserve">seguridad de la red, así como </w:t>
      </w:r>
      <w:r w:rsidRPr="005B0CFB">
        <w:rPr>
          <w:rFonts w:ascii="ITC Avant Garde" w:hAnsi="ITC Avant Garde"/>
        </w:rPr>
        <w:t xml:space="preserve">la privacidad de </w:t>
      </w:r>
      <w:r>
        <w:rPr>
          <w:rFonts w:ascii="ITC Avant Garde" w:hAnsi="ITC Avant Garde"/>
        </w:rPr>
        <w:t>las</w:t>
      </w:r>
      <w:r w:rsidRPr="005B0CFB">
        <w:rPr>
          <w:rFonts w:ascii="ITC Avant Garde" w:hAnsi="ITC Avant Garde"/>
        </w:rPr>
        <w:t xml:space="preserve"> comunicaciones</w:t>
      </w:r>
      <w:r>
        <w:rPr>
          <w:rFonts w:ascii="ITC Avant Garde" w:hAnsi="ITC Avant Garde"/>
        </w:rPr>
        <w:t xml:space="preserve"> de los usuarios finales</w:t>
      </w:r>
      <w:r w:rsidRPr="005B0CFB">
        <w:rPr>
          <w:rFonts w:ascii="ITC Avant Garde" w:hAnsi="ITC Avant Garde"/>
        </w:rPr>
        <w:t xml:space="preserve"> en Internet</w:t>
      </w:r>
      <w:r>
        <w:rPr>
          <w:rFonts w:ascii="ITC Avant Garde" w:hAnsi="ITC Avant Garde"/>
        </w:rPr>
        <w:t>?</w:t>
      </w:r>
    </w:p>
    <w:p w:rsidR="003D090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 xml:space="preserve">¿Qué prácticas, </w:t>
      </w:r>
      <w:r w:rsidRPr="00C815CA">
        <w:rPr>
          <w:rFonts w:ascii="ITC Avant Garde" w:hAnsi="ITC Avant Garde"/>
        </w:rPr>
        <w:t xml:space="preserve">medidas o acciones </w:t>
      </w:r>
      <w:r>
        <w:rPr>
          <w:rFonts w:ascii="ITC Avant Garde" w:hAnsi="ITC Avant Garde"/>
        </w:rPr>
        <w:t xml:space="preserve">de </w:t>
      </w:r>
      <w:r w:rsidRPr="00C815CA">
        <w:rPr>
          <w:rFonts w:ascii="ITC Avant Garde" w:hAnsi="ITC Avant Garde"/>
          <w:bCs/>
          <w:lang w:val="es-EC"/>
        </w:rPr>
        <w:t xml:space="preserve">gestión de tráfico y administración de red </w:t>
      </w:r>
      <w:r>
        <w:rPr>
          <w:rFonts w:ascii="ITC Avant Garde" w:hAnsi="ITC Avant Garde"/>
          <w:bCs/>
          <w:lang w:val="es-EC"/>
        </w:rPr>
        <w:t xml:space="preserve">considera indispensables </w:t>
      </w:r>
      <w:r w:rsidRPr="00C815CA">
        <w:rPr>
          <w:rFonts w:ascii="ITC Avant Garde" w:hAnsi="ITC Avant Garde"/>
          <w:bCs/>
          <w:lang w:val="es-EC"/>
        </w:rPr>
        <w:t>a fin de garantizar la calidad o velocidad contratada por el usuario</w:t>
      </w:r>
      <w:r>
        <w:rPr>
          <w:rFonts w:ascii="ITC Avant Garde" w:hAnsi="ITC Avant Garde"/>
          <w:bCs/>
          <w:lang w:val="es-EC"/>
        </w:rPr>
        <w:t xml:space="preserve"> a un </w:t>
      </w:r>
      <w:r>
        <w:rPr>
          <w:rFonts w:ascii="ITC Avant Garde" w:hAnsi="ITC Avant Garde"/>
        </w:rPr>
        <w:t>PSI</w:t>
      </w:r>
      <w:r w:rsidRPr="00C815CA">
        <w:rPr>
          <w:rFonts w:ascii="ITC Avant Garde" w:hAnsi="ITC Avant Garde"/>
        </w:rPr>
        <w:t xml:space="preserve">? </w:t>
      </w:r>
    </w:p>
    <w:p w:rsidR="003D0906" w:rsidRDefault="003D0906" w:rsidP="003D0906">
      <w:pPr>
        <w:spacing w:after="120" w:line="240" w:lineRule="auto"/>
        <w:jc w:val="both"/>
        <w:rPr>
          <w:rFonts w:ascii="ITC Avant Garde" w:hAnsi="ITC Avant Garde"/>
        </w:rPr>
      </w:pPr>
    </w:p>
    <w:p w:rsidR="003D0906" w:rsidRDefault="003D0906" w:rsidP="003D0906">
      <w:pPr>
        <w:spacing w:after="120" w:line="240" w:lineRule="auto"/>
        <w:jc w:val="both"/>
        <w:rPr>
          <w:rFonts w:ascii="ITC Avant Garde" w:hAnsi="ITC Avant Garde"/>
        </w:rPr>
      </w:pPr>
    </w:p>
    <w:p w:rsidR="003D0906" w:rsidRPr="00B6282A" w:rsidRDefault="003D0906" w:rsidP="003D0906">
      <w:pPr>
        <w:spacing w:after="120" w:line="240" w:lineRule="auto"/>
        <w:jc w:val="both"/>
        <w:rPr>
          <w:rFonts w:ascii="ITC Avant Garde" w:hAnsi="ITC Avant Garde"/>
        </w:rPr>
      </w:pPr>
    </w:p>
    <w:p w:rsidR="003D0906" w:rsidRPr="005B0CFB" w:rsidRDefault="003D0906" w:rsidP="003D0906">
      <w:pPr>
        <w:spacing w:after="120" w:line="240" w:lineRule="auto"/>
        <w:jc w:val="both"/>
        <w:rPr>
          <w:rFonts w:ascii="ITC Avant Garde" w:hAnsi="ITC Avant Garde"/>
          <w:b/>
        </w:rPr>
      </w:pPr>
    </w:p>
    <w:p w:rsidR="003D0906"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DA7F99">
        <w:rPr>
          <w:rFonts w:ascii="ITC Avant Garde" w:hAnsi="ITC Avant Garde"/>
          <w:b/>
        </w:rPr>
        <w:lastRenderedPageBreak/>
        <w:t>SERVICIOS ESPECIALIZADOS</w:t>
      </w:r>
    </w:p>
    <w:p w:rsidR="003D0906" w:rsidRPr="00DA7F99" w:rsidRDefault="003D0906" w:rsidP="003D0906">
      <w:pPr>
        <w:spacing w:after="120" w:line="240" w:lineRule="auto"/>
        <w:jc w:val="both"/>
        <w:rPr>
          <w:rFonts w:ascii="ITC Avant Garde" w:hAnsi="ITC Avant Garde"/>
          <w:b/>
          <w:i/>
        </w:rPr>
      </w:pPr>
      <w:r w:rsidRPr="00DA7F99">
        <w:rPr>
          <w:rFonts w:ascii="ITC Avant Garde" w:hAnsi="ITC Avant Garde"/>
          <w:b/>
          <w:i/>
        </w:rPr>
        <w:t>Contexto</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Recurrentemente, l</w:t>
      </w:r>
      <w:r>
        <w:rPr>
          <w:rFonts w:ascii="ITC Avant Garde" w:eastAsia="Times New Roman" w:hAnsi="ITC Avant Garde" w:cs="Arial"/>
          <w:bCs/>
          <w:lang w:eastAsia="es-MX"/>
        </w:rPr>
        <w:t xml:space="preserve">os </w:t>
      </w:r>
      <w:r w:rsidRPr="002266A8">
        <w:rPr>
          <w:rFonts w:ascii="ITC Avant Garde" w:eastAsia="Times New Roman" w:hAnsi="ITC Avant Garde" w:cs="Arial"/>
          <w:bCs/>
          <w:lang w:eastAsia="es-MX"/>
        </w:rPr>
        <w:t>PSI sostienen que, a efecto</w:t>
      </w:r>
      <w:r w:rsidRPr="00DA7F99">
        <w:rPr>
          <w:rFonts w:ascii="ITC Avant Garde" w:eastAsia="Times New Roman" w:hAnsi="ITC Avant Garde" w:cs="Arial"/>
          <w:bCs/>
          <w:lang w:eastAsia="es-MX"/>
        </w:rPr>
        <w:t xml:space="preserve"> de enfrentar la creciente saturación de las redes existentes, debe permitírseles obtener ingresos adicionales a partir de la prestación de servi</w:t>
      </w:r>
      <w:r>
        <w:rPr>
          <w:rFonts w:ascii="ITC Avant Garde" w:eastAsia="Times New Roman" w:hAnsi="ITC Avant Garde" w:cs="Arial"/>
          <w:bCs/>
          <w:lang w:eastAsia="es-MX"/>
        </w:rPr>
        <w:t>cios especializados a aquellos p</w:t>
      </w:r>
      <w:r w:rsidRPr="00DA7F99">
        <w:rPr>
          <w:rFonts w:ascii="ITC Avant Garde" w:eastAsia="Times New Roman" w:hAnsi="ITC Avant Garde" w:cs="Arial"/>
          <w:bCs/>
          <w:lang w:eastAsia="es-MX"/>
        </w:rPr>
        <w:t xml:space="preserve">roveedores de </w:t>
      </w:r>
      <w:r w:rsidRPr="002266A8">
        <w:rPr>
          <w:rFonts w:ascii="ITC Avant Garde" w:eastAsia="Times New Roman" w:hAnsi="ITC Avant Garde" w:cs="Arial"/>
          <w:bCs/>
          <w:lang w:eastAsia="es-MX"/>
        </w:rPr>
        <w:t>contenidos, aplicaciones o servicios (en lo sucesivo PACS) que</w:t>
      </w:r>
      <w:r w:rsidRPr="00DA7F99">
        <w:rPr>
          <w:rFonts w:ascii="ITC Avant Garde" w:eastAsia="Times New Roman" w:hAnsi="ITC Avant Garde" w:cs="Arial"/>
          <w:bCs/>
          <w:lang w:eastAsia="es-MX"/>
        </w:rPr>
        <w:t xml:space="preserve"> así lo soliciten, situación que refleja la particularidad de la estrategia de precios en un mercado de dos lados.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 xml:space="preserve">Los servicios especializados refieren a aquellos que </w:t>
      </w:r>
      <w:r>
        <w:rPr>
          <w:rFonts w:ascii="ITC Avant Garde" w:eastAsia="Times New Roman" w:hAnsi="ITC Avant Garde" w:cs="Arial"/>
          <w:bCs/>
          <w:lang w:eastAsia="es-MX"/>
        </w:rPr>
        <w:t>los PSI</w:t>
      </w:r>
      <w:r w:rsidRPr="00DA7F99">
        <w:rPr>
          <w:rFonts w:ascii="ITC Avant Garde" w:eastAsia="Times New Roman" w:hAnsi="ITC Avant Garde" w:cs="Arial"/>
          <w:bCs/>
          <w:lang w:eastAsia="es-MX"/>
        </w:rPr>
        <w:t xml:space="preserve"> ponen a disposición de los </w:t>
      </w:r>
      <w:r>
        <w:rPr>
          <w:rFonts w:ascii="ITC Avant Garde" w:eastAsia="Times New Roman" w:hAnsi="ITC Avant Garde" w:cs="Arial"/>
          <w:bCs/>
          <w:lang w:eastAsia="es-MX"/>
        </w:rPr>
        <w:t>PACS</w:t>
      </w:r>
      <w:r w:rsidRPr="00DA7F99">
        <w:rPr>
          <w:rFonts w:ascii="ITC Avant Garde" w:eastAsia="Times New Roman" w:hAnsi="ITC Avant Garde" w:cs="Arial"/>
          <w:bCs/>
          <w:lang w:eastAsia="es-MX"/>
        </w:rPr>
        <w:t xml:space="preserve"> y que proporcionan características y recursos de red específicos</w:t>
      </w:r>
      <w:r>
        <w:rPr>
          <w:rFonts w:ascii="ITC Avant Garde" w:eastAsia="Times New Roman" w:hAnsi="ITC Avant Garde" w:cs="Arial"/>
          <w:bCs/>
          <w:lang w:eastAsia="es-MX"/>
        </w:rPr>
        <w:t>, a efecto de que estos transmitan y/o mejoren la velocidad de carga, descarga o experiencia de usuario a cambio de una contraprestación económica</w:t>
      </w:r>
      <w:r w:rsidRPr="00DA7F99">
        <w:rPr>
          <w:rFonts w:ascii="ITC Avant Garde" w:eastAsia="Times New Roman" w:hAnsi="ITC Avant Garde" w:cs="Arial"/>
          <w:bCs/>
          <w:lang w:eastAsia="es-MX"/>
        </w:rPr>
        <w:t xml:space="preserve">. Dichos servicios </w:t>
      </w:r>
      <w:r>
        <w:rPr>
          <w:rFonts w:ascii="ITC Avant Garde" w:eastAsia="Times New Roman" w:hAnsi="ITC Avant Garde" w:cs="Arial"/>
          <w:bCs/>
          <w:lang w:eastAsia="es-MX"/>
        </w:rPr>
        <w:t>pueden incluir</w:t>
      </w:r>
      <w:r w:rsidRPr="00DA7F99">
        <w:rPr>
          <w:rFonts w:ascii="ITC Avant Garde" w:eastAsia="Times New Roman" w:hAnsi="ITC Avant Garde" w:cs="Arial"/>
          <w:bCs/>
          <w:lang w:eastAsia="es-MX"/>
        </w:rPr>
        <w:t xml:space="preserve"> </w:t>
      </w:r>
      <w:r>
        <w:rPr>
          <w:rFonts w:ascii="ITC Avant Garde" w:eastAsia="Times New Roman" w:hAnsi="ITC Avant Garde" w:cs="Arial"/>
          <w:bCs/>
          <w:lang w:eastAsia="es-MX"/>
        </w:rPr>
        <w:t xml:space="preserve">a </w:t>
      </w:r>
      <w:r w:rsidRPr="00DA7F99">
        <w:rPr>
          <w:rFonts w:ascii="ITC Avant Garde" w:eastAsia="Times New Roman" w:hAnsi="ITC Avant Garde" w:cs="Arial"/>
          <w:bCs/>
          <w:lang w:eastAsia="es-MX"/>
        </w:rPr>
        <w:t>los servicios de priorización pagada, los cuales dan un tratamiento diferenciado de tráfico a cambio de una contraprestación económica, la instalación de</w:t>
      </w:r>
      <w:r>
        <w:rPr>
          <w:rFonts w:ascii="ITC Avant Garde" w:eastAsia="Times New Roman" w:hAnsi="ITC Avant Garde" w:cs="Arial"/>
          <w:bCs/>
          <w:lang w:eastAsia="es-MX"/>
        </w:rPr>
        <w:t xml:space="preserve"> redes de distribución de contenidos</w:t>
      </w:r>
      <w:r w:rsidRPr="00DA7F99">
        <w:rPr>
          <w:rFonts w:ascii="ITC Avant Garde" w:eastAsia="Times New Roman" w:hAnsi="ITC Avant Garde" w:cs="Arial"/>
          <w:bCs/>
          <w:lang w:eastAsia="es-MX"/>
        </w:rPr>
        <w:t xml:space="preserve"> </w:t>
      </w:r>
      <w:r>
        <w:rPr>
          <w:rFonts w:ascii="ITC Avant Garde" w:eastAsia="Times New Roman" w:hAnsi="ITC Avant Garde" w:cs="Arial"/>
          <w:bCs/>
          <w:lang w:eastAsia="es-MX"/>
        </w:rPr>
        <w:t>(</w:t>
      </w:r>
      <w:r w:rsidRPr="008F3C26">
        <w:rPr>
          <w:rFonts w:ascii="ITC Avant Garde" w:eastAsia="Times New Roman" w:hAnsi="ITC Avant Garde" w:cs="Arial"/>
          <w:bCs/>
          <w:lang w:eastAsia="es-MX"/>
        </w:rPr>
        <w:t>CDN</w:t>
      </w:r>
      <w:r>
        <w:rPr>
          <w:rFonts w:ascii="ITC Avant Garde" w:eastAsia="Times New Roman" w:hAnsi="ITC Avant Garde" w:cs="Arial"/>
          <w:bCs/>
          <w:lang w:eastAsia="es-MX"/>
        </w:rPr>
        <w:t xml:space="preserve"> por sus siglas en inglés)</w:t>
      </w:r>
      <w:r w:rsidRPr="00DA7F99">
        <w:rPr>
          <w:rFonts w:ascii="ITC Avant Garde" w:eastAsia="Times New Roman" w:hAnsi="ITC Avant Garde" w:cs="Arial"/>
          <w:bCs/>
          <w:lang w:eastAsia="es-MX"/>
        </w:rPr>
        <w:t xml:space="preserve"> que acercan los contenidos a los usuarios finales, </w:t>
      </w:r>
      <w:r>
        <w:rPr>
          <w:rFonts w:ascii="ITC Avant Garde" w:eastAsia="Times New Roman" w:hAnsi="ITC Avant Garde" w:cs="Arial"/>
          <w:bCs/>
          <w:lang w:eastAsia="es-MX"/>
        </w:rPr>
        <w:t>redes privadas virtuales (</w:t>
      </w:r>
      <w:r w:rsidRPr="008F3C26">
        <w:rPr>
          <w:rFonts w:ascii="ITC Avant Garde" w:eastAsia="Times New Roman" w:hAnsi="ITC Avant Garde" w:cs="Arial"/>
          <w:bCs/>
          <w:lang w:eastAsia="es-MX"/>
        </w:rPr>
        <w:t>VPN</w:t>
      </w:r>
      <w:r>
        <w:rPr>
          <w:rFonts w:ascii="ITC Avant Garde" w:eastAsia="Times New Roman" w:hAnsi="ITC Avant Garde" w:cs="Arial"/>
          <w:bCs/>
          <w:lang w:eastAsia="es-MX"/>
        </w:rPr>
        <w:t xml:space="preserve"> por sus siglas en inglés)</w:t>
      </w:r>
      <w:r w:rsidRPr="00DA7F99">
        <w:rPr>
          <w:rFonts w:ascii="ITC Avant Garde" w:eastAsia="Times New Roman" w:hAnsi="ITC Avant Garde" w:cs="Arial"/>
          <w:bCs/>
          <w:lang w:eastAsia="es-MX"/>
        </w:rPr>
        <w:t xml:space="preserve"> que permiten a los </w:t>
      </w:r>
      <w:r>
        <w:rPr>
          <w:rFonts w:ascii="ITC Avant Garde" w:eastAsia="Times New Roman" w:hAnsi="ITC Avant Garde" w:cs="Arial"/>
          <w:bCs/>
          <w:lang w:eastAsia="es-MX"/>
        </w:rPr>
        <w:t>PSI</w:t>
      </w:r>
      <w:r w:rsidRPr="00DA7F99">
        <w:rPr>
          <w:rFonts w:ascii="ITC Avant Garde" w:eastAsia="Times New Roman" w:hAnsi="ITC Avant Garde" w:cs="Arial"/>
          <w:bCs/>
          <w:lang w:eastAsia="es-MX"/>
        </w:rPr>
        <w:t xml:space="preserve"> proporcionar capacidades y requerimientos específicos, entre otros.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373FE7">
        <w:rPr>
          <w:rFonts w:ascii="ITC Avant Garde" w:hAnsi="ITC Avant Garde"/>
        </w:rPr>
        <w:t xml:space="preserve">Para mayor información sobre este tema, se recomienda consultar </w:t>
      </w:r>
      <w:r>
        <w:rPr>
          <w:rFonts w:ascii="ITC Avant Garde" w:hAnsi="ITC Avant Garde"/>
        </w:rPr>
        <w:t>el Estudio</w:t>
      </w:r>
      <w:r w:rsidRPr="00DA7F99">
        <w:rPr>
          <w:rFonts w:ascii="ITC Avant Garde" w:eastAsia="Times New Roman" w:hAnsi="ITC Avant Garde" w:cs="Arial"/>
          <w:bCs/>
          <w:lang w:eastAsia="es-MX"/>
        </w:rPr>
        <w:t>, apartados 6 y 7.</w:t>
      </w:r>
    </w:p>
    <w:p w:rsidR="003D0906" w:rsidRPr="003B6013" w:rsidRDefault="003D0906" w:rsidP="003D0906">
      <w:pPr>
        <w:jc w:val="both"/>
        <w:rPr>
          <w:rFonts w:ascii="ITC Avant Garde" w:hAnsi="ITC Avant Garde"/>
          <w:b/>
          <w:i/>
        </w:rPr>
      </w:pPr>
      <w:r w:rsidRPr="00DA7F99">
        <w:rPr>
          <w:rFonts w:ascii="ITC Avant Garde" w:hAnsi="ITC Avant Garde"/>
          <w:b/>
          <w:i/>
        </w:rPr>
        <w:t>Preguntas</w:t>
      </w:r>
    </w:p>
    <w:p w:rsidR="003D0906" w:rsidRPr="00DA7F99"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¿Considera</w:t>
      </w:r>
      <w:r>
        <w:rPr>
          <w:rFonts w:ascii="ITC Avant Garde" w:hAnsi="ITC Avant Garde"/>
        </w:rPr>
        <w:t xml:space="preserve"> </w:t>
      </w:r>
      <w:r w:rsidRPr="00DA7F99">
        <w:rPr>
          <w:rFonts w:ascii="ITC Avant Garde" w:hAnsi="ITC Avant Garde"/>
        </w:rPr>
        <w:t xml:space="preserve">que </w:t>
      </w:r>
      <w:r>
        <w:rPr>
          <w:rFonts w:ascii="ITC Avant Garde" w:hAnsi="ITC Avant Garde"/>
        </w:rPr>
        <w:t>existen ciertos servicios especializados que debieran prohibirse</w:t>
      </w:r>
      <w:r w:rsidRPr="00DA7F99">
        <w:rPr>
          <w:rFonts w:ascii="ITC Avant Garde" w:hAnsi="ITC Avant Garde"/>
        </w:rPr>
        <w:t>?</w:t>
      </w:r>
      <w:r>
        <w:rPr>
          <w:rFonts w:ascii="ITC Avant Garde" w:hAnsi="ITC Avant Garde"/>
        </w:rPr>
        <w:t xml:space="preserve"> Justifique.</w:t>
      </w:r>
    </w:p>
    <w:p w:rsidR="003D0906" w:rsidRPr="00DA7F99"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 xml:space="preserve">¿Considera que existen acuerdos comerciales entre </w:t>
      </w:r>
      <w:r>
        <w:rPr>
          <w:rFonts w:ascii="ITC Avant Garde" w:hAnsi="ITC Avant Garde"/>
        </w:rPr>
        <w:t>PSI</w:t>
      </w:r>
      <w:r w:rsidRPr="00DA7F99">
        <w:rPr>
          <w:rFonts w:ascii="ITC Avant Garde" w:hAnsi="ITC Avant Garde"/>
        </w:rPr>
        <w:t xml:space="preserve"> y </w:t>
      </w:r>
      <w:r>
        <w:rPr>
          <w:rFonts w:ascii="ITC Avant Garde" w:hAnsi="ITC Avant Garde"/>
        </w:rPr>
        <w:t>PACS</w:t>
      </w:r>
      <w:r w:rsidRPr="00DA7F99">
        <w:rPr>
          <w:rFonts w:ascii="ITC Avant Garde" w:hAnsi="ITC Avant Garde"/>
        </w:rPr>
        <w:t xml:space="preserve"> que favorecen la inversión en infraestructura y desarrollo sostenido de las redes? En caso afirmativo, ¿cómo es que favorecen?</w:t>
      </w:r>
    </w:p>
    <w:p w:rsidR="003D0906" w:rsidRPr="00DA7F99" w:rsidRDefault="003D0906" w:rsidP="003D0906">
      <w:pPr>
        <w:pStyle w:val="Prrafodelista"/>
        <w:numPr>
          <w:ilvl w:val="0"/>
          <w:numId w:val="17"/>
        </w:numPr>
        <w:spacing w:after="120" w:line="240" w:lineRule="auto"/>
        <w:jc w:val="both"/>
        <w:rPr>
          <w:rFonts w:ascii="ITC Avant Garde" w:hAnsi="ITC Avant Garde"/>
        </w:rPr>
      </w:pPr>
      <w:r>
        <w:rPr>
          <w:rFonts w:ascii="ITC Avant Garde" w:hAnsi="ITC Avant Garde"/>
        </w:rPr>
        <w:t xml:space="preserve">¿Qué mecanismos considera eficientes para garantizar que, al prestar </w:t>
      </w:r>
      <w:r w:rsidRPr="00DA7F99">
        <w:rPr>
          <w:rFonts w:ascii="ITC Avant Garde" w:hAnsi="ITC Avant Garde"/>
        </w:rPr>
        <w:t>servicios especializados</w:t>
      </w:r>
      <w:r>
        <w:rPr>
          <w:rFonts w:ascii="ITC Avant Garde" w:hAnsi="ITC Avant Garde"/>
        </w:rPr>
        <w:t xml:space="preserve">, los PSI garanticen la capacidad disponible de la red evitando degradar la </w:t>
      </w:r>
      <w:r w:rsidRPr="002266A8">
        <w:rPr>
          <w:rFonts w:ascii="ITC Avant Garde" w:hAnsi="ITC Avant Garde"/>
        </w:rPr>
        <w:t>calidad o la velocidad de tráfico correspondiente</w:t>
      </w:r>
      <w:r>
        <w:rPr>
          <w:rFonts w:ascii="ITC Avant Garde" w:hAnsi="ITC Avant Garde"/>
        </w:rPr>
        <w:t xml:space="preserve"> a contenidos, aplicaciones o servicios disponibles a través del servicio de acceso a Internet que prestan?</w:t>
      </w:r>
    </w:p>
    <w:p w:rsidR="003D0906"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 xml:space="preserve">¿Considera que ciertos contenidos, aplicaciones o servicios </w:t>
      </w:r>
      <w:r>
        <w:rPr>
          <w:rFonts w:ascii="ITC Avant Garde" w:hAnsi="ITC Avant Garde"/>
        </w:rPr>
        <w:t>podrían contribuir</w:t>
      </w:r>
      <w:r w:rsidRPr="00DA7F99">
        <w:rPr>
          <w:rFonts w:ascii="ITC Avant Garde" w:hAnsi="ITC Avant Garde"/>
        </w:rPr>
        <w:t xml:space="preserve"> al congestionamiento de la red a nivel tal que result</w:t>
      </w:r>
      <w:r>
        <w:rPr>
          <w:rFonts w:ascii="ITC Avant Garde" w:hAnsi="ITC Avant Garde"/>
        </w:rPr>
        <w:t>e</w:t>
      </w:r>
      <w:r w:rsidRPr="00DA7F99">
        <w:rPr>
          <w:rFonts w:ascii="ITC Avant Garde" w:hAnsi="ITC Avant Garde"/>
        </w:rPr>
        <w:t xml:space="preserve"> necesario compartir los costos de inversión en las redes entre </w:t>
      </w:r>
      <w:r>
        <w:rPr>
          <w:rFonts w:ascii="ITC Avant Garde" w:hAnsi="ITC Avant Garde"/>
        </w:rPr>
        <w:t>PSI</w:t>
      </w:r>
      <w:r w:rsidRPr="00DA7F99">
        <w:rPr>
          <w:rFonts w:ascii="ITC Avant Garde" w:hAnsi="ITC Avant Garde"/>
        </w:rPr>
        <w:t xml:space="preserve"> y </w:t>
      </w:r>
      <w:r>
        <w:rPr>
          <w:rFonts w:ascii="ITC Avant Garde" w:hAnsi="ITC Avant Garde"/>
        </w:rPr>
        <w:t>PACS,</w:t>
      </w:r>
      <w:r w:rsidRPr="00DA7F99">
        <w:rPr>
          <w:rFonts w:ascii="ITC Avant Garde" w:hAnsi="ITC Avant Garde"/>
        </w:rPr>
        <w:t xml:space="preserve"> a fin de asegurar una mejor experiencia para los usuarios finales</w:t>
      </w:r>
      <w:r>
        <w:rPr>
          <w:rFonts w:ascii="ITC Avant Garde" w:hAnsi="ITC Avant Garde"/>
        </w:rPr>
        <w:t>, sin que esto se realice bajo la figura de los servicios especializados</w:t>
      </w:r>
      <w:r w:rsidRPr="00DA7F99">
        <w:rPr>
          <w:rFonts w:ascii="ITC Avant Garde" w:hAnsi="ITC Avant Garde"/>
        </w:rPr>
        <w:t>?</w:t>
      </w:r>
    </w:p>
    <w:p w:rsidR="003D0906"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B30587" w:rsidDel="001528AF">
        <w:rPr>
          <w:rFonts w:ascii="ITC Avant Garde" w:hAnsi="ITC Avant Garde"/>
          <w:b/>
        </w:rPr>
        <w:lastRenderedPageBreak/>
        <w:t xml:space="preserve"> </w:t>
      </w:r>
      <w:r w:rsidRPr="00DA7F99">
        <w:rPr>
          <w:rFonts w:ascii="ITC Avant Garde" w:hAnsi="ITC Avant Garde"/>
          <w:b/>
        </w:rPr>
        <w:t>TRANSPARENCIA E INFORMACIÓN</w:t>
      </w:r>
      <w:r w:rsidRPr="00DA7F99">
        <w:rPr>
          <w:rFonts w:ascii="ITC Avant Garde" w:hAnsi="ITC Avant Garde"/>
          <w:b/>
        </w:rPr>
        <w:tab/>
      </w:r>
    </w:p>
    <w:p w:rsidR="003D0906" w:rsidRPr="00DA7F99" w:rsidRDefault="003D0906" w:rsidP="003D0906">
      <w:pPr>
        <w:jc w:val="both"/>
        <w:rPr>
          <w:rFonts w:ascii="ITC Avant Garde" w:hAnsi="ITC Avant Garde"/>
          <w:b/>
          <w:i/>
        </w:rPr>
      </w:pPr>
      <w:r w:rsidRPr="00DA7F99">
        <w:rPr>
          <w:rFonts w:ascii="ITC Avant Garde" w:hAnsi="ITC Avant Garde"/>
          <w:b/>
          <w:i/>
        </w:rPr>
        <w:t>Contexto</w:t>
      </w:r>
    </w:p>
    <w:p w:rsidR="003D0906" w:rsidRPr="00DA7F99" w:rsidRDefault="003D0906" w:rsidP="003D0906">
      <w:pPr>
        <w:jc w:val="both"/>
        <w:rPr>
          <w:rFonts w:ascii="ITC Avant Garde" w:hAnsi="ITC Avant Garde"/>
        </w:rPr>
      </w:pPr>
      <w:r w:rsidRPr="00DA7F99">
        <w:rPr>
          <w:rFonts w:ascii="ITC Avant Garde" w:hAnsi="ITC Avant Garde"/>
        </w:rPr>
        <w:t>La neutralidad de red parte de la premisa de que una red de información pública trata todos los contenidos, sitios y plataformas equitativamente. Gracias a esto la red puede transportar cualquier forma de información y soportar cualquier clase de aplicación. Una red completamente neutra sería</w:t>
      </w:r>
      <w:r>
        <w:rPr>
          <w:rFonts w:ascii="ITC Avant Garde" w:hAnsi="ITC Avant Garde"/>
        </w:rPr>
        <w:t>,</w:t>
      </w:r>
      <w:r w:rsidRPr="00DA7F99">
        <w:rPr>
          <w:rFonts w:ascii="ITC Avant Garde" w:hAnsi="ITC Avant Garde"/>
        </w:rPr>
        <w:t xml:space="preserve"> entonces</w:t>
      </w:r>
      <w:r>
        <w:rPr>
          <w:rFonts w:ascii="ITC Avant Garde" w:hAnsi="ITC Avant Garde"/>
        </w:rPr>
        <w:t>,</w:t>
      </w:r>
      <w:r w:rsidRPr="00DA7F99">
        <w:rPr>
          <w:rFonts w:ascii="ITC Avant Garde" w:hAnsi="ITC Avant Garde"/>
        </w:rPr>
        <w:t xml:space="preserve"> aquella que no distinguiera entre ningún tipo de tráfico, emisor o destinatario. En la práctica, sin embargo, existe evidencia para sostener que se requiere de cierta gestión de tráfico a fin de asegurar una operación eficiente de la red en favor de los usuarios y evitar la degradación del servicio</w:t>
      </w:r>
      <w:r w:rsidRPr="00DA7F99">
        <w:rPr>
          <w:rStyle w:val="Refdenotaalpie"/>
          <w:rFonts w:ascii="ITC Avant Garde" w:hAnsi="ITC Avant Garde"/>
        </w:rPr>
        <w:footnoteReference w:id="6"/>
      </w:r>
      <w:r w:rsidRPr="00DA7F99">
        <w:rPr>
          <w:rFonts w:ascii="ITC Avant Garde" w:hAnsi="ITC Avant Garde"/>
        </w:rPr>
        <w:t xml:space="preserve">. </w:t>
      </w:r>
    </w:p>
    <w:p w:rsidR="003D0906" w:rsidRPr="00DA7F99" w:rsidRDefault="003D0906" w:rsidP="003D0906">
      <w:pPr>
        <w:jc w:val="both"/>
        <w:rPr>
          <w:rFonts w:ascii="ITC Avant Garde" w:hAnsi="ITC Avant Garde"/>
        </w:rPr>
      </w:pPr>
      <w:r w:rsidRPr="00DA7F99">
        <w:rPr>
          <w:rFonts w:ascii="ITC Avant Garde" w:hAnsi="ITC Avant Garde"/>
        </w:rPr>
        <w:t xml:space="preserve">En razón de lo anterior, debe considerarse la importancia que tiene la simetría de la información en un mercado de dos lados, como lo es el del servicio de acceso a Internet. En donde la transparencia resulta ser un tema relevante, que dotará de información actualizada, verídica y certera a </w:t>
      </w:r>
      <w:r>
        <w:rPr>
          <w:rFonts w:ascii="ITC Avant Garde" w:hAnsi="ITC Avant Garde"/>
        </w:rPr>
        <w:t>PACS</w:t>
      </w:r>
      <w:r w:rsidRPr="00DA7F99">
        <w:rPr>
          <w:rFonts w:ascii="ITC Avant Garde" w:hAnsi="ITC Avant Garde"/>
        </w:rPr>
        <w:t xml:space="preserve"> y usuarios finales brindando certidumbre al mercado sobre su </w:t>
      </w:r>
      <w:r>
        <w:rPr>
          <w:rFonts w:ascii="ITC Avant Garde" w:hAnsi="ITC Avant Garde"/>
        </w:rPr>
        <w:t xml:space="preserve">operación y </w:t>
      </w:r>
      <w:r w:rsidRPr="00DA7F99">
        <w:rPr>
          <w:rFonts w:ascii="ITC Avant Garde" w:hAnsi="ITC Avant Garde"/>
        </w:rPr>
        <w:t>desarrollo.</w:t>
      </w:r>
    </w:p>
    <w:p w:rsidR="003D0906" w:rsidRPr="00DA7F99" w:rsidRDefault="003D0906" w:rsidP="003D0906">
      <w:pPr>
        <w:jc w:val="both"/>
        <w:rPr>
          <w:rFonts w:ascii="ITC Avant Garde" w:hAnsi="ITC Avant Garde"/>
          <w:b/>
          <w:i/>
        </w:rPr>
      </w:pPr>
      <w:r w:rsidRPr="00DA7F99">
        <w:rPr>
          <w:rFonts w:ascii="ITC Avant Garde" w:hAnsi="ITC Avant Garde"/>
          <w:b/>
          <w:i/>
        </w:rPr>
        <w:t>Preguntas</w:t>
      </w:r>
    </w:p>
    <w:p w:rsidR="003D0906" w:rsidRPr="00DA7F99" w:rsidRDefault="003D0906" w:rsidP="003D0906">
      <w:pPr>
        <w:pStyle w:val="Prrafodelista"/>
        <w:numPr>
          <w:ilvl w:val="0"/>
          <w:numId w:val="16"/>
        </w:numPr>
        <w:spacing w:after="120" w:line="240" w:lineRule="auto"/>
        <w:jc w:val="both"/>
        <w:rPr>
          <w:rFonts w:ascii="ITC Avant Garde" w:hAnsi="ITC Avant Garde"/>
        </w:rPr>
      </w:pPr>
      <w:r w:rsidRPr="00DA7F99">
        <w:rPr>
          <w:rFonts w:ascii="ITC Avant Garde" w:hAnsi="ITC Avant Garde"/>
        </w:rPr>
        <w:t xml:space="preserve">¿Considera que los </w:t>
      </w:r>
      <w:r>
        <w:rPr>
          <w:rFonts w:ascii="ITC Avant Garde" w:eastAsia="Times New Roman" w:hAnsi="ITC Avant Garde"/>
        </w:rPr>
        <w:t>PSI</w:t>
      </w:r>
      <w:r w:rsidRPr="00DA7F99">
        <w:rPr>
          <w:rFonts w:ascii="ITC Avant Garde" w:hAnsi="ITC Avant Garde"/>
        </w:rPr>
        <w:t xml:space="preserve"> brindan a sus usuarios finales información suficiente y accesible sobre las características del servicio ofrecido, incluyendo las políticas de gestión de tráfico y administración de red, velocidad, calidad y garantía del servicio?</w:t>
      </w:r>
    </w:p>
    <w:p w:rsidR="003D0906" w:rsidRPr="002266A8" w:rsidRDefault="003D0906" w:rsidP="003D0906">
      <w:pPr>
        <w:pStyle w:val="Prrafodelista"/>
        <w:numPr>
          <w:ilvl w:val="0"/>
          <w:numId w:val="16"/>
        </w:numPr>
        <w:spacing w:after="120" w:line="240" w:lineRule="auto"/>
        <w:jc w:val="both"/>
        <w:rPr>
          <w:rFonts w:ascii="ITC Avant Garde" w:hAnsi="ITC Avant Garde"/>
        </w:rPr>
      </w:pPr>
      <w:r w:rsidRPr="00DA7F99">
        <w:rPr>
          <w:rFonts w:ascii="ITC Avant Garde" w:hAnsi="ITC Avant Garde"/>
        </w:rPr>
        <w:t xml:space="preserve">¿Qué </w:t>
      </w:r>
      <w:r w:rsidRPr="002266A8">
        <w:rPr>
          <w:rFonts w:ascii="ITC Avant Garde" w:hAnsi="ITC Avant Garde"/>
        </w:rPr>
        <w:t xml:space="preserve">información, referente al servicio de acceso a Internet, considera relevante para hacer transparentes las políticas de gestión de tráfico implementadas por un prestador de dicho servicio? </w:t>
      </w:r>
    </w:p>
    <w:p w:rsidR="003D0906" w:rsidRDefault="003D0906" w:rsidP="003D0906">
      <w:pPr>
        <w:pStyle w:val="Prrafodelista"/>
        <w:numPr>
          <w:ilvl w:val="0"/>
          <w:numId w:val="16"/>
        </w:numPr>
        <w:spacing w:after="120" w:line="240" w:lineRule="auto"/>
        <w:jc w:val="both"/>
        <w:rPr>
          <w:rFonts w:ascii="ITC Avant Garde" w:hAnsi="ITC Avant Garde"/>
        </w:rPr>
      </w:pPr>
      <w:r w:rsidRPr="002266A8">
        <w:rPr>
          <w:rFonts w:ascii="ITC Avant Garde" w:hAnsi="ITC Avant Garde"/>
        </w:rPr>
        <w:t>¿Considera que existen los mecanismos de transparencia suficientes,</w:t>
      </w:r>
      <w:r>
        <w:rPr>
          <w:rFonts w:ascii="ITC Avant Garde" w:hAnsi="ITC Avant Garde"/>
        </w:rPr>
        <w:t xml:space="preserve"> que permitan garantizar el trato no discriminatorio que deben brindar los </w:t>
      </w:r>
      <w:r>
        <w:rPr>
          <w:rFonts w:ascii="ITC Avant Garde" w:eastAsia="Times New Roman" w:hAnsi="ITC Avant Garde"/>
        </w:rPr>
        <w:t>PSI</w:t>
      </w:r>
      <w:r>
        <w:rPr>
          <w:rFonts w:ascii="ITC Avant Garde" w:hAnsi="ITC Avant Garde"/>
        </w:rPr>
        <w:t xml:space="preserve"> a los PACS?</w:t>
      </w: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Pr="00373FE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373FE7">
        <w:rPr>
          <w:rFonts w:ascii="ITC Avant Garde" w:hAnsi="ITC Avant Garde"/>
          <w:b/>
        </w:rPr>
        <w:lastRenderedPageBreak/>
        <w:t>EXCLUSIVIDADES</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Contexto</w:t>
      </w:r>
    </w:p>
    <w:p w:rsidR="003D0906" w:rsidRPr="00373FE7" w:rsidRDefault="003D0906" w:rsidP="003D0906">
      <w:pPr>
        <w:jc w:val="both"/>
        <w:rPr>
          <w:rFonts w:ascii="ITC Avant Garde" w:hAnsi="ITC Avant Garde"/>
        </w:rPr>
      </w:pPr>
      <w:r w:rsidRPr="00373FE7">
        <w:rPr>
          <w:rFonts w:ascii="ITC Avant Garde" w:hAnsi="ITC Avant Garde"/>
        </w:rPr>
        <w:t>Por la naturaleza de los mercados de dos lados y los efectos</w:t>
      </w:r>
      <w:r>
        <w:rPr>
          <w:rFonts w:ascii="ITC Avant Garde" w:hAnsi="ITC Avant Garde"/>
        </w:rPr>
        <w:t xml:space="preserve"> de red inherentes a él, ambos agentes e</w:t>
      </w:r>
      <w:r w:rsidRPr="00373FE7">
        <w:rPr>
          <w:rFonts w:ascii="ITC Avant Garde" w:hAnsi="ITC Avant Garde"/>
        </w:rPr>
        <w:t>conómicos (</w:t>
      </w:r>
      <w:r>
        <w:rPr>
          <w:rFonts w:ascii="ITC Avant Garde" w:hAnsi="ITC Avant Garde"/>
        </w:rPr>
        <w:t>PSI</w:t>
      </w:r>
      <w:r w:rsidRPr="00373FE7">
        <w:rPr>
          <w:rFonts w:ascii="ITC Avant Garde" w:hAnsi="ITC Avant Garde"/>
        </w:rPr>
        <w:t xml:space="preserve"> y </w:t>
      </w:r>
      <w:r>
        <w:rPr>
          <w:rFonts w:ascii="ITC Avant Garde" w:hAnsi="ITC Avant Garde"/>
        </w:rPr>
        <w:t>PACS</w:t>
      </w:r>
      <w:r w:rsidRPr="00373FE7">
        <w:rPr>
          <w:rFonts w:ascii="ITC Avant Garde" w:hAnsi="ITC Avant Garde"/>
        </w:rPr>
        <w:t xml:space="preserve">) enfrentan incentivos para tener acuerdos de exclusividad. Por un lado, los </w:t>
      </w:r>
      <w:r>
        <w:rPr>
          <w:rFonts w:ascii="ITC Avant Garde" w:hAnsi="ITC Avant Garde"/>
        </w:rPr>
        <w:t>PSI</w:t>
      </w:r>
      <w:r w:rsidRPr="00373FE7">
        <w:rPr>
          <w:rFonts w:ascii="ITC Avant Garde" w:hAnsi="ITC Avant Garde"/>
        </w:rPr>
        <w:t xml:space="preserve"> se beneficiarían de poder ofrecer a los usuarios finales un bien o servicio de manera exclusiva, por lo que buscarían aliarse con un </w:t>
      </w:r>
      <w:r>
        <w:rPr>
          <w:rFonts w:ascii="ITC Avant Garde" w:hAnsi="ITC Avant Garde"/>
        </w:rPr>
        <w:t xml:space="preserve">PAC </w:t>
      </w:r>
      <w:r w:rsidRPr="00373FE7">
        <w:rPr>
          <w:rFonts w:ascii="ITC Avant Garde" w:hAnsi="ITC Avant Garde"/>
        </w:rPr>
        <w:t xml:space="preserve">que sea popular entre sus usuarios. Por otro lado, los </w:t>
      </w:r>
      <w:r>
        <w:rPr>
          <w:rFonts w:ascii="ITC Avant Garde" w:hAnsi="ITC Avant Garde"/>
        </w:rPr>
        <w:t>PACS</w:t>
      </w:r>
      <w:r w:rsidRPr="00373FE7">
        <w:rPr>
          <w:rFonts w:ascii="ITC Avant Garde" w:hAnsi="ITC Avant Garde"/>
        </w:rPr>
        <w:t xml:space="preserve"> también se beneficiarían de tener acceso exclusivo (o prioritario) a todos los usuarios finales del </w:t>
      </w:r>
      <w:r>
        <w:rPr>
          <w:rFonts w:ascii="ITC Avant Garde" w:hAnsi="ITC Avant Garde"/>
        </w:rPr>
        <w:t>PSI</w:t>
      </w:r>
      <w:r w:rsidRPr="00373FE7">
        <w:rPr>
          <w:rFonts w:ascii="ITC Avant Garde" w:hAnsi="ITC Avant Garde"/>
        </w:rPr>
        <w:t xml:space="preserve">. </w:t>
      </w:r>
    </w:p>
    <w:p w:rsidR="003D0906" w:rsidRDefault="003D0906" w:rsidP="003D0906">
      <w:pPr>
        <w:jc w:val="both"/>
        <w:rPr>
          <w:rFonts w:ascii="ITC Avant Garde" w:hAnsi="ITC Avant Garde"/>
        </w:rPr>
      </w:pPr>
      <w:r w:rsidRPr="00373FE7">
        <w:rPr>
          <w:rFonts w:ascii="ITC Avant Garde" w:hAnsi="ITC Avant Garde"/>
        </w:rPr>
        <w:t>Si bien se identifican div</w:t>
      </w:r>
      <w:r>
        <w:rPr>
          <w:rFonts w:ascii="ITC Avant Garde" w:hAnsi="ITC Avant Garde"/>
        </w:rPr>
        <w:t>ersos tipos de exclusividades, e</w:t>
      </w:r>
      <w:r w:rsidRPr="00373FE7">
        <w:rPr>
          <w:rFonts w:ascii="ITC Avant Garde" w:hAnsi="ITC Avant Garde"/>
        </w:rPr>
        <w:t xml:space="preserve">stas se deben analizar en el contexto de la prestación de servicios especializados por parte de los </w:t>
      </w:r>
      <w:r>
        <w:rPr>
          <w:rFonts w:ascii="ITC Avant Garde" w:hAnsi="ITC Avant Garde"/>
        </w:rPr>
        <w:t xml:space="preserve">PSI </w:t>
      </w:r>
      <w:r w:rsidRPr="00373FE7">
        <w:rPr>
          <w:rFonts w:ascii="ITC Avant Garde" w:hAnsi="ITC Avant Garde"/>
        </w:rPr>
        <w:t xml:space="preserve">a los </w:t>
      </w:r>
      <w:r>
        <w:rPr>
          <w:rFonts w:ascii="ITC Avant Garde" w:hAnsi="ITC Avant Garde"/>
        </w:rPr>
        <w:t>PACS</w:t>
      </w:r>
      <w:r w:rsidRPr="00373FE7">
        <w:rPr>
          <w:rFonts w:ascii="ITC Avant Garde" w:hAnsi="ITC Avant Garde"/>
        </w:rPr>
        <w:t xml:space="preserve">. </w:t>
      </w:r>
    </w:p>
    <w:p w:rsidR="003D0906" w:rsidRPr="00373FE7" w:rsidRDefault="003D0906" w:rsidP="003D0906">
      <w:pPr>
        <w:jc w:val="both"/>
        <w:rPr>
          <w:rFonts w:ascii="ITC Avant Garde" w:hAnsi="ITC Avant Garde"/>
        </w:rPr>
      </w:pPr>
      <w:r w:rsidRPr="00373FE7">
        <w:rPr>
          <w:rFonts w:ascii="ITC Avant Garde" w:hAnsi="ITC Avant Garde"/>
        </w:rPr>
        <w:t xml:space="preserve">En particular, el esquema que se considera es aquel en el que a través de un acuerdo exclusivo se puede proveer un contenido, aplicación o servicio con calidad </w:t>
      </w:r>
      <w:r w:rsidRPr="00373FE7">
        <w:rPr>
          <w:rFonts w:ascii="ITC Avant Garde" w:hAnsi="ITC Avant Garde"/>
          <w:i/>
        </w:rPr>
        <w:t>Premium</w:t>
      </w:r>
      <w:r w:rsidRPr="00373FE7">
        <w:rPr>
          <w:rFonts w:ascii="ITC Avant Garde" w:hAnsi="ITC Avant Garde"/>
        </w:rPr>
        <w:t xml:space="preserve"> a través del </w:t>
      </w:r>
      <w:r>
        <w:rPr>
          <w:rFonts w:ascii="ITC Avant Garde" w:hAnsi="ITC Avant Garde"/>
        </w:rPr>
        <w:t>PSI</w:t>
      </w:r>
      <w:r w:rsidRPr="00373FE7">
        <w:rPr>
          <w:rFonts w:ascii="ITC Avant Garde" w:hAnsi="ITC Avant Garde"/>
        </w:rPr>
        <w:t xml:space="preserve"> que goza de la exclusividad y con calidad normal a través de sus competidores. </w:t>
      </w:r>
    </w:p>
    <w:p w:rsidR="003D0906" w:rsidRPr="00373FE7" w:rsidRDefault="003D0906" w:rsidP="003D0906">
      <w:pPr>
        <w:jc w:val="both"/>
        <w:rPr>
          <w:rFonts w:ascii="ITC Avant Garde" w:hAnsi="ITC Avant Garde"/>
        </w:rPr>
      </w:pPr>
      <w:r w:rsidRPr="00373FE7">
        <w:rPr>
          <w:rFonts w:ascii="ITC Avant Garde" w:hAnsi="ITC Avant Garde"/>
        </w:rPr>
        <w:t>La Comisión de Comercio de Estados Unidos</w:t>
      </w:r>
      <w:r w:rsidRPr="00373FE7">
        <w:rPr>
          <w:rFonts w:ascii="ITC Avant Garde" w:hAnsi="ITC Avant Garde"/>
          <w:vertAlign w:val="superscript"/>
        </w:rPr>
        <w:footnoteReference w:id="7"/>
      </w:r>
      <w:r w:rsidRPr="00373FE7">
        <w:rPr>
          <w:rFonts w:ascii="ITC Avant Garde" w:hAnsi="ITC Avant Garde"/>
        </w:rPr>
        <w:t>, en la misma línea que la escuela de Chicago, ha manifestado que los contratos de exclusividad no son necesariamente dañinos ya que pudieran generar ganancias en eficiencia al garantizar que exista un intercambio, aspecto que se analiza desde una perspectiva ex post en materia de competencia económica. Sin embargo, cuando se analizan mercados de dos lados el razonamiento anterior no necesariamente resulta suficiente, por lo que es conveniente retomar algunas de las particularidades de los mercados de dos lados que lo separan del análisis tradicional.</w:t>
      </w:r>
      <w:r w:rsidRPr="00373FE7">
        <w:rPr>
          <w:rFonts w:ascii="ITC Avant Garde" w:hAnsi="ITC Avant Garde"/>
          <w:bCs/>
        </w:rPr>
        <w:t xml:space="preserve"> </w:t>
      </w:r>
    </w:p>
    <w:p w:rsidR="003D0906" w:rsidRPr="00373FE7" w:rsidRDefault="003D0906" w:rsidP="003D0906">
      <w:pPr>
        <w:jc w:val="both"/>
        <w:rPr>
          <w:rFonts w:ascii="ITC Avant Garde" w:hAnsi="ITC Avant Garde"/>
        </w:rPr>
      </w:pPr>
      <w:r>
        <w:rPr>
          <w:rFonts w:ascii="ITC Avant Garde" w:hAnsi="ITC Avant Garde"/>
        </w:rPr>
        <w:t>P</w:t>
      </w:r>
      <w:r w:rsidRPr="00373FE7">
        <w:rPr>
          <w:rFonts w:ascii="ITC Avant Garde" w:hAnsi="ITC Avant Garde"/>
        </w:rPr>
        <w:t xml:space="preserve">or un lado, la prestación exclusiva de servicios especializados genera incentivos tanto para el </w:t>
      </w:r>
      <w:r>
        <w:rPr>
          <w:rFonts w:ascii="ITC Avant Garde" w:hAnsi="ITC Avant Garde"/>
          <w:lang w:eastAsia="es-MX"/>
        </w:rPr>
        <w:t>PSI</w:t>
      </w:r>
      <w:r w:rsidRPr="00373FE7">
        <w:rPr>
          <w:rFonts w:ascii="ITC Avant Garde" w:hAnsi="ITC Avant Garde"/>
          <w:lang w:eastAsia="es-MX"/>
        </w:rPr>
        <w:t xml:space="preserve"> como para los </w:t>
      </w:r>
      <w:r>
        <w:rPr>
          <w:rFonts w:ascii="ITC Avant Garde" w:hAnsi="ITC Avant Garde"/>
          <w:lang w:eastAsia="es-MX"/>
        </w:rPr>
        <w:t>PACS</w:t>
      </w:r>
      <w:r w:rsidRPr="00373FE7">
        <w:rPr>
          <w:rFonts w:ascii="ITC Avant Garde" w:hAnsi="ITC Avant Garde"/>
          <w:lang w:eastAsia="es-MX"/>
        </w:rPr>
        <w:t xml:space="preserve"> para propiciar la innovación en contenidos. Ello representa</w:t>
      </w:r>
      <w:r w:rsidRPr="00373FE7">
        <w:rPr>
          <w:rFonts w:ascii="ITC Avant Garde" w:hAnsi="ITC Avant Garde"/>
        </w:rPr>
        <w:t xml:space="preserve"> beneficios para los usuarios finales al tener acceso a una nueva gama de servicios y de mayor calidad, o </w:t>
      </w:r>
      <w:r w:rsidRPr="00373FE7">
        <w:rPr>
          <w:rFonts w:ascii="ITC Avant Garde" w:hAnsi="ITC Avant Garde"/>
          <w:i/>
        </w:rPr>
        <w:t>Premium</w:t>
      </w:r>
      <w:r w:rsidRPr="00373FE7">
        <w:rPr>
          <w:rFonts w:ascii="ITC Avant Garde" w:hAnsi="ITC Avant Garde"/>
        </w:rPr>
        <w:t>.</w:t>
      </w:r>
    </w:p>
    <w:p w:rsidR="003D0906" w:rsidRPr="00373FE7" w:rsidRDefault="003D0906" w:rsidP="003D0906">
      <w:pPr>
        <w:jc w:val="both"/>
        <w:rPr>
          <w:rFonts w:ascii="ITC Avant Garde" w:hAnsi="ITC Avant Garde" w:cs="Arial"/>
        </w:rPr>
      </w:pPr>
      <w:r w:rsidRPr="00373FE7">
        <w:rPr>
          <w:rFonts w:ascii="ITC Avant Garde" w:hAnsi="ITC Avant Garde"/>
        </w:rPr>
        <w:t xml:space="preserve">Por otro lado, una desventaja de la permisión de acuerdos de exclusividad es que estos pudieran derivar en </w:t>
      </w:r>
      <w:r w:rsidRPr="00373FE7">
        <w:rPr>
          <w:rFonts w:ascii="ITC Avant Garde" w:hAnsi="ITC Avant Garde" w:cs="Arial"/>
        </w:rPr>
        <w:t xml:space="preserve">la </w:t>
      </w:r>
      <w:r w:rsidRPr="002266A8">
        <w:rPr>
          <w:rFonts w:ascii="ITC Avant Garde" w:hAnsi="ITC Avant Garde" w:cs="Arial"/>
        </w:rPr>
        <w:t>fragmentación parcial de Internet que implica</w:t>
      </w:r>
      <w:r w:rsidRPr="00373FE7">
        <w:rPr>
          <w:rFonts w:ascii="ITC Avant Garde" w:hAnsi="ITC Avant Garde" w:cs="Arial"/>
        </w:rPr>
        <w:t xml:space="preserve"> que no todo el contenido estará disponible, en las mismas condiciones, para todos los usuarios. Lo anterior podría generar altos costos de cambio para los usuarios que quisieran la calidad </w:t>
      </w:r>
      <w:r w:rsidRPr="00373FE7">
        <w:rPr>
          <w:rFonts w:ascii="ITC Avant Garde" w:hAnsi="ITC Avant Garde" w:cs="Arial"/>
          <w:i/>
        </w:rPr>
        <w:t>Premium</w:t>
      </w:r>
      <w:r w:rsidRPr="00373FE7">
        <w:rPr>
          <w:rFonts w:ascii="ITC Avant Garde" w:hAnsi="ITC Avant Garde" w:cs="Arial"/>
        </w:rPr>
        <w:t xml:space="preserve"> de un contenido, pero que hubieran contratado el servicio de acceso a Internet con un </w:t>
      </w:r>
      <w:r>
        <w:rPr>
          <w:rFonts w:ascii="ITC Avant Garde" w:eastAsia="Times New Roman" w:hAnsi="ITC Avant Garde" w:cs="Arial"/>
          <w:bCs/>
          <w:lang w:eastAsia="es-MX"/>
        </w:rPr>
        <w:t>PSI</w:t>
      </w:r>
      <w:r w:rsidRPr="00373FE7">
        <w:rPr>
          <w:rFonts w:ascii="ITC Avant Garde" w:eastAsia="Times New Roman" w:hAnsi="ITC Avant Garde" w:cs="Arial"/>
          <w:bCs/>
          <w:lang w:eastAsia="es-MX"/>
        </w:rPr>
        <w:t xml:space="preserve"> </w:t>
      </w:r>
      <w:r w:rsidRPr="00373FE7">
        <w:rPr>
          <w:rFonts w:ascii="ITC Avant Garde" w:hAnsi="ITC Avant Garde" w:cs="Arial"/>
        </w:rPr>
        <w:t>que no lo ofreciera de esa forma.</w:t>
      </w:r>
    </w:p>
    <w:p w:rsidR="003D0906" w:rsidRDefault="003D0906" w:rsidP="003D0906">
      <w:pPr>
        <w:jc w:val="both"/>
        <w:rPr>
          <w:rFonts w:ascii="ITC Avant Garde" w:hAnsi="ITC Avant Garde"/>
        </w:rPr>
      </w:pPr>
    </w:p>
    <w:p w:rsidR="003D0906" w:rsidRPr="00373FE7" w:rsidRDefault="003D0906" w:rsidP="003D0906">
      <w:pPr>
        <w:jc w:val="both"/>
        <w:rPr>
          <w:rFonts w:ascii="ITC Avant Garde" w:hAnsi="ITC Avant Garde"/>
        </w:rPr>
      </w:pPr>
      <w:r w:rsidRPr="002266A8">
        <w:rPr>
          <w:rFonts w:ascii="ITC Avant Garde" w:hAnsi="ITC Avant Garde"/>
        </w:rPr>
        <w:lastRenderedPageBreak/>
        <w:t>Lo anterior, podría repercutir en los niveles de concentración en los mercados de prestación del servicio de acceso a Internet</w:t>
      </w:r>
      <w:r w:rsidRPr="002266A8">
        <w:rPr>
          <w:rFonts w:ascii="ITC Avant Garde" w:eastAsia="Times New Roman" w:hAnsi="ITC Avant Garde"/>
          <w:bCs/>
          <w:lang w:eastAsia="es-MX"/>
        </w:rPr>
        <w:t xml:space="preserve"> y de provisión de contenidos, aplicaciones o servicios. Esto </w:t>
      </w:r>
      <w:r w:rsidRPr="002266A8">
        <w:rPr>
          <w:rFonts w:ascii="ITC Avant Garde" w:hAnsi="ITC Avant Garde"/>
        </w:rPr>
        <w:t>debido</w:t>
      </w:r>
      <w:r w:rsidRPr="00373FE7">
        <w:rPr>
          <w:rFonts w:ascii="ITC Avant Garde" w:hAnsi="ITC Avant Garde"/>
        </w:rPr>
        <w:t xml:space="preserve"> a la presencia de externalidades de red, en las que los usuarios finales buscarían unirse al </w:t>
      </w:r>
      <w:r>
        <w:rPr>
          <w:rFonts w:ascii="ITC Avant Garde" w:eastAsia="Times New Roman" w:hAnsi="ITC Avant Garde"/>
          <w:bCs/>
          <w:lang w:eastAsia="es-MX"/>
        </w:rPr>
        <w:t>PSI</w:t>
      </w:r>
      <w:r w:rsidRPr="00373FE7">
        <w:rPr>
          <w:rFonts w:ascii="ITC Avant Garde" w:hAnsi="ITC Avant Garde"/>
        </w:rPr>
        <w:t xml:space="preserve"> que les pueda ofrecer acceso a dichos contenidos </w:t>
      </w:r>
      <w:r w:rsidRPr="00373FE7">
        <w:rPr>
          <w:rFonts w:ascii="ITC Avant Garde" w:hAnsi="ITC Avant Garde"/>
          <w:i/>
        </w:rPr>
        <w:t>Premium</w:t>
      </w:r>
      <w:r w:rsidRPr="00373FE7">
        <w:rPr>
          <w:rFonts w:ascii="ITC Avant Garde" w:hAnsi="ITC Avant Garde"/>
        </w:rPr>
        <w:t xml:space="preserve"> y los </w:t>
      </w:r>
      <w:r>
        <w:rPr>
          <w:rFonts w:ascii="ITC Avant Garde" w:eastAsia="Times New Roman" w:hAnsi="ITC Avant Garde"/>
          <w:bCs/>
          <w:lang w:eastAsia="es-MX"/>
        </w:rPr>
        <w:t>PACS</w:t>
      </w:r>
      <w:r w:rsidRPr="00373FE7">
        <w:rPr>
          <w:rFonts w:ascii="ITC Avant Garde" w:hAnsi="ITC Avant Garde"/>
        </w:rPr>
        <w:t xml:space="preserve"> tendrían incentivos </w:t>
      </w:r>
      <w:r>
        <w:rPr>
          <w:rFonts w:ascii="ITC Avant Garde" w:hAnsi="ITC Avant Garde"/>
        </w:rPr>
        <w:t>para</w:t>
      </w:r>
      <w:r w:rsidRPr="00373FE7">
        <w:rPr>
          <w:rFonts w:ascii="ITC Avant Garde" w:hAnsi="ITC Avant Garde"/>
        </w:rPr>
        <w:t xml:space="preserve"> firmar contratos de exclusividad con el </w:t>
      </w:r>
      <w:r>
        <w:rPr>
          <w:rFonts w:ascii="ITC Avant Garde" w:eastAsia="Times New Roman" w:hAnsi="ITC Avant Garde"/>
          <w:bCs/>
          <w:lang w:eastAsia="es-MX"/>
        </w:rPr>
        <w:t>PSI</w:t>
      </w:r>
      <w:r w:rsidRPr="00373FE7">
        <w:rPr>
          <w:rFonts w:ascii="ITC Avant Garde" w:hAnsi="ITC Avant Garde"/>
        </w:rPr>
        <w:t xml:space="preserve"> que tuviera mayor cantidad de usuarios. </w:t>
      </w:r>
    </w:p>
    <w:p w:rsidR="003D0906" w:rsidRDefault="003D0906" w:rsidP="003D0906">
      <w:pPr>
        <w:rPr>
          <w:rFonts w:ascii="ITC Avant Garde" w:hAnsi="ITC Avant Garde"/>
        </w:rPr>
      </w:pPr>
      <w:r w:rsidRPr="008F3C26">
        <w:rPr>
          <w:rFonts w:ascii="ITC Avant Garde" w:hAnsi="ITC Avant Garde"/>
        </w:rPr>
        <w:t xml:space="preserve">Para mayor información sobre este tema, se recomienda consultar </w:t>
      </w:r>
      <w:r>
        <w:rPr>
          <w:rFonts w:ascii="ITC Avant Garde" w:hAnsi="ITC Avant Garde"/>
        </w:rPr>
        <w:t>el Estudio, apartado 6.2.</w:t>
      </w:r>
      <w:r w:rsidDel="00FF53A0">
        <w:rPr>
          <w:rFonts w:ascii="ITC Avant Garde" w:hAnsi="ITC Avant Garde"/>
        </w:rPr>
        <w:t xml:space="preserve"> </w:t>
      </w:r>
    </w:p>
    <w:p w:rsidR="003D0906" w:rsidRPr="00373FE7" w:rsidRDefault="003D0906" w:rsidP="003D0906">
      <w:pPr>
        <w:rPr>
          <w:rFonts w:ascii="ITC Avant Garde" w:hAnsi="ITC Avant Garde"/>
          <w:b/>
          <w:i/>
        </w:rPr>
      </w:pPr>
      <w:r w:rsidRPr="00373FE7">
        <w:rPr>
          <w:rFonts w:ascii="ITC Avant Garde" w:hAnsi="ITC Avant Garde"/>
          <w:b/>
          <w:i/>
        </w:rPr>
        <w:t>Preguntas</w:t>
      </w:r>
    </w:p>
    <w:p w:rsidR="003D0906" w:rsidRPr="00373FE7" w:rsidRDefault="003D0906" w:rsidP="003D0906">
      <w:pPr>
        <w:numPr>
          <w:ilvl w:val="0"/>
          <w:numId w:val="19"/>
        </w:numPr>
        <w:spacing w:after="120" w:line="240" w:lineRule="auto"/>
        <w:jc w:val="both"/>
        <w:rPr>
          <w:rFonts w:ascii="ITC Avant Garde" w:hAnsi="ITC Avant Garde"/>
        </w:rPr>
      </w:pPr>
      <w:r w:rsidRPr="00373FE7">
        <w:rPr>
          <w:rFonts w:ascii="ITC Avant Garde" w:hAnsi="ITC Avant Garde"/>
        </w:rPr>
        <w:t xml:space="preserve">¿Cuáles son las ventajas y desventajas de permitir las exclusividades en un mercado de dos lados, en </w:t>
      </w:r>
      <w:r w:rsidRPr="002266A8">
        <w:rPr>
          <w:rFonts w:ascii="ITC Avant Garde" w:hAnsi="ITC Avant Garde"/>
        </w:rPr>
        <w:t>particular, en el mercado de Internet?</w:t>
      </w:r>
      <w:r w:rsidRPr="00373FE7">
        <w:rPr>
          <w:rFonts w:ascii="ITC Avant Garde" w:hAnsi="ITC Avant Garde"/>
        </w:rPr>
        <w:t xml:space="preserve"> </w:t>
      </w:r>
    </w:p>
    <w:p w:rsidR="003D0906" w:rsidRDefault="003D0906" w:rsidP="003D0906">
      <w:pPr>
        <w:spacing w:after="120" w:line="240" w:lineRule="auto"/>
        <w:jc w:val="both"/>
        <w:rPr>
          <w:rFonts w:ascii="ITC Avant Garde" w:hAnsi="ITC Avant Garde"/>
        </w:rPr>
      </w:pPr>
    </w:p>
    <w:p w:rsidR="003D0906" w:rsidRPr="00373FE7" w:rsidRDefault="003D0906" w:rsidP="003D0906">
      <w:pPr>
        <w:numPr>
          <w:ilvl w:val="0"/>
          <w:numId w:val="19"/>
        </w:numPr>
        <w:spacing w:after="120" w:line="240" w:lineRule="auto"/>
        <w:jc w:val="both"/>
        <w:rPr>
          <w:rFonts w:ascii="ITC Avant Garde" w:hAnsi="ITC Avant Garde"/>
        </w:rPr>
      </w:pPr>
      <w:r>
        <w:rPr>
          <w:rFonts w:ascii="ITC Avant Garde" w:hAnsi="ITC Avant Garde"/>
        </w:rPr>
        <w:t>¿</w:t>
      </w:r>
      <w:r w:rsidRPr="00373FE7">
        <w:rPr>
          <w:rFonts w:ascii="ITC Avant Garde" w:hAnsi="ITC Avant Garde"/>
        </w:rPr>
        <w:t>Considera</w:t>
      </w:r>
      <w:r>
        <w:rPr>
          <w:rFonts w:ascii="ITC Avant Garde" w:hAnsi="ITC Avant Garde"/>
        </w:rPr>
        <w:t xml:space="preserve"> </w:t>
      </w:r>
      <w:r w:rsidRPr="00373FE7">
        <w:rPr>
          <w:rFonts w:ascii="ITC Avant Garde" w:hAnsi="ITC Avant Garde"/>
        </w:rPr>
        <w:t xml:space="preserve">que debería regularse el tema de exclusividades entre </w:t>
      </w:r>
      <w:r>
        <w:rPr>
          <w:rFonts w:ascii="ITC Avant Garde" w:hAnsi="ITC Avant Garde"/>
        </w:rPr>
        <w:t>los PSI y PACS</w:t>
      </w:r>
      <w:r w:rsidRPr="00373FE7">
        <w:rPr>
          <w:rFonts w:ascii="ITC Avant Garde" w:hAnsi="ITC Avant Garde"/>
        </w:rPr>
        <w:t xml:space="preserve">? En </w:t>
      </w:r>
      <w:r>
        <w:rPr>
          <w:rFonts w:ascii="ITC Avant Garde" w:hAnsi="ITC Avant Garde"/>
        </w:rPr>
        <w:t>caso afirmativo</w:t>
      </w:r>
      <w:r w:rsidRPr="00373FE7">
        <w:rPr>
          <w:rFonts w:ascii="ITC Avant Garde" w:hAnsi="ITC Avant Garde"/>
        </w:rPr>
        <w:t xml:space="preserve">: </w:t>
      </w:r>
    </w:p>
    <w:p w:rsidR="003D0906" w:rsidRPr="0009563F" w:rsidRDefault="003D0906" w:rsidP="003D0906">
      <w:pPr>
        <w:pStyle w:val="Prrafodelista"/>
        <w:numPr>
          <w:ilvl w:val="1"/>
          <w:numId w:val="16"/>
        </w:numPr>
        <w:spacing w:after="120" w:line="240" w:lineRule="auto"/>
        <w:contextualSpacing/>
        <w:jc w:val="both"/>
        <w:rPr>
          <w:rFonts w:ascii="ITC Avant Garde" w:hAnsi="ITC Avant Garde"/>
        </w:rPr>
      </w:pPr>
      <w:r w:rsidRPr="0009563F">
        <w:rPr>
          <w:rFonts w:ascii="ITC Avant Garde" w:hAnsi="ITC Avant Garde"/>
        </w:rPr>
        <w:t>¿Debería la regulación ser específica en algún tipo de servicio especializado o para todos?</w:t>
      </w:r>
    </w:p>
    <w:p w:rsidR="003D0906" w:rsidRPr="00373FE7" w:rsidRDefault="003D0906" w:rsidP="003D0906">
      <w:pPr>
        <w:pStyle w:val="Prrafodelista"/>
        <w:spacing w:after="120" w:line="240" w:lineRule="auto"/>
        <w:jc w:val="both"/>
        <w:rPr>
          <w:rFonts w:ascii="ITC Avant Garde" w:hAnsi="ITC Avant Garde"/>
        </w:rPr>
      </w:pPr>
      <w:r w:rsidRPr="00373FE7">
        <w:rPr>
          <w:rFonts w:ascii="ITC Avant Garde" w:hAnsi="ITC Avant Garde"/>
        </w:rPr>
        <w:t xml:space="preserve"> </w:t>
      </w:r>
    </w:p>
    <w:p w:rsidR="003D0906" w:rsidRPr="00373FE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373FE7">
        <w:rPr>
          <w:rFonts w:ascii="ITC Avant Garde" w:hAnsi="ITC Avant Garde"/>
          <w:b/>
        </w:rPr>
        <w:t>ESQUEMAS DE DATOS GRATUITOS AL USUARIO FINAL</w:t>
      </w:r>
      <w:r>
        <w:rPr>
          <w:rFonts w:ascii="ITC Avant Garde" w:hAnsi="ITC Avant Garde"/>
          <w:b/>
        </w:rPr>
        <w:t xml:space="preserve"> (SERVICIOS DIFERENCIADOS)</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Contexto</w:t>
      </w:r>
    </w:p>
    <w:p w:rsidR="003D0906" w:rsidRPr="00373FE7" w:rsidRDefault="003D0906" w:rsidP="003D0906">
      <w:pPr>
        <w:jc w:val="both"/>
        <w:rPr>
          <w:rFonts w:ascii="ITC Avant Garde" w:hAnsi="ITC Avant Garde"/>
        </w:rPr>
      </w:pPr>
      <w:r>
        <w:rPr>
          <w:rFonts w:ascii="ITC Avant Garde" w:hAnsi="ITC Avant Garde"/>
        </w:rPr>
        <w:t>E</w:t>
      </w:r>
      <w:r w:rsidRPr="00373FE7">
        <w:rPr>
          <w:rFonts w:ascii="ITC Avant Garde" w:hAnsi="ITC Avant Garde"/>
        </w:rPr>
        <w:t>n la actualidad</w:t>
      </w:r>
      <w:r>
        <w:rPr>
          <w:rFonts w:ascii="ITC Avant Garde" w:hAnsi="ITC Avant Garde"/>
        </w:rPr>
        <w:t>,</w:t>
      </w:r>
      <w:r w:rsidRPr="00373FE7">
        <w:rPr>
          <w:rFonts w:ascii="ITC Avant Garde" w:hAnsi="ITC Avant Garde"/>
        </w:rPr>
        <w:t xml:space="preserve"> </w:t>
      </w:r>
      <w:r w:rsidRPr="00373FE7">
        <w:rPr>
          <w:rFonts w:ascii="ITC Avant Garde" w:hAnsi="ITC Avant Garde" w:cs="Arial"/>
        </w:rPr>
        <w:t>en México</w:t>
      </w:r>
      <w:r>
        <w:rPr>
          <w:rFonts w:ascii="ITC Avant Garde" w:hAnsi="ITC Avant Garde" w:cs="Arial"/>
        </w:rPr>
        <w:t xml:space="preserve"> </w:t>
      </w:r>
      <w:r w:rsidRPr="00373FE7">
        <w:rPr>
          <w:rFonts w:ascii="ITC Avant Garde" w:hAnsi="ITC Avant Garde" w:cs="Arial"/>
        </w:rPr>
        <w:t xml:space="preserve">existen diversos operadores móviles que ofrecen paquetes </w:t>
      </w:r>
      <w:r w:rsidRPr="00373FE7">
        <w:rPr>
          <w:rFonts w:ascii="ITC Avant Garde" w:hAnsi="ITC Avant Garde"/>
        </w:rPr>
        <w:t xml:space="preserve">con esquemas de datos gratuitos como, por ejemplo, </w:t>
      </w:r>
      <w:r>
        <w:rPr>
          <w:rFonts w:ascii="ITC Avant Garde" w:hAnsi="ITC Avant Garde"/>
        </w:rPr>
        <w:t>redes sociales ilimitadas</w:t>
      </w:r>
      <w:r w:rsidRPr="00373FE7">
        <w:rPr>
          <w:rFonts w:ascii="ITC Avant Garde" w:hAnsi="ITC Avant Garde"/>
        </w:rPr>
        <w:t xml:space="preserve">. Dichas ofertas pueden ser resultado de un acuerdo entre un </w:t>
      </w:r>
      <w:r>
        <w:rPr>
          <w:rFonts w:ascii="ITC Avant Garde" w:hAnsi="ITC Avant Garde"/>
        </w:rPr>
        <w:t xml:space="preserve">PSI y un </w:t>
      </w:r>
      <w:r w:rsidRPr="002266A8">
        <w:rPr>
          <w:rFonts w:ascii="ITC Avant Garde" w:hAnsi="ITC Avant Garde"/>
        </w:rPr>
        <w:t>PACS específico, o</w:t>
      </w:r>
      <w:r w:rsidRPr="00373FE7">
        <w:rPr>
          <w:rFonts w:ascii="ITC Avant Garde" w:hAnsi="ITC Avant Garde"/>
        </w:rPr>
        <w:t xml:space="preserve"> bien, representar simplemente una decisión unilateral del </w:t>
      </w:r>
      <w:r>
        <w:rPr>
          <w:rFonts w:ascii="ITC Avant Garde" w:hAnsi="ITC Avant Garde"/>
        </w:rPr>
        <w:t>PSI</w:t>
      </w:r>
      <w:r w:rsidRPr="00373FE7">
        <w:rPr>
          <w:rFonts w:ascii="ITC Avant Garde" w:hAnsi="ITC Avant Garde"/>
        </w:rPr>
        <w:t xml:space="preserve"> para diferenciar su servicio ante el usuario final.</w:t>
      </w:r>
    </w:p>
    <w:p w:rsidR="003D0906" w:rsidRPr="00373FE7" w:rsidRDefault="003D0906" w:rsidP="003D0906">
      <w:pPr>
        <w:jc w:val="both"/>
        <w:rPr>
          <w:rFonts w:ascii="ITC Avant Garde" w:hAnsi="ITC Avant Garde"/>
        </w:rPr>
      </w:pPr>
      <w:r w:rsidRPr="00373FE7">
        <w:rPr>
          <w:rFonts w:ascii="ITC Avant Garde" w:hAnsi="ITC Avant Garde"/>
        </w:rPr>
        <w:t>En general, destacan los siguientes esquemas:</w:t>
      </w:r>
    </w:p>
    <w:p w:rsidR="003D0906" w:rsidRPr="00A81B64" w:rsidRDefault="003D0906" w:rsidP="003D0906">
      <w:pPr>
        <w:numPr>
          <w:ilvl w:val="0"/>
          <w:numId w:val="20"/>
        </w:numPr>
        <w:contextualSpacing/>
        <w:jc w:val="both"/>
        <w:rPr>
          <w:rFonts w:ascii="ITC Avant Garde" w:hAnsi="ITC Avant Garde"/>
        </w:rPr>
      </w:pPr>
      <w:r>
        <w:rPr>
          <w:rFonts w:ascii="ITC Avant Garde" w:hAnsi="ITC Avant Garde"/>
          <w:b/>
        </w:rPr>
        <w:t>Rating cero o datos de tráfico g</w:t>
      </w:r>
      <w:r w:rsidRPr="00A81B64">
        <w:rPr>
          <w:rFonts w:ascii="ITC Avant Garde" w:hAnsi="ITC Avant Garde"/>
          <w:b/>
        </w:rPr>
        <w:t>ratuito.</w:t>
      </w:r>
      <w:r w:rsidRPr="00A81B64">
        <w:rPr>
          <w:rFonts w:ascii="ITC Avant Garde" w:hAnsi="ITC Avant Garde"/>
        </w:rPr>
        <w:t xml:space="preserve"> Esquema en la que el </w:t>
      </w:r>
      <w:r>
        <w:rPr>
          <w:rFonts w:ascii="ITC Avant Garde" w:hAnsi="ITC Avant Garde"/>
        </w:rPr>
        <w:t>PSI</w:t>
      </w:r>
      <w:r w:rsidRPr="00A81B64">
        <w:rPr>
          <w:rFonts w:ascii="ITC Avant Garde" w:hAnsi="ITC Avant Garde"/>
        </w:rPr>
        <w:t>, por decisión unilateral y con el incentivo de diferenciarse de sus competidores, ofrece a sus usuarios finales que cuentan con servicio de datos, el acceso a ciertos contenidos, aplicaciones o servicios (generalmente redes sociales) sin que estos se contabilicen en su consumo.</w:t>
      </w:r>
    </w:p>
    <w:p w:rsidR="003D0906" w:rsidRDefault="003D0906" w:rsidP="003D0906">
      <w:pPr>
        <w:numPr>
          <w:ilvl w:val="0"/>
          <w:numId w:val="20"/>
        </w:numPr>
        <w:contextualSpacing/>
        <w:jc w:val="both"/>
        <w:rPr>
          <w:rFonts w:ascii="ITC Avant Garde" w:hAnsi="ITC Avant Garde"/>
        </w:rPr>
      </w:pPr>
      <w:r>
        <w:rPr>
          <w:rFonts w:ascii="ITC Avant Garde" w:hAnsi="ITC Avant Garde"/>
          <w:b/>
        </w:rPr>
        <w:t>Datos a</w:t>
      </w:r>
      <w:r w:rsidRPr="00A81B64">
        <w:rPr>
          <w:rFonts w:ascii="ITC Avant Garde" w:hAnsi="ITC Avant Garde"/>
          <w:b/>
        </w:rPr>
        <w:t>uspiciados.</w:t>
      </w:r>
      <w:r w:rsidRPr="00A81B64">
        <w:rPr>
          <w:rFonts w:ascii="ITC Avant Garde" w:hAnsi="ITC Avant Garde"/>
        </w:rPr>
        <w:t xml:space="preserve"> Esquemas de cobro revertido en el que un </w:t>
      </w:r>
      <w:r>
        <w:rPr>
          <w:rFonts w:ascii="ITC Avant Garde" w:hAnsi="ITC Avant Garde"/>
        </w:rPr>
        <w:t>PACS</w:t>
      </w:r>
      <w:r w:rsidRPr="00A81B64">
        <w:rPr>
          <w:rFonts w:ascii="ITC Avant Garde" w:hAnsi="ITC Avant Garde"/>
        </w:rPr>
        <w:t xml:space="preserve"> acuerda con un </w:t>
      </w:r>
      <w:r>
        <w:rPr>
          <w:rFonts w:ascii="ITC Avant Garde" w:hAnsi="ITC Avant Garde"/>
        </w:rPr>
        <w:t>PSI</w:t>
      </w:r>
      <w:r w:rsidRPr="00A81B64">
        <w:rPr>
          <w:rFonts w:ascii="ITC Avant Garde" w:hAnsi="ITC Avant Garde"/>
        </w:rPr>
        <w:t xml:space="preserve"> cubrir el costo del acceso de los usuarios finales de Internet a un contenido, aplicación o servicio específico. </w:t>
      </w:r>
    </w:p>
    <w:p w:rsidR="003D0906" w:rsidRDefault="003D0906" w:rsidP="003D0906">
      <w:pPr>
        <w:contextualSpacing/>
        <w:jc w:val="both"/>
        <w:rPr>
          <w:rFonts w:ascii="ITC Avant Garde" w:hAnsi="ITC Avant Garde"/>
        </w:rPr>
      </w:pPr>
    </w:p>
    <w:p w:rsidR="003D0906" w:rsidRPr="00A81B64" w:rsidRDefault="003D0906" w:rsidP="003D0906">
      <w:pPr>
        <w:contextualSpacing/>
        <w:jc w:val="both"/>
        <w:rPr>
          <w:rFonts w:ascii="ITC Avant Garde" w:hAnsi="ITC Avant Garde"/>
        </w:rPr>
      </w:pPr>
    </w:p>
    <w:p w:rsidR="003D0906" w:rsidRDefault="003D0906" w:rsidP="003D0906">
      <w:pPr>
        <w:numPr>
          <w:ilvl w:val="0"/>
          <w:numId w:val="20"/>
        </w:numPr>
        <w:contextualSpacing/>
        <w:jc w:val="both"/>
        <w:rPr>
          <w:rFonts w:ascii="ITC Avant Garde" w:hAnsi="ITC Avant Garde"/>
        </w:rPr>
      </w:pPr>
      <w:r w:rsidRPr="00373FE7">
        <w:rPr>
          <w:rFonts w:ascii="ITC Avant Garde" w:hAnsi="ITC Avant Garde"/>
          <w:b/>
        </w:rPr>
        <w:lastRenderedPageBreak/>
        <w:t>Plataformas de contenido gratuito</w:t>
      </w:r>
      <w:r w:rsidRPr="00373FE7">
        <w:rPr>
          <w:rFonts w:ascii="ITC Avant Garde" w:hAnsi="ITC Avant Garde"/>
        </w:rPr>
        <w:t xml:space="preserve">. Esquema promovido por los </w:t>
      </w:r>
      <w:r>
        <w:rPr>
          <w:rFonts w:ascii="ITC Avant Garde" w:hAnsi="ITC Avant Garde"/>
        </w:rPr>
        <w:t>PACS</w:t>
      </w:r>
      <w:r w:rsidRPr="00373FE7">
        <w:rPr>
          <w:rFonts w:ascii="ITC Avant Garde" w:hAnsi="ITC Avant Garde"/>
        </w:rPr>
        <w:t xml:space="preserve"> para proveer a usuarios finales – que no requieren tener un plan de datos o saldo – de acceso a un conjunto restringido de contenidos, aplicaciones o servicios. Generalmente, se promueven como estrategia para fomentar la adopción de banda ancha en poblaciones o regiones con escaso acceso. </w:t>
      </w:r>
    </w:p>
    <w:p w:rsidR="003D0906" w:rsidRPr="00373FE7" w:rsidRDefault="003D0906" w:rsidP="003D0906">
      <w:pPr>
        <w:ind w:left="780"/>
        <w:contextualSpacing/>
        <w:jc w:val="both"/>
        <w:rPr>
          <w:rFonts w:ascii="ITC Avant Garde" w:hAnsi="ITC Avant Garde"/>
        </w:rPr>
      </w:pPr>
    </w:p>
    <w:p w:rsidR="003D0906" w:rsidRPr="00373FE7" w:rsidRDefault="003D0906" w:rsidP="003D0906">
      <w:pPr>
        <w:jc w:val="both"/>
        <w:rPr>
          <w:rFonts w:ascii="ITC Avant Garde" w:eastAsia="Times New Roman" w:hAnsi="ITC Avant Garde"/>
        </w:rPr>
      </w:pPr>
      <w:r w:rsidRPr="00373FE7">
        <w:rPr>
          <w:rFonts w:ascii="ITC Avant Garde" w:hAnsi="ITC Avant Garde"/>
        </w:rPr>
        <w:t>Por el lado del usuario final, estas prácticas se consideran favorables debido a que estos podrían verse beneficiados al tener acceso a mayor contenido por el mismo precio, disminuir su gasto en el servicio de datos, o en un caso más extremo, ser nuevos usuarios del servicio de acceso a Internet. También pudieran generar una</w:t>
      </w:r>
      <w:r w:rsidRPr="00373FE7">
        <w:rPr>
          <w:rFonts w:ascii="ITC Avant Garde" w:eastAsia="Times New Roman" w:hAnsi="ITC Avant Garde"/>
        </w:rPr>
        <w:t xml:space="preserve"> ventaja al </w:t>
      </w:r>
      <w:r>
        <w:rPr>
          <w:rFonts w:ascii="ITC Avant Garde" w:eastAsia="Times New Roman" w:hAnsi="ITC Avant Garde"/>
        </w:rPr>
        <w:t>p</w:t>
      </w:r>
      <w:r w:rsidRPr="00373FE7">
        <w:rPr>
          <w:rFonts w:ascii="ITC Avant Garde" w:eastAsia="Times New Roman" w:hAnsi="ITC Avant Garde"/>
        </w:rPr>
        <w:t xml:space="preserve">roveedor cuyo contenido, aplicación o servicio es entregado gratuitamente por sobre el resto, ya que se incentiva a los usuarios finales a un mayor consumo de su contenido. Adicionalmente, es relevante considerar si habría o no un efecto del consumo de datos gratuitos en la congestión de las redes de los </w:t>
      </w:r>
      <w:r>
        <w:rPr>
          <w:rFonts w:ascii="ITC Avant Garde" w:eastAsia="Times New Roman" w:hAnsi="ITC Avant Garde"/>
        </w:rPr>
        <w:t>PSI</w:t>
      </w:r>
      <w:r w:rsidRPr="00373FE7">
        <w:rPr>
          <w:rFonts w:ascii="ITC Avant Garde" w:eastAsia="Times New Roman" w:hAnsi="ITC Avant Garde"/>
        </w:rPr>
        <w:t xml:space="preserve"> y las acciones que estos pudieran llevar a cabo en cuanto a la expansión de capacidad de las redes.</w:t>
      </w:r>
    </w:p>
    <w:p w:rsidR="003D0906" w:rsidRPr="00373FE7" w:rsidRDefault="003D0906" w:rsidP="003D0906">
      <w:pPr>
        <w:jc w:val="both"/>
        <w:rPr>
          <w:rFonts w:ascii="ITC Avant Garde" w:hAnsi="ITC Avant Garde"/>
        </w:rPr>
      </w:pPr>
      <w:r w:rsidRPr="00373FE7">
        <w:rPr>
          <w:rFonts w:ascii="ITC Avant Garde" w:hAnsi="ITC Avant Garde"/>
        </w:rPr>
        <w:t xml:space="preserve">Para mayor información sobre este tema, se recomienda consultar </w:t>
      </w:r>
      <w:r>
        <w:rPr>
          <w:rFonts w:ascii="ITC Avant Garde" w:hAnsi="ITC Avant Garde"/>
        </w:rPr>
        <w:t>el Estudio, apartados</w:t>
      </w:r>
      <w:r w:rsidRPr="00373FE7">
        <w:rPr>
          <w:rFonts w:ascii="ITC Avant Garde" w:hAnsi="ITC Avant Garde"/>
        </w:rPr>
        <w:t xml:space="preserve"> 6.2.2</w:t>
      </w:r>
      <w:r>
        <w:rPr>
          <w:rFonts w:ascii="ITC Avant Garde" w:hAnsi="ITC Avant Garde"/>
        </w:rPr>
        <w:t xml:space="preserve"> y 6.2.3</w:t>
      </w:r>
      <w:r w:rsidRPr="00373FE7">
        <w:rPr>
          <w:rFonts w:ascii="ITC Avant Garde" w:hAnsi="ITC Avant Garde"/>
        </w:rPr>
        <w:t>.</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Preguntas</w:t>
      </w:r>
    </w:p>
    <w:p w:rsidR="003D0906" w:rsidRPr="00373FE7" w:rsidRDefault="003D0906" w:rsidP="003D0906">
      <w:pPr>
        <w:numPr>
          <w:ilvl w:val="0"/>
          <w:numId w:val="21"/>
        </w:numPr>
        <w:contextualSpacing/>
        <w:jc w:val="both"/>
        <w:rPr>
          <w:rFonts w:ascii="ITC Avant Garde" w:hAnsi="ITC Avant Garde"/>
        </w:rPr>
      </w:pPr>
      <w:r w:rsidRPr="00373FE7">
        <w:rPr>
          <w:rFonts w:ascii="ITC Avant Garde" w:hAnsi="ITC Avant Garde"/>
        </w:rPr>
        <w:t xml:space="preserve">¿Qué ventajas o desventajas considera que tienen este tipo de esquemas de consumo de datos tanto para usuarios finales, como para </w:t>
      </w:r>
      <w:r>
        <w:rPr>
          <w:rFonts w:ascii="ITC Avant Garde" w:hAnsi="ITC Avant Garde"/>
        </w:rPr>
        <w:t>los PSI y los PACS</w:t>
      </w:r>
      <w:r w:rsidRPr="00373FE7">
        <w:rPr>
          <w:rFonts w:ascii="ITC Avant Garde" w:hAnsi="ITC Avant Garde"/>
        </w:rPr>
        <w:t>?</w:t>
      </w:r>
    </w:p>
    <w:p w:rsidR="003D0906" w:rsidRPr="002266A8" w:rsidRDefault="003D0906" w:rsidP="003D0906">
      <w:pPr>
        <w:numPr>
          <w:ilvl w:val="0"/>
          <w:numId w:val="21"/>
        </w:numPr>
        <w:contextualSpacing/>
        <w:jc w:val="both"/>
        <w:rPr>
          <w:rFonts w:ascii="ITC Avant Garde" w:hAnsi="ITC Avant Garde"/>
        </w:rPr>
      </w:pPr>
      <w:r w:rsidRPr="002266A8">
        <w:rPr>
          <w:rFonts w:ascii="ITC Avant Garde" w:hAnsi="ITC Avant Garde"/>
        </w:rPr>
        <w:t>Con base en lo anterior, ¿considera que dichos esquemas contribuyen al desarrollo de Internet en su conjunto? Detalle su respuesta.</w:t>
      </w:r>
    </w:p>
    <w:p w:rsidR="003D0906" w:rsidRPr="00373FE7" w:rsidRDefault="003D0906" w:rsidP="003D0906">
      <w:pPr>
        <w:numPr>
          <w:ilvl w:val="0"/>
          <w:numId w:val="21"/>
        </w:numPr>
        <w:contextualSpacing/>
        <w:jc w:val="both"/>
        <w:rPr>
          <w:rFonts w:ascii="ITC Avant Garde" w:hAnsi="ITC Avant Garde"/>
        </w:rPr>
      </w:pPr>
      <w:r w:rsidRPr="002266A8">
        <w:rPr>
          <w:rFonts w:ascii="ITC Avant Garde" w:hAnsi="ITC Avant Garde"/>
        </w:rPr>
        <w:t>¿Considera que debería establecerse algún tipo de regulación para dichos esquemas de consumo de datos? En su caso</w:t>
      </w:r>
      <w:r w:rsidRPr="00373FE7">
        <w:rPr>
          <w:rFonts w:ascii="ITC Avant Garde" w:hAnsi="ITC Avant Garde"/>
        </w:rPr>
        <w:t xml:space="preserve">, ¿optaría por un esquema ex ante o ex post? Justifique su respuesta. </w:t>
      </w:r>
    </w:p>
    <w:p w:rsidR="003D0906" w:rsidRPr="003C3F25" w:rsidRDefault="003D0906" w:rsidP="003D0906">
      <w:pPr>
        <w:spacing w:after="120" w:line="240" w:lineRule="auto"/>
        <w:jc w:val="both"/>
        <w:rPr>
          <w:rFonts w:ascii="ITC Avant Garde" w:hAnsi="ITC Avant Garde"/>
        </w:rPr>
      </w:pPr>
    </w:p>
    <w:p w:rsidR="003D0906" w:rsidRPr="00C41536" w:rsidRDefault="003D0906" w:rsidP="003D0906">
      <w:pPr>
        <w:spacing w:after="0"/>
        <w:jc w:val="both"/>
        <w:rPr>
          <w:rFonts w:ascii="Century Gothic" w:hAnsi="Century Gothic"/>
          <w:sz w:val="16"/>
        </w:rPr>
      </w:pPr>
    </w:p>
    <w:p w:rsidR="003D0906" w:rsidRPr="00F36A5D" w:rsidRDefault="003D0906" w:rsidP="00170916">
      <w:pPr>
        <w:spacing w:after="0"/>
        <w:jc w:val="both"/>
        <w:rPr>
          <w:rFonts w:ascii="ITC Avant Garde" w:hAnsi="ITC Avant Garde"/>
          <w:sz w:val="16"/>
        </w:rPr>
      </w:pPr>
    </w:p>
    <w:sectPr w:rsidR="003D0906"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B1" w:rsidRDefault="00054FB1" w:rsidP="0038199D">
      <w:pPr>
        <w:spacing w:after="0" w:line="240" w:lineRule="auto"/>
      </w:pPr>
      <w:r>
        <w:separator/>
      </w:r>
    </w:p>
  </w:endnote>
  <w:endnote w:type="continuationSeparator" w:id="0">
    <w:p w:rsidR="00054FB1" w:rsidRDefault="00054FB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91A52" w:rsidRPr="00691A52">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91A52" w:rsidRPr="00691A52">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B1" w:rsidRDefault="00054FB1" w:rsidP="0038199D">
      <w:pPr>
        <w:spacing w:after="0" w:line="240" w:lineRule="auto"/>
      </w:pPr>
      <w:r>
        <w:separator/>
      </w:r>
    </w:p>
  </w:footnote>
  <w:footnote w:type="continuationSeparator" w:id="0">
    <w:p w:rsidR="00054FB1" w:rsidRDefault="00054FB1" w:rsidP="0038199D">
      <w:pPr>
        <w:spacing w:after="0" w:line="240" w:lineRule="auto"/>
      </w:pPr>
      <w:r>
        <w:continuationSeparator/>
      </w:r>
    </w:p>
  </w:footnote>
  <w:footnote w:id="1">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Pr>
          <w:rFonts w:ascii="ITC Avant Garde" w:hAnsi="ITC Avant Garde"/>
          <w:sz w:val="16"/>
          <w:szCs w:val="16"/>
        </w:rPr>
        <w:t>ITU.</w:t>
      </w:r>
      <w:r w:rsidRPr="00AC35B0">
        <w:rPr>
          <w:rFonts w:ascii="ITC Avant Garde" w:hAnsi="ITC Avant Garde"/>
          <w:sz w:val="16"/>
          <w:szCs w:val="16"/>
        </w:rPr>
        <w:t xml:space="preserve">“Tendencias en las reformas de telecomunicaciones 2013: Aspectos transnacionales de la reglamentación en una sociedad interconectada”. Disponible en: </w:t>
      </w:r>
      <w:hyperlink r:id="rId1" w:history="1">
        <w:r w:rsidRPr="00AC35B0">
          <w:rPr>
            <w:rStyle w:val="Hipervnculo"/>
            <w:rFonts w:ascii="ITC Avant Garde" w:hAnsi="ITC Avant Garde"/>
            <w:sz w:val="16"/>
            <w:szCs w:val="16"/>
          </w:rPr>
          <w:t>http://www.itu.int/es/publications/ITU-D/Pages/publications.aspx?parent=D-PREF-TTR.14-2013&amp;media=electronic</w:t>
        </w:r>
      </w:hyperlink>
    </w:p>
  </w:footnote>
  <w:footnote w:id="2">
    <w:p w:rsidR="003D0906" w:rsidRPr="001C1BE2" w:rsidRDefault="003D0906" w:rsidP="003D0906">
      <w:pPr>
        <w:pStyle w:val="PiedePgina0"/>
        <w:rPr>
          <w:rFonts w:ascii="ITC Avant Garde" w:hAnsi="ITC Avant Garde"/>
          <w:color w:val="000000"/>
          <w:lang w:eastAsia="es-MX"/>
        </w:rPr>
      </w:pPr>
      <w:r w:rsidRPr="008337D5">
        <w:rPr>
          <w:rStyle w:val="Refdenotaalpie"/>
        </w:rPr>
        <w:footnoteRef/>
      </w:r>
      <w:r w:rsidRPr="008337D5">
        <w:rPr>
          <w:rFonts w:ascii="ITC Avant Garde" w:hAnsi="ITC Avant Garde"/>
          <w:bCs w:val="0"/>
          <w:lang w:val="en-US"/>
        </w:rPr>
        <w:t xml:space="preserve"> </w:t>
      </w:r>
      <w:r>
        <w:rPr>
          <w:rFonts w:ascii="ITC Avant Garde" w:hAnsi="ITC Avant Garde"/>
          <w:bCs w:val="0"/>
        </w:rPr>
        <w:t>CISCO. 2019.</w:t>
      </w:r>
      <w:r w:rsidRPr="008337D5">
        <w:rPr>
          <w:rFonts w:ascii="ITC Avant Garde" w:hAnsi="ITC Avant Garde"/>
          <w:bCs w:val="0"/>
          <w:lang w:val="en-US"/>
        </w:rPr>
        <w:t xml:space="preserve"> “</w:t>
      </w:r>
      <w:r w:rsidRPr="00B87AEA">
        <w:rPr>
          <w:rFonts w:ascii="ITC Avant Garde" w:hAnsi="ITC Avant Garde"/>
          <w:bCs w:val="0"/>
          <w:lang w:val="en-US"/>
        </w:rPr>
        <w:t xml:space="preserve">Cisco Visual Networking Index: Forecast and Trends, 2017–2022”. Disponible en: https://www.cisco.com/c/en/us/solutions/collateral/service-provider/visual-networking-index-vni/white-paper-c11-741490.html     </w:t>
      </w:r>
    </w:p>
  </w:footnote>
  <w:footnote w:id="3">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Pr>
          <w:rFonts w:ascii="ITC Avant Garde" w:hAnsi="ITC Avant Garde"/>
          <w:sz w:val="16"/>
          <w:szCs w:val="16"/>
        </w:rPr>
        <w:t>ITU, 2013</w:t>
      </w:r>
      <w:r w:rsidRPr="00AC35B0">
        <w:rPr>
          <w:rFonts w:ascii="ITC Avant Garde" w:hAnsi="ITC Avant Garde"/>
          <w:sz w:val="16"/>
          <w:szCs w:val="16"/>
        </w:rPr>
        <w:t xml:space="preserve"> “Tendencias en las reformas de telecomunicaciones 2013: Aspectos transnacionales de la reglamentación en una sociedad interconectada”. Disponible en: </w:t>
      </w:r>
      <w:hyperlink r:id="rId2" w:history="1">
        <w:r w:rsidRPr="00AC35B0">
          <w:rPr>
            <w:rStyle w:val="Hipervnculo"/>
            <w:rFonts w:ascii="ITC Avant Garde" w:hAnsi="ITC Avant Garde"/>
            <w:sz w:val="16"/>
            <w:szCs w:val="16"/>
          </w:rPr>
          <w:t>http://www.itu.int/es/publications/ITU-D/Pages/publications.aspx?parent=D-PREF-TTR.14-2013&amp;media=electronic</w:t>
        </w:r>
      </w:hyperlink>
    </w:p>
  </w:footnote>
  <w:footnote w:id="4">
    <w:p w:rsidR="003D0906" w:rsidRPr="00AC35B0" w:rsidRDefault="003D0906" w:rsidP="003D0906">
      <w:pPr>
        <w:jc w:val="both"/>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lang w:val="en-US"/>
        </w:rPr>
        <w:t xml:space="preserve"> </w:t>
      </w:r>
      <w:r>
        <w:rPr>
          <w:rFonts w:ascii="ITC Avant Garde" w:hAnsi="ITC Avant Garde"/>
          <w:sz w:val="16"/>
          <w:szCs w:val="16"/>
          <w:lang w:val="en-US"/>
        </w:rPr>
        <w:t xml:space="preserve">Faulhaber &amp; Farber, 2009. </w:t>
      </w:r>
      <w:r w:rsidRPr="00AC35B0">
        <w:rPr>
          <w:rFonts w:ascii="ITC Avant Garde" w:hAnsi="ITC Avant Garde"/>
          <w:sz w:val="16"/>
          <w:szCs w:val="16"/>
          <w:lang w:val="en-US"/>
        </w:rPr>
        <w:t xml:space="preserve">“Innovation in the wireless ecosystem: a customer-centric framework”. </w:t>
      </w:r>
      <w:r w:rsidRPr="00AC35B0">
        <w:rPr>
          <w:rFonts w:ascii="ITC Avant Garde" w:hAnsi="ITC Avant Garde"/>
          <w:sz w:val="16"/>
          <w:szCs w:val="16"/>
        </w:rPr>
        <w:t xml:space="preserve">Disponible en: </w:t>
      </w:r>
      <w:hyperlink r:id="rId3" w:history="1">
        <w:r w:rsidRPr="00AC35B0">
          <w:rPr>
            <w:rFonts w:ascii="ITC Avant Garde" w:hAnsi="ITC Avant Garde"/>
            <w:sz w:val="16"/>
            <w:szCs w:val="16"/>
          </w:rPr>
          <w:t>http://ijoc.org/index.php/ijoc/article/viewFile/670/388</w:t>
        </w:r>
      </w:hyperlink>
      <w:r w:rsidRPr="00AC35B0">
        <w:rPr>
          <w:rFonts w:ascii="ITC Avant Garde" w:hAnsi="ITC Avant Garde"/>
          <w:sz w:val="16"/>
          <w:szCs w:val="16"/>
        </w:rPr>
        <w:t xml:space="preserve"> </w:t>
      </w:r>
    </w:p>
  </w:footnote>
  <w:footnote w:id="5">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sidRPr="003D0906">
        <w:rPr>
          <w:rFonts w:ascii="ITC Avant Garde" w:eastAsia="Calibri" w:hAnsi="ITC Avant Garde"/>
          <w:sz w:val="16"/>
          <w:szCs w:val="16"/>
        </w:rPr>
        <w:t xml:space="preserve">Estudio didáctico elaborado por la Unidad de Política Regulatoria del Instituto Federal de Telecomunicaciones, el cual ha sido publicado con un lenguaje compresible para el público en general a fin de contribuir y facilitar la comprensión del tema, promoviendo el acercamiento y participación de los diferentes interesados durante el proceso de consulta pública del ANTEPROYECTO DE LINEAMIENTOS PARA LA GESTIÓN DE TRÁFICO Y ADMINISTRACIÓN DE RED A QUE DEBERÁN SUJETARSE LOS CONCESIONARIOS Y AUTORIZADOS QUE PRESTEN EL SERVICIO DE ACCESO A INTERNET. Disponible en el sitio web del Instituto: </w:t>
      </w:r>
      <w:hyperlink r:id="rId4" w:history="1">
        <w:r w:rsidRPr="003D0906">
          <w:rPr>
            <w:rFonts w:ascii="ITC Avant Garde" w:eastAsia="Calibri" w:hAnsi="ITC Avant Garde"/>
            <w:sz w:val="16"/>
            <w:szCs w:val="16"/>
          </w:rPr>
          <w:t>www.ift.org.mx</w:t>
        </w:r>
      </w:hyperlink>
      <w:r w:rsidRPr="003D0906">
        <w:rPr>
          <w:rFonts w:ascii="ITC Avant Garde" w:eastAsia="Calibri" w:hAnsi="ITC Avant Garde"/>
          <w:sz w:val="16"/>
          <w:szCs w:val="16"/>
        </w:rPr>
        <w:t>.</w:t>
      </w:r>
    </w:p>
  </w:footnote>
  <w:footnote w:id="6">
    <w:p w:rsidR="003D0906" w:rsidRPr="00AC35B0" w:rsidRDefault="003D0906" w:rsidP="003D0906">
      <w:pPr>
        <w:pStyle w:val="PiedePgina0"/>
        <w:jc w:val="both"/>
        <w:rPr>
          <w:rFonts w:ascii="ITC Avant Garde" w:hAnsi="ITC Avant Garde"/>
        </w:rPr>
      </w:pPr>
      <w:r w:rsidRPr="00AC35B0">
        <w:rPr>
          <w:rStyle w:val="Refdenotaalpie"/>
          <w:rFonts w:ascii="ITC Avant Garde" w:hAnsi="ITC Avant Garde"/>
        </w:rPr>
        <w:footnoteRef/>
      </w:r>
      <w:r>
        <w:rPr>
          <w:rFonts w:ascii="ITC Avant Garde" w:hAnsi="ITC Avant Garde"/>
        </w:rPr>
        <w:t xml:space="preserve"> ITU, 2013</w:t>
      </w:r>
      <w:r w:rsidRPr="00AC35B0">
        <w:rPr>
          <w:rFonts w:ascii="ITC Avant Garde" w:hAnsi="ITC Avant Garde"/>
        </w:rPr>
        <w:t xml:space="preserve">“Tendencias en las reformas de telecomunicaciones 2013: Aspectos transnacionales de la reglamentación en una sociedad interconectada”. Disponible en: </w:t>
      </w:r>
      <w:hyperlink r:id="rId5" w:history="1">
        <w:r w:rsidRPr="00AC35B0">
          <w:rPr>
            <w:rStyle w:val="Hipervnculo"/>
            <w:rFonts w:ascii="ITC Avant Garde" w:hAnsi="ITC Avant Garde"/>
          </w:rPr>
          <w:t>http://www.itu.int/es/publications/ITU-D/Pages/publications.aspx?parent=D-PREF-TTR.14-2013&amp;media=electronic</w:t>
        </w:r>
      </w:hyperlink>
    </w:p>
  </w:footnote>
  <w:footnote w:id="7">
    <w:p w:rsidR="003D0906" w:rsidRPr="00AC35B0" w:rsidRDefault="003D0906" w:rsidP="003D0906">
      <w:pPr>
        <w:pStyle w:val="PiedePgina0"/>
        <w:jc w:val="both"/>
        <w:rPr>
          <w:rFonts w:ascii="ITC Avant Garde" w:hAnsi="ITC Avant Garde"/>
          <w:lang w:val="en-US"/>
        </w:rPr>
      </w:pPr>
      <w:r w:rsidRPr="00AC35B0">
        <w:rPr>
          <w:rStyle w:val="Refdenotaalpie"/>
          <w:rFonts w:ascii="ITC Avant Garde" w:hAnsi="ITC Avant Garde"/>
        </w:rPr>
        <w:footnoteRef/>
      </w:r>
      <w:r w:rsidRPr="00AC35B0">
        <w:rPr>
          <w:rFonts w:ascii="ITC Avant Garde" w:hAnsi="ITC Avant Garde"/>
          <w:lang w:val="en-US"/>
        </w:rPr>
        <w:t xml:space="preserve"> “Exclusive Supply or Purchase Agreements” Disponible en: </w:t>
      </w:r>
      <w:hyperlink r:id="rId6" w:history="1">
        <w:r w:rsidRPr="00AC35B0">
          <w:rPr>
            <w:rStyle w:val="Hipervnculo"/>
            <w:rFonts w:ascii="ITC Avant Garde" w:hAnsi="ITC Avant Garde"/>
            <w:lang w:val="en-US"/>
          </w:rPr>
          <w:t>https://www.ftc.gov/tips-advice/competition-guidance/guide-antitrust-laws/single-firm-conduct/exclusive-supply-or</w:t>
        </w:r>
      </w:hyperlink>
      <w:r w:rsidRPr="00AC35B0">
        <w:rPr>
          <w:rFonts w:ascii="ITC Avant Garde" w:hAnsi="ITC Avant Gard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8A0E6C"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EB0C2F" w:rsidRPr="00EB0C2F">
      <w:rPr>
        <w:rFonts w:ascii="ITC Avant Garde" w:hAnsi="ITC Avant Garde"/>
        <w:b/>
        <w:sz w:val="20"/>
      </w:rPr>
      <w:t>Anteproyecto de Lineamientos para la gestión de tráfico y administración de red a que deberán sujetarse los concesionarios y autorizados que presten el servicio de acceso a internet</w:t>
    </w:r>
    <w:r w:rsidR="00EB0C2F">
      <w:rPr>
        <w:rFonts w:ascii="ITC Avant Garde" w:hAnsi="ITC Avant Garde"/>
        <w:b/>
        <w:sz w:val="20"/>
      </w:rPr>
      <w:t>”.</w:t>
    </w:r>
  </w:p>
  <w:p w:rsidR="0038199D" w:rsidRPr="007A6974" w:rsidRDefault="008A0E6C"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7361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25F29"/>
    <w:multiLevelType w:val="hybridMultilevel"/>
    <w:tmpl w:val="22183D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5D68F1"/>
    <w:multiLevelType w:val="hybridMultilevel"/>
    <w:tmpl w:val="4C826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D742BE"/>
    <w:multiLevelType w:val="hybridMultilevel"/>
    <w:tmpl w:val="22183D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8E3856"/>
    <w:multiLevelType w:val="hybridMultilevel"/>
    <w:tmpl w:val="F934F2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D15200"/>
    <w:multiLevelType w:val="hybridMultilevel"/>
    <w:tmpl w:val="A28098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0D377FB"/>
    <w:multiLevelType w:val="hybridMultilevel"/>
    <w:tmpl w:val="4F3631D2"/>
    <w:lvl w:ilvl="0" w:tplc="432424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DB7989"/>
    <w:multiLevelType w:val="hybridMultilevel"/>
    <w:tmpl w:val="A920C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13"/>
  </w:num>
  <w:num w:numId="2">
    <w:abstractNumId w:val="0"/>
  </w:num>
  <w:num w:numId="3">
    <w:abstractNumId w:val="2"/>
  </w:num>
  <w:num w:numId="4">
    <w:abstractNumId w:val="9"/>
  </w:num>
  <w:num w:numId="5">
    <w:abstractNumId w:val="17"/>
  </w:num>
  <w:num w:numId="6">
    <w:abstractNumId w:val="8"/>
  </w:num>
  <w:num w:numId="7">
    <w:abstractNumId w:val="15"/>
  </w:num>
  <w:num w:numId="8">
    <w:abstractNumId w:val="16"/>
  </w:num>
  <w:num w:numId="9">
    <w:abstractNumId w:val="7"/>
  </w:num>
  <w:num w:numId="10">
    <w:abstractNumId w:val="1"/>
  </w:num>
  <w:num w:numId="11">
    <w:abstractNumId w:val="19"/>
  </w:num>
  <w:num w:numId="12">
    <w:abstractNumId w:val="11"/>
  </w:num>
  <w:num w:numId="13">
    <w:abstractNumId w:val="21"/>
  </w:num>
  <w:num w:numId="14">
    <w:abstractNumId w:val="14"/>
  </w:num>
  <w:num w:numId="15">
    <w:abstractNumId w:val="18"/>
  </w:num>
  <w:num w:numId="16">
    <w:abstractNumId w:val="5"/>
  </w:num>
  <w:num w:numId="17">
    <w:abstractNumId w:val="3"/>
  </w:num>
  <w:num w:numId="18">
    <w:abstractNumId w:val="20"/>
  </w:num>
  <w:num w:numId="19">
    <w:abstractNumId w:val="10"/>
  </w:num>
  <w:num w:numId="20">
    <w:abstractNumId w:val="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FB1"/>
    <w:rsid w:val="000751D5"/>
    <w:rsid w:val="00076A8C"/>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382C"/>
    <w:rsid w:val="00174196"/>
    <w:rsid w:val="001E0388"/>
    <w:rsid w:val="001F006E"/>
    <w:rsid w:val="00266BE0"/>
    <w:rsid w:val="002771ED"/>
    <w:rsid w:val="00290F56"/>
    <w:rsid w:val="00297840"/>
    <w:rsid w:val="002B4BB2"/>
    <w:rsid w:val="002D34FE"/>
    <w:rsid w:val="00307092"/>
    <w:rsid w:val="003127B5"/>
    <w:rsid w:val="00323F3A"/>
    <w:rsid w:val="003613DA"/>
    <w:rsid w:val="0038199D"/>
    <w:rsid w:val="003B524B"/>
    <w:rsid w:val="003C038E"/>
    <w:rsid w:val="003D0906"/>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11FB6"/>
    <w:rsid w:val="0052296A"/>
    <w:rsid w:val="00546F00"/>
    <w:rsid w:val="00555B10"/>
    <w:rsid w:val="00560477"/>
    <w:rsid w:val="00570F3A"/>
    <w:rsid w:val="0058551F"/>
    <w:rsid w:val="00591FDF"/>
    <w:rsid w:val="005B3E9A"/>
    <w:rsid w:val="005C0435"/>
    <w:rsid w:val="005C06DB"/>
    <w:rsid w:val="005D1DEE"/>
    <w:rsid w:val="005F0265"/>
    <w:rsid w:val="00600DB8"/>
    <w:rsid w:val="00603B41"/>
    <w:rsid w:val="00605BD9"/>
    <w:rsid w:val="00623761"/>
    <w:rsid w:val="006601AF"/>
    <w:rsid w:val="00670385"/>
    <w:rsid w:val="00691A52"/>
    <w:rsid w:val="006A6D93"/>
    <w:rsid w:val="006B0B12"/>
    <w:rsid w:val="006D2DFC"/>
    <w:rsid w:val="006F5989"/>
    <w:rsid w:val="00703850"/>
    <w:rsid w:val="00735DEE"/>
    <w:rsid w:val="007406C7"/>
    <w:rsid w:val="00762996"/>
    <w:rsid w:val="007644BA"/>
    <w:rsid w:val="0077357C"/>
    <w:rsid w:val="007843CF"/>
    <w:rsid w:val="007978CB"/>
    <w:rsid w:val="007A6974"/>
    <w:rsid w:val="007D4A23"/>
    <w:rsid w:val="007E04FB"/>
    <w:rsid w:val="00800852"/>
    <w:rsid w:val="00804BB7"/>
    <w:rsid w:val="008200BE"/>
    <w:rsid w:val="0086154B"/>
    <w:rsid w:val="008658B5"/>
    <w:rsid w:val="008711D6"/>
    <w:rsid w:val="0087596E"/>
    <w:rsid w:val="008843FB"/>
    <w:rsid w:val="008A0E6C"/>
    <w:rsid w:val="008A1D07"/>
    <w:rsid w:val="008A5565"/>
    <w:rsid w:val="008C679D"/>
    <w:rsid w:val="008D106B"/>
    <w:rsid w:val="008F2B1A"/>
    <w:rsid w:val="00903C94"/>
    <w:rsid w:val="00915CEA"/>
    <w:rsid w:val="009160D3"/>
    <w:rsid w:val="00942344"/>
    <w:rsid w:val="009426CC"/>
    <w:rsid w:val="00975C25"/>
    <w:rsid w:val="009C6C17"/>
    <w:rsid w:val="009D3DDA"/>
    <w:rsid w:val="009E197F"/>
    <w:rsid w:val="00A11685"/>
    <w:rsid w:val="00A1372C"/>
    <w:rsid w:val="00A17D08"/>
    <w:rsid w:val="00A25465"/>
    <w:rsid w:val="00A3221E"/>
    <w:rsid w:val="00A454F4"/>
    <w:rsid w:val="00A57E13"/>
    <w:rsid w:val="00A60361"/>
    <w:rsid w:val="00A62E59"/>
    <w:rsid w:val="00A7050F"/>
    <w:rsid w:val="00A74360"/>
    <w:rsid w:val="00A751A5"/>
    <w:rsid w:val="00A75A67"/>
    <w:rsid w:val="00A917C8"/>
    <w:rsid w:val="00A92B29"/>
    <w:rsid w:val="00A93147"/>
    <w:rsid w:val="00AA70C3"/>
    <w:rsid w:val="00AD0D63"/>
    <w:rsid w:val="00AE2B2D"/>
    <w:rsid w:val="00AE778E"/>
    <w:rsid w:val="00B17D0B"/>
    <w:rsid w:val="00B20E15"/>
    <w:rsid w:val="00B25678"/>
    <w:rsid w:val="00B533DC"/>
    <w:rsid w:val="00B72399"/>
    <w:rsid w:val="00B7304B"/>
    <w:rsid w:val="00B855BD"/>
    <w:rsid w:val="00B97BF9"/>
    <w:rsid w:val="00BB25F2"/>
    <w:rsid w:val="00C35A85"/>
    <w:rsid w:val="00C41536"/>
    <w:rsid w:val="00C42DD1"/>
    <w:rsid w:val="00C474AE"/>
    <w:rsid w:val="00C53026"/>
    <w:rsid w:val="00C56B77"/>
    <w:rsid w:val="00C60ADB"/>
    <w:rsid w:val="00C63CEB"/>
    <w:rsid w:val="00C83664"/>
    <w:rsid w:val="00C900FF"/>
    <w:rsid w:val="00CA32F5"/>
    <w:rsid w:val="00CB7035"/>
    <w:rsid w:val="00CB7780"/>
    <w:rsid w:val="00CC382A"/>
    <w:rsid w:val="00CC53F7"/>
    <w:rsid w:val="00D04C11"/>
    <w:rsid w:val="00D13998"/>
    <w:rsid w:val="00D13CA5"/>
    <w:rsid w:val="00D22B9D"/>
    <w:rsid w:val="00D334B0"/>
    <w:rsid w:val="00D472B6"/>
    <w:rsid w:val="00D47A99"/>
    <w:rsid w:val="00D50117"/>
    <w:rsid w:val="00D61F55"/>
    <w:rsid w:val="00D76089"/>
    <w:rsid w:val="00D94F82"/>
    <w:rsid w:val="00DB357E"/>
    <w:rsid w:val="00DC3C6C"/>
    <w:rsid w:val="00DD369A"/>
    <w:rsid w:val="00DF154A"/>
    <w:rsid w:val="00DF5B3F"/>
    <w:rsid w:val="00DF5CB5"/>
    <w:rsid w:val="00E0525B"/>
    <w:rsid w:val="00E64007"/>
    <w:rsid w:val="00E71AFE"/>
    <w:rsid w:val="00E944B2"/>
    <w:rsid w:val="00EA6ACC"/>
    <w:rsid w:val="00EB0C2F"/>
    <w:rsid w:val="00EB1D99"/>
    <w:rsid w:val="00EC144A"/>
    <w:rsid w:val="00EC32C5"/>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B7C1D"/>
  <w15:chartTrackingRefBased/>
  <w15:docId w15:val="{88C3EB59-860B-435D-80DE-3CAC9D1A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link w:val="PrrafodelistaCar"/>
    <w:uiPriority w:val="34"/>
    <w:qFormat/>
    <w:rsid w:val="00F36A5D"/>
    <w:pPr>
      <w:ind w:left="708"/>
    </w:pPr>
  </w:style>
  <w:style w:type="character" w:customStyle="1" w:styleId="PrrafodelistaCar">
    <w:name w:val="Párrafo de lista Car"/>
    <w:link w:val="Prrafodelista"/>
    <w:uiPriority w:val="34"/>
    <w:locked/>
    <w:rsid w:val="003D0906"/>
    <w:rPr>
      <w:sz w:val="22"/>
      <w:szCs w:val="22"/>
      <w:lang w:eastAsia="en-US"/>
    </w:rPr>
  </w:style>
  <w:style w:type="character" w:styleId="Refdenotaalpie">
    <w:name w:val="footnote reference"/>
    <w:uiPriority w:val="99"/>
    <w:unhideWhenUsed/>
    <w:rsid w:val="003D0906"/>
    <w:rPr>
      <w:vertAlign w:val="superscript"/>
    </w:rPr>
  </w:style>
  <w:style w:type="paragraph" w:customStyle="1" w:styleId="PiedePgina0">
    <w:name w:val="Pie de Página"/>
    <w:basedOn w:val="Sinespaciado"/>
    <w:link w:val="PiedePginaCar0"/>
    <w:qFormat/>
    <w:rsid w:val="003D0906"/>
    <w:pPr>
      <w:spacing w:line="160" w:lineRule="atLeast"/>
    </w:pPr>
    <w:rPr>
      <w:rFonts w:eastAsia="Times New Roman"/>
      <w:bCs/>
      <w:sz w:val="16"/>
      <w:szCs w:val="16"/>
    </w:rPr>
  </w:style>
  <w:style w:type="character" w:customStyle="1" w:styleId="PiedePginaCar0">
    <w:name w:val="Pie de Página Car"/>
    <w:link w:val="PiedePgina0"/>
    <w:rsid w:val="003D0906"/>
    <w:rPr>
      <w:rFonts w:eastAsia="Times New Roman"/>
      <w:bCs/>
      <w:sz w:val="16"/>
      <w:szCs w:val="16"/>
      <w:lang w:eastAsia="en-US"/>
    </w:rPr>
  </w:style>
  <w:style w:type="paragraph" w:styleId="Textonotapie">
    <w:name w:val="footnote text"/>
    <w:basedOn w:val="Normal"/>
    <w:link w:val="TextonotapieCar"/>
    <w:uiPriority w:val="99"/>
    <w:semiHidden/>
    <w:unhideWhenUsed/>
    <w:rsid w:val="003D0906"/>
    <w:pPr>
      <w:spacing w:after="0" w:line="240" w:lineRule="auto"/>
      <w:jc w:val="both"/>
    </w:pPr>
    <w:rPr>
      <w:rFonts w:eastAsia="Times New Roman"/>
      <w:sz w:val="20"/>
      <w:szCs w:val="20"/>
    </w:rPr>
  </w:style>
  <w:style w:type="character" w:customStyle="1" w:styleId="TextonotapieCar">
    <w:name w:val="Texto nota pie Car"/>
    <w:link w:val="Textonotapie"/>
    <w:uiPriority w:val="99"/>
    <w:semiHidden/>
    <w:rsid w:val="003D0906"/>
    <w:rPr>
      <w:rFonts w:eastAsia="Times New Roman"/>
      <w:lang w:eastAsia="en-US"/>
    </w:rPr>
  </w:style>
  <w:style w:type="paragraph" w:styleId="Sinespaciado">
    <w:name w:val="No Spacing"/>
    <w:uiPriority w:val="99"/>
    <w:qFormat/>
    <w:rsid w:val="003D0906"/>
    <w:rPr>
      <w:sz w:val="22"/>
      <w:szCs w:val="22"/>
      <w:lang w:eastAsia="en-US"/>
    </w:rPr>
  </w:style>
  <w:style w:type="character" w:styleId="Textodelmarcadordeposicin">
    <w:name w:val="Placeholder Text"/>
    <w:uiPriority w:val="99"/>
    <w:rsid w:val="008A0E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_____@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ijoc.org/index.php/ijoc/article/viewFile/670/388" TargetMode="External"/><Relationship Id="rId2" Type="http://schemas.openxmlformats.org/officeDocument/2006/relationships/hyperlink" Target="http://www.itu.int/es/publications/ITU-D/Pages/publications.aspx?parent=D-PREF-TTR.14-2013&amp;media=electronic" TargetMode="External"/><Relationship Id="rId1" Type="http://schemas.openxmlformats.org/officeDocument/2006/relationships/hyperlink" Target="http://www.itu.int/es/publications/ITU-D/Pages/publications.aspx?parent=D-PREF-TTR.14-2013&amp;media=electronic" TargetMode="External"/><Relationship Id="rId6" Type="http://schemas.openxmlformats.org/officeDocument/2006/relationships/hyperlink" Target="https://www.ftc.gov/tips-advice/competition-guidance/guide-antitrust-laws/single-firm-conduct/exclusive-supply-or" TargetMode="External"/><Relationship Id="rId5" Type="http://schemas.openxmlformats.org/officeDocument/2006/relationships/hyperlink" Target="http://www.itu.int/es/publications/ITU-D/Pages/publications.aspx?parent=D-PREF-TTR.14-2013&amp;media=electronic" TargetMode="External"/><Relationship Id="rId4" Type="http://schemas.openxmlformats.org/officeDocument/2006/relationships/hyperlink" Target="http://www.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EB199AEAB04CC687D7D57E8C434C8C"/>
        <w:category>
          <w:name w:val="General"/>
          <w:gallery w:val="placeholder"/>
        </w:category>
        <w:types>
          <w:type w:val="bbPlcHdr"/>
        </w:types>
        <w:behaviors>
          <w:behavior w:val="content"/>
        </w:behaviors>
        <w:guid w:val="{02848D1F-F103-4DD1-965F-027F88272F90}"/>
      </w:docPartPr>
      <w:docPartBody>
        <w:p w:rsidR="0006053C" w:rsidRDefault="004F06F4" w:rsidP="004F06F4">
          <w:pPr>
            <w:pStyle w:val="56EB199AEAB04CC687D7D57E8C434C8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4"/>
    <w:rsid w:val="0006053C"/>
    <w:rsid w:val="00371F0C"/>
    <w:rsid w:val="004F06F4"/>
    <w:rsid w:val="00E56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06F4"/>
    <w:rPr>
      <w:color w:val="808080"/>
    </w:rPr>
  </w:style>
  <w:style w:type="paragraph" w:customStyle="1" w:styleId="FDC9D3D59D094F578C001F614AB1EB60">
    <w:name w:val="FDC9D3D59D094F578C001F614AB1EB60"/>
    <w:rsid w:val="004F06F4"/>
  </w:style>
  <w:style w:type="paragraph" w:customStyle="1" w:styleId="C5D2B49FEAF34002BE753D6BDFF0B031">
    <w:name w:val="C5D2B49FEAF34002BE753D6BDFF0B031"/>
    <w:rsid w:val="004F06F4"/>
  </w:style>
  <w:style w:type="paragraph" w:customStyle="1" w:styleId="56EB199AEAB04CC687D7D57E8C434C8C">
    <w:name w:val="56EB199AEAB04CC687D7D57E8C434C8C"/>
    <w:rsid w:val="004F0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4631DD94-8D43-418C-84A4-3CE649A350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B35E38-FBB5-45CC-A2EA-2B2D809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4333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28112</CharactersWithSpaces>
  <SharedDoc>false</SharedDoc>
  <HLinks>
    <vt:vector size="54"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5308511</vt:i4>
      </vt:variant>
      <vt:variant>
        <vt:i4>15</vt:i4>
      </vt:variant>
      <vt:variant>
        <vt:i4>0</vt:i4>
      </vt:variant>
      <vt:variant>
        <vt:i4>5</vt:i4>
      </vt:variant>
      <vt:variant>
        <vt:lpwstr>https://www.ftc.gov/tips-advice/competition-guidance/guide-antitrust-laws/single-firm-conduct/exclusive-supply-or</vt:lpwstr>
      </vt:variant>
      <vt:variant>
        <vt:lpwstr/>
      </vt:variant>
      <vt:variant>
        <vt:i4>3997742</vt:i4>
      </vt:variant>
      <vt:variant>
        <vt:i4>12</vt:i4>
      </vt:variant>
      <vt:variant>
        <vt:i4>0</vt:i4>
      </vt:variant>
      <vt:variant>
        <vt:i4>5</vt:i4>
      </vt:variant>
      <vt:variant>
        <vt:lpwstr>http://www.itu.int/es/publications/ITU-D/Pages/publications.aspx?parent=D-PREF-TTR.14-2013&amp;media=electronic</vt:lpwstr>
      </vt:variant>
      <vt:variant>
        <vt:lpwstr/>
      </vt:variant>
      <vt:variant>
        <vt:i4>8126524</vt:i4>
      </vt:variant>
      <vt:variant>
        <vt:i4>9</vt:i4>
      </vt:variant>
      <vt:variant>
        <vt:i4>0</vt:i4>
      </vt:variant>
      <vt:variant>
        <vt:i4>5</vt:i4>
      </vt:variant>
      <vt:variant>
        <vt:lpwstr>http://www.ift.org.mx/</vt:lpwstr>
      </vt:variant>
      <vt:variant>
        <vt:lpwstr/>
      </vt:variant>
      <vt:variant>
        <vt:i4>3145771</vt:i4>
      </vt:variant>
      <vt:variant>
        <vt:i4>6</vt:i4>
      </vt:variant>
      <vt:variant>
        <vt:i4>0</vt:i4>
      </vt:variant>
      <vt:variant>
        <vt:i4>5</vt:i4>
      </vt:variant>
      <vt:variant>
        <vt:lpwstr>http://ijoc.org/index.php/ijoc/article/viewFile/670/388</vt:lpwstr>
      </vt:variant>
      <vt:variant>
        <vt:lpwstr/>
      </vt:variant>
      <vt:variant>
        <vt:i4>3997742</vt:i4>
      </vt:variant>
      <vt:variant>
        <vt:i4>3</vt:i4>
      </vt:variant>
      <vt:variant>
        <vt:i4>0</vt:i4>
      </vt:variant>
      <vt:variant>
        <vt:i4>5</vt:i4>
      </vt:variant>
      <vt:variant>
        <vt:lpwstr>http://www.itu.int/es/publications/ITU-D/Pages/publications.aspx?parent=D-PREF-TTR.14-2013&amp;media=electronic</vt:lpwstr>
      </vt:variant>
      <vt:variant>
        <vt:lpwstr/>
      </vt:variant>
      <vt:variant>
        <vt:i4>3997742</vt:i4>
      </vt:variant>
      <vt:variant>
        <vt:i4>0</vt:i4>
      </vt:variant>
      <vt:variant>
        <vt:i4>0</vt:i4>
      </vt:variant>
      <vt:variant>
        <vt:i4>5</vt:i4>
      </vt:variant>
      <vt:variant>
        <vt:lpwstr>http://www.itu.int/es/publications/ITU-D/Pages/publications.aspx?parent=D-PREF-TTR.14-2013&amp;media=electronic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2019-12-12T23:02:00Z</dcterms:created>
  <dcterms:modified xsi:type="dcterms:W3CDTF">2019-12-17T02:13:00Z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