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A0590" w14:textId="77777777" w:rsidR="008C7514" w:rsidRPr="00AC3626" w:rsidRDefault="008C7514" w:rsidP="008C7514">
      <w:pPr>
        <w:jc w:val="both"/>
        <w:rPr>
          <w:rFonts w:ascii="Arial" w:eastAsia="Times New Roman" w:hAnsi="Arial" w:cs="Arial"/>
          <w:b/>
          <w:kern w:val="2"/>
          <w:sz w:val="22"/>
          <w:szCs w:val="22"/>
          <w:lang w:eastAsia="ar-SA"/>
        </w:rPr>
      </w:pPr>
      <w:bookmarkStart w:id="0" w:name="_GoBack"/>
      <w:bookmarkEnd w:id="0"/>
      <w:r w:rsidRPr="00AC3626">
        <w:rPr>
          <w:rFonts w:ascii="Arial" w:eastAsia="Times New Roman" w:hAnsi="Arial" w:cs="Arial"/>
          <w:b/>
          <w:kern w:val="2"/>
          <w:sz w:val="22"/>
          <w:szCs w:val="22"/>
          <w:lang w:eastAsia="ar-SA"/>
        </w:rPr>
        <w:t xml:space="preserve">ANTEPROYECTO DE ACUERDO MEDIANTE EL CUAL EL PLENO DEL INSTITUTO FEDERAL DE TELECOMUNICACIONES MODIFICA </w:t>
      </w:r>
      <w:r w:rsidR="00695E73" w:rsidRPr="00AC3626">
        <w:rPr>
          <w:rFonts w:ascii="Arial" w:eastAsia="Times New Roman" w:hAnsi="Arial" w:cs="Arial"/>
          <w:b/>
          <w:kern w:val="2"/>
          <w:sz w:val="22"/>
          <w:szCs w:val="22"/>
          <w:lang w:eastAsia="ar-SA"/>
        </w:rPr>
        <w:t>LOS PLANES TÉCNICOS FUNDAMENTAL</w:t>
      </w:r>
      <w:r w:rsidR="001025F2" w:rsidRPr="00AC3626">
        <w:rPr>
          <w:rFonts w:ascii="Arial" w:eastAsia="Times New Roman" w:hAnsi="Arial" w:cs="Arial"/>
          <w:b/>
          <w:kern w:val="2"/>
          <w:sz w:val="22"/>
          <w:szCs w:val="22"/>
          <w:lang w:eastAsia="ar-SA"/>
        </w:rPr>
        <w:t xml:space="preserve">ES DE NUMERACIÓN Y SEÑALIZACIÓN </w:t>
      </w:r>
      <w:r w:rsidR="0033334A">
        <w:rPr>
          <w:rFonts w:ascii="Arial" w:eastAsia="Times New Roman" w:hAnsi="Arial" w:cs="Arial"/>
          <w:b/>
          <w:kern w:val="2"/>
          <w:sz w:val="22"/>
          <w:szCs w:val="22"/>
          <w:lang w:eastAsia="ar-SA"/>
        </w:rPr>
        <w:t xml:space="preserve">Y </w:t>
      </w:r>
      <w:r w:rsidR="000310FE">
        <w:rPr>
          <w:rFonts w:ascii="Arial" w:eastAsia="Times New Roman" w:hAnsi="Arial" w:cs="Arial"/>
          <w:b/>
          <w:kern w:val="2"/>
          <w:sz w:val="22"/>
          <w:szCs w:val="22"/>
          <w:lang w:eastAsia="ar-SA"/>
        </w:rPr>
        <w:t xml:space="preserve">LO REFERENTE A </w:t>
      </w:r>
      <w:r w:rsidRPr="00AC3626">
        <w:rPr>
          <w:rFonts w:ascii="Arial" w:eastAsia="Times New Roman" w:hAnsi="Arial" w:cs="Arial"/>
          <w:b/>
          <w:kern w:val="2"/>
          <w:sz w:val="22"/>
          <w:szCs w:val="22"/>
          <w:lang w:eastAsia="ar-SA"/>
        </w:rPr>
        <w:t>LAS REGLAS DE PORTABILIDAD NUMÉRICA</w:t>
      </w:r>
      <w:r w:rsidR="000310FE">
        <w:rPr>
          <w:rFonts w:ascii="Arial" w:eastAsia="Times New Roman" w:hAnsi="Arial" w:cs="Arial"/>
          <w:b/>
          <w:kern w:val="2"/>
          <w:sz w:val="22"/>
          <w:szCs w:val="22"/>
          <w:lang w:eastAsia="ar-SA"/>
        </w:rPr>
        <w:t>, PUBLICADOS</w:t>
      </w:r>
      <w:r w:rsidRPr="00AC3626">
        <w:rPr>
          <w:rFonts w:ascii="Arial" w:eastAsia="Times New Roman" w:hAnsi="Arial" w:cs="Arial"/>
          <w:b/>
          <w:kern w:val="2"/>
          <w:sz w:val="22"/>
          <w:szCs w:val="22"/>
          <w:lang w:eastAsia="ar-SA"/>
        </w:rPr>
        <w:t xml:space="preserve"> EN EL DIARI</w:t>
      </w:r>
      <w:r w:rsidR="00695E73" w:rsidRPr="00AC3626">
        <w:rPr>
          <w:rFonts w:ascii="Arial" w:eastAsia="Times New Roman" w:hAnsi="Arial" w:cs="Arial"/>
          <w:b/>
          <w:kern w:val="2"/>
          <w:sz w:val="22"/>
          <w:szCs w:val="22"/>
          <w:lang w:eastAsia="ar-SA"/>
        </w:rPr>
        <w:t>O OFICIAL DE LA FEDERACIÓN EL 11 DE MAYO DE 2018</w:t>
      </w:r>
      <w:r w:rsidRPr="00AC3626">
        <w:rPr>
          <w:rFonts w:ascii="Arial" w:eastAsia="Times New Roman" w:hAnsi="Arial" w:cs="Arial"/>
          <w:b/>
          <w:kern w:val="2"/>
          <w:sz w:val="22"/>
          <w:szCs w:val="22"/>
          <w:lang w:eastAsia="ar-SA"/>
        </w:rPr>
        <w:t xml:space="preserve">. </w:t>
      </w:r>
    </w:p>
    <w:p w14:paraId="23D4162B" w14:textId="77777777" w:rsidR="008C7514" w:rsidRPr="00AC3626" w:rsidRDefault="008C7514" w:rsidP="008C7514">
      <w:pPr>
        <w:jc w:val="both"/>
        <w:rPr>
          <w:rFonts w:ascii="Arial" w:eastAsia="Times New Roman" w:hAnsi="Arial" w:cs="Arial"/>
          <w:kern w:val="2"/>
          <w:sz w:val="22"/>
          <w:szCs w:val="22"/>
          <w:lang w:eastAsia="ar-SA"/>
        </w:rPr>
      </w:pPr>
    </w:p>
    <w:p w14:paraId="1A633395" w14:textId="77777777" w:rsidR="008C7514" w:rsidRPr="00AC3626" w:rsidRDefault="008C7514" w:rsidP="008C7514">
      <w:pPr>
        <w:jc w:val="both"/>
        <w:rPr>
          <w:rFonts w:ascii="Arial" w:eastAsia="Times New Roman" w:hAnsi="Arial" w:cs="Arial"/>
          <w:kern w:val="2"/>
          <w:sz w:val="22"/>
          <w:szCs w:val="22"/>
          <w:lang w:eastAsia="ar-SA"/>
        </w:rPr>
      </w:pPr>
    </w:p>
    <w:p w14:paraId="6ABEAB4D" w14:textId="77777777" w:rsidR="008C7514" w:rsidRPr="00AC3626" w:rsidRDefault="008C7514" w:rsidP="008C7514">
      <w:pPr>
        <w:jc w:val="center"/>
        <w:rPr>
          <w:rFonts w:ascii="Arial" w:eastAsia="Times New Roman" w:hAnsi="Arial" w:cs="Arial"/>
          <w:b/>
          <w:kern w:val="2"/>
          <w:sz w:val="22"/>
          <w:szCs w:val="22"/>
          <w:lang w:eastAsia="ar-SA"/>
        </w:rPr>
      </w:pPr>
      <w:r w:rsidRPr="00AC3626">
        <w:rPr>
          <w:rFonts w:ascii="Arial" w:eastAsia="Times New Roman" w:hAnsi="Arial" w:cs="Arial"/>
          <w:b/>
          <w:kern w:val="2"/>
          <w:sz w:val="22"/>
          <w:szCs w:val="22"/>
          <w:lang w:eastAsia="ar-SA"/>
        </w:rPr>
        <w:t>ANTECEDENTES</w:t>
      </w:r>
    </w:p>
    <w:p w14:paraId="2FBE9073" w14:textId="77777777" w:rsidR="008C7514" w:rsidRPr="00AC3626" w:rsidRDefault="008C7514" w:rsidP="008C7514">
      <w:pPr>
        <w:jc w:val="both"/>
        <w:rPr>
          <w:rFonts w:ascii="Arial" w:eastAsia="Times New Roman" w:hAnsi="Arial" w:cs="Arial"/>
          <w:kern w:val="2"/>
          <w:sz w:val="22"/>
          <w:szCs w:val="22"/>
          <w:lang w:eastAsia="ar-SA"/>
        </w:rPr>
      </w:pPr>
    </w:p>
    <w:p w14:paraId="3CB85FB3" w14:textId="77777777" w:rsidR="008C7514" w:rsidRPr="00AC3626" w:rsidRDefault="008C7514" w:rsidP="008C7514">
      <w:pPr>
        <w:jc w:val="both"/>
        <w:rPr>
          <w:rFonts w:ascii="Arial" w:eastAsia="Times New Roman" w:hAnsi="Arial" w:cs="Arial"/>
          <w:kern w:val="2"/>
          <w:sz w:val="22"/>
          <w:szCs w:val="22"/>
          <w:lang w:eastAsia="ar-SA"/>
        </w:rPr>
      </w:pPr>
    </w:p>
    <w:p w14:paraId="083C1A4A" w14:textId="6E044907" w:rsidR="008978AD" w:rsidRPr="001F7DA2" w:rsidRDefault="008978AD" w:rsidP="008978AD">
      <w:pPr>
        <w:numPr>
          <w:ilvl w:val="0"/>
          <w:numId w:val="1"/>
        </w:numPr>
        <w:suppressAutoHyphens/>
        <w:jc w:val="both"/>
        <w:rPr>
          <w:rFonts w:ascii="Arial" w:hAnsi="Arial" w:cs="Arial"/>
          <w:color w:val="000000" w:themeColor="text1"/>
          <w:kern w:val="1"/>
          <w:sz w:val="22"/>
          <w:szCs w:val="22"/>
          <w:lang w:eastAsia="ar-SA"/>
        </w:rPr>
      </w:pPr>
      <w:r w:rsidRPr="00AC3626">
        <w:rPr>
          <w:rFonts w:ascii="Arial" w:eastAsia="Times New Roman" w:hAnsi="Arial" w:cs="Arial"/>
          <w:kern w:val="1"/>
          <w:sz w:val="22"/>
          <w:szCs w:val="22"/>
          <w:lang w:eastAsia="ar-SA"/>
        </w:rPr>
        <w:t xml:space="preserve">El 3 de octubre de 2016 se publicó en el Diario Oficial de la Federación (“DOF”) el </w:t>
      </w:r>
      <w:r w:rsidRPr="00AC3626">
        <w:rPr>
          <w:rFonts w:ascii="Arial" w:eastAsia="Times New Roman" w:hAnsi="Arial" w:cs="Arial"/>
          <w:i/>
          <w:kern w:val="1"/>
          <w:sz w:val="22"/>
          <w:szCs w:val="22"/>
          <w:lang w:eastAsia="ar-SA"/>
        </w:rPr>
        <w:t xml:space="preserve">“Acuerdo mediante el cual el Pleno del Instituto Federal de Telecomunicaciones establece las condiciones técnicas mínimas </w:t>
      </w:r>
      <w:r w:rsidR="00392D2E" w:rsidRPr="00AC3626">
        <w:rPr>
          <w:rFonts w:ascii="Arial" w:eastAsia="Times New Roman" w:hAnsi="Arial" w:cs="Arial"/>
          <w:i/>
          <w:kern w:val="1"/>
          <w:sz w:val="22"/>
          <w:szCs w:val="22"/>
          <w:lang w:eastAsia="ar-SA"/>
        </w:rPr>
        <w:t xml:space="preserve">entre concesionarios que operen redes públicas de telecomunicaciones y determina las tarifas de interconexión resultado de la metodología para el cálculo de costos de interconexión que estarán vigentes del </w:t>
      </w:r>
      <w:r w:rsidRPr="00AC3626">
        <w:rPr>
          <w:rFonts w:ascii="Arial" w:eastAsia="Times New Roman" w:hAnsi="Arial" w:cs="Arial"/>
          <w:i/>
          <w:kern w:val="1"/>
          <w:sz w:val="22"/>
          <w:szCs w:val="22"/>
          <w:lang w:eastAsia="ar-SA"/>
        </w:rPr>
        <w:t xml:space="preserve">1 de </w:t>
      </w:r>
      <w:r w:rsidR="00392D2E" w:rsidRPr="00AC3626">
        <w:rPr>
          <w:rFonts w:ascii="Arial" w:eastAsia="Times New Roman" w:hAnsi="Arial" w:cs="Arial"/>
          <w:i/>
          <w:kern w:val="1"/>
          <w:sz w:val="22"/>
          <w:szCs w:val="22"/>
          <w:lang w:eastAsia="ar-SA"/>
        </w:rPr>
        <w:t>enero al 31 de diciembre de 2017</w:t>
      </w:r>
      <w:r w:rsidRPr="00AC3626">
        <w:rPr>
          <w:rFonts w:ascii="Arial" w:eastAsia="Times New Roman" w:hAnsi="Arial" w:cs="Arial"/>
          <w:i/>
          <w:kern w:val="1"/>
          <w:sz w:val="22"/>
          <w:szCs w:val="22"/>
          <w:lang w:eastAsia="ar-SA"/>
        </w:rPr>
        <w:t>”</w:t>
      </w:r>
      <w:r w:rsidR="00392D2E" w:rsidRPr="00AC3626">
        <w:rPr>
          <w:rFonts w:ascii="Arial" w:eastAsia="Times New Roman" w:hAnsi="Arial" w:cs="Arial"/>
          <w:i/>
          <w:kern w:val="1"/>
          <w:sz w:val="22"/>
          <w:szCs w:val="22"/>
          <w:lang w:eastAsia="ar-SA"/>
        </w:rPr>
        <w:t xml:space="preserve"> (“Condiciones Técnicas Mínimas 2017”)</w:t>
      </w:r>
      <w:r w:rsidRPr="00AC3626">
        <w:rPr>
          <w:rFonts w:ascii="Arial" w:eastAsia="Times New Roman" w:hAnsi="Arial" w:cs="Arial"/>
          <w:kern w:val="1"/>
          <w:sz w:val="22"/>
          <w:szCs w:val="22"/>
          <w:lang w:eastAsia="ar-SA"/>
        </w:rPr>
        <w:t>.</w:t>
      </w:r>
    </w:p>
    <w:p w14:paraId="0D9DEBB4" w14:textId="77777777" w:rsidR="0080678F" w:rsidRPr="001F7DA2" w:rsidRDefault="0080678F" w:rsidP="001F7DA2">
      <w:pPr>
        <w:suppressAutoHyphens/>
        <w:ind w:left="360"/>
        <w:jc w:val="both"/>
        <w:rPr>
          <w:rFonts w:ascii="Arial" w:hAnsi="Arial" w:cs="Arial"/>
          <w:color w:val="000000" w:themeColor="text1"/>
          <w:kern w:val="1"/>
          <w:sz w:val="22"/>
          <w:szCs w:val="22"/>
          <w:lang w:eastAsia="ar-SA"/>
        </w:rPr>
      </w:pPr>
    </w:p>
    <w:p w14:paraId="3572829C" w14:textId="472911D5" w:rsidR="0080678F" w:rsidRPr="00AC3626" w:rsidRDefault="0080678F" w:rsidP="008978AD">
      <w:pPr>
        <w:numPr>
          <w:ilvl w:val="0"/>
          <w:numId w:val="1"/>
        </w:numPr>
        <w:suppressAutoHyphens/>
        <w:jc w:val="both"/>
        <w:rPr>
          <w:rFonts w:ascii="Arial" w:hAnsi="Arial" w:cs="Arial"/>
          <w:color w:val="000000" w:themeColor="text1"/>
          <w:kern w:val="1"/>
          <w:sz w:val="22"/>
          <w:szCs w:val="22"/>
          <w:lang w:eastAsia="ar-SA"/>
        </w:rPr>
      </w:pPr>
      <w:r w:rsidRPr="001F7DA2">
        <w:rPr>
          <w:rFonts w:ascii="Arial" w:eastAsia="Times New Roman" w:hAnsi="Arial" w:cs="Arial"/>
          <w:kern w:val="1"/>
          <w:sz w:val="22"/>
          <w:szCs w:val="22"/>
          <w:lang w:eastAsia="ar-SA"/>
        </w:rPr>
        <w:t>El 8 de noviembre de 2017 se publicaron en el DOF los</w:t>
      </w:r>
      <w:r w:rsidRPr="004822DB">
        <w:rPr>
          <w:rFonts w:ascii="ITC Avant Garde" w:eastAsia="ITC Avant Garde" w:hAnsi="ITC Avant Garde" w:cs="ITC Avant Garde"/>
          <w:spacing w:val="-1"/>
        </w:rPr>
        <w:t xml:space="preserve"> </w:t>
      </w:r>
      <w:r w:rsidRPr="004822DB">
        <w:rPr>
          <w:rFonts w:ascii="ITC Avant Garde" w:eastAsia="ITC Avant Garde" w:hAnsi="ITC Avant Garde" w:cs="ITC Avant Garde"/>
          <w:i/>
          <w:spacing w:val="-1"/>
        </w:rPr>
        <w:t>“</w:t>
      </w:r>
      <w:r w:rsidRPr="001F7DA2">
        <w:rPr>
          <w:rFonts w:ascii="Arial" w:eastAsia="Times New Roman" w:hAnsi="Arial" w:cs="Arial"/>
          <w:i/>
          <w:kern w:val="1"/>
          <w:sz w:val="22"/>
          <w:szCs w:val="22"/>
          <w:lang w:eastAsia="ar-SA"/>
        </w:rPr>
        <w:t>Lineamientos de Consulta Pública y Análisis de Impacto Regulatorio del Instituto Federal de Telecomunicaciones”</w:t>
      </w:r>
      <w:r w:rsidRPr="001F7DA2">
        <w:rPr>
          <w:rFonts w:ascii="Arial" w:eastAsia="Times New Roman" w:hAnsi="Arial" w:cs="Arial"/>
          <w:kern w:val="1"/>
          <w:sz w:val="22"/>
          <w:szCs w:val="22"/>
          <w:lang w:eastAsia="ar-SA"/>
        </w:rPr>
        <w:t xml:space="preserve"> (Lineamientos), entrando en vigor el 1 de enero de 2018</w:t>
      </w:r>
      <w:r w:rsidRPr="004822DB">
        <w:rPr>
          <w:rFonts w:ascii="ITC Avant Garde" w:eastAsia="ITC Avant Garde" w:hAnsi="ITC Avant Garde" w:cs="ITC Avant Garde"/>
          <w:spacing w:val="-1"/>
        </w:rPr>
        <w:t>.</w:t>
      </w:r>
    </w:p>
    <w:p w14:paraId="04C94E92" w14:textId="77777777" w:rsidR="008978AD" w:rsidRPr="00AC3626" w:rsidRDefault="008978AD" w:rsidP="00392D2E">
      <w:pPr>
        <w:suppressAutoHyphens/>
        <w:jc w:val="both"/>
        <w:rPr>
          <w:rFonts w:ascii="Arial" w:hAnsi="Arial" w:cs="Arial"/>
          <w:color w:val="000000" w:themeColor="text1"/>
          <w:kern w:val="1"/>
          <w:sz w:val="22"/>
          <w:szCs w:val="22"/>
          <w:lang w:eastAsia="ar-SA"/>
        </w:rPr>
      </w:pPr>
    </w:p>
    <w:p w14:paraId="39D7E7AB" w14:textId="77777777" w:rsidR="008C7514" w:rsidRPr="00AC3626" w:rsidRDefault="00FE6CFC" w:rsidP="008C7514">
      <w:pPr>
        <w:numPr>
          <w:ilvl w:val="0"/>
          <w:numId w:val="1"/>
        </w:numPr>
        <w:suppressAutoHyphens/>
        <w:jc w:val="both"/>
        <w:rPr>
          <w:rFonts w:ascii="Arial" w:hAnsi="Arial" w:cs="Arial"/>
          <w:color w:val="000000" w:themeColor="text1"/>
          <w:kern w:val="1"/>
          <w:sz w:val="22"/>
          <w:szCs w:val="22"/>
          <w:lang w:eastAsia="ar-SA"/>
        </w:rPr>
      </w:pPr>
      <w:r w:rsidRPr="00AC3626">
        <w:rPr>
          <w:rFonts w:ascii="Arial" w:eastAsia="Times New Roman" w:hAnsi="Arial" w:cs="Arial"/>
          <w:kern w:val="1"/>
          <w:sz w:val="22"/>
          <w:szCs w:val="22"/>
          <w:lang w:eastAsia="ar-SA"/>
        </w:rPr>
        <w:t>El 9</w:t>
      </w:r>
      <w:r w:rsidR="008C7514" w:rsidRPr="00AC3626">
        <w:rPr>
          <w:rFonts w:ascii="Arial" w:eastAsia="Times New Roman" w:hAnsi="Arial" w:cs="Arial"/>
          <w:kern w:val="1"/>
          <w:sz w:val="22"/>
          <w:szCs w:val="22"/>
          <w:lang w:eastAsia="ar-SA"/>
        </w:rPr>
        <w:t xml:space="preserve"> de </w:t>
      </w:r>
      <w:r w:rsidRPr="00AC3626">
        <w:rPr>
          <w:rFonts w:ascii="Arial" w:eastAsia="Times New Roman" w:hAnsi="Arial" w:cs="Arial"/>
          <w:kern w:val="1"/>
          <w:sz w:val="22"/>
          <w:szCs w:val="22"/>
          <w:lang w:eastAsia="ar-SA"/>
        </w:rPr>
        <w:t>noviembre de 2017</w:t>
      </w:r>
      <w:r w:rsidR="008C7514" w:rsidRPr="00AC3626">
        <w:rPr>
          <w:rFonts w:ascii="Arial" w:eastAsia="Times New Roman" w:hAnsi="Arial" w:cs="Arial"/>
          <w:kern w:val="1"/>
          <w:sz w:val="22"/>
          <w:szCs w:val="22"/>
          <w:lang w:eastAsia="ar-SA"/>
        </w:rPr>
        <w:t xml:space="preserve"> se publicó en el Diar</w:t>
      </w:r>
      <w:r w:rsidRPr="00AC3626">
        <w:rPr>
          <w:rFonts w:ascii="Arial" w:eastAsia="Times New Roman" w:hAnsi="Arial" w:cs="Arial"/>
          <w:kern w:val="1"/>
          <w:sz w:val="22"/>
          <w:szCs w:val="22"/>
          <w:lang w:eastAsia="ar-SA"/>
        </w:rPr>
        <w:t>io Oficial de la Federación (</w:t>
      </w:r>
      <w:r w:rsidR="008C7514" w:rsidRPr="00AC3626">
        <w:rPr>
          <w:rFonts w:ascii="Arial" w:eastAsia="Times New Roman" w:hAnsi="Arial" w:cs="Arial"/>
          <w:kern w:val="1"/>
          <w:sz w:val="22"/>
          <w:szCs w:val="22"/>
          <w:lang w:eastAsia="ar-SA"/>
        </w:rPr>
        <w:t xml:space="preserve">“DOF”) el </w:t>
      </w:r>
      <w:r w:rsidR="008C7514" w:rsidRPr="00AC3626">
        <w:rPr>
          <w:rFonts w:ascii="Arial" w:eastAsia="Times New Roman" w:hAnsi="Arial" w:cs="Arial"/>
          <w:i/>
          <w:kern w:val="1"/>
          <w:sz w:val="22"/>
          <w:szCs w:val="22"/>
          <w:lang w:eastAsia="ar-SA"/>
        </w:rPr>
        <w:t>“</w:t>
      </w:r>
      <w:r w:rsidRPr="00AC3626">
        <w:rPr>
          <w:rFonts w:ascii="Arial" w:eastAsia="Times New Roman" w:hAnsi="Arial" w:cs="Arial"/>
          <w:i/>
          <w:kern w:val="1"/>
          <w:sz w:val="22"/>
          <w:szCs w:val="22"/>
          <w:lang w:eastAsia="ar-SA"/>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008C7514" w:rsidRPr="00AC3626">
        <w:rPr>
          <w:rFonts w:ascii="Arial" w:eastAsia="Times New Roman" w:hAnsi="Arial" w:cs="Arial"/>
          <w:i/>
          <w:kern w:val="1"/>
          <w:sz w:val="22"/>
          <w:szCs w:val="22"/>
          <w:lang w:eastAsia="ar-SA"/>
        </w:rPr>
        <w:t>”</w:t>
      </w:r>
      <w:r w:rsidR="00896196" w:rsidRPr="00AC3626">
        <w:rPr>
          <w:rFonts w:ascii="Arial" w:eastAsia="Times New Roman" w:hAnsi="Arial" w:cs="Arial"/>
          <w:i/>
          <w:kern w:val="1"/>
          <w:sz w:val="22"/>
          <w:szCs w:val="22"/>
          <w:lang w:eastAsia="ar-SA"/>
        </w:rPr>
        <w:t xml:space="preserve"> (“Condiciones Técnicas Mínimas 2018”)</w:t>
      </w:r>
      <w:r w:rsidR="008C7514" w:rsidRPr="00AC3626">
        <w:rPr>
          <w:rFonts w:ascii="Arial" w:eastAsia="Times New Roman" w:hAnsi="Arial" w:cs="Arial"/>
          <w:kern w:val="1"/>
          <w:sz w:val="22"/>
          <w:szCs w:val="22"/>
          <w:lang w:eastAsia="ar-SA"/>
        </w:rPr>
        <w:t>.</w:t>
      </w:r>
    </w:p>
    <w:p w14:paraId="2ADF608A" w14:textId="77777777" w:rsidR="008C7514" w:rsidRPr="00AC3626" w:rsidRDefault="008C7514" w:rsidP="00392D2E">
      <w:pPr>
        <w:suppressAutoHyphens/>
        <w:jc w:val="both"/>
        <w:rPr>
          <w:rFonts w:ascii="Arial" w:hAnsi="Arial" w:cs="Arial"/>
          <w:color w:val="000000" w:themeColor="text1"/>
          <w:kern w:val="1"/>
          <w:sz w:val="22"/>
          <w:szCs w:val="22"/>
          <w:lang w:eastAsia="ar-SA"/>
        </w:rPr>
      </w:pPr>
    </w:p>
    <w:p w14:paraId="56876AAB" w14:textId="77777777" w:rsidR="008C7514" w:rsidRPr="00AC3626" w:rsidRDefault="008C7514" w:rsidP="008C7514">
      <w:pPr>
        <w:numPr>
          <w:ilvl w:val="0"/>
          <w:numId w:val="1"/>
        </w:numPr>
        <w:suppressAutoHyphens/>
        <w:jc w:val="both"/>
        <w:rPr>
          <w:rFonts w:ascii="Arial" w:hAnsi="Arial" w:cs="Arial"/>
          <w:color w:val="000000" w:themeColor="text1"/>
          <w:kern w:val="1"/>
          <w:sz w:val="22"/>
          <w:szCs w:val="22"/>
          <w:lang w:eastAsia="ar-SA"/>
        </w:rPr>
      </w:pPr>
      <w:r w:rsidRPr="00AC3626">
        <w:rPr>
          <w:rFonts w:ascii="Arial" w:hAnsi="Arial" w:cs="Arial"/>
          <w:color w:val="000000" w:themeColor="text1"/>
          <w:kern w:val="1"/>
          <w:sz w:val="22"/>
          <w:szCs w:val="22"/>
          <w:lang w:eastAsia="ar-SA"/>
        </w:rPr>
        <w:t xml:space="preserve">El </w:t>
      </w:r>
      <w:r w:rsidR="00695E73" w:rsidRPr="00AC3626">
        <w:rPr>
          <w:rFonts w:ascii="Arial" w:hAnsi="Arial" w:cs="Arial"/>
          <w:color w:val="000000" w:themeColor="text1"/>
          <w:kern w:val="1"/>
          <w:sz w:val="22"/>
          <w:szCs w:val="22"/>
          <w:lang w:eastAsia="ar-SA"/>
        </w:rPr>
        <w:t xml:space="preserve">11 de mayo de 2018, se publicó en el DOF el </w:t>
      </w:r>
      <w:r w:rsidR="00695E73" w:rsidRPr="00AC3626">
        <w:rPr>
          <w:rFonts w:ascii="Arial" w:hAnsi="Arial" w:cs="Arial"/>
          <w:i/>
          <w:color w:val="000000" w:themeColor="text1"/>
          <w:kern w:val="1"/>
          <w:sz w:val="22"/>
          <w:szCs w:val="22"/>
          <w:lang w:eastAsia="ar-SA"/>
        </w:rPr>
        <w:t xml:space="preserve">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w:t>
      </w:r>
      <w:r w:rsidR="00475D90" w:rsidRPr="00AC3626">
        <w:rPr>
          <w:rFonts w:ascii="Arial" w:hAnsi="Arial" w:cs="Arial"/>
          <w:color w:val="000000" w:themeColor="text1"/>
          <w:kern w:val="1"/>
          <w:sz w:val="22"/>
          <w:szCs w:val="22"/>
          <w:lang w:eastAsia="ar-SA"/>
        </w:rPr>
        <w:t>(“</w:t>
      </w:r>
      <w:r w:rsidR="00305204" w:rsidRPr="00AC3626">
        <w:rPr>
          <w:rFonts w:ascii="Arial" w:hAnsi="Arial" w:cs="Arial"/>
          <w:color w:val="000000" w:themeColor="text1"/>
          <w:kern w:val="1"/>
          <w:sz w:val="22"/>
          <w:szCs w:val="22"/>
          <w:lang w:eastAsia="ar-SA"/>
        </w:rPr>
        <w:t>Acuerdo</w:t>
      </w:r>
      <w:r w:rsidR="00475D90" w:rsidRPr="00AC3626">
        <w:rPr>
          <w:rFonts w:ascii="Arial" w:hAnsi="Arial" w:cs="Arial"/>
          <w:color w:val="000000" w:themeColor="text1"/>
          <w:kern w:val="1"/>
          <w:sz w:val="22"/>
          <w:szCs w:val="22"/>
          <w:lang w:eastAsia="ar-SA"/>
        </w:rPr>
        <w:t>”)</w:t>
      </w:r>
      <w:r w:rsidR="00392D2E" w:rsidRPr="00AC3626">
        <w:rPr>
          <w:rFonts w:ascii="Arial" w:hAnsi="Arial" w:cs="Arial"/>
          <w:color w:val="000000" w:themeColor="text1"/>
          <w:kern w:val="1"/>
          <w:sz w:val="22"/>
          <w:szCs w:val="22"/>
          <w:lang w:eastAsia="ar-SA"/>
        </w:rPr>
        <w:t>, cuyas disposiciones normativas</w:t>
      </w:r>
      <w:r w:rsidR="00475D90" w:rsidRPr="00AC3626">
        <w:rPr>
          <w:rFonts w:ascii="Arial" w:hAnsi="Arial" w:cs="Arial"/>
          <w:i/>
          <w:color w:val="000000" w:themeColor="text1"/>
          <w:kern w:val="1"/>
          <w:sz w:val="22"/>
          <w:szCs w:val="22"/>
          <w:lang w:eastAsia="ar-SA"/>
        </w:rPr>
        <w:t xml:space="preserve"> </w:t>
      </w:r>
      <w:r w:rsidR="00695E73" w:rsidRPr="00AC3626">
        <w:rPr>
          <w:rFonts w:ascii="Arial" w:hAnsi="Arial" w:cs="Arial"/>
          <w:color w:val="000000" w:themeColor="text1"/>
          <w:kern w:val="1"/>
          <w:sz w:val="22"/>
          <w:szCs w:val="22"/>
          <w:lang w:eastAsia="ar-SA"/>
        </w:rPr>
        <w:t>entrará</w:t>
      </w:r>
      <w:r w:rsidR="00392D2E" w:rsidRPr="00AC3626">
        <w:rPr>
          <w:rFonts w:ascii="Arial" w:hAnsi="Arial" w:cs="Arial"/>
          <w:color w:val="000000" w:themeColor="text1"/>
          <w:kern w:val="1"/>
          <w:sz w:val="22"/>
          <w:szCs w:val="22"/>
          <w:lang w:eastAsia="ar-SA"/>
        </w:rPr>
        <w:t>n</w:t>
      </w:r>
      <w:r w:rsidR="00695E73" w:rsidRPr="00AC3626">
        <w:rPr>
          <w:rFonts w:ascii="Arial" w:hAnsi="Arial" w:cs="Arial"/>
          <w:color w:val="000000" w:themeColor="text1"/>
          <w:kern w:val="1"/>
          <w:sz w:val="22"/>
          <w:szCs w:val="22"/>
          <w:lang w:eastAsia="ar-SA"/>
        </w:rPr>
        <w:t xml:space="preserve"> en vigor el 3 de agosto de 2018</w:t>
      </w:r>
      <w:r w:rsidRPr="00AC3626">
        <w:rPr>
          <w:rFonts w:ascii="Arial" w:hAnsi="Arial" w:cs="Arial"/>
          <w:color w:val="000000" w:themeColor="text1"/>
          <w:kern w:val="1"/>
          <w:sz w:val="22"/>
          <w:szCs w:val="22"/>
          <w:lang w:eastAsia="ar-SA"/>
        </w:rPr>
        <w:t>.</w:t>
      </w:r>
    </w:p>
    <w:p w14:paraId="2414087A" w14:textId="77777777" w:rsidR="008C7514" w:rsidRPr="00AC3626" w:rsidRDefault="008C7514" w:rsidP="008C7514">
      <w:pPr>
        <w:contextualSpacing/>
        <w:jc w:val="both"/>
        <w:rPr>
          <w:rFonts w:ascii="Arial" w:hAnsi="Arial" w:cs="Arial"/>
          <w:bCs/>
          <w:sz w:val="22"/>
          <w:szCs w:val="22"/>
        </w:rPr>
      </w:pPr>
    </w:p>
    <w:p w14:paraId="2F95E871" w14:textId="77777777" w:rsidR="00DE109F" w:rsidRPr="00AC3626" w:rsidRDefault="00DE109F" w:rsidP="00DE109F">
      <w:pPr>
        <w:numPr>
          <w:ilvl w:val="0"/>
          <w:numId w:val="1"/>
        </w:numPr>
        <w:suppressAutoHyphens/>
        <w:jc w:val="both"/>
        <w:rPr>
          <w:rFonts w:ascii="Arial" w:hAnsi="Arial" w:cs="Arial"/>
          <w:color w:val="000000" w:themeColor="text1"/>
          <w:kern w:val="1"/>
          <w:sz w:val="22"/>
          <w:szCs w:val="22"/>
          <w:lang w:eastAsia="ar-SA"/>
        </w:rPr>
      </w:pPr>
      <w:r w:rsidRPr="00AC3626">
        <w:rPr>
          <w:rFonts w:ascii="Arial" w:hAnsi="Arial" w:cs="Arial"/>
          <w:sz w:val="22"/>
          <w:szCs w:val="22"/>
        </w:rPr>
        <w:t xml:space="preserve">El </w:t>
      </w:r>
      <w:r>
        <w:rPr>
          <w:rFonts w:ascii="Arial" w:hAnsi="Arial" w:cs="Arial"/>
          <w:sz w:val="22"/>
          <w:szCs w:val="22"/>
        </w:rPr>
        <w:t>13</w:t>
      </w:r>
      <w:r w:rsidRPr="00AC3626">
        <w:rPr>
          <w:rFonts w:ascii="Arial" w:hAnsi="Arial" w:cs="Arial"/>
          <w:sz w:val="22"/>
          <w:szCs w:val="22"/>
        </w:rPr>
        <w:t xml:space="preserve"> de </w:t>
      </w:r>
      <w:r>
        <w:rPr>
          <w:rFonts w:ascii="Arial" w:hAnsi="Arial" w:cs="Arial"/>
          <w:sz w:val="22"/>
          <w:szCs w:val="22"/>
        </w:rPr>
        <w:t>noviem</w:t>
      </w:r>
      <w:r w:rsidRPr="00AC3626">
        <w:rPr>
          <w:rFonts w:ascii="Arial" w:hAnsi="Arial" w:cs="Arial"/>
          <w:sz w:val="22"/>
          <w:szCs w:val="22"/>
        </w:rPr>
        <w:t xml:space="preserve">bre de 2018, </w:t>
      </w:r>
      <w:r w:rsidRPr="00AC3626">
        <w:rPr>
          <w:rFonts w:ascii="Arial" w:eastAsia="Times New Roman" w:hAnsi="Arial" w:cs="Arial"/>
          <w:kern w:val="1"/>
          <w:sz w:val="22"/>
          <w:szCs w:val="22"/>
          <w:lang w:eastAsia="ar-SA"/>
        </w:rPr>
        <w:t xml:space="preserve">se publicó en el Diario Oficial de la Federación (“DOF”) el </w:t>
      </w:r>
      <w:r w:rsidRPr="00AC3626">
        <w:rPr>
          <w:rFonts w:ascii="Arial" w:eastAsia="Times New Roman" w:hAnsi="Arial" w:cs="Arial"/>
          <w:i/>
          <w:kern w:val="1"/>
          <w:sz w:val="22"/>
          <w:szCs w:val="22"/>
          <w:lang w:eastAsia="ar-SA"/>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w:t>
      </w:r>
      <w:r>
        <w:rPr>
          <w:rFonts w:ascii="Arial" w:eastAsia="Times New Roman" w:hAnsi="Arial" w:cs="Arial"/>
          <w:i/>
          <w:kern w:val="1"/>
          <w:sz w:val="22"/>
          <w:szCs w:val="22"/>
          <w:lang w:eastAsia="ar-SA"/>
        </w:rPr>
        <w:t>019</w:t>
      </w:r>
      <w:r w:rsidRPr="00AC3626">
        <w:rPr>
          <w:rFonts w:ascii="Arial" w:eastAsia="Times New Roman" w:hAnsi="Arial" w:cs="Arial"/>
          <w:i/>
          <w:kern w:val="1"/>
          <w:sz w:val="22"/>
          <w:szCs w:val="22"/>
          <w:lang w:eastAsia="ar-SA"/>
        </w:rPr>
        <w:t>” (“C</w:t>
      </w:r>
      <w:r>
        <w:rPr>
          <w:rFonts w:ascii="Arial" w:eastAsia="Times New Roman" w:hAnsi="Arial" w:cs="Arial"/>
          <w:i/>
          <w:kern w:val="1"/>
          <w:sz w:val="22"/>
          <w:szCs w:val="22"/>
          <w:lang w:eastAsia="ar-SA"/>
        </w:rPr>
        <w:t>ondiciones Técnicas Mínimas 2019</w:t>
      </w:r>
      <w:r w:rsidRPr="00AC3626">
        <w:rPr>
          <w:rFonts w:ascii="Arial" w:eastAsia="Times New Roman" w:hAnsi="Arial" w:cs="Arial"/>
          <w:i/>
          <w:kern w:val="1"/>
          <w:sz w:val="22"/>
          <w:szCs w:val="22"/>
          <w:lang w:eastAsia="ar-SA"/>
        </w:rPr>
        <w:t>”)</w:t>
      </w:r>
      <w:r w:rsidRPr="00AC3626">
        <w:rPr>
          <w:rFonts w:ascii="Arial" w:eastAsia="Times New Roman" w:hAnsi="Arial" w:cs="Arial"/>
          <w:kern w:val="1"/>
          <w:sz w:val="22"/>
          <w:szCs w:val="22"/>
          <w:lang w:eastAsia="ar-SA"/>
        </w:rPr>
        <w:t>.</w:t>
      </w:r>
    </w:p>
    <w:p w14:paraId="250312C4" w14:textId="77777777" w:rsidR="008C7514" w:rsidRPr="00AC3626" w:rsidRDefault="008C7514" w:rsidP="008C7514">
      <w:pPr>
        <w:pStyle w:val="Prrafodelista"/>
        <w:ind w:left="360"/>
        <w:jc w:val="both"/>
        <w:rPr>
          <w:rFonts w:ascii="Arial" w:hAnsi="Arial" w:cs="Arial"/>
          <w:sz w:val="22"/>
          <w:szCs w:val="22"/>
        </w:rPr>
      </w:pPr>
    </w:p>
    <w:p w14:paraId="01F3A945" w14:textId="77777777" w:rsidR="008C7514" w:rsidRDefault="008C7514" w:rsidP="008C7514">
      <w:pPr>
        <w:jc w:val="both"/>
        <w:rPr>
          <w:rFonts w:ascii="Arial" w:eastAsia="Times New Roman" w:hAnsi="Arial" w:cs="Arial"/>
          <w:kern w:val="2"/>
          <w:sz w:val="22"/>
          <w:szCs w:val="22"/>
          <w:lang w:eastAsia="ar-SA"/>
        </w:rPr>
      </w:pPr>
    </w:p>
    <w:p w14:paraId="7BB17B27" w14:textId="77777777" w:rsidR="00AC3626" w:rsidRDefault="00AC3626" w:rsidP="008C7514">
      <w:pPr>
        <w:jc w:val="both"/>
        <w:rPr>
          <w:rFonts w:ascii="Arial" w:eastAsia="Times New Roman" w:hAnsi="Arial" w:cs="Arial"/>
          <w:kern w:val="2"/>
          <w:sz w:val="22"/>
          <w:szCs w:val="22"/>
          <w:lang w:eastAsia="ar-SA"/>
        </w:rPr>
      </w:pPr>
    </w:p>
    <w:p w14:paraId="62CE851F" w14:textId="77777777" w:rsidR="00AC3626" w:rsidRPr="00AC3626" w:rsidRDefault="00AC3626" w:rsidP="008C7514">
      <w:pPr>
        <w:jc w:val="both"/>
        <w:rPr>
          <w:rFonts w:ascii="Arial" w:eastAsia="Times New Roman" w:hAnsi="Arial" w:cs="Arial"/>
          <w:kern w:val="2"/>
          <w:sz w:val="22"/>
          <w:szCs w:val="22"/>
          <w:lang w:eastAsia="ar-SA"/>
        </w:rPr>
      </w:pPr>
    </w:p>
    <w:p w14:paraId="27D5F411" w14:textId="77777777" w:rsidR="008C7514" w:rsidRPr="00AC3626" w:rsidRDefault="008C7514" w:rsidP="008C7514">
      <w:pPr>
        <w:jc w:val="center"/>
        <w:rPr>
          <w:rFonts w:ascii="Arial" w:eastAsia="Times New Roman" w:hAnsi="Arial" w:cs="Arial"/>
          <w:b/>
          <w:kern w:val="2"/>
          <w:sz w:val="22"/>
          <w:szCs w:val="22"/>
          <w:lang w:eastAsia="ar-SA"/>
        </w:rPr>
      </w:pPr>
      <w:r w:rsidRPr="00AC3626">
        <w:rPr>
          <w:rFonts w:ascii="Arial" w:eastAsia="Times New Roman" w:hAnsi="Arial" w:cs="Arial"/>
          <w:b/>
          <w:kern w:val="2"/>
          <w:sz w:val="22"/>
          <w:szCs w:val="22"/>
          <w:lang w:eastAsia="ar-SA"/>
        </w:rPr>
        <w:lastRenderedPageBreak/>
        <w:t>CONSIDERANDO</w:t>
      </w:r>
    </w:p>
    <w:p w14:paraId="5601090A" w14:textId="77777777" w:rsidR="008C7514" w:rsidRPr="00AC3626" w:rsidRDefault="008C7514" w:rsidP="008C7514">
      <w:pPr>
        <w:jc w:val="center"/>
        <w:rPr>
          <w:rFonts w:ascii="Arial" w:eastAsia="Times New Roman" w:hAnsi="Arial" w:cs="Arial"/>
          <w:b/>
          <w:kern w:val="2"/>
          <w:sz w:val="22"/>
          <w:szCs w:val="22"/>
          <w:lang w:eastAsia="ar-SA"/>
        </w:rPr>
      </w:pPr>
    </w:p>
    <w:p w14:paraId="00C4AECF" w14:textId="77777777" w:rsidR="008C7514" w:rsidRPr="00AC3626" w:rsidRDefault="008C7514" w:rsidP="008C7514">
      <w:pPr>
        <w:jc w:val="center"/>
        <w:rPr>
          <w:rFonts w:ascii="Arial" w:eastAsia="Times New Roman" w:hAnsi="Arial" w:cs="Arial"/>
          <w:b/>
          <w:kern w:val="2"/>
          <w:sz w:val="22"/>
          <w:szCs w:val="22"/>
          <w:lang w:eastAsia="ar-SA"/>
        </w:rPr>
      </w:pPr>
    </w:p>
    <w:p w14:paraId="1472FD70" w14:textId="77777777" w:rsidR="008C7514" w:rsidRPr="00AC3626" w:rsidRDefault="008C7514" w:rsidP="008C7514">
      <w:pPr>
        <w:suppressAutoHyphens/>
        <w:ind w:right="-62"/>
        <w:jc w:val="both"/>
        <w:rPr>
          <w:rFonts w:ascii="Arial" w:eastAsia="Times New Roman" w:hAnsi="Arial" w:cs="Arial"/>
          <w:kern w:val="1"/>
          <w:sz w:val="22"/>
          <w:szCs w:val="22"/>
          <w:lang w:eastAsia="ar-SA"/>
        </w:rPr>
      </w:pPr>
      <w:proofErr w:type="gramStart"/>
      <w:r w:rsidRPr="00AC3626">
        <w:rPr>
          <w:rFonts w:ascii="Arial" w:eastAsia="Times New Roman" w:hAnsi="Arial" w:cs="Arial"/>
          <w:b/>
          <w:kern w:val="2"/>
          <w:sz w:val="22"/>
          <w:szCs w:val="22"/>
          <w:lang w:eastAsia="ar-SA"/>
        </w:rPr>
        <w:t>PRIMERO.-</w:t>
      </w:r>
      <w:proofErr w:type="gramEnd"/>
      <w:r w:rsidRPr="00AC3626">
        <w:rPr>
          <w:rFonts w:ascii="Arial" w:eastAsia="Times New Roman" w:hAnsi="Arial" w:cs="Arial"/>
          <w:b/>
          <w:kern w:val="2"/>
          <w:sz w:val="22"/>
          <w:szCs w:val="22"/>
          <w:lang w:eastAsia="ar-SA"/>
        </w:rPr>
        <w:t xml:space="preserve"> Ámbito competencial del Instituto.</w:t>
      </w:r>
      <w:r w:rsidRPr="00AC3626">
        <w:rPr>
          <w:rFonts w:ascii="Arial" w:hAnsi="Arial" w:cs="Arial"/>
          <w:b/>
          <w:kern w:val="2"/>
          <w:sz w:val="22"/>
          <w:szCs w:val="22"/>
          <w:lang w:eastAsia="ar-SA"/>
        </w:rPr>
        <w:t xml:space="preserve"> </w:t>
      </w:r>
      <w:r w:rsidRPr="00AC3626">
        <w:rPr>
          <w:rFonts w:ascii="Arial" w:eastAsia="Times New Roman" w:hAnsi="Arial" w:cs="Arial"/>
          <w:kern w:val="1"/>
          <w:sz w:val="22"/>
          <w:szCs w:val="22"/>
          <w:lang w:eastAsia="ar-SA"/>
        </w:rPr>
        <w:t>De conformidad con lo establecido por el artículo 28 párrafo décimo quinto de la Constitución Política de l</w:t>
      </w:r>
      <w:r w:rsidR="002D2AF6" w:rsidRPr="00AC3626">
        <w:rPr>
          <w:rFonts w:ascii="Arial" w:eastAsia="Times New Roman" w:hAnsi="Arial" w:cs="Arial"/>
          <w:kern w:val="1"/>
          <w:sz w:val="22"/>
          <w:szCs w:val="22"/>
          <w:lang w:eastAsia="ar-SA"/>
        </w:rPr>
        <w:t>os Estados Unidos Mexicanos (</w:t>
      </w:r>
      <w:r w:rsidRPr="00AC3626">
        <w:rPr>
          <w:rFonts w:ascii="Arial" w:eastAsia="Times New Roman" w:hAnsi="Arial" w:cs="Arial"/>
          <w:kern w:val="1"/>
          <w:sz w:val="22"/>
          <w:szCs w:val="22"/>
          <w:lang w:eastAsia="ar-SA"/>
        </w:rPr>
        <w:t>“Constitución”), el Instituto tiene por objeto el desarrollo eficiente de la radiodifusión y las telecomunicaciones, conforme a lo dispuesto en la propia Constitución y en los términos que fijen las leyes.</w:t>
      </w:r>
    </w:p>
    <w:p w14:paraId="1A717B0C" w14:textId="77777777" w:rsidR="008C7514" w:rsidRPr="00AC3626" w:rsidRDefault="008C7514" w:rsidP="008C7514">
      <w:pPr>
        <w:suppressAutoHyphens/>
        <w:ind w:right="-62"/>
        <w:jc w:val="both"/>
        <w:rPr>
          <w:rFonts w:ascii="Arial" w:eastAsia="Times New Roman" w:hAnsi="Arial" w:cs="Arial"/>
          <w:kern w:val="1"/>
          <w:sz w:val="22"/>
          <w:szCs w:val="22"/>
          <w:lang w:eastAsia="ar-SA"/>
        </w:rPr>
      </w:pPr>
    </w:p>
    <w:p w14:paraId="0E8A33AC" w14:textId="77777777" w:rsidR="008C7514" w:rsidRPr="00AC3626" w:rsidRDefault="008C7514" w:rsidP="008C7514">
      <w:pPr>
        <w:suppressAutoHyphens/>
        <w:ind w:right="-62"/>
        <w:jc w:val="both"/>
        <w:rPr>
          <w:rFonts w:ascii="Arial" w:eastAsia="Times New Roman" w:hAnsi="Arial" w:cs="Arial"/>
          <w:kern w:val="1"/>
          <w:sz w:val="22"/>
          <w:szCs w:val="22"/>
          <w:lang w:eastAsia="ar-SA"/>
        </w:rPr>
      </w:pPr>
      <w:r w:rsidRPr="00AC3626">
        <w:rPr>
          <w:rFonts w:ascii="Arial" w:eastAsia="Times New Roman" w:hAnsi="Arial" w:cs="Arial"/>
          <w:kern w:val="1"/>
          <w:sz w:val="22"/>
          <w:szCs w:val="22"/>
          <w:lang w:eastAsia="ar-SA"/>
        </w:rPr>
        <w:t>Para tal efecto, en términos del precepto constitucional invocado, así como de los artículos 1 y 7 de la Ley Federal de Telecom</w:t>
      </w:r>
      <w:r w:rsidR="002D2AF6" w:rsidRPr="00AC3626">
        <w:rPr>
          <w:rFonts w:ascii="Arial" w:eastAsia="Times New Roman" w:hAnsi="Arial" w:cs="Arial"/>
          <w:kern w:val="1"/>
          <w:sz w:val="22"/>
          <w:szCs w:val="22"/>
          <w:lang w:eastAsia="ar-SA"/>
        </w:rPr>
        <w:t>unicaciones y Radiodifusión (</w:t>
      </w:r>
      <w:r w:rsidRPr="00AC3626">
        <w:rPr>
          <w:rFonts w:ascii="Arial" w:eastAsia="Times New Roman" w:hAnsi="Arial" w:cs="Arial"/>
          <w:kern w:val="1"/>
          <w:sz w:val="22"/>
          <w:szCs w:val="22"/>
          <w:lang w:eastAsia="ar-SA"/>
        </w:rPr>
        <w:t>“Ley”),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 y 7° de la Constitución.</w:t>
      </w:r>
    </w:p>
    <w:p w14:paraId="66ED0112" w14:textId="77777777" w:rsidR="008C7514" w:rsidRPr="00AC3626" w:rsidRDefault="008C7514" w:rsidP="008C7514">
      <w:pPr>
        <w:jc w:val="both"/>
        <w:rPr>
          <w:rFonts w:ascii="Arial" w:hAnsi="Arial" w:cs="Arial"/>
          <w:sz w:val="22"/>
          <w:szCs w:val="22"/>
        </w:rPr>
      </w:pPr>
    </w:p>
    <w:p w14:paraId="2D4EFED9" w14:textId="77777777" w:rsidR="008C7514" w:rsidRPr="00AC3626" w:rsidRDefault="008C7514" w:rsidP="008C7514">
      <w:pPr>
        <w:suppressAutoHyphens/>
        <w:ind w:right="-62"/>
        <w:jc w:val="both"/>
        <w:rPr>
          <w:rFonts w:ascii="Arial" w:eastAsia="Times New Roman" w:hAnsi="Arial" w:cs="Arial"/>
          <w:kern w:val="1"/>
          <w:sz w:val="22"/>
          <w:szCs w:val="22"/>
          <w:lang w:eastAsia="ar-SA"/>
        </w:rPr>
      </w:pPr>
      <w:r w:rsidRPr="00AC3626">
        <w:rPr>
          <w:rFonts w:ascii="Arial" w:eastAsia="Times New Roman" w:hAnsi="Arial" w:cs="Arial"/>
          <w:kern w:val="1"/>
          <w:sz w:val="22"/>
          <w:szCs w:val="22"/>
          <w:lang w:eastAsia="ar-SA"/>
        </w:rPr>
        <w:t>Asimismo, el Instituto es la autoridad en materia de competencia económica de los sectores de radiodifusión y telecomunicaciones, por lo que en éstos ejercerá en forma exclusiva las facultades establecidas por el artículo 28 de la Constitución, la Ley y la Ley Federal de Competencia Económica.</w:t>
      </w:r>
    </w:p>
    <w:p w14:paraId="4A938AD2" w14:textId="77777777" w:rsidR="008C7514" w:rsidRPr="00AC3626" w:rsidRDefault="008C7514" w:rsidP="008C7514">
      <w:pPr>
        <w:jc w:val="both"/>
        <w:rPr>
          <w:rFonts w:ascii="Arial" w:hAnsi="Arial" w:cs="Arial"/>
          <w:sz w:val="22"/>
          <w:szCs w:val="22"/>
        </w:rPr>
      </w:pPr>
    </w:p>
    <w:p w14:paraId="194178C7" w14:textId="77777777" w:rsidR="008C7514" w:rsidRPr="00AC3626" w:rsidRDefault="008C7514" w:rsidP="008C7514">
      <w:pPr>
        <w:suppressAutoHyphens/>
        <w:ind w:right="-62"/>
        <w:jc w:val="both"/>
        <w:rPr>
          <w:rFonts w:ascii="Arial" w:eastAsia="Times New Roman" w:hAnsi="Arial" w:cs="Arial"/>
          <w:kern w:val="1"/>
          <w:sz w:val="22"/>
          <w:szCs w:val="22"/>
          <w:lang w:eastAsia="ar-SA"/>
        </w:rPr>
      </w:pPr>
      <w:r w:rsidRPr="00AC3626">
        <w:rPr>
          <w:rFonts w:ascii="Arial" w:eastAsia="Times New Roman" w:hAnsi="Arial" w:cs="Arial"/>
          <w:kern w:val="1"/>
          <w:sz w:val="22"/>
          <w:szCs w:val="22"/>
          <w:lang w:eastAsia="ar-SA"/>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w:t>
      </w:r>
      <w:r w:rsidR="002D2AF6" w:rsidRPr="00AC3626">
        <w:rPr>
          <w:rFonts w:ascii="Arial" w:eastAsia="Times New Roman" w:hAnsi="Arial" w:cs="Arial"/>
          <w:kern w:val="1"/>
          <w:sz w:val="22"/>
          <w:szCs w:val="22"/>
          <w:lang w:eastAsia="ar-SA"/>
        </w:rPr>
        <w:t>o por los artículos 15 fracciones I y LVI, 16 y 17 fracción I de la Ley y 6 fracción XXV de su Estatuto Orgánico, podrá ordenar la publicación en el DOF, de los acuerdos y resoluciones de carácter general que emita y de aquellos en los que así lo determine.</w:t>
      </w:r>
    </w:p>
    <w:p w14:paraId="7FC31FA3" w14:textId="77777777" w:rsidR="008C7514" w:rsidRPr="00AC3626" w:rsidRDefault="008C7514" w:rsidP="008C7514">
      <w:pPr>
        <w:suppressAutoHyphens/>
        <w:ind w:right="-62"/>
        <w:jc w:val="both"/>
        <w:rPr>
          <w:rFonts w:ascii="Arial" w:eastAsia="Times New Roman" w:hAnsi="Arial" w:cs="Arial"/>
          <w:kern w:val="1"/>
          <w:sz w:val="22"/>
          <w:szCs w:val="22"/>
          <w:lang w:eastAsia="ar-SA"/>
        </w:rPr>
      </w:pPr>
    </w:p>
    <w:p w14:paraId="7BA1BD00" w14:textId="298E7E0E" w:rsidR="002D2AF6" w:rsidRPr="00AC3626" w:rsidRDefault="002D2AF6" w:rsidP="002D2AF6">
      <w:pPr>
        <w:suppressAutoHyphens/>
        <w:ind w:right="-62"/>
        <w:jc w:val="both"/>
        <w:rPr>
          <w:rFonts w:ascii="Arial" w:eastAsia="Times New Roman" w:hAnsi="Arial" w:cs="Arial"/>
          <w:kern w:val="1"/>
          <w:sz w:val="22"/>
          <w:szCs w:val="22"/>
          <w:lang w:val="es-ES" w:eastAsia="ar-SA"/>
        </w:rPr>
      </w:pPr>
      <w:r w:rsidRPr="00AC3626">
        <w:rPr>
          <w:rFonts w:ascii="Arial" w:eastAsia="Times New Roman" w:hAnsi="Arial" w:cs="Arial"/>
          <w:kern w:val="1"/>
          <w:sz w:val="22"/>
          <w:szCs w:val="22"/>
          <w:lang w:val="es-ES" w:eastAsia="ar-SA"/>
        </w:rPr>
        <w:t>Adicionalmente, el artículo 124 de la Ley faculta al Instituto a elaborar, actualizar y administrar los planes técnicos fundamentales de numeración y señalización, con la finalidad de que sean debidamente aplicados por los</w:t>
      </w:r>
      <w:r w:rsidR="00BF3D9F">
        <w:rPr>
          <w:rFonts w:ascii="Arial" w:eastAsia="Times New Roman" w:hAnsi="Arial" w:cs="Arial"/>
          <w:kern w:val="1"/>
          <w:sz w:val="22"/>
          <w:szCs w:val="22"/>
          <w:lang w:val="es-ES" w:eastAsia="ar-SA"/>
        </w:rPr>
        <w:t xml:space="preserve"> proveedores de servicios de telecomunicaciones</w:t>
      </w:r>
      <w:r w:rsidRPr="00AC3626">
        <w:rPr>
          <w:rFonts w:ascii="Arial" w:eastAsia="Times New Roman" w:hAnsi="Arial" w:cs="Arial"/>
          <w:kern w:val="1"/>
          <w:sz w:val="22"/>
          <w:szCs w:val="22"/>
          <w:lang w:val="es-ES" w:eastAsia="ar-SA"/>
        </w:rPr>
        <w:t xml:space="preserve"> </w:t>
      </w:r>
      <w:r w:rsidR="00BF3D9F">
        <w:rPr>
          <w:rFonts w:ascii="Arial" w:eastAsia="Times New Roman" w:hAnsi="Arial" w:cs="Arial"/>
          <w:kern w:val="1"/>
          <w:sz w:val="22"/>
          <w:szCs w:val="22"/>
          <w:lang w:val="es-ES" w:eastAsia="ar-SA"/>
        </w:rPr>
        <w:t>(</w:t>
      </w:r>
      <w:r w:rsidR="00921D97">
        <w:rPr>
          <w:rFonts w:ascii="Arial" w:eastAsia="Times New Roman" w:hAnsi="Arial" w:cs="Arial"/>
          <w:kern w:val="1"/>
          <w:sz w:val="22"/>
          <w:szCs w:val="22"/>
          <w:lang w:val="es-ES" w:eastAsia="ar-SA"/>
        </w:rPr>
        <w:t>“</w:t>
      </w:r>
      <w:r w:rsidRPr="00AC3626">
        <w:rPr>
          <w:rFonts w:ascii="Arial" w:eastAsia="Times New Roman" w:hAnsi="Arial" w:cs="Arial"/>
          <w:kern w:val="1"/>
          <w:sz w:val="22"/>
          <w:szCs w:val="22"/>
          <w:lang w:val="es-ES" w:eastAsia="ar-SA"/>
        </w:rPr>
        <w:t>PST</w:t>
      </w:r>
      <w:r w:rsidR="00921D97">
        <w:rPr>
          <w:rFonts w:ascii="Arial" w:eastAsia="Times New Roman" w:hAnsi="Arial" w:cs="Arial"/>
          <w:kern w:val="1"/>
          <w:sz w:val="22"/>
          <w:szCs w:val="22"/>
          <w:lang w:val="es-ES" w:eastAsia="ar-SA"/>
        </w:rPr>
        <w:t>”</w:t>
      </w:r>
      <w:r w:rsidR="00BF3D9F">
        <w:rPr>
          <w:rFonts w:ascii="Arial" w:eastAsia="Times New Roman" w:hAnsi="Arial" w:cs="Arial"/>
          <w:kern w:val="1"/>
          <w:sz w:val="22"/>
          <w:szCs w:val="22"/>
          <w:lang w:val="es-ES" w:eastAsia="ar-SA"/>
        </w:rPr>
        <w:t>)</w:t>
      </w:r>
      <w:r w:rsidRPr="00AC3626">
        <w:rPr>
          <w:rFonts w:ascii="Arial" w:eastAsia="Times New Roman" w:hAnsi="Arial" w:cs="Arial"/>
          <w:kern w:val="1"/>
          <w:sz w:val="22"/>
          <w:szCs w:val="22"/>
          <w:lang w:val="es-ES" w:eastAsia="ar-SA"/>
        </w:rPr>
        <w:t>, siempre en beneficio de los usuarios.</w:t>
      </w:r>
    </w:p>
    <w:p w14:paraId="06DCB4E5" w14:textId="77777777" w:rsidR="008C7514" w:rsidRPr="00AC3626" w:rsidRDefault="008C7514" w:rsidP="008C7514">
      <w:pPr>
        <w:contextualSpacing/>
        <w:jc w:val="both"/>
        <w:rPr>
          <w:rFonts w:ascii="Arial" w:hAnsi="Arial" w:cs="Arial"/>
          <w:bCs/>
          <w:sz w:val="22"/>
          <w:szCs w:val="22"/>
        </w:rPr>
      </w:pPr>
    </w:p>
    <w:p w14:paraId="5C146D76" w14:textId="77777777" w:rsidR="004F6C03" w:rsidRPr="00AC3626" w:rsidRDefault="008C7514" w:rsidP="008C7514">
      <w:pPr>
        <w:jc w:val="both"/>
        <w:rPr>
          <w:rFonts w:ascii="Arial" w:eastAsia="Times New Roman" w:hAnsi="Arial" w:cs="Arial"/>
          <w:kern w:val="2"/>
          <w:sz w:val="22"/>
          <w:szCs w:val="22"/>
          <w:lang w:eastAsia="ar-SA"/>
        </w:rPr>
      </w:pPr>
      <w:r w:rsidRPr="00AC3626">
        <w:rPr>
          <w:rFonts w:ascii="Arial" w:eastAsia="Times New Roman" w:hAnsi="Arial" w:cs="Arial"/>
          <w:b/>
          <w:kern w:val="2"/>
          <w:sz w:val="22"/>
          <w:szCs w:val="22"/>
          <w:lang w:val="uz-Cyrl-UZ" w:eastAsia="ar-SA"/>
        </w:rPr>
        <w:t>SEGUNDO</w:t>
      </w:r>
      <w:r w:rsidRPr="00AC3626">
        <w:rPr>
          <w:rFonts w:ascii="Arial" w:eastAsia="Times New Roman" w:hAnsi="Arial" w:cs="Arial"/>
          <w:b/>
          <w:kern w:val="2"/>
          <w:sz w:val="22"/>
          <w:szCs w:val="22"/>
          <w:lang w:eastAsia="ar-SA"/>
        </w:rPr>
        <w:t>.</w:t>
      </w:r>
      <w:r w:rsidR="004C2CC5" w:rsidRPr="00AC3626">
        <w:rPr>
          <w:rFonts w:ascii="Arial" w:eastAsia="Times New Roman" w:hAnsi="Arial" w:cs="Arial"/>
          <w:b/>
          <w:kern w:val="2"/>
          <w:sz w:val="22"/>
          <w:szCs w:val="22"/>
          <w:lang w:eastAsia="ar-SA"/>
        </w:rPr>
        <w:t>-</w:t>
      </w:r>
      <w:r w:rsidRPr="00AC3626">
        <w:rPr>
          <w:rFonts w:ascii="Arial" w:eastAsia="Times New Roman" w:hAnsi="Arial" w:cs="Arial"/>
          <w:b/>
          <w:kern w:val="2"/>
          <w:sz w:val="22"/>
          <w:szCs w:val="22"/>
          <w:lang w:eastAsia="ar-SA"/>
        </w:rPr>
        <w:t xml:space="preserve"> </w:t>
      </w:r>
      <w:r w:rsidR="008978AD" w:rsidRPr="00AC3626">
        <w:rPr>
          <w:rFonts w:ascii="Arial" w:eastAsia="Times New Roman" w:hAnsi="Arial" w:cs="Arial"/>
          <w:b/>
          <w:kern w:val="2"/>
          <w:sz w:val="22"/>
          <w:szCs w:val="22"/>
          <w:lang w:eastAsia="ar-SA"/>
        </w:rPr>
        <w:t>M</w:t>
      </w:r>
      <w:r w:rsidR="004F6C03" w:rsidRPr="00AC3626">
        <w:rPr>
          <w:rFonts w:ascii="Arial" w:eastAsia="Times New Roman" w:hAnsi="Arial" w:cs="Arial"/>
          <w:b/>
          <w:kern w:val="2"/>
          <w:sz w:val="22"/>
          <w:szCs w:val="22"/>
          <w:lang w:eastAsia="ar-SA"/>
        </w:rPr>
        <w:t>igración de tecnología</w:t>
      </w:r>
      <w:r w:rsidR="008978AD" w:rsidRPr="00AC3626">
        <w:rPr>
          <w:rFonts w:ascii="Arial" w:eastAsia="Times New Roman" w:hAnsi="Arial" w:cs="Arial"/>
          <w:b/>
          <w:kern w:val="2"/>
          <w:sz w:val="22"/>
          <w:szCs w:val="22"/>
          <w:lang w:eastAsia="ar-SA"/>
        </w:rPr>
        <w:t>s</w:t>
      </w:r>
      <w:r w:rsidR="004F6C03" w:rsidRPr="00AC3626">
        <w:rPr>
          <w:rFonts w:ascii="Arial" w:eastAsia="Times New Roman" w:hAnsi="Arial" w:cs="Arial"/>
          <w:b/>
          <w:kern w:val="2"/>
          <w:sz w:val="22"/>
          <w:szCs w:val="22"/>
          <w:lang w:eastAsia="ar-SA"/>
        </w:rPr>
        <w:t xml:space="preserve"> </w:t>
      </w:r>
      <w:r w:rsidR="008978AD" w:rsidRPr="00AC3626">
        <w:rPr>
          <w:rFonts w:ascii="Arial" w:eastAsia="Times New Roman" w:hAnsi="Arial" w:cs="Arial"/>
          <w:b/>
          <w:kern w:val="2"/>
          <w:sz w:val="22"/>
          <w:szCs w:val="22"/>
          <w:lang w:eastAsia="ar-SA"/>
        </w:rPr>
        <w:t xml:space="preserve">basadas en </w:t>
      </w:r>
      <w:proofErr w:type="spellStart"/>
      <w:r w:rsidR="008978AD" w:rsidRPr="00AC3626">
        <w:rPr>
          <w:rFonts w:ascii="Arial" w:eastAsia="Times New Roman" w:hAnsi="Arial" w:cs="Arial"/>
          <w:b/>
          <w:kern w:val="2"/>
          <w:sz w:val="22"/>
          <w:szCs w:val="22"/>
          <w:lang w:eastAsia="ar-SA"/>
        </w:rPr>
        <w:t>multiplexación</w:t>
      </w:r>
      <w:proofErr w:type="spellEnd"/>
      <w:r w:rsidR="008978AD" w:rsidRPr="00AC3626">
        <w:rPr>
          <w:rFonts w:ascii="Arial" w:eastAsia="Times New Roman" w:hAnsi="Arial" w:cs="Arial"/>
          <w:b/>
          <w:kern w:val="2"/>
          <w:sz w:val="22"/>
          <w:szCs w:val="22"/>
          <w:lang w:eastAsia="ar-SA"/>
        </w:rPr>
        <w:t xml:space="preserve"> por división de tiempo (“T</w:t>
      </w:r>
      <w:r w:rsidR="004F6C03" w:rsidRPr="00AC3626">
        <w:rPr>
          <w:rFonts w:ascii="Arial" w:eastAsia="Times New Roman" w:hAnsi="Arial" w:cs="Arial"/>
          <w:b/>
          <w:kern w:val="2"/>
          <w:sz w:val="22"/>
          <w:szCs w:val="22"/>
          <w:lang w:eastAsia="ar-SA"/>
        </w:rPr>
        <w:t>DM</w:t>
      </w:r>
      <w:r w:rsidR="008978AD" w:rsidRPr="00AC3626">
        <w:rPr>
          <w:rFonts w:ascii="Arial" w:eastAsia="Times New Roman" w:hAnsi="Arial" w:cs="Arial"/>
          <w:b/>
          <w:kern w:val="2"/>
          <w:sz w:val="22"/>
          <w:szCs w:val="22"/>
          <w:lang w:eastAsia="ar-SA"/>
        </w:rPr>
        <w:t>”)</w:t>
      </w:r>
      <w:r w:rsidR="004F6C03" w:rsidRPr="00AC3626">
        <w:rPr>
          <w:rFonts w:ascii="Arial" w:eastAsia="Times New Roman" w:hAnsi="Arial" w:cs="Arial"/>
          <w:b/>
          <w:kern w:val="2"/>
          <w:sz w:val="22"/>
          <w:szCs w:val="22"/>
          <w:lang w:eastAsia="ar-SA"/>
        </w:rPr>
        <w:t xml:space="preserve"> a </w:t>
      </w:r>
      <w:r w:rsidR="008978AD" w:rsidRPr="00AC3626">
        <w:rPr>
          <w:rFonts w:ascii="Arial" w:eastAsia="Times New Roman" w:hAnsi="Arial" w:cs="Arial"/>
          <w:b/>
          <w:kern w:val="2"/>
          <w:sz w:val="22"/>
          <w:szCs w:val="22"/>
          <w:lang w:eastAsia="ar-SA"/>
        </w:rPr>
        <w:t>tecnologías basadas en el protocolo de Internet (“</w:t>
      </w:r>
      <w:r w:rsidR="004F6C03" w:rsidRPr="00AC3626">
        <w:rPr>
          <w:rFonts w:ascii="Arial" w:eastAsia="Times New Roman" w:hAnsi="Arial" w:cs="Arial"/>
          <w:b/>
          <w:kern w:val="2"/>
          <w:sz w:val="22"/>
          <w:szCs w:val="22"/>
          <w:lang w:eastAsia="ar-SA"/>
        </w:rPr>
        <w:t>IP</w:t>
      </w:r>
      <w:r w:rsidR="008978AD" w:rsidRPr="00AC3626">
        <w:rPr>
          <w:rFonts w:ascii="Arial" w:eastAsia="Times New Roman" w:hAnsi="Arial" w:cs="Arial"/>
          <w:b/>
          <w:kern w:val="2"/>
          <w:sz w:val="22"/>
          <w:szCs w:val="22"/>
          <w:lang w:eastAsia="ar-SA"/>
        </w:rPr>
        <w:t xml:space="preserve">”). </w:t>
      </w:r>
      <w:r w:rsidR="00BD1715" w:rsidRPr="00AC3626">
        <w:rPr>
          <w:rFonts w:ascii="Arial" w:eastAsia="Times New Roman" w:hAnsi="Arial" w:cs="Arial"/>
          <w:kern w:val="2"/>
          <w:sz w:val="22"/>
          <w:szCs w:val="22"/>
          <w:lang w:eastAsia="ar-SA"/>
        </w:rPr>
        <w:t>En</w:t>
      </w:r>
      <w:r w:rsidR="007A589B" w:rsidRPr="00AC3626">
        <w:rPr>
          <w:rFonts w:ascii="Arial" w:eastAsia="Times New Roman" w:hAnsi="Arial" w:cs="Arial"/>
          <w:kern w:val="2"/>
          <w:sz w:val="22"/>
          <w:szCs w:val="22"/>
          <w:lang w:eastAsia="ar-SA"/>
        </w:rPr>
        <w:t xml:space="preserve"> el año 2016</w:t>
      </w:r>
      <w:r w:rsidR="00A5112D" w:rsidRPr="00AC3626">
        <w:rPr>
          <w:rFonts w:ascii="Arial" w:eastAsia="Times New Roman" w:hAnsi="Arial" w:cs="Arial"/>
          <w:kern w:val="2"/>
          <w:sz w:val="22"/>
          <w:szCs w:val="22"/>
          <w:lang w:eastAsia="ar-SA"/>
        </w:rPr>
        <w:t>,</w:t>
      </w:r>
      <w:r w:rsidR="007A589B" w:rsidRPr="00AC3626">
        <w:rPr>
          <w:rFonts w:ascii="Arial" w:eastAsia="Times New Roman" w:hAnsi="Arial" w:cs="Arial"/>
          <w:kern w:val="2"/>
          <w:sz w:val="22"/>
          <w:szCs w:val="22"/>
          <w:lang w:eastAsia="ar-SA"/>
        </w:rPr>
        <w:t xml:space="preserve"> el Inst</w:t>
      </w:r>
      <w:r w:rsidR="00BD1715" w:rsidRPr="00AC3626">
        <w:rPr>
          <w:rFonts w:ascii="Arial" w:eastAsia="Times New Roman" w:hAnsi="Arial" w:cs="Arial"/>
          <w:kern w:val="2"/>
          <w:sz w:val="22"/>
          <w:szCs w:val="22"/>
          <w:lang w:eastAsia="ar-SA"/>
        </w:rPr>
        <w:t>ituto detectó un creciente</w:t>
      </w:r>
      <w:r w:rsidR="007A589B" w:rsidRPr="00AC3626">
        <w:rPr>
          <w:rFonts w:ascii="Arial" w:eastAsia="Times New Roman" w:hAnsi="Arial" w:cs="Arial"/>
          <w:kern w:val="2"/>
          <w:sz w:val="22"/>
          <w:szCs w:val="22"/>
          <w:lang w:eastAsia="ar-SA"/>
        </w:rPr>
        <w:t xml:space="preserve"> interés por parte de la industria en realizar la migración de las interconexiones en tecnología TDM a interconexiones en tecnología IP, como resultado de</w:t>
      </w:r>
      <w:r w:rsidR="00BD1715" w:rsidRPr="00AC3626">
        <w:rPr>
          <w:rFonts w:ascii="Arial" w:eastAsia="Times New Roman" w:hAnsi="Arial" w:cs="Arial"/>
          <w:kern w:val="2"/>
          <w:sz w:val="22"/>
          <w:szCs w:val="22"/>
          <w:lang w:eastAsia="ar-SA"/>
        </w:rPr>
        <w:t xml:space="preserve"> </w:t>
      </w:r>
      <w:r w:rsidR="007A589B" w:rsidRPr="00AC3626">
        <w:rPr>
          <w:rFonts w:ascii="Arial" w:eastAsia="Times New Roman" w:hAnsi="Arial" w:cs="Arial"/>
          <w:kern w:val="2"/>
          <w:sz w:val="22"/>
          <w:szCs w:val="22"/>
          <w:lang w:eastAsia="ar-SA"/>
        </w:rPr>
        <w:t>l</w:t>
      </w:r>
      <w:r w:rsidR="00BD1715" w:rsidRPr="00AC3626">
        <w:rPr>
          <w:rFonts w:ascii="Arial" w:eastAsia="Times New Roman" w:hAnsi="Arial" w:cs="Arial"/>
          <w:kern w:val="2"/>
          <w:sz w:val="22"/>
          <w:szCs w:val="22"/>
          <w:lang w:eastAsia="ar-SA"/>
        </w:rPr>
        <w:t xml:space="preserve">a evolución tecnológica </w:t>
      </w:r>
      <w:r w:rsidR="00A5112D" w:rsidRPr="00AC3626">
        <w:rPr>
          <w:rFonts w:ascii="Arial" w:eastAsia="Times New Roman" w:hAnsi="Arial" w:cs="Arial"/>
          <w:kern w:val="2"/>
          <w:sz w:val="22"/>
          <w:szCs w:val="22"/>
          <w:lang w:eastAsia="ar-SA"/>
        </w:rPr>
        <w:t xml:space="preserve">hacia IP </w:t>
      </w:r>
      <w:r w:rsidR="00BD1715" w:rsidRPr="00AC3626">
        <w:rPr>
          <w:rFonts w:ascii="Arial" w:eastAsia="Times New Roman" w:hAnsi="Arial" w:cs="Arial"/>
          <w:kern w:val="2"/>
          <w:sz w:val="22"/>
          <w:szCs w:val="22"/>
          <w:lang w:eastAsia="ar-SA"/>
        </w:rPr>
        <w:t>y el</w:t>
      </w:r>
      <w:r w:rsidR="007A589B" w:rsidRPr="00AC3626">
        <w:rPr>
          <w:rFonts w:ascii="Arial" w:eastAsia="Times New Roman" w:hAnsi="Arial" w:cs="Arial"/>
          <w:kern w:val="2"/>
          <w:sz w:val="22"/>
          <w:szCs w:val="22"/>
          <w:lang w:eastAsia="ar-SA"/>
        </w:rPr>
        <w:t xml:space="preserve"> grado de obsolescencia que presenta</w:t>
      </w:r>
      <w:r w:rsidR="00A5112D" w:rsidRPr="00AC3626">
        <w:rPr>
          <w:rFonts w:ascii="Arial" w:eastAsia="Times New Roman" w:hAnsi="Arial" w:cs="Arial"/>
          <w:kern w:val="2"/>
          <w:sz w:val="22"/>
          <w:szCs w:val="22"/>
          <w:lang w:eastAsia="ar-SA"/>
        </w:rPr>
        <w:t>ba</w:t>
      </w:r>
      <w:r w:rsidR="007A589B" w:rsidRPr="00AC3626">
        <w:rPr>
          <w:rFonts w:ascii="Arial" w:eastAsia="Times New Roman" w:hAnsi="Arial" w:cs="Arial"/>
          <w:kern w:val="2"/>
          <w:sz w:val="22"/>
          <w:szCs w:val="22"/>
          <w:lang w:eastAsia="ar-SA"/>
        </w:rPr>
        <w:t xml:space="preserve"> </w:t>
      </w:r>
      <w:r w:rsidR="00A5112D" w:rsidRPr="00AC3626">
        <w:rPr>
          <w:rFonts w:ascii="Arial" w:eastAsia="Times New Roman" w:hAnsi="Arial" w:cs="Arial"/>
          <w:kern w:val="2"/>
          <w:sz w:val="22"/>
          <w:szCs w:val="22"/>
          <w:lang w:eastAsia="ar-SA"/>
        </w:rPr>
        <w:t>la</w:t>
      </w:r>
      <w:r w:rsidR="007A589B" w:rsidRPr="00AC3626">
        <w:rPr>
          <w:rFonts w:ascii="Arial" w:eastAsia="Times New Roman" w:hAnsi="Arial" w:cs="Arial"/>
          <w:kern w:val="2"/>
          <w:sz w:val="22"/>
          <w:szCs w:val="22"/>
          <w:lang w:eastAsia="ar-SA"/>
        </w:rPr>
        <w:t xml:space="preserve"> tecnología </w:t>
      </w:r>
      <w:r w:rsidR="00A5112D" w:rsidRPr="00AC3626">
        <w:rPr>
          <w:rFonts w:ascii="Arial" w:eastAsia="Times New Roman" w:hAnsi="Arial" w:cs="Arial"/>
          <w:kern w:val="2"/>
          <w:sz w:val="22"/>
          <w:szCs w:val="22"/>
          <w:lang w:eastAsia="ar-SA"/>
        </w:rPr>
        <w:t xml:space="preserve">basada en </w:t>
      </w:r>
      <w:r w:rsidR="00BD1715" w:rsidRPr="00AC3626">
        <w:rPr>
          <w:rFonts w:ascii="Arial" w:eastAsia="Times New Roman" w:hAnsi="Arial" w:cs="Arial"/>
          <w:kern w:val="2"/>
          <w:sz w:val="22"/>
          <w:szCs w:val="22"/>
          <w:lang w:eastAsia="ar-SA"/>
        </w:rPr>
        <w:t xml:space="preserve">TDM, </w:t>
      </w:r>
      <w:r w:rsidR="00A5112D" w:rsidRPr="00AC3626">
        <w:rPr>
          <w:rFonts w:ascii="Arial" w:eastAsia="Times New Roman" w:hAnsi="Arial" w:cs="Arial"/>
          <w:kern w:val="2"/>
          <w:sz w:val="22"/>
          <w:szCs w:val="22"/>
          <w:lang w:eastAsia="ar-SA"/>
        </w:rPr>
        <w:t xml:space="preserve">el cual </w:t>
      </w:r>
      <w:r w:rsidR="00BD1715" w:rsidRPr="00AC3626">
        <w:rPr>
          <w:rFonts w:ascii="Arial" w:eastAsia="Times New Roman" w:hAnsi="Arial" w:cs="Arial"/>
          <w:kern w:val="2"/>
          <w:sz w:val="22"/>
          <w:szCs w:val="22"/>
          <w:lang w:eastAsia="ar-SA"/>
        </w:rPr>
        <w:t xml:space="preserve">resulta en </w:t>
      </w:r>
      <w:r w:rsidR="007A589B" w:rsidRPr="00AC3626">
        <w:rPr>
          <w:rFonts w:ascii="Arial" w:eastAsia="Times New Roman" w:hAnsi="Arial" w:cs="Arial"/>
          <w:kern w:val="2"/>
          <w:sz w:val="22"/>
          <w:szCs w:val="22"/>
          <w:lang w:eastAsia="ar-SA"/>
        </w:rPr>
        <w:t>limita</w:t>
      </w:r>
      <w:r w:rsidR="00BD1715" w:rsidRPr="00AC3626">
        <w:rPr>
          <w:rFonts w:ascii="Arial" w:eastAsia="Times New Roman" w:hAnsi="Arial" w:cs="Arial"/>
          <w:kern w:val="2"/>
          <w:sz w:val="22"/>
          <w:szCs w:val="22"/>
          <w:lang w:eastAsia="ar-SA"/>
        </w:rPr>
        <w:t>ciones para</w:t>
      </w:r>
      <w:r w:rsidR="007A589B" w:rsidRPr="00AC3626">
        <w:rPr>
          <w:rFonts w:ascii="Arial" w:eastAsia="Times New Roman" w:hAnsi="Arial" w:cs="Arial"/>
          <w:kern w:val="2"/>
          <w:sz w:val="22"/>
          <w:szCs w:val="22"/>
          <w:lang w:eastAsia="ar-SA"/>
        </w:rPr>
        <w:t xml:space="preserve"> </w:t>
      </w:r>
      <w:r w:rsidR="00A5112D" w:rsidRPr="00AC3626">
        <w:rPr>
          <w:rFonts w:ascii="Arial" w:eastAsia="Times New Roman" w:hAnsi="Arial" w:cs="Arial"/>
          <w:kern w:val="2"/>
          <w:sz w:val="22"/>
          <w:szCs w:val="22"/>
          <w:lang w:eastAsia="ar-SA"/>
        </w:rPr>
        <w:t xml:space="preserve">la adquisición de nuevos equipos, de piezas de repuesto o de ampliaciones de </w:t>
      </w:r>
      <w:r w:rsidR="007A589B" w:rsidRPr="00AC3626">
        <w:rPr>
          <w:rFonts w:ascii="Arial" w:eastAsia="Times New Roman" w:hAnsi="Arial" w:cs="Arial"/>
          <w:kern w:val="2"/>
          <w:sz w:val="22"/>
          <w:szCs w:val="22"/>
          <w:lang w:eastAsia="ar-SA"/>
        </w:rPr>
        <w:t>capacidad</w:t>
      </w:r>
      <w:r w:rsidR="00A5112D" w:rsidRPr="00AC3626">
        <w:rPr>
          <w:rFonts w:ascii="Arial" w:eastAsia="Times New Roman" w:hAnsi="Arial" w:cs="Arial"/>
          <w:kern w:val="2"/>
          <w:sz w:val="22"/>
          <w:szCs w:val="22"/>
          <w:lang w:eastAsia="ar-SA"/>
        </w:rPr>
        <w:t xml:space="preserve"> de los equipos existentes, así como para la </w:t>
      </w:r>
      <w:r w:rsidR="0049221D" w:rsidRPr="00AC3626">
        <w:rPr>
          <w:rFonts w:ascii="Arial" w:eastAsia="Times New Roman" w:hAnsi="Arial" w:cs="Arial"/>
          <w:kern w:val="2"/>
          <w:sz w:val="22"/>
          <w:szCs w:val="22"/>
          <w:lang w:eastAsia="ar-SA"/>
        </w:rPr>
        <w:t>contratación</w:t>
      </w:r>
      <w:r w:rsidR="00A5112D" w:rsidRPr="00AC3626">
        <w:rPr>
          <w:rFonts w:ascii="Arial" w:eastAsia="Times New Roman" w:hAnsi="Arial" w:cs="Arial"/>
          <w:kern w:val="2"/>
          <w:sz w:val="22"/>
          <w:szCs w:val="22"/>
          <w:lang w:eastAsia="ar-SA"/>
        </w:rPr>
        <w:t xml:space="preserve"> de </w:t>
      </w:r>
      <w:r w:rsidR="0049221D" w:rsidRPr="00AC3626">
        <w:rPr>
          <w:rFonts w:ascii="Arial" w:eastAsia="Times New Roman" w:hAnsi="Arial" w:cs="Arial"/>
          <w:kern w:val="2"/>
          <w:sz w:val="22"/>
          <w:szCs w:val="22"/>
          <w:lang w:eastAsia="ar-SA"/>
        </w:rPr>
        <w:t xml:space="preserve">los </w:t>
      </w:r>
      <w:r w:rsidR="00A5112D" w:rsidRPr="00AC3626">
        <w:rPr>
          <w:rFonts w:ascii="Arial" w:eastAsia="Times New Roman" w:hAnsi="Arial" w:cs="Arial"/>
          <w:kern w:val="2"/>
          <w:sz w:val="22"/>
          <w:szCs w:val="22"/>
          <w:lang w:eastAsia="ar-SA"/>
        </w:rPr>
        <w:t>servicios de soporte, reparación y mantenimiento</w:t>
      </w:r>
      <w:r w:rsidR="0049221D" w:rsidRPr="00AC3626">
        <w:rPr>
          <w:rFonts w:ascii="Arial" w:eastAsia="Times New Roman" w:hAnsi="Arial" w:cs="Arial"/>
          <w:kern w:val="2"/>
          <w:sz w:val="22"/>
          <w:szCs w:val="22"/>
          <w:lang w:eastAsia="ar-SA"/>
        </w:rPr>
        <w:t xml:space="preserve"> necesarios.</w:t>
      </w:r>
      <w:r w:rsidR="007A589B" w:rsidRPr="00AC3626">
        <w:rPr>
          <w:rFonts w:ascii="Arial" w:eastAsia="Times New Roman" w:hAnsi="Arial" w:cs="Arial"/>
          <w:kern w:val="2"/>
          <w:sz w:val="22"/>
          <w:szCs w:val="22"/>
          <w:lang w:eastAsia="ar-SA"/>
        </w:rPr>
        <w:t xml:space="preserve"> </w:t>
      </w:r>
    </w:p>
    <w:p w14:paraId="16B83185" w14:textId="77777777" w:rsidR="0049221D" w:rsidRPr="00AC3626" w:rsidRDefault="0049221D" w:rsidP="008C7514">
      <w:pPr>
        <w:jc w:val="both"/>
        <w:rPr>
          <w:rFonts w:ascii="Arial" w:eastAsia="Times New Roman" w:hAnsi="Arial" w:cs="Arial"/>
          <w:kern w:val="2"/>
          <w:sz w:val="22"/>
          <w:szCs w:val="22"/>
          <w:lang w:eastAsia="ar-SA"/>
        </w:rPr>
      </w:pPr>
    </w:p>
    <w:p w14:paraId="33507324" w14:textId="27C846C4" w:rsidR="0049221D" w:rsidRPr="00AC3626" w:rsidRDefault="005D5B3D" w:rsidP="008C7514">
      <w:pPr>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lastRenderedPageBreak/>
        <w:t xml:space="preserve">En atención a la </w:t>
      </w:r>
      <w:r w:rsidR="0049221D" w:rsidRPr="00AC3626">
        <w:rPr>
          <w:rFonts w:ascii="Arial" w:eastAsia="Times New Roman" w:hAnsi="Arial" w:cs="Arial"/>
          <w:kern w:val="2"/>
          <w:sz w:val="22"/>
          <w:szCs w:val="22"/>
          <w:lang w:eastAsia="ar-SA"/>
        </w:rPr>
        <w:t>problemática</w:t>
      </w:r>
      <w:r w:rsidRPr="00AC3626">
        <w:rPr>
          <w:rFonts w:ascii="Arial" w:eastAsia="Times New Roman" w:hAnsi="Arial" w:cs="Arial"/>
          <w:kern w:val="2"/>
          <w:sz w:val="22"/>
          <w:szCs w:val="22"/>
          <w:lang w:eastAsia="ar-SA"/>
        </w:rPr>
        <w:t xml:space="preserve"> antes señalada</w:t>
      </w:r>
      <w:r w:rsidR="00FA130A" w:rsidRPr="00AC3626">
        <w:rPr>
          <w:rFonts w:ascii="Arial" w:eastAsia="Times New Roman" w:hAnsi="Arial" w:cs="Arial"/>
          <w:kern w:val="2"/>
          <w:sz w:val="22"/>
          <w:szCs w:val="22"/>
          <w:lang w:eastAsia="ar-SA"/>
        </w:rPr>
        <w:t xml:space="preserve"> y con la finalidad de migrar paulatinamente hacia una interconexión IP</w:t>
      </w:r>
      <w:r w:rsidR="0049221D" w:rsidRPr="00AC3626">
        <w:rPr>
          <w:rFonts w:ascii="Arial" w:eastAsia="Times New Roman" w:hAnsi="Arial" w:cs="Arial"/>
          <w:kern w:val="2"/>
          <w:sz w:val="22"/>
          <w:szCs w:val="22"/>
          <w:lang w:eastAsia="ar-SA"/>
        </w:rPr>
        <w:t>, en las Condiciones Técnicas Mínimas 2017</w:t>
      </w:r>
      <w:r w:rsidR="00FA130A" w:rsidRPr="00AC3626">
        <w:rPr>
          <w:rFonts w:ascii="Arial" w:eastAsia="Times New Roman" w:hAnsi="Arial" w:cs="Arial"/>
          <w:kern w:val="2"/>
          <w:sz w:val="22"/>
          <w:szCs w:val="22"/>
          <w:lang w:eastAsia="ar-SA"/>
        </w:rPr>
        <w:t>,</w:t>
      </w:r>
      <w:r w:rsidR="0049221D" w:rsidRPr="00AC3626">
        <w:rPr>
          <w:rFonts w:ascii="Arial" w:eastAsia="Times New Roman" w:hAnsi="Arial" w:cs="Arial"/>
          <w:kern w:val="2"/>
          <w:sz w:val="22"/>
          <w:szCs w:val="22"/>
          <w:lang w:eastAsia="ar-SA"/>
        </w:rPr>
        <w:t xml:space="preserve"> el Instituto estableció </w:t>
      </w:r>
      <w:r w:rsidR="00FA130A" w:rsidRPr="00AC3626">
        <w:rPr>
          <w:rFonts w:ascii="Arial" w:eastAsia="Times New Roman" w:hAnsi="Arial" w:cs="Arial"/>
          <w:kern w:val="2"/>
          <w:sz w:val="22"/>
          <w:szCs w:val="22"/>
          <w:lang w:eastAsia="ar-SA"/>
        </w:rPr>
        <w:t xml:space="preserve">que tanto </w:t>
      </w:r>
      <w:r w:rsidR="0049221D" w:rsidRPr="00AC3626">
        <w:rPr>
          <w:rFonts w:ascii="Arial" w:eastAsia="Times New Roman" w:hAnsi="Arial" w:cs="Arial"/>
          <w:kern w:val="2"/>
          <w:sz w:val="22"/>
          <w:szCs w:val="22"/>
          <w:lang w:eastAsia="ar-SA"/>
        </w:rPr>
        <w:t>las nuevas solicitudes de interconexión directa</w:t>
      </w:r>
      <w:r w:rsidR="002C75B5" w:rsidRPr="00AC3626">
        <w:rPr>
          <w:rFonts w:ascii="Arial" w:eastAsia="Times New Roman" w:hAnsi="Arial" w:cs="Arial"/>
          <w:kern w:val="2"/>
          <w:sz w:val="22"/>
          <w:szCs w:val="22"/>
          <w:lang w:eastAsia="ar-SA"/>
        </w:rPr>
        <w:t>,</w:t>
      </w:r>
      <w:r w:rsidR="00FA130A" w:rsidRPr="00AC3626">
        <w:rPr>
          <w:rFonts w:ascii="Arial" w:eastAsia="Times New Roman" w:hAnsi="Arial" w:cs="Arial"/>
          <w:kern w:val="2"/>
          <w:sz w:val="22"/>
          <w:szCs w:val="22"/>
          <w:lang w:eastAsia="ar-SA"/>
        </w:rPr>
        <w:t xml:space="preserve"> como las solicitudes de incrementos de capacidad</w:t>
      </w:r>
      <w:r w:rsidR="002C75B5" w:rsidRPr="00AC3626">
        <w:rPr>
          <w:rFonts w:ascii="Arial" w:eastAsia="Times New Roman" w:hAnsi="Arial" w:cs="Arial"/>
          <w:kern w:val="2"/>
          <w:sz w:val="22"/>
          <w:szCs w:val="22"/>
          <w:lang w:eastAsia="ar-SA"/>
        </w:rPr>
        <w:t>,</w:t>
      </w:r>
      <w:r w:rsidR="0049221D" w:rsidRPr="00AC3626">
        <w:rPr>
          <w:rFonts w:ascii="Arial" w:eastAsia="Times New Roman" w:hAnsi="Arial" w:cs="Arial"/>
          <w:kern w:val="2"/>
          <w:sz w:val="22"/>
          <w:szCs w:val="22"/>
          <w:lang w:eastAsia="ar-SA"/>
        </w:rPr>
        <w:t xml:space="preserve"> deberán atenderse mediante interconexiones IP</w:t>
      </w:r>
      <w:r w:rsidR="00FA130A" w:rsidRPr="00AC3626">
        <w:rPr>
          <w:rFonts w:ascii="Arial" w:eastAsia="Times New Roman" w:hAnsi="Arial" w:cs="Arial"/>
          <w:kern w:val="2"/>
          <w:sz w:val="22"/>
          <w:szCs w:val="22"/>
          <w:lang w:eastAsia="ar-SA"/>
        </w:rPr>
        <w:t>, utilizando el protocolo SIP (</w:t>
      </w:r>
      <w:proofErr w:type="spellStart"/>
      <w:r w:rsidR="00FA130A" w:rsidRPr="00AC3626">
        <w:rPr>
          <w:rFonts w:ascii="Arial" w:eastAsia="Times New Roman" w:hAnsi="Arial" w:cs="Arial"/>
          <w:kern w:val="2"/>
          <w:sz w:val="22"/>
          <w:szCs w:val="22"/>
          <w:lang w:eastAsia="ar-SA"/>
        </w:rPr>
        <w:t>Session</w:t>
      </w:r>
      <w:proofErr w:type="spellEnd"/>
      <w:r w:rsidR="00FA130A" w:rsidRPr="00AC3626">
        <w:rPr>
          <w:rFonts w:ascii="Arial" w:eastAsia="Times New Roman" w:hAnsi="Arial" w:cs="Arial"/>
          <w:kern w:val="2"/>
          <w:sz w:val="22"/>
          <w:szCs w:val="22"/>
          <w:lang w:eastAsia="ar-SA"/>
        </w:rPr>
        <w:t xml:space="preserve"> </w:t>
      </w:r>
      <w:proofErr w:type="spellStart"/>
      <w:r w:rsidR="00FA130A" w:rsidRPr="00AC3626">
        <w:rPr>
          <w:rFonts w:ascii="Arial" w:eastAsia="Times New Roman" w:hAnsi="Arial" w:cs="Arial"/>
          <w:kern w:val="2"/>
          <w:sz w:val="22"/>
          <w:szCs w:val="22"/>
          <w:lang w:eastAsia="ar-SA"/>
        </w:rPr>
        <w:t>Initiation</w:t>
      </w:r>
      <w:proofErr w:type="spellEnd"/>
      <w:r w:rsidR="00FA130A" w:rsidRPr="00AC3626">
        <w:rPr>
          <w:rFonts w:ascii="Arial" w:eastAsia="Times New Roman" w:hAnsi="Arial" w:cs="Arial"/>
          <w:kern w:val="2"/>
          <w:sz w:val="22"/>
          <w:szCs w:val="22"/>
          <w:lang w:eastAsia="ar-SA"/>
        </w:rPr>
        <w:t xml:space="preserve"> </w:t>
      </w:r>
      <w:proofErr w:type="spellStart"/>
      <w:r w:rsidR="00FA130A" w:rsidRPr="00AC3626">
        <w:rPr>
          <w:rFonts w:ascii="Arial" w:eastAsia="Times New Roman" w:hAnsi="Arial" w:cs="Arial"/>
          <w:kern w:val="2"/>
          <w:sz w:val="22"/>
          <w:szCs w:val="22"/>
          <w:lang w:eastAsia="ar-SA"/>
        </w:rPr>
        <w:t>Protocol</w:t>
      </w:r>
      <w:proofErr w:type="spellEnd"/>
      <w:r w:rsidR="00FA130A" w:rsidRPr="00AC3626">
        <w:rPr>
          <w:rFonts w:ascii="Arial" w:eastAsia="Times New Roman" w:hAnsi="Arial" w:cs="Arial"/>
          <w:kern w:val="2"/>
          <w:sz w:val="22"/>
          <w:szCs w:val="22"/>
          <w:lang w:eastAsia="ar-SA"/>
        </w:rPr>
        <w:t>, por sus siglas en inglés)</w:t>
      </w:r>
      <w:r w:rsidR="0049221D" w:rsidRPr="00AC3626">
        <w:rPr>
          <w:rFonts w:ascii="Arial" w:eastAsia="Times New Roman" w:hAnsi="Arial" w:cs="Arial"/>
          <w:kern w:val="2"/>
          <w:sz w:val="22"/>
          <w:szCs w:val="22"/>
          <w:lang w:eastAsia="ar-SA"/>
        </w:rPr>
        <w:t>.</w:t>
      </w:r>
      <w:r w:rsidR="00FA130A" w:rsidRPr="00AC3626">
        <w:rPr>
          <w:rFonts w:ascii="Arial" w:eastAsia="Times New Roman" w:hAnsi="Arial" w:cs="Arial"/>
          <w:kern w:val="2"/>
          <w:sz w:val="22"/>
          <w:szCs w:val="22"/>
          <w:lang w:eastAsia="ar-SA"/>
        </w:rPr>
        <w:t xml:space="preserve"> Para el caso de solicitudes de interconexión a través del servicio de tránsito, la red que proporcione dicho servicio deberá realizar la adaptación del protocolo de señalización SS7 (</w:t>
      </w:r>
      <w:proofErr w:type="spellStart"/>
      <w:r w:rsidR="00FA130A" w:rsidRPr="00AC3626">
        <w:rPr>
          <w:rFonts w:ascii="Arial" w:eastAsia="Times New Roman" w:hAnsi="Arial" w:cs="Arial"/>
          <w:kern w:val="2"/>
          <w:sz w:val="22"/>
          <w:szCs w:val="22"/>
          <w:lang w:eastAsia="ar-SA"/>
        </w:rPr>
        <w:t>Signalling</w:t>
      </w:r>
      <w:proofErr w:type="spellEnd"/>
      <w:r w:rsidR="00FA130A" w:rsidRPr="00AC3626">
        <w:rPr>
          <w:rFonts w:ascii="Arial" w:eastAsia="Times New Roman" w:hAnsi="Arial" w:cs="Arial"/>
          <w:kern w:val="2"/>
          <w:sz w:val="22"/>
          <w:szCs w:val="22"/>
          <w:lang w:eastAsia="ar-SA"/>
        </w:rPr>
        <w:t xml:space="preserve"> </w:t>
      </w:r>
      <w:proofErr w:type="spellStart"/>
      <w:r w:rsidR="00FA130A" w:rsidRPr="00AC3626">
        <w:rPr>
          <w:rFonts w:ascii="Arial" w:eastAsia="Times New Roman" w:hAnsi="Arial" w:cs="Arial"/>
          <w:kern w:val="2"/>
          <w:sz w:val="22"/>
          <w:szCs w:val="22"/>
          <w:lang w:eastAsia="ar-SA"/>
        </w:rPr>
        <w:t>System</w:t>
      </w:r>
      <w:proofErr w:type="spellEnd"/>
      <w:r w:rsidR="00FA130A" w:rsidRPr="00AC3626">
        <w:rPr>
          <w:rFonts w:ascii="Arial" w:eastAsia="Times New Roman" w:hAnsi="Arial" w:cs="Arial"/>
          <w:kern w:val="2"/>
          <w:sz w:val="22"/>
          <w:szCs w:val="22"/>
          <w:lang w:eastAsia="ar-SA"/>
        </w:rPr>
        <w:t xml:space="preserve"> 7, por sus siglas en inglés) a SIP.</w:t>
      </w:r>
    </w:p>
    <w:p w14:paraId="305DEBEB" w14:textId="77777777" w:rsidR="004F6C03" w:rsidRPr="00AC3626" w:rsidRDefault="004F6C03" w:rsidP="008C7514">
      <w:pPr>
        <w:jc w:val="both"/>
        <w:rPr>
          <w:rFonts w:ascii="Arial" w:eastAsia="Times New Roman" w:hAnsi="Arial" w:cs="Arial"/>
          <w:kern w:val="2"/>
          <w:sz w:val="22"/>
          <w:szCs w:val="22"/>
          <w:lang w:eastAsia="ar-SA"/>
        </w:rPr>
      </w:pPr>
    </w:p>
    <w:p w14:paraId="1E3066EC" w14:textId="74D0CD9C" w:rsidR="004F6C03" w:rsidRPr="00AC3626" w:rsidRDefault="002C75B5" w:rsidP="008C7514">
      <w:pPr>
        <w:jc w:val="both"/>
        <w:rPr>
          <w:rFonts w:ascii="Arial" w:eastAsia="Times New Roman" w:hAnsi="Arial" w:cs="Arial"/>
          <w:kern w:val="2"/>
          <w:sz w:val="22"/>
          <w:szCs w:val="22"/>
          <w:lang w:eastAsia="ar-SA"/>
        </w:rPr>
      </w:pPr>
      <w:r w:rsidRPr="001F7DA2">
        <w:rPr>
          <w:rFonts w:ascii="Arial" w:eastAsia="Times New Roman" w:hAnsi="Arial" w:cs="Arial"/>
          <w:kern w:val="2"/>
          <w:sz w:val="22"/>
          <w:szCs w:val="22"/>
          <w:lang w:eastAsia="ar-SA"/>
        </w:rPr>
        <w:t>Por otra parte</w:t>
      </w:r>
      <w:r w:rsidRPr="00AC3626">
        <w:rPr>
          <w:rFonts w:ascii="Arial" w:eastAsia="Times New Roman" w:hAnsi="Arial" w:cs="Arial"/>
          <w:kern w:val="2"/>
          <w:sz w:val="22"/>
          <w:szCs w:val="22"/>
          <w:lang w:eastAsia="ar-SA"/>
        </w:rPr>
        <w:t>, c</w:t>
      </w:r>
      <w:r w:rsidR="005D5B3D" w:rsidRPr="00AC3626">
        <w:rPr>
          <w:rFonts w:ascii="Arial" w:eastAsia="Times New Roman" w:hAnsi="Arial" w:cs="Arial"/>
          <w:kern w:val="2"/>
          <w:sz w:val="22"/>
          <w:szCs w:val="22"/>
          <w:lang w:eastAsia="ar-SA"/>
        </w:rPr>
        <w:t>on la finalidad de establecer un plazo adecuado para concluir el proceso de transición de interconexión en tecnología TDM a tecnología IP, en las Condiciones Técnicas Mínimas 2018, el Instituto estableció que el intercambio de tráfico en tecnología TDM se podrá realizar hasta el 31 de enero de 2022</w:t>
      </w:r>
      <w:r w:rsidR="00677841" w:rsidRPr="00AC3626">
        <w:rPr>
          <w:rFonts w:ascii="Arial" w:eastAsia="Times New Roman" w:hAnsi="Arial" w:cs="Arial"/>
          <w:kern w:val="2"/>
          <w:sz w:val="22"/>
          <w:szCs w:val="22"/>
          <w:lang w:eastAsia="ar-SA"/>
        </w:rPr>
        <w:t xml:space="preserve"> (fecha que continúa vigente en las Condiciones Técnicas Mínimas 2019)</w:t>
      </w:r>
      <w:r w:rsidR="006D6134">
        <w:rPr>
          <w:rFonts w:ascii="Arial" w:eastAsia="Times New Roman" w:hAnsi="Arial" w:cs="Arial"/>
          <w:kern w:val="2"/>
          <w:sz w:val="22"/>
          <w:szCs w:val="22"/>
          <w:lang w:eastAsia="ar-SA"/>
        </w:rPr>
        <w:t>. Asimismo, se</w:t>
      </w:r>
      <w:r w:rsidR="008E23ED">
        <w:rPr>
          <w:rFonts w:ascii="Arial" w:eastAsia="Times New Roman" w:hAnsi="Arial" w:cs="Arial"/>
          <w:kern w:val="2"/>
          <w:sz w:val="22"/>
          <w:szCs w:val="22"/>
          <w:lang w:eastAsia="ar-SA"/>
        </w:rPr>
        <w:t xml:space="preserve"> </w:t>
      </w:r>
      <w:r w:rsidR="00456155" w:rsidRPr="00AC3626">
        <w:rPr>
          <w:rFonts w:ascii="Arial" w:eastAsia="Times New Roman" w:hAnsi="Arial" w:cs="Arial"/>
          <w:kern w:val="2"/>
          <w:sz w:val="22"/>
          <w:szCs w:val="22"/>
          <w:lang w:eastAsia="ar-SA"/>
        </w:rPr>
        <w:t>creó un Comité</w:t>
      </w:r>
      <w:r w:rsidR="00911D11" w:rsidRPr="00AC3626">
        <w:rPr>
          <w:rFonts w:ascii="Arial" w:eastAsia="Times New Roman" w:hAnsi="Arial" w:cs="Arial"/>
          <w:kern w:val="2"/>
          <w:sz w:val="22"/>
          <w:szCs w:val="22"/>
          <w:lang w:eastAsia="ar-SA"/>
        </w:rPr>
        <w:t xml:space="preserve"> Técnico </w:t>
      </w:r>
      <w:r w:rsidR="006D6134">
        <w:rPr>
          <w:rFonts w:ascii="Arial" w:eastAsia="Times New Roman" w:hAnsi="Arial" w:cs="Arial"/>
          <w:kern w:val="2"/>
          <w:sz w:val="22"/>
          <w:szCs w:val="22"/>
          <w:lang w:eastAsia="ar-SA"/>
        </w:rPr>
        <w:t xml:space="preserve">integrado por los </w:t>
      </w:r>
      <w:r w:rsidR="006D6134" w:rsidRPr="006D6134">
        <w:rPr>
          <w:rFonts w:ascii="Arial" w:eastAsia="Times New Roman" w:hAnsi="Arial" w:cs="Arial"/>
          <w:kern w:val="2"/>
          <w:sz w:val="22"/>
          <w:szCs w:val="22"/>
          <w:lang w:eastAsia="ar-SA"/>
        </w:rPr>
        <w:t xml:space="preserve">PST </w:t>
      </w:r>
      <w:r w:rsidR="006D6134">
        <w:rPr>
          <w:rFonts w:ascii="Arial" w:eastAsia="Times New Roman" w:hAnsi="Arial" w:cs="Arial"/>
          <w:kern w:val="2"/>
          <w:sz w:val="22"/>
          <w:szCs w:val="22"/>
          <w:lang w:eastAsia="ar-SA"/>
        </w:rPr>
        <w:t>y el Instituto y con el objeto de llevar a cabo una transición correcta y ordenada de</w:t>
      </w:r>
      <w:r w:rsidRPr="00AC3626">
        <w:rPr>
          <w:rFonts w:ascii="Arial" w:eastAsia="Times New Roman" w:hAnsi="Arial" w:cs="Arial"/>
          <w:kern w:val="2"/>
          <w:sz w:val="22"/>
          <w:szCs w:val="22"/>
          <w:lang w:eastAsia="ar-SA"/>
        </w:rPr>
        <w:t xml:space="preserve"> interconexiones TDM</w:t>
      </w:r>
      <w:r w:rsidR="00911D11" w:rsidRPr="00AC3626">
        <w:rPr>
          <w:rFonts w:ascii="Arial" w:eastAsia="Times New Roman" w:hAnsi="Arial" w:cs="Arial"/>
          <w:kern w:val="2"/>
          <w:sz w:val="22"/>
          <w:szCs w:val="22"/>
          <w:lang w:eastAsia="ar-SA"/>
        </w:rPr>
        <w:t xml:space="preserve"> a IP</w:t>
      </w:r>
      <w:r w:rsidR="006D6134">
        <w:rPr>
          <w:rFonts w:ascii="Arial" w:eastAsia="Times New Roman" w:hAnsi="Arial" w:cs="Arial"/>
          <w:kern w:val="2"/>
          <w:sz w:val="22"/>
          <w:szCs w:val="22"/>
          <w:lang w:eastAsia="ar-SA"/>
        </w:rPr>
        <w:t>.</w:t>
      </w:r>
      <w:r w:rsidR="005D5B3D" w:rsidRPr="00AC3626">
        <w:rPr>
          <w:rFonts w:ascii="Arial" w:eastAsia="Times New Roman" w:hAnsi="Arial" w:cs="Arial"/>
          <w:kern w:val="2"/>
          <w:sz w:val="22"/>
          <w:szCs w:val="22"/>
          <w:lang w:eastAsia="ar-SA"/>
        </w:rPr>
        <w:t xml:space="preserve"> </w:t>
      </w:r>
    </w:p>
    <w:p w14:paraId="41E92953" w14:textId="77777777" w:rsidR="004F6C03" w:rsidRPr="00AC3626" w:rsidRDefault="004F6C03" w:rsidP="008C7514">
      <w:pPr>
        <w:jc w:val="both"/>
        <w:rPr>
          <w:rFonts w:ascii="Arial" w:eastAsia="Times New Roman" w:hAnsi="Arial" w:cs="Arial"/>
          <w:kern w:val="2"/>
          <w:sz w:val="22"/>
          <w:szCs w:val="22"/>
          <w:lang w:eastAsia="ar-SA"/>
        </w:rPr>
      </w:pPr>
    </w:p>
    <w:p w14:paraId="28E33AD5" w14:textId="76177ED5" w:rsidR="008B2C14" w:rsidRPr="00AC3626" w:rsidRDefault="00677841" w:rsidP="008C7514">
      <w:pPr>
        <w:jc w:val="both"/>
        <w:rPr>
          <w:rFonts w:ascii="Arial" w:eastAsia="Times New Roman" w:hAnsi="Arial" w:cs="Arial"/>
          <w:kern w:val="2"/>
          <w:sz w:val="22"/>
          <w:szCs w:val="22"/>
          <w:lang w:eastAsia="ar-SA"/>
        </w:rPr>
      </w:pPr>
      <w:proofErr w:type="gramStart"/>
      <w:r w:rsidRPr="00AC3626">
        <w:rPr>
          <w:rFonts w:ascii="Arial" w:eastAsia="Times New Roman" w:hAnsi="Arial" w:cs="Arial"/>
          <w:b/>
          <w:kern w:val="2"/>
          <w:sz w:val="22"/>
          <w:szCs w:val="22"/>
          <w:lang w:eastAsia="ar-SA"/>
        </w:rPr>
        <w:t>TERCERO.</w:t>
      </w:r>
      <w:r w:rsidR="002E3230" w:rsidRPr="00AC3626">
        <w:rPr>
          <w:rFonts w:ascii="Arial" w:eastAsia="Times New Roman" w:hAnsi="Arial" w:cs="Arial"/>
          <w:b/>
          <w:kern w:val="2"/>
          <w:sz w:val="22"/>
          <w:szCs w:val="22"/>
          <w:lang w:eastAsia="ar-SA"/>
        </w:rPr>
        <w:t>-</w:t>
      </w:r>
      <w:proofErr w:type="gramEnd"/>
      <w:r w:rsidRPr="00AC3626">
        <w:rPr>
          <w:rFonts w:ascii="Arial" w:eastAsia="Times New Roman" w:hAnsi="Arial" w:cs="Arial"/>
          <w:b/>
          <w:kern w:val="2"/>
          <w:sz w:val="22"/>
          <w:szCs w:val="22"/>
          <w:lang w:eastAsia="ar-SA"/>
        </w:rPr>
        <w:t xml:space="preserve"> </w:t>
      </w:r>
      <w:r w:rsidR="001325D5" w:rsidRPr="00AC3626">
        <w:rPr>
          <w:rFonts w:ascii="Arial" w:eastAsia="Times New Roman" w:hAnsi="Arial" w:cs="Arial"/>
          <w:b/>
          <w:kern w:val="2"/>
          <w:sz w:val="22"/>
          <w:szCs w:val="22"/>
          <w:lang w:eastAsia="ar-SA"/>
        </w:rPr>
        <w:t xml:space="preserve">Creación de zonas. </w:t>
      </w:r>
      <w:r w:rsidR="001325D5" w:rsidRPr="00AC3626">
        <w:rPr>
          <w:rFonts w:ascii="Arial" w:eastAsia="Times New Roman" w:hAnsi="Arial" w:cs="Arial"/>
          <w:kern w:val="2"/>
          <w:sz w:val="22"/>
          <w:szCs w:val="22"/>
          <w:lang w:eastAsia="ar-SA"/>
        </w:rPr>
        <w:t>El Plan Técnico Fundamental de Numeración establece que</w:t>
      </w:r>
      <w:r w:rsidR="004C2CC5" w:rsidRPr="00AC3626">
        <w:rPr>
          <w:rFonts w:ascii="Arial" w:eastAsia="Times New Roman" w:hAnsi="Arial" w:cs="Arial"/>
          <w:kern w:val="2"/>
          <w:sz w:val="22"/>
          <w:szCs w:val="22"/>
          <w:lang w:eastAsia="ar-SA"/>
        </w:rPr>
        <w:t xml:space="preserve"> </w:t>
      </w:r>
      <w:r w:rsidR="001325D5" w:rsidRPr="00AC3626">
        <w:rPr>
          <w:rFonts w:ascii="Arial" w:eastAsia="Times New Roman" w:hAnsi="Arial" w:cs="Arial"/>
          <w:kern w:val="2"/>
          <w:sz w:val="22"/>
          <w:szCs w:val="22"/>
          <w:lang w:eastAsia="ar-SA"/>
        </w:rPr>
        <w:t xml:space="preserve">con la finalidad de promover un uso eficiente de los recursos de numeración disponibles y garantizar la disponibilidad de la numeración a los </w:t>
      </w:r>
      <w:r w:rsidR="008B2C14" w:rsidRPr="00AC3626">
        <w:rPr>
          <w:rFonts w:ascii="Arial" w:eastAsia="Times New Roman" w:hAnsi="Arial" w:cs="Arial"/>
          <w:kern w:val="2"/>
          <w:sz w:val="22"/>
          <w:szCs w:val="22"/>
          <w:lang w:eastAsia="ar-SA"/>
        </w:rPr>
        <w:t>PST</w:t>
      </w:r>
      <w:r w:rsidR="001325D5" w:rsidRPr="00AC3626">
        <w:rPr>
          <w:rFonts w:ascii="Arial" w:eastAsia="Times New Roman" w:hAnsi="Arial" w:cs="Arial"/>
          <w:kern w:val="2"/>
          <w:sz w:val="22"/>
          <w:szCs w:val="22"/>
          <w:lang w:eastAsia="ar-SA"/>
        </w:rPr>
        <w:t xml:space="preserve"> a largo plazo, </w:t>
      </w:r>
      <w:r w:rsidR="004C2CC5" w:rsidRPr="00AC3626">
        <w:rPr>
          <w:rFonts w:ascii="Arial" w:eastAsia="Times New Roman" w:hAnsi="Arial" w:cs="Arial"/>
          <w:kern w:val="2"/>
          <w:sz w:val="22"/>
          <w:szCs w:val="22"/>
          <w:lang w:eastAsia="ar-SA"/>
        </w:rPr>
        <w:t xml:space="preserve">a partir del 3 de agosto de 2019, </w:t>
      </w:r>
      <w:r w:rsidR="001325D5" w:rsidRPr="00AC3626">
        <w:rPr>
          <w:rFonts w:ascii="Arial" w:eastAsia="Times New Roman" w:hAnsi="Arial" w:cs="Arial"/>
          <w:kern w:val="2"/>
          <w:sz w:val="22"/>
          <w:szCs w:val="22"/>
          <w:lang w:eastAsia="ar-SA"/>
        </w:rPr>
        <w:t xml:space="preserve">se deberán agrupar todos los </w:t>
      </w:r>
      <w:r w:rsidR="004C2CC5" w:rsidRPr="00AC3626">
        <w:rPr>
          <w:rFonts w:ascii="Arial" w:eastAsia="Times New Roman" w:hAnsi="Arial" w:cs="Arial"/>
          <w:kern w:val="2"/>
          <w:sz w:val="22"/>
          <w:szCs w:val="22"/>
          <w:lang w:eastAsia="ar-SA"/>
        </w:rPr>
        <w:t>Números Identificadores de Región (“NIR”)</w:t>
      </w:r>
      <w:r w:rsidR="004B2849" w:rsidRPr="00AC3626">
        <w:rPr>
          <w:rFonts w:ascii="Arial" w:eastAsia="Times New Roman" w:hAnsi="Arial" w:cs="Arial"/>
          <w:kern w:val="2"/>
          <w:sz w:val="22"/>
          <w:szCs w:val="22"/>
          <w:lang w:eastAsia="ar-SA"/>
        </w:rPr>
        <w:t>, también conocidos como claves de larga distancia,</w:t>
      </w:r>
      <w:r w:rsidR="001325D5" w:rsidRPr="00AC3626">
        <w:rPr>
          <w:rFonts w:ascii="Arial" w:eastAsia="Times New Roman" w:hAnsi="Arial" w:cs="Arial"/>
          <w:kern w:val="2"/>
          <w:sz w:val="22"/>
          <w:szCs w:val="22"/>
          <w:lang w:eastAsia="ar-SA"/>
        </w:rPr>
        <w:t xml:space="preserve"> que comiencen con el mismo dígito a fin de crear 8 zonas a nivel nacional para la administración y asignación de la numeración</w:t>
      </w:r>
      <w:r w:rsidR="008B2C14" w:rsidRPr="00AC3626">
        <w:rPr>
          <w:rFonts w:ascii="Arial" w:eastAsia="Times New Roman" w:hAnsi="Arial" w:cs="Arial"/>
          <w:kern w:val="2"/>
          <w:sz w:val="22"/>
          <w:szCs w:val="22"/>
          <w:lang w:eastAsia="ar-SA"/>
        </w:rPr>
        <w:t>, la cual se realizará en orden secuencial</w:t>
      </w:r>
      <w:r w:rsidR="001325D5" w:rsidRPr="00AC3626">
        <w:rPr>
          <w:rFonts w:ascii="Arial" w:eastAsia="Times New Roman" w:hAnsi="Arial" w:cs="Arial"/>
          <w:kern w:val="2"/>
          <w:sz w:val="22"/>
          <w:szCs w:val="22"/>
          <w:lang w:eastAsia="ar-SA"/>
        </w:rPr>
        <w:t>.</w:t>
      </w:r>
    </w:p>
    <w:p w14:paraId="3054C383" w14:textId="77777777" w:rsidR="008B2C14" w:rsidRPr="00AC3626" w:rsidRDefault="008B2C14" w:rsidP="008C7514">
      <w:pPr>
        <w:jc w:val="both"/>
        <w:rPr>
          <w:rFonts w:ascii="Arial" w:eastAsia="Times New Roman" w:hAnsi="Arial" w:cs="Arial"/>
          <w:kern w:val="2"/>
          <w:sz w:val="22"/>
          <w:szCs w:val="22"/>
          <w:lang w:eastAsia="ar-SA"/>
        </w:rPr>
      </w:pPr>
    </w:p>
    <w:p w14:paraId="3EDD5307" w14:textId="77777777" w:rsidR="002E3230" w:rsidRPr="00AC3626" w:rsidRDefault="002E3230" w:rsidP="008C7514">
      <w:pPr>
        <w:jc w:val="both"/>
        <w:rPr>
          <w:rFonts w:ascii="Arial" w:eastAsia="Times New Roman" w:hAnsi="Arial" w:cs="Arial"/>
          <w:kern w:val="2"/>
          <w:sz w:val="22"/>
          <w:szCs w:val="22"/>
          <w:lang w:eastAsia="ar-SA"/>
        </w:rPr>
      </w:pPr>
      <w:proofErr w:type="gramStart"/>
      <w:r w:rsidRPr="00AC3626">
        <w:rPr>
          <w:rFonts w:ascii="Arial" w:eastAsia="Times New Roman" w:hAnsi="Arial" w:cs="Arial"/>
          <w:b/>
          <w:kern w:val="2"/>
          <w:sz w:val="22"/>
          <w:szCs w:val="22"/>
          <w:lang w:eastAsia="ar-SA"/>
        </w:rPr>
        <w:t>CUARTO.-</w:t>
      </w:r>
      <w:proofErr w:type="gramEnd"/>
      <w:r w:rsidRPr="00AC3626">
        <w:rPr>
          <w:rFonts w:ascii="Arial" w:eastAsia="Times New Roman" w:hAnsi="Arial" w:cs="Arial"/>
          <w:b/>
          <w:kern w:val="2"/>
          <w:sz w:val="22"/>
          <w:szCs w:val="22"/>
          <w:lang w:eastAsia="ar-SA"/>
        </w:rPr>
        <w:t xml:space="preserve"> Solicitud para modificar el Acuerdo.</w:t>
      </w:r>
      <w:r w:rsidRPr="00AC3626">
        <w:rPr>
          <w:rFonts w:ascii="Arial" w:eastAsia="Times New Roman" w:hAnsi="Arial" w:cs="Arial"/>
          <w:kern w:val="2"/>
          <w:sz w:val="22"/>
          <w:szCs w:val="22"/>
          <w:lang w:eastAsia="ar-SA"/>
        </w:rPr>
        <w:t xml:space="preserve"> </w:t>
      </w:r>
      <w:r w:rsidR="004B2849" w:rsidRPr="00AC3626">
        <w:rPr>
          <w:rFonts w:ascii="Arial" w:eastAsia="Times New Roman" w:hAnsi="Arial" w:cs="Arial"/>
          <w:kern w:val="2"/>
          <w:sz w:val="22"/>
          <w:szCs w:val="22"/>
          <w:lang w:eastAsia="ar-SA"/>
        </w:rPr>
        <w:t>En reunión del Grupo de Trabajo de Numeración</w:t>
      </w:r>
      <w:r w:rsidR="00E302C6" w:rsidRPr="00AC3626">
        <w:rPr>
          <w:rFonts w:ascii="Arial" w:eastAsia="Times New Roman" w:hAnsi="Arial" w:cs="Arial"/>
          <w:kern w:val="2"/>
          <w:sz w:val="22"/>
          <w:szCs w:val="22"/>
          <w:lang w:eastAsia="ar-SA"/>
        </w:rPr>
        <w:t xml:space="preserve"> y Señalización</w:t>
      </w:r>
      <w:r w:rsidR="004B2849" w:rsidRPr="00AC3626">
        <w:rPr>
          <w:rFonts w:ascii="Arial" w:eastAsia="Times New Roman" w:hAnsi="Arial" w:cs="Arial"/>
          <w:kern w:val="2"/>
          <w:sz w:val="22"/>
          <w:szCs w:val="22"/>
          <w:lang w:eastAsia="ar-SA"/>
        </w:rPr>
        <w:t>,</w:t>
      </w:r>
      <w:r w:rsidR="00E302C6" w:rsidRPr="00AC3626">
        <w:rPr>
          <w:rFonts w:ascii="Arial" w:eastAsia="Times New Roman" w:hAnsi="Arial" w:cs="Arial"/>
          <w:kern w:val="2"/>
          <w:sz w:val="22"/>
          <w:szCs w:val="22"/>
          <w:lang w:eastAsia="ar-SA"/>
        </w:rPr>
        <w:t xml:space="preserve"> celebrada el 8 de octubre de 2018,</w:t>
      </w:r>
      <w:r w:rsidR="00965306" w:rsidRPr="00AC3626">
        <w:rPr>
          <w:rFonts w:ascii="Arial" w:eastAsia="Times New Roman" w:hAnsi="Arial" w:cs="Arial"/>
          <w:kern w:val="2"/>
          <w:sz w:val="22"/>
          <w:szCs w:val="22"/>
          <w:lang w:eastAsia="ar-SA"/>
        </w:rPr>
        <w:t xml:space="preserve"> la mayoría de los</w:t>
      </w:r>
      <w:r w:rsidR="004B2849" w:rsidRPr="00AC3626">
        <w:rPr>
          <w:rFonts w:ascii="Arial" w:eastAsia="Times New Roman" w:hAnsi="Arial" w:cs="Arial"/>
          <w:kern w:val="2"/>
          <w:sz w:val="22"/>
          <w:szCs w:val="22"/>
          <w:lang w:eastAsia="ar-SA"/>
        </w:rPr>
        <w:t xml:space="preserve"> PST presentes solicitaron al Instituto</w:t>
      </w:r>
      <w:r w:rsidRPr="00AC3626">
        <w:rPr>
          <w:rFonts w:ascii="Arial" w:eastAsia="Times New Roman" w:hAnsi="Arial" w:cs="Arial"/>
          <w:kern w:val="2"/>
          <w:sz w:val="22"/>
          <w:szCs w:val="22"/>
          <w:lang w:eastAsia="ar-SA"/>
        </w:rPr>
        <w:t xml:space="preserve"> lo siguiente: </w:t>
      </w:r>
    </w:p>
    <w:p w14:paraId="4BC71699" w14:textId="77777777" w:rsidR="002E3230" w:rsidRPr="00AC3626" w:rsidRDefault="002E3230" w:rsidP="008C7514">
      <w:pPr>
        <w:jc w:val="both"/>
        <w:rPr>
          <w:rFonts w:ascii="Arial" w:eastAsia="Times New Roman" w:hAnsi="Arial" w:cs="Arial"/>
          <w:kern w:val="2"/>
          <w:sz w:val="22"/>
          <w:szCs w:val="22"/>
          <w:lang w:eastAsia="ar-SA"/>
        </w:rPr>
      </w:pPr>
    </w:p>
    <w:p w14:paraId="2FBACA5E" w14:textId="2C950134" w:rsidR="002E3230" w:rsidRPr="00AC3626" w:rsidRDefault="002E3230" w:rsidP="007B4C45">
      <w:pPr>
        <w:pStyle w:val="Prrafodelista"/>
        <w:numPr>
          <w:ilvl w:val="0"/>
          <w:numId w:val="7"/>
        </w:numPr>
        <w:ind w:left="426" w:hanging="284"/>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t>Q</w:t>
      </w:r>
      <w:r w:rsidR="004B2849" w:rsidRPr="00AC3626">
        <w:rPr>
          <w:rFonts w:ascii="Arial" w:eastAsia="Times New Roman" w:hAnsi="Arial" w:cs="Arial"/>
          <w:kern w:val="2"/>
          <w:sz w:val="22"/>
          <w:szCs w:val="22"/>
          <w:lang w:eastAsia="ar-SA"/>
        </w:rPr>
        <w:t xml:space="preserve">ue la administración y asignación de numeración </w:t>
      </w:r>
      <w:r w:rsidR="00965306" w:rsidRPr="00AC3626">
        <w:rPr>
          <w:rFonts w:ascii="Arial" w:eastAsia="Times New Roman" w:hAnsi="Arial" w:cs="Arial"/>
          <w:kern w:val="2"/>
          <w:sz w:val="22"/>
          <w:szCs w:val="22"/>
          <w:lang w:eastAsia="ar-SA"/>
        </w:rPr>
        <w:t xml:space="preserve">geográfica con base en los NIR se mantenga hasta </w:t>
      </w:r>
      <w:r w:rsidR="006F7FFC" w:rsidRPr="00AC3626">
        <w:rPr>
          <w:rFonts w:ascii="Arial" w:eastAsia="Times New Roman" w:hAnsi="Arial" w:cs="Arial"/>
          <w:kern w:val="2"/>
          <w:sz w:val="22"/>
          <w:szCs w:val="22"/>
          <w:lang w:eastAsia="ar-SA"/>
        </w:rPr>
        <w:t>enero</w:t>
      </w:r>
      <w:r w:rsidR="00965306" w:rsidRPr="00AC3626">
        <w:rPr>
          <w:rFonts w:ascii="Arial" w:eastAsia="Times New Roman" w:hAnsi="Arial" w:cs="Arial"/>
          <w:kern w:val="2"/>
          <w:sz w:val="22"/>
          <w:szCs w:val="22"/>
          <w:lang w:eastAsia="ar-SA"/>
        </w:rPr>
        <w:t xml:space="preserve"> de</w:t>
      </w:r>
      <w:r w:rsidR="00FC5D16" w:rsidRPr="00AC3626">
        <w:rPr>
          <w:rFonts w:ascii="Arial" w:eastAsia="Times New Roman" w:hAnsi="Arial" w:cs="Arial"/>
          <w:kern w:val="2"/>
          <w:sz w:val="22"/>
          <w:szCs w:val="22"/>
          <w:lang w:eastAsia="ar-SA"/>
        </w:rPr>
        <w:t>l año</w:t>
      </w:r>
      <w:r w:rsidR="00965306" w:rsidRPr="00AC3626">
        <w:rPr>
          <w:rFonts w:ascii="Arial" w:eastAsia="Times New Roman" w:hAnsi="Arial" w:cs="Arial"/>
          <w:kern w:val="2"/>
          <w:sz w:val="22"/>
          <w:szCs w:val="22"/>
          <w:lang w:eastAsia="ar-SA"/>
        </w:rPr>
        <w:t xml:space="preserve"> 2022</w:t>
      </w:r>
      <w:r w:rsidR="00051A3B" w:rsidRPr="00AC3626">
        <w:rPr>
          <w:rFonts w:ascii="Arial" w:eastAsia="Times New Roman" w:hAnsi="Arial" w:cs="Arial"/>
          <w:kern w:val="2"/>
          <w:sz w:val="22"/>
          <w:szCs w:val="22"/>
          <w:lang w:eastAsia="ar-SA"/>
        </w:rPr>
        <w:t>, fecha en la que el</w:t>
      </w:r>
      <w:r w:rsidR="00965306" w:rsidRPr="00AC3626">
        <w:rPr>
          <w:rFonts w:ascii="Arial" w:eastAsia="Times New Roman" w:hAnsi="Arial" w:cs="Arial"/>
          <w:kern w:val="2"/>
          <w:sz w:val="22"/>
          <w:szCs w:val="22"/>
          <w:lang w:eastAsia="ar-SA"/>
        </w:rPr>
        <w:t xml:space="preserve"> proceso de transición de interconexión en tecnología TDM a tecnología IP</w:t>
      </w:r>
      <w:r w:rsidR="003848BF" w:rsidRPr="00AC3626">
        <w:rPr>
          <w:rFonts w:ascii="Arial" w:eastAsia="Times New Roman" w:hAnsi="Arial" w:cs="Arial"/>
          <w:kern w:val="2"/>
          <w:sz w:val="22"/>
          <w:szCs w:val="22"/>
          <w:lang w:eastAsia="ar-SA"/>
        </w:rPr>
        <w:t xml:space="preserve"> habrá concluido</w:t>
      </w:r>
      <w:r w:rsidR="00D7108A" w:rsidRPr="00AC3626">
        <w:rPr>
          <w:rFonts w:ascii="Arial" w:eastAsia="Times New Roman" w:hAnsi="Arial" w:cs="Arial"/>
          <w:kern w:val="2"/>
          <w:sz w:val="22"/>
          <w:szCs w:val="22"/>
          <w:lang w:eastAsia="ar-SA"/>
        </w:rPr>
        <w:t xml:space="preserve">, </w:t>
      </w:r>
      <w:r w:rsidR="004E4457" w:rsidRPr="00AC3626">
        <w:rPr>
          <w:rFonts w:ascii="Arial" w:eastAsia="Times New Roman" w:hAnsi="Arial" w:cs="Arial"/>
          <w:kern w:val="2"/>
          <w:sz w:val="22"/>
          <w:szCs w:val="22"/>
          <w:lang w:eastAsia="ar-SA"/>
        </w:rPr>
        <w:t>en virtud de que el enrutamiento</w:t>
      </w:r>
      <w:r w:rsidR="007F2965" w:rsidRPr="00AC3626">
        <w:rPr>
          <w:rFonts w:ascii="Arial" w:eastAsia="Times New Roman" w:hAnsi="Arial" w:cs="Arial"/>
          <w:kern w:val="2"/>
          <w:sz w:val="22"/>
          <w:szCs w:val="22"/>
          <w:lang w:eastAsia="ar-SA"/>
        </w:rPr>
        <w:t xml:space="preserve"> e intercambio</w:t>
      </w:r>
      <w:r w:rsidR="00823CB5" w:rsidRPr="00AC3626">
        <w:rPr>
          <w:rFonts w:ascii="Arial" w:eastAsia="Times New Roman" w:hAnsi="Arial" w:cs="Arial"/>
          <w:kern w:val="2"/>
          <w:sz w:val="22"/>
          <w:szCs w:val="22"/>
          <w:lang w:eastAsia="ar-SA"/>
        </w:rPr>
        <w:t xml:space="preserve"> de </w:t>
      </w:r>
      <w:r w:rsidR="007F2965" w:rsidRPr="00AC3626">
        <w:rPr>
          <w:rFonts w:ascii="Arial" w:eastAsia="Times New Roman" w:hAnsi="Arial" w:cs="Arial"/>
          <w:kern w:val="2"/>
          <w:sz w:val="22"/>
          <w:szCs w:val="22"/>
          <w:lang w:eastAsia="ar-SA"/>
        </w:rPr>
        <w:t>tráfico público conmutado</w:t>
      </w:r>
      <w:r w:rsidR="004E4457" w:rsidRPr="00AC3626">
        <w:rPr>
          <w:rFonts w:ascii="Arial" w:eastAsia="Times New Roman" w:hAnsi="Arial" w:cs="Arial"/>
          <w:kern w:val="2"/>
          <w:sz w:val="22"/>
          <w:szCs w:val="22"/>
          <w:lang w:eastAsia="ar-SA"/>
        </w:rPr>
        <w:t xml:space="preserve"> en las </w:t>
      </w:r>
      <w:r w:rsidR="00823CB5" w:rsidRPr="00AC3626">
        <w:rPr>
          <w:rFonts w:ascii="Arial" w:eastAsia="Times New Roman" w:hAnsi="Arial" w:cs="Arial"/>
          <w:kern w:val="2"/>
          <w:sz w:val="22"/>
          <w:szCs w:val="22"/>
          <w:lang w:eastAsia="ar-SA"/>
        </w:rPr>
        <w:t xml:space="preserve">redes de telefonía pública conmutada tradicionales (basadas en tecnología TDM) </w:t>
      </w:r>
      <w:r w:rsidR="004E4457" w:rsidRPr="00AC3626">
        <w:rPr>
          <w:rFonts w:ascii="Arial" w:eastAsia="Times New Roman" w:hAnsi="Arial" w:cs="Arial"/>
          <w:kern w:val="2"/>
          <w:sz w:val="22"/>
          <w:szCs w:val="22"/>
          <w:lang w:eastAsia="ar-SA"/>
        </w:rPr>
        <w:t>se realiza mediante</w:t>
      </w:r>
      <w:r w:rsidR="007F2965" w:rsidRPr="00AC3626">
        <w:rPr>
          <w:rFonts w:ascii="Arial" w:eastAsia="Times New Roman" w:hAnsi="Arial" w:cs="Arial"/>
          <w:kern w:val="2"/>
          <w:sz w:val="22"/>
          <w:szCs w:val="22"/>
          <w:lang w:eastAsia="ar-SA"/>
        </w:rPr>
        <w:t xml:space="preserve"> l</w:t>
      </w:r>
      <w:r w:rsidR="004E4457" w:rsidRPr="00AC3626">
        <w:rPr>
          <w:rFonts w:ascii="Arial" w:eastAsia="Times New Roman" w:hAnsi="Arial" w:cs="Arial"/>
          <w:kern w:val="2"/>
          <w:sz w:val="22"/>
          <w:szCs w:val="22"/>
          <w:lang w:eastAsia="ar-SA"/>
        </w:rPr>
        <w:t>a asociaci</w:t>
      </w:r>
      <w:r w:rsidR="007F2965" w:rsidRPr="00AC3626">
        <w:rPr>
          <w:rFonts w:ascii="Arial" w:eastAsia="Times New Roman" w:hAnsi="Arial" w:cs="Arial"/>
          <w:kern w:val="2"/>
          <w:sz w:val="22"/>
          <w:szCs w:val="22"/>
          <w:lang w:eastAsia="ar-SA"/>
        </w:rPr>
        <w:t>ón de uno o más</w:t>
      </w:r>
      <w:r w:rsidR="004E4457" w:rsidRPr="00AC3626">
        <w:rPr>
          <w:rFonts w:ascii="Arial" w:eastAsia="Times New Roman" w:hAnsi="Arial" w:cs="Arial"/>
          <w:kern w:val="2"/>
          <w:sz w:val="22"/>
          <w:szCs w:val="22"/>
          <w:lang w:eastAsia="ar-SA"/>
        </w:rPr>
        <w:t xml:space="preserve"> NIR</w:t>
      </w:r>
      <w:r w:rsidR="007F2965" w:rsidRPr="00AC3626">
        <w:rPr>
          <w:rFonts w:ascii="Arial" w:eastAsia="Times New Roman" w:hAnsi="Arial" w:cs="Arial"/>
          <w:kern w:val="2"/>
          <w:sz w:val="22"/>
          <w:szCs w:val="22"/>
          <w:lang w:eastAsia="ar-SA"/>
        </w:rPr>
        <w:t xml:space="preserve"> (que identifican un área geográfica determinada)</w:t>
      </w:r>
      <w:r w:rsidR="004E4457" w:rsidRPr="00AC3626">
        <w:rPr>
          <w:rFonts w:ascii="Arial" w:eastAsia="Times New Roman" w:hAnsi="Arial" w:cs="Arial"/>
          <w:kern w:val="2"/>
          <w:sz w:val="22"/>
          <w:szCs w:val="22"/>
          <w:lang w:eastAsia="ar-SA"/>
        </w:rPr>
        <w:t xml:space="preserve"> y </w:t>
      </w:r>
      <w:r w:rsidR="007F2965" w:rsidRPr="00AC3626">
        <w:rPr>
          <w:rFonts w:ascii="Arial" w:eastAsia="Times New Roman" w:hAnsi="Arial" w:cs="Arial"/>
          <w:kern w:val="2"/>
          <w:sz w:val="22"/>
          <w:szCs w:val="22"/>
          <w:lang w:eastAsia="ar-SA"/>
        </w:rPr>
        <w:t xml:space="preserve">una central de conmutación o punto de interconexión. </w:t>
      </w:r>
      <w:r w:rsidR="00254EF1" w:rsidRPr="00AC3626">
        <w:rPr>
          <w:rFonts w:ascii="Arial" w:eastAsia="Times New Roman" w:hAnsi="Arial" w:cs="Arial"/>
          <w:kern w:val="2"/>
          <w:sz w:val="22"/>
          <w:szCs w:val="22"/>
          <w:lang w:eastAsia="ar-SA"/>
        </w:rPr>
        <w:t xml:space="preserve">En este sentido, </w:t>
      </w:r>
      <w:r w:rsidR="00CE3CA1" w:rsidRPr="00AC3626">
        <w:rPr>
          <w:rFonts w:ascii="Arial" w:eastAsia="Times New Roman" w:hAnsi="Arial" w:cs="Arial"/>
          <w:kern w:val="2"/>
          <w:sz w:val="22"/>
          <w:szCs w:val="22"/>
          <w:lang w:eastAsia="ar-SA"/>
        </w:rPr>
        <w:t>los PST considera</w:t>
      </w:r>
      <w:r w:rsidR="00636C23">
        <w:rPr>
          <w:rFonts w:ascii="Arial" w:eastAsia="Times New Roman" w:hAnsi="Arial" w:cs="Arial"/>
          <w:kern w:val="2"/>
          <w:sz w:val="22"/>
          <w:szCs w:val="22"/>
          <w:lang w:eastAsia="ar-SA"/>
        </w:rPr>
        <w:t>ron</w:t>
      </w:r>
      <w:r w:rsidR="00CE3CA1" w:rsidRPr="00AC3626">
        <w:rPr>
          <w:rFonts w:ascii="Arial" w:eastAsia="Times New Roman" w:hAnsi="Arial" w:cs="Arial"/>
          <w:kern w:val="2"/>
          <w:sz w:val="22"/>
          <w:szCs w:val="22"/>
          <w:lang w:eastAsia="ar-SA"/>
        </w:rPr>
        <w:t xml:space="preserve"> que </w:t>
      </w:r>
      <w:r w:rsidR="00254EF1" w:rsidRPr="00AC3626">
        <w:rPr>
          <w:rFonts w:ascii="Arial" w:eastAsia="Times New Roman" w:hAnsi="Arial" w:cs="Arial"/>
          <w:kern w:val="2"/>
          <w:sz w:val="22"/>
          <w:szCs w:val="22"/>
          <w:lang w:eastAsia="ar-SA"/>
        </w:rPr>
        <w:t xml:space="preserve">la agrupación de todos los NIR que inicien con el mismo dígito para crear zonas </w:t>
      </w:r>
      <w:r w:rsidR="007F2965" w:rsidRPr="00AC3626">
        <w:rPr>
          <w:rFonts w:ascii="Arial" w:eastAsia="Times New Roman" w:hAnsi="Arial" w:cs="Arial"/>
          <w:kern w:val="2"/>
          <w:sz w:val="22"/>
          <w:szCs w:val="22"/>
          <w:lang w:eastAsia="ar-SA"/>
        </w:rPr>
        <w:t>destinadas a</w:t>
      </w:r>
      <w:r w:rsidR="00254EF1" w:rsidRPr="00AC3626">
        <w:rPr>
          <w:rFonts w:ascii="Arial" w:eastAsia="Times New Roman" w:hAnsi="Arial" w:cs="Arial"/>
          <w:kern w:val="2"/>
          <w:sz w:val="22"/>
          <w:szCs w:val="22"/>
          <w:lang w:eastAsia="ar-SA"/>
        </w:rPr>
        <w:t xml:space="preserve"> la administración y asignación de numeración, </w:t>
      </w:r>
      <w:r w:rsidR="007F2965" w:rsidRPr="00AC3626">
        <w:rPr>
          <w:rFonts w:ascii="Arial" w:eastAsia="Times New Roman" w:hAnsi="Arial" w:cs="Arial"/>
          <w:kern w:val="2"/>
          <w:sz w:val="22"/>
          <w:szCs w:val="22"/>
          <w:lang w:eastAsia="ar-SA"/>
        </w:rPr>
        <w:t xml:space="preserve">impedirá que las redes puedan determinar con exactitud </w:t>
      </w:r>
      <w:r w:rsidR="00CE3CA1" w:rsidRPr="00AC3626">
        <w:rPr>
          <w:rFonts w:ascii="Arial" w:eastAsia="Times New Roman" w:hAnsi="Arial" w:cs="Arial"/>
          <w:kern w:val="2"/>
          <w:sz w:val="22"/>
          <w:szCs w:val="22"/>
          <w:lang w:eastAsia="ar-SA"/>
        </w:rPr>
        <w:t xml:space="preserve">el punto de </w:t>
      </w:r>
      <w:r w:rsidR="007F2965" w:rsidRPr="00AC3626">
        <w:rPr>
          <w:rFonts w:ascii="Arial" w:eastAsia="Times New Roman" w:hAnsi="Arial" w:cs="Arial"/>
          <w:kern w:val="2"/>
          <w:sz w:val="22"/>
          <w:szCs w:val="22"/>
          <w:lang w:eastAsia="ar-SA"/>
        </w:rPr>
        <w:t>destino</w:t>
      </w:r>
      <w:r w:rsidR="00E724A5" w:rsidRPr="00AC3626">
        <w:rPr>
          <w:rFonts w:ascii="Arial" w:eastAsia="Times New Roman" w:hAnsi="Arial" w:cs="Arial"/>
          <w:kern w:val="2"/>
          <w:sz w:val="22"/>
          <w:szCs w:val="22"/>
          <w:lang w:eastAsia="ar-SA"/>
        </w:rPr>
        <w:t xml:space="preserve"> donde se entregar</w:t>
      </w:r>
      <w:r w:rsidR="00CE3CA1" w:rsidRPr="00AC3626">
        <w:rPr>
          <w:rFonts w:ascii="Arial" w:eastAsia="Times New Roman" w:hAnsi="Arial" w:cs="Arial"/>
          <w:kern w:val="2"/>
          <w:sz w:val="22"/>
          <w:szCs w:val="22"/>
          <w:lang w:eastAsia="ar-SA"/>
        </w:rPr>
        <w:t>án</w:t>
      </w:r>
      <w:r w:rsidR="007F2965" w:rsidRPr="00AC3626">
        <w:rPr>
          <w:rFonts w:ascii="Arial" w:eastAsia="Times New Roman" w:hAnsi="Arial" w:cs="Arial"/>
          <w:kern w:val="2"/>
          <w:sz w:val="22"/>
          <w:szCs w:val="22"/>
          <w:lang w:eastAsia="ar-SA"/>
        </w:rPr>
        <w:t xml:space="preserve"> las llamadas</w:t>
      </w:r>
      <w:r w:rsidR="00E724A5" w:rsidRPr="00AC3626">
        <w:rPr>
          <w:rFonts w:ascii="Arial" w:eastAsia="Times New Roman" w:hAnsi="Arial" w:cs="Arial"/>
          <w:kern w:val="2"/>
          <w:sz w:val="22"/>
          <w:szCs w:val="22"/>
          <w:lang w:eastAsia="ar-SA"/>
        </w:rPr>
        <w:t>.</w:t>
      </w:r>
      <w:r w:rsidR="00254EF1" w:rsidRPr="00AC3626">
        <w:rPr>
          <w:rFonts w:ascii="Arial" w:eastAsia="Times New Roman" w:hAnsi="Arial" w:cs="Arial"/>
          <w:kern w:val="2"/>
          <w:sz w:val="22"/>
          <w:szCs w:val="22"/>
          <w:lang w:eastAsia="ar-SA"/>
        </w:rPr>
        <w:t xml:space="preserve"> </w:t>
      </w:r>
      <w:r w:rsidR="00DC3A30" w:rsidRPr="00AC3626">
        <w:rPr>
          <w:rFonts w:ascii="Arial" w:eastAsia="Times New Roman" w:hAnsi="Arial" w:cs="Arial"/>
          <w:kern w:val="2"/>
          <w:sz w:val="22"/>
          <w:szCs w:val="22"/>
          <w:lang w:eastAsia="ar-SA"/>
        </w:rPr>
        <w:t>Cabe señalar que esta problemática no se presenta en las redes de nueva generación basadas en tecnología IP, en las cuales es posible establecer esquemas todo origen</w:t>
      </w:r>
      <w:r w:rsidR="00F8184E">
        <w:rPr>
          <w:rFonts w:ascii="Arial" w:eastAsia="Times New Roman" w:hAnsi="Arial" w:cs="Arial"/>
          <w:kern w:val="2"/>
          <w:sz w:val="22"/>
          <w:szCs w:val="22"/>
          <w:lang w:eastAsia="ar-SA"/>
        </w:rPr>
        <w:t>-</w:t>
      </w:r>
      <w:r w:rsidR="00DC3A30" w:rsidRPr="00AC3626">
        <w:rPr>
          <w:rFonts w:ascii="Arial" w:eastAsia="Times New Roman" w:hAnsi="Arial" w:cs="Arial"/>
          <w:kern w:val="2"/>
          <w:sz w:val="22"/>
          <w:szCs w:val="22"/>
          <w:lang w:eastAsia="ar-SA"/>
        </w:rPr>
        <w:t>todo destino</w:t>
      </w:r>
      <w:r w:rsidR="00BC0116" w:rsidRPr="00AC3626">
        <w:rPr>
          <w:rFonts w:ascii="Arial" w:eastAsia="Times New Roman" w:hAnsi="Arial" w:cs="Arial"/>
          <w:kern w:val="2"/>
          <w:sz w:val="22"/>
          <w:szCs w:val="22"/>
          <w:lang w:eastAsia="ar-SA"/>
        </w:rPr>
        <w:t xml:space="preserve">, de forma más sencilla y eficiente. </w:t>
      </w:r>
    </w:p>
    <w:p w14:paraId="2BF2495F" w14:textId="77777777" w:rsidR="00177DC3" w:rsidRPr="00AC3626" w:rsidRDefault="00177DC3" w:rsidP="00177DC3">
      <w:pPr>
        <w:pStyle w:val="Prrafodelista"/>
        <w:ind w:left="426"/>
        <w:jc w:val="both"/>
        <w:rPr>
          <w:rFonts w:ascii="Arial" w:eastAsia="Times New Roman" w:hAnsi="Arial" w:cs="Arial"/>
          <w:kern w:val="2"/>
          <w:sz w:val="22"/>
          <w:szCs w:val="22"/>
          <w:lang w:eastAsia="ar-SA"/>
        </w:rPr>
      </w:pPr>
    </w:p>
    <w:p w14:paraId="08F59775" w14:textId="328E5C58" w:rsidR="002E3230" w:rsidRPr="00AC3626" w:rsidRDefault="002E3230" w:rsidP="00BC0116">
      <w:pPr>
        <w:pStyle w:val="Prrafodelista"/>
        <w:numPr>
          <w:ilvl w:val="0"/>
          <w:numId w:val="7"/>
        </w:numPr>
        <w:ind w:left="426" w:hanging="284"/>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t xml:space="preserve">Que </w:t>
      </w:r>
      <w:r w:rsidR="00AE7FAD" w:rsidRPr="00AC3626">
        <w:rPr>
          <w:rFonts w:ascii="Arial" w:eastAsia="Times New Roman" w:hAnsi="Arial" w:cs="Arial"/>
          <w:kern w:val="2"/>
          <w:sz w:val="22"/>
          <w:szCs w:val="22"/>
          <w:lang w:eastAsia="ar-SA"/>
        </w:rPr>
        <w:t>a fin de lograr una transición gradual y ordenada hacia los nuevos formatos para el intercambio</w:t>
      </w:r>
      <w:r w:rsidR="009A6F5D" w:rsidRPr="00AC3626">
        <w:rPr>
          <w:rFonts w:ascii="Arial" w:eastAsia="Times New Roman" w:hAnsi="Arial" w:cs="Arial"/>
          <w:kern w:val="2"/>
          <w:sz w:val="22"/>
          <w:szCs w:val="22"/>
          <w:lang w:eastAsia="ar-SA"/>
        </w:rPr>
        <w:t xml:space="preserve"> de dígitos</w:t>
      </w:r>
      <w:r w:rsidR="00AE7FAD" w:rsidRPr="00AC3626">
        <w:rPr>
          <w:rFonts w:ascii="Arial" w:eastAsia="Times New Roman" w:hAnsi="Arial" w:cs="Arial"/>
          <w:kern w:val="2"/>
          <w:sz w:val="22"/>
          <w:szCs w:val="22"/>
          <w:lang w:eastAsia="ar-SA"/>
        </w:rPr>
        <w:t xml:space="preserve"> del número de “B”</w:t>
      </w:r>
      <w:r w:rsidR="009A6F5D" w:rsidRPr="00AC3626">
        <w:rPr>
          <w:rFonts w:ascii="Arial" w:eastAsia="Times New Roman" w:hAnsi="Arial" w:cs="Arial"/>
          <w:kern w:val="2"/>
          <w:sz w:val="22"/>
          <w:szCs w:val="22"/>
          <w:lang w:eastAsia="ar-SA"/>
        </w:rPr>
        <w:t xml:space="preserve"> en la señalización,</w:t>
      </w:r>
      <w:r w:rsidR="00AE7FAD" w:rsidRPr="00AC3626">
        <w:rPr>
          <w:rFonts w:ascii="Arial" w:eastAsia="Times New Roman" w:hAnsi="Arial" w:cs="Arial"/>
          <w:kern w:val="2"/>
          <w:sz w:val="22"/>
          <w:szCs w:val="22"/>
          <w:lang w:eastAsia="ar-SA"/>
        </w:rPr>
        <w:t xml:space="preserve"> establecidos en el Plan Técnico de Señalización, se permita un</w:t>
      </w:r>
      <w:r w:rsidR="009A6F5D" w:rsidRPr="00AC3626">
        <w:rPr>
          <w:rFonts w:ascii="Arial" w:eastAsia="Times New Roman" w:hAnsi="Arial" w:cs="Arial"/>
          <w:kern w:val="2"/>
          <w:sz w:val="22"/>
          <w:szCs w:val="22"/>
          <w:lang w:eastAsia="ar-SA"/>
        </w:rPr>
        <w:t xml:space="preserve"> periodo de convivencia con los formatos vigentes a partir del 1 de febrero de 2019.</w:t>
      </w:r>
    </w:p>
    <w:p w14:paraId="50C02417" w14:textId="77777777" w:rsidR="001E7323" w:rsidRPr="00AC3626" w:rsidRDefault="001E7323" w:rsidP="008C7514">
      <w:pPr>
        <w:jc w:val="both"/>
        <w:rPr>
          <w:rFonts w:ascii="Arial" w:eastAsia="Times New Roman" w:hAnsi="Arial" w:cs="Arial"/>
          <w:b/>
          <w:kern w:val="2"/>
          <w:sz w:val="22"/>
          <w:szCs w:val="22"/>
          <w:lang w:eastAsia="ar-SA"/>
        </w:rPr>
      </w:pPr>
    </w:p>
    <w:p w14:paraId="76357638" w14:textId="13D5DEFA" w:rsidR="001E7323" w:rsidRPr="00AC3626" w:rsidRDefault="00666461" w:rsidP="00666461">
      <w:pPr>
        <w:jc w:val="both"/>
        <w:rPr>
          <w:rFonts w:ascii="Arial" w:eastAsia="Times New Roman" w:hAnsi="Arial" w:cs="Arial"/>
          <w:kern w:val="2"/>
          <w:sz w:val="22"/>
          <w:szCs w:val="22"/>
          <w:lang w:eastAsia="ar-SA"/>
        </w:rPr>
      </w:pPr>
      <w:proofErr w:type="gramStart"/>
      <w:r w:rsidRPr="00AC3626">
        <w:rPr>
          <w:rFonts w:ascii="Arial" w:eastAsia="Times New Roman" w:hAnsi="Arial" w:cs="Arial"/>
          <w:b/>
          <w:kern w:val="2"/>
          <w:sz w:val="22"/>
          <w:szCs w:val="22"/>
          <w:lang w:eastAsia="ar-SA"/>
        </w:rPr>
        <w:t>QUINTO</w:t>
      </w:r>
      <w:r w:rsidR="00761C59" w:rsidRPr="00AC3626">
        <w:rPr>
          <w:rFonts w:ascii="Arial" w:eastAsia="Times New Roman" w:hAnsi="Arial" w:cs="Arial"/>
          <w:b/>
          <w:kern w:val="2"/>
          <w:sz w:val="22"/>
          <w:szCs w:val="22"/>
          <w:lang w:eastAsia="ar-SA"/>
        </w:rPr>
        <w:t>.-</w:t>
      </w:r>
      <w:proofErr w:type="gramEnd"/>
      <w:r w:rsidR="00761C59" w:rsidRPr="00AC3626">
        <w:rPr>
          <w:rFonts w:ascii="Arial" w:eastAsia="Times New Roman" w:hAnsi="Arial" w:cs="Arial"/>
          <w:b/>
          <w:kern w:val="2"/>
          <w:sz w:val="22"/>
          <w:szCs w:val="22"/>
          <w:lang w:eastAsia="ar-SA"/>
        </w:rPr>
        <w:t xml:space="preserve"> Modificación a </w:t>
      </w:r>
      <w:r w:rsidR="00177DC3" w:rsidRPr="00AC3626">
        <w:rPr>
          <w:rFonts w:ascii="Arial" w:eastAsia="Times New Roman" w:hAnsi="Arial" w:cs="Arial"/>
          <w:b/>
          <w:kern w:val="2"/>
          <w:sz w:val="22"/>
          <w:szCs w:val="22"/>
          <w:lang w:eastAsia="ar-SA"/>
        </w:rPr>
        <w:t xml:space="preserve">la entrada en vigor </w:t>
      </w:r>
      <w:r w:rsidR="00761C59" w:rsidRPr="00AC3626">
        <w:rPr>
          <w:rFonts w:ascii="Arial" w:eastAsia="Times New Roman" w:hAnsi="Arial" w:cs="Arial"/>
          <w:b/>
          <w:kern w:val="2"/>
          <w:sz w:val="22"/>
          <w:szCs w:val="22"/>
          <w:lang w:eastAsia="ar-SA"/>
        </w:rPr>
        <w:t>las disposiciones normativas de carácter general contenidas en el Acuerdo.</w:t>
      </w:r>
      <w:r w:rsidR="00AC5406" w:rsidRPr="00AC3626">
        <w:rPr>
          <w:rFonts w:ascii="Arial" w:eastAsia="Times New Roman" w:hAnsi="Arial" w:cs="Arial"/>
          <w:b/>
          <w:kern w:val="2"/>
          <w:sz w:val="22"/>
          <w:szCs w:val="22"/>
          <w:lang w:eastAsia="ar-SA"/>
        </w:rPr>
        <w:t xml:space="preserve"> </w:t>
      </w:r>
      <w:r w:rsidR="00CF32AC" w:rsidRPr="00AC3626">
        <w:rPr>
          <w:rFonts w:ascii="Arial" w:eastAsia="Times New Roman" w:hAnsi="Arial" w:cs="Arial"/>
          <w:kern w:val="2"/>
          <w:sz w:val="22"/>
          <w:szCs w:val="22"/>
          <w:lang w:eastAsia="ar-SA"/>
        </w:rPr>
        <w:t xml:space="preserve">De conformidad con </w:t>
      </w:r>
      <w:r w:rsidR="00D0757D">
        <w:rPr>
          <w:rFonts w:ascii="Arial" w:eastAsia="Times New Roman" w:hAnsi="Arial" w:cs="Arial"/>
          <w:kern w:val="2"/>
          <w:sz w:val="22"/>
          <w:szCs w:val="22"/>
          <w:lang w:eastAsia="ar-SA"/>
        </w:rPr>
        <w:t>lo establecido e</w:t>
      </w:r>
      <w:r w:rsidR="00CF32AC" w:rsidRPr="00AC3626">
        <w:rPr>
          <w:rFonts w:ascii="Arial" w:eastAsia="Times New Roman" w:hAnsi="Arial" w:cs="Arial"/>
          <w:kern w:val="2"/>
          <w:sz w:val="22"/>
          <w:szCs w:val="22"/>
          <w:lang w:eastAsia="ar-SA"/>
        </w:rPr>
        <w:t xml:space="preserve">n el punto número 2 del Considerando Cuarto del Acuerdo, la agrupación de todos los NIR que inicien con el mismo primer dígito para </w:t>
      </w:r>
      <w:r w:rsidR="00F95FD6" w:rsidRPr="00AC3626">
        <w:rPr>
          <w:rFonts w:ascii="Arial" w:eastAsia="Times New Roman" w:hAnsi="Arial" w:cs="Arial"/>
          <w:kern w:val="2"/>
          <w:sz w:val="22"/>
          <w:szCs w:val="22"/>
          <w:lang w:eastAsia="ar-SA"/>
        </w:rPr>
        <w:t xml:space="preserve">crear 8 zonas con el objeto de asignar y administrar </w:t>
      </w:r>
      <w:r w:rsidR="00CF32AC" w:rsidRPr="00AC3626">
        <w:rPr>
          <w:rFonts w:ascii="Arial" w:eastAsia="Times New Roman" w:hAnsi="Arial" w:cs="Arial"/>
          <w:kern w:val="2"/>
          <w:sz w:val="22"/>
          <w:szCs w:val="22"/>
          <w:lang w:eastAsia="ar-SA"/>
        </w:rPr>
        <w:t>la numeración nacional</w:t>
      </w:r>
      <w:r w:rsidR="00F95FD6" w:rsidRPr="00AC3626">
        <w:rPr>
          <w:rFonts w:ascii="Arial" w:eastAsia="Times New Roman" w:hAnsi="Arial" w:cs="Arial"/>
          <w:kern w:val="2"/>
          <w:sz w:val="22"/>
          <w:szCs w:val="22"/>
          <w:lang w:eastAsia="ar-SA"/>
        </w:rPr>
        <w:t>,</w:t>
      </w:r>
      <w:r w:rsidR="00CF32AC" w:rsidRPr="00AC3626">
        <w:rPr>
          <w:rFonts w:ascii="Arial" w:eastAsia="Times New Roman" w:hAnsi="Arial" w:cs="Arial"/>
          <w:kern w:val="2"/>
          <w:sz w:val="22"/>
          <w:szCs w:val="22"/>
          <w:lang w:eastAsia="ar-SA"/>
        </w:rPr>
        <w:t xml:space="preserve"> tiene como objetivo que en el corto plazo se maximice y se garantice la d</w:t>
      </w:r>
      <w:r w:rsidR="00F95FD6" w:rsidRPr="00AC3626">
        <w:rPr>
          <w:rFonts w:ascii="Arial" w:eastAsia="Times New Roman" w:hAnsi="Arial" w:cs="Arial"/>
          <w:kern w:val="2"/>
          <w:sz w:val="22"/>
          <w:szCs w:val="22"/>
          <w:lang w:eastAsia="ar-SA"/>
        </w:rPr>
        <w:t xml:space="preserve">isponibilidad de estos recursos para la prestación de servicios de telecomunicaciones por parte de los PST. Asimismo, con la creación de estas zonas se asignará más eficientemente la numeración. No obstante lo anterior y </w:t>
      </w:r>
      <w:r w:rsidR="00185614" w:rsidRPr="00AC3626">
        <w:rPr>
          <w:rFonts w:ascii="Arial" w:eastAsia="Times New Roman" w:hAnsi="Arial" w:cs="Arial"/>
          <w:kern w:val="2"/>
          <w:sz w:val="22"/>
          <w:szCs w:val="22"/>
          <w:lang w:eastAsia="ar-SA"/>
        </w:rPr>
        <w:t xml:space="preserve">analizando </w:t>
      </w:r>
      <w:r w:rsidR="00F95FD6" w:rsidRPr="00AC3626">
        <w:rPr>
          <w:rFonts w:ascii="Arial" w:eastAsia="Times New Roman" w:hAnsi="Arial" w:cs="Arial"/>
          <w:kern w:val="2"/>
          <w:sz w:val="22"/>
          <w:szCs w:val="22"/>
          <w:lang w:eastAsia="ar-SA"/>
        </w:rPr>
        <w:t>lo solicitado por los PST</w:t>
      </w:r>
      <w:r w:rsidR="00185614" w:rsidRPr="00AC3626">
        <w:rPr>
          <w:rFonts w:ascii="Arial" w:eastAsia="Times New Roman" w:hAnsi="Arial" w:cs="Arial"/>
          <w:kern w:val="2"/>
          <w:sz w:val="22"/>
          <w:szCs w:val="22"/>
          <w:lang w:eastAsia="ar-SA"/>
        </w:rPr>
        <w:t>, este Instituto considera viable diferir la entrada en vigor de la administración y asignación de la numeración nacional al 1 de febrero de 2022, en virtud de que durante este periodo es posible habilitar un nuevo NIR en las zonas que reporten agotamiento en la disponibilidad de numeración</w:t>
      </w:r>
      <w:r w:rsidR="00D15796" w:rsidRPr="00AC3626">
        <w:rPr>
          <w:rFonts w:ascii="Arial" w:eastAsia="Times New Roman" w:hAnsi="Arial" w:cs="Arial"/>
          <w:kern w:val="2"/>
          <w:sz w:val="22"/>
          <w:szCs w:val="22"/>
          <w:lang w:eastAsia="ar-SA"/>
        </w:rPr>
        <w:t xml:space="preserve">, tal y como </w:t>
      </w:r>
      <w:r w:rsidR="00D0757D">
        <w:rPr>
          <w:rFonts w:ascii="Arial" w:eastAsia="Times New Roman" w:hAnsi="Arial" w:cs="Arial"/>
          <w:kern w:val="2"/>
          <w:sz w:val="22"/>
          <w:szCs w:val="22"/>
          <w:lang w:eastAsia="ar-SA"/>
        </w:rPr>
        <w:t xml:space="preserve">ya </w:t>
      </w:r>
      <w:r w:rsidR="00D15796" w:rsidRPr="00AC3626">
        <w:rPr>
          <w:rFonts w:ascii="Arial" w:eastAsia="Times New Roman" w:hAnsi="Arial" w:cs="Arial"/>
          <w:kern w:val="2"/>
          <w:sz w:val="22"/>
          <w:szCs w:val="22"/>
          <w:lang w:eastAsia="ar-SA"/>
        </w:rPr>
        <w:t xml:space="preserve">se llevó a cabo en las áreas geográficas asociadas a los NIR 222 (Puebla), 722 (Toluca), 55 (Ciudad de México), </w:t>
      </w:r>
      <w:r w:rsidR="009D0F11" w:rsidRPr="00AC3626">
        <w:rPr>
          <w:rFonts w:ascii="Arial" w:eastAsia="Times New Roman" w:hAnsi="Arial" w:cs="Arial"/>
          <w:kern w:val="2"/>
          <w:sz w:val="22"/>
          <w:szCs w:val="22"/>
          <w:lang w:eastAsia="ar-SA"/>
        </w:rPr>
        <w:t>664 (Tijuana) y 477</w:t>
      </w:r>
      <w:r w:rsidR="00D15796" w:rsidRPr="00AC3626">
        <w:rPr>
          <w:rFonts w:ascii="Arial" w:eastAsia="Times New Roman" w:hAnsi="Arial" w:cs="Arial"/>
          <w:kern w:val="2"/>
          <w:sz w:val="22"/>
          <w:szCs w:val="22"/>
          <w:lang w:eastAsia="ar-SA"/>
        </w:rPr>
        <w:t xml:space="preserve"> (León). Adicionalmente, la aprobación de este diferimiento</w:t>
      </w:r>
      <w:r w:rsidR="000222BA" w:rsidRPr="00AC3626">
        <w:rPr>
          <w:rFonts w:ascii="Arial" w:eastAsia="Times New Roman" w:hAnsi="Arial" w:cs="Arial"/>
          <w:kern w:val="2"/>
          <w:sz w:val="22"/>
          <w:szCs w:val="22"/>
          <w:lang w:eastAsia="ar-SA"/>
        </w:rPr>
        <w:t xml:space="preserve"> garantiza el correcto y eficiente enrutamiento de las llamadas cursadas a través de las diversas redes públicas de telecomunicaciones que operan en nuestro país con tecnología TDM y </w:t>
      </w:r>
      <w:r w:rsidR="00D15796" w:rsidRPr="00AC3626">
        <w:rPr>
          <w:rFonts w:ascii="Arial" w:eastAsia="Times New Roman" w:hAnsi="Arial" w:cs="Arial"/>
          <w:kern w:val="2"/>
          <w:sz w:val="22"/>
          <w:szCs w:val="22"/>
          <w:lang w:eastAsia="ar-SA"/>
        </w:rPr>
        <w:t xml:space="preserve"> </w:t>
      </w:r>
      <w:r w:rsidR="000222BA" w:rsidRPr="00AC3626">
        <w:rPr>
          <w:rFonts w:ascii="Arial" w:eastAsia="Times New Roman" w:hAnsi="Arial" w:cs="Arial"/>
          <w:kern w:val="2"/>
          <w:sz w:val="22"/>
          <w:szCs w:val="22"/>
          <w:lang w:eastAsia="ar-SA"/>
        </w:rPr>
        <w:t>reduce</w:t>
      </w:r>
      <w:r w:rsidR="00D15796" w:rsidRPr="00AC3626">
        <w:rPr>
          <w:rFonts w:ascii="Arial" w:eastAsia="Times New Roman" w:hAnsi="Arial" w:cs="Arial"/>
          <w:kern w:val="2"/>
          <w:sz w:val="22"/>
          <w:szCs w:val="22"/>
          <w:lang w:eastAsia="ar-SA"/>
        </w:rPr>
        <w:t xml:space="preserve"> la probabilidad de saturar la capacidad de equipos de conmutación basados en tecnología TDM</w:t>
      </w:r>
      <w:r w:rsidR="00CB6762" w:rsidRPr="00AC3626">
        <w:rPr>
          <w:rFonts w:ascii="Arial" w:eastAsia="Times New Roman" w:hAnsi="Arial" w:cs="Arial"/>
          <w:kern w:val="2"/>
          <w:sz w:val="22"/>
          <w:szCs w:val="22"/>
          <w:lang w:eastAsia="ar-SA"/>
        </w:rPr>
        <w:t>, en los cuales</w:t>
      </w:r>
      <w:r w:rsidR="00D15796" w:rsidRPr="00AC3626">
        <w:rPr>
          <w:rFonts w:ascii="Arial" w:eastAsia="Times New Roman" w:hAnsi="Arial" w:cs="Arial"/>
          <w:kern w:val="2"/>
          <w:sz w:val="22"/>
          <w:szCs w:val="22"/>
          <w:lang w:eastAsia="ar-SA"/>
        </w:rPr>
        <w:t xml:space="preserve"> </w:t>
      </w:r>
      <w:r w:rsidR="00CB6762" w:rsidRPr="00AC3626">
        <w:rPr>
          <w:rFonts w:ascii="Arial" w:eastAsia="Times New Roman" w:hAnsi="Arial" w:cs="Arial"/>
          <w:kern w:val="2"/>
          <w:sz w:val="22"/>
          <w:szCs w:val="22"/>
          <w:lang w:eastAsia="ar-SA"/>
        </w:rPr>
        <w:t>deberían</w:t>
      </w:r>
      <w:r w:rsidR="00D15796" w:rsidRPr="00AC3626">
        <w:rPr>
          <w:rFonts w:ascii="Arial" w:eastAsia="Times New Roman" w:hAnsi="Arial" w:cs="Arial"/>
          <w:kern w:val="2"/>
          <w:sz w:val="22"/>
          <w:szCs w:val="22"/>
          <w:lang w:eastAsia="ar-SA"/>
        </w:rPr>
        <w:t xml:space="preserve"> habilitar</w:t>
      </w:r>
      <w:r w:rsidR="00CB6762" w:rsidRPr="00AC3626">
        <w:rPr>
          <w:rFonts w:ascii="Arial" w:eastAsia="Times New Roman" w:hAnsi="Arial" w:cs="Arial"/>
          <w:kern w:val="2"/>
          <w:sz w:val="22"/>
          <w:szCs w:val="22"/>
          <w:lang w:eastAsia="ar-SA"/>
        </w:rPr>
        <w:t>se</w:t>
      </w:r>
      <w:r w:rsidR="00D15796" w:rsidRPr="00AC3626">
        <w:rPr>
          <w:rFonts w:ascii="Arial" w:eastAsia="Times New Roman" w:hAnsi="Arial" w:cs="Arial"/>
          <w:kern w:val="2"/>
          <w:sz w:val="22"/>
          <w:szCs w:val="22"/>
          <w:lang w:eastAsia="ar-SA"/>
        </w:rPr>
        <w:t xml:space="preserve"> todas las rutas</w:t>
      </w:r>
      <w:r w:rsidR="00CB6762" w:rsidRPr="00AC3626">
        <w:rPr>
          <w:rFonts w:ascii="Arial" w:eastAsia="Times New Roman" w:hAnsi="Arial" w:cs="Arial"/>
          <w:kern w:val="2"/>
          <w:sz w:val="22"/>
          <w:szCs w:val="22"/>
          <w:lang w:eastAsia="ar-SA"/>
        </w:rPr>
        <w:t xml:space="preserve"> asociadas a los NIR que conformen la zona que atiendan</w:t>
      </w:r>
      <w:r w:rsidR="00D15796" w:rsidRPr="00AC3626">
        <w:rPr>
          <w:rFonts w:ascii="Arial" w:eastAsia="Times New Roman" w:hAnsi="Arial" w:cs="Arial"/>
          <w:kern w:val="2"/>
          <w:sz w:val="22"/>
          <w:szCs w:val="22"/>
          <w:lang w:eastAsia="ar-SA"/>
        </w:rPr>
        <w:t xml:space="preserve">, </w:t>
      </w:r>
      <w:r w:rsidR="00CB6762" w:rsidRPr="00AC3626">
        <w:rPr>
          <w:rFonts w:ascii="Arial" w:eastAsia="Times New Roman" w:hAnsi="Arial" w:cs="Arial"/>
          <w:kern w:val="2"/>
          <w:sz w:val="22"/>
          <w:szCs w:val="22"/>
          <w:lang w:eastAsia="ar-SA"/>
        </w:rPr>
        <w:t xml:space="preserve">situación técnicamente compleja considerando el desfase tecnológico de TDM por parte de los </w:t>
      </w:r>
      <w:r w:rsidR="000222BA" w:rsidRPr="00AC3626">
        <w:rPr>
          <w:rFonts w:ascii="Arial" w:eastAsia="Times New Roman" w:hAnsi="Arial" w:cs="Arial"/>
          <w:kern w:val="2"/>
          <w:sz w:val="22"/>
          <w:szCs w:val="22"/>
          <w:lang w:eastAsia="ar-SA"/>
        </w:rPr>
        <w:t>fabricantes</w:t>
      </w:r>
      <w:r w:rsidR="00CB6762" w:rsidRPr="00AC3626">
        <w:rPr>
          <w:rFonts w:ascii="Arial" w:eastAsia="Times New Roman" w:hAnsi="Arial" w:cs="Arial"/>
          <w:kern w:val="2"/>
          <w:sz w:val="22"/>
          <w:szCs w:val="22"/>
          <w:lang w:eastAsia="ar-SA"/>
        </w:rPr>
        <w:t xml:space="preserve"> de equipos.</w:t>
      </w:r>
      <w:r w:rsidR="00185614" w:rsidRPr="00AC3626">
        <w:rPr>
          <w:rFonts w:ascii="Arial" w:eastAsia="Times New Roman" w:hAnsi="Arial" w:cs="Arial"/>
          <w:kern w:val="2"/>
          <w:sz w:val="22"/>
          <w:szCs w:val="22"/>
          <w:lang w:eastAsia="ar-SA"/>
        </w:rPr>
        <w:t xml:space="preserve"> </w:t>
      </w:r>
      <w:r w:rsidR="00CF32AC" w:rsidRPr="00AC3626">
        <w:rPr>
          <w:rFonts w:ascii="Arial" w:eastAsia="Times New Roman" w:hAnsi="Arial" w:cs="Arial"/>
          <w:kern w:val="2"/>
          <w:sz w:val="22"/>
          <w:szCs w:val="22"/>
          <w:lang w:eastAsia="ar-SA"/>
        </w:rPr>
        <w:t xml:space="preserve"> </w:t>
      </w:r>
    </w:p>
    <w:p w14:paraId="7C0549D0" w14:textId="77777777" w:rsidR="00FC5D16" w:rsidRPr="00AC3626" w:rsidRDefault="00FC5D16" w:rsidP="008C7514">
      <w:pPr>
        <w:jc w:val="both"/>
        <w:rPr>
          <w:rFonts w:ascii="Arial" w:eastAsia="Times New Roman" w:hAnsi="Arial" w:cs="Arial"/>
          <w:b/>
          <w:kern w:val="2"/>
          <w:sz w:val="22"/>
          <w:szCs w:val="22"/>
          <w:lang w:eastAsia="ar-SA"/>
        </w:rPr>
      </w:pPr>
    </w:p>
    <w:p w14:paraId="71ED99FC" w14:textId="38894571" w:rsidR="00BE0503" w:rsidRDefault="004E3A83" w:rsidP="008C7514">
      <w:pPr>
        <w:jc w:val="both"/>
        <w:rPr>
          <w:rFonts w:ascii="Arial" w:eastAsia="Times New Roman" w:hAnsi="Arial" w:cs="Arial"/>
          <w:kern w:val="2"/>
          <w:sz w:val="22"/>
          <w:szCs w:val="22"/>
          <w:lang w:eastAsia="ar-SA"/>
        </w:rPr>
      </w:pPr>
      <w:r w:rsidRPr="00AC3626">
        <w:rPr>
          <w:rFonts w:ascii="Arial" w:eastAsia="Times New Roman" w:hAnsi="Arial" w:cs="Arial"/>
          <w:kern w:val="2"/>
          <w:sz w:val="22"/>
          <w:szCs w:val="22"/>
          <w:lang w:eastAsia="ar-SA"/>
        </w:rPr>
        <w:t xml:space="preserve">Por otra parte, </w:t>
      </w:r>
      <w:r w:rsidR="002E79D3" w:rsidRPr="00AC3626">
        <w:rPr>
          <w:rFonts w:ascii="Arial" w:eastAsia="Times New Roman" w:hAnsi="Arial" w:cs="Arial"/>
          <w:kern w:val="2"/>
          <w:sz w:val="22"/>
          <w:szCs w:val="22"/>
          <w:lang w:eastAsia="ar-SA"/>
        </w:rPr>
        <w:t xml:space="preserve">resulta relevante señalar que con la finalidad de que este Instituto implemente los nuevos trámites y criterios de asignación de los recursos de numeración y señalización contemplados en los planes técnicos fundamentales de numeración y señalización, así como en las Reglas de Portabilidad </w:t>
      </w:r>
      <w:r w:rsidR="002E79D3" w:rsidRPr="00D679F7">
        <w:rPr>
          <w:rFonts w:ascii="Arial" w:eastAsia="Times New Roman" w:hAnsi="Arial" w:cs="Arial"/>
          <w:kern w:val="2"/>
          <w:sz w:val="22"/>
          <w:szCs w:val="22"/>
          <w:lang w:eastAsia="ar-SA"/>
        </w:rPr>
        <w:t>Numérica</w:t>
      </w:r>
      <w:r w:rsidR="001665CD">
        <w:rPr>
          <w:rFonts w:ascii="Arial" w:eastAsia="Times New Roman" w:hAnsi="Arial" w:cs="Arial"/>
          <w:kern w:val="2"/>
          <w:sz w:val="22"/>
          <w:szCs w:val="22"/>
          <w:lang w:eastAsia="ar-SA"/>
        </w:rPr>
        <w:t>,</w:t>
      </w:r>
      <w:r w:rsidR="002E79D3" w:rsidRPr="00D679F7">
        <w:rPr>
          <w:rFonts w:ascii="Arial" w:eastAsia="Times New Roman" w:hAnsi="Arial" w:cs="Arial"/>
          <w:kern w:val="2"/>
          <w:sz w:val="22"/>
          <w:szCs w:val="22"/>
          <w:lang w:eastAsia="ar-SA"/>
        </w:rPr>
        <w:t xml:space="preserve"> es necesario llevar a cabo</w:t>
      </w:r>
      <w:r w:rsidR="002E79D3" w:rsidRPr="00AC3626">
        <w:rPr>
          <w:rFonts w:ascii="Arial" w:eastAsia="Times New Roman" w:hAnsi="Arial" w:cs="Arial"/>
          <w:kern w:val="2"/>
          <w:sz w:val="22"/>
          <w:szCs w:val="22"/>
          <w:lang w:eastAsia="ar-SA"/>
        </w:rPr>
        <w:t xml:space="preserve"> modificaciones al Sistema de Numeración y Señalización y desarrollar un Sistema Electrónico para la </w:t>
      </w:r>
      <w:r w:rsidR="00666461" w:rsidRPr="00AC3626">
        <w:rPr>
          <w:rFonts w:ascii="Arial" w:eastAsia="Times New Roman" w:hAnsi="Arial" w:cs="Arial"/>
          <w:kern w:val="2"/>
          <w:sz w:val="22"/>
          <w:szCs w:val="22"/>
          <w:lang w:eastAsia="ar-SA"/>
        </w:rPr>
        <w:t xml:space="preserve">recepción y </w:t>
      </w:r>
      <w:r w:rsidR="002E79D3" w:rsidRPr="00AC3626">
        <w:rPr>
          <w:rFonts w:ascii="Arial" w:eastAsia="Times New Roman" w:hAnsi="Arial" w:cs="Arial"/>
          <w:kern w:val="2"/>
          <w:sz w:val="22"/>
          <w:szCs w:val="22"/>
          <w:lang w:eastAsia="ar-SA"/>
        </w:rPr>
        <w:t>gestión de los trámites aplicables.</w:t>
      </w:r>
      <w:r w:rsidR="002E79D3" w:rsidRPr="00AC3626">
        <w:rPr>
          <w:rFonts w:ascii="Arial" w:eastAsia="Times New Roman" w:hAnsi="Arial" w:cs="Arial"/>
          <w:b/>
          <w:kern w:val="2"/>
          <w:sz w:val="22"/>
          <w:szCs w:val="22"/>
          <w:lang w:eastAsia="ar-SA"/>
        </w:rPr>
        <w:t xml:space="preserve"> </w:t>
      </w:r>
      <w:r w:rsidR="002E79D3" w:rsidRPr="00AC3626">
        <w:rPr>
          <w:rFonts w:ascii="Arial" w:eastAsia="Times New Roman" w:hAnsi="Arial" w:cs="Arial"/>
          <w:kern w:val="2"/>
          <w:sz w:val="22"/>
          <w:szCs w:val="22"/>
          <w:lang w:eastAsia="ar-SA"/>
        </w:rPr>
        <w:t xml:space="preserve">En este sentido, </w:t>
      </w:r>
      <w:r w:rsidRPr="00AC3626">
        <w:rPr>
          <w:rFonts w:ascii="Arial" w:eastAsia="Times New Roman" w:hAnsi="Arial" w:cs="Arial"/>
          <w:kern w:val="2"/>
          <w:sz w:val="22"/>
          <w:szCs w:val="22"/>
          <w:lang w:eastAsia="ar-SA"/>
        </w:rPr>
        <w:t>al diferir la entrada en vigor de los</w:t>
      </w:r>
      <w:r w:rsidR="00BE0503" w:rsidRPr="00AC3626">
        <w:rPr>
          <w:rFonts w:ascii="Arial" w:eastAsia="Times New Roman" w:hAnsi="Arial" w:cs="Arial"/>
          <w:kern w:val="2"/>
          <w:sz w:val="22"/>
          <w:szCs w:val="22"/>
          <w:lang w:eastAsia="ar-SA"/>
        </w:rPr>
        <w:t xml:space="preserve"> criterios y</w:t>
      </w:r>
      <w:r w:rsidRPr="00AC3626">
        <w:rPr>
          <w:rFonts w:ascii="Arial" w:eastAsia="Times New Roman" w:hAnsi="Arial" w:cs="Arial"/>
          <w:kern w:val="2"/>
          <w:sz w:val="22"/>
          <w:szCs w:val="22"/>
          <w:lang w:eastAsia="ar-SA"/>
        </w:rPr>
        <w:t xml:space="preserve"> procedimientos de a</w:t>
      </w:r>
      <w:r w:rsidR="00177DC3" w:rsidRPr="00AC3626">
        <w:rPr>
          <w:rFonts w:ascii="Arial" w:eastAsia="Times New Roman" w:hAnsi="Arial" w:cs="Arial"/>
          <w:kern w:val="2"/>
          <w:sz w:val="22"/>
          <w:szCs w:val="22"/>
          <w:lang w:eastAsia="ar-SA"/>
        </w:rPr>
        <w:t xml:space="preserve">dministración </w:t>
      </w:r>
      <w:r w:rsidRPr="00AC3626">
        <w:rPr>
          <w:rFonts w:ascii="Arial" w:eastAsia="Times New Roman" w:hAnsi="Arial" w:cs="Arial"/>
          <w:kern w:val="2"/>
          <w:sz w:val="22"/>
          <w:szCs w:val="22"/>
          <w:lang w:eastAsia="ar-SA"/>
        </w:rPr>
        <w:t xml:space="preserve">y </w:t>
      </w:r>
      <w:r w:rsidR="00177DC3" w:rsidRPr="00AC3626">
        <w:rPr>
          <w:rFonts w:ascii="Arial" w:eastAsia="Times New Roman" w:hAnsi="Arial" w:cs="Arial"/>
          <w:kern w:val="2"/>
          <w:sz w:val="22"/>
          <w:szCs w:val="22"/>
          <w:lang w:eastAsia="ar-SA"/>
        </w:rPr>
        <w:t xml:space="preserve">asignación </w:t>
      </w:r>
      <w:r w:rsidRPr="00AC3626">
        <w:rPr>
          <w:rFonts w:ascii="Arial" w:eastAsia="Times New Roman" w:hAnsi="Arial" w:cs="Arial"/>
          <w:kern w:val="2"/>
          <w:sz w:val="22"/>
          <w:szCs w:val="22"/>
          <w:lang w:eastAsia="ar-SA"/>
        </w:rPr>
        <w:t xml:space="preserve">de numeración por zonas, </w:t>
      </w:r>
      <w:r w:rsidR="00BE0503" w:rsidRPr="00AC3626">
        <w:rPr>
          <w:rFonts w:ascii="Arial" w:eastAsia="Times New Roman" w:hAnsi="Arial" w:cs="Arial"/>
          <w:kern w:val="2"/>
          <w:sz w:val="22"/>
          <w:szCs w:val="22"/>
          <w:lang w:eastAsia="ar-SA"/>
        </w:rPr>
        <w:t xml:space="preserve">técnica y económicamente </w:t>
      </w:r>
      <w:r w:rsidR="00AC3626">
        <w:rPr>
          <w:rFonts w:ascii="Arial" w:eastAsia="Times New Roman" w:hAnsi="Arial" w:cs="Arial"/>
          <w:kern w:val="2"/>
          <w:sz w:val="22"/>
          <w:szCs w:val="22"/>
          <w:lang w:eastAsia="ar-SA"/>
        </w:rPr>
        <w:t xml:space="preserve">resulta </w:t>
      </w:r>
      <w:r w:rsidR="00BE0503" w:rsidRPr="00AC3626">
        <w:rPr>
          <w:rFonts w:ascii="Arial" w:eastAsia="Times New Roman" w:hAnsi="Arial" w:cs="Arial"/>
          <w:kern w:val="2"/>
          <w:sz w:val="22"/>
          <w:szCs w:val="22"/>
          <w:lang w:eastAsia="ar-SA"/>
        </w:rPr>
        <w:t>innecesario modificar el Sistema de Numeración y Señalización y desarrollar el Sistema Electrónico de gestión de trámites en dos etapas, la primera bajo los procedimientos vigentes y que entraría en vigor el 3 de agosto de 2019 y la segunda bajo los procedimientos definidos en el Acuerdo, los cuales entrarán en vigor el 1</w:t>
      </w:r>
      <w:r w:rsidR="00DB5252">
        <w:rPr>
          <w:rFonts w:ascii="Arial" w:eastAsia="Times New Roman" w:hAnsi="Arial" w:cs="Arial"/>
          <w:kern w:val="2"/>
          <w:sz w:val="22"/>
          <w:szCs w:val="22"/>
          <w:lang w:eastAsia="ar-SA"/>
        </w:rPr>
        <w:t>º</w:t>
      </w:r>
      <w:r w:rsidR="00BE0503" w:rsidRPr="00AC3626">
        <w:rPr>
          <w:rFonts w:ascii="Arial" w:eastAsia="Times New Roman" w:hAnsi="Arial" w:cs="Arial"/>
          <w:kern w:val="2"/>
          <w:sz w:val="22"/>
          <w:szCs w:val="22"/>
          <w:lang w:eastAsia="ar-SA"/>
        </w:rPr>
        <w:t xml:space="preserve"> de febrero de 2022.</w:t>
      </w:r>
      <w:r w:rsidR="002E79D3" w:rsidRPr="00AC3626">
        <w:rPr>
          <w:rFonts w:ascii="Arial" w:eastAsia="Times New Roman" w:hAnsi="Arial" w:cs="Arial"/>
          <w:kern w:val="2"/>
          <w:sz w:val="22"/>
          <w:szCs w:val="22"/>
          <w:lang w:eastAsia="ar-SA"/>
        </w:rPr>
        <w:t xml:space="preserve"> Por este motivo, es necesario diferir de igual forma la entrada en vigor de los trámites </w:t>
      </w:r>
      <w:r w:rsidR="00666461" w:rsidRPr="00AC3626">
        <w:rPr>
          <w:rFonts w:ascii="Arial" w:eastAsia="Times New Roman" w:hAnsi="Arial" w:cs="Arial"/>
          <w:kern w:val="2"/>
          <w:sz w:val="22"/>
          <w:szCs w:val="22"/>
          <w:lang w:eastAsia="ar-SA"/>
        </w:rPr>
        <w:t>que de conformidad con el Acuerdo se realizarán</w:t>
      </w:r>
      <w:r w:rsidR="002E79D3" w:rsidRPr="00AC3626">
        <w:rPr>
          <w:rFonts w:ascii="Arial" w:eastAsia="Times New Roman" w:hAnsi="Arial" w:cs="Arial"/>
          <w:kern w:val="2"/>
          <w:sz w:val="22"/>
          <w:szCs w:val="22"/>
          <w:lang w:eastAsia="ar-SA"/>
        </w:rPr>
        <w:t xml:space="preserve"> a través del Sistema Electrónico</w:t>
      </w:r>
      <w:r w:rsidR="00666461" w:rsidRPr="00AC3626">
        <w:rPr>
          <w:rFonts w:ascii="Arial" w:eastAsia="Times New Roman" w:hAnsi="Arial" w:cs="Arial"/>
          <w:kern w:val="2"/>
          <w:sz w:val="22"/>
          <w:szCs w:val="22"/>
          <w:lang w:eastAsia="ar-SA"/>
        </w:rPr>
        <w:t>.</w:t>
      </w:r>
    </w:p>
    <w:p w14:paraId="43394844" w14:textId="77777777" w:rsidR="00F577A3" w:rsidRDefault="00F577A3" w:rsidP="008C7514">
      <w:pPr>
        <w:jc w:val="both"/>
        <w:rPr>
          <w:rFonts w:ascii="Arial" w:eastAsia="Times New Roman" w:hAnsi="Arial" w:cs="Arial"/>
          <w:kern w:val="2"/>
          <w:sz w:val="22"/>
          <w:szCs w:val="22"/>
          <w:lang w:eastAsia="ar-SA"/>
        </w:rPr>
      </w:pPr>
    </w:p>
    <w:p w14:paraId="07962BF4" w14:textId="5B312A31" w:rsidR="00F577A3" w:rsidRPr="001665CD" w:rsidRDefault="00F577A3" w:rsidP="008C7514">
      <w:pPr>
        <w:jc w:val="both"/>
        <w:rPr>
          <w:rFonts w:ascii="Arial" w:eastAsia="Times New Roman" w:hAnsi="Arial" w:cs="Arial"/>
          <w:kern w:val="2"/>
          <w:sz w:val="22"/>
          <w:szCs w:val="22"/>
          <w:lang w:eastAsia="ar-SA"/>
        </w:rPr>
      </w:pPr>
      <w:r w:rsidRPr="0049437A">
        <w:rPr>
          <w:rFonts w:ascii="Arial" w:eastAsia="Times New Roman" w:hAnsi="Arial" w:cs="Arial"/>
          <w:kern w:val="2"/>
          <w:sz w:val="22"/>
          <w:szCs w:val="22"/>
          <w:lang w:eastAsia="ar-SA"/>
        </w:rPr>
        <w:t>En lo que respecta a la solicitud para que los concesionaros cuenten con un periodo de convivencia entre los formatos para el intercambio de dígitos del número de “B”</w:t>
      </w:r>
      <w:r w:rsidR="001133DE" w:rsidRPr="0049437A">
        <w:rPr>
          <w:rFonts w:ascii="Arial" w:eastAsia="Times New Roman" w:hAnsi="Arial" w:cs="Arial"/>
          <w:kern w:val="2"/>
          <w:sz w:val="22"/>
          <w:szCs w:val="22"/>
          <w:lang w:eastAsia="ar-SA"/>
        </w:rPr>
        <w:t xml:space="preserve"> aplicables a la fecha y los que entrarán en vigor el 3 de agosto de 2019, este Instituto considera procedente permitir que los concesionarios</w:t>
      </w:r>
      <w:r w:rsidR="00EA24BA" w:rsidRPr="0049437A">
        <w:rPr>
          <w:rFonts w:ascii="Arial" w:eastAsia="Times New Roman" w:hAnsi="Arial" w:cs="Arial"/>
          <w:kern w:val="2"/>
          <w:sz w:val="22"/>
          <w:szCs w:val="22"/>
          <w:lang w:eastAsia="ar-SA"/>
        </w:rPr>
        <w:t xml:space="preserve"> acuerden un periodo de tiempo</w:t>
      </w:r>
      <w:r w:rsidR="001A1806" w:rsidRPr="0049437A">
        <w:rPr>
          <w:rFonts w:ascii="Arial" w:eastAsia="Times New Roman" w:hAnsi="Arial" w:cs="Arial"/>
          <w:kern w:val="2"/>
          <w:sz w:val="22"/>
          <w:szCs w:val="22"/>
          <w:lang w:eastAsia="ar-SA"/>
        </w:rPr>
        <w:t xml:space="preserve"> determinado</w:t>
      </w:r>
      <w:r w:rsidR="001133DE" w:rsidRPr="0049437A">
        <w:rPr>
          <w:rFonts w:ascii="Arial" w:eastAsia="Times New Roman" w:hAnsi="Arial" w:cs="Arial"/>
          <w:kern w:val="2"/>
          <w:sz w:val="22"/>
          <w:szCs w:val="22"/>
          <w:lang w:eastAsia="ar-SA"/>
        </w:rPr>
        <w:t xml:space="preserve"> </w:t>
      </w:r>
      <w:r w:rsidR="00EA24BA" w:rsidRPr="0049437A">
        <w:rPr>
          <w:rFonts w:ascii="Arial" w:eastAsia="Times New Roman" w:hAnsi="Arial" w:cs="Arial"/>
          <w:kern w:val="2"/>
          <w:sz w:val="22"/>
          <w:szCs w:val="22"/>
          <w:lang w:eastAsia="ar-SA"/>
        </w:rPr>
        <w:t>para llevar</w:t>
      </w:r>
      <w:r w:rsidR="001133DE" w:rsidRPr="0049437A">
        <w:rPr>
          <w:rFonts w:ascii="Arial" w:eastAsia="Times New Roman" w:hAnsi="Arial" w:cs="Arial"/>
          <w:kern w:val="2"/>
          <w:sz w:val="22"/>
          <w:szCs w:val="22"/>
          <w:lang w:eastAsia="ar-SA"/>
        </w:rPr>
        <w:t xml:space="preserve"> a cabo las pruebas que consideren necesarias en </w:t>
      </w:r>
      <w:r w:rsidR="002309B6" w:rsidRPr="0049437A">
        <w:rPr>
          <w:rFonts w:ascii="Arial" w:eastAsia="Times New Roman" w:hAnsi="Arial" w:cs="Arial"/>
          <w:kern w:val="2"/>
          <w:sz w:val="22"/>
          <w:szCs w:val="22"/>
          <w:lang w:eastAsia="ar-SA"/>
        </w:rPr>
        <w:t xml:space="preserve">la comunicación de </w:t>
      </w:r>
      <w:r w:rsidR="001A1806" w:rsidRPr="0049437A">
        <w:rPr>
          <w:rFonts w:ascii="Arial" w:eastAsia="Times New Roman" w:hAnsi="Arial" w:cs="Arial"/>
          <w:kern w:val="2"/>
          <w:sz w:val="22"/>
          <w:szCs w:val="22"/>
          <w:lang w:eastAsia="ar-SA"/>
        </w:rPr>
        <w:t>los mensajes de</w:t>
      </w:r>
      <w:r w:rsidR="00EA24BA" w:rsidRPr="0049437A">
        <w:rPr>
          <w:rFonts w:ascii="Arial" w:eastAsia="Times New Roman" w:hAnsi="Arial" w:cs="Arial"/>
          <w:kern w:val="2"/>
          <w:sz w:val="22"/>
          <w:szCs w:val="22"/>
          <w:lang w:eastAsia="ar-SA"/>
        </w:rPr>
        <w:t xml:space="preserve"> señalización que intercambian entre sus redes</w:t>
      </w:r>
      <w:r w:rsidR="00D30B3B" w:rsidRPr="0049437A">
        <w:rPr>
          <w:rFonts w:ascii="Arial" w:eastAsia="Times New Roman" w:hAnsi="Arial" w:cs="Arial"/>
          <w:kern w:val="2"/>
          <w:sz w:val="22"/>
          <w:szCs w:val="22"/>
          <w:lang w:eastAsia="ar-SA"/>
        </w:rPr>
        <w:t xml:space="preserve"> públicas de telecomunicaciones</w:t>
      </w:r>
      <w:r w:rsidR="002309B6" w:rsidRPr="0049437A">
        <w:rPr>
          <w:rFonts w:ascii="Arial" w:eastAsia="Times New Roman" w:hAnsi="Arial" w:cs="Arial"/>
          <w:kern w:val="2"/>
          <w:sz w:val="22"/>
          <w:szCs w:val="22"/>
          <w:lang w:eastAsia="ar-SA"/>
        </w:rPr>
        <w:t xml:space="preserve">, en virtud de que con estas acciones se </w:t>
      </w:r>
      <w:r w:rsidR="00A45617" w:rsidRPr="0049437A">
        <w:rPr>
          <w:rFonts w:ascii="Arial" w:eastAsia="Times New Roman" w:hAnsi="Arial" w:cs="Arial"/>
          <w:kern w:val="2"/>
          <w:sz w:val="22"/>
          <w:szCs w:val="22"/>
          <w:lang w:eastAsia="ar-SA"/>
        </w:rPr>
        <w:t>asegurará</w:t>
      </w:r>
      <w:r w:rsidR="002309B6" w:rsidRPr="0049437A">
        <w:rPr>
          <w:rFonts w:ascii="Arial" w:eastAsia="Times New Roman" w:hAnsi="Arial" w:cs="Arial"/>
          <w:kern w:val="2"/>
          <w:sz w:val="22"/>
          <w:szCs w:val="22"/>
          <w:lang w:eastAsia="ar-SA"/>
        </w:rPr>
        <w:t xml:space="preserve"> que la transición hacia los nuevos mensajes de señalización se realizará en tiempo y forma</w:t>
      </w:r>
      <w:r w:rsidR="00D30B3B" w:rsidRPr="0049437A">
        <w:rPr>
          <w:rFonts w:ascii="Arial" w:eastAsia="Times New Roman" w:hAnsi="Arial" w:cs="Arial"/>
          <w:kern w:val="2"/>
          <w:sz w:val="22"/>
          <w:szCs w:val="22"/>
          <w:lang w:eastAsia="ar-SA"/>
        </w:rPr>
        <w:t xml:space="preserve">. Asimismo, se considera conveniente </w:t>
      </w:r>
      <w:r w:rsidR="00F047FE" w:rsidRPr="0049437A">
        <w:rPr>
          <w:rFonts w:ascii="Arial" w:eastAsia="Times New Roman" w:hAnsi="Arial" w:cs="Arial"/>
          <w:kern w:val="2"/>
          <w:sz w:val="22"/>
          <w:szCs w:val="22"/>
          <w:lang w:eastAsia="ar-SA"/>
        </w:rPr>
        <w:t xml:space="preserve">que, en caso de ser técnicamente factible y siempre y cuando se garantice en todo momento la continuidad y calidad de los servicios de </w:t>
      </w:r>
      <w:r w:rsidR="00F047FE" w:rsidRPr="0049437A">
        <w:rPr>
          <w:rFonts w:ascii="Arial" w:eastAsia="Times New Roman" w:hAnsi="Arial" w:cs="Arial"/>
          <w:kern w:val="2"/>
          <w:sz w:val="22"/>
          <w:szCs w:val="22"/>
          <w:lang w:eastAsia="ar-SA"/>
        </w:rPr>
        <w:lastRenderedPageBreak/>
        <w:t xml:space="preserve">telecomunicaciones que se presten a sus usuarios, exista un periodo de convivencia en el cual </w:t>
      </w:r>
      <w:r w:rsidR="00D30B3B" w:rsidRPr="0049437A">
        <w:rPr>
          <w:rFonts w:ascii="Arial" w:eastAsia="Times New Roman" w:hAnsi="Arial" w:cs="Arial"/>
          <w:kern w:val="2"/>
          <w:sz w:val="22"/>
          <w:szCs w:val="22"/>
          <w:lang w:eastAsia="ar-SA"/>
        </w:rPr>
        <w:t>los concesionarios que finalicen exitosamente las pruebas</w:t>
      </w:r>
      <w:r w:rsidR="00F047FE" w:rsidRPr="0049437A">
        <w:rPr>
          <w:rFonts w:ascii="Arial" w:eastAsia="Times New Roman" w:hAnsi="Arial" w:cs="Arial"/>
          <w:kern w:val="2"/>
          <w:sz w:val="22"/>
          <w:szCs w:val="22"/>
          <w:lang w:eastAsia="ar-SA"/>
        </w:rPr>
        <w:t xml:space="preserve"> aplicables adopten definitivamente los nuevos formatos</w:t>
      </w:r>
      <w:r w:rsidR="00D30B3B" w:rsidRPr="0049437A">
        <w:rPr>
          <w:rFonts w:ascii="Arial" w:eastAsia="Times New Roman" w:hAnsi="Arial" w:cs="Arial"/>
          <w:kern w:val="2"/>
          <w:sz w:val="22"/>
          <w:szCs w:val="22"/>
          <w:lang w:eastAsia="ar-SA"/>
        </w:rPr>
        <w:t xml:space="preserve"> </w:t>
      </w:r>
      <w:r w:rsidR="00F047FE" w:rsidRPr="0049437A">
        <w:rPr>
          <w:rFonts w:ascii="Arial" w:eastAsia="Times New Roman" w:hAnsi="Arial" w:cs="Arial"/>
          <w:kern w:val="2"/>
          <w:sz w:val="22"/>
          <w:szCs w:val="22"/>
          <w:lang w:eastAsia="ar-SA"/>
        </w:rPr>
        <w:t xml:space="preserve">para el intercambio de dígitos del número de “B” </w:t>
      </w:r>
      <w:r w:rsidR="00DB5252">
        <w:rPr>
          <w:rFonts w:ascii="Arial" w:eastAsia="Times New Roman" w:hAnsi="Arial" w:cs="Arial"/>
          <w:kern w:val="2"/>
          <w:sz w:val="22"/>
          <w:szCs w:val="22"/>
          <w:lang w:eastAsia="ar-SA"/>
        </w:rPr>
        <w:t>antes del</w:t>
      </w:r>
      <w:r w:rsidR="00F047FE" w:rsidRPr="0049437A">
        <w:rPr>
          <w:rFonts w:ascii="Arial" w:eastAsia="Times New Roman" w:hAnsi="Arial" w:cs="Arial"/>
          <w:kern w:val="2"/>
          <w:sz w:val="22"/>
          <w:szCs w:val="22"/>
          <w:lang w:eastAsia="ar-SA"/>
        </w:rPr>
        <w:t xml:space="preserve"> </w:t>
      </w:r>
      <w:r w:rsidR="001665CD">
        <w:rPr>
          <w:rFonts w:ascii="Arial" w:eastAsia="Times New Roman" w:hAnsi="Arial" w:cs="Arial"/>
          <w:kern w:val="2"/>
          <w:sz w:val="22"/>
          <w:szCs w:val="22"/>
          <w:lang w:eastAsia="ar-SA"/>
        </w:rPr>
        <w:t>3</w:t>
      </w:r>
      <w:r w:rsidR="001665CD" w:rsidRPr="0049437A">
        <w:rPr>
          <w:rFonts w:ascii="Arial" w:eastAsia="Times New Roman" w:hAnsi="Arial" w:cs="Arial"/>
          <w:kern w:val="2"/>
          <w:sz w:val="22"/>
          <w:szCs w:val="22"/>
          <w:lang w:eastAsia="ar-SA"/>
        </w:rPr>
        <w:t xml:space="preserve"> </w:t>
      </w:r>
      <w:r w:rsidR="00F047FE" w:rsidRPr="0049437A">
        <w:rPr>
          <w:rFonts w:ascii="Arial" w:eastAsia="Times New Roman" w:hAnsi="Arial" w:cs="Arial"/>
          <w:kern w:val="2"/>
          <w:sz w:val="22"/>
          <w:szCs w:val="22"/>
          <w:lang w:eastAsia="ar-SA"/>
        </w:rPr>
        <w:t>de agosto de 2019.</w:t>
      </w:r>
      <w:r w:rsidR="002309B6" w:rsidRPr="0049437A">
        <w:rPr>
          <w:rFonts w:ascii="Arial" w:eastAsia="Times New Roman" w:hAnsi="Arial" w:cs="Arial"/>
          <w:kern w:val="2"/>
          <w:sz w:val="22"/>
          <w:szCs w:val="22"/>
          <w:lang w:eastAsia="ar-SA"/>
        </w:rPr>
        <w:t xml:space="preserve"> De esta forma, la migración hacia los nuevos mensajes de señalización se efectuará de una forma más gradual, transparente y ordenada. </w:t>
      </w:r>
    </w:p>
    <w:p w14:paraId="2720DB8D" w14:textId="77777777" w:rsidR="001E7323" w:rsidRPr="00AC3626" w:rsidRDefault="001E7323" w:rsidP="008C7514">
      <w:pPr>
        <w:jc w:val="both"/>
        <w:rPr>
          <w:rFonts w:ascii="Arial" w:eastAsia="Times New Roman" w:hAnsi="Arial" w:cs="Arial"/>
          <w:b/>
          <w:kern w:val="2"/>
          <w:sz w:val="22"/>
          <w:szCs w:val="22"/>
          <w:lang w:eastAsia="ar-SA"/>
        </w:rPr>
      </w:pPr>
    </w:p>
    <w:p w14:paraId="329374A2" w14:textId="77777777" w:rsidR="000222BA" w:rsidRPr="00AC3626" w:rsidRDefault="000222BA" w:rsidP="000222BA">
      <w:pPr>
        <w:jc w:val="both"/>
        <w:rPr>
          <w:rFonts w:ascii="Arial" w:hAnsi="Arial" w:cs="Arial"/>
          <w:sz w:val="22"/>
          <w:szCs w:val="22"/>
          <w:lang w:val="es-ES"/>
        </w:rPr>
      </w:pPr>
      <w:r w:rsidRPr="00AC3626">
        <w:rPr>
          <w:rFonts w:ascii="Arial" w:hAnsi="Arial" w:cs="Arial"/>
          <w:sz w:val="22"/>
          <w:szCs w:val="22"/>
          <w:lang w:val="es-ES"/>
        </w:rPr>
        <w:t xml:space="preserve">Por lo anteriormente expuesto, con fundamento </w:t>
      </w:r>
      <w:r w:rsidRPr="00D92A5A">
        <w:rPr>
          <w:rFonts w:ascii="Arial" w:hAnsi="Arial" w:cs="Arial"/>
          <w:sz w:val="22"/>
          <w:szCs w:val="22"/>
          <w:lang w:val="es-ES"/>
        </w:rPr>
        <w:t xml:space="preserve">en los artículos 6° apartado B fracción II y 28 párrafos décimo quinto y vigésimo fracción IV de la Constitución Política de los Estados Unidos Mexicanos; 1, 2, </w:t>
      </w:r>
      <w:r w:rsidR="005D5B64">
        <w:rPr>
          <w:rFonts w:ascii="Arial" w:hAnsi="Arial" w:cs="Arial"/>
          <w:sz w:val="22"/>
          <w:szCs w:val="22"/>
          <w:lang w:val="es-ES"/>
        </w:rPr>
        <w:t>7, 15 fracción I, 16,</w:t>
      </w:r>
      <w:r w:rsidRPr="00D92A5A">
        <w:rPr>
          <w:rFonts w:ascii="Arial" w:hAnsi="Arial" w:cs="Arial"/>
          <w:sz w:val="22"/>
          <w:szCs w:val="22"/>
          <w:lang w:val="es-ES"/>
        </w:rPr>
        <w:t xml:space="preserve"> 17 fracción I</w:t>
      </w:r>
      <w:r w:rsidR="005D5B64">
        <w:rPr>
          <w:rFonts w:ascii="Arial" w:hAnsi="Arial" w:cs="Arial"/>
          <w:sz w:val="22"/>
          <w:szCs w:val="22"/>
          <w:lang w:val="es-ES"/>
        </w:rPr>
        <w:t>, 123 y 124</w:t>
      </w:r>
      <w:r w:rsidRPr="00D92A5A">
        <w:rPr>
          <w:rFonts w:ascii="Arial" w:hAnsi="Arial" w:cs="Arial"/>
          <w:sz w:val="22"/>
          <w:szCs w:val="22"/>
          <w:lang w:val="es-ES"/>
        </w:rPr>
        <w:t xml:space="preserve"> de la Ley Federal de Telecomunicaciones y Radiodifusión, y </w:t>
      </w:r>
      <w:r w:rsidR="00712E3D">
        <w:rPr>
          <w:rFonts w:ascii="Arial" w:hAnsi="Arial" w:cs="Arial"/>
          <w:sz w:val="22"/>
          <w:szCs w:val="22"/>
          <w:lang w:val="es-ES"/>
        </w:rPr>
        <w:t>1, 4 fracción I, 6 fracción XXV y</w:t>
      </w:r>
      <w:r w:rsidRPr="00D92A5A">
        <w:rPr>
          <w:rFonts w:ascii="Arial" w:hAnsi="Arial" w:cs="Arial"/>
          <w:sz w:val="22"/>
          <w:szCs w:val="22"/>
          <w:lang w:val="es-ES"/>
        </w:rPr>
        <w:t xml:space="preserve"> 19 fracción VI</w:t>
      </w:r>
      <w:r w:rsidR="00CC0507">
        <w:rPr>
          <w:rFonts w:ascii="Arial" w:hAnsi="Arial" w:cs="Arial"/>
          <w:sz w:val="22"/>
          <w:szCs w:val="22"/>
          <w:lang w:val="es-ES"/>
        </w:rPr>
        <w:t xml:space="preserve"> </w:t>
      </w:r>
      <w:r w:rsidR="00CC0507" w:rsidRPr="005D5B64">
        <w:rPr>
          <w:rFonts w:ascii="Arial" w:hAnsi="Arial" w:cs="Arial"/>
          <w:sz w:val="22"/>
          <w:szCs w:val="22"/>
          <w:lang w:val="es-ES"/>
        </w:rPr>
        <w:t>del Estatuto Orgánico del Instituto Federal de Telecomunicaciones</w:t>
      </w:r>
      <w:r w:rsidRPr="00AC3626">
        <w:rPr>
          <w:rFonts w:ascii="Arial" w:hAnsi="Arial" w:cs="Arial"/>
          <w:sz w:val="22"/>
          <w:szCs w:val="22"/>
          <w:lang w:val="es-ES"/>
        </w:rPr>
        <w:t>, el Pleno del Instituto Federal de Telecomunicaciones resuelve emitir el siguiente:</w:t>
      </w:r>
    </w:p>
    <w:p w14:paraId="5DEE3E78" w14:textId="77777777" w:rsidR="00051A3B" w:rsidRPr="00AC3626" w:rsidRDefault="00051A3B" w:rsidP="008C7514">
      <w:pPr>
        <w:jc w:val="both"/>
        <w:rPr>
          <w:rFonts w:ascii="Arial" w:eastAsia="Times New Roman" w:hAnsi="Arial" w:cs="Arial"/>
          <w:kern w:val="2"/>
          <w:sz w:val="22"/>
          <w:szCs w:val="22"/>
          <w:lang w:eastAsia="ar-SA"/>
        </w:rPr>
      </w:pPr>
    </w:p>
    <w:p w14:paraId="17DF76B6" w14:textId="77777777" w:rsidR="00AE7FAD" w:rsidRPr="00AC3626" w:rsidRDefault="00AE7FAD" w:rsidP="008C7514">
      <w:pPr>
        <w:jc w:val="both"/>
        <w:rPr>
          <w:rFonts w:ascii="Arial" w:eastAsia="Times New Roman" w:hAnsi="Arial" w:cs="Arial"/>
          <w:kern w:val="2"/>
          <w:sz w:val="22"/>
          <w:szCs w:val="22"/>
          <w:lang w:eastAsia="ar-SA"/>
        </w:rPr>
      </w:pPr>
    </w:p>
    <w:p w14:paraId="72D9D3EB" w14:textId="77777777" w:rsidR="000222BA" w:rsidRPr="00AC3626" w:rsidRDefault="000222BA" w:rsidP="000222BA">
      <w:pPr>
        <w:jc w:val="center"/>
        <w:rPr>
          <w:rFonts w:ascii="Arial" w:eastAsia="Times New Roman" w:hAnsi="Arial" w:cs="Arial"/>
          <w:b/>
          <w:sz w:val="22"/>
          <w:szCs w:val="22"/>
        </w:rPr>
      </w:pPr>
      <w:r w:rsidRPr="00AC3626">
        <w:rPr>
          <w:rFonts w:ascii="Arial" w:eastAsia="Times New Roman" w:hAnsi="Arial" w:cs="Arial"/>
          <w:b/>
          <w:sz w:val="22"/>
          <w:szCs w:val="22"/>
        </w:rPr>
        <w:t>ACUERDO</w:t>
      </w:r>
    </w:p>
    <w:p w14:paraId="29A3DA3B" w14:textId="77777777" w:rsidR="000222BA" w:rsidRPr="00AC3626" w:rsidRDefault="000222BA" w:rsidP="000222BA">
      <w:pPr>
        <w:rPr>
          <w:rFonts w:ascii="Arial" w:eastAsia="Times New Roman" w:hAnsi="Arial" w:cs="Arial"/>
          <w:b/>
          <w:sz w:val="22"/>
          <w:szCs w:val="22"/>
        </w:rPr>
      </w:pPr>
    </w:p>
    <w:p w14:paraId="0DF7C6A7" w14:textId="1203BC51" w:rsidR="000222BA" w:rsidRPr="00AC3626" w:rsidRDefault="000222BA" w:rsidP="000222BA">
      <w:pPr>
        <w:jc w:val="both"/>
        <w:outlineLvl w:val="1"/>
        <w:rPr>
          <w:rFonts w:ascii="Arial" w:eastAsia="Times New Roman" w:hAnsi="Arial" w:cs="Arial"/>
          <w:b/>
          <w:bCs/>
          <w:sz w:val="22"/>
          <w:szCs w:val="22"/>
        </w:rPr>
      </w:pPr>
      <w:r w:rsidRPr="00AC3626">
        <w:rPr>
          <w:rFonts w:ascii="Arial" w:eastAsia="Times New Roman" w:hAnsi="Arial" w:cs="Arial"/>
          <w:b/>
          <w:bCs/>
          <w:sz w:val="22"/>
          <w:szCs w:val="22"/>
          <w:lang w:val="uz-Cyrl-UZ"/>
        </w:rPr>
        <w:t>PRIMERO</w:t>
      </w:r>
      <w:r w:rsidRPr="00AC3626">
        <w:rPr>
          <w:rFonts w:ascii="Arial" w:eastAsia="Times New Roman" w:hAnsi="Arial" w:cs="Arial"/>
          <w:bCs/>
          <w:sz w:val="22"/>
          <w:szCs w:val="22"/>
          <w:lang w:val="uz-Cyrl-UZ"/>
        </w:rPr>
        <w:t xml:space="preserve">. </w:t>
      </w:r>
      <w:r w:rsidRPr="00AC3626">
        <w:rPr>
          <w:rFonts w:ascii="Arial" w:eastAsia="Times New Roman" w:hAnsi="Arial" w:cs="Arial"/>
          <w:bCs/>
          <w:sz w:val="22"/>
          <w:szCs w:val="22"/>
        </w:rPr>
        <w:t>Se</w:t>
      </w:r>
      <w:r w:rsidRPr="00AC3626">
        <w:rPr>
          <w:rFonts w:ascii="Arial" w:eastAsia="Times New Roman" w:hAnsi="Arial" w:cs="Arial"/>
          <w:bCs/>
          <w:sz w:val="22"/>
          <w:szCs w:val="22"/>
          <w:lang w:val="uz-Cyrl-UZ"/>
        </w:rPr>
        <w:t xml:space="preserve"> modifican </w:t>
      </w:r>
      <w:r w:rsidRPr="00AC3626">
        <w:rPr>
          <w:rFonts w:ascii="Arial" w:eastAsia="Times New Roman" w:hAnsi="Arial" w:cs="Arial"/>
          <w:bCs/>
          <w:sz w:val="22"/>
          <w:szCs w:val="22"/>
          <w:lang w:val="es-MX"/>
        </w:rPr>
        <w:t xml:space="preserve">los </w:t>
      </w:r>
      <w:r w:rsidR="00DB5252">
        <w:rPr>
          <w:rFonts w:ascii="Arial" w:eastAsia="Times New Roman" w:hAnsi="Arial" w:cs="Arial"/>
          <w:bCs/>
          <w:sz w:val="22"/>
          <w:szCs w:val="22"/>
          <w:lang w:val="es-MX"/>
        </w:rPr>
        <w:t>a</w:t>
      </w:r>
      <w:r w:rsidRPr="00AC3626">
        <w:rPr>
          <w:rFonts w:ascii="Arial" w:eastAsia="Times New Roman" w:hAnsi="Arial" w:cs="Arial"/>
          <w:bCs/>
          <w:sz w:val="22"/>
          <w:szCs w:val="22"/>
          <w:lang w:val="es-MX"/>
        </w:rPr>
        <w:t xml:space="preserve">rtículos </w:t>
      </w:r>
      <w:r w:rsidR="00DB5252">
        <w:rPr>
          <w:rFonts w:ascii="Arial" w:eastAsia="Times New Roman" w:hAnsi="Arial" w:cs="Arial"/>
          <w:bCs/>
          <w:sz w:val="22"/>
          <w:szCs w:val="22"/>
          <w:lang w:val="es-MX"/>
        </w:rPr>
        <w:t>p</w:t>
      </w:r>
      <w:r w:rsidR="009A237F" w:rsidRPr="00AC3626">
        <w:rPr>
          <w:rFonts w:ascii="Arial" w:eastAsia="Times New Roman" w:hAnsi="Arial" w:cs="Arial"/>
          <w:bCs/>
          <w:sz w:val="22"/>
          <w:szCs w:val="22"/>
          <w:lang w:val="es-MX"/>
        </w:rPr>
        <w:t xml:space="preserve">rimero a </w:t>
      </w:r>
      <w:r w:rsidR="00DB5252">
        <w:rPr>
          <w:rFonts w:ascii="Arial" w:eastAsia="Times New Roman" w:hAnsi="Arial" w:cs="Arial"/>
          <w:bCs/>
          <w:sz w:val="22"/>
          <w:szCs w:val="22"/>
          <w:lang w:val="es-MX"/>
        </w:rPr>
        <w:t>d</w:t>
      </w:r>
      <w:r w:rsidR="009A237F" w:rsidRPr="00AC3626">
        <w:rPr>
          <w:rFonts w:ascii="Arial" w:eastAsia="Times New Roman" w:hAnsi="Arial" w:cs="Arial"/>
          <w:bCs/>
          <w:sz w:val="22"/>
          <w:szCs w:val="22"/>
          <w:lang w:val="es-MX"/>
        </w:rPr>
        <w:t xml:space="preserve">écimo </w:t>
      </w:r>
      <w:r w:rsidR="00DB5252">
        <w:rPr>
          <w:rFonts w:ascii="Arial" w:eastAsia="Times New Roman" w:hAnsi="Arial" w:cs="Arial"/>
          <w:bCs/>
          <w:sz w:val="22"/>
          <w:szCs w:val="22"/>
          <w:lang w:val="es-MX"/>
        </w:rPr>
        <w:t>c</w:t>
      </w:r>
      <w:r w:rsidR="009A237F" w:rsidRPr="00AC3626">
        <w:rPr>
          <w:rFonts w:ascii="Arial" w:eastAsia="Times New Roman" w:hAnsi="Arial" w:cs="Arial"/>
          <w:bCs/>
          <w:sz w:val="22"/>
          <w:szCs w:val="22"/>
          <w:lang w:val="es-MX"/>
        </w:rPr>
        <w:t>uarto</w:t>
      </w:r>
      <w:r w:rsidRPr="00AC3626">
        <w:rPr>
          <w:rFonts w:ascii="Arial" w:eastAsia="Times New Roman" w:hAnsi="Arial" w:cs="Arial"/>
          <w:bCs/>
          <w:sz w:val="22"/>
          <w:szCs w:val="22"/>
          <w:lang w:val="es-MX"/>
        </w:rPr>
        <w:t xml:space="preserve"> </w:t>
      </w:r>
      <w:r w:rsidR="00DB5252">
        <w:rPr>
          <w:rFonts w:ascii="Arial" w:eastAsia="Times New Roman" w:hAnsi="Arial" w:cs="Arial"/>
          <w:bCs/>
          <w:sz w:val="22"/>
          <w:szCs w:val="22"/>
          <w:lang w:val="es-MX"/>
        </w:rPr>
        <w:t>t</w:t>
      </w:r>
      <w:r w:rsidR="001025F2" w:rsidRPr="00AC3626">
        <w:rPr>
          <w:rFonts w:ascii="Arial" w:eastAsia="Times New Roman" w:hAnsi="Arial" w:cs="Arial"/>
          <w:bCs/>
          <w:sz w:val="22"/>
          <w:szCs w:val="22"/>
          <w:lang w:val="es-MX"/>
        </w:rPr>
        <w:t xml:space="preserve">ransitorios </w:t>
      </w:r>
      <w:r w:rsidR="0002131C" w:rsidRPr="00AC3626">
        <w:rPr>
          <w:rFonts w:ascii="Arial" w:eastAsia="Times New Roman" w:hAnsi="Arial" w:cs="Arial"/>
          <w:bCs/>
          <w:sz w:val="22"/>
          <w:szCs w:val="22"/>
          <w:lang w:val="es-MX"/>
        </w:rPr>
        <w:t>y se adiciona</w:t>
      </w:r>
      <w:r w:rsidR="00F30823" w:rsidRPr="00AC3626">
        <w:rPr>
          <w:rFonts w:ascii="Arial" w:eastAsia="Times New Roman" w:hAnsi="Arial" w:cs="Arial"/>
          <w:bCs/>
          <w:sz w:val="22"/>
          <w:szCs w:val="22"/>
          <w:lang w:val="es-MX"/>
        </w:rPr>
        <w:t xml:space="preserve">n </w:t>
      </w:r>
      <w:r w:rsidR="0002131C" w:rsidRPr="00AC3626">
        <w:rPr>
          <w:rFonts w:ascii="Arial" w:eastAsia="Times New Roman" w:hAnsi="Arial" w:cs="Arial"/>
          <w:bCs/>
          <w:sz w:val="22"/>
          <w:szCs w:val="22"/>
          <w:lang w:val="es-MX"/>
        </w:rPr>
        <w:t>l</w:t>
      </w:r>
      <w:r w:rsidR="00F30823" w:rsidRPr="00AC3626">
        <w:rPr>
          <w:rFonts w:ascii="Arial" w:eastAsia="Times New Roman" w:hAnsi="Arial" w:cs="Arial"/>
          <w:bCs/>
          <w:sz w:val="22"/>
          <w:szCs w:val="22"/>
          <w:lang w:val="es-MX"/>
        </w:rPr>
        <w:t>os</w:t>
      </w:r>
      <w:r w:rsidR="0002131C" w:rsidRPr="00AC3626">
        <w:rPr>
          <w:rFonts w:ascii="Arial" w:eastAsia="Times New Roman" w:hAnsi="Arial" w:cs="Arial"/>
          <w:bCs/>
          <w:sz w:val="22"/>
          <w:szCs w:val="22"/>
          <w:lang w:val="es-MX"/>
        </w:rPr>
        <w:t xml:space="preserve"> </w:t>
      </w:r>
      <w:proofErr w:type="gramStart"/>
      <w:r w:rsidR="00DB5252">
        <w:rPr>
          <w:rFonts w:ascii="Arial" w:eastAsia="Times New Roman" w:hAnsi="Arial" w:cs="Arial"/>
          <w:bCs/>
          <w:sz w:val="22"/>
          <w:szCs w:val="22"/>
          <w:lang w:val="es-MX"/>
        </w:rPr>
        <w:t>a</w:t>
      </w:r>
      <w:r w:rsidR="0002131C" w:rsidRPr="00AC3626">
        <w:rPr>
          <w:rFonts w:ascii="Arial" w:eastAsia="Times New Roman" w:hAnsi="Arial" w:cs="Arial"/>
          <w:bCs/>
          <w:sz w:val="22"/>
          <w:szCs w:val="22"/>
          <w:lang w:val="es-MX"/>
        </w:rPr>
        <w:t>rtículo</w:t>
      </w:r>
      <w:r w:rsidR="00F30823" w:rsidRPr="00AC3626">
        <w:rPr>
          <w:rFonts w:ascii="Arial" w:eastAsia="Times New Roman" w:hAnsi="Arial" w:cs="Arial"/>
          <w:bCs/>
          <w:sz w:val="22"/>
          <w:szCs w:val="22"/>
          <w:lang w:val="es-MX"/>
        </w:rPr>
        <w:t>s</w:t>
      </w:r>
      <w:r w:rsidR="0002131C" w:rsidRPr="00AC3626">
        <w:rPr>
          <w:rFonts w:ascii="Arial" w:eastAsia="Times New Roman" w:hAnsi="Arial" w:cs="Arial"/>
          <w:bCs/>
          <w:sz w:val="22"/>
          <w:szCs w:val="22"/>
          <w:lang w:val="es-MX"/>
        </w:rPr>
        <w:t xml:space="preserve"> </w:t>
      </w:r>
      <w:r w:rsidR="00DB5252">
        <w:rPr>
          <w:rFonts w:ascii="Arial" w:eastAsia="Times New Roman" w:hAnsi="Arial" w:cs="Arial"/>
          <w:bCs/>
          <w:sz w:val="22"/>
          <w:szCs w:val="22"/>
          <w:lang w:val="es-MX"/>
        </w:rPr>
        <w:t>d</w:t>
      </w:r>
      <w:r w:rsidR="0002131C" w:rsidRPr="00AC3626">
        <w:rPr>
          <w:rFonts w:ascii="Arial" w:eastAsia="Times New Roman" w:hAnsi="Arial" w:cs="Arial"/>
          <w:bCs/>
          <w:sz w:val="22"/>
          <w:szCs w:val="22"/>
          <w:lang w:val="es-MX"/>
        </w:rPr>
        <w:t xml:space="preserve">écimo </w:t>
      </w:r>
      <w:r w:rsidR="00DB5252">
        <w:rPr>
          <w:rFonts w:ascii="Arial" w:eastAsia="Times New Roman" w:hAnsi="Arial" w:cs="Arial"/>
          <w:bCs/>
          <w:sz w:val="22"/>
          <w:szCs w:val="22"/>
          <w:lang w:val="es-MX"/>
        </w:rPr>
        <w:t>q</w:t>
      </w:r>
      <w:r w:rsidR="0002131C" w:rsidRPr="00AC3626">
        <w:rPr>
          <w:rFonts w:ascii="Arial" w:eastAsia="Times New Roman" w:hAnsi="Arial" w:cs="Arial"/>
          <w:bCs/>
          <w:sz w:val="22"/>
          <w:szCs w:val="22"/>
          <w:lang w:val="es-MX"/>
        </w:rPr>
        <w:t>uinto</w:t>
      </w:r>
      <w:proofErr w:type="gramEnd"/>
      <w:r w:rsidR="00F30823" w:rsidRPr="00AC3626">
        <w:rPr>
          <w:rFonts w:ascii="Arial" w:eastAsia="Times New Roman" w:hAnsi="Arial" w:cs="Arial"/>
          <w:bCs/>
          <w:sz w:val="22"/>
          <w:szCs w:val="22"/>
          <w:lang w:val="es-MX"/>
        </w:rPr>
        <w:t xml:space="preserve"> a </w:t>
      </w:r>
      <w:r w:rsidR="00DB5252">
        <w:rPr>
          <w:rFonts w:ascii="Arial" w:eastAsia="Times New Roman" w:hAnsi="Arial" w:cs="Arial"/>
          <w:bCs/>
          <w:sz w:val="22"/>
          <w:szCs w:val="22"/>
          <w:lang w:val="es-MX"/>
        </w:rPr>
        <w:t>d</w:t>
      </w:r>
      <w:r w:rsidR="00F30823" w:rsidRPr="00AC3626">
        <w:rPr>
          <w:rFonts w:ascii="Arial" w:eastAsia="Times New Roman" w:hAnsi="Arial" w:cs="Arial"/>
          <w:bCs/>
          <w:sz w:val="22"/>
          <w:szCs w:val="22"/>
          <w:lang w:val="es-MX"/>
        </w:rPr>
        <w:t xml:space="preserve">écimo </w:t>
      </w:r>
      <w:r w:rsidR="00DB5252">
        <w:rPr>
          <w:rFonts w:ascii="Arial" w:eastAsia="Times New Roman" w:hAnsi="Arial" w:cs="Arial"/>
          <w:bCs/>
          <w:sz w:val="22"/>
          <w:szCs w:val="22"/>
          <w:lang w:val="es-MX"/>
        </w:rPr>
        <w:t>o</w:t>
      </w:r>
      <w:r w:rsidR="008867E3">
        <w:rPr>
          <w:rFonts w:ascii="Arial" w:eastAsia="Times New Roman" w:hAnsi="Arial" w:cs="Arial"/>
          <w:bCs/>
          <w:sz w:val="22"/>
          <w:szCs w:val="22"/>
          <w:lang w:val="es-MX"/>
        </w:rPr>
        <w:t>ctavo</w:t>
      </w:r>
      <w:r w:rsidR="0002131C" w:rsidRPr="00AC3626">
        <w:rPr>
          <w:rFonts w:ascii="Arial" w:eastAsia="Times New Roman" w:hAnsi="Arial" w:cs="Arial"/>
          <w:bCs/>
          <w:sz w:val="22"/>
          <w:szCs w:val="22"/>
          <w:lang w:val="es-MX"/>
        </w:rPr>
        <w:t xml:space="preserve"> </w:t>
      </w:r>
      <w:r w:rsidR="00DB5252">
        <w:rPr>
          <w:rFonts w:ascii="Arial" w:eastAsia="Times New Roman" w:hAnsi="Arial" w:cs="Arial"/>
          <w:bCs/>
          <w:sz w:val="22"/>
          <w:szCs w:val="22"/>
          <w:lang w:val="es-MX"/>
        </w:rPr>
        <w:t>t</w:t>
      </w:r>
      <w:r w:rsidR="001025F2" w:rsidRPr="00AC3626">
        <w:rPr>
          <w:rFonts w:ascii="Arial" w:eastAsia="Times New Roman" w:hAnsi="Arial" w:cs="Arial"/>
          <w:bCs/>
          <w:sz w:val="22"/>
          <w:szCs w:val="22"/>
          <w:lang w:val="es-MX"/>
        </w:rPr>
        <w:t>ransitorio</w:t>
      </w:r>
      <w:r w:rsidR="00F30823" w:rsidRPr="00AC3626">
        <w:rPr>
          <w:rFonts w:ascii="Arial" w:eastAsia="Times New Roman" w:hAnsi="Arial" w:cs="Arial"/>
          <w:bCs/>
          <w:sz w:val="22"/>
          <w:szCs w:val="22"/>
          <w:lang w:val="es-MX"/>
        </w:rPr>
        <w:t>s</w:t>
      </w:r>
      <w:r w:rsidR="001025F2" w:rsidRPr="00AC3626">
        <w:rPr>
          <w:rFonts w:ascii="Arial" w:eastAsia="Times New Roman" w:hAnsi="Arial" w:cs="Arial"/>
          <w:bCs/>
          <w:sz w:val="22"/>
          <w:szCs w:val="22"/>
          <w:lang w:val="es-MX"/>
        </w:rPr>
        <w:t xml:space="preserve"> </w:t>
      </w:r>
      <w:r w:rsidR="000854BB" w:rsidRPr="00AC3626">
        <w:rPr>
          <w:rFonts w:ascii="Arial" w:eastAsia="Times New Roman" w:hAnsi="Arial" w:cs="Arial"/>
          <w:bCs/>
          <w:sz w:val="22"/>
          <w:szCs w:val="22"/>
          <w:lang w:val="es-MX"/>
        </w:rPr>
        <w:t>del Plan</w:t>
      </w:r>
      <w:r w:rsidR="00257A6D" w:rsidRPr="00AC3626">
        <w:rPr>
          <w:rFonts w:ascii="Arial" w:eastAsia="Times New Roman" w:hAnsi="Arial" w:cs="Arial"/>
          <w:bCs/>
          <w:sz w:val="22"/>
          <w:szCs w:val="22"/>
          <w:lang w:val="es-MX"/>
        </w:rPr>
        <w:t xml:space="preserve"> Técnico Fundamental de Numeración</w:t>
      </w:r>
      <w:r w:rsidR="000854BB" w:rsidRPr="00AC3626">
        <w:rPr>
          <w:rFonts w:ascii="Arial" w:eastAsia="Times New Roman" w:hAnsi="Arial" w:cs="Arial"/>
          <w:bCs/>
          <w:sz w:val="22"/>
          <w:szCs w:val="22"/>
          <w:lang w:val="es-MX"/>
        </w:rPr>
        <w:t xml:space="preserve"> </w:t>
      </w:r>
      <w:r w:rsidRPr="00AC3626">
        <w:rPr>
          <w:rFonts w:ascii="Arial" w:eastAsia="Times New Roman" w:hAnsi="Arial" w:cs="Arial"/>
          <w:bCs/>
          <w:sz w:val="22"/>
          <w:szCs w:val="22"/>
        </w:rPr>
        <w:t>para quedar en los siguientes términos</w:t>
      </w:r>
      <w:r w:rsidRPr="00AC3626">
        <w:rPr>
          <w:rFonts w:ascii="Arial" w:eastAsia="Times New Roman" w:hAnsi="Arial" w:cs="Arial"/>
          <w:b/>
          <w:bCs/>
          <w:sz w:val="22"/>
          <w:szCs w:val="22"/>
        </w:rPr>
        <w:t>:</w:t>
      </w:r>
    </w:p>
    <w:p w14:paraId="758CB780" w14:textId="77777777" w:rsidR="00F326CD" w:rsidRPr="00AC3626" w:rsidRDefault="00F326CD" w:rsidP="008C7514">
      <w:pPr>
        <w:jc w:val="both"/>
        <w:rPr>
          <w:rFonts w:ascii="Arial" w:eastAsia="Times New Roman" w:hAnsi="Arial" w:cs="Arial"/>
          <w:kern w:val="2"/>
          <w:sz w:val="22"/>
          <w:szCs w:val="22"/>
          <w:lang w:eastAsia="ar-SA"/>
        </w:rPr>
      </w:pPr>
    </w:p>
    <w:p w14:paraId="3268AA9A" w14:textId="77777777" w:rsidR="00332E89" w:rsidRPr="00AC3626" w:rsidRDefault="001E19DC" w:rsidP="007E4BE8">
      <w:pPr>
        <w:pStyle w:val="Texto"/>
        <w:spacing w:after="80" w:line="221" w:lineRule="exact"/>
        <w:ind w:left="426" w:firstLine="0"/>
        <w:rPr>
          <w:i/>
          <w:sz w:val="22"/>
          <w:szCs w:val="22"/>
          <w:lang w:val="es-ES_tradnl"/>
        </w:rPr>
      </w:pPr>
      <w:r w:rsidRPr="00AC3626">
        <w:rPr>
          <w:b/>
          <w:sz w:val="22"/>
          <w:szCs w:val="22"/>
          <w:lang w:val="es-ES_tradnl"/>
        </w:rPr>
        <w:t>“</w:t>
      </w:r>
      <w:bookmarkStart w:id="1" w:name="_Hlk529742895"/>
      <w:r w:rsidR="000854BB" w:rsidRPr="00AC3626">
        <w:rPr>
          <w:b/>
          <w:i/>
          <w:sz w:val="22"/>
          <w:szCs w:val="22"/>
          <w:lang w:val="es-ES_tradnl"/>
        </w:rPr>
        <w:t>PRIMERO.</w:t>
      </w:r>
      <w:r w:rsidR="000854BB" w:rsidRPr="00AC3626">
        <w:rPr>
          <w:i/>
          <w:sz w:val="22"/>
          <w:szCs w:val="22"/>
          <w:lang w:val="es-ES_tradnl"/>
        </w:rPr>
        <w:t xml:space="preserve"> Las siguientes secciones del presente Plan entrarán en vigor el día 3 de agosto de 2019:</w:t>
      </w:r>
    </w:p>
    <w:p w14:paraId="7465AE95" w14:textId="77777777" w:rsidR="000854BB" w:rsidRPr="00AC3626" w:rsidRDefault="00332E89" w:rsidP="007E4BE8">
      <w:pPr>
        <w:pStyle w:val="Texto"/>
        <w:numPr>
          <w:ilvl w:val="0"/>
          <w:numId w:val="23"/>
        </w:numPr>
        <w:spacing w:after="80" w:line="221" w:lineRule="exact"/>
        <w:ind w:left="1276" w:hanging="425"/>
        <w:rPr>
          <w:i/>
          <w:sz w:val="22"/>
          <w:szCs w:val="22"/>
          <w:lang w:val="es-ES_tradnl"/>
        </w:rPr>
      </w:pPr>
      <w:r w:rsidRPr="00AC3626">
        <w:rPr>
          <w:b/>
          <w:i/>
          <w:sz w:val="22"/>
          <w:szCs w:val="22"/>
          <w:lang w:val="es-ES_tradnl"/>
        </w:rPr>
        <w:t>OBJETO</w:t>
      </w:r>
      <w:r w:rsidRPr="00AC3626">
        <w:rPr>
          <w:i/>
          <w:sz w:val="22"/>
          <w:szCs w:val="22"/>
          <w:lang w:val="es-ES_tradnl"/>
        </w:rPr>
        <w:t>;</w:t>
      </w:r>
    </w:p>
    <w:p w14:paraId="7BE785C2" w14:textId="77777777" w:rsidR="00332E89" w:rsidRPr="00AC3626" w:rsidRDefault="00332E89" w:rsidP="007E4BE8">
      <w:pPr>
        <w:pStyle w:val="Texto"/>
        <w:numPr>
          <w:ilvl w:val="0"/>
          <w:numId w:val="23"/>
        </w:numPr>
        <w:spacing w:after="80" w:line="221" w:lineRule="exact"/>
        <w:ind w:left="1276" w:hanging="425"/>
        <w:rPr>
          <w:i/>
          <w:sz w:val="22"/>
          <w:szCs w:val="22"/>
          <w:lang w:val="es-ES_tradnl"/>
        </w:rPr>
      </w:pPr>
      <w:r w:rsidRPr="00AC3626">
        <w:rPr>
          <w:b/>
          <w:i/>
          <w:sz w:val="22"/>
          <w:szCs w:val="22"/>
          <w:lang w:val="es-ES_tradnl"/>
        </w:rPr>
        <w:t>DEFINICIÓN DE TÉRMINOS</w:t>
      </w:r>
      <w:r w:rsidRPr="00AC3626">
        <w:rPr>
          <w:i/>
          <w:sz w:val="22"/>
          <w:szCs w:val="22"/>
          <w:lang w:val="es-ES_tradnl"/>
        </w:rPr>
        <w:t xml:space="preserve">: primer párrafo; </w:t>
      </w:r>
      <w:proofErr w:type="spellStart"/>
      <w:r w:rsidR="00784D8D" w:rsidRPr="00AC3626">
        <w:rPr>
          <w:i/>
          <w:sz w:val="22"/>
          <w:szCs w:val="22"/>
          <w:lang w:val="es-ES_tradnl"/>
        </w:rPr>
        <w:t>sub</w:t>
      </w:r>
      <w:r w:rsidRPr="00AC3626">
        <w:rPr>
          <w:i/>
          <w:sz w:val="22"/>
          <w:szCs w:val="22"/>
          <w:lang w:val="es-ES_tradnl"/>
        </w:rPr>
        <w:t>numerales</w:t>
      </w:r>
      <w:proofErr w:type="spellEnd"/>
      <w:r w:rsidRPr="00AC3626">
        <w:rPr>
          <w:i/>
          <w:sz w:val="22"/>
          <w:szCs w:val="22"/>
          <w:lang w:val="es-ES_tradnl"/>
        </w:rPr>
        <w:t xml:space="preserve"> 2.1</w:t>
      </w:r>
      <w:r w:rsidR="008E095F">
        <w:rPr>
          <w:i/>
          <w:sz w:val="22"/>
          <w:szCs w:val="22"/>
          <w:lang w:val="es-ES_tradnl"/>
        </w:rPr>
        <w:t>.</w:t>
      </w:r>
      <w:r w:rsidRPr="00AC3626">
        <w:rPr>
          <w:i/>
          <w:sz w:val="22"/>
          <w:szCs w:val="22"/>
          <w:lang w:val="es-ES_tradnl"/>
        </w:rPr>
        <w:t xml:space="preserve"> a 2.23</w:t>
      </w:r>
      <w:r w:rsidR="008E095F">
        <w:rPr>
          <w:i/>
          <w:sz w:val="22"/>
          <w:szCs w:val="22"/>
          <w:lang w:val="es-ES_tradnl"/>
        </w:rPr>
        <w:t>.</w:t>
      </w:r>
      <w:r w:rsidRPr="00AC3626">
        <w:rPr>
          <w:i/>
          <w:sz w:val="22"/>
          <w:szCs w:val="22"/>
          <w:lang w:val="es-ES_tradnl"/>
        </w:rPr>
        <w:t>; 2.33</w:t>
      </w:r>
      <w:r w:rsidR="008E095F">
        <w:rPr>
          <w:i/>
          <w:sz w:val="22"/>
          <w:szCs w:val="22"/>
          <w:lang w:val="es-ES_tradnl"/>
        </w:rPr>
        <w:t>.</w:t>
      </w:r>
      <w:r w:rsidRPr="00AC3626">
        <w:rPr>
          <w:i/>
          <w:sz w:val="22"/>
          <w:szCs w:val="22"/>
          <w:lang w:val="es-ES_tradnl"/>
        </w:rPr>
        <w:t xml:space="preserve"> a 2.39</w:t>
      </w:r>
      <w:r w:rsidR="008E095F">
        <w:rPr>
          <w:i/>
          <w:sz w:val="22"/>
          <w:szCs w:val="22"/>
          <w:lang w:val="es-ES_tradnl"/>
        </w:rPr>
        <w:t>.</w:t>
      </w:r>
      <w:r w:rsidRPr="00AC3626">
        <w:rPr>
          <w:i/>
          <w:sz w:val="22"/>
          <w:szCs w:val="22"/>
          <w:lang w:val="es-ES_tradnl"/>
        </w:rPr>
        <w:t>; 2.41</w:t>
      </w:r>
      <w:r w:rsidR="008E095F">
        <w:rPr>
          <w:i/>
          <w:sz w:val="22"/>
          <w:szCs w:val="22"/>
          <w:lang w:val="es-ES_tradnl"/>
        </w:rPr>
        <w:t>.</w:t>
      </w:r>
      <w:r w:rsidRPr="00AC3626">
        <w:rPr>
          <w:i/>
          <w:sz w:val="22"/>
          <w:szCs w:val="22"/>
          <w:lang w:val="es-ES_tradnl"/>
        </w:rPr>
        <w:t xml:space="preserve"> a 2.50</w:t>
      </w:r>
      <w:r w:rsidR="008E095F">
        <w:rPr>
          <w:i/>
          <w:sz w:val="22"/>
          <w:szCs w:val="22"/>
          <w:lang w:val="es-ES_tradnl"/>
        </w:rPr>
        <w:t>.</w:t>
      </w:r>
      <w:r w:rsidRPr="00AC3626">
        <w:rPr>
          <w:i/>
          <w:sz w:val="22"/>
          <w:szCs w:val="22"/>
          <w:lang w:val="es-ES_tradnl"/>
        </w:rPr>
        <w:t>; 2.52</w:t>
      </w:r>
      <w:r w:rsidR="008E095F">
        <w:rPr>
          <w:i/>
          <w:sz w:val="22"/>
          <w:szCs w:val="22"/>
          <w:lang w:val="es-ES_tradnl"/>
        </w:rPr>
        <w:t>.</w:t>
      </w:r>
      <w:r w:rsidRPr="00AC3626">
        <w:rPr>
          <w:i/>
          <w:sz w:val="22"/>
          <w:szCs w:val="22"/>
          <w:lang w:val="es-ES_tradnl"/>
        </w:rPr>
        <w:t xml:space="preserve"> a 2.55</w:t>
      </w:r>
      <w:r w:rsidR="008E095F">
        <w:rPr>
          <w:i/>
          <w:sz w:val="22"/>
          <w:szCs w:val="22"/>
          <w:lang w:val="es-ES_tradnl"/>
        </w:rPr>
        <w:t>.</w:t>
      </w:r>
      <w:r w:rsidRPr="00AC3626">
        <w:rPr>
          <w:i/>
          <w:sz w:val="22"/>
          <w:szCs w:val="22"/>
          <w:lang w:val="es-ES_tradnl"/>
        </w:rPr>
        <w:t xml:space="preserve"> y último párrafo;</w:t>
      </w:r>
    </w:p>
    <w:p w14:paraId="7C035896" w14:textId="77777777" w:rsidR="00332E89" w:rsidRPr="00AC3626" w:rsidRDefault="00332E89" w:rsidP="007E4BE8">
      <w:pPr>
        <w:pStyle w:val="Texto"/>
        <w:numPr>
          <w:ilvl w:val="0"/>
          <w:numId w:val="23"/>
        </w:numPr>
        <w:spacing w:after="80" w:line="221" w:lineRule="exact"/>
        <w:ind w:left="1276" w:hanging="425"/>
        <w:rPr>
          <w:i/>
          <w:sz w:val="22"/>
          <w:szCs w:val="22"/>
          <w:lang w:val="es-ES_tradnl"/>
        </w:rPr>
      </w:pPr>
      <w:r w:rsidRPr="00AC3626">
        <w:rPr>
          <w:b/>
          <w:i/>
          <w:sz w:val="22"/>
          <w:szCs w:val="22"/>
          <w:lang w:val="es-ES_tradnl"/>
        </w:rPr>
        <w:t>APLICACIÓN</w:t>
      </w:r>
      <w:r w:rsidRPr="00AC3626">
        <w:rPr>
          <w:i/>
          <w:sz w:val="22"/>
          <w:szCs w:val="22"/>
          <w:lang w:val="es-ES_tradnl"/>
        </w:rPr>
        <w:t>;</w:t>
      </w:r>
    </w:p>
    <w:p w14:paraId="276A6F1A" w14:textId="77777777" w:rsidR="00332E89" w:rsidRPr="00AC3626" w:rsidRDefault="00332E89" w:rsidP="007E4BE8">
      <w:pPr>
        <w:pStyle w:val="Texto"/>
        <w:numPr>
          <w:ilvl w:val="0"/>
          <w:numId w:val="23"/>
        </w:numPr>
        <w:spacing w:after="80" w:line="221" w:lineRule="exact"/>
        <w:ind w:left="1276" w:hanging="425"/>
        <w:rPr>
          <w:i/>
          <w:sz w:val="22"/>
          <w:szCs w:val="22"/>
          <w:lang w:val="es-ES_tradnl"/>
        </w:rPr>
      </w:pPr>
      <w:r w:rsidRPr="00AC3626">
        <w:rPr>
          <w:b/>
          <w:i/>
          <w:sz w:val="22"/>
          <w:szCs w:val="22"/>
          <w:lang w:val="es-ES_tradnl"/>
        </w:rPr>
        <w:t>ATRIBUCIONES DEL INSTITUTO</w:t>
      </w:r>
      <w:r w:rsidR="00784D8D" w:rsidRPr="00AC3626">
        <w:rPr>
          <w:i/>
          <w:sz w:val="22"/>
          <w:szCs w:val="22"/>
          <w:lang w:val="es-ES_tradnl"/>
        </w:rPr>
        <w:t>, numeral 4</w:t>
      </w:r>
      <w:r w:rsidR="008E095F">
        <w:rPr>
          <w:i/>
          <w:sz w:val="22"/>
          <w:szCs w:val="22"/>
          <w:lang w:val="es-ES_tradnl"/>
        </w:rPr>
        <w:t>.</w:t>
      </w:r>
      <w:r w:rsidRPr="00AC3626">
        <w:rPr>
          <w:i/>
          <w:sz w:val="22"/>
          <w:szCs w:val="22"/>
          <w:lang w:val="es-ES_tradnl"/>
        </w:rPr>
        <w:t>;</w:t>
      </w:r>
      <w:r w:rsidR="00784D8D" w:rsidRPr="00AC3626">
        <w:rPr>
          <w:i/>
          <w:sz w:val="22"/>
          <w:szCs w:val="22"/>
          <w:lang w:val="es-ES_tradnl"/>
        </w:rPr>
        <w:t xml:space="preserve"> numeral 5</w:t>
      </w:r>
      <w:r w:rsidR="008E095F">
        <w:rPr>
          <w:i/>
          <w:sz w:val="22"/>
          <w:szCs w:val="22"/>
          <w:lang w:val="es-ES_tradnl"/>
        </w:rPr>
        <w:t>.</w:t>
      </w:r>
      <w:r w:rsidR="00784D8D" w:rsidRPr="00AC3626">
        <w:rPr>
          <w:i/>
          <w:sz w:val="22"/>
          <w:szCs w:val="22"/>
          <w:lang w:val="es-ES_tradnl"/>
        </w:rPr>
        <w:t xml:space="preserve"> primer párrafo; </w:t>
      </w:r>
      <w:proofErr w:type="spellStart"/>
      <w:r w:rsidR="00784D8D" w:rsidRPr="00AC3626">
        <w:rPr>
          <w:i/>
          <w:sz w:val="22"/>
          <w:szCs w:val="22"/>
          <w:lang w:val="es-ES_tradnl"/>
        </w:rPr>
        <w:t>subnumerales</w:t>
      </w:r>
      <w:proofErr w:type="spellEnd"/>
      <w:r w:rsidR="00784D8D" w:rsidRPr="00AC3626">
        <w:rPr>
          <w:i/>
          <w:sz w:val="22"/>
          <w:szCs w:val="22"/>
          <w:lang w:val="es-ES_tradnl"/>
        </w:rPr>
        <w:t xml:space="preserve"> 5.1</w:t>
      </w:r>
      <w:r w:rsidR="008E095F">
        <w:rPr>
          <w:i/>
          <w:sz w:val="22"/>
          <w:szCs w:val="22"/>
          <w:lang w:val="es-ES_tradnl"/>
        </w:rPr>
        <w:t>.</w:t>
      </w:r>
      <w:r w:rsidR="00784D8D" w:rsidRPr="00AC3626">
        <w:rPr>
          <w:i/>
          <w:sz w:val="22"/>
          <w:szCs w:val="22"/>
          <w:lang w:val="es-ES_tradnl"/>
        </w:rPr>
        <w:t xml:space="preserve">, </w:t>
      </w:r>
      <w:r w:rsidR="00D071D8" w:rsidRPr="00AC3626">
        <w:rPr>
          <w:i/>
          <w:sz w:val="22"/>
          <w:szCs w:val="22"/>
          <w:lang w:val="es-ES_tradnl"/>
        </w:rPr>
        <w:t>5.2.1</w:t>
      </w:r>
      <w:r w:rsidR="008E095F">
        <w:rPr>
          <w:i/>
          <w:sz w:val="22"/>
          <w:szCs w:val="22"/>
          <w:lang w:val="es-ES_tradnl"/>
        </w:rPr>
        <w:t>.</w:t>
      </w:r>
      <w:r w:rsidR="00D071D8" w:rsidRPr="00AC3626">
        <w:rPr>
          <w:i/>
          <w:sz w:val="22"/>
          <w:szCs w:val="22"/>
          <w:lang w:val="es-ES_tradnl"/>
        </w:rPr>
        <w:t>; 5.2.2</w:t>
      </w:r>
      <w:r w:rsidR="008E095F">
        <w:rPr>
          <w:i/>
          <w:sz w:val="22"/>
          <w:szCs w:val="22"/>
          <w:lang w:val="es-ES_tradnl"/>
        </w:rPr>
        <w:t>.</w:t>
      </w:r>
      <w:r w:rsidR="00D071D8" w:rsidRPr="00AC3626">
        <w:rPr>
          <w:i/>
          <w:sz w:val="22"/>
          <w:szCs w:val="22"/>
          <w:lang w:val="es-ES_tradnl"/>
        </w:rPr>
        <w:t xml:space="preserve"> y 5.2.4</w:t>
      </w:r>
      <w:r w:rsidR="008E095F">
        <w:rPr>
          <w:i/>
          <w:sz w:val="22"/>
          <w:szCs w:val="22"/>
          <w:lang w:val="es-ES_tradnl"/>
        </w:rPr>
        <w:t>.</w:t>
      </w:r>
      <w:r w:rsidR="00D071D8" w:rsidRPr="00AC3626">
        <w:rPr>
          <w:i/>
          <w:sz w:val="22"/>
          <w:szCs w:val="22"/>
          <w:lang w:val="es-ES_tradnl"/>
        </w:rPr>
        <w:t>;</w:t>
      </w:r>
    </w:p>
    <w:bookmarkEnd w:id="1"/>
    <w:p w14:paraId="3934EE9F" w14:textId="77777777" w:rsidR="00332E89" w:rsidRPr="00AC3626" w:rsidRDefault="007173B0" w:rsidP="007E4BE8">
      <w:pPr>
        <w:pStyle w:val="Texto"/>
        <w:numPr>
          <w:ilvl w:val="0"/>
          <w:numId w:val="26"/>
        </w:numPr>
        <w:spacing w:after="80" w:line="221" w:lineRule="exact"/>
        <w:ind w:left="1276" w:hanging="425"/>
        <w:rPr>
          <w:i/>
          <w:sz w:val="22"/>
          <w:szCs w:val="22"/>
          <w:lang w:val="es-ES_tradnl"/>
        </w:rPr>
      </w:pPr>
      <w:r w:rsidRPr="00AC3626">
        <w:rPr>
          <w:b/>
          <w:i/>
          <w:sz w:val="22"/>
          <w:szCs w:val="22"/>
          <w:lang w:val="es-ES_tradnl"/>
        </w:rPr>
        <w:t>ESTRUCTURA DE LOS NÚMEROS NACIONALES</w:t>
      </w:r>
      <w:r w:rsidRPr="00AC3626">
        <w:rPr>
          <w:i/>
          <w:sz w:val="22"/>
          <w:szCs w:val="22"/>
          <w:lang w:val="es-ES_tradnl"/>
        </w:rPr>
        <w:t xml:space="preserve">, </w:t>
      </w:r>
      <w:proofErr w:type="spellStart"/>
      <w:r w:rsidRPr="00AC3626">
        <w:rPr>
          <w:i/>
          <w:sz w:val="22"/>
          <w:szCs w:val="22"/>
          <w:lang w:val="es-ES_tradnl"/>
        </w:rPr>
        <w:t>subnumerales</w:t>
      </w:r>
      <w:proofErr w:type="spellEnd"/>
      <w:r w:rsidRPr="00AC3626">
        <w:rPr>
          <w:i/>
          <w:sz w:val="22"/>
          <w:szCs w:val="22"/>
          <w:lang w:val="es-ES_tradnl"/>
        </w:rPr>
        <w:t xml:space="preserve"> 7.1</w:t>
      </w:r>
      <w:r w:rsidR="008E095F">
        <w:rPr>
          <w:i/>
          <w:sz w:val="22"/>
          <w:szCs w:val="22"/>
          <w:lang w:val="es-ES_tradnl"/>
        </w:rPr>
        <w:t>.</w:t>
      </w:r>
      <w:r w:rsidRPr="00AC3626">
        <w:rPr>
          <w:i/>
          <w:sz w:val="22"/>
          <w:szCs w:val="22"/>
          <w:lang w:val="es-ES_tradnl"/>
        </w:rPr>
        <w:t xml:space="preserve"> y 7.2</w:t>
      </w:r>
      <w:r w:rsidR="008E095F">
        <w:rPr>
          <w:i/>
          <w:sz w:val="22"/>
          <w:szCs w:val="22"/>
          <w:lang w:val="es-ES_tradnl"/>
        </w:rPr>
        <w:t>.</w:t>
      </w:r>
      <w:r w:rsidRPr="00AC3626">
        <w:rPr>
          <w:i/>
          <w:sz w:val="22"/>
          <w:szCs w:val="22"/>
          <w:lang w:val="es-ES_tradnl"/>
        </w:rPr>
        <w:t>;</w:t>
      </w:r>
    </w:p>
    <w:p w14:paraId="3EB309C0" w14:textId="77777777" w:rsidR="007173B0" w:rsidRPr="00AC3626" w:rsidRDefault="007173B0" w:rsidP="007E4BE8">
      <w:pPr>
        <w:pStyle w:val="Texto"/>
        <w:numPr>
          <w:ilvl w:val="0"/>
          <w:numId w:val="26"/>
        </w:numPr>
        <w:spacing w:after="80" w:line="221" w:lineRule="exact"/>
        <w:ind w:left="1276" w:hanging="425"/>
        <w:rPr>
          <w:i/>
          <w:sz w:val="22"/>
          <w:szCs w:val="22"/>
          <w:lang w:val="es-ES_tradnl"/>
        </w:rPr>
      </w:pPr>
      <w:r w:rsidRPr="00AC3626">
        <w:rPr>
          <w:b/>
          <w:i/>
          <w:sz w:val="22"/>
          <w:szCs w:val="22"/>
          <w:lang w:val="es-ES_tradnl"/>
        </w:rPr>
        <w:t>ESTRUCTURA DE LOS NÚMEROS NO GEOGRÁFICOS</w:t>
      </w:r>
      <w:r w:rsidRPr="00AC3626">
        <w:rPr>
          <w:i/>
          <w:sz w:val="22"/>
          <w:szCs w:val="22"/>
          <w:lang w:val="es-ES_tradnl"/>
        </w:rPr>
        <w:t xml:space="preserve">, primero, segundo y tercer párrafos; </w:t>
      </w:r>
      <w:proofErr w:type="spellStart"/>
      <w:r w:rsidRPr="00AC3626">
        <w:rPr>
          <w:i/>
          <w:sz w:val="22"/>
          <w:szCs w:val="22"/>
          <w:lang w:val="es-ES_tradnl"/>
        </w:rPr>
        <w:t>subnumerales</w:t>
      </w:r>
      <w:proofErr w:type="spellEnd"/>
      <w:r w:rsidRPr="00AC3626">
        <w:rPr>
          <w:i/>
          <w:sz w:val="22"/>
          <w:szCs w:val="22"/>
          <w:lang w:val="es-ES_tradnl"/>
        </w:rPr>
        <w:t xml:space="preserve"> 8.1</w:t>
      </w:r>
      <w:r w:rsidR="008E095F">
        <w:rPr>
          <w:i/>
          <w:sz w:val="22"/>
          <w:szCs w:val="22"/>
          <w:lang w:val="es-ES_tradnl"/>
        </w:rPr>
        <w:t>.</w:t>
      </w:r>
      <w:r w:rsidRPr="00AC3626">
        <w:rPr>
          <w:i/>
          <w:sz w:val="22"/>
          <w:szCs w:val="22"/>
          <w:lang w:val="es-ES_tradnl"/>
        </w:rPr>
        <w:t xml:space="preserve"> y 8.2</w:t>
      </w:r>
      <w:r w:rsidR="008E095F">
        <w:rPr>
          <w:i/>
          <w:sz w:val="22"/>
          <w:szCs w:val="22"/>
          <w:lang w:val="es-ES_tradnl"/>
        </w:rPr>
        <w:t>.</w:t>
      </w:r>
      <w:r w:rsidRPr="00AC3626">
        <w:rPr>
          <w:i/>
          <w:sz w:val="22"/>
          <w:szCs w:val="22"/>
          <w:lang w:val="es-ES_tradnl"/>
        </w:rPr>
        <w:t xml:space="preserve">; </w:t>
      </w:r>
    </w:p>
    <w:p w14:paraId="7589E93B" w14:textId="77777777" w:rsidR="002C4101" w:rsidRPr="00AC3626" w:rsidRDefault="008022F9" w:rsidP="007E4BE8">
      <w:pPr>
        <w:pStyle w:val="Texto"/>
        <w:numPr>
          <w:ilvl w:val="0"/>
          <w:numId w:val="26"/>
        </w:numPr>
        <w:spacing w:after="80" w:line="221" w:lineRule="exact"/>
        <w:ind w:left="1276" w:hanging="425"/>
        <w:rPr>
          <w:i/>
          <w:sz w:val="22"/>
          <w:szCs w:val="22"/>
          <w:lang w:val="es-ES_tradnl"/>
        </w:rPr>
      </w:pPr>
      <w:r w:rsidRPr="00AC3626">
        <w:rPr>
          <w:b/>
          <w:i/>
          <w:sz w:val="22"/>
          <w:szCs w:val="22"/>
          <w:lang w:val="es-ES_tradnl"/>
        </w:rPr>
        <w:t>ESTRUCTURA DE LOS CÓDIGOS DE SERVICIOS ESPECIALES</w:t>
      </w:r>
      <w:r w:rsidRPr="00AC3626">
        <w:rPr>
          <w:i/>
          <w:sz w:val="22"/>
          <w:szCs w:val="22"/>
          <w:lang w:val="es-ES_tradnl"/>
        </w:rPr>
        <w:t xml:space="preserve">, primer párrafo; </w:t>
      </w:r>
      <w:proofErr w:type="spellStart"/>
      <w:r w:rsidRPr="00AC3626">
        <w:rPr>
          <w:i/>
          <w:sz w:val="22"/>
          <w:szCs w:val="22"/>
          <w:lang w:val="es-ES_tradnl"/>
        </w:rPr>
        <w:t>subnumerales</w:t>
      </w:r>
      <w:proofErr w:type="spellEnd"/>
      <w:r w:rsidRPr="00AC3626">
        <w:rPr>
          <w:i/>
          <w:sz w:val="22"/>
          <w:szCs w:val="22"/>
          <w:lang w:val="es-ES_tradnl"/>
        </w:rPr>
        <w:t xml:space="preserve"> 9.1</w:t>
      </w:r>
      <w:r w:rsidR="008E095F">
        <w:rPr>
          <w:i/>
          <w:sz w:val="22"/>
          <w:szCs w:val="22"/>
          <w:lang w:val="es-ES_tradnl"/>
        </w:rPr>
        <w:t>.</w:t>
      </w:r>
      <w:r w:rsidR="003C2349" w:rsidRPr="00AC3626">
        <w:rPr>
          <w:i/>
          <w:sz w:val="22"/>
          <w:szCs w:val="22"/>
          <w:lang w:val="es-ES_tradnl"/>
        </w:rPr>
        <w:t xml:space="preserve"> a </w:t>
      </w:r>
      <w:r w:rsidRPr="00AC3626">
        <w:rPr>
          <w:i/>
          <w:sz w:val="22"/>
          <w:szCs w:val="22"/>
          <w:lang w:val="es-ES_tradnl"/>
        </w:rPr>
        <w:t>9.5</w:t>
      </w:r>
      <w:r w:rsidR="008E095F">
        <w:rPr>
          <w:i/>
          <w:sz w:val="22"/>
          <w:szCs w:val="22"/>
          <w:lang w:val="es-ES_tradnl"/>
        </w:rPr>
        <w:t>.</w:t>
      </w:r>
      <w:r w:rsidRPr="00AC3626">
        <w:rPr>
          <w:i/>
          <w:sz w:val="22"/>
          <w:szCs w:val="22"/>
          <w:lang w:val="es-ES_tradnl"/>
        </w:rPr>
        <w:t>; 9.6.1</w:t>
      </w:r>
      <w:r w:rsidR="008E095F">
        <w:rPr>
          <w:i/>
          <w:sz w:val="22"/>
          <w:szCs w:val="22"/>
          <w:lang w:val="es-ES_tradnl"/>
        </w:rPr>
        <w:t>.</w:t>
      </w:r>
      <w:r w:rsidRPr="00AC3626">
        <w:rPr>
          <w:i/>
          <w:sz w:val="22"/>
          <w:szCs w:val="22"/>
          <w:lang w:val="es-ES_tradnl"/>
        </w:rPr>
        <w:t>; 9.6.2</w:t>
      </w:r>
      <w:r w:rsidR="008E095F">
        <w:rPr>
          <w:i/>
          <w:sz w:val="22"/>
          <w:szCs w:val="22"/>
          <w:lang w:val="es-ES_tradnl"/>
        </w:rPr>
        <w:t>.</w:t>
      </w:r>
      <w:r w:rsidR="00C85915" w:rsidRPr="00AC3626">
        <w:rPr>
          <w:i/>
          <w:sz w:val="22"/>
          <w:szCs w:val="22"/>
          <w:lang w:val="es-ES_tradnl"/>
        </w:rPr>
        <w:t xml:space="preserve"> a</w:t>
      </w:r>
      <w:r w:rsidRPr="00AC3626">
        <w:rPr>
          <w:i/>
          <w:sz w:val="22"/>
          <w:szCs w:val="22"/>
          <w:lang w:val="es-ES_tradnl"/>
        </w:rPr>
        <w:t xml:space="preserve"> 9.6.9</w:t>
      </w:r>
      <w:r w:rsidR="008E095F">
        <w:rPr>
          <w:i/>
          <w:sz w:val="22"/>
          <w:szCs w:val="22"/>
          <w:lang w:val="es-ES_tradnl"/>
        </w:rPr>
        <w:t>.</w:t>
      </w:r>
      <w:r w:rsidR="002C4101" w:rsidRPr="00AC3626">
        <w:rPr>
          <w:i/>
          <w:sz w:val="22"/>
          <w:szCs w:val="22"/>
          <w:lang w:val="es-ES_tradnl"/>
        </w:rPr>
        <w:t>; 9.6.10</w:t>
      </w:r>
      <w:r w:rsidR="008E095F">
        <w:rPr>
          <w:i/>
          <w:sz w:val="22"/>
          <w:szCs w:val="22"/>
          <w:lang w:val="es-ES_tradnl"/>
        </w:rPr>
        <w:t>.</w:t>
      </w:r>
      <w:r w:rsidR="002C4101" w:rsidRPr="00AC3626">
        <w:rPr>
          <w:i/>
          <w:sz w:val="22"/>
          <w:szCs w:val="22"/>
          <w:lang w:val="es-ES_tradnl"/>
        </w:rPr>
        <w:t xml:space="preserve"> y 9.6.11</w:t>
      </w:r>
      <w:r w:rsidR="008E095F">
        <w:rPr>
          <w:i/>
          <w:sz w:val="22"/>
          <w:szCs w:val="22"/>
          <w:lang w:val="es-ES_tradnl"/>
        </w:rPr>
        <w:t>.</w:t>
      </w:r>
      <w:r w:rsidR="002C4101" w:rsidRPr="00AC3626">
        <w:rPr>
          <w:i/>
          <w:sz w:val="22"/>
          <w:szCs w:val="22"/>
          <w:lang w:val="es-ES_tradnl"/>
        </w:rPr>
        <w:t>;</w:t>
      </w:r>
    </w:p>
    <w:p w14:paraId="46C57E82" w14:textId="77777777" w:rsidR="008022F9" w:rsidRPr="00AC3626" w:rsidRDefault="002C4101" w:rsidP="007E4BE8">
      <w:pPr>
        <w:pStyle w:val="Texto"/>
        <w:numPr>
          <w:ilvl w:val="0"/>
          <w:numId w:val="26"/>
        </w:numPr>
        <w:spacing w:after="80" w:line="221" w:lineRule="exact"/>
        <w:ind w:left="1276" w:hanging="425"/>
        <w:rPr>
          <w:i/>
          <w:sz w:val="22"/>
          <w:szCs w:val="22"/>
          <w:lang w:val="es-ES_tradnl"/>
        </w:rPr>
      </w:pPr>
      <w:r w:rsidRPr="00AC3626">
        <w:rPr>
          <w:b/>
          <w:i/>
          <w:sz w:val="22"/>
          <w:szCs w:val="22"/>
          <w:lang w:val="es-ES_tradnl"/>
        </w:rPr>
        <w:t>PREFIJO DE ACCESO AL SERVICIO DE LARGA DISTANCIA INTERNACIONAL</w:t>
      </w:r>
      <w:r w:rsidRPr="00AC3626">
        <w:rPr>
          <w:i/>
          <w:sz w:val="22"/>
          <w:szCs w:val="22"/>
          <w:lang w:val="es-ES_tradnl"/>
        </w:rPr>
        <w:t>;</w:t>
      </w:r>
    </w:p>
    <w:p w14:paraId="219327A8" w14:textId="3A953A81" w:rsidR="002C4101" w:rsidRPr="00AC3626" w:rsidRDefault="002C4101" w:rsidP="007E4BE8">
      <w:pPr>
        <w:pStyle w:val="Texto"/>
        <w:numPr>
          <w:ilvl w:val="0"/>
          <w:numId w:val="26"/>
        </w:numPr>
        <w:spacing w:after="80" w:line="221" w:lineRule="exact"/>
        <w:ind w:left="1276" w:hanging="425"/>
        <w:rPr>
          <w:i/>
          <w:sz w:val="22"/>
          <w:szCs w:val="22"/>
          <w:lang w:val="es-ES_tradnl"/>
        </w:rPr>
      </w:pPr>
      <w:r w:rsidRPr="00AC3626">
        <w:rPr>
          <w:b/>
          <w:i/>
          <w:sz w:val="22"/>
          <w:szCs w:val="22"/>
          <w:lang w:val="es-ES_tradnl"/>
        </w:rPr>
        <w:t>DE LOS CÓDIGOS DE IDENTIFICACIÓN DE PROVEEDORES DE SERVICIOS DE TELECOMUNICACIONES</w:t>
      </w:r>
      <w:r w:rsidRPr="00AC3626">
        <w:rPr>
          <w:i/>
          <w:sz w:val="22"/>
          <w:szCs w:val="22"/>
          <w:lang w:val="es-ES_tradnl"/>
        </w:rPr>
        <w:t xml:space="preserve">, primero y segundo párrafo; </w:t>
      </w:r>
      <w:proofErr w:type="spellStart"/>
      <w:r w:rsidRPr="00AC3626">
        <w:rPr>
          <w:i/>
          <w:sz w:val="22"/>
          <w:szCs w:val="22"/>
          <w:lang w:val="es-ES_tradnl"/>
        </w:rPr>
        <w:t>subnumerales</w:t>
      </w:r>
      <w:proofErr w:type="spellEnd"/>
      <w:r w:rsidRPr="00AC3626">
        <w:rPr>
          <w:i/>
          <w:sz w:val="22"/>
          <w:szCs w:val="22"/>
          <w:lang w:val="es-ES_tradnl"/>
        </w:rPr>
        <w:t xml:space="preserve"> 11.1</w:t>
      </w:r>
      <w:r w:rsidR="008E095F">
        <w:rPr>
          <w:i/>
          <w:sz w:val="22"/>
          <w:szCs w:val="22"/>
          <w:lang w:val="es-ES_tradnl"/>
        </w:rPr>
        <w:t>.</w:t>
      </w:r>
      <w:r w:rsidRPr="00AC3626">
        <w:rPr>
          <w:i/>
          <w:sz w:val="22"/>
          <w:szCs w:val="22"/>
          <w:lang w:val="es-ES_tradnl"/>
        </w:rPr>
        <w:t>; 11.2</w:t>
      </w:r>
      <w:r w:rsidR="008E095F">
        <w:rPr>
          <w:i/>
          <w:sz w:val="22"/>
          <w:szCs w:val="22"/>
          <w:lang w:val="es-ES_tradnl"/>
        </w:rPr>
        <w:t>.</w:t>
      </w:r>
      <w:r w:rsidRPr="00AC3626">
        <w:rPr>
          <w:i/>
          <w:sz w:val="22"/>
          <w:szCs w:val="22"/>
          <w:lang w:val="es-ES_tradnl"/>
        </w:rPr>
        <w:t>; 11.3</w:t>
      </w:r>
      <w:r w:rsidR="008E095F">
        <w:rPr>
          <w:i/>
          <w:sz w:val="22"/>
          <w:szCs w:val="22"/>
          <w:lang w:val="es-ES_tradnl"/>
        </w:rPr>
        <w:t>.</w:t>
      </w:r>
      <w:r w:rsidRPr="00AC3626">
        <w:rPr>
          <w:i/>
          <w:sz w:val="22"/>
          <w:szCs w:val="22"/>
          <w:lang w:val="es-ES_tradnl"/>
        </w:rPr>
        <w:t>; 11.4.1</w:t>
      </w:r>
      <w:r w:rsidR="008E095F">
        <w:rPr>
          <w:i/>
          <w:sz w:val="22"/>
          <w:szCs w:val="22"/>
          <w:lang w:val="es-ES_tradnl"/>
        </w:rPr>
        <w:t>.</w:t>
      </w:r>
      <w:r w:rsidRPr="00AC3626">
        <w:rPr>
          <w:i/>
          <w:sz w:val="22"/>
          <w:szCs w:val="22"/>
          <w:lang w:val="es-ES_tradnl"/>
        </w:rPr>
        <w:t xml:space="preserve">; </w:t>
      </w:r>
      <w:r w:rsidR="009D501B" w:rsidRPr="00AC3626">
        <w:rPr>
          <w:i/>
          <w:sz w:val="22"/>
          <w:szCs w:val="22"/>
          <w:lang w:val="es-ES_tradnl"/>
        </w:rPr>
        <w:t>11.4.2</w:t>
      </w:r>
      <w:r w:rsidR="008E095F">
        <w:rPr>
          <w:i/>
          <w:sz w:val="22"/>
          <w:szCs w:val="22"/>
          <w:lang w:val="es-ES_tradnl"/>
        </w:rPr>
        <w:t>.</w:t>
      </w:r>
      <w:r w:rsidR="009D501B" w:rsidRPr="00AC3626">
        <w:rPr>
          <w:i/>
          <w:sz w:val="22"/>
          <w:szCs w:val="22"/>
          <w:lang w:val="es-ES_tradnl"/>
        </w:rPr>
        <w:t>; 11.4.3</w:t>
      </w:r>
      <w:r w:rsidR="008E095F">
        <w:rPr>
          <w:i/>
          <w:sz w:val="22"/>
          <w:szCs w:val="22"/>
          <w:lang w:val="es-ES_tradnl"/>
        </w:rPr>
        <w:t>.</w:t>
      </w:r>
      <w:r w:rsidR="00F13E20" w:rsidRPr="00AC3626">
        <w:rPr>
          <w:i/>
          <w:sz w:val="22"/>
          <w:szCs w:val="22"/>
          <w:lang w:val="es-ES_tradnl"/>
        </w:rPr>
        <w:t xml:space="preserve"> y 11.4.4</w:t>
      </w:r>
      <w:r w:rsidR="001665CD">
        <w:rPr>
          <w:i/>
          <w:sz w:val="22"/>
          <w:szCs w:val="22"/>
          <w:lang w:val="es-ES_tradnl"/>
        </w:rPr>
        <w:t xml:space="preserve"> primero y segundo párrafo</w:t>
      </w:r>
      <w:r w:rsidR="008E095F">
        <w:rPr>
          <w:i/>
          <w:sz w:val="22"/>
          <w:szCs w:val="22"/>
          <w:lang w:val="es-ES_tradnl"/>
        </w:rPr>
        <w:t>.</w:t>
      </w:r>
      <w:r w:rsidR="00F13E20" w:rsidRPr="00AC3626">
        <w:rPr>
          <w:i/>
          <w:sz w:val="22"/>
          <w:szCs w:val="22"/>
          <w:lang w:val="es-ES_tradnl"/>
        </w:rPr>
        <w:t>; y</w:t>
      </w:r>
    </w:p>
    <w:p w14:paraId="2565171F" w14:textId="77777777" w:rsidR="00F13E20" w:rsidRPr="00AC3626" w:rsidRDefault="00F13E20" w:rsidP="007E4BE8">
      <w:pPr>
        <w:pStyle w:val="Texto"/>
        <w:numPr>
          <w:ilvl w:val="0"/>
          <w:numId w:val="27"/>
        </w:numPr>
        <w:spacing w:after="80" w:line="221" w:lineRule="exact"/>
        <w:ind w:left="1276" w:hanging="425"/>
        <w:rPr>
          <w:i/>
          <w:sz w:val="22"/>
          <w:szCs w:val="22"/>
          <w:lang w:val="es-ES_tradnl"/>
        </w:rPr>
      </w:pPr>
      <w:r w:rsidRPr="00AC3626">
        <w:rPr>
          <w:b/>
          <w:i/>
          <w:sz w:val="22"/>
          <w:szCs w:val="22"/>
          <w:lang w:val="es-ES_tradnl"/>
        </w:rPr>
        <w:t>DEL COMITÉ</w:t>
      </w:r>
      <w:r w:rsidRPr="00AC3626">
        <w:rPr>
          <w:i/>
          <w:sz w:val="22"/>
          <w:szCs w:val="22"/>
          <w:lang w:val="es-ES_tradnl"/>
        </w:rPr>
        <w:t>.</w:t>
      </w:r>
    </w:p>
    <w:p w14:paraId="3234D7DB" w14:textId="77777777" w:rsidR="002D7BCC" w:rsidRPr="00AC3626" w:rsidRDefault="002D7BCC" w:rsidP="00B60B75">
      <w:pPr>
        <w:pStyle w:val="Texto"/>
        <w:spacing w:after="80" w:line="221" w:lineRule="exact"/>
        <w:ind w:left="709" w:hanging="272"/>
        <w:rPr>
          <w:i/>
          <w:sz w:val="22"/>
          <w:szCs w:val="22"/>
          <w:lang w:val="es-ES_tradnl"/>
        </w:rPr>
      </w:pPr>
    </w:p>
    <w:p w14:paraId="3049AD00" w14:textId="70439CE9" w:rsidR="002D7BCC" w:rsidRDefault="002D7BCC" w:rsidP="00824BCE">
      <w:pPr>
        <w:pStyle w:val="Texto"/>
        <w:spacing w:after="80" w:line="221" w:lineRule="exact"/>
        <w:ind w:left="426" w:firstLine="0"/>
        <w:rPr>
          <w:i/>
          <w:sz w:val="22"/>
          <w:szCs w:val="22"/>
          <w:lang w:val="es-ES_tradnl"/>
        </w:rPr>
      </w:pPr>
      <w:r w:rsidRPr="00AC3626">
        <w:rPr>
          <w:b/>
          <w:i/>
          <w:sz w:val="22"/>
          <w:szCs w:val="22"/>
          <w:lang w:val="es-ES_tradnl"/>
        </w:rPr>
        <w:t>SEGUNDO.</w:t>
      </w:r>
      <w:r w:rsidRPr="00AC3626">
        <w:rPr>
          <w:i/>
          <w:sz w:val="22"/>
          <w:szCs w:val="22"/>
          <w:lang w:val="es-ES_tradnl"/>
        </w:rPr>
        <w:t xml:space="preserve"> Previ</w:t>
      </w:r>
      <w:r w:rsidR="00DB5252">
        <w:rPr>
          <w:i/>
          <w:sz w:val="22"/>
          <w:szCs w:val="22"/>
          <w:lang w:val="es-ES_tradnl"/>
        </w:rPr>
        <w:t>amente</w:t>
      </w:r>
      <w:r w:rsidRPr="00AC3626">
        <w:rPr>
          <w:i/>
          <w:sz w:val="22"/>
          <w:szCs w:val="22"/>
          <w:lang w:val="es-ES_tradnl"/>
        </w:rPr>
        <w:t xml:space="preserve"> a la entrada en producción del Sistema Electrónico y de las modificaciones al Sistema de Numeración</w:t>
      </w:r>
      <w:r w:rsidR="00F30823" w:rsidRPr="00AC3626">
        <w:rPr>
          <w:i/>
          <w:sz w:val="22"/>
          <w:szCs w:val="22"/>
          <w:lang w:val="es-ES_tradnl"/>
        </w:rPr>
        <w:t xml:space="preserve"> y Señalización</w:t>
      </w:r>
      <w:r w:rsidRPr="00AC3626">
        <w:rPr>
          <w:i/>
          <w:sz w:val="22"/>
          <w:szCs w:val="22"/>
          <w:lang w:val="es-ES_tradnl"/>
        </w:rPr>
        <w:t xml:space="preserve"> el 1</w:t>
      </w:r>
      <w:r w:rsidR="00DB5252">
        <w:rPr>
          <w:i/>
          <w:sz w:val="22"/>
          <w:szCs w:val="22"/>
          <w:lang w:val="es-ES_tradnl"/>
        </w:rPr>
        <w:t>º</w:t>
      </w:r>
      <w:r w:rsidRPr="00AC3626">
        <w:rPr>
          <w:i/>
          <w:sz w:val="22"/>
          <w:szCs w:val="22"/>
          <w:lang w:val="es-ES_tradnl"/>
        </w:rPr>
        <w:t xml:space="preserve"> de febrero de 2022, el registro de asignaciones de códigos de servicios especiales y de matrices de enrutamiento indicado en el numeral 9.6.9</w:t>
      </w:r>
      <w:r w:rsidR="008E095F">
        <w:rPr>
          <w:i/>
          <w:sz w:val="22"/>
          <w:szCs w:val="22"/>
          <w:lang w:val="es-ES_tradnl"/>
        </w:rPr>
        <w:t>.</w:t>
      </w:r>
      <w:r w:rsidRPr="00AC3626">
        <w:rPr>
          <w:i/>
          <w:sz w:val="22"/>
          <w:szCs w:val="22"/>
          <w:lang w:val="es-ES_tradnl"/>
        </w:rPr>
        <w:t xml:space="preserve"> del presente Plan se realizará fuera del Sistema de Numeración y Señalización hasta el 31 de enero de 2022.</w:t>
      </w:r>
    </w:p>
    <w:p w14:paraId="157E9492" w14:textId="77777777" w:rsidR="00824BCE" w:rsidRDefault="00824BCE" w:rsidP="00824BCE">
      <w:pPr>
        <w:pStyle w:val="Texto"/>
        <w:spacing w:after="80" w:line="221" w:lineRule="exact"/>
        <w:ind w:left="426" w:firstLine="0"/>
        <w:rPr>
          <w:i/>
          <w:sz w:val="22"/>
          <w:szCs w:val="22"/>
          <w:lang w:val="es-ES_tradnl"/>
        </w:rPr>
      </w:pPr>
    </w:p>
    <w:p w14:paraId="34166807" w14:textId="66715901" w:rsidR="008867E3" w:rsidRDefault="008867E3" w:rsidP="002A4583">
      <w:pPr>
        <w:pStyle w:val="Texto"/>
        <w:spacing w:after="80" w:line="221" w:lineRule="exact"/>
        <w:ind w:left="426" w:firstLine="0"/>
        <w:rPr>
          <w:i/>
          <w:sz w:val="22"/>
          <w:szCs w:val="22"/>
          <w:lang w:val="es-ES_tradnl"/>
        </w:rPr>
      </w:pPr>
      <w:r w:rsidRPr="008867E3">
        <w:rPr>
          <w:b/>
          <w:i/>
          <w:sz w:val="22"/>
          <w:szCs w:val="22"/>
          <w:lang w:val="es-ES_tradnl"/>
        </w:rPr>
        <w:t>TERCERO.</w:t>
      </w:r>
      <w:r>
        <w:rPr>
          <w:i/>
          <w:sz w:val="22"/>
          <w:szCs w:val="22"/>
          <w:lang w:val="es-ES_tradnl"/>
        </w:rPr>
        <w:t xml:space="preserve"> Previ</w:t>
      </w:r>
      <w:r w:rsidR="00DB5252">
        <w:rPr>
          <w:i/>
          <w:sz w:val="22"/>
          <w:szCs w:val="22"/>
          <w:lang w:val="es-ES_tradnl"/>
        </w:rPr>
        <w:t>amente</w:t>
      </w:r>
      <w:r>
        <w:rPr>
          <w:i/>
          <w:sz w:val="22"/>
          <w:szCs w:val="22"/>
          <w:lang w:val="es-ES_tradnl"/>
        </w:rPr>
        <w:t xml:space="preserve"> al 1</w:t>
      </w:r>
      <w:r w:rsidR="00DB5252">
        <w:rPr>
          <w:i/>
          <w:sz w:val="22"/>
          <w:szCs w:val="22"/>
          <w:lang w:val="es-ES_tradnl"/>
        </w:rPr>
        <w:t>º de</w:t>
      </w:r>
      <w:r>
        <w:rPr>
          <w:i/>
          <w:sz w:val="22"/>
          <w:szCs w:val="22"/>
          <w:lang w:val="es-ES_tradnl"/>
        </w:rPr>
        <w:t xml:space="preserve"> febrero de 2022 la referencia a todas las Zonas, contenida en el numeral 11.4.1 del presente Plan, deberá entenderse como la totalidad del área de cobertura en que preste servicios un Concesionario.</w:t>
      </w:r>
    </w:p>
    <w:p w14:paraId="5AA196DA" w14:textId="77777777" w:rsidR="00824BCE" w:rsidRDefault="00824BCE" w:rsidP="002A4583">
      <w:pPr>
        <w:pStyle w:val="Texto"/>
        <w:spacing w:after="80" w:line="221" w:lineRule="exact"/>
        <w:ind w:left="426" w:firstLine="0"/>
        <w:rPr>
          <w:i/>
          <w:sz w:val="22"/>
          <w:szCs w:val="22"/>
          <w:lang w:val="es-ES_tradnl"/>
        </w:rPr>
      </w:pPr>
    </w:p>
    <w:p w14:paraId="04251FE3" w14:textId="623D8909" w:rsidR="002D7BCC" w:rsidRDefault="008867E3" w:rsidP="002A4583">
      <w:pPr>
        <w:pStyle w:val="Texto"/>
        <w:spacing w:after="80" w:line="221" w:lineRule="exact"/>
        <w:ind w:left="426" w:firstLine="0"/>
        <w:rPr>
          <w:i/>
          <w:sz w:val="22"/>
          <w:szCs w:val="22"/>
          <w:lang w:val="es-ES_tradnl"/>
        </w:rPr>
      </w:pPr>
      <w:r>
        <w:rPr>
          <w:b/>
          <w:i/>
          <w:sz w:val="22"/>
          <w:szCs w:val="22"/>
          <w:lang w:val="es-ES_tradnl"/>
        </w:rPr>
        <w:t>CUARTO</w:t>
      </w:r>
      <w:r w:rsidR="002D7BCC" w:rsidRPr="00AC3626">
        <w:rPr>
          <w:b/>
          <w:i/>
          <w:sz w:val="22"/>
          <w:szCs w:val="22"/>
          <w:lang w:val="es-ES_tradnl"/>
        </w:rPr>
        <w:t>.</w:t>
      </w:r>
      <w:r w:rsidR="002D7BCC" w:rsidRPr="00AC3626">
        <w:rPr>
          <w:i/>
          <w:sz w:val="22"/>
          <w:szCs w:val="22"/>
          <w:lang w:val="es-ES_tradnl"/>
        </w:rPr>
        <w:t xml:space="preserve"> Respecto al último párrafo del numeral 11.4.4</w:t>
      </w:r>
      <w:r w:rsidR="008E095F">
        <w:rPr>
          <w:i/>
          <w:sz w:val="22"/>
          <w:szCs w:val="22"/>
          <w:lang w:val="es-ES_tradnl"/>
        </w:rPr>
        <w:t>.</w:t>
      </w:r>
      <w:r w:rsidR="002D7BCC" w:rsidRPr="00AC3626">
        <w:rPr>
          <w:i/>
          <w:sz w:val="22"/>
          <w:szCs w:val="22"/>
          <w:lang w:val="es-ES_tradnl"/>
        </w:rPr>
        <w:t xml:space="preserve"> del presente Plan, la observancia del procedimiento de integración de Códigos de Identificación de Red entrará en vigor el 1</w:t>
      </w:r>
      <w:r w:rsidR="00DB5252">
        <w:rPr>
          <w:i/>
          <w:sz w:val="22"/>
          <w:szCs w:val="22"/>
          <w:lang w:val="es-ES_tradnl"/>
        </w:rPr>
        <w:t>º</w:t>
      </w:r>
      <w:r w:rsidR="002D7BCC" w:rsidRPr="00AC3626">
        <w:rPr>
          <w:i/>
          <w:sz w:val="22"/>
          <w:szCs w:val="22"/>
          <w:lang w:val="es-ES_tradnl"/>
        </w:rPr>
        <w:t xml:space="preserve"> de febrero de 2022, una vez que</w:t>
      </w:r>
      <w:r w:rsidR="00F30823" w:rsidRPr="00AC3626">
        <w:rPr>
          <w:i/>
          <w:sz w:val="22"/>
          <w:szCs w:val="22"/>
          <w:lang w:val="es-ES_tradnl"/>
        </w:rPr>
        <w:t xml:space="preserve"> del Sistema Electrónico y las modificaciones al Sistema de Numeración y Señalización entren en producción</w:t>
      </w:r>
      <w:r w:rsidR="002D7BCC" w:rsidRPr="00AC3626">
        <w:rPr>
          <w:i/>
          <w:sz w:val="22"/>
          <w:szCs w:val="22"/>
          <w:lang w:val="es-ES_tradnl"/>
        </w:rPr>
        <w:t>.</w:t>
      </w:r>
    </w:p>
    <w:p w14:paraId="1F44F027" w14:textId="77777777" w:rsidR="00824BCE" w:rsidRPr="00AC3626" w:rsidRDefault="00824BCE" w:rsidP="002A4583">
      <w:pPr>
        <w:pStyle w:val="Texto"/>
        <w:spacing w:after="80" w:line="221" w:lineRule="exact"/>
        <w:ind w:left="426" w:firstLine="0"/>
        <w:rPr>
          <w:i/>
          <w:sz w:val="22"/>
          <w:szCs w:val="22"/>
          <w:lang w:val="es-ES_tradnl"/>
        </w:rPr>
      </w:pPr>
    </w:p>
    <w:p w14:paraId="32BDD3D9" w14:textId="1639D8AA" w:rsidR="00284523" w:rsidRPr="00AC3626" w:rsidRDefault="008867E3" w:rsidP="002A4583">
      <w:pPr>
        <w:pStyle w:val="Texto"/>
        <w:spacing w:after="80" w:line="221" w:lineRule="exact"/>
        <w:ind w:left="426" w:firstLine="0"/>
        <w:rPr>
          <w:i/>
          <w:sz w:val="22"/>
          <w:szCs w:val="22"/>
          <w:lang w:val="es-ES_tradnl"/>
        </w:rPr>
      </w:pPr>
      <w:r>
        <w:rPr>
          <w:b/>
          <w:i/>
          <w:sz w:val="22"/>
          <w:szCs w:val="22"/>
          <w:lang w:val="es-ES_tradnl"/>
        </w:rPr>
        <w:t>QUINTO</w:t>
      </w:r>
      <w:r w:rsidR="00284523" w:rsidRPr="00AC3626">
        <w:rPr>
          <w:b/>
          <w:i/>
          <w:sz w:val="22"/>
          <w:szCs w:val="22"/>
          <w:lang w:val="es-ES_tradnl"/>
        </w:rPr>
        <w:t>.</w:t>
      </w:r>
      <w:r w:rsidR="00284523" w:rsidRPr="00AC3626">
        <w:rPr>
          <w:i/>
          <w:sz w:val="22"/>
          <w:szCs w:val="22"/>
          <w:lang w:val="es-ES_tradnl"/>
        </w:rPr>
        <w:t xml:space="preserve"> Las siguientes secciones del presente Plan entrarán en v</w:t>
      </w:r>
      <w:r w:rsidR="001025F2" w:rsidRPr="00AC3626">
        <w:rPr>
          <w:i/>
          <w:sz w:val="22"/>
          <w:szCs w:val="22"/>
          <w:lang w:val="es-ES_tradnl"/>
        </w:rPr>
        <w:t>igor el día 1</w:t>
      </w:r>
      <w:r w:rsidR="00C170C1">
        <w:rPr>
          <w:i/>
          <w:sz w:val="22"/>
          <w:szCs w:val="22"/>
          <w:lang w:val="es-ES_tradnl"/>
        </w:rPr>
        <w:t>º</w:t>
      </w:r>
      <w:r w:rsidR="001025F2" w:rsidRPr="00AC3626">
        <w:rPr>
          <w:i/>
          <w:sz w:val="22"/>
          <w:szCs w:val="22"/>
          <w:lang w:val="es-ES_tradnl"/>
        </w:rPr>
        <w:t xml:space="preserve"> de febrero de 2022</w:t>
      </w:r>
      <w:r w:rsidR="00284523" w:rsidRPr="00AC3626">
        <w:rPr>
          <w:i/>
          <w:sz w:val="22"/>
          <w:szCs w:val="22"/>
          <w:lang w:val="es-ES_tradnl"/>
        </w:rPr>
        <w:t>:</w:t>
      </w:r>
    </w:p>
    <w:p w14:paraId="3774F0D8" w14:textId="77777777" w:rsidR="00F326CD" w:rsidRPr="00AC3626" w:rsidRDefault="00F326CD" w:rsidP="008C7514">
      <w:pPr>
        <w:jc w:val="both"/>
        <w:rPr>
          <w:rFonts w:ascii="Arial" w:eastAsia="Times New Roman" w:hAnsi="Arial" w:cs="Arial"/>
          <w:i/>
          <w:kern w:val="2"/>
          <w:sz w:val="22"/>
          <w:szCs w:val="22"/>
          <w:lang w:eastAsia="ar-SA"/>
        </w:rPr>
      </w:pPr>
    </w:p>
    <w:p w14:paraId="1C484D1C" w14:textId="77777777" w:rsidR="00C85915" w:rsidRPr="00AC3626" w:rsidRDefault="00C85915" w:rsidP="007E4BE8">
      <w:pPr>
        <w:pStyle w:val="Texto"/>
        <w:numPr>
          <w:ilvl w:val="0"/>
          <w:numId w:val="28"/>
        </w:numPr>
        <w:spacing w:after="80" w:line="221" w:lineRule="exact"/>
        <w:ind w:left="1276" w:hanging="425"/>
        <w:rPr>
          <w:i/>
          <w:sz w:val="22"/>
          <w:szCs w:val="22"/>
          <w:lang w:val="es-ES_tradnl"/>
        </w:rPr>
      </w:pPr>
      <w:r w:rsidRPr="00AC3626">
        <w:rPr>
          <w:b/>
          <w:i/>
          <w:sz w:val="22"/>
          <w:szCs w:val="22"/>
          <w:lang w:val="es-ES_tradnl"/>
        </w:rPr>
        <w:t>DEFINICIÓN DE TÉRMINOS</w:t>
      </w:r>
      <w:r w:rsidRPr="00AC3626">
        <w:rPr>
          <w:i/>
          <w:sz w:val="22"/>
          <w:szCs w:val="22"/>
          <w:lang w:val="es-ES_tradnl"/>
        </w:rPr>
        <w:t xml:space="preserve">: </w:t>
      </w:r>
      <w:proofErr w:type="spellStart"/>
      <w:r w:rsidRPr="00AC3626">
        <w:rPr>
          <w:i/>
          <w:sz w:val="22"/>
          <w:szCs w:val="22"/>
          <w:lang w:val="es-ES_tradnl"/>
        </w:rPr>
        <w:t>subnumerales</w:t>
      </w:r>
      <w:proofErr w:type="spellEnd"/>
      <w:r w:rsidRPr="00AC3626">
        <w:rPr>
          <w:i/>
          <w:sz w:val="22"/>
          <w:szCs w:val="22"/>
          <w:lang w:val="es-ES_tradnl"/>
        </w:rPr>
        <w:t xml:space="preserve"> 2.24</w:t>
      </w:r>
      <w:r w:rsidR="008E095F">
        <w:rPr>
          <w:i/>
          <w:sz w:val="22"/>
          <w:szCs w:val="22"/>
          <w:lang w:val="es-ES_tradnl"/>
        </w:rPr>
        <w:t>.</w:t>
      </w:r>
      <w:r w:rsidRPr="00AC3626">
        <w:rPr>
          <w:i/>
          <w:sz w:val="22"/>
          <w:szCs w:val="22"/>
          <w:lang w:val="es-ES_tradnl"/>
        </w:rPr>
        <w:t xml:space="preserve"> a 2.32</w:t>
      </w:r>
      <w:r w:rsidR="008E095F">
        <w:rPr>
          <w:i/>
          <w:sz w:val="22"/>
          <w:szCs w:val="22"/>
          <w:lang w:val="es-ES_tradnl"/>
        </w:rPr>
        <w:t>.</w:t>
      </w:r>
      <w:r w:rsidRPr="00AC3626">
        <w:rPr>
          <w:i/>
          <w:sz w:val="22"/>
          <w:szCs w:val="22"/>
          <w:lang w:val="es-ES_tradnl"/>
        </w:rPr>
        <w:t>; 2.40</w:t>
      </w:r>
      <w:r w:rsidR="008E095F">
        <w:rPr>
          <w:i/>
          <w:sz w:val="22"/>
          <w:szCs w:val="22"/>
          <w:lang w:val="es-ES_tradnl"/>
        </w:rPr>
        <w:t>.</w:t>
      </w:r>
      <w:r w:rsidRPr="00AC3626">
        <w:rPr>
          <w:i/>
          <w:sz w:val="22"/>
          <w:szCs w:val="22"/>
          <w:lang w:val="es-ES_tradnl"/>
        </w:rPr>
        <w:t>; 2.51</w:t>
      </w:r>
      <w:r w:rsidR="008E095F">
        <w:rPr>
          <w:i/>
          <w:sz w:val="22"/>
          <w:szCs w:val="22"/>
          <w:lang w:val="es-ES_tradnl"/>
        </w:rPr>
        <w:t>.</w:t>
      </w:r>
      <w:r w:rsidRPr="00AC3626">
        <w:rPr>
          <w:i/>
          <w:sz w:val="22"/>
          <w:szCs w:val="22"/>
          <w:lang w:val="es-ES_tradnl"/>
        </w:rPr>
        <w:t xml:space="preserve"> y 2.56</w:t>
      </w:r>
      <w:r w:rsidR="008E095F">
        <w:rPr>
          <w:i/>
          <w:sz w:val="22"/>
          <w:szCs w:val="22"/>
          <w:lang w:val="es-ES_tradnl"/>
        </w:rPr>
        <w:t>.</w:t>
      </w:r>
      <w:r w:rsidRPr="00AC3626">
        <w:rPr>
          <w:i/>
          <w:sz w:val="22"/>
          <w:szCs w:val="22"/>
          <w:lang w:val="es-ES_tradnl"/>
        </w:rPr>
        <w:t>;</w:t>
      </w:r>
    </w:p>
    <w:p w14:paraId="1CC2FF52" w14:textId="77777777" w:rsidR="00C85915" w:rsidRPr="00AC3626" w:rsidRDefault="00C85915" w:rsidP="007E4BE8">
      <w:pPr>
        <w:pStyle w:val="Texto"/>
        <w:numPr>
          <w:ilvl w:val="0"/>
          <w:numId w:val="29"/>
        </w:numPr>
        <w:spacing w:after="80" w:line="221" w:lineRule="exact"/>
        <w:ind w:left="1276" w:hanging="425"/>
        <w:rPr>
          <w:i/>
          <w:sz w:val="22"/>
          <w:szCs w:val="22"/>
          <w:lang w:val="es-ES_tradnl"/>
        </w:rPr>
      </w:pPr>
      <w:r w:rsidRPr="00AC3626">
        <w:rPr>
          <w:b/>
          <w:i/>
          <w:sz w:val="22"/>
          <w:szCs w:val="22"/>
          <w:lang w:val="es-ES_tradnl"/>
        </w:rPr>
        <w:t>ATRIBUCIONES DEL INSTITUTO</w:t>
      </w:r>
      <w:r w:rsidRPr="00AC3626">
        <w:rPr>
          <w:i/>
          <w:sz w:val="22"/>
          <w:szCs w:val="22"/>
          <w:lang w:val="es-ES_tradnl"/>
        </w:rPr>
        <w:t xml:space="preserve">, </w:t>
      </w:r>
      <w:proofErr w:type="spellStart"/>
      <w:r w:rsidRPr="00AC3626">
        <w:rPr>
          <w:i/>
          <w:sz w:val="22"/>
          <w:szCs w:val="22"/>
          <w:lang w:val="es-ES_tradnl"/>
        </w:rPr>
        <w:t>subnumerales</w:t>
      </w:r>
      <w:proofErr w:type="spellEnd"/>
      <w:r w:rsidRPr="00AC3626">
        <w:rPr>
          <w:i/>
          <w:sz w:val="22"/>
          <w:szCs w:val="22"/>
          <w:lang w:val="es-ES_tradnl"/>
        </w:rPr>
        <w:t xml:space="preserve"> 5.2.3</w:t>
      </w:r>
      <w:r w:rsidR="008E095F">
        <w:rPr>
          <w:i/>
          <w:sz w:val="22"/>
          <w:szCs w:val="22"/>
          <w:lang w:val="es-ES_tradnl"/>
        </w:rPr>
        <w:t>.</w:t>
      </w:r>
      <w:r w:rsidRPr="00AC3626">
        <w:rPr>
          <w:i/>
          <w:sz w:val="22"/>
          <w:szCs w:val="22"/>
          <w:lang w:val="es-ES_tradnl"/>
        </w:rPr>
        <w:t xml:space="preserve"> y 5.2.5</w:t>
      </w:r>
      <w:r w:rsidR="008E095F">
        <w:rPr>
          <w:i/>
          <w:sz w:val="22"/>
          <w:szCs w:val="22"/>
          <w:lang w:val="es-ES_tradnl"/>
        </w:rPr>
        <w:t>.</w:t>
      </w:r>
      <w:r w:rsidRPr="00AC3626">
        <w:rPr>
          <w:i/>
          <w:sz w:val="22"/>
          <w:szCs w:val="22"/>
          <w:lang w:val="es-ES_tradnl"/>
        </w:rPr>
        <w:t>;</w:t>
      </w:r>
    </w:p>
    <w:p w14:paraId="7FC99F96" w14:textId="77777777" w:rsidR="00C85915" w:rsidRPr="00AC3626" w:rsidRDefault="00C85915" w:rsidP="007E4BE8">
      <w:pPr>
        <w:pStyle w:val="Texto"/>
        <w:numPr>
          <w:ilvl w:val="0"/>
          <w:numId w:val="30"/>
        </w:numPr>
        <w:spacing w:after="80" w:line="221" w:lineRule="exact"/>
        <w:ind w:left="1276" w:hanging="425"/>
        <w:rPr>
          <w:i/>
          <w:sz w:val="22"/>
          <w:szCs w:val="22"/>
          <w:lang w:val="es-ES_tradnl"/>
        </w:rPr>
      </w:pPr>
      <w:r w:rsidRPr="00AC3626">
        <w:rPr>
          <w:b/>
          <w:i/>
          <w:sz w:val="22"/>
          <w:szCs w:val="22"/>
          <w:lang w:val="es-ES_tradnl"/>
        </w:rPr>
        <w:t>DE LAS ZONAS;</w:t>
      </w:r>
    </w:p>
    <w:p w14:paraId="74FC4389" w14:textId="77777777" w:rsidR="00CD41F1" w:rsidRPr="00AC3626" w:rsidRDefault="00CD41F1" w:rsidP="007E4BE8">
      <w:pPr>
        <w:pStyle w:val="Texto"/>
        <w:numPr>
          <w:ilvl w:val="0"/>
          <w:numId w:val="30"/>
        </w:numPr>
        <w:spacing w:after="80" w:line="221" w:lineRule="exact"/>
        <w:ind w:left="1276" w:hanging="425"/>
        <w:rPr>
          <w:i/>
          <w:sz w:val="22"/>
          <w:szCs w:val="22"/>
          <w:lang w:val="es-ES_tradnl"/>
        </w:rPr>
      </w:pPr>
      <w:r w:rsidRPr="00AC3626">
        <w:rPr>
          <w:b/>
          <w:i/>
          <w:sz w:val="22"/>
          <w:szCs w:val="22"/>
          <w:lang w:val="es-ES_tradnl"/>
        </w:rPr>
        <w:t>ESTRUCTURA DE LOS NÚMEROS NACIONALES</w:t>
      </w:r>
      <w:r w:rsidRPr="00AC3626">
        <w:rPr>
          <w:i/>
          <w:sz w:val="22"/>
          <w:szCs w:val="22"/>
          <w:lang w:val="es-ES_tradnl"/>
        </w:rPr>
        <w:t xml:space="preserve">, </w:t>
      </w:r>
      <w:proofErr w:type="spellStart"/>
      <w:r w:rsidRPr="00AC3626">
        <w:rPr>
          <w:i/>
          <w:sz w:val="22"/>
          <w:szCs w:val="22"/>
          <w:lang w:val="es-ES_tradnl"/>
        </w:rPr>
        <w:t>subnumerales</w:t>
      </w:r>
      <w:proofErr w:type="spellEnd"/>
      <w:r w:rsidRPr="00AC3626">
        <w:rPr>
          <w:i/>
          <w:sz w:val="22"/>
          <w:szCs w:val="22"/>
          <w:lang w:val="es-ES_tradnl"/>
        </w:rPr>
        <w:t xml:space="preserve"> 7.3</w:t>
      </w:r>
      <w:r w:rsidR="008E095F">
        <w:rPr>
          <w:i/>
          <w:sz w:val="22"/>
          <w:szCs w:val="22"/>
          <w:lang w:val="es-ES_tradnl"/>
        </w:rPr>
        <w:t>.</w:t>
      </w:r>
      <w:r w:rsidRPr="00AC3626">
        <w:rPr>
          <w:i/>
          <w:sz w:val="22"/>
          <w:szCs w:val="22"/>
          <w:lang w:val="es-ES_tradnl"/>
        </w:rPr>
        <w:t xml:space="preserve"> a 7.6</w:t>
      </w:r>
      <w:r w:rsidR="008E095F">
        <w:rPr>
          <w:i/>
          <w:sz w:val="22"/>
          <w:szCs w:val="22"/>
          <w:lang w:val="es-ES_tradnl"/>
        </w:rPr>
        <w:t>.</w:t>
      </w:r>
      <w:r w:rsidRPr="00AC3626">
        <w:rPr>
          <w:i/>
          <w:sz w:val="22"/>
          <w:szCs w:val="22"/>
          <w:lang w:val="es-ES_tradnl"/>
        </w:rPr>
        <w:t>;</w:t>
      </w:r>
    </w:p>
    <w:p w14:paraId="0CB7DD54" w14:textId="77777777" w:rsidR="00CD41F1" w:rsidRPr="00AC3626" w:rsidRDefault="00CD41F1" w:rsidP="007E4BE8">
      <w:pPr>
        <w:pStyle w:val="Texto"/>
        <w:numPr>
          <w:ilvl w:val="0"/>
          <w:numId w:val="30"/>
        </w:numPr>
        <w:spacing w:after="80" w:line="221" w:lineRule="exact"/>
        <w:ind w:left="1276" w:hanging="425"/>
        <w:rPr>
          <w:i/>
          <w:sz w:val="22"/>
          <w:szCs w:val="22"/>
          <w:lang w:val="es-ES_tradnl"/>
        </w:rPr>
      </w:pPr>
      <w:r w:rsidRPr="00AC3626">
        <w:rPr>
          <w:b/>
          <w:i/>
          <w:sz w:val="22"/>
          <w:szCs w:val="22"/>
          <w:lang w:val="es-ES_tradnl"/>
        </w:rPr>
        <w:t>ESTRUCTURA DE LOS NÚMEROS NO GEOGRÁFICOS</w:t>
      </w:r>
      <w:r w:rsidRPr="00AC3626">
        <w:rPr>
          <w:i/>
          <w:sz w:val="22"/>
          <w:szCs w:val="22"/>
          <w:lang w:val="es-ES_tradnl"/>
        </w:rPr>
        <w:t xml:space="preserve">, </w:t>
      </w:r>
      <w:proofErr w:type="spellStart"/>
      <w:r w:rsidRPr="00AC3626">
        <w:rPr>
          <w:i/>
          <w:sz w:val="22"/>
          <w:szCs w:val="22"/>
          <w:lang w:val="es-ES_tradnl"/>
        </w:rPr>
        <w:t>subnumerales</w:t>
      </w:r>
      <w:proofErr w:type="spellEnd"/>
      <w:r w:rsidRPr="00AC3626">
        <w:rPr>
          <w:i/>
          <w:sz w:val="22"/>
          <w:szCs w:val="22"/>
          <w:lang w:val="es-ES_tradnl"/>
        </w:rPr>
        <w:t xml:space="preserve"> 8.</w:t>
      </w:r>
      <w:r w:rsidR="009D70C6" w:rsidRPr="00AC3626">
        <w:rPr>
          <w:i/>
          <w:sz w:val="22"/>
          <w:szCs w:val="22"/>
          <w:lang w:val="es-ES_tradnl"/>
        </w:rPr>
        <w:t>3</w:t>
      </w:r>
      <w:r w:rsidR="008E095F">
        <w:rPr>
          <w:i/>
          <w:sz w:val="22"/>
          <w:szCs w:val="22"/>
          <w:lang w:val="es-ES_tradnl"/>
        </w:rPr>
        <w:t>.</w:t>
      </w:r>
      <w:r w:rsidRPr="00AC3626">
        <w:rPr>
          <w:i/>
          <w:sz w:val="22"/>
          <w:szCs w:val="22"/>
          <w:lang w:val="es-ES_tradnl"/>
        </w:rPr>
        <w:t xml:space="preserve"> </w:t>
      </w:r>
      <w:r w:rsidR="009D70C6" w:rsidRPr="00AC3626">
        <w:rPr>
          <w:i/>
          <w:sz w:val="22"/>
          <w:szCs w:val="22"/>
          <w:lang w:val="es-ES_tradnl"/>
        </w:rPr>
        <w:t>a</w:t>
      </w:r>
      <w:r w:rsidRPr="00AC3626">
        <w:rPr>
          <w:i/>
          <w:sz w:val="22"/>
          <w:szCs w:val="22"/>
          <w:lang w:val="es-ES_tradnl"/>
        </w:rPr>
        <w:t xml:space="preserve"> 8.</w:t>
      </w:r>
      <w:r w:rsidR="009D70C6" w:rsidRPr="00AC3626">
        <w:rPr>
          <w:i/>
          <w:sz w:val="22"/>
          <w:szCs w:val="22"/>
          <w:lang w:val="es-ES_tradnl"/>
        </w:rPr>
        <w:t>8</w:t>
      </w:r>
      <w:r w:rsidR="008E095F">
        <w:rPr>
          <w:i/>
          <w:sz w:val="22"/>
          <w:szCs w:val="22"/>
          <w:lang w:val="es-ES_tradnl"/>
        </w:rPr>
        <w:t>.</w:t>
      </w:r>
      <w:r w:rsidRPr="00AC3626">
        <w:rPr>
          <w:i/>
          <w:sz w:val="22"/>
          <w:szCs w:val="22"/>
          <w:lang w:val="es-ES_tradnl"/>
        </w:rPr>
        <w:t>;</w:t>
      </w:r>
    </w:p>
    <w:p w14:paraId="04B28B0E" w14:textId="77777777" w:rsidR="009D70C6" w:rsidRPr="00AC3626" w:rsidRDefault="009D70C6" w:rsidP="007E4BE8">
      <w:pPr>
        <w:pStyle w:val="Texto"/>
        <w:numPr>
          <w:ilvl w:val="0"/>
          <w:numId w:val="30"/>
        </w:numPr>
        <w:spacing w:after="80" w:line="221" w:lineRule="exact"/>
        <w:ind w:left="1276" w:hanging="425"/>
        <w:rPr>
          <w:i/>
          <w:sz w:val="22"/>
          <w:szCs w:val="22"/>
          <w:lang w:val="es-ES_tradnl"/>
        </w:rPr>
      </w:pPr>
      <w:r w:rsidRPr="00AC3626">
        <w:rPr>
          <w:b/>
          <w:i/>
          <w:sz w:val="22"/>
          <w:szCs w:val="22"/>
          <w:lang w:val="es-ES_tradnl"/>
        </w:rPr>
        <w:t>ESTRUCTURA DE LOS CÓDIGOS DE SERVICIOS ESPECIALES</w:t>
      </w:r>
      <w:r w:rsidRPr="00AC3626">
        <w:rPr>
          <w:i/>
          <w:sz w:val="22"/>
          <w:szCs w:val="22"/>
          <w:lang w:val="es-ES_tradnl"/>
        </w:rPr>
        <w:t xml:space="preserve">, </w:t>
      </w:r>
      <w:proofErr w:type="spellStart"/>
      <w:r w:rsidRPr="00AC3626">
        <w:rPr>
          <w:i/>
          <w:sz w:val="22"/>
          <w:szCs w:val="22"/>
          <w:lang w:val="es-ES_tradnl"/>
        </w:rPr>
        <w:t>subnumeral</w:t>
      </w:r>
      <w:proofErr w:type="spellEnd"/>
      <w:r w:rsidRPr="00AC3626">
        <w:rPr>
          <w:i/>
          <w:sz w:val="22"/>
          <w:szCs w:val="22"/>
          <w:lang w:val="es-ES_tradnl"/>
        </w:rPr>
        <w:t xml:space="preserve"> 9.6.9</w:t>
      </w:r>
      <w:r w:rsidR="008E095F">
        <w:rPr>
          <w:i/>
          <w:sz w:val="22"/>
          <w:szCs w:val="22"/>
          <w:lang w:val="es-ES_tradnl"/>
        </w:rPr>
        <w:t>.</w:t>
      </w:r>
      <w:r w:rsidRPr="00AC3626">
        <w:rPr>
          <w:i/>
          <w:sz w:val="22"/>
          <w:szCs w:val="22"/>
          <w:lang w:val="es-ES_tradnl"/>
        </w:rPr>
        <w:t>;</w:t>
      </w:r>
    </w:p>
    <w:p w14:paraId="508D39A7" w14:textId="77777777" w:rsidR="009D70C6" w:rsidRPr="00AC3626" w:rsidRDefault="009D70C6" w:rsidP="007E4BE8">
      <w:pPr>
        <w:pStyle w:val="Texto"/>
        <w:numPr>
          <w:ilvl w:val="0"/>
          <w:numId w:val="31"/>
        </w:numPr>
        <w:spacing w:after="80" w:line="221" w:lineRule="exact"/>
        <w:ind w:left="1276" w:hanging="425"/>
        <w:rPr>
          <w:i/>
          <w:sz w:val="22"/>
          <w:szCs w:val="22"/>
          <w:lang w:val="es-ES_tradnl"/>
        </w:rPr>
      </w:pPr>
      <w:r w:rsidRPr="00AC3626">
        <w:rPr>
          <w:b/>
          <w:i/>
          <w:sz w:val="22"/>
          <w:szCs w:val="22"/>
          <w:lang w:val="es-ES_tradnl"/>
        </w:rPr>
        <w:t>DE LOS CÓDIGOS DE IDENTIFICACIÓN DE PROVEEDORES DE SERVICIOS DE TELECOMUNICACIONES</w:t>
      </w:r>
      <w:r w:rsidRPr="00AC3626">
        <w:rPr>
          <w:i/>
          <w:sz w:val="22"/>
          <w:szCs w:val="22"/>
          <w:lang w:val="es-ES_tradnl"/>
        </w:rPr>
        <w:t xml:space="preserve">, </w:t>
      </w:r>
      <w:proofErr w:type="spellStart"/>
      <w:r w:rsidRPr="00AC3626">
        <w:rPr>
          <w:i/>
          <w:sz w:val="22"/>
          <w:szCs w:val="22"/>
          <w:lang w:val="es-ES_tradnl"/>
        </w:rPr>
        <w:t>subnumerales</w:t>
      </w:r>
      <w:proofErr w:type="spellEnd"/>
      <w:r w:rsidRPr="00AC3626">
        <w:rPr>
          <w:i/>
          <w:sz w:val="22"/>
          <w:szCs w:val="22"/>
          <w:lang w:val="es-ES_tradnl"/>
        </w:rPr>
        <w:t xml:space="preserve"> 11.4.1</w:t>
      </w:r>
      <w:r w:rsidR="008E095F">
        <w:rPr>
          <w:i/>
          <w:sz w:val="22"/>
          <w:szCs w:val="22"/>
          <w:lang w:val="es-ES_tradnl"/>
        </w:rPr>
        <w:t>.</w:t>
      </w:r>
      <w:r w:rsidRPr="00AC3626">
        <w:rPr>
          <w:i/>
          <w:sz w:val="22"/>
          <w:szCs w:val="22"/>
          <w:lang w:val="es-ES_tradnl"/>
        </w:rPr>
        <w:t>; 11.4</w:t>
      </w:r>
      <w:r w:rsidR="00F30823" w:rsidRPr="00AC3626">
        <w:rPr>
          <w:i/>
          <w:sz w:val="22"/>
          <w:szCs w:val="22"/>
          <w:lang w:val="es-ES_tradnl"/>
        </w:rPr>
        <w:t>.4</w:t>
      </w:r>
      <w:r w:rsidR="008E095F">
        <w:rPr>
          <w:i/>
          <w:sz w:val="22"/>
          <w:szCs w:val="22"/>
          <w:lang w:val="es-ES_tradnl"/>
        </w:rPr>
        <w:t>.</w:t>
      </w:r>
      <w:r w:rsidR="00F30823" w:rsidRPr="00AC3626">
        <w:rPr>
          <w:i/>
          <w:sz w:val="22"/>
          <w:szCs w:val="22"/>
          <w:lang w:val="es-ES_tradnl"/>
        </w:rPr>
        <w:t xml:space="preserve"> último párrafo; 11.5</w:t>
      </w:r>
      <w:r w:rsidR="008E095F">
        <w:rPr>
          <w:i/>
          <w:sz w:val="22"/>
          <w:szCs w:val="22"/>
          <w:lang w:val="es-ES_tradnl"/>
        </w:rPr>
        <w:t>.</w:t>
      </w:r>
      <w:r w:rsidR="00F30823" w:rsidRPr="00AC3626">
        <w:rPr>
          <w:i/>
          <w:sz w:val="22"/>
          <w:szCs w:val="22"/>
          <w:lang w:val="es-ES_tradnl"/>
        </w:rPr>
        <w:t xml:space="preserve"> a 11.8</w:t>
      </w:r>
      <w:r w:rsidR="008E095F">
        <w:rPr>
          <w:i/>
          <w:sz w:val="22"/>
          <w:szCs w:val="22"/>
          <w:lang w:val="es-ES_tradnl"/>
        </w:rPr>
        <w:t>.</w:t>
      </w:r>
      <w:r w:rsidR="00F30823" w:rsidRPr="00AC3626">
        <w:rPr>
          <w:i/>
          <w:sz w:val="22"/>
          <w:szCs w:val="22"/>
          <w:lang w:val="es-ES_tradnl"/>
        </w:rPr>
        <w:t>;</w:t>
      </w:r>
      <w:r w:rsidRPr="00AC3626">
        <w:rPr>
          <w:i/>
          <w:sz w:val="22"/>
          <w:szCs w:val="22"/>
          <w:lang w:val="es-ES_tradnl"/>
        </w:rPr>
        <w:t xml:space="preserve"> y</w:t>
      </w:r>
    </w:p>
    <w:p w14:paraId="54E9A3E4" w14:textId="77777777" w:rsidR="009D70C6" w:rsidRPr="00AC3626" w:rsidRDefault="009D70C6" w:rsidP="007E4BE8">
      <w:pPr>
        <w:pStyle w:val="Texto"/>
        <w:numPr>
          <w:ilvl w:val="0"/>
          <w:numId w:val="31"/>
        </w:numPr>
        <w:spacing w:after="80" w:line="221" w:lineRule="exact"/>
        <w:ind w:left="1276" w:hanging="425"/>
        <w:rPr>
          <w:i/>
          <w:sz w:val="22"/>
          <w:szCs w:val="22"/>
          <w:lang w:val="es-ES_tradnl"/>
        </w:rPr>
      </w:pPr>
      <w:r w:rsidRPr="00AC3626">
        <w:rPr>
          <w:b/>
          <w:i/>
          <w:sz w:val="22"/>
          <w:szCs w:val="22"/>
          <w:lang w:val="es-ES_tradnl"/>
        </w:rPr>
        <w:t>ESTRUCTURA DEL IMSI</w:t>
      </w:r>
      <w:r w:rsidRPr="00AC3626">
        <w:rPr>
          <w:i/>
          <w:sz w:val="22"/>
          <w:szCs w:val="22"/>
          <w:lang w:val="es-ES_tradnl"/>
        </w:rPr>
        <w:t>; y</w:t>
      </w:r>
    </w:p>
    <w:p w14:paraId="22415512" w14:textId="77777777" w:rsidR="00C85915" w:rsidRPr="00AC3626" w:rsidRDefault="009D70C6" w:rsidP="007E4BE8">
      <w:pPr>
        <w:pStyle w:val="Texto"/>
        <w:numPr>
          <w:ilvl w:val="0"/>
          <w:numId w:val="31"/>
        </w:numPr>
        <w:spacing w:after="80" w:line="221" w:lineRule="exact"/>
        <w:ind w:left="1276" w:hanging="425"/>
        <w:rPr>
          <w:i/>
          <w:sz w:val="22"/>
          <w:szCs w:val="22"/>
          <w:lang w:val="es-ES_tradnl"/>
        </w:rPr>
      </w:pPr>
      <w:r w:rsidRPr="00AC3626">
        <w:rPr>
          <w:b/>
          <w:i/>
          <w:sz w:val="22"/>
          <w:szCs w:val="22"/>
          <w:lang w:val="es-ES_tradnl"/>
        </w:rPr>
        <w:t>DEL REPORTE DE UTILIZACIÓN DE NUMERACIÓN NACIONAL Y NO GEOGRÁFICA</w:t>
      </w:r>
      <w:r w:rsidR="00257A6D" w:rsidRPr="00AC3626">
        <w:rPr>
          <w:i/>
          <w:sz w:val="22"/>
          <w:szCs w:val="22"/>
          <w:lang w:val="es-ES_tradnl"/>
        </w:rPr>
        <w:t>.</w:t>
      </w:r>
    </w:p>
    <w:p w14:paraId="3F6954F4" w14:textId="77777777" w:rsidR="00257A6D" w:rsidRPr="00AC3626" w:rsidRDefault="00257A6D" w:rsidP="00257A6D">
      <w:pPr>
        <w:pStyle w:val="Texto"/>
        <w:spacing w:after="80" w:line="221" w:lineRule="exact"/>
        <w:ind w:firstLine="0"/>
        <w:rPr>
          <w:b/>
          <w:i/>
          <w:sz w:val="22"/>
          <w:szCs w:val="22"/>
          <w:lang w:val="es-ES_tradnl"/>
        </w:rPr>
      </w:pPr>
    </w:p>
    <w:p w14:paraId="46ECDE12" w14:textId="2BAD5756" w:rsidR="00257A6D" w:rsidRPr="00AC3626" w:rsidRDefault="008867E3" w:rsidP="007E4BE8">
      <w:pPr>
        <w:pStyle w:val="Texto"/>
        <w:spacing w:after="80" w:line="221" w:lineRule="exact"/>
        <w:ind w:left="426" w:firstLine="0"/>
        <w:rPr>
          <w:i/>
          <w:sz w:val="22"/>
          <w:szCs w:val="22"/>
        </w:rPr>
      </w:pPr>
      <w:r>
        <w:rPr>
          <w:b/>
          <w:i/>
          <w:sz w:val="22"/>
          <w:szCs w:val="22"/>
          <w:lang w:val="es-ES_tradnl"/>
        </w:rPr>
        <w:t>SEXTO</w:t>
      </w:r>
      <w:r w:rsidR="00257A6D" w:rsidRPr="00AC3626">
        <w:rPr>
          <w:b/>
          <w:i/>
          <w:sz w:val="22"/>
          <w:szCs w:val="22"/>
          <w:lang w:val="es-ES_tradnl"/>
        </w:rPr>
        <w:t>.</w:t>
      </w:r>
      <w:r w:rsidR="00257A6D" w:rsidRPr="00AC3626">
        <w:rPr>
          <w:i/>
          <w:sz w:val="22"/>
          <w:szCs w:val="22"/>
          <w:lang w:val="es-ES_tradnl"/>
        </w:rPr>
        <w:t xml:space="preserve"> </w:t>
      </w:r>
      <w:r w:rsidR="00257A6D" w:rsidRPr="00AC3626">
        <w:rPr>
          <w:i/>
          <w:sz w:val="22"/>
          <w:szCs w:val="22"/>
        </w:rPr>
        <w:t>A partir del 1</w:t>
      </w:r>
      <w:r w:rsidR="00C170C1">
        <w:rPr>
          <w:i/>
          <w:sz w:val="22"/>
          <w:szCs w:val="22"/>
        </w:rPr>
        <w:t>º</w:t>
      </w:r>
      <w:r w:rsidR="00257A6D" w:rsidRPr="00AC3626">
        <w:rPr>
          <w:i/>
          <w:sz w:val="22"/>
          <w:szCs w:val="22"/>
        </w:rPr>
        <w:t xml:space="preserve"> de febrero de 2022, quedará abrogado el Plan Técnico Fundamental de Numeración, publicado en el Diario Oficial de la Federación el 21 de junio de 1996, así como las modificaciones a éste.</w:t>
      </w:r>
    </w:p>
    <w:p w14:paraId="081032AE" w14:textId="77777777" w:rsidR="00257A6D" w:rsidRPr="00AC3626" w:rsidRDefault="00257A6D" w:rsidP="007E4BE8">
      <w:pPr>
        <w:ind w:left="426"/>
        <w:jc w:val="both"/>
        <w:rPr>
          <w:rFonts w:ascii="Arial" w:eastAsia="Times New Roman" w:hAnsi="Arial" w:cs="Arial"/>
          <w:i/>
          <w:sz w:val="22"/>
          <w:szCs w:val="22"/>
          <w:lang w:val="es-ES" w:eastAsia="es-ES"/>
        </w:rPr>
      </w:pPr>
      <w:r w:rsidRPr="00AC3626">
        <w:rPr>
          <w:rFonts w:ascii="Arial" w:eastAsia="Times New Roman" w:hAnsi="Arial" w:cs="Arial"/>
          <w:i/>
          <w:sz w:val="22"/>
          <w:szCs w:val="22"/>
          <w:lang w:val="es-ES" w:eastAsia="es-ES"/>
        </w:rPr>
        <w:t>Asimismo, se dejan sin efectos todas aquellas disposiciones administrativas que se opongan a lo dispuesto en el Plan Técnico Fundamental de Numeración que se expide.</w:t>
      </w:r>
    </w:p>
    <w:p w14:paraId="70750464" w14:textId="77777777" w:rsidR="00257A6D" w:rsidRPr="00AC3626" w:rsidRDefault="00257A6D" w:rsidP="00F30823">
      <w:pPr>
        <w:pStyle w:val="Texto"/>
        <w:spacing w:after="80" w:line="221" w:lineRule="exact"/>
        <w:ind w:left="426" w:firstLine="0"/>
        <w:rPr>
          <w:i/>
          <w:sz w:val="22"/>
          <w:szCs w:val="22"/>
          <w:lang w:val="es-ES_tradnl"/>
        </w:rPr>
      </w:pPr>
    </w:p>
    <w:p w14:paraId="54365F99" w14:textId="77777777" w:rsidR="00257A6D" w:rsidRPr="00AC3626" w:rsidRDefault="008867E3" w:rsidP="00F30823">
      <w:pPr>
        <w:pStyle w:val="Texto"/>
        <w:spacing w:after="80" w:line="221" w:lineRule="exact"/>
        <w:ind w:left="426" w:firstLine="0"/>
        <w:rPr>
          <w:i/>
          <w:sz w:val="22"/>
          <w:szCs w:val="22"/>
        </w:rPr>
      </w:pPr>
      <w:r>
        <w:rPr>
          <w:b/>
          <w:i/>
          <w:sz w:val="22"/>
          <w:szCs w:val="22"/>
        </w:rPr>
        <w:t>SÉPTIMO</w:t>
      </w:r>
      <w:r w:rsidR="00257A6D" w:rsidRPr="00AC3626">
        <w:rPr>
          <w:b/>
          <w:i/>
          <w:sz w:val="22"/>
          <w:szCs w:val="22"/>
        </w:rPr>
        <w:t>.</w:t>
      </w:r>
      <w:r w:rsidR="00257A6D" w:rsidRPr="00AC3626">
        <w:rPr>
          <w:i/>
          <w:sz w:val="22"/>
          <w:szCs w:val="22"/>
        </w:rPr>
        <w:t xml:space="preserve"> La marcación uniforme a diez dígitos con destino a Números Nacionales con Modalidad de Uso fijo, móvil “El Que Llama Paga” (CPP) y móvil “El Que Recibe Paga” (MPP) y Números No Geográficos, entrará en operación a partir 3 de agosto de 2019, con la finalidad de que los Proveedores de Servicios de Telecomunicaciones realicen las adecuaciones necesarias en sus plataformas y sistemas para asegurar el correcto enrutamiento y entrega de Tráfico.</w:t>
      </w:r>
    </w:p>
    <w:p w14:paraId="44FE4061" w14:textId="77777777" w:rsidR="00257A6D" w:rsidRPr="00AC3626" w:rsidRDefault="00257A6D" w:rsidP="00F30823">
      <w:pPr>
        <w:pStyle w:val="Texto"/>
        <w:spacing w:after="80" w:line="221" w:lineRule="exact"/>
        <w:ind w:left="426" w:firstLine="0"/>
        <w:rPr>
          <w:i/>
          <w:sz w:val="22"/>
          <w:szCs w:val="22"/>
        </w:rPr>
      </w:pPr>
      <w:r w:rsidRPr="00AC3626">
        <w:rPr>
          <w:i/>
          <w:sz w:val="22"/>
          <w:szCs w:val="22"/>
        </w:rPr>
        <w:t xml:space="preserve">Como consecuencia de lo anterior, quedarán eliminados de los procedimientos de marcación los prefijos: 044 para llamadas a Números Nacionales móviles en la modalidad “El Que Llama Paga” (CPP); 01 para llamadas a Números No Geográficos y Números Nacionales de larga distancia nacional y 045 para llamadas a Números </w:t>
      </w:r>
      <w:r w:rsidRPr="00AC3626">
        <w:rPr>
          <w:i/>
          <w:sz w:val="22"/>
          <w:szCs w:val="22"/>
        </w:rPr>
        <w:lastRenderedPageBreak/>
        <w:t>Nacionales móviles en la Modalidad “El Que Llama Paga nacional” (CPP) para llamadas de larga distancia nacional.</w:t>
      </w:r>
    </w:p>
    <w:p w14:paraId="68F8B43C" w14:textId="77777777" w:rsidR="00257A6D" w:rsidRPr="00AC3626" w:rsidRDefault="00257A6D" w:rsidP="00F30823">
      <w:pPr>
        <w:pStyle w:val="Texto"/>
        <w:spacing w:after="80" w:line="221" w:lineRule="exact"/>
        <w:ind w:left="426" w:firstLine="0"/>
        <w:rPr>
          <w:i/>
          <w:sz w:val="22"/>
          <w:szCs w:val="22"/>
        </w:rPr>
      </w:pPr>
      <w:r w:rsidRPr="00AC3626">
        <w:rPr>
          <w:i/>
          <w:sz w:val="22"/>
          <w:szCs w:val="22"/>
        </w:rPr>
        <w:t>Asimismo, a partir del 3 de agosto de 2019, los Proveedores de Servicios de Telecomunicaciones podrán ofrecer a sus Usuarios la convivencia de marcación con y sin prefijos 01, 044 y 045 durante 30 (treinta) días naturales.</w:t>
      </w:r>
    </w:p>
    <w:p w14:paraId="28274A53" w14:textId="77777777" w:rsidR="00F30823" w:rsidRPr="00AC3626" w:rsidRDefault="00F30823" w:rsidP="00F30823">
      <w:pPr>
        <w:pStyle w:val="Texto"/>
        <w:spacing w:after="80" w:line="221" w:lineRule="exact"/>
        <w:ind w:left="426" w:firstLine="0"/>
        <w:rPr>
          <w:i/>
          <w:sz w:val="22"/>
          <w:szCs w:val="22"/>
        </w:rPr>
      </w:pPr>
    </w:p>
    <w:p w14:paraId="065B148B" w14:textId="77777777" w:rsidR="00257A6D" w:rsidRPr="00AC3626" w:rsidRDefault="008867E3" w:rsidP="00F30823">
      <w:pPr>
        <w:pStyle w:val="Texto"/>
        <w:spacing w:after="80" w:line="221" w:lineRule="exact"/>
        <w:ind w:left="426" w:firstLine="0"/>
        <w:rPr>
          <w:i/>
          <w:sz w:val="22"/>
          <w:szCs w:val="22"/>
        </w:rPr>
      </w:pPr>
      <w:r>
        <w:rPr>
          <w:b/>
          <w:i/>
          <w:sz w:val="22"/>
          <w:szCs w:val="22"/>
        </w:rPr>
        <w:t>OCTAVO</w:t>
      </w:r>
      <w:r w:rsidR="00257A6D" w:rsidRPr="00AC3626">
        <w:rPr>
          <w:b/>
          <w:i/>
          <w:sz w:val="22"/>
          <w:szCs w:val="22"/>
        </w:rPr>
        <w:t>.</w:t>
      </w:r>
      <w:r w:rsidR="00257A6D" w:rsidRPr="00AC3626">
        <w:rPr>
          <w:i/>
          <w:sz w:val="22"/>
          <w:szCs w:val="22"/>
        </w:rPr>
        <w:t xml:space="preserve"> La </w:t>
      </w:r>
      <w:r w:rsidR="00EB4E0E" w:rsidRPr="00AC3626">
        <w:rPr>
          <w:i/>
          <w:sz w:val="22"/>
          <w:szCs w:val="22"/>
        </w:rPr>
        <w:t xml:space="preserve">administración, </w:t>
      </w:r>
      <w:r w:rsidR="00257A6D" w:rsidRPr="00AC3626">
        <w:rPr>
          <w:i/>
          <w:sz w:val="22"/>
          <w:szCs w:val="22"/>
        </w:rPr>
        <w:t xml:space="preserve">utilización y asignación </w:t>
      </w:r>
      <w:r w:rsidR="00EB4E0E" w:rsidRPr="00AC3626">
        <w:rPr>
          <w:i/>
          <w:sz w:val="22"/>
          <w:szCs w:val="22"/>
        </w:rPr>
        <w:t>de numeración con base en Zonas</w:t>
      </w:r>
      <w:r w:rsidR="00257A6D" w:rsidRPr="00AC3626">
        <w:rPr>
          <w:i/>
          <w:sz w:val="22"/>
          <w:szCs w:val="22"/>
        </w:rPr>
        <w:t xml:space="preserve"> entrarán en operación a partir del 1 de </w:t>
      </w:r>
      <w:r w:rsidR="000748B1" w:rsidRPr="00AC3626">
        <w:rPr>
          <w:i/>
          <w:sz w:val="22"/>
          <w:szCs w:val="22"/>
        </w:rPr>
        <w:t>febrero de 2022</w:t>
      </w:r>
      <w:r w:rsidR="00257A6D" w:rsidRPr="00AC3626">
        <w:rPr>
          <w:i/>
          <w:sz w:val="22"/>
          <w:szCs w:val="22"/>
        </w:rPr>
        <w:t>.</w:t>
      </w:r>
    </w:p>
    <w:p w14:paraId="6F2FC96C" w14:textId="3D16C242" w:rsidR="00257A6D" w:rsidRPr="00AC3626" w:rsidRDefault="00257A6D" w:rsidP="00F30823">
      <w:pPr>
        <w:pStyle w:val="Texto"/>
        <w:spacing w:after="80" w:line="221" w:lineRule="exact"/>
        <w:ind w:left="426" w:firstLine="0"/>
        <w:rPr>
          <w:i/>
          <w:sz w:val="22"/>
          <w:szCs w:val="22"/>
        </w:rPr>
      </w:pPr>
      <w:r w:rsidRPr="00AC3626">
        <w:rPr>
          <w:i/>
          <w:sz w:val="22"/>
          <w:szCs w:val="22"/>
        </w:rPr>
        <w:t>Asimismo, una vez que entren en operación los procedimientos</w:t>
      </w:r>
      <w:r w:rsidR="00EB4E0E" w:rsidRPr="00AC3626">
        <w:rPr>
          <w:i/>
          <w:sz w:val="22"/>
          <w:szCs w:val="22"/>
        </w:rPr>
        <w:t xml:space="preserve"> relacionados con</w:t>
      </w:r>
      <w:r w:rsidR="000748B1" w:rsidRPr="00AC3626">
        <w:rPr>
          <w:i/>
          <w:sz w:val="22"/>
          <w:szCs w:val="22"/>
        </w:rPr>
        <w:t xml:space="preserve"> los trámites electrónicos</w:t>
      </w:r>
      <w:r w:rsidRPr="00AC3626">
        <w:rPr>
          <w:i/>
          <w:sz w:val="22"/>
          <w:szCs w:val="22"/>
        </w:rPr>
        <w:t xml:space="preserve"> contenidos en el presente Plan y, en consecuencia, el Sistema Electrónico respectivo, las solicitudes y </w:t>
      </w:r>
      <w:r w:rsidR="00C170C1">
        <w:rPr>
          <w:i/>
          <w:sz w:val="22"/>
          <w:szCs w:val="22"/>
        </w:rPr>
        <w:t xml:space="preserve">los </w:t>
      </w:r>
      <w:r w:rsidRPr="00AC3626">
        <w:rPr>
          <w:i/>
          <w:sz w:val="22"/>
          <w:szCs w:val="22"/>
        </w:rPr>
        <w:t>reportes que sean presentados de manera escrita por los Proveedores de Servicios de Telecomunicaciones, se tendrán por no interpuestos y serán desechados por la unidad administrativa competente del Instituto Federal de Telecomunicaciones, sin perjuicio de que dichas solicitudes y reportes puedan ser presentados a través del mencionado Sistema Electrónico.</w:t>
      </w:r>
    </w:p>
    <w:p w14:paraId="174F2587" w14:textId="77777777" w:rsidR="008867E3" w:rsidRDefault="008867E3" w:rsidP="00F30823">
      <w:pPr>
        <w:pStyle w:val="Texto"/>
        <w:spacing w:after="80" w:line="239" w:lineRule="exact"/>
        <w:ind w:left="426" w:firstLine="0"/>
        <w:rPr>
          <w:b/>
          <w:i/>
          <w:sz w:val="22"/>
          <w:szCs w:val="22"/>
        </w:rPr>
      </w:pPr>
    </w:p>
    <w:p w14:paraId="525F7818" w14:textId="7B1589A5" w:rsidR="00257A6D" w:rsidRPr="00AC3626" w:rsidRDefault="008867E3" w:rsidP="00F30823">
      <w:pPr>
        <w:pStyle w:val="Texto"/>
        <w:spacing w:after="80" w:line="239" w:lineRule="exact"/>
        <w:ind w:left="426" w:firstLine="0"/>
        <w:rPr>
          <w:i/>
          <w:sz w:val="22"/>
          <w:szCs w:val="22"/>
        </w:rPr>
      </w:pPr>
      <w:r>
        <w:rPr>
          <w:b/>
          <w:i/>
          <w:sz w:val="22"/>
          <w:szCs w:val="22"/>
        </w:rPr>
        <w:t>NOVENO</w:t>
      </w:r>
      <w:r w:rsidR="00257A6D" w:rsidRPr="00AC3626">
        <w:rPr>
          <w:b/>
          <w:i/>
          <w:sz w:val="22"/>
          <w:szCs w:val="22"/>
        </w:rPr>
        <w:t>.</w:t>
      </w:r>
      <w:r w:rsidR="00257A6D" w:rsidRPr="00AC3626">
        <w:rPr>
          <w:i/>
          <w:sz w:val="22"/>
          <w:szCs w:val="22"/>
        </w:rPr>
        <w:t xml:space="preserve"> Los reportes de utilización de Numeración Nacional y No Geográfica deberán presentarse por primera ocasión dentro los 15 (quince) días hábiles posteriores </w:t>
      </w:r>
      <w:r w:rsidR="000748B1" w:rsidRPr="00AC3626">
        <w:rPr>
          <w:i/>
          <w:sz w:val="22"/>
          <w:szCs w:val="22"/>
        </w:rPr>
        <w:t>al 1</w:t>
      </w:r>
      <w:r w:rsidR="00C170C1">
        <w:rPr>
          <w:i/>
          <w:sz w:val="22"/>
          <w:szCs w:val="22"/>
        </w:rPr>
        <w:t>º</w:t>
      </w:r>
      <w:r w:rsidR="000748B1" w:rsidRPr="00AC3626">
        <w:rPr>
          <w:i/>
          <w:sz w:val="22"/>
          <w:szCs w:val="22"/>
        </w:rPr>
        <w:t xml:space="preserve"> de febrero de 2022</w:t>
      </w:r>
      <w:r w:rsidR="00257A6D" w:rsidRPr="00AC3626">
        <w:rPr>
          <w:i/>
          <w:sz w:val="22"/>
          <w:szCs w:val="22"/>
        </w:rPr>
        <w:t>.</w:t>
      </w:r>
    </w:p>
    <w:p w14:paraId="338F1892" w14:textId="77777777" w:rsidR="008867E3" w:rsidRDefault="008867E3" w:rsidP="00F30823">
      <w:pPr>
        <w:pStyle w:val="Texto"/>
        <w:spacing w:after="80" w:line="239" w:lineRule="exact"/>
        <w:ind w:left="426" w:firstLine="0"/>
        <w:rPr>
          <w:b/>
          <w:i/>
          <w:sz w:val="22"/>
          <w:szCs w:val="22"/>
        </w:rPr>
      </w:pPr>
    </w:p>
    <w:p w14:paraId="13AE6971" w14:textId="152A2E36" w:rsidR="00257A6D" w:rsidRPr="00AC3626" w:rsidRDefault="008867E3" w:rsidP="00F30823">
      <w:pPr>
        <w:pStyle w:val="Texto"/>
        <w:spacing w:after="80" w:line="239" w:lineRule="exact"/>
        <w:ind w:left="426" w:firstLine="0"/>
        <w:rPr>
          <w:i/>
          <w:sz w:val="22"/>
          <w:szCs w:val="22"/>
        </w:rPr>
      </w:pPr>
      <w:r>
        <w:rPr>
          <w:b/>
          <w:i/>
          <w:sz w:val="22"/>
          <w:szCs w:val="22"/>
        </w:rPr>
        <w:t>DÉCIMO</w:t>
      </w:r>
      <w:r w:rsidR="00257A6D" w:rsidRPr="00AC3626">
        <w:rPr>
          <w:b/>
          <w:i/>
          <w:sz w:val="22"/>
          <w:szCs w:val="22"/>
        </w:rPr>
        <w:t>.</w:t>
      </w:r>
      <w:r w:rsidR="00257A6D" w:rsidRPr="00AC3626">
        <w:rPr>
          <w:i/>
          <w:sz w:val="22"/>
          <w:szCs w:val="22"/>
        </w:rPr>
        <w:t xml:space="preserve"> A partir</w:t>
      </w:r>
      <w:r w:rsidR="000748B1" w:rsidRPr="00AC3626">
        <w:rPr>
          <w:i/>
          <w:sz w:val="22"/>
          <w:szCs w:val="22"/>
        </w:rPr>
        <w:t xml:space="preserve"> del 1</w:t>
      </w:r>
      <w:r w:rsidR="00C170C1">
        <w:rPr>
          <w:i/>
          <w:sz w:val="22"/>
          <w:szCs w:val="22"/>
        </w:rPr>
        <w:t>º</w:t>
      </w:r>
      <w:r w:rsidR="000748B1" w:rsidRPr="00AC3626">
        <w:rPr>
          <w:i/>
          <w:sz w:val="22"/>
          <w:szCs w:val="22"/>
        </w:rPr>
        <w:t xml:space="preserve"> de febrero de 2022</w:t>
      </w:r>
      <w:r w:rsidR="00257A6D" w:rsidRPr="00AC3626">
        <w:rPr>
          <w:i/>
          <w:sz w:val="22"/>
          <w:szCs w:val="22"/>
        </w:rPr>
        <w:t>, los Concesionarios que soliciten Numeración Nacional adicional en las Zonas donde cuenten con rangos de Numeración asignada menores a un millar, el Instituto Federal de Telecomunicaciones asignará la cantidad de Numeración necesaria para completar los millares correspondientes.</w:t>
      </w:r>
    </w:p>
    <w:p w14:paraId="250FC3B5" w14:textId="77777777" w:rsidR="008867E3" w:rsidRDefault="008867E3" w:rsidP="00F30823">
      <w:pPr>
        <w:pStyle w:val="Texto"/>
        <w:spacing w:after="80" w:line="239" w:lineRule="exact"/>
        <w:ind w:left="426" w:firstLine="0"/>
        <w:rPr>
          <w:b/>
          <w:i/>
          <w:sz w:val="22"/>
          <w:szCs w:val="22"/>
        </w:rPr>
      </w:pPr>
    </w:p>
    <w:p w14:paraId="68D3BE4F" w14:textId="77777777" w:rsidR="00257A6D" w:rsidRPr="00AC3626" w:rsidRDefault="00F30823" w:rsidP="00F30823">
      <w:pPr>
        <w:pStyle w:val="Texto"/>
        <w:spacing w:after="80" w:line="239" w:lineRule="exact"/>
        <w:ind w:left="426" w:firstLine="0"/>
        <w:rPr>
          <w:i/>
          <w:sz w:val="22"/>
          <w:szCs w:val="22"/>
        </w:rPr>
      </w:pPr>
      <w:r w:rsidRPr="00AC3626">
        <w:rPr>
          <w:b/>
          <w:i/>
          <w:sz w:val="22"/>
          <w:szCs w:val="22"/>
        </w:rPr>
        <w:t>DÉCIMO</w:t>
      </w:r>
      <w:r w:rsidR="008867E3">
        <w:rPr>
          <w:b/>
          <w:i/>
          <w:sz w:val="22"/>
          <w:szCs w:val="22"/>
        </w:rPr>
        <w:t xml:space="preserve"> PRIMERO</w:t>
      </w:r>
      <w:r w:rsidR="00257A6D" w:rsidRPr="00AC3626">
        <w:rPr>
          <w:b/>
          <w:i/>
          <w:sz w:val="22"/>
          <w:szCs w:val="22"/>
        </w:rPr>
        <w:t>.</w:t>
      </w:r>
      <w:r w:rsidR="00257A6D" w:rsidRPr="00AC3626">
        <w:rPr>
          <w:i/>
          <w:sz w:val="22"/>
          <w:szCs w:val="22"/>
        </w:rPr>
        <w:t xml:space="preserve"> A partir </w:t>
      </w:r>
      <w:r w:rsidR="000748B1" w:rsidRPr="00AC3626">
        <w:rPr>
          <w:i/>
          <w:sz w:val="22"/>
          <w:szCs w:val="22"/>
        </w:rPr>
        <w:t>del 3 de agosto de 2019</w:t>
      </w:r>
      <w:r w:rsidR="00257A6D" w:rsidRPr="00AC3626">
        <w:rPr>
          <w:i/>
          <w:sz w:val="22"/>
          <w:szCs w:val="22"/>
        </w:rPr>
        <w:t>, todas las asignaciones de códigos de identificación de operador de larga distancia de origen (ABC) quedarán sin efecto; por lo que respecta a los códigos de identificación de operador de larga distancia de destino (BCD) que tienen asignados los actuales Concesionarios serán considerados como códigos de Identificación de Red de Origen y de Destino (IDO/IDD).</w:t>
      </w:r>
    </w:p>
    <w:p w14:paraId="1E38C873" w14:textId="77777777" w:rsidR="00257A6D" w:rsidRPr="00AC3626" w:rsidRDefault="00257A6D" w:rsidP="00F30823">
      <w:pPr>
        <w:pStyle w:val="Texto"/>
        <w:spacing w:after="80" w:line="239" w:lineRule="exact"/>
        <w:ind w:left="426" w:firstLine="0"/>
        <w:rPr>
          <w:i/>
          <w:sz w:val="22"/>
          <w:szCs w:val="22"/>
        </w:rPr>
      </w:pPr>
      <w:r w:rsidRPr="00AC3626">
        <w:rPr>
          <w:i/>
          <w:sz w:val="22"/>
          <w:szCs w:val="22"/>
        </w:rPr>
        <w:t>En consecuencia, para el caso de los Concesionarios que como resultado de lo anterior mantengan más de un código de Identificación de Red de Origen y de Destino (IDO/</w:t>
      </w:r>
      <w:r w:rsidR="001025F2" w:rsidRPr="00AC3626">
        <w:rPr>
          <w:i/>
          <w:sz w:val="22"/>
          <w:szCs w:val="22"/>
        </w:rPr>
        <w:t xml:space="preserve">IDD), podrán asociar sus redes </w:t>
      </w:r>
      <w:r w:rsidRPr="00AC3626">
        <w:rPr>
          <w:i/>
          <w:sz w:val="22"/>
          <w:szCs w:val="22"/>
        </w:rPr>
        <w:t>a un solo código.</w:t>
      </w:r>
    </w:p>
    <w:p w14:paraId="036E9EE6" w14:textId="77777777" w:rsidR="008867E3" w:rsidRDefault="008867E3" w:rsidP="00F30823">
      <w:pPr>
        <w:pStyle w:val="Texto"/>
        <w:spacing w:after="80" w:line="239" w:lineRule="exact"/>
        <w:ind w:left="426" w:firstLine="0"/>
        <w:rPr>
          <w:b/>
          <w:i/>
          <w:sz w:val="22"/>
          <w:szCs w:val="22"/>
        </w:rPr>
      </w:pPr>
    </w:p>
    <w:p w14:paraId="45D29D18" w14:textId="77777777" w:rsidR="00257A6D" w:rsidRDefault="00F30823" w:rsidP="00F30823">
      <w:pPr>
        <w:pStyle w:val="Texto"/>
        <w:spacing w:after="80" w:line="239" w:lineRule="exact"/>
        <w:ind w:left="426" w:firstLine="0"/>
        <w:rPr>
          <w:i/>
          <w:sz w:val="22"/>
          <w:szCs w:val="22"/>
        </w:rPr>
      </w:pPr>
      <w:r w:rsidRPr="00AC3626">
        <w:rPr>
          <w:b/>
          <w:i/>
          <w:sz w:val="22"/>
          <w:szCs w:val="22"/>
        </w:rPr>
        <w:t xml:space="preserve">DÉCIMO </w:t>
      </w:r>
      <w:r w:rsidR="008867E3">
        <w:rPr>
          <w:b/>
          <w:i/>
          <w:sz w:val="22"/>
          <w:szCs w:val="22"/>
        </w:rPr>
        <w:t>SEGUNDO</w:t>
      </w:r>
      <w:r w:rsidR="00257A6D" w:rsidRPr="00AC3626">
        <w:rPr>
          <w:b/>
          <w:i/>
          <w:sz w:val="22"/>
          <w:szCs w:val="22"/>
        </w:rPr>
        <w:t>.</w:t>
      </w:r>
      <w:r w:rsidR="00257A6D" w:rsidRPr="00AC3626">
        <w:rPr>
          <w:i/>
          <w:sz w:val="22"/>
          <w:szCs w:val="22"/>
        </w:rPr>
        <w:t xml:space="preserve"> A partir de</w:t>
      </w:r>
      <w:r w:rsidR="00826B6A" w:rsidRPr="00AC3626">
        <w:rPr>
          <w:i/>
          <w:sz w:val="22"/>
          <w:szCs w:val="22"/>
        </w:rPr>
        <w:t>l 3 de agosto</w:t>
      </w:r>
      <w:r w:rsidR="00257A6D" w:rsidRPr="00AC3626">
        <w:rPr>
          <w:i/>
          <w:sz w:val="22"/>
          <w:szCs w:val="22"/>
        </w:rPr>
        <w:t xml:space="preserve"> </w:t>
      </w:r>
      <w:r w:rsidR="00826B6A" w:rsidRPr="00AC3626">
        <w:rPr>
          <w:i/>
          <w:sz w:val="22"/>
          <w:szCs w:val="22"/>
        </w:rPr>
        <w:t>de 2019</w:t>
      </w:r>
      <w:r w:rsidR="00257A6D" w:rsidRPr="00AC3626">
        <w:rPr>
          <w:i/>
          <w:sz w:val="22"/>
          <w:szCs w:val="22"/>
        </w:rPr>
        <w:t xml:space="preserve">, los Concesionarios del Servicio Móvil que sean asignatarios de uno o más bloques específicos de recursos de identidad internacional de suscripción al servicio móvil </w:t>
      </w:r>
      <w:r w:rsidR="00257A6D" w:rsidRPr="00AC3626">
        <w:rPr>
          <w:i/>
          <w:sz w:val="22"/>
          <w:szCs w:val="22"/>
          <w:lang w:val="es-ES_tradnl"/>
        </w:rPr>
        <w:t>(</w:t>
      </w:r>
      <w:r w:rsidR="00257A6D" w:rsidRPr="00AC3626">
        <w:rPr>
          <w:i/>
          <w:sz w:val="22"/>
          <w:szCs w:val="22"/>
        </w:rPr>
        <w:t>IMSI), dispondrán de la totalidad del rango completo del IMSI (mil millones) que corresponda al Código de Red Móvil asignado por el Instituto.</w:t>
      </w:r>
    </w:p>
    <w:p w14:paraId="3BE17CC2" w14:textId="77777777" w:rsidR="008867E3" w:rsidRPr="00AC3626" w:rsidRDefault="008867E3" w:rsidP="00F30823">
      <w:pPr>
        <w:pStyle w:val="Texto"/>
        <w:spacing w:after="80" w:line="239" w:lineRule="exact"/>
        <w:ind w:left="426" w:firstLine="0"/>
        <w:rPr>
          <w:i/>
          <w:sz w:val="22"/>
          <w:szCs w:val="22"/>
        </w:rPr>
      </w:pPr>
    </w:p>
    <w:p w14:paraId="547BEC8D" w14:textId="77777777" w:rsidR="00257A6D" w:rsidRPr="00AC3626" w:rsidRDefault="00826B6A" w:rsidP="00F30823">
      <w:pPr>
        <w:pStyle w:val="Texto"/>
        <w:spacing w:after="80" w:line="239" w:lineRule="exact"/>
        <w:ind w:left="426" w:firstLine="0"/>
        <w:rPr>
          <w:i/>
          <w:sz w:val="22"/>
          <w:szCs w:val="22"/>
        </w:rPr>
      </w:pPr>
      <w:r w:rsidRPr="00AC3626">
        <w:rPr>
          <w:b/>
          <w:i/>
          <w:sz w:val="22"/>
          <w:szCs w:val="22"/>
        </w:rPr>
        <w:t>DÉCIMO</w:t>
      </w:r>
      <w:r w:rsidR="00F30823" w:rsidRPr="00AC3626">
        <w:rPr>
          <w:b/>
          <w:i/>
          <w:sz w:val="22"/>
          <w:szCs w:val="22"/>
        </w:rPr>
        <w:t xml:space="preserve"> </w:t>
      </w:r>
      <w:r w:rsidR="008867E3">
        <w:rPr>
          <w:b/>
          <w:i/>
          <w:sz w:val="22"/>
          <w:szCs w:val="22"/>
        </w:rPr>
        <w:t>TERCERO</w:t>
      </w:r>
      <w:r w:rsidR="00257A6D" w:rsidRPr="00AC3626">
        <w:rPr>
          <w:b/>
          <w:i/>
          <w:sz w:val="22"/>
          <w:szCs w:val="22"/>
        </w:rPr>
        <w:t>.</w:t>
      </w:r>
      <w:r w:rsidR="00257A6D" w:rsidRPr="00AC3626">
        <w:rPr>
          <w:i/>
          <w:sz w:val="22"/>
          <w:szCs w:val="22"/>
        </w:rPr>
        <w:t xml:space="preserve"> La problemática técnica y operativa que se presenta en casos de compartición de un Código de Servicios Especiales dentro de una misma área geográfica, deberá ser discutida y analizada en el Comité técnico, o en su caso consultivo, en materias de portabilidad, numeración y señalización a efecto de que </w:t>
      </w:r>
      <w:r w:rsidR="00257A6D" w:rsidRPr="00AC3626">
        <w:rPr>
          <w:i/>
          <w:sz w:val="22"/>
          <w:szCs w:val="22"/>
        </w:rPr>
        <w:lastRenderedPageBreak/>
        <w:t>este organismo encuentre una solución viable y la someta a consideración del Pleno del Instituto para su debida aplicación.</w:t>
      </w:r>
    </w:p>
    <w:p w14:paraId="312EC167" w14:textId="77777777" w:rsidR="00257A6D" w:rsidRPr="00AC3626" w:rsidRDefault="00257A6D" w:rsidP="00F30823">
      <w:pPr>
        <w:pStyle w:val="Texto"/>
        <w:spacing w:after="80" w:line="239" w:lineRule="exact"/>
        <w:ind w:left="426" w:firstLine="0"/>
        <w:rPr>
          <w:i/>
          <w:sz w:val="22"/>
          <w:szCs w:val="22"/>
        </w:rPr>
      </w:pPr>
      <w:r w:rsidRPr="00AC3626">
        <w:rPr>
          <w:i/>
          <w:sz w:val="22"/>
          <w:szCs w:val="22"/>
        </w:rPr>
        <w:t>Lo dispuesto en los numerales 9.5.1., 9.6.2.9. y 9.6.4.6. del presente Plan será aplicable hasta que el Instituto Federal de Telecomunicaciones emita un procedimiento de creación de Códigos de Servicios Especiales que atienda la problemática de enrutamiento de llamadas derivada de la compartición de dichos códigos, considerando para tales fines las recomendaciones que, en su caso, emita al efecto el Comité técnico, o en su caso consultivo, en materias de portabilidad, numeración y señalización.</w:t>
      </w:r>
    </w:p>
    <w:p w14:paraId="69BE60A3" w14:textId="77777777" w:rsidR="008867E3" w:rsidRDefault="008867E3" w:rsidP="00F30823">
      <w:pPr>
        <w:pStyle w:val="Texto"/>
        <w:spacing w:after="80" w:line="239" w:lineRule="exact"/>
        <w:ind w:left="426" w:firstLine="0"/>
        <w:rPr>
          <w:b/>
          <w:i/>
          <w:sz w:val="22"/>
          <w:szCs w:val="22"/>
        </w:rPr>
      </w:pPr>
    </w:p>
    <w:p w14:paraId="478E2D59" w14:textId="1E182700" w:rsidR="00257A6D" w:rsidRPr="00AC3626" w:rsidRDefault="00257A6D" w:rsidP="00F30823">
      <w:pPr>
        <w:pStyle w:val="Texto"/>
        <w:spacing w:after="80" w:line="239" w:lineRule="exact"/>
        <w:ind w:left="426" w:firstLine="0"/>
        <w:rPr>
          <w:i/>
          <w:sz w:val="22"/>
          <w:szCs w:val="22"/>
        </w:rPr>
      </w:pPr>
      <w:r w:rsidRPr="00AC3626">
        <w:rPr>
          <w:b/>
          <w:i/>
          <w:sz w:val="22"/>
          <w:szCs w:val="22"/>
        </w:rPr>
        <w:t>DÉCIMO</w:t>
      </w:r>
      <w:r w:rsidR="00826B6A" w:rsidRPr="00AC3626">
        <w:rPr>
          <w:b/>
          <w:i/>
          <w:sz w:val="22"/>
          <w:szCs w:val="22"/>
        </w:rPr>
        <w:t xml:space="preserve"> </w:t>
      </w:r>
      <w:r w:rsidR="008867E3">
        <w:rPr>
          <w:b/>
          <w:i/>
          <w:sz w:val="22"/>
          <w:szCs w:val="22"/>
        </w:rPr>
        <w:t>CUARTO</w:t>
      </w:r>
      <w:r w:rsidRPr="00AC3626">
        <w:rPr>
          <w:b/>
          <w:i/>
          <w:sz w:val="22"/>
          <w:szCs w:val="22"/>
        </w:rPr>
        <w:t>.</w:t>
      </w:r>
      <w:r w:rsidRPr="00AC3626">
        <w:rPr>
          <w:i/>
          <w:sz w:val="22"/>
          <w:szCs w:val="22"/>
        </w:rPr>
        <w:t xml:space="preserve"> A partir del 1</w:t>
      </w:r>
      <w:r w:rsidR="003E426D">
        <w:rPr>
          <w:i/>
          <w:sz w:val="22"/>
          <w:szCs w:val="22"/>
        </w:rPr>
        <w:t>º</w:t>
      </w:r>
      <w:r w:rsidRPr="00AC3626">
        <w:rPr>
          <w:i/>
          <w:sz w:val="22"/>
          <w:szCs w:val="22"/>
        </w:rPr>
        <w:t xml:space="preserve"> de febrero de 2019 y cuando menos hasta el 30 de octubre de 2019, los Proveedores de Servicios de Telecomunicaciones deberán realizar campañas de difusión en lugares visibles en sus centros de atención y por medios electrónicos o por cualquier otro medio que se estime idóneo, a efecto de informar a sus </w:t>
      </w:r>
      <w:r w:rsidR="003E426D">
        <w:rPr>
          <w:i/>
          <w:sz w:val="22"/>
          <w:szCs w:val="22"/>
        </w:rPr>
        <w:t>u</w:t>
      </w:r>
      <w:r w:rsidRPr="00AC3626">
        <w:rPr>
          <w:i/>
          <w:sz w:val="22"/>
          <w:szCs w:val="22"/>
        </w:rPr>
        <w:t>suarios respecto de los cambios a los procedimientos de marcación y las fechas en que se implementarán los mismos.</w:t>
      </w:r>
    </w:p>
    <w:p w14:paraId="346E8AE5" w14:textId="77777777" w:rsidR="008867E3" w:rsidRDefault="008867E3" w:rsidP="00F30823">
      <w:pPr>
        <w:pStyle w:val="Texto"/>
        <w:spacing w:after="80" w:line="239" w:lineRule="exact"/>
        <w:ind w:left="426" w:firstLine="0"/>
        <w:rPr>
          <w:b/>
          <w:i/>
          <w:sz w:val="22"/>
          <w:szCs w:val="22"/>
        </w:rPr>
      </w:pPr>
    </w:p>
    <w:p w14:paraId="0FD34BAF" w14:textId="33673458" w:rsidR="00257A6D" w:rsidRPr="00AC3626" w:rsidRDefault="00F30823" w:rsidP="00F30823">
      <w:pPr>
        <w:pStyle w:val="Texto"/>
        <w:spacing w:after="80" w:line="239" w:lineRule="exact"/>
        <w:ind w:left="426" w:firstLine="0"/>
        <w:rPr>
          <w:i/>
          <w:sz w:val="22"/>
          <w:szCs w:val="22"/>
        </w:rPr>
      </w:pPr>
      <w:r w:rsidRPr="00AC3626">
        <w:rPr>
          <w:b/>
          <w:i/>
          <w:sz w:val="22"/>
          <w:szCs w:val="22"/>
        </w:rPr>
        <w:t xml:space="preserve">DÉCIMO </w:t>
      </w:r>
      <w:r w:rsidR="008867E3">
        <w:rPr>
          <w:b/>
          <w:i/>
          <w:sz w:val="22"/>
          <w:szCs w:val="22"/>
        </w:rPr>
        <w:t>QUINTO</w:t>
      </w:r>
      <w:r w:rsidR="00257A6D" w:rsidRPr="00AC3626">
        <w:rPr>
          <w:b/>
          <w:i/>
          <w:sz w:val="22"/>
          <w:szCs w:val="22"/>
        </w:rPr>
        <w:t>.</w:t>
      </w:r>
      <w:r w:rsidR="00257A6D" w:rsidRPr="00AC3626">
        <w:rPr>
          <w:i/>
          <w:sz w:val="22"/>
          <w:szCs w:val="22"/>
        </w:rPr>
        <w:t xml:space="preserve"> A partir </w:t>
      </w:r>
      <w:r w:rsidR="00826B6A" w:rsidRPr="00AC3626">
        <w:rPr>
          <w:i/>
          <w:sz w:val="22"/>
          <w:szCs w:val="22"/>
        </w:rPr>
        <w:t>del 3 de agosto de 2019</w:t>
      </w:r>
      <w:r w:rsidR="00257A6D" w:rsidRPr="00AC3626">
        <w:rPr>
          <w:i/>
          <w:sz w:val="22"/>
          <w:szCs w:val="22"/>
        </w:rPr>
        <w:t xml:space="preserve">, se deroga el </w:t>
      </w:r>
      <w:r w:rsidR="003E426D">
        <w:rPr>
          <w:i/>
          <w:sz w:val="22"/>
          <w:szCs w:val="22"/>
        </w:rPr>
        <w:t>a</w:t>
      </w:r>
      <w:r w:rsidR="00257A6D" w:rsidRPr="00AC3626">
        <w:rPr>
          <w:i/>
          <w:sz w:val="22"/>
          <w:szCs w:val="22"/>
        </w:rPr>
        <w:t xml:space="preserve">rtículo </w:t>
      </w:r>
      <w:r w:rsidR="003E426D">
        <w:rPr>
          <w:i/>
          <w:sz w:val="22"/>
          <w:szCs w:val="22"/>
        </w:rPr>
        <w:t>s</w:t>
      </w:r>
      <w:r w:rsidR="00257A6D" w:rsidRPr="00AC3626">
        <w:rPr>
          <w:i/>
          <w:sz w:val="22"/>
          <w:szCs w:val="22"/>
        </w:rPr>
        <w:t xml:space="preserve">exto </w:t>
      </w:r>
      <w:r w:rsidR="003E426D">
        <w:rPr>
          <w:i/>
          <w:sz w:val="22"/>
          <w:szCs w:val="22"/>
        </w:rPr>
        <w:t>t</w:t>
      </w:r>
      <w:r w:rsidR="00257A6D" w:rsidRPr="00AC3626">
        <w:rPr>
          <w:i/>
          <w:sz w:val="22"/>
          <w:szCs w:val="22"/>
        </w:rPr>
        <w:t>ransitorio del Acuerdo de Eliminación de Larga Distancia Nacional.</w:t>
      </w:r>
    </w:p>
    <w:p w14:paraId="380B3FE8" w14:textId="77777777" w:rsidR="00257A6D" w:rsidRPr="00AC3626" w:rsidRDefault="00257A6D" w:rsidP="00F30823">
      <w:pPr>
        <w:pStyle w:val="Texto"/>
        <w:spacing w:after="80" w:line="239" w:lineRule="exact"/>
        <w:ind w:left="426" w:firstLine="0"/>
        <w:rPr>
          <w:i/>
          <w:sz w:val="22"/>
          <w:szCs w:val="22"/>
        </w:rPr>
      </w:pPr>
      <w:r w:rsidRPr="00AC3626">
        <w:rPr>
          <w:i/>
          <w:sz w:val="22"/>
          <w:szCs w:val="22"/>
        </w:rPr>
        <w:t>En un plazo máximo de 180 días naturales a partir de la fecha de publicación del presente Plan en el Diario Oficial de la Federación, los Proveedores de Servicio de Telecomunicaciones que tengan contratos de prestación del Servicio de Selección por Presuscripción vigentes deberán notificar a sus usuarios la imposibilidad técnica y material de mantener el servicio en los términos y condiciones contratados originalmente, informándoles que cuentan con un plazo máximo de 365 días naturales a partir de dicha notificación para que en ejercicio del derecho establecido en el artículo 191, fracción IV, de la Ley Federal de Telecomunicaciones y Radiodifusión, elijan al proveedor que a partir de ese momento les prestará el servicio local y de larga distancia internacional.</w:t>
      </w:r>
    </w:p>
    <w:p w14:paraId="229F7E20" w14:textId="77777777" w:rsidR="008867E3" w:rsidRDefault="008867E3" w:rsidP="00F30823">
      <w:pPr>
        <w:pStyle w:val="Texto"/>
        <w:spacing w:after="80" w:line="239" w:lineRule="exact"/>
        <w:ind w:left="426" w:firstLine="0"/>
        <w:rPr>
          <w:b/>
          <w:i/>
          <w:sz w:val="22"/>
          <w:szCs w:val="22"/>
        </w:rPr>
      </w:pPr>
    </w:p>
    <w:p w14:paraId="5BB6591B" w14:textId="3F3F34E2" w:rsidR="00257A6D" w:rsidRPr="00AC3626" w:rsidRDefault="00257A6D" w:rsidP="00F30823">
      <w:pPr>
        <w:pStyle w:val="Texto"/>
        <w:spacing w:after="80" w:line="239" w:lineRule="exact"/>
        <w:ind w:left="426" w:firstLine="0"/>
        <w:rPr>
          <w:i/>
          <w:sz w:val="22"/>
          <w:szCs w:val="22"/>
        </w:rPr>
      </w:pPr>
      <w:r w:rsidRPr="00AC3626">
        <w:rPr>
          <w:b/>
          <w:i/>
          <w:sz w:val="22"/>
          <w:szCs w:val="22"/>
        </w:rPr>
        <w:t xml:space="preserve">DÉCIMO </w:t>
      </w:r>
      <w:r w:rsidR="008867E3">
        <w:rPr>
          <w:b/>
          <w:i/>
          <w:sz w:val="22"/>
          <w:szCs w:val="22"/>
        </w:rPr>
        <w:t>SEXTO</w:t>
      </w:r>
      <w:r w:rsidRPr="00AC3626">
        <w:rPr>
          <w:b/>
          <w:i/>
          <w:sz w:val="22"/>
          <w:szCs w:val="22"/>
        </w:rPr>
        <w:t>.</w:t>
      </w:r>
      <w:r w:rsidRPr="00AC3626">
        <w:rPr>
          <w:i/>
          <w:sz w:val="22"/>
          <w:szCs w:val="22"/>
        </w:rPr>
        <w:t xml:space="preserve"> A partir </w:t>
      </w:r>
      <w:r w:rsidR="00826B6A" w:rsidRPr="00AC3626">
        <w:rPr>
          <w:i/>
          <w:sz w:val="22"/>
          <w:szCs w:val="22"/>
        </w:rPr>
        <w:t>del 1</w:t>
      </w:r>
      <w:r w:rsidR="0060284E">
        <w:rPr>
          <w:i/>
          <w:sz w:val="22"/>
          <w:szCs w:val="22"/>
        </w:rPr>
        <w:t>º</w:t>
      </w:r>
      <w:r w:rsidR="00826B6A" w:rsidRPr="00AC3626">
        <w:rPr>
          <w:i/>
          <w:sz w:val="22"/>
          <w:szCs w:val="22"/>
        </w:rPr>
        <w:t xml:space="preserve"> de febrero de 2022</w:t>
      </w:r>
      <w:r w:rsidRPr="00AC3626">
        <w:rPr>
          <w:i/>
          <w:sz w:val="22"/>
          <w:szCs w:val="22"/>
        </w:rPr>
        <w:t>, se deroga el Artículo Segundo Transitorio de los Lineamientos para la comercialización de servicios móviles por parte de operadores móviles virtuales.</w:t>
      </w:r>
    </w:p>
    <w:p w14:paraId="7D854595" w14:textId="77777777" w:rsidR="008867E3" w:rsidRDefault="008867E3" w:rsidP="00F30823">
      <w:pPr>
        <w:pStyle w:val="Texto"/>
        <w:spacing w:after="80" w:line="239" w:lineRule="exact"/>
        <w:ind w:left="426" w:firstLine="0"/>
        <w:rPr>
          <w:b/>
          <w:i/>
          <w:sz w:val="22"/>
          <w:szCs w:val="22"/>
        </w:rPr>
      </w:pPr>
    </w:p>
    <w:p w14:paraId="7CCB7117" w14:textId="77777777" w:rsidR="00257A6D" w:rsidRPr="00AC3626" w:rsidRDefault="00257A6D" w:rsidP="00F30823">
      <w:pPr>
        <w:pStyle w:val="Texto"/>
        <w:spacing w:after="80" w:line="239" w:lineRule="exact"/>
        <w:ind w:left="426" w:firstLine="0"/>
        <w:rPr>
          <w:i/>
          <w:sz w:val="22"/>
          <w:szCs w:val="22"/>
        </w:rPr>
      </w:pPr>
      <w:r w:rsidRPr="00AC3626">
        <w:rPr>
          <w:b/>
          <w:i/>
          <w:sz w:val="22"/>
          <w:szCs w:val="22"/>
        </w:rPr>
        <w:t xml:space="preserve">DÉCIMO </w:t>
      </w:r>
      <w:r w:rsidR="008867E3">
        <w:rPr>
          <w:b/>
          <w:i/>
          <w:sz w:val="22"/>
          <w:szCs w:val="22"/>
        </w:rPr>
        <w:t>SÉPTIMO</w:t>
      </w:r>
      <w:r w:rsidRPr="00AC3626">
        <w:rPr>
          <w:b/>
          <w:i/>
          <w:sz w:val="22"/>
          <w:szCs w:val="22"/>
        </w:rPr>
        <w:t>.</w:t>
      </w:r>
      <w:r w:rsidRPr="00AC3626">
        <w:rPr>
          <w:i/>
          <w:sz w:val="22"/>
          <w:szCs w:val="22"/>
        </w:rPr>
        <w:t xml:space="preserve"> Los Proveedores de Servicios de Telecomunicaciones que presten el servicio fijo y cuenten con la posibilidad técnica de ofrecer a sus usuarios la marcación optativa a 10 dígitos sin los prefijos 01, 044 y 045, lo podrán realizar a partir de la fecha de publicación del presente Plan, haciéndolo del conocimiento de sus Usuarios</w:t>
      </w:r>
      <w:r w:rsidRPr="006F6350">
        <w:rPr>
          <w:i/>
          <w:sz w:val="22"/>
          <w:szCs w:val="22"/>
        </w:rPr>
        <w:t>.</w:t>
      </w:r>
    </w:p>
    <w:p w14:paraId="23BE8B40" w14:textId="77777777" w:rsidR="008867E3" w:rsidRDefault="008867E3" w:rsidP="00F30823">
      <w:pPr>
        <w:pStyle w:val="Texto"/>
        <w:spacing w:after="80" w:line="239" w:lineRule="exact"/>
        <w:ind w:left="426" w:firstLine="0"/>
        <w:rPr>
          <w:b/>
          <w:i/>
          <w:sz w:val="22"/>
          <w:szCs w:val="22"/>
          <w:lang w:val="es-ES_tradnl"/>
        </w:rPr>
      </w:pPr>
    </w:p>
    <w:p w14:paraId="5FF0CE85" w14:textId="77777777" w:rsidR="00257A6D" w:rsidRPr="00AC3626" w:rsidRDefault="00257A6D" w:rsidP="00F30823">
      <w:pPr>
        <w:pStyle w:val="Texto"/>
        <w:spacing w:after="80" w:line="239" w:lineRule="exact"/>
        <w:ind w:left="426" w:firstLine="0"/>
        <w:rPr>
          <w:i/>
          <w:sz w:val="22"/>
          <w:szCs w:val="22"/>
          <w:lang w:val="es-ES_tradnl"/>
        </w:rPr>
      </w:pPr>
      <w:r w:rsidRPr="00AC3626">
        <w:rPr>
          <w:b/>
          <w:i/>
          <w:sz w:val="22"/>
          <w:szCs w:val="22"/>
          <w:lang w:val="es-ES_tradnl"/>
        </w:rPr>
        <w:t xml:space="preserve">DÉCIMO </w:t>
      </w:r>
      <w:r w:rsidR="008867E3">
        <w:rPr>
          <w:b/>
          <w:i/>
          <w:sz w:val="22"/>
          <w:szCs w:val="22"/>
          <w:lang w:val="es-ES_tradnl"/>
        </w:rPr>
        <w:t>OCTAVO</w:t>
      </w:r>
      <w:r w:rsidRPr="00AC3626">
        <w:rPr>
          <w:b/>
          <w:i/>
          <w:sz w:val="22"/>
          <w:szCs w:val="22"/>
          <w:lang w:val="es-ES_tradnl"/>
        </w:rPr>
        <w:t>.</w:t>
      </w:r>
      <w:r w:rsidRPr="00AC3626">
        <w:rPr>
          <w:i/>
          <w:sz w:val="22"/>
          <w:szCs w:val="22"/>
          <w:lang w:val="es-ES_tradnl"/>
        </w:rPr>
        <w:t xml:space="preserve"> A partir de</w:t>
      </w:r>
      <w:r w:rsidR="00826B6A" w:rsidRPr="00AC3626">
        <w:rPr>
          <w:i/>
          <w:sz w:val="22"/>
          <w:szCs w:val="22"/>
          <w:lang w:val="es-ES_tradnl"/>
        </w:rPr>
        <w:t xml:space="preserve">l </w:t>
      </w:r>
      <w:r w:rsidR="001025F2" w:rsidRPr="00AC3626">
        <w:rPr>
          <w:i/>
          <w:sz w:val="22"/>
          <w:szCs w:val="22"/>
          <w:lang w:val="es-ES_tradnl"/>
        </w:rPr>
        <w:t>3 de agosto de 2019</w:t>
      </w:r>
      <w:r w:rsidRPr="00AC3626">
        <w:rPr>
          <w:i/>
          <w:sz w:val="22"/>
          <w:szCs w:val="22"/>
          <w:lang w:val="es-ES_tradnl"/>
        </w:rPr>
        <w:t>, se deroga la Regla 46 de las Reglas del Servicio de Larga Distancia.</w:t>
      </w:r>
      <w:r w:rsidR="001E19DC" w:rsidRPr="00AC3626">
        <w:rPr>
          <w:i/>
          <w:sz w:val="22"/>
          <w:szCs w:val="22"/>
          <w:lang w:val="es-ES_tradnl"/>
        </w:rPr>
        <w:t>”</w:t>
      </w:r>
    </w:p>
    <w:p w14:paraId="342FADF7" w14:textId="77777777" w:rsidR="00257A6D" w:rsidRPr="00AC3626" w:rsidRDefault="00257A6D" w:rsidP="00257A6D">
      <w:pPr>
        <w:pStyle w:val="Texto"/>
        <w:spacing w:after="80" w:line="221" w:lineRule="exact"/>
        <w:ind w:firstLine="0"/>
        <w:rPr>
          <w:sz w:val="22"/>
          <w:szCs w:val="22"/>
          <w:lang w:val="es-ES_tradnl"/>
        </w:rPr>
      </w:pPr>
    </w:p>
    <w:p w14:paraId="2431BAEB" w14:textId="06EF8024" w:rsidR="00193678" w:rsidRPr="0011627A" w:rsidRDefault="00193678" w:rsidP="00193678">
      <w:pPr>
        <w:jc w:val="both"/>
        <w:outlineLvl w:val="1"/>
        <w:rPr>
          <w:rFonts w:ascii="Arial" w:eastAsia="Times New Roman" w:hAnsi="Arial" w:cs="Arial"/>
          <w:bCs/>
          <w:sz w:val="22"/>
          <w:szCs w:val="22"/>
          <w:lang w:val="es-MX"/>
        </w:rPr>
      </w:pPr>
      <w:r w:rsidRPr="00AC3626">
        <w:rPr>
          <w:rFonts w:ascii="Arial" w:eastAsia="Times New Roman" w:hAnsi="Arial" w:cs="Arial"/>
          <w:b/>
          <w:bCs/>
          <w:sz w:val="22"/>
          <w:szCs w:val="22"/>
          <w:lang w:val="es-MX"/>
        </w:rPr>
        <w:lastRenderedPageBreak/>
        <w:t>SEGUNDO</w:t>
      </w:r>
      <w:r w:rsidRPr="00AC3626">
        <w:rPr>
          <w:rFonts w:ascii="Arial" w:eastAsia="Times New Roman" w:hAnsi="Arial" w:cs="Arial"/>
          <w:bCs/>
          <w:sz w:val="22"/>
          <w:szCs w:val="22"/>
          <w:lang w:val="uz-Cyrl-UZ"/>
        </w:rPr>
        <w:t xml:space="preserve">. </w:t>
      </w:r>
      <w:r w:rsidRPr="00AC3626">
        <w:rPr>
          <w:rFonts w:ascii="Arial" w:eastAsia="Times New Roman" w:hAnsi="Arial" w:cs="Arial"/>
          <w:bCs/>
          <w:sz w:val="22"/>
          <w:szCs w:val="22"/>
        </w:rPr>
        <w:t>Se</w:t>
      </w:r>
      <w:r w:rsidRPr="00AC3626">
        <w:rPr>
          <w:rFonts w:ascii="Arial" w:eastAsia="Times New Roman" w:hAnsi="Arial" w:cs="Arial"/>
          <w:bCs/>
          <w:sz w:val="22"/>
          <w:szCs w:val="22"/>
          <w:lang w:val="uz-Cyrl-UZ"/>
        </w:rPr>
        <w:t xml:space="preserve"> modifican </w:t>
      </w:r>
      <w:r w:rsidRPr="00AC3626">
        <w:rPr>
          <w:rFonts w:ascii="Arial" w:eastAsia="Times New Roman" w:hAnsi="Arial" w:cs="Arial"/>
          <w:bCs/>
          <w:sz w:val="22"/>
          <w:szCs w:val="22"/>
          <w:lang w:val="es-MX"/>
        </w:rPr>
        <w:t xml:space="preserve">los </w:t>
      </w:r>
      <w:r w:rsidR="0060284E">
        <w:rPr>
          <w:rFonts w:ascii="Arial" w:eastAsia="Times New Roman" w:hAnsi="Arial" w:cs="Arial"/>
          <w:bCs/>
          <w:sz w:val="22"/>
          <w:szCs w:val="22"/>
          <w:lang w:val="es-MX"/>
        </w:rPr>
        <w:t>a</w:t>
      </w:r>
      <w:r w:rsidRPr="00AC3626">
        <w:rPr>
          <w:rFonts w:ascii="Arial" w:eastAsia="Times New Roman" w:hAnsi="Arial" w:cs="Arial"/>
          <w:bCs/>
          <w:sz w:val="22"/>
          <w:szCs w:val="22"/>
          <w:lang w:val="es-MX"/>
        </w:rPr>
        <w:t xml:space="preserve">rtículos </w:t>
      </w:r>
      <w:r w:rsidR="0060284E">
        <w:rPr>
          <w:rFonts w:ascii="Arial" w:eastAsia="Times New Roman" w:hAnsi="Arial" w:cs="Arial"/>
          <w:bCs/>
          <w:sz w:val="22"/>
          <w:szCs w:val="22"/>
          <w:lang w:val="es-MX"/>
        </w:rPr>
        <w:t>p</w:t>
      </w:r>
      <w:r w:rsidRPr="00AC3626">
        <w:rPr>
          <w:rFonts w:ascii="Arial" w:eastAsia="Times New Roman" w:hAnsi="Arial" w:cs="Arial"/>
          <w:bCs/>
          <w:sz w:val="22"/>
          <w:szCs w:val="22"/>
          <w:lang w:val="es-MX"/>
        </w:rPr>
        <w:t xml:space="preserve">rimero a </w:t>
      </w:r>
      <w:r w:rsidR="0060284E">
        <w:rPr>
          <w:rFonts w:ascii="Arial" w:eastAsia="Times New Roman" w:hAnsi="Arial" w:cs="Arial"/>
          <w:bCs/>
          <w:sz w:val="22"/>
          <w:szCs w:val="22"/>
          <w:lang w:val="es-MX"/>
        </w:rPr>
        <w:t>q</w:t>
      </w:r>
      <w:r w:rsidRPr="00AC3626">
        <w:rPr>
          <w:rFonts w:ascii="Arial" w:eastAsia="Times New Roman" w:hAnsi="Arial" w:cs="Arial"/>
          <w:bCs/>
          <w:sz w:val="22"/>
          <w:szCs w:val="22"/>
          <w:lang w:val="es-MX"/>
        </w:rPr>
        <w:t>uinto</w:t>
      </w:r>
      <w:r w:rsidR="00EB4E0E" w:rsidRPr="00AC3626">
        <w:rPr>
          <w:rFonts w:ascii="Arial" w:eastAsia="Times New Roman" w:hAnsi="Arial" w:cs="Arial"/>
          <w:bCs/>
          <w:sz w:val="22"/>
          <w:szCs w:val="22"/>
          <w:lang w:val="es-MX"/>
        </w:rPr>
        <w:t xml:space="preserve"> </w:t>
      </w:r>
      <w:r w:rsidR="0060284E">
        <w:rPr>
          <w:rFonts w:ascii="Arial" w:eastAsia="Times New Roman" w:hAnsi="Arial" w:cs="Arial"/>
          <w:bCs/>
          <w:sz w:val="22"/>
          <w:szCs w:val="22"/>
          <w:lang w:val="es-MX"/>
        </w:rPr>
        <w:t>t</w:t>
      </w:r>
      <w:r w:rsidR="001025F2" w:rsidRPr="00AC3626">
        <w:rPr>
          <w:rFonts w:ascii="Arial" w:eastAsia="Times New Roman" w:hAnsi="Arial" w:cs="Arial"/>
          <w:bCs/>
          <w:sz w:val="22"/>
          <w:szCs w:val="22"/>
          <w:lang w:val="es-MX"/>
        </w:rPr>
        <w:t xml:space="preserve">ransitorios </w:t>
      </w:r>
      <w:r w:rsidR="00EB4E0E" w:rsidRPr="00AC3626">
        <w:rPr>
          <w:rFonts w:ascii="Arial" w:eastAsia="Times New Roman" w:hAnsi="Arial" w:cs="Arial"/>
          <w:bCs/>
          <w:sz w:val="22"/>
          <w:szCs w:val="22"/>
          <w:lang w:val="es-MX"/>
        </w:rPr>
        <w:t xml:space="preserve">y se adiciona el </w:t>
      </w:r>
      <w:r w:rsidR="0060284E">
        <w:rPr>
          <w:rFonts w:ascii="Arial" w:eastAsia="Times New Roman" w:hAnsi="Arial" w:cs="Arial"/>
          <w:bCs/>
          <w:sz w:val="22"/>
          <w:szCs w:val="22"/>
          <w:lang w:val="es-MX"/>
        </w:rPr>
        <w:t>a</w:t>
      </w:r>
      <w:r w:rsidR="00EB4E0E" w:rsidRPr="00AC3626">
        <w:rPr>
          <w:rFonts w:ascii="Arial" w:eastAsia="Times New Roman" w:hAnsi="Arial" w:cs="Arial"/>
          <w:bCs/>
          <w:sz w:val="22"/>
          <w:szCs w:val="22"/>
          <w:lang w:val="es-MX"/>
        </w:rPr>
        <w:t xml:space="preserve">rtículo </w:t>
      </w:r>
      <w:r w:rsidR="0060284E">
        <w:rPr>
          <w:rFonts w:ascii="Arial" w:eastAsia="Times New Roman" w:hAnsi="Arial" w:cs="Arial"/>
          <w:bCs/>
          <w:sz w:val="22"/>
          <w:szCs w:val="22"/>
          <w:lang w:val="es-MX"/>
        </w:rPr>
        <w:t>s</w:t>
      </w:r>
      <w:r w:rsidR="00EB4E0E" w:rsidRPr="00AC3626">
        <w:rPr>
          <w:rFonts w:ascii="Arial" w:eastAsia="Times New Roman" w:hAnsi="Arial" w:cs="Arial"/>
          <w:bCs/>
          <w:sz w:val="22"/>
          <w:szCs w:val="22"/>
          <w:lang w:val="es-MX"/>
        </w:rPr>
        <w:t>exto</w:t>
      </w:r>
      <w:r w:rsidRPr="00AC3626">
        <w:rPr>
          <w:rFonts w:ascii="Arial" w:eastAsia="Times New Roman" w:hAnsi="Arial" w:cs="Arial"/>
          <w:bCs/>
          <w:sz w:val="22"/>
          <w:szCs w:val="22"/>
          <w:lang w:val="es-MX"/>
        </w:rPr>
        <w:t xml:space="preserve"> </w:t>
      </w:r>
      <w:r w:rsidR="0060284E">
        <w:rPr>
          <w:rFonts w:ascii="Arial" w:eastAsia="Times New Roman" w:hAnsi="Arial" w:cs="Arial"/>
          <w:bCs/>
          <w:sz w:val="22"/>
          <w:szCs w:val="22"/>
          <w:lang w:val="es-MX"/>
        </w:rPr>
        <w:t>t</w:t>
      </w:r>
      <w:r w:rsidR="001025F2" w:rsidRPr="00AC3626">
        <w:rPr>
          <w:rFonts w:ascii="Arial" w:eastAsia="Times New Roman" w:hAnsi="Arial" w:cs="Arial"/>
          <w:bCs/>
          <w:sz w:val="22"/>
          <w:szCs w:val="22"/>
          <w:lang w:val="es-MX"/>
        </w:rPr>
        <w:t xml:space="preserve">ransitorio </w:t>
      </w:r>
      <w:r w:rsidRPr="00AC3626">
        <w:rPr>
          <w:rFonts w:ascii="Arial" w:eastAsia="Times New Roman" w:hAnsi="Arial" w:cs="Arial"/>
          <w:bCs/>
          <w:sz w:val="22"/>
          <w:szCs w:val="22"/>
          <w:lang w:val="es-MX"/>
        </w:rPr>
        <w:t xml:space="preserve">del Plan Técnico Fundamental de Señalización </w:t>
      </w:r>
      <w:r w:rsidRPr="00AC3626">
        <w:rPr>
          <w:rFonts w:ascii="Arial" w:eastAsia="Times New Roman" w:hAnsi="Arial" w:cs="Arial"/>
          <w:bCs/>
          <w:sz w:val="22"/>
          <w:szCs w:val="22"/>
        </w:rPr>
        <w:t>para quedar en los siguientes términos</w:t>
      </w:r>
      <w:r w:rsidRPr="00AC3626">
        <w:rPr>
          <w:rFonts w:ascii="Arial" w:eastAsia="Times New Roman" w:hAnsi="Arial" w:cs="Arial"/>
          <w:b/>
          <w:bCs/>
          <w:sz w:val="22"/>
          <w:szCs w:val="22"/>
        </w:rPr>
        <w:t>:</w:t>
      </w:r>
    </w:p>
    <w:p w14:paraId="22DC8936" w14:textId="77777777" w:rsidR="00F326CD" w:rsidRPr="00AC3626" w:rsidRDefault="00F326CD" w:rsidP="008C7514">
      <w:pPr>
        <w:jc w:val="both"/>
        <w:rPr>
          <w:rFonts w:ascii="Arial" w:eastAsia="Times New Roman" w:hAnsi="Arial" w:cs="Arial"/>
          <w:kern w:val="2"/>
          <w:sz w:val="22"/>
          <w:szCs w:val="22"/>
          <w:lang w:eastAsia="ar-SA"/>
        </w:rPr>
      </w:pPr>
    </w:p>
    <w:p w14:paraId="0188AD2B" w14:textId="77777777" w:rsidR="00193678" w:rsidRDefault="00193678" w:rsidP="007E4BE8">
      <w:pPr>
        <w:pStyle w:val="Texto"/>
        <w:spacing w:after="80" w:line="221" w:lineRule="exact"/>
        <w:ind w:left="426" w:firstLine="0"/>
        <w:rPr>
          <w:i/>
          <w:sz w:val="22"/>
          <w:szCs w:val="22"/>
          <w:lang w:val="es-ES_tradnl"/>
        </w:rPr>
      </w:pPr>
      <w:r w:rsidRPr="00AC3626">
        <w:rPr>
          <w:b/>
          <w:i/>
          <w:sz w:val="22"/>
          <w:szCs w:val="22"/>
          <w:lang w:val="es-ES_tradnl"/>
        </w:rPr>
        <w:t>“PRIMERO.</w:t>
      </w:r>
      <w:r w:rsidRPr="00AC3626">
        <w:rPr>
          <w:i/>
          <w:sz w:val="22"/>
          <w:szCs w:val="22"/>
          <w:lang w:val="es-ES_tradnl"/>
        </w:rPr>
        <w:t xml:space="preserve"> Las siguientes secciones del presente Plan entrarán en vigor el día 3 de agosto de 2019:</w:t>
      </w:r>
    </w:p>
    <w:p w14:paraId="73680836" w14:textId="77777777" w:rsidR="00D33A5A" w:rsidRPr="00AC3626" w:rsidRDefault="00D33A5A" w:rsidP="00193678">
      <w:pPr>
        <w:pStyle w:val="Texto"/>
        <w:spacing w:after="80" w:line="221" w:lineRule="exact"/>
        <w:rPr>
          <w:i/>
          <w:sz w:val="22"/>
          <w:szCs w:val="22"/>
          <w:lang w:val="es-ES_tradnl"/>
        </w:rPr>
      </w:pPr>
    </w:p>
    <w:p w14:paraId="790FE54B" w14:textId="77777777" w:rsidR="00193678" w:rsidRPr="00AC3626" w:rsidRDefault="00193678" w:rsidP="007E4BE8">
      <w:pPr>
        <w:pStyle w:val="Texto"/>
        <w:numPr>
          <w:ilvl w:val="0"/>
          <w:numId w:val="15"/>
        </w:numPr>
        <w:spacing w:after="80" w:line="221" w:lineRule="exact"/>
        <w:ind w:left="1276" w:hanging="425"/>
        <w:rPr>
          <w:i/>
          <w:sz w:val="22"/>
          <w:szCs w:val="22"/>
          <w:lang w:val="es-ES_tradnl"/>
        </w:rPr>
      </w:pPr>
      <w:r w:rsidRPr="00AC3626">
        <w:rPr>
          <w:b/>
          <w:i/>
          <w:sz w:val="22"/>
          <w:szCs w:val="22"/>
          <w:lang w:val="es-ES_tradnl"/>
        </w:rPr>
        <w:t>OBJETO</w:t>
      </w:r>
      <w:r w:rsidRPr="00AC3626">
        <w:rPr>
          <w:i/>
          <w:sz w:val="22"/>
          <w:szCs w:val="22"/>
          <w:lang w:val="es-ES_tradnl"/>
        </w:rPr>
        <w:t>;</w:t>
      </w:r>
    </w:p>
    <w:p w14:paraId="71DC665A" w14:textId="77777777" w:rsidR="00193678" w:rsidRPr="00AC3626" w:rsidRDefault="00193678" w:rsidP="007E4BE8">
      <w:pPr>
        <w:pStyle w:val="Texto"/>
        <w:numPr>
          <w:ilvl w:val="0"/>
          <w:numId w:val="15"/>
        </w:numPr>
        <w:spacing w:after="80" w:line="221" w:lineRule="exact"/>
        <w:ind w:left="1276" w:hanging="425"/>
        <w:rPr>
          <w:i/>
          <w:sz w:val="22"/>
          <w:szCs w:val="22"/>
          <w:lang w:val="es-ES_tradnl"/>
        </w:rPr>
      </w:pPr>
      <w:r w:rsidRPr="00AC3626">
        <w:rPr>
          <w:b/>
          <w:i/>
          <w:sz w:val="22"/>
          <w:szCs w:val="22"/>
          <w:lang w:val="es-ES_tradnl"/>
        </w:rPr>
        <w:t>DEFINICIÓN DE TÉRMINOS</w:t>
      </w:r>
      <w:r w:rsidRPr="00AC3626">
        <w:rPr>
          <w:i/>
          <w:sz w:val="22"/>
          <w:szCs w:val="22"/>
          <w:lang w:val="es-ES_tradnl"/>
        </w:rPr>
        <w:t xml:space="preserve">: primer párrafo; </w:t>
      </w:r>
      <w:proofErr w:type="spellStart"/>
      <w:r w:rsidRPr="00AC3626">
        <w:rPr>
          <w:i/>
          <w:sz w:val="22"/>
          <w:szCs w:val="22"/>
          <w:lang w:val="es-ES_tradnl"/>
        </w:rPr>
        <w:t>subnumerales</w:t>
      </w:r>
      <w:proofErr w:type="spellEnd"/>
      <w:r w:rsidRPr="00AC3626">
        <w:rPr>
          <w:i/>
          <w:sz w:val="22"/>
          <w:szCs w:val="22"/>
          <w:lang w:val="es-ES_tradnl"/>
        </w:rPr>
        <w:t xml:space="preserve"> 2.1</w:t>
      </w:r>
      <w:r w:rsidR="008E095F">
        <w:rPr>
          <w:i/>
          <w:sz w:val="22"/>
          <w:szCs w:val="22"/>
          <w:lang w:val="es-ES_tradnl"/>
        </w:rPr>
        <w:t>.</w:t>
      </w:r>
      <w:r w:rsidRPr="00AC3626">
        <w:rPr>
          <w:i/>
          <w:sz w:val="22"/>
          <w:szCs w:val="22"/>
          <w:lang w:val="es-ES_tradnl"/>
        </w:rPr>
        <w:t xml:space="preserve"> a 2.43</w:t>
      </w:r>
      <w:r w:rsidR="008E095F">
        <w:rPr>
          <w:i/>
          <w:sz w:val="22"/>
          <w:szCs w:val="22"/>
          <w:lang w:val="es-ES_tradnl"/>
        </w:rPr>
        <w:t>.</w:t>
      </w:r>
      <w:r w:rsidR="00C63BF0" w:rsidRPr="00AC3626">
        <w:rPr>
          <w:i/>
          <w:sz w:val="22"/>
          <w:szCs w:val="22"/>
          <w:lang w:val="es-ES_tradnl"/>
        </w:rPr>
        <w:t>;</w:t>
      </w:r>
      <w:r w:rsidRPr="00AC3626">
        <w:rPr>
          <w:i/>
          <w:sz w:val="22"/>
          <w:szCs w:val="22"/>
          <w:lang w:val="es-ES_tradnl"/>
        </w:rPr>
        <w:t xml:space="preserve"> 2.45</w:t>
      </w:r>
      <w:r w:rsidR="008E095F">
        <w:rPr>
          <w:i/>
          <w:sz w:val="22"/>
          <w:szCs w:val="22"/>
          <w:lang w:val="es-ES_tradnl"/>
        </w:rPr>
        <w:t>.</w:t>
      </w:r>
      <w:r w:rsidRPr="00AC3626">
        <w:rPr>
          <w:i/>
          <w:sz w:val="22"/>
          <w:szCs w:val="22"/>
          <w:lang w:val="es-ES_tradnl"/>
        </w:rPr>
        <w:t xml:space="preserve"> a 2.50</w:t>
      </w:r>
      <w:r w:rsidR="008E095F">
        <w:rPr>
          <w:i/>
          <w:sz w:val="22"/>
          <w:szCs w:val="22"/>
          <w:lang w:val="es-ES_tradnl"/>
        </w:rPr>
        <w:t>.</w:t>
      </w:r>
      <w:r w:rsidR="00C63BF0" w:rsidRPr="00AC3626">
        <w:rPr>
          <w:i/>
          <w:sz w:val="22"/>
          <w:szCs w:val="22"/>
          <w:lang w:val="es-ES_tradnl"/>
        </w:rPr>
        <w:t xml:space="preserve"> y</w:t>
      </w:r>
      <w:r w:rsidRPr="00AC3626">
        <w:rPr>
          <w:i/>
          <w:sz w:val="22"/>
          <w:szCs w:val="22"/>
          <w:lang w:val="es-ES_tradnl"/>
        </w:rPr>
        <w:t xml:space="preserve"> último párrafo;</w:t>
      </w:r>
    </w:p>
    <w:p w14:paraId="2F4F917E" w14:textId="77777777" w:rsidR="00193678" w:rsidRPr="00AC3626" w:rsidRDefault="00193678" w:rsidP="007E4BE8">
      <w:pPr>
        <w:pStyle w:val="Texto"/>
        <w:numPr>
          <w:ilvl w:val="0"/>
          <w:numId w:val="15"/>
        </w:numPr>
        <w:spacing w:after="80" w:line="221" w:lineRule="exact"/>
        <w:ind w:left="1276" w:hanging="425"/>
        <w:rPr>
          <w:i/>
          <w:sz w:val="22"/>
          <w:szCs w:val="22"/>
          <w:lang w:val="es-ES_tradnl"/>
        </w:rPr>
      </w:pPr>
      <w:r w:rsidRPr="00AC3626">
        <w:rPr>
          <w:b/>
          <w:i/>
          <w:sz w:val="22"/>
          <w:szCs w:val="22"/>
          <w:lang w:val="es-ES_tradnl"/>
        </w:rPr>
        <w:t>APLICACIÓN</w:t>
      </w:r>
      <w:r w:rsidRPr="00AC3626">
        <w:rPr>
          <w:i/>
          <w:sz w:val="22"/>
          <w:szCs w:val="22"/>
          <w:lang w:val="es-ES_tradnl"/>
        </w:rPr>
        <w:t>;</w:t>
      </w:r>
    </w:p>
    <w:p w14:paraId="1A8D5FEC" w14:textId="1F3BAE98" w:rsidR="00C63BF0" w:rsidRPr="00AC3626" w:rsidRDefault="00193678" w:rsidP="007E4BE8">
      <w:pPr>
        <w:pStyle w:val="Texto"/>
        <w:numPr>
          <w:ilvl w:val="0"/>
          <w:numId w:val="15"/>
        </w:numPr>
        <w:spacing w:after="80" w:line="221" w:lineRule="exact"/>
        <w:ind w:left="1276" w:hanging="425"/>
        <w:rPr>
          <w:kern w:val="2"/>
          <w:sz w:val="22"/>
          <w:szCs w:val="22"/>
          <w:lang w:eastAsia="ar-SA"/>
        </w:rPr>
      </w:pPr>
      <w:r w:rsidRPr="00AC3626">
        <w:rPr>
          <w:b/>
          <w:i/>
          <w:sz w:val="22"/>
          <w:szCs w:val="22"/>
          <w:lang w:val="es-ES_tradnl"/>
        </w:rPr>
        <w:t>ATRIBUCIONES DEL INSTITUTO</w:t>
      </w:r>
      <w:r w:rsidRPr="00AC3626">
        <w:rPr>
          <w:i/>
          <w:sz w:val="22"/>
          <w:szCs w:val="22"/>
          <w:lang w:val="es-ES_tradnl"/>
        </w:rPr>
        <w:t>, numeral 4</w:t>
      </w:r>
      <w:r w:rsidR="008E095F">
        <w:rPr>
          <w:i/>
          <w:sz w:val="22"/>
          <w:szCs w:val="22"/>
          <w:lang w:val="es-ES_tradnl"/>
        </w:rPr>
        <w:t>.</w:t>
      </w:r>
      <w:r w:rsidR="00D00B56">
        <w:rPr>
          <w:i/>
          <w:sz w:val="22"/>
          <w:szCs w:val="22"/>
          <w:lang w:val="es-ES_tradnl"/>
        </w:rPr>
        <w:t>, 5.1.1. y 5.2.1.;</w:t>
      </w:r>
    </w:p>
    <w:p w14:paraId="3CA5AFB6" w14:textId="77777777" w:rsidR="00F326CD" w:rsidRPr="00AC3626" w:rsidRDefault="00C63BF0" w:rsidP="007E4BE8">
      <w:pPr>
        <w:pStyle w:val="Texto"/>
        <w:numPr>
          <w:ilvl w:val="0"/>
          <w:numId w:val="16"/>
        </w:numPr>
        <w:spacing w:after="80" w:line="221" w:lineRule="exact"/>
        <w:ind w:left="1276" w:hanging="425"/>
        <w:rPr>
          <w:kern w:val="2"/>
          <w:sz w:val="22"/>
          <w:szCs w:val="22"/>
          <w:lang w:eastAsia="ar-SA"/>
        </w:rPr>
      </w:pPr>
      <w:r w:rsidRPr="00AC3626">
        <w:rPr>
          <w:b/>
          <w:i/>
          <w:sz w:val="22"/>
          <w:szCs w:val="22"/>
          <w:lang w:val="es-ES_tradnl"/>
        </w:rPr>
        <w:t>ESTRUCTURA DE LOS CÓDIGOS DE PUNTOS DE SEÑALIZACIÓN NACIONAL;</w:t>
      </w:r>
      <w:r w:rsidR="00193678" w:rsidRPr="00AC3626">
        <w:rPr>
          <w:i/>
          <w:sz w:val="22"/>
          <w:szCs w:val="22"/>
          <w:lang w:val="es-ES_tradnl"/>
        </w:rPr>
        <w:t xml:space="preserve"> </w:t>
      </w:r>
    </w:p>
    <w:p w14:paraId="3B529DD4" w14:textId="77777777" w:rsidR="00C63BF0" w:rsidRPr="00AC3626" w:rsidRDefault="00C63BF0" w:rsidP="007E4BE8">
      <w:pPr>
        <w:pStyle w:val="Texto"/>
        <w:numPr>
          <w:ilvl w:val="0"/>
          <w:numId w:val="16"/>
        </w:numPr>
        <w:spacing w:after="80" w:line="221" w:lineRule="exact"/>
        <w:ind w:left="1276" w:hanging="425"/>
        <w:rPr>
          <w:kern w:val="2"/>
          <w:sz w:val="22"/>
          <w:szCs w:val="22"/>
          <w:lang w:eastAsia="ar-SA"/>
        </w:rPr>
      </w:pPr>
      <w:r w:rsidRPr="00AC3626">
        <w:rPr>
          <w:b/>
          <w:i/>
          <w:sz w:val="22"/>
          <w:szCs w:val="22"/>
          <w:lang w:val="es-ES_tradnl"/>
        </w:rPr>
        <w:t>ESTRUCTURA DE LOS CÓDIGOS DE PUNTOS DE SEÑALIZACIÓN INTERNACIONAL;</w:t>
      </w:r>
      <w:r w:rsidRPr="00AC3626">
        <w:rPr>
          <w:i/>
          <w:sz w:val="22"/>
          <w:szCs w:val="22"/>
          <w:lang w:val="es-ES_tradnl"/>
        </w:rPr>
        <w:t xml:space="preserve"> </w:t>
      </w:r>
    </w:p>
    <w:p w14:paraId="6B7D9725" w14:textId="77777777" w:rsidR="00C63BF0" w:rsidRPr="00AC3626" w:rsidRDefault="00C63BF0" w:rsidP="007E4BE8">
      <w:pPr>
        <w:pStyle w:val="Texto"/>
        <w:numPr>
          <w:ilvl w:val="0"/>
          <w:numId w:val="16"/>
        </w:numPr>
        <w:spacing w:after="80" w:line="221" w:lineRule="exact"/>
        <w:ind w:left="1276" w:hanging="425"/>
        <w:rPr>
          <w:b/>
          <w:i/>
          <w:sz w:val="22"/>
          <w:szCs w:val="22"/>
          <w:lang w:val="es-ES_tradnl"/>
        </w:rPr>
      </w:pPr>
      <w:r w:rsidRPr="00AC3626">
        <w:rPr>
          <w:b/>
          <w:i/>
          <w:sz w:val="22"/>
          <w:szCs w:val="22"/>
          <w:lang w:val="es-ES_tradnl"/>
        </w:rPr>
        <w:t>CRITERIOS PARA LA ASIGNACIÓN DE CÓDIGOS DE PUNTOS DE SEÑALIZACIÓN NACIONAL;</w:t>
      </w:r>
    </w:p>
    <w:p w14:paraId="4C1C4B12" w14:textId="77777777" w:rsidR="00C63BF0" w:rsidRPr="00AC3626" w:rsidRDefault="00C63BF0" w:rsidP="007E4BE8">
      <w:pPr>
        <w:pStyle w:val="Texto"/>
        <w:numPr>
          <w:ilvl w:val="0"/>
          <w:numId w:val="32"/>
        </w:numPr>
        <w:spacing w:after="80" w:line="221" w:lineRule="exact"/>
        <w:ind w:left="1276" w:hanging="425"/>
        <w:rPr>
          <w:b/>
          <w:i/>
          <w:sz w:val="22"/>
          <w:szCs w:val="22"/>
          <w:lang w:val="es-ES_tradnl"/>
        </w:rPr>
      </w:pPr>
      <w:r w:rsidRPr="00AC3626">
        <w:rPr>
          <w:b/>
          <w:i/>
          <w:sz w:val="22"/>
          <w:szCs w:val="22"/>
          <w:lang w:val="es-ES_tradnl"/>
        </w:rPr>
        <w:t>DE LOS PROTOCOLOS DE SEÑALIZACIÓN, numerales 16</w:t>
      </w:r>
      <w:r w:rsidR="008E095F">
        <w:rPr>
          <w:b/>
          <w:i/>
          <w:sz w:val="22"/>
          <w:szCs w:val="22"/>
          <w:lang w:val="es-ES_tradnl"/>
        </w:rPr>
        <w:t>.</w:t>
      </w:r>
      <w:r w:rsidRPr="00AC3626">
        <w:rPr>
          <w:b/>
          <w:i/>
          <w:sz w:val="22"/>
          <w:szCs w:val="22"/>
          <w:lang w:val="es-ES_tradnl"/>
        </w:rPr>
        <w:t xml:space="preserve"> a 18</w:t>
      </w:r>
      <w:r w:rsidR="008E095F">
        <w:rPr>
          <w:b/>
          <w:i/>
          <w:sz w:val="22"/>
          <w:szCs w:val="22"/>
          <w:lang w:val="es-ES_tradnl"/>
        </w:rPr>
        <w:t>.</w:t>
      </w:r>
      <w:r w:rsidRPr="00AC3626">
        <w:rPr>
          <w:b/>
          <w:i/>
          <w:sz w:val="22"/>
          <w:szCs w:val="22"/>
          <w:lang w:val="es-ES_tradnl"/>
        </w:rPr>
        <w:t>;</w:t>
      </w:r>
    </w:p>
    <w:p w14:paraId="7478C947" w14:textId="77777777" w:rsidR="00C63BF0" w:rsidRPr="00AC3626" w:rsidRDefault="00C63BF0" w:rsidP="007E4BE8">
      <w:pPr>
        <w:pStyle w:val="Texto"/>
        <w:numPr>
          <w:ilvl w:val="0"/>
          <w:numId w:val="33"/>
        </w:numPr>
        <w:spacing w:after="80" w:line="221" w:lineRule="exact"/>
        <w:ind w:left="1276" w:hanging="425"/>
        <w:rPr>
          <w:b/>
          <w:i/>
          <w:sz w:val="22"/>
          <w:szCs w:val="22"/>
          <w:lang w:val="es-ES_tradnl"/>
        </w:rPr>
      </w:pPr>
      <w:r w:rsidRPr="00AC3626">
        <w:rPr>
          <w:b/>
          <w:i/>
          <w:sz w:val="22"/>
          <w:szCs w:val="22"/>
          <w:lang w:val="es-ES_tradnl"/>
        </w:rPr>
        <w:t xml:space="preserve">DEL INTERCAMBIO DE INFORMACIÓN EN LA INTERCONEXIÓN DE REDES; </w:t>
      </w:r>
      <w:r w:rsidRPr="00D33A5A">
        <w:rPr>
          <w:i/>
          <w:sz w:val="22"/>
          <w:szCs w:val="22"/>
          <w:lang w:val="es-ES_tradnl"/>
        </w:rPr>
        <w:t>y</w:t>
      </w:r>
    </w:p>
    <w:p w14:paraId="58CE9D88" w14:textId="77777777" w:rsidR="00C63BF0" w:rsidRPr="00AC3626" w:rsidRDefault="00C63BF0" w:rsidP="007E4BE8">
      <w:pPr>
        <w:pStyle w:val="Texto"/>
        <w:numPr>
          <w:ilvl w:val="0"/>
          <w:numId w:val="33"/>
        </w:numPr>
        <w:spacing w:after="80" w:line="221" w:lineRule="exact"/>
        <w:ind w:left="1276" w:hanging="425"/>
        <w:rPr>
          <w:b/>
          <w:i/>
          <w:sz w:val="22"/>
          <w:szCs w:val="22"/>
          <w:lang w:val="es-ES_tradnl"/>
        </w:rPr>
      </w:pPr>
      <w:r w:rsidRPr="00AC3626">
        <w:rPr>
          <w:b/>
          <w:i/>
          <w:sz w:val="22"/>
          <w:szCs w:val="22"/>
          <w:lang w:val="es-ES_tradnl"/>
        </w:rPr>
        <w:t>DEL COMITÉ.”</w:t>
      </w:r>
    </w:p>
    <w:p w14:paraId="097E4440" w14:textId="77777777" w:rsidR="00F326CD" w:rsidRDefault="00F326CD" w:rsidP="008C7514">
      <w:pPr>
        <w:jc w:val="both"/>
        <w:rPr>
          <w:rFonts w:ascii="Arial" w:eastAsia="Times New Roman" w:hAnsi="Arial" w:cs="Arial"/>
          <w:kern w:val="2"/>
          <w:sz w:val="22"/>
          <w:szCs w:val="22"/>
          <w:lang w:eastAsia="ar-SA"/>
        </w:rPr>
      </w:pPr>
    </w:p>
    <w:p w14:paraId="4C0CF68F" w14:textId="77777777" w:rsidR="00D33A5A" w:rsidRPr="00AC3626" w:rsidRDefault="00D33A5A" w:rsidP="008C7514">
      <w:pPr>
        <w:jc w:val="both"/>
        <w:rPr>
          <w:rFonts w:ascii="Arial" w:eastAsia="Times New Roman" w:hAnsi="Arial" w:cs="Arial"/>
          <w:kern w:val="2"/>
          <w:sz w:val="22"/>
          <w:szCs w:val="22"/>
          <w:lang w:eastAsia="ar-SA"/>
        </w:rPr>
      </w:pPr>
    </w:p>
    <w:p w14:paraId="285BA557" w14:textId="384D105A" w:rsidR="00C63BF0" w:rsidRDefault="00C63BF0" w:rsidP="007E4BE8">
      <w:pPr>
        <w:pStyle w:val="Texto"/>
        <w:spacing w:after="80" w:line="221" w:lineRule="exact"/>
        <w:ind w:left="426" w:firstLine="0"/>
        <w:rPr>
          <w:i/>
          <w:sz w:val="22"/>
          <w:szCs w:val="22"/>
          <w:lang w:val="es-ES_tradnl"/>
        </w:rPr>
      </w:pPr>
      <w:r w:rsidRPr="00AC3626">
        <w:rPr>
          <w:b/>
          <w:i/>
          <w:sz w:val="22"/>
          <w:szCs w:val="22"/>
          <w:lang w:val="es-ES_tradnl"/>
        </w:rPr>
        <w:t>“SEGUNDO.</w:t>
      </w:r>
      <w:r w:rsidRPr="00AC3626">
        <w:rPr>
          <w:i/>
          <w:sz w:val="22"/>
          <w:szCs w:val="22"/>
          <w:lang w:val="es-ES_tradnl"/>
        </w:rPr>
        <w:t xml:space="preserve"> Las siguientes secciones del presente Plan entrarán en vigor el día 1</w:t>
      </w:r>
      <w:r w:rsidR="0060284E">
        <w:rPr>
          <w:i/>
          <w:sz w:val="22"/>
          <w:szCs w:val="22"/>
          <w:lang w:val="es-ES_tradnl"/>
        </w:rPr>
        <w:t>º</w:t>
      </w:r>
      <w:r w:rsidRPr="00AC3626">
        <w:rPr>
          <w:i/>
          <w:sz w:val="22"/>
          <w:szCs w:val="22"/>
          <w:lang w:val="es-ES_tradnl"/>
        </w:rPr>
        <w:t xml:space="preserve"> de febrero de 2022:</w:t>
      </w:r>
    </w:p>
    <w:p w14:paraId="5EE2C8D4" w14:textId="77777777" w:rsidR="00D33A5A" w:rsidRPr="00AC3626" w:rsidRDefault="00D33A5A" w:rsidP="00C63BF0">
      <w:pPr>
        <w:pStyle w:val="Texto"/>
        <w:spacing w:after="80" w:line="221" w:lineRule="exact"/>
        <w:rPr>
          <w:i/>
          <w:sz w:val="22"/>
          <w:szCs w:val="22"/>
          <w:lang w:val="es-ES_tradnl"/>
        </w:rPr>
      </w:pPr>
    </w:p>
    <w:p w14:paraId="3D3F5F22" w14:textId="77777777" w:rsidR="00C63BF0" w:rsidRPr="00AC3626" w:rsidRDefault="00C63BF0" w:rsidP="007E4BE8">
      <w:pPr>
        <w:pStyle w:val="Texto"/>
        <w:numPr>
          <w:ilvl w:val="0"/>
          <w:numId w:val="35"/>
        </w:numPr>
        <w:spacing w:after="80" w:line="221" w:lineRule="exact"/>
        <w:ind w:left="1276" w:hanging="425"/>
        <w:rPr>
          <w:i/>
          <w:sz w:val="22"/>
          <w:szCs w:val="22"/>
          <w:lang w:val="es-ES_tradnl"/>
        </w:rPr>
      </w:pPr>
      <w:r w:rsidRPr="00AC3626">
        <w:rPr>
          <w:b/>
          <w:i/>
          <w:sz w:val="22"/>
          <w:szCs w:val="22"/>
          <w:lang w:val="es-ES_tradnl"/>
        </w:rPr>
        <w:t>DEFINICIÓN DE TÉRMINOS</w:t>
      </w:r>
      <w:r w:rsidRPr="00AC3626">
        <w:rPr>
          <w:i/>
          <w:sz w:val="22"/>
          <w:szCs w:val="22"/>
          <w:lang w:val="es-ES_tradnl"/>
        </w:rPr>
        <w:t xml:space="preserve">: </w:t>
      </w:r>
      <w:proofErr w:type="spellStart"/>
      <w:r w:rsidR="009D0F11" w:rsidRPr="00AC3626">
        <w:rPr>
          <w:i/>
          <w:sz w:val="22"/>
          <w:szCs w:val="22"/>
          <w:lang w:val="es-ES_tradnl"/>
        </w:rPr>
        <w:t>subnumeral</w:t>
      </w:r>
      <w:proofErr w:type="spellEnd"/>
      <w:r w:rsidRPr="00AC3626">
        <w:rPr>
          <w:i/>
          <w:sz w:val="22"/>
          <w:szCs w:val="22"/>
          <w:lang w:val="es-ES_tradnl"/>
        </w:rPr>
        <w:t xml:space="preserve"> </w:t>
      </w:r>
      <w:r w:rsidR="009D0F11" w:rsidRPr="00AC3626">
        <w:rPr>
          <w:i/>
          <w:sz w:val="22"/>
          <w:szCs w:val="22"/>
          <w:lang w:val="es-ES_tradnl"/>
        </w:rPr>
        <w:t>2.44</w:t>
      </w:r>
      <w:r w:rsidR="008E095F">
        <w:rPr>
          <w:i/>
          <w:sz w:val="22"/>
          <w:szCs w:val="22"/>
          <w:lang w:val="es-ES_tradnl"/>
        </w:rPr>
        <w:t>.</w:t>
      </w:r>
      <w:r w:rsidRPr="00AC3626">
        <w:rPr>
          <w:i/>
          <w:sz w:val="22"/>
          <w:szCs w:val="22"/>
          <w:lang w:val="es-ES_tradnl"/>
        </w:rPr>
        <w:t>;</w:t>
      </w:r>
    </w:p>
    <w:p w14:paraId="43316754" w14:textId="086F2512" w:rsidR="00C63BF0" w:rsidRPr="00AC3626" w:rsidRDefault="00C63BF0" w:rsidP="007E4BE8">
      <w:pPr>
        <w:pStyle w:val="Texto"/>
        <w:numPr>
          <w:ilvl w:val="0"/>
          <w:numId w:val="36"/>
        </w:numPr>
        <w:spacing w:after="80" w:line="221" w:lineRule="exact"/>
        <w:ind w:left="1276" w:hanging="425"/>
        <w:rPr>
          <w:kern w:val="2"/>
          <w:sz w:val="22"/>
          <w:szCs w:val="22"/>
          <w:lang w:eastAsia="ar-SA"/>
        </w:rPr>
      </w:pPr>
      <w:r w:rsidRPr="00AC3626">
        <w:rPr>
          <w:b/>
          <w:i/>
          <w:sz w:val="22"/>
          <w:szCs w:val="22"/>
          <w:lang w:val="es-ES_tradnl"/>
        </w:rPr>
        <w:t>ATRIBUCIONES DEL INSTITUTO</w:t>
      </w:r>
      <w:r w:rsidR="009D0F11" w:rsidRPr="00AC3626">
        <w:rPr>
          <w:i/>
          <w:sz w:val="22"/>
          <w:szCs w:val="22"/>
          <w:lang w:val="es-ES_tradnl"/>
        </w:rPr>
        <w:t>, numeral</w:t>
      </w:r>
      <w:r w:rsidR="00D00B56">
        <w:rPr>
          <w:i/>
          <w:sz w:val="22"/>
          <w:szCs w:val="22"/>
          <w:lang w:val="es-ES_tradnl"/>
        </w:rPr>
        <w:t>es</w:t>
      </w:r>
      <w:r w:rsidR="009D0F11" w:rsidRPr="00AC3626">
        <w:rPr>
          <w:i/>
          <w:sz w:val="22"/>
          <w:szCs w:val="22"/>
          <w:lang w:val="es-ES_tradnl"/>
        </w:rPr>
        <w:t xml:space="preserve"> 5</w:t>
      </w:r>
      <w:r w:rsidR="008E095F">
        <w:rPr>
          <w:i/>
          <w:sz w:val="22"/>
          <w:szCs w:val="22"/>
          <w:lang w:val="es-ES_tradnl"/>
        </w:rPr>
        <w:t>.</w:t>
      </w:r>
      <w:r w:rsidR="00D00B56">
        <w:rPr>
          <w:i/>
          <w:sz w:val="22"/>
          <w:szCs w:val="22"/>
          <w:lang w:val="es-ES_tradnl"/>
        </w:rPr>
        <w:t>1.2., 5.1.3., 5.2.2. y 5.2.3.</w:t>
      </w:r>
      <w:r w:rsidRPr="00AC3626">
        <w:rPr>
          <w:i/>
          <w:sz w:val="22"/>
          <w:szCs w:val="22"/>
          <w:lang w:val="es-ES_tradnl"/>
        </w:rPr>
        <w:t>;</w:t>
      </w:r>
    </w:p>
    <w:p w14:paraId="5955E266" w14:textId="77777777" w:rsidR="00C63BF0" w:rsidRPr="00AC3626" w:rsidRDefault="009D0F11" w:rsidP="007E4BE8">
      <w:pPr>
        <w:pStyle w:val="Texto"/>
        <w:numPr>
          <w:ilvl w:val="0"/>
          <w:numId w:val="37"/>
        </w:numPr>
        <w:spacing w:after="80" w:line="221" w:lineRule="exact"/>
        <w:ind w:left="1276" w:hanging="425"/>
        <w:rPr>
          <w:kern w:val="2"/>
          <w:sz w:val="22"/>
          <w:szCs w:val="22"/>
          <w:lang w:eastAsia="ar-SA"/>
        </w:rPr>
      </w:pPr>
      <w:r w:rsidRPr="00AC3626">
        <w:rPr>
          <w:b/>
          <w:i/>
          <w:sz w:val="22"/>
          <w:szCs w:val="22"/>
          <w:lang w:val="es-ES_tradnl"/>
        </w:rPr>
        <w:t>PROCEDIMIENTOS</w:t>
      </w:r>
      <w:r w:rsidR="00C63BF0" w:rsidRPr="00AC3626">
        <w:rPr>
          <w:b/>
          <w:i/>
          <w:sz w:val="22"/>
          <w:szCs w:val="22"/>
          <w:lang w:val="es-ES_tradnl"/>
        </w:rPr>
        <w:t xml:space="preserve"> DE</w:t>
      </w:r>
      <w:r w:rsidRPr="00AC3626">
        <w:rPr>
          <w:b/>
          <w:i/>
          <w:sz w:val="22"/>
          <w:szCs w:val="22"/>
          <w:lang w:val="es-ES_tradnl"/>
        </w:rPr>
        <w:t xml:space="preserve"> ASIGNACIÓN DE</w:t>
      </w:r>
      <w:r w:rsidR="00C63BF0" w:rsidRPr="00AC3626">
        <w:rPr>
          <w:b/>
          <w:i/>
          <w:sz w:val="22"/>
          <w:szCs w:val="22"/>
          <w:lang w:val="es-ES_tradnl"/>
        </w:rPr>
        <w:t xml:space="preserve"> CÓDIGOS DE PUNTOS DE SEÑALIZACIÓN NACIONAL;</w:t>
      </w:r>
      <w:r w:rsidR="00C63BF0" w:rsidRPr="00AC3626">
        <w:rPr>
          <w:i/>
          <w:sz w:val="22"/>
          <w:szCs w:val="22"/>
          <w:lang w:val="es-ES_tradnl"/>
        </w:rPr>
        <w:t xml:space="preserve"> </w:t>
      </w:r>
    </w:p>
    <w:p w14:paraId="4EDB3793" w14:textId="77777777" w:rsidR="00C63BF0" w:rsidRPr="00AC3626" w:rsidRDefault="009D0F11" w:rsidP="007E4BE8">
      <w:pPr>
        <w:pStyle w:val="Texto"/>
        <w:numPr>
          <w:ilvl w:val="0"/>
          <w:numId w:val="37"/>
        </w:numPr>
        <w:spacing w:after="80" w:line="221" w:lineRule="exact"/>
        <w:ind w:left="1276" w:hanging="425"/>
        <w:rPr>
          <w:kern w:val="2"/>
          <w:sz w:val="22"/>
          <w:szCs w:val="22"/>
          <w:lang w:eastAsia="ar-SA"/>
        </w:rPr>
      </w:pPr>
      <w:r w:rsidRPr="00AC3626">
        <w:rPr>
          <w:b/>
          <w:i/>
          <w:sz w:val="22"/>
          <w:szCs w:val="22"/>
          <w:lang w:val="es-ES_tradnl"/>
        </w:rPr>
        <w:t>PROCEDIMIENTO DE CESIÓN DE CÓDIGOS DE PUNTOS DE SEÑALIZACIÓN NACIONAL</w:t>
      </w:r>
      <w:r w:rsidR="00C63BF0" w:rsidRPr="00AC3626">
        <w:rPr>
          <w:b/>
          <w:i/>
          <w:sz w:val="22"/>
          <w:szCs w:val="22"/>
          <w:lang w:val="es-ES_tradnl"/>
        </w:rPr>
        <w:t>;</w:t>
      </w:r>
      <w:r w:rsidR="00C63BF0" w:rsidRPr="00AC3626">
        <w:rPr>
          <w:i/>
          <w:sz w:val="22"/>
          <w:szCs w:val="22"/>
          <w:lang w:val="es-ES_tradnl"/>
        </w:rPr>
        <w:t xml:space="preserve"> </w:t>
      </w:r>
    </w:p>
    <w:p w14:paraId="4AEFD80C" w14:textId="77777777" w:rsidR="00C63BF0" w:rsidRPr="00AC3626" w:rsidRDefault="009D0F11" w:rsidP="007E4BE8">
      <w:pPr>
        <w:pStyle w:val="Texto"/>
        <w:numPr>
          <w:ilvl w:val="0"/>
          <w:numId w:val="37"/>
        </w:numPr>
        <w:spacing w:after="80" w:line="221" w:lineRule="exact"/>
        <w:ind w:left="1276" w:hanging="425"/>
        <w:rPr>
          <w:b/>
          <w:i/>
          <w:sz w:val="22"/>
          <w:szCs w:val="22"/>
          <w:lang w:val="es-ES_tradnl"/>
        </w:rPr>
      </w:pPr>
      <w:r w:rsidRPr="00AC3626">
        <w:rPr>
          <w:b/>
          <w:i/>
          <w:sz w:val="22"/>
          <w:szCs w:val="22"/>
          <w:lang w:val="es-ES_tradnl"/>
        </w:rPr>
        <w:t>PROCEDIMIENTO DE DEVOLUCIÓN DE CÓDIGOS DE PUNTOS DE SEÑALIZACIÓN NACIONAL</w:t>
      </w:r>
      <w:r w:rsidR="00C63BF0" w:rsidRPr="00AC3626">
        <w:rPr>
          <w:b/>
          <w:i/>
          <w:sz w:val="22"/>
          <w:szCs w:val="22"/>
          <w:lang w:val="es-ES_tradnl"/>
        </w:rPr>
        <w:t>;</w:t>
      </w:r>
    </w:p>
    <w:p w14:paraId="6E400F6F" w14:textId="77777777" w:rsidR="00C63BF0" w:rsidRPr="00AC3626" w:rsidRDefault="009D0F11" w:rsidP="007E4BE8">
      <w:pPr>
        <w:pStyle w:val="Texto"/>
        <w:numPr>
          <w:ilvl w:val="0"/>
          <w:numId w:val="37"/>
        </w:numPr>
        <w:spacing w:after="80" w:line="221" w:lineRule="exact"/>
        <w:ind w:left="1276" w:hanging="425"/>
        <w:rPr>
          <w:b/>
          <w:i/>
          <w:sz w:val="22"/>
          <w:szCs w:val="22"/>
          <w:lang w:val="es-ES_tradnl"/>
        </w:rPr>
      </w:pPr>
      <w:r w:rsidRPr="00AC3626">
        <w:rPr>
          <w:b/>
          <w:i/>
          <w:sz w:val="22"/>
          <w:szCs w:val="22"/>
          <w:lang w:val="es-ES_tradnl"/>
        </w:rPr>
        <w:t>PROCEDIMIENTO DE ASIGNACIÓN DE CÓDIGOS DE PUNTOS DE SEÑALIZACIÓN INTERNACIONAL</w:t>
      </w:r>
      <w:r w:rsidR="00C63BF0" w:rsidRPr="00AC3626">
        <w:rPr>
          <w:b/>
          <w:i/>
          <w:sz w:val="22"/>
          <w:szCs w:val="22"/>
          <w:lang w:val="es-ES_tradnl"/>
        </w:rPr>
        <w:t>;</w:t>
      </w:r>
    </w:p>
    <w:p w14:paraId="2A9D15AE" w14:textId="77777777" w:rsidR="00C63BF0" w:rsidRPr="00AC3626" w:rsidRDefault="009D0F11" w:rsidP="007E4BE8">
      <w:pPr>
        <w:pStyle w:val="Texto"/>
        <w:numPr>
          <w:ilvl w:val="0"/>
          <w:numId w:val="37"/>
        </w:numPr>
        <w:spacing w:after="80" w:line="221" w:lineRule="exact"/>
        <w:ind w:left="1276" w:hanging="425"/>
        <w:rPr>
          <w:b/>
          <w:i/>
          <w:sz w:val="22"/>
          <w:szCs w:val="22"/>
          <w:lang w:val="es-ES_tradnl"/>
        </w:rPr>
      </w:pPr>
      <w:r w:rsidRPr="00AC3626">
        <w:rPr>
          <w:b/>
          <w:i/>
          <w:sz w:val="22"/>
          <w:szCs w:val="22"/>
          <w:lang w:val="es-ES_tradnl"/>
        </w:rPr>
        <w:t xml:space="preserve">PROCEDIMIENTO DE CESIÓN DE CÓDIGOS DE PUNTOS DE SEÑALIZACIÓN </w:t>
      </w:r>
      <w:r w:rsidR="0002131C" w:rsidRPr="00AC3626">
        <w:rPr>
          <w:b/>
          <w:i/>
          <w:sz w:val="22"/>
          <w:szCs w:val="22"/>
          <w:lang w:val="es-ES_tradnl"/>
        </w:rPr>
        <w:t>INTER</w:t>
      </w:r>
      <w:r w:rsidRPr="00AC3626">
        <w:rPr>
          <w:b/>
          <w:i/>
          <w:sz w:val="22"/>
          <w:szCs w:val="22"/>
          <w:lang w:val="es-ES_tradnl"/>
        </w:rPr>
        <w:t>NACIONAL</w:t>
      </w:r>
      <w:r w:rsidR="00C63BF0" w:rsidRPr="00AC3626">
        <w:rPr>
          <w:b/>
          <w:i/>
          <w:sz w:val="22"/>
          <w:szCs w:val="22"/>
          <w:lang w:val="es-ES_tradnl"/>
        </w:rPr>
        <w:t>; y</w:t>
      </w:r>
    </w:p>
    <w:p w14:paraId="67556D87" w14:textId="77777777" w:rsidR="0002131C" w:rsidRPr="00AC3626" w:rsidRDefault="0002131C" w:rsidP="007E4BE8">
      <w:pPr>
        <w:pStyle w:val="Texto"/>
        <w:numPr>
          <w:ilvl w:val="0"/>
          <w:numId w:val="37"/>
        </w:numPr>
        <w:spacing w:after="80" w:line="221" w:lineRule="exact"/>
        <w:ind w:left="1276" w:hanging="425"/>
        <w:rPr>
          <w:b/>
          <w:i/>
          <w:sz w:val="22"/>
          <w:szCs w:val="22"/>
          <w:lang w:val="es-ES_tradnl"/>
        </w:rPr>
      </w:pPr>
      <w:r w:rsidRPr="00AC3626">
        <w:rPr>
          <w:b/>
          <w:i/>
          <w:sz w:val="22"/>
          <w:szCs w:val="22"/>
          <w:lang w:val="es-ES_tradnl"/>
        </w:rPr>
        <w:t>PROCEDIMIENTO DE DEVOLUCIÓN DE CÓDIGOS DE PUNTOS DE SEÑALIZACIÓN INTERNACIONAL</w:t>
      </w:r>
      <w:r w:rsidR="00C63BF0" w:rsidRPr="00AC3626">
        <w:rPr>
          <w:b/>
          <w:i/>
          <w:sz w:val="22"/>
          <w:szCs w:val="22"/>
          <w:lang w:val="es-ES_tradnl"/>
        </w:rPr>
        <w:t>.</w:t>
      </w:r>
    </w:p>
    <w:p w14:paraId="5357D285" w14:textId="77777777" w:rsidR="00C63BF0" w:rsidRPr="00AC3626" w:rsidRDefault="0002131C" w:rsidP="007E4BE8">
      <w:pPr>
        <w:pStyle w:val="Texto"/>
        <w:numPr>
          <w:ilvl w:val="0"/>
          <w:numId w:val="37"/>
        </w:numPr>
        <w:spacing w:after="80" w:line="221" w:lineRule="exact"/>
        <w:ind w:left="1276" w:hanging="425"/>
        <w:rPr>
          <w:b/>
          <w:i/>
          <w:sz w:val="22"/>
          <w:szCs w:val="22"/>
          <w:lang w:val="es-ES_tradnl"/>
        </w:rPr>
      </w:pPr>
      <w:r w:rsidRPr="00AC3626">
        <w:rPr>
          <w:b/>
          <w:i/>
          <w:sz w:val="22"/>
          <w:szCs w:val="22"/>
          <w:lang w:val="es-ES_tradnl"/>
        </w:rPr>
        <w:t>CAPÍTULO V: DEL REPORTE DE UTILIZACIÓN DE CÓDIGOS DE PUNTOS DE SEÑALIZACIÓN NACIONAL E INTERNACIONAL</w:t>
      </w:r>
      <w:r w:rsidR="00CD2D0D" w:rsidRPr="00AC3626">
        <w:rPr>
          <w:b/>
          <w:i/>
          <w:sz w:val="22"/>
          <w:szCs w:val="22"/>
          <w:lang w:val="es-ES_tradnl"/>
        </w:rPr>
        <w:t>.</w:t>
      </w:r>
      <w:r w:rsidR="00C63BF0" w:rsidRPr="00AC3626">
        <w:rPr>
          <w:b/>
          <w:i/>
          <w:sz w:val="22"/>
          <w:szCs w:val="22"/>
          <w:lang w:val="es-ES_tradnl"/>
        </w:rPr>
        <w:t>”</w:t>
      </w:r>
    </w:p>
    <w:p w14:paraId="6B342988" w14:textId="77777777" w:rsidR="00CD2D0D" w:rsidRPr="00AC3626" w:rsidRDefault="00CD2D0D" w:rsidP="00CD2D0D">
      <w:pPr>
        <w:pStyle w:val="Texto"/>
        <w:spacing w:after="80" w:line="221" w:lineRule="exact"/>
        <w:ind w:left="698" w:firstLine="0"/>
        <w:rPr>
          <w:b/>
          <w:i/>
          <w:sz w:val="22"/>
          <w:szCs w:val="22"/>
          <w:lang w:val="es-ES_tradnl"/>
        </w:rPr>
      </w:pPr>
    </w:p>
    <w:p w14:paraId="4B2A31DA" w14:textId="6D4CADDE" w:rsidR="00CD2D0D" w:rsidRPr="00AC3626" w:rsidRDefault="00CD2D0D" w:rsidP="00597BAD">
      <w:pPr>
        <w:pStyle w:val="Texto"/>
        <w:spacing w:after="80" w:line="221" w:lineRule="exact"/>
        <w:ind w:left="426" w:firstLine="0"/>
        <w:rPr>
          <w:i/>
          <w:sz w:val="22"/>
          <w:szCs w:val="22"/>
        </w:rPr>
      </w:pPr>
      <w:r w:rsidRPr="00AC3626">
        <w:rPr>
          <w:b/>
          <w:i/>
          <w:sz w:val="22"/>
          <w:szCs w:val="22"/>
          <w:lang w:val="es-ES_tradnl"/>
        </w:rPr>
        <w:lastRenderedPageBreak/>
        <w:t>TERCERO.</w:t>
      </w:r>
      <w:r w:rsidRPr="00AC3626">
        <w:rPr>
          <w:i/>
          <w:sz w:val="22"/>
          <w:szCs w:val="22"/>
          <w:lang w:val="es-ES_tradnl"/>
        </w:rPr>
        <w:t xml:space="preserve"> </w:t>
      </w:r>
      <w:r w:rsidRPr="00AC3626">
        <w:rPr>
          <w:i/>
          <w:sz w:val="22"/>
          <w:szCs w:val="22"/>
        </w:rPr>
        <w:t>A partir del 1</w:t>
      </w:r>
      <w:r w:rsidR="0060284E">
        <w:rPr>
          <w:i/>
          <w:sz w:val="22"/>
          <w:szCs w:val="22"/>
        </w:rPr>
        <w:t>º</w:t>
      </w:r>
      <w:r w:rsidRPr="00AC3626">
        <w:rPr>
          <w:i/>
          <w:sz w:val="22"/>
          <w:szCs w:val="22"/>
        </w:rPr>
        <w:t xml:space="preserve"> de febrero de 2022, quedará abrogado el Plan Técnico Fundamental de Señalización, publicado en el Diario Oficial de la Federación el 21 de junio de 1996, así como las modificaciones a éste.</w:t>
      </w:r>
    </w:p>
    <w:p w14:paraId="2CC76451" w14:textId="77777777" w:rsidR="00CD2D0D" w:rsidRPr="00AC3626" w:rsidRDefault="00CD2D0D" w:rsidP="00597BAD">
      <w:pPr>
        <w:pStyle w:val="Prrafodelista"/>
        <w:ind w:left="426"/>
        <w:jc w:val="both"/>
        <w:rPr>
          <w:rFonts w:ascii="Arial" w:eastAsia="Times New Roman" w:hAnsi="Arial" w:cs="Arial"/>
          <w:i/>
          <w:sz w:val="22"/>
          <w:szCs w:val="22"/>
          <w:lang w:val="es-ES" w:eastAsia="es-ES"/>
        </w:rPr>
      </w:pPr>
      <w:r w:rsidRPr="00AC3626">
        <w:rPr>
          <w:rFonts w:ascii="Arial" w:eastAsia="Times New Roman" w:hAnsi="Arial" w:cs="Arial"/>
          <w:i/>
          <w:sz w:val="22"/>
          <w:szCs w:val="22"/>
          <w:lang w:val="es-ES" w:eastAsia="es-ES"/>
        </w:rPr>
        <w:t xml:space="preserve">Asimismo, se dejan sin efectos todas aquellas disposiciones administrativas que se opongan a lo dispuesto en el Plan Técnico Fundamental de </w:t>
      </w:r>
      <w:r w:rsidR="00004121">
        <w:rPr>
          <w:rFonts w:ascii="Arial" w:eastAsia="Times New Roman" w:hAnsi="Arial" w:cs="Arial"/>
          <w:i/>
          <w:sz w:val="22"/>
          <w:szCs w:val="22"/>
          <w:lang w:val="es-ES" w:eastAsia="es-ES"/>
        </w:rPr>
        <w:t>Señalización</w:t>
      </w:r>
      <w:r w:rsidRPr="00AC3626">
        <w:rPr>
          <w:rFonts w:ascii="Arial" w:eastAsia="Times New Roman" w:hAnsi="Arial" w:cs="Arial"/>
          <w:i/>
          <w:sz w:val="22"/>
          <w:szCs w:val="22"/>
          <w:lang w:val="es-ES" w:eastAsia="es-ES"/>
        </w:rPr>
        <w:t xml:space="preserve"> que se expide.</w:t>
      </w:r>
    </w:p>
    <w:p w14:paraId="78605562" w14:textId="77777777" w:rsidR="00CD2D0D" w:rsidRPr="00AC3626" w:rsidRDefault="00CD2D0D" w:rsidP="00CD2D0D">
      <w:pPr>
        <w:pStyle w:val="Prrafodelista"/>
        <w:ind w:left="284"/>
        <w:jc w:val="both"/>
        <w:rPr>
          <w:rFonts w:ascii="Arial" w:eastAsia="Times New Roman" w:hAnsi="Arial" w:cs="Arial"/>
          <w:i/>
          <w:sz w:val="22"/>
          <w:szCs w:val="22"/>
          <w:lang w:val="es-ES" w:eastAsia="es-ES"/>
        </w:rPr>
      </w:pPr>
    </w:p>
    <w:p w14:paraId="22B88844" w14:textId="37C6490F" w:rsidR="00CD2D0D" w:rsidRDefault="00CD2D0D" w:rsidP="00597BAD">
      <w:pPr>
        <w:pStyle w:val="Texto"/>
        <w:spacing w:after="80" w:line="236" w:lineRule="exact"/>
        <w:ind w:left="426" w:firstLine="0"/>
        <w:rPr>
          <w:i/>
          <w:sz w:val="22"/>
          <w:szCs w:val="22"/>
        </w:rPr>
      </w:pPr>
      <w:r w:rsidRPr="0049437A">
        <w:rPr>
          <w:b/>
          <w:i/>
          <w:sz w:val="22"/>
          <w:szCs w:val="22"/>
        </w:rPr>
        <w:t xml:space="preserve">CUARTO. </w:t>
      </w:r>
      <w:r w:rsidR="001E7031" w:rsidRPr="0049437A">
        <w:rPr>
          <w:i/>
          <w:sz w:val="22"/>
          <w:szCs w:val="22"/>
        </w:rPr>
        <w:t>A partir del 1</w:t>
      </w:r>
      <w:r w:rsidR="0060284E">
        <w:rPr>
          <w:i/>
          <w:sz w:val="22"/>
          <w:szCs w:val="22"/>
        </w:rPr>
        <w:t>º</w:t>
      </w:r>
      <w:r w:rsidR="001E7031" w:rsidRPr="0049437A">
        <w:rPr>
          <w:i/>
          <w:sz w:val="22"/>
          <w:szCs w:val="22"/>
        </w:rPr>
        <w:t xml:space="preserve"> de febrero de 2019, l</w:t>
      </w:r>
      <w:r w:rsidRPr="0049437A">
        <w:rPr>
          <w:i/>
          <w:sz w:val="22"/>
          <w:szCs w:val="22"/>
        </w:rPr>
        <w:t>os Concesionarios de redes públicas de telecomunicaciones</w:t>
      </w:r>
      <w:r w:rsidR="001E7031" w:rsidRPr="0049437A">
        <w:rPr>
          <w:i/>
          <w:sz w:val="22"/>
          <w:szCs w:val="22"/>
        </w:rPr>
        <w:t xml:space="preserve"> deberán llevar a cabo las pruebas que consideren necesarias con los nuevos mensajes de señalización establecidos en el presente Plan para los distintos tipos de tráfico.</w:t>
      </w:r>
      <w:r w:rsidR="006F6350" w:rsidRPr="0049437A">
        <w:rPr>
          <w:i/>
          <w:sz w:val="22"/>
          <w:szCs w:val="22"/>
        </w:rPr>
        <w:t xml:space="preserve"> </w:t>
      </w:r>
      <w:r w:rsidR="001E7031" w:rsidRPr="0049437A">
        <w:rPr>
          <w:i/>
          <w:sz w:val="22"/>
          <w:szCs w:val="22"/>
        </w:rPr>
        <w:t xml:space="preserve">Asimismo, en caso de resultar técnicamente factible, los Concesionarios que </w:t>
      </w:r>
      <w:r w:rsidR="00A45617" w:rsidRPr="0049437A">
        <w:rPr>
          <w:i/>
          <w:sz w:val="22"/>
          <w:szCs w:val="22"/>
        </w:rPr>
        <w:t>finalicen exitosamente las pruebas correspondientes, podrán acordar la adopción definitiva de los nuevos mensajes de señalización</w:t>
      </w:r>
      <w:r w:rsidR="0060284E">
        <w:rPr>
          <w:i/>
          <w:sz w:val="22"/>
          <w:szCs w:val="22"/>
        </w:rPr>
        <w:t xml:space="preserve"> antes del</w:t>
      </w:r>
      <w:r w:rsidR="00A45617" w:rsidRPr="0049437A">
        <w:rPr>
          <w:i/>
          <w:sz w:val="22"/>
          <w:szCs w:val="22"/>
        </w:rPr>
        <w:t xml:space="preserve"> </w:t>
      </w:r>
      <w:r w:rsidR="00DE4B3D" w:rsidRPr="00CB08B5">
        <w:rPr>
          <w:i/>
          <w:sz w:val="22"/>
          <w:szCs w:val="22"/>
        </w:rPr>
        <w:t>3</w:t>
      </w:r>
      <w:r w:rsidR="00A45617" w:rsidRPr="00CB08B5">
        <w:rPr>
          <w:i/>
          <w:sz w:val="22"/>
          <w:szCs w:val="22"/>
        </w:rPr>
        <w:t xml:space="preserve"> de agosto de 2019.</w:t>
      </w:r>
    </w:p>
    <w:p w14:paraId="1C504F54" w14:textId="77777777" w:rsidR="00824BCE" w:rsidRDefault="00824BCE" w:rsidP="00597BAD">
      <w:pPr>
        <w:pStyle w:val="Texto"/>
        <w:spacing w:after="80" w:line="236" w:lineRule="exact"/>
        <w:ind w:left="426" w:firstLine="0"/>
        <w:rPr>
          <w:i/>
          <w:sz w:val="22"/>
          <w:szCs w:val="22"/>
        </w:rPr>
      </w:pPr>
    </w:p>
    <w:p w14:paraId="50000CF3" w14:textId="2604D6D4" w:rsidR="00CD2D0D" w:rsidRPr="00AC3626" w:rsidRDefault="00CD2D0D" w:rsidP="00597BAD">
      <w:pPr>
        <w:pStyle w:val="Texto"/>
        <w:spacing w:after="80" w:line="236" w:lineRule="exact"/>
        <w:ind w:left="426" w:firstLine="0"/>
        <w:rPr>
          <w:i/>
          <w:sz w:val="22"/>
          <w:szCs w:val="22"/>
        </w:rPr>
      </w:pPr>
      <w:r w:rsidRPr="00AC3626">
        <w:rPr>
          <w:b/>
          <w:i/>
          <w:sz w:val="22"/>
          <w:szCs w:val="22"/>
        </w:rPr>
        <w:t>QUINTO.</w:t>
      </w:r>
      <w:r w:rsidRPr="00AC3626">
        <w:rPr>
          <w:i/>
          <w:sz w:val="22"/>
          <w:szCs w:val="22"/>
        </w:rPr>
        <w:t xml:space="preserve"> Los procedimientos </w:t>
      </w:r>
      <w:r w:rsidR="00EB4E0E" w:rsidRPr="00AC3626">
        <w:rPr>
          <w:i/>
          <w:sz w:val="22"/>
          <w:szCs w:val="22"/>
        </w:rPr>
        <w:t xml:space="preserve">de asignación y reporte de utilización de recursos de señalización </w:t>
      </w:r>
      <w:r w:rsidRPr="00AC3626">
        <w:rPr>
          <w:i/>
          <w:sz w:val="22"/>
          <w:szCs w:val="22"/>
        </w:rPr>
        <w:t xml:space="preserve">entrarán en operación </w:t>
      </w:r>
      <w:r w:rsidR="00EB4E0E" w:rsidRPr="00AC3626">
        <w:rPr>
          <w:i/>
          <w:sz w:val="22"/>
          <w:szCs w:val="22"/>
        </w:rPr>
        <w:t>el 1</w:t>
      </w:r>
      <w:r w:rsidR="0060284E">
        <w:rPr>
          <w:i/>
          <w:sz w:val="22"/>
          <w:szCs w:val="22"/>
        </w:rPr>
        <w:t>º</w:t>
      </w:r>
      <w:r w:rsidR="00EB4E0E" w:rsidRPr="00AC3626">
        <w:rPr>
          <w:i/>
          <w:sz w:val="22"/>
          <w:szCs w:val="22"/>
        </w:rPr>
        <w:t xml:space="preserve"> de febrero de 2022</w:t>
      </w:r>
      <w:r w:rsidRPr="00AC3626">
        <w:rPr>
          <w:i/>
          <w:sz w:val="22"/>
          <w:szCs w:val="22"/>
        </w:rPr>
        <w:t>.</w:t>
      </w:r>
    </w:p>
    <w:p w14:paraId="2CFDB266" w14:textId="77777777" w:rsidR="00CD2D0D" w:rsidRDefault="00CD2D0D" w:rsidP="00597BAD">
      <w:pPr>
        <w:pStyle w:val="Texto"/>
        <w:spacing w:after="80" w:line="236" w:lineRule="exact"/>
        <w:ind w:left="426" w:firstLine="0"/>
        <w:rPr>
          <w:i/>
          <w:sz w:val="22"/>
          <w:szCs w:val="22"/>
        </w:rPr>
      </w:pPr>
      <w:r w:rsidRPr="00AC3626">
        <w:rPr>
          <w:i/>
          <w:sz w:val="22"/>
          <w:szCs w:val="22"/>
        </w:rPr>
        <w:t xml:space="preserve">Asimismo, una vez que entren en operación los procedimientos </w:t>
      </w:r>
      <w:r w:rsidR="00EB4E0E" w:rsidRPr="00AC3626">
        <w:rPr>
          <w:i/>
          <w:sz w:val="22"/>
          <w:szCs w:val="22"/>
        </w:rPr>
        <w:t>relacionados con los trámites electrónicos</w:t>
      </w:r>
      <w:r w:rsidRPr="00AC3626">
        <w:rPr>
          <w:i/>
          <w:sz w:val="22"/>
          <w:szCs w:val="22"/>
        </w:rPr>
        <w:t xml:space="preserve"> </w:t>
      </w:r>
      <w:r w:rsidR="00EB4E0E" w:rsidRPr="00AC3626">
        <w:rPr>
          <w:i/>
          <w:sz w:val="22"/>
          <w:szCs w:val="22"/>
        </w:rPr>
        <w:t xml:space="preserve"> contenidos </w:t>
      </w:r>
      <w:r w:rsidRPr="00AC3626">
        <w:rPr>
          <w:i/>
          <w:sz w:val="22"/>
          <w:szCs w:val="22"/>
        </w:rPr>
        <w:t>en el presente Plan y, en consecuencia, el Sistema Electrónico respectivo, las solicitudes y reportes que sean presentados de manera escrita por los Concesionarios, se tendrán por no interpuestos y serán desechados por la unidad administrativa competente del Instituto Federal de Telecomunicaciones, sin perjuicio de que dichas solicitudes y reportes puedan ser presentados a través del mencionado Sistema Electrónico.</w:t>
      </w:r>
    </w:p>
    <w:p w14:paraId="1BB1D104" w14:textId="77777777" w:rsidR="00D33A5A" w:rsidRPr="00AC3626" w:rsidRDefault="00D33A5A" w:rsidP="00597BAD">
      <w:pPr>
        <w:pStyle w:val="Texto"/>
        <w:spacing w:after="80" w:line="236" w:lineRule="exact"/>
        <w:ind w:left="426" w:firstLine="0"/>
        <w:rPr>
          <w:i/>
          <w:sz w:val="22"/>
          <w:szCs w:val="22"/>
        </w:rPr>
      </w:pPr>
    </w:p>
    <w:p w14:paraId="0FAC57C1" w14:textId="5B2F29CB" w:rsidR="00CD2D0D" w:rsidRDefault="00EB4E0E" w:rsidP="00597BAD">
      <w:pPr>
        <w:pStyle w:val="Texto"/>
        <w:spacing w:after="80" w:line="236" w:lineRule="exact"/>
        <w:ind w:left="426" w:firstLine="0"/>
        <w:rPr>
          <w:i/>
          <w:sz w:val="22"/>
          <w:szCs w:val="22"/>
        </w:rPr>
      </w:pPr>
      <w:r w:rsidRPr="00AC3626">
        <w:rPr>
          <w:b/>
          <w:i/>
          <w:sz w:val="22"/>
          <w:szCs w:val="22"/>
        </w:rPr>
        <w:t>SEXTO</w:t>
      </w:r>
      <w:r w:rsidR="00CD2D0D" w:rsidRPr="00AC3626">
        <w:rPr>
          <w:b/>
          <w:i/>
          <w:sz w:val="22"/>
          <w:szCs w:val="22"/>
        </w:rPr>
        <w:t>.</w:t>
      </w:r>
      <w:r w:rsidR="00CD2D0D" w:rsidRPr="00AC3626">
        <w:rPr>
          <w:i/>
          <w:sz w:val="22"/>
          <w:szCs w:val="22"/>
        </w:rPr>
        <w:t xml:space="preserve"> Los reportes de utilización de códigos de puntos de señalización nacional e internacional deberán presentarse por primera ocasión dentro los 15 (quince) días hábiles posteriores </w:t>
      </w:r>
      <w:r w:rsidRPr="00AC3626">
        <w:rPr>
          <w:i/>
          <w:sz w:val="22"/>
          <w:szCs w:val="22"/>
        </w:rPr>
        <w:t>al 1</w:t>
      </w:r>
      <w:r w:rsidR="0060284E">
        <w:rPr>
          <w:i/>
          <w:sz w:val="22"/>
          <w:szCs w:val="22"/>
        </w:rPr>
        <w:t>º</w:t>
      </w:r>
      <w:r w:rsidRPr="00AC3626">
        <w:rPr>
          <w:i/>
          <w:sz w:val="22"/>
          <w:szCs w:val="22"/>
        </w:rPr>
        <w:t xml:space="preserve"> de febrero de 2022</w:t>
      </w:r>
      <w:r w:rsidR="00CD2D0D" w:rsidRPr="00AC3626">
        <w:rPr>
          <w:i/>
          <w:sz w:val="22"/>
          <w:szCs w:val="22"/>
        </w:rPr>
        <w:t>.</w:t>
      </w:r>
      <w:r w:rsidR="00A440AD" w:rsidRPr="00AC3626">
        <w:rPr>
          <w:i/>
          <w:sz w:val="22"/>
          <w:szCs w:val="22"/>
        </w:rPr>
        <w:t>”</w:t>
      </w:r>
    </w:p>
    <w:p w14:paraId="61AF3DA9" w14:textId="77777777" w:rsidR="00824BCE" w:rsidRPr="00AC3626" w:rsidRDefault="00824BCE" w:rsidP="00597BAD">
      <w:pPr>
        <w:pStyle w:val="Texto"/>
        <w:spacing w:after="80" w:line="236" w:lineRule="exact"/>
        <w:ind w:left="426" w:firstLine="0"/>
        <w:rPr>
          <w:i/>
          <w:sz w:val="22"/>
          <w:szCs w:val="22"/>
        </w:rPr>
      </w:pPr>
    </w:p>
    <w:p w14:paraId="1ADD5F3A" w14:textId="5B71EFC7" w:rsidR="00A440AD" w:rsidRPr="00AC3626" w:rsidRDefault="00A440AD" w:rsidP="00862B33">
      <w:pPr>
        <w:ind w:left="708" w:hanging="708"/>
        <w:jc w:val="both"/>
        <w:outlineLvl w:val="1"/>
        <w:rPr>
          <w:rFonts w:ascii="Arial" w:eastAsia="Times New Roman" w:hAnsi="Arial" w:cs="Arial"/>
          <w:b/>
          <w:bCs/>
          <w:sz w:val="22"/>
          <w:szCs w:val="22"/>
        </w:rPr>
      </w:pPr>
      <w:r w:rsidRPr="00AC3626">
        <w:rPr>
          <w:rFonts w:ascii="Arial" w:eastAsia="Times New Roman" w:hAnsi="Arial" w:cs="Arial"/>
          <w:b/>
          <w:bCs/>
          <w:sz w:val="22"/>
          <w:szCs w:val="22"/>
          <w:lang w:val="es-MX"/>
        </w:rPr>
        <w:t>TERCERO</w:t>
      </w:r>
      <w:r w:rsidRPr="00AC3626">
        <w:rPr>
          <w:rFonts w:ascii="Arial" w:eastAsia="Times New Roman" w:hAnsi="Arial" w:cs="Arial"/>
          <w:bCs/>
          <w:sz w:val="22"/>
          <w:szCs w:val="22"/>
          <w:lang w:val="uz-Cyrl-UZ"/>
        </w:rPr>
        <w:t xml:space="preserve">. </w:t>
      </w:r>
      <w:r w:rsidRPr="00AC3626">
        <w:rPr>
          <w:rFonts w:ascii="Arial" w:eastAsia="Times New Roman" w:hAnsi="Arial" w:cs="Arial"/>
          <w:bCs/>
          <w:sz w:val="22"/>
          <w:szCs w:val="22"/>
        </w:rPr>
        <w:t>Se</w:t>
      </w:r>
      <w:r w:rsidRPr="00AC3626">
        <w:rPr>
          <w:rFonts w:ascii="Arial" w:eastAsia="Times New Roman" w:hAnsi="Arial" w:cs="Arial"/>
          <w:bCs/>
          <w:sz w:val="22"/>
          <w:szCs w:val="22"/>
          <w:lang w:val="uz-Cyrl-UZ"/>
        </w:rPr>
        <w:t xml:space="preserve"> </w:t>
      </w:r>
      <w:r w:rsidR="00027A69" w:rsidRPr="00AC3626">
        <w:rPr>
          <w:rFonts w:ascii="Arial" w:eastAsia="Times New Roman" w:hAnsi="Arial" w:cs="Arial"/>
          <w:bCs/>
          <w:sz w:val="22"/>
          <w:szCs w:val="22"/>
          <w:lang w:val="es-MX"/>
        </w:rPr>
        <w:t>deroga</w:t>
      </w:r>
      <w:r w:rsidRPr="00AC3626">
        <w:rPr>
          <w:rFonts w:ascii="Arial" w:eastAsia="Times New Roman" w:hAnsi="Arial" w:cs="Arial"/>
          <w:bCs/>
          <w:sz w:val="22"/>
          <w:szCs w:val="22"/>
          <w:lang w:val="uz-Cyrl-UZ"/>
        </w:rPr>
        <w:t xml:space="preserve"> </w:t>
      </w:r>
      <w:r w:rsidRPr="00AC3626">
        <w:rPr>
          <w:rFonts w:ascii="Arial" w:eastAsia="Times New Roman" w:hAnsi="Arial" w:cs="Arial"/>
          <w:bCs/>
          <w:sz w:val="22"/>
          <w:szCs w:val="22"/>
          <w:lang w:val="es-MX"/>
        </w:rPr>
        <w:t xml:space="preserve">el </w:t>
      </w:r>
      <w:r w:rsidR="0060284E">
        <w:rPr>
          <w:rFonts w:ascii="Arial" w:eastAsia="Times New Roman" w:hAnsi="Arial" w:cs="Arial"/>
          <w:bCs/>
          <w:sz w:val="22"/>
          <w:szCs w:val="22"/>
          <w:lang w:val="es-MX"/>
        </w:rPr>
        <w:t>a</w:t>
      </w:r>
      <w:r w:rsidRPr="00AC3626">
        <w:rPr>
          <w:rFonts w:ascii="Arial" w:eastAsia="Times New Roman" w:hAnsi="Arial" w:cs="Arial"/>
          <w:bCs/>
          <w:sz w:val="22"/>
          <w:szCs w:val="22"/>
          <w:lang w:val="es-MX"/>
        </w:rPr>
        <w:t xml:space="preserve">rtículo </w:t>
      </w:r>
      <w:r w:rsidR="0060284E">
        <w:rPr>
          <w:rFonts w:ascii="Arial" w:eastAsia="Times New Roman" w:hAnsi="Arial" w:cs="Arial"/>
          <w:bCs/>
          <w:sz w:val="22"/>
          <w:szCs w:val="22"/>
          <w:lang w:val="es-MX"/>
        </w:rPr>
        <w:t>ú</w:t>
      </w:r>
      <w:r w:rsidRPr="00AC3626">
        <w:rPr>
          <w:rFonts w:ascii="Arial" w:eastAsia="Times New Roman" w:hAnsi="Arial" w:cs="Arial"/>
          <w:bCs/>
          <w:sz w:val="22"/>
          <w:szCs w:val="22"/>
          <w:lang w:val="es-MX"/>
        </w:rPr>
        <w:t xml:space="preserve">nico </w:t>
      </w:r>
      <w:r w:rsidR="0060284E">
        <w:rPr>
          <w:rFonts w:ascii="Arial" w:eastAsia="Times New Roman" w:hAnsi="Arial" w:cs="Arial"/>
          <w:bCs/>
          <w:sz w:val="22"/>
          <w:szCs w:val="22"/>
          <w:lang w:val="es-MX"/>
        </w:rPr>
        <w:t>t</w:t>
      </w:r>
      <w:r w:rsidR="001025F2" w:rsidRPr="00AC3626">
        <w:rPr>
          <w:rFonts w:ascii="Arial" w:eastAsia="Times New Roman" w:hAnsi="Arial" w:cs="Arial"/>
          <w:bCs/>
          <w:sz w:val="22"/>
          <w:szCs w:val="22"/>
          <w:lang w:val="es-MX"/>
        </w:rPr>
        <w:t xml:space="preserve">ransitorio </w:t>
      </w:r>
      <w:r w:rsidRPr="00AC3626">
        <w:rPr>
          <w:rFonts w:ascii="Arial" w:eastAsia="Times New Roman" w:hAnsi="Arial" w:cs="Arial"/>
          <w:bCs/>
          <w:sz w:val="22"/>
          <w:szCs w:val="22"/>
          <w:lang w:val="es-MX"/>
        </w:rPr>
        <w:t>y se adiciona</w:t>
      </w:r>
      <w:r w:rsidR="00027A69" w:rsidRPr="00AC3626">
        <w:rPr>
          <w:rFonts w:ascii="Arial" w:eastAsia="Times New Roman" w:hAnsi="Arial" w:cs="Arial"/>
          <w:bCs/>
          <w:sz w:val="22"/>
          <w:szCs w:val="22"/>
          <w:lang w:val="es-MX"/>
        </w:rPr>
        <w:t>n los</w:t>
      </w:r>
      <w:r w:rsidRPr="00AC3626">
        <w:rPr>
          <w:rFonts w:ascii="Arial" w:eastAsia="Times New Roman" w:hAnsi="Arial" w:cs="Arial"/>
          <w:bCs/>
          <w:sz w:val="22"/>
          <w:szCs w:val="22"/>
          <w:lang w:val="es-MX"/>
        </w:rPr>
        <w:t xml:space="preserve"> </w:t>
      </w:r>
      <w:r w:rsidR="0060284E">
        <w:rPr>
          <w:rFonts w:ascii="Arial" w:eastAsia="Times New Roman" w:hAnsi="Arial" w:cs="Arial"/>
          <w:bCs/>
          <w:sz w:val="22"/>
          <w:szCs w:val="22"/>
          <w:lang w:val="es-MX"/>
        </w:rPr>
        <w:t>a</w:t>
      </w:r>
      <w:r w:rsidRPr="00AC3626">
        <w:rPr>
          <w:rFonts w:ascii="Arial" w:eastAsia="Times New Roman" w:hAnsi="Arial" w:cs="Arial"/>
          <w:bCs/>
          <w:sz w:val="22"/>
          <w:szCs w:val="22"/>
          <w:lang w:val="es-MX"/>
        </w:rPr>
        <w:t>rtículo</w:t>
      </w:r>
      <w:r w:rsidR="00027A69" w:rsidRPr="00AC3626">
        <w:rPr>
          <w:rFonts w:ascii="Arial" w:eastAsia="Times New Roman" w:hAnsi="Arial" w:cs="Arial"/>
          <w:bCs/>
          <w:sz w:val="22"/>
          <w:szCs w:val="22"/>
          <w:lang w:val="es-MX"/>
        </w:rPr>
        <w:t>s</w:t>
      </w:r>
      <w:r w:rsidRPr="00AC3626">
        <w:rPr>
          <w:rFonts w:ascii="Arial" w:eastAsia="Times New Roman" w:hAnsi="Arial" w:cs="Arial"/>
          <w:bCs/>
          <w:sz w:val="22"/>
          <w:szCs w:val="22"/>
          <w:lang w:val="es-MX"/>
        </w:rPr>
        <w:t xml:space="preserve"> </w:t>
      </w:r>
      <w:r w:rsidR="0060284E">
        <w:rPr>
          <w:rFonts w:ascii="Arial" w:eastAsia="Times New Roman" w:hAnsi="Arial" w:cs="Arial"/>
          <w:bCs/>
          <w:sz w:val="22"/>
          <w:szCs w:val="22"/>
          <w:lang w:val="es-MX"/>
        </w:rPr>
        <w:t>p</w:t>
      </w:r>
      <w:r w:rsidR="00027A69" w:rsidRPr="00AC3626">
        <w:rPr>
          <w:rFonts w:ascii="Arial" w:eastAsia="Times New Roman" w:hAnsi="Arial" w:cs="Arial"/>
          <w:bCs/>
          <w:sz w:val="22"/>
          <w:szCs w:val="22"/>
          <w:lang w:val="es-MX"/>
        </w:rPr>
        <w:t xml:space="preserve">rimero </w:t>
      </w:r>
      <w:r w:rsidR="00D33A5A">
        <w:rPr>
          <w:rFonts w:ascii="Arial" w:eastAsia="Times New Roman" w:hAnsi="Arial" w:cs="Arial"/>
          <w:bCs/>
          <w:sz w:val="22"/>
          <w:szCs w:val="22"/>
          <w:lang w:val="es-MX"/>
        </w:rPr>
        <w:t xml:space="preserve">a </w:t>
      </w:r>
      <w:r w:rsidR="0060284E">
        <w:rPr>
          <w:rFonts w:ascii="Arial" w:eastAsia="Times New Roman" w:hAnsi="Arial" w:cs="Arial"/>
          <w:bCs/>
          <w:sz w:val="22"/>
          <w:szCs w:val="22"/>
          <w:lang w:val="es-MX"/>
        </w:rPr>
        <w:t>s</w:t>
      </w:r>
      <w:r w:rsidR="00D33A5A">
        <w:rPr>
          <w:rFonts w:ascii="Arial" w:eastAsia="Times New Roman" w:hAnsi="Arial" w:cs="Arial"/>
          <w:bCs/>
          <w:sz w:val="22"/>
          <w:szCs w:val="22"/>
          <w:lang w:val="es-MX"/>
        </w:rPr>
        <w:t>exto</w:t>
      </w:r>
      <w:r w:rsidR="00027A69" w:rsidRPr="00AC3626">
        <w:rPr>
          <w:rFonts w:ascii="Arial" w:eastAsia="Times New Roman" w:hAnsi="Arial" w:cs="Arial"/>
          <w:bCs/>
          <w:sz w:val="22"/>
          <w:szCs w:val="22"/>
          <w:lang w:val="es-MX"/>
        </w:rPr>
        <w:t xml:space="preserve"> </w:t>
      </w:r>
      <w:r w:rsidR="0060284E">
        <w:rPr>
          <w:rFonts w:ascii="Arial" w:eastAsia="Times New Roman" w:hAnsi="Arial" w:cs="Arial"/>
          <w:bCs/>
          <w:sz w:val="22"/>
          <w:szCs w:val="22"/>
          <w:lang w:val="es-MX"/>
        </w:rPr>
        <w:t>t</w:t>
      </w:r>
      <w:r w:rsidR="001025F2" w:rsidRPr="00AC3626">
        <w:rPr>
          <w:rFonts w:ascii="Arial" w:eastAsia="Times New Roman" w:hAnsi="Arial" w:cs="Arial"/>
          <w:bCs/>
          <w:sz w:val="22"/>
          <w:szCs w:val="22"/>
          <w:lang w:val="es-MX"/>
        </w:rPr>
        <w:t xml:space="preserve">ransitorios </w:t>
      </w:r>
      <w:r w:rsidR="00027A69" w:rsidRPr="00AC3626">
        <w:rPr>
          <w:rFonts w:ascii="Arial" w:eastAsia="Times New Roman" w:hAnsi="Arial" w:cs="Arial"/>
          <w:bCs/>
          <w:sz w:val="22"/>
          <w:szCs w:val="22"/>
          <w:lang w:val="es-MX"/>
        </w:rPr>
        <w:t>a</w:t>
      </w:r>
      <w:r w:rsidRPr="00AC3626">
        <w:rPr>
          <w:rFonts w:ascii="Arial" w:eastAsia="Times New Roman" w:hAnsi="Arial" w:cs="Arial"/>
          <w:bCs/>
          <w:sz w:val="22"/>
          <w:szCs w:val="22"/>
          <w:lang w:val="es-MX"/>
        </w:rPr>
        <w:t xml:space="preserve"> las</w:t>
      </w:r>
      <w:r w:rsidR="00027A69" w:rsidRPr="00AC3626">
        <w:rPr>
          <w:rFonts w:ascii="Arial" w:eastAsia="Times New Roman" w:hAnsi="Arial" w:cs="Arial"/>
          <w:bCs/>
          <w:sz w:val="22"/>
          <w:szCs w:val="22"/>
          <w:lang w:val="es-MX"/>
        </w:rPr>
        <w:t xml:space="preserve"> modificaciones a las</w:t>
      </w:r>
      <w:r w:rsidRPr="00AC3626">
        <w:rPr>
          <w:rFonts w:ascii="Arial" w:eastAsia="Times New Roman" w:hAnsi="Arial" w:cs="Arial"/>
          <w:bCs/>
          <w:sz w:val="22"/>
          <w:szCs w:val="22"/>
          <w:lang w:val="es-MX"/>
        </w:rPr>
        <w:t xml:space="preserve"> Reglas de Portabilidad Numérica </w:t>
      </w:r>
      <w:r w:rsidRPr="00AC3626">
        <w:rPr>
          <w:rFonts w:ascii="Arial" w:eastAsia="Times New Roman" w:hAnsi="Arial" w:cs="Arial"/>
          <w:bCs/>
          <w:sz w:val="22"/>
          <w:szCs w:val="22"/>
        </w:rPr>
        <w:t>para quedar en los siguientes términos</w:t>
      </w:r>
      <w:r w:rsidRPr="00AC3626">
        <w:rPr>
          <w:rFonts w:ascii="Arial" w:eastAsia="Times New Roman" w:hAnsi="Arial" w:cs="Arial"/>
          <w:b/>
          <w:bCs/>
          <w:sz w:val="22"/>
          <w:szCs w:val="22"/>
        </w:rPr>
        <w:t>:</w:t>
      </w:r>
    </w:p>
    <w:p w14:paraId="399AFDF3" w14:textId="77777777" w:rsidR="00F326CD" w:rsidRPr="00AC3626" w:rsidRDefault="00F326CD" w:rsidP="008C7514">
      <w:pPr>
        <w:jc w:val="both"/>
        <w:rPr>
          <w:rFonts w:ascii="Arial" w:eastAsia="Times New Roman" w:hAnsi="Arial" w:cs="Arial"/>
          <w:kern w:val="2"/>
          <w:sz w:val="22"/>
          <w:szCs w:val="22"/>
          <w:lang w:eastAsia="ar-SA"/>
        </w:rPr>
      </w:pPr>
    </w:p>
    <w:p w14:paraId="0A0D30DE" w14:textId="1084EC08" w:rsidR="00F326CD" w:rsidRPr="00AC3626" w:rsidRDefault="00574073" w:rsidP="007E4BE8">
      <w:pPr>
        <w:ind w:left="426"/>
        <w:jc w:val="both"/>
        <w:rPr>
          <w:rFonts w:ascii="Arial" w:eastAsia="Times New Roman" w:hAnsi="Arial" w:cs="Arial"/>
          <w:kern w:val="2"/>
          <w:sz w:val="22"/>
          <w:szCs w:val="22"/>
          <w:lang w:eastAsia="ar-SA"/>
        </w:rPr>
      </w:pPr>
      <w:r w:rsidRPr="00AC3626">
        <w:rPr>
          <w:rFonts w:ascii="Arial" w:hAnsi="Arial" w:cs="Arial"/>
          <w:b/>
          <w:i/>
          <w:sz w:val="22"/>
          <w:szCs w:val="22"/>
        </w:rPr>
        <w:t>“PRIMERO.</w:t>
      </w:r>
      <w:r w:rsidRPr="00AC3626">
        <w:rPr>
          <w:rFonts w:ascii="Arial" w:hAnsi="Arial" w:cs="Arial"/>
          <w:i/>
          <w:sz w:val="22"/>
          <w:szCs w:val="22"/>
        </w:rPr>
        <w:t xml:space="preserve"> Las siguientes secciones de las</w:t>
      </w:r>
      <w:r w:rsidR="00976528">
        <w:rPr>
          <w:rFonts w:ascii="Arial" w:hAnsi="Arial" w:cs="Arial"/>
          <w:i/>
          <w:sz w:val="22"/>
          <w:szCs w:val="22"/>
        </w:rPr>
        <w:t xml:space="preserve"> presentes</w:t>
      </w:r>
      <w:r w:rsidRPr="00AC3626">
        <w:rPr>
          <w:rFonts w:ascii="Arial" w:hAnsi="Arial" w:cs="Arial"/>
          <w:i/>
          <w:sz w:val="22"/>
          <w:szCs w:val="22"/>
        </w:rPr>
        <w:t xml:space="preserve"> Reglas de Portabilidad Numérica entrarán en vigor el día 3 de agosto de 2019:</w:t>
      </w:r>
    </w:p>
    <w:p w14:paraId="3718631B" w14:textId="77777777" w:rsidR="00F326CD" w:rsidRPr="00AC3626" w:rsidRDefault="00F326CD" w:rsidP="007E4BE8">
      <w:pPr>
        <w:ind w:left="426"/>
        <w:jc w:val="both"/>
        <w:rPr>
          <w:rFonts w:ascii="Arial" w:eastAsia="Times New Roman" w:hAnsi="Arial" w:cs="Arial"/>
          <w:kern w:val="2"/>
          <w:sz w:val="22"/>
          <w:szCs w:val="22"/>
          <w:lang w:eastAsia="ar-SA"/>
        </w:rPr>
      </w:pPr>
    </w:p>
    <w:p w14:paraId="3D9ECDF6" w14:textId="77777777" w:rsidR="00CF1E73" w:rsidRPr="00AC3626" w:rsidRDefault="00CF1E73" w:rsidP="00F36942">
      <w:pPr>
        <w:pStyle w:val="Texto"/>
        <w:spacing w:after="80" w:line="221" w:lineRule="exact"/>
        <w:ind w:left="426" w:firstLine="0"/>
        <w:rPr>
          <w:i/>
          <w:sz w:val="22"/>
          <w:szCs w:val="22"/>
          <w:lang w:val="es-ES_tradnl"/>
        </w:rPr>
      </w:pPr>
      <w:r w:rsidRPr="00AC3626">
        <w:rPr>
          <w:b/>
          <w:i/>
          <w:sz w:val="22"/>
          <w:szCs w:val="22"/>
          <w:lang w:val="es-ES_tradnl"/>
        </w:rPr>
        <w:t>Regla 2. Definiciones</w:t>
      </w:r>
      <w:r w:rsidRPr="00AC3626">
        <w:rPr>
          <w:i/>
          <w:sz w:val="22"/>
          <w:szCs w:val="22"/>
          <w:lang w:val="es-ES_tradnl"/>
        </w:rPr>
        <w:t>: primer párrafo; fracciones I</w:t>
      </w:r>
      <w:r w:rsidR="008E095F">
        <w:rPr>
          <w:i/>
          <w:sz w:val="22"/>
          <w:szCs w:val="22"/>
          <w:lang w:val="es-ES_tradnl"/>
        </w:rPr>
        <w:t>.</w:t>
      </w:r>
      <w:r w:rsidRPr="00AC3626">
        <w:rPr>
          <w:i/>
          <w:sz w:val="22"/>
          <w:szCs w:val="22"/>
          <w:lang w:val="es-ES_tradnl"/>
        </w:rPr>
        <w:t>, II</w:t>
      </w:r>
      <w:r w:rsidR="008E095F">
        <w:rPr>
          <w:i/>
          <w:sz w:val="22"/>
          <w:szCs w:val="22"/>
          <w:lang w:val="es-ES_tradnl"/>
        </w:rPr>
        <w:t>.</w:t>
      </w:r>
      <w:r w:rsidRPr="00AC3626">
        <w:rPr>
          <w:i/>
          <w:sz w:val="22"/>
          <w:szCs w:val="22"/>
          <w:lang w:val="es-ES_tradnl"/>
        </w:rPr>
        <w:t>, III</w:t>
      </w:r>
      <w:r w:rsidR="008E095F">
        <w:rPr>
          <w:i/>
          <w:sz w:val="22"/>
          <w:szCs w:val="22"/>
          <w:lang w:val="es-ES_tradnl"/>
        </w:rPr>
        <w:t>.</w:t>
      </w:r>
      <w:r w:rsidRPr="00AC3626">
        <w:rPr>
          <w:i/>
          <w:sz w:val="22"/>
          <w:szCs w:val="22"/>
          <w:lang w:val="es-ES_tradnl"/>
        </w:rPr>
        <w:t>, VII</w:t>
      </w:r>
      <w:r w:rsidR="008E095F">
        <w:rPr>
          <w:i/>
          <w:sz w:val="22"/>
          <w:szCs w:val="22"/>
          <w:lang w:val="es-ES_tradnl"/>
        </w:rPr>
        <w:t>.</w:t>
      </w:r>
      <w:r w:rsidRPr="00AC3626">
        <w:rPr>
          <w:i/>
          <w:sz w:val="22"/>
          <w:szCs w:val="22"/>
          <w:lang w:val="es-ES_tradnl"/>
        </w:rPr>
        <w:t>, VIII</w:t>
      </w:r>
      <w:r w:rsidR="008E095F">
        <w:rPr>
          <w:i/>
          <w:sz w:val="22"/>
          <w:szCs w:val="22"/>
          <w:lang w:val="es-ES_tradnl"/>
        </w:rPr>
        <w:t>.</w:t>
      </w:r>
      <w:r w:rsidRPr="00AC3626">
        <w:rPr>
          <w:i/>
          <w:sz w:val="22"/>
          <w:szCs w:val="22"/>
          <w:lang w:val="es-ES_tradnl"/>
        </w:rPr>
        <w:t xml:space="preserve">, </w:t>
      </w:r>
      <w:r w:rsidR="00137EC1" w:rsidRPr="00AC3626">
        <w:rPr>
          <w:i/>
          <w:sz w:val="22"/>
          <w:szCs w:val="22"/>
          <w:lang w:val="es-ES_tradnl"/>
        </w:rPr>
        <w:t>XII</w:t>
      </w:r>
      <w:r w:rsidR="008E095F">
        <w:rPr>
          <w:i/>
          <w:sz w:val="22"/>
          <w:szCs w:val="22"/>
          <w:lang w:val="es-ES_tradnl"/>
        </w:rPr>
        <w:t>.</w:t>
      </w:r>
      <w:r w:rsidR="00137EC1" w:rsidRPr="00AC3626">
        <w:rPr>
          <w:i/>
          <w:sz w:val="22"/>
          <w:szCs w:val="22"/>
          <w:lang w:val="es-ES_tradnl"/>
        </w:rPr>
        <w:t>, XIII</w:t>
      </w:r>
      <w:r w:rsidR="008E095F">
        <w:rPr>
          <w:i/>
          <w:sz w:val="22"/>
          <w:szCs w:val="22"/>
          <w:lang w:val="es-ES_tradnl"/>
        </w:rPr>
        <w:t>.</w:t>
      </w:r>
      <w:r w:rsidR="00137EC1" w:rsidRPr="00AC3626">
        <w:rPr>
          <w:i/>
          <w:sz w:val="22"/>
          <w:szCs w:val="22"/>
          <w:lang w:val="es-ES_tradnl"/>
        </w:rPr>
        <w:t>, XIII bis., XV</w:t>
      </w:r>
      <w:r w:rsidR="008E095F">
        <w:rPr>
          <w:i/>
          <w:sz w:val="22"/>
          <w:szCs w:val="22"/>
          <w:lang w:val="es-ES_tradnl"/>
        </w:rPr>
        <w:t>.</w:t>
      </w:r>
      <w:r w:rsidR="00137EC1" w:rsidRPr="00AC3626">
        <w:rPr>
          <w:i/>
          <w:sz w:val="22"/>
          <w:szCs w:val="22"/>
          <w:lang w:val="es-ES_tradnl"/>
        </w:rPr>
        <w:t>, XVI</w:t>
      </w:r>
      <w:r w:rsidR="008E095F">
        <w:rPr>
          <w:i/>
          <w:sz w:val="22"/>
          <w:szCs w:val="22"/>
          <w:lang w:val="es-ES_tradnl"/>
        </w:rPr>
        <w:t>.</w:t>
      </w:r>
      <w:r w:rsidR="00137EC1" w:rsidRPr="00AC3626">
        <w:rPr>
          <w:i/>
          <w:sz w:val="22"/>
          <w:szCs w:val="22"/>
          <w:lang w:val="es-ES_tradnl"/>
        </w:rPr>
        <w:t>, XXVII</w:t>
      </w:r>
      <w:r w:rsidR="008E095F">
        <w:rPr>
          <w:i/>
          <w:sz w:val="22"/>
          <w:szCs w:val="22"/>
          <w:lang w:val="es-ES_tradnl"/>
        </w:rPr>
        <w:t>.</w:t>
      </w:r>
      <w:r w:rsidR="00137EC1" w:rsidRPr="00AC3626">
        <w:rPr>
          <w:i/>
          <w:sz w:val="22"/>
          <w:szCs w:val="22"/>
          <w:lang w:val="es-ES_tradnl"/>
        </w:rPr>
        <w:t>, XXVIII</w:t>
      </w:r>
      <w:r w:rsidR="008E095F">
        <w:rPr>
          <w:i/>
          <w:sz w:val="22"/>
          <w:szCs w:val="22"/>
          <w:lang w:val="es-ES_tradnl"/>
        </w:rPr>
        <w:t>.</w:t>
      </w:r>
      <w:r w:rsidR="00137EC1" w:rsidRPr="00AC3626">
        <w:rPr>
          <w:i/>
          <w:sz w:val="22"/>
          <w:szCs w:val="22"/>
          <w:lang w:val="es-ES_tradnl"/>
        </w:rPr>
        <w:t>, XXXII bis., XXXIII</w:t>
      </w:r>
      <w:r w:rsidR="008E095F">
        <w:rPr>
          <w:i/>
          <w:sz w:val="22"/>
          <w:szCs w:val="22"/>
          <w:lang w:val="es-ES_tradnl"/>
        </w:rPr>
        <w:t>.</w:t>
      </w:r>
      <w:r w:rsidR="00137EC1" w:rsidRPr="00AC3626">
        <w:rPr>
          <w:i/>
          <w:sz w:val="22"/>
          <w:szCs w:val="22"/>
          <w:lang w:val="es-ES_tradnl"/>
        </w:rPr>
        <w:t>,</w:t>
      </w:r>
      <w:r w:rsidR="009A1A15" w:rsidRPr="00AC3626">
        <w:rPr>
          <w:i/>
          <w:sz w:val="22"/>
          <w:szCs w:val="22"/>
          <w:lang w:val="es-ES_tradnl"/>
        </w:rPr>
        <w:t xml:space="preserve"> XXXIV</w:t>
      </w:r>
      <w:r w:rsidR="008E095F">
        <w:rPr>
          <w:i/>
          <w:sz w:val="22"/>
          <w:szCs w:val="22"/>
          <w:lang w:val="es-ES_tradnl"/>
        </w:rPr>
        <w:t>.</w:t>
      </w:r>
      <w:r w:rsidR="009A1A15" w:rsidRPr="00AC3626">
        <w:rPr>
          <w:i/>
          <w:sz w:val="22"/>
          <w:szCs w:val="22"/>
          <w:lang w:val="es-ES_tradnl"/>
        </w:rPr>
        <w:t xml:space="preserve">, XXXIV bis., </w:t>
      </w:r>
      <w:r w:rsidR="00F36942" w:rsidRPr="00AC3626">
        <w:rPr>
          <w:i/>
          <w:sz w:val="22"/>
          <w:szCs w:val="22"/>
          <w:lang w:val="es-ES_tradnl"/>
        </w:rPr>
        <w:t>XXXVII</w:t>
      </w:r>
      <w:r w:rsidR="008E095F">
        <w:rPr>
          <w:i/>
          <w:sz w:val="22"/>
          <w:szCs w:val="22"/>
          <w:lang w:val="es-ES_tradnl"/>
        </w:rPr>
        <w:t>.</w:t>
      </w:r>
      <w:r w:rsidR="00F36942" w:rsidRPr="00AC3626">
        <w:rPr>
          <w:i/>
          <w:sz w:val="22"/>
          <w:szCs w:val="22"/>
          <w:lang w:val="es-ES_tradnl"/>
        </w:rPr>
        <w:t>, XXXVIII</w:t>
      </w:r>
      <w:r w:rsidR="008E095F">
        <w:rPr>
          <w:i/>
          <w:sz w:val="22"/>
          <w:szCs w:val="22"/>
          <w:lang w:val="es-ES_tradnl"/>
        </w:rPr>
        <w:t>.</w:t>
      </w:r>
      <w:r w:rsidR="00F36942" w:rsidRPr="00AC3626">
        <w:rPr>
          <w:i/>
          <w:sz w:val="22"/>
          <w:szCs w:val="22"/>
          <w:lang w:val="es-ES_tradnl"/>
        </w:rPr>
        <w:t>, XL</w:t>
      </w:r>
      <w:r w:rsidR="008E095F">
        <w:rPr>
          <w:i/>
          <w:sz w:val="22"/>
          <w:szCs w:val="22"/>
          <w:lang w:val="es-ES_tradnl"/>
        </w:rPr>
        <w:t>.</w:t>
      </w:r>
      <w:r w:rsidR="00F36942" w:rsidRPr="00AC3626">
        <w:rPr>
          <w:i/>
          <w:sz w:val="22"/>
          <w:szCs w:val="22"/>
          <w:lang w:val="es-ES_tradnl"/>
        </w:rPr>
        <w:t>, XLI</w:t>
      </w:r>
      <w:r w:rsidR="008E095F">
        <w:rPr>
          <w:i/>
          <w:sz w:val="22"/>
          <w:szCs w:val="22"/>
          <w:lang w:val="es-ES_tradnl"/>
        </w:rPr>
        <w:t>.</w:t>
      </w:r>
      <w:r w:rsidR="00F36942" w:rsidRPr="00AC3626">
        <w:rPr>
          <w:i/>
          <w:sz w:val="22"/>
          <w:szCs w:val="22"/>
          <w:lang w:val="es-ES_tradnl"/>
        </w:rPr>
        <w:t>, XLI bis., XLVI</w:t>
      </w:r>
      <w:r w:rsidR="008E095F">
        <w:rPr>
          <w:i/>
          <w:sz w:val="22"/>
          <w:szCs w:val="22"/>
          <w:lang w:val="es-ES_tradnl"/>
        </w:rPr>
        <w:t>.</w:t>
      </w:r>
      <w:r w:rsidR="00F36942" w:rsidRPr="00AC3626">
        <w:rPr>
          <w:i/>
          <w:sz w:val="22"/>
          <w:szCs w:val="22"/>
          <w:lang w:val="es-ES_tradnl"/>
        </w:rPr>
        <w:t>, LIV</w:t>
      </w:r>
      <w:r w:rsidR="008E095F">
        <w:rPr>
          <w:i/>
          <w:sz w:val="22"/>
          <w:szCs w:val="22"/>
          <w:lang w:val="es-ES_tradnl"/>
        </w:rPr>
        <w:t>.</w:t>
      </w:r>
      <w:r w:rsidR="00F36942" w:rsidRPr="00AC3626">
        <w:rPr>
          <w:i/>
          <w:sz w:val="22"/>
          <w:szCs w:val="22"/>
          <w:lang w:val="es-ES_tradnl"/>
        </w:rPr>
        <w:t>, LV bis., LVI</w:t>
      </w:r>
      <w:r w:rsidR="008E095F">
        <w:rPr>
          <w:i/>
          <w:sz w:val="22"/>
          <w:szCs w:val="22"/>
          <w:lang w:val="es-ES_tradnl"/>
        </w:rPr>
        <w:t>.</w:t>
      </w:r>
      <w:r w:rsidR="00F36942" w:rsidRPr="00AC3626">
        <w:rPr>
          <w:i/>
          <w:sz w:val="22"/>
          <w:szCs w:val="22"/>
          <w:lang w:val="es-ES_tradnl"/>
        </w:rPr>
        <w:t>, LVII</w:t>
      </w:r>
      <w:r w:rsidR="008E095F">
        <w:rPr>
          <w:i/>
          <w:sz w:val="22"/>
          <w:szCs w:val="22"/>
          <w:lang w:val="es-ES_tradnl"/>
        </w:rPr>
        <w:t>.</w:t>
      </w:r>
      <w:r w:rsidR="00F36942" w:rsidRPr="00AC3626">
        <w:rPr>
          <w:i/>
          <w:sz w:val="22"/>
          <w:szCs w:val="22"/>
          <w:lang w:val="es-ES_tradnl"/>
        </w:rPr>
        <w:t xml:space="preserve">, LVII bis., LVII ter. y LXII. </w:t>
      </w:r>
    </w:p>
    <w:p w14:paraId="10503754" w14:textId="77777777" w:rsidR="00F36942" w:rsidRPr="00AC3626" w:rsidRDefault="00F36942" w:rsidP="00F36942">
      <w:pPr>
        <w:pStyle w:val="Texto"/>
        <w:spacing w:after="80" w:line="221" w:lineRule="exact"/>
        <w:ind w:left="426" w:firstLine="0"/>
        <w:rPr>
          <w:i/>
          <w:sz w:val="22"/>
          <w:szCs w:val="22"/>
          <w:lang w:val="es-ES_tradnl"/>
        </w:rPr>
      </w:pPr>
      <w:r w:rsidRPr="00AC3626">
        <w:rPr>
          <w:b/>
          <w:i/>
          <w:sz w:val="22"/>
          <w:szCs w:val="22"/>
          <w:lang w:val="es-ES_tradnl"/>
        </w:rPr>
        <w:t>Regla 3</w:t>
      </w:r>
      <w:r w:rsidRPr="00AC3626">
        <w:rPr>
          <w:i/>
          <w:sz w:val="22"/>
          <w:szCs w:val="22"/>
          <w:lang w:val="es-ES_tradnl"/>
        </w:rPr>
        <w:t xml:space="preserve">. </w:t>
      </w:r>
      <w:r w:rsidRPr="00AC3626">
        <w:rPr>
          <w:b/>
          <w:i/>
          <w:sz w:val="22"/>
          <w:szCs w:val="22"/>
          <w:lang w:val="es-ES_tradnl"/>
        </w:rPr>
        <w:t>Alcance.</w:t>
      </w:r>
      <w:r w:rsidR="00B97A89" w:rsidRPr="00AC3626">
        <w:rPr>
          <w:i/>
          <w:sz w:val="22"/>
          <w:szCs w:val="22"/>
          <w:lang w:val="es-ES_tradnl"/>
        </w:rPr>
        <w:t xml:space="preserve"> </w:t>
      </w:r>
    </w:p>
    <w:p w14:paraId="706746A3" w14:textId="77777777" w:rsidR="00507A69" w:rsidRPr="00AC3626" w:rsidRDefault="00F36942" w:rsidP="00F36942">
      <w:pPr>
        <w:pStyle w:val="Texto"/>
        <w:spacing w:after="80" w:line="221" w:lineRule="exact"/>
        <w:ind w:left="426" w:firstLine="0"/>
        <w:rPr>
          <w:b/>
          <w:i/>
          <w:sz w:val="22"/>
          <w:szCs w:val="22"/>
          <w:lang w:val="es-ES_tradnl"/>
        </w:rPr>
      </w:pPr>
      <w:r w:rsidRPr="00AC3626">
        <w:rPr>
          <w:b/>
          <w:i/>
          <w:sz w:val="22"/>
          <w:szCs w:val="22"/>
          <w:lang w:val="es-ES_tradnl"/>
        </w:rPr>
        <w:t>Regla 5. Cambio de Domicilio.</w:t>
      </w:r>
      <w:r w:rsidR="00B97A89" w:rsidRPr="00AC3626">
        <w:rPr>
          <w:b/>
          <w:i/>
          <w:sz w:val="22"/>
          <w:szCs w:val="22"/>
          <w:lang w:val="es-ES_tradnl"/>
        </w:rPr>
        <w:t xml:space="preserve"> </w:t>
      </w:r>
    </w:p>
    <w:p w14:paraId="450DD31A" w14:textId="77777777" w:rsidR="00F36942" w:rsidRPr="00AC3626" w:rsidRDefault="00507A69" w:rsidP="00F36942">
      <w:pPr>
        <w:pStyle w:val="Texto"/>
        <w:spacing w:after="80" w:line="221" w:lineRule="exact"/>
        <w:ind w:left="426" w:firstLine="0"/>
        <w:rPr>
          <w:i/>
          <w:sz w:val="22"/>
          <w:szCs w:val="22"/>
          <w:lang w:val="es-ES_tradnl"/>
        </w:rPr>
      </w:pPr>
      <w:r w:rsidRPr="00AC3626">
        <w:rPr>
          <w:b/>
          <w:i/>
          <w:sz w:val="22"/>
          <w:szCs w:val="22"/>
          <w:lang w:val="es-ES_tradnl"/>
        </w:rPr>
        <w:t xml:space="preserve">Regla 6. Atribuciones. </w:t>
      </w:r>
    </w:p>
    <w:p w14:paraId="3E6857E6" w14:textId="77777777" w:rsidR="00507A69" w:rsidRPr="00AC3626" w:rsidRDefault="00507A69" w:rsidP="00F36942">
      <w:pPr>
        <w:pStyle w:val="Texto"/>
        <w:spacing w:after="80" w:line="221" w:lineRule="exact"/>
        <w:ind w:left="426" w:firstLine="0"/>
        <w:rPr>
          <w:b/>
          <w:i/>
          <w:sz w:val="22"/>
          <w:szCs w:val="22"/>
          <w:lang w:val="es-ES_tradnl"/>
        </w:rPr>
      </w:pPr>
      <w:r w:rsidRPr="00AC3626">
        <w:rPr>
          <w:b/>
          <w:i/>
          <w:sz w:val="22"/>
          <w:szCs w:val="22"/>
          <w:lang w:val="es-ES_tradnl"/>
        </w:rPr>
        <w:t>Regla 8.</w:t>
      </w:r>
      <w:r w:rsidRPr="00AC3626">
        <w:rPr>
          <w:i/>
          <w:sz w:val="22"/>
          <w:szCs w:val="22"/>
          <w:lang w:val="es-ES_tradnl"/>
        </w:rPr>
        <w:t xml:space="preserve"> </w:t>
      </w:r>
      <w:r w:rsidRPr="00AC3626">
        <w:rPr>
          <w:b/>
          <w:i/>
          <w:sz w:val="22"/>
          <w:szCs w:val="22"/>
          <w:lang w:val="es-ES_tradnl"/>
        </w:rPr>
        <w:t>Funciones del Comité.</w:t>
      </w:r>
    </w:p>
    <w:p w14:paraId="4400E906" w14:textId="77777777" w:rsidR="00507A69" w:rsidRPr="00AC3626" w:rsidRDefault="00507A69" w:rsidP="00F36942">
      <w:pPr>
        <w:pStyle w:val="Texto"/>
        <w:spacing w:after="80" w:line="221" w:lineRule="exact"/>
        <w:ind w:left="426" w:firstLine="0"/>
        <w:rPr>
          <w:b/>
          <w:i/>
          <w:sz w:val="22"/>
          <w:szCs w:val="22"/>
          <w:lang w:val="es-ES_tradnl"/>
        </w:rPr>
      </w:pPr>
      <w:r w:rsidRPr="00AC3626">
        <w:rPr>
          <w:b/>
          <w:i/>
          <w:sz w:val="22"/>
          <w:szCs w:val="22"/>
          <w:lang w:val="es-ES_tradnl"/>
        </w:rPr>
        <w:t>Regla 9. Presidente del Comité.</w:t>
      </w:r>
    </w:p>
    <w:p w14:paraId="71F8562E" w14:textId="77777777" w:rsidR="00507A69" w:rsidRPr="00AC3626" w:rsidRDefault="00507A69" w:rsidP="00F36942">
      <w:pPr>
        <w:pStyle w:val="Texto"/>
        <w:spacing w:after="80" w:line="221" w:lineRule="exact"/>
        <w:ind w:left="426" w:firstLine="0"/>
        <w:rPr>
          <w:b/>
          <w:i/>
          <w:sz w:val="22"/>
          <w:szCs w:val="22"/>
          <w:lang w:val="es-ES_tradnl"/>
        </w:rPr>
      </w:pPr>
      <w:r w:rsidRPr="00AC3626">
        <w:rPr>
          <w:b/>
          <w:i/>
          <w:sz w:val="22"/>
          <w:szCs w:val="22"/>
          <w:lang w:val="es-ES_tradnl"/>
        </w:rPr>
        <w:t>Regla 12. Sesiones del Comité.</w:t>
      </w:r>
    </w:p>
    <w:p w14:paraId="5F0F1C18" w14:textId="77777777" w:rsidR="00507A69" w:rsidRPr="00AC3626" w:rsidRDefault="00507A69" w:rsidP="00F36942">
      <w:pPr>
        <w:pStyle w:val="Texto"/>
        <w:spacing w:after="80" w:line="221" w:lineRule="exact"/>
        <w:ind w:left="426" w:firstLine="0"/>
        <w:rPr>
          <w:i/>
          <w:sz w:val="22"/>
          <w:szCs w:val="22"/>
          <w:lang w:val="es-ES_tradnl"/>
        </w:rPr>
      </w:pPr>
      <w:r w:rsidRPr="00AC3626">
        <w:rPr>
          <w:b/>
          <w:i/>
          <w:sz w:val="22"/>
          <w:szCs w:val="22"/>
          <w:lang w:val="es-ES_tradnl"/>
        </w:rPr>
        <w:t xml:space="preserve">Regla 13. Derechos de los Usuarios. </w:t>
      </w:r>
    </w:p>
    <w:p w14:paraId="61B5A872" w14:textId="77777777" w:rsidR="00507A69" w:rsidRPr="00AC3626" w:rsidRDefault="00507A69" w:rsidP="00F36942">
      <w:pPr>
        <w:pStyle w:val="Texto"/>
        <w:spacing w:after="80" w:line="221" w:lineRule="exact"/>
        <w:ind w:left="426" w:firstLine="0"/>
        <w:rPr>
          <w:b/>
          <w:i/>
          <w:sz w:val="22"/>
          <w:szCs w:val="22"/>
          <w:lang w:val="es-ES_tradnl"/>
        </w:rPr>
      </w:pPr>
      <w:r w:rsidRPr="00AC3626">
        <w:rPr>
          <w:b/>
          <w:i/>
          <w:sz w:val="22"/>
          <w:szCs w:val="22"/>
          <w:lang w:val="es-ES_tradnl"/>
        </w:rPr>
        <w:lastRenderedPageBreak/>
        <w:t>Regla 15.</w:t>
      </w:r>
      <w:r w:rsidRPr="00AC3626">
        <w:rPr>
          <w:i/>
          <w:sz w:val="22"/>
          <w:szCs w:val="22"/>
          <w:lang w:val="es-ES_tradnl"/>
        </w:rPr>
        <w:t xml:space="preserve"> </w:t>
      </w:r>
      <w:r w:rsidRPr="00AC3626">
        <w:rPr>
          <w:b/>
          <w:i/>
          <w:sz w:val="22"/>
          <w:szCs w:val="22"/>
          <w:lang w:val="es-ES_tradnl"/>
        </w:rPr>
        <w:t>Reciprocidad y Trato No Discriminatorio.</w:t>
      </w:r>
    </w:p>
    <w:p w14:paraId="110C148E" w14:textId="77777777" w:rsidR="00507A69" w:rsidRPr="00AC3626" w:rsidRDefault="00507A69" w:rsidP="00F36942">
      <w:pPr>
        <w:pStyle w:val="Texto"/>
        <w:spacing w:after="80" w:line="221" w:lineRule="exact"/>
        <w:ind w:left="426" w:firstLine="0"/>
        <w:rPr>
          <w:b/>
          <w:i/>
          <w:sz w:val="22"/>
          <w:szCs w:val="22"/>
          <w:lang w:val="es-ES_tradnl"/>
        </w:rPr>
      </w:pPr>
      <w:r w:rsidRPr="00AC3626">
        <w:rPr>
          <w:b/>
          <w:i/>
          <w:sz w:val="22"/>
          <w:szCs w:val="22"/>
          <w:lang w:val="es-ES_tradnl"/>
        </w:rPr>
        <w:t>Regla 16.</w:t>
      </w:r>
      <w:r w:rsidRPr="00AC3626">
        <w:rPr>
          <w:i/>
          <w:sz w:val="22"/>
          <w:szCs w:val="22"/>
          <w:lang w:val="es-ES_tradnl"/>
        </w:rPr>
        <w:t xml:space="preserve"> </w:t>
      </w:r>
      <w:r w:rsidRPr="00AC3626">
        <w:rPr>
          <w:b/>
          <w:i/>
          <w:sz w:val="22"/>
          <w:szCs w:val="22"/>
          <w:lang w:val="es-ES_tradnl"/>
        </w:rPr>
        <w:t>Condiciones Contractuales.</w:t>
      </w:r>
    </w:p>
    <w:p w14:paraId="177D37B9" w14:textId="77777777" w:rsidR="00545781" w:rsidRPr="00AC3626" w:rsidRDefault="00545781" w:rsidP="00F36942">
      <w:pPr>
        <w:pStyle w:val="Texto"/>
        <w:spacing w:after="80" w:line="221" w:lineRule="exact"/>
        <w:ind w:left="426" w:firstLine="0"/>
        <w:rPr>
          <w:b/>
          <w:i/>
          <w:sz w:val="22"/>
          <w:szCs w:val="22"/>
          <w:lang w:val="es-ES_tradnl"/>
        </w:rPr>
      </w:pPr>
      <w:r w:rsidRPr="00AC3626">
        <w:rPr>
          <w:b/>
          <w:i/>
          <w:sz w:val="22"/>
          <w:szCs w:val="22"/>
          <w:lang w:val="es-ES_tradnl"/>
        </w:rPr>
        <w:t>Regla 18. Información o Difusión.</w:t>
      </w:r>
    </w:p>
    <w:p w14:paraId="39CF6729" w14:textId="77777777" w:rsidR="00545781" w:rsidRPr="00AC3626" w:rsidRDefault="00545781" w:rsidP="00F36942">
      <w:pPr>
        <w:pStyle w:val="Texto"/>
        <w:spacing w:after="80" w:line="221" w:lineRule="exact"/>
        <w:ind w:left="426" w:firstLine="0"/>
        <w:rPr>
          <w:b/>
          <w:i/>
          <w:sz w:val="22"/>
          <w:szCs w:val="22"/>
          <w:lang w:val="es-ES_tradnl"/>
        </w:rPr>
      </w:pPr>
      <w:r w:rsidRPr="00AC3626">
        <w:rPr>
          <w:b/>
          <w:i/>
          <w:sz w:val="22"/>
          <w:szCs w:val="22"/>
          <w:lang w:val="es-ES_tradnl"/>
        </w:rPr>
        <w:t>Regla 22. Solución Técnica.</w:t>
      </w:r>
    </w:p>
    <w:p w14:paraId="64B55726" w14:textId="77777777" w:rsidR="00545781" w:rsidRPr="00AC3626" w:rsidRDefault="00545781" w:rsidP="00F36942">
      <w:pPr>
        <w:pStyle w:val="Texto"/>
        <w:spacing w:after="80" w:line="221" w:lineRule="exact"/>
        <w:ind w:left="426" w:firstLine="0"/>
        <w:rPr>
          <w:b/>
          <w:i/>
          <w:sz w:val="22"/>
          <w:szCs w:val="22"/>
          <w:lang w:val="es-ES_tradnl"/>
        </w:rPr>
      </w:pPr>
      <w:r w:rsidRPr="00AC3626">
        <w:rPr>
          <w:b/>
          <w:i/>
          <w:sz w:val="22"/>
          <w:szCs w:val="22"/>
          <w:lang w:val="es-ES_tradnl"/>
        </w:rPr>
        <w:t>Regla 24. Derechos y obligaciones de las Comercializadoras.</w:t>
      </w:r>
    </w:p>
    <w:p w14:paraId="1BDD430B" w14:textId="04ABCE00" w:rsidR="00545781" w:rsidRPr="00D00B56" w:rsidRDefault="00545781" w:rsidP="00F36942">
      <w:pPr>
        <w:pStyle w:val="Texto"/>
        <w:spacing w:after="80" w:line="221" w:lineRule="exact"/>
        <w:ind w:left="426" w:firstLine="0"/>
        <w:rPr>
          <w:i/>
          <w:sz w:val="22"/>
          <w:szCs w:val="22"/>
          <w:lang w:val="es-ES_tradnl"/>
        </w:rPr>
      </w:pPr>
      <w:r w:rsidRPr="00AC3626">
        <w:rPr>
          <w:b/>
          <w:i/>
          <w:sz w:val="22"/>
          <w:szCs w:val="22"/>
          <w:lang w:val="es-ES_tradnl"/>
        </w:rPr>
        <w:t xml:space="preserve">Regla 25 bis. Reporte de Números Provistos a otros Proveedores de Servicios de Telecomunicaciones. </w:t>
      </w:r>
    </w:p>
    <w:p w14:paraId="1261C89A" w14:textId="77777777" w:rsidR="00392E0C" w:rsidRPr="00AC3626" w:rsidRDefault="00392E0C" w:rsidP="00F36942">
      <w:pPr>
        <w:pStyle w:val="Texto"/>
        <w:spacing w:after="80" w:line="221" w:lineRule="exact"/>
        <w:ind w:left="426" w:firstLine="0"/>
        <w:rPr>
          <w:b/>
          <w:i/>
          <w:sz w:val="22"/>
          <w:szCs w:val="22"/>
          <w:lang w:val="es-ES_tradnl"/>
        </w:rPr>
      </w:pPr>
      <w:r w:rsidRPr="00AC3626">
        <w:rPr>
          <w:b/>
          <w:i/>
          <w:sz w:val="22"/>
          <w:szCs w:val="22"/>
          <w:lang w:val="es-ES_tradnl"/>
        </w:rPr>
        <w:t>Regla 27.</w:t>
      </w:r>
      <w:r w:rsidRPr="00AC3626">
        <w:rPr>
          <w:i/>
          <w:sz w:val="22"/>
          <w:szCs w:val="22"/>
          <w:lang w:val="es-ES_tradnl"/>
        </w:rPr>
        <w:t xml:space="preserve"> </w:t>
      </w:r>
      <w:r w:rsidRPr="00AC3626">
        <w:rPr>
          <w:b/>
          <w:i/>
          <w:sz w:val="22"/>
          <w:szCs w:val="22"/>
          <w:lang w:val="es-ES_tradnl"/>
        </w:rPr>
        <w:t>Obligaciones.</w:t>
      </w:r>
    </w:p>
    <w:p w14:paraId="4C5979FC" w14:textId="77777777" w:rsidR="0040172F" w:rsidRPr="00AC3626" w:rsidRDefault="0040172F" w:rsidP="00F36942">
      <w:pPr>
        <w:pStyle w:val="Texto"/>
        <w:spacing w:after="80" w:line="221" w:lineRule="exact"/>
        <w:ind w:left="426" w:firstLine="0"/>
        <w:rPr>
          <w:b/>
          <w:i/>
          <w:sz w:val="22"/>
          <w:szCs w:val="22"/>
          <w:lang w:val="es-ES_tradnl"/>
        </w:rPr>
      </w:pPr>
      <w:r w:rsidRPr="00AC3626">
        <w:rPr>
          <w:b/>
          <w:i/>
          <w:sz w:val="22"/>
          <w:szCs w:val="22"/>
          <w:lang w:val="es-ES_tradnl"/>
        </w:rPr>
        <w:t>Regla 31. Mecanismos de Pago.</w:t>
      </w:r>
    </w:p>
    <w:p w14:paraId="1FA9A1AC" w14:textId="77777777" w:rsidR="0040172F" w:rsidRPr="00AC3626" w:rsidRDefault="0040172F" w:rsidP="00F36942">
      <w:pPr>
        <w:pStyle w:val="Texto"/>
        <w:spacing w:after="80" w:line="221" w:lineRule="exact"/>
        <w:ind w:left="426" w:firstLine="0"/>
        <w:rPr>
          <w:b/>
          <w:i/>
          <w:sz w:val="22"/>
          <w:szCs w:val="22"/>
          <w:lang w:val="es-ES_tradnl"/>
        </w:rPr>
      </w:pPr>
      <w:r w:rsidRPr="00AC3626">
        <w:rPr>
          <w:b/>
          <w:i/>
          <w:sz w:val="22"/>
          <w:szCs w:val="22"/>
          <w:lang w:val="es-ES_tradnl"/>
        </w:rPr>
        <w:t>Regla 38. Habilitación de números de acceso al Sistema IVR.</w:t>
      </w:r>
    </w:p>
    <w:p w14:paraId="49AC1741" w14:textId="77777777" w:rsidR="00F82026" w:rsidRPr="00AC3626" w:rsidRDefault="00F82026" w:rsidP="00F36942">
      <w:pPr>
        <w:pStyle w:val="Texto"/>
        <w:spacing w:after="80" w:line="221" w:lineRule="exact"/>
        <w:ind w:left="426" w:firstLine="0"/>
        <w:rPr>
          <w:b/>
          <w:i/>
          <w:sz w:val="22"/>
          <w:szCs w:val="22"/>
          <w:lang w:val="es-ES_tradnl"/>
        </w:rPr>
      </w:pPr>
      <w:r w:rsidRPr="00AC3626">
        <w:rPr>
          <w:b/>
          <w:i/>
          <w:sz w:val="22"/>
          <w:szCs w:val="22"/>
          <w:lang w:val="es-ES_tradnl"/>
        </w:rPr>
        <w:t>Regla 39. NIP de Confirmación.</w:t>
      </w:r>
    </w:p>
    <w:p w14:paraId="6A04F54C" w14:textId="77777777" w:rsidR="00F82026" w:rsidRPr="00AC3626" w:rsidRDefault="00F82026" w:rsidP="00F36942">
      <w:pPr>
        <w:pStyle w:val="Texto"/>
        <w:spacing w:after="80" w:line="221" w:lineRule="exact"/>
        <w:ind w:left="426" w:firstLine="0"/>
        <w:rPr>
          <w:b/>
          <w:i/>
          <w:sz w:val="22"/>
          <w:szCs w:val="22"/>
          <w:lang w:val="es-ES_tradnl"/>
        </w:rPr>
      </w:pPr>
      <w:r w:rsidRPr="00AC3626">
        <w:rPr>
          <w:b/>
          <w:i/>
          <w:sz w:val="22"/>
          <w:szCs w:val="22"/>
          <w:lang w:val="es-ES_tradnl"/>
        </w:rPr>
        <w:t>Regla 43. Base de Datos de Operadores Válidos.</w:t>
      </w:r>
    </w:p>
    <w:p w14:paraId="5B4358E6" w14:textId="77777777" w:rsidR="00F82026" w:rsidRPr="00AC3626" w:rsidRDefault="00F82026" w:rsidP="00F36942">
      <w:pPr>
        <w:pStyle w:val="Texto"/>
        <w:spacing w:after="80" w:line="221" w:lineRule="exact"/>
        <w:ind w:left="426" w:firstLine="0"/>
        <w:rPr>
          <w:b/>
          <w:i/>
          <w:sz w:val="22"/>
          <w:szCs w:val="22"/>
          <w:lang w:val="es-ES_tradnl"/>
        </w:rPr>
      </w:pPr>
      <w:r w:rsidRPr="00AC3626">
        <w:rPr>
          <w:b/>
          <w:i/>
          <w:sz w:val="22"/>
          <w:szCs w:val="22"/>
          <w:lang w:val="es-ES_tradnl"/>
        </w:rPr>
        <w:t>Regla 46. Cantidad de Números por Solicitud.</w:t>
      </w:r>
    </w:p>
    <w:p w14:paraId="41B645CC" w14:textId="77777777" w:rsidR="005201AC" w:rsidRPr="00AC3626" w:rsidRDefault="005201AC" w:rsidP="00F36942">
      <w:pPr>
        <w:pStyle w:val="Texto"/>
        <w:spacing w:after="80" w:line="221" w:lineRule="exact"/>
        <w:ind w:left="426" w:firstLine="0"/>
        <w:rPr>
          <w:b/>
          <w:i/>
          <w:sz w:val="22"/>
          <w:szCs w:val="22"/>
          <w:lang w:val="es-ES_tradnl"/>
        </w:rPr>
      </w:pPr>
      <w:r w:rsidRPr="00AC3626">
        <w:rPr>
          <w:b/>
          <w:i/>
          <w:sz w:val="22"/>
          <w:szCs w:val="22"/>
          <w:lang w:val="es-ES_tradnl"/>
        </w:rPr>
        <w:t>Regla 47. Proceso Administrativo de Portabilidad.</w:t>
      </w:r>
    </w:p>
    <w:p w14:paraId="08A07F93" w14:textId="77777777" w:rsidR="005117E0" w:rsidRPr="00AC3626" w:rsidRDefault="005117E0" w:rsidP="00F36942">
      <w:pPr>
        <w:pStyle w:val="Texto"/>
        <w:spacing w:after="80" w:line="221" w:lineRule="exact"/>
        <w:ind w:left="426" w:firstLine="0"/>
        <w:rPr>
          <w:b/>
          <w:i/>
          <w:sz w:val="22"/>
          <w:szCs w:val="22"/>
          <w:lang w:val="es-ES_tradnl"/>
        </w:rPr>
      </w:pPr>
      <w:r w:rsidRPr="00AC3626">
        <w:rPr>
          <w:b/>
          <w:i/>
          <w:sz w:val="22"/>
          <w:szCs w:val="22"/>
          <w:lang w:val="es-ES_tradnl"/>
        </w:rPr>
        <w:t>Regla 49. Generación de Archivos de Portabilidad.</w:t>
      </w:r>
    </w:p>
    <w:p w14:paraId="104AE36D" w14:textId="77777777" w:rsidR="00104E7C" w:rsidRPr="00AC3626" w:rsidRDefault="00104E7C" w:rsidP="00F36942">
      <w:pPr>
        <w:pStyle w:val="Texto"/>
        <w:spacing w:after="80" w:line="221" w:lineRule="exact"/>
        <w:ind w:left="426" w:firstLine="0"/>
        <w:rPr>
          <w:b/>
          <w:i/>
          <w:sz w:val="22"/>
          <w:szCs w:val="22"/>
          <w:lang w:val="es-ES_tradnl"/>
        </w:rPr>
      </w:pPr>
      <w:r w:rsidRPr="00AC3626">
        <w:rPr>
          <w:b/>
          <w:i/>
          <w:sz w:val="22"/>
          <w:szCs w:val="22"/>
          <w:lang w:val="es-ES_tradnl"/>
        </w:rPr>
        <w:t>Regla 51. Proceso de Alta de Números No Geográficos Específicos.</w:t>
      </w:r>
    </w:p>
    <w:p w14:paraId="240388D8" w14:textId="77777777" w:rsidR="00104E7C" w:rsidRPr="00AC3626" w:rsidRDefault="00104E7C" w:rsidP="00F36942">
      <w:pPr>
        <w:pStyle w:val="Texto"/>
        <w:spacing w:after="80" w:line="221" w:lineRule="exact"/>
        <w:ind w:left="426" w:firstLine="0"/>
        <w:rPr>
          <w:b/>
          <w:i/>
          <w:sz w:val="22"/>
          <w:szCs w:val="22"/>
          <w:lang w:val="es-ES_tradnl"/>
        </w:rPr>
      </w:pPr>
      <w:r w:rsidRPr="00AC3626">
        <w:rPr>
          <w:b/>
          <w:i/>
          <w:sz w:val="22"/>
          <w:szCs w:val="22"/>
          <w:lang w:val="es-ES_tradnl"/>
        </w:rPr>
        <w:t>Regla 53. Proceso de Retorno de Números al Asignatario.</w:t>
      </w:r>
    </w:p>
    <w:p w14:paraId="36A57B72" w14:textId="77777777" w:rsidR="00104E7C" w:rsidRPr="00AC3626" w:rsidRDefault="00104E7C" w:rsidP="00F36942">
      <w:pPr>
        <w:pStyle w:val="Texto"/>
        <w:spacing w:after="80" w:line="221" w:lineRule="exact"/>
        <w:ind w:left="426" w:firstLine="0"/>
        <w:rPr>
          <w:b/>
          <w:i/>
          <w:sz w:val="22"/>
          <w:szCs w:val="22"/>
          <w:lang w:val="es-ES_tradnl"/>
        </w:rPr>
      </w:pPr>
      <w:r w:rsidRPr="00AC3626">
        <w:rPr>
          <w:b/>
          <w:i/>
          <w:sz w:val="22"/>
          <w:szCs w:val="22"/>
          <w:lang w:val="es-ES_tradnl"/>
        </w:rPr>
        <w:t>Regla 54. Proceso de Retorno de Números al Instituto.</w:t>
      </w:r>
    </w:p>
    <w:p w14:paraId="057D8801" w14:textId="77777777" w:rsidR="00C87BB1" w:rsidRPr="00AC3626" w:rsidRDefault="00C87BB1" w:rsidP="00F36942">
      <w:pPr>
        <w:pStyle w:val="Texto"/>
        <w:spacing w:after="80" w:line="221" w:lineRule="exact"/>
        <w:ind w:left="426" w:firstLine="0"/>
        <w:rPr>
          <w:b/>
          <w:i/>
          <w:sz w:val="22"/>
          <w:szCs w:val="22"/>
          <w:lang w:val="es-ES_tradnl"/>
        </w:rPr>
      </w:pPr>
    </w:p>
    <w:p w14:paraId="3BD73BB2" w14:textId="320C87C1" w:rsidR="00C87BB1" w:rsidRDefault="00C87BB1" w:rsidP="00C87BB1">
      <w:pPr>
        <w:pStyle w:val="Texto"/>
        <w:spacing w:after="80" w:line="221" w:lineRule="exact"/>
        <w:ind w:left="426" w:firstLine="0"/>
        <w:rPr>
          <w:i/>
          <w:sz w:val="22"/>
          <w:szCs w:val="22"/>
          <w:lang w:val="es-ES_tradnl"/>
        </w:rPr>
      </w:pPr>
      <w:r w:rsidRPr="00AC3626">
        <w:rPr>
          <w:b/>
          <w:i/>
          <w:sz w:val="22"/>
          <w:szCs w:val="22"/>
          <w:lang w:val="es-ES_tradnl"/>
        </w:rPr>
        <w:t xml:space="preserve">SEGUNDO. </w:t>
      </w:r>
      <w:r w:rsidR="00976528">
        <w:rPr>
          <w:i/>
          <w:sz w:val="22"/>
          <w:szCs w:val="22"/>
          <w:lang w:val="es-ES_tradnl"/>
        </w:rPr>
        <w:t>Antes de</w:t>
      </w:r>
      <w:r w:rsidRPr="00AC3626">
        <w:rPr>
          <w:i/>
          <w:sz w:val="22"/>
          <w:szCs w:val="22"/>
          <w:lang w:val="es-ES_tradnl"/>
        </w:rPr>
        <w:t>l 1</w:t>
      </w:r>
      <w:r w:rsidR="00976528">
        <w:rPr>
          <w:i/>
          <w:sz w:val="22"/>
          <w:szCs w:val="22"/>
          <w:lang w:val="es-ES_tradnl"/>
        </w:rPr>
        <w:t>º</w:t>
      </w:r>
      <w:r w:rsidRPr="00AC3626">
        <w:rPr>
          <w:i/>
          <w:sz w:val="22"/>
          <w:szCs w:val="22"/>
          <w:lang w:val="es-ES_tradnl"/>
        </w:rPr>
        <w:t xml:space="preserve"> de febrero de 2022, la referencia a la circunscripción de la portabilidad a la misma Zona, indicada en el </w:t>
      </w:r>
      <w:r w:rsidR="00004121">
        <w:rPr>
          <w:i/>
          <w:sz w:val="22"/>
          <w:szCs w:val="22"/>
          <w:lang w:val="es-ES_tradnl"/>
        </w:rPr>
        <w:t>penúltimo</w:t>
      </w:r>
      <w:r w:rsidRPr="00AC3626">
        <w:rPr>
          <w:i/>
          <w:sz w:val="22"/>
          <w:szCs w:val="22"/>
          <w:lang w:val="es-ES_tradnl"/>
        </w:rPr>
        <w:t xml:space="preserve"> p</w:t>
      </w:r>
      <w:r w:rsidR="00004121">
        <w:rPr>
          <w:i/>
          <w:sz w:val="22"/>
          <w:szCs w:val="22"/>
          <w:lang w:val="es-ES_tradnl"/>
        </w:rPr>
        <w:t>árrafo de la Regla 3</w:t>
      </w:r>
      <w:r w:rsidRPr="00AC3626">
        <w:rPr>
          <w:i/>
          <w:sz w:val="22"/>
          <w:szCs w:val="22"/>
          <w:lang w:val="es-ES_tradnl"/>
        </w:rPr>
        <w:t xml:space="preserve"> de las presentes Reglas, deberá entenderse en el sentido de que la portabilidad podrá realizarse en cualquier parte dentro del territorio nacional.</w:t>
      </w:r>
    </w:p>
    <w:p w14:paraId="4B19F162" w14:textId="77777777" w:rsidR="00824BCE" w:rsidRPr="00AC3626" w:rsidRDefault="00824BCE" w:rsidP="00C87BB1">
      <w:pPr>
        <w:pStyle w:val="Texto"/>
        <w:spacing w:after="80" w:line="221" w:lineRule="exact"/>
        <w:ind w:left="426" w:firstLine="0"/>
        <w:rPr>
          <w:i/>
          <w:sz w:val="22"/>
          <w:szCs w:val="22"/>
          <w:lang w:val="es-ES_tradnl"/>
        </w:rPr>
      </w:pPr>
    </w:p>
    <w:p w14:paraId="3D4E0EA6" w14:textId="3661DC52" w:rsidR="00C87BB1" w:rsidRPr="00AC3626" w:rsidRDefault="00C87BB1" w:rsidP="00F36942">
      <w:pPr>
        <w:pStyle w:val="Texto"/>
        <w:spacing w:after="80" w:line="221" w:lineRule="exact"/>
        <w:ind w:left="426" w:firstLine="0"/>
        <w:rPr>
          <w:b/>
          <w:i/>
          <w:sz w:val="22"/>
          <w:szCs w:val="22"/>
          <w:lang w:val="es-ES_tradnl"/>
        </w:rPr>
      </w:pPr>
      <w:r w:rsidRPr="00AC3626">
        <w:rPr>
          <w:b/>
          <w:i/>
          <w:sz w:val="22"/>
          <w:szCs w:val="22"/>
          <w:lang w:val="es-ES_tradnl"/>
        </w:rPr>
        <w:t>TERCERO.</w:t>
      </w:r>
      <w:r w:rsidRPr="00AC3626">
        <w:rPr>
          <w:i/>
          <w:sz w:val="22"/>
          <w:szCs w:val="22"/>
          <w:lang w:val="es-ES_tradnl"/>
        </w:rPr>
        <w:t xml:space="preserve"> </w:t>
      </w:r>
      <w:r w:rsidR="002905F0">
        <w:rPr>
          <w:i/>
          <w:sz w:val="22"/>
          <w:szCs w:val="22"/>
          <w:lang w:val="es-ES_tradnl"/>
        </w:rPr>
        <w:t>An</w:t>
      </w:r>
      <w:r w:rsidR="00976528">
        <w:rPr>
          <w:i/>
          <w:sz w:val="22"/>
          <w:szCs w:val="22"/>
          <w:lang w:val="es-ES_tradnl"/>
        </w:rPr>
        <w:t>tes de</w:t>
      </w:r>
      <w:r w:rsidRPr="00AC3626">
        <w:rPr>
          <w:i/>
          <w:sz w:val="22"/>
          <w:szCs w:val="22"/>
          <w:lang w:val="es-ES_tradnl"/>
        </w:rPr>
        <w:t>l 1</w:t>
      </w:r>
      <w:r w:rsidR="00976528">
        <w:rPr>
          <w:i/>
          <w:sz w:val="22"/>
          <w:szCs w:val="22"/>
          <w:lang w:val="es-ES_tradnl"/>
        </w:rPr>
        <w:t>º</w:t>
      </w:r>
      <w:r w:rsidRPr="00AC3626">
        <w:rPr>
          <w:i/>
          <w:sz w:val="22"/>
          <w:szCs w:val="22"/>
          <w:lang w:val="es-ES_tradnl"/>
        </w:rPr>
        <w:t xml:space="preserve"> de febrero de 2022, la referencia al numeral 8.4.2.14</w:t>
      </w:r>
      <w:r w:rsidR="008E095F">
        <w:rPr>
          <w:i/>
          <w:sz w:val="22"/>
          <w:szCs w:val="22"/>
          <w:lang w:val="es-ES_tradnl"/>
        </w:rPr>
        <w:t>.</w:t>
      </w:r>
      <w:r w:rsidRPr="00AC3626">
        <w:rPr>
          <w:i/>
          <w:sz w:val="22"/>
          <w:szCs w:val="22"/>
          <w:lang w:val="es-ES_tradnl"/>
        </w:rPr>
        <w:t xml:space="preserve"> del Plan de Numeración indicada en la fracción VII de la Regla 6 de las presentes Reglas, deberá referirse al numeral </w:t>
      </w:r>
      <w:r w:rsidRPr="005C1E79">
        <w:rPr>
          <w:i/>
          <w:sz w:val="22"/>
          <w:szCs w:val="22"/>
          <w:lang w:val="es-ES_tradnl"/>
        </w:rPr>
        <w:t>8.2.3.5</w:t>
      </w:r>
      <w:r w:rsidR="008E095F">
        <w:rPr>
          <w:i/>
          <w:sz w:val="22"/>
          <w:szCs w:val="22"/>
          <w:lang w:val="es-ES_tradnl"/>
        </w:rPr>
        <w:t>.</w:t>
      </w:r>
      <w:r w:rsidRPr="005C1E79">
        <w:rPr>
          <w:i/>
          <w:sz w:val="22"/>
          <w:szCs w:val="22"/>
          <w:lang w:val="es-ES_tradnl"/>
        </w:rPr>
        <w:t xml:space="preserve"> del Plan</w:t>
      </w:r>
      <w:r w:rsidRPr="00AC3626">
        <w:rPr>
          <w:i/>
          <w:sz w:val="22"/>
          <w:szCs w:val="22"/>
          <w:lang w:val="es-ES_tradnl"/>
        </w:rPr>
        <w:t xml:space="preserve"> Técnico Fundamental de Numeración publicado el 21 de junio de 1996 y su modificación del </w:t>
      </w:r>
      <w:r w:rsidR="00D12959" w:rsidRPr="00AC3626">
        <w:rPr>
          <w:i/>
          <w:sz w:val="22"/>
          <w:szCs w:val="22"/>
          <w:lang w:val="es-ES_tradnl"/>
        </w:rPr>
        <w:t>12 de noviembre de 2014</w:t>
      </w:r>
      <w:r w:rsidRPr="00AC3626">
        <w:rPr>
          <w:i/>
          <w:sz w:val="22"/>
          <w:szCs w:val="22"/>
          <w:lang w:val="es-ES_tradnl"/>
        </w:rPr>
        <w:t>.</w:t>
      </w:r>
    </w:p>
    <w:p w14:paraId="7694CC2B" w14:textId="77777777" w:rsidR="00C87BB1" w:rsidRPr="00AC3626" w:rsidRDefault="00C87BB1" w:rsidP="00F36942">
      <w:pPr>
        <w:pStyle w:val="Texto"/>
        <w:spacing w:after="80" w:line="221" w:lineRule="exact"/>
        <w:ind w:left="426" w:firstLine="0"/>
        <w:rPr>
          <w:b/>
          <w:i/>
          <w:sz w:val="22"/>
          <w:szCs w:val="22"/>
          <w:lang w:val="es-ES_tradnl"/>
        </w:rPr>
      </w:pPr>
    </w:p>
    <w:p w14:paraId="456993F8" w14:textId="0E097A55" w:rsidR="00C87BB1" w:rsidRPr="00AC3626" w:rsidRDefault="00C87BB1" w:rsidP="00F36942">
      <w:pPr>
        <w:pStyle w:val="Texto"/>
        <w:spacing w:after="80" w:line="221" w:lineRule="exact"/>
        <w:ind w:left="426" w:firstLine="0"/>
        <w:rPr>
          <w:i/>
          <w:sz w:val="22"/>
          <w:szCs w:val="22"/>
          <w:lang w:val="es-ES_tradnl"/>
        </w:rPr>
      </w:pPr>
      <w:r w:rsidRPr="00AC3626">
        <w:rPr>
          <w:b/>
          <w:i/>
          <w:sz w:val="22"/>
          <w:szCs w:val="22"/>
          <w:lang w:val="es-ES_tradnl"/>
        </w:rPr>
        <w:t>CUARTO.</w:t>
      </w:r>
      <w:r w:rsidR="00D12959" w:rsidRPr="00AC3626">
        <w:rPr>
          <w:i/>
          <w:sz w:val="22"/>
          <w:szCs w:val="22"/>
          <w:lang w:val="es-ES_tradnl"/>
        </w:rPr>
        <w:t xml:space="preserve"> </w:t>
      </w:r>
      <w:r w:rsidR="00976528">
        <w:rPr>
          <w:i/>
          <w:sz w:val="22"/>
          <w:szCs w:val="22"/>
          <w:lang w:val="es-ES_tradnl"/>
        </w:rPr>
        <w:t>Antes de</w:t>
      </w:r>
      <w:r w:rsidR="00D12959" w:rsidRPr="00AC3626">
        <w:rPr>
          <w:i/>
          <w:sz w:val="22"/>
          <w:szCs w:val="22"/>
          <w:lang w:val="es-ES_tradnl"/>
        </w:rPr>
        <w:t>l 1</w:t>
      </w:r>
      <w:r w:rsidR="00976528">
        <w:rPr>
          <w:i/>
          <w:sz w:val="22"/>
          <w:szCs w:val="22"/>
          <w:lang w:val="es-ES_tradnl"/>
        </w:rPr>
        <w:t>º</w:t>
      </w:r>
      <w:r w:rsidR="00D12959" w:rsidRPr="00AC3626">
        <w:rPr>
          <w:i/>
          <w:sz w:val="22"/>
          <w:szCs w:val="22"/>
          <w:lang w:val="es-ES_tradnl"/>
        </w:rPr>
        <w:t xml:space="preserve"> de febrero de 2022, la referencia al cambio a una Zona distinta, indicada en la fracción XVII de la Regla 13 de las presentes Reglas, deberá entenderse como el cambio a cualquier área geográfica distinta dentro del territorio nacional.</w:t>
      </w:r>
    </w:p>
    <w:p w14:paraId="7E5E5ECA" w14:textId="77777777" w:rsidR="00D12959" w:rsidRPr="00AC3626" w:rsidRDefault="00D12959" w:rsidP="00F36942">
      <w:pPr>
        <w:pStyle w:val="Texto"/>
        <w:spacing w:after="80" w:line="221" w:lineRule="exact"/>
        <w:ind w:left="426" w:firstLine="0"/>
        <w:rPr>
          <w:b/>
          <w:i/>
          <w:sz w:val="22"/>
          <w:szCs w:val="22"/>
          <w:lang w:val="es-ES_tradnl"/>
        </w:rPr>
      </w:pPr>
    </w:p>
    <w:p w14:paraId="05677973" w14:textId="1369F380" w:rsidR="00764F2E" w:rsidRDefault="00D12959" w:rsidP="00764F2E">
      <w:pPr>
        <w:pStyle w:val="Texto"/>
        <w:spacing w:after="80" w:line="221" w:lineRule="exact"/>
        <w:ind w:left="426" w:firstLine="0"/>
        <w:rPr>
          <w:i/>
          <w:sz w:val="22"/>
          <w:szCs w:val="22"/>
          <w:lang w:val="es-ES_tradnl"/>
        </w:rPr>
      </w:pPr>
      <w:r w:rsidRPr="00AC3626">
        <w:rPr>
          <w:b/>
          <w:i/>
          <w:sz w:val="22"/>
          <w:szCs w:val="22"/>
          <w:lang w:val="es-ES_tradnl"/>
        </w:rPr>
        <w:t>QUINTO.</w:t>
      </w:r>
      <w:r w:rsidR="00764F2E" w:rsidRPr="00AC3626">
        <w:rPr>
          <w:b/>
          <w:i/>
          <w:sz w:val="22"/>
          <w:szCs w:val="22"/>
          <w:lang w:val="es-ES_tradnl"/>
        </w:rPr>
        <w:t xml:space="preserve"> </w:t>
      </w:r>
      <w:r w:rsidR="00976528">
        <w:rPr>
          <w:i/>
          <w:sz w:val="22"/>
          <w:szCs w:val="22"/>
          <w:lang w:val="es-ES_tradnl"/>
        </w:rPr>
        <w:t>Antes de</w:t>
      </w:r>
      <w:r w:rsidR="00764F2E" w:rsidRPr="00AC3626">
        <w:rPr>
          <w:i/>
          <w:sz w:val="22"/>
          <w:szCs w:val="22"/>
          <w:lang w:val="es-ES_tradnl"/>
        </w:rPr>
        <w:t>l 1</w:t>
      </w:r>
      <w:r w:rsidR="00976528">
        <w:rPr>
          <w:i/>
          <w:sz w:val="22"/>
          <w:szCs w:val="22"/>
          <w:lang w:val="es-ES_tradnl"/>
        </w:rPr>
        <w:t>º</w:t>
      </w:r>
      <w:r w:rsidR="00764F2E" w:rsidRPr="00AC3626">
        <w:rPr>
          <w:i/>
          <w:sz w:val="22"/>
          <w:szCs w:val="22"/>
          <w:lang w:val="es-ES_tradnl"/>
        </w:rPr>
        <w:t xml:space="preserve"> de febrero de 2022, la referencia a la Zona indicada en el inciso d. de la Regla 25 bis. de las presentes Reglas, deberá entenderse como el Número Identificador de Región (NIR).</w:t>
      </w:r>
    </w:p>
    <w:p w14:paraId="6DAAF33C" w14:textId="77777777" w:rsidR="00824BCE" w:rsidRPr="00AC3626" w:rsidRDefault="00824BCE" w:rsidP="00764F2E">
      <w:pPr>
        <w:pStyle w:val="Texto"/>
        <w:spacing w:after="80" w:line="221" w:lineRule="exact"/>
        <w:ind w:left="426" w:firstLine="0"/>
        <w:rPr>
          <w:i/>
          <w:sz w:val="22"/>
          <w:szCs w:val="22"/>
          <w:lang w:val="es-ES_tradnl"/>
        </w:rPr>
      </w:pPr>
    </w:p>
    <w:p w14:paraId="5242496B" w14:textId="488EF3D1" w:rsidR="00104E7C" w:rsidRPr="00AC3626" w:rsidRDefault="00D12959" w:rsidP="00C87BB1">
      <w:pPr>
        <w:ind w:left="426"/>
        <w:jc w:val="both"/>
        <w:rPr>
          <w:rFonts w:ascii="Arial" w:eastAsia="Times New Roman" w:hAnsi="Arial" w:cs="Arial"/>
          <w:i/>
          <w:sz w:val="22"/>
          <w:szCs w:val="22"/>
          <w:lang w:eastAsia="es-ES"/>
        </w:rPr>
      </w:pPr>
      <w:r w:rsidRPr="00AC3626">
        <w:rPr>
          <w:rFonts w:ascii="Arial" w:hAnsi="Arial" w:cs="Arial"/>
          <w:b/>
          <w:i/>
          <w:sz w:val="22"/>
          <w:szCs w:val="22"/>
        </w:rPr>
        <w:t>SEXTO</w:t>
      </w:r>
      <w:r w:rsidR="00104E7C" w:rsidRPr="00AC3626">
        <w:rPr>
          <w:rFonts w:ascii="Arial" w:eastAsia="Times New Roman" w:hAnsi="Arial" w:cs="Arial"/>
          <w:i/>
          <w:sz w:val="22"/>
          <w:szCs w:val="22"/>
          <w:lang w:eastAsia="es-ES"/>
        </w:rPr>
        <w:t>. Las siguientes secciones de las</w:t>
      </w:r>
      <w:r w:rsidR="00976528">
        <w:rPr>
          <w:rFonts w:ascii="Arial" w:eastAsia="Times New Roman" w:hAnsi="Arial" w:cs="Arial"/>
          <w:i/>
          <w:sz w:val="22"/>
          <w:szCs w:val="22"/>
          <w:lang w:eastAsia="es-ES"/>
        </w:rPr>
        <w:t xml:space="preserve"> presentes</w:t>
      </w:r>
      <w:r w:rsidR="00104E7C" w:rsidRPr="00AC3626">
        <w:rPr>
          <w:rFonts w:ascii="Arial" w:eastAsia="Times New Roman" w:hAnsi="Arial" w:cs="Arial"/>
          <w:i/>
          <w:sz w:val="22"/>
          <w:szCs w:val="22"/>
          <w:lang w:eastAsia="es-ES"/>
        </w:rPr>
        <w:t xml:space="preserve"> Reglas de Portabilidad Numérica entrarán en vigor el día 1</w:t>
      </w:r>
      <w:r w:rsidR="00976528">
        <w:rPr>
          <w:rFonts w:ascii="Arial" w:eastAsia="Times New Roman" w:hAnsi="Arial" w:cs="Arial"/>
          <w:i/>
          <w:sz w:val="22"/>
          <w:szCs w:val="22"/>
          <w:lang w:eastAsia="es-ES"/>
        </w:rPr>
        <w:t>º</w:t>
      </w:r>
      <w:r w:rsidR="00104E7C" w:rsidRPr="00AC3626">
        <w:rPr>
          <w:rFonts w:ascii="Arial" w:eastAsia="Times New Roman" w:hAnsi="Arial" w:cs="Arial"/>
          <w:i/>
          <w:sz w:val="22"/>
          <w:szCs w:val="22"/>
          <w:lang w:eastAsia="es-ES"/>
        </w:rPr>
        <w:t xml:space="preserve"> de febrero de 2022:</w:t>
      </w:r>
    </w:p>
    <w:p w14:paraId="54077B31" w14:textId="77777777" w:rsidR="00392E0C" w:rsidRPr="00AC3626" w:rsidRDefault="00392E0C" w:rsidP="00C87BB1">
      <w:pPr>
        <w:pStyle w:val="Texto"/>
        <w:spacing w:after="80" w:line="221" w:lineRule="exact"/>
        <w:ind w:left="426" w:firstLine="0"/>
        <w:rPr>
          <w:i/>
          <w:sz w:val="22"/>
          <w:szCs w:val="22"/>
          <w:lang w:val="es-ES_tradnl"/>
        </w:rPr>
      </w:pPr>
    </w:p>
    <w:p w14:paraId="3E0DE12A" w14:textId="77777777" w:rsidR="00027A69" w:rsidRPr="00AC3626" w:rsidRDefault="00027A69" w:rsidP="00027A69">
      <w:pPr>
        <w:pStyle w:val="Texto"/>
        <w:spacing w:after="80" w:line="221" w:lineRule="exact"/>
        <w:ind w:left="426" w:firstLine="0"/>
        <w:rPr>
          <w:i/>
          <w:sz w:val="22"/>
          <w:szCs w:val="22"/>
          <w:lang w:val="es-ES_tradnl"/>
        </w:rPr>
      </w:pPr>
      <w:r w:rsidRPr="00AC3626">
        <w:rPr>
          <w:b/>
          <w:i/>
          <w:sz w:val="22"/>
          <w:szCs w:val="22"/>
          <w:lang w:val="es-ES_tradnl"/>
        </w:rPr>
        <w:t>Regla 2. Definiciones</w:t>
      </w:r>
      <w:r w:rsidRPr="00AC3626">
        <w:rPr>
          <w:i/>
          <w:sz w:val="22"/>
          <w:szCs w:val="22"/>
          <w:lang w:val="es-ES_tradnl"/>
        </w:rPr>
        <w:t xml:space="preserve">: fracción LXIV. </w:t>
      </w:r>
    </w:p>
    <w:p w14:paraId="3583E458" w14:textId="77777777" w:rsidR="00027A69" w:rsidRPr="00AC3626" w:rsidRDefault="00027A69" w:rsidP="00027A69">
      <w:pPr>
        <w:pStyle w:val="Texto"/>
        <w:spacing w:after="80" w:line="221" w:lineRule="exact"/>
        <w:ind w:left="426" w:firstLine="0"/>
        <w:rPr>
          <w:i/>
          <w:sz w:val="22"/>
          <w:szCs w:val="22"/>
          <w:lang w:val="es-ES_tradnl"/>
        </w:rPr>
      </w:pPr>
      <w:r w:rsidRPr="00AC3626">
        <w:rPr>
          <w:b/>
          <w:i/>
          <w:sz w:val="22"/>
          <w:szCs w:val="22"/>
          <w:lang w:val="es-ES_tradnl"/>
        </w:rPr>
        <w:t>Regla 3. Alcance.</w:t>
      </w:r>
      <w:r w:rsidRPr="00AC3626">
        <w:rPr>
          <w:i/>
          <w:sz w:val="22"/>
          <w:szCs w:val="22"/>
          <w:lang w:val="es-ES_tradnl"/>
        </w:rPr>
        <w:t xml:space="preserve"> </w:t>
      </w:r>
      <w:r w:rsidR="00004121">
        <w:rPr>
          <w:i/>
          <w:sz w:val="22"/>
          <w:szCs w:val="22"/>
          <w:lang w:val="es-ES_tradnl"/>
        </w:rPr>
        <w:t>Penúltimo</w:t>
      </w:r>
      <w:r w:rsidRPr="00AC3626">
        <w:rPr>
          <w:i/>
          <w:sz w:val="22"/>
          <w:szCs w:val="22"/>
          <w:lang w:val="es-ES_tradnl"/>
        </w:rPr>
        <w:t xml:space="preserve"> párrafo.</w:t>
      </w:r>
    </w:p>
    <w:p w14:paraId="1FDBE6E0" w14:textId="77777777" w:rsidR="00027A69" w:rsidRPr="00AC3626" w:rsidRDefault="00027A69" w:rsidP="00027A69">
      <w:pPr>
        <w:pStyle w:val="Texto"/>
        <w:spacing w:after="80" w:line="221" w:lineRule="exact"/>
        <w:ind w:left="426" w:firstLine="0"/>
        <w:rPr>
          <w:i/>
          <w:sz w:val="22"/>
          <w:szCs w:val="22"/>
          <w:lang w:val="es-ES_tradnl"/>
        </w:rPr>
      </w:pPr>
      <w:r w:rsidRPr="00AC3626">
        <w:rPr>
          <w:b/>
          <w:i/>
          <w:sz w:val="22"/>
          <w:szCs w:val="22"/>
          <w:lang w:val="es-ES_tradnl"/>
        </w:rPr>
        <w:t>Regla 6. Atribuciones</w:t>
      </w:r>
      <w:r w:rsidRPr="00AC3626">
        <w:rPr>
          <w:i/>
          <w:sz w:val="22"/>
          <w:szCs w:val="22"/>
          <w:lang w:val="es-ES_tradnl"/>
        </w:rPr>
        <w:t>. Fracción VII.</w:t>
      </w:r>
    </w:p>
    <w:p w14:paraId="5234F039" w14:textId="77777777" w:rsidR="00027A69" w:rsidRPr="00AC3626" w:rsidRDefault="00027A69" w:rsidP="00027A69">
      <w:pPr>
        <w:pStyle w:val="Texto"/>
        <w:spacing w:after="80" w:line="221" w:lineRule="exact"/>
        <w:ind w:left="426" w:firstLine="0"/>
        <w:rPr>
          <w:i/>
          <w:sz w:val="22"/>
          <w:szCs w:val="22"/>
          <w:lang w:val="es-ES_tradnl"/>
        </w:rPr>
      </w:pPr>
      <w:r w:rsidRPr="00AC3626">
        <w:rPr>
          <w:b/>
          <w:i/>
          <w:sz w:val="22"/>
          <w:szCs w:val="22"/>
          <w:lang w:val="es-ES_tradnl"/>
        </w:rPr>
        <w:lastRenderedPageBreak/>
        <w:t>Regla 13. Derechos de los Usuarios</w:t>
      </w:r>
      <w:r w:rsidRPr="00AC3626">
        <w:rPr>
          <w:i/>
          <w:sz w:val="22"/>
          <w:szCs w:val="22"/>
          <w:lang w:val="es-ES_tradnl"/>
        </w:rPr>
        <w:t>. Fracción XVII.</w:t>
      </w:r>
    </w:p>
    <w:p w14:paraId="53F0942C" w14:textId="5ADBF7FF" w:rsidR="00FC2439" w:rsidRPr="00AC3626" w:rsidRDefault="00027A69" w:rsidP="00027A69">
      <w:pPr>
        <w:pStyle w:val="Texto"/>
        <w:spacing w:after="80" w:line="221" w:lineRule="exact"/>
        <w:ind w:left="426" w:firstLine="0"/>
        <w:rPr>
          <w:b/>
          <w:i/>
          <w:sz w:val="22"/>
          <w:szCs w:val="22"/>
          <w:lang w:val="es-ES_tradnl"/>
        </w:rPr>
      </w:pPr>
      <w:r w:rsidRPr="00AC3626">
        <w:rPr>
          <w:b/>
          <w:i/>
          <w:sz w:val="22"/>
          <w:szCs w:val="22"/>
          <w:lang w:val="es-ES_tradnl"/>
        </w:rPr>
        <w:t>Regla 25 bis</w:t>
      </w:r>
      <w:r w:rsidRPr="00AC3626">
        <w:rPr>
          <w:i/>
          <w:sz w:val="22"/>
          <w:szCs w:val="22"/>
          <w:lang w:val="es-ES_tradnl"/>
        </w:rPr>
        <w:t xml:space="preserve">. </w:t>
      </w:r>
      <w:r w:rsidRPr="00AC3626">
        <w:rPr>
          <w:b/>
          <w:i/>
          <w:sz w:val="22"/>
          <w:szCs w:val="22"/>
          <w:lang w:val="es-ES_tradnl"/>
        </w:rPr>
        <w:t xml:space="preserve">Reporte de Números Provistos a otros Proveedores de Servicios de Telecomunicaciones. </w:t>
      </w:r>
      <w:r w:rsidRPr="00AC3626">
        <w:rPr>
          <w:i/>
          <w:sz w:val="22"/>
          <w:szCs w:val="22"/>
          <w:lang w:val="es-ES_tradnl"/>
        </w:rPr>
        <w:t>Inciso d</w:t>
      </w:r>
      <w:r w:rsidR="00CB0BE4">
        <w:rPr>
          <w:b/>
          <w:i/>
          <w:sz w:val="22"/>
          <w:szCs w:val="22"/>
          <w:lang w:val="es-ES_tradnl"/>
        </w:rPr>
        <w:t>.”</w:t>
      </w:r>
    </w:p>
    <w:p w14:paraId="4F71312D" w14:textId="77777777" w:rsidR="008C7514" w:rsidRPr="00AC3626" w:rsidRDefault="008C7514" w:rsidP="008C7514">
      <w:pPr>
        <w:jc w:val="both"/>
        <w:outlineLvl w:val="1"/>
        <w:rPr>
          <w:rFonts w:ascii="Arial" w:eastAsia="Times New Roman" w:hAnsi="Arial" w:cs="Arial"/>
          <w:b/>
          <w:bCs/>
          <w:sz w:val="22"/>
          <w:szCs w:val="22"/>
        </w:rPr>
      </w:pPr>
    </w:p>
    <w:p w14:paraId="44787958" w14:textId="77777777" w:rsidR="008C7514" w:rsidRPr="00AC3626" w:rsidRDefault="00027A69" w:rsidP="008C7514">
      <w:pPr>
        <w:jc w:val="both"/>
        <w:outlineLvl w:val="1"/>
        <w:rPr>
          <w:rFonts w:ascii="Arial" w:eastAsia="Times New Roman" w:hAnsi="Arial" w:cs="Arial"/>
          <w:bCs/>
          <w:sz w:val="22"/>
          <w:szCs w:val="22"/>
        </w:rPr>
      </w:pPr>
      <w:proofErr w:type="gramStart"/>
      <w:r w:rsidRPr="00AC3626">
        <w:rPr>
          <w:rFonts w:ascii="Arial" w:eastAsia="Times New Roman" w:hAnsi="Arial" w:cs="Arial"/>
          <w:b/>
          <w:bCs/>
          <w:sz w:val="22"/>
          <w:szCs w:val="22"/>
        </w:rPr>
        <w:t>CUARTO</w:t>
      </w:r>
      <w:r w:rsidR="008C7514" w:rsidRPr="00AC3626">
        <w:rPr>
          <w:rFonts w:ascii="Arial" w:eastAsia="Times New Roman" w:hAnsi="Arial" w:cs="Arial"/>
          <w:b/>
          <w:bCs/>
          <w:sz w:val="22"/>
          <w:szCs w:val="22"/>
        </w:rPr>
        <w:t>.-</w:t>
      </w:r>
      <w:proofErr w:type="gramEnd"/>
      <w:r w:rsidR="008C7514" w:rsidRPr="00AC3626">
        <w:rPr>
          <w:rFonts w:ascii="Arial" w:eastAsia="Times New Roman" w:hAnsi="Arial" w:cs="Arial"/>
          <w:b/>
          <w:bCs/>
          <w:sz w:val="22"/>
          <w:szCs w:val="22"/>
        </w:rPr>
        <w:t xml:space="preserve"> </w:t>
      </w:r>
      <w:r w:rsidR="008C7514" w:rsidRPr="00AC3626">
        <w:rPr>
          <w:rFonts w:ascii="Arial" w:eastAsia="Times New Roman" w:hAnsi="Arial" w:cs="Arial"/>
          <w:bCs/>
          <w:sz w:val="22"/>
          <w:szCs w:val="22"/>
        </w:rPr>
        <w:t>Publíquese el presente Acuerdo en el Diario Oficial de la Federación.</w:t>
      </w:r>
    </w:p>
    <w:p w14:paraId="5CD3F152" w14:textId="77777777" w:rsidR="008C7514" w:rsidRPr="00AC3626" w:rsidRDefault="008C7514" w:rsidP="008C7514">
      <w:pPr>
        <w:jc w:val="both"/>
        <w:outlineLvl w:val="1"/>
        <w:rPr>
          <w:rFonts w:ascii="Arial" w:eastAsia="Times New Roman" w:hAnsi="Arial" w:cs="Arial"/>
          <w:b/>
          <w:bCs/>
          <w:sz w:val="22"/>
          <w:szCs w:val="22"/>
        </w:rPr>
      </w:pPr>
    </w:p>
    <w:p w14:paraId="49DDB426" w14:textId="77777777" w:rsidR="008C7514" w:rsidRPr="00AC3626" w:rsidRDefault="008C7514" w:rsidP="008C7514">
      <w:pPr>
        <w:jc w:val="both"/>
        <w:rPr>
          <w:rFonts w:ascii="Arial" w:hAnsi="Arial" w:cs="Arial"/>
          <w:sz w:val="22"/>
          <w:szCs w:val="22"/>
          <w:lang w:val="es-ES"/>
        </w:rPr>
      </w:pPr>
    </w:p>
    <w:p w14:paraId="5954FC15" w14:textId="77777777" w:rsidR="008C7514" w:rsidRPr="00AC3626" w:rsidRDefault="008C7514" w:rsidP="008C7514">
      <w:pPr>
        <w:rPr>
          <w:rFonts w:ascii="Arial" w:hAnsi="Arial" w:cs="Arial"/>
          <w:sz w:val="22"/>
          <w:szCs w:val="22"/>
        </w:rPr>
      </w:pPr>
    </w:p>
    <w:p w14:paraId="2C578926" w14:textId="77777777" w:rsidR="008C7514" w:rsidRPr="00AC3626" w:rsidRDefault="008C7514" w:rsidP="008C7514">
      <w:pPr>
        <w:jc w:val="both"/>
        <w:rPr>
          <w:rFonts w:ascii="Arial" w:hAnsi="Arial" w:cs="Arial"/>
          <w:sz w:val="22"/>
          <w:szCs w:val="22"/>
          <w:lang w:val="es-ES"/>
        </w:rPr>
      </w:pPr>
    </w:p>
    <w:p w14:paraId="35353047" w14:textId="77777777" w:rsidR="008C7514" w:rsidRPr="00AC3626" w:rsidRDefault="008C7514" w:rsidP="008C7514">
      <w:pPr>
        <w:jc w:val="both"/>
        <w:rPr>
          <w:rFonts w:ascii="Arial" w:hAnsi="Arial" w:cs="Arial"/>
          <w:sz w:val="22"/>
          <w:szCs w:val="22"/>
          <w:lang w:val="es-ES"/>
        </w:rPr>
      </w:pPr>
    </w:p>
    <w:p w14:paraId="5489D37B" w14:textId="77777777" w:rsidR="008C7514" w:rsidRPr="00AC3626" w:rsidRDefault="008C7514" w:rsidP="008C7514">
      <w:pPr>
        <w:jc w:val="both"/>
        <w:rPr>
          <w:rFonts w:ascii="Arial" w:hAnsi="Arial" w:cs="Arial"/>
          <w:sz w:val="22"/>
          <w:szCs w:val="22"/>
          <w:lang w:val="es-ES"/>
        </w:rPr>
      </w:pPr>
    </w:p>
    <w:p w14:paraId="1A811ECC" w14:textId="77777777" w:rsidR="008C7514" w:rsidRPr="00AC3626" w:rsidRDefault="008C7514" w:rsidP="008C7514">
      <w:pPr>
        <w:tabs>
          <w:tab w:val="left" w:pos="284"/>
          <w:tab w:val="left" w:pos="426"/>
        </w:tabs>
        <w:autoSpaceDE w:val="0"/>
        <w:autoSpaceDN w:val="0"/>
        <w:adjustRightInd w:val="0"/>
        <w:jc w:val="both"/>
        <w:rPr>
          <w:rFonts w:ascii="Arial" w:hAnsi="Arial" w:cs="Arial"/>
          <w:b/>
          <w:sz w:val="22"/>
          <w:szCs w:val="22"/>
          <w:lang w:val="es-ES"/>
        </w:rPr>
      </w:pPr>
    </w:p>
    <w:p w14:paraId="66874B47" w14:textId="77777777" w:rsidR="008C7514" w:rsidRPr="00AC3626" w:rsidRDefault="008C7514" w:rsidP="008C7514">
      <w:pPr>
        <w:jc w:val="both"/>
        <w:outlineLvl w:val="0"/>
        <w:rPr>
          <w:rFonts w:ascii="Arial" w:eastAsia="Times New Roman" w:hAnsi="Arial" w:cs="Arial"/>
          <w:b/>
          <w:bCs/>
          <w:kern w:val="36"/>
          <w:sz w:val="22"/>
          <w:szCs w:val="22"/>
        </w:rPr>
      </w:pPr>
    </w:p>
    <w:p w14:paraId="6F5FD475" w14:textId="77777777" w:rsidR="008C7514" w:rsidRPr="00AC3626" w:rsidRDefault="008C7514" w:rsidP="008C7514">
      <w:pPr>
        <w:rPr>
          <w:rFonts w:ascii="Arial" w:hAnsi="Arial" w:cs="Arial"/>
          <w:sz w:val="22"/>
          <w:szCs w:val="22"/>
        </w:rPr>
      </w:pPr>
    </w:p>
    <w:p w14:paraId="4A667B66" w14:textId="77777777" w:rsidR="005B26C5" w:rsidRPr="00AC3626" w:rsidRDefault="005B26C5">
      <w:pPr>
        <w:rPr>
          <w:rFonts w:ascii="Arial" w:hAnsi="Arial" w:cs="Arial"/>
          <w:sz w:val="22"/>
          <w:szCs w:val="22"/>
        </w:rPr>
      </w:pPr>
    </w:p>
    <w:sectPr w:rsidR="005B26C5" w:rsidRPr="00AC3626" w:rsidSect="007F085C">
      <w:headerReference w:type="even" r:id="rId11"/>
      <w:headerReference w:type="default" r:id="rId12"/>
      <w:footerReference w:type="even" r:id="rId13"/>
      <w:footerReference w:type="default" r:id="rId14"/>
      <w:headerReference w:type="first" r:id="rId15"/>
      <w:footerReference w:type="first" r:id="rId16"/>
      <w:pgSz w:w="12240" w:h="15840"/>
      <w:pgMar w:top="2268"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50C90" w16cid:durableId="1FB6943F"/>
  <w16cid:commentId w16cid:paraId="33344CDE" w16cid:durableId="1FB6945C"/>
  <w16cid:commentId w16cid:paraId="5671287D" w16cid:durableId="1FB694A2"/>
  <w16cid:commentId w16cid:paraId="6C4B96D9" w16cid:durableId="1FB68F4E"/>
  <w16cid:commentId w16cid:paraId="0E3B8AFD" w16cid:durableId="1FB6988D"/>
  <w16cid:commentId w16cid:paraId="155E22D7" w16cid:durableId="1FB69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7C1C" w14:textId="77777777" w:rsidR="00BB33F3" w:rsidRDefault="00BB33F3">
      <w:r>
        <w:separator/>
      </w:r>
    </w:p>
  </w:endnote>
  <w:endnote w:type="continuationSeparator" w:id="0">
    <w:p w14:paraId="508BB87A" w14:textId="77777777" w:rsidR="00BB33F3" w:rsidRDefault="00BB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alibri"/>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0CFE" w14:textId="77777777" w:rsidR="005C2E37" w:rsidRDefault="005C2E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06928"/>
      <w:docPartObj>
        <w:docPartGallery w:val="Page Numbers (Bottom of Page)"/>
        <w:docPartUnique/>
      </w:docPartObj>
    </w:sdtPr>
    <w:sdtEndPr>
      <w:rPr>
        <w:rFonts w:ascii="ITC Avant Garde" w:hAnsi="ITC Avant Garde"/>
        <w:sz w:val="16"/>
        <w:szCs w:val="16"/>
      </w:rPr>
    </w:sdtEndPr>
    <w:sdtContent>
      <w:p w14:paraId="38DEBD68" w14:textId="46B56E8B" w:rsidR="003A57D3" w:rsidRPr="00AC1FA3" w:rsidRDefault="008C7514">
        <w:pPr>
          <w:pStyle w:val="Piedepgina"/>
          <w:jc w:val="right"/>
          <w:rPr>
            <w:rFonts w:ascii="ITC Avant Garde" w:hAnsi="ITC Avant Garde"/>
            <w:sz w:val="16"/>
            <w:szCs w:val="16"/>
          </w:rPr>
        </w:pPr>
        <w:r w:rsidRPr="00B26FB1">
          <w:rPr>
            <w:rFonts w:ascii="ITC Avant Garde" w:hAnsi="ITC Avant Garde"/>
            <w:sz w:val="16"/>
            <w:szCs w:val="16"/>
          </w:rPr>
          <w:fldChar w:fldCharType="begin"/>
        </w:r>
        <w:r w:rsidRPr="00B26FB1">
          <w:rPr>
            <w:rFonts w:ascii="ITC Avant Garde" w:hAnsi="ITC Avant Garde"/>
            <w:sz w:val="16"/>
            <w:szCs w:val="16"/>
          </w:rPr>
          <w:instrText xml:space="preserve"> PAGE </w:instrText>
        </w:r>
        <w:r w:rsidRPr="00B26FB1">
          <w:rPr>
            <w:rFonts w:ascii="ITC Avant Garde" w:hAnsi="ITC Avant Garde"/>
            <w:sz w:val="16"/>
            <w:szCs w:val="16"/>
          </w:rPr>
          <w:fldChar w:fldCharType="separate"/>
        </w:r>
        <w:r w:rsidR="00413AE5">
          <w:rPr>
            <w:rFonts w:ascii="ITC Avant Garde" w:hAnsi="ITC Avant Garde"/>
            <w:noProof/>
            <w:sz w:val="16"/>
            <w:szCs w:val="16"/>
          </w:rPr>
          <w:t>12</w:t>
        </w:r>
        <w:r w:rsidRPr="00B26FB1">
          <w:rPr>
            <w:rFonts w:ascii="ITC Avant Garde" w:hAnsi="ITC Avant Garde"/>
            <w:sz w:val="16"/>
            <w:szCs w:val="16"/>
          </w:rPr>
          <w:fldChar w:fldCharType="end"/>
        </w:r>
        <w:r>
          <w:rPr>
            <w:rFonts w:ascii="ITC Avant Garde" w:hAnsi="ITC Avant Garde"/>
            <w:sz w:val="16"/>
            <w:szCs w:val="16"/>
          </w:rPr>
          <w:t xml:space="preserve"> /</w:t>
        </w:r>
        <w:r w:rsidRPr="00B26FB1">
          <w:rPr>
            <w:rFonts w:ascii="ITC Avant Garde" w:hAnsi="ITC Avant Garde"/>
            <w:sz w:val="16"/>
            <w:szCs w:val="16"/>
          </w:rPr>
          <w:t xml:space="preserve"> </w:t>
        </w:r>
        <w:r w:rsidRPr="00B26FB1">
          <w:rPr>
            <w:rFonts w:ascii="ITC Avant Garde" w:hAnsi="ITC Avant Garde"/>
            <w:sz w:val="16"/>
            <w:szCs w:val="16"/>
          </w:rPr>
          <w:fldChar w:fldCharType="begin"/>
        </w:r>
        <w:r w:rsidRPr="00B26FB1">
          <w:rPr>
            <w:rFonts w:ascii="ITC Avant Garde" w:hAnsi="ITC Avant Garde"/>
            <w:sz w:val="16"/>
            <w:szCs w:val="16"/>
          </w:rPr>
          <w:instrText xml:space="preserve"> NUMPAGES </w:instrText>
        </w:r>
        <w:r w:rsidRPr="00B26FB1">
          <w:rPr>
            <w:rFonts w:ascii="ITC Avant Garde" w:hAnsi="ITC Avant Garde"/>
            <w:sz w:val="16"/>
            <w:szCs w:val="16"/>
          </w:rPr>
          <w:fldChar w:fldCharType="separate"/>
        </w:r>
        <w:r w:rsidR="00413AE5">
          <w:rPr>
            <w:rFonts w:ascii="ITC Avant Garde" w:hAnsi="ITC Avant Garde"/>
            <w:noProof/>
            <w:sz w:val="16"/>
            <w:szCs w:val="16"/>
          </w:rPr>
          <w:t>12</w:t>
        </w:r>
        <w:r w:rsidRPr="00B26FB1">
          <w:rPr>
            <w:rFonts w:ascii="ITC Avant Garde" w:hAnsi="ITC Avant Garde"/>
            <w:sz w:val="16"/>
            <w:szCs w:val="16"/>
          </w:rPr>
          <w:fldChar w:fldCharType="end"/>
        </w:r>
      </w:p>
    </w:sdtContent>
  </w:sdt>
  <w:p w14:paraId="54150C55" w14:textId="77777777" w:rsidR="003A57D3" w:rsidRPr="00E50F9A" w:rsidRDefault="00BB33F3" w:rsidP="007F085C">
    <w:pPr>
      <w:pStyle w:val="Piedepgina"/>
      <w:jc w:val="center"/>
      <w:rPr>
        <w:rFonts w:ascii="ITC Avant Garde" w:hAnsi="ITC Avant Gar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FEDD" w14:textId="77777777" w:rsidR="005C2E37" w:rsidRDefault="005C2E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7B34" w14:textId="77777777" w:rsidR="00BB33F3" w:rsidRDefault="00BB33F3">
      <w:r>
        <w:separator/>
      </w:r>
    </w:p>
  </w:footnote>
  <w:footnote w:type="continuationSeparator" w:id="0">
    <w:p w14:paraId="2D8BCDD0" w14:textId="77777777" w:rsidR="00BB33F3" w:rsidRDefault="00BB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B693" w14:textId="1C05D1DE" w:rsidR="005C2E37" w:rsidRDefault="005C2E37">
    <w:pPr>
      <w:pStyle w:val="Encabezado"/>
    </w:pPr>
    <w:r>
      <w:rPr>
        <w:noProof/>
      </w:rPr>
      <w:pict w14:anchorId="4FB98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9704"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0EEA" w14:textId="2FA326E3" w:rsidR="005C2E37" w:rsidRDefault="005C2E37">
    <w:pPr>
      <w:pStyle w:val="Encabezado"/>
    </w:pPr>
    <w:r>
      <w:rPr>
        <w:noProof/>
      </w:rPr>
      <w:pict w14:anchorId="6E759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9705"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58EC" w14:textId="702A3EF0" w:rsidR="005C2E37" w:rsidRDefault="005C2E37">
    <w:pPr>
      <w:pStyle w:val="Encabezado"/>
    </w:pPr>
    <w:r>
      <w:rPr>
        <w:noProof/>
      </w:rPr>
      <w:pict w14:anchorId="6CD2D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269703"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9D"/>
    <w:multiLevelType w:val="hybridMultilevel"/>
    <w:tmpl w:val="F34436B2"/>
    <w:lvl w:ilvl="0" w:tplc="D1A89F0E">
      <w:start w:val="1"/>
      <w:numFmt w:val="decimal"/>
      <w:lvlText w:val="%1."/>
      <w:lvlJc w:val="left"/>
      <w:pPr>
        <w:ind w:left="6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FA6BCC"/>
    <w:multiLevelType w:val="hybridMultilevel"/>
    <w:tmpl w:val="F7D07688"/>
    <w:lvl w:ilvl="0" w:tplc="5EE2606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65239D9"/>
    <w:multiLevelType w:val="hybridMultilevel"/>
    <w:tmpl w:val="939C638A"/>
    <w:lvl w:ilvl="0" w:tplc="29867F4E">
      <w:start w:val="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53F48"/>
    <w:multiLevelType w:val="hybridMultilevel"/>
    <w:tmpl w:val="E3A4C90E"/>
    <w:lvl w:ilvl="0" w:tplc="FDD2150E">
      <w:start w:val="16"/>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A02AA"/>
    <w:multiLevelType w:val="hybridMultilevel"/>
    <w:tmpl w:val="76508034"/>
    <w:lvl w:ilvl="0" w:tplc="EFA64D4C">
      <w:start w:val="19"/>
      <w:numFmt w:val="decimal"/>
      <w:lvlText w:val="%1."/>
      <w:lvlJc w:val="left"/>
      <w:pPr>
        <w:ind w:left="69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95E53"/>
    <w:multiLevelType w:val="hybridMultilevel"/>
    <w:tmpl w:val="9C2A6570"/>
    <w:lvl w:ilvl="0" w:tplc="6B16A6C4">
      <w:start w:val="13"/>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85803"/>
    <w:multiLevelType w:val="hybridMultilevel"/>
    <w:tmpl w:val="3316430C"/>
    <w:lvl w:ilvl="0" w:tplc="93222948">
      <w:start w:val="1"/>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3943C1E"/>
    <w:multiLevelType w:val="hybridMultilevel"/>
    <w:tmpl w:val="20ACD01A"/>
    <w:lvl w:ilvl="0" w:tplc="EE6C2914">
      <w:start w:val="12"/>
      <w:numFmt w:val="decimal"/>
      <w:lvlText w:val="%1."/>
      <w:lvlJc w:val="left"/>
      <w:pPr>
        <w:ind w:left="7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CD6E1A"/>
    <w:multiLevelType w:val="hybridMultilevel"/>
    <w:tmpl w:val="BAD29F86"/>
    <w:lvl w:ilvl="0" w:tplc="62164418">
      <w:start w:val="6"/>
      <w:numFmt w:val="decimal"/>
      <w:lvlText w:val="%1."/>
      <w:lvlJc w:val="left"/>
      <w:pPr>
        <w:ind w:left="6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1555AA"/>
    <w:multiLevelType w:val="hybridMultilevel"/>
    <w:tmpl w:val="55F40672"/>
    <w:lvl w:ilvl="0" w:tplc="F91C4A56">
      <w:start w:val="2"/>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2B1099"/>
    <w:multiLevelType w:val="hybridMultilevel"/>
    <w:tmpl w:val="BB2636D2"/>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11" w15:restartNumberingAfterBreak="0">
    <w:nsid w:val="256120C9"/>
    <w:multiLevelType w:val="hybridMultilevel"/>
    <w:tmpl w:val="81F28DCE"/>
    <w:lvl w:ilvl="0" w:tplc="99E42F64">
      <w:start w:val="1"/>
      <w:numFmt w:val="decimal"/>
      <w:lvlText w:val="%1."/>
      <w:lvlJc w:val="left"/>
      <w:pPr>
        <w:ind w:left="1418" w:hanging="360"/>
      </w:pPr>
      <w:rPr>
        <w:b/>
      </w:r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12" w15:restartNumberingAfterBreak="0">
    <w:nsid w:val="25B66875"/>
    <w:multiLevelType w:val="hybridMultilevel"/>
    <w:tmpl w:val="F42CDE0C"/>
    <w:lvl w:ilvl="0" w:tplc="87D206B0">
      <w:start w:val="3"/>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64D24B0"/>
    <w:multiLevelType w:val="hybridMultilevel"/>
    <w:tmpl w:val="4DC266AC"/>
    <w:lvl w:ilvl="0" w:tplc="080A000F">
      <w:start w:val="1"/>
      <w:numFmt w:val="decimal"/>
      <w:lvlText w:val="%1."/>
      <w:lvlJc w:val="left"/>
      <w:pPr>
        <w:ind w:left="1058" w:hanging="360"/>
      </w:p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14" w15:restartNumberingAfterBreak="0">
    <w:nsid w:val="2E857014"/>
    <w:multiLevelType w:val="hybridMultilevel"/>
    <w:tmpl w:val="1B944CD0"/>
    <w:lvl w:ilvl="0" w:tplc="B88EA41C">
      <w:start w:val="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5D0B21"/>
    <w:multiLevelType w:val="hybridMultilevel"/>
    <w:tmpl w:val="22D6D612"/>
    <w:lvl w:ilvl="0" w:tplc="75AEF696">
      <w:start w:val="6"/>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6E18C3"/>
    <w:multiLevelType w:val="hybridMultilevel"/>
    <w:tmpl w:val="CA72F690"/>
    <w:lvl w:ilvl="0" w:tplc="B4802AD2">
      <w:start w:val="7"/>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D81415"/>
    <w:multiLevelType w:val="hybridMultilevel"/>
    <w:tmpl w:val="BE320C22"/>
    <w:lvl w:ilvl="0" w:tplc="B816CC66">
      <w:start w:val="1"/>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07BDB"/>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275DE"/>
    <w:multiLevelType w:val="hybridMultilevel"/>
    <w:tmpl w:val="258E00F8"/>
    <w:lvl w:ilvl="0" w:tplc="792612F4">
      <w:start w:val="4"/>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F720C7"/>
    <w:multiLevelType w:val="hybridMultilevel"/>
    <w:tmpl w:val="815AC666"/>
    <w:lvl w:ilvl="0" w:tplc="BA887772">
      <w:start w:val="16"/>
      <w:numFmt w:val="decimal"/>
      <w:lvlText w:val="%1."/>
      <w:lvlJc w:val="left"/>
      <w:pPr>
        <w:ind w:left="69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CD78E6"/>
    <w:multiLevelType w:val="hybridMultilevel"/>
    <w:tmpl w:val="E38AC518"/>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23" w15:restartNumberingAfterBreak="0">
    <w:nsid w:val="41354DC2"/>
    <w:multiLevelType w:val="hybridMultilevel"/>
    <w:tmpl w:val="3CDADE2C"/>
    <w:lvl w:ilvl="0" w:tplc="E15E9576">
      <w:start w:val="14"/>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0E27"/>
    <w:multiLevelType w:val="hybridMultilevel"/>
    <w:tmpl w:val="BE9E22F4"/>
    <w:lvl w:ilvl="0" w:tplc="E08E2D34">
      <w:start w:val="11"/>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245A6"/>
    <w:multiLevelType w:val="hybridMultilevel"/>
    <w:tmpl w:val="C40453E2"/>
    <w:lvl w:ilvl="0" w:tplc="080A0013">
      <w:start w:val="1"/>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04239FE"/>
    <w:multiLevelType w:val="hybridMultilevel"/>
    <w:tmpl w:val="1ED6729E"/>
    <w:lvl w:ilvl="0" w:tplc="F9389ED4">
      <w:start w:val="12"/>
      <w:numFmt w:val="decimal"/>
      <w:lvlText w:val="%1."/>
      <w:lvlJc w:val="left"/>
      <w:pPr>
        <w:ind w:left="69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E069F"/>
    <w:multiLevelType w:val="hybridMultilevel"/>
    <w:tmpl w:val="7FB6D304"/>
    <w:lvl w:ilvl="0" w:tplc="0A6047A6">
      <w:start w:val="9"/>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6F5508"/>
    <w:multiLevelType w:val="hybridMultilevel"/>
    <w:tmpl w:val="D2408A94"/>
    <w:lvl w:ilvl="0" w:tplc="0B6EDE08">
      <w:start w:val="4"/>
      <w:numFmt w:val="decimal"/>
      <w:lvlText w:val="%1."/>
      <w:lvlJc w:val="left"/>
      <w:pPr>
        <w:ind w:left="798" w:hanging="360"/>
      </w:pPr>
      <w:rPr>
        <w:rFonts w:hint="default"/>
        <w:b/>
      </w:rPr>
    </w:lvl>
    <w:lvl w:ilvl="1" w:tplc="0C0A0019" w:tentative="1">
      <w:start w:val="1"/>
      <w:numFmt w:val="lowerLetter"/>
      <w:lvlText w:val="%2."/>
      <w:lvlJc w:val="left"/>
      <w:pPr>
        <w:ind w:left="1518" w:hanging="360"/>
      </w:pPr>
    </w:lvl>
    <w:lvl w:ilvl="2" w:tplc="0C0A001B" w:tentative="1">
      <w:start w:val="1"/>
      <w:numFmt w:val="lowerRoman"/>
      <w:lvlText w:val="%3."/>
      <w:lvlJc w:val="right"/>
      <w:pPr>
        <w:ind w:left="2238" w:hanging="180"/>
      </w:pPr>
    </w:lvl>
    <w:lvl w:ilvl="3" w:tplc="0C0A000F" w:tentative="1">
      <w:start w:val="1"/>
      <w:numFmt w:val="decimal"/>
      <w:lvlText w:val="%4."/>
      <w:lvlJc w:val="left"/>
      <w:pPr>
        <w:ind w:left="2958" w:hanging="360"/>
      </w:pPr>
    </w:lvl>
    <w:lvl w:ilvl="4" w:tplc="0C0A0019" w:tentative="1">
      <w:start w:val="1"/>
      <w:numFmt w:val="lowerLetter"/>
      <w:lvlText w:val="%5."/>
      <w:lvlJc w:val="left"/>
      <w:pPr>
        <w:ind w:left="3678" w:hanging="360"/>
      </w:pPr>
    </w:lvl>
    <w:lvl w:ilvl="5" w:tplc="0C0A001B" w:tentative="1">
      <w:start w:val="1"/>
      <w:numFmt w:val="lowerRoman"/>
      <w:lvlText w:val="%6."/>
      <w:lvlJc w:val="right"/>
      <w:pPr>
        <w:ind w:left="4398" w:hanging="180"/>
      </w:pPr>
    </w:lvl>
    <w:lvl w:ilvl="6" w:tplc="0C0A000F" w:tentative="1">
      <w:start w:val="1"/>
      <w:numFmt w:val="decimal"/>
      <w:lvlText w:val="%7."/>
      <w:lvlJc w:val="left"/>
      <w:pPr>
        <w:ind w:left="5118" w:hanging="360"/>
      </w:pPr>
    </w:lvl>
    <w:lvl w:ilvl="7" w:tplc="0C0A0019" w:tentative="1">
      <w:start w:val="1"/>
      <w:numFmt w:val="lowerLetter"/>
      <w:lvlText w:val="%8."/>
      <w:lvlJc w:val="left"/>
      <w:pPr>
        <w:ind w:left="5838" w:hanging="360"/>
      </w:pPr>
    </w:lvl>
    <w:lvl w:ilvl="8" w:tplc="0C0A001B" w:tentative="1">
      <w:start w:val="1"/>
      <w:numFmt w:val="lowerRoman"/>
      <w:lvlText w:val="%9."/>
      <w:lvlJc w:val="right"/>
      <w:pPr>
        <w:ind w:left="6558" w:hanging="180"/>
      </w:pPr>
    </w:lvl>
  </w:abstractNum>
  <w:abstractNum w:abstractNumId="29" w15:restartNumberingAfterBreak="0">
    <w:nsid w:val="596E2761"/>
    <w:multiLevelType w:val="hybridMultilevel"/>
    <w:tmpl w:val="BCCA0B1A"/>
    <w:lvl w:ilvl="0" w:tplc="F3A6B086">
      <w:start w:val="6"/>
      <w:numFmt w:val="decimal"/>
      <w:lvlText w:val="%1."/>
      <w:lvlJc w:val="left"/>
      <w:pPr>
        <w:ind w:left="79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06408E"/>
    <w:multiLevelType w:val="hybridMultilevel"/>
    <w:tmpl w:val="F7D07688"/>
    <w:lvl w:ilvl="0" w:tplc="5EE2606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617058BA"/>
    <w:multiLevelType w:val="hybridMultilevel"/>
    <w:tmpl w:val="11AEAAD8"/>
    <w:lvl w:ilvl="0" w:tplc="F36AAF50">
      <w:start w:val="1"/>
      <w:numFmt w:val="decimal"/>
      <w:lvlText w:val="%1."/>
      <w:lvlJc w:val="left"/>
      <w:pPr>
        <w:ind w:left="698" w:hanging="360"/>
      </w:pPr>
      <w:rPr>
        <w:rFonts w:hint="default"/>
      </w:rPr>
    </w:lvl>
    <w:lvl w:ilvl="1" w:tplc="0C0A0019" w:tentative="1">
      <w:start w:val="1"/>
      <w:numFmt w:val="lowerLetter"/>
      <w:lvlText w:val="%2."/>
      <w:lvlJc w:val="left"/>
      <w:pPr>
        <w:ind w:left="1418" w:hanging="360"/>
      </w:pPr>
    </w:lvl>
    <w:lvl w:ilvl="2" w:tplc="0C0A001B" w:tentative="1">
      <w:start w:val="1"/>
      <w:numFmt w:val="lowerRoman"/>
      <w:lvlText w:val="%3."/>
      <w:lvlJc w:val="right"/>
      <w:pPr>
        <w:ind w:left="2138" w:hanging="180"/>
      </w:pPr>
    </w:lvl>
    <w:lvl w:ilvl="3" w:tplc="0C0A000F" w:tentative="1">
      <w:start w:val="1"/>
      <w:numFmt w:val="decimal"/>
      <w:lvlText w:val="%4."/>
      <w:lvlJc w:val="left"/>
      <w:pPr>
        <w:ind w:left="2858" w:hanging="360"/>
      </w:pPr>
    </w:lvl>
    <w:lvl w:ilvl="4" w:tplc="0C0A0019" w:tentative="1">
      <w:start w:val="1"/>
      <w:numFmt w:val="lowerLetter"/>
      <w:lvlText w:val="%5."/>
      <w:lvlJc w:val="left"/>
      <w:pPr>
        <w:ind w:left="3578" w:hanging="360"/>
      </w:pPr>
    </w:lvl>
    <w:lvl w:ilvl="5" w:tplc="0C0A001B" w:tentative="1">
      <w:start w:val="1"/>
      <w:numFmt w:val="lowerRoman"/>
      <w:lvlText w:val="%6."/>
      <w:lvlJc w:val="right"/>
      <w:pPr>
        <w:ind w:left="4298" w:hanging="180"/>
      </w:pPr>
    </w:lvl>
    <w:lvl w:ilvl="6" w:tplc="0C0A000F" w:tentative="1">
      <w:start w:val="1"/>
      <w:numFmt w:val="decimal"/>
      <w:lvlText w:val="%7."/>
      <w:lvlJc w:val="left"/>
      <w:pPr>
        <w:ind w:left="5018" w:hanging="360"/>
      </w:pPr>
    </w:lvl>
    <w:lvl w:ilvl="7" w:tplc="0C0A0019" w:tentative="1">
      <w:start w:val="1"/>
      <w:numFmt w:val="lowerLetter"/>
      <w:lvlText w:val="%8."/>
      <w:lvlJc w:val="left"/>
      <w:pPr>
        <w:ind w:left="5738" w:hanging="360"/>
      </w:pPr>
    </w:lvl>
    <w:lvl w:ilvl="8" w:tplc="0C0A001B" w:tentative="1">
      <w:start w:val="1"/>
      <w:numFmt w:val="lowerRoman"/>
      <w:lvlText w:val="%9."/>
      <w:lvlJc w:val="right"/>
      <w:pPr>
        <w:ind w:left="6458" w:hanging="180"/>
      </w:pPr>
    </w:lvl>
  </w:abstractNum>
  <w:abstractNum w:abstractNumId="32" w15:restartNumberingAfterBreak="0">
    <w:nsid w:val="63516013"/>
    <w:multiLevelType w:val="hybridMultilevel"/>
    <w:tmpl w:val="4F76EAEC"/>
    <w:lvl w:ilvl="0" w:tplc="FD56523A">
      <w:start w:val="2"/>
      <w:numFmt w:val="decimal"/>
      <w:lvlText w:val="%1."/>
      <w:lvlJc w:val="left"/>
      <w:pPr>
        <w:ind w:left="141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A93315"/>
    <w:multiLevelType w:val="hybridMultilevel"/>
    <w:tmpl w:val="E79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976F7A"/>
    <w:multiLevelType w:val="hybridMultilevel"/>
    <w:tmpl w:val="C65A1D0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15:restartNumberingAfterBreak="0">
    <w:nsid w:val="74BC15F2"/>
    <w:multiLevelType w:val="hybridMultilevel"/>
    <w:tmpl w:val="4DD8E45E"/>
    <w:lvl w:ilvl="0" w:tplc="005AE8EA">
      <w:start w:val="19"/>
      <w:numFmt w:val="decimal"/>
      <w:lvlText w:val="%1."/>
      <w:lvlJc w:val="left"/>
      <w:pPr>
        <w:ind w:left="6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F885E4B"/>
    <w:multiLevelType w:val="hybridMultilevel"/>
    <w:tmpl w:val="6442BE4C"/>
    <w:lvl w:ilvl="0" w:tplc="080A000F">
      <w:start w:val="1"/>
      <w:numFmt w:val="decimal"/>
      <w:lvlText w:val="%1."/>
      <w:lvlJc w:val="left"/>
      <w:pPr>
        <w:ind w:left="1418" w:hanging="360"/>
      </w:p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num w:numId="1">
    <w:abstractNumId w:val="25"/>
  </w:num>
  <w:num w:numId="2">
    <w:abstractNumId w:val="33"/>
  </w:num>
  <w:num w:numId="3">
    <w:abstractNumId w:val="6"/>
  </w:num>
  <w:num w:numId="4">
    <w:abstractNumId w:val="30"/>
  </w:num>
  <w:num w:numId="5">
    <w:abstractNumId w:val="1"/>
  </w:num>
  <w:num w:numId="6">
    <w:abstractNumId w:val="12"/>
  </w:num>
  <w:num w:numId="7">
    <w:abstractNumId w:val="21"/>
  </w:num>
  <w:num w:numId="8">
    <w:abstractNumId w:val="18"/>
  </w:num>
  <w:num w:numId="9">
    <w:abstractNumId w:val="10"/>
  </w:num>
  <w:num w:numId="10">
    <w:abstractNumId w:val="31"/>
  </w:num>
  <w:num w:numId="11">
    <w:abstractNumId w:val="28"/>
  </w:num>
  <w:num w:numId="12">
    <w:abstractNumId w:val="29"/>
  </w:num>
  <w:num w:numId="13">
    <w:abstractNumId w:val="7"/>
  </w:num>
  <w:num w:numId="14">
    <w:abstractNumId w:val="22"/>
  </w:num>
  <w:num w:numId="15">
    <w:abstractNumId w:val="0"/>
  </w:num>
  <w:num w:numId="16">
    <w:abstractNumId w:val="8"/>
  </w:num>
  <w:num w:numId="17">
    <w:abstractNumId w:val="3"/>
  </w:num>
  <w:num w:numId="18">
    <w:abstractNumId w:val="35"/>
  </w:num>
  <w:num w:numId="19">
    <w:abstractNumId w:val="17"/>
  </w:num>
  <w:num w:numId="20">
    <w:abstractNumId w:val="19"/>
  </w:num>
  <w:num w:numId="21">
    <w:abstractNumId w:val="26"/>
  </w:num>
  <w:num w:numId="22">
    <w:abstractNumId w:val="5"/>
  </w:num>
  <w:num w:numId="23">
    <w:abstractNumId w:val="11"/>
  </w:num>
  <w:num w:numId="24">
    <w:abstractNumId w:val="36"/>
  </w:num>
  <w:num w:numId="25">
    <w:abstractNumId w:val="34"/>
  </w:num>
  <w:num w:numId="26">
    <w:abstractNumId w:val="16"/>
  </w:num>
  <w:num w:numId="27">
    <w:abstractNumId w:val="23"/>
  </w:num>
  <w:num w:numId="28">
    <w:abstractNumId w:val="9"/>
  </w:num>
  <w:num w:numId="29">
    <w:abstractNumId w:val="14"/>
  </w:num>
  <w:num w:numId="30">
    <w:abstractNumId w:val="15"/>
  </w:num>
  <w:num w:numId="31">
    <w:abstractNumId w:val="24"/>
  </w:num>
  <w:num w:numId="32">
    <w:abstractNumId w:val="20"/>
  </w:num>
  <w:num w:numId="33">
    <w:abstractNumId w:val="4"/>
  </w:num>
  <w:num w:numId="34">
    <w:abstractNumId w:val="13"/>
  </w:num>
  <w:num w:numId="35">
    <w:abstractNumId w:val="32"/>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14"/>
    <w:rsid w:val="00004121"/>
    <w:rsid w:val="00010820"/>
    <w:rsid w:val="0002131C"/>
    <w:rsid w:val="000222BA"/>
    <w:rsid w:val="00027A69"/>
    <w:rsid w:val="000310FE"/>
    <w:rsid w:val="0004694E"/>
    <w:rsid w:val="00051A3B"/>
    <w:rsid w:val="00067528"/>
    <w:rsid w:val="000748B1"/>
    <w:rsid w:val="000809B3"/>
    <w:rsid w:val="000854BB"/>
    <w:rsid w:val="00091FE4"/>
    <w:rsid w:val="0009377A"/>
    <w:rsid w:val="000A5224"/>
    <w:rsid w:val="000C2F4F"/>
    <w:rsid w:val="001025F2"/>
    <w:rsid w:val="00104E7C"/>
    <w:rsid w:val="001133DE"/>
    <w:rsid w:val="0011627A"/>
    <w:rsid w:val="001322E6"/>
    <w:rsid w:val="001325D5"/>
    <w:rsid w:val="00137EC1"/>
    <w:rsid w:val="00140C80"/>
    <w:rsid w:val="001665CD"/>
    <w:rsid w:val="00177DC3"/>
    <w:rsid w:val="00185614"/>
    <w:rsid w:val="00193678"/>
    <w:rsid w:val="001942C0"/>
    <w:rsid w:val="001A1806"/>
    <w:rsid w:val="001A431A"/>
    <w:rsid w:val="001A6032"/>
    <w:rsid w:val="001B6EA8"/>
    <w:rsid w:val="001E19DC"/>
    <w:rsid w:val="001E672F"/>
    <w:rsid w:val="001E7031"/>
    <w:rsid w:val="001E7323"/>
    <w:rsid w:val="001F7DA2"/>
    <w:rsid w:val="002309B6"/>
    <w:rsid w:val="00247738"/>
    <w:rsid w:val="00254EF1"/>
    <w:rsid w:val="00257A6D"/>
    <w:rsid w:val="0028421E"/>
    <w:rsid w:val="00284523"/>
    <w:rsid w:val="002905F0"/>
    <w:rsid w:val="002A4583"/>
    <w:rsid w:val="002C3B34"/>
    <w:rsid w:val="002C4101"/>
    <w:rsid w:val="002C75B5"/>
    <w:rsid w:val="002D2AF6"/>
    <w:rsid w:val="002D7BCC"/>
    <w:rsid w:val="002E3230"/>
    <w:rsid w:val="002E79D3"/>
    <w:rsid w:val="00305204"/>
    <w:rsid w:val="00316741"/>
    <w:rsid w:val="00326A29"/>
    <w:rsid w:val="00332E89"/>
    <w:rsid w:val="0033334A"/>
    <w:rsid w:val="00346DAB"/>
    <w:rsid w:val="003848BF"/>
    <w:rsid w:val="003905ED"/>
    <w:rsid w:val="00392D2E"/>
    <w:rsid w:val="00392E0C"/>
    <w:rsid w:val="003C2349"/>
    <w:rsid w:val="003E426D"/>
    <w:rsid w:val="003E54C9"/>
    <w:rsid w:val="0040172F"/>
    <w:rsid w:val="00413AE5"/>
    <w:rsid w:val="004266B8"/>
    <w:rsid w:val="004533AA"/>
    <w:rsid w:val="00456155"/>
    <w:rsid w:val="004657E4"/>
    <w:rsid w:val="00475D90"/>
    <w:rsid w:val="0049221D"/>
    <w:rsid w:val="0049437A"/>
    <w:rsid w:val="004B2849"/>
    <w:rsid w:val="004B6E51"/>
    <w:rsid w:val="004C2CC5"/>
    <w:rsid w:val="004D18A5"/>
    <w:rsid w:val="004E3A83"/>
    <w:rsid w:val="004E4457"/>
    <w:rsid w:val="004F6C03"/>
    <w:rsid w:val="00507A69"/>
    <w:rsid w:val="00511172"/>
    <w:rsid w:val="005117E0"/>
    <w:rsid w:val="005201AC"/>
    <w:rsid w:val="00545781"/>
    <w:rsid w:val="00546E4E"/>
    <w:rsid w:val="005501A6"/>
    <w:rsid w:val="00554A10"/>
    <w:rsid w:val="005600A8"/>
    <w:rsid w:val="00574073"/>
    <w:rsid w:val="005865BE"/>
    <w:rsid w:val="00597BAD"/>
    <w:rsid w:val="005B26C5"/>
    <w:rsid w:val="005C1E79"/>
    <w:rsid w:val="005C2E37"/>
    <w:rsid w:val="005D0F44"/>
    <w:rsid w:val="005D5B3D"/>
    <w:rsid w:val="005D5B64"/>
    <w:rsid w:val="0060284E"/>
    <w:rsid w:val="00636C23"/>
    <w:rsid w:val="00666461"/>
    <w:rsid w:val="00677841"/>
    <w:rsid w:val="00693491"/>
    <w:rsid w:val="0069594D"/>
    <w:rsid w:val="00695E73"/>
    <w:rsid w:val="006B0FFC"/>
    <w:rsid w:val="006D56E4"/>
    <w:rsid w:val="006D6134"/>
    <w:rsid w:val="006E12C7"/>
    <w:rsid w:val="006E611E"/>
    <w:rsid w:val="006F6350"/>
    <w:rsid w:val="006F7FFC"/>
    <w:rsid w:val="00701B4D"/>
    <w:rsid w:val="00712E3D"/>
    <w:rsid w:val="00712EA8"/>
    <w:rsid w:val="0071532C"/>
    <w:rsid w:val="00715BF1"/>
    <w:rsid w:val="007173B0"/>
    <w:rsid w:val="007218E0"/>
    <w:rsid w:val="00727E60"/>
    <w:rsid w:val="00735BAD"/>
    <w:rsid w:val="00761C59"/>
    <w:rsid w:val="00764F2E"/>
    <w:rsid w:val="00784D8D"/>
    <w:rsid w:val="007A589B"/>
    <w:rsid w:val="007E4BE8"/>
    <w:rsid w:val="007E629D"/>
    <w:rsid w:val="007F2965"/>
    <w:rsid w:val="00801601"/>
    <w:rsid w:val="008022F9"/>
    <w:rsid w:val="0080678F"/>
    <w:rsid w:val="008125B0"/>
    <w:rsid w:val="00823CB5"/>
    <w:rsid w:val="00824BCE"/>
    <w:rsid w:val="00826B6A"/>
    <w:rsid w:val="008517BC"/>
    <w:rsid w:val="0085208C"/>
    <w:rsid w:val="00862B33"/>
    <w:rsid w:val="00873B94"/>
    <w:rsid w:val="008755DC"/>
    <w:rsid w:val="00877D86"/>
    <w:rsid w:val="008867E3"/>
    <w:rsid w:val="00893072"/>
    <w:rsid w:val="008948DA"/>
    <w:rsid w:val="00896196"/>
    <w:rsid w:val="008978AD"/>
    <w:rsid w:val="008B2C14"/>
    <w:rsid w:val="008C0451"/>
    <w:rsid w:val="008C7514"/>
    <w:rsid w:val="008E095F"/>
    <w:rsid w:val="008E2282"/>
    <w:rsid w:val="008E23ED"/>
    <w:rsid w:val="008E2949"/>
    <w:rsid w:val="008E6292"/>
    <w:rsid w:val="0090289C"/>
    <w:rsid w:val="00911D11"/>
    <w:rsid w:val="00921D97"/>
    <w:rsid w:val="00936A37"/>
    <w:rsid w:val="00965306"/>
    <w:rsid w:val="00976528"/>
    <w:rsid w:val="009855F0"/>
    <w:rsid w:val="009950F7"/>
    <w:rsid w:val="009A1A15"/>
    <w:rsid w:val="009A237F"/>
    <w:rsid w:val="009A6F5D"/>
    <w:rsid w:val="009B5964"/>
    <w:rsid w:val="009C2021"/>
    <w:rsid w:val="009D0608"/>
    <w:rsid w:val="009D0F11"/>
    <w:rsid w:val="009D501B"/>
    <w:rsid w:val="009D70C6"/>
    <w:rsid w:val="009F561E"/>
    <w:rsid w:val="009F775A"/>
    <w:rsid w:val="00A03216"/>
    <w:rsid w:val="00A07223"/>
    <w:rsid w:val="00A30A64"/>
    <w:rsid w:val="00A440AD"/>
    <w:rsid w:val="00A45617"/>
    <w:rsid w:val="00A5112D"/>
    <w:rsid w:val="00AA640A"/>
    <w:rsid w:val="00AB2D0D"/>
    <w:rsid w:val="00AC3626"/>
    <w:rsid w:val="00AC3B38"/>
    <w:rsid w:val="00AC5406"/>
    <w:rsid w:val="00AE7FAD"/>
    <w:rsid w:val="00B0073F"/>
    <w:rsid w:val="00B00848"/>
    <w:rsid w:val="00B60913"/>
    <w:rsid w:val="00B60B75"/>
    <w:rsid w:val="00B97A89"/>
    <w:rsid w:val="00BA66D1"/>
    <w:rsid w:val="00BA6D52"/>
    <w:rsid w:val="00BB33F3"/>
    <w:rsid w:val="00BC0116"/>
    <w:rsid w:val="00BC0FC2"/>
    <w:rsid w:val="00BD1715"/>
    <w:rsid w:val="00BE0503"/>
    <w:rsid w:val="00BF3D9F"/>
    <w:rsid w:val="00C170C1"/>
    <w:rsid w:val="00C33A9D"/>
    <w:rsid w:val="00C43569"/>
    <w:rsid w:val="00C63BF0"/>
    <w:rsid w:val="00C64924"/>
    <w:rsid w:val="00C85915"/>
    <w:rsid w:val="00C87BB1"/>
    <w:rsid w:val="00CB08B5"/>
    <w:rsid w:val="00CB0BE4"/>
    <w:rsid w:val="00CB0E34"/>
    <w:rsid w:val="00CB6762"/>
    <w:rsid w:val="00CC0507"/>
    <w:rsid w:val="00CD2D0D"/>
    <w:rsid w:val="00CD41F1"/>
    <w:rsid w:val="00CE3CA1"/>
    <w:rsid w:val="00CF1E73"/>
    <w:rsid w:val="00CF32AC"/>
    <w:rsid w:val="00D00B56"/>
    <w:rsid w:val="00D071D8"/>
    <w:rsid w:val="00D0757D"/>
    <w:rsid w:val="00D12959"/>
    <w:rsid w:val="00D15796"/>
    <w:rsid w:val="00D26AFC"/>
    <w:rsid w:val="00D30B3B"/>
    <w:rsid w:val="00D32A7D"/>
    <w:rsid w:val="00D33A5A"/>
    <w:rsid w:val="00D4212F"/>
    <w:rsid w:val="00D679F7"/>
    <w:rsid w:val="00D7108A"/>
    <w:rsid w:val="00D75B0B"/>
    <w:rsid w:val="00D92A5A"/>
    <w:rsid w:val="00DB5252"/>
    <w:rsid w:val="00DC3A30"/>
    <w:rsid w:val="00DE109F"/>
    <w:rsid w:val="00DE4B3D"/>
    <w:rsid w:val="00E22E18"/>
    <w:rsid w:val="00E302C6"/>
    <w:rsid w:val="00E51BF6"/>
    <w:rsid w:val="00E563C4"/>
    <w:rsid w:val="00E724A5"/>
    <w:rsid w:val="00E770F0"/>
    <w:rsid w:val="00EA24BA"/>
    <w:rsid w:val="00EB4E0E"/>
    <w:rsid w:val="00EF5007"/>
    <w:rsid w:val="00F047FE"/>
    <w:rsid w:val="00F13E20"/>
    <w:rsid w:val="00F30823"/>
    <w:rsid w:val="00F326CD"/>
    <w:rsid w:val="00F36942"/>
    <w:rsid w:val="00F4448A"/>
    <w:rsid w:val="00F577A3"/>
    <w:rsid w:val="00F8184E"/>
    <w:rsid w:val="00F82026"/>
    <w:rsid w:val="00F853F5"/>
    <w:rsid w:val="00F90C21"/>
    <w:rsid w:val="00F95FD6"/>
    <w:rsid w:val="00FA130A"/>
    <w:rsid w:val="00FC2439"/>
    <w:rsid w:val="00FC5D16"/>
    <w:rsid w:val="00FE1FDB"/>
    <w:rsid w:val="00FE6CFC"/>
    <w:rsid w:val="00FF6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9E9549"/>
  <w15:docId w15:val="{BDE62A57-C0BA-4A1B-9118-48DF7D97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1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C7514"/>
    <w:pPr>
      <w:ind w:left="720"/>
      <w:contextualSpacing/>
    </w:pPr>
  </w:style>
  <w:style w:type="paragraph" w:styleId="Piedepgina">
    <w:name w:val="footer"/>
    <w:basedOn w:val="Normal"/>
    <w:link w:val="PiedepginaCar"/>
    <w:uiPriority w:val="99"/>
    <w:unhideWhenUsed/>
    <w:rsid w:val="008C7514"/>
    <w:pPr>
      <w:tabs>
        <w:tab w:val="center" w:pos="4419"/>
        <w:tab w:val="right" w:pos="8838"/>
      </w:tabs>
    </w:pPr>
  </w:style>
  <w:style w:type="character" w:customStyle="1" w:styleId="PiedepginaCar">
    <w:name w:val="Pie de página Car"/>
    <w:basedOn w:val="Fuentedeprrafopredeter"/>
    <w:link w:val="Piedepgina"/>
    <w:uiPriority w:val="99"/>
    <w:rsid w:val="008C7514"/>
    <w:rPr>
      <w:rFonts w:eastAsiaTheme="minorEastAsia"/>
      <w:sz w:val="24"/>
      <w:szCs w:val="24"/>
      <w:lang w:val="es-ES_tradnl"/>
    </w:rPr>
  </w:style>
  <w:style w:type="character" w:customStyle="1" w:styleId="PrrafodelistaCar">
    <w:name w:val="Párrafo de lista Car"/>
    <w:link w:val="Prrafodelista"/>
    <w:uiPriority w:val="34"/>
    <w:locked/>
    <w:rsid w:val="008C7514"/>
    <w:rPr>
      <w:rFonts w:eastAsiaTheme="minorEastAsia"/>
      <w:sz w:val="24"/>
      <w:szCs w:val="24"/>
      <w:lang w:val="es-ES_tradnl"/>
    </w:rPr>
  </w:style>
  <w:style w:type="paragraph" w:customStyle="1" w:styleId="Texto">
    <w:name w:val="Texto"/>
    <w:basedOn w:val="Normal"/>
    <w:link w:val="TextoCar"/>
    <w:rsid w:val="008C751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8C7514"/>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8C7514"/>
    <w:rPr>
      <w:sz w:val="16"/>
      <w:szCs w:val="16"/>
    </w:rPr>
  </w:style>
  <w:style w:type="paragraph" w:styleId="Textocomentario">
    <w:name w:val="annotation text"/>
    <w:basedOn w:val="Normal"/>
    <w:link w:val="TextocomentarioCar"/>
    <w:unhideWhenUsed/>
    <w:rsid w:val="008C7514"/>
    <w:rPr>
      <w:sz w:val="20"/>
      <w:szCs w:val="20"/>
    </w:rPr>
  </w:style>
  <w:style w:type="character" w:customStyle="1" w:styleId="TextocomentarioCar">
    <w:name w:val="Texto comentario Car"/>
    <w:basedOn w:val="Fuentedeprrafopredeter"/>
    <w:link w:val="Textocomentario"/>
    <w:rsid w:val="008C7514"/>
    <w:rPr>
      <w:rFonts w:eastAsiaTheme="minorEastAsia"/>
      <w:sz w:val="20"/>
      <w:szCs w:val="20"/>
      <w:lang w:val="es-ES_tradnl"/>
    </w:rPr>
  </w:style>
  <w:style w:type="character" w:customStyle="1" w:styleId="ROMANOSCar">
    <w:name w:val="ROMANOS Car"/>
    <w:link w:val="ROMANOS"/>
    <w:locked/>
    <w:rsid w:val="008C7514"/>
    <w:rPr>
      <w:rFonts w:ascii="Arial" w:hAnsi="Arial" w:cs="Arial"/>
      <w:sz w:val="18"/>
      <w:szCs w:val="18"/>
      <w:lang w:eastAsia="es-ES"/>
    </w:rPr>
  </w:style>
  <w:style w:type="paragraph" w:customStyle="1" w:styleId="ROMANOS">
    <w:name w:val="ROMANOS"/>
    <w:basedOn w:val="Normal"/>
    <w:link w:val="ROMANOSCar"/>
    <w:rsid w:val="008C7514"/>
    <w:pPr>
      <w:tabs>
        <w:tab w:val="left" w:pos="720"/>
      </w:tabs>
      <w:spacing w:after="101" w:line="216" w:lineRule="exact"/>
      <w:ind w:left="720" w:hanging="432"/>
      <w:jc w:val="both"/>
    </w:pPr>
    <w:rPr>
      <w:rFonts w:ascii="Arial" w:eastAsiaTheme="minorHAnsi" w:hAnsi="Arial" w:cs="Arial"/>
      <w:sz w:val="18"/>
      <w:szCs w:val="18"/>
      <w:lang w:val="es-MX" w:eastAsia="es-ES"/>
    </w:rPr>
  </w:style>
  <w:style w:type="paragraph" w:styleId="Textodeglobo">
    <w:name w:val="Balloon Text"/>
    <w:basedOn w:val="Normal"/>
    <w:link w:val="TextodegloboCar"/>
    <w:uiPriority w:val="99"/>
    <w:semiHidden/>
    <w:unhideWhenUsed/>
    <w:rsid w:val="008C7514"/>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14"/>
    <w:rPr>
      <w:rFonts w:ascii="Tahoma" w:eastAsiaTheme="minorEastAsi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FC2439"/>
    <w:rPr>
      <w:b/>
      <w:bCs/>
    </w:rPr>
  </w:style>
  <w:style w:type="character" w:customStyle="1" w:styleId="AsuntodelcomentarioCar">
    <w:name w:val="Asunto del comentario Car"/>
    <w:basedOn w:val="TextocomentarioCar"/>
    <w:link w:val="Asuntodelcomentario"/>
    <w:uiPriority w:val="99"/>
    <w:semiHidden/>
    <w:rsid w:val="00FC2439"/>
    <w:rPr>
      <w:rFonts w:eastAsiaTheme="minorEastAsia"/>
      <w:b/>
      <w:bCs/>
      <w:sz w:val="20"/>
      <w:szCs w:val="20"/>
      <w:lang w:val="es-ES_tradnl"/>
    </w:rPr>
  </w:style>
  <w:style w:type="paragraph" w:styleId="Encabezado">
    <w:name w:val="header"/>
    <w:basedOn w:val="Normal"/>
    <w:link w:val="EncabezadoCar"/>
    <w:uiPriority w:val="99"/>
    <w:unhideWhenUsed/>
    <w:rsid w:val="005C2E37"/>
    <w:pPr>
      <w:tabs>
        <w:tab w:val="center" w:pos="4419"/>
        <w:tab w:val="right" w:pos="8838"/>
      </w:tabs>
    </w:pPr>
  </w:style>
  <w:style w:type="character" w:customStyle="1" w:styleId="EncabezadoCar">
    <w:name w:val="Encabezado Car"/>
    <w:basedOn w:val="Fuentedeprrafopredeter"/>
    <w:link w:val="Encabezado"/>
    <w:uiPriority w:val="99"/>
    <w:rsid w:val="005C2E37"/>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2000">
      <w:bodyDiv w:val="1"/>
      <w:marLeft w:val="0"/>
      <w:marRight w:val="0"/>
      <w:marTop w:val="0"/>
      <w:marBottom w:val="0"/>
      <w:divBdr>
        <w:top w:val="none" w:sz="0" w:space="0" w:color="auto"/>
        <w:left w:val="none" w:sz="0" w:space="0" w:color="auto"/>
        <w:bottom w:val="none" w:sz="0" w:space="0" w:color="auto"/>
        <w:right w:val="none" w:sz="0" w:space="0" w:color="auto"/>
      </w:divBdr>
    </w:div>
    <w:div w:id="1844733351">
      <w:bodyDiv w:val="1"/>
      <w:marLeft w:val="0"/>
      <w:marRight w:val="0"/>
      <w:marTop w:val="0"/>
      <w:marBottom w:val="0"/>
      <w:divBdr>
        <w:top w:val="none" w:sz="0" w:space="0" w:color="auto"/>
        <w:left w:val="none" w:sz="0" w:space="0" w:color="auto"/>
        <w:bottom w:val="none" w:sz="0" w:space="0" w:color="auto"/>
        <w:right w:val="none" w:sz="0" w:space="0" w:color="auto"/>
      </w:divBdr>
    </w:div>
    <w:div w:id="19855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FC71-B76C-487E-9DC1-8E44BD01B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6FFB5-AC86-473A-90FD-22CAB3F53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3B716E-068C-476B-AFB7-11C55DBCB8E7}">
  <ds:schemaRefs>
    <ds:schemaRef ds:uri="http://schemas.microsoft.com/sharepoint/v3/contenttype/forms"/>
  </ds:schemaRefs>
</ds:datastoreItem>
</file>

<file path=customXml/itemProps4.xml><?xml version="1.0" encoding="utf-8"?>
<ds:datastoreItem xmlns:ds="http://schemas.openxmlformats.org/officeDocument/2006/customXml" ds:itemID="{D14B754A-CDB4-4861-866C-EB7879A1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4544</Words>
  <Characters>24996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Galvan Saracho</dc:creator>
  <cp:lastModifiedBy>Josue Teoyotl Calderon</cp:lastModifiedBy>
  <cp:revision>6</cp:revision>
  <cp:lastPrinted>2018-12-14T18:35:00Z</cp:lastPrinted>
  <dcterms:created xsi:type="dcterms:W3CDTF">2018-12-13T17:48:00Z</dcterms:created>
  <dcterms:modified xsi:type="dcterms:W3CDTF">2018-12-14T18:35:00Z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