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5A00EF50" w14:textId="77777777" w:rsidR="007A75A4"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1D3C28">
              <w:rPr>
                <w:rFonts w:ascii="ITC Avant Garde" w:hAnsi="ITC Avant Garde"/>
                <w:b/>
                <w:sz w:val="18"/>
                <w:szCs w:val="18"/>
              </w:rPr>
              <w:t xml:space="preserve"> </w:t>
            </w:r>
          </w:p>
          <w:p w14:paraId="3DCB3D69" w14:textId="77777777" w:rsidR="007A75A4" w:rsidRDefault="007A75A4" w:rsidP="00501ADF">
            <w:pPr>
              <w:jc w:val="both"/>
              <w:rPr>
                <w:rFonts w:ascii="ITC Avant Garde" w:hAnsi="ITC Avant Garde"/>
                <w:b/>
                <w:sz w:val="18"/>
                <w:szCs w:val="18"/>
              </w:rPr>
            </w:pPr>
          </w:p>
          <w:p w14:paraId="4410292B" w14:textId="520CF7A9" w:rsidR="00501ADF" w:rsidRPr="00451B7D" w:rsidRDefault="007A75A4" w:rsidP="00501ADF">
            <w:pPr>
              <w:jc w:val="both"/>
              <w:rPr>
                <w:rFonts w:ascii="ITC Avant Garde" w:hAnsi="ITC Avant Garde"/>
                <w:b/>
                <w:sz w:val="18"/>
                <w:szCs w:val="18"/>
              </w:rPr>
            </w:pPr>
            <w:r>
              <w:rPr>
                <w:rFonts w:ascii="ITC Avant Garde" w:hAnsi="ITC Avant Garde"/>
                <w:b/>
                <w:sz w:val="18"/>
                <w:szCs w:val="18"/>
              </w:rPr>
              <w:t>UNIDAD DE CONCESIONES Y SERVICIOS</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43AB2B2C" w14:textId="4F6BA3E9" w:rsidR="001D3C28" w:rsidRPr="009D4B7A" w:rsidRDefault="009D4B7A" w:rsidP="001D3C28">
            <w:pPr>
              <w:jc w:val="both"/>
              <w:rPr>
                <w:rFonts w:ascii="ITC Avant Garde" w:hAnsi="ITC Avant Garde"/>
                <w:sz w:val="18"/>
                <w:szCs w:val="18"/>
              </w:rPr>
            </w:pPr>
            <w:r w:rsidRPr="009D4B7A">
              <w:rPr>
                <w:rFonts w:ascii="ITC Avant Garde" w:hAnsi="ITC Avant Garde"/>
                <w:bCs/>
                <w:sz w:val="18"/>
                <w:szCs w:val="18"/>
              </w:rPr>
              <w:t>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1D3C28" w:rsidRPr="009D4B7A">
              <w:rPr>
                <w:rFonts w:ascii="ITC Avant Garde" w:hAnsi="ITC Avant Garde"/>
                <w:sz w:val="18"/>
                <w:szCs w:val="18"/>
              </w:rPr>
              <w:t xml:space="preserve">. </w:t>
            </w:r>
          </w:p>
          <w:p w14:paraId="6360D2ED" w14:textId="77777777" w:rsidR="0068307E" w:rsidRPr="00451B7D" w:rsidRDefault="0068307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3F18926B" w:rsidR="0068307E" w:rsidRPr="00451B7D" w:rsidRDefault="001D3C28" w:rsidP="00501ADF">
            <w:pPr>
              <w:jc w:val="both"/>
              <w:rPr>
                <w:rFonts w:ascii="ITC Avant Garde" w:hAnsi="ITC Avant Garde"/>
                <w:sz w:val="18"/>
                <w:szCs w:val="18"/>
              </w:rPr>
            </w:pPr>
            <w:r>
              <w:rPr>
                <w:rFonts w:ascii="ITC Avant Garde" w:hAnsi="ITC Avant Garde"/>
                <w:sz w:val="18"/>
                <w:szCs w:val="18"/>
              </w:rPr>
              <w:t>Rafael Eslava Herrada</w:t>
            </w:r>
          </w:p>
          <w:p w14:paraId="25E2A8DE" w14:textId="5E12847C" w:rsidR="0068307E" w:rsidRPr="00451B7D" w:rsidRDefault="00700E9A" w:rsidP="00501ADF">
            <w:pPr>
              <w:jc w:val="both"/>
              <w:rPr>
                <w:rFonts w:ascii="ITC Avant Garde" w:hAnsi="ITC Avant Garde"/>
                <w:sz w:val="18"/>
                <w:szCs w:val="18"/>
              </w:rPr>
            </w:pPr>
            <w:r>
              <w:rPr>
                <w:rFonts w:ascii="ITC Avant Garde" w:hAnsi="ITC Avant Garde"/>
                <w:sz w:val="18"/>
                <w:szCs w:val="18"/>
              </w:rPr>
              <w:t>Teléfono: 5015-4158</w:t>
            </w:r>
            <w:r w:rsidR="0068307E" w:rsidRPr="00451B7D">
              <w:rPr>
                <w:rFonts w:ascii="ITC Avant Garde" w:hAnsi="ITC Avant Garde"/>
                <w:sz w:val="18"/>
                <w:szCs w:val="18"/>
              </w:rPr>
              <w:t xml:space="preserve"> </w:t>
            </w:r>
          </w:p>
          <w:p w14:paraId="03752238" w14:textId="0EE454A0"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688F363F" w14:textId="39A550D8" w:rsidR="00700E9A" w:rsidRPr="00451B7D" w:rsidRDefault="00700E9A" w:rsidP="00501ADF">
            <w:pPr>
              <w:jc w:val="both"/>
              <w:rPr>
                <w:rFonts w:ascii="ITC Avant Garde" w:hAnsi="ITC Avant Garde"/>
                <w:sz w:val="18"/>
                <w:szCs w:val="18"/>
              </w:rPr>
            </w:pPr>
            <w:r>
              <w:rPr>
                <w:rFonts w:ascii="ITC Avant Garde" w:hAnsi="ITC Avant Garde"/>
                <w:sz w:val="18"/>
                <w:szCs w:val="18"/>
              </w:rPr>
              <w:t>Rafael.eslava@ift.org.mx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6ADA5AE2" w:rsidR="0068307E" w:rsidRPr="00451B7D" w:rsidRDefault="004401C3" w:rsidP="0068307E">
            <w:pPr>
              <w:jc w:val="center"/>
              <w:rPr>
                <w:rFonts w:ascii="ITC Avant Garde" w:hAnsi="ITC Avant Garde"/>
                <w:sz w:val="18"/>
                <w:szCs w:val="18"/>
              </w:rPr>
            </w:pPr>
            <w:r>
              <w:rPr>
                <w:rFonts w:ascii="ITC Avant Garde" w:hAnsi="ITC Avant Garde"/>
                <w:sz w:val="18"/>
                <w:szCs w:val="18"/>
              </w:rPr>
              <w:t>22/01/2019</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3A8E28B0" w:rsidR="0068307E" w:rsidRPr="00451B7D" w:rsidRDefault="00003A14" w:rsidP="00B46736">
            <w:pPr>
              <w:jc w:val="center"/>
              <w:rPr>
                <w:rFonts w:ascii="ITC Avant Garde" w:hAnsi="ITC Avant Garde"/>
                <w:sz w:val="18"/>
                <w:szCs w:val="18"/>
              </w:rPr>
            </w:pPr>
            <w:r>
              <w:rPr>
                <w:rFonts w:ascii="ITC Avant Garde" w:hAnsi="ITC Avant Garde"/>
                <w:sz w:val="18"/>
                <w:szCs w:val="18"/>
              </w:rPr>
              <w:t>17</w:t>
            </w:r>
            <w:r w:rsidR="003D5D98">
              <w:rPr>
                <w:rFonts w:ascii="ITC Avant Garde" w:hAnsi="ITC Avant Garde"/>
                <w:sz w:val="18"/>
                <w:szCs w:val="18"/>
              </w:rPr>
              <w:t>/12/2018</w:t>
            </w:r>
            <w:r w:rsidR="00D23BD5" w:rsidRPr="00451B7D">
              <w:rPr>
                <w:rFonts w:ascii="ITC Avant Garde" w:hAnsi="ITC Avant Garde"/>
                <w:sz w:val="18"/>
                <w:szCs w:val="18"/>
              </w:rPr>
              <w:t xml:space="preserve"> a</w:t>
            </w:r>
            <w:r w:rsidR="00B46736">
              <w:rPr>
                <w:rFonts w:ascii="ITC Avant Garde" w:hAnsi="ITC Avant Garde"/>
                <w:sz w:val="18"/>
                <w:szCs w:val="18"/>
              </w:rPr>
              <w:t>l</w:t>
            </w:r>
            <w:r w:rsidR="00D23BD5" w:rsidRPr="00451B7D">
              <w:rPr>
                <w:rFonts w:ascii="ITC Avant Garde" w:hAnsi="ITC Avant Garde"/>
                <w:sz w:val="18"/>
                <w:szCs w:val="18"/>
              </w:rPr>
              <w:t xml:space="preserve"> </w:t>
            </w:r>
            <w:r>
              <w:rPr>
                <w:rFonts w:ascii="ITC Avant Garde" w:hAnsi="ITC Avant Garde"/>
                <w:sz w:val="18"/>
                <w:szCs w:val="18"/>
              </w:rPr>
              <w:t>29</w:t>
            </w:r>
            <w:r w:rsidR="00B46736">
              <w:rPr>
                <w:rFonts w:ascii="ITC Avant Garde" w:hAnsi="ITC Avant Garde"/>
                <w:sz w:val="18"/>
                <w:szCs w:val="18"/>
              </w:rPr>
              <w:t>/01/2019</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172EC137" w14:textId="77777777" w:rsidR="001932FC" w:rsidRPr="00451B7D" w:rsidRDefault="001932FC" w:rsidP="008A48B0">
            <w:pPr>
              <w:shd w:val="clear" w:color="auto" w:fill="FFFFFF" w:themeFill="background1"/>
              <w:jc w:val="both"/>
              <w:rPr>
                <w:rFonts w:ascii="ITC Avant Garde" w:hAnsi="ITC Avant Garde"/>
                <w:sz w:val="18"/>
                <w:szCs w:val="18"/>
              </w:rPr>
            </w:pPr>
          </w:p>
          <w:p w14:paraId="295B620E" w14:textId="77777777" w:rsidR="00700E9A" w:rsidRPr="00AC3626" w:rsidRDefault="00700E9A" w:rsidP="00700E9A">
            <w:pPr>
              <w:jc w:val="both"/>
              <w:rPr>
                <w:rFonts w:ascii="Arial" w:eastAsia="Times New Roman" w:hAnsi="Arial" w:cs="Arial"/>
                <w:kern w:val="2"/>
                <w:lang w:eastAsia="ar-SA"/>
              </w:rPr>
            </w:pPr>
            <w:r w:rsidRPr="00AC3626">
              <w:rPr>
                <w:rFonts w:ascii="Arial" w:eastAsia="Times New Roman" w:hAnsi="Arial" w:cs="Arial"/>
                <w:kern w:val="2"/>
                <w:lang w:eastAsia="ar-SA"/>
              </w:rPr>
              <w:t xml:space="preserve">En reunión del Grupo de Trabajo de Numeración y Señalización, celebrada el 8 de octubre de 2018, la mayoría de los PST presentes solicitaron al Instituto lo siguiente: </w:t>
            </w:r>
          </w:p>
          <w:p w14:paraId="31CD6DAE" w14:textId="77777777" w:rsidR="00700E9A" w:rsidRPr="00AC3626" w:rsidRDefault="00700E9A" w:rsidP="00700E9A">
            <w:pPr>
              <w:jc w:val="both"/>
              <w:rPr>
                <w:rFonts w:ascii="Arial" w:eastAsia="Times New Roman" w:hAnsi="Arial" w:cs="Arial"/>
                <w:kern w:val="2"/>
                <w:lang w:eastAsia="ar-SA"/>
              </w:rPr>
            </w:pPr>
          </w:p>
          <w:p w14:paraId="30F587B3" w14:textId="77777777" w:rsidR="00700E9A" w:rsidRPr="00AC3626" w:rsidRDefault="00700E9A" w:rsidP="00700E9A">
            <w:pPr>
              <w:pStyle w:val="Prrafodelista"/>
              <w:numPr>
                <w:ilvl w:val="0"/>
                <w:numId w:val="5"/>
              </w:numPr>
              <w:ind w:left="426" w:hanging="284"/>
              <w:jc w:val="both"/>
              <w:rPr>
                <w:rFonts w:ascii="Arial" w:eastAsia="Times New Roman" w:hAnsi="Arial" w:cs="Arial"/>
                <w:kern w:val="2"/>
                <w:lang w:eastAsia="ar-SA"/>
              </w:rPr>
            </w:pPr>
            <w:r w:rsidRPr="00AC3626">
              <w:rPr>
                <w:rFonts w:ascii="Arial" w:eastAsia="Times New Roman" w:hAnsi="Arial" w:cs="Arial"/>
                <w:kern w:val="2"/>
                <w:lang w:eastAsia="ar-SA"/>
              </w:rPr>
              <w:t>Que la administración y asignación de numeración geográfica con base en los NIR se mantenga hasta enero del año 2022, fecha en la que el proceso de transición de interconexión en tecnología TDM a tecnología IP habrá concluido, en virtud de que el enrutamiento e intercambio de tráfico público conmutado en las redes de telefonía pública conmutada tradicionales (basadas en tecnología TDM) se realiza mediante la asociación de uno o más NIR (que identifican un área geográfica determinada) y una central de conmutación o punto de interconexión. En este sentido, los PST considera</w:t>
            </w:r>
            <w:r>
              <w:rPr>
                <w:rFonts w:ascii="Arial" w:eastAsia="Times New Roman" w:hAnsi="Arial" w:cs="Arial"/>
                <w:kern w:val="2"/>
                <w:lang w:eastAsia="ar-SA"/>
              </w:rPr>
              <w:t>ron</w:t>
            </w:r>
            <w:r w:rsidRPr="00AC3626">
              <w:rPr>
                <w:rFonts w:ascii="Arial" w:eastAsia="Times New Roman" w:hAnsi="Arial" w:cs="Arial"/>
                <w:kern w:val="2"/>
                <w:lang w:eastAsia="ar-SA"/>
              </w:rPr>
              <w:t xml:space="preserve"> que la agrupación de todos los NIR que inicien con el mismo dígito para crear zonas destinadas a la administración y asignación de numeración, impedirá que las redes puedan determinar con exactitud el punto de destino donde se entregarán las llamadas. Cabe señalar que esta problemática no se presenta en las redes de nueva generación basadas en tecnología IP, en las cuales es posible establecer esquemas todo origen, todo destino, de forma más sencilla y eficiente. </w:t>
            </w:r>
          </w:p>
          <w:p w14:paraId="5663AF8C" w14:textId="77777777" w:rsidR="00700E9A" w:rsidRPr="00AC3626" w:rsidRDefault="00700E9A" w:rsidP="00700E9A">
            <w:pPr>
              <w:pStyle w:val="Prrafodelista"/>
              <w:ind w:left="426"/>
              <w:jc w:val="both"/>
              <w:rPr>
                <w:rFonts w:ascii="Arial" w:eastAsia="Times New Roman" w:hAnsi="Arial" w:cs="Arial"/>
                <w:kern w:val="2"/>
                <w:lang w:eastAsia="ar-SA"/>
              </w:rPr>
            </w:pPr>
          </w:p>
          <w:p w14:paraId="49527FAD" w14:textId="77777777" w:rsidR="00700E9A" w:rsidRPr="00AC3626" w:rsidRDefault="00700E9A" w:rsidP="00700E9A">
            <w:pPr>
              <w:pStyle w:val="Prrafodelista"/>
              <w:numPr>
                <w:ilvl w:val="0"/>
                <w:numId w:val="5"/>
              </w:numPr>
              <w:ind w:left="426" w:hanging="284"/>
              <w:jc w:val="both"/>
              <w:rPr>
                <w:rFonts w:ascii="Arial" w:eastAsia="Times New Roman" w:hAnsi="Arial" w:cs="Arial"/>
                <w:kern w:val="2"/>
                <w:lang w:eastAsia="ar-SA"/>
              </w:rPr>
            </w:pPr>
            <w:r w:rsidRPr="00AC3626">
              <w:rPr>
                <w:rFonts w:ascii="Arial" w:eastAsia="Times New Roman" w:hAnsi="Arial" w:cs="Arial"/>
                <w:kern w:val="2"/>
                <w:lang w:eastAsia="ar-SA"/>
              </w:rPr>
              <w:t>Que a fin de lograr una transición gradual y ordenada hacia los nuevos formatos para el intercambio de dígitos del número de “B” en la señalización, establecidos en el Plan Técnico de Señalización, publicado en el DOF el 11 de mayo de 2018, se permita un periodo de convivencia con los formatos vigentes a partir del 1 de febrero de 2019.</w:t>
            </w:r>
          </w:p>
          <w:p w14:paraId="41C4F3F8" w14:textId="77777777" w:rsidR="001932FC" w:rsidRDefault="001932FC" w:rsidP="001932FC">
            <w:pPr>
              <w:jc w:val="both"/>
              <w:rPr>
                <w:rFonts w:ascii="ITC Avant Garde" w:hAnsi="ITC Avant Garde"/>
                <w:sz w:val="18"/>
                <w:szCs w:val="18"/>
              </w:rPr>
            </w:pPr>
          </w:p>
          <w:p w14:paraId="22F146E0" w14:textId="78F31760" w:rsidR="00700E9A" w:rsidRPr="00AC3626" w:rsidRDefault="00700E9A" w:rsidP="00700E9A">
            <w:pPr>
              <w:jc w:val="both"/>
              <w:rPr>
                <w:rFonts w:ascii="Arial" w:eastAsia="Times New Roman" w:hAnsi="Arial" w:cs="Arial"/>
                <w:kern w:val="2"/>
                <w:lang w:eastAsia="ar-SA"/>
              </w:rPr>
            </w:pPr>
            <w:r>
              <w:rPr>
                <w:rFonts w:ascii="Arial" w:eastAsia="Times New Roman" w:hAnsi="Arial" w:cs="Arial"/>
                <w:kern w:val="2"/>
                <w:lang w:eastAsia="ar-SA"/>
              </w:rPr>
              <w:t xml:space="preserve">Al respecto, cabe señalar que </w:t>
            </w:r>
            <w:r w:rsidRPr="00AC3626">
              <w:rPr>
                <w:rFonts w:ascii="Arial" w:eastAsia="Times New Roman" w:hAnsi="Arial" w:cs="Arial"/>
                <w:kern w:val="2"/>
                <w:lang w:eastAsia="ar-SA"/>
              </w:rPr>
              <w:t xml:space="preserve">la agrupación de todos los NIR que inicien con el mismo primer dígito para crear 8 zonas con el objeto de asignar y administrar la numeración nacional, tiene como objetivo que en el corto plazo se maximice y se garantice la disponibilidad de estos recursos para la prestación de servicios de telecomunicaciones por parte de los PST. Asimismo, con la creación de estas zonas se asignará más eficientemente la numeración. No obstante lo anterior y analizando lo solicitado por los PST, este Instituto considera viable diferir la entrada en vigor de la administración y asignación de la numeración nacional al 1 de febrero de 2022, en virtud de que durante este periodo es posible habilitar un nuevo NIR en las zonas que reporten agotamiento en la disponibilidad de numeración, tal y como </w:t>
            </w:r>
            <w:r>
              <w:rPr>
                <w:rFonts w:ascii="Arial" w:eastAsia="Times New Roman" w:hAnsi="Arial" w:cs="Arial"/>
                <w:kern w:val="2"/>
                <w:lang w:eastAsia="ar-SA"/>
              </w:rPr>
              <w:t xml:space="preserve">ya </w:t>
            </w:r>
            <w:r w:rsidRPr="00AC3626">
              <w:rPr>
                <w:rFonts w:ascii="Arial" w:eastAsia="Times New Roman" w:hAnsi="Arial" w:cs="Arial"/>
                <w:kern w:val="2"/>
                <w:lang w:eastAsia="ar-SA"/>
              </w:rPr>
              <w:t xml:space="preserve">se llevó a cabo en las áreas geográficas asociadas a los NIR 222 (Puebla), 722 (Toluca), 55 (Ciudad de México), 664 (Tijuana) y 477 (León). Adicionalmente, la aprobación de este diferimiento garantiza el correcto y eficiente enrutamiento de las llamadas cursadas a través de las diversas redes públicas de telecomunicaciones que operan en nuestro país con tecnología TDM y  reduce la probabilidad de saturar la capacidad de equipos de conmutación basados en tecnología TDM, en los cuales deberían habilitarse todas las rutas asociadas a los NIRs que conformen la zona que atiendan, situación técnicamente compleja considerando el desfase tecnológico de TDM por parte de los fabricantes de equipos.  </w:t>
            </w:r>
          </w:p>
          <w:p w14:paraId="1D38C489" w14:textId="77777777" w:rsidR="00700E9A" w:rsidRPr="00AC3626" w:rsidRDefault="00700E9A" w:rsidP="00700E9A">
            <w:pPr>
              <w:jc w:val="both"/>
              <w:rPr>
                <w:rFonts w:ascii="Arial" w:eastAsia="Times New Roman" w:hAnsi="Arial" w:cs="Arial"/>
                <w:b/>
                <w:kern w:val="2"/>
                <w:lang w:eastAsia="ar-SA"/>
              </w:rPr>
            </w:pPr>
          </w:p>
          <w:p w14:paraId="25D88859" w14:textId="77777777" w:rsidR="00700E9A" w:rsidRDefault="00700E9A" w:rsidP="00700E9A">
            <w:pPr>
              <w:jc w:val="both"/>
              <w:rPr>
                <w:rFonts w:ascii="Arial" w:eastAsia="Times New Roman" w:hAnsi="Arial" w:cs="Arial"/>
                <w:kern w:val="2"/>
                <w:lang w:eastAsia="ar-SA"/>
              </w:rPr>
            </w:pPr>
            <w:r w:rsidRPr="00AC3626">
              <w:rPr>
                <w:rFonts w:ascii="Arial" w:eastAsia="Times New Roman" w:hAnsi="Arial" w:cs="Arial"/>
                <w:kern w:val="2"/>
                <w:lang w:eastAsia="ar-SA"/>
              </w:rPr>
              <w:t>Por otra parte, resulta relevante señalar que con la finalidad de que este Instituto implemente los nuevos trámites y criterios de asignación de los recursos de numeración y señalización contemplados en los planes técnicos fundamentales de numeración y señalización, así como en las consecuentes modificaciones a las Reglas de Portabilidad Numérica publicados en el DOF el 11 de mayo de 2018, es necesario llevar a cabo modificaciones al Sistema de Numeración y Señalización y desarrollar un Sistema Electrónico para la recepción y gestión de los trámites aplicables.</w:t>
            </w:r>
            <w:r w:rsidRPr="00AC3626">
              <w:rPr>
                <w:rFonts w:ascii="Arial" w:eastAsia="Times New Roman" w:hAnsi="Arial" w:cs="Arial"/>
                <w:b/>
                <w:kern w:val="2"/>
                <w:lang w:eastAsia="ar-SA"/>
              </w:rPr>
              <w:t xml:space="preserve"> </w:t>
            </w:r>
            <w:r w:rsidRPr="00AC3626">
              <w:rPr>
                <w:rFonts w:ascii="Arial" w:eastAsia="Times New Roman" w:hAnsi="Arial" w:cs="Arial"/>
                <w:kern w:val="2"/>
                <w:lang w:eastAsia="ar-SA"/>
              </w:rPr>
              <w:t xml:space="preserve">En este sentido, al diferir la entrada en vigor de los criterios y procedimientos de administración y asignación de numeración por zonas, técnica y económicamente </w:t>
            </w:r>
            <w:r>
              <w:rPr>
                <w:rFonts w:ascii="Arial" w:eastAsia="Times New Roman" w:hAnsi="Arial" w:cs="Arial"/>
                <w:kern w:val="2"/>
                <w:lang w:eastAsia="ar-SA"/>
              </w:rPr>
              <w:t xml:space="preserve">resulta </w:t>
            </w:r>
            <w:r w:rsidRPr="00AC3626">
              <w:rPr>
                <w:rFonts w:ascii="Arial" w:eastAsia="Times New Roman" w:hAnsi="Arial" w:cs="Arial"/>
                <w:kern w:val="2"/>
                <w:lang w:eastAsia="ar-SA"/>
              </w:rPr>
              <w:t xml:space="preserve">innecesario modificar el Sistema de Numeración y Señalización y desarrollar el Sistema Electrónico de gestión de trámites en dos etapas, la primera bajo los procedimientos vigentes y que entraría en </w:t>
            </w:r>
            <w:r w:rsidRPr="00AC3626">
              <w:rPr>
                <w:rFonts w:ascii="Arial" w:eastAsia="Times New Roman" w:hAnsi="Arial" w:cs="Arial"/>
                <w:kern w:val="2"/>
                <w:lang w:eastAsia="ar-SA"/>
              </w:rPr>
              <w:lastRenderedPageBreak/>
              <w:t>vigor el 3 de agosto de 2019 y la segunda bajo los procedimientos definidos en el Acuerdo, los cuales entrarán en vigor el 1 de febrero de 2022. Por este motivo, es necesario diferir de igual forma la entrada en vigor de los trámites que de conformidad con el Acuerdo se realizarán a través del Sistema Electrónico.</w:t>
            </w:r>
          </w:p>
          <w:p w14:paraId="7EF38A3B" w14:textId="77777777" w:rsidR="00700E9A" w:rsidRDefault="00700E9A" w:rsidP="00700E9A">
            <w:pPr>
              <w:jc w:val="both"/>
              <w:rPr>
                <w:rFonts w:ascii="Arial" w:eastAsia="Times New Roman" w:hAnsi="Arial" w:cs="Arial"/>
                <w:kern w:val="2"/>
                <w:lang w:eastAsia="ar-SA"/>
              </w:rPr>
            </w:pPr>
          </w:p>
          <w:p w14:paraId="600AF9B6" w14:textId="714024D9" w:rsidR="00700E9A" w:rsidRPr="00AC3626" w:rsidRDefault="00700E9A" w:rsidP="00700E9A">
            <w:pPr>
              <w:jc w:val="both"/>
              <w:rPr>
                <w:rFonts w:ascii="Arial" w:eastAsia="Times New Roman" w:hAnsi="Arial" w:cs="Arial"/>
                <w:b/>
                <w:kern w:val="2"/>
                <w:lang w:eastAsia="ar-SA"/>
              </w:rPr>
            </w:pPr>
            <w:r w:rsidRPr="0049437A">
              <w:rPr>
                <w:rFonts w:ascii="Arial" w:eastAsia="Times New Roman" w:hAnsi="Arial" w:cs="Arial"/>
                <w:kern w:val="2"/>
                <w:lang w:eastAsia="ar-SA"/>
              </w:rPr>
              <w:t>En lo que respecta a la solicitud para que los concesionaros cuenten con un periodo de convivencia entre los formatos para el intercambio de dígitos del número de “B” aplicables a la fecha y los que entrarán en vigor el 3 de agosto de 2019, este Instituto considera procedente permitir que los concesionarios acuerden un periodo de tiempo determinado para llevar a cabo las pruebas que consideren necesarias en la comunicación de los mensajes de señalización que intercambian entre sus redes públicas de telecomunicaciones, en virtud de que con estas acciones se asegurará que la transición hacia los nuevos mensajes de señalización se realizará en tiempo y forma. Asimismo, se considera conveniente que, en caso de ser técnicamente factible y siempre y cuando se garantice en todo momento la continuidad y calidad de los servicios de telecomunicaciones que se presten a sus usuarios, exista un periodo de convivencia en el cual los concesionarios que finalicen exitosamente las pruebas aplicables adopten definitivamente los nuevos formatos para el intercambio de dígit</w:t>
            </w:r>
            <w:r w:rsidR="009D4B7A">
              <w:rPr>
                <w:rFonts w:ascii="Arial" w:eastAsia="Times New Roman" w:hAnsi="Arial" w:cs="Arial"/>
                <w:kern w:val="2"/>
                <w:lang w:eastAsia="ar-SA"/>
              </w:rPr>
              <w:t>os del número de “B” previo al 3</w:t>
            </w:r>
            <w:r w:rsidRPr="0049437A">
              <w:rPr>
                <w:rFonts w:ascii="Arial" w:eastAsia="Times New Roman" w:hAnsi="Arial" w:cs="Arial"/>
                <w:kern w:val="2"/>
                <w:lang w:eastAsia="ar-SA"/>
              </w:rPr>
              <w:t xml:space="preserve"> de agosto de 2019. De esta forma, la migración hacia los nuevos mensajes de señalización se efectuará de una forma más gradual, transparente y ordenada. </w:t>
            </w:r>
          </w:p>
          <w:p w14:paraId="77B70C94" w14:textId="0D424104" w:rsidR="00700E9A" w:rsidRPr="00451B7D" w:rsidRDefault="00700E9A"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18EC2C5"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 </w:t>
                  </w:r>
                  <w:r w:rsidR="00700E9A">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D530E8">
                  <w:pPr>
                    <w:framePr w:hSpace="141" w:wrap="around" w:vAnchor="text" w:hAnchor="margin" w:y="356"/>
                    <w:jc w:val="both"/>
                    <w:rPr>
                      <w:rFonts w:ascii="ITC Avant Garde" w:hAnsi="ITC Avant Garde"/>
                      <w:sz w:val="18"/>
                      <w:szCs w:val="18"/>
                    </w:rPr>
                  </w:pPr>
                </w:p>
                <w:p w14:paraId="7CA4A6B4" w14:textId="77777777" w:rsidR="00596FDE" w:rsidRDefault="00596FDE" w:rsidP="00D530E8">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D530E8">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0A7A0548" w:rsidR="00BE7D1C" w:rsidRPr="00451B7D" w:rsidRDefault="00700E9A"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6082500C" w:rsidR="00BE7D1C" w:rsidRPr="00B46736" w:rsidRDefault="00585269" w:rsidP="00B46736">
                  <w:pPr>
                    <w:jc w:val="both"/>
                    <w:rPr>
                      <w:rFonts w:ascii="Arial" w:hAnsi="Arial" w:cs="Arial"/>
                    </w:rPr>
                  </w:pPr>
                  <w:r w:rsidRPr="00B46736">
                    <w:rPr>
                      <w:rFonts w:ascii="Arial" w:hAnsi="Arial" w:cs="Arial"/>
                    </w:rPr>
                    <w:t xml:space="preserve">No emitir la presente propuesta de modificación a los nuevos planes técnicos fundamentales de numeración y señalización implica que la fecha establecida para su entrada en vigor se mantiene </w:t>
                  </w:r>
                  <w:r w:rsidR="00904FBE" w:rsidRPr="00B46736">
                    <w:rPr>
                      <w:rFonts w:ascii="Arial" w:hAnsi="Arial" w:cs="Arial"/>
                    </w:rPr>
                    <w:t>para el 3 de agosto de 2019</w:t>
                  </w:r>
                </w:p>
              </w:tc>
              <w:tc>
                <w:tcPr>
                  <w:tcW w:w="3969" w:type="dxa"/>
                </w:tcPr>
                <w:p w14:paraId="3A0F5AC2" w14:textId="04C3E2C6" w:rsidR="00BE7D1C" w:rsidRPr="00EE42D7" w:rsidRDefault="00904FBE" w:rsidP="00A7440F">
                  <w:pPr>
                    <w:jc w:val="both"/>
                    <w:rPr>
                      <w:rFonts w:ascii="Arial" w:hAnsi="Arial" w:cs="Arial"/>
                    </w:rPr>
                  </w:pPr>
                  <w:r w:rsidRPr="00EE42D7">
                    <w:rPr>
                      <w:rFonts w:ascii="Arial" w:hAnsi="Arial" w:cs="Arial"/>
                    </w:rPr>
                    <w:t>Esta opción se considera inviable en virtud de que</w:t>
                  </w:r>
                  <w:r w:rsidR="00E94FB3" w:rsidRPr="00EE42D7">
                    <w:rPr>
                      <w:rFonts w:ascii="Arial" w:hAnsi="Arial" w:cs="Arial"/>
                    </w:rPr>
                    <w:t xml:space="preserve"> el “</w:t>
                  </w:r>
                  <w:r w:rsidR="00E94FB3" w:rsidRPr="00EE42D7">
                    <w:rPr>
                      <w:rFonts w:ascii="Arial" w:hAnsi="Arial" w:cs="Arial"/>
                      <w:i/>
                    </w:rPr>
                    <w:t>Acuerdo mediante el cual el Pleno del Instituto Federal de Telecomunicaciones establece</w:t>
                  </w:r>
                  <w:r w:rsidRPr="00EE42D7">
                    <w:rPr>
                      <w:rFonts w:ascii="Arial" w:hAnsi="Arial" w:cs="Arial"/>
                      <w:i/>
                    </w:rPr>
                    <w:t xml:space="preserve"> </w:t>
                  </w:r>
                  <w:r w:rsidR="00E94FB3" w:rsidRPr="00EE42D7">
                    <w:rPr>
                      <w:rFonts w:ascii="Arial" w:hAnsi="Arial" w:cs="Arial"/>
                      <w:i/>
                    </w:rPr>
                    <w:t>las condiciones</w:t>
                  </w:r>
                  <w:r w:rsidR="00E94FB3" w:rsidRPr="00EE42D7">
                    <w:rPr>
                      <w:rFonts w:ascii="Arial" w:eastAsia="Times New Roman" w:hAnsi="Arial" w:cs="Arial"/>
                      <w:i/>
                      <w:kern w:val="1"/>
                      <w:lang w:eastAsia="ar-SA"/>
                    </w:rPr>
                    <w:t xml:space="preserve"> </w:t>
                  </w:r>
                  <w:r w:rsidR="00E94FB3" w:rsidRPr="00EE42D7">
                    <w:rPr>
                      <w:rFonts w:ascii="Arial" w:hAnsi="Arial" w:cs="Arial"/>
                      <w:i/>
                    </w:rPr>
                    <w:t>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r w:rsidR="00E94FB3" w:rsidRPr="00EE42D7">
                    <w:rPr>
                      <w:rFonts w:ascii="Arial" w:hAnsi="Arial" w:cs="Arial"/>
                    </w:rPr>
                    <w:t>”</w:t>
                  </w:r>
                  <w:r w:rsidR="00C510BF" w:rsidRPr="00EE42D7">
                    <w:rPr>
                      <w:rFonts w:ascii="Arial" w:hAnsi="Arial" w:cs="Arial"/>
                    </w:rPr>
                    <w:t xml:space="preserve"> mantiene como fecha límite para el intercambio de tráfico en tecnología TDM el 31 de enero de 2022. En este sentido</w:t>
                  </w:r>
                  <w:r w:rsidR="00A7440F" w:rsidRPr="00EE42D7">
                    <w:rPr>
                      <w:rFonts w:ascii="Arial" w:hAnsi="Arial" w:cs="Arial"/>
                    </w:rPr>
                    <w:t xml:space="preserve"> y como se señaló en el punto 1 del presente documento, </w:t>
                  </w:r>
                  <w:r w:rsidR="00C510BF" w:rsidRPr="00EE42D7">
                    <w:rPr>
                      <w:rFonts w:ascii="Arial" w:hAnsi="Arial" w:cs="Arial"/>
                    </w:rPr>
                    <w:t>el iniciar la administración y asignación de recursos numéricos con base en zonas a partir del 3 de agosto de 2019</w:t>
                  </w:r>
                  <w:r w:rsidR="00A7440F" w:rsidRPr="00EE42D7">
                    <w:rPr>
                      <w:rFonts w:ascii="Arial" w:hAnsi="Arial" w:cs="Arial"/>
                    </w:rPr>
                    <w:t>,</w:t>
                  </w:r>
                  <w:r w:rsidR="00C510BF" w:rsidRPr="00EE42D7">
                    <w:rPr>
                      <w:rFonts w:ascii="Arial" w:hAnsi="Arial" w:cs="Arial"/>
                    </w:rPr>
                    <w:t xml:space="preserve"> podría resultar en </w:t>
                  </w:r>
                  <w:r w:rsidR="00A7440F" w:rsidRPr="00EE42D7">
                    <w:rPr>
                      <w:rFonts w:ascii="Arial" w:hAnsi="Arial" w:cs="Arial"/>
                    </w:rPr>
                    <w:t xml:space="preserve">la saturación de la capacidad de enrutamiento de los equipos de conmutación basados en tecnología TDM y afectar el enrutamiento de las </w:t>
                  </w:r>
                  <w:r w:rsidR="00C510BF" w:rsidRPr="00EE42D7">
                    <w:rPr>
                      <w:rFonts w:ascii="Arial" w:hAnsi="Arial" w:cs="Arial"/>
                    </w:rPr>
                    <w:t>llamadas</w:t>
                  </w:r>
                  <w:r w:rsidR="00A7440F" w:rsidRPr="00EE42D7">
                    <w:rPr>
                      <w:rFonts w:ascii="Arial" w:hAnsi="Arial" w:cs="Arial"/>
                    </w:rPr>
                    <w:t>.</w:t>
                  </w:r>
                  <w:r w:rsidR="00C510BF" w:rsidRPr="00EE42D7">
                    <w:rPr>
                      <w:rFonts w:ascii="Arial" w:hAnsi="Arial" w:cs="Arial"/>
                    </w:rPr>
                    <w:t xml:space="preserve"> </w:t>
                  </w: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45F86C45" w14:textId="77777777" w:rsidR="00BE7D1C" w:rsidRPr="00451B7D" w:rsidRDefault="00BE7D1C" w:rsidP="003F600A">
                  <w:pPr>
                    <w:jc w:val="center"/>
                    <w:rPr>
                      <w:rFonts w:ascii="ITC Avant Garde" w:hAnsi="ITC Avant Garde"/>
                      <w:sz w:val="18"/>
                      <w:szCs w:val="18"/>
                    </w:rPr>
                  </w:pPr>
                </w:p>
              </w:tc>
              <w:tc>
                <w:tcPr>
                  <w:tcW w:w="3969" w:type="dxa"/>
                </w:tcPr>
                <w:p w14:paraId="665E7213" w14:textId="77777777" w:rsidR="00BE7D1C" w:rsidRPr="00B46736" w:rsidRDefault="00BE7D1C" w:rsidP="003F600A">
                  <w:pPr>
                    <w:jc w:val="center"/>
                    <w:rPr>
                      <w:rFonts w:ascii="ITC Avant Garde" w:hAnsi="ITC Avant Garde"/>
                    </w:rPr>
                  </w:pP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lastRenderedPageBreak/>
              <w:t>4.- Justifique las razones por las que considera que la propuesta de regulación no genera costos de cumplimiento, independientemente de los beneficios que ésta genere:</w:t>
            </w:r>
          </w:p>
          <w:p w14:paraId="50030B0A" w14:textId="77777777" w:rsidR="00B46736" w:rsidRDefault="00B46736" w:rsidP="00B46736">
            <w:pPr>
              <w:pStyle w:val="Texto"/>
              <w:spacing w:after="60" w:line="213" w:lineRule="exact"/>
              <w:ind w:firstLine="0"/>
              <w:rPr>
                <w:rFonts w:ascii="ITC Avant Garde" w:hAnsi="ITC Avant Garde"/>
                <w:szCs w:val="18"/>
              </w:rPr>
            </w:pPr>
          </w:p>
          <w:p w14:paraId="155366CF" w14:textId="6AED2C0B" w:rsidR="00EE42D7" w:rsidRDefault="00A7440F" w:rsidP="00EE42D7">
            <w:pPr>
              <w:pStyle w:val="Texto"/>
              <w:spacing w:after="60" w:line="213" w:lineRule="exact"/>
              <w:ind w:firstLine="0"/>
              <w:rPr>
                <w:sz w:val="22"/>
                <w:szCs w:val="22"/>
              </w:rPr>
            </w:pPr>
            <w:r w:rsidRPr="00EE42D7">
              <w:rPr>
                <w:sz w:val="22"/>
                <w:szCs w:val="22"/>
              </w:rPr>
              <w:t>Al tratarse de un diferimiento para la</w:t>
            </w:r>
            <w:r w:rsidR="00B46736" w:rsidRPr="00EE42D7">
              <w:rPr>
                <w:sz w:val="22"/>
                <w:szCs w:val="22"/>
              </w:rPr>
              <w:t xml:space="preserve"> entrada en vigor de </w:t>
            </w:r>
            <w:r w:rsidR="00EE42D7" w:rsidRPr="00EE42D7">
              <w:rPr>
                <w:sz w:val="22"/>
                <w:szCs w:val="22"/>
              </w:rPr>
              <w:t>diversas</w:t>
            </w:r>
            <w:r w:rsidRPr="00EE42D7">
              <w:rPr>
                <w:sz w:val="22"/>
                <w:szCs w:val="22"/>
              </w:rPr>
              <w:t xml:space="preserve"> </w:t>
            </w:r>
            <w:r w:rsidR="00B46736" w:rsidRPr="00EE42D7">
              <w:rPr>
                <w:sz w:val="22"/>
                <w:szCs w:val="22"/>
              </w:rPr>
              <w:t>secciones contenidas en los planes técnicos fundamentales de numeración y señalización, as</w:t>
            </w:r>
            <w:r w:rsidR="00EE42D7" w:rsidRPr="00EE42D7">
              <w:rPr>
                <w:sz w:val="22"/>
                <w:szCs w:val="22"/>
              </w:rPr>
              <w:t>í como en</w:t>
            </w:r>
            <w:r w:rsidR="00B46736" w:rsidRPr="00EE42D7">
              <w:rPr>
                <w:sz w:val="22"/>
                <w:szCs w:val="22"/>
              </w:rPr>
              <w:t xml:space="preserve"> modificaciones a las Reglas de Portabilidad Numérica, </w:t>
            </w:r>
            <w:r w:rsidR="00EE42D7" w:rsidRPr="00EE42D7">
              <w:rPr>
                <w:sz w:val="22"/>
                <w:szCs w:val="22"/>
              </w:rPr>
              <w:t xml:space="preserve">todos </w:t>
            </w:r>
            <w:r w:rsidR="00B46736" w:rsidRPr="00EE42D7">
              <w:rPr>
                <w:sz w:val="22"/>
                <w:szCs w:val="22"/>
              </w:rPr>
              <w:t xml:space="preserve">publicados </w:t>
            </w:r>
            <w:r w:rsidR="00EE42D7" w:rsidRPr="00EE42D7">
              <w:rPr>
                <w:sz w:val="22"/>
                <w:szCs w:val="22"/>
              </w:rPr>
              <w:t xml:space="preserve">en el Diario Oficial de la Federación </w:t>
            </w:r>
            <w:r w:rsidR="00B46736" w:rsidRPr="00EE42D7">
              <w:rPr>
                <w:sz w:val="22"/>
                <w:szCs w:val="22"/>
              </w:rPr>
              <w:t>e</w:t>
            </w:r>
            <w:r w:rsidR="00EE42D7" w:rsidRPr="00EE42D7">
              <w:rPr>
                <w:sz w:val="22"/>
                <w:szCs w:val="22"/>
              </w:rPr>
              <w:t>l 11 de mayo de 2018</w:t>
            </w:r>
            <w:r w:rsidRPr="00EE42D7">
              <w:rPr>
                <w:sz w:val="22"/>
                <w:szCs w:val="22"/>
              </w:rPr>
              <w:t xml:space="preserve">, la propuesta de </w:t>
            </w:r>
            <w:r w:rsidR="00EE42D7" w:rsidRPr="00EE42D7">
              <w:rPr>
                <w:sz w:val="22"/>
                <w:szCs w:val="22"/>
              </w:rPr>
              <w:t xml:space="preserve">modificación a estas disposiciones administrativas de carácter general </w:t>
            </w:r>
            <w:r w:rsidRPr="00EE42D7">
              <w:rPr>
                <w:sz w:val="22"/>
                <w:szCs w:val="22"/>
              </w:rPr>
              <w:t xml:space="preserve">no genera costos adicionales a los previstos en el análisis de impacto regulatorio elaborado </w:t>
            </w:r>
            <w:r w:rsidR="00EE42D7" w:rsidRPr="00EE42D7">
              <w:rPr>
                <w:sz w:val="22"/>
                <w:szCs w:val="22"/>
              </w:rPr>
              <w:t xml:space="preserve">en su momento </w:t>
            </w:r>
            <w:r w:rsidRPr="00EE42D7">
              <w:rPr>
                <w:sz w:val="22"/>
                <w:szCs w:val="22"/>
              </w:rPr>
              <w:t xml:space="preserve">a efecto de emitir el </w:t>
            </w:r>
            <w:r w:rsidR="00EE42D7" w:rsidRPr="00EE42D7">
              <w:rPr>
                <w:i/>
                <w:sz w:val="22"/>
                <w:szCs w:val="22"/>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sidR="00EE42D7" w:rsidRPr="00EE42D7">
              <w:rPr>
                <w:sz w:val="22"/>
                <w:szCs w:val="22"/>
              </w:rPr>
              <w:t>.</w:t>
            </w:r>
          </w:p>
          <w:p w14:paraId="27BF86B4" w14:textId="683FE94F" w:rsidR="0034651B" w:rsidRDefault="0034651B" w:rsidP="00EE42D7">
            <w:pPr>
              <w:pStyle w:val="Texto"/>
              <w:spacing w:after="60" w:line="213" w:lineRule="exact"/>
              <w:ind w:firstLine="0"/>
              <w:rPr>
                <w:sz w:val="22"/>
                <w:szCs w:val="22"/>
              </w:rPr>
            </w:pPr>
          </w:p>
          <w:p w14:paraId="76E663B2" w14:textId="3772A63F" w:rsidR="0034651B" w:rsidRPr="00EE42D7" w:rsidRDefault="0034651B" w:rsidP="00EE42D7">
            <w:pPr>
              <w:pStyle w:val="Texto"/>
              <w:spacing w:after="60" w:line="213" w:lineRule="exact"/>
              <w:ind w:firstLine="0"/>
              <w:rPr>
                <w:sz w:val="22"/>
                <w:szCs w:val="22"/>
              </w:rPr>
            </w:pPr>
            <w:r>
              <w:rPr>
                <w:sz w:val="22"/>
                <w:szCs w:val="22"/>
              </w:rPr>
              <w:t xml:space="preserve">En lo referente a la obligación </w:t>
            </w:r>
            <w:r w:rsidR="0051717B">
              <w:rPr>
                <w:sz w:val="22"/>
                <w:szCs w:val="22"/>
              </w:rPr>
              <w:t xml:space="preserve">para que los concesionarios </w:t>
            </w:r>
            <w:r w:rsidR="0051717B">
              <w:rPr>
                <w:i/>
                <w:sz w:val="22"/>
                <w:szCs w:val="22"/>
                <w:lang w:val="es-ES_tradnl"/>
              </w:rPr>
              <w:t>lleven</w:t>
            </w:r>
            <w:r w:rsidRPr="00D36EF1">
              <w:rPr>
                <w:i/>
                <w:sz w:val="22"/>
                <w:szCs w:val="22"/>
                <w:lang w:val="es-ES_tradnl"/>
              </w:rPr>
              <w:t xml:space="preserve"> a cabo las pruebas que consideren necesarias con los nuevos mensajes de señalizac</w:t>
            </w:r>
            <w:r w:rsidR="0051717B">
              <w:rPr>
                <w:i/>
                <w:sz w:val="22"/>
                <w:szCs w:val="22"/>
                <w:lang w:val="es-ES_tradnl"/>
              </w:rPr>
              <w:t xml:space="preserve">ión establecidos en el </w:t>
            </w:r>
            <w:r w:rsidRPr="00D36EF1">
              <w:rPr>
                <w:i/>
                <w:sz w:val="22"/>
                <w:szCs w:val="22"/>
                <w:lang w:val="es-ES_tradnl"/>
              </w:rPr>
              <w:t xml:space="preserve">Plan </w:t>
            </w:r>
            <w:r w:rsidR="0051717B">
              <w:rPr>
                <w:i/>
                <w:sz w:val="22"/>
                <w:szCs w:val="22"/>
                <w:lang w:val="es-ES_tradnl"/>
              </w:rPr>
              <w:t xml:space="preserve">Técnico Fundamental de Señalización </w:t>
            </w:r>
            <w:r w:rsidRPr="00D36EF1">
              <w:rPr>
                <w:i/>
                <w:sz w:val="22"/>
                <w:szCs w:val="22"/>
                <w:lang w:val="es-ES_tradnl"/>
              </w:rPr>
              <w:t>para</w:t>
            </w:r>
            <w:r w:rsidR="0051717B">
              <w:rPr>
                <w:i/>
                <w:sz w:val="22"/>
                <w:szCs w:val="22"/>
                <w:lang w:val="es-ES_tradnl"/>
              </w:rPr>
              <w:t xml:space="preserve"> los distintos tipos de tráfico, s</w:t>
            </w:r>
            <w:r>
              <w:rPr>
                <w:i/>
                <w:sz w:val="22"/>
                <w:szCs w:val="22"/>
                <w:lang w:val="es-ES_tradnl"/>
              </w:rPr>
              <w:t>e considera que este ordenamiento</w:t>
            </w:r>
            <w:r w:rsidR="004401C3">
              <w:rPr>
                <w:i/>
                <w:sz w:val="22"/>
                <w:szCs w:val="22"/>
                <w:lang w:val="es-ES_tradnl"/>
              </w:rPr>
              <w:t xml:space="preserve"> </w:t>
            </w:r>
            <w:r>
              <w:rPr>
                <w:i/>
                <w:sz w:val="22"/>
                <w:szCs w:val="22"/>
                <w:lang w:val="es-ES_tradnl"/>
              </w:rPr>
              <w:t xml:space="preserve">facilitará que </w:t>
            </w:r>
            <w:r w:rsidRPr="0051717B">
              <w:rPr>
                <w:i/>
                <w:sz w:val="22"/>
                <w:szCs w:val="22"/>
                <w:lang w:val="es-ES_tradnl"/>
              </w:rPr>
              <w:t>la migración hacia los nuevos formatos para el intercambio de dígitos del número de “B” en la señalización entre redes públicas de telecomunicaciones se lleve a cabo de una forma gradual, transparente y ordenada.</w:t>
            </w:r>
          </w:p>
          <w:p w14:paraId="7CEF5AB6" w14:textId="62DEB85B" w:rsidR="00BE7D1C" w:rsidRPr="00A7440F" w:rsidRDefault="00A7440F" w:rsidP="00B46736">
            <w:pPr>
              <w:pStyle w:val="Texto"/>
              <w:spacing w:after="60" w:line="213" w:lineRule="exact"/>
              <w:ind w:firstLine="0"/>
              <w:rPr>
                <w:sz w:val="16"/>
              </w:rPr>
            </w:pPr>
            <w:r>
              <w:rPr>
                <w:rFonts w:ascii="ITC Avant Garde" w:hAnsi="ITC Avant Garde"/>
                <w:szCs w:val="18"/>
              </w:rPr>
              <w:t>.</w:t>
            </w:r>
          </w:p>
          <w:p w14:paraId="05780536" w14:textId="77777777" w:rsidR="00BE7D1C" w:rsidRPr="00451B7D" w:rsidRDefault="00BE7D1C" w:rsidP="003F600A">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A0BE33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2627ED7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7E56B43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00700E9A">
              <w:rPr>
                <w:rFonts w:ascii="ITC Avant Garde" w:hAnsi="ITC Avant Garde"/>
                <w:sz w:val="18"/>
                <w:szCs w:val="18"/>
              </w:rPr>
              <w:t xml:space="preserve"> ) No (X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2A4244A"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00700E9A">
              <w:rPr>
                <w:rFonts w:ascii="ITC Avant Garde" w:hAnsi="ITC Avant Garde"/>
                <w:sz w:val="18"/>
                <w:szCs w:val="18"/>
              </w:rPr>
              <w:t>) No (X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6ADD8E2D"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en 14 de julio de 2014;</w:t>
            </w:r>
          </w:p>
          <w:p w14:paraId="50A43D52"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Ley Federal de Telecomunicaciones y Radiodifusión;</w:t>
            </w:r>
          </w:p>
          <w:p w14:paraId="47D15F0F"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Plan Técnico Fundamental de Numeración, publicado en el DOF el 21 de junio de 1996;</w:t>
            </w:r>
          </w:p>
          <w:p w14:paraId="4638AE59"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Plan Técnico Fundamental de Señalización, publicado en el DOF el 21 de junio de 1996;</w:t>
            </w:r>
          </w:p>
          <w:p w14:paraId="07855564"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Resolución por la que el Pleno de la extinta Comisión Federal de Telecomunicaciones modifica el Plan Técnico Fundamental de Señalización, publicada en el Diario Oficial de la Federación el 14 de octubre de 2011;</w:t>
            </w:r>
          </w:p>
          <w:p w14:paraId="212994A1"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Reglas del Servicio Local, publicadas en el DOF el 22 de octubre de 1997;</w:t>
            </w:r>
          </w:p>
          <w:p w14:paraId="533799E9"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Reglas del Servicio de Larga Distancia, publicadas en el DOF el 21 de junio de 1996;</w:t>
            </w:r>
          </w:p>
          <w:p w14:paraId="17186D0B" w14:textId="77777777" w:rsidR="00700E9A" w:rsidRPr="00EE42D7" w:rsidRDefault="00700E9A" w:rsidP="00EE42D7">
            <w:pPr>
              <w:pStyle w:val="Prrafodelista"/>
              <w:numPr>
                <w:ilvl w:val="0"/>
                <w:numId w:val="3"/>
              </w:numPr>
              <w:ind w:left="174" w:hanging="142"/>
              <w:jc w:val="both"/>
              <w:rPr>
                <w:rFonts w:ascii="Arial" w:eastAsia="Times New Roman" w:hAnsi="Arial" w:cs="Arial"/>
                <w:lang w:val="es-ES" w:eastAsia="es-ES"/>
              </w:rPr>
            </w:pPr>
            <w:r w:rsidRPr="00EE42D7">
              <w:rPr>
                <w:rFonts w:ascii="Arial" w:eastAsia="Times New Roman" w:hAnsi="Arial" w:cs="Arial"/>
                <w:lang w:val="es-ES" w:eastAsia="es-ES"/>
              </w:rPr>
              <w:t xml:space="preserve">Resolución mediante la cual se modifican las reglas del servicio de larga distancia, publicadas el 21 de junio de 1996, para la implantación de la modalidad el que llama </w:t>
            </w:r>
            <w:r w:rsidRPr="00EE42D7">
              <w:rPr>
                <w:rFonts w:ascii="Arial" w:eastAsia="Times New Roman" w:hAnsi="Arial" w:cs="Arial"/>
                <w:lang w:val="es-ES" w:eastAsia="es-ES"/>
              </w:rPr>
              <w:lastRenderedPageBreak/>
              <w:t>paga nacional para llamadas de larga distancia nacional e internacional cuyo destino es un usuario del servicio local móvil, publicada en el Diario Oficial de la Federación el 13 de abril de 2006;</w:t>
            </w:r>
          </w:p>
          <w:p w14:paraId="1F1BF9F8"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Reglas de Portabilidad Numérica, publicadas en el DOF el 12 de noviembre de 2014;</w:t>
            </w:r>
          </w:p>
          <w:p w14:paraId="0F5150B3"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Disposición Técnica IFT-006-2015: Telecomunicaciones-Interfaz-Parte de transferencia de mensaje del sistema de señalización por canal común, publicada en el DOF el 27 de marzo de 2015;</w:t>
            </w:r>
          </w:p>
          <w:p w14:paraId="3D919FF2"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Disposición Técnica IFT-009-2015: Telecomunicaciones-Interfaz-Parte de usuario de servicios integrados del Sistema de Señalización Por Canal Común, publicada en el DOF el 21 de septiembre de 2015;</w:t>
            </w:r>
          </w:p>
          <w:p w14:paraId="16B1D43E"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DOF el 24 de diciembre de 2014;</w:t>
            </w:r>
          </w:p>
          <w:p w14:paraId="3F281362"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Acuerdo mediante el cual el Pleno del Instituto Federal de Telecomunicaciones define los puntos de interconexión a la red pública de telecomunicaciones del Agente Económico Preponderante, publicado en el Diario Oficial de la Federación el 17 de febrero de 2015;</w:t>
            </w:r>
          </w:p>
          <w:p w14:paraId="7F7C6DAA"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Acuerdo mediante el cual el Pleno del Instituto Federal de Telecomunicaciones establece las condiciones técnicas mínimas para la Interconexión entre concesionarios que operen redes públicas de telecomunicaciones, publicado en el Diario Oficial de la Federación el 5 de noviembre de 2015;</w:t>
            </w:r>
          </w:p>
          <w:p w14:paraId="63881581" w14:textId="77777777" w:rsidR="00700E9A" w:rsidRPr="00EE42D7" w:rsidRDefault="00700E9A"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r w:rsidRPr="00EE42D7">
              <w:rPr>
                <w:rFonts w:ascii="Arial" w:eastAsia="Times New Roman" w:hAnsi="Arial" w:cs="Arial"/>
                <w:color w:val="auto"/>
                <w:sz w:val="22"/>
                <w:szCs w:val="22"/>
                <w:bdr w:val="none" w:sz="0" w:space="0" w:color="auto"/>
                <w:lang w:val="es-ES"/>
              </w:rPr>
              <w:t>http://www.aftic.gob.ar/ (septiembre 14, 2015)</w:t>
            </w:r>
          </w:p>
          <w:p w14:paraId="76ADF4B7"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1" w:history="1">
              <w:r w:rsidR="00700E9A" w:rsidRPr="00EE42D7">
                <w:rPr>
                  <w:rFonts w:ascii="Arial" w:eastAsia="Times New Roman" w:hAnsi="Arial" w:cs="Arial"/>
                  <w:color w:val="auto"/>
                  <w:sz w:val="22"/>
                  <w:szCs w:val="22"/>
                  <w:bdr w:val="none" w:sz="0" w:space="0" w:color="auto"/>
                  <w:lang w:val="es-ES"/>
                </w:rPr>
                <w:t>http://www.anatel.gov.br/institucional/</w:t>
              </w:r>
            </w:hyperlink>
            <w:r w:rsidR="00700E9A" w:rsidRPr="00EE42D7">
              <w:rPr>
                <w:rFonts w:ascii="Arial" w:eastAsia="Times New Roman" w:hAnsi="Arial" w:cs="Arial"/>
                <w:color w:val="auto"/>
                <w:sz w:val="22"/>
                <w:szCs w:val="22"/>
                <w:bdr w:val="none" w:sz="0" w:space="0" w:color="auto"/>
                <w:lang w:val="es-ES"/>
              </w:rPr>
              <w:t xml:space="preserve"> (septiembre 14, 2015)</w:t>
            </w:r>
          </w:p>
          <w:p w14:paraId="0A91FE2E"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2" w:history="1">
              <w:r w:rsidR="00700E9A" w:rsidRPr="00EE42D7">
                <w:rPr>
                  <w:rFonts w:ascii="Arial" w:eastAsia="Times New Roman" w:hAnsi="Arial" w:cs="Arial"/>
                  <w:color w:val="auto"/>
                  <w:sz w:val="22"/>
                  <w:szCs w:val="22"/>
                  <w:bdr w:val="none" w:sz="0" w:space="0" w:color="auto"/>
                  <w:lang w:val="es-ES"/>
                </w:rPr>
                <w:t>http://crtc.gc.ca/cisc/eng/cisf3fg.htm/</w:t>
              </w:r>
            </w:hyperlink>
            <w:r w:rsidR="00700E9A" w:rsidRPr="00EE42D7">
              <w:rPr>
                <w:rFonts w:ascii="Arial" w:eastAsia="Times New Roman" w:hAnsi="Arial" w:cs="Arial"/>
                <w:color w:val="auto"/>
                <w:sz w:val="22"/>
                <w:szCs w:val="22"/>
                <w:bdr w:val="none" w:sz="0" w:space="0" w:color="auto"/>
                <w:lang w:val="es-ES"/>
              </w:rPr>
              <w:t xml:space="preserve"> (septiembre 14, 2015)</w:t>
            </w:r>
          </w:p>
          <w:p w14:paraId="1DD0DB31"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3" w:history="1">
              <w:r w:rsidR="00700E9A" w:rsidRPr="00EE42D7">
                <w:rPr>
                  <w:rFonts w:ascii="Arial" w:eastAsia="Times New Roman" w:hAnsi="Arial" w:cs="Arial"/>
                  <w:color w:val="auto"/>
                  <w:sz w:val="22"/>
                  <w:szCs w:val="22"/>
                  <w:bdr w:val="none" w:sz="0" w:space="0" w:color="auto"/>
                  <w:lang w:val="es-ES"/>
                </w:rPr>
                <w:t>http://www.nanpa.com/index.html/</w:t>
              </w:r>
            </w:hyperlink>
            <w:r w:rsidR="00700E9A" w:rsidRPr="00EE42D7">
              <w:rPr>
                <w:rFonts w:ascii="Arial" w:eastAsia="Times New Roman" w:hAnsi="Arial" w:cs="Arial"/>
                <w:color w:val="auto"/>
                <w:sz w:val="22"/>
                <w:szCs w:val="22"/>
                <w:bdr w:val="none" w:sz="0" w:space="0" w:color="auto"/>
                <w:lang w:val="es-ES"/>
              </w:rPr>
              <w:t xml:space="preserve"> (septiembre 10, 2015)</w:t>
            </w:r>
          </w:p>
          <w:p w14:paraId="7075AE48"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4" w:history="1">
              <w:r w:rsidR="00700E9A" w:rsidRPr="00EE42D7">
                <w:rPr>
                  <w:rFonts w:ascii="Arial" w:eastAsia="Times New Roman" w:hAnsi="Arial" w:cs="Arial"/>
                  <w:color w:val="auto"/>
                  <w:sz w:val="22"/>
                  <w:szCs w:val="22"/>
                  <w:bdr w:val="none" w:sz="0" w:space="0" w:color="auto"/>
                  <w:lang w:val="es-ES"/>
                </w:rPr>
                <w:t>http://www.subtel.gob.cl/</w:t>
              </w:r>
            </w:hyperlink>
            <w:r w:rsidR="00700E9A" w:rsidRPr="00EE42D7">
              <w:rPr>
                <w:rFonts w:ascii="Arial" w:eastAsia="Times New Roman" w:hAnsi="Arial" w:cs="Arial"/>
                <w:color w:val="auto"/>
                <w:sz w:val="22"/>
                <w:szCs w:val="22"/>
                <w:bdr w:val="none" w:sz="0" w:space="0" w:color="auto"/>
                <w:lang w:val="es-ES"/>
              </w:rPr>
              <w:t xml:space="preserve"> (septiembre 12, 2015)</w:t>
            </w:r>
          </w:p>
          <w:p w14:paraId="6DABE4EF"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5" w:history="1">
              <w:r w:rsidR="00700E9A" w:rsidRPr="00EE42D7">
                <w:rPr>
                  <w:rFonts w:ascii="Arial" w:eastAsia="Times New Roman" w:hAnsi="Arial" w:cs="Arial"/>
                  <w:color w:val="auto"/>
                  <w:sz w:val="22"/>
                  <w:szCs w:val="22"/>
                  <w:bdr w:val="none" w:sz="0" w:space="0" w:color="auto"/>
                  <w:lang w:val="es-ES"/>
                </w:rPr>
                <w:t>http://www.crcom.gov.co/</w:t>
              </w:r>
            </w:hyperlink>
            <w:r w:rsidR="00700E9A" w:rsidRPr="00EE42D7">
              <w:rPr>
                <w:rFonts w:ascii="Arial" w:eastAsia="Times New Roman" w:hAnsi="Arial" w:cs="Arial"/>
                <w:color w:val="auto"/>
                <w:sz w:val="22"/>
                <w:szCs w:val="22"/>
                <w:bdr w:val="none" w:sz="0" w:space="0" w:color="auto"/>
                <w:lang w:val="es-ES"/>
              </w:rPr>
              <w:t xml:space="preserve"> (septiembre 1, 2015)</w:t>
            </w:r>
          </w:p>
          <w:p w14:paraId="767A8A80"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6" w:history="1">
              <w:r w:rsidR="00700E9A" w:rsidRPr="00EE42D7">
                <w:rPr>
                  <w:rFonts w:ascii="Arial" w:eastAsia="Times New Roman" w:hAnsi="Arial" w:cs="Arial"/>
                  <w:color w:val="auto"/>
                  <w:sz w:val="22"/>
                  <w:szCs w:val="22"/>
                  <w:bdr w:val="none" w:sz="0" w:space="0" w:color="auto"/>
                  <w:lang w:val="es-ES"/>
                </w:rPr>
                <w:t>http://www.mintic.gov.co/portal/604/w3-channel.html/</w:t>
              </w:r>
            </w:hyperlink>
            <w:r w:rsidR="00700E9A" w:rsidRPr="00EE42D7">
              <w:rPr>
                <w:rFonts w:ascii="Arial" w:eastAsia="Times New Roman" w:hAnsi="Arial" w:cs="Arial"/>
                <w:color w:val="auto"/>
                <w:sz w:val="22"/>
                <w:szCs w:val="22"/>
                <w:bdr w:val="none" w:sz="0" w:space="0" w:color="auto"/>
                <w:lang w:val="es-ES"/>
              </w:rPr>
              <w:t xml:space="preserve"> (septiembre 1, 2015)</w:t>
            </w:r>
          </w:p>
          <w:p w14:paraId="56203D12"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7" w:history="1">
              <w:r w:rsidR="00700E9A" w:rsidRPr="00EE42D7">
                <w:rPr>
                  <w:rFonts w:ascii="Arial" w:eastAsia="Times New Roman" w:hAnsi="Arial" w:cs="Arial"/>
                  <w:color w:val="auto"/>
                  <w:sz w:val="22"/>
                  <w:szCs w:val="22"/>
                  <w:bdr w:val="none" w:sz="0" w:space="0" w:color="auto"/>
                  <w:lang w:val="es-ES"/>
                </w:rPr>
                <w:t>http://www.cnmc.es/</w:t>
              </w:r>
            </w:hyperlink>
            <w:r w:rsidR="00700E9A" w:rsidRPr="00EE42D7">
              <w:rPr>
                <w:rFonts w:ascii="Arial" w:eastAsia="Times New Roman" w:hAnsi="Arial" w:cs="Arial"/>
                <w:color w:val="auto"/>
                <w:sz w:val="22"/>
                <w:szCs w:val="22"/>
                <w:bdr w:val="none" w:sz="0" w:space="0" w:color="auto"/>
                <w:lang w:val="es-ES"/>
              </w:rPr>
              <w:t xml:space="preserve"> (septiembre 18, 2015)</w:t>
            </w:r>
          </w:p>
          <w:p w14:paraId="2DD3BD06"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8" w:history="1">
              <w:r w:rsidR="00700E9A" w:rsidRPr="00EE42D7">
                <w:rPr>
                  <w:rFonts w:ascii="Arial" w:eastAsia="Times New Roman" w:hAnsi="Arial" w:cs="Arial"/>
                  <w:color w:val="auto"/>
                  <w:sz w:val="22"/>
                  <w:szCs w:val="22"/>
                  <w:bdr w:val="none" w:sz="0" w:space="0" w:color="auto"/>
                  <w:lang w:val="es-ES"/>
                </w:rPr>
                <w:t>http://www.fcc.gov/</w:t>
              </w:r>
            </w:hyperlink>
            <w:r w:rsidR="00700E9A" w:rsidRPr="00EE42D7">
              <w:rPr>
                <w:rFonts w:ascii="Arial" w:eastAsia="Times New Roman" w:hAnsi="Arial" w:cs="Arial"/>
                <w:color w:val="auto"/>
                <w:sz w:val="22"/>
                <w:szCs w:val="22"/>
                <w:bdr w:val="none" w:sz="0" w:space="0" w:color="auto"/>
                <w:lang w:val="es-ES"/>
              </w:rPr>
              <w:t xml:space="preserve"> (septiembre 10, 2015)</w:t>
            </w:r>
          </w:p>
          <w:p w14:paraId="2F074EB8"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19" w:history="1">
              <w:r w:rsidR="00700E9A" w:rsidRPr="00EE42D7">
                <w:rPr>
                  <w:rFonts w:ascii="Arial" w:eastAsia="Times New Roman" w:hAnsi="Arial" w:cs="Arial"/>
                  <w:color w:val="auto"/>
                  <w:sz w:val="22"/>
                  <w:szCs w:val="22"/>
                  <w:bdr w:val="none" w:sz="0" w:space="0" w:color="auto"/>
                  <w:lang w:val="es-ES"/>
                </w:rPr>
                <w:t>http://www.arcep.fr/</w:t>
              </w:r>
            </w:hyperlink>
            <w:r w:rsidR="00700E9A" w:rsidRPr="00EE42D7">
              <w:rPr>
                <w:rFonts w:ascii="Arial" w:eastAsia="Times New Roman" w:hAnsi="Arial" w:cs="Arial"/>
                <w:color w:val="auto"/>
                <w:sz w:val="22"/>
                <w:szCs w:val="22"/>
                <w:bdr w:val="none" w:sz="0" w:space="0" w:color="auto"/>
                <w:lang w:val="es-ES"/>
              </w:rPr>
              <w:t xml:space="preserve"> (septiembre 14, 2015)</w:t>
            </w:r>
          </w:p>
          <w:p w14:paraId="4663C3E2"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0" w:history="1">
              <w:r w:rsidR="00700E9A" w:rsidRPr="00EE42D7">
                <w:rPr>
                  <w:rFonts w:ascii="Arial" w:eastAsia="Times New Roman" w:hAnsi="Arial" w:cs="Arial"/>
                  <w:color w:val="auto"/>
                  <w:sz w:val="22"/>
                  <w:szCs w:val="22"/>
                  <w:bdr w:val="none" w:sz="0" w:space="0" w:color="auto"/>
                  <w:lang w:val="es-ES"/>
                </w:rPr>
                <w:t>http://www.trai.gov.in/Content/History.aspx/</w:t>
              </w:r>
            </w:hyperlink>
            <w:r w:rsidR="00700E9A" w:rsidRPr="00EE42D7">
              <w:rPr>
                <w:rFonts w:ascii="Arial" w:eastAsia="Times New Roman" w:hAnsi="Arial" w:cs="Arial"/>
                <w:color w:val="auto"/>
                <w:sz w:val="22"/>
                <w:szCs w:val="22"/>
                <w:bdr w:val="none" w:sz="0" w:space="0" w:color="auto"/>
                <w:lang w:val="es-ES"/>
              </w:rPr>
              <w:t xml:space="preserve"> (octubre 17, 2015)</w:t>
            </w:r>
          </w:p>
          <w:p w14:paraId="7C5E832C"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1" w:history="1">
              <w:r w:rsidR="00700E9A" w:rsidRPr="00EE42D7">
                <w:rPr>
                  <w:rFonts w:ascii="Arial" w:eastAsia="Times New Roman" w:hAnsi="Arial" w:cs="Arial"/>
                  <w:color w:val="auto"/>
                  <w:sz w:val="22"/>
                  <w:szCs w:val="22"/>
                  <w:bdr w:val="none" w:sz="0" w:space="0" w:color="auto"/>
                  <w:lang w:val="es-ES"/>
                </w:rPr>
                <w:t>http://www.ofcom.org.uk/</w:t>
              </w:r>
            </w:hyperlink>
            <w:r w:rsidR="00700E9A" w:rsidRPr="00EE42D7">
              <w:rPr>
                <w:rFonts w:ascii="Arial" w:eastAsia="Times New Roman" w:hAnsi="Arial" w:cs="Arial"/>
                <w:color w:val="auto"/>
                <w:sz w:val="22"/>
                <w:szCs w:val="22"/>
                <w:bdr w:val="none" w:sz="0" w:space="0" w:color="auto"/>
                <w:lang w:val="es-ES"/>
              </w:rPr>
              <w:t xml:space="preserve"> (octubre 15, 2015)</w:t>
            </w:r>
          </w:p>
          <w:p w14:paraId="50DB3987"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2" w:history="1">
              <w:r w:rsidR="00700E9A" w:rsidRPr="00EE42D7">
                <w:rPr>
                  <w:rFonts w:ascii="Arial" w:eastAsia="Times New Roman" w:hAnsi="Arial" w:cs="Arial"/>
                  <w:color w:val="auto"/>
                  <w:sz w:val="22"/>
                  <w:szCs w:val="22"/>
                  <w:bdr w:val="none" w:sz="0" w:space="0" w:color="auto"/>
                  <w:lang w:val="es-ES"/>
                </w:rPr>
                <w:t>http://www.npac.com/</w:t>
              </w:r>
            </w:hyperlink>
            <w:r w:rsidR="00700E9A" w:rsidRPr="00EE42D7">
              <w:rPr>
                <w:rFonts w:ascii="Arial" w:eastAsia="Times New Roman" w:hAnsi="Arial" w:cs="Arial"/>
                <w:color w:val="auto"/>
                <w:sz w:val="22"/>
                <w:szCs w:val="22"/>
                <w:bdr w:val="none" w:sz="0" w:space="0" w:color="auto"/>
                <w:lang w:val="es-ES"/>
              </w:rPr>
              <w:t xml:space="preserve"> (septiembre 10, 2015)</w:t>
            </w:r>
          </w:p>
          <w:p w14:paraId="053AC457" w14:textId="77777777" w:rsidR="00700E9A" w:rsidRPr="00EE42D7" w:rsidRDefault="00D530E8" w:rsidP="00EE42D7">
            <w:pPr>
              <w:pStyle w:val="EntuizerCuerpo"/>
              <w:numPr>
                <w:ilvl w:val="0"/>
                <w:numId w:val="3"/>
              </w:numPr>
              <w:spacing w:before="0"/>
              <w:ind w:left="174" w:hanging="142"/>
              <w:rPr>
                <w:rFonts w:ascii="Arial" w:eastAsia="Times New Roman" w:hAnsi="Arial" w:cs="Arial"/>
                <w:color w:val="auto"/>
                <w:sz w:val="22"/>
                <w:szCs w:val="22"/>
                <w:bdr w:val="none" w:sz="0" w:space="0" w:color="auto"/>
                <w:lang w:val="es-ES"/>
              </w:rPr>
            </w:pPr>
            <w:hyperlink r:id="rId23" w:history="1">
              <w:r w:rsidR="00700E9A" w:rsidRPr="00EE42D7">
                <w:rPr>
                  <w:rFonts w:ascii="Arial" w:eastAsia="Times New Roman" w:hAnsi="Arial" w:cs="Arial"/>
                  <w:color w:val="auto"/>
                  <w:sz w:val="22"/>
                  <w:szCs w:val="22"/>
                  <w:bdr w:val="none" w:sz="0" w:space="0" w:color="auto"/>
                  <w:lang w:val="es-ES"/>
                </w:rPr>
                <w:t>http://www.neustar.biz/</w:t>
              </w:r>
            </w:hyperlink>
            <w:r w:rsidR="00700E9A" w:rsidRPr="00EE42D7">
              <w:rPr>
                <w:rFonts w:ascii="Arial" w:eastAsia="Times New Roman" w:hAnsi="Arial" w:cs="Arial"/>
                <w:color w:val="auto"/>
                <w:sz w:val="22"/>
                <w:szCs w:val="22"/>
                <w:bdr w:val="none" w:sz="0" w:space="0" w:color="auto"/>
                <w:lang w:val="es-ES"/>
              </w:rPr>
              <w:t xml:space="preserve"> (septiembre 18, 2015)</w:t>
            </w:r>
          </w:p>
          <w:p w14:paraId="7CDC0B4D" w14:textId="3A8AFE58" w:rsidR="00870931" w:rsidRPr="00451B7D" w:rsidRDefault="00D530E8" w:rsidP="00EE42D7">
            <w:pPr>
              <w:pStyle w:val="Prrafodelista"/>
              <w:numPr>
                <w:ilvl w:val="0"/>
                <w:numId w:val="3"/>
              </w:numPr>
              <w:ind w:left="174" w:hanging="142"/>
              <w:jc w:val="both"/>
              <w:rPr>
                <w:rFonts w:ascii="ITC Avant Garde" w:hAnsi="ITC Avant Garde"/>
                <w:sz w:val="18"/>
                <w:szCs w:val="18"/>
              </w:rPr>
            </w:pPr>
            <w:hyperlink r:id="rId24" w:history="1">
              <w:r w:rsidR="00700E9A" w:rsidRPr="00EE42D7">
                <w:rPr>
                  <w:rFonts w:ascii="Arial" w:eastAsia="Times New Roman" w:hAnsi="Arial" w:cs="Arial"/>
                  <w:lang w:val="es-ES" w:eastAsia="es-ES"/>
                </w:rPr>
                <w:t>http://www.nanpa.com/nruf/index.html/</w:t>
              </w:r>
            </w:hyperlink>
            <w:r w:rsidR="00700E9A" w:rsidRPr="00EE42D7">
              <w:rPr>
                <w:rFonts w:ascii="Arial" w:eastAsia="Times New Roman" w:hAnsi="Arial" w:cs="Arial"/>
                <w:lang w:val="es-ES" w:eastAsia="es-ES"/>
              </w:rPr>
              <w:t xml:space="preserve"> (septiembre 10, 2015)</w:t>
            </w: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E7312" w14:textId="77777777" w:rsidR="00CF4983" w:rsidRDefault="00CF4983" w:rsidP="00501ADF">
      <w:pPr>
        <w:spacing w:after="0" w:line="240" w:lineRule="auto"/>
      </w:pPr>
      <w:r>
        <w:separator/>
      </w:r>
    </w:p>
  </w:endnote>
  <w:endnote w:type="continuationSeparator" w:id="0">
    <w:p w14:paraId="1A25D3B4" w14:textId="77777777" w:rsidR="00CF4983" w:rsidRDefault="00CF498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43"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52357961"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D530E8">
              <w:rPr>
                <w:b/>
                <w:bCs/>
                <w:noProof/>
                <w:sz w:val="20"/>
              </w:rPr>
              <w:t>3</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2940" w14:textId="77777777" w:rsidR="00CF4983" w:rsidRDefault="00CF4983" w:rsidP="00501ADF">
      <w:pPr>
        <w:spacing w:after="0" w:line="240" w:lineRule="auto"/>
      </w:pPr>
      <w:r>
        <w:separator/>
      </w:r>
    </w:p>
  </w:footnote>
  <w:footnote w:type="continuationSeparator" w:id="0">
    <w:p w14:paraId="75BCDC78" w14:textId="77777777" w:rsidR="00CF4983" w:rsidRDefault="00CF4983"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394626"/>
    <w:multiLevelType w:val="hybridMultilevel"/>
    <w:tmpl w:val="FB0C8484"/>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A14"/>
    <w:rsid w:val="00021824"/>
    <w:rsid w:val="00021FB4"/>
    <w:rsid w:val="00044D30"/>
    <w:rsid w:val="00056AE8"/>
    <w:rsid w:val="0006478F"/>
    <w:rsid w:val="0008149E"/>
    <w:rsid w:val="0008542D"/>
    <w:rsid w:val="000B4BF7"/>
    <w:rsid w:val="000C16BC"/>
    <w:rsid w:val="000D401B"/>
    <w:rsid w:val="000E6A13"/>
    <w:rsid w:val="000F669B"/>
    <w:rsid w:val="00177F7B"/>
    <w:rsid w:val="00181A32"/>
    <w:rsid w:val="001932FC"/>
    <w:rsid w:val="001B4A51"/>
    <w:rsid w:val="001D3C28"/>
    <w:rsid w:val="001E26FE"/>
    <w:rsid w:val="00206C6C"/>
    <w:rsid w:val="00211C96"/>
    <w:rsid w:val="00247B33"/>
    <w:rsid w:val="00286496"/>
    <w:rsid w:val="00295E97"/>
    <w:rsid w:val="002D28C7"/>
    <w:rsid w:val="002E56F1"/>
    <w:rsid w:val="0030055F"/>
    <w:rsid w:val="003039BF"/>
    <w:rsid w:val="00304F52"/>
    <w:rsid w:val="00323167"/>
    <w:rsid w:val="00333B41"/>
    <w:rsid w:val="0034651B"/>
    <w:rsid w:val="00372BF7"/>
    <w:rsid w:val="0039169A"/>
    <w:rsid w:val="003949C0"/>
    <w:rsid w:val="003A72BC"/>
    <w:rsid w:val="003B48A5"/>
    <w:rsid w:val="003D5D98"/>
    <w:rsid w:val="003E1D84"/>
    <w:rsid w:val="003F05E7"/>
    <w:rsid w:val="004226AE"/>
    <w:rsid w:val="004401C3"/>
    <w:rsid w:val="00445B6A"/>
    <w:rsid w:val="00451B7D"/>
    <w:rsid w:val="004603F7"/>
    <w:rsid w:val="0049127C"/>
    <w:rsid w:val="004A7C30"/>
    <w:rsid w:val="004B6836"/>
    <w:rsid w:val="004D4B77"/>
    <w:rsid w:val="004E0AA9"/>
    <w:rsid w:val="004E0DA9"/>
    <w:rsid w:val="00501ADF"/>
    <w:rsid w:val="0051717B"/>
    <w:rsid w:val="00525271"/>
    <w:rsid w:val="005319D5"/>
    <w:rsid w:val="00585269"/>
    <w:rsid w:val="00596FDE"/>
    <w:rsid w:val="005A06B2"/>
    <w:rsid w:val="005A40FB"/>
    <w:rsid w:val="005B2C92"/>
    <w:rsid w:val="005C44A8"/>
    <w:rsid w:val="006220C6"/>
    <w:rsid w:val="00623EB8"/>
    <w:rsid w:val="00634DE8"/>
    <w:rsid w:val="00641D09"/>
    <w:rsid w:val="00647FB6"/>
    <w:rsid w:val="006717D5"/>
    <w:rsid w:val="0068307E"/>
    <w:rsid w:val="006A3A0E"/>
    <w:rsid w:val="006D7556"/>
    <w:rsid w:val="006D7A08"/>
    <w:rsid w:val="00700E9A"/>
    <w:rsid w:val="007018A1"/>
    <w:rsid w:val="00712636"/>
    <w:rsid w:val="00714252"/>
    <w:rsid w:val="0074323F"/>
    <w:rsid w:val="0076488A"/>
    <w:rsid w:val="007906D0"/>
    <w:rsid w:val="007A37D6"/>
    <w:rsid w:val="007A75A4"/>
    <w:rsid w:val="007C425A"/>
    <w:rsid w:val="007D4E5B"/>
    <w:rsid w:val="007F37BF"/>
    <w:rsid w:val="00801FED"/>
    <w:rsid w:val="00804F49"/>
    <w:rsid w:val="008135FB"/>
    <w:rsid w:val="00814A48"/>
    <w:rsid w:val="00827470"/>
    <w:rsid w:val="0084560D"/>
    <w:rsid w:val="0086684A"/>
    <w:rsid w:val="00870931"/>
    <w:rsid w:val="00876D05"/>
    <w:rsid w:val="0089319E"/>
    <w:rsid w:val="008A1704"/>
    <w:rsid w:val="008A48B0"/>
    <w:rsid w:val="008C76AF"/>
    <w:rsid w:val="008E1AD3"/>
    <w:rsid w:val="008E3011"/>
    <w:rsid w:val="008F0A9A"/>
    <w:rsid w:val="00904FBE"/>
    <w:rsid w:val="009058DB"/>
    <w:rsid w:val="00911216"/>
    <w:rsid w:val="009442FD"/>
    <w:rsid w:val="009656B1"/>
    <w:rsid w:val="009806B7"/>
    <w:rsid w:val="00986E23"/>
    <w:rsid w:val="009D10E1"/>
    <w:rsid w:val="009D4B7A"/>
    <w:rsid w:val="009D5C70"/>
    <w:rsid w:val="009D73E5"/>
    <w:rsid w:val="009E2F03"/>
    <w:rsid w:val="009F237F"/>
    <w:rsid w:val="00A1622C"/>
    <w:rsid w:val="00A7211D"/>
    <w:rsid w:val="00A73AD8"/>
    <w:rsid w:val="00A7440F"/>
    <w:rsid w:val="00A81C3A"/>
    <w:rsid w:val="00A855B0"/>
    <w:rsid w:val="00AA4CB3"/>
    <w:rsid w:val="00B2360F"/>
    <w:rsid w:val="00B24AB5"/>
    <w:rsid w:val="00B32137"/>
    <w:rsid w:val="00B32DDD"/>
    <w:rsid w:val="00B41497"/>
    <w:rsid w:val="00B43D57"/>
    <w:rsid w:val="00B46736"/>
    <w:rsid w:val="00B6461E"/>
    <w:rsid w:val="00B74C55"/>
    <w:rsid w:val="00B74F10"/>
    <w:rsid w:val="00B77B4B"/>
    <w:rsid w:val="00BA0F10"/>
    <w:rsid w:val="00BA4E93"/>
    <w:rsid w:val="00BB73BA"/>
    <w:rsid w:val="00BC2FF7"/>
    <w:rsid w:val="00BC4426"/>
    <w:rsid w:val="00BE7D1C"/>
    <w:rsid w:val="00C37872"/>
    <w:rsid w:val="00C43A00"/>
    <w:rsid w:val="00C510BF"/>
    <w:rsid w:val="00C53388"/>
    <w:rsid w:val="00C5470D"/>
    <w:rsid w:val="00C917FC"/>
    <w:rsid w:val="00CE2EA1"/>
    <w:rsid w:val="00CF4983"/>
    <w:rsid w:val="00D02DA9"/>
    <w:rsid w:val="00D0386B"/>
    <w:rsid w:val="00D221B5"/>
    <w:rsid w:val="00D23BD5"/>
    <w:rsid w:val="00D31AE9"/>
    <w:rsid w:val="00D530E8"/>
    <w:rsid w:val="00D55CA7"/>
    <w:rsid w:val="00DB01FA"/>
    <w:rsid w:val="00DC1ADB"/>
    <w:rsid w:val="00DD07D9"/>
    <w:rsid w:val="00DE6F24"/>
    <w:rsid w:val="00E046F4"/>
    <w:rsid w:val="00E16506"/>
    <w:rsid w:val="00E21B49"/>
    <w:rsid w:val="00E27972"/>
    <w:rsid w:val="00E45263"/>
    <w:rsid w:val="00E6080B"/>
    <w:rsid w:val="00E768BA"/>
    <w:rsid w:val="00E8340B"/>
    <w:rsid w:val="00E94FB3"/>
    <w:rsid w:val="00EE42D7"/>
    <w:rsid w:val="00EE6FE8"/>
    <w:rsid w:val="00F03289"/>
    <w:rsid w:val="00F31821"/>
    <w:rsid w:val="00F342A4"/>
    <w:rsid w:val="00F75427"/>
    <w:rsid w:val="00F75C80"/>
    <w:rsid w:val="00F9299E"/>
    <w:rsid w:val="00F94A28"/>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EntuizerCuerpo">
    <w:name w:val="Entuizer Cuerpo"/>
    <w:basedOn w:val="Normal"/>
    <w:qFormat/>
    <w:rsid w:val="00700E9A"/>
    <w:pPr>
      <w:pBdr>
        <w:top w:val="nil"/>
        <w:left w:val="nil"/>
        <w:bottom w:val="nil"/>
        <w:right w:val="nil"/>
        <w:between w:val="nil"/>
        <w:bar w:val="nil"/>
      </w:pBdr>
      <w:spacing w:before="60" w:after="0" w:line="276" w:lineRule="auto"/>
      <w:jc w:val="both"/>
    </w:pPr>
    <w:rPr>
      <w:rFonts w:ascii="Calibri Light" w:eastAsia="Helvetica Neue Light" w:hAnsi="Calibri Light" w:cs="Helvetica Neue Light"/>
      <w:color w:val="000000"/>
      <w:sz w:val="24"/>
      <w:szCs w:val="24"/>
      <w:bdr w:val="nil"/>
      <w:lang w:val="es-ES_tradnl" w:eastAsia="es-ES"/>
    </w:rPr>
  </w:style>
  <w:style w:type="character" w:customStyle="1" w:styleId="PrrafodelistaCar">
    <w:name w:val="Párrafo de lista Car"/>
    <w:link w:val="Prrafodelista"/>
    <w:uiPriority w:val="34"/>
    <w:locked/>
    <w:rsid w:val="00700E9A"/>
  </w:style>
  <w:style w:type="paragraph" w:customStyle="1" w:styleId="Texto">
    <w:name w:val="Texto"/>
    <w:basedOn w:val="Normal"/>
    <w:link w:val="TextoCar"/>
    <w:rsid w:val="00A744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7440F"/>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517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npa.com/index.html/" TargetMode="External"/><Relationship Id="rId18" Type="http://schemas.openxmlformats.org/officeDocument/2006/relationships/hyperlink" Target="http://www.fcc.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fcom.org.uk/" TargetMode="External"/><Relationship Id="rId7" Type="http://schemas.openxmlformats.org/officeDocument/2006/relationships/settings" Target="settings.xml"/><Relationship Id="rId12" Type="http://schemas.openxmlformats.org/officeDocument/2006/relationships/hyperlink" Target="http://crtc.gc.ca/cisc/eng/cisf3fg.htm/" TargetMode="External"/><Relationship Id="rId17" Type="http://schemas.openxmlformats.org/officeDocument/2006/relationships/hyperlink" Target="http://www.cnm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ntic.gov.co/portal/604/w3-channel.html/" TargetMode="External"/><Relationship Id="rId20" Type="http://schemas.openxmlformats.org/officeDocument/2006/relationships/hyperlink" Target="http://www.trai.gov.in/Content/History.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atel.gov.br/institucional/" TargetMode="External"/><Relationship Id="rId24" Type="http://schemas.openxmlformats.org/officeDocument/2006/relationships/hyperlink" Target="http://www.nanpa.com/nruf/index.html/" TargetMode="External"/><Relationship Id="rId5" Type="http://schemas.openxmlformats.org/officeDocument/2006/relationships/numbering" Target="numbering.xml"/><Relationship Id="rId15" Type="http://schemas.openxmlformats.org/officeDocument/2006/relationships/hyperlink" Target="http://www.crcom.gov.co/" TargetMode="External"/><Relationship Id="rId23" Type="http://schemas.openxmlformats.org/officeDocument/2006/relationships/hyperlink" Target="http://www.neustar.biz/"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arcep.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btel.gob.cl/" TargetMode="External"/><Relationship Id="rId22" Type="http://schemas.openxmlformats.org/officeDocument/2006/relationships/hyperlink" Target="http://www.npac.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43"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1D35B4"/>
    <w:rsid w:val="002D1216"/>
    <w:rsid w:val="00313081"/>
    <w:rsid w:val="00361AF2"/>
    <w:rsid w:val="00504DE3"/>
    <w:rsid w:val="0051743B"/>
    <w:rsid w:val="00540EA6"/>
    <w:rsid w:val="0058081F"/>
    <w:rsid w:val="006020B4"/>
    <w:rsid w:val="00622624"/>
    <w:rsid w:val="0067131A"/>
    <w:rsid w:val="007118CA"/>
    <w:rsid w:val="00760FAD"/>
    <w:rsid w:val="00773EB6"/>
    <w:rsid w:val="007B146F"/>
    <w:rsid w:val="00807883"/>
    <w:rsid w:val="00895355"/>
    <w:rsid w:val="00963F51"/>
    <w:rsid w:val="00981D52"/>
    <w:rsid w:val="00A80CA9"/>
    <w:rsid w:val="00B05362"/>
    <w:rsid w:val="00B234BA"/>
    <w:rsid w:val="00B53C30"/>
    <w:rsid w:val="00B748CE"/>
    <w:rsid w:val="00BD02AE"/>
    <w:rsid w:val="00BD59E5"/>
    <w:rsid w:val="00CF1BA4"/>
    <w:rsid w:val="00DB3940"/>
    <w:rsid w:val="00E75A8C"/>
    <w:rsid w:val="00EB2284"/>
    <w:rsid w:val="00F04DDA"/>
    <w:rsid w:val="00F873A7"/>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276D8B-79C9-4FCA-BB9C-E76AF131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2373</Words>
  <Characters>13053</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Yaratzet Funes Lopez</cp:lastModifiedBy>
  <cp:revision>2</cp:revision>
  <dcterms:created xsi:type="dcterms:W3CDTF">2019-02-26T23:01:00Z</dcterms:created>
  <dcterms:modified xsi:type="dcterms:W3CDTF">2019-02-26T23:01:00Z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