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0BAD8" w14:textId="1444EBAC" w:rsidR="00112F6D" w:rsidRPr="00C26691" w:rsidRDefault="00112F6D" w:rsidP="005208B8">
      <w:pPr>
        <w:jc w:val="both"/>
        <w:rPr>
          <w:rFonts w:ascii="Arial" w:hAnsi="Arial" w:cs="Arial"/>
          <w:b/>
          <w:sz w:val="24"/>
          <w:szCs w:val="24"/>
        </w:rPr>
      </w:pPr>
      <w:r w:rsidRPr="00C26691">
        <w:rPr>
          <w:rFonts w:ascii="Arial" w:hAnsi="Arial" w:cs="Arial"/>
          <w:b/>
          <w:sz w:val="24"/>
          <w:szCs w:val="24"/>
        </w:rPr>
        <w:t xml:space="preserve">RESPUESTAS GENERALES </w:t>
      </w:r>
      <w:r w:rsidR="00194E2A" w:rsidRPr="00C26691">
        <w:rPr>
          <w:rFonts w:ascii="Arial" w:hAnsi="Arial" w:cs="Arial"/>
          <w:b/>
          <w:sz w:val="24"/>
          <w:szCs w:val="24"/>
        </w:rPr>
        <w:t>D</w:t>
      </w:r>
      <w:r w:rsidRPr="00C26691">
        <w:rPr>
          <w:rFonts w:ascii="Arial" w:hAnsi="Arial" w:cs="Arial"/>
          <w:b/>
          <w:sz w:val="24"/>
          <w:szCs w:val="24"/>
        </w:rPr>
        <w:t>EL INSTITUTO FEDERAL DE TELECOMUNICACIONES A LAS MANIFESTACIONES, OPINIONES, COMENTARIOS Y PROPUESTAS CONCRETAS, PRESENTADAS DURANTE LA CONSULTA PÚBLICA DEL “</w:t>
      </w:r>
      <w:r w:rsidR="005208B8" w:rsidRPr="00C26691">
        <w:rPr>
          <w:rFonts w:ascii="Arial" w:hAnsi="Arial" w:cs="Arial"/>
          <w:b/>
          <w:sz w:val="24"/>
          <w:szCs w:val="24"/>
        </w:rPr>
        <w:t>ANTEPROYECTO DE ACUERDO MEDIANTE EL CUAL EL PLENO DEL INSTITUTO FEDERAL DE TELECOMUNICACIONES MODIFICA LOS PLANES TÉCNICOS FUNDAMENTALES DE NUMERACIÓN Y SEÑALIZACIÓN Y LO REFERENTE A LAS REGLAS DE PORTABILIDAD NUMÉRICA, PUBLICADOS EN EL DIARIO OFICIAL DE LA F</w:t>
      </w:r>
      <w:r w:rsidR="00C6272F">
        <w:rPr>
          <w:rFonts w:ascii="Arial" w:hAnsi="Arial" w:cs="Arial"/>
          <w:b/>
          <w:sz w:val="24"/>
          <w:szCs w:val="24"/>
        </w:rPr>
        <w:t>EDERACIÓN EL 11 DE MAYO DE 2018</w:t>
      </w:r>
      <w:r w:rsidRPr="00C26691">
        <w:rPr>
          <w:rFonts w:ascii="Arial" w:hAnsi="Arial" w:cs="Arial"/>
          <w:b/>
          <w:i/>
          <w:sz w:val="24"/>
          <w:szCs w:val="24"/>
        </w:rPr>
        <w:t>”.</w:t>
      </w:r>
      <w:r w:rsidRPr="00C26691">
        <w:rPr>
          <w:rFonts w:ascii="Arial" w:hAnsi="Arial" w:cs="Arial"/>
          <w:b/>
          <w:sz w:val="24"/>
          <w:szCs w:val="24"/>
        </w:rPr>
        <w:t xml:space="preserve"> </w:t>
      </w:r>
    </w:p>
    <w:p w14:paraId="60CCB7E0" w14:textId="77777777" w:rsidR="00112F6D" w:rsidRPr="00C26691" w:rsidRDefault="00112F6D" w:rsidP="00112F6D">
      <w:pPr>
        <w:pStyle w:val="Default"/>
        <w:jc w:val="both"/>
        <w:rPr>
          <w:rFonts w:ascii="Arial" w:hAnsi="Arial" w:cs="Arial"/>
          <w:b/>
        </w:rPr>
      </w:pPr>
    </w:p>
    <w:p w14:paraId="14DB4AB0" w14:textId="43D8A6DA" w:rsidR="00183AF1" w:rsidRPr="00C26691" w:rsidRDefault="00183AF1" w:rsidP="00183AF1">
      <w:pPr>
        <w:pStyle w:val="Default"/>
        <w:jc w:val="both"/>
        <w:rPr>
          <w:rFonts w:ascii="Arial" w:hAnsi="Arial" w:cs="Arial"/>
        </w:rPr>
      </w:pPr>
      <w:r>
        <w:rPr>
          <w:rFonts w:ascii="Arial" w:hAnsi="Arial" w:cs="Arial"/>
        </w:rPr>
        <w:t xml:space="preserve">El Anteproyecto </w:t>
      </w:r>
      <w:r w:rsidR="001A5008">
        <w:rPr>
          <w:rFonts w:ascii="Arial" w:hAnsi="Arial" w:cs="Arial"/>
        </w:rPr>
        <w:t>de acuerdo mediante el cual el Pleno del Instituto Federal de T</w:t>
      </w:r>
      <w:r w:rsidR="001A5008" w:rsidRPr="001A5008">
        <w:rPr>
          <w:rFonts w:ascii="Arial" w:hAnsi="Arial" w:cs="Arial"/>
        </w:rPr>
        <w:t>elecomunicaciones modifica los planes técnicos fundamentales de numeración y señalización y lo referente a las reglas de portabili</w:t>
      </w:r>
      <w:r w:rsidR="001A5008">
        <w:rPr>
          <w:rFonts w:ascii="Arial" w:hAnsi="Arial" w:cs="Arial"/>
        </w:rPr>
        <w:t>dad numérica, publicados en el Diario Oficial de la F</w:t>
      </w:r>
      <w:r w:rsidR="001A5008" w:rsidRPr="001A5008">
        <w:rPr>
          <w:rFonts w:ascii="Arial" w:hAnsi="Arial" w:cs="Arial"/>
        </w:rPr>
        <w:t>ederación el 11 de mayo de 2018</w:t>
      </w:r>
      <w:r w:rsidR="001A5008">
        <w:rPr>
          <w:rFonts w:ascii="Arial" w:hAnsi="Arial" w:cs="Arial"/>
        </w:rPr>
        <w:t xml:space="preserve"> (“Anteproyecto”) </w:t>
      </w:r>
      <w:r>
        <w:rPr>
          <w:rFonts w:ascii="Arial" w:hAnsi="Arial" w:cs="Arial"/>
        </w:rPr>
        <w:t>fue sometido a un proceso de consulta pública d</w:t>
      </w:r>
      <w:r w:rsidR="004F48AC" w:rsidRPr="00C26691">
        <w:rPr>
          <w:rFonts w:ascii="Arial" w:hAnsi="Arial" w:cs="Arial"/>
        </w:rPr>
        <w:t>urante el periodo comprendido entre el 17 de diciembre de 2018 y el 29 de enero de 2019</w:t>
      </w:r>
      <w:r>
        <w:rPr>
          <w:rFonts w:ascii="Arial" w:hAnsi="Arial" w:cs="Arial"/>
        </w:rPr>
        <w:t xml:space="preserve">. En este plazo de duración de la consulta pública se </w:t>
      </w:r>
      <w:r w:rsidRPr="00C26691">
        <w:rPr>
          <w:rFonts w:ascii="Arial" w:hAnsi="Arial" w:cs="Arial"/>
        </w:rPr>
        <w:t xml:space="preserve">recibieron 14 participaciones, una de persona física y 13 de personas morales: </w:t>
      </w:r>
    </w:p>
    <w:p w14:paraId="3BCCF1AB" w14:textId="77777777" w:rsidR="00183AF1" w:rsidRPr="00C26691" w:rsidRDefault="00183AF1" w:rsidP="00183AF1">
      <w:pPr>
        <w:pStyle w:val="Default"/>
        <w:jc w:val="both"/>
        <w:rPr>
          <w:rFonts w:ascii="Arial" w:hAnsi="Arial" w:cs="Arial"/>
        </w:rPr>
      </w:pPr>
      <w:r w:rsidRPr="00C26691">
        <w:rPr>
          <w:rFonts w:ascii="Arial" w:hAnsi="Arial" w:cs="Arial"/>
        </w:rPr>
        <w:t xml:space="preserve"> </w:t>
      </w:r>
    </w:p>
    <w:p w14:paraId="405FFBA5"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 xml:space="preserve">Diego Fuentes </w:t>
      </w:r>
      <w:proofErr w:type="spellStart"/>
      <w:r w:rsidRPr="00C26691">
        <w:rPr>
          <w:rFonts w:ascii="Arial" w:hAnsi="Arial" w:cs="Arial"/>
        </w:rPr>
        <w:t>Orrala</w:t>
      </w:r>
      <w:proofErr w:type="spellEnd"/>
      <w:r w:rsidRPr="00C26691">
        <w:rPr>
          <w:rFonts w:ascii="Arial" w:hAnsi="Arial" w:cs="Arial"/>
        </w:rPr>
        <w:t>;</w:t>
      </w:r>
    </w:p>
    <w:p w14:paraId="3D45D091" w14:textId="77FC060A"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Visuales y Comunicaciones, S.A. de C.V.</w:t>
      </w:r>
      <w:r w:rsidR="00BB4B40">
        <w:rPr>
          <w:rFonts w:ascii="Arial" w:hAnsi="Arial" w:cs="Arial"/>
        </w:rPr>
        <w:t xml:space="preserve"> (“Visuales y Comunicaciones”)</w:t>
      </w:r>
      <w:r w:rsidRPr="00C26691">
        <w:rPr>
          <w:rFonts w:ascii="Arial" w:hAnsi="Arial" w:cs="Arial"/>
        </w:rPr>
        <w:t>;</w:t>
      </w:r>
    </w:p>
    <w:p w14:paraId="3A5F2C88"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Lógica Industrial, S.A. de C.V. (“</w:t>
      </w:r>
      <w:proofErr w:type="spellStart"/>
      <w:r w:rsidRPr="00C26691">
        <w:rPr>
          <w:rFonts w:ascii="Arial" w:hAnsi="Arial" w:cs="Arial"/>
        </w:rPr>
        <w:t>Logitel</w:t>
      </w:r>
      <w:proofErr w:type="spellEnd"/>
      <w:r w:rsidRPr="00C26691">
        <w:rPr>
          <w:rFonts w:ascii="Arial" w:hAnsi="Arial" w:cs="Arial"/>
        </w:rPr>
        <w:t>”);</w:t>
      </w:r>
    </w:p>
    <w:p w14:paraId="703C3FC9" w14:textId="0DA94A23"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Teléfonos de México, S.A.B. de C.V. y Teléfonos del Noroeste, S.A. de C.V. (“Telmex</w:t>
      </w:r>
      <w:r w:rsidR="005A57A4">
        <w:rPr>
          <w:rFonts w:ascii="Arial" w:hAnsi="Arial" w:cs="Arial"/>
        </w:rPr>
        <w:t>”</w:t>
      </w:r>
      <w:r w:rsidRPr="00C26691">
        <w:rPr>
          <w:rFonts w:ascii="Arial" w:hAnsi="Arial" w:cs="Arial"/>
        </w:rPr>
        <w:t xml:space="preserve"> y </w:t>
      </w:r>
      <w:r w:rsidR="005A57A4">
        <w:rPr>
          <w:rFonts w:ascii="Arial" w:hAnsi="Arial" w:cs="Arial"/>
        </w:rPr>
        <w:t>“</w:t>
      </w:r>
      <w:r w:rsidRPr="00C26691">
        <w:rPr>
          <w:rFonts w:ascii="Arial" w:hAnsi="Arial" w:cs="Arial"/>
        </w:rPr>
        <w:t xml:space="preserve">Telnor”); </w:t>
      </w:r>
    </w:p>
    <w:p w14:paraId="5267EED1" w14:textId="77777777" w:rsidR="00183AF1" w:rsidRPr="00C26691" w:rsidRDefault="00183AF1" w:rsidP="00183AF1">
      <w:pPr>
        <w:pStyle w:val="Default"/>
        <w:numPr>
          <w:ilvl w:val="0"/>
          <w:numId w:val="1"/>
        </w:numPr>
        <w:spacing w:after="30"/>
        <w:jc w:val="both"/>
        <w:rPr>
          <w:rFonts w:ascii="Arial" w:hAnsi="Arial" w:cs="Arial"/>
        </w:rPr>
      </w:pPr>
      <w:proofErr w:type="spellStart"/>
      <w:r w:rsidRPr="00C26691">
        <w:rPr>
          <w:rFonts w:ascii="Arial" w:hAnsi="Arial" w:cs="Arial"/>
        </w:rPr>
        <w:t>Alenterprise</w:t>
      </w:r>
      <w:proofErr w:type="spellEnd"/>
      <w:r w:rsidRPr="00C26691">
        <w:rPr>
          <w:rFonts w:ascii="Arial" w:hAnsi="Arial" w:cs="Arial"/>
        </w:rPr>
        <w:t xml:space="preserve"> México, S.A. de C.V. (“</w:t>
      </w:r>
      <w:proofErr w:type="spellStart"/>
      <w:r w:rsidRPr="00C26691">
        <w:rPr>
          <w:rFonts w:ascii="Arial" w:hAnsi="Arial" w:cs="Arial"/>
        </w:rPr>
        <w:t>Alenterprise</w:t>
      </w:r>
      <w:proofErr w:type="spellEnd"/>
      <w:r w:rsidRPr="00C26691">
        <w:rPr>
          <w:rFonts w:ascii="Arial" w:hAnsi="Arial" w:cs="Arial"/>
        </w:rPr>
        <w:t>”);</w:t>
      </w:r>
    </w:p>
    <w:p w14:paraId="784197DF"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Mega Cable, S.A. de C.V. (“Mega Cable”);</w:t>
      </w:r>
    </w:p>
    <w:p w14:paraId="076C3EF3" w14:textId="699ED6DB"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 xml:space="preserve">Axtel, S.A.B. de C.V. y </w:t>
      </w:r>
      <w:proofErr w:type="spellStart"/>
      <w:r w:rsidRPr="00C26691">
        <w:rPr>
          <w:rFonts w:ascii="Arial" w:hAnsi="Arial" w:cs="Arial"/>
        </w:rPr>
        <w:t>Avantel</w:t>
      </w:r>
      <w:proofErr w:type="spellEnd"/>
      <w:r w:rsidRPr="00C26691">
        <w:rPr>
          <w:rFonts w:ascii="Arial" w:hAnsi="Arial" w:cs="Arial"/>
        </w:rPr>
        <w:t>, S de R.L de C.V. (“Axtel</w:t>
      </w:r>
      <w:r w:rsidR="005A57A4">
        <w:rPr>
          <w:rFonts w:ascii="Arial" w:hAnsi="Arial" w:cs="Arial"/>
        </w:rPr>
        <w:t>”</w:t>
      </w:r>
      <w:r w:rsidRPr="00C26691">
        <w:rPr>
          <w:rFonts w:ascii="Arial" w:hAnsi="Arial" w:cs="Arial"/>
        </w:rPr>
        <w:t xml:space="preserve"> y </w:t>
      </w:r>
      <w:r w:rsidR="005A57A4">
        <w:rPr>
          <w:rFonts w:ascii="Arial" w:hAnsi="Arial" w:cs="Arial"/>
        </w:rPr>
        <w:t>“</w:t>
      </w:r>
      <w:proofErr w:type="spellStart"/>
      <w:r w:rsidRPr="00C26691">
        <w:rPr>
          <w:rFonts w:ascii="Arial" w:hAnsi="Arial" w:cs="Arial"/>
        </w:rPr>
        <w:t>Avantel</w:t>
      </w:r>
      <w:proofErr w:type="spellEnd"/>
      <w:r w:rsidRPr="00C26691">
        <w:rPr>
          <w:rFonts w:ascii="Arial" w:hAnsi="Arial" w:cs="Arial"/>
        </w:rPr>
        <w:t xml:space="preserve">”); </w:t>
      </w:r>
    </w:p>
    <w:p w14:paraId="5EB7AA58"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 xml:space="preserve">Valores Corporativos </w:t>
      </w:r>
      <w:proofErr w:type="spellStart"/>
      <w:r w:rsidRPr="00C26691">
        <w:rPr>
          <w:rFonts w:ascii="Arial" w:hAnsi="Arial" w:cs="Arial"/>
        </w:rPr>
        <w:t>Softtek</w:t>
      </w:r>
      <w:proofErr w:type="spellEnd"/>
      <w:r w:rsidRPr="00C26691">
        <w:rPr>
          <w:rFonts w:ascii="Arial" w:hAnsi="Arial" w:cs="Arial"/>
        </w:rPr>
        <w:t>, S.A. de C.V. (“</w:t>
      </w:r>
      <w:proofErr w:type="spellStart"/>
      <w:r w:rsidRPr="00C26691">
        <w:rPr>
          <w:rFonts w:ascii="Arial" w:hAnsi="Arial" w:cs="Arial"/>
        </w:rPr>
        <w:t>Softtek</w:t>
      </w:r>
      <w:proofErr w:type="spellEnd"/>
      <w:r w:rsidRPr="00C26691">
        <w:rPr>
          <w:rFonts w:ascii="Arial" w:hAnsi="Arial" w:cs="Arial"/>
        </w:rPr>
        <w:t xml:space="preserve">”); </w:t>
      </w:r>
    </w:p>
    <w:p w14:paraId="470EE968"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 xml:space="preserve">AT&amp;T Comunicaciones Digitales, S. de R.L, de C.V., Grupo AT&amp;T </w:t>
      </w:r>
      <w:proofErr w:type="spellStart"/>
      <w:r w:rsidRPr="00C26691">
        <w:rPr>
          <w:rFonts w:ascii="Arial" w:hAnsi="Arial" w:cs="Arial"/>
        </w:rPr>
        <w:t>Celullar</w:t>
      </w:r>
      <w:proofErr w:type="spellEnd"/>
      <w:r w:rsidRPr="00C26691">
        <w:rPr>
          <w:rFonts w:ascii="Arial" w:hAnsi="Arial" w:cs="Arial"/>
        </w:rPr>
        <w:t>, S. de R.L. de C.V., AT&amp;T Norte, S. de R.L. de C.V., AT&amp;T Comercialización Móvil, S. de R.L. de C.V. y AT&amp;T Desarrollo en Comunicaciones de México, S. de R.L. de C.V. (“Grupo AT&amp;T”);</w:t>
      </w:r>
    </w:p>
    <w:p w14:paraId="221D02CA"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Cámara Nacional de la Industria Electrónica, de Telecomunicaciones y Tecnologías de la Información (“CANIETI”);</w:t>
      </w:r>
    </w:p>
    <w:p w14:paraId="4E00C836" w14:textId="6E28C97A" w:rsidR="00183AF1" w:rsidRPr="00C26691" w:rsidRDefault="00183AF1" w:rsidP="00183AF1">
      <w:pPr>
        <w:pStyle w:val="Default"/>
        <w:numPr>
          <w:ilvl w:val="0"/>
          <w:numId w:val="1"/>
        </w:numPr>
        <w:spacing w:after="30"/>
        <w:jc w:val="both"/>
        <w:rPr>
          <w:rFonts w:ascii="Arial" w:hAnsi="Arial" w:cs="Arial"/>
        </w:rPr>
      </w:pPr>
      <w:proofErr w:type="spellStart"/>
      <w:r w:rsidRPr="00C26691">
        <w:rPr>
          <w:rFonts w:ascii="Arial" w:hAnsi="Arial" w:cs="Arial"/>
        </w:rPr>
        <w:t>Radiomóvil</w:t>
      </w:r>
      <w:proofErr w:type="spellEnd"/>
      <w:r w:rsidRPr="00C26691">
        <w:rPr>
          <w:rFonts w:ascii="Arial" w:hAnsi="Arial" w:cs="Arial"/>
        </w:rPr>
        <w:t xml:space="preserve"> </w:t>
      </w:r>
      <w:proofErr w:type="spellStart"/>
      <w:r w:rsidRPr="00C26691">
        <w:rPr>
          <w:rFonts w:ascii="Arial" w:hAnsi="Arial" w:cs="Arial"/>
        </w:rPr>
        <w:t>Dipsa</w:t>
      </w:r>
      <w:proofErr w:type="spellEnd"/>
      <w:r w:rsidRPr="00C26691">
        <w:rPr>
          <w:rFonts w:ascii="Arial" w:hAnsi="Arial" w:cs="Arial"/>
        </w:rPr>
        <w:t>, S.A. de C.V.</w:t>
      </w:r>
      <w:r w:rsidR="005A57A4">
        <w:rPr>
          <w:rFonts w:ascii="Arial" w:hAnsi="Arial" w:cs="Arial"/>
        </w:rPr>
        <w:t xml:space="preserve"> (“Telcel”)</w:t>
      </w:r>
      <w:r w:rsidRPr="00C26691">
        <w:rPr>
          <w:rFonts w:ascii="Arial" w:hAnsi="Arial" w:cs="Arial"/>
        </w:rPr>
        <w:t>;</w:t>
      </w:r>
    </w:p>
    <w:p w14:paraId="0F0DAEBD" w14:textId="77777777" w:rsidR="00183AF1" w:rsidRPr="00C26691" w:rsidRDefault="00183AF1" w:rsidP="00183AF1">
      <w:pPr>
        <w:pStyle w:val="Default"/>
        <w:numPr>
          <w:ilvl w:val="0"/>
          <w:numId w:val="1"/>
        </w:numPr>
        <w:spacing w:after="30"/>
        <w:jc w:val="both"/>
        <w:rPr>
          <w:rFonts w:ascii="Arial" w:hAnsi="Arial" w:cs="Arial"/>
        </w:rPr>
      </w:pPr>
      <w:proofErr w:type="spellStart"/>
      <w:r w:rsidRPr="00C26691">
        <w:rPr>
          <w:rFonts w:ascii="Arial" w:hAnsi="Arial" w:cs="Arial"/>
        </w:rPr>
        <w:t>Bestphone</w:t>
      </w:r>
      <w:proofErr w:type="spellEnd"/>
      <w:r w:rsidRPr="00C26691">
        <w:rPr>
          <w:rFonts w:ascii="Arial" w:hAnsi="Arial" w:cs="Arial"/>
        </w:rPr>
        <w:t xml:space="preserve">, S.A. de C.V., </w:t>
      </w:r>
      <w:proofErr w:type="spellStart"/>
      <w:r w:rsidRPr="00C26691">
        <w:rPr>
          <w:rFonts w:ascii="Arial" w:hAnsi="Arial" w:cs="Arial"/>
        </w:rPr>
        <w:t>Operbes</w:t>
      </w:r>
      <w:proofErr w:type="spellEnd"/>
      <w:r w:rsidRPr="00C26691">
        <w:rPr>
          <w:rFonts w:ascii="Arial" w:hAnsi="Arial" w:cs="Arial"/>
        </w:rPr>
        <w:t xml:space="preserve">, S.A. de C.V., Cable y Comunicación de Campeche, S.A. de C.V., Cablemás Telecomunicaciones, S.A. de C.V., Cablevisión Red, S.A. de C.V., México Red de Telecomunicaciones, S. de R.L. de C.V., Tele Azteca, S.A. de C.V., Televisión Internacional, S.A. de C.V., TV Cable de Oriente, S.A. de C.V. y Cablevisión, S.A. de C.V. (“Grupo Televisa”); </w:t>
      </w:r>
    </w:p>
    <w:p w14:paraId="1AF54A73"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color w:val="auto"/>
        </w:rPr>
        <w:t xml:space="preserve">Pegaso PCS, S.A. de C.V. (“Telefónica”) y </w:t>
      </w:r>
    </w:p>
    <w:p w14:paraId="4F35E3AF" w14:textId="77777777" w:rsidR="00183AF1" w:rsidRPr="00C26691" w:rsidRDefault="00183AF1" w:rsidP="00183AF1">
      <w:pPr>
        <w:pStyle w:val="Default"/>
        <w:numPr>
          <w:ilvl w:val="0"/>
          <w:numId w:val="1"/>
        </w:numPr>
        <w:spacing w:after="30"/>
        <w:jc w:val="both"/>
        <w:rPr>
          <w:rFonts w:ascii="Arial" w:hAnsi="Arial" w:cs="Arial"/>
        </w:rPr>
      </w:pPr>
      <w:r w:rsidRPr="00C26691">
        <w:rPr>
          <w:rFonts w:ascii="Arial" w:hAnsi="Arial" w:cs="Arial"/>
        </w:rPr>
        <w:t xml:space="preserve">IP </w:t>
      </w:r>
      <w:proofErr w:type="spellStart"/>
      <w:r w:rsidRPr="00C26691">
        <w:rPr>
          <w:rFonts w:ascii="Arial" w:hAnsi="Arial" w:cs="Arial"/>
        </w:rPr>
        <w:t>Matrix</w:t>
      </w:r>
      <w:proofErr w:type="spellEnd"/>
      <w:r w:rsidRPr="00C26691">
        <w:rPr>
          <w:rFonts w:ascii="Arial" w:hAnsi="Arial" w:cs="Arial"/>
        </w:rPr>
        <w:t xml:space="preserve">, S.A. de C.V. (“IP </w:t>
      </w:r>
      <w:proofErr w:type="spellStart"/>
      <w:r w:rsidRPr="00C26691">
        <w:rPr>
          <w:rFonts w:ascii="Arial" w:hAnsi="Arial" w:cs="Arial"/>
        </w:rPr>
        <w:t>Matrix</w:t>
      </w:r>
      <w:proofErr w:type="spellEnd"/>
      <w:r w:rsidRPr="00C26691">
        <w:rPr>
          <w:rFonts w:ascii="Arial" w:hAnsi="Arial" w:cs="Arial"/>
        </w:rPr>
        <w:t>”).</w:t>
      </w:r>
    </w:p>
    <w:p w14:paraId="28B6EA30" w14:textId="086E8B58" w:rsidR="00112F6D" w:rsidRPr="00C26691" w:rsidRDefault="00112F6D" w:rsidP="004F48AC">
      <w:pPr>
        <w:pStyle w:val="Default"/>
        <w:jc w:val="both"/>
        <w:rPr>
          <w:rFonts w:ascii="Arial" w:hAnsi="Arial" w:cs="Arial"/>
          <w:b/>
        </w:rPr>
      </w:pPr>
    </w:p>
    <w:p w14:paraId="71476177" w14:textId="77777777" w:rsidR="004F48AC" w:rsidRDefault="004F48AC" w:rsidP="00541EB9">
      <w:pPr>
        <w:pStyle w:val="Default"/>
        <w:jc w:val="both"/>
        <w:rPr>
          <w:rFonts w:ascii="Arial" w:hAnsi="Arial" w:cs="Arial"/>
        </w:rPr>
      </w:pPr>
    </w:p>
    <w:p w14:paraId="07C5AA0C" w14:textId="77777777" w:rsidR="004F48AC" w:rsidRDefault="004F48AC" w:rsidP="00541EB9">
      <w:pPr>
        <w:pStyle w:val="Default"/>
        <w:jc w:val="both"/>
        <w:rPr>
          <w:rFonts w:ascii="Arial" w:hAnsi="Arial" w:cs="Arial"/>
        </w:rPr>
      </w:pPr>
    </w:p>
    <w:p w14:paraId="733C34B7" w14:textId="77777777" w:rsidR="004F48AC" w:rsidRDefault="004F48AC" w:rsidP="00541EB9">
      <w:pPr>
        <w:pStyle w:val="Default"/>
        <w:jc w:val="both"/>
        <w:rPr>
          <w:rFonts w:ascii="Arial" w:hAnsi="Arial" w:cs="Arial"/>
        </w:rPr>
      </w:pPr>
    </w:p>
    <w:p w14:paraId="30AF84F2" w14:textId="77777777" w:rsidR="004F48AC" w:rsidRDefault="004F48AC" w:rsidP="00541EB9">
      <w:pPr>
        <w:pStyle w:val="Default"/>
        <w:jc w:val="both"/>
        <w:rPr>
          <w:rFonts w:ascii="Arial" w:hAnsi="Arial" w:cs="Arial"/>
        </w:rPr>
      </w:pPr>
    </w:p>
    <w:p w14:paraId="2C72D63E" w14:textId="2BECCB0B" w:rsidR="00183AF1" w:rsidRDefault="00183AF1" w:rsidP="001A5008">
      <w:pPr>
        <w:pStyle w:val="Default"/>
        <w:jc w:val="both"/>
        <w:rPr>
          <w:rFonts w:ascii="Arial" w:hAnsi="Arial" w:cs="Arial"/>
        </w:rPr>
      </w:pPr>
      <w:r>
        <w:rPr>
          <w:rFonts w:ascii="Arial" w:hAnsi="Arial" w:cs="Arial"/>
        </w:rPr>
        <w:t xml:space="preserve">Los comentarios, </w:t>
      </w:r>
      <w:r w:rsidRPr="00C26691">
        <w:rPr>
          <w:rFonts w:ascii="Arial" w:hAnsi="Arial" w:cs="Arial"/>
        </w:rPr>
        <w:t>opiniones y propuestas co</w:t>
      </w:r>
      <w:r>
        <w:rPr>
          <w:rFonts w:ascii="Arial" w:hAnsi="Arial" w:cs="Arial"/>
        </w:rPr>
        <w:t xml:space="preserve">ncretas recibidas respecto del </w:t>
      </w:r>
      <w:r w:rsidRPr="00C26691">
        <w:rPr>
          <w:rFonts w:ascii="Arial" w:hAnsi="Arial" w:cs="Arial"/>
        </w:rPr>
        <w:t>Anteproyecto</w:t>
      </w:r>
      <w:r>
        <w:rPr>
          <w:rFonts w:ascii="Arial" w:hAnsi="Arial" w:cs="Arial"/>
        </w:rPr>
        <w:t xml:space="preserve"> fueron publicados en el portal de Internet del Instituto </w:t>
      </w:r>
      <w:r w:rsidR="001A5008">
        <w:rPr>
          <w:rFonts w:ascii="Arial" w:hAnsi="Arial" w:cs="Arial"/>
        </w:rPr>
        <w:t xml:space="preserve">Federal de Telecomunicaciones (“Instituto”) </w:t>
      </w:r>
      <w:r>
        <w:rPr>
          <w:rFonts w:ascii="Arial" w:hAnsi="Arial" w:cs="Arial"/>
        </w:rPr>
        <w:t xml:space="preserve">conforme se recibieron. El Instituto </w:t>
      </w:r>
      <w:r w:rsidR="001A5008" w:rsidRPr="00C26691">
        <w:rPr>
          <w:rFonts w:ascii="Arial" w:hAnsi="Arial" w:cs="Arial"/>
        </w:rPr>
        <w:t>identificó diversos temas coincidentes y reiterados en su contenido, por lo que para efectos de su atención</w:t>
      </w:r>
      <w:r w:rsidR="001A5008">
        <w:rPr>
          <w:rFonts w:ascii="Arial" w:hAnsi="Arial" w:cs="Arial"/>
        </w:rPr>
        <w:t xml:space="preserve"> y en la medida de lo posible</w:t>
      </w:r>
      <w:r w:rsidR="001A5008" w:rsidRPr="00C26691">
        <w:rPr>
          <w:rFonts w:ascii="Arial" w:hAnsi="Arial" w:cs="Arial"/>
        </w:rPr>
        <w:t>, éstos han sido agrupados para su mejor identificación.</w:t>
      </w:r>
    </w:p>
    <w:p w14:paraId="504291B0" w14:textId="251C0ED2" w:rsidR="00541EB9" w:rsidRPr="00C26691" w:rsidRDefault="00541EB9" w:rsidP="00112F6D">
      <w:pPr>
        <w:pStyle w:val="Default"/>
        <w:rPr>
          <w:rFonts w:ascii="Arial" w:hAnsi="Arial" w:cs="Arial"/>
          <w:color w:val="auto"/>
        </w:rPr>
      </w:pPr>
    </w:p>
    <w:p w14:paraId="24DBE461" w14:textId="4C3731A6" w:rsidR="00112F6D" w:rsidRPr="00C26691" w:rsidRDefault="001A5008" w:rsidP="00A27A8A">
      <w:pPr>
        <w:pStyle w:val="Default"/>
        <w:jc w:val="both"/>
        <w:rPr>
          <w:rFonts w:ascii="Arial" w:hAnsi="Arial" w:cs="Arial"/>
        </w:rPr>
      </w:pPr>
      <w:r>
        <w:rPr>
          <w:rFonts w:ascii="Arial" w:hAnsi="Arial" w:cs="Arial"/>
        </w:rPr>
        <w:t>A continuación, se listan las</w:t>
      </w:r>
      <w:r w:rsidR="00112F6D" w:rsidRPr="00C26691">
        <w:rPr>
          <w:rFonts w:ascii="Arial" w:hAnsi="Arial" w:cs="Arial"/>
        </w:rPr>
        <w:t xml:space="preserve"> respuestas y consideraciones para cada uno de los temas identificados</w:t>
      </w:r>
      <w:r>
        <w:rPr>
          <w:rFonts w:ascii="Arial" w:hAnsi="Arial" w:cs="Arial"/>
        </w:rPr>
        <w:t xml:space="preserve"> por el Instituto</w:t>
      </w:r>
      <w:r w:rsidR="00112F6D" w:rsidRPr="00C26691">
        <w:rPr>
          <w:rFonts w:ascii="Arial" w:hAnsi="Arial" w:cs="Arial"/>
        </w:rPr>
        <w:t xml:space="preserve">: </w:t>
      </w:r>
    </w:p>
    <w:p w14:paraId="266260AC" w14:textId="06143D5B" w:rsidR="003B354A" w:rsidRPr="00C26691" w:rsidRDefault="003B354A" w:rsidP="003B354A">
      <w:pPr>
        <w:pStyle w:val="Default"/>
        <w:rPr>
          <w:rFonts w:ascii="Arial" w:hAnsi="Arial" w:cs="Arial"/>
          <w:b/>
          <w:color w:val="auto"/>
        </w:rPr>
      </w:pPr>
    </w:p>
    <w:p w14:paraId="0E094020" w14:textId="75908E83" w:rsidR="003B354A" w:rsidRPr="00C26691" w:rsidRDefault="00C26691" w:rsidP="00FF5218">
      <w:pPr>
        <w:pStyle w:val="Default"/>
        <w:numPr>
          <w:ilvl w:val="0"/>
          <w:numId w:val="2"/>
        </w:numPr>
        <w:ind w:left="284" w:hanging="284"/>
        <w:rPr>
          <w:rFonts w:ascii="Arial" w:hAnsi="Arial" w:cs="Arial"/>
          <w:b/>
          <w:color w:val="auto"/>
        </w:rPr>
      </w:pPr>
      <w:r>
        <w:rPr>
          <w:rFonts w:ascii="Arial" w:hAnsi="Arial" w:cs="Arial"/>
          <w:b/>
          <w:color w:val="auto"/>
        </w:rPr>
        <w:t>MODIFICACIONES A LOS ARTÍCULOS TRANSITORIOS</w:t>
      </w:r>
    </w:p>
    <w:p w14:paraId="38D08233" w14:textId="7A08CE45" w:rsidR="00A75B81" w:rsidRPr="00C26691" w:rsidRDefault="00A75B81" w:rsidP="00A75B81">
      <w:pPr>
        <w:pStyle w:val="Default"/>
        <w:rPr>
          <w:rFonts w:ascii="Arial" w:hAnsi="Arial" w:cs="Arial"/>
          <w:b/>
          <w:color w:val="auto"/>
        </w:rPr>
      </w:pPr>
    </w:p>
    <w:p w14:paraId="3EDE29E6" w14:textId="414FABB8" w:rsidR="00A75B81" w:rsidRPr="00C26691" w:rsidRDefault="00A75B81" w:rsidP="00A75B81">
      <w:pPr>
        <w:pStyle w:val="Default"/>
        <w:jc w:val="both"/>
        <w:rPr>
          <w:rFonts w:ascii="Arial" w:hAnsi="Arial" w:cs="Arial"/>
        </w:rPr>
      </w:pPr>
      <w:r w:rsidRPr="00C26691">
        <w:rPr>
          <w:rFonts w:ascii="Arial" w:hAnsi="Arial" w:cs="Arial"/>
        </w:rPr>
        <w:t xml:space="preserve">Diego Fuentes </w:t>
      </w:r>
      <w:proofErr w:type="spellStart"/>
      <w:r w:rsidRPr="00C26691">
        <w:rPr>
          <w:rFonts w:ascii="Arial" w:hAnsi="Arial" w:cs="Arial"/>
        </w:rPr>
        <w:t>Orrola</w:t>
      </w:r>
      <w:proofErr w:type="spellEnd"/>
      <w:r w:rsidRPr="00C26691">
        <w:rPr>
          <w:rFonts w:ascii="Arial" w:hAnsi="Arial" w:cs="Arial"/>
        </w:rPr>
        <w:t xml:space="preserve"> menciona que </w:t>
      </w:r>
      <w:r w:rsidR="00C52C8D">
        <w:rPr>
          <w:rFonts w:ascii="Arial" w:hAnsi="Arial" w:cs="Arial"/>
        </w:rPr>
        <w:t>diversos</w:t>
      </w:r>
      <w:r w:rsidRPr="00C26691">
        <w:rPr>
          <w:rFonts w:ascii="Arial" w:hAnsi="Arial" w:cs="Arial"/>
        </w:rPr>
        <w:t xml:space="preserve"> artículos indicados en el proyecto que </w:t>
      </w:r>
      <w:r w:rsidR="00C52C8D">
        <w:rPr>
          <w:rFonts w:ascii="Arial" w:hAnsi="Arial" w:cs="Arial"/>
        </w:rPr>
        <w:t>se somete</w:t>
      </w:r>
      <w:r w:rsidRPr="00C26691">
        <w:rPr>
          <w:rFonts w:ascii="Arial" w:hAnsi="Arial" w:cs="Arial"/>
        </w:rPr>
        <w:t xml:space="preserve"> a consulta no concuerdan con lo publicado en el Diario Oficial de la Federación</w:t>
      </w:r>
      <w:r w:rsidR="00BF6B6F" w:rsidRPr="00C26691">
        <w:rPr>
          <w:rFonts w:ascii="Arial" w:hAnsi="Arial" w:cs="Arial"/>
        </w:rPr>
        <w:t xml:space="preserve"> (“DOF”)</w:t>
      </w:r>
      <w:r w:rsidRPr="00C26691">
        <w:rPr>
          <w:rFonts w:ascii="Arial" w:hAnsi="Arial" w:cs="Arial"/>
        </w:rPr>
        <w:t>.</w:t>
      </w:r>
      <w:r w:rsidR="00BB375E">
        <w:rPr>
          <w:rFonts w:ascii="Arial" w:hAnsi="Arial" w:cs="Arial"/>
        </w:rPr>
        <w:t xml:space="preserve"> </w:t>
      </w:r>
    </w:p>
    <w:p w14:paraId="41FADC5B" w14:textId="5294C10B" w:rsidR="00667B23" w:rsidRPr="00C26691" w:rsidRDefault="00667B23" w:rsidP="00A75B81">
      <w:pPr>
        <w:pStyle w:val="Default"/>
        <w:jc w:val="both"/>
        <w:rPr>
          <w:rFonts w:ascii="Arial" w:hAnsi="Arial" w:cs="Arial"/>
          <w:b/>
          <w:color w:val="auto"/>
        </w:rPr>
      </w:pPr>
    </w:p>
    <w:p w14:paraId="4196FBC2" w14:textId="0B9B733D" w:rsidR="003E67B8" w:rsidRPr="00C26691" w:rsidRDefault="005A57A4" w:rsidP="003E67B8">
      <w:pPr>
        <w:pStyle w:val="Default"/>
        <w:jc w:val="both"/>
        <w:rPr>
          <w:rFonts w:ascii="Arial" w:hAnsi="Arial" w:cs="Arial"/>
          <w:b/>
          <w:color w:val="auto"/>
        </w:rPr>
      </w:pPr>
      <w:r>
        <w:rPr>
          <w:rFonts w:ascii="Arial" w:hAnsi="Arial" w:cs="Arial"/>
          <w:b/>
          <w:color w:val="auto"/>
        </w:rPr>
        <w:t>RESPUESTA: E</w:t>
      </w:r>
      <w:r w:rsidR="003E67B8" w:rsidRPr="00C26691">
        <w:rPr>
          <w:rFonts w:ascii="Arial" w:hAnsi="Arial" w:cs="Arial"/>
          <w:b/>
          <w:color w:val="auto"/>
        </w:rPr>
        <w:t xml:space="preserve">s importante señalar que el Anteproyecto sometido a consulta pública tiene como propósito modificar la totalidad de los artículos transitorios contenidos en </w:t>
      </w:r>
      <w:r w:rsidR="002811F2" w:rsidRPr="00C26691">
        <w:rPr>
          <w:rFonts w:ascii="Arial" w:hAnsi="Arial" w:cs="Arial"/>
          <w:b/>
          <w:color w:val="auto"/>
        </w:rPr>
        <w:t xml:space="preserve">el </w:t>
      </w:r>
      <w:r w:rsidR="00C52C8D">
        <w:rPr>
          <w:rFonts w:ascii="Arial" w:hAnsi="Arial" w:cs="Arial"/>
          <w:b/>
          <w:color w:val="auto"/>
        </w:rPr>
        <w:t>PTFN, en el Plan Técnico F</w:t>
      </w:r>
      <w:r w:rsidR="002811F2" w:rsidRPr="00C26691">
        <w:rPr>
          <w:rFonts w:ascii="Arial" w:hAnsi="Arial" w:cs="Arial"/>
          <w:b/>
          <w:color w:val="auto"/>
        </w:rPr>
        <w:t>undamental de</w:t>
      </w:r>
      <w:r w:rsidR="00C52C8D">
        <w:rPr>
          <w:rFonts w:ascii="Arial" w:hAnsi="Arial" w:cs="Arial"/>
          <w:b/>
          <w:color w:val="auto"/>
        </w:rPr>
        <w:t xml:space="preserve"> S</w:t>
      </w:r>
      <w:r w:rsidR="003E67B8" w:rsidRPr="00C26691">
        <w:rPr>
          <w:rFonts w:ascii="Arial" w:hAnsi="Arial" w:cs="Arial"/>
          <w:b/>
          <w:color w:val="auto"/>
        </w:rPr>
        <w:t>eñalización</w:t>
      </w:r>
      <w:r w:rsidR="002811F2" w:rsidRPr="00C26691">
        <w:rPr>
          <w:rFonts w:ascii="Arial" w:hAnsi="Arial" w:cs="Arial"/>
          <w:b/>
          <w:color w:val="auto"/>
        </w:rPr>
        <w:t xml:space="preserve"> (“PTFS”)</w:t>
      </w:r>
      <w:r w:rsidR="003E67B8" w:rsidRPr="00C26691">
        <w:rPr>
          <w:rFonts w:ascii="Arial" w:hAnsi="Arial" w:cs="Arial"/>
          <w:b/>
          <w:color w:val="auto"/>
        </w:rPr>
        <w:t>, así como en las modificaciones a las Reglas de Portabilidad Numé</w:t>
      </w:r>
      <w:r w:rsidR="002811F2" w:rsidRPr="00C26691">
        <w:rPr>
          <w:rFonts w:ascii="Arial" w:hAnsi="Arial" w:cs="Arial"/>
          <w:b/>
          <w:color w:val="auto"/>
        </w:rPr>
        <w:t xml:space="preserve">rica. En este sentido, en atención a </w:t>
      </w:r>
      <w:r w:rsidR="003E67B8" w:rsidRPr="00C26691">
        <w:rPr>
          <w:rFonts w:ascii="Arial" w:hAnsi="Arial" w:cs="Arial"/>
          <w:b/>
          <w:color w:val="auto"/>
        </w:rPr>
        <w:t xml:space="preserve">cada uno de los </w:t>
      </w:r>
      <w:r w:rsidR="002811F2" w:rsidRPr="00C26691">
        <w:rPr>
          <w:rFonts w:ascii="Arial" w:hAnsi="Arial" w:cs="Arial"/>
          <w:b/>
          <w:color w:val="auto"/>
        </w:rPr>
        <w:t>artículos transitorios</w:t>
      </w:r>
      <w:r w:rsidR="003E67B8" w:rsidRPr="00C26691">
        <w:rPr>
          <w:rFonts w:ascii="Arial" w:hAnsi="Arial" w:cs="Arial"/>
          <w:b/>
          <w:color w:val="auto"/>
        </w:rPr>
        <w:t xml:space="preserve"> </w:t>
      </w:r>
      <w:r w:rsidR="002811F2" w:rsidRPr="00C26691">
        <w:rPr>
          <w:rFonts w:ascii="Arial" w:hAnsi="Arial" w:cs="Arial"/>
          <w:b/>
          <w:color w:val="auto"/>
        </w:rPr>
        <w:t>referidos en</w:t>
      </w:r>
      <w:r w:rsidR="00C52C8D">
        <w:rPr>
          <w:rFonts w:ascii="Arial" w:hAnsi="Arial" w:cs="Arial"/>
          <w:b/>
          <w:color w:val="auto"/>
        </w:rPr>
        <w:t xml:space="preserve"> los</w:t>
      </w:r>
      <w:r w:rsidR="003E67B8" w:rsidRPr="00C26691">
        <w:rPr>
          <w:rFonts w:ascii="Arial" w:hAnsi="Arial" w:cs="Arial"/>
          <w:b/>
          <w:color w:val="auto"/>
        </w:rPr>
        <w:t xml:space="preserve"> </w:t>
      </w:r>
      <w:r w:rsidR="002811F2" w:rsidRPr="00C26691">
        <w:rPr>
          <w:rFonts w:ascii="Arial" w:hAnsi="Arial" w:cs="Arial"/>
          <w:b/>
          <w:color w:val="auto"/>
        </w:rPr>
        <w:t xml:space="preserve">respectivos </w:t>
      </w:r>
      <w:r w:rsidR="003E67B8" w:rsidRPr="00C26691">
        <w:rPr>
          <w:rFonts w:ascii="Arial" w:hAnsi="Arial" w:cs="Arial"/>
          <w:b/>
          <w:color w:val="auto"/>
        </w:rPr>
        <w:t xml:space="preserve">comentarios, se </w:t>
      </w:r>
      <w:r w:rsidR="00C52C8D">
        <w:rPr>
          <w:rFonts w:ascii="Arial" w:hAnsi="Arial" w:cs="Arial"/>
          <w:b/>
          <w:color w:val="auto"/>
        </w:rPr>
        <w:t>señala</w:t>
      </w:r>
      <w:r w:rsidR="003E67B8" w:rsidRPr="00C26691">
        <w:rPr>
          <w:rFonts w:ascii="Arial" w:hAnsi="Arial" w:cs="Arial"/>
          <w:b/>
          <w:color w:val="auto"/>
        </w:rPr>
        <w:t xml:space="preserve"> lo siguiente:</w:t>
      </w:r>
    </w:p>
    <w:p w14:paraId="16B26B9D" w14:textId="77777777" w:rsidR="003E67B8" w:rsidRPr="00C26691" w:rsidRDefault="003E67B8" w:rsidP="003E67B8">
      <w:pPr>
        <w:pStyle w:val="Default"/>
        <w:jc w:val="both"/>
        <w:rPr>
          <w:rFonts w:ascii="Arial" w:hAnsi="Arial" w:cs="Arial"/>
          <w:b/>
          <w:color w:val="auto"/>
        </w:rPr>
      </w:pPr>
    </w:p>
    <w:p w14:paraId="2FBEA9E0" w14:textId="7AB873B5" w:rsidR="003E67B8" w:rsidRPr="00C45CBD" w:rsidRDefault="003E67B8" w:rsidP="00C26691">
      <w:pPr>
        <w:pStyle w:val="Default"/>
        <w:numPr>
          <w:ilvl w:val="0"/>
          <w:numId w:val="9"/>
        </w:numPr>
        <w:ind w:left="426" w:hanging="426"/>
        <w:jc w:val="both"/>
        <w:rPr>
          <w:rFonts w:ascii="Arial" w:hAnsi="Arial" w:cs="Arial"/>
          <w:b/>
          <w:color w:val="auto"/>
        </w:rPr>
      </w:pPr>
      <w:r w:rsidRPr="00C45CBD">
        <w:rPr>
          <w:rFonts w:ascii="Arial" w:hAnsi="Arial" w:cs="Arial"/>
          <w:b/>
          <w:color w:val="auto"/>
        </w:rPr>
        <w:t xml:space="preserve">El artículo décimo quinto transitorio </w:t>
      </w:r>
      <w:r w:rsidR="00D64586" w:rsidRPr="00C45CBD">
        <w:rPr>
          <w:rFonts w:ascii="Arial" w:hAnsi="Arial" w:cs="Arial"/>
          <w:b/>
          <w:color w:val="auto"/>
        </w:rPr>
        <w:t xml:space="preserve">del PTFN, contenido en el Anteproyecto sometido a consulta pública, </w:t>
      </w:r>
      <w:r w:rsidRPr="00C45CBD">
        <w:rPr>
          <w:rFonts w:ascii="Arial" w:hAnsi="Arial" w:cs="Arial"/>
          <w:b/>
          <w:color w:val="auto"/>
        </w:rPr>
        <w:t xml:space="preserve">es consistente con el artículo décimo primero transitorio del </w:t>
      </w:r>
      <w:r w:rsidR="00BF6B6F" w:rsidRPr="00C45CBD">
        <w:rPr>
          <w:rFonts w:ascii="Arial" w:hAnsi="Arial" w:cs="Arial"/>
          <w:b/>
          <w:color w:val="auto"/>
        </w:rPr>
        <w:t>PTFN</w:t>
      </w:r>
      <w:r w:rsidRPr="00C45CBD">
        <w:rPr>
          <w:rFonts w:ascii="Arial" w:hAnsi="Arial" w:cs="Arial"/>
          <w:b/>
          <w:color w:val="auto"/>
        </w:rPr>
        <w:t xml:space="preserve"> publicado en el </w:t>
      </w:r>
      <w:r w:rsidR="00BF6B6F" w:rsidRPr="00C45CBD">
        <w:rPr>
          <w:rFonts w:ascii="Arial" w:hAnsi="Arial" w:cs="Arial"/>
          <w:b/>
          <w:color w:val="auto"/>
        </w:rPr>
        <w:t>DOF</w:t>
      </w:r>
      <w:r w:rsidRPr="00C45CBD">
        <w:rPr>
          <w:rFonts w:ascii="Arial" w:hAnsi="Arial" w:cs="Arial"/>
          <w:b/>
          <w:color w:val="auto"/>
        </w:rPr>
        <w:t xml:space="preserve"> el 11 de mayo de 2018.</w:t>
      </w:r>
    </w:p>
    <w:p w14:paraId="26F9FCCB" w14:textId="77777777" w:rsidR="003E67B8" w:rsidRPr="00C45CBD" w:rsidRDefault="003E67B8" w:rsidP="00C26691">
      <w:pPr>
        <w:pStyle w:val="Default"/>
        <w:ind w:left="426" w:hanging="426"/>
        <w:jc w:val="both"/>
        <w:rPr>
          <w:rFonts w:ascii="Arial" w:hAnsi="Arial" w:cs="Arial"/>
          <w:b/>
          <w:color w:val="auto"/>
        </w:rPr>
      </w:pPr>
    </w:p>
    <w:p w14:paraId="37457069" w14:textId="0D117F3B" w:rsidR="003E67B8" w:rsidRPr="00C45CBD" w:rsidRDefault="003E67B8" w:rsidP="00C26691">
      <w:pPr>
        <w:pStyle w:val="Default"/>
        <w:numPr>
          <w:ilvl w:val="0"/>
          <w:numId w:val="9"/>
        </w:numPr>
        <w:ind w:left="426" w:hanging="426"/>
        <w:jc w:val="both"/>
        <w:rPr>
          <w:rFonts w:ascii="Arial" w:hAnsi="Arial" w:cs="Arial"/>
          <w:b/>
          <w:color w:val="auto"/>
        </w:rPr>
      </w:pPr>
      <w:r w:rsidRPr="00C45CBD">
        <w:rPr>
          <w:rFonts w:ascii="Arial" w:hAnsi="Arial" w:cs="Arial"/>
          <w:b/>
          <w:color w:val="auto"/>
        </w:rPr>
        <w:t xml:space="preserve">El artículo décimo sexto transitorio del </w:t>
      </w:r>
      <w:r w:rsidR="00BF6B6F" w:rsidRPr="00C45CBD">
        <w:rPr>
          <w:rFonts w:ascii="Arial" w:hAnsi="Arial" w:cs="Arial"/>
          <w:b/>
          <w:color w:val="auto"/>
        </w:rPr>
        <w:t>PTFN</w:t>
      </w:r>
      <w:r w:rsidRPr="00C45CBD">
        <w:rPr>
          <w:rFonts w:ascii="Arial" w:hAnsi="Arial" w:cs="Arial"/>
          <w:b/>
          <w:color w:val="auto"/>
        </w:rPr>
        <w:t>,</w:t>
      </w:r>
      <w:r w:rsidR="00D64586" w:rsidRPr="00C45CBD">
        <w:rPr>
          <w:rFonts w:ascii="Arial" w:hAnsi="Arial" w:cs="Arial"/>
          <w:b/>
          <w:color w:val="auto"/>
        </w:rPr>
        <w:t xml:space="preserve"> contenido en el Anteproyecto sometido a consulta pública, </w:t>
      </w:r>
      <w:r w:rsidRPr="00C45CBD">
        <w:rPr>
          <w:rFonts w:ascii="Arial" w:hAnsi="Arial" w:cs="Arial"/>
          <w:b/>
          <w:color w:val="auto"/>
        </w:rPr>
        <w:t xml:space="preserve">es consistente con el artículo décimo segundo transitorio del </w:t>
      </w:r>
      <w:r w:rsidR="00BF6B6F" w:rsidRPr="00C45CBD">
        <w:rPr>
          <w:rFonts w:ascii="Arial" w:hAnsi="Arial" w:cs="Arial"/>
          <w:b/>
          <w:color w:val="auto"/>
        </w:rPr>
        <w:t>PTFN</w:t>
      </w:r>
      <w:r w:rsidRPr="00C45CBD">
        <w:rPr>
          <w:rFonts w:ascii="Arial" w:hAnsi="Arial" w:cs="Arial"/>
          <w:b/>
          <w:color w:val="auto"/>
        </w:rPr>
        <w:t xml:space="preserve"> publicado en el </w:t>
      </w:r>
      <w:r w:rsidR="00BF6B6F" w:rsidRPr="00C45CBD">
        <w:rPr>
          <w:rFonts w:ascii="Arial" w:hAnsi="Arial" w:cs="Arial"/>
          <w:b/>
          <w:color w:val="auto"/>
        </w:rPr>
        <w:t>DOF</w:t>
      </w:r>
      <w:r w:rsidRPr="00C45CBD">
        <w:rPr>
          <w:rFonts w:ascii="Arial" w:hAnsi="Arial" w:cs="Arial"/>
          <w:b/>
          <w:color w:val="auto"/>
        </w:rPr>
        <w:t xml:space="preserve"> el 11 de mayo de 2018. El principal cambio radica en que su entrada en vigor será diferida al 1 de febrero de 2022.</w:t>
      </w:r>
    </w:p>
    <w:p w14:paraId="11A60D9A" w14:textId="6C66037E" w:rsidR="003E67B8" w:rsidRPr="00C45CBD" w:rsidRDefault="003E67B8" w:rsidP="00C26691">
      <w:pPr>
        <w:pStyle w:val="Default"/>
        <w:ind w:hanging="426"/>
        <w:jc w:val="both"/>
        <w:rPr>
          <w:rFonts w:ascii="Arial" w:hAnsi="Arial" w:cs="Arial"/>
          <w:b/>
          <w:color w:val="auto"/>
        </w:rPr>
      </w:pPr>
    </w:p>
    <w:p w14:paraId="0AFEA75D" w14:textId="734AC19D" w:rsidR="003E67B8" w:rsidRPr="00C45CBD" w:rsidRDefault="003E67B8" w:rsidP="00C26691">
      <w:pPr>
        <w:pStyle w:val="Default"/>
        <w:numPr>
          <w:ilvl w:val="0"/>
          <w:numId w:val="9"/>
        </w:numPr>
        <w:ind w:left="426" w:hanging="426"/>
        <w:jc w:val="both"/>
        <w:rPr>
          <w:rFonts w:ascii="Arial" w:hAnsi="Arial" w:cs="Arial"/>
          <w:b/>
          <w:color w:val="auto"/>
        </w:rPr>
      </w:pPr>
      <w:r w:rsidRPr="00C45CBD">
        <w:rPr>
          <w:rFonts w:ascii="Arial" w:hAnsi="Arial" w:cs="Arial"/>
          <w:b/>
          <w:color w:val="auto"/>
        </w:rPr>
        <w:t xml:space="preserve">El artículo décimo séptimo transitorio del </w:t>
      </w:r>
      <w:r w:rsidR="00BF6B6F" w:rsidRPr="00C45CBD">
        <w:rPr>
          <w:rFonts w:ascii="Arial" w:hAnsi="Arial" w:cs="Arial"/>
          <w:b/>
          <w:color w:val="auto"/>
        </w:rPr>
        <w:t>PTFN</w:t>
      </w:r>
      <w:r w:rsidRPr="00C45CBD">
        <w:rPr>
          <w:rFonts w:ascii="Arial" w:hAnsi="Arial" w:cs="Arial"/>
          <w:b/>
          <w:color w:val="auto"/>
        </w:rPr>
        <w:t xml:space="preserve">, </w:t>
      </w:r>
      <w:r w:rsidR="00D64586" w:rsidRPr="00C45CBD">
        <w:rPr>
          <w:rFonts w:ascii="Arial" w:hAnsi="Arial" w:cs="Arial"/>
          <w:b/>
          <w:color w:val="auto"/>
        </w:rPr>
        <w:t xml:space="preserve">contenido en el Anteproyecto sometido a consulta pública, </w:t>
      </w:r>
      <w:r w:rsidRPr="00C45CBD">
        <w:rPr>
          <w:rFonts w:ascii="Arial" w:hAnsi="Arial" w:cs="Arial"/>
          <w:b/>
          <w:color w:val="auto"/>
        </w:rPr>
        <w:t xml:space="preserve">es consistente con el artículo décimo tercero transitorio del </w:t>
      </w:r>
      <w:r w:rsidR="00BF6B6F" w:rsidRPr="00C45CBD">
        <w:rPr>
          <w:rFonts w:ascii="Arial" w:hAnsi="Arial" w:cs="Arial"/>
          <w:b/>
          <w:color w:val="auto"/>
        </w:rPr>
        <w:t>PTFN</w:t>
      </w:r>
      <w:r w:rsidRPr="00C45CBD">
        <w:rPr>
          <w:rFonts w:ascii="Arial" w:hAnsi="Arial" w:cs="Arial"/>
          <w:b/>
          <w:color w:val="auto"/>
        </w:rPr>
        <w:t xml:space="preserve"> publicado en el </w:t>
      </w:r>
      <w:r w:rsidR="00BF6B6F" w:rsidRPr="00C45CBD">
        <w:rPr>
          <w:rFonts w:ascii="Arial" w:hAnsi="Arial" w:cs="Arial"/>
          <w:b/>
          <w:color w:val="auto"/>
        </w:rPr>
        <w:t>DOF</w:t>
      </w:r>
      <w:r w:rsidRPr="00C45CBD">
        <w:rPr>
          <w:rFonts w:ascii="Arial" w:hAnsi="Arial" w:cs="Arial"/>
          <w:b/>
          <w:color w:val="auto"/>
        </w:rPr>
        <w:t xml:space="preserve"> el 11 de mayo de 2018. El principal cambio radica en que con la modificación propuesta se permite la convivencia en los formatos de intercambio del número de B en señalización.</w:t>
      </w:r>
    </w:p>
    <w:p w14:paraId="3F17929F" w14:textId="4753A1E9" w:rsidR="003E67B8" w:rsidRPr="00C45CBD" w:rsidRDefault="003E67B8" w:rsidP="00C26691">
      <w:pPr>
        <w:pStyle w:val="Default"/>
        <w:ind w:hanging="426"/>
        <w:jc w:val="both"/>
        <w:rPr>
          <w:rFonts w:ascii="Arial" w:hAnsi="Arial" w:cs="Arial"/>
          <w:b/>
          <w:color w:val="auto"/>
        </w:rPr>
      </w:pPr>
    </w:p>
    <w:p w14:paraId="5585D9BA" w14:textId="0862284C" w:rsidR="003E67B8" w:rsidRPr="00C45CBD" w:rsidRDefault="003E67B8" w:rsidP="00C26691">
      <w:pPr>
        <w:pStyle w:val="Default"/>
        <w:numPr>
          <w:ilvl w:val="0"/>
          <w:numId w:val="9"/>
        </w:numPr>
        <w:ind w:left="426" w:hanging="426"/>
        <w:jc w:val="both"/>
        <w:rPr>
          <w:rFonts w:ascii="Arial" w:hAnsi="Arial" w:cs="Arial"/>
          <w:b/>
          <w:color w:val="auto"/>
        </w:rPr>
      </w:pPr>
      <w:r w:rsidRPr="00C45CBD">
        <w:rPr>
          <w:rFonts w:ascii="Arial" w:hAnsi="Arial" w:cs="Arial"/>
          <w:b/>
          <w:color w:val="auto"/>
        </w:rPr>
        <w:lastRenderedPageBreak/>
        <w:t xml:space="preserve">El artículo décimo octavo transitorio del </w:t>
      </w:r>
      <w:r w:rsidR="00BF6B6F" w:rsidRPr="00C45CBD">
        <w:rPr>
          <w:rFonts w:ascii="Arial" w:hAnsi="Arial" w:cs="Arial"/>
          <w:b/>
          <w:color w:val="auto"/>
        </w:rPr>
        <w:t>PTFN</w:t>
      </w:r>
      <w:r w:rsidRPr="00C45CBD">
        <w:rPr>
          <w:rFonts w:ascii="Arial" w:hAnsi="Arial" w:cs="Arial"/>
          <w:b/>
          <w:color w:val="auto"/>
        </w:rPr>
        <w:t>,</w:t>
      </w:r>
      <w:r w:rsidR="00D64586" w:rsidRPr="00C45CBD">
        <w:rPr>
          <w:rFonts w:ascii="Arial" w:hAnsi="Arial" w:cs="Arial"/>
          <w:b/>
          <w:color w:val="auto"/>
        </w:rPr>
        <w:t xml:space="preserve"> contenido en el Anteproyecto sometido a consulta pública,</w:t>
      </w:r>
      <w:r w:rsidRPr="00C45CBD">
        <w:rPr>
          <w:rFonts w:ascii="Arial" w:hAnsi="Arial" w:cs="Arial"/>
          <w:b/>
          <w:color w:val="auto"/>
        </w:rPr>
        <w:t xml:space="preserve"> es consistente con el artículo décimo cuarto transitorio del </w:t>
      </w:r>
      <w:r w:rsidR="00BF6B6F" w:rsidRPr="00C45CBD">
        <w:rPr>
          <w:rFonts w:ascii="Arial" w:hAnsi="Arial" w:cs="Arial"/>
          <w:b/>
          <w:color w:val="auto"/>
        </w:rPr>
        <w:t>PTFN</w:t>
      </w:r>
      <w:r w:rsidRPr="00C45CBD">
        <w:rPr>
          <w:rFonts w:ascii="Arial" w:hAnsi="Arial" w:cs="Arial"/>
          <w:b/>
          <w:color w:val="auto"/>
        </w:rPr>
        <w:t xml:space="preserve"> publicado en el </w:t>
      </w:r>
      <w:r w:rsidR="00BF6B6F" w:rsidRPr="00C45CBD">
        <w:rPr>
          <w:rFonts w:ascii="Arial" w:hAnsi="Arial" w:cs="Arial"/>
          <w:b/>
          <w:color w:val="auto"/>
        </w:rPr>
        <w:t>DOF</w:t>
      </w:r>
      <w:r w:rsidRPr="00C45CBD">
        <w:rPr>
          <w:rFonts w:ascii="Arial" w:hAnsi="Arial" w:cs="Arial"/>
          <w:b/>
          <w:color w:val="auto"/>
        </w:rPr>
        <w:t xml:space="preserve"> el 11 de mayo de 2018.</w:t>
      </w:r>
    </w:p>
    <w:p w14:paraId="5F55866E" w14:textId="287B9B32" w:rsidR="00896926" w:rsidRDefault="00896926" w:rsidP="00896926">
      <w:pPr>
        <w:pStyle w:val="Default"/>
        <w:jc w:val="both"/>
        <w:rPr>
          <w:rFonts w:ascii="Arial" w:hAnsi="Arial" w:cs="Arial"/>
          <w:b/>
          <w:color w:val="auto"/>
        </w:rPr>
      </w:pPr>
    </w:p>
    <w:p w14:paraId="73D2E6F3" w14:textId="0D3CCB9B" w:rsidR="00C52C8D" w:rsidRPr="00C26691" w:rsidRDefault="00C52C8D" w:rsidP="00C52C8D">
      <w:pPr>
        <w:pStyle w:val="Default"/>
        <w:jc w:val="both"/>
        <w:rPr>
          <w:rFonts w:ascii="Arial" w:hAnsi="Arial" w:cs="Arial"/>
        </w:rPr>
      </w:pPr>
      <w:r>
        <w:rPr>
          <w:rFonts w:ascii="Arial" w:hAnsi="Arial" w:cs="Arial"/>
        </w:rPr>
        <w:t xml:space="preserve">Por otra parte, Grupo AT&amp;T propone agregar un párrafo al artículo sexto transitorio del PTFN a efecto de dar mayor claridad en relación a las disposiciones que continuarán aplicándose hasta el 31 de enero de 2022. </w:t>
      </w:r>
    </w:p>
    <w:p w14:paraId="25A987FE" w14:textId="38B0ABF9" w:rsidR="00C52C8D" w:rsidRPr="00C26691" w:rsidRDefault="00C52C8D" w:rsidP="00896926">
      <w:pPr>
        <w:pStyle w:val="Default"/>
        <w:jc w:val="both"/>
        <w:rPr>
          <w:rFonts w:ascii="Arial" w:hAnsi="Arial" w:cs="Arial"/>
          <w:b/>
          <w:color w:val="auto"/>
        </w:rPr>
      </w:pPr>
    </w:p>
    <w:p w14:paraId="0DF6C3D2" w14:textId="2B59B2BD" w:rsidR="00896926" w:rsidRPr="00896926" w:rsidRDefault="005A57A4" w:rsidP="00896926">
      <w:pPr>
        <w:jc w:val="both"/>
        <w:rPr>
          <w:rFonts w:ascii="Arial" w:hAnsi="Arial" w:cs="Arial"/>
          <w:b/>
          <w:sz w:val="24"/>
          <w:szCs w:val="24"/>
        </w:rPr>
      </w:pPr>
      <w:r>
        <w:rPr>
          <w:rFonts w:ascii="Arial" w:hAnsi="Arial" w:cs="Arial"/>
          <w:b/>
          <w:sz w:val="24"/>
          <w:szCs w:val="24"/>
        </w:rPr>
        <w:t>RESPUESTA: S</w:t>
      </w:r>
      <w:r w:rsidR="00896926">
        <w:rPr>
          <w:rFonts w:ascii="Arial" w:hAnsi="Arial" w:cs="Arial"/>
          <w:b/>
          <w:sz w:val="24"/>
          <w:szCs w:val="24"/>
        </w:rPr>
        <w:t>e toma en consideración el comentario y se modifica el Anteproyecto.</w:t>
      </w:r>
    </w:p>
    <w:p w14:paraId="0C4F4E02" w14:textId="27ED160E" w:rsidR="00830530" w:rsidRPr="00C26691" w:rsidRDefault="00830530" w:rsidP="00830530">
      <w:pPr>
        <w:pStyle w:val="Default"/>
        <w:numPr>
          <w:ilvl w:val="0"/>
          <w:numId w:val="2"/>
        </w:numPr>
        <w:ind w:left="284" w:hanging="284"/>
        <w:jc w:val="both"/>
        <w:rPr>
          <w:rFonts w:ascii="Arial" w:hAnsi="Arial" w:cs="Arial"/>
          <w:b/>
          <w:color w:val="auto"/>
        </w:rPr>
      </w:pPr>
      <w:r w:rsidRPr="00C26691">
        <w:rPr>
          <w:rFonts w:ascii="Arial" w:hAnsi="Arial" w:cs="Arial"/>
          <w:b/>
          <w:color w:val="auto"/>
        </w:rPr>
        <w:t>REPORTES DE UTILIZACIÓN</w:t>
      </w:r>
    </w:p>
    <w:p w14:paraId="4D73D38D" w14:textId="77777777" w:rsidR="00830530" w:rsidRPr="00C26691" w:rsidRDefault="00830530" w:rsidP="00830530">
      <w:pPr>
        <w:pStyle w:val="Default"/>
        <w:ind w:left="284"/>
        <w:jc w:val="both"/>
        <w:rPr>
          <w:rFonts w:ascii="Arial" w:hAnsi="Arial" w:cs="Arial"/>
          <w:b/>
          <w:color w:val="auto"/>
        </w:rPr>
      </w:pPr>
    </w:p>
    <w:p w14:paraId="03B7DA53" w14:textId="0846460F" w:rsidR="00830530" w:rsidRPr="00C26691" w:rsidRDefault="00D11735" w:rsidP="00D11735">
      <w:pPr>
        <w:pStyle w:val="Default"/>
        <w:jc w:val="both"/>
        <w:rPr>
          <w:rFonts w:ascii="Arial" w:hAnsi="Arial" w:cs="Arial"/>
        </w:rPr>
      </w:pPr>
      <w:r w:rsidRPr="00C26691">
        <w:rPr>
          <w:rFonts w:ascii="Arial" w:hAnsi="Arial" w:cs="Arial"/>
        </w:rPr>
        <w:t xml:space="preserve">Diego Fuentes </w:t>
      </w:r>
      <w:proofErr w:type="spellStart"/>
      <w:r w:rsidRPr="00C26691">
        <w:rPr>
          <w:rFonts w:ascii="Arial" w:hAnsi="Arial" w:cs="Arial"/>
        </w:rPr>
        <w:t>Orrola</w:t>
      </w:r>
      <w:proofErr w:type="spellEnd"/>
      <w:r w:rsidRPr="00C26691">
        <w:rPr>
          <w:rFonts w:ascii="Arial" w:hAnsi="Arial" w:cs="Arial"/>
        </w:rPr>
        <w:t xml:space="preserve"> solicita conocer </w:t>
      </w:r>
      <w:r w:rsidR="00747094" w:rsidRPr="00C26691">
        <w:rPr>
          <w:rFonts w:ascii="Arial" w:hAnsi="Arial" w:cs="Arial"/>
        </w:rPr>
        <w:t>¿C</w:t>
      </w:r>
      <w:r w:rsidRPr="00C26691">
        <w:rPr>
          <w:rFonts w:ascii="Arial" w:hAnsi="Arial" w:cs="Arial"/>
        </w:rPr>
        <w:t>ada cuándo se deberán volver a entregar los reportes de utilización de numeración nacional y no geográfica una vez que éstos s</w:t>
      </w:r>
      <w:r w:rsidR="00747094" w:rsidRPr="00C26691">
        <w:rPr>
          <w:rFonts w:ascii="Arial" w:hAnsi="Arial" w:cs="Arial"/>
        </w:rPr>
        <w:t>e presenten por primera ocasión?</w:t>
      </w:r>
    </w:p>
    <w:p w14:paraId="4804520D" w14:textId="68CC98F5" w:rsidR="00D11735" w:rsidRPr="00C26691" w:rsidRDefault="00D11735" w:rsidP="00D11735">
      <w:pPr>
        <w:pStyle w:val="Default"/>
        <w:jc w:val="both"/>
        <w:rPr>
          <w:rFonts w:ascii="Arial" w:hAnsi="Arial" w:cs="Arial"/>
        </w:rPr>
      </w:pPr>
    </w:p>
    <w:p w14:paraId="0C14DFD9" w14:textId="3B47AE75" w:rsidR="00D11735" w:rsidRPr="00C26691" w:rsidRDefault="005A57A4" w:rsidP="00D11735">
      <w:pPr>
        <w:pStyle w:val="Default"/>
        <w:jc w:val="both"/>
        <w:rPr>
          <w:rFonts w:ascii="Arial" w:hAnsi="Arial" w:cs="Arial"/>
          <w:b/>
          <w:color w:val="auto"/>
        </w:rPr>
      </w:pPr>
      <w:r>
        <w:rPr>
          <w:rFonts w:ascii="Arial" w:hAnsi="Arial" w:cs="Arial"/>
          <w:b/>
          <w:color w:val="auto"/>
        </w:rPr>
        <w:t>De conformidad con</w:t>
      </w:r>
      <w:r w:rsidR="00D11735" w:rsidRPr="00C26691">
        <w:rPr>
          <w:rFonts w:ascii="Arial" w:hAnsi="Arial" w:cs="Arial"/>
          <w:b/>
          <w:color w:val="auto"/>
        </w:rPr>
        <w:t xml:space="preserve"> los </w:t>
      </w:r>
      <w:r>
        <w:rPr>
          <w:rFonts w:ascii="Arial" w:hAnsi="Arial" w:cs="Arial"/>
          <w:b/>
          <w:color w:val="auto"/>
        </w:rPr>
        <w:t xml:space="preserve">numerales 13.1 y 13.3 del </w:t>
      </w:r>
      <w:r w:rsidR="00D11735" w:rsidRPr="00C26691">
        <w:rPr>
          <w:rFonts w:ascii="Arial" w:hAnsi="Arial" w:cs="Arial"/>
          <w:b/>
          <w:color w:val="auto"/>
        </w:rPr>
        <w:t>PTFN, publicado en el DOF el 11 de mayo de 2018, una vez transcurridos 15 días hábiles posteriores al 1 de febrero de 2022, los reportes de utilización de numeración nacional y no geográfica se deberán presentar dentro de los primeros 10 días hábiles de cada bimestre calendario.</w:t>
      </w:r>
    </w:p>
    <w:p w14:paraId="31CDA7E0" w14:textId="77777777" w:rsidR="003E67B8" w:rsidRPr="00C26691" w:rsidRDefault="003E67B8" w:rsidP="00A75B81">
      <w:pPr>
        <w:pStyle w:val="Default"/>
        <w:jc w:val="both"/>
        <w:rPr>
          <w:rFonts w:ascii="Arial" w:hAnsi="Arial" w:cs="Arial"/>
          <w:b/>
          <w:color w:val="auto"/>
        </w:rPr>
      </w:pPr>
    </w:p>
    <w:p w14:paraId="3F75B81A" w14:textId="7E1EDCC3" w:rsidR="00747094" w:rsidRPr="00C26691" w:rsidRDefault="00747094" w:rsidP="00747094">
      <w:pPr>
        <w:pStyle w:val="Prrafodelista"/>
        <w:numPr>
          <w:ilvl w:val="0"/>
          <w:numId w:val="2"/>
        </w:numPr>
        <w:ind w:left="284" w:hanging="284"/>
        <w:jc w:val="both"/>
        <w:rPr>
          <w:rFonts w:ascii="Arial" w:hAnsi="Arial" w:cs="Arial"/>
          <w:b/>
          <w:color w:val="000000"/>
          <w:sz w:val="24"/>
          <w:szCs w:val="24"/>
        </w:rPr>
      </w:pPr>
      <w:r w:rsidRPr="00C26691">
        <w:rPr>
          <w:rFonts w:ascii="Arial" w:hAnsi="Arial" w:cs="Arial"/>
          <w:b/>
          <w:color w:val="000000"/>
          <w:sz w:val="24"/>
          <w:szCs w:val="24"/>
        </w:rPr>
        <w:t>ASIGNACIONES DE NUMERACIÓN NACIONAL PARA COMPLETAR BLOQUES DE MILLAR</w:t>
      </w:r>
    </w:p>
    <w:p w14:paraId="43E1BA31" w14:textId="47FC8DDA" w:rsidR="00180A49" w:rsidRPr="00C26691" w:rsidRDefault="00747094" w:rsidP="00747094">
      <w:pPr>
        <w:jc w:val="both"/>
        <w:rPr>
          <w:rFonts w:ascii="Arial" w:hAnsi="Arial" w:cs="Arial"/>
          <w:color w:val="000000"/>
          <w:sz w:val="24"/>
          <w:szCs w:val="24"/>
        </w:rPr>
      </w:pPr>
      <w:r w:rsidRPr="00C26691">
        <w:rPr>
          <w:rFonts w:ascii="Arial" w:hAnsi="Arial" w:cs="Arial"/>
          <w:color w:val="000000"/>
          <w:sz w:val="24"/>
          <w:szCs w:val="24"/>
        </w:rPr>
        <w:t xml:space="preserve">Diego Fuentes </w:t>
      </w:r>
      <w:proofErr w:type="spellStart"/>
      <w:r w:rsidRPr="00C26691">
        <w:rPr>
          <w:rFonts w:ascii="Arial" w:hAnsi="Arial" w:cs="Arial"/>
          <w:color w:val="000000"/>
          <w:sz w:val="24"/>
          <w:szCs w:val="24"/>
        </w:rPr>
        <w:t>Orrola</w:t>
      </w:r>
      <w:proofErr w:type="spellEnd"/>
      <w:r w:rsidRPr="00C26691">
        <w:rPr>
          <w:rFonts w:ascii="Arial" w:hAnsi="Arial" w:cs="Arial"/>
          <w:color w:val="000000"/>
          <w:sz w:val="24"/>
          <w:szCs w:val="24"/>
        </w:rPr>
        <w:t xml:space="preserve"> solicita conocer ¿Qué tiempo tiene el Instituto para asignar a los concesionarios la cantidad de numeración necesaria para completar los millares correspondientes? y ¿Qué beneficio tiene esto para los concesionarios? </w:t>
      </w:r>
    </w:p>
    <w:p w14:paraId="1F90704F" w14:textId="3D8DFCB1" w:rsidR="000357B0" w:rsidRPr="00C26691" w:rsidRDefault="005A57A4" w:rsidP="00747094">
      <w:pPr>
        <w:jc w:val="both"/>
        <w:rPr>
          <w:rFonts w:ascii="Arial" w:hAnsi="Arial" w:cs="Arial"/>
          <w:b/>
          <w:color w:val="000000"/>
          <w:sz w:val="24"/>
          <w:szCs w:val="24"/>
        </w:rPr>
      </w:pPr>
      <w:r>
        <w:rPr>
          <w:rFonts w:ascii="Arial" w:hAnsi="Arial" w:cs="Arial"/>
          <w:b/>
          <w:color w:val="000000"/>
          <w:sz w:val="24"/>
          <w:szCs w:val="24"/>
        </w:rPr>
        <w:t xml:space="preserve">RESPUESTA: </w:t>
      </w:r>
      <w:r w:rsidR="00747094" w:rsidRPr="00C26691">
        <w:rPr>
          <w:rFonts w:ascii="Arial" w:hAnsi="Arial" w:cs="Arial"/>
          <w:b/>
          <w:color w:val="000000"/>
          <w:sz w:val="24"/>
          <w:szCs w:val="24"/>
        </w:rPr>
        <w:t xml:space="preserve">Las asignaciones correspondientes se realizarán en un plazo máximo de 15 días hábiles, contados a partir del 1 de febrero de 2022. </w:t>
      </w:r>
    </w:p>
    <w:p w14:paraId="4BF25555" w14:textId="0915B122" w:rsidR="00747094" w:rsidRPr="00C26691" w:rsidRDefault="000357B0" w:rsidP="00747094">
      <w:pPr>
        <w:jc w:val="both"/>
        <w:rPr>
          <w:rFonts w:ascii="Arial" w:hAnsi="Arial" w:cs="Arial"/>
          <w:b/>
          <w:color w:val="000000"/>
          <w:sz w:val="24"/>
          <w:szCs w:val="24"/>
        </w:rPr>
      </w:pPr>
      <w:r w:rsidRPr="00C26691">
        <w:rPr>
          <w:rFonts w:ascii="Arial" w:hAnsi="Arial" w:cs="Arial"/>
          <w:b/>
          <w:color w:val="000000"/>
          <w:sz w:val="24"/>
          <w:szCs w:val="24"/>
        </w:rPr>
        <w:t>Al cerrar</w:t>
      </w:r>
      <w:r w:rsidR="00747094" w:rsidRPr="00C26691">
        <w:rPr>
          <w:rFonts w:ascii="Arial" w:hAnsi="Arial" w:cs="Arial"/>
          <w:b/>
          <w:color w:val="000000"/>
          <w:sz w:val="24"/>
          <w:szCs w:val="24"/>
        </w:rPr>
        <w:t xml:space="preserve"> los rangos de numeración </w:t>
      </w:r>
      <w:r w:rsidRPr="00C26691">
        <w:rPr>
          <w:rFonts w:ascii="Arial" w:hAnsi="Arial" w:cs="Arial"/>
          <w:b/>
          <w:color w:val="000000"/>
          <w:sz w:val="24"/>
          <w:szCs w:val="24"/>
        </w:rPr>
        <w:t xml:space="preserve">nacional </w:t>
      </w:r>
      <w:r w:rsidR="00747094" w:rsidRPr="00C26691">
        <w:rPr>
          <w:rFonts w:ascii="Arial" w:hAnsi="Arial" w:cs="Arial"/>
          <w:b/>
          <w:color w:val="000000"/>
          <w:sz w:val="24"/>
          <w:szCs w:val="24"/>
        </w:rPr>
        <w:t>al millar, los concesionarios no tendrán que analizar los dígitos del número de destino más allá del séptimo dígito</w:t>
      </w:r>
      <w:r w:rsidRPr="00C26691">
        <w:rPr>
          <w:rFonts w:ascii="Arial" w:hAnsi="Arial" w:cs="Arial"/>
          <w:b/>
          <w:color w:val="000000"/>
          <w:sz w:val="24"/>
          <w:szCs w:val="24"/>
        </w:rPr>
        <w:t xml:space="preserve"> a efecto de determinar la red del concesionario de destino.</w:t>
      </w:r>
      <w:r w:rsidR="00747094" w:rsidRPr="00C26691">
        <w:rPr>
          <w:rFonts w:ascii="Arial" w:hAnsi="Arial" w:cs="Arial"/>
          <w:b/>
          <w:color w:val="000000"/>
          <w:sz w:val="24"/>
          <w:szCs w:val="24"/>
        </w:rPr>
        <w:t xml:space="preserve"> </w:t>
      </w:r>
      <w:r w:rsidRPr="00C26691">
        <w:rPr>
          <w:rFonts w:ascii="Arial" w:hAnsi="Arial" w:cs="Arial"/>
          <w:b/>
          <w:color w:val="000000"/>
          <w:sz w:val="24"/>
          <w:szCs w:val="24"/>
        </w:rPr>
        <w:t>Lo anterior siempre y cuando la totalidad del millar</w:t>
      </w:r>
      <w:r w:rsidR="00747094" w:rsidRPr="00C26691">
        <w:rPr>
          <w:rFonts w:ascii="Arial" w:hAnsi="Arial" w:cs="Arial"/>
          <w:b/>
          <w:color w:val="000000"/>
          <w:sz w:val="24"/>
          <w:szCs w:val="24"/>
        </w:rPr>
        <w:t xml:space="preserve"> pertenezca a un mismo proveedor de servicios de telecomunicaciones</w:t>
      </w:r>
      <w:r w:rsidR="005A57A4">
        <w:rPr>
          <w:rFonts w:ascii="Arial" w:hAnsi="Arial" w:cs="Arial"/>
          <w:b/>
          <w:color w:val="000000"/>
          <w:sz w:val="24"/>
          <w:szCs w:val="24"/>
        </w:rPr>
        <w:t xml:space="preserve"> (“PST”)</w:t>
      </w:r>
      <w:r w:rsidR="00747094" w:rsidRPr="00C26691">
        <w:rPr>
          <w:rFonts w:ascii="Arial" w:hAnsi="Arial" w:cs="Arial"/>
          <w:b/>
          <w:color w:val="000000"/>
          <w:sz w:val="24"/>
          <w:szCs w:val="24"/>
        </w:rPr>
        <w:t>.</w:t>
      </w:r>
    </w:p>
    <w:p w14:paraId="4C290CC8" w14:textId="7FA7C0FD" w:rsidR="00747094" w:rsidRDefault="000357B0" w:rsidP="000A35B6">
      <w:pPr>
        <w:pStyle w:val="Prrafodelista"/>
        <w:numPr>
          <w:ilvl w:val="0"/>
          <w:numId w:val="2"/>
        </w:numPr>
        <w:ind w:left="284" w:hanging="284"/>
        <w:jc w:val="both"/>
        <w:rPr>
          <w:rFonts w:ascii="Arial" w:hAnsi="Arial" w:cs="Arial"/>
          <w:b/>
          <w:color w:val="000000"/>
          <w:sz w:val="24"/>
          <w:szCs w:val="24"/>
        </w:rPr>
      </w:pPr>
      <w:r w:rsidRPr="00C26691">
        <w:rPr>
          <w:rFonts w:ascii="Arial" w:hAnsi="Arial" w:cs="Arial"/>
          <w:b/>
          <w:color w:val="000000"/>
          <w:sz w:val="24"/>
          <w:szCs w:val="24"/>
        </w:rPr>
        <w:t>DIFUSIÓN</w:t>
      </w:r>
    </w:p>
    <w:p w14:paraId="04359C1A" w14:textId="6F309E0C" w:rsidR="00A17EBD" w:rsidRDefault="00A17EBD" w:rsidP="00A17EBD">
      <w:pPr>
        <w:jc w:val="both"/>
        <w:rPr>
          <w:rFonts w:ascii="Arial" w:hAnsi="Arial" w:cs="Arial"/>
          <w:color w:val="000000"/>
          <w:sz w:val="24"/>
          <w:szCs w:val="24"/>
        </w:rPr>
      </w:pPr>
      <w:r w:rsidRPr="00C26691">
        <w:rPr>
          <w:rFonts w:ascii="Arial" w:hAnsi="Arial" w:cs="Arial"/>
          <w:color w:val="000000"/>
          <w:sz w:val="24"/>
          <w:szCs w:val="24"/>
        </w:rPr>
        <w:t xml:space="preserve">Diego Fuentes </w:t>
      </w:r>
      <w:proofErr w:type="spellStart"/>
      <w:r w:rsidRPr="00C26691">
        <w:rPr>
          <w:rFonts w:ascii="Arial" w:hAnsi="Arial" w:cs="Arial"/>
          <w:color w:val="000000"/>
          <w:sz w:val="24"/>
          <w:szCs w:val="24"/>
        </w:rPr>
        <w:t>Orrola</w:t>
      </w:r>
      <w:proofErr w:type="spellEnd"/>
      <w:r w:rsidR="005A57A4">
        <w:rPr>
          <w:rFonts w:ascii="Arial" w:hAnsi="Arial" w:cs="Arial"/>
          <w:color w:val="000000"/>
          <w:sz w:val="24"/>
          <w:szCs w:val="24"/>
        </w:rPr>
        <w:t>,</w:t>
      </w:r>
      <w:r>
        <w:rPr>
          <w:rFonts w:ascii="Arial" w:hAnsi="Arial" w:cs="Arial"/>
          <w:color w:val="000000"/>
          <w:sz w:val="24"/>
          <w:szCs w:val="24"/>
        </w:rPr>
        <w:t xml:space="preserve"> Mega Cable</w:t>
      </w:r>
      <w:r w:rsidR="002946F0">
        <w:rPr>
          <w:rFonts w:ascii="Arial" w:hAnsi="Arial" w:cs="Arial"/>
          <w:color w:val="000000"/>
          <w:sz w:val="24"/>
          <w:szCs w:val="24"/>
        </w:rPr>
        <w:t>,</w:t>
      </w:r>
      <w:r>
        <w:rPr>
          <w:rFonts w:ascii="Arial" w:hAnsi="Arial" w:cs="Arial"/>
          <w:color w:val="000000"/>
          <w:sz w:val="24"/>
          <w:szCs w:val="24"/>
        </w:rPr>
        <w:t xml:space="preserve"> IP </w:t>
      </w:r>
      <w:proofErr w:type="spellStart"/>
      <w:r>
        <w:rPr>
          <w:rFonts w:ascii="Arial" w:hAnsi="Arial" w:cs="Arial"/>
          <w:color w:val="000000"/>
          <w:sz w:val="24"/>
          <w:szCs w:val="24"/>
        </w:rPr>
        <w:t>Matrix</w:t>
      </w:r>
      <w:proofErr w:type="spellEnd"/>
      <w:r w:rsidR="002946F0">
        <w:rPr>
          <w:rFonts w:ascii="Arial" w:hAnsi="Arial" w:cs="Arial"/>
          <w:color w:val="000000"/>
          <w:sz w:val="24"/>
          <w:szCs w:val="24"/>
        </w:rPr>
        <w:t xml:space="preserve">, Axtel y </w:t>
      </w:r>
      <w:proofErr w:type="spellStart"/>
      <w:r w:rsidR="002946F0">
        <w:rPr>
          <w:rFonts w:ascii="Arial" w:hAnsi="Arial" w:cs="Arial"/>
          <w:color w:val="000000"/>
          <w:sz w:val="24"/>
          <w:szCs w:val="24"/>
        </w:rPr>
        <w:t>Avantel</w:t>
      </w:r>
      <w:proofErr w:type="spellEnd"/>
      <w:r>
        <w:rPr>
          <w:rFonts w:ascii="Arial" w:hAnsi="Arial" w:cs="Arial"/>
          <w:color w:val="000000"/>
          <w:sz w:val="24"/>
          <w:szCs w:val="24"/>
        </w:rPr>
        <w:t xml:space="preserve"> realizaron comentarios en relación con la difusión de los cambios en los procesos de marcación </w:t>
      </w:r>
      <w:r w:rsidR="00222E7F">
        <w:rPr>
          <w:rFonts w:ascii="Arial" w:hAnsi="Arial" w:cs="Arial"/>
          <w:color w:val="000000"/>
          <w:sz w:val="24"/>
          <w:szCs w:val="24"/>
        </w:rPr>
        <w:t xml:space="preserve">que se </w:t>
      </w:r>
      <w:r w:rsidR="008D2893">
        <w:rPr>
          <w:rFonts w:ascii="Arial" w:hAnsi="Arial" w:cs="Arial"/>
          <w:color w:val="000000"/>
          <w:sz w:val="24"/>
          <w:szCs w:val="24"/>
        </w:rPr>
        <w:t>implementarán</w:t>
      </w:r>
      <w:r w:rsidR="00222E7F">
        <w:rPr>
          <w:rFonts w:ascii="Arial" w:hAnsi="Arial" w:cs="Arial"/>
          <w:color w:val="000000"/>
          <w:sz w:val="24"/>
          <w:szCs w:val="24"/>
        </w:rPr>
        <w:t xml:space="preserve"> </w:t>
      </w:r>
      <w:r>
        <w:rPr>
          <w:rFonts w:ascii="Arial" w:hAnsi="Arial" w:cs="Arial"/>
          <w:color w:val="000000"/>
          <w:sz w:val="24"/>
          <w:szCs w:val="24"/>
        </w:rPr>
        <w:t>en nuestro país</w:t>
      </w:r>
      <w:r w:rsidR="00222E7F">
        <w:rPr>
          <w:rFonts w:ascii="Arial" w:hAnsi="Arial" w:cs="Arial"/>
          <w:color w:val="000000"/>
          <w:sz w:val="24"/>
          <w:szCs w:val="24"/>
        </w:rPr>
        <w:t xml:space="preserve"> a partir del 3 de agosto de 2019</w:t>
      </w:r>
      <w:r>
        <w:rPr>
          <w:rFonts w:ascii="Arial" w:hAnsi="Arial" w:cs="Arial"/>
          <w:color w:val="000000"/>
          <w:sz w:val="24"/>
          <w:szCs w:val="24"/>
        </w:rPr>
        <w:t>.</w:t>
      </w:r>
    </w:p>
    <w:p w14:paraId="0D105088" w14:textId="72FEEFFF" w:rsidR="00A17EBD" w:rsidRPr="00F059C8" w:rsidRDefault="005A57A4" w:rsidP="00A17EBD">
      <w:pPr>
        <w:jc w:val="both"/>
        <w:rPr>
          <w:rFonts w:ascii="Arial" w:hAnsi="Arial" w:cs="Arial"/>
          <w:b/>
          <w:color w:val="000000"/>
          <w:sz w:val="24"/>
          <w:szCs w:val="24"/>
        </w:rPr>
      </w:pPr>
      <w:r>
        <w:rPr>
          <w:rFonts w:ascii="Arial" w:hAnsi="Arial" w:cs="Arial"/>
          <w:b/>
          <w:color w:val="000000"/>
          <w:sz w:val="24"/>
          <w:szCs w:val="24"/>
        </w:rPr>
        <w:lastRenderedPageBreak/>
        <w:t xml:space="preserve">RESPUESTA: </w:t>
      </w:r>
      <w:r w:rsidR="00222E7F" w:rsidRPr="00F059C8">
        <w:rPr>
          <w:rFonts w:ascii="Arial" w:hAnsi="Arial" w:cs="Arial"/>
          <w:b/>
          <w:color w:val="000000"/>
          <w:sz w:val="24"/>
          <w:szCs w:val="24"/>
        </w:rPr>
        <w:t xml:space="preserve">El </w:t>
      </w:r>
      <w:r w:rsidR="008D2893" w:rsidRPr="00F059C8">
        <w:rPr>
          <w:rFonts w:ascii="Arial" w:hAnsi="Arial" w:cs="Arial"/>
          <w:b/>
          <w:color w:val="000000"/>
          <w:sz w:val="24"/>
          <w:szCs w:val="24"/>
        </w:rPr>
        <w:t xml:space="preserve">número, tiempo, </w:t>
      </w:r>
      <w:r w:rsidR="00222E7F" w:rsidRPr="00F059C8">
        <w:rPr>
          <w:rFonts w:ascii="Arial" w:hAnsi="Arial" w:cs="Arial"/>
          <w:b/>
          <w:color w:val="000000"/>
          <w:sz w:val="24"/>
          <w:szCs w:val="24"/>
        </w:rPr>
        <w:t>presupuesto</w:t>
      </w:r>
      <w:r w:rsidR="008D2893" w:rsidRPr="00F059C8">
        <w:rPr>
          <w:rFonts w:ascii="Arial" w:hAnsi="Arial" w:cs="Arial"/>
          <w:b/>
          <w:color w:val="000000"/>
          <w:sz w:val="24"/>
          <w:szCs w:val="24"/>
        </w:rPr>
        <w:t xml:space="preserve"> y medios de comunicación </w:t>
      </w:r>
      <w:r w:rsidR="00222E7F" w:rsidRPr="00F059C8">
        <w:rPr>
          <w:rFonts w:ascii="Arial" w:hAnsi="Arial" w:cs="Arial"/>
          <w:b/>
          <w:color w:val="000000"/>
          <w:sz w:val="24"/>
          <w:szCs w:val="24"/>
        </w:rPr>
        <w:t>destinado</w:t>
      </w:r>
      <w:r w:rsidR="008D2893" w:rsidRPr="00F059C8">
        <w:rPr>
          <w:rFonts w:ascii="Arial" w:hAnsi="Arial" w:cs="Arial"/>
          <w:b/>
          <w:color w:val="000000"/>
          <w:sz w:val="24"/>
          <w:szCs w:val="24"/>
        </w:rPr>
        <w:t>s</w:t>
      </w:r>
      <w:r w:rsidR="00222E7F" w:rsidRPr="00F059C8">
        <w:rPr>
          <w:rFonts w:ascii="Arial" w:hAnsi="Arial" w:cs="Arial"/>
          <w:b/>
          <w:color w:val="000000"/>
          <w:sz w:val="24"/>
          <w:szCs w:val="24"/>
        </w:rPr>
        <w:t xml:space="preserve"> a </w:t>
      </w:r>
      <w:r w:rsidR="008D2893" w:rsidRPr="00F059C8">
        <w:rPr>
          <w:rFonts w:ascii="Arial" w:hAnsi="Arial" w:cs="Arial"/>
          <w:b/>
          <w:color w:val="000000"/>
          <w:sz w:val="24"/>
          <w:szCs w:val="24"/>
        </w:rPr>
        <w:t>l</w:t>
      </w:r>
      <w:r w:rsidR="00222E7F" w:rsidRPr="00F059C8">
        <w:rPr>
          <w:rFonts w:ascii="Arial" w:hAnsi="Arial" w:cs="Arial"/>
          <w:b/>
          <w:color w:val="000000"/>
          <w:sz w:val="24"/>
          <w:szCs w:val="24"/>
        </w:rPr>
        <w:t>as campañas de difusión</w:t>
      </w:r>
      <w:r w:rsidR="00C53334" w:rsidRPr="00F059C8">
        <w:rPr>
          <w:rFonts w:ascii="Arial" w:hAnsi="Arial" w:cs="Arial"/>
          <w:b/>
          <w:color w:val="000000"/>
          <w:sz w:val="24"/>
          <w:szCs w:val="24"/>
        </w:rPr>
        <w:t xml:space="preserve"> dirigidas a los usuarios</w:t>
      </w:r>
      <w:r w:rsidR="00222E7F" w:rsidRPr="00F059C8">
        <w:rPr>
          <w:rFonts w:ascii="Arial" w:hAnsi="Arial" w:cs="Arial"/>
          <w:b/>
          <w:color w:val="000000"/>
          <w:sz w:val="24"/>
          <w:szCs w:val="24"/>
        </w:rPr>
        <w:t xml:space="preserve"> serán determinados libremente por parte de cada </w:t>
      </w:r>
      <w:r w:rsidR="008D2893" w:rsidRPr="00F059C8">
        <w:rPr>
          <w:rFonts w:ascii="Arial" w:hAnsi="Arial" w:cs="Arial"/>
          <w:b/>
          <w:color w:val="000000"/>
          <w:sz w:val="24"/>
          <w:szCs w:val="24"/>
        </w:rPr>
        <w:t>PST</w:t>
      </w:r>
      <w:r w:rsidR="00222E7F" w:rsidRPr="00F059C8">
        <w:rPr>
          <w:rFonts w:ascii="Arial" w:hAnsi="Arial" w:cs="Arial"/>
          <w:b/>
          <w:color w:val="000000"/>
          <w:sz w:val="24"/>
          <w:szCs w:val="24"/>
        </w:rPr>
        <w:t>.</w:t>
      </w:r>
    </w:p>
    <w:p w14:paraId="1B431193" w14:textId="5907771B" w:rsidR="00C53334" w:rsidRDefault="00C53334" w:rsidP="00A17EBD">
      <w:pPr>
        <w:jc w:val="both"/>
        <w:rPr>
          <w:rFonts w:ascii="Arial" w:hAnsi="Arial" w:cs="Arial"/>
          <w:b/>
          <w:color w:val="000000"/>
          <w:sz w:val="24"/>
          <w:szCs w:val="24"/>
        </w:rPr>
      </w:pPr>
      <w:r w:rsidRPr="00F059C8">
        <w:rPr>
          <w:rFonts w:ascii="Arial" w:hAnsi="Arial" w:cs="Arial"/>
          <w:b/>
          <w:color w:val="000000"/>
          <w:sz w:val="24"/>
          <w:szCs w:val="24"/>
        </w:rPr>
        <w:t>Por otra parte, se confirma que el Instituto participará activamente en la difusión de los cambios en los procedimientos de marcación.</w:t>
      </w:r>
    </w:p>
    <w:p w14:paraId="0E712AD7" w14:textId="7D1D552C" w:rsidR="006E7358" w:rsidRPr="00F059C8" w:rsidRDefault="006E7358" w:rsidP="00A17EBD">
      <w:pPr>
        <w:jc w:val="both"/>
        <w:rPr>
          <w:rFonts w:ascii="Arial" w:hAnsi="Arial" w:cs="Arial"/>
          <w:b/>
          <w:color w:val="000000"/>
          <w:sz w:val="24"/>
          <w:szCs w:val="24"/>
        </w:rPr>
      </w:pPr>
      <w:r>
        <w:rPr>
          <w:rFonts w:ascii="Arial" w:hAnsi="Arial" w:cs="Arial"/>
          <w:b/>
          <w:color w:val="000000"/>
          <w:sz w:val="24"/>
          <w:szCs w:val="24"/>
        </w:rPr>
        <w:t>Finalmente, en atención a los comentarios  que señalan que un periodo de 6 meses para la difusión de los cambios en los procedimientos de marcación podría no ser suficiente para los clientes pertenecientes al mercado empresarial y de gobierno, resulta relevante considerar que s</w:t>
      </w:r>
      <w:r w:rsidRPr="006E7358">
        <w:rPr>
          <w:rFonts w:ascii="Arial" w:hAnsi="Arial" w:cs="Arial"/>
          <w:b/>
          <w:color w:val="000000"/>
          <w:sz w:val="24"/>
          <w:szCs w:val="24"/>
        </w:rPr>
        <w:t xml:space="preserve">i bien la difusión de los cambios en los procedimientos de marcación dirigida a toda la población se establece como obligatoria durante un periodo de 6 meses previos al 3 de agosto de 2019, el nuevo </w:t>
      </w:r>
      <w:r>
        <w:rPr>
          <w:rFonts w:ascii="Arial" w:hAnsi="Arial" w:cs="Arial"/>
          <w:b/>
          <w:color w:val="000000"/>
          <w:sz w:val="24"/>
          <w:szCs w:val="24"/>
        </w:rPr>
        <w:t>PTFN</w:t>
      </w:r>
      <w:r w:rsidRPr="006E7358">
        <w:rPr>
          <w:rFonts w:ascii="Arial" w:hAnsi="Arial" w:cs="Arial"/>
          <w:b/>
          <w:color w:val="000000"/>
          <w:sz w:val="24"/>
          <w:szCs w:val="24"/>
        </w:rPr>
        <w:t xml:space="preserve"> fue publicado el 3 de mayo de 2018. </w:t>
      </w:r>
      <w:r w:rsidR="00E83895">
        <w:rPr>
          <w:rFonts w:ascii="Arial" w:hAnsi="Arial" w:cs="Arial"/>
          <w:b/>
          <w:color w:val="000000"/>
          <w:sz w:val="24"/>
          <w:szCs w:val="24"/>
        </w:rPr>
        <w:t>En consecuencia, a</w:t>
      </w:r>
      <w:r w:rsidRPr="006E7358">
        <w:rPr>
          <w:rFonts w:ascii="Arial" w:hAnsi="Arial" w:cs="Arial"/>
          <w:b/>
          <w:color w:val="000000"/>
          <w:sz w:val="24"/>
          <w:szCs w:val="24"/>
        </w:rPr>
        <w:t xml:space="preserve"> partir de esta fecha los </w:t>
      </w:r>
      <w:r w:rsidR="005A57A4">
        <w:rPr>
          <w:rFonts w:ascii="Arial" w:hAnsi="Arial" w:cs="Arial"/>
          <w:b/>
          <w:color w:val="000000"/>
          <w:sz w:val="24"/>
          <w:szCs w:val="24"/>
        </w:rPr>
        <w:t>PST</w:t>
      </w:r>
      <w:r w:rsidRPr="006E7358">
        <w:rPr>
          <w:rFonts w:ascii="Arial" w:hAnsi="Arial" w:cs="Arial"/>
          <w:b/>
          <w:color w:val="000000"/>
          <w:sz w:val="24"/>
          <w:szCs w:val="24"/>
        </w:rPr>
        <w:t xml:space="preserve"> que así lo cons</w:t>
      </w:r>
      <w:r>
        <w:rPr>
          <w:rFonts w:ascii="Arial" w:hAnsi="Arial" w:cs="Arial"/>
          <w:b/>
          <w:color w:val="000000"/>
          <w:sz w:val="24"/>
          <w:szCs w:val="24"/>
        </w:rPr>
        <w:t>i</w:t>
      </w:r>
      <w:r w:rsidRPr="006E7358">
        <w:rPr>
          <w:rFonts w:ascii="Arial" w:hAnsi="Arial" w:cs="Arial"/>
          <w:b/>
          <w:color w:val="000000"/>
          <w:sz w:val="24"/>
          <w:szCs w:val="24"/>
        </w:rPr>
        <w:t>d</w:t>
      </w:r>
      <w:r>
        <w:rPr>
          <w:rFonts w:ascii="Arial" w:hAnsi="Arial" w:cs="Arial"/>
          <w:b/>
          <w:color w:val="000000"/>
          <w:sz w:val="24"/>
          <w:szCs w:val="24"/>
        </w:rPr>
        <w:t>e</w:t>
      </w:r>
      <w:r w:rsidRPr="006E7358">
        <w:rPr>
          <w:rFonts w:ascii="Arial" w:hAnsi="Arial" w:cs="Arial"/>
          <w:b/>
          <w:color w:val="000000"/>
          <w:sz w:val="24"/>
          <w:szCs w:val="24"/>
        </w:rPr>
        <w:t xml:space="preserve">rasen, tenían la libertad de </w:t>
      </w:r>
      <w:r w:rsidR="00E83895">
        <w:rPr>
          <w:rFonts w:ascii="Arial" w:hAnsi="Arial" w:cs="Arial"/>
          <w:b/>
          <w:color w:val="000000"/>
          <w:sz w:val="24"/>
          <w:szCs w:val="24"/>
        </w:rPr>
        <w:t>informar</w:t>
      </w:r>
      <w:r w:rsidRPr="006E7358">
        <w:rPr>
          <w:rFonts w:ascii="Arial" w:hAnsi="Arial" w:cs="Arial"/>
          <w:b/>
          <w:color w:val="000000"/>
          <w:sz w:val="24"/>
          <w:szCs w:val="24"/>
        </w:rPr>
        <w:t xml:space="preserve"> a sus clientes no residenciales sobre los cambios en los procedimientos de marcación que entrarán en vigor a partir del 3 de agosto</w:t>
      </w:r>
      <w:r w:rsidR="00E83895">
        <w:rPr>
          <w:rFonts w:ascii="Arial" w:hAnsi="Arial" w:cs="Arial"/>
          <w:b/>
          <w:color w:val="000000"/>
          <w:sz w:val="24"/>
          <w:szCs w:val="24"/>
        </w:rPr>
        <w:t xml:space="preserve"> de 2019</w:t>
      </w:r>
      <w:r w:rsidRPr="006E7358">
        <w:rPr>
          <w:rFonts w:ascii="Arial" w:hAnsi="Arial" w:cs="Arial"/>
          <w:b/>
          <w:color w:val="000000"/>
          <w:sz w:val="24"/>
          <w:szCs w:val="24"/>
        </w:rPr>
        <w:t xml:space="preserve">, a efecto de que éstos contaran con </w:t>
      </w:r>
      <w:r w:rsidR="00E83895">
        <w:rPr>
          <w:rFonts w:ascii="Arial" w:hAnsi="Arial" w:cs="Arial"/>
          <w:b/>
          <w:color w:val="000000"/>
          <w:sz w:val="24"/>
          <w:szCs w:val="24"/>
        </w:rPr>
        <w:t xml:space="preserve">un </w:t>
      </w:r>
      <w:r w:rsidRPr="006E7358">
        <w:rPr>
          <w:rFonts w:ascii="Arial" w:hAnsi="Arial" w:cs="Arial"/>
          <w:b/>
          <w:color w:val="000000"/>
          <w:sz w:val="24"/>
          <w:szCs w:val="24"/>
        </w:rPr>
        <w:t xml:space="preserve">plazo mayor de tiempo para </w:t>
      </w:r>
      <w:r w:rsidR="00E83895">
        <w:rPr>
          <w:rFonts w:ascii="Arial" w:hAnsi="Arial" w:cs="Arial"/>
          <w:b/>
          <w:color w:val="000000"/>
          <w:sz w:val="24"/>
          <w:szCs w:val="24"/>
        </w:rPr>
        <w:t xml:space="preserve">su </w:t>
      </w:r>
      <w:r w:rsidRPr="006E7358">
        <w:rPr>
          <w:rFonts w:ascii="Arial" w:hAnsi="Arial" w:cs="Arial"/>
          <w:b/>
          <w:color w:val="000000"/>
          <w:sz w:val="24"/>
          <w:szCs w:val="24"/>
        </w:rPr>
        <w:t>adop</w:t>
      </w:r>
      <w:r w:rsidR="00E83895">
        <w:rPr>
          <w:rFonts w:ascii="Arial" w:hAnsi="Arial" w:cs="Arial"/>
          <w:b/>
          <w:color w:val="000000"/>
          <w:sz w:val="24"/>
          <w:szCs w:val="24"/>
        </w:rPr>
        <w:t>ción</w:t>
      </w:r>
      <w:r w:rsidRPr="006E7358">
        <w:rPr>
          <w:rFonts w:ascii="Arial" w:hAnsi="Arial" w:cs="Arial"/>
          <w:b/>
          <w:color w:val="000000"/>
          <w:sz w:val="24"/>
          <w:szCs w:val="24"/>
        </w:rPr>
        <w:t>.</w:t>
      </w:r>
    </w:p>
    <w:p w14:paraId="41612633" w14:textId="45C1A2D9" w:rsidR="00F059C8" w:rsidRDefault="00F059C8" w:rsidP="000A35B6">
      <w:pPr>
        <w:pStyle w:val="Prrafodelista"/>
        <w:numPr>
          <w:ilvl w:val="0"/>
          <w:numId w:val="2"/>
        </w:numPr>
        <w:ind w:left="284" w:hanging="284"/>
        <w:jc w:val="both"/>
        <w:rPr>
          <w:rFonts w:ascii="Arial" w:hAnsi="Arial" w:cs="Arial"/>
          <w:b/>
          <w:color w:val="000000"/>
          <w:sz w:val="24"/>
          <w:szCs w:val="24"/>
        </w:rPr>
      </w:pPr>
      <w:r w:rsidRPr="00F059C8">
        <w:rPr>
          <w:rFonts w:ascii="Arial" w:hAnsi="Arial" w:cs="Arial"/>
          <w:b/>
          <w:color w:val="000000"/>
          <w:sz w:val="24"/>
          <w:szCs w:val="24"/>
        </w:rPr>
        <w:t>REPORTES DE UTILIZACIÓN</w:t>
      </w:r>
    </w:p>
    <w:p w14:paraId="0019C592" w14:textId="75ABE8EE" w:rsidR="00F059C8" w:rsidRDefault="00491C71" w:rsidP="00F059C8">
      <w:pPr>
        <w:jc w:val="both"/>
        <w:rPr>
          <w:rFonts w:ascii="Arial" w:hAnsi="Arial" w:cs="Arial"/>
          <w:color w:val="000000"/>
          <w:sz w:val="24"/>
          <w:szCs w:val="24"/>
        </w:rPr>
      </w:pPr>
      <w:r w:rsidRPr="00C26691">
        <w:rPr>
          <w:rFonts w:ascii="Arial" w:hAnsi="Arial" w:cs="Arial"/>
          <w:color w:val="000000"/>
          <w:sz w:val="24"/>
          <w:szCs w:val="24"/>
        </w:rPr>
        <w:t xml:space="preserve">Diego Fuentes </w:t>
      </w:r>
      <w:proofErr w:type="spellStart"/>
      <w:r w:rsidRPr="00C26691">
        <w:rPr>
          <w:rFonts w:ascii="Arial" w:hAnsi="Arial" w:cs="Arial"/>
          <w:color w:val="000000"/>
          <w:sz w:val="24"/>
          <w:szCs w:val="24"/>
        </w:rPr>
        <w:t>Orrola</w:t>
      </w:r>
      <w:proofErr w:type="spellEnd"/>
      <w:r w:rsidRPr="00C26691">
        <w:rPr>
          <w:rFonts w:ascii="Arial" w:hAnsi="Arial" w:cs="Arial"/>
          <w:color w:val="000000"/>
          <w:sz w:val="24"/>
          <w:szCs w:val="24"/>
        </w:rPr>
        <w:t xml:space="preserve"> solicita conocer</w:t>
      </w:r>
      <w:r>
        <w:rPr>
          <w:rFonts w:ascii="Arial" w:hAnsi="Arial" w:cs="Arial"/>
          <w:color w:val="000000"/>
          <w:sz w:val="24"/>
          <w:szCs w:val="24"/>
        </w:rPr>
        <w:t xml:space="preserve"> </w:t>
      </w:r>
      <w:r w:rsidR="005A57A4">
        <w:rPr>
          <w:rFonts w:ascii="Arial" w:hAnsi="Arial" w:cs="Arial"/>
          <w:color w:val="000000"/>
          <w:sz w:val="24"/>
          <w:szCs w:val="24"/>
        </w:rPr>
        <w:t>¿C</w:t>
      </w:r>
      <w:r>
        <w:rPr>
          <w:rFonts w:ascii="Arial" w:hAnsi="Arial" w:cs="Arial"/>
          <w:color w:val="000000"/>
          <w:sz w:val="24"/>
          <w:szCs w:val="24"/>
        </w:rPr>
        <w:t>uál será el periodo de entrega de los reportes de utilización de códigos de punto de señalización nacional e internacional una vez qu</w:t>
      </w:r>
      <w:r w:rsidR="005A57A4">
        <w:rPr>
          <w:rFonts w:ascii="Arial" w:hAnsi="Arial" w:cs="Arial"/>
          <w:color w:val="000000"/>
          <w:sz w:val="24"/>
          <w:szCs w:val="24"/>
        </w:rPr>
        <w:t>e se presente el primer reporte?</w:t>
      </w:r>
    </w:p>
    <w:p w14:paraId="3A17B998" w14:textId="36A277F4" w:rsidR="00491C71" w:rsidRDefault="00753678" w:rsidP="00F059C8">
      <w:pPr>
        <w:jc w:val="both"/>
        <w:rPr>
          <w:rFonts w:ascii="Arial" w:hAnsi="Arial" w:cs="Arial"/>
          <w:b/>
          <w:color w:val="000000"/>
          <w:sz w:val="24"/>
          <w:szCs w:val="24"/>
        </w:rPr>
      </w:pPr>
      <w:r>
        <w:rPr>
          <w:rFonts w:ascii="Arial" w:hAnsi="Arial" w:cs="Arial"/>
          <w:b/>
          <w:color w:val="000000"/>
          <w:sz w:val="24"/>
          <w:szCs w:val="24"/>
        </w:rPr>
        <w:t xml:space="preserve">RESPUESTA: </w:t>
      </w:r>
      <w:r w:rsidR="005A57A4">
        <w:rPr>
          <w:rFonts w:ascii="Arial" w:hAnsi="Arial" w:cs="Arial"/>
          <w:b/>
          <w:color w:val="000000"/>
          <w:sz w:val="24"/>
          <w:szCs w:val="24"/>
        </w:rPr>
        <w:t>De conformidad con</w:t>
      </w:r>
      <w:r w:rsidR="00491C71" w:rsidRPr="00491C71">
        <w:rPr>
          <w:rFonts w:ascii="Arial" w:hAnsi="Arial" w:cs="Arial"/>
          <w:b/>
          <w:color w:val="000000"/>
          <w:sz w:val="24"/>
          <w:szCs w:val="24"/>
        </w:rPr>
        <w:t xml:space="preserve"> los </w:t>
      </w:r>
      <w:r w:rsidR="005A57A4">
        <w:rPr>
          <w:rFonts w:ascii="Arial" w:hAnsi="Arial" w:cs="Arial"/>
          <w:b/>
          <w:color w:val="000000"/>
          <w:sz w:val="24"/>
          <w:szCs w:val="24"/>
        </w:rPr>
        <w:t xml:space="preserve">numerales 15.1 y 15.2 del </w:t>
      </w:r>
      <w:r w:rsidR="00491C71">
        <w:rPr>
          <w:rFonts w:ascii="Arial" w:hAnsi="Arial" w:cs="Arial"/>
          <w:b/>
          <w:color w:val="000000"/>
          <w:sz w:val="24"/>
          <w:szCs w:val="24"/>
        </w:rPr>
        <w:t>PTFS</w:t>
      </w:r>
      <w:r w:rsidR="00491C71" w:rsidRPr="00491C71">
        <w:rPr>
          <w:rFonts w:ascii="Arial" w:hAnsi="Arial" w:cs="Arial"/>
          <w:b/>
          <w:color w:val="000000"/>
          <w:sz w:val="24"/>
          <w:szCs w:val="24"/>
        </w:rPr>
        <w:t xml:space="preserve">, publicado en el Diario Oficial de la Federación el 11 de mayo de 2018, una vez transcurridos los 15 días hábiles posteriores al 1 de febrero de 2022, los reportes </w:t>
      </w:r>
      <w:r w:rsidR="00491C71">
        <w:rPr>
          <w:rFonts w:ascii="Arial" w:hAnsi="Arial" w:cs="Arial"/>
          <w:b/>
          <w:color w:val="000000"/>
          <w:sz w:val="24"/>
          <w:szCs w:val="24"/>
        </w:rPr>
        <w:t xml:space="preserve">correspondientes </w:t>
      </w:r>
      <w:r w:rsidR="00491C71" w:rsidRPr="00491C71">
        <w:rPr>
          <w:rFonts w:ascii="Arial" w:hAnsi="Arial" w:cs="Arial"/>
          <w:b/>
          <w:color w:val="000000"/>
          <w:sz w:val="24"/>
          <w:szCs w:val="24"/>
        </w:rPr>
        <w:t>se deberán presentar dentro de los primeros 10 días hábiles de cada año calendario.</w:t>
      </w:r>
    </w:p>
    <w:p w14:paraId="54D8A64D" w14:textId="1F0883C1" w:rsidR="00491C71" w:rsidRDefault="00EB7483" w:rsidP="000A35B6">
      <w:pPr>
        <w:pStyle w:val="Prrafodelista"/>
        <w:numPr>
          <w:ilvl w:val="0"/>
          <w:numId w:val="2"/>
        </w:numPr>
        <w:ind w:left="284" w:hanging="284"/>
        <w:jc w:val="both"/>
        <w:rPr>
          <w:rFonts w:ascii="Arial" w:hAnsi="Arial" w:cs="Arial"/>
          <w:b/>
          <w:color w:val="000000"/>
          <w:sz w:val="24"/>
          <w:szCs w:val="24"/>
        </w:rPr>
      </w:pPr>
      <w:r>
        <w:rPr>
          <w:rFonts w:ascii="Arial" w:hAnsi="Arial" w:cs="Arial"/>
          <w:b/>
          <w:color w:val="000000"/>
          <w:sz w:val="24"/>
          <w:szCs w:val="24"/>
        </w:rPr>
        <w:t>ELIMINACIÓN DE PREFIJOS</w:t>
      </w:r>
    </w:p>
    <w:p w14:paraId="24B3546A" w14:textId="29EC2E0D" w:rsidR="00EB7483" w:rsidRDefault="00BE6D1B" w:rsidP="00EB7483">
      <w:pPr>
        <w:jc w:val="both"/>
        <w:rPr>
          <w:rFonts w:ascii="Arial" w:hAnsi="Arial" w:cs="Arial"/>
          <w:color w:val="000000"/>
          <w:sz w:val="24"/>
          <w:szCs w:val="24"/>
        </w:rPr>
      </w:pPr>
      <w:r w:rsidRPr="00147882">
        <w:rPr>
          <w:rFonts w:ascii="Arial" w:hAnsi="Arial" w:cs="Arial"/>
          <w:color w:val="000000"/>
          <w:sz w:val="24"/>
          <w:szCs w:val="24"/>
        </w:rPr>
        <w:t xml:space="preserve">Las empresas Visuales y Comunicaciones, </w:t>
      </w:r>
      <w:proofErr w:type="spellStart"/>
      <w:r w:rsidRPr="00147882">
        <w:rPr>
          <w:rFonts w:ascii="Arial" w:hAnsi="Arial" w:cs="Arial"/>
          <w:color w:val="000000"/>
          <w:sz w:val="24"/>
          <w:szCs w:val="24"/>
        </w:rPr>
        <w:t>Logitel</w:t>
      </w:r>
      <w:proofErr w:type="spellEnd"/>
      <w:r w:rsidRPr="00147882">
        <w:rPr>
          <w:rFonts w:ascii="Arial" w:hAnsi="Arial" w:cs="Arial"/>
          <w:color w:val="000000"/>
          <w:sz w:val="24"/>
          <w:szCs w:val="24"/>
        </w:rPr>
        <w:t xml:space="preserve">, Telmex, Telnor, </w:t>
      </w:r>
      <w:proofErr w:type="spellStart"/>
      <w:r w:rsidRPr="00147882">
        <w:rPr>
          <w:rFonts w:ascii="Arial" w:hAnsi="Arial" w:cs="Arial"/>
          <w:color w:val="000000"/>
          <w:sz w:val="24"/>
          <w:szCs w:val="24"/>
        </w:rPr>
        <w:t>Alenterprise</w:t>
      </w:r>
      <w:proofErr w:type="spellEnd"/>
      <w:r w:rsidRPr="00147882">
        <w:rPr>
          <w:rFonts w:ascii="Arial" w:hAnsi="Arial" w:cs="Arial"/>
          <w:color w:val="000000"/>
          <w:sz w:val="24"/>
          <w:szCs w:val="24"/>
        </w:rPr>
        <w:t xml:space="preserve">, Grupo Televisa e IP </w:t>
      </w:r>
      <w:proofErr w:type="spellStart"/>
      <w:r w:rsidRPr="00147882">
        <w:rPr>
          <w:rFonts w:ascii="Arial" w:hAnsi="Arial" w:cs="Arial"/>
          <w:color w:val="000000"/>
          <w:sz w:val="24"/>
          <w:szCs w:val="24"/>
        </w:rPr>
        <w:t>Matrix</w:t>
      </w:r>
      <w:proofErr w:type="spellEnd"/>
      <w:r w:rsidRPr="00147882">
        <w:rPr>
          <w:rFonts w:ascii="Arial" w:hAnsi="Arial" w:cs="Arial"/>
          <w:color w:val="000000"/>
          <w:sz w:val="24"/>
          <w:szCs w:val="24"/>
        </w:rPr>
        <w:t xml:space="preserve">, señalan que la eliminación de prefijos </w:t>
      </w:r>
      <w:r w:rsidR="00147882" w:rsidRPr="00147882">
        <w:rPr>
          <w:rFonts w:ascii="Arial" w:hAnsi="Arial" w:cs="Arial"/>
          <w:color w:val="000000"/>
          <w:sz w:val="24"/>
          <w:szCs w:val="24"/>
        </w:rPr>
        <w:t>resultará en complicaciones operativas para usuarios no residenciales que administren sus propios conmutadores privados (PBX), así como para comercializadoras que presten el servicio de telefonía pública a través de casetas.</w:t>
      </w:r>
      <w:r w:rsidRPr="00147882">
        <w:rPr>
          <w:rFonts w:ascii="Arial" w:hAnsi="Arial" w:cs="Arial"/>
          <w:color w:val="000000"/>
          <w:sz w:val="24"/>
          <w:szCs w:val="24"/>
        </w:rPr>
        <w:t xml:space="preserve"> </w:t>
      </w:r>
    </w:p>
    <w:p w14:paraId="64AF785F" w14:textId="18F1E883" w:rsidR="00147882" w:rsidRDefault="00753678" w:rsidP="00EB7483">
      <w:pPr>
        <w:jc w:val="both"/>
        <w:rPr>
          <w:rFonts w:ascii="Arial" w:hAnsi="Arial" w:cs="Arial"/>
          <w:b/>
          <w:color w:val="000000"/>
          <w:sz w:val="24"/>
          <w:szCs w:val="24"/>
        </w:rPr>
      </w:pPr>
      <w:r>
        <w:rPr>
          <w:rFonts w:ascii="Arial" w:hAnsi="Arial" w:cs="Arial"/>
          <w:b/>
          <w:color w:val="000000"/>
          <w:sz w:val="24"/>
          <w:szCs w:val="24"/>
        </w:rPr>
        <w:t xml:space="preserve">RESPUESTA: </w:t>
      </w:r>
      <w:r w:rsidR="00147882" w:rsidRPr="004A18C1">
        <w:rPr>
          <w:rFonts w:ascii="Arial" w:hAnsi="Arial" w:cs="Arial"/>
          <w:b/>
          <w:color w:val="000000"/>
          <w:sz w:val="24"/>
          <w:szCs w:val="24"/>
        </w:rPr>
        <w:t>La eliminación de prefijos</w:t>
      </w:r>
      <w:r w:rsidR="0027713C">
        <w:rPr>
          <w:rFonts w:ascii="Arial" w:hAnsi="Arial" w:cs="Arial"/>
          <w:b/>
          <w:color w:val="000000"/>
          <w:sz w:val="24"/>
          <w:szCs w:val="24"/>
        </w:rPr>
        <w:t xml:space="preserve"> y</w:t>
      </w:r>
      <w:r w:rsidR="004A399F">
        <w:rPr>
          <w:rFonts w:ascii="Arial" w:hAnsi="Arial" w:cs="Arial"/>
          <w:b/>
          <w:color w:val="000000"/>
          <w:sz w:val="24"/>
          <w:szCs w:val="24"/>
        </w:rPr>
        <w:t xml:space="preserve"> el diferimiento de los cambios en los procedimientos de marcación,</w:t>
      </w:r>
      <w:r w:rsidR="00147882" w:rsidRPr="004A18C1">
        <w:rPr>
          <w:rFonts w:ascii="Arial" w:hAnsi="Arial" w:cs="Arial"/>
          <w:b/>
          <w:color w:val="000000"/>
          <w:sz w:val="24"/>
          <w:szCs w:val="24"/>
        </w:rPr>
        <w:t xml:space="preserve"> se encuentra</w:t>
      </w:r>
      <w:r w:rsidR="004A399F">
        <w:rPr>
          <w:rFonts w:ascii="Arial" w:hAnsi="Arial" w:cs="Arial"/>
          <w:b/>
          <w:color w:val="000000"/>
          <w:sz w:val="24"/>
          <w:szCs w:val="24"/>
        </w:rPr>
        <w:t>n</w:t>
      </w:r>
      <w:r w:rsidR="00147882" w:rsidRPr="004A18C1">
        <w:rPr>
          <w:rFonts w:ascii="Arial" w:hAnsi="Arial" w:cs="Arial"/>
          <w:b/>
          <w:color w:val="000000"/>
          <w:sz w:val="24"/>
          <w:szCs w:val="24"/>
        </w:rPr>
        <w:t xml:space="preserve"> fuera del alcance del </w:t>
      </w:r>
      <w:r>
        <w:rPr>
          <w:rFonts w:ascii="Arial" w:hAnsi="Arial" w:cs="Arial"/>
          <w:b/>
          <w:color w:val="000000"/>
          <w:sz w:val="24"/>
          <w:szCs w:val="24"/>
        </w:rPr>
        <w:t>Anteproyecto</w:t>
      </w:r>
      <w:r w:rsidR="00147882" w:rsidRPr="004A18C1">
        <w:rPr>
          <w:rFonts w:ascii="Arial" w:hAnsi="Arial" w:cs="Arial"/>
          <w:b/>
          <w:color w:val="000000"/>
          <w:sz w:val="24"/>
          <w:szCs w:val="24"/>
        </w:rPr>
        <w:t>.</w:t>
      </w:r>
    </w:p>
    <w:p w14:paraId="2E59C261" w14:textId="601255D7" w:rsidR="00F1120D" w:rsidRDefault="00F1120D" w:rsidP="000A35B6">
      <w:pPr>
        <w:pStyle w:val="Prrafodelista"/>
        <w:numPr>
          <w:ilvl w:val="0"/>
          <w:numId w:val="2"/>
        </w:numPr>
        <w:ind w:left="284" w:hanging="284"/>
        <w:jc w:val="both"/>
        <w:rPr>
          <w:rFonts w:ascii="Arial" w:hAnsi="Arial" w:cs="Arial"/>
          <w:b/>
          <w:color w:val="000000"/>
          <w:sz w:val="24"/>
          <w:szCs w:val="24"/>
        </w:rPr>
      </w:pPr>
      <w:r>
        <w:rPr>
          <w:rFonts w:ascii="Arial" w:hAnsi="Arial" w:cs="Arial"/>
          <w:b/>
          <w:color w:val="000000"/>
          <w:sz w:val="24"/>
          <w:szCs w:val="24"/>
        </w:rPr>
        <w:lastRenderedPageBreak/>
        <w:t>ESTRUCTURA DEL NÚMERO NACIONAL</w:t>
      </w:r>
    </w:p>
    <w:p w14:paraId="3A73F5A4" w14:textId="2D29C630" w:rsidR="00F1120D" w:rsidRDefault="00F1120D" w:rsidP="00F1120D">
      <w:pPr>
        <w:jc w:val="both"/>
        <w:rPr>
          <w:rFonts w:ascii="Arial" w:hAnsi="Arial" w:cs="Arial"/>
          <w:color w:val="000000"/>
          <w:sz w:val="24"/>
          <w:szCs w:val="24"/>
        </w:rPr>
      </w:pPr>
      <w:r w:rsidRPr="002E5FD4">
        <w:rPr>
          <w:rFonts w:ascii="Arial" w:hAnsi="Arial" w:cs="Arial"/>
          <w:color w:val="000000"/>
          <w:sz w:val="24"/>
          <w:szCs w:val="24"/>
        </w:rPr>
        <w:t>Las empresas Telmex y Telnor indican que</w:t>
      </w:r>
      <w:r w:rsidR="002E5FD4" w:rsidRPr="002E5FD4">
        <w:rPr>
          <w:rFonts w:ascii="Arial" w:hAnsi="Arial" w:cs="Arial"/>
          <w:color w:val="000000"/>
          <w:sz w:val="24"/>
          <w:szCs w:val="24"/>
        </w:rPr>
        <w:t>,</w:t>
      </w:r>
      <w:r w:rsidRPr="002E5FD4">
        <w:rPr>
          <w:rFonts w:ascii="Arial" w:hAnsi="Arial" w:cs="Arial"/>
          <w:color w:val="000000"/>
          <w:sz w:val="24"/>
          <w:szCs w:val="24"/>
        </w:rPr>
        <w:t xml:space="preserve"> </w:t>
      </w:r>
      <w:r w:rsidR="002E5FD4" w:rsidRPr="002E5FD4">
        <w:rPr>
          <w:rFonts w:ascii="Arial" w:hAnsi="Arial" w:cs="Arial"/>
          <w:color w:val="000000"/>
          <w:sz w:val="24"/>
          <w:szCs w:val="24"/>
        </w:rPr>
        <w:t xml:space="preserve">como resultado del diferimiento en la entrada en vigor de la administración de la numeración nacional con base en zonas al 1 de febrero de 2022, </w:t>
      </w:r>
      <w:r w:rsidRPr="002E5FD4">
        <w:rPr>
          <w:rFonts w:ascii="Arial" w:hAnsi="Arial" w:cs="Arial"/>
          <w:color w:val="000000"/>
          <w:sz w:val="24"/>
          <w:szCs w:val="24"/>
        </w:rPr>
        <w:t>es necesario adecuar la definición de la estructura del número nacional</w:t>
      </w:r>
      <w:r w:rsidR="002E5FD4" w:rsidRPr="002E5FD4">
        <w:rPr>
          <w:rFonts w:ascii="Arial" w:hAnsi="Arial" w:cs="Arial"/>
          <w:color w:val="000000"/>
          <w:sz w:val="24"/>
          <w:szCs w:val="24"/>
        </w:rPr>
        <w:t xml:space="preserve"> establecida en el numeral 7.1 del nuevo PTFN.</w:t>
      </w:r>
    </w:p>
    <w:p w14:paraId="36A4E892" w14:textId="67BDAC5E" w:rsidR="002E5FD4" w:rsidRDefault="00753678" w:rsidP="00F1120D">
      <w:pPr>
        <w:jc w:val="both"/>
        <w:rPr>
          <w:rFonts w:ascii="Arial" w:hAnsi="Arial" w:cs="Arial"/>
          <w:b/>
          <w:color w:val="000000"/>
          <w:sz w:val="24"/>
          <w:szCs w:val="24"/>
        </w:rPr>
      </w:pPr>
      <w:r>
        <w:rPr>
          <w:rFonts w:ascii="Arial" w:hAnsi="Arial" w:cs="Arial"/>
          <w:b/>
          <w:color w:val="000000"/>
          <w:sz w:val="24"/>
          <w:szCs w:val="24"/>
        </w:rPr>
        <w:t xml:space="preserve">RESPUESTA: </w:t>
      </w:r>
      <w:r w:rsidR="002E5FD4" w:rsidRPr="002E5FD4">
        <w:rPr>
          <w:rFonts w:ascii="Arial" w:hAnsi="Arial" w:cs="Arial"/>
          <w:b/>
          <w:color w:val="000000"/>
          <w:sz w:val="24"/>
          <w:szCs w:val="24"/>
        </w:rPr>
        <w:t>Se toma en consideración el comentario y se modifica el Anteproyecto.</w:t>
      </w:r>
    </w:p>
    <w:p w14:paraId="6DD1FB00" w14:textId="7E2CACBF" w:rsidR="002E5FD4" w:rsidRDefault="00FA05A8" w:rsidP="000A35B6">
      <w:pPr>
        <w:pStyle w:val="Prrafodelista"/>
        <w:numPr>
          <w:ilvl w:val="0"/>
          <w:numId w:val="2"/>
        </w:numPr>
        <w:ind w:left="284" w:hanging="284"/>
        <w:jc w:val="both"/>
        <w:rPr>
          <w:rFonts w:ascii="Arial" w:hAnsi="Arial" w:cs="Arial"/>
          <w:b/>
          <w:color w:val="000000"/>
          <w:sz w:val="24"/>
          <w:szCs w:val="24"/>
        </w:rPr>
      </w:pPr>
      <w:r>
        <w:rPr>
          <w:rFonts w:ascii="Arial" w:hAnsi="Arial" w:cs="Arial"/>
          <w:b/>
          <w:color w:val="000000"/>
          <w:sz w:val="24"/>
          <w:szCs w:val="24"/>
        </w:rPr>
        <w:t>CÓDIGOS BCD</w:t>
      </w:r>
    </w:p>
    <w:p w14:paraId="12EC117A" w14:textId="662B1CE5" w:rsidR="00FA05A8" w:rsidRDefault="00FA05A8" w:rsidP="00FA05A8">
      <w:pPr>
        <w:jc w:val="both"/>
        <w:rPr>
          <w:rFonts w:ascii="Arial" w:hAnsi="Arial" w:cs="Arial"/>
          <w:color w:val="000000"/>
          <w:sz w:val="24"/>
          <w:szCs w:val="24"/>
        </w:rPr>
      </w:pPr>
      <w:r w:rsidRPr="00FA05A8">
        <w:rPr>
          <w:rFonts w:ascii="Arial" w:hAnsi="Arial" w:cs="Arial"/>
          <w:color w:val="000000"/>
          <w:sz w:val="24"/>
          <w:szCs w:val="24"/>
        </w:rPr>
        <w:t xml:space="preserve">Las empresas Telmex, Telnor, Mega Cable, CANIETI, Grupo Televisa e IP </w:t>
      </w:r>
      <w:proofErr w:type="spellStart"/>
      <w:r w:rsidRPr="00FA05A8">
        <w:rPr>
          <w:rFonts w:ascii="Arial" w:hAnsi="Arial" w:cs="Arial"/>
          <w:color w:val="000000"/>
          <w:sz w:val="24"/>
          <w:szCs w:val="24"/>
        </w:rPr>
        <w:t>Matrix</w:t>
      </w:r>
      <w:proofErr w:type="spellEnd"/>
      <w:r w:rsidRPr="00FA05A8">
        <w:rPr>
          <w:rFonts w:ascii="Arial" w:hAnsi="Arial" w:cs="Arial"/>
          <w:color w:val="000000"/>
          <w:sz w:val="24"/>
          <w:szCs w:val="24"/>
        </w:rPr>
        <w:t xml:space="preserve"> solicitan al Instituto precisar el alcance de las modificaciones que sufrirán los códigos BCD como resultado de la entrada en vigor del nuevo PTFN.</w:t>
      </w:r>
    </w:p>
    <w:p w14:paraId="1F007155" w14:textId="2DB531D7" w:rsidR="00FA05A8" w:rsidRDefault="00753678" w:rsidP="00FA05A8">
      <w:pPr>
        <w:jc w:val="both"/>
        <w:rPr>
          <w:rFonts w:ascii="Arial" w:hAnsi="Arial" w:cs="Arial"/>
          <w:b/>
          <w:color w:val="000000"/>
          <w:sz w:val="24"/>
          <w:szCs w:val="24"/>
        </w:rPr>
      </w:pPr>
      <w:r>
        <w:rPr>
          <w:rFonts w:ascii="Arial" w:hAnsi="Arial" w:cs="Arial"/>
          <w:b/>
          <w:color w:val="000000"/>
          <w:sz w:val="24"/>
          <w:szCs w:val="24"/>
        </w:rPr>
        <w:t xml:space="preserve">RESPUESTA: </w:t>
      </w:r>
      <w:r w:rsidR="00FA05A8" w:rsidRPr="00FA05A8">
        <w:rPr>
          <w:rFonts w:ascii="Arial" w:hAnsi="Arial" w:cs="Arial"/>
          <w:b/>
          <w:color w:val="000000"/>
          <w:sz w:val="24"/>
          <w:szCs w:val="24"/>
        </w:rPr>
        <w:t>En relación a las</w:t>
      </w:r>
      <w:r w:rsidR="0024782C">
        <w:rPr>
          <w:rFonts w:ascii="Arial" w:hAnsi="Arial" w:cs="Arial"/>
          <w:b/>
          <w:color w:val="000000"/>
          <w:sz w:val="24"/>
          <w:szCs w:val="24"/>
        </w:rPr>
        <w:t xml:space="preserve"> solicitudes para especificar y</w:t>
      </w:r>
      <w:r w:rsidR="00FA05A8" w:rsidRPr="00FA05A8">
        <w:rPr>
          <w:rFonts w:ascii="Arial" w:hAnsi="Arial" w:cs="Arial"/>
          <w:b/>
          <w:color w:val="000000"/>
          <w:sz w:val="24"/>
          <w:szCs w:val="24"/>
        </w:rPr>
        <w:t xml:space="preserve"> acotar el uso de los códigos BCD como resultado de la entrada en vigor del nuevo PTFN, se sugiere referirse al considerando cuarto, punto 4, inciso ix del </w:t>
      </w:r>
      <w:r w:rsidR="00FA05A8" w:rsidRPr="00FA05A8">
        <w:rPr>
          <w:rFonts w:ascii="Arial" w:hAnsi="Arial" w:cs="Arial"/>
          <w:b/>
          <w:i/>
          <w:color w:val="000000"/>
          <w:sz w:val="24"/>
          <w:szCs w:val="24"/>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FA05A8" w:rsidRPr="00FA05A8">
        <w:rPr>
          <w:rFonts w:ascii="Arial" w:hAnsi="Arial" w:cs="Arial"/>
          <w:b/>
          <w:color w:val="000000"/>
          <w:sz w:val="24"/>
          <w:szCs w:val="24"/>
        </w:rPr>
        <w:t>, publicado en Diario Oficial de la Federación el 11 de mayo de 2018.</w:t>
      </w:r>
    </w:p>
    <w:p w14:paraId="6B6EEA6E" w14:textId="4C0CD004" w:rsidR="00FA05A8" w:rsidRPr="006A56FF" w:rsidRDefault="00055B8D" w:rsidP="00FA05A8">
      <w:pPr>
        <w:jc w:val="both"/>
        <w:rPr>
          <w:rFonts w:ascii="Arial" w:hAnsi="Arial" w:cs="Arial"/>
          <w:b/>
          <w:color w:val="000000"/>
          <w:sz w:val="24"/>
          <w:szCs w:val="24"/>
        </w:rPr>
      </w:pPr>
      <w:r w:rsidRPr="00E5429D">
        <w:rPr>
          <w:rFonts w:ascii="Arial" w:hAnsi="Arial" w:cs="Arial"/>
          <w:b/>
          <w:color w:val="000000"/>
          <w:sz w:val="24"/>
          <w:szCs w:val="24"/>
        </w:rPr>
        <w:t xml:space="preserve">Por otra parte, respecto </w:t>
      </w:r>
      <w:r w:rsidR="00283456" w:rsidRPr="00E5429D">
        <w:rPr>
          <w:rFonts w:ascii="Arial" w:hAnsi="Arial" w:cs="Arial"/>
          <w:b/>
          <w:color w:val="000000"/>
          <w:sz w:val="24"/>
          <w:szCs w:val="24"/>
        </w:rPr>
        <w:t xml:space="preserve">a </w:t>
      </w:r>
      <w:r w:rsidR="0028124F" w:rsidRPr="00E5429D">
        <w:rPr>
          <w:rFonts w:ascii="Arial" w:hAnsi="Arial" w:cs="Arial"/>
          <w:b/>
          <w:color w:val="000000"/>
          <w:sz w:val="24"/>
          <w:szCs w:val="24"/>
        </w:rPr>
        <w:t>las solicitudes para eliminar la palabra “podrá” del Artículo Décimo Primero Transitorio, segundo párrafo,</w:t>
      </w:r>
      <w:r w:rsidR="002657C2" w:rsidRPr="00E5429D">
        <w:rPr>
          <w:rFonts w:ascii="Arial" w:hAnsi="Arial" w:cs="Arial"/>
          <w:b/>
          <w:color w:val="000000"/>
          <w:sz w:val="24"/>
          <w:szCs w:val="24"/>
        </w:rPr>
        <w:t xml:space="preserve"> </w:t>
      </w:r>
      <w:r w:rsidR="00BA7752" w:rsidRPr="006A56FF">
        <w:rPr>
          <w:rFonts w:ascii="Arial" w:hAnsi="Arial" w:cs="Arial"/>
          <w:b/>
          <w:color w:val="000000"/>
          <w:sz w:val="24"/>
          <w:szCs w:val="24"/>
        </w:rPr>
        <w:t xml:space="preserve">se precisa que el objetivo de utilizar </w:t>
      </w:r>
      <w:r w:rsidR="00E5429D" w:rsidRPr="006A56FF">
        <w:rPr>
          <w:rFonts w:ascii="Arial" w:hAnsi="Arial" w:cs="Arial"/>
          <w:b/>
          <w:color w:val="000000"/>
          <w:sz w:val="24"/>
          <w:szCs w:val="24"/>
        </w:rPr>
        <w:t>esta palabra</w:t>
      </w:r>
      <w:r w:rsidR="00BA7752" w:rsidRPr="006A56FF">
        <w:rPr>
          <w:rFonts w:ascii="Arial" w:hAnsi="Arial" w:cs="Arial"/>
          <w:b/>
          <w:color w:val="000000"/>
          <w:sz w:val="24"/>
          <w:szCs w:val="24"/>
        </w:rPr>
        <w:t xml:space="preserve"> en el párrafo referido en su comentario es permitir que conforme los concesionarios </w:t>
      </w:r>
      <w:r w:rsidR="00E5429D" w:rsidRPr="006A56FF">
        <w:rPr>
          <w:rFonts w:ascii="Arial" w:hAnsi="Arial" w:cs="Arial"/>
          <w:b/>
          <w:color w:val="000000"/>
          <w:sz w:val="24"/>
          <w:szCs w:val="24"/>
        </w:rPr>
        <w:t>integren</w:t>
      </w:r>
      <w:r w:rsidR="00BA7752" w:rsidRPr="006A56FF">
        <w:rPr>
          <w:rFonts w:ascii="Arial" w:hAnsi="Arial" w:cs="Arial"/>
          <w:b/>
          <w:color w:val="000000"/>
          <w:sz w:val="24"/>
          <w:szCs w:val="24"/>
        </w:rPr>
        <w:t xml:space="preserve"> </w:t>
      </w:r>
      <w:r w:rsidR="00E5429D" w:rsidRPr="006A56FF">
        <w:rPr>
          <w:rFonts w:ascii="Arial" w:hAnsi="Arial" w:cs="Arial"/>
          <w:b/>
          <w:color w:val="000000"/>
          <w:sz w:val="24"/>
          <w:szCs w:val="24"/>
        </w:rPr>
        <w:t xml:space="preserve">técnica y operativamente </w:t>
      </w:r>
      <w:r w:rsidR="00BA7752" w:rsidRPr="006A56FF">
        <w:rPr>
          <w:rFonts w:ascii="Arial" w:hAnsi="Arial" w:cs="Arial"/>
          <w:b/>
          <w:color w:val="000000"/>
          <w:sz w:val="24"/>
          <w:szCs w:val="24"/>
        </w:rPr>
        <w:t>sus redes públicas de telecomunicaciones, ya sean locales o de larga distancia, liberen los códigos de identificación de operador que no requieran.</w:t>
      </w:r>
    </w:p>
    <w:p w14:paraId="1BC23473" w14:textId="29A62F5F" w:rsidR="00FA05A8" w:rsidRDefault="00400025" w:rsidP="000A35B6">
      <w:pPr>
        <w:pStyle w:val="Prrafodelista"/>
        <w:numPr>
          <w:ilvl w:val="0"/>
          <w:numId w:val="2"/>
        </w:numPr>
        <w:ind w:left="284" w:hanging="284"/>
        <w:jc w:val="both"/>
        <w:rPr>
          <w:rFonts w:ascii="Arial" w:hAnsi="Arial" w:cs="Arial"/>
          <w:b/>
          <w:color w:val="000000"/>
          <w:sz w:val="24"/>
          <w:szCs w:val="24"/>
        </w:rPr>
      </w:pPr>
      <w:r>
        <w:rPr>
          <w:rFonts w:ascii="Arial" w:hAnsi="Arial" w:cs="Arial"/>
          <w:b/>
          <w:color w:val="000000"/>
          <w:sz w:val="24"/>
          <w:szCs w:val="24"/>
        </w:rPr>
        <w:t>FORMATO PARA EL INTERCA</w:t>
      </w:r>
      <w:bookmarkStart w:id="0" w:name="_GoBack"/>
      <w:bookmarkEnd w:id="0"/>
      <w:r>
        <w:rPr>
          <w:rFonts w:ascii="Arial" w:hAnsi="Arial" w:cs="Arial"/>
          <w:b/>
          <w:color w:val="000000"/>
          <w:sz w:val="24"/>
          <w:szCs w:val="24"/>
        </w:rPr>
        <w:t>MBIO DÍGITOS DEL NÚMERO DE “B” ALICABLE A NÚMEROS NO GEOGRÁFICOS INTERNACIONALES</w:t>
      </w:r>
    </w:p>
    <w:p w14:paraId="7C909C97" w14:textId="11BEAD99" w:rsidR="00400025" w:rsidRPr="00400025" w:rsidRDefault="00400025" w:rsidP="00400025">
      <w:pPr>
        <w:jc w:val="both"/>
        <w:rPr>
          <w:rFonts w:ascii="Arial" w:hAnsi="Arial" w:cs="Arial"/>
          <w:color w:val="000000"/>
          <w:sz w:val="24"/>
          <w:szCs w:val="24"/>
        </w:rPr>
      </w:pPr>
      <w:r w:rsidRPr="00400025">
        <w:rPr>
          <w:rFonts w:ascii="Arial" w:hAnsi="Arial" w:cs="Arial"/>
          <w:color w:val="000000"/>
          <w:sz w:val="24"/>
          <w:szCs w:val="24"/>
        </w:rPr>
        <w:t xml:space="preserve">Las empresas Telmex y Telnor solicitan incluir en el nuevo PTFS los formatos para el intercambio de dígitos del número de "B" en la señalización hacia números no geográficos internacionales. </w:t>
      </w:r>
    </w:p>
    <w:p w14:paraId="270B0CE1" w14:textId="51AE0C08" w:rsidR="00400025" w:rsidRDefault="002A7B7F" w:rsidP="00400025">
      <w:pPr>
        <w:jc w:val="both"/>
        <w:rPr>
          <w:rFonts w:ascii="Arial" w:hAnsi="Arial" w:cs="Arial"/>
          <w:b/>
          <w:color w:val="000000"/>
          <w:sz w:val="24"/>
          <w:szCs w:val="24"/>
        </w:rPr>
      </w:pPr>
      <w:r>
        <w:rPr>
          <w:rFonts w:ascii="Arial" w:hAnsi="Arial" w:cs="Arial"/>
          <w:b/>
          <w:color w:val="000000"/>
          <w:sz w:val="24"/>
          <w:szCs w:val="24"/>
        </w:rPr>
        <w:t xml:space="preserve">RESPUESTA: </w:t>
      </w:r>
      <w:r w:rsidR="00400025" w:rsidRPr="00400025">
        <w:rPr>
          <w:rFonts w:ascii="Arial" w:hAnsi="Arial" w:cs="Arial"/>
          <w:b/>
          <w:color w:val="000000"/>
          <w:sz w:val="24"/>
          <w:szCs w:val="24"/>
        </w:rPr>
        <w:t>Los formatos para el intercambio de dígitos del número de "B" en la señalización hacia números no geográficos internacional</w:t>
      </w:r>
      <w:r w:rsidR="00400025">
        <w:rPr>
          <w:rFonts w:ascii="Arial" w:hAnsi="Arial" w:cs="Arial"/>
          <w:b/>
          <w:color w:val="000000"/>
          <w:sz w:val="24"/>
          <w:szCs w:val="24"/>
        </w:rPr>
        <w:t>es</w:t>
      </w:r>
      <w:r w:rsidR="00400025" w:rsidRPr="00400025">
        <w:rPr>
          <w:rFonts w:ascii="Arial" w:hAnsi="Arial" w:cs="Arial"/>
          <w:b/>
          <w:color w:val="000000"/>
          <w:sz w:val="24"/>
          <w:szCs w:val="24"/>
        </w:rPr>
        <w:t xml:space="preserve"> se encuentra</w:t>
      </w:r>
      <w:r w:rsidR="00400025">
        <w:rPr>
          <w:rFonts w:ascii="Arial" w:hAnsi="Arial" w:cs="Arial"/>
          <w:b/>
          <w:color w:val="000000"/>
          <w:sz w:val="24"/>
          <w:szCs w:val="24"/>
        </w:rPr>
        <w:t>n</w:t>
      </w:r>
      <w:r w:rsidR="00400025" w:rsidRPr="00400025">
        <w:rPr>
          <w:rFonts w:ascii="Arial" w:hAnsi="Arial" w:cs="Arial"/>
          <w:b/>
          <w:color w:val="000000"/>
          <w:sz w:val="24"/>
          <w:szCs w:val="24"/>
        </w:rPr>
        <w:t xml:space="preserve"> fuera del alcance del </w:t>
      </w:r>
      <w:r w:rsidR="0024782C">
        <w:rPr>
          <w:rFonts w:ascii="Arial" w:hAnsi="Arial" w:cs="Arial"/>
          <w:b/>
          <w:color w:val="000000"/>
          <w:sz w:val="24"/>
          <w:szCs w:val="24"/>
        </w:rPr>
        <w:t>Anteproyecto</w:t>
      </w:r>
      <w:r w:rsidR="00400025" w:rsidRPr="00400025">
        <w:rPr>
          <w:rFonts w:ascii="Arial" w:hAnsi="Arial" w:cs="Arial"/>
          <w:b/>
          <w:color w:val="000000"/>
          <w:sz w:val="24"/>
          <w:szCs w:val="24"/>
        </w:rPr>
        <w:t xml:space="preserve">. No obstante lo anterior, se </w:t>
      </w:r>
      <w:r w:rsidR="00400025" w:rsidRPr="00400025">
        <w:rPr>
          <w:rFonts w:ascii="Arial" w:hAnsi="Arial" w:cs="Arial"/>
          <w:b/>
          <w:color w:val="000000"/>
          <w:sz w:val="24"/>
          <w:szCs w:val="24"/>
        </w:rPr>
        <w:lastRenderedPageBreak/>
        <w:t xml:space="preserve">toma en consideración su comentario a efecto de validar y adoptar los formatos </w:t>
      </w:r>
      <w:r>
        <w:rPr>
          <w:rFonts w:ascii="Arial" w:hAnsi="Arial" w:cs="Arial"/>
          <w:b/>
          <w:color w:val="000000"/>
          <w:sz w:val="24"/>
          <w:szCs w:val="24"/>
        </w:rPr>
        <w:t>propuestos</w:t>
      </w:r>
      <w:r w:rsidR="00400025" w:rsidRPr="00400025">
        <w:rPr>
          <w:rFonts w:ascii="Arial" w:hAnsi="Arial" w:cs="Arial"/>
          <w:b/>
          <w:color w:val="000000"/>
          <w:sz w:val="24"/>
          <w:szCs w:val="24"/>
        </w:rPr>
        <w:t xml:space="preserve"> en el Grupo de Trabajo de Numeración y Señalización.</w:t>
      </w:r>
    </w:p>
    <w:p w14:paraId="33E5A131" w14:textId="231D4480" w:rsidR="00400025" w:rsidRDefault="00CA561F" w:rsidP="000A35B6">
      <w:pPr>
        <w:pStyle w:val="Prrafodelista"/>
        <w:numPr>
          <w:ilvl w:val="0"/>
          <w:numId w:val="2"/>
        </w:numPr>
        <w:ind w:left="284" w:hanging="284"/>
        <w:jc w:val="both"/>
        <w:rPr>
          <w:rFonts w:ascii="Arial" w:hAnsi="Arial" w:cs="Arial"/>
          <w:b/>
          <w:color w:val="000000"/>
          <w:sz w:val="24"/>
          <w:szCs w:val="24"/>
        </w:rPr>
      </w:pPr>
      <w:r>
        <w:rPr>
          <w:rFonts w:ascii="Arial" w:hAnsi="Arial" w:cs="Arial"/>
          <w:b/>
          <w:color w:val="000000"/>
          <w:sz w:val="24"/>
          <w:szCs w:val="24"/>
        </w:rPr>
        <w:t xml:space="preserve">ALCANCE DE LOS </w:t>
      </w:r>
      <w:r w:rsidR="00F70CF3">
        <w:rPr>
          <w:rFonts w:ascii="Arial" w:hAnsi="Arial" w:cs="Arial"/>
          <w:b/>
          <w:color w:val="000000"/>
          <w:sz w:val="24"/>
          <w:szCs w:val="24"/>
        </w:rPr>
        <w:t>NUEVOS NIR</w:t>
      </w:r>
      <w:r>
        <w:rPr>
          <w:rFonts w:ascii="Arial" w:hAnsi="Arial" w:cs="Arial"/>
          <w:b/>
          <w:color w:val="000000"/>
          <w:sz w:val="24"/>
          <w:szCs w:val="24"/>
        </w:rPr>
        <w:t xml:space="preserve"> HABILITADOS</w:t>
      </w:r>
    </w:p>
    <w:p w14:paraId="241F0E68" w14:textId="6F49A908" w:rsidR="00CA561F" w:rsidRPr="00CA561F" w:rsidRDefault="00CA561F" w:rsidP="00CA561F">
      <w:pPr>
        <w:jc w:val="both"/>
        <w:rPr>
          <w:rFonts w:ascii="Arial" w:hAnsi="Arial" w:cs="Arial"/>
          <w:color w:val="000000"/>
          <w:sz w:val="24"/>
          <w:szCs w:val="24"/>
        </w:rPr>
      </w:pPr>
      <w:r w:rsidRPr="00CA561F">
        <w:rPr>
          <w:rFonts w:ascii="Arial" w:hAnsi="Arial" w:cs="Arial"/>
          <w:color w:val="000000"/>
          <w:sz w:val="24"/>
          <w:szCs w:val="24"/>
        </w:rPr>
        <w:t>La empresa Mega Cable sugiere especificar en el Considerando Quinto del Anteproyecto que los nuevos NIR implementados solo aplicarán para los Operadores Móviles.</w:t>
      </w:r>
    </w:p>
    <w:p w14:paraId="54DB92EA" w14:textId="34DFD9C2" w:rsidR="00400025" w:rsidRDefault="002A7B7F" w:rsidP="00400025">
      <w:pPr>
        <w:jc w:val="both"/>
        <w:rPr>
          <w:rFonts w:ascii="Arial" w:hAnsi="Arial" w:cs="Arial"/>
          <w:b/>
          <w:color w:val="000000"/>
          <w:sz w:val="24"/>
          <w:szCs w:val="24"/>
        </w:rPr>
      </w:pPr>
      <w:r>
        <w:rPr>
          <w:rFonts w:ascii="Arial" w:hAnsi="Arial" w:cs="Arial"/>
          <w:b/>
          <w:color w:val="000000"/>
          <w:sz w:val="24"/>
          <w:szCs w:val="24"/>
        </w:rPr>
        <w:t>RESPUESTA: S</w:t>
      </w:r>
      <w:r w:rsidR="00CA561F" w:rsidRPr="00CA561F">
        <w:rPr>
          <w:rFonts w:ascii="Arial" w:hAnsi="Arial" w:cs="Arial"/>
          <w:b/>
          <w:color w:val="000000"/>
          <w:sz w:val="24"/>
          <w:szCs w:val="24"/>
        </w:rPr>
        <w:t>i bien actualmente s</w:t>
      </w:r>
      <w:r w:rsidR="00CA561F">
        <w:rPr>
          <w:rFonts w:ascii="Arial" w:hAnsi="Arial" w:cs="Arial"/>
          <w:b/>
          <w:color w:val="000000"/>
          <w:sz w:val="24"/>
          <w:szCs w:val="24"/>
        </w:rPr>
        <w:t>ólo</w:t>
      </w:r>
      <w:r w:rsidR="00CA561F" w:rsidRPr="00CA561F">
        <w:rPr>
          <w:rFonts w:ascii="Arial" w:hAnsi="Arial" w:cs="Arial"/>
          <w:b/>
          <w:color w:val="000000"/>
          <w:sz w:val="24"/>
          <w:szCs w:val="24"/>
        </w:rPr>
        <w:t xml:space="preserve"> es posible asignar numeración móvil en la </w:t>
      </w:r>
      <w:r>
        <w:rPr>
          <w:rFonts w:ascii="Arial" w:hAnsi="Arial" w:cs="Arial"/>
          <w:b/>
          <w:color w:val="000000"/>
          <w:sz w:val="24"/>
          <w:szCs w:val="24"/>
        </w:rPr>
        <w:t>modalidad CPP en los nuevos NIR</w:t>
      </w:r>
      <w:r w:rsidR="00CA561F" w:rsidRPr="00CA561F">
        <w:rPr>
          <w:rFonts w:ascii="Arial" w:hAnsi="Arial" w:cs="Arial"/>
          <w:b/>
          <w:color w:val="000000"/>
          <w:sz w:val="24"/>
          <w:szCs w:val="24"/>
        </w:rPr>
        <w:t xml:space="preserve"> que se han habilitado en nuestro país, una vez que entre en vigor la marcación nacional uniforme a 10 dígitos </w:t>
      </w:r>
      <w:r>
        <w:rPr>
          <w:rFonts w:ascii="Arial" w:hAnsi="Arial" w:cs="Arial"/>
          <w:b/>
          <w:color w:val="000000"/>
          <w:sz w:val="24"/>
          <w:szCs w:val="24"/>
        </w:rPr>
        <w:t xml:space="preserve">esta restricción </w:t>
      </w:r>
      <w:r w:rsidR="00CA561F">
        <w:rPr>
          <w:rFonts w:ascii="Arial" w:hAnsi="Arial" w:cs="Arial"/>
          <w:b/>
          <w:color w:val="000000"/>
          <w:sz w:val="24"/>
          <w:szCs w:val="24"/>
        </w:rPr>
        <w:t xml:space="preserve">quedará sin efecto. </w:t>
      </w:r>
    </w:p>
    <w:p w14:paraId="4D957997" w14:textId="641DC812" w:rsidR="000A35B6" w:rsidRDefault="00235277" w:rsidP="006C2781">
      <w:pPr>
        <w:pStyle w:val="Prrafodelista"/>
        <w:numPr>
          <w:ilvl w:val="0"/>
          <w:numId w:val="2"/>
        </w:numPr>
        <w:ind w:left="426" w:hanging="426"/>
        <w:jc w:val="both"/>
        <w:rPr>
          <w:rFonts w:ascii="Arial" w:hAnsi="Arial" w:cs="Arial"/>
          <w:b/>
          <w:color w:val="000000"/>
          <w:sz w:val="24"/>
          <w:szCs w:val="24"/>
        </w:rPr>
      </w:pPr>
      <w:r>
        <w:rPr>
          <w:rFonts w:ascii="Arial" w:hAnsi="Arial" w:cs="Arial"/>
          <w:b/>
          <w:color w:val="000000"/>
          <w:sz w:val="24"/>
          <w:szCs w:val="24"/>
        </w:rPr>
        <w:t>PORTABILIDAD GEOGRÁFICA</w:t>
      </w:r>
    </w:p>
    <w:p w14:paraId="666AFD57" w14:textId="69271D09" w:rsidR="00235277" w:rsidRPr="00235277" w:rsidRDefault="00235277" w:rsidP="00235277">
      <w:pPr>
        <w:jc w:val="both"/>
        <w:rPr>
          <w:rFonts w:ascii="Arial" w:hAnsi="Arial" w:cs="Arial"/>
          <w:color w:val="000000"/>
          <w:sz w:val="24"/>
          <w:szCs w:val="24"/>
        </w:rPr>
      </w:pPr>
      <w:r w:rsidRPr="00235277">
        <w:rPr>
          <w:rFonts w:ascii="Arial" w:hAnsi="Arial" w:cs="Arial"/>
          <w:color w:val="000000"/>
          <w:sz w:val="24"/>
          <w:szCs w:val="24"/>
        </w:rPr>
        <w:t>Las empresas Mega Cable y Grupo Televisa</w:t>
      </w:r>
      <w:r w:rsidR="00F507CA">
        <w:rPr>
          <w:rFonts w:ascii="Arial" w:hAnsi="Arial" w:cs="Arial"/>
          <w:color w:val="000000"/>
          <w:sz w:val="24"/>
          <w:szCs w:val="24"/>
        </w:rPr>
        <w:t>, así como la CANIETI,</w:t>
      </w:r>
      <w:r w:rsidRPr="00235277">
        <w:rPr>
          <w:rFonts w:ascii="Arial" w:hAnsi="Arial" w:cs="Arial"/>
          <w:color w:val="000000"/>
          <w:sz w:val="24"/>
          <w:szCs w:val="24"/>
        </w:rPr>
        <w:t xml:space="preserve"> realizaron diversas manifestaciones en relación con la portabilidad geográfica.</w:t>
      </w:r>
    </w:p>
    <w:p w14:paraId="65913739" w14:textId="1B52F8F5" w:rsidR="00235277" w:rsidRPr="00235277" w:rsidRDefault="002A7B7F" w:rsidP="00235277">
      <w:pPr>
        <w:jc w:val="both"/>
        <w:rPr>
          <w:rFonts w:ascii="Arial" w:hAnsi="Arial" w:cs="Arial"/>
          <w:b/>
          <w:color w:val="000000"/>
          <w:sz w:val="24"/>
          <w:szCs w:val="24"/>
        </w:rPr>
      </w:pPr>
      <w:r>
        <w:rPr>
          <w:rFonts w:ascii="Arial" w:hAnsi="Arial" w:cs="Arial"/>
          <w:b/>
          <w:color w:val="000000"/>
          <w:sz w:val="24"/>
          <w:szCs w:val="24"/>
        </w:rPr>
        <w:t xml:space="preserve">RESPUESTA: </w:t>
      </w:r>
      <w:r w:rsidR="00235277" w:rsidRPr="00235277">
        <w:rPr>
          <w:rFonts w:ascii="Arial" w:hAnsi="Arial" w:cs="Arial"/>
          <w:b/>
          <w:color w:val="000000"/>
          <w:sz w:val="24"/>
          <w:szCs w:val="24"/>
        </w:rPr>
        <w:t xml:space="preserve">La portabilidad geográfica se encuentra prevista en la Regla 3 de las Reglas de Portabilidad Numérica, publicadas en el </w:t>
      </w:r>
      <w:r>
        <w:rPr>
          <w:rFonts w:ascii="Arial" w:hAnsi="Arial" w:cs="Arial"/>
          <w:b/>
          <w:color w:val="000000"/>
          <w:sz w:val="24"/>
          <w:szCs w:val="24"/>
        </w:rPr>
        <w:t>DOF el 12 de noviembre de 2014</w:t>
      </w:r>
      <w:r w:rsidR="00235277" w:rsidRPr="00235277">
        <w:rPr>
          <w:rFonts w:ascii="Arial" w:hAnsi="Arial" w:cs="Arial"/>
          <w:b/>
          <w:color w:val="000000"/>
          <w:sz w:val="24"/>
          <w:szCs w:val="24"/>
        </w:rPr>
        <w:t xml:space="preserve"> y su implementación por parte de los PST está condicionada a la cobertura y capacidad con que cuente el Proveedor Receptor para garantizar la continuidad del servicio.</w:t>
      </w:r>
      <w:r w:rsidR="00235277">
        <w:rPr>
          <w:rFonts w:ascii="Arial" w:hAnsi="Arial" w:cs="Arial"/>
          <w:b/>
          <w:color w:val="000000"/>
          <w:sz w:val="24"/>
          <w:szCs w:val="24"/>
        </w:rPr>
        <w:t xml:space="preserve"> </w:t>
      </w:r>
    </w:p>
    <w:p w14:paraId="45386FB2" w14:textId="1C26A059" w:rsidR="00400025" w:rsidRDefault="00235277" w:rsidP="00400025">
      <w:pPr>
        <w:jc w:val="both"/>
        <w:rPr>
          <w:rFonts w:ascii="Arial" w:hAnsi="Arial" w:cs="Arial"/>
          <w:b/>
          <w:color w:val="000000"/>
          <w:sz w:val="24"/>
          <w:szCs w:val="24"/>
        </w:rPr>
      </w:pPr>
      <w:r>
        <w:rPr>
          <w:rFonts w:ascii="Arial" w:hAnsi="Arial" w:cs="Arial"/>
          <w:b/>
          <w:color w:val="000000"/>
          <w:sz w:val="24"/>
          <w:szCs w:val="24"/>
        </w:rPr>
        <w:t>Por otra parte, en relación a los comentarios que refieren posibles impactos de la portabilidad geográfica en el enrutamiento de llamadas con destino al número único de emergencias 911 y a los códigos de servicios especiales,</w:t>
      </w:r>
      <w:r w:rsidR="002A7B7F">
        <w:rPr>
          <w:rFonts w:ascii="Arial" w:hAnsi="Arial" w:cs="Arial"/>
          <w:b/>
          <w:color w:val="000000"/>
          <w:sz w:val="24"/>
          <w:szCs w:val="24"/>
        </w:rPr>
        <w:t xml:space="preserve"> resulta relevante señalar que e</w:t>
      </w:r>
      <w:r>
        <w:rPr>
          <w:rFonts w:ascii="Arial" w:hAnsi="Arial" w:cs="Arial"/>
          <w:b/>
          <w:color w:val="000000"/>
          <w:sz w:val="24"/>
          <w:szCs w:val="24"/>
        </w:rPr>
        <w:t xml:space="preserve">stas </w:t>
      </w:r>
      <w:r w:rsidR="002A7B7F">
        <w:rPr>
          <w:rFonts w:ascii="Arial" w:hAnsi="Arial" w:cs="Arial"/>
          <w:b/>
          <w:color w:val="000000"/>
          <w:sz w:val="24"/>
          <w:szCs w:val="24"/>
        </w:rPr>
        <w:t xml:space="preserve">llamadas </w:t>
      </w:r>
      <w:r w:rsidRPr="00235277">
        <w:rPr>
          <w:rFonts w:ascii="Arial" w:hAnsi="Arial" w:cs="Arial"/>
          <w:b/>
          <w:color w:val="000000"/>
          <w:sz w:val="24"/>
          <w:szCs w:val="24"/>
        </w:rPr>
        <w:t xml:space="preserve">deberán </w:t>
      </w:r>
      <w:r>
        <w:rPr>
          <w:rFonts w:ascii="Arial" w:hAnsi="Arial" w:cs="Arial"/>
          <w:b/>
          <w:color w:val="000000"/>
          <w:sz w:val="24"/>
          <w:szCs w:val="24"/>
        </w:rPr>
        <w:t xml:space="preserve">ser </w:t>
      </w:r>
      <w:r w:rsidRPr="00235277">
        <w:rPr>
          <w:rFonts w:ascii="Arial" w:hAnsi="Arial" w:cs="Arial"/>
          <w:b/>
          <w:color w:val="000000"/>
          <w:sz w:val="24"/>
          <w:szCs w:val="24"/>
        </w:rPr>
        <w:t>traduci</w:t>
      </w:r>
      <w:r>
        <w:rPr>
          <w:rFonts w:ascii="Arial" w:hAnsi="Arial" w:cs="Arial"/>
          <w:b/>
          <w:color w:val="000000"/>
          <w:sz w:val="24"/>
          <w:szCs w:val="24"/>
        </w:rPr>
        <w:t>das</w:t>
      </w:r>
      <w:r w:rsidRPr="00235277">
        <w:rPr>
          <w:rFonts w:ascii="Arial" w:hAnsi="Arial" w:cs="Arial"/>
          <w:b/>
          <w:color w:val="000000"/>
          <w:sz w:val="24"/>
          <w:szCs w:val="24"/>
        </w:rPr>
        <w:t xml:space="preserve"> en el origen </w:t>
      </w:r>
      <w:r>
        <w:rPr>
          <w:rFonts w:ascii="Arial" w:hAnsi="Arial" w:cs="Arial"/>
          <w:b/>
          <w:color w:val="000000"/>
          <w:sz w:val="24"/>
          <w:szCs w:val="24"/>
        </w:rPr>
        <w:t xml:space="preserve">por parte del </w:t>
      </w:r>
      <w:r w:rsidR="002A7B7F">
        <w:rPr>
          <w:rFonts w:ascii="Arial" w:hAnsi="Arial" w:cs="Arial"/>
          <w:b/>
          <w:color w:val="000000"/>
          <w:sz w:val="24"/>
          <w:szCs w:val="24"/>
        </w:rPr>
        <w:t>PST</w:t>
      </w:r>
      <w:r>
        <w:rPr>
          <w:rFonts w:ascii="Arial" w:hAnsi="Arial" w:cs="Arial"/>
          <w:b/>
          <w:color w:val="000000"/>
          <w:sz w:val="24"/>
          <w:szCs w:val="24"/>
        </w:rPr>
        <w:t xml:space="preserve"> que atiende al usuario, </w:t>
      </w:r>
      <w:r w:rsidR="002A7B7F">
        <w:rPr>
          <w:rFonts w:ascii="Arial" w:hAnsi="Arial" w:cs="Arial"/>
          <w:b/>
          <w:color w:val="000000"/>
          <w:sz w:val="24"/>
          <w:szCs w:val="24"/>
        </w:rPr>
        <w:t>utilizando al efecto</w:t>
      </w:r>
      <w:r w:rsidRPr="00235277">
        <w:rPr>
          <w:rFonts w:ascii="Arial" w:hAnsi="Arial" w:cs="Arial"/>
          <w:b/>
          <w:color w:val="000000"/>
          <w:sz w:val="24"/>
          <w:szCs w:val="24"/>
        </w:rPr>
        <w:t xml:space="preserve"> la matriz de enrutamiento correspondiente y </w:t>
      </w:r>
      <w:r w:rsidR="002A7B7F">
        <w:rPr>
          <w:rFonts w:ascii="Arial" w:hAnsi="Arial" w:cs="Arial"/>
          <w:b/>
          <w:color w:val="000000"/>
          <w:sz w:val="24"/>
          <w:szCs w:val="24"/>
        </w:rPr>
        <w:t>debiendo</w:t>
      </w:r>
      <w:r>
        <w:rPr>
          <w:rFonts w:ascii="Arial" w:hAnsi="Arial" w:cs="Arial"/>
          <w:b/>
          <w:color w:val="000000"/>
          <w:sz w:val="24"/>
          <w:szCs w:val="24"/>
        </w:rPr>
        <w:t xml:space="preserve"> </w:t>
      </w:r>
      <w:r w:rsidRPr="00235277">
        <w:rPr>
          <w:rFonts w:ascii="Arial" w:hAnsi="Arial" w:cs="Arial"/>
          <w:b/>
          <w:color w:val="000000"/>
          <w:sz w:val="24"/>
          <w:szCs w:val="24"/>
        </w:rPr>
        <w:t>entrega</w:t>
      </w:r>
      <w:r w:rsidR="002A7B7F">
        <w:rPr>
          <w:rFonts w:ascii="Arial" w:hAnsi="Arial" w:cs="Arial"/>
          <w:b/>
          <w:color w:val="000000"/>
          <w:sz w:val="24"/>
          <w:szCs w:val="24"/>
        </w:rPr>
        <w:t>r la llamada</w:t>
      </w:r>
      <w:r w:rsidRPr="00235277">
        <w:rPr>
          <w:rFonts w:ascii="Arial" w:hAnsi="Arial" w:cs="Arial"/>
          <w:b/>
          <w:color w:val="000000"/>
          <w:sz w:val="24"/>
          <w:szCs w:val="24"/>
        </w:rPr>
        <w:t xml:space="preserve"> en el punto de interconexión más cercano a su originación.</w:t>
      </w:r>
    </w:p>
    <w:p w14:paraId="4D207213" w14:textId="69ACEA5F" w:rsidR="006C2781" w:rsidRDefault="006C2781" w:rsidP="00896926">
      <w:pPr>
        <w:pStyle w:val="Prrafodelista"/>
        <w:numPr>
          <w:ilvl w:val="0"/>
          <w:numId w:val="2"/>
        </w:numPr>
        <w:ind w:left="426" w:hanging="426"/>
        <w:jc w:val="both"/>
        <w:rPr>
          <w:rFonts w:ascii="Arial" w:hAnsi="Arial" w:cs="Arial"/>
          <w:b/>
          <w:color w:val="000000"/>
          <w:sz w:val="24"/>
          <w:szCs w:val="24"/>
        </w:rPr>
      </w:pPr>
      <w:r>
        <w:rPr>
          <w:rFonts w:ascii="Arial" w:hAnsi="Arial" w:cs="Arial"/>
          <w:b/>
          <w:color w:val="000000"/>
          <w:sz w:val="24"/>
          <w:szCs w:val="24"/>
        </w:rPr>
        <w:t>SISTEMA ELECTRÓNICO</w:t>
      </w:r>
    </w:p>
    <w:p w14:paraId="002E203F" w14:textId="684E8EC8" w:rsidR="006C2781" w:rsidRDefault="006C2781" w:rsidP="006C2781">
      <w:pPr>
        <w:jc w:val="both"/>
        <w:rPr>
          <w:rFonts w:ascii="Arial" w:hAnsi="Arial" w:cs="Arial"/>
          <w:color w:val="000000"/>
          <w:sz w:val="24"/>
          <w:szCs w:val="24"/>
        </w:rPr>
      </w:pPr>
      <w:r w:rsidRPr="002A7B7F">
        <w:rPr>
          <w:rFonts w:ascii="Arial" w:hAnsi="Arial" w:cs="Arial"/>
          <w:color w:val="000000"/>
          <w:sz w:val="24"/>
          <w:szCs w:val="24"/>
        </w:rPr>
        <w:t xml:space="preserve">Las empresas </w:t>
      </w:r>
      <w:proofErr w:type="spellStart"/>
      <w:r w:rsidRPr="002A7B7F">
        <w:rPr>
          <w:rFonts w:ascii="Arial" w:hAnsi="Arial" w:cs="Arial"/>
          <w:color w:val="000000"/>
          <w:sz w:val="24"/>
          <w:szCs w:val="24"/>
        </w:rPr>
        <w:t>Softtek</w:t>
      </w:r>
      <w:proofErr w:type="spellEnd"/>
      <w:r w:rsidRPr="002A7B7F">
        <w:rPr>
          <w:rFonts w:ascii="Arial" w:hAnsi="Arial" w:cs="Arial"/>
          <w:color w:val="000000"/>
          <w:sz w:val="24"/>
          <w:szCs w:val="24"/>
        </w:rPr>
        <w:t xml:space="preserve"> y Telcel enviaron los siguientes cuestionamientos en </w:t>
      </w:r>
      <w:r w:rsidR="002A7B7F">
        <w:rPr>
          <w:rFonts w:ascii="Arial" w:hAnsi="Arial" w:cs="Arial"/>
          <w:color w:val="000000"/>
          <w:sz w:val="24"/>
          <w:szCs w:val="24"/>
        </w:rPr>
        <w:t>relación al Sistema Electrónico.</w:t>
      </w:r>
    </w:p>
    <w:p w14:paraId="28C88FFC" w14:textId="30EAFEAF" w:rsidR="002A7B7F" w:rsidRPr="002A7B7F" w:rsidRDefault="002A7B7F" w:rsidP="006C2781">
      <w:pPr>
        <w:jc w:val="both"/>
        <w:rPr>
          <w:rFonts w:ascii="Arial" w:hAnsi="Arial" w:cs="Arial"/>
          <w:color w:val="000000"/>
          <w:sz w:val="24"/>
          <w:szCs w:val="24"/>
        </w:rPr>
      </w:pPr>
      <w:proofErr w:type="spellStart"/>
      <w:r>
        <w:rPr>
          <w:rFonts w:ascii="Arial" w:hAnsi="Arial" w:cs="Arial"/>
          <w:color w:val="000000"/>
          <w:sz w:val="24"/>
          <w:szCs w:val="24"/>
        </w:rPr>
        <w:t>Softtek</w:t>
      </w:r>
      <w:proofErr w:type="spellEnd"/>
      <w:r>
        <w:rPr>
          <w:rFonts w:ascii="Arial" w:hAnsi="Arial" w:cs="Arial"/>
          <w:color w:val="000000"/>
          <w:sz w:val="24"/>
          <w:szCs w:val="24"/>
        </w:rPr>
        <w:t>:</w:t>
      </w:r>
    </w:p>
    <w:p w14:paraId="556AF4E1" w14:textId="41BC648F" w:rsidR="006C2781" w:rsidRDefault="00145A34" w:rsidP="00145A34">
      <w:pPr>
        <w:pStyle w:val="Prrafodelista"/>
        <w:numPr>
          <w:ilvl w:val="0"/>
          <w:numId w:val="11"/>
        </w:numPr>
        <w:ind w:left="426" w:hanging="284"/>
        <w:jc w:val="both"/>
        <w:rPr>
          <w:rFonts w:ascii="Arial" w:hAnsi="Arial" w:cs="Arial"/>
          <w:color w:val="000000"/>
          <w:sz w:val="24"/>
          <w:szCs w:val="24"/>
        </w:rPr>
      </w:pPr>
      <w:r w:rsidRPr="00145A34">
        <w:rPr>
          <w:rFonts w:ascii="Arial" w:hAnsi="Arial" w:cs="Arial"/>
          <w:color w:val="000000"/>
          <w:sz w:val="24"/>
          <w:szCs w:val="24"/>
        </w:rPr>
        <w:t>En relación al Considerando Quinto, ¿El Instituto quiere dar a entender que es innecesario modificar el SNS (actual) y que tampoco se requiere atender el desarrollo del Sistema Electrónico en dos etapas, o bien que sí es necesario modificar el SNS y además, atender el desarrollo del Sistema Electrónico en dos etapas?</w:t>
      </w:r>
    </w:p>
    <w:p w14:paraId="736AA9DF" w14:textId="5E03CDBD" w:rsidR="00145A34" w:rsidRDefault="00145A34" w:rsidP="00145A34">
      <w:pPr>
        <w:pStyle w:val="Prrafodelista"/>
        <w:ind w:left="426"/>
        <w:jc w:val="both"/>
        <w:rPr>
          <w:rFonts w:ascii="Arial" w:hAnsi="Arial" w:cs="Arial"/>
          <w:color w:val="000000"/>
          <w:sz w:val="24"/>
          <w:szCs w:val="24"/>
        </w:rPr>
      </w:pPr>
    </w:p>
    <w:p w14:paraId="52F8C412" w14:textId="4E7D6F7D" w:rsidR="00145A34" w:rsidRDefault="002A7B7F" w:rsidP="00145A34">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145A34" w:rsidRPr="00145A34">
        <w:rPr>
          <w:rFonts w:ascii="Arial" w:hAnsi="Arial" w:cs="Arial"/>
          <w:b/>
          <w:color w:val="000000"/>
          <w:sz w:val="24"/>
          <w:szCs w:val="24"/>
        </w:rPr>
        <w:t xml:space="preserve">Debido a que los procedimientos actuales (vigentes), contenidos en </w:t>
      </w:r>
      <w:r>
        <w:rPr>
          <w:rFonts w:ascii="Arial" w:hAnsi="Arial" w:cs="Arial"/>
          <w:b/>
          <w:color w:val="000000"/>
          <w:sz w:val="24"/>
          <w:szCs w:val="24"/>
        </w:rPr>
        <w:t>PTFN</w:t>
      </w:r>
      <w:r w:rsidR="00145A34" w:rsidRPr="00145A34">
        <w:rPr>
          <w:rFonts w:ascii="Arial" w:hAnsi="Arial" w:cs="Arial"/>
          <w:b/>
          <w:color w:val="000000"/>
          <w:sz w:val="24"/>
          <w:szCs w:val="24"/>
        </w:rPr>
        <w:t xml:space="preserve"> y </w:t>
      </w:r>
      <w:r>
        <w:rPr>
          <w:rFonts w:ascii="Arial" w:hAnsi="Arial" w:cs="Arial"/>
          <w:b/>
          <w:color w:val="000000"/>
          <w:sz w:val="24"/>
          <w:szCs w:val="24"/>
        </w:rPr>
        <w:t>en el PTFS</w:t>
      </w:r>
      <w:r w:rsidR="00AB1B24">
        <w:rPr>
          <w:rFonts w:ascii="Arial" w:hAnsi="Arial" w:cs="Arial"/>
          <w:b/>
          <w:color w:val="000000"/>
          <w:sz w:val="24"/>
          <w:szCs w:val="24"/>
        </w:rPr>
        <w:t>,</w:t>
      </w:r>
      <w:r>
        <w:rPr>
          <w:rFonts w:ascii="Arial" w:hAnsi="Arial" w:cs="Arial"/>
          <w:b/>
          <w:color w:val="000000"/>
          <w:sz w:val="24"/>
          <w:szCs w:val="24"/>
        </w:rPr>
        <w:t xml:space="preserve"> </w:t>
      </w:r>
      <w:r w:rsidR="00145A34" w:rsidRPr="00145A34">
        <w:rPr>
          <w:rFonts w:ascii="Arial" w:hAnsi="Arial" w:cs="Arial"/>
          <w:b/>
          <w:color w:val="000000"/>
          <w:sz w:val="24"/>
          <w:szCs w:val="24"/>
        </w:rPr>
        <w:t xml:space="preserve">publicados en el </w:t>
      </w:r>
      <w:r>
        <w:rPr>
          <w:rFonts w:ascii="Arial" w:hAnsi="Arial" w:cs="Arial"/>
          <w:b/>
          <w:color w:val="000000"/>
          <w:sz w:val="24"/>
          <w:szCs w:val="24"/>
        </w:rPr>
        <w:t>DOF</w:t>
      </w:r>
      <w:r w:rsidR="00145A34" w:rsidRPr="00145A34">
        <w:rPr>
          <w:rFonts w:ascii="Arial" w:hAnsi="Arial" w:cs="Arial"/>
          <w:b/>
          <w:color w:val="000000"/>
          <w:sz w:val="24"/>
          <w:szCs w:val="24"/>
        </w:rPr>
        <w:t xml:space="preserve"> el 21 de junio de 1996, se mantendrán hasta el 31 de enero de 2022, no se requiere modificar </w:t>
      </w:r>
      <w:r w:rsidR="00AB1B24">
        <w:rPr>
          <w:rFonts w:ascii="Arial" w:hAnsi="Arial" w:cs="Arial"/>
          <w:b/>
          <w:color w:val="000000"/>
          <w:sz w:val="24"/>
          <w:szCs w:val="24"/>
        </w:rPr>
        <w:t xml:space="preserve">sustancialmente </w:t>
      </w:r>
      <w:r w:rsidR="00145A34" w:rsidRPr="00145A34">
        <w:rPr>
          <w:rFonts w:ascii="Arial" w:hAnsi="Arial" w:cs="Arial"/>
          <w:b/>
          <w:color w:val="000000"/>
          <w:sz w:val="24"/>
          <w:szCs w:val="24"/>
        </w:rPr>
        <w:t>el SNS. Por otra parte, debido a la interrelación entre procedimientos y su dependencia actual con la</w:t>
      </w:r>
      <w:r w:rsidR="00AB1B24">
        <w:rPr>
          <w:rFonts w:ascii="Arial" w:hAnsi="Arial" w:cs="Arial"/>
          <w:b/>
          <w:color w:val="000000"/>
          <w:sz w:val="24"/>
          <w:szCs w:val="24"/>
        </w:rPr>
        <w:t>s áreas de servicio local y NIR</w:t>
      </w:r>
      <w:r w:rsidR="00145A34" w:rsidRPr="00145A34">
        <w:rPr>
          <w:rFonts w:ascii="Arial" w:hAnsi="Arial" w:cs="Arial"/>
          <w:b/>
          <w:color w:val="000000"/>
          <w:sz w:val="24"/>
          <w:szCs w:val="24"/>
        </w:rPr>
        <w:t>, resulta más conveniente llevar a cabo el desarrollo del Sistema Electrónico de forma integral en una sola etapa.</w:t>
      </w:r>
    </w:p>
    <w:p w14:paraId="4463D988" w14:textId="459D1770" w:rsidR="00145A34" w:rsidRDefault="00145A34" w:rsidP="00145A34">
      <w:pPr>
        <w:pStyle w:val="Prrafodelista"/>
        <w:ind w:left="426"/>
        <w:jc w:val="both"/>
        <w:rPr>
          <w:rFonts w:ascii="Arial" w:hAnsi="Arial" w:cs="Arial"/>
          <w:b/>
          <w:color w:val="000000"/>
          <w:sz w:val="24"/>
          <w:szCs w:val="24"/>
        </w:rPr>
      </w:pPr>
    </w:p>
    <w:p w14:paraId="36990625" w14:textId="78F6A999" w:rsidR="00145A34" w:rsidRDefault="00145A34" w:rsidP="00145A34">
      <w:pPr>
        <w:pStyle w:val="Prrafodelista"/>
        <w:numPr>
          <w:ilvl w:val="0"/>
          <w:numId w:val="11"/>
        </w:numPr>
        <w:ind w:left="426" w:hanging="284"/>
        <w:jc w:val="both"/>
        <w:rPr>
          <w:rFonts w:ascii="Arial" w:hAnsi="Arial" w:cs="Arial"/>
          <w:color w:val="000000"/>
          <w:sz w:val="24"/>
          <w:szCs w:val="24"/>
        </w:rPr>
      </w:pPr>
      <w:r w:rsidRPr="00145A34">
        <w:rPr>
          <w:rFonts w:ascii="Arial" w:hAnsi="Arial" w:cs="Arial"/>
          <w:color w:val="000000"/>
          <w:sz w:val="24"/>
          <w:szCs w:val="24"/>
        </w:rPr>
        <w:t>¿</w:t>
      </w:r>
      <w:r w:rsidR="00AB1B24">
        <w:t>C</w:t>
      </w:r>
      <w:r w:rsidR="00AB1B24">
        <w:rPr>
          <w:rFonts w:ascii="Arial" w:hAnsi="Arial" w:cs="Arial"/>
          <w:color w:val="000000"/>
          <w:sz w:val="24"/>
          <w:szCs w:val="24"/>
        </w:rPr>
        <w:t>u</w:t>
      </w:r>
      <w:r w:rsidRPr="00145A34">
        <w:rPr>
          <w:rFonts w:ascii="Arial" w:hAnsi="Arial" w:cs="Arial"/>
          <w:color w:val="000000"/>
          <w:sz w:val="24"/>
          <w:szCs w:val="24"/>
        </w:rPr>
        <w:t xml:space="preserve">áles son los procesos </w:t>
      </w:r>
      <w:r>
        <w:rPr>
          <w:rFonts w:ascii="Arial" w:hAnsi="Arial" w:cs="Arial"/>
          <w:color w:val="000000"/>
          <w:sz w:val="24"/>
          <w:szCs w:val="24"/>
        </w:rPr>
        <w:t>que</w:t>
      </w:r>
      <w:r w:rsidRPr="00145A34">
        <w:rPr>
          <w:rFonts w:ascii="Arial" w:hAnsi="Arial" w:cs="Arial"/>
          <w:color w:val="000000"/>
          <w:sz w:val="24"/>
          <w:szCs w:val="24"/>
        </w:rPr>
        <w:t xml:space="preserve"> considerar como procedimientos vigentes e indicar si estos se consideran como procesos a automatizar dentro del SNS o dentro del Sistema </w:t>
      </w:r>
      <w:r>
        <w:rPr>
          <w:rFonts w:ascii="Arial" w:hAnsi="Arial" w:cs="Arial"/>
          <w:color w:val="000000"/>
          <w:sz w:val="24"/>
          <w:szCs w:val="24"/>
        </w:rPr>
        <w:t>E</w:t>
      </w:r>
      <w:r w:rsidRPr="00145A34">
        <w:rPr>
          <w:rFonts w:ascii="Arial" w:hAnsi="Arial" w:cs="Arial"/>
          <w:color w:val="000000"/>
          <w:sz w:val="24"/>
          <w:szCs w:val="24"/>
        </w:rPr>
        <w:t>lectrónico?</w:t>
      </w:r>
    </w:p>
    <w:p w14:paraId="3833A46E" w14:textId="3037F0FF" w:rsidR="00145A34" w:rsidRDefault="00145A34" w:rsidP="00145A34">
      <w:pPr>
        <w:pStyle w:val="Prrafodelista"/>
        <w:ind w:left="426"/>
        <w:jc w:val="both"/>
        <w:rPr>
          <w:rFonts w:ascii="Arial" w:hAnsi="Arial" w:cs="Arial"/>
          <w:color w:val="000000"/>
          <w:sz w:val="24"/>
          <w:szCs w:val="24"/>
        </w:rPr>
      </w:pPr>
    </w:p>
    <w:p w14:paraId="6D2522BA" w14:textId="5951F8C8" w:rsidR="00145A34" w:rsidRDefault="00AB1B24" w:rsidP="00145A34">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145A34" w:rsidRPr="00145A34">
        <w:rPr>
          <w:rFonts w:ascii="Arial" w:hAnsi="Arial" w:cs="Arial"/>
          <w:b/>
          <w:color w:val="000000"/>
          <w:sz w:val="24"/>
          <w:szCs w:val="24"/>
        </w:rPr>
        <w:t xml:space="preserve">Los procedimientos que se sistematizarán son los contenidos en los planes técnicos fundamentales de numeración y señalización publicados en el </w:t>
      </w:r>
      <w:r>
        <w:rPr>
          <w:rFonts w:ascii="Arial" w:hAnsi="Arial" w:cs="Arial"/>
          <w:b/>
          <w:color w:val="000000"/>
          <w:sz w:val="24"/>
          <w:szCs w:val="24"/>
        </w:rPr>
        <w:t>DOF</w:t>
      </w:r>
      <w:r w:rsidR="00145A34" w:rsidRPr="00145A34">
        <w:rPr>
          <w:rFonts w:ascii="Arial" w:hAnsi="Arial" w:cs="Arial"/>
          <w:b/>
          <w:color w:val="000000"/>
          <w:sz w:val="24"/>
          <w:szCs w:val="24"/>
        </w:rPr>
        <w:t xml:space="preserve"> el 11 de mayo de 2018.</w:t>
      </w:r>
    </w:p>
    <w:p w14:paraId="046DFA96" w14:textId="0A330F68" w:rsidR="00145A34" w:rsidRDefault="00145A34" w:rsidP="00145A34">
      <w:pPr>
        <w:pStyle w:val="Prrafodelista"/>
        <w:ind w:left="426"/>
        <w:jc w:val="both"/>
        <w:rPr>
          <w:rFonts w:ascii="Arial" w:hAnsi="Arial" w:cs="Arial"/>
          <w:b/>
          <w:color w:val="000000"/>
          <w:sz w:val="24"/>
          <w:szCs w:val="24"/>
        </w:rPr>
      </w:pPr>
    </w:p>
    <w:p w14:paraId="63E2C41F" w14:textId="3F5013B2" w:rsidR="00145A34" w:rsidRDefault="00145A34" w:rsidP="00B90012">
      <w:pPr>
        <w:pStyle w:val="Prrafodelista"/>
        <w:numPr>
          <w:ilvl w:val="0"/>
          <w:numId w:val="11"/>
        </w:numPr>
        <w:ind w:left="426" w:hanging="284"/>
        <w:jc w:val="both"/>
        <w:rPr>
          <w:rFonts w:ascii="Arial" w:hAnsi="Arial" w:cs="Arial"/>
          <w:color w:val="000000"/>
          <w:sz w:val="24"/>
          <w:szCs w:val="24"/>
        </w:rPr>
      </w:pPr>
      <w:r w:rsidRPr="00B90012">
        <w:rPr>
          <w:rFonts w:ascii="Arial" w:hAnsi="Arial" w:cs="Arial"/>
          <w:color w:val="000000"/>
          <w:sz w:val="24"/>
          <w:szCs w:val="24"/>
        </w:rPr>
        <w:t>¿</w:t>
      </w:r>
      <w:r w:rsidR="00B90012" w:rsidRPr="00B90012">
        <w:rPr>
          <w:rFonts w:ascii="Arial" w:hAnsi="Arial" w:cs="Arial"/>
          <w:color w:val="000000"/>
          <w:sz w:val="24"/>
          <w:szCs w:val="24"/>
        </w:rPr>
        <w:t>E</w:t>
      </w:r>
      <w:r w:rsidRPr="00B90012">
        <w:rPr>
          <w:rFonts w:ascii="Arial" w:hAnsi="Arial" w:cs="Arial"/>
          <w:color w:val="000000"/>
          <w:sz w:val="24"/>
          <w:szCs w:val="24"/>
        </w:rPr>
        <w:t>n el caso de los artículos transitorios modificados se refiere a reemplazo o ampliación del contenido original de</w:t>
      </w:r>
      <w:r w:rsidR="00B90012">
        <w:rPr>
          <w:rFonts w:ascii="Arial" w:hAnsi="Arial" w:cs="Arial"/>
          <w:color w:val="000000"/>
          <w:sz w:val="24"/>
          <w:szCs w:val="24"/>
        </w:rPr>
        <w:t xml:space="preserve"> los </w:t>
      </w:r>
      <w:r w:rsidRPr="00B90012">
        <w:rPr>
          <w:rFonts w:ascii="Arial" w:hAnsi="Arial" w:cs="Arial"/>
          <w:color w:val="000000"/>
          <w:sz w:val="24"/>
          <w:szCs w:val="24"/>
        </w:rPr>
        <w:t>artículo</w:t>
      </w:r>
      <w:r w:rsidR="00B90012">
        <w:rPr>
          <w:rFonts w:ascii="Arial" w:hAnsi="Arial" w:cs="Arial"/>
          <w:color w:val="000000"/>
          <w:sz w:val="24"/>
          <w:szCs w:val="24"/>
        </w:rPr>
        <w:t>s correspondientes</w:t>
      </w:r>
      <w:r w:rsidRPr="00B90012">
        <w:rPr>
          <w:rFonts w:ascii="Arial" w:hAnsi="Arial" w:cs="Arial"/>
          <w:color w:val="000000"/>
          <w:sz w:val="24"/>
          <w:szCs w:val="24"/>
        </w:rPr>
        <w:t>?</w:t>
      </w:r>
    </w:p>
    <w:p w14:paraId="7E10585F" w14:textId="541B2401" w:rsidR="00B90012" w:rsidRDefault="00B90012" w:rsidP="00B90012">
      <w:pPr>
        <w:pStyle w:val="Prrafodelista"/>
        <w:ind w:left="426"/>
        <w:jc w:val="both"/>
        <w:rPr>
          <w:rFonts w:ascii="Arial" w:hAnsi="Arial" w:cs="Arial"/>
          <w:color w:val="000000"/>
          <w:sz w:val="24"/>
          <w:szCs w:val="24"/>
        </w:rPr>
      </w:pPr>
    </w:p>
    <w:p w14:paraId="30411EFE" w14:textId="4943176C" w:rsidR="00B90012" w:rsidRDefault="00AB1B24" w:rsidP="00B90012">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B90012" w:rsidRPr="00B90012">
        <w:rPr>
          <w:rFonts w:ascii="Arial" w:hAnsi="Arial" w:cs="Arial"/>
          <w:b/>
          <w:color w:val="000000"/>
          <w:sz w:val="24"/>
          <w:szCs w:val="24"/>
        </w:rPr>
        <w:t>Se refiere al reemplazo de los artículos transitorios originalmente publicados y a la incorporaci</w:t>
      </w:r>
      <w:r w:rsidR="00B90012">
        <w:rPr>
          <w:rFonts w:ascii="Arial" w:hAnsi="Arial" w:cs="Arial"/>
          <w:b/>
          <w:color w:val="000000"/>
          <w:sz w:val="24"/>
          <w:szCs w:val="24"/>
        </w:rPr>
        <w:t>ó</w:t>
      </w:r>
      <w:r w:rsidR="00B90012" w:rsidRPr="00B90012">
        <w:rPr>
          <w:rFonts w:ascii="Arial" w:hAnsi="Arial" w:cs="Arial"/>
          <w:b/>
          <w:color w:val="000000"/>
          <w:sz w:val="24"/>
          <w:szCs w:val="24"/>
        </w:rPr>
        <w:t>n de artículos transitorios adicionales.</w:t>
      </w:r>
    </w:p>
    <w:p w14:paraId="57A2C5F0" w14:textId="1A9062EE" w:rsidR="00E91BA4" w:rsidRDefault="00E91BA4" w:rsidP="00B90012">
      <w:pPr>
        <w:pStyle w:val="Prrafodelista"/>
        <w:ind w:left="426"/>
        <w:jc w:val="both"/>
        <w:rPr>
          <w:rFonts w:ascii="Arial" w:hAnsi="Arial" w:cs="Arial"/>
          <w:b/>
          <w:color w:val="000000"/>
          <w:sz w:val="24"/>
          <w:szCs w:val="24"/>
        </w:rPr>
      </w:pPr>
    </w:p>
    <w:p w14:paraId="302FF6AA" w14:textId="0A8140CA" w:rsidR="00E91BA4" w:rsidRDefault="00E91BA4" w:rsidP="00E91BA4">
      <w:pPr>
        <w:pStyle w:val="Prrafodelista"/>
        <w:numPr>
          <w:ilvl w:val="0"/>
          <w:numId w:val="11"/>
        </w:numPr>
        <w:ind w:left="426" w:hanging="284"/>
        <w:jc w:val="both"/>
        <w:rPr>
          <w:rFonts w:ascii="Arial" w:hAnsi="Arial" w:cs="Arial"/>
          <w:color w:val="000000"/>
          <w:sz w:val="24"/>
          <w:szCs w:val="24"/>
        </w:rPr>
      </w:pPr>
      <w:r w:rsidRPr="00E91BA4">
        <w:rPr>
          <w:rFonts w:ascii="Arial" w:hAnsi="Arial" w:cs="Arial"/>
          <w:color w:val="000000"/>
          <w:sz w:val="24"/>
          <w:szCs w:val="24"/>
        </w:rPr>
        <w:t xml:space="preserve">Se solicita confirmar que el </w:t>
      </w:r>
      <w:r>
        <w:rPr>
          <w:rFonts w:ascii="Arial" w:hAnsi="Arial" w:cs="Arial"/>
          <w:color w:val="000000"/>
          <w:sz w:val="24"/>
          <w:szCs w:val="24"/>
        </w:rPr>
        <w:t>S</w:t>
      </w:r>
      <w:r w:rsidRPr="00E91BA4">
        <w:rPr>
          <w:rFonts w:ascii="Arial" w:hAnsi="Arial" w:cs="Arial"/>
          <w:color w:val="000000"/>
          <w:sz w:val="24"/>
          <w:szCs w:val="24"/>
        </w:rPr>
        <w:t xml:space="preserve">istema </w:t>
      </w:r>
      <w:r>
        <w:rPr>
          <w:rFonts w:ascii="Arial" w:hAnsi="Arial" w:cs="Arial"/>
          <w:color w:val="000000"/>
          <w:sz w:val="24"/>
          <w:szCs w:val="24"/>
        </w:rPr>
        <w:t>E</w:t>
      </w:r>
      <w:r w:rsidRPr="00E91BA4">
        <w:rPr>
          <w:rFonts w:ascii="Arial" w:hAnsi="Arial" w:cs="Arial"/>
          <w:color w:val="000000"/>
          <w:sz w:val="24"/>
          <w:szCs w:val="24"/>
        </w:rPr>
        <w:t xml:space="preserve">lectrónico deberá automatizar el procedimiento establecido en los numerales 9.6.2 a 9.6.9 del nuevo PTFN. </w:t>
      </w:r>
    </w:p>
    <w:p w14:paraId="1B9F47D9" w14:textId="489407BA" w:rsidR="00320997" w:rsidRDefault="00320997" w:rsidP="00320997">
      <w:pPr>
        <w:pStyle w:val="Prrafodelista"/>
        <w:ind w:left="426"/>
        <w:jc w:val="both"/>
        <w:rPr>
          <w:rFonts w:ascii="Arial" w:hAnsi="Arial" w:cs="Arial"/>
          <w:color w:val="000000"/>
          <w:sz w:val="24"/>
          <w:szCs w:val="24"/>
        </w:rPr>
      </w:pPr>
    </w:p>
    <w:p w14:paraId="71F957BD" w14:textId="64EB3D77" w:rsidR="00320997" w:rsidRDefault="00AB1B24" w:rsidP="00320997">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C6374F">
        <w:rPr>
          <w:rFonts w:ascii="Arial" w:hAnsi="Arial" w:cs="Arial"/>
          <w:b/>
          <w:color w:val="000000"/>
          <w:sz w:val="24"/>
          <w:szCs w:val="24"/>
        </w:rPr>
        <w:t>Por</w:t>
      </w:r>
      <w:r w:rsidR="00320997">
        <w:rPr>
          <w:rFonts w:ascii="Arial" w:hAnsi="Arial" w:cs="Arial"/>
          <w:b/>
          <w:color w:val="000000"/>
          <w:sz w:val="24"/>
          <w:szCs w:val="24"/>
        </w:rPr>
        <w:t xml:space="preserve"> </w:t>
      </w:r>
      <w:r w:rsidR="00C6374F">
        <w:rPr>
          <w:rFonts w:ascii="Arial" w:hAnsi="Arial" w:cs="Arial"/>
          <w:b/>
          <w:color w:val="000000"/>
          <w:sz w:val="24"/>
          <w:szCs w:val="24"/>
        </w:rPr>
        <w:t>el</w:t>
      </w:r>
      <w:r w:rsidR="00320997">
        <w:rPr>
          <w:rFonts w:ascii="Arial" w:hAnsi="Arial" w:cs="Arial"/>
          <w:b/>
          <w:color w:val="000000"/>
          <w:sz w:val="24"/>
          <w:szCs w:val="24"/>
        </w:rPr>
        <w:t xml:space="preserve"> momento</w:t>
      </w:r>
      <w:r w:rsidR="00C6374F">
        <w:rPr>
          <w:rFonts w:ascii="Arial" w:hAnsi="Arial" w:cs="Arial"/>
          <w:b/>
          <w:color w:val="000000"/>
          <w:sz w:val="24"/>
          <w:szCs w:val="24"/>
        </w:rPr>
        <w:t xml:space="preserve"> no se tiene contemplado incluir</w:t>
      </w:r>
      <w:r w:rsidR="00320997">
        <w:rPr>
          <w:rFonts w:ascii="Arial" w:hAnsi="Arial" w:cs="Arial"/>
          <w:b/>
          <w:color w:val="000000"/>
          <w:sz w:val="24"/>
          <w:szCs w:val="24"/>
        </w:rPr>
        <w:t xml:space="preserve"> e</w:t>
      </w:r>
      <w:r w:rsidR="00C6374F">
        <w:rPr>
          <w:rFonts w:ascii="Arial" w:hAnsi="Arial" w:cs="Arial"/>
          <w:b/>
          <w:color w:val="000000"/>
          <w:sz w:val="24"/>
          <w:szCs w:val="24"/>
        </w:rPr>
        <w:t>ste</w:t>
      </w:r>
      <w:r w:rsidR="00320997" w:rsidRPr="00320997">
        <w:rPr>
          <w:rFonts w:ascii="Arial" w:hAnsi="Arial" w:cs="Arial"/>
          <w:b/>
          <w:color w:val="000000"/>
          <w:sz w:val="24"/>
          <w:szCs w:val="24"/>
        </w:rPr>
        <w:t xml:space="preserve"> procedimiento </w:t>
      </w:r>
      <w:r w:rsidR="00C6374F">
        <w:rPr>
          <w:rFonts w:ascii="Arial" w:hAnsi="Arial" w:cs="Arial"/>
          <w:b/>
          <w:color w:val="000000"/>
          <w:sz w:val="24"/>
          <w:szCs w:val="24"/>
        </w:rPr>
        <w:t xml:space="preserve">en </w:t>
      </w:r>
      <w:r w:rsidR="00320997" w:rsidRPr="00320997">
        <w:rPr>
          <w:rFonts w:ascii="Arial" w:hAnsi="Arial" w:cs="Arial"/>
          <w:b/>
          <w:color w:val="000000"/>
          <w:sz w:val="24"/>
          <w:szCs w:val="24"/>
        </w:rPr>
        <w:t xml:space="preserve">el desarrollo del </w:t>
      </w:r>
      <w:r w:rsidR="00C6374F">
        <w:rPr>
          <w:rFonts w:ascii="Arial" w:hAnsi="Arial" w:cs="Arial"/>
          <w:b/>
          <w:color w:val="000000"/>
          <w:sz w:val="24"/>
          <w:szCs w:val="24"/>
        </w:rPr>
        <w:t>S</w:t>
      </w:r>
      <w:r w:rsidR="00320997" w:rsidRPr="00320997">
        <w:rPr>
          <w:rFonts w:ascii="Arial" w:hAnsi="Arial" w:cs="Arial"/>
          <w:b/>
          <w:color w:val="000000"/>
          <w:sz w:val="24"/>
          <w:szCs w:val="24"/>
        </w:rPr>
        <w:t xml:space="preserve">istema </w:t>
      </w:r>
      <w:r w:rsidR="00C6374F">
        <w:rPr>
          <w:rFonts w:ascii="Arial" w:hAnsi="Arial" w:cs="Arial"/>
          <w:b/>
          <w:color w:val="000000"/>
          <w:sz w:val="24"/>
          <w:szCs w:val="24"/>
        </w:rPr>
        <w:t>E</w:t>
      </w:r>
      <w:r w:rsidR="00320997" w:rsidRPr="00320997">
        <w:rPr>
          <w:rFonts w:ascii="Arial" w:hAnsi="Arial" w:cs="Arial"/>
          <w:b/>
          <w:color w:val="000000"/>
          <w:sz w:val="24"/>
          <w:szCs w:val="24"/>
        </w:rPr>
        <w:t>lectrónico.</w:t>
      </w:r>
    </w:p>
    <w:p w14:paraId="0FB81478" w14:textId="23F60401" w:rsidR="006F1009" w:rsidRDefault="006F1009" w:rsidP="00320997">
      <w:pPr>
        <w:pStyle w:val="Prrafodelista"/>
        <w:ind w:left="426"/>
        <w:jc w:val="both"/>
        <w:rPr>
          <w:rFonts w:ascii="Arial" w:hAnsi="Arial" w:cs="Arial"/>
          <w:b/>
          <w:color w:val="000000"/>
          <w:sz w:val="24"/>
          <w:szCs w:val="24"/>
        </w:rPr>
      </w:pPr>
    </w:p>
    <w:p w14:paraId="5A2C50B6" w14:textId="37BE76F6" w:rsidR="006F1009" w:rsidRPr="00AB1B24" w:rsidRDefault="006F1009" w:rsidP="006F1009">
      <w:pPr>
        <w:pStyle w:val="Prrafodelista"/>
        <w:numPr>
          <w:ilvl w:val="0"/>
          <w:numId w:val="11"/>
        </w:numPr>
        <w:ind w:left="426" w:hanging="284"/>
        <w:jc w:val="both"/>
        <w:rPr>
          <w:rFonts w:ascii="Arial" w:hAnsi="Arial" w:cs="Arial"/>
          <w:color w:val="000000"/>
          <w:sz w:val="24"/>
          <w:szCs w:val="24"/>
        </w:rPr>
      </w:pPr>
      <w:r w:rsidRPr="00AB1B24">
        <w:rPr>
          <w:rFonts w:ascii="Arial" w:hAnsi="Arial" w:cs="Arial"/>
          <w:color w:val="000000"/>
          <w:sz w:val="24"/>
          <w:szCs w:val="24"/>
        </w:rPr>
        <w:t>Se solicita confirmar que el Sistema Electrónico deberá automatizar lo establecido en los numerales 11.4.1 y 11.4.4.</w:t>
      </w:r>
    </w:p>
    <w:p w14:paraId="20E681A7" w14:textId="4608A5AE" w:rsidR="006F1009" w:rsidRDefault="006F1009" w:rsidP="006F1009">
      <w:pPr>
        <w:pStyle w:val="Prrafodelista"/>
        <w:ind w:left="426"/>
        <w:jc w:val="both"/>
        <w:rPr>
          <w:rFonts w:ascii="Arial" w:hAnsi="Arial" w:cs="Arial"/>
          <w:b/>
          <w:color w:val="000000"/>
          <w:sz w:val="24"/>
          <w:szCs w:val="24"/>
        </w:rPr>
      </w:pPr>
    </w:p>
    <w:p w14:paraId="54C8DF06" w14:textId="6F721621" w:rsidR="006F1009" w:rsidRPr="00AB1B24" w:rsidRDefault="00AB1B24" w:rsidP="006F1009">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6F1009" w:rsidRPr="00AB1B24">
        <w:rPr>
          <w:rFonts w:ascii="Arial" w:hAnsi="Arial" w:cs="Arial"/>
          <w:b/>
          <w:color w:val="000000"/>
          <w:sz w:val="24"/>
          <w:szCs w:val="24"/>
        </w:rPr>
        <w:t>Lo indicado en los numerales 11.4.1 y 11.4.4 corresponde a criterios para la utilización de los códigos de identificación de proveedor de servicios de telecomunicaciones, los cuales deberán considerarse en la definición, desarrollo e implementación de los trámites electrónicos correspondientes dentro del Sistema Electrónico.</w:t>
      </w:r>
    </w:p>
    <w:p w14:paraId="27B69548" w14:textId="77777777" w:rsidR="00CE74C0" w:rsidRDefault="00CE74C0" w:rsidP="006F1009">
      <w:pPr>
        <w:pStyle w:val="Prrafodelista"/>
        <w:ind w:left="426"/>
        <w:jc w:val="both"/>
        <w:rPr>
          <w:rFonts w:ascii="Arial" w:hAnsi="Arial" w:cs="Arial"/>
          <w:color w:val="000000"/>
          <w:sz w:val="24"/>
          <w:szCs w:val="24"/>
        </w:rPr>
      </w:pPr>
    </w:p>
    <w:p w14:paraId="47D5F67D" w14:textId="2289B2F1" w:rsidR="00CE74C0" w:rsidRDefault="00CE74C0" w:rsidP="00CE74C0">
      <w:pPr>
        <w:pStyle w:val="Prrafodelista"/>
        <w:numPr>
          <w:ilvl w:val="0"/>
          <w:numId w:val="11"/>
        </w:numPr>
        <w:ind w:left="426" w:hanging="284"/>
        <w:jc w:val="both"/>
        <w:rPr>
          <w:rFonts w:ascii="Arial" w:hAnsi="Arial" w:cs="Arial"/>
          <w:color w:val="000000"/>
          <w:sz w:val="24"/>
          <w:szCs w:val="24"/>
        </w:rPr>
      </w:pPr>
      <w:r w:rsidRPr="00CE74C0">
        <w:rPr>
          <w:rFonts w:ascii="Arial" w:hAnsi="Arial" w:cs="Arial"/>
          <w:color w:val="000000"/>
          <w:sz w:val="24"/>
          <w:szCs w:val="24"/>
        </w:rPr>
        <w:lastRenderedPageBreak/>
        <w:t>¿Dónde se llevará a cabo el registro de CSE y de matrices de enrutamiento si no se harán en el SNS (Actual) hasta el 31 de enero de 2012?</w:t>
      </w:r>
    </w:p>
    <w:p w14:paraId="17A27B7B" w14:textId="4F67CC70" w:rsidR="00CE74C0" w:rsidRDefault="00CE74C0" w:rsidP="00CE74C0">
      <w:pPr>
        <w:pStyle w:val="Prrafodelista"/>
        <w:jc w:val="both"/>
        <w:rPr>
          <w:rFonts w:ascii="Arial" w:hAnsi="Arial" w:cs="Arial"/>
          <w:color w:val="000000"/>
          <w:sz w:val="24"/>
          <w:szCs w:val="24"/>
        </w:rPr>
      </w:pPr>
    </w:p>
    <w:p w14:paraId="5C1ACBB6" w14:textId="3EFD3D7B" w:rsidR="00CE74C0" w:rsidRDefault="00AB1B24" w:rsidP="00CE74C0">
      <w:pPr>
        <w:pStyle w:val="Prrafodelista"/>
        <w:ind w:hanging="294"/>
        <w:jc w:val="both"/>
        <w:rPr>
          <w:rFonts w:ascii="Arial" w:hAnsi="Arial" w:cs="Arial"/>
          <w:b/>
          <w:color w:val="000000"/>
          <w:sz w:val="24"/>
          <w:szCs w:val="24"/>
        </w:rPr>
      </w:pPr>
      <w:r>
        <w:rPr>
          <w:rFonts w:ascii="Arial" w:hAnsi="Arial" w:cs="Arial"/>
          <w:b/>
          <w:color w:val="000000"/>
          <w:sz w:val="24"/>
          <w:szCs w:val="24"/>
        </w:rPr>
        <w:t xml:space="preserve">RESPUESTA: </w:t>
      </w:r>
      <w:r w:rsidR="00CE74C0" w:rsidRPr="00CE74C0">
        <w:rPr>
          <w:rFonts w:ascii="Arial" w:hAnsi="Arial" w:cs="Arial"/>
          <w:b/>
          <w:color w:val="000000"/>
          <w:sz w:val="24"/>
          <w:szCs w:val="24"/>
        </w:rPr>
        <w:t>En un programa de hojas de cálculo.</w:t>
      </w:r>
    </w:p>
    <w:p w14:paraId="711FE963" w14:textId="77777777" w:rsidR="00586F18" w:rsidRPr="00CE74C0" w:rsidRDefault="00586F18" w:rsidP="00CE74C0">
      <w:pPr>
        <w:pStyle w:val="Prrafodelista"/>
        <w:ind w:hanging="294"/>
        <w:jc w:val="both"/>
        <w:rPr>
          <w:rFonts w:ascii="Arial" w:hAnsi="Arial" w:cs="Arial"/>
          <w:b/>
          <w:color w:val="000000"/>
          <w:sz w:val="24"/>
          <w:szCs w:val="24"/>
        </w:rPr>
      </w:pPr>
    </w:p>
    <w:p w14:paraId="21001E44" w14:textId="65CE5A95" w:rsidR="006F1009" w:rsidRDefault="00A24FC5" w:rsidP="00586F18">
      <w:pPr>
        <w:pStyle w:val="Prrafodelista"/>
        <w:numPr>
          <w:ilvl w:val="0"/>
          <w:numId w:val="11"/>
        </w:numPr>
        <w:ind w:left="426" w:hanging="284"/>
        <w:jc w:val="both"/>
        <w:rPr>
          <w:rFonts w:ascii="Arial" w:hAnsi="Arial" w:cs="Arial"/>
          <w:color w:val="000000"/>
          <w:sz w:val="24"/>
          <w:szCs w:val="24"/>
        </w:rPr>
      </w:pPr>
      <w:r w:rsidRPr="00586F18">
        <w:rPr>
          <w:rFonts w:ascii="Arial" w:hAnsi="Arial" w:cs="Arial"/>
          <w:color w:val="000000"/>
          <w:sz w:val="24"/>
          <w:szCs w:val="24"/>
        </w:rPr>
        <w:t>¿Se debe considerar migrar al Sistema Electrónico la información de registros de CSE y de matrices de enrutamiento?</w:t>
      </w:r>
    </w:p>
    <w:p w14:paraId="3875EA16" w14:textId="1EA20D4F" w:rsidR="00B25C4B" w:rsidRDefault="00B25C4B" w:rsidP="00B25C4B">
      <w:pPr>
        <w:pStyle w:val="Prrafodelista"/>
        <w:ind w:left="426"/>
        <w:jc w:val="both"/>
        <w:rPr>
          <w:rFonts w:ascii="Arial" w:hAnsi="Arial" w:cs="Arial"/>
          <w:color w:val="000000"/>
          <w:sz w:val="24"/>
          <w:szCs w:val="24"/>
        </w:rPr>
      </w:pPr>
    </w:p>
    <w:p w14:paraId="49E555D5" w14:textId="09E07E46" w:rsidR="00B25C4B" w:rsidRDefault="00AB1B24" w:rsidP="00B25C4B">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B25C4B" w:rsidRPr="00B25C4B">
        <w:rPr>
          <w:rFonts w:ascii="Arial" w:hAnsi="Arial" w:cs="Arial"/>
          <w:b/>
          <w:color w:val="000000"/>
          <w:sz w:val="24"/>
          <w:szCs w:val="24"/>
        </w:rPr>
        <w:t>Sí.</w:t>
      </w:r>
    </w:p>
    <w:p w14:paraId="26E0B693" w14:textId="77777777" w:rsidR="00B25C4B" w:rsidRPr="00B25C4B" w:rsidRDefault="00B25C4B" w:rsidP="00B25C4B">
      <w:pPr>
        <w:pStyle w:val="Prrafodelista"/>
        <w:ind w:left="426"/>
        <w:jc w:val="both"/>
        <w:rPr>
          <w:rFonts w:ascii="Arial" w:hAnsi="Arial" w:cs="Arial"/>
          <w:b/>
          <w:color w:val="000000"/>
          <w:sz w:val="24"/>
          <w:szCs w:val="24"/>
        </w:rPr>
      </w:pPr>
    </w:p>
    <w:p w14:paraId="46074B81" w14:textId="54D36962" w:rsidR="006F1009" w:rsidRPr="005672FD" w:rsidRDefault="00B25C4B" w:rsidP="00B25C4B">
      <w:pPr>
        <w:pStyle w:val="Prrafodelista"/>
        <w:numPr>
          <w:ilvl w:val="0"/>
          <w:numId w:val="11"/>
        </w:numPr>
        <w:ind w:left="426" w:hanging="284"/>
        <w:jc w:val="both"/>
        <w:rPr>
          <w:rFonts w:ascii="Arial" w:hAnsi="Arial" w:cs="Arial"/>
          <w:color w:val="000000"/>
          <w:sz w:val="24"/>
          <w:szCs w:val="24"/>
        </w:rPr>
      </w:pPr>
      <w:r w:rsidRPr="005672FD">
        <w:rPr>
          <w:rFonts w:ascii="Arial" w:hAnsi="Arial" w:cs="Arial"/>
          <w:color w:val="000000"/>
          <w:sz w:val="24"/>
          <w:szCs w:val="24"/>
        </w:rPr>
        <w:t>¿</w:t>
      </w:r>
      <w:r w:rsidR="005672FD" w:rsidRPr="005672FD">
        <w:rPr>
          <w:rFonts w:ascii="Arial" w:hAnsi="Arial" w:cs="Arial"/>
          <w:color w:val="000000"/>
          <w:sz w:val="24"/>
          <w:szCs w:val="24"/>
        </w:rPr>
        <w:t xml:space="preserve">El procedimiento de integración de códigos IDO/IDD </w:t>
      </w:r>
      <w:r w:rsidRPr="005672FD">
        <w:rPr>
          <w:rFonts w:ascii="Arial" w:hAnsi="Arial" w:cs="Arial"/>
          <w:color w:val="000000"/>
          <w:sz w:val="24"/>
          <w:szCs w:val="24"/>
        </w:rPr>
        <w:t>es un proceso a automatizar en el SNS actual, en el sistema electrónico o bien, será un proceso manual?</w:t>
      </w:r>
    </w:p>
    <w:p w14:paraId="6C135629" w14:textId="66C53444" w:rsidR="00B25C4B" w:rsidRPr="008640A8" w:rsidRDefault="00AB1B24" w:rsidP="00B25C4B">
      <w:pPr>
        <w:ind w:left="426"/>
        <w:jc w:val="both"/>
        <w:rPr>
          <w:rFonts w:ascii="Arial" w:hAnsi="Arial" w:cs="Arial"/>
          <w:b/>
          <w:color w:val="000000"/>
          <w:sz w:val="24"/>
          <w:szCs w:val="24"/>
        </w:rPr>
      </w:pPr>
      <w:r>
        <w:rPr>
          <w:rFonts w:ascii="Arial" w:hAnsi="Arial" w:cs="Arial"/>
          <w:b/>
          <w:color w:val="000000"/>
          <w:sz w:val="24"/>
          <w:szCs w:val="24"/>
        </w:rPr>
        <w:t xml:space="preserve">RESPUESTA: </w:t>
      </w:r>
      <w:r w:rsidR="00B25C4B" w:rsidRPr="00B25C4B">
        <w:rPr>
          <w:rFonts w:ascii="Arial" w:hAnsi="Arial" w:cs="Arial"/>
          <w:b/>
          <w:color w:val="000000"/>
          <w:sz w:val="24"/>
          <w:szCs w:val="24"/>
        </w:rPr>
        <w:t xml:space="preserve">Este procedimiento se lleva a cabo manualmente en el SNS actual y será </w:t>
      </w:r>
      <w:r w:rsidR="00B25C4B" w:rsidRPr="008640A8">
        <w:rPr>
          <w:rFonts w:ascii="Arial" w:hAnsi="Arial" w:cs="Arial"/>
          <w:b/>
          <w:color w:val="000000"/>
          <w:sz w:val="24"/>
          <w:szCs w:val="24"/>
        </w:rPr>
        <w:t>incorporado en el Sistema Electrónico.</w:t>
      </w:r>
    </w:p>
    <w:p w14:paraId="018A1927" w14:textId="4AAC2E6F" w:rsidR="00B25C4B" w:rsidRDefault="00BB047C" w:rsidP="008640A8">
      <w:pPr>
        <w:pStyle w:val="Prrafodelista"/>
        <w:numPr>
          <w:ilvl w:val="0"/>
          <w:numId w:val="11"/>
        </w:numPr>
        <w:ind w:left="426" w:hanging="284"/>
        <w:jc w:val="both"/>
        <w:rPr>
          <w:rFonts w:ascii="Arial" w:hAnsi="Arial" w:cs="Arial"/>
          <w:color w:val="000000"/>
          <w:sz w:val="24"/>
          <w:szCs w:val="24"/>
        </w:rPr>
      </w:pPr>
      <w:r w:rsidRPr="008640A8">
        <w:rPr>
          <w:rFonts w:ascii="Arial" w:hAnsi="Arial" w:cs="Arial"/>
          <w:color w:val="000000"/>
          <w:sz w:val="24"/>
          <w:szCs w:val="24"/>
        </w:rPr>
        <w:t>¿La asignación de la totalidad del rango completo del IMSI se hará de manera manual o automatizada?</w:t>
      </w:r>
    </w:p>
    <w:p w14:paraId="4A7E41E6" w14:textId="68B2EBC5" w:rsidR="008640A8" w:rsidRDefault="008640A8" w:rsidP="008640A8">
      <w:pPr>
        <w:pStyle w:val="Prrafodelista"/>
        <w:ind w:left="426"/>
        <w:jc w:val="both"/>
        <w:rPr>
          <w:rFonts w:ascii="Arial" w:hAnsi="Arial" w:cs="Arial"/>
          <w:color w:val="000000"/>
          <w:sz w:val="24"/>
          <w:szCs w:val="24"/>
        </w:rPr>
      </w:pPr>
    </w:p>
    <w:p w14:paraId="330BCEE4" w14:textId="76100FCE" w:rsidR="008640A8" w:rsidRDefault="00AB1B24" w:rsidP="008640A8">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8640A8" w:rsidRPr="008640A8">
        <w:rPr>
          <w:rFonts w:ascii="Arial" w:hAnsi="Arial" w:cs="Arial"/>
          <w:b/>
          <w:color w:val="000000"/>
          <w:sz w:val="24"/>
          <w:szCs w:val="24"/>
        </w:rPr>
        <w:t>La asignación se realizará de forma manual.</w:t>
      </w:r>
    </w:p>
    <w:p w14:paraId="0506B9E1" w14:textId="6E158E3B" w:rsidR="003E0925" w:rsidRDefault="003E0925" w:rsidP="008640A8">
      <w:pPr>
        <w:pStyle w:val="Prrafodelista"/>
        <w:ind w:left="426"/>
        <w:jc w:val="both"/>
        <w:rPr>
          <w:rFonts w:ascii="Arial" w:hAnsi="Arial" w:cs="Arial"/>
          <w:b/>
          <w:color w:val="000000"/>
          <w:sz w:val="24"/>
          <w:szCs w:val="24"/>
        </w:rPr>
      </w:pPr>
    </w:p>
    <w:p w14:paraId="4BFE4EB1" w14:textId="0506F595" w:rsidR="003E0925" w:rsidRPr="00A07491" w:rsidRDefault="003E0925" w:rsidP="00A07491">
      <w:pPr>
        <w:pStyle w:val="Prrafodelista"/>
        <w:numPr>
          <w:ilvl w:val="0"/>
          <w:numId w:val="11"/>
        </w:numPr>
        <w:ind w:left="426" w:hanging="284"/>
        <w:jc w:val="both"/>
        <w:rPr>
          <w:rFonts w:ascii="Arial" w:hAnsi="Arial" w:cs="Arial"/>
          <w:color w:val="000000"/>
          <w:sz w:val="24"/>
          <w:szCs w:val="24"/>
        </w:rPr>
      </w:pPr>
      <w:r w:rsidRPr="00A07491">
        <w:rPr>
          <w:rFonts w:ascii="Arial" w:hAnsi="Arial" w:cs="Arial"/>
          <w:color w:val="000000"/>
          <w:sz w:val="24"/>
          <w:szCs w:val="24"/>
        </w:rPr>
        <w:t xml:space="preserve">¿El procedimiento que se </w:t>
      </w:r>
      <w:r w:rsidR="00A07491" w:rsidRPr="00A07491">
        <w:rPr>
          <w:rFonts w:ascii="Arial" w:hAnsi="Arial" w:cs="Arial"/>
          <w:color w:val="000000"/>
          <w:sz w:val="24"/>
          <w:szCs w:val="24"/>
        </w:rPr>
        <w:t xml:space="preserve">establezca para resolver la problemática que se presenta como resultado de la compartición del mismo código de servicio especiales dentro de la misma área geográfica </w:t>
      </w:r>
      <w:r w:rsidRPr="00A07491">
        <w:rPr>
          <w:rFonts w:ascii="Arial" w:hAnsi="Arial" w:cs="Arial"/>
          <w:color w:val="000000"/>
          <w:sz w:val="24"/>
          <w:szCs w:val="24"/>
        </w:rPr>
        <w:t>formará parte de alguno de los dos alcances? En caso afirmativo, ¿Cuál?</w:t>
      </w:r>
    </w:p>
    <w:p w14:paraId="77080634" w14:textId="09E2F81F" w:rsidR="00A07491" w:rsidRDefault="00A07491" w:rsidP="008640A8">
      <w:pPr>
        <w:pStyle w:val="Prrafodelista"/>
        <w:ind w:left="426"/>
        <w:jc w:val="both"/>
        <w:rPr>
          <w:rFonts w:ascii="Arial" w:hAnsi="Arial" w:cs="Arial"/>
          <w:b/>
          <w:color w:val="000000"/>
          <w:sz w:val="24"/>
          <w:szCs w:val="24"/>
        </w:rPr>
      </w:pPr>
    </w:p>
    <w:p w14:paraId="63558138" w14:textId="2FB64FA6" w:rsidR="00A07491" w:rsidRDefault="00AB1B24" w:rsidP="008640A8">
      <w:pPr>
        <w:pStyle w:val="Prrafodelista"/>
        <w:ind w:left="426"/>
        <w:jc w:val="both"/>
        <w:rPr>
          <w:rFonts w:ascii="Arial" w:hAnsi="Arial" w:cs="Arial"/>
          <w:b/>
          <w:color w:val="000000"/>
          <w:sz w:val="24"/>
          <w:szCs w:val="24"/>
        </w:rPr>
      </w:pPr>
      <w:r>
        <w:rPr>
          <w:rFonts w:ascii="Arial" w:hAnsi="Arial" w:cs="Arial"/>
          <w:b/>
          <w:color w:val="000000"/>
          <w:sz w:val="24"/>
          <w:szCs w:val="24"/>
        </w:rPr>
        <w:t xml:space="preserve">RESPUESTA: </w:t>
      </w:r>
      <w:r w:rsidR="00A07491" w:rsidRPr="00A07491">
        <w:rPr>
          <w:rFonts w:ascii="Arial" w:hAnsi="Arial" w:cs="Arial"/>
          <w:b/>
          <w:color w:val="000000"/>
          <w:sz w:val="24"/>
          <w:szCs w:val="24"/>
        </w:rPr>
        <w:t>El procedimiento señalado no forma parte d</w:t>
      </w:r>
      <w:r w:rsidR="00F507CA">
        <w:rPr>
          <w:rFonts w:ascii="Arial" w:hAnsi="Arial" w:cs="Arial"/>
          <w:b/>
          <w:color w:val="000000"/>
          <w:sz w:val="24"/>
          <w:szCs w:val="24"/>
        </w:rPr>
        <w:t xml:space="preserve">el </w:t>
      </w:r>
      <w:r>
        <w:rPr>
          <w:rFonts w:ascii="Arial" w:hAnsi="Arial" w:cs="Arial"/>
          <w:b/>
          <w:color w:val="000000"/>
          <w:sz w:val="24"/>
          <w:szCs w:val="24"/>
        </w:rPr>
        <w:t>A</w:t>
      </w:r>
      <w:r w:rsidR="00F507CA">
        <w:rPr>
          <w:rFonts w:ascii="Arial" w:hAnsi="Arial" w:cs="Arial"/>
          <w:b/>
          <w:color w:val="000000"/>
          <w:sz w:val="24"/>
          <w:szCs w:val="24"/>
        </w:rPr>
        <w:t>nteproyecto ni de</w:t>
      </w:r>
      <w:r w:rsidR="00A07491" w:rsidRPr="00A07491">
        <w:rPr>
          <w:rFonts w:ascii="Arial" w:hAnsi="Arial" w:cs="Arial"/>
          <w:b/>
          <w:color w:val="000000"/>
          <w:sz w:val="24"/>
          <w:szCs w:val="24"/>
        </w:rPr>
        <w:t xml:space="preserve">l </w:t>
      </w:r>
      <w:r w:rsidR="00A07491">
        <w:rPr>
          <w:rFonts w:ascii="Arial" w:hAnsi="Arial" w:cs="Arial"/>
          <w:b/>
          <w:color w:val="000000"/>
          <w:sz w:val="24"/>
          <w:szCs w:val="24"/>
        </w:rPr>
        <w:t>PTFN</w:t>
      </w:r>
      <w:r w:rsidR="00A07491" w:rsidRPr="00A07491">
        <w:rPr>
          <w:rFonts w:ascii="Arial" w:hAnsi="Arial" w:cs="Arial"/>
          <w:b/>
          <w:color w:val="000000"/>
          <w:sz w:val="24"/>
          <w:szCs w:val="24"/>
        </w:rPr>
        <w:t xml:space="preserve"> publicado en el </w:t>
      </w:r>
      <w:r>
        <w:rPr>
          <w:rFonts w:ascii="Arial" w:hAnsi="Arial" w:cs="Arial"/>
          <w:b/>
          <w:color w:val="000000"/>
          <w:sz w:val="24"/>
          <w:szCs w:val="24"/>
        </w:rPr>
        <w:t xml:space="preserve">DOF el </w:t>
      </w:r>
      <w:r w:rsidR="00A07491" w:rsidRPr="00A07491">
        <w:rPr>
          <w:rFonts w:ascii="Arial" w:hAnsi="Arial" w:cs="Arial"/>
          <w:b/>
          <w:color w:val="000000"/>
          <w:sz w:val="24"/>
          <w:szCs w:val="24"/>
        </w:rPr>
        <w:t>11 de mayo de 2018.</w:t>
      </w:r>
    </w:p>
    <w:p w14:paraId="09819BFD" w14:textId="1712FC82" w:rsidR="00C05E61" w:rsidRPr="00C05E61" w:rsidRDefault="00C05E61" w:rsidP="00C05E61">
      <w:pPr>
        <w:jc w:val="both"/>
        <w:rPr>
          <w:rFonts w:ascii="Arial" w:hAnsi="Arial" w:cs="Arial"/>
          <w:color w:val="000000"/>
          <w:sz w:val="24"/>
          <w:szCs w:val="24"/>
        </w:rPr>
      </w:pPr>
      <w:r w:rsidRPr="00C05E61">
        <w:rPr>
          <w:rFonts w:ascii="Arial" w:hAnsi="Arial" w:cs="Arial"/>
          <w:color w:val="000000"/>
          <w:sz w:val="24"/>
          <w:szCs w:val="24"/>
        </w:rPr>
        <w:t>Telcel:</w:t>
      </w:r>
    </w:p>
    <w:p w14:paraId="4DDCCBDB" w14:textId="4E6DD5FA" w:rsidR="0061461B" w:rsidRDefault="0061461B" w:rsidP="0061461B">
      <w:pPr>
        <w:pStyle w:val="Prrafodelista"/>
        <w:numPr>
          <w:ilvl w:val="0"/>
          <w:numId w:val="11"/>
        </w:numPr>
        <w:ind w:left="426" w:hanging="284"/>
        <w:jc w:val="both"/>
        <w:rPr>
          <w:rFonts w:ascii="Arial" w:hAnsi="Arial" w:cs="Arial"/>
          <w:color w:val="000000"/>
          <w:sz w:val="24"/>
          <w:szCs w:val="24"/>
        </w:rPr>
      </w:pPr>
      <w:r w:rsidRPr="0061461B">
        <w:rPr>
          <w:rFonts w:ascii="Arial" w:hAnsi="Arial" w:cs="Arial"/>
          <w:color w:val="000000"/>
          <w:sz w:val="24"/>
          <w:szCs w:val="24"/>
        </w:rPr>
        <w:t>Se solicita a este Instituto definir con precisión los campos que deberán contener la o las Bases de Datos de referencia. También se solicita mantener en estos campos la referencia a las Áreas de Servicio Local (ASL), con el propósito de agrupar geográficamente a determinadas poblaciones dentro de las Zonas definidas por el Instituto.</w:t>
      </w:r>
    </w:p>
    <w:p w14:paraId="66B6ADFC" w14:textId="77777777" w:rsidR="00C05E61" w:rsidRDefault="00C05E61" w:rsidP="00C05E61">
      <w:pPr>
        <w:pStyle w:val="Prrafodelista"/>
        <w:ind w:left="426"/>
        <w:jc w:val="both"/>
        <w:rPr>
          <w:rFonts w:ascii="Arial" w:hAnsi="Arial" w:cs="Arial"/>
          <w:color w:val="000000"/>
          <w:sz w:val="24"/>
          <w:szCs w:val="24"/>
        </w:rPr>
      </w:pPr>
    </w:p>
    <w:p w14:paraId="7B8FAF9C" w14:textId="091C1223" w:rsidR="0061461B" w:rsidRDefault="0061461B" w:rsidP="00C05E61">
      <w:pPr>
        <w:pStyle w:val="Prrafodelista"/>
        <w:numPr>
          <w:ilvl w:val="0"/>
          <w:numId w:val="11"/>
        </w:numPr>
        <w:ind w:left="426" w:hanging="284"/>
        <w:jc w:val="both"/>
        <w:rPr>
          <w:rFonts w:ascii="Arial" w:hAnsi="Arial" w:cs="Arial"/>
          <w:color w:val="000000"/>
          <w:sz w:val="24"/>
          <w:szCs w:val="24"/>
        </w:rPr>
      </w:pPr>
      <w:r>
        <w:rPr>
          <w:rFonts w:ascii="Arial" w:hAnsi="Arial" w:cs="Arial"/>
          <w:color w:val="000000"/>
          <w:sz w:val="24"/>
          <w:szCs w:val="24"/>
        </w:rPr>
        <w:t>S</w:t>
      </w:r>
      <w:r w:rsidRPr="0061461B">
        <w:rPr>
          <w:rFonts w:ascii="Arial" w:hAnsi="Arial" w:cs="Arial"/>
          <w:color w:val="000000"/>
          <w:sz w:val="24"/>
          <w:szCs w:val="24"/>
        </w:rPr>
        <w:t>e solicita al Instituto que no elimine del Plan Nacional de Numeración el registro histórico y continúen utilizándose las ASL.</w:t>
      </w:r>
    </w:p>
    <w:p w14:paraId="14F07436" w14:textId="77777777" w:rsidR="00C05E61" w:rsidRPr="0061461B" w:rsidRDefault="00C05E61" w:rsidP="00C05E61">
      <w:pPr>
        <w:pStyle w:val="Prrafodelista"/>
        <w:ind w:left="426" w:hanging="284"/>
        <w:jc w:val="both"/>
        <w:rPr>
          <w:rFonts w:ascii="Arial" w:hAnsi="Arial" w:cs="Arial"/>
          <w:color w:val="000000"/>
          <w:sz w:val="24"/>
          <w:szCs w:val="24"/>
        </w:rPr>
      </w:pPr>
    </w:p>
    <w:p w14:paraId="0CFEBC6F" w14:textId="19CD1F98" w:rsidR="00A07491" w:rsidRPr="00C05E61" w:rsidRDefault="00C05E61" w:rsidP="00C05E61">
      <w:pPr>
        <w:pStyle w:val="Prrafodelista"/>
        <w:numPr>
          <w:ilvl w:val="0"/>
          <w:numId w:val="11"/>
        </w:numPr>
        <w:ind w:left="426" w:hanging="284"/>
        <w:jc w:val="both"/>
        <w:rPr>
          <w:rFonts w:ascii="Arial" w:hAnsi="Arial" w:cs="Arial"/>
          <w:color w:val="000000"/>
          <w:sz w:val="24"/>
          <w:szCs w:val="24"/>
        </w:rPr>
      </w:pPr>
      <w:r w:rsidRPr="00C05E61">
        <w:rPr>
          <w:rFonts w:ascii="Arial" w:hAnsi="Arial" w:cs="Arial"/>
          <w:color w:val="000000"/>
          <w:sz w:val="24"/>
          <w:szCs w:val="24"/>
        </w:rPr>
        <w:lastRenderedPageBreak/>
        <w:t>S</w:t>
      </w:r>
      <w:r w:rsidR="00A07491" w:rsidRPr="00C05E61">
        <w:rPr>
          <w:rFonts w:ascii="Arial" w:hAnsi="Arial" w:cs="Arial"/>
          <w:color w:val="000000"/>
          <w:sz w:val="24"/>
          <w:szCs w:val="24"/>
        </w:rPr>
        <w:t>e solicita al Instituto que no elimine del Plan Nacional de Numeración el registro histórico y continúen utilizándose las ASL.</w:t>
      </w:r>
    </w:p>
    <w:p w14:paraId="2C5A8FB7" w14:textId="73EA3CE7" w:rsidR="0061461B" w:rsidRPr="0061461B" w:rsidRDefault="00C05E61" w:rsidP="0061461B">
      <w:pPr>
        <w:ind w:left="426"/>
        <w:jc w:val="both"/>
        <w:rPr>
          <w:rFonts w:ascii="Arial" w:hAnsi="Arial" w:cs="Arial"/>
          <w:b/>
          <w:color w:val="000000"/>
          <w:sz w:val="24"/>
          <w:szCs w:val="24"/>
        </w:rPr>
      </w:pPr>
      <w:r>
        <w:rPr>
          <w:rFonts w:ascii="Arial" w:hAnsi="Arial" w:cs="Arial"/>
          <w:b/>
          <w:color w:val="000000"/>
          <w:sz w:val="24"/>
          <w:szCs w:val="24"/>
        </w:rPr>
        <w:t xml:space="preserve">RESPUESTA: </w:t>
      </w:r>
      <w:r w:rsidR="0061461B" w:rsidRPr="0061461B">
        <w:rPr>
          <w:rFonts w:ascii="Arial" w:hAnsi="Arial" w:cs="Arial"/>
          <w:b/>
          <w:color w:val="000000"/>
          <w:sz w:val="24"/>
          <w:szCs w:val="24"/>
        </w:rPr>
        <w:t xml:space="preserve">Los principales campos que contendrán las bases de datos que conformarán el Sistema Electrónico son los que se </w:t>
      </w:r>
      <w:r w:rsidR="0061461B">
        <w:rPr>
          <w:rFonts w:ascii="Arial" w:hAnsi="Arial" w:cs="Arial"/>
          <w:b/>
          <w:color w:val="000000"/>
          <w:sz w:val="24"/>
          <w:szCs w:val="24"/>
        </w:rPr>
        <w:t>indican</w:t>
      </w:r>
      <w:r w:rsidR="0061461B" w:rsidRPr="0061461B">
        <w:rPr>
          <w:rFonts w:ascii="Arial" w:hAnsi="Arial" w:cs="Arial"/>
          <w:b/>
          <w:color w:val="000000"/>
          <w:sz w:val="24"/>
          <w:szCs w:val="24"/>
        </w:rPr>
        <w:t xml:space="preserve"> en los formatos aplicables a cada uno de los procedimientos electrónicos establecidos en los planes técnicos fundamentales de numeración y señalización.</w:t>
      </w:r>
    </w:p>
    <w:p w14:paraId="1BD8087D" w14:textId="4513FC4D" w:rsidR="008640A8" w:rsidRDefault="0061461B" w:rsidP="00A07491">
      <w:pPr>
        <w:ind w:left="426"/>
        <w:jc w:val="both"/>
        <w:rPr>
          <w:rFonts w:ascii="Arial" w:hAnsi="Arial" w:cs="Arial"/>
          <w:b/>
          <w:color w:val="000000"/>
          <w:sz w:val="24"/>
          <w:szCs w:val="24"/>
        </w:rPr>
      </w:pPr>
      <w:r w:rsidRPr="0061461B">
        <w:rPr>
          <w:rFonts w:ascii="Arial" w:hAnsi="Arial" w:cs="Arial"/>
          <w:b/>
          <w:color w:val="000000"/>
          <w:sz w:val="24"/>
          <w:szCs w:val="24"/>
        </w:rPr>
        <w:t xml:space="preserve">Por otra parte, el campo correspondiente al ASL </w:t>
      </w:r>
      <w:r w:rsidR="00B63464" w:rsidRPr="0061461B">
        <w:rPr>
          <w:rFonts w:ascii="Arial" w:hAnsi="Arial" w:cs="Arial"/>
          <w:b/>
          <w:color w:val="000000"/>
          <w:sz w:val="24"/>
          <w:szCs w:val="24"/>
        </w:rPr>
        <w:t xml:space="preserve">no será incluido </w:t>
      </w:r>
      <w:r w:rsidRPr="0061461B">
        <w:rPr>
          <w:rFonts w:ascii="Arial" w:hAnsi="Arial" w:cs="Arial"/>
          <w:b/>
          <w:color w:val="000000"/>
          <w:sz w:val="24"/>
          <w:szCs w:val="24"/>
        </w:rPr>
        <w:t>en el nuevo Plan Nacional de Numeración que se publique a partir de febrero de 2022</w:t>
      </w:r>
      <w:r w:rsidR="00B63464">
        <w:rPr>
          <w:rFonts w:ascii="Arial" w:hAnsi="Arial" w:cs="Arial"/>
          <w:b/>
          <w:color w:val="000000"/>
          <w:sz w:val="24"/>
          <w:szCs w:val="24"/>
        </w:rPr>
        <w:t>. Lo anterior</w:t>
      </w:r>
      <w:r w:rsidRPr="0061461B">
        <w:rPr>
          <w:rFonts w:ascii="Arial" w:hAnsi="Arial" w:cs="Arial"/>
          <w:b/>
          <w:color w:val="000000"/>
          <w:sz w:val="24"/>
          <w:szCs w:val="24"/>
        </w:rPr>
        <w:t xml:space="preserve"> </w:t>
      </w:r>
      <w:r>
        <w:rPr>
          <w:rFonts w:ascii="Arial" w:hAnsi="Arial" w:cs="Arial"/>
          <w:b/>
          <w:color w:val="000000"/>
          <w:sz w:val="24"/>
          <w:szCs w:val="24"/>
        </w:rPr>
        <w:t>como resultado</w:t>
      </w:r>
      <w:r w:rsidRPr="0061461B">
        <w:rPr>
          <w:rFonts w:ascii="Arial" w:hAnsi="Arial" w:cs="Arial"/>
          <w:b/>
          <w:color w:val="000000"/>
          <w:sz w:val="24"/>
          <w:szCs w:val="24"/>
        </w:rPr>
        <w:t xml:space="preserve"> </w:t>
      </w:r>
      <w:r>
        <w:rPr>
          <w:rFonts w:ascii="Arial" w:hAnsi="Arial" w:cs="Arial"/>
          <w:b/>
          <w:color w:val="000000"/>
          <w:sz w:val="24"/>
          <w:szCs w:val="24"/>
        </w:rPr>
        <w:t>de</w:t>
      </w:r>
      <w:r w:rsidRPr="0061461B">
        <w:rPr>
          <w:rFonts w:ascii="Arial" w:hAnsi="Arial" w:cs="Arial"/>
          <w:b/>
          <w:color w:val="000000"/>
          <w:sz w:val="24"/>
          <w:szCs w:val="24"/>
        </w:rPr>
        <w:t xml:space="preserve">l agrupamiento de </w:t>
      </w:r>
      <w:r>
        <w:rPr>
          <w:rFonts w:ascii="Arial" w:hAnsi="Arial" w:cs="Arial"/>
          <w:b/>
          <w:color w:val="000000"/>
          <w:sz w:val="24"/>
          <w:szCs w:val="24"/>
        </w:rPr>
        <w:t>estas</w:t>
      </w:r>
      <w:r w:rsidRPr="0061461B">
        <w:rPr>
          <w:rFonts w:ascii="Arial" w:hAnsi="Arial" w:cs="Arial"/>
          <w:b/>
          <w:color w:val="000000"/>
          <w:sz w:val="24"/>
          <w:szCs w:val="24"/>
        </w:rPr>
        <w:t xml:space="preserve"> áreas geográficas </w:t>
      </w:r>
      <w:r w:rsidR="00C05E61" w:rsidRPr="0061461B">
        <w:rPr>
          <w:rFonts w:ascii="Arial" w:hAnsi="Arial" w:cs="Arial"/>
          <w:b/>
          <w:color w:val="000000"/>
          <w:sz w:val="24"/>
          <w:szCs w:val="24"/>
        </w:rPr>
        <w:t xml:space="preserve">en zonas </w:t>
      </w:r>
      <w:r w:rsidRPr="0061461B">
        <w:rPr>
          <w:rFonts w:ascii="Arial" w:hAnsi="Arial" w:cs="Arial"/>
          <w:b/>
          <w:color w:val="000000"/>
          <w:sz w:val="24"/>
          <w:szCs w:val="24"/>
        </w:rPr>
        <w:t xml:space="preserve">para la administración de la numeración </w:t>
      </w:r>
      <w:r>
        <w:rPr>
          <w:rFonts w:ascii="Arial" w:hAnsi="Arial" w:cs="Arial"/>
          <w:b/>
          <w:color w:val="000000"/>
          <w:sz w:val="24"/>
          <w:szCs w:val="24"/>
        </w:rPr>
        <w:t>nacional</w:t>
      </w:r>
      <w:r w:rsidRPr="0061461B">
        <w:rPr>
          <w:rFonts w:ascii="Arial" w:hAnsi="Arial" w:cs="Arial"/>
          <w:b/>
          <w:color w:val="000000"/>
          <w:sz w:val="24"/>
          <w:szCs w:val="24"/>
        </w:rPr>
        <w:t>.</w:t>
      </w:r>
    </w:p>
    <w:p w14:paraId="07FC34B8" w14:textId="282BF68C" w:rsidR="00A07491" w:rsidRDefault="00A07491" w:rsidP="00845D35">
      <w:pPr>
        <w:pStyle w:val="Prrafodelista"/>
        <w:numPr>
          <w:ilvl w:val="0"/>
          <w:numId w:val="2"/>
        </w:numPr>
        <w:ind w:left="426" w:hanging="426"/>
        <w:jc w:val="both"/>
        <w:rPr>
          <w:rFonts w:ascii="Arial" w:hAnsi="Arial" w:cs="Arial"/>
          <w:b/>
          <w:color w:val="000000"/>
          <w:sz w:val="24"/>
          <w:szCs w:val="24"/>
        </w:rPr>
      </w:pPr>
      <w:r>
        <w:rPr>
          <w:rFonts w:ascii="Arial" w:hAnsi="Arial" w:cs="Arial"/>
          <w:b/>
          <w:color w:val="000000"/>
          <w:sz w:val="24"/>
          <w:szCs w:val="24"/>
        </w:rPr>
        <w:t>PORCENTAJE DE UTILIZACIÓN DE NUMERACIÓN NACIONAL</w:t>
      </w:r>
    </w:p>
    <w:p w14:paraId="416C946A" w14:textId="7D8681D8" w:rsidR="00A07491" w:rsidRDefault="00A07491" w:rsidP="00A07491">
      <w:pPr>
        <w:pStyle w:val="Prrafodelista"/>
        <w:jc w:val="both"/>
        <w:rPr>
          <w:rFonts w:ascii="Arial" w:hAnsi="Arial" w:cs="Arial"/>
          <w:b/>
          <w:color w:val="000000"/>
          <w:sz w:val="24"/>
          <w:szCs w:val="24"/>
        </w:rPr>
      </w:pPr>
    </w:p>
    <w:p w14:paraId="2C30256B" w14:textId="6C347A76" w:rsidR="00A07491" w:rsidRPr="00C92E33" w:rsidRDefault="00845D35" w:rsidP="005672FD">
      <w:pPr>
        <w:pStyle w:val="Prrafodelista"/>
        <w:ind w:left="0"/>
        <w:jc w:val="both"/>
        <w:rPr>
          <w:rFonts w:ascii="Arial" w:hAnsi="Arial" w:cs="Arial"/>
          <w:color w:val="000000"/>
          <w:sz w:val="24"/>
          <w:szCs w:val="24"/>
        </w:rPr>
      </w:pPr>
      <w:r w:rsidRPr="00C92E33">
        <w:rPr>
          <w:rFonts w:ascii="Arial" w:hAnsi="Arial" w:cs="Arial"/>
          <w:color w:val="000000"/>
          <w:sz w:val="24"/>
          <w:szCs w:val="24"/>
        </w:rPr>
        <w:t xml:space="preserve">Grupo AT&amp;T propone que se </w:t>
      </w:r>
      <w:r w:rsidR="00C92E33" w:rsidRPr="00C92E33">
        <w:rPr>
          <w:rFonts w:ascii="Arial" w:hAnsi="Arial" w:cs="Arial"/>
          <w:color w:val="000000"/>
          <w:sz w:val="24"/>
          <w:szCs w:val="24"/>
        </w:rPr>
        <w:t xml:space="preserve">reduzca </w:t>
      </w:r>
      <w:r w:rsidRPr="00C92E33">
        <w:rPr>
          <w:rFonts w:ascii="Arial" w:hAnsi="Arial" w:cs="Arial"/>
          <w:color w:val="000000"/>
          <w:sz w:val="24"/>
          <w:szCs w:val="24"/>
        </w:rPr>
        <w:t xml:space="preserve">el porcentaje de utilización </w:t>
      </w:r>
      <w:r w:rsidR="00B63464" w:rsidRPr="00C92E33">
        <w:rPr>
          <w:rFonts w:ascii="Arial" w:hAnsi="Arial" w:cs="Arial"/>
          <w:color w:val="000000"/>
          <w:sz w:val="24"/>
          <w:szCs w:val="24"/>
        </w:rPr>
        <w:t>de la numeración total que previamente haya sido asignada pa</w:t>
      </w:r>
      <w:r w:rsidR="00B63464">
        <w:rPr>
          <w:rFonts w:ascii="Arial" w:hAnsi="Arial" w:cs="Arial"/>
          <w:color w:val="000000"/>
          <w:sz w:val="24"/>
          <w:szCs w:val="24"/>
        </w:rPr>
        <w:t>ra la misma modalidad de uso,</w:t>
      </w:r>
      <w:r w:rsidR="00B63464" w:rsidRPr="00C92E33">
        <w:rPr>
          <w:rFonts w:ascii="Arial" w:hAnsi="Arial" w:cs="Arial"/>
          <w:color w:val="000000"/>
          <w:sz w:val="24"/>
          <w:szCs w:val="24"/>
        </w:rPr>
        <w:t xml:space="preserve"> </w:t>
      </w:r>
      <w:r w:rsidRPr="00C92E33">
        <w:rPr>
          <w:rFonts w:ascii="Arial" w:hAnsi="Arial" w:cs="Arial"/>
          <w:color w:val="000000"/>
          <w:sz w:val="24"/>
          <w:szCs w:val="24"/>
        </w:rPr>
        <w:t>del 85% al 50%</w:t>
      </w:r>
      <w:r w:rsidR="00C92E33" w:rsidRPr="00C92E33">
        <w:rPr>
          <w:rFonts w:ascii="Arial" w:hAnsi="Arial" w:cs="Arial"/>
          <w:color w:val="000000"/>
          <w:sz w:val="24"/>
          <w:szCs w:val="24"/>
        </w:rPr>
        <w:t>.</w:t>
      </w:r>
    </w:p>
    <w:p w14:paraId="10609D15" w14:textId="40324249" w:rsidR="006F1009" w:rsidRDefault="006F1009" w:rsidP="005672FD">
      <w:pPr>
        <w:pStyle w:val="Prrafodelista"/>
        <w:ind w:left="0"/>
        <w:jc w:val="both"/>
        <w:rPr>
          <w:rFonts w:ascii="Arial" w:hAnsi="Arial" w:cs="Arial"/>
          <w:color w:val="000000"/>
          <w:sz w:val="24"/>
          <w:szCs w:val="24"/>
        </w:rPr>
      </w:pPr>
    </w:p>
    <w:p w14:paraId="6325C4E2" w14:textId="510FF599" w:rsidR="00C92E33" w:rsidRPr="00C92E33" w:rsidRDefault="00B63464" w:rsidP="005672FD">
      <w:pPr>
        <w:pStyle w:val="Prrafodelista"/>
        <w:ind w:left="0"/>
        <w:jc w:val="both"/>
        <w:rPr>
          <w:rFonts w:ascii="Arial" w:hAnsi="Arial" w:cs="Arial"/>
          <w:b/>
          <w:color w:val="000000"/>
          <w:sz w:val="24"/>
          <w:szCs w:val="24"/>
        </w:rPr>
      </w:pPr>
      <w:r>
        <w:rPr>
          <w:rFonts w:ascii="Arial" w:hAnsi="Arial" w:cs="Arial"/>
          <w:b/>
          <w:color w:val="000000"/>
          <w:sz w:val="24"/>
          <w:szCs w:val="24"/>
        </w:rPr>
        <w:t xml:space="preserve">RESPUESTA: </w:t>
      </w:r>
      <w:r w:rsidR="00C92E33" w:rsidRPr="00C92E33">
        <w:rPr>
          <w:rFonts w:ascii="Arial" w:hAnsi="Arial" w:cs="Arial"/>
          <w:b/>
          <w:color w:val="000000"/>
          <w:sz w:val="24"/>
          <w:szCs w:val="24"/>
        </w:rPr>
        <w:t xml:space="preserve">El porcentaje de utilización requerido para ser sujeto de asignaciones adicionales de numeración en una determinada zona se encuentra fuera del alcance del </w:t>
      </w:r>
      <w:r>
        <w:rPr>
          <w:rFonts w:ascii="Arial" w:hAnsi="Arial" w:cs="Arial"/>
          <w:b/>
          <w:color w:val="000000"/>
          <w:sz w:val="24"/>
          <w:szCs w:val="24"/>
        </w:rPr>
        <w:t>A</w:t>
      </w:r>
      <w:r w:rsidR="00C92E33" w:rsidRPr="00C92E33">
        <w:rPr>
          <w:rFonts w:ascii="Arial" w:hAnsi="Arial" w:cs="Arial"/>
          <w:b/>
          <w:color w:val="000000"/>
          <w:sz w:val="24"/>
          <w:szCs w:val="24"/>
        </w:rPr>
        <w:t xml:space="preserve">nteproyecto. No obstante lo anterior, se sugiere referirse al considerando cuarto, punto 4, inciso iii del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publicado en Diario Oficial de la Federación el 11 de mayo de 2018, con la finalidad de revisar los motivos por los que se determinó </w:t>
      </w:r>
      <w:r>
        <w:rPr>
          <w:rFonts w:ascii="Arial" w:hAnsi="Arial" w:cs="Arial"/>
          <w:b/>
          <w:color w:val="000000"/>
          <w:sz w:val="24"/>
          <w:szCs w:val="24"/>
        </w:rPr>
        <w:t xml:space="preserve">establecer </w:t>
      </w:r>
      <w:r w:rsidR="00C92E33" w:rsidRPr="00C92E33">
        <w:rPr>
          <w:rFonts w:ascii="Arial" w:hAnsi="Arial" w:cs="Arial"/>
          <w:b/>
          <w:color w:val="000000"/>
          <w:sz w:val="24"/>
          <w:szCs w:val="24"/>
        </w:rPr>
        <w:t>dicho porcentaje</w:t>
      </w:r>
      <w:r>
        <w:rPr>
          <w:rFonts w:ascii="Arial" w:hAnsi="Arial" w:cs="Arial"/>
          <w:b/>
          <w:color w:val="000000"/>
          <w:sz w:val="24"/>
          <w:szCs w:val="24"/>
        </w:rPr>
        <w:t xml:space="preserve"> en un 85 por ciento</w:t>
      </w:r>
      <w:r w:rsidR="00C92E33" w:rsidRPr="00C92E33">
        <w:rPr>
          <w:rFonts w:ascii="Arial" w:hAnsi="Arial" w:cs="Arial"/>
          <w:b/>
          <w:color w:val="000000"/>
          <w:sz w:val="24"/>
          <w:szCs w:val="24"/>
        </w:rPr>
        <w:t>.</w:t>
      </w:r>
    </w:p>
    <w:p w14:paraId="1DE0EB11" w14:textId="77777777" w:rsidR="006F1009" w:rsidRPr="008640A8" w:rsidRDefault="006F1009" w:rsidP="00115857">
      <w:pPr>
        <w:pStyle w:val="Prrafodelista"/>
        <w:jc w:val="both"/>
        <w:rPr>
          <w:rFonts w:ascii="Arial" w:hAnsi="Arial" w:cs="Arial"/>
          <w:color w:val="000000"/>
          <w:sz w:val="24"/>
          <w:szCs w:val="24"/>
        </w:rPr>
      </w:pPr>
    </w:p>
    <w:p w14:paraId="0F03D199" w14:textId="2EFDEFB1" w:rsidR="006F1009" w:rsidRPr="00115857" w:rsidRDefault="00115857" w:rsidP="00115857">
      <w:pPr>
        <w:pStyle w:val="Prrafodelista"/>
        <w:numPr>
          <w:ilvl w:val="0"/>
          <w:numId w:val="2"/>
        </w:numPr>
        <w:ind w:left="426" w:hanging="426"/>
        <w:jc w:val="both"/>
        <w:rPr>
          <w:rFonts w:ascii="Arial" w:hAnsi="Arial" w:cs="Arial"/>
          <w:b/>
          <w:color w:val="000000"/>
          <w:sz w:val="24"/>
          <w:szCs w:val="24"/>
        </w:rPr>
      </w:pPr>
      <w:r w:rsidRPr="00115857">
        <w:rPr>
          <w:rFonts w:ascii="Arial" w:hAnsi="Arial" w:cs="Arial"/>
          <w:b/>
          <w:color w:val="000000"/>
          <w:sz w:val="24"/>
          <w:szCs w:val="24"/>
        </w:rPr>
        <w:t>CONFIDENCIAL</w:t>
      </w:r>
      <w:r w:rsidR="00EF15E9">
        <w:rPr>
          <w:rFonts w:ascii="Arial" w:hAnsi="Arial" w:cs="Arial"/>
          <w:b/>
          <w:color w:val="000000"/>
          <w:sz w:val="24"/>
          <w:szCs w:val="24"/>
        </w:rPr>
        <w:t>IDAD DE DATOS</w:t>
      </w:r>
    </w:p>
    <w:p w14:paraId="6B507407" w14:textId="08801B05" w:rsidR="00115857" w:rsidRDefault="00115857" w:rsidP="00115857">
      <w:pPr>
        <w:pStyle w:val="Prrafodelista"/>
        <w:jc w:val="both"/>
        <w:rPr>
          <w:rFonts w:ascii="Arial" w:hAnsi="Arial" w:cs="Arial"/>
          <w:color w:val="000000"/>
          <w:sz w:val="24"/>
          <w:szCs w:val="24"/>
        </w:rPr>
      </w:pPr>
    </w:p>
    <w:p w14:paraId="359946A4" w14:textId="24428669" w:rsidR="00115857" w:rsidRPr="00115857" w:rsidRDefault="00115857" w:rsidP="005672FD">
      <w:pPr>
        <w:pStyle w:val="Prrafodelista"/>
        <w:ind w:left="0"/>
        <w:jc w:val="both"/>
        <w:rPr>
          <w:rFonts w:ascii="Arial" w:hAnsi="Arial" w:cs="Arial"/>
          <w:color w:val="000000"/>
          <w:sz w:val="24"/>
          <w:szCs w:val="24"/>
        </w:rPr>
      </w:pPr>
      <w:r>
        <w:rPr>
          <w:rFonts w:ascii="Arial" w:hAnsi="Arial" w:cs="Arial"/>
          <w:color w:val="000000"/>
          <w:sz w:val="24"/>
          <w:szCs w:val="24"/>
        </w:rPr>
        <w:t>Grupo AT&amp;T sugiere que p</w:t>
      </w:r>
      <w:r w:rsidRPr="00115857">
        <w:rPr>
          <w:rFonts w:ascii="Arial" w:hAnsi="Arial" w:cs="Arial"/>
          <w:color w:val="000000"/>
          <w:sz w:val="24"/>
          <w:szCs w:val="24"/>
        </w:rPr>
        <w:t xml:space="preserve">or temas de confidencialidad y seguridad de las redes, se haga pública solamente la asignación de </w:t>
      </w:r>
      <w:r w:rsidR="00B83633">
        <w:rPr>
          <w:rFonts w:ascii="Arial" w:hAnsi="Arial" w:cs="Arial"/>
          <w:color w:val="000000"/>
          <w:sz w:val="24"/>
          <w:szCs w:val="24"/>
        </w:rPr>
        <w:t>códigos de punto de señalización, así como</w:t>
      </w:r>
      <w:r w:rsidRPr="00115857">
        <w:rPr>
          <w:rFonts w:ascii="Arial" w:hAnsi="Arial" w:cs="Arial"/>
          <w:color w:val="000000"/>
          <w:sz w:val="24"/>
          <w:szCs w:val="24"/>
        </w:rPr>
        <w:t xml:space="preserve"> el nombre del operador y se reserve como confidencial el resto de la información que no es necesaria para ningún propósito operativo. </w:t>
      </w:r>
    </w:p>
    <w:p w14:paraId="62D7E73D" w14:textId="44C11E9E" w:rsidR="006F1009" w:rsidRDefault="00B83633" w:rsidP="005672FD">
      <w:pPr>
        <w:jc w:val="both"/>
        <w:rPr>
          <w:rFonts w:ascii="Arial" w:hAnsi="Arial" w:cs="Arial"/>
          <w:b/>
          <w:color w:val="000000"/>
          <w:sz w:val="24"/>
          <w:szCs w:val="24"/>
        </w:rPr>
      </w:pPr>
      <w:r>
        <w:rPr>
          <w:rFonts w:ascii="Arial" w:hAnsi="Arial" w:cs="Arial"/>
          <w:b/>
          <w:color w:val="000000"/>
          <w:sz w:val="24"/>
          <w:szCs w:val="24"/>
        </w:rPr>
        <w:lastRenderedPageBreak/>
        <w:t xml:space="preserve">RESPUESTA: </w:t>
      </w:r>
      <w:r w:rsidR="00115857" w:rsidRPr="00291942">
        <w:rPr>
          <w:rFonts w:ascii="Arial" w:hAnsi="Arial" w:cs="Arial"/>
          <w:b/>
          <w:color w:val="000000"/>
          <w:sz w:val="24"/>
          <w:szCs w:val="24"/>
        </w:rPr>
        <w:t xml:space="preserve">La información indicada en los numerales 5.1.2, 5.13, 5.2.2 y 5.2.3 del </w:t>
      </w:r>
      <w:r w:rsidR="00291942">
        <w:rPr>
          <w:rFonts w:ascii="Arial" w:hAnsi="Arial" w:cs="Arial"/>
          <w:b/>
          <w:color w:val="000000"/>
          <w:sz w:val="24"/>
          <w:szCs w:val="24"/>
        </w:rPr>
        <w:t>PTFS,</w:t>
      </w:r>
      <w:r w:rsidR="00115857" w:rsidRPr="00291942">
        <w:rPr>
          <w:rFonts w:ascii="Arial" w:hAnsi="Arial" w:cs="Arial"/>
          <w:b/>
          <w:color w:val="000000"/>
          <w:sz w:val="24"/>
          <w:szCs w:val="24"/>
        </w:rPr>
        <w:t xml:space="preserve"> publicado en el </w:t>
      </w:r>
      <w:r>
        <w:rPr>
          <w:rFonts w:ascii="Arial" w:hAnsi="Arial" w:cs="Arial"/>
          <w:b/>
          <w:color w:val="000000"/>
          <w:sz w:val="24"/>
          <w:szCs w:val="24"/>
        </w:rPr>
        <w:t>DOF</w:t>
      </w:r>
      <w:r w:rsidR="00115857" w:rsidRPr="00291942">
        <w:rPr>
          <w:rFonts w:ascii="Arial" w:hAnsi="Arial" w:cs="Arial"/>
          <w:b/>
          <w:color w:val="000000"/>
          <w:sz w:val="24"/>
          <w:szCs w:val="24"/>
        </w:rPr>
        <w:t xml:space="preserve"> el 11 de mayo de 2018</w:t>
      </w:r>
      <w:r w:rsidR="00291942">
        <w:rPr>
          <w:rFonts w:ascii="Arial" w:hAnsi="Arial" w:cs="Arial"/>
          <w:b/>
          <w:color w:val="000000"/>
          <w:sz w:val="24"/>
          <w:szCs w:val="24"/>
        </w:rPr>
        <w:t>,</w:t>
      </w:r>
      <w:r w:rsidR="00115857" w:rsidRPr="00291942">
        <w:rPr>
          <w:rFonts w:ascii="Arial" w:hAnsi="Arial" w:cs="Arial"/>
          <w:b/>
          <w:color w:val="000000"/>
          <w:sz w:val="24"/>
          <w:szCs w:val="24"/>
        </w:rPr>
        <w:t xml:space="preserve"> no se publicará en los </w:t>
      </w:r>
      <w:r>
        <w:rPr>
          <w:rFonts w:ascii="Arial" w:hAnsi="Arial" w:cs="Arial"/>
          <w:b/>
          <w:color w:val="000000"/>
          <w:sz w:val="24"/>
          <w:szCs w:val="24"/>
        </w:rPr>
        <w:t xml:space="preserve">correspondientes </w:t>
      </w:r>
      <w:r w:rsidR="00115857" w:rsidRPr="00291942">
        <w:rPr>
          <w:rFonts w:ascii="Arial" w:hAnsi="Arial" w:cs="Arial"/>
          <w:b/>
          <w:color w:val="000000"/>
          <w:sz w:val="24"/>
          <w:szCs w:val="24"/>
        </w:rPr>
        <w:t xml:space="preserve">oficios </w:t>
      </w:r>
      <w:r>
        <w:rPr>
          <w:rFonts w:ascii="Arial" w:hAnsi="Arial" w:cs="Arial"/>
          <w:b/>
          <w:color w:val="000000"/>
          <w:sz w:val="24"/>
          <w:szCs w:val="24"/>
        </w:rPr>
        <w:t xml:space="preserve">de asignación </w:t>
      </w:r>
      <w:r w:rsidR="00115857" w:rsidRPr="00291942">
        <w:rPr>
          <w:rFonts w:ascii="Arial" w:hAnsi="Arial" w:cs="Arial"/>
          <w:b/>
          <w:color w:val="000000"/>
          <w:sz w:val="24"/>
          <w:szCs w:val="24"/>
        </w:rPr>
        <w:t xml:space="preserve">que </w:t>
      </w:r>
      <w:r>
        <w:rPr>
          <w:rFonts w:ascii="Arial" w:hAnsi="Arial" w:cs="Arial"/>
          <w:b/>
          <w:color w:val="000000"/>
          <w:sz w:val="24"/>
          <w:szCs w:val="24"/>
        </w:rPr>
        <w:t>emita el Instituto</w:t>
      </w:r>
      <w:r w:rsidR="00291942">
        <w:rPr>
          <w:rFonts w:ascii="Arial" w:hAnsi="Arial" w:cs="Arial"/>
          <w:b/>
          <w:color w:val="000000"/>
          <w:sz w:val="24"/>
          <w:szCs w:val="24"/>
        </w:rPr>
        <w:t>.</w:t>
      </w:r>
    </w:p>
    <w:p w14:paraId="5D39D996" w14:textId="6D5870BC" w:rsidR="00EF15E9" w:rsidRDefault="00F507CA" w:rsidP="00BB517C">
      <w:pPr>
        <w:pStyle w:val="Prrafodelista"/>
        <w:numPr>
          <w:ilvl w:val="0"/>
          <w:numId w:val="2"/>
        </w:numPr>
        <w:ind w:left="426" w:hanging="426"/>
        <w:jc w:val="both"/>
        <w:rPr>
          <w:rFonts w:ascii="Arial" w:hAnsi="Arial" w:cs="Arial"/>
          <w:b/>
          <w:color w:val="000000"/>
          <w:sz w:val="24"/>
          <w:szCs w:val="24"/>
        </w:rPr>
      </w:pPr>
      <w:r>
        <w:rPr>
          <w:rFonts w:ascii="Arial" w:hAnsi="Arial" w:cs="Arial"/>
          <w:b/>
          <w:color w:val="000000"/>
          <w:sz w:val="24"/>
          <w:szCs w:val="24"/>
        </w:rPr>
        <w:t>NIR/ZONAS</w:t>
      </w:r>
    </w:p>
    <w:p w14:paraId="74E9C412" w14:textId="28662DDE" w:rsidR="00F507CA" w:rsidRPr="00F507CA" w:rsidRDefault="00F507CA" w:rsidP="005672FD">
      <w:pPr>
        <w:jc w:val="both"/>
        <w:rPr>
          <w:rFonts w:ascii="Arial" w:hAnsi="Arial" w:cs="Arial"/>
          <w:color w:val="000000"/>
          <w:sz w:val="24"/>
          <w:szCs w:val="24"/>
        </w:rPr>
      </w:pPr>
      <w:r w:rsidRPr="00F507CA">
        <w:rPr>
          <w:rFonts w:ascii="Arial" w:hAnsi="Arial" w:cs="Arial"/>
          <w:color w:val="000000"/>
          <w:sz w:val="24"/>
          <w:szCs w:val="24"/>
        </w:rPr>
        <w:t>Grupo AT&amp;T solicita que se conserven los NIR para la administración y asignación de la numeración nacional en vez de adoptar las zonas.</w:t>
      </w:r>
    </w:p>
    <w:p w14:paraId="3A786C41" w14:textId="483AF8AB" w:rsidR="00F507CA" w:rsidRPr="00F507CA" w:rsidRDefault="00B83633" w:rsidP="005672FD">
      <w:pPr>
        <w:jc w:val="both"/>
        <w:rPr>
          <w:rFonts w:ascii="Arial" w:hAnsi="Arial" w:cs="Arial"/>
          <w:b/>
          <w:color w:val="000000"/>
          <w:sz w:val="24"/>
          <w:szCs w:val="24"/>
        </w:rPr>
      </w:pPr>
      <w:r>
        <w:rPr>
          <w:rFonts w:ascii="Arial" w:hAnsi="Arial" w:cs="Arial"/>
          <w:b/>
          <w:color w:val="000000"/>
          <w:sz w:val="24"/>
          <w:szCs w:val="24"/>
        </w:rPr>
        <w:t xml:space="preserve">RESPUESTA: </w:t>
      </w:r>
      <w:r w:rsidR="00FC5D93">
        <w:rPr>
          <w:rFonts w:ascii="Arial" w:hAnsi="Arial" w:cs="Arial"/>
          <w:b/>
          <w:color w:val="000000"/>
          <w:sz w:val="24"/>
          <w:szCs w:val="24"/>
        </w:rPr>
        <w:t>El establecimiento de zonas para la administración y asignación de la numeración nacional</w:t>
      </w:r>
      <w:r w:rsidR="00FC5D93" w:rsidRPr="00C92E33">
        <w:rPr>
          <w:rFonts w:ascii="Arial" w:hAnsi="Arial" w:cs="Arial"/>
          <w:b/>
          <w:color w:val="000000"/>
          <w:sz w:val="24"/>
          <w:szCs w:val="24"/>
        </w:rPr>
        <w:t xml:space="preserve"> se encuentra fuera del alcance del presente anteproyecto de modificación a los planes técnicos fundamentales de numeración y señalización, así como a las reglas de portabilidad numérica.</w:t>
      </w:r>
      <w:r w:rsidR="00FC5D93">
        <w:rPr>
          <w:rFonts w:ascii="Arial" w:hAnsi="Arial" w:cs="Arial"/>
          <w:b/>
          <w:color w:val="000000"/>
          <w:sz w:val="24"/>
          <w:szCs w:val="24"/>
        </w:rPr>
        <w:t xml:space="preserve"> No obstante lo anterior</w:t>
      </w:r>
      <w:r w:rsidR="005623E2">
        <w:rPr>
          <w:rFonts w:ascii="Arial" w:hAnsi="Arial" w:cs="Arial"/>
          <w:b/>
          <w:color w:val="000000"/>
          <w:sz w:val="24"/>
          <w:szCs w:val="24"/>
        </w:rPr>
        <w:t>,</w:t>
      </w:r>
      <w:r w:rsidR="00FC5D93">
        <w:rPr>
          <w:rFonts w:ascii="Arial" w:hAnsi="Arial" w:cs="Arial"/>
          <w:b/>
          <w:color w:val="000000"/>
          <w:sz w:val="24"/>
          <w:szCs w:val="24"/>
        </w:rPr>
        <w:t xml:space="preserve"> l</w:t>
      </w:r>
      <w:r w:rsidR="00F507CA" w:rsidRPr="00F507CA">
        <w:rPr>
          <w:rFonts w:ascii="Arial" w:hAnsi="Arial" w:cs="Arial"/>
          <w:b/>
          <w:color w:val="000000"/>
          <w:sz w:val="24"/>
          <w:szCs w:val="24"/>
        </w:rPr>
        <w:t xml:space="preserve">os motivos por los que se determinó agrupar las áreas </w:t>
      </w:r>
      <w:r w:rsidR="00871A07">
        <w:rPr>
          <w:rFonts w:ascii="Arial" w:hAnsi="Arial" w:cs="Arial"/>
          <w:b/>
          <w:color w:val="000000"/>
          <w:sz w:val="24"/>
          <w:szCs w:val="24"/>
        </w:rPr>
        <w:t>geográficas asociadas a los NIR</w:t>
      </w:r>
      <w:r w:rsidR="00F507CA" w:rsidRPr="00F507CA">
        <w:rPr>
          <w:rFonts w:ascii="Arial" w:hAnsi="Arial" w:cs="Arial"/>
          <w:b/>
          <w:color w:val="000000"/>
          <w:sz w:val="24"/>
          <w:szCs w:val="24"/>
        </w:rPr>
        <w:t xml:space="preserve"> que inicien con el mismo primer dígito</w:t>
      </w:r>
      <w:r w:rsidR="00FC5D93">
        <w:rPr>
          <w:rFonts w:ascii="Arial" w:hAnsi="Arial" w:cs="Arial"/>
          <w:b/>
          <w:color w:val="000000"/>
          <w:sz w:val="24"/>
          <w:szCs w:val="24"/>
        </w:rPr>
        <w:t xml:space="preserve"> para crear las zonas</w:t>
      </w:r>
      <w:r w:rsidR="00F507CA" w:rsidRPr="00F507CA">
        <w:rPr>
          <w:rFonts w:ascii="Arial" w:hAnsi="Arial" w:cs="Arial"/>
          <w:b/>
          <w:color w:val="000000"/>
          <w:sz w:val="24"/>
          <w:szCs w:val="24"/>
        </w:rPr>
        <w:t xml:space="preserve"> fueron expuestos en considerando cuarto, segundo punto del 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publicado en Diario Oficial de la Federación el 11 de mayo de 2018.</w:t>
      </w:r>
    </w:p>
    <w:p w14:paraId="2E3CFAE3" w14:textId="741EAA5A" w:rsidR="00F507CA" w:rsidRPr="00BB517C" w:rsidRDefault="00BB517C" w:rsidP="00BB517C">
      <w:pPr>
        <w:pStyle w:val="Prrafodelista"/>
        <w:numPr>
          <w:ilvl w:val="0"/>
          <w:numId w:val="2"/>
        </w:numPr>
        <w:tabs>
          <w:tab w:val="left" w:pos="284"/>
        </w:tabs>
        <w:ind w:left="426" w:hanging="426"/>
        <w:jc w:val="both"/>
        <w:rPr>
          <w:rFonts w:ascii="Arial" w:hAnsi="Arial" w:cs="Arial"/>
          <w:b/>
          <w:color w:val="000000"/>
          <w:sz w:val="24"/>
          <w:szCs w:val="24"/>
        </w:rPr>
      </w:pPr>
      <w:r>
        <w:rPr>
          <w:rFonts w:ascii="Arial" w:hAnsi="Arial" w:cs="Arial"/>
          <w:b/>
          <w:color w:val="000000"/>
          <w:sz w:val="24"/>
          <w:szCs w:val="24"/>
        </w:rPr>
        <w:t xml:space="preserve"> </w:t>
      </w:r>
      <w:r w:rsidR="002C543F" w:rsidRPr="00BB517C">
        <w:rPr>
          <w:rFonts w:ascii="Arial" w:hAnsi="Arial" w:cs="Arial"/>
          <w:b/>
          <w:color w:val="000000"/>
          <w:sz w:val="24"/>
          <w:szCs w:val="24"/>
        </w:rPr>
        <w:t>CÓDIGOS DE SERVICIOS ESPECIALES</w:t>
      </w:r>
    </w:p>
    <w:p w14:paraId="46634A94" w14:textId="58CB7F7D" w:rsidR="00F507CA" w:rsidRDefault="00BB517C" w:rsidP="005672FD">
      <w:pPr>
        <w:jc w:val="both"/>
        <w:rPr>
          <w:rFonts w:ascii="Arial" w:hAnsi="Arial" w:cs="Arial"/>
          <w:color w:val="000000"/>
          <w:sz w:val="24"/>
          <w:szCs w:val="24"/>
        </w:rPr>
      </w:pPr>
      <w:r>
        <w:rPr>
          <w:rFonts w:ascii="Arial" w:hAnsi="Arial" w:cs="Arial"/>
          <w:color w:val="000000"/>
          <w:sz w:val="24"/>
          <w:szCs w:val="24"/>
        </w:rPr>
        <w:t xml:space="preserve">IP </w:t>
      </w:r>
      <w:proofErr w:type="spellStart"/>
      <w:r>
        <w:rPr>
          <w:rFonts w:ascii="Arial" w:hAnsi="Arial" w:cs="Arial"/>
          <w:color w:val="000000"/>
          <w:sz w:val="24"/>
          <w:szCs w:val="24"/>
        </w:rPr>
        <w:t>Matrix</w:t>
      </w:r>
      <w:proofErr w:type="spellEnd"/>
      <w:r>
        <w:rPr>
          <w:rFonts w:ascii="Arial" w:hAnsi="Arial" w:cs="Arial"/>
          <w:color w:val="000000"/>
          <w:sz w:val="24"/>
          <w:szCs w:val="24"/>
        </w:rPr>
        <w:t xml:space="preserve"> menciona que es importante someter a análisis entre el Instituto y los </w:t>
      </w:r>
      <w:r w:rsidR="005623E2">
        <w:rPr>
          <w:rFonts w:ascii="Arial" w:hAnsi="Arial" w:cs="Arial"/>
          <w:color w:val="000000"/>
          <w:sz w:val="24"/>
          <w:szCs w:val="24"/>
        </w:rPr>
        <w:t>PST</w:t>
      </w:r>
      <w:r>
        <w:rPr>
          <w:rFonts w:ascii="Arial" w:hAnsi="Arial" w:cs="Arial"/>
          <w:color w:val="000000"/>
          <w:sz w:val="24"/>
          <w:szCs w:val="24"/>
        </w:rPr>
        <w:t xml:space="preserve"> la problemática que se presenta con la compartición de códigos de servicios especiales.</w:t>
      </w:r>
    </w:p>
    <w:p w14:paraId="73C91698" w14:textId="5AA78763" w:rsidR="00F507CA" w:rsidRPr="00BB517C" w:rsidRDefault="005623E2" w:rsidP="005672FD">
      <w:pPr>
        <w:jc w:val="both"/>
        <w:rPr>
          <w:rFonts w:ascii="Arial" w:hAnsi="Arial" w:cs="Arial"/>
          <w:b/>
          <w:color w:val="000000"/>
          <w:sz w:val="24"/>
          <w:szCs w:val="24"/>
        </w:rPr>
      </w:pPr>
      <w:r>
        <w:rPr>
          <w:rFonts w:ascii="Arial" w:hAnsi="Arial" w:cs="Arial"/>
          <w:b/>
          <w:color w:val="000000"/>
          <w:sz w:val="24"/>
          <w:szCs w:val="24"/>
        </w:rPr>
        <w:t xml:space="preserve">RESPUESTA: </w:t>
      </w:r>
      <w:r w:rsidR="00BB517C" w:rsidRPr="00BB517C">
        <w:rPr>
          <w:rFonts w:ascii="Arial" w:hAnsi="Arial" w:cs="Arial"/>
          <w:b/>
          <w:color w:val="000000"/>
          <w:sz w:val="24"/>
          <w:szCs w:val="24"/>
        </w:rPr>
        <w:t xml:space="preserve">Este tema será </w:t>
      </w:r>
      <w:r w:rsidR="00BB517C">
        <w:rPr>
          <w:rFonts w:ascii="Arial" w:hAnsi="Arial" w:cs="Arial"/>
          <w:b/>
          <w:color w:val="000000"/>
          <w:sz w:val="24"/>
          <w:szCs w:val="24"/>
        </w:rPr>
        <w:t xml:space="preserve">analizado </w:t>
      </w:r>
      <w:r w:rsidR="00BB517C" w:rsidRPr="00BB517C">
        <w:rPr>
          <w:rFonts w:ascii="Arial" w:hAnsi="Arial" w:cs="Arial"/>
          <w:b/>
          <w:color w:val="000000"/>
          <w:sz w:val="24"/>
          <w:szCs w:val="24"/>
        </w:rPr>
        <w:t xml:space="preserve">en el </w:t>
      </w:r>
      <w:r w:rsidR="00BB517C">
        <w:rPr>
          <w:rFonts w:ascii="Arial" w:hAnsi="Arial" w:cs="Arial"/>
          <w:b/>
          <w:color w:val="000000"/>
          <w:sz w:val="24"/>
          <w:szCs w:val="24"/>
        </w:rPr>
        <w:t>Grupo de Trabajo de Numeración y Señalización</w:t>
      </w:r>
      <w:r w:rsidR="002C543F">
        <w:rPr>
          <w:rFonts w:ascii="Arial" w:hAnsi="Arial" w:cs="Arial"/>
          <w:b/>
          <w:color w:val="000000"/>
          <w:sz w:val="24"/>
          <w:szCs w:val="24"/>
        </w:rPr>
        <w:t xml:space="preserve">. </w:t>
      </w:r>
    </w:p>
    <w:p w14:paraId="0F33CD12" w14:textId="56ECA5B4" w:rsidR="00F507CA" w:rsidRPr="002C543F" w:rsidRDefault="002C543F" w:rsidP="005672FD">
      <w:pPr>
        <w:pStyle w:val="Prrafodelista"/>
        <w:numPr>
          <w:ilvl w:val="0"/>
          <w:numId w:val="2"/>
        </w:numPr>
        <w:ind w:left="0" w:firstLine="0"/>
        <w:jc w:val="both"/>
        <w:rPr>
          <w:rFonts w:ascii="Arial" w:hAnsi="Arial" w:cs="Arial"/>
          <w:b/>
          <w:color w:val="000000"/>
          <w:sz w:val="24"/>
          <w:szCs w:val="24"/>
        </w:rPr>
      </w:pPr>
      <w:r w:rsidRPr="002C543F">
        <w:rPr>
          <w:rFonts w:ascii="Arial" w:hAnsi="Arial" w:cs="Arial"/>
          <w:b/>
          <w:color w:val="000000"/>
          <w:sz w:val="24"/>
          <w:szCs w:val="24"/>
        </w:rPr>
        <w:t>DIFERIMIENTO DE ENTRADA EN VIGOR DE DIVERSAS SECCIONES DE LOS PLANES TÉCNICOS FUNDAMENTALES DE NUMERACIÓN Y SEÑALIZACIÓN.</w:t>
      </w:r>
    </w:p>
    <w:p w14:paraId="5A4FC84E" w14:textId="6826E74E" w:rsidR="00F507CA" w:rsidRDefault="00832239" w:rsidP="005672FD">
      <w:pPr>
        <w:jc w:val="both"/>
        <w:rPr>
          <w:rFonts w:ascii="Arial" w:hAnsi="Arial" w:cs="Arial"/>
          <w:color w:val="000000"/>
          <w:sz w:val="24"/>
          <w:szCs w:val="24"/>
        </w:rPr>
      </w:pPr>
      <w:r>
        <w:rPr>
          <w:rFonts w:ascii="Arial" w:hAnsi="Arial" w:cs="Arial"/>
          <w:color w:val="000000"/>
          <w:sz w:val="24"/>
          <w:szCs w:val="24"/>
        </w:rPr>
        <w:t xml:space="preserve">Mega Cable, Axtel, </w:t>
      </w:r>
      <w:proofErr w:type="spellStart"/>
      <w:r>
        <w:rPr>
          <w:rFonts w:ascii="Arial" w:hAnsi="Arial" w:cs="Arial"/>
          <w:color w:val="000000"/>
          <w:sz w:val="24"/>
          <w:szCs w:val="24"/>
        </w:rPr>
        <w:t>Avantel</w:t>
      </w:r>
      <w:proofErr w:type="spellEnd"/>
      <w:r>
        <w:rPr>
          <w:rFonts w:ascii="Arial" w:hAnsi="Arial" w:cs="Arial"/>
          <w:color w:val="000000"/>
          <w:sz w:val="24"/>
          <w:szCs w:val="24"/>
        </w:rPr>
        <w:t xml:space="preserve">, Grupo AT&amp;T, Grupo Televisa, Pegaso y la CANIETI, se manifiestan a favor del diferimiento propuesto en el Anteproyecto. Por otra parte, la empresa IP </w:t>
      </w:r>
      <w:proofErr w:type="spellStart"/>
      <w:r>
        <w:rPr>
          <w:rFonts w:ascii="Arial" w:hAnsi="Arial" w:cs="Arial"/>
          <w:color w:val="000000"/>
          <w:sz w:val="24"/>
          <w:szCs w:val="24"/>
        </w:rPr>
        <w:t>Matrix</w:t>
      </w:r>
      <w:proofErr w:type="spellEnd"/>
      <w:r>
        <w:rPr>
          <w:rFonts w:ascii="Arial" w:hAnsi="Arial" w:cs="Arial"/>
          <w:color w:val="000000"/>
          <w:sz w:val="24"/>
          <w:szCs w:val="24"/>
        </w:rPr>
        <w:t xml:space="preserve"> expone los motivos por los cuales se manifiesta en contra </w:t>
      </w:r>
      <w:r w:rsidR="005623E2">
        <w:rPr>
          <w:rFonts w:ascii="Arial" w:hAnsi="Arial" w:cs="Arial"/>
          <w:color w:val="000000"/>
          <w:sz w:val="24"/>
          <w:szCs w:val="24"/>
        </w:rPr>
        <w:t xml:space="preserve">del </w:t>
      </w:r>
      <w:r>
        <w:rPr>
          <w:rFonts w:ascii="Arial" w:hAnsi="Arial" w:cs="Arial"/>
          <w:color w:val="000000"/>
          <w:sz w:val="24"/>
          <w:szCs w:val="24"/>
        </w:rPr>
        <w:t>diferimiento</w:t>
      </w:r>
      <w:r w:rsidR="005623E2">
        <w:rPr>
          <w:rFonts w:ascii="Arial" w:hAnsi="Arial" w:cs="Arial"/>
          <w:color w:val="000000"/>
          <w:sz w:val="24"/>
          <w:szCs w:val="24"/>
        </w:rPr>
        <w:t xml:space="preserve"> de la entrada en vigor de los nuevos planes técnicos fundamentales de numeración y señalización</w:t>
      </w:r>
      <w:r>
        <w:rPr>
          <w:rFonts w:ascii="Arial" w:hAnsi="Arial" w:cs="Arial"/>
          <w:color w:val="000000"/>
          <w:sz w:val="24"/>
          <w:szCs w:val="24"/>
        </w:rPr>
        <w:t>.</w:t>
      </w:r>
    </w:p>
    <w:p w14:paraId="2DB436A7" w14:textId="4B15BF24" w:rsidR="00832239" w:rsidRPr="00131825" w:rsidRDefault="00C26939" w:rsidP="005672FD">
      <w:pPr>
        <w:jc w:val="both"/>
        <w:rPr>
          <w:rFonts w:ascii="Arial" w:hAnsi="Arial" w:cs="Arial"/>
          <w:b/>
          <w:color w:val="000000"/>
          <w:sz w:val="24"/>
          <w:szCs w:val="24"/>
        </w:rPr>
      </w:pPr>
      <w:r>
        <w:rPr>
          <w:rFonts w:ascii="Arial" w:hAnsi="Arial" w:cs="Arial"/>
          <w:b/>
          <w:color w:val="000000"/>
          <w:sz w:val="24"/>
          <w:szCs w:val="24"/>
        </w:rPr>
        <w:lastRenderedPageBreak/>
        <w:t xml:space="preserve">RESPUESTA: </w:t>
      </w:r>
      <w:r w:rsidR="00BB375E">
        <w:rPr>
          <w:rFonts w:ascii="Arial" w:hAnsi="Arial" w:cs="Arial"/>
          <w:b/>
          <w:color w:val="000000"/>
          <w:sz w:val="24"/>
          <w:szCs w:val="24"/>
        </w:rPr>
        <w:t>L</w:t>
      </w:r>
      <w:r w:rsidR="00131825" w:rsidRPr="00131825">
        <w:rPr>
          <w:rFonts w:ascii="Arial" w:hAnsi="Arial" w:cs="Arial"/>
          <w:b/>
          <w:color w:val="000000"/>
          <w:sz w:val="24"/>
          <w:szCs w:val="24"/>
        </w:rPr>
        <w:t>os motivos por los que se determinó diferir la creación de zonas para la asignación y administración de la numeración nacional fueron expuestos en los considerando</w:t>
      </w:r>
      <w:r>
        <w:rPr>
          <w:rFonts w:ascii="Arial" w:hAnsi="Arial" w:cs="Arial"/>
          <w:b/>
          <w:color w:val="000000"/>
          <w:sz w:val="24"/>
          <w:szCs w:val="24"/>
        </w:rPr>
        <w:t>s</w:t>
      </w:r>
      <w:r w:rsidR="00131825" w:rsidRPr="00131825">
        <w:rPr>
          <w:rFonts w:ascii="Arial" w:hAnsi="Arial" w:cs="Arial"/>
          <w:b/>
          <w:color w:val="000000"/>
          <w:sz w:val="24"/>
          <w:szCs w:val="24"/>
        </w:rPr>
        <w:t xml:space="preserve"> s</w:t>
      </w:r>
      <w:r>
        <w:rPr>
          <w:rFonts w:ascii="Arial" w:hAnsi="Arial" w:cs="Arial"/>
          <w:b/>
          <w:color w:val="000000"/>
          <w:sz w:val="24"/>
          <w:szCs w:val="24"/>
        </w:rPr>
        <w:t>egundo y quinto del Anteproyecto</w:t>
      </w:r>
      <w:r w:rsidR="00131825" w:rsidRPr="00131825">
        <w:rPr>
          <w:rFonts w:ascii="Arial" w:hAnsi="Arial" w:cs="Arial"/>
          <w:b/>
          <w:color w:val="000000"/>
          <w:sz w:val="24"/>
          <w:szCs w:val="24"/>
        </w:rPr>
        <w:t>.</w:t>
      </w:r>
    </w:p>
    <w:p w14:paraId="74C81D00" w14:textId="13CE2DF3" w:rsidR="00A54F38" w:rsidRPr="00C26691" w:rsidRDefault="00A54F38" w:rsidP="00F2149E">
      <w:pPr>
        <w:jc w:val="both"/>
        <w:rPr>
          <w:rFonts w:ascii="Arial" w:hAnsi="Arial" w:cs="Arial"/>
          <w:color w:val="000000"/>
          <w:sz w:val="24"/>
          <w:szCs w:val="24"/>
        </w:rPr>
      </w:pPr>
    </w:p>
    <w:p w14:paraId="3C0D8070" w14:textId="77777777" w:rsidR="00A54F38" w:rsidRPr="00C26691" w:rsidRDefault="00A54F38" w:rsidP="00F2149E">
      <w:pPr>
        <w:jc w:val="both"/>
        <w:rPr>
          <w:rFonts w:ascii="Arial" w:hAnsi="Arial" w:cs="Arial"/>
          <w:color w:val="000000"/>
          <w:sz w:val="24"/>
          <w:szCs w:val="24"/>
        </w:rPr>
      </w:pPr>
    </w:p>
    <w:p w14:paraId="6D0510D7" w14:textId="77777777" w:rsidR="00A54F38" w:rsidRPr="00C26691" w:rsidRDefault="00A54F38" w:rsidP="00F2149E">
      <w:pPr>
        <w:jc w:val="both"/>
        <w:rPr>
          <w:rFonts w:ascii="Arial" w:hAnsi="Arial" w:cs="Arial"/>
          <w:color w:val="000000"/>
          <w:sz w:val="24"/>
          <w:szCs w:val="24"/>
        </w:rPr>
      </w:pPr>
    </w:p>
    <w:sectPr w:rsidR="00A54F38" w:rsidRPr="00C26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D89"/>
    <w:multiLevelType w:val="hybridMultilevel"/>
    <w:tmpl w:val="0FFC77F8"/>
    <w:lvl w:ilvl="0" w:tplc="A2285A6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A311F85"/>
    <w:multiLevelType w:val="hybridMultilevel"/>
    <w:tmpl w:val="B8C61130"/>
    <w:lvl w:ilvl="0" w:tplc="04F464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A076F7"/>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DA066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0111C9"/>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75422B"/>
    <w:multiLevelType w:val="hybridMultilevel"/>
    <w:tmpl w:val="EAC8A652"/>
    <w:lvl w:ilvl="0" w:tplc="48FC69DA">
      <w:start w:val="1"/>
      <w:numFmt w:val="upperRoman"/>
      <w:lvlText w:val="%1."/>
      <w:lvlJc w:val="left"/>
      <w:pPr>
        <w:ind w:left="1008" w:hanging="720"/>
      </w:pPr>
      <w:rPr>
        <w:rFonts w:hint="default"/>
        <w:b/>
        <w:lang w:val="uz-Cyrl-UZ"/>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5FFC1CCF"/>
    <w:multiLevelType w:val="hybridMultilevel"/>
    <w:tmpl w:val="5E7E7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98688F"/>
    <w:multiLevelType w:val="hybridMultilevel"/>
    <w:tmpl w:val="B038F62A"/>
    <w:lvl w:ilvl="0" w:tplc="C0D40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15F6D"/>
    <w:multiLevelType w:val="hybridMultilevel"/>
    <w:tmpl w:val="036484A6"/>
    <w:lvl w:ilvl="0" w:tplc="2D4054F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BF15126"/>
    <w:multiLevelType w:val="hybridMultilevel"/>
    <w:tmpl w:val="B49EA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56A23"/>
    <w:multiLevelType w:val="hybridMultilevel"/>
    <w:tmpl w:val="1736CB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8"/>
  </w:num>
  <w:num w:numId="5">
    <w:abstractNumId w:val="0"/>
  </w:num>
  <w:num w:numId="6">
    <w:abstractNumId w:val="5"/>
  </w:num>
  <w:num w:numId="7">
    <w:abstractNumId w:val="3"/>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6D"/>
    <w:rsid w:val="00000C3C"/>
    <w:rsid w:val="0003218A"/>
    <w:rsid w:val="000357B0"/>
    <w:rsid w:val="00044DA0"/>
    <w:rsid w:val="00046EC8"/>
    <w:rsid w:val="00055B8D"/>
    <w:rsid w:val="00082AE1"/>
    <w:rsid w:val="000A2D54"/>
    <w:rsid w:val="000A35B6"/>
    <w:rsid w:val="000E54B0"/>
    <w:rsid w:val="00105140"/>
    <w:rsid w:val="00112F6D"/>
    <w:rsid w:val="00115857"/>
    <w:rsid w:val="00130810"/>
    <w:rsid w:val="00131825"/>
    <w:rsid w:val="0013360B"/>
    <w:rsid w:val="00135B9F"/>
    <w:rsid w:val="0013712D"/>
    <w:rsid w:val="00145A34"/>
    <w:rsid w:val="00147882"/>
    <w:rsid w:val="00165345"/>
    <w:rsid w:val="00175DCF"/>
    <w:rsid w:val="00180A49"/>
    <w:rsid w:val="00183AF1"/>
    <w:rsid w:val="00187FE8"/>
    <w:rsid w:val="00194E2A"/>
    <w:rsid w:val="00197A48"/>
    <w:rsid w:val="001A5008"/>
    <w:rsid w:val="001F205F"/>
    <w:rsid w:val="0020158C"/>
    <w:rsid w:val="00222E7F"/>
    <w:rsid w:val="00235277"/>
    <w:rsid w:val="00245453"/>
    <w:rsid w:val="0024782C"/>
    <w:rsid w:val="00252BAA"/>
    <w:rsid w:val="002532A7"/>
    <w:rsid w:val="002572C5"/>
    <w:rsid w:val="002657C2"/>
    <w:rsid w:val="0027713C"/>
    <w:rsid w:val="002811F2"/>
    <w:rsid w:val="0028124F"/>
    <w:rsid w:val="00283456"/>
    <w:rsid w:val="00291942"/>
    <w:rsid w:val="002946F0"/>
    <w:rsid w:val="002A6981"/>
    <w:rsid w:val="002A7B7F"/>
    <w:rsid w:val="002C055B"/>
    <w:rsid w:val="002C2DFE"/>
    <w:rsid w:val="002C543F"/>
    <w:rsid w:val="002E5FD4"/>
    <w:rsid w:val="002F047C"/>
    <w:rsid w:val="003076C2"/>
    <w:rsid w:val="00314130"/>
    <w:rsid w:val="00320997"/>
    <w:rsid w:val="00323154"/>
    <w:rsid w:val="003244E7"/>
    <w:rsid w:val="00333333"/>
    <w:rsid w:val="003605E6"/>
    <w:rsid w:val="003773F7"/>
    <w:rsid w:val="003900ED"/>
    <w:rsid w:val="0039530A"/>
    <w:rsid w:val="0039598A"/>
    <w:rsid w:val="003A070A"/>
    <w:rsid w:val="003B063D"/>
    <w:rsid w:val="003B174D"/>
    <w:rsid w:val="003B244D"/>
    <w:rsid w:val="003B26BC"/>
    <w:rsid w:val="003B354A"/>
    <w:rsid w:val="003E0925"/>
    <w:rsid w:val="003E67B8"/>
    <w:rsid w:val="003F07DE"/>
    <w:rsid w:val="00400025"/>
    <w:rsid w:val="0040621C"/>
    <w:rsid w:val="00491C71"/>
    <w:rsid w:val="0049547A"/>
    <w:rsid w:val="004A18C1"/>
    <w:rsid w:val="004A399F"/>
    <w:rsid w:val="004C21B9"/>
    <w:rsid w:val="004E1E71"/>
    <w:rsid w:val="004F48AC"/>
    <w:rsid w:val="0050477C"/>
    <w:rsid w:val="00506AD1"/>
    <w:rsid w:val="005208B8"/>
    <w:rsid w:val="00541EB9"/>
    <w:rsid w:val="00545B30"/>
    <w:rsid w:val="0055346A"/>
    <w:rsid w:val="005623E2"/>
    <w:rsid w:val="005672FD"/>
    <w:rsid w:val="0057194D"/>
    <w:rsid w:val="00574C2D"/>
    <w:rsid w:val="00586F18"/>
    <w:rsid w:val="00597C1B"/>
    <w:rsid w:val="005A57A4"/>
    <w:rsid w:val="005C3B81"/>
    <w:rsid w:val="005E5F11"/>
    <w:rsid w:val="0061461B"/>
    <w:rsid w:val="00667B23"/>
    <w:rsid w:val="00671FD5"/>
    <w:rsid w:val="0067397A"/>
    <w:rsid w:val="00676ADC"/>
    <w:rsid w:val="006A56FF"/>
    <w:rsid w:val="006C2781"/>
    <w:rsid w:val="006D0AF8"/>
    <w:rsid w:val="006E7358"/>
    <w:rsid w:val="006E760B"/>
    <w:rsid w:val="006F1009"/>
    <w:rsid w:val="006F408B"/>
    <w:rsid w:val="00715C16"/>
    <w:rsid w:val="007262DD"/>
    <w:rsid w:val="007327DC"/>
    <w:rsid w:val="00747094"/>
    <w:rsid w:val="00750748"/>
    <w:rsid w:val="00753678"/>
    <w:rsid w:val="007A10B7"/>
    <w:rsid w:val="007A4640"/>
    <w:rsid w:val="007D5E96"/>
    <w:rsid w:val="007F3A2F"/>
    <w:rsid w:val="007F4A1B"/>
    <w:rsid w:val="00805104"/>
    <w:rsid w:val="008215A1"/>
    <w:rsid w:val="00826D9C"/>
    <w:rsid w:val="00830530"/>
    <w:rsid w:val="008315BF"/>
    <w:rsid w:val="00832239"/>
    <w:rsid w:val="00845D35"/>
    <w:rsid w:val="008640A8"/>
    <w:rsid w:val="00871A07"/>
    <w:rsid w:val="00896926"/>
    <w:rsid w:val="008B4F27"/>
    <w:rsid w:val="008D2893"/>
    <w:rsid w:val="008F426D"/>
    <w:rsid w:val="00924A44"/>
    <w:rsid w:val="00927AEC"/>
    <w:rsid w:val="009342A2"/>
    <w:rsid w:val="00934CD6"/>
    <w:rsid w:val="009368F2"/>
    <w:rsid w:val="009427F7"/>
    <w:rsid w:val="009656A9"/>
    <w:rsid w:val="009A2B15"/>
    <w:rsid w:val="009A3A05"/>
    <w:rsid w:val="009B180F"/>
    <w:rsid w:val="009B619D"/>
    <w:rsid w:val="009D7879"/>
    <w:rsid w:val="009E32BD"/>
    <w:rsid w:val="00A07491"/>
    <w:rsid w:val="00A11B42"/>
    <w:rsid w:val="00A17EBD"/>
    <w:rsid w:val="00A24FC5"/>
    <w:rsid w:val="00A27A8A"/>
    <w:rsid w:val="00A35466"/>
    <w:rsid w:val="00A54F38"/>
    <w:rsid w:val="00A56628"/>
    <w:rsid w:val="00A60637"/>
    <w:rsid w:val="00A65E53"/>
    <w:rsid w:val="00A73DFE"/>
    <w:rsid w:val="00A75B81"/>
    <w:rsid w:val="00A87B81"/>
    <w:rsid w:val="00AA3932"/>
    <w:rsid w:val="00AB1B24"/>
    <w:rsid w:val="00AC6BAF"/>
    <w:rsid w:val="00AC6CA2"/>
    <w:rsid w:val="00AD6559"/>
    <w:rsid w:val="00B23A30"/>
    <w:rsid w:val="00B25C4B"/>
    <w:rsid w:val="00B31C74"/>
    <w:rsid w:val="00B43832"/>
    <w:rsid w:val="00B63464"/>
    <w:rsid w:val="00B83633"/>
    <w:rsid w:val="00B90012"/>
    <w:rsid w:val="00BA390D"/>
    <w:rsid w:val="00BA7752"/>
    <w:rsid w:val="00BB047C"/>
    <w:rsid w:val="00BB375E"/>
    <w:rsid w:val="00BB4B40"/>
    <w:rsid w:val="00BB517C"/>
    <w:rsid w:val="00BE3D13"/>
    <w:rsid w:val="00BE6D1B"/>
    <w:rsid w:val="00BF6B6F"/>
    <w:rsid w:val="00C05E61"/>
    <w:rsid w:val="00C17A90"/>
    <w:rsid w:val="00C26691"/>
    <w:rsid w:val="00C26939"/>
    <w:rsid w:val="00C45CBD"/>
    <w:rsid w:val="00C52C8D"/>
    <w:rsid w:val="00C53334"/>
    <w:rsid w:val="00C6272F"/>
    <w:rsid w:val="00C6374F"/>
    <w:rsid w:val="00C70BAD"/>
    <w:rsid w:val="00C76C52"/>
    <w:rsid w:val="00C92E33"/>
    <w:rsid w:val="00CA2F81"/>
    <w:rsid w:val="00CA561F"/>
    <w:rsid w:val="00CE356C"/>
    <w:rsid w:val="00CE74C0"/>
    <w:rsid w:val="00D0254F"/>
    <w:rsid w:val="00D1142E"/>
    <w:rsid w:val="00D11735"/>
    <w:rsid w:val="00D15CCA"/>
    <w:rsid w:val="00D270DE"/>
    <w:rsid w:val="00D5459C"/>
    <w:rsid w:val="00D64586"/>
    <w:rsid w:val="00D85E51"/>
    <w:rsid w:val="00D92018"/>
    <w:rsid w:val="00DA37AB"/>
    <w:rsid w:val="00DC45C7"/>
    <w:rsid w:val="00E45BDF"/>
    <w:rsid w:val="00E5429D"/>
    <w:rsid w:val="00E55300"/>
    <w:rsid w:val="00E6333E"/>
    <w:rsid w:val="00E83895"/>
    <w:rsid w:val="00E84B8C"/>
    <w:rsid w:val="00E876A9"/>
    <w:rsid w:val="00E91BA4"/>
    <w:rsid w:val="00E96CDF"/>
    <w:rsid w:val="00EA4BF9"/>
    <w:rsid w:val="00EB62DE"/>
    <w:rsid w:val="00EB7483"/>
    <w:rsid w:val="00ED3D6E"/>
    <w:rsid w:val="00ED48DF"/>
    <w:rsid w:val="00EF15E9"/>
    <w:rsid w:val="00F059C8"/>
    <w:rsid w:val="00F06670"/>
    <w:rsid w:val="00F1120D"/>
    <w:rsid w:val="00F1200E"/>
    <w:rsid w:val="00F167C7"/>
    <w:rsid w:val="00F2149E"/>
    <w:rsid w:val="00F326E9"/>
    <w:rsid w:val="00F33F6A"/>
    <w:rsid w:val="00F43B74"/>
    <w:rsid w:val="00F507CA"/>
    <w:rsid w:val="00F518E3"/>
    <w:rsid w:val="00F5454D"/>
    <w:rsid w:val="00F70CF3"/>
    <w:rsid w:val="00F75447"/>
    <w:rsid w:val="00F77AFB"/>
    <w:rsid w:val="00F82242"/>
    <w:rsid w:val="00F97B65"/>
    <w:rsid w:val="00FA05A8"/>
    <w:rsid w:val="00FA1866"/>
    <w:rsid w:val="00FC5D93"/>
    <w:rsid w:val="00FD53AF"/>
    <w:rsid w:val="00FF3102"/>
    <w:rsid w:val="00FF5218"/>
    <w:rsid w:val="00FF7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1C55"/>
  <w15:docId w15:val="{448C6854-0BB0-4D38-B90C-FDA69FC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33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2F6D"/>
    <w:pPr>
      <w:autoSpaceDE w:val="0"/>
      <w:autoSpaceDN w:val="0"/>
      <w:adjustRightInd w:val="0"/>
      <w:spacing w:after="0" w:line="240" w:lineRule="auto"/>
    </w:pPr>
    <w:rPr>
      <w:rFonts w:ascii="ITC Avant Garde" w:hAnsi="ITC Avant Garde" w:cs="ITC Avant Garde"/>
      <w:color w:val="000000"/>
      <w:sz w:val="24"/>
      <w:szCs w:val="24"/>
    </w:rPr>
  </w:style>
  <w:style w:type="character" w:styleId="Hipervnculo">
    <w:name w:val="Hyperlink"/>
    <w:basedOn w:val="Fuentedeprrafopredeter"/>
    <w:uiPriority w:val="99"/>
    <w:semiHidden/>
    <w:unhideWhenUsed/>
    <w:rsid w:val="00112F6D"/>
    <w:rPr>
      <w:strike w:val="0"/>
      <w:dstrike w:val="0"/>
      <w:color w:val="000000"/>
      <w:u w:val="single"/>
      <w:effect w:val="none"/>
      <w:shd w:val="clear" w:color="auto" w:fill="auto"/>
    </w:rPr>
  </w:style>
  <w:style w:type="paragraph" w:styleId="Prrafodelista">
    <w:name w:val="List Paragraph"/>
    <w:basedOn w:val="Normal"/>
    <w:link w:val="PrrafodelistaCar"/>
    <w:uiPriority w:val="34"/>
    <w:qFormat/>
    <w:rsid w:val="00F2149E"/>
    <w:pPr>
      <w:ind w:left="720"/>
      <w:contextualSpacing/>
    </w:pPr>
  </w:style>
  <w:style w:type="character" w:customStyle="1" w:styleId="Ttulo1Car">
    <w:name w:val="Título 1 Car"/>
    <w:basedOn w:val="Fuentedeprrafopredeter"/>
    <w:link w:val="Ttulo1"/>
    <w:uiPriority w:val="9"/>
    <w:rsid w:val="00F33F6A"/>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link w:val="Prrafodelista"/>
    <w:uiPriority w:val="34"/>
    <w:locked/>
    <w:rsid w:val="00E876A9"/>
  </w:style>
  <w:style w:type="paragraph" w:customStyle="1" w:styleId="Texto">
    <w:name w:val="Texto"/>
    <w:basedOn w:val="Normal"/>
    <w:link w:val="TextoCar"/>
    <w:rsid w:val="0032315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323154"/>
    <w:rPr>
      <w:rFonts w:ascii="Arial" w:eastAsia="Times New Roman" w:hAnsi="Arial" w:cs="Arial"/>
      <w:sz w:val="18"/>
      <w:szCs w:val="18"/>
      <w:lang w:val="es-ES" w:eastAsia="es-ES"/>
    </w:rPr>
  </w:style>
  <w:style w:type="paragraph" w:styleId="Subttulo">
    <w:name w:val="Subtitle"/>
    <w:basedOn w:val="Normal"/>
    <w:next w:val="Normal"/>
    <w:link w:val="SubttuloCar"/>
    <w:uiPriority w:val="11"/>
    <w:qFormat/>
    <w:rsid w:val="00DA37A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A37AB"/>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F518E3"/>
    <w:rPr>
      <w:sz w:val="16"/>
      <w:szCs w:val="16"/>
    </w:rPr>
  </w:style>
  <w:style w:type="paragraph" w:styleId="Textocomentario">
    <w:name w:val="annotation text"/>
    <w:basedOn w:val="Normal"/>
    <w:link w:val="TextocomentarioCar"/>
    <w:uiPriority w:val="99"/>
    <w:semiHidden/>
    <w:unhideWhenUsed/>
    <w:rsid w:val="00F51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8E3"/>
    <w:rPr>
      <w:sz w:val="20"/>
      <w:szCs w:val="20"/>
    </w:rPr>
  </w:style>
  <w:style w:type="paragraph" w:styleId="Asuntodelcomentario">
    <w:name w:val="annotation subject"/>
    <w:basedOn w:val="Textocomentario"/>
    <w:next w:val="Textocomentario"/>
    <w:link w:val="AsuntodelcomentarioCar"/>
    <w:uiPriority w:val="99"/>
    <w:semiHidden/>
    <w:unhideWhenUsed/>
    <w:rsid w:val="00F518E3"/>
    <w:rPr>
      <w:b/>
      <w:bCs/>
    </w:rPr>
  </w:style>
  <w:style w:type="character" w:customStyle="1" w:styleId="AsuntodelcomentarioCar">
    <w:name w:val="Asunto del comentario Car"/>
    <w:basedOn w:val="TextocomentarioCar"/>
    <w:link w:val="Asuntodelcomentario"/>
    <w:uiPriority w:val="99"/>
    <w:semiHidden/>
    <w:rsid w:val="00F518E3"/>
    <w:rPr>
      <w:b/>
      <w:bCs/>
      <w:sz w:val="20"/>
      <w:szCs w:val="20"/>
    </w:rPr>
  </w:style>
  <w:style w:type="paragraph" w:styleId="Textodeglobo">
    <w:name w:val="Balloon Text"/>
    <w:basedOn w:val="Normal"/>
    <w:link w:val="TextodegloboCar"/>
    <w:uiPriority w:val="99"/>
    <w:semiHidden/>
    <w:unhideWhenUsed/>
    <w:rsid w:val="00F51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3196</Words>
  <Characters>17580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 Suarez Fuentes</dc:creator>
  <cp:lastModifiedBy>Yaratzet Funes Lopez</cp:lastModifiedBy>
  <cp:revision>2</cp:revision>
  <cp:lastPrinted>2019-03-06T16:56:00Z</cp:lastPrinted>
  <dcterms:created xsi:type="dcterms:W3CDTF">2019-03-06T16:57:00Z</dcterms:created>
  <dcterms:modified xsi:type="dcterms:W3CDTF">2019-03-06T16:57:00Z</dcterms:modified>
</cp:coreProperties>
</file>