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A25C90" w:rsidRPr="005B6604" w14:paraId="1F0045BD" w14:textId="77777777" w:rsidTr="00C22FE0">
        <w:trPr>
          <w:jc w:val="center"/>
        </w:trPr>
        <w:tc>
          <w:tcPr>
            <w:tcW w:w="9335" w:type="dxa"/>
          </w:tcPr>
          <w:p w14:paraId="0371BA4C" w14:textId="33BF6CD9" w:rsidR="0057771B" w:rsidRDefault="00307335" w:rsidP="00956AEE">
            <w:pPr>
              <w:jc w:val="both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INFORME DE CONSIDERACIONES DE LA </w:t>
            </w:r>
            <w:r w:rsidR="00956AEE"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CONSULTA PÚBLICA DE INTEGRACIÓN</w:t>
            </w:r>
            <w:r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 </w:t>
            </w:r>
            <w:r w:rsidR="00CA793E"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ACERCA DE </w:t>
            </w:r>
            <w:r w:rsidR="00956AEE"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LOS ELEMENTOS A VALORARSE EN EL DESARROLLO DE </w:t>
            </w:r>
            <w:r w:rsidR="0057771B"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LAS </w:t>
            </w:r>
            <w:r w:rsidR="00CA793E"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“</w:t>
            </w:r>
            <w:r w:rsidR="00956AEE"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MÉTRICAS DE EFICIENCIA ESPECTRAL</w:t>
            </w:r>
            <w:r w:rsidR="00CA793E"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”</w:t>
            </w:r>
            <w:r w:rsidR="00956AEE"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.</w:t>
            </w:r>
          </w:p>
          <w:p w14:paraId="5F6E70CF" w14:textId="77777777" w:rsidR="0057771B" w:rsidRDefault="0057771B" w:rsidP="00956AEE">
            <w:pPr>
              <w:jc w:val="both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2C9B79B3" w14:textId="60CD90EC" w:rsidR="002F15E7" w:rsidRPr="00070677" w:rsidRDefault="00DA5D37" w:rsidP="00275F2C">
            <w:pPr>
              <w:jc w:val="both"/>
              <w:rPr>
                <w:rFonts w:ascii="ITC Avant Garde" w:hAnsi="ITC Avant Garde" w:cs="Tahoma"/>
                <w:bCs/>
                <w:color w:val="000000"/>
                <w:highlight w:val="yellow"/>
                <w:lang w:eastAsia="es-MX"/>
              </w:rPr>
            </w:pPr>
            <w:r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Periodo de la consulta pública</w:t>
            </w:r>
            <w:r w:rsidR="002F15E7"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: </w:t>
            </w:r>
            <w:r w:rsidRPr="00070677">
              <w:rPr>
                <w:rFonts w:ascii="ITC Avant Garde" w:hAnsi="ITC Avant Garde" w:cs="Tahoma"/>
                <w:bCs/>
                <w:color w:val="000000"/>
                <w:lang w:eastAsia="es-MX"/>
              </w:rPr>
              <w:t xml:space="preserve">del </w:t>
            </w:r>
            <w:r w:rsidR="002F15E7" w:rsidRPr="00070677">
              <w:rPr>
                <w:rFonts w:ascii="ITC Avant Garde" w:hAnsi="ITC Avant Garde" w:cs="Tahoma"/>
                <w:bCs/>
                <w:color w:val="000000"/>
                <w:lang w:eastAsia="es-MX"/>
              </w:rPr>
              <w:t>3 de diciembre de 2018 al 29 de enero de 2019.</w:t>
            </w:r>
          </w:p>
          <w:p w14:paraId="6211D86A" w14:textId="13A22183" w:rsidR="00A25C90" w:rsidRDefault="00995996">
            <w:pPr>
              <w:jc w:val="both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Fecha de elaboración del Informe</w:t>
            </w:r>
            <w:r w:rsidR="00275F2C" w:rsidRPr="0007067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: </w:t>
            </w:r>
            <w:r w:rsidR="00400FF7" w:rsidRPr="00070677">
              <w:rPr>
                <w:rFonts w:ascii="ITC Avant Garde" w:hAnsi="ITC Avant Garde" w:cs="Tahoma"/>
                <w:bCs/>
                <w:lang w:eastAsia="es-MX"/>
              </w:rPr>
              <w:t>26</w:t>
            </w:r>
            <w:r w:rsidR="00275F2C" w:rsidRPr="00070677">
              <w:rPr>
                <w:rFonts w:ascii="ITC Avant Garde" w:hAnsi="ITC Avant Garde" w:cs="Tahoma"/>
                <w:bCs/>
                <w:color w:val="000000"/>
                <w:lang w:eastAsia="es-MX"/>
              </w:rPr>
              <w:t xml:space="preserve"> </w:t>
            </w:r>
            <w:r w:rsidR="00D70322" w:rsidRPr="00070677">
              <w:rPr>
                <w:rFonts w:ascii="ITC Avant Garde" w:hAnsi="ITC Avant Garde" w:cs="Tahoma"/>
                <w:bCs/>
                <w:color w:val="000000"/>
                <w:lang w:eastAsia="es-MX"/>
              </w:rPr>
              <w:t xml:space="preserve">de </w:t>
            </w:r>
            <w:r w:rsidR="00400FF7" w:rsidRPr="00070677">
              <w:rPr>
                <w:rFonts w:ascii="ITC Avant Garde" w:hAnsi="ITC Avant Garde" w:cs="Tahoma"/>
                <w:bCs/>
                <w:color w:val="000000"/>
                <w:lang w:eastAsia="es-MX"/>
              </w:rPr>
              <w:t>febrero</w:t>
            </w:r>
            <w:r w:rsidR="00D70322" w:rsidRPr="00070677">
              <w:rPr>
                <w:rFonts w:ascii="ITC Avant Garde" w:hAnsi="ITC Avant Garde" w:cs="Tahoma"/>
                <w:bCs/>
                <w:color w:val="000000"/>
                <w:lang w:eastAsia="es-MX"/>
              </w:rPr>
              <w:t xml:space="preserve"> de 20</w:t>
            </w:r>
            <w:r w:rsidR="00400FF7" w:rsidRPr="00070677">
              <w:rPr>
                <w:rFonts w:ascii="ITC Avant Garde" w:hAnsi="ITC Avant Garde" w:cs="Tahoma"/>
                <w:bCs/>
                <w:color w:val="000000"/>
                <w:lang w:eastAsia="es-MX"/>
              </w:rPr>
              <w:t>19</w:t>
            </w:r>
            <w:r w:rsidR="00D70322" w:rsidRPr="00070677">
              <w:rPr>
                <w:rFonts w:ascii="ITC Avant Garde" w:hAnsi="ITC Avant Garde" w:cs="Tahoma"/>
                <w:bCs/>
                <w:color w:val="000000"/>
                <w:lang w:eastAsia="es-MX"/>
              </w:rPr>
              <w:t>.</w:t>
            </w:r>
            <w:r w:rsidR="00275F2C" w:rsidRPr="00400FF7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 </w:t>
            </w:r>
          </w:p>
          <w:p w14:paraId="61449475" w14:textId="242CB469" w:rsidR="00825D68" w:rsidRPr="00D70322" w:rsidRDefault="00825D68">
            <w:pPr>
              <w:jc w:val="both"/>
              <w:rPr>
                <w:rFonts w:ascii="ITC Avant Garde" w:eastAsia="Calibri" w:hAnsi="ITC Avant Garde" w:cs="Arial"/>
                <w:b/>
              </w:rPr>
            </w:pPr>
          </w:p>
        </w:tc>
      </w:tr>
      <w:tr w:rsidR="00825D68" w:rsidRPr="005B6604" w14:paraId="08640931" w14:textId="77777777" w:rsidTr="00C22FE0">
        <w:trPr>
          <w:jc w:val="center"/>
        </w:trPr>
        <w:tc>
          <w:tcPr>
            <w:tcW w:w="9335" w:type="dxa"/>
          </w:tcPr>
          <w:p w14:paraId="10101CBE" w14:textId="6C2AF17F" w:rsidR="00825D68" w:rsidRPr="00070677" w:rsidRDefault="00825D68" w:rsidP="00070677">
            <w:pPr>
              <w:pBdr>
                <w:top w:val="single" w:sz="4" w:space="1" w:color="auto"/>
              </w:pBdr>
              <w:tabs>
                <w:tab w:val="left" w:pos="1710"/>
                <w:tab w:val="left" w:pos="2610"/>
                <w:tab w:val="center" w:pos="4419"/>
                <w:tab w:val="center" w:pos="4534"/>
              </w:tabs>
              <w:spacing w:before="120" w:after="120"/>
              <w:jc w:val="both"/>
              <w:rPr>
                <w:rFonts w:ascii="ITC Avant Garde" w:eastAsia="Calibri" w:hAnsi="ITC Avant Garde" w:cs="Arial"/>
                <w:b/>
              </w:rPr>
            </w:pPr>
            <w:r>
              <w:rPr>
                <w:rFonts w:ascii="ITC Avant Garde" w:eastAsia="Calibri" w:hAnsi="ITC Avant Garde" w:cs="Arial"/>
                <w:b/>
              </w:rPr>
              <w:t xml:space="preserve">Título de la consulta pública: </w:t>
            </w:r>
            <w:r>
              <w:rPr>
                <w:rFonts w:ascii="ITC Avant Garde" w:hAnsi="ITC Avant Garde" w:cs="Tahoma"/>
                <w:bCs/>
                <w:color w:val="000000"/>
                <w:lang w:eastAsia="es-MX"/>
              </w:rPr>
              <w:t>C</w:t>
            </w:r>
            <w:r w:rsidRPr="00BC26E6">
              <w:rPr>
                <w:rFonts w:ascii="ITC Avant Garde" w:hAnsi="ITC Avant Garde" w:cs="Tahoma"/>
                <w:bCs/>
                <w:color w:val="000000"/>
                <w:lang w:eastAsia="es-MX"/>
              </w:rPr>
              <w:t xml:space="preserve">onsulta </w:t>
            </w:r>
            <w:r>
              <w:rPr>
                <w:rFonts w:ascii="ITC Avant Garde" w:hAnsi="ITC Avant Garde" w:cs="Tahoma"/>
                <w:bCs/>
                <w:color w:val="000000"/>
                <w:lang w:eastAsia="es-MX"/>
              </w:rPr>
              <w:t>P</w:t>
            </w:r>
            <w:r w:rsidRPr="00BC26E6">
              <w:rPr>
                <w:rFonts w:ascii="ITC Avant Garde" w:hAnsi="ITC Avant Garde" w:cs="Tahoma"/>
                <w:bCs/>
                <w:color w:val="000000"/>
                <w:lang w:eastAsia="es-MX"/>
              </w:rPr>
              <w:t>ública de integración acerca de los elementos a valorarse en el desarrollo de las “</w:t>
            </w:r>
            <w:r>
              <w:rPr>
                <w:rFonts w:ascii="ITC Avant Garde" w:hAnsi="ITC Avant Garde" w:cs="Tahoma"/>
                <w:bCs/>
                <w:color w:val="000000"/>
                <w:lang w:eastAsia="es-MX"/>
              </w:rPr>
              <w:t>M</w:t>
            </w:r>
            <w:r w:rsidRPr="00BC26E6">
              <w:rPr>
                <w:rFonts w:ascii="ITC Avant Garde" w:hAnsi="ITC Avant Garde" w:cs="Tahoma"/>
                <w:bCs/>
                <w:color w:val="000000"/>
                <w:lang w:eastAsia="es-MX"/>
              </w:rPr>
              <w:t xml:space="preserve">étricas de </w:t>
            </w:r>
            <w:r>
              <w:rPr>
                <w:rFonts w:ascii="ITC Avant Garde" w:hAnsi="ITC Avant Garde" w:cs="Tahoma"/>
                <w:bCs/>
                <w:color w:val="000000"/>
                <w:lang w:eastAsia="es-MX"/>
              </w:rPr>
              <w:t>E</w:t>
            </w:r>
            <w:r w:rsidRPr="00BC26E6">
              <w:rPr>
                <w:rFonts w:ascii="ITC Avant Garde" w:hAnsi="ITC Avant Garde" w:cs="Tahoma"/>
                <w:bCs/>
                <w:color w:val="000000"/>
                <w:lang w:eastAsia="es-MX"/>
              </w:rPr>
              <w:t xml:space="preserve">ficiencia </w:t>
            </w:r>
            <w:r>
              <w:rPr>
                <w:rFonts w:ascii="ITC Avant Garde" w:hAnsi="ITC Avant Garde" w:cs="Tahoma"/>
                <w:bCs/>
                <w:color w:val="000000"/>
                <w:lang w:eastAsia="es-MX"/>
              </w:rPr>
              <w:t>E</w:t>
            </w:r>
            <w:r w:rsidRPr="00BC26E6">
              <w:rPr>
                <w:rFonts w:ascii="ITC Avant Garde" w:hAnsi="ITC Avant Garde" w:cs="Tahoma"/>
                <w:bCs/>
                <w:color w:val="000000"/>
                <w:lang w:eastAsia="es-MX"/>
              </w:rPr>
              <w:t>spectral”.</w:t>
            </w:r>
          </w:p>
          <w:p w14:paraId="633F2464" w14:textId="283839DA" w:rsidR="00825D68" w:rsidRPr="00070677" w:rsidRDefault="00825D68" w:rsidP="00070677">
            <w:pPr>
              <w:pBdr>
                <w:top w:val="single" w:sz="4" w:space="1" w:color="auto"/>
              </w:pBdr>
              <w:tabs>
                <w:tab w:val="left" w:pos="1710"/>
                <w:tab w:val="left" w:pos="2610"/>
                <w:tab w:val="center" w:pos="4419"/>
                <w:tab w:val="center" w:pos="4534"/>
              </w:tabs>
              <w:rPr>
                <w:rFonts w:ascii="ITC Avant Garde" w:hAnsi="ITC Avant Garde" w:cs="Tahoma"/>
                <w:bCs/>
                <w:color w:val="000000"/>
                <w:lang w:eastAsia="es-MX"/>
              </w:rPr>
            </w:pPr>
          </w:p>
        </w:tc>
      </w:tr>
      <w:tr w:rsidR="00F66A10" w:rsidRPr="005B6604" w14:paraId="5E2FF130" w14:textId="77777777" w:rsidTr="00C22FE0">
        <w:trPr>
          <w:jc w:val="center"/>
        </w:trPr>
        <w:tc>
          <w:tcPr>
            <w:tcW w:w="9335" w:type="dxa"/>
          </w:tcPr>
          <w:p w14:paraId="5878059D" w14:textId="6A8CEAB0" w:rsidR="005D1E07" w:rsidRDefault="00210848" w:rsidP="006C7189">
            <w:pPr>
              <w:pBdr>
                <w:top w:val="single" w:sz="4" w:space="1" w:color="auto"/>
              </w:pBdr>
              <w:tabs>
                <w:tab w:val="left" w:pos="1710"/>
                <w:tab w:val="left" w:pos="2610"/>
                <w:tab w:val="center" w:pos="4419"/>
                <w:tab w:val="center" w:pos="4534"/>
              </w:tabs>
              <w:rPr>
                <w:rFonts w:ascii="ITC Avant Garde" w:eastAsia="Calibri" w:hAnsi="ITC Avant Garde" w:cs="Arial"/>
                <w:b/>
              </w:rPr>
            </w:pPr>
            <w:r w:rsidRPr="00070677">
              <w:rPr>
                <w:rFonts w:ascii="ITC Avant Garde" w:eastAsia="Calibri" w:hAnsi="ITC Avant Garde" w:cs="Arial"/>
                <w:b/>
              </w:rPr>
              <w:t xml:space="preserve">Descripción </w:t>
            </w:r>
            <w:r w:rsidR="006F174F" w:rsidRPr="00070677">
              <w:rPr>
                <w:rFonts w:ascii="ITC Avant Garde" w:eastAsia="Calibri" w:hAnsi="ITC Avant Garde" w:cs="Arial"/>
                <w:b/>
              </w:rPr>
              <w:t>de la Consulta Pública de Integración</w:t>
            </w:r>
            <w:r w:rsidR="00F66A10" w:rsidRPr="00070677">
              <w:rPr>
                <w:rFonts w:ascii="ITC Avant Garde" w:eastAsia="Calibri" w:hAnsi="ITC Avant Garde" w:cs="Arial"/>
                <w:b/>
              </w:rPr>
              <w:t>:</w:t>
            </w:r>
          </w:p>
          <w:p w14:paraId="575DA86B" w14:textId="77777777" w:rsidR="0062349A" w:rsidRPr="005D1E07" w:rsidRDefault="0062349A" w:rsidP="006C7189">
            <w:pPr>
              <w:pBdr>
                <w:top w:val="single" w:sz="4" w:space="1" w:color="auto"/>
              </w:pBdr>
              <w:tabs>
                <w:tab w:val="left" w:pos="1710"/>
                <w:tab w:val="left" w:pos="2610"/>
                <w:tab w:val="center" w:pos="4419"/>
                <w:tab w:val="center" w:pos="4534"/>
              </w:tabs>
              <w:rPr>
                <w:rFonts w:ascii="ITC Avant Garde" w:eastAsia="Calibri" w:hAnsi="ITC Avant Garde" w:cs="Arial"/>
              </w:rPr>
            </w:pPr>
          </w:p>
          <w:p w14:paraId="4B52DD35" w14:textId="6D9A1F8A" w:rsidR="00E02DCB" w:rsidRDefault="007E5A48" w:rsidP="007E5A48">
            <w:pPr>
              <w:jc w:val="both"/>
              <w:rPr>
                <w:rFonts w:ascii="ITC Avant Garde" w:hAnsi="ITC Avant Garde"/>
                <w:lang w:eastAsia="es-MX"/>
              </w:rPr>
            </w:pPr>
            <w:r>
              <w:rPr>
                <w:rFonts w:ascii="ITC Avant Garde" w:hAnsi="ITC Avant Garde"/>
                <w:lang w:eastAsia="es-MX"/>
              </w:rPr>
              <w:t>A</w:t>
            </w:r>
            <w:r w:rsidR="0062349A">
              <w:rPr>
                <w:rFonts w:ascii="ITC Avant Garde" w:hAnsi="ITC Avant Garde"/>
                <w:lang w:eastAsia="es-MX"/>
              </w:rPr>
              <w:t xml:space="preserve"> través de la </w:t>
            </w:r>
            <w:r w:rsidR="007674C5">
              <w:rPr>
                <w:rFonts w:ascii="ITC Avant Garde" w:hAnsi="ITC Avant Garde"/>
                <w:lang w:eastAsia="es-MX"/>
              </w:rPr>
              <w:t>presente C</w:t>
            </w:r>
            <w:r w:rsidR="0062349A">
              <w:rPr>
                <w:rFonts w:ascii="ITC Avant Garde" w:hAnsi="ITC Avant Garde"/>
                <w:lang w:eastAsia="es-MX"/>
              </w:rPr>
              <w:t xml:space="preserve">onsulta </w:t>
            </w:r>
            <w:r w:rsidR="007674C5">
              <w:rPr>
                <w:rFonts w:ascii="ITC Avant Garde" w:hAnsi="ITC Avant Garde"/>
                <w:lang w:eastAsia="es-MX"/>
              </w:rPr>
              <w:t>Pública de I</w:t>
            </w:r>
            <w:r w:rsidR="0062349A">
              <w:rPr>
                <w:rFonts w:ascii="ITC Avant Garde" w:hAnsi="ITC Avant Garde"/>
                <w:lang w:eastAsia="es-MX"/>
              </w:rPr>
              <w:t>ntegración</w:t>
            </w:r>
            <w:r w:rsidR="007674C5">
              <w:rPr>
                <w:rFonts w:ascii="ITC Avant Garde" w:hAnsi="ITC Avant Garde"/>
                <w:lang w:eastAsia="es-MX"/>
              </w:rPr>
              <w:t xml:space="preserve"> (CPI)</w:t>
            </w:r>
            <w:r w:rsidR="00921961">
              <w:rPr>
                <w:rFonts w:ascii="ITC Avant Garde" w:hAnsi="ITC Avant Garde"/>
                <w:lang w:eastAsia="es-MX"/>
              </w:rPr>
              <w:t>,</w:t>
            </w:r>
            <w:r w:rsidR="009A77F7">
              <w:rPr>
                <w:rFonts w:ascii="ITC Avant Garde" w:hAnsi="ITC Avant Garde"/>
                <w:lang w:eastAsia="es-MX"/>
              </w:rPr>
              <w:t xml:space="preserve"> </w:t>
            </w:r>
            <w:r w:rsidR="007674C5">
              <w:rPr>
                <w:rFonts w:ascii="ITC Avant Garde" w:hAnsi="ITC Avant Garde"/>
                <w:lang w:eastAsia="es-MX"/>
              </w:rPr>
              <w:t>la Unidad de Espectro Radioeléctrico</w:t>
            </w:r>
            <w:r w:rsidRPr="007E5A48">
              <w:rPr>
                <w:rFonts w:ascii="ITC Avant Garde" w:hAnsi="ITC Avant Garde"/>
                <w:lang w:eastAsia="es-MX"/>
              </w:rPr>
              <w:t xml:space="preserve"> </w:t>
            </w:r>
            <w:r w:rsidR="00E02DCB">
              <w:rPr>
                <w:rFonts w:ascii="ITC Avant Garde" w:hAnsi="ITC Avant Garde"/>
                <w:lang w:eastAsia="es-MX"/>
              </w:rPr>
              <w:t xml:space="preserve">(UER) </w:t>
            </w:r>
            <w:r w:rsidR="00F761B8">
              <w:rPr>
                <w:rFonts w:ascii="ITC Avant Garde" w:hAnsi="ITC Avant Garde"/>
                <w:lang w:eastAsia="es-MX"/>
              </w:rPr>
              <w:t>busca de allega</w:t>
            </w:r>
            <w:r w:rsidR="00C64BD6">
              <w:rPr>
                <w:rFonts w:ascii="ITC Avant Garde" w:hAnsi="ITC Avant Garde"/>
                <w:lang w:eastAsia="es-MX"/>
              </w:rPr>
              <w:t>rse de opiniones, comentarios y/o aportaciones de la industria, la academia y de</w:t>
            </w:r>
            <w:r w:rsidR="009A77F7">
              <w:rPr>
                <w:rFonts w:ascii="ITC Avant Garde" w:hAnsi="ITC Avant Garde"/>
                <w:lang w:eastAsia="es-MX"/>
              </w:rPr>
              <w:t xml:space="preserve"> cualquier interesado,</w:t>
            </w:r>
            <w:r w:rsidR="00C64BD6">
              <w:rPr>
                <w:rFonts w:ascii="ITC Avant Garde" w:hAnsi="ITC Avant Garde"/>
                <w:lang w:eastAsia="es-MX"/>
              </w:rPr>
              <w:t xml:space="preserve"> </w:t>
            </w:r>
            <w:r w:rsidR="00EB571D">
              <w:rPr>
                <w:rFonts w:ascii="ITC Avant Garde" w:hAnsi="ITC Avant Garde"/>
                <w:lang w:eastAsia="es-MX"/>
              </w:rPr>
              <w:t xml:space="preserve">sobre </w:t>
            </w:r>
            <w:r w:rsidR="009A77F7">
              <w:rPr>
                <w:rFonts w:ascii="ITC Avant Garde" w:hAnsi="ITC Avant Garde"/>
                <w:lang w:eastAsia="es-MX"/>
              </w:rPr>
              <w:t xml:space="preserve">los </w:t>
            </w:r>
            <w:r w:rsidR="000C7176">
              <w:rPr>
                <w:rFonts w:ascii="ITC Avant Garde" w:hAnsi="ITC Avant Garde"/>
                <w:lang w:eastAsia="es-MX"/>
              </w:rPr>
              <w:t xml:space="preserve">elementos </w:t>
            </w:r>
            <w:r w:rsidR="009A77F7">
              <w:rPr>
                <w:rFonts w:ascii="ITC Avant Garde" w:hAnsi="ITC Avant Garde"/>
                <w:lang w:eastAsia="es-MX"/>
              </w:rPr>
              <w:t xml:space="preserve">que podrían </w:t>
            </w:r>
            <w:r w:rsidR="00221FEA">
              <w:rPr>
                <w:rFonts w:ascii="ITC Avant Garde" w:hAnsi="ITC Avant Garde"/>
                <w:lang w:eastAsia="es-MX"/>
              </w:rPr>
              <w:t xml:space="preserve">ser valorados </w:t>
            </w:r>
            <w:r w:rsidR="009A77F7">
              <w:rPr>
                <w:rFonts w:ascii="ITC Avant Garde" w:hAnsi="ITC Avant Garde"/>
                <w:lang w:eastAsia="es-MX"/>
              </w:rPr>
              <w:t xml:space="preserve">para </w:t>
            </w:r>
            <w:r w:rsidR="00221FEA">
              <w:rPr>
                <w:rFonts w:ascii="ITC Avant Garde" w:hAnsi="ITC Avant Garde"/>
                <w:lang w:eastAsia="es-MX"/>
              </w:rPr>
              <w:t xml:space="preserve">el </w:t>
            </w:r>
            <w:r w:rsidR="00E02DCB">
              <w:rPr>
                <w:rFonts w:ascii="ITC Avant Garde" w:hAnsi="ITC Avant Garde"/>
                <w:lang w:eastAsia="es-MX"/>
              </w:rPr>
              <w:t xml:space="preserve">desarrollo de </w:t>
            </w:r>
            <w:r w:rsidR="000A6EDF">
              <w:rPr>
                <w:rFonts w:ascii="ITC Avant Garde" w:hAnsi="ITC Avant Garde"/>
                <w:lang w:eastAsia="es-MX"/>
              </w:rPr>
              <w:t xml:space="preserve">las </w:t>
            </w:r>
            <w:r w:rsidR="00E02DCB">
              <w:rPr>
                <w:rFonts w:ascii="ITC Avant Garde" w:hAnsi="ITC Avant Garde"/>
                <w:lang w:eastAsia="es-MX"/>
              </w:rPr>
              <w:t>Métricas de Eficiencia Espectral</w:t>
            </w:r>
            <w:r w:rsidR="0071515F">
              <w:rPr>
                <w:rFonts w:ascii="ITC Avant Garde" w:hAnsi="ITC Avant Garde"/>
                <w:lang w:eastAsia="es-MX"/>
              </w:rPr>
              <w:t xml:space="preserve"> (MEE)</w:t>
            </w:r>
            <w:r w:rsidR="00E02DCB">
              <w:rPr>
                <w:rFonts w:ascii="ITC Avant Garde" w:hAnsi="ITC Avant Garde"/>
                <w:lang w:eastAsia="es-MX"/>
              </w:rPr>
              <w:t>.</w:t>
            </w:r>
            <w:r w:rsidR="009A77F7">
              <w:rPr>
                <w:rFonts w:ascii="ITC Avant Garde" w:hAnsi="ITC Avant Garde"/>
                <w:lang w:eastAsia="es-MX"/>
              </w:rPr>
              <w:t xml:space="preserve"> </w:t>
            </w:r>
          </w:p>
          <w:p w14:paraId="2419C7CC" w14:textId="77777777" w:rsidR="00E02DCB" w:rsidRDefault="00E02DCB" w:rsidP="007E5A48">
            <w:pPr>
              <w:jc w:val="both"/>
              <w:rPr>
                <w:rFonts w:ascii="ITC Avant Garde" w:hAnsi="ITC Avant Garde"/>
                <w:lang w:eastAsia="es-MX"/>
              </w:rPr>
            </w:pPr>
          </w:p>
          <w:p w14:paraId="55F23956" w14:textId="08D756F6" w:rsidR="00F761B8" w:rsidRDefault="009A77F7" w:rsidP="007E5A48">
            <w:pPr>
              <w:jc w:val="both"/>
              <w:rPr>
                <w:rFonts w:ascii="ITC Avant Garde" w:hAnsi="ITC Avant Garde"/>
                <w:lang w:eastAsia="es-MX"/>
              </w:rPr>
            </w:pPr>
            <w:r>
              <w:rPr>
                <w:rFonts w:ascii="ITC Avant Garde" w:hAnsi="ITC Avant Garde"/>
                <w:lang w:eastAsia="es-MX"/>
              </w:rPr>
              <w:t>Con la finalidad de dar contexto a la CPI</w:t>
            </w:r>
            <w:r w:rsidR="00EC02B1">
              <w:rPr>
                <w:rFonts w:ascii="ITC Avant Garde" w:hAnsi="ITC Avant Garde"/>
                <w:lang w:eastAsia="es-MX"/>
              </w:rPr>
              <w:t xml:space="preserve">, </w:t>
            </w:r>
            <w:r w:rsidR="00E02DCB">
              <w:rPr>
                <w:rFonts w:ascii="ITC Avant Garde" w:hAnsi="ITC Avant Garde"/>
                <w:lang w:eastAsia="es-MX"/>
              </w:rPr>
              <w:t xml:space="preserve">la UER elaboró un </w:t>
            </w:r>
            <w:r>
              <w:rPr>
                <w:rFonts w:ascii="ITC Avant Garde" w:hAnsi="ITC Avant Garde"/>
                <w:lang w:eastAsia="es-MX"/>
              </w:rPr>
              <w:t xml:space="preserve">documento </w:t>
            </w:r>
            <w:r w:rsidR="00E02DCB">
              <w:rPr>
                <w:rFonts w:ascii="ITC Avant Garde" w:hAnsi="ITC Avant Garde"/>
                <w:lang w:eastAsia="es-MX"/>
              </w:rPr>
              <w:t>de referencia denominado “</w:t>
            </w:r>
            <w:r w:rsidR="00E02DCB" w:rsidRPr="00307335">
              <w:rPr>
                <w:rFonts w:ascii="ITC Avant Garde" w:hAnsi="ITC Avant Garde"/>
                <w:i/>
                <w:lang w:eastAsia="es-MX"/>
              </w:rPr>
              <w:t>Medición de la Eficiencia Espectral. Definiciones y consideraciones a observar para su aplicación en México</w:t>
            </w:r>
            <w:r w:rsidR="00E02DCB">
              <w:rPr>
                <w:rFonts w:ascii="ITC Avant Garde" w:hAnsi="ITC Avant Garde"/>
                <w:lang w:eastAsia="es-MX"/>
              </w:rPr>
              <w:t>”</w:t>
            </w:r>
            <w:r w:rsidR="00151B19">
              <w:rPr>
                <w:rFonts w:ascii="ITC Avant Garde" w:hAnsi="ITC Avant Garde"/>
                <w:lang w:eastAsia="es-MX"/>
              </w:rPr>
              <w:t xml:space="preserve"> (en adelante “</w:t>
            </w:r>
            <w:r w:rsidR="0057771B">
              <w:rPr>
                <w:rFonts w:ascii="ITC Avant Garde" w:hAnsi="ITC Avant Garde"/>
                <w:lang w:eastAsia="es-MX"/>
              </w:rPr>
              <w:t>E</w:t>
            </w:r>
            <w:r w:rsidR="00151B19">
              <w:rPr>
                <w:rFonts w:ascii="ITC Avant Garde" w:hAnsi="ITC Avant Garde"/>
                <w:lang w:eastAsia="es-MX"/>
              </w:rPr>
              <w:t>studio de referencia”)</w:t>
            </w:r>
            <w:r w:rsidR="00E02DCB">
              <w:rPr>
                <w:rFonts w:ascii="ITC Avant Garde" w:hAnsi="ITC Avant Garde"/>
                <w:lang w:eastAsia="es-MX"/>
              </w:rPr>
              <w:t xml:space="preserve">, el cual </w:t>
            </w:r>
            <w:r>
              <w:rPr>
                <w:rFonts w:ascii="ITC Avant Garde" w:hAnsi="ITC Avant Garde"/>
                <w:lang w:eastAsia="es-MX"/>
              </w:rPr>
              <w:t xml:space="preserve">proporciona información de contexto para facilitar la participación en la CPI por parte de los interesados. </w:t>
            </w:r>
          </w:p>
          <w:p w14:paraId="060F6CDE" w14:textId="075AF9B0" w:rsidR="00BD519F" w:rsidRDefault="00BD519F" w:rsidP="007E5A48">
            <w:pPr>
              <w:jc w:val="both"/>
              <w:rPr>
                <w:rFonts w:ascii="ITC Avant Garde" w:hAnsi="ITC Avant Garde"/>
                <w:lang w:eastAsia="es-MX"/>
              </w:rPr>
            </w:pPr>
          </w:p>
          <w:p w14:paraId="482982CB" w14:textId="0B6093BA" w:rsidR="00BD519F" w:rsidRDefault="009A77F7" w:rsidP="007E5A48">
            <w:pPr>
              <w:jc w:val="both"/>
              <w:rPr>
                <w:rFonts w:ascii="ITC Avant Garde" w:hAnsi="ITC Avant Garde"/>
                <w:lang w:eastAsia="es-MX"/>
              </w:rPr>
            </w:pPr>
            <w:r>
              <w:rPr>
                <w:rFonts w:ascii="ITC Avant Garde" w:hAnsi="ITC Avant Garde"/>
                <w:lang w:eastAsia="es-MX"/>
              </w:rPr>
              <w:t xml:space="preserve">Para facilitar la participación en la </w:t>
            </w:r>
            <w:r w:rsidR="00320F9D">
              <w:rPr>
                <w:rFonts w:ascii="ITC Avant Garde" w:hAnsi="ITC Avant Garde"/>
                <w:lang w:eastAsia="es-MX"/>
              </w:rPr>
              <w:t>CPI</w:t>
            </w:r>
            <w:r>
              <w:rPr>
                <w:rFonts w:ascii="ITC Avant Garde" w:hAnsi="ITC Avant Garde"/>
                <w:lang w:eastAsia="es-MX"/>
              </w:rPr>
              <w:t>,</w:t>
            </w:r>
            <w:r w:rsidR="00320F9D">
              <w:rPr>
                <w:rFonts w:ascii="ITC Avant Garde" w:hAnsi="ITC Avant Garde"/>
                <w:lang w:eastAsia="es-MX"/>
              </w:rPr>
              <w:t xml:space="preserve"> </w:t>
            </w:r>
            <w:r>
              <w:rPr>
                <w:rFonts w:ascii="ITC Avant Garde" w:hAnsi="ITC Avant Garde"/>
                <w:lang w:eastAsia="es-MX"/>
              </w:rPr>
              <w:t xml:space="preserve">se </w:t>
            </w:r>
            <w:r w:rsidR="00C56D5A">
              <w:rPr>
                <w:rFonts w:ascii="ITC Avant Garde" w:hAnsi="ITC Avant Garde"/>
                <w:lang w:eastAsia="es-MX"/>
              </w:rPr>
              <w:t>elaboró</w:t>
            </w:r>
            <w:r>
              <w:rPr>
                <w:rFonts w:ascii="ITC Avant Garde" w:hAnsi="ITC Avant Garde"/>
                <w:lang w:eastAsia="es-MX"/>
              </w:rPr>
              <w:t xml:space="preserve"> un </w:t>
            </w:r>
            <w:r w:rsidR="00BD519F">
              <w:rPr>
                <w:rFonts w:ascii="ITC Avant Garde" w:hAnsi="ITC Avant Garde"/>
                <w:lang w:eastAsia="es-MX"/>
              </w:rPr>
              <w:t xml:space="preserve">formato de participación </w:t>
            </w:r>
            <w:r>
              <w:rPr>
                <w:rFonts w:ascii="ITC Avant Garde" w:hAnsi="ITC Avant Garde"/>
                <w:lang w:eastAsia="es-MX"/>
              </w:rPr>
              <w:t>que</w:t>
            </w:r>
            <w:r w:rsidR="00BD519F">
              <w:rPr>
                <w:rFonts w:ascii="ITC Avant Garde" w:hAnsi="ITC Avant Garde"/>
                <w:lang w:eastAsia="es-MX"/>
              </w:rPr>
              <w:t xml:space="preserve"> </w:t>
            </w:r>
            <w:r>
              <w:rPr>
                <w:rFonts w:ascii="ITC Avant Garde" w:hAnsi="ITC Avant Garde"/>
                <w:lang w:eastAsia="es-MX"/>
              </w:rPr>
              <w:t xml:space="preserve">consiste en </w:t>
            </w:r>
            <w:r w:rsidR="00BD519F">
              <w:rPr>
                <w:rFonts w:ascii="ITC Avant Garde" w:hAnsi="ITC Avant Garde"/>
                <w:lang w:eastAsia="es-MX"/>
              </w:rPr>
              <w:t>un cuestionario de 29 preguntas</w:t>
            </w:r>
            <w:r w:rsidR="00320F9D">
              <w:rPr>
                <w:rFonts w:ascii="ITC Avant Garde" w:hAnsi="ITC Avant Garde"/>
                <w:lang w:eastAsia="es-MX"/>
              </w:rPr>
              <w:t xml:space="preserve"> que </w:t>
            </w:r>
            <w:r w:rsidR="00EC02B1">
              <w:rPr>
                <w:rFonts w:ascii="ITC Avant Garde" w:hAnsi="ITC Avant Garde"/>
                <w:lang w:eastAsia="es-MX"/>
              </w:rPr>
              <w:t>se derivan</w:t>
            </w:r>
            <w:r w:rsidR="00320F9D">
              <w:rPr>
                <w:rFonts w:ascii="ITC Avant Garde" w:hAnsi="ITC Avant Garde"/>
                <w:lang w:eastAsia="es-MX"/>
              </w:rPr>
              <w:t xml:space="preserve"> del </w:t>
            </w:r>
            <w:r>
              <w:rPr>
                <w:rFonts w:ascii="ITC Avant Garde" w:hAnsi="ITC Avant Garde"/>
                <w:lang w:eastAsia="es-MX"/>
              </w:rPr>
              <w:t>documento de referencia. Asimismo</w:t>
            </w:r>
            <w:r w:rsidR="0088264F">
              <w:rPr>
                <w:rFonts w:ascii="ITC Avant Garde" w:hAnsi="ITC Avant Garde"/>
                <w:lang w:eastAsia="es-MX"/>
              </w:rPr>
              <w:t xml:space="preserve">, el formato de participación </w:t>
            </w:r>
            <w:r w:rsidR="00E66511">
              <w:rPr>
                <w:rFonts w:ascii="ITC Avant Garde" w:hAnsi="ITC Avant Garde"/>
                <w:lang w:eastAsia="es-MX"/>
              </w:rPr>
              <w:t xml:space="preserve">permite a los </w:t>
            </w:r>
            <w:r w:rsidR="0057771B">
              <w:rPr>
                <w:rFonts w:ascii="ITC Avant Garde" w:hAnsi="ITC Avant Garde"/>
                <w:lang w:eastAsia="es-MX"/>
              </w:rPr>
              <w:t>interesados</w:t>
            </w:r>
            <w:r w:rsidR="00E66511">
              <w:rPr>
                <w:rFonts w:ascii="ITC Avant Garde" w:hAnsi="ITC Avant Garde"/>
                <w:lang w:eastAsia="es-MX"/>
              </w:rPr>
              <w:t xml:space="preserve"> que de forma libre adicionen </w:t>
            </w:r>
            <w:r w:rsidR="00801614">
              <w:rPr>
                <w:rFonts w:ascii="ITC Avant Garde" w:hAnsi="ITC Avant Garde"/>
                <w:lang w:eastAsia="es-MX"/>
              </w:rPr>
              <w:t>comentarios, opiniones y/o aportaciones</w:t>
            </w:r>
            <w:r w:rsidR="000A6EDF">
              <w:rPr>
                <w:rFonts w:ascii="ITC Avant Garde" w:hAnsi="ITC Avant Garde"/>
                <w:lang w:eastAsia="es-MX"/>
              </w:rPr>
              <w:t>,</w:t>
            </w:r>
            <w:r w:rsidR="00801614">
              <w:rPr>
                <w:rFonts w:ascii="ITC Avant Garde" w:hAnsi="ITC Avant Garde"/>
                <w:lang w:eastAsia="es-MX"/>
              </w:rPr>
              <w:t xml:space="preserve"> no necesariamente relacionados con las 29 preguntas, pero sí respecto a la </w:t>
            </w:r>
            <w:r w:rsidR="00653394" w:rsidRPr="00653394">
              <w:rPr>
                <w:rFonts w:ascii="ITC Avant Garde" w:hAnsi="ITC Avant Garde"/>
                <w:lang w:eastAsia="es-MX"/>
              </w:rPr>
              <w:t>e</w:t>
            </w:r>
            <w:r w:rsidR="0002666E" w:rsidRPr="00653394">
              <w:rPr>
                <w:rFonts w:ascii="ITC Avant Garde" w:hAnsi="ITC Avant Garde"/>
                <w:lang w:eastAsia="es-MX"/>
              </w:rPr>
              <w:t xml:space="preserve">ficiencia </w:t>
            </w:r>
            <w:r w:rsidR="00653394" w:rsidRPr="00653394">
              <w:rPr>
                <w:rFonts w:ascii="ITC Avant Garde" w:hAnsi="ITC Avant Garde"/>
                <w:lang w:eastAsia="es-MX"/>
              </w:rPr>
              <w:t>e</w:t>
            </w:r>
            <w:r w:rsidR="0002666E" w:rsidRPr="00653394">
              <w:rPr>
                <w:rFonts w:ascii="ITC Avant Garde" w:hAnsi="ITC Avant Garde"/>
                <w:lang w:eastAsia="es-MX"/>
              </w:rPr>
              <w:t>spectral</w:t>
            </w:r>
            <w:r w:rsidR="009C5944" w:rsidRPr="00653394">
              <w:rPr>
                <w:rFonts w:ascii="ITC Avant Garde" w:hAnsi="ITC Avant Garde"/>
                <w:lang w:eastAsia="es-MX"/>
              </w:rPr>
              <w:t>.</w:t>
            </w:r>
          </w:p>
          <w:p w14:paraId="302B7FD3" w14:textId="77777777" w:rsidR="00C56D5A" w:rsidRDefault="00C56D5A" w:rsidP="007E5A48">
            <w:pPr>
              <w:jc w:val="both"/>
              <w:rPr>
                <w:rFonts w:ascii="ITC Avant Garde" w:hAnsi="ITC Avant Garde"/>
                <w:lang w:eastAsia="es-MX"/>
              </w:rPr>
            </w:pPr>
          </w:p>
          <w:p w14:paraId="56427F5F" w14:textId="32BC9C10" w:rsidR="007E5A48" w:rsidRPr="007E5A48" w:rsidRDefault="00C56D5A" w:rsidP="007E5A48">
            <w:pPr>
              <w:jc w:val="both"/>
              <w:rPr>
                <w:rFonts w:ascii="ITC Avant Garde" w:hAnsi="ITC Avant Garde"/>
                <w:lang w:eastAsia="es-MX"/>
              </w:rPr>
            </w:pPr>
            <w:r>
              <w:rPr>
                <w:rFonts w:ascii="ITC Avant Garde" w:hAnsi="ITC Avant Garde"/>
                <w:lang w:eastAsia="es-MX"/>
              </w:rPr>
              <w:t>L</w:t>
            </w:r>
            <w:r w:rsidR="00437E09">
              <w:rPr>
                <w:rFonts w:ascii="ITC Avant Garde" w:hAnsi="ITC Avant Garde"/>
                <w:lang w:eastAsia="es-MX"/>
              </w:rPr>
              <w:t xml:space="preserve">a </w:t>
            </w:r>
            <w:r w:rsidR="005268B2">
              <w:rPr>
                <w:rFonts w:ascii="ITC Avant Garde" w:hAnsi="ITC Avant Garde"/>
                <w:lang w:eastAsia="es-MX"/>
              </w:rPr>
              <w:t xml:space="preserve">CPI </w:t>
            </w:r>
            <w:r>
              <w:rPr>
                <w:rFonts w:ascii="ITC Avant Garde" w:hAnsi="ITC Avant Garde"/>
                <w:lang w:eastAsia="es-MX"/>
              </w:rPr>
              <w:t>se elaboró en</w:t>
            </w:r>
            <w:r w:rsidR="004C7B66">
              <w:rPr>
                <w:rFonts w:ascii="ITC Avant Garde" w:hAnsi="ITC Avant Garde"/>
                <w:lang w:eastAsia="es-MX"/>
              </w:rPr>
              <w:t xml:space="preserve"> idioma español </w:t>
            </w:r>
            <w:r>
              <w:rPr>
                <w:rFonts w:ascii="ITC Avant Garde" w:hAnsi="ITC Avant Garde"/>
                <w:lang w:eastAsia="es-MX"/>
              </w:rPr>
              <w:t>e</w:t>
            </w:r>
            <w:r w:rsidR="005268B2">
              <w:rPr>
                <w:rFonts w:ascii="ITC Avant Garde" w:hAnsi="ITC Avant Garde"/>
                <w:lang w:eastAsia="es-MX"/>
              </w:rPr>
              <w:t xml:space="preserve"> inglés.</w:t>
            </w:r>
          </w:p>
          <w:p w14:paraId="7857DFC1" w14:textId="0646694E" w:rsidR="007E5A48" w:rsidRPr="007E5A48" w:rsidRDefault="007E5A48" w:rsidP="007E5A48">
            <w:pPr>
              <w:jc w:val="both"/>
              <w:rPr>
                <w:rFonts w:ascii="ITC Avant Garde" w:hAnsi="ITC Avant Garde"/>
                <w:bCs/>
                <w:color w:val="000000"/>
                <w:lang w:eastAsia="es-MX"/>
              </w:rPr>
            </w:pPr>
          </w:p>
        </w:tc>
      </w:tr>
      <w:tr w:rsidR="00F66A10" w:rsidRPr="005B6604" w14:paraId="3615029E" w14:textId="77777777" w:rsidTr="00C22FE0">
        <w:trPr>
          <w:trHeight w:val="694"/>
          <w:jc w:val="center"/>
        </w:trPr>
        <w:tc>
          <w:tcPr>
            <w:tcW w:w="9335" w:type="dxa"/>
          </w:tcPr>
          <w:p w14:paraId="2E7CB18C" w14:textId="6F18EF60" w:rsidR="000350A6" w:rsidRPr="009D2E6C" w:rsidRDefault="0057771B" w:rsidP="006C7189">
            <w:pPr>
              <w:pBdr>
                <w:top w:val="single" w:sz="4" w:space="1" w:color="auto"/>
              </w:pBdr>
              <w:tabs>
                <w:tab w:val="left" w:pos="1710"/>
                <w:tab w:val="center" w:pos="4419"/>
              </w:tabs>
              <w:rPr>
                <w:rFonts w:ascii="ITC Avant Garde" w:eastAsia="Calibri" w:hAnsi="ITC Avant Garde" w:cs="Arial"/>
                <w:b/>
              </w:rPr>
            </w:pPr>
            <w:r>
              <w:rPr>
                <w:rFonts w:ascii="ITC Avant Garde" w:eastAsia="Calibri" w:hAnsi="ITC Avant Garde" w:cs="Arial"/>
                <w:b/>
              </w:rPr>
              <w:t>Fundamentación</w:t>
            </w:r>
            <w:r w:rsidR="00F66A10" w:rsidRPr="009D2E6C">
              <w:rPr>
                <w:rFonts w:ascii="ITC Avant Garde" w:eastAsia="Calibri" w:hAnsi="ITC Avant Garde" w:cs="Arial"/>
                <w:b/>
              </w:rPr>
              <w:t>:</w:t>
            </w:r>
          </w:p>
          <w:p w14:paraId="5B2763EA" w14:textId="77777777" w:rsidR="00AA5893" w:rsidRPr="009D2E6C" w:rsidRDefault="00AA5893" w:rsidP="00B45E75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</w:p>
          <w:p w14:paraId="27689903" w14:textId="2AA4393A" w:rsidR="004D712A" w:rsidRDefault="004D712A" w:rsidP="006632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 xml:space="preserve">La Ley Federal de Telecomunicaciones y Radiodifusión (LFTR) </w:t>
            </w:r>
            <w:r w:rsidR="0057771B">
              <w:rPr>
                <w:rFonts w:ascii="ITC Avant Garde" w:hAnsi="ITC Avant Garde"/>
              </w:rPr>
              <w:t>prevé</w:t>
            </w:r>
            <w:r>
              <w:rPr>
                <w:rFonts w:ascii="ITC Avant Garde" w:hAnsi="ITC Avant Garde"/>
              </w:rPr>
              <w:t xml:space="preserve"> lo siguiente:</w:t>
            </w:r>
          </w:p>
          <w:p w14:paraId="7343F043" w14:textId="485626BA" w:rsidR="004D712A" w:rsidRPr="009D2E6C" w:rsidRDefault="004D712A" w:rsidP="00242090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72"/>
              <w:jc w:val="both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>Artículo 15, numeral XLVIII</w:t>
            </w:r>
            <w:r w:rsidR="0057771B">
              <w:rPr>
                <w:rFonts w:ascii="ITC Avant Garde" w:hAnsi="ITC Avant Garde"/>
              </w:rPr>
              <w:t>.</w:t>
            </w:r>
            <w:r>
              <w:rPr>
                <w:rFonts w:ascii="ITC Avant Garde" w:hAnsi="ITC Avant Garde"/>
              </w:rPr>
              <w:t xml:space="preserve"> </w:t>
            </w:r>
            <w:r w:rsidR="0057771B">
              <w:rPr>
                <w:rFonts w:ascii="ITC Avant Garde" w:eastAsia="Calibri" w:hAnsi="ITC Avant Garde" w:cs="Arial"/>
              </w:rPr>
              <w:t>E</w:t>
            </w:r>
            <w:r w:rsidRPr="009D2E6C">
              <w:rPr>
                <w:rFonts w:ascii="ITC Avant Garde" w:eastAsia="Calibri" w:hAnsi="ITC Avant Garde" w:cs="Arial"/>
              </w:rPr>
              <w:t xml:space="preserve">l Instituto </w:t>
            </w:r>
            <w:r w:rsidR="00C008A3">
              <w:rPr>
                <w:rFonts w:ascii="ITC Avant Garde" w:eastAsia="Calibri" w:hAnsi="ITC Avant Garde" w:cs="Arial"/>
              </w:rPr>
              <w:t xml:space="preserve">Federal de Telecomunicaciones (el Instituto) </w:t>
            </w:r>
            <w:r w:rsidRPr="009D2E6C">
              <w:rPr>
                <w:rFonts w:ascii="ITC Avant Garde" w:eastAsia="Calibri" w:hAnsi="ITC Avant Garde" w:cs="Arial"/>
              </w:rPr>
              <w:t xml:space="preserve">debe establecer las métricas de eficiencia espectral que </w:t>
            </w:r>
            <w:r>
              <w:rPr>
                <w:rFonts w:ascii="ITC Avant Garde" w:eastAsia="Calibri" w:hAnsi="ITC Avant Garde" w:cs="Arial"/>
              </w:rPr>
              <w:t xml:space="preserve">serán </w:t>
            </w:r>
            <w:r w:rsidRPr="009D2E6C">
              <w:rPr>
                <w:rFonts w:ascii="ITC Avant Garde" w:eastAsia="Calibri" w:hAnsi="ITC Avant Garde" w:cs="Arial"/>
              </w:rPr>
              <w:t>de observancia obligatoria, así como las metodologías de medición que permitan cuantificarlas.</w:t>
            </w:r>
          </w:p>
          <w:p w14:paraId="159FC815" w14:textId="56CBA7D7" w:rsidR="00385D70" w:rsidRDefault="00385D70" w:rsidP="00242090">
            <w:pPr>
              <w:pStyle w:val="Prrafodelista"/>
              <w:numPr>
                <w:ilvl w:val="0"/>
                <w:numId w:val="30"/>
              </w:numPr>
              <w:ind w:left="1172"/>
              <w:jc w:val="both"/>
              <w:rPr>
                <w:rFonts w:ascii="ITC Avant Garde" w:eastAsia="Calibri" w:hAnsi="ITC Avant Garde" w:cs="Arial"/>
              </w:rPr>
            </w:pPr>
            <w:r w:rsidRPr="009D2E6C">
              <w:rPr>
                <w:rFonts w:ascii="ITC Avant Garde" w:eastAsia="Calibri" w:hAnsi="ITC Avant Garde" w:cs="Arial"/>
              </w:rPr>
              <w:t>Artículo</w:t>
            </w:r>
            <w:r w:rsidR="00E10815">
              <w:rPr>
                <w:rFonts w:ascii="ITC Avant Garde" w:eastAsia="Calibri" w:hAnsi="ITC Avant Garde" w:cs="Arial"/>
              </w:rPr>
              <w:t xml:space="preserve"> 54, </w:t>
            </w:r>
            <w:r w:rsidR="0057771B">
              <w:rPr>
                <w:rFonts w:ascii="ITC Avant Garde" w:eastAsia="Calibri" w:hAnsi="ITC Avant Garde" w:cs="Arial"/>
              </w:rPr>
              <w:t xml:space="preserve">párrafo cuarto, inciso </w:t>
            </w:r>
            <w:r w:rsidR="00E10815">
              <w:rPr>
                <w:rFonts w:ascii="ITC Avant Garde" w:eastAsia="Calibri" w:hAnsi="ITC Avant Garde" w:cs="Arial"/>
              </w:rPr>
              <w:t>IV</w:t>
            </w:r>
            <w:r w:rsidR="0057771B">
              <w:rPr>
                <w:rFonts w:ascii="ITC Avant Garde" w:eastAsia="Calibri" w:hAnsi="ITC Avant Garde" w:cs="Arial"/>
              </w:rPr>
              <w:t>. E</w:t>
            </w:r>
            <w:r w:rsidR="00747045" w:rsidRPr="009D2E6C">
              <w:rPr>
                <w:rFonts w:ascii="ITC Avant Garde" w:eastAsia="Calibri" w:hAnsi="ITC Avant Garde" w:cs="Arial"/>
              </w:rPr>
              <w:t>l Instituto, en beneficio de los usuarios, deberá proteger el espectro, así como hacer un uso eficaz del mismo.</w:t>
            </w:r>
          </w:p>
          <w:p w14:paraId="268C89EF" w14:textId="7852A481" w:rsidR="00747045" w:rsidRDefault="003A33A4" w:rsidP="00242090">
            <w:pPr>
              <w:pStyle w:val="Prrafodelista"/>
              <w:numPr>
                <w:ilvl w:val="0"/>
                <w:numId w:val="30"/>
              </w:numPr>
              <w:ind w:left="1172"/>
              <w:jc w:val="both"/>
              <w:rPr>
                <w:rFonts w:ascii="ITC Avant Garde" w:eastAsia="Calibri" w:hAnsi="ITC Avant Garde" w:cs="Arial"/>
              </w:rPr>
            </w:pPr>
            <w:r w:rsidRPr="009D2E6C">
              <w:rPr>
                <w:rFonts w:ascii="ITC Avant Garde" w:eastAsia="Calibri" w:hAnsi="ITC Avant Garde" w:cs="Arial"/>
              </w:rPr>
              <w:t>Artíc</w:t>
            </w:r>
            <w:r w:rsidR="00242090">
              <w:rPr>
                <w:rFonts w:ascii="ITC Avant Garde" w:eastAsia="Calibri" w:hAnsi="ITC Avant Garde" w:cs="Arial"/>
              </w:rPr>
              <w:t>ulo 298, inciso d), numeral VII</w:t>
            </w:r>
            <w:r w:rsidR="0057771B">
              <w:rPr>
                <w:rFonts w:ascii="ITC Avant Garde" w:eastAsia="Calibri" w:hAnsi="ITC Avant Garde" w:cs="Arial"/>
              </w:rPr>
              <w:t>. E</w:t>
            </w:r>
            <w:r w:rsidR="00242090">
              <w:rPr>
                <w:rFonts w:ascii="ITC Avant Garde" w:eastAsia="Calibri" w:hAnsi="ITC Avant Garde" w:cs="Arial"/>
              </w:rPr>
              <w:t xml:space="preserve">l Instituto </w:t>
            </w:r>
            <w:r w:rsidR="0057771B">
              <w:rPr>
                <w:rFonts w:ascii="ITC Avant Garde" w:eastAsia="Calibri" w:hAnsi="ITC Avant Garde" w:cs="Arial"/>
              </w:rPr>
              <w:t xml:space="preserve">sancionará en materia de telecomunicaciones y radiodifusión, con </w:t>
            </w:r>
            <w:r w:rsidR="00242090">
              <w:rPr>
                <w:rFonts w:ascii="ITC Avant Garde" w:eastAsia="Calibri" w:hAnsi="ITC Avant Garde" w:cs="Arial"/>
              </w:rPr>
              <w:t>multa</w:t>
            </w:r>
            <w:r w:rsidR="00B0012F">
              <w:rPr>
                <w:rFonts w:ascii="ITC Avant Garde" w:eastAsia="Calibri" w:hAnsi="ITC Avant Garde" w:cs="Arial"/>
              </w:rPr>
              <w:t xml:space="preserve"> </w:t>
            </w:r>
            <w:r w:rsidR="0057771B">
              <w:rPr>
                <w:rFonts w:ascii="ITC Avant Garde" w:eastAsia="Calibri" w:hAnsi="ITC Avant Garde" w:cs="Arial"/>
              </w:rPr>
              <w:t xml:space="preserve">por el equivalente </w:t>
            </w:r>
            <w:r w:rsidRPr="009D2E6C">
              <w:rPr>
                <w:rFonts w:ascii="ITC Avant Garde" w:eastAsia="Calibri" w:hAnsi="ITC Avant Garde" w:cs="Arial"/>
              </w:rPr>
              <w:t xml:space="preserve">de </w:t>
            </w:r>
            <w:r w:rsidRPr="00513E7B">
              <w:rPr>
                <w:rFonts w:ascii="ITC Avant Garde" w:eastAsia="Calibri" w:hAnsi="ITC Avant Garde" w:cs="Arial"/>
              </w:rPr>
              <w:t xml:space="preserve">2.01% hasta 6% de los ingresos del concesionario o autorizado por </w:t>
            </w:r>
            <w:r w:rsidR="00513E7B">
              <w:rPr>
                <w:rFonts w:ascii="ITC Avant Garde" w:eastAsia="Calibri" w:hAnsi="ITC Avant Garde" w:cs="Arial"/>
              </w:rPr>
              <w:t>i</w:t>
            </w:r>
            <w:r w:rsidRPr="00513E7B">
              <w:rPr>
                <w:rFonts w:ascii="ITC Avant Garde" w:eastAsia="Calibri" w:hAnsi="ITC Avant Garde" w:cs="Arial"/>
              </w:rPr>
              <w:t>ncumplir con los niveles de eficiencia en el uso del espectro radioeléctrico</w:t>
            </w:r>
            <w:r w:rsidR="0057771B">
              <w:rPr>
                <w:rFonts w:ascii="ITC Avant Garde" w:eastAsia="Calibri" w:hAnsi="ITC Avant Garde" w:cs="Arial"/>
              </w:rPr>
              <w:t xml:space="preserve"> establecidos por el Instituto</w:t>
            </w:r>
            <w:r w:rsidR="00242090">
              <w:rPr>
                <w:rFonts w:ascii="ITC Avant Garde" w:eastAsia="Calibri" w:hAnsi="ITC Avant Garde" w:cs="Arial"/>
              </w:rPr>
              <w:t>.</w:t>
            </w:r>
          </w:p>
          <w:p w14:paraId="3E9D5AD3" w14:textId="47F31D2F" w:rsidR="001A5332" w:rsidRDefault="00FF74B3" w:rsidP="00AE4D4D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lastRenderedPageBreak/>
              <w:t>El Programa Nacional de Espectro Radioeléctrico</w:t>
            </w:r>
            <w:r w:rsidR="003D1604">
              <w:rPr>
                <w:rFonts w:ascii="ITC Avant Garde" w:hAnsi="ITC Avant Garde"/>
              </w:rPr>
              <w:t>,</w:t>
            </w:r>
            <w:r w:rsidR="00E10815">
              <w:rPr>
                <w:rFonts w:ascii="ITC Avant Garde" w:hAnsi="ITC Avant Garde"/>
              </w:rPr>
              <w:t xml:space="preserve"> </w:t>
            </w:r>
            <w:r>
              <w:rPr>
                <w:rFonts w:ascii="ITC Avant Garde" w:hAnsi="ITC Avant Garde"/>
              </w:rPr>
              <w:t>en su Objetivo 3</w:t>
            </w:r>
            <w:r w:rsidR="0057771B">
              <w:rPr>
                <w:rFonts w:ascii="ITC Avant Garde" w:hAnsi="ITC Avant Garde"/>
              </w:rPr>
              <w:t>, denominado</w:t>
            </w:r>
            <w:r w:rsidR="00560D56">
              <w:rPr>
                <w:rFonts w:ascii="ITC Avant Garde" w:hAnsi="ITC Avant Garde"/>
              </w:rPr>
              <w:t xml:space="preserve"> “</w:t>
            </w:r>
            <w:r w:rsidR="00560D56" w:rsidRPr="00307335">
              <w:rPr>
                <w:rFonts w:ascii="ITC Avant Garde" w:hAnsi="ITC Avant Garde"/>
                <w:i/>
              </w:rPr>
              <w:t>Desarrollar acciones para determinar y fomentar el uso eficiente del espectro radioeléctrico en el país</w:t>
            </w:r>
            <w:r w:rsidR="00560D56">
              <w:rPr>
                <w:rFonts w:ascii="ITC Avant Garde" w:hAnsi="ITC Avant Garde"/>
              </w:rPr>
              <w:t>”, establece las líneas de acción</w:t>
            </w:r>
            <w:r w:rsidR="0057771B">
              <w:rPr>
                <w:rFonts w:ascii="ITC Avant Garde" w:hAnsi="ITC Avant Garde"/>
              </w:rPr>
              <w:t xml:space="preserve"> siguientes</w:t>
            </w:r>
            <w:r w:rsidR="00560D56">
              <w:rPr>
                <w:rFonts w:ascii="ITC Avant Garde" w:hAnsi="ITC Avant Garde"/>
              </w:rPr>
              <w:t>:</w:t>
            </w:r>
          </w:p>
          <w:p w14:paraId="4ABB3BDB" w14:textId="32EF41A6" w:rsidR="00560D56" w:rsidRPr="00560D56" w:rsidRDefault="00560D56" w:rsidP="00560D56">
            <w:pPr>
              <w:pStyle w:val="Prrafodelista"/>
              <w:numPr>
                <w:ilvl w:val="0"/>
                <w:numId w:val="30"/>
              </w:numPr>
              <w:ind w:left="1172"/>
              <w:rPr>
                <w:rFonts w:ascii="ITC Avant Garde" w:hAnsi="ITC Avant Garde"/>
              </w:rPr>
            </w:pPr>
            <w:r w:rsidRPr="00560D56">
              <w:rPr>
                <w:rFonts w:ascii="ITC Avant Garde" w:hAnsi="ITC Avant Garde"/>
              </w:rPr>
              <w:t>Elaborar métricas de eficiencia espectral de observancia obligatoria.</w:t>
            </w:r>
          </w:p>
          <w:p w14:paraId="749D6824" w14:textId="0767EF71" w:rsidR="00560D56" w:rsidRPr="00242090" w:rsidRDefault="00560D56" w:rsidP="00560D56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72"/>
              <w:jc w:val="both"/>
              <w:rPr>
                <w:rFonts w:ascii="ITC Avant Garde" w:hAnsi="ITC Avant Garde"/>
              </w:rPr>
            </w:pPr>
            <w:r w:rsidRPr="00560D56">
              <w:rPr>
                <w:rFonts w:ascii="ITC Avant Garde" w:hAnsi="ITC Avant Garde"/>
              </w:rPr>
              <w:t>Elaborar las metodologías de medición que permitan la aplicación de las métricas de eficiencia espectral.</w:t>
            </w:r>
          </w:p>
          <w:p w14:paraId="09CDEC53" w14:textId="77777777" w:rsidR="003A33A4" w:rsidRPr="009D2E6C" w:rsidRDefault="003A33A4" w:rsidP="00B45E75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</w:p>
          <w:p w14:paraId="78BB12E1" w14:textId="5580454F" w:rsidR="00214E0A" w:rsidRPr="009D2E6C" w:rsidRDefault="00CA793E" w:rsidP="00214E0A">
            <w:pPr>
              <w:pBdr>
                <w:top w:val="single" w:sz="4" w:space="1" w:color="auto"/>
              </w:pBdr>
              <w:tabs>
                <w:tab w:val="left" w:pos="1710"/>
                <w:tab w:val="center" w:pos="4419"/>
              </w:tabs>
              <w:rPr>
                <w:rFonts w:ascii="ITC Avant Garde" w:eastAsia="Calibri" w:hAnsi="ITC Avant Garde" w:cs="Arial"/>
                <w:b/>
              </w:rPr>
            </w:pPr>
            <w:r>
              <w:rPr>
                <w:rFonts w:ascii="ITC Avant Garde" w:eastAsia="Calibri" w:hAnsi="ITC Avant Garde" w:cs="Arial"/>
                <w:b/>
              </w:rPr>
              <w:t xml:space="preserve">Objetivos de la </w:t>
            </w:r>
            <w:r w:rsidR="00825D68">
              <w:rPr>
                <w:rFonts w:ascii="ITC Avant Garde" w:eastAsia="Calibri" w:hAnsi="ITC Avant Garde" w:cs="Arial"/>
                <w:b/>
              </w:rPr>
              <w:t>CPI</w:t>
            </w:r>
            <w:r w:rsidR="00214E0A" w:rsidRPr="009D2E6C">
              <w:rPr>
                <w:rFonts w:ascii="ITC Avant Garde" w:eastAsia="Calibri" w:hAnsi="ITC Avant Garde" w:cs="Arial"/>
                <w:b/>
              </w:rPr>
              <w:t>:</w:t>
            </w:r>
          </w:p>
          <w:p w14:paraId="13332838" w14:textId="77777777" w:rsidR="001A5332" w:rsidRPr="009D2E6C" w:rsidRDefault="001A5332" w:rsidP="00B45E75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</w:p>
          <w:p w14:paraId="30879D7B" w14:textId="05105EB7" w:rsidR="00B45E75" w:rsidRPr="009D2E6C" w:rsidRDefault="00437E09" w:rsidP="00B45E75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>U</w:t>
            </w:r>
            <w:r w:rsidR="00B45E75" w:rsidRPr="009D2E6C">
              <w:rPr>
                <w:rFonts w:ascii="ITC Avant Garde" w:hAnsi="ITC Avant Garde"/>
              </w:rPr>
              <w:t>no de los objetivos de los reguladores es el maximizar el bien</w:t>
            </w:r>
            <w:r>
              <w:rPr>
                <w:rFonts w:ascii="ITC Avant Garde" w:hAnsi="ITC Avant Garde"/>
              </w:rPr>
              <w:t>estar</w:t>
            </w:r>
            <w:r w:rsidR="00B45E75" w:rsidRPr="009D2E6C">
              <w:rPr>
                <w:rFonts w:ascii="ITC Avant Garde" w:hAnsi="ITC Avant Garde"/>
              </w:rPr>
              <w:t xml:space="preserve"> social a partir de</w:t>
            </w:r>
            <w:r w:rsidR="003D1604">
              <w:rPr>
                <w:rFonts w:ascii="ITC Avant Garde" w:hAnsi="ITC Avant Garde"/>
              </w:rPr>
              <w:t xml:space="preserve">l uso, aprovechamiento y </w:t>
            </w:r>
            <w:r w:rsidR="00B45E75" w:rsidRPr="009D2E6C">
              <w:rPr>
                <w:rFonts w:ascii="ITC Avant Garde" w:hAnsi="ITC Avant Garde"/>
              </w:rPr>
              <w:t>explotación del espectro radioeléctrico. En consecuencia, el espectro radioeléctrico debe ser administrado de forma racional y velando en todo momento por que no exista un</w:t>
            </w:r>
            <w:r>
              <w:rPr>
                <w:rFonts w:ascii="ITC Avant Garde" w:hAnsi="ITC Avant Garde"/>
              </w:rPr>
              <w:t>a</w:t>
            </w:r>
            <w:r w:rsidR="00B45E75" w:rsidRPr="009D2E6C">
              <w:rPr>
                <w:rFonts w:ascii="ITC Avant Garde" w:hAnsi="ITC Avant Garde"/>
              </w:rPr>
              <w:t xml:space="preserve"> </w:t>
            </w:r>
            <w:r>
              <w:rPr>
                <w:rFonts w:ascii="ITC Avant Garde" w:hAnsi="ITC Avant Garde"/>
              </w:rPr>
              <w:t xml:space="preserve">subutilización </w:t>
            </w:r>
            <w:r w:rsidR="00B45E75" w:rsidRPr="009D2E6C">
              <w:rPr>
                <w:rFonts w:ascii="ITC Avant Garde" w:hAnsi="ITC Avant Garde"/>
              </w:rPr>
              <w:t xml:space="preserve">de dicho recurso. De esta forma, es necesario contar con mecanismos que permitan </w:t>
            </w:r>
            <w:r>
              <w:rPr>
                <w:rFonts w:ascii="ITC Avant Garde" w:hAnsi="ITC Avant Garde"/>
              </w:rPr>
              <w:t xml:space="preserve">establecer </w:t>
            </w:r>
            <w:r w:rsidR="00B45E75" w:rsidRPr="009D2E6C">
              <w:rPr>
                <w:rFonts w:ascii="ITC Avant Garde" w:hAnsi="ITC Avant Garde"/>
              </w:rPr>
              <w:t xml:space="preserve">el grado de utilización del espectro </w:t>
            </w:r>
            <w:r>
              <w:rPr>
                <w:rFonts w:ascii="ITC Avant Garde" w:hAnsi="ITC Avant Garde"/>
              </w:rPr>
              <w:t>desde el punto de vista de la eficiencia en su uso.</w:t>
            </w:r>
          </w:p>
          <w:p w14:paraId="28DCFCFD" w14:textId="7818550B" w:rsidR="003E7AB0" w:rsidRPr="009D2E6C" w:rsidRDefault="003E7AB0" w:rsidP="00B45E75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</w:p>
          <w:p w14:paraId="2F0ADE1A" w14:textId="600E431B" w:rsidR="00B45E75" w:rsidRPr="009D2E6C" w:rsidRDefault="00B45E75" w:rsidP="00B45E75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  <w:r w:rsidRPr="009D2E6C">
              <w:rPr>
                <w:rFonts w:ascii="ITC Avant Garde" w:hAnsi="ITC Avant Garde"/>
              </w:rPr>
              <w:t xml:space="preserve">Sin embargo, existen diversos factores que influyen directamente </w:t>
            </w:r>
            <w:r w:rsidR="00437E09">
              <w:rPr>
                <w:rFonts w:ascii="ITC Avant Garde" w:hAnsi="ITC Avant Garde"/>
              </w:rPr>
              <w:t xml:space="preserve">en el aprovechamiento del </w:t>
            </w:r>
            <w:r w:rsidRPr="009D2E6C">
              <w:rPr>
                <w:rFonts w:ascii="ITC Avant Garde" w:hAnsi="ITC Avant Garde"/>
              </w:rPr>
              <w:t>espectro</w:t>
            </w:r>
            <w:r w:rsidR="003D1604">
              <w:rPr>
                <w:rFonts w:ascii="ITC Avant Garde" w:hAnsi="ITC Avant Garde"/>
              </w:rPr>
              <w:t xml:space="preserve"> radioeléctrico</w:t>
            </w:r>
            <w:r w:rsidRPr="009D2E6C">
              <w:rPr>
                <w:rFonts w:ascii="ITC Avant Garde" w:hAnsi="ITC Avant Garde"/>
              </w:rPr>
              <w:t xml:space="preserve">. Entre estos factores se encuentran las propiedades físicas de propagación de </w:t>
            </w:r>
            <w:r w:rsidR="00437E09">
              <w:rPr>
                <w:rFonts w:ascii="ITC Avant Garde" w:hAnsi="ITC Avant Garde"/>
              </w:rPr>
              <w:t xml:space="preserve">las </w:t>
            </w:r>
            <w:r w:rsidRPr="009D2E6C">
              <w:rPr>
                <w:rFonts w:ascii="ITC Avant Garde" w:hAnsi="ITC Avant Garde"/>
              </w:rPr>
              <w:t xml:space="preserve">bandas de frecuencias para la prestación de </w:t>
            </w:r>
            <w:r w:rsidR="00437E09">
              <w:rPr>
                <w:rFonts w:ascii="ITC Avant Garde" w:hAnsi="ITC Avant Garde"/>
              </w:rPr>
              <w:t xml:space="preserve">los </w:t>
            </w:r>
            <w:r w:rsidRPr="009D2E6C">
              <w:rPr>
                <w:rFonts w:ascii="ITC Avant Garde" w:hAnsi="ITC Avant Garde"/>
              </w:rPr>
              <w:t>servicio</w:t>
            </w:r>
            <w:r w:rsidR="00437E09">
              <w:rPr>
                <w:rFonts w:ascii="ITC Avant Garde" w:hAnsi="ITC Avant Garde"/>
              </w:rPr>
              <w:t>s</w:t>
            </w:r>
            <w:r w:rsidRPr="009D2E6C">
              <w:rPr>
                <w:rFonts w:ascii="ITC Avant Garde" w:hAnsi="ITC Avant Garde"/>
              </w:rPr>
              <w:t xml:space="preserve"> de radiocomunicaciones; las características técnicas de las redes desplegadas (antenas, transmisores, receptores, técnicas de acceso al me</w:t>
            </w:r>
            <w:r w:rsidR="00437E09">
              <w:rPr>
                <w:rFonts w:ascii="ITC Avant Garde" w:hAnsi="ITC Avant Garde"/>
              </w:rPr>
              <w:t>dio, tecnología empleada, etc.);</w:t>
            </w:r>
            <w:r w:rsidRPr="009D2E6C">
              <w:rPr>
                <w:rFonts w:ascii="ITC Avant Garde" w:hAnsi="ITC Avant Garde"/>
              </w:rPr>
              <w:t xml:space="preserve"> </w:t>
            </w:r>
            <w:r w:rsidR="00437E09">
              <w:rPr>
                <w:rFonts w:ascii="ITC Avant Garde" w:hAnsi="ITC Avant Garde"/>
              </w:rPr>
              <w:t xml:space="preserve">así como </w:t>
            </w:r>
            <w:r w:rsidRPr="009D2E6C">
              <w:rPr>
                <w:rFonts w:ascii="ITC Avant Garde" w:hAnsi="ITC Avant Garde"/>
              </w:rPr>
              <w:t xml:space="preserve">las condiciones regulatorias bajo las cuales </w:t>
            </w:r>
            <w:r w:rsidR="00437E09">
              <w:rPr>
                <w:rFonts w:ascii="ITC Avant Garde" w:hAnsi="ITC Avant Garde"/>
              </w:rPr>
              <w:t xml:space="preserve">se proporcionan los servicios </w:t>
            </w:r>
            <w:r w:rsidR="003D1604">
              <w:rPr>
                <w:rFonts w:ascii="ITC Avant Garde" w:hAnsi="ITC Avant Garde"/>
              </w:rPr>
              <w:t xml:space="preserve">públicos de interés general </w:t>
            </w:r>
            <w:r w:rsidR="00437E09">
              <w:rPr>
                <w:rFonts w:ascii="ITC Avant Garde" w:hAnsi="ITC Avant Garde"/>
              </w:rPr>
              <w:t>de telecomunicaciones y radiodifusión</w:t>
            </w:r>
            <w:r w:rsidRPr="009D2E6C">
              <w:rPr>
                <w:rFonts w:ascii="ITC Avant Garde" w:hAnsi="ITC Avant Garde"/>
              </w:rPr>
              <w:t>.</w:t>
            </w:r>
          </w:p>
          <w:p w14:paraId="73B78C52" w14:textId="77777777" w:rsidR="003E7AB0" w:rsidRPr="009D2E6C" w:rsidRDefault="003E7AB0" w:rsidP="00B45E75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</w:p>
          <w:p w14:paraId="1D9331B9" w14:textId="702BFDD6" w:rsidR="00A935C0" w:rsidRDefault="00A935C0" w:rsidP="00A935C0">
            <w:pPr>
              <w:pStyle w:val="Textoindependiente"/>
              <w:ind w:left="0" w:right="-81"/>
              <w:jc w:val="both"/>
            </w:pPr>
            <w:r>
              <w:t>En efecto, el</w:t>
            </w:r>
            <w:r w:rsidRPr="004822DB">
              <w:t xml:space="preserve"> Instituto tiene por objeto el desarrollo eficiente de la radiodifusión y telecomunicaciones, para lo cual tendrá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esenciales.</w:t>
            </w:r>
            <w:r>
              <w:t xml:space="preserve"> Así, al administrar el espectro radioeléctrico, persigue el objetivo general en beneficio de los usuarios d</w:t>
            </w:r>
            <w:r w:rsidRPr="004822DB">
              <w:t>el uso efic</w:t>
            </w:r>
            <w:r>
              <w:t>az</w:t>
            </w:r>
            <w:r w:rsidRPr="004822DB">
              <w:t xml:space="preserve"> del espectro radioeléctrico</w:t>
            </w:r>
            <w:r>
              <w:t xml:space="preserve"> y su protección</w:t>
            </w:r>
            <w:r w:rsidRPr="004822DB">
              <w:t xml:space="preserve">, </w:t>
            </w:r>
            <w:r>
              <w:t xml:space="preserve">en términos del artículo 54, párrafo cuarto, fracción IV de la Ley; </w:t>
            </w:r>
            <w:r w:rsidRPr="004822DB">
              <w:t>para lo cual, entre otras</w:t>
            </w:r>
            <w:r>
              <w:t xml:space="preserve"> políticas públicas</w:t>
            </w:r>
            <w:r w:rsidRPr="004822DB">
              <w:t>, debe implementar las Métricas de Eficiencia Espectral</w:t>
            </w:r>
            <w:r>
              <w:t>,</w:t>
            </w:r>
            <w:r w:rsidRPr="004822DB">
              <w:t xml:space="preserve"> tal como lo prevé el artículo 15, fracción XLVIII de la Ley</w:t>
            </w:r>
            <w:r>
              <w:t>.</w:t>
            </w:r>
          </w:p>
          <w:p w14:paraId="60F235B5" w14:textId="77777777" w:rsidR="00A935C0" w:rsidRDefault="00A935C0" w:rsidP="00A935C0">
            <w:pPr>
              <w:pStyle w:val="Textoindependiente"/>
              <w:ind w:left="0" w:right="-81"/>
              <w:jc w:val="both"/>
            </w:pPr>
          </w:p>
          <w:p w14:paraId="31F4CD5A" w14:textId="7575C6E3" w:rsidR="00B45E75" w:rsidRPr="009D2E6C" w:rsidRDefault="00616181" w:rsidP="00A935C0">
            <w:pPr>
              <w:pStyle w:val="Textoindependiente"/>
              <w:ind w:left="0" w:right="-81"/>
              <w:jc w:val="both"/>
            </w:pPr>
            <w:r w:rsidRPr="009D2E6C">
              <w:t xml:space="preserve">Bajo este contexto, un mecanismo para verificar la utilización del espectro radioeléctrico es mediante el </w:t>
            </w:r>
            <w:r w:rsidR="00414DD5">
              <w:t xml:space="preserve">establecimiento </w:t>
            </w:r>
            <w:r w:rsidRPr="009D2E6C">
              <w:t xml:space="preserve">de </w:t>
            </w:r>
            <w:r w:rsidR="001E0F0A">
              <w:t xml:space="preserve">las </w:t>
            </w:r>
            <w:r w:rsidR="0009692B" w:rsidRPr="0009692B">
              <w:t>MEE</w:t>
            </w:r>
            <w:r w:rsidRPr="009D2E6C">
              <w:t xml:space="preserve">. De forma general, las MEE se componen de fórmulas, a partir de las cuales se obtienen indiciadores numéricos que se utilizan para evaluar </w:t>
            </w:r>
            <w:r w:rsidR="00414DD5">
              <w:t xml:space="preserve">el grado de eficiencia con el que se está </w:t>
            </w:r>
            <w:r w:rsidRPr="009D2E6C">
              <w:t xml:space="preserve">utilizando </w:t>
            </w:r>
            <w:r w:rsidR="00414DD5">
              <w:t xml:space="preserve">el espectro en la prestación de </w:t>
            </w:r>
            <w:r w:rsidRPr="009D2E6C">
              <w:t xml:space="preserve">los servicios de </w:t>
            </w:r>
            <w:r w:rsidR="00414DD5">
              <w:t>telecomunicaciones y radiodifusión</w:t>
            </w:r>
            <w:r w:rsidRPr="009D2E6C">
              <w:t xml:space="preserve">. </w:t>
            </w:r>
            <w:r w:rsidR="00414DD5">
              <w:t xml:space="preserve">No obstante, previo al establecimiento de las MEE, es necesario definir el concepto de </w:t>
            </w:r>
            <w:r w:rsidRPr="009D2E6C">
              <w:rPr>
                <w:i/>
              </w:rPr>
              <w:t>eficiencia</w:t>
            </w:r>
            <w:r w:rsidRPr="009D2E6C">
              <w:t xml:space="preserve"> cuando ésta es referida al espectro radioeléctrico</w:t>
            </w:r>
            <w:r w:rsidR="00414DD5">
              <w:t xml:space="preserve">, determinar los mecanismos para </w:t>
            </w:r>
            <w:r w:rsidRPr="009D2E6C">
              <w:t xml:space="preserve">medir la </w:t>
            </w:r>
            <w:r w:rsidRPr="00653394">
              <w:t>eficiencia espectral</w:t>
            </w:r>
            <w:r w:rsidR="00414DD5">
              <w:rPr>
                <w:i/>
              </w:rPr>
              <w:t xml:space="preserve">, </w:t>
            </w:r>
            <w:r w:rsidR="00414DD5" w:rsidRPr="00414DD5">
              <w:t>los pa</w:t>
            </w:r>
            <w:r w:rsidR="00414DD5">
              <w:t>r</w:t>
            </w:r>
            <w:r w:rsidR="00414DD5" w:rsidRPr="00414DD5">
              <w:t>ámetros</w:t>
            </w:r>
            <w:r w:rsidR="00414DD5">
              <w:t xml:space="preserve"> y factores que deben ser considerados y como </w:t>
            </w:r>
            <w:r w:rsidRPr="009D2E6C">
              <w:t xml:space="preserve">parametrizar el resultado de </w:t>
            </w:r>
            <w:r w:rsidR="00414DD5">
              <w:t xml:space="preserve">la aplicación de las </w:t>
            </w:r>
            <w:r w:rsidRPr="009D2E6C">
              <w:t>métricas</w:t>
            </w:r>
            <w:r w:rsidR="00414DD5">
              <w:t>.</w:t>
            </w:r>
          </w:p>
          <w:p w14:paraId="390006C5" w14:textId="77777777" w:rsidR="00544FDF" w:rsidRPr="009D2E6C" w:rsidRDefault="00544FDF" w:rsidP="00B45E75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</w:p>
          <w:p w14:paraId="079E3DF5" w14:textId="1E315E98" w:rsidR="00B45E75" w:rsidRDefault="004A5D6A" w:rsidP="00BC65AE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>A</w:t>
            </w:r>
            <w:r w:rsidR="00BC700A">
              <w:rPr>
                <w:rFonts w:ascii="ITC Avant Garde" w:hAnsi="ITC Avant Garde"/>
              </w:rPr>
              <w:t xml:space="preserve">l respecto, no hay antecedentes a nivel internacional sobre regulaciones </w:t>
            </w:r>
            <w:r w:rsidR="00414DD5">
              <w:rPr>
                <w:rFonts w:ascii="ITC Avant Garde" w:hAnsi="ITC Avant Garde"/>
              </w:rPr>
              <w:t xml:space="preserve">o normas </w:t>
            </w:r>
            <w:r w:rsidR="00BC700A">
              <w:rPr>
                <w:rFonts w:ascii="ITC Avant Garde" w:hAnsi="ITC Avant Garde"/>
              </w:rPr>
              <w:t xml:space="preserve">que versen </w:t>
            </w:r>
            <w:r w:rsidR="00414DD5">
              <w:rPr>
                <w:rFonts w:ascii="ITC Avant Garde" w:hAnsi="ITC Avant Garde"/>
              </w:rPr>
              <w:t xml:space="preserve">sobre </w:t>
            </w:r>
            <w:r w:rsidR="00BC700A">
              <w:rPr>
                <w:rFonts w:ascii="ITC Avant Garde" w:hAnsi="ITC Avant Garde"/>
              </w:rPr>
              <w:t xml:space="preserve">establecimiento de </w:t>
            </w:r>
            <w:r w:rsidR="001E0F0A">
              <w:rPr>
                <w:rFonts w:ascii="ITC Avant Garde" w:hAnsi="ITC Avant Garde"/>
              </w:rPr>
              <w:t xml:space="preserve">las </w:t>
            </w:r>
            <w:r w:rsidR="00653394">
              <w:rPr>
                <w:rFonts w:ascii="ITC Avant Garde" w:hAnsi="ITC Avant Garde"/>
              </w:rPr>
              <w:t>MEE</w:t>
            </w:r>
            <w:r w:rsidR="001E0F0A">
              <w:rPr>
                <w:rFonts w:ascii="ITC Avant Garde" w:hAnsi="ITC Avant Garde"/>
              </w:rPr>
              <w:t>,</w:t>
            </w:r>
            <w:r w:rsidR="00BC700A">
              <w:rPr>
                <w:rFonts w:ascii="ITC Avant Garde" w:hAnsi="ITC Avant Garde"/>
              </w:rPr>
              <w:t xml:space="preserve"> </w:t>
            </w:r>
            <w:r w:rsidR="00BC65AE">
              <w:rPr>
                <w:rFonts w:ascii="ITC Avant Garde" w:hAnsi="ITC Avant Garde"/>
              </w:rPr>
              <w:t>y la poca información que ha</w:t>
            </w:r>
            <w:r w:rsidR="00653394">
              <w:rPr>
                <w:rFonts w:ascii="ITC Avant Garde" w:hAnsi="ITC Avant Garde"/>
              </w:rPr>
              <w:t>ce mención a la medición de la eficiencia e</w:t>
            </w:r>
            <w:r w:rsidR="00BC65AE">
              <w:rPr>
                <w:rFonts w:ascii="ITC Avant Garde" w:hAnsi="ITC Avant Garde"/>
              </w:rPr>
              <w:t>spectral de forma integral son estudios y documentos</w:t>
            </w:r>
            <w:r w:rsidR="00EF03DA">
              <w:rPr>
                <w:rFonts w:ascii="ITC Avant Garde" w:hAnsi="ITC Avant Garde"/>
              </w:rPr>
              <w:t xml:space="preserve"> emitidos</w:t>
            </w:r>
            <w:r w:rsidR="00BC65AE">
              <w:rPr>
                <w:rFonts w:ascii="ITC Avant Garde" w:hAnsi="ITC Avant Garde"/>
              </w:rPr>
              <w:t xml:space="preserve"> </w:t>
            </w:r>
            <w:r w:rsidR="00CB250F">
              <w:rPr>
                <w:rFonts w:ascii="ITC Avant Garde" w:hAnsi="ITC Avant Garde"/>
              </w:rPr>
              <w:t>desde la perspectiva de la</w:t>
            </w:r>
            <w:r w:rsidR="007C7576">
              <w:rPr>
                <w:rFonts w:ascii="ITC Avant Garde" w:hAnsi="ITC Avant Garde"/>
              </w:rPr>
              <w:t xml:space="preserve"> academia.</w:t>
            </w:r>
            <w:r w:rsidR="00CC706E">
              <w:rPr>
                <w:rFonts w:ascii="ITC Avant Garde" w:hAnsi="ITC Avant Garde"/>
              </w:rPr>
              <w:t xml:space="preserve"> </w:t>
            </w:r>
          </w:p>
          <w:p w14:paraId="43313B6B" w14:textId="739C67FF" w:rsidR="00CC706E" w:rsidRDefault="00CC706E" w:rsidP="00BC65AE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</w:rPr>
            </w:pPr>
          </w:p>
          <w:p w14:paraId="6BB38EA8" w14:textId="1B4BA965" w:rsidR="00EF03DA" w:rsidRDefault="00414DD5" w:rsidP="00241801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  <w:lang w:eastAsia="es-MX"/>
              </w:rPr>
            </w:pPr>
            <w:r>
              <w:rPr>
                <w:rFonts w:ascii="ITC Avant Garde" w:hAnsi="ITC Avant Garde"/>
              </w:rPr>
              <w:t xml:space="preserve">Partiendo de la evidencia identificada al momento, </w:t>
            </w:r>
            <w:r w:rsidR="00653394">
              <w:rPr>
                <w:rFonts w:ascii="ITC Avant Garde" w:hAnsi="ITC Avant Garde"/>
              </w:rPr>
              <w:t>l</w:t>
            </w:r>
            <w:r>
              <w:rPr>
                <w:rFonts w:ascii="ITC Avant Garde" w:hAnsi="ITC Avant Garde"/>
              </w:rPr>
              <w:t xml:space="preserve">a </w:t>
            </w:r>
            <w:r w:rsidR="00CC706E">
              <w:rPr>
                <w:rFonts w:ascii="ITC Avant Garde" w:hAnsi="ITC Avant Garde"/>
              </w:rPr>
              <w:t xml:space="preserve">UER </w:t>
            </w:r>
            <w:r>
              <w:rPr>
                <w:rFonts w:ascii="ITC Avant Garde" w:hAnsi="ITC Avant Garde"/>
              </w:rPr>
              <w:t xml:space="preserve">elaboró un documento de </w:t>
            </w:r>
            <w:r w:rsidR="005D18F2">
              <w:rPr>
                <w:rFonts w:ascii="ITC Avant Garde" w:hAnsi="ITC Avant Garde"/>
              </w:rPr>
              <w:t>referencia</w:t>
            </w:r>
            <w:r>
              <w:rPr>
                <w:rFonts w:ascii="ITC Avant Garde" w:hAnsi="ITC Avant Garde"/>
              </w:rPr>
              <w:t xml:space="preserve">, el cual </w:t>
            </w:r>
            <w:r w:rsidR="005D18F2">
              <w:rPr>
                <w:rFonts w:ascii="ITC Avant Garde" w:hAnsi="ITC Avant Garde"/>
              </w:rPr>
              <w:t xml:space="preserve">fue </w:t>
            </w:r>
            <w:r>
              <w:rPr>
                <w:rFonts w:ascii="ITC Avant Garde" w:hAnsi="ITC Avant Garde"/>
                <w:lang w:eastAsia="es-MX"/>
              </w:rPr>
              <w:t xml:space="preserve">compartido </w:t>
            </w:r>
            <w:r w:rsidR="00151B19">
              <w:rPr>
                <w:rFonts w:ascii="ITC Avant Garde" w:hAnsi="ITC Avant Garde"/>
                <w:lang w:eastAsia="es-MX"/>
              </w:rPr>
              <w:t xml:space="preserve">con diversas áreas del Instituto con la finalidad de </w:t>
            </w:r>
            <w:r w:rsidR="00A70A3F">
              <w:rPr>
                <w:rFonts w:ascii="ITC Avant Garde" w:hAnsi="ITC Avant Garde"/>
                <w:lang w:eastAsia="es-MX"/>
              </w:rPr>
              <w:t xml:space="preserve">obtener retroalimentación </w:t>
            </w:r>
            <w:r w:rsidR="00D7475A">
              <w:rPr>
                <w:rFonts w:ascii="ITC Avant Garde" w:hAnsi="ITC Avant Garde"/>
                <w:lang w:eastAsia="es-MX"/>
              </w:rPr>
              <w:t xml:space="preserve">para robustecer </w:t>
            </w:r>
            <w:r w:rsidR="00A70A3F">
              <w:rPr>
                <w:rFonts w:ascii="ITC Avant Garde" w:hAnsi="ITC Avant Garde"/>
                <w:lang w:eastAsia="es-MX"/>
              </w:rPr>
              <w:t>algunas</w:t>
            </w:r>
            <w:r w:rsidR="00D7475A">
              <w:rPr>
                <w:rFonts w:ascii="ITC Avant Garde" w:hAnsi="ITC Avant Garde"/>
                <w:lang w:eastAsia="es-MX"/>
              </w:rPr>
              <w:t xml:space="preserve"> </w:t>
            </w:r>
            <w:r w:rsidR="00A70A3F">
              <w:rPr>
                <w:rFonts w:ascii="ITC Avant Garde" w:hAnsi="ITC Avant Garde"/>
                <w:lang w:eastAsia="es-MX"/>
              </w:rPr>
              <w:t>de las consideraciones expuesta</w:t>
            </w:r>
            <w:r w:rsidR="00D7475A">
              <w:rPr>
                <w:rFonts w:ascii="ITC Avant Garde" w:hAnsi="ITC Avant Garde"/>
                <w:lang w:eastAsia="es-MX"/>
              </w:rPr>
              <w:t xml:space="preserve">s en el </w:t>
            </w:r>
            <w:r w:rsidR="00A70A3F">
              <w:rPr>
                <w:rFonts w:ascii="ITC Avant Garde" w:hAnsi="ITC Avant Garde"/>
                <w:lang w:eastAsia="es-MX"/>
              </w:rPr>
              <w:t>documento</w:t>
            </w:r>
            <w:r w:rsidR="00D7475A">
              <w:rPr>
                <w:rFonts w:ascii="ITC Avant Garde" w:hAnsi="ITC Avant Garde"/>
                <w:lang w:eastAsia="es-MX"/>
              </w:rPr>
              <w:t>.</w:t>
            </w:r>
            <w:r w:rsidR="00241801">
              <w:rPr>
                <w:rFonts w:ascii="ITC Avant Garde" w:hAnsi="ITC Avant Garde"/>
                <w:lang w:eastAsia="es-MX"/>
              </w:rPr>
              <w:t xml:space="preserve"> </w:t>
            </w:r>
          </w:p>
          <w:p w14:paraId="3BDBF4A3" w14:textId="77777777" w:rsidR="00EF03DA" w:rsidRDefault="00EF03DA" w:rsidP="00241801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  <w:lang w:eastAsia="es-MX"/>
              </w:rPr>
            </w:pPr>
          </w:p>
          <w:p w14:paraId="74739067" w14:textId="6798B675" w:rsidR="001D6B79" w:rsidRPr="004822DB" w:rsidRDefault="00501F6E" w:rsidP="001D6B79">
            <w:pPr>
              <w:jc w:val="both"/>
              <w:rPr>
                <w:spacing w:val="-8"/>
              </w:rPr>
            </w:pPr>
            <w:r>
              <w:rPr>
                <w:rFonts w:ascii="ITC Avant Garde" w:hAnsi="ITC Avant Garde"/>
                <w:lang w:eastAsia="es-MX"/>
              </w:rPr>
              <w:t xml:space="preserve">Sin embargo, debido a que </w:t>
            </w:r>
            <w:r w:rsidR="00A70A3F">
              <w:rPr>
                <w:rFonts w:ascii="ITC Avant Garde" w:hAnsi="ITC Avant Garde"/>
                <w:lang w:eastAsia="es-MX"/>
              </w:rPr>
              <w:t xml:space="preserve">el uso eficiente del espectro involucra </w:t>
            </w:r>
            <w:r w:rsidRPr="00501F6E">
              <w:rPr>
                <w:rFonts w:ascii="ITC Avant Garde" w:hAnsi="ITC Avant Garde"/>
                <w:lang w:eastAsia="es-MX"/>
              </w:rPr>
              <w:t xml:space="preserve">aspectos </w:t>
            </w:r>
            <w:r w:rsidR="00A70A3F">
              <w:rPr>
                <w:rFonts w:ascii="ITC Avant Garde" w:hAnsi="ITC Avant Garde"/>
                <w:lang w:eastAsia="es-MX"/>
              </w:rPr>
              <w:t>técnicos, socio</w:t>
            </w:r>
            <w:r w:rsidRPr="00501F6E">
              <w:rPr>
                <w:rFonts w:ascii="ITC Avant Garde" w:hAnsi="ITC Avant Garde"/>
                <w:lang w:eastAsia="es-MX"/>
              </w:rPr>
              <w:t>e</w:t>
            </w:r>
            <w:r w:rsidR="00A70A3F">
              <w:rPr>
                <w:rFonts w:ascii="ITC Avant Garde" w:hAnsi="ITC Avant Garde"/>
                <w:lang w:eastAsia="es-MX"/>
              </w:rPr>
              <w:t xml:space="preserve">conómicos y </w:t>
            </w:r>
            <w:r w:rsidRPr="00501F6E">
              <w:rPr>
                <w:rFonts w:ascii="ITC Avant Garde" w:hAnsi="ITC Avant Garde"/>
                <w:lang w:eastAsia="es-MX"/>
              </w:rPr>
              <w:t xml:space="preserve">regulatorios, </w:t>
            </w:r>
            <w:r w:rsidR="000553D5">
              <w:rPr>
                <w:rFonts w:ascii="ITC Avant Garde" w:hAnsi="ITC Avant Garde"/>
                <w:lang w:eastAsia="es-MX"/>
              </w:rPr>
              <w:t xml:space="preserve">la </w:t>
            </w:r>
            <w:r w:rsidR="00BD34D3">
              <w:rPr>
                <w:rFonts w:ascii="ITC Avant Garde" w:hAnsi="ITC Avant Garde"/>
                <w:lang w:eastAsia="es-MX"/>
              </w:rPr>
              <w:t xml:space="preserve">CPI </w:t>
            </w:r>
            <w:r w:rsidR="00BD34D3" w:rsidRPr="00501F6E">
              <w:rPr>
                <w:rFonts w:ascii="ITC Avant Garde" w:hAnsi="ITC Avant Garde"/>
                <w:lang w:eastAsia="es-MX"/>
              </w:rPr>
              <w:t>propuesta</w:t>
            </w:r>
            <w:r w:rsidR="00A70A3F">
              <w:rPr>
                <w:rFonts w:ascii="ITC Avant Garde" w:hAnsi="ITC Avant Garde"/>
                <w:lang w:eastAsia="es-MX"/>
              </w:rPr>
              <w:t xml:space="preserve"> </w:t>
            </w:r>
            <w:r w:rsidRPr="00501F6E">
              <w:rPr>
                <w:rFonts w:ascii="ITC Avant Garde" w:hAnsi="ITC Avant Garde"/>
                <w:lang w:eastAsia="es-MX"/>
              </w:rPr>
              <w:t xml:space="preserve">busca que la industria, la academia y la sociedad civil contribuyan en el análisis de los elementos a incluir en </w:t>
            </w:r>
            <w:r w:rsidR="000553D5">
              <w:rPr>
                <w:rFonts w:ascii="ITC Avant Garde" w:hAnsi="ITC Avant Garde"/>
                <w:lang w:eastAsia="es-MX"/>
              </w:rPr>
              <w:t>las MEE.</w:t>
            </w:r>
            <w:r w:rsidR="001D6B79">
              <w:rPr>
                <w:rFonts w:ascii="ITC Avant Garde" w:hAnsi="ITC Avant Garde"/>
                <w:lang w:eastAsia="es-MX"/>
              </w:rPr>
              <w:t xml:space="preserve"> Por ello, </w:t>
            </w:r>
            <w:r w:rsidR="001D6B79" w:rsidRPr="004822DB">
              <w:rPr>
                <w:rFonts w:ascii="ITC Avant Garde" w:eastAsia="ITC Avant Garde" w:hAnsi="ITC Avant Garde" w:cs="ITC Avant Garde"/>
              </w:rPr>
              <w:t xml:space="preserve">al someter a consulta pública los </w:t>
            </w:r>
            <w:r w:rsidR="001D6B79">
              <w:rPr>
                <w:rFonts w:ascii="ITC Avant Garde" w:eastAsia="ITC Avant Garde" w:hAnsi="ITC Avant Garde" w:cs="ITC Avant Garde"/>
              </w:rPr>
              <w:t>e</w:t>
            </w:r>
            <w:r w:rsidR="001D6B79" w:rsidRPr="004822DB">
              <w:rPr>
                <w:rFonts w:ascii="ITC Avant Garde" w:eastAsia="ITC Avant Garde" w:hAnsi="ITC Avant Garde" w:cs="ITC Avant Garde"/>
              </w:rPr>
              <w:t xml:space="preserve">lementos de </w:t>
            </w:r>
            <w:r w:rsidR="001D6B79">
              <w:rPr>
                <w:rFonts w:ascii="ITC Avant Garde" w:eastAsia="ITC Avant Garde" w:hAnsi="ITC Avant Garde" w:cs="ITC Avant Garde"/>
              </w:rPr>
              <w:t xml:space="preserve">las </w:t>
            </w:r>
            <w:r w:rsidR="001D6B79" w:rsidRPr="004822DB">
              <w:rPr>
                <w:rFonts w:ascii="ITC Avant Garde" w:eastAsia="ITC Avant Garde" w:hAnsi="ITC Avant Garde" w:cs="ITC Avant Garde"/>
              </w:rPr>
              <w:t>M</w:t>
            </w:r>
            <w:r w:rsidR="001D6B79">
              <w:rPr>
                <w:rFonts w:ascii="ITC Avant Garde" w:eastAsia="ITC Avant Garde" w:hAnsi="ITC Avant Garde" w:cs="ITC Avant Garde"/>
              </w:rPr>
              <w:t>EE</w:t>
            </w:r>
            <w:r w:rsidR="001D6B79" w:rsidRPr="004822DB">
              <w:rPr>
                <w:rFonts w:ascii="ITC Avant Garde" w:eastAsia="ITC Avant Garde" w:hAnsi="ITC Avant Garde" w:cs="ITC Avant Garde"/>
              </w:rPr>
              <w:t>,</w:t>
            </w:r>
            <w:r w:rsidR="001D6B79" w:rsidRPr="004822DB">
              <w:rPr>
                <w:rFonts w:ascii="ITC Avant Garde" w:hAnsi="ITC Avant Garde"/>
                <w:spacing w:val="-1"/>
              </w:rPr>
              <w:t xml:space="preserve"> </w:t>
            </w:r>
            <w:r w:rsidR="001D6B79" w:rsidRPr="004822DB">
              <w:rPr>
                <w:rFonts w:ascii="ITC Avant Garde" w:eastAsia="ITC Avant Garde" w:hAnsi="ITC Avant Garde" w:cs="ITC Avant Garde"/>
              </w:rPr>
              <w:t>se busca alcanzar los objetivos siguientes:</w:t>
            </w:r>
          </w:p>
          <w:p w14:paraId="1077B9DB" w14:textId="77777777" w:rsidR="001D6B79" w:rsidRPr="004822DB" w:rsidRDefault="001D6B79" w:rsidP="001D6B79">
            <w:pPr>
              <w:pStyle w:val="Textoindependiente"/>
              <w:tabs>
                <w:tab w:val="left" w:pos="838"/>
              </w:tabs>
              <w:ind w:left="0" w:right="-81"/>
              <w:jc w:val="both"/>
            </w:pPr>
          </w:p>
          <w:p w14:paraId="5C21B28A" w14:textId="7100F3F1" w:rsidR="001D6B79" w:rsidRPr="004822DB" w:rsidRDefault="001D6B79" w:rsidP="001D6B79">
            <w:pPr>
              <w:pStyle w:val="Textoindependiente"/>
              <w:numPr>
                <w:ilvl w:val="0"/>
                <w:numId w:val="32"/>
              </w:numPr>
              <w:ind w:right="-81"/>
              <w:jc w:val="both"/>
            </w:pPr>
            <w:r w:rsidRPr="004822DB">
              <w:t>Generar un espacio abierto e incluyente con la intención de involucrar a</w:t>
            </w:r>
            <w:r>
              <w:t xml:space="preserve"> todos los interesados</w:t>
            </w:r>
            <w:r w:rsidRPr="004822DB">
              <w:t xml:space="preserve"> y fomentar en la sociedad el conocimiento de</w:t>
            </w:r>
            <w:r>
              <w:t xml:space="preserve"> </w:t>
            </w:r>
            <w:r w:rsidRPr="004822DB">
              <w:t>l</w:t>
            </w:r>
            <w:r>
              <w:t>as políticas públicas del Instituto encaminadas al</w:t>
            </w:r>
            <w:r w:rsidRPr="004822DB">
              <w:t xml:space="preserve"> uso eficiente del espectro radioeléctrico, a fin de que </w:t>
            </w:r>
            <w:r>
              <w:t>éste</w:t>
            </w:r>
            <w:r w:rsidRPr="004822DB">
              <w:t xml:space="preserve"> obtenga elementos que le permitan diseñar y desarrollar las MEE que serán de observancia obligatoria, así como las metodologías de medición que permitan cuantificarlas.</w:t>
            </w:r>
          </w:p>
          <w:p w14:paraId="13CB49E1" w14:textId="77777777" w:rsidR="001D6B79" w:rsidRPr="004822DB" w:rsidRDefault="001D6B79" w:rsidP="001D6B79">
            <w:pPr>
              <w:pStyle w:val="Textoindependiente"/>
              <w:ind w:left="1080" w:right="-81"/>
              <w:jc w:val="both"/>
            </w:pPr>
          </w:p>
          <w:p w14:paraId="78DDE5DF" w14:textId="77777777" w:rsidR="001D6B79" w:rsidRPr="004822DB" w:rsidRDefault="001D6B79" w:rsidP="001D6B79">
            <w:pPr>
              <w:pStyle w:val="Textoindependiente"/>
              <w:numPr>
                <w:ilvl w:val="0"/>
                <w:numId w:val="32"/>
              </w:numPr>
              <w:ind w:right="-81"/>
              <w:jc w:val="both"/>
            </w:pPr>
            <w:r w:rsidRPr="004822DB">
              <w:t xml:space="preserve">Permitir una interacción con el público en general, de manera abierta e incluyente, respecto a la </w:t>
            </w:r>
            <w:r>
              <w:t xml:space="preserve">determinación, desarrollo y </w:t>
            </w:r>
            <w:r w:rsidRPr="004822DB">
              <w:t>aplicación de las Métricas de Eficiencia Espectral previamente a la emisión de la regulación correspondiente dirigida a los sectores de telecomunicaciones y radiodifusión, y</w:t>
            </w:r>
          </w:p>
          <w:p w14:paraId="73C8917F" w14:textId="77777777" w:rsidR="001D6B79" w:rsidRPr="004822DB" w:rsidRDefault="001D6B79" w:rsidP="001D6B79">
            <w:pPr>
              <w:pStyle w:val="Textoindependiente"/>
              <w:ind w:left="1080" w:right="-81"/>
              <w:jc w:val="both"/>
            </w:pPr>
          </w:p>
          <w:p w14:paraId="4E0B6B00" w14:textId="5C95F635" w:rsidR="007C7576" w:rsidRPr="00685CC1" w:rsidRDefault="001D6B79" w:rsidP="00685CC1">
            <w:pPr>
              <w:pStyle w:val="Textoindependiente"/>
              <w:numPr>
                <w:ilvl w:val="0"/>
                <w:numId w:val="33"/>
              </w:numPr>
              <w:ind w:left="1077" w:right="-79"/>
              <w:jc w:val="both"/>
            </w:pPr>
            <w:r w:rsidRPr="004822DB">
              <w:t xml:space="preserve">Obtener la opinión de los posibles interesados en </w:t>
            </w:r>
            <w:r>
              <w:t>cuanto a</w:t>
            </w:r>
            <w:r w:rsidRPr="004822DB">
              <w:t xml:space="preserve">l uso </w:t>
            </w:r>
            <w:r>
              <w:t xml:space="preserve">eficiente </w:t>
            </w:r>
            <w:r w:rsidRPr="004822DB">
              <w:t>del espectro radioeléctrico en México, como lo son la industria, la academia, entes públicos, asociaciones técnicas especializadas y cualquier otro interesado en el tema.</w:t>
            </w:r>
          </w:p>
          <w:p w14:paraId="4A298661" w14:textId="57D43A7D" w:rsidR="001D6B79" w:rsidRPr="009D2E6C" w:rsidRDefault="001D6B79" w:rsidP="006C4138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/>
                <w:lang w:eastAsia="es-MX"/>
              </w:rPr>
            </w:pPr>
          </w:p>
        </w:tc>
      </w:tr>
      <w:tr w:rsidR="00825D68" w:rsidRPr="005B6604" w14:paraId="3C208D86" w14:textId="77777777" w:rsidTr="00C22FE0">
        <w:trPr>
          <w:trHeight w:val="694"/>
          <w:jc w:val="center"/>
        </w:trPr>
        <w:tc>
          <w:tcPr>
            <w:tcW w:w="9335" w:type="dxa"/>
          </w:tcPr>
          <w:p w14:paraId="79909E94" w14:textId="65CB3F1A" w:rsidR="00825D68" w:rsidRDefault="00825D68" w:rsidP="00C22FE0">
            <w:pPr>
              <w:pBdr>
                <w:top w:val="single" w:sz="4" w:space="1" w:color="auto"/>
              </w:pBdr>
              <w:tabs>
                <w:tab w:val="center" w:pos="4419"/>
              </w:tabs>
              <w:ind w:left="-252" w:firstLine="142"/>
              <w:rPr>
                <w:rFonts w:ascii="ITC Avant Garde" w:eastAsia="Calibri" w:hAnsi="ITC Avant Garde" w:cs="Arial"/>
                <w:b/>
              </w:rPr>
            </w:pPr>
            <w:r>
              <w:rPr>
                <w:rFonts w:ascii="ITC Avant Garde" w:eastAsia="Calibri" w:hAnsi="ITC Avant Garde" w:cs="Arial"/>
                <w:b/>
              </w:rPr>
              <w:lastRenderedPageBreak/>
              <w:t xml:space="preserve">Unidad responsable de la CPI: </w:t>
            </w:r>
            <w:r>
              <w:rPr>
                <w:rFonts w:ascii="ITC Avant Garde" w:eastAsia="Calibri" w:hAnsi="ITC Avant Garde" w:cs="Arial"/>
              </w:rPr>
              <w:t>Unidad de Espectro Radioel</w:t>
            </w:r>
            <w:r w:rsidR="00FD3B80">
              <w:rPr>
                <w:rFonts w:ascii="ITC Avant Garde" w:eastAsia="Calibri" w:hAnsi="ITC Avant Garde" w:cs="Arial"/>
              </w:rPr>
              <w:t>éctrico</w:t>
            </w:r>
            <w:r>
              <w:rPr>
                <w:rFonts w:ascii="ITC Avant Garde" w:eastAsia="Calibri" w:hAnsi="ITC Avant Garde" w:cs="Arial"/>
              </w:rPr>
              <w:t>.</w:t>
            </w:r>
          </w:p>
        </w:tc>
      </w:tr>
      <w:tr w:rsidR="00D74F26" w:rsidRPr="00B05996" w14:paraId="242F01B1" w14:textId="77777777" w:rsidTr="00C22FE0">
        <w:tblPrEx>
          <w:tblCellMar>
            <w:left w:w="70" w:type="dxa"/>
            <w:right w:w="70" w:type="dxa"/>
          </w:tblCellMar>
        </w:tblPrEx>
        <w:trPr>
          <w:trHeight w:val="885"/>
          <w:jc w:val="center"/>
        </w:trPr>
        <w:tc>
          <w:tcPr>
            <w:tcW w:w="9335" w:type="dxa"/>
          </w:tcPr>
          <w:p w14:paraId="081DB1EB" w14:textId="66A2526B" w:rsidR="00A11A71" w:rsidRPr="00B05996" w:rsidRDefault="00F8154F" w:rsidP="00C22FE0">
            <w:pPr>
              <w:pBdr>
                <w:top w:val="single" w:sz="4" w:space="1" w:color="auto"/>
              </w:pBdr>
              <w:tabs>
                <w:tab w:val="left" w:pos="1710"/>
                <w:tab w:val="center" w:pos="4419"/>
              </w:tabs>
              <w:ind w:left="-212" w:firstLine="142"/>
              <w:jc w:val="both"/>
              <w:rPr>
                <w:rFonts w:ascii="ITC Avant Garde" w:eastAsia="Calibri" w:hAnsi="ITC Avant Garde" w:cs="Arial"/>
                <w:b/>
              </w:rPr>
            </w:pPr>
            <w:r>
              <w:rPr>
                <w:rFonts w:ascii="ITC Avant Garde" w:eastAsia="Calibri" w:hAnsi="ITC Avant Garde" w:cs="Arial"/>
                <w:b/>
              </w:rPr>
              <w:t>Descripción de los participantes</w:t>
            </w:r>
            <w:r w:rsidR="004A606C" w:rsidRPr="000C7176">
              <w:rPr>
                <w:rFonts w:ascii="ITC Avant Garde" w:eastAsia="Calibri" w:hAnsi="ITC Avant Garde" w:cs="Arial"/>
                <w:b/>
              </w:rPr>
              <w:t>:</w:t>
            </w:r>
          </w:p>
          <w:p w14:paraId="36EAC602" w14:textId="77777777" w:rsidR="007B21CE" w:rsidRPr="00B05996" w:rsidRDefault="007B21CE" w:rsidP="000B3E76">
            <w:pPr>
              <w:jc w:val="both"/>
              <w:rPr>
                <w:rFonts w:ascii="ITC Avant Garde" w:eastAsia="Calibri" w:hAnsi="ITC Avant Garde" w:cs="Arial"/>
              </w:rPr>
            </w:pPr>
          </w:p>
          <w:p w14:paraId="42A6E4C2" w14:textId="09B5BC52" w:rsidR="00D74F26" w:rsidRDefault="00DA5D37" w:rsidP="008159EE">
            <w:pPr>
              <w:jc w:val="both"/>
              <w:rPr>
                <w:rFonts w:ascii="ITC Avant Garde" w:hAnsi="ITC Avant Garde"/>
                <w:lang w:eastAsia="es-MX"/>
              </w:rPr>
            </w:pPr>
            <w:r>
              <w:rPr>
                <w:rFonts w:ascii="ITC Avant Garde" w:hAnsi="ITC Avant Garde"/>
                <w:lang w:eastAsia="es-MX"/>
              </w:rPr>
              <w:t>Los interesados que participaron</w:t>
            </w:r>
            <w:r w:rsidR="00B94E1A">
              <w:rPr>
                <w:rFonts w:ascii="ITC Avant Garde" w:hAnsi="ITC Avant Garde"/>
                <w:lang w:eastAsia="es-MX"/>
              </w:rPr>
              <w:t xml:space="preserve"> dentro del periodo de la </w:t>
            </w:r>
            <w:r>
              <w:rPr>
                <w:rFonts w:ascii="ITC Avant Garde" w:hAnsi="ITC Avant Garde"/>
                <w:lang w:eastAsia="es-MX"/>
              </w:rPr>
              <w:t>presente consulta pública de integración fueron los siguientes:</w:t>
            </w:r>
          </w:p>
          <w:p w14:paraId="1C0640E0" w14:textId="77777777" w:rsidR="00F6533A" w:rsidRDefault="00F6533A" w:rsidP="008159EE">
            <w:pPr>
              <w:jc w:val="both"/>
              <w:rPr>
                <w:rFonts w:ascii="ITC Avant Garde" w:hAnsi="ITC Avant Garde"/>
                <w:lang w:eastAsia="es-MX"/>
              </w:rPr>
            </w:pPr>
            <w:bookmarkStart w:id="0" w:name="_GoBack"/>
            <w:bookmarkEnd w:id="0"/>
          </w:p>
          <w:p w14:paraId="608EA70E" w14:textId="77777777" w:rsidR="008159EE" w:rsidRDefault="008159EE" w:rsidP="008159EE">
            <w:pPr>
              <w:jc w:val="both"/>
              <w:rPr>
                <w:rFonts w:ascii="ITC Avant Garde" w:hAnsi="ITC Avant Garde"/>
                <w:lang w:eastAsia="es-MX"/>
              </w:rPr>
            </w:pPr>
          </w:p>
          <w:tbl>
            <w:tblPr>
              <w:tblW w:w="856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1985"/>
              <w:gridCol w:w="2693"/>
              <w:gridCol w:w="3260"/>
            </w:tblGrid>
            <w:tr w:rsidR="00543C4E" w:rsidRPr="001E3ACD" w14:paraId="31852089" w14:textId="77777777" w:rsidTr="006A456E">
              <w:trPr>
                <w:trHeight w:val="600"/>
                <w:jc w:val="center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830D25" w14:textId="77777777" w:rsidR="00543C4E" w:rsidRPr="001E3ACD" w:rsidRDefault="00543C4E" w:rsidP="00543C4E">
                  <w:pPr>
                    <w:jc w:val="center"/>
                    <w:rPr>
                      <w:rFonts w:ascii="ITC Avant Garde" w:hAnsi="ITC Avant Garde" w:cs="Arial"/>
                      <w:bCs/>
                      <w:color w:val="FFFFFF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FFFFFF"/>
                      <w:sz w:val="20"/>
                      <w:szCs w:val="20"/>
                    </w:rPr>
                    <w:lastRenderedPageBreak/>
                    <w:t>ID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F9C235F" w14:textId="77777777" w:rsidR="00543C4E" w:rsidRPr="001E3ACD" w:rsidRDefault="00543C4E" w:rsidP="00543C4E">
                  <w:pPr>
                    <w:jc w:val="center"/>
                    <w:rPr>
                      <w:rFonts w:ascii="ITC Avant Garde" w:hAnsi="ITC Avant Garde" w:cs="Arial"/>
                      <w:bCs/>
                      <w:color w:val="FFFFFF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FFFFFF"/>
                      <w:sz w:val="20"/>
                      <w:szCs w:val="20"/>
                    </w:rPr>
                    <w:t>Nombre de la persona física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405F908" w14:textId="77777777" w:rsidR="00543C4E" w:rsidRPr="001E3ACD" w:rsidRDefault="00543C4E" w:rsidP="00543C4E">
                  <w:pPr>
                    <w:jc w:val="center"/>
                    <w:rPr>
                      <w:rFonts w:ascii="ITC Avant Garde" w:hAnsi="ITC Avant Garde" w:cs="Arial"/>
                      <w:bCs/>
                      <w:color w:val="FFFFFF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FFFFFF"/>
                      <w:sz w:val="20"/>
                      <w:szCs w:val="20"/>
                    </w:rPr>
                    <w:t>Nombre o denominación de la persona moral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2F9C20" w14:textId="0F3EDF7E" w:rsidR="00543C4E" w:rsidRPr="001E3ACD" w:rsidRDefault="00B0396F" w:rsidP="00543C4E">
                  <w:pPr>
                    <w:jc w:val="center"/>
                    <w:rPr>
                      <w:rFonts w:ascii="ITC Avant Garde" w:hAnsi="ITC Avant Garde" w:cs="Arial"/>
                      <w:bCs/>
                      <w:color w:val="FFFFFF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FFFFFF"/>
                      <w:sz w:val="20"/>
                      <w:szCs w:val="20"/>
                    </w:rPr>
                    <w:t>Tipo de Interesado</w:t>
                  </w:r>
                </w:p>
              </w:tc>
            </w:tr>
            <w:tr w:rsidR="00543C4E" w:rsidRPr="001E3ACD" w14:paraId="06A7FA24" w14:textId="77777777" w:rsidTr="006A456E">
              <w:trPr>
                <w:trHeight w:val="3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B3E085A" w14:textId="77777777" w:rsidR="00543C4E" w:rsidRPr="001E3ACD" w:rsidRDefault="00543C4E" w:rsidP="00B0396F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D343B4" w14:textId="77777777" w:rsidR="00543C4E" w:rsidRPr="001E3ACD" w:rsidRDefault="00543C4E" w:rsidP="00B0396F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Javier Centeno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4D93685" w14:textId="77777777" w:rsidR="00543C4E" w:rsidRPr="001E3ACD" w:rsidRDefault="00543C4E" w:rsidP="00B0396F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C0D55F8" w14:textId="44FB2891" w:rsidR="00543C4E" w:rsidRPr="001E3ACD" w:rsidRDefault="00BA0F88" w:rsidP="00B0396F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Sociedad Civil</w:t>
                  </w:r>
                </w:p>
              </w:tc>
            </w:tr>
            <w:tr w:rsidR="00543C4E" w:rsidRPr="001E3ACD" w14:paraId="256860CB" w14:textId="77777777" w:rsidTr="006A456E">
              <w:trPr>
                <w:trHeight w:val="42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33F1E5" w14:textId="77777777" w:rsidR="00543C4E" w:rsidRPr="001E3ACD" w:rsidRDefault="00543C4E" w:rsidP="001E3ACD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D3CE95" w14:textId="77777777" w:rsidR="00543C4E" w:rsidRPr="001E3ACD" w:rsidRDefault="00543C4E" w:rsidP="001E3ACD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Javier Salgado Leirado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A915A7" w14:textId="77777777" w:rsidR="00543C4E" w:rsidRPr="001E3ACD" w:rsidRDefault="00543C4E" w:rsidP="001E3ACD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Altán Redes, S.A.P.I. de C.V.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DB0743E" w14:textId="7249398D" w:rsidR="00543C4E" w:rsidRPr="001E3ACD" w:rsidRDefault="006951D2" w:rsidP="001E3ACD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Concesionario</w:t>
                  </w:r>
                </w:p>
              </w:tc>
            </w:tr>
            <w:tr w:rsidR="00543C4E" w:rsidRPr="001E3ACD" w14:paraId="191E29D8" w14:textId="0FB321BC" w:rsidTr="006A456E">
              <w:trPr>
                <w:trHeight w:val="6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055FF5F" w14:textId="77777777" w:rsidR="00543C4E" w:rsidRPr="001E3ACD" w:rsidRDefault="00543C4E" w:rsidP="001E3ACD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E32BF1E" w14:textId="77777777" w:rsidR="00543C4E" w:rsidRPr="001E3ACD" w:rsidRDefault="00543C4E" w:rsidP="001E3ACD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Salvador Blasco Figueroa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DAD969" w14:textId="77777777" w:rsidR="00543C4E" w:rsidRPr="001E3ACD" w:rsidRDefault="00543C4E" w:rsidP="001E3ACD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Qualcomm International Inc.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5D36033" w14:textId="55C5B246" w:rsidR="00543C4E" w:rsidRPr="001E3ACD" w:rsidRDefault="00015BBA" w:rsidP="001E3ACD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Industria</w:t>
                  </w:r>
                </w:p>
              </w:tc>
            </w:tr>
            <w:tr w:rsidR="00543C4E" w:rsidRPr="001E3ACD" w14:paraId="2DA5249D" w14:textId="77777777" w:rsidTr="00275925">
              <w:trPr>
                <w:trHeight w:val="583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38087B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1AA1553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Rodrigo Huerta Reyna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00E54C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Telecomunicaciones Indígenas Comunitarias, A. C.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E696DC5" w14:textId="76A88E57" w:rsidR="00543C4E" w:rsidRPr="001E3ACD" w:rsidRDefault="006951D2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Concesionario</w:t>
                  </w:r>
                </w:p>
              </w:tc>
            </w:tr>
            <w:tr w:rsidR="00543C4E" w:rsidRPr="001E3ACD" w14:paraId="66843753" w14:textId="77777777" w:rsidTr="006A456E">
              <w:trPr>
                <w:trHeight w:val="3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7A733A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BA349E4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Erick Huerta Velázquez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2569728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EF19F98" w14:textId="2963550E" w:rsidR="00543C4E" w:rsidRPr="001E3ACD" w:rsidRDefault="00BA0F88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Sociedad Civil</w:t>
                  </w:r>
                </w:p>
              </w:tc>
            </w:tr>
            <w:tr w:rsidR="00543C4E" w:rsidRPr="001E3ACD" w14:paraId="7A1F93BE" w14:textId="77777777" w:rsidTr="006A456E">
              <w:trPr>
                <w:trHeight w:val="573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4B5253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9A23EED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Javier Altamirano Magaña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054DED8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CANIETI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2F5C8A8" w14:textId="7D8614F9" w:rsidR="00543C4E" w:rsidRPr="001E3ACD" w:rsidRDefault="006951D2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Industria</w:t>
                  </w:r>
                </w:p>
              </w:tc>
            </w:tr>
            <w:tr w:rsidR="00543C4E" w:rsidRPr="001E3ACD" w14:paraId="4B140CC9" w14:textId="77777777" w:rsidTr="006A456E">
              <w:trPr>
                <w:trHeight w:val="3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73E180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09EC08C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María Susana Ruíz Palacios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4D748D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77D402E" w14:textId="66A7A5C6" w:rsidR="00543C4E" w:rsidRPr="001E3ACD" w:rsidRDefault="00BA0F88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Sociedad Civil</w:t>
                  </w:r>
                </w:p>
              </w:tc>
            </w:tr>
            <w:tr w:rsidR="00543C4E" w:rsidRPr="001E3ACD" w14:paraId="1A89D1C4" w14:textId="77777777" w:rsidTr="006A456E">
              <w:trPr>
                <w:trHeight w:val="6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B3B6052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FEB19CF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Daniel Bernal Salazar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949E2E1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RADIOMOVIL DIPSA, S.A. de C.V.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291B2EC" w14:textId="6CC79103" w:rsidR="00543C4E" w:rsidRPr="001E3ACD" w:rsidRDefault="006951D2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Concesionario</w:t>
                  </w:r>
                </w:p>
              </w:tc>
            </w:tr>
            <w:tr w:rsidR="00543C4E" w:rsidRPr="001E3ACD" w14:paraId="294A98D6" w14:textId="77777777" w:rsidTr="006A456E">
              <w:trPr>
                <w:trHeight w:val="3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441115D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43E95D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Miguel Orozco Gómez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5C60B0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CIRT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1F619DB" w14:textId="16801B29" w:rsidR="00543C4E" w:rsidRPr="001E3ACD" w:rsidRDefault="00015BBA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Industria</w:t>
                  </w:r>
                </w:p>
              </w:tc>
            </w:tr>
            <w:tr w:rsidR="00543C4E" w:rsidRPr="001E3ACD" w14:paraId="5544FCD5" w14:textId="77777777" w:rsidTr="006A456E">
              <w:trPr>
                <w:trHeight w:val="3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DD61F03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A7084B1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Sandra Jessica Camacho Esquivel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99F4289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 xml:space="preserve">Televimex, S.A. de C.V.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DC83925" w14:textId="2C275467" w:rsidR="00543C4E" w:rsidRPr="001E3ACD" w:rsidRDefault="006951D2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Concesionario</w:t>
                  </w:r>
                </w:p>
              </w:tc>
            </w:tr>
            <w:tr w:rsidR="00543C4E" w:rsidRPr="001E3ACD" w14:paraId="0D957395" w14:textId="77777777" w:rsidTr="006A456E">
              <w:trPr>
                <w:trHeight w:val="3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A460A7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71CC861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 xml:space="preserve">Ana De Saracho O´Brien 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63FDF51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Pegaso PCS, S.A. de C.V.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B671B78" w14:textId="0511084F" w:rsidR="00543C4E" w:rsidRPr="001E3ACD" w:rsidRDefault="006951D2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Concesionario</w:t>
                  </w:r>
                </w:p>
              </w:tc>
            </w:tr>
            <w:tr w:rsidR="00543C4E" w:rsidRPr="001E3ACD" w14:paraId="63A64CC4" w14:textId="5C70BE36" w:rsidTr="006A456E">
              <w:trPr>
                <w:trHeight w:val="3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97FDC51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33EA50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Gabriel Székely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7B0E590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ANATEL, A.C.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63B1BC" w14:textId="2C264336" w:rsidR="00543C4E" w:rsidRPr="001E3ACD" w:rsidRDefault="006951D2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Concesionario</w:t>
                  </w:r>
                </w:p>
              </w:tc>
            </w:tr>
            <w:tr w:rsidR="00543C4E" w:rsidRPr="001E3ACD" w14:paraId="1E3D493C" w14:textId="77777777" w:rsidTr="006A456E">
              <w:trPr>
                <w:trHeight w:val="3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DBE260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78881A5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Enrique Daniel Farah Revilla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AE2920C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Farah Revilla, S.C.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109C0FB" w14:textId="01258F83" w:rsidR="00543C4E" w:rsidRPr="001E3ACD" w:rsidRDefault="006951D2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Sociedad Civil</w:t>
                  </w:r>
                </w:p>
              </w:tc>
            </w:tr>
            <w:tr w:rsidR="00543C4E" w:rsidRPr="001E3ACD" w14:paraId="02D77E91" w14:textId="77777777" w:rsidTr="006A456E">
              <w:trPr>
                <w:trHeight w:val="300"/>
                <w:jc w:val="center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02F3394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DA71C2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Antonio Díaz Hernández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04AF3C5" w14:textId="349809DF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AT&amp;T M</w:t>
                  </w:r>
                  <w:r w:rsidR="00A356FA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é</w:t>
                  </w: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xico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676B3AB" w14:textId="47385373" w:rsidR="00543C4E" w:rsidRPr="001E3ACD" w:rsidRDefault="006951D2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Concesionario</w:t>
                  </w:r>
                </w:p>
              </w:tc>
            </w:tr>
            <w:tr w:rsidR="00543C4E" w:rsidRPr="001E3ACD" w14:paraId="106FA02D" w14:textId="77777777" w:rsidTr="006A456E">
              <w:trPr>
                <w:trHeight w:val="6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01F332E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7FB2F85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José Guadalupe Botello Meza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A5B00EC" w14:textId="77777777" w:rsidR="00543C4E" w:rsidRPr="001E3ACD" w:rsidRDefault="00543C4E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Televisión Azteca, S.A. de C.V.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03F1E07" w14:textId="6EE3A9BD" w:rsidR="00543C4E" w:rsidRPr="001E3ACD" w:rsidRDefault="006951D2" w:rsidP="00590435">
                  <w:pPr>
                    <w:spacing w:after="0" w:line="240" w:lineRule="auto"/>
                    <w:jc w:val="center"/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</w:pPr>
                  <w:r w:rsidRPr="001E3ACD">
                    <w:rPr>
                      <w:rFonts w:ascii="ITC Avant Garde" w:hAnsi="ITC Avant Garde" w:cs="Arial"/>
                      <w:bCs/>
                      <w:color w:val="000000"/>
                      <w:sz w:val="20"/>
                      <w:szCs w:val="20"/>
                    </w:rPr>
                    <w:t>Concesionario</w:t>
                  </w:r>
                </w:p>
              </w:tc>
            </w:tr>
          </w:tbl>
          <w:p w14:paraId="3136194C" w14:textId="21FB18AC" w:rsidR="008159EE" w:rsidRDefault="00543C4E" w:rsidP="008159EE">
            <w:pPr>
              <w:jc w:val="both"/>
              <w:rPr>
                <w:rFonts w:ascii="ITC Avant Garde" w:hAnsi="ITC Avant Garde"/>
                <w:lang w:eastAsia="es-MX"/>
              </w:rPr>
            </w:pPr>
            <w:r>
              <w:rPr>
                <w:rFonts w:ascii="ITC Avant Garde" w:hAnsi="ITC Avant Garde"/>
                <w:lang w:eastAsia="es-MX"/>
              </w:rPr>
              <w:t xml:space="preserve"> </w:t>
            </w:r>
          </w:p>
          <w:p w14:paraId="0F53FD74" w14:textId="34CEF695" w:rsidR="008159EE" w:rsidRPr="00B05996" w:rsidRDefault="008159EE" w:rsidP="00215B63">
            <w:pPr>
              <w:jc w:val="both"/>
              <w:rPr>
                <w:rFonts w:ascii="ITC Avant Garde" w:eastAsia="Calibri" w:hAnsi="ITC Avant Garde" w:cs="Arial"/>
              </w:rPr>
            </w:pPr>
          </w:p>
        </w:tc>
      </w:tr>
      <w:tr w:rsidR="00F8154F" w:rsidRPr="00B05996" w14:paraId="79BA9469" w14:textId="77777777" w:rsidTr="00C22FE0">
        <w:trPr>
          <w:trHeight w:val="885"/>
          <w:jc w:val="center"/>
        </w:trPr>
        <w:tc>
          <w:tcPr>
            <w:tcW w:w="9335" w:type="dxa"/>
          </w:tcPr>
          <w:p w14:paraId="41C14461" w14:textId="62D551F0" w:rsidR="00F8154F" w:rsidRPr="00B05996" w:rsidRDefault="00F8154F" w:rsidP="00F8154F">
            <w:pPr>
              <w:pBdr>
                <w:top w:val="single" w:sz="4" w:space="1" w:color="auto"/>
              </w:pBdr>
              <w:tabs>
                <w:tab w:val="left" w:pos="1710"/>
                <w:tab w:val="center" w:pos="4419"/>
              </w:tabs>
              <w:jc w:val="both"/>
              <w:rPr>
                <w:rFonts w:ascii="ITC Avant Garde" w:eastAsia="Calibri" w:hAnsi="ITC Avant Garde" w:cs="Arial"/>
                <w:b/>
              </w:rPr>
            </w:pPr>
            <w:r>
              <w:rPr>
                <w:rFonts w:ascii="ITC Avant Garde" w:eastAsia="Calibri" w:hAnsi="ITC Avant Garde" w:cs="Arial"/>
                <w:b/>
              </w:rPr>
              <w:lastRenderedPageBreak/>
              <w:t>Posicionamiento de la UER</w:t>
            </w:r>
            <w:r w:rsidRPr="000C7176">
              <w:rPr>
                <w:rFonts w:ascii="ITC Avant Garde" w:eastAsia="Calibri" w:hAnsi="ITC Avant Garde" w:cs="Arial"/>
                <w:b/>
              </w:rPr>
              <w:t>:</w:t>
            </w:r>
          </w:p>
          <w:p w14:paraId="37E85CED" w14:textId="4B979439" w:rsidR="00B73F0E" w:rsidRPr="00B73F0E" w:rsidRDefault="00B73F0E" w:rsidP="004B609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ITC Avant Garde" w:hAnsi="ITC Avant Garde"/>
              </w:rPr>
            </w:pPr>
            <w:r w:rsidRPr="00B73F0E">
              <w:rPr>
                <w:rFonts w:ascii="ITC Avant Garde" w:hAnsi="ITC Avant Garde"/>
              </w:rPr>
              <w:t>Debido a la complejidad del tema y a las múltiples aristas que de él se desprenden, los comentarios recibidos por los participantes son diversos, existiendo coincidencias en algunos casos y posturas encontradas en otros tantos. Esto se puede observar claramente en el contraste de opiniones en temas estratégicos como la definición de la MIDEE, las sanciones y los elementos a considerarse en las métricas mismas, entre otros.</w:t>
            </w:r>
          </w:p>
          <w:p w14:paraId="7EA154F3" w14:textId="50AB42C5" w:rsidR="00B73F0E" w:rsidRPr="00B73F0E" w:rsidRDefault="00B73F0E" w:rsidP="004B609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ITC Avant Garde" w:hAnsi="ITC Avant Garde"/>
              </w:rPr>
            </w:pPr>
            <w:r w:rsidRPr="00B73F0E">
              <w:rPr>
                <w:rFonts w:ascii="ITC Avant Garde" w:hAnsi="ITC Avant Garde"/>
              </w:rPr>
              <w:t xml:space="preserve">Este ejercicio de pluralidad ha servido a la </w:t>
            </w:r>
            <w:r w:rsidR="009672BC">
              <w:rPr>
                <w:rFonts w:ascii="ITC Avant Garde" w:hAnsi="ITC Avant Garde"/>
              </w:rPr>
              <w:t>UER</w:t>
            </w:r>
            <w:r w:rsidRPr="00B73F0E">
              <w:rPr>
                <w:rFonts w:ascii="ITC Avant Garde" w:hAnsi="ITC Avant Garde"/>
              </w:rPr>
              <w:t xml:space="preserve"> para conocer las opiniones y preocupaciones que tienen los interesados ante el eventual establecimiento de Métricas de Eficiencia Espectral y sus metodologías que permitan cuantificarlas. </w:t>
            </w:r>
            <w:r w:rsidRPr="00B73F0E">
              <w:rPr>
                <w:rFonts w:ascii="ITC Avant Garde" w:hAnsi="ITC Avant Garde"/>
              </w:rPr>
              <w:lastRenderedPageBreak/>
              <w:t>También ha sido de gran valía conocer nuevos enfoques y perspectivas que no se habían considerado dentro de lo ahora estudiado.</w:t>
            </w:r>
          </w:p>
          <w:p w14:paraId="55D8DCFD" w14:textId="79A4C730" w:rsidR="00215B63" w:rsidRPr="004B609E" w:rsidRDefault="00B73F0E" w:rsidP="004B609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ITC Avant Garde" w:hAnsi="ITC Avant Garde"/>
              </w:rPr>
            </w:pPr>
            <w:r w:rsidRPr="00B73F0E">
              <w:rPr>
                <w:rFonts w:ascii="ITC Avant Garde" w:hAnsi="ITC Avant Garde"/>
              </w:rPr>
              <w:t>En tal sentido, la UER hará un análisis exhaustivo de las aportaciones recibidas en esta consulta que, junto a la continuidad en la investigación de este tema, servirán de insumo fundamental en el planteamiento del anteproyecto relacionado con esta temática.</w:t>
            </w:r>
          </w:p>
          <w:p w14:paraId="6BCB8502" w14:textId="0ED59FAC" w:rsidR="00F8154F" w:rsidRDefault="00F8154F" w:rsidP="00F8154F">
            <w:pPr>
              <w:pBdr>
                <w:top w:val="single" w:sz="4" w:space="1" w:color="auto"/>
              </w:pBdr>
              <w:tabs>
                <w:tab w:val="left" w:pos="1710"/>
                <w:tab w:val="center" w:pos="4419"/>
              </w:tabs>
              <w:jc w:val="both"/>
              <w:rPr>
                <w:rFonts w:ascii="ITC Avant Garde" w:eastAsia="Calibri" w:hAnsi="ITC Avant Garde" w:cs="Arial"/>
                <w:b/>
              </w:rPr>
            </w:pPr>
          </w:p>
        </w:tc>
      </w:tr>
    </w:tbl>
    <w:p w14:paraId="4401AA19" w14:textId="0866DA7D" w:rsidR="008159EE" w:rsidRPr="005B6604" w:rsidRDefault="008159EE" w:rsidP="002F1648">
      <w:pPr>
        <w:tabs>
          <w:tab w:val="left" w:pos="1710"/>
          <w:tab w:val="center" w:pos="4419"/>
        </w:tabs>
        <w:spacing w:after="0" w:line="240" w:lineRule="auto"/>
        <w:rPr>
          <w:rFonts w:ascii="ITC Avant Garde" w:eastAsia="Calibri" w:hAnsi="ITC Avant Garde" w:cs="Arial"/>
          <w:b/>
        </w:rPr>
      </w:pPr>
    </w:p>
    <w:sectPr w:rsidR="008159EE" w:rsidRPr="005B6604" w:rsidSect="00F6533A">
      <w:headerReference w:type="default" r:id="rId11"/>
      <w:footerReference w:type="default" r:id="rId12"/>
      <w:pgSz w:w="12240" w:h="15840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C2457" w14:textId="77777777" w:rsidR="00530CDA" w:rsidRDefault="00530CDA" w:rsidP="00F66A10">
      <w:pPr>
        <w:spacing w:after="0" w:line="240" w:lineRule="auto"/>
      </w:pPr>
      <w:r>
        <w:separator/>
      </w:r>
    </w:p>
  </w:endnote>
  <w:endnote w:type="continuationSeparator" w:id="0">
    <w:p w14:paraId="6219E45B" w14:textId="77777777" w:rsidR="00530CDA" w:rsidRDefault="00530CDA" w:rsidP="00F66A10">
      <w:pPr>
        <w:spacing w:after="0" w:line="240" w:lineRule="auto"/>
      </w:pPr>
      <w:r>
        <w:continuationSeparator/>
      </w:r>
    </w:p>
  </w:endnote>
  <w:endnote w:type="continuationNotice" w:id="1">
    <w:p w14:paraId="247C1B18" w14:textId="77777777" w:rsidR="00530CDA" w:rsidRDefault="00530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39594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6"/>
        <w:szCs w:val="16"/>
      </w:rPr>
    </w:sdtEndPr>
    <w:sdtContent>
      <w:p w14:paraId="22715485" w14:textId="6CA6D008" w:rsidR="00A935C0" w:rsidRPr="00FE6B97" w:rsidRDefault="00A935C0">
        <w:pPr>
          <w:pStyle w:val="Piedepgina"/>
          <w:jc w:val="right"/>
          <w:rPr>
            <w:rFonts w:ascii="ITC Avant Garde" w:hAnsi="ITC Avant Garde"/>
            <w:sz w:val="16"/>
            <w:szCs w:val="16"/>
          </w:rPr>
        </w:pPr>
        <w:r w:rsidRPr="00FE6B97">
          <w:rPr>
            <w:rFonts w:ascii="ITC Avant Garde" w:hAnsi="ITC Avant Garde"/>
            <w:sz w:val="16"/>
            <w:szCs w:val="16"/>
          </w:rPr>
          <w:fldChar w:fldCharType="begin"/>
        </w:r>
        <w:r w:rsidRPr="00FE6B97">
          <w:rPr>
            <w:rFonts w:ascii="ITC Avant Garde" w:hAnsi="ITC Avant Garde"/>
            <w:sz w:val="16"/>
            <w:szCs w:val="16"/>
          </w:rPr>
          <w:instrText>PAGE   \* MERGEFORMAT</w:instrText>
        </w:r>
        <w:r w:rsidRPr="00FE6B97">
          <w:rPr>
            <w:rFonts w:ascii="ITC Avant Garde" w:hAnsi="ITC Avant Garde"/>
            <w:sz w:val="16"/>
            <w:szCs w:val="16"/>
          </w:rPr>
          <w:fldChar w:fldCharType="separate"/>
        </w:r>
        <w:r w:rsidR="000445FE" w:rsidRPr="000445FE">
          <w:rPr>
            <w:rFonts w:ascii="ITC Avant Garde" w:hAnsi="ITC Avant Garde"/>
            <w:noProof/>
            <w:sz w:val="16"/>
            <w:szCs w:val="16"/>
            <w:lang w:val="es-ES"/>
          </w:rPr>
          <w:t>1</w:t>
        </w:r>
        <w:r w:rsidRPr="00FE6B97">
          <w:rPr>
            <w:rFonts w:ascii="ITC Avant Garde" w:hAnsi="ITC Avant Garde"/>
            <w:sz w:val="16"/>
            <w:szCs w:val="16"/>
          </w:rPr>
          <w:fldChar w:fldCharType="end"/>
        </w:r>
      </w:p>
    </w:sdtContent>
  </w:sdt>
  <w:p w14:paraId="4E67DFB9" w14:textId="77777777" w:rsidR="00A935C0" w:rsidRDefault="00A935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D86BD" w14:textId="77777777" w:rsidR="00530CDA" w:rsidRDefault="00530CDA" w:rsidP="00F66A10">
      <w:pPr>
        <w:spacing w:after="0" w:line="240" w:lineRule="auto"/>
      </w:pPr>
      <w:r>
        <w:separator/>
      </w:r>
    </w:p>
  </w:footnote>
  <w:footnote w:type="continuationSeparator" w:id="0">
    <w:p w14:paraId="1D4C43B5" w14:textId="77777777" w:rsidR="00530CDA" w:rsidRDefault="00530CDA" w:rsidP="00F66A10">
      <w:pPr>
        <w:spacing w:after="0" w:line="240" w:lineRule="auto"/>
      </w:pPr>
      <w:r>
        <w:continuationSeparator/>
      </w:r>
    </w:p>
  </w:footnote>
  <w:footnote w:type="continuationNotice" w:id="1">
    <w:p w14:paraId="2DF78271" w14:textId="77777777" w:rsidR="00530CDA" w:rsidRDefault="00530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55312" w14:textId="748EC523" w:rsidR="00A935C0" w:rsidRPr="00F66A10" w:rsidRDefault="00A935C0" w:rsidP="00A96664">
    <w:pPr>
      <w:pStyle w:val="Encabezado"/>
      <w:rPr>
        <w:rFonts w:ascii="ITC Avant Garde" w:hAnsi="ITC Avant Garde" w:cs="Arial"/>
        <w:b/>
        <w:sz w:val="32"/>
        <w:szCs w:val="32"/>
      </w:rPr>
    </w:pPr>
    <w:r w:rsidRPr="00F66A10">
      <w:rPr>
        <w:rFonts w:ascii="ITC Avant Garde" w:hAnsi="ITC Avant Garde" w:cs="Arial"/>
        <w:b/>
        <w:noProof/>
        <w:sz w:val="32"/>
        <w:szCs w:val="32"/>
        <w:lang w:eastAsia="es-MX"/>
      </w:rPr>
      <w:drawing>
        <wp:anchor distT="0" distB="0" distL="114300" distR="114300" simplePos="0" relativeHeight="251658241" behindDoc="0" locked="0" layoutInCell="1" allowOverlap="1" wp14:anchorId="0830AE83" wp14:editId="722D7A53">
          <wp:simplePos x="0" y="0"/>
          <wp:positionH relativeFrom="margin">
            <wp:posOffset>4790440</wp:posOffset>
          </wp:positionH>
          <wp:positionV relativeFrom="paragraph">
            <wp:posOffset>-151130</wp:posOffset>
          </wp:positionV>
          <wp:extent cx="923290" cy="600075"/>
          <wp:effectExtent l="1905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335">
      <w:rPr>
        <w:rFonts w:ascii="ITC Avant Garde" w:hAnsi="ITC Avant Garde" w:cs="Arial"/>
        <w:b/>
        <w:sz w:val="32"/>
        <w:szCs w:val="32"/>
      </w:rPr>
      <w:t>INFORME DE CONSIDERACIONES</w:t>
    </w:r>
  </w:p>
  <w:p w14:paraId="780AA595" w14:textId="635B9C32" w:rsidR="00A935C0" w:rsidRDefault="00A935C0" w:rsidP="00F66A10">
    <w:pPr>
      <w:pStyle w:val="Encabezado"/>
      <w:tabs>
        <w:tab w:val="clear" w:pos="4419"/>
        <w:tab w:val="clear" w:pos="8838"/>
        <w:tab w:val="left" w:pos="3210"/>
      </w:tabs>
    </w:pPr>
    <w:r w:rsidRPr="005C4784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E1E23" wp14:editId="165D2AB1">
              <wp:simplePos x="0" y="0"/>
              <wp:positionH relativeFrom="column">
                <wp:posOffset>-49530</wp:posOffset>
              </wp:positionH>
              <wp:positionV relativeFrom="paragraph">
                <wp:posOffset>47625</wp:posOffset>
              </wp:positionV>
              <wp:extent cx="5857875" cy="0"/>
              <wp:effectExtent l="0" t="0" r="28575" b="57150"/>
              <wp:wrapNone/>
              <wp:docPr id="1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>
                        <a:outerShdw dist="38100" dir="5400000" algn="t" rotWithShape="0">
                          <a:srgbClr val="808080">
                            <a:alpha val="39999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8FE33" id="Conector recto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3.75pt" to="457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" strokecolor="#00b050" strokeweight="2pt">
              <v:stroke joinstyle="miter"/>
              <v:shadow on="t" opacity="26213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948"/>
    <w:multiLevelType w:val="hybridMultilevel"/>
    <w:tmpl w:val="68CA7730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2A7BBD"/>
    <w:multiLevelType w:val="hybridMultilevel"/>
    <w:tmpl w:val="9998C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DE5"/>
    <w:multiLevelType w:val="hybridMultilevel"/>
    <w:tmpl w:val="15F01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234"/>
    <w:multiLevelType w:val="hybridMultilevel"/>
    <w:tmpl w:val="6C486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5539"/>
    <w:multiLevelType w:val="hybridMultilevel"/>
    <w:tmpl w:val="68CA7730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D7082B"/>
    <w:multiLevelType w:val="hybridMultilevel"/>
    <w:tmpl w:val="1610CF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75808"/>
    <w:multiLevelType w:val="hybridMultilevel"/>
    <w:tmpl w:val="73E482C2"/>
    <w:lvl w:ilvl="0" w:tplc="34CE5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731B9"/>
    <w:multiLevelType w:val="hybridMultilevel"/>
    <w:tmpl w:val="82488A42"/>
    <w:lvl w:ilvl="0" w:tplc="82D6C17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E68EB"/>
    <w:multiLevelType w:val="hybridMultilevel"/>
    <w:tmpl w:val="481A68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9D1224"/>
    <w:multiLevelType w:val="hybridMultilevel"/>
    <w:tmpl w:val="AB603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27B91"/>
    <w:multiLevelType w:val="hybridMultilevel"/>
    <w:tmpl w:val="5878591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855FD8"/>
    <w:multiLevelType w:val="hybridMultilevel"/>
    <w:tmpl w:val="7D721240"/>
    <w:lvl w:ilvl="0" w:tplc="080A0013">
      <w:start w:val="1"/>
      <w:numFmt w:val="upperRoman"/>
      <w:lvlText w:val="%1."/>
      <w:lvlJc w:val="right"/>
      <w:pPr>
        <w:ind w:left="2149" w:hanging="360"/>
      </w:pPr>
    </w:lvl>
    <w:lvl w:ilvl="1" w:tplc="080A0019" w:tentative="1">
      <w:start w:val="1"/>
      <w:numFmt w:val="lowerLetter"/>
      <w:lvlText w:val="%2."/>
      <w:lvlJc w:val="left"/>
      <w:pPr>
        <w:ind w:left="2869" w:hanging="360"/>
      </w:pPr>
    </w:lvl>
    <w:lvl w:ilvl="2" w:tplc="080A001B" w:tentative="1">
      <w:start w:val="1"/>
      <w:numFmt w:val="lowerRoman"/>
      <w:lvlText w:val="%3."/>
      <w:lvlJc w:val="right"/>
      <w:pPr>
        <w:ind w:left="3589" w:hanging="180"/>
      </w:pPr>
    </w:lvl>
    <w:lvl w:ilvl="3" w:tplc="080A000F" w:tentative="1">
      <w:start w:val="1"/>
      <w:numFmt w:val="decimal"/>
      <w:lvlText w:val="%4."/>
      <w:lvlJc w:val="left"/>
      <w:pPr>
        <w:ind w:left="4309" w:hanging="360"/>
      </w:pPr>
    </w:lvl>
    <w:lvl w:ilvl="4" w:tplc="080A0019" w:tentative="1">
      <w:start w:val="1"/>
      <w:numFmt w:val="lowerLetter"/>
      <w:lvlText w:val="%5."/>
      <w:lvlJc w:val="left"/>
      <w:pPr>
        <w:ind w:left="5029" w:hanging="360"/>
      </w:pPr>
    </w:lvl>
    <w:lvl w:ilvl="5" w:tplc="080A001B" w:tentative="1">
      <w:start w:val="1"/>
      <w:numFmt w:val="lowerRoman"/>
      <w:lvlText w:val="%6."/>
      <w:lvlJc w:val="right"/>
      <w:pPr>
        <w:ind w:left="5749" w:hanging="180"/>
      </w:pPr>
    </w:lvl>
    <w:lvl w:ilvl="6" w:tplc="080A000F" w:tentative="1">
      <w:start w:val="1"/>
      <w:numFmt w:val="decimal"/>
      <w:lvlText w:val="%7."/>
      <w:lvlJc w:val="left"/>
      <w:pPr>
        <w:ind w:left="6469" w:hanging="360"/>
      </w:pPr>
    </w:lvl>
    <w:lvl w:ilvl="7" w:tplc="080A0019" w:tentative="1">
      <w:start w:val="1"/>
      <w:numFmt w:val="lowerLetter"/>
      <w:lvlText w:val="%8."/>
      <w:lvlJc w:val="left"/>
      <w:pPr>
        <w:ind w:left="7189" w:hanging="360"/>
      </w:pPr>
    </w:lvl>
    <w:lvl w:ilvl="8" w:tplc="08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3E323F79"/>
    <w:multiLevelType w:val="hybridMultilevel"/>
    <w:tmpl w:val="771E3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A7FE7"/>
    <w:multiLevelType w:val="hybridMultilevel"/>
    <w:tmpl w:val="3532164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EE7362"/>
    <w:multiLevelType w:val="hybridMultilevel"/>
    <w:tmpl w:val="710AEBA2"/>
    <w:lvl w:ilvl="0" w:tplc="3BFEEE48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6F35"/>
    <w:multiLevelType w:val="hybridMultilevel"/>
    <w:tmpl w:val="8A08CED6"/>
    <w:lvl w:ilvl="0" w:tplc="AFFCE6F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4B1B1BF4"/>
    <w:multiLevelType w:val="hybridMultilevel"/>
    <w:tmpl w:val="2104E36C"/>
    <w:lvl w:ilvl="0" w:tplc="8CDC7F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32C5B"/>
    <w:multiLevelType w:val="hybridMultilevel"/>
    <w:tmpl w:val="8F1C94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6219B"/>
    <w:multiLevelType w:val="hybridMultilevel"/>
    <w:tmpl w:val="EA520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1766C"/>
    <w:multiLevelType w:val="hybridMultilevel"/>
    <w:tmpl w:val="D25800F0"/>
    <w:lvl w:ilvl="0" w:tplc="F59CF0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350F8"/>
    <w:multiLevelType w:val="hybridMultilevel"/>
    <w:tmpl w:val="5E3444E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0353FC"/>
    <w:multiLevelType w:val="hybridMultilevel"/>
    <w:tmpl w:val="8C60D332"/>
    <w:lvl w:ilvl="0" w:tplc="D228C65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E6763"/>
    <w:multiLevelType w:val="hybridMultilevel"/>
    <w:tmpl w:val="B81C8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13760"/>
    <w:multiLevelType w:val="hybridMultilevel"/>
    <w:tmpl w:val="9594D77C"/>
    <w:lvl w:ilvl="0" w:tplc="EEBE86F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C9681B"/>
    <w:multiLevelType w:val="hybridMultilevel"/>
    <w:tmpl w:val="1E74CBD8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370173"/>
    <w:multiLevelType w:val="hybridMultilevel"/>
    <w:tmpl w:val="36549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9046D"/>
    <w:multiLevelType w:val="hybridMultilevel"/>
    <w:tmpl w:val="EBBAD7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C2D1A"/>
    <w:multiLevelType w:val="hybridMultilevel"/>
    <w:tmpl w:val="DE62D9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32ABC"/>
    <w:multiLevelType w:val="hybridMultilevel"/>
    <w:tmpl w:val="35F6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D2C56"/>
    <w:multiLevelType w:val="hybridMultilevel"/>
    <w:tmpl w:val="1F8E0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347E6"/>
    <w:multiLevelType w:val="hybridMultilevel"/>
    <w:tmpl w:val="AA2CDAC2"/>
    <w:lvl w:ilvl="0" w:tplc="9964126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29"/>
  </w:num>
  <w:num w:numId="5">
    <w:abstractNumId w:val="16"/>
  </w:num>
  <w:num w:numId="6">
    <w:abstractNumId w:val="13"/>
  </w:num>
  <w:num w:numId="7">
    <w:abstractNumId w:val="17"/>
  </w:num>
  <w:num w:numId="8">
    <w:abstractNumId w:val="26"/>
  </w:num>
  <w:num w:numId="9">
    <w:abstractNumId w:val="10"/>
  </w:num>
  <w:num w:numId="10">
    <w:abstractNumId w:val="18"/>
  </w:num>
  <w:num w:numId="11">
    <w:abstractNumId w:val="4"/>
  </w:num>
  <w:num w:numId="12">
    <w:abstractNumId w:val="24"/>
  </w:num>
  <w:num w:numId="13">
    <w:abstractNumId w:val="11"/>
  </w:num>
  <w:num w:numId="14">
    <w:abstractNumId w:val="15"/>
  </w:num>
  <w:num w:numId="15">
    <w:abstractNumId w:val="30"/>
  </w:num>
  <w:num w:numId="16">
    <w:abstractNumId w:val="0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3"/>
  </w:num>
  <w:num w:numId="22">
    <w:abstractNumId w:val="1"/>
  </w:num>
  <w:num w:numId="23">
    <w:abstractNumId w:val="22"/>
  </w:num>
  <w:num w:numId="24">
    <w:abstractNumId w:val="25"/>
  </w:num>
  <w:num w:numId="25">
    <w:abstractNumId w:val="3"/>
  </w:num>
  <w:num w:numId="26">
    <w:abstractNumId w:val="2"/>
  </w:num>
  <w:num w:numId="27">
    <w:abstractNumId w:val="22"/>
  </w:num>
  <w:num w:numId="28">
    <w:abstractNumId w:val="27"/>
  </w:num>
  <w:num w:numId="29">
    <w:abstractNumId w:val="12"/>
  </w:num>
  <w:num w:numId="30">
    <w:abstractNumId w:val="19"/>
  </w:num>
  <w:num w:numId="31">
    <w:abstractNumId w:val="28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F2"/>
    <w:rsid w:val="0001391A"/>
    <w:rsid w:val="000151EF"/>
    <w:rsid w:val="00015BBA"/>
    <w:rsid w:val="000242B7"/>
    <w:rsid w:val="0002636A"/>
    <w:rsid w:val="0002666E"/>
    <w:rsid w:val="0003198D"/>
    <w:rsid w:val="000350A6"/>
    <w:rsid w:val="00044191"/>
    <w:rsid w:val="000445FE"/>
    <w:rsid w:val="00047961"/>
    <w:rsid w:val="000553D5"/>
    <w:rsid w:val="00057B24"/>
    <w:rsid w:val="00066D99"/>
    <w:rsid w:val="00070677"/>
    <w:rsid w:val="000801F4"/>
    <w:rsid w:val="000941AB"/>
    <w:rsid w:val="0009692B"/>
    <w:rsid w:val="000975E0"/>
    <w:rsid w:val="000A6EDF"/>
    <w:rsid w:val="000B3E76"/>
    <w:rsid w:val="000B6618"/>
    <w:rsid w:val="000C7176"/>
    <w:rsid w:val="000D2AA3"/>
    <w:rsid w:val="000D3241"/>
    <w:rsid w:val="000D6C3E"/>
    <w:rsid w:val="000D76E7"/>
    <w:rsid w:val="000E04CA"/>
    <w:rsid w:val="000E09AA"/>
    <w:rsid w:val="000E1179"/>
    <w:rsid w:val="000E178D"/>
    <w:rsid w:val="000E321B"/>
    <w:rsid w:val="000F166C"/>
    <w:rsid w:val="00106267"/>
    <w:rsid w:val="001220B2"/>
    <w:rsid w:val="001305CC"/>
    <w:rsid w:val="00136FD5"/>
    <w:rsid w:val="00151B19"/>
    <w:rsid w:val="0015345D"/>
    <w:rsid w:val="00164A8B"/>
    <w:rsid w:val="001706A3"/>
    <w:rsid w:val="001748EC"/>
    <w:rsid w:val="00182026"/>
    <w:rsid w:val="00183388"/>
    <w:rsid w:val="00191271"/>
    <w:rsid w:val="001963EA"/>
    <w:rsid w:val="001979F9"/>
    <w:rsid w:val="001A5332"/>
    <w:rsid w:val="001A5F8F"/>
    <w:rsid w:val="001B49F7"/>
    <w:rsid w:val="001D6B79"/>
    <w:rsid w:val="001E0F0A"/>
    <w:rsid w:val="001E3ACD"/>
    <w:rsid w:val="001F5BF7"/>
    <w:rsid w:val="002044CB"/>
    <w:rsid w:val="0020787B"/>
    <w:rsid w:val="002105D6"/>
    <w:rsid w:val="00210848"/>
    <w:rsid w:val="00211C26"/>
    <w:rsid w:val="0021289B"/>
    <w:rsid w:val="00214E0A"/>
    <w:rsid w:val="00215B63"/>
    <w:rsid w:val="00216F26"/>
    <w:rsid w:val="0022019B"/>
    <w:rsid w:val="00221FEA"/>
    <w:rsid w:val="0022609C"/>
    <w:rsid w:val="002340E4"/>
    <w:rsid w:val="00241801"/>
    <w:rsid w:val="00242090"/>
    <w:rsid w:val="0024383E"/>
    <w:rsid w:val="002469AA"/>
    <w:rsid w:val="0027131C"/>
    <w:rsid w:val="0027533D"/>
    <w:rsid w:val="00275925"/>
    <w:rsid w:val="00275F2C"/>
    <w:rsid w:val="00280E76"/>
    <w:rsid w:val="00291E23"/>
    <w:rsid w:val="002A17F4"/>
    <w:rsid w:val="002A35F0"/>
    <w:rsid w:val="002B015A"/>
    <w:rsid w:val="002B23FF"/>
    <w:rsid w:val="002B3DEB"/>
    <w:rsid w:val="002B6C66"/>
    <w:rsid w:val="002C00F9"/>
    <w:rsid w:val="002C082A"/>
    <w:rsid w:val="002C529D"/>
    <w:rsid w:val="002C5D80"/>
    <w:rsid w:val="002C6D72"/>
    <w:rsid w:val="002D4369"/>
    <w:rsid w:val="002D7DF4"/>
    <w:rsid w:val="002E315F"/>
    <w:rsid w:val="002E6065"/>
    <w:rsid w:val="002E754E"/>
    <w:rsid w:val="002F1576"/>
    <w:rsid w:val="002F15E7"/>
    <w:rsid w:val="002F1648"/>
    <w:rsid w:val="002F306A"/>
    <w:rsid w:val="003002F3"/>
    <w:rsid w:val="00300740"/>
    <w:rsid w:val="003013AA"/>
    <w:rsid w:val="00307335"/>
    <w:rsid w:val="003102FD"/>
    <w:rsid w:val="00320F9D"/>
    <w:rsid w:val="00324E18"/>
    <w:rsid w:val="00347C11"/>
    <w:rsid w:val="00352297"/>
    <w:rsid w:val="003527E4"/>
    <w:rsid w:val="00361684"/>
    <w:rsid w:val="00376BB1"/>
    <w:rsid w:val="00377697"/>
    <w:rsid w:val="00385D70"/>
    <w:rsid w:val="00387E1B"/>
    <w:rsid w:val="003903A0"/>
    <w:rsid w:val="003920D5"/>
    <w:rsid w:val="00393B5E"/>
    <w:rsid w:val="003A33A4"/>
    <w:rsid w:val="003A345F"/>
    <w:rsid w:val="003A6CB2"/>
    <w:rsid w:val="003B15AA"/>
    <w:rsid w:val="003B7987"/>
    <w:rsid w:val="003C1DF6"/>
    <w:rsid w:val="003C4DBB"/>
    <w:rsid w:val="003D1604"/>
    <w:rsid w:val="003D63F5"/>
    <w:rsid w:val="003E50B9"/>
    <w:rsid w:val="003E69A6"/>
    <w:rsid w:val="003E7065"/>
    <w:rsid w:val="003E7AB0"/>
    <w:rsid w:val="003F4CD1"/>
    <w:rsid w:val="00400FF7"/>
    <w:rsid w:val="004137CF"/>
    <w:rsid w:val="00414DD5"/>
    <w:rsid w:val="00415A34"/>
    <w:rsid w:val="00420B79"/>
    <w:rsid w:val="0042408E"/>
    <w:rsid w:val="0042575E"/>
    <w:rsid w:val="00437E09"/>
    <w:rsid w:val="004437DC"/>
    <w:rsid w:val="00451096"/>
    <w:rsid w:val="00452670"/>
    <w:rsid w:val="00462ECE"/>
    <w:rsid w:val="00465429"/>
    <w:rsid w:val="00467C52"/>
    <w:rsid w:val="004705FC"/>
    <w:rsid w:val="00473304"/>
    <w:rsid w:val="00485B96"/>
    <w:rsid w:val="00490CF2"/>
    <w:rsid w:val="004A04E1"/>
    <w:rsid w:val="004A2AD6"/>
    <w:rsid w:val="004A2CEF"/>
    <w:rsid w:val="004A5D6A"/>
    <w:rsid w:val="004A606C"/>
    <w:rsid w:val="004B0A77"/>
    <w:rsid w:val="004B2D47"/>
    <w:rsid w:val="004B3D3D"/>
    <w:rsid w:val="004B609E"/>
    <w:rsid w:val="004B7F2F"/>
    <w:rsid w:val="004C4205"/>
    <w:rsid w:val="004C524C"/>
    <w:rsid w:val="004C676B"/>
    <w:rsid w:val="004C6E1C"/>
    <w:rsid w:val="004C7B66"/>
    <w:rsid w:val="004D23A7"/>
    <w:rsid w:val="004D419A"/>
    <w:rsid w:val="004D5C47"/>
    <w:rsid w:val="004D712A"/>
    <w:rsid w:val="004E0154"/>
    <w:rsid w:val="004E551B"/>
    <w:rsid w:val="00500D33"/>
    <w:rsid w:val="00501F6E"/>
    <w:rsid w:val="005032B4"/>
    <w:rsid w:val="0050362E"/>
    <w:rsid w:val="00507000"/>
    <w:rsid w:val="00513E7B"/>
    <w:rsid w:val="00520877"/>
    <w:rsid w:val="00520C07"/>
    <w:rsid w:val="005268B2"/>
    <w:rsid w:val="00530CDA"/>
    <w:rsid w:val="00534B8E"/>
    <w:rsid w:val="00535E84"/>
    <w:rsid w:val="005423B0"/>
    <w:rsid w:val="00543C4E"/>
    <w:rsid w:val="00544FDF"/>
    <w:rsid w:val="00557C80"/>
    <w:rsid w:val="00560D56"/>
    <w:rsid w:val="00561945"/>
    <w:rsid w:val="00563905"/>
    <w:rsid w:val="0057771B"/>
    <w:rsid w:val="00586763"/>
    <w:rsid w:val="00587998"/>
    <w:rsid w:val="00590435"/>
    <w:rsid w:val="00595D53"/>
    <w:rsid w:val="005A5029"/>
    <w:rsid w:val="005A5365"/>
    <w:rsid w:val="005B6604"/>
    <w:rsid w:val="005B6EF3"/>
    <w:rsid w:val="005C407F"/>
    <w:rsid w:val="005C634A"/>
    <w:rsid w:val="005D18F2"/>
    <w:rsid w:val="005D1E07"/>
    <w:rsid w:val="005E3C28"/>
    <w:rsid w:val="005E4142"/>
    <w:rsid w:val="005F43A7"/>
    <w:rsid w:val="005F443A"/>
    <w:rsid w:val="0060287A"/>
    <w:rsid w:val="006038FE"/>
    <w:rsid w:val="00603963"/>
    <w:rsid w:val="00612B53"/>
    <w:rsid w:val="00613E46"/>
    <w:rsid w:val="00616181"/>
    <w:rsid w:val="00616B93"/>
    <w:rsid w:val="0062349A"/>
    <w:rsid w:val="00623684"/>
    <w:rsid w:val="00637A2F"/>
    <w:rsid w:val="006428C1"/>
    <w:rsid w:val="00643CE5"/>
    <w:rsid w:val="0064521B"/>
    <w:rsid w:val="00653394"/>
    <w:rsid w:val="00655318"/>
    <w:rsid w:val="0065681B"/>
    <w:rsid w:val="006628F9"/>
    <w:rsid w:val="006632A4"/>
    <w:rsid w:val="00664F05"/>
    <w:rsid w:val="00671AF2"/>
    <w:rsid w:val="00672C63"/>
    <w:rsid w:val="006774E8"/>
    <w:rsid w:val="00680C70"/>
    <w:rsid w:val="00685CC1"/>
    <w:rsid w:val="00693A23"/>
    <w:rsid w:val="006951D2"/>
    <w:rsid w:val="00695607"/>
    <w:rsid w:val="006958FB"/>
    <w:rsid w:val="006A1AF8"/>
    <w:rsid w:val="006A343E"/>
    <w:rsid w:val="006A3E1C"/>
    <w:rsid w:val="006A4113"/>
    <w:rsid w:val="006A456E"/>
    <w:rsid w:val="006A5D23"/>
    <w:rsid w:val="006B3DA3"/>
    <w:rsid w:val="006C15E4"/>
    <w:rsid w:val="006C4138"/>
    <w:rsid w:val="006C7189"/>
    <w:rsid w:val="006D4F91"/>
    <w:rsid w:val="006E23E8"/>
    <w:rsid w:val="006E2829"/>
    <w:rsid w:val="006F150B"/>
    <w:rsid w:val="006F174F"/>
    <w:rsid w:val="006F1AD9"/>
    <w:rsid w:val="006F22E0"/>
    <w:rsid w:val="007025F0"/>
    <w:rsid w:val="00703064"/>
    <w:rsid w:val="007123E4"/>
    <w:rsid w:val="00712556"/>
    <w:rsid w:val="0071515F"/>
    <w:rsid w:val="007160BA"/>
    <w:rsid w:val="007167E1"/>
    <w:rsid w:val="00721248"/>
    <w:rsid w:val="007238F7"/>
    <w:rsid w:val="007312F8"/>
    <w:rsid w:val="0073494A"/>
    <w:rsid w:val="00743DE1"/>
    <w:rsid w:val="00744747"/>
    <w:rsid w:val="00747045"/>
    <w:rsid w:val="007505E3"/>
    <w:rsid w:val="00764366"/>
    <w:rsid w:val="007674C5"/>
    <w:rsid w:val="007879EA"/>
    <w:rsid w:val="00787FF5"/>
    <w:rsid w:val="00793D5C"/>
    <w:rsid w:val="007975FB"/>
    <w:rsid w:val="00797C6E"/>
    <w:rsid w:val="007A1509"/>
    <w:rsid w:val="007A4DFB"/>
    <w:rsid w:val="007B21CE"/>
    <w:rsid w:val="007B3B9B"/>
    <w:rsid w:val="007C0AE0"/>
    <w:rsid w:val="007C7576"/>
    <w:rsid w:val="007C7711"/>
    <w:rsid w:val="007D30DD"/>
    <w:rsid w:val="007D45A4"/>
    <w:rsid w:val="007D5AF8"/>
    <w:rsid w:val="007E22A9"/>
    <w:rsid w:val="007E5A48"/>
    <w:rsid w:val="007E7EA4"/>
    <w:rsid w:val="007F0DF3"/>
    <w:rsid w:val="007F24A8"/>
    <w:rsid w:val="007F6715"/>
    <w:rsid w:val="008004D4"/>
    <w:rsid w:val="00801614"/>
    <w:rsid w:val="0081405D"/>
    <w:rsid w:val="00814A26"/>
    <w:rsid w:val="008159EE"/>
    <w:rsid w:val="00823B1D"/>
    <w:rsid w:val="008255C5"/>
    <w:rsid w:val="00825D68"/>
    <w:rsid w:val="00832D34"/>
    <w:rsid w:val="0083608E"/>
    <w:rsid w:val="00836D83"/>
    <w:rsid w:val="008542DC"/>
    <w:rsid w:val="00854362"/>
    <w:rsid w:val="008569F8"/>
    <w:rsid w:val="00864BE3"/>
    <w:rsid w:val="008722CE"/>
    <w:rsid w:val="00872DDA"/>
    <w:rsid w:val="0088264F"/>
    <w:rsid w:val="00884422"/>
    <w:rsid w:val="008A5248"/>
    <w:rsid w:val="008A5897"/>
    <w:rsid w:val="008A5CF0"/>
    <w:rsid w:val="008C1A6D"/>
    <w:rsid w:val="008C482F"/>
    <w:rsid w:val="008D2F6D"/>
    <w:rsid w:val="008D59BB"/>
    <w:rsid w:val="008D6BED"/>
    <w:rsid w:val="008F2B11"/>
    <w:rsid w:val="008F370D"/>
    <w:rsid w:val="008F507A"/>
    <w:rsid w:val="008F5796"/>
    <w:rsid w:val="008F6F01"/>
    <w:rsid w:val="00921961"/>
    <w:rsid w:val="009262D9"/>
    <w:rsid w:val="00926B59"/>
    <w:rsid w:val="0093398F"/>
    <w:rsid w:val="0093639D"/>
    <w:rsid w:val="0093649B"/>
    <w:rsid w:val="00951048"/>
    <w:rsid w:val="009520F6"/>
    <w:rsid w:val="00952E9F"/>
    <w:rsid w:val="00956AEE"/>
    <w:rsid w:val="009570D5"/>
    <w:rsid w:val="00961A65"/>
    <w:rsid w:val="00964C31"/>
    <w:rsid w:val="009672BC"/>
    <w:rsid w:val="009707DB"/>
    <w:rsid w:val="00972850"/>
    <w:rsid w:val="0097379E"/>
    <w:rsid w:val="009742DC"/>
    <w:rsid w:val="00991856"/>
    <w:rsid w:val="0099460D"/>
    <w:rsid w:val="00995996"/>
    <w:rsid w:val="00996DC0"/>
    <w:rsid w:val="009979CE"/>
    <w:rsid w:val="009A52C5"/>
    <w:rsid w:val="009A77F7"/>
    <w:rsid w:val="009B1F4A"/>
    <w:rsid w:val="009B3D6A"/>
    <w:rsid w:val="009B64EC"/>
    <w:rsid w:val="009B77F2"/>
    <w:rsid w:val="009C0793"/>
    <w:rsid w:val="009C32B5"/>
    <w:rsid w:val="009C37A5"/>
    <w:rsid w:val="009C5944"/>
    <w:rsid w:val="009D267D"/>
    <w:rsid w:val="009D2E6C"/>
    <w:rsid w:val="009E08BE"/>
    <w:rsid w:val="009E3264"/>
    <w:rsid w:val="009F15E6"/>
    <w:rsid w:val="009F2E65"/>
    <w:rsid w:val="009F5B9B"/>
    <w:rsid w:val="00A00DDC"/>
    <w:rsid w:val="00A114BA"/>
    <w:rsid w:val="00A11A71"/>
    <w:rsid w:val="00A15E98"/>
    <w:rsid w:val="00A17C6D"/>
    <w:rsid w:val="00A22B28"/>
    <w:rsid w:val="00A25C90"/>
    <w:rsid w:val="00A307F6"/>
    <w:rsid w:val="00A33BE7"/>
    <w:rsid w:val="00A356FA"/>
    <w:rsid w:val="00A37C29"/>
    <w:rsid w:val="00A4437F"/>
    <w:rsid w:val="00A44790"/>
    <w:rsid w:val="00A46277"/>
    <w:rsid w:val="00A61707"/>
    <w:rsid w:val="00A62089"/>
    <w:rsid w:val="00A70A3F"/>
    <w:rsid w:val="00A7255A"/>
    <w:rsid w:val="00A85165"/>
    <w:rsid w:val="00A8581C"/>
    <w:rsid w:val="00A877F2"/>
    <w:rsid w:val="00A90288"/>
    <w:rsid w:val="00A92EE2"/>
    <w:rsid w:val="00A935C0"/>
    <w:rsid w:val="00A96664"/>
    <w:rsid w:val="00AA0292"/>
    <w:rsid w:val="00AA3960"/>
    <w:rsid w:val="00AA5893"/>
    <w:rsid w:val="00AB1C47"/>
    <w:rsid w:val="00AB37E2"/>
    <w:rsid w:val="00AB78B1"/>
    <w:rsid w:val="00AD5441"/>
    <w:rsid w:val="00AE1BBD"/>
    <w:rsid w:val="00AE4135"/>
    <w:rsid w:val="00AE4D4D"/>
    <w:rsid w:val="00AE7B66"/>
    <w:rsid w:val="00AF20F2"/>
    <w:rsid w:val="00AF6E18"/>
    <w:rsid w:val="00B0012F"/>
    <w:rsid w:val="00B0058F"/>
    <w:rsid w:val="00B0396F"/>
    <w:rsid w:val="00B04BA8"/>
    <w:rsid w:val="00B04F1A"/>
    <w:rsid w:val="00B05175"/>
    <w:rsid w:val="00B05996"/>
    <w:rsid w:val="00B07808"/>
    <w:rsid w:val="00B24474"/>
    <w:rsid w:val="00B246C5"/>
    <w:rsid w:val="00B33856"/>
    <w:rsid w:val="00B3585F"/>
    <w:rsid w:val="00B4204C"/>
    <w:rsid w:val="00B454D7"/>
    <w:rsid w:val="00B45E56"/>
    <w:rsid w:val="00B45E75"/>
    <w:rsid w:val="00B460CB"/>
    <w:rsid w:val="00B474EA"/>
    <w:rsid w:val="00B47A7D"/>
    <w:rsid w:val="00B53AC9"/>
    <w:rsid w:val="00B5462A"/>
    <w:rsid w:val="00B62231"/>
    <w:rsid w:val="00B63842"/>
    <w:rsid w:val="00B66D76"/>
    <w:rsid w:val="00B72560"/>
    <w:rsid w:val="00B730B0"/>
    <w:rsid w:val="00B73F0E"/>
    <w:rsid w:val="00B76A15"/>
    <w:rsid w:val="00B80EDA"/>
    <w:rsid w:val="00B87E4E"/>
    <w:rsid w:val="00B91379"/>
    <w:rsid w:val="00B94CB7"/>
    <w:rsid w:val="00B94E1A"/>
    <w:rsid w:val="00BA0600"/>
    <w:rsid w:val="00BA0F88"/>
    <w:rsid w:val="00BB332F"/>
    <w:rsid w:val="00BB4F46"/>
    <w:rsid w:val="00BC2A63"/>
    <w:rsid w:val="00BC2AC5"/>
    <w:rsid w:val="00BC60F7"/>
    <w:rsid w:val="00BC65AE"/>
    <w:rsid w:val="00BC700A"/>
    <w:rsid w:val="00BD34D3"/>
    <w:rsid w:val="00BD519F"/>
    <w:rsid w:val="00BF2A8A"/>
    <w:rsid w:val="00C008A3"/>
    <w:rsid w:val="00C02D62"/>
    <w:rsid w:val="00C0581F"/>
    <w:rsid w:val="00C060EE"/>
    <w:rsid w:val="00C21E8B"/>
    <w:rsid w:val="00C22FE0"/>
    <w:rsid w:val="00C23267"/>
    <w:rsid w:val="00C24D2E"/>
    <w:rsid w:val="00C53E73"/>
    <w:rsid w:val="00C5484F"/>
    <w:rsid w:val="00C55BEC"/>
    <w:rsid w:val="00C55E44"/>
    <w:rsid w:val="00C56113"/>
    <w:rsid w:val="00C56CC5"/>
    <w:rsid w:val="00C56D5A"/>
    <w:rsid w:val="00C64BD6"/>
    <w:rsid w:val="00C66790"/>
    <w:rsid w:val="00C66C33"/>
    <w:rsid w:val="00C70102"/>
    <w:rsid w:val="00C73461"/>
    <w:rsid w:val="00C74068"/>
    <w:rsid w:val="00C76426"/>
    <w:rsid w:val="00C77EB2"/>
    <w:rsid w:val="00C81254"/>
    <w:rsid w:val="00C82E30"/>
    <w:rsid w:val="00C9214E"/>
    <w:rsid w:val="00CA793E"/>
    <w:rsid w:val="00CB250F"/>
    <w:rsid w:val="00CB55B1"/>
    <w:rsid w:val="00CC1D47"/>
    <w:rsid w:val="00CC29A4"/>
    <w:rsid w:val="00CC66C5"/>
    <w:rsid w:val="00CC706E"/>
    <w:rsid w:val="00CC7BCC"/>
    <w:rsid w:val="00CD15D9"/>
    <w:rsid w:val="00CE7EC1"/>
    <w:rsid w:val="00D026B7"/>
    <w:rsid w:val="00D06194"/>
    <w:rsid w:val="00D159DC"/>
    <w:rsid w:val="00D32CD0"/>
    <w:rsid w:val="00D33981"/>
    <w:rsid w:val="00D3592D"/>
    <w:rsid w:val="00D50ED4"/>
    <w:rsid w:val="00D554BE"/>
    <w:rsid w:val="00D57CAD"/>
    <w:rsid w:val="00D62BDE"/>
    <w:rsid w:val="00D66A49"/>
    <w:rsid w:val="00D70322"/>
    <w:rsid w:val="00D72706"/>
    <w:rsid w:val="00D7475A"/>
    <w:rsid w:val="00D74F26"/>
    <w:rsid w:val="00D87F0A"/>
    <w:rsid w:val="00DA5D37"/>
    <w:rsid w:val="00DB059A"/>
    <w:rsid w:val="00DB64D8"/>
    <w:rsid w:val="00DC2A7F"/>
    <w:rsid w:val="00DD5287"/>
    <w:rsid w:val="00DD7760"/>
    <w:rsid w:val="00DE4796"/>
    <w:rsid w:val="00DE6EE3"/>
    <w:rsid w:val="00E02213"/>
    <w:rsid w:val="00E02DCB"/>
    <w:rsid w:val="00E10815"/>
    <w:rsid w:val="00E232BC"/>
    <w:rsid w:val="00E26BFD"/>
    <w:rsid w:val="00E2762C"/>
    <w:rsid w:val="00E3185E"/>
    <w:rsid w:val="00E37790"/>
    <w:rsid w:val="00E37EC0"/>
    <w:rsid w:val="00E42FD9"/>
    <w:rsid w:val="00E43DBA"/>
    <w:rsid w:val="00E4536C"/>
    <w:rsid w:val="00E51373"/>
    <w:rsid w:val="00E60A88"/>
    <w:rsid w:val="00E61B4E"/>
    <w:rsid w:val="00E63F8D"/>
    <w:rsid w:val="00E66511"/>
    <w:rsid w:val="00E67DF9"/>
    <w:rsid w:val="00E73DC3"/>
    <w:rsid w:val="00E801E9"/>
    <w:rsid w:val="00E86A13"/>
    <w:rsid w:val="00E8778A"/>
    <w:rsid w:val="00E90C57"/>
    <w:rsid w:val="00E92426"/>
    <w:rsid w:val="00E96B3D"/>
    <w:rsid w:val="00EA4E39"/>
    <w:rsid w:val="00EB571D"/>
    <w:rsid w:val="00EB739C"/>
    <w:rsid w:val="00EC02B1"/>
    <w:rsid w:val="00EC2F5D"/>
    <w:rsid w:val="00EC7E8E"/>
    <w:rsid w:val="00ED43CA"/>
    <w:rsid w:val="00EF03DA"/>
    <w:rsid w:val="00F017D3"/>
    <w:rsid w:val="00F039CE"/>
    <w:rsid w:val="00F10F82"/>
    <w:rsid w:val="00F1447B"/>
    <w:rsid w:val="00F21F64"/>
    <w:rsid w:val="00F2358E"/>
    <w:rsid w:val="00F240D0"/>
    <w:rsid w:val="00F26E38"/>
    <w:rsid w:val="00F4158E"/>
    <w:rsid w:val="00F417D0"/>
    <w:rsid w:val="00F51BC7"/>
    <w:rsid w:val="00F55358"/>
    <w:rsid w:val="00F61C3D"/>
    <w:rsid w:val="00F62097"/>
    <w:rsid w:val="00F6533A"/>
    <w:rsid w:val="00F66A10"/>
    <w:rsid w:val="00F71720"/>
    <w:rsid w:val="00F73BAE"/>
    <w:rsid w:val="00F761B8"/>
    <w:rsid w:val="00F766E9"/>
    <w:rsid w:val="00F8154F"/>
    <w:rsid w:val="00F836A8"/>
    <w:rsid w:val="00F83974"/>
    <w:rsid w:val="00F84713"/>
    <w:rsid w:val="00F86E95"/>
    <w:rsid w:val="00F907F4"/>
    <w:rsid w:val="00F92273"/>
    <w:rsid w:val="00F970F1"/>
    <w:rsid w:val="00FB452F"/>
    <w:rsid w:val="00FB765E"/>
    <w:rsid w:val="00FC4FD5"/>
    <w:rsid w:val="00FC7D52"/>
    <w:rsid w:val="00FD3B78"/>
    <w:rsid w:val="00FD3B80"/>
    <w:rsid w:val="00FE3E63"/>
    <w:rsid w:val="00FE6B97"/>
    <w:rsid w:val="00FF00A1"/>
    <w:rsid w:val="00FF1563"/>
    <w:rsid w:val="00FF74B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CB7E5F"/>
  <w15:docId w15:val="{63951302-37D9-4E42-9993-29C690FB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AF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,FooterText,numbered,List Paragraph1,Paragraphe de liste1,Bulletr List Paragraph,列出段落,列出段落1,Cuadros,Lista general,4 Viñ 1nivel,Numeración 1,Cuadrícula media 1 - Énfasis 21"/>
    <w:basedOn w:val="Normal"/>
    <w:link w:val="PrrafodelistaCar"/>
    <w:uiPriority w:val="34"/>
    <w:qFormat/>
    <w:rsid w:val="00671AF2"/>
    <w:pPr>
      <w:ind w:left="720"/>
      <w:contextualSpacing/>
    </w:p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Cuadros Car,Lista general Car,4 Viñ 1nivel Car,Numeración 1 Car"/>
    <w:link w:val="Prrafodelista"/>
    <w:uiPriority w:val="34"/>
    <w:locked/>
    <w:rsid w:val="00671AF2"/>
  </w:style>
  <w:style w:type="paragraph" w:styleId="Encabezado">
    <w:name w:val="header"/>
    <w:basedOn w:val="Normal"/>
    <w:link w:val="EncabezadoCar"/>
    <w:uiPriority w:val="99"/>
    <w:unhideWhenUsed/>
    <w:rsid w:val="00F66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A10"/>
  </w:style>
  <w:style w:type="paragraph" w:styleId="Piedepgina">
    <w:name w:val="footer"/>
    <w:basedOn w:val="Normal"/>
    <w:link w:val="PiedepginaCar"/>
    <w:uiPriority w:val="99"/>
    <w:unhideWhenUsed/>
    <w:rsid w:val="00F66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A10"/>
  </w:style>
  <w:style w:type="table" w:styleId="Tablaconcuadrcula">
    <w:name w:val="Table Grid"/>
    <w:basedOn w:val="Tablanormal"/>
    <w:uiPriority w:val="39"/>
    <w:rsid w:val="00F6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94A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026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5A5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029"/>
    <w:rPr>
      <w:b/>
      <w:bCs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F017D3"/>
    <w:rPr>
      <w:smallCaps/>
      <w:color w:val="5A5A5A" w:themeColor="text1" w:themeTint="A5"/>
    </w:rPr>
  </w:style>
  <w:style w:type="paragraph" w:styleId="Textonotapie">
    <w:name w:val="footnote text"/>
    <w:basedOn w:val="Normal"/>
    <w:link w:val="TextonotapieCar"/>
    <w:uiPriority w:val="99"/>
    <w:unhideWhenUsed/>
    <w:rsid w:val="001A53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53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5332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A935C0"/>
    <w:pPr>
      <w:widowControl w:val="0"/>
      <w:spacing w:after="0" w:line="240" w:lineRule="auto"/>
      <w:ind w:left="118"/>
    </w:pPr>
    <w:rPr>
      <w:rFonts w:ascii="ITC Avant Garde" w:eastAsia="ITC Avant Garde" w:hAnsi="ITC Avant Gard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35C0"/>
    <w:rPr>
      <w:rFonts w:ascii="ITC Avant Garde" w:eastAsia="ITC Avant Garde" w:hAnsi="ITC Avant Garde"/>
    </w:rPr>
  </w:style>
  <w:style w:type="paragraph" w:customStyle="1" w:styleId="ANOTACION">
    <w:name w:val="ANOTACION"/>
    <w:basedOn w:val="Normal"/>
    <w:link w:val="ANOTACIONCar"/>
    <w:rsid w:val="00AB1C47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zh-CN"/>
    </w:rPr>
  </w:style>
  <w:style w:type="character" w:customStyle="1" w:styleId="ANOTACIONCar">
    <w:name w:val="ANOTACION Car"/>
    <w:link w:val="ANOTACION"/>
    <w:locked/>
    <w:rsid w:val="00AB1C47"/>
    <w:rPr>
      <w:rFonts w:ascii="Times New Roman" w:eastAsia="Times New Roman" w:hAnsi="Times New Roman" w:cs="Times New Roman"/>
      <w:b/>
      <w:sz w:val="18"/>
      <w:szCs w:val="20"/>
      <w:lang w:val="es-ES_tradnl" w:eastAsia="zh-CN"/>
    </w:rPr>
  </w:style>
  <w:style w:type="paragraph" w:customStyle="1" w:styleId="texto">
    <w:name w:val="texto"/>
    <w:basedOn w:val="Normal"/>
    <w:rsid w:val="00AB1C47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1B7E4B4CB12D42BC4FEC0312ACD800" ma:contentTypeVersion="0" ma:contentTypeDescription="Crear nuevo documento." ma:contentTypeScope="" ma:versionID="c979698695b406e086ace8027e90ed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E029-8101-4EEC-A5E8-D69F82437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3E3BC4-2CA9-403C-86C0-9980C8C4B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8EE5AD-EC7B-4CDC-A1EB-587D97D4AE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26AA6-89F6-4474-AD58-40C0327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Altagracia Olivo Santana</dc:creator>
  <cp:keywords/>
  <dc:description/>
  <cp:lastModifiedBy>Allan Lujano Giron</cp:lastModifiedBy>
  <cp:revision>2</cp:revision>
  <dcterms:created xsi:type="dcterms:W3CDTF">2020-10-13T22:47:00Z</dcterms:created>
  <dcterms:modified xsi:type="dcterms:W3CDTF">2020-10-13T22:47:00Z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0x010100CF1B7E4B4CB12D42BC4FEC0312ACD800</vt:lpwstr>
  </property>
</Properties>
</file>