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5A2" w:rsidRPr="0016571C" w:rsidRDefault="00850918" w:rsidP="00461C4A">
      <w:pPr>
        <w:spacing w:after="0" w:line="276" w:lineRule="auto"/>
        <w:ind w:right="-57"/>
        <w:jc w:val="both"/>
        <w:rPr>
          <w:rFonts w:ascii="ITC Avant Garde" w:hAnsi="ITC Avant Garde"/>
          <w:b/>
        </w:rPr>
      </w:pPr>
      <w:bookmarkStart w:id="0" w:name="_GoBack"/>
      <w:bookmarkEnd w:id="0"/>
      <w:r>
        <w:rPr>
          <w:rFonts w:ascii="ITC Avant Garde" w:hAnsi="ITC Avant Garde" w:cs="Tahoma"/>
          <w:b/>
          <w:bCs/>
        </w:rPr>
        <w:t>ACUERDO MEDIANTE EL CUAL EL PLENO DEL INSTITUTO FEDERAL DE TELECOMUNICACIONES AMPLÍA EL PLAZO DE LA CONSULTA PÚBLICA ESTABLECIDO EN EL “</w:t>
      </w:r>
      <w:r w:rsidR="00C35169" w:rsidRPr="0016571C">
        <w:rPr>
          <w:rFonts w:ascii="ITC Avant Garde" w:hAnsi="ITC Avant Garde" w:cs="Tahoma"/>
          <w:b/>
          <w:bCs/>
        </w:rPr>
        <w:t>ACUERDO MEDIANTE EL CUAL EL PLENO DEL INSTITUTO FEDERAL DE TELECOMUNICACIONES DETERMI</w:t>
      </w:r>
      <w:r w:rsidR="007056EB" w:rsidRPr="0016571C">
        <w:rPr>
          <w:rFonts w:ascii="ITC Avant Garde" w:hAnsi="ITC Avant Garde" w:cs="Tahoma"/>
          <w:b/>
          <w:bCs/>
        </w:rPr>
        <w:t>NA SOMETER A CONSULTA PÚBLICA LA</w:t>
      </w:r>
      <w:r w:rsidR="00C35169" w:rsidRPr="0016571C">
        <w:rPr>
          <w:rFonts w:ascii="ITC Avant Garde" w:hAnsi="ITC Avant Garde" w:cs="Tahoma"/>
          <w:b/>
          <w:bCs/>
        </w:rPr>
        <w:t xml:space="preserve"> </w:t>
      </w:r>
      <w:r w:rsidR="007A45DD" w:rsidRPr="0016571C">
        <w:rPr>
          <w:rFonts w:ascii="ITC Avant Garde" w:hAnsi="ITC Avant Garde" w:cs="Tahoma"/>
          <w:b/>
          <w:bCs/>
        </w:rPr>
        <w:t>“</w:t>
      </w:r>
      <w:r w:rsidR="007056EB" w:rsidRPr="0016571C">
        <w:rPr>
          <w:rFonts w:ascii="ITC Avant Garde" w:hAnsi="ITC Avant Garde" w:cs="Tahoma"/>
          <w:b/>
          <w:bCs/>
        </w:rPr>
        <w:t xml:space="preserve">METODOLOGÍA </w:t>
      </w:r>
      <w:r w:rsidR="0069145A">
        <w:rPr>
          <w:rFonts w:ascii="ITC Avant Garde" w:hAnsi="ITC Avant Garde" w:cs="Tahoma"/>
          <w:b/>
          <w:bCs/>
        </w:rPr>
        <w:t xml:space="preserve">PARA LA </w:t>
      </w:r>
      <w:r w:rsidR="00A4146E">
        <w:rPr>
          <w:rFonts w:ascii="ITC Avant Garde" w:hAnsi="ITC Avant Garde" w:cs="Tahoma"/>
          <w:b/>
          <w:bCs/>
        </w:rPr>
        <w:t xml:space="preserve">DEFINICIÓN Y ENTREGA DE INFORMACIÓN RELATIVA A LOS </w:t>
      </w:r>
      <w:r w:rsidR="007056EB" w:rsidRPr="0016571C">
        <w:rPr>
          <w:rFonts w:ascii="ITC Avant Garde" w:hAnsi="ITC Avant Garde" w:cs="Tahoma"/>
          <w:b/>
          <w:bCs/>
        </w:rPr>
        <w:t>CONTADORES DE DESEMPEÑO ESTABLECIDA EN LOS LINEAMIENTOS QUE FIJAN LOS ÍNDICES Y PARÁMETROS DE CALIDAD A QUE DEBERÁN SUJETARSE LOS PRESTADORES DEL SERVICIO MÓVIL, PUBLICADOS EN EL DIARIO OFICIAL DE LA FEDERACIÓN EL 17 DE ENERO DE 2018</w:t>
      </w:r>
      <w:r w:rsidR="007A45DD" w:rsidRPr="0016571C">
        <w:rPr>
          <w:rFonts w:ascii="ITC Avant Garde" w:hAnsi="ITC Avant Garde" w:cs="Tahoma"/>
          <w:b/>
          <w:bCs/>
        </w:rPr>
        <w:t>”</w:t>
      </w:r>
      <w:r>
        <w:rPr>
          <w:rFonts w:ascii="ITC Avant Garde" w:hAnsi="ITC Avant Garde" w:cs="Tahoma"/>
          <w:b/>
          <w:bCs/>
        </w:rPr>
        <w:t>.”</w:t>
      </w:r>
    </w:p>
    <w:p w:rsidR="00C35169" w:rsidRPr="0016571C" w:rsidRDefault="00C35169" w:rsidP="00461C4A">
      <w:pPr>
        <w:spacing w:after="0" w:line="276" w:lineRule="auto"/>
        <w:ind w:right="-58"/>
        <w:jc w:val="both"/>
        <w:rPr>
          <w:rFonts w:ascii="ITC Avant Garde" w:hAnsi="ITC Avant Garde"/>
          <w:b/>
          <w:color w:val="000000"/>
        </w:rPr>
      </w:pPr>
    </w:p>
    <w:p w:rsidR="00C35169" w:rsidRPr="0016571C" w:rsidRDefault="00C35169" w:rsidP="00461C4A">
      <w:pPr>
        <w:pStyle w:val="Default"/>
        <w:spacing w:line="276" w:lineRule="auto"/>
        <w:jc w:val="center"/>
        <w:rPr>
          <w:rFonts w:ascii="ITC Avant Garde" w:hAnsi="ITC Avant Garde"/>
          <w:b/>
          <w:bCs/>
          <w:sz w:val="22"/>
          <w:szCs w:val="22"/>
          <w:lang w:val="es-ES_tradnl"/>
        </w:rPr>
      </w:pPr>
      <w:r w:rsidRPr="0016571C">
        <w:rPr>
          <w:rFonts w:ascii="ITC Avant Garde" w:hAnsi="ITC Avant Garde"/>
          <w:b/>
          <w:bCs/>
          <w:sz w:val="22"/>
          <w:szCs w:val="22"/>
          <w:lang w:val="es-ES_tradnl"/>
        </w:rPr>
        <w:t>ANTECEDENTES</w:t>
      </w:r>
    </w:p>
    <w:p w:rsidR="00C35169" w:rsidRPr="0016571C" w:rsidRDefault="00C35169" w:rsidP="00461C4A">
      <w:pPr>
        <w:pStyle w:val="Default"/>
        <w:spacing w:line="276" w:lineRule="auto"/>
        <w:jc w:val="both"/>
        <w:rPr>
          <w:rFonts w:ascii="ITC Avant Garde" w:hAnsi="ITC Avant Garde"/>
          <w:b/>
          <w:bCs/>
          <w:sz w:val="22"/>
          <w:szCs w:val="22"/>
          <w:lang w:val="es-ES_tradnl"/>
        </w:rPr>
      </w:pPr>
    </w:p>
    <w:p w:rsidR="00010436" w:rsidRPr="0016571C" w:rsidRDefault="00010436" w:rsidP="00010436">
      <w:pPr>
        <w:pStyle w:val="Prrafodelista"/>
        <w:numPr>
          <w:ilvl w:val="0"/>
          <w:numId w:val="4"/>
        </w:numPr>
        <w:spacing w:after="0" w:line="276" w:lineRule="auto"/>
        <w:jc w:val="both"/>
        <w:rPr>
          <w:rFonts w:ascii="ITC Avant Garde" w:hAnsi="ITC Avant Garde"/>
        </w:rPr>
      </w:pPr>
      <w:r w:rsidRPr="0016571C">
        <w:rPr>
          <w:rFonts w:ascii="ITC Avant Garde" w:hAnsi="ITC Avant Garde"/>
        </w:rPr>
        <w:t xml:space="preserve">El 11 de junio de 2013, se publicó en el </w:t>
      </w:r>
      <w:r w:rsidR="00C6129F" w:rsidRPr="0016571C">
        <w:rPr>
          <w:rFonts w:ascii="ITC Avant Garde" w:hAnsi="ITC Avant Garde"/>
        </w:rPr>
        <w:t>Diario Oficial de la Federación (en lo sucesivo, el “DOF”)</w:t>
      </w:r>
      <w:r w:rsidRPr="0016571C">
        <w:rPr>
          <w:rFonts w:ascii="ITC Avant Garde" w:hAnsi="ITC Avant Garde"/>
        </w:rPr>
        <w:t xml:space="preserve"> el "Decreto por el que se reforman y adicionan diversas disposiciones de los artículos 6o., 7o., 27, 28, 73, 78, 94 y 105 de la Constitución Política de los Estados Unidos Mexicanos, en materia de telecomunicaciones" (en lo sucesivo, el "Decreto de Reforma Constitucional"), mediante el cual se creó al Instituto Federal de Telecomunicaciones (en lo sucesivo, el "Instituto") como un órgano autónomo con personalidad jurídica y patrimonio propio, cuyo objeto es regular, promover y supervisar el uso, aprovechamiento y explotación del espectro radioeléctrico, las redes y la prestación de los servicios de radiodifusión y telecomunicaciones, además de ser la autoridad en materia de competencia económica en los sectores de los servicios antes aludidos.</w:t>
      </w:r>
    </w:p>
    <w:p w:rsidR="00B93EB1" w:rsidRPr="0016571C" w:rsidRDefault="00B93EB1" w:rsidP="00370665">
      <w:pPr>
        <w:pStyle w:val="Prrafodelista"/>
        <w:rPr>
          <w:rFonts w:ascii="ITC Avant Garde" w:hAnsi="ITC Avant Garde"/>
        </w:rPr>
      </w:pPr>
    </w:p>
    <w:p w:rsidR="00776683" w:rsidRPr="0016571C" w:rsidRDefault="00776683" w:rsidP="00461C4A">
      <w:pPr>
        <w:pStyle w:val="Prrafodelista"/>
        <w:numPr>
          <w:ilvl w:val="0"/>
          <w:numId w:val="4"/>
        </w:numPr>
        <w:spacing w:after="0" w:line="276" w:lineRule="auto"/>
        <w:jc w:val="both"/>
        <w:rPr>
          <w:rFonts w:ascii="ITC Avant Garde" w:hAnsi="ITC Avant Garde"/>
        </w:rPr>
      </w:pPr>
      <w:r w:rsidRPr="0016571C">
        <w:rPr>
          <w:rFonts w:ascii="ITC Avant Garde" w:hAnsi="ITC Avant Garde"/>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 lo sucesivo, el "Decreto de LFTR"), mismo que entró en vigor a los treinta días naturales siguientes a su publicación, es decir, el 13 de agosto de 2014.</w:t>
      </w:r>
    </w:p>
    <w:p w:rsidR="00A9052D" w:rsidRPr="0016571C" w:rsidRDefault="00A9052D" w:rsidP="00461C4A">
      <w:pPr>
        <w:pStyle w:val="Prrafodelista"/>
        <w:spacing w:line="276" w:lineRule="auto"/>
        <w:rPr>
          <w:rFonts w:ascii="ITC Avant Garde" w:hAnsi="ITC Avant Garde"/>
        </w:rPr>
      </w:pPr>
    </w:p>
    <w:p w:rsidR="00776683" w:rsidRPr="0016571C" w:rsidRDefault="00776683" w:rsidP="00461C4A">
      <w:pPr>
        <w:pStyle w:val="Prrafodelista"/>
        <w:numPr>
          <w:ilvl w:val="0"/>
          <w:numId w:val="4"/>
        </w:numPr>
        <w:spacing w:after="0" w:line="276" w:lineRule="auto"/>
        <w:jc w:val="both"/>
        <w:rPr>
          <w:rFonts w:ascii="ITC Avant Garde" w:hAnsi="ITC Avant Garde"/>
        </w:rPr>
      </w:pPr>
      <w:r w:rsidRPr="0016571C">
        <w:rPr>
          <w:rFonts w:ascii="ITC Avant Garde" w:hAnsi="ITC Avant Garde"/>
        </w:rPr>
        <w:t xml:space="preserve">El 4 de septiembre de 2014, se publicó en el DOF el Estatuto Orgánico del Instituto Federal de Telecomunicaciones (en lo sucesivo, el "Estatuto"), mismo que entró en vigor el 26 de septiembre de 2014; el </w:t>
      </w:r>
      <w:r w:rsidR="00337005">
        <w:rPr>
          <w:rFonts w:ascii="ITC Avant Garde" w:hAnsi="ITC Avant Garde"/>
        </w:rPr>
        <w:t>7 de diciembre de 2018</w:t>
      </w:r>
      <w:r w:rsidRPr="0016571C">
        <w:rPr>
          <w:rFonts w:ascii="ITC Avant Garde" w:hAnsi="ITC Avant Garde"/>
        </w:rPr>
        <w:t xml:space="preserve"> se publicó en el citado medio de difusión oficial su última modificación.</w:t>
      </w:r>
    </w:p>
    <w:p w:rsidR="007056EB" w:rsidRPr="0016571C" w:rsidRDefault="007056EB" w:rsidP="007056EB">
      <w:pPr>
        <w:pStyle w:val="Prrafodelista"/>
        <w:rPr>
          <w:rFonts w:ascii="ITC Avant Garde" w:hAnsi="ITC Avant Garde"/>
        </w:rPr>
      </w:pPr>
    </w:p>
    <w:p w:rsidR="007056EB" w:rsidRDefault="007056EB" w:rsidP="007056EB">
      <w:pPr>
        <w:pStyle w:val="Prrafodelista"/>
        <w:numPr>
          <w:ilvl w:val="0"/>
          <w:numId w:val="4"/>
        </w:numPr>
        <w:spacing w:after="0" w:line="276" w:lineRule="auto"/>
        <w:jc w:val="both"/>
        <w:rPr>
          <w:rFonts w:ascii="ITC Avant Garde" w:hAnsi="ITC Avant Garde"/>
        </w:rPr>
      </w:pPr>
      <w:r w:rsidRPr="0016571C">
        <w:rPr>
          <w:rFonts w:ascii="ITC Avant Garde" w:hAnsi="ITC Avant Garde"/>
        </w:rPr>
        <w:t xml:space="preserve">El 17 de enero de 2018, se publicó en el DOF el “ACUERDO mediante el cual el Pleno del Instituto Federal de Telecomunicaciones aprueba y emite los lineamientos que fijan los índices y parámetros de calidad a que deberán sujetarse los prestadores del servicio móvil y se abroga el Plan Técnico </w:t>
      </w:r>
      <w:r w:rsidRPr="0016571C">
        <w:rPr>
          <w:rFonts w:ascii="ITC Avant Garde" w:hAnsi="ITC Avant Garde"/>
        </w:rPr>
        <w:lastRenderedPageBreak/>
        <w:t>Fundamental de Calidad del Servicio Local Móvil publicado el 30 de agosto de 2011, así como la metodología de mediciones del Plan Técnico Fundamental de Calidad del Servicio Local Móvil publicada el 27 de junio de 2012” (en lo sucesivo, los "Lineamientos"), mismo que entró en vigor a los sesenta días naturales siguientes a su publicación, es decir, el 17 de marzo de 2018.</w:t>
      </w:r>
    </w:p>
    <w:p w:rsidR="00850918" w:rsidRPr="006B0252" w:rsidRDefault="00850918" w:rsidP="006B0252">
      <w:pPr>
        <w:pStyle w:val="Prrafodelista"/>
        <w:rPr>
          <w:rFonts w:ascii="ITC Avant Garde" w:hAnsi="ITC Avant Garde"/>
        </w:rPr>
      </w:pPr>
    </w:p>
    <w:p w:rsidR="00850918" w:rsidRDefault="00850918" w:rsidP="007056EB">
      <w:pPr>
        <w:pStyle w:val="Prrafodelista"/>
        <w:numPr>
          <w:ilvl w:val="0"/>
          <w:numId w:val="4"/>
        </w:numPr>
        <w:spacing w:after="0" w:line="276" w:lineRule="auto"/>
        <w:jc w:val="both"/>
        <w:rPr>
          <w:rFonts w:ascii="ITC Avant Garde" w:hAnsi="ITC Avant Garde"/>
        </w:rPr>
      </w:pPr>
      <w:r>
        <w:rPr>
          <w:rFonts w:ascii="ITC Avant Garde" w:hAnsi="ITC Avant Garde"/>
        </w:rPr>
        <w:t xml:space="preserve">EL </w:t>
      </w:r>
      <w:r w:rsidR="00D93A70" w:rsidRPr="00D93A70">
        <w:rPr>
          <w:rFonts w:ascii="ITC Avant Garde" w:hAnsi="ITC Avant Garde"/>
          <w:lang w:val="es-ES_tradnl"/>
        </w:rPr>
        <w:t>28 de noviembre de 2018</w:t>
      </w:r>
      <w:r>
        <w:rPr>
          <w:rFonts w:ascii="ITC Avant Garde" w:hAnsi="ITC Avant Garde"/>
        </w:rPr>
        <w:t>, en su sesión</w:t>
      </w:r>
      <w:r w:rsidR="00D93A70" w:rsidRPr="00D93A70">
        <w:rPr>
          <w:rFonts w:ascii="ITC Avant Garde" w:eastAsiaTheme="minorHAnsi" w:hAnsi="ITC Avant Garde" w:cstheme="minorBidi"/>
          <w:sz w:val="12"/>
          <w:lang w:val="es-ES_tradnl"/>
        </w:rPr>
        <w:t xml:space="preserve"> </w:t>
      </w:r>
      <w:r w:rsidR="00D93A70" w:rsidRPr="00D93A70">
        <w:rPr>
          <w:rFonts w:ascii="ITC Avant Garde" w:hAnsi="ITC Avant Garde"/>
          <w:lang w:val="es-ES_tradnl"/>
        </w:rPr>
        <w:t>su XXXV Sesión Ordinaria</w:t>
      </w:r>
      <w:r>
        <w:rPr>
          <w:rFonts w:ascii="ITC Avant Garde" w:hAnsi="ITC Avant Garde"/>
        </w:rPr>
        <w:t xml:space="preserve">, el Pleno del Instituto aprobó mediante Acuerdo </w:t>
      </w:r>
      <w:r w:rsidR="00D93A70" w:rsidRPr="00D93A70">
        <w:rPr>
          <w:rFonts w:ascii="ITC Avant Garde" w:hAnsi="ITC Avant Garde"/>
          <w:lang w:val="es-ES_tradnl"/>
        </w:rPr>
        <w:t>P/IFT/281118/786</w:t>
      </w:r>
      <w:r w:rsidR="00D93A70">
        <w:rPr>
          <w:rFonts w:ascii="ITC Avant Garde" w:hAnsi="ITC Avant Garde"/>
          <w:lang w:val="es-ES_tradnl"/>
        </w:rPr>
        <w:t xml:space="preserve"> </w:t>
      </w:r>
      <w:r>
        <w:rPr>
          <w:rFonts w:ascii="ITC Avant Garde" w:hAnsi="ITC Avant Garde"/>
        </w:rPr>
        <w:t>someter a consulta pública el A</w:t>
      </w:r>
      <w:r w:rsidRPr="0016571C">
        <w:rPr>
          <w:rFonts w:ascii="ITC Avant Garde" w:hAnsi="ITC Avant Garde"/>
        </w:rPr>
        <w:t>nteproyecto de metodología para establecer el procedimiento de entrega de información relativa a los contadores de desempeño establecida en los lineamientos que fijan los índices y parámetros de calidad a que deberán sujetarse los prestadores del servicio móvil, publicados en el diario oficial de la federación el 17 de enero de 2018</w:t>
      </w:r>
      <w:r w:rsidR="004F5E0C">
        <w:rPr>
          <w:rFonts w:ascii="ITC Avant Garde" w:hAnsi="ITC Avant Garde"/>
        </w:rPr>
        <w:t>, misma que transcurre del 30 de noviembre de 2018 al 14 de enero de 2019.</w:t>
      </w:r>
    </w:p>
    <w:p w:rsidR="004F5E0C" w:rsidRPr="006B0252" w:rsidRDefault="004F5E0C" w:rsidP="006B0252">
      <w:pPr>
        <w:pStyle w:val="Prrafodelista"/>
        <w:rPr>
          <w:rFonts w:ascii="ITC Avant Garde" w:hAnsi="ITC Avant Garde"/>
        </w:rPr>
      </w:pPr>
    </w:p>
    <w:p w:rsidR="004F5E0C" w:rsidRPr="0016571C" w:rsidRDefault="004F5E0C" w:rsidP="007056EB">
      <w:pPr>
        <w:pStyle w:val="Prrafodelista"/>
        <w:numPr>
          <w:ilvl w:val="0"/>
          <w:numId w:val="4"/>
        </w:numPr>
        <w:spacing w:after="0" w:line="276" w:lineRule="auto"/>
        <w:jc w:val="both"/>
        <w:rPr>
          <w:rFonts w:ascii="ITC Avant Garde" w:hAnsi="ITC Avant Garde"/>
        </w:rPr>
      </w:pPr>
      <w:r>
        <w:rPr>
          <w:rFonts w:ascii="ITC Avant Garde" w:hAnsi="ITC Avant Garde"/>
        </w:rPr>
        <w:t xml:space="preserve">El 7 de enero de 2019, </w:t>
      </w:r>
      <w:r w:rsidR="004C53F6">
        <w:rPr>
          <w:rFonts w:ascii="ITC Avant Garde" w:hAnsi="ITC Avant Garde"/>
        </w:rPr>
        <w:t xml:space="preserve">la Asociación Nacional de Telecomunicaciones, A.C. </w:t>
      </w:r>
      <w:r w:rsidR="00E37B0D">
        <w:rPr>
          <w:rFonts w:ascii="ITC Avant Garde" w:hAnsi="ITC Avant Garde"/>
        </w:rPr>
        <w:t xml:space="preserve">(en lo sucesivo, “ANATEL”) </w:t>
      </w:r>
      <w:r w:rsidR="004C53F6">
        <w:rPr>
          <w:rFonts w:ascii="ITC Avant Garde" w:hAnsi="ITC Avant Garde"/>
        </w:rPr>
        <w:t xml:space="preserve">presentó </w:t>
      </w:r>
      <w:r>
        <w:rPr>
          <w:rFonts w:ascii="ITC Avant Garde" w:hAnsi="ITC Avant Garde"/>
        </w:rPr>
        <w:t>en la oficialía de partes del Instituto escrito</w:t>
      </w:r>
      <w:r w:rsidR="004C53F6">
        <w:rPr>
          <w:rFonts w:ascii="ITC Avant Garde" w:hAnsi="ITC Avant Garde"/>
        </w:rPr>
        <w:t xml:space="preserve"> mediante el cual solicitó una prórroga de </w:t>
      </w:r>
      <w:r w:rsidR="00D93A70">
        <w:rPr>
          <w:rFonts w:ascii="ITC Avant Garde" w:hAnsi="ITC Avant Garde"/>
        </w:rPr>
        <w:t>veinte</w:t>
      </w:r>
      <w:r w:rsidR="004C53F6">
        <w:rPr>
          <w:rFonts w:ascii="ITC Avant Garde" w:hAnsi="ITC Avant Garde"/>
        </w:rPr>
        <w:t xml:space="preserve"> días a la consulta pública</w:t>
      </w:r>
      <w:r w:rsidR="0078594C">
        <w:rPr>
          <w:rFonts w:ascii="ITC Avant Garde" w:hAnsi="ITC Avant Garde"/>
        </w:rPr>
        <w:t>, a fin de contar con un mayor plazo que permita generar consensos con la industria y participar en dicho proceso.</w:t>
      </w:r>
      <w:r w:rsidR="004C53F6">
        <w:rPr>
          <w:rFonts w:ascii="ITC Avant Garde" w:hAnsi="ITC Avant Garde"/>
        </w:rPr>
        <w:t xml:space="preserve"> </w:t>
      </w:r>
    </w:p>
    <w:p w:rsidR="00DA6CFA" w:rsidRPr="0016571C" w:rsidRDefault="00DA6CFA" w:rsidP="00461C4A">
      <w:pPr>
        <w:spacing w:after="0" w:line="276" w:lineRule="auto"/>
        <w:jc w:val="both"/>
        <w:rPr>
          <w:rFonts w:ascii="ITC Avant Garde" w:hAnsi="ITC Avant Garde"/>
          <w:lang w:val="es-MX"/>
        </w:rPr>
      </w:pPr>
    </w:p>
    <w:p w:rsidR="00C35169" w:rsidRPr="0016571C" w:rsidRDefault="00776683" w:rsidP="00461C4A">
      <w:pPr>
        <w:pStyle w:val="Default"/>
        <w:tabs>
          <w:tab w:val="left" w:pos="0"/>
        </w:tabs>
        <w:spacing w:line="276" w:lineRule="auto"/>
        <w:jc w:val="center"/>
        <w:rPr>
          <w:rFonts w:ascii="ITC Avant Garde" w:hAnsi="ITC Avant Garde"/>
          <w:b/>
          <w:bCs/>
          <w:sz w:val="22"/>
          <w:szCs w:val="22"/>
        </w:rPr>
      </w:pPr>
      <w:r w:rsidRPr="0016571C">
        <w:rPr>
          <w:rFonts w:ascii="ITC Avant Garde" w:hAnsi="ITC Avant Garde"/>
          <w:b/>
          <w:bCs/>
          <w:sz w:val="22"/>
          <w:szCs w:val="22"/>
        </w:rPr>
        <w:t>CONSIDERANDO</w:t>
      </w:r>
    </w:p>
    <w:p w:rsidR="001B640E" w:rsidRPr="0016571C" w:rsidRDefault="001B640E" w:rsidP="00461C4A">
      <w:pPr>
        <w:spacing w:after="0" w:line="276" w:lineRule="auto"/>
        <w:jc w:val="both"/>
        <w:rPr>
          <w:rFonts w:ascii="ITC Avant Garde" w:hAnsi="ITC Avant Garde"/>
        </w:rPr>
      </w:pPr>
    </w:p>
    <w:p w:rsidR="00776683" w:rsidRPr="0016571C" w:rsidRDefault="00776683" w:rsidP="00776683">
      <w:pPr>
        <w:spacing w:after="0" w:line="276" w:lineRule="auto"/>
        <w:jc w:val="both"/>
        <w:rPr>
          <w:rFonts w:ascii="ITC Avant Garde" w:hAnsi="ITC Avant Garde"/>
        </w:rPr>
      </w:pPr>
      <w:r w:rsidRPr="0016571C">
        <w:rPr>
          <w:rFonts w:ascii="ITC Avant Garde" w:hAnsi="ITC Avant Garde"/>
          <w:b/>
        </w:rPr>
        <w:t xml:space="preserve">PRIMERO.- </w:t>
      </w:r>
      <w:r w:rsidRPr="0016571C">
        <w:rPr>
          <w:rFonts w:ascii="ITC Avant Garde" w:hAnsi="ITC Avant Garde"/>
        </w:rPr>
        <w:t>Que de conformidad con lo establecido en los párrafos décimo quinto y vigésimo, fracción IV, del artículo 28 de la Constitución Política de los Estados Unidos Mexicanos, el Instituto tiene por objeto el desarrollo eficiente de la radiodifusión y las telecomunicaciones, conforme a lo dispuesto en la propia Constitución y en los términos que fijen las leyes.</w:t>
      </w:r>
    </w:p>
    <w:p w:rsidR="001B640E" w:rsidRPr="0016571C" w:rsidRDefault="001B640E" w:rsidP="00370665">
      <w:pPr>
        <w:spacing w:after="0" w:line="276" w:lineRule="auto"/>
        <w:jc w:val="both"/>
        <w:rPr>
          <w:rFonts w:ascii="ITC Avant Garde" w:hAnsi="ITC Avant Garde"/>
        </w:rPr>
      </w:pPr>
    </w:p>
    <w:p w:rsidR="00776683" w:rsidRPr="0016571C" w:rsidRDefault="00776683" w:rsidP="00776683">
      <w:pPr>
        <w:spacing w:after="0" w:line="276" w:lineRule="auto"/>
        <w:jc w:val="both"/>
        <w:rPr>
          <w:rFonts w:ascii="ITC Avant Garde" w:hAnsi="ITC Avant Garde"/>
        </w:rPr>
      </w:pPr>
      <w:r w:rsidRPr="0016571C">
        <w:rPr>
          <w:rFonts w:ascii="ITC Avant Garde" w:hAnsi="ITC Avant Garde"/>
        </w:rPr>
        <w:t>Para tal efecto, en términos del precepto constitucional invocado así como de los artículos 1 y 7 de la Ley Federal de Telecomunicaciones y Radiodifusión (en lo sucesivo, "LFTR"),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en los artículos 6o. y 7o. de la Constitución.</w:t>
      </w:r>
    </w:p>
    <w:p w:rsidR="00776683" w:rsidRPr="0016571C" w:rsidRDefault="00776683" w:rsidP="00370665">
      <w:pPr>
        <w:spacing w:after="0" w:line="276" w:lineRule="auto"/>
        <w:jc w:val="both"/>
        <w:rPr>
          <w:rFonts w:ascii="ITC Avant Garde" w:hAnsi="ITC Avant Garde"/>
        </w:rPr>
      </w:pPr>
    </w:p>
    <w:p w:rsidR="00776683" w:rsidRPr="0016571C" w:rsidRDefault="00776683" w:rsidP="00776683">
      <w:pPr>
        <w:spacing w:after="0" w:line="276" w:lineRule="auto"/>
        <w:jc w:val="both"/>
        <w:rPr>
          <w:rFonts w:ascii="ITC Avant Garde" w:hAnsi="ITC Avant Garde"/>
        </w:rPr>
      </w:pPr>
      <w:r w:rsidRPr="0016571C">
        <w:rPr>
          <w:rFonts w:ascii="ITC Avant Garde" w:hAnsi="ITC Avant Garde"/>
        </w:rPr>
        <w:lastRenderedPageBreak/>
        <w:t>Por otra parte, el artículo 6o. Constitucional, en su apartado B, fracción II, señala que las telecomunicaciones son servicios públicos de interés general, por lo que el Estado garantizará que sean prestados en condiciones de competencia, calidad, pluralidad, cobertura universal, interconexión, convergencia, continuidad, acceso libre y sin injerencias arbitrarias. Asimismo, el Instituto es la autoridad en materia de competencia económica de los sectores de radiodifusión y telecomunicaciones, por lo que en éstos ejercerá en forma exclusiva las facultades del artículo 28 de la Constitución, la LFTR y la Ley Federal de Competencia Económica.</w:t>
      </w:r>
    </w:p>
    <w:p w:rsidR="00461C4A" w:rsidRPr="0016571C" w:rsidRDefault="00461C4A" w:rsidP="00461C4A">
      <w:pPr>
        <w:spacing w:after="0" w:line="276" w:lineRule="auto"/>
        <w:jc w:val="both"/>
        <w:rPr>
          <w:rFonts w:ascii="ITC Avant Garde" w:hAnsi="ITC Avant Garde"/>
        </w:rPr>
      </w:pPr>
    </w:p>
    <w:p w:rsidR="00D7045E" w:rsidRPr="0016571C" w:rsidRDefault="00776683" w:rsidP="00D7045E">
      <w:pPr>
        <w:spacing w:after="0" w:line="276" w:lineRule="auto"/>
        <w:jc w:val="both"/>
        <w:rPr>
          <w:rFonts w:ascii="ITC Avant Garde" w:hAnsi="ITC Avant Garde"/>
        </w:rPr>
      </w:pPr>
      <w:r w:rsidRPr="0016571C">
        <w:rPr>
          <w:rFonts w:ascii="ITC Avant Garde" w:hAnsi="ITC Avant Garde"/>
        </w:rPr>
        <w:t>Asimismo, el Instituto a través de su Órgano de Gobierno,</w:t>
      </w:r>
      <w:r w:rsidR="00E22616" w:rsidRPr="0016571C">
        <w:rPr>
          <w:rFonts w:ascii="ITC Avant Garde" w:hAnsi="ITC Avant Garde"/>
        </w:rPr>
        <w:t xml:space="preserve"> en términos del artículo 15, fracción I,</w:t>
      </w:r>
      <w:r w:rsidRPr="0016571C">
        <w:rPr>
          <w:rFonts w:ascii="ITC Avant Garde" w:hAnsi="ITC Avant Garde"/>
        </w:rPr>
        <w:t xml:space="preserve"> resulta competente para emitir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su función regulatoria en</w:t>
      </w:r>
      <w:r w:rsidR="00D7045E" w:rsidRPr="0016571C">
        <w:rPr>
          <w:rFonts w:ascii="ITC Avant Garde" w:hAnsi="ITC Avant Garde"/>
        </w:rPr>
        <w:t xml:space="preserve"> los sectores de su competencia, para ello deberá realizar consultas públicas bajo los principios de transparencia y participación ciudadana, en los términos que determine el Pleno del Instituto. </w:t>
      </w:r>
    </w:p>
    <w:p w:rsidR="00776683" w:rsidRPr="0016571C" w:rsidRDefault="00776683" w:rsidP="00776683">
      <w:pPr>
        <w:spacing w:after="0" w:line="276" w:lineRule="auto"/>
        <w:jc w:val="both"/>
        <w:rPr>
          <w:rFonts w:ascii="ITC Avant Garde" w:hAnsi="ITC Avant Garde"/>
        </w:rPr>
      </w:pPr>
    </w:p>
    <w:p w:rsidR="003072E0" w:rsidRPr="0016571C" w:rsidRDefault="00D7045E" w:rsidP="003072E0">
      <w:pPr>
        <w:spacing w:after="0" w:line="276" w:lineRule="auto"/>
        <w:jc w:val="both"/>
        <w:rPr>
          <w:rFonts w:ascii="ITC Avant Garde" w:hAnsi="ITC Avant Garde"/>
        </w:rPr>
      </w:pPr>
      <w:r w:rsidRPr="0016571C">
        <w:rPr>
          <w:rFonts w:ascii="ITC Avant Garde" w:hAnsi="ITC Avant Garde"/>
        </w:rPr>
        <w:t>Ahora bien,</w:t>
      </w:r>
      <w:r w:rsidR="003072E0" w:rsidRPr="0016571C">
        <w:rPr>
          <w:rFonts w:ascii="ITC Avant Garde" w:hAnsi="ITC Avant Garde"/>
        </w:rPr>
        <w:t xml:space="preserve"> el Instituto </w:t>
      </w:r>
      <w:r w:rsidR="00372EC9" w:rsidRPr="0016571C">
        <w:rPr>
          <w:rFonts w:ascii="ITC Avant Garde" w:hAnsi="ITC Avant Garde"/>
        </w:rPr>
        <w:t>emitió</w:t>
      </w:r>
      <w:r w:rsidR="003072E0" w:rsidRPr="0016571C">
        <w:rPr>
          <w:rFonts w:ascii="ITC Avant Garde" w:hAnsi="ITC Avant Garde"/>
        </w:rPr>
        <w:t xml:space="preserve"> los Lineamientos dando cumplimiento al</w:t>
      </w:r>
      <w:r w:rsidRPr="0016571C">
        <w:rPr>
          <w:rFonts w:ascii="ITC Avant Garde" w:hAnsi="ITC Avant Garde"/>
        </w:rPr>
        <w:t xml:space="preserve"> artículo 15 fracción XLVII </w:t>
      </w:r>
      <w:r w:rsidR="003072E0" w:rsidRPr="0016571C">
        <w:rPr>
          <w:rFonts w:ascii="ITC Avant Garde" w:hAnsi="ITC Avant Garde"/>
        </w:rPr>
        <w:t>donde se establece como una de sus atribuciones</w:t>
      </w:r>
      <w:r w:rsidRPr="0016571C">
        <w:rPr>
          <w:rFonts w:ascii="ITC Avant Garde" w:hAnsi="ITC Avant Garde"/>
        </w:rPr>
        <w:t>, fijar los índices de calidad por servicio a que deberán sujetarse los prestadores de los servicios de tele</w:t>
      </w:r>
      <w:r w:rsidR="00372EC9" w:rsidRPr="0016571C">
        <w:rPr>
          <w:rFonts w:ascii="ITC Avant Garde" w:hAnsi="ITC Avant Garde"/>
        </w:rPr>
        <w:t xml:space="preserve">comunicaciones y radiodifusión. El Instituto deja establecido en estos Lineamientos </w:t>
      </w:r>
      <w:r w:rsidR="003072E0" w:rsidRPr="0016571C">
        <w:rPr>
          <w:rFonts w:ascii="ITC Avant Garde" w:eastAsia="Times New Roman" w:hAnsi="ITC Avant Garde"/>
          <w:bCs/>
          <w:lang w:val="es-MX" w:eastAsia="es-MX"/>
        </w:rPr>
        <w:t>la obligación de la conservación de archivos de contadores de desempeño y de presentar un reporte auditado, entendiéndose como contadores de desempeño a los elementos básicos de medición del rendimiento de una red de telecomunicaciones</w:t>
      </w:r>
      <w:r w:rsidR="00372EC9" w:rsidRPr="0016571C">
        <w:rPr>
          <w:rFonts w:ascii="ITC Avant Garde" w:eastAsia="Times New Roman" w:hAnsi="ITC Avant Garde"/>
          <w:bCs/>
          <w:lang w:val="es-MX" w:eastAsia="es-MX"/>
        </w:rPr>
        <w:t xml:space="preserve"> (lineamientos VIGÉSIMO PRIMERO y VIGÉSIMO SEGUNDO)</w:t>
      </w:r>
      <w:r w:rsidR="003072E0" w:rsidRPr="0016571C">
        <w:rPr>
          <w:rFonts w:ascii="ITC Avant Garde" w:eastAsia="Times New Roman" w:hAnsi="ITC Avant Garde"/>
          <w:bCs/>
          <w:lang w:val="es-MX" w:eastAsia="es-MX"/>
        </w:rPr>
        <w:t>. Por otro lado,</w:t>
      </w:r>
      <w:r w:rsidR="00372EC9" w:rsidRPr="0016571C">
        <w:rPr>
          <w:rFonts w:ascii="ITC Avant Garde" w:eastAsia="Times New Roman" w:hAnsi="ITC Avant Garde"/>
          <w:bCs/>
          <w:lang w:val="es-MX" w:eastAsia="es-MX"/>
        </w:rPr>
        <w:t xml:space="preserve"> en</w:t>
      </w:r>
      <w:r w:rsidR="003072E0" w:rsidRPr="0016571C">
        <w:rPr>
          <w:rFonts w:ascii="ITC Avant Garde" w:eastAsia="Times New Roman" w:hAnsi="ITC Avant Garde"/>
          <w:bCs/>
          <w:lang w:val="es-MX" w:eastAsia="es-MX"/>
        </w:rPr>
        <w:t xml:space="preserve"> el</w:t>
      </w:r>
      <w:r w:rsidR="00372EC9" w:rsidRPr="0016571C">
        <w:rPr>
          <w:rFonts w:ascii="ITC Avant Garde" w:eastAsia="Times New Roman" w:hAnsi="ITC Avant Garde"/>
          <w:bCs/>
          <w:lang w:val="es-MX" w:eastAsia="es-MX"/>
        </w:rPr>
        <w:t xml:space="preserve"> transitorio NOVENO s</w:t>
      </w:r>
      <w:r w:rsidR="003072E0" w:rsidRPr="0016571C">
        <w:rPr>
          <w:rFonts w:ascii="ITC Avant Garde" w:eastAsia="Times New Roman" w:hAnsi="ITC Avant Garde"/>
          <w:bCs/>
          <w:lang w:val="es-MX" w:eastAsia="es-MX"/>
        </w:rPr>
        <w:t xml:space="preserve">e estableció el plazo dentro del cual el Instituto deberá publicar en el DOF el conjunto de contadores de desempeño tanto </w:t>
      </w:r>
      <w:r w:rsidR="00397D36" w:rsidRPr="0016571C">
        <w:rPr>
          <w:rFonts w:ascii="ITC Avant Garde" w:eastAsia="Times New Roman" w:hAnsi="ITC Avant Garde"/>
          <w:bCs/>
          <w:lang w:val="es-MX" w:eastAsia="es-MX"/>
        </w:rPr>
        <w:t>para el servicio</w:t>
      </w:r>
      <w:r w:rsidR="003072E0" w:rsidRPr="0016571C">
        <w:rPr>
          <w:rFonts w:ascii="ITC Avant Garde" w:eastAsia="Times New Roman" w:hAnsi="ITC Avant Garde"/>
          <w:bCs/>
          <w:lang w:val="es-MX" w:eastAsia="es-MX"/>
        </w:rPr>
        <w:t xml:space="preserve"> de voz como de datos, que serán incluidos en el reporte auditado mencionado.  Dicha información será la que los prestadores del servicio móvil tomen en cuenta para la construcción de la i</w:t>
      </w:r>
      <w:r w:rsidR="00372EC9" w:rsidRPr="0016571C">
        <w:rPr>
          <w:rFonts w:ascii="ITC Avant Garde" w:eastAsia="Times New Roman" w:hAnsi="ITC Avant Garde"/>
          <w:bCs/>
          <w:lang w:val="es-MX" w:eastAsia="es-MX"/>
        </w:rPr>
        <w:t>nformación del reporte auditado</w:t>
      </w:r>
      <w:r w:rsidR="003072E0" w:rsidRPr="0016571C">
        <w:rPr>
          <w:rFonts w:ascii="ITC Avant Garde" w:eastAsia="Times New Roman" w:hAnsi="ITC Avant Garde"/>
          <w:bCs/>
          <w:lang w:val="es-MX" w:eastAsia="es-MX"/>
        </w:rPr>
        <w:t xml:space="preserve"> al que hace referencia el lineamiento VIGÉSIMO SEGUNDO de los Lineamientos. </w:t>
      </w:r>
    </w:p>
    <w:p w:rsidR="00776683" w:rsidRPr="0016571C" w:rsidRDefault="00776683" w:rsidP="00461C4A">
      <w:pPr>
        <w:spacing w:after="0" w:line="276" w:lineRule="auto"/>
        <w:jc w:val="both"/>
        <w:rPr>
          <w:rFonts w:ascii="ITC Avant Garde" w:hAnsi="ITC Avant Garde"/>
        </w:rPr>
      </w:pPr>
    </w:p>
    <w:p w:rsidR="0078594C" w:rsidRPr="006B0252" w:rsidRDefault="00234B4E" w:rsidP="006B0252">
      <w:pPr>
        <w:spacing w:after="0" w:line="276" w:lineRule="auto"/>
        <w:jc w:val="both"/>
        <w:rPr>
          <w:rFonts w:ascii="ITC Avant Garde" w:hAnsi="ITC Avant Garde"/>
        </w:rPr>
      </w:pPr>
      <w:r w:rsidRPr="0016571C">
        <w:rPr>
          <w:rFonts w:ascii="ITC Avant Garde" w:hAnsi="ITC Avant Garde"/>
        </w:rPr>
        <w:t xml:space="preserve">Por lo anterior, </w:t>
      </w:r>
      <w:r w:rsidR="001B640E" w:rsidRPr="0016571C">
        <w:rPr>
          <w:rFonts w:ascii="ITC Avant Garde" w:hAnsi="ITC Avant Garde"/>
        </w:rPr>
        <w:t xml:space="preserve">el Instituto </w:t>
      </w:r>
      <w:r w:rsidRPr="0016571C">
        <w:rPr>
          <w:rFonts w:ascii="ITC Avant Garde" w:hAnsi="ITC Avant Garde"/>
        </w:rPr>
        <w:t xml:space="preserve">siendo la autoridad en materia de </w:t>
      </w:r>
      <w:r w:rsidR="00397D36" w:rsidRPr="0016571C">
        <w:rPr>
          <w:rFonts w:ascii="ITC Avant Garde" w:hAnsi="ITC Avant Garde"/>
        </w:rPr>
        <w:t>regulación de la</w:t>
      </w:r>
      <w:r w:rsidRPr="0016571C">
        <w:rPr>
          <w:rFonts w:ascii="ITC Avant Garde" w:hAnsi="ITC Avant Garde"/>
        </w:rPr>
        <w:t xml:space="preserve"> calidad de los servicios de telecomunicaciones, </w:t>
      </w:r>
      <w:r w:rsidR="0078594C">
        <w:rPr>
          <w:rFonts w:ascii="ITC Avant Garde" w:hAnsi="ITC Avant Garde"/>
        </w:rPr>
        <w:t xml:space="preserve">estimó conveniente someter a consulta pública el </w:t>
      </w:r>
      <w:r w:rsidR="001B640E" w:rsidRPr="0016571C">
        <w:rPr>
          <w:rFonts w:ascii="ITC Avant Garde" w:hAnsi="ITC Avant Garde"/>
        </w:rPr>
        <w:t xml:space="preserve">“ANTEPROYECTO DE </w:t>
      </w:r>
      <w:r w:rsidR="00850189" w:rsidRPr="0016571C">
        <w:rPr>
          <w:rFonts w:ascii="ITC Avant Garde" w:hAnsi="ITC Avant Garde"/>
        </w:rPr>
        <w:t xml:space="preserve">METODOLOGÍA PARA </w:t>
      </w:r>
      <w:r w:rsidR="00A4146E">
        <w:rPr>
          <w:rFonts w:ascii="ITC Avant Garde" w:hAnsi="ITC Avant Garde"/>
        </w:rPr>
        <w:t xml:space="preserve">LA DEFINICIÓN Y </w:t>
      </w:r>
      <w:r w:rsidR="00850189" w:rsidRPr="0016571C">
        <w:rPr>
          <w:rFonts w:ascii="ITC Avant Garde" w:hAnsi="ITC Avant Garde"/>
        </w:rPr>
        <w:t xml:space="preserve">ENTREGA DE INFORMACIÓN RELATIVA A LOS CONTADORES DE DESEMPEÑO ESTABLECIDA EN LOS LINEAMIENTOS QUE FIJAN LOS ÍNDICES Y PARÁMETROS DE CALIDAD A QUE DEBERÁN SUJETARSE LOS </w:t>
      </w:r>
      <w:r w:rsidR="00850189" w:rsidRPr="0016571C">
        <w:rPr>
          <w:rFonts w:ascii="ITC Avant Garde" w:hAnsi="ITC Avant Garde"/>
        </w:rPr>
        <w:lastRenderedPageBreak/>
        <w:t>PRESTADORES DEL SERVICIO MÓVIL, PUBLICADOS EN EL DIARIO OFICIAL DE LA FEDERACIÓN EL 17 DE ENERO DE 2018</w:t>
      </w:r>
      <w:r w:rsidR="001B640E" w:rsidRPr="0016571C">
        <w:rPr>
          <w:rFonts w:ascii="ITC Avant Garde" w:hAnsi="ITC Avant Garde"/>
        </w:rPr>
        <w:t>”</w:t>
      </w:r>
      <w:r w:rsidR="0030133D">
        <w:rPr>
          <w:rFonts w:ascii="ITC Avant Garde" w:hAnsi="ITC Avant Garde"/>
        </w:rPr>
        <w:t xml:space="preserve"> </w:t>
      </w:r>
      <w:r w:rsidR="0078594C" w:rsidRPr="006B0252">
        <w:rPr>
          <w:rFonts w:ascii="ITC Avant Garde" w:hAnsi="ITC Avant Garde"/>
        </w:rPr>
        <w:t>misma que transcurre del 30 de noviembre de 2018 al 14 de enero de 2019.</w:t>
      </w:r>
    </w:p>
    <w:p w:rsidR="0078594C" w:rsidRDefault="0078594C" w:rsidP="002C0B35">
      <w:pPr>
        <w:spacing w:after="0" w:line="276" w:lineRule="auto"/>
        <w:jc w:val="both"/>
        <w:rPr>
          <w:rFonts w:ascii="ITC Avant Garde" w:hAnsi="ITC Avant Garde"/>
        </w:rPr>
      </w:pPr>
    </w:p>
    <w:p w:rsidR="0030133D" w:rsidRPr="006B0252" w:rsidRDefault="00C35169" w:rsidP="006B0252">
      <w:pPr>
        <w:pStyle w:val="Default"/>
        <w:tabs>
          <w:tab w:val="left" w:pos="0"/>
        </w:tabs>
        <w:spacing w:line="276" w:lineRule="auto"/>
        <w:jc w:val="both"/>
        <w:rPr>
          <w:rFonts w:ascii="ITC Avant Garde" w:hAnsi="ITC Avant Garde"/>
          <w:sz w:val="22"/>
          <w:szCs w:val="22"/>
          <w:lang w:val="es-ES_tradnl"/>
        </w:rPr>
      </w:pPr>
      <w:r w:rsidRPr="006B0252">
        <w:rPr>
          <w:rFonts w:ascii="ITC Avant Garde" w:hAnsi="ITC Avant Garde"/>
          <w:b/>
          <w:sz w:val="22"/>
          <w:szCs w:val="22"/>
          <w:lang w:val="es-ES_tradnl"/>
        </w:rPr>
        <w:t>SEGUNDO.-</w:t>
      </w:r>
      <w:r w:rsidR="0030133D" w:rsidRPr="006B0252">
        <w:rPr>
          <w:rFonts w:ascii="ITC Avant Garde" w:hAnsi="ITC Avant Garde"/>
          <w:sz w:val="22"/>
          <w:szCs w:val="22"/>
          <w:lang w:val="es-ES_tradnl"/>
        </w:rPr>
        <w:t xml:space="preserve"> </w:t>
      </w:r>
      <w:r w:rsidR="00872FA8" w:rsidRPr="006B0252">
        <w:rPr>
          <w:rFonts w:ascii="ITC Avant Garde" w:hAnsi="ITC Avant Garde"/>
          <w:sz w:val="22"/>
          <w:szCs w:val="22"/>
          <w:lang w:val="es-ES_tradnl"/>
        </w:rPr>
        <w:t xml:space="preserve">Que </w:t>
      </w:r>
      <w:r w:rsidR="0030133D" w:rsidRPr="006B0252">
        <w:rPr>
          <w:rFonts w:ascii="ITC Avant Garde" w:hAnsi="ITC Avant Garde"/>
          <w:sz w:val="22"/>
          <w:szCs w:val="22"/>
          <w:lang w:val="es-ES_tradnl"/>
        </w:rPr>
        <w:t xml:space="preserve">como parte del proceso de consulta pública, el 7 de enero de 2019, el Instituto recibió de la </w:t>
      </w:r>
      <w:r w:rsidR="00E37B0D">
        <w:rPr>
          <w:rFonts w:ascii="ITC Avant Garde" w:hAnsi="ITC Avant Garde"/>
          <w:sz w:val="22"/>
          <w:szCs w:val="22"/>
          <w:lang w:val="es-ES_tradnl"/>
        </w:rPr>
        <w:t>ANATEL</w:t>
      </w:r>
      <w:r w:rsidR="0030133D" w:rsidRPr="006B0252">
        <w:rPr>
          <w:rFonts w:ascii="ITC Avant Garde" w:hAnsi="ITC Avant Garde"/>
          <w:sz w:val="22"/>
          <w:szCs w:val="22"/>
          <w:lang w:val="es-ES_tradnl"/>
        </w:rPr>
        <w:t xml:space="preserve"> escrito mediante el cual solicitó una prórroga de </w:t>
      </w:r>
      <w:r w:rsidR="00D93A70">
        <w:rPr>
          <w:rFonts w:ascii="ITC Avant Garde" w:hAnsi="ITC Avant Garde"/>
          <w:sz w:val="22"/>
          <w:szCs w:val="22"/>
          <w:lang w:val="es-ES_tradnl"/>
        </w:rPr>
        <w:t>veinte</w:t>
      </w:r>
      <w:r w:rsidR="0030133D" w:rsidRPr="006B0252">
        <w:rPr>
          <w:rFonts w:ascii="ITC Avant Garde" w:hAnsi="ITC Avant Garde"/>
          <w:sz w:val="22"/>
          <w:szCs w:val="22"/>
          <w:lang w:val="es-ES_tradnl"/>
        </w:rPr>
        <w:t xml:space="preserve"> días a la consulta pública, a fin de contar con un mayor plazo que permita generar consensos con la industria</w:t>
      </w:r>
      <w:r w:rsidR="00E37B0D">
        <w:rPr>
          <w:rFonts w:ascii="ITC Avant Garde" w:hAnsi="ITC Avant Garde"/>
          <w:sz w:val="22"/>
          <w:szCs w:val="22"/>
          <w:lang w:val="es-ES_tradnl"/>
        </w:rPr>
        <w:t xml:space="preserve"> y participar en dicho proceso, dado que “</w:t>
      </w:r>
      <w:r w:rsidR="00E37B0D" w:rsidRPr="00E37B0D">
        <w:rPr>
          <w:rFonts w:ascii="ITC Avant Garde" w:hAnsi="ITC Avant Garde"/>
          <w:i/>
          <w:sz w:val="22"/>
          <w:szCs w:val="22"/>
          <w:lang w:val="es-ES_tradnl"/>
        </w:rPr>
        <w:t>los expertos de las diversas empresas de telefonía móvil han estado analizando y, a la vez, estudiando con objeto de aportar elementos técnicos que fortalezcan la versión final del documento…, cuidando la capacidad de cumplimiento atendiendo a parámetros normales y estándares internacionales</w:t>
      </w:r>
      <w:r w:rsidR="00E37B0D">
        <w:rPr>
          <w:rFonts w:ascii="ITC Avant Garde" w:hAnsi="ITC Avant Garde"/>
          <w:sz w:val="22"/>
          <w:szCs w:val="22"/>
          <w:lang w:val="es-ES_tradnl"/>
        </w:rPr>
        <w:t>”</w:t>
      </w:r>
    </w:p>
    <w:p w:rsidR="0030133D" w:rsidRPr="006B0252" w:rsidRDefault="0030133D" w:rsidP="00872FA8">
      <w:pPr>
        <w:pStyle w:val="Default"/>
        <w:tabs>
          <w:tab w:val="left" w:pos="0"/>
        </w:tabs>
        <w:spacing w:line="276" w:lineRule="auto"/>
        <w:jc w:val="both"/>
        <w:rPr>
          <w:rFonts w:ascii="ITC Avant Garde" w:hAnsi="ITC Avant Garde"/>
          <w:sz w:val="22"/>
          <w:szCs w:val="22"/>
          <w:lang w:val="es-ES_tradnl"/>
        </w:rPr>
      </w:pPr>
    </w:p>
    <w:p w:rsidR="0030133D" w:rsidRDefault="00D652D9" w:rsidP="00461C4A">
      <w:pPr>
        <w:pStyle w:val="Default"/>
        <w:tabs>
          <w:tab w:val="left" w:pos="0"/>
        </w:tabs>
        <w:spacing w:line="276" w:lineRule="auto"/>
        <w:jc w:val="both"/>
        <w:rPr>
          <w:rFonts w:ascii="ITC Avant Garde" w:hAnsi="ITC Avant Garde"/>
          <w:bCs/>
          <w:sz w:val="22"/>
          <w:szCs w:val="22"/>
          <w:lang w:val="es-ES_tradnl"/>
        </w:rPr>
      </w:pPr>
      <w:r w:rsidRPr="0016571C">
        <w:rPr>
          <w:rFonts w:ascii="ITC Avant Garde" w:hAnsi="ITC Avant Garde"/>
          <w:b/>
          <w:bCs/>
          <w:sz w:val="22"/>
          <w:szCs w:val="22"/>
          <w:lang w:val="es-ES_tradnl"/>
        </w:rPr>
        <w:t>TERCERO</w:t>
      </w:r>
      <w:r w:rsidR="00C35169" w:rsidRPr="0016571C">
        <w:rPr>
          <w:rFonts w:ascii="ITC Avant Garde" w:hAnsi="ITC Avant Garde"/>
          <w:b/>
          <w:bCs/>
          <w:sz w:val="22"/>
          <w:szCs w:val="22"/>
          <w:lang w:val="es-ES_tradnl"/>
        </w:rPr>
        <w:t xml:space="preserve">.- </w:t>
      </w:r>
      <w:r w:rsidR="0030133D">
        <w:rPr>
          <w:rFonts w:ascii="ITC Avant Garde" w:hAnsi="ITC Avant Garde"/>
          <w:sz w:val="22"/>
          <w:szCs w:val="22"/>
          <w:lang w:val="es-ES_tradnl"/>
        </w:rPr>
        <w:t xml:space="preserve">Que conforme al </w:t>
      </w:r>
      <w:r w:rsidR="00866E36" w:rsidRPr="006B0252">
        <w:rPr>
          <w:rFonts w:ascii="ITC Avant Garde" w:hAnsi="ITC Avant Garde"/>
          <w:bCs/>
          <w:sz w:val="22"/>
          <w:szCs w:val="22"/>
          <w:lang w:val="es-ES_tradnl"/>
        </w:rPr>
        <w:t>artículo</w:t>
      </w:r>
      <w:r w:rsidR="00866E36" w:rsidRPr="0016571C">
        <w:rPr>
          <w:rFonts w:ascii="ITC Avant Garde" w:hAnsi="ITC Avant Garde"/>
          <w:bCs/>
          <w:sz w:val="22"/>
          <w:szCs w:val="22"/>
          <w:lang w:val="es-ES_tradnl"/>
        </w:rPr>
        <w:t xml:space="preserve"> 51 de la LFTR para la emisión y modificación de reglas, lineamientos o disposiciones administrativas de carácter general, así como en cualquier caso que determine el Pleno, el Instituto deberá realizar consultas públicas bajo los principios de transparencia y participación ciudadana, salvo que la publicación pudiera comprometer los efectos que se pretenden resolver o prevenir una situación de emergencia.</w:t>
      </w:r>
      <w:r w:rsidR="0030133D">
        <w:rPr>
          <w:rFonts w:ascii="ITC Avant Garde" w:hAnsi="ITC Avant Garde"/>
          <w:bCs/>
          <w:sz w:val="22"/>
          <w:szCs w:val="22"/>
          <w:lang w:val="es-ES_tradnl"/>
        </w:rPr>
        <w:t xml:space="preserve"> En ese sentido, el Pleno está facultado para modificar los plazos originalmente otorgados a una consulta pública.</w:t>
      </w:r>
    </w:p>
    <w:p w:rsidR="0030133D" w:rsidRPr="0016571C" w:rsidRDefault="0030133D" w:rsidP="00461C4A">
      <w:pPr>
        <w:pStyle w:val="Default"/>
        <w:tabs>
          <w:tab w:val="left" w:pos="0"/>
        </w:tabs>
        <w:spacing w:line="276" w:lineRule="auto"/>
        <w:jc w:val="both"/>
        <w:rPr>
          <w:rFonts w:ascii="ITC Avant Garde" w:hAnsi="ITC Avant Garde"/>
          <w:bCs/>
          <w:sz w:val="22"/>
          <w:szCs w:val="22"/>
          <w:lang w:val="es-ES_tradnl"/>
        </w:rPr>
      </w:pPr>
    </w:p>
    <w:p w:rsidR="00337005" w:rsidRDefault="0030133D" w:rsidP="00461C4A">
      <w:pPr>
        <w:pStyle w:val="Default"/>
        <w:tabs>
          <w:tab w:val="left" w:pos="0"/>
        </w:tabs>
        <w:spacing w:line="276" w:lineRule="auto"/>
        <w:jc w:val="both"/>
        <w:rPr>
          <w:rFonts w:ascii="ITC Avant Garde" w:hAnsi="ITC Avant Garde"/>
          <w:sz w:val="22"/>
          <w:szCs w:val="22"/>
          <w:lang w:val="es-ES_tradnl"/>
        </w:rPr>
      </w:pPr>
      <w:r>
        <w:rPr>
          <w:rFonts w:ascii="ITC Avant Garde" w:hAnsi="ITC Avant Garde"/>
          <w:sz w:val="22"/>
          <w:szCs w:val="22"/>
          <w:lang w:val="es-ES_tradnl"/>
        </w:rPr>
        <w:t xml:space="preserve">Considerando la relevancia y complejidad del tema, </w:t>
      </w:r>
      <w:r w:rsidR="00337005">
        <w:rPr>
          <w:rFonts w:ascii="ITC Avant Garde" w:hAnsi="ITC Avant Garde"/>
          <w:sz w:val="22"/>
          <w:szCs w:val="22"/>
          <w:lang w:val="es-ES_tradnl"/>
        </w:rPr>
        <w:t>el Instituto considera que a efecto de los interesados cuenten con los tiempos necesarios para la realización de las actividades que correspondan, se considera viable extender el plazo de la consulta</w:t>
      </w:r>
      <w:r w:rsidR="00D93A70">
        <w:rPr>
          <w:rFonts w:ascii="ITC Avant Garde" w:hAnsi="ITC Avant Garde"/>
          <w:sz w:val="22"/>
          <w:szCs w:val="22"/>
          <w:lang w:val="es-ES_tradnl"/>
        </w:rPr>
        <w:t xml:space="preserve"> </w:t>
      </w:r>
      <w:r w:rsidR="005E358A">
        <w:rPr>
          <w:rFonts w:ascii="ITC Avant Garde" w:hAnsi="ITC Avant Garde"/>
          <w:sz w:val="22"/>
          <w:szCs w:val="22"/>
          <w:lang w:val="es-ES_tradnl"/>
        </w:rPr>
        <w:t>quince</w:t>
      </w:r>
      <w:r w:rsidR="00337005">
        <w:rPr>
          <w:rFonts w:ascii="ITC Avant Garde" w:hAnsi="ITC Avant Garde"/>
          <w:sz w:val="22"/>
          <w:szCs w:val="22"/>
          <w:lang w:val="es-ES_tradnl"/>
        </w:rPr>
        <w:t xml:space="preserve"> días </w:t>
      </w:r>
      <w:r w:rsidR="005E358A">
        <w:rPr>
          <w:rFonts w:ascii="ITC Avant Garde" w:hAnsi="ITC Avant Garde"/>
          <w:sz w:val="22"/>
          <w:szCs w:val="22"/>
          <w:lang w:val="es-ES_tradnl"/>
        </w:rPr>
        <w:t>hábiles</w:t>
      </w:r>
      <w:r w:rsidR="00337005">
        <w:rPr>
          <w:rFonts w:ascii="ITC Avant Garde" w:hAnsi="ITC Avant Garde"/>
          <w:sz w:val="22"/>
          <w:szCs w:val="22"/>
          <w:lang w:val="es-ES_tradnl"/>
        </w:rPr>
        <w:t xml:space="preserve"> más del plazo originalmente otorgado</w:t>
      </w:r>
      <w:r w:rsidR="00583EF7">
        <w:rPr>
          <w:rFonts w:ascii="ITC Avant Garde" w:hAnsi="ITC Avant Garde"/>
          <w:sz w:val="22"/>
          <w:szCs w:val="22"/>
          <w:lang w:val="es-ES_tradnl"/>
        </w:rPr>
        <w:t xml:space="preserve">, hasta el </w:t>
      </w:r>
      <w:r w:rsidR="005E358A">
        <w:rPr>
          <w:rFonts w:ascii="ITC Avant Garde" w:hAnsi="ITC Avant Garde"/>
          <w:sz w:val="22"/>
          <w:szCs w:val="22"/>
          <w:lang w:val="es-ES_tradnl"/>
        </w:rPr>
        <w:t>martes 5</w:t>
      </w:r>
      <w:r w:rsidR="00583EF7">
        <w:rPr>
          <w:rFonts w:ascii="ITC Avant Garde" w:hAnsi="ITC Avant Garde"/>
          <w:sz w:val="22"/>
          <w:szCs w:val="22"/>
          <w:lang w:val="es-ES_tradnl"/>
        </w:rPr>
        <w:t xml:space="preserve"> de febrero de 2019</w:t>
      </w:r>
      <w:r w:rsidR="00337005">
        <w:rPr>
          <w:rFonts w:ascii="ITC Avant Garde" w:hAnsi="ITC Avant Garde"/>
          <w:sz w:val="22"/>
          <w:szCs w:val="22"/>
          <w:lang w:val="es-ES_tradnl"/>
        </w:rPr>
        <w:t>.</w:t>
      </w:r>
    </w:p>
    <w:p w:rsidR="00337005" w:rsidRDefault="00337005" w:rsidP="00461C4A">
      <w:pPr>
        <w:pStyle w:val="Default"/>
        <w:tabs>
          <w:tab w:val="left" w:pos="0"/>
        </w:tabs>
        <w:spacing w:line="276" w:lineRule="auto"/>
        <w:jc w:val="both"/>
        <w:rPr>
          <w:rFonts w:ascii="ITC Avant Garde" w:hAnsi="ITC Avant Garde"/>
          <w:sz w:val="22"/>
          <w:szCs w:val="22"/>
          <w:lang w:val="es-ES_tradnl"/>
        </w:rPr>
      </w:pPr>
    </w:p>
    <w:p w:rsidR="00C35169" w:rsidRPr="0016571C" w:rsidRDefault="00C35169" w:rsidP="00E23470">
      <w:pPr>
        <w:pStyle w:val="Default"/>
        <w:tabs>
          <w:tab w:val="left" w:pos="0"/>
        </w:tabs>
        <w:spacing w:line="276" w:lineRule="auto"/>
        <w:jc w:val="both"/>
        <w:rPr>
          <w:rFonts w:ascii="ITC Avant Garde" w:hAnsi="ITC Avant Garde"/>
          <w:bCs/>
          <w:sz w:val="22"/>
          <w:szCs w:val="22"/>
          <w:lang w:val="es-ES_tradnl"/>
        </w:rPr>
      </w:pPr>
      <w:r w:rsidRPr="0016571C">
        <w:rPr>
          <w:rFonts w:ascii="ITC Avant Garde" w:hAnsi="ITC Avant Garde"/>
          <w:bCs/>
          <w:sz w:val="22"/>
          <w:szCs w:val="22"/>
          <w:lang w:val="es-ES_tradnl"/>
        </w:rPr>
        <w:t>Por las razones antes expuestas, con fundamento en lo dispuesto por los artículos 28, párrafo</w:t>
      </w:r>
      <w:r w:rsidR="007977D8" w:rsidRPr="0016571C">
        <w:rPr>
          <w:rFonts w:ascii="ITC Avant Garde" w:hAnsi="ITC Avant Garde"/>
          <w:bCs/>
          <w:sz w:val="22"/>
          <w:szCs w:val="22"/>
          <w:lang w:val="es-ES_tradnl"/>
        </w:rPr>
        <w:t>s décimo quinto</w:t>
      </w:r>
      <w:r w:rsidR="008A3352" w:rsidRPr="0016571C">
        <w:rPr>
          <w:rFonts w:ascii="ITC Avant Garde" w:hAnsi="ITC Avant Garde"/>
          <w:bCs/>
          <w:sz w:val="22"/>
          <w:szCs w:val="22"/>
          <w:lang w:val="es-ES_tradnl"/>
        </w:rPr>
        <w:t xml:space="preserve">, </w:t>
      </w:r>
      <w:r w:rsidR="007977D8" w:rsidRPr="0016571C">
        <w:rPr>
          <w:rFonts w:ascii="ITC Avant Garde" w:hAnsi="ITC Avant Garde"/>
          <w:bCs/>
          <w:sz w:val="22"/>
          <w:szCs w:val="22"/>
          <w:lang w:val="es-ES_tradnl"/>
        </w:rPr>
        <w:t>y</w:t>
      </w:r>
      <w:r w:rsidRPr="0016571C">
        <w:rPr>
          <w:rFonts w:ascii="ITC Avant Garde" w:hAnsi="ITC Avant Garde"/>
          <w:bCs/>
          <w:sz w:val="22"/>
          <w:szCs w:val="22"/>
          <w:lang w:val="es-ES_tradnl"/>
        </w:rPr>
        <w:t xml:space="preserve"> vigésimo, fracción IV, de la Constitución Política de los Es</w:t>
      </w:r>
      <w:r w:rsidR="002822C7" w:rsidRPr="0016571C">
        <w:rPr>
          <w:rFonts w:ascii="ITC Avant Garde" w:hAnsi="ITC Avant Garde"/>
          <w:bCs/>
          <w:sz w:val="22"/>
          <w:szCs w:val="22"/>
          <w:lang w:val="es-ES_tradnl"/>
        </w:rPr>
        <w:t xml:space="preserve">tados Unidos Mexicanos; </w:t>
      </w:r>
      <w:r w:rsidR="007977D8" w:rsidRPr="0016571C">
        <w:rPr>
          <w:rFonts w:ascii="ITC Avant Garde" w:hAnsi="ITC Avant Garde"/>
          <w:bCs/>
          <w:sz w:val="22"/>
          <w:szCs w:val="22"/>
          <w:lang w:val="es-ES_tradnl"/>
        </w:rPr>
        <w:t xml:space="preserve">1, 2, </w:t>
      </w:r>
      <w:r w:rsidR="006C2864" w:rsidRPr="0016571C">
        <w:rPr>
          <w:rFonts w:ascii="ITC Avant Garde" w:hAnsi="ITC Avant Garde"/>
          <w:bCs/>
          <w:sz w:val="22"/>
          <w:szCs w:val="22"/>
          <w:lang w:val="es-ES_tradnl"/>
        </w:rPr>
        <w:t>3, fracciones VII,</w:t>
      </w:r>
      <w:r w:rsidR="00BE4E12" w:rsidRPr="0016571C">
        <w:rPr>
          <w:rFonts w:ascii="ITC Avant Garde" w:hAnsi="ITC Avant Garde"/>
          <w:bCs/>
          <w:sz w:val="22"/>
          <w:szCs w:val="22"/>
          <w:lang w:val="es-ES_tradnl"/>
        </w:rPr>
        <w:t xml:space="preserve"> </w:t>
      </w:r>
      <w:r w:rsidR="007977D8" w:rsidRPr="0016571C">
        <w:rPr>
          <w:rFonts w:ascii="ITC Avant Garde" w:hAnsi="ITC Avant Garde"/>
          <w:bCs/>
          <w:sz w:val="22"/>
          <w:szCs w:val="22"/>
          <w:lang w:val="es-ES_tradnl"/>
        </w:rPr>
        <w:t xml:space="preserve">7, </w:t>
      </w:r>
      <w:r w:rsidR="00E9247F" w:rsidRPr="0016571C">
        <w:rPr>
          <w:rFonts w:ascii="ITC Avant Garde" w:hAnsi="ITC Avant Garde"/>
          <w:bCs/>
          <w:sz w:val="22"/>
          <w:szCs w:val="22"/>
          <w:lang w:val="es-ES_tradnl"/>
        </w:rPr>
        <w:t>15, fracciones I</w:t>
      </w:r>
      <w:r w:rsidR="00745B5D" w:rsidRPr="0016571C">
        <w:rPr>
          <w:rFonts w:ascii="ITC Avant Garde" w:hAnsi="ITC Avant Garde"/>
          <w:bCs/>
          <w:sz w:val="22"/>
          <w:szCs w:val="22"/>
          <w:lang w:val="es-ES_tradnl"/>
        </w:rPr>
        <w:t xml:space="preserve">, </w:t>
      </w:r>
      <w:r w:rsidR="00E9247F" w:rsidRPr="0016571C">
        <w:rPr>
          <w:rFonts w:ascii="ITC Avant Garde" w:hAnsi="ITC Avant Garde"/>
          <w:bCs/>
          <w:sz w:val="22"/>
          <w:szCs w:val="22"/>
          <w:lang w:val="es-ES_tradnl"/>
        </w:rPr>
        <w:t>XLVII</w:t>
      </w:r>
      <w:r w:rsidR="00C24DEC" w:rsidRPr="0016571C">
        <w:rPr>
          <w:rFonts w:ascii="ITC Avant Garde" w:hAnsi="ITC Avant Garde"/>
          <w:bCs/>
          <w:sz w:val="22"/>
          <w:szCs w:val="22"/>
          <w:lang w:val="es-ES_tradnl"/>
        </w:rPr>
        <w:t xml:space="preserve"> y LVI</w:t>
      </w:r>
      <w:r w:rsidR="00E9247F" w:rsidRPr="0016571C">
        <w:rPr>
          <w:rFonts w:ascii="ITC Avant Garde" w:hAnsi="ITC Avant Garde"/>
          <w:bCs/>
          <w:sz w:val="22"/>
          <w:szCs w:val="22"/>
          <w:lang w:val="es-ES_tradnl"/>
        </w:rPr>
        <w:t>,</w:t>
      </w:r>
      <w:r w:rsidR="007977D8" w:rsidRPr="0016571C">
        <w:rPr>
          <w:rFonts w:ascii="ITC Avant Garde" w:hAnsi="ITC Avant Garde"/>
          <w:bCs/>
          <w:sz w:val="22"/>
          <w:szCs w:val="22"/>
          <w:lang w:val="es-ES_tradnl"/>
        </w:rPr>
        <w:t xml:space="preserve"> 51</w:t>
      </w:r>
      <w:r w:rsidR="00C24DEC" w:rsidRPr="0016571C">
        <w:rPr>
          <w:rFonts w:ascii="ITC Avant Garde" w:hAnsi="ITC Avant Garde"/>
          <w:bCs/>
          <w:sz w:val="22"/>
          <w:szCs w:val="22"/>
          <w:lang w:val="es-ES_tradnl"/>
        </w:rPr>
        <w:t xml:space="preserve">, 52, </w:t>
      </w:r>
      <w:r w:rsidR="006C2864" w:rsidRPr="0016571C">
        <w:rPr>
          <w:rFonts w:ascii="ITC Avant Garde" w:hAnsi="ITC Avant Garde"/>
          <w:bCs/>
          <w:sz w:val="22"/>
          <w:szCs w:val="22"/>
          <w:lang w:val="es-ES_tradnl"/>
        </w:rPr>
        <w:t xml:space="preserve">118, fracción VII, 145, fracción VI, 146 y 191, fracción VII, de la Ley Federal de Telecomunicaciones y Radiodifusión; así </w:t>
      </w:r>
      <w:r w:rsidR="006C2864" w:rsidRPr="006B0252">
        <w:rPr>
          <w:rFonts w:ascii="ITC Avant Garde" w:hAnsi="ITC Avant Garde"/>
          <w:bCs/>
          <w:sz w:val="22"/>
          <w:szCs w:val="22"/>
          <w:lang w:val="es-ES_tradnl"/>
        </w:rPr>
        <w:t xml:space="preserve">como </w:t>
      </w:r>
      <w:r w:rsidR="007977D8" w:rsidRPr="006B0252">
        <w:rPr>
          <w:rFonts w:ascii="ITC Avant Garde" w:hAnsi="ITC Avant Garde"/>
          <w:bCs/>
          <w:color w:val="auto"/>
          <w:sz w:val="22"/>
          <w:szCs w:val="22"/>
          <w:lang w:val="es-ES_tradnl"/>
        </w:rPr>
        <w:t xml:space="preserve">1, </w:t>
      </w:r>
      <w:r w:rsidR="00773375" w:rsidRPr="006B0252">
        <w:rPr>
          <w:rFonts w:ascii="ITC Avant Garde" w:hAnsi="ITC Avant Garde"/>
          <w:bCs/>
          <w:color w:val="auto"/>
          <w:sz w:val="22"/>
          <w:szCs w:val="22"/>
          <w:lang w:val="es-ES_tradnl"/>
        </w:rPr>
        <w:t xml:space="preserve">4 fracción I, </w:t>
      </w:r>
      <w:r w:rsidR="007977D8" w:rsidRPr="006B0252">
        <w:rPr>
          <w:rFonts w:ascii="ITC Avant Garde" w:hAnsi="ITC Avant Garde"/>
          <w:bCs/>
          <w:color w:val="auto"/>
          <w:sz w:val="22"/>
          <w:szCs w:val="22"/>
          <w:lang w:val="es-ES_tradnl"/>
        </w:rPr>
        <w:t>6, fracción</w:t>
      </w:r>
      <w:r w:rsidR="008A3352" w:rsidRPr="006B0252">
        <w:rPr>
          <w:rFonts w:ascii="ITC Avant Garde" w:hAnsi="ITC Avant Garde"/>
          <w:bCs/>
          <w:color w:val="auto"/>
          <w:sz w:val="22"/>
          <w:szCs w:val="22"/>
          <w:lang w:val="es-ES_tradnl"/>
        </w:rPr>
        <w:t xml:space="preserve"> XXI y XXXVII</w:t>
      </w:r>
      <w:r w:rsidR="007977D8" w:rsidRPr="006B0252">
        <w:rPr>
          <w:rFonts w:ascii="ITC Avant Garde" w:hAnsi="ITC Avant Garde"/>
          <w:bCs/>
          <w:color w:val="auto"/>
          <w:sz w:val="22"/>
          <w:szCs w:val="22"/>
          <w:lang w:val="es-ES_tradnl"/>
        </w:rPr>
        <w:t xml:space="preserve"> </w:t>
      </w:r>
      <w:r w:rsidR="00E9247F" w:rsidRPr="006B0252">
        <w:rPr>
          <w:rFonts w:ascii="ITC Avant Garde" w:hAnsi="ITC Avant Garde"/>
          <w:bCs/>
          <w:sz w:val="22"/>
          <w:szCs w:val="22"/>
          <w:lang w:val="es-ES_tradnl"/>
        </w:rPr>
        <w:t>del Estatuto Orgánico</w:t>
      </w:r>
      <w:r w:rsidR="00E9247F" w:rsidRPr="0016571C">
        <w:rPr>
          <w:rFonts w:ascii="ITC Avant Garde" w:hAnsi="ITC Avant Garde"/>
          <w:bCs/>
          <w:sz w:val="22"/>
          <w:szCs w:val="22"/>
          <w:lang w:val="es-ES_tradnl"/>
        </w:rPr>
        <w:t xml:space="preserve"> del Instituto, el Pleno del Instituto expide el siguiente</w:t>
      </w:r>
      <w:r w:rsidRPr="0016571C">
        <w:rPr>
          <w:rFonts w:ascii="ITC Avant Garde" w:hAnsi="ITC Avant Garde"/>
          <w:bCs/>
          <w:sz w:val="22"/>
          <w:szCs w:val="22"/>
          <w:lang w:val="es-ES_tradnl"/>
        </w:rPr>
        <w:t>:</w:t>
      </w:r>
    </w:p>
    <w:p w:rsidR="00D652D9" w:rsidRPr="0016571C" w:rsidRDefault="00D652D9" w:rsidP="00E23470">
      <w:pPr>
        <w:pStyle w:val="Default"/>
        <w:tabs>
          <w:tab w:val="left" w:pos="0"/>
        </w:tabs>
        <w:spacing w:line="276" w:lineRule="auto"/>
        <w:jc w:val="both"/>
        <w:rPr>
          <w:rFonts w:ascii="ITC Avant Garde" w:hAnsi="ITC Avant Garde" w:cs="Tahoma"/>
          <w:b/>
          <w:bCs/>
          <w:sz w:val="22"/>
          <w:szCs w:val="22"/>
        </w:rPr>
      </w:pPr>
    </w:p>
    <w:p w:rsidR="00C35169" w:rsidRPr="0016571C" w:rsidRDefault="00C35169" w:rsidP="00461C4A">
      <w:pPr>
        <w:autoSpaceDE w:val="0"/>
        <w:autoSpaceDN w:val="0"/>
        <w:adjustRightInd w:val="0"/>
        <w:spacing w:after="0" w:line="276" w:lineRule="auto"/>
        <w:jc w:val="center"/>
        <w:rPr>
          <w:rFonts w:ascii="ITC Avant Garde" w:hAnsi="ITC Avant Garde" w:cs="Tahoma"/>
          <w:b/>
          <w:bCs/>
          <w:color w:val="000000"/>
          <w:lang w:eastAsia="es-MX"/>
        </w:rPr>
      </w:pPr>
      <w:r w:rsidRPr="0016571C">
        <w:rPr>
          <w:rFonts w:ascii="ITC Avant Garde" w:hAnsi="ITC Avant Garde" w:cs="Tahoma"/>
          <w:b/>
          <w:bCs/>
          <w:color w:val="000000"/>
          <w:lang w:eastAsia="es-MX"/>
        </w:rPr>
        <w:t>ACUERDO</w:t>
      </w:r>
    </w:p>
    <w:p w:rsidR="00C35169" w:rsidRPr="0016571C" w:rsidRDefault="00C35169" w:rsidP="00461C4A">
      <w:pPr>
        <w:autoSpaceDE w:val="0"/>
        <w:autoSpaceDN w:val="0"/>
        <w:adjustRightInd w:val="0"/>
        <w:spacing w:after="0" w:line="276" w:lineRule="auto"/>
        <w:jc w:val="both"/>
        <w:rPr>
          <w:rFonts w:ascii="ITC Avant Garde" w:hAnsi="ITC Avant Garde" w:cs="Tahoma"/>
          <w:bCs/>
          <w:color w:val="000000"/>
          <w:lang w:eastAsia="es-MX"/>
        </w:rPr>
      </w:pPr>
    </w:p>
    <w:p w:rsidR="00C35169" w:rsidRPr="0016571C" w:rsidRDefault="00C35169" w:rsidP="00E23470">
      <w:pPr>
        <w:spacing w:line="276" w:lineRule="auto"/>
        <w:jc w:val="both"/>
        <w:rPr>
          <w:rFonts w:ascii="ITC Avant Garde" w:hAnsi="ITC Avant Garde"/>
          <w:b/>
        </w:rPr>
      </w:pPr>
      <w:r w:rsidRPr="0016571C">
        <w:rPr>
          <w:rFonts w:ascii="ITC Avant Garde" w:hAnsi="ITC Avant Garde" w:cs="Tahoma"/>
          <w:b/>
          <w:bCs/>
          <w:color w:val="000000"/>
          <w:lang w:eastAsia="es-MX"/>
        </w:rPr>
        <w:t>PRIMERO</w:t>
      </w:r>
      <w:r w:rsidRPr="0016571C">
        <w:rPr>
          <w:rFonts w:ascii="ITC Avant Garde" w:hAnsi="ITC Avant Garde" w:cs="Tahoma"/>
          <w:bCs/>
          <w:color w:val="000000"/>
          <w:lang w:eastAsia="es-MX"/>
        </w:rPr>
        <w:t xml:space="preserve">.- Se </w:t>
      </w:r>
      <w:r w:rsidR="00337005">
        <w:rPr>
          <w:rFonts w:ascii="ITC Avant Garde" w:hAnsi="ITC Avant Garde" w:cs="Tahoma"/>
          <w:bCs/>
          <w:color w:val="000000"/>
          <w:lang w:eastAsia="es-MX"/>
        </w:rPr>
        <w:t xml:space="preserve">amplía por </w:t>
      </w:r>
      <w:r w:rsidR="005E358A">
        <w:rPr>
          <w:rFonts w:ascii="ITC Avant Garde" w:hAnsi="ITC Avant Garde" w:cs="Tahoma"/>
          <w:bCs/>
          <w:color w:val="000000"/>
          <w:lang w:eastAsia="es-MX"/>
        </w:rPr>
        <w:t>quince</w:t>
      </w:r>
      <w:r w:rsidR="00D93A70">
        <w:rPr>
          <w:rFonts w:ascii="ITC Avant Garde" w:hAnsi="ITC Avant Garde" w:cs="Tahoma"/>
          <w:bCs/>
          <w:color w:val="000000"/>
          <w:lang w:eastAsia="es-MX"/>
        </w:rPr>
        <w:t xml:space="preserve"> </w:t>
      </w:r>
      <w:r w:rsidR="00337005">
        <w:rPr>
          <w:rFonts w:ascii="ITC Avant Garde" w:hAnsi="ITC Avant Garde" w:cs="Tahoma"/>
          <w:bCs/>
          <w:color w:val="000000"/>
          <w:lang w:eastAsia="es-MX"/>
        </w:rPr>
        <w:t xml:space="preserve">días </w:t>
      </w:r>
      <w:r w:rsidR="005E358A">
        <w:rPr>
          <w:rFonts w:ascii="ITC Avant Garde" w:hAnsi="ITC Avant Garde" w:cs="Tahoma"/>
          <w:bCs/>
          <w:color w:val="000000"/>
          <w:lang w:eastAsia="es-MX"/>
        </w:rPr>
        <w:t>hábiles</w:t>
      </w:r>
      <w:r w:rsidR="00337005">
        <w:rPr>
          <w:rFonts w:ascii="ITC Avant Garde" w:hAnsi="ITC Avant Garde" w:cs="Tahoma"/>
          <w:bCs/>
          <w:color w:val="000000"/>
          <w:lang w:eastAsia="es-MX"/>
        </w:rPr>
        <w:t xml:space="preserve"> el plazo originalmente establecido para </w:t>
      </w:r>
      <w:r w:rsidRPr="0016571C">
        <w:rPr>
          <w:rFonts w:ascii="ITC Avant Garde" w:hAnsi="ITC Avant Garde" w:cs="Tahoma"/>
          <w:bCs/>
          <w:color w:val="000000"/>
          <w:lang w:eastAsia="es-MX"/>
        </w:rPr>
        <w:t>consulta pública el</w:t>
      </w:r>
      <w:r w:rsidR="002822C7" w:rsidRPr="0016571C">
        <w:rPr>
          <w:rFonts w:ascii="ITC Avant Garde" w:hAnsi="ITC Avant Garde" w:cs="Tahoma"/>
          <w:bCs/>
          <w:color w:val="000000"/>
          <w:lang w:eastAsia="es-MX"/>
        </w:rPr>
        <w:t xml:space="preserve"> </w:t>
      </w:r>
      <w:r w:rsidR="00461C4A" w:rsidRPr="0016571C">
        <w:rPr>
          <w:rFonts w:ascii="ITC Avant Garde" w:hAnsi="ITC Avant Garde" w:cs="Tahoma"/>
          <w:bCs/>
          <w:lang w:eastAsia="es-MX"/>
        </w:rPr>
        <w:t>“</w:t>
      </w:r>
      <w:r w:rsidR="002C6168" w:rsidRPr="0016571C">
        <w:rPr>
          <w:rFonts w:ascii="ITC Avant Garde" w:hAnsi="ITC Avant Garde"/>
        </w:rPr>
        <w:t xml:space="preserve">ANTEPROYECTO DE METODOLOGÍA PARA </w:t>
      </w:r>
      <w:r w:rsidR="00A4146E">
        <w:rPr>
          <w:rFonts w:ascii="ITC Avant Garde" w:hAnsi="ITC Avant Garde"/>
        </w:rPr>
        <w:t xml:space="preserve">LA DEFINICIÓN Y </w:t>
      </w:r>
      <w:r w:rsidR="002C6168" w:rsidRPr="0016571C">
        <w:rPr>
          <w:rFonts w:ascii="ITC Avant Garde" w:hAnsi="ITC Avant Garde"/>
        </w:rPr>
        <w:t xml:space="preserve">ENTREGA DE INFORMACIÓN RELATIVA A LOS CONTADORES DE DESEMPEÑO ESTABLECIDA EN LOS </w:t>
      </w:r>
      <w:r w:rsidR="002C6168" w:rsidRPr="0016571C">
        <w:rPr>
          <w:rFonts w:ascii="ITC Avant Garde" w:hAnsi="ITC Avant Garde"/>
        </w:rPr>
        <w:lastRenderedPageBreak/>
        <w:t>LINEAMIENTOS QUE FIJAN LOS ÍNDICES Y PARÁMETROS DE CALIDAD A QUE DEBERÁN SUJETARSE LOS PRESTADORES DEL SERVICIO MÓVIL, PUBLICADOS EN EL DIARIO OFICIAL DE LA FEDERACIÓN EL 17 DE ENERO DE 2018</w:t>
      </w:r>
      <w:r w:rsidR="00461C4A" w:rsidRPr="0016571C">
        <w:rPr>
          <w:rFonts w:ascii="ITC Avant Garde" w:hAnsi="ITC Avant Garde"/>
        </w:rPr>
        <w:t>”</w:t>
      </w:r>
      <w:r w:rsidRPr="0016571C">
        <w:rPr>
          <w:rFonts w:ascii="ITC Avant Garde" w:hAnsi="ITC Avant Garde" w:cs="Tahoma"/>
          <w:bCs/>
          <w:lang w:eastAsia="es-MX"/>
        </w:rPr>
        <w:t xml:space="preserve">, </w:t>
      </w:r>
      <w:r w:rsidR="00337005">
        <w:rPr>
          <w:rFonts w:ascii="ITC Avant Garde" w:hAnsi="ITC Avant Garde" w:cs="Tahoma"/>
          <w:bCs/>
          <w:lang w:eastAsia="es-MX"/>
        </w:rPr>
        <w:t>aprobado mediante Acuerdo</w:t>
      </w:r>
      <w:r w:rsidR="00D93A70">
        <w:rPr>
          <w:rFonts w:ascii="ITC Avant Garde" w:hAnsi="ITC Avant Garde" w:cs="Tahoma"/>
          <w:bCs/>
          <w:lang w:eastAsia="es-MX"/>
        </w:rPr>
        <w:t xml:space="preserve"> </w:t>
      </w:r>
      <w:r w:rsidR="00D93A70" w:rsidRPr="00D93A70">
        <w:rPr>
          <w:rFonts w:ascii="ITC Avant Garde" w:hAnsi="ITC Avant Garde"/>
          <w:sz w:val="12"/>
        </w:rPr>
        <w:t xml:space="preserve"> </w:t>
      </w:r>
      <w:r w:rsidR="00D93A70" w:rsidRPr="00D93A70">
        <w:rPr>
          <w:rFonts w:ascii="ITC Avant Garde" w:hAnsi="ITC Avant Garde" w:cs="Tahoma"/>
          <w:bCs/>
          <w:lang w:eastAsia="es-MX"/>
        </w:rPr>
        <w:t>P/IFT/281118/786</w:t>
      </w:r>
      <w:r w:rsidR="00337005">
        <w:rPr>
          <w:rFonts w:ascii="ITC Avant Garde" w:hAnsi="ITC Avant Garde" w:cs="Tahoma"/>
          <w:bCs/>
          <w:lang w:eastAsia="es-MX"/>
        </w:rPr>
        <w:t>, mismo que finalizará el</w:t>
      </w:r>
      <w:r w:rsidR="005E358A">
        <w:rPr>
          <w:rFonts w:ascii="ITC Avant Garde" w:hAnsi="ITC Avant Garde" w:cs="Tahoma"/>
          <w:bCs/>
          <w:lang w:eastAsia="es-MX"/>
        </w:rPr>
        <w:t xml:space="preserve"> 5 </w:t>
      </w:r>
      <w:r w:rsidR="00583EF7">
        <w:rPr>
          <w:rFonts w:ascii="ITC Avant Garde" w:hAnsi="ITC Avant Garde" w:cs="Tahoma"/>
          <w:bCs/>
          <w:lang w:eastAsia="es-MX"/>
        </w:rPr>
        <w:t xml:space="preserve"> de febrero de 2019.</w:t>
      </w:r>
    </w:p>
    <w:p w:rsidR="00C35169" w:rsidRPr="0016571C" w:rsidRDefault="00C35169" w:rsidP="006B0252">
      <w:pPr>
        <w:autoSpaceDE w:val="0"/>
        <w:autoSpaceDN w:val="0"/>
        <w:adjustRightInd w:val="0"/>
        <w:spacing w:after="0" w:line="276" w:lineRule="auto"/>
        <w:jc w:val="both"/>
        <w:rPr>
          <w:rFonts w:ascii="ITC Avant Garde" w:hAnsi="ITC Avant Garde" w:cs="Tahoma"/>
          <w:bCs/>
          <w:color w:val="000000"/>
          <w:lang w:eastAsia="es-MX"/>
        </w:rPr>
      </w:pPr>
      <w:r w:rsidRPr="0016571C">
        <w:rPr>
          <w:rFonts w:ascii="ITC Avant Garde" w:hAnsi="ITC Avant Garde" w:cs="Tahoma"/>
          <w:b/>
          <w:bCs/>
          <w:color w:val="000000"/>
          <w:lang w:eastAsia="es-MX"/>
        </w:rPr>
        <w:t>SEGUNDO</w:t>
      </w:r>
      <w:r w:rsidRPr="0016571C">
        <w:rPr>
          <w:rFonts w:ascii="ITC Avant Garde" w:hAnsi="ITC Avant Garde" w:cs="Tahoma"/>
          <w:bCs/>
          <w:color w:val="000000"/>
          <w:lang w:eastAsia="es-MX"/>
        </w:rPr>
        <w:t xml:space="preserve">.- Publíquese en el portal de Internet del Instituto Federal de Telecomunicaciones.  </w:t>
      </w:r>
    </w:p>
    <w:p w:rsidR="00474DD6" w:rsidRDefault="00474DD6" w:rsidP="0061749A">
      <w:pPr>
        <w:autoSpaceDE w:val="0"/>
        <w:autoSpaceDN w:val="0"/>
        <w:adjustRightInd w:val="0"/>
        <w:spacing w:after="0" w:line="276" w:lineRule="auto"/>
        <w:jc w:val="both"/>
        <w:rPr>
          <w:rFonts w:ascii="ITC Avant Garde" w:hAnsi="ITC Avant Garde" w:cs="Tahoma"/>
          <w:bCs/>
          <w:color w:val="000000"/>
          <w:lang w:eastAsia="es-MX"/>
        </w:rPr>
      </w:pPr>
    </w:p>
    <w:p w:rsidR="00425AF6" w:rsidRDefault="00425AF6" w:rsidP="0061749A">
      <w:pPr>
        <w:autoSpaceDE w:val="0"/>
        <w:autoSpaceDN w:val="0"/>
        <w:adjustRightInd w:val="0"/>
        <w:spacing w:after="0" w:line="276" w:lineRule="auto"/>
        <w:jc w:val="both"/>
        <w:rPr>
          <w:rFonts w:ascii="ITC Avant Garde" w:hAnsi="ITC Avant Garde" w:cs="Tahoma"/>
          <w:bCs/>
          <w:color w:val="000000"/>
          <w:lang w:eastAsia="es-MX"/>
        </w:rPr>
      </w:pPr>
    </w:p>
    <w:p w:rsidR="00425AF6" w:rsidRDefault="00425AF6" w:rsidP="0061749A">
      <w:pPr>
        <w:autoSpaceDE w:val="0"/>
        <w:autoSpaceDN w:val="0"/>
        <w:adjustRightInd w:val="0"/>
        <w:spacing w:after="0" w:line="276" w:lineRule="auto"/>
        <w:jc w:val="both"/>
        <w:rPr>
          <w:rFonts w:ascii="ITC Avant Garde" w:hAnsi="ITC Avant Garde" w:cs="Tahoma"/>
          <w:bCs/>
          <w:color w:val="000000"/>
          <w:lang w:eastAsia="es-MX"/>
        </w:rPr>
      </w:pPr>
    </w:p>
    <w:p w:rsidR="00A03B00" w:rsidRDefault="00A03B00" w:rsidP="0061749A">
      <w:pPr>
        <w:autoSpaceDE w:val="0"/>
        <w:autoSpaceDN w:val="0"/>
        <w:adjustRightInd w:val="0"/>
        <w:spacing w:after="0" w:line="276" w:lineRule="auto"/>
        <w:jc w:val="both"/>
        <w:rPr>
          <w:rFonts w:ascii="ITC Avant Garde" w:hAnsi="ITC Avant Garde" w:cs="Tahoma"/>
          <w:bCs/>
          <w:color w:val="000000"/>
          <w:lang w:eastAsia="es-MX"/>
        </w:rPr>
      </w:pPr>
    </w:p>
    <w:p w:rsidR="00425AF6" w:rsidRDefault="00425AF6" w:rsidP="0061749A">
      <w:pPr>
        <w:autoSpaceDE w:val="0"/>
        <w:autoSpaceDN w:val="0"/>
        <w:adjustRightInd w:val="0"/>
        <w:spacing w:after="0" w:line="276" w:lineRule="auto"/>
        <w:jc w:val="both"/>
        <w:rPr>
          <w:rFonts w:ascii="ITC Avant Garde" w:hAnsi="ITC Avant Garde" w:cs="Tahoma"/>
          <w:bCs/>
          <w:color w:val="000000"/>
          <w:lang w:eastAsia="es-MX"/>
        </w:rPr>
      </w:pPr>
    </w:p>
    <w:p w:rsidR="00EA6B87" w:rsidRDefault="00EA6B87" w:rsidP="0061749A">
      <w:pPr>
        <w:autoSpaceDE w:val="0"/>
        <w:autoSpaceDN w:val="0"/>
        <w:adjustRightInd w:val="0"/>
        <w:spacing w:after="0" w:line="276" w:lineRule="auto"/>
        <w:jc w:val="both"/>
        <w:rPr>
          <w:rFonts w:ascii="ITC Avant Garde" w:hAnsi="ITC Avant Garde" w:cs="Tahoma"/>
          <w:bCs/>
          <w:color w:val="000000"/>
          <w:lang w:eastAsia="es-MX"/>
        </w:rPr>
      </w:pPr>
    </w:p>
    <w:p w:rsidR="00425AF6" w:rsidRPr="00EA6B87" w:rsidRDefault="00425AF6" w:rsidP="0061749A">
      <w:pPr>
        <w:autoSpaceDE w:val="0"/>
        <w:autoSpaceDN w:val="0"/>
        <w:adjustRightInd w:val="0"/>
        <w:spacing w:after="0" w:line="276" w:lineRule="auto"/>
        <w:jc w:val="both"/>
        <w:rPr>
          <w:rFonts w:ascii="ITC Avant Garde" w:hAnsi="ITC Avant Garde" w:cs="Tahoma"/>
          <w:bCs/>
          <w:color w:val="000000"/>
          <w:sz w:val="16"/>
          <w:lang w:eastAsia="es-MX"/>
        </w:rPr>
      </w:pPr>
    </w:p>
    <w:p w:rsidR="00425AF6" w:rsidRPr="0016571C" w:rsidRDefault="00425AF6" w:rsidP="0061749A">
      <w:pPr>
        <w:autoSpaceDE w:val="0"/>
        <w:autoSpaceDN w:val="0"/>
        <w:adjustRightInd w:val="0"/>
        <w:spacing w:after="0" w:line="276" w:lineRule="auto"/>
        <w:jc w:val="both"/>
        <w:rPr>
          <w:rFonts w:ascii="ITC Avant Garde" w:hAnsi="ITC Avant Garde" w:cs="Tahoma"/>
          <w:bCs/>
          <w:color w:val="000000"/>
          <w:lang w:eastAsia="es-MX"/>
        </w:rPr>
      </w:pPr>
    </w:p>
    <w:p w:rsidR="00474DD6" w:rsidRPr="0016571C" w:rsidRDefault="00474DD6" w:rsidP="0061749A">
      <w:pPr>
        <w:autoSpaceDE w:val="0"/>
        <w:autoSpaceDN w:val="0"/>
        <w:adjustRightInd w:val="0"/>
        <w:spacing w:after="0" w:line="276" w:lineRule="auto"/>
        <w:jc w:val="both"/>
        <w:rPr>
          <w:rFonts w:ascii="ITC Avant Garde" w:hAnsi="ITC Avant Garde" w:cs="Tahoma"/>
          <w:bCs/>
          <w:color w:val="000000"/>
          <w:lang w:eastAsia="es-MX"/>
        </w:rPr>
      </w:pPr>
    </w:p>
    <w:tbl>
      <w:tblPr>
        <w:tblW w:w="10736" w:type="dxa"/>
        <w:jc w:val="center"/>
        <w:tblLook w:val="04A0" w:firstRow="1" w:lastRow="0" w:firstColumn="1" w:lastColumn="0" w:noHBand="0" w:noVBand="1"/>
      </w:tblPr>
      <w:tblGrid>
        <w:gridCol w:w="5367"/>
        <w:gridCol w:w="5369"/>
      </w:tblGrid>
      <w:tr w:rsidR="00425AF6" w:rsidRPr="00DB0655" w:rsidTr="00425AF6">
        <w:trPr>
          <w:trHeight w:val="684"/>
          <w:jc w:val="center"/>
        </w:trPr>
        <w:tc>
          <w:tcPr>
            <w:tcW w:w="10736" w:type="dxa"/>
            <w:gridSpan w:val="2"/>
            <w:shd w:val="clear" w:color="auto" w:fill="auto"/>
          </w:tcPr>
          <w:p w:rsidR="00425AF6" w:rsidRPr="00DB0655" w:rsidRDefault="00425AF6" w:rsidP="00D7370D">
            <w:pPr>
              <w:spacing w:after="0" w:line="240" w:lineRule="auto"/>
              <w:rPr>
                <w:rFonts w:ascii="ITC Avant Garde" w:hAnsi="ITC Avant Garde" w:cs="Arial"/>
                <w:b/>
                <w:bCs/>
              </w:rPr>
            </w:pPr>
          </w:p>
          <w:p w:rsidR="00425AF6" w:rsidRPr="00DB0655" w:rsidRDefault="00425AF6" w:rsidP="00D7370D">
            <w:pPr>
              <w:spacing w:after="0" w:line="240" w:lineRule="auto"/>
              <w:jc w:val="center"/>
              <w:rPr>
                <w:rFonts w:ascii="ITC Avant Garde" w:hAnsi="ITC Avant Garde" w:cs="Arial"/>
                <w:b/>
                <w:bCs/>
              </w:rPr>
            </w:pPr>
            <w:r w:rsidRPr="00DB0655">
              <w:rPr>
                <w:rFonts w:ascii="ITC Avant Garde" w:hAnsi="ITC Avant Garde" w:cs="Arial"/>
                <w:b/>
                <w:bCs/>
              </w:rPr>
              <w:t>Gabriel Oswaldo Contreras Saldívar</w:t>
            </w:r>
          </w:p>
          <w:p w:rsidR="00425AF6" w:rsidRPr="00DB0655" w:rsidRDefault="00425AF6" w:rsidP="00D7370D">
            <w:pPr>
              <w:spacing w:after="0" w:line="240" w:lineRule="auto"/>
              <w:jc w:val="center"/>
              <w:rPr>
                <w:rFonts w:ascii="ITC Avant Garde" w:hAnsi="ITC Avant Garde" w:cs="Arial"/>
                <w:b/>
                <w:bCs/>
              </w:rPr>
            </w:pPr>
            <w:r w:rsidRPr="00DB0655">
              <w:rPr>
                <w:rFonts w:ascii="ITC Avant Garde" w:hAnsi="ITC Avant Garde" w:cs="Arial"/>
                <w:b/>
                <w:bCs/>
              </w:rPr>
              <w:t>Comisionado Presidente</w:t>
            </w:r>
          </w:p>
        </w:tc>
      </w:tr>
      <w:tr w:rsidR="00425AF6" w:rsidRPr="00DB0655" w:rsidTr="00425AF6">
        <w:trPr>
          <w:trHeight w:val="1356"/>
          <w:jc w:val="center"/>
        </w:trPr>
        <w:tc>
          <w:tcPr>
            <w:tcW w:w="5367" w:type="dxa"/>
            <w:shd w:val="clear" w:color="auto" w:fill="auto"/>
          </w:tcPr>
          <w:p w:rsidR="00425AF6" w:rsidRPr="00DB0655" w:rsidRDefault="00425AF6" w:rsidP="00D7370D">
            <w:pPr>
              <w:spacing w:after="0" w:line="240" w:lineRule="auto"/>
              <w:jc w:val="center"/>
              <w:rPr>
                <w:rFonts w:ascii="ITC Avant Garde" w:hAnsi="ITC Avant Garde"/>
                <w:shd w:val="clear" w:color="auto" w:fill="FFFFFF"/>
              </w:rPr>
            </w:pPr>
          </w:p>
          <w:p w:rsidR="00425AF6" w:rsidRDefault="00425AF6" w:rsidP="00D7370D">
            <w:pPr>
              <w:spacing w:after="0" w:line="240" w:lineRule="auto"/>
              <w:jc w:val="center"/>
              <w:rPr>
                <w:rFonts w:ascii="ITC Avant Garde" w:hAnsi="ITC Avant Garde"/>
                <w:shd w:val="clear" w:color="auto" w:fill="FFFFFF"/>
              </w:rPr>
            </w:pPr>
          </w:p>
          <w:p w:rsidR="00425AF6" w:rsidRPr="00DB0655" w:rsidRDefault="00425AF6" w:rsidP="00D7370D">
            <w:pPr>
              <w:spacing w:after="0" w:line="240" w:lineRule="auto"/>
              <w:jc w:val="center"/>
              <w:rPr>
                <w:rFonts w:ascii="ITC Avant Garde" w:hAnsi="ITC Avant Garde"/>
                <w:shd w:val="clear" w:color="auto" w:fill="FFFFFF"/>
              </w:rPr>
            </w:pPr>
          </w:p>
          <w:p w:rsidR="00425AF6" w:rsidRPr="00DB0655" w:rsidRDefault="00425AF6" w:rsidP="00D7370D">
            <w:pPr>
              <w:spacing w:after="0" w:line="240" w:lineRule="auto"/>
              <w:jc w:val="center"/>
              <w:rPr>
                <w:rFonts w:ascii="ITC Avant Garde" w:hAnsi="ITC Avant Garde"/>
                <w:shd w:val="clear" w:color="auto" w:fill="FFFFFF"/>
              </w:rPr>
            </w:pPr>
          </w:p>
          <w:p w:rsidR="00425AF6" w:rsidRPr="00DB0655" w:rsidRDefault="00425AF6" w:rsidP="00D7370D">
            <w:pPr>
              <w:tabs>
                <w:tab w:val="left" w:pos="993"/>
              </w:tabs>
              <w:spacing w:after="0" w:line="240" w:lineRule="auto"/>
              <w:ind w:right="-1"/>
              <w:jc w:val="center"/>
              <w:rPr>
                <w:rFonts w:ascii="ITC Avant Garde" w:hAnsi="ITC Avant Garde"/>
                <w:b/>
                <w:bCs/>
                <w:lang w:eastAsia="es-MX"/>
              </w:rPr>
            </w:pPr>
            <w:r w:rsidRPr="00DB0655">
              <w:rPr>
                <w:rFonts w:ascii="ITC Avant Garde" w:hAnsi="ITC Avant Garde"/>
                <w:b/>
                <w:bCs/>
                <w:lang w:eastAsia="es-MX"/>
              </w:rPr>
              <w:t>María Elena Estavillo Flores</w:t>
            </w:r>
          </w:p>
          <w:p w:rsidR="00425AF6" w:rsidRPr="00DB0655" w:rsidRDefault="00425AF6" w:rsidP="00D7370D">
            <w:pPr>
              <w:spacing w:after="0" w:line="240" w:lineRule="auto"/>
              <w:jc w:val="center"/>
              <w:rPr>
                <w:rFonts w:ascii="ITC Avant Garde" w:hAnsi="ITC Avant Garde"/>
                <w:shd w:val="clear" w:color="auto" w:fill="FFFFFF"/>
              </w:rPr>
            </w:pPr>
            <w:r w:rsidRPr="00DB0655">
              <w:rPr>
                <w:rFonts w:ascii="ITC Avant Garde" w:hAnsi="ITC Avant Garde"/>
                <w:b/>
                <w:bCs/>
                <w:lang w:eastAsia="es-MX"/>
              </w:rPr>
              <w:t>Comisionada</w:t>
            </w:r>
          </w:p>
        </w:tc>
        <w:tc>
          <w:tcPr>
            <w:tcW w:w="5369" w:type="dxa"/>
            <w:shd w:val="clear" w:color="auto" w:fill="auto"/>
          </w:tcPr>
          <w:p w:rsidR="00425AF6" w:rsidRPr="00DB0655" w:rsidRDefault="00425AF6" w:rsidP="00D7370D">
            <w:pPr>
              <w:spacing w:after="0" w:line="240" w:lineRule="auto"/>
              <w:jc w:val="both"/>
              <w:rPr>
                <w:rFonts w:ascii="ITC Avant Garde" w:hAnsi="ITC Avant Garde"/>
                <w:shd w:val="clear" w:color="auto" w:fill="FFFFFF"/>
              </w:rPr>
            </w:pPr>
          </w:p>
          <w:p w:rsidR="00425AF6" w:rsidRDefault="00425AF6" w:rsidP="00D7370D">
            <w:pPr>
              <w:spacing w:after="0" w:line="240" w:lineRule="auto"/>
              <w:jc w:val="both"/>
              <w:rPr>
                <w:rFonts w:ascii="ITC Avant Garde" w:hAnsi="ITC Avant Garde"/>
                <w:shd w:val="clear" w:color="auto" w:fill="FFFFFF"/>
              </w:rPr>
            </w:pPr>
          </w:p>
          <w:p w:rsidR="00425AF6" w:rsidRPr="00DB0655" w:rsidRDefault="00425AF6" w:rsidP="00D7370D">
            <w:pPr>
              <w:spacing w:after="0" w:line="240" w:lineRule="auto"/>
              <w:jc w:val="both"/>
              <w:rPr>
                <w:rFonts w:ascii="ITC Avant Garde" w:hAnsi="ITC Avant Garde"/>
                <w:shd w:val="clear" w:color="auto" w:fill="FFFFFF"/>
              </w:rPr>
            </w:pPr>
          </w:p>
          <w:p w:rsidR="00425AF6" w:rsidRPr="00DB0655" w:rsidRDefault="00425AF6" w:rsidP="00D7370D">
            <w:pPr>
              <w:spacing w:after="0" w:line="240" w:lineRule="auto"/>
              <w:jc w:val="both"/>
              <w:rPr>
                <w:rFonts w:ascii="ITC Avant Garde" w:hAnsi="ITC Avant Garde"/>
                <w:shd w:val="clear" w:color="auto" w:fill="FFFFFF"/>
              </w:rPr>
            </w:pPr>
          </w:p>
          <w:p w:rsidR="00425AF6" w:rsidRPr="00DB0655" w:rsidRDefault="00425AF6" w:rsidP="00D7370D">
            <w:pPr>
              <w:tabs>
                <w:tab w:val="left" w:pos="993"/>
              </w:tabs>
              <w:spacing w:after="0" w:line="240" w:lineRule="auto"/>
              <w:ind w:right="-1"/>
              <w:jc w:val="center"/>
              <w:rPr>
                <w:rFonts w:ascii="ITC Avant Garde" w:hAnsi="ITC Avant Garde"/>
                <w:b/>
                <w:bCs/>
                <w:lang w:eastAsia="es-MX"/>
              </w:rPr>
            </w:pPr>
            <w:r w:rsidRPr="00DB0655">
              <w:rPr>
                <w:rFonts w:ascii="ITC Avant Garde" w:hAnsi="ITC Avant Garde"/>
                <w:b/>
                <w:bCs/>
                <w:lang w:eastAsia="es-MX"/>
              </w:rPr>
              <w:t>Mario Germán Fromow Rangel</w:t>
            </w:r>
          </w:p>
          <w:p w:rsidR="00425AF6" w:rsidRPr="00DB0655" w:rsidRDefault="00425AF6" w:rsidP="00D7370D">
            <w:pPr>
              <w:spacing w:after="0" w:line="240" w:lineRule="auto"/>
              <w:jc w:val="center"/>
              <w:rPr>
                <w:rFonts w:ascii="ITC Avant Garde" w:hAnsi="ITC Avant Garde"/>
                <w:shd w:val="clear" w:color="auto" w:fill="FFFFFF"/>
              </w:rPr>
            </w:pPr>
            <w:r w:rsidRPr="00DB0655">
              <w:rPr>
                <w:rFonts w:ascii="ITC Avant Garde" w:hAnsi="ITC Avant Garde"/>
                <w:b/>
                <w:bCs/>
                <w:lang w:eastAsia="es-MX"/>
              </w:rPr>
              <w:t>Comisionado</w:t>
            </w:r>
          </w:p>
        </w:tc>
      </w:tr>
      <w:tr w:rsidR="00425AF6" w:rsidRPr="00DB0655" w:rsidTr="00425AF6">
        <w:trPr>
          <w:trHeight w:val="1370"/>
          <w:jc w:val="center"/>
        </w:trPr>
        <w:tc>
          <w:tcPr>
            <w:tcW w:w="5367" w:type="dxa"/>
            <w:shd w:val="clear" w:color="auto" w:fill="auto"/>
          </w:tcPr>
          <w:p w:rsidR="00425AF6" w:rsidRPr="00DB0655" w:rsidRDefault="00425AF6" w:rsidP="00D7370D">
            <w:pPr>
              <w:spacing w:after="0" w:line="240" w:lineRule="auto"/>
              <w:jc w:val="both"/>
              <w:rPr>
                <w:rFonts w:ascii="ITC Avant Garde" w:hAnsi="ITC Avant Garde"/>
                <w:shd w:val="clear" w:color="auto" w:fill="FFFFFF"/>
              </w:rPr>
            </w:pPr>
          </w:p>
          <w:p w:rsidR="00425AF6" w:rsidRPr="00DB0655" w:rsidRDefault="00425AF6" w:rsidP="00D7370D">
            <w:pPr>
              <w:spacing w:after="0" w:line="240" w:lineRule="auto"/>
              <w:jc w:val="both"/>
              <w:rPr>
                <w:rFonts w:ascii="ITC Avant Garde" w:hAnsi="ITC Avant Garde"/>
                <w:shd w:val="clear" w:color="auto" w:fill="FFFFFF"/>
              </w:rPr>
            </w:pPr>
          </w:p>
          <w:p w:rsidR="00425AF6" w:rsidRPr="00DB0655" w:rsidRDefault="00425AF6" w:rsidP="00D7370D">
            <w:pPr>
              <w:spacing w:after="0" w:line="240" w:lineRule="auto"/>
              <w:jc w:val="both"/>
              <w:rPr>
                <w:rFonts w:ascii="ITC Avant Garde" w:hAnsi="ITC Avant Garde"/>
                <w:shd w:val="clear" w:color="auto" w:fill="FFFFFF"/>
              </w:rPr>
            </w:pPr>
          </w:p>
          <w:p w:rsidR="00425AF6" w:rsidRPr="00DB0655" w:rsidRDefault="00425AF6" w:rsidP="00D7370D">
            <w:pPr>
              <w:spacing w:after="0" w:line="240" w:lineRule="auto"/>
              <w:jc w:val="both"/>
              <w:rPr>
                <w:rFonts w:ascii="ITC Avant Garde" w:hAnsi="ITC Avant Garde"/>
                <w:shd w:val="clear" w:color="auto" w:fill="FFFFFF"/>
              </w:rPr>
            </w:pPr>
          </w:p>
          <w:p w:rsidR="00425AF6" w:rsidRPr="00DB0655" w:rsidRDefault="00425AF6" w:rsidP="00D7370D">
            <w:pPr>
              <w:tabs>
                <w:tab w:val="left" w:pos="993"/>
              </w:tabs>
              <w:spacing w:after="0" w:line="240" w:lineRule="auto"/>
              <w:ind w:right="-1"/>
              <w:jc w:val="center"/>
              <w:rPr>
                <w:rFonts w:ascii="ITC Avant Garde" w:hAnsi="ITC Avant Garde"/>
                <w:b/>
                <w:bCs/>
                <w:lang w:eastAsia="es-MX"/>
              </w:rPr>
            </w:pPr>
            <w:r w:rsidRPr="00DB0655">
              <w:rPr>
                <w:rFonts w:ascii="ITC Avant Garde" w:hAnsi="ITC Avant Garde"/>
                <w:b/>
                <w:bCs/>
                <w:lang w:eastAsia="es-MX"/>
              </w:rPr>
              <w:t>Adolfo Cuevas Teja</w:t>
            </w:r>
          </w:p>
          <w:p w:rsidR="00425AF6" w:rsidRPr="00DB0655" w:rsidRDefault="00425AF6" w:rsidP="00D7370D">
            <w:pPr>
              <w:spacing w:after="0" w:line="240" w:lineRule="auto"/>
              <w:jc w:val="center"/>
              <w:rPr>
                <w:rFonts w:ascii="ITC Avant Garde" w:hAnsi="ITC Avant Garde"/>
                <w:shd w:val="clear" w:color="auto" w:fill="FFFFFF"/>
              </w:rPr>
            </w:pPr>
            <w:r w:rsidRPr="00DB0655">
              <w:rPr>
                <w:rFonts w:ascii="ITC Avant Garde" w:hAnsi="ITC Avant Garde"/>
                <w:b/>
                <w:bCs/>
                <w:lang w:eastAsia="es-MX"/>
              </w:rPr>
              <w:t>Comisionado</w:t>
            </w:r>
          </w:p>
        </w:tc>
        <w:tc>
          <w:tcPr>
            <w:tcW w:w="5369" w:type="dxa"/>
            <w:shd w:val="clear" w:color="auto" w:fill="auto"/>
          </w:tcPr>
          <w:p w:rsidR="00425AF6" w:rsidRPr="00DB0655" w:rsidRDefault="00425AF6" w:rsidP="00D7370D">
            <w:pPr>
              <w:spacing w:after="0" w:line="240" w:lineRule="auto"/>
              <w:jc w:val="both"/>
              <w:rPr>
                <w:rFonts w:ascii="ITC Avant Garde" w:hAnsi="ITC Avant Garde"/>
                <w:shd w:val="clear" w:color="auto" w:fill="FFFFFF"/>
              </w:rPr>
            </w:pPr>
          </w:p>
          <w:p w:rsidR="00425AF6" w:rsidRPr="00DB0655" w:rsidRDefault="00425AF6" w:rsidP="00D7370D">
            <w:pPr>
              <w:spacing w:after="0" w:line="240" w:lineRule="auto"/>
              <w:jc w:val="both"/>
              <w:rPr>
                <w:rFonts w:ascii="ITC Avant Garde" w:hAnsi="ITC Avant Garde"/>
                <w:shd w:val="clear" w:color="auto" w:fill="FFFFFF"/>
              </w:rPr>
            </w:pPr>
          </w:p>
          <w:p w:rsidR="00425AF6" w:rsidRDefault="00425AF6" w:rsidP="00D7370D">
            <w:pPr>
              <w:spacing w:after="0" w:line="240" w:lineRule="auto"/>
              <w:jc w:val="both"/>
              <w:rPr>
                <w:rFonts w:ascii="ITC Avant Garde" w:hAnsi="ITC Avant Garde"/>
                <w:shd w:val="clear" w:color="auto" w:fill="FFFFFF"/>
              </w:rPr>
            </w:pPr>
          </w:p>
          <w:p w:rsidR="00425AF6" w:rsidRPr="00DB0655" w:rsidRDefault="00425AF6" w:rsidP="00D7370D">
            <w:pPr>
              <w:spacing w:after="0" w:line="240" w:lineRule="auto"/>
              <w:jc w:val="both"/>
              <w:rPr>
                <w:rFonts w:ascii="ITC Avant Garde" w:hAnsi="ITC Avant Garde"/>
                <w:shd w:val="clear" w:color="auto" w:fill="FFFFFF"/>
              </w:rPr>
            </w:pPr>
          </w:p>
          <w:p w:rsidR="00425AF6" w:rsidRPr="00DB0655" w:rsidRDefault="00425AF6" w:rsidP="00D7370D">
            <w:pPr>
              <w:tabs>
                <w:tab w:val="left" w:pos="993"/>
              </w:tabs>
              <w:spacing w:after="0" w:line="240" w:lineRule="auto"/>
              <w:ind w:right="-1"/>
              <w:jc w:val="center"/>
              <w:rPr>
                <w:rFonts w:ascii="ITC Avant Garde" w:hAnsi="ITC Avant Garde"/>
                <w:b/>
                <w:bCs/>
                <w:lang w:eastAsia="es-MX"/>
              </w:rPr>
            </w:pPr>
            <w:r w:rsidRPr="00DB0655">
              <w:rPr>
                <w:rFonts w:ascii="ITC Avant Garde" w:hAnsi="ITC Avant Garde"/>
                <w:b/>
                <w:bCs/>
                <w:lang w:eastAsia="es-MX"/>
              </w:rPr>
              <w:t>Javier Juárez Mojica</w:t>
            </w:r>
          </w:p>
          <w:p w:rsidR="00425AF6" w:rsidRPr="00DB0655" w:rsidRDefault="00425AF6" w:rsidP="00D7370D">
            <w:pPr>
              <w:spacing w:after="0" w:line="240" w:lineRule="auto"/>
              <w:jc w:val="center"/>
              <w:rPr>
                <w:rFonts w:ascii="ITC Avant Garde" w:hAnsi="ITC Avant Garde"/>
                <w:shd w:val="clear" w:color="auto" w:fill="FFFFFF"/>
              </w:rPr>
            </w:pPr>
            <w:r w:rsidRPr="00DB0655">
              <w:rPr>
                <w:rFonts w:ascii="ITC Avant Garde" w:hAnsi="ITC Avant Garde"/>
                <w:b/>
                <w:bCs/>
                <w:lang w:eastAsia="es-MX"/>
              </w:rPr>
              <w:t>Comisionado</w:t>
            </w:r>
          </w:p>
        </w:tc>
      </w:tr>
      <w:tr w:rsidR="00425AF6" w:rsidRPr="00DB0655" w:rsidTr="00425AF6">
        <w:trPr>
          <w:trHeight w:val="1356"/>
          <w:jc w:val="center"/>
        </w:trPr>
        <w:tc>
          <w:tcPr>
            <w:tcW w:w="5367" w:type="dxa"/>
            <w:shd w:val="clear" w:color="auto" w:fill="auto"/>
          </w:tcPr>
          <w:p w:rsidR="00425AF6" w:rsidRPr="00DB0655" w:rsidRDefault="00425AF6" w:rsidP="00D7370D">
            <w:pPr>
              <w:spacing w:after="0" w:line="240" w:lineRule="auto"/>
              <w:jc w:val="both"/>
              <w:rPr>
                <w:rFonts w:ascii="ITC Avant Garde" w:hAnsi="ITC Avant Garde"/>
                <w:shd w:val="clear" w:color="auto" w:fill="FFFFFF"/>
              </w:rPr>
            </w:pPr>
          </w:p>
          <w:p w:rsidR="00425AF6" w:rsidRPr="00DB0655" w:rsidRDefault="00425AF6" w:rsidP="00D7370D">
            <w:pPr>
              <w:spacing w:after="0" w:line="240" w:lineRule="auto"/>
              <w:jc w:val="both"/>
              <w:rPr>
                <w:rFonts w:ascii="ITC Avant Garde" w:hAnsi="ITC Avant Garde"/>
                <w:shd w:val="clear" w:color="auto" w:fill="FFFFFF"/>
              </w:rPr>
            </w:pPr>
          </w:p>
          <w:p w:rsidR="00425AF6" w:rsidRPr="00DB0655" w:rsidRDefault="00425AF6" w:rsidP="00D7370D">
            <w:pPr>
              <w:spacing w:after="0" w:line="240" w:lineRule="auto"/>
              <w:jc w:val="both"/>
              <w:rPr>
                <w:rFonts w:ascii="ITC Avant Garde" w:hAnsi="ITC Avant Garde"/>
                <w:shd w:val="clear" w:color="auto" w:fill="FFFFFF"/>
              </w:rPr>
            </w:pPr>
          </w:p>
          <w:p w:rsidR="00425AF6" w:rsidRPr="00DB0655" w:rsidRDefault="00425AF6" w:rsidP="00D7370D">
            <w:pPr>
              <w:spacing w:after="0" w:line="240" w:lineRule="auto"/>
              <w:jc w:val="both"/>
              <w:rPr>
                <w:rFonts w:ascii="ITC Avant Garde" w:hAnsi="ITC Avant Garde"/>
                <w:shd w:val="clear" w:color="auto" w:fill="FFFFFF"/>
              </w:rPr>
            </w:pPr>
          </w:p>
          <w:p w:rsidR="00425AF6" w:rsidRPr="00DB0655" w:rsidRDefault="00425AF6" w:rsidP="00D7370D">
            <w:pPr>
              <w:tabs>
                <w:tab w:val="left" w:pos="993"/>
              </w:tabs>
              <w:spacing w:after="0" w:line="240" w:lineRule="auto"/>
              <w:ind w:right="-1"/>
              <w:jc w:val="center"/>
              <w:rPr>
                <w:rFonts w:ascii="ITC Avant Garde" w:hAnsi="ITC Avant Garde"/>
                <w:b/>
                <w:bCs/>
                <w:lang w:eastAsia="es-MX"/>
              </w:rPr>
            </w:pPr>
            <w:r w:rsidRPr="00DB0655">
              <w:rPr>
                <w:rFonts w:ascii="ITC Avant Garde" w:hAnsi="ITC Avant Garde"/>
                <w:b/>
                <w:bCs/>
                <w:lang w:eastAsia="es-MX"/>
              </w:rPr>
              <w:t>Arturo Robles Rovalo</w:t>
            </w:r>
          </w:p>
          <w:p w:rsidR="00425AF6" w:rsidRPr="00DB0655" w:rsidRDefault="00425AF6" w:rsidP="00D7370D">
            <w:pPr>
              <w:spacing w:after="0" w:line="240" w:lineRule="auto"/>
              <w:jc w:val="center"/>
              <w:rPr>
                <w:rFonts w:ascii="Times New Roman" w:hAnsi="Times New Roman"/>
                <w:noProof/>
                <w:shd w:val="clear" w:color="auto" w:fill="FFFFFF"/>
                <w:lang w:val="es-ES"/>
              </w:rPr>
            </w:pPr>
            <w:r w:rsidRPr="00DB0655">
              <w:rPr>
                <w:rFonts w:ascii="ITC Avant Garde" w:hAnsi="ITC Avant Garde"/>
                <w:b/>
                <w:bCs/>
                <w:noProof/>
                <w:lang w:val="es-ES" w:eastAsia="es-MX"/>
              </w:rPr>
              <w:t>Comisionado</w:t>
            </w:r>
          </w:p>
        </w:tc>
        <w:tc>
          <w:tcPr>
            <w:tcW w:w="5369" w:type="dxa"/>
            <w:shd w:val="clear" w:color="auto" w:fill="auto"/>
          </w:tcPr>
          <w:p w:rsidR="00425AF6" w:rsidRPr="00DB0655" w:rsidRDefault="00425AF6" w:rsidP="00D7370D">
            <w:pPr>
              <w:spacing w:after="0" w:line="240" w:lineRule="auto"/>
              <w:jc w:val="both"/>
              <w:rPr>
                <w:rFonts w:ascii="ITC Avant Garde" w:hAnsi="ITC Avant Garde"/>
                <w:shd w:val="clear" w:color="auto" w:fill="FFFFFF"/>
              </w:rPr>
            </w:pPr>
          </w:p>
          <w:p w:rsidR="00425AF6" w:rsidRPr="00DB0655" w:rsidRDefault="00425AF6" w:rsidP="00D7370D">
            <w:pPr>
              <w:spacing w:after="0" w:line="240" w:lineRule="auto"/>
              <w:jc w:val="both"/>
              <w:rPr>
                <w:rFonts w:ascii="ITC Avant Garde" w:hAnsi="ITC Avant Garde"/>
                <w:shd w:val="clear" w:color="auto" w:fill="FFFFFF"/>
              </w:rPr>
            </w:pPr>
          </w:p>
          <w:p w:rsidR="00425AF6" w:rsidRDefault="00425AF6" w:rsidP="00D7370D">
            <w:pPr>
              <w:spacing w:after="0" w:line="240" w:lineRule="auto"/>
              <w:jc w:val="both"/>
              <w:rPr>
                <w:rFonts w:ascii="ITC Avant Garde" w:hAnsi="ITC Avant Garde"/>
                <w:shd w:val="clear" w:color="auto" w:fill="FFFFFF"/>
              </w:rPr>
            </w:pPr>
          </w:p>
          <w:p w:rsidR="00425AF6" w:rsidRPr="00DB0655" w:rsidRDefault="00425AF6" w:rsidP="00D7370D">
            <w:pPr>
              <w:spacing w:after="0" w:line="240" w:lineRule="auto"/>
              <w:jc w:val="both"/>
              <w:rPr>
                <w:rFonts w:ascii="ITC Avant Garde" w:hAnsi="ITC Avant Garde"/>
                <w:shd w:val="clear" w:color="auto" w:fill="FFFFFF"/>
              </w:rPr>
            </w:pPr>
          </w:p>
          <w:p w:rsidR="00425AF6" w:rsidRPr="00DB0655" w:rsidRDefault="00425AF6" w:rsidP="00D7370D">
            <w:pPr>
              <w:tabs>
                <w:tab w:val="left" w:pos="993"/>
              </w:tabs>
              <w:spacing w:after="0" w:line="240" w:lineRule="auto"/>
              <w:ind w:right="-1"/>
              <w:jc w:val="center"/>
              <w:rPr>
                <w:rFonts w:ascii="ITC Avant Garde" w:hAnsi="ITC Avant Garde"/>
                <w:b/>
                <w:bCs/>
                <w:lang w:eastAsia="es-MX"/>
              </w:rPr>
            </w:pPr>
            <w:r w:rsidRPr="00DB0655">
              <w:rPr>
                <w:rFonts w:ascii="ITC Avant Garde" w:hAnsi="ITC Avant Garde"/>
                <w:b/>
                <w:bCs/>
                <w:lang w:val="es-ES" w:eastAsia="es-MX"/>
              </w:rPr>
              <w:t>Sóstenes Díaz González</w:t>
            </w:r>
          </w:p>
          <w:p w:rsidR="00425AF6" w:rsidRPr="00DB0655" w:rsidRDefault="00425AF6" w:rsidP="00D7370D">
            <w:pPr>
              <w:spacing w:after="0" w:line="240" w:lineRule="auto"/>
              <w:jc w:val="center"/>
              <w:rPr>
                <w:rFonts w:ascii="ITC Avant Garde" w:hAnsi="ITC Avant Garde"/>
                <w:shd w:val="clear" w:color="auto" w:fill="FFFFFF"/>
              </w:rPr>
            </w:pPr>
            <w:r w:rsidRPr="00DB0655">
              <w:rPr>
                <w:rFonts w:ascii="ITC Avant Garde" w:hAnsi="ITC Avant Garde"/>
                <w:b/>
                <w:bCs/>
                <w:lang w:eastAsia="es-MX"/>
              </w:rPr>
              <w:t>Comisionado</w:t>
            </w:r>
          </w:p>
        </w:tc>
      </w:tr>
    </w:tbl>
    <w:p w:rsidR="00461C4A" w:rsidRDefault="00461C4A" w:rsidP="00E23470">
      <w:pPr>
        <w:autoSpaceDE w:val="0"/>
        <w:autoSpaceDN w:val="0"/>
        <w:adjustRightInd w:val="0"/>
        <w:spacing w:after="0" w:line="276" w:lineRule="auto"/>
        <w:jc w:val="both"/>
        <w:rPr>
          <w:rFonts w:ascii="ITC Avant Garde" w:hAnsi="ITC Avant Garde" w:cs="Tahoma"/>
          <w:bCs/>
          <w:color w:val="000000"/>
          <w:lang w:eastAsia="es-MX"/>
        </w:rPr>
      </w:pPr>
    </w:p>
    <w:p w:rsidR="00EA6B87" w:rsidRDefault="00EA6B87" w:rsidP="00A03B00">
      <w:pPr>
        <w:pStyle w:val="Prrafodelista"/>
        <w:spacing w:after="0" w:line="240" w:lineRule="auto"/>
        <w:ind w:left="0"/>
        <w:jc w:val="both"/>
        <w:rPr>
          <w:rFonts w:ascii="ITC Avant Garde" w:hAnsi="ITC Avant Garde"/>
          <w:sz w:val="14"/>
        </w:rPr>
      </w:pPr>
    </w:p>
    <w:p w:rsidR="00EA6B87" w:rsidRPr="00ED51B6" w:rsidRDefault="00EA6B87" w:rsidP="00A03B00">
      <w:pPr>
        <w:pStyle w:val="Prrafodelista"/>
        <w:spacing w:after="0" w:line="240" w:lineRule="auto"/>
        <w:ind w:left="0"/>
        <w:jc w:val="both"/>
        <w:rPr>
          <w:rFonts w:ascii="ITC Avant Garde" w:hAnsi="ITC Avant Garde"/>
          <w:sz w:val="8"/>
        </w:rPr>
      </w:pPr>
    </w:p>
    <w:p w:rsidR="00A03B00" w:rsidRPr="00A03B00" w:rsidRDefault="00A03B00" w:rsidP="00A03B00">
      <w:pPr>
        <w:pStyle w:val="Prrafodelista"/>
        <w:spacing w:after="0" w:line="240" w:lineRule="auto"/>
        <w:ind w:left="0"/>
        <w:jc w:val="both"/>
        <w:rPr>
          <w:rFonts w:ascii="ITC Avant Garde" w:hAnsi="ITC Avant Garde"/>
          <w:bCs/>
          <w:sz w:val="14"/>
          <w:lang w:val="es-ES"/>
        </w:rPr>
      </w:pPr>
      <w:r w:rsidRPr="00A03B00">
        <w:rPr>
          <w:rFonts w:ascii="ITC Avant Garde" w:hAnsi="ITC Avant Garde"/>
          <w:sz w:val="14"/>
        </w:rPr>
        <w:t xml:space="preserve">El presente Acuerdo fue aprobado por el Pleno del Instituto Federal de Telecomunicaciones en su II Sesión Extraordinaria celebrada el 11 de enero de 2019, </w:t>
      </w:r>
      <w:r w:rsidRPr="00A03B00">
        <w:rPr>
          <w:rFonts w:ascii="ITC Avant Garde" w:hAnsi="ITC Avant Garde"/>
          <w:bCs/>
          <w:sz w:val="14"/>
        </w:rPr>
        <w:t>por unanimidad</w:t>
      </w:r>
      <w:r w:rsidRPr="00A03B00">
        <w:rPr>
          <w:rFonts w:ascii="ITC Avant Garde" w:hAnsi="ITC Avant Garde"/>
          <w:sz w:val="14"/>
        </w:rPr>
        <w:t xml:space="preserve"> de votos de los Comisionados Gabriel Oswaldo Contreras Saldívar, María Elena Estavillo Flores, Mario Germán Fromow Rangel, Adolfo Cuevas Teja, Javier Juárez Mojica, Arturo Robles Rovalo y Sóstenes Díaz González;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P/IFT/EXT/110119/4.</w:t>
      </w:r>
    </w:p>
    <w:sectPr w:rsidR="00A03B00" w:rsidRPr="00A03B00" w:rsidSect="007A32B0">
      <w:footerReference w:type="default" r:id="rId11"/>
      <w:pgSz w:w="12240" w:h="15840"/>
      <w:pgMar w:top="2268" w:right="1418" w:bottom="1134" w:left="1418" w:header="709" w:footer="89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FAC" w:rsidRDefault="00906FAC" w:rsidP="00C35169">
      <w:pPr>
        <w:spacing w:after="0" w:line="240" w:lineRule="auto"/>
      </w:pPr>
      <w:r>
        <w:separator/>
      </w:r>
    </w:p>
  </w:endnote>
  <w:endnote w:type="continuationSeparator" w:id="0">
    <w:p w:rsidR="00906FAC" w:rsidRDefault="00906FAC" w:rsidP="00C35169">
      <w:pPr>
        <w:spacing w:after="0" w:line="240" w:lineRule="auto"/>
      </w:pPr>
      <w:r>
        <w:continuationSeparator/>
      </w:r>
    </w:p>
  </w:endnote>
  <w:endnote w:type="continuationNotice" w:id="1">
    <w:p w:rsidR="00906FAC" w:rsidRDefault="00906F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2349279"/>
      <w:docPartObj>
        <w:docPartGallery w:val="Page Numbers (Bottom of Page)"/>
        <w:docPartUnique/>
      </w:docPartObj>
    </w:sdtPr>
    <w:sdtEndPr/>
    <w:sdtContent>
      <w:p w:rsidR="00E23470" w:rsidRPr="007A32B0" w:rsidRDefault="00E23470" w:rsidP="007A32B0">
        <w:pPr>
          <w:pStyle w:val="Piedepgina"/>
          <w:jc w:val="right"/>
        </w:pPr>
        <w:r w:rsidRPr="007A32B0">
          <w:rPr>
            <w:rFonts w:ascii="ITC Avant Garde" w:hAnsi="ITC Avant Garde"/>
            <w:sz w:val="20"/>
          </w:rPr>
          <w:fldChar w:fldCharType="begin"/>
        </w:r>
        <w:r w:rsidRPr="007A32B0">
          <w:rPr>
            <w:rFonts w:ascii="ITC Avant Garde" w:hAnsi="ITC Avant Garde"/>
            <w:sz w:val="20"/>
          </w:rPr>
          <w:instrText>PAGE   \* MERGEFORMAT</w:instrText>
        </w:r>
        <w:r w:rsidRPr="007A32B0">
          <w:rPr>
            <w:rFonts w:ascii="ITC Avant Garde" w:hAnsi="ITC Avant Garde"/>
            <w:sz w:val="20"/>
          </w:rPr>
          <w:fldChar w:fldCharType="separate"/>
        </w:r>
        <w:r w:rsidR="006D7036" w:rsidRPr="006D7036">
          <w:rPr>
            <w:rFonts w:ascii="ITC Avant Garde" w:hAnsi="ITC Avant Garde"/>
            <w:noProof/>
            <w:sz w:val="20"/>
            <w:lang w:val="es-ES"/>
          </w:rPr>
          <w:t>5</w:t>
        </w:r>
        <w:r w:rsidRPr="007A32B0">
          <w:rPr>
            <w:rFonts w:ascii="ITC Avant Garde" w:hAnsi="ITC Avant Garde"/>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FAC" w:rsidRDefault="00906FAC" w:rsidP="00C35169">
      <w:pPr>
        <w:spacing w:after="0" w:line="240" w:lineRule="auto"/>
      </w:pPr>
      <w:r>
        <w:separator/>
      </w:r>
    </w:p>
  </w:footnote>
  <w:footnote w:type="continuationSeparator" w:id="0">
    <w:p w:rsidR="00906FAC" w:rsidRDefault="00906FAC" w:rsidP="00C35169">
      <w:pPr>
        <w:spacing w:after="0" w:line="240" w:lineRule="auto"/>
      </w:pPr>
      <w:r>
        <w:continuationSeparator/>
      </w:r>
    </w:p>
  </w:footnote>
  <w:footnote w:type="continuationNotice" w:id="1">
    <w:p w:rsidR="00906FAC" w:rsidRDefault="00906F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0E80"/>
    <w:multiLevelType w:val="hybridMultilevel"/>
    <w:tmpl w:val="DDCEC77E"/>
    <w:lvl w:ilvl="0" w:tplc="B8B0A57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882630"/>
    <w:multiLevelType w:val="hybridMultilevel"/>
    <w:tmpl w:val="445CD3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195B54"/>
    <w:multiLevelType w:val="hybridMultilevel"/>
    <w:tmpl w:val="67C8E57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E131F2A"/>
    <w:multiLevelType w:val="hybridMultilevel"/>
    <w:tmpl w:val="4CDE43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FAA2514"/>
    <w:multiLevelType w:val="hybridMultilevel"/>
    <w:tmpl w:val="011C06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C523CF8"/>
    <w:multiLevelType w:val="hybridMultilevel"/>
    <w:tmpl w:val="94143C86"/>
    <w:lvl w:ilvl="0" w:tplc="B8B0A578">
      <w:start w:val="1"/>
      <w:numFmt w:val="lowerLetter"/>
      <w:lvlText w:val="%1)"/>
      <w:lvlJc w:val="left"/>
      <w:pPr>
        <w:ind w:left="840" w:hanging="4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0E44F73"/>
    <w:multiLevelType w:val="hybridMultilevel"/>
    <w:tmpl w:val="43D6EA8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6BF01ACC"/>
    <w:multiLevelType w:val="hybridMultilevel"/>
    <w:tmpl w:val="BCA4881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15:restartNumberingAfterBreak="0">
    <w:nsid w:val="6FDC2731"/>
    <w:multiLevelType w:val="hybridMultilevel"/>
    <w:tmpl w:val="58506E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7BD561C"/>
    <w:multiLevelType w:val="hybridMultilevel"/>
    <w:tmpl w:val="90987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93A7855"/>
    <w:multiLevelType w:val="hybridMultilevel"/>
    <w:tmpl w:val="327C0B24"/>
    <w:lvl w:ilvl="0" w:tplc="B8B0A578">
      <w:start w:val="1"/>
      <w:numFmt w:val="lowerLetter"/>
      <w:lvlText w:val="%1)"/>
      <w:lvlJc w:val="left"/>
      <w:pPr>
        <w:ind w:left="840" w:hanging="4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C4A04CC"/>
    <w:multiLevelType w:val="hybridMultilevel"/>
    <w:tmpl w:val="89B20F78"/>
    <w:lvl w:ilvl="0" w:tplc="080A000F">
      <w:start w:val="1"/>
      <w:numFmt w:val="decimal"/>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1"/>
  </w:num>
  <w:num w:numId="3">
    <w:abstractNumId w:val="9"/>
  </w:num>
  <w:num w:numId="4">
    <w:abstractNumId w:val="2"/>
  </w:num>
  <w:num w:numId="5">
    <w:abstractNumId w:val="5"/>
  </w:num>
  <w:num w:numId="6">
    <w:abstractNumId w:val="8"/>
  </w:num>
  <w:num w:numId="7">
    <w:abstractNumId w:val="10"/>
  </w:num>
  <w:num w:numId="8">
    <w:abstractNumId w:val="0"/>
  </w:num>
  <w:num w:numId="9">
    <w:abstractNumId w:val="6"/>
  </w:num>
  <w:num w:numId="10">
    <w:abstractNumId w:val="7"/>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visionView w:markup="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169"/>
    <w:rsid w:val="00010436"/>
    <w:rsid w:val="0002185C"/>
    <w:rsid w:val="0002629A"/>
    <w:rsid w:val="00034127"/>
    <w:rsid w:val="00034C4F"/>
    <w:rsid w:val="00042477"/>
    <w:rsid w:val="00047E6E"/>
    <w:rsid w:val="00064F34"/>
    <w:rsid w:val="000655A2"/>
    <w:rsid w:val="00075054"/>
    <w:rsid w:val="000A2B1F"/>
    <w:rsid w:val="000A560B"/>
    <w:rsid w:val="000B057E"/>
    <w:rsid w:val="000B0D8C"/>
    <w:rsid w:val="000B61DE"/>
    <w:rsid w:val="000C09B8"/>
    <w:rsid w:val="000C1949"/>
    <w:rsid w:val="000D6EBB"/>
    <w:rsid w:val="000E7C53"/>
    <w:rsid w:val="001014FB"/>
    <w:rsid w:val="00110B8D"/>
    <w:rsid w:val="00127752"/>
    <w:rsid w:val="0013355A"/>
    <w:rsid w:val="00142B90"/>
    <w:rsid w:val="001474AF"/>
    <w:rsid w:val="00152237"/>
    <w:rsid w:val="001562CB"/>
    <w:rsid w:val="001623AF"/>
    <w:rsid w:val="0016571C"/>
    <w:rsid w:val="001666DC"/>
    <w:rsid w:val="00170822"/>
    <w:rsid w:val="00184B48"/>
    <w:rsid w:val="001942C2"/>
    <w:rsid w:val="00196885"/>
    <w:rsid w:val="001A1958"/>
    <w:rsid w:val="001A2EEF"/>
    <w:rsid w:val="001B0B09"/>
    <w:rsid w:val="001B2205"/>
    <w:rsid w:val="001B640E"/>
    <w:rsid w:val="001E0000"/>
    <w:rsid w:val="001E3C1A"/>
    <w:rsid w:val="001F16EF"/>
    <w:rsid w:val="001F18FA"/>
    <w:rsid w:val="001F3FF8"/>
    <w:rsid w:val="001F44BA"/>
    <w:rsid w:val="0020547A"/>
    <w:rsid w:val="00234B4E"/>
    <w:rsid w:val="0023510C"/>
    <w:rsid w:val="00235FCE"/>
    <w:rsid w:val="00247851"/>
    <w:rsid w:val="002511F0"/>
    <w:rsid w:val="00263CBC"/>
    <w:rsid w:val="00265DD5"/>
    <w:rsid w:val="002704DD"/>
    <w:rsid w:val="002822C7"/>
    <w:rsid w:val="00291254"/>
    <w:rsid w:val="002A186E"/>
    <w:rsid w:val="002B0341"/>
    <w:rsid w:val="002C0B35"/>
    <w:rsid w:val="002C105C"/>
    <w:rsid w:val="002C6168"/>
    <w:rsid w:val="002C7857"/>
    <w:rsid w:val="002D35CA"/>
    <w:rsid w:val="002D3C8C"/>
    <w:rsid w:val="002E0CED"/>
    <w:rsid w:val="002F5659"/>
    <w:rsid w:val="0030133D"/>
    <w:rsid w:val="0030170A"/>
    <w:rsid w:val="00301EE9"/>
    <w:rsid w:val="00306E30"/>
    <w:rsid w:val="003072E0"/>
    <w:rsid w:val="00316270"/>
    <w:rsid w:val="00316906"/>
    <w:rsid w:val="003266D2"/>
    <w:rsid w:val="003301B4"/>
    <w:rsid w:val="00337005"/>
    <w:rsid w:val="00340108"/>
    <w:rsid w:val="003444A8"/>
    <w:rsid w:val="00345984"/>
    <w:rsid w:val="003541EE"/>
    <w:rsid w:val="003662DC"/>
    <w:rsid w:val="00370665"/>
    <w:rsid w:val="00370DDA"/>
    <w:rsid w:val="00372EC9"/>
    <w:rsid w:val="00384D84"/>
    <w:rsid w:val="003857F9"/>
    <w:rsid w:val="00397318"/>
    <w:rsid w:val="00397D36"/>
    <w:rsid w:val="003A47E6"/>
    <w:rsid w:val="003A4DEA"/>
    <w:rsid w:val="003A5325"/>
    <w:rsid w:val="003A69E2"/>
    <w:rsid w:val="003B4ACF"/>
    <w:rsid w:val="003C607E"/>
    <w:rsid w:val="003E608D"/>
    <w:rsid w:val="0041156E"/>
    <w:rsid w:val="00414EDA"/>
    <w:rsid w:val="004237D0"/>
    <w:rsid w:val="004247FF"/>
    <w:rsid w:val="00425AF6"/>
    <w:rsid w:val="00425FC0"/>
    <w:rsid w:val="004268B2"/>
    <w:rsid w:val="00433CD6"/>
    <w:rsid w:val="00441FAC"/>
    <w:rsid w:val="00461C4A"/>
    <w:rsid w:val="00474DD6"/>
    <w:rsid w:val="00480E04"/>
    <w:rsid w:val="00483F22"/>
    <w:rsid w:val="00485697"/>
    <w:rsid w:val="00485A37"/>
    <w:rsid w:val="004A40BA"/>
    <w:rsid w:val="004A5B60"/>
    <w:rsid w:val="004C34A5"/>
    <w:rsid w:val="004C53F6"/>
    <w:rsid w:val="004E30FD"/>
    <w:rsid w:val="004E7D45"/>
    <w:rsid w:val="004F5E0C"/>
    <w:rsid w:val="0050225F"/>
    <w:rsid w:val="0051406E"/>
    <w:rsid w:val="00514D14"/>
    <w:rsid w:val="00515595"/>
    <w:rsid w:val="005313A8"/>
    <w:rsid w:val="00532B3B"/>
    <w:rsid w:val="00544A17"/>
    <w:rsid w:val="00547F4B"/>
    <w:rsid w:val="00561E91"/>
    <w:rsid w:val="00567415"/>
    <w:rsid w:val="00573E89"/>
    <w:rsid w:val="00583EF7"/>
    <w:rsid w:val="005916F9"/>
    <w:rsid w:val="00594550"/>
    <w:rsid w:val="005C4FC2"/>
    <w:rsid w:val="005C5C0B"/>
    <w:rsid w:val="005D106E"/>
    <w:rsid w:val="005D2A29"/>
    <w:rsid w:val="005D32BF"/>
    <w:rsid w:val="005E358A"/>
    <w:rsid w:val="005F5744"/>
    <w:rsid w:val="00603A36"/>
    <w:rsid w:val="006076D9"/>
    <w:rsid w:val="00616789"/>
    <w:rsid w:val="0061749A"/>
    <w:rsid w:val="00626E02"/>
    <w:rsid w:val="006341AB"/>
    <w:rsid w:val="00641BD6"/>
    <w:rsid w:val="0065242A"/>
    <w:rsid w:val="00655EAB"/>
    <w:rsid w:val="0066428C"/>
    <w:rsid w:val="00670B29"/>
    <w:rsid w:val="0068313D"/>
    <w:rsid w:val="006833B4"/>
    <w:rsid w:val="006913ED"/>
    <w:rsid w:val="0069145A"/>
    <w:rsid w:val="00695A56"/>
    <w:rsid w:val="006A00CA"/>
    <w:rsid w:val="006A112D"/>
    <w:rsid w:val="006A1FCA"/>
    <w:rsid w:val="006A3634"/>
    <w:rsid w:val="006B0252"/>
    <w:rsid w:val="006C2864"/>
    <w:rsid w:val="006C2E2B"/>
    <w:rsid w:val="006D7036"/>
    <w:rsid w:val="006F2A25"/>
    <w:rsid w:val="006F42F8"/>
    <w:rsid w:val="006F563B"/>
    <w:rsid w:val="00700902"/>
    <w:rsid w:val="007056EB"/>
    <w:rsid w:val="00713BC4"/>
    <w:rsid w:val="00720190"/>
    <w:rsid w:val="007206E5"/>
    <w:rsid w:val="0073009A"/>
    <w:rsid w:val="00737DBB"/>
    <w:rsid w:val="00745B5D"/>
    <w:rsid w:val="00747BC4"/>
    <w:rsid w:val="007500E2"/>
    <w:rsid w:val="007521B7"/>
    <w:rsid w:val="007675B8"/>
    <w:rsid w:val="00770556"/>
    <w:rsid w:val="00771451"/>
    <w:rsid w:val="00772C10"/>
    <w:rsid w:val="00772F8B"/>
    <w:rsid w:val="00773375"/>
    <w:rsid w:val="00776683"/>
    <w:rsid w:val="00776F97"/>
    <w:rsid w:val="0078594C"/>
    <w:rsid w:val="007977D8"/>
    <w:rsid w:val="007A2129"/>
    <w:rsid w:val="007A32B0"/>
    <w:rsid w:val="007A45DD"/>
    <w:rsid w:val="007B32C3"/>
    <w:rsid w:val="007B753C"/>
    <w:rsid w:val="007C00A2"/>
    <w:rsid w:val="007C334A"/>
    <w:rsid w:val="007D2E96"/>
    <w:rsid w:val="007E5CC8"/>
    <w:rsid w:val="007F1A45"/>
    <w:rsid w:val="0080033D"/>
    <w:rsid w:val="0080334A"/>
    <w:rsid w:val="0081099C"/>
    <w:rsid w:val="00821246"/>
    <w:rsid w:val="00836334"/>
    <w:rsid w:val="008402B0"/>
    <w:rsid w:val="00850189"/>
    <w:rsid w:val="00850918"/>
    <w:rsid w:val="008512C9"/>
    <w:rsid w:val="00856F25"/>
    <w:rsid w:val="008574DF"/>
    <w:rsid w:val="0086331A"/>
    <w:rsid w:val="00866E36"/>
    <w:rsid w:val="00872FA8"/>
    <w:rsid w:val="0088308B"/>
    <w:rsid w:val="008957E9"/>
    <w:rsid w:val="008A3352"/>
    <w:rsid w:val="008A4FBE"/>
    <w:rsid w:val="008B7A21"/>
    <w:rsid w:val="008C386B"/>
    <w:rsid w:val="008D2800"/>
    <w:rsid w:val="008D789F"/>
    <w:rsid w:val="008E5F10"/>
    <w:rsid w:val="00902D49"/>
    <w:rsid w:val="00906FAC"/>
    <w:rsid w:val="00913DBF"/>
    <w:rsid w:val="00933C75"/>
    <w:rsid w:val="0093412A"/>
    <w:rsid w:val="009352BD"/>
    <w:rsid w:val="009413AA"/>
    <w:rsid w:val="00941D7E"/>
    <w:rsid w:val="009633D9"/>
    <w:rsid w:val="0096760D"/>
    <w:rsid w:val="009778A3"/>
    <w:rsid w:val="0098166E"/>
    <w:rsid w:val="00986333"/>
    <w:rsid w:val="009B0F72"/>
    <w:rsid w:val="009B2B40"/>
    <w:rsid w:val="009E567E"/>
    <w:rsid w:val="00A03B00"/>
    <w:rsid w:val="00A130E5"/>
    <w:rsid w:val="00A17907"/>
    <w:rsid w:val="00A224A9"/>
    <w:rsid w:val="00A3381D"/>
    <w:rsid w:val="00A40EBB"/>
    <w:rsid w:val="00A4146E"/>
    <w:rsid w:val="00A533D3"/>
    <w:rsid w:val="00A6546A"/>
    <w:rsid w:val="00A65D5B"/>
    <w:rsid w:val="00A65F18"/>
    <w:rsid w:val="00A9052D"/>
    <w:rsid w:val="00A906CB"/>
    <w:rsid w:val="00A91293"/>
    <w:rsid w:val="00A91D82"/>
    <w:rsid w:val="00AC0CB3"/>
    <w:rsid w:val="00AC62DB"/>
    <w:rsid w:val="00AC66A6"/>
    <w:rsid w:val="00AC6EF2"/>
    <w:rsid w:val="00AC7182"/>
    <w:rsid w:val="00AD227C"/>
    <w:rsid w:val="00AF5AB2"/>
    <w:rsid w:val="00B2790F"/>
    <w:rsid w:val="00B35B47"/>
    <w:rsid w:val="00B53B26"/>
    <w:rsid w:val="00B57440"/>
    <w:rsid w:val="00B57AC4"/>
    <w:rsid w:val="00B62A4D"/>
    <w:rsid w:val="00B74068"/>
    <w:rsid w:val="00B76CBB"/>
    <w:rsid w:val="00B81AE1"/>
    <w:rsid w:val="00B903F0"/>
    <w:rsid w:val="00B92819"/>
    <w:rsid w:val="00B93EB1"/>
    <w:rsid w:val="00B941D4"/>
    <w:rsid w:val="00BA0558"/>
    <w:rsid w:val="00BA556A"/>
    <w:rsid w:val="00BB0ED0"/>
    <w:rsid w:val="00BB23A8"/>
    <w:rsid w:val="00BB247D"/>
    <w:rsid w:val="00BB4452"/>
    <w:rsid w:val="00BD0AF8"/>
    <w:rsid w:val="00BE1556"/>
    <w:rsid w:val="00BE23EF"/>
    <w:rsid w:val="00BE4E12"/>
    <w:rsid w:val="00BF216C"/>
    <w:rsid w:val="00BF2868"/>
    <w:rsid w:val="00BF3791"/>
    <w:rsid w:val="00C2195C"/>
    <w:rsid w:val="00C24DEC"/>
    <w:rsid w:val="00C3037D"/>
    <w:rsid w:val="00C311A8"/>
    <w:rsid w:val="00C3508F"/>
    <w:rsid w:val="00C35169"/>
    <w:rsid w:val="00C35BFA"/>
    <w:rsid w:val="00C42800"/>
    <w:rsid w:val="00C56E95"/>
    <w:rsid w:val="00C6112D"/>
    <w:rsid w:val="00C6129F"/>
    <w:rsid w:val="00C77E00"/>
    <w:rsid w:val="00CA3824"/>
    <w:rsid w:val="00CA3E46"/>
    <w:rsid w:val="00CA7E0C"/>
    <w:rsid w:val="00CB3713"/>
    <w:rsid w:val="00CB5F0E"/>
    <w:rsid w:val="00CC011C"/>
    <w:rsid w:val="00CD0DF8"/>
    <w:rsid w:val="00CF6F40"/>
    <w:rsid w:val="00D0460A"/>
    <w:rsid w:val="00D05C35"/>
    <w:rsid w:val="00D10831"/>
    <w:rsid w:val="00D27C51"/>
    <w:rsid w:val="00D42736"/>
    <w:rsid w:val="00D43453"/>
    <w:rsid w:val="00D43498"/>
    <w:rsid w:val="00D444EA"/>
    <w:rsid w:val="00D50C66"/>
    <w:rsid w:val="00D57408"/>
    <w:rsid w:val="00D57DF0"/>
    <w:rsid w:val="00D61FF2"/>
    <w:rsid w:val="00D652D9"/>
    <w:rsid w:val="00D7045E"/>
    <w:rsid w:val="00D71A69"/>
    <w:rsid w:val="00D76932"/>
    <w:rsid w:val="00D77DD9"/>
    <w:rsid w:val="00D80971"/>
    <w:rsid w:val="00D87C12"/>
    <w:rsid w:val="00D93A70"/>
    <w:rsid w:val="00DA1907"/>
    <w:rsid w:val="00DA6CFA"/>
    <w:rsid w:val="00DB0774"/>
    <w:rsid w:val="00DB5D34"/>
    <w:rsid w:val="00DD2EE2"/>
    <w:rsid w:val="00DE4FD6"/>
    <w:rsid w:val="00E0498C"/>
    <w:rsid w:val="00E21F24"/>
    <w:rsid w:val="00E22616"/>
    <w:rsid w:val="00E23470"/>
    <w:rsid w:val="00E24AB3"/>
    <w:rsid w:val="00E37B0D"/>
    <w:rsid w:val="00E52690"/>
    <w:rsid w:val="00E53DF4"/>
    <w:rsid w:val="00E63040"/>
    <w:rsid w:val="00E9247F"/>
    <w:rsid w:val="00EA6B87"/>
    <w:rsid w:val="00EB55CE"/>
    <w:rsid w:val="00EC2719"/>
    <w:rsid w:val="00ED49FB"/>
    <w:rsid w:val="00ED51B6"/>
    <w:rsid w:val="00EE0625"/>
    <w:rsid w:val="00EF07A1"/>
    <w:rsid w:val="00F0633A"/>
    <w:rsid w:val="00F10BAB"/>
    <w:rsid w:val="00F13823"/>
    <w:rsid w:val="00F168B3"/>
    <w:rsid w:val="00F20156"/>
    <w:rsid w:val="00F42651"/>
    <w:rsid w:val="00F43B98"/>
    <w:rsid w:val="00F52D73"/>
    <w:rsid w:val="00F620D1"/>
    <w:rsid w:val="00FA2439"/>
    <w:rsid w:val="00FA2702"/>
    <w:rsid w:val="00FB04D2"/>
    <w:rsid w:val="00FB3639"/>
    <w:rsid w:val="00FC4613"/>
    <w:rsid w:val="00FC7E0B"/>
    <w:rsid w:val="00FD2EDF"/>
    <w:rsid w:val="00FD5D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82A13-9183-4384-8BDA-C0A95CFB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169"/>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C35169"/>
    <w:pPr>
      <w:tabs>
        <w:tab w:val="center" w:pos="4419"/>
        <w:tab w:val="right" w:pos="8838"/>
      </w:tabs>
      <w:spacing w:after="0" w:line="240" w:lineRule="auto"/>
    </w:pPr>
    <w:rPr>
      <w:rFonts w:ascii="Times New Roman" w:eastAsia="Times New Roman" w:hAnsi="Times New Roman" w:cs="Times New Roman"/>
      <w:sz w:val="24"/>
      <w:szCs w:val="20"/>
      <w:lang w:eastAsia="es-MX"/>
    </w:rPr>
  </w:style>
  <w:style w:type="character" w:customStyle="1" w:styleId="PiedepginaCar">
    <w:name w:val="Pie de página Car"/>
    <w:basedOn w:val="Fuentedeprrafopredeter"/>
    <w:link w:val="Piedepgina"/>
    <w:uiPriority w:val="99"/>
    <w:rsid w:val="00C35169"/>
    <w:rPr>
      <w:rFonts w:ascii="Times New Roman" w:eastAsia="Times New Roman" w:hAnsi="Times New Roman" w:cs="Times New Roman"/>
      <w:sz w:val="24"/>
      <w:szCs w:val="20"/>
      <w:lang w:val="es-ES_tradnl" w:eastAsia="es-MX"/>
    </w:rPr>
  </w:style>
  <w:style w:type="paragraph" w:customStyle="1" w:styleId="Default">
    <w:name w:val="Default"/>
    <w:rsid w:val="00C35169"/>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styleId="Refdecomentario">
    <w:name w:val="annotation reference"/>
    <w:uiPriority w:val="99"/>
    <w:rsid w:val="00C35169"/>
    <w:rPr>
      <w:sz w:val="16"/>
      <w:szCs w:val="16"/>
    </w:rPr>
  </w:style>
  <w:style w:type="paragraph" w:styleId="Textocomentario">
    <w:name w:val="annotation text"/>
    <w:basedOn w:val="Normal"/>
    <w:link w:val="TextocomentarioCar"/>
    <w:uiPriority w:val="99"/>
    <w:rsid w:val="00C35169"/>
    <w:pPr>
      <w:spacing w:after="0" w:line="240" w:lineRule="auto"/>
    </w:pPr>
    <w:rPr>
      <w:rFonts w:ascii="Times New Roman" w:eastAsia="Times New Roman" w:hAnsi="Times New Roman" w:cs="Times New Roman"/>
      <w:sz w:val="20"/>
      <w:szCs w:val="20"/>
      <w:lang w:eastAsia="es-MX"/>
    </w:rPr>
  </w:style>
  <w:style w:type="character" w:customStyle="1" w:styleId="TextocomentarioCar">
    <w:name w:val="Texto comentario Car"/>
    <w:basedOn w:val="Fuentedeprrafopredeter"/>
    <w:link w:val="Textocomentario"/>
    <w:uiPriority w:val="99"/>
    <w:rsid w:val="00C35169"/>
    <w:rPr>
      <w:rFonts w:ascii="Times New Roman" w:eastAsia="Times New Roman" w:hAnsi="Times New Roman" w:cs="Times New Roman"/>
      <w:sz w:val="20"/>
      <w:szCs w:val="20"/>
      <w:lang w:val="es-ES_tradnl" w:eastAsia="es-MX"/>
    </w:rPr>
  </w:style>
  <w:style w:type="paragraph" w:styleId="Textodeglobo">
    <w:name w:val="Balloon Text"/>
    <w:basedOn w:val="Normal"/>
    <w:link w:val="TextodegloboCar"/>
    <w:uiPriority w:val="99"/>
    <w:semiHidden/>
    <w:unhideWhenUsed/>
    <w:rsid w:val="00C351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5169"/>
    <w:rPr>
      <w:rFonts w:ascii="Segoe UI" w:hAnsi="Segoe UI" w:cs="Segoe UI"/>
      <w:sz w:val="18"/>
      <w:szCs w:val="18"/>
      <w:lang w:val="es-ES_tradnl"/>
    </w:rPr>
  </w:style>
  <w:style w:type="paragraph" w:styleId="Encabezado">
    <w:name w:val="header"/>
    <w:basedOn w:val="Normal"/>
    <w:link w:val="EncabezadoCar"/>
    <w:uiPriority w:val="99"/>
    <w:unhideWhenUsed/>
    <w:rsid w:val="00C351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5169"/>
    <w:rPr>
      <w:lang w:val="es-ES_tradnl"/>
    </w:rPr>
  </w:style>
  <w:style w:type="paragraph" w:styleId="Asuntodelcomentario">
    <w:name w:val="annotation subject"/>
    <w:basedOn w:val="Textocomentario"/>
    <w:next w:val="Textocomentario"/>
    <w:link w:val="AsuntodelcomentarioCar"/>
    <w:uiPriority w:val="99"/>
    <w:semiHidden/>
    <w:unhideWhenUsed/>
    <w:rsid w:val="00C35169"/>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C35169"/>
    <w:rPr>
      <w:rFonts w:ascii="Times New Roman" w:eastAsia="Times New Roman" w:hAnsi="Times New Roman" w:cs="Times New Roman"/>
      <w:b/>
      <w:bCs/>
      <w:sz w:val="20"/>
      <w:szCs w:val="20"/>
      <w:lang w:val="es-ES_tradnl" w:eastAsia="es-MX"/>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0655A2"/>
    <w:pPr>
      <w:ind w:left="720"/>
      <w:contextualSpacing/>
    </w:pPr>
    <w:rPr>
      <w:rFonts w:ascii="Calibri" w:eastAsia="Calibri" w:hAnsi="Calibri" w:cs="Times New Roman"/>
      <w:lang w:val="es-MX"/>
    </w:rPr>
  </w:style>
  <w:style w:type="paragraph" w:styleId="Revisin">
    <w:name w:val="Revision"/>
    <w:hidden/>
    <w:uiPriority w:val="99"/>
    <w:semiHidden/>
    <w:rsid w:val="00FA2702"/>
    <w:pPr>
      <w:spacing w:after="0" w:line="240" w:lineRule="auto"/>
    </w:pPr>
    <w:rPr>
      <w:lang w:val="es-ES_tradnl"/>
    </w:rPr>
  </w:style>
  <w:style w:type="paragraph" w:styleId="Textonotapie">
    <w:name w:val="footnote text"/>
    <w:basedOn w:val="Normal"/>
    <w:link w:val="TextonotapieCar"/>
    <w:uiPriority w:val="99"/>
    <w:semiHidden/>
    <w:unhideWhenUsed/>
    <w:rsid w:val="00474DD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74DD6"/>
    <w:rPr>
      <w:sz w:val="20"/>
      <w:szCs w:val="20"/>
      <w:lang w:val="es-ES_tradnl"/>
    </w:rPr>
  </w:style>
  <w:style w:type="character" w:styleId="Refdenotaalpie">
    <w:name w:val="footnote reference"/>
    <w:basedOn w:val="Fuentedeprrafopredeter"/>
    <w:uiPriority w:val="99"/>
    <w:semiHidden/>
    <w:unhideWhenUsed/>
    <w:rsid w:val="00474DD6"/>
    <w:rPr>
      <w:vertAlign w:val="superscript"/>
    </w:rPr>
  </w:style>
  <w:style w:type="character" w:styleId="Hipervnculo">
    <w:name w:val="Hyperlink"/>
    <w:basedOn w:val="Fuentedeprrafopredeter"/>
    <w:uiPriority w:val="99"/>
    <w:unhideWhenUsed/>
    <w:rsid w:val="00474DD6"/>
    <w:rPr>
      <w:color w:val="0563C1" w:themeColor="hyperlink"/>
      <w:u w:val="single"/>
    </w:rPr>
  </w:style>
  <w:style w:type="table" w:styleId="Tablaconcuadrcula">
    <w:name w:val="Table Grid"/>
    <w:basedOn w:val="Tablanormal"/>
    <w:uiPriority w:val="39"/>
    <w:rsid w:val="00370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61">
    <w:name w:val="Tabla de cuadrícula 5 oscura - Énfasis 61"/>
    <w:basedOn w:val="Tablanormal"/>
    <w:uiPriority w:val="50"/>
    <w:rsid w:val="00C77E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locked/>
    <w:rsid w:val="00A03B0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384233">
      <w:bodyDiv w:val="1"/>
      <w:marLeft w:val="0"/>
      <w:marRight w:val="0"/>
      <w:marTop w:val="0"/>
      <w:marBottom w:val="0"/>
      <w:divBdr>
        <w:top w:val="none" w:sz="0" w:space="0" w:color="auto"/>
        <w:left w:val="none" w:sz="0" w:space="0" w:color="auto"/>
        <w:bottom w:val="none" w:sz="0" w:space="0" w:color="auto"/>
        <w:right w:val="none" w:sz="0" w:space="0" w:color="auto"/>
      </w:divBdr>
      <w:divsChild>
        <w:div w:id="1739278461">
          <w:marLeft w:val="0"/>
          <w:marRight w:val="0"/>
          <w:marTop w:val="0"/>
          <w:marBottom w:val="0"/>
          <w:divBdr>
            <w:top w:val="none" w:sz="0" w:space="0" w:color="auto"/>
            <w:left w:val="none" w:sz="0" w:space="0" w:color="auto"/>
            <w:bottom w:val="none" w:sz="0" w:space="0" w:color="auto"/>
            <w:right w:val="none" w:sz="0" w:space="0" w:color="auto"/>
          </w:divBdr>
          <w:divsChild>
            <w:div w:id="999847930">
              <w:marLeft w:val="0"/>
              <w:marRight w:val="0"/>
              <w:marTop w:val="0"/>
              <w:marBottom w:val="0"/>
              <w:divBdr>
                <w:top w:val="none" w:sz="0" w:space="0" w:color="auto"/>
                <w:left w:val="none" w:sz="0" w:space="0" w:color="auto"/>
                <w:bottom w:val="none" w:sz="0" w:space="0" w:color="auto"/>
                <w:right w:val="none" w:sz="0" w:space="0" w:color="auto"/>
              </w:divBdr>
              <w:divsChild>
                <w:div w:id="20931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756963">
          <w:marLeft w:val="0"/>
          <w:marRight w:val="0"/>
          <w:marTop w:val="0"/>
          <w:marBottom w:val="0"/>
          <w:divBdr>
            <w:top w:val="none" w:sz="0" w:space="0" w:color="auto"/>
            <w:left w:val="none" w:sz="0" w:space="0" w:color="auto"/>
            <w:bottom w:val="none" w:sz="0" w:space="0" w:color="auto"/>
            <w:right w:val="none" w:sz="0" w:space="0" w:color="auto"/>
          </w:divBdr>
          <w:divsChild>
            <w:div w:id="12951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00888">
      <w:bodyDiv w:val="1"/>
      <w:marLeft w:val="0"/>
      <w:marRight w:val="0"/>
      <w:marTop w:val="0"/>
      <w:marBottom w:val="0"/>
      <w:divBdr>
        <w:top w:val="none" w:sz="0" w:space="0" w:color="auto"/>
        <w:left w:val="none" w:sz="0" w:space="0" w:color="auto"/>
        <w:bottom w:val="none" w:sz="0" w:space="0" w:color="auto"/>
        <w:right w:val="none" w:sz="0" w:space="0" w:color="auto"/>
      </w:divBdr>
      <w:divsChild>
        <w:div w:id="1932153883">
          <w:marLeft w:val="0"/>
          <w:marRight w:val="0"/>
          <w:marTop w:val="0"/>
          <w:marBottom w:val="0"/>
          <w:divBdr>
            <w:top w:val="none" w:sz="0" w:space="0" w:color="auto"/>
            <w:left w:val="none" w:sz="0" w:space="0" w:color="auto"/>
            <w:bottom w:val="none" w:sz="0" w:space="0" w:color="auto"/>
            <w:right w:val="none" w:sz="0" w:space="0" w:color="auto"/>
          </w:divBdr>
          <w:divsChild>
            <w:div w:id="217328059">
              <w:marLeft w:val="0"/>
              <w:marRight w:val="0"/>
              <w:marTop w:val="0"/>
              <w:marBottom w:val="0"/>
              <w:divBdr>
                <w:top w:val="none" w:sz="0" w:space="0" w:color="auto"/>
                <w:left w:val="none" w:sz="0" w:space="0" w:color="auto"/>
                <w:bottom w:val="none" w:sz="0" w:space="0" w:color="auto"/>
                <w:right w:val="none" w:sz="0" w:space="0" w:color="auto"/>
              </w:divBdr>
              <w:divsChild>
                <w:div w:id="1060590100">
                  <w:marLeft w:val="0"/>
                  <w:marRight w:val="0"/>
                  <w:marTop w:val="0"/>
                  <w:marBottom w:val="0"/>
                  <w:divBdr>
                    <w:top w:val="none" w:sz="0" w:space="0" w:color="auto"/>
                    <w:left w:val="none" w:sz="0" w:space="0" w:color="auto"/>
                    <w:bottom w:val="none" w:sz="0" w:space="0" w:color="auto"/>
                    <w:right w:val="none" w:sz="0" w:space="0" w:color="auto"/>
                  </w:divBdr>
                </w:div>
                <w:div w:id="1804152698">
                  <w:marLeft w:val="0"/>
                  <w:marRight w:val="0"/>
                  <w:marTop w:val="0"/>
                  <w:marBottom w:val="0"/>
                  <w:divBdr>
                    <w:top w:val="none" w:sz="0" w:space="0" w:color="auto"/>
                    <w:left w:val="none" w:sz="0" w:space="0" w:color="auto"/>
                    <w:bottom w:val="none" w:sz="0" w:space="0" w:color="auto"/>
                    <w:right w:val="none" w:sz="0" w:space="0" w:color="auto"/>
                  </w:divBdr>
                </w:div>
                <w:div w:id="27949158">
                  <w:marLeft w:val="0"/>
                  <w:marRight w:val="0"/>
                  <w:marTop w:val="0"/>
                  <w:marBottom w:val="0"/>
                  <w:divBdr>
                    <w:top w:val="none" w:sz="0" w:space="0" w:color="auto"/>
                    <w:left w:val="none" w:sz="0" w:space="0" w:color="auto"/>
                    <w:bottom w:val="none" w:sz="0" w:space="0" w:color="auto"/>
                    <w:right w:val="none" w:sz="0" w:space="0" w:color="auto"/>
                  </w:divBdr>
                </w:div>
                <w:div w:id="2332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168176">
      <w:bodyDiv w:val="1"/>
      <w:marLeft w:val="0"/>
      <w:marRight w:val="0"/>
      <w:marTop w:val="0"/>
      <w:marBottom w:val="0"/>
      <w:divBdr>
        <w:top w:val="none" w:sz="0" w:space="0" w:color="auto"/>
        <w:left w:val="none" w:sz="0" w:space="0" w:color="auto"/>
        <w:bottom w:val="none" w:sz="0" w:space="0" w:color="auto"/>
        <w:right w:val="none" w:sz="0" w:space="0" w:color="auto"/>
      </w:divBdr>
    </w:div>
    <w:div w:id="765274555">
      <w:bodyDiv w:val="1"/>
      <w:marLeft w:val="0"/>
      <w:marRight w:val="0"/>
      <w:marTop w:val="0"/>
      <w:marBottom w:val="0"/>
      <w:divBdr>
        <w:top w:val="none" w:sz="0" w:space="0" w:color="auto"/>
        <w:left w:val="none" w:sz="0" w:space="0" w:color="auto"/>
        <w:bottom w:val="none" w:sz="0" w:space="0" w:color="auto"/>
        <w:right w:val="none" w:sz="0" w:space="0" w:color="auto"/>
      </w:divBdr>
      <w:divsChild>
        <w:div w:id="1732539788">
          <w:marLeft w:val="0"/>
          <w:marRight w:val="0"/>
          <w:marTop w:val="0"/>
          <w:marBottom w:val="0"/>
          <w:divBdr>
            <w:top w:val="none" w:sz="0" w:space="0" w:color="auto"/>
            <w:left w:val="none" w:sz="0" w:space="0" w:color="auto"/>
            <w:bottom w:val="none" w:sz="0" w:space="0" w:color="auto"/>
            <w:right w:val="none" w:sz="0" w:space="0" w:color="auto"/>
          </w:divBdr>
          <w:divsChild>
            <w:div w:id="2038463519">
              <w:marLeft w:val="0"/>
              <w:marRight w:val="0"/>
              <w:marTop w:val="0"/>
              <w:marBottom w:val="0"/>
              <w:divBdr>
                <w:top w:val="none" w:sz="0" w:space="0" w:color="auto"/>
                <w:left w:val="none" w:sz="0" w:space="0" w:color="auto"/>
                <w:bottom w:val="none" w:sz="0" w:space="0" w:color="auto"/>
                <w:right w:val="none" w:sz="0" w:space="0" w:color="auto"/>
              </w:divBdr>
              <w:divsChild>
                <w:div w:id="13405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85929">
          <w:marLeft w:val="0"/>
          <w:marRight w:val="0"/>
          <w:marTop w:val="0"/>
          <w:marBottom w:val="0"/>
          <w:divBdr>
            <w:top w:val="none" w:sz="0" w:space="0" w:color="auto"/>
            <w:left w:val="none" w:sz="0" w:space="0" w:color="auto"/>
            <w:bottom w:val="none" w:sz="0" w:space="0" w:color="auto"/>
            <w:right w:val="none" w:sz="0" w:space="0" w:color="auto"/>
          </w:divBdr>
          <w:divsChild>
            <w:div w:id="3331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7802">
      <w:bodyDiv w:val="1"/>
      <w:marLeft w:val="0"/>
      <w:marRight w:val="0"/>
      <w:marTop w:val="0"/>
      <w:marBottom w:val="0"/>
      <w:divBdr>
        <w:top w:val="none" w:sz="0" w:space="0" w:color="auto"/>
        <w:left w:val="none" w:sz="0" w:space="0" w:color="auto"/>
        <w:bottom w:val="none" w:sz="0" w:space="0" w:color="auto"/>
        <w:right w:val="none" w:sz="0" w:space="0" w:color="auto"/>
      </w:divBdr>
    </w:div>
    <w:div w:id="1307396724">
      <w:bodyDiv w:val="1"/>
      <w:marLeft w:val="0"/>
      <w:marRight w:val="0"/>
      <w:marTop w:val="0"/>
      <w:marBottom w:val="0"/>
      <w:divBdr>
        <w:top w:val="none" w:sz="0" w:space="0" w:color="auto"/>
        <w:left w:val="none" w:sz="0" w:space="0" w:color="auto"/>
        <w:bottom w:val="none" w:sz="0" w:space="0" w:color="auto"/>
        <w:right w:val="none" w:sz="0" w:space="0" w:color="auto"/>
      </w:divBdr>
    </w:div>
    <w:div w:id="2066560129">
      <w:bodyDiv w:val="1"/>
      <w:marLeft w:val="0"/>
      <w:marRight w:val="0"/>
      <w:marTop w:val="0"/>
      <w:marBottom w:val="0"/>
      <w:divBdr>
        <w:top w:val="none" w:sz="0" w:space="0" w:color="auto"/>
        <w:left w:val="none" w:sz="0" w:space="0" w:color="auto"/>
        <w:bottom w:val="none" w:sz="0" w:space="0" w:color="auto"/>
        <w:right w:val="none" w:sz="0" w:space="0" w:color="auto"/>
      </w:divBdr>
      <w:divsChild>
        <w:div w:id="1672223255">
          <w:marLeft w:val="0"/>
          <w:marRight w:val="0"/>
          <w:marTop w:val="240"/>
          <w:marBottom w:val="0"/>
          <w:divBdr>
            <w:top w:val="none" w:sz="0" w:space="0" w:color="auto"/>
            <w:left w:val="none" w:sz="0" w:space="0" w:color="auto"/>
            <w:bottom w:val="none" w:sz="0" w:space="0" w:color="auto"/>
            <w:right w:val="none" w:sz="0" w:space="0" w:color="auto"/>
          </w:divBdr>
          <w:divsChild>
            <w:div w:id="1930311859">
              <w:marLeft w:val="0"/>
              <w:marRight w:val="0"/>
              <w:marTop w:val="0"/>
              <w:marBottom w:val="0"/>
              <w:divBdr>
                <w:top w:val="none" w:sz="0" w:space="0" w:color="auto"/>
                <w:left w:val="none" w:sz="0" w:space="0" w:color="auto"/>
                <w:bottom w:val="none" w:sz="0" w:space="0" w:color="auto"/>
                <w:right w:val="none" w:sz="0" w:space="0" w:color="auto"/>
              </w:divBdr>
              <w:divsChild>
                <w:div w:id="2088380335">
                  <w:marLeft w:val="0"/>
                  <w:marRight w:val="0"/>
                  <w:marTop w:val="0"/>
                  <w:marBottom w:val="0"/>
                  <w:divBdr>
                    <w:top w:val="none" w:sz="0" w:space="0" w:color="auto"/>
                    <w:left w:val="none" w:sz="0" w:space="0" w:color="auto"/>
                    <w:bottom w:val="none" w:sz="0" w:space="0" w:color="auto"/>
                    <w:right w:val="none" w:sz="0" w:space="0" w:color="auto"/>
                  </w:divBdr>
                  <w:divsChild>
                    <w:div w:id="2140104700">
                      <w:marLeft w:val="0"/>
                      <w:marRight w:val="0"/>
                      <w:marTop w:val="0"/>
                      <w:marBottom w:val="101"/>
                      <w:divBdr>
                        <w:top w:val="none" w:sz="0" w:space="0" w:color="auto"/>
                        <w:left w:val="none" w:sz="0" w:space="0" w:color="auto"/>
                        <w:bottom w:val="none" w:sz="0" w:space="0" w:color="auto"/>
                        <w:right w:val="none" w:sz="0" w:space="0" w:color="auto"/>
                      </w:divBdr>
                    </w:div>
                    <w:div w:id="1491022951">
                      <w:marLeft w:val="0"/>
                      <w:marRight w:val="0"/>
                      <w:marTop w:val="0"/>
                      <w:marBottom w:val="101"/>
                      <w:divBdr>
                        <w:top w:val="none" w:sz="0" w:space="0" w:color="auto"/>
                        <w:left w:val="none" w:sz="0" w:space="0" w:color="auto"/>
                        <w:bottom w:val="none" w:sz="0" w:space="0" w:color="auto"/>
                        <w:right w:val="none" w:sz="0" w:space="0" w:color="auto"/>
                      </w:divBdr>
                    </w:div>
                    <w:div w:id="1548561714">
                      <w:marLeft w:val="0"/>
                      <w:marRight w:val="0"/>
                      <w:marTop w:val="0"/>
                      <w:marBottom w:val="101"/>
                      <w:divBdr>
                        <w:top w:val="none" w:sz="0" w:space="0" w:color="auto"/>
                        <w:left w:val="none" w:sz="0" w:space="0" w:color="auto"/>
                        <w:bottom w:val="none" w:sz="0" w:space="0" w:color="auto"/>
                        <w:right w:val="none" w:sz="0" w:space="0" w:color="auto"/>
                      </w:divBdr>
                    </w:div>
                    <w:div w:id="1722828658">
                      <w:marLeft w:val="0"/>
                      <w:marRight w:val="0"/>
                      <w:marTop w:val="0"/>
                      <w:marBottom w:val="101"/>
                      <w:divBdr>
                        <w:top w:val="none" w:sz="0" w:space="0" w:color="auto"/>
                        <w:left w:val="none" w:sz="0" w:space="0" w:color="auto"/>
                        <w:bottom w:val="none" w:sz="0" w:space="0" w:color="auto"/>
                        <w:right w:val="none" w:sz="0" w:space="0" w:color="auto"/>
                      </w:divBdr>
                    </w:div>
                    <w:div w:id="188798514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13425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268204E95A2584A8D13F50E498A6FD9" ma:contentTypeVersion="0" ma:contentTypeDescription="Crear nuevo documento." ma:contentTypeScope="" ma:versionID="7d36375f07255bf7ff543d38be082768">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Title.XSL" StyleName="GOST - Orden de título" Version="2003"/>
</file>

<file path=customXml/itemProps1.xml><?xml version="1.0" encoding="utf-8"?>
<ds:datastoreItem xmlns:ds="http://schemas.openxmlformats.org/officeDocument/2006/customXml" ds:itemID="{5E9E0158-99DF-4B29-B779-3BEDCFBC81DD}">
  <ds:schemaRefs>
    <ds:schemaRef ds:uri="http://purl.org/dc/dcmitype/"/>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5561459E-0C3D-4E23-81D6-D190FA312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445466B-6013-46D2-938C-4DD4887CE7E4}">
  <ds:schemaRefs>
    <ds:schemaRef ds:uri="http://schemas.microsoft.com/sharepoint/v3/contenttype/forms"/>
  </ds:schemaRefs>
</ds:datastoreItem>
</file>

<file path=customXml/itemProps4.xml><?xml version="1.0" encoding="utf-8"?>
<ds:datastoreItem xmlns:ds="http://schemas.openxmlformats.org/officeDocument/2006/customXml" ds:itemID="{2F8BB774-A45F-4B74-AE4C-C675A66EB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1780</Words>
  <Characters>9791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Vazquez Loyo</dc:creator>
  <cp:keywords/>
  <dc:description/>
  <cp:lastModifiedBy>Cynthia Fabiola Dominguez Jacobo</cp:lastModifiedBy>
  <cp:revision>2</cp:revision>
  <cp:lastPrinted>2018-03-07T18:15:00Z</cp:lastPrinted>
  <dcterms:created xsi:type="dcterms:W3CDTF">2019-01-23T22:42:00Z</dcterms:created>
  <dcterms:modified xsi:type="dcterms:W3CDTF">2019-01-23T22:42:00Z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0x0101005268204E95A2584A8D13F50E498A6FD9</vt:lpwstr>
  </property>
  <property fmtid="{D5CDD505-2E9C-101B-9397-08002B2CF9AE}" pid="3" name="Order">
    <vt:r8>2600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