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B683" w14:textId="77777777" w:rsidR="00A62568" w:rsidRDefault="00A62568" w:rsidP="00A62568">
      <w:pPr>
        <w:pStyle w:val="Prrafodelista"/>
        <w:widowControl w:val="0"/>
        <w:spacing w:line="240" w:lineRule="auto"/>
        <w:ind w:left="708" w:hanging="282"/>
        <w:jc w:val="center"/>
        <w:rPr>
          <w:rFonts w:ascii="ITC Avant Garde" w:hAnsi="ITC Avant Garde"/>
          <w:b/>
          <w:lang w:val="es-ES_tradnl"/>
        </w:rPr>
      </w:pPr>
      <w:bookmarkStart w:id="0" w:name="_GoBack"/>
      <w:bookmarkEnd w:id="0"/>
      <w:r w:rsidRPr="00976654">
        <w:rPr>
          <w:rFonts w:ascii="ITC Avant Garde" w:hAnsi="ITC Avant Garde"/>
          <w:b/>
          <w:lang w:val="es-ES_tradnl"/>
        </w:rPr>
        <w:t xml:space="preserve">ANEXO </w:t>
      </w:r>
      <w:r>
        <w:rPr>
          <w:rFonts w:ascii="ITC Avant Garde" w:hAnsi="ITC Avant Garde"/>
          <w:b/>
          <w:lang w:val="es-ES_tradnl"/>
        </w:rPr>
        <w:t>III</w:t>
      </w:r>
    </w:p>
    <w:p w14:paraId="41D19A41" w14:textId="77777777" w:rsidR="00A62568" w:rsidRPr="00976654" w:rsidRDefault="00A62568" w:rsidP="00A62568">
      <w:pPr>
        <w:pStyle w:val="Prrafodelista"/>
        <w:widowControl w:val="0"/>
        <w:spacing w:line="240" w:lineRule="auto"/>
        <w:ind w:left="708" w:hanging="282"/>
        <w:jc w:val="center"/>
        <w:rPr>
          <w:rFonts w:ascii="ITC Avant Garde" w:hAnsi="ITC Avant Garde"/>
          <w:b/>
          <w:lang w:val="es-ES_tradnl"/>
        </w:rPr>
      </w:pPr>
      <w:r>
        <w:rPr>
          <w:rFonts w:ascii="ITC Avant Garde" w:hAnsi="ITC Avant Garde"/>
          <w:b/>
          <w:lang w:val="es-ES_tradnl"/>
        </w:rPr>
        <w:t>FORMATO DEL INFORME DEL AUDITOR</w:t>
      </w:r>
    </w:p>
    <w:p w14:paraId="21178136" w14:textId="77777777" w:rsidR="00A62568" w:rsidRDefault="00A62568" w:rsidP="00A62568">
      <w:pPr>
        <w:jc w:val="both"/>
        <w:rPr>
          <w:rFonts w:ascii="ITC Avant Garde" w:hAnsi="ITC Avant Garde"/>
        </w:rPr>
      </w:pPr>
    </w:p>
    <w:p w14:paraId="1DC4C70A" w14:textId="77777777" w:rsidR="00A62568" w:rsidRDefault="00A62568" w:rsidP="00A62568">
      <w:pPr>
        <w:jc w:val="both"/>
        <w:rPr>
          <w:rFonts w:ascii="ITC Avant Garde" w:hAnsi="ITC Avant Garde" w:cs="Segoe UI"/>
          <w:lang w:val="es-ES_tradnl"/>
        </w:rPr>
      </w:pPr>
    </w:p>
    <w:p w14:paraId="21149CFB" w14:textId="77777777" w:rsidR="00A62568" w:rsidRPr="006E442D" w:rsidRDefault="00A62568" w:rsidP="00A62568">
      <w:pPr>
        <w:pStyle w:val="Sinespaciado"/>
        <w:spacing w:line="276" w:lineRule="auto"/>
        <w:jc w:val="both"/>
        <w:outlineLvl w:val="0"/>
        <w:rPr>
          <w:rFonts w:ascii="ITC Avant Garde" w:hAnsi="ITC Avant Garde" w:cs="Tahoma"/>
          <w:b/>
          <w:u w:val="single"/>
          <w:lang w:val="es-ES_tradnl"/>
        </w:rPr>
      </w:pPr>
      <w:r>
        <w:rPr>
          <w:rFonts w:ascii="ITC Avant Garde" w:hAnsi="ITC Avant Garde" w:cs="Tahoma"/>
          <w:b/>
          <w:u w:val="single"/>
          <w:lang w:val="es-ES_tradnl"/>
        </w:rPr>
        <w:t>Instructivo de llenado</w:t>
      </w:r>
      <w:r w:rsidRPr="006E442D">
        <w:rPr>
          <w:rFonts w:ascii="ITC Avant Garde" w:hAnsi="ITC Avant Garde" w:cs="Tahoma"/>
          <w:b/>
          <w:u w:val="single"/>
          <w:lang w:val="es-ES_tradnl"/>
        </w:rPr>
        <w:t>:</w:t>
      </w:r>
    </w:p>
    <w:p w14:paraId="2ED71490" w14:textId="77777777" w:rsidR="00A62568" w:rsidRPr="006E442D" w:rsidRDefault="00A62568" w:rsidP="00A62568">
      <w:pPr>
        <w:jc w:val="both"/>
        <w:rPr>
          <w:rFonts w:ascii="ITC Avant Garde" w:hAnsi="ITC Avant Garde" w:cs="Tahoma"/>
          <w:lang w:val="es-ES_tradnl"/>
        </w:rPr>
      </w:pPr>
    </w:p>
    <w:p w14:paraId="0C3CA7D1" w14:textId="77777777" w:rsidR="00A62568" w:rsidRPr="006E442D" w:rsidRDefault="00A62568" w:rsidP="00A62568">
      <w:pPr>
        <w:jc w:val="both"/>
        <w:rPr>
          <w:rFonts w:ascii="ITC Avant Garde" w:hAnsi="ITC Avant Garde" w:cs="Tahoma"/>
          <w:lang w:val="es-ES_tradnl"/>
        </w:rPr>
      </w:pPr>
      <w:r>
        <w:rPr>
          <w:rFonts w:ascii="ITC Avant Garde" w:hAnsi="ITC Avant Garde" w:cs="Tahoma"/>
          <w:lang w:val="es-ES_tradnl"/>
        </w:rPr>
        <w:t>El i</w:t>
      </w:r>
      <w:r w:rsidRPr="006E442D">
        <w:rPr>
          <w:rFonts w:ascii="ITC Avant Garde" w:hAnsi="ITC Avant Garde" w:cs="Tahoma"/>
          <w:lang w:val="es-ES_tradnl"/>
        </w:rPr>
        <w:t>nstructivo establece y describe los elementos deter</w:t>
      </w:r>
      <w:r>
        <w:rPr>
          <w:rFonts w:ascii="ITC Avant Garde" w:hAnsi="ITC Avant Garde" w:cs="Tahoma"/>
          <w:lang w:val="es-ES_tradnl"/>
        </w:rPr>
        <w:t xml:space="preserve">minados por el Instituto para la entrega del informe elaborado por el auditor al que hace referencia el </w:t>
      </w:r>
      <w:r w:rsidRPr="00436237">
        <w:rPr>
          <w:rFonts w:ascii="ITC Avant Garde" w:hAnsi="ITC Avant Garde" w:cs="Tahoma"/>
          <w:lang w:val="es-ES_tradnl"/>
        </w:rPr>
        <w:t>numeral 5, fracción I.</w:t>
      </w:r>
    </w:p>
    <w:p w14:paraId="0DFEA5B1" w14:textId="77777777" w:rsidR="00A62568" w:rsidRDefault="00A62568" w:rsidP="00A62568">
      <w:pPr>
        <w:jc w:val="both"/>
        <w:rPr>
          <w:rFonts w:ascii="ITC Avant Garde" w:hAnsi="ITC Avant Garde" w:cs="Segoe UI"/>
          <w:lang w:val="es-ES_tradnl"/>
        </w:rPr>
      </w:pPr>
    </w:p>
    <w:p w14:paraId="7D272394" w14:textId="77777777" w:rsidR="00A62568" w:rsidRPr="006E442D" w:rsidRDefault="00A62568" w:rsidP="00A62568">
      <w:pPr>
        <w:pStyle w:val="Sinespaciado"/>
        <w:numPr>
          <w:ilvl w:val="0"/>
          <w:numId w:val="1"/>
        </w:numPr>
        <w:spacing w:line="276" w:lineRule="auto"/>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w:t>
      </w:r>
    </w:p>
    <w:p w14:paraId="618CF261" w14:textId="77777777" w:rsidR="00A62568" w:rsidRDefault="00A62568" w:rsidP="00A62568">
      <w:pPr>
        <w:ind w:left="284"/>
        <w:jc w:val="both"/>
        <w:rPr>
          <w:rFonts w:ascii="ITC Avant Garde" w:hAnsi="ITC Avant Garde" w:cs="Tahoma"/>
          <w:lang w:val="es-ES_tradnl"/>
        </w:rPr>
      </w:pPr>
      <w:r>
        <w:rPr>
          <w:rFonts w:ascii="ITC Avant Garde" w:hAnsi="ITC Avant Garde"/>
          <w:lang w:val="es-ES_tradnl"/>
        </w:rPr>
        <w:t>L</w:t>
      </w:r>
      <w:r>
        <w:rPr>
          <w:rFonts w:ascii="ITC Avant Garde" w:hAnsi="ITC Avant Garde"/>
        </w:rPr>
        <w:t xml:space="preserve">os </w:t>
      </w:r>
      <w:r>
        <w:rPr>
          <w:rFonts w:ascii="ITC Avant Garde" w:hAnsi="ITC Avant Garde"/>
          <w:color w:val="auto"/>
          <w:lang w:val="es-ES_tradnl"/>
        </w:rPr>
        <w:t>PSMSG</w:t>
      </w:r>
      <w:r w:rsidRPr="003654FC">
        <w:rPr>
          <w:rFonts w:ascii="ITC Avant Garde" w:hAnsi="ITC Avant Garde"/>
          <w:color w:val="auto"/>
          <w:lang w:val="es-ES_tradnl"/>
        </w:rPr>
        <w:t xml:space="preserve"> </w:t>
      </w:r>
      <w:r>
        <w:rPr>
          <w:rFonts w:ascii="ITC Avant Garde" w:hAnsi="ITC Avant Garde" w:cs="Tahoma"/>
          <w:lang w:val="es-ES_tradnl"/>
        </w:rPr>
        <w:t>deberán entregar la siguiente</w:t>
      </w:r>
      <w:r w:rsidRPr="006E442D">
        <w:rPr>
          <w:rFonts w:ascii="ITC Avant Garde" w:hAnsi="ITC Avant Garde" w:cs="Tahoma"/>
          <w:lang w:val="es-ES_tradnl"/>
        </w:rPr>
        <w:t xml:space="preserve"> información de acuerdo con las definiciones, criterios e indicaciones establecidos en </w:t>
      </w:r>
      <w:r>
        <w:rPr>
          <w:rFonts w:ascii="ITC Avant Garde" w:hAnsi="ITC Avant Garde" w:cs="Tahoma"/>
          <w:lang w:val="es-ES_tradnl"/>
        </w:rPr>
        <w:t>la presente Metodología.</w:t>
      </w:r>
      <w:r w:rsidRPr="006E442D">
        <w:rPr>
          <w:rFonts w:ascii="ITC Avant Garde" w:hAnsi="ITC Avant Garde" w:cs="Tahoma"/>
          <w:lang w:val="es-ES_tradnl"/>
        </w:rPr>
        <w:t xml:space="preserve"> </w:t>
      </w:r>
    </w:p>
    <w:p w14:paraId="773B58C3" w14:textId="77777777" w:rsidR="00A62568" w:rsidRDefault="00A62568" w:rsidP="00A62568">
      <w:pPr>
        <w:ind w:left="284"/>
        <w:jc w:val="both"/>
        <w:rPr>
          <w:rFonts w:ascii="ITC Avant Garde" w:hAnsi="ITC Avant Garde" w:cs="Tahoma"/>
          <w:lang w:val="es-ES_tradnl"/>
        </w:rPr>
      </w:pPr>
      <w:r w:rsidRPr="00450A5F">
        <w:rPr>
          <w:rFonts w:ascii="ITC Avant Garde" w:hAnsi="ITC Avant Garde" w:cs="Tahoma"/>
          <w:lang w:val="es-ES_tradnl"/>
        </w:rPr>
        <w:t xml:space="preserve">Es responsabilidad única del </w:t>
      </w:r>
      <w:r>
        <w:rPr>
          <w:rFonts w:ascii="ITC Avant Garde" w:hAnsi="ITC Avant Garde" w:cs="Tahoma"/>
          <w:lang w:val="es-ES_tradnl"/>
        </w:rPr>
        <w:t>a</w:t>
      </w:r>
      <w:r w:rsidRPr="00450A5F">
        <w:rPr>
          <w:rFonts w:ascii="ITC Avant Garde" w:hAnsi="ITC Avant Garde" w:cs="Tahoma"/>
          <w:lang w:val="es-ES_tradnl"/>
        </w:rPr>
        <w:t>uditor: supervisar y avalar la ejecución de la metodología y la elaboración de</w:t>
      </w:r>
      <w:r>
        <w:rPr>
          <w:rFonts w:ascii="ITC Avant Garde" w:hAnsi="ITC Avant Garde" w:cs="Tahoma"/>
          <w:lang w:val="es-ES_tradnl"/>
        </w:rPr>
        <w:t>l reporte auditado desarrollado</w:t>
      </w:r>
      <w:r w:rsidRPr="00450A5F">
        <w:rPr>
          <w:rFonts w:ascii="ITC Avant Garde" w:hAnsi="ITC Avant Garde" w:cs="Tahoma"/>
          <w:lang w:val="es-ES_tradnl"/>
        </w:rPr>
        <w:t xml:space="preserve"> por el PSMSG</w:t>
      </w:r>
      <w:r>
        <w:rPr>
          <w:rFonts w:ascii="ITC Avant Garde" w:hAnsi="ITC Avant Garde" w:cs="Tahoma"/>
          <w:lang w:val="es-ES_tradnl"/>
        </w:rPr>
        <w:t xml:space="preserve"> correspondiente.</w:t>
      </w:r>
    </w:p>
    <w:p w14:paraId="3AC935C3" w14:textId="77777777" w:rsidR="00A62568" w:rsidRDefault="00A62568" w:rsidP="00A62568">
      <w:pPr>
        <w:ind w:left="284"/>
        <w:jc w:val="both"/>
        <w:rPr>
          <w:rFonts w:ascii="ITC Avant Garde" w:hAnsi="ITC Avant Garde" w:cs="Tahoma"/>
          <w:lang w:val="es-ES_tradnl"/>
        </w:rPr>
      </w:pPr>
    </w:p>
    <w:p w14:paraId="54205CAB" w14:textId="77777777" w:rsidR="00A62568" w:rsidRPr="006E442D" w:rsidRDefault="00A62568" w:rsidP="00A62568">
      <w:pPr>
        <w:pStyle w:val="Sinespaciado"/>
        <w:numPr>
          <w:ilvl w:val="0"/>
          <w:numId w:val="1"/>
        </w:numPr>
        <w:spacing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 xml:space="preserve">Reglas para llenar el </w:t>
      </w:r>
      <w:r>
        <w:rPr>
          <w:rFonts w:ascii="ITC Avant Garde" w:hAnsi="ITC Avant Garde" w:cs="Tahoma"/>
          <w:b/>
          <w:lang w:val="es-ES_tradnl"/>
        </w:rPr>
        <w:t>F</w:t>
      </w:r>
      <w:r w:rsidRPr="006E442D">
        <w:rPr>
          <w:rFonts w:ascii="ITC Avant Garde" w:hAnsi="ITC Avant Garde" w:cs="Tahoma"/>
          <w:b/>
          <w:lang w:val="es-ES_tradnl"/>
        </w:rPr>
        <w:t>ormato de información:</w:t>
      </w:r>
    </w:p>
    <w:p w14:paraId="788FFC5C" w14:textId="7F02CE07" w:rsidR="00A62568" w:rsidRPr="006E442D" w:rsidRDefault="00A62568" w:rsidP="00A62568">
      <w:pPr>
        <w:pStyle w:val="Sinespaciado"/>
        <w:spacing w:line="276" w:lineRule="auto"/>
        <w:ind w:left="284"/>
        <w:jc w:val="both"/>
        <w:rPr>
          <w:rFonts w:ascii="ITC Avant Garde" w:hAnsi="ITC Avant Garde" w:cs="Tahoma"/>
          <w:lang w:val="es-ES_tradnl"/>
        </w:rPr>
      </w:pPr>
      <w:r>
        <w:rPr>
          <w:rFonts w:ascii="ITC Avant Garde" w:hAnsi="ITC Avant Garde" w:cs="Tahoma"/>
          <w:lang w:val="es-ES_tradnl"/>
        </w:rPr>
        <w:t>El formato de</w:t>
      </w:r>
      <w:r w:rsidRPr="006E442D">
        <w:rPr>
          <w:rFonts w:ascii="ITC Avant Garde" w:hAnsi="ITC Avant Garde" w:cs="Tahoma"/>
          <w:lang w:val="es-ES_tradnl"/>
        </w:rPr>
        <w:t xml:space="preserve"> información se entregará mediante un archivo </w:t>
      </w:r>
      <w:r>
        <w:rPr>
          <w:rFonts w:ascii="ITC Avant Garde" w:hAnsi="ITC Avant Garde" w:cs="Tahoma"/>
          <w:lang w:val="es-ES_tradnl"/>
        </w:rPr>
        <w:t>PDF</w:t>
      </w:r>
      <w:r w:rsidRPr="006E442D">
        <w:rPr>
          <w:rFonts w:ascii="ITC Avant Garde" w:hAnsi="ITC Avant Garde" w:cs="Tahoma"/>
          <w:lang w:val="es-ES_tradnl"/>
        </w:rPr>
        <w:t xml:space="preserve"> </w:t>
      </w:r>
      <w:r>
        <w:rPr>
          <w:rFonts w:ascii="ITC Avant Garde" w:hAnsi="ITC Avant Garde" w:cs="Tahoma"/>
          <w:lang w:val="es-ES_tradnl"/>
        </w:rPr>
        <w:t>editable</w:t>
      </w:r>
      <w:r w:rsidRPr="006E442D">
        <w:rPr>
          <w:rFonts w:ascii="ITC Avant Garde" w:hAnsi="ITC Avant Garde" w:cs="Tahoma"/>
          <w:lang w:val="es-ES_tradnl"/>
        </w:rPr>
        <w:t xml:space="preserve"> </w:t>
      </w:r>
      <w:r>
        <w:rPr>
          <w:rFonts w:ascii="ITC Avant Garde" w:hAnsi="ITC Avant Garde" w:cs="Tahoma"/>
          <w:lang w:val="es-ES_tradnl"/>
        </w:rPr>
        <w:t xml:space="preserve">y </w:t>
      </w:r>
      <w:r w:rsidRPr="006E442D">
        <w:rPr>
          <w:rFonts w:ascii="ITC Avant Garde" w:hAnsi="ITC Avant Garde" w:cs="Tahoma"/>
          <w:lang w:val="es-ES_tradnl"/>
        </w:rPr>
        <w:t xml:space="preserve">se </w:t>
      </w:r>
      <w:r w:rsidR="00045A72">
        <w:rPr>
          <w:rFonts w:ascii="ITC Avant Garde" w:hAnsi="ITC Avant Garde" w:cs="Tahoma"/>
          <w:lang w:val="es-ES_tradnl"/>
        </w:rPr>
        <w:t>deberá adjuntar y formará parte integral del reporte auditado</w:t>
      </w:r>
      <w:r>
        <w:rPr>
          <w:rFonts w:ascii="ITC Avant Garde" w:hAnsi="ITC Avant Garde" w:cs="Tahoma"/>
          <w:lang w:val="es-ES_tradnl"/>
        </w:rPr>
        <w:t>.</w:t>
      </w:r>
    </w:p>
    <w:p w14:paraId="46D1595F" w14:textId="77777777" w:rsidR="00A62568" w:rsidRPr="006E442D" w:rsidRDefault="00A62568" w:rsidP="00A62568">
      <w:pPr>
        <w:pStyle w:val="Sinespaciado"/>
        <w:spacing w:line="276" w:lineRule="auto"/>
        <w:jc w:val="both"/>
        <w:rPr>
          <w:rFonts w:ascii="ITC Avant Garde" w:hAnsi="ITC Avant Garde" w:cs="Tahoma"/>
          <w:lang w:val="es-ES_tradnl"/>
        </w:rPr>
      </w:pPr>
    </w:p>
    <w:p w14:paraId="685E6667" w14:textId="77777777" w:rsidR="00A62568" w:rsidRPr="006E442D" w:rsidRDefault="00A62568" w:rsidP="00A62568">
      <w:pPr>
        <w:pStyle w:val="Sinespaciado"/>
        <w:numPr>
          <w:ilvl w:val="0"/>
          <w:numId w:val="1"/>
        </w:numPr>
        <w:spacing w:line="276" w:lineRule="auto"/>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088B75E8" w14:textId="77777777" w:rsidR="00A62568" w:rsidRPr="006E442D" w:rsidRDefault="00A62568" w:rsidP="00A62568">
      <w:pPr>
        <w:pStyle w:val="Sinespaciado"/>
        <w:spacing w:line="276" w:lineRule="auto"/>
        <w:ind w:left="284"/>
        <w:jc w:val="both"/>
        <w:rPr>
          <w:rFonts w:ascii="ITC Avant Garde" w:hAnsi="ITC Avant Garde" w:cs="Tahoma"/>
          <w:lang w:val="es-ES_tradnl"/>
        </w:rPr>
      </w:pPr>
      <w:r w:rsidRPr="006E442D">
        <w:rPr>
          <w:rFonts w:ascii="ITC Avant Garde" w:hAnsi="ITC Avant Garde" w:cs="Tahoma"/>
          <w:lang w:val="es-ES_tradnl"/>
        </w:rPr>
        <w:t xml:space="preserve">En caso de dudas sobre cualquiera de los elementos contenidos en este </w:t>
      </w:r>
      <w:r>
        <w:rPr>
          <w:rFonts w:ascii="ITC Avant Garde" w:hAnsi="ITC Avant Garde" w:cs="Tahoma"/>
          <w:lang w:val="es-ES_tradnl"/>
        </w:rPr>
        <w:t>F</w:t>
      </w:r>
      <w:r w:rsidRPr="006E442D">
        <w:rPr>
          <w:rFonts w:ascii="ITC Avant Garde" w:hAnsi="ITC Avant Garde" w:cs="Tahoma"/>
          <w:lang w:val="es-ES_tradnl"/>
        </w:rPr>
        <w:t>ormato por favor contactar al siguiente correo electrónico:</w:t>
      </w:r>
    </w:p>
    <w:p w14:paraId="6936FBC0" w14:textId="77777777" w:rsidR="00A62568" w:rsidRDefault="00691C5E" w:rsidP="00A62568">
      <w:pPr>
        <w:pStyle w:val="Sinespaciado"/>
        <w:spacing w:line="276" w:lineRule="auto"/>
        <w:ind w:left="284"/>
        <w:jc w:val="both"/>
        <w:rPr>
          <w:rFonts w:ascii="ITC Avant Garde" w:hAnsi="ITC Avant Garde" w:cs="Tahoma"/>
          <w:b/>
          <w:lang w:val="es-ES_tradnl"/>
        </w:rPr>
      </w:pPr>
      <w:hyperlink r:id="rId10" w:history="1">
        <w:r w:rsidR="00A62568" w:rsidRPr="00CF2DC6">
          <w:rPr>
            <w:rStyle w:val="Hipervnculo"/>
            <w:rFonts w:ascii="ITC Avant Garde" w:hAnsi="ITC Avant Garde" w:cs="Tahoma"/>
            <w:b/>
            <w:lang w:val="es-ES_tradnl"/>
          </w:rPr>
          <w:t>reporte.oss@ift.org.mx</w:t>
        </w:r>
      </w:hyperlink>
    </w:p>
    <w:p w14:paraId="7E950D92" w14:textId="495D9C75" w:rsidR="00A62568" w:rsidRPr="006E442D" w:rsidRDefault="00A62568" w:rsidP="003509D7">
      <w:pPr>
        <w:pStyle w:val="Sinespaciado"/>
        <w:spacing w:line="276" w:lineRule="auto"/>
        <w:jc w:val="both"/>
        <w:rPr>
          <w:rFonts w:ascii="ITC Avant Garde" w:hAnsi="ITC Avant Garde"/>
          <w:lang w:val="es-ES_tradnl"/>
        </w:rPr>
      </w:pPr>
    </w:p>
    <w:p w14:paraId="3736A7E1" w14:textId="77777777" w:rsidR="00A62568" w:rsidRDefault="00A62568" w:rsidP="00A62568">
      <w:pPr>
        <w:tabs>
          <w:tab w:val="center" w:pos="5319"/>
        </w:tabs>
        <w:outlineLvl w:val="0"/>
        <w:rPr>
          <w:rFonts w:ascii="ITC Avant Garde" w:hAnsi="ITC Avant Garde"/>
          <w:b/>
          <w:lang w:val="es-ES_tradnl"/>
        </w:rPr>
      </w:pPr>
      <w:r w:rsidRPr="006E442D">
        <w:rPr>
          <w:rFonts w:ascii="ITC Avant Garde" w:hAnsi="ITC Avant Garde"/>
          <w:b/>
          <w:lang w:val="es-ES_tradnl"/>
        </w:rPr>
        <w:t xml:space="preserve">DESCRIPCIÓN </w:t>
      </w:r>
      <w:r>
        <w:rPr>
          <w:rFonts w:ascii="ITC Avant Garde" w:hAnsi="ITC Avant Garde"/>
          <w:b/>
          <w:lang w:val="es-ES_tradnl"/>
        </w:rPr>
        <w:t>DEL INFORME</w:t>
      </w:r>
      <w:r w:rsidRPr="006E442D">
        <w:rPr>
          <w:rFonts w:ascii="ITC Avant Garde" w:hAnsi="ITC Avant Garde"/>
          <w:b/>
          <w:lang w:val="es-ES_tradnl"/>
        </w:rPr>
        <w:t>:</w:t>
      </w:r>
      <w:r>
        <w:rPr>
          <w:rFonts w:ascii="ITC Avant Garde" w:hAnsi="ITC Avant Garde"/>
          <w:b/>
          <w:lang w:val="es-ES_tradnl"/>
        </w:rPr>
        <w:t xml:space="preserve"> </w:t>
      </w:r>
    </w:p>
    <w:p w14:paraId="46D336BC" w14:textId="77777777" w:rsidR="00A62568" w:rsidRDefault="00A62568" w:rsidP="00A62568">
      <w:pPr>
        <w:pStyle w:val="Sinespaciado"/>
        <w:spacing w:line="276" w:lineRule="auto"/>
        <w:rPr>
          <w:rFonts w:ascii="ITC Avant Garde" w:hAnsi="ITC Avant Garde"/>
          <w:b/>
          <w:lang w:val="es-ES_tradnl"/>
        </w:rPr>
      </w:pPr>
    </w:p>
    <w:p w14:paraId="2FE79587" w14:textId="77777777" w:rsidR="00A62568" w:rsidRDefault="00A62568" w:rsidP="00A62568">
      <w:pPr>
        <w:pStyle w:val="Sinespaciado"/>
        <w:spacing w:line="276" w:lineRule="auto"/>
        <w:outlineLvl w:val="0"/>
        <w:rPr>
          <w:rFonts w:ascii="ITC Avant Garde" w:hAnsi="ITC Avant Garde" w:cs="Tahoma"/>
          <w:lang w:val="es-ES_tradnl"/>
        </w:rPr>
      </w:pPr>
      <w:r>
        <w:rPr>
          <w:rFonts w:ascii="ITC Avant Garde" w:hAnsi="ITC Avant Garde" w:cs="Tahoma"/>
          <w:lang w:val="es-ES_tradnl"/>
        </w:rPr>
        <w:t>El informe del auditor deberá contener la siguiente información desglosada en los siguientes dos apartados.</w:t>
      </w:r>
    </w:p>
    <w:p w14:paraId="62601D9A" w14:textId="77777777" w:rsidR="00A62568" w:rsidRPr="00FB74CE" w:rsidRDefault="00A62568" w:rsidP="00A62568">
      <w:pPr>
        <w:pStyle w:val="Sinespaciado"/>
        <w:numPr>
          <w:ilvl w:val="0"/>
          <w:numId w:val="4"/>
        </w:numPr>
        <w:jc w:val="both"/>
        <w:rPr>
          <w:rFonts w:ascii="Segoe UI Semilight" w:eastAsiaTheme="minorHAnsi" w:hAnsi="Segoe UI Semilight" w:cs="Segoe UI Semilight"/>
          <w:b/>
          <w:color w:val="000000"/>
          <w:sz w:val="21"/>
          <w:szCs w:val="21"/>
        </w:rPr>
      </w:pPr>
      <w:r w:rsidRPr="00FB74CE">
        <w:rPr>
          <w:rFonts w:ascii="ITC Avant Garde" w:hAnsi="ITC Avant Garde" w:cs="Tahoma"/>
          <w:b/>
          <w:lang w:val="es-ES_tradnl"/>
        </w:rPr>
        <w:t>Información de carácter general.</w:t>
      </w:r>
    </w:p>
    <w:p w14:paraId="1C5C9AAD" w14:textId="77777777" w:rsidR="00A62568" w:rsidRPr="00910D8E" w:rsidRDefault="00A62568" w:rsidP="00A62568">
      <w:pPr>
        <w:pStyle w:val="Sinespaciado"/>
        <w:ind w:left="720"/>
        <w:jc w:val="both"/>
        <w:rPr>
          <w:rFonts w:ascii="Segoe UI Semilight" w:eastAsiaTheme="minorHAnsi" w:hAnsi="Segoe UI Semilight" w:cs="Segoe UI Semilight"/>
          <w:b/>
          <w:color w:val="000000"/>
          <w:sz w:val="21"/>
          <w:szCs w:val="21"/>
        </w:rPr>
      </w:pPr>
    </w:p>
    <w:tbl>
      <w:tblPr>
        <w:tblW w:w="5135" w:type="pct"/>
        <w:jc w:val="center"/>
        <w:tblLayout w:type="fixed"/>
        <w:tblLook w:val="04A0" w:firstRow="1" w:lastRow="0" w:firstColumn="1" w:lastColumn="0" w:noHBand="0" w:noVBand="1"/>
      </w:tblPr>
      <w:tblGrid>
        <w:gridCol w:w="1980"/>
        <w:gridCol w:w="7086"/>
      </w:tblGrid>
      <w:tr w:rsidR="00A62568" w:rsidRPr="009F6EBB" w14:paraId="203DA6A7" w14:textId="77777777" w:rsidTr="00FA3108">
        <w:trPr>
          <w:trHeight w:val="542"/>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7A6B0BF" w14:textId="77777777" w:rsidR="00A62568" w:rsidRPr="00FA3108" w:rsidRDefault="00A62568" w:rsidP="00FA3108">
            <w:pPr>
              <w:jc w:val="center"/>
              <w:rPr>
                <w:rFonts w:ascii="ITC Avant Garde" w:hAnsi="ITC Avant Garde"/>
                <w:b/>
                <w:color w:val="FFFFFF" w:themeColor="background1"/>
              </w:rPr>
            </w:pPr>
            <w:r w:rsidRPr="00FA3108">
              <w:rPr>
                <w:rFonts w:ascii="ITC Avant Garde" w:hAnsi="ITC Avant Garde"/>
                <w:b/>
                <w:color w:val="FFFFFF" w:themeColor="background1"/>
              </w:rPr>
              <w:t>Nombre del Campo</w:t>
            </w:r>
          </w:p>
        </w:tc>
        <w:tc>
          <w:tcPr>
            <w:tcW w:w="3908" w:type="pct"/>
            <w:tcBorders>
              <w:top w:val="single" w:sz="4" w:space="0" w:color="auto"/>
              <w:left w:val="nil"/>
              <w:bottom w:val="single" w:sz="4" w:space="0" w:color="auto"/>
              <w:right w:val="single" w:sz="4" w:space="0" w:color="auto"/>
            </w:tcBorders>
            <w:shd w:val="clear" w:color="auto" w:fill="70AD47" w:themeFill="accent6"/>
            <w:vAlign w:val="center"/>
            <w:hideMark/>
          </w:tcPr>
          <w:p w14:paraId="40D75751" w14:textId="77777777" w:rsidR="00A62568" w:rsidRPr="00FA3108" w:rsidRDefault="00A62568" w:rsidP="00FA3108">
            <w:pPr>
              <w:jc w:val="center"/>
              <w:rPr>
                <w:rFonts w:ascii="ITC Avant Garde" w:hAnsi="ITC Avant Garde"/>
                <w:b/>
                <w:color w:val="FFFFFF" w:themeColor="background1"/>
              </w:rPr>
            </w:pPr>
            <w:r w:rsidRPr="00FA3108">
              <w:rPr>
                <w:rFonts w:ascii="ITC Avant Garde" w:hAnsi="ITC Avant Garde"/>
                <w:b/>
                <w:color w:val="FFFFFF" w:themeColor="background1"/>
              </w:rPr>
              <w:t>Descripción del  Campo</w:t>
            </w:r>
          </w:p>
        </w:tc>
      </w:tr>
      <w:tr w:rsidR="00A62568" w:rsidRPr="009F6EBB" w14:paraId="3F9E7BEF" w14:textId="77777777" w:rsidTr="009A16E0">
        <w:trPr>
          <w:trHeight w:val="542"/>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782F218B" w14:textId="77777777" w:rsidR="00A62568" w:rsidRPr="00FB74CE" w:rsidRDefault="00A62568" w:rsidP="009A16E0">
            <w:pPr>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Nombre del Auditor</w:t>
            </w:r>
          </w:p>
        </w:tc>
        <w:tc>
          <w:tcPr>
            <w:tcW w:w="3908" w:type="pct"/>
            <w:tcBorders>
              <w:top w:val="single" w:sz="4" w:space="0" w:color="auto"/>
              <w:left w:val="nil"/>
              <w:bottom w:val="single" w:sz="4" w:space="0" w:color="auto"/>
              <w:right w:val="single" w:sz="4" w:space="0" w:color="auto"/>
            </w:tcBorders>
            <w:shd w:val="clear" w:color="auto" w:fill="auto"/>
            <w:vAlign w:val="center"/>
          </w:tcPr>
          <w:p w14:paraId="4326B946" w14:textId="77777777" w:rsidR="00A62568" w:rsidRPr="00FB74CE" w:rsidRDefault="00A62568" w:rsidP="009A16E0">
            <w:pP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el nombre completo del auditor</w:t>
            </w:r>
            <w:r>
              <w:rPr>
                <w:rFonts w:ascii="ITC Avant Garde" w:eastAsia="Calibri" w:hAnsi="ITC Avant Garde" w:cs="Tahoma"/>
                <w:color w:val="auto"/>
                <w:lang w:val="es-ES_tradnl" w:eastAsia="en-US"/>
              </w:rPr>
              <w:t>.</w:t>
            </w:r>
          </w:p>
        </w:tc>
      </w:tr>
      <w:tr w:rsidR="00A62568" w:rsidRPr="009F6EBB" w14:paraId="7BBE94BE"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3E0560EF"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Nombre PSMSG</w:t>
            </w:r>
          </w:p>
        </w:tc>
        <w:tc>
          <w:tcPr>
            <w:tcW w:w="3908" w:type="pct"/>
            <w:tcBorders>
              <w:top w:val="nil"/>
              <w:left w:val="nil"/>
              <w:bottom w:val="single" w:sz="4" w:space="0" w:color="auto"/>
              <w:right w:val="single" w:sz="4" w:space="0" w:color="auto"/>
            </w:tcBorders>
            <w:shd w:val="clear" w:color="auto" w:fill="auto"/>
            <w:vAlign w:val="center"/>
          </w:tcPr>
          <w:p w14:paraId="6F6473E2"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al nombre completo del PSMSG</w:t>
            </w:r>
            <w:r>
              <w:rPr>
                <w:rFonts w:ascii="ITC Avant Garde" w:eastAsia="Calibri" w:hAnsi="ITC Avant Garde" w:cs="Tahoma"/>
                <w:color w:val="auto"/>
                <w:lang w:val="es-ES_tradnl" w:eastAsia="en-US"/>
              </w:rPr>
              <w:t>.</w:t>
            </w:r>
            <w:r w:rsidRPr="00FB74CE">
              <w:rPr>
                <w:rFonts w:ascii="ITC Avant Garde" w:eastAsia="Calibri" w:hAnsi="ITC Avant Garde" w:cs="Tahoma"/>
                <w:color w:val="auto"/>
                <w:lang w:val="es-ES_tradnl" w:eastAsia="en-US"/>
              </w:rPr>
              <w:t xml:space="preserve"> </w:t>
            </w:r>
          </w:p>
        </w:tc>
      </w:tr>
      <w:tr w:rsidR="00A62568" w:rsidRPr="009F6EBB" w14:paraId="1D03DCF7"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595D2FBD"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Periodo de Evaluación</w:t>
            </w:r>
          </w:p>
        </w:tc>
        <w:tc>
          <w:tcPr>
            <w:tcW w:w="3908" w:type="pct"/>
            <w:tcBorders>
              <w:top w:val="nil"/>
              <w:left w:val="nil"/>
              <w:bottom w:val="single" w:sz="4" w:space="0" w:color="auto"/>
              <w:right w:val="single" w:sz="4" w:space="0" w:color="auto"/>
            </w:tcBorders>
            <w:shd w:val="clear" w:color="auto" w:fill="auto"/>
            <w:vAlign w:val="center"/>
          </w:tcPr>
          <w:p w14:paraId="66FD4318"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el trimestre evaluado (1T, 2T, 3T, 4T)</w:t>
            </w:r>
            <w:r>
              <w:rPr>
                <w:rFonts w:ascii="ITC Avant Garde" w:eastAsia="Calibri" w:hAnsi="ITC Avant Garde" w:cs="Tahoma"/>
                <w:color w:val="auto"/>
                <w:lang w:val="es-ES_tradnl" w:eastAsia="en-US"/>
              </w:rPr>
              <w:t>.</w:t>
            </w:r>
          </w:p>
        </w:tc>
      </w:tr>
      <w:tr w:rsidR="00A62568" w:rsidRPr="009F6EBB" w14:paraId="6C9E4A03"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3840C320"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 xml:space="preserve">Tecnología </w:t>
            </w:r>
          </w:p>
          <w:p w14:paraId="278A82D6"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de Acceso</w:t>
            </w:r>
          </w:p>
        </w:tc>
        <w:tc>
          <w:tcPr>
            <w:tcW w:w="3908" w:type="pct"/>
            <w:tcBorders>
              <w:top w:val="nil"/>
              <w:left w:val="nil"/>
              <w:bottom w:val="single" w:sz="4" w:space="0" w:color="auto"/>
              <w:right w:val="single" w:sz="4" w:space="0" w:color="auto"/>
            </w:tcBorders>
            <w:shd w:val="clear" w:color="auto" w:fill="auto"/>
            <w:vAlign w:val="center"/>
          </w:tcPr>
          <w:p w14:paraId="07CA07EA"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las Tecnologías de Acceso auditadas (2G, 3G , 4G)</w:t>
            </w:r>
            <w:r>
              <w:rPr>
                <w:rFonts w:ascii="ITC Avant Garde" w:eastAsia="Calibri" w:hAnsi="ITC Avant Garde" w:cs="Tahoma"/>
                <w:color w:val="auto"/>
                <w:lang w:val="es-ES_tradnl" w:eastAsia="en-US"/>
              </w:rPr>
              <w:t>.</w:t>
            </w:r>
          </w:p>
        </w:tc>
      </w:tr>
      <w:tr w:rsidR="00A62568" w:rsidRPr="009F6EBB" w14:paraId="05D1AA18"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0F8A432A"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 xml:space="preserve">Servicio </w:t>
            </w:r>
          </w:p>
        </w:tc>
        <w:tc>
          <w:tcPr>
            <w:tcW w:w="3908" w:type="pct"/>
            <w:tcBorders>
              <w:top w:val="nil"/>
              <w:left w:val="nil"/>
              <w:bottom w:val="single" w:sz="4" w:space="0" w:color="auto"/>
              <w:right w:val="single" w:sz="4" w:space="0" w:color="auto"/>
            </w:tcBorders>
            <w:shd w:val="clear" w:color="auto" w:fill="auto"/>
            <w:vAlign w:val="center"/>
          </w:tcPr>
          <w:p w14:paraId="463F4F4A"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los servicios auditados (voz , datos)</w:t>
            </w:r>
            <w:r>
              <w:rPr>
                <w:rFonts w:ascii="ITC Avant Garde" w:eastAsia="Calibri" w:hAnsi="ITC Avant Garde" w:cs="Tahoma"/>
                <w:color w:val="auto"/>
                <w:lang w:val="es-ES_tradnl" w:eastAsia="en-US"/>
              </w:rPr>
              <w:t>.</w:t>
            </w:r>
          </w:p>
        </w:tc>
      </w:tr>
      <w:tr w:rsidR="00A62568" w:rsidRPr="009F6EBB" w14:paraId="70FF9772"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577716E3"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Número de Municipios</w:t>
            </w:r>
          </w:p>
        </w:tc>
        <w:tc>
          <w:tcPr>
            <w:tcW w:w="3908" w:type="pct"/>
            <w:tcBorders>
              <w:top w:val="nil"/>
              <w:left w:val="nil"/>
              <w:bottom w:val="single" w:sz="4" w:space="0" w:color="auto"/>
              <w:right w:val="single" w:sz="4" w:space="0" w:color="auto"/>
            </w:tcBorders>
            <w:shd w:val="clear" w:color="auto" w:fill="auto"/>
            <w:vAlign w:val="center"/>
          </w:tcPr>
          <w:p w14:paraId="0EB5D6D6"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sidRPr="00FB74CE">
              <w:rPr>
                <w:rFonts w:ascii="ITC Avant Garde" w:eastAsia="Calibri" w:hAnsi="ITC Avant Garde" w:cs="Tahoma"/>
                <w:color w:val="auto"/>
                <w:lang w:val="es-ES_tradnl" w:eastAsia="en-US"/>
              </w:rPr>
              <w:t>Indicar el número total de municipios considerados para el cálculo de los KPI auditados, para cada tecnología.</w:t>
            </w:r>
          </w:p>
        </w:tc>
      </w:tr>
      <w:tr w:rsidR="00A62568" w:rsidRPr="009F6EBB" w14:paraId="6B532270" w14:textId="77777777" w:rsidTr="009A16E0">
        <w:trPr>
          <w:trHeight w:val="905"/>
          <w:jc w:val="center"/>
        </w:trPr>
        <w:tc>
          <w:tcPr>
            <w:tcW w:w="1092" w:type="pct"/>
            <w:tcBorders>
              <w:top w:val="nil"/>
              <w:left w:val="single" w:sz="4" w:space="0" w:color="auto"/>
              <w:bottom w:val="single" w:sz="4" w:space="0" w:color="auto"/>
              <w:right w:val="single" w:sz="4" w:space="0" w:color="auto"/>
            </w:tcBorders>
            <w:shd w:val="clear" w:color="auto" w:fill="auto"/>
            <w:vAlign w:val="center"/>
          </w:tcPr>
          <w:p w14:paraId="1861EA1A" w14:textId="77777777" w:rsidR="00A62568" w:rsidRPr="00F61532" w:rsidRDefault="00A62568" w:rsidP="009A16E0">
            <w:pPr>
              <w:spacing w:line="240" w:lineRule="auto"/>
              <w:jc w:val="center"/>
              <w:rPr>
                <w:rFonts w:ascii="ITC Avant Garde" w:eastAsia="Calibri" w:hAnsi="ITC Avant Garde" w:cs="Tahoma"/>
                <w:color w:val="auto"/>
                <w:highlight w:val="yellow"/>
                <w:lang w:val="es-ES_tradnl" w:eastAsia="en-US"/>
              </w:rPr>
            </w:pPr>
            <w:r w:rsidRPr="00FB74CE">
              <w:rPr>
                <w:rFonts w:ascii="ITC Avant Garde" w:eastAsia="Calibri" w:hAnsi="ITC Avant Garde" w:cs="Tahoma"/>
                <w:color w:val="auto"/>
                <w:lang w:val="es-ES_tradnl" w:eastAsia="en-US"/>
              </w:rPr>
              <w:t>Fabricantes de Equipo</w:t>
            </w:r>
          </w:p>
        </w:tc>
        <w:tc>
          <w:tcPr>
            <w:tcW w:w="3908" w:type="pct"/>
            <w:tcBorders>
              <w:top w:val="nil"/>
              <w:left w:val="nil"/>
              <w:bottom w:val="single" w:sz="4" w:space="0" w:color="auto"/>
              <w:right w:val="single" w:sz="4" w:space="0" w:color="auto"/>
            </w:tcBorders>
            <w:shd w:val="clear" w:color="auto" w:fill="auto"/>
            <w:vAlign w:val="center"/>
          </w:tcPr>
          <w:p w14:paraId="7F5E9A51" w14:textId="77777777" w:rsidR="00A62568" w:rsidRPr="00F61532" w:rsidRDefault="00A62568" w:rsidP="009A16E0">
            <w:pPr>
              <w:spacing w:line="240" w:lineRule="auto"/>
              <w:jc w:val="both"/>
              <w:rPr>
                <w:rFonts w:ascii="ITC Avant Garde" w:eastAsia="Calibri" w:hAnsi="ITC Avant Garde" w:cs="Tahoma"/>
                <w:color w:val="auto"/>
                <w:highlight w:val="yellow"/>
                <w:lang w:val="es-ES_tradnl" w:eastAsia="en-US"/>
              </w:rPr>
            </w:pPr>
            <w:r w:rsidRPr="00FB74CE">
              <w:rPr>
                <w:rFonts w:ascii="ITC Avant Garde" w:eastAsia="Calibri" w:hAnsi="ITC Avant Garde" w:cs="Tahoma"/>
                <w:color w:val="auto"/>
                <w:lang w:val="es-ES_tradnl" w:eastAsia="en-US"/>
              </w:rPr>
              <w:t>Indicar los fabricantes de equipo por PSMSG</w:t>
            </w:r>
            <w:r>
              <w:rPr>
                <w:rFonts w:ascii="ITC Avant Garde" w:eastAsia="Calibri" w:hAnsi="ITC Avant Garde" w:cs="Tahoma"/>
                <w:color w:val="auto"/>
                <w:lang w:val="es-ES_tradnl" w:eastAsia="en-US"/>
              </w:rPr>
              <w:t>.</w:t>
            </w:r>
          </w:p>
        </w:tc>
      </w:tr>
      <w:tr w:rsidR="00A62568" w:rsidRPr="009F6EBB" w14:paraId="47EEB625" w14:textId="77777777" w:rsidTr="009A16E0">
        <w:trPr>
          <w:trHeight w:val="905"/>
          <w:jc w:val="center"/>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6F5D1D31" w14:textId="77777777" w:rsidR="00A62568" w:rsidRPr="00FB74CE" w:rsidRDefault="00A62568" w:rsidP="009A16E0">
            <w:pPr>
              <w:spacing w:line="240" w:lineRule="auto"/>
              <w:jc w:val="center"/>
              <w:rPr>
                <w:rFonts w:ascii="ITC Avant Garde" w:eastAsia="Calibri" w:hAnsi="ITC Avant Garde" w:cs="Tahoma"/>
                <w:color w:val="auto"/>
                <w:lang w:val="es-ES_tradnl" w:eastAsia="en-US"/>
              </w:rPr>
            </w:pPr>
            <w:r>
              <w:rPr>
                <w:rFonts w:ascii="ITC Avant Garde" w:eastAsia="Calibri" w:hAnsi="ITC Avant Garde" w:cs="Tahoma"/>
                <w:color w:val="auto"/>
                <w:lang w:val="es-ES_tradnl" w:eastAsia="en-US"/>
              </w:rPr>
              <w:t>Observaciones</w:t>
            </w:r>
          </w:p>
        </w:tc>
        <w:tc>
          <w:tcPr>
            <w:tcW w:w="3908" w:type="pct"/>
            <w:tcBorders>
              <w:top w:val="single" w:sz="4" w:space="0" w:color="auto"/>
              <w:left w:val="nil"/>
              <w:bottom w:val="single" w:sz="4" w:space="0" w:color="auto"/>
              <w:right w:val="single" w:sz="4" w:space="0" w:color="auto"/>
            </w:tcBorders>
            <w:shd w:val="clear" w:color="auto" w:fill="auto"/>
            <w:vAlign w:val="center"/>
          </w:tcPr>
          <w:p w14:paraId="6235E067" w14:textId="77777777" w:rsidR="00A62568" w:rsidRPr="00FB74CE" w:rsidRDefault="00A62568" w:rsidP="009A16E0">
            <w:pPr>
              <w:spacing w:line="240" w:lineRule="auto"/>
              <w:jc w:val="both"/>
              <w:rPr>
                <w:rFonts w:ascii="ITC Avant Garde" w:eastAsia="Calibri" w:hAnsi="ITC Avant Garde" w:cs="Tahoma"/>
                <w:color w:val="auto"/>
                <w:lang w:val="es-ES_tradnl" w:eastAsia="en-US"/>
              </w:rPr>
            </w:pPr>
            <w:r>
              <w:rPr>
                <w:rFonts w:ascii="ITC Avant Garde" w:eastAsia="Calibri" w:hAnsi="ITC Avant Garde" w:cs="Tahoma"/>
                <w:color w:val="auto"/>
                <w:lang w:val="es-ES_tradnl" w:eastAsia="en-US"/>
              </w:rPr>
              <w:t>Comentarios del auditor</w:t>
            </w:r>
            <w:r w:rsidRPr="00FB74CE">
              <w:rPr>
                <w:rFonts w:ascii="ITC Avant Garde" w:eastAsia="Calibri" w:hAnsi="ITC Avant Garde" w:cs="Tahoma"/>
                <w:color w:val="auto"/>
                <w:lang w:val="es-ES_tradnl" w:eastAsia="en-US"/>
              </w:rPr>
              <w:t xml:space="preserve"> </w:t>
            </w:r>
            <w:r>
              <w:rPr>
                <w:rFonts w:ascii="ITC Avant Garde" w:eastAsia="Calibri" w:hAnsi="ITC Avant Garde" w:cs="Tahoma"/>
                <w:color w:val="auto"/>
                <w:lang w:val="es-ES_tradnl" w:eastAsia="en-US"/>
              </w:rPr>
              <w:t>referente a</w:t>
            </w:r>
            <w:r w:rsidRPr="00FB74CE">
              <w:rPr>
                <w:rFonts w:ascii="ITC Avant Garde" w:eastAsia="Calibri" w:hAnsi="ITC Avant Garde" w:cs="Tahoma"/>
                <w:color w:val="auto"/>
                <w:lang w:val="es-ES_tradnl" w:eastAsia="en-US"/>
              </w:rPr>
              <w:t xml:space="preserve">l proceso de </w:t>
            </w:r>
            <w:r>
              <w:rPr>
                <w:rFonts w:ascii="ITC Avant Garde" w:eastAsia="Calibri" w:hAnsi="ITC Avant Garde" w:cs="Tahoma"/>
                <w:color w:val="auto"/>
                <w:lang w:val="es-ES_tradnl" w:eastAsia="en-US"/>
              </w:rPr>
              <w:t>ejecución de la metodología para la generación</w:t>
            </w:r>
            <w:r w:rsidRPr="00FB74CE">
              <w:rPr>
                <w:rFonts w:ascii="ITC Avant Garde" w:eastAsia="Calibri" w:hAnsi="ITC Avant Garde" w:cs="Tahoma"/>
                <w:color w:val="auto"/>
                <w:lang w:val="es-ES_tradnl" w:eastAsia="en-US"/>
              </w:rPr>
              <w:t xml:space="preserve"> del reporte auditado.</w:t>
            </w:r>
          </w:p>
        </w:tc>
      </w:tr>
    </w:tbl>
    <w:p w14:paraId="2BCE8468" w14:textId="77777777" w:rsidR="00A62568" w:rsidRPr="00910D8E" w:rsidRDefault="00A62568" w:rsidP="00A62568">
      <w:pPr>
        <w:rPr>
          <w:rFonts w:ascii="Segoe UI Semilight" w:eastAsiaTheme="minorHAnsi" w:hAnsi="Segoe UI Semilight" w:cs="Segoe UI Semilight"/>
          <w:sz w:val="21"/>
          <w:szCs w:val="21"/>
          <w:lang w:eastAsia="en-US"/>
        </w:rPr>
      </w:pPr>
    </w:p>
    <w:p w14:paraId="2CBA50E4" w14:textId="77777777" w:rsidR="00A62568" w:rsidRPr="00FB74CE" w:rsidRDefault="00A62568" w:rsidP="00A62568">
      <w:pPr>
        <w:pStyle w:val="Sinespaciado"/>
        <w:jc w:val="both"/>
        <w:rPr>
          <w:rFonts w:ascii="ITC Avant Garde" w:hAnsi="ITC Avant Garde" w:cs="Tahoma"/>
          <w:b/>
          <w:lang w:val="es-ES_tradnl"/>
        </w:rPr>
      </w:pPr>
      <w:r w:rsidRPr="00FB74CE">
        <w:rPr>
          <w:rFonts w:ascii="ITC Avant Garde" w:hAnsi="ITC Avant Garde" w:cs="Tahoma"/>
          <w:lang w:val="es-ES_tradnl"/>
        </w:rPr>
        <w:lastRenderedPageBreak/>
        <w:t xml:space="preserve">2) </w:t>
      </w:r>
      <w:r w:rsidRPr="00FB74CE">
        <w:rPr>
          <w:rFonts w:ascii="ITC Avant Garde" w:hAnsi="ITC Avant Garde" w:cs="Tahoma"/>
          <w:b/>
          <w:lang w:val="es-ES_tradnl"/>
        </w:rPr>
        <w:t>Información de la validación técnica.</w:t>
      </w:r>
    </w:p>
    <w:p w14:paraId="02BDFCC5" w14:textId="77777777" w:rsidR="00A62568" w:rsidRDefault="00A62568" w:rsidP="00A62568">
      <w:pPr>
        <w:pStyle w:val="Sinespaciado"/>
        <w:jc w:val="both"/>
        <w:rPr>
          <w:rFonts w:ascii="ITC Avant Garde" w:hAnsi="ITC Avant Garde" w:cs="Tahoma"/>
          <w:lang w:val="es-ES_tradnl"/>
        </w:rPr>
      </w:pPr>
      <w:r w:rsidRPr="00FB74CE">
        <w:rPr>
          <w:rFonts w:ascii="ITC Avant Garde" w:hAnsi="ITC Avant Garde" w:cs="Tahoma"/>
          <w:lang w:val="es-ES_tradnl"/>
        </w:rPr>
        <w:t>Los siguientes campos corresponden a la validación técnica, la cual se refiere al cumplimiento de lo dispuesto en la metodología. Lo anterior, debe validarse durante la ejecución y elaboración del reporte auditado.</w:t>
      </w:r>
    </w:p>
    <w:p w14:paraId="4D96BF0C" w14:textId="77777777" w:rsidR="00A62568" w:rsidRPr="00FB74CE" w:rsidRDefault="00A62568" w:rsidP="00A62568">
      <w:pPr>
        <w:pStyle w:val="Sinespaciado"/>
        <w:jc w:val="both"/>
        <w:rPr>
          <w:rFonts w:ascii="ITC Avant Garde" w:hAnsi="ITC Avant Garde" w:cs="Tahoma"/>
          <w:lang w:val="es-ES_tradnl"/>
        </w:rPr>
      </w:pPr>
    </w:p>
    <w:tbl>
      <w:tblPr>
        <w:tblStyle w:val="Tablaconcuadrcula"/>
        <w:tblW w:w="8892" w:type="dxa"/>
        <w:tblLook w:val="04A0" w:firstRow="1" w:lastRow="0" w:firstColumn="1" w:lastColumn="0" w:noHBand="0" w:noVBand="1"/>
      </w:tblPr>
      <w:tblGrid>
        <w:gridCol w:w="4927"/>
        <w:gridCol w:w="1073"/>
        <w:gridCol w:w="1073"/>
        <w:gridCol w:w="1819"/>
      </w:tblGrid>
      <w:tr w:rsidR="00A62568" w:rsidRPr="00FB74CE" w14:paraId="645BCEAE" w14:textId="77777777" w:rsidTr="00FA3108">
        <w:trPr>
          <w:tblHeader/>
        </w:trPr>
        <w:tc>
          <w:tcPr>
            <w:tcW w:w="5532" w:type="dxa"/>
            <w:tcBorders>
              <w:top w:val="nil"/>
              <w:left w:val="nil"/>
            </w:tcBorders>
          </w:tcPr>
          <w:p w14:paraId="2B2C1305"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shd w:val="clear" w:color="auto" w:fill="70AD47" w:themeFill="accent6"/>
          </w:tcPr>
          <w:p w14:paraId="54E26142" w14:textId="77777777" w:rsidR="00A62568" w:rsidRPr="00FA3108" w:rsidRDefault="00A62568" w:rsidP="009A16E0">
            <w:pPr>
              <w:spacing w:line="240" w:lineRule="auto"/>
              <w:jc w:val="center"/>
              <w:rPr>
                <w:rFonts w:ascii="ITC Avant Garde" w:hAnsi="ITC Avant Garde"/>
                <w:b/>
                <w:color w:val="FFFFFF" w:themeColor="background1"/>
                <w:sz w:val="22"/>
                <w:szCs w:val="22"/>
              </w:rPr>
            </w:pPr>
          </w:p>
          <w:p w14:paraId="0BBA14E5" w14:textId="77777777" w:rsidR="00A62568" w:rsidRPr="00FA3108" w:rsidRDefault="00A62568" w:rsidP="009A16E0">
            <w:pPr>
              <w:spacing w:line="240" w:lineRule="auto"/>
              <w:jc w:val="center"/>
              <w:rPr>
                <w:rFonts w:ascii="ITC Avant Garde" w:hAnsi="ITC Avant Garde"/>
                <w:b/>
                <w:color w:val="FFFFFF" w:themeColor="background1"/>
                <w:sz w:val="22"/>
                <w:szCs w:val="22"/>
              </w:rPr>
            </w:pPr>
            <w:r w:rsidRPr="00FA3108">
              <w:rPr>
                <w:rFonts w:ascii="ITC Avant Garde" w:hAnsi="ITC Avant Garde"/>
                <w:b/>
                <w:color w:val="FFFFFF" w:themeColor="background1"/>
                <w:sz w:val="22"/>
                <w:szCs w:val="22"/>
              </w:rPr>
              <w:t>Cumple</w:t>
            </w:r>
          </w:p>
        </w:tc>
        <w:tc>
          <w:tcPr>
            <w:tcW w:w="917" w:type="dxa"/>
            <w:shd w:val="clear" w:color="auto" w:fill="70AD47" w:themeFill="accent6"/>
          </w:tcPr>
          <w:p w14:paraId="7CC04897" w14:textId="77777777" w:rsidR="00A62568" w:rsidRPr="00FA3108" w:rsidRDefault="00A62568" w:rsidP="009A16E0">
            <w:pPr>
              <w:spacing w:line="240" w:lineRule="auto"/>
              <w:jc w:val="center"/>
              <w:rPr>
                <w:rFonts w:ascii="ITC Avant Garde" w:hAnsi="ITC Avant Garde"/>
                <w:b/>
                <w:color w:val="FFFFFF" w:themeColor="background1"/>
                <w:sz w:val="22"/>
                <w:szCs w:val="22"/>
              </w:rPr>
            </w:pPr>
            <w:r w:rsidRPr="00FA3108">
              <w:rPr>
                <w:rFonts w:ascii="ITC Avant Garde" w:hAnsi="ITC Avant Garde"/>
                <w:b/>
                <w:color w:val="FFFFFF" w:themeColor="background1"/>
                <w:sz w:val="22"/>
                <w:szCs w:val="22"/>
              </w:rPr>
              <w:t>No Cumple</w:t>
            </w:r>
          </w:p>
        </w:tc>
        <w:tc>
          <w:tcPr>
            <w:tcW w:w="1526" w:type="dxa"/>
            <w:shd w:val="clear" w:color="auto" w:fill="70AD47" w:themeFill="accent6"/>
          </w:tcPr>
          <w:p w14:paraId="77ADB9EB" w14:textId="77777777" w:rsidR="00A62568" w:rsidRPr="00FA3108" w:rsidRDefault="00A62568" w:rsidP="009A16E0">
            <w:pPr>
              <w:spacing w:line="240" w:lineRule="auto"/>
              <w:jc w:val="center"/>
              <w:rPr>
                <w:rFonts w:ascii="ITC Avant Garde" w:hAnsi="ITC Avant Garde"/>
                <w:b/>
                <w:color w:val="FFFFFF" w:themeColor="background1"/>
                <w:sz w:val="22"/>
                <w:szCs w:val="22"/>
              </w:rPr>
            </w:pPr>
          </w:p>
          <w:p w14:paraId="5EC27051" w14:textId="77777777" w:rsidR="00A62568" w:rsidRPr="00FA3108" w:rsidRDefault="00A62568" w:rsidP="009A16E0">
            <w:pPr>
              <w:spacing w:line="240" w:lineRule="auto"/>
              <w:jc w:val="center"/>
              <w:rPr>
                <w:rFonts w:ascii="ITC Avant Garde" w:hAnsi="ITC Avant Garde"/>
                <w:b/>
                <w:color w:val="FFFFFF" w:themeColor="background1"/>
                <w:sz w:val="22"/>
                <w:szCs w:val="22"/>
              </w:rPr>
            </w:pPr>
            <w:r w:rsidRPr="00FA3108">
              <w:rPr>
                <w:rFonts w:ascii="ITC Avant Garde" w:hAnsi="ITC Avant Garde"/>
                <w:b/>
                <w:color w:val="FFFFFF" w:themeColor="background1"/>
                <w:sz w:val="22"/>
                <w:szCs w:val="22"/>
              </w:rPr>
              <w:t xml:space="preserve">Observaciones </w:t>
            </w:r>
          </w:p>
        </w:tc>
      </w:tr>
      <w:tr w:rsidR="00A62568" w:rsidRPr="00FB74CE" w14:paraId="43D9DD3B" w14:textId="77777777" w:rsidTr="00FA3108">
        <w:trPr>
          <w:tblHeader/>
        </w:trPr>
        <w:tc>
          <w:tcPr>
            <w:tcW w:w="5532" w:type="dxa"/>
            <w:shd w:val="clear" w:color="auto" w:fill="70AD47" w:themeFill="accent6"/>
          </w:tcPr>
          <w:p w14:paraId="3114E1B2" w14:textId="77777777" w:rsidR="00A62568" w:rsidRPr="00FA3108" w:rsidRDefault="00A62568" w:rsidP="00FA3108">
            <w:pPr>
              <w:jc w:val="center"/>
              <w:rPr>
                <w:rFonts w:ascii="ITC Avant Garde" w:hAnsi="ITC Avant Garde"/>
                <w:b/>
                <w:color w:val="FFFFFF" w:themeColor="background1"/>
                <w:sz w:val="22"/>
                <w:szCs w:val="22"/>
              </w:rPr>
            </w:pPr>
            <w:r w:rsidRPr="00FA3108">
              <w:rPr>
                <w:rFonts w:ascii="ITC Avant Garde" w:hAnsi="ITC Avant Garde"/>
                <w:b/>
                <w:color w:val="FFFFFF" w:themeColor="background1"/>
                <w:sz w:val="22"/>
                <w:szCs w:val="22"/>
              </w:rPr>
              <w:t>Criterios del reporte auditado:</w:t>
            </w:r>
          </w:p>
        </w:tc>
        <w:tc>
          <w:tcPr>
            <w:tcW w:w="917" w:type="dxa"/>
            <w:shd w:val="clear" w:color="auto" w:fill="70AD47" w:themeFill="accent6"/>
          </w:tcPr>
          <w:p w14:paraId="09234681" w14:textId="77777777" w:rsidR="00A62568" w:rsidRPr="00FA3108" w:rsidRDefault="00A62568" w:rsidP="00FA3108">
            <w:pPr>
              <w:jc w:val="center"/>
              <w:rPr>
                <w:rFonts w:ascii="ITC Avant Garde" w:hAnsi="ITC Avant Garde"/>
                <w:b/>
                <w:color w:val="FFFFFF" w:themeColor="background1"/>
                <w:sz w:val="22"/>
                <w:szCs w:val="22"/>
              </w:rPr>
            </w:pPr>
          </w:p>
        </w:tc>
        <w:tc>
          <w:tcPr>
            <w:tcW w:w="917" w:type="dxa"/>
            <w:shd w:val="clear" w:color="auto" w:fill="70AD47" w:themeFill="accent6"/>
          </w:tcPr>
          <w:p w14:paraId="2954785D" w14:textId="77777777" w:rsidR="00A62568" w:rsidRPr="00FA3108" w:rsidRDefault="00A62568" w:rsidP="00FA3108">
            <w:pPr>
              <w:jc w:val="center"/>
              <w:rPr>
                <w:rFonts w:ascii="ITC Avant Garde" w:hAnsi="ITC Avant Garde"/>
                <w:b/>
                <w:color w:val="FFFFFF" w:themeColor="background1"/>
                <w:sz w:val="22"/>
                <w:szCs w:val="22"/>
              </w:rPr>
            </w:pPr>
          </w:p>
        </w:tc>
        <w:tc>
          <w:tcPr>
            <w:tcW w:w="1526" w:type="dxa"/>
            <w:shd w:val="clear" w:color="auto" w:fill="70AD47" w:themeFill="accent6"/>
          </w:tcPr>
          <w:p w14:paraId="289A55CA" w14:textId="77777777" w:rsidR="00A62568" w:rsidRPr="00FA3108" w:rsidRDefault="00A62568" w:rsidP="00FA3108">
            <w:pPr>
              <w:jc w:val="center"/>
              <w:rPr>
                <w:rFonts w:ascii="ITC Avant Garde" w:hAnsi="ITC Avant Garde"/>
                <w:b/>
                <w:color w:val="FFFFFF" w:themeColor="background1"/>
                <w:sz w:val="22"/>
                <w:szCs w:val="22"/>
              </w:rPr>
            </w:pPr>
          </w:p>
        </w:tc>
      </w:tr>
      <w:tr w:rsidR="00A62568" w:rsidRPr="00FB74CE" w14:paraId="00CB55FF" w14:textId="77777777" w:rsidTr="009A16E0">
        <w:tc>
          <w:tcPr>
            <w:tcW w:w="5532" w:type="dxa"/>
          </w:tcPr>
          <w:p w14:paraId="1808F8C7" w14:textId="77777777" w:rsidR="00A62568" w:rsidRDefault="00A62568" w:rsidP="009A16E0">
            <w:pPr>
              <w:jc w:val="both"/>
              <w:rPr>
                <w:rFonts w:ascii="ITC Avant Garde" w:eastAsia="Calibri" w:hAnsi="ITC Avant Garde" w:cs="Tahoma"/>
                <w:color w:val="auto"/>
                <w:sz w:val="22"/>
                <w:szCs w:val="22"/>
                <w:lang w:val="es-ES_tradnl" w:eastAsia="en-US"/>
              </w:rPr>
            </w:pPr>
          </w:p>
          <w:p w14:paraId="2B3CA3B1"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Está elaborado en formato CSV</w:t>
            </w:r>
            <w:r>
              <w:rPr>
                <w:rFonts w:ascii="ITC Avant Garde" w:eastAsia="Calibri" w:hAnsi="ITC Avant Garde" w:cs="Tahoma"/>
                <w:color w:val="auto"/>
                <w:sz w:val="22"/>
                <w:szCs w:val="22"/>
                <w:lang w:val="es-ES_tradnl" w:eastAsia="en-US"/>
              </w:rPr>
              <w:t xml:space="preserve"> por cada mes del trimestre</w:t>
            </w:r>
            <w:r w:rsidRPr="00FB74CE">
              <w:rPr>
                <w:rFonts w:ascii="ITC Avant Garde" w:eastAsia="Calibri" w:hAnsi="ITC Avant Garde" w:cs="Tahoma"/>
                <w:color w:val="auto"/>
                <w:sz w:val="22"/>
                <w:szCs w:val="22"/>
                <w:lang w:val="es-ES_tradnl" w:eastAsia="en-US"/>
              </w:rPr>
              <w:t>, para cada servicio, tecnología de acceso y por fabricante de equipo, de conformidad con el formato del Anexo II de la metodología.</w:t>
            </w:r>
          </w:p>
          <w:p w14:paraId="50607605"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tc>
        <w:tc>
          <w:tcPr>
            <w:tcW w:w="917" w:type="dxa"/>
          </w:tcPr>
          <w:p w14:paraId="1F9C8AEA"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5389F877"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6F0DD5AE"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035A4991" w14:textId="77777777" w:rsidTr="009A16E0">
        <w:tc>
          <w:tcPr>
            <w:tcW w:w="5532" w:type="dxa"/>
          </w:tcPr>
          <w:p w14:paraId="13AECCC4"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33F2265D"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 xml:space="preserve">Contiene la información de todos los municipios y, en su caso, alcaldías que contienen el número de radiobases establecido en la </w:t>
            </w:r>
            <w:r>
              <w:rPr>
                <w:rFonts w:ascii="ITC Avant Garde" w:eastAsia="Calibri" w:hAnsi="ITC Avant Garde" w:cs="Tahoma"/>
                <w:color w:val="auto"/>
                <w:sz w:val="22"/>
                <w:szCs w:val="22"/>
                <w:lang w:val="es-ES_tradnl" w:eastAsia="en-US"/>
              </w:rPr>
              <w:t>fracción I</w:t>
            </w:r>
            <w:r w:rsidRPr="00FB74CE">
              <w:rPr>
                <w:rFonts w:ascii="ITC Avant Garde" w:eastAsia="Calibri" w:hAnsi="ITC Avant Garde" w:cs="Tahoma"/>
                <w:color w:val="auto"/>
                <w:sz w:val="22"/>
                <w:szCs w:val="22"/>
                <w:lang w:val="es-ES_tradnl" w:eastAsia="en-US"/>
              </w:rPr>
              <w:t xml:space="preserve">II del numeral 4 de la metodología. Lo anterior, sin reportar los municipios, y en su caso alcaldías, donde no existan radiobases desplegadas aun cuando cuenten con cobertura. </w:t>
            </w:r>
            <w:r>
              <w:rPr>
                <w:rFonts w:ascii="ITC Avant Garde" w:eastAsia="Calibri" w:hAnsi="ITC Avant Garde" w:cs="Tahoma"/>
                <w:color w:val="auto"/>
                <w:sz w:val="22"/>
                <w:szCs w:val="22"/>
                <w:lang w:val="es-ES_tradnl" w:eastAsia="en-US"/>
              </w:rPr>
              <w:t>Para esto, s</w:t>
            </w:r>
            <w:r w:rsidRPr="00FB74CE">
              <w:rPr>
                <w:rFonts w:ascii="ITC Avant Garde" w:eastAsia="Calibri" w:hAnsi="ITC Avant Garde" w:cs="Tahoma"/>
                <w:color w:val="auto"/>
                <w:sz w:val="22"/>
                <w:szCs w:val="22"/>
                <w:lang w:val="es-ES_tradnl" w:eastAsia="en-US"/>
              </w:rPr>
              <w:t>e consideran todas las radiobases localizadas físicamente dentro del área geográfica de cada municipio, y en su caso alcaldía.</w:t>
            </w:r>
          </w:p>
          <w:p w14:paraId="6BB694BD"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tc>
        <w:tc>
          <w:tcPr>
            <w:tcW w:w="917" w:type="dxa"/>
          </w:tcPr>
          <w:p w14:paraId="5674FBC6"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60EBCCBE"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511A91DA"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7C8128FF" w14:textId="77777777" w:rsidTr="009A16E0">
        <w:tc>
          <w:tcPr>
            <w:tcW w:w="5532" w:type="dxa"/>
          </w:tcPr>
          <w:p w14:paraId="39C4EC55"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52AB5C9C"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 xml:space="preserve">El cálculo por cada KPI requerido </w:t>
            </w:r>
            <w:r>
              <w:rPr>
                <w:rFonts w:ascii="ITC Avant Garde" w:eastAsia="Calibri" w:hAnsi="ITC Avant Garde" w:cs="Tahoma"/>
                <w:color w:val="auto"/>
                <w:sz w:val="22"/>
                <w:szCs w:val="22"/>
                <w:lang w:val="es-ES_tradnl" w:eastAsia="en-US"/>
              </w:rPr>
              <w:t>toma en cuenta los contadores de desempeño</w:t>
            </w:r>
            <w:r w:rsidRPr="00FB74CE">
              <w:rPr>
                <w:rFonts w:ascii="ITC Avant Garde" w:eastAsia="Calibri" w:hAnsi="ITC Avant Garde" w:cs="Tahoma"/>
                <w:color w:val="auto"/>
                <w:sz w:val="22"/>
                <w:szCs w:val="22"/>
                <w:lang w:val="es-ES_tradnl" w:eastAsia="en-US"/>
              </w:rPr>
              <w:t xml:space="preserve"> a nivel sector de radiobase</w:t>
            </w:r>
            <w:r>
              <w:rPr>
                <w:rFonts w:ascii="ITC Avant Garde" w:eastAsia="Calibri" w:hAnsi="ITC Avant Garde" w:cs="Tahoma"/>
                <w:color w:val="auto"/>
                <w:sz w:val="22"/>
                <w:szCs w:val="22"/>
                <w:lang w:val="es-ES_tradnl" w:eastAsia="en-US"/>
              </w:rPr>
              <w:t>, es decir, para</w:t>
            </w:r>
            <w:r w:rsidRPr="00FB74CE">
              <w:rPr>
                <w:rFonts w:ascii="ITC Avant Garde" w:eastAsia="Calibri" w:hAnsi="ITC Avant Garde" w:cs="Tahoma"/>
                <w:color w:val="auto"/>
                <w:sz w:val="22"/>
                <w:szCs w:val="22"/>
                <w:lang w:val="es-ES_tradnl" w:eastAsia="en-US"/>
              </w:rPr>
              <w:t xml:space="preserve"> la agregación de la información </w:t>
            </w:r>
            <w:r>
              <w:rPr>
                <w:rFonts w:ascii="ITC Avant Garde" w:eastAsia="Calibri" w:hAnsi="ITC Avant Garde" w:cs="Tahoma"/>
                <w:color w:val="auto"/>
                <w:sz w:val="22"/>
                <w:szCs w:val="22"/>
                <w:lang w:val="es-ES_tradnl" w:eastAsia="en-US"/>
              </w:rPr>
              <w:t>a nivel municipio,</w:t>
            </w:r>
            <w:r w:rsidRPr="00FB74CE">
              <w:rPr>
                <w:rFonts w:ascii="ITC Avant Garde" w:eastAsia="Calibri" w:hAnsi="ITC Avant Garde" w:cs="Tahoma"/>
                <w:color w:val="auto"/>
                <w:sz w:val="22"/>
                <w:szCs w:val="22"/>
                <w:lang w:val="es-ES_tradnl" w:eastAsia="en-US"/>
              </w:rPr>
              <w:t xml:space="preserve"> el cálculo fue hecho a partir de los valores absolutos de los contadores de desempeño</w:t>
            </w:r>
            <w:r>
              <w:rPr>
                <w:rFonts w:ascii="ITC Avant Garde" w:eastAsia="Calibri" w:hAnsi="ITC Avant Garde" w:cs="Tahoma"/>
                <w:color w:val="auto"/>
                <w:sz w:val="22"/>
                <w:szCs w:val="22"/>
                <w:lang w:val="es-ES_tradnl" w:eastAsia="en-US"/>
              </w:rPr>
              <w:t xml:space="preserve"> y no el valor promedio (conforme a lo establecido en la fracción IV del numeral 4 de la metodología).</w:t>
            </w:r>
          </w:p>
          <w:p w14:paraId="130C9D73"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tc>
        <w:tc>
          <w:tcPr>
            <w:tcW w:w="917" w:type="dxa"/>
          </w:tcPr>
          <w:p w14:paraId="6600F0E8"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4D26F3F5"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6A69EB9F"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75D743AB" w14:textId="77777777" w:rsidTr="009A16E0">
        <w:tc>
          <w:tcPr>
            <w:tcW w:w="5532" w:type="dxa"/>
            <w:shd w:val="clear" w:color="auto" w:fill="auto"/>
          </w:tcPr>
          <w:p w14:paraId="020EB09B"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0899E86E"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El cálculo de los KPI, excepto el de disponibilidad, se realizó considerando los contadores de desempeño generados en la hora pico semanal siguiendo lo establecido en el numeral 6 de la metodología y conforme a los siguientes criterios:</w:t>
            </w:r>
          </w:p>
          <w:p w14:paraId="13766755"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lastRenderedPageBreak/>
              <w:t>La hora pico semanal es el horario específico en el que se observa la máxima demanda de tráfico.</w:t>
            </w:r>
          </w:p>
          <w:p w14:paraId="4066E829"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Se considera una hora pico semanal para cada servicio (voz y</w:t>
            </w:r>
            <w:r>
              <w:rPr>
                <w:rFonts w:ascii="ITC Avant Garde" w:eastAsia="Calibri" w:hAnsi="ITC Avant Garde" w:cs="Tahoma"/>
                <w:color w:val="auto"/>
                <w:sz w:val="22"/>
                <w:szCs w:val="22"/>
                <w:lang w:val="es-ES_tradnl" w:eastAsia="en-US"/>
              </w:rPr>
              <w:t xml:space="preserve"> datos)</w:t>
            </w:r>
            <w:r w:rsidRPr="00FB74CE">
              <w:rPr>
                <w:rFonts w:ascii="ITC Avant Garde" w:eastAsia="Calibri" w:hAnsi="ITC Avant Garde" w:cs="Tahoma"/>
                <w:color w:val="auto"/>
                <w:sz w:val="22"/>
                <w:szCs w:val="22"/>
                <w:lang w:val="es-ES_tradnl" w:eastAsia="en-US"/>
              </w:rPr>
              <w:t>.</w:t>
            </w:r>
          </w:p>
          <w:p w14:paraId="46E531A4"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El cálculo de la hora pico semanal es a nivel municipio.</w:t>
            </w:r>
          </w:p>
          <w:p w14:paraId="61AE4056"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El intervalo de tiempo que se consideró para determinar la hora pico semanal fue a partir de las 6:00 a las 2</w:t>
            </w:r>
            <w:r>
              <w:rPr>
                <w:rFonts w:ascii="ITC Avant Garde" w:eastAsia="Calibri" w:hAnsi="ITC Avant Garde" w:cs="Tahoma"/>
                <w:color w:val="auto"/>
                <w:sz w:val="22"/>
                <w:szCs w:val="22"/>
                <w:lang w:val="es-ES_tradnl" w:eastAsia="en-US"/>
              </w:rPr>
              <w:t>4</w:t>
            </w:r>
            <w:r w:rsidRPr="00FB74CE">
              <w:rPr>
                <w:rFonts w:ascii="ITC Avant Garde" w:eastAsia="Calibri" w:hAnsi="ITC Avant Garde" w:cs="Tahoma"/>
                <w:color w:val="auto"/>
                <w:sz w:val="22"/>
                <w:szCs w:val="22"/>
                <w:lang w:val="es-ES_tradnl" w:eastAsia="en-US"/>
              </w:rPr>
              <w:t>:</w:t>
            </w:r>
            <w:r>
              <w:rPr>
                <w:rFonts w:ascii="ITC Avant Garde" w:eastAsia="Calibri" w:hAnsi="ITC Avant Garde" w:cs="Tahoma"/>
                <w:color w:val="auto"/>
                <w:sz w:val="22"/>
                <w:szCs w:val="22"/>
                <w:lang w:val="es-ES_tradnl" w:eastAsia="en-US"/>
              </w:rPr>
              <w:t>00</w:t>
            </w:r>
            <w:r w:rsidRPr="00FB74CE">
              <w:rPr>
                <w:rFonts w:ascii="ITC Avant Garde" w:eastAsia="Calibri" w:hAnsi="ITC Avant Garde" w:cs="Tahoma"/>
                <w:color w:val="auto"/>
                <w:sz w:val="22"/>
                <w:szCs w:val="22"/>
                <w:lang w:val="es-ES_tradnl" w:eastAsia="en-US"/>
              </w:rPr>
              <w:t xml:space="preserve"> horas de cada día.</w:t>
            </w:r>
          </w:p>
          <w:p w14:paraId="74E70253" w14:textId="77777777" w:rsidR="00A62568" w:rsidRPr="00FB74CE" w:rsidRDefault="00A62568" w:rsidP="009A16E0">
            <w:pPr>
              <w:pStyle w:val="Prrafodelista"/>
              <w:jc w:val="both"/>
              <w:rPr>
                <w:rFonts w:ascii="ITC Avant Garde" w:eastAsia="Calibri" w:hAnsi="ITC Avant Garde" w:cs="Tahoma"/>
                <w:color w:val="auto"/>
                <w:sz w:val="22"/>
                <w:szCs w:val="22"/>
                <w:lang w:val="es-ES_tradnl" w:eastAsia="en-US"/>
              </w:rPr>
            </w:pPr>
          </w:p>
        </w:tc>
        <w:tc>
          <w:tcPr>
            <w:tcW w:w="917" w:type="dxa"/>
          </w:tcPr>
          <w:p w14:paraId="5D51173F"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0AF5B7B6"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0F958335"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55046298" w14:textId="77777777" w:rsidTr="009A16E0">
        <w:tc>
          <w:tcPr>
            <w:tcW w:w="5532" w:type="dxa"/>
            <w:shd w:val="clear" w:color="auto" w:fill="auto"/>
          </w:tcPr>
          <w:p w14:paraId="5E4BF8E5"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23985A1C"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El cálculo del KPI relativo a la disponibilidad se realizó considerando los contadores de desempeño generados dentro del intervalo de tiempo de las 6:00 a las 2</w:t>
            </w:r>
            <w:r>
              <w:rPr>
                <w:rFonts w:ascii="ITC Avant Garde" w:eastAsia="Calibri" w:hAnsi="ITC Avant Garde" w:cs="Tahoma"/>
                <w:color w:val="auto"/>
                <w:sz w:val="22"/>
                <w:szCs w:val="22"/>
                <w:lang w:val="es-ES_tradnl" w:eastAsia="en-US"/>
              </w:rPr>
              <w:t>4</w:t>
            </w:r>
            <w:r w:rsidRPr="00FB74CE">
              <w:rPr>
                <w:rFonts w:ascii="ITC Avant Garde" w:eastAsia="Calibri" w:hAnsi="ITC Avant Garde" w:cs="Tahoma"/>
                <w:color w:val="auto"/>
                <w:sz w:val="22"/>
                <w:szCs w:val="22"/>
                <w:lang w:val="es-ES_tradnl" w:eastAsia="en-US"/>
              </w:rPr>
              <w:t>:</w:t>
            </w:r>
            <w:r>
              <w:rPr>
                <w:rFonts w:ascii="ITC Avant Garde" w:eastAsia="Calibri" w:hAnsi="ITC Avant Garde" w:cs="Tahoma"/>
                <w:color w:val="auto"/>
                <w:sz w:val="22"/>
                <w:szCs w:val="22"/>
                <w:lang w:val="es-ES_tradnl" w:eastAsia="en-US"/>
              </w:rPr>
              <w:t>00</w:t>
            </w:r>
            <w:r w:rsidRPr="00FB74CE">
              <w:rPr>
                <w:rFonts w:ascii="ITC Avant Garde" w:eastAsia="Calibri" w:hAnsi="ITC Avant Garde" w:cs="Tahoma"/>
                <w:color w:val="auto"/>
                <w:sz w:val="22"/>
                <w:szCs w:val="22"/>
                <w:lang w:val="es-ES_tradnl" w:eastAsia="en-US"/>
              </w:rPr>
              <w:t xml:space="preserve"> horas de cada día.</w:t>
            </w:r>
            <w:r>
              <w:rPr>
                <w:rFonts w:ascii="ITC Avant Garde" w:eastAsia="Calibri" w:hAnsi="ITC Avant Garde" w:cs="Tahoma"/>
                <w:color w:val="auto"/>
                <w:sz w:val="22"/>
                <w:szCs w:val="22"/>
                <w:lang w:val="es-ES_tradnl" w:eastAsia="en-US"/>
              </w:rPr>
              <w:t xml:space="preserve"> De acuerdo a lo establecido en la fracción VI del numeral 4 de la metodología.</w:t>
            </w:r>
          </w:p>
          <w:p w14:paraId="26C5B3BF"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tc>
        <w:tc>
          <w:tcPr>
            <w:tcW w:w="917" w:type="dxa"/>
          </w:tcPr>
          <w:p w14:paraId="098D7C7C"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13ED4936"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111E5DE2"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7F31170D" w14:textId="77777777" w:rsidTr="009A16E0">
        <w:tc>
          <w:tcPr>
            <w:tcW w:w="5532" w:type="dxa"/>
          </w:tcPr>
          <w:p w14:paraId="2447439A"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5CF93160" w14:textId="77777777"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Es documentado y debidamente justificado la exclusión de la información de los contadores de desempeño para el cálculo de algunos KPI, excepto para el KPI de disponibilidad, generada bajo los siguientes supuestos:</w:t>
            </w:r>
          </w:p>
          <w:p w14:paraId="5EE8262F"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Los siguientes días de tráfico atípico (24 y 31 diciembre, así como 14 febrero y 10 mayo).</w:t>
            </w:r>
          </w:p>
          <w:p w14:paraId="0B0DD203"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Eventos extraordinarios impredecibles, es decir, todo tipo de desastres naturales o vandalismo que provoque la afectación de los KPI a nivel municipio.</w:t>
            </w:r>
          </w:p>
          <w:p w14:paraId="2C3E7703"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Aquellos municipios que contengan un número de Radiobases menor o igual a 3.</w:t>
            </w:r>
          </w:p>
          <w:p w14:paraId="73687139"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 xml:space="preserve">Los municipios con 4 y hasta 5 Radiobases que tengan una población menor a </w:t>
            </w:r>
            <w:r>
              <w:rPr>
                <w:rFonts w:ascii="ITC Avant Garde" w:eastAsia="Calibri" w:hAnsi="ITC Avant Garde" w:cs="Tahoma"/>
                <w:color w:val="auto"/>
                <w:sz w:val="22"/>
                <w:szCs w:val="22"/>
                <w:lang w:val="es-ES_tradnl" w:eastAsia="en-US"/>
              </w:rPr>
              <w:t>15</w:t>
            </w:r>
            <w:r w:rsidRPr="00FB74CE">
              <w:rPr>
                <w:rFonts w:ascii="ITC Avant Garde" w:eastAsia="Calibri" w:hAnsi="ITC Avant Garde" w:cs="Tahoma"/>
                <w:color w:val="auto"/>
                <w:sz w:val="22"/>
                <w:szCs w:val="22"/>
                <w:lang w:val="es-ES_tradnl" w:eastAsia="en-US"/>
              </w:rPr>
              <w:t xml:space="preserve"> 000 habitantes de conformidad con los datos del último censo nacional de población y vivienda del INEGI.</w:t>
            </w:r>
          </w:p>
          <w:p w14:paraId="08CC8E52" w14:textId="77777777" w:rsidR="00A62568" w:rsidRPr="00FB74CE" w:rsidRDefault="00A62568" w:rsidP="00A62568">
            <w:pPr>
              <w:pStyle w:val="Prrafodelista"/>
              <w:numPr>
                <w:ilvl w:val="0"/>
                <w:numId w:val="3"/>
              </w:numPr>
              <w:spacing w:line="240" w:lineRule="auto"/>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La tecnología de acceso 2G cuando la cobertura de dicha tecnología a nivel nacional sea menor al 50% de la población de acuerdo al último censo nacional de población y vivienda del INEGI.</w:t>
            </w:r>
            <w:r>
              <w:rPr>
                <w:rFonts w:ascii="ITC Avant Garde" w:eastAsia="Calibri" w:hAnsi="ITC Avant Garde" w:cs="Tahoma"/>
                <w:color w:val="auto"/>
                <w:sz w:val="22"/>
                <w:szCs w:val="22"/>
                <w:lang w:val="es-ES_tradnl" w:eastAsia="en-US"/>
              </w:rPr>
              <w:t xml:space="preserve"> De acuerdo a lo </w:t>
            </w:r>
            <w:r>
              <w:rPr>
                <w:rFonts w:ascii="ITC Avant Garde" w:eastAsia="Calibri" w:hAnsi="ITC Avant Garde" w:cs="Tahoma"/>
                <w:color w:val="auto"/>
                <w:sz w:val="22"/>
                <w:szCs w:val="22"/>
                <w:lang w:val="es-ES_tradnl" w:eastAsia="en-US"/>
              </w:rPr>
              <w:lastRenderedPageBreak/>
              <w:t>establecido en la fracción VII del numeral 4 de la metodología.</w:t>
            </w:r>
          </w:p>
          <w:p w14:paraId="2A7CA7F2" w14:textId="77777777" w:rsidR="00A62568" w:rsidRPr="00FB74CE" w:rsidRDefault="00A62568" w:rsidP="009A16E0">
            <w:pPr>
              <w:pStyle w:val="Prrafodelista"/>
              <w:jc w:val="both"/>
              <w:rPr>
                <w:rFonts w:ascii="ITC Avant Garde" w:eastAsia="Calibri" w:hAnsi="ITC Avant Garde" w:cs="Tahoma"/>
                <w:color w:val="auto"/>
                <w:sz w:val="22"/>
                <w:szCs w:val="22"/>
                <w:lang w:val="es-ES_tradnl" w:eastAsia="en-US"/>
              </w:rPr>
            </w:pPr>
          </w:p>
        </w:tc>
        <w:tc>
          <w:tcPr>
            <w:tcW w:w="917" w:type="dxa"/>
          </w:tcPr>
          <w:p w14:paraId="0B43C5AF"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42038B16"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1CFBB3E5"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A62568" w:rsidRPr="00FB74CE" w14:paraId="4CC3BA0A" w14:textId="77777777" w:rsidTr="009A16E0">
        <w:tc>
          <w:tcPr>
            <w:tcW w:w="5532" w:type="dxa"/>
          </w:tcPr>
          <w:p w14:paraId="194E5D23"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p w14:paraId="6E57D4AA" w14:textId="543E6B9B" w:rsidR="00A62568" w:rsidRPr="00FB74CE" w:rsidRDefault="00A62568" w:rsidP="009A16E0">
            <w:pPr>
              <w:jc w:val="both"/>
              <w:rPr>
                <w:rFonts w:ascii="ITC Avant Garde" w:eastAsia="Calibri" w:hAnsi="ITC Avant Garde" w:cs="Tahoma"/>
                <w:color w:val="auto"/>
                <w:sz w:val="22"/>
                <w:szCs w:val="22"/>
                <w:lang w:val="es-ES_tradnl" w:eastAsia="en-US"/>
              </w:rPr>
            </w:pPr>
            <w:r w:rsidRPr="00FB74CE">
              <w:rPr>
                <w:rFonts w:ascii="ITC Avant Garde" w:eastAsia="Calibri" w:hAnsi="ITC Avant Garde" w:cs="Tahoma"/>
                <w:color w:val="auto"/>
                <w:sz w:val="22"/>
                <w:szCs w:val="22"/>
                <w:lang w:val="es-ES_tradnl" w:eastAsia="en-US"/>
              </w:rPr>
              <w:t xml:space="preserve">En caso de existir alguna actualización tecnológica conforme al numeral 3 fracción </w:t>
            </w:r>
            <w:r w:rsidR="00CA110B" w:rsidRPr="00FB74CE">
              <w:rPr>
                <w:rFonts w:ascii="ITC Avant Garde" w:eastAsia="Calibri" w:hAnsi="ITC Avant Garde" w:cs="Tahoma"/>
                <w:color w:val="auto"/>
                <w:sz w:val="22"/>
                <w:szCs w:val="22"/>
                <w:lang w:val="es-ES_tradnl" w:eastAsia="en-US"/>
              </w:rPr>
              <w:t xml:space="preserve">IV, </w:t>
            </w:r>
            <w:r w:rsidR="00CA110B">
              <w:rPr>
                <w:rFonts w:ascii="ITC Avant Garde" w:eastAsia="Calibri" w:hAnsi="ITC Avant Garde" w:cs="Tahoma"/>
                <w:color w:val="auto"/>
                <w:sz w:val="22"/>
                <w:szCs w:val="22"/>
                <w:lang w:val="es-ES_tradnl" w:eastAsia="en-US"/>
              </w:rPr>
              <w:t>se</w:t>
            </w:r>
            <w:r w:rsidRPr="00FB74CE">
              <w:rPr>
                <w:rFonts w:ascii="ITC Avant Garde" w:eastAsia="Calibri" w:hAnsi="ITC Avant Garde" w:cs="Tahoma"/>
                <w:color w:val="auto"/>
                <w:sz w:val="22"/>
                <w:szCs w:val="22"/>
                <w:lang w:val="es-ES_tradnl" w:eastAsia="en-US"/>
              </w:rPr>
              <w:t xml:space="preserve"> informa en </w:t>
            </w:r>
            <w:r w:rsidR="0042679F">
              <w:rPr>
                <w:rFonts w:ascii="ITC Avant Garde" w:eastAsia="Calibri" w:hAnsi="ITC Avant Garde" w:cs="Tahoma"/>
                <w:color w:val="auto"/>
                <w:sz w:val="22"/>
                <w:szCs w:val="22"/>
                <w:lang w:val="es-ES_tradnl" w:eastAsia="en-US"/>
              </w:rPr>
              <w:t>este</w:t>
            </w:r>
            <w:r w:rsidRPr="00FB74CE">
              <w:rPr>
                <w:rFonts w:ascii="ITC Avant Garde" w:eastAsia="Calibri" w:hAnsi="ITC Avant Garde" w:cs="Tahoma"/>
                <w:color w:val="auto"/>
                <w:sz w:val="22"/>
                <w:szCs w:val="22"/>
                <w:lang w:val="es-ES_tradnl" w:eastAsia="en-US"/>
              </w:rPr>
              <w:t xml:space="preserve"> reporte y</w:t>
            </w:r>
            <w:r w:rsidR="0042679F">
              <w:rPr>
                <w:rFonts w:ascii="ITC Avant Garde" w:eastAsia="Calibri" w:hAnsi="ITC Avant Garde" w:cs="Tahoma"/>
                <w:color w:val="auto"/>
                <w:sz w:val="22"/>
                <w:szCs w:val="22"/>
                <w:lang w:val="es-ES_tradnl" w:eastAsia="en-US"/>
              </w:rPr>
              <w:t xml:space="preserve"> se adjunta la documentación de cada</w:t>
            </w:r>
            <w:r w:rsidRPr="00FB74CE">
              <w:rPr>
                <w:rFonts w:ascii="ITC Avant Garde" w:eastAsia="Calibri" w:hAnsi="ITC Avant Garde" w:cs="Tahoma"/>
                <w:color w:val="auto"/>
                <w:sz w:val="22"/>
                <w:szCs w:val="22"/>
                <w:lang w:val="es-ES_tradnl" w:eastAsia="en-US"/>
              </w:rPr>
              <w:t xml:space="preserve"> </w:t>
            </w:r>
            <w:r w:rsidR="0042679F">
              <w:rPr>
                <w:rFonts w:ascii="ITC Avant Garde" w:eastAsia="Calibri" w:hAnsi="ITC Avant Garde" w:cs="Tahoma"/>
                <w:color w:val="auto"/>
                <w:sz w:val="22"/>
                <w:szCs w:val="22"/>
                <w:lang w:val="es-ES_tradnl" w:eastAsia="en-US"/>
              </w:rPr>
              <w:t>fabricante de equipo que incluye</w:t>
            </w:r>
            <w:r w:rsidRPr="00FB74CE">
              <w:rPr>
                <w:rFonts w:ascii="ITC Avant Garde" w:eastAsia="Calibri" w:hAnsi="ITC Avant Garde" w:cs="Tahoma"/>
                <w:color w:val="auto"/>
                <w:sz w:val="22"/>
                <w:szCs w:val="22"/>
                <w:lang w:val="es-ES_tradnl" w:eastAsia="en-US"/>
              </w:rPr>
              <w:t xml:space="preserve"> la definición de los KPI a partir de los contadores de desempeño para las tecnologías de acceso que hayan sufrido un cambio.</w:t>
            </w:r>
          </w:p>
          <w:p w14:paraId="3A866C81" w14:textId="77777777" w:rsidR="00A62568" w:rsidRPr="00FB74CE" w:rsidRDefault="00A62568" w:rsidP="009A16E0">
            <w:pPr>
              <w:jc w:val="both"/>
              <w:rPr>
                <w:rFonts w:ascii="ITC Avant Garde" w:eastAsia="Calibri" w:hAnsi="ITC Avant Garde" w:cs="Tahoma"/>
                <w:color w:val="auto"/>
                <w:sz w:val="22"/>
                <w:szCs w:val="22"/>
                <w:lang w:val="es-ES_tradnl" w:eastAsia="en-US"/>
              </w:rPr>
            </w:pPr>
          </w:p>
        </w:tc>
        <w:tc>
          <w:tcPr>
            <w:tcW w:w="917" w:type="dxa"/>
          </w:tcPr>
          <w:p w14:paraId="51FD5652"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917" w:type="dxa"/>
          </w:tcPr>
          <w:p w14:paraId="7EE5703C" w14:textId="77777777" w:rsidR="00A62568" w:rsidRPr="00FB74CE" w:rsidRDefault="00A62568" w:rsidP="009A16E0">
            <w:pPr>
              <w:rPr>
                <w:rFonts w:ascii="ITC Avant Garde" w:eastAsia="Calibri" w:hAnsi="ITC Avant Garde" w:cs="Tahoma"/>
                <w:color w:val="auto"/>
                <w:sz w:val="22"/>
                <w:szCs w:val="22"/>
                <w:lang w:val="es-ES_tradnl" w:eastAsia="en-US"/>
              </w:rPr>
            </w:pPr>
          </w:p>
        </w:tc>
        <w:tc>
          <w:tcPr>
            <w:tcW w:w="1526" w:type="dxa"/>
          </w:tcPr>
          <w:p w14:paraId="430FB5F1" w14:textId="77777777" w:rsidR="00A62568" w:rsidRPr="00FB74CE" w:rsidRDefault="00A62568" w:rsidP="009A16E0">
            <w:pPr>
              <w:rPr>
                <w:rFonts w:ascii="ITC Avant Garde" w:eastAsia="Calibri" w:hAnsi="ITC Avant Garde" w:cs="Tahoma"/>
                <w:color w:val="auto"/>
                <w:sz w:val="22"/>
                <w:szCs w:val="22"/>
                <w:lang w:val="es-ES_tradnl" w:eastAsia="en-US"/>
              </w:rPr>
            </w:pPr>
          </w:p>
        </w:tc>
      </w:tr>
      <w:tr w:rsidR="0042679F" w:rsidRPr="00FB74CE" w14:paraId="23546D75" w14:textId="77777777" w:rsidTr="009A16E0">
        <w:tc>
          <w:tcPr>
            <w:tcW w:w="5532" w:type="dxa"/>
          </w:tcPr>
          <w:p w14:paraId="6C383780" w14:textId="4172B59C" w:rsidR="0042679F" w:rsidRPr="00FB74CE" w:rsidRDefault="0042679F" w:rsidP="00CA110B">
            <w:pPr>
              <w:jc w:val="both"/>
              <w:rPr>
                <w:rFonts w:ascii="ITC Avant Garde" w:eastAsia="Calibri" w:hAnsi="ITC Avant Garde" w:cs="Tahoma"/>
                <w:color w:val="auto"/>
                <w:lang w:val="es-ES_tradnl" w:eastAsia="en-US"/>
              </w:rPr>
            </w:pPr>
            <w:r>
              <w:rPr>
                <w:rFonts w:ascii="ITC Avant Garde" w:eastAsia="Calibri" w:hAnsi="ITC Avant Garde" w:cs="Tahoma"/>
                <w:color w:val="auto"/>
                <w:sz w:val="22"/>
                <w:szCs w:val="22"/>
                <w:lang w:val="es-ES_tradnl" w:eastAsia="en-US"/>
              </w:rPr>
              <w:t xml:space="preserve">En caso de que se comercialice un nuevo servicio o una nueva tecnología de acceso conforme a lo establecido en el </w:t>
            </w:r>
            <w:r w:rsidR="00CA110B">
              <w:rPr>
                <w:rFonts w:ascii="ITC Avant Garde" w:eastAsia="Calibri" w:hAnsi="ITC Avant Garde" w:cs="Tahoma"/>
                <w:color w:val="auto"/>
                <w:sz w:val="22"/>
                <w:szCs w:val="22"/>
                <w:lang w:val="es-ES_tradnl" w:eastAsia="en-US"/>
              </w:rPr>
              <w:t>numeral 3 fracción VII</w:t>
            </w:r>
            <w:r>
              <w:rPr>
                <w:rFonts w:ascii="ITC Avant Garde" w:eastAsia="Calibri" w:hAnsi="ITC Avant Garde" w:cs="Tahoma"/>
                <w:color w:val="auto"/>
                <w:sz w:val="22"/>
                <w:szCs w:val="22"/>
                <w:lang w:val="es-ES_tradnl" w:eastAsia="en-US"/>
              </w:rPr>
              <w:t xml:space="preserve">, </w:t>
            </w:r>
            <w:r w:rsidRPr="00FB74CE">
              <w:rPr>
                <w:rFonts w:ascii="ITC Avant Garde" w:eastAsia="Calibri" w:hAnsi="ITC Avant Garde" w:cs="Tahoma"/>
                <w:color w:val="auto"/>
                <w:sz w:val="22"/>
                <w:szCs w:val="22"/>
                <w:lang w:val="es-ES_tradnl" w:eastAsia="en-US"/>
              </w:rPr>
              <w:t xml:space="preserve">se informa en </w:t>
            </w:r>
            <w:r>
              <w:rPr>
                <w:rFonts w:ascii="ITC Avant Garde" w:eastAsia="Calibri" w:hAnsi="ITC Avant Garde" w:cs="Tahoma"/>
                <w:color w:val="auto"/>
                <w:sz w:val="22"/>
                <w:szCs w:val="22"/>
                <w:lang w:val="es-ES_tradnl" w:eastAsia="en-US"/>
              </w:rPr>
              <w:t>este</w:t>
            </w:r>
            <w:r w:rsidRPr="00FB74CE">
              <w:rPr>
                <w:rFonts w:ascii="ITC Avant Garde" w:eastAsia="Calibri" w:hAnsi="ITC Avant Garde" w:cs="Tahoma"/>
                <w:color w:val="auto"/>
                <w:sz w:val="22"/>
                <w:szCs w:val="22"/>
                <w:lang w:val="es-ES_tradnl" w:eastAsia="en-US"/>
              </w:rPr>
              <w:t xml:space="preserve"> reporte y se adjunta la documentación de</w:t>
            </w:r>
            <w:r>
              <w:rPr>
                <w:rFonts w:ascii="ITC Avant Garde" w:eastAsia="Calibri" w:hAnsi="ITC Avant Garde" w:cs="Tahoma"/>
                <w:color w:val="auto"/>
                <w:sz w:val="22"/>
                <w:szCs w:val="22"/>
                <w:lang w:val="es-ES_tradnl" w:eastAsia="en-US"/>
              </w:rPr>
              <w:t xml:space="preserve"> cada </w:t>
            </w:r>
            <w:r w:rsidRPr="00FB74CE">
              <w:rPr>
                <w:rFonts w:ascii="ITC Avant Garde" w:eastAsia="Calibri" w:hAnsi="ITC Avant Garde" w:cs="Tahoma"/>
                <w:color w:val="auto"/>
                <w:sz w:val="22"/>
                <w:szCs w:val="22"/>
                <w:lang w:val="es-ES_tradnl" w:eastAsia="en-US"/>
              </w:rPr>
              <w:t>fabricante de equipo que incluya la definición de los KPI a partir de los contadores de desempeño para las tecnologías de acceso</w:t>
            </w:r>
            <w:r>
              <w:rPr>
                <w:rFonts w:ascii="ITC Avant Garde" w:eastAsia="Calibri" w:hAnsi="ITC Avant Garde" w:cs="Tahoma"/>
                <w:color w:val="auto"/>
                <w:sz w:val="22"/>
                <w:szCs w:val="22"/>
                <w:lang w:val="es-ES_tradnl" w:eastAsia="en-US"/>
              </w:rPr>
              <w:t>.</w:t>
            </w:r>
            <w:r w:rsidRPr="00FB74CE">
              <w:rPr>
                <w:rFonts w:ascii="ITC Avant Garde" w:eastAsia="Calibri" w:hAnsi="ITC Avant Garde" w:cs="Tahoma"/>
                <w:color w:val="auto"/>
                <w:sz w:val="22"/>
                <w:szCs w:val="22"/>
                <w:lang w:val="es-ES_tradnl" w:eastAsia="en-US"/>
              </w:rPr>
              <w:t xml:space="preserve"> </w:t>
            </w:r>
          </w:p>
        </w:tc>
        <w:tc>
          <w:tcPr>
            <w:tcW w:w="917" w:type="dxa"/>
          </w:tcPr>
          <w:p w14:paraId="43B61AB7" w14:textId="77777777" w:rsidR="0042679F" w:rsidRPr="00FB74CE" w:rsidRDefault="0042679F" w:rsidP="009A16E0">
            <w:pPr>
              <w:rPr>
                <w:rFonts w:ascii="ITC Avant Garde" w:eastAsia="Calibri" w:hAnsi="ITC Avant Garde" w:cs="Tahoma"/>
                <w:color w:val="auto"/>
                <w:lang w:val="es-ES_tradnl" w:eastAsia="en-US"/>
              </w:rPr>
            </w:pPr>
          </w:p>
        </w:tc>
        <w:tc>
          <w:tcPr>
            <w:tcW w:w="917" w:type="dxa"/>
          </w:tcPr>
          <w:p w14:paraId="3C2BCA01" w14:textId="77777777" w:rsidR="0042679F" w:rsidRPr="00FB74CE" w:rsidRDefault="0042679F" w:rsidP="009A16E0">
            <w:pPr>
              <w:rPr>
                <w:rFonts w:ascii="ITC Avant Garde" w:eastAsia="Calibri" w:hAnsi="ITC Avant Garde" w:cs="Tahoma"/>
                <w:color w:val="auto"/>
                <w:lang w:val="es-ES_tradnl" w:eastAsia="en-US"/>
              </w:rPr>
            </w:pPr>
          </w:p>
        </w:tc>
        <w:tc>
          <w:tcPr>
            <w:tcW w:w="1526" w:type="dxa"/>
          </w:tcPr>
          <w:p w14:paraId="76F154F0" w14:textId="77777777" w:rsidR="0042679F" w:rsidRPr="00FB74CE" w:rsidRDefault="0042679F" w:rsidP="009A16E0">
            <w:pPr>
              <w:rPr>
                <w:rFonts w:ascii="ITC Avant Garde" w:eastAsia="Calibri" w:hAnsi="ITC Avant Garde" w:cs="Tahoma"/>
                <w:color w:val="auto"/>
                <w:lang w:val="es-ES_tradnl" w:eastAsia="en-US"/>
              </w:rPr>
            </w:pPr>
          </w:p>
        </w:tc>
      </w:tr>
    </w:tbl>
    <w:p w14:paraId="3108DA04" w14:textId="77777777" w:rsidR="00A62568" w:rsidRPr="00FB74CE" w:rsidRDefault="00A62568" w:rsidP="00A62568">
      <w:pPr>
        <w:rPr>
          <w:rFonts w:ascii="ITC Avant Garde" w:eastAsia="Calibri" w:hAnsi="ITC Avant Garde" w:cs="Tahoma"/>
          <w:color w:val="auto"/>
          <w:lang w:val="es-ES_tradnl" w:eastAsia="en-US"/>
        </w:rPr>
      </w:pPr>
    </w:p>
    <w:p w14:paraId="49CF0A28" w14:textId="18C061CB" w:rsidR="00FA3108" w:rsidRDefault="00FA3108" w:rsidP="00FA3108">
      <w:pPr>
        <w:jc w:val="both"/>
        <w:rPr>
          <w:rFonts w:ascii="ITC Avant Garde" w:hAnsi="ITC Avant Garde"/>
        </w:rPr>
      </w:pPr>
      <w:r w:rsidRPr="00FA3108">
        <w:rPr>
          <w:rFonts w:ascii="ITC Avant Garde" w:hAnsi="ITC Avant Garde"/>
        </w:rPr>
        <w:t>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27746CB5" w14:textId="77777777" w:rsidR="00FA3108" w:rsidRPr="00FA3108" w:rsidRDefault="00FA3108" w:rsidP="00FA3108">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FA3108" w:rsidRPr="00FA3108" w14:paraId="7F0E9609" w14:textId="77777777" w:rsidTr="0060638D">
        <w:tc>
          <w:tcPr>
            <w:tcW w:w="11330" w:type="dxa"/>
            <w:shd w:val="clear" w:color="auto" w:fill="70AD47" w:themeFill="accent6"/>
          </w:tcPr>
          <w:p w14:paraId="26C56DB6" w14:textId="77777777" w:rsidR="00FA3108" w:rsidRPr="00FA3108" w:rsidRDefault="00FA3108" w:rsidP="0060638D">
            <w:pPr>
              <w:jc w:val="center"/>
              <w:rPr>
                <w:rFonts w:ascii="ITC Avant Garde" w:hAnsi="ITC Avant Garde"/>
                <w:sz w:val="22"/>
                <w:szCs w:val="22"/>
              </w:rPr>
            </w:pPr>
            <w:r w:rsidRPr="00FA3108">
              <w:rPr>
                <w:rFonts w:ascii="ITC Avant Garde" w:hAnsi="ITC Avant Garde"/>
                <w:b/>
                <w:color w:val="FFFFFF" w:themeColor="background1"/>
                <w:sz w:val="22"/>
                <w:szCs w:val="22"/>
              </w:rPr>
              <w:t>AVISO DE PRIVACIDAD SIMPLIFICADO</w:t>
            </w:r>
          </w:p>
        </w:tc>
      </w:tr>
      <w:tr w:rsidR="00FA3108" w:rsidRPr="00FA3108" w14:paraId="61603D30" w14:textId="77777777" w:rsidTr="0060638D">
        <w:tc>
          <w:tcPr>
            <w:tcW w:w="11330" w:type="dxa"/>
          </w:tcPr>
          <w:p w14:paraId="20A6EEC8" w14:textId="77777777" w:rsidR="00691C5E" w:rsidRPr="00691C5E" w:rsidRDefault="00691C5E" w:rsidP="00691C5E">
            <w:pPr>
              <w:tabs>
                <w:tab w:val="left" w:pos="35"/>
              </w:tabs>
              <w:ind w:left="35" w:hanging="35"/>
              <w:jc w:val="both"/>
              <w:rPr>
                <w:rFonts w:ascii="ITC Avant Garde" w:hAnsi="ITC Avant Garde"/>
                <w:b/>
                <w:sz w:val="22"/>
                <w:szCs w:val="22"/>
                <w:lang w:val="es-MX"/>
              </w:rPr>
            </w:pPr>
            <w:r w:rsidRPr="00691C5E">
              <w:rPr>
                <w:rFonts w:ascii="ITC Avant Garde" w:hAnsi="ITC Avant Garde"/>
                <w:b/>
                <w:sz w:val="22"/>
                <w:szCs w:val="22"/>
                <w:lang w:val="es-MX"/>
              </w:rPr>
              <w:t>Responsable del tratamiento</w:t>
            </w:r>
          </w:p>
          <w:p w14:paraId="3F2322A8" w14:textId="77777777" w:rsidR="00691C5E" w:rsidRPr="00691C5E" w:rsidRDefault="00691C5E" w:rsidP="00691C5E">
            <w:pPr>
              <w:contextualSpacing/>
              <w:jc w:val="both"/>
              <w:rPr>
                <w:rFonts w:ascii="ITC Avant Garde" w:hAnsi="ITC Avant Garde"/>
                <w:sz w:val="22"/>
                <w:szCs w:val="22"/>
                <w:lang w:val="es-MX"/>
              </w:rPr>
            </w:pPr>
            <w:r w:rsidRPr="00691C5E">
              <w:rPr>
                <w:rFonts w:ascii="ITC Avant Garde" w:hAnsi="ITC Avant Garde"/>
                <w:sz w:val="22"/>
                <w:szCs w:val="22"/>
                <w:lang w:val="es-MX"/>
              </w:rPr>
              <w:t xml:space="preserve">El IFT, a través de la Dirección General de Supervisión, es el responsable del tratamiento de los datos personales que a continuación se recaban y se protegerán conforme a lo dispuesto por la Ley General de Protección de Datos Personales en Posesión de Sujetos Obligados, y demás normatividad que resulte aplicable. </w:t>
            </w:r>
          </w:p>
          <w:p w14:paraId="41F5631E" w14:textId="77777777" w:rsidR="00691C5E" w:rsidRPr="00691C5E" w:rsidRDefault="00691C5E" w:rsidP="00691C5E">
            <w:pPr>
              <w:pStyle w:val="NormalWeb"/>
              <w:spacing w:before="0" w:beforeAutospacing="0" w:after="0" w:afterAutospacing="0"/>
              <w:jc w:val="both"/>
              <w:rPr>
                <w:rFonts w:ascii="ITC Avant Garde" w:eastAsia="Arial" w:hAnsi="ITC Avant Garde" w:cs="Arial"/>
                <w:color w:val="000000"/>
                <w:sz w:val="22"/>
                <w:szCs w:val="22"/>
                <w:lang w:val="es-MX" w:eastAsia="es-MX"/>
              </w:rPr>
            </w:pPr>
          </w:p>
          <w:p w14:paraId="7DE858CD" w14:textId="77777777" w:rsidR="00691C5E" w:rsidRPr="00691C5E" w:rsidRDefault="00691C5E" w:rsidP="00691C5E">
            <w:pPr>
              <w:pStyle w:val="NormalWeb"/>
              <w:spacing w:before="0" w:beforeAutospacing="0" w:after="0" w:afterAutospacing="0"/>
              <w:jc w:val="both"/>
              <w:rPr>
                <w:rFonts w:ascii="ITC Avant Garde" w:eastAsia="Arial" w:hAnsi="ITC Avant Garde" w:cs="Arial"/>
                <w:b/>
                <w:color w:val="000000"/>
                <w:sz w:val="22"/>
                <w:szCs w:val="22"/>
                <w:lang w:val="es-MX" w:eastAsia="es-MX"/>
              </w:rPr>
            </w:pPr>
            <w:r w:rsidRPr="00691C5E">
              <w:rPr>
                <w:rFonts w:ascii="ITC Avant Garde" w:eastAsia="Arial" w:hAnsi="ITC Avant Garde" w:cs="Arial"/>
                <w:b/>
                <w:color w:val="000000"/>
                <w:sz w:val="22"/>
                <w:szCs w:val="22"/>
                <w:lang w:val="es-MX" w:eastAsia="es-MX"/>
              </w:rPr>
              <w:t xml:space="preserve">Las finalidades del tratamiento para las cuales se obtienen los datos personales </w:t>
            </w:r>
          </w:p>
          <w:p w14:paraId="55A3A7AF" w14:textId="77777777" w:rsidR="00691C5E" w:rsidRPr="00691C5E" w:rsidRDefault="00691C5E" w:rsidP="00691C5E">
            <w:pPr>
              <w:pStyle w:val="NormalWeb"/>
              <w:numPr>
                <w:ilvl w:val="0"/>
                <w:numId w:val="5"/>
              </w:numPr>
              <w:spacing w:before="0" w:beforeAutospacing="0" w:after="0" w:afterAutospacing="0"/>
              <w:contextualSpacing/>
              <w:jc w:val="both"/>
              <w:rPr>
                <w:rFonts w:ascii="ITC Avant Garde" w:eastAsia="Arial" w:hAnsi="ITC Avant Garde" w:cs="Arial"/>
                <w:color w:val="000000"/>
                <w:sz w:val="22"/>
                <w:szCs w:val="22"/>
                <w:lang w:val="es-MX" w:eastAsia="es-MX"/>
              </w:rPr>
            </w:pPr>
            <w:r w:rsidRPr="00691C5E">
              <w:rPr>
                <w:rFonts w:ascii="ITC Avant Garde" w:eastAsia="Arial" w:hAnsi="ITC Avant Garde" w:cs="Arial"/>
                <w:color w:val="000000"/>
                <w:sz w:val="22"/>
                <w:szCs w:val="22"/>
                <w:lang w:val="es-MX" w:eastAsia="es-MX"/>
              </w:rPr>
              <w:t>Dar seguimiento a su solicitud.</w:t>
            </w:r>
          </w:p>
          <w:p w14:paraId="0264BE1E" w14:textId="77777777" w:rsidR="00691C5E" w:rsidRPr="00691C5E" w:rsidRDefault="00691C5E" w:rsidP="00691C5E">
            <w:pPr>
              <w:pStyle w:val="NormalWeb"/>
              <w:numPr>
                <w:ilvl w:val="0"/>
                <w:numId w:val="5"/>
              </w:numPr>
              <w:spacing w:before="0" w:beforeAutospacing="0" w:after="0" w:afterAutospacing="0"/>
              <w:contextualSpacing/>
              <w:jc w:val="both"/>
              <w:rPr>
                <w:rFonts w:ascii="ITC Avant Garde" w:eastAsia="Arial" w:hAnsi="ITC Avant Garde" w:cs="Arial"/>
                <w:color w:val="000000"/>
                <w:sz w:val="22"/>
                <w:szCs w:val="22"/>
                <w:lang w:val="es-MX" w:eastAsia="es-MX"/>
              </w:rPr>
            </w:pPr>
            <w:r w:rsidRPr="00691C5E">
              <w:rPr>
                <w:rFonts w:ascii="ITC Avant Garde" w:eastAsia="Arial" w:hAnsi="ITC Avant Garde" w:cs="Arial"/>
                <w:color w:val="000000"/>
                <w:sz w:val="22"/>
                <w:szCs w:val="22"/>
                <w:lang w:val="es-MX" w:eastAsia="es-MX"/>
              </w:rPr>
              <w:t>Mantener un punto de contacto para comunicarse en caso de ser necesario.</w:t>
            </w:r>
          </w:p>
          <w:p w14:paraId="6DDE3AB2" w14:textId="77777777" w:rsidR="00691C5E" w:rsidRPr="00691C5E" w:rsidRDefault="00691C5E" w:rsidP="00691C5E">
            <w:pPr>
              <w:pStyle w:val="NormalWeb"/>
              <w:spacing w:before="0" w:beforeAutospacing="0" w:after="0" w:afterAutospacing="0"/>
              <w:jc w:val="both"/>
              <w:rPr>
                <w:rFonts w:ascii="ITC Avant Garde" w:eastAsia="Arial" w:hAnsi="ITC Avant Garde" w:cs="Arial"/>
                <w:color w:val="000000"/>
                <w:sz w:val="22"/>
                <w:szCs w:val="22"/>
                <w:lang w:val="es-MX" w:eastAsia="es-MX"/>
              </w:rPr>
            </w:pPr>
          </w:p>
          <w:p w14:paraId="017EA88B" w14:textId="77777777" w:rsidR="00691C5E" w:rsidRPr="00691C5E" w:rsidRDefault="00691C5E" w:rsidP="00691C5E">
            <w:pPr>
              <w:pStyle w:val="NormalWeb"/>
              <w:spacing w:before="0" w:beforeAutospacing="0" w:after="0" w:afterAutospacing="0"/>
              <w:jc w:val="both"/>
              <w:rPr>
                <w:rFonts w:ascii="ITC Avant Garde" w:eastAsia="Arial" w:hAnsi="ITC Avant Garde" w:cs="Arial"/>
                <w:b/>
                <w:color w:val="000000"/>
                <w:sz w:val="22"/>
                <w:szCs w:val="22"/>
                <w:lang w:val="es-MX" w:eastAsia="es-MX"/>
              </w:rPr>
            </w:pPr>
            <w:r w:rsidRPr="00691C5E">
              <w:rPr>
                <w:rFonts w:ascii="ITC Avant Garde" w:eastAsia="Arial" w:hAnsi="ITC Avant Garde" w:cs="Arial"/>
                <w:b/>
                <w:color w:val="000000"/>
                <w:sz w:val="22"/>
                <w:szCs w:val="22"/>
                <w:lang w:val="es-MX" w:eastAsia="es-MX"/>
              </w:rPr>
              <w:t xml:space="preserve">Transferencias de datos personales </w:t>
            </w:r>
          </w:p>
          <w:p w14:paraId="731499DC" w14:textId="77777777" w:rsidR="00691C5E" w:rsidRPr="00691C5E" w:rsidRDefault="00691C5E" w:rsidP="00691C5E">
            <w:pPr>
              <w:jc w:val="both"/>
              <w:rPr>
                <w:rFonts w:ascii="ITC Avant Garde" w:hAnsi="ITC Avant Garde"/>
                <w:sz w:val="22"/>
                <w:szCs w:val="22"/>
                <w:lang w:val="es-MX"/>
              </w:rPr>
            </w:pPr>
            <w:r w:rsidRPr="00691C5E">
              <w:rPr>
                <w:rFonts w:ascii="ITC Avant Garde" w:hAnsi="ITC Avant Garde"/>
                <w:sz w:val="22"/>
                <w:szCs w:val="22"/>
                <w:lang w:val="es-MX"/>
              </w:rPr>
              <w:t>El IFT, a través de la Dirección General de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785F840E" w14:textId="77777777" w:rsidR="00691C5E" w:rsidRPr="00691C5E" w:rsidRDefault="00691C5E" w:rsidP="00691C5E">
            <w:pPr>
              <w:jc w:val="both"/>
              <w:rPr>
                <w:rFonts w:ascii="ITC Avant Garde" w:hAnsi="ITC Avant Garde"/>
                <w:sz w:val="22"/>
                <w:szCs w:val="22"/>
                <w:lang w:val="es-MX"/>
              </w:rPr>
            </w:pPr>
          </w:p>
          <w:p w14:paraId="035A117D" w14:textId="77777777" w:rsidR="00691C5E" w:rsidRPr="00691C5E" w:rsidRDefault="00691C5E" w:rsidP="00691C5E">
            <w:pPr>
              <w:pStyle w:val="NormalWeb"/>
              <w:spacing w:before="0" w:beforeAutospacing="0" w:after="0" w:afterAutospacing="0"/>
              <w:jc w:val="both"/>
              <w:rPr>
                <w:rFonts w:ascii="ITC Avant Garde" w:eastAsia="Arial" w:hAnsi="ITC Avant Garde" w:cs="Arial"/>
                <w:b/>
                <w:color w:val="000000"/>
                <w:sz w:val="22"/>
                <w:szCs w:val="22"/>
                <w:lang w:val="es-MX" w:eastAsia="es-MX"/>
              </w:rPr>
            </w:pPr>
            <w:r w:rsidRPr="00691C5E">
              <w:rPr>
                <w:rFonts w:ascii="ITC Avant Garde" w:eastAsia="Arial" w:hAnsi="ITC Avant Garde" w:cs="Arial"/>
                <w:b/>
                <w:color w:val="000000"/>
                <w:sz w:val="22"/>
                <w:szCs w:val="22"/>
                <w:lang w:val="es-MX" w:eastAsia="es-MX"/>
              </w:rPr>
              <w:t>Ejercicio de los derechos ARCO</w:t>
            </w:r>
          </w:p>
          <w:p w14:paraId="315D9A63" w14:textId="77777777" w:rsidR="00691C5E" w:rsidRPr="00691C5E" w:rsidRDefault="00691C5E" w:rsidP="00691C5E">
            <w:pPr>
              <w:jc w:val="both"/>
              <w:rPr>
                <w:rFonts w:ascii="ITC Avant Garde" w:hAnsi="ITC Avant Garde"/>
                <w:sz w:val="22"/>
                <w:szCs w:val="22"/>
                <w:lang w:val="es-MX"/>
              </w:rPr>
            </w:pPr>
            <w:r w:rsidRPr="00691C5E">
              <w:rPr>
                <w:rFonts w:ascii="ITC Avant Garde" w:hAnsi="ITC Avant Garde"/>
                <w:sz w:val="22"/>
                <w:szCs w:val="22"/>
                <w:lang w:val="es-MX"/>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1" w:history="1">
              <w:r w:rsidRPr="00691C5E">
                <w:rPr>
                  <w:rFonts w:ascii="ITC Avant Garde" w:hAnsi="ITC Avant Garde"/>
                  <w:sz w:val="22"/>
                  <w:szCs w:val="22"/>
                  <w:lang w:val="es-MX"/>
                </w:rPr>
                <w:t>unidad.transparencia@ift.org.mx</w:t>
              </w:r>
            </w:hyperlink>
            <w:r w:rsidRPr="00691C5E">
              <w:rPr>
                <w:rFonts w:ascii="ITC Avant Garde" w:hAnsi="ITC Avant Garde"/>
                <w:sz w:val="22"/>
                <w:szCs w:val="22"/>
                <w:lang w:val="es-MX"/>
              </w:rPr>
              <w:t>.</w:t>
            </w:r>
          </w:p>
          <w:p w14:paraId="6EF8A7B8" w14:textId="77777777" w:rsidR="00691C5E" w:rsidRPr="00691C5E" w:rsidRDefault="00691C5E" w:rsidP="00691C5E">
            <w:pPr>
              <w:jc w:val="both"/>
              <w:rPr>
                <w:rFonts w:ascii="ITC Avant Garde" w:hAnsi="ITC Avant Garde"/>
                <w:sz w:val="22"/>
                <w:szCs w:val="22"/>
                <w:lang w:val="es-MX"/>
              </w:rPr>
            </w:pPr>
          </w:p>
          <w:p w14:paraId="5447434A" w14:textId="77777777" w:rsidR="00691C5E" w:rsidRPr="00691C5E" w:rsidRDefault="00691C5E" w:rsidP="00691C5E">
            <w:pPr>
              <w:pStyle w:val="NormalWeb"/>
              <w:spacing w:before="0" w:beforeAutospacing="0" w:after="0" w:afterAutospacing="0"/>
              <w:jc w:val="both"/>
              <w:rPr>
                <w:rFonts w:ascii="ITC Avant Garde" w:eastAsia="Arial" w:hAnsi="ITC Avant Garde" w:cs="Arial"/>
                <w:b/>
                <w:color w:val="000000"/>
                <w:sz w:val="22"/>
                <w:szCs w:val="22"/>
                <w:lang w:val="es-MX" w:eastAsia="es-MX"/>
              </w:rPr>
            </w:pPr>
            <w:r w:rsidRPr="00691C5E">
              <w:rPr>
                <w:rFonts w:ascii="ITC Avant Garde" w:eastAsia="Arial" w:hAnsi="ITC Avant Garde" w:cs="Arial"/>
                <w:b/>
                <w:color w:val="000000"/>
                <w:sz w:val="22"/>
                <w:szCs w:val="22"/>
                <w:lang w:val="es-MX" w:eastAsia="es-MX"/>
              </w:rPr>
              <w:t>Aviso de privacidad Integral</w:t>
            </w:r>
          </w:p>
          <w:p w14:paraId="483CD911" w14:textId="4CED5B0E" w:rsidR="00FA3108" w:rsidRPr="00FA3108" w:rsidRDefault="00691C5E" w:rsidP="00691C5E">
            <w:pPr>
              <w:jc w:val="both"/>
              <w:rPr>
                <w:rFonts w:ascii="ITC Avant Garde" w:hAnsi="ITC Avant Garde"/>
                <w:sz w:val="22"/>
                <w:szCs w:val="22"/>
                <w:lang w:val="es-MX"/>
              </w:rPr>
            </w:pPr>
            <w:r w:rsidRPr="00691C5E">
              <w:rPr>
                <w:rFonts w:ascii="ITC Avant Garde" w:hAnsi="ITC Avant Garde"/>
                <w:sz w:val="22"/>
                <w:szCs w:val="22"/>
                <w:lang w:val="es-MX"/>
              </w:rPr>
              <w:t xml:space="preserve">El Aviso de Privacidad integral se encuentra disponible físicamente en las oficinas de la Dirección de Supervisión de Telecomunicaciones del IFT y electrónicamente en el micrositio “Avisos de privacidad”: </w:t>
            </w:r>
            <w:hyperlink r:id="rId12" w:history="1">
              <w:r w:rsidRPr="00691C5E">
                <w:rPr>
                  <w:rFonts w:ascii="ITC Avant Garde" w:hAnsi="ITC Avant Garde"/>
                  <w:sz w:val="22"/>
                  <w:szCs w:val="22"/>
                  <w:lang w:val="es-MX"/>
                </w:rPr>
                <w:t>http://www.ift.org.mx/avisos-de-privacidad</w:t>
              </w:r>
            </w:hyperlink>
            <w:r w:rsidRPr="00691C5E">
              <w:rPr>
                <w:rFonts w:ascii="ITC Avant Garde" w:hAnsi="ITC Avant Garde"/>
                <w:sz w:val="22"/>
                <w:szCs w:val="22"/>
                <w:lang w:val="es-MX"/>
              </w:rPr>
              <w:t xml:space="preserve">, </w:t>
            </w:r>
            <w:r w:rsidRPr="00691C5E">
              <w:rPr>
                <w:rFonts w:ascii="ITC Avant Garde" w:hAnsi="ITC Avant Garde"/>
                <w:sz w:val="22"/>
                <w:szCs w:val="22"/>
                <w:lang w:val="es-MX"/>
              </w:rPr>
              <w:t>medios a través de los cuales el IFT comunicará a los titulares de los datos los cambios al aviso de privacidad.</w:t>
            </w:r>
          </w:p>
        </w:tc>
      </w:tr>
    </w:tbl>
    <w:p w14:paraId="67C76CE1" w14:textId="6EBE13EF" w:rsidR="00A62568" w:rsidRDefault="00A62568" w:rsidP="00FA3108">
      <w:pPr>
        <w:jc w:val="both"/>
        <w:rPr>
          <w:rFonts w:ascii="ITC Avant Garde" w:hAnsi="ITC Avant Garde"/>
        </w:rPr>
      </w:pPr>
    </w:p>
    <w:p w14:paraId="0D0FAA8C" w14:textId="63CF1237" w:rsidR="00691C5E" w:rsidRDefault="00691C5E" w:rsidP="00FA3108">
      <w:pPr>
        <w:jc w:val="both"/>
        <w:rPr>
          <w:rFonts w:ascii="ITC Avant Garde" w:hAnsi="ITC Avant Garde"/>
        </w:rPr>
      </w:pPr>
    </w:p>
    <w:p w14:paraId="19FAB9F3" w14:textId="57602D98" w:rsidR="00691C5E" w:rsidRDefault="00691C5E" w:rsidP="00FA3108">
      <w:pPr>
        <w:jc w:val="both"/>
        <w:rPr>
          <w:rFonts w:ascii="ITC Avant Garde" w:hAnsi="ITC Avant Garde"/>
        </w:rPr>
      </w:pPr>
    </w:p>
    <w:p w14:paraId="1FC1F5DD" w14:textId="57BA3057" w:rsidR="00691C5E" w:rsidRDefault="00691C5E" w:rsidP="00FA3108">
      <w:pPr>
        <w:jc w:val="both"/>
        <w:rPr>
          <w:rFonts w:ascii="ITC Avant Garde" w:hAnsi="ITC Avant Garde"/>
        </w:rPr>
      </w:pPr>
    </w:p>
    <w:p w14:paraId="1CDD6F9F" w14:textId="703AC44B" w:rsidR="00691C5E" w:rsidRDefault="00691C5E" w:rsidP="00FA3108">
      <w:pPr>
        <w:jc w:val="both"/>
        <w:rPr>
          <w:rFonts w:ascii="ITC Avant Garde" w:hAnsi="ITC Avant Garde"/>
        </w:rPr>
      </w:pPr>
    </w:p>
    <w:p w14:paraId="19896FE1" w14:textId="77777777" w:rsidR="00691C5E" w:rsidRPr="00FA3108" w:rsidRDefault="00691C5E" w:rsidP="00FA3108">
      <w:pPr>
        <w:jc w:val="both"/>
        <w:rPr>
          <w:rFonts w:ascii="ITC Avant Garde" w:hAnsi="ITC Avant Garde"/>
        </w:rPr>
      </w:pPr>
    </w:p>
    <w:p w14:paraId="68A8F25D" w14:textId="77777777" w:rsidR="00A62568" w:rsidRPr="009D679B" w:rsidRDefault="00A62568" w:rsidP="00A62568">
      <w:pPr>
        <w:jc w:val="center"/>
        <w:rPr>
          <w:rFonts w:ascii="ITC Avant Garde" w:eastAsia="Calibri" w:hAnsi="ITC Avant Garde" w:cs="Tahoma"/>
          <w:b/>
          <w:color w:val="auto"/>
          <w:lang w:val="es-ES_tradnl" w:eastAsia="en-US"/>
        </w:rPr>
      </w:pPr>
      <w:r w:rsidRPr="009D679B">
        <w:rPr>
          <w:rFonts w:ascii="ITC Avant Garde" w:eastAsia="Calibri" w:hAnsi="ITC Avant Garde" w:cs="Tahoma"/>
          <w:b/>
          <w:color w:val="auto"/>
          <w:lang w:val="es-ES_tradnl" w:eastAsia="en-US"/>
        </w:rPr>
        <w:t>Firma: __________________________________________________________</w:t>
      </w:r>
    </w:p>
    <w:p w14:paraId="3466D8F1" w14:textId="77777777" w:rsidR="00A62568" w:rsidRPr="009D679B" w:rsidRDefault="00A62568" w:rsidP="00A62568">
      <w:pPr>
        <w:jc w:val="center"/>
        <w:rPr>
          <w:rFonts w:ascii="ITC Avant Garde" w:eastAsia="Calibri" w:hAnsi="ITC Avant Garde" w:cs="Tahoma"/>
          <w:b/>
          <w:color w:val="auto"/>
          <w:lang w:val="es-ES_tradnl" w:eastAsia="en-US"/>
        </w:rPr>
      </w:pPr>
      <w:r w:rsidRPr="009D679B">
        <w:rPr>
          <w:rFonts w:ascii="ITC Avant Garde" w:eastAsia="Calibri" w:hAnsi="ITC Avant Garde" w:cs="Tahoma"/>
          <w:b/>
          <w:color w:val="auto"/>
          <w:lang w:val="es-ES_tradnl" w:eastAsia="en-US"/>
        </w:rPr>
        <w:t>Nombre: ________________________________________________________</w:t>
      </w:r>
    </w:p>
    <w:p w14:paraId="689D5264" w14:textId="77777777" w:rsidR="00A62568" w:rsidRDefault="00A62568" w:rsidP="00A62568">
      <w:pPr>
        <w:jc w:val="center"/>
        <w:rPr>
          <w:rFonts w:ascii="ITC Avant Garde" w:eastAsia="Calibri" w:hAnsi="ITC Avant Garde" w:cs="Tahoma"/>
          <w:b/>
          <w:color w:val="auto"/>
          <w:lang w:val="es-ES_tradnl" w:eastAsia="en-US"/>
        </w:rPr>
      </w:pPr>
      <w:r w:rsidRPr="009D679B">
        <w:rPr>
          <w:rFonts w:ascii="ITC Avant Garde" w:eastAsia="Calibri" w:hAnsi="ITC Avant Garde" w:cs="Tahoma"/>
          <w:b/>
          <w:color w:val="auto"/>
          <w:lang w:val="es-ES_tradnl" w:eastAsia="en-US"/>
        </w:rPr>
        <w:t>(Nombre y firma del representante legal</w:t>
      </w:r>
      <w:r>
        <w:rPr>
          <w:rFonts w:ascii="ITC Avant Garde" w:eastAsia="Calibri" w:hAnsi="ITC Avant Garde" w:cs="Tahoma"/>
          <w:b/>
          <w:color w:val="auto"/>
          <w:lang w:val="es-ES_tradnl" w:eastAsia="en-US"/>
        </w:rPr>
        <w:t xml:space="preserve"> del auditor</w:t>
      </w:r>
      <w:r w:rsidRPr="009D679B">
        <w:rPr>
          <w:rFonts w:ascii="ITC Avant Garde" w:eastAsia="Calibri" w:hAnsi="ITC Avant Garde" w:cs="Tahoma"/>
          <w:b/>
          <w:color w:val="auto"/>
          <w:lang w:val="es-ES_tradnl" w:eastAsia="en-US"/>
        </w:rPr>
        <w:t>)</w:t>
      </w:r>
    </w:p>
    <w:p w14:paraId="766EB30C" w14:textId="77777777" w:rsidR="00A62568" w:rsidRPr="00FB74CE" w:rsidRDefault="00A62568" w:rsidP="00A62568">
      <w:pPr>
        <w:rPr>
          <w:rFonts w:ascii="ITC Avant Garde" w:eastAsia="Calibri" w:hAnsi="ITC Avant Garde" w:cs="Tahoma"/>
          <w:b/>
          <w:color w:val="auto"/>
          <w:lang w:val="es-ES_tradnl" w:eastAsia="en-US"/>
        </w:rPr>
      </w:pPr>
    </w:p>
    <w:p w14:paraId="0FD7C2B5" w14:textId="77777777" w:rsidR="00A62568" w:rsidRPr="00FB74CE" w:rsidRDefault="00A62568" w:rsidP="00A62568">
      <w:pPr>
        <w:jc w:val="both"/>
        <w:rPr>
          <w:rFonts w:ascii="ITC Avant Garde" w:eastAsia="Calibri" w:hAnsi="ITC Avant Garde" w:cs="Tahoma"/>
          <w:color w:val="auto"/>
          <w:sz w:val="20"/>
          <w:szCs w:val="20"/>
          <w:lang w:val="es-ES_tradnl" w:eastAsia="en-US"/>
        </w:rPr>
      </w:pPr>
      <w:r w:rsidRPr="00FB74CE">
        <w:rPr>
          <w:rFonts w:ascii="ITC Avant Garde" w:eastAsia="Calibri" w:hAnsi="ITC Avant Garde" w:cs="Tahoma"/>
          <w:color w:val="auto"/>
          <w:sz w:val="20"/>
          <w:szCs w:val="20"/>
          <w:lang w:val="es-ES_tradnl" w:eastAsia="en-US"/>
        </w:rPr>
        <w:t>Reporte debidamente requisitado y firmado con tinta azul por el Representante legal del Auditor, quien deberá acreditar su personalidad con copia certificada del instrumento otorgado ante fedatario público en donde se acredite la personalidad con que se ostenta.</w:t>
      </w:r>
    </w:p>
    <w:p w14:paraId="63554A3B" w14:textId="77777777" w:rsidR="00A62568" w:rsidRDefault="00A62568" w:rsidP="00A62568">
      <w:pPr>
        <w:pStyle w:val="Prrafodelista"/>
        <w:widowControl w:val="0"/>
        <w:spacing w:line="240" w:lineRule="auto"/>
        <w:ind w:left="708" w:hanging="282"/>
        <w:jc w:val="center"/>
        <w:rPr>
          <w:rFonts w:ascii="ITC Avant Garde" w:hAnsi="ITC Avant Garde"/>
          <w:b/>
          <w:lang w:val="es-ES_tradnl"/>
        </w:rPr>
      </w:pPr>
    </w:p>
    <w:sectPr w:rsidR="00A62568">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55AA" w14:textId="77777777" w:rsidR="0042679F" w:rsidRDefault="0042679F" w:rsidP="0042679F">
      <w:pPr>
        <w:spacing w:line="240" w:lineRule="auto"/>
      </w:pPr>
      <w:r>
        <w:separator/>
      </w:r>
    </w:p>
  </w:endnote>
  <w:endnote w:type="continuationSeparator" w:id="0">
    <w:p w14:paraId="0D34EE34" w14:textId="77777777" w:rsidR="0042679F" w:rsidRDefault="0042679F" w:rsidP="00426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925F" w14:textId="4EAC2EA7" w:rsidR="0042679F" w:rsidRPr="0042679F" w:rsidRDefault="0042679F">
    <w:pPr>
      <w:tabs>
        <w:tab w:val="center" w:pos="4550"/>
        <w:tab w:val="left" w:pos="5818"/>
      </w:tabs>
      <w:ind w:right="260"/>
      <w:jc w:val="right"/>
      <w:rPr>
        <w:color w:val="222A35" w:themeColor="text2" w:themeShade="80"/>
        <w:sz w:val="16"/>
        <w:szCs w:val="16"/>
      </w:rPr>
    </w:pPr>
    <w:r w:rsidRPr="0042679F">
      <w:rPr>
        <w:color w:val="8496B0" w:themeColor="text2" w:themeTint="99"/>
        <w:spacing w:val="60"/>
        <w:sz w:val="16"/>
        <w:szCs w:val="16"/>
        <w:lang w:val="es-ES"/>
      </w:rPr>
      <w:t>Página</w:t>
    </w:r>
    <w:r w:rsidRPr="0042679F">
      <w:rPr>
        <w:color w:val="8496B0" w:themeColor="text2" w:themeTint="99"/>
        <w:sz w:val="16"/>
        <w:szCs w:val="16"/>
        <w:lang w:val="es-ES"/>
      </w:rPr>
      <w:t xml:space="preserve"> </w:t>
    </w:r>
    <w:r w:rsidRPr="0042679F">
      <w:rPr>
        <w:color w:val="323E4F" w:themeColor="text2" w:themeShade="BF"/>
        <w:sz w:val="16"/>
        <w:szCs w:val="16"/>
      </w:rPr>
      <w:fldChar w:fldCharType="begin"/>
    </w:r>
    <w:r w:rsidRPr="0042679F">
      <w:rPr>
        <w:color w:val="323E4F" w:themeColor="text2" w:themeShade="BF"/>
        <w:sz w:val="16"/>
        <w:szCs w:val="16"/>
      </w:rPr>
      <w:instrText>PAGE   \* MERGEFORMAT</w:instrText>
    </w:r>
    <w:r w:rsidRPr="0042679F">
      <w:rPr>
        <w:color w:val="323E4F" w:themeColor="text2" w:themeShade="BF"/>
        <w:sz w:val="16"/>
        <w:szCs w:val="16"/>
      </w:rPr>
      <w:fldChar w:fldCharType="separate"/>
    </w:r>
    <w:r w:rsidR="00691C5E" w:rsidRPr="00691C5E">
      <w:rPr>
        <w:noProof/>
        <w:color w:val="323E4F" w:themeColor="text2" w:themeShade="BF"/>
        <w:sz w:val="16"/>
        <w:szCs w:val="16"/>
        <w:lang w:val="es-ES"/>
      </w:rPr>
      <w:t>4</w:t>
    </w:r>
    <w:r w:rsidRPr="0042679F">
      <w:rPr>
        <w:color w:val="323E4F" w:themeColor="text2" w:themeShade="BF"/>
        <w:sz w:val="16"/>
        <w:szCs w:val="16"/>
      </w:rPr>
      <w:fldChar w:fldCharType="end"/>
    </w:r>
    <w:r w:rsidRPr="0042679F">
      <w:rPr>
        <w:color w:val="323E4F" w:themeColor="text2" w:themeShade="BF"/>
        <w:sz w:val="16"/>
        <w:szCs w:val="16"/>
        <w:lang w:val="es-ES"/>
      </w:rPr>
      <w:t xml:space="preserve"> | </w:t>
    </w:r>
    <w:r w:rsidRPr="0042679F">
      <w:rPr>
        <w:color w:val="323E4F" w:themeColor="text2" w:themeShade="BF"/>
        <w:sz w:val="16"/>
        <w:szCs w:val="16"/>
      </w:rPr>
      <w:fldChar w:fldCharType="begin"/>
    </w:r>
    <w:r w:rsidRPr="0042679F">
      <w:rPr>
        <w:color w:val="323E4F" w:themeColor="text2" w:themeShade="BF"/>
        <w:sz w:val="16"/>
        <w:szCs w:val="16"/>
      </w:rPr>
      <w:instrText>NUMPAGES  \* Arabic  \* MERGEFORMAT</w:instrText>
    </w:r>
    <w:r w:rsidRPr="0042679F">
      <w:rPr>
        <w:color w:val="323E4F" w:themeColor="text2" w:themeShade="BF"/>
        <w:sz w:val="16"/>
        <w:szCs w:val="16"/>
      </w:rPr>
      <w:fldChar w:fldCharType="separate"/>
    </w:r>
    <w:r w:rsidR="00691C5E" w:rsidRPr="00691C5E">
      <w:rPr>
        <w:noProof/>
        <w:color w:val="323E4F" w:themeColor="text2" w:themeShade="BF"/>
        <w:sz w:val="16"/>
        <w:szCs w:val="16"/>
        <w:lang w:val="es-ES"/>
      </w:rPr>
      <w:t>6</w:t>
    </w:r>
    <w:r w:rsidRPr="0042679F">
      <w:rPr>
        <w:color w:val="323E4F" w:themeColor="text2" w:themeShade="BF"/>
        <w:sz w:val="16"/>
        <w:szCs w:val="16"/>
      </w:rPr>
      <w:fldChar w:fldCharType="end"/>
    </w:r>
  </w:p>
  <w:p w14:paraId="74FDA863" w14:textId="77777777" w:rsidR="0042679F" w:rsidRDefault="00426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B4361" w14:textId="77777777" w:rsidR="0042679F" w:rsidRDefault="0042679F" w:rsidP="0042679F">
      <w:pPr>
        <w:spacing w:line="240" w:lineRule="auto"/>
      </w:pPr>
      <w:r>
        <w:separator/>
      </w:r>
    </w:p>
  </w:footnote>
  <w:footnote w:type="continuationSeparator" w:id="0">
    <w:p w14:paraId="4A1E46EA" w14:textId="77777777" w:rsidR="0042679F" w:rsidRDefault="0042679F" w:rsidP="004267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83F66"/>
    <w:multiLevelType w:val="hybridMultilevel"/>
    <w:tmpl w:val="424260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15:restartNumberingAfterBreak="0">
    <w:nsid w:val="3FF31133"/>
    <w:multiLevelType w:val="hybridMultilevel"/>
    <w:tmpl w:val="FFC01F34"/>
    <w:lvl w:ilvl="0" w:tplc="B2B2E5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68"/>
    <w:rsid w:val="00045A72"/>
    <w:rsid w:val="000F05D5"/>
    <w:rsid w:val="00154597"/>
    <w:rsid w:val="003509D7"/>
    <w:rsid w:val="0042679F"/>
    <w:rsid w:val="004371C6"/>
    <w:rsid w:val="00680345"/>
    <w:rsid w:val="0068057F"/>
    <w:rsid w:val="00691C5E"/>
    <w:rsid w:val="00A62568"/>
    <w:rsid w:val="00B406A7"/>
    <w:rsid w:val="00CA110B"/>
    <w:rsid w:val="00FA3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FB2A"/>
  <w15:chartTrackingRefBased/>
  <w15:docId w15:val="{A9B823F6-C63F-4349-A220-2790DCA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2568"/>
    <w:pPr>
      <w:spacing w:after="0" w:line="276" w:lineRule="auto"/>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2568"/>
    <w:pPr>
      <w:ind w:left="720"/>
      <w:contextualSpacing/>
    </w:pPr>
  </w:style>
  <w:style w:type="character" w:customStyle="1" w:styleId="PrrafodelistaCar">
    <w:name w:val="Párrafo de lista Car"/>
    <w:link w:val="Prrafodelista"/>
    <w:uiPriority w:val="34"/>
    <w:rsid w:val="00A62568"/>
    <w:rPr>
      <w:rFonts w:ascii="Arial" w:eastAsia="Arial" w:hAnsi="Arial" w:cs="Arial"/>
      <w:color w:val="000000"/>
      <w:lang w:eastAsia="es-MX"/>
    </w:rPr>
  </w:style>
  <w:style w:type="character" w:styleId="Hipervnculo">
    <w:name w:val="Hyperlink"/>
    <w:basedOn w:val="Fuentedeprrafopredeter"/>
    <w:uiPriority w:val="99"/>
    <w:unhideWhenUsed/>
    <w:rsid w:val="00A62568"/>
    <w:rPr>
      <w:color w:val="0563C1" w:themeColor="hyperlink"/>
      <w:u w:val="single"/>
    </w:rPr>
  </w:style>
  <w:style w:type="paragraph" w:styleId="Sinespaciado">
    <w:name w:val="No Spacing"/>
    <w:uiPriority w:val="1"/>
    <w:qFormat/>
    <w:rsid w:val="00A62568"/>
    <w:pPr>
      <w:spacing w:after="0" w:line="240" w:lineRule="auto"/>
    </w:pPr>
    <w:rPr>
      <w:rFonts w:ascii="Calibri" w:eastAsia="Calibri" w:hAnsi="Calibri" w:cs="Times New Roman"/>
    </w:rPr>
  </w:style>
  <w:style w:type="table" w:styleId="Tablaconcuadrcula">
    <w:name w:val="Table Grid"/>
    <w:basedOn w:val="Tablanormal"/>
    <w:uiPriority w:val="59"/>
    <w:rsid w:val="00A6256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679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79F"/>
    <w:rPr>
      <w:rFonts w:ascii="Arial" w:eastAsia="Arial" w:hAnsi="Arial" w:cs="Arial"/>
      <w:color w:val="000000"/>
      <w:lang w:eastAsia="es-MX"/>
    </w:rPr>
  </w:style>
  <w:style w:type="paragraph" w:styleId="Piedepgina">
    <w:name w:val="footer"/>
    <w:basedOn w:val="Normal"/>
    <w:link w:val="PiedepginaCar"/>
    <w:uiPriority w:val="99"/>
    <w:unhideWhenUsed/>
    <w:rsid w:val="004267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79F"/>
    <w:rPr>
      <w:rFonts w:ascii="Arial" w:eastAsia="Arial" w:hAnsi="Arial" w:cs="Arial"/>
      <w:color w:val="000000"/>
      <w:lang w:eastAsia="es-MX"/>
    </w:rPr>
  </w:style>
  <w:style w:type="paragraph" w:styleId="NormalWeb">
    <w:name w:val="Normal (Web)"/>
    <w:basedOn w:val="Normal"/>
    <w:uiPriority w:val="99"/>
    <w:unhideWhenUsed/>
    <w:rsid w:val="00FA3108"/>
    <w:pPr>
      <w:spacing w:before="100" w:beforeAutospacing="1" w:after="100" w:afterAutospacing="1" w:line="240" w:lineRule="auto"/>
    </w:pPr>
    <w:rPr>
      <w:rFonts w:ascii="Times" w:eastAsia="Arial Unicode MS" w:hAnsi="Times" w:cs="Times New Roman"/>
      <w:color w:val="auto"/>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t.org.mx/avisos-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idad.transparencia@ift.org.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porte.oss@ift.org.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76770-B0A7-4CBC-BDB5-A6F5E6931AA8}">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2A0A3DD-8DF5-425C-957A-8660F95DB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58A9E6-D77F-46BD-BEE6-8DAA3FD4C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dc:creator>
  <cp:keywords/>
  <dc:description/>
  <cp:lastModifiedBy>Norma Angelica Esperilla Villanueva</cp:lastModifiedBy>
  <cp:revision>8</cp:revision>
  <dcterms:created xsi:type="dcterms:W3CDTF">2019-07-17T16:51:00Z</dcterms:created>
  <dcterms:modified xsi:type="dcterms:W3CDTF">2019-10-29T17:12:00Z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