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ADFE" w14:textId="655D59EF" w:rsidR="005C4994" w:rsidRPr="003E2DCE" w:rsidRDefault="005C4994" w:rsidP="000F2BB7">
      <w:pPr>
        <w:jc w:val="center"/>
        <w:rPr>
          <w:rFonts w:ascii="Arial" w:hAnsi="Arial" w:cs="Arial"/>
          <w:b/>
          <w:szCs w:val="16"/>
        </w:rPr>
      </w:pPr>
      <w:bookmarkStart w:id="0" w:name="_GoBack"/>
      <w:bookmarkEnd w:id="0"/>
      <w:r w:rsidRPr="00875A0E">
        <w:rPr>
          <w:rFonts w:ascii="Arial" w:hAnsi="Arial"/>
          <w:b/>
          <w:szCs w:val="16"/>
        </w:rPr>
        <w:t>FORM TO PARTICIPATE IN THE PUBLIC CONSULTATION</w:t>
      </w:r>
    </w:p>
    <w:p w14:paraId="6E76D0AC" w14:textId="77777777" w:rsidR="005C4994" w:rsidRPr="003E2DCE" w:rsidRDefault="005C4994" w:rsidP="003E2DCE">
      <w:pPr>
        <w:jc w:val="both"/>
        <w:rPr>
          <w:rFonts w:ascii="Arial" w:hAnsi="Arial" w:cs="Arial"/>
          <w:b/>
          <w:sz w:val="16"/>
          <w:szCs w:val="16"/>
        </w:rPr>
      </w:pPr>
      <w:r>
        <w:rPr>
          <w:rFonts w:ascii="Arial" w:hAnsi="Arial"/>
          <w:b/>
          <w:sz w:val="16"/>
          <w:szCs w:val="16"/>
        </w:rPr>
        <w:t>How to fill out and participate:</w:t>
      </w:r>
    </w:p>
    <w:p w14:paraId="5F3049CC" w14:textId="7A92AD4D" w:rsidR="005C4994" w:rsidRPr="00875A0E" w:rsidRDefault="005C4994" w:rsidP="00FA389B">
      <w:pPr>
        <w:pStyle w:val="Prrafodelista"/>
        <w:numPr>
          <w:ilvl w:val="0"/>
          <w:numId w:val="1"/>
        </w:numPr>
        <w:jc w:val="both"/>
        <w:rPr>
          <w:rFonts w:ascii="Arial" w:hAnsi="Arial" w:cs="Arial"/>
          <w:sz w:val="16"/>
          <w:szCs w:val="16"/>
        </w:rPr>
      </w:pPr>
      <w:r w:rsidRPr="00875A0E">
        <w:rPr>
          <w:rFonts w:ascii="Arial" w:hAnsi="Arial"/>
          <w:sz w:val="16"/>
          <w:szCs w:val="16"/>
        </w:rPr>
        <w:t xml:space="preserve">Opinions, comments and proposals shall be submitted to the following electronic mail: </w:t>
      </w:r>
      <w:hyperlink r:id="rId11" w:history="1">
        <w:r w:rsidRPr="00875A0E">
          <w:rPr>
            <w:rStyle w:val="Hipervnculo"/>
            <w:rFonts w:ascii="Arial" w:hAnsi="Arial"/>
            <w:sz w:val="16"/>
            <w:szCs w:val="16"/>
          </w:rPr>
          <w:t>mee@ift.org.mx</w:t>
        </w:r>
      </w:hyperlink>
      <w:r w:rsidRPr="00875A0E">
        <w:rPr>
          <w:rFonts w:ascii="Arial" w:hAnsi="Arial"/>
          <w:sz w:val="16"/>
          <w:szCs w:val="16"/>
        </w:rPr>
        <w:t>. Maximum file size is 25 M</w:t>
      </w:r>
      <w:r w:rsidR="001613C0">
        <w:rPr>
          <w:rFonts w:ascii="Arial" w:hAnsi="Arial"/>
          <w:sz w:val="16"/>
          <w:szCs w:val="16"/>
        </w:rPr>
        <w:t>B</w:t>
      </w:r>
      <w:r w:rsidRPr="00875A0E">
        <w:rPr>
          <w:rFonts w:ascii="Arial" w:hAnsi="Arial"/>
          <w:sz w:val="16"/>
          <w:szCs w:val="16"/>
        </w:rPr>
        <w:t>.</w:t>
      </w:r>
    </w:p>
    <w:p w14:paraId="5A8C05ED" w14:textId="77777777" w:rsidR="005C4994" w:rsidRPr="00875A0E" w:rsidRDefault="005C4994" w:rsidP="003E2DCE">
      <w:pPr>
        <w:pStyle w:val="Prrafodelista"/>
        <w:numPr>
          <w:ilvl w:val="0"/>
          <w:numId w:val="1"/>
        </w:numPr>
        <w:jc w:val="both"/>
        <w:rPr>
          <w:rFonts w:ascii="Arial" w:hAnsi="Arial" w:cs="Arial"/>
          <w:sz w:val="16"/>
          <w:szCs w:val="16"/>
        </w:rPr>
      </w:pPr>
      <w:r w:rsidRPr="00875A0E">
        <w:rPr>
          <w:rFonts w:ascii="Arial" w:hAnsi="Arial"/>
          <w:sz w:val="16"/>
          <w:szCs w:val="16"/>
        </w:rPr>
        <w:t>Enter your full name (name and last name), company name or the legal representative’s full name (name and last name). In this last case, select the type of document to accredit such representation and submit as attachment a legible electronic copy to the same electronic mail address.</w:t>
      </w:r>
    </w:p>
    <w:p w14:paraId="48CC47BD" w14:textId="77777777" w:rsidR="005C4994" w:rsidRPr="00875A0E" w:rsidRDefault="005C4994" w:rsidP="003E2DCE">
      <w:pPr>
        <w:pStyle w:val="Prrafodelista"/>
        <w:numPr>
          <w:ilvl w:val="0"/>
          <w:numId w:val="1"/>
        </w:numPr>
        <w:jc w:val="both"/>
        <w:rPr>
          <w:rFonts w:ascii="Arial" w:hAnsi="Arial" w:cs="Arial"/>
          <w:sz w:val="16"/>
          <w:szCs w:val="16"/>
        </w:rPr>
      </w:pPr>
      <w:r w:rsidRPr="00875A0E">
        <w:rPr>
          <w:rFonts w:ascii="Arial" w:hAnsi="Arial"/>
          <w:sz w:val="16"/>
          <w:szCs w:val="16"/>
        </w:rPr>
        <w:t xml:space="preserve">Read carefully the </w:t>
      </w:r>
      <w:r w:rsidRPr="00875A0E">
        <w:rPr>
          <w:rFonts w:ascii="Arial" w:hAnsi="Arial"/>
          <w:b/>
          <w:sz w:val="16"/>
          <w:szCs w:val="16"/>
        </w:rPr>
        <w:t>PRIVACY POLICY</w:t>
      </w:r>
      <w:r w:rsidRPr="00875A0E">
        <w:rPr>
          <w:rFonts w:ascii="Arial" w:hAnsi="Arial"/>
          <w:sz w:val="16"/>
          <w:szCs w:val="16"/>
        </w:rPr>
        <w:t xml:space="preserve"> to become aware of the care and safeguard of your personal data, as well as of the publicity to be given to the comments, opinions and contributions you submit as part of this consultation process.</w:t>
      </w:r>
    </w:p>
    <w:p w14:paraId="5FE8F40D" w14:textId="4C26BB2F" w:rsidR="005C4994" w:rsidRPr="00875A0E" w:rsidRDefault="005C4994" w:rsidP="003E2DCE">
      <w:pPr>
        <w:pStyle w:val="Prrafodelista"/>
        <w:numPr>
          <w:ilvl w:val="0"/>
          <w:numId w:val="1"/>
        </w:numPr>
        <w:jc w:val="both"/>
        <w:rPr>
          <w:rFonts w:ascii="Arial" w:hAnsi="Arial" w:cs="Arial"/>
          <w:sz w:val="16"/>
          <w:szCs w:val="16"/>
        </w:rPr>
      </w:pPr>
      <w:r w:rsidRPr="00875A0E">
        <w:rPr>
          <w:rFonts w:ascii="Arial" w:hAnsi="Arial"/>
          <w:sz w:val="16"/>
          <w:szCs w:val="16"/>
        </w:rPr>
        <w:t xml:space="preserve">Enter your comments according to the structure </w:t>
      </w:r>
      <w:r w:rsidR="00714FDB" w:rsidRPr="00875A0E">
        <w:rPr>
          <w:rFonts w:ascii="Arial" w:hAnsi="Arial"/>
          <w:sz w:val="16"/>
          <w:szCs w:val="16"/>
        </w:rPr>
        <w:t>indicated</w:t>
      </w:r>
      <w:r w:rsidRPr="00875A0E">
        <w:rPr>
          <w:rFonts w:ascii="Arial" w:hAnsi="Arial"/>
          <w:sz w:val="16"/>
          <w:szCs w:val="16"/>
        </w:rPr>
        <w:t xml:space="preserve"> in Section II.</w:t>
      </w:r>
    </w:p>
    <w:p w14:paraId="06E78120" w14:textId="77777777" w:rsidR="005C4994" w:rsidRPr="00875A0E" w:rsidRDefault="005C4994" w:rsidP="003E2DCE">
      <w:pPr>
        <w:pStyle w:val="Prrafodelista"/>
        <w:numPr>
          <w:ilvl w:val="0"/>
          <w:numId w:val="1"/>
        </w:numPr>
        <w:jc w:val="both"/>
        <w:rPr>
          <w:rFonts w:ascii="Arial" w:hAnsi="Arial" w:cs="Arial"/>
          <w:sz w:val="16"/>
          <w:szCs w:val="16"/>
        </w:rPr>
      </w:pPr>
      <w:r w:rsidRPr="00875A0E">
        <w:rPr>
          <w:rFonts w:ascii="Arial" w:hAnsi="Arial"/>
          <w:sz w:val="16"/>
          <w:szCs w:val="16"/>
        </w:rPr>
        <w:t>In case you have general comments or any additional contribution, fill out the last box.</w:t>
      </w:r>
    </w:p>
    <w:p w14:paraId="7A515966" w14:textId="77777777" w:rsidR="005C4994" w:rsidRPr="00875A0E" w:rsidRDefault="005C4994" w:rsidP="003E2DCE">
      <w:pPr>
        <w:pStyle w:val="Prrafodelista"/>
        <w:numPr>
          <w:ilvl w:val="0"/>
          <w:numId w:val="1"/>
        </w:numPr>
        <w:jc w:val="both"/>
        <w:rPr>
          <w:rFonts w:ascii="Arial" w:hAnsi="Arial" w:cs="Arial"/>
          <w:sz w:val="16"/>
          <w:szCs w:val="16"/>
        </w:rPr>
      </w:pPr>
      <w:r w:rsidRPr="00875A0E">
        <w:rPr>
          <w:rFonts w:ascii="Arial" w:hAnsi="Arial"/>
          <w:sz w:val="16"/>
          <w:szCs w:val="16"/>
        </w:rPr>
        <w:t>In case you are interested, you may attach any documents you deem convenient to your electronic mail message.</w:t>
      </w:r>
    </w:p>
    <w:p w14:paraId="1DDFA7C6" w14:textId="79AD8F7A" w:rsidR="005C4994" w:rsidRPr="00875A0E" w:rsidRDefault="005C4994" w:rsidP="00FA389B">
      <w:pPr>
        <w:pStyle w:val="Prrafodelista"/>
        <w:numPr>
          <w:ilvl w:val="0"/>
          <w:numId w:val="1"/>
        </w:numPr>
        <w:jc w:val="both"/>
        <w:rPr>
          <w:rFonts w:ascii="Arial" w:hAnsi="Arial" w:cs="Arial"/>
          <w:sz w:val="16"/>
          <w:szCs w:val="16"/>
        </w:rPr>
      </w:pPr>
      <w:r w:rsidRPr="00875A0E">
        <w:rPr>
          <w:rFonts w:ascii="Arial" w:hAnsi="Arial"/>
          <w:sz w:val="16"/>
          <w:szCs w:val="16"/>
        </w:rPr>
        <w:t>This public consultation will be held from December 3, 2018 to January 29, 2019</w:t>
      </w:r>
      <w:r w:rsidR="001613C0">
        <w:rPr>
          <w:rFonts w:ascii="Arial" w:hAnsi="Arial"/>
          <w:sz w:val="16"/>
          <w:szCs w:val="16"/>
        </w:rPr>
        <w:t xml:space="preserve"> (</w:t>
      </w:r>
      <w:r w:rsidR="0035440A">
        <w:rPr>
          <w:rFonts w:ascii="Arial" w:hAnsi="Arial"/>
          <w:sz w:val="16"/>
          <w:szCs w:val="16"/>
        </w:rPr>
        <w:t xml:space="preserve">i.e. </w:t>
      </w:r>
      <w:r w:rsidR="001613C0">
        <w:rPr>
          <w:rFonts w:ascii="Arial" w:hAnsi="Arial"/>
          <w:sz w:val="16"/>
          <w:szCs w:val="16"/>
        </w:rPr>
        <w:t>30 business days)</w:t>
      </w:r>
      <w:r w:rsidRPr="00875A0E">
        <w:rPr>
          <w:rFonts w:ascii="Arial" w:hAnsi="Arial"/>
          <w:sz w:val="16"/>
          <w:szCs w:val="16"/>
        </w:rPr>
        <w:t xml:space="preserve">. Upon its conclusion, the submitted comments and attached documents will be available at: </w:t>
      </w:r>
      <w:hyperlink r:id="rId12" w:history="1">
        <w:r w:rsidRPr="00875A0E">
          <w:rPr>
            <w:rStyle w:val="Hipervnculo"/>
            <w:rFonts w:ascii="Arial" w:hAnsi="Arial"/>
            <w:sz w:val="16"/>
            <w:szCs w:val="16"/>
          </w:rPr>
          <w:t>http://www.ift.org.mx/industria/consultas-publicas</w:t>
        </w:r>
      </w:hyperlink>
      <w:r w:rsidRPr="00875A0E">
        <w:rPr>
          <w:rFonts w:ascii="Arial" w:hAnsi="Arial"/>
          <w:sz w:val="16"/>
          <w:szCs w:val="16"/>
        </w:rPr>
        <w:t xml:space="preserve"> </w:t>
      </w:r>
    </w:p>
    <w:p w14:paraId="28342B60" w14:textId="4EC98858" w:rsidR="007B1217" w:rsidRPr="00875A0E" w:rsidRDefault="005C4994" w:rsidP="00FA389B">
      <w:pPr>
        <w:pStyle w:val="Prrafodelista"/>
        <w:numPr>
          <w:ilvl w:val="0"/>
          <w:numId w:val="1"/>
        </w:numPr>
        <w:jc w:val="both"/>
        <w:rPr>
          <w:rFonts w:ascii="Arial" w:hAnsi="Arial" w:cs="Arial"/>
          <w:sz w:val="16"/>
          <w:szCs w:val="16"/>
        </w:rPr>
      </w:pPr>
      <w:r w:rsidRPr="00875A0E">
        <w:rPr>
          <w:rFonts w:ascii="Arial" w:hAnsi="Arial"/>
          <w:sz w:val="16"/>
          <w:szCs w:val="16"/>
        </w:rPr>
        <w:t xml:space="preserve">The following contacts are available to direct any questions, comments or concern about this consultation process to the Institute: Gerardo Martínez Cruz, Assistant Director of Spectrum Engineering, electronic mail: </w:t>
      </w:r>
      <w:hyperlink r:id="rId13" w:history="1">
        <w:r w:rsidRPr="00875A0E">
          <w:rPr>
            <w:rStyle w:val="Hipervnculo"/>
            <w:rFonts w:ascii="Arial" w:hAnsi="Arial"/>
            <w:sz w:val="16"/>
            <w:szCs w:val="16"/>
          </w:rPr>
          <w:t>gerardo.martinezc@ift.org.mx</w:t>
        </w:r>
      </w:hyperlink>
      <w:r w:rsidRPr="00875A0E">
        <w:rPr>
          <w:rFonts w:ascii="Arial" w:hAnsi="Arial"/>
          <w:sz w:val="16"/>
          <w:szCs w:val="16"/>
        </w:rPr>
        <w:t xml:space="preserve"> or Roberto Carlos Castro Jaramillo, Director of Engineering and Technology, electronic mail: </w:t>
      </w:r>
      <w:hyperlink r:id="rId14" w:history="1">
        <w:r w:rsidRPr="00875A0E">
          <w:rPr>
            <w:rStyle w:val="Hipervnculo"/>
            <w:rFonts w:ascii="Arial" w:hAnsi="Arial"/>
            <w:sz w:val="16"/>
            <w:szCs w:val="16"/>
          </w:rPr>
          <w:t>roberto.castro@ift.org.mx</w:t>
        </w:r>
      </w:hyperlink>
      <w:r w:rsidR="004B65D5">
        <w:rPr>
          <w:rStyle w:val="Hipervnculo"/>
          <w:rFonts w:ascii="Arial" w:hAnsi="Arial"/>
          <w:sz w:val="16"/>
          <w:szCs w:val="16"/>
        </w:rPr>
        <w:t>,</w:t>
      </w:r>
      <w:r w:rsidR="004B65D5">
        <w:rPr>
          <w:rStyle w:val="Hipervnculo"/>
          <w:rFonts w:ascii="Arial" w:hAnsi="Arial" w:cs="Arial"/>
          <w:color w:val="auto"/>
          <w:sz w:val="16"/>
          <w:szCs w:val="16"/>
          <w:u w:val="none"/>
        </w:rPr>
        <w:t xml:space="preserve"> with</w:t>
      </w:r>
      <w:r w:rsidR="001613C0">
        <w:rPr>
          <w:rStyle w:val="Hipervnculo"/>
          <w:rFonts w:ascii="Arial" w:hAnsi="Arial" w:cs="Arial"/>
          <w:color w:val="auto"/>
          <w:sz w:val="16"/>
          <w:szCs w:val="16"/>
          <w:u w:val="none"/>
        </w:rPr>
        <w:t xml:space="preserve"> </w:t>
      </w:r>
      <w:r w:rsidR="001613C0" w:rsidRPr="00753C69">
        <w:rPr>
          <w:rFonts w:ascii="Arial" w:hAnsi="Arial"/>
          <w:sz w:val="16"/>
          <w:szCs w:val="16"/>
        </w:rPr>
        <w:t>phone number (55) 50154000 ext. 4577 and 4740</w:t>
      </w:r>
      <w:r w:rsidR="001613C0">
        <w:rPr>
          <w:rFonts w:ascii="Arial" w:hAnsi="Arial"/>
          <w:sz w:val="16"/>
          <w:szCs w:val="16"/>
        </w:rPr>
        <w:t>, respectively.</w:t>
      </w:r>
    </w:p>
    <w:tbl>
      <w:tblPr>
        <w:tblStyle w:val="Tablaconcuadrcula"/>
        <w:tblW w:w="0" w:type="auto"/>
        <w:tblLook w:val="04A0" w:firstRow="1" w:lastRow="0" w:firstColumn="1" w:lastColumn="0" w:noHBand="0" w:noVBand="1"/>
      </w:tblPr>
      <w:tblGrid>
        <w:gridCol w:w="4414"/>
        <w:gridCol w:w="4414"/>
      </w:tblGrid>
      <w:tr w:rsidR="003B0A5B" w14:paraId="26FD806C" w14:textId="77777777" w:rsidTr="005B599B">
        <w:trPr>
          <w:trHeight w:val="360"/>
        </w:trPr>
        <w:tc>
          <w:tcPr>
            <w:tcW w:w="8828" w:type="dxa"/>
            <w:gridSpan w:val="2"/>
            <w:shd w:val="clear" w:color="auto" w:fill="BFBFBF" w:themeFill="background1" w:themeFillShade="BF"/>
            <w:vAlign w:val="center"/>
          </w:tcPr>
          <w:p w14:paraId="7470D08C" w14:textId="77777777" w:rsidR="003B0A5B" w:rsidRPr="004216C6" w:rsidRDefault="003B0A5B" w:rsidP="005B599B">
            <w:pPr>
              <w:jc w:val="center"/>
              <w:rPr>
                <w:rFonts w:ascii="Arial" w:hAnsi="Arial" w:cs="Arial"/>
                <w:b/>
                <w:szCs w:val="20"/>
              </w:rPr>
            </w:pPr>
            <w:r w:rsidRPr="007963F1">
              <w:rPr>
                <w:rFonts w:ascii="Arial" w:hAnsi="Arial"/>
                <w:b/>
                <w:szCs w:val="20"/>
              </w:rPr>
              <w:t>I. Respondent’s Information</w:t>
            </w:r>
          </w:p>
        </w:tc>
      </w:tr>
      <w:tr w:rsidR="003B0A5B" w14:paraId="25E76003" w14:textId="77777777" w:rsidTr="005B599B">
        <w:trPr>
          <w:trHeight w:val="266"/>
        </w:trPr>
        <w:tc>
          <w:tcPr>
            <w:tcW w:w="4414" w:type="dxa"/>
            <w:shd w:val="clear" w:color="auto" w:fill="00A6A2"/>
            <w:vAlign w:val="center"/>
          </w:tcPr>
          <w:p w14:paraId="663488EC" w14:textId="77777777" w:rsidR="003B0A5B" w:rsidRPr="007963F1" w:rsidRDefault="00D416A0" w:rsidP="005B599B">
            <w:pPr>
              <w:rPr>
                <w:rFonts w:ascii="Arial" w:hAnsi="Arial" w:cs="Arial"/>
                <w:b/>
                <w:sz w:val="16"/>
                <w:szCs w:val="16"/>
              </w:rPr>
            </w:pPr>
            <w:r w:rsidRPr="007963F1">
              <w:rPr>
                <w:rFonts w:ascii="Arial" w:hAnsi="Arial"/>
                <w:b/>
                <w:sz w:val="16"/>
                <w:szCs w:val="16"/>
              </w:rPr>
              <w:t>Name or company name:</w:t>
            </w:r>
          </w:p>
        </w:tc>
        <w:tc>
          <w:tcPr>
            <w:tcW w:w="4414" w:type="dxa"/>
            <w:vAlign w:val="center"/>
          </w:tcPr>
          <w:p w14:paraId="0875AFD6" w14:textId="77777777" w:rsidR="003B0A5B" w:rsidRDefault="003B0A5B" w:rsidP="005B599B">
            <w:pPr>
              <w:rPr>
                <w:rFonts w:ascii="Arial" w:hAnsi="Arial" w:cs="Arial"/>
                <w:sz w:val="16"/>
                <w:szCs w:val="16"/>
              </w:rPr>
            </w:pPr>
          </w:p>
        </w:tc>
      </w:tr>
      <w:tr w:rsidR="003B0A5B" w14:paraId="7DC649C7" w14:textId="77777777" w:rsidTr="005B599B">
        <w:trPr>
          <w:trHeight w:val="270"/>
        </w:trPr>
        <w:tc>
          <w:tcPr>
            <w:tcW w:w="4414" w:type="dxa"/>
            <w:shd w:val="clear" w:color="auto" w:fill="00A6A2"/>
            <w:vAlign w:val="center"/>
          </w:tcPr>
          <w:p w14:paraId="385B2091" w14:textId="77777777" w:rsidR="003B0A5B" w:rsidRPr="007963F1" w:rsidRDefault="00D416A0" w:rsidP="005B599B">
            <w:pPr>
              <w:rPr>
                <w:rFonts w:ascii="Arial" w:hAnsi="Arial" w:cs="Arial"/>
                <w:b/>
                <w:sz w:val="16"/>
                <w:szCs w:val="16"/>
              </w:rPr>
            </w:pPr>
            <w:r w:rsidRPr="007963F1">
              <w:rPr>
                <w:rFonts w:ascii="Arial" w:hAnsi="Arial"/>
                <w:b/>
                <w:sz w:val="16"/>
                <w:szCs w:val="16"/>
              </w:rPr>
              <w:t>Legal representative’s name, if applicable:</w:t>
            </w:r>
          </w:p>
        </w:tc>
        <w:tc>
          <w:tcPr>
            <w:tcW w:w="4414" w:type="dxa"/>
            <w:vAlign w:val="center"/>
          </w:tcPr>
          <w:p w14:paraId="1AFD2D79" w14:textId="77777777" w:rsidR="003B0A5B" w:rsidRDefault="003B0A5B" w:rsidP="005B599B">
            <w:pPr>
              <w:rPr>
                <w:rFonts w:ascii="Arial" w:hAnsi="Arial" w:cs="Arial"/>
                <w:sz w:val="16"/>
                <w:szCs w:val="16"/>
              </w:rPr>
            </w:pPr>
          </w:p>
        </w:tc>
      </w:tr>
      <w:tr w:rsidR="003B0A5B" w14:paraId="5AC85C0B" w14:textId="77777777" w:rsidTr="005B599B">
        <w:trPr>
          <w:trHeight w:val="841"/>
        </w:trPr>
        <w:tc>
          <w:tcPr>
            <w:tcW w:w="4414" w:type="dxa"/>
            <w:shd w:val="clear" w:color="auto" w:fill="00A6A2"/>
            <w:vAlign w:val="center"/>
          </w:tcPr>
          <w:p w14:paraId="3B095ACB" w14:textId="77777777" w:rsidR="00D416A0" w:rsidRPr="007963F1" w:rsidRDefault="00D416A0" w:rsidP="005B599B">
            <w:pPr>
              <w:rPr>
                <w:rFonts w:ascii="Arial" w:hAnsi="Arial" w:cs="Arial"/>
                <w:b/>
                <w:sz w:val="16"/>
                <w:szCs w:val="16"/>
              </w:rPr>
            </w:pPr>
            <w:r w:rsidRPr="007963F1">
              <w:rPr>
                <w:rFonts w:ascii="Arial" w:hAnsi="Arial"/>
                <w:b/>
                <w:sz w:val="16"/>
                <w:szCs w:val="16"/>
              </w:rPr>
              <w:t xml:space="preserve">Document to accredit representation: </w:t>
            </w:r>
          </w:p>
          <w:p w14:paraId="70ECEF31" w14:textId="77777777" w:rsidR="003B0A5B" w:rsidRPr="007963F1" w:rsidRDefault="00D416A0" w:rsidP="005B599B">
            <w:pPr>
              <w:rPr>
                <w:rFonts w:ascii="Arial" w:hAnsi="Arial" w:cs="Arial"/>
                <w:sz w:val="14"/>
                <w:szCs w:val="14"/>
              </w:rPr>
            </w:pPr>
            <w:r w:rsidRPr="007963F1">
              <w:rPr>
                <w:rFonts w:ascii="Arial" w:hAnsi="Arial"/>
                <w:sz w:val="14"/>
                <w:szCs w:val="14"/>
              </w:rPr>
              <w:t>In the case of a legal representative, attach a digital copy of the document to accredit such representation to the email message.</w:t>
            </w:r>
          </w:p>
        </w:tc>
        <w:tc>
          <w:tcPr>
            <w:tcW w:w="4414" w:type="dxa"/>
            <w:vAlign w:val="center"/>
          </w:tcPr>
          <w:p w14:paraId="4CA115A6" w14:textId="77777777" w:rsidR="003B0A5B" w:rsidRDefault="003B0A5B" w:rsidP="005B599B">
            <w:pPr>
              <w:rPr>
                <w:rFonts w:ascii="Arial" w:hAnsi="Arial" w:cs="Arial"/>
                <w:sz w:val="16"/>
                <w:szCs w:val="16"/>
              </w:rPr>
            </w:pPr>
          </w:p>
        </w:tc>
      </w:tr>
      <w:tr w:rsidR="005B599B" w14:paraId="6D56649C" w14:textId="77777777" w:rsidTr="005B599B">
        <w:trPr>
          <w:trHeight w:val="428"/>
        </w:trPr>
        <w:tc>
          <w:tcPr>
            <w:tcW w:w="8828" w:type="dxa"/>
            <w:gridSpan w:val="2"/>
            <w:shd w:val="clear" w:color="auto" w:fill="BFBFBF" w:themeFill="background1" w:themeFillShade="BF"/>
            <w:vAlign w:val="center"/>
          </w:tcPr>
          <w:p w14:paraId="537FEA8F" w14:textId="77777777" w:rsidR="005B599B" w:rsidRPr="005B599B" w:rsidRDefault="005B599B" w:rsidP="005B599B">
            <w:pPr>
              <w:jc w:val="center"/>
              <w:rPr>
                <w:rFonts w:ascii="Arial" w:hAnsi="Arial" w:cs="Arial"/>
                <w:b/>
                <w:sz w:val="18"/>
                <w:szCs w:val="16"/>
              </w:rPr>
            </w:pPr>
            <w:r w:rsidRPr="007963F1">
              <w:rPr>
                <w:rFonts w:ascii="Arial" w:hAnsi="Arial"/>
                <w:b/>
                <w:sz w:val="20"/>
                <w:szCs w:val="16"/>
              </w:rPr>
              <w:t>PRIVACY POLICY</w:t>
            </w:r>
          </w:p>
        </w:tc>
      </w:tr>
      <w:tr w:rsidR="005B599B" w14:paraId="6063A08F" w14:textId="77777777" w:rsidTr="00FE14B2">
        <w:trPr>
          <w:trHeight w:val="841"/>
        </w:trPr>
        <w:tc>
          <w:tcPr>
            <w:tcW w:w="8828" w:type="dxa"/>
            <w:gridSpan w:val="2"/>
            <w:shd w:val="clear" w:color="auto" w:fill="auto"/>
            <w:vAlign w:val="center"/>
          </w:tcPr>
          <w:p w14:paraId="265EADC2" w14:textId="77777777" w:rsidR="00FE14B2" w:rsidRPr="007963F1" w:rsidRDefault="00FE14B2" w:rsidP="00AF7011">
            <w:pPr>
              <w:jc w:val="both"/>
              <w:rPr>
                <w:rFonts w:ascii="Arial" w:hAnsi="Arial" w:cs="Arial"/>
                <w:sz w:val="16"/>
                <w:szCs w:val="16"/>
              </w:rPr>
            </w:pPr>
            <w:r w:rsidRPr="007963F1">
              <w:rPr>
                <w:rFonts w:ascii="Arial" w:hAnsi="Arial"/>
                <w:sz w:val="16"/>
                <w:szCs w:val="16"/>
              </w:rPr>
              <w:t>In compliance with articles 3, section II, 16, 17, 18, 21, 25, 26, 27 and 28 of the General Law on the Protection of Personal Data Held by Private Parties  (hereinafter, the “LGPDPPSO”) and numbers 9, section II, 11, section II, 15 and 26 to 45 of the General Guidelines for the Protection of Personal Data Held by Private Parties (hereinafter, the “Guidelines”), the Integrated Privacy Policy is made available to the users:</w:t>
            </w:r>
          </w:p>
          <w:p w14:paraId="193CB356" w14:textId="77777777" w:rsidR="00FE14B2" w:rsidRPr="007963F1" w:rsidRDefault="00FE14B2" w:rsidP="00AF7011">
            <w:pPr>
              <w:jc w:val="both"/>
              <w:rPr>
                <w:rFonts w:ascii="Arial" w:hAnsi="Arial" w:cs="Arial"/>
                <w:sz w:val="16"/>
                <w:szCs w:val="16"/>
              </w:rPr>
            </w:pPr>
          </w:p>
          <w:p w14:paraId="48B8A523" w14:textId="7708082F" w:rsidR="00FE14B2" w:rsidRPr="007963F1" w:rsidRDefault="00FE14B2" w:rsidP="00AF7011">
            <w:pPr>
              <w:pStyle w:val="Prrafodelista"/>
              <w:numPr>
                <w:ilvl w:val="0"/>
                <w:numId w:val="3"/>
              </w:numPr>
              <w:jc w:val="both"/>
              <w:rPr>
                <w:rFonts w:ascii="Arial" w:hAnsi="Arial" w:cs="Arial"/>
                <w:sz w:val="16"/>
                <w:szCs w:val="16"/>
              </w:rPr>
            </w:pPr>
            <w:r w:rsidRPr="007963F1">
              <w:rPr>
                <w:rFonts w:ascii="Arial" w:hAnsi="Arial"/>
                <w:b/>
                <w:sz w:val="16"/>
                <w:szCs w:val="16"/>
              </w:rPr>
              <w:t>Controller’s name</w:t>
            </w:r>
            <w:r w:rsidRPr="00276B5F">
              <w:rPr>
                <w:rFonts w:ascii="Arial" w:hAnsi="Arial"/>
                <w:b/>
                <w:sz w:val="16"/>
                <w:szCs w:val="16"/>
              </w:rPr>
              <w:t>:</w:t>
            </w:r>
            <w:r w:rsidRPr="007963F1">
              <w:rPr>
                <w:rFonts w:ascii="Arial" w:hAnsi="Arial"/>
                <w:sz w:val="16"/>
                <w:szCs w:val="16"/>
              </w:rPr>
              <w:t xml:space="preserve"> Federal Telecommunications Institute (hereinafter, the “IFT”)</w:t>
            </w:r>
            <w:r w:rsidR="002508D3" w:rsidRPr="007963F1">
              <w:rPr>
                <w:rFonts w:ascii="Arial" w:hAnsi="Arial"/>
                <w:sz w:val="16"/>
                <w:szCs w:val="16"/>
              </w:rPr>
              <w:t>.</w:t>
            </w:r>
          </w:p>
          <w:p w14:paraId="6EA400B6" w14:textId="77777777" w:rsidR="00FE14B2" w:rsidRPr="007963F1" w:rsidRDefault="00FE14B2" w:rsidP="00AF7011">
            <w:pPr>
              <w:jc w:val="both"/>
              <w:rPr>
                <w:rFonts w:ascii="Arial" w:hAnsi="Arial" w:cs="Arial"/>
                <w:sz w:val="16"/>
                <w:szCs w:val="16"/>
              </w:rPr>
            </w:pPr>
          </w:p>
          <w:p w14:paraId="24BC2D85" w14:textId="7833FB5A" w:rsidR="00FE14B2" w:rsidRPr="007963F1" w:rsidRDefault="00FE14B2" w:rsidP="00AF7011">
            <w:pPr>
              <w:pStyle w:val="Prrafodelista"/>
              <w:numPr>
                <w:ilvl w:val="0"/>
                <w:numId w:val="3"/>
              </w:numPr>
              <w:jc w:val="both"/>
              <w:rPr>
                <w:rFonts w:ascii="Arial" w:hAnsi="Arial" w:cs="Arial"/>
                <w:sz w:val="16"/>
                <w:szCs w:val="16"/>
                <w:lang w:val="es-MX"/>
              </w:rPr>
            </w:pPr>
            <w:r w:rsidRPr="007963F1">
              <w:rPr>
                <w:rFonts w:ascii="Arial" w:hAnsi="Arial"/>
                <w:b/>
                <w:sz w:val="16"/>
                <w:szCs w:val="16"/>
                <w:lang w:val="es-MX"/>
              </w:rPr>
              <w:t>Controller’s address:</w:t>
            </w:r>
            <w:r w:rsidRPr="007963F1">
              <w:rPr>
                <w:rFonts w:ascii="Arial" w:hAnsi="Arial"/>
                <w:sz w:val="16"/>
                <w:szCs w:val="16"/>
                <w:lang w:val="es-MX"/>
              </w:rPr>
              <w:t xml:space="preserve"> Av. Insurgentes Sur, No. 1143, Col. Noche Buena, Benito Juárez, zip code 03720, Mexico City, Mexico. </w:t>
            </w:r>
          </w:p>
          <w:p w14:paraId="622B1444" w14:textId="77777777" w:rsidR="00FE14B2" w:rsidRPr="00AA74A2" w:rsidRDefault="00FE14B2" w:rsidP="00AF7011">
            <w:pPr>
              <w:jc w:val="both"/>
              <w:rPr>
                <w:rFonts w:ascii="Arial" w:hAnsi="Arial" w:cs="Arial"/>
                <w:sz w:val="16"/>
                <w:szCs w:val="16"/>
                <w:lang w:val="es-MX"/>
              </w:rPr>
            </w:pPr>
          </w:p>
          <w:p w14:paraId="29B56373" w14:textId="4046D8DA" w:rsidR="00FE14B2" w:rsidRPr="007963F1" w:rsidRDefault="00FE14B2" w:rsidP="00AF7011">
            <w:pPr>
              <w:pStyle w:val="Prrafodelista"/>
              <w:numPr>
                <w:ilvl w:val="0"/>
                <w:numId w:val="3"/>
              </w:numPr>
              <w:jc w:val="both"/>
              <w:rPr>
                <w:rFonts w:ascii="Arial" w:hAnsi="Arial" w:cs="Arial"/>
                <w:sz w:val="16"/>
                <w:szCs w:val="16"/>
              </w:rPr>
            </w:pPr>
            <w:r w:rsidRPr="007963F1">
              <w:rPr>
                <w:rFonts w:ascii="Arial" w:hAnsi="Arial"/>
                <w:b/>
                <w:sz w:val="16"/>
                <w:szCs w:val="16"/>
              </w:rPr>
              <w:t>Personal data to be handled and its purpose:</w:t>
            </w:r>
            <w:r w:rsidRPr="007963F1">
              <w:rPr>
                <w:rFonts w:ascii="Arial" w:hAnsi="Arial"/>
                <w:sz w:val="16"/>
                <w:szCs w:val="16"/>
              </w:rPr>
              <w:t xml:space="preserve"> All comments, opinions and contributions submitted during every public consultation </w:t>
            </w:r>
            <w:r w:rsidRPr="007963F1">
              <w:rPr>
                <w:rFonts w:ascii="Arial" w:hAnsi="Arial"/>
                <w:b/>
                <w:sz w:val="16"/>
                <w:szCs w:val="16"/>
                <w:u w:val="single"/>
              </w:rPr>
              <w:t>will be fully disclosed</w:t>
            </w:r>
            <w:r w:rsidRPr="007963F1">
              <w:rPr>
                <w:rFonts w:ascii="Arial" w:hAnsi="Arial"/>
                <w:sz w:val="16"/>
                <w:szCs w:val="16"/>
              </w:rPr>
              <w:t xml:space="preserve"> in the electronic portal of the Institute in an associated manner with the data subject and, in this sense, they will be considered invariably public in terms of number Eighth of the Public Consultation and Regulatory Impact Analysis Guidelines. This, because the nature of public consultations is to promote social participation and to transparent the new regulations making process, as well as any other matter that the Governing Board of the IFT may consider </w:t>
            </w:r>
            <w:r w:rsidR="009A1037" w:rsidRPr="007963F1">
              <w:rPr>
                <w:rFonts w:ascii="Arial" w:hAnsi="Arial"/>
                <w:sz w:val="16"/>
                <w:szCs w:val="16"/>
              </w:rPr>
              <w:t>generating</w:t>
            </w:r>
            <w:r w:rsidRPr="007963F1">
              <w:rPr>
                <w:rFonts w:ascii="Arial" w:hAnsi="Arial"/>
                <w:sz w:val="16"/>
                <w:szCs w:val="16"/>
              </w:rPr>
              <w:t xml:space="preserve"> a space for the exchange of information, opinions and viewpoints on any matter of interest that this independent constitutional agency submits to public scrutiny. In case that information different from name and opinion is detected in the documents submitted, and it includes confidential personal data, it will be protected. Relating to the name and opinion of the </w:t>
            </w:r>
            <w:r w:rsidR="00E07087" w:rsidRPr="007963F1">
              <w:rPr>
                <w:rFonts w:ascii="Arial" w:hAnsi="Arial"/>
                <w:sz w:val="16"/>
                <w:szCs w:val="16"/>
              </w:rPr>
              <w:t xml:space="preserve">respondent </w:t>
            </w:r>
            <w:r w:rsidRPr="007963F1">
              <w:rPr>
                <w:rFonts w:ascii="Arial" w:hAnsi="Arial"/>
                <w:sz w:val="16"/>
                <w:szCs w:val="16"/>
              </w:rPr>
              <w:t>in this exercise, it is understood that consent is granted to disclose such information in at least the Institute’s portal, in terms of articles 20 and 21, second and third paragraphs, of the LGPDPPSO and numbers 12 and 15 of the Guidelines.</w:t>
            </w:r>
          </w:p>
          <w:p w14:paraId="2EB4F816" w14:textId="77777777" w:rsidR="00FE14B2" w:rsidRPr="00FE14B2" w:rsidRDefault="00FE14B2" w:rsidP="00AF7011">
            <w:pPr>
              <w:jc w:val="both"/>
              <w:rPr>
                <w:rFonts w:ascii="Arial" w:hAnsi="Arial" w:cs="Arial"/>
                <w:sz w:val="16"/>
                <w:szCs w:val="16"/>
              </w:rPr>
            </w:pPr>
          </w:p>
          <w:p w14:paraId="6F9E3E81" w14:textId="77777777" w:rsidR="00FE14B2" w:rsidRPr="007963F1" w:rsidRDefault="00FE14B2" w:rsidP="00AF7011">
            <w:pPr>
              <w:pStyle w:val="Prrafodelista"/>
              <w:numPr>
                <w:ilvl w:val="0"/>
                <w:numId w:val="3"/>
              </w:numPr>
              <w:jc w:val="both"/>
              <w:rPr>
                <w:rFonts w:ascii="Arial" w:hAnsi="Arial" w:cs="Arial"/>
                <w:sz w:val="16"/>
                <w:szCs w:val="16"/>
              </w:rPr>
            </w:pPr>
            <w:r w:rsidRPr="007963F1">
              <w:rPr>
                <w:rFonts w:ascii="Arial" w:hAnsi="Arial"/>
                <w:b/>
                <w:sz w:val="16"/>
                <w:szCs w:val="16"/>
              </w:rPr>
              <w:t>Information relating personal data transfers requiring consent:</w:t>
            </w:r>
            <w:r w:rsidRPr="007963F1">
              <w:rPr>
                <w:rFonts w:ascii="Arial" w:hAnsi="Arial"/>
                <w:sz w:val="16"/>
                <w:szCs w:val="16"/>
              </w:rPr>
              <w:t xml:space="preserve"> Personal data collected for public consultation purposes will not be subject to transfers requiring the data subject’s consent.</w:t>
            </w:r>
          </w:p>
          <w:p w14:paraId="24D0C4E4" w14:textId="77777777" w:rsidR="00FE14B2" w:rsidRPr="007963F1" w:rsidRDefault="00FE14B2" w:rsidP="00AF7011">
            <w:pPr>
              <w:jc w:val="both"/>
              <w:rPr>
                <w:rFonts w:ascii="Arial" w:hAnsi="Arial" w:cs="Arial"/>
                <w:sz w:val="16"/>
                <w:szCs w:val="16"/>
              </w:rPr>
            </w:pPr>
          </w:p>
          <w:p w14:paraId="781E1333" w14:textId="2050F4FB" w:rsidR="00FE14B2" w:rsidRPr="007963F1" w:rsidRDefault="00FE14B2" w:rsidP="00AF7011">
            <w:pPr>
              <w:pStyle w:val="Prrafodelista"/>
              <w:numPr>
                <w:ilvl w:val="0"/>
                <w:numId w:val="3"/>
              </w:numPr>
              <w:jc w:val="both"/>
              <w:rPr>
                <w:rFonts w:ascii="Arial" w:hAnsi="Arial" w:cs="Arial"/>
                <w:sz w:val="16"/>
                <w:szCs w:val="16"/>
              </w:rPr>
            </w:pPr>
            <w:r w:rsidRPr="007963F1">
              <w:rPr>
                <w:rFonts w:ascii="Arial" w:hAnsi="Arial"/>
                <w:b/>
                <w:sz w:val="16"/>
                <w:szCs w:val="16"/>
              </w:rPr>
              <w:t>Legal basis granting authority to perform the treatment:</w:t>
            </w:r>
            <w:r w:rsidRPr="007963F1">
              <w:rPr>
                <w:rFonts w:ascii="Arial" w:hAnsi="Arial"/>
                <w:sz w:val="16"/>
                <w:szCs w:val="16"/>
              </w:rPr>
              <w:t xml:space="preserve"> the IFT, convinced of the usefulness and importance of transparency and civil participation in the new regulations making process, as well as any other matter of interest, performs public consultations based on articles 15 sections XL and XLI, 51 of the Federal Telecommunications and Broadcasting Law, last amendment published in the Fed</w:t>
            </w:r>
            <w:r w:rsidR="00F420A7">
              <w:rPr>
                <w:rFonts w:ascii="Arial" w:hAnsi="Arial"/>
                <w:sz w:val="16"/>
                <w:szCs w:val="16"/>
              </w:rPr>
              <w:t>eral Official Gazette on June</w:t>
            </w:r>
            <w:r w:rsidRPr="007963F1">
              <w:rPr>
                <w:rFonts w:ascii="Arial" w:hAnsi="Arial"/>
                <w:sz w:val="16"/>
                <w:szCs w:val="16"/>
              </w:rPr>
              <w:t xml:space="preserve"> </w:t>
            </w:r>
            <w:r w:rsidR="00F420A7">
              <w:rPr>
                <w:rFonts w:ascii="Arial" w:hAnsi="Arial"/>
                <w:sz w:val="16"/>
                <w:szCs w:val="16"/>
              </w:rPr>
              <w:t>15</w:t>
            </w:r>
            <w:r w:rsidRPr="007963F1">
              <w:rPr>
                <w:rFonts w:ascii="Arial" w:hAnsi="Arial"/>
                <w:sz w:val="16"/>
                <w:szCs w:val="16"/>
              </w:rPr>
              <w:t>, 201</w:t>
            </w:r>
            <w:r w:rsidR="00F420A7">
              <w:rPr>
                <w:rFonts w:ascii="Arial" w:hAnsi="Arial"/>
                <w:sz w:val="16"/>
                <w:szCs w:val="16"/>
              </w:rPr>
              <w:t>8</w:t>
            </w:r>
            <w:r w:rsidRPr="007963F1">
              <w:rPr>
                <w:rFonts w:ascii="Arial" w:hAnsi="Arial"/>
                <w:sz w:val="16"/>
                <w:szCs w:val="16"/>
              </w:rPr>
              <w:t xml:space="preserve">, 12, section XXII, second and third paragraphs, and 138 of the Federal Economic Competition Law, last amendment published in the Federal Official Gazette on January 27, 2017, as well as Guideline Eighth of the </w:t>
            </w:r>
            <w:r w:rsidRPr="007963F1">
              <w:rPr>
                <w:rFonts w:ascii="Arial" w:hAnsi="Arial"/>
                <w:sz w:val="16"/>
                <w:szCs w:val="16"/>
              </w:rPr>
              <w:lastRenderedPageBreak/>
              <w:t>Public Consultation and Regulatory Impact Analysis Guidelines of the Federal Telecommunications Institute, published in the Federal Official Gazette on November 8, 2017.</w:t>
            </w:r>
          </w:p>
          <w:p w14:paraId="34D38A75" w14:textId="77777777" w:rsidR="00FE14B2" w:rsidRPr="00FE14B2" w:rsidRDefault="00FE14B2" w:rsidP="00AF7011">
            <w:pPr>
              <w:jc w:val="both"/>
              <w:rPr>
                <w:rFonts w:ascii="Arial" w:hAnsi="Arial" w:cs="Arial"/>
                <w:sz w:val="16"/>
                <w:szCs w:val="16"/>
              </w:rPr>
            </w:pPr>
          </w:p>
          <w:p w14:paraId="327378F4" w14:textId="198F1A51" w:rsidR="00FE14B2" w:rsidRPr="00753C69" w:rsidRDefault="00FE14B2" w:rsidP="00FA389B">
            <w:pPr>
              <w:pStyle w:val="Prrafodelista"/>
              <w:numPr>
                <w:ilvl w:val="0"/>
                <w:numId w:val="3"/>
              </w:numPr>
              <w:jc w:val="both"/>
              <w:rPr>
                <w:rFonts w:ascii="Arial" w:hAnsi="Arial" w:cs="Arial"/>
                <w:sz w:val="16"/>
                <w:szCs w:val="16"/>
              </w:rPr>
            </w:pPr>
            <w:r w:rsidRPr="00753C69">
              <w:rPr>
                <w:rFonts w:ascii="Arial" w:hAnsi="Arial"/>
                <w:b/>
                <w:sz w:val="16"/>
                <w:szCs w:val="16"/>
              </w:rPr>
              <w:t>Mechanisms and means available to the data subject to manifest his denial to the treatment of his personal data for purposes and transfers requiring the</w:t>
            </w:r>
            <w:r w:rsidR="00753C69">
              <w:rPr>
                <w:rFonts w:ascii="Arial" w:hAnsi="Arial"/>
                <w:b/>
                <w:sz w:val="16"/>
                <w:szCs w:val="16"/>
              </w:rPr>
              <w:t xml:space="preserve"> data subject’s consent:</w:t>
            </w:r>
            <w:r w:rsidRPr="00753C69">
              <w:rPr>
                <w:rFonts w:ascii="Arial" w:hAnsi="Arial"/>
                <w:b/>
                <w:sz w:val="16"/>
                <w:szCs w:val="16"/>
              </w:rPr>
              <w:t xml:space="preserve"> </w:t>
            </w:r>
            <w:r w:rsidRPr="00753C69">
              <w:rPr>
                <w:rFonts w:ascii="Arial" w:hAnsi="Arial"/>
                <w:sz w:val="16"/>
                <w:szCs w:val="16"/>
              </w:rPr>
              <w:t xml:space="preserve"> In accordance with section IV of this Privacy Policy, personal data collected for public consultation purposes will not be subject to transfers requiring the data subject’s </w:t>
            </w:r>
            <w:r w:rsidR="00714FDB" w:rsidRPr="00753C69">
              <w:rPr>
                <w:rFonts w:ascii="Arial" w:hAnsi="Arial"/>
                <w:sz w:val="16"/>
                <w:szCs w:val="16"/>
              </w:rPr>
              <w:t>consent.</w:t>
            </w:r>
            <w:r w:rsidRPr="00753C69">
              <w:rPr>
                <w:rFonts w:ascii="Arial" w:hAnsi="Arial"/>
                <w:sz w:val="16"/>
                <w:szCs w:val="16"/>
              </w:rPr>
              <w:t xml:space="preserve"> However, the following contacts are made available: Gerardo Martínez Cruz, Assistant Director of Spectrum Engineering and Roberto C. Castro Jaramillo, Director of Engineering and Technology, electronic mail:  </w:t>
            </w:r>
            <w:hyperlink r:id="rId15" w:history="1">
              <w:r w:rsidRPr="00753C69">
                <w:rPr>
                  <w:rStyle w:val="Hipervnculo"/>
                  <w:rFonts w:ascii="Arial" w:hAnsi="Arial"/>
                  <w:sz w:val="16"/>
                  <w:szCs w:val="16"/>
                </w:rPr>
                <w:t>gerardo.martinezc@ift.org.mx</w:t>
              </w:r>
            </w:hyperlink>
            <w:r w:rsidRPr="00753C69">
              <w:rPr>
                <w:rFonts w:ascii="Arial" w:hAnsi="Arial"/>
                <w:sz w:val="16"/>
                <w:szCs w:val="16"/>
              </w:rPr>
              <w:t xml:space="preserve"> and </w:t>
            </w:r>
            <w:hyperlink r:id="rId16" w:history="1">
              <w:r w:rsidRPr="00753C69">
                <w:rPr>
                  <w:rStyle w:val="Hipervnculo"/>
                  <w:rFonts w:ascii="Arial" w:hAnsi="Arial"/>
                  <w:sz w:val="16"/>
                  <w:szCs w:val="16"/>
                </w:rPr>
                <w:t>roberto.castro@ift.org.mx</w:t>
              </w:r>
            </w:hyperlink>
            <w:r w:rsidRPr="00753C69">
              <w:rPr>
                <w:rFonts w:ascii="Arial" w:hAnsi="Arial"/>
                <w:sz w:val="16"/>
                <w:szCs w:val="16"/>
              </w:rPr>
              <w:t xml:space="preserve">, and phone number (55) 50154000 </w:t>
            </w:r>
            <w:r w:rsidR="00736240" w:rsidRPr="00753C69">
              <w:rPr>
                <w:rFonts w:ascii="Arial" w:hAnsi="Arial"/>
                <w:sz w:val="16"/>
                <w:szCs w:val="16"/>
              </w:rPr>
              <w:t>ext.</w:t>
            </w:r>
            <w:r w:rsidRPr="00753C69">
              <w:rPr>
                <w:rFonts w:ascii="Arial" w:hAnsi="Arial"/>
                <w:sz w:val="16"/>
                <w:szCs w:val="16"/>
              </w:rPr>
              <w:t xml:space="preserve"> 4577 and 4740, with whom the personal data subject may communicate for any comment or question on this matter. </w:t>
            </w:r>
          </w:p>
          <w:p w14:paraId="12F4094D" w14:textId="77777777" w:rsidR="00FE14B2" w:rsidRPr="00FE14B2" w:rsidRDefault="00FE14B2" w:rsidP="00AF7011">
            <w:pPr>
              <w:jc w:val="both"/>
              <w:rPr>
                <w:rFonts w:ascii="Arial" w:hAnsi="Arial" w:cs="Arial"/>
                <w:sz w:val="16"/>
                <w:szCs w:val="16"/>
              </w:rPr>
            </w:pPr>
          </w:p>
          <w:p w14:paraId="37158E96" w14:textId="77777777" w:rsidR="00FE14B2" w:rsidRPr="00753C69" w:rsidRDefault="00FE14B2" w:rsidP="00AF7011">
            <w:pPr>
              <w:pStyle w:val="Prrafodelista"/>
              <w:numPr>
                <w:ilvl w:val="0"/>
                <w:numId w:val="3"/>
              </w:numPr>
              <w:jc w:val="both"/>
              <w:rPr>
                <w:rFonts w:ascii="Arial" w:hAnsi="Arial" w:cs="Arial"/>
                <w:sz w:val="16"/>
                <w:szCs w:val="16"/>
              </w:rPr>
            </w:pPr>
            <w:r w:rsidRPr="00753C69">
              <w:rPr>
                <w:rFonts w:ascii="Arial" w:hAnsi="Arial"/>
                <w:b/>
                <w:sz w:val="16"/>
                <w:szCs w:val="16"/>
              </w:rPr>
              <w:t>The available mechanisms, means and procedures to exercise access, rectification, cancellation or opposition rights on his personal data treatment (hereinafter, the “ARCO rights”):</w:t>
            </w:r>
            <w:r w:rsidRPr="00753C69">
              <w:rPr>
                <w:rFonts w:ascii="Arial" w:hAnsi="Arial"/>
                <w:sz w:val="16"/>
                <w:szCs w:val="16"/>
              </w:rPr>
              <w:t xml:space="preserve"> Requests to exercise ARCO rights shall be submitted before the Transparency Unit of the IFT, by free form document, formats, electronic means or any other means established by the National Institute of Transparency, Access to Information and Personal Data Protection (hereinafter the "INAI”). The procedure will be governed by articles 48 to 56 of the LGPDPPSO as well as numbers 73 to 107 of the Guidelines, in accordance with:</w:t>
            </w:r>
          </w:p>
          <w:p w14:paraId="510BF27F" w14:textId="77777777" w:rsidR="00FE14B2" w:rsidRPr="00FE14B2" w:rsidRDefault="00FE14B2" w:rsidP="00AF7011">
            <w:pPr>
              <w:jc w:val="both"/>
              <w:rPr>
                <w:rFonts w:ascii="Arial" w:hAnsi="Arial" w:cs="Arial"/>
                <w:sz w:val="16"/>
                <w:szCs w:val="16"/>
              </w:rPr>
            </w:pPr>
          </w:p>
          <w:p w14:paraId="5262E274" w14:textId="53CE6017" w:rsidR="00FE14B2" w:rsidRPr="00753C69" w:rsidRDefault="00FE14B2" w:rsidP="00AF7011">
            <w:pPr>
              <w:pStyle w:val="Prrafodelista"/>
              <w:numPr>
                <w:ilvl w:val="0"/>
                <w:numId w:val="5"/>
              </w:numPr>
              <w:jc w:val="both"/>
              <w:rPr>
                <w:rFonts w:ascii="Arial" w:hAnsi="Arial" w:cs="Arial"/>
                <w:sz w:val="16"/>
                <w:szCs w:val="16"/>
              </w:rPr>
            </w:pPr>
            <w:r w:rsidRPr="00753C69">
              <w:rPr>
                <w:rFonts w:ascii="Arial" w:hAnsi="Arial"/>
                <w:sz w:val="16"/>
                <w:szCs w:val="16"/>
              </w:rPr>
              <w:t>The requisites that shall be included in the request to exercise ARCO rights</w:t>
            </w:r>
            <w:r w:rsidR="00792C7A" w:rsidRPr="00753C69">
              <w:rPr>
                <w:rFonts w:ascii="Arial" w:hAnsi="Arial"/>
                <w:sz w:val="16"/>
                <w:szCs w:val="16"/>
              </w:rPr>
              <w:t>:</w:t>
            </w:r>
          </w:p>
          <w:p w14:paraId="369660B2" w14:textId="77777777" w:rsidR="00FE14B2" w:rsidRPr="00753C69" w:rsidRDefault="00FE14B2" w:rsidP="00AF7011">
            <w:pPr>
              <w:jc w:val="both"/>
              <w:rPr>
                <w:rFonts w:ascii="Arial" w:hAnsi="Arial" w:cs="Arial"/>
                <w:sz w:val="16"/>
                <w:szCs w:val="16"/>
              </w:rPr>
            </w:pPr>
          </w:p>
          <w:p w14:paraId="42085D5D" w14:textId="77777777"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Data subject’s name and address, or any other means for service;</w:t>
            </w:r>
          </w:p>
          <w:p w14:paraId="55F28450" w14:textId="77777777"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Documents to accredit the identity of the data subject or, when applicable, the capacity and identity of his representative;</w:t>
            </w:r>
          </w:p>
          <w:p w14:paraId="53CACE7F" w14:textId="77777777"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If possible, the area concerned with personal data treatment and before which the request is submitted;</w:t>
            </w:r>
          </w:p>
          <w:p w14:paraId="2660CB62" w14:textId="77777777"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A clear and precise description of the personal data on which the exercise of any of the ARCO rights is intended;</w:t>
            </w:r>
          </w:p>
          <w:p w14:paraId="6A6741FF" w14:textId="77777777"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 xml:space="preserve">Description of the ARCO right to be exercised or whatever the data subject is requesting, and </w:t>
            </w:r>
          </w:p>
          <w:p w14:paraId="165BB3D9" w14:textId="31F62D22" w:rsidR="00FE14B2" w:rsidRPr="00753C69" w:rsidRDefault="00FE14B2" w:rsidP="00AF7011">
            <w:pPr>
              <w:pStyle w:val="Prrafodelista"/>
              <w:numPr>
                <w:ilvl w:val="0"/>
                <w:numId w:val="6"/>
              </w:numPr>
              <w:ind w:left="1024" w:hanging="283"/>
              <w:jc w:val="both"/>
              <w:rPr>
                <w:rFonts w:ascii="Arial" w:hAnsi="Arial" w:cs="Arial"/>
                <w:sz w:val="16"/>
                <w:szCs w:val="16"/>
              </w:rPr>
            </w:pPr>
            <w:r w:rsidRPr="00753C69">
              <w:rPr>
                <w:rFonts w:ascii="Arial" w:hAnsi="Arial"/>
                <w:sz w:val="16"/>
                <w:szCs w:val="16"/>
              </w:rPr>
              <w:t xml:space="preserve">Any other element or document that may be useful to </w:t>
            </w:r>
            <w:r w:rsidR="00714FDB" w:rsidRPr="00753C69">
              <w:rPr>
                <w:rFonts w:ascii="Arial" w:hAnsi="Arial"/>
                <w:sz w:val="16"/>
                <w:szCs w:val="16"/>
              </w:rPr>
              <w:t>locate</w:t>
            </w:r>
            <w:r w:rsidRPr="00753C69">
              <w:rPr>
                <w:rFonts w:ascii="Arial" w:hAnsi="Arial"/>
                <w:sz w:val="16"/>
                <w:szCs w:val="16"/>
              </w:rPr>
              <w:t xml:space="preserve"> the personal data. </w:t>
            </w:r>
          </w:p>
          <w:p w14:paraId="570F4800" w14:textId="77777777" w:rsidR="00FE14B2" w:rsidRPr="00FE14B2" w:rsidRDefault="00FE14B2" w:rsidP="00AF7011">
            <w:pPr>
              <w:jc w:val="both"/>
              <w:rPr>
                <w:rFonts w:ascii="Arial" w:hAnsi="Arial" w:cs="Arial"/>
                <w:sz w:val="16"/>
                <w:szCs w:val="16"/>
              </w:rPr>
            </w:pPr>
          </w:p>
          <w:p w14:paraId="0049FC60" w14:textId="77777777" w:rsidR="00FE14B2" w:rsidRPr="00753C69" w:rsidRDefault="00FE14B2" w:rsidP="00AF7011">
            <w:pPr>
              <w:pStyle w:val="Prrafodelista"/>
              <w:numPr>
                <w:ilvl w:val="0"/>
                <w:numId w:val="5"/>
              </w:numPr>
              <w:jc w:val="both"/>
              <w:rPr>
                <w:rFonts w:ascii="Arial" w:hAnsi="Arial" w:cs="Arial"/>
                <w:sz w:val="16"/>
                <w:szCs w:val="16"/>
              </w:rPr>
            </w:pPr>
            <w:r w:rsidRPr="00753C69">
              <w:rPr>
                <w:rFonts w:ascii="Arial" w:hAnsi="Arial"/>
                <w:sz w:val="16"/>
                <w:szCs w:val="16"/>
              </w:rPr>
              <w:t>The means by which the data subject may submit requests to exercise ARCO rights.</w:t>
            </w:r>
          </w:p>
          <w:p w14:paraId="31639038" w14:textId="77777777" w:rsidR="00FE14B2" w:rsidRPr="00753C69" w:rsidRDefault="00FE14B2" w:rsidP="00AF7011">
            <w:pPr>
              <w:jc w:val="both"/>
              <w:rPr>
                <w:rFonts w:ascii="Arial" w:hAnsi="Arial" w:cs="Arial"/>
                <w:sz w:val="16"/>
                <w:szCs w:val="16"/>
              </w:rPr>
            </w:pPr>
          </w:p>
          <w:p w14:paraId="53A087AA" w14:textId="77777777" w:rsidR="00FE14B2" w:rsidRPr="00753C69" w:rsidRDefault="00FE14B2" w:rsidP="00AF7011">
            <w:pPr>
              <w:ind w:left="741"/>
              <w:jc w:val="both"/>
              <w:rPr>
                <w:rFonts w:ascii="Arial" w:hAnsi="Arial" w:cs="Arial"/>
                <w:sz w:val="16"/>
                <w:szCs w:val="16"/>
              </w:rPr>
            </w:pPr>
            <w:r w:rsidRPr="00753C69">
              <w:rPr>
                <w:rFonts w:ascii="Arial" w:hAnsi="Arial"/>
                <w:sz w:val="16"/>
                <w:szCs w:val="16"/>
              </w:rPr>
              <w:t xml:space="preserve">Same as established in paragraph eighth of article 52 of the LGPDPPSO, which indicates the following: </w:t>
            </w:r>
          </w:p>
          <w:p w14:paraId="50816C62" w14:textId="77777777" w:rsidR="00FE14B2" w:rsidRPr="00753C69" w:rsidRDefault="00FE14B2" w:rsidP="00AF7011">
            <w:pPr>
              <w:ind w:left="741"/>
              <w:jc w:val="both"/>
              <w:rPr>
                <w:rFonts w:ascii="Arial" w:hAnsi="Arial" w:cs="Arial"/>
                <w:sz w:val="16"/>
                <w:szCs w:val="16"/>
              </w:rPr>
            </w:pPr>
          </w:p>
          <w:p w14:paraId="1027CD76" w14:textId="53EB8369" w:rsidR="00FE14B2" w:rsidRPr="00FE14B2" w:rsidRDefault="00FE14B2" w:rsidP="00AF7011">
            <w:pPr>
              <w:ind w:left="741"/>
              <w:jc w:val="both"/>
              <w:rPr>
                <w:rFonts w:ascii="Arial" w:hAnsi="Arial" w:cs="Arial"/>
                <w:sz w:val="16"/>
                <w:szCs w:val="16"/>
              </w:rPr>
            </w:pPr>
            <w:r w:rsidRPr="00753C69">
              <w:rPr>
                <w:rFonts w:ascii="Arial" w:hAnsi="Arial"/>
                <w:sz w:val="16"/>
                <w:szCs w:val="16"/>
              </w:rPr>
              <w:t>Requests to exercise ARCO rights shall be submitted before the Transparency Unit of the controller deemed competent by the data subject, by free form document, formats, electronic means or any other means established by the INA</w:t>
            </w:r>
            <w:r w:rsidR="00BD6166">
              <w:rPr>
                <w:rFonts w:ascii="Arial" w:hAnsi="Arial"/>
                <w:sz w:val="16"/>
                <w:szCs w:val="16"/>
              </w:rPr>
              <w:t>I</w:t>
            </w:r>
            <w:r w:rsidRPr="00753C69">
              <w:rPr>
                <w:rFonts w:ascii="Arial" w:hAnsi="Arial"/>
                <w:sz w:val="16"/>
                <w:szCs w:val="16"/>
              </w:rPr>
              <w:t xml:space="preserve"> for such purposes.</w:t>
            </w:r>
          </w:p>
          <w:p w14:paraId="6201E3E2" w14:textId="77777777" w:rsidR="00FE14B2" w:rsidRPr="00FE14B2" w:rsidRDefault="00FE14B2" w:rsidP="00AF7011">
            <w:pPr>
              <w:jc w:val="both"/>
              <w:rPr>
                <w:rFonts w:ascii="Arial" w:hAnsi="Arial" w:cs="Arial"/>
                <w:sz w:val="16"/>
                <w:szCs w:val="16"/>
              </w:rPr>
            </w:pPr>
          </w:p>
          <w:p w14:paraId="7D9041E5" w14:textId="77777777" w:rsidR="00FE14B2" w:rsidRPr="00857F9F" w:rsidRDefault="00FE14B2" w:rsidP="00AF7011">
            <w:pPr>
              <w:pStyle w:val="Prrafodelista"/>
              <w:numPr>
                <w:ilvl w:val="0"/>
                <w:numId w:val="5"/>
              </w:numPr>
              <w:jc w:val="both"/>
              <w:rPr>
                <w:rFonts w:ascii="Arial" w:hAnsi="Arial" w:cs="Arial"/>
                <w:sz w:val="16"/>
                <w:szCs w:val="16"/>
              </w:rPr>
            </w:pPr>
            <w:r w:rsidRPr="00857F9F">
              <w:rPr>
                <w:rFonts w:ascii="Arial" w:hAnsi="Arial"/>
                <w:sz w:val="16"/>
                <w:szCs w:val="16"/>
              </w:rPr>
              <w:t>Forms, systems and other simplified means that the Institute may have established for the data subject to exercise his ARCO rights.</w:t>
            </w:r>
          </w:p>
          <w:p w14:paraId="223CE481" w14:textId="77777777" w:rsidR="00FE14B2" w:rsidRPr="00857F9F" w:rsidRDefault="00FE14B2" w:rsidP="00AF7011">
            <w:pPr>
              <w:jc w:val="both"/>
              <w:rPr>
                <w:rFonts w:ascii="Arial" w:hAnsi="Arial" w:cs="Arial"/>
                <w:sz w:val="16"/>
                <w:szCs w:val="16"/>
              </w:rPr>
            </w:pPr>
          </w:p>
          <w:p w14:paraId="1516FB83" w14:textId="33EA46BC" w:rsidR="00FE14B2" w:rsidRPr="00FE14B2" w:rsidRDefault="00FE14B2" w:rsidP="00AF7011">
            <w:pPr>
              <w:ind w:left="741"/>
              <w:jc w:val="both"/>
              <w:rPr>
                <w:rFonts w:ascii="Arial" w:hAnsi="Arial" w:cs="Arial"/>
                <w:sz w:val="16"/>
                <w:szCs w:val="16"/>
              </w:rPr>
            </w:pPr>
            <w:r w:rsidRPr="00857F9F">
              <w:rPr>
                <w:rFonts w:ascii="Arial" w:hAnsi="Arial"/>
                <w:sz w:val="16"/>
                <w:szCs w:val="16"/>
              </w:rPr>
              <w:t>The forms developed by the INAI to exercise ARCO rights are available at its Internet portal (</w:t>
            </w:r>
            <w:hyperlink r:id="rId17" w:history="1">
              <w:r w:rsidRPr="00857F9F">
                <w:rPr>
                  <w:rStyle w:val="Hipervnculo"/>
                  <w:rFonts w:ascii="Arial" w:hAnsi="Arial"/>
                  <w:sz w:val="16"/>
                  <w:szCs w:val="16"/>
                </w:rPr>
                <w:t>www.inai.org.mx</w:t>
              </w:r>
            </w:hyperlink>
            <w:r w:rsidR="00857F9F" w:rsidRPr="000C781C">
              <w:rPr>
                <w:rStyle w:val="Hipervnculo"/>
                <w:rFonts w:ascii="Arial" w:hAnsi="Arial"/>
                <w:color w:val="auto"/>
                <w:sz w:val="16"/>
                <w:szCs w:val="16"/>
                <w:u w:val="none"/>
              </w:rPr>
              <w:t>)</w:t>
            </w:r>
            <w:r w:rsidRPr="00857F9F">
              <w:rPr>
                <w:rFonts w:ascii="Arial" w:hAnsi="Arial"/>
                <w:sz w:val="16"/>
                <w:szCs w:val="16"/>
              </w:rPr>
              <w:t>, in the “Protección de Datos Personales”/“¿Cómo ejercer el derecho a la protección de datos personales?/“Formatos”/”Sector Público” section.</w:t>
            </w:r>
          </w:p>
          <w:p w14:paraId="2DBB917B" w14:textId="77777777" w:rsidR="00FE14B2" w:rsidRPr="00FE14B2" w:rsidRDefault="00FE14B2" w:rsidP="00AF7011">
            <w:pPr>
              <w:jc w:val="both"/>
              <w:rPr>
                <w:rFonts w:ascii="Arial" w:hAnsi="Arial" w:cs="Arial"/>
                <w:sz w:val="16"/>
                <w:szCs w:val="16"/>
              </w:rPr>
            </w:pPr>
          </w:p>
          <w:p w14:paraId="0FC8DAB4" w14:textId="0E7DC946" w:rsidR="00FE14B2" w:rsidRPr="00BD6166" w:rsidRDefault="00FE14B2" w:rsidP="00AF7011">
            <w:pPr>
              <w:pStyle w:val="Prrafodelista"/>
              <w:numPr>
                <w:ilvl w:val="0"/>
                <w:numId w:val="5"/>
              </w:numPr>
              <w:jc w:val="both"/>
              <w:rPr>
                <w:rFonts w:ascii="Arial" w:hAnsi="Arial" w:cs="Arial"/>
                <w:sz w:val="16"/>
                <w:szCs w:val="16"/>
              </w:rPr>
            </w:pPr>
            <w:r w:rsidRPr="00BD6166">
              <w:rPr>
                <w:rFonts w:ascii="Arial" w:hAnsi="Arial"/>
                <w:sz w:val="16"/>
                <w:szCs w:val="16"/>
              </w:rPr>
              <w:t>The means enabled to respond request to exercise ARCO rights</w:t>
            </w:r>
            <w:r w:rsidR="0088760D" w:rsidRPr="00BD6166">
              <w:rPr>
                <w:rFonts w:ascii="Arial" w:hAnsi="Arial"/>
                <w:sz w:val="16"/>
                <w:szCs w:val="16"/>
              </w:rPr>
              <w:t>.</w:t>
            </w:r>
            <w:r w:rsidRPr="00BD6166">
              <w:rPr>
                <w:rFonts w:ascii="Arial" w:hAnsi="Arial"/>
                <w:sz w:val="16"/>
                <w:szCs w:val="16"/>
              </w:rPr>
              <w:t xml:space="preserve"> </w:t>
            </w:r>
          </w:p>
          <w:p w14:paraId="277AD5A7" w14:textId="77777777" w:rsidR="00FE14B2" w:rsidRPr="00BD6166" w:rsidRDefault="00FE14B2" w:rsidP="00AF7011">
            <w:pPr>
              <w:jc w:val="both"/>
              <w:rPr>
                <w:rFonts w:ascii="Arial" w:hAnsi="Arial" w:cs="Arial"/>
                <w:sz w:val="16"/>
                <w:szCs w:val="16"/>
              </w:rPr>
            </w:pPr>
          </w:p>
          <w:p w14:paraId="2E632C3B" w14:textId="77777777" w:rsidR="00FE14B2" w:rsidRPr="00FE14B2" w:rsidRDefault="00FE14B2" w:rsidP="00AF7011">
            <w:pPr>
              <w:ind w:left="741"/>
              <w:jc w:val="both"/>
              <w:rPr>
                <w:rFonts w:ascii="Arial" w:hAnsi="Arial" w:cs="Arial"/>
                <w:sz w:val="16"/>
                <w:szCs w:val="16"/>
              </w:rPr>
            </w:pPr>
            <w:r w:rsidRPr="00BD6166">
              <w:rPr>
                <w:rFonts w:ascii="Arial" w:hAnsi="Arial"/>
                <w:sz w:val="16"/>
                <w:szCs w:val="16"/>
              </w:rPr>
              <w:t>In accordance with number 90 of the Guidelines, the response adopted by the controller may be notified to the data subject in its Transparency Unit or in the offices established for that purpose, prior accreditation of his identity and, when applicable, the identity and capacity of his representative, in person or through the National Transparency Platform or registered mail. Notice through a representative will not be valid when using these last means.</w:t>
            </w:r>
          </w:p>
          <w:p w14:paraId="2DA48EA1" w14:textId="77777777" w:rsidR="00FE14B2" w:rsidRPr="00FE14B2" w:rsidRDefault="00FE14B2" w:rsidP="00AF7011">
            <w:pPr>
              <w:jc w:val="both"/>
              <w:rPr>
                <w:rFonts w:ascii="Arial" w:hAnsi="Arial" w:cs="Arial"/>
                <w:sz w:val="16"/>
                <w:szCs w:val="16"/>
              </w:rPr>
            </w:pPr>
          </w:p>
          <w:p w14:paraId="1D007D00" w14:textId="53908A56" w:rsidR="00FE14B2" w:rsidRPr="00BD6166" w:rsidRDefault="00FE14B2" w:rsidP="00AF7011">
            <w:pPr>
              <w:pStyle w:val="Prrafodelista"/>
              <w:numPr>
                <w:ilvl w:val="0"/>
                <w:numId w:val="5"/>
              </w:numPr>
              <w:jc w:val="both"/>
              <w:rPr>
                <w:rFonts w:ascii="Arial" w:hAnsi="Arial" w:cs="Arial"/>
                <w:sz w:val="16"/>
                <w:szCs w:val="16"/>
              </w:rPr>
            </w:pPr>
            <w:r w:rsidRPr="00BD6166">
              <w:rPr>
                <w:rFonts w:ascii="Arial" w:hAnsi="Arial"/>
                <w:sz w:val="16"/>
                <w:szCs w:val="16"/>
              </w:rPr>
              <w:t xml:space="preserve">The mode or means to </w:t>
            </w:r>
            <w:r w:rsidR="00736240" w:rsidRPr="00BD6166">
              <w:rPr>
                <w:rFonts w:ascii="Arial" w:hAnsi="Arial"/>
                <w:sz w:val="16"/>
                <w:szCs w:val="16"/>
              </w:rPr>
              <w:t>reproduce</w:t>
            </w:r>
            <w:r w:rsidRPr="00BD6166">
              <w:rPr>
                <w:rFonts w:ascii="Arial" w:hAnsi="Arial"/>
                <w:sz w:val="16"/>
                <w:szCs w:val="16"/>
              </w:rPr>
              <w:t xml:space="preserve"> personal data</w:t>
            </w:r>
            <w:r w:rsidR="0088760D" w:rsidRPr="00BD6166">
              <w:rPr>
                <w:rFonts w:ascii="Arial" w:hAnsi="Arial"/>
                <w:sz w:val="16"/>
                <w:szCs w:val="16"/>
              </w:rPr>
              <w:t>.</w:t>
            </w:r>
            <w:r w:rsidRPr="00BD6166">
              <w:rPr>
                <w:rFonts w:ascii="Arial" w:hAnsi="Arial"/>
                <w:sz w:val="16"/>
                <w:szCs w:val="16"/>
              </w:rPr>
              <w:t xml:space="preserve"> </w:t>
            </w:r>
          </w:p>
          <w:p w14:paraId="36C8198E" w14:textId="77777777" w:rsidR="00FE14B2" w:rsidRPr="00BD6166" w:rsidRDefault="00FE14B2" w:rsidP="00AF7011">
            <w:pPr>
              <w:jc w:val="both"/>
              <w:rPr>
                <w:rFonts w:ascii="Arial" w:hAnsi="Arial" w:cs="Arial"/>
                <w:sz w:val="16"/>
                <w:szCs w:val="16"/>
              </w:rPr>
            </w:pPr>
          </w:p>
          <w:p w14:paraId="35892B09" w14:textId="77777777" w:rsidR="00FE14B2" w:rsidRPr="00FE14B2" w:rsidRDefault="00FE14B2" w:rsidP="00AF7011">
            <w:pPr>
              <w:ind w:left="741"/>
              <w:jc w:val="both"/>
              <w:rPr>
                <w:rFonts w:ascii="Arial" w:hAnsi="Arial" w:cs="Arial"/>
                <w:sz w:val="16"/>
                <w:szCs w:val="16"/>
              </w:rPr>
            </w:pPr>
            <w:r w:rsidRPr="00BD6166">
              <w:rPr>
                <w:rFonts w:ascii="Arial" w:hAnsi="Arial"/>
                <w:sz w:val="16"/>
                <w:szCs w:val="16"/>
              </w:rPr>
              <w:t>In accordance with number 92 of the Guidelines, the mode or means of personal data reproduction will be through direct consultation, in his location, or by simple copies, certified copies, magnetic, optical, sound, visual or holographic media, or any other technology determined by the data subject.</w:t>
            </w:r>
          </w:p>
          <w:p w14:paraId="6A44D8ED" w14:textId="77777777" w:rsidR="00FE14B2" w:rsidRPr="00FE14B2" w:rsidRDefault="00FE14B2" w:rsidP="00AF7011">
            <w:pPr>
              <w:jc w:val="both"/>
              <w:rPr>
                <w:rFonts w:ascii="Arial" w:hAnsi="Arial" w:cs="Arial"/>
                <w:sz w:val="16"/>
                <w:szCs w:val="16"/>
              </w:rPr>
            </w:pPr>
          </w:p>
          <w:p w14:paraId="6E42E213" w14:textId="77777777" w:rsidR="00FE14B2" w:rsidRPr="00BD6166" w:rsidRDefault="00FE14B2" w:rsidP="00AF7011">
            <w:pPr>
              <w:pStyle w:val="Prrafodelista"/>
              <w:numPr>
                <w:ilvl w:val="0"/>
                <w:numId w:val="5"/>
              </w:numPr>
              <w:jc w:val="both"/>
              <w:rPr>
                <w:rFonts w:ascii="Arial" w:hAnsi="Arial" w:cs="Arial"/>
                <w:sz w:val="16"/>
                <w:szCs w:val="16"/>
              </w:rPr>
            </w:pPr>
            <w:r w:rsidRPr="00BD6166">
              <w:rPr>
                <w:rFonts w:ascii="Arial" w:hAnsi="Arial"/>
                <w:sz w:val="16"/>
                <w:szCs w:val="16"/>
              </w:rPr>
              <w:t>The terms established in the procedure, which may not contravene articles 51, 52, 53 and 54 of the LGPDPPSO, are:</w:t>
            </w:r>
          </w:p>
          <w:p w14:paraId="16E7D4E9" w14:textId="77777777" w:rsidR="00FE14B2" w:rsidRPr="00BD6166" w:rsidRDefault="00FE14B2" w:rsidP="00AF7011">
            <w:pPr>
              <w:jc w:val="both"/>
              <w:rPr>
                <w:rFonts w:ascii="Arial" w:hAnsi="Arial" w:cs="Arial"/>
                <w:sz w:val="16"/>
                <w:szCs w:val="16"/>
              </w:rPr>
            </w:pPr>
          </w:p>
          <w:p w14:paraId="56DFB899" w14:textId="175A516F" w:rsidR="00FE14B2" w:rsidRPr="00BD6166" w:rsidRDefault="00736240" w:rsidP="00AF7011">
            <w:pPr>
              <w:ind w:left="741"/>
              <w:jc w:val="both"/>
              <w:rPr>
                <w:rFonts w:ascii="Arial" w:hAnsi="Arial" w:cs="Arial"/>
                <w:sz w:val="16"/>
                <w:szCs w:val="16"/>
              </w:rPr>
            </w:pPr>
            <w:r w:rsidRPr="00BD6166">
              <w:rPr>
                <w:rFonts w:ascii="Arial" w:hAnsi="Arial"/>
                <w:sz w:val="16"/>
                <w:szCs w:val="16"/>
              </w:rPr>
              <w:t>The</w:t>
            </w:r>
            <w:r w:rsidR="00FE14B2" w:rsidRPr="00BD6166">
              <w:rPr>
                <w:rFonts w:ascii="Arial" w:hAnsi="Arial"/>
                <w:sz w:val="16"/>
                <w:szCs w:val="16"/>
              </w:rPr>
              <w:t xml:space="preserve"> controller shall </w:t>
            </w:r>
            <w:r w:rsidRPr="00BD6166">
              <w:rPr>
                <w:rFonts w:ascii="Arial" w:hAnsi="Arial"/>
                <w:sz w:val="16"/>
                <w:szCs w:val="16"/>
              </w:rPr>
              <w:t>establish</w:t>
            </w:r>
            <w:r w:rsidR="00FE14B2" w:rsidRPr="00BD6166">
              <w:rPr>
                <w:rFonts w:ascii="Arial" w:hAnsi="Arial"/>
                <w:sz w:val="16"/>
                <w:szCs w:val="16"/>
              </w:rPr>
              <w:t xml:space="preserve"> simple procedures to allow the exercise of ARCO rights, with response </w:t>
            </w:r>
            <w:r w:rsidRPr="00BD6166">
              <w:rPr>
                <w:rFonts w:ascii="Arial" w:hAnsi="Arial"/>
                <w:sz w:val="16"/>
                <w:szCs w:val="16"/>
              </w:rPr>
              <w:t>times</w:t>
            </w:r>
            <w:r w:rsidR="00FE14B2" w:rsidRPr="00BD6166">
              <w:rPr>
                <w:rFonts w:ascii="Arial" w:hAnsi="Arial"/>
                <w:sz w:val="16"/>
                <w:szCs w:val="16"/>
              </w:rPr>
              <w:t xml:space="preserve"> no exceeding twenty days from the day following reception of the request.</w:t>
            </w:r>
          </w:p>
          <w:p w14:paraId="5FB9AA22" w14:textId="77777777" w:rsidR="00FE14B2" w:rsidRPr="00BD6166" w:rsidRDefault="00FE14B2" w:rsidP="00AF7011">
            <w:pPr>
              <w:ind w:left="741"/>
              <w:jc w:val="both"/>
              <w:rPr>
                <w:rFonts w:ascii="Arial" w:hAnsi="Arial" w:cs="Arial"/>
                <w:sz w:val="16"/>
                <w:szCs w:val="16"/>
              </w:rPr>
            </w:pPr>
          </w:p>
          <w:p w14:paraId="70C0D169"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The term referred above may be extended one time only, for up to ten days, under justified circumstances, provided that the data subject is notified within the response term.</w:t>
            </w:r>
          </w:p>
          <w:p w14:paraId="302E9B09" w14:textId="77777777" w:rsidR="00FE14B2" w:rsidRPr="00BD6166" w:rsidRDefault="00FE14B2" w:rsidP="00AF7011">
            <w:pPr>
              <w:ind w:left="741"/>
              <w:jc w:val="both"/>
              <w:rPr>
                <w:rFonts w:ascii="Arial" w:hAnsi="Arial" w:cs="Arial"/>
                <w:sz w:val="16"/>
                <w:szCs w:val="16"/>
              </w:rPr>
            </w:pPr>
          </w:p>
          <w:p w14:paraId="06FE85B5" w14:textId="33224F4A" w:rsidR="00FE14B2" w:rsidRPr="00BD6166" w:rsidRDefault="00FE14B2" w:rsidP="00AF7011">
            <w:pPr>
              <w:ind w:left="741"/>
              <w:jc w:val="both"/>
              <w:rPr>
                <w:rFonts w:ascii="Arial" w:hAnsi="Arial" w:cs="Arial"/>
                <w:sz w:val="16"/>
                <w:szCs w:val="16"/>
              </w:rPr>
            </w:pPr>
            <w:r w:rsidRPr="00BD6166">
              <w:rPr>
                <w:rFonts w:ascii="Arial" w:hAnsi="Arial"/>
                <w:sz w:val="16"/>
                <w:szCs w:val="16"/>
              </w:rPr>
              <w:t xml:space="preserve">In case the exercise of ARCO rights is valid, the controller shall make it effective within a term that may </w:t>
            </w:r>
            <w:r w:rsidR="00714FDB" w:rsidRPr="00BD6166">
              <w:rPr>
                <w:rFonts w:ascii="Arial" w:hAnsi="Arial"/>
                <w:sz w:val="16"/>
                <w:szCs w:val="16"/>
              </w:rPr>
              <w:t>not</w:t>
            </w:r>
            <w:r w:rsidRPr="00BD6166">
              <w:rPr>
                <w:rFonts w:ascii="Arial" w:hAnsi="Arial"/>
                <w:sz w:val="16"/>
                <w:szCs w:val="16"/>
              </w:rPr>
              <w:t xml:space="preserve"> exceed fifteen days from the day following notice of </w:t>
            </w:r>
            <w:r w:rsidR="00714FDB" w:rsidRPr="00BD6166">
              <w:rPr>
                <w:rFonts w:ascii="Arial" w:hAnsi="Arial"/>
                <w:sz w:val="16"/>
                <w:szCs w:val="16"/>
              </w:rPr>
              <w:t>response</w:t>
            </w:r>
            <w:r w:rsidRPr="00BD6166">
              <w:rPr>
                <w:rFonts w:ascii="Arial" w:hAnsi="Arial"/>
                <w:sz w:val="16"/>
                <w:szCs w:val="16"/>
              </w:rPr>
              <w:t xml:space="preserve"> to the data subject.</w:t>
            </w:r>
          </w:p>
          <w:p w14:paraId="6D5C37A2" w14:textId="77777777" w:rsidR="00FE14B2" w:rsidRPr="00BD6166" w:rsidRDefault="00FE14B2" w:rsidP="00AF7011">
            <w:pPr>
              <w:ind w:left="741"/>
              <w:jc w:val="both"/>
              <w:rPr>
                <w:rFonts w:ascii="Arial" w:hAnsi="Arial" w:cs="Arial"/>
                <w:sz w:val="16"/>
                <w:szCs w:val="16"/>
              </w:rPr>
            </w:pPr>
          </w:p>
          <w:p w14:paraId="05CF3B9D"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In case the request for data protection does not comply with any of the requisites referred in paragraph fourth of article 52 of the LGPDPPSO, and the controller does not have sufficient elements to correct it, the data subject will be warned within five days following the submission of the request to exercise ARCO rights, for one single time, to correct the omissions within a term of ten days from the day following the notice.</w:t>
            </w:r>
          </w:p>
          <w:p w14:paraId="7A2EAFF4" w14:textId="77777777" w:rsidR="00FE14B2" w:rsidRPr="00BD6166" w:rsidRDefault="00FE14B2" w:rsidP="00AF7011">
            <w:pPr>
              <w:ind w:left="741"/>
              <w:jc w:val="both"/>
              <w:rPr>
                <w:rFonts w:ascii="Arial" w:hAnsi="Arial" w:cs="Arial"/>
                <w:sz w:val="16"/>
                <w:szCs w:val="16"/>
              </w:rPr>
            </w:pPr>
          </w:p>
          <w:p w14:paraId="6C210D23"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 xml:space="preserve">Upon conclusion of said term without any response, the request to exercise ARCO rights will be deemed as not submitted. </w:t>
            </w:r>
          </w:p>
          <w:p w14:paraId="4B01EE53" w14:textId="77777777" w:rsidR="00FE14B2" w:rsidRPr="00BD6166" w:rsidRDefault="00FE14B2" w:rsidP="00AF7011">
            <w:pPr>
              <w:ind w:left="741"/>
              <w:jc w:val="both"/>
              <w:rPr>
                <w:rFonts w:ascii="Arial" w:hAnsi="Arial" w:cs="Arial"/>
                <w:sz w:val="16"/>
                <w:szCs w:val="16"/>
              </w:rPr>
            </w:pPr>
          </w:p>
          <w:p w14:paraId="2420D4AC"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 xml:space="preserve">The warning will have the effect of interrupting the term for the INAI to respond the request of exercise of ARCO rights. </w:t>
            </w:r>
          </w:p>
          <w:p w14:paraId="1A8BA141" w14:textId="77777777" w:rsidR="00FE14B2" w:rsidRPr="00BD6166" w:rsidRDefault="00FE14B2" w:rsidP="00AF7011">
            <w:pPr>
              <w:ind w:left="741"/>
              <w:jc w:val="both"/>
              <w:rPr>
                <w:rFonts w:ascii="Arial" w:hAnsi="Arial" w:cs="Arial"/>
                <w:sz w:val="16"/>
                <w:szCs w:val="16"/>
              </w:rPr>
            </w:pPr>
          </w:p>
          <w:p w14:paraId="79B5FB20"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In case the controller is not competent to process the request for exercise of ARCO rights, it shall notify the data subject on such situation within three days following submission of the request, and in case it may be determined, direct him to the competent controller.</w:t>
            </w:r>
          </w:p>
          <w:p w14:paraId="556FE386" w14:textId="77777777" w:rsidR="00FE14B2" w:rsidRPr="00BD6166" w:rsidRDefault="00FE14B2" w:rsidP="00AF7011">
            <w:pPr>
              <w:ind w:left="741"/>
              <w:jc w:val="both"/>
              <w:rPr>
                <w:rFonts w:ascii="Arial" w:hAnsi="Arial" w:cs="Arial"/>
                <w:sz w:val="16"/>
                <w:szCs w:val="16"/>
              </w:rPr>
            </w:pPr>
          </w:p>
          <w:p w14:paraId="407870E8" w14:textId="77777777" w:rsidR="00FE14B2" w:rsidRPr="00BD6166" w:rsidRDefault="00FE14B2" w:rsidP="00AF7011">
            <w:pPr>
              <w:ind w:left="741"/>
              <w:jc w:val="both"/>
              <w:rPr>
                <w:rFonts w:ascii="Arial" w:hAnsi="Arial" w:cs="Arial"/>
                <w:sz w:val="16"/>
                <w:szCs w:val="16"/>
              </w:rPr>
            </w:pPr>
            <w:r w:rsidRPr="00BD6166">
              <w:rPr>
                <w:rFonts w:ascii="Arial" w:hAnsi="Arial"/>
                <w:sz w:val="16"/>
                <w:szCs w:val="16"/>
              </w:rPr>
              <w:t xml:space="preserve">In case provisions applicable to certain personal data treatment establish a specific procedure or process to request the exercise of ARCO rights, the controller shall notify the data subject on its existence within a term of five days following submission of the request to exercise ARCO rights, so that the latter may decide whether to exercise his rights through the specific procedure or by the process that the controller may have instituted to care for requests to exercise ARCO rights in accordance with articles 48 to 56 of the LGPDPPSO. </w:t>
            </w:r>
          </w:p>
          <w:p w14:paraId="67905D54" w14:textId="77777777" w:rsidR="00FE14B2" w:rsidRPr="00BD6166" w:rsidRDefault="00FE14B2" w:rsidP="00AF7011">
            <w:pPr>
              <w:ind w:left="741"/>
              <w:jc w:val="both"/>
              <w:rPr>
                <w:rFonts w:ascii="Arial" w:hAnsi="Arial" w:cs="Arial"/>
                <w:sz w:val="16"/>
                <w:szCs w:val="16"/>
              </w:rPr>
            </w:pPr>
          </w:p>
          <w:p w14:paraId="285952AF" w14:textId="36AA9B5C" w:rsidR="00FE14B2" w:rsidRPr="00FE14B2" w:rsidRDefault="00FE14B2" w:rsidP="00AF7011">
            <w:pPr>
              <w:ind w:left="741"/>
              <w:jc w:val="both"/>
              <w:rPr>
                <w:rFonts w:ascii="Arial" w:hAnsi="Arial" w:cs="Arial"/>
                <w:sz w:val="16"/>
                <w:szCs w:val="16"/>
              </w:rPr>
            </w:pPr>
            <w:r w:rsidRPr="00BD6166">
              <w:rPr>
                <w:rFonts w:ascii="Arial" w:hAnsi="Arial"/>
                <w:sz w:val="16"/>
                <w:szCs w:val="16"/>
              </w:rPr>
              <w:t>In the particular case, no specific process exists to request the exercise of ARCO rights relating to personal data collected for the consultation process at hand. (Case description, when applicable)</w:t>
            </w:r>
            <w:r w:rsidR="0088760D" w:rsidRPr="00BD6166">
              <w:rPr>
                <w:rFonts w:ascii="Arial" w:hAnsi="Arial"/>
                <w:sz w:val="16"/>
                <w:szCs w:val="16"/>
              </w:rPr>
              <w:t>.</w:t>
            </w:r>
          </w:p>
          <w:p w14:paraId="05C5BE06" w14:textId="77777777" w:rsidR="00FE14B2" w:rsidRPr="00FE14B2" w:rsidRDefault="00FE14B2" w:rsidP="00AF7011">
            <w:pPr>
              <w:jc w:val="both"/>
              <w:rPr>
                <w:rFonts w:ascii="Arial" w:hAnsi="Arial" w:cs="Arial"/>
                <w:sz w:val="16"/>
                <w:szCs w:val="16"/>
              </w:rPr>
            </w:pPr>
          </w:p>
          <w:p w14:paraId="0E17935F" w14:textId="7C8EB56A" w:rsidR="00FE14B2" w:rsidRPr="00605393" w:rsidRDefault="00FE14B2" w:rsidP="00AF7011">
            <w:pPr>
              <w:pStyle w:val="Prrafodelista"/>
              <w:numPr>
                <w:ilvl w:val="0"/>
                <w:numId w:val="5"/>
              </w:numPr>
              <w:jc w:val="both"/>
              <w:rPr>
                <w:rFonts w:ascii="Arial" w:hAnsi="Arial" w:cs="Arial"/>
                <w:sz w:val="16"/>
                <w:szCs w:val="16"/>
              </w:rPr>
            </w:pPr>
            <w:r w:rsidRPr="00605393">
              <w:rPr>
                <w:rFonts w:ascii="Arial" w:hAnsi="Arial"/>
                <w:sz w:val="16"/>
                <w:szCs w:val="16"/>
              </w:rPr>
              <w:t>The data subject's right to submit a writ of review before the INAI in case of disagreement with the response</w:t>
            </w:r>
            <w:r w:rsidR="0088760D" w:rsidRPr="00605393">
              <w:rPr>
                <w:rFonts w:ascii="Arial" w:hAnsi="Arial"/>
                <w:sz w:val="16"/>
                <w:szCs w:val="16"/>
              </w:rPr>
              <w:t>.</w:t>
            </w:r>
          </w:p>
          <w:p w14:paraId="397D56EA" w14:textId="77777777" w:rsidR="00FE14B2" w:rsidRPr="00605393" w:rsidRDefault="00FE14B2" w:rsidP="00AF7011">
            <w:pPr>
              <w:jc w:val="both"/>
              <w:rPr>
                <w:rFonts w:ascii="Arial" w:hAnsi="Arial" w:cs="Arial"/>
                <w:sz w:val="16"/>
                <w:szCs w:val="16"/>
              </w:rPr>
            </w:pPr>
          </w:p>
          <w:p w14:paraId="187C19B7" w14:textId="77777777" w:rsidR="00FE14B2" w:rsidRPr="00FE14B2" w:rsidRDefault="00FE14B2" w:rsidP="00AF7011">
            <w:pPr>
              <w:ind w:left="741"/>
              <w:jc w:val="both"/>
              <w:rPr>
                <w:rFonts w:ascii="Arial" w:hAnsi="Arial" w:cs="Arial"/>
                <w:sz w:val="16"/>
                <w:szCs w:val="16"/>
              </w:rPr>
            </w:pPr>
            <w:r w:rsidRPr="00605393">
              <w:rPr>
                <w:rFonts w:ascii="Arial" w:hAnsi="Arial"/>
                <w:sz w:val="16"/>
                <w:szCs w:val="16"/>
              </w:rPr>
              <w:t>Such right is established in articles 103 and 116 of the LGPDPPSO, which indicate that the data subject, in his own behalf or through his representative, may file a writ of review before the INAI or the Transparency Unit of the controller who has heard of the request to exercise ARCO rights within a term of fifteen days from the day following the date of notice of the response.</w:t>
            </w:r>
          </w:p>
          <w:p w14:paraId="6BF338A0" w14:textId="77777777" w:rsidR="00FE14B2" w:rsidRPr="00FE14B2" w:rsidRDefault="00FE14B2" w:rsidP="00AF7011">
            <w:pPr>
              <w:jc w:val="both"/>
              <w:rPr>
                <w:rFonts w:ascii="Arial" w:hAnsi="Arial" w:cs="Arial"/>
                <w:sz w:val="16"/>
                <w:szCs w:val="16"/>
              </w:rPr>
            </w:pPr>
          </w:p>
          <w:p w14:paraId="6CD04656" w14:textId="35335FB8" w:rsidR="00FE14B2" w:rsidRPr="00605393" w:rsidRDefault="00FE14B2" w:rsidP="00AF7011">
            <w:pPr>
              <w:pStyle w:val="Prrafodelista"/>
              <w:numPr>
                <w:ilvl w:val="0"/>
                <w:numId w:val="3"/>
              </w:numPr>
              <w:jc w:val="both"/>
              <w:rPr>
                <w:rFonts w:ascii="Arial" w:hAnsi="Arial" w:cs="Arial"/>
                <w:sz w:val="16"/>
                <w:szCs w:val="16"/>
                <w:lang w:val="es-MX"/>
              </w:rPr>
            </w:pPr>
            <w:r w:rsidRPr="00605393">
              <w:rPr>
                <w:rFonts w:ascii="Arial" w:hAnsi="Arial"/>
                <w:b/>
                <w:sz w:val="16"/>
                <w:szCs w:val="16"/>
              </w:rPr>
              <w:t xml:space="preserve">Address of the Transparency Unit of the Federal Telecommunications Institute: </w:t>
            </w:r>
            <w:r w:rsidRPr="00605393">
              <w:rPr>
                <w:rFonts w:ascii="Arial" w:hAnsi="Arial"/>
                <w:sz w:val="16"/>
                <w:szCs w:val="16"/>
              </w:rPr>
              <w:t xml:space="preserve">Av. </w:t>
            </w:r>
            <w:r w:rsidRPr="00605393">
              <w:rPr>
                <w:rFonts w:ascii="Arial" w:hAnsi="Arial"/>
                <w:sz w:val="16"/>
                <w:szCs w:val="16"/>
                <w:lang w:val="es-MX"/>
              </w:rPr>
              <w:t xml:space="preserve">Insurgentes Sur, No. 1143, Col. Noche Buena, Delegación Benito Juárez, zip code 03720, Mexico City, Mexico. Ground Floor, phone 50154000, </w:t>
            </w:r>
            <w:r w:rsidR="004A6518" w:rsidRPr="00605393">
              <w:rPr>
                <w:rFonts w:ascii="Arial" w:hAnsi="Arial"/>
                <w:sz w:val="16"/>
                <w:szCs w:val="16"/>
                <w:lang w:val="es-MX"/>
              </w:rPr>
              <w:t>e</w:t>
            </w:r>
            <w:r w:rsidRPr="00605393">
              <w:rPr>
                <w:rFonts w:ascii="Arial" w:hAnsi="Arial"/>
                <w:sz w:val="16"/>
                <w:szCs w:val="16"/>
                <w:lang w:val="es-MX"/>
              </w:rPr>
              <w:t>x</w:t>
            </w:r>
            <w:r w:rsidR="004A6518" w:rsidRPr="00605393">
              <w:rPr>
                <w:rFonts w:ascii="Arial" w:hAnsi="Arial"/>
                <w:sz w:val="16"/>
                <w:szCs w:val="16"/>
                <w:lang w:val="es-MX"/>
              </w:rPr>
              <w:t>t</w:t>
            </w:r>
            <w:r w:rsidRPr="00605393">
              <w:rPr>
                <w:rFonts w:ascii="Arial" w:hAnsi="Arial"/>
                <w:sz w:val="16"/>
                <w:szCs w:val="16"/>
                <w:lang w:val="es-MX"/>
              </w:rPr>
              <w:t xml:space="preserve"> 4267.</w:t>
            </w:r>
          </w:p>
          <w:p w14:paraId="0D2746F5" w14:textId="77777777" w:rsidR="00FE14B2" w:rsidRPr="00AA74A2" w:rsidRDefault="00FE14B2" w:rsidP="00AF7011">
            <w:pPr>
              <w:jc w:val="both"/>
              <w:rPr>
                <w:rFonts w:ascii="Arial" w:hAnsi="Arial" w:cs="Arial"/>
                <w:sz w:val="16"/>
                <w:szCs w:val="16"/>
                <w:lang w:val="es-MX"/>
              </w:rPr>
            </w:pPr>
          </w:p>
          <w:p w14:paraId="36D9E644" w14:textId="2819E334" w:rsidR="005B599B" w:rsidRPr="00AF7011" w:rsidRDefault="00FE14B2" w:rsidP="00AF7011">
            <w:pPr>
              <w:pStyle w:val="Prrafodelista"/>
              <w:numPr>
                <w:ilvl w:val="0"/>
                <w:numId w:val="3"/>
              </w:numPr>
              <w:jc w:val="both"/>
              <w:rPr>
                <w:rFonts w:ascii="Arial" w:hAnsi="Arial" w:cs="Arial"/>
                <w:sz w:val="16"/>
                <w:szCs w:val="16"/>
              </w:rPr>
            </w:pPr>
            <w:r w:rsidRPr="00605393">
              <w:rPr>
                <w:rFonts w:ascii="Arial" w:hAnsi="Arial"/>
                <w:b/>
                <w:sz w:val="16"/>
                <w:szCs w:val="16"/>
              </w:rPr>
              <w:t xml:space="preserve">The means by which the controller will communicate data subjects on changes to the privacy policy are: </w:t>
            </w:r>
            <w:r w:rsidRPr="00605393">
              <w:rPr>
                <w:rFonts w:ascii="Arial" w:hAnsi="Arial"/>
                <w:sz w:val="16"/>
                <w:szCs w:val="16"/>
              </w:rPr>
              <w:t xml:space="preserve">All changes to the Privacy Policy will be notified to the data subjects in the public </w:t>
            </w:r>
            <w:r w:rsidR="004A6518" w:rsidRPr="00605393">
              <w:rPr>
                <w:rFonts w:ascii="Arial" w:hAnsi="Arial"/>
                <w:sz w:val="16"/>
                <w:szCs w:val="16"/>
              </w:rPr>
              <w:t xml:space="preserve">consultation </w:t>
            </w:r>
            <w:r w:rsidRPr="00605393">
              <w:rPr>
                <w:rFonts w:ascii="Arial" w:hAnsi="Arial"/>
                <w:sz w:val="16"/>
                <w:szCs w:val="16"/>
              </w:rPr>
              <w:t>section of the IFT’s Website.</w:t>
            </w:r>
          </w:p>
        </w:tc>
      </w:tr>
    </w:tbl>
    <w:p w14:paraId="69137054" w14:textId="77777777" w:rsidR="00383EAF" w:rsidRPr="003E2DCE" w:rsidRDefault="00383EAF">
      <w:pPr>
        <w:rPr>
          <w:rFonts w:ascii="Arial" w:hAnsi="Arial" w:cs="Arial"/>
          <w:sz w:val="16"/>
          <w:szCs w:val="16"/>
        </w:rPr>
      </w:pPr>
    </w:p>
    <w:p w14:paraId="29C93350" w14:textId="77777777" w:rsidR="00383EAF" w:rsidRPr="003E2DCE" w:rsidRDefault="00383EAF">
      <w:pPr>
        <w:rPr>
          <w:rFonts w:ascii="Arial" w:hAnsi="Arial" w:cs="Arial"/>
          <w:sz w:val="16"/>
          <w:szCs w:val="16"/>
        </w:rPr>
      </w:pPr>
    </w:p>
    <w:p w14:paraId="26C25403" w14:textId="77777777" w:rsidR="00383EAF" w:rsidRPr="003E2DCE" w:rsidRDefault="00383EAF">
      <w:pPr>
        <w:rPr>
          <w:rFonts w:ascii="Arial" w:hAnsi="Arial" w:cs="Arial"/>
          <w:sz w:val="16"/>
          <w:szCs w:val="16"/>
        </w:rPr>
      </w:pPr>
    </w:p>
    <w:p w14:paraId="2F8D6A66" w14:textId="77777777" w:rsidR="0041637B" w:rsidRDefault="0041637B">
      <w:pPr>
        <w:rPr>
          <w:rFonts w:ascii="Arial" w:hAnsi="Arial" w:cs="Arial"/>
          <w:sz w:val="16"/>
          <w:szCs w:val="16"/>
        </w:rPr>
        <w:sectPr w:rsidR="0041637B">
          <w:headerReference w:type="default" r:id="rId18"/>
          <w:footerReference w:type="default" r:id="rId19"/>
          <w:pgSz w:w="12240" w:h="15840"/>
          <w:pgMar w:top="1417" w:right="1701" w:bottom="1417" w:left="1701" w:header="708" w:footer="708" w:gutter="0"/>
          <w:cols w:space="708"/>
          <w:docGrid w:linePitch="360"/>
        </w:sectPr>
      </w:pPr>
    </w:p>
    <w:p w14:paraId="7D514E7F" w14:textId="6F3F2F56" w:rsidR="00E701C4" w:rsidRDefault="00E701C4" w:rsidP="000524A9">
      <w:pPr>
        <w:jc w:val="both"/>
        <w:rPr>
          <w:rFonts w:ascii="Arial" w:hAnsi="Arial"/>
          <w:b/>
          <w:szCs w:val="20"/>
        </w:rPr>
      </w:pPr>
    </w:p>
    <w:p w14:paraId="5F378D97" w14:textId="22B1E67D" w:rsidR="00383EAF" w:rsidRPr="004216C6" w:rsidRDefault="00123D01" w:rsidP="000524A9">
      <w:pPr>
        <w:jc w:val="both"/>
        <w:rPr>
          <w:rFonts w:ascii="Arial" w:hAnsi="Arial" w:cs="Arial"/>
          <w:b/>
          <w:szCs w:val="20"/>
        </w:rPr>
      </w:pPr>
      <w:r>
        <w:rPr>
          <w:noProof/>
          <w:lang w:val="es-MX" w:eastAsia="es-MX"/>
        </w:rPr>
        <w:drawing>
          <wp:anchor distT="0" distB="0" distL="114300" distR="114300" simplePos="0" relativeHeight="251658240" behindDoc="0" locked="0" layoutInCell="1" allowOverlap="1" wp14:anchorId="7168134B" wp14:editId="0434FF67">
            <wp:simplePos x="0" y="0"/>
            <wp:positionH relativeFrom="column">
              <wp:posOffset>-721360</wp:posOffset>
            </wp:positionH>
            <wp:positionV relativeFrom="paragraph">
              <wp:posOffset>626300</wp:posOffset>
            </wp:positionV>
            <wp:extent cx="7118350" cy="698119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118350" cy="6981190"/>
                    </a:xfrm>
                    <a:prstGeom prst="rect">
                      <a:avLst/>
                    </a:prstGeom>
                  </pic:spPr>
                </pic:pic>
              </a:graphicData>
            </a:graphic>
            <wp14:sizeRelH relativeFrom="page">
              <wp14:pctWidth>0</wp14:pctWidth>
            </wp14:sizeRelH>
            <wp14:sizeRelV relativeFrom="page">
              <wp14:pctHeight>0</wp14:pctHeight>
            </wp14:sizeRelV>
          </wp:anchor>
        </w:drawing>
      </w:r>
      <w:r w:rsidR="000524A9">
        <w:rPr>
          <w:rFonts w:ascii="Arial" w:hAnsi="Arial"/>
          <w:b/>
          <w:szCs w:val="20"/>
        </w:rPr>
        <w:t>II. Guide to identify the section number in the study “Spectr</w:t>
      </w:r>
      <w:r w:rsidR="0064320B">
        <w:rPr>
          <w:rFonts w:ascii="Arial" w:hAnsi="Arial"/>
          <w:b/>
          <w:szCs w:val="20"/>
        </w:rPr>
        <w:t>um</w:t>
      </w:r>
      <w:r w:rsidR="000524A9">
        <w:rPr>
          <w:rFonts w:ascii="Arial" w:hAnsi="Arial"/>
          <w:b/>
          <w:szCs w:val="20"/>
        </w:rPr>
        <w:t xml:space="preserve"> Efficiency Measurement</w:t>
      </w:r>
      <w:r w:rsidR="00AA74A2">
        <w:rPr>
          <w:rFonts w:ascii="Arial" w:hAnsi="Arial"/>
          <w:b/>
          <w:szCs w:val="20"/>
        </w:rPr>
        <w:t>.</w:t>
      </w:r>
      <w:r w:rsidR="000524A9">
        <w:rPr>
          <w:rFonts w:ascii="Arial" w:hAnsi="Arial"/>
          <w:b/>
          <w:szCs w:val="20"/>
        </w:rPr>
        <w:t xml:space="preserve"> Definitions and</w:t>
      </w:r>
      <w:r w:rsidR="00FA55C9">
        <w:rPr>
          <w:rFonts w:ascii="Arial" w:hAnsi="Arial"/>
          <w:b/>
          <w:szCs w:val="20"/>
        </w:rPr>
        <w:t xml:space="preserve"> considerations</w:t>
      </w:r>
      <w:r w:rsidR="000524A9">
        <w:rPr>
          <w:rFonts w:ascii="Arial" w:hAnsi="Arial"/>
          <w:b/>
          <w:szCs w:val="20"/>
        </w:rPr>
        <w:t xml:space="preserve"> to be </w:t>
      </w:r>
      <w:r w:rsidR="000524A9" w:rsidRPr="00605393">
        <w:rPr>
          <w:rFonts w:ascii="Arial" w:hAnsi="Arial"/>
          <w:b/>
          <w:szCs w:val="20"/>
        </w:rPr>
        <w:t xml:space="preserve">observed </w:t>
      </w:r>
      <w:r w:rsidR="000524A9" w:rsidRPr="00605393">
        <w:rPr>
          <w:rFonts w:ascii="Arial" w:hAnsi="Arial"/>
          <w:b/>
          <w:color w:val="000000" w:themeColor="text1"/>
          <w:szCs w:val="20"/>
        </w:rPr>
        <w:t xml:space="preserve">for its </w:t>
      </w:r>
      <w:r w:rsidR="000524A9" w:rsidRPr="00605393">
        <w:rPr>
          <w:rFonts w:ascii="Arial" w:hAnsi="Arial"/>
          <w:b/>
          <w:szCs w:val="20"/>
        </w:rPr>
        <w:t>application</w:t>
      </w:r>
      <w:r w:rsidR="000524A9">
        <w:rPr>
          <w:rFonts w:ascii="Arial" w:hAnsi="Arial"/>
          <w:b/>
          <w:szCs w:val="20"/>
        </w:rPr>
        <w:t xml:space="preserve"> in Mexico</w:t>
      </w:r>
    </w:p>
    <w:p w14:paraId="5BA39747" w14:textId="2971DE45" w:rsidR="00383EAF" w:rsidRPr="003E2DCE" w:rsidRDefault="00383EAF">
      <w:pPr>
        <w:rPr>
          <w:rFonts w:ascii="Arial" w:hAnsi="Arial" w:cs="Arial"/>
          <w:sz w:val="16"/>
          <w:szCs w:val="16"/>
        </w:rPr>
      </w:pPr>
    </w:p>
    <w:p w14:paraId="2DEF6D2A" w14:textId="77777777" w:rsidR="004B3571" w:rsidRDefault="004B3571">
      <w:pPr>
        <w:rPr>
          <w:rFonts w:ascii="Arial" w:hAnsi="Arial" w:cs="Arial"/>
          <w:sz w:val="16"/>
          <w:szCs w:val="16"/>
        </w:rPr>
        <w:sectPr w:rsidR="004B3571">
          <w:pgSz w:w="12240" w:h="15840"/>
          <w:pgMar w:top="1417" w:right="1701" w:bottom="1417" w:left="1701" w:header="708" w:footer="708" w:gutter="0"/>
          <w:cols w:space="708"/>
          <w:docGrid w:linePitch="360"/>
        </w:sectPr>
      </w:pPr>
    </w:p>
    <w:p w14:paraId="553BAD16" w14:textId="77777777" w:rsidR="00383EAF" w:rsidRPr="00A00721" w:rsidRDefault="001A5438">
      <w:pPr>
        <w:rPr>
          <w:rFonts w:ascii="Arial" w:hAnsi="Arial" w:cs="Arial"/>
        </w:rPr>
      </w:pPr>
      <w:r w:rsidRPr="00A00721">
        <w:rPr>
          <w:rFonts w:ascii="Arial" w:hAnsi="Arial"/>
          <w:b/>
        </w:rPr>
        <w:lastRenderedPageBreak/>
        <w:t>III. Public Consultation for Integration Questionnaire</w:t>
      </w:r>
    </w:p>
    <w:p w14:paraId="572EA6BD" w14:textId="6DBD0860" w:rsidR="005B0E0C" w:rsidRDefault="00DF77CB" w:rsidP="005B0E0C">
      <w:pPr>
        <w:jc w:val="both"/>
        <w:rPr>
          <w:rFonts w:ascii="Arial" w:hAnsi="Arial" w:cs="Arial"/>
          <w:sz w:val="18"/>
          <w:szCs w:val="18"/>
        </w:rPr>
      </w:pPr>
      <w:r w:rsidRPr="00A00721">
        <w:rPr>
          <w:rFonts w:ascii="Arial" w:hAnsi="Arial"/>
          <w:b/>
          <w:sz w:val="18"/>
          <w:szCs w:val="18"/>
        </w:rPr>
        <w:t>Note 1:</w:t>
      </w:r>
      <w:r w:rsidRPr="00A00721">
        <w:rPr>
          <w:rFonts w:ascii="Arial" w:hAnsi="Arial"/>
          <w:sz w:val="18"/>
          <w:szCs w:val="18"/>
        </w:rPr>
        <w:t xml:space="preserve"> The study </w:t>
      </w:r>
      <w:r w:rsidR="00E2725F" w:rsidRPr="00A00721">
        <w:rPr>
          <w:rFonts w:ascii="Arial" w:hAnsi="Arial"/>
          <w:sz w:val="18"/>
          <w:szCs w:val="18"/>
        </w:rPr>
        <w:t>“</w:t>
      </w:r>
      <w:r w:rsidRPr="00A00721">
        <w:rPr>
          <w:rFonts w:ascii="Arial" w:hAnsi="Arial"/>
          <w:sz w:val="18"/>
          <w:szCs w:val="18"/>
        </w:rPr>
        <w:t>Spectr</w:t>
      </w:r>
      <w:r w:rsidR="0064320B" w:rsidRPr="00A00721">
        <w:rPr>
          <w:rFonts w:ascii="Arial" w:hAnsi="Arial"/>
          <w:sz w:val="18"/>
          <w:szCs w:val="18"/>
        </w:rPr>
        <w:t>um</w:t>
      </w:r>
      <w:r w:rsidRPr="00A00721">
        <w:rPr>
          <w:rFonts w:ascii="Arial" w:hAnsi="Arial"/>
          <w:sz w:val="18"/>
          <w:szCs w:val="18"/>
        </w:rPr>
        <w:t xml:space="preserve"> Efficiency Measurement. Definitions and</w:t>
      </w:r>
      <w:r w:rsidR="0044249F">
        <w:rPr>
          <w:rFonts w:ascii="Arial" w:hAnsi="Arial"/>
          <w:sz w:val="18"/>
          <w:szCs w:val="18"/>
        </w:rPr>
        <w:t xml:space="preserve"> considerations</w:t>
      </w:r>
      <w:r w:rsidRPr="00A00721">
        <w:rPr>
          <w:rFonts w:ascii="Arial" w:hAnsi="Arial"/>
          <w:sz w:val="18"/>
          <w:szCs w:val="18"/>
        </w:rPr>
        <w:t xml:space="preserve"> to be observed for its application in Mexico” is a reference document (of imperative reading) to support the understanding of the questions listed below. </w:t>
      </w:r>
      <w:r w:rsidRPr="00A00721">
        <w:rPr>
          <w:rFonts w:ascii="Arial" w:hAnsi="Arial"/>
          <w:sz w:val="18"/>
          <w:szCs w:val="18"/>
          <w:u w:val="single"/>
        </w:rPr>
        <w:t>The study itself is not subject to public consultation</w:t>
      </w:r>
      <w:r w:rsidRPr="00A00721">
        <w:rPr>
          <w:rFonts w:ascii="Arial" w:hAnsi="Arial"/>
          <w:sz w:val="18"/>
          <w:szCs w:val="18"/>
        </w:rPr>
        <w:t>.</w:t>
      </w:r>
      <w:r w:rsidR="0096492E">
        <w:rPr>
          <w:rFonts w:ascii="Arial" w:hAnsi="Arial"/>
          <w:sz w:val="18"/>
          <w:szCs w:val="18"/>
        </w:rPr>
        <w:t xml:space="preserve"> </w:t>
      </w:r>
    </w:p>
    <w:p w14:paraId="664C5E52" w14:textId="16C7BA0D" w:rsidR="003129AE" w:rsidRPr="00AA27D8" w:rsidRDefault="003129AE" w:rsidP="007F7EB6">
      <w:pPr>
        <w:jc w:val="both"/>
        <w:rPr>
          <w:rFonts w:ascii="Arial" w:hAnsi="Arial" w:cs="Arial"/>
          <w:b/>
          <w:sz w:val="18"/>
          <w:szCs w:val="18"/>
          <w:u w:val="single"/>
        </w:rPr>
      </w:pPr>
      <w:r w:rsidRPr="00A00721">
        <w:rPr>
          <w:rFonts w:ascii="Arial" w:hAnsi="Arial"/>
          <w:b/>
          <w:sz w:val="18"/>
          <w:szCs w:val="18"/>
        </w:rPr>
        <w:t>Note 2:</w:t>
      </w:r>
      <w:r w:rsidRPr="00A00721">
        <w:rPr>
          <w:rFonts w:ascii="Arial" w:hAnsi="Arial"/>
          <w:sz w:val="18"/>
          <w:szCs w:val="18"/>
        </w:rPr>
        <w:t xml:space="preserve"> </w:t>
      </w:r>
      <w:r w:rsidRPr="00A00721">
        <w:rPr>
          <w:rFonts w:ascii="Arial" w:hAnsi="Arial"/>
          <w:sz w:val="18"/>
          <w:szCs w:val="18"/>
          <w:u w:val="single"/>
        </w:rPr>
        <w:t>Answering all the questions</w:t>
      </w:r>
      <w:r w:rsidRPr="00A00721">
        <w:rPr>
          <w:rFonts w:ascii="Arial" w:hAnsi="Arial"/>
          <w:sz w:val="18"/>
          <w:szCs w:val="18"/>
        </w:rPr>
        <w:t xml:space="preserve"> included in the following table is recommended, along with arguments and elements as you may deem necessary to support the opinion, including supporting documents that you may want to attach.</w:t>
      </w:r>
    </w:p>
    <w:tbl>
      <w:tblPr>
        <w:tblStyle w:val="Tablaconcuadrcula"/>
        <w:tblW w:w="0" w:type="auto"/>
        <w:tblLook w:val="04A0" w:firstRow="1" w:lastRow="0" w:firstColumn="1" w:lastColumn="0" w:noHBand="0" w:noVBand="1"/>
      </w:tblPr>
      <w:tblGrid>
        <w:gridCol w:w="997"/>
        <w:gridCol w:w="1275"/>
        <w:gridCol w:w="3542"/>
        <w:gridCol w:w="7182"/>
      </w:tblGrid>
      <w:tr w:rsidR="00560103" w:rsidRPr="00560103" w14:paraId="535BD5A6" w14:textId="77777777" w:rsidTr="00E774A6">
        <w:trPr>
          <w:tblHeader/>
        </w:trPr>
        <w:tc>
          <w:tcPr>
            <w:tcW w:w="987" w:type="dxa"/>
            <w:shd w:val="clear" w:color="auto" w:fill="00A6A2"/>
            <w:vAlign w:val="center"/>
          </w:tcPr>
          <w:p w14:paraId="1ACB5C37" w14:textId="77777777" w:rsidR="00637B76" w:rsidRPr="00560103" w:rsidRDefault="00403483" w:rsidP="00E774A6">
            <w:pPr>
              <w:jc w:val="center"/>
              <w:rPr>
                <w:rFonts w:ascii="Arial" w:hAnsi="Arial" w:cs="Arial"/>
                <w:b/>
                <w:sz w:val="18"/>
                <w:szCs w:val="18"/>
              </w:rPr>
            </w:pPr>
            <w:r>
              <w:rPr>
                <w:rFonts w:ascii="Arial" w:hAnsi="Arial"/>
                <w:b/>
                <w:sz w:val="18"/>
                <w:szCs w:val="18"/>
              </w:rPr>
              <w:t>Question no.</w:t>
            </w:r>
          </w:p>
        </w:tc>
        <w:tc>
          <w:tcPr>
            <w:tcW w:w="1276" w:type="dxa"/>
            <w:shd w:val="clear" w:color="auto" w:fill="00A6A2"/>
            <w:vAlign w:val="center"/>
          </w:tcPr>
          <w:p w14:paraId="069D5717" w14:textId="77777777" w:rsidR="00637B76" w:rsidRPr="00560103" w:rsidRDefault="00403483" w:rsidP="00E774A6">
            <w:pPr>
              <w:jc w:val="center"/>
              <w:rPr>
                <w:rFonts w:ascii="Arial" w:hAnsi="Arial" w:cs="Arial"/>
                <w:b/>
                <w:sz w:val="18"/>
                <w:szCs w:val="18"/>
              </w:rPr>
            </w:pPr>
            <w:r>
              <w:rPr>
                <w:rFonts w:ascii="Arial" w:hAnsi="Arial"/>
                <w:b/>
                <w:sz w:val="18"/>
                <w:szCs w:val="18"/>
              </w:rPr>
              <w:t>No. of section in the Study</w:t>
            </w:r>
          </w:p>
        </w:tc>
        <w:tc>
          <w:tcPr>
            <w:tcW w:w="3544" w:type="dxa"/>
            <w:shd w:val="clear" w:color="auto" w:fill="00A6A2"/>
            <w:vAlign w:val="center"/>
          </w:tcPr>
          <w:p w14:paraId="5D22CE2B" w14:textId="77777777" w:rsidR="00637B76" w:rsidRPr="00560103" w:rsidRDefault="00403483" w:rsidP="001A5438">
            <w:pPr>
              <w:jc w:val="center"/>
              <w:rPr>
                <w:rFonts w:ascii="Arial" w:hAnsi="Arial" w:cs="Arial"/>
                <w:b/>
                <w:sz w:val="18"/>
                <w:szCs w:val="18"/>
              </w:rPr>
            </w:pPr>
            <w:r>
              <w:rPr>
                <w:rFonts w:ascii="Arial" w:hAnsi="Arial"/>
                <w:b/>
                <w:sz w:val="18"/>
                <w:szCs w:val="18"/>
              </w:rPr>
              <w:t>Question</w:t>
            </w:r>
          </w:p>
        </w:tc>
        <w:tc>
          <w:tcPr>
            <w:tcW w:w="7189" w:type="dxa"/>
            <w:shd w:val="clear" w:color="auto" w:fill="00A6A2"/>
            <w:vAlign w:val="center"/>
          </w:tcPr>
          <w:p w14:paraId="1B4C2609" w14:textId="77777777" w:rsidR="00637B76" w:rsidRPr="00560103" w:rsidRDefault="00403483" w:rsidP="001A5438">
            <w:pPr>
              <w:jc w:val="center"/>
              <w:rPr>
                <w:rFonts w:ascii="Arial" w:hAnsi="Arial" w:cs="Arial"/>
                <w:b/>
                <w:sz w:val="18"/>
                <w:szCs w:val="18"/>
              </w:rPr>
            </w:pPr>
            <w:r>
              <w:rPr>
                <w:rFonts w:ascii="Arial" w:hAnsi="Arial"/>
                <w:b/>
                <w:sz w:val="18"/>
                <w:szCs w:val="18"/>
              </w:rPr>
              <w:t>Comment, opinion or contribution</w:t>
            </w:r>
          </w:p>
        </w:tc>
      </w:tr>
      <w:tr w:rsidR="00D114B9" w:rsidRPr="00560103" w14:paraId="6FB1F630" w14:textId="77777777" w:rsidTr="00E774A6">
        <w:tc>
          <w:tcPr>
            <w:tcW w:w="987" w:type="dxa"/>
            <w:vAlign w:val="center"/>
          </w:tcPr>
          <w:p w14:paraId="05202BDB" w14:textId="77777777" w:rsidR="00B010DC" w:rsidRPr="00656CCD" w:rsidRDefault="001D7329" w:rsidP="00E774A6">
            <w:pPr>
              <w:jc w:val="center"/>
              <w:rPr>
                <w:rFonts w:ascii="Arial" w:hAnsi="Arial" w:cs="Arial"/>
                <w:sz w:val="16"/>
                <w:szCs w:val="16"/>
              </w:rPr>
            </w:pPr>
            <w:r>
              <w:rPr>
                <w:rFonts w:ascii="Arial" w:hAnsi="Arial"/>
                <w:sz w:val="16"/>
                <w:szCs w:val="16"/>
              </w:rPr>
              <w:t>1</w:t>
            </w:r>
          </w:p>
        </w:tc>
        <w:tc>
          <w:tcPr>
            <w:tcW w:w="1276" w:type="dxa"/>
            <w:vAlign w:val="center"/>
          </w:tcPr>
          <w:p w14:paraId="3E3F2F46" w14:textId="77777777" w:rsidR="00B010DC" w:rsidRPr="00656CCD" w:rsidRDefault="00B010DC" w:rsidP="00E774A6">
            <w:pPr>
              <w:jc w:val="center"/>
              <w:rPr>
                <w:rFonts w:ascii="Arial" w:hAnsi="Arial" w:cs="Arial"/>
                <w:sz w:val="16"/>
                <w:szCs w:val="16"/>
              </w:rPr>
            </w:pPr>
            <w:r>
              <w:rPr>
                <w:rFonts w:ascii="Arial" w:hAnsi="Arial"/>
                <w:sz w:val="16"/>
                <w:szCs w:val="16"/>
              </w:rPr>
              <w:t>5</w:t>
            </w:r>
          </w:p>
        </w:tc>
        <w:tc>
          <w:tcPr>
            <w:tcW w:w="3544" w:type="dxa"/>
            <w:vAlign w:val="center"/>
          </w:tcPr>
          <w:p w14:paraId="19056B8C" w14:textId="5898FB73" w:rsidR="00B010DC" w:rsidRPr="009E238B" w:rsidRDefault="00B010DC">
            <w:pPr>
              <w:rPr>
                <w:rFonts w:ascii="Arial" w:hAnsi="Arial" w:cs="Arial"/>
                <w:sz w:val="16"/>
                <w:szCs w:val="16"/>
              </w:rPr>
            </w:pPr>
            <w:r w:rsidRPr="009E238B">
              <w:rPr>
                <w:rFonts w:ascii="Arial" w:hAnsi="Arial"/>
                <w:sz w:val="16"/>
                <w:szCs w:val="16"/>
              </w:rPr>
              <w:t>How to measure spectr</w:t>
            </w:r>
            <w:r w:rsidR="0064320B" w:rsidRPr="009E238B">
              <w:rPr>
                <w:rFonts w:ascii="Arial" w:hAnsi="Arial"/>
                <w:sz w:val="16"/>
                <w:szCs w:val="16"/>
              </w:rPr>
              <w:t>um</w:t>
            </w:r>
            <w:r w:rsidRPr="009E238B">
              <w:rPr>
                <w:rFonts w:ascii="Arial" w:hAnsi="Arial"/>
                <w:sz w:val="16"/>
                <w:szCs w:val="16"/>
              </w:rPr>
              <w:t xml:space="preserve"> efficiency?</w:t>
            </w:r>
          </w:p>
        </w:tc>
        <w:tc>
          <w:tcPr>
            <w:tcW w:w="7189" w:type="dxa"/>
          </w:tcPr>
          <w:p w14:paraId="7FFB8889" w14:textId="77777777" w:rsidR="00B010DC" w:rsidRPr="00656CCD" w:rsidRDefault="00B010DC" w:rsidP="00B010DC">
            <w:pPr>
              <w:rPr>
                <w:rFonts w:ascii="Arial" w:hAnsi="Arial" w:cs="Arial"/>
                <w:sz w:val="16"/>
                <w:szCs w:val="16"/>
              </w:rPr>
            </w:pPr>
          </w:p>
        </w:tc>
      </w:tr>
      <w:tr w:rsidR="00D114B9" w:rsidRPr="00560103" w14:paraId="4F45AAC6" w14:textId="77777777" w:rsidTr="00E774A6">
        <w:tc>
          <w:tcPr>
            <w:tcW w:w="987" w:type="dxa"/>
            <w:vAlign w:val="center"/>
          </w:tcPr>
          <w:p w14:paraId="193E8A8C" w14:textId="77777777" w:rsidR="00B010DC" w:rsidRPr="00656CCD" w:rsidRDefault="001D7329" w:rsidP="00E774A6">
            <w:pPr>
              <w:jc w:val="center"/>
              <w:rPr>
                <w:rFonts w:ascii="Arial" w:hAnsi="Arial" w:cs="Arial"/>
                <w:sz w:val="16"/>
                <w:szCs w:val="16"/>
              </w:rPr>
            </w:pPr>
            <w:r>
              <w:rPr>
                <w:rFonts w:ascii="Arial" w:hAnsi="Arial"/>
                <w:sz w:val="16"/>
                <w:szCs w:val="16"/>
              </w:rPr>
              <w:t>2</w:t>
            </w:r>
          </w:p>
        </w:tc>
        <w:tc>
          <w:tcPr>
            <w:tcW w:w="1276" w:type="dxa"/>
            <w:vAlign w:val="center"/>
          </w:tcPr>
          <w:p w14:paraId="0F55E11F" w14:textId="77777777" w:rsidR="00B010DC" w:rsidRPr="00656CCD" w:rsidRDefault="00B010DC" w:rsidP="00E774A6">
            <w:pPr>
              <w:jc w:val="center"/>
              <w:rPr>
                <w:rFonts w:ascii="Arial" w:hAnsi="Arial" w:cs="Arial"/>
                <w:sz w:val="16"/>
                <w:szCs w:val="16"/>
              </w:rPr>
            </w:pPr>
            <w:r>
              <w:rPr>
                <w:rFonts w:ascii="Arial" w:hAnsi="Arial"/>
                <w:sz w:val="16"/>
                <w:szCs w:val="16"/>
              </w:rPr>
              <w:t>5</w:t>
            </w:r>
          </w:p>
        </w:tc>
        <w:tc>
          <w:tcPr>
            <w:tcW w:w="3544" w:type="dxa"/>
            <w:vAlign w:val="center"/>
          </w:tcPr>
          <w:p w14:paraId="6CAA27F1" w14:textId="77777777" w:rsidR="00B010DC" w:rsidRPr="009E238B" w:rsidRDefault="00B010DC" w:rsidP="00560103">
            <w:pPr>
              <w:rPr>
                <w:rFonts w:ascii="Arial" w:hAnsi="Arial" w:cs="Arial"/>
                <w:sz w:val="16"/>
                <w:szCs w:val="16"/>
              </w:rPr>
            </w:pPr>
            <w:r w:rsidRPr="009E238B">
              <w:rPr>
                <w:rFonts w:ascii="Arial" w:hAnsi="Arial"/>
                <w:sz w:val="16"/>
                <w:szCs w:val="16"/>
              </w:rPr>
              <w:t>Which parameters shall be considered in the metrics?</w:t>
            </w:r>
          </w:p>
        </w:tc>
        <w:tc>
          <w:tcPr>
            <w:tcW w:w="7189" w:type="dxa"/>
          </w:tcPr>
          <w:p w14:paraId="56CB45E8" w14:textId="77777777" w:rsidR="00B010DC" w:rsidRPr="00656CCD" w:rsidRDefault="00B010DC" w:rsidP="00B010DC">
            <w:pPr>
              <w:rPr>
                <w:rFonts w:ascii="Arial" w:hAnsi="Arial" w:cs="Arial"/>
                <w:sz w:val="16"/>
                <w:szCs w:val="16"/>
              </w:rPr>
            </w:pPr>
          </w:p>
        </w:tc>
      </w:tr>
      <w:tr w:rsidR="00D114B9" w:rsidRPr="00560103" w14:paraId="6C60B021" w14:textId="77777777" w:rsidTr="00E774A6">
        <w:tc>
          <w:tcPr>
            <w:tcW w:w="987" w:type="dxa"/>
            <w:vAlign w:val="center"/>
          </w:tcPr>
          <w:p w14:paraId="3EB5516F" w14:textId="77777777" w:rsidR="00B010DC" w:rsidRPr="00656CCD" w:rsidRDefault="001D7329" w:rsidP="00E774A6">
            <w:pPr>
              <w:jc w:val="center"/>
              <w:rPr>
                <w:rFonts w:ascii="Arial" w:hAnsi="Arial" w:cs="Arial"/>
                <w:sz w:val="16"/>
                <w:szCs w:val="16"/>
              </w:rPr>
            </w:pPr>
            <w:r>
              <w:rPr>
                <w:rFonts w:ascii="Arial" w:hAnsi="Arial"/>
                <w:sz w:val="16"/>
                <w:szCs w:val="16"/>
              </w:rPr>
              <w:t>3</w:t>
            </w:r>
          </w:p>
        </w:tc>
        <w:tc>
          <w:tcPr>
            <w:tcW w:w="1276" w:type="dxa"/>
            <w:vAlign w:val="center"/>
          </w:tcPr>
          <w:p w14:paraId="4D01F18E" w14:textId="77777777" w:rsidR="00B010DC" w:rsidRPr="00656CCD" w:rsidRDefault="00B010DC" w:rsidP="00E774A6">
            <w:pPr>
              <w:jc w:val="center"/>
              <w:rPr>
                <w:rFonts w:ascii="Arial" w:hAnsi="Arial" w:cs="Arial"/>
                <w:sz w:val="16"/>
                <w:szCs w:val="16"/>
              </w:rPr>
            </w:pPr>
            <w:r>
              <w:rPr>
                <w:rFonts w:ascii="Arial" w:hAnsi="Arial"/>
                <w:sz w:val="16"/>
                <w:szCs w:val="16"/>
              </w:rPr>
              <w:t>5</w:t>
            </w:r>
          </w:p>
        </w:tc>
        <w:tc>
          <w:tcPr>
            <w:tcW w:w="3544" w:type="dxa"/>
            <w:vAlign w:val="center"/>
          </w:tcPr>
          <w:p w14:paraId="5E9CB372" w14:textId="77777777" w:rsidR="00B010DC" w:rsidRPr="009E238B" w:rsidRDefault="00B010DC" w:rsidP="00560103">
            <w:pPr>
              <w:rPr>
                <w:rFonts w:ascii="Arial" w:hAnsi="Arial" w:cs="Arial"/>
                <w:sz w:val="16"/>
                <w:szCs w:val="16"/>
              </w:rPr>
            </w:pPr>
            <w:r w:rsidRPr="009E238B">
              <w:rPr>
                <w:rFonts w:ascii="Arial" w:hAnsi="Arial"/>
                <w:sz w:val="16"/>
                <w:szCs w:val="16"/>
              </w:rPr>
              <w:t>How should the result of the metrics be parametrized?</w:t>
            </w:r>
          </w:p>
        </w:tc>
        <w:tc>
          <w:tcPr>
            <w:tcW w:w="7189" w:type="dxa"/>
          </w:tcPr>
          <w:p w14:paraId="3C9CF49B" w14:textId="77777777" w:rsidR="00B010DC" w:rsidRPr="00656CCD" w:rsidRDefault="00B010DC" w:rsidP="00B010DC">
            <w:pPr>
              <w:rPr>
                <w:rFonts w:ascii="Arial" w:hAnsi="Arial" w:cs="Arial"/>
                <w:sz w:val="16"/>
                <w:szCs w:val="16"/>
              </w:rPr>
            </w:pPr>
          </w:p>
        </w:tc>
      </w:tr>
      <w:tr w:rsidR="00D114B9" w:rsidRPr="00560103" w14:paraId="4A84B166" w14:textId="77777777" w:rsidTr="00E774A6">
        <w:tc>
          <w:tcPr>
            <w:tcW w:w="987" w:type="dxa"/>
            <w:vAlign w:val="center"/>
          </w:tcPr>
          <w:p w14:paraId="5451C950" w14:textId="77777777" w:rsidR="00B010DC" w:rsidRPr="00656CCD" w:rsidRDefault="001D7329" w:rsidP="00E774A6">
            <w:pPr>
              <w:jc w:val="center"/>
              <w:rPr>
                <w:rFonts w:ascii="Arial" w:hAnsi="Arial" w:cs="Arial"/>
                <w:sz w:val="16"/>
                <w:szCs w:val="16"/>
              </w:rPr>
            </w:pPr>
            <w:r>
              <w:rPr>
                <w:rFonts w:ascii="Arial" w:hAnsi="Arial"/>
                <w:sz w:val="16"/>
                <w:szCs w:val="16"/>
              </w:rPr>
              <w:t>4</w:t>
            </w:r>
          </w:p>
        </w:tc>
        <w:tc>
          <w:tcPr>
            <w:tcW w:w="1276" w:type="dxa"/>
            <w:vAlign w:val="center"/>
          </w:tcPr>
          <w:p w14:paraId="60A4EE7B" w14:textId="77777777" w:rsidR="00B010DC" w:rsidRPr="00656CCD" w:rsidRDefault="00B010DC" w:rsidP="00E774A6">
            <w:pPr>
              <w:jc w:val="center"/>
              <w:rPr>
                <w:rFonts w:ascii="Arial" w:hAnsi="Arial" w:cs="Arial"/>
                <w:sz w:val="16"/>
                <w:szCs w:val="16"/>
              </w:rPr>
            </w:pPr>
            <w:r>
              <w:rPr>
                <w:rFonts w:ascii="Arial" w:hAnsi="Arial"/>
                <w:sz w:val="16"/>
                <w:szCs w:val="16"/>
              </w:rPr>
              <w:t>82</w:t>
            </w:r>
          </w:p>
        </w:tc>
        <w:tc>
          <w:tcPr>
            <w:tcW w:w="3544" w:type="dxa"/>
            <w:vAlign w:val="center"/>
          </w:tcPr>
          <w:p w14:paraId="325DDE85" w14:textId="7FF35BC4" w:rsidR="00B010DC" w:rsidRPr="009E238B" w:rsidRDefault="00B010DC">
            <w:pPr>
              <w:rPr>
                <w:rFonts w:ascii="Arial" w:hAnsi="Arial" w:cs="Arial"/>
                <w:sz w:val="16"/>
                <w:szCs w:val="16"/>
              </w:rPr>
            </w:pPr>
            <w:r w:rsidRPr="009E238B">
              <w:rPr>
                <w:rFonts w:ascii="Arial" w:hAnsi="Arial"/>
                <w:sz w:val="16"/>
                <w:szCs w:val="16"/>
              </w:rPr>
              <w:t xml:space="preserve">How should the Institute cause compliance with the </w:t>
            </w:r>
            <w:r w:rsidR="0064320B" w:rsidRPr="009E238B">
              <w:rPr>
                <w:rFonts w:ascii="Arial" w:hAnsi="Arial"/>
                <w:sz w:val="16"/>
                <w:szCs w:val="16"/>
              </w:rPr>
              <w:t>SEIM</w:t>
            </w:r>
            <w:r w:rsidRPr="009E238B">
              <w:rPr>
                <w:rFonts w:ascii="Arial" w:hAnsi="Arial"/>
                <w:sz w:val="16"/>
                <w:szCs w:val="16"/>
              </w:rPr>
              <w:t xml:space="preserve"> among capacity providing concessionaires?</w:t>
            </w:r>
          </w:p>
        </w:tc>
        <w:tc>
          <w:tcPr>
            <w:tcW w:w="7189" w:type="dxa"/>
          </w:tcPr>
          <w:p w14:paraId="562E5521" w14:textId="77777777" w:rsidR="00B010DC" w:rsidRPr="00656CCD" w:rsidRDefault="00B010DC" w:rsidP="00B010DC">
            <w:pPr>
              <w:rPr>
                <w:rFonts w:ascii="Arial" w:hAnsi="Arial" w:cs="Arial"/>
                <w:sz w:val="16"/>
                <w:szCs w:val="16"/>
              </w:rPr>
            </w:pPr>
          </w:p>
        </w:tc>
      </w:tr>
      <w:tr w:rsidR="00560103" w:rsidRPr="00560103" w14:paraId="55919690" w14:textId="77777777" w:rsidTr="00E774A6">
        <w:tc>
          <w:tcPr>
            <w:tcW w:w="987" w:type="dxa"/>
            <w:vAlign w:val="center"/>
          </w:tcPr>
          <w:p w14:paraId="5F966ACC" w14:textId="77777777" w:rsidR="00B010DC" w:rsidRPr="00656CCD" w:rsidRDefault="001D7329" w:rsidP="00E774A6">
            <w:pPr>
              <w:jc w:val="center"/>
              <w:rPr>
                <w:rFonts w:ascii="Arial" w:hAnsi="Arial" w:cs="Arial"/>
                <w:sz w:val="16"/>
                <w:szCs w:val="16"/>
              </w:rPr>
            </w:pPr>
            <w:r>
              <w:rPr>
                <w:rFonts w:ascii="Arial" w:hAnsi="Arial"/>
                <w:sz w:val="16"/>
                <w:szCs w:val="16"/>
              </w:rPr>
              <w:t>5</w:t>
            </w:r>
          </w:p>
        </w:tc>
        <w:tc>
          <w:tcPr>
            <w:tcW w:w="1276" w:type="dxa"/>
            <w:vAlign w:val="center"/>
          </w:tcPr>
          <w:p w14:paraId="288BFEA9" w14:textId="77777777" w:rsidR="00B010DC" w:rsidRPr="00656CCD" w:rsidRDefault="007058F6" w:rsidP="00E774A6">
            <w:pPr>
              <w:jc w:val="center"/>
              <w:rPr>
                <w:rFonts w:ascii="Arial" w:eastAsia="Times New Roman" w:hAnsi="Arial" w:cs="Arial"/>
                <w:color w:val="000000"/>
                <w:sz w:val="16"/>
                <w:szCs w:val="16"/>
              </w:rPr>
            </w:pPr>
            <w:r>
              <w:rPr>
                <w:rFonts w:ascii="Arial" w:hAnsi="Arial"/>
                <w:color w:val="000000"/>
                <w:sz w:val="16"/>
                <w:szCs w:val="16"/>
              </w:rPr>
              <w:t>84</w:t>
            </w:r>
          </w:p>
        </w:tc>
        <w:tc>
          <w:tcPr>
            <w:tcW w:w="3544" w:type="dxa"/>
            <w:vAlign w:val="center"/>
          </w:tcPr>
          <w:p w14:paraId="1DB5581D" w14:textId="36146B1C" w:rsidR="00B010DC" w:rsidRPr="009E238B" w:rsidRDefault="00B010DC">
            <w:pPr>
              <w:rPr>
                <w:rFonts w:ascii="Arial" w:eastAsia="Times New Roman" w:hAnsi="Arial" w:cs="Arial"/>
                <w:color w:val="000000"/>
                <w:sz w:val="16"/>
                <w:szCs w:val="16"/>
              </w:rPr>
            </w:pPr>
            <w:r w:rsidRPr="009E238B">
              <w:rPr>
                <w:rFonts w:ascii="Arial" w:hAnsi="Arial"/>
                <w:color w:val="000000"/>
                <w:sz w:val="16"/>
                <w:szCs w:val="16"/>
              </w:rPr>
              <w:t>What happens when different technologies with different spectr</w:t>
            </w:r>
            <w:r w:rsidR="0064320B" w:rsidRPr="009E238B">
              <w:rPr>
                <w:rFonts w:ascii="Arial" w:hAnsi="Arial"/>
                <w:color w:val="000000"/>
                <w:sz w:val="16"/>
                <w:szCs w:val="16"/>
              </w:rPr>
              <w:t>um</w:t>
            </w:r>
            <w:r w:rsidRPr="009E238B">
              <w:rPr>
                <w:rFonts w:ascii="Arial" w:hAnsi="Arial"/>
                <w:color w:val="000000"/>
                <w:sz w:val="16"/>
                <w:szCs w:val="16"/>
              </w:rPr>
              <w:t xml:space="preserve"> efficiencies, not only by frequency bands but also by concessionaire, are present?</w:t>
            </w:r>
          </w:p>
        </w:tc>
        <w:tc>
          <w:tcPr>
            <w:tcW w:w="7189" w:type="dxa"/>
          </w:tcPr>
          <w:p w14:paraId="51020549" w14:textId="77777777" w:rsidR="00B010DC" w:rsidRPr="00656CCD" w:rsidRDefault="00B010DC" w:rsidP="00B010DC">
            <w:pPr>
              <w:rPr>
                <w:rFonts w:ascii="Arial" w:hAnsi="Arial" w:cs="Arial"/>
                <w:sz w:val="16"/>
                <w:szCs w:val="16"/>
              </w:rPr>
            </w:pPr>
          </w:p>
        </w:tc>
      </w:tr>
      <w:tr w:rsidR="00D114B9" w:rsidRPr="00560103" w14:paraId="5E379F2A" w14:textId="77777777" w:rsidTr="00E774A6">
        <w:tc>
          <w:tcPr>
            <w:tcW w:w="987" w:type="dxa"/>
            <w:vAlign w:val="center"/>
          </w:tcPr>
          <w:p w14:paraId="4D49F25F" w14:textId="77777777" w:rsidR="00B010DC" w:rsidRPr="00656CCD" w:rsidRDefault="001D7329" w:rsidP="00E774A6">
            <w:pPr>
              <w:jc w:val="center"/>
              <w:rPr>
                <w:rFonts w:ascii="Arial" w:hAnsi="Arial" w:cs="Arial"/>
                <w:sz w:val="16"/>
                <w:szCs w:val="16"/>
              </w:rPr>
            </w:pPr>
            <w:r>
              <w:rPr>
                <w:rFonts w:ascii="Arial" w:hAnsi="Arial"/>
                <w:sz w:val="16"/>
                <w:szCs w:val="16"/>
              </w:rPr>
              <w:t>6</w:t>
            </w:r>
          </w:p>
        </w:tc>
        <w:tc>
          <w:tcPr>
            <w:tcW w:w="1276" w:type="dxa"/>
            <w:vAlign w:val="center"/>
          </w:tcPr>
          <w:p w14:paraId="28E3FB1C" w14:textId="77777777" w:rsidR="00B010DC" w:rsidRPr="00656CCD" w:rsidRDefault="007058F6" w:rsidP="00E774A6">
            <w:pPr>
              <w:jc w:val="center"/>
              <w:rPr>
                <w:rFonts w:ascii="Arial" w:eastAsia="Times New Roman" w:hAnsi="Arial" w:cs="Arial"/>
                <w:color w:val="000000"/>
                <w:sz w:val="16"/>
                <w:szCs w:val="16"/>
              </w:rPr>
            </w:pPr>
            <w:r>
              <w:rPr>
                <w:rFonts w:ascii="Arial" w:hAnsi="Arial"/>
                <w:color w:val="000000"/>
                <w:sz w:val="16"/>
                <w:szCs w:val="16"/>
              </w:rPr>
              <w:t>84</w:t>
            </w:r>
          </w:p>
        </w:tc>
        <w:tc>
          <w:tcPr>
            <w:tcW w:w="3544" w:type="dxa"/>
            <w:vAlign w:val="center"/>
          </w:tcPr>
          <w:p w14:paraId="4D25176B" w14:textId="77777777" w:rsidR="00B010DC" w:rsidRPr="009E238B" w:rsidRDefault="00B010DC" w:rsidP="00560103">
            <w:pPr>
              <w:rPr>
                <w:rFonts w:ascii="Arial" w:eastAsia="Times New Roman" w:hAnsi="Arial" w:cs="Arial"/>
                <w:color w:val="000000"/>
                <w:sz w:val="16"/>
                <w:szCs w:val="16"/>
              </w:rPr>
            </w:pPr>
            <w:r w:rsidRPr="009E238B">
              <w:rPr>
                <w:rFonts w:ascii="Arial" w:hAnsi="Arial"/>
                <w:color w:val="000000"/>
                <w:sz w:val="16"/>
                <w:szCs w:val="16"/>
              </w:rPr>
              <w:t xml:space="preserve">A concessionaire uses, for example, two technologies to provide its service; should it have two different metrics?  </w:t>
            </w:r>
          </w:p>
        </w:tc>
        <w:tc>
          <w:tcPr>
            <w:tcW w:w="7189" w:type="dxa"/>
          </w:tcPr>
          <w:p w14:paraId="23005132" w14:textId="77777777" w:rsidR="00B010DC" w:rsidRPr="00656CCD" w:rsidRDefault="00B010DC" w:rsidP="00B010DC">
            <w:pPr>
              <w:rPr>
                <w:rFonts w:ascii="Arial" w:hAnsi="Arial" w:cs="Arial"/>
                <w:sz w:val="16"/>
                <w:szCs w:val="16"/>
              </w:rPr>
            </w:pPr>
          </w:p>
        </w:tc>
      </w:tr>
      <w:tr w:rsidR="00D114B9" w:rsidRPr="00560103" w14:paraId="61A0F70C" w14:textId="77777777" w:rsidTr="00E774A6">
        <w:tc>
          <w:tcPr>
            <w:tcW w:w="987" w:type="dxa"/>
            <w:vAlign w:val="center"/>
          </w:tcPr>
          <w:p w14:paraId="16E1EA59" w14:textId="77777777" w:rsidR="00B010DC" w:rsidRPr="00656CCD" w:rsidRDefault="001D7329" w:rsidP="00E774A6">
            <w:pPr>
              <w:jc w:val="center"/>
              <w:rPr>
                <w:rFonts w:ascii="Arial" w:hAnsi="Arial" w:cs="Arial"/>
                <w:sz w:val="16"/>
                <w:szCs w:val="16"/>
              </w:rPr>
            </w:pPr>
            <w:r>
              <w:rPr>
                <w:rFonts w:ascii="Arial" w:hAnsi="Arial"/>
                <w:sz w:val="16"/>
                <w:szCs w:val="16"/>
              </w:rPr>
              <w:t>7</w:t>
            </w:r>
          </w:p>
        </w:tc>
        <w:tc>
          <w:tcPr>
            <w:tcW w:w="1276" w:type="dxa"/>
            <w:vAlign w:val="center"/>
          </w:tcPr>
          <w:p w14:paraId="73E814DF" w14:textId="77777777" w:rsidR="00B010DC" w:rsidRPr="00656CCD" w:rsidRDefault="007058F6" w:rsidP="00E774A6">
            <w:pPr>
              <w:jc w:val="center"/>
              <w:rPr>
                <w:rFonts w:ascii="Arial" w:eastAsia="Times New Roman" w:hAnsi="Arial" w:cs="Arial"/>
                <w:color w:val="000000"/>
                <w:sz w:val="16"/>
                <w:szCs w:val="16"/>
              </w:rPr>
            </w:pPr>
            <w:r>
              <w:rPr>
                <w:rFonts w:ascii="Arial" w:hAnsi="Arial"/>
                <w:color w:val="000000"/>
                <w:sz w:val="16"/>
                <w:szCs w:val="16"/>
              </w:rPr>
              <w:t>86</w:t>
            </w:r>
          </w:p>
        </w:tc>
        <w:tc>
          <w:tcPr>
            <w:tcW w:w="3544" w:type="dxa"/>
            <w:vAlign w:val="center"/>
          </w:tcPr>
          <w:p w14:paraId="2975A639" w14:textId="54E2B136" w:rsidR="00B010DC" w:rsidRPr="009E238B" w:rsidRDefault="00A214BE">
            <w:pPr>
              <w:rPr>
                <w:rFonts w:ascii="Arial" w:eastAsia="Times New Roman" w:hAnsi="Arial" w:cs="Arial"/>
                <w:color w:val="000000"/>
                <w:sz w:val="16"/>
                <w:szCs w:val="16"/>
              </w:rPr>
            </w:pPr>
            <w:r w:rsidRPr="009E238B">
              <w:rPr>
                <w:rFonts w:ascii="Arial" w:hAnsi="Arial"/>
                <w:color w:val="000000"/>
                <w:sz w:val="16"/>
                <w:szCs w:val="16"/>
              </w:rPr>
              <w:t xml:space="preserve">Should the </w:t>
            </w:r>
            <w:r w:rsidR="0064320B" w:rsidRPr="009E238B">
              <w:rPr>
                <w:rFonts w:ascii="Arial" w:hAnsi="Arial"/>
                <w:color w:val="000000"/>
                <w:sz w:val="16"/>
                <w:szCs w:val="16"/>
              </w:rPr>
              <w:t>SEIM</w:t>
            </w:r>
            <w:r w:rsidRPr="009E238B">
              <w:rPr>
                <w:rFonts w:ascii="Arial" w:hAnsi="Arial"/>
                <w:color w:val="000000"/>
                <w:sz w:val="16"/>
                <w:szCs w:val="16"/>
              </w:rPr>
              <w:t xml:space="preserve"> observe or not the under-utilization of the spectrum for this type of services?</w:t>
            </w:r>
          </w:p>
        </w:tc>
        <w:tc>
          <w:tcPr>
            <w:tcW w:w="7189" w:type="dxa"/>
          </w:tcPr>
          <w:p w14:paraId="2176B240" w14:textId="77777777" w:rsidR="00B010DC" w:rsidRPr="00656CCD" w:rsidRDefault="00B010DC" w:rsidP="00B010DC">
            <w:pPr>
              <w:rPr>
                <w:rFonts w:ascii="Arial" w:hAnsi="Arial" w:cs="Arial"/>
                <w:sz w:val="16"/>
                <w:szCs w:val="16"/>
              </w:rPr>
            </w:pPr>
          </w:p>
        </w:tc>
      </w:tr>
      <w:tr w:rsidR="00D114B9" w:rsidRPr="00560103" w14:paraId="47E5374D" w14:textId="77777777" w:rsidTr="00E774A6">
        <w:tc>
          <w:tcPr>
            <w:tcW w:w="987" w:type="dxa"/>
            <w:vAlign w:val="center"/>
          </w:tcPr>
          <w:p w14:paraId="7732713B" w14:textId="77777777" w:rsidR="00B010DC" w:rsidRPr="00656CCD" w:rsidRDefault="001D7329" w:rsidP="00E774A6">
            <w:pPr>
              <w:jc w:val="center"/>
              <w:rPr>
                <w:rFonts w:ascii="Arial" w:hAnsi="Arial" w:cs="Arial"/>
                <w:sz w:val="16"/>
                <w:szCs w:val="16"/>
              </w:rPr>
            </w:pPr>
            <w:r>
              <w:rPr>
                <w:rFonts w:ascii="Arial" w:hAnsi="Arial"/>
                <w:sz w:val="16"/>
                <w:szCs w:val="16"/>
              </w:rPr>
              <w:t>8</w:t>
            </w:r>
          </w:p>
        </w:tc>
        <w:tc>
          <w:tcPr>
            <w:tcW w:w="1276" w:type="dxa"/>
            <w:vAlign w:val="center"/>
          </w:tcPr>
          <w:p w14:paraId="652ED786" w14:textId="77777777" w:rsidR="00B010DC" w:rsidRPr="00656CCD" w:rsidRDefault="007058F6" w:rsidP="00E774A6">
            <w:pPr>
              <w:jc w:val="center"/>
              <w:rPr>
                <w:rFonts w:ascii="Arial" w:eastAsia="Times New Roman" w:hAnsi="Arial" w:cs="Arial"/>
                <w:color w:val="000000"/>
                <w:sz w:val="16"/>
                <w:szCs w:val="16"/>
              </w:rPr>
            </w:pPr>
            <w:r>
              <w:rPr>
                <w:rFonts w:ascii="Arial" w:hAnsi="Arial"/>
                <w:color w:val="000000"/>
                <w:sz w:val="16"/>
                <w:szCs w:val="16"/>
              </w:rPr>
              <w:t>86</w:t>
            </w:r>
          </w:p>
        </w:tc>
        <w:tc>
          <w:tcPr>
            <w:tcW w:w="3544" w:type="dxa"/>
            <w:vAlign w:val="center"/>
          </w:tcPr>
          <w:p w14:paraId="510F0985" w14:textId="17B5449A" w:rsidR="00B010DC" w:rsidRPr="009E238B" w:rsidRDefault="00B010DC" w:rsidP="00560103">
            <w:pPr>
              <w:rPr>
                <w:rFonts w:ascii="Arial" w:eastAsia="Times New Roman" w:hAnsi="Arial" w:cs="Arial"/>
                <w:color w:val="000000"/>
                <w:sz w:val="16"/>
                <w:szCs w:val="16"/>
              </w:rPr>
            </w:pPr>
            <w:r w:rsidRPr="009E238B">
              <w:rPr>
                <w:rFonts w:ascii="Arial" w:hAnsi="Arial"/>
                <w:color w:val="000000"/>
                <w:sz w:val="16"/>
                <w:szCs w:val="16"/>
              </w:rPr>
              <w:t xml:space="preserve">Should public security and </w:t>
            </w:r>
            <w:r w:rsidR="00210D1E" w:rsidRPr="009E238B">
              <w:rPr>
                <w:rFonts w:ascii="Arial" w:hAnsi="Arial"/>
                <w:color w:val="000000"/>
                <w:sz w:val="16"/>
                <w:szCs w:val="16"/>
              </w:rPr>
              <w:t xml:space="preserve">disaster relief </w:t>
            </w:r>
            <w:r w:rsidRPr="009E238B">
              <w:rPr>
                <w:rFonts w:ascii="Arial" w:hAnsi="Arial"/>
                <w:color w:val="000000"/>
                <w:sz w:val="16"/>
                <w:szCs w:val="16"/>
              </w:rPr>
              <w:t xml:space="preserve">concessionaires be evaluated?  </w:t>
            </w:r>
          </w:p>
        </w:tc>
        <w:tc>
          <w:tcPr>
            <w:tcW w:w="7189" w:type="dxa"/>
          </w:tcPr>
          <w:p w14:paraId="48ED04FD" w14:textId="77777777" w:rsidR="00B010DC" w:rsidRPr="00656CCD" w:rsidRDefault="00B010DC" w:rsidP="00B010DC">
            <w:pPr>
              <w:rPr>
                <w:rFonts w:ascii="Arial" w:hAnsi="Arial" w:cs="Arial"/>
                <w:sz w:val="16"/>
                <w:szCs w:val="16"/>
              </w:rPr>
            </w:pPr>
          </w:p>
        </w:tc>
      </w:tr>
      <w:tr w:rsidR="00D114B9" w:rsidRPr="00560103" w14:paraId="339C0051" w14:textId="77777777" w:rsidTr="00E774A6">
        <w:tc>
          <w:tcPr>
            <w:tcW w:w="987" w:type="dxa"/>
            <w:vAlign w:val="center"/>
          </w:tcPr>
          <w:p w14:paraId="3F875333" w14:textId="77777777" w:rsidR="00B010DC" w:rsidRPr="00656CCD" w:rsidRDefault="001D7329" w:rsidP="00E774A6">
            <w:pPr>
              <w:jc w:val="center"/>
              <w:rPr>
                <w:rFonts w:ascii="Arial" w:hAnsi="Arial" w:cs="Arial"/>
                <w:sz w:val="16"/>
                <w:szCs w:val="16"/>
              </w:rPr>
            </w:pPr>
            <w:r>
              <w:rPr>
                <w:rFonts w:ascii="Arial" w:hAnsi="Arial"/>
                <w:sz w:val="16"/>
                <w:szCs w:val="16"/>
              </w:rPr>
              <w:t>9</w:t>
            </w:r>
          </w:p>
        </w:tc>
        <w:tc>
          <w:tcPr>
            <w:tcW w:w="1276" w:type="dxa"/>
            <w:vAlign w:val="center"/>
          </w:tcPr>
          <w:p w14:paraId="458F9748" w14:textId="77777777" w:rsidR="00B010DC" w:rsidRPr="00656CCD" w:rsidRDefault="007058F6" w:rsidP="00E774A6">
            <w:pPr>
              <w:jc w:val="center"/>
              <w:rPr>
                <w:rFonts w:ascii="Arial" w:eastAsia="Times New Roman" w:hAnsi="Arial" w:cs="Arial"/>
                <w:color w:val="000000"/>
                <w:sz w:val="16"/>
                <w:szCs w:val="16"/>
              </w:rPr>
            </w:pPr>
            <w:r>
              <w:rPr>
                <w:rFonts w:ascii="Arial" w:hAnsi="Arial"/>
                <w:color w:val="000000"/>
                <w:sz w:val="16"/>
                <w:szCs w:val="16"/>
              </w:rPr>
              <w:t>88</w:t>
            </w:r>
          </w:p>
        </w:tc>
        <w:tc>
          <w:tcPr>
            <w:tcW w:w="3544" w:type="dxa"/>
            <w:vAlign w:val="center"/>
          </w:tcPr>
          <w:p w14:paraId="30AB7123" w14:textId="20159593" w:rsidR="00B010DC" w:rsidRPr="009E238B" w:rsidRDefault="00A214BE">
            <w:pPr>
              <w:rPr>
                <w:rFonts w:ascii="Arial" w:eastAsia="Times New Roman" w:hAnsi="Arial" w:cs="Arial"/>
                <w:color w:val="000000"/>
                <w:sz w:val="16"/>
                <w:szCs w:val="16"/>
              </w:rPr>
            </w:pPr>
            <w:r w:rsidRPr="009E238B">
              <w:rPr>
                <w:rFonts w:ascii="Arial" w:hAnsi="Arial"/>
                <w:color w:val="000000"/>
                <w:sz w:val="16"/>
                <w:szCs w:val="16"/>
              </w:rPr>
              <w:t xml:space="preserve">Would it be desirable that spectrum concession titles issued in the future </w:t>
            </w:r>
            <w:r w:rsidR="00714FDB" w:rsidRPr="009E238B">
              <w:rPr>
                <w:rFonts w:ascii="Arial" w:hAnsi="Arial"/>
                <w:color w:val="000000"/>
                <w:sz w:val="16"/>
                <w:szCs w:val="16"/>
              </w:rPr>
              <w:t>establish</w:t>
            </w:r>
            <w:r w:rsidRPr="009E238B">
              <w:rPr>
                <w:rFonts w:ascii="Arial" w:hAnsi="Arial"/>
                <w:color w:val="000000"/>
                <w:sz w:val="16"/>
                <w:szCs w:val="16"/>
              </w:rPr>
              <w:t xml:space="preserve"> a specific obligation on compliance with the minimum threshold of the spectr</w:t>
            </w:r>
            <w:r w:rsidR="0064320B" w:rsidRPr="009E238B">
              <w:rPr>
                <w:rFonts w:ascii="Arial" w:hAnsi="Arial"/>
                <w:color w:val="000000"/>
                <w:sz w:val="16"/>
                <w:szCs w:val="16"/>
              </w:rPr>
              <w:t>um</w:t>
            </w:r>
            <w:r w:rsidRPr="009E238B">
              <w:rPr>
                <w:rFonts w:ascii="Arial" w:hAnsi="Arial"/>
                <w:color w:val="000000"/>
                <w:sz w:val="16"/>
                <w:szCs w:val="16"/>
              </w:rPr>
              <w:t xml:space="preserve"> efficiency metric?</w:t>
            </w:r>
          </w:p>
        </w:tc>
        <w:tc>
          <w:tcPr>
            <w:tcW w:w="7189" w:type="dxa"/>
          </w:tcPr>
          <w:p w14:paraId="3C20063C" w14:textId="77777777" w:rsidR="00B010DC" w:rsidRPr="00656CCD" w:rsidRDefault="00B010DC" w:rsidP="00B010DC">
            <w:pPr>
              <w:rPr>
                <w:rFonts w:ascii="Arial" w:hAnsi="Arial" w:cs="Arial"/>
                <w:sz w:val="16"/>
                <w:szCs w:val="16"/>
              </w:rPr>
            </w:pPr>
          </w:p>
        </w:tc>
      </w:tr>
      <w:tr w:rsidR="00D114B9" w:rsidRPr="00560103" w14:paraId="5FD0CAD8" w14:textId="77777777" w:rsidTr="00E774A6">
        <w:tc>
          <w:tcPr>
            <w:tcW w:w="987" w:type="dxa"/>
            <w:vAlign w:val="center"/>
          </w:tcPr>
          <w:p w14:paraId="02C4F913" w14:textId="77777777" w:rsidR="00560103" w:rsidRPr="00656CCD" w:rsidRDefault="001D7329" w:rsidP="00E774A6">
            <w:pPr>
              <w:jc w:val="center"/>
              <w:rPr>
                <w:rFonts w:ascii="Arial" w:hAnsi="Arial" w:cs="Arial"/>
                <w:sz w:val="16"/>
                <w:szCs w:val="16"/>
              </w:rPr>
            </w:pPr>
            <w:r>
              <w:rPr>
                <w:rFonts w:ascii="Arial" w:hAnsi="Arial"/>
                <w:sz w:val="16"/>
                <w:szCs w:val="16"/>
              </w:rPr>
              <w:t>10</w:t>
            </w:r>
          </w:p>
        </w:tc>
        <w:tc>
          <w:tcPr>
            <w:tcW w:w="1276" w:type="dxa"/>
            <w:vAlign w:val="center"/>
          </w:tcPr>
          <w:p w14:paraId="5993F29E" w14:textId="77777777" w:rsidR="00560103" w:rsidRPr="00656CCD" w:rsidRDefault="007058F6" w:rsidP="00E774A6">
            <w:pPr>
              <w:jc w:val="center"/>
              <w:rPr>
                <w:rFonts w:ascii="Arial" w:hAnsi="Arial" w:cs="Arial"/>
                <w:sz w:val="16"/>
                <w:szCs w:val="16"/>
              </w:rPr>
            </w:pPr>
            <w:r>
              <w:rPr>
                <w:rFonts w:ascii="Arial" w:hAnsi="Arial"/>
                <w:sz w:val="16"/>
                <w:szCs w:val="16"/>
              </w:rPr>
              <w:t>89</w:t>
            </w:r>
          </w:p>
        </w:tc>
        <w:tc>
          <w:tcPr>
            <w:tcW w:w="3544" w:type="dxa"/>
          </w:tcPr>
          <w:p w14:paraId="1BCF7164" w14:textId="14D26741" w:rsidR="00560103" w:rsidRPr="009E238B" w:rsidRDefault="00A214BE" w:rsidP="00560103">
            <w:pPr>
              <w:rPr>
                <w:rFonts w:ascii="Arial" w:hAnsi="Arial" w:cs="Arial"/>
                <w:sz w:val="16"/>
                <w:szCs w:val="16"/>
              </w:rPr>
            </w:pPr>
            <w:r w:rsidRPr="009E238B">
              <w:rPr>
                <w:rFonts w:ascii="Arial" w:hAnsi="Arial"/>
                <w:sz w:val="16"/>
                <w:szCs w:val="16"/>
              </w:rPr>
              <w:t>Would it be convenient to implement metrics for certain services where factors are based on the number of services offered by the concessionaire to the end user?</w:t>
            </w:r>
          </w:p>
        </w:tc>
        <w:tc>
          <w:tcPr>
            <w:tcW w:w="7189" w:type="dxa"/>
          </w:tcPr>
          <w:p w14:paraId="003DD995" w14:textId="77777777" w:rsidR="00560103" w:rsidRPr="00656CCD" w:rsidRDefault="00560103" w:rsidP="00560103">
            <w:pPr>
              <w:rPr>
                <w:rFonts w:ascii="Arial" w:hAnsi="Arial" w:cs="Arial"/>
                <w:sz w:val="16"/>
                <w:szCs w:val="16"/>
              </w:rPr>
            </w:pPr>
          </w:p>
        </w:tc>
      </w:tr>
      <w:tr w:rsidR="00D114B9" w:rsidRPr="00560103" w14:paraId="32A43AC2" w14:textId="77777777" w:rsidTr="00E774A6">
        <w:tc>
          <w:tcPr>
            <w:tcW w:w="987" w:type="dxa"/>
            <w:vAlign w:val="center"/>
          </w:tcPr>
          <w:p w14:paraId="6802B6A1" w14:textId="77777777" w:rsidR="00560103" w:rsidRPr="00656CCD" w:rsidRDefault="001D7329" w:rsidP="00E774A6">
            <w:pPr>
              <w:jc w:val="center"/>
              <w:rPr>
                <w:rFonts w:ascii="Arial" w:hAnsi="Arial" w:cs="Arial"/>
                <w:sz w:val="16"/>
                <w:szCs w:val="16"/>
              </w:rPr>
            </w:pPr>
            <w:r>
              <w:rPr>
                <w:rFonts w:ascii="Arial" w:hAnsi="Arial"/>
                <w:sz w:val="16"/>
                <w:szCs w:val="16"/>
              </w:rPr>
              <w:t>11</w:t>
            </w:r>
          </w:p>
        </w:tc>
        <w:tc>
          <w:tcPr>
            <w:tcW w:w="1276" w:type="dxa"/>
            <w:vAlign w:val="center"/>
          </w:tcPr>
          <w:p w14:paraId="4B2537DF" w14:textId="77777777" w:rsidR="00560103" w:rsidRPr="00656CCD" w:rsidRDefault="007058F6" w:rsidP="00E774A6">
            <w:pPr>
              <w:jc w:val="center"/>
              <w:rPr>
                <w:rFonts w:ascii="Arial" w:hAnsi="Arial" w:cs="Arial"/>
                <w:sz w:val="16"/>
                <w:szCs w:val="16"/>
              </w:rPr>
            </w:pPr>
            <w:r>
              <w:rPr>
                <w:rFonts w:ascii="Arial" w:hAnsi="Arial"/>
                <w:sz w:val="16"/>
                <w:szCs w:val="16"/>
              </w:rPr>
              <w:t>91</w:t>
            </w:r>
          </w:p>
        </w:tc>
        <w:tc>
          <w:tcPr>
            <w:tcW w:w="3544" w:type="dxa"/>
          </w:tcPr>
          <w:p w14:paraId="6DDD49BD" w14:textId="23C8F92F" w:rsidR="00560103" w:rsidRPr="009E238B" w:rsidRDefault="00A214BE" w:rsidP="00560103">
            <w:pPr>
              <w:rPr>
                <w:rFonts w:ascii="Arial" w:hAnsi="Arial" w:cs="Arial"/>
                <w:sz w:val="16"/>
                <w:szCs w:val="16"/>
              </w:rPr>
            </w:pPr>
            <w:r w:rsidRPr="009E238B">
              <w:rPr>
                <w:rFonts w:ascii="Arial" w:hAnsi="Arial"/>
                <w:sz w:val="16"/>
                <w:szCs w:val="16"/>
              </w:rPr>
              <w:t>How would this minimum number of services be determined?</w:t>
            </w:r>
          </w:p>
        </w:tc>
        <w:tc>
          <w:tcPr>
            <w:tcW w:w="7189" w:type="dxa"/>
          </w:tcPr>
          <w:p w14:paraId="5D62CECB" w14:textId="77777777" w:rsidR="00560103" w:rsidRPr="00656CCD" w:rsidRDefault="00560103" w:rsidP="00560103">
            <w:pPr>
              <w:rPr>
                <w:rFonts w:ascii="Arial" w:hAnsi="Arial" w:cs="Arial"/>
                <w:sz w:val="16"/>
                <w:szCs w:val="16"/>
              </w:rPr>
            </w:pPr>
          </w:p>
        </w:tc>
      </w:tr>
      <w:tr w:rsidR="00560103" w:rsidRPr="00560103" w14:paraId="3FAC5FF4" w14:textId="77777777" w:rsidTr="00E774A6">
        <w:tc>
          <w:tcPr>
            <w:tcW w:w="987" w:type="dxa"/>
            <w:vAlign w:val="center"/>
          </w:tcPr>
          <w:p w14:paraId="616EE55D" w14:textId="77777777" w:rsidR="00560103" w:rsidRPr="00656CCD" w:rsidRDefault="001D7329" w:rsidP="00E774A6">
            <w:pPr>
              <w:jc w:val="center"/>
              <w:rPr>
                <w:rFonts w:ascii="Arial" w:hAnsi="Arial" w:cs="Arial"/>
                <w:sz w:val="16"/>
                <w:szCs w:val="16"/>
              </w:rPr>
            </w:pPr>
            <w:r>
              <w:rPr>
                <w:rFonts w:ascii="Arial" w:hAnsi="Arial"/>
                <w:sz w:val="16"/>
                <w:szCs w:val="16"/>
              </w:rPr>
              <w:t>12</w:t>
            </w:r>
          </w:p>
        </w:tc>
        <w:tc>
          <w:tcPr>
            <w:tcW w:w="1276" w:type="dxa"/>
            <w:vAlign w:val="center"/>
          </w:tcPr>
          <w:p w14:paraId="76620629" w14:textId="77777777" w:rsidR="00560103" w:rsidRPr="00656CCD" w:rsidRDefault="007058F6" w:rsidP="00E774A6">
            <w:pPr>
              <w:jc w:val="center"/>
              <w:rPr>
                <w:rFonts w:ascii="Arial" w:hAnsi="Arial" w:cs="Arial"/>
                <w:sz w:val="16"/>
                <w:szCs w:val="16"/>
              </w:rPr>
            </w:pPr>
            <w:r>
              <w:rPr>
                <w:rFonts w:ascii="Arial" w:hAnsi="Arial"/>
                <w:sz w:val="16"/>
                <w:szCs w:val="16"/>
              </w:rPr>
              <w:t>91</w:t>
            </w:r>
          </w:p>
        </w:tc>
        <w:tc>
          <w:tcPr>
            <w:tcW w:w="3544" w:type="dxa"/>
          </w:tcPr>
          <w:p w14:paraId="299349E2" w14:textId="3AB4D69D" w:rsidR="00560103" w:rsidRPr="009E238B" w:rsidRDefault="00A214BE" w:rsidP="00560103">
            <w:pPr>
              <w:rPr>
                <w:rFonts w:ascii="Arial" w:hAnsi="Arial" w:cs="Arial"/>
                <w:sz w:val="16"/>
                <w:szCs w:val="16"/>
              </w:rPr>
            </w:pPr>
            <w:r w:rsidRPr="009E238B">
              <w:rPr>
                <w:rFonts w:ascii="Arial" w:hAnsi="Arial"/>
                <w:sz w:val="16"/>
                <w:szCs w:val="16"/>
              </w:rPr>
              <w:t>Would the established services be determined by frequency band or by geographic region?</w:t>
            </w:r>
          </w:p>
        </w:tc>
        <w:tc>
          <w:tcPr>
            <w:tcW w:w="7189" w:type="dxa"/>
          </w:tcPr>
          <w:p w14:paraId="128627AA" w14:textId="77777777" w:rsidR="00560103" w:rsidRPr="00656CCD" w:rsidRDefault="00560103" w:rsidP="00560103">
            <w:pPr>
              <w:rPr>
                <w:rFonts w:ascii="Arial" w:hAnsi="Arial" w:cs="Arial"/>
                <w:sz w:val="16"/>
                <w:szCs w:val="16"/>
              </w:rPr>
            </w:pPr>
          </w:p>
        </w:tc>
      </w:tr>
      <w:tr w:rsidR="00560103" w:rsidRPr="00560103" w14:paraId="36A57FC9" w14:textId="77777777" w:rsidTr="00E774A6">
        <w:tc>
          <w:tcPr>
            <w:tcW w:w="987" w:type="dxa"/>
            <w:vAlign w:val="center"/>
          </w:tcPr>
          <w:p w14:paraId="52E9DA26" w14:textId="77777777" w:rsidR="00560103" w:rsidRPr="00656CCD" w:rsidRDefault="001D7329" w:rsidP="00E774A6">
            <w:pPr>
              <w:jc w:val="center"/>
              <w:rPr>
                <w:rFonts w:ascii="Arial" w:hAnsi="Arial" w:cs="Arial"/>
                <w:sz w:val="16"/>
                <w:szCs w:val="16"/>
              </w:rPr>
            </w:pPr>
            <w:r>
              <w:rPr>
                <w:rFonts w:ascii="Arial" w:hAnsi="Arial"/>
                <w:sz w:val="16"/>
                <w:szCs w:val="16"/>
              </w:rPr>
              <w:lastRenderedPageBreak/>
              <w:t>13</w:t>
            </w:r>
          </w:p>
        </w:tc>
        <w:tc>
          <w:tcPr>
            <w:tcW w:w="1276" w:type="dxa"/>
            <w:vAlign w:val="center"/>
          </w:tcPr>
          <w:p w14:paraId="7062BAB8" w14:textId="77777777" w:rsidR="00560103" w:rsidRPr="00656CCD" w:rsidRDefault="007058F6" w:rsidP="00E774A6">
            <w:pPr>
              <w:jc w:val="center"/>
              <w:rPr>
                <w:rFonts w:ascii="Arial" w:hAnsi="Arial" w:cs="Arial"/>
                <w:sz w:val="16"/>
                <w:szCs w:val="16"/>
              </w:rPr>
            </w:pPr>
            <w:r>
              <w:rPr>
                <w:rFonts w:ascii="Arial" w:hAnsi="Arial"/>
                <w:sz w:val="16"/>
                <w:szCs w:val="16"/>
              </w:rPr>
              <w:t>91</w:t>
            </w:r>
          </w:p>
        </w:tc>
        <w:tc>
          <w:tcPr>
            <w:tcW w:w="3544" w:type="dxa"/>
          </w:tcPr>
          <w:p w14:paraId="16A219A9" w14:textId="0CE1FB6E" w:rsidR="00560103" w:rsidRPr="00656CCD" w:rsidRDefault="00A214BE" w:rsidP="00A214BE">
            <w:pPr>
              <w:rPr>
                <w:rFonts w:ascii="Arial" w:hAnsi="Arial" w:cs="Arial"/>
                <w:sz w:val="16"/>
                <w:szCs w:val="16"/>
              </w:rPr>
            </w:pPr>
            <w:r w:rsidRPr="00E6558B">
              <w:rPr>
                <w:rFonts w:ascii="Arial" w:hAnsi="Arial"/>
                <w:sz w:val="16"/>
                <w:szCs w:val="16"/>
              </w:rPr>
              <w:t>Would it be fair for all concessionaires to count the number of services provided to the end user as part of the metric?</w:t>
            </w:r>
          </w:p>
        </w:tc>
        <w:tc>
          <w:tcPr>
            <w:tcW w:w="7189" w:type="dxa"/>
          </w:tcPr>
          <w:p w14:paraId="63BF22C3" w14:textId="77777777" w:rsidR="00560103" w:rsidRPr="00656CCD" w:rsidRDefault="00560103" w:rsidP="00560103">
            <w:pPr>
              <w:rPr>
                <w:rFonts w:ascii="Arial" w:hAnsi="Arial" w:cs="Arial"/>
                <w:sz w:val="16"/>
                <w:szCs w:val="16"/>
              </w:rPr>
            </w:pPr>
          </w:p>
        </w:tc>
      </w:tr>
      <w:tr w:rsidR="00560103" w:rsidRPr="00560103" w14:paraId="1A71FF3C" w14:textId="77777777" w:rsidTr="00E774A6">
        <w:tc>
          <w:tcPr>
            <w:tcW w:w="987" w:type="dxa"/>
            <w:vAlign w:val="center"/>
          </w:tcPr>
          <w:p w14:paraId="06241FE9" w14:textId="77777777" w:rsidR="00560103" w:rsidRPr="00656CCD" w:rsidRDefault="001D7329" w:rsidP="00E774A6">
            <w:pPr>
              <w:jc w:val="center"/>
              <w:rPr>
                <w:rFonts w:ascii="Arial" w:hAnsi="Arial" w:cs="Arial"/>
                <w:sz w:val="16"/>
                <w:szCs w:val="16"/>
              </w:rPr>
            </w:pPr>
            <w:r>
              <w:rPr>
                <w:rFonts w:ascii="Arial" w:hAnsi="Arial"/>
                <w:sz w:val="16"/>
                <w:szCs w:val="16"/>
              </w:rPr>
              <w:t>14</w:t>
            </w:r>
          </w:p>
        </w:tc>
        <w:tc>
          <w:tcPr>
            <w:tcW w:w="1276" w:type="dxa"/>
            <w:vAlign w:val="center"/>
          </w:tcPr>
          <w:p w14:paraId="32E8D19C" w14:textId="77777777" w:rsidR="00560103" w:rsidRPr="00656CCD" w:rsidRDefault="007058F6" w:rsidP="00E774A6">
            <w:pPr>
              <w:jc w:val="center"/>
              <w:rPr>
                <w:rFonts w:ascii="Arial" w:hAnsi="Arial" w:cs="Arial"/>
                <w:sz w:val="16"/>
                <w:szCs w:val="16"/>
              </w:rPr>
            </w:pPr>
            <w:r>
              <w:rPr>
                <w:rFonts w:ascii="Arial" w:hAnsi="Arial"/>
                <w:sz w:val="16"/>
                <w:szCs w:val="16"/>
              </w:rPr>
              <w:t>93</w:t>
            </w:r>
          </w:p>
        </w:tc>
        <w:tc>
          <w:tcPr>
            <w:tcW w:w="3544" w:type="dxa"/>
          </w:tcPr>
          <w:p w14:paraId="28BE2EB5" w14:textId="55913B24" w:rsidR="00560103" w:rsidRPr="00656CCD" w:rsidRDefault="00A214BE" w:rsidP="00560103">
            <w:pPr>
              <w:rPr>
                <w:rFonts w:ascii="Arial" w:hAnsi="Arial" w:cs="Arial"/>
                <w:sz w:val="16"/>
                <w:szCs w:val="16"/>
              </w:rPr>
            </w:pPr>
            <w:r w:rsidRPr="00E6558B">
              <w:rPr>
                <w:rFonts w:ascii="Arial" w:hAnsi="Arial"/>
                <w:sz w:val="16"/>
                <w:szCs w:val="16"/>
              </w:rPr>
              <w:t>What kind of mechanism should the Institute implement to collect information from the concessionaires (through Guidelines, as an explicit obligation in concession titles, etc.)?</w:t>
            </w:r>
          </w:p>
        </w:tc>
        <w:tc>
          <w:tcPr>
            <w:tcW w:w="7189" w:type="dxa"/>
          </w:tcPr>
          <w:p w14:paraId="231291D9" w14:textId="77777777" w:rsidR="00560103" w:rsidRPr="00656CCD" w:rsidRDefault="00560103" w:rsidP="00560103">
            <w:pPr>
              <w:rPr>
                <w:rFonts w:ascii="Arial" w:hAnsi="Arial" w:cs="Arial"/>
                <w:sz w:val="16"/>
                <w:szCs w:val="16"/>
              </w:rPr>
            </w:pPr>
          </w:p>
        </w:tc>
      </w:tr>
      <w:tr w:rsidR="00D114B9" w:rsidRPr="00560103" w14:paraId="421BB0D8" w14:textId="77777777" w:rsidTr="00E774A6">
        <w:tc>
          <w:tcPr>
            <w:tcW w:w="987" w:type="dxa"/>
            <w:vAlign w:val="center"/>
          </w:tcPr>
          <w:p w14:paraId="22596CA0" w14:textId="77777777" w:rsidR="00D114B9" w:rsidRPr="00656CCD" w:rsidRDefault="001D7329" w:rsidP="00E774A6">
            <w:pPr>
              <w:jc w:val="center"/>
              <w:rPr>
                <w:rFonts w:ascii="Arial" w:hAnsi="Arial" w:cs="Arial"/>
                <w:sz w:val="16"/>
                <w:szCs w:val="16"/>
              </w:rPr>
            </w:pPr>
            <w:r>
              <w:rPr>
                <w:rFonts w:ascii="Arial" w:hAnsi="Arial"/>
                <w:sz w:val="16"/>
                <w:szCs w:val="16"/>
              </w:rPr>
              <w:t>15</w:t>
            </w:r>
          </w:p>
        </w:tc>
        <w:tc>
          <w:tcPr>
            <w:tcW w:w="1276" w:type="dxa"/>
            <w:vAlign w:val="center"/>
          </w:tcPr>
          <w:p w14:paraId="5BA90912" w14:textId="77777777" w:rsidR="00D114B9" w:rsidRPr="00656CCD" w:rsidRDefault="007058F6" w:rsidP="00E774A6">
            <w:pPr>
              <w:jc w:val="center"/>
              <w:rPr>
                <w:rFonts w:ascii="Arial" w:hAnsi="Arial" w:cs="Arial"/>
                <w:sz w:val="16"/>
                <w:szCs w:val="16"/>
              </w:rPr>
            </w:pPr>
            <w:r>
              <w:rPr>
                <w:rFonts w:ascii="Arial" w:hAnsi="Arial"/>
                <w:sz w:val="16"/>
                <w:szCs w:val="16"/>
              </w:rPr>
              <w:t>93</w:t>
            </w:r>
          </w:p>
        </w:tc>
        <w:tc>
          <w:tcPr>
            <w:tcW w:w="3544" w:type="dxa"/>
          </w:tcPr>
          <w:p w14:paraId="7ECDD44C" w14:textId="507C9BC7" w:rsidR="00D114B9" w:rsidRPr="00CD1C0F" w:rsidRDefault="00D114B9" w:rsidP="00D114B9">
            <w:pPr>
              <w:rPr>
                <w:rFonts w:ascii="Arial" w:hAnsi="Arial" w:cs="Arial"/>
                <w:sz w:val="16"/>
                <w:szCs w:val="16"/>
              </w:rPr>
            </w:pPr>
            <w:r w:rsidRPr="00CD1C0F">
              <w:rPr>
                <w:rFonts w:ascii="Arial" w:hAnsi="Arial"/>
                <w:sz w:val="16"/>
                <w:szCs w:val="16"/>
              </w:rPr>
              <w:t xml:space="preserve">How often and with what type of format would data collection be made?  </w:t>
            </w:r>
          </w:p>
        </w:tc>
        <w:tc>
          <w:tcPr>
            <w:tcW w:w="7189" w:type="dxa"/>
          </w:tcPr>
          <w:p w14:paraId="395662DE" w14:textId="77777777" w:rsidR="00D114B9" w:rsidRPr="00656CCD" w:rsidRDefault="00D114B9" w:rsidP="00D114B9">
            <w:pPr>
              <w:rPr>
                <w:rFonts w:ascii="Arial" w:hAnsi="Arial" w:cs="Arial"/>
                <w:sz w:val="16"/>
                <w:szCs w:val="16"/>
              </w:rPr>
            </w:pPr>
          </w:p>
        </w:tc>
      </w:tr>
      <w:tr w:rsidR="00D114B9" w:rsidRPr="00560103" w14:paraId="35B8E445" w14:textId="77777777" w:rsidTr="00E774A6">
        <w:tc>
          <w:tcPr>
            <w:tcW w:w="987" w:type="dxa"/>
            <w:vAlign w:val="center"/>
          </w:tcPr>
          <w:p w14:paraId="3B5C3246" w14:textId="77777777" w:rsidR="00D114B9" w:rsidRPr="00656CCD" w:rsidRDefault="001D7329" w:rsidP="00E774A6">
            <w:pPr>
              <w:jc w:val="center"/>
              <w:rPr>
                <w:rFonts w:ascii="Arial" w:hAnsi="Arial" w:cs="Arial"/>
                <w:sz w:val="16"/>
                <w:szCs w:val="16"/>
              </w:rPr>
            </w:pPr>
            <w:r>
              <w:rPr>
                <w:rFonts w:ascii="Arial" w:hAnsi="Arial"/>
                <w:sz w:val="16"/>
                <w:szCs w:val="16"/>
              </w:rPr>
              <w:t>16</w:t>
            </w:r>
          </w:p>
        </w:tc>
        <w:tc>
          <w:tcPr>
            <w:tcW w:w="1276" w:type="dxa"/>
            <w:vAlign w:val="center"/>
          </w:tcPr>
          <w:p w14:paraId="5B017F2B" w14:textId="77777777" w:rsidR="00D114B9" w:rsidRPr="00656CCD" w:rsidRDefault="007058F6" w:rsidP="00E774A6">
            <w:pPr>
              <w:jc w:val="center"/>
              <w:rPr>
                <w:rFonts w:ascii="Arial" w:hAnsi="Arial" w:cs="Arial"/>
                <w:sz w:val="16"/>
                <w:szCs w:val="16"/>
              </w:rPr>
            </w:pPr>
            <w:r>
              <w:rPr>
                <w:rFonts w:ascii="Arial" w:hAnsi="Arial"/>
                <w:sz w:val="16"/>
                <w:szCs w:val="16"/>
              </w:rPr>
              <w:t>97</w:t>
            </w:r>
          </w:p>
        </w:tc>
        <w:tc>
          <w:tcPr>
            <w:tcW w:w="3544" w:type="dxa"/>
          </w:tcPr>
          <w:p w14:paraId="6378895C" w14:textId="6493D78D" w:rsidR="00D114B9" w:rsidRPr="00CD1C0F" w:rsidRDefault="00A214BE">
            <w:pPr>
              <w:rPr>
                <w:rFonts w:ascii="Arial" w:hAnsi="Arial" w:cs="Arial"/>
                <w:sz w:val="16"/>
                <w:szCs w:val="16"/>
              </w:rPr>
            </w:pPr>
            <w:r w:rsidRPr="00CD1C0F">
              <w:rPr>
                <w:rFonts w:ascii="Arial" w:hAnsi="Arial"/>
                <w:sz w:val="16"/>
                <w:szCs w:val="16"/>
              </w:rPr>
              <w:t>Who of the two concessionaires should observe the spectr</w:t>
            </w:r>
            <w:r w:rsidR="0064320B" w:rsidRPr="00CD1C0F">
              <w:rPr>
                <w:rFonts w:ascii="Arial" w:hAnsi="Arial"/>
                <w:sz w:val="16"/>
                <w:szCs w:val="16"/>
              </w:rPr>
              <w:t>um</w:t>
            </w:r>
            <w:r w:rsidRPr="00CD1C0F">
              <w:rPr>
                <w:rFonts w:ascii="Arial" w:hAnsi="Arial"/>
                <w:sz w:val="16"/>
                <w:szCs w:val="16"/>
              </w:rPr>
              <w:t xml:space="preserve"> efficiency metric, the WMC, the MV</w:t>
            </w:r>
            <w:r w:rsidR="00303A2B" w:rsidRPr="00CD1C0F">
              <w:rPr>
                <w:rFonts w:ascii="Arial" w:hAnsi="Arial"/>
                <w:sz w:val="16"/>
                <w:szCs w:val="16"/>
              </w:rPr>
              <w:t>N</w:t>
            </w:r>
            <w:r w:rsidRPr="00CD1C0F">
              <w:rPr>
                <w:rFonts w:ascii="Arial" w:hAnsi="Arial"/>
                <w:sz w:val="16"/>
                <w:szCs w:val="16"/>
              </w:rPr>
              <w:t>O or both?</w:t>
            </w:r>
          </w:p>
        </w:tc>
        <w:tc>
          <w:tcPr>
            <w:tcW w:w="7189" w:type="dxa"/>
          </w:tcPr>
          <w:p w14:paraId="223A681D" w14:textId="77777777" w:rsidR="00D114B9" w:rsidRPr="00656CCD" w:rsidRDefault="00D114B9" w:rsidP="00D114B9">
            <w:pPr>
              <w:rPr>
                <w:rFonts w:ascii="Arial" w:hAnsi="Arial" w:cs="Arial"/>
                <w:sz w:val="16"/>
                <w:szCs w:val="16"/>
              </w:rPr>
            </w:pPr>
          </w:p>
        </w:tc>
      </w:tr>
      <w:tr w:rsidR="00D114B9" w:rsidRPr="00560103" w14:paraId="10E3267C" w14:textId="77777777" w:rsidTr="00E774A6">
        <w:tc>
          <w:tcPr>
            <w:tcW w:w="987" w:type="dxa"/>
            <w:vAlign w:val="center"/>
          </w:tcPr>
          <w:p w14:paraId="111A0CB3" w14:textId="77777777" w:rsidR="00D114B9" w:rsidRPr="00656CCD" w:rsidRDefault="001D7329" w:rsidP="00E774A6">
            <w:pPr>
              <w:jc w:val="center"/>
              <w:rPr>
                <w:rFonts w:ascii="Arial" w:hAnsi="Arial" w:cs="Arial"/>
                <w:sz w:val="16"/>
                <w:szCs w:val="16"/>
              </w:rPr>
            </w:pPr>
            <w:r>
              <w:rPr>
                <w:rFonts w:ascii="Arial" w:hAnsi="Arial"/>
                <w:sz w:val="16"/>
                <w:szCs w:val="16"/>
              </w:rPr>
              <w:t>17</w:t>
            </w:r>
          </w:p>
        </w:tc>
        <w:tc>
          <w:tcPr>
            <w:tcW w:w="1276" w:type="dxa"/>
            <w:vAlign w:val="center"/>
          </w:tcPr>
          <w:p w14:paraId="2F65FC81" w14:textId="77777777" w:rsidR="00D114B9" w:rsidRPr="00656CCD" w:rsidRDefault="007058F6" w:rsidP="00E774A6">
            <w:pPr>
              <w:jc w:val="center"/>
              <w:rPr>
                <w:rFonts w:ascii="Arial" w:hAnsi="Arial" w:cs="Arial"/>
                <w:sz w:val="16"/>
                <w:szCs w:val="16"/>
              </w:rPr>
            </w:pPr>
            <w:r>
              <w:rPr>
                <w:rFonts w:ascii="Arial" w:hAnsi="Arial"/>
                <w:sz w:val="16"/>
                <w:szCs w:val="16"/>
              </w:rPr>
              <w:t>97</w:t>
            </w:r>
          </w:p>
        </w:tc>
        <w:tc>
          <w:tcPr>
            <w:tcW w:w="3544" w:type="dxa"/>
          </w:tcPr>
          <w:p w14:paraId="7694B3A8" w14:textId="68DD43DD" w:rsidR="00D114B9" w:rsidRPr="00CD1C0F" w:rsidRDefault="00A214BE" w:rsidP="00D114B9">
            <w:pPr>
              <w:rPr>
                <w:rFonts w:ascii="Arial" w:hAnsi="Arial" w:cs="Arial"/>
                <w:sz w:val="16"/>
                <w:szCs w:val="16"/>
              </w:rPr>
            </w:pPr>
            <w:r w:rsidRPr="00CD1C0F">
              <w:rPr>
                <w:rFonts w:ascii="Arial" w:hAnsi="Arial"/>
                <w:sz w:val="16"/>
                <w:szCs w:val="16"/>
              </w:rPr>
              <w:t>Should ad-hoc metrics exist for MV</w:t>
            </w:r>
            <w:r w:rsidR="00303A2B" w:rsidRPr="00CD1C0F">
              <w:rPr>
                <w:rFonts w:ascii="Arial" w:hAnsi="Arial"/>
                <w:sz w:val="16"/>
                <w:szCs w:val="16"/>
              </w:rPr>
              <w:t>N</w:t>
            </w:r>
            <w:r w:rsidRPr="00CD1C0F">
              <w:rPr>
                <w:rFonts w:ascii="Arial" w:hAnsi="Arial"/>
                <w:sz w:val="16"/>
                <w:szCs w:val="16"/>
              </w:rPr>
              <w:t>Os?</w:t>
            </w:r>
          </w:p>
        </w:tc>
        <w:tc>
          <w:tcPr>
            <w:tcW w:w="7189" w:type="dxa"/>
          </w:tcPr>
          <w:p w14:paraId="41BD2938" w14:textId="77777777" w:rsidR="00D114B9" w:rsidRPr="00656CCD" w:rsidRDefault="00D114B9" w:rsidP="00D114B9">
            <w:pPr>
              <w:rPr>
                <w:rFonts w:ascii="Arial" w:hAnsi="Arial" w:cs="Arial"/>
                <w:sz w:val="16"/>
                <w:szCs w:val="16"/>
              </w:rPr>
            </w:pPr>
          </w:p>
        </w:tc>
      </w:tr>
      <w:tr w:rsidR="00D114B9" w:rsidRPr="00560103" w14:paraId="0645F54B" w14:textId="77777777" w:rsidTr="00E774A6">
        <w:tc>
          <w:tcPr>
            <w:tcW w:w="987" w:type="dxa"/>
            <w:vAlign w:val="center"/>
          </w:tcPr>
          <w:p w14:paraId="75480E0E" w14:textId="77777777" w:rsidR="00D114B9" w:rsidRPr="00656CCD" w:rsidRDefault="001D7329" w:rsidP="00E774A6">
            <w:pPr>
              <w:jc w:val="center"/>
              <w:rPr>
                <w:rFonts w:ascii="Arial" w:hAnsi="Arial" w:cs="Arial"/>
                <w:sz w:val="16"/>
                <w:szCs w:val="16"/>
              </w:rPr>
            </w:pPr>
            <w:r>
              <w:rPr>
                <w:rFonts w:ascii="Arial" w:hAnsi="Arial"/>
                <w:sz w:val="16"/>
                <w:szCs w:val="16"/>
              </w:rPr>
              <w:t>18</w:t>
            </w:r>
          </w:p>
        </w:tc>
        <w:tc>
          <w:tcPr>
            <w:tcW w:w="1276" w:type="dxa"/>
            <w:vAlign w:val="center"/>
          </w:tcPr>
          <w:p w14:paraId="685012F7" w14:textId="77777777" w:rsidR="00D114B9" w:rsidRPr="00656CCD" w:rsidRDefault="007058F6" w:rsidP="00E774A6">
            <w:pPr>
              <w:jc w:val="center"/>
              <w:rPr>
                <w:rFonts w:ascii="Arial" w:hAnsi="Arial" w:cs="Arial"/>
                <w:sz w:val="16"/>
                <w:szCs w:val="16"/>
              </w:rPr>
            </w:pPr>
            <w:r>
              <w:rPr>
                <w:rFonts w:ascii="Arial" w:hAnsi="Arial"/>
                <w:sz w:val="16"/>
                <w:szCs w:val="16"/>
              </w:rPr>
              <w:t>97</w:t>
            </w:r>
          </w:p>
        </w:tc>
        <w:tc>
          <w:tcPr>
            <w:tcW w:w="3544" w:type="dxa"/>
          </w:tcPr>
          <w:p w14:paraId="62F46C83" w14:textId="59D56B9D" w:rsidR="00D114B9" w:rsidRPr="00CD1C0F" w:rsidRDefault="00D114B9" w:rsidP="00D114B9">
            <w:pPr>
              <w:rPr>
                <w:rFonts w:ascii="Arial" w:hAnsi="Arial" w:cs="Arial"/>
                <w:sz w:val="16"/>
                <w:szCs w:val="16"/>
              </w:rPr>
            </w:pPr>
            <w:r w:rsidRPr="00CD1C0F">
              <w:rPr>
                <w:rFonts w:ascii="Arial" w:hAnsi="Arial"/>
                <w:sz w:val="16"/>
                <w:szCs w:val="16"/>
              </w:rPr>
              <w:t xml:space="preserve">Should different metrics </w:t>
            </w:r>
            <w:r w:rsidR="00714FDB" w:rsidRPr="00CD1C0F">
              <w:rPr>
                <w:rFonts w:ascii="Arial" w:hAnsi="Arial"/>
                <w:sz w:val="16"/>
                <w:szCs w:val="16"/>
              </w:rPr>
              <w:t>exist</w:t>
            </w:r>
            <w:r w:rsidRPr="00CD1C0F">
              <w:rPr>
                <w:rFonts w:ascii="Arial" w:hAnsi="Arial"/>
                <w:sz w:val="16"/>
                <w:szCs w:val="16"/>
              </w:rPr>
              <w:t xml:space="preserve"> between WMCs and mobile telephone service concessionaires who are not WMC?</w:t>
            </w:r>
          </w:p>
        </w:tc>
        <w:tc>
          <w:tcPr>
            <w:tcW w:w="7189" w:type="dxa"/>
          </w:tcPr>
          <w:p w14:paraId="55F3D52D" w14:textId="77777777" w:rsidR="00D114B9" w:rsidRPr="00656CCD" w:rsidRDefault="00D114B9" w:rsidP="00D114B9">
            <w:pPr>
              <w:rPr>
                <w:rFonts w:ascii="Arial" w:hAnsi="Arial" w:cs="Arial"/>
                <w:sz w:val="16"/>
                <w:szCs w:val="16"/>
              </w:rPr>
            </w:pPr>
          </w:p>
        </w:tc>
      </w:tr>
      <w:tr w:rsidR="00D114B9" w:rsidRPr="00560103" w14:paraId="68FD4F4E" w14:textId="77777777" w:rsidTr="00E774A6">
        <w:tc>
          <w:tcPr>
            <w:tcW w:w="987" w:type="dxa"/>
            <w:vAlign w:val="center"/>
          </w:tcPr>
          <w:p w14:paraId="44DFFED6" w14:textId="77777777" w:rsidR="00D114B9" w:rsidRPr="00656CCD" w:rsidRDefault="001D7329" w:rsidP="00E774A6">
            <w:pPr>
              <w:jc w:val="center"/>
              <w:rPr>
                <w:rFonts w:ascii="Arial" w:hAnsi="Arial" w:cs="Arial"/>
                <w:sz w:val="16"/>
                <w:szCs w:val="16"/>
              </w:rPr>
            </w:pPr>
            <w:r>
              <w:rPr>
                <w:rFonts w:ascii="Arial" w:hAnsi="Arial"/>
                <w:sz w:val="16"/>
                <w:szCs w:val="16"/>
              </w:rPr>
              <w:t>19</w:t>
            </w:r>
          </w:p>
        </w:tc>
        <w:tc>
          <w:tcPr>
            <w:tcW w:w="1276" w:type="dxa"/>
            <w:vAlign w:val="center"/>
          </w:tcPr>
          <w:p w14:paraId="6040213F" w14:textId="77777777" w:rsidR="00D114B9" w:rsidRPr="00656CCD" w:rsidRDefault="007058F6" w:rsidP="00E774A6">
            <w:pPr>
              <w:jc w:val="center"/>
              <w:rPr>
                <w:rFonts w:ascii="Arial" w:hAnsi="Arial" w:cs="Arial"/>
                <w:sz w:val="16"/>
                <w:szCs w:val="16"/>
              </w:rPr>
            </w:pPr>
            <w:r>
              <w:rPr>
                <w:rFonts w:ascii="Arial" w:hAnsi="Arial"/>
                <w:sz w:val="16"/>
                <w:szCs w:val="16"/>
              </w:rPr>
              <w:t>97</w:t>
            </w:r>
          </w:p>
        </w:tc>
        <w:tc>
          <w:tcPr>
            <w:tcW w:w="3544" w:type="dxa"/>
          </w:tcPr>
          <w:p w14:paraId="17484EFF" w14:textId="10FE3106" w:rsidR="00D114B9" w:rsidRPr="00CD1C0F" w:rsidRDefault="00D114B9">
            <w:pPr>
              <w:rPr>
                <w:rFonts w:ascii="Arial" w:hAnsi="Arial" w:cs="Arial"/>
                <w:sz w:val="16"/>
                <w:szCs w:val="16"/>
              </w:rPr>
            </w:pPr>
            <w:r w:rsidRPr="00CD1C0F">
              <w:rPr>
                <w:rFonts w:ascii="Arial" w:hAnsi="Arial"/>
                <w:sz w:val="16"/>
                <w:szCs w:val="16"/>
              </w:rPr>
              <w:t xml:space="preserve">Does a mobile telephone service concessionaire become spectrally more efficient when offering a wholesale service option, as compared with </w:t>
            </w:r>
            <w:r w:rsidR="00CE6754" w:rsidRPr="00CD1C0F">
              <w:rPr>
                <w:rFonts w:ascii="Arial" w:hAnsi="Arial"/>
                <w:sz w:val="16"/>
                <w:szCs w:val="16"/>
              </w:rPr>
              <w:t>a</w:t>
            </w:r>
            <w:r w:rsidRPr="00CD1C0F">
              <w:rPr>
                <w:rFonts w:ascii="Arial" w:hAnsi="Arial"/>
                <w:sz w:val="16"/>
                <w:szCs w:val="16"/>
              </w:rPr>
              <w:t xml:space="preserve"> MV</w:t>
            </w:r>
            <w:r w:rsidR="00303A2B" w:rsidRPr="00CD1C0F">
              <w:rPr>
                <w:rFonts w:ascii="Arial" w:hAnsi="Arial"/>
                <w:sz w:val="16"/>
                <w:szCs w:val="16"/>
              </w:rPr>
              <w:t>N</w:t>
            </w:r>
            <w:r w:rsidRPr="00CD1C0F">
              <w:rPr>
                <w:rFonts w:ascii="Arial" w:hAnsi="Arial"/>
                <w:sz w:val="16"/>
                <w:szCs w:val="16"/>
              </w:rPr>
              <w:t xml:space="preserve">O?  </w:t>
            </w:r>
          </w:p>
        </w:tc>
        <w:tc>
          <w:tcPr>
            <w:tcW w:w="7189" w:type="dxa"/>
          </w:tcPr>
          <w:p w14:paraId="4C0B4FB2" w14:textId="77777777" w:rsidR="00D114B9" w:rsidRPr="00656CCD" w:rsidRDefault="00D114B9" w:rsidP="00D114B9">
            <w:pPr>
              <w:rPr>
                <w:rFonts w:ascii="Arial" w:hAnsi="Arial" w:cs="Arial"/>
                <w:sz w:val="16"/>
                <w:szCs w:val="16"/>
              </w:rPr>
            </w:pPr>
          </w:p>
        </w:tc>
      </w:tr>
      <w:tr w:rsidR="00D114B9" w:rsidRPr="00560103" w14:paraId="28F3DB14" w14:textId="77777777" w:rsidTr="00CD1C0F">
        <w:trPr>
          <w:trHeight w:val="70"/>
        </w:trPr>
        <w:tc>
          <w:tcPr>
            <w:tcW w:w="987" w:type="dxa"/>
            <w:vAlign w:val="center"/>
          </w:tcPr>
          <w:p w14:paraId="58D855E6" w14:textId="77777777" w:rsidR="00D114B9" w:rsidRPr="00656CCD" w:rsidRDefault="001D7329" w:rsidP="00E774A6">
            <w:pPr>
              <w:jc w:val="center"/>
              <w:rPr>
                <w:rFonts w:ascii="Arial" w:hAnsi="Arial" w:cs="Arial"/>
                <w:sz w:val="16"/>
                <w:szCs w:val="16"/>
              </w:rPr>
            </w:pPr>
            <w:r>
              <w:rPr>
                <w:rFonts w:ascii="Arial" w:hAnsi="Arial"/>
                <w:sz w:val="16"/>
                <w:szCs w:val="16"/>
              </w:rPr>
              <w:t>20</w:t>
            </w:r>
          </w:p>
        </w:tc>
        <w:tc>
          <w:tcPr>
            <w:tcW w:w="1276" w:type="dxa"/>
            <w:vAlign w:val="center"/>
          </w:tcPr>
          <w:p w14:paraId="7E644E57" w14:textId="77777777" w:rsidR="00D114B9" w:rsidRPr="00656CCD" w:rsidRDefault="00E774A6" w:rsidP="00E774A6">
            <w:pPr>
              <w:jc w:val="center"/>
              <w:rPr>
                <w:rFonts w:ascii="Arial" w:hAnsi="Arial" w:cs="Arial"/>
                <w:sz w:val="16"/>
                <w:szCs w:val="16"/>
              </w:rPr>
            </w:pPr>
            <w:r>
              <w:rPr>
                <w:rFonts w:ascii="Arial" w:hAnsi="Arial"/>
                <w:sz w:val="16"/>
                <w:szCs w:val="16"/>
              </w:rPr>
              <w:t>98</w:t>
            </w:r>
          </w:p>
        </w:tc>
        <w:tc>
          <w:tcPr>
            <w:tcW w:w="3544" w:type="dxa"/>
          </w:tcPr>
          <w:p w14:paraId="691E4E1F" w14:textId="031A2825" w:rsidR="00D114B9" w:rsidRPr="00CD1C0F" w:rsidRDefault="00A214BE" w:rsidP="00D114B9">
            <w:pPr>
              <w:rPr>
                <w:rFonts w:ascii="Arial" w:hAnsi="Arial" w:cs="Arial"/>
                <w:sz w:val="16"/>
                <w:szCs w:val="16"/>
              </w:rPr>
            </w:pPr>
            <w:r w:rsidRPr="00CD1C0F">
              <w:rPr>
                <w:rFonts w:ascii="Arial" w:hAnsi="Arial"/>
                <w:sz w:val="16"/>
                <w:szCs w:val="16"/>
              </w:rPr>
              <w:t>Would it be possible (or even feasible) that the weight of the metric be negotiated between the WMC and the MV</w:t>
            </w:r>
            <w:r w:rsidR="00303A2B" w:rsidRPr="00CD1C0F">
              <w:rPr>
                <w:rFonts w:ascii="Arial" w:hAnsi="Arial"/>
                <w:sz w:val="16"/>
                <w:szCs w:val="16"/>
              </w:rPr>
              <w:t>N</w:t>
            </w:r>
            <w:r w:rsidRPr="00CD1C0F">
              <w:rPr>
                <w:rFonts w:ascii="Arial" w:hAnsi="Arial"/>
                <w:sz w:val="16"/>
                <w:szCs w:val="16"/>
              </w:rPr>
              <w:t>O, and established contractually (prior authorization by the Institute)?</w:t>
            </w:r>
          </w:p>
        </w:tc>
        <w:tc>
          <w:tcPr>
            <w:tcW w:w="7189" w:type="dxa"/>
          </w:tcPr>
          <w:p w14:paraId="4AA7F877" w14:textId="77777777" w:rsidR="00D114B9" w:rsidRPr="00656CCD" w:rsidRDefault="00D114B9" w:rsidP="00D114B9">
            <w:pPr>
              <w:rPr>
                <w:rFonts w:ascii="Arial" w:hAnsi="Arial" w:cs="Arial"/>
                <w:sz w:val="16"/>
                <w:szCs w:val="16"/>
              </w:rPr>
            </w:pPr>
          </w:p>
        </w:tc>
      </w:tr>
      <w:tr w:rsidR="00D114B9" w:rsidRPr="00560103" w14:paraId="302040D7" w14:textId="77777777" w:rsidTr="00E774A6">
        <w:tc>
          <w:tcPr>
            <w:tcW w:w="987" w:type="dxa"/>
            <w:vAlign w:val="center"/>
          </w:tcPr>
          <w:p w14:paraId="2E284CAF" w14:textId="77777777" w:rsidR="00D114B9" w:rsidRPr="00656CCD" w:rsidRDefault="001D7329" w:rsidP="00E774A6">
            <w:pPr>
              <w:jc w:val="center"/>
              <w:rPr>
                <w:rFonts w:ascii="Arial" w:hAnsi="Arial" w:cs="Arial"/>
                <w:sz w:val="16"/>
                <w:szCs w:val="16"/>
              </w:rPr>
            </w:pPr>
            <w:r>
              <w:rPr>
                <w:rFonts w:ascii="Arial" w:hAnsi="Arial"/>
                <w:sz w:val="16"/>
                <w:szCs w:val="16"/>
              </w:rPr>
              <w:t>21</w:t>
            </w:r>
          </w:p>
        </w:tc>
        <w:tc>
          <w:tcPr>
            <w:tcW w:w="1276" w:type="dxa"/>
            <w:vAlign w:val="center"/>
          </w:tcPr>
          <w:p w14:paraId="5B1294D0" w14:textId="77777777" w:rsidR="00D114B9" w:rsidRPr="00656CCD" w:rsidRDefault="00E774A6" w:rsidP="00E774A6">
            <w:pPr>
              <w:jc w:val="center"/>
              <w:rPr>
                <w:rFonts w:ascii="Arial" w:hAnsi="Arial" w:cs="Arial"/>
                <w:sz w:val="16"/>
                <w:szCs w:val="16"/>
              </w:rPr>
            </w:pPr>
            <w:r>
              <w:rPr>
                <w:rFonts w:ascii="Arial" w:hAnsi="Arial"/>
                <w:sz w:val="16"/>
                <w:szCs w:val="16"/>
              </w:rPr>
              <w:t>100</w:t>
            </w:r>
          </w:p>
        </w:tc>
        <w:tc>
          <w:tcPr>
            <w:tcW w:w="3544" w:type="dxa"/>
          </w:tcPr>
          <w:p w14:paraId="72E3D516" w14:textId="4351E164" w:rsidR="00D114B9" w:rsidRPr="000F2BB7" w:rsidRDefault="00A214BE" w:rsidP="00D114B9">
            <w:pPr>
              <w:rPr>
                <w:rFonts w:ascii="Arial" w:hAnsi="Arial" w:cs="Arial"/>
                <w:sz w:val="16"/>
                <w:szCs w:val="16"/>
                <w:highlight w:val="cyan"/>
              </w:rPr>
            </w:pPr>
            <w:r w:rsidRPr="00FA2477">
              <w:rPr>
                <w:rFonts w:ascii="Arial" w:hAnsi="Arial"/>
                <w:sz w:val="16"/>
                <w:szCs w:val="16"/>
              </w:rPr>
              <w:t>Is it possible to establish a spectr</w:t>
            </w:r>
            <w:r w:rsidR="0064320B" w:rsidRPr="00FA2477">
              <w:rPr>
                <w:rFonts w:ascii="Arial" w:hAnsi="Arial"/>
                <w:sz w:val="16"/>
                <w:szCs w:val="16"/>
              </w:rPr>
              <w:t>um</w:t>
            </w:r>
            <w:r w:rsidRPr="00FA2477">
              <w:rPr>
                <w:rFonts w:ascii="Arial" w:hAnsi="Arial"/>
                <w:sz w:val="16"/>
                <w:szCs w:val="16"/>
              </w:rPr>
              <w:t xml:space="preserve"> efficiency metric for concessionaires that implement these types of technologies in the future?</w:t>
            </w:r>
          </w:p>
        </w:tc>
        <w:tc>
          <w:tcPr>
            <w:tcW w:w="7189" w:type="dxa"/>
          </w:tcPr>
          <w:p w14:paraId="2972B1EB" w14:textId="77777777" w:rsidR="00D114B9" w:rsidRPr="00656CCD" w:rsidRDefault="00D114B9" w:rsidP="00D114B9">
            <w:pPr>
              <w:rPr>
                <w:rFonts w:ascii="Arial" w:hAnsi="Arial" w:cs="Arial"/>
                <w:sz w:val="16"/>
                <w:szCs w:val="16"/>
              </w:rPr>
            </w:pPr>
          </w:p>
        </w:tc>
      </w:tr>
      <w:tr w:rsidR="00D114B9" w:rsidRPr="00560103" w14:paraId="12A06D2D" w14:textId="77777777" w:rsidTr="00E774A6">
        <w:tc>
          <w:tcPr>
            <w:tcW w:w="987" w:type="dxa"/>
            <w:vAlign w:val="center"/>
          </w:tcPr>
          <w:p w14:paraId="606441FC" w14:textId="77777777" w:rsidR="00D114B9" w:rsidRPr="00656CCD" w:rsidRDefault="001D7329" w:rsidP="00E774A6">
            <w:pPr>
              <w:jc w:val="center"/>
              <w:rPr>
                <w:rFonts w:ascii="Arial" w:hAnsi="Arial" w:cs="Arial"/>
                <w:sz w:val="16"/>
                <w:szCs w:val="16"/>
              </w:rPr>
            </w:pPr>
            <w:r>
              <w:rPr>
                <w:rFonts w:ascii="Arial" w:hAnsi="Arial"/>
                <w:sz w:val="16"/>
                <w:szCs w:val="16"/>
              </w:rPr>
              <w:t>22</w:t>
            </w:r>
          </w:p>
        </w:tc>
        <w:tc>
          <w:tcPr>
            <w:tcW w:w="1276" w:type="dxa"/>
            <w:vAlign w:val="center"/>
          </w:tcPr>
          <w:p w14:paraId="01443E23" w14:textId="77777777" w:rsidR="00D114B9" w:rsidRPr="00656CCD" w:rsidRDefault="00E774A6" w:rsidP="00E774A6">
            <w:pPr>
              <w:jc w:val="center"/>
              <w:rPr>
                <w:rFonts w:ascii="Arial" w:hAnsi="Arial" w:cs="Arial"/>
                <w:sz w:val="16"/>
                <w:szCs w:val="16"/>
              </w:rPr>
            </w:pPr>
            <w:r>
              <w:rPr>
                <w:rFonts w:ascii="Arial" w:hAnsi="Arial"/>
                <w:sz w:val="16"/>
                <w:szCs w:val="16"/>
              </w:rPr>
              <w:t>100</w:t>
            </w:r>
          </w:p>
        </w:tc>
        <w:tc>
          <w:tcPr>
            <w:tcW w:w="3544" w:type="dxa"/>
          </w:tcPr>
          <w:p w14:paraId="3210732C" w14:textId="77777777" w:rsidR="00D114B9" w:rsidRPr="00656CCD" w:rsidRDefault="00D114B9" w:rsidP="00D114B9">
            <w:pPr>
              <w:rPr>
                <w:rFonts w:ascii="Arial" w:hAnsi="Arial" w:cs="Arial"/>
                <w:sz w:val="16"/>
                <w:szCs w:val="16"/>
              </w:rPr>
            </w:pPr>
            <w:r w:rsidRPr="00FA2477">
              <w:rPr>
                <w:rFonts w:ascii="Arial" w:hAnsi="Arial"/>
                <w:sz w:val="16"/>
                <w:szCs w:val="16"/>
              </w:rPr>
              <w:t>How may the metrics be established for this type of concessionaires under the spectrum lease mode?</w:t>
            </w:r>
          </w:p>
        </w:tc>
        <w:tc>
          <w:tcPr>
            <w:tcW w:w="7189" w:type="dxa"/>
          </w:tcPr>
          <w:p w14:paraId="3C1F2A24" w14:textId="77777777" w:rsidR="00D114B9" w:rsidRPr="00656CCD" w:rsidRDefault="00D114B9" w:rsidP="00D114B9">
            <w:pPr>
              <w:rPr>
                <w:rFonts w:ascii="Arial" w:hAnsi="Arial" w:cs="Arial"/>
                <w:sz w:val="16"/>
                <w:szCs w:val="16"/>
              </w:rPr>
            </w:pPr>
          </w:p>
        </w:tc>
      </w:tr>
      <w:tr w:rsidR="00D114B9" w:rsidRPr="00560103" w14:paraId="3CC79909" w14:textId="77777777" w:rsidTr="00E774A6">
        <w:tc>
          <w:tcPr>
            <w:tcW w:w="987" w:type="dxa"/>
            <w:vAlign w:val="center"/>
          </w:tcPr>
          <w:p w14:paraId="2F891B16" w14:textId="77777777" w:rsidR="00D114B9" w:rsidRPr="00656CCD" w:rsidRDefault="001D7329" w:rsidP="00E774A6">
            <w:pPr>
              <w:jc w:val="center"/>
              <w:rPr>
                <w:rFonts w:ascii="Arial" w:hAnsi="Arial" w:cs="Arial"/>
                <w:sz w:val="16"/>
                <w:szCs w:val="16"/>
              </w:rPr>
            </w:pPr>
            <w:r>
              <w:rPr>
                <w:rFonts w:ascii="Arial" w:hAnsi="Arial"/>
                <w:sz w:val="16"/>
                <w:szCs w:val="16"/>
              </w:rPr>
              <w:t>23</w:t>
            </w:r>
          </w:p>
        </w:tc>
        <w:tc>
          <w:tcPr>
            <w:tcW w:w="1276" w:type="dxa"/>
            <w:vAlign w:val="center"/>
          </w:tcPr>
          <w:p w14:paraId="39E0D643" w14:textId="77777777" w:rsidR="00D114B9" w:rsidRPr="00656CCD" w:rsidRDefault="00E774A6" w:rsidP="00E774A6">
            <w:pPr>
              <w:jc w:val="center"/>
              <w:rPr>
                <w:rFonts w:ascii="Arial" w:hAnsi="Arial" w:cs="Arial"/>
                <w:sz w:val="16"/>
                <w:szCs w:val="16"/>
              </w:rPr>
            </w:pPr>
            <w:r>
              <w:rPr>
                <w:rFonts w:ascii="Arial" w:hAnsi="Arial"/>
                <w:sz w:val="16"/>
                <w:szCs w:val="16"/>
              </w:rPr>
              <w:t>100</w:t>
            </w:r>
          </w:p>
        </w:tc>
        <w:tc>
          <w:tcPr>
            <w:tcW w:w="3544" w:type="dxa"/>
          </w:tcPr>
          <w:p w14:paraId="018895D2" w14:textId="35D7683A" w:rsidR="00D114B9" w:rsidRPr="00D44DED" w:rsidRDefault="004B220C" w:rsidP="00D114B9">
            <w:pPr>
              <w:rPr>
                <w:rFonts w:ascii="Arial" w:hAnsi="Arial" w:cs="Arial"/>
                <w:sz w:val="16"/>
                <w:szCs w:val="16"/>
              </w:rPr>
            </w:pPr>
            <w:r w:rsidRPr="00D44DED">
              <w:rPr>
                <w:rFonts w:ascii="Arial" w:hAnsi="Arial"/>
                <w:sz w:val="16"/>
                <w:szCs w:val="16"/>
              </w:rPr>
              <w:t>Since this type of technologies may cover an ample range of spectrum, transmit and receive information through free spectrum, and even transmit over granted bands under a no-interference schema; would it be possible to establish a metric that counts over which frequency band the transmission is being made, and the period of transmission?</w:t>
            </w:r>
          </w:p>
        </w:tc>
        <w:tc>
          <w:tcPr>
            <w:tcW w:w="7189" w:type="dxa"/>
          </w:tcPr>
          <w:p w14:paraId="6FE845B8" w14:textId="77777777" w:rsidR="00D114B9" w:rsidRPr="00656CCD" w:rsidRDefault="00D114B9" w:rsidP="00D114B9">
            <w:pPr>
              <w:rPr>
                <w:rFonts w:ascii="Arial" w:hAnsi="Arial" w:cs="Arial"/>
                <w:sz w:val="16"/>
                <w:szCs w:val="16"/>
              </w:rPr>
            </w:pPr>
          </w:p>
        </w:tc>
      </w:tr>
      <w:tr w:rsidR="00D114B9" w:rsidRPr="00560103" w14:paraId="34D8C7B2" w14:textId="77777777" w:rsidTr="00E774A6">
        <w:tc>
          <w:tcPr>
            <w:tcW w:w="987" w:type="dxa"/>
            <w:vAlign w:val="center"/>
          </w:tcPr>
          <w:p w14:paraId="5046B095" w14:textId="77777777" w:rsidR="00D114B9" w:rsidRPr="00656CCD" w:rsidRDefault="001D7329" w:rsidP="00E774A6">
            <w:pPr>
              <w:jc w:val="center"/>
              <w:rPr>
                <w:rFonts w:ascii="Arial" w:hAnsi="Arial" w:cs="Arial"/>
                <w:sz w:val="16"/>
                <w:szCs w:val="16"/>
              </w:rPr>
            </w:pPr>
            <w:r>
              <w:rPr>
                <w:rFonts w:ascii="Arial" w:hAnsi="Arial"/>
                <w:sz w:val="16"/>
                <w:szCs w:val="16"/>
              </w:rPr>
              <w:t>24</w:t>
            </w:r>
          </w:p>
        </w:tc>
        <w:tc>
          <w:tcPr>
            <w:tcW w:w="1276" w:type="dxa"/>
            <w:vAlign w:val="center"/>
          </w:tcPr>
          <w:p w14:paraId="42F11474" w14:textId="77777777" w:rsidR="00D114B9" w:rsidRPr="00656CCD" w:rsidRDefault="00E774A6" w:rsidP="00E774A6">
            <w:pPr>
              <w:jc w:val="center"/>
              <w:rPr>
                <w:rFonts w:ascii="Arial" w:hAnsi="Arial" w:cs="Arial"/>
                <w:sz w:val="16"/>
                <w:szCs w:val="16"/>
              </w:rPr>
            </w:pPr>
            <w:r>
              <w:rPr>
                <w:rFonts w:ascii="Arial" w:hAnsi="Arial"/>
                <w:sz w:val="16"/>
                <w:szCs w:val="16"/>
              </w:rPr>
              <w:t>100</w:t>
            </w:r>
          </w:p>
        </w:tc>
        <w:tc>
          <w:tcPr>
            <w:tcW w:w="3544" w:type="dxa"/>
          </w:tcPr>
          <w:p w14:paraId="35AA7531" w14:textId="34F15FC1" w:rsidR="00D114B9" w:rsidRPr="00656CCD" w:rsidRDefault="00D114B9" w:rsidP="00D114B9">
            <w:pPr>
              <w:rPr>
                <w:rFonts w:ascii="Arial" w:hAnsi="Arial" w:cs="Arial"/>
                <w:sz w:val="16"/>
                <w:szCs w:val="16"/>
              </w:rPr>
            </w:pPr>
            <w:r w:rsidRPr="00D44DED">
              <w:rPr>
                <w:rFonts w:ascii="Arial" w:hAnsi="Arial"/>
                <w:sz w:val="16"/>
                <w:szCs w:val="16"/>
              </w:rPr>
              <w:t>Being technologies that use the spectrum in a dynamic and shared manner; would they be not appropriate for evaluation?</w:t>
            </w:r>
            <w:r>
              <w:rPr>
                <w:rFonts w:ascii="Arial" w:hAnsi="Arial"/>
                <w:sz w:val="16"/>
                <w:szCs w:val="16"/>
              </w:rPr>
              <w:t xml:space="preserve"> </w:t>
            </w:r>
          </w:p>
        </w:tc>
        <w:tc>
          <w:tcPr>
            <w:tcW w:w="7189" w:type="dxa"/>
          </w:tcPr>
          <w:p w14:paraId="675EA47A" w14:textId="77777777" w:rsidR="00D114B9" w:rsidRPr="00656CCD" w:rsidRDefault="00D114B9" w:rsidP="00D114B9">
            <w:pPr>
              <w:rPr>
                <w:rFonts w:ascii="Arial" w:hAnsi="Arial" w:cs="Arial"/>
                <w:sz w:val="16"/>
                <w:szCs w:val="16"/>
              </w:rPr>
            </w:pPr>
          </w:p>
        </w:tc>
      </w:tr>
      <w:tr w:rsidR="00D114B9" w:rsidRPr="00560103" w14:paraId="446046F6" w14:textId="77777777" w:rsidTr="00E774A6">
        <w:tc>
          <w:tcPr>
            <w:tcW w:w="987" w:type="dxa"/>
            <w:vAlign w:val="center"/>
          </w:tcPr>
          <w:p w14:paraId="7B71B64D" w14:textId="77777777" w:rsidR="00D114B9" w:rsidRPr="00656CCD" w:rsidRDefault="001D7329" w:rsidP="00E774A6">
            <w:pPr>
              <w:jc w:val="center"/>
              <w:rPr>
                <w:rFonts w:ascii="Arial" w:hAnsi="Arial" w:cs="Arial"/>
                <w:sz w:val="16"/>
                <w:szCs w:val="16"/>
              </w:rPr>
            </w:pPr>
            <w:r>
              <w:rPr>
                <w:rFonts w:ascii="Arial" w:hAnsi="Arial"/>
                <w:sz w:val="16"/>
                <w:szCs w:val="16"/>
              </w:rPr>
              <w:lastRenderedPageBreak/>
              <w:t>25</w:t>
            </w:r>
          </w:p>
        </w:tc>
        <w:tc>
          <w:tcPr>
            <w:tcW w:w="1276" w:type="dxa"/>
            <w:vAlign w:val="center"/>
          </w:tcPr>
          <w:p w14:paraId="546BA27B" w14:textId="77777777" w:rsidR="00D114B9" w:rsidRPr="00656CCD" w:rsidRDefault="00E774A6" w:rsidP="00E774A6">
            <w:pPr>
              <w:jc w:val="center"/>
              <w:rPr>
                <w:rFonts w:ascii="Arial" w:hAnsi="Arial" w:cs="Arial"/>
                <w:sz w:val="16"/>
                <w:szCs w:val="16"/>
              </w:rPr>
            </w:pPr>
            <w:r>
              <w:rPr>
                <w:rFonts w:ascii="Arial" w:hAnsi="Arial"/>
                <w:sz w:val="16"/>
                <w:szCs w:val="16"/>
              </w:rPr>
              <w:t>101</w:t>
            </w:r>
          </w:p>
        </w:tc>
        <w:tc>
          <w:tcPr>
            <w:tcW w:w="3544" w:type="dxa"/>
          </w:tcPr>
          <w:p w14:paraId="404521EC" w14:textId="77777777" w:rsidR="00D114B9" w:rsidRPr="00656CCD" w:rsidRDefault="00D114B9" w:rsidP="00D114B9">
            <w:pPr>
              <w:rPr>
                <w:rFonts w:ascii="Arial" w:hAnsi="Arial" w:cs="Arial"/>
                <w:sz w:val="16"/>
                <w:szCs w:val="16"/>
              </w:rPr>
            </w:pPr>
            <w:r w:rsidRPr="00D44DED">
              <w:rPr>
                <w:rFonts w:ascii="Arial" w:hAnsi="Arial"/>
                <w:sz w:val="16"/>
                <w:szCs w:val="16"/>
              </w:rPr>
              <w:t>Coverage was defined by ABS for some trunking radio service concessionaires, by road routes for others, by cities for others and by municipalities for others. In case a factor of the metric was the geographic coverage area, would it be possible to measure all of them in the same fashion?</w:t>
            </w:r>
          </w:p>
        </w:tc>
        <w:tc>
          <w:tcPr>
            <w:tcW w:w="7189" w:type="dxa"/>
          </w:tcPr>
          <w:p w14:paraId="37334163" w14:textId="77777777" w:rsidR="00D114B9" w:rsidRPr="00656CCD" w:rsidRDefault="00D114B9" w:rsidP="00D114B9">
            <w:pPr>
              <w:rPr>
                <w:rFonts w:ascii="Arial" w:hAnsi="Arial" w:cs="Arial"/>
                <w:sz w:val="16"/>
                <w:szCs w:val="16"/>
              </w:rPr>
            </w:pPr>
          </w:p>
        </w:tc>
      </w:tr>
      <w:tr w:rsidR="00D114B9" w:rsidRPr="00560103" w14:paraId="55C5F503" w14:textId="77777777" w:rsidTr="00E774A6">
        <w:tc>
          <w:tcPr>
            <w:tcW w:w="987" w:type="dxa"/>
            <w:vAlign w:val="center"/>
          </w:tcPr>
          <w:p w14:paraId="3C8F1699" w14:textId="77777777" w:rsidR="00D114B9" w:rsidRPr="00656CCD" w:rsidRDefault="001D7329" w:rsidP="00E774A6">
            <w:pPr>
              <w:jc w:val="center"/>
              <w:rPr>
                <w:rFonts w:ascii="Arial" w:hAnsi="Arial" w:cs="Arial"/>
                <w:sz w:val="16"/>
                <w:szCs w:val="16"/>
              </w:rPr>
            </w:pPr>
            <w:r>
              <w:rPr>
                <w:rFonts w:ascii="Arial" w:hAnsi="Arial"/>
                <w:sz w:val="16"/>
                <w:szCs w:val="16"/>
              </w:rPr>
              <w:t>26</w:t>
            </w:r>
          </w:p>
        </w:tc>
        <w:tc>
          <w:tcPr>
            <w:tcW w:w="1276" w:type="dxa"/>
            <w:vAlign w:val="center"/>
          </w:tcPr>
          <w:p w14:paraId="5862AD25" w14:textId="77777777" w:rsidR="00D114B9" w:rsidRPr="00656CCD" w:rsidRDefault="00E774A6" w:rsidP="00E774A6">
            <w:pPr>
              <w:jc w:val="center"/>
              <w:rPr>
                <w:rFonts w:ascii="Arial" w:hAnsi="Arial" w:cs="Arial"/>
                <w:sz w:val="16"/>
                <w:szCs w:val="16"/>
              </w:rPr>
            </w:pPr>
            <w:r>
              <w:rPr>
                <w:rFonts w:ascii="Arial" w:hAnsi="Arial"/>
                <w:sz w:val="16"/>
                <w:szCs w:val="16"/>
              </w:rPr>
              <w:t>101</w:t>
            </w:r>
          </w:p>
        </w:tc>
        <w:tc>
          <w:tcPr>
            <w:tcW w:w="3544" w:type="dxa"/>
          </w:tcPr>
          <w:p w14:paraId="5C993BCE" w14:textId="58E2D47C" w:rsidR="00D114B9" w:rsidRPr="00656CCD" w:rsidRDefault="00DB512D" w:rsidP="00D114B9">
            <w:pPr>
              <w:rPr>
                <w:rFonts w:ascii="Arial" w:hAnsi="Arial" w:cs="Arial"/>
                <w:sz w:val="16"/>
                <w:szCs w:val="16"/>
              </w:rPr>
            </w:pPr>
            <w:r w:rsidRPr="00D44DED">
              <w:rPr>
                <w:rFonts w:ascii="Arial" w:hAnsi="Arial"/>
                <w:sz w:val="16"/>
                <w:szCs w:val="16"/>
              </w:rPr>
              <w:t>Is it feasible to obtain a metric applicable to the whole universe of concessionaires for each one of the telecommunications and/or broadcasting services?</w:t>
            </w:r>
            <w:r>
              <w:rPr>
                <w:rFonts w:ascii="Arial" w:hAnsi="Arial"/>
                <w:sz w:val="16"/>
                <w:szCs w:val="16"/>
              </w:rPr>
              <w:t xml:space="preserve">   </w:t>
            </w:r>
          </w:p>
        </w:tc>
        <w:tc>
          <w:tcPr>
            <w:tcW w:w="7189" w:type="dxa"/>
          </w:tcPr>
          <w:p w14:paraId="7D984618" w14:textId="77777777" w:rsidR="00D114B9" w:rsidRPr="00656CCD" w:rsidRDefault="00D114B9" w:rsidP="00D114B9">
            <w:pPr>
              <w:rPr>
                <w:rFonts w:ascii="Arial" w:hAnsi="Arial" w:cs="Arial"/>
                <w:sz w:val="16"/>
                <w:szCs w:val="16"/>
              </w:rPr>
            </w:pPr>
          </w:p>
        </w:tc>
      </w:tr>
      <w:tr w:rsidR="00D114B9" w:rsidRPr="00560103" w14:paraId="3BB536DA" w14:textId="77777777" w:rsidTr="00E774A6">
        <w:tc>
          <w:tcPr>
            <w:tcW w:w="987" w:type="dxa"/>
            <w:vAlign w:val="center"/>
          </w:tcPr>
          <w:p w14:paraId="26555C51" w14:textId="77777777" w:rsidR="00D114B9" w:rsidRPr="00656CCD" w:rsidRDefault="001D7329" w:rsidP="00E774A6">
            <w:pPr>
              <w:jc w:val="center"/>
              <w:rPr>
                <w:rFonts w:ascii="Arial" w:hAnsi="Arial" w:cs="Arial"/>
                <w:sz w:val="16"/>
                <w:szCs w:val="16"/>
              </w:rPr>
            </w:pPr>
            <w:r>
              <w:rPr>
                <w:rFonts w:ascii="Arial" w:hAnsi="Arial"/>
                <w:sz w:val="16"/>
                <w:szCs w:val="16"/>
              </w:rPr>
              <w:t>27</w:t>
            </w:r>
          </w:p>
        </w:tc>
        <w:tc>
          <w:tcPr>
            <w:tcW w:w="1276" w:type="dxa"/>
            <w:vAlign w:val="center"/>
          </w:tcPr>
          <w:p w14:paraId="33C35C4E" w14:textId="77777777" w:rsidR="00D114B9" w:rsidRPr="00656CCD" w:rsidRDefault="00E774A6" w:rsidP="00E774A6">
            <w:pPr>
              <w:jc w:val="center"/>
              <w:rPr>
                <w:rFonts w:ascii="Arial" w:hAnsi="Arial" w:cs="Arial"/>
                <w:sz w:val="16"/>
                <w:szCs w:val="16"/>
              </w:rPr>
            </w:pPr>
            <w:r>
              <w:rPr>
                <w:rFonts w:ascii="Arial" w:hAnsi="Arial"/>
                <w:sz w:val="16"/>
                <w:szCs w:val="16"/>
              </w:rPr>
              <w:t>102</w:t>
            </w:r>
          </w:p>
        </w:tc>
        <w:tc>
          <w:tcPr>
            <w:tcW w:w="3544" w:type="dxa"/>
          </w:tcPr>
          <w:p w14:paraId="68B8DDBF" w14:textId="1825105C" w:rsidR="00D114B9" w:rsidRPr="00656CCD" w:rsidRDefault="00DB512D" w:rsidP="00D114B9">
            <w:pPr>
              <w:rPr>
                <w:rFonts w:ascii="Arial" w:hAnsi="Arial" w:cs="Arial"/>
                <w:sz w:val="16"/>
                <w:szCs w:val="16"/>
              </w:rPr>
            </w:pPr>
            <w:r w:rsidRPr="00D44DED">
              <w:rPr>
                <w:rFonts w:ascii="Arial" w:hAnsi="Arial"/>
                <w:sz w:val="16"/>
                <w:szCs w:val="16"/>
              </w:rPr>
              <w:t>Should specific metrics be designed for concessionaires different from those with commercial use?</w:t>
            </w:r>
          </w:p>
        </w:tc>
        <w:tc>
          <w:tcPr>
            <w:tcW w:w="7189" w:type="dxa"/>
          </w:tcPr>
          <w:p w14:paraId="171FD82F" w14:textId="77777777" w:rsidR="00D114B9" w:rsidRPr="00656CCD" w:rsidRDefault="00D114B9" w:rsidP="00D114B9">
            <w:pPr>
              <w:rPr>
                <w:rFonts w:ascii="Arial" w:hAnsi="Arial" w:cs="Arial"/>
                <w:sz w:val="16"/>
                <w:szCs w:val="16"/>
              </w:rPr>
            </w:pPr>
          </w:p>
        </w:tc>
      </w:tr>
      <w:tr w:rsidR="00D114B9" w:rsidRPr="00560103" w14:paraId="3A9E0D2B" w14:textId="77777777" w:rsidTr="00E774A6">
        <w:tc>
          <w:tcPr>
            <w:tcW w:w="987" w:type="dxa"/>
            <w:vAlign w:val="center"/>
          </w:tcPr>
          <w:p w14:paraId="32061061" w14:textId="77777777" w:rsidR="00D114B9" w:rsidRPr="00656CCD" w:rsidRDefault="001D7329" w:rsidP="00E774A6">
            <w:pPr>
              <w:jc w:val="center"/>
              <w:rPr>
                <w:rFonts w:ascii="Arial" w:hAnsi="Arial" w:cs="Arial"/>
                <w:sz w:val="16"/>
                <w:szCs w:val="16"/>
              </w:rPr>
            </w:pPr>
            <w:r>
              <w:rPr>
                <w:rFonts w:ascii="Arial" w:hAnsi="Arial"/>
                <w:sz w:val="16"/>
                <w:szCs w:val="16"/>
              </w:rPr>
              <w:t>28</w:t>
            </w:r>
          </w:p>
        </w:tc>
        <w:tc>
          <w:tcPr>
            <w:tcW w:w="1276" w:type="dxa"/>
            <w:vAlign w:val="center"/>
          </w:tcPr>
          <w:p w14:paraId="2DAF2225" w14:textId="77777777" w:rsidR="00D114B9" w:rsidRPr="00656CCD" w:rsidRDefault="00E774A6" w:rsidP="00E774A6">
            <w:pPr>
              <w:jc w:val="center"/>
              <w:rPr>
                <w:rFonts w:ascii="Arial" w:hAnsi="Arial" w:cs="Arial"/>
                <w:sz w:val="16"/>
                <w:szCs w:val="16"/>
              </w:rPr>
            </w:pPr>
            <w:r>
              <w:rPr>
                <w:rFonts w:ascii="Arial" w:hAnsi="Arial"/>
                <w:sz w:val="16"/>
                <w:szCs w:val="16"/>
              </w:rPr>
              <w:t>104</w:t>
            </w:r>
          </w:p>
        </w:tc>
        <w:tc>
          <w:tcPr>
            <w:tcW w:w="3544" w:type="dxa"/>
          </w:tcPr>
          <w:p w14:paraId="32BDB52B" w14:textId="694B64F9" w:rsidR="00D114B9" w:rsidRPr="000F2BB7" w:rsidRDefault="00DB512D" w:rsidP="00D114B9">
            <w:pPr>
              <w:rPr>
                <w:rFonts w:ascii="Arial" w:hAnsi="Arial" w:cs="Arial"/>
                <w:sz w:val="16"/>
                <w:szCs w:val="16"/>
                <w:highlight w:val="cyan"/>
              </w:rPr>
            </w:pPr>
            <w:r w:rsidRPr="00CF3240">
              <w:rPr>
                <w:rFonts w:ascii="Arial" w:hAnsi="Arial"/>
                <w:sz w:val="16"/>
                <w:szCs w:val="16"/>
              </w:rPr>
              <w:t>How should the quantity and quality of channels arising from the use of multiprogramming and IBOC technology be evaluated on the concessionaires?</w:t>
            </w:r>
          </w:p>
        </w:tc>
        <w:tc>
          <w:tcPr>
            <w:tcW w:w="7189" w:type="dxa"/>
          </w:tcPr>
          <w:p w14:paraId="32DBF04A" w14:textId="77777777" w:rsidR="00D114B9" w:rsidRPr="00656CCD" w:rsidRDefault="00D114B9" w:rsidP="00D114B9">
            <w:pPr>
              <w:rPr>
                <w:rFonts w:ascii="Arial" w:hAnsi="Arial" w:cs="Arial"/>
                <w:sz w:val="16"/>
                <w:szCs w:val="16"/>
              </w:rPr>
            </w:pPr>
          </w:p>
        </w:tc>
      </w:tr>
      <w:tr w:rsidR="007F7EB6" w:rsidRPr="00560103" w14:paraId="67AE4696" w14:textId="77777777" w:rsidTr="00E774A6">
        <w:tc>
          <w:tcPr>
            <w:tcW w:w="987" w:type="dxa"/>
            <w:vAlign w:val="center"/>
          </w:tcPr>
          <w:p w14:paraId="6D6EDA6B" w14:textId="5C19E294" w:rsidR="007F7EB6" w:rsidRPr="00656CCD" w:rsidRDefault="007F7EB6" w:rsidP="00E774A6">
            <w:pPr>
              <w:jc w:val="center"/>
              <w:rPr>
                <w:rFonts w:ascii="Arial" w:hAnsi="Arial" w:cs="Arial"/>
                <w:sz w:val="16"/>
                <w:szCs w:val="16"/>
              </w:rPr>
            </w:pPr>
            <w:r>
              <w:rPr>
                <w:rFonts w:ascii="Arial" w:hAnsi="Arial"/>
                <w:sz w:val="16"/>
                <w:szCs w:val="16"/>
              </w:rPr>
              <w:t>29</w:t>
            </w:r>
          </w:p>
        </w:tc>
        <w:tc>
          <w:tcPr>
            <w:tcW w:w="1276" w:type="dxa"/>
            <w:vAlign w:val="center"/>
          </w:tcPr>
          <w:p w14:paraId="50BE2651" w14:textId="5670D875" w:rsidR="007F7EB6" w:rsidRDefault="007F7EB6" w:rsidP="00E774A6">
            <w:pPr>
              <w:jc w:val="center"/>
              <w:rPr>
                <w:rFonts w:ascii="Arial" w:hAnsi="Arial" w:cs="Arial"/>
                <w:sz w:val="16"/>
                <w:szCs w:val="16"/>
              </w:rPr>
            </w:pPr>
            <w:r>
              <w:rPr>
                <w:rFonts w:ascii="Arial" w:hAnsi="Arial"/>
                <w:sz w:val="16"/>
                <w:szCs w:val="16"/>
              </w:rPr>
              <w:t>N/A</w:t>
            </w:r>
          </w:p>
        </w:tc>
        <w:tc>
          <w:tcPr>
            <w:tcW w:w="3544" w:type="dxa"/>
          </w:tcPr>
          <w:p w14:paraId="017A83FF" w14:textId="43326C1B" w:rsidR="00307ED1" w:rsidRPr="00307ED1" w:rsidRDefault="00307ED1" w:rsidP="00307ED1">
            <w:pPr>
              <w:rPr>
                <w:rFonts w:ascii="Arial" w:hAnsi="Arial" w:cs="Arial"/>
                <w:sz w:val="16"/>
                <w:szCs w:val="16"/>
              </w:rPr>
            </w:pPr>
            <w:r w:rsidRPr="00CF3240">
              <w:rPr>
                <w:rFonts w:ascii="Arial" w:hAnsi="Arial"/>
                <w:sz w:val="16"/>
                <w:szCs w:val="16"/>
              </w:rPr>
              <w:t xml:space="preserve">The Institute is </w:t>
            </w:r>
            <w:r w:rsidR="00500A15" w:rsidRPr="00CF3240">
              <w:rPr>
                <w:rFonts w:ascii="Arial" w:hAnsi="Arial"/>
                <w:sz w:val="16"/>
                <w:szCs w:val="16"/>
              </w:rPr>
              <w:t xml:space="preserve">evaluating </w:t>
            </w:r>
            <w:r w:rsidRPr="00CF3240">
              <w:rPr>
                <w:rFonts w:ascii="Arial" w:hAnsi="Arial"/>
                <w:sz w:val="16"/>
                <w:szCs w:val="16"/>
              </w:rPr>
              <w:t>the development of metrics for a group of services deemed of higher relevance or impact for the provision of public telecommunications and broadcasting services. The services considered up to now are:</w:t>
            </w:r>
          </w:p>
          <w:p w14:paraId="5426720D" w14:textId="77777777" w:rsidR="00307ED1" w:rsidRPr="00307ED1" w:rsidRDefault="00307ED1" w:rsidP="00307ED1">
            <w:pPr>
              <w:rPr>
                <w:rFonts w:ascii="Arial" w:hAnsi="Arial" w:cs="Arial"/>
                <w:sz w:val="16"/>
                <w:szCs w:val="16"/>
              </w:rPr>
            </w:pPr>
          </w:p>
          <w:p w14:paraId="61F24133" w14:textId="5EFAD9AD" w:rsidR="00307ED1" w:rsidRPr="00CF3240" w:rsidRDefault="001613C0" w:rsidP="00307ED1">
            <w:pPr>
              <w:rPr>
                <w:rFonts w:ascii="Arial" w:hAnsi="Arial" w:cs="Arial"/>
                <w:sz w:val="16"/>
                <w:szCs w:val="16"/>
              </w:rPr>
            </w:pPr>
            <w:r>
              <w:rPr>
                <w:rFonts w:ascii="Arial" w:hAnsi="Arial"/>
                <w:sz w:val="16"/>
                <w:szCs w:val="16"/>
              </w:rPr>
              <w:t>- Wireless</w:t>
            </w:r>
            <w:r w:rsidR="00307ED1" w:rsidRPr="00CF3240">
              <w:rPr>
                <w:rFonts w:ascii="Arial" w:hAnsi="Arial"/>
                <w:sz w:val="16"/>
                <w:szCs w:val="16"/>
              </w:rPr>
              <w:t xml:space="preserve"> access service (cell phone).</w:t>
            </w:r>
          </w:p>
          <w:p w14:paraId="25BC3D16" w14:textId="678783D7" w:rsidR="00307ED1" w:rsidRPr="00CF3240" w:rsidRDefault="00307ED1" w:rsidP="00307ED1">
            <w:pPr>
              <w:rPr>
                <w:rFonts w:ascii="Arial" w:hAnsi="Arial" w:cs="Arial"/>
                <w:sz w:val="16"/>
                <w:szCs w:val="16"/>
              </w:rPr>
            </w:pPr>
            <w:r w:rsidRPr="00CF3240">
              <w:rPr>
                <w:rFonts w:ascii="Arial" w:hAnsi="Arial"/>
                <w:sz w:val="16"/>
                <w:szCs w:val="16"/>
              </w:rPr>
              <w:t>-</w:t>
            </w:r>
            <w:r w:rsidR="001932CD" w:rsidRPr="00CF3240">
              <w:rPr>
                <w:rFonts w:ascii="Arial" w:hAnsi="Arial"/>
                <w:sz w:val="16"/>
                <w:szCs w:val="16"/>
              </w:rPr>
              <w:t xml:space="preserve"> </w:t>
            </w:r>
            <w:r w:rsidRPr="00CF3240">
              <w:rPr>
                <w:rFonts w:ascii="Arial" w:hAnsi="Arial"/>
                <w:sz w:val="16"/>
                <w:szCs w:val="16"/>
              </w:rPr>
              <w:t>Point</w:t>
            </w:r>
            <w:r w:rsidR="00B879B5" w:rsidRPr="00CF3240">
              <w:rPr>
                <w:rFonts w:ascii="Arial" w:hAnsi="Arial"/>
                <w:sz w:val="16"/>
                <w:szCs w:val="16"/>
              </w:rPr>
              <w:t>-</w:t>
            </w:r>
            <w:r w:rsidRPr="00CF3240">
              <w:rPr>
                <w:rFonts w:ascii="Arial" w:hAnsi="Arial"/>
                <w:sz w:val="16"/>
                <w:szCs w:val="16"/>
              </w:rPr>
              <w:t>to</w:t>
            </w:r>
            <w:r w:rsidR="00B879B5" w:rsidRPr="00CF3240">
              <w:rPr>
                <w:rFonts w:ascii="Arial" w:hAnsi="Arial"/>
                <w:sz w:val="16"/>
                <w:szCs w:val="16"/>
              </w:rPr>
              <w:t>-</w:t>
            </w:r>
            <w:r w:rsidR="00D44DED" w:rsidRPr="00CF3240">
              <w:rPr>
                <w:rFonts w:ascii="Arial" w:hAnsi="Arial"/>
                <w:sz w:val="16"/>
                <w:szCs w:val="16"/>
              </w:rPr>
              <w:t>p</w:t>
            </w:r>
            <w:r w:rsidRPr="00CF3240">
              <w:rPr>
                <w:rFonts w:ascii="Arial" w:hAnsi="Arial"/>
                <w:sz w:val="16"/>
                <w:szCs w:val="16"/>
              </w:rPr>
              <w:t xml:space="preserve">oint </w:t>
            </w:r>
            <w:r w:rsidR="00367C4F" w:rsidRPr="00CF3240">
              <w:rPr>
                <w:rFonts w:ascii="Arial" w:hAnsi="Arial"/>
                <w:sz w:val="16"/>
                <w:szCs w:val="16"/>
              </w:rPr>
              <w:t>terrestrial fixed service</w:t>
            </w:r>
            <w:r w:rsidRPr="00CF3240">
              <w:rPr>
                <w:rFonts w:ascii="Arial" w:hAnsi="Arial"/>
                <w:sz w:val="16"/>
                <w:szCs w:val="16"/>
              </w:rPr>
              <w:t>.</w:t>
            </w:r>
          </w:p>
          <w:p w14:paraId="41803CA0" w14:textId="4366D62A" w:rsidR="00307ED1" w:rsidRPr="00CF3240" w:rsidRDefault="00307ED1" w:rsidP="00307ED1">
            <w:pPr>
              <w:rPr>
                <w:rFonts w:ascii="Arial" w:hAnsi="Arial" w:cs="Arial"/>
                <w:sz w:val="16"/>
                <w:szCs w:val="16"/>
              </w:rPr>
            </w:pPr>
            <w:r w:rsidRPr="00CF3240">
              <w:rPr>
                <w:rFonts w:ascii="Arial" w:hAnsi="Arial"/>
                <w:sz w:val="16"/>
                <w:szCs w:val="16"/>
              </w:rPr>
              <w:t>- Satellite pay TV services.</w:t>
            </w:r>
          </w:p>
          <w:p w14:paraId="6FA29279" w14:textId="1A252F25" w:rsidR="00307ED1" w:rsidRPr="00CF3240" w:rsidRDefault="00307ED1" w:rsidP="00307ED1">
            <w:pPr>
              <w:rPr>
                <w:rFonts w:ascii="Arial" w:hAnsi="Arial" w:cs="Arial"/>
                <w:sz w:val="16"/>
                <w:szCs w:val="16"/>
              </w:rPr>
            </w:pPr>
            <w:r w:rsidRPr="00CF3240">
              <w:rPr>
                <w:rFonts w:ascii="Arial" w:hAnsi="Arial"/>
                <w:sz w:val="16"/>
                <w:szCs w:val="16"/>
              </w:rPr>
              <w:t>- Mobile narrowband radiocommunication services.</w:t>
            </w:r>
          </w:p>
          <w:p w14:paraId="4ADA2FAE" w14:textId="55B1F064" w:rsidR="00307ED1" w:rsidRPr="00CF3240" w:rsidRDefault="00307ED1" w:rsidP="00307ED1">
            <w:pPr>
              <w:rPr>
                <w:rFonts w:ascii="Arial" w:hAnsi="Arial" w:cs="Arial"/>
                <w:sz w:val="16"/>
                <w:szCs w:val="16"/>
              </w:rPr>
            </w:pPr>
            <w:r w:rsidRPr="00CF3240">
              <w:rPr>
                <w:rFonts w:ascii="Arial" w:hAnsi="Arial"/>
                <w:sz w:val="16"/>
                <w:szCs w:val="16"/>
              </w:rPr>
              <w:t>- Digital Terrestrial Television services.</w:t>
            </w:r>
          </w:p>
          <w:p w14:paraId="2F640CA4" w14:textId="6CDA2D95" w:rsidR="00307ED1" w:rsidRPr="00307ED1" w:rsidRDefault="00307ED1" w:rsidP="00307ED1">
            <w:pPr>
              <w:rPr>
                <w:rFonts w:ascii="Arial" w:hAnsi="Arial" w:cs="Arial"/>
                <w:sz w:val="16"/>
                <w:szCs w:val="16"/>
              </w:rPr>
            </w:pPr>
            <w:r w:rsidRPr="00CF3240">
              <w:rPr>
                <w:rFonts w:ascii="Arial" w:hAnsi="Arial"/>
                <w:sz w:val="16"/>
                <w:szCs w:val="16"/>
              </w:rPr>
              <w:t>- AM and FM broadcasting services.</w:t>
            </w:r>
          </w:p>
          <w:p w14:paraId="77384761" w14:textId="77777777" w:rsidR="00307ED1" w:rsidRDefault="00307ED1" w:rsidP="00D114B9">
            <w:pPr>
              <w:rPr>
                <w:rFonts w:ascii="Arial" w:hAnsi="Arial" w:cs="Arial"/>
                <w:sz w:val="16"/>
                <w:szCs w:val="16"/>
              </w:rPr>
            </w:pPr>
          </w:p>
          <w:p w14:paraId="29D0DD8D" w14:textId="5060E4E8" w:rsidR="007F7EB6" w:rsidRDefault="00201588" w:rsidP="00201588">
            <w:pPr>
              <w:rPr>
                <w:rFonts w:ascii="Arial" w:hAnsi="Arial" w:cs="Arial"/>
                <w:sz w:val="16"/>
                <w:szCs w:val="16"/>
              </w:rPr>
            </w:pPr>
            <w:r w:rsidRPr="00CF3240">
              <w:rPr>
                <w:rFonts w:ascii="Arial" w:hAnsi="Arial"/>
                <w:sz w:val="16"/>
                <w:szCs w:val="16"/>
              </w:rPr>
              <w:t>In this sense, the Institute seeks comments about additional or different services (besides the ones listed) that may be considered to develop and apply efficient use metrics, as well as the technical or regulatory justification on the feasibility and need for their implementation.</w:t>
            </w:r>
          </w:p>
        </w:tc>
        <w:tc>
          <w:tcPr>
            <w:tcW w:w="7189" w:type="dxa"/>
          </w:tcPr>
          <w:p w14:paraId="4CD021D2" w14:textId="77777777" w:rsidR="007F7EB6" w:rsidRPr="00656CCD" w:rsidRDefault="007F7EB6" w:rsidP="00D114B9">
            <w:pPr>
              <w:rPr>
                <w:rFonts w:ascii="Arial" w:hAnsi="Arial" w:cs="Arial"/>
                <w:sz w:val="16"/>
                <w:szCs w:val="16"/>
              </w:rPr>
            </w:pPr>
          </w:p>
        </w:tc>
      </w:tr>
    </w:tbl>
    <w:p w14:paraId="5C6BECA2" w14:textId="77777777" w:rsidR="00383EAF" w:rsidRPr="003E2DCE" w:rsidRDefault="00383EAF">
      <w:pPr>
        <w:rPr>
          <w:rFonts w:ascii="Arial" w:hAnsi="Arial" w:cs="Arial"/>
          <w:sz w:val="16"/>
          <w:szCs w:val="16"/>
        </w:rPr>
      </w:pPr>
    </w:p>
    <w:p w14:paraId="768CEE5D" w14:textId="77777777" w:rsidR="00E2725F" w:rsidRPr="003E2DCE" w:rsidRDefault="00E2725F">
      <w:pPr>
        <w:rPr>
          <w:rFonts w:ascii="Arial" w:hAnsi="Arial" w:cs="Arial"/>
          <w:sz w:val="16"/>
          <w:szCs w:val="16"/>
        </w:rPr>
      </w:pPr>
    </w:p>
    <w:p w14:paraId="3361DDAA" w14:textId="303A806F" w:rsidR="003129AE" w:rsidRPr="00CF3240" w:rsidRDefault="00750D8C" w:rsidP="00750D8C">
      <w:pPr>
        <w:rPr>
          <w:rFonts w:ascii="Arial" w:hAnsi="Arial" w:cs="Arial"/>
          <w:b/>
        </w:rPr>
      </w:pPr>
      <w:r w:rsidRPr="00CF3240">
        <w:rPr>
          <w:rFonts w:ascii="Arial" w:hAnsi="Arial"/>
          <w:b/>
        </w:rPr>
        <w:lastRenderedPageBreak/>
        <w:t xml:space="preserve">IV. General comments, opinions and contributions by the </w:t>
      </w:r>
      <w:r w:rsidR="00E07087" w:rsidRPr="00CF3240">
        <w:rPr>
          <w:rFonts w:ascii="Arial" w:hAnsi="Arial"/>
          <w:b/>
        </w:rPr>
        <w:t>respondent</w:t>
      </w:r>
    </w:p>
    <w:p w14:paraId="37B6F508" w14:textId="41297AC6" w:rsidR="008A3583" w:rsidRPr="000F2BB7" w:rsidRDefault="00750D8C" w:rsidP="00744B77">
      <w:pPr>
        <w:jc w:val="both"/>
        <w:rPr>
          <w:rFonts w:ascii="Arial" w:hAnsi="Arial" w:cs="Arial"/>
          <w:sz w:val="18"/>
          <w:szCs w:val="18"/>
          <w:highlight w:val="cyan"/>
        </w:rPr>
      </w:pPr>
      <w:r w:rsidRPr="00EB1BD9">
        <w:rPr>
          <w:rFonts w:ascii="Arial" w:hAnsi="Arial"/>
          <w:b/>
          <w:sz w:val="18"/>
          <w:szCs w:val="18"/>
        </w:rPr>
        <w:t>Note 3:</w:t>
      </w:r>
      <w:r w:rsidRPr="00EB1BD9">
        <w:rPr>
          <w:rFonts w:ascii="Arial" w:hAnsi="Arial"/>
          <w:sz w:val="18"/>
          <w:szCs w:val="18"/>
        </w:rPr>
        <w:t xml:space="preserve"> This section may be used to freely offer comments, opinions and contributions related to the design and definition of Spectr</w:t>
      </w:r>
      <w:r w:rsidR="0064320B" w:rsidRPr="00EB1BD9">
        <w:rPr>
          <w:rFonts w:ascii="Arial" w:hAnsi="Arial"/>
          <w:sz w:val="18"/>
          <w:szCs w:val="18"/>
        </w:rPr>
        <w:t>um</w:t>
      </w:r>
      <w:r w:rsidRPr="00EB1BD9">
        <w:rPr>
          <w:rFonts w:ascii="Arial" w:hAnsi="Arial"/>
          <w:sz w:val="18"/>
          <w:szCs w:val="18"/>
        </w:rPr>
        <w:t xml:space="preserve"> Efficiency Metrics. In case of making any contributions relating to the study “Spectr</w:t>
      </w:r>
      <w:r w:rsidR="0064320B" w:rsidRPr="00EB1BD9">
        <w:rPr>
          <w:rFonts w:ascii="Arial" w:hAnsi="Arial"/>
          <w:sz w:val="18"/>
          <w:szCs w:val="18"/>
        </w:rPr>
        <w:t>um</w:t>
      </w:r>
      <w:r w:rsidRPr="00EB1BD9">
        <w:rPr>
          <w:rFonts w:ascii="Arial" w:hAnsi="Arial"/>
          <w:sz w:val="18"/>
          <w:szCs w:val="18"/>
        </w:rPr>
        <w:t xml:space="preserve"> Efficiency Measurement. Definitions and</w:t>
      </w:r>
      <w:r w:rsidR="00051A29">
        <w:rPr>
          <w:rFonts w:ascii="Arial" w:hAnsi="Arial"/>
          <w:sz w:val="18"/>
          <w:szCs w:val="18"/>
        </w:rPr>
        <w:t xml:space="preserve"> considerations</w:t>
      </w:r>
      <w:r w:rsidRPr="00EB1BD9">
        <w:rPr>
          <w:rFonts w:ascii="Arial" w:hAnsi="Arial"/>
          <w:sz w:val="18"/>
          <w:szCs w:val="18"/>
        </w:rPr>
        <w:t xml:space="preserve"> to be observed for its application in Mexico”, indicate the corresponding section in the first column; otherwise, the indication “N/A” (Not Applicable).</w:t>
      </w:r>
    </w:p>
    <w:p w14:paraId="243BE16D" w14:textId="5AE6CB92" w:rsidR="00080CB9" w:rsidRPr="00AA27D8" w:rsidRDefault="00080CB9" w:rsidP="00750D8C">
      <w:pPr>
        <w:rPr>
          <w:rFonts w:ascii="Arial" w:hAnsi="Arial" w:cs="Arial"/>
          <w:sz w:val="18"/>
          <w:szCs w:val="18"/>
        </w:rPr>
      </w:pPr>
      <w:r w:rsidRPr="00DB4922">
        <w:rPr>
          <w:rFonts w:ascii="Arial" w:hAnsi="Arial"/>
          <w:b/>
          <w:sz w:val="18"/>
          <w:szCs w:val="18"/>
        </w:rPr>
        <w:t>Note 4:</w:t>
      </w:r>
      <w:r w:rsidRPr="00DB4922">
        <w:rPr>
          <w:rFonts w:ascii="Arial" w:hAnsi="Arial"/>
          <w:sz w:val="18"/>
          <w:szCs w:val="18"/>
        </w:rPr>
        <w:t xml:space="preserve"> Add as many lines as necessary.</w:t>
      </w:r>
    </w:p>
    <w:tbl>
      <w:tblPr>
        <w:tblStyle w:val="Tablaconcuadrcula"/>
        <w:tblW w:w="13036" w:type="dxa"/>
        <w:tblLook w:val="04A0" w:firstRow="1" w:lastRow="0" w:firstColumn="1" w:lastColumn="0" w:noHBand="0" w:noVBand="1"/>
      </w:tblPr>
      <w:tblGrid>
        <w:gridCol w:w="1276"/>
        <w:gridCol w:w="11760"/>
      </w:tblGrid>
      <w:tr w:rsidR="00E24523" w:rsidRPr="00560103" w14:paraId="6B86A6A6" w14:textId="77777777" w:rsidTr="00FA389B">
        <w:trPr>
          <w:tblHeader/>
        </w:trPr>
        <w:tc>
          <w:tcPr>
            <w:tcW w:w="1276" w:type="dxa"/>
            <w:shd w:val="clear" w:color="auto" w:fill="00A6A2"/>
            <w:vAlign w:val="center"/>
          </w:tcPr>
          <w:p w14:paraId="2843E5B2" w14:textId="77777777" w:rsidR="00E24523" w:rsidRPr="00560103" w:rsidRDefault="00E24523" w:rsidP="00FA389B">
            <w:pPr>
              <w:jc w:val="center"/>
              <w:rPr>
                <w:rFonts w:ascii="Arial" w:hAnsi="Arial" w:cs="Arial"/>
                <w:b/>
                <w:sz w:val="18"/>
                <w:szCs w:val="18"/>
              </w:rPr>
            </w:pPr>
            <w:r>
              <w:rPr>
                <w:rFonts w:ascii="Arial" w:hAnsi="Arial"/>
                <w:b/>
                <w:sz w:val="18"/>
                <w:szCs w:val="18"/>
              </w:rPr>
              <w:t>No. of section in the Study</w:t>
            </w:r>
          </w:p>
        </w:tc>
        <w:tc>
          <w:tcPr>
            <w:tcW w:w="11760" w:type="dxa"/>
            <w:shd w:val="clear" w:color="auto" w:fill="00A6A2"/>
            <w:vAlign w:val="center"/>
          </w:tcPr>
          <w:p w14:paraId="4FCFA1FF" w14:textId="77777777" w:rsidR="00E24523" w:rsidRPr="00560103" w:rsidRDefault="00E24523" w:rsidP="00FA389B">
            <w:pPr>
              <w:jc w:val="center"/>
              <w:rPr>
                <w:rFonts w:ascii="Arial" w:hAnsi="Arial" w:cs="Arial"/>
                <w:b/>
                <w:sz w:val="18"/>
                <w:szCs w:val="18"/>
              </w:rPr>
            </w:pPr>
            <w:r>
              <w:rPr>
                <w:rFonts w:ascii="Arial" w:hAnsi="Arial"/>
                <w:b/>
                <w:sz w:val="18"/>
                <w:szCs w:val="18"/>
              </w:rPr>
              <w:t>Comment, opinion or contribution</w:t>
            </w:r>
          </w:p>
        </w:tc>
      </w:tr>
      <w:tr w:rsidR="00E24523" w:rsidRPr="00656CCD" w14:paraId="361252DB" w14:textId="77777777" w:rsidTr="00FA389B">
        <w:tc>
          <w:tcPr>
            <w:tcW w:w="1276" w:type="dxa"/>
            <w:vAlign w:val="center"/>
          </w:tcPr>
          <w:p w14:paraId="27B4278A" w14:textId="77777777" w:rsidR="00E24523" w:rsidRPr="00750D8C" w:rsidRDefault="00E24523" w:rsidP="00FA389B">
            <w:pPr>
              <w:rPr>
                <w:rFonts w:ascii="Arial" w:hAnsi="Arial" w:cs="Arial"/>
                <w:sz w:val="16"/>
                <w:szCs w:val="16"/>
              </w:rPr>
            </w:pPr>
          </w:p>
        </w:tc>
        <w:tc>
          <w:tcPr>
            <w:tcW w:w="11760" w:type="dxa"/>
            <w:vAlign w:val="center"/>
          </w:tcPr>
          <w:p w14:paraId="455DAF13" w14:textId="77777777" w:rsidR="00E24523" w:rsidRPr="00750D8C" w:rsidRDefault="00E24523" w:rsidP="00FA389B">
            <w:pPr>
              <w:rPr>
                <w:rFonts w:ascii="Arial" w:hAnsi="Arial" w:cs="Arial"/>
                <w:sz w:val="16"/>
                <w:szCs w:val="16"/>
              </w:rPr>
            </w:pPr>
          </w:p>
        </w:tc>
      </w:tr>
      <w:tr w:rsidR="00E24523" w:rsidRPr="00656CCD" w14:paraId="4FC9DBCB" w14:textId="77777777" w:rsidTr="00FA389B">
        <w:tc>
          <w:tcPr>
            <w:tcW w:w="1276" w:type="dxa"/>
            <w:vAlign w:val="center"/>
          </w:tcPr>
          <w:p w14:paraId="7801650F" w14:textId="77777777" w:rsidR="00E24523" w:rsidRPr="00750D8C" w:rsidRDefault="00E24523" w:rsidP="00FA389B">
            <w:pPr>
              <w:rPr>
                <w:rFonts w:ascii="Arial" w:hAnsi="Arial" w:cs="Arial"/>
                <w:sz w:val="16"/>
                <w:szCs w:val="16"/>
              </w:rPr>
            </w:pPr>
          </w:p>
        </w:tc>
        <w:tc>
          <w:tcPr>
            <w:tcW w:w="11760" w:type="dxa"/>
            <w:vAlign w:val="center"/>
          </w:tcPr>
          <w:p w14:paraId="688EF7EB" w14:textId="77777777" w:rsidR="00E24523" w:rsidRPr="00750D8C" w:rsidRDefault="00E24523" w:rsidP="00FA389B">
            <w:pPr>
              <w:rPr>
                <w:rFonts w:ascii="Arial" w:hAnsi="Arial" w:cs="Arial"/>
                <w:sz w:val="16"/>
                <w:szCs w:val="16"/>
              </w:rPr>
            </w:pPr>
          </w:p>
        </w:tc>
      </w:tr>
      <w:tr w:rsidR="00E24523" w:rsidRPr="00656CCD" w14:paraId="132B92D5" w14:textId="77777777" w:rsidTr="00FA389B">
        <w:tc>
          <w:tcPr>
            <w:tcW w:w="1276" w:type="dxa"/>
            <w:vAlign w:val="center"/>
          </w:tcPr>
          <w:p w14:paraId="0E01EA65" w14:textId="77777777" w:rsidR="00E24523" w:rsidRPr="00750D8C" w:rsidRDefault="00E24523" w:rsidP="00FA389B">
            <w:pPr>
              <w:rPr>
                <w:rFonts w:ascii="Arial" w:hAnsi="Arial" w:cs="Arial"/>
                <w:sz w:val="16"/>
                <w:szCs w:val="16"/>
              </w:rPr>
            </w:pPr>
          </w:p>
        </w:tc>
        <w:tc>
          <w:tcPr>
            <w:tcW w:w="11760" w:type="dxa"/>
            <w:vAlign w:val="center"/>
          </w:tcPr>
          <w:p w14:paraId="7A89CA87" w14:textId="77777777" w:rsidR="00E24523" w:rsidRPr="00750D8C" w:rsidRDefault="00E24523" w:rsidP="00FA389B">
            <w:pPr>
              <w:rPr>
                <w:rFonts w:ascii="Arial" w:hAnsi="Arial" w:cs="Arial"/>
                <w:sz w:val="16"/>
                <w:szCs w:val="16"/>
              </w:rPr>
            </w:pPr>
          </w:p>
        </w:tc>
      </w:tr>
      <w:tr w:rsidR="00E24523" w:rsidRPr="00656CCD" w14:paraId="0D5DF9A6" w14:textId="77777777" w:rsidTr="00FA389B">
        <w:tc>
          <w:tcPr>
            <w:tcW w:w="1276" w:type="dxa"/>
            <w:vAlign w:val="center"/>
          </w:tcPr>
          <w:p w14:paraId="09ACBD8A" w14:textId="77777777" w:rsidR="00E24523" w:rsidRPr="00750D8C" w:rsidRDefault="00E24523" w:rsidP="00FA389B">
            <w:pPr>
              <w:rPr>
                <w:rFonts w:ascii="Arial" w:hAnsi="Arial" w:cs="Arial"/>
                <w:sz w:val="16"/>
                <w:szCs w:val="16"/>
              </w:rPr>
            </w:pPr>
          </w:p>
        </w:tc>
        <w:tc>
          <w:tcPr>
            <w:tcW w:w="11760" w:type="dxa"/>
            <w:vAlign w:val="center"/>
          </w:tcPr>
          <w:p w14:paraId="42F00789" w14:textId="77777777" w:rsidR="00E24523" w:rsidRPr="00750D8C" w:rsidRDefault="00E24523" w:rsidP="00FA389B">
            <w:pPr>
              <w:rPr>
                <w:rFonts w:ascii="Arial" w:hAnsi="Arial" w:cs="Arial"/>
                <w:sz w:val="16"/>
                <w:szCs w:val="16"/>
              </w:rPr>
            </w:pPr>
          </w:p>
        </w:tc>
      </w:tr>
      <w:tr w:rsidR="00E24523" w:rsidRPr="00656CCD" w14:paraId="0C4F3DEF" w14:textId="77777777" w:rsidTr="00FA389B">
        <w:tc>
          <w:tcPr>
            <w:tcW w:w="1276" w:type="dxa"/>
            <w:vAlign w:val="center"/>
          </w:tcPr>
          <w:p w14:paraId="693F17D7" w14:textId="77777777" w:rsidR="00E24523" w:rsidRPr="00750D8C" w:rsidRDefault="00E24523" w:rsidP="00FA389B">
            <w:pPr>
              <w:rPr>
                <w:rFonts w:ascii="Arial" w:hAnsi="Arial" w:cs="Arial"/>
                <w:sz w:val="16"/>
                <w:szCs w:val="16"/>
              </w:rPr>
            </w:pPr>
          </w:p>
        </w:tc>
        <w:tc>
          <w:tcPr>
            <w:tcW w:w="11760" w:type="dxa"/>
            <w:vAlign w:val="center"/>
          </w:tcPr>
          <w:p w14:paraId="34827856" w14:textId="77777777" w:rsidR="00E24523" w:rsidRPr="00750D8C" w:rsidRDefault="00E24523" w:rsidP="00FA389B">
            <w:pPr>
              <w:rPr>
                <w:rFonts w:ascii="Arial" w:hAnsi="Arial" w:cs="Arial"/>
                <w:sz w:val="16"/>
                <w:szCs w:val="16"/>
              </w:rPr>
            </w:pPr>
          </w:p>
        </w:tc>
      </w:tr>
      <w:tr w:rsidR="00E24523" w:rsidRPr="00656CCD" w14:paraId="2F647E5B" w14:textId="77777777" w:rsidTr="00FA389B">
        <w:tc>
          <w:tcPr>
            <w:tcW w:w="1276" w:type="dxa"/>
            <w:vAlign w:val="center"/>
          </w:tcPr>
          <w:p w14:paraId="5707A043" w14:textId="77777777" w:rsidR="00E24523" w:rsidRPr="00750D8C" w:rsidRDefault="00E24523" w:rsidP="00FA389B">
            <w:pPr>
              <w:rPr>
                <w:rFonts w:ascii="Arial" w:hAnsi="Arial" w:cs="Arial"/>
                <w:sz w:val="16"/>
                <w:szCs w:val="16"/>
              </w:rPr>
            </w:pPr>
          </w:p>
        </w:tc>
        <w:tc>
          <w:tcPr>
            <w:tcW w:w="11760" w:type="dxa"/>
            <w:vAlign w:val="center"/>
          </w:tcPr>
          <w:p w14:paraId="5A9C0B25" w14:textId="77777777" w:rsidR="00E24523" w:rsidRPr="00750D8C" w:rsidRDefault="00E24523" w:rsidP="00FA389B">
            <w:pPr>
              <w:rPr>
                <w:rFonts w:ascii="Arial" w:hAnsi="Arial" w:cs="Arial"/>
                <w:sz w:val="16"/>
                <w:szCs w:val="16"/>
              </w:rPr>
            </w:pPr>
          </w:p>
        </w:tc>
      </w:tr>
      <w:tr w:rsidR="00E24523" w:rsidRPr="00656CCD" w14:paraId="34907792" w14:textId="77777777" w:rsidTr="00FA389B">
        <w:tc>
          <w:tcPr>
            <w:tcW w:w="1276" w:type="dxa"/>
            <w:vAlign w:val="center"/>
          </w:tcPr>
          <w:p w14:paraId="3D5042D3" w14:textId="77777777" w:rsidR="00E24523" w:rsidRPr="00750D8C" w:rsidRDefault="00E24523" w:rsidP="00FA389B">
            <w:pPr>
              <w:rPr>
                <w:rFonts w:ascii="Arial" w:hAnsi="Arial" w:cs="Arial"/>
                <w:sz w:val="16"/>
                <w:szCs w:val="16"/>
              </w:rPr>
            </w:pPr>
          </w:p>
        </w:tc>
        <w:tc>
          <w:tcPr>
            <w:tcW w:w="11760" w:type="dxa"/>
            <w:vAlign w:val="center"/>
          </w:tcPr>
          <w:p w14:paraId="4B20635B" w14:textId="77777777" w:rsidR="00E24523" w:rsidRPr="00750D8C" w:rsidRDefault="00E24523" w:rsidP="00FA389B">
            <w:pPr>
              <w:rPr>
                <w:rFonts w:ascii="Arial" w:hAnsi="Arial" w:cs="Arial"/>
                <w:sz w:val="16"/>
                <w:szCs w:val="16"/>
              </w:rPr>
            </w:pPr>
          </w:p>
        </w:tc>
      </w:tr>
      <w:tr w:rsidR="00E24523" w:rsidRPr="00656CCD" w14:paraId="27B88908" w14:textId="77777777" w:rsidTr="00FA389B">
        <w:tc>
          <w:tcPr>
            <w:tcW w:w="1276" w:type="dxa"/>
            <w:vAlign w:val="center"/>
          </w:tcPr>
          <w:p w14:paraId="2547E9E4" w14:textId="77777777" w:rsidR="00E24523" w:rsidRPr="00750D8C" w:rsidRDefault="00E24523" w:rsidP="00FA389B">
            <w:pPr>
              <w:rPr>
                <w:rFonts w:ascii="Arial" w:hAnsi="Arial" w:cs="Arial"/>
                <w:sz w:val="16"/>
                <w:szCs w:val="16"/>
              </w:rPr>
            </w:pPr>
          </w:p>
        </w:tc>
        <w:tc>
          <w:tcPr>
            <w:tcW w:w="11760" w:type="dxa"/>
            <w:vAlign w:val="center"/>
          </w:tcPr>
          <w:p w14:paraId="52E49F1A" w14:textId="77777777" w:rsidR="00E24523" w:rsidRPr="00750D8C" w:rsidRDefault="00E24523" w:rsidP="00FA389B">
            <w:pPr>
              <w:rPr>
                <w:rFonts w:ascii="Arial" w:hAnsi="Arial" w:cs="Arial"/>
                <w:sz w:val="16"/>
                <w:szCs w:val="16"/>
              </w:rPr>
            </w:pPr>
          </w:p>
        </w:tc>
      </w:tr>
      <w:tr w:rsidR="00E24523" w:rsidRPr="00656CCD" w14:paraId="3990015A" w14:textId="77777777" w:rsidTr="00FA389B">
        <w:tc>
          <w:tcPr>
            <w:tcW w:w="1276" w:type="dxa"/>
            <w:vAlign w:val="center"/>
          </w:tcPr>
          <w:p w14:paraId="6D6DB08D" w14:textId="77777777" w:rsidR="00E24523" w:rsidRPr="00750D8C" w:rsidRDefault="00E24523" w:rsidP="00FA389B">
            <w:pPr>
              <w:rPr>
                <w:rFonts w:ascii="Arial" w:hAnsi="Arial" w:cs="Arial"/>
                <w:sz w:val="16"/>
                <w:szCs w:val="16"/>
              </w:rPr>
            </w:pPr>
          </w:p>
        </w:tc>
        <w:tc>
          <w:tcPr>
            <w:tcW w:w="11760" w:type="dxa"/>
            <w:vAlign w:val="center"/>
          </w:tcPr>
          <w:p w14:paraId="241AF75A" w14:textId="77777777" w:rsidR="00E24523" w:rsidRPr="00750D8C" w:rsidRDefault="00E24523" w:rsidP="00FA389B">
            <w:pPr>
              <w:rPr>
                <w:rFonts w:ascii="Arial" w:hAnsi="Arial" w:cs="Arial"/>
                <w:sz w:val="16"/>
                <w:szCs w:val="16"/>
              </w:rPr>
            </w:pPr>
          </w:p>
        </w:tc>
      </w:tr>
    </w:tbl>
    <w:p w14:paraId="6DD15AB2" w14:textId="77777777" w:rsidR="00383EAF" w:rsidRPr="003E2DCE" w:rsidRDefault="00383EAF" w:rsidP="00875058">
      <w:pPr>
        <w:rPr>
          <w:rFonts w:ascii="Arial" w:hAnsi="Arial" w:cs="Arial"/>
          <w:sz w:val="16"/>
          <w:szCs w:val="16"/>
        </w:rPr>
      </w:pPr>
    </w:p>
    <w:sectPr w:rsidR="00383EAF" w:rsidRPr="003E2DCE" w:rsidSect="00B4447C">
      <w:pgSz w:w="15840" w:h="12240" w:orient="landscape"/>
      <w:pgMar w:top="1701" w:right="1417" w:bottom="1701"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8BABC" w16cid:durableId="1FA6B9FC"/>
  <w16cid:commentId w16cid:paraId="11A6DB43" w16cid:durableId="1FA6BA52"/>
  <w16cid:commentId w16cid:paraId="75920076" w16cid:durableId="1FA6B9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E297" w14:textId="77777777" w:rsidR="002A5095" w:rsidRDefault="002A5095" w:rsidP="0009354D">
      <w:pPr>
        <w:spacing w:after="0" w:line="240" w:lineRule="auto"/>
      </w:pPr>
      <w:r>
        <w:separator/>
      </w:r>
    </w:p>
  </w:endnote>
  <w:endnote w:type="continuationSeparator" w:id="0">
    <w:p w14:paraId="4E40B67E" w14:textId="77777777" w:rsidR="002A5095" w:rsidRDefault="002A5095" w:rsidP="0009354D">
      <w:pPr>
        <w:spacing w:after="0" w:line="240" w:lineRule="auto"/>
      </w:pPr>
      <w:r>
        <w:continuationSeparator/>
      </w:r>
    </w:p>
  </w:endnote>
  <w:endnote w:type="continuationNotice" w:id="1">
    <w:p w14:paraId="2FE467D1" w14:textId="77777777" w:rsidR="002A5095" w:rsidRDefault="002A5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14150852"/>
      <w:docPartObj>
        <w:docPartGallery w:val="Page Numbers (Bottom of Page)"/>
        <w:docPartUnique/>
      </w:docPartObj>
    </w:sdtPr>
    <w:sdtEndPr/>
    <w:sdtContent>
      <w:p w14:paraId="218A0849" w14:textId="1AA38B70" w:rsidR="00FA389B" w:rsidRPr="005C4994" w:rsidRDefault="00FA389B">
        <w:pPr>
          <w:pStyle w:val="Piedepgina"/>
          <w:jc w:val="right"/>
          <w:rPr>
            <w:rFonts w:ascii="Arial" w:hAnsi="Arial" w:cs="Arial"/>
            <w:sz w:val="20"/>
            <w:szCs w:val="20"/>
          </w:rPr>
        </w:pPr>
        <w:r>
          <w:rPr>
            <w:rFonts w:ascii="Arial" w:hAnsi="Arial"/>
            <w:sz w:val="20"/>
            <w:szCs w:val="20"/>
          </w:rPr>
          <w:t xml:space="preserve">Page | </w:t>
        </w:r>
        <w:r w:rsidRPr="005C4994">
          <w:rPr>
            <w:rFonts w:ascii="Arial" w:hAnsi="Arial" w:cs="Arial"/>
            <w:sz w:val="20"/>
            <w:szCs w:val="20"/>
          </w:rPr>
          <w:fldChar w:fldCharType="begin"/>
        </w:r>
        <w:r w:rsidRPr="005C4994">
          <w:rPr>
            <w:rFonts w:ascii="Arial" w:hAnsi="Arial" w:cs="Arial"/>
            <w:sz w:val="20"/>
            <w:szCs w:val="20"/>
          </w:rPr>
          <w:instrText>PAGE   \* MERGEFORMAT</w:instrText>
        </w:r>
        <w:r w:rsidRPr="005C4994">
          <w:rPr>
            <w:rFonts w:ascii="Arial" w:hAnsi="Arial" w:cs="Arial"/>
            <w:sz w:val="20"/>
            <w:szCs w:val="20"/>
          </w:rPr>
          <w:fldChar w:fldCharType="separate"/>
        </w:r>
        <w:r w:rsidR="004E12B6">
          <w:rPr>
            <w:rFonts w:ascii="Arial" w:hAnsi="Arial" w:cs="Arial"/>
            <w:noProof/>
            <w:sz w:val="20"/>
            <w:szCs w:val="20"/>
          </w:rPr>
          <w:t>3</w:t>
        </w:r>
        <w:r w:rsidRPr="005C4994">
          <w:rPr>
            <w:rFonts w:ascii="Arial" w:hAnsi="Arial" w:cs="Arial"/>
            <w:sz w:val="20"/>
            <w:szCs w:val="20"/>
          </w:rPr>
          <w:fldChar w:fldCharType="end"/>
        </w:r>
        <w:r>
          <w:rPr>
            <w:rFonts w:ascii="Arial" w:hAnsi="Arial"/>
            <w:sz w:val="20"/>
            <w:szCs w:val="20"/>
          </w:rPr>
          <w:t xml:space="preserve"> </w:t>
        </w:r>
      </w:p>
    </w:sdtContent>
  </w:sdt>
  <w:p w14:paraId="476CAF49" w14:textId="77777777" w:rsidR="00FA389B" w:rsidRPr="005C4994" w:rsidRDefault="00FA389B">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F4754" w14:textId="77777777" w:rsidR="002A5095" w:rsidRDefault="002A5095" w:rsidP="0009354D">
      <w:pPr>
        <w:spacing w:after="0" w:line="240" w:lineRule="auto"/>
      </w:pPr>
      <w:r>
        <w:separator/>
      </w:r>
    </w:p>
  </w:footnote>
  <w:footnote w:type="continuationSeparator" w:id="0">
    <w:p w14:paraId="756C95F6" w14:textId="77777777" w:rsidR="002A5095" w:rsidRDefault="002A5095" w:rsidP="0009354D">
      <w:pPr>
        <w:spacing w:after="0" w:line="240" w:lineRule="auto"/>
      </w:pPr>
      <w:r>
        <w:continuationSeparator/>
      </w:r>
    </w:p>
  </w:footnote>
  <w:footnote w:type="continuationNotice" w:id="1">
    <w:p w14:paraId="6B164FC9" w14:textId="77777777" w:rsidR="002A5095" w:rsidRDefault="002A5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38AD" w14:textId="0F73F56D" w:rsidR="00FA389B" w:rsidRPr="00BF1E7A" w:rsidRDefault="00FA389B" w:rsidP="00BF1E7A">
    <w:pPr>
      <w:pStyle w:val="Encabezado"/>
      <w:jc w:val="right"/>
      <w:rPr>
        <w:rFonts w:ascii="Arial" w:hAnsi="Arial" w:cs="Arial"/>
        <w:b/>
        <w:color w:val="808080" w:themeColor="background1" w:themeShade="80"/>
        <w:sz w:val="20"/>
        <w:szCs w:val="20"/>
      </w:rPr>
    </w:pPr>
    <w:r w:rsidRPr="000F2BB7">
      <w:rPr>
        <w:b/>
        <w:noProof/>
        <w:color w:val="808080" w:themeColor="background1" w:themeShade="80"/>
        <w:lang w:val="es-MX" w:eastAsia="es-MX"/>
      </w:rPr>
      <w:drawing>
        <wp:anchor distT="0" distB="762" distL="114300" distR="114300" simplePos="0" relativeHeight="251658240" behindDoc="1" locked="0" layoutInCell="1" allowOverlap="1" wp14:anchorId="24232839" wp14:editId="05342B91">
          <wp:simplePos x="0" y="0"/>
          <wp:positionH relativeFrom="margin">
            <wp:posOffset>-62645</wp:posOffset>
          </wp:positionH>
          <wp:positionV relativeFrom="paragraph">
            <wp:posOffset>-241766</wp:posOffset>
          </wp:positionV>
          <wp:extent cx="1036955" cy="712978"/>
          <wp:effectExtent l="0" t="0" r="0" b="0"/>
          <wp:wrapNone/>
          <wp:docPr id="1" name="Imagen 1"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r w:rsidRPr="000F2BB7">
      <w:rPr>
        <w:rFonts w:ascii="Arial" w:hAnsi="Arial"/>
        <w:b/>
        <w:color w:val="808080" w:themeColor="background1" w:themeShade="80"/>
        <w:sz w:val="20"/>
        <w:szCs w:val="20"/>
      </w:rPr>
      <w:t>Public Consultation for Integration to collect</w:t>
    </w:r>
    <w:r>
      <w:rPr>
        <w:rFonts w:ascii="Arial" w:hAnsi="Arial"/>
        <w:b/>
        <w:color w:val="808080" w:themeColor="background1" w:themeShade="80"/>
        <w:sz w:val="20"/>
        <w:szCs w:val="20"/>
      </w:rPr>
      <w:t xml:space="preserve"> useful information </w:t>
    </w:r>
  </w:p>
  <w:p w14:paraId="77612E58" w14:textId="14FD049E" w:rsidR="00FA389B" w:rsidRPr="00BF1E7A" w:rsidRDefault="00FA389B" w:rsidP="00BF1E7A">
    <w:pPr>
      <w:pStyle w:val="Encabezado"/>
      <w:jc w:val="right"/>
      <w:rPr>
        <w:b/>
        <w:color w:val="808080" w:themeColor="background1" w:themeShade="80"/>
      </w:rPr>
    </w:pPr>
    <w:r>
      <w:rPr>
        <w:rFonts w:ascii="Arial" w:hAnsi="Arial"/>
        <w:b/>
        <w:color w:val="808080" w:themeColor="background1" w:themeShade="80"/>
        <w:sz w:val="20"/>
        <w:szCs w:val="20"/>
      </w:rPr>
      <w:t>for the design of “Spectr</w:t>
    </w:r>
    <w:r w:rsidR="0064320B">
      <w:rPr>
        <w:rFonts w:ascii="Arial" w:hAnsi="Arial"/>
        <w:b/>
        <w:color w:val="808080" w:themeColor="background1" w:themeShade="80"/>
        <w:sz w:val="20"/>
        <w:szCs w:val="20"/>
      </w:rPr>
      <w:t>um</w:t>
    </w:r>
    <w:r>
      <w:rPr>
        <w:rFonts w:ascii="Arial" w:hAnsi="Arial"/>
        <w:b/>
        <w:color w:val="808080" w:themeColor="background1" w:themeShade="80"/>
        <w:sz w:val="20"/>
        <w:szCs w:val="20"/>
      </w:rPr>
      <w:t xml:space="preserve"> Efficiency Metrics”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EB9"/>
    <w:multiLevelType w:val="hybridMultilevel"/>
    <w:tmpl w:val="390038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C3D25"/>
    <w:multiLevelType w:val="hybridMultilevel"/>
    <w:tmpl w:val="D9C62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D3896"/>
    <w:multiLevelType w:val="multilevel"/>
    <w:tmpl w:val="A18AC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2A638E4"/>
    <w:multiLevelType w:val="hybridMultilevel"/>
    <w:tmpl w:val="8872180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0F6855"/>
    <w:multiLevelType w:val="hybridMultilevel"/>
    <w:tmpl w:val="9FC019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E857CA"/>
    <w:multiLevelType w:val="hybridMultilevel"/>
    <w:tmpl w:val="D1228EF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727940"/>
    <w:multiLevelType w:val="hybridMultilevel"/>
    <w:tmpl w:val="7566367A"/>
    <w:lvl w:ilvl="0" w:tplc="7E504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7F0B6E"/>
    <w:multiLevelType w:val="hybridMultilevel"/>
    <w:tmpl w:val="F724E848"/>
    <w:lvl w:ilvl="0" w:tplc="38D49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AF"/>
    <w:rsid w:val="00015DC6"/>
    <w:rsid w:val="00020822"/>
    <w:rsid w:val="000426AE"/>
    <w:rsid w:val="00051A29"/>
    <w:rsid w:val="000524A9"/>
    <w:rsid w:val="0005626F"/>
    <w:rsid w:val="00080CB9"/>
    <w:rsid w:val="0009354D"/>
    <w:rsid w:val="000947B3"/>
    <w:rsid w:val="00097657"/>
    <w:rsid w:val="000A3610"/>
    <w:rsid w:val="000C781C"/>
    <w:rsid w:val="000C7AF2"/>
    <w:rsid w:val="000D236C"/>
    <w:rsid w:val="000F2BB7"/>
    <w:rsid w:val="00123D01"/>
    <w:rsid w:val="00124B95"/>
    <w:rsid w:val="00135166"/>
    <w:rsid w:val="00135ADE"/>
    <w:rsid w:val="001437B0"/>
    <w:rsid w:val="0015687F"/>
    <w:rsid w:val="001613C0"/>
    <w:rsid w:val="00166656"/>
    <w:rsid w:val="0017059E"/>
    <w:rsid w:val="001932CD"/>
    <w:rsid w:val="001A1161"/>
    <w:rsid w:val="001A5438"/>
    <w:rsid w:val="001B4CDF"/>
    <w:rsid w:val="001C699F"/>
    <w:rsid w:val="001D7329"/>
    <w:rsid w:val="001F516F"/>
    <w:rsid w:val="0020152E"/>
    <w:rsid w:val="00201588"/>
    <w:rsid w:val="00210D1E"/>
    <w:rsid w:val="002122E6"/>
    <w:rsid w:val="00237126"/>
    <w:rsid w:val="002508D3"/>
    <w:rsid w:val="00276B5F"/>
    <w:rsid w:val="002A5095"/>
    <w:rsid w:val="002C4F80"/>
    <w:rsid w:val="002D20C5"/>
    <w:rsid w:val="00300063"/>
    <w:rsid w:val="00303A2B"/>
    <w:rsid w:val="00307ED1"/>
    <w:rsid w:val="003129AE"/>
    <w:rsid w:val="0035440A"/>
    <w:rsid w:val="00357222"/>
    <w:rsid w:val="00367C4F"/>
    <w:rsid w:val="00371342"/>
    <w:rsid w:val="00383EAF"/>
    <w:rsid w:val="003A1142"/>
    <w:rsid w:val="003B0A5B"/>
    <w:rsid w:val="003E2DCE"/>
    <w:rsid w:val="004003F2"/>
    <w:rsid w:val="00403483"/>
    <w:rsid w:val="00407280"/>
    <w:rsid w:val="0041637B"/>
    <w:rsid w:val="004216C6"/>
    <w:rsid w:val="004358E0"/>
    <w:rsid w:val="00437C4D"/>
    <w:rsid w:val="0044249F"/>
    <w:rsid w:val="00461309"/>
    <w:rsid w:val="004619EF"/>
    <w:rsid w:val="004736F8"/>
    <w:rsid w:val="00474385"/>
    <w:rsid w:val="0048305F"/>
    <w:rsid w:val="004849A5"/>
    <w:rsid w:val="004A2A83"/>
    <w:rsid w:val="004A6518"/>
    <w:rsid w:val="004B220C"/>
    <w:rsid w:val="004B3571"/>
    <w:rsid w:val="004B65D5"/>
    <w:rsid w:val="004E0490"/>
    <w:rsid w:val="004E12B6"/>
    <w:rsid w:val="004F38FD"/>
    <w:rsid w:val="00500A15"/>
    <w:rsid w:val="00506928"/>
    <w:rsid w:val="005268EE"/>
    <w:rsid w:val="00537E57"/>
    <w:rsid w:val="00545D57"/>
    <w:rsid w:val="00557930"/>
    <w:rsid w:val="00560103"/>
    <w:rsid w:val="005A0989"/>
    <w:rsid w:val="005A2148"/>
    <w:rsid w:val="005A426F"/>
    <w:rsid w:val="005B0E0C"/>
    <w:rsid w:val="005B599B"/>
    <w:rsid w:val="005C4994"/>
    <w:rsid w:val="005D5A9F"/>
    <w:rsid w:val="005E2C05"/>
    <w:rsid w:val="00605393"/>
    <w:rsid w:val="00627F89"/>
    <w:rsid w:val="00637B76"/>
    <w:rsid w:val="0064320B"/>
    <w:rsid w:val="00656CCD"/>
    <w:rsid w:val="00674A85"/>
    <w:rsid w:val="0068455F"/>
    <w:rsid w:val="00697A74"/>
    <w:rsid w:val="006E30DB"/>
    <w:rsid w:val="006F6849"/>
    <w:rsid w:val="007058F6"/>
    <w:rsid w:val="00714FDB"/>
    <w:rsid w:val="007170F6"/>
    <w:rsid w:val="007258BD"/>
    <w:rsid w:val="00736240"/>
    <w:rsid w:val="007435A0"/>
    <w:rsid w:val="00744B77"/>
    <w:rsid w:val="00750D8C"/>
    <w:rsid w:val="00751254"/>
    <w:rsid w:val="00751C41"/>
    <w:rsid w:val="00753C69"/>
    <w:rsid w:val="007558BE"/>
    <w:rsid w:val="00760FDC"/>
    <w:rsid w:val="0079282E"/>
    <w:rsid w:val="00792C7A"/>
    <w:rsid w:val="00795CE1"/>
    <w:rsid w:val="007963F1"/>
    <w:rsid w:val="007B1217"/>
    <w:rsid w:val="007E690C"/>
    <w:rsid w:val="007F5CDE"/>
    <w:rsid w:val="007F7EB6"/>
    <w:rsid w:val="00812898"/>
    <w:rsid w:val="00813CC1"/>
    <w:rsid w:val="00816C6B"/>
    <w:rsid w:val="00846934"/>
    <w:rsid w:val="00850D96"/>
    <w:rsid w:val="00857F9F"/>
    <w:rsid w:val="008604A5"/>
    <w:rsid w:val="00875058"/>
    <w:rsid w:val="00875A0E"/>
    <w:rsid w:val="008812F8"/>
    <w:rsid w:val="0088760D"/>
    <w:rsid w:val="00890823"/>
    <w:rsid w:val="008908F6"/>
    <w:rsid w:val="008A0C44"/>
    <w:rsid w:val="008A3583"/>
    <w:rsid w:val="008A6670"/>
    <w:rsid w:val="008B0FD6"/>
    <w:rsid w:val="008C3444"/>
    <w:rsid w:val="008D21AC"/>
    <w:rsid w:val="008E23C9"/>
    <w:rsid w:val="00945578"/>
    <w:rsid w:val="009558FE"/>
    <w:rsid w:val="009571E9"/>
    <w:rsid w:val="0096492E"/>
    <w:rsid w:val="00971BE8"/>
    <w:rsid w:val="00994A4F"/>
    <w:rsid w:val="009A1037"/>
    <w:rsid w:val="009B0A68"/>
    <w:rsid w:val="009B2E55"/>
    <w:rsid w:val="009B6BC9"/>
    <w:rsid w:val="009C7A3E"/>
    <w:rsid w:val="009E07FD"/>
    <w:rsid w:val="009E238B"/>
    <w:rsid w:val="00A00721"/>
    <w:rsid w:val="00A0726B"/>
    <w:rsid w:val="00A214BE"/>
    <w:rsid w:val="00A3112C"/>
    <w:rsid w:val="00A46963"/>
    <w:rsid w:val="00A50E39"/>
    <w:rsid w:val="00A5236A"/>
    <w:rsid w:val="00A527D1"/>
    <w:rsid w:val="00A62423"/>
    <w:rsid w:val="00AA27D8"/>
    <w:rsid w:val="00AA2807"/>
    <w:rsid w:val="00AA74A2"/>
    <w:rsid w:val="00AB3C10"/>
    <w:rsid w:val="00AC437B"/>
    <w:rsid w:val="00AD2F61"/>
    <w:rsid w:val="00AD4215"/>
    <w:rsid w:val="00AE23E2"/>
    <w:rsid w:val="00AF7011"/>
    <w:rsid w:val="00AF7F1E"/>
    <w:rsid w:val="00B010DC"/>
    <w:rsid w:val="00B23E43"/>
    <w:rsid w:val="00B24D66"/>
    <w:rsid w:val="00B3724D"/>
    <w:rsid w:val="00B40091"/>
    <w:rsid w:val="00B418A6"/>
    <w:rsid w:val="00B44027"/>
    <w:rsid w:val="00B4447C"/>
    <w:rsid w:val="00B45319"/>
    <w:rsid w:val="00B63A2F"/>
    <w:rsid w:val="00B73024"/>
    <w:rsid w:val="00B824DD"/>
    <w:rsid w:val="00B879B5"/>
    <w:rsid w:val="00BA0BFD"/>
    <w:rsid w:val="00BA4770"/>
    <w:rsid w:val="00BA74B5"/>
    <w:rsid w:val="00BB13D6"/>
    <w:rsid w:val="00BB307D"/>
    <w:rsid w:val="00BD6166"/>
    <w:rsid w:val="00BD6576"/>
    <w:rsid w:val="00BE22CB"/>
    <w:rsid w:val="00BF1E7A"/>
    <w:rsid w:val="00BF45D9"/>
    <w:rsid w:val="00C14FE5"/>
    <w:rsid w:val="00C50FDE"/>
    <w:rsid w:val="00C6223E"/>
    <w:rsid w:val="00C637C8"/>
    <w:rsid w:val="00CD1C0F"/>
    <w:rsid w:val="00CE6754"/>
    <w:rsid w:val="00CE6E9F"/>
    <w:rsid w:val="00CF3240"/>
    <w:rsid w:val="00D114B9"/>
    <w:rsid w:val="00D17245"/>
    <w:rsid w:val="00D24A03"/>
    <w:rsid w:val="00D416A0"/>
    <w:rsid w:val="00D44DED"/>
    <w:rsid w:val="00D534E3"/>
    <w:rsid w:val="00D84FCA"/>
    <w:rsid w:val="00D90DDF"/>
    <w:rsid w:val="00DA78B0"/>
    <w:rsid w:val="00DB1675"/>
    <w:rsid w:val="00DB4922"/>
    <w:rsid w:val="00DB4D48"/>
    <w:rsid w:val="00DB4F35"/>
    <w:rsid w:val="00DB512D"/>
    <w:rsid w:val="00DF68A1"/>
    <w:rsid w:val="00DF77CB"/>
    <w:rsid w:val="00E07087"/>
    <w:rsid w:val="00E161A1"/>
    <w:rsid w:val="00E24523"/>
    <w:rsid w:val="00E25EF0"/>
    <w:rsid w:val="00E2725F"/>
    <w:rsid w:val="00E429A6"/>
    <w:rsid w:val="00E6558B"/>
    <w:rsid w:val="00E701C4"/>
    <w:rsid w:val="00E74416"/>
    <w:rsid w:val="00E774A6"/>
    <w:rsid w:val="00E90FA9"/>
    <w:rsid w:val="00E93751"/>
    <w:rsid w:val="00EA0DF7"/>
    <w:rsid w:val="00EA66CD"/>
    <w:rsid w:val="00EB1BD9"/>
    <w:rsid w:val="00EC7D71"/>
    <w:rsid w:val="00EE237A"/>
    <w:rsid w:val="00F420A7"/>
    <w:rsid w:val="00F44B42"/>
    <w:rsid w:val="00FA2477"/>
    <w:rsid w:val="00FA389B"/>
    <w:rsid w:val="00FA3E99"/>
    <w:rsid w:val="00FA55C9"/>
    <w:rsid w:val="00FB36E4"/>
    <w:rsid w:val="00FD2D26"/>
    <w:rsid w:val="00FE0964"/>
    <w:rsid w:val="00FE14B2"/>
    <w:rsid w:val="00FF0298"/>
    <w:rsid w:val="00FF6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9450"/>
  <w15:chartTrackingRefBased/>
  <w15:docId w15:val="{F579AF09-F037-4A9D-B707-A97F1ED3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35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354D"/>
  </w:style>
  <w:style w:type="paragraph" w:styleId="Piedepgina">
    <w:name w:val="footer"/>
    <w:basedOn w:val="Normal"/>
    <w:link w:val="PiedepginaCar"/>
    <w:uiPriority w:val="99"/>
    <w:unhideWhenUsed/>
    <w:rsid w:val="000935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354D"/>
  </w:style>
  <w:style w:type="paragraph" w:styleId="Prrafodelista">
    <w:name w:val="List Paragraph"/>
    <w:basedOn w:val="Normal"/>
    <w:uiPriority w:val="34"/>
    <w:qFormat/>
    <w:rsid w:val="003E2DCE"/>
    <w:pPr>
      <w:ind w:left="720"/>
      <w:contextualSpacing/>
    </w:pPr>
  </w:style>
  <w:style w:type="character" w:styleId="Hipervnculo">
    <w:name w:val="Hyperlink"/>
    <w:basedOn w:val="Fuentedeprrafopredeter"/>
    <w:uiPriority w:val="99"/>
    <w:unhideWhenUsed/>
    <w:rsid w:val="003E2DCE"/>
    <w:rPr>
      <w:color w:val="0563C1" w:themeColor="hyperlink"/>
      <w:u w:val="single"/>
    </w:rPr>
  </w:style>
  <w:style w:type="table" w:styleId="Tablaconcuadrcula">
    <w:name w:val="Table Grid"/>
    <w:basedOn w:val="Tablanormal"/>
    <w:uiPriority w:val="39"/>
    <w:rsid w:val="003B0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A5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438"/>
    <w:rPr>
      <w:rFonts w:ascii="Segoe UI" w:hAnsi="Segoe UI" w:cs="Segoe UI"/>
      <w:sz w:val="18"/>
      <w:szCs w:val="18"/>
    </w:rPr>
  </w:style>
  <w:style w:type="character" w:styleId="Refdecomentario">
    <w:name w:val="annotation reference"/>
    <w:basedOn w:val="Fuentedeprrafopredeter"/>
    <w:uiPriority w:val="99"/>
    <w:semiHidden/>
    <w:unhideWhenUsed/>
    <w:rsid w:val="00A0726B"/>
    <w:rPr>
      <w:sz w:val="16"/>
      <w:szCs w:val="16"/>
    </w:rPr>
  </w:style>
  <w:style w:type="paragraph" w:styleId="Textocomentario">
    <w:name w:val="annotation text"/>
    <w:basedOn w:val="Normal"/>
    <w:link w:val="TextocomentarioCar"/>
    <w:uiPriority w:val="99"/>
    <w:semiHidden/>
    <w:unhideWhenUsed/>
    <w:rsid w:val="00A072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726B"/>
    <w:rPr>
      <w:sz w:val="20"/>
      <w:szCs w:val="20"/>
    </w:rPr>
  </w:style>
  <w:style w:type="paragraph" w:styleId="Asuntodelcomentario">
    <w:name w:val="annotation subject"/>
    <w:basedOn w:val="Textocomentario"/>
    <w:next w:val="Textocomentario"/>
    <w:link w:val="AsuntodelcomentarioCar"/>
    <w:uiPriority w:val="99"/>
    <w:semiHidden/>
    <w:unhideWhenUsed/>
    <w:rsid w:val="00A0726B"/>
    <w:rPr>
      <w:b/>
      <w:bCs/>
    </w:rPr>
  </w:style>
  <w:style w:type="character" w:customStyle="1" w:styleId="AsuntodelcomentarioCar">
    <w:name w:val="Asunto del comentario Car"/>
    <w:basedOn w:val="TextocomentarioCar"/>
    <w:link w:val="Asuntodelcomentario"/>
    <w:uiPriority w:val="99"/>
    <w:semiHidden/>
    <w:rsid w:val="00A072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rdo.martinezc@ift.org.mx"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nai.org.mx" TargetMode="External"/><Relationship Id="rId2" Type="http://schemas.openxmlformats.org/officeDocument/2006/relationships/customXml" Target="../customXml/item2.xml"/><Relationship Id="rId16" Type="http://schemas.openxmlformats.org/officeDocument/2006/relationships/hyperlink" Target="mailto:roberto.castro@ift.org.m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e@ift.org.mx" TargetMode="External"/><Relationship Id="rId5" Type="http://schemas.openxmlformats.org/officeDocument/2006/relationships/numbering" Target="numbering.xml"/><Relationship Id="rId15" Type="http://schemas.openxmlformats.org/officeDocument/2006/relationships/hyperlink" Target="mailto:gerardo.martinezc@ift.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o.castro@ift.org.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1B7E4B4CB12D42BC4FEC0312ACD800" ma:contentTypeVersion="0" ma:contentTypeDescription="Crear nuevo documento." ma:contentTypeScope="" ma:versionID="c979698695b406e086ace8027e90edce">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6046C-1A10-4758-B634-6135C1CE8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6B1F6-03D2-40AF-AF62-C224B61510E5}">
  <ds:schemaRefs>
    <ds:schemaRef ds:uri="http://schemas.microsoft.com/sharepoint/v3/contenttype/forms"/>
  </ds:schemaRefs>
</ds:datastoreItem>
</file>

<file path=customXml/itemProps3.xml><?xml version="1.0" encoding="utf-8"?>
<ds:datastoreItem xmlns:ds="http://schemas.openxmlformats.org/officeDocument/2006/customXml" ds:itemID="{CC86F198-C64C-46A9-B791-70B1E68F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5B6CAE-74F3-4FC2-972F-09BA26EE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2803</Words>
  <Characters>15418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Martinez Cruz</dc:creator>
  <cp:keywords/>
  <dc:description/>
  <cp:lastModifiedBy>Alexis Pina Vega</cp:lastModifiedBy>
  <cp:revision>2</cp:revision>
  <dcterms:created xsi:type="dcterms:W3CDTF">2018-11-30T15:22:00Z</dcterms:created>
  <dcterms:modified xsi:type="dcterms:W3CDTF">2018-11-30T15:22:00Z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0x010100CF1B7E4B4CB12D42BC4FEC0312ACD800</vt:lpwstr>
  </property>
</Properties>
</file>