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8C" w:rsidRDefault="00A1321B" w:rsidP="005D7727">
      <w:pPr>
        <w:pStyle w:val="Ttulo1"/>
        <w:spacing w:before="120" w:after="0" w:line="276" w:lineRule="auto"/>
        <w:jc w:val="both"/>
      </w:pPr>
      <w:bookmarkStart w:id="0" w:name="_Toc484022078"/>
      <w:r w:rsidRPr="00F956E8">
        <w:t xml:space="preserve">ACUERDO MEDIANTE EL CUAL EL PLENO DEL INSTITUTO FEDERAL DE TELECOMUNICACIONES </w:t>
      </w:r>
      <w:r w:rsidR="00BC543F" w:rsidRPr="00BC543F">
        <w:t xml:space="preserve">DETERMINA SOMETER A CONSULTA PÚBLICA EL </w:t>
      </w:r>
      <w:r w:rsidR="00B5485D">
        <w:t>“</w:t>
      </w:r>
      <w:r w:rsidR="00BC543F" w:rsidRPr="00BC543F">
        <w:t>ANTEPROYECTO DE</w:t>
      </w:r>
      <w:r w:rsidR="007C3FD2">
        <w:t xml:space="preserve"> MODIFICACIÓN A</w:t>
      </w:r>
      <w:r w:rsidR="007C3FD2" w:rsidRPr="00F956E8">
        <w:t xml:space="preserve"> LA METODOLOGÍA DE SEPARACIÓN CONTABLE APLICABLE A LOS AGENTES ECONÓMICOS PREPONDERANTES, AGENTES DECLARADOS CON PODER SUSTANCIAL DE MERCADO Y REDES COMPARTIDAS MAYORISTAS</w:t>
      </w:r>
      <w:r w:rsidR="00641545">
        <w:t xml:space="preserve">, APROBADA </w:t>
      </w:r>
      <w:r w:rsidR="00641545" w:rsidRPr="00B71232">
        <w:t xml:space="preserve">MEDIANTE ACUERDO P/IFT/191217/914 </w:t>
      </w:r>
      <w:r w:rsidR="003C7D41" w:rsidRPr="00B71232">
        <w:t>Y MODIFICADA MEDIANTE ACUERDO P/IFT/171018/624</w:t>
      </w:r>
      <w:r w:rsidR="00B5485D" w:rsidRPr="00B71232">
        <w:t>”</w:t>
      </w:r>
      <w:r w:rsidR="00482B97" w:rsidRPr="00B71232">
        <w:t>.</w:t>
      </w:r>
      <w:bookmarkStart w:id="1" w:name="_Toc484022079"/>
      <w:bookmarkEnd w:id="0"/>
    </w:p>
    <w:p w:rsidR="005D7727" w:rsidRPr="005D7727" w:rsidRDefault="005D7727" w:rsidP="005D7727"/>
    <w:p w:rsidR="00A1321B" w:rsidRDefault="00A1321B" w:rsidP="005D7727">
      <w:pPr>
        <w:pStyle w:val="Ttulo1"/>
        <w:spacing w:before="120" w:after="0" w:line="276" w:lineRule="auto"/>
      </w:pPr>
      <w:r w:rsidRPr="00B71232">
        <w:t>ANTECEDENTES</w:t>
      </w:r>
      <w:bookmarkEnd w:id="1"/>
    </w:p>
    <w:p w:rsidR="005D7727" w:rsidRPr="005D7727" w:rsidRDefault="005D7727" w:rsidP="005D7727"/>
    <w:p w:rsidR="00664F3A" w:rsidRPr="005D7727" w:rsidRDefault="00664F3A" w:rsidP="00877611">
      <w:pPr>
        <w:pStyle w:val="Antecedentes"/>
        <w:numPr>
          <w:ilvl w:val="0"/>
          <w:numId w:val="26"/>
        </w:numPr>
        <w:spacing w:after="0"/>
        <w:rPr>
          <w:rFonts w:eastAsia="Times New Roman"/>
          <w:b/>
          <w:lang w:val="es-ES" w:eastAsia="es-ES"/>
        </w:rPr>
      </w:pPr>
      <w:r w:rsidRPr="00B71232">
        <w:rPr>
          <w:rFonts w:eastAsia="Times New Roman"/>
          <w:b/>
          <w:lang w:val="es-ES" w:eastAsia="es-ES"/>
        </w:rPr>
        <w:t>Dec</w:t>
      </w:r>
      <w:r w:rsidR="003D1373">
        <w:rPr>
          <w:rFonts w:eastAsia="Times New Roman"/>
          <w:b/>
          <w:lang w:val="es-ES" w:eastAsia="es-ES"/>
        </w:rPr>
        <w:t>reto de Reforma Constitucional.</w:t>
      </w:r>
      <w:r w:rsidRPr="00B71232">
        <w:rPr>
          <w:rFonts w:eastAsia="Times New Roman"/>
          <w:b/>
          <w:lang w:val="es-ES" w:eastAsia="es-ES"/>
        </w:rPr>
        <w:t xml:space="preserve"> </w:t>
      </w:r>
      <w:r w:rsidRPr="00B71232">
        <w:rPr>
          <w:rFonts w:eastAsia="Times New Roman"/>
          <w:lang w:val="es-ES" w:eastAsia="es-ES"/>
        </w:rPr>
        <w:t xml:space="preserve">El 11 de junio de 2013 fue publicado en el </w:t>
      </w:r>
      <w:r w:rsidR="002B5D14" w:rsidRPr="00B71232">
        <w:rPr>
          <w:rFonts w:eastAsia="Times New Roman"/>
          <w:lang w:val="es-ES" w:eastAsia="es-ES"/>
        </w:rPr>
        <w:t>Diario Oficial de la Federación (en lo sucesivo, el “</w:t>
      </w:r>
      <w:r w:rsidRPr="00B71232">
        <w:rPr>
          <w:rFonts w:eastAsia="Times New Roman"/>
          <w:lang w:val="es-ES" w:eastAsia="es-ES"/>
        </w:rPr>
        <w:t>DOF</w:t>
      </w:r>
      <w:r w:rsidR="002B5D14" w:rsidRPr="00B71232">
        <w:rPr>
          <w:rFonts w:eastAsia="Times New Roman"/>
          <w:lang w:val="es-ES" w:eastAsia="es-ES"/>
        </w:rPr>
        <w:t>”)</w:t>
      </w:r>
      <w:r w:rsidRPr="00B71232">
        <w:rPr>
          <w:rFonts w:eastAsia="Times New Roman"/>
          <w:lang w:val="es-ES" w:eastAsia="es-ES"/>
        </w:rPr>
        <w:t xml:space="preserve"> el “Decreto por el que se reforman y adicionan diversas disposiciones de los artículos </w:t>
      </w:r>
      <w:r w:rsidR="006111D2" w:rsidRPr="00B71232">
        <w:rPr>
          <w:rFonts w:eastAsia="Times New Roman"/>
          <w:lang w:val="es-ES" w:eastAsia="es-ES"/>
        </w:rPr>
        <w:t>6o., 7o.,</w:t>
      </w:r>
      <w:r w:rsidRPr="00B71232">
        <w:rPr>
          <w:rFonts w:eastAsia="Times New Roman"/>
          <w:lang w:val="es-ES" w:eastAsia="es-ES"/>
        </w:rPr>
        <w:t xml:space="preserve"> 27, 28, 73, 78, 94 y 105 de la Constitución Política de los Estados Unidos Mexicanos, en materia de telecomunicaciones” (en lo sucesivo, el “Decreto”),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664F3A" w:rsidRDefault="00664F3A" w:rsidP="00877611">
      <w:pPr>
        <w:pStyle w:val="Antecedentes"/>
        <w:numPr>
          <w:ilvl w:val="0"/>
          <w:numId w:val="26"/>
        </w:numPr>
        <w:spacing w:after="0"/>
      </w:pPr>
      <w:r w:rsidRPr="00B71232">
        <w:rPr>
          <w:b/>
        </w:rPr>
        <w:t>Decreto por el</w:t>
      </w:r>
      <w:r w:rsidR="00D63A70" w:rsidRPr="00B71232">
        <w:rPr>
          <w:b/>
        </w:rPr>
        <w:t xml:space="preserve"> </w:t>
      </w:r>
      <w:r w:rsidRPr="00B71232">
        <w:rPr>
          <w:b/>
        </w:rPr>
        <w:t>que se expide la Ley Federal de Tele</w:t>
      </w:r>
      <w:r w:rsidR="003D1373">
        <w:rPr>
          <w:b/>
        </w:rPr>
        <w:t>comunicaciones y Radiodifusión.</w:t>
      </w:r>
      <w:r w:rsidRPr="00B71232">
        <w:rPr>
          <w:b/>
        </w:rPr>
        <w:t xml:space="preserve"> </w:t>
      </w:r>
      <w:r w:rsidRPr="00B71232">
        <w:t xml:space="preserve">El 14 de julio de 2014, fue publicado en el DOF el </w:t>
      </w:r>
      <w:r w:rsidRPr="00B71232">
        <w:rPr>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B71232">
        <w:t>mediante el cual se expidió la Ley Federal de Telecomunicaciones y Radiodifusión (en lo sucesivo, la “LFTR”).</w:t>
      </w:r>
    </w:p>
    <w:p w:rsidR="00664F3A" w:rsidRPr="00B71232" w:rsidRDefault="003D1373" w:rsidP="00877611">
      <w:pPr>
        <w:pStyle w:val="Antecedentes"/>
        <w:numPr>
          <w:ilvl w:val="0"/>
          <w:numId w:val="26"/>
        </w:numPr>
        <w:spacing w:after="0"/>
      </w:pPr>
      <w:r>
        <w:rPr>
          <w:b/>
        </w:rPr>
        <w:t>Estatuto Orgánico.</w:t>
      </w:r>
      <w:r w:rsidR="00664F3A" w:rsidRPr="00B71232">
        <w:rPr>
          <w:b/>
        </w:rPr>
        <w:t xml:space="preserve"> </w:t>
      </w:r>
      <w:r w:rsidR="00664F3A" w:rsidRPr="00B71232">
        <w:t>El 4 de septiembre de 2014, se publicó en el DOF el “</w:t>
      </w:r>
      <w:r w:rsidR="00664F3A" w:rsidRPr="00B71232">
        <w:rPr>
          <w:i/>
        </w:rPr>
        <w:t>Estatuto Orgánico del Instituto Federal de Telecomunicaciones</w:t>
      </w:r>
      <w:r w:rsidR="00664F3A" w:rsidRPr="00B71232">
        <w:t>” (en lo sucesivo, el “Estatuto”), mismo que entró en vigor el 26 de septiembre de 2014</w:t>
      </w:r>
      <w:r w:rsidR="00FC3493" w:rsidRPr="00B71232">
        <w:t xml:space="preserve"> y fue mod</w:t>
      </w:r>
      <w:r w:rsidR="00744A44" w:rsidRPr="00B71232">
        <w:t>ificado por última ocasión el 13 de julio de 2018</w:t>
      </w:r>
      <w:r w:rsidR="00664F3A" w:rsidRPr="00B71232">
        <w:t>.</w:t>
      </w:r>
    </w:p>
    <w:p w:rsidR="006679F9" w:rsidRDefault="00B93655" w:rsidP="00877611">
      <w:pPr>
        <w:pStyle w:val="Antecedentes"/>
        <w:numPr>
          <w:ilvl w:val="0"/>
          <w:numId w:val="26"/>
        </w:numPr>
        <w:spacing w:after="0"/>
      </w:pPr>
      <w:r w:rsidRPr="00B71232">
        <w:rPr>
          <w:b/>
        </w:rPr>
        <w:t>Acuerdo de separación contable</w:t>
      </w:r>
      <w:r w:rsidR="003D1373">
        <w:rPr>
          <w:b/>
        </w:rPr>
        <w:t>.</w:t>
      </w:r>
      <w:r w:rsidRPr="00B71232">
        <w:rPr>
          <w:b/>
        </w:rPr>
        <w:t xml:space="preserve"> </w:t>
      </w:r>
      <w:r w:rsidR="00664F3A" w:rsidRPr="00B71232">
        <w:t xml:space="preserve">El </w:t>
      </w:r>
      <w:r w:rsidRPr="00B71232">
        <w:t>19</w:t>
      </w:r>
      <w:r w:rsidR="00664F3A" w:rsidRPr="00B71232">
        <w:t xml:space="preserve"> de </w:t>
      </w:r>
      <w:r w:rsidRPr="00B71232">
        <w:t>diciembre</w:t>
      </w:r>
      <w:r w:rsidR="00664F3A" w:rsidRPr="00B71232">
        <w:t xml:space="preserve"> de 2017, el Pleno del Instituto en su </w:t>
      </w:r>
      <w:r w:rsidR="003C4B84" w:rsidRPr="00B71232">
        <w:t>LIV</w:t>
      </w:r>
      <w:r w:rsidR="00664F3A" w:rsidRPr="00B71232">
        <w:t xml:space="preserve"> Sesión Ordinaria aprobó mediante acuerdo P/IFT/</w:t>
      </w:r>
      <w:r w:rsidR="003C4B84" w:rsidRPr="00B71232">
        <w:t>191217</w:t>
      </w:r>
      <w:r w:rsidR="00664F3A" w:rsidRPr="00B71232">
        <w:t>/</w:t>
      </w:r>
      <w:r w:rsidR="003C4B84" w:rsidRPr="00B71232">
        <w:t>914</w:t>
      </w:r>
      <w:r w:rsidR="00664F3A" w:rsidRPr="00B71232">
        <w:t xml:space="preserve"> el “</w:t>
      </w:r>
      <w:r w:rsidR="003C4B84" w:rsidRPr="00B71232">
        <w:t xml:space="preserve">ACUERDO MEDIANTE EL CUAL EL PLENO DEL INSTITUTO FEDERAL DE TELECOMUNICACIONES EXPIDE LA METODOLOGÍA DE </w:t>
      </w:r>
      <w:r w:rsidR="003C4B84" w:rsidRPr="00B71232">
        <w:lastRenderedPageBreak/>
        <w:t>SEPARACIÓN CONTABLE APLICABLE A LOS AGENTES ECONÓMICOS PREPONDERANTES, AGENTES DECLARADOS CON PODER SUSTANCIAL DE MERCADO Y REDES COMPARTIDAS MAYORISTAS</w:t>
      </w:r>
      <w:r w:rsidR="00664F3A" w:rsidRPr="00B71232">
        <w:t>”</w:t>
      </w:r>
      <w:r w:rsidR="008826D7" w:rsidRPr="00B71232">
        <w:t xml:space="preserve"> (en lo sucesivo, el “Acuerdo</w:t>
      </w:r>
      <w:r w:rsidR="00244D5E" w:rsidRPr="00B71232">
        <w:t xml:space="preserve"> de SC</w:t>
      </w:r>
      <w:r w:rsidR="008826D7" w:rsidRPr="00B71232">
        <w:t>”)</w:t>
      </w:r>
      <w:r w:rsidR="00844742" w:rsidRPr="00B71232">
        <w:t xml:space="preserve">, mismo que se publicó en el DOF </w:t>
      </w:r>
      <w:r w:rsidR="00844742" w:rsidRPr="00B71232">
        <w:rPr>
          <w:lang w:val="es-ES_tradnl"/>
        </w:rPr>
        <w:t>el 29 de diciembre de 2017 y entró</w:t>
      </w:r>
      <w:r w:rsidR="000D4921" w:rsidRPr="00B71232">
        <w:rPr>
          <w:lang w:val="es-ES_tradnl"/>
        </w:rPr>
        <w:t xml:space="preserve"> en vigor el 3</w:t>
      </w:r>
      <w:r w:rsidR="00844742" w:rsidRPr="00B71232">
        <w:rPr>
          <w:lang w:val="es-ES_tradnl"/>
        </w:rPr>
        <w:t>0 de diciembre de 2017</w:t>
      </w:r>
      <w:r w:rsidR="00844742" w:rsidRPr="00B71232">
        <w:t>.</w:t>
      </w:r>
    </w:p>
    <w:p w:rsidR="00BB4AAD" w:rsidRPr="00B71232" w:rsidRDefault="00BB4AAD" w:rsidP="00877611">
      <w:pPr>
        <w:pStyle w:val="Antecedentes"/>
        <w:numPr>
          <w:ilvl w:val="0"/>
          <w:numId w:val="26"/>
        </w:numPr>
        <w:spacing w:after="0"/>
      </w:pPr>
      <w:r w:rsidRPr="00B71232">
        <w:rPr>
          <w:b/>
        </w:rPr>
        <w:t>Acuerdo modificatorio.</w:t>
      </w:r>
      <w:r w:rsidRPr="00B71232">
        <w:t xml:space="preserve"> El 17 de octubre de 2018, el Pleno del Instituto, en su XXX Sesión Ordinaria, aprobó mediante Acuerdo P/IFT/171018/624 el “ACUERDO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 el cual fue publicado en el DOF el 29 de octubre de 2018 y entró en vigor el 30 de octubre del mismo año. </w:t>
      </w:r>
    </w:p>
    <w:p w:rsidR="00BB5DA7" w:rsidRPr="00B71232" w:rsidRDefault="00BB5DA7" w:rsidP="00433DF7">
      <w:pPr>
        <w:pStyle w:val="Antecedentes"/>
        <w:numPr>
          <w:ilvl w:val="0"/>
          <w:numId w:val="0"/>
        </w:numPr>
        <w:spacing w:after="0"/>
        <w:ind w:left="720"/>
        <w:rPr>
          <w:lang w:val="es-ES_tradnl"/>
        </w:rPr>
      </w:pPr>
    </w:p>
    <w:p w:rsidR="00664F3A" w:rsidRPr="00B71232" w:rsidRDefault="00664F3A" w:rsidP="00433DF7">
      <w:pPr>
        <w:spacing w:line="276" w:lineRule="auto"/>
        <w:jc w:val="both"/>
      </w:pPr>
      <w:r w:rsidRPr="00B71232">
        <w:rPr>
          <w:rFonts w:ascii="ITC Avant Garde" w:hAnsi="ITC Avant Garde" w:cs="Arial"/>
        </w:rPr>
        <w:t>En virtud de los referidos Antecedentes señalados, y</w:t>
      </w:r>
    </w:p>
    <w:p w:rsidR="00A1321B" w:rsidRPr="00B71232" w:rsidRDefault="00A1321B" w:rsidP="002166C7">
      <w:pPr>
        <w:pStyle w:val="Ttulo1"/>
        <w:spacing w:before="480" w:after="480" w:line="276" w:lineRule="auto"/>
      </w:pPr>
      <w:bookmarkStart w:id="2" w:name="_Toc484022080"/>
      <w:r w:rsidRPr="00B71232">
        <w:t>CONSIDERANDO</w:t>
      </w:r>
      <w:bookmarkEnd w:id="2"/>
    </w:p>
    <w:p w:rsidR="00A1321B" w:rsidRPr="003D1373" w:rsidRDefault="003D1373" w:rsidP="00433DF7">
      <w:pPr>
        <w:pStyle w:val="Ttulo2"/>
        <w:spacing w:line="276" w:lineRule="auto"/>
        <w:rPr>
          <w:vanish/>
          <w:specVanish/>
        </w:rPr>
      </w:pPr>
      <w:bookmarkStart w:id="3" w:name="_Toc484022081"/>
      <w:r>
        <w:t>PRIMERO.</w:t>
      </w:r>
      <w:r w:rsidR="00664F3A" w:rsidRPr="00B71232">
        <w:t xml:space="preserve"> COMPETENCIA DEL INSTITUTO</w:t>
      </w:r>
      <w:bookmarkEnd w:id="3"/>
      <w:r>
        <w:t>.</w:t>
      </w:r>
    </w:p>
    <w:p w:rsidR="00664F3A" w:rsidRPr="00B71232" w:rsidRDefault="003D1373" w:rsidP="00433DF7">
      <w:pPr>
        <w:pStyle w:val="Normalresolucion"/>
        <w:spacing w:line="276" w:lineRule="auto"/>
      </w:pPr>
      <w:r>
        <w:t xml:space="preserve"> </w:t>
      </w:r>
      <w:r w:rsidR="00664F3A" w:rsidRPr="00B71232">
        <w:t>De conformidad con el artículo 28, párrafos</w:t>
      </w:r>
      <w:r w:rsidR="002166C7">
        <w:t xml:space="preserve"> </w:t>
      </w:r>
      <w:r w:rsidR="00664F3A" w:rsidRPr="00B71232">
        <w:t>décimo quinto y décimo sexto de la Constitución Política de los Estados Unidos Mexicanos (en lo sucesivo, la “Constitución”)</w:t>
      </w:r>
      <w:r w:rsidR="003C7D41" w:rsidRPr="00B71232">
        <w:t xml:space="preserve">, así como con los artículos 1o. y 7o. de la LFTR, </w:t>
      </w:r>
      <w:r w:rsidR="00664F3A" w:rsidRPr="00B71232">
        <w:t>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664F3A" w:rsidRPr="00B71232" w:rsidRDefault="00664F3A" w:rsidP="00433DF7">
      <w:pPr>
        <w:pStyle w:val="Normalresolucion"/>
        <w:spacing w:line="276" w:lineRule="auto"/>
      </w:pPr>
      <w:r w:rsidRPr="00B71232">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664F3A" w:rsidRPr="00B71232" w:rsidRDefault="00664F3A" w:rsidP="00433DF7">
      <w:pPr>
        <w:pStyle w:val="Normalresolucion"/>
        <w:spacing w:line="276" w:lineRule="auto"/>
      </w:pPr>
      <w:r w:rsidRPr="00B71232">
        <w:t xml:space="preserve">Asimismo, de conformidad con el párrafo décimo sexto del ya mencionado artículo 28 de la Constitución, el Instituto es </w:t>
      </w:r>
      <w:r w:rsidR="00DC101B" w:rsidRPr="00B71232">
        <w:t xml:space="preserve">la </w:t>
      </w:r>
      <w:r w:rsidRPr="00B71232">
        <w:t xml:space="preserve">autoridad en materia de competencia económica de los sectores de radiodifusión y telecomunicaciones, por lo que en </w:t>
      </w:r>
      <w:r w:rsidR="00482A96" w:rsidRPr="00B71232">
        <w:t>e</w:t>
      </w:r>
      <w:r w:rsidRPr="00B71232">
        <w:t xml:space="preserve">stos ejercerá en forma exclusiva las facultades que prevé dicho artículo y las que </w:t>
      </w:r>
      <w:r w:rsidRPr="00B71232">
        <w:lastRenderedPageBreak/>
        <w:t>las leyes establecen para la Comisión Federal de Competencia Económica y regulará de forma asimétrica a los participantes en estos mercados con el objeto de eliminar eficazmente las barreras a la competencia y la libre concurrencia.</w:t>
      </w:r>
    </w:p>
    <w:p w:rsidR="00DB2D56" w:rsidRPr="00B71232" w:rsidRDefault="00DB2D56" w:rsidP="00433DF7">
      <w:pPr>
        <w:pStyle w:val="Normalresolucion"/>
        <w:spacing w:line="276" w:lineRule="auto"/>
      </w:pPr>
      <w:r w:rsidRPr="00B71232">
        <w:t>De conformidad con el vigésimo párrafo, fracción IV del artículo 28 de la Constitución, el Instituto podrá emitir disposiciones administrativas de carácter general exclusivamente para el cumplimiento de su función regulatoria en el sector de su competencia.</w:t>
      </w:r>
    </w:p>
    <w:p w:rsidR="003C7D41" w:rsidRPr="00B71232" w:rsidRDefault="003C7D41" w:rsidP="00433DF7">
      <w:pPr>
        <w:pStyle w:val="Normalresolucion"/>
        <w:spacing w:line="276" w:lineRule="auto"/>
      </w:pPr>
      <w:r w:rsidRPr="00B71232">
        <w:t>En ese sentido, en términos de los artículos 16 y 17, fracción I de la LFTR, corresponde al Pleno del Instituto, entre otras, ejercer de manera exclusiva e indelegable la facultad prevista en el artículo 15 fracción I de la misma ley, la cual  establece  que es competencia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A1321B" w:rsidRPr="00B71232" w:rsidRDefault="00A1321B" w:rsidP="00433DF7">
      <w:pPr>
        <w:pStyle w:val="Normalresolucion"/>
        <w:spacing w:line="276" w:lineRule="auto"/>
      </w:pPr>
      <w:r w:rsidRPr="00B71232">
        <w:t>Por su parte, el artículo 292 de la L</w:t>
      </w:r>
      <w:r w:rsidR="006E3716" w:rsidRPr="00B71232">
        <w:t>FTR</w:t>
      </w:r>
      <w:r w:rsidRPr="00B71232">
        <w:t xml:space="preserve">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w:t>
      </w:r>
      <w:r w:rsidR="000F69EC" w:rsidRPr="00B71232">
        <w:t>con</w:t>
      </w:r>
      <w:r w:rsidRPr="00B71232">
        <w:t xml:space="preserve"> la metodología, formato y periodicidad que para tal efecto establezca el Instituto.</w:t>
      </w:r>
    </w:p>
    <w:p w:rsidR="006111D2" w:rsidRPr="00B71232" w:rsidRDefault="006111D2" w:rsidP="00433DF7">
      <w:pPr>
        <w:pStyle w:val="Normalresolucion"/>
        <w:spacing w:line="276" w:lineRule="auto"/>
      </w:pPr>
      <w:r w:rsidRPr="00B71232">
        <w:t>En términos de los artículos</w:t>
      </w:r>
      <w:r w:rsidR="002F2503" w:rsidRPr="00B71232">
        <w:t xml:space="preserve"> 1, 4 fracción I,</w:t>
      </w:r>
      <w:r w:rsidRPr="00B71232">
        <w:t xml:space="preserve"> 6, fracción I, 19, fracción VI, 21, 22, fracción I, 23, fracción XXI y 24, fracción VIII del Estatuto, corresponde al Pleno del Instituto regular los servicios de telecomunicaciones y radiodifusión, y a la Unidad de Política Regulatoria, de conformidad con las atribuciones que originariamente le corresponden, proponer al Pleno las disposiciones administrativas de carácter general en materia de telecomunicaciones y radiodifusión</w:t>
      </w:r>
      <w:r w:rsidR="002F2503" w:rsidRPr="00B71232">
        <w:t>, así como sus modificaciones</w:t>
      </w:r>
      <w:r w:rsidRPr="00B71232">
        <w:t>.</w:t>
      </w:r>
    </w:p>
    <w:p w:rsidR="00DB2D56" w:rsidRPr="00B71232" w:rsidRDefault="001B7F57" w:rsidP="00433DF7">
      <w:pPr>
        <w:pStyle w:val="Normalresolucion"/>
        <w:spacing w:line="276" w:lineRule="auto"/>
      </w:pPr>
      <w:r w:rsidRPr="00B71232">
        <w:t xml:space="preserve">Por </w:t>
      </w:r>
      <w:r w:rsidR="00DB2D56" w:rsidRPr="00B71232">
        <w:t xml:space="preserve">lo anterior, el Instituto cuenta con facultades para </w:t>
      </w:r>
      <w:r w:rsidRPr="00B71232">
        <w:t xml:space="preserve">emitir el presente acuerdo y </w:t>
      </w:r>
      <w:r w:rsidR="00E15FCC" w:rsidRPr="00B71232">
        <w:t>l</w:t>
      </w:r>
      <w:r w:rsidRPr="00B71232">
        <w:t xml:space="preserve">levar a cabo la consulta pública </w:t>
      </w:r>
      <w:r w:rsidR="00786FFC" w:rsidRPr="00B71232">
        <w:t xml:space="preserve">del </w:t>
      </w:r>
      <w:r w:rsidR="002F2503" w:rsidRPr="00B71232">
        <w:t xml:space="preserve">“ANTEPROYECTO DE MODIFICACIÓN A LA METODOLOGÍA DE SEPARACIÓN CONTABLE APLICABLE A LOS AGENTES ECONÓMICOS PREPONDERANTES, AGENTES DECLARADOS CON PODER SUSTANCIAL </w:t>
      </w:r>
      <w:r w:rsidR="002F2503" w:rsidRPr="00B71232">
        <w:lastRenderedPageBreak/>
        <w:t>DE MERCADO Y REDES COMPARTIDAS MAYORISTAS, APROBADA MEDIANTE ACUERDO P/IFT/191217/914 Y MODIFICADA MEDIANTE ACUERDO P/IFT/171018/624”</w:t>
      </w:r>
      <w:r w:rsidR="000F16E7" w:rsidRPr="00B71232">
        <w:t xml:space="preserve"> (en lo sucesivo, el “Anteproyecto”)</w:t>
      </w:r>
      <w:r w:rsidR="00DB2D56" w:rsidRPr="00B71232">
        <w:t xml:space="preserve">, con fundamento en </w:t>
      </w:r>
      <w:r w:rsidR="00786FFC" w:rsidRPr="00B71232">
        <w:t>los</w:t>
      </w:r>
      <w:r w:rsidR="00DB2D56" w:rsidRPr="00B71232">
        <w:t xml:space="preserve"> artículo</w:t>
      </w:r>
      <w:r w:rsidR="00786FFC" w:rsidRPr="00B71232">
        <w:t xml:space="preserve">s </w:t>
      </w:r>
      <w:r w:rsidR="00DB2D56" w:rsidRPr="00B71232">
        <w:t>15, fracci</w:t>
      </w:r>
      <w:r w:rsidR="00917594" w:rsidRPr="00B71232">
        <w:t>ó</w:t>
      </w:r>
      <w:r w:rsidR="00DB2D56" w:rsidRPr="00B71232">
        <w:t>n I</w:t>
      </w:r>
      <w:r w:rsidR="005D7DB1" w:rsidRPr="00B71232">
        <w:t>, 51</w:t>
      </w:r>
      <w:r w:rsidR="00DB2D56" w:rsidRPr="00B71232">
        <w:t xml:space="preserve"> y 292 de la LFTR, así como en </w:t>
      </w:r>
      <w:r w:rsidR="0052629A" w:rsidRPr="00B71232">
        <w:t>el</w:t>
      </w:r>
      <w:r w:rsidR="00DB2D56" w:rsidRPr="00B71232">
        <w:t xml:space="preserve"> artículo</w:t>
      </w:r>
      <w:r w:rsidR="0052629A" w:rsidRPr="00B71232">
        <w:t xml:space="preserve"> 19 fracción VI </w:t>
      </w:r>
      <w:r w:rsidR="00DB2D56" w:rsidRPr="00B71232">
        <w:t>del Estatuto.</w:t>
      </w:r>
    </w:p>
    <w:p w:rsidR="00267069" w:rsidRPr="003D1373" w:rsidRDefault="00267069" w:rsidP="00433DF7">
      <w:pPr>
        <w:pStyle w:val="Ttulo2"/>
        <w:spacing w:line="276" w:lineRule="auto"/>
        <w:rPr>
          <w:vanish/>
          <w:specVanish/>
        </w:rPr>
      </w:pPr>
      <w:bookmarkStart w:id="4" w:name="_Toc484022085"/>
      <w:r w:rsidRPr="00B71232">
        <w:t>SEGUNDO</w:t>
      </w:r>
      <w:r w:rsidR="00A1321B" w:rsidRPr="00B71232">
        <w:t xml:space="preserve">. </w:t>
      </w:r>
      <w:bookmarkEnd w:id="4"/>
      <w:r w:rsidRPr="00B71232">
        <w:t>NECESIDAD DE LA MODIFICACIÓN A LA METODOLOGÍA DE SEPARACIÓN CONTABLE</w:t>
      </w:r>
      <w:r w:rsidR="003D1373">
        <w:t xml:space="preserve">. </w:t>
      </w:r>
    </w:p>
    <w:p w:rsidR="00244D5E" w:rsidRPr="00B71232" w:rsidRDefault="00244D5E" w:rsidP="00244D5E">
      <w:pPr>
        <w:spacing w:after="200" w:line="276" w:lineRule="auto"/>
        <w:jc w:val="both"/>
        <w:rPr>
          <w:rFonts w:ascii="ITC Avant Garde" w:eastAsia="Calibri" w:hAnsi="ITC Avant Garde" w:cs="Times New Roman"/>
        </w:rPr>
      </w:pPr>
      <w:r w:rsidRPr="00B71232">
        <w:rPr>
          <w:rFonts w:ascii="ITC Avant Garde" w:eastAsia="Calibri" w:hAnsi="ITC Avant Garde" w:cs="Times New Roman"/>
        </w:rPr>
        <w:t xml:space="preserve">Con la finalidad de asegurar una correcta implementación de la separación contable aplicable a los agentes económicos preponderantes, con poder sustancial de mercado y redes compartidas mayoristas, en la disposición DÉCIMA CUARTA del Anexo Único del Acuerdo de SC, se estableció la obligación de entregar, para aprobación del Instituto, un programa de implementación de separación contable. </w:t>
      </w:r>
    </w:p>
    <w:p w:rsidR="002A607A" w:rsidRPr="00B71232" w:rsidRDefault="00244D5E" w:rsidP="00244D5E">
      <w:pPr>
        <w:spacing w:after="200" w:line="276" w:lineRule="auto"/>
        <w:jc w:val="both"/>
        <w:rPr>
          <w:rFonts w:ascii="ITC Avant Garde" w:eastAsia="Calibri" w:hAnsi="ITC Avant Garde" w:cs="Times New Roman"/>
        </w:rPr>
      </w:pPr>
      <w:r w:rsidRPr="00B71232">
        <w:rPr>
          <w:rFonts w:ascii="ITC Avant Garde" w:eastAsia="Calibri" w:hAnsi="ITC Avant Garde" w:cs="Times New Roman"/>
        </w:rPr>
        <w:t xml:space="preserve">Este instrumento consiste en una estructura preliminar sobre cómo se va a entregar la información de separación contable, a fin de ayudar a disminuir los riesgos de divergencia entre la información entregada por los sujetos regulados y las obligaciones relativas a la separación contable. </w:t>
      </w:r>
    </w:p>
    <w:p w:rsidR="00244D5E" w:rsidRPr="00B71232" w:rsidRDefault="00F554B0" w:rsidP="00244D5E">
      <w:pPr>
        <w:spacing w:after="200" w:line="276" w:lineRule="auto"/>
        <w:jc w:val="both"/>
        <w:rPr>
          <w:rFonts w:ascii="ITC Avant Garde" w:eastAsia="Calibri" w:hAnsi="ITC Avant Garde" w:cs="Times New Roman"/>
        </w:rPr>
      </w:pPr>
      <w:r>
        <w:rPr>
          <w:rFonts w:ascii="ITC Avant Garde" w:eastAsia="Calibri" w:hAnsi="ITC Avant Garde" w:cs="Times New Roman"/>
        </w:rPr>
        <w:t>Por tanto</w:t>
      </w:r>
      <w:r w:rsidR="00C1397D" w:rsidRPr="00B71232">
        <w:rPr>
          <w:rFonts w:ascii="ITC Avant Garde" w:eastAsia="Calibri" w:hAnsi="ITC Avant Garde" w:cs="Times New Roman"/>
        </w:rPr>
        <w:t>, los programas de implementación permit</w:t>
      </w:r>
      <w:r>
        <w:rPr>
          <w:rFonts w:ascii="ITC Avant Garde" w:eastAsia="Calibri" w:hAnsi="ITC Avant Garde" w:cs="Times New Roman"/>
        </w:rPr>
        <w:t>en</w:t>
      </w:r>
      <w:r w:rsidR="00C1397D" w:rsidRPr="00B71232">
        <w:rPr>
          <w:rFonts w:ascii="ITC Avant Garde" w:eastAsia="Calibri" w:hAnsi="ITC Avant Garde" w:cs="Times New Roman"/>
        </w:rPr>
        <w:t xml:space="preserve"> que</w:t>
      </w:r>
      <w:r>
        <w:rPr>
          <w:rFonts w:ascii="ITC Avant Garde" w:eastAsia="Calibri" w:hAnsi="ITC Avant Garde" w:cs="Times New Roman"/>
        </w:rPr>
        <w:t>, mediante</w:t>
      </w:r>
      <w:r w:rsidR="00C1397D" w:rsidRPr="00B71232">
        <w:rPr>
          <w:rFonts w:ascii="ITC Avant Garde" w:eastAsia="Calibri" w:hAnsi="ITC Avant Garde" w:cs="Times New Roman"/>
        </w:rPr>
        <w:t xml:space="preserve"> la información que anualmente </w:t>
      </w:r>
      <w:r>
        <w:rPr>
          <w:rFonts w:ascii="ITC Avant Garde" w:eastAsia="Calibri" w:hAnsi="ITC Avant Garde" w:cs="Times New Roman"/>
        </w:rPr>
        <w:t>reporten</w:t>
      </w:r>
      <w:r w:rsidR="00C1397D" w:rsidRPr="00B71232">
        <w:rPr>
          <w:rFonts w:ascii="ITC Avant Garde" w:eastAsia="Calibri" w:hAnsi="ITC Avant Garde" w:cs="Times New Roman"/>
        </w:rPr>
        <w:t xml:space="preserve"> los </w:t>
      </w:r>
      <w:r>
        <w:rPr>
          <w:rFonts w:ascii="ITC Avant Garde" w:eastAsia="Calibri" w:hAnsi="ITC Avant Garde" w:cs="Times New Roman"/>
        </w:rPr>
        <w:t>destinatarios de la norma, se</w:t>
      </w:r>
      <w:r w:rsidR="00C1397D" w:rsidRPr="00B71232">
        <w:rPr>
          <w:rFonts w:ascii="ITC Avant Garde" w:eastAsia="Calibri" w:hAnsi="ITC Avant Garde" w:cs="Times New Roman"/>
        </w:rPr>
        <w:t xml:space="preserve"> </w:t>
      </w:r>
      <w:r>
        <w:rPr>
          <w:rFonts w:ascii="ITC Avant Garde" w:eastAsia="Calibri" w:hAnsi="ITC Avant Garde" w:cs="Times New Roman"/>
        </w:rPr>
        <w:t>logren</w:t>
      </w:r>
      <w:r w:rsidRPr="00B71232">
        <w:rPr>
          <w:rFonts w:ascii="ITC Avant Garde" w:eastAsia="Calibri" w:hAnsi="ITC Avant Garde" w:cs="Times New Roman"/>
        </w:rPr>
        <w:t xml:space="preserve"> </w:t>
      </w:r>
      <w:r w:rsidR="00C1397D" w:rsidRPr="00B71232">
        <w:rPr>
          <w:rFonts w:ascii="ITC Avant Garde" w:eastAsia="Calibri" w:hAnsi="ITC Avant Garde" w:cs="Times New Roman"/>
        </w:rPr>
        <w:t xml:space="preserve">alcanzar los objetivos </w:t>
      </w:r>
      <w:r>
        <w:rPr>
          <w:rFonts w:ascii="ITC Avant Garde" w:eastAsia="Calibri" w:hAnsi="ITC Avant Garde" w:cs="Times New Roman"/>
        </w:rPr>
        <w:t xml:space="preserve">regulatorios </w:t>
      </w:r>
      <w:r w:rsidR="00C1397D" w:rsidRPr="00B71232">
        <w:rPr>
          <w:rFonts w:ascii="ITC Avant Garde" w:eastAsia="Calibri" w:hAnsi="ITC Avant Garde" w:cs="Times New Roman"/>
        </w:rPr>
        <w:t>definidos para la separación contable, tales como identificar potenciales prácticas anticompetitivas (por ej., estrechamiento de márgenes, depredación de precios y/o subsidios cruzados, entre otras conductas)</w:t>
      </w:r>
      <w:r w:rsidR="003353F0">
        <w:rPr>
          <w:rFonts w:ascii="ITC Avant Garde" w:eastAsia="Calibri" w:hAnsi="ITC Avant Garde" w:cs="Times New Roman"/>
        </w:rPr>
        <w:t xml:space="preserve"> y</w:t>
      </w:r>
      <w:r w:rsidR="00C1397D" w:rsidRPr="00B71232">
        <w:rPr>
          <w:rFonts w:ascii="ITC Avant Garde" w:eastAsia="Calibri" w:hAnsi="ITC Avant Garde" w:cs="Times New Roman"/>
        </w:rPr>
        <w:t xml:space="preserve"> detectar un potencial trato discriminatorio en la prestación de servicios mayoristas, entre otros objetivos.</w:t>
      </w:r>
    </w:p>
    <w:p w:rsidR="00244D5E" w:rsidRPr="00B71232" w:rsidRDefault="002A607A" w:rsidP="00244D5E">
      <w:pPr>
        <w:pStyle w:val="Normalresolucion"/>
        <w:spacing w:line="276" w:lineRule="auto"/>
      </w:pPr>
      <w:r w:rsidRPr="00B71232">
        <w:t>De manera específica</w:t>
      </w:r>
      <w:r w:rsidR="00244D5E" w:rsidRPr="00B71232">
        <w:t>, el programa de implementación aplicable a los agentes económicos preponderantes</w:t>
      </w:r>
      <w:r w:rsidR="00244D5E" w:rsidRPr="00B71232">
        <w:rPr>
          <w:rStyle w:val="Refdenotaalpie"/>
        </w:rPr>
        <w:footnoteReference w:id="2"/>
      </w:r>
      <w:r w:rsidR="00244D5E" w:rsidRPr="00B71232">
        <w:t xml:space="preserve"> y con poder sustancial de mercado debe contemplar</w:t>
      </w:r>
      <w:r w:rsidRPr="00B71232">
        <w:t>, al menos,</w:t>
      </w:r>
      <w:r w:rsidR="00244D5E" w:rsidRPr="00B71232">
        <w:t xml:space="preserve"> lo siguiente:</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Servicios objeto de la separación contable;</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Cuentas de costos e ingresos;</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Motivos de cargo y abono;</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Valoración de activos a CCA;</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Cargos de transferencia;</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Costo de Capital Promedio Ponderado, y</w:t>
      </w:r>
    </w:p>
    <w:p w:rsidR="00244D5E" w:rsidRPr="00B71232" w:rsidRDefault="00244D5E" w:rsidP="00877611">
      <w:pPr>
        <w:pStyle w:val="Prrafodelista"/>
        <w:numPr>
          <w:ilvl w:val="0"/>
          <w:numId w:val="29"/>
        </w:numPr>
        <w:spacing w:after="0" w:line="276" w:lineRule="auto"/>
        <w:ind w:left="714" w:hanging="357"/>
        <w:contextualSpacing w:val="0"/>
        <w:jc w:val="both"/>
        <w:rPr>
          <w:rFonts w:ascii="ITC Avant Garde" w:hAnsi="ITC Avant Garde"/>
        </w:rPr>
      </w:pPr>
      <w:r w:rsidRPr="00B71232">
        <w:rPr>
          <w:rFonts w:ascii="ITC Avant Garde" w:hAnsi="ITC Avant Garde"/>
        </w:rPr>
        <w:t>Vidas útiles de los activos.</w:t>
      </w:r>
    </w:p>
    <w:p w:rsidR="00244D5E" w:rsidRPr="00B71232" w:rsidRDefault="002A607A" w:rsidP="002A607A">
      <w:pPr>
        <w:pStyle w:val="Normalresolucion"/>
        <w:spacing w:line="276" w:lineRule="auto"/>
        <w:rPr>
          <w:lang w:val="es-MX"/>
        </w:rPr>
      </w:pPr>
      <w:r w:rsidRPr="00B71232">
        <w:rPr>
          <w:lang w:val="es-MX"/>
        </w:rPr>
        <w:lastRenderedPageBreak/>
        <w:t xml:space="preserve">Tomando en consideración que a la fecha </w:t>
      </w:r>
      <w:r w:rsidR="00650C18">
        <w:rPr>
          <w:lang w:val="es-MX"/>
        </w:rPr>
        <w:t>se han recibido alrededor de 20 propuestas de programas de implementación, se advierte</w:t>
      </w:r>
      <w:r w:rsidR="00244D5E" w:rsidRPr="00B71232">
        <w:rPr>
          <w:lang w:val="es-MX"/>
        </w:rPr>
        <w:t xml:space="preserve"> que </w:t>
      </w:r>
      <w:r w:rsidRPr="00B71232">
        <w:rPr>
          <w:lang w:val="es-MX"/>
        </w:rPr>
        <w:t xml:space="preserve">el Instituto debe revisar una cantidad considerable de información a efecto </w:t>
      </w:r>
      <w:r w:rsidR="00156177">
        <w:rPr>
          <w:lang w:val="es-MX"/>
        </w:rPr>
        <w:t xml:space="preserve">de </w:t>
      </w:r>
      <w:r w:rsidR="003353F0">
        <w:rPr>
          <w:lang w:val="es-MX"/>
        </w:rPr>
        <w:t>validar</w:t>
      </w:r>
      <w:r w:rsidR="003353F0" w:rsidRPr="00B71232">
        <w:rPr>
          <w:lang w:val="es-MX"/>
        </w:rPr>
        <w:t xml:space="preserve"> </w:t>
      </w:r>
      <w:r w:rsidRPr="00B71232">
        <w:rPr>
          <w:lang w:val="es-MX"/>
        </w:rPr>
        <w:t xml:space="preserve">que dichos programas cumplan con lo mandatado en el Acuerdo de SC. Asimismo, la información en sí que ha de valorarse tiene </w:t>
      </w:r>
      <w:r w:rsidR="00244D5E" w:rsidRPr="00B71232">
        <w:rPr>
          <w:lang w:val="es-MX"/>
        </w:rPr>
        <w:t xml:space="preserve">un alto nivel de complejidad, toda vez que la operación de </w:t>
      </w:r>
      <w:r w:rsidR="003D189D" w:rsidRPr="00B71232">
        <w:t xml:space="preserve">los </w:t>
      </w:r>
      <w:r w:rsidR="003D189D">
        <w:t>destinatarios de la norma</w:t>
      </w:r>
      <w:r w:rsidR="003D189D" w:rsidRPr="00B71232">
        <w:t xml:space="preserve"> </w:t>
      </w:r>
      <w:r w:rsidR="00244D5E" w:rsidRPr="00B71232">
        <w:rPr>
          <w:lang w:val="es-MX"/>
        </w:rPr>
        <w:t xml:space="preserve">se caracteriza por incluir la prestación de varios servicios, tanto mayoristas como minoristas, </w:t>
      </w:r>
      <w:r w:rsidRPr="00B71232">
        <w:rPr>
          <w:lang w:val="es-MX"/>
        </w:rPr>
        <w:t>que se soporta a través de diversos elementos de infraestructura que deben mapearse como parte</w:t>
      </w:r>
      <w:r w:rsidR="00D02DE6" w:rsidRPr="00B71232">
        <w:rPr>
          <w:lang w:val="es-MX"/>
        </w:rPr>
        <w:t xml:space="preserve"> de</w:t>
      </w:r>
      <w:r w:rsidRPr="00B71232">
        <w:rPr>
          <w:lang w:val="es-MX"/>
        </w:rPr>
        <w:t xml:space="preserve"> los programas de implementación</w:t>
      </w:r>
      <w:r w:rsidR="00244D5E" w:rsidRPr="00B71232">
        <w:rPr>
          <w:lang w:val="es-MX"/>
        </w:rPr>
        <w:t xml:space="preserve">. </w:t>
      </w:r>
    </w:p>
    <w:p w:rsidR="00244D5E" w:rsidRPr="00B71232" w:rsidRDefault="00D02DE6" w:rsidP="00244D5E">
      <w:pPr>
        <w:pStyle w:val="Normalresolucion"/>
        <w:spacing w:line="276" w:lineRule="auto"/>
        <w:rPr>
          <w:lang w:val="es-MX"/>
        </w:rPr>
      </w:pPr>
      <w:r w:rsidRPr="00B71232">
        <w:rPr>
          <w:lang w:val="es-MX"/>
        </w:rPr>
        <w:t>En particular</w:t>
      </w:r>
      <w:r w:rsidR="00244D5E" w:rsidRPr="00B71232">
        <w:rPr>
          <w:lang w:val="es-MX"/>
        </w:rPr>
        <w:t xml:space="preserve">, la revisión que lleva a cabo el Instituto </w:t>
      </w:r>
      <w:r w:rsidRPr="00B71232">
        <w:rPr>
          <w:lang w:val="es-MX"/>
        </w:rPr>
        <w:t xml:space="preserve">de un programa </w:t>
      </w:r>
      <w:r w:rsidR="00244D5E" w:rsidRPr="00B71232">
        <w:rPr>
          <w:lang w:val="es-MX"/>
        </w:rPr>
        <w:t xml:space="preserve">requiere validar la consistencia de toda la información operativa de los concesionarios, analizar su razonabilidad, que la información y los formatos se entreguen de manera completa, que se respeten los principios establecidos en el Acuerdo de SC, que se utilicen las metodologías establecidas, </w:t>
      </w:r>
      <w:r w:rsidRPr="00B71232">
        <w:rPr>
          <w:lang w:val="es-MX"/>
        </w:rPr>
        <w:t xml:space="preserve">que </w:t>
      </w:r>
      <w:r w:rsidR="00244D5E" w:rsidRPr="00B71232">
        <w:rPr>
          <w:lang w:val="es-MX"/>
        </w:rPr>
        <w:t xml:space="preserve">se incluyan justificaciones razonables, oportunas y coherentes con su operación, </w:t>
      </w:r>
      <w:r w:rsidRPr="00B71232">
        <w:rPr>
          <w:lang w:val="es-MX"/>
        </w:rPr>
        <w:t xml:space="preserve">y </w:t>
      </w:r>
      <w:r w:rsidR="00244D5E" w:rsidRPr="00B71232">
        <w:rPr>
          <w:lang w:val="es-MX"/>
        </w:rPr>
        <w:t>que se utilicen fuentes de información trasparentes y a</w:t>
      </w:r>
      <w:r w:rsidRPr="00B71232">
        <w:rPr>
          <w:lang w:val="es-MX"/>
        </w:rPr>
        <w:t>ccesibles, entre otros aspectos</w:t>
      </w:r>
      <w:r w:rsidR="00244D5E" w:rsidRPr="00B71232">
        <w:rPr>
          <w:lang w:val="es-MX"/>
        </w:rPr>
        <w:t>.</w:t>
      </w:r>
    </w:p>
    <w:p w:rsidR="00244D5E" w:rsidRPr="00B71232" w:rsidRDefault="00244D5E" w:rsidP="00244D5E">
      <w:pPr>
        <w:pStyle w:val="Normalresolucion"/>
        <w:spacing w:line="276" w:lineRule="auto"/>
        <w:rPr>
          <w:lang w:val="es-MX"/>
        </w:rPr>
      </w:pPr>
      <w:r w:rsidRPr="00B71232">
        <w:rPr>
          <w:lang w:val="es-MX"/>
        </w:rPr>
        <w:t>Derivado de lo anterior</w:t>
      </w:r>
      <w:r w:rsidRPr="00B71232">
        <w:t xml:space="preserve"> y con la finalidad de garantizar una alta alineación de los programas de implementación de los </w:t>
      </w:r>
      <w:r w:rsidR="00156177">
        <w:t>destinatarios de la norma</w:t>
      </w:r>
      <w:r w:rsidRPr="00B71232">
        <w:t xml:space="preserve"> con lo establecido en el Acuerdo de SC y </w:t>
      </w:r>
      <w:r w:rsidR="00D02DE6" w:rsidRPr="00B71232">
        <w:t>su</w:t>
      </w:r>
      <w:r w:rsidRPr="00B71232">
        <w:t xml:space="preserve"> </w:t>
      </w:r>
      <w:r w:rsidR="00D02DE6" w:rsidRPr="00B71232">
        <w:t>modificatorio</w:t>
      </w:r>
      <w:r w:rsidRPr="00B71232">
        <w:t xml:space="preserve">, </w:t>
      </w:r>
      <w:r w:rsidR="00156177">
        <w:t xml:space="preserve">y de alcanzar </w:t>
      </w:r>
      <w:r w:rsidR="00156177">
        <w:rPr>
          <w:lang w:val="es-MX"/>
        </w:rPr>
        <w:t xml:space="preserve">de la mejor forma posible </w:t>
      </w:r>
      <w:r w:rsidR="00156177" w:rsidRPr="003C4EA9">
        <w:rPr>
          <w:lang w:val="es-MX"/>
        </w:rPr>
        <w:t>el logro de los objetivos regulatorios definidos para la separación contable</w:t>
      </w:r>
      <w:r w:rsidR="00156177">
        <w:rPr>
          <w:lang w:val="es-MX"/>
        </w:rPr>
        <w:t>,</w:t>
      </w:r>
      <w:r w:rsidR="00156177" w:rsidRPr="00B71232">
        <w:t xml:space="preserve"> </w:t>
      </w:r>
      <w:r w:rsidR="00D02DE6" w:rsidRPr="00B71232">
        <w:t xml:space="preserve">se determina necesario </w:t>
      </w:r>
      <w:r w:rsidRPr="00B71232">
        <w:rPr>
          <w:lang w:val="es-MX"/>
        </w:rPr>
        <w:t>ampliar el plazo de revisión</w:t>
      </w:r>
      <w:r w:rsidR="00D02DE6" w:rsidRPr="00B71232">
        <w:rPr>
          <w:lang w:val="es-MX"/>
        </w:rPr>
        <w:t xml:space="preserve"> y, en su caso, de aprobación,</w:t>
      </w:r>
      <w:r w:rsidRPr="00B71232">
        <w:rPr>
          <w:lang w:val="es-MX"/>
        </w:rPr>
        <w:t xml:space="preserve"> de los programas de implementación </w:t>
      </w:r>
      <w:r w:rsidR="00D02DE6" w:rsidRPr="00B71232">
        <w:rPr>
          <w:lang w:val="es-MX"/>
        </w:rPr>
        <w:t xml:space="preserve">que </w:t>
      </w:r>
      <w:r w:rsidR="00EE3BB3">
        <w:rPr>
          <w:lang w:val="es-MX"/>
        </w:rPr>
        <w:t xml:space="preserve">se </w:t>
      </w:r>
      <w:r w:rsidR="00D02DE6" w:rsidRPr="00B71232">
        <w:rPr>
          <w:lang w:val="es-MX"/>
        </w:rPr>
        <w:t>han entregado</w:t>
      </w:r>
      <w:r w:rsidR="003353F0">
        <w:rPr>
          <w:lang w:val="es-MX"/>
        </w:rPr>
        <w:t xml:space="preserve">. </w:t>
      </w:r>
      <w:r w:rsidR="00156177">
        <w:rPr>
          <w:lang w:val="es-MX"/>
        </w:rPr>
        <w:t>De igual forma, también se considera necesario establecer que, al momento de resolver sobre la aprobación de los programas, el Instituto se reserve la facultad de solicitar adecuaciones a los programas presentados, mismas que deberán ser incorporadas por los concesionarios y/o autorizados destinatarios de la norma, sin perjuicio del ejercicio de las facultades de supervisión y verificación por parte del Instituto.</w:t>
      </w:r>
      <w:r w:rsidRPr="00B71232">
        <w:rPr>
          <w:lang w:val="es-MX"/>
        </w:rPr>
        <w:t xml:space="preserve"> </w:t>
      </w:r>
    </w:p>
    <w:p w:rsidR="00244D5E" w:rsidRDefault="00244D5E" w:rsidP="00244D5E">
      <w:pPr>
        <w:pStyle w:val="Normalresolucion"/>
        <w:spacing w:line="276" w:lineRule="auto"/>
      </w:pPr>
      <w:r w:rsidRPr="00B71232">
        <w:t xml:space="preserve">En </w:t>
      </w:r>
      <w:r w:rsidR="00156177">
        <w:t>consecuencia,</w:t>
      </w:r>
      <w:r w:rsidR="00156177" w:rsidRPr="00B71232">
        <w:t xml:space="preserve"> </w:t>
      </w:r>
      <w:r w:rsidRPr="00B71232">
        <w:t>es necesario recorrer los plazos de entrega de la información de separación contable</w:t>
      </w:r>
      <w:r w:rsidR="00156177">
        <w:t xml:space="preserve"> correspondiente al año fiscal</w:t>
      </w:r>
      <w:r w:rsidR="00E15143">
        <w:t xml:space="preserve"> 2017,</w:t>
      </w:r>
      <w:r w:rsidRPr="00B71232">
        <w:t xml:space="preserve"> por parte de los sujetos obligados, </w:t>
      </w:r>
      <w:r w:rsidR="00156177" w:rsidRPr="00156177">
        <w:t xml:space="preserve">a efecto de que sea presentada conjuntamente con la del </w:t>
      </w:r>
      <w:r w:rsidR="00156177">
        <w:t>año</w:t>
      </w:r>
      <w:r w:rsidR="00156177" w:rsidRPr="00156177">
        <w:t xml:space="preserve"> </w:t>
      </w:r>
      <w:r w:rsidR="00156177">
        <w:t xml:space="preserve">fiscal </w:t>
      </w:r>
      <w:r w:rsidR="00156177" w:rsidRPr="00156177">
        <w:t>2018, antes del 1° de agosto de 2019</w:t>
      </w:r>
      <w:r w:rsidR="00156177">
        <w:t>. Al efecto, la revisión por parte del Instituto de la información entregada para dichos años fiscales se realizará a más tardar el 31 de diciembre de 2019</w:t>
      </w:r>
      <w:r w:rsidRPr="00B71232">
        <w:t xml:space="preserve">. </w:t>
      </w:r>
    </w:p>
    <w:p w:rsidR="00612472" w:rsidRDefault="00612472" w:rsidP="00974C50">
      <w:pPr>
        <w:pStyle w:val="Normalresolucion"/>
        <w:spacing w:line="276" w:lineRule="auto"/>
      </w:pPr>
      <w:r>
        <w:t xml:space="preserve">Asimismo, para efectos de la revisión anual de la información de separación contable y, en su caso, de la atención por parte de los sujetos regulados a cualquier observación que les realice el Instituto, se estima conveniente </w:t>
      </w:r>
      <w:r w:rsidR="00907118">
        <w:t xml:space="preserve">que el plazo de </w:t>
      </w:r>
      <w:r w:rsidR="00907118">
        <w:lastRenderedPageBreak/>
        <w:t xml:space="preserve">atención se pueda determinar en función del tipo </w:t>
      </w:r>
      <w:r>
        <w:t xml:space="preserve">de observaciones </w:t>
      </w:r>
      <w:r w:rsidR="00907118">
        <w:t>a atender</w:t>
      </w:r>
      <w:r>
        <w:t xml:space="preserve">. Y, en consecuencia, a fin de dar mayor certeza sobre la revisión de la información de separación contable entregada por los sujetos obligados, </w:t>
      </w:r>
      <w:r w:rsidR="00130059">
        <w:t>se estima</w:t>
      </w:r>
      <w:r>
        <w:t xml:space="preserve"> conveniente integrar un informe que refleje la valoración </w:t>
      </w:r>
      <w:r w:rsidR="00130059">
        <w:t xml:space="preserve">final </w:t>
      </w:r>
      <w:r>
        <w:t>realizada por el Instituto</w:t>
      </w:r>
      <w:r w:rsidR="00130059">
        <w:t>.</w:t>
      </w:r>
    </w:p>
    <w:p w:rsidR="00620000" w:rsidRPr="00B71232" w:rsidRDefault="00244D5E" w:rsidP="00433DF7">
      <w:pPr>
        <w:pStyle w:val="Normalresolucion"/>
        <w:spacing w:line="276" w:lineRule="auto"/>
      </w:pPr>
      <w:r w:rsidRPr="00B71232">
        <w:t xml:space="preserve">Por todo lo anterior, se considera que las modificaciones propuestas a la metodología de separación contable establecida en el Acuerdo de SC y </w:t>
      </w:r>
      <w:r w:rsidR="00D02DE6" w:rsidRPr="00B71232">
        <w:t>su modificatorio</w:t>
      </w:r>
      <w:r w:rsidRPr="00B71232">
        <w:t xml:space="preserve">, resultan razonables para garantizar el logro de los objetivos definidos para la separación contable de los </w:t>
      </w:r>
      <w:r w:rsidR="00F554B0">
        <w:t>destinatarios de la norma</w:t>
      </w:r>
      <w:r w:rsidR="00D02DE6" w:rsidRPr="00B71232">
        <w:t>.</w:t>
      </w:r>
      <w:r w:rsidRPr="00B71232">
        <w:t xml:space="preserve"> </w:t>
      </w:r>
      <w:r w:rsidR="0061257D" w:rsidRPr="00B71232">
        <w:t xml:space="preserve"> </w:t>
      </w:r>
    </w:p>
    <w:p w:rsidR="000F16E7" w:rsidRPr="003D1373" w:rsidRDefault="001C3EC4" w:rsidP="00433DF7">
      <w:pPr>
        <w:pStyle w:val="Ttulo2"/>
        <w:spacing w:line="276" w:lineRule="auto"/>
        <w:rPr>
          <w:vanish/>
          <w:specVanish/>
        </w:rPr>
      </w:pPr>
      <w:r w:rsidRPr="00B71232">
        <w:t xml:space="preserve">TERCERO. </w:t>
      </w:r>
      <w:r w:rsidR="000F16E7" w:rsidRPr="00B71232">
        <w:t>CONSULTA PÚBLICA</w:t>
      </w:r>
      <w:r w:rsidR="003D1373">
        <w:t xml:space="preserve">. </w:t>
      </w:r>
    </w:p>
    <w:p w:rsidR="004229EB" w:rsidRPr="00B71232" w:rsidRDefault="003D1373" w:rsidP="00433DF7">
      <w:pPr>
        <w:pStyle w:val="Normalresolucion"/>
        <w:spacing w:line="276" w:lineRule="auto"/>
      </w:pPr>
      <w:r>
        <w:t xml:space="preserve"> </w:t>
      </w:r>
      <w:r w:rsidR="00C8461E" w:rsidRPr="00B71232">
        <w:t xml:space="preserve">La consulta pública tiene por objeto cumplir con los principios de transparencia y participación ciudadana por parte del Instituto, con la finalidad de recabar comentarios de la industria, de especialistas en la materia y del público en general, </w:t>
      </w:r>
      <w:r w:rsidR="004229EB" w:rsidRPr="00B71232">
        <w:t>que contribuyan a un mejor diseño y planteamiento d</w:t>
      </w:r>
      <w:r w:rsidR="006A369D" w:rsidRPr="00B71232">
        <w:t>e la propuesta de modificación</w:t>
      </w:r>
      <w:r w:rsidR="004229EB" w:rsidRPr="00B71232">
        <w:t xml:space="preserve"> que se pretende.</w:t>
      </w:r>
    </w:p>
    <w:p w:rsidR="001C3EC4" w:rsidRPr="00B71232" w:rsidRDefault="001C3EC4" w:rsidP="00433DF7">
      <w:pPr>
        <w:pStyle w:val="Normalresolucion"/>
        <w:spacing w:line="276" w:lineRule="auto"/>
      </w:pPr>
      <w:r w:rsidRPr="00B71232">
        <w:t xml:space="preserve">El artículo 51 de la </w:t>
      </w:r>
      <w:r w:rsidR="00BE18A8" w:rsidRPr="00B71232">
        <w:t xml:space="preserve">LFTR establece que, para la emisión </w:t>
      </w:r>
      <w:r w:rsidR="000F16E7" w:rsidRPr="00B71232">
        <w:t xml:space="preserve">y </w:t>
      </w:r>
      <w:r w:rsidR="00BE18A8" w:rsidRPr="00B71232">
        <w:t xml:space="preserve">modificación </w:t>
      </w:r>
      <w:r w:rsidR="000F16E7" w:rsidRPr="00B71232">
        <w:t xml:space="preserve">de reglas, </w:t>
      </w:r>
      <w:r w:rsidRPr="00B71232">
        <w:t xml:space="preserve">lineamientos, o disposiciones </w:t>
      </w:r>
      <w:r w:rsidR="00BE18A8" w:rsidRPr="00B71232">
        <w:t xml:space="preserve">administrativas </w:t>
      </w:r>
      <w:r w:rsidRPr="00B71232">
        <w:t>de carácter</w:t>
      </w:r>
      <w:r w:rsidR="000F16E7" w:rsidRPr="00B71232">
        <w:t xml:space="preserve"> gener</w:t>
      </w:r>
      <w:r w:rsidR="00BE18A8" w:rsidRPr="00B71232">
        <w:t>al</w:t>
      </w:r>
      <w:r w:rsidR="000F16E7" w:rsidRPr="00B71232">
        <w:t xml:space="preserve">, así como en cualquier </w:t>
      </w:r>
      <w:r w:rsidRPr="00B71232">
        <w:t>caso que determine el Pleno,</w:t>
      </w:r>
      <w:r w:rsidR="00BE18A8" w:rsidRPr="00B71232">
        <w:t xml:space="preserve"> </w:t>
      </w:r>
      <w:r w:rsidRPr="00B71232">
        <w:t>el Instituto deberá realizar consultas públicas bajo los</w:t>
      </w:r>
      <w:r w:rsidR="000F16E7" w:rsidRPr="00B71232">
        <w:t xml:space="preserve"> </w:t>
      </w:r>
      <w:r w:rsidRPr="00B71232">
        <w:t>principios de transparencia y participación ciudadana.</w:t>
      </w:r>
    </w:p>
    <w:p w:rsidR="00C8461E" w:rsidRPr="00B71232" w:rsidRDefault="00C8461E" w:rsidP="00433DF7">
      <w:pPr>
        <w:pStyle w:val="Normalresolucion"/>
        <w:spacing w:line="276" w:lineRule="auto"/>
      </w:pPr>
      <w:r w:rsidRPr="00B71232">
        <w:t>Asimismo, los Lineamientos de Consulta Pública y Análisis de Impacto Regulatorio del Instituto Federal de Telecomunicaciones, establecen que:</w:t>
      </w:r>
    </w:p>
    <w:p w:rsidR="005D7727" w:rsidRDefault="005D7727" w:rsidP="005D7727">
      <w:pPr>
        <w:pStyle w:val="Texto"/>
        <w:spacing w:after="0" w:line="240" w:lineRule="auto"/>
        <w:ind w:left="567" w:right="567" w:firstLine="0"/>
        <w:rPr>
          <w:rFonts w:ascii="ITC Avant Garde" w:hAnsi="ITC Avant Garde" w:cstheme="minorBidi"/>
          <w:i/>
          <w:sz w:val="20"/>
          <w:lang w:val="es-MX" w:eastAsia="en-US"/>
        </w:rPr>
      </w:pPr>
    </w:p>
    <w:p w:rsidR="00D02DE6" w:rsidRPr="00B71232" w:rsidRDefault="00C8461E" w:rsidP="00596B17">
      <w:pPr>
        <w:pStyle w:val="Texto"/>
        <w:spacing w:line="276" w:lineRule="auto"/>
        <w:ind w:left="567" w:right="567" w:firstLine="0"/>
        <w:rPr>
          <w:rFonts w:ascii="ITC Avant Garde" w:hAnsi="ITC Avant Garde" w:cstheme="minorBidi"/>
          <w:i/>
          <w:sz w:val="20"/>
          <w:lang w:val="es-MX" w:eastAsia="en-US"/>
        </w:rPr>
      </w:pPr>
      <w:r w:rsidRPr="00B71232">
        <w:rPr>
          <w:rFonts w:ascii="ITC Avant Garde" w:hAnsi="ITC Avant Garde" w:cstheme="minorBidi"/>
          <w:i/>
          <w:sz w:val="20"/>
          <w:lang w:val="es-MX" w:eastAsia="en-US"/>
        </w:rPr>
        <w:t xml:space="preserve">“Los procesos de consulta pública que lleve a cabo el Instituto deberán tener una duración de, al menos, 20 (veinte) días hábiles, salvo disposición expresa en otro ordenamiento. La duración máxima, en cada caso, </w:t>
      </w:r>
      <w:r w:rsidRPr="00B71232">
        <w:rPr>
          <w:rFonts w:ascii="ITC Avant Garde" w:hAnsi="ITC Avant Garde" w:cstheme="minorBidi"/>
          <w:b/>
          <w:i/>
          <w:sz w:val="20"/>
          <w:u w:val="single"/>
          <w:lang w:val="es-MX" w:eastAsia="en-US"/>
        </w:rPr>
        <w:t>la determinará el Pleno</w:t>
      </w:r>
      <w:r w:rsidRPr="00B71232">
        <w:rPr>
          <w:rFonts w:ascii="ITC Avant Garde" w:hAnsi="ITC Avant Garde" w:cstheme="minorBidi"/>
          <w:i/>
          <w:sz w:val="20"/>
          <w:lang w:val="es-MX" w:eastAsia="en-US"/>
        </w:rPr>
        <w:t xml:space="preserve"> con base en la complejidad e importancia de que se trate el Anteproyecto, Regulación o asunto de interés que se someta a dicho proceso, </w:t>
      </w:r>
      <w:r w:rsidRPr="00B71232">
        <w:rPr>
          <w:rFonts w:ascii="ITC Avant Garde" w:hAnsi="ITC Avant Garde" w:cstheme="minorBidi"/>
          <w:b/>
          <w:i/>
          <w:sz w:val="20"/>
          <w:u w:val="single"/>
          <w:lang w:val="es-MX" w:eastAsia="en-US"/>
        </w:rPr>
        <w:t>salvo que determine una duración menor mediante</w:t>
      </w:r>
      <w:r w:rsidRPr="00B71232">
        <w:rPr>
          <w:rFonts w:ascii="ITC Avant Garde" w:hAnsi="ITC Avant Garde" w:cstheme="minorBidi"/>
          <w:i/>
          <w:sz w:val="20"/>
          <w:lang w:val="es-MX" w:eastAsia="en-US"/>
        </w:rPr>
        <w:t xml:space="preserve"> </w:t>
      </w:r>
      <w:r w:rsidRPr="00B71232">
        <w:rPr>
          <w:rFonts w:ascii="ITC Avant Garde" w:hAnsi="ITC Avant Garde" w:cstheme="minorBidi"/>
          <w:b/>
          <w:i/>
          <w:sz w:val="20"/>
          <w:u w:val="single"/>
          <w:lang w:val="es-MX" w:eastAsia="en-US"/>
        </w:rPr>
        <w:t>causa justificada</w:t>
      </w:r>
      <w:r w:rsidR="00F05FE3" w:rsidRPr="00B71232">
        <w:rPr>
          <w:rFonts w:ascii="ITC Avant Garde" w:hAnsi="ITC Avant Garde" w:cstheme="minorBidi"/>
          <w:i/>
          <w:sz w:val="20"/>
          <w:lang w:val="es-MX" w:eastAsia="en-US"/>
        </w:rPr>
        <w:t>.”</w:t>
      </w:r>
      <w:r w:rsidR="002D3D99" w:rsidRPr="00B71232">
        <w:rPr>
          <w:rFonts w:ascii="ITC Avant Garde" w:hAnsi="ITC Avant Garde" w:cstheme="minorBidi"/>
          <w:i/>
          <w:sz w:val="20"/>
          <w:lang w:val="es-MX" w:eastAsia="en-US"/>
        </w:rPr>
        <w:t xml:space="preserve"> </w:t>
      </w:r>
    </w:p>
    <w:p w:rsidR="00C8461E" w:rsidRPr="00B71232" w:rsidRDefault="00C8461E" w:rsidP="00D02DE6">
      <w:pPr>
        <w:pStyle w:val="Texto"/>
        <w:spacing w:line="276" w:lineRule="auto"/>
        <w:ind w:left="567" w:right="567" w:firstLine="0"/>
        <w:jc w:val="right"/>
        <w:rPr>
          <w:rFonts w:ascii="ITC Avant Garde" w:hAnsi="ITC Avant Garde" w:cstheme="minorBidi"/>
          <w:i/>
          <w:sz w:val="20"/>
          <w:lang w:val="es-MX" w:eastAsia="en-US"/>
        </w:rPr>
      </w:pPr>
      <w:r w:rsidRPr="00B71232">
        <w:rPr>
          <w:rFonts w:ascii="ITC Avant Garde" w:hAnsi="ITC Avant Garde" w:cstheme="minorBidi"/>
          <w:sz w:val="20"/>
          <w:lang w:val="es-MX" w:eastAsia="en-US"/>
        </w:rPr>
        <w:t>(</w:t>
      </w:r>
      <w:r w:rsidR="00F05FE3" w:rsidRPr="00B71232">
        <w:rPr>
          <w:rFonts w:ascii="ITC Avant Garde" w:hAnsi="ITC Avant Garde" w:cstheme="minorBidi"/>
          <w:sz w:val="20"/>
          <w:lang w:val="es-MX" w:eastAsia="en-US"/>
        </w:rPr>
        <w:t>Énfasis</w:t>
      </w:r>
      <w:r w:rsidRPr="00B71232">
        <w:rPr>
          <w:rFonts w:ascii="ITC Avant Garde" w:hAnsi="ITC Avant Garde" w:cstheme="minorBidi"/>
          <w:sz w:val="20"/>
          <w:lang w:val="es-MX" w:eastAsia="en-US"/>
        </w:rPr>
        <w:t xml:space="preserve"> añadido)</w:t>
      </w:r>
    </w:p>
    <w:p w:rsidR="005B38D0" w:rsidRPr="00B71232" w:rsidRDefault="00C8461E" w:rsidP="005B38D0">
      <w:pPr>
        <w:pStyle w:val="Normalresolucion"/>
        <w:spacing w:line="276" w:lineRule="auto"/>
      </w:pPr>
      <w:r w:rsidRPr="00B71232">
        <w:rPr>
          <w:rFonts w:cstheme="minorBidi"/>
          <w:lang w:val="es-MX" w:eastAsia="en-US"/>
        </w:rPr>
        <w:t xml:space="preserve">Se estima que en el presente caso se actualiza la hipótesis de causa justificada, </w:t>
      </w:r>
      <w:r w:rsidR="00D02DE6" w:rsidRPr="00B71232">
        <w:rPr>
          <w:rFonts w:cstheme="minorBidi"/>
          <w:lang w:val="es-MX" w:eastAsia="en-US"/>
        </w:rPr>
        <w:t xml:space="preserve">toda vez que no impone carga regulatoria a los </w:t>
      </w:r>
      <w:r w:rsidR="00F554B0">
        <w:rPr>
          <w:rFonts w:cstheme="minorBidi"/>
          <w:lang w:val="es-MX" w:eastAsia="en-US"/>
        </w:rPr>
        <w:t>destinatarios de la norma</w:t>
      </w:r>
      <w:r w:rsidR="00D02DE6" w:rsidRPr="00B71232">
        <w:rPr>
          <w:rFonts w:cstheme="minorBidi"/>
          <w:lang w:val="es-MX" w:eastAsia="en-US"/>
        </w:rPr>
        <w:t xml:space="preserve"> que deba ser valorada por estos. Por lo tanto,</w:t>
      </w:r>
      <w:r w:rsidRPr="00B71232">
        <w:t xml:space="preserve"> se </w:t>
      </w:r>
      <w:r w:rsidR="00DA0D5C" w:rsidRPr="00B71232">
        <w:t>considera suficiente que</w:t>
      </w:r>
      <w:r w:rsidRPr="00B71232">
        <w:t xml:space="preserve"> el Anteproyecto de mérito </w:t>
      </w:r>
      <w:r w:rsidR="009B55DA" w:rsidRPr="00B71232">
        <w:t xml:space="preserve">y su </w:t>
      </w:r>
      <w:r w:rsidR="009B55DA" w:rsidRPr="00B71232">
        <w:rPr>
          <w:rFonts w:cstheme="minorBidi"/>
          <w:lang w:val="es-MX" w:eastAsia="en-US"/>
        </w:rPr>
        <w:t>Análisis de Nulo Impacto Regulatorio</w:t>
      </w:r>
      <w:r w:rsidR="009B55DA" w:rsidRPr="00B71232">
        <w:t xml:space="preserve"> </w:t>
      </w:r>
      <w:r w:rsidR="00DA0D5C" w:rsidRPr="00B71232">
        <w:t>se someta a</w:t>
      </w:r>
      <w:r w:rsidRPr="00B71232">
        <w:t xml:space="preserve"> consulta pública por un plazo </w:t>
      </w:r>
      <w:r w:rsidR="00DA0D5C" w:rsidRPr="00B71232">
        <w:t>menor al previsto en los lineamientos antes referidos</w:t>
      </w:r>
      <w:r w:rsidRPr="00B71232">
        <w:t>.</w:t>
      </w:r>
      <w:r w:rsidR="00464173" w:rsidRPr="00B71232">
        <w:t xml:space="preserve"> </w:t>
      </w:r>
    </w:p>
    <w:p w:rsidR="00C8461E" w:rsidRPr="00B71232" w:rsidRDefault="00201FA0" w:rsidP="005B38D0">
      <w:pPr>
        <w:pStyle w:val="Normalresolucion"/>
        <w:spacing w:line="276" w:lineRule="auto"/>
        <w:rPr>
          <w:rFonts w:cstheme="minorBidi"/>
          <w:lang w:val="es-MX" w:eastAsia="en-US"/>
        </w:rPr>
      </w:pPr>
      <w:r w:rsidRPr="00B71232">
        <w:t>U</w:t>
      </w:r>
      <w:r w:rsidR="00C8461E" w:rsidRPr="00B71232">
        <w:t>na vez concluido el plazo de consulta respectivo, se publicarán</w:t>
      </w:r>
      <w:r w:rsidR="00C8461E" w:rsidRPr="00B71232">
        <w:rPr>
          <w:rFonts w:cstheme="minorBidi"/>
          <w:lang w:val="es-MX" w:eastAsia="en-US"/>
        </w:rPr>
        <w:t xml:space="preserve"> en el portal de Internet del Instituto todos y cada uno de los comentarios, opiniones y propuestas recibidas, a efecto de fortalecer </w:t>
      </w:r>
      <w:r w:rsidRPr="00B71232">
        <w:rPr>
          <w:rFonts w:cstheme="minorBidi"/>
          <w:lang w:val="es-MX" w:eastAsia="en-US"/>
        </w:rPr>
        <w:t xml:space="preserve">el </w:t>
      </w:r>
      <w:r w:rsidR="00C8461E" w:rsidRPr="00B71232">
        <w:rPr>
          <w:rFonts w:cstheme="minorBidi"/>
          <w:lang w:val="es-MX" w:eastAsia="en-US"/>
        </w:rPr>
        <w:t xml:space="preserve">Anteproyecto. </w:t>
      </w:r>
    </w:p>
    <w:p w:rsidR="00BE18A8" w:rsidRPr="00B71232" w:rsidRDefault="001C3EC4" w:rsidP="00433DF7">
      <w:pPr>
        <w:pStyle w:val="Normalresolucion"/>
        <w:spacing w:line="276" w:lineRule="auto"/>
      </w:pPr>
      <w:r w:rsidRPr="00B71232">
        <w:t>En este sentido, el Pleno</w:t>
      </w:r>
      <w:r w:rsidR="00BE18A8" w:rsidRPr="00B71232">
        <w:t xml:space="preserve"> </w:t>
      </w:r>
      <w:r w:rsidRPr="00B71232">
        <w:t xml:space="preserve">del Instituto estima conveniente someter </w:t>
      </w:r>
      <w:r w:rsidR="00BE18A8" w:rsidRPr="00B71232">
        <w:t xml:space="preserve">a </w:t>
      </w:r>
      <w:r w:rsidRPr="00B71232">
        <w:t>consulta pública el</w:t>
      </w:r>
      <w:r w:rsidR="000F16E7" w:rsidRPr="00B71232">
        <w:t xml:space="preserve"> </w:t>
      </w:r>
      <w:r w:rsidR="00DA0D5C" w:rsidRPr="00B71232">
        <w:rPr>
          <w:b/>
        </w:rPr>
        <w:t>“ANTEPROYECTO DE MODIFICACIÓN A LA METODOLOGÍA DE SEPARACIÓN CONTABLE APLICABLE A LOS AGENTES ECONÓMICOS PREPONDERANTES, AGENTES DECLARADOS CON PODER SUSTANCIAL DE MERCADO Y REDES COMPARTIDAS MAYORISTAS, APROBADA MEDIANTE ACUERDO P/IFT/191217/914 Y MODIFICADA MEDIANTE ACUERDO P/IFT/171018/624”</w:t>
      </w:r>
      <w:r w:rsidRPr="00B71232">
        <w:t xml:space="preserve">, </w:t>
      </w:r>
      <w:r w:rsidR="002A3A71" w:rsidRPr="00B71232">
        <w:t xml:space="preserve">así como su </w:t>
      </w:r>
      <w:r w:rsidR="002A3A71" w:rsidRPr="00B71232">
        <w:rPr>
          <w:b/>
        </w:rPr>
        <w:t>Análisis de Nulo Impacto Regulatorio</w:t>
      </w:r>
      <w:r w:rsidR="002A3A71" w:rsidRPr="00B71232">
        <w:t>,</w:t>
      </w:r>
      <w:r w:rsidR="008C3605" w:rsidRPr="00B71232">
        <w:t xml:space="preserve"> </w:t>
      </w:r>
      <w:r w:rsidR="002A3A71" w:rsidRPr="00B71232">
        <w:t>mismos que se adjuntan al presente acuerdo</w:t>
      </w:r>
      <w:r w:rsidRPr="00B71232">
        <w:t xml:space="preserve">. </w:t>
      </w:r>
    </w:p>
    <w:p w:rsidR="00A23F35" w:rsidRPr="00B71232" w:rsidRDefault="00A23F35" w:rsidP="00433DF7">
      <w:pPr>
        <w:pStyle w:val="Normalresolucion"/>
        <w:spacing w:line="276" w:lineRule="auto"/>
      </w:pPr>
      <w:r w:rsidRPr="00B71232">
        <w:t xml:space="preserve">Lo anterior sin perjuicio del cumplimiento de obligaciones </w:t>
      </w:r>
      <w:r w:rsidR="002F46BE" w:rsidRPr="00B71232">
        <w:t xml:space="preserve">a las que se encuentran sujetos los </w:t>
      </w:r>
      <w:r w:rsidR="00F554B0">
        <w:t>destinatarios de la norma</w:t>
      </w:r>
      <w:r w:rsidR="002F46BE" w:rsidRPr="00B71232">
        <w:t xml:space="preserve"> en términos del Acuerdo</w:t>
      </w:r>
      <w:r w:rsidR="00DA0D5C" w:rsidRPr="00B71232">
        <w:t xml:space="preserve"> de SC y su modificatorio</w:t>
      </w:r>
      <w:r w:rsidR="002F46BE" w:rsidRPr="00B71232">
        <w:t>.</w:t>
      </w:r>
    </w:p>
    <w:p w:rsidR="003D5198" w:rsidRPr="00B71232" w:rsidRDefault="003D5198" w:rsidP="00433DF7">
      <w:pPr>
        <w:pStyle w:val="Normalresolucion"/>
        <w:spacing w:line="276" w:lineRule="auto"/>
      </w:pPr>
      <w:r w:rsidRPr="00B71232">
        <w:t>Por las razones expuestas y con fundamento en lo dispuesto en los artículos 28, párrafos décimo quinto, décimo sexto y vigésimo, fracción IV de la Constitución Política de los Est</w:t>
      </w:r>
      <w:r w:rsidR="00590251" w:rsidRPr="00B71232">
        <w:t>ados Unidos Mexicanos; 1,</w:t>
      </w:r>
      <w:r w:rsidRPr="00B71232">
        <w:t xml:space="preserve"> 7, 15, fracción I, 16, 17, fracción I, 51 y 292 de la Ley Federal de Telecomunicaciones y Radiodifusión, y 1 y 4, fracción I del Estatuto Orgánico del Instituto Federal de Telecomunicaciones, el Pleno de este Instituto emite el siguiente:</w:t>
      </w:r>
    </w:p>
    <w:p w:rsidR="00A1321B" w:rsidRPr="00B71232" w:rsidRDefault="00A1321B" w:rsidP="00B1402D">
      <w:pPr>
        <w:pStyle w:val="Ttulo1"/>
        <w:spacing w:before="480" w:after="480" w:line="276" w:lineRule="auto"/>
      </w:pPr>
      <w:bookmarkStart w:id="5" w:name="_Toc484022086"/>
      <w:r w:rsidRPr="00B71232">
        <w:t>ACUERDO</w:t>
      </w:r>
      <w:bookmarkEnd w:id="5"/>
    </w:p>
    <w:p w:rsidR="003D1373" w:rsidRPr="003D1373" w:rsidRDefault="003D1373" w:rsidP="003D1373">
      <w:pPr>
        <w:pStyle w:val="Ttulo2"/>
        <w:rPr>
          <w:vanish/>
          <w:specVanish/>
        </w:rPr>
      </w:pPr>
      <w:r>
        <w:t xml:space="preserve">PRIMERO. </w:t>
      </w:r>
    </w:p>
    <w:p w:rsidR="00F36B4F" w:rsidRPr="00B71232" w:rsidRDefault="003D1373" w:rsidP="00433DF7">
      <w:pPr>
        <w:suppressAutoHyphens/>
        <w:spacing w:after="0" w:line="276" w:lineRule="auto"/>
        <w:jc w:val="both"/>
        <w:rPr>
          <w:rFonts w:ascii="ITC Avant Garde" w:hAnsi="ITC Avant Garde"/>
        </w:rPr>
      </w:pPr>
      <w:r>
        <w:rPr>
          <w:rFonts w:ascii="ITC Avant Garde" w:hAnsi="ITC Avant Garde"/>
        </w:rPr>
        <w:t xml:space="preserve"> </w:t>
      </w:r>
      <w:r w:rsidR="00F36B4F" w:rsidRPr="00B71232">
        <w:rPr>
          <w:rFonts w:ascii="ITC Avant Garde" w:hAnsi="ITC Avant Garde"/>
        </w:rPr>
        <w:t xml:space="preserve">Se determina someter a consulta pública el </w:t>
      </w:r>
      <w:r w:rsidR="00590251" w:rsidRPr="00B71232">
        <w:rPr>
          <w:rFonts w:ascii="ITC Avant Garde" w:hAnsi="ITC Avant Garde"/>
        </w:rPr>
        <w:t>“ANTEPROYECTO DE MODIFICACIÓN A LA METODOLOGÍA DE SEPARACIÓN CONTABLE APLICABLE A LOS AGENTES ECONÓMICOS PREPONDERANTES, AGENTES DECLARADOS CON PODER SUSTANCIAL DE MERCADO Y REDES COMPARTIDAS MAYORISTAS, APROBADA MEDIANTE ACUERDO P/IFT/191217/914 Y MODIFICADA MEDIANTE ACUERDO P/IFT/171018/624”</w:t>
      </w:r>
      <w:r w:rsidR="00C75FC9" w:rsidRPr="00B71232">
        <w:rPr>
          <w:rFonts w:ascii="ITC Avant Garde" w:hAnsi="ITC Avant Garde"/>
        </w:rPr>
        <w:t xml:space="preserve">, así como su Análisis de Nulo Impacto Regulatorio, </w:t>
      </w:r>
      <w:r w:rsidR="008D7FE7" w:rsidRPr="00B71232">
        <w:rPr>
          <w:rFonts w:ascii="ITC Avant Garde" w:hAnsi="ITC Avant Garde"/>
        </w:rPr>
        <w:t>mismos que se adjuntan al presente acuerdo</w:t>
      </w:r>
      <w:r w:rsidR="00F36B4F" w:rsidRPr="00B71232">
        <w:rPr>
          <w:rFonts w:ascii="ITC Avant Garde" w:hAnsi="ITC Avant Garde"/>
        </w:rPr>
        <w:t xml:space="preserve">, a efecto de recabar los comentarios y aportaciones de todos los interesados, que permitan identificar posibles áreas de oportunidad, así como propuestas susceptibles a incorporar en el mismo. </w:t>
      </w:r>
    </w:p>
    <w:p w:rsidR="00D65205" w:rsidRPr="00B71232" w:rsidRDefault="00D65205" w:rsidP="00433DF7">
      <w:pPr>
        <w:suppressAutoHyphens/>
        <w:spacing w:after="0" w:line="276" w:lineRule="auto"/>
        <w:jc w:val="both"/>
        <w:rPr>
          <w:rFonts w:ascii="ITC Avant Garde" w:hAnsi="ITC Avant Garde"/>
        </w:rPr>
      </w:pPr>
    </w:p>
    <w:p w:rsidR="00F36B4F" w:rsidRPr="00B71232" w:rsidRDefault="00F36B4F" w:rsidP="00433DF7">
      <w:pPr>
        <w:suppressAutoHyphens/>
        <w:spacing w:after="0" w:line="276" w:lineRule="auto"/>
        <w:jc w:val="both"/>
        <w:rPr>
          <w:rFonts w:ascii="ITC Avant Garde" w:hAnsi="ITC Avant Garde"/>
        </w:rPr>
      </w:pPr>
      <w:r w:rsidRPr="00B71232">
        <w:rPr>
          <w:rFonts w:ascii="ITC Avant Garde" w:hAnsi="ITC Avant Garde"/>
        </w:rPr>
        <w:t>Dicha consulta pública se</w:t>
      </w:r>
      <w:r w:rsidR="00D65205" w:rsidRPr="00B71232">
        <w:rPr>
          <w:rFonts w:ascii="ITC Avant Garde" w:hAnsi="ITC Avant Garde"/>
        </w:rPr>
        <w:t xml:space="preserve"> realizará durante un plazo de </w:t>
      </w:r>
      <w:r w:rsidR="00590251" w:rsidRPr="00B71232">
        <w:rPr>
          <w:rFonts w:ascii="ITC Avant Garde" w:hAnsi="ITC Avant Garde"/>
        </w:rPr>
        <w:t>5</w:t>
      </w:r>
      <w:r w:rsidRPr="00B71232">
        <w:rPr>
          <w:rFonts w:ascii="ITC Avant Garde" w:hAnsi="ITC Avant Garde"/>
        </w:rPr>
        <w:t xml:space="preserve"> (</w:t>
      </w:r>
      <w:r w:rsidR="00590251" w:rsidRPr="00B71232">
        <w:rPr>
          <w:rFonts w:ascii="ITC Avant Garde" w:hAnsi="ITC Avant Garde"/>
        </w:rPr>
        <w:t>cinco</w:t>
      </w:r>
      <w:r w:rsidRPr="00B71232">
        <w:rPr>
          <w:rFonts w:ascii="ITC Avant Garde" w:hAnsi="ITC Avant Garde"/>
        </w:rPr>
        <w:t>)</w:t>
      </w:r>
      <w:r w:rsidR="00A53E02" w:rsidRPr="00B71232">
        <w:rPr>
          <w:rFonts w:ascii="ITC Avant Garde" w:hAnsi="ITC Avant Garde"/>
        </w:rPr>
        <w:t xml:space="preserve"> días </w:t>
      </w:r>
      <w:r w:rsidR="00590251" w:rsidRPr="00B71232">
        <w:rPr>
          <w:rFonts w:ascii="ITC Avant Garde" w:hAnsi="ITC Avant Garde"/>
        </w:rPr>
        <w:t>hábiles</w:t>
      </w:r>
      <w:r w:rsidRPr="00B71232">
        <w:rPr>
          <w:rFonts w:ascii="ITC Avant Garde" w:hAnsi="ITC Avant Garde"/>
        </w:rPr>
        <w:t>, contados a partir del</w:t>
      </w:r>
      <w:r w:rsidRPr="00B71232">
        <w:rPr>
          <w:rFonts w:ascii="ITC Avant Garde" w:hAnsi="ITC Avant Garde"/>
          <w:b/>
        </w:rPr>
        <w:t xml:space="preserve"> </w:t>
      </w:r>
      <w:r w:rsidR="00B53955" w:rsidRPr="00B71232">
        <w:rPr>
          <w:rFonts w:ascii="ITC Avant Garde" w:hAnsi="ITC Avant Garde"/>
        </w:rPr>
        <w:t xml:space="preserve">día </w:t>
      </w:r>
      <w:r w:rsidR="00590251" w:rsidRPr="00B71232">
        <w:rPr>
          <w:rFonts w:ascii="ITC Avant Garde" w:hAnsi="ITC Avant Garde"/>
        </w:rPr>
        <w:t xml:space="preserve">hábil </w:t>
      </w:r>
      <w:r w:rsidR="00B53955" w:rsidRPr="00B71232">
        <w:rPr>
          <w:rFonts w:ascii="ITC Avant Garde" w:hAnsi="ITC Avant Garde"/>
        </w:rPr>
        <w:t>siguiente a su publicación en</w:t>
      </w:r>
      <w:r w:rsidR="00B53955" w:rsidRPr="00B71232">
        <w:rPr>
          <w:rFonts w:ascii="ITC Avant Garde" w:hAnsi="ITC Avant Garde"/>
          <w:b/>
        </w:rPr>
        <w:t xml:space="preserve"> </w:t>
      </w:r>
      <w:r w:rsidRPr="00B71232">
        <w:rPr>
          <w:rFonts w:ascii="ITC Avant Garde" w:hAnsi="ITC Avant Garde"/>
        </w:rPr>
        <w:t>el portal de Internet del Instituto Federal de Telecomunicaciones, para que dentro de ese plazo cualquier interesado presente sus comentarios o aportaciones sobre el particular.</w:t>
      </w:r>
    </w:p>
    <w:p w:rsidR="003D1373" w:rsidRPr="003D1373" w:rsidRDefault="003D1373" w:rsidP="003D1373">
      <w:pPr>
        <w:pStyle w:val="Ttulo2"/>
        <w:spacing w:before="160"/>
        <w:rPr>
          <w:vanish/>
          <w:specVanish/>
        </w:rPr>
      </w:pPr>
      <w:r w:rsidRPr="003D1373">
        <w:t>SEGUNDO.</w:t>
      </w:r>
      <w:r w:rsidR="00F36B4F" w:rsidRPr="003D1373">
        <w:t xml:space="preserve"> </w:t>
      </w:r>
    </w:p>
    <w:p w:rsidR="00F36B4F" w:rsidRPr="00B71232" w:rsidRDefault="003D1373" w:rsidP="00433DF7">
      <w:pPr>
        <w:autoSpaceDE w:val="0"/>
        <w:autoSpaceDN w:val="0"/>
        <w:adjustRightInd w:val="0"/>
        <w:spacing w:after="0" w:line="276" w:lineRule="auto"/>
        <w:jc w:val="both"/>
        <w:rPr>
          <w:rFonts w:ascii="ITC Avant Garde" w:hAnsi="ITC Avant Garde"/>
        </w:rPr>
      </w:pPr>
      <w:r>
        <w:rPr>
          <w:rFonts w:ascii="ITC Avant Garde" w:hAnsi="ITC Avant Garde"/>
        </w:rPr>
        <w:t xml:space="preserve"> </w:t>
      </w:r>
      <w:r w:rsidR="00F36B4F" w:rsidRPr="00B71232">
        <w:rPr>
          <w:rFonts w:ascii="ITC Avant Garde" w:hAnsi="ITC Avant Garde"/>
        </w:rPr>
        <w:t xml:space="preserve">Se instruye a </w:t>
      </w:r>
      <w:r w:rsidR="000E4B6D" w:rsidRPr="00B71232">
        <w:rPr>
          <w:rFonts w:ascii="ITC Avant Garde" w:hAnsi="ITC Avant Garde"/>
        </w:rPr>
        <w:t>la Unidad de Política Regulatoria, por conducto de la Dirección General de Desarrollo de las Telecomunicaciones y la Radiodifusión, en su calidad de área proponente, ejecutar la consulta pública materia del presente acuerdo, incluyendo la recepción y atención que</w:t>
      </w:r>
      <w:r w:rsidR="00F554B0">
        <w:rPr>
          <w:rFonts w:ascii="ITC Avant Garde" w:hAnsi="ITC Avant Garde"/>
        </w:rPr>
        <w:t>, en cada caso,</w:t>
      </w:r>
      <w:r w:rsidR="000E4B6D" w:rsidRPr="00B71232">
        <w:rPr>
          <w:rFonts w:ascii="ITC Avant Garde" w:hAnsi="ITC Avant Garde"/>
        </w:rPr>
        <w:t xml:space="preserve"> corresponda a las opiniones que sean vertidas en la consulta pública materia del presente acuerdo</w:t>
      </w:r>
      <w:r w:rsidR="00F36B4F" w:rsidRPr="00B71232">
        <w:rPr>
          <w:rFonts w:ascii="ITC Avant Garde" w:hAnsi="ITC Avant Garde"/>
        </w:rPr>
        <w:t>.</w:t>
      </w:r>
    </w:p>
    <w:p w:rsidR="00F36B4F" w:rsidRPr="005D7727" w:rsidRDefault="00F36B4F" w:rsidP="005D7727">
      <w:pPr>
        <w:autoSpaceDE w:val="0"/>
        <w:autoSpaceDN w:val="0"/>
        <w:adjustRightInd w:val="0"/>
        <w:spacing w:after="0" w:line="240" w:lineRule="auto"/>
        <w:jc w:val="both"/>
        <w:rPr>
          <w:rFonts w:ascii="ITC Avant Garde" w:hAnsi="ITC Avant Garde"/>
          <w:sz w:val="16"/>
        </w:rPr>
      </w:pPr>
    </w:p>
    <w:p w:rsidR="003D1373" w:rsidRPr="003D1373" w:rsidRDefault="003D1373" w:rsidP="003D1373">
      <w:pPr>
        <w:pStyle w:val="Ttulo2"/>
        <w:spacing w:before="160"/>
        <w:rPr>
          <w:vanish/>
          <w:specVanish/>
        </w:rPr>
      </w:pPr>
      <w:r>
        <w:t>TERCERO.</w:t>
      </w:r>
      <w:r w:rsidR="00F36B4F" w:rsidRPr="00B71232">
        <w:t xml:space="preserve"> </w:t>
      </w:r>
    </w:p>
    <w:p w:rsidR="00F36B4F" w:rsidRPr="00B71232" w:rsidRDefault="00F36B4F" w:rsidP="00433DF7">
      <w:pPr>
        <w:autoSpaceDE w:val="0"/>
        <w:autoSpaceDN w:val="0"/>
        <w:adjustRightInd w:val="0"/>
        <w:spacing w:after="0" w:line="276" w:lineRule="auto"/>
        <w:jc w:val="both"/>
        <w:rPr>
          <w:rFonts w:ascii="ITC Avant Garde" w:hAnsi="ITC Avant Garde"/>
        </w:rPr>
      </w:pPr>
      <w:r w:rsidRPr="00B71232">
        <w:rPr>
          <w:rFonts w:ascii="ITC Avant Garde" w:hAnsi="ITC Avant Garde"/>
        </w:rPr>
        <w:t>Publíquese en el portal de Internet del Instituto Federal de Telecomunicaciones.</w:t>
      </w:r>
    </w:p>
    <w:p w:rsidR="00B11691" w:rsidRPr="00B71232" w:rsidRDefault="00B11691" w:rsidP="00433DF7">
      <w:pPr>
        <w:autoSpaceDE w:val="0"/>
        <w:autoSpaceDN w:val="0"/>
        <w:adjustRightInd w:val="0"/>
        <w:spacing w:after="0" w:line="276" w:lineRule="auto"/>
        <w:jc w:val="both"/>
        <w:rPr>
          <w:rFonts w:ascii="ITC Avant Garde" w:hAnsi="ITC Avant Garde"/>
          <w:b/>
        </w:rPr>
      </w:pPr>
    </w:p>
    <w:p w:rsidR="00F36B4F" w:rsidRDefault="00F36B4F" w:rsidP="005D7727">
      <w:pPr>
        <w:autoSpaceDE w:val="0"/>
        <w:autoSpaceDN w:val="0"/>
        <w:adjustRightInd w:val="0"/>
        <w:spacing w:after="0" w:line="240" w:lineRule="auto"/>
        <w:jc w:val="center"/>
        <w:rPr>
          <w:rFonts w:ascii="ITC Avant Garde" w:hAnsi="ITC Avant Garde"/>
        </w:rPr>
      </w:pPr>
    </w:p>
    <w:p w:rsidR="005D7727" w:rsidRDefault="005D7727" w:rsidP="005D7727">
      <w:pPr>
        <w:autoSpaceDE w:val="0"/>
        <w:autoSpaceDN w:val="0"/>
        <w:adjustRightInd w:val="0"/>
        <w:spacing w:after="0" w:line="240" w:lineRule="auto"/>
        <w:jc w:val="center"/>
        <w:rPr>
          <w:rFonts w:ascii="ITC Avant Garde" w:hAnsi="ITC Avant Garde"/>
        </w:rPr>
      </w:pPr>
    </w:p>
    <w:p w:rsidR="005D7727" w:rsidRPr="005D7727" w:rsidRDefault="005D7727" w:rsidP="005D7727">
      <w:pPr>
        <w:autoSpaceDE w:val="0"/>
        <w:autoSpaceDN w:val="0"/>
        <w:adjustRightInd w:val="0"/>
        <w:spacing w:after="0" w:line="240" w:lineRule="auto"/>
        <w:jc w:val="center"/>
        <w:rPr>
          <w:rFonts w:ascii="ITC Avant Garde" w:hAnsi="ITC Avant Garde"/>
          <w:sz w:val="14"/>
        </w:rPr>
      </w:pPr>
    </w:p>
    <w:p w:rsidR="006447CD" w:rsidRDefault="006447CD" w:rsidP="005D7727">
      <w:pPr>
        <w:adjustRightInd w:val="0"/>
        <w:spacing w:after="0" w:line="276" w:lineRule="auto"/>
        <w:jc w:val="center"/>
        <w:rPr>
          <w:rFonts w:ascii="ITC Avant Garde" w:hAnsi="ITC Avant Garde" w:cs="Arial"/>
          <w:b/>
        </w:rPr>
      </w:pPr>
    </w:p>
    <w:p w:rsidR="005D7727" w:rsidRDefault="005D7727" w:rsidP="005D7727">
      <w:pPr>
        <w:adjustRightInd w:val="0"/>
        <w:spacing w:after="0" w:line="276" w:lineRule="auto"/>
        <w:jc w:val="center"/>
        <w:rPr>
          <w:rFonts w:ascii="ITC Avant Garde" w:hAnsi="ITC Avant Garde" w:cs="Arial"/>
          <w:b/>
        </w:rPr>
      </w:pPr>
    </w:p>
    <w:p w:rsidR="005D7727" w:rsidRPr="00B71232" w:rsidRDefault="005D7727" w:rsidP="005D7727">
      <w:pPr>
        <w:adjustRightInd w:val="0"/>
        <w:spacing w:after="0" w:line="276" w:lineRule="auto"/>
        <w:ind w:right="333"/>
        <w:jc w:val="center"/>
        <w:rPr>
          <w:rFonts w:ascii="ITC Avant Garde" w:hAnsi="ITC Avant Garde" w:cs="Arial"/>
          <w:b/>
        </w:rPr>
      </w:pPr>
    </w:p>
    <w:p w:rsidR="00D73F8E" w:rsidRPr="005D7727" w:rsidRDefault="00D73F8E" w:rsidP="005D7727">
      <w:pPr>
        <w:adjustRightInd w:val="0"/>
        <w:spacing w:after="0" w:line="240" w:lineRule="auto"/>
        <w:ind w:right="333"/>
        <w:jc w:val="center"/>
        <w:rPr>
          <w:rFonts w:ascii="ITC Avant Garde" w:hAnsi="ITC Avant Garde" w:cs="Arial"/>
          <w:b/>
          <w:sz w:val="18"/>
        </w:rPr>
      </w:pPr>
    </w:p>
    <w:p w:rsidR="006447CD" w:rsidRPr="00B71232" w:rsidRDefault="006447CD" w:rsidP="005D7727">
      <w:pPr>
        <w:adjustRightInd w:val="0"/>
        <w:spacing w:after="0" w:line="240" w:lineRule="auto"/>
        <w:ind w:right="333"/>
        <w:jc w:val="center"/>
        <w:rPr>
          <w:rFonts w:ascii="ITC Avant Garde" w:hAnsi="ITC Avant Garde" w:cs="Arial"/>
          <w:b/>
          <w:bCs/>
          <w:lang w:bidi="he-IL"/>
        </w:rPr>
      </w:pPr>
      <w:r w:rsidRPr="00B71232">
        <w:rPr>
          <w:rFonts w:ascii="ITC Avant Garde" w:hAnsi="ITC Avant Garde" w:cs="Arial"/>
          <w:b/>
          <w:bCs/>
          <w:lang w:bidi="he-IL"/>
        </w:rPr>
        <w:t>Gabriel Oswaldo Contreras Saldívar</w:t>
      </w:r>
    </w:p>
    <w:p w:rsidR="006447CD" w:rsidRPr="00B71232" w:rsidRDefault="006447CD" w:rsidP="005D7727">
      <w:pPr>
        <w:adjustRightInd w:val="0"/>
        <w:spacing w:after="0" w:line="240" w:lineRule="auto"/>
        <w:ind w:right="333"/>
        <w:jc w:val="center"/>
        <w:rPr>
          <w:rFonts w:ascii="ITC Avant Garde" w:hAnsi="ITC Avant Garde" w:cs="Arial"/>
          <w:b/>
        </w:rPr>
      </w:pPr>
      <w:r w:rsidRPr="00B71232">
        <w:rPr>
          <w:rFonts w:ascii="ITC Avant Garde" w:hAnsi="ITC Avant Garde" w:cs="Arial"/>
          <w:b/>
        </w:rPr>
        <w:t>Comisionado Presidente</w:t>
      </w:r>
    </w:p>
    <w:p w:rsidR="006447CD" w:rsidRDefault="006447CD" w:rsidP="005D7727">
      <w:pPr>
        <w:adjustRightInd w:val="0"/>
        <w:spacing w:after="0" w:line="240" w:lineRule="auto"/>
        <w:ind w:right="333"/>
        <w:jc w:val="center"/>
        <w:rPr>
          <w:rFonts w:ascii="ITC Avant Garde" w:hAnsi="ITC Avant Garde" w:cs="Arial"/>
          <w:b/>
        </w:rPr>
      </w:pPr>
    </w:p>
    <w:p w:rsidR="005D7727" w:rsidRDefault="005D7727" w:rsidP="005D7727">
      <w:pPr>
        <w:adjustRightInd w:val="0"/>
        <w:spacing w:after="0" w:line="240" w:lineRule="auto"/>
        <w:ind w:right="333"/>
        <w:jc w:val="center"/>
        <w:rPr>
          <w:rFonts w:ascii="ITC Avant Garde" w:hAnsi="ITC Avant Garde" w:cs="Arial"/>
          <w:b/>
        </w:rPr>
      </w:pPr>
    </w:p>
    <w:p w:rsidR="005D7727" w:rsidRPr="00B71232" w:rsidRDefault="005D7727" w:rsidP="005D7727">
      <w:pPr>
        <w:adjustRightInd w:val="0"/>
        <w:spacing w:after="0" w:line="240" w:lineRule="auto"/>
        <w:ind w:right="333"/>
        <w:jc w:val="center"/>
        <w:rPr>
          <w:rFonts w:ascii="ITC Avant Garde" w:hAnsi="ITC Avant Garde" w:cs="Arial"/>
          <w:b/>
        </w:rPr>
      </w:pPr>
    </w:p>
    <w:p w:rsidR="006447CD" w:rsidRPr="00B71232" w:rsidRDefault="006447CD" w:rsidP="005D7727">
      <w:pPr>
        <w:adjustRightInd w:val="0"/>
        <w:spacing w:after="0" w:line="240" w:lineRule="auto"/>
        <w:ind w:right="333"/>
        <w:jc w:val="center"/>
        <w:rPr>
          <w:rFonts w:ascii="ITC Avant Garde" w:hAnsi="ITC Avant Garde" w:cs="Arial"/>
          <w:b/>
        </w:rPr>
      </w:pPr>
    </w:p>
    <w:tbl>
      <w:tblPr>
        <w:tblStyle w:val="Tablanormal4"/>
        <w:tblW w:w="8719" w:type="dxa"/>
        <w:shd w:val="clear" w:color="auto" w:fill="FFFFFF" w:themeFill="background1"/>
        <w:tblLayout w:type="fixed"/>
        <w:tblLook w:val="04A0" w:firstRow="1" w:lastRow="0" w:firstColumn="1" w:lastColumn="0" w:noHBand="0" w:noVBand="1"/>
      </w:tblPr>
      <w:tblGrid>
        <w:gridCol w:w="4367"/>
        <w:gridCol w:w="343"/>
        <w:gridCol w:w="4009"/>
      </w:tblGrid>
      <w:tr w:rsidR="006447CD" w:rsidRPr="00B71232" w:rsidTr="005D7727">
        <w:trPr>
          <w:cnfStyle w:val="100000000000" w:firstRow="1" w:lastRow="0" w:firstColumn="0" w:lastColumn="0" w:oddVBand="0" w:evenVBand="0" w:oddHBand="0" w:evenHBand="0" w:firstRowFirstColumn="0" w:firstRowLastColumn="0" w:lastRowFirstColumn="0" w:lastRowLastColumn="0"/>
          <w:trHeight w:val="1306"/>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tcPr>
          <w:p w:rsidR="00C95693" w:rsidRPr="00B71232" w:rsidRDefault="00C95693" w:rsidP="005D7727">
            <w:pPr>
              <w:adjustRightInd w:val="0"/>
              <w:ind w:right="333"/>
              <w:jc w:val="center"/>
              <w:rPr>
                <w:rFonts w:ascii="ITC Avant Garde" w:hAnsi="ITC Avant Garde" w:cs="Arial"/>
                <w:lang w:val="es-MX"/>
              </w:rPr>
            </w:pPr>
            <w:r w:rsidRPr="00B71232">
              <w:rPr>
                <w:rFonts w:ascii="ITC Avant Garde" w:hAnsi="ITC Avant Garde" w:cs="Arial"/>
                <w:lang w:val="es-MX"/>
              </w:rPr>
              <w:t>María Elena Estavillo Flores Comisionada</w:t>
            </w:r>
          </w:p>
          <w:p w:rsidR="006447CD" w:rsidRPr="00B71232" w:rsidRDefault="006447CD" w:rsidP="005D7727">
            <w:pPr>
              <w:adjustRightInd w:val="0"/>
              <w:ind w:right="333"/>
              <w:jc w:val="center"/>
              <w:rPr>
                <w:rFonts w:ascii="ITC Avant Garde" w:hAnsi="ITC Avant Garde" w:cs="Arial"/>
                <w:lang w:val="es-MX"/>
              </w:rPr>
            </w:pPr>
          </w:p>
        </w:tc>
        <w:tc>
          <w:tcPr>
            <w:tcW w:w="343" w:type="dxa"/>
            <w:shd w:val="clear" w:color="auto" w:fill="FFFFFF" w:themeFill="background1"/>
          </w:tcPr>
          <w:p w:rsidR="006447CD" w:rsidRPr="00B71232" w:rsidRDefault="006447CD"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c>
          <w:tcPr>
            <w:tcW w:w="4009" w:type="dxa"/>
            <w:shd w:val="clear" w:color="auto" w:fill="FFFFFF" w:themeFill="background1"/>
          </w:tcPr>
          <w:p w:rsidR="00C95693" w:rsidRPr="00B71232" w:rsidRDefault="00C95693"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B71232">
              <w:rPr>
                <w:rFonts w:ascii="ITC Avant Garde" w:hAnsi="ITC Avant Garde" w:cs="Arial"/>
                <w:lang w:val="es-MX"/>
              </w:rPr>
              <w:t>Mario Germán Fromow Rangel</w:t>
            </w:r>
          </w:p>
          <w:p w:rsidR="00C95693" w:rsidRDefault="00C95693"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B71232">
              <w:rPr>
                <w:rFonts w:ascii="ITC Avant Garde" w:hAnsi="ITC Avant Garde" w:cs="Arial"/>
                <w:lang w:val="es-MX"/>
              </w:rPr>
              <w:t>Comisionado</w:t>
            </w:r>
          </w:p>
          <w:p w:rsidR="005D7727" w:rsidRDefault="005D7727"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p w:rsidR="005D7727" w:rsidRDefault="005D7727"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p w:rsidR="005D7727" w:rsidRPr="00B71232" w:rsidRDefault="005D7727"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p w:rsidR="006447CD" w:rsidRPr="00B71232" w:rsidRDefault="006447CD" w:rsidP="005D7727">
            <w:pPr>
              <w:adjustRightInd w:val="0"/>
              <w:ind w:right="3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r>
      <w:tr w:rsidR="006447CD" w:rsidRPr="00B71232" w:rsidTr="005D7727">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hideMark/>
          </w:tcPr>
          <w:p w:rsidR="00C95693" w:rsidRPr="00B71232" w:rsidRDefault="00C95693" w:rsidP="005D7727">
            <w:pPr>
              <w:adjustRightInd w:val="0"/>
              <w:ind w:right="333"/>
              <w:jc w:val="center"/>
              <w:rPr>
                <w:rFonts w:ascii="ITC Avant Garde" w:hAnsi="ITC Avant Garde" w:cs="Arial"/>
                <w:lang w:val="es-MX"/>
              </w:rPr>
            </w:pPr>
            <w:r w:rsidRPr="00B71232">
              <w:rPr>
                <w:rFonts w:ascii="ITC Avant Garde" w:hAnsi="ITC Avant Garde" w:cs="Arial"/>
                <w:lang w:val="es-MX"/>
              </w:rPr>
              <w:t>Adolfo Cuevas Teja</w:t>
            </w:r>
          </w:p>
          <w:p w:rsidR="00EB6178" w:rsidRPr="00B71232" w:rsidRDefault="00C95693" w:rsidP="005D7727">
            <w:pPr>
              <w:adjustRightInd w:val="0"/>
              <w:ind w:right="333"/>
              <w:jc w:val="center"/>
              <w:rPr>
                <w:rFonts w:ascii="ITC Avant Garde" w:hAnsi="ITC Avant Garde" w:cs="Arial"/>
                <w:lang w:val="es-MX"/>
              </w:rPr>
            </w:pPr>
            <w:r w:rsidRPr="00B71232">
              <w:rPr>
                <w:rFonts w:ascii="ITC Avant Garde" w:hAnsi="ITC Avant Garde" w:cs="Arial"/>
                <w:lang w:val="es-MX"/>
              </w:rPr>
              <w:t>Comisionado</w:t>
            </w:r>
          </w:p>
          <w:p w:rsidR="006447CD" w:rsidRPr="00B71232" w:rsidRDefault="006447CD" w:rsidP="005D7727">
            <w:pPr>
              <w:adjustRightInd w:val="0"/>
              <w:ind w:right="333"/>
              <w:jc w:val="center"/>
              <w:rPr>
                <w:rFonts w:ascii="ITC Avant Garde" w:hAnsi="ITC Avant Garde" w:cs="Arial"/>
                <w:lang w:val="es-MX"/>
              </w:rPr>
            </w:pPr>
          </w:p>
          <w:p w:rsidR="006447CD" w:rsidRPr="00B71232" w:rsidRDefault="006447CD" w:rsidP="005D7727">
            <w:pPr>
              <w:adjustRightInd w:val="0"/>
              <w:ind w:right="333"/>
              <w:jc w:val="center"/>
              <w:rPr>
                <w:rFonts w:ascii="ITC Avant Garde" w:hAnsi="ITC Avant Garde" w:cs="Arial"/>
                <w:lang w:val="es-MX"/>
              </w:rPr>
            </w:pPr>
          </w:p>
        </w:tc>
        <w:tc>
          <w:tcPr>
            <w:tcW w:w="343" w:type="dxa"/>
            <w:shd w:val="clear" w:color="auto" w:fill="FFFFFF" w:themeFill="background1"/>
          </w:tcPr>
          <w:p w:rsidR="006447CD" w:rsidRPr="00B71232" w:rsidRDefault="006447CD"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c>
          <w:tcPr>
            <w:tcW w:w="4009" w:type="dxa"/>
            <w:shd w:val="clear" w:color="auto" w:fill="FFFFFF" w:themeFill="background1"/>
          </w:tcPr>
          <w:p w:rsidR="00C95693" w:rsidRPr="00B71232" w:rsidRDefault="00C95693"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Javier Juárez Mojica</w:t>
            </w:r>
          </w:p>
          <w:p w:rsidR="006447CD" w:rsidRDefault="00C95693"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Comisionado</w:t>
            </w:r>
          </w:p>
          <w:p w:rsidR="005D7727" w:rsidRDefault="005D7727"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p w:rsidR="005D7727" w:rsidRDefault="005D7727"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p w:rsidR="005D7727" w:rsidRPr="00B71232" w:rsidRDefault="005D7727"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p w:rsidR="006447CD" w:rsidRPr="00B71232" w:rsidRDefault="006447CD" w:rsidP="005D7727">
            <w:pPr>
              <w:adjustRightInd w:val="0"/>
              <w:ind w:right="33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r>
      <w:tr w:rsidR="006447CD" w:rsidRPr="00B71232" w:rsidTr="005D7727">
        <w:trPr>
          <w:trHeight w:val="821"/>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tcPr>
          <w:p w:rsidR="00C95693" w:rsidRPr="00B71232" w:rsidRDefault="00C95693" w:rsidP="005D7727">
            <w:pPr>
              <w:adjustRightInd w:val="0"/>
              <w:ind w:right="333"/>
              <w:jc w:val="center"/>
              <w:rPr>
                <w:rFonts w:ascii="ITC Avant Garde" w:hAnsi="ITC Avant Garde" w:cs="Arial"/>
                <w:lang w:val="es-MX"/>
              </w:rPr>
            </w:pPr>
            <w:r w:rsidRPr="00B71232">
              <w:rPr>
                <w:rFonts w:ascii="ITC Avant Garde" w:hAnsi="ITC Avant Garde" w:cs="Arial"/>
                <w:lang w:val="es-MX"/>
              </w:rPr>
              <w:t>Arturo Robles Rovalo</w:t>
            </w:r>
          </w:p>
          <w:p w:rsidR="006447CD" w:rsidRPr="00B71232" w:rsidRDefault="00C95693" w:rsidP="005D7727">
            <w:pPr>
              <w:adjustRightInd w:val="0"/>
              <w:ind w:right="333"/>
              <w:jc w:val="center"/>
              <w:rPr>
                <w:rFonts w:ascii="ITC Avant Garde" w:hAnsi="ITC Avant Garde" w:cs="Arial"/>
                <w:lang w:val="es-MX"/>
              </w:rPr>
            </w:pPr>
            <w:r w:rsidRPr="00B71232">
              <w:rPr>
                <w:rFonts w:ascii="ITC Avant Garde" w:hAnsi="ITC Avant Garde" w:cs="Arial"/>
                <w:lang w:val="es-MX"/>
              </w:rPr>
              <w:t>Comisionado</w:t>
            </w:r>
          </w:p>
        </w:tc>
        <w:tc>
          <w:tcPr>
            <w:tcW w:w="343" w:type="dxa"/>
            <w:shd w:val="clear" w:color="auto" w:fill="FFFFFF" w:themeFill="background1"/>
          </w:tcPr>
          <w:p w:rsidR="006447CD" w:rsidRPr="00B71232" w:rsidRDefault="006447CD" w:rsidP="005D7727">
            <w:pPr>
              <w:adjustRightInd w:val="0"/>
              <w:ind w:right="33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p>
        </w:tc>
        <w:tc>
          <w:tcPr>
            <w:tcW w:w="4009" w:type="dxa"/>
            <w:shd w:val="clear" w:color="auto" w:fill="FFFFFF" w:themeFill="background1"/>
          </w:tcPr>
          <w:p w:rsidR="006447CD" w:rsidRPr="00B71232" w:rsidRDefault="00C95693" w:rsidP="005D7727">
            <w:pPr>
              <w:adjustRightInd w:val="0"/>
              <w:ind w:right="33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Sóstenes Díaz González</w:t>
            </w:r>
          </w:p>
          <w:p w:rsidR="006447CD" w:rsidRPr="00B71232" w:rsidRDefault="006447CD" w:rsidP="005D7727">
            <w:pPr>
              <w:tabs>
                <w:tab w:val="center" w:pos="2647"/>
                <w:tab w:val="left" w:pos="4230"/>
              </w:tabs>
              <w:adjustRightInd w:val="0"/>
              <w:ind w:right="33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B71232">
              <w:rPr>
                <w:rFonts w:ascii="ITC Avant Garde" w:hAnsi="ITC Avant Garde" w:cs="Arial"/>
                <w:b/>
                <w:lang w:val="es-MX"/>
              </w:rPr>
              <w:t>Comisionado</w:t>
            </w:r>
          </w:p>
        </w:tc>
      </w:tr>
    </w:tbl>
    <w:p w:rsidR="005D7727" w:rsidRPr="005D7727" w:rsidRDefault="005D7727" w:rsidP="005D7727">
      <w:pPr>
        <w:pStyle w:val="Prrafodelista"/>
        <w:spacing w:after="0" w:line="240" w:lineRule="auto"/>
        <w:ind w:left="0"/>
        <w:jc w:val="both"/>
        <w:rPr>
          <w:rFonts w:ascii="ITC Avant Garde" w:hAnsi="ITC Avant Garde"/>
          <w:sz w:val="12"/>
        </w:rPr>
      </w:pPr>
      <w:r w:rsidRPr="005D7727">
        <w:rPr>
          <w:rFonts w:ascii="ITC Avant Garde" w:hAnsi="ITC Avant Garde"/>
          <w:sz w:val="12"/>
        </w:rPr>
        <w:t>El presente Acuerdo fue aprobado por el Pleno del Instituto Federal de Telecomunicaciones en su XXXIV Sesión Ordinaria celebrada el 14 de noviembre de 2018, por</w:t>
      </w:r>
      <w:r w:rsidRPr="005D7727">
        <w:rPr>
          <w:rFonts w:ascii="ITC Avant Garde" w:hAnsi="ITC Avant Garde"/>
          <w:bCs/>
          <w:sz w:val="12"/>
        </w:rPr>
        <w:t xml:space="preserve"> unanimidad</w:t>
      </w:r>
      <w:r w:rsidRPr="005D7727">
        <w:rPr>
          <w:rFonts w:ascii="ITC Avant Garde" w:hAnsi="ITC Avant Garde"/>
          <w:sz w:val="12"/>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w:t>
      </w:r>
      <w:r w:rsidR="006C3643">
        <w:rPr>
          <w:rFonts w:ascii="ITC Avant Garde" w:hAnsi="ITC Avant Garde"/>
          <w:sz w:val="12"/>
        </w:rPr>
        <w:t>ediante Acuerdo P/IFT/141118/707</w:t>
      </w:r>
      <w:bookmarkStart w:id="6" w:name="_GoBack"/>
      <w:bookmarkEnd w:id="6"/>
      <w:r w:rsidRPr="005D7727">
        <w:rPr>
          <w:rFonts w:ascii="ITC Avant Garde" w:hAnsi="ITC Avant Garde"/>
          <w:sz w:val="12"/>
        </w:rPr>
        <w:t>.</w:t>
      </w:r>
    </w:p>
    <w:p w:rsidR="005D7727" w:rsidRPr="005D7727" w:rsidRDefault="005D7727" w:rsidP="005D7727">
      <w:pPr>
        <w:spacing w:after="0" w:line="240" w:lineRule="auto"/>
        <w:ind w:right="49"/>
        <w:jc w:val="both"/>
        <w:rPr>
          <w:rFonts w:ascii="ITC Avant Garde" w:hAnsi="ITC Avant Garde"/>
          <w:sz w:val="12"/>
          <w:lang w:val="es-ES"/>
        </w:rPr>
      </w:pPr>
    </w:p>
    <w:p w:rsidR="006447CD" w:rsidRPr="00B71232" w:rsidRDefault="005D7727" w:rsidP="005D7727">
      <w:pPr>
        <w:tabs>
          <w:tab w:val="left" w:pos="142"/>
          <w:tab w:val="left" w:pos="5954"/>
        </w:tabs>
        <w:spacing w:after="0" w:line="240" w:lineRule="auto"/>
        <w:jc w:val="both"/>
        <w:rPr>
          <w:rFonts w:ascii="ITC Avant Garde" w:hAnsi="ITC Avant Garde" w:cs="Arial"/>
          <w:lang w:val="es-ES" w:eastAsia="es-ES"/>
        </w:rPr>
      </w:pPr>
      <w:r w:rsidRPr="005D7727">
        <w:rPr>
          <w:rFonts w:ascii="ITC Avant Garde" w:hAnsi="ITC Avant Garde"/>
          <w:bCs/>
          <w:sz w:val="12"/>
          <w:lang w:eastAsia="es-MX"/>
        </w:rPr>
        <w:t>El Comisionado Javier Juárez Mojica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6447CD" w:rsidRPr="00B71232" w:rsidSect="005D7727">
      <w:headerReference w:type="even" r:id="rId11"/>
      <w:footerReference w:type="default" r:id="rId12"/>
      <w:pgSz w:w="12240" w:h="15840"/>
      <w:pgMar w:top="2126"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1C" w:rsidRDefault="00F3171C" w:rsidP="001D2142">
      <w:pPr>
        <w:spacing w:after="0" w:line="240" w:lineRule="auto"/>
      </w:pPr>
      <w:r>
        <w:separator/>
      </w:r>
    </w:p>
  </w:endnote>
  <w:endnote w:type="continuationSeparator" w:id="0">
    <w:p w:rsidR="00F3171C" w:rsidRDefault="00F3171C" w:rsidP="001D2142">
      <w:pPr>
        <w:spacing w:after="0" w:line="240" w:lineRule="auto"/>
      </w:pPr>
      <w:r>
        <w:continuationSeparator/>
      </w:r>
    </w:p>
  </w:endnote>
  <w:endnote w:type="continuationNotice" w:id="1">
    <w:p w:rsidR="00F3171C" w:rsidRDefault="00F31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eastAsia="Calibri" w:hAnsi="ITC Avant Garde" w:cs="Arial"/>
      </w:rPr>
      <w:id w:val="1222486127"/>
      <w:docPartObj>
        <w:docPartGallery w:val="Page Numbers (Bottom of Page)"/>
        <w:docPartUnique/>
      </w:docPartObj>
    </w:sdtPr>
    <w:sdtEndPr/>
    <w:sdtContent>
      <w:sdt>
        <w:sdtPr>
          <w:rPr>
            <w:rFonts w:ascii="ITC Avant Garde" w:eastAsia="Calibri" w:hAnsi="ITC Avant Garde" w:cs="Arial"/>
          </w:rPr>
          <w:id w:val="426083431"/>
          <w:docPartObj>
            <w:docPartGallery w:val="Page Numbers (Top of Page)"/>
            <w:docPartUnique/>
          </w:docPartObj>
        </w:sdtPr>
        <w:sdtEndPr/>
        <w:sdtContent>
          <w:p w:rsidR="00F934CF" w:rsidRDefault="00F934CF" w:rsidP="00625A2E">
            <w:pPr>
              <w:tabs>
                <w:tab w:val="center" w:pos="4419"/>
                <w:tab w:val="right" w:pos="8838"/>
              </w:tabs>
              <w:spacing w:after="0" w:line="240" w:lineRule="auto"/>
              <w:jc w:val="right"/>
              <w:rPr>
                <w:rFonts w:ascii="ITC Avant Garde" w:eastAsia="Calibri" w:hAnsi="ITC Avant Garde" w:cs="Arial"/>
              </w:rPr>
            </w:pPr>
          </w:p>
          <w:p w:rsidR="00F934CF" w:rsidRPr="00A03731" w:rsidRDefault="00F934CF" w:rsidP="00A03731">
            <w:pPr>
              <w:tabs>
                <w:tab w:val="center" w:pos="4419"/>
                <w:tab w:val="right" w:pos="8838"/>
              </w:tabs>
              <w:spacing w:after="0" w:line="240" w:lineRule="auto"/>
              <w:jc w:val="right"/>
              <w:rPr>
                <w:rFonts w:ascii="ITC Avant Garde" w:eastAsia="Calibri" w:hAnsi="ITC Avant Garde" w:cs="Arial"/>
              </w:rPr>
            </w:pPr>
            <w:r w:rsidRPr="00A03731">
              <w:rPr>
                <w:rFonts w:ascii="ITC Avant Garde" w:eastAsia="Calibri" w:hAnsi="ITC Avant Garde" w:cs="Arial"/>
                <w:bCs/>
                <w:szCs w:val="24"/>
              </w:rPr>
              <w:fldChar w:fldCharType="begin"/>
            </w:r>
            <w:r w:rsidRPr="00A03731">
              <w:rPr>
                <w:rFonts w:ascii="ITC Avant Garde" w:eastAsia="Calibri" w:hAnsi="ITC Avant Garde" w:cs="Arial"/>
                <w:bCs/>
                <w:sz w:val="20"/>
              </w:rPr>
              <w:instrText>PAGE</w:instrText>
            </w:r>
            <w:r w:rsidRPr="00A03731">
              <w:rPr>
                <w:rFonts w:ascii="ITC Avant Garde" w:eastAsia="Calibri" w:hAnsi="ITC Avant Garde" w:cs="Arial"/>
                <w:bCs/>
                <w:szCs w:val="24"/>
              </w:rPr>
              <w:fldChar w:fldCharType="separate"/>
            </w:r>
            <w:r w:rsidR="006C3643">
              <w:rPr>
                <w:rFonts w:ascii="ITC Avant Garde" w:eastAsia="Calibri" w:hAnsi="ITC Avant Garde" w:cs="Arial"/>
                <w:bCs/>
                <w:noProof/>
                <w:sz w:val="20"/>
              </w:rPr>
              <w:t>8</w:t>
            </w:r>
            <w:r w:rsidRPr="00A03731">
              <w:rPr>
                <w:rFonts w:ascii="ITC Avant Garde" w:eastAsia="Calibri" w:hAnsi="ITC Avant Garde" w:cs="Arial"/>
                <w:bCs/>
                <w:szCs w:val="24"/>
              </w:rPr>
              <w:fldChar w:fldCharType="end"/>
            </w:r>
            <w:r w:rsidRPr="00A03731">
              <w:rPr>
                <w:rFonts w:ascii="ITC Avant Garde" w:eastAsia="Calibri" w:hAnsi="ITC Avant Garde" w:cs="Arial"/>
                <w:sz w:val="20"/>
                <w:lang w:val="es-ES"/>
              </w:rPr>
              <w:t xml:space="preserve"> de </w:t>
            </w:r>
            <w:r w:rsidRPr="00A03731">
              <w:rPr>
                <w:rFonts w:ascii="ITC Avant Garde" w:eastAsia="Calibri" w:hAnsi="ITC Avant Garde" w:cs="Arial"/>
                <w:bCs/>
                <w:szCs w:val="24"/>
              </w:rPr>
              <w:fldChar w:fldCharType="begin"/>
            </w:r>
            <w:r w:rsidRPr="00A03731">
              <w:rPr>
                <w:rFonts w:ascii="ITC Avant Garde" w:eastAsia="Calibri" w:hAnsi="ITC Avant Garde" w:cs="Arial"/>
                <w:bCs/>
                <w:sz w:val="20"/>
              </w:rPr>
              <w:instrText>NUMPAGES</w:instrText>
            </w:r>
            <w:r w:rsidRPr="00A03731">
              <w:rPr>
                <w:rFonts w:ascii="ITC Avant Garde" w:eastAsia="Calibri" w:hAnsi="ITC Avant Garde" w:cs="Arial"/>
                <w:bCs/>
                <w:szCs w:val="24"/>
              </w:rPr>
              <w:fldChar w:fldCharType="separate"/>
            </w:r>
            <w:r w:rsidR="006C3643">
              <w:rPr>
                <w:rFonts w:ascii="ITC Avant Garde" w:eastAsia="Calibri" w:hAnsi="ITC Avant Garde" w:cs="Arial"/>
                <w:bCs/>
                <w:noProof/>
                <w:sz w:val="20"/>
              </w:rPr>
              <w:t>8</w:t>
            </w:r>
            <w:r w:rsidRPr="00A03731">
              <w:rPr>
                <w:rFonts w:ascii="ITC Avant Garde" w:eastAsia="Calibri" w:hAnsi="ITC Avant Garde" w:cs="Arial"/>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1C" w:rsidRDefault="00F3171C" w:rsidP="001D2142">
      <w:pPr>
        <w:spacing w:after="0" w:line="240" w:lineRule="auto"/>
      </w:pPr>
      <w:r>
        <w:separator/>
      </w:r>
    </w:p>
  </w:footnote>
  <w:footnote w:type="continuationSeparator" w:id="0">
    <w:p w:rsidR="00F3171C" w:rsidRDefault="00F3171C" w:rsidP="001D2142">
      <w:pPr>
        <w:spacing w:after="0" w:line="240" w:lineRule="auto"/>
      </w:pPr>
      <w:r>
        <w:continuationSeparator/>
      </w:r>
    </w:p>
  </w:footnote>
  <w:footnote w:type="continuationNotice" w:id="1">
    <w:p w:rsidR="00F3171C" w:rsidRDefault="00F3171C">
      <w:pPr>
        <w:spacing w:after="0" w:line="240" w:lineRule="auto"/>
      </w:pPr>
    </w:p>
  </w:footnote>
  <w:footnote w:id="2">
    <w:p w:rsidR="00244D5E" w:rsidRPr="003D1373" w:rsidRDefault="00244D5E" w:rsidP="00244D5E">
      <w:pPr>
        <w:pStyle w:val="Textonotapie"/>
        <w:jc w:val="both"/>
        <w:rPr>
          <w:rFonts w:ascii="ITC Avant Garde Std Bk" w:hAnsi="ITC Avant Garde Std Bk"/>
        </w:rPr>
      </w:pPr>
      <w:r w:rsidRPr="003D1373">
        <w:rPr>
          <w:rStyle w:val="Refdenotaalpie"/>
          <w:rFonts w:ascii="ITC Avant Garde Std Bk" w:hAnsi="ITC Avant Garde Std Bk"/>
          <w:sz w:val="16"/>
        </w:rPr>
        <w:footnoteRef/>
      </w:r>
      <w:r w:rsidRPr="003D1373">
        <w:rPr>
          <w:rFonts w:ascii="ITC Avant Garde Std Bk" w:hAnsi="ITC Avant Garde Std Bk"/>
          <w:sz w:val="16"/>
        </w:rPr>
        <w:t xml:space="preserve"> En el caso de las afiliadas independientes del agente económico preponderante en el sector de radiodifusión, solo aplica lo relativo al APARTADO VI del </w:t>
      </w:r>
      <w:r w:rsidR="00156177" w:rsidRPr="00156177">
        <w:rPr>
          <w:rFonts w:ascii="ITC Avant Garde Std Bk" w:hAnsi="ITC Avant Garde Std Bk"/>
          <w:sz w:val="16"/>
        </w:rPr>
        <w:t xml:space="preserve">Anexo Único del Acuerdo de SC, cuya modificación fue aprobada mediante </w:t>
      </w:r>
      <w:r w:rsidRPr="003D1373">
        <w:rPr>
          <w:rFonts w:ascii="ITC Avant Garde Std Bk" w:hAnsi="ITC Avant Garde Std Bk"/>
          <w:sz w:val="16"/>
        </w:rPr>
        <w:t>Acuerdo P/IFT/171018/624.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CF" w:rsidRDefault="006C3643">
    <w:pPr>
      <w:pStyle w:val="Encabezado"/>
    </w:pPr>
    <w:r>
      <w:rPr>
        <w:noProof/>
      </w:rPr>
      <w:pict w14:anchorId="48AF3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7" o:spid="_x0000_s2053" type="#_x0000_t136" style="position:absolute;margin-left:0;margin-top:0;width:534.05pt;height:89pt;rotation:315;z-index:-251658752;mso-position-horizontal:center;mso-position-horizontal-relative:margin;mso-position-vertical:center;mso-position-vertical-relative:margin" o:allowincell="f" fillcolor="#a5a5a5 [2092]"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9.5pt;height:35.25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9"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0"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18" w15:restartNumberingAfterBreak="0">
    <w:nsid w:val="53110D2C"/>
    <w:multiLevelType w:val="hybridMultilevel"/>
    <w:tmpl w:val="2822EA0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F">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1"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23"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26"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1"/>
  </w:num>
  <w:num w:numId="2">
    <w:abstractNumId w:val="17"/>
  </w:num>
  <w:num w:numId="3">
    <w:abstractNumId w:val="1"/>
  </w:num>
  <w:num w:numId="4">
    <w:abstractNumId w:val="21"/>
  </w:num>
  <w:num w:numId="5">
    <w:abstractNumId w:val="12"/>
  </w:num>
  <w:num w:numId="6">
    <w:abstractNumId w:val="13"/>
  </w:num>
  <w:num w:numId="7">
    <w:abstractNumId w:val="20"/>
  </w:num>
  <w:num w:numId="8">
    <w:abstractNumId w:val="19"/>
  </w:num>
  <w:num w:numId="9">
    <w:abstractNumId w:val="4"/>
  </w:num>
  <w:num w:numId="10">
    <w:abstractNumId w:val="8"/>
  </w:num>
  <w:num w:numId="11">
    <w:abstractNumId w:val="25"/>
  </w:num>
  <w:num w:numId="12">
    <w:abstractNumId w:val="0"/>
  </w:num>
  <w:num w:numId="13">
    <w:abstractNumId w:val="22"/>
  </w:num>
  <w:num w:numId="14">
    <w:abstractNumId w:val="10"/>
  </w:num>
  <w:num w:numId="15">
    <w:abstractNumId w:val="7"/>
  </w:num>
  <w:num w:numId="16">
    <w:abstractNumId w:val="16"/>
  </w:num>
  <w:num w:numId="17">
    <w:abstractNumId w:val="15"/>
  </w:num>
  <w:num w:numId="18">
    <w:abstractNumId w:val="5"/>
  </w:num>
  <w:num w:numId="19">
    <w:abstractNumId w:val="28"/>
  </w:num>
  <w:num w:numId="20">
    <w:abstractNumId w:val="26"/>
  </w:num>
  <w:num w:numId="21">
    <w:abstractNumId w:val="27"/>
  </w:num>
  <w:num w:numId="22">
    <w:abstractNumId w:val="6"/>
  </w:num>
  <w:num w:numId="23">
    <w:abstractNumId w:val="24"/>
  </w:num>
  <w:num w:numId="24">
    <w:abstractNumId w:val="2"/>
  </w:num>
  <w:num w:numId="25">
    <w:abstractNumId w:val="23"/>
  </w:num>
  <w:num w:numId="26">
    <w:abstractNumId w:val="14"/>
  </w:num>
  <w:num w:numId="27">
    <w:abstractNumId w:val="3"/>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67C8"/>
    <w:rsid w:val="000073A6"/>
    <w:rsid w:val="000078CA"/>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5274"/>
    <w:rsid w:val="0002589C"/>
    <w:rsid w:val="00025C7D"/>
    <w:rsid w:val="00026623"/>
    <w:rsid w:val="00026D16"/>
    <w:rsid w:val="0002718E"/>
    <w:rsid w:val="00027313"/>
    <w:rsid w:val="00027343"/>
    <w:rsid w:val="00027397"/>
    <w:rsid w:val="00027534"/>
    <w:rsid w:val="0003020B"/>
    <w:rsid w:val="000305F5"/>
    <w:rsid w:val="00031A57"/>
    <w:rsid w:val="0003203D"/>
    <w:rsid w:val="000320E3"/>
    <w:rsid w:val="00032A5B"/>
    <w:rsid w:val="00032B9F"/>
    <w:rsid w:val="000349B9"/>
    <w:rsid w:val="00035EFD"/>
    <w:rsid w:val="00035EFE"/>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50493"/>
    <w:rsid w:val="00050CA2"/>
    <w:rsid w:val="00050D16"/>
    <w:rsid w:val="000510F0"/>
    <w:rsid w:val="00051136"/>
    <w:rsid w:val="000515FC"/>
    <w:rsid w:val="000519D7"/>
    <w:rsid w:val="00051C08"/>
    <w:rsid w:val="0005208A"/>
    <w:rsid w:val="00052F09"/>
    <w:rsid w:val="00052F33"/>
    <w:rsid w:val="000532FA"/>
    <w:rsid w:val="00053456"/>
    <w:rsid w:val="0005365F"/>
    <w:rsid w:val="00053E1A"/>
    <w:rsid w:val="0005441B"/>
    <w:rsid w:val="0005485B"/>
    <w:rsid w:val="00055617"/>
    <w:rsid w:val="00055B97"/>
    <w:rsid w:val="00055CC1"/>
    <w:rsid w:val="00056369"/>
    <w:rsid w:val="000566AD"/>
    <w:rsid w:val="00056B21"/>
    <w:rsid w:val="00056FA7"/>
    <w:rsid w:val="00057605"/>
    <w:rsid w:val="00060A1C"/>
    <w:rsid w:val="00060D13"/>
    <w:rsid w:val="00062F55"/>
    <w:rsid w:val="00063268"/>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838"/>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D68"/>
    <w:rsid w:val="000A52E7"/>
    <w:rsid w:val="000A570E"/>
    <w:rsid w:val="000A591E"/>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91"/>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A61"/>
    <w:rsid w:val="000C5A8A"/>
    <w:rsid w:val="000C6246"/>
    <w:rsid w:val="000C712F"/>
    <w:rsid w:val="000C7EAD"/>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FE"/>
    <w:rsid w:val="000E77B8"/>
    <w:rsid w:val="000E78CE"/>
    <w:rsid w:val="000E7EB3"/>
    <w:rsid w:val="000E7F51"/>
    <w:rsid w:val="000F0508"/>
    <w:rsid w:val="000F0EAC"/>
    <w:rsid w:val="000F16E7"/>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99B"/>
    <w:rsid w:val="0010208A"/>
    <w:rsid w:val="00102AB1"/>
    <w:rsid w:val="00102B32"/>
    <w:rsid w:val="001032D2"/>
    <w:rsid w:val="00103860"/>
    <w:rsid w:val="00103C06"/>
    <w:rsid w:val="00103D31"/>
    <w:rsid w:val="001049A1"/>
    <w:rsid w:val="00104EEB"/>
    <w:rsid w:val="001050C5"/>
    <w:rsid w:val="00105712"/>
    <w:rsid w:val="00105879"/>
    <w:rsid w:val="00105BD4"/>
    <w:rsid w:val="00105CA8"/>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FE2"/>
    <w:rsid w:val="0012221F"/>
    <w:rsid w:val="0012285C"/>
    <w:rsid w:val="00122B2D"/>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279A9"/>
    <w:rsid w:val="00130059"/>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0D3"/>
    <w:rsid w:val="00143546"/>
    <w:rsid w:val="00143687"/>
    <w:rsid w:val="00143BB6"/>
    <w:rsid w:val="00144651"/>
    <w:rsid w:val="00144989"/>
    <w:rsid w:val="00144AFA"/>
    <w:rsid w:val="00144BB7"/>
    <w:rsid w:val="001450C2"/>
    <w:rsid w:val="00145FBF"/>
    <w:rsid w:val="00145FDC"/>
    <w:rsid w:val="001460B0"/>
    <w:rsid w:val="00147B17"/>
    <w:rsid w:val="00147F6D"/>
    <w:rsid w:val="001500A8"/>
    <w:rsid w:val="0015016D"/>
    <w:rsid w:val="0015043A"/>
    <w:rsid w:val="001507AE"/>
    <w:rsid w:val="001509AE"/>
    <w:rsid w:val="0015198F"/>
    <w:rsid w:val="00151C03"/>
    <w:rsid w:val="001529DE"/>
    <w:rsid w:val="00153350"/>
    <w:rsid w:val="00153823"/>
    <w:rsid w:val="00153FD9"/>
    <w:rsid w:val="00154F13"/>
    <w:rsid w:val="001550E3"/>
    <w:rsid w:val="001558DA"/>
    <w:rsid w:val="00155F13"/>
    <w:rsid w:val="00156130"/>
    <w:rsid w:val="00156177"/>
    <w:rsid w:val="00156FC7"/>
    <w:rsid w:val="0015720F"/>
    <w:rsid w:val="00157535"/>
    <w:rsid w:val="001576EE"/>
    <w:rsid w:val="0016005F"/>
    <w:rsid w:val="00160509"/>
    <w:rsid w:val="00160F2C"/>
    <w:rsid w:val="0016104E"/>
    <w:rsid w:val="0016107C"/>
    <w:rsid w:val="001612E2"/>
    <w:rsid w:val="00161CAC"/>
    <w:rsid w:val="001621FD"/>
    <w:rsid w:val="0016229D"/>
    <w:rsid w:val="001623D3"/>
    <w:rsid w:val="0016297A"/>
    <w:rsid w:val="00162A80"/>
    <w:rsid w:val="0016361A"/>
    <w:rsid w:val="00163727"/>
    <w:rsid w:val="00163A1F"/>
    <w:rsid w:val="001642A6"/>
    <w:rsid w:val="001643BF"/>
    <w:rsid w:val="001645E8"/>
    <w:rsid w:val="0016462A"/>
    <w:rsid w:val="00164F43"/>
    <w:rsid w:val="0016587F"/>
    <w:rsid w:val="00165BC0"/>
    <w:rsid w:val="00165DBD"/>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46"/>
    <w:rsid w:val="00175AB5"/>
    <w:rsid w:val="00175E1C"/>
    <w:rsid w:val="00175E89"/>
    <w:rsid w:val="001761B7"/>
    <w:rsid w:val="0017655C"/>
    <w:rsid w:val="00176675"/>
    <w:rsid w:val="00176834"/>
    <w:rsid w:val="0017694B"/>
    <w:rsid w:val="00177835"/>
    <w:rsid w:val="001804E4"/>
    <w:rsid w:val="001810E5"/>
    <w:rsid w:val="00181150"/>
    <w:rsid w:val="00181368"/>
    <w:rsid w:val="0018208A"/>
    <w:rsid w:val="00182613"/>
    <w:rsid w:val="00182A02"/>
    <w:rsid w:val="00183620"/>
    <w:rsid w:val="0018419B"/>
    <w:rsid w:val="00184A29"/>
    <w:rsid w:val="00185481"/>
    <w:rsid w:val="00185967"/>
    <w:rsid w:val="00185EB1"/>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EC4"/>
    <w:rsid w:val="001C3EDB"/>
    <w:rsid w:val="001C5630"/>
    <w:rsid w:val="001C5AD3"/>
    <w:rsid w:val="001C5B66"/>
    <w:rsid w:val="001C657A"/>
    <w:rsid w:val="001C6D97"/>
    <w:rsid w:val="001C7348"/>
    <w:rsid w:val="001C7B59"/>
    <w:rsid w:val="001D006F"/>
    <w:rsid w:val="001D0BB2"/>
    <w:rsid w:val="001D0E89"/>
    <w:rsid w:val="001D1206"/>
    <w:rsid w:val="001D1583"/>
    <w:rsid w:val="001D2142"/>
    <w:rsid w:val="001D21C7"/>
    <w:rsid w:val="001D23B4"/>
    <w:rsid w:val="001D2870"/>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5104"/>
    <w:rsid w:val="001F571F"/>
    <w:rsid w:val="001F5FFC"/>
    <w:rsid w:val="001F60D9"/>
    <w:rsid w:val="001F70EF"/>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58D4"/>
    <w:rsid w:val="00215DF5"/>
    <w:rsid w:val="002166C7"/>
    <w:rsid w:val="0021683D"/>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306BE"/>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D5E"/>
    <w:rsid w:val="00244FFE"/>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904"/>
    <w:rsid w:val="002579AE"/>
    <w:rsid w:val="00257A34"/>
    <w:rsid w:val="0026060F"/>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64A"/>
    <w:rsid w:val="00266774"/>
    <w:rsid w:val="00267069"/>
    <w:rsid w:val="00267E1C"/>
    <w:rsid w:val="002702AB"/>
    <w:rsid w:val="0027071E"/>
    <w:rsid w:val="00270A96"/>
    <w:rsid w:val="00270C4E"/>
    <w:rsid w:val="002716A0"/>
    <w:rsid w:val="00271A6A"/>
    <w:rsid w:val="00271ACB"/>
    <w:rsid w:val="00271B6F"/>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AA7"/>
    <w:rsid w:val="00285467"/>
    <w:rsid w:val="002862BF"/>
    <w:rsid w:val="00286A51"/>
    <w:rsid w:val="0028737D"/>
    <w:rsid w:val="002902F1"/>
    <w:rsid w:val="00290D43"/>
    <w:rsid w:val="00291486"/>
    <w:rsid w:val="002922D6"/>
    <w:rsid w:val="00292526"/>
    <w:rsid w:val="00292899"/>
    <w:rsid w:val="00292AB9"/>
    <w:rsid w:val="00293DEC"/>
    <w:rsid w:val="0029456D"/>
    <w:rsid w:val="00294760"/>
    <w:rsid w:val="00294FA3"/>
    <w:rsid w:val="002952B8"/>
    <w:rsid w:val="002954A9"/>
    <w:rsid w:val="00295AA1"/>
    <w:rsid w:val="00295E4D"/>
    <w:rsid w:val="00295F71"/>
    <w:rsid w:val="0029647D"/>
    <w:rsid w:val="00296E0F"/>
    <w:rsid w:val="00297D7D"/>
    <w:rsid w:val="002A0599"/>
    <w:rsid w:val="002A1A1B"/>
    <w:rsid w:val="002A1A8E"/>
    <w:rsid w:val="002A1C6C"/>
    <w:rsid w:val="002A1E8B"/>
    <w:rsid w:val="002A2B48"/>
    <w:rsid w:val="002A2D19"/>
    <w:rsid w:val="002A2E8C"/>
    <w:rsid w:val="002A3A71"/>
    <w:rsid w:val="002A3D8A"/>
    <w:rsid w:val="002A40BA"/>
    <w:rsid w:val="002A53D6"/>
    <w:rsid w:val="002A5430"/>
    <w:rsid w:val="002A5714"/>
    <w:rsid w:val="002A5872"/>
    <w:rsid w:val="002A5B93"/>
    <w:rsid w:val="002A607A"/>
    <w:rsid w:val="002A6875"/>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3F8F"/>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799"/>
    <w:rsid w:val="002E6FD4"/>
    <w:rsid w:val="002E7858"/>
    <w:rsid w:val="002E7D26"/>
    <w:rsid w:val="002E7E86"/>
    <w:rsid w:val="002F03C5"/>
    <w:rsid w:val="002F0E87"/>
    <w:rsid w:val="002F1D11"/>
    <w:rsid w:val="002F2365"/>
    <w:rsid w:val="002F2503"/>
    <w:rsid w:val="002F2635"/>
    <w:rsid w:val="002F26EA"/>
    <w:rsid w:val="002F2BF6"/>
    <w:rsid w:val="002F2CEF"/>
    <w:rsid w:val="002F309C"/>
    <w:rsid w:val="002F46BE"/>
    <w:rsid w:val="002F4C9E"/>
    <w:rsid w:val="002F5B28"/>
    <w:rsid w:val="002F5EE4"/>
    <w:rsid w:val="002F6458"/>
    <w:rsid w:val="002F78FC"/>
    <w:rsid w:val="002F798B"/>
    <w:rsid w:val="002F7C82"/>
    <w:rsid w:val="002F7F38"/>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3DA"/>
    <w:rsid w:val="0032068B"/>
    <w:rsid w:val="00320743"/>
    <w:rsid w:val="00321743"/>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3F0"/>
    <w:rsid w:val="003356D4"/>
    <w:rsid w:val="00337BF1"/>
    <w:rsid w:val="00337C7C"/>
    <w:rsid w:val="00340035"/>
    <w:rsid w:val="003400C1"/>
    <w:rsid w:val="003404AC"/>
    <w:rsid w:val="00340D4D"/>
    <w:rsid w:val="00340E8D"/>
    <w:rsid w:val="00341347"/>
    <w:rsid w:val="00341685"/>
    <w:rsid w:val="0034171B"/>
    <w:rsid w:val="00341C6C"/>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40FE"/>
    <w:rsid w:val="00354388"/>
    <w:rsid w:val="003543E0"/>
    <w:rsid w:val="00354E86"/>
    <w:rsid w:val="0035567B"/>
    <w:rsid w:val="00355B52"/>
    <w:rsid w:val="00355DCA"/>
    <w:rsid w:val="0035662A"/>
    <w:rsid w:val="00356C11"/>
    <w:rsid w:val="00356D32"/>
    <w:rsid w:val="00357D2B"/>
    <w:rsid w:val="00360A3B"/>
    <w:rsid w:val="00360A4D"/>
    <w:rsid w:val="00360B3D"/>
    <w:rsid w:val="00360D15"/>
    <w:rsid w:val="0036165B"/>
    <w:rsid w:val="00361742"/>
    <w:rsid w:val="00361817"/>
    <w:rsid w:val="00362326"/>
    <w:rsid w:val="00362348"/>
    <w:rsid w:val="0036289E"/>
    <w:rsid w:val="003630EA"/>
    <w:rsid w:val="003631D3"/>
    <w:rsid w:val="00363ADF"/>
    <w:rsid w:val="003658E1"/>
    <w:rsid w:val="00365E46"/>
    <w:rsid w:val="00366230"/>
    <w:rsid w:val="00366352"/>
    <w:rsid w:val="00367208"/>
    <w:rsid w:val="00367314"/>
    <w:rsid w:val="00367B9C"/>
    <w:rsid w:val="003700CC"/>
    <w:rsid w:val="00370222"/>
    <w:rsid w:val="00370428"/>
    <w:rsid w:val="003705E8"/>
    <w:rsid w:val="00370911"/>
    <w:rsid w:val="0037096E"/>
    <w:rsid w:val="00370ABE"/>
    <w:rsid w:val="003724A2"/>
    <w:rsid w:val="003725B5"/>
    <w:rsid w:val="003734D3"/>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4D8"/>
    <w:rsid w:val="003817C9"/>
    <w:rsid w:val="003825C8"/>
    <w:rsid w:val="00383507"/>
    <w:rsid w:val="00383DA8"/>
    <w:rsid w:val="00383DDA"/>
    <w:rsid w:val="003840CC"/>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099"/>
    <w:rsid w:val="00391174"/>
    <w:rsid w:val="00391A39"/>
    <w:rsid w:val="0039272B"/>
    <w:rsid w:val="00392B1B"/>
    <w:rsid w:val="00393AA3"/>
    <w:rsid w:val="00393E8E"/>
    <w:rsid w:val="00393F2D"/>
    <w:rsid w:val="0039444F"/>
    <w:rsid w:val="00394719"/>
    <w:rsid w:val="00394B58"/>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A9"/>
    <w:rsid w:val="003C1238"/>
    <w:rsid w:val="003C1548"/>
    <w:rsid w:val="003C178E"/>
    <w:rsid w:val="003C1799"/>
    <w:rsid w:val="003C1827"/>
    <w:rsid w:val="003C206F"/>
    <w:rsid w:val="003C218D"/>
    <w:rsid w:val="003C253A"/>
    <w:rsid w:val="003C279A"/>
    <w:rsid w:val="003C2BC7"/>
    <w:rsid w:val="003C2BE1"/>
    <w:rsid w:val="003C2DDF"/>
    <w:rsid w:val="003C2FF6"/>
    <w:rsid w:val="003C3CF4"/>
    <w:rsid w:val="003C4851"/>
    <w:rsid w:val="003C4B84"/>
    <w:rsid w:val="003C508B"/>
    <w:rsid w:val="003C53E4"/>
    <w:rsid w:val="003C6018"/>
    <w:rsid w:val="003C60E0"/>
    <w:rsid w:val="003C69BA"/>
    <w:rsid w:val="003C7860"/>
    <w:rsid w:val="003C7D41"/>
    <w:rsid w:val="003D013C"/>
    <w:rsid w:val="003D064A"/>
    <w:rsid w:val="003D0860"/>
    <w:rsid w:val="003D12E5"/>
    <w:rsid w:val="003D1373"/>
    <w:rsid w:val="003D189D"/>
    <w:rsid w:val="003D2197"/>
    <w:rsid w:val="003D21E5"/>
    <w:rsid w:val="003D2A3C"/>
    <w:rsid w:val="003D2AEB"/>
    <w:rsid w:val="003D2B52"/>
    <w:rsid w:val="003D387D"/>
    <w:rsid w:val="003D4368"/>
    <w:rsid w:val="003D439D"/>
    <w:rsid w:val="003D456F"/>
    <w:rsid w:val="003D4A9A"/>
    <w:rsid w:val="003D5198"/>
    <w:rsid w:val="003D5B7E"/>
    <w:rsid w:val="003D5F23"/>
    <w:rsid w:val="003D6BBE"/>
    <w:rsid w:val="003D6C19"/>
    <w:rsid w:val="003D6C4A"/>
    <w:rsid w:val="003D7248"/>
    <w:rsid w:val="003D7388"/>
    <w:rsid w:val="003D7404"/>
    <w:rsid w:val="003D78C8"/>
    <w:rsid w:val="003D7B0B"/>
    <w:rsid w:val="003D7B8E"/>
    <w:rsid w:val="003E03E7"/>
    <w:rsid w:val="003E14AA"/>
    <w:rsid w:val="003E1F8C"/>
    <w:rsid w:val="003E22A1"/>
    <w:rsid w:val="003E243F"/>
    <w:rsid w:val="003E2895"/>
    <w:rsid w:val="003E29DE"/>
    <w:rsid w:val="003E2C15"/>
    <w:rsid w:val="003E3153"/>
    <w:rsid w:val="003E33A5"/>
    <w:rsid w:val="003E3F31"/>
    <w:rsid w:val="003E4056"/>
    <w:rsid w:val="003E40AD"/>
    <w:rsid w:val="003E4A6F"/>
    <w:rsid w:val="003E532B"/>
    <w:rsid w:val="003E583B"/>
    <w:rsid w:val="003E5D41"/>
    <w:rsid w:val="003E606C"/>
    <w:rsid w:val="003E69BC"/>
    <w:rsid w:val="003E69CA"/>
    <w:rsid w:val="003E6E83"/>
    <w:rsid w:val="003E730F"/>
    <w:rsid w:val="003E7919"/>
    <w:rsid w:val="003E7E56"/>
    <w:rsid w:val="003F0615"/>
    <w:rsid w:val="003F0C30"/>
    <w:rsid w:val="003F1949"/>
    <w:rsid w:val="003F1D7F"/>
    <w:rsid w:val="003F2688"/>
    <w:rsid w:val="003F3008"/>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E9"/>
    <w:rsid w:val="00411C77"/>
    <w:rsid w:val="00411D06"/>
    <w:rsid w:val="00412025"/>
    <w:rsid w:val="00412D6E"/>
    <w:rsid w:val="00413377"/>
    <w:rsid w:val="00413507"/>
    <w:rsid w:val="00413FF4"/>
    <w:rsid w:val="0041411A"/>
    <w:rsid w:val="004143B9"/>
    <w:rsid w:val="004145EC"/>
    <w:rsid w:val="00414960"/>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7432"/>
    <w:rsid w:val="00437DFA"/>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CD7"/>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C0D"/>
    <w:rsid w:val="004605A3"/>
    <w:rsid w:val="0046060B"/>
    <w:rsid w:val="0046089E"/>
    <w:rsid w:val="0046094C"/>
    <w:rsid w:val="004609E3"/>
    <w:rsid w:val="0046173F"/>
    <w:rsid w:val="00461750"/>
    <w:rsid w:val="00462079"/>
    <w:rsid w:val="00462257"/>
    <w:rsid w:val="00464173"/>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23D5"/>
    <w:rsid w:val="004828B9"/>
    <w:rsid w:val="00482994"/>
    <w:rsid w:val="00482A96"/>
    <w:rsid w:val="00482B97"/>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AE"/>
    <w:rsid w:val="004A36B4"/>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4"/>
    <w:rsid w:val="004C4759"/>
    <w:rsid w:val="004C596D"/>
    <w:rsid w:val="004C5C3E"/>
    <w:rsid w:val="004C5CF2"/>
    <w:rsid w:val="004C5E12"/>
    <w:rsid w:val="004C692D"/>
    <w:rsid w:val="004C6A83"/>
    <w:rsid w:val="004C6EA8"/>
    <w:rsid w:val="004C7C6D"/>
    <w:rsid w:val="004C7DF7"/>
    <w:rsid w:val="004D0C24"/>
    <w:rsid w:val="004D0EAD"/>
    <w:rsid w:val="004D1A59"/>
    <w:rsid w:val="004D1DBF"/>
    <w:rsid w:val="004D2D45"/>
    <w:rsid w:val="004D33F3"/>
    <w:rsid w:val="004D3E0F"/>
    <w:rsid w:val="004D4ACE"/>
    <w:rsid w:val="004D4F54"/>
    <w:rsid w:val="004D4FB9"/>
    <w:rsid w:val="004D5119"/>
    <w:rsid w:val="004D5501"/>
    <w:rsid w:val="004D55EB"/>
    <w:rsid w:val="004D60DA"/>
    <w:rsid w:val="004D6A7F"/>
    <w:rsid w:val="004D6C1E"/>
    <w:rsid w:val="004D7027"/>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10B"/>
    <w:rsid w:val="00545A06"/>
    <w:rsid w:val="00545BBC"/>
    <w:rsid w:val="00545D12"/>
    <w:rsid w:val="00545D5B"/>
    <w:rsid w:val="0054628C"/>
    <w:rsid w:val="00546451"/>
    <w:rsid w:val="005468F8"/>
    <w:rsid w:val="005504D6"/>
    <w:rsid w:val="00550668"/>
    <w:rsid w:val="005506B7"/>
    <w:rsid w:val="0055096F"/>
    <w:rsid w:val="00550CB7"/>
    <w:rsid w:val="00550E79"/>
    <w:rsid w:val="005514FE"/>
    <w:rsid w:val="00551D49"/>
    <w:rsid w:val="00551FE4"/>
    <w:rsid w:val="00552012"/>
    <w:rsid w:val="005521F8"/>
    <w:rsid w:val="00552564"/>
    <w:rsid w:val="00552ADF"/>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B7D"/>
    <w:rsid w:val="00567D7F"/>
    <w:rsid w:val="00567FE8"/>
    <w:rsid w:val="005703A3"/>
    <w:rsid w:val="00570D02"/>
    <w:rsid w:val="0057106F"/>
    <w:rsid w:val="00571131"/>
    <w:rsid w:val="005712D3"/>
    <w:rsid w:val="00571A3C"/>
    <w:rsid w:val="00571CAF"/>
    <w:rsid w:val="00571D1B"/>
    <w:rsid w:val="00572020"/>
    <w:rsid w:val="0057234E"/>
    <w:rsid w:val="005729FA"/>
    <w:rsid w:val="00573407"/>
    <w:rsid w:val="005734B1"/>
    <w:rsid w:val="00573566"/>
    <w:rsid w:val="00573A0D"/>
    <w:rsid w:val="00573B49"/>
    <w:rsid w:val="00576A6D"/>
    <w:rsid w:val="00577269"/>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169"/>
    <w:rsid w:val="00590251"/>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27"/>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618C"/>
    <w:rsid w:val="00606334"/>
    <w:rsid w:val="00606371"/>
    <w:rsid w:val="00606CE9"/>
    <w:rsid w:val="00606E72"/>
    <w:rsid w:val="006070C1"/>
    <w:rsid w:val="006074DF"/>
    <w:rsid w:val="006102B2"/>
    <w:rsid w:val="00610421"/>
    <w:rsid w:val="00610856"/>
    <w:rsid w:val="0061093E"/>
    <w:rsid w:val="006111D2"/>
    <w:rsid w:val="00611396"/>
    <w:rsid w:val="00611C33"/>
    <w:rsid w:val="006120A0"/>
    <w:rsid w:val="00612327"/>
    <w:rsid w:val="00612472"/>
    <w:rsid w:val="0061257D"/>
    <w:rsid w:val="00612760"/>
    <w:rsid w:val="00612E02"/>
    <w:rsid w:val="00612FB6"/>
    <w:rsid w:val="00613DA3"/>
    <w:rsid w:val="00614372"/>
    <w:rsid w:val="00614D8B"/>
    <w:rsid w:val="006156D2"/>
    <w:rsid w:val="00616062"/>
    <w:rsid w:val="0061619A"/>
    <w:rsid w:val="00616291"/>
    <w:rsid w:val="00616B38"/>
    <w:rsid w:val="00616BD1"/>
    <w:rsid w:val="00620000"/>
    <w:rsid w:val="00620215"/>
    <w:rsid w:val="00620341"/>
    <w:rsid w:val="006208B0"/>
    <w:rsid w:val="00620B95"/>
    <w:rsid w:val="00621E7C"/>
    <w:rsid w:val="0062273A"/>
    <w:rsid w:val="0062352E"/>
    <w:rsid w:val="00624412"/>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545"/>
    <w:rsid w:val="00641648"/>
    <w:rsid w:val="00641B01"/>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A"/>
    <w:rsid w:val="00650C18"/>
    <w:rsid w:val="00651BB9"/>
    <w:rsid w:val="00651C93"/>
    <w:rsid w:val="00651DDD"/>
    <w:rsid w:val="006547ED"/>
    <w:rsid w:val="006548BE"/>
    <w:rsid w:val="006549FA"/>
    <w:rsid w:val="0065507B"/>
    <w:rsid w:val="006555B0"/>
    <w:rsid w:val="00655870"/>
    <w:rsid w:val="00655E31"/>
    <w:rsid w:val="0065640E"/>
    <w:rsid w:val="00656559"/>
    <w:rsid w:val="006568AD"/>
    <w:rsid w:val="00656B0E"/>
    <w:rsid w:val="00656E70"/>
    <w:rsid w:val="00656FB6"/>
    <w:rsid w:val="0065734B"/>
    <w:rsid w:val="00657AC2"/>
    <w:rsid w:val="00660530"/>
    <w:rsid w:val="0066100B"/>
    <w:rsid w:val="006616C2"/>
    <w:rsid w:val="006618FE"/>
    <w:rsid w:val="00661ACB"/>
    <w:rsid w:val="00662003"/>
    <w:rsid w:val="00662379"/>
    <w:rsid w:val="0066245A"/>
    <w:rsid w:val="0066295E"/>
    <w:rsid w:val="00662F7F"/>
    <w:rsid w:val="006642DE"/>
    <w:rsid w:val="00664BA2"/>
    <w:rsid w:val="00664F3A"/>
    <w:rsid w:val="006659BF"/>
    <w:rsid w:val="00665D8A"/>
    <w:rsid w:val="006664BD"/>
    <w:rsid w:val="00666716"/>
    <w:rsid w:val="0066688C"/>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313"/>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67"/>
    <w:rsid w:val="00684E58"/>
    <w:rsid w:val="00684FA4"/>
    <w:rsid w:val="0068660F"/>
    <w:rsid w:val="00686B10"/>
    <w:rsid w:val="00686BEB"/>
    <w:rsid w:val="00690DBE"/>
    <w:rsid w:val="006917FC"/>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15C4"/>
    <w:rsid w:val="006C1711"/>
    <w:rsid w:val="006C225A"/>
    <w:rsid w:val="006C3438"/>
    <w:rsid w:val="006C3643"/>
    <w:rsid w:val="006C3AB4"/>
    <w:rsid w:val="006C58CD"/>
    <w:rsid w:val="006C5AFA"/>
    <w:rsid w:val="006C602A"/>
    <w:rsid w:val="006C6277"/>
    <w:rsid w:val="006C6527"/>
    <w:rsid w:val="006C7266"/>
    <w:rsid w:val="006C7C5C"/>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FE2"/>
    <w:rsid w:val="006D63C2"/>
    <w:rsid w:val="006D6447"/>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658A"/>
    <w:rsid w:val="006E691A"/>
    <w:rsid w:val="006E70FB"/>
    <w:rsid w:val="006E77C8"/>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FFD"/>
    <w:rsid w:val="0070167A"/>
    <w:rsid w:val="0070175D"/>
    <w:rsid w:val="00701D80"/>
    <w:rsid w:val="007025A0"/>
    <w:rsid w:val="0070298D"/>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6EC"/>
    <w:rsid w:val="00722EB0"/>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391"/>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87E8D"/>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E21"/>
    <w:rsid w:val="007A3F05"/>
    <w:rsid w:val="007A3FA3"/>
    <w:rsid w:val="007A4064"/>
    <w:rsid w:val="007A4255"/>
    <w:rsid w:val="007A57F0"/>
    <w:rsid w:val="007A595E"/>
    <w:rsid w:val="007A6297"/>
    <w:rsid w:val="007A6591"/>
    <w:rsid w:val="007A65D1"/>
    <w:rsid w:val="007A7200"/>
    <w:rsid w:val="007A7271"/>
    <w:rsid w:val="007A7819"/>
    <w:rsid w:val="007B0215"/>
    <w:rsid w:val="007B0247"/>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F2B"/>
    <w:rsid w:val="007C2C9E"/>
    <w:rsid w:val="007C3169"/>
    <w:rsid w:val="007C3FD2"/>
    <w:rsid w:val="007C5F7C"/>
    <w:rsid w:val="007C64E3"/>
    <w:rsid w:val="007C65F5"/>
    <w:rsid w:val="007C6723"/>
    <w:rsid w:val="007C6AFF"/>
    <w:rsid w:val="007C6D0C"/>
    <w:rsid w:val="007C72E0"/>
    <w:rsid w:val="007C7474"/>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DAD"/>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EB"/>
    <w:rsid w:val="008157F1"/>
    <w:rsid w:val="00815BD4"/>
    <w:rsid w:val="00815D6E"/>
    <w:rsid w:val="00815E52"/>
    <w:rsid w:val="00815E96"/>
    <w:rsid w:val="00815F51"/>
    <w:rsid w:val="00816ACE"/>
    <w:rsid w:val="00816AE2"/>
    <w:rsid w:val="00816E4C"/>
    <w:rsid w:val="008171F1"/>
    <w:rsid w:val="00817B56"/>
    <w:rsid w:val="008201FA"/>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EDA"/>
    <w:rsid w:val="00843137"/>
    <w:rsid w:val="00843507"/>
    <w:rsid w:val="00843D94"/>
    <w:rsid w:val="008440FF"/>
    <w:rsid w:val="008445CB"/>
    <w:rsid w:val="00844742"/>
    <w:rsid w:val="00844C89"/>
    <w:rsid w:val="0084507C"/>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4CA"/>
    <w:rsid w:val="00862762"/>
    <w:rsid w:val="008632BF"/>
    <w:rsid w:val="0086399B"/>
    <w:rsid w:val="008646E3"/>
    <w:rsid w:val="00864891"/>
    <w:rsid w:val="00864F14"/>
    <w:rsid w:val="00865257"/>
    <w:rsid w:val="00865CD6"/>
    <w:rsid w:val="00865D03"/>
    <w:rsid w:val="008661D7"/>
    <w:rsid w:val="008662BA"/>
    <w:rsid w:val="0086665D"/>
    <w:rsid w:val="00866CFB"/>
    <w:rsid w:val="00867C9B"/>
    <w:rsid w:val="00867F0A"/>
    <w:rsid w:val="00870152"/>
    <w:rsid w:val="008702B9"/>
    <w:rsid w:val="008717C0"/>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611"/>
    <w:rsid w:val="00877A98"/>
    <w:rsid w:val="00877F5A"/>
    <w:rsid w:val="008800CE"/>
    <w:rsid w:val="008806B9"/>
    <w:rsid w:val="00881646"/>
    <w:rsid w:val="008826D7"/>
    <w:rsid w:val="008830ED"/>
    <w:rsid w:val="00883376"/>
    <w:rsid w:val="00883470"/>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67A7"/>
    <w:rsid w:val="0089716E"/>
    <w:rsid w:val="00897254"/>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3F5"/>
    <w:rsid w:val="008F752E"/>
    <w:rsid w:val="008F7ADF"/>
    <w:rsid w:val="0090023A"/>
    <w:rsid w:val="009005B3"/>
    <w:rsid w:val="00900972"/>
    <w:rsid w:val="009009A4"/>
    <w:rsid w:val="00900B5C"/>
    <w:rsid w:val="0090107A"/>
    <w:rsid w:val="009026EB"/>
    <w:rsid w:val="009027BC"/>
    <w:rsid w:val="00903350"/>
    <w:rsid w:val="00903790"/>
    <w:rsid w:val="00903D88"/>
    <w:rsid w:val="00904CFF"/>
    <w:rsid w:val="0090571C"/>
    <w:rsid w:val="009067D0"/>
    <w:rsid w:val="00906DF8"/>
    <w:rsid w:val="00907118"/>
    <w:rsid w:val="00910DB0"/>
    <w:rsid w:val="009111F5"/>
    <w:rsid w:val="009115E4"/>
    <w:rsid w:val="0091194E"/>
    <w:rsid w:val="00911ABD"/>
    <w:rsid w:val="00911D63"/>
    <w:rsid w:val="00912CE6"/>
    <w:rsid w:val="00913070"/>
    <w:rsid w:val="00913DBA"/>
    <w:rsid w:val="0091470D"/>
    <w:rsid w:val="009150E1"/>
    <w:rsid w:val="00915338"/>
    <w:rsid w:val="009155FD"/>
    <w:rsid w:val="00915D27"/>
    <w:rsid w:val="00916BA1"/>
    <w:rsid w:val="00917192"/>
    <w:rsid w:val="00917594"/>
    <w:rsid w:val="00917DD9"/>
    <w:rsid w:val="009208EA"/>
    <w:rsid w:val="00920CCA"/>
    <w:rsid w:val="00920F0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23B"/>
    <w:rsid w:val="009463DF"/>
    <w:rsid w:val="00946B64"/>
    <w:rsid w:val="00946C25"/>
    <w:rsid w:val="00946DA8"/>
    <w:rsid w:val="0094743D"/>
    <w:rsid w:val="00950C4C"/>
    <w:rsid w:val="00950DE0"/>
    <w:rsid w:val="00951612"/>
    <w:rsid w:val="0095179E"/>
    <w:rsid w:val="0095293C"/>
    <w:rsid w:val="0095339B"/>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5C9"/>
    <w:rsid w:val="0097433B"/>
    <w:rsid w:val="00974385"/>
    <w:rsid w:val="009743E4"/>
    <w:rsid w:val="00974C01"/>
    <w:rsid w:val="00974C50"/>
    <w:rsid w:val="009752A3"/>
    <w:rsid w:val="00975C02"/>
    <w:rsid w:val="00975E0D"/>
    <w:rsid w:val="00975F9E"/>
    <w:rsid w:val="009765CC"/>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51B"/>
    <w:rsid w:val="0099764A"/>
    <w:rsid w:val="00997FF4"/>
    <w:rsid w:val="009A04D0"/>
    <w:rsid w:val="009A0835"/>
    <w:rsid w:val="009A09F2"/>
    <w:rsid w:val="009A0A27"/>
    <w:rsid w:val="009A0D89"/>
    <w:rsid w:val="009A105D"/>
    <w:rsid w:val="009A3F46"/>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859"/>
    <w:rsid w:val="009B3D4F"/>
    <w:rsid w:val="009B474C"/>
    <w:rsid w:val="009B4979"/>
    <w:rsid w:val="009B4BB0"/>
    <w:rsid w:val="009B548D"/>
    <w:rsid w:val="009B55DA"/>
    <w:rsid w:val="009B5817"/>
    <w:rsid w:val="009B59A8"/>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8E"/>
    <w:rsid w:val="009D1E20"/>
    <w:rsid w:val="009D274F"/>
    <w:rsid w:val="009D2B17"/>
    <w:rsid w:val="009D2B3A"/>
    <w:rsid w:val="009D2F9B"/>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E8"/>
    <w:rsid w:val="009E7293"/>
    <w:rsid w:val="009E7345"/>
    <w:rsid w:val="009E7FB0"/>
    <w:rsid w:val="009F0EC7"/>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AD"/>
    <w:rsid w:val="00A0067A"/>
    <w:rsid w:val="00A00BB0"/>
    <w:rsid w:val="00A00BF9"/>
    <w:rsid w:val="00A01C15"/>
    <w:rsid w:val="00A01FB6"/>
    <w:rsid w:val="00A0210C"/>
    <w:rsid w:val="00A0219C"/>
    <w:rsid w:val="00A02E32"/>
    <w:rsid w:val="00A03268"/>
    <w:rsid w:val="00A0326A"/>
    <w:rsid w:val="00A034ED"/>
    <w:rsid w:val="00A03523"/>
    <w:rsid w:val="00A03731"/>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794"/>
    <w:rsid w:val="00A16573"/>
    <w:rsid w:val="00A16E4D"/>
    <w:rsid w:val="00A16ED8"/>
    <w:rsid w:val="00A16FF6"/>
    <w:rsid w:val="00A17519"/>
    <w:rsid w:val="00A17670"/>
    <w:rsid w:val="00A20AD5"/>
    <w:rsid w:val="00A21363"/>
    <w:rsid w:val="00A2142D"/>
    <w:rsid w:val="00A214BC"/>
    <w:rsid w:val="00A2154F"/>
    <w:rsid w:val="00A217A0"/>
    <w:rsid w:val="00A217D7"/>
    <w:rsid w:val="00A2200F"/>
    <w:rsid w:val="00A229EC"/>
    <w:rsid w:val="00A23237"/>
    <w:rsid w:val="00A2356D"/>
    <w:rsid w:val="00A23EEB"/>
    <w:rsid w:val="00A23F35"/>
    <w:rsid w:val="00A256C4"/>
    <w:rsid w:val="00A25DE0"/>
    <w:rsid w:val="00A25EB4"/>
    <w:rsid w:val="00A26258"/>
    <w:rsid w:val="00A2661B"/>
    <w:rsid w:val="00A274DA"/>
    <w:rsid w:val="00A27587"/>
    <w:rsid w:val="00A275A6"/>
    <w:rsid w:val="00A27DD2"/>
    <w:rsid w:val="00A30B3F"/>
    <w:rsid w:val="00A319E9"/>
    <w:rsid w:val="00A31F3D"/>
    <w:rsid w:val="00A32585"/>
    <w:rsid w:val="00A32748"/>
    <w:rsid w:val="00A33707"/>
    <w:rsid w:val="00A35C5C"/>
    <w:rsid w:val="00A35D07"/>
    <w:rsid w:val="00A35EAE"/>
    <w:rsid w:val="00A35F6C"/>
    <w:rsid w:val="00A36C73"/>
    <w:rsid w:val="00A36E95"/>
    <w:rsid w:val="00A37045"/>
    <w:rsid w:val="00A37167"/>
    <w:rsid w:val="00A372C5"/>
    <w:rsid w:val="00A3795F"/>
    <w:rsid w:val="00A37ADF"/>
    <w:rsid w:val="00A4018D"/>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477"/>
    <w:rsid w:val="00A52718"/>
    <w:rsid w:val="00A52AFF"/>
    <w:rsid w:val="00A531B9"/>
    <w:rsid w:val="00A53231"/>
    <w:rsid w:val="00A53315"/>
    <w:rsid w:val="00A53E02"/>
    <w:rsid w:val="00A54155"/>
    <w:rsid w:val="00A5452B"/>
    <w:rsid w:val="00A548F5"/>
    <w:rsid w:val="00A54D7E"/>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95"/>
    <w:rsid w:val="00A71DC2"/>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EB7"/>
    <w:rsid w:val="00A8067E"/>
    <w:rsid w:val="00A81C45"/>
    <w:rsid w:val="00A81F5E"/>
    <w:rsid w:val="00A825F0"/>
    <w:rsid w:val="00A8264D"/>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9A7"/>
    <w:rsid w:val="00A92CDB"/>
    <w:rsid w:val="00A93504"/>
    <w:rsid w:val="00A93A0F"/>
    <w:rsid w:val="00A94C6A"/>
    <w:rsid w:val="00A94EAE"/>
    <w:rsid w:val="00A9508C"/>
    <w:rsid w:val="00A95254"/>
    <w:rsid w:val="00A95500"/>
    <w:rsid w:val="00A95AF4"/>
    <w:rsid w:val="00A967A2"/>
    <w:rsid w:val="00A96E2B"/>
    <w:rsid w:val="00AA067A"/>
    <w:rsid w:val="00AA071C"/>
    <w:rsid w:val="00AA11B1"/>
    <w:rsid w:val="00AA18E7"/>
    <w:rsid w:val="00AA1B9C"/>
    <w:rsid w:val="00AA220B"/>
    <w:rsid w:val="00AA26B9"/>
    <w:rsid w:val="00AA2847"/>
    <w:rsid w:val="00AA3201"/>
    <w:rsid w:val="00AA3658"/>
    <w:rsid w:val="00AA3CC8"/>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733"/>
    <w:rsid w:val="00AC68FB"/>
    <w:rsid w:val="00AC7343"/>
    <w:rsid w:val="00AC7573"/>
    <w:rsid w:val="00AC7707"/>
    <w:rsid w:val="00AD0078"/>
    <w:rsid w:val="00AD0650"/>
    <w:rsid w:val="00AD0B9E"/>
    <w:rsid w:val="00AD0C6E"/>
    <w:rsid w:val="00AD116B"/>
    <w:rsid w:val="00AD11E5"/>
    <w:rsid w:val="00AD1894"/>
    <w:rsid w:val="00AD1B38"/>
    <w:rsid w:val="00AD1E81"/>
    <w:rsid w:val="00AD21D5"/>
    <w:rsid w:val="00AD29EA"/>
    <w:rsid w:val="00AD2E97"/>
    <w:rsid w:val="00AD2EB5"/>
    <w:rsid w:val="00AD2FF1"/>
    <w:rsid w:val="00AD507C"/>
    <w:rsid w:val="00AD5E14"/>
    <w:rsid w:val="00AD6A7B"/>
    <w:rsid w:val="00AD6B02"/>
    <w:rsid w:val="00AD6D2D"/>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02D"/>
    <w:rsid w:val="00B14483"/>
    <w:rsid w:val="00B148F7"/>
    <w:rsid w:val="00B1498A"/>
    <w:rsid w:val="00B14DDA"/>
    <w:rsid w:val="00B15472"/>
    <w:rsid w:val="00B1552E"/>
    <w:rsid w:val="00B1598A"/>
    <w:rsid w:val="00B15E24"/>
    <w:rsid w:val="00B1603B"/>
    <w:rsid w:val="00B163F0"/>
    <w:rsid w:val="00B16C43"/>
    <w:rsid w:val="00B171F1"/>
    <w:rsid w:val="00B1768E"/>
    <w:rsid w:val="00B17A2B"/>
    <w:rsid w:val="00B21792"/>
    <w:rsid w:val="00B21987"/>
    <w:rsid w:val="00B21D5E"/>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0C6"/>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D7A"/>
    <w:rsid w:val="00B4425A"/>
    <w:rsid w:val="00B44B9F"/>
    <w:rsid w:val="00B44F13"/>
    <w:rsid w:val="00B455AE"/>
    <w:rsid w:val="00B45D64"/>
    <w:rsid w:val="00B466AA"/>
    <w:rsid w:val="00B46AD7"/>
    <w:rsid w:val="00B46CC3"/>
    <w:rsid w:val="00B46D5C"/>
    <w:rsid w:val="00B4794D"/>
    <w:rsid w:val="00B47953"/>
    <w:rsid w:val="00B50464"/>
    <w:rsid w:val="00B50A02"/>
    <w:rsid w:val="00B51E07"/>
    <w:rsid w:val="00B52268"/>
    <w:rsid w:val="00B527D8"/>
    <w:rsid w:val="00B52931"/>
    <w:rsid w:val="00B52B5E"/>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32"/>
    <w:rsid w:val="00B712FB"/>
    <w:rsid w:val="00B71416"/>
    <w:rsid w:val="00B71811"/>
    <w:rsid w:val="00B72A79"/>
    <w:rsid w:val="00B7320C"/>
    <w:rsid w:val="00B733D0"/>
    <w:rsid w:val="00B735AE"/>
    <w:rsid w:val="00B737A3"/>
    <w:rsid w:val="00B73918"/>
    <w:rsid w:val="00B73C67"/>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6C10"/>
    <w:rsid w:val="00B87334"/>
    <w:rsid w:val="00B873B8"/>
    <w:rsid w:val="00B905AA"/>
    <w:rsid w:val="00B90E52"/>
    <w:rsid w:val="00B9149E"/>
    <w:rsid w:val="00B919D9"/>
    <w:rsid w:val="00B91CC8"/>
    <w:rsid w:val="00B91EFF"/>
    <w:rsid w:val="00B92237"/>
    <w:rsid w:val="00B927AC"/>
    <w:rsid w:val="00B93405"/>
    <w:rsid w:val="00B93655"/>
    <w:rsid w:val="00B93BE9"/>
    <w:rsid w:val="00B93BF3"/>
    <w:rsid w:val="00B93EF9"/>
    <w:rsid w:val="00B93F44"/>
    <w:rsid w:val="00B94A15"/>
    <w:rsid w:val="00B94B5D"/>
    <w:rsid w:val="00B956B5"/>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2C08"/>
    <w:rsid w:val="00BB2E3F"/>
    <w:rsid w:val="00BB33CC"/>
    <w:rsid w:val="00BB352D"/>
    <w:rsid w:val="00BB3D2D"/>
    <w:rsid w:val="00BB48CF"/>
    <w:rsid w:val="00BB4AAD"/>
    <w:rsid w:val="00BB4F4B"/>
    <w:rsid w:val="00BB59CB"/>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CCC"/>
    <w:rsid w:val="00BC490C"/>
    <w:rsid w:val="00BC4A4A"/>
    <w:rsid w:val="00BC4E53"/>
    <w:rsid w:val="00BC4EE4"/>
    <w:rsid w:val="00BC543F"/>
    <w:rsid w:val="00BC545D"/>
    <w:rsid w:val="00BC54E8"/>
    <w:rsid w:val="00BC5787"/>
    <w:rsid w:val="00BC5A40"/>
    <w:rsid w:val="00BC5F9A"/>
    <w:rsid w:val="00BC6215"/>
    <w:rsid w:val="00BC627B"/>
    <w:rsid w:val="00BC6433"/>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6D61"/>
    <w:rsid w:val="00BD779C"/>
    <w:rsid w:val="00BD77EA"/>
    <w:rsid w:val="00BD782C"/>
    <w:rsid w:val="00BD7B42"/>
    <w:rsid w:val="00BE08AD"/>
    <w:rsid w:val="00BE0B19"/>
    <w:rsid w:val="00BE0CF7"/>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B11"/>
    <w:rsid w:val="00BF3D47"/>
    <w:rsid w:val="00BF57C7"/>
    <w:rsid w:val="00BF6768"/>
    <w:rsid w:val="00BF682D"/>
    <w:rsid w:val="00BF6BBE"/>
    <w:rsid w:val="00BF7BA4"/>
    <w:rsid w:val="00C00843"/>
    <w:rsid w:val="00C00F59"/>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873"/>
    <w:rsid w:val="00C07D94"/>
    <w:rsid w:val="00C07ED6"/>
    <w:rsid w:val="00C106A5"/>
    <w:rsid w:val="00C10A09"/>
    <w:rsid w:val="00C1101C"/>
    <w:rsid w:val="00C11A67"/>
    <w:rsid w:val="00C11D82"/>
    <w:rsid w:val="00C123E1"/>
    <w:rsid w:val="00C12BA7"/>
    <w:rsid w:val="00C12D08"/>
    <w:rsid w:val="00C131D3"/>
    <w:rsid w:val="00C1397D"/>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258B"/>
    <w:rsid w:val="00C238C6"/>
    <w:rsid w:val="00C23B6C"/>
    <w:rsid w:val="00C240FE"/>
    <w:rsid w:val="00C2455B"/>
    <w:rsid w:val="00C24BD8"/>
    <w:rsid w:val="00C24E38"/>
    <w:rsid w:val="00C25339"/>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3078"/>
    <w:rsid w:val="00C3330E"/>
    <w:rsid w:val="00C33737"/>
    <w:rsid w:val="00C34010"/>
    <w:rsid w:val="00C35102"/>
    <w:rsid w:val="00C35168"/>
    <w:rsid w:val="00C356F5"/>
    <w:rsid w:val="00C358B6"/>
    <w:rsid w:val="00C35E48"/>
    <w:rsid w:val="00C36390"/>
    <w:rsid w:val="00C3692B"/>
    <w:rsid w:val="00C36A8C"/>
    <w:rsid w:val="00C36E23"/>
    <w:rsid w:val="00C402E2"/>
    <w:rsid w:val="00C40539"/>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5CD"/>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8A6"/>
    <w:rsid w:val="00CC6D33"/>
    <w:rsid w:val="00CC780A"/>
    <w:rsid w:val="00CC7A31"/>
    <w:rsid w:val="00CC7A67"/>
    <w:rsid w:val="00CC7CEF"/>
    <w:rsid w:val="00CD01F5"/>
    <w:rsid w:val="00CD060D"/>
    <w:rsid w:val="00CD099E"/>
    <w:rsid w:val="00CD0B78"/>
    <w:rsid w:val="00CD1082"/>
    <w:rsid w:val="00CD182C"/>
    <w:rsid w:val="00CD1FEE"/>
    <w:rsid w:val="00CD210D"/>
    <w:rsid w:val="00CD25B8"/>
    <w:rsid w:val="00CD26DA"/>
    <w:rsid w:val="00CD2A71"/>
    <w:rsid w:val="00CD3034"/>
    <w:rsid w:val="00CD35A4"/>
    <w:rsid w:val="00CD3617"/>
    <w:rsid w:val="00CD36E3"/>
    <w:rsid w:val="00CD406B"/>
    <w:rsid w:val="00CD49F7"/>
    <w:rsid w:val="00CD4B42"/>
    <w:rsid w:val="00CD51C2"/>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61"/>
    <w:rsid w:val="00CF7FA2"/>
    <w:rsid w:val="00D00227"/>
    <w:rsid w:val="00D004E4"/>
    <w:rsid w:val="00D004F5"/>
    <w:rsid w:val="00D009C3"/>
    <w:rsid w:val="00D009FE"/>
    <w:rsid w:val="00D01452"/>
    <w:rsid w:val="00D019C4"/>
    <w:rsid w:val="00D01E2F"/>
    <w:rsid w:val="00D02DE6"/>
    <w:rsid w:val="00D03732"/>
    <w:rsid w:val="00D03ACC"/>
    <w:rsid w:val="00D03D16"/>
    <w:rsid w:val="00D0498F"/>
    <w:rsid w:val="00D05037"/>
    <w:rsid w:val="00D05274"/>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425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3861"/>
    <w:rsid w:val="00D238B6"/>
    <w:rsid w:val="00D24472"/>
    <w:rsid w:val="00D2460F"/>
    <w:rsid w:val="00D2486F"/>
    <w:rsid w:val="00D255E6"/>
    <w:rsid w:val="00D25F72"/>
    <w:rsid w:val="00D26176"/>
    <w:rsid w:val="00D26752"/>
    <w:rsid w:val="00D279E6"/>
    <w:rsid w:val="00D3047D"/>
    <w:rsid w:val="00D306F1"/>
    <w:rsid w:val="00D31217"/>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33FF"/>
    <w:rsid w:val="00D53BDA"/>
    <w:rsid w:val="00D53EA7"/>
    <w:rsid w:val="00D540BB"/>
    <w:rsid w:val="00D54C92"/>
    <w:rsid w:val="00D54CB8"/>
    <w:rsid w:val="00D54F4D"/>
    <w:rsid w:val="00D55B90"/>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F6A"/>
    <w:rsid w:val="00D71FEB"/>
    <w:rsid w:val="00D72116"/>
    <w:rsid w:val="00D72ADC"/>
    <w:rsid w:val="00D72B57"/>
    <w:rsid w:val="00D73319"/>
    <w:rsid w:val="00D736A4"/>
    <w:rsid w:val="00D73F8E"/>
    <w:rsid w:val="00D7472D"/>
    <w:rsid w:val="00D74B4D"/>
    <w:rsid w:val="00D74CE3"/>
    <w:rsid w:val="00D74F86"/>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586"/>
    <w:rsid w:val="00D945C7"/>
    <w:rsid w:val="00D94628"/>
    <w:rsid w:val="00D94768"/>
    <w:rsid w:val="00D94E19"/>
    <w:rsid w:val="00D9599F"/>
    <w:rsid w:val="00D96132"/>
    <w:rsid w:val="00D96473"/>
    <w:rsid w:val="00D9661E"/>
    <w:rsid w:val="00D9746A"/>
    <w:rsid w:val="00D9746F"/>
    <w:rsid w:val="00D975D8"/>
    <w:rsid w:val="00D977B3"/>
    <w:rsid w:val="00D97A31"/>
    <w:rsid w:val="00D97C7B"/>
    <w:rsid w:val="00DA0D5C"/>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B0070"/>
    <w:rsid w:val="00DB0945"/>
    <w:rsid w:val="00DB0A54"/>
    <w:rsid w:val="00DB18FB"/>
    <w:rsid w:val="00DB1DC2"/>
    <w:rsid w:val="00DB2D56"/>
    <w:rsid w:val="00DB3152"/>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54F"/>
    <w:rsid w:val="00DD0C13"/>
    <w:rsid w:val="00DD0CA5"/>
    <w:rsid w:val="00DD23E0"/>
    <w:rsid w:val="00DD24CF"/>
    <w:rsid w:val="00DD256C"/>
    <w:rsid w:val="00DD32CB"/>
    <w:rsid w:val="00DD3790"/>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D73C2"/>
    <w:rsid w:val="00DE0777"/>
    <w:rsid w:val="00DE19E2"/>
    <w:rsid w:val="00DE2094"/>
    <w:rsid w:val="00DE216B"/>
    <w:rsid w:val="00DE32A8"/>
    <w:rsid w:val="00DE3531"/>
    <w:rsid w:val="00DE3544"/>
    <w:rsid w:val="00DE3FDF"/>
    <w:rsid w:val="00DE4484"/>
    <w:rsid w:val="00DE44B3"/>
    <w:rsid w:val="00DE46B6"/>
    <w:rsid w:val="00DE4C2A"/>
    <w:rsid w:val="00DE51F0"/>
    <w:rsid w:val="00DE53EC"/>
    <w:rsid w:val="00DE55F1"/>
    <w:rsid w:val="00DE565C"/>
    <w:rsid w:val="00DE5995"/>
    <w:rsid w:val="00DE5A6A"/>
    <w:rsid w:val="00DE75FC"/>
    <w:rsid w:val="00DE77FF"/>
    <w:rsid w:val="00DE7EA9"/>
    <w:rsid w:val="00DF0063"/>
    <w:rsid w:val="00DF0A4B"/>
    <w:rsid w:val="00DF0A5E"/>
    <w:rsid w:val="00DF0EDC"/>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15D3"/>
    <w:rsid w:val="00E115F0"/>
    <w:rsid w:val="00E120AF"/>
    <w:rsid w:val="00E12162"/>
    <w:rsid w:val="00E12983"/>
    <w:rsid w:val="00E12D79"/>
    <w:rsid w:val="00E134AA"/>
    <w:rsid w:val="00E135E3"/>
    <w:rsid w:val="00E145E2"/>
    <w:rsid w:val="00E15094"/>
    <w:rsid w:val="00E15143"/>
    <w:rsid w:val="00E157F0"/>
    <w:rsid w:val="00E1594B"/>
    <w:rsid w:val="00E15DF5"/>
    <w:rsid w:val="00E15FCC"/>
    <w:rsid w:val="00E164FF"/>
    <w:rsid w:val="00E167ED"/>
    <w:rsid w:val="00E16CD1"/>
    <w:rsid w:val="00E16EA2"/>
    <w:rsid w:val="00E1793D"/>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C93"/>
    <w:rsid w:val="00E34CFF"/>
    <w:rsid w:val="00E34E89"/>
    <w:rsid w:val="00E34EF6"/>
    <w:rsid w:val="00E34F6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35"/>
    <w:rsid w:val="00E43F67"/>
    <w:rsid w:val="00E44059"/>
    <w:rsid w:val="00E444BE"/>
    <w:rsid w:val="00E44A2B"/>
    <w:rsid w:val="00E44C0F"/>
    <w:rsid w:val="00E454B3"/>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8F2"/>
    <w:rsid w:val="00E53322"/>
    <w:rsid w:val="00E53511"/>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9CD"/>
    <w:rsid w:val="00E65D44"/>
    <w:rsid w:val="00E66245"/>
    <w:rsid w:val="00E666C1"/>
    <w:rsid w:val="00E678B3"/>
    <w:rsid w:val="00E67A4C"/>
    <w:rsid w:val="00E67AC5"/>
    <w:rsid w:val="00E7044C"/>
    <w:rsid w:val="00E71415"/>
    <w:rsid w:val="00E72210"/>
    <w:rsid w:val="00E72786"/>
    <w:rsid w:val="00E72A2A"/>
    <w:rsid w:val="00E73AB0"/>
    <w:rsid w:val="00E74159"/>
    <w:rsid w:val="00E75853"/>
    <w:rsid w:val="00E76179"/>
    <w:rsid w:val="00E7673B"/>
    <w:rsid w:val="00E76D0E"/>
    <w:rsid w:val="00E77C1C"/>
    <w:rsid w:val="00E77C2E"/>
    <w:rsid w:val="00E77C6C"/>
    <w:rsid w:val="00E77DEE"/>
    <w:rsid w:val="00E8003A"/>
    <w:rsid w:val="00E8052E"/>
    <w:rsid w:val="00E807D5"/>
    <w:rsid w:val="00E80884"/>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4FD"/>
    <w:rsid w:val="00E8685D"/>
    <w:rsid w:val="00E87167"/>
    <w:rsid w:val="00E87A01"/>
    <w:rsid w:val="00E9028B"/>
    <w:rsid w:val="00E909BB"/>
    <w:rsid w:val="00E90A5F"/>
    <w:rsid w:val="00E90F6D"/>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7DC"/>
    <w:rsid w:val="00EA1BF9"/>
    <w:rsid w:val="00EA1C5C"/>
    <w:rsid w:val="00EA2431"/>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6EEA"/>
    <w:rsid w:val="00EB7E8F"/>
    <w:rsid w:val="00EC0192"/>
    <w:rsid w:val="00EC034B"/>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BB3"/>
    <w:rsid w:val="00EE3D0F"/>
    <w:rsid w:val="00EE4B56"/>
    <w:rsid w:val="00EE4E20"/>
    <w:rsid w:val="00EE56B4"/>
    <w:rsid w:val="00EE59CC"/>
    <w:rsid w:val="00EE5D3E"/>
    <w:rsid w:val="00EE6029"/>
    <w:rsid w:val="00EE6348"/>
    <w:rsid w:val="00EE650C"/>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9F2"/>
    <w:rsid w:val="00F069FF"/>
    <w:rsid w:val="00F07E69"/>
    <w:rsid w:val="00F10308"/>
    <w:rsid w:val="00F1035D"/>
    <w:rsid w:val="00F11A06"/>
    <w:rsid w:val="00F11F99"/>
    <w:rsid w:val="00F12D3A"/>
    <w:rsid w:val="00F13301"/>
    <w:rsid w:val="00F1339E"/>
    <w:rsid w:val="00F13CA1"/>
    <w:rsid w:val="00F1453D"/>
    <w:rsid w:val="00F15863"/>
    <w:rsid w:val="00F15916"/>
    <w:rsid w:val="00F1684C"/>
    <w:rsid w:val="00F16A40"/>
    <w:rsid w:val="00F16A62"/>
    <w:rsid w:val="00F17557"/>
    <w:rsid w:val="00F17946"/>
    <w:rsid w:val="00F17EDF"/>
    <w:rsid w:val="00F21199"/>
    <w:rsid w:val="00F2150E"/>
    <w:rsid w:val="00F21BC6"/>
    <w:rsid w:val="00F22CD0"/>
    <w:rsid w:val="00F23178"/>
    <w:rsid w:val="00F23297"/>
    <w:rsid w:val="00F23E02"/>
    <w:rsid w:val="00F241B9"/>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71C"/>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2705"/>
    <w:rsid w:val="00F42C77"/>
    <w:rsid w:val="00F4315F"/>
    <w:rsid w:val="00F43249"/>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54B0"/>
    <w:rsid w:val="00F563A4"/>
    <w:rsid w:val="00F56907"/>
    <w:rsid w:val="00F572FA"/>
    <w:rsid w:val="00F573E2"/>
    <w:rsid w:val="00F57859"/>
    <w:rsid w:val="00F57D48"/>
    <w:rsid w:val="00F60904"/>
    <w:rsid w:val="00F60A4B"/>
    <w:rsid w:val="00F60B73"/>
    <w:rsid w:val="00F60E42"/>
    <w:rsid w:val="00F61377"/>
    <w:rsid w:val="00F613B2"/>
    <w:rsid w:val="00F61C8E"/>
    <w:rsid w:val="00F6211C"/>
    <w:rsid w:val="00F62826"/>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D6"/>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4CF"/>
    <w:rsid w:val="00F93779"/>
    <w:rsid w:val="00F939A0"/>
    <w:rsid w:val="00F94135"/>
    <w:rsid w:val="00F94AFF"/>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3B3"/>
    <w:rsid w:val="00FC53BC"/>
    <w:rsid w:val="00FC584A"/>
    <w:rsid w:val="00FC5A9E"/>
    <w:rsid w:val="00FC6010"/>
    <w:rsid w:val="00FC6676"/>
    <w:rsid w:val="00FC6876"/>
    <w:rsid w:val="00FC6A64"/>
    <w:rsid w:val="00FC6BAC"/>
    <w:rsid w:val="00FC6E17"/>
    <w:rsid w:val="00FC6E83"/>
    <w:rsid w:val="00FC7537"/>
    <w:rsid w:val="00FC7835"/>
    <w:rsid w:val="00FD09AB"/>
    <w:rsid w:val="00FD1030"/>
    <w:rsid w:val="00FD1277"/>
    <w:rsid w:val="00FD1603"/>
    <w:rsid w:val="00FD2740"/>
    <w:rsid w:val="00FD3153"/>
    <w:rsid w:val="00FD377A"/>
    <w:rsid w:val="00FD3966"/>
    <w:rsid w:val="00FD3A58"/>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833"/>
    <w:rsid w:val="00FD79F7"/>
    <w:rsid w:val="00FD7FF4"/>
    <w:rsid w:val="00FE0602"/>
    <w:rsid w:val="00FE08C1"/>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A47"/>
    <w:rsid w:val="00FE4D0D"/>
    <w:rsid w:val="00FE589D"/>
    <w:rsid w:val="00FE60A9"/>
    <w:rsid w:val="00FE68AC"/>
    <w:rsid w:val="00FE6C64"/>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1DE663"/>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Estilo0,CNBV Parrafo1,4 Viñ 1nivel,prueba1,Romano,Romanos,Cuadrícula media 1 - Énfasis 21,Listas,lp1,Bullet List,FooterText,numbered,Paragraphe de liste1,Bulletr List Paragraph,列出段落,列出段落1,Cuadros,Lista general"/>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aliases w:val="Numeración 1 Car,Estilo0 Car,CNBV Parrafo1 Car,4 Viñ 1nivel Car,prueba1 Car,Romano Car,Romanos Car,Cuadrícula media 1 - Énfasis 21 Car,Listas Car,lp1 Car,Bullet List Car,FooterText Car,numbered Car,Paragraphe de liste1 Car,列出段落 Car"/>
    <w:link w:val="Prrafodelista"/>
    <w:uiPriority w:val="34"/>
    <w:qFormat/>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1"/>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1"/>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3"/>
      </w:numPr>
      <w:spacing w:before="600" w:after="360" w:line="257" w:lineRule="auto"/>
      <w:jc w:val="left"/>
      <w:outlineLvl w:val="9"/>
    </w:pPr>
  </w:style>
  <w:style w:type="paragraph" w:customStyle="1" w:styleId="A1L2">
    <w:name w:val="A1 L2"/>
    <w:basedOn w:val="A1L1"/>
    <w:link w:val="A1L2Char"/>
    <w:qFormat/>
    <w:rsid w:val="00805C37"/>
    <w:pPr>
      <w:numPr>
        <w:ilvl w:val="1"/>
        <w:numId w:val="24"/>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3"/>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2"/>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5"/>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27"/>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28"/>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 w:type="paragraph" w:customStyle="1" w:styleId="Citar">
    <w:name w:val="Citar"/>
    <w:basedOn w:val="Normal"/>
    <w:link w:val="CitarCar"/>
    <w:qFormat/>
    <w:rsid w:val="00244D5E"/>
    <w:pPr>
      <w:spacing w:after="200" w:line="276" w:lineRule="auto"/>
      <w:ind w:left="567" w:right="567"/>
      <w:jc w:val="both"/>
    </w:pPr>
    <w:rPr>
      <w:rFonts w:ascii="ITC Avant Garde" w:eastAsia="Times New Roman" w:hAnsi="ITC Avant Garde" w:cs="Arial"/>
      <w:i/>
      <w:sz w:val="18"/>
      <w:szCs w:val="18"/>
      <w:lang w:val="es-ES" w:eastAsia="es-ES"/>
    </w:rPr>
  </w:style>
  <w:style w:type="character" w:customStyle="1" w:styleId="CitarCar">
    <w:name w:val="Citar Car"/>
    <w:basedOn w:val="Fuentedeprrafopredeter"/>
    <w:link w:val="Citar"/>
    <w:rsid w:val="00244D5E"/>
    <w:rPr>
      <w:rFonts w:ascii="ITC Avant Garde" w:eastAsia="Times New Roman" w:hAnsi="ITC Avant Garde" w:cs="Arial"/>
      <w: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4.xml><?xml version="1.0" encoding="utf-8"?>
<ds:datastoreItem xmlns:ds="http://schemas.openxmlformats.org/officeDocument/2006/customXml" ds:itemID="{436CD2EC-2878-4703-B6B0-55D2531C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2815</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Karen Beatriz Martinez Munguia</cp:lastModifiedBy>
  <cp:revision>9</cp:revision>
  <cp:lastPrinted>2017-12-19T20:42:00Z</cp:lastPrinted>
  <dcterms:created xsi:type="dcterms:W3CDTF">2018-11-14T04:24:00Z</dcterms:created>
  <dcterms:modified xsi:type="dcterms:W3CDTF">2018-11-15T17:39:00Z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