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7A607"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1B3917D6" w14:textId="77777777" w:rsidR="006601AF" w:rsidRPr="00F36A5D" w:rsidRDefault="006601AF" w:rsidP="00C900FF">
      <w:pPr>
        <w:spacing w:after="0"/>
        <w:rPr>
          <w:rFonts w:ascii="ITC Avant Garde" w:hAnsi="ITC Avant Garde"/>
          <w:b/>
        </w:rPr>
      </w:pPr>
    </w:p>
    <w:p w14:paraId="7854368B"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1BD6F7A" w14:textId="77777777" w:rsidR="004970C4" w:rsidRPr="00F36A5D" w:rsidRDefault="004970C4" w:rsidP="007A6974">
      <w:pPr>
        <w:spacing w:after="0"/>
        <w:rPr>
          <w:rFonts w:ascii="ITC Avant Garde" w:hAnsi="ITC Avant Garde"/>
          <w:b/>
          <w:sz w:val="16"/>
        </w:rPr>
      </w:pPr>
    </w:p>
    <w:p w14:paraId="6B6A7442"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282D64">
        <w:rPr>
          <w:rFonts w:ascii="ITC Avant Garde" w:hAnsi="ITC Avant Garde"/>
          <w:sz w:val="14"/>
          <w:szCs w:val="14"/>
        </w:rPr>
        <w:t>separacion.contable</w:t>
      </w:r>
      <w:r w:rsidR="004D5EAB" w:rsidRPr="00282D64">
        <w:rPr>
          <w:rFonts w:ascii="ITC Avant Garde" w:hAnsi="ITC Avant Garde"/>
          <w:sz w:val="14"/>
          <w:szCs w:val="14"/>
        </w:rPr>
        <w:t>@ift.org.mx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6DFAF91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5033D887"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70068AC8"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46070F65"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w:t>
      </w:r>
      <w:r w:rsidR="001D1A66">
        <w:rPr>
          <w:rFonts w:ascii="ITC Avant Garde" w:hAnsi="ITC Avant Garde"/>
          <w:sz w:val="14"/>
          <w:szCs w:val="14"/>
        </w:rPr>
        <w:t>,</w:t>
      </w:r>
      <w:r w:rsidRPr="00F36A5D">
        <w:rPr>
          <w:rFonts w:ascii="ITC Avant Garde" w:hAnsi="ITC Avant Garde"/>
          <w:sz w:val="14"/>
          <w:szCs w:val="14"/>
        </w:rPr>
        <w:t xml:space="preserve"> proporciónelos en el último recuadro.</w:t>
      </w:r>
    </w:p>
    <w:p w14:paraId="17E66F88"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7E518613" w14:textId="38EAFBDD"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D35705">
        <w:rPr>
          <w:rFonts w:ascii="ITC Avant Garde" w:hAnsi="ITC Avant Garde"/>
          <w:sz w:val="14"/>
          <w:szCs w:val="14"/>
        </w:rPr>
        <w:t>1</w:t>
      </w:r>
      <w:r w:rsidR="00DF2507">
        <w:rPr>
          <w:rFonts w:ascii="ITC Avant Garde" w:hAnsi="ITC Avant Garde"/>
          <w:sz w:val="14"/>
          <w:szCs w:val="14"/>
        </w:rPr>
        <w:t>6</w:t>
      </w:r>
      <w:r w:rsidR="008C679D" w:rsidRPr="00F36A5D">
        <w:rPr>
          <w:rFonts w:ascii="ITC Avant Garde" w:hAnsi="ITC Avant Garde"/>
          <w:sz w:val="14"/>
          <w:szCs w:val="14"/>
        </w:rPr>
        <w:t xml:space="preserve"> </w:t>
      </w:r>
      <w:r w:rsidR="00D35705">
        <w:rPr>
          <w:rFonts w:ascii="ITC Avant Garde" w:hAnsi="ITC Avant Garde"/>
          <w:sz w:val="14"/>
          <w:szCs w:val="14"/>
        </w:rPr>
        <w:t>al</w:t>
      </w:r>
      <w:r w:rsidR="008C679D" w:rsidRPr="00F36A5D">
        <w:rPr>
          <w:rFonts w:ascii="ITC Avant Garde" w:hAnsi="ITC Avant Garde"/>
          <w:sz w:val="14"/>
          <w:szCs w:val="14"/>
        </w:rPr>
        <w:t xml:space="preserve"> </w:t>
      </w:r>
      <w:r w:rsidR="00D35705">
        <w:rPr>
          <w:rFonts w:ascii="ITC Avant Garde" w:hAnsi="ITC Avant Garde"/>
          <w:sz w:val="14"/>
          <w:szCs w:val="14"/>
        </w:rPr>
        <w:t>23</w:t>
      </w:r>
      <w:r w:rsidR="000D2838" w:rsidRPr="00F36A5D">
        <w:rPr>
          <w:rFonts w:ascii="ITC Avant Garde" w:hAnsi="ITC Avant Garde"/>
          <w:sz w:val="14"/>
          <w:szCs w:val="14"/>
        </w:rPr>
        <w:t xml:space="preserve"> de </w:t>
      </w:r>
      <w:r w:rsidR="00D35705">
        <w:rPr>
          <w:rFonts w:ascii="ITC Avant Garde" w:hAnsi="ITC Avant Garde"/>
          <w:sz w:val="14"/>
          <w:szCs w:val="14"/>
        </w:rPr>
        <w:t>noviembre</w:t>
      </w:r>
      <w:r w:rsidR="000D2838" w:rsidRPr="00F36A5D">
        <w:rPr>
          <w:rFonts w:ascii="ITC Avant Garde" w:hAnsi="ITC Avant Garde"/>
          <w:sz w:val="14"/>
          <w:szCs w:val="14"/>
        </w:rPr>
        <w:t xml:space="preserve"> de 20</w:t>
      </w:r>
      <w:r w:rsidR="00B533DC" w:rsidRPr="00F36A5D">
        <w:rPr>
          <w:rFonts w:ascii="ITC Avant Garde" w:hAnsi="ITC Avant Garde"/>
          <w:sz w:val="14"/>
          <w:szCs w:val="14"/>
        </w:rPr>
        <w:t>18</w:t>
      </w:r>
      <w:r w:rsidR="00B710F1">
        <w:rPr>
          <w:rFonts w:ascii="ITC Avant Garde" w:hAnsi="ITC Avant Garde"/>
          <w:sz w:val="14"/>
          <w:szCs w:val="14"/>
        </w:rPr>
        <w:t xml:space="preserve"> (i.e. </w:t>
      </w:r>
      <w:r w:rsidR="00D35705">
        <w:rPr>
          <w:rFonts w:ascii="ITC Avant Garde" w:hAnsi="ITC Avant Garde"/>
          <w:sz w:val="14"/>
          <w:szCs w:val="14"/>
        </w:rPr>
        <w:t>5</w:t>
      </w:r>
      <w:r w:rsidR="00B710F1" w:rsidRPr="00B710F1">
        <w:rPr>
          <w:rFonts w:ascii="ITC Avant Garde" w:hAnsi="ITC Avant Garde"/>
          <w:sz w:val="14"/>
          <w:szCs w:val="14"/>
        </w:rPr>
        <w:t xml:space="preserve"> días </w:t>
      </w:r>
      <w:r w:rsidR="00D35705">
        <w:rPr>
          <w:rFonts w:ascii="ITC Avant Garde" w:hAnsi="ITC Avant Garde"/>
          <w:sz w:val="14"/>
          <w:szCs w:val="14"/>
        </w:rPr>
        <w:t>hábiles</w:t>
      </w:r>
      <w:r w:rsidR="00B710F1">
        <w:rPr>
          <w:rFonts w:ascii="Calibri Light" w:hAnsi="Calibri Light"/>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w:t>
      </w:r>
      <w:bookmarkStart w:id="0" w:name="_GoBack"/>
      <w:bookmarkEnd w:id="0"/>
      <w:r w:rsidRPr="00F36A5D">
        <w:rPr>
          <w:rFonts w:ascii="ITC Avant Garde" w:hAnsi="ITC Avant Garde"/>
          <w:sz w:val="14"/>
          <w:szCs w:val="14"/>
        </w:rPr>
        <w:t>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189186A8" w14:textId="77777777"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282D64">
        <w:rPr>
          <w:rFonts w:ascii="ITC Avant Garde" w:hAnsi="ITC Avant Garde"/>
          <w:sz w:val="14"/>
          <w:szCs w:val="14"/>
        </w:rPr>
        <w:t>Lorenzo Antonio Flores</w:t>
      </w:r>
      <w:r w:rsidR="000E41F3" w:rsidRPr="00F36A5D">
        <w:rPr>
          <w:rFonts w:ascii="ITC Avant Garde" w:hAnsi="ITC Avant Garde"/>
          <w:sz w:val="14"/>
          <w:szCs w:val="14"/>
        </w:rPr>
        <w:t xml:space="preserve">, </w:t>
      </w:r>
      <w:r w:rsidR="00282D64">
        <w:rPr>
          <w:rFonts w:ascii="ITC Avant Garde" w:hAnsi="ITC Avant Garde"/>
          <w:sz w:val="14"/>
          <w:szCs w:val="14"/>
        </w:rPr>
        <w:t>Subdirector de Cobertura</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r w:rsidR="00282D64" w:rsidRPr="00B710F1">
        <w:rPr>
          <w:rStyle w:val="Hipervnculo"/>
          <w:rFonts w:ascii="ITC Avant Garde" w:hAnsi="ITC Avant Garde"/>
          <w:sz w:val="14"/>
          <w:szCs w:val="14"/>
        </w:rPr>
        <w:t>lorenzo.antonio</w:t>
      </w:r>
      <w:hyperlink r:id="rId12" w:history="1">
        <w:r w:rsidR="00282D64" w:rsidRPr="00282D64">
          <w:rPr>
            <w:rStyle w:val="Hipervnculo"/>
            <w:rFonts w:ascii="ITC Avant Garde" w:hAnsi="ITC Avant Garde"/>
            <w:sz w:val="14"/>
            <w:szCs w:val="14"/>
          </w:rPr>
          <w:t>@ift.org.mx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282D64">
        <w:rPr>
          <w:rFonts w:ascii="ITC Avant Garde" w:hAnsi="ITC Avant Garde"/>
          <w:sz w:val="14"/>
          <w:szCs w:val="14"/>
        </w:rPr>
        <w:t>4028</w:t>
      </w:r>
      <w:r w:rsidR="0038199D" w:rsidRPr="00F36A5D">
        <w:rPr>
          <w:rFonts w:ascii="ITC Avant Garde" w:hAnsi="ITC Avant Garde"/>
          <w:sz w:val="14"/>
          <w:szCs w:val="14"/>
        </w:rPr>
        <w:t>.</w:t>
      </w:r>
    </w:p>
    <w:p w14:paraId="21E7A955"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7C4F7FCC" w14:textId="77777777" w:rsidTr="00297840">
        <w:trPr>
          <w:trHeight w:val="600"/>
          <w:jc w:val="center"/>
        </w:trPr>
        <w:tc>
          <w:tcPr>
            <w:tcW w:w="8742" w:type="dxa"/>
            <w:gridSpan w:val="2"/>
            <w:shd w:val="clear" w:color="auto" w:fill="D9D9D9"/>
            <w:vAlign w:val="center"/>
            <w:hideMark/>
          </w:tcPr>
          <w:p w14:paraId="4F57F499"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F46D21" w:rsidRPr="00F36A5D" w14:paraId="6AC5AB9A" w14:textId="77777777" w:rsidTr="005341FD">
        <w:trPr>
          <w:trHeight w:val="509"/>
          <w:jc w:val="center"/>
        </w:trPr>
        <w:tc>
          <w:tcPr>
            <w:tcW w:w="4679" w:type="dxa"/>
            <w:shd w:val="clear" w:color="auto" w:fill="C5E0B3"/>
            <w:vAlign w:val="center"/>
            <w:hideMark/>
          </w:tcPr>
          <w:p w14:paraId="10E6BCBC" w14:textId="77777777" w:rsidR="00F46D21" w:rsidRPr="00F36A5D" w:rsidRDefault="00F46D21" w:rsidP="00F46D21">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Nombre, razón o denominación social:</w:t>
            </w:r>
          </w:p>
        </w:tc>
        <w:tc>
          <w:tcPr>
            <w:tcW w:w="4063" w:type="dxa"/>
            <w:shd w:val="clear" w:color="auto" w:fill="auto"/>
            <w:vAlign w:val="center"/>
          </w:tcPr>
          <w:p w14:paraId="7EE32314" w14:textId="77777777" w:rsidR="00F46D21" w:rsidRPr="00F36A5D" w:rsidRDefault="00F46D21" w:rsidP="00F46D21">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F46D21" w:rsidRPr="00F36A5D" w14:paraId="65D5D231" w14:textId="77777777" w:rsidTr="005341FD">
        <w:trPr>
          <w:trHeight w:val="403"/>
          <w:jc w:val="center"/>
        </w:trPr>
        <w:tc>
          <w:tcPr>
            <w:tcW w:w="4679" w:type="dxa"/>
            <w:shd w:val="clear" w:color="auto" w:fill="E2EFD9"/>
            <w:vAlign w:val="center"/>
            <w:hideMark/>
          </w:tcPr>
          <w:p w14:paraId="3C551E2B" w14:textId="77777777" w:rsidR="00F46D21" w:rsidRPr="00F36A5D" w:rsidRDefault="00F46D21" w:rsidP="00F46D21">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tcPr>
          <w:p w14:paraId="28732EC4" w14:textId="77777777" w:rsidR="00F46D21" w:rsidRPr="00F36A5D" w:rsidRDefault="00F46D21" w:rsidP="00F46D21">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F46D21" w:rsidRPr="00F36A5D" w14:paraId="4E25FEB0" w14:textId="77777777" w:rsidTr="005341FD">
        <w:trPr>
          <w:trHeight w:val="523"/>
          <w:jc w:val="center"/>
        </w:trPr>
        <w:tc>
          <w:tcPr>
            <w:tcW w:w="4679" w:type="dxa"/>
            <w:shd w:val="clear" w:color="auto" w:fill="C5E0B3"/>
            <w:vAlign w:val="center"/>
            <w:hideMark/>
          </w:tcPr>
          <w:p w14:paraId="56ED9C75" w14:textId="77777777" w:rsidR="00F46D21" w:rsidRPr="00F36A5D" w:rsidRDefault="00F46D21" w:rsidP="00F46D21">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74981B9A" w14:textId="77777777" w:rsidR="00F46D21" w:rsidRPr="00F36A5D" w:rsidRDefault="00F46D21" w:rsidP="00F46D21">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tcPr>
          <w:p w14:paraId="0A67E0C1" w14:textId="77777777" w:rsidR="00F46D21" w:rsidRPr="00F36A5D" w:rsidRDefault="00D01D18" w:rsidP="00F46D21">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5883C575E2084791B23FB9CD870C8961"/>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F46D21" w:rsidRPr="00DC3C6C">
                  <w:rPr>
                    <w:rStyle w:val="Textodelmarcadordeposicin"/>
                    <w:rFonts w:ascii="Century Gothic" w:hAnsi="Century Gothic"/>
                    <w:sz w:val="20"/>
                  </w:rPr>
                  <w:t>Elija un elemento.</w:t>
                </w:r>
              </w:sdtContent>
            </w:sdt>
          </w:p>
        </w:tc>
      </w:tr>
      <w:tr w:rsidR="00DF154A" w:rsidRPr="00F36A5D" w14:paraId="38B8BEBF" w14:textId="77777777" w:rsidTr="00297840">
        <w:trPr>
          <w:trHeight w:val="300"/>
          <w:jc w:val="center"/>
        </w:trPr>
        <w:tc>
          <w:tcPr>
            <w:tcW w:w="8742" w:type="dxa"/>
            <w:gridSpan w:val="2"/>
            <w:shd w:val="clear" w:color="auto" w:fill="D9D9D9"/>
            <w:noWrap/>
            <w:vAlign w:val="center"/>
            <w:hideMark/>
          </w:tcPr>
          <w:p w14:paraId="22A89715"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3E207893" w14:textId="77777777" w:rsidTr="00297840">
        <w:trPr>
          <w:trHeight w:val="274"/>
          <w:jc w:val="center"/>
        </w:trPr>
        <w:tc>
          <w:tcPr>
            <w:tcW w:w="8742" w:type="dxa"/>
            <w:gridSpan w:val="2"/>
            <w:shd w:val="clear" w:color="auto" w:fill="auto"/>
            <w:vAlign w:val="center"/>
            <w:hideMark/>
          </w:tcPr>
          <w:p w14:paraId="227A6F1E"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4E05A18C"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491354EC"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05ADAC24"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72B1A2B6"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3BC24D1"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03DD33C8"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8182891"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 xml:space="preserve">se procederá a su protección. Con relación al nombre y la opinión de quien participa en este ejercicio, se entiende que otorga su consentimiento para la difusión </w:t>
            </w:r>
            <w:r w:rsidRPr="00F36A5D">
              <w:rPr>
                <w:rFonts w:ascii="ITC Avant Garde" w:eastAsia="Times New Roman" w:hAnsi="ITC Avant Garde"/>
                <w:color w:val="000000"/>
                <w:sz w:val="14"/>
                <w:szCs w:val="16"/>
                <w:lang w:eastAsia="es-MX"/>
              </w:rPr>
              <w:lastRenderedPageBreak/>
              <w:t>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31D92342"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22A79FC"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62969EAC"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47521C81"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341C498B"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3C3E3AAE"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 xml:space="preserve">e ponen a disposición </w:t>
            </w:r>
            <w:r w:rsidR="00C374FC">
              <w:rPr>
                <w:rFonts w:ascii="ITC Avant Garde" w:eastAsia="Times New Roman" w:hAnsi="ITC Avant Garde"/>
                <w:color w:val="000000"/>
                <w:sz w:val="14"/>
                <w:szCs w:val="16"/>
                <w:lang w:eastAsia="es-MX"/>
              </w:rPr>
              <w:t>el</w:t>
            </w:r>
            <w:r w:rsidR="00C374F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siguiente punto de contacto: </w:t>
            </w:r>
            <w:r w:rsidR="00C374FC">
              <w:rPr>
                <w:rFonts w:ascii="ITC Avant Garde" w:eastAsia="Times New Roman" w:hAnsi="ITC Avant Garde"/>
                <w:color w:val="000000"/>
                <w:sz w:val="14"/>
                <w:szCs w:val="16"/>
                <w:lang w:eastAsia="es-MX"/>
              </w:rPr>
              <w:t>Lorenzo Antonio Flores,</w:t>
            </w:r>
            <w:r w:rsidRPr="00F36A5D">
              <w:rPr>
                <w:rFonts w:ascii="ITC Avant Garde" w:eastAsia="Times New Roman" w:hAnsi="ITC Avant Garde"/>
                <w:color w:val="000000"/>
                <w:sz w:val="14"/>
                <w:szCs w:val="16"/>
                <w:lang w:eastAsia="es-MX"/>
              </w:rPr>
              <w:t xml:space="preserve"> </w:t>
            </w:r>
            <w:r w:rsidR="00C374FC">
              <w:rPr>
                <w:rFonts w:ascii="ITC Avant Garde" w:eastAsia="Times New Roman" w:hAnsi="ITC Avant Garde"/>
                <w:color w:val="000000"/>
                <w:sz w:val="14"/>
                <w:szCs w:val="16"/>
                <w:lang w:eastAsia="es-MX"/>
              </w:rPr>
              <w:t>Subdirector de Cobertura</w:t>
            </w:r>
            <w:r w:rsidRPr="00F36A5D">
              <w:rPr>
                <w:rFonts w:ascii="ITC Avant Garde" w:eastAsia="Times New Roman" w:hAnsi="ITC Avant Garde"/>
                <w:color w:val="000000"/>
                <w:sz w:val="14"/>
                <w:szCs w:val="16"/>
                <w:lang w:eastAsia="es-MX"/>
              </w:rPr>
              <w:t xml:space="preserve">, correo electrónico: </w:t>
            </w:r>
            <w:r w:rsidR="00C374FC">
              <w:rPr>
                <w:rFonts w:ascii="ITC Avant Garde" w:eastAsia="Times New Roman" w:hAnsi="ITC Avant Garde"/>
                <w:color w:val="000000"/>
                <w:sz w:val="14"/>
                <w:szCs w:val="16"/>
                <w:lang w:eastAsia="es-MX"/>
              </w:rPr>
              <w:t>lorenzo.antonio</w:t>
            </w:r>
            <w:r w:rsidRPr="00F36A5D">
              <w:rPr>
                <w:rFonts w:ascii="ITC Avant Garde" w:eastAsia="Times New Roman" w:hAnsi="ITC Avant Garde"/>
                <w:color w:val="000000"/>
                <w:sz w:val="14"/>
                <w:szCs w:val="16"/>
                <w:lang w:eastAsia="es-MX"/>
              </w:rPr>
              <w:t xml:space="preserve">@ift.org.mx número telefónico (55) 50154000 extensión </w:t>
            </w:r>
            <w:r w:rsidR="00C374FC">
              <w:rPr>
                <w:rFonts w:ascii="ITC Avant Garde" w:eastAsia="Times New Roman" w:hAnsi="ITC Avant Garde"/>
                <w:color w:val="000000"/>
                <w:sz w:val="14"/>
                <w:szCs w:val="16"/>
                <w:lang w:eastAsia="es-MX"/>
              </w:rPr>
              <w:t>4028</w:t>
            </w:r>
            <w:r w:rsidRPr="00F36A5D">
              <w:rPr>
                <w:rFonts w:ascii="ITC Avant Garde" w:eastAsia="Times New Roman" w:hAnsi="ITC Avant Garde"/>
                <w:color w:val="000000"/>
                <w:sz w:val="14"/>
                <w:szCs w:val="16"/>
                <w:lang w:eastAsia="es-MX"/>
              </w:rPr>
              <w:t xml:space="preserve">, con quien el titular de los datos personales podrá comunicarse </w:t>
            </w:r>
            <w:r w:rsidR="00A57E13" w:rsidRPr="00F36A5D">
              <w:rPr>
                <w:rFonts w:ascii="ITC Avant Garde" w:eastAsia="Times New Roman" w:hAnsi="ITC Avant Garde"/>
                <w:color w:val="000000"/>
                <w:sz w:val="14"/>
                <w:szCs w:val="16"/>
                <w:lang w:eastAsia="es-MX"/>
              </w:rPr>
              <w:t xml:space="preserve">para cualquier manifestación o inquietud al respecto. </w:t>
            </w:r>
          </w:p>
          <w:p w14:paraId="3A5DEF3E"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0AFE2AF" w14:textId="77777777"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36982027"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5164413" w14:textId="77777777"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423E4074" w14:textId="77777777"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693B7AC7"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29E21FED"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62EF95B2"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1C4EBC43"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13990DB7"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71AFE1DF"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0379114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698FF4D" w14:textId="77777777"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46870863"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45598885"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16D725E5"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56D571EB"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55803942"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321809A"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274F75CE"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E671BDB"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3"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44A466FE"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20FEE3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6832D347"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0E02B3B"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w:t>
            </w:r>
            <w:r w:rsidRPr="00F36A5D">
              <w:rPr>
                <w:rFonts w:ascii="ITC Avant Garde" w:eastAsia="Times New Roman" w:hAnsi="ITC Avant Garde"/>
                <w:color w:val="000000"/>
                <w:sz w:val="14"/>
                <w:szCs w:val="16"/>
                <w:lang w:eastAsia="es-MX"/>
              </w:rPr>
              <w:lastRenderedPageBreak/>
              <w:t>presencial, o por la Plataforma Nacional de Transparencia o correo certificado en cuyo caso no procederá la notificación a través de representante para estos últimos medios.</w:t>
            </w:r>
          </w:p>
          <w:p w14:paraId="32E72125"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7EF5072"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62EE201B"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452A98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523EE507"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1E52BD6"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5FCF98F7"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A2C2EF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4C12C7DE"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78A7F72"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6747EC30"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D3CDAFB"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32A9BE74"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4FC37DE"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4AF7FD50"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6BDD2B6"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5B495221"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6E096CE"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11061602"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18714E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2639DB61"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4A1DC93"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097C00E"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8AFABF4" w14:textId="77777777"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14:paraId="0664ABCD"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F1F8A33"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58059F3E"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ABAE9C2" w14:textId="77777777"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1FA6A852" w14:textId="77777777"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7941A65" w14:textId="77777777" w:rsidR="00EC144A" w:rsidRDefault="000E55B0" w:rsidP="00EC144A">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Delegación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teléfono 50154000, extensión 4267.</w:t>
            </w:r>
          </w:p>
          <w:p w14:paraId="67C56EE7" w14:textId="77777777" w:rsidR="00F36A5D" w:rsidRDefault="00F36A5D" w:rsidP="00EC144A">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1C3C886F" w14:textId="77777777" w:rsidR="00D52722" w:rsidRPr="00EC144A" w:rsidRDefault="00D52722" w:rsidP="00EC144A">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594ACF1B" w14:textId="77777777" w:rsidR="006B0B12"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14:paraId="25F83546" w14:textId="77777777" w:rsidR="00297840" w:rsidRPr="00F36A5D" w:rsidRDefault="00297840"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7EBE7771"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3"/>
        <w:gridCol w:w="7080"/>
      </w:tblGrid>
      <w:tr w:rsidR="000E55B0" w:rsidRPr="00F36A5D" w14:paraId="4D8C9754" w14:textId="77777777" w:rsidTr="00D35705">
        <w:trPr>
          <w:trHeight w:val="581"/>
        </w:trPr>
        <w:tc>
          <w:tcPr>
            <w:tcW w:w="8859" w:type="dxa"/>
            <w:gridSpan w:val="2"/>
            <w:shd w:val="clear" w:color="auto" w:fill="D9D9D9"/>
            <w:vAlign w:val="center"/>
            <w:hideMark/>
          </w:tcPr>
          <w:p w14:paraId="6BF9144C"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66287FF1" w14:textId="77777777" w:rsidTr="00D35705">
        <w:trPr>
          <w:trHeight w:val="399"/>
        </w:trPr>
        <w:tc>
          <w:tcPr>
            <w:tcW w:w="1684" w:type="dxa"/>
            <w:shd w:val="clear" w:color="auto" w:fill="C5E0B3"/>
            <w:vAlign w:val="center"/>
            <w:hideMark/>
          </w:tcPr>
          <w:p w14:paraId="259644C3"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10D8BF1D"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8898C7B" w14:textId="77777777" w:rsidTr="00D35705">
        <w:trPr>
          <w:trHeight w:val="290"/>
        </w:trPr>
        <w:tc>
          <w:tcPr>
            <w:tcW w:w="1684" w:type="dxa"/>
            <w:shd w:val="clear" w:color="auto" w:fill="auto"/>
            <w:vAlign w:val="center"/>
          </w:tcPr>
          <w:p w14:paraId="3AC13A89"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1EF688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8DBD251" w14:textId="77777777" w:rsidTr="00D35705">
        <w:trPr>
          <w:trHeight w:val="290"/>
        </w:trPr>
        <w:tc>
          <w:tcPr>
            <w:tcW w:w="1684" w:type="dxa"/>
            <w:shd w:val="clear" w:color="auto" w:fill="auto"/>
            <w:vAlign w:val="center"/>
          </w:tcPr>
          <w:p w14:paraId="4FDF468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3A1FFB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2D2ABF3" w14:textId="77777777" w:rsidTr="00D35705">
        <w:trPr>
          <w:trHeight w:val="290"/>
        </w:trPr>
        <w:tc>
          <w:tcPr>
            <w:tcW w:w="1684" w:type="dxa"/>
            <w:shd w:val="clear" w:color="auto" w:fill="auto"/>
            <w:vAlign w:val="center"/>
          </w:tcPr>
          <w:p w14:paraId="64204829"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7D4BD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C9701D5" w14:textId="77777777" w:rsidTr="00D35705">
        <w:trPr>
          <w:trHeight w:val="290"/>
        </w:trPr>
        <w:tc>
          <w:tcPr>
            <w:tcW w:w="1684" w:type="dxa"/>
            <w:shd w:val="clear" w:color="auto" w:fill="auto"/>
            <w:vAlign w:val="center"/>
          </w:tcPr>
          <w:p w14:paraId="171B825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64F1A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977BBC3" w14:textId="77777777" w:rsidTr="00D35705">
        <w:trPr>
          <w:trHeight w:val="290"/>
        </w:trPr>
        <w:tc>
          <w:tcPr>
            <w:tcW w:w="1684" w:type="dxa"/>
            <w:shd w:val="clear" w:color="auto" w:fill="auto"/>
            <w:vAlign w:val="center"/>
          </w:tcPr>
          <w:p w14:paraId="282E3FB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1501D1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8A5BBFC" w14:textId="77777777" w:rsidTr="00D35705">
        <w:trPr>
          <w:trHeight w:val="290"/>
        </w:trPr>
        <w:tc>
          <w:tcPr>
            <w:tcW w:w="1684" w:type="dxa"/>
            <w:shd w:val="clear" w:color="auto" w:fill="auto"/>
            <w:vAlign w:val="center"/>
          </w:tcPr>
          <w:p w14:paraId="116B1696"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44E3DCD"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C5F35FD" w14:textId="77777777" w:rsidTr="00D35705">
        <w:trPr>
          <w:trHeight w:val="290"/>
        </w:trPr>
        <w:tc>
          <w:tcPr>
            <w:tcW w:w="1684" w:type="dxa"/>
            <w:shd w:val="clear" w:color="auto" w:fill="auto"/>
            <w:vAlign w:val="center"/>
          </w:tcPr>
          <w:p w14:paraId="69299C9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C6867B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EC47E57" w14:textId="77777777" w:rsidTr="00D35705">
        <w:trPr>
          <w:trHeight w:val="290"/>
        </w:trPr>
        <w:tc>
          <w:tcPr>
            <w:tcW w:w="1684" w:type="dxa"/>
            <w:shd w:val="clear" w:color="auto" w:fill="auto"/>
            <w:vAlign w:val="center"/>
          </w:tcPr>
          <w:p w14:paraId="7BA6FD6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054581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505FD4A" w14:textId="77777777" w:rsidTr="00D35705">
        <w:trPr>
          <w:trHeight w:val="130"/>
        </w:trPr>
        <w:tc>
          <w:tcPr>
            <w:tcW w:w="8859" w:type="dxa"/>
            <w:gridSpan w:val="2"/>
            <w:shd w:val="clear" w:color="auto" w:fill="C5E0B3"/>
            <w:vAlign w:val="center"/>
          </w:tcPr>
          <w:p w14:paraId="632F9F7A"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41D2BDEC" w14:textId="77777777" w:rsidR="0086154B" w:rsidRDefault="0086154B" w:rsidP="00C41536">
      <w:pPr>
        <w:spacing w:after="0"/>
        <w:jc w:val="both"/>
        <w:rPr>
          <w:rFonts w:ascii="ITC Avant Garde" w:hAnsi="ITC Avant Garde"/>
          <w:sz w:val="12"/>
        </w:rPr>
      </w:pPr>
    </w:p>
    <w:p w14:paraId="4CCCEFDC" w14:textId="77777777" w:rsidR="0086154B" w:rsidRDefault="0086154B" w:rsidP="00C41536">
      <w:pPr>
        <w:spacing w:after="0"/>
        <w:jc w:val="both"/>
        <w:rPr>
          <w:rFonts w:ascii="ITC Avant Garde" w:hAnsi="ITC Avant Garde"/>
          <w:sz w:val="12"/>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3"/>
      </w:tblGrid>
      <w:tr w:rsidR="00975C25" w:rsidRPr="00670385" w14:paraId="3146C8FD" w14:textId="77777777" w:rsidTr="00D35705">
        <w:trPr>
          <w:jc w:val="center"/>
        </w:trPr>
        <w:tc>
          <w:tcPr>
            <w:tcW w:w="8789" w:type="dxa"/>
            <w:shd w:val="clear" w:color="auto" w:fill="D9D9D9"/>
          </w:tcPr>
          <w:p w14:paraId="6D1A9EB0"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7AC1B982" w14:textId="77777777" w:rsidTr="00D35705">
        <w:trPr>
          <w:jc w:val="center"/>
        </w:trPr>
        <w:tc>
          <w:tcPr>
            <w:tcW w:w="8789" w:type="dxa"/>
            <w:shd w:val="clear" w:color="auto" w:fill="auto"/>
          </w:tcPr>
          <w:p w14:paraId="03995FEA" w14:textId="77777777" w:rsidR="00975C25" w:rsidRPr="00670385" w:rsidRDefault="00975C25" w:rsidP="00670385">
            <w:pPr>
              <w:spacing w:after="0"/>
              <w:jc w:val="both"/>
              <w:rPr>
                <w:rFonts w:ascii="ITC Avant Garde" w:hAnsi="ITC Avant Garde"/>
                <w:sz w:val="12"/>
              </w:rPr>
            </w:pPr>
          </w:p>
          <w:p w14:paraId="2E014ADB" w14:textId="77777777" w:rsidR="00975C25" w:rsidRPr="00670385" w:rsidRDefault="00975C25" w:rsidP="00670385">
            <w:pPr>
              <w:spacing w:after="0"/>
              <w:jc w:val="both"/>
              <w:rPr>
                <w:rFonts w:ascii="ITC Avant Garde" w:hAnsi="ITC Avant Garde"/>
                <w:sz w:val="12"/>
              </w:rPr>
            </w:pPr>
          </w:p>
          <w:p w14:paraId="02A18BE7" w14:textId="77777777" w:rsidR="00975C25" w:rsidRPr="00670385" w:rsidRDefault="00975C25" w:rsidP="00670385">
            <w:pPr>
              <w:spacing w:after="0"/>
              <w:jc w:val="both"/>
              <w:rPr>
                <w:rFonts w:ascii="ITC Avant Garde" w:hAnsi="ITC Avant Garde"/>
                <w:sz w:val="12"/>
              </w:rPr>
            </w:pPr>
          </w:p>
          <w:p w14:paraId="0A80D651" w14:textId="77777777" w:rsidR="00975C25" w:rsidRPr="00670385" w:rsidRDefault="00975C25" w:rsidP="00670385">
            <w:pPr>
              <w:spacing w:after="0"/>
              <w:jc w:val="both"/>
              <w:rPr>
                <w:rFonts w:ascii="ITC Avant Garde" w:hAnsi="ITC Avant Garde"/>
                <w:sz w:val="12"/>
              </w:rPr>
            </w:pPr>
          </w:p>
          <w:p w14:paraId="0BAA9A27" w14:textId="77777777" w:rsidR="00975C25" w:rsidRPr="00670385" w:rsidRDefault="00975C25" w:rsidP="00670385">
            <w:pPr>
              <w:spacing w:after="0"/>
              <w:jc w:val="both"/>
              <w:rPr>
                <w:rFonts w:ascii="ITC Avant Garde" w:hAnsi="ITC Avant Garde"/>
                <w:sz w:val="12"/>
              </w:rPr>
            </w:pPr>
          </w:p>
          <w:p w14:paraId="2AE88188" w14:textId="77777777" w:rsidR="00975C25" w:rsidRPr="00670385" w:rsidRDefault="00975C25" w:rsidP="00670385">
            <w:pPr>
              <w:spacing w:after="0"/>
              <w:jc w:val="both"/>
              <w:rPr>
                <w:rFonts w:ascii="ITC Avant Garde" w:hAnsi="ITC Avant Garde"/>
                <w:sz w:val="12"/>
              </w:rPr>
            </w:pPr>
          </w:p>
          <w:p w14:paraId="34BE11E8" w14:textId="77777777" w:rsidR="00975C25" w:rsidRPr="00670385" w:rsidRDefault="00975C25" w:rsidP="00670385">
            <w:pPr>
              <w:spacing w:after="0"/>
              <w:jc w:val="both"/>
              <w:rPr>
                <w:rFonts w:ascii="ITC Avant Garde" w:hAnsi="ITC Avant Garde"/>
                <w:sz w:val="12"/>
              </w:rPr>
            </w:pPr>
          </w:p>
        </w:tc>
      </w:tr>
      <w:tr w:rsidR="00975C25" w:rsidRPr="00670385" w14:paraId="3770B6FC" w14:textId="77777777" w:rsidTr="00D35705">
        <w:trPr>
          <w:jc w:val="center"/>
        </w:trPr>
        <w:tc>
          <w:tcPr>
            <w:tcW w:w="8789" w:type="dxa"/>
            <w:shd w:val="clear" w:color="auto" w:fill="C5E0B3"/>
          </w:tcPr>
          <w:p w14:paraId="74F6B452"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7A28AB7F"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4"/>
      <w:footerReference w:type="default" r:id="rId15"/>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EAADA" w14:textId="77777777" w:rsidR="00D01D18" w:rsidRDefault="00D01D18" w:rsidP="0038199D">
      <w:pPr>
        <w:spacing w:after="0" w:line="240" w:lineRule="auto"/>
      </w:pPr>
      <w:r>
        <w:separator/>
      </w:r>
    </w:p>
  </w:endnote>
  <w:endnote w:type="continuationSeparator" w:id="0">
    <w:p w14:paraId="08931D6E" w14:textId="77777777" w:rsidR="00D01D18" w:rsidRDefault="00D01D18"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77C10" w14:textId="1823B6A5"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DF2507" w:rsidRPr="00DF2507">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DF2507" w:rsidRPr="00DF2507">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00DF3361"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40219" w14:textId="77777777" w:rsidR="00D01D18" w:rsidRDefault="00D01D18" w:rsidP="0038199D">
      <w:pPr>
        <w:spacing w:after="0" w:line="240" w:lineRule="auto"/>
      </w:pPr>
      <w:r>
        <w:separator/>
      </w:r>
    </w:p>
  </w:footnote>
  <w:footnote w:type="continuationSeparator" w:id="0">
    <w:p w14:paraId="2205C496" w14:textId="77777777" w:rsidR="00D01D18" w:rsidRDefault="00D01D18"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6B542" w14:textId="77777777" w:rsidR="0038199D" w:rsidRPr="007A6974" w:rsidRDefault="00F46D21"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4FB3B7AB" wp14:editId="3C99EBA2">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4447E38" w14:textId="77777777"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0356DE" w:rsidRPr="00F36A5D">
      <w:rPr>
        <w:rFonts w:ascii="ITC Avant Garde" w:hAnsi="ITC Avant Garde"/>
        <w:b/>
        <w:sz w:val="20"/>
      </w:rPr>
      <w:t>“</w:t>
    </w:r>
    <w:r w:rsidR="00D35705" w:rsidRPr="00A92F96">
      <w:rPr>
        <w:rFonts w:ascii="ITC Avant Garde" w:hAnsi="ITC Avant Garde"/>
        <w:b/>
        <w:sz w:val="20"/>
      </w:rPr>
      <w:t>Anteproyecto de modificación a la metodología de separación contable aplicable a los agentes económicos preponderantes, agentes declarados con poder sustancial de mercado y redes compartidas mayoristas, aprobada mediante acuerdo P/IFT/191217/914 y modificada mediante acuerdo P/IFT/171018/624</w:t>
    </w:r>
    <w:r w:rsidR="007E04FB" w:rsidRPr="00F36A5D">
      <w:rPr>
        <w:rFonts w:ascii="ITC Avant Garde" w:hAnsi="ITC Avant Garde"/>
        <w:b/>
        <w:sz w:val="20"/>
      </w:rPr>
      <w:t>”</w:t>
    </w:r>
  </w:p>
  <w:p w14:paraId="42AAEAA2" w14:textId="77777777" w:rsidR="0038199D" w:rsidRPr="007A6974" w:rsidRDefault="00F46D21"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77F1732D" wp14:editId="04DC7093">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80D4D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261F"/>
    <w:rsid w:val="000049D9"/>
    <w:rsid w:val="000055EA"/>
    <w:rsid w:val="00005DB7"/>
    <w:rsid w:val="000253EE"/>
    <w:rsid w:val="00025623"/>
    <w:rsid w:val="00026723"/>
    <w:rsid w:val="00030595"/>
    <w:rsid w:val="00030E6E"/>
    <w:rsid w:val="000356DE"/>
    <w:rsid w:val="00092755"/>
    <w:rsid w:val="000931D8"/>
    <w:rsid w:val="00097B00"/>
    <w:rsid w:val="000A0CEF"/>
    <w:rsid w:val="000A0F69"/>
    <w:rsid w:val="000A5CFB"/>
    <w:rsid w:val="000A6255"/>
    <w:rsid w:val="000D2838"/>
    <w:rsid w:val="000E41EA"/>
    <w:rsid w:val="000E41F3"/>
    <w:rsid w:val="000E4B26"/>
    <w:rsid w:val="000E54B6"/>
    <w:rsid w:val="000E55B0"/>
    <w:rsid w:val="00100C9C"/>
    <w:rsid w:val="001124B6"/>
    <w:rsid w:val="00120D05"/>
    <w:rsid w:val="001331D8"/>
    <w:rsid w:val="00160352"/>
    <w:rsid w:val="00170916"/>
    <w:rsid w:val="00174196"/>
    <w:rsid w:val="001D1A66"/>
    <w:rsid w:val="001E0388"/>
    <w:rsid w:val="00266BE0"/>
    <w:rsid w:val="002771ED"/>
    <w:rsid w:val="00280EE6"/>
    <w:rsid w:val="00282D64"/>
    <w:rsid w:val="00297840"/>
    <w:rsid w:val="002A3BC0"/>
    <w:rsid w:val="002B4BB2"/>
    <w:rsid w:val="002D34FE"/>
    <w:rsid w:val="00307092"/>
    <w:rsid w:val="00311C58"/>
    <w:rsid w:val="00323F3A"/>
    <w:rsid w:val="00350E0C"/>
    <w:rsid w:val="003613DA"/>
    <w:rsid w:val="0038199D"/>
    <w:rsid w:val="00397054"/>
    <w:rsid w:val="003B524B"/>
    <w:rsid w:val="003C502A"/>
    <w:rsid w:val="003D1CAC"/>
    <w:rsid w:val="0041087B"/>
    <w:rsid w:val="00410F8E"/>
    <w:rsid w:val="004141B1"/>
    <w:rsid w:val="004317BC"/>
    <w:rsid w:val="00450FCD"/>
    <w:rsid w:val="00461A06"/>
    <w:rsid w:val="00464849"/>
    <w:rsid w:val="00464AE1"/>
    <w:rsid w:val="004970C4"/>
    <w:rsid w:val="004A1FE1"/>
    <w:rsid w:val="004A668A"/>
    <w:rsid w:val="004B053F"/>
    <w:rsid w:val="004C4695"/>
    <w:rsid w:val="004D5EAB"/>
    <w:rsid w:val="004D64DD"/>
    <w:rsid w:val="004D7960"/>
    <w:rsid w:val="004E2A3A"/>
    <w:rsid w:val="004F4C27"/>
    <w:rsid w:val="00511FAE"/>
    <w:rsid w:val="0052296A"/>
    <w:rsid w:val="005341FD"/>
    <w:rsid w:val="005442F5"/>
    <w:rsid w:val="00546F00"/>
    <w:rsid w:val="00555B10"/>
    <w:rsid w:val="0058551F"/>
    <w:rsid w:val="005A4FB3"/>
    <w:rsid w:val="005B3E9A"/>
    <w:rsid w:val="005C0435"/>
    <w:rsid w:val="005C06DB"/>
    <w:rsid w:val="005D1DEE"/>
    <w:rsid w:val="005F0265"/>
    <w:rsid w:val="00603B41"/>
    <w:rsid w:val="00605BD9"/>
    <w:rsid w:val="00623761"/>
    <w:rsid w:val="006601AF"/>
    <w:rsid w:val="00670385"/>
    <w:rsid w:val="006A6D93"/>
    <w:rsid w:val="006B0B12"/>
    <w:rsid w:val="006F5989"/>
    <w:rsid w:val="006F5B23"/>
    <w:rsid w:val="00703850"/>
    <w:rsid w:val="00735DEE"/>
    <w:rsid w:val="00762996"/>
    <w:rsid w:val="007644BA"/>
    <w:rsid w:val="0077357C"/>
    <w:rsid w:val="007843CF"/>
    <w:rsid w:val="007978CB"/>
    <w:rsid w:val="007A3568"/>
    <w:rsid w:val="007A6974"/>
    <w:rsid w:val="007B10A3"/>
    <w:rsid w:val="007C3AF1"/>
    <w:rsid w:val="007D4A23"/>
    <w:rsid w:val="007E04FB"/>
    <w:rsid w:val="007F0F4F"/>
    <w:rsid w:val="00800852"/>
    <w:rsid w:val="00804BB7"/>
    <w:rsid w:val="008200BE"/>
    <w:rsid w:val="0086154B"/>
    <w:rsid w:val="008658B5"/>
    <w:rsid w:val="008711D6"/>
    <w:rsid w:val="0087596E"/>
    <w:rsid w:val="008843FB"/>
    <w:rsid w:val="008A5565"/>
    <w:rsid w:val="008C679D"/>
    <w:rsid w:val="008D106B"/>
    <w:rsid w:val="008F2B1A"/>
    <w:rsid w:val="00903C94"/>
    <w:rsid w:val="00915CEA"/>
    <w:rsid w:val="009160D3"/>
    <w:rsid w:val="00935B15"/>
    <w:rsid w:val="00942344"/>
    <w:rsid w:val="009426CC"/>
    <w:rsid w:val="00960B9F"/>
    <w:rsid w:val="00975C25"/>
    <w:rsid w:val="009C6C17"/>
    <w:rsid w:val="009D3DDA"/>
    <w:rsid w:val="009E197F"/>
    <w:rsid w:val="00A11685"/>
    <w:rsid w:val="00A1372C"/>
    <w:rsid w:val="00A25465"/>
    <w:rsid w:val="00A454F4"/>
    <w:rsid w:val="00A57E13"/>
    <w:rsid w:val="00A60361"/>
    <w:rsid w:val="00A62E59"/>
    <w:rsid w:val="00A7050F"/>
    <w:rsid w:val="00A74360"/>
    <w:rsid w:val="00A751A5"/>
    <w:rsid w:val="00A75A67"/>
    <w:rsid w:val="00A917C8"/>
    <w:rsid w:val="00A92B29"/>
    <w:rsid w:val="00A92F96"/>
    <w:rsid w:val="00AA70C3"/>
    <w:rsid w:val="00AC64A2"/>
    <w:rsid w:val="00AD0D63"/>
    <w:rsid w:val="00AD33E2"/>
    <w:rsid w:val="00AE778E"/>
    <w:rsid w:val="00B17D0B"/>
    <w:rsid w:val="00B20E15"/>
    <w:rsid w:val="00B533DC"/>
    <w:rsid w:val="00B710F1"/>
    <w:rsid w:val="00B72399"/>
    <w:rsid w:val="00B97BF9"/>
    <w:rsid w:val="00BB1458"/>
    <w:rsid w:val="00BB25F2"/>
    <w:rsid w:val="00C123D0"/>
    <w:rsid w:val="00C35A85"/>
    <w:rsid w:val="00C374FC"/>
    <w:rsid w:val="00C41536"/>
    <w:rsid w:val="00C42DD1"/>
    <w:rsid w:val="00C474AE"/>
    <w:rsid w:val="00C53026"/>
    <w:rsid w:val="00C56B77"/>
    <w:rsid w:val="00C60ADB"/>
    <w:rsid w:val="00C63CEB"/>
    <w:rsid w:val="00C71583"/>
    <w:rsid w:val="00C7325F"/>
    <w:rsid w:val="00C83664"/>
    <w:rsid w:val="00C900FF"/>
    <w:rsid w:val="00C90561"/>
    <w:rsid w:val="00CA32F5"/>
    <w:rsid w:val="00CB7035"/>
    <w:rsid w:val="00CB7780"/>
    <w:rsid w:val="00CC382A"/>
    <w:rsid w:val="00CC53F7"/>
    <w:rsid w:val="00CD7401"/>
    <w:rsid w:val="00D01D18"/>
    <w:rsid w:val="00D13998"/>
    <w:rsid w:val="00D13CA5"/>
    <w:rsid w:val="00D22B9D"/>
    <w:rsid w:val="00D23785"/>
    <w:rsid w:val="00D334B0"/>
    <w:rsid w:val="00D35705"/>
    <w:rsid w:val="00D472B6"/>
    <w:rsid w:val="00D47A99"/>
    <w:rsid w:val="00D50117"/>
    <w:rsid w:val="00D52722"/>
    <w:rsid w:val="00D76089"/>
    <w:rsid w:val="00D94F82"/>
    <w:rsid w:val="00DB357E"/>
    <w:rsid w:val="00DC3C6C"/>
    <w:rsid w:val="00DF154A"/>
    <w:rsid w:val="00DF2507"/>
    <w:rsid w:val="00DF5B3F"/>
    <w:rsid w:val="00DF5CB5"/>
    <w:rsid w:val="00E26752"/>
    <w:rsid w:val="00E64007"/>
    <w:rsid w:val="00E71AFE"/>
    <w:rsid w:val="00E944B2"/>
    <w:rsid w:val="00EA6ACC"/>
    <w:rsid w:val="00EB1D99"/>
    <w:rsid w:val="00EC144A"/>
    <w:rsid w:val="00EC32C5"/>
    <w:rsid w:val="00F212B2"/>
    <w:rsid w:val="00F362D7"/>
    <w:rsid w:val="00F36A5D"/>
    <w:rsid w:val="00F45EB4"/>
    <w:rsid w:val="00F46D21"/>
    <w:rsid w:val="00F67CAE"/>
    <w:rsid w:val="00F70652"/>
    <w:rsid w:val="00F812E3"/>
    <w:rsid w:val="00FA17DF"/>
    <w:rsid w:val="00FD1C45"/>
    <w:rsid w:val="00FD4E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49011"/>
  <w15:chartTrackingRefBased/>
  <w15:docId w15:val="{AE58C85C-F332-45C2-93C6-5230C2AA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D527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ft.org.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83C575E2084791B23FB9CD870C8961"/>
        <w:category>
          <w:name w:val="General"/>
          <w:gallery w:val="placeholder"/>
        </w:category>
        <w:types>
          <w:type w:val="bbPlcHdr"/>
        </w:types>
        <w:behaviors>
          <w:behavior w:val="content"/>
        </w:behaviors>
        <w:guid w:val="{EBF7131B-5EF3-411C-8CB6-DB469D9E37DB}"/>
      </w:docPartPr>
      <w:docPartBody>
        <w:p w:rsidR="001463AF" w:rsidRDefault="00905EEF" w:rsidP="00905EEF">
          <w:pPr>
            <w:pStyle w:val="5883C575E2084791B23FB9CD870C8961"/>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EEF"/>
    <w:rsid w:val="001463AF"/>
    <w:rsid w:val="0073367D"/>
    <w:rsid w:val="00905EEF"/>
    <w:rsid w:val="00A62D29"/>
    <w:rsid w:val="00DC44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05EEF"/>
  </w:style>
  <w:style w:type="paragraph" w:customStyle="1" w:styleId="5883C575E2084791B23FB9CD870C8961">
    <w:name w:val="5883C575E2084791B23FB9CD870C8961"/>
    <w:rsid w:val="00905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2E1CF7-0583-4C43-A09E-5D260923C5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A4E29C-60EC-4033-AD77-19A7D6A6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2266</Words>
  <Characters>12469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14706</CharactersWithSpaces>
  <SharedDoc>false</SharedDoc>
  <HLinks>
    <vt:vector size="18" baseType="variant">
      <vt:variant>
        <vt:i4>5046362</vt:i4>
      </vt:variant>
      <vt:variant>
        <vt:i4>6</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5111858</vt:i4>
      </vt:variant>
      <vt:variant>
        <vt:i4>3</vt:i4>
      </vt:variant>
      <vt:variant>
        <vt:i4>0</vt:i4>
      </vt:variant>
      <vt:variant>
        <vt:i4>5</vt:i4>
      </vt:variant>
      <vt:variant>
        <vt:lpwstr>mailto:@ift.org.mx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UPR</cp:lastModifiedBy>
  <cp:revision>3</cp:revision>
  <dcterms:created xsi:type="dcterms:W3CDTF">2018-11-09T21:17:00Z</dcterms:created>
  <dcterms:modified xsi:type="dcterms:W3CDTF">2018-11-12T18:05:00Z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