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FC565"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5B34B9D0" w14:textId="77777777" w:rsidR="006601AF" w:rsidRPr="00F36A5D" w:rsidRDefault="006601AF" w:rsidP="00C900FF">
      <w:pPr>
        <w:spacing w:after="0"/>
        <w:rPr>
          <w:rFonts w:ascii="ITC Avant Garde" w:hAnsi="ITC Avant Garde"/>
          <w:b/>
        </w:rPr>
      </w:pPr>
    </w:p>
    <w:p w14:paraId="10C93FCD"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13A149C8" w14:textId="77777777" w:rsidR="004970C4" w:rsidRPr="00F36A5D" w:rsidRDefault="004970C4" w:rsidP="007A6974">
      <w:pPr>
        <w:spacing w:after="0"/>
        <w:rPr>
          <w:rFonts w:ascii="ITC Avant Garde" w:hAnsi="ITC Avant Garde"/>
          <w:b/>
          <w:sz w:val="16"/>
        </w:rPr>
      </w:pPr>
    </w:p>
    <w:p w14:paraId="2D983AE0" w14:textId="77777777" w:rsidR="0038199D" w:rsidRPr="00F36A5D" w:rsidRDefault="00AA341F" w:rsidP="00D42FCD">
      <w:pPr>
        <w:numPr>
          <w:ilvl w:val="0"/>
          <w:numId w:val="1"/>
        </w:numPr>
        <w:spacing w:after="0"/>
        <w:ind w:left="426" w:right="49" w:hanging="426"/>
        <w:jc w:val="both"/>
        <w:rPr>
          <w:rFonts w:ascii="ITC Avant Garde" w:hAnsi="ITC Avant Garde"/>
          <w:sz w:val="14"/>
          <w:szCs w:val="14"/>
        </w:rPr>
      </w:pPr>
      <w:r>
        <w:rPr>
          <w:rFonts w:ascii="ITC Avant Garde" w:hAnsi="ITC Avant Garde"/>
          <w:sz w:val="14"/>
          <w:szCs w:val="14"/>
        </w:rPr>
        <w:t>Remit</w:t>
      </w:r>
      <w:r w:rsidR="00376D80">
        <w:rPr>
          <w:rFonts w:ascii="ITC Avant Garde" w:hAnsi="ITC Avant Garde"/>
          <w:sz w:val="14"/>
          <w:szCs w:val="14"/>
        </w:rPr>
        <w:t>a</w:t>
      </w:r>
      <w:r>
        <w:rPr>
          <w:rFonts w:ascii="ITC Avant Garde" w:hAnsi="ITC Avant Garde"/>
          <w:sz w:val="14"/>
          <w:szCs w:val="14"/>
        </w:rPr>
        <w:t xml:space="preserve"> l</w:t>
      </w:r>
      <w:r w:rsidR="0038199D" w:rsidRPr="00F36A5D">
        <w:rPr>
          <w:rFonts w:ascii="ITC Avant Garde" w:hAnsi="ITC Avant Garde"/>
          <w:sz w:val="14"/>
          <w:szCs w:val="14"/>
        </w:rPr>
        <w:t>as opin</w:t>
      </w:r>
      <w:r w:rsidR="00D42FCD">
        <w:rPr>
          <w:rFonts w:ascii="ITC Avant Garde" w:hAnsi="ITC Avant Garde"/>
          <w:sz w:val="14"/>
          <w:szCs w:val="14"/>
        </w:rPr>
        <w:t>iones, comentarios y propuestas</w:t>
      </w:r>
      <w:r w:rsidR="0038199D" w:rsidRPr="00F36A5D">
        <w:rPr>
          <w:rFonts w:ascii="ITC Avant Garde" w:hAnsi="ITC Avant Garde"/>
          <w:sz w:val="14"/>
          <w:szCs w:val="14"/>
        </w:rPr>
        <w:t xml:space="preserve"> a la siguiente dirección de correo electrónico: </w:t>
      </w:r>
      <w:hyperlink r:id="rId11" w:history="1">
        <w:r w:rsidR="00181E5E" w:rsidRPr="003965C0">
          <w:rPr>
            <w:rStyle w:val="Hipervnculo"/>
            <w:rFonts w:ascii="Century Gothic" w:hAnsi="Century Gothic"/>
            <w:sz w:val="14"/>
            <w:szCs w:val="14"/>
          </w:rPr>
          <w:t>licitacionift9@ift.org.mx</w:t>
        </w:r>
      </w:hyperlink>
      <w:r w:rsidR="0038199D"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0038199D"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0038199D" w:rsidRPr="00F36A5D">
        <w:rPr>
          <w:rFonts w:ascii="ITC Avant Garde" w:hAnsi="ITC Avant Garde"/>
          <w:sz w:val="14"/>
          <w:szCs w:val="14"/>
        </w:rPr>
        <w:t xml:space="preserve">de archivos es de </w:t>
      </w:r>
      <w:r w:rsidR="00B533DC" w:rsidRPr="00F36A5D">
        <w:rPr>
          <w:rFonts w:ascii="ITC Avant Garde" w:hAnsi="ITC Avant Garde"/>
          <w:sz w:val="14"/>
          <w:szCs w:val="14"/>
        </w:rPr>
        <w:t xml:space="preserve">25 </w:t>
      </w:r>
      <w:r w:rsidR="00444E21" w:rsidRPr="00F36A5D">
        <w:rPr>
          <w:rFonts w:ascii="ITC Avant Garde" w:hAnsi="ITC Avant Garde"/>
          <w:sz w:val="14"/>
          <w:szCs w:val="14"/>
        </w:rPr>
        <w:t>M</w:t>
      </w:r>
      <w:r w:rsidR="00444E21">
        <w:rPr>
          <w:rFonts w:ascii="ITC Avant Garde" w:hAnsi="ITC Avant Garde"/>
          <w:sz w:val="14"/>
          <w:szCs w:val="14"/>
        </w:rPr>
        <w:t>B</w:t>
      </w:r>
      <w:r w:rsidR="0038199D" w:rsidRPr="00F36A5D">
        <w:rPr>
          <w:rFonts w:ascii="ITC Avant Garde" w:hAnsi="ITC Avant Garde"/>
          <w:sz w:val="14"/>
          <w:szCs w:val="14"/>
        </w:rPr>
        <w:t>.</w:t>
      </w:r>
    </w:p>
    <w:p w14:paraId="44176636" w14:textId="78DA0837" w:rsidR="0038199D" w:rsidRPr="00F36A5D" w:rsidRDefault="0038199D" w:rsidP="00D42FCD">
      <w:pPr>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w:t>
      </w:r>
      <w:r w:rsidR="00966ADF">
        <w:rPr>
          <w:rFonts w:ascii="ITC Avant Garde" w:hAnsi="ITC Avant Garde"/>
          <w:sz w:val="14"/>
          <w:szCs w:val="14"/>
        </w:rPr>
        <w:t>en el mismo</w:t>
      </w:r>
      <w:r w:rsidRPr="00F36A5D">
        <w:rPr>
          <w:rFonts w:ascii="ITC Avant Garde" w:hAnsi="ITC Avant Garde"/>
          <w:sz w:val="14"/>
          <w:szCs w:val="14"/>
        </w:rPr>
        <w:t xml:space="preserve"> correo electrónico- copia electrónica legible</w:t>
      </w:r>
      <w:r w:rsidR="00444E21">
        <w:rPr>
          <w:rFonts w:ascii="ITC Avant Garde" w:hAnsi="ITC Avant Garde"/>
          <w:sz w:val="14"/>
          <w:szCs w:val="14"/>
        </w:rPr>
        <w:t xml:space="preserve"> del </w:t>
      </w:r>
      <w:r w:rsidR="00680E90">
        <w:rPr>
          <w:rFonts w:ascii="ITC Avant Garde" w:hAnsi="ITC Avant Garde"/>
          <w:sz w:val="14"/>
          <w:szCs w:val="14"/>
        </w:rPr>
        <w:t>documento respectivo</w:t>
      </w:r>
      <w:r w:rsidRPr="00F36A5D">
        <w:rPr>
          <w:rFonts w:ascii="ITC Avant Garde" w:hAnsi="ITC Avant Garde"/>
          <w:sz w:val="14"/>
          <w:szCs w:val="14"/>
        </w:rPr>
        <w:t>.</w:t>
      </w:r>
    </w:p>
    <w:p w14:paraId="50B9005B" w14:textId="77777777" w:rsidR="008200BE" w:rsidRPr="00F36A5D" w:rsidRDefault="008200BE" w:rsidP="00D42FCD">
      <w:pPr>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644F7B9F" w14:textId="5F7A1732" w:rsidR="0038199D" w:rsidRPr="00F36A5D" w:rsidRDefault="00800852" w:rsidP="002B1516">
      <w:pPr>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w:t>
      </w:r>
      <w:r w:rsidR="00026F44">
        <w:rPr>
          <w:rFonts w:ascii="ITC Avant Garde" w:hAnsi="ITC Avant Garde"/>
          <w:sz w:val="14"/>
          <w:szCs w:val="14"/>
        </w:rPr>
        <w:t>s</w:t>
      </w:r>
      <w:r w:rsidRPr="00F36A5D">
        <w:rPr>
          <w:rFonts w:ascii="ITC Avant Garde" w:hAnsi="ITC Avant Garde"/>
          <w:sz w:val="14"/>
          <w:szCs w:val="14"/>
        </w:rPr>
        <w:t xml:space="preserve"> Secci</w:t>
      </w:r>
      <w:r w:rsidR="00026F44">
        <w:rPr>
          <w:rFonts w:ascii="ITC Avant Garde" w:hAnsi="ITC Avant Garde"/>
          <w:sz w:val="14"/>
          <w:szCs w:val="14"/>
        </w:rPr>
        <w:t>ones</w:t>
      </w:r>
      <w:r w:rsidRPr="00F36A5D">
        <w:rPr>
          <w:rFonts w:ascii="ITC Avant Garde" w:hAnsi="ITC Avant Garde"/>
          <w:sz w:val="14"/>
          <w:szCs w:val="14"/>
        </w:rPr>
        <w:t xml:space="preserve"> II</w:t>
      </w:r>
      <w:r w:rsidR="00026F44">
        <w:rPr>
          <w:rFonts w:ascii="ITC Avant Garde" w:hAnsi="ITC Avant Garde"/>
          <w:sz w:val="14"/>
          <w:szCs w:val="14"/>
        </w:rPr>
        <w:t xml:space="preserve"> y III</w:t>
      </w:r>
      <w:r w:rsidRPr="00F36A5D">
        <w:rPr>
          <w:rFonts w:ascii="ITC Avant Garde" w:hAnsi="ITC Avant Garde"/>
          <w:sz w:val="14"/>
          <w:szCs w:val="14"/>
        </w:rPr>
        <w:t xml:space="preserve"> del presente formato</w:t>
      </w:r>
      <w:r w:rsidR="0038199D" w:rsidRPr="00F36A5D">
        <w:rPr>
          <w:rFonts w:ascii="ITC Avant Garde" w:hAnsi="ITC Avant Garde"/>
          <w:sz w:val="14"/>
          <w:szCs w:val="14"/>
        </w:rPr>
        <w:t>.</w:t>
      </w:r>
    </w:p>
    <w:p w14:paraId="22606352" w14:textId="4ED9AC5F" w:rsidR="0038199D" w:rsidRPr="00F36A5D" w:rsidRDefault="00800852" w:rsidP="002B1516">
      <w:pPr>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66CF08A5" w14:textId="0FF4E926" w:rsidR="0038199D" w:rsidRPr="00F36A5D" w:rsidRDefault="0038199D" w:rsidP="002B1516">
      <w:pPr>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AE3E15" w:rsidRPr="00AE3E15">
        <w:rPr>
          <w:rFonts w:ascii="ITC Avant Garde" w:hAnsi="ITC Avant Garde"/>
          <w:sz w:val="14"/>
          <w:szCs w:val="14"/>
        </w:rPr>
        <w:t>29</w:t>
      </w:r>
      <w:r w:rsidR="008827FC" w:rsidRPr="00201EDB">
        <w:rPr>
          <w:rFonts w:ascii="ITC Avant Garde" w:hAnsi="ITC Avant Garde"/>
          <w:sz w:val="14"/>
        </w:rPr>
        <w:t xml:space="preserve"> </w:t>
      </w:r>
      <w:r w:rsidR="008C679D" w:rsidRPr="00201EDB">
        <w:rPr>
          <w:rFonts w:ascii="ITC Avant Garde" w:hAnsi="ITC Avant Garde"/>
          <w:sz w:val="14"/>
        </w:rPr>
        <w:t xml:space="preserve">de </w:t>
      </w:r>
      <w:r w:rsidR="008827FC" w:rsidRPr="00201EDB">
        <w:rPr>
          <w:rFonts w:ascii="ITC Avant Garde" w:hAnsi="ITC Avant Garde"/>
          <w:sz w:val="14"/>
        </w:rPr>
        <w:t xml:space="preserve">octubre </w:t>
      </w:r>
      <w:r w:rsidR="000D2838" w:rsidRPr="00201EDB">
        <w:rPr>
          <w:rFonts w:ascii="ITC Avant Garde" w:hAnsi="ITC Avant Garde"/>
          <w:sz w:val="14"/>
        </w:rPr>
        <w:t xml:space="preserve">al </w:t>
      </w:r>
      <w:r w:rsidR="008827FC" w:rsidRPr="00AE3E15">
        <w:rPr>
          <w:rFonts w:ascii="ITC Avant Garde" w:hAnsi="ITC Avant Garde"/>
          <w:sz w:val="14"/>
          <w:szCs w:val="14"/>
        </w:rPr>
        <w:t>2</w:t>
      </w:r>
      <w:r w:rsidR="00AE3E15" w:rsidRPr="00AE3E15">
        <w:rPr>
          <w:rFonts w:ascii="ITC Avant Garde" w:hAnsi="ITC Avant Garde"/>
          <w:sz w:val="14"/>
          <w:szCs w:val="14"/>
        </w:rPr>
        <w:t>6</w:t>
      </w:r>
      <w:r w:rsidR="008827FC" w:rsidRPr="00201EDB">
        <w:rPr>
          <w:rFonts w:ascii="ITC Avant Garde" w:hAnsi="ITC Avant Garde"/>
          <w:sz w:val="14"/>
        </w:rPr>
        <w:t xml:space="preserve"> </w:t>
      </w:r>
      <w:r w:rsidR="000D2838" w:rsidRPr="00201EDB">
        <w:rPr>
          <w:rFonts w:ascii="ITC Avant Garde" w:hAnsi="ITC Avant Garde"/>
          <w:sz w:val="14"/>
        </w:rPr>
        <w:t xml:space="preserve">de </w:t>
      </w:r>
      <w:r w:rsidR="008827FC" w:rsidRPr="00201EDB">
        <w:rPr>
          <w:rFonts w:ascii="ITC Avant Garde" w:hAnsi="ITC Avant Garde"/>
          <w:sz w:val="14"/>
        </w:rPr>
        <w:t xml:space="preserve">noviembre </w:t>
      </w:r>
      <w:r w:rsidR="000D2838" w:rsidRPr="00201EDB">
        <w:rPr>
          <w:rFonts w:ascii="ITC Avant Garde" w:hAnsi="ITC Avant Garde"/>
          <w:sz w:val="14"/>
        </w:rPr>
        <w:t>de 20</w:t>
      </w:r>
      <w:r w:rsidR="00B533DC" w:rsidRPr="00201EDB">
        <w:rPr>
          <w:rFonts w:ascii="ITC Avant Garde" w:hAnsi="ITC Avant Garde"/>
          <w:sz w:val="14"/>
        </w:rPr>
        <w:t>18</w:t>
      </w:r>
      <w:r w:rsidR="00FA5549">
        <w:rPr>
          <w:rFonts w:ascii="ITC Avant Garde" w:hAnsi="ITC Avant Garde"/>
          <w:sz w:val="14"/>
        </w:rPr>
        <w:t xml:space="preserve"> (i.e. 20 días hábiles)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201EDB">
        <w:rPr>
          <w:rStyle w:val="Hipervnculo"/>
          <w:rFonts w:ascii="ITC Avant Garde" w:hAnsi="ITC Avant Garde"/>
          <w:sz w:val="14"/>
          <w:szCs w:val="14"/>
        </w:rPr>
        <w:t>.</w:t>
      </w:r>
      <w:r w:rsidR="000D2838" w:rsidRPr="00F36A5D">
        <w:rPr>
          <w:rFonts w:ascii="ITC Avant Garde" w:hAnsi="ITC Avant Garde"/>
          <w:sz w:val="14"/>
          <w:szCs w:val="14"/>
        </w:rPr>
        <w:t xml:space="preserve"> </w:t>
      </w:r>
    </w:p>
    <w:p w14:paraId="2F8B8333" w14:textId="1B5CB6B3" w:rsidR="006601AF" w:rsidRPr="00BF5CAB" w:rsidRDefault="000D2838" w:rsidP="002B1516">
      <w:pPr>
        <w:numPr>
          <w:ilvl w:val="0"/>
          <w:numId w:val="1"/>
        </w:numPr>
        <w:spacing w:after="0"/>
        <w:ind w:left="426" w:right="49" w:hanging="426"/>
        <w:jc w:val="both"/>
        <w:rPr>
          <w:rFonts w:ascii="ITC Avant Garde" w:hAnsi="ITC Avant Garde"/>
          <w:sz w:val="14"/>
          <w:szCs w:val="14"/>
        </w:rPr>
      </w:pPr>
      <w:r w:rsidRPr="00BF5CAB">
        <w:rPr>
          <w:rFonts w:ascii="ITC Avant Garde" w:hAnsi="ITC Avant Garde"/>
          <w:sz w:val="14"/>
          <w:szCs w:val="14"/>
        </w:rPr>
        <w:t xml:space="preserve">Para cualquier duda, comentario o inquietud sobre el presente proceso consultivo, el Instituto pone a </w:t>
      </w:r>
      <w:r w:rsidR="008F2B1A" w:rsidRPr="00BF5CAB">
        <w:rPr>
          <w:rFonts w:ascii="ITC Avant Garde" w:hAnsi="ITC Avant Garde"/>
          <w:sz w:val="14"/>
          <w:szCs w:val="14"/>
        </w:rPr>
        <w:t xml:space="preserve">su </w:t>
      </w:r>
      <w:r w:rsidR="00A75A67" w:rsidRPr="00BF5CAB">
        <w:rPr>
          <w:rFonts w:ascii="ITC Avant Garde" w:hAnsi="ITC Avant Garde"/>
          <w:sz w:val="14"/>
          <w:szCs w:val="14"/>
        </w:rPr>
        <w:t>disposición</w:t>
      </w:r>
      <w:r w:rsidR="00F212B2" w:rsidRPr="00BF5CAB">
        <w:rPr>
          <w:rFonts w:ascii="ITC Avant Garde" w:hAnsi="ITC Avant Garde"/>
          <w:sz w:val="14"/>
          <w:szCs w:val="14"/>
        </w:rPr>
        <w:t xml:space="preserve"> </w:t>
      </w:r>
      <w:r w:rsidR="00DD6196">
        <w:rPr>
          <w:rFonts w:ascii="ITC Avant Garde" w:hAnsi="ITC Avant Garde"/>
          <w:sz w:val="14"/>
          <w:szCs w:val="14"/>
        </w:rPr>
        <w:t>los</w:t>
      </w:r>
      <w:r w:rsidRPr="00BF5CAB">
        <w:rPr>
          <w:rFonts w:ascii="ITC Avant Garde" w:hAnsi="ITC Avant Garde"/>
          <w:sz w:val="14"/>
          <w:szCs w:val="14"/>
        </w:rPr>
        <w:t xml:space="preserve"> siguiente</w:t>
      </w:r>
      <w:r w:rsidR="00DD6196">
        <w:rPr>
          <w:rFonts w:ascii="ITC Avant Garde" w:hAnsi="ITC Avant Garde"/>
          <w:sz w:val="14"/>
          <w:szCs w:val="14"/>
        </w:rPr>
        <w:t>s</w:t>
      </w:r>
      <w:r w:rsidRPr="00BF5CAB">
        <w:rPr>
          <w:rFonts w:ascii="ITC Avant Garde" w:hAnsi="ITC Avant Garde"/>
          <w:sz w:val="14"/>
          <w:szCs w:val="14"/>
        </w:rPr>
        <w:t xml:space="preserve"> punto</w:t>
      </w:r>
      <w:r w:rsidR="00DD6196">
        <w:rPr>
          <w:rFonts w:ascii="ITC Avant Garde" w:hAnsi="ITC Avant Garde"/>
          <w:sz w:val="14"/>
          <w:szCs w:val="14"/>
        </w:rPr>
        <w:t>s</w:t>
      </w:r>
      <w:r w:rsidRPr="00BF5CAB">
        <w:rPr>
          <w:rFonts w:ascii="ITC Avant Garde" w:hAnsi="ITC Avant Garde"/>
          <w:sz w:val="14"/>
          <w:szCs w:val="14"/>
        </w:rPr>
        <w:t xml:space="preserve"> de contacto: </w:t>
      </w:r>
      <w:r w:rsidR="00CC2A0B" w:rsidRPr="00BF5CAB">
        <w:rPr>
          <w:rFonts w:ascii="ITC Avant Garde" w:hAnsi="ITC Avant Garde"/>
          <w:sz w:val="14"/>
          <w:szCs w:val="14"/>
        </w:rPr>
        <w:t>Carlos Juan de Dios Sánchez Bretón</w:t>
      </w:r>
      <w:r w:rsidR="000E41F3" w:rsidRPr="00DD6196">
        <w:rPr>
          <w:rFonts w:ascii="ITC Avant Garde" w:hAnsi="ITC Avant Garde"/>
          <w:sz w:val="14"/>
          <w:szCs w:val="14"/>
        </w:rPr>
        <w:t xml:space="preserve">, Director General de </w:t>
      </w:r>
      <w:r w:rsidR="00CC2A0B" w:rsidRPr="00DD6196">
        <w:rPr>
          <w:rFonts w:ascii="ITC Avant Garde" w:hAnsi="ITC Avant Garde"/>
          <w:sz w:val="14"/>
          <w:szCs w:val="14"/>
        </w:rPr>
        <w:t>Economía del Espectro y Recursos Orbitales</w:t>
      </w:r>
      <w:r w:rsidR="000E41F3" w:rsidRPr="00DD6196">
        <w:rPr>
          <w:rFonts w:ascii="ITC Avant Garde" w:hAnsi="ITC Avant Garde"/>
          <w:sz w:val="14"/>
          <w:szCs w:val="14"/>
        </w:rPr>
        <w:t xml:space="preserve">, </w:t>
      </w:r>
      <w:r w:rsidRPr="00DD6196">
        <w:rPr>
          <w:rFonts w:ascii="ITC Avant Garde" w:hAnsi="ITC Avant Garde"/>
          <w:sz w:val="14"/>
          <w:szCs w:val="14"/>
        </w:rPr>
        <w:t xml:space="preserve">correo electrónico: </w:t>
      </w:r>
      <w:hyperlink r:id="rId13" w:history="1">
        <w:r w:rsidR="00CC2A0B" w:rsidRPr="00BF5CAB">
          <w:rPr>
            <w:rStyle w:val="Hipervnculo"/>
            <w:rFonts w:ascii="ITC Avant Garde" w:hAnsi="ITC Avant Garde"/>
            <w:sz w:val="14"/>
            <w:szCs w:val="14"/>
          </w:rPr>
          <w:t>carlos.sanchezb@ift.org.mx</w:t>
        </w:r>
      </w:hyperlink>
      <w:r w:rsidR="005F675C">
        <w:rPr>
          <w:rFonts w:ascii="ITC Avant Garde" w:hAnsi="ITC Avant Garde"/>
          <w:sz w:val="14"/>
          <w:szCs w:val="14"/>
        </w:rPr>
        <w:t>,</w:t>
      </w:r>
      <w:r w:rsidR="00A75A67" w:rsidRPr="00BF5CAB">
        <w:rPr>
          <w:rFonts w:ascii="ITC Avant Garde" w:hAnsi="ITC Avant Garde"/>
          <w:sz w:val="14"/>
          <w:szCs w:val="14"/>
        </w:rPr>
        <w:t xml:space="preserve"> </w:t>
      </w:r>
      <w:r w:rsidRPr="00BF5CAB">
        <w:rPr>
          <w:rFonts w:ascii="ITC Avant Garde" w:hAnsi="ITC Avant Garde"/>
          <w:sz w:val="14"/>
          <w:szCs w:val="14"/>
        </w:rPr>
        <w:t xml:space="preserve">número telefónico </w:t>
      </w:r>
      <w:r w:rsidR="00BF5CAB" w:rsidRPr="00BF5CAB">
        <w:rPr>
          <w:rFonts w:ascii="ITC Avant Garde" w:hAnsi="ITC Avant Garde"/>
          <w:sz w:val="14"/>
          <w:szCs w:val="14"/>
        </w:rPr>
        <w:t>(55)</w:t>
      </w:r>
      <w:r w:rsidR="00DD6196">
        <w:rPr>
          <w:rFonts w:ascii="ITC Avant Garde" w:hAnsi="ITC Avant Garde"/>
          <w:sz w:val="14"/>
          <w:szCs w:val="14"/>
        </w:rPr>
        <w:t xml:space="preserve"> </w:t>
      </w:r>
      <w:r w:rsidR="00BF5CAB" w:rsidRPr="00BF5CAB">
        <w:rPr>
          <w:rFonts w:ascii="ITC Avant Garde" w:hAnsi="ITC Avant Garde"/>
          <w:sz w:val="14"/>
          <w:szCs w:val="14"/>
        </w:rPr>
        <w:t>5014</w:t>
      </w:r>
      <w:r w:rsidR="00E87423">
        <w:rPr>
          <w:rFonts w:ascii="ITC Avant Garde" w:hAnsi="ITC Avant Garde"/>
          <w:sz w:val="14"/>
          <w:szCs w:val="14"/>
        </w:rPr>
        <w:t xml:space="preserve"> </w:t>
      </w:r>
      <w:r w:rsidR="00BF5CAB" w:rsidRPr="00BF5CAB">
        <w:rPr>
          <w:rFonts w:ascii="ITC Avant Garde" w:hAnsi="ITC Avant Garde"/>
          <w:sz w:val="14"/>
          <w:szCs w:val="14"/>
        </w:rPr>
        <w:t>4353</w:t>
      </w:r>
      <w:r w:rsidR="00DD6196">
        <w:rPr>
          <w:rFonts w:ascii="ITC Avant Garde" w:hAnsi="ITC Avant Garde"/>
          <w:sz w:val="14"/>
          <w:szCs w:val="14"/>
        </w:rPr>
        <w:t>;</w:t>
      </w:r>
      <w:r w:rsidR="004D5EAB" w:rsidRPr="00BF5CAB">
        <w:rPr>
          <w:rFonts w:ascii="ITC Avant Garde" w:hAnsi="ITC Avant Garde"/>
          <w:sz w:val="14"/>
          <w:szCs w:val="14"/>
        </w:rPr>
        <w:t xml:space="preserve"> </w:t>
      </w:r>
      <w:r w:rsidR="00B8777F" w:rsidRPr="00BF5CAB">
        <w:rPr>
          <w:rFonts w:ascii="ITC Avant Garde" w:hAnsi="ITC Avant Garde"/>
          <w:sz w:val="14"/>
          <w:szCs w:val="14"/>
        </w:rPr>
        <w:t xml:space="preserve">Federico Saggiante Rangel, Director de Licitaciones, correo electrónico: </w:t>
      </w:r>
      <w:hyperlink r:id="rId14" w:history="1">
        <w:r w:rsidR="00B8777F" w:rsidRPr="00BF5CAB">
          <w:rPr>
            <w:rStyle w:val="Hipervnculo"/>
            <w:rFonts w:ascii="ITC Avant Garde" w:hAnsi="ITC Avant Garde"/>
            <w:sz w:val="14"/>
            <w:szCs w:val="14"/>
          </w:rPr>
          <w:t>federico.saggiante@ift.org.mx</w:t>
        </w:r>
      </w:hyperlink>
      <w:r w:rsidR="00B8777F" w:rsidRPr="00BF5CAB">
        <w:rPr>
          <w:rFonts w:ascii="ITC Avant Garde" w:hAnsi="ITC Avant Garde"/>
          <w:sz w:val="14"/>
          <w:szCs w:val="14"/>
        </w:rPr>
        <w:t>, número telefónico (55)</w:t>
      </w:r>
      <w:r w:rsidR="00DD6196">
        <w:rPr>
          <w:rFonts w:ascii="ITC Avant Garde" w:hAnsi="ITC Avant Garde"/>
          <w:sz w:val="14"/>
          <w:szCs w:val="14"/>
        </w:rPr>
        <w:t xml:space="preserve"> </w:t>
      </w:r>
      <w:r w:rsidR="00B8777F" w:rsidRPr="00BF5CAB">
        <w:rPr>
          <w:rFonts w:ascii="ITC Avant Garde" w:hAnsi="ITC Avant Garde"/>
          <w:sz w:val="14"/>
          <w:szCs w:val="14"/>
        </w:rPr>
        <w:t>5014</w:t>
      </w:r>
      <w:r w:rsidR="00E87423">
        <w:rPr>
          <w:rFonts w:ascii="ITC Avant Garde" w:hAnsi="ITC Avant Garde"/>
          <w:sz w:val="14"/>
          <w:szCs w:val="14"/>
        </w:rPr>
        <w:t xml:space="preserve"> </w:t>
      </w:r>
      <w:r w:rsidR="00B8777F" w:rsidRPr="00BF5CAB">
        <w:rPr>
          <w:rFonts w:ascii="ITC Avant Garde" w:hAnsi="ITC Avant Garde"/>
          <w:sz w:val="14"/>
          <w:szCs w:val="14"/>
        </w:rPr>
        <w:t>4738</w:t>
      </w:r>
      <w:r w:rsidR="00DD6196">
        <w:rPr>
          <w:rFonts w:ascii="ITC Avant Garde" w:hAnsi="ITC Avant Garde"/>
          <w:sz w:val="14"/>
          <w:szCs w:val="14"/>
        </w:rPr>
        <w:t>;</w:t>
      </w:r>
      <w:r w:rsidR="00B8777F" w:rsidRPr="00BF5CAB">
        <w:rPr>
          <w:rFonts w:ascii="ITC Avant Garde" w:hAnsi="ITC Avant Garde"/>
          <w:sz w:val="14"/>
          <w:szCs w:val="14"/>
        </w:rPr>
        <w:t xml:space="preserve"> y </w:t>
      </w:r>
      <w:r w:rsidR="00BF5CAB" w:rsidRPr="00BF5CAB">
        <w:rPr>
          <w:rFonts w:ascii="ITC Avant Garde" w:hAnsi="ITC Avant Garde"/>
          <w:sz w:val="14"/>
          <w:szCs w:val="14"/>
        </w:rPr>
        <w:t>María Isabel De la Vega Esteinou, Subdirector</w:t>
      </w:r>
      <w:r w:rsidR="00DD6196">
        <w:rPr>
          <w:rFonts w:ascii="ITC Avant Garde" w:hAnsi="ITC Avant Garde"/>
          <w:sz w:val="14"/>
          <w:szCs w:val="14"/>
        </w:rPr>
        <w:t>a</w:t>
      </w:r>
      <w:r w:rsidR="00BF5CAB" w:rsidRPr="00BF5CAB">
        <w:rPr>
          <w:rFonts w:ascii="ITC Avant Garde" w:hAnsi="ITC Avant Garde"/>
          <w:sz w:val="14"/>
          <w:szCs w:val="14"/>
        </w:rPr>
        <w:t xml:space="preserve"> de Licitaciones "B</w:t>
      </w:r>
      <w:r w:rsidR="00B8777F" w:rsidRPr="00BF5CAB">
        <w:rPr>
          <w:rFonts w:ascii="ITC Avant Garde" w:hAnsi="ITC Avant Garde"/>
          <w:sz w:val="14"/>
          <w:szCs w:val="14"/>
        </w:rPr>
        <w:t xml:space="preserve">", correo electrónico: </w:t>
      </w:r>
      <w:hyperlink r:id="rId15" w:history="1">
        <w:r w:rsidR="00BF5CAB" w:rsidRPr="00BF5CAB">
          <w:rPr>
            <w:rStyle w:val="Hipervnculo"/>
            <w:rFonts w:ascii="ITC Avant Garde" w:hAnsi="ITC Avant Garde"/>
            <w:sz w:val="14"/>
            <w:szCs w:val="14"/>
          </w:rPr>
          <w:t>isabel.delavega@ift.org.mx</w:t>
        </w:r>
      </w:hyperlink>
      <w:r w:rsidR="00B8777F" w:rsidRPr="00BF5CAB">
        <w:rPr>
          <w:rFonts w:ascii="ITC Avant Garde" w:hAnsi="ITC Avant Garde"/>
          <w:sz w:val="14"/>
          <w:szCs w:val="14"/>
          <w:u w:val="single"/>
        </w:rPr>
        <w:t>,</w:t>
      </w:r>
      <w:r w:rsidR="00BF5CAB" w:rsidRPr="00BF5CAB">
        <w:rPr>
          <w:rFonts w:ascii="ITC Avant Garde" w:hAnsi="ITC Avant Garde"/>
          <w:sz w:val="14"/>
          <w:szCs w:val="14"/>
        </w:rPr>
        <w:t xml:space="preserve"> número telefónico (55)</w:t>
      </w:r>
      <w:r w:rsidR="00DD6196">
        <w:rPr>
          <w:rFonts w:ascii="ITC Avant Garde" w:hAnsi="ITC Avant Garde"/>
          <w:sz w:val="14"/>
          <w:szCs w:val="14"/>
        </w:rPr>
        <w:t xml:space="preserve"> </w:t>
      </w:r>
      <w:r w:rsidR="00BF5CAB" w:rsidRPr="00BF5CAB">
        <w:rPr>
          <w:rFonts w:ascii="ITC Avant Garde" w:hAnsi="ITC Avant Garde"/>
          <w:sz w:val="14"/>
          <w:szCs w:val="14"/>
        </w:rPr>
        <w:t>5014</w:t>
      </w:r>
      <w:r w:rsidR="00E87423">
        <w:rPr>
          <w:rFonts w:ascii="ITC Avant Garde" w:hAnsi="ITC Avant Garde"/>
          <w:sz w:val="14"/>
          <w:szCs w:val="14"/>
        </w:rPr>
        <w:t xml:space="preserve"> </w:t>
      </w:r>
      <w:r w:rsidR="00BF5CAB" w:rsidRPr="00BF5CAB">
        <w:rPr>
          <w:rFonts w:ascii="ITC Avant Garde" w:hAnsi="ITC Avant Garde"/>
          <w:sz w:val="14"/>
          <w:szCs w:val="14"/>
        </w:rPr>
        <w:t>4154,</w:t>
      </w:r>
      <w:r w:rsidR="00B8777F" w:rsidRPr="00BF5CAB">
        <w:rPr>
          <w:rFonts w:ascii="ITC Avant Garde" w:hAnsi="ITC Avant Garde"/>
          <w:sz w:val="14"/>
          <w:szCs w:val="14"/>
        </w:rPr>
        <w:t xml:space="preserve"> quiénes estarán disponibles en los mismos horarios de atención de la Oficialía de Partes del Instituto</w:t>
      </w:r>
      <w:r w:rsidR="00BF5CAB" w:rsidRPr="00BF5CAB">
        <w:rPr>
          <w:rFonts w:ascii="ITC Avant Garde" w:hAnsi="ITC Avant Garde"/>
          <w:sz w:val="14"/>
          <w:szCs w:val="14"/>
        </w:rPr>
        <w:t>.</w:t>
      </w:r>
    </w:p>
    <w:p w14:paraId="0C2E5816" w14:textId="77777777" w:rsidR="00385726" w:rsidRPr="00F36A5D" w:rsidRDefault="00385726" w:rsidP="00201EDB">
      <w:pPr>
        <w:spacing w:after="0"/>
        <w:ind w:left="284"/>
        <w:jc w:val="both"/>
        <w:rPr>
          <w:rFonts w:ascii="ITC Avant Garde" w:hAnsi="ITC Avant Garde"/>
          <w:sz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71"/>
        <w:gridCol w:w="4150"/>
      </w:tblGrid>
      <w:tr w:rsidR="00DF154A" w:rsidRPr="00F36A5D" w14:paraId="3D351E83" w14:textId="77777777" w:rsidTr="004D2479">
        <w:trPr>
          <w:trHeight w:val="600"/>
          <w:jc w:val="center"/>
        </w:trPr>
        <w:tc>
          <w:tcPr>
            <w:tcW w:w="5000" w:type="pct"/>
            <w:gridSpan w:val="2"/>
            <w:shd w:val="clear" w:color="auto" w:fill="D9D9D9"/>
            <w:vAlign w:val="center"/>
            <w:hideMark/>
          </w:tcPr>
          <w:p w14:paraId="68F5EA94" w14:textId="77777777" w:rsidR="00DF154A" w:rsidRPr="00F36A5D" w:rsidRDefault="00DF154A" w:rsidP="00201EDB">
            <w:pPr>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14:paraId="3EA3EC33" w14:textId="77777777" w:rsidTr="004D2479">
        <w:trPr>
          <w:trHeight w:val="509"/>
          <w:jc w:val="center"/>
        </w:trPr>
        <w:tc>
          <w:tcPr>
            <w:tcW w:w="2674" w:type="pct"/>
            <w:shd w:val="clear" w:color="auto" w:fill="C5E0B3"/>
            <w:vAlign w:val="center"/>
            <w:hideMark/>
          </w:tcPr>
          <w:p w14:paraId="39E04CE6"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2326" w:type="pct"/>
            <w:shd w:val="clear" w:color="auto" w:fill="auto"/>
            <w:vAlign w:val="center"/>
            <w:hideMark/>
          </w:tcPr>
          <w:p w14:paraId="6CF2EE11"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5139BD5E" w14:textId="77777777" w:rsidTr="004D2479">
        <w:trPr>
          <w:trHeight w:val="403"/>
          <w:jc w:val="center"/>
        </w:trPr>
        <w:tc>
          <w:tcPr>
            <w:tcW w:w="2674" w:type="pct"/>
            <w:shd w:val="clear" w:color="auto" w:fill="E2EFD9"/>
            <w:vAlign w:val="center"/>
            <w:hideMark/>
          </w:tcPr>
          <w:p w14:paraId="31A93B44"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2326" w:type="pct"/>
            <w:shd w:val="clear" w:color="auto" w:fill="auto"/>
            <w:vAlign w:val="bottom"/>
            <w:hideMark/>
          </w:tcPr>
          <w:p w14:paraId="44537845"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230BD4" w:rsidRPr="00F36A5D" w14:paraId="04951D48" w14:textId="77777777" w:rsidTr="004D2479">
        <w:trPr>
          <w:trHeight w:val="523"/>
          <w:jc w:val="center"/>
        </w:trPr>
        <w:tc>
          <w:tcPr>
            <w:tcW w:w="2674" w:type="pct"/>
            <w:shd w:val="clear" w:color="auto" w:fill="C5E0B3"/>
            <w:vAlign w:val="center"/>
            <w:hideMark/>
          </w:tcPr>
          <w:p w14:paraId="2F2291DF" w14:textId="77777777" w:rsidR="00230BD4" w:rsidRPr="00F36A5D" w:rsidRDefault="00230BD4" w:rsidP="00230BD4">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C42DFDE" w14:textId="77777777" w:rsidR="00230BD4" w:rsidRPr="00F36A5D" w:rsidRDefault="00230BD4" w:rsidP="00230BD4">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2326" w:type="pct"/>
            <w:shd w:val="clear" w:color="auto" w:fill="auto"/>
            <w:vAlign w:val="center"/>
            <w:hideMark/>
          </w:tcPr>
          <w:p w14:paraId="0C9328E9" w14:textId="58AA6458" w:rsidR="00230BD4" w:rsidRPr="00F36A5D" w:rsidRDefault="00555814" w:rsidP="00230BD4">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4A75AFD12F484D6C9216514445782D19"/>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230BD4" w:rsidRPr="00DC3C6C">
                  <w:rPr>
                    <w:rStyle w:val="Textodelmarcadordeposicin"/>
                    <w:rFonts w:ascii="Century Gothic" w:hAnsi="Century Gothic"/>
                    <w:sz w:val="20"/>
                  </w:rPr>
                  <w:t>Elija un elemento.</w:t>
                </w:r>
              </w:sdtContent>
            </w:sdt>
          </w:p>
        </w:tc>
      </w:tr>
      <w:tr w:rsidR="00DF154A" w:rsidRPr="00F36A5D" w14:paraId="43C08F1E" w14:textId="77777777" w:rsidTr="004D2479">
        <w:trPr>
          <w:trHeight w:val="300"/>
          <w:jc w:val="center"/>
        </w:trPr>
        <w:tc>
          <w:tcPr>
            <w:tcW w:w="5000" w:type="pct"/>
            <w:gridSpan w:val="2"/>
            <w:shd w:val="clear" w:color="auto" w:fill="D9D9D9"/>
            <w:noWrap/>
            <w:vAlign w:val="center"/>
            <w:hideMark/>
          </w:tcPr>
          <w:p w14:paraId="67911431" w14:textId="77777777"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DF154A" w:rsidRPr="00F36A5D" w14:paraId="2784A50B" w14:textId="77777777" w:rsidTr="004D2479">
        <w:trPr>
          <w:trHeight w:val="274"/>
          <w:jc w:val="center"/>
        </w:trPr>
        <w:tc>
          <w:tcPr>
            <w:tcW w:w="5000" w:type="pct"/>
            <w:gridSpan w:val="2"/>
            <w:shd w:val="clear" w:color="auto" w:fill="auto"/>
            <w:vAlign w:val="center"/>
            <w:hideMark/>
          </w:tcPr>
          <w:p w14:paraId="4D3F3A47"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0DABA178" w14:textId="77777777" w:rsidR="000E55B0" w:rsidRPr="00F36A5D" w:rsidRDefault="000E55B0" w:rsidP="00297840">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003D1CAC" w:rsidRPr="00F36A5D">
              <w:rPr>
                <w:rFonts w:ascii="ITC Avant Garde" w:hAnsi="ITC Avant Garde"/>
              </w:rPr>
              <w:t xml:space="preserve"> </w:t>
            </w:r>
            <w:r w:rsidR="003D1CAC" w:rsidRPr="00F36A5D">
              <w:rPr>
                <w:rFonts w:ascii="ITC Avant Garde" w:eastAsia="Times New Roman" w:hAnsi="ITC Avant Garde"/>
                <w:color w:val="000000"/>
                <w:sz w:val="14"/>
                <w:szCs w:val="16"/>
                <w:lang w:eastAsia="es-MX"/>
              </w:rPr>
              <w:t xml:space="preserve">y numerales 9, fracción II, 11, fracción II, 15 y 26 al 45 de los Lineamientos Generales de Protección de </w:t>
            </w:r>
            <w:r w:rsidR="00A74360" w:rsidRPr="00F36A5D">
              <w:rPr>
                <w:rFonts w:ascii="ITC Avant Garde" w:eastAsia="Times New Roman" w:hAnsi="ITC Avant Garde"/>
                <w:color w:val="000000"/>
                <w:sz w:val="14"/>
                <w:szCs w:val="16"/>
                <w:lang w:eastAsia="es-MX"/>
              </w:rPr>
              <w:t>D</w:t>
            </w:r>
            <w:r w:rsidR="003D1CAC" w:rsidRPr="00F36A5D">
              <w:rPr>
                <w:rFonts w:ascii="ITC Avant Garde" w:eastAsia="Times New Roman" w:hAnsi="ITC Avant Garde"/>
                <w:color w:val="000000"/>
                <w:sz w:val="14"/>
                <w:szCs w:val="16"/>
                <w:lang w:eastAsia="es-MX"/>
              </w:rPr>
              <w:t xml:space="preserve">atos Personales </w:t>
            </w:r>
            <w:r w:rsidR="00A74360" w:rsidRPr="00F36A5D">
              <w:rPr>
                <w:rFonts w:ascii="ITC Avant Garde" w:eastAsia="Times New Roman" w:hAnsi="ITC Avant Garde"/>
                <w:color w:val="000000"/>
                <w:sz w:val="14"/>
                <w:szCs w:val="16"/>
                <w:lang w:eastAsia="es-MX"/>
              </w:rPr>
              <w:t xml:space="preserve">para el Sector Público </w:t>
            </w:r>
            <w:r w:rsidR="003D1CAC" w:rsidRPr="00F36A5D">
              <w:rPr>
                <w:rFonts w:ascii="ITC Avant Garde" w:eastAsia="Times New Roman" w:hAnsi="ITC Avant Garde"/>
                <w:color w:val="000000"/>
                <w:sz w:val="14"/>
                <w:szCs w:val="16"/>
                <w:lang w:eastAsia="es-MX"/>
              </w:rPr>
              <w:t>(en lo sucesivo los “Lineamientos”)</w:t>
            </w:r>
            <w:r w:rsidRPr="00F36A5D">
              <w:rPr>
                <w:rFonts w:ascii="ITC Avant Garde" w:eastAsia="Times New Roman" w:hAnsi="ITC Avant Garde"/>
                <w:color w:val="000000"/>
                <w:sz w:val="14"/>
                <w:szCs w:val="16"/>
                <w:lang w:eastAsia="es-MX"/>
              </w:rPr>
              <w:t>, se pone a disposición de los particip</w:t>
            </w:r>
            <w:r w:rsidR="00735DEE" w:rsidRPr="00F36A5D">
              <w:rPr>
                <w:rFonts w:ascii="ITC Avant Garde" w:eastAsia="Times New Roman" w:hAnsi="ITC Avant Garde"/>
                <w:color w:val="000000"/>
                <w:sz w:val="14"/>
                <w:szCs w:val="16"/>
                <w:lang w:eastAsia="es-MX"/>
              </w:rPr>
              <w:t>antes el siguiente Aviso de Privacidad Integral:</w:t>
            </w:r>
          </w:p>
          <w:p w14:paraId="0C5E2CBF" w14:textId="77777777" w:rsidR="00735DEE" w:rsidRPr="00F36A5D" w:rsidRDefault="00735DEE" w:rsidP="00297840">
            <w:pPr>
              <w:spacing w:after="0" w:line="240" w:lineRule="auto"/>
              <w:jc w:val="both"/>
              <w:rPr>
                <w:rFonts w:ascii="ITC Avant Garde" w:eastAsia="Times New Roman" w:hAnsi="ITC Avant Garde"/>
                <w:color w:val="000000"/>
                <w:sz w:val="14"/>
                <w:szCs w:val="16"/>
                <w:lang w:eastAsia="es-MX"/>
              </w:rPr>
            </w:pPr>
          </w:p>
          <w:p w14:paraId="13E75F0D" w14:textId="77777777" w:rsidR="000E55B0" w:rsidRPr="00F36A5D" w:rsidRDefault="000E55B0" w:rsidP="00D42FCD">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w:t>
            </w:r>
            <w:r w:rsidR="00A7050F" w:rsidRPr="00F36A5D">
              <w:rPr>
                <w:rFonts w:ascii="ITC Avant Garde" w:eastAsia="Times New Roman" w:hAnsi="ITC Avant Garde"/>
                <w:color w:val="000000"/>
                <w:sz w:val="14"/>
                <w:szCs w:val="16"/>
                <w:lang w:eastAsia="es-MX"/>
              </w:rPr>
              <w:t xml:space="preserve"> (en lo sucesivo, el “IFT”)</w:t>
            </w:r>
            <w:r w:rsidRPr="00F36A5D">
              <w:rPr>
                <w:rFonts w:ascii="ITC Avant Garde" w:eastAsia="Times New Roman" w:hAnsi="ITC Avant Garde"/>
                <w:color w:val="000000"/>
                <w:sz w:val="14"/>
                <w:szCs w:val="16"/>
                <w:lang w:eastAsia="es-MX"/>
              </w:rPr>
              <w:t>.</w:t>
            </w:r>
          </w:p>
          <w:p w14:paraId="2E362A06" w14:textId="77777777" w:rsidR="00D22B9D" w:rsidRPr="00F36A5D" w:rsidRDefault="00D22B9D" w:rsidP="00D42FCD">
            <w:pPr>
              <w:spacing w:after="0" w:line="240" w:lineRule="auto"/>
              <w:ind w:left="492" w:right="229"/>
              <w:jc w:val="both"/>
              <w:rPr>
                <w:rFonts w:ascii="ITC Avant Garde" w:eastAsia="Times New Roman" w:hAnsi="ITC Avant Garde"/>
                <w:color w:val="000000"/>
                <w:sz w:val="14"/>
                <w:szCs w:val="16"/>
                <w:lang w:eastAsia="es-MX"/>
              </w:rPr>
            </w:pPr>
          </w:p>
          <w:p w14:paraId="6EF6F9C6" w14:textId="57B96C82" w:rsidR="000E55B0" w:rsidRPr="00F36A5D" w:rsidRDefault="000E55B0" w:rsidP="00D42FCD">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w:t>
            </w:r>
            <w:r w:rsidR="00520D85">
              <w:rPr>
                <w:rFonts w:ascii="ITC Avant Garde" w:eastAsia="Times New Roman" w:hAnsi="ITC Avant Garde"/>
                <w:color w:val="000000"/>
                <w:sz w:val="14"/>
                <w:szCs w:val="16"/>
                <w:lang w:eastAsia="es-MX"/>
              </w:rPr>
              <w:t>colonia</w:t>
            </w:r>
            <w:r w:rsidR="00201EDB">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Nochebuena, </w:t>
            </w:r>
            <w:r w:rsidR="001208F6">
              <w:rPr>
                <w:rFonts w:ascii="ITC Avant Garde" w:eastAsia="Times New Roman" w:hAnsi="ITC Avant Garde"/>
                <w:color w:val="000000"/>
                <w:sz w:val="14"/>
                <w:szCs w:val="16"/>
                <w:lang w:eastAsia="es-MX"/>
              </w:rPr>
              <w:t>Alcaldía</w:t>
            </w:r>
            <w:r w:rsidR="00201EDB">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Benito Juárez, C.</w:t>
            </w:r>
            <w:r w:rsidR="00EA6AC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P. 03720, Ciudad de México, México. </w:t>
            </w:r>
          </w:p>
          <w:p w14:paraId="13D919B8" w14:textId="77777777" w:rsidR="00D22B9D" w:rsidRPr="00F36A5D" w:rsidRDefault="00D22B9D" w:rsidP="002B1516">
            <w:pPr>
              <w:spacing w:after="0" w:line="240" w:lineRule="auto"/>
              <w:ind w:left="492" w:right="229"/>
              <w:jc w:val="both"/>
              <w:rPr>
                <w:rFonts w:ascii="ITC Avant Garde" w:eastAsia="Times New Roman" w:hAnsi="ITC Avant Garde"/>
                <w:color w:val="000000"/>
                <w:sz w:val="14"/>
                <w:szCs w:val="16"/>
                <w:lang w:eastAsia="es-MX"/>
              </w:rPr>
            </w:pPr>
          </w:p>
          <w:p w14:paraId="0ABC53D5" w14:textId="77777777" w:rsidR="000E55B0" w:rsidRPr="00F36A5D" w:rsidRDefault="000E55B0" w:rsidP="002B1516">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w:t>
            </w:r>
            <w:r w:rsidR="00520D85">
              <w:rPr>
                <w:rFonts w:ascii="ITC Avant Garde" w:eastAsia="Times New Roman" w:hAnsi="ITC Avant Garde"/>
                <w:color w:val="000000"/>
                <w:sz w:val="14"/>
                <w:szCs w:val="16"/>
                <w:lang w:eastAsia="es-MX"/>
              </w:rPr>
              <w:t>la</w:t>
            </w:r>
            <w:r w:rsidR="00520D85"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w:t>
            </w:r>
            <w:r w:rsidR="00555B10" w:rsidRPr="00F36A5D">
              <w:rPr>
                <w:rFonts w:ascii="ITC Avant Garde" w:eastAsia="Times New Roman" w:hAnsi="ITC Avant Garde"/>
                <w:color w:val="000000"/>
                <w:sz w:val="14"/>
                <w:szCs w:val="16"/>
                <w:lang w:eastAsia="es-MX"/>
              </w:rPr>
              <w:t xml:space="preserve">de manera asociada con el titular de los mismos </w:t>
            </w:r>
            <w:r w:rsidRPr="00F36A5D">
              <w:rPr>
                <w:rFonts w:ascii="ITC Avant Garde" w:eastAsia="Times New Roman" w:hAnsi="ITC Avant Garde"/>
                <w:color w:val="000000"/>
                <w:sz w:val="14"/>
                <w:szCs w:val="16"/>
                <w:lang w:eastAsia="es-MX"/>
              </w:rPr>
              <w:t xml:space="preserve">y, en ese sentido, serán considerados invariablemente públicos en términos de lo dispuesto en el </w:t>
            </w:r>
            <w:r w:rsidR="00A62E59" w:rsidRPr="00F36A5D">
              <w:rPr>
                <w:rFonts w:ascii="ITC Avant Garde" w:eastAsia="Times New Roman" w:hAnsi="ITC Avant Garde"/>
                <w:color w:val="000000"/>
                <w:sz w:val="14"/>
                <w:szCs w:val="16"/>
                <w:lang w:eastAsia="es-MX"/>
              </w:rPr>
              <w:t>numeral Octavo de los Lineamientos de Consulta Pública y Análisis de Impacto Regulatorio</w:t>
            </w:r>
            <w:r w:rsidR="00520D85">
              <w:rPr>
                <w:rFonts w:ascii="ITC Avant Garde" w:eastAsia="Times New Roman" w:hAnsi="ITC Avant Garde"/>
                <w:color w:val="000000"/>
                <w:sz w:val="14"/>
                <w:szCs w:val="16"/>
                <w:lang w:eastAsia="es-MX"/>
              </w:rPr>
              <w:t xml:space="preserve"> del Instituto Federal de Telecomunicaciones</w:t>
            </w:r>
            <w:r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Ello, toda vez que la naturaleza de </w:t>
            </w:r>
            <w:r w:rsidR="008A48B4">
              <w:rPr>
                <w:rFonts w:ascii="ITC Avant Garde" w:eastAsia="Times New Roman" w:hAnsi="ITC Avant Garde"/>
                <w:color w:val="000000"/>
                <w:sz w:val="14"/>
                <w:szCs w:val="16"/>
                <w:lang w:eastAsia="es-MX"/>
              </w:rPr>
              <w:t xml:space="preserve">la presente </w:t>
            </w:r>
            <w:r w:rsidR="00C83664" w:rsidRPr="00F36A5D">
              <w:rPr>
                <w:rFonts w:ascii="ITC Avant Garde" w:eastAsia="Times New Roman" w:hAnsi="ITC Avant Garde"/>
                <w:color w:val="000000"/>
                <w:sz w:val="14"/>
                <w:szCs w:val="16"/>
                <w:lang w:eastAsia="es-MX"/>
              </w:rPr>
              <w:t xml:space="preserve">consulta pública consiste en promover la participación ciudadana y transparentar el </w:t>
            </w:r>
            <w:r w:rsidR="008A48B4">
              <w:rPr>
                <w:rFonts w:ascii="ITC Avant Garde" w:eastAsia="Times New Roman" w:hAnsi="ITC Avant Garde"/>
                <w:color w:val="000000"/>
                <w:sz w:val="14"/>
                <w:szCs w:val="16"/>
                <w:lang w:eastAsia="es-MX"/>
              </w:rPr>
              <w:t>procedimiento de licitación, a través de las bases de licitación</w:t>
            </w:r>
            <w:r w:rsidR="00DC53E9">
              <w:rPr>
                <w:rFonts w:ascii="ITC Avant Garde" w:eastAsia="Times New Roman" w:hAnsi="ITC Avant Garde"/>
                <w:color w:val="000000"/>
                <w:sz w:val="14"/>
                <w:szCs w:val="16"/>
                <w:lang w:eastAsia="es-MX"/>
              </w:rPr>
              <w:t>,</w:t>
            </w:r>
            <w:r w:rsidR="008A48B4">
              <w:rPr>
                <w:rFonts w:ascii="ITC Avant Garde" w:eastAsia="Times New Roman" w:hAnsi="ITC Avant Garde"/>
                <w:color w:val="000000"/>
                <w:sz w:val="14"/>
                <w:szCs w:val="16"/>
                <w:lang w:eastAsia="es-MX"/>
              </w:rPr>
              <w:t xml:space="preserve"> sus apéndices y anexos, </w:t>
            </w:r>
            <w:r w:rsidR="00C83664" w:rsidRPr="00F36A5D">
              <w:rPr>
                <w:rFonts w:ascii="ITC Avant Garde" w:eastAsia="Times New Roman" w:hAnsi="ITC Avant Garde"/>
                <w:color w:val="000000"/>
                <w:sz w:val="14"/>
                <w:szCs w:val="16"/>
                <w:lang w:eastAsia="es-MX"/>
              </w:rPr>
              <w:t xml:space="preserve"> </w:t>
            </w:r>
            <w:r w:rsidR="008A48B4">
              <w:rPr>
                <w:rFonts w:ascii="ITC Avant Garde" w:eastAsia="Times New Roman" w:hAnsi="ITC Avant Garde"/>
                <w:color w:val="000000"/>
                <w:sz w:val="14"/>
                <w:szCs w:val="16"/>
                <w:lang w:eastAsia="es-MX"/>
              </w:rPr>
              <w:t>por lo que el</w:t>
            </w:r>
            <w:r w:rsidR="00C83664" w:rsidRPr="00F36A5D">
              <w:rPr>
                <w:rFonts w:ascii="ITC Avant Garde" w:eastAsia="Times New Roman" w:hAnsi="ITC Avant Garde"/>
                <w:color w:val="000000"/>
                <w:sz w:val="14"/>
                <w:szCs w:val="16"/>
                <w:lang w:eastAsia="es-MX"/>
              </w:rPr>
              <w:t xml:space="preserve"> Pleno del </w:t>
            </w:r>
            <w:r w:rsidR="004B053F" w:rsidRPr="00F36A5D">
              <w:rPr>
                <w:rFonts w:ascii="ITC Avant Garde" w:eastAsia="Times New Roman" w:hAnsi="ITC Avant Garde"/>
                <w:color w:val="000000"/>
                <w:sz w:val="14"/>
                <w:szCs w:val="16"/>
                <w:lang w:eastAsia="es-MX"/>
              </w:rPr>
              <w:t>IFT</w:t>
            </w:r>
            <w:r w:rsidR="008A48B4">
              <w:rPr>
                <w:rFonts w:ascii="ITC Avant Garde" w:eastAsia="Times New Roman" w:hAnsi="ITC Avant Garde"/>
                <w:color w:val="000000"/>
                <w:sz w:val="14"/>
                <w:szCs w:val="16"/>
                <w:lang w:eastAsia="es-MX"/>
              </w:rPr>
              <w:t xml:space="preserve"> considera necesario</w:t>
            </w:r>
            <w:r w:rsidR="00C83664" w:rsidRPr="00F36A5D">
              <w:rPr>
                <w:rFonts w:ascii="ITC Avant Garde" w:eastAsia="Times New Roman" w:hAnsi="ITC Avant Garde"/>
                <w:color w:val="000000"/>
                <w:sz w:val="14"/>
                <w:szCs w:val="16"/>
                <w:lang w:eastAsia="es-MX"/>
              </w:rPr>
              <w:t xml:space="preserve">generar un espacio de intercambio de información, opiniones y puntos de vista sobre </w:t>
            </w:r>
            <w:r w:rsidR="008A48B4">
              <w:rPr>
                <w:rFonts w:ascii="ITC Avant Garde" w:eastAsia="Times New Roman" w:hAnsi="ITC Avant Garde"/>
                <w:color w:val="000000"/>
                <w:sz w:val="14"/>
                <w:szCs w:val="16"/>
                <w:lang w:eastAsia="es-MX"/>
              </w:rPr>
              <w:t xml:space="preserve">el presente </w:t>
            </w:r>
            <w:r w:rsidR="00C83664" w:rsidRPr="00F36A5D">
              <w:rPr>
                <w:rFonts w:ascii="ITC Avant Garde" w:eastAsia="Times New Roman" w:hAnsi="ITC Avant Garde"/>
                <w:color w:val="000000"/>
                <w:sz w:val="14"/>
                <w:szCs w:val="16"/>
                <w:lang w:eastAsia="es-MX"/>
              </w:rPr>
              <w:t xml:space="preserve">tema de interés que </w:t>
            </w:r>
            <w:r w:rsidR="008A48B4">
              <w:rPr>
                <w:rFonts w:ascii="ITC Avant Garde" w:eastAsia="Times New Roman" w:hAnsi="ITC Avant Garde"/>
                <w:color w:val="000000"/>
                <w:sz w:val="14"/>
                <w:szCs w:val="16"/>
                <w:lang w:eastAsia="es-MX"/>
              </w:rPr>
              <w:t>se</w:t>
            </w:r>
            <w:r w:rsidR="00201EDB">
              <w:rPr>
                <w:rFonts w:ascii="ITC Avant Garde" w:eastAsia="Times New Roman" w:hAnsi="ITC Avant Garde"/>
                <w:color w:val="000000"/>
                <w:sz w:val="14"/>
                <w:szCs w:val="16"/>
                <w:lang w:eastAsia="es-MX"/>
              </w:rPr>
              <w:t xml:space="preserve"> </w:t>
            </w:r>
            <w:r w:rsidR="008A48B4" w:rsidRPr="00F36A5D">
              <w:rPr>
                <w:rFonts w:ascii="ITC Avant Garde" w:eastAsia="Times New Roman" w:hAnsi="ITC Avant Garde"/>
                <w:color w:val="000000"/>
                <w:sz w:val="14"/>
                <w:szCs w:val="16"/>
                <w:lang w:eastAsia="es-MX"/>
              </w:rPr>
              <w:t>somet</w:t>
            </w:r>
            <w:r w:rsidR="008A48B4">
              <w:rPr>
                <w:rFonts w:ascii="ITC Avant Garde" w:eastAsia="Times New Roman" w:hAnsi="ITC Avant Garde"/>
                <w:color w:val="000000"/>
                <w:sz w:val="14"/>
                <w:szCs w:val="16"/>
                <w:lang w:eastAsia="es-MX"/>
              </w:rPr>
              <w:t>e</w:t>
            </w:r>
            <w:r w:rsidR="008A48B4"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al escrutinio público. </w:t>
            </w:r>
            <w:r w:rsidRPr="00F36A5D">
              <w:rPr>
                <w:rFonts w:ascii="ITC Avant Garde" w:eastAsia="Times New Roman" w:hAnsi="ITC Avant Garde"/>
                <w:color w:val="000000"/>
                <w:sz w:val="14"/>
                <w:szCs w:val="16"/>
                <w:lang w:eastAsia="es-MX"/>
              </w:rPr>
              <w:t>En caso de que dentro de los documentos que sean remitidos se advierta información distinta al nombre</w:t>
            </w:r>
            <w:r w:rsidR="00A751A5" w:rsidRPr="00F36A5D">
              <w:rPr>
                <w:rFonts w:ascii="ITC Avant Garde" w:eastAsia="Times New Roman" w:hAnsi="ITC Avant Garde"/>
                <w:color w:val="000000"/>
                <w:sz w:val="14"/>
                <w:szCs w:val="16"/>
                <w:lang w:eastAsia="es-MX"/>
              </w:rPr>
              <w:t xml:space="preserve"> y</w:t>
            </w:r>
            <w:r w:rsidRPr="00F36A5D">
              <w:rPr>
                <w:rFonts w:ascii="ITC Avant Garde" w:eastAsia="Times New Roman" w:hAnsi="ITC Avant Garde"/>
                <w:color w:val="000000"/>
                <w:sz w:val="14"/>
                <w:szCs w:val="16"/>
                <w:lang w:eastAsia="es-MX"/>
              </w:rPr>
              <w:t xml:space="preserve"> opinión</w:t>
            </w:r>
            <w:r w:rsidR="00A751A5"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y </w:t>
            </w:r>
            <w:r w:rsidR="00D13998" w:rsidRPr="00F36A5D">
              <w:rPr>
                <w:rFonts w:ascii="ITC Avant Garde" w:eastAsia="Times New Roman" w:hAnsi="ITC Avant Garde"/>
                <w:color w:val="000000"/>
                <w:sz w:val="14"/>
                <w:szCs w:val="16"/>
                <w:lang w:eastAsia="es-MX"/>
              </w:rPr>
              <w:t xml:space="preserve">ésta incluya </w:t>
            </w:r>
            <w:r w:rsidR="00A7050F" w:rsidRPr="00F36A5D">
              <w:rPr>
                <w:rFonts w:ascii="ITC Avant Garde" w:eastAsia="Times New Roman" w:hAnsi="ITC Avant Garde"/>
                <w:color w:val="000000"/>
                <w:sz w:val="14"/>
                <w:szCs w:val="16"/>
                <w:lang w:eastAsia="es-MX"/>
              </w:rPr>
              <w:t>datos personales</w:t>
            </w:r>
            <w:r w:rsidR="00120D05" w:rsidRPr="00F36A5D">
              <w:rPr>
                <w:rFonts w:ascii="ITC Avant Garde" w:eastAsia="Times New Roman" w:hAnsi="ITC Avant Garde"/>
                <w:color w:val="000000"/>
                <w:sz w:val="14"/>
                <w:szCs w:val="16"/>
                <w:lang w:eastAsia="es-MX"/>
              </w:rPr>
              <w:t xml:space="preserve"> que tengan el carácter de confidencial, </w:t>
            </w:r>
            <w:r w:rsidRPr="00F36A5D">
              <w:rPr>
                <w:rFonts w:ascii="ITC Avant Garde" w:eastAsia="Times New Roman" w:hAnsi="ITC Avant Garde"/>
                <w:color w:val="000000"/>
                <w:sz w:val="14"/>
                <w:szCs w:val="16"/>
                <w:lang w:eastAsia="es-MX"/>
              </w:rPr>
              <w:t>se procederá a su protección. Con relación al nombre y la opinión de quien participa en este ejercicio, se entiende que otorga su consentimiento para la difusión de dichos datos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cuando menos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el portal del Instituto</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términos de lo dispuesto en </w:t>
            </w:r>
            <w:r w:rsidR="00A11685" w:rsidRPr="00F36A5D">
              <w:rPr>
                <w:rFonts w:ascii="ITC Avant Garde" w:eastAsia="Times New Roman" w:hAnsi="ITC Avant Garde"/>
                <w:color w:val="000000"/>
                <w:sz w:val="14"/>
                <w:szCs w:val="16"/>
                <w:lang w:eastAsia="es-MX"/>
              </w:rPr>
              <w:t xml:space="preserve">los </w:t>
            </w:r>
            <w:r w:rsidRPr="00F36A5D">
              <w:rPr>
                <w:rFonts w:ascii="ITC Avant Garde" w:eastAsia="Times New Roman" w:hAnsi="ITC Avant Garde"/>
                <w:color w:val="000000"/>
                <w:sz w:val="14"/>
                <w:szCs w:val="16"/>
                <w:lang w:eastAsia="es-MX"/>
              </w:rPr>
              <w:t>artículo</w:t>
            </w:r>
            <w:r w:rsidR="002B4BB2" w:rsidRPr="00F36A5D">
              <w:rPr>
                <w:rFonts w:ascii="ITC Avant Garde" w:eastAsia="Times New Roman" w:hAnsi="ITC Avant Garde"/>
                <w:color w:val="000000"/>
                <w:sz w:val="14"/>
                <w:szCs w:val="16"/>
                <w:lang w:eastAsia="es-MX"/>
              </w:rPr>
              <w:t xml:space="preserve">s </w:t>
            </w:r>
            <w:r w:rsidR="00A11685" w:rsidRPr="00F36A5D">
              <w:rPr>
                <w:rFonts w:ascii="ITC Avant Garde" w:eastAsia="Times New Roman" w:hAnsi="ITC Avant Garde"/>
                <w:color w:val="000000"/>
                <w:sz w:val="14"/>
                <w:szCs w:val="16"/>
                <w:lang w:eastAsia="es-MX"/>
              </w:rPr>
              <w:t>20 y</w:t>
            </w:r>
            <w:r w:rsidRPr="00F36A5D">
              <w:rPr>
                <w:rFonts w:ascii="ITC Avant Garde" w:eastAsia="Times New Roman" w:hAnsi="ITC Avant Garde"/>
                <w:color w:val="000000"/>
                <w:sz w:val="14"/>
                <w:szCs w:val="16"/>
                <w:lang w:eastAsia="es-MX"/>
              </w:rPr>
              <w:t xml:space="preserve"> 21, segundo </w:t>
            </w:r>
            <w:r w:rsidR="00A11685" w:rsidRPr="00F36A5D">
              <w:rPr>
                <w:rFonts w:ascii="ITC Avant Garde" w:eastAsia="Times New Roman" w:hAnsi="ITC Avant Garde"/>
                <w:color w:val="000000"/>
                <w:sz w:val="14"/>
                <w:szCs w:val="16"/>
                <w:lang w:eastAsia="es-MX"/>
              </w:rPr>
              <w:t xml:space="preserve">y tercer </w:t>
            </w:r>
            <w:r w:rsidRPr="00F36A5D">
              <w:rPr>
                <w:rFonts w:ascii="ITC Avant Garde" w:eastAsia="Times New Roman" w:hAnsi="ITC Avant Garde"/>
                <w:color w:val="000000"/>
                <w:sz w:val="14"/>
                <w:szCs w:val="16"/>
                <w:lang w:eastAsia="es-MX"/>
              </w:rPr>
              <w:t>párrafo</w:t>
            </w:r>
            <w:r w:rsidR="00A11685" w:rsidRPr="00F36A5D">
              <w:rPr>
                <w:rFonts w:ascii="ITC Avant Garde" w:eastAsia="Times New Roman" w:hAnsi="ITC Avant Garde"/>
                <w:color w:val="000000"/>
                <w:sz w:val="14"/>
                <w:szCs w:val="16"/>
                <w:lang w:eastAsia="es-MX"/>
              </w:rPr>
              <w:t>s</w:t>
            </w:r>
            <w:r w:rsidR="00942344"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de la LGPDPPSO</w:t>
            </w:r>
            <w:r w:rsidR="002B4BB2" w:rsidRPr="00F36A5D">
              <w:rPr>
                <w:rFonts w:ascii="ITC Avant Garde" w:eastAsia="Times New Roman" w:hAnsi="ITC Avant Garde"/>
                <w:color w:val="000000"/>
                <w:sz w:val="14"/>
                <w:szCs w:val="16"/>
                <w:lang w:eastAsia="es-MX"/>
              </w:rPr>
              <w:t xml:space="preserve"> y</w:t>
            </w:r>
            <w:r w:rsidR="00092755" w:rsidRPr="00F36A5D">
              <w:rPr>
                <w:rFonts w:ascii="ITC Avant Garde" w:eastAsia="Times New Roman" w:hAnsi="ITC Avant Garde"/>
                <w:color w:val="000000"/>
                <w:sz w:val="14"/>
                <w:szCs w:val="16"/>
                <w:lang w:eastAsia="es-MX"/>
              </w:rPr>
              <w:t xml:space="preserve"> los numerales</w:t>
            </w:r>
            <w:r w:rsidR="00450FCD" w:rsidRPr="00F36A5D">
              <w:rPr>
                <w:rFonts w:ascii="ITC Avant Garde" w:eastAsia="Times New Roman" w:hAnsi="ITC Avant Garde"/>
                <w:color w:val="000000"/>
                <w:sz w:val="14"/>
                <w:szCs w:val="16"/>
                <w:lang w:eastAsia="es-MX"/>
              </w:rPr>
              <w:t xml:space="preserve"> </w:t>
            </w:r>
            <w:r w:rsidR="00092755" w:rsidRPr="00F36A5D">
              <w:rPr>
                <w:rFonts w:ascii="ITC Avant Garde" w:eastAsia="Times New Roman" w:hAnsi="ITC Avant Garde"/>
                <w:color w:val="000000"/>
                <w:sz w:val="14"/>
                <w:szCs w:val="16"/>
                <w:lang w:eastAsia="es-MX"/>
              </w:rPr>
              <w:t xml:space="preserve">12 y 15 de los </w:t>
            </w:r>
            <w:r w:rsidR="004B053F" w:rsidRPr="00F36A5D">
              <w:rPr>
                <w:rFonts w:ascii="ITC Avant Garde" w:eastAsia="Times New Roman" w:hAnsi="ITC Avant Garde"/>
                <w:color w:val="000000"/>
                <w:sz w:val="14"/>
                <w:szCs w:val="16"/>
                <w:lang w:eastAsia="es-MX"/>
              </w:rPr>
              <w:t>Lineamientos.</w:t>
            </w:r>
          </w:p>
          <w:p w14:paraId="75E8B764" w14:textId="77777777" w:rsidR="00D22B9D" w:rsidRPr="00F36A5D" w:rsidRDefault="00D22B9D" w:rsidP="00201EDB">
            <w:pPr>
              <w:spacing w:after="0" w:line="240" w:lineRule="auto"/>
              <w:ind w:left="492" w:right="229"/>
              <w:jc w:val="both"/>
              <w:rPr>
                <w:rFonts w:ascii="ITC Avant Garde" w:eastAsia="Times New Roman" w:hAnsi="ITC Avant Garde"/>
                <w:color w:val="000000"/>
                <w:sz w:val="14"/>
                <w:szCs w:val="16"/>
                <w:lang w:eastAsia="es-MX"/>
              </w:rPr>
            </w:pPr>
          </w:p>
          <w:p w14:paraId="7BD06D30"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Los datos personales recabados con motivo de los procesos de consulta pública no serán objeto de transferencias que requieran el consentimiento del titular.</w:t>
            </w:r>
          </w:p>
          <w:p w14:paraId="05F9C001"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594799B0" w14:textId="77777777"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 xml:space="preserve">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w:t>
            </w:r>
            <w:r w:rsidR="00A57E13" w:rsidRPr="00F36A5D">
              <w:rPr>
                <w:rFonts w:ascii="ITC Avant Garde" w:eastAsia="Times New Roman" w:hAnsi="ITC Avant Garde"/>
                <w:color w:val="000000"/>
                <w:sz w:val="14"/>
                <w:szCs w:val="16"/>
                <w:lang w:eastAsia="es-MX"/>
              </w:rPr>
              <w:t xml:space="preserve">15, fracciones XL y XLI, </w:t>
            </w:r>
            <w:r w:rsidR="00B533DC" w:rsidRPr="00F36A5D">
              <w:rPr>
                <w:rFonts w:ascii="ITC Avant Garde" w:eastAsia="Times New Roman" w:hAnsi="ITC Avant Garde"/>
                <w:color w:val="000000"/>
                <w:sz w:val="14"/>
                <w:szCs w:val="16"/>
                <w:lang w:eastAsia="es-MX"/>
              </w:rPr>
              <w:t>51 de la Ley Federal de Telecomunicaciones y Radiodifusión</w:t>
            </w:r>
            <w:r w:rsidR="00942344" w:rsidRPr="00F36A5D">
              <w:rPr>
                <w:rFonts w:ascii="ITC Avant Garde" w:eastAsia="Times New Roman" w:hAnsi="ITC Avant Garde"/>
                <w:color w:val="000000"/>
                <w:sz w:val="14"/>
                <w:szCs w:val="16"/>
                <w:lang w:eastAsia="es-MX"/>
              </w:rPr>
              <w:t xml:space="preserve">así como </w:t>
            </w:r>
            <w:r w:rsidR="008A5565" w:rsidRPr="00F36A5D">
              <w:rPr>
                <w:rFonts w:ascii="ITC Avant Garde" w:eastAsia="Times New Roman" w:hAnsi="ITC Avant Garde"/>
                <w:color w:val="000000"/>
                <w:sz w:val="14"/>
                <w:szCs w:val="16"/>
                <w:lang w:eastAsia="es-MX"/>
              </w:rPr>
              <w:t xml:space="preserve">el </w:t>
            </w:r>
            <w:r w:rsidR="00942344" w:rsidRPr="00F36A5D">
              <w:rPr>
                <w:rFonts w:ascii="ITC Avant Garde" w:eastAsia="Times New Roman" w:hAnsi="ITC Avant Garde"/>
                <w:color w:val="000000"/>
                <w:sz w:val="14"/>
                <w:szCs w:val="16"/>
                <w:lang w:eastAsia="es-MX"/>
              </w:rPr>
              <w:t>Lineamiento</w:t>
            </w:r>
            <w:r w:rsidR="00B533DC"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w:t>
            </w:r>
          </w:p>
          <w:p w14:paraId="2ADFDF0A" w14:textId="77777777"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14:paraId="697C3DE6" w14:textId="77777777" w:rsidR="000E55B0" w:rsidRPr="00F36A5D" w:rsidRDefault="000E55B0" w:rsidP="00D42FCD">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2B558F">
              <w:rPr>
                <w:rFonts w:ascii="ITC Avant Garde" w:eastAsia="Times New Roman" w:hAnsi="ITC Avant Garde"/>
                <w:b/>
                <w:color w:val="000000"/>
                <w:sz w:val="14"/>
                <w:szCs w:val="14"/>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D77944">
              <w:rPr>
                <w:rFonts w:ascii="ITC Avant Garde" w:eastAsia="Times New Roman" w:hAnsi="ITC Avant Garde"/>
                <w:color w:val="000000"/>
                <w:sz w:val="14"/>
                <w:szCs w:val="14"/>
                <w:lang w:eastAsia="es-MX"/>
              </w:rPr>
              <w:t xml:space="preserve"> </w:t>
            </w:r>
            <w:r w:rsidR="00A57E13" w:rsidRPr="00D77944">
              <w:rPr>
                <w:rFonts w:ascii="ITC Avant Garde" w:eastAsia="Times New Roman" w:hAnsi="ITC Avant Garde"/>
                <w:color w:val="000000"/>
                <w:sz w:val="14"/>
                <w:szCs w:val="14"/>
                <w:lang w:eastAsia="es-MX"/>
              </w:rPr>
              <w:t>En concordancia con lo señalado en el apartado IV, del presente aviso de privacidad, se informa que los datos personales recabados con motivo del proceso de consulta públicano serán objeto de transferencias que requieran el consentimiento del titular. No obstante, s</w:t>
            </w:r>
            <w:r w:rsidRPr="00D77944">
              <w:rPr>
                <w:rFonts w:ascii="ITC Avant Garde" w:eastAsia="Times New Roman" w:hAnsi="ITC Avant Garde"/>
                <w:color w:val="000000"/>
                <w:sz w:val="14"/>
                <w:szCs w:val="14"/>
                <w:lang w:eastAsia="es-MX"/>
              </w:rPr>
              <w:t>e ponen a disposición los</w:t>
            </w:r>
            <w:r w:rsidRPr="00A12C9D">
              <w:rPr>
                <w:rFonts w:ascii="ITC Avant Garde" w:eastAsia="Times New Roman" w:hAnsi="ITC Avant Garde"/>
                <w:color w:val="000000"/>
                <w:sz w:val="14"/>
                <w:szCs w:val="14"/>
                <w:lang w:eastAsia="es-MX"/>
              </w:rPr>
              <w:t xml:space="preserve"> siguientes puntos de contacto</w:t>
            </w:r>
            <w:r w:rsidR="002B558F" w:rsidRPr="00A12C9D">
              <w:rPr>
                <w:rFonts w:ascii="ITC Avant Garde" w:eastAsia="Times New Roman" w:hAnsi="ITC Avant Garde"/>
                <w:color w:val="000000"/>
                <w:sz w:val="14"/>
                <w:szCs w:val="14"/>
                <w:lang w:eastAsia="es-MX"/>
              </w:rPr>
              <w:t>:</w:t>
            </w:r>
            <w:r w:rsidR="00B209E7">
              <w:rPr>
                <w:rFonts w:ascii="ITC Avant Garde" w:eastAsia="Times New Roman" w:hAnsi="ITC Avant Garde"/>
                <w:color w:val="000000"/>
                <w:sz w:val="14"/>
                <w:szCs w:val="14"/>
                <w:lang w:eastAsia="es-MX"/>
              </w:rPr>
              <w:t xml:space="preserve"> </w:t>
            </w:r>
            <w:r w:rsidR="00B209E7" w:rsidRPr="00BF5CAB">
              <w:rPr>
                <w:rFonts w:ascii="ITC Avant Garde" w:hAnsi="ITC Avant Garde"/>
                <w:sz w:val="14"/>
                <w:szCs w:val="14"/>
              </w:rPr>
              <w:t>Carlos Juan de Dios Sánchez Bretón</w:t>
            </w:r>
            <w:r w:rsidR="00B209E7" w:rsidRPr="00DD6196">
              <w:rPr>
                <w:rFonts w:ascii="ITC Avant Garde" w:hAnsi="ITC Avant Garde"/>
                <w:sz w:val="14"/>
                <w:szCs w:val="14"/>
              </w:rPr>
              <w:t xml:space="preserve">, Director General de Economía del Espectro y Recursos Orbitales, correo electrónico: </w:t>
            </w:r>
            <w:hyperlink r:id="rId16" w:history="1">
              <w:r w:rsidR="00B209E7" w:rsidRPr="00BF5CAB">
                <w:rPr>
                  <w:rStyle w:val="Hipervnculo"/>
                  <w:rFonts w:ascii="ITC Avant Garde" w:hAnsi="ITC Avant Garde"/>
                  <w:sz w:val="14"/>
                  <w:szCs w:val="14"/>
                </w:rPr>
                <w:t>carlos.sanchezb@ift.org.mx</w:t>
              </w:r>
            </w:hyperlink>
            <w:r w:rsidR="00B209E7">
              <w:rPr>
                <w:rFonts w:ascii="ITC Avant Garde" w:hAnsi="ITC Avant Garde"/>
                <w:sz w:val="14"/>
                <w:szCs w:val="14"/>
              </w:rPr>
              <w:t>,</w:t>
            </w:r>
            <w:r w:rsidR="00B209E7" w:rsidRPr="00BF5CAB">
              <w:rPr>
                <w:rFonts w:ascii="ITC Avant Garde" w:hAnsi="ITC Avant Garde"/>
                <w:sz w:val="14"/>
                <w:szCs w:val="14"/>
              </w:rPr>
              <w:t xml:space="preserve"> número telefónico (55)</w:t>
            </w:r>
            <w:r w:rsidR="00B209E7">
              <w:rPr>
                <w:rFonts w:ascii="ITC Avant Garde" w:hAnsi="ITC Avant Garde"/>
                <w:sz w:val="14"/>
                <w:szCs w:val="14"/>
              </w:rPr>
              <w:t xml:space="preserve"> </w:t>
            </w:r>
            <w:r w:rsidR="00B209E7" w:rsidRPr="00BF5CAB">
              <w:rPr>
                <w:rFonts w:ascii="ITC Avant Garde" w:hAnsi="ITC Avant Garde"/>
                <w:sz w:val="14"/>
                <w:szCs w:val="14"/>
              </w:rPr>
              <w:t>5014-4353</w:t>
            </w:r>
            <w:r w:rsidR="00B209E7">
              <w:rPr>
                <w:rFonts w:ascii="ITC Avant Garde" w:hAnsi="ITC Avant Garde"/>
                <w:sz w:val="14"/>
                <w:szCs w:val="14"/>
              </w:rPr>
              <w:t>,</w:t>
            </w:r>
            <w:r w:rsidR="002B558F" w:rsidRPr="00A12C9D">
              <w:rPr>
                <w:rFonts w:ascii="ITC Avant Garde" w:eastAsia="Times New Roman" w:hAnsi="ITC Avant Garde"/>
                <w:color w:val="000000"/>
                <w:sz w:val="14"/>
                <w:szCs w:val="14"/>
                <w:lang w:eastAsia="es-MX"/>
              </w:rPr>
              <w:t xml:space="preserve"> </w:t>
            </w:r>
            <w:r w:rsidR="002B558F" w:rsidRPr="00A12C9D">
              <w:rPr>
                <w:rFonts w:ascii="ITC Avant Garde" w:hAnsi="ITC Avant Garde"/>
                <w:sz w:val="14"/>
                <w:szCs w:val="14"/>
              </w:rPr>
              <w:t xml:space="preserve">Federico Saggiante Rangel, Director de Licitaciones, correo electrónico: </w:t>
            </w:r>
            <w:hyperlink r:id="rId17" w:history="1">
              <w:r w:rsidR="002B558F" w:rsidRPr="002B558F">
                <w:rPr>
                  <w:rStyle w:val="Hipervnculo"/>
                  <w:rFonts w:ascii="ITC Avant Garde" w:hAnsi="ITC Avant Garde"/>
                  <w:sz w:val="14"/>
                  <w:szCs w:val="14"/>
                </w:rPr>
                <w:t>federico.saggiante@ift.org.mx</w:t>
              </w:r>
            </w:hyperlink>
            <w:r w:rsidR="002B558F" w:rsidRPr="002B558F">
              <w:rPr>
                <w:rFonts w:ascii="ITC Avant Garde" w:hAnsi="ITC Avant Garde"/>
                <w:sz w:val="14"/>
                <w:szCs w:val="14"/>
              </w:rPr>
              <w:t xml:space="preserve">, número telefónico (55) </w:t>
            </w:r>
            <w:r w:rsidR="002B558F" w:rsidRPr="00D77944">
              <w:rPr>
                <w:rFonts w:ascii="ITC Avant Garde" w:hAnsi="ITC Avant Garde"/>
                <w:sz w:val="14"/>
                <w:szCs w:val="14"/>
              </w:rPr>
              <w:t xml:space="preserve">5014-4738; y María Isabel De la Vega Esteinou, Subdirectora de Licitaciones "B", correo electrónico: </w:t>
            </w:r>
            <w:hyperlink r:id="rId18" w:history="1">
              <w:r w:rsidR="002B558F" w:rsidRPr="002B558F">
                <w:rPr>
                  <w:rStyle w:val="Hipervnculo"/>
                  <w:rFonts w:ascii="ITC Avant Garde" w:hAnsi="ITC Avant Garde"/>
                  <w:sz w:val="14"/>
                  <w:szCs w:val="14"/>
                </w:rPr>
                <w:t>i</w:t>
              </w:r>
              <w:r w:rsidR="002B558F" w:rsidRPr="00D77944">
                <w:rPr>
                  <w:rStyle w:val="Hipervnculo"/>
                  <w:rFonts w:ascii="ITC Avant Garde" w:hAnsi="ITC Avant Garde"/>
                  <w:sz w:val="14"/>
                  <w:szCs w:val="14"/>
                </w:rPr>
                <w:t>sabel.delavega@ift.org.mx</w:t>
              </w:r>
            </w:hyperlink>
            <w:r w:rsidR="002B558F" w:rsidRPr="002B558F">
              <w:rPr>
                <w:rFonts w:ascii="ITC Avant Garde" w:hAnsi="ITC Avant Garde"/>
                <w:sz w:val="14"/>
                <w:szCs w:val="14"/>
                <w:u w:val="single"/>
              </w:rPr>
              <w:t>,</w:t>
            </w:r>
            <w:r w:rsidR="002B558F" w:rsidRPr="002B558F">
              <w:rPr>
                <w:rFonts w:ascii="ITC Avant Garde" w:hAnsi="ITC Avant Garde"/>
                <w:sz w:val="14"/>
                <w:szCs w:val="14"/>
              </w:rPr>
              <w:t xml:space="preserve"> número telefónico (55)</w:t>
            </w:r>
            <w:r w:rsidR="002B558F" w:rsidRPr="00D77944">
              <w:rPr>
                <w:rFonts w:ascii="ITC Avant Garde" w:hAnsi="ITC Avant Garde"/>
                <w:sz w:val="14"/>
                <w:szCs w:val="14"/>
              </w:rPr>
              <w:t xml:space="preserve"> 5014-4154</w:t>
            </w:r>
            <w:r w:rsidRPr="00D77944">
              <w:rPr>
                <w:rFonts w:ascii="ITC Avant Garde" w:eastAsia="Times New Roman" w:hAnsi="ITC Avant Garde"/>
                <w:color w:val="000000"/>
                <w:sz w:val="14"/>
                <w:szCs w:val="14"/>
                <w:lang w:eastAsia="es-MX"/>
              </w:rPr>
              <w:t xml:space="preserve">, </w:t>
            </w:r>
            <w:r w:rsidR="00D77944">
              <w:rPr>
                <w:rFonts w:ascii="ITC Avant Garde" w:eastAsia="Times New Roman" w:hAnsi="ITC Avant Garde"/>
                <w:color w:val="000000"/>
                <w:sz w:val="14"/>
                <w:szCs w:val="14"/>
                <w:lang w:eastAsia="es-MX"/>
              </w:rPr>
              <w:t xml:space="preserve">respectivamente, </w:t>
            </w:r>
            <w:r w:rsidRPr="00D77944">
              <w:rPr>
                <w:rFonts w:ascii="ITC Avant Garde" w:eastAsia="Times New Roman" w:hAnsi="ITC Avant Garde"/>
                <w:color w:val="000000"/>
                <w:sz w:val="14"/>
                <w:szCs w:val="14"/>
                <w:lang w:eastAsia="es-MX"/>
              </w:rPr>
              <w:t xml:space="preserve">con quienes el titular de los datos personales podrá comunicarse </w:t>
            </w:r>
            <w:r w:rsidR="00A57E13" w:rsidRPr="00D77944">
              <w:rPr>
                <w:rFonts w:ascii="ITC Avant Garde" w:eastAsia="Times New Roman" w:hAnsi="ITC Avant Garde"/>
                <w:color w:val="000000"/>
                <w:sz w:val="14"/>
                <w:szCs w:val="14"/>
                <w:lang w:eastAsia="es-MX"/>
              </w:rPr>
              <w:t>para cualquier manifestación o inquietud al respecto</w:t>
            </w:r>
            <w:r w:rsidR="00A57E13" w:rsidRPr="00F36A5D">
              <w:rPr>
                <w:rFonts w:ascii="ITC Avant Garde" w:eastAsia="Times New Roman" w:hAnsi="ITC Avant Garde"/>
                <w:color w:val="000000"/>
                <w:sz w:val="14"/>
                <w:szCs w:val="16"/>
                <w:lang w:eastAsia="es-MX"/>
              </w:rPr>
              <w:t xml:space="preserve">. </w:t>
            </w:r>
          </w:p>
          <w:p w14:paraId="5E5F9464" w14:textId="77777777" w:rsidR="00D22B9D" w:rsidRPr="00F36A5D" w:rsidRDefault="00D22B9D" w:rsidP="00D42FCD">
            <w:pPr>
              <w:spacing w:after="0" w:line="240" w:lineRule="auto"/>
              <w:ind w:left="492" w:right="229"/>
              <w:jc w:val="both"/>
              <w:rPr>
                <w:rFonts w:ascii="ITC Avant Garde" w:eastAsia="Times New Roman" w:hAnsi="ITC Avant Garde"/>
                <w:color w:val="000000"/>
                <w:sz w:val="14"/>
                <w:szCs w:val="16"/>
                <w:lang w:eastAsia="es-MX"/>
              </w:rPr>
            </w:pPr>
          </w:p>
          <w:p w14:paraId="13CCB97D" w14:textId="77777777" w:rsidR="00A57E13" w:rsidRDefault="000E55B0" w:rsidP="002B1516">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mecanismos, medios y procedimientos disponibles para ejercer los derechos </w:t>
            </w:r>
            <w:r w:rsidR="00942344" w:rsidRPr="00F36A5D">
              <w:rPr>
                <w:rFonts w:ascii="ITC Avant Garde" w:eastAsia="Times New Roman" w:hAnsi="ITC Avant Garde"/>
                <w:b/>
                <w:color w:val="000000"/>
                <w:sz w:val="14"/>
                <w:szCs w:val="16"/>
                <w:lang w:eastAsia="es-MX"/>
              </w:rPr>
              <w:t xml:space="preserve">de acceso, rectificación, cancelación u oposición sobre el tratamiento de sus datos personales (en lo sucesivo, los “derechos </w:t>
            </w:r>
            <w:r w:rsidRPr="00F36A5D">
              <w:rPr>
                <w:rFonts w:ascii="ITC Avant Garde" w:eastAsia="Times New Roman" w:hAnsi="ITC Avant Garde"/>
                <w:b/>
                <w:color w:val="000000"/>
                <w:sz w:val="14"/>
                <w:szCs w:val="16"/>
                <w:lang w:eastAsia="es-MX"/>
              </w:rPr>
              <w:t>ARCO</w:t>
            </w:r>
            <w:r w:rsidR="00942344"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2FF4BF3C" w14:textId="77777777" w:rsidR="00F812E3" w:rsidRPr="00F36A5D" w:rsidRDefault="00F812E3" w:rsidP="002B1516">
            <w:pPr>
              <w:spacing w:after="0" w:line="240" w:lineRule="auto"/>
              <w:ind w:left="492" w:right="229"/>
              <w:jc w:val="both"/>
              <w:rPr>
                <w:rFonts w:ascii="ITC Avant Garde" w:eastAsia="Times New Roman" w:hAnsi="ITC Avant Garde"/>
                <w:color w:val="000000"/>
                <w:sz w:val="14"/>
                <w:szCs w:val="16"/>
                <w:lang w:eastAsia="es-MX"/>
              </w:rPr>
            </w:pPr>
          </w:p>
          <w:p w14:paraId="5B593DEE" w14:textId="68FC6C2E" w:rsidR="00A57E13" w:rsidRDefault="00A57E13" w:rsidP="001208F6">
            <w:pPr>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r w:rsidR="001208F6">
              <w:rPr>
                <w:rFonts w:ascii="ITC Avant Garde" w:eastAsia="Times New Roman" w:hAnsi="ITC Avant Garde"/>
                <w:color w:val="000000"/>
                <w:sz w:val="14"/>
                <w:szCs w:val="16"/>
                <w:lang w:eastAsia="es-MX"/>
              </w:rPr>
              <w:t>:</w:t>
            </w:r>
          </w:p>
          <w:p w14:paraId="09A9CB33" w14:textId="77777777" w:rsidR="00F36A5D" w:rsidRPr="00F36A5D" w:rsidRDefault="00F36A5D" w:rsidP="00201EDB">
            <w:pPr>
              <w:spacing w:after="0" w:line="240" w:lineRule="auto"/>
              <w:ind w:left="852" w:right="229"/>
              <w:jc w:val="both"/>
              <w:rPr>
                <w:rFonts w:ascii="ITC Avant Garde" w:eastAsia="Times New Roman" w:hAnsi="ITC Avant Garde"/>
                <w:color w:val="000000"/>
                <w:sz w:val="14"/>
                <w:szCs w:val="16"/>
                <w:lang w:eastAsia="es-MX"/>
              </w:rPr>
            </w:pPr>
          </w:p>
          <w:p w14:paraId="51E5210B" w14:textId="77777777" w:rsidR="00A57E13" w:rsidRPr="00F36A5D" w:rsidRDefault="00A57E13" w:rsidP="00201EDB">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5E3181B4" w14:textId="77777777" w:rsidR="00A57E13" w:rsidRPr="00F36A5D" w:rsidRDefault="00A57E13" w:rsidP="00201EDB">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2C49C702" w14:textId="77777777" w:rsidR="00A57E13" w:rsidRPr="00F36A5D" w:rsidRDefault="00A57E13" w:rsidP="00201EDB">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256471CB" w14:textId="77777777" w:rsidR="00A57E13" w:rsidRPr="00F36A5D" w:rsidRDefault="00A57E13" w:rsidP="00201EDB">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196E38F6" w14:textId="77777777" w:rsidR="00A57E13" w:rsidRPr="00F36A5D" w:rsidRDefault="00A57E13" w:rsidP="00201EDB">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348C0265" w14:textId="77777777" w:rsidR="00A57E13" w:rsidRPr="00F36A5D" w:rsidRDefault="00A57E13" w:rsidP="004D55DC">
            <w:pPr>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7A44AC0A"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3788E32F" w14:textId="39461116" w:rsidR="00F812E3" w:rsidRPr="001208F6" w:rsidRDefault="00A57E13" w:rsidP="001208F6">
            <w:pPr>
              <w:pStyle w:val="Prrafodelista"/>
              <w:numPr>
                <w:ilvl w:val="0"/>
                <w:numId w:val="15"/>
              </w:numPr>
              <w:spacing w:after="0" w:line="240" w:lineRule="auto"/>
              <w:ind w:right="229"/>
              <w:jc w:val="both"/>
              <w:rPr>
                <w:rFonts w:ascii="ITC Avant Garde" w:eastAsia="Times New Roman" w:hAnsi="ITC Avant Garde"/>
                <w:color w:val="000000"/>
                <w:sz w:val="14"/>
                <w:szCs w:val="16"/>
                <w:lang w:eastAsia="es-MX"/>
              </w:rPr>
            </w:pPr>
            <w:r w:rsidRPr="001208F6">
              <w:rPr>
                <w:rFonts w:ascii="ITC Avant Garde" w:eastAsia="Times New Roman" w:hAnsi="ITC Avant Garde"/>
                <w:color w:val="000000"/>
                <w:sz w:val="14"/>
                <w:szCs w:val="16"/>
                <w:lang w:eastAsia="es-MX"/>
              </w:rPr>
              <w:t>Los medios a través de los cuales el titular podrá presentar solicitudes para el ejercicio de los derechos ARCO</w:t>
            </w:r>
          </w:p>
          <w:p w14:paraId="19805D1D" w14:textId="77777777" w:rsidR="00F812E3" w:rsidRPr="00F36A5D" w:rsidRDefault="00F812E3" w:rsidP="004D55DC">
            <w:pPr>
              <w:spacing w:after="0" w:line="240" w:lineRule="auto"/>
              <w:ind w:left="539" w:right="229"/>
              <w:jc w:val="both"/>
              <w:rPr>
                <w:rFonts w:ascii="ITC Avant Garde" w:eastAsia="Times New Roman" w:hAnsi="ITC Avant Garde"/>
                <w:color w:val="000000"/>
                <w:sz w:val="14"/>
                <w:szCs w:val="16"/>
                <w:lang w:eastAsia="es-MX"/>
              </w:rPr>
            </w:pPr>
          </w:p>
          <w:p w14:paraId="6C80EF9C" w14:textId="77777777" w:rsidR="00A57E13" w:rsidRPr="00F36A5D" w:rsidRDefault="00A57E13" w:rsidP="004D55DC">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297517DA" w14:textId="77777777" w:rsidR="00F812E3" w:rsidRPr="00F36A5D" w:rsidRDefault="00F812E3" w:rsidP="004D55DC">
            <w:pPr>
              <w:spacing w:after="0" w:line="240" w:lineRule="auto"/>
              <w:ind w:left="539" w:right="229"/>
              <w:jc w:val="both"/>
              <w:rPr>
                <w:rFonts w:ascii="ITC Avant Garde" w:eastAsia="Times New Roman" w:hAnsi="ITC Avant Garde"/>
                <w:color w:val="000000"/>
                <w:sz w:val="14"/>
                <w:szCs w:val="16"/>
                <w:lang w:eastAsia="es-MX"/>
              </w:rPr>
            </w:pPr>
          </w:p>
          <w:p w14:paraId="0C20DA7E" w14:textId="77777777" w:rsidR="00A57E13" w:rsidRPr="00F36A5D" w:rsidRDefault="00A57E13" w:rsidP="004D55DC">
            <w:pPr>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sidR="00AD0D63">
              <w:rPr>
                <w:rFonts w:ascii="ITC Avant Garde" w:eastAsia="Times New Roman" w:hAnsi="ITC Avant Garde"/>
                <w:color w:val="000000"/>
                <w:sz w:val="14"/>
                <w:szCs w:val="16"/>
                <w:lang w:eastAsia="es-MX"/>
              </w:rPr>
              <w:t>e al efecto establezca el INAI.</w:t>
            </w:r>
          </w:p>
          <w:p w14:paraId="636AD482"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14677D09" w14:textId="3C6A5C2E" w:rsidR="00A57E13" w:rsidRPr="001208F6" w:rsidRDefault="00A57E13" w:rsidP="001208F6">
            <w:pPr>
              <w:pStyle w:val="Prrafodelista"/>
              <w:numPr>
                <w:ilvl w:val="0"/>
                <w:numId w:val="15"/>
              </w:numPr>
              <w:spacing w:after="0" w:line="240" w:lineRule="auto"/>
              <w:ind w:right="229"/>
              <w:jc w:val="both"/>
              <w:rPr>
                <w:rFonts w:ascii="ITC Avant Garde" w:eastAsia="Times New Roman" w:hAnsi="ITC Avant Garde"/>
                <w:color w:val="000000"/>
                <w:sz w:val="14"/>
                <w:szCs w:val="16"/>
                <w:lang w:eastAsia="es-MX"/>
              </w:rPr>
            </w:pPr>
            <w:r w:rsidRPr="001208F6">
              <w:rPr>
                <w:rFonts w:ascii="ITC Avant Garde" w:eastAsia="Times New Roman" w:hAnsi="ITC Avant Garde"/>
                <w:color w:val="000000"/>
                <w:sz w:val="14"/>
                <w:szCs w:val="16"/>
                <w:lang w:eastAsia="es-MX"/>
              </w:rPr>
              <w:t>Los formularios, sistemas y otros medios simplificados que, en su caso, el Instituto hubiere establecido para facilitar al titular el ejercicio de sus derechos ARCO.</w:t>
            </w:r>
          </w:p>
          <w:p w14:paraId="613474C5"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347093BE"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9"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sidR="00F36A5D">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sidR="00F36A5D">
              <w:rPr>
                <w:rFonts w:ascii="ITC Avant Garde" w:eastAsia="Times New Roman" w:hAnsi="ITC Avant Garde"/>
                <w:color w:val="000000"/>
                <w:sz w:val="14"/>
                <w:szCs w:val="16"/>
                <w:lang w:eastAsia="es-MX"/>
              </w:rPr>
              <w:t>rsonales?/“Formatos”/”</w:t>
            </w:r>
            <w:r w:rsidR="00F36A5D" w:rsidRPr="00F36A5D">
              <w:rPr>
                <w:rFonts w:ascii="ITC Avant Garde" w:eastAsia="Times New Roman" w:hAnsi="ITC Avant Garde"/>
                <w:color w:val="000000"/>
                <w:sz w:val="14"/>
                <w:szCs w:val="16"/>
                <w:lang w:eastAsia="es-MX"/>
              </w:rPr>
              <w:t>Sector</w:t>
            </w:r>
            <w:r w:rsidRPr="00F36A5D">
              <w:rPr>
                <w:rFonts w:ascii="ITC Avant Garde" w:eastAsia="Times New Roman" w:hAnsi="ITC Avant Garde"/>
                <w:color w:val="000000"/>
                <w:sz w:val="14"/>
                <w:szCs w:val="16"/>
                <w:lang w:eastAsia="es-MX"/>
              </w:rPr>
              <w:t xml:space="preserve"> Público”.</w:t>
            </w:r>
          </w:p>
          <w:p w14:paraId="5DE0A242"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0DBDADB3" w14:textId="76385578" w:rsidR="00A57E13" w:rsidRPr="001208F6" w:rsidRDefault="00A57E13" w:rsidP="001208F6">
            <w:pPr>
              <w:pStyle w:val="Prrafodelista"/>
              <w:numPr>
                <w:ilvl w:val="0"/>
                <w:numId w:val="15"/>
              </w:numPr>
              <w:spacing w:after="0" w:line="240" w:lineRule="auto"/>
              <w:ind w:right="229"/>
              <w:jc w:val="both"/>
              <w:rPr>
                <w:rFonts w:ascii="ITC Avant Garde" w:eastAsia="Times New Roman" w:hAnsi="ITC Avant Garde"/>
                <w:color w:val="000000"/>
                <w:sz w:val="14"/>
                <w:szCs w:val="16"/>
                <w:lang w:eastAsia="es-MX"/>
              </w:rPr>
            </w:pPr>
            <w:r w:rsidRPr="001208F6">
              <w:rPr>
                <w:rFonts w:ascii="ITC Avant Garde" w:eastAsia="Times New Roman" w:hAnsi="ITC Avant Garde"/>
                <w:color w:val="000000"/>
                <w:sz w:val="14"/>
                <w:szCs w:val="16"/>
                <w:lang w:eastAsia="es-MX"/>
              </w:rPr>
              <w:t>Los medios habilitados para dar respuesta a las solicitudes para el ejercicio de los derechos ARCO</w:t>
            </w:r>
            <w:r w:rsidR="001208F6" w:rsidRPr="001208F6">
              <w:rPr>
                <w:rFonts w:ascii="ITC Avant Garde" w:eastAsia="Times New Roman" w:hAnsi="ITC Avant Garde"/>
                <w:color w:val="000000"/>
                <w:sz w:val="14"/>
                <w:szCs w:val="16"/>
                <w:lang w:eastAsia="es-MX"/>
              </w:rPr>
              <w:t>.</w:t>
            </w:r>
            <w:r w:rsidRPr="001208F6">
              <w:rPr>
                <w:rFonts w:ascii="ITC Avant Garde" w:eastAsia="Times New Roman" w:hAnsi="ITC Avant Garde"/>
                <w:color w:val="000000"/>
                <w:sz w:val="14"/>
                <w:szCs w:val="16"/>
                <w:lang w:eastAsia="es-MX"/>
              </w:rPr>
              <w:t xml:space="preserve"> </w:t>
            </w:r>
          </w:p>
          <w:p w14:paraId="40BD58D6"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3B05D50C"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w:t>
            </w:r>
            <w:r w:rsidRPr="00F36A5D">
              <w:rPr>
                <w:rFonts w:ascii="ITC Avant Garde" w:eastAsia="Times New Roman" w:hAnsi="ITC Avant Garde"/>
                <w:color w:val="000000"/>
                <w:sz w:val="14"/>
                <w:szCs w:val="16"/>
                <w:lang w:eastAsia="es-MX"/>
              </w:rPr>
              <w:lastRenderedPageBreak/>
              <w:t>representante de manera presencial, o por la Plataforma Nacional de Transparencia o correo certificado en cuyo caso no procederá la notificación a través de representante para estos últimos medios.</w:t>
            </w:r>
          </w:p>
          <w:p w14:paraId="69CAF5E3"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2A47FF13" w14:textId="60410921" w:rsidR="00A57E13" w:rsidRPr="001208F6" w:rsidRDefault="00A57E13" w:rsidP="001208F6">
            <w:pPr>
              <w:pStyle w:val="Prrafodelista"/>
              <w:numPr>
                <w:ilvl w:val="0"/>
                <w:numId w:val="15"/>
              </w:numPr>
              <w:spacing w:after="0" w:line="240" w:lineRule="auto"/>
              <w:ind w:right="229"/>
              <w:jc w:val="both"/>
              <w:rPr>
                <w:rFonts w:ascii="ITC Avant Garde" w:eastAsia="Times New Roman" w:hAnsi="ITC Avant Garde"/>
                <w:color w:val="000000"/>
                <w:sz w:val="14"/>
                <w:szCs w:val="16"/>
                <w:lang w:eastAsia="es-MX"/>
              </w:rPr>
            </w:pPr>
            <w:r w:rsidRPr="001208F6">
              <w:rPr>
                <w:rFonts w:ascii="ITC Avant Garde" w:eastAsia="Times New Roman" w:hAnsi="ITC Avant Garde"/>
                <w:color w:val="000000"/>
                <w:sz w:val="14"/>
                <w:szCs w:val="16"/>
                <w:lang w:eastAsia="es-MX"/>
              </w:rPr>
              <w:t xml:space="preserve">La modalidad o medios de reproducción de los datos personales </w:t>
            </w:r>
          </w:p>
          <w:p w14:paraId="27114E2D"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5DF0D8C1"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7BB85E18"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6AFEB3D4" w14:textId="2290E981" w:rsidR="00A57E13" w:rsidRPr="001208F6" w:rsidRDefault="00A57E13" w:rsidP="001208F6">
            <w:pPr>
              <w:pStyle w:val="Prrafodelista"/>
              <w:numPr>
                <w:ilvl w:val="0"/>
                <w:numId w:val="15"/>
              </w:numPr>
              <w:spacing w:after="0" w:line="240" w:lineRule="auto"/>
              <w:ind w:right="229"/>
              <w:jc w:val="both"/>
              <w:rPr>
                <w:rFonts w:ascii="ITC Avant Garde" w:eastAsia="Times New Roman" w:hAnsi="ITC Avant Garde"/>
                <w:color w:val="000000"/>
                <w:sz w:val="14"/>
                <w:szCs w:val="16"/>
                <w:lang w:eastAsia="es-MX"/>
              </w:rPr>
            </w:pPr>
            <w:r w:rsidRPr="001208F6">
              <w:rPr>
                <w:rFonts w:ascii="ITC Avant Garde" w:eastAsia="Times New Roman" w:hAnsi="ITC Avant Garde"/>
                <w:color w:val="000000"/>
                <w:sz w:val="14"/>
                <w:szCs w:val="16"/>
                <w:lang w:eastAsia="es-MX"/>
              </w:rPr>
              <w:t>Los plazos establecidos dentro del procedimiento -los cuales no deberán contravenir los previsto en los artículos 51, 52, 53 y 54 de la LGPDPPSO- son los siguientes:</w:t>
            </w:r>
          </w:p>
          <w:p w14:paraId="4845C89F"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382E584D"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64FE41F6"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093558DB"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5E9E7EE8"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017770B6"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5E2BB535"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4DD389D9"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475C15BC"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32BAA736"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3DAD9B42"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482A083F"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0F8B277D"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6876AEA4"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2C16A751" w14:textId="77777777" w:rsidR="00F812E3" w:rsidRPr="00F36A5D" w:rsidRDefault="00F812E3" w:rsidP="004D55DC">
            <w:pPr>
              <w:spacing w:after="0" w:line="240" w:lineRule="auto"/>
              <w:ind w:left="492" w:right="229"/>
              <w:jc w:val="both"/>
              <w:rPr>
                <w:rFonts w:ascii="ITC Avant Garde" w:eastAsia="Times New Roman" w:hAnsi="ITC Avant Garde"/>
                <w:color w:val="000000"/>
                <w:sz w:val="14"/>
                <w:szCs w:val="16"/>
                <w:lang w:eastAsia="es-MX"/>
              </w:rPr>
            </w:pPr>
          </w:p>
          <w:p w14:paraId="7C1D8AD1" w14:textId="77777777" w:rsidR="00A57E13" w:rsidRPr="00F36A5D" w:rsidRDefault="00A57E13" w:rsidP="004D55DC">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4635D34" w14:textId="77777777" w:rsidR="009160D3" w:rsidRPr="00F36A5D" w:rsidRDefault="009160D3" w:rsidP="004D55DC">
            <w:pPr>
              <w:spacing w:after="0" w:line="240" w:lineRule="auto"/>
              <w:ind w:left="492" w:right="229"/>
              <w:jc w:val="both"/>
              <w:rPr>
                <w:rFonts w:ascii="ITC Avant Garde" w:eastAsia="Times New Roman" w:hAnsi="ITC Avant Garde"/>
                <w:color w:val="000000"/>
                <w:sz w:val="14"/>
                <w:szCs w:val="16"/>
                <w:lang w:eastAsia="es-MX"/>
              </w:rPr>
            </w:pPr>
          </w:p>
          <w:p w14:paraId="42FB4F4F" w14:textId="10E030DC" w:rsidR="00A57E13" w:rsidRPr="001208F6" w:rsidRDefault="00A57E13" w:rsidP="001208F6">
            <w:pPr>
              <w:pStyle w:val="Prrafodelista"/>
              <w:numPr>
                <w:ilvl w:val="0"/>
                <w:numId w:val="15"/>
              </w:numPr>
              <w:spacing w:after="0" w:line="240" w:lineRule="auto"/>
              <w:ind w:right="229"/>
              <w:jc w:val="both"/>
              <w:rPr>
                <w:rFonts w:ascii="ITC Avant Garde" w:eastAsia="Times New Roman" w:hAnsi="ITC Avant Garde"/>
                <w:color w:val="000000"/>
                <w:sz w:val="14"/>
                <w:szCs w:val="16"/>
                <w:lang w:eastAsia="es-MX"/>
              </w:rPr>
            </w:pPr>
            <w:r w:rsidRPr="001208F6">
              <w:rPr>
                <w:rFonts w:ascii="ITC Avant Garde" w:eastAsia="Times New Roman" w:hAnsi="ITC Avant Garde"/>
                <w:color w:val="000000"/>
                <w:sz w:val="14"/>
                <w:szCs w:val="16"/>
                <w:lang w:eastAsia="es-MX"/>
              </w:rPr>
              <w:t>El derecho que tiene el titular de presentar un recurso de revisión ante el INAI en caso de estar inconforme con la respuesta</w:t>
            </w:r>
          </w:p>
          <w:p w14:paraId="3E1E651D" w14:textId="77777777" w:rsidR="009160D3" w:rsidRPr="00F36A5D" w:rsidRDefault="009160D3" w:rsidP="0085081B">
            <w:pPr>
              <w:spacing w:after="0" w:line="240" w:lineRule="auto"/>
              <w:ind w:left="492" w:right="229"/>
              <w:jc w:val="both"/>
              <w:rPr>
                <w:rFonts w:ascii="ITC Avant Garde" w:eastAsia="Times New Roman" w:hAnsi="ITC Avant Garde"/>
                <w:color w:val="000000"/>
                <w:sz w:val="14"/>
                <w:szCs w:val="16"/>
                <w:lang w:eastAsia="es-MX"/>
              </w:rPr>
            </w:pPr>
          </w:p>
          <w:p w14:paraId="2F19D417" w14:textId="77777777" w:rsidR="009160D3" w:rsidRDefault="00A57E13" w:rsidP="00D94AAB">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0CEA45EF" w14:textId="77777777" w:rsidR="00F36A5D" w:rsidRDefault="00F36A5D" w:rsidP="00425261">
            <w:pPr>
              <w:spacing w:after="0" w:line="240" w:lineRule="auto"/>
              <w:ind w:left="492" w:right="229"/>
              <w:jc w:val="both"/>
              <w:rPr>
                <w:rFonts w:ascii="ITC Avant Garde" w:eastAsia="Times New Roman" w:hAnsi="ITC Avant Garde"/>
                <w:color w:val="000000"/>
                <w:sz w:val="14"/>
                <w:szCs w:val="16"/>
                <w:lang w:eastAsia="es-MX"/>
              </w:rPr>
            </w:pPr>
          </w:p>
          <w:p w14:paraId="1289918F" w14:textId="571ED7AB" w:rsidR="00EC144A" w:rsidRDefault="000E55B0" w:rsidP="004D55DC">
            <w:pPr>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 xml:space="preserve">El domicilio de la Unidad de Transparencia del </w:t>
            </w:r>
            <w:r w:rsidR="000E54B6" w:rsidRPr="00EC144A">
              <w:rPr>
                <w:rFonts w:ascii="ITC Avant Garde" w:eastAsia="Times New Roman" w:hAnsi="ITC Avant Garde"/>
                <w:b/>
                <w:color w:val="000000"/>
                <w:sz w:val="14"/>
                <w:szCs w:val="16"/>
                <w:lang w:eastAsia="es-MX"/>
              </w:rPr>
              <w:t>IFT</w:t>
            </w:r>
            <w:r w:rsidRPr="00EC144A">
              <w:rPr>
                <w:rFonts w:ascii="ITC Avant Garde" w:eastAsia="Times New Roman" w:hAnsi="ITC Avant Garde"/>
                <w:b/>
                <w:color w:val="000000"/>
                <w:sz w:val="14"/>
                <w:szCs w:val="16"/>
                <w:lang w:eastAsia="es-MX"/>
              </w:rPr>
              <w:t>:</w:t>
            </w:r>
            <w:r w:rsidRPr="00EC144A">
              <w:rPr>
                <w:rFonts w:ascii="ITC Avant Garde" w:eastAsia="Times New Roman" w:hAnsi="ITC Avant Garde"/>
                <w:color w:val="000000"/>
                <w:sz w:val="14"/>
                <w:szCs w:val="16"/>
                <w:lang w:eastAsia="es-MX"/>
              </w:rPr>
              <w:t xml:space="preserve"> Insurgentes Sur 1143, </w:t>
            </w:r>
            <w:r w:rsidR="00277829">
              <w:rPr>
                <w:rFonts w:ascii="ITC Avant Garde" w:eastAsia="Times New Roman" w:hAnsi="ITC Avant Garde"/>
                <w:color w:val="000000"/>
                <w:sz w:val="14"/>
                <w:szCs w:val="16"/>
                <w:lang w:eastAsia="es-MX"/>
              </w:rPr>
              <w:t>colonia</w:t>
            </w:r>
            <w:r w:rsidRPr="00EC144A">
              <w:rPr>
                <w:rFonts w:ascii="ITC Avant Garde" w:eastAsia="Times New Roman" w:hAnsi="ITC Avant Garde"/>
                <w:color w:val="000000"/>
                <w:sz w:val="14"/>
                <w:szCs w:val="16"/>
                <w:lang w:eastAsia="es-MX"/>
              </w:rPr>
              <w:t xml:space="preserve"> Nochebuena, </w:t>
            </w:r>
            <w:r w:rsidR="001208F6">
              <w:rPr>
                <w:rFonts w:ascii="ITC Avant Garde" w:eastAsia="Times New Roman" w:hAnsi="ITC Avant Garde"/>
                <w:color w:val="000000"/>
                <w:sz w:val="14"/>
                <w:szCs w:val="16"/>
                <w:lang w:eastAsia="es-MX"/>
              </w:rPr>
              <w:t>Alcaldía</w:t>
            </w:r>
            <w:r w:rsidRPr="00EC144A">
              <w:rPr>
                <w:rFonts w:ascii="ITC Avant Garde" w:eastAsia="Times New Roman" w:hAnsi="ITC Avant Garde"/>
                <w:color w:val="000000"/>
                <w:sz w:val="14"/>
                <w:szCs w:val="16"/>
                <w:lang w:eastAsia="es-MX"/>
              </w:rPr>
              <w:t xml:space="preserve"> Benito Juárez, C.</w:t>
            </w:r>
            <w:r w:rsidR="00903C94"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P. 03720, Ciudad de México, México.</w:t>
            </w:r>
            <w:r w:rsidR="00EC144A" w:rsidRPr="00EC144A">
              <w:rPr>
                <w:rFonts w:ascii="ITC Avant Garde" w:eastAsia="Times New Roman" w:hAnsi="ITC Avant Garde"/>
                <w:color w:val="000000"/>
                <w:sz w:val="14"/>
                <w:szCs w:val="16"/>
                <w:lang w:eastAsia="es-MX"/>
              </w:rPr>
              <w:t xml:space="preserve"> Planta Baja, </w:t>
            </w:r>
            <w:r w:rsidR="00C474AE">
              <w:rPr>
                <w:rFonts w:ascii="ITC Avant Garde" w:eastAsia="Times New Roman" w:hAnsi="ITC Avant Garde"/>
                <w:color w:val="000000"/>
                <w:sz w:val="14"/>
                <w:szCs w:val="16"/>
                <w:lang w:eastAsia="es-MX"/>
              </w:rPr>
              <w:t>teléfono 50154000, extensión 4267.</w:t>
            </w:r>
          </w:p>
          <w:p w14:paraId="42A1C31C" w14:textId="77777777" w:rsidR="00F36A5D" w:rsidRPr="00EC144A" w:rsidRDefault="00F36A5D" w:rsidP="0085081B">
            <w:pPr>
              <w:spacing w:after="0" w:line="240" w:lineRule="auto"/>
              <w:ind w:right="229"/>
              <w:jc w:val="both"/>
              <w:rPr>
                <w:rFonts w:ascii="ITC Avant Garde" w:eastAsia="Times New Roman" w:hAnsi="ITC Avant Garde"/>
                <w:color w:val="000000"/>
                <w:sz w:val="14"/>
                <w:szCs w:val="16"/>
                <w:lang w:eastAsia="es-MX"/>
              </w:rPr>
            </w:pPr>
          </w:p>
          <w:p w14:paraId="73BCA7F7" w14:textId="08A327BF" w:rsidR="00074296" w:rsidRPr="00F36A5D" w:rsidRDefault="000E55B0" w:rsidP="00917436">
            <w:pPr>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xml:space="preserve">: Todo cambio al </w:t>
            </w:r>
            <w:r w:rsidR="006B0B12" w:rsidRPr="00F36A5D">
              <w:rPr>
                <w:rFonts w:ascii="ITC Avant Garde" w:eastAsia="Times New Roman" w:hAnsi="ITC Avant Garde"/>
                <w:color w:val="000000"/>
                <w:sz w:val="14"/>
                <w:szCs w:val="16"/>
                <w:lang w:eastAsia="es-MX"/>
              </w:rPr>
              <w:t>A</w:t>
            </w:r>
            <w:r w:rsidRPr="00F36A5D">
              <w:rPr>
                <w:rFonts w:ascii="ITC Avant Garde" w:eastAsia="Times New Roman" w:hAnsi="ITC Avant Garde"/>
                <w:color w:val="000000"/>
                <w:sz w:val="14"/>
                <w:szCs w:val="16"/>
                <w:lang w:eastAsia="es-MX"/>
              </w:rPr>
              <w:t xml:space="preserve">viso de </w:t>
            </w:r>
            <w:r w:rsidR="006B0B12" w:rsidRPr="00F36A5D">
              <w:rPr>
                <w:rFonts w:ascii="ITC Avant Garde" w:eastAsia="Times New Roman" w:hAnsi="ITC Avant Garde"/>
                <w:color w:val="000000"/>
                <w:sz w:val="14"/>
                <w:szCs w:val="16"/>
                <w:lang w:eastAsia="es-MX"/>
              </w:rPr>
              <w:t>P</w:t>
            </w:r>
            <w:r w:rsidRPr="00F36A5D">
              <w:rPr>
                <w:rFonts w:ascii="ITC Avant Garde" w:eastAsia="Times New Roman" w:hAnsi="ITC Avant Garde"/>
                <w:color w:val="000000"/>
                <w:sz w:val="14"/>
                <w:szCs w:val="16"/>
                <w:lang w:eastAsia="es-MX"/>
              </w:rPr>
              <w:t>rivacidad será comunicado a los titulares de datos personales en el apartado de consultas públicas del portal de internet del IFT.</w:t>
            </w:r>
          </w:p>
        </w:tc>
      </w:tr>
    </w:tbl>
    <w:p w14:paraId="1BC68C51" w14:textId="77777777" w:rsidR="005F3F0A" w:rsidRPr="00F36A5D" w:rsidRDefault="005F3F0A" w:rsidP="00DF5B3F">
      <w:pPr>
        <w:spacing w:after="0"/>
        <w:rPr>
          <w:rFonts w:ascii="ITC Avant Garde" w:hAnsi="ITC Avant Garde"/>
          <w:vanish/>
        </w:rPr>
      </w:pPr>
    </w:p>
    <w:p w14:paraId="2B01C3FD" w14:textId="77777777" w:rsidR="004729CC" w:rsidRDefault="004729CC" w:rsidP="00C41536">
      <w:pPr>
        <w:spacing w:after="0"/>
        <w:jc w:val="both"/>
        <w:rPr>
          <w:rFonts w:ascii="ITC Avant Garde" w:hAnsi="ITC Avant Garde"/>
          <w:sz w:val="12"/>
        </w:rPr>
      </w:pPr>
    </w:p>
    <w:tbl>
      <w:tblPr>
        <w:tblpPr w:leftFromText="141" w:rightFromText="141" w:vertAnchor="text" w:horzAnchor="margin" w:tblpY="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7"/>
        <w:gridCol w:w="7174"/>
      </w:tblGrid>
      <w:tr w:rsidR="005F3F0A" w:rsidRPr="00F36A5D" w14:paraId="0F4DDE52" w14:textId="77777777" w:rsidTr="005F3F0A">
        <w:trPr>
          <w:trHeight w:val="581"/>
        </w:trPr>
        <w:tc>
          <w:tcPr>
            <w:tcW w:w="5000" w:type="pct"/>
            <w:gridSpan w:val="2"/>
            <w:shd w:val="clear" w:color="auto" w:fill="D9D9D9"/>
            <w:vAlign w:val="center"/>
            <w:hideMark/>
          </w:tcPr>
          <w:p w14:paraId="7DC87C1A" w14:textId="77777777" w:rsidR="005F3F0A" w:rsidRPr="00F36A5D" w:rsidRDefault="005F3F0A" w:rsidP="00D42FCD">
            <w:pPr>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 xml:space="preserve">Comentarios, opiniones </w:t>
            </w:r>
            <w:r w:rsidRPr="00F36A5D">
              <w:rPr>
                <w:rFonts w:ascii="ITC Avant Garde" w:eastAsia="Times New Roman" w:hAnsi="ITC Avant Garde"/>
                <w:b/>
                <w:bCs/>
                <w:lang w:eastAsia="es-MX"/>
              </w:rPr>
              <w:t>y aportaciones específicos del participante sobre el asunto en consulta pública</w:t>
            </w:r>
          </w:p>
        </w:tc>
      </w:tr>
      <w:tr w:rsidR="005F3F0A" w:rsidRPr="00F36A5D" w14:paraId="16AC396C" w14:textId="77777777" w:rsidTr="005F3F0A">
        <w:trPr>
          <w:trHeight w:val="399"/>
        </w:trPr>
        <w:tc>
          <w:tcPr>
            <w:tcW w:w="979" w:type="pct"/>
            <w:shd w:val="clear" w:color="auto" w:fill="C5E0B3"/>
            <w:vAlign w:val="center"/>
            <w:hideMark/>
          </w:tcPr>
          <w:p w14:paraId="3956A06B" w14:textId="3D3AF30E" w:rsidR="005F3F0A" w:rsidRPr="00975C25" w:rsidRDefault="00A402BB" w:rsidP="00FA5549">
            <w:pPr>
              <w:spacing w:after="0" w:line="240" w:lineRule="auto"/>
              <w:jc w:val="center"/>
              <w:rPr>
                <w:rFonts w:ascii="ITC Avant Garde" w:eastAsia="Times New Roman" w:hAnsi="ITC Avant Garde"/>
                <w:color w:val="000000"/>
                <w:sz w:val="18"/>
                <w:lang w:eastAsia="es-MX"/>
              </w:rPr>
            </w:pPr>
            <w:r>
              <w:rPr>
                <w:rFonts w:ascii="Century Gothic" w:eastAsia="Times New Roman" w:hAnsi="Century Gothic"/>
                <w:color w:val="000000"/>
                <w:sz w:val="20"/>
                <w:lang w:eastAsia="es-MX"/>
              </w:rPr>
              <w:t xml:space="preserve">Sección del </w:t>
            </w:r>
            <w:r w:rsidR="005F3F0A" w:rsidRPr="00026E5A">
              <w:rPr>
                <w:rFonts w:ascii="Century Gothic" w:eastAsia="Times New Roman" w:hAnsi="Century Gothic"/>
                <w:color w:val="000000"/>
                <w:sz w:val="20"/>
                <w:lang w:eastAsia="es-MX"/>
              </w:rPr>
              <w:t xml:space="preserve">Proyecto de Bases </w:t>
            </w:r>
            <w:r w:rsidR="005F3F0A">
              <w:rPr>
                <w:rFonts w:ascii="Century Gothic" w:eastAsia="Times New Roman" w:hAnsi="Century Gothic"/>
                <w:color w:val="000000"/>
                <w:sz w:val="20"/>
                <w:lang w:eastAsia="es-MX"/>
              </w:rPr>
              <w:t xml:space="preserve">de Licitación, </w:t>
            </w:r>
            <w:r w:rsidR="005F3F0A" w:rsidRPr="00026E5A">
              <w:rPr>
                <w:rFonts w:ascii="Century Gothic" w:eastAsia="Times New Roman" w:hAnsi="Century Gothic"/>
                <w:color w:val="000000"/>
                <w:sz w:val="20"/>
                <w:lang w:eastAsia="es-MX"/>
              </w:rPr>
              <w:t>Apéndices</w:t>
            </w:r>
            <w:r w:rsidR="005F3F0A">
              <w:rPr>
                <w:rFonts w:ascii="Century Gothic" w:eastAsia="Times New Roman" w:hAnsi="Century Gothic"/>
                <w:color w:val="000000"/>
                <w:sz w:val="20"/>
                <w:lang w:eastAsia="es-MX"/>
              </w:rPr>
              <w:t xml:space="preserve"> y</w:t>
            </w:r>
            <w:r>
              <w:rPr>
                <w:rFonts w:ascii="Century Gothic" w:eastAsia="Times New Roman" w:hAnsi="Century Gothic"/>
                <w:color w:val="000000"/>
                <w:sz w:val="20"/>
                <w:lang w:eastAsia="es-MX"/>
              </w:rPr>
              <w:t>/o</w:t>
            </w:r>
            <w:r w:rsidR="005F3F0A">
              <w:rPr>
                <w:rFonts w:ascii="Century Gothic" w:eastAsia="Times New Roman" w:hAnsi="Century Gothic"/>
                <w:color w:val="000000"/>
                <w:sz w:val="20"/>
                <w:lang w:eastAsia="es-MX"/>
              </w:rPr>
              <w:t xml:space="preserve"> Anexos</w:t>
            </w:r>
            <w:r w:rsidR="005F3F0A" w:rsidRPr="00026E5A">
              <w:rPr>
                <w:rFonts w:ascii="Century Gothic" w:eastAsia="Times New Roman" w:hAnsi="Century Gothic"/>
                <w:color w:val="000000"/>
                <w:sz w:val="20"/>
                <w:lang w:eastAsia="es-MX"/>
              </w:rPr>
              <w:t xml:space="preserve"> sujetos a este proceso consultivo</w:t>
            </w:r>
          </w:p>
        </w:tc>
        <w:tc>
          <w:tcPr>
            <w:tcW w:w="4021" w:type="pct"/>
            <w:shd w:val="clear" w:color="auto" w:fill="C5E0B3"/>
            <w:vAlign w:val="center"/>
            <w:hideMark/>
          </w:tcPr>
          <w:p w14:paraId="4B54FE4A" w14:textId="77777777" w:rsidR="005F3F0A" w:rsidRPr="00975C25" w:rsidRDefault="005F3F0A" w:rsidP="005F3F0A">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 opiniones o aportaciones</w:t>
            </w:r>
          </w:p>
        </w:tc>
      </w:tr>
      <w:tr w:rsidR="005F3F0A" w:rsidRPr="00F36A5D" w14:paraId="0F811C84" w14:textId="77777777" w:rsidTr="005F3F0A">
        <w:trPr>
          <w:trHeight w:val="290"/>
        </w:trPr>
        <w:tc>
          <w:tcPr>
            <w:tcW w:w="979" w:type="pct"/>
            <w:shd w:val="clear" w:color="auto" w:fill="auto"/>
            <w:vAlign w:val="center"/>
          </w:tcPr>
          <w:p w14:paraId="6823A439" w14:textId="77777777" w:rsidR="005F3F0A" w:rsidRPr="00F36A5D" w:rsidRDefault="005F3F0A" w:rsidP="005F3F0A">
            <w:pPr>
              <w:spacing w:after="0" w:line="240" w:lineRule="auto"/>
              <w:jc w:val="center"/>
              <w:rPr>
                <w:rFonts w:ascii="ITC Avant Garde" w:eastAsia="Times New Roman" w:hAnsi="ITC Avant Garde"/>
                <w:color w:val="000000"/>
                <w:lang w:eastAsia="es-MX"/>
              </w:rPr>
            </w:pPr>
          </w:p>
        </w:tc>
        <w:tc>
          <w:tcPr>
            <w:tcW w:w="4021" w:type="pct"/>
            <w:shd w:val="clear" w:color="auto" w:fill="auto"/>
            <w:vAlign w:val="center"/>
          </w:tcPr>
          <w:p w14:paraId="3A5FFD31" w14:textId="77777777" w:rsidR="005F3F0A" w:rsidRPr="00F36A5D" w:rsidRDefault="005F3F0A" w:rsidP="005F3F0A">
            <w:pPr>
              <w:spacing w:after="0" w:line="240" w:lineRule="auto"/>
              <w:rPr>
                <w:rFonts w:ascii="ITC Avant Garde" w:eastAsia="Times New Roman" w:hAnsi="ITC Avant Garde"/>
                <w:color w:val="000000"/>
                <w:lang w:eastAsia="es-MX"/>
              </w:rPr>
            </w:pPr>
          </w:p>
        </w:tc>
      </w:tr>
      <w:tr w:rsidR="005F3F0A" w:rsidRPr="00F36A5D" w14:paraId="7822B5DF" w14:textId="77777777" w:rsidTr="005F3F0A">
        <w:trPr>
          <w:trHeight w:val="290"/>
        </w:trPr>
        <w:tc>
          <w:tcPr>
            <w:tcW w:w="979" w:type="pct"/>
            <w:shd w:val="clear" w:color="auto" w:fill="auto"/>
            <w:vAlign w:val="center"/>
          </w:tcPr>
          <w:p w14:paraId="672FB404" w14:textId="77777777" w:rsidR="005F3F0A" w:rsidRPr="00F36A5D" w:rsidRDefault="005F3F0A" w:rsidP="005F3F0A">
            <w:pPr>
              <w:spacing w:after="0" w:line="240" w:lineRule="auto"/>
              <w:jc w:val="center"/>
              <w:rPr>
                <w:rFonts w:ascii="ITC Avant Garde" w:eastAsia="Times New Roman" w:hAnsi="ITC Avant Garde"/>
                <w:color w:val="000000"/>
                <w:lang w:eastAsia="es-MX"/>
              </w:rPr>
            </w:pPr>
          </w:p>
        </w:tc>
        <w:tc>
          <w:tcPr>
            <w:tcW w:w="4021" w:type="pct"/>
            <w:shd w:val="clear" w:color="auto" w:fill="auto"/>
            <w:vAlign w:val="center"/>
          </w:tcPr>
          <w:p w14:paraId="2C19E2E8" w14:textId="77777777" w:rsidR="005F3F0A" w:rsidRPr="00F36A5D" w:rsidRDefault="005F3F0A" w:rsidP="005F3F0A">
            <w:pPr>
              <w:spacing w:after="0" w:line="240" w:lineRule="auto"/>
              <w:rPr>
                <w:rFonts w:ascii="ITC Avant Garde" w:eastAsia="Times New Roman" w:hAnsi="ITC Avant Garde"/>
                <w:color w:val="000000"/>
                <w:lang w:eastAsia="es-MX"/>
              </w:rPr>
            </w:pPr>
          </w:p>
        </w:tc>
      </w:tr>
      <w:tr w:rsidR="005F3F0A" w:rsidRPr="00F36A5D" w14:paraId="214EA620" w14:textId="77777777" w:rsidTr="005F3F0A">
        <w:trPr>
          <w:trHeight w:val="290"/>
        </w:trPr>
        <w:tc>
          <w:tcPr>
            <w:tcW w:w="979" w:type="pct"/>
            <w:shd w:val="clear" w:color="auto" w:fill="auto"/>
            <w:vAlign w:val="center"/>
          </w:tcPr>
          <w:p w14:paraId="66A812D0" w14:textId="77777777" w:rsidR="005F3F0A" w:rsidRPr="00F36A5D" w:rsidRDefault="005F3F0A" w:rsidP="005F3F0A">
            <w:pPr>
              <w:spacing w:after="0" w:line="240" w:lineRule="auto"/>
              <w:jc w:val="center"/>
              <w:rPr>
                <w:rFonts w:ascii="ITC Avant Garde" w:eastAsia="Times New Roman" w:hAnsi="ITC Avant Garde"/>
                <w:color w:val="000000"/>
                <w:lang w:eastAsia="es-MX"/>
              </w:rPr>
            </w:pPr>
          </w:p>
        </w:tc>
        <w:tc>
          <w:tcPr>
            <w:tcW w:w="4021" w:type="pct"/>
            <w:shd w:val="clear" w:color="auto" w:fill="auto"/>
            <w:vAlign w:val="center"/>
          </w:tcPr>
          <w:p w14:paraId="58E6977E" w14:textId="77777777" w:rsidR="005F3F0A" w:rsidRPr="00F36A5D" w:rsidRDefault="005F3F0A" w:rsidP="005F3F0A">
            <w:pPr>
              <w:spacing w:after="0" w:line="240" w:lineRule="auto"/>
              <w:rPr>
                <w:rFonts w:ascii="ITC Avant Garde" w:eastAsia="Times New Roman" w:hAnsi="ITC Avant Garde"/>
                <w:color w:val="000000"/>
                <w:lang w:eastAsia="es-MX"/>
              </w:rPr>
            </w:pPr>
          </w:p>
        </w:tc>
      </w:tr>
      <w:tr w:rsidR="005F3F0A" w:rsidRPr="00F36A5D" w14:paraId="0C7CAEA5" w14:textId="77777777" w:rsidTr="005F3F0A">
        <w:trPr>
          <w:trHeight w:val="290"/>
        </w:trPr>
        <w:tc>
          <w:tcPr>
            <w:tcW w:w="979" w:type="pct"/>
            <w:shd w:val="clear" w:color="auto" w:fill="auto"/>
            <w:vAlign w:val="center"/>
          </w:tcPr>
          <w:p w14:paraId="6147DBEF" w14:textId="77777777" w:rsidR="005F3F0A" w:rsidRPr="00F36A5D" w:rsidRDefault="005F3F0A" w:rsidP="005F3F0A">
            <w:pPr>
              <w:spacing w:after="0" w:line="240" w:lineRule="auto"/>
              <w:jc w:val="center"/>
              <w:rPr>
                <w:rFonts w:ascii="ITC Avant Garde" w:eastAsia="Times New Roman" w:hAnsi="ITC Avant Garde"/>
                <w:color w:val="000000"/>
                <w:lang w:eastAsia="es-MX"/>
              </w:rPr>
            </w:pPr>
          </w:p>
        </w:tc>
        <w:tc>
          <w:tcPr>
            <w:tcW w:w="4021" w:type="pct"/>
            <w:shd w:val="clear" w:color="auto" w:fill="auto"/>
            <w:vAlign w:val="center"/>
          </w:tcPr>
          <w:p w14:paraId="1CCD5683" w14:textId="77777777" w:rsidR="005F3F0A" w:rsidRPr="00F36A5D" w:rsidRDefault="005F3F0A" w:rsidP="005F3F0A">
            <w:pPr>
              <w:spacing w:after="0" w:line="240" w:lineRule="auto"/>
              <w:rPr>
                <w:rFonts w:ascii="ITC Avant Garde" w:eastAsia="Times New Roman" w:hAnsi="ITC Avant Garde"/>
                <w:color w:val="000000"/>
                <w:lang w:eastAsia="es-MX"/>
              </w:rPr>
            </w:pPr>
          </w:p>
        </w:tc>
      </w:tr>
      <w:tr w:rsidR="005F3F0A" w:rsidRPr="00F36A5D" w14:paraId="2837AD8D" w14:textId="77777777" w:rsidTr="005F3F0A">
        <w:trPr>
          <w:trHeight w:val="290"/>
        </w:trPr>
        <w:tc>
          <w:tcPr>
            <w:tcW w:w="979" w:type="pct"/>
            <w:shd w:val="clear" w:color="auto" w:fill="auto"/>
            <w:vAlign w:val="center"/>
          </w:tcPr>
          <w:p w14:paraId="26449542" w14:textId="77777777" w:rsidR="005F3F0A" w:rsidRPr="00F36A5D" w:rsidRDefault="005F3F0A" w:rsidP="005F3F0A">
            <w:pPr>
              <w:spacing w:after="0" w:line="240" w:lineRule="auto"/>
              <w:jc w:val="center"/>
              <w:rPr>
                <w:rFonts w:ascii="ITC Avant Garde" w:eastAsia="Times New Roman" w:hAnsi="ITC Avant Garde"/>
                <w:color w:val="000000"/>
                <w:lang w:eastAsia="es-MX"/>
              </w:rPr>
            </w:pPr>
          </w:p>
        </w:tc>
        <w:tc>
          <w:tcPr>
            <w:tcW w:w="4021" w:type="pct"/>
            <w:shd w:val="clear" w:color="auto" w:fill="auto"/>
            <w:vAlign w:val="center"/>
          </w:tcPr>
          <w:p w14:paraId="301EC9FD" w14:textId="77777777" w:rsidR="005F3F0A" w:rsidRPr="00F36A5D" w:rsidRDefault="005F3F0A" w:rsidP="005F3F0A">
            <w:pPr>
              <w:spacing w:after="0" w:line="240" w:lineRule="auto"/>
              <w:rPr>
                <w:rFonts w:ascii="ITC Avant Garde" w:eastAsia="Times New Roman" w:hAnsi="ITC Avant Garde"/>
                <w:color w:val="000000"/>
                <w:lang w:eastAsia="es-MX"/>
              </w:rPr>
            </w:pPr>
          </w:p>
        </w:tc>
      </w:tr>
      <w:tr w:rsidR="005F3F0A" w:rsidRPr="00F36A5D" w14:paraId="7D246DE4" w14:textId="77777777" w:rsidTr="005F3F0A">
        <w:trPr>
          <w:trHeight w:val="290"/>
        </w:trPr>
        <w:tc>
          <w:tcPr>
            <w:tcW w:w="979" w:type="pct"/>
            <w:shd w:val="clear" w:color="auto" w:fill="auto"/>
            <w:vAlign w:val="center"/>
          </w:tcPr>
          <w:p w14:paraId="7B09CE5D" w14:textId="77777777" w:rsidR="005F3F0A" w:rsidRPr="00F36A5D" w:rsidRDefault="005F3F0A" w:rsidP="005F3F0A">
            <w:pPr>
              <w:spacing w:after="0" w:line="240" w:lineRule="auto"/>
              <w:jc w:val="center"/>
              <w:rPr>
                <w:rFonts w:ascii="ITC Avant Garde" w:eastAsia="Times New Roman" w:hAnsi="ITC Avant Garde"/>
                <w:color w:val="000000"/>
                <w:lang w:eastAsia="es-MX"/>
              </w:rPr>
            </w:pPr>
          </w:p>
        </w:tc>
        <w:tc>
          <w:tcPr>
            <w:tcW w:w="4021" w:type="pct"/>
            <w:shd w:val="clear" w:color="auto" w:fill="auto"/>
            <w:vAlign w:val="center"/>
          </w:tcPr>
          <w:p w14:paraId="423EC550" w14:textId="77777777" w:rsidR="005F3F0A" w:rsidRPr="00F36A5D" w:rsidRDefault="005F3F0A" w:rsidP="005F3F0A">
            <w:pPr>
              <w:spacing w:after="0" w:line="240" w:lineRule="auto"/>
              <w:rPr>
                <w:rFonts w:ascii="ITC Avant Garde" w:eastAsia="Times New Roman" w:hAnsi="ITC Avant Garde"/>
                <w:color w:val="000000"/>
                <w:lang w:eastAsia="es-MX"/>
              </w:rPr>
            </w:pPr>
          </w:p>
        </w:tc>
      </w:tr>
      <w:tr w:rsidR="005F3F0A" w:rsidRPr="00F36A5D" w14:paraId="38538B26" w14:textId="77777777" w:rsidTr="005F3F0A">
        <w:trPr>
          <w:trHeight w:val="290"/>
        </w:trPr>
        <w:tc>
          <w:tcPr>
            <w:tcW w:w="979" w:type="pct"/>
            <w:shd w:val="clear" w:color="auto" w:fill="auto"/>
            <w:vAlign w:val="center"/>
          </w:tcPr>
          <w:p w14:paraId="7998D03E" w14:textId="77777777" w:rsidR="005F3F0A" w:rsidRPr="00F36A5D" w:rsidRDefault="005F3F0A" w:rsidP="005F3F0A">
            <w:pPr>
              <w:spacing w:after="0" w:line="240" w:lineRule="auto"/>
              <w:jc w:val="center"/>
              <w:rPr>
                <w:rFonts w:ascii="ITC Avant Garde" w:eastAsia="Times New Roman" w:hAnsi="ITC Avant Garde"/>
                <w:color w:val="000000"/>
                <w:lang w:eastAsia="es-MX"/>
              </w:rPr>
            </w:pPr>
          </w:p>
        </w:tc>
        <w:tc>
          <w:tcPr>
            <w:tcW w:w="4021" w:type="pct"/>
            <w:shd w:val="clear" w:color="auto" w:fill="auto"/>
            <w:vAlign w:val="center"/>
          </w:tcPr>
          <w:p w14:paraId="7679C3A5" w14:textId="77777777" w:rsidR="005F3F0A" w:rsidRPr="00F36A5D" w:rsidRDefault="005F3F0A" w:rsidP="005F3F0A">
            <w:pPr>
              <w:spacing w:after="0" w:line="240" w:lineRule="auto"/>
              <w:rPr>
                <w:rFonts w:ascii="ITC Avant Garde" w:eastAsia="Times New Roman" w:hAnsi="ITC Avant Garde"/>
                <w:color w:val="000000"/>
                <w:lang w:eastAsia="es-MX"/>
              </w:rPr>
            </w:pPr>
          </w:p>
        </w:tc>
      </w:tr>
      <w:tr w:rsidR="005F3F0A" w:rsidRPr="00F36A5D" w14:paraId="7D205323" w14:textId="77777777" w:rsidTr="005F3F0A">
        <w:trPr>
          <w:trHeight w:val="290"/>
        </w:trPr>
        <w:tc>
          <w:tcPr>
            <w:tcW w:w="979" w:type="pct"/>
            <w:shd w:val="clear" w:color="auto" w:fill="auto"/>
            <w:vAlign w:val="center"/>
          </w:tcPr>
          <w:p w14:paraId="780E1488" w14:textId="77777777" w:rsidR="005F3F0A" w:rsidRPr="00F36A5D" w:rsidRDefault="005F3F0A" w:rsidP="005F3F0A">
            <w:pPr>
              <w:spacing w:after="0" w:line="240" w:lineRule="auto"/>
              <w:jc w:val="center"/>
              <w:rPr>
                <w:rFonts w:ascii="ITC Avant Garde" w:eastAsia="Times New Roman" w:hAnsi="ITC Avant Garde"/>
                <w:color w:val="000000"/>
                <w:lang w:eastAsia="es-MX"/>
              </w:rPr>
            </w:pPr>
          </w:p>
        </w:tc>
        <w:tc>
          <w:tcPr>
            <w:tcW w:w="4021" w:type="pct"/>
            <w:shd w:val="clear" w:color="auto" w:fill="auto"/>
            <w:vAlign w:val="center"/>
          </w:tcPr>
          <w:p w14:paraId="4F369C8B" w14:textId="77777777" w:rsidR="005F3F0A" w:rsidRPr="00F36A5D" w:rsidRDefault="005F3F0A" w:rsidP="005F3F0A">
            <w:pPr>
              <w:spacing w:after="0" w:line="240" w:lineRule="auto"/>
              <w:rPr>
                <w:rFonts w:ascii="ITC Avant Garde" w:eastAsia="Times New Roman" w:hAnsi="ITC Avant Garde"/>
                <w:color w:val="000000"/>
                <w:lang w:eastAsia="es-MX"/>
              </w:rPr>
            </w:pPr>
          </w:p>
        </w:tc>
      </w:tr>
      <w:tr w:rsidR="005F3F0A" w:rsidRPr="00F36A5D" w14:paraId="30AF430B" w14:textId="77777777" w:rsidTr="005F3F0A">
        <w:trPr>
          <w:trHeight w:val="224"/>
        </w:trPr>
        <w:tc>
          <w:tcPr>
            <w:tcW w:w="5000" w:type="pct"/>
            <w:gridSpan w:val="2"/>
            <w:shd w:val="clear" w:color="auto" w:fill="C5E0B3"/>
            <w:vAlign w:val="center"/>
          </w:tcPr>
          <w:p w14:paraId="5C227354" w14:textId="77777777" w:rsidR="005F3F0A" w:rsidRPr="00F36A5D" w:rsidRDefault="005F3F0A" w:rsidP="005F3F0A">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3212B945" w14:textId="77777777" w:rsidR="005F3F0A" w:rsidRDefault="005F3F0A" w:rsidP="00170916">
      <w:pPr>
        <w:spacing w:after="0"/>
        <w:jc w:val="both"/>
        <w:rPr>
          <w:rFonts w:ascii="ITC Avant Garde" w:hAnsi="ITC Avant Garde"/>
          <w:sz w:val="20"/>
        </w:rPr>
      </w:pPr>
    </w:p>
    <w:tbl>
      <w:tblPr>
        <w:tblpPr w:leftFromText="141" w:rightFromText="141" w:vertAnchor="text" w:horzAnchor="margin" w:tblpY="2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21"/>
      </w:tblGrid>
      <w:tr w:rsidR="004729CC" w:rsidRPr="0079329B" w14:paraId="09895A8F" w14:textId="77777777" w:rsidTr="004D2479">
        <w:trPr>
          <w:trHeight w:val="581"/>
        </w:trPr>
        <w:tc>
          <w:tcPr>
            <w:tcW w:w="5000" w:type="pct"/>
            <w:tcBorders>
              <w:bottom w:val="single" w:sz="4" w:space="0" w:color="auto"/>
            </w:tcBorders>
            <w:shd w:val="clear" w:color="auto" w:fill="D9D9D9"/>
            <w:vAlign w:val="center"/>
            <w:hideMark/>
          </w:tcPr>
          <w:p w14:paraId="135A4803" w14:textId="38D68BC1" w:rsidR="004729CC" w:rsidRPr="00CD4A12" w:rsidRDefault="004910FA" w:rsidP="00470294">
            <w:pPr>
              <w:pStyle w:val="Prrafodelista"/>
              <w:numPr>
                <w:ilvl w:val="0"/>
                <w:numId w:val="2"/>
              </w:numPr>
              <w:spacing w:after="0" w:line="240" w:lineRule="auto"/>
              <w:ind w:left="1626" w:right="1069"/>
              <w:contextualSpacing/>
              <w:jc w:val="center"/>
              <w:rPr>
                <w:rFonts w:ascii="ITC Avant Garde" w:eastAsia="Times New Roman" w:hAnsi="ITC Avant Garde"/>
                <w:b/>
                <w:bCs/>
                <w:color w:val="FFFFFF"/>
                <w:lang w:eastAsia="es-MX"/>
              </w:rPr>
            </w:pPr>
            <w:r w:rsidRPr="004910FA">
              <w:rPr>
                <w:rFonts w:ascii="ITC Avant Garde" w:eastAsia="Times New Roman" w:hAnsi="ITC Avant Garde"/>
                <w:b/>
                <w:bCs/>
                <w:color w:val="000000"/>
                <w:lang w:eastAsia="es-MX"/>
              </w:rPr>
              <w:t xml:space="preserve">El Instituto invita a cualquier persona o grupo interesado a comentar respecto </w:t>
            </w:r>
            <w:r>
              <w:rPr>
                <w:rFonts w:ascii="ITC Avant Garde" w:eastAsia="Times New Roman" w:hAnsi="ITC Avant Garde"/>
                <w:b/>
                <w:bCs/>
                <w:color w:val="000000"/>
                <w:lang w:eastAsia="es-MX"/>
              </w:rPr>
              <w:t xml:space="preserve">de los </w:t>
            </w:r>
            <w:r w:rsidR="00470294">
              <w:rPr>
                <w:rFonts w:ascii="ITC Avant Garde" w:eastAsia="Times New Roman" w:hAnsi="ITC Avant Garde"/>
                <w:b/>
                <w:bCs/>
                <w:color w:val="000000"/>
                <w:lang w:eastAsia="es-MX"/>
              </w:rPr>
              <w:t xml:space="preserve"> temas </w:t>
            </w:r>
            <w:r>
              <w:rPr>
                <w:rFonts w:ascii="ITC Avant Garde" w:eastAsia="Times New Roman" w:hAnsi="ITC Avant Garde"/>
                <w:b/>
                <w:bCs/>
                <w:color w:val="000000"/>
                <w:lang w:eastAsia="es-MX"/>
              </w:rPr>
              <w:t>siguientes:</w:t>
            </w:r>
          </w:p>
        </w:tc>
      </w:tr>
      <w:tr w:rsidR="004729CC" w:rsidRPr="005D0B9B" w14:paraId="68722CF3" w14:textId="77777777" w:rsidTr="004D55DC">
        <w:trPr>
          <w:trHeight w:val="1380"/>
        </w:trPr>
        <w:tc>
          <w:tcPr>
            <w:tcW w:w="5000" w:type="pct"/>
            <w:shd w:val="clear" w:color="auto" w:fill="C5E0B3"/>
            <w:vAlign w:val="center"/>
            <w:hideMark/>
          </w:tcPr>
          <w:p w14:paraId="7563CDA7" w14:textId="77777777" w:rsidR="004729CC" w:rsidRPr="005D0B9B" w:rsidRDefault="004729CC" w:rsidP="00D52016">
            <w:pPr>
              <w:spacing w:after="0" w:line="240" w:lineRule="auto"/>
              <w:ind w:left="709" w:hanging="283"/>
              <w:jc w:val="both"/>
              <w:rPr>
                <w:rFonts w:ascii="ITC Avant Garde" w:eastAsia="Times New Roman" w:hAnsi="ITC Avant Garde"/>
                <w:color w:val="000000"/>
                <w:sz w:val="18"/>
                <w:lang w:eastAsia="es-MX"/>
              </w:rPr>
            </w:pPr>
          </w:p>
          <w:p w14:paraId="10D5783B" w14:textId="64B01FAE" w:rsidR="004D55DC" w:rsidRPr="004D55DC" w:rsidRDefault="004910FA" w:rsidP="004D55DC">
            <w:pPr>
              <w:numPr>
                <w:ilvl w:val="0"/>
                <w:numId w:val="16"/>
              </w:numPr>
              <w:spacing w:line="240" w:lineRule="auto"/>
              <w:ind w:left="709" w:right="421" w:hanging="283"/>
              <w:jc w:val="both"/>
              <w:rPr>
                <w:rFonts w:ascii="ITC Avant Garde" w:hAnsi="ITC Avant Garde"/>
                <w:bCs/>
                <w:color w:val="000000"/>
                <w:sz w:val="18"/>
                <w:lang w:eastAsia="es-MX"/>
              </w:rPr>
            </w:pPr>
            <w:r>
              <w:rPr>
                <w:rFonts w:ascii="ITC Avant Garde" w:hAnsi="ITC Avant Garde"/>
                <w:bCs/>
                <w:color w:val="000000"/>
                <w:sz w:val="18"/>
                <w:lang w:eastAsia="es-MX"/>
              </w:rPr>
              <w:t>La p</w:t>
            </w:r>
            <w:r w:rsidR="007B61A7" w:rsidRPr="007B61A7">
              <w:rPr>
                <w:rFonts w:ascii="ITC Avant Garde" w:hAnsi="ITC Avant Garde"/>
                <w:bCs/>
                <w:color w:val="000000"/>
                <w:sz w:val="18"/>
                <w:lang w:eastAsia="es-MX"/>
              </w:rPr>
              <w:t>ropuesta de segmentación de las bandas de frecuencias 2000-2010/2190-2200 MHz y 2</w:t>
            </w:r>
            <w:r w:rsidR="007B61A7">
              <w:rPr>
                <w:rFonts w:ascii="ITC Avant Garde" w:hAnsi="ITC Avant Garde"/>
                <w:bCs/>
                <w:color w:val="000000"/>
                <w:sz w:val="18"/>
                <w:lang w:eastAsia="es-MX"/>
              </w:rPr>
              <w:t>010-2020/2180-2190 MHz, a saber d</w:t>
            </w:r>
            <w:r w:rsidR="007B61A7" w:rsidRPr="007B61A7">
              <w:rPr>
                <w:rFonts w:ascii="ITC Avant Garde" w:hAnsi="ITC Avant Garde"/>
                <w:bCs/>
                <w:color w:val="000000"/>
                <w:sz w:val="18"/>
                <w:lang w:eastAsia="es-MX"/>
              </w:rPr>
              <w:t>os (2) Bloques de 10 + 10 MHz, denominados S1 y S2 con cobertura nacional, conf</w:t>
            </w:r>
            <w:r w:rsidR="007B61A7">
              <w:rPr>
                <w:rFonts w:ascii="ITC Avant Garde" w:hAnsi="ITC Avant Garde"/>
                <w:bCs/>
                <w:color w:val="000000"/>
                <w:sz w:val="18"/>
                <w:lang w:eastAsia="es-MX"/>
              </w:rPr>
              <w:t>orme a la figura 1 y a la tabla 1 del numeral 3.1</w:t>
            </w:r>
            <w:r w:rsidR="007B61A7" w:rsidRPr="007B61A7">
              <w:rPr>
                <w:rFonts w:ascii="ITC Avant Garde" w:hAnsi="ITC Avant Garde"/>
                <w:bCs/>
                <w:color w:val="000000"/>
                <w:sz w:val="18"/>
                <w:lang w:eastAsia="es-MX"/>
              </w:rPr>
              <w:t xml:space="preserve"> del proyecto de Bases.</w:t>
            </w:r>
          </w:p>
        </w:tc>
      </w:tr>
      <w:tr w:rsidR="00F3483C" w:rsidRPr="005D0B9B" w14:paraId="7362294F" w14:textId="77777777" w:rsidTr="00B12B82">
        <w:trPr>
          <w:trHeight w:val="290"/>
        </w:trPr>
        <w:tc>
          <w:tcPr>
            <w:tcW w:w="5000" w:type="pct"/>
            <w:shd w:val="clear" w:color="auto" w:fill="auto"/>
            <w:vAlign w:val="center"/>
          </w:tcPr>
          <w:p w14:paraId="7F3344FC" w14:textId="77777777" w:rsidR="00F3483C" w:rsidRPr="005D0B9B" w:rsidRDefault="00F3483C" w:rsidP="00F3483C">
            <w:pPr>
              <w:spacing w:after="0" w:line="240" w:lineRule="auto"/>
              <w:rPr>
                <w:rFonts w:ascii="ITC Avant Garde" w:eastAsia="Times New Roman" w:hAnsi="ITC Avant Garde"/>
                <w:color w:val="000000"/>
                <w:sz w:val="18"/>
                <w:lang w:eastAsia="es-MX"/>
              </w:rPr>
            </w:pPr>
          </w:p>
          <w:p w14:paraId="6CEA6829" w14:textId="77777777" w:rsidR="00F3483C" w:rsidRPr="005D0B9B" w:rsidRDefault="00F3483C" w:rsidP="00D81ECC">
            <w:pPr>
              <w:spacing w:after="0" w:line="240" w:lineRule="auto"/>
              <w:ind w:left="709"/>
              <w:rPr>
                <w:rFonts w:ascii="ITC Avant Garde" w:eastAsia="Times New Roman" w:hAnsi="ITC Avant Garde"/>
                <w:color w:val="000000"/>
                <w:sz w:val="18"/>
                <w:lang w:eastAsia="es-MX"/>
              </w:rPr>
            </w:pPr>
            <w:r w:rsidRPr="005D0B9B">
              <w:rPr>
                <w:rFonts w:ascii="ITC Avant Garde" w:eastAsia="Times New Roman" w:hAnsi="ITC Avant Garde"/>
                <w:color w:val="000000"/>
                <w:sz w:val="18"/>
                <w:lang w:eastAsia="es-MX"/>
              </w:rPr>
              <w:t>Proporcione su comentario.</w:t>
            </w:r>
          </w:p>
          <w:p w14:paraId="77AAED65" w14:textId="77777777" w:rsidR="00F3483C" w:rsidRPr="005D0B9B" w:rsidRDefault="00F3483C" w:rsidP="00F3483C">
            <w:pPr>
              <w:spacing w:after="0" w:line="240" w:lineRule="auto"/>
              <w:rPr>
                <w:rFonts w:ascii="ITC Avant Garde" w:eastAsia="Times New Roman" w:hAnsi="ITC Avant Garde"/>
                <w:color w:val="000000"/>
                <w:sz w:val="18"/>
                <w:lang w:eastAsia="es-MX"/>
              </w:rPr>
            </w:pPr>
          </w:p>
        </w:tc>
      </w:tr>
      <w:tr w:rsidR="007B61A7" w:rsidRPr="005D0B9B" w14:paraId="46826E3D" w14:textId="77777777" w:rsidTr="00B12B82">
        <w:trPr>
          <w:trHeight w:val="678"/>
        </w:trPr>
        <w:tc>
          <w:tcPr>
            <w:tcW w:w="5000" w:type="pct"/>
            <w:shd w:val="clear" w:color="auto" w:fill="C5E0B3"/>
            <w:vAlign w:val="center"/>
          </w:tcPr>
          <w:p w14:paraId="17D7B204" w14:textId="77777777" w:rsidR="004D55DC" w:rsidRPr="004D55DC" w:rsidRDefault="004D55DC" w:rsidP="004D55DC">
            <w:pPr>
              <w:spacing w:line="240" w:lineRule="auto"/>
              <w:ind w:right="421"/>
              <w:jc w:val="both"/>
              <w:rPr>
                <w:rFonts w:ascii="ITC Avant Garde" w:eastAsia="Times New Roman" w:hAnsi="ITC Avant Garde"/>
                <w:color w:val="000000"/>
                <w:sz w:val="18"/>
                <w:lang w:eastAsia="es-MX"/>
              </w:rPr>
            </w:pPr>
          </w:p>
          <w:p w14:paraId="48D4EFBC" w14:textId="15E78B41" w:rsidR="007B61A7" w:rsidRDefault="004910FA" w:rsidP="00C96789">
            <w:pPr>
              <w:numPr>
                <w:ilvl w:val="0"/>
                <w:numId w:val="16"/>
              </w:numPr>
              <w:spacing w:line="240" w:lineRule="auto"/>
              <w:ind w:left="709" w:right="421" w:hanging="283"/>
              <w:jc w:val="both"/>
              <w:rPr>
                <w:rFonts w:ascii="ITC Avant Garde" w:eastAsia="Times New Roman" w:hAnsi="ITC Avant Garde"/>
                <w:color w:val="000000"/>
                <w:sz w:val="18"/>
                <w:lang w:eastAsia="es-MX"/>
              </w:rPr>
            </w:pPr>
            <w:r>
              <w:rPr>
                <w:rFonts w:ascii="ITC Avant Garde" w:hAnsi="ITC Avant Garde"/>
                <w:bCs/>
                <w:color w:val="000000"/>
                <w:sz w:val="18"/>
                <w:lang w:eastAsia="es-MX"/>
              </w:rPr>
              <w:t>La n</w:t>
            </w:r>
            <w:r w:rsidR="007B61A7" w:rsidRPr="007B61A7">
              <w:rPr>
                <w:rFonts w:ascii="ITC Avant Garde" w:eastAsia="Times New Roman" w:hAnsi="ITC Avant Garde"/>
                <w:color w:val="000000"/>
                <w:sz w:val="18"/>
                <w:lang w:eastAsia="es-MX"/>
              </w:rPr>
              <w:t>ecesidad de establecer bandas de guarda entre las bandas de frecuencias 2000-2010/2190-2200 MHz y 2010-2020/2180-2190 MHz, a fin de asegurar la operación libre de potenciales interferencias perjudiciales de canal adyacente.</w:t>
            </w:r>
          </w:p>
          <w:p w14:paraId="2BFDE68D" w14:textId="77777777" w:rsidR="004D55DC" w:rsidRPr="007B61A7" w:rsidRDefault="00D52016" w:rsidP="004D55DC">
            <w:pPr>
              <w:spacing w:line="240" w:lineRule="auto"/>
              <w:ind w:left="709" w:right="421"/>
              <w:jc w:val="both"/>
              <w:rPr>
                <w:rFonts w:ascii="ITC Avant Garde" w:eastAsia="Times New Roman" w:hAnsi="ITC Avant Garde"/>
                <w:color w:val="000000"/>
                <w:sz w:val="18"/>
                <w:lang w:eastAsia="es-MX"/>
              </w:rPr>
            </w:pPr>
            <w:r w:rsidRPr="007B61A7">
              <w:rPr>
                <w:rFonts w:ascii="ITC Avant Garde" w:eastAsia="Times New Roman" w:hAnsi="ITC Avant Garde"/>
                <w:color w:val="000000"/>
                <w:sz w:val="18"/>
                <w:lang w:eastAsia="es-MX"/>
              </w:rPr>
              <w:t>En caso de ser afirmativa la respuesta, el Instituto busca obtener información acerca de la cantidad de MHz que deberían tener las bandas de guarda propuestas y qué segmentos específicos de frecuencias las compondrían. Por favor agregue la información y referencias técnicas que sustenten su propuesta.</w:t>
            </w:r>
          </w:p>
        </w:tc>
      </w:tr>
      <w:tr w:rsidR="007B61A7" w:rsidRPr="005D0B9B" w14:paraId="1B1E76D0" w14:textId="77777777" w:rsidTr="007B61A7">
        <w:trPr>
          <w:trHeight w:val="678"/>
        </w:trPr>
        <w:tc>
          <w:tcPr>
            <w:tcW w:w="5000" w:type="pct"/>
            <w:shd w:val="clear" w:color="auto" w:fill="auto"/>
            <w:vAlign w:val="center"/>
          </w:tcPr>
          <w:p w14:paraId="14CBEAC9" w14:textId="77777777" w:rsidR="007B61A7" w:rsidRDefault="007B61A7" w:rsidP="007B61A7">
            <w:pPr>
              <w:spacing w:after="0" w:line="240" w:lineRule="auto"/>
              <w:rPr>
                <w:rFonts w:ascii="ITC Avant Garde" w:eastAsia="Times New Roman" w:hAnsi="ITC Avant Garde"/>
                <w:color w:val="000000"/>
                <w:sz w:val="18"/>
                <w:lang w:eastAsia="es-MX"/>
              </w:rPr>
            </w:pPr>
          </w:p>
          <w:p w14:paraId="6DFAE594" w14:textId="77777777" w:rsidR="007B61A7" w:rsidRPr="005D0B9B" w:rsidRDefault="007B61A7" w:rsidP="00D81ECC">
            <w:pPr>
              <w:spacing w:after="0" w:line="240" w:lineRule="auto"/>
              <w:ind w:left="709"/>
              <w:rPr>
                <w:rFonts w:ascii="ITC Avant Garde" w:eastAsia="Times New Roman" w:hAnsi="ITC Avant Garde"/>
                <w:color w:val="000000"/>
                <w:sz w:val="18"/>
                <w:lang w:eastAsia="es-MX"/>
              </w:rPr>
            </w:pPr>
            <w:r w:rsidRPr="005D0B9B">
              <w:rPr>
                <w:rFonts w:ascii="ITC Avant Garde" w:eastAsia="Times New Roman" w:hAnsi="ITC Avant Garde"/>
                <w:color w:val="000000"/>
                <w:sz w:val="18"/>
                <w:lang w:eastAsia="es-MX"/>
              </w:rPr>
              <w:t>Proporcione su comentario.</w:t>
            </w:r>
          </w:p>
          <w:p w14:paraId="4D464052" w14:textId="77777777" w:rsidR="007B61A7" w:rsidRPr="00C647B4" w:rsidRDefault="007B61A7" w:rsidP="007B61A7">
            <w:pPr>
              <w:spacing w:after="0" w:line="240" w:lineRule="auto"/>
              <w:ind w:left="1080"/>
              <w:jc w:val="both"/>
              <w:rPr>
                <w:rFonts w:ascii="ITC Avant Garde" w:eastAsia="Times New Roman" w:hAnsi="ITC Avant Garde"/>
                <w:color w:val="000000"/>
                <w:sz w:val="18"/>
                <w:lang w:eastAsia="es-MX"/>
              </w:rPr>
            </w:pPr>
          </w:p>
        </w:tc>
      </w:tr>
      <w:tr w:rsidR="00C647B4" w:rsidRPr="005D0B9B" w14:paraId="369FBEFF" w14:textId="77777777" w:rsidTr="004D55DC">
        <w:trPr>
          <w:trHeight w:val="2224"/>
        </w:trPr>
        <w:tc>
          <w:tcPr>
            <w:tcW w:w="5000" w:type="pct"/>
            <w:shd w:val="clear" w:color="auto" w:fill="C5E0B3"/>
            <w:vAlign w:val="center"/>
          </w:tcPr>
          <w:p w14:paraId="7AC0C80D" w14:textId="77777777" w:rsidR="004D55DC" w:rsidRDefault="004D55DC" w:rsidP="000571D4">
            <w:pPr>
              <w:spacing w:after="0" w:line="240" w:lineRule="auto"/>
              <w:ind w:right="421"/>
              <w:jc w:val="both"/>
              <w:rPr>
                <w:rFonts w:ascii="ITC Avant Garde" w:eastAsia="Times New Roman" w:hAnsi="ITC Avant Garde"/>
                <w:sz w:val="18"/>
                <w:lang w:eastAsia="es-MX"/>
              </w:rPr>
            </w:pPr>
          </w:p>
          <w:p w14:paraId="50C7874B" w14:textId="2968F9FA" w:rsidR="00D52016" w:rsidRPr="00D81ECC" w:rsidRDefault="00D73ADA" w:rsidP="00C96789">
            <w:pPr>
              <w:numPr>
                <w:ilvl w:val="0"/>
                <w:numId w:val="16"/>
              </w:numPr>
              <w:spacing w:after="0" w:line="240" w:lineRule="auto"/>
              <w:ind w:left="709" w:right="421" w:hanging="283"/>
              <w:jc w:val="both"/>
              <w:rPr>
                <w:rFonts w:ascii="ITC Avant Garde" w:eastAsia="Times New Roman" w:hAnsi="ITC Avant Garde"/>
                <w:sz w:val="18"/>
                <w:lang w:eastAsia="es-MX"/>
              </w:rPr>
            </w:pPr>
            <w:r>
              <w:rPr>
                <w:rFonts w:ascii="ITC Avant Garde" w:eastAsia="Times New Roman" w:hAnsi="ITC Avant Garde"/>
                <w:sz w:val="18"/>
                <w:lang w:eastAsia="es-MX"/>
              </w:rPr>
              <w:t>L</w:t>
            </w:r>
            <w:r w:rsidR="00C647B4" w:rsidRPr="00D81ECC">
              <w:rPr>
                <w:rFonts w:ascii="ITC Avant Garde" w:eastAsia="Times New Roman" w:hAnsi="ITC Avant Garde"/>
                <w:sz w:val="18"/>
                <w:lang w:eastAsia="es-MX"/>
              </w:rPr>
              <w:t xml:space="preserve">as </w:t>
            </w:r>
            <w:r w:rsidR="00D52016" w:rsidRPr="00D81ECC">
              <w:rPr>
                <w:rFonts w:ascii="ITC Avant Garde" w:eastAsia="Times New Roman" w:hAnsi="ITC Avant Garde"/>
                <w:sz w:val="18"/>
                <w:lang w:eastAsia="es-MX"/>
              </w:rPr>
              <w:t xml:space="preserve">condiciones de operación, plazos y términos establecidos </w:t>
            </w:r>
            <w:r w:rsidR="00C647B4" w:rsidRPr="00D81ECC">
              <w:rPr>
                <w:rFonts w:ascii="ITC Avant Garde" w:eastAsia="Times New Roman" w:hAnsi="ITC Avant Garde"/>
                <w:sz w:val="18"/>
                <w:lang w:eastAsia="es-MX"/>
              </w:rPr>
              <w:t>a las que deberán sujetarse los potenciales concesionarios que no cuenten con una Autorización de Aterrizaje de Se</w:t>
            </w:r>
            <w:r w:rsidR="00D81ECC">
              <w:rPr>
                <w:rFonts w:ascii="ITC Avant Garde" w:eastAsia="Times New Roman" w:hAnsi="ITC Avant Garde"/>
                <w:sz w:val="18"/>
                <w:lang w:eastAsia="es-MX"/>
              </w:rPr>
              <w:t xml:space="preserve">ñales de Satélites Extranjeros, contenidos en el </w:t>
            </w:r>
            <w:r w:rsidR="00D81ECC">
              <w:rPr>
                <w:rFonts w:ascii="ITC Avant Garde" w:hAnsi="ITC Avant Garde"/>
                <w:bCs/>
                <w:sz w:val="18"/>
                <w:lang w:eastAsia="es-MX"/>
              </w:rPr>
              <w:t>n</w:t>
            </w:r>
            <w:r w:rsidR="00C647B4" w:rsidRPr="00D81ECC">
              <w:rPr>
                <w:rFonts w:ascii="ITC Avant Garde" w:hAnsi="ITC Avant Garde"/>
                <w:bCs/>
                <w:sz w:val="18"/>
                <w:lang w:eastAsia="es-MX"/>
              </w:rPr>
              <w:t>umeral 4.1 de</w:t>
            </w:r>
            <w:r w:rsidR="00D81ECC">
              <w:rPr>
                <w:rFonts w:ascii="ITC Avant Garde" w:hAnsi="ITC Avant Garde"/>
                <w:bCs/>
                <w:sz w:val="18"/>
                <w:lang w:eastAsia="es-MX"/>
              </w:rPr>
              <w:t>l</w:t>
            </w:r>
            <w:r w:rsidR="00C647B4" w:rsidRPr="00D81ECC">
              <w:rPr>
                <w:rFonts w:ascii="ITC Avant Garde" w:hAnsi="ITC Avant Garde"/>
                <w:bCs/>
                <w:sz w:val="18"/>
                <w:lang w:eastAsia="es-MX"/>
              </w:rPr>
              <w:t xml:space="preserve"> </w:t>
            </w:r>
            <w:r w:rsidR="00D81ECC">
              <w:rPr>
                <w:rFonts w:ascii="ITC Avant Garde" w:hAnsi="ITC Avant Garde"/>
                <w:bCs/>
                <w:sz w:val="18"/>
                <w:lang w:eastAsia="es-MX"/>
              </w:rPr>
              <w:t>proyecto de Bases.</w:t>
            </w:r>
          </w:p>
          <w:p w14:paraId="119E29BB" w14:textId="77777777" w:rsidR="00D52016" w:rsidRPr="00AA52E2" w:rsidRDefault="00D52016" w:rsidP="00C96789">
            <w:pPr>
              <w:spacing w:after="0" w:line="240" w:lineRule="auto"/>
              <w:ind w:left="709" w:right="421"/>
              <w:jc w:val="both"/>
              <w:rPr>
                <w:rFonts w:ascii="ITC Avant Garde" w:eastAsia="Times New Roman" w:hAnsi="ITC Avant Garde"/>
                <w:sz w:val="18"/>
                <w:highlight w:val="yellow"/>
                <w:lang w:eastAsia="es-MX"/>
              </w:rPr>
            </w:pPr>
          </w:p>
          <w:p w14:paraId="7BB3AA78" w14:textId="77777777" w:rsidR="007B61A7" w:rsidRPr="00D81ECC" w:rsidRDefault="007B61A7" w:rsidP="00D81ECC">
            <w:pPr>
              <w:spacing w:after="0" w:line="240" w:lineRule="auto"/>
              <w:ind w:left="709" w:right="421"/>
              <w:jc w:val="both"/>
              <w:rPr>
                <w:rFonts w:ascii="ITC Avant Garde" w:eastAsia="Times New Roman" w:hAnsi="ITC Avant Garde"/>
                <w:sz w:val="18"/>
                <w:lang w:eastAsia="es-MX"/>
              </w:rPr>
            </w:pPr>
            <w:r w:rsidRPr="00D81ECC">
              <w:rPr>
                <w:rFonts w:ascii="ITC Avant Garde" w:eastAsia="Times New Roman" w:hAnsi="ITC Avant Garde"/>
                <w:bCs/>
                <w:sz w:val="18"/>
                <w:szCs w:val="18"/>
                <w:lang w:eastAsia="es-MX"/>
              </w:rPr>
              <w:t xml:space="preserve">En caso de incluir alguna propuesta, favor de acompañarla de la referencia y justificación correspondiente. </w:t>
            </w:r>
          </w:p>
        </w:tc>
      </w:tr>
      <w:tr w:rsidR="00C647B4" w:rsidRPr="005D0B9B" w14:paraId="2AF51C5A" w14:textId="77777777" w:rsidTr="00C647B4">
        <w:trPr>
          <w:trHeight w:val="678"/>
        </w:trPr>
        <w:tc>
          <w:tcPr>
            <w:tcW w:w="5000" w:type="pct"/>
            <w:shd w:val="clear" w:color="auto" w:fill="auto"/>
            <w:vAlign w:val="center"/>
          </w:tcPr>
          <w:p w14:paraId="296F0ACA" w14:textId="77777777" w:rsidR="005B1BEA" w:rsidRDefault="005B1BEA" w:rsidP="005B1BEA">
            <w:pPr>
              <w:spacing w:after="0" w:line="240" w:lineRule="auto"/>
              <w:rPr>
                <w:rFonts w:ascii="ITC Avant Garde" w:eastAsia="Times New Roman" w:hAnsi="ITC Avant Garde"/>
                <w:color w:val="000000"/>
                <w:sz w:val="18"/>
                <w:lang w:eastAsia="es-MX"/>
              </w:rPr>
            </w:pPr>
          </w:p>
          <w:p w14:paraId="23FDAC2B" w14:textId="77777777" w:rsidR="00C647B4" w:rsidRDefault="005B1BEA" w:rsidP="00D81ECC">
            <w:pPr>
              <w:spacing w:after="0" w:line="240" w:lineRule="auto"/>
              <w:ind w:left="709"/>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Proporcione su comentario.</w:t>
            </w:r>
          </w:p>
          <w:p w14:paraId="55C2BDB8" w14:textId="77777777" w:rsidR="005B1BEA" w:rsidRPr="005B1BEA" w:rsidRDefault="005B1BEA" w:rsidP="005B1BEA">
            <w:pPr>
              <w:spacing w:after="0" w:line="240" w:lineRule="auto"/>
              <w:rPr>
                <w:rFonts w:ascii="ITC Avant Garde" w:eastAsia="Times New Roman" w:hAnsi="ITC Avant Garde"/>
                <w:color w:val="000000"/>
                <w:sz w:val="18"/>
                <w:lang w:eastAsia="es-MX"/>
              </w:rPr>
            </w:pPr>
          </w:p>
        </w:tc>
      </w:tr>
      <w:tr w:rsidR="00C647B4" w:rsidRPr="005D0B9B" w14:paraId="75AFAE8F" w14:textId="77777777" w:rsidTr="004D55DC">
        <w:trPr>
          <w:trHeight w:val="678"/>
        </w:trPr>
        <w:tc>
          <w:tcPr>
            <w:tcW w:w="5000" w:type="pct"/>
            <w:shd w:val="clear" w:color="auto" w:fill="C5E0B3"/>
          </w:tcPr>
          <w:p w14:paraId="184D80BD" w14:textId="77777777" w:rsidR="004D55DC" w:rsidRDefault="004D55DC" w:rsidP="004D55DC">
            <w:pPr>
              <w:ind w:right="421"/>
              <w:jc w:val="both"/>
              <w:rPr>
                <w:rFonts w:ascii="ITC Avant Garde" w:hAnsi="ITC Avant Garde"/>
                <w:bCs/>
                <w:color w:val="000000"/>
                <w:sz w:val="18"/>
                <w:lang w:eastAsia="es-MX"/>
              </w:rPr>
            </w:pPr>
          </w:p>
          <w:p w14:paraId="7050968B" w14:textId="0103E2D5" w:rsidR="00C647B4" w:rsidRDefault="006740FE" w:rsidP="005B1BEA">
            <w:pPr>
              <w:numPr>
                <w:ilvl w:val="0"/>
                <w:numId w:val="16"/>
              </w:numPr>
              <w:ind w:left="709" w:right="421" w:hanging="283"/>
              <w:jc w:val="both"/>
              <w:rPr>
                <w:rFonts w:ascii="ITC Avant Garde" w:hAnsi="ITC Avant Garde"/>
                <w:bCs/>
                <w:color w:val="000000"/>
                <w:sz w:val="18"/>
                <w:lang w:eastAsia="es-MX"/>
              </w:rPr>
            </w:pPr>
            <w:r>
              <w:rPr>
                <w:rFonts w:ascii="ITC Avant Garde" w:hAnsi="ITC Avant Garde"/>
                <w:bCs/>
                <w:color w:val="000000"/>
                <w:sz w:val="18"/>
                <w:lang w:eastAsia="es-MX"/>
              </w:rPr>
              <w:t>E</w:t>
            </w:r>
            <w:r w:rsidR="007B61A7" w:rsidRPr="007B61A7">
              <w:rPr>
                <w:rFonts w:ascii="ITC Avant Garde" w:hAnsi="ITC Avant Garde"/>
                <w:bCs/>
                <w:color w:val="000000"/>
                <w:sz w:val="18"/>
                <w:lang w:eastAsia="es-MX"/>
              </w:rPr>
              <w:t xml:space="preserve">l plazo máximo </w:t>
            </w:r>
            <w:r w:rsidR="00D81ECC">
              <w:rPr>
                <w:rFonts w:ascii="ITC Avant Garde" w:hAnsi="ITC Avant Garde"/>
                <w:bCs/>
                <w:color w:val="000000"/>
                <w:sz w:val="18"/>
                <w:lang w:eastAsia="es-MX"/>
              </w:rPr>
              <w:t xml:space="preserve">de un año </w:t>
            </w:r>
            <w:r w:rsidR="007B61A7" w:rsidRPr="007B61A7">
              <w:rPr>
                <w:rFonts w:ascii="ITC Avant Garde" w:hAnsi="ITC Avant Garde"/>
                <w:bCs/>
                <w:color w:val="000000"/>
                <w:sz w:val="18"/>
                <w:lang w:eastAsia="es-MX"/>
              </w:rPr>
              <w:t xml:space="preserve">para </w:t>
            </w:r>
            <w:r w:rsidR="00D81ECC">
              <w:rPr>
                <w:rFonts w:ascii="ITC Avant Garde" w:hAnsi="ITC Avant Garde"/>
                <w:bCs/>
                <w:color w:val="000000"/>
                <w:sz w:val="18"/>
                <w:lang w:eastAsia="es-MX"/>
              </w:rPr>
              <w:t>iniciar</w:t>
            </w:r>
            <w:r w:rsidR="007B61A7" w:rsidRPr="007B61A7">
              <w:rPr>
                <w:rFonts w:ascii="ITC Avant Garde" w:hAnsi="ITC Avant Garde"/>
                <w:bCs/>
                <w:color w:val="000000"/>
                <w:sz w:val="18"/>
                <w:lang w:eastAsia="es-MX"/>
              </w:rPr>
              <w:t xml:space="preserve"> operaciones a partir del día siguiente al otorgamiento y firma del título de Concesión de Espectro Radioeléctrico para Uso Comercial corresp</w:t>
            </w:r>
            <w:r w:rsidR="00D81ECC">
              <w:rPr>
                <w:rFonts w:ascii="ITC Avant Garde" w:hAnsi="ITC Avant Garde"/>
                <w:bCs/>
                <w:color w:val="000000"/>
                <w:sz w:val="18"/>
                <w:lang w:eastAsia="es-MX"/>
              </w:rPr>
              <w:t>ondiente</w:t>
            </w:r>
            <w:r w:rsidR="007B61A7" w:rsidRPr="007B61A7">
              <w:rPr>
                <w:rFonts w:ascii="ITC Avant Garde" w:hAnsi="ITC Avant Garde"/>
                <w:bCs/>
                <w:color w:val="000000"/>
                <w:sz w:val="18"/>
                <w:lang w:eastAsia="es-MX"/>
              </w:rPr>
              <w:t xml:space="preserve"> para los Concesionarios con Vínculos con el Autorizado, o</w:t>
            </w:r>
            <w:r w:rsidR="00D81ECC">
              <w:rPr>
                <w:rFonts w:ascii="ITC Avant Garde" w:hAnsi="ITC Avant Garde"/>
                <w:bCs/>
                <w:color w:val="000000"/>
                <w:sz w:val="18"/>
                <w:lang w:eastAsia="es-MX"/>
              </w:rPr>
              <w:t xml:space="preserve">, </w:t>
            </w:r>
            <w:r w:rsidR="00D81ECC">
              <w:rPr>
                <w:rFonts w:ascii="ITC Avant Garde" w:hAnsi="ITC Avant Garde"/>
                <w:bCs/>
                <w:color w:val="000000"/>
                <w:sz w:val="18"/>
                <w:lang w:eastAsia="es-MX"/>
              </w:rPr>
              <w:lastRenderedPageBreak/>
              <w:t>en su defecto,</w:t>
            </w:r>
            <w:r w:rsidR="007B61A7" w:rsidRPr="007B61A7">
              <w:rPr>
                <w:rFonts w:ascii="ITC Avant Garde" w:hAnsi="ITC Avant Garde"/>
                <w:bCs/>
                <w:color w:val="000000"/>
                <w:sz w:val="18"/>
                <w:lang w:eastAsia="es-MX"/>
              </w:rPr>
              <w:t xml:space="preserve"> a partir de la firma de acuerdo </w:t>
            </w:r>
            <w:r>
              <w:rPr>
                <w:rFonts w:ascii="ITC Avant Garde" w:hAnsi="ITC Avant Garde"/>
                <w:bCs/>
                <w:color w:val="000000"/>
                <w:sz w:val="18"/>
                <w:lang w:eastAsia="es-MX"/>
              </w:rPr>
              <w:t xml:space="preserve">con </w:t>
            </w:r>
            <w:r w:rsidR="00D81ECC">
              <w:rPr>
                <w:rFonts w:ascii="ITC Avant Garde" w:hAnsi="ITC Avant Garde"/>
                <w:bCs/>
                <w:color w:val="000000"/>
                <w:sz w:val="18"/>
                <w:lang w:eastAsia="es-MX"/>
              </w:rPr>
              <w:t>un Autorizado cuando no los tenga; lo anterior, conforme a lo establecido en el numeral 4.2 del proyecto de Bases</w:t>
            </w:r>
            <w:r w:rsidR="007B61A7" w:rsidRPr="007B61A7">
              <w:rPr>
                <w:rFonts w:ascii="ITC Avant Garde" w:hAnsi="ITC Avant Garde"/>
                <w:bCs/>
                <w:color w:val="000000"/>
                <w:sz w:val="18"/>
                <w:lang w:eastAsia="es-MX"/>
              </w:rPr>
              <w:t>.</w:t>
            </w:r>
          </w:p>
          <w:p w14:paraId="5EAC4210" w14:textId="77777777" w:rsidR="005B1BEA" w:rsidRDefault="00D81ECC" w:rsidP="005B1BEA">
            <w:pPr>
              <w:spacing w:after="0" w:line="240" w:lineRule="auto"/>
              <w:ind w:left="709" w:right="421"/>
              <w:jc w:val="both"/>
              <w:rPr>
                <w:rFonts w:ascii="ITC Avant Garde" w:eastAsia="Times New Roman" w:hAnsi="ITC Avant Garde"/>
                <w:bCs/>
                <w:sz w:val="18"/>
                <w:szCs w:val="18"/>
                <w:lang w:eastAsia="es-MX"/>
              </w:rPr>
            </w:pPr>
            <w:r w:rsidRPr="00D81ECC">
              <w:rPr>
                <w:rFonts w:ascii="ITC Avant Garde" w:eastAsia="Times New Roman" w:hAnsi="ITC Avant Garde"/>
                <w:bCs/>
                <w:sz w:val="18"/>
                <w:szCs w:val="18"/>
                <w:lang w:eastAsia="es-MX"/>
              </w:rPr>
              <w:t>En caso de incluir alguna propuesta, favor de acompañarla de la referencia y justificación correspondiente.</w:t>
            </w:r>
          </w:p>
          <w:p w14:paraId="116F4B7D" w14:textId="77777777" w:rsidR="004D55DC" w:rsidRPr="005B1BEA" w:rsidRDefault="004D55DC" w:rsidP="005B1BEA">
            <w:pPr>
              <w:spacing w:after="0" w:line="240" w:lineRule="auto"/>
              <w:ind w:left="709" w:right="421"/>
              <w:jc w:val="both"/>
              <w:rPr>
                <w:rFonts w:ascii="ITC Avant Garde" w:eastAsia="Times New Roman" w:hAnsi="ITC Avant Garde"/>
                <w:sz w:val="18"/>
                <w:lang w:eastAsia="es-MX"/>
              </w:rPr>
            </w:pPr>
          </w:p>
        </w:tc>
      </w:tr>
      <w:tr w:rsidR="00C647B4" w:rsidRPr="005D0B9B" w14:paraId="7BFB6431" w14:textId="77777777" w:rsidTr="00C647B4">
        <w:trPr>
          <w:trHeight w:val="678"/>
        </w:trPr>
        <w:tc>
          <w:tcPr>
            <w:tcW w:w="5000" w:type="pct"/>
            <w:shd w:val="clear" w:color="auto" w:fill="auto"/>
            <w:vAlign w:val="center"/>
          </w:tcPr>
          <w:p w14:paraId="6FC88DF8" w14:textId="77777777" w:rsidR="00C647B4" w:rsidRPr="005B1BEA" w:rsidRDefault="005B1BEA" w:rsidP="00D81ECC">
            <w:pPr>
              <w:spacing w:after="0" w:line="240" w:lineRule="auto"/>
              <w:ind w:left="709"/>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lastRenderedPageBreak/>
              <w:t>Proporcione su comentario.</w:t>
            </w:r>
          </w:p>
        </w:tc>
      </w:tr>
      <w:tr w:rsidR="000D26D1" w:rsidRPr="005D0B9B" w14:paraId="45D5E713" w14:textId="77777777" w:rsidTr="00D81ECC">
        <w:trPr>
          <w:trHeight w:val="269"/>
        </w:trPr>
        <w:tc>
          <w:tcPr>
            <w:tcW w:w="5000" w:type="pct"/>
            <w:shd w:val="clear" w:color="auto" w:fill="C5E0B3"/>
            <w:vAlign w:val="center"/>
          </w:tcPr>
          <w:p w14:paraId="763FAACD" w14:textId="77777777" w:rsidR="004D55DC" w:rsidRPr="004D55DC" w:rsidRDefault="004D55DC" w:rsidP="004D55DC">
            <w:pPr>
              <w:spacing w:line="240" w:lineRule="auto"/>
              <w:ind w:right="421"/>
              <w:jc w:val="both"/>
              <w:rPr>
                <w:rFonts w:ascii="ITC Avant Garde" w:eastAsia="Times New Roman" w:hAnsi="ITC Avant Garde"/>
                <w:color w:val="000000"/>
                <w:sz w:val="18"/>
                <w:lang w:eastAsia="es-MX"/>
              </w:rPr>
            </w:pPr>
          </w:p>
          <w:p w14:paraId="252A985B" w14:textId="2534D32E" w:rsidR="005B1BEA" w:rsidRPr="00917436" w:rsidRDefault="004910FA" w:rsidP="00917436">
            <w:pPr>
              <w:numPr>
                <w:ilvl w:val="0"/>
                <w:numId w:val="16"/>
              </w:numPr>
              <w:spacing w:line="240" w:lineRule="auto"/>
              <w:ind w:left="709" w:right="421" w:hanging="283"/>
              <w:jc w:val="both"/>
              <w:rPr>
                <w:rFonts w:ascii="ITC Avant Garde" w:eastAsia="Times New Roman" w:hAnsi="ITC Avant Garde"/>
                <w:color w:val="000000"/>
                <w:sz w:val="18"/>
                <w:lang w:eastAsia="es-MX"/>
              </w:rPr>
            </w:pPr>
            <w:r>
              <w:rPr>
                <w:rFonts w:ascii="ITC Avant Garde" w:hAnsi="ITC Avant Garde"/>
                <w:bCs/>
                <w:color w:val="000000"/>
                <w:sz w:val="18"/>
                <w:lang w:eastAsia="es-MX"/>
              </w:rPr>
              <w:t>L</w:t>
            </w:r>
            <w:r w:rsidR="00651300">
              <w:rPr>
                <w:rFonts w:ascii="ITC Avant Garde" w:hAnsi="ITC Avant Garde"/>
                <w:bCs/>
                <w:color w:val="000000"/>
                <w:sz w:val="18"/>
                <w:lang w:eastAsia="es-MX"/>
              </w:rPr>
              <w:t>os elementos mínimos y</w:t>
            </w:r>
            <w:r w:rsidR="00696B2B">
              <w:rPr>
                <w:rFonts w:ascii="ITC Avant Garde" w:hAnsi="ITC Avant Garde"/>
                <w:bCs/>
                <w:color w:val="000000"/>
                <w:sz w:val="18"/>
                <w:lang w:eastAsia="es-MX"/>
              </w:rPr>
              <w:t xml:space="preserve"> arquitectura de red </w:t>
            </w:r>
            <w:r w:rsidR="00651300">
              <w:rPr>
                <w:rFonts w:ascii="ITC Avant Garde" w:hAnsi="ITC Avant Garde"/>
                <w:bCs/>
                <w:color w:val="000000"/>
                <w:sz w:val="18"/>
                <w:lang w:eastAsia="es-MX"/>
              </w:rPr>
              <w:t xml:space="preserve">contenidos </w:t>
            </w:r>
            <w:r w:rsidR="00696B2B">
              <w:rPr>
                <w:rFonts w:ascii="ITC Avant Garde" w:hAnsi="ITC Avant Garde"/>
                <w:bCs/>
                <w:color w:val="000000"/>
                <w:sz w:val="18"/>
                <w:lang w:eastAsia="es-MX"/>
              </w:rPr>
              <w:t xml:space="preserve">en el numeral 4.3 </w:t>
            </w:r>
            <w:r w:rsidR="000D26D1" w:rsidRPr="00696B2B">
              <w:rPr>
                <w:rFonts w:ascii="ITC Avant Garde" w:hAnsi="ITC Avant Garde"/>
                <w:bCs/>
                <w:color w:val="000000"/>
                <w:sz w:val="18"/>
                <w:lang w:eastAsia="es-MX"/>
              </w:rPr>
              <w:t>del proyecto de Bases</w:t>
            </w:r>
            <w:r w:rsidR="00696B2B">
              <w:rPr>
                <w:rFonts w:ascii="ITC Avant Garde" w:hAnsi="ITC Avant Garde"/>
                <w:bCs/>
                <w:color w:val="000000"/>
                <w:sz w:val="18"/>
                <w:lang w:eastAsia="es-MX"/>
              </w:rPr>
              <w:t>.</w:t>
            </w:r>
            <w:r w:rsidR="00696B2B" w:rsidRPr="005D0B9B">
              <w:rPr>
                <w:rFonts w:ascii="ITC Avant Garde" w:eastAsia="Times New Roman" w:hAnsi="ITC Avant Garde"/>
                <w:color w:val="000000"/>
                <w:sz w:val="18"/>
                <w:lang w:eastAsia="es-MX"/>
              </w:rPr>
              <w:t xml:space="preserve"> </w:t>
            </w:r>
          </w:p>
          <w:p w14:paraId="6E23A622" w14:textId="77777777" w:rsidR="007B61A7" w:rsidRDefault="005B1BEA" w:rsidP="00E3674F">
            <w:pPr>
              <w:spacing w:after="0" w:line="240" w:lineRule="auto"/>
              <w:ind w:left="709" w:right="421"/>
              <w:jc w:val="both"/>
              <w:rPr>
                <w:rFonts w:ascii="ITC Avant Garde" w:eastAsia="Times New Roman" w:hAnsi="ITC Avant Garde"/>
                <w:bCs/>
                <w:sz w:val="18"/>
                <w:szCs w:val="18"/>
                <w:lang w:eastAsia="es-MX"/>
              </w:rPr>
            </w:pPr>
            <w:r w:rsidRPr="00E3674F">
              <w:rPr>
                <w:rFonts w:ascii="ITC Avant Garde" w:eastAsia="Times New Roman" w:hAnsi="ITC Avant Garde"/>
                <w:bCs/>
                <w:sz w:val="18"/>
                <w:szCs w:val="18"/>
                <w:lang w:eastAsia="es-MX"/>
              </w:rPr>
              <w:t xml:space="preserve">En caso de incluir alguna propuesta, favor de acompañarla de la referencia y justificación correspondiente. </w:t>
            </w:r>
          </w:p>
          <w:p w14:paraId="68A966B4" w14:textId="77777777" w:rsidR="004D55DC" w:rsidRPr="005B1BEA" w:rsidRDefault="004D55DC" w:rsidP="00E3674F">
            <w:pPr>
              <w:spacing w:after="0" w:line="240" w:lineRule="auto"/>
              <w:ind w:left="709" w:right="421"/>
              <w:jc w:val="both"/>
              <w:rPr>
                <w:rFonts w:ascii="ITC Avant Garde" w:eastAsia="Times New Roman" w:hAnsi="ITC Avant Garde"/>
                <w:sz w:val="18"/>
                <w:lang w:eastAsia="es-MX"/>
              </w:rPr>
            </w:pPr>
          </w:p>
        </w:tc>
      </w:tr>
      <w:tr w:rsidR="000D26D1" w:rsidRPr="005D0B9B" w14:paraId="5D8436AB" w14:textId="77777777" w:rsidTr="005B1BEA">
        <w:trPr>
          <w:trHeight w:val="718"/>
        </w:trPr>
        <w:tc>
          <w:tcPr>
            <w:tcW w:w="5000" w:type="pct"/>
            <w:shd w:val="clear" w:color="auto" w:fill="auto"/>
            <w:vAlign w:val="center"/>
          </w:tcPr>
          <w:p w14:paraId="3A0E9C05" w14:textId="77777777" w:rsidR="000D26D1" w:rsidRPr="005D0B9B" w:rsidRDefault="00651300" w:rsidP="00E3674F">
            <w:pPr>
              <w:spacing w:after="0" w:line="240" w:lineRule="auto"/>
              <w:ind w:left="709"/>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Proporcione su comentario.</w:t>
            </w:r>
          </w:p>
        </w:tc>
      </w:tr>
      <w:tr w:rsidR="00425261" w:rsidRPr="005D0B9B" w14:paraId="36072F54" w14:textId="77777777" w:rsidTr="00DA2DEB">
        <w:trPr>
          <w:trHeight w:val="269"/>
        </w:trPr>
        <w:tc>
          <w:tcPr>
            <w:tcW w:w="5000" w:type="pct"/>
            <w:shd w:val="clear" w:color="auto" w:fill="C5E0B3"/>
            <w:vAlign w:val="center"/>
          </w:tcPr>
          <w:p w14:paraId="34322992" w14:textId="77777777" w:rsidR="00425261" w:rsidRPr="004D55DC" w:rsidRDefault="00425261" w:rsidP="00425261">
            <w:pPr>
              <w:spacing w:line="240" w:lineRule="auto"/>
              <w:ind w:right="421"/>
              <w:jc w:val="both"/>
              <w:rPr>
                <w:rFonts w:ascii="ITC Avant Garde" w:eastAsia="Times New Roman" w:hAnsi="ITC Avant Garde"/>
                <w:color w:val="000000"/>
                <w:sz w:val="18"/>
                <w:lang w:eastAsia="es-MX"/>
              </w:rPr>
            </w:pPr>
          </w:p>
          <w:p w14:paraId="03718BA7" w14:textId="68E97752" w:rsidR="00425261" w:rsidRPr="00425261" w:rsidRDefault="004910FA" w:rsidP="00FA5549">
            <w:pPr>
              <w:numPr>
                <w:ilvl w:val="0"/>
                <w:numId w:val="16"/>
              </w:numPr>
              <w:spacing w:line="240" w:lineRule="auto"/>
              <w:ind w:left="709" w:right="421" w:hanging="283"/>
              <w:jc w:val="both"/>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E</w:t>
            </w:r>
            <w:r w:rsidR="00425261" w:rsidRPr="00B01E4E">
              <w:rPr>
                <w:rFonts w:ascii="ITC Avant Garde" w:eastAsia="Times New Roman" w:hAnsi="ITC Avant Garde"/>
                <w:color w:val="000000"/>
                <w:sz w:val="18"/>
                <w:lang w:eastAsia="es-MX"/>
              </w:rPr>
              <w:t>l plazo máximo de 12 meses durante el cual los Componentes Complementarios Terrestres del Servicio Móvil por Satélite podrán operar de forma independiente de los Sistemas Satelitales en caso de falla de éstos que no permita la prestación del Servicio Móvil por Satélite, plazo contado a partir del día siguiente al de</w:t>
            </w:r>
            <w:r w:rsidR="00425261">
              <w:rPr>
                <w:rFonts w:ascii="ITC Avant Garde" w:eastAsia="Times New Roman" w:hAnsi="ITC Avant Garde"/>
                <w:color w:val="000000"/>
                <w:sz w:val="18"/>
                <w:lang w:eastAsia="es-MX"/>
              </w:rPr>
              <w:t xml:space="preserve"> la falla del Sistema Satelital, contenido en el </w:t>
            </w:r>
            <w:r w:rsidR="00425261" w:rsidRPr="00B01E4E">
              <w:rPr>
                <w:rFonts w:ascii="ITC Avant Garde" w:eastAsia="Times New Roman" w:hAnsi="ITC Avant Garde"/>
                <w:color w:val="000000"/>
                <w:sz w:val="18"/>
                <w:lang w:eastAsia="es-MX"/>
              </w:rPr>
              <w:t xml:space="preserve">numeral </w:t>
            </w:r>
            <w:r w:rsidR="00425261">
              <w:rPr>
                <w:rFonts w:ascii="ITC Avant Garde" w:eastAsia="Times New Roman" w:hAnsi="ITC Avant Garde"/>
                <w:color w:val="000000"/>
                <w:sz w:val="18"/>
                <w:lang w:eastAsia="es-MX"/>
              </w:rPr>
              <w:t>4.3, punto 4 de las Bases</w:t>
            </w:r>
            <w:r w:rsidR="00425261">
              <w:rPr>
                <w:rFonts w:ascii="ITC Avant Garde" w:hAnsi="ITC Avant Garde"/>
                <w:bCs/>
                <w:color w:val="000000"/>
                <w:sz w:val="18"/>
                <w:lang w:eastAsia="es-MX"/>
              </w:rPr>
              <w:t>.</w:t>
            </w:r>
            <w:r w:rsidR="00425261" w:rsidRPr="005D0B9B">
              <w:rPr>
                <w:rFonts w:ascii="ITC Avant Garde" w:eastAsia="Times New Roman" w:hAnsi="ITC Avant Garde"/>
                <w:color w:val="000000"/>
                <w:sz w:val="18"/>
                <w:lang w:eastAsia="es-MX"/>
              </w:rPr>
              <w:t xml:space="preserve"> </w:t>
            </w:r>
          </w:p>
        </w:tc>
      </w:tr>
      <w:tr w:rsidR="00425261" w:rsidRPr="00425261" w14:paraId="04438C40" w14:textId="77777777" w:rsidTr="005B1BEA">
        <w:trPr>
          <w:trHeight w:val="718"/>
        </w:trPr>
        <w:tc>
          <w:tcPr>
            <w:tcW w:w="5000" w:type="pct"/>
            <w:shd w:val="clear" w:color="auto" w:fill="auto"/>
            <w:vAlign w:val="center"/>
          </w:tcPr>
          <w:p w14:paraId="4CAF830E" w14:textId="77777777" w:rsidR="00425261" w:rsidRDefault="00425261" w:rsidP="00425261">
            <w:pPr>
              <w:spacing w:after="0" w:line="240" w:lineRule="auto"/>
              <w:ind w:left="709"/>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Proporcione su comentario.</w:t>
            </w:r>
          </w:p>
        </w:tc>
      </w:tr>
      <w:tr w:rsidR="00F3483C" w:rsidRPr="005D0B9B" w14:paraId="019058B4" w14:textId="77777777" w:rsidTr="00B12B82">
        <w:trPr>
          <w:trHeight w:val="678"/>
        </w:trPr>
        <w:tc>
          <w:tcPr>
            <w:tcW w:w="5000" w:type="pct"/>
            <w:shd w:val="clear" w:color="auto" w:fill="C5E0B3"/>
            <w:vAlign w:val="center"/>
          </w:tcPr>
          <w:p w14:paraId="2E6836C3" w14:textId="77777777" w:rsidR="0011625E" w:rsidRDefault="0011625E" w:rsidP="0011625E">
            <w:pPr>
              <w:spacing w:after="0" w:line="240" w:lineRule="auto"/>
              <w:ind w:left="567"/>
              <w:jc w:val="both"/>
              <w:rPr>
                <w:rFonts w:ascii="ITC Avant Garde" w:eastAsia="Times New Roman" w:hAnsi="ITC Avant Garde"/>
                <w:color w:val="000000"/>
                <w:sz w:val="18"/>
                <w:lang w:eastAsia="es-MX"/>
              </w:rPr>
            </w:pPr>
          </w:p>
          <w:p w14:paraId="6F09A390" w14:textId="235B2277" w:rsidR="00D73779" w:rsidRDefault="004910FA" w:rsidP="00E3674F">
            <w:pPr>
              <w:numPr>
                <w:ilvl w:val="0"/>
                <w:numId w:val="16"/>
              </w:numPr>
              <w:spacing w:after="0" w:line="240" w:lineRule="auto"/>
              <w:ind w:left="709" w:right="421" w:hanging="283"/>
              <w:jc w:val="both"/>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L</w:t>
            </w:r>
            <w:r w:rsidR="00C647B4">
              <w:rPr>
                <w:rFonts w:ascii="ITC Avant Garde" w:eastAsia="Times New Roman" w:hAnsi="ITC Avant Garde"/>
                <w:color w:val="000000"/>
                <w:sz w:val="18"/>
                <w:lang w:eastAsia="es-MX"/>
              </w:rPr>
              <w:t xml:space="preserve">as condiciones de operación que eviten interferencias pejudiciales con los servicios móviles </w:t>
            </w:r>
            <w:r w:rsidR="00D838EA">
              <w:rPr>
                <w:rFonts w:ascii="ITC Avant Garde" w:eastAsia="Times New Roman" w:hAnsi="ITC Avant Garde"/>
                <w:color w:val="000000"/>
                <w:sz w:val="18"/>
                <w:lang w:eastAsia="es-MX"/>
              </w:rPr>
              <w:t xml:space="preserve">u otros servicios </w:t>
            </w:r>
            <w:r w:rsidR="00C647B4">
              <w:rPr>
                <w:rFonts w:ascii="ITC Avant Garde" w:eastAsia="Times New Roman" w:hAnsi="ITC Avant Garde"/>
                <w:color w:val="000000"/>
                <w:sz w:val="18"/>
                <w:lang w:eastAsia="es-MX"/>
              </w:rPr>
              <w:t xml:space="preserve">que se prestan en bandas adyacentes a la banda 2000-2020/2180-2200 MHz, </w:t>
            </w:r>
            <w:r w:rsidR="00C647B4" w:rsidRPr="00C647B4">
              <w:rPr>
                <w:rFonts w:ascii="ITC Avant Garde" w:hAnsi="ITC Avant Garde"/>
                <w:bCs/>
                <w:color w:val="000000"/>
                <w:sz w:val="18"/>
                <w:lang w:eastAsia="es-MX"/>
              </w:rPr>
              <w:t xml:space="preserve"> contenidos e</w:t>
            </w:r>
            <w:r w:rsidR="00C647B4">
              <w:rPr>
                <w:rFonts w:ascii="ITC Avant Garde" w:hAnsi="ITC Avant Garde"/>
                <w:bCs/>
                <w:color w:val="000000"/>
                <w:sz w:val="18"/>
                <w:lang w:eastAsia="es-MX"/>
              </w:rPr>
              <w:t>n el numeral 4.4</w:t>
            </w:r>
            <w:r w:rsidR="00C647B4" w:rsidRPr="00C647B4">
              <w:rPr>
                <w:rFonts w:ascii="ITC Avant Garde" w:hAnsi="ITC Avant Garde"/>
                <w:bCs/>
                <w:color w:val="000000"/>
                <w:sz w:val="18"/>
                <w:lang w:eastAsia="es-MX"/>
              </w:rPr>
              <w:t xml:space="preserve"> del proyecto de Bases.</w:t>
            </w:r>
          </w:p>
          <w:p w14:paraId="5FD4CB83" w14:textId="77777777" w:rsidR="00D838EA" w:rsidRPr="00D73779" w:rsidRDefault="00D838EA" w:rsidP="00D838EA">
            <w:pPr>
              <w:spacing w:after="0" w:line="240" w:lineRule="auto"/>
              <w:ind w:left="567"/>
              <w:jc w:val="both"/>
              <w:rPr>
                <w:rFonts w:ascii="ITC Avant Garde" w:eastAsia="Times New Roman" w:hAnsi="ITC Avant Garde"/>
                <w:color w:val="FF0000"/>
                <w:sz w:val="18"/>
                <w:lang w:eastAsia="es-MX"/>
              </w:rPr>
            </w:pPr>
          </w:p>
        </w:tc>
      </w:tr>
      <w:tr w:rsidR="004729CC" w:rsidRPr="005D0B9B" w14:paraId="3AE361B0" w14:textId="77777777" w:rsidTr="004D55DC">
        <w:trPr>
          <w:trHeight w:val="903"/>
        </w:trPr>
        <w:tc>
          <w:tcPr>
            <w:tcW w:w="5000" w:type="pct"/>
            <w:shd w:val="clear" w:color="auto" w:fill="auto"/>
            <w:vAlign w:val="center"/>
          </w:tcPr>
          <w:p w14:paraId="19A7AB63" w14:textId="77777777" w:rsidR="004729CC" w:rsidRPr="005D0B9B" w:rsidRDefault="004729CC" w:rsidP="004729CC">
            <w:pPr>
              <w:spacing w:after="0" w:line="240" w:lineRule="auto"/>
              <w:rPr>
                <w:rFonts w:ascii="ITC Avant Garde" w:eastAsia="Times New Roman" w:hAnsi="ITC Avant Garde"/>
                <w:color w:val="000000"/>
                <w:sz w:val="18"/>
                <w:lang w:eastAsia="es-MX"/>
              </w:rPr>
            </w:pPr>
          </w:p>
          <w:p w14:paraId="5066BF12" w14:textId="77777777" w:rsidR="00DA17C1" w:rsidRPr="005D0B9B" w:rsidRDefault="004729CC" w:rsidP="00E3674F">
            <w:pPr>
              <w:spacing w:after="0" w:line="240" w:lineRule="auto"/>
              <w:ind w:left="709"/>
              <w:rPr>
                <w:rFonts w:ascii="ITC Avant Garde" w:eastAsia="Times New Roman" w:hAnsi="ITC Avant Garde"/>
                <w:color w:val="000000"/>
                <w:sz w:val="18"/>
                <w:lang w:eastAsia="es-MX"/>
              </w:rPr>
            </w:pPr>
            <w:r w:rsidRPr="005D0B9B">
              <w:rPr>
                <w:rFonts w:ascii="ITC Avant Garde" w:eastAsia="Times New Roman" w:hAnsi="ITC Avant Garde"/>
                <w:color w:val="000000"/>
                <w:sz w:val="18"/>
                <w:lang w:eastAsia="es-MX"/>
              </w:rPr>
              <w:t>Proporcione su comentario.</w:t>
            </w:r>
          </w:p>
          <w:p w14:paraId="10BCED2C" w14:textId="77777777" w:rsidR="004729CC" w:rsidRPr="005D0B9B" w:rsidRDefault="004729CC" w:rsidP="004729CC">
            <w:pPr>
              <w:spacing w:after="0" w:line="240" w:lineRule="auto"/>
              <w:rPr>
                <w:rFonts w:ascii="ITC Avant Garde" w:eastAsia="Times New Roman" w:hAnsi="ITC Avant Garde"/>
                <w:color w:val="000000"/>
                <w:sz w:val="18"/>
                <w:lang w:eastAsia="es-MX"/>
              </w:rPr>
            </w:pPr>
          </w:p>
        </w:tc>
      </w:tr>
      <w:tr w:rsidR="00917436" w:rsidRPr="00917436" w14:paraId="7B20A9DD" w14:textId="77777777" w:rsidTr="00917436">
        <w:trPr>
          <w:trHeight w:val="903"/>
        </w:trPr>
        <w:tc>
          <w:tcPr>
            <w:tcW w:w="5000" w:type="pct"/>
            <w:shd w:val="clear" w:color="auto" w:fill="C5E0B3" w:themeFill="accent6" w:themeFillTint="66"/>
            <w:vAlign w:val="center"/>
          </w:tcPr>
          <w:p w14:paraId="4C0BC8BC" w14:textId="1BA1152C" w:rsidR="00917436" w:rsidRPr="001E7DF4" w:rsidRDefault="00B00311" w:rsidP="00B00311">
            <w:pPr>
              <w:pStyle w:val="Prrafodelista"/>
              <w:numPr>
                <w:ilvl w:val="0"/>
                <w:numId w:val="16"/>
              </w:numPr>
              <w:spacing w:after="0" w:line="240" w:lineRule="auto"/>
              <w:ind w:left="776" w:hanging="284"/>
              <w:jc w:val="both"/>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La posible incorporación de u</w:t>
            </w:r>
            <w:r w:rsidR="00917436" w:rsidRPr="001E7DF4">
              <w:rPr>
                <w:rFonts w:ascii="ITC Avant Garde" w:eastAsia="Times New Roman" w:hAnsi="ITC Avant Garde"/>
                <w:color w:val="000000"/>
                <w:sz w:val="18"/>
                <w:lang w:eastAsia="es-MX"/>
              </w:rPr>
              <w:t>na obligación para que el Sistema Satelital cuente con la capacidad técnica para proveer servicios en al menos el 75% de las 24 horas de cada día.</w:t>
            </w:r>
          </w:p>
        </w:tc>
      </w:tr>
      <w:tr w:rsidR="00917436" w:rsidRPr="005D0B9B" w14:paraId="307C89AA" w14:textId="77777777" w:rsidTr="004D55DC">
        <w:trPr>
          <w:trHeight w:val="903"/>
        </w:trPr>
        <w:tc>
          <w:tcPr>
            <w:tcW w:w="5000" w:type="pct"/>
            <w:shd w:val="clear" w:color="auto" w:fill="auto"/>
            <w:vAlign w:val="center"/>
          </w:tcPr>
          <w:p w14:paraId="2F216DC2" w14:textId="1AA5C414" w:rsidR="00917436" w:rsidRPr="005D0B9B" w:rsidRDefault="00917436" w:rsidP="001E7DF4">
            <w:pPr>
              <w:spacing w:after="0" w:line="240" w:lineRule="auto"/>
              <w:ind w:left="776"/>
              <w:rPr>
                <w:rFonts w:ascii="ITC Avant Garde" w:eastAsia="Times New Roman" w:hAnsi="ITC Avant Garde"/>
                <w:color w:val="000000"/>
                <w:sz w:val="18"/>
                <w:lang w:eastAsia="es-MX"/>
              </w:rPr>
            </w:pPr>
            <w:r w:rsidRPr="005D0B9B">
              <w:rPr>
                <w:rFonts w:ascii="ITC Avant Garde" w:eastAsia="Times New Roman" w:hAnsi="ITC Avant Garde"/>
                <w:color w:val="000000"/>
                <w:sz w:val="18"/>
                <w:lang w:eastAsia="es-MX"/>
              </w:rPr>
              <w:t>Proporcione su comentario.</w:t>
            </w:r>
          </w:p>
        </w:tc>
      </w:tr>
      <w:tr w:rsidR="00917436" w:rsidRPr="005D0B9B" w14:paraId="207190D7" w14:textId="77777777" w:rsidTr="00917436">
        <w:trPr>
          <w:trHeight w:val="903"/>
        </w:trPr>
        <w:tc>
          <w:tcPr>
            <w:tcW w:w="5000" w:type="pct"/>
            <w:shd w:val="clear" w:color="auto" w:fill="C5E0B3" w:themeFill="accent6" w:themeFillTint="66"/>
            <w:vAlign w:val="center"/>
          </w:tcPr>
          <w:p w14:paraId="1144344C" w14:textId="132CD677" w:rsidR="001E7DF4" w:rsidRDefault="001E7DF4" w:rsidP="001E7DF4">
            <w:pPr>
              <w:spacing w:after="0" w:line="240" w:lineRule="auto"/>
              <w:ind w:left="776" w:hanging="284"/>
              <w:rPr>
                <w:rFonts w:ascii="ITC Avant Garde" w:eastAsia="Times New Roman" w:hAnsi="ITC Avant Garde"/>
                <w:color w:val="000000"/>
                <w:sz w:val="18"/>
                <w:lang w:eastAsia="es-MX"/>
              </w:rPr>
            </w:pPr>
          </w:p>
          <w:p w14:paraId="0C10EBAB" w14:textId="12F3C25A" w:rsidR="00917436" w:rsidRPr="001E7DF4" w:rsidRDefault="00917436" w:rsidP="001E7DF4">
            <w:pPr>
              <w:pStyle w:val="Prrafodelista"/>
              <w:numPr>
                <w:ilvl w:val="0"/>
                <w:numId w:val="16"/>
              </w:numPr>
              <w:spacing w:after="0" w:line="240" w:lineRule="auto"/>
              <w:ind w:left="776" w:hanging="284"/>
              <w:rPr>
                <w:rFonts w:ascii="ITC Avant Garde" w:eastAsia="Times New Roman" w:hAnsi="ITC Avant Garde"/>
                <w:color w:val="000000"/>
                <w:sz w:val="18"/>
                <w:lang w:eastAsia="es-MX"/>
              </w:rPr>
            </w:pPr>
            <w:r w:rsidRPr="001E7DF4">
              <w:rPr>
                <w:rFonts w:ascii="ITC Avant Garde" w:eastAsia="Times New Roman" w:hAnsi="ITC Avant Garde"/>
                <w:color w:val="000000"/>
                <w:sz w:val="18"/>
                <w:lang w:eastAsia="es-MX"/>
              </w:rPr>
              <w:t>La</w:t>
            </w:r>
            <w:r w:rsidR="00B00311">
              <w:rPr>
                <w:rFonts w:ascii="ITC Avant Garde" w:eastAsia="Times New Roman" w:hAnsi="ITC Avant Garde"/>
                <w:color w:val="000000"/>
                <w:sz w:val="18"/>
                <w:lang w:eastAsia="es-MX"/>
              </w:rPr>
              <w:t xml:space="preserve"> posible </w:t>
            </w:r>
            <w:r w:rsidRPr="001E7DF4">
              <w:rPr>
                <w:rFonts w:ascii="ITC Avant Garde" w:eastAsia="Times New Roman" w:hAnsi="ITC Avant Garde"/>
                <w:color w:val="000000"/>
                <w:sz w:val="18"/>
                <w:lang w:eastAsia="es-MX"/>
              </w:rPr>
              <w:t xml:space="preserve"> inclus</w:t>
            </w:r>
            <w:r w:rsidR="00B00311">
              <w:rPr>
                <w:rFonts w:ascii="ITC Avant Garde" w:eastAsia="Times New Roman" w:hAnsi="ITC Avant Garde"/>
                <w:color w:val="000000"/>
                <w:sz w:val="18"/>
                <w:lang w:eastAsia="es-MX"/>
              </w:rPr>
              <w:t>i</w:t>
            </w:r>
            <w:r w:rsidRPr="001E7DF4">
              <w:rPr>
                <w:rFonts w:ascii="ITC Avant Garde" w:eastAsia="Times New Roman" w:hAnsi="ITC Avant Garde"/>
                <w:color w:val="000000"/>
                <w:sz w:val="18"/>
                <w:lang w:eastAsia="es-MX"/>
              </w:rPr>
              <w:t xml:space="preserve">ón de obligaciones de cobertura para prestar el </w:t>
            </w:r>
            <w:r w:rsidR="001E7DF4" w:rsidRPr="001E7DF4">
              <w:rPr>
                <w:rFonts w:ascii="ITC Avant Garde" w:eastAsia="Times New Roman" w:hAnsi="ITC Avant Garde"/>
                <w:color w:val="000000"/>
                <w:sz w:val="18"/>
                <w:lang w:eastAsia="es-MX"/>
              </w:rPr>
              <w:t xml:space="preserve">Servicio Complementario Terrestre </w:t>
            </w:r>
            <w:r w:rsidRPr="001E7DF4">
              <w:rPr>
                <w:rFonts w:ascii="ITC Avant Garde" w:eastAsia="Times New Roman" w:hAnsi="ITC Avant Garde"/>
                <w:color w:val="000000"/>
                <w:sz w:val="18"/>
                <w:lang w:eastAsia="es-MX"/>
              </w:rPr>
              <w:t xml:space="preserve">del </w:t>
            </w:r>
            <w:r w:rsidR="001E7DF4" w:rsidRPr="001E7DF4">
              <w:rPr>
                <w:rFonts w:ascii="ITC Avant Garde" w:eastAsia="Times New Roman" w:hAnsi="ITC Avant Garde"/>
                <w:color w:val="000000"/>
                <w:sz w:val="18"/>
                <w:lang w:eastAsia="es-MX"/>
              </w:rPr>
              <w:t xml:space="preserve">Servicio Móvil </w:t>
            </w:r>
            <w:r w:rsidRPr="001E7DF4">
              <w:rPr>
                <w:rFonts w:ascii="ITC Avant Garde" w:eastAsia="Times New Roman" w:hAnsi="ITC Avant Garde"/>
                <w:color w:val="000000"/>
                <w:sz w:val="18"/>
                <w:lang w:eastAsia="es-MX"/>
              </w:rPr>
              <w:t xml:space="preserve">por </w:t>
            </w:r>
            <w:r w:rsidR="001E7DF4" w:rsidRPr="001E7DF4">
              <w:rPr>
                <w:rFonts w:ascii="ITC Avant Garde" w:eastAsia="Times New Roman" w:hAnsi="ITC Avant Garde"/>
                <w:color w:val="000000"/>
                <w:sz w:val="18"/>
                <w:lang w:eastAsia="es-MX"/>
              </w:rPr>
              <w:t>Satélite</w:t>
            </w:r>
            <w:r w:rsidRPr="001E7DF4">
              <w:rPr>
                <w:rFonts w:ascii="ITC Avant Garde" w:eastAsia="Times New Roman" w:hAnsi="ITC Avant Garde"/>
                <w:color w:val="000000"/>
                <w:sz w:val="18"/>
                <w:lang w:eastAsia="es-MX"/>
              </w:rPr>
              <w:t xml:space="preserve">. </w:t>
            </w:r>
          </w:p>
          <w:p w14:paraId="002DC6FB" w14:textId="1C1B226B" w:rsidR="00917436" w:rsidRPr="00917436" w:rsidRDefault="00917436" w:rsidP="001E7DF4">
            <w:pPr>
              <w:spacing w:after="0" w:line="240" w:lineRule="auto"/>
              <w:ind w:left="776" w:hanging="284"/>
              <w:rPr>
                <w:rFonts w:ascii="ITC Avant Garde" w:eastAsia="Times New Roman" w:hAnsi="ITC Avant Garde"/>
                <w:color w:val="000000"/>
                <w:sz w:val="18"/>
                <w:lang w:eastAsia="es-MX"/>
              </w:rPr>
            </w:pPr>
          </w:p>
          <w:p w14:paraId="24C6B6F0" w14:textId="2F46FEDC" w:rsidR="001E7DF4" w:rsidRPr="00B00311" w:rsidRDefault="00917436" w:rsidP="001E7DF4">
            <w:pPr>
              <w:spacing w:after="0" w:line="240" w:lineRule="auto"/>
              <w:ind w:left="776"/>
              <w:rPr>
                <w:rFonts w:ascii="ITC Avant Garde" w:eastAsia="Times New Roman" w:hAnsi="ITC Avant Garde"/>
                <w:color w:val="000000"/>
                <w:sz w:val="18"/>
                <w:lang w:eastAsia="es-MX"/>
              </w:rPr>
            </w:pPr>
            <w:r w:rsidRPr="00B00311">
              <w:rPr>
                <w:rFonts w:ascii="ITC Avant Garde" w:eastAsia="Times New Roman" w:hAnsi="ITC Avant Garde"/>
                <w:color w:val="000000"/>
                <w:sz w:val="18"/>
                <w:lang w:eastAsia="es-MX"/>
              </w:rPr>
              <w:t>Para mayor referencia sobre obligaciones de cobertura, puede consultar el caso de Canadá en la siguiente liga:</w:t>
            </w:r>
            <w:r w:rsidR="001E7DF4" w:rsidRPr="00B00311">
              <w:rPr>
                <w:rFonts w:ascii="ITC Avant Garde" w:eastAsia="Times New Roman" w:hAnsi="ITC Avant Garde"/>
                <w:color w:val="000000"/>
                <w:sz w:val="18"/>
                <w:lang w:eastAsia="es-MX"/>
              </w:rPr>
              <w:t xml:space="preserve"> </w:t>
            </w:r>
            <w:hyperlink r:id="rId20" w:history="1">
              <w:r w:rsidR="00AD643F" w:rsidRPr="00555814">
                <w:rPr>
                  <w:rFonts w:ascii="ITC Avant Garde" w:eastAsia="Times New Roman" w:hAnsi="ITC Avant Garde"/>
                  <w:color w:val="000000"/>
                  <w:sz w:val="18"/>
                  <w:u w:val="single"/>
                  <w:lang w:eastAsia="es-MX"/>
                </w:rPr>
                <w:t>https://www.ic.gc.ca/eic/site/smt-gst.nsf/vwapj/AWS-4_Dec2014-e.pdf/$file/AWS-4_Dec2014-e.pdf</w:t>
              </w:r>
            </w:hyperlink>
            <w:r w:rsidR="00555814">
              <w:rPr>
                <w:rFonts w:ascii="ITC Avant Garde" w:eastAsia="Times New Roman" w:hAnsi="ITC Avant Garde"/>
                <w:color w:val="000000"/>
                <w:sz w:val="18"/>
                <w:lang w:eastAsia="es-MX"/>
              </w:rPr>
              <w:t>.</w:t>
            </w:r>
            <w:r w:rsidR="00AD643F" w:rsidRPr="00B00311">
              <w:rPr>
                <w:rFonts w:ascii="ITC Avant Garde" w:eastAsia="Times New Roman" w:hAnsi="ITC Avant Garde"/>
                <w:color w:val="000000"/>
                <w:sz w:val="18"/>
                <w:lang w:eastAsia="es-MX"/>
              </w:rPr>
              <w:t xml:space="preserve"> </w:t>
            </w:r>
            <w:r w:rsidR="001E7DF4" w:rsidRPr="00B00311">
              <w:rPr>
                <w:rFonts w:ascii="ITC Avant Garde" w:eastAsia="Times New Roman" w:hAnsi="ITC Avant Garde"/>
                <w:color w:val="000000"/>
                <w:sz w:val="18"/>
                <w:lang w:eastAsia="es-MX"/>
              </w:rPr>
              <w:t xml:space="preserve"> </w:t>
            </w:r>
          </w:p>
          <w:p w14:paraId="3CC2C2F1" w14:textId="77777777" w:rsidR="001E7DF4" w:rsidRPr="00B00311" w:rsidRDefault="001E7DF4" w:rsidP="001E7DF4">
            <w:pPr>
              <w:spacing w:after="0" w:line="240" w:lineRule="auto"/>
              <w:ind w:left="776"/>
              <w:rPr>
                <w:rFonts w:ascii="ITC Avant Garde" w:eastAsia="Times New Roman" w:hAnsi="ITC Avant Garde"/>
                <w:color w:val="000000"/>
                <w:sz w:val="18"/>
                <w:lang w:eastAsia="es-MX"/>
              </w:rPr>
            </w:pPr>
          </w:p>
          <w:p w14:paraId="5AA05BF6" w14:textId="77777777" w:rsidR="001E7DF4" w:rsidRPr="00B00311" w:rsidRDefault="00917436" w:rsidP="001E7DF4">
            <w:pPr>
              <w:spacing w:after="0" w:line="240" w:lineRule="auto"/>
              <w:ind w:left="776"/>
              <w:rPr>
                <w:rFonts w:ascii="ITC Avant Garde" w:eastAsia="Times New Roman" w:hAnsi="ITC Avant Garde"/>
                <w:color w:val="000000"/>
                <w:sz w:val="18"/>
                <w:lang w:eastAsia="es-MX"/>
              </w:rPr>
            </w:pPr>
            <w:r w:rsidRPr="00B00311">
              <w:rPr>
                <w:rFonts w:ascii="ITC Avant Garde" w:eastAsia="Times New Roman" w:hAnsi="ITC Avant Garde"/>
                <w:color w:val="000000"/>
                <w:sz w:val="18"/>
                <w:lang w:eastAsia="es-MX"/>
              </w:rPr>
              <w:t>Anexo C. Requisitos de despliegue, Tablas 1.  Requisitos de despliegue a 5, y Tabla 2. Requisitos de despliegue a 10 años.</w:t>
            </w:r>
          </w:p>
          <w:p w14:paraId="5514F7C1" w14:textId="167D2926" w:rsidR="00917436" w:rsidRDefault="00917436" w:rsidP="001E7DF4">
            <w:pPr>
              <w:spacing w:after="0" w:line="240" w:lineRule="auto"/>
              <w:ind w:left="776" w:hanging="284"/>
              <w:rPr>
                <w:rFonts w:ascii="ITC Avant Garde" w:eastAsia="Times New Roman" w:hAnsi="ITC Avant Garde"/>
                <w:color w:val="000000"/>
                <w:sz w:val="18"/>
                <w:lang w:eastAsia="es-MX"/>
              </w:rPr>
            </w:pPr>
          </w:p>
        </w:tc>
      </w:tr>
      <w:tr w:rsidR="00917436" w:rsidRPr="005D0B9B" w14:paraId="6782A145" w14:textId="77777777" w:rsidTr="004D55DC">
        <w:trPr>
          <w:trHeight w:val="903"/>
        </w:trPr>
        <w:tc>
          <w:tcPr>
            <w:tcW w:w="5000" w:type="pct"/>
            <w:shd w:val="clear" w:color="auto" w:fill="auto"/>
            <w:vAlign w:val="center"/>
          </w:tcPr>
          <w:p w14:paraId="3FCE46E5" w14:textId="56473FF4" w:rsidR="00917436" w:rsidRDefault="00917436" w:rsidP="00917436">
            <w:pPr>
              <w:spacing w:after="0" w:line="240" w:lineRule="auto"/>
              <w:ind w:left="709"/>
              <w:rPr>
                <w:rFonts w:ascii="ITC Avant Garde" w:eastAsia="Times New Roman" w:hAnsi="ITC Avant Garde"/>
                <w:color w:val="000000"/>
                <w:sz w:val="18"/>
                <w:lang w:eastAsia="es-MX"/>
              </w:rPr>
            </w:pPr>
            <w:r w:rsidRPr="005D0B9B">
              <w:rPr>
                <w:rFonts w:ascii="ITC Avant Garde" w:eastAsia="Times New Roman" w:hAnsi="ITC Avant Garde"/>
                <w:color w:val="000000"/>
                <w:sz w:val="18"/>
                <w:lang w:eastAsia="es-MX"/>
              </w:rPr>
              <w:lastRenderedPageBreak/>
              <w:t xml:space="preserve"> Proporcione su comentario.</w:t>
            </w:r>
          </w:p>
        </w:tc>
      </w:tr>
      <w:tr w:rsidR="00A8294D" w:rsidRPr="005D0B9B" w14:paraId="1CFBB1CC" w14:textId="77777777" w:rsidTr="004D2479">
        <w:trPr>
          <w:trHeight w:val="678"/>
        </w:trPr>
        <w:tc>
          <w:tcPr>
            <w:tcW w:w="5000" w:type="pct"/>
            <w:shd w:val="clear" w:color="auto" w:fill="C5E0B3"/>
            <w:vAlign w:val="center"/>
            <w:hideMark/>
          </w:tcPr>
          <w:p w14:paraId="40277953" w14:textId="77777777" w:rsidR="00A8294D" w:rsidRPr="005D0B9B" w:rsidRDefault="00A8294D" w:rsidP="00A8294D">
            <w:pPr>
              <w:pStyle w:val="Prrafodelista"/>
              <w:spacing w:after="0" w:line="240" w:lineRule="auto"/>
              <w:ind w:left="492" w:right="355"/>
              <w:jc w:val="both"/>
              <w:rPr>
                <w:rFonts w:ascii="ITC Avant Garde" w:eastAsia="Times New Roman" w:hAnsi="ITC Avant Garde"/>
                <w:color w:val="000000"/>
                <w:sz w:val="18"/>
                <w:lang w:eastAsia="es-MX"/>
              </w:rPr>
            </w:pPr>
          </w:p>
          <w:p w14:paraId="45663D91" w14:textId="23DFF0BA" w:rsidR="00E3674F" w:rsidRPr="00E3674F" w:rsidRDefault="00A8294D" w:rsidP="007B61A7">
            <w:pPr>
              <w:pStyle w:val="Prrafodelista"/>
              <w:numPr>
                <w:ilvl w:val="0"/>
                <w:numId w:val="16"/>
              </w:numPr>
              <w:spacing w:after="0" w:line="240" w:lineRule="auto"/>
              <w:ind w:left="709" w:right="421" w:hanging="425"/>
              <w:contextualSpacing/>
              <w:jc w:val="both"/>
              <w:rPr>
                <w:rFonts w:ascii="ITC Avant Garde" w:eastAsia="Times New Roman" w:hAnsi="ITC Avant Garde"/>
                <w:color w:val="000000"/>
                <w:sz w:val="18"/>
                <w:lang w:eastAsia="es-MX"/>
              </w:rPr>
            </w:pPr>
            <w:r w:rsidRPr="005D0B9B">
              <w:rPr>
                <w:rFonts w:ascii="ITC Avant Garde" w:hAnsi="ITC Avant Garde"/>
                <w:bCs/>
                <w:color w:val="000000"/>
                <w:sz w:val="18"/>
                <w:lang w:eastAsia="es-MX"/>
              </w:rPr>
              <w:t xml:space="preserve">El límite </w:t>
            </w:r>
            <w:r>
              <w:rPr>
                <w:rFonts w:ascii="ITC Avant Garde" w:hAnsi="ITC Avant Garde"/>
                <w:bCs/>
                <w:color w:val="000000"/>
                <w:sz w:val="18"/>
                <w:lang w:eastAsia="es-MX"/>
              </w:rPr>
              <w:t>de acumulación de espectro</w:t>
            </w:r>
            <w:r>
              <w:t xml:space="preserve"> </w:t>
            </w:r>
            <w:r w:rsidR="00AC666A">
              <w:t xml:space="preserve"> </w:t>
            </w:r>
            <w:r w:rsidR="00AC666A" w:rsidRPr="00AC666A">
              <w:rPr>
                <w:rFonts w:ascii="ITC Avant Garde" w:hAnsi="ITC Avant Garde"/>
                <w:bCs/>
                <w:color w:val="000000"/>
                <w:sz w:val="18"/>
                <w:lang w:eastAsia="es-MX"/>
              </w:rPr>
              <w:t>de un Bloque de espectro pareado de 10 +10 MHz en l</w:t>
            </w:r>
            <w:r w:rsidR="00E3674F">
              <w:rPr>
                <w:rFonts w:ascii="ITC Avant Garde" w:hAnsi="ITC Avant Garde"/>
                <w:bCs/>
                <w:color w:val="000000"/>
                <w:sz w:val="18"/>
                <w:lang w:eastAsia="es-MX"/>
              </w:rPr>
              <w:t>a Banda de 2 GHz, señalado en el numeral 8.2 de</w:t>
            </w:r>
            <w:r w:rsidR="00AC666A" w:rsidRPr="00AC666A">
              <w:rPr>
                <w:rFonts w:ascii="ITC Avant Garde" w:hAnsi="ITC Avant Garde"/>
                <w:bCs/>
                <w:color w:val="000000"/>
                <w:sz w:val="18"/>
                <w:lang w:eastAsia="es-MX"/>
              </w:rPr>
              <w:t>l</w:t>
            </w:r>
            <w:r w:rsidR="00E3674F">
              <w:rPr>
                <w:rFonts w:ascii="ITC Avant Garde" w:hAnsi="ITC Avant Garde"/>
                <w:bCs/>
                <w:color w:val="000000"/>
                <w:sz w:val="18"/>
                <w:lang w:eastAsia="es-MX"/>
              </w:rPr>
              <w:t xml:space="preserve"> proyecto de</w:t>
            </w:r>
            <w:r w:rsidR="00AC666A" w:rsidRPr="00AC666A">
              <w:rPr>
                <w:rFonts w:ascii="ITC Avant Garde" w:hAnsi="ITC Avant Garde"/>
                <w:bCs/>
                <w:color w:val="000000"/>
                <w:sz w:val="18"/>
                <w:lang w:eastAsia="es-MX"/>
              </w:rPr>
              <w:t xml:space="preserve"> Bases</w:t>
            </w:r>
            <w:r w:rsidRPr="005F3F0A">
              <w:rPr>
                <w:rFonts w:ascii="ITC Avant Garde" w:hAnsi="ITC Avant Garde"/>
                <w:bCs/>
                <w:color w:val="000000"/>
                <w:sz w:val="18"/>
                <w:lang w:eastAsia="es-MX"/>
              </w:rPr>
              <w:t xml:space="preserve">. </w:t>
            </w:r>
          </w:p>
          <w:p w14:paraId="7E54CA66" w14:textId="77777777" w:rsidR="00E3674F" w:rsidRPr="00E3674F" w:rsidRDefault="00E3674F" w:rsidP="00E3674F">
            <w:pPr>
              <w:pStyle w:val="Prrafodelista"/>
              <w:spacing w:after="0" w:line="240" w:lineRule="auto"/>
              <w:ind w:left="709" w:right="421"/>
              <w:contextualSpacing/>
              <w:jc w:val="both"/>
              <w:rPr>
                <w:rFonts w:ascii="ITC Avant Garde" w:eastAsia="Times New Roman" w:hAnsi="ITC Avant Garde"/>
                <w:color w:val="000000"/>
                <w:sz w:val="18"/>
                <w:lang w:eastAsia="es-MX"/>
              </w:rPr>
            </w:pPr>
          </w:p>
          <w:p w14:paraId="15E5AC62" w14:textId="77777777" w:rsidR="00A8294D" w:rsidRPr="005F3F0A" w:rsidRDefault="00A8294D" w:rsidP="00E3674F">
            <w:pPr>
              <w:pStyle w:val="Prrafodelista"/>
              <w:spacing w:after="0" w:line="240" w:lineRule="auto"/>
              <w:ind w:left="709" w:right="421"/>
              <w:contextualSpacing/>
              <w:jc w:val="both"/>
              <w:rPr>
                <w:rFonts w:ascii="ITC Avant Garde" w:eastAsia="Times New Roman" w:hAnsi="ITC Avant Garde"/>
                <w:color w:val="000000"/>
                <w:sz w:val="18"/>
                <w:lang w:eastAsia="es-MX"/>
              </w:rPr>
            </w:pPr>
            <w:r w:rsidRPr="005F3F0A">
              <w:rPr>
                <w:rFonts w:ascii="ITC Avant Garde" w:hAnsi="ITC Avant Garde"/>
                <w:bCs/>
                <w:color w:val="000000"/>
                <w:sz w:val="18"/>
                <w:lang w:eastAsia="es-MX"/>
              </w:rPr>
              <w:t xml:space="preserve">En caso de incluir alguna propuesta, favor de acompañarla con </w:t>
            </w:r>
            <w:r>
              <w:rPr>
                <w:rFonts w:ascii="ITC Avant Garde" w:hAnsi="ITC Avant Garde"/>
                <w:bCs/>
                <w:color w:val="000000"/>
                <w:sz w:val="18"/>
                <w:lang w:eastAsia="es-MX"/>
              </w:rPr>
              <w:t xml:space="preserve">la </w:t>
            </w:r>
            <w:r w:rsidRPr="005F3F0A">
              <w:rPr>
                <w:rFonts w:ascii="ITC Avant Garde" w:hAnsi="ITC Avant Garde"/>
                <w:bCs/>
                <w:color w:val="000000"/>
                <w:sz w:val="18"/>
                <w:lang w:eastAsia="es-MX"/>
              </w:rPr>
              <w:t xml:space="preserve">justificación correspondiente. </w:t>
            </w:r>
          </w:p>
          <w:p w14:paraId="2712F2DC" w14:textId="77777777" w:rsidR="00A8294D" w:rsidRPr="005D0B9B" w:rsidRDefault="00A8294D" w:rsidP="00A8294D">
            <w:pPr>
              <w:pStyle w:val="Prrafodelista"/>
              <w:spacing w:after="0" w:line="240" w:lineRule="auto"/>
              <w:ind w:left="0" w:right="355"/>
              <w:contextualSpacing/>
              <w:jc w:val="both"/>
              <w:rPr>
                <w:rFonts w:ascii="ITC Avant Garde" w:eastAsia="Times New Roman" w:hAnsi="ITC Avant Garde"/>
                <w:color w:val="000000"/>
                <w:sz w:val="18"/>
                <w:lang w:eastAsia="es-MX"/>
              </w:rPr>
            </w:pPr>
          </w:p>
        </w:tc>
      </w:tr>
      <w:tr w:rsidR="00A8294D" w:rsidRPr="005D0B9B" w14:paraId="42B429D2" w14:textId="77777777" w:rsidTr="004D2479">
        <w:trPr>
          <w:trHeight w:val="290"/>
        </w:trPr>
        <w:tc>
          <w:tcPr>
            <w:tcW w:w="5000" w:type="pct"/>
            <w:shd w:val="clear" w:color="auto" w:fill="auto"/>
            <w:vAlign w:val="center"/>
          </w:tcPr>
          <w:p w14:paraId="7EE0AAB5" w14:textId="77777777" w:rsidR="00A8294D" w:rsidRPr="005D0B9B" w:rsidRDefault="00A8294D" w:rsidP="00A8294D">
            <w:pPr>
              <w:spacing w:after="0" w:line="240" w:lineRule="auto"/>
              <w:rPr>
                <w:rFonts w:ascii="ITC Avant Garde" w:eastAsia="Times New Roman" w:hAnsi="ITC Avant Garde"/>
                <w:color w:val="000000"/>
                <w:sz w:val="18"/>
                <w:lang w:eastAsia="es-MX"/>
              </w:rPr>
            </w:pPr>
          </w:p>
          <w:p w14:paraId="0C01EC86" w14:textId="77777777" w:rsidR="00A8294D" w:rsidRPr="005D0B9B" w:rsidRDefault="00A8294D" w:rsidP="00E3674F">
            <w:pPr>
              <w:spacing w:after="0" w:line="240" w:lineRule="auto"/>
              <w:ind w:left="709"/>
              <w:rPr>
                <w:rFonts w:ascii="ITC Avant Garde" w:eastAsia="Times New Roman" w:hAnsi="ITC Avant Garde"/>
                <w:color w:val="000000"/>
                <w:sz w:val="18"/>
                <w:lang w:eastAsia="es-MX"/>
              </w:rPr>
            </w:pPr>
            <w:r w:rsidRPr="005D0B9B">
              <w:rPr>
                <w:rFonts w:ascii="ITC Avant Garde" w:eastAsia="Times New Roman" w:hAnsi="ITC Avant Garde"/>
                <w:color w:val="000000"/>
                <w:sz w:val="18"/>
                <w:lang w:eastAsia="es-MX"/>
              </w:rPr>
              <w:t>Proporcione su comentario.</w:t>
            </w:r>
          </w:p>
          <w:p w14:paraId="40DB9371" w14:textId="77777777" w:rsidR="00A8294D" w:rsidRPr="005D0B9B" w:rsidRDefault="00A8294D" w:rsidP="00A8294D">
            <w:pPr>
              <w:spacing w:after="0" w:line="240" w:lineRule="auto"/>
              <w:rPr>
                <w:rFonts w:ascii="ITC Avant Garde" w:eastAsia="Times New Roman" w:hAnsi="ITC Avant Garde"/>
                <w:color w:val="000000"/>
                <w:sz w:val="18"/>
                <w:lang w:eastAsia="es-MX"/>
              </w:rPr>
            </w:pPr>
          </w:p>
        </w:tc>
      </w:tr>
      <w:tr w:rsidR="00A8294D" w:rsidRPr="005D0B9B" w14:paraId="4A4FFEF3" w14:textId="77777777" w:rsidTr="004D2479">
        <w:trPr>
          <w:trHeight w:val="678"/>
        </w:trPr>
        <w:tc>
          <w:tcPr>
            <w:tcW w:w="5000" w:type="pct"/>
            <w:shd w:val="clear" w:color="auto" w:fill="C5E0B3"/>
            <w:vAlign w:val="center"/>
            <w:hideMark/>
          </w:tcPr>
          <w:p w14:paraId="14B539FA" w14:textId="77777777" w:rsidR="00A8294D" w:rsidRPr="00555814" w:rsidRDefault="00A8294D" w:rsidP="00A8294D">
            <w:pPr>
              <w:pStyle w:val="Prrafodelista"/>
              <w:spacing w:after="0" w:line="240" w:lineRule="auto"/>
              <w:ind w:left="1080"/>
              <w:jc w:val="both"/>
              <w:rPr>
                <w:rFonts w:ascii="ITC Avant Garde" w:eastAsia="Times New Roman" w:hAnsi="ITC Avant Garde"/>
                <w:color w:val="000000"/>
                <w:sz w:val="18"/>
                <w:lang w:eastAsia="es-MX"/>
              </w:rPr>
            </w:pPr>
          </w:p>
          <w:p w14:paraId="077DF9C0" w14:textId="13DFA598" w:rsidR="00AC666A" w:rsidRPr="00555814" w:rsidRDefault="00555814" w:rsidP="007B61A7">
            <w:pPr>
              <w:pStyle w:val="Prrafodelista"/>
              <w:numPr>
                <w:ilvl w:val="0"/>
                <w:numId w:val="16"/>
              </w:numPr>
              <w:spacing w:after="0" w:line="240" w:lineRule="auto"/>
              <w:ind w:left="709" w:right="421" w:hanging="425"/>
              <w:contextualSpacing/>
              <w:jc w:val="both"/>
              <w:rPr>
                <w:rFonts w:ascii="ITC Avant Garde" w:eastAsia="Times New Roman" w:hAnsi="ITC Avant Garde"/>
                <w:color w:val="000000"/>
                <w:sz w:val="18"/>
                <w:lang w:eastAsia="es-MX"/>
              </w:rPr>
            </w:pPr>
            <w:r>
              <w:rPr>
                <w:rFonts w:ascii="ITC Avant Garde" w:eastAsia="Times New Roman" w:hAnsi="ITC Avant Garde"/>
                <w:bCs/>
                <w:color w:val="000000"/>
                <w:sz w:val="18"/>
                <w:lang w:eastAsia="es-MX"/>
              </w:rPr>
              <w:t>Los precios de reserva iniciales para u</w:t>
            </w:r>
            <w:r w:rsidR="00AC666A" w:rsidRPr="00555814">
              <w:rPr>
                <w:rFonts w:ascii="ITC Avant Garde" w:hAnsi="ITC Avant Garde"/>
                <w:bCs/>
                <w:color w:val="000000"/>
                <w:sz w:val="18"/>
                <w:lang w:eastAsia="es-MX"/>
              </w:rPr>
              <w:t xml:space="preserve">n Bloque de espectro pareado de 10 +10 MHz en la Banda de 2 GHz. (Numeral 8.2 de las Bases). En caso de incluir alguna propuesta, favor de acompañarla con la justificación correspondiente. </w:t>
            </w:r>
          </w:p>
          <w:p w14:paraId="06E2EAA2" w14:textId="77777777" w:rsidR="00A8294D" w:rsidRPr="00555814" w:rsidRDefault="00A8294D" w:rsidP="004D55DC">
            <w:pPr>
              <w:pStyle w:val="Prrafodelista"/>
              <w:spacing w:after="0" w:line="240" w:lineRule="auto"/>
              <w:ind w:left="0"/>
              <w:rPr>
                <w:rFonts w:ascii="ITC Avant Garde" w:eastAsia="Times New Roman" w:hAnsi="ITC Avant Garde"/>
                <w:color w:val="000000"/>
                <w:sz w:val="18"/>
                <w:lang w:eastAsia="es-MX"/>
              </w:rPr>
            </w:pPr>
            <w:bookmarkStart w:id="0" w:name="_GoBack"/>
            <w:bookmarkEnd w:id="0"/>
          </w:p>
        </w:tc>
      </w:tr>
      <w:tr w:rsidR="00A8294D" w:rsidRPr="005D0B9B" w14:paraId="76A48D30" w14:textId="77777777" w:rsidTr="004D2479">
        <w:trPr>
          <w:trHeight w:val="290"/>
        </w:trPr>
        <w:tc>
          <w:tcPr>
            <w:tcW w:w="5000" w:type="pct"/>
            <w:shd w:val="clear" w:color="auto" w:fill="auto"/>
            <w:vAlign w:val="center"/>
          </w:tcPr>
          <w:p w14:paraId="79F48FA8" w14:textId="77777777" w:rsidR="00A8294D" w:rsidRPr="00555814" w:rsidRDefault="00A8294D" w:rsidP="00A8294D">
            <w:pPr>
              <w:spacing w:after="0" w:line="240" w:lineRule="auto"/>
              <w:rPr>
                <w:rFonts w:ascii="ITC Avant Garde" w:eastAsia="Times New Roman" w:hAnsi="ITC Avant Garde"/>
                <w:color w:val="000000"/>
                <w:sz w:val="18"/>
                <w:lang w:eastAsia="es-MX"/>
              </w:rPr>
            </w:pPr>
          </w:p>
          <w:p w14:paraId="36382900" w14:textId="77777777" w:rsidR="00A8294D" w:rsidRPr="00555814" w:rsidRDefault="00A8294D" w:rsidP="00E3674F">
            <w:pPr>
              <w:spacing w:after="0" w:line="240" w:lineRule="auto"/>
              <w:ind w:left="709"/>
              <w:rPr>
                <w:rFonts w:ascii="ITC Avant Garde" w:eastAsia="Times New Roman" w:hAnsi="ITC Avant Garde"/>
                <w:color w:val="000000"/>
                <w:sz w:val="18"/>
                <w:lang w:eastAsia="es-MX"/>
              </w:rPr>
            </w:pPr>
            <w:r w:rsidRPr="00555814">
              <w:rPr>
                <w:rFonts w:ascii="ITC Avant Garde" w:eastAsia="Times New Roman" w:hAnsi="ITC Avant Garde"/>
                <w:color w:val="000000"/>
                <w:sz w:val="18"/>
                <w:lang w:eastAsia="es-MX"/>
              </w:rPr>
              <w:t>Proporcione su comentario.</w:t>
            </w:r>
          </w:p>
          <w:p w14:paraId="2389C057" w14:textId="77777777" w:rsidR="00A8294D" w:rsidRPr="00555814" w:rsidRDefault="00A8294D" w:rsidP="00A8294D">
            <w:pPr>
              <w:spacing w:after="0" w:line="240" w:lineRule="auto"/>
              <w:rPr>
                <w:rFonts w:ascii="ITC Avant Garde" w:eastAsia="Times New Roman" w:hAnsi="ITC Avant Garde"/>
                <w:color w:val="000000"/>
                <w:sz w:val="18"/>
                <w:lang w:eastAsia="es-MX"/>
              </w:rPr>
            </w:pPr>
          </w:p>
        </w:tc>
      </w:tr>
      <w:tr w:rsidR="00A8294D" w:rsidRPr="005D0B9B" w14:paraId="4F6D2A11" w14:textId="77777777" w:rsidTr="009B2558">
        <w:trPr>
          <w:trHeight w:val="290"/>
        </w:trPr>
        <w:tc>
          <w:tcPr>
            <w:tcW w:w="5000" w:type="pct"/>
            <w:shd w:val="clear" w:color="auto" w:fill="C5E0B3"/>
            <w:vAlign w:val="center"/>
          </w:tcPr>
          <w:p w14:paraId="21C9647F" w14:textId="77777777" w:rsidR="004D55DC" w:rsidRPr="004D55DC" w:rsidRDefault="004D55DC" w:rsidP="004D55DC">
            <w:pPr>
              <w:pStyle w:val="Prrafodelista"/>
              <w:spacing w:after="0" w:line="240" w:lineRule="auto"/>
              <w:ind w:left="709" w:right="421"/>
              <w:contextualSpacing/>
              <w:jc w:val="both"/>
              <w:rPr>
                <w:rFonts w:ascii="Century Gothic" w:eastAsia="Times New Roman" w:hAnsi="Century Gothic"/>
                <w:color w:val="000000"/>
                <w:sz w:val="18"/>
                <w:szCs w:val="18"/>
                <w:lang w:eastAsia="es-MX"/>
              </w:rPr>
            </w:pPr>
          </w:p>
          <w:p w14:paraId="462131EE" w14:textId="2E28F9B6" w:rsidR="00A8294D" w:rsidRPr="006D2996" w:rsidRDefault="007B61A7" w:rsidP="006D2996">
            <w:pPr>
              <w:pStyle w:val="Prrafodelista"/>
              <w:numPr>
                <w:ilvl w:val="0"/>
                <w:numId w:val="16"/>
              </w:numPr>
              <w:spacing w:after="0" w:line="240" w:lineRule="auto"/>
              <w:ind w:left="776" w:right="421" w:hanging="567"/>
              <w:contextualSpacing/>
              <w:jc w:val="both"/>
              <w:rPr>
                <w:rFonts w:ascii="Century Gothic" w:eastAsia="Times New Roman" w:hAnsi="Century Gothic"/>
                <w:color w:val="000000"/>
                <w:sz w:val="18"/>
                <w:szCs w:val="18"/>
                <w:lang w:eastAsia="es-MX"/>
              </w:rPr>
            </w:pPr>
            <w:r w:rsidRPr="006D2996">
              <w:rPr>
                <w:rFonts w:ascii="ITC Avant Garde" w:eastAsia="Times New Roman" w:hAnsi="ITC Avant Garde"/>
                <w:color w:val="000000"/>
                <w:sz w:val="18"/>
                <w:lang w:eastAsia="es-MX"/>
              </w:rPr>
              <w:t>El mecanismo de asignación y las reglas del Procedimiento de Presentación de Ofertas propuesto, el cual se encuentra descrito en el Apéndice B del proyecto de Bases.</w:t>
            </w:r>
          </w:p>
          <w:p w14:paraId="0285507B" w14:textId="77777777" w:rsidR="00A8294D" w:rsidRPr="005F3F0A" w:rsidRDefault="00A8294D" w:rsidP="007B61A7">
            <w:pPr>
              <w:pStyle w:val="Prrafodelista"/>
              <w:spacing w:after="0" w:line="240" w:lineRule="auto"/>
              <w:ind w:right="421"/>
              <w:contextualSpacing/>
              <w:jc w:val="both"/>
              <w:rPr>
                <w:rFonts w:ascii="ITC Avant Garde" w:eastAsia="Times New Roman" w:hAnsi="ITC Avant Garde"/>
                <w:color w:val="000000"/>
                <w:sz w:val="18"/>
                <w:szCs w:val="18"/>
                <w:lang w:eastAsia="es-MX"/>
              </w:rPr>
            </w:pPr>
          </w:p>
        </w:tc>
      </w:tr>
      <w:tr w:rsidR="00A8294D" w:rsidRPr="005D0B9B" w14:paraId="0BDEE1C2" w14:textId="77777777" w:rsidTr="004D2479">
        <w:trPr>
          <w:trHeight w:val="290"/>
        </w:trPr>
        <w:tc>
          <w:tcPr>
            <w:tcW w:w="5000" w:type="pct"/>
            <w:shd w:val="clear" w:color="auto" w:fill="auto"/>
            <w:vAlign w:val="center"/>
          </w:tcPr>
          <w:p w14:paraId="29F3AE8A" w14:textId="77777777" w:rsidR="00A8294D" w:rsidRDefault="00A8294D" w:rsidP="00A8294D">
            <w:pPr>
              <w:spacing w:after="0" w:line="240" w:lineRule="auto"/>
              <w:rPr>
                <w:rFonts w:ascii="ITC Avant Garde" w:eastAsia="Times New Roman" w:hAnsi="ITC Avant Garde"/>
                <w:color w:val="000000"/>
                <w:sz w:val="18"/>
                <w:lang w:eastAsia="es-MX"/>
              </w:rPr>
            </w:pPr>
          </w:p>
          <w:p w14:paraId="047B9EE1" w14:textId="77777777" w:rsidR="00A8294D" w:rsidRPr="005D0B9B" w:rsidRDefault="00A8294D" w:rsidP="00E3674F">
            <w:pPr>
              <w:spacing w:after="0" w:line="240" w:lineRule="auto"/>
              <w:ind w:left="709"/>
              <w:rPr>
                <w:rFonts w:ascii="ITC Avant Garde" w:eastAsia="Times New Roman" w:hAnsi="ITC Avant Garde"/>
                <w:color w:val="000000"/>
                <w:sz w:val="18"/>
                <w:lang w:eastAsia="es-MX"/>
              </w:rPr>
            </w:pPr>
            <w:r w:rsidRPr="005D0B9B">
              <w:rPr>
                <w:rFonts w:ascii="ITC Avant Garde" w:eastAsia="Times New Roman" w:hAnsi="ITC Avant Garde"/>
                <w:color w:val="000000"/>
                <w:sz w:val="18"/>
                <w:lang w:eastAsia="es-MX"/>
              </w:rPr>
              <w:t>Proporcione su comentario.</w:t>
            </w:r>
          </w:p>
          <w:p w14:paraId="158AE0CD" w14:textId="77777777" w:rsidR="00A8294D" w:rsidRPr="005F3F0A" w:rsidRDefault="00A8294D" w:rsidP="00A8294D">
            <w:pPr>
              <w:spacing w:after="0" w:line="240" w:lineRule="auto"/>
              <w:rPr>
                <w:rFonts w:ascii="ITC Avant Garde" w:eastAsia="Times New Roman" w:hAnsi="ITC Avant Garde"/>
                <w:color w:val="000000"/>
                <w:sz w:val="18"/>
                <w:szCs w:val="18"/>
                <w:lang w:eastAsia="es-MX"/>
              </w:rPr>
            </w:pPr>
          </w:p>
        </w:tc>
      </w:tr>
      <w:tr w:rsidR="00A8294D" w:rsidRPr="005D0B9B" w14:paraId="44351932" w14:textId="77777777" w:rsidTr="009B2558">
        <w:trPr>
          <w:trHeight w:val="290"/>
        </w:trPr>
        <w:tc>
          <w:tcPr>
            <w:tcW w:w="5000" w:type="pct"/>
            <w:shd w:val="clear" w:color="auto" w:fill="C5E0B3"/>
            <w:vAlign w:val="center"/>
          </w:tcPr>
          <w:p w14:paraId="00877552" w14:textId="77777777" w:rsidR="00A8294D" w:rsidRPr="005F3F0A" w:rsidRDefault="00A8294D" w:rsidP="006D2996">
            <w:pPr>
              <w:pStyle w:val="Prrafodelista"/>
              <w:spacing w:after="0" w:line="240" w:lineRule="auto"/>
              <w:ind w:left="776" w:hanging="567"/>
              <w:contextualSpacing/>
              <w:jc w:val="both"/>
              <w:rPr>
                <w:rFonts w:ascii="Century Gothic" w:eastAsia="Times New Roman" w:hAnsi="Century Gothic"/>
                <w:color w:val="000000"/>
                <w:sz w:val="18"/>
                <w:szCs w:val="18"/>
                <w:lang w:eastAsia="es-MX"/>
              </w:rPr>
            </w:pPr>
          </w:p>
          <w:p w14:paraId="67AC73D9" w14:textId="4F4D5A66" w:rsidR="009E2301" w:rsidRPr="009E2301" w:rsidRDefault="002943C1" w:rsidP="006D2996">
            <w:pPr>
              <w:pStyle w:val="Prrafodelista"/>
              <w:numPr>
                <w:ilvl w:val="0"/>
                <w:numId w:val="16"/>
              </w:numPr>
              <w:spacing w:after="0" w:line="240" w:lineRule="auto"/>
              <w:ind w:left="776" w:right="421" w:hanging="567"/>
              <w:contextualSpacing/>
              <w:jc w:val="both"/>
              <w:rPr>
                <w:rFonts w:ascii="Century Gothic" w:eastAsia="Times New Roman" w:hAnsi="Century Gothic"/>
                <w:color w:val="000000"/>
                <w:sz w:val="18"/>
                <w:szCs w:val="18"/>
                <w:lang w:eastAsia="es-MX"/>
              </w:rPr>
            </w:pPr>
            <w:r>
              <w:rPr>
                <w:rFonts w:ascii="ITC Avant Garde" w:hAnsi="ITC Avant Garde"/>
                <w:bCs/>
                <w:color w:val="000000"/>
                <w:sz w:val="18"/>
                <w:szCs w:val="18"/>
                <w:lang w:eastAsia="es-MX"/>
              </w:rPr>
              <w:t>L</w:t>
            </w:r>
            <w:r w:rsidR="00A8294D" w:rsidRPr="005F3F0A">
              <w:rPr>
                <w:rFonts w:ascii="ITC Avant Garde" w:hAnsi="ITC Avant Garde"/>
                <w:bCs/>
                <w:color w:val="000000"/>
                <w:sz w:val="18"/>
                <w:szCs w:val="18"/>
                <w:lang w:eastAsia="es-MX"/>
              </w:rPr>
              <w:t xml:space="preserve">a </w:t>
            </w:r>
            <w:r w:rsidR="00DC6631">
              <w:rPr>
                <w:rFonts w:ascii="ITC Avant Garde" w:hAnsi="ITC Avant Garde"/>
                <w:bCs/>
                <w:color w:val="000000"/>
                <w:sz w:val="18"/>
                <w:szCs w:val="18"/>
                <w:lang w:eastAsia="es-MX"/>
              </w:rPr>
              <w:t xml:space="preserve">posible </w:t>
            </w:r>
            <w:r w:rsidR="00A8294D" w:rsidRPr="005F3F0A">
              <w:rPr>
                <w:rFonts w:ascii="ITC Avant Garde" w:hAnsi="ITC Avant Garde"/>
                <w:bCs/>
                <w:color w:val="000000"/>
                <w:sz w:val="18"/>
                <w:szCs w:val="18"/>
                <w:lang w:eastAsia="es-MX"/>
              </w:rPr>
              <w:t>inclusión de un componente no económico</w:t>
            </w:r>
            <w:r w:rsidR="00786C71">
              <w:rPr>
                <w:rFonts w:ascii="ITC Avant Garde" w:hAnsi="ITC Avant Garde"/>
                <w:bCs/>
                <w:color w:val="000000"/>
                <w:sz w:val="18"/>
                <w:szCs w:val="18"/>
                <w:lang w:eastAsia="es-MX"/>
              </w:rPr>
              <w:t xml:space="preserve"> (incentivo)</w:t>
            </w:r>
            <w:r w:rsidR="00B00311">
              <w:rPr>
                <w:rFonts w:ascii="ITC Avant Garde" w:hAnsi="ITC Avant Garde"/>
                <w:bCs/>
                <w:color w:val="000000"/>
                <w:sz w:val="18"/>
                <w:szCs w:val="18"/>
                <w:lang w:eastAsia="es-MX"/>
              </w:rPr>
              <w:t xml:space="preserve"> adicional en el Procedimiento de Presentación Económico</w:t>
            </w:r>
            <w:r w:rsidR="009E2301">
              <w:rPr>
                <w:rFonts w:ascii="ITC Avant Garde" w:hAnsi="ITC Avant Garde"/>
                <w:bCs/>
                <w:color w:val="000000"/>
                <w:sz w:val="18"/>
                <w:szCs w:val="18"/>
                <w:lang w:eastAsia="es-MX"/>
              </w:rPr>
              <w:t xml:space="preserve"> a valorar como parte d</w:t>
            </w:r>
            <w:r w:rsidR="0007511F">
              <w:rPr>
                <w:rFonts w:ascii="ITC Avant Garde" w:hAnsi="ITC Avant Garde"/>
                <w:bCs/>
                <w:color w:val="000000"/>
                <w:sz w:val="18"/>
                <w:szCs w:val="18"/>
                <w:lang w:eastAsia="es-MX"/>
              </w:rPr>
              <w:t>e</w:t>
            </w:r>
            <w:r w:rsidR="009E2301">
              <w:rPr>
                <w:rFonts w:ascii="ITC Avant Garde" w:hAnsi="ITC Avant Garde"/>
                <w:bCs/>
                <w:color w:val="000000"/>
                <w:sz w:val="18"/>
                <w:szCs w:val="18"/>
                <w:lang w:eastAsia="es-MX"/>
              </w:rPr>
              <w:t xml:space="preserve"> la Oferta, señalado en el Apéndice B del proyecto de Bases</w:t>
            </w:r>
            <w:r w:rsidR="00A8294D" w:rsidRPr="005F3F0A">
              <w:rPr>
                <w:rFonts w:ascii="ITC Avant Garde" w:hAnsi="ITC Avant Garde"/>
                <w:bCs/>
                <w:color w:val="000000"/>
                <w:sz w:val="18"/>
                <w:szCs w:val="18"/>
                <w:lang w:eastAsia="es-MX"/>
              </w:rPr>
              <w:t xml:space="preserve">. </w:t>
            </w:r>
            <w:r w:rsidR="00786C71">
              <w:rPr>
                <w:rFonts w:ascii="ITC Avant Garde" w:hAnsi="ITC Avant Garde"/>
                <w:bCs/>
                <w:color w:val="000000"/>
                <w:sz w:val="18"/>
                <w:szCs w:val="18"/>
                <w:lang w:eastAsia="es-MX"/>
              </w:rPr>
              <w:t>Lo anterior, en razón de</w:t>
            </w:r>
            <w:r w:rsidR="0007511F">
              <w:rPr>
                <w:rFonts w:ascii="ITC Avant Garde" w:hAnsi="ITC Avant Garde"/>
                <w:bCs/>
                <w:color w:val="000000"/>
                <w:sz w:val="18"/>
                <w:szCs w:val="18"/>
                <w:lang w:eastAsia="es-MX"/>
              </w:rPr>
              <w:t xml:space="preserve"> los elementos no económicos que forman parte del propio proceso descrito en las Bases.</w:t>
            </w:r>
          </w:p>
          <w:p w14:paraId="5DE53A5A" w14:textId="77777777" w:rsidR="009E2301" w:rsidRPr="009E2301" w:rsidRDefault="009E2301" w:rsidP="006D2996">
            <w:pPr>
              <w:pStyle w:val="Prrafodelista"/>
              <w:spacing w:after="0" w:line="240" w:lineRule="auto"/>
              <w:ind w:left="776" w:right="421" w:hanging="567"/>
              <w:contextualSpacing/>
              <w:jc w:val="both"/>
              <w:rPr>
                <w:rFonts w:ascii="Century Gothic" w:eastAsia="Times New Roman" w:hAnsi="Century Gothic"/>
                <w:color w:val="000000"/>
                <w:sz w:val="18"/>
                <w:szCs w:val="18"/>
                <w:lang w:eastAsia="es-MX"/>
              </w:rPr>
            </w:pPr>
          </w:p>
          <w:p w14:paraId="3DFC70ED" w14:textId="4BA82094" w:rsidR="00A8294D" w:rsidRPr="005F3F0A" w:rsidRDefault="00A8294D" w:rsidP="006D2996">
            <w:pPr>
              <w:pStyle w:val="Prrafodelista"/>
              <w:spacing w:after="0" w:line="240" w:lineRule="auto"/>
              <w:ind w:left="776" w:right="421"/>
              <w:contextualSpacing/>
              <w:jc w:val="both"/>
              <w:rPr>
                <w:rFonts w:ascii="Century Gothic" w:eastAsia="Times New Roman" w:hAnsi="Century Gothic"/>
                <w:color w:val="000000"/>
                <w:sz w:val="18"/>
                <w:szCs w:val="18"/>
                <w:lang w:eastAsia="es-MX"/>
              </w:rPr>
            </w:pPr>
            <w:r w:rsidRPr="005F3F0A">
              <w:rPr>
                <w:rFonts w:ascii="ITC Avant Garde" w:hAnsi="ITC Avant Garde"/>
                <w:bCs/>
                <w:color w:val="000000"/>
                <w:sz w:val="18"/>
                <w:szCs w:val="18"/>
                <w:lang w:eastAsia="es-MX"/>
              </w:rPr>
              <w:t xml:space="preserve">Dicho incentivo debe </w:t>
            </w:r>
            <w:r w:rsidR="00806A49">
              <w:rPr>
                <w:rFonts w:ascii="ITC Avant Garde" w:hAnsi="ITC Avant Garde"/>
                <w:bCs/>
                <w:color w:val="000000"/>
                <w:sz w:val="18"/>
                <w:szCs w:val="18"/>
                <w:lang w:eastAsia="es-MX"/>
              </w:rPr>
              <w:t>tener</w:t>
            </w:r>
            <w:r w:rsidRPr="005F3F0A">
              <w:rPr>
                <w:rFonts w:ascii="ITC Avant Garde" w:hAnsi="ITC Avant Garde"/>
                <w:bCs/>
                <w:color w:val="000000"/>
                <w:sz w:val="18"/>
                <w:szCs w:val="18"/>
                <w:lang w:eastAsia="es-MX"/>
              </w:rPr>
              <w:t xml:space="preserve"> como objetivo el promover alguna condición deseable tal como la competencia, mejora tecnológica, calidad de servicios, etc. En caso de incluir alguna propuesta favor de acompañarla con su justificación correspondiente. </w:t>
            </w:r>
          </w:p>
          <w:p w14:paraId="188512F6" w14:textId="77777777" w:rsidR="00A8294D" w:rsidRPr="005F3F0A" w:rsidRDefault="00A8294D" w:rsidP="00A8294D">
            <w:pPr>
              <w:spacing w:after="0" w:line="240" w:lineRule="auto"/>
              <w:jc w:val="both"/>
              <w:rPr>
                <w:rFonts w:ascii="ITC Avant Garde" w:eastAsia="Times New Roman" w:hAnsi="ITC Avant Garde"/>
                <w:color w:val="000000"/>
                <w:sz w:val="18"/>
                <w:szCs w:val="18"/>
                <w:lang w:eastAsia="es-MX"/>
              </w:rPr>
            </w:pPr>
          </w:p>
        </w:tc>
      </w:tr>
      <w:tr w:rsidR="00A8294D" w:rsidRPr="005D0B9B" w14:paraId="22A99EED" w14:textId="77777777" w:rsidTr="004D2479">
        <w:trPr>
          <w:trHeight w:val="290"/>
        </w:trPr>
        <w:tc>
          <w:tcPr>
            <w:tcW w:w="5000" w:type="pct"/>
            <w:shd w:val="clear" w:color="auto" w:fill="auto"/>
            <w:vAlign w:val="center"/>
          </w:tcPr>
          <w:p w14:paraId="441464FC" w14:textId="77777777" w:rsidR="00A8294D" w:rsidRDefault="00A8294D" w:rsidP="00A8294D">
            <w:pPr>
              <w:spacing w:after="0" w:line="240" w:lineRule="auto"/>
              <w:rPr>
                <w:rFonts w:ascii="ITC Avant Garde" w:eastAsia="Times New Roman" w:hAnsi="ITC Avant Garde"/>
                <w:color w:val="000000"/>
                <w:sz w:val="18"/>
                <w:lang w:eastAsia="es-MX"/>
              </w:rPr>
            </w:pPr>
          </w:p>
          <w:p w14:paraId="5D72FEDF" w14:textId="77777777" w:rsidR="00A8294D" w:rsidRPr="005D0B9B" w:rsidRDefault="00A8294D" w:rsidP="009E2301">
            <w:pPr>
              <w:spacing w:after="0" w:line="240" w:lineRule="auto"/>
              <w:ind w:left="709"/>
              <w:rPr>
                <w:rFonts w:ascii="ITC Avant Garde" w:eastAsia="Times New Roman" w:hAnsi="ITC Avant Garde"/>
                <w:color w:val="000000"/>
                <w:sz w:val="18"/>
                <w:lang w:eastAsia="es-MX"/>
              </w:rPr>
            </w:pPr>
            <w:r w:rsidRPr="005D0B9B">
              <w:rPr>
                <w:rFonts w:ascii="ITC Avant Garde" w:eastAsia="Times New Roman" w:hAnsi="ITC Avant Garde"/>
                <w:color w:val="000000"/>
                <w:sz w:val="18"/>
                <w:lang w:eastAsia="es-MX"/>
              </w:rPr>
              <w:t>Proporcione su comentario.</w:t>
            </w:r>
          </w:p>
          <w:p w14:paraId="1FA89D5C" w14:textId="77777777" w:rsidR="00A8294D" w:rsidRPr="005F3F0A" w:rsidRDefault="00A8294D" w:rsidP="00A8294D">
            <w:pPr>
              <w:spacing w:after="0" w:line="240" w:lineRule="auto"/>
              <w:rPr>
                <w:rFonts w:ascii="ITC Avant Garde" w:eastAsia="Times New Roman" w:hAnsi="ITC Avant Garde"/>
                <w:color w:val="000000"/>
                <w:sz w:val="18"/>
                <w:szCs w:val="18"/>
                <w:lang w:eastAsia="es-MX"/>
              </w:rPr>
            </w:pPr>
          </w:p>
        </w:tc>
      </w:tr>
      <w:tr w:rsidR="00B01E4E" w:rsidRPr="005D0B9B" w14:paraId="073326DF" w14:textId="77777777" w:rsidTr="001E7890">
        <w:trPr>
          <w:trHeight w:val="290"/>
        </w:trPr>
        <w:tc>
          <w:tcPr>
            <w:tcW w:w="5000" w:type="pct"/>
            <w:shd w:val="clear" w:color="auto" w:fill="C5E0B3"/>
            <w:vAlign w:val="center"/>
          </w:tcPr>
          <w:p w14:paraId="6042AF08" w14:textId="77777777" w:rsidR="00371368" w:rsidRDefault="00371368" w:rsidP="00923F70">
            <w:pPr>
              <w:spacing w:after="0" w:line="240" w:lineRule="auto"/>
              <w:jc w:val="both"/>
              <w:rPr>
                <w:rFonts w:ascii="ITC Avant Garde" w:eastAsia="Times New Roman" w:hAnsi="ITC Avant Garde"/>
                <w:color w:val="000000"/>
                <w:sz w:val="18"/>
                <w:lang w:eastAsia="es-MX"/>
              </w:rPr>
            </w:pPr>
          </w:p>
          <w:p w14:paraId="7941A3F0" w14:textId="02F4A6DF" w:rsidR="00B01E4E" w:rsidRDefault="002943C1" w:rsidP="006D2996">
            <w:pPr>
              <w:numPr>
                <w:ilvl w:val="0"/>
                <w:numId w:val="16"/>
              </w:numPr>
              <w:spacing w:after="0" w:line="240" w:lineRule="auto"/>
              <w:ind w:left="709" w:right="421" w:hanging="500"/>
              <w:jc w:val="both"/>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L</w:t>
            </w:r>
            <w:r w:rsidR="00B01E4E" w:rsidRPr="00B01E4E">
              <w:rPr>
                <w:rFonts w:ascii="ITC Avant Garde" w:eastAsia="Times New Roman" w:hAnsi="ITC Avant Garde"/>
                <w:color w:val="000000"/>
                <w:sz w:val="18"/>
                <w:lang w:eastAsia="es-MX"/>
              </w:rPr>
              <w:t xml:space="preserve">a vigencia de 10 </w:t>
            </w:r>
            <w:r w:rsidR="009E2301">
              <w:rPr>
                <w:rFonts w:ascii="ITC Avant Garde" w:eastAsia="Times New Roman" w:hAnsi="ITC Avant Garde"/>
                <w:color w:val="000000"/>
                <w:sz w:val="18"/>
                <w:lang w:eastAsia="es-MX"/>
              </w:rPr>
              <w:t xml:space="preserve">(diez) </w:t>
            </w:r>
            <w:r w:rsidR="00B01E4E" w:rsidRPr="00B01E4E">
              <w:rPr>
                <w:rFonts w:ascii="ITC Avant Garde" w:eastAsia="Times New Roman" w:hAnsi="ITC Avant Garde"/>
                <w:color w:val="000000"/>
                <w:sz w:val="18"/>
                <w:lang w:eastAsia="es-MX"/>
              </w:rPr>
              <w:t>años de las Concesiones de Espectro Radioeléctrico para Uso Comercial que se otorguen con motivo de la licitación, contados a partir del otorgamiento del título de concesión correspond</w:t>
            </w:r>
            <w:r w:rsidR="009E2301">
              <w:rPr>
                <w:rFonts w:ascii="ITC Avant Garde" w:eastAsia="Times New Roman" w:hAnsi="ITC Avant Garde"/>
                <w:color w:val="000000"/>
                <w:sz w:val="18"/>
                <w:lang w:eastAsia="es-MX"/>
              </w:rPr>
              <w:t>iente, señalado en el numeral 14.1 del proyecto de Bases</w:t>
            </w:r>
            <w:r w:rsidR="00923F70">
              <w:rPr>
                <w:rFonts w:ascii="ITC Avant Garde" w:eastAsia="Times New Roman" w:hAnsi="ITC Avant Garde"/>
                <w:color w:val="000000"/>
                <w:sz w:val="18"/>
                <w:lang w:eastAsia="es-MX"/>
              </w:rPr>
              <w:t>.</w:t>
            </w:r>
            <w:r w:rsidR="0007511F">
              <w:rPr>
                <w:rFonts w:ascii="ITC Avant Garde" w:eastAsia="Times New Roman" w:hAnsi="ITC Avant Garde"/>
                <w:color w:val="000000"/>
                <w:sz w:val="18"/>
                <w:lang w:eastAsia="es-MX"/>
              </w:rPr>
              <w:t xml:space="preserve"> En cualquier caso, se solicita que se agreguen las razones que sustenten su propuesta.</w:t>
            </w:r>
          </w:p>
          <w:p w14:paraId="663B2CD0" w14:textId="77777777" w:rsidR="00371368" w:rsidRDefault="00371368" w:rsidP="00923F70">
            <w:pPr>
              <w:spacing w:after="0" w:line="240" w:lineRule="auto"/>
              <w:jc w:val="both"/>
              <w:rPr>
                <w:rFonts w:ascii="ITC Avant Garde" w:eastAsia="Times New Roman" w:hAnsi="ITC Avant Garde"/>
                <w:color w:val="000000"/>
                <w:sz w:val="18"/>
                <w:lang w:eastAsia="es-MX"/>
              </w:rPr>
            </w:pPr>
          </w:p>
        </w:tc>
      </w:tr>
      <w:tr w:rsidR="00B01E4E" w:rsidRPr="005D0B9B" w14:paraId="010D894A" w14:textId="77777777" w:rsidTr="004D2479">
        <w:trPr>
          <w:trHeight w:val="290"/>
        </w:trPr>
        <w:tc>
          <w:tcPr>
            <w:tcW w:w="5000" w:type="pct"/>
            <w:shd w:val="clear" w:color="auto" w:fill="auto"/>
            <w:vAlign w:val="center"/>
          </w:tcPr>
          <w:p w14:paraId="5066DD6D" w14:textId="77777777" w:rsidR="00923F70" w:rsidRDefault="00923F70" w:rsidP="00923F70">
            <w:pPr>
              <w:spacing w:after="0" w:line="240" w:lineRule="auto"/>
              <w:rPr>
                <w:rFonts w:ascii="ITC Avant Garde" w:eastAsia="Times New Roman" w:hAnsi="ITC Avant Garde"/>
                <w:color w:val="000000"/>
                <w:sz w:val="18"/>
                <w:lang w:eastAsia="es-MX"/>
              </w:rPr>
            </w:pPr>
          </w:p>
          <w:p w14:paraId="15498314" w14:textId="77777777" w:rsidR="00923F70" w:rsidRDefault="00923F70" w:rsidP="009E2301">
            <w:pPr>
              <w:spacing w:after="0" w:line="240" w:lineRule="auto"/>
              <w:ind w:left="709"/>
              <w:rPr>
                <w:rFonts w:ascii="ITC Avant Garde" w:eastAsia="Times New Roman" w:hAnsi="ITC Avant Garde"/>
                <w:color w:val="000000"/>
                <w:sz w:val="18"/>
                <w:lang w:eastAsia="es-MX"/>
              </w:rPr>
            </w:pPr>
            <w:r>
              <w:rPr>
                <w:rFonts w:ascii="ITC Avant Garde" w:eastAsia="Times New Roman" w:hAnsi="ITC Avant Garde"/>
                <w:color w:val="000000"/>
                <w:sz w:val="18"/>
                <w:lang w:eastAsia="es-MX"/>
              </w:rPr>
              <w:t>Proporcione su comentario</w:t>
            </w:r>
          </w:p>
          <w:p w14:paraId="40365FFF" w14:textId="77777777" w:rsidR="00B01E4E" w:rsidRDefault="00B01E4E" w:rsidP="00B01E4E">
            <w:pPr>
              <w:spacing w:after="0" w:line="240" w:lineRule="auto"/>
              <w:jc w:val="both"/>
              <w:rPr>
                <w:rFonts w:ascii="ITC Avant Garde" w:eastAsia="Times New Roman" w:hAnsi="ITC Avant Garde"/>
                <w:color w:val="000000"/>
                <w:sz w:val="18"/>
                <w:lang w:eastAsia="es-MX"/>
              </w:rPr>
            </w:pPr>
          </w:p>
        </w:tc>
      </w:tr>
    </w:tbl>
    <w:p w14:paraId="7F589294" w14:textId="77777777" w:rsidR="00D838EA" w:rsidRDefault="00D838EA" w:rsidP="00D838EA">
      <w:pPr>
        <w:spacing w:after="0"/>
        <w:jc w:val="both"/>
        <w:rPr>
          <w:rFonts w:ascii="ITC Avant Garde" w:hAnsi="ITC Avant Garde"/>
          <w:sz w:val="18"/>
        </w:rPr>
      </w:pPr>
    </w:p>
    <w:p w14:paraId="03FC288A" w14:textId="77777777" w:rsidR="004729CC" w:rsidRDefault="004729CC" w:rsidP="00170916">
      <w:pPr>
        <w:spacing w:after="0"/>
        <w:jc w:val="both"/>
        <w:rPr>
          <w:rFonts w:ascii="ITC Avant Garde" w:hAnsi="ITC Avant Garde"/>
          <w:sz w:val="18"/>
        </w:rPr>
      </w:pPr>
    </w:p>
    <w:p w14:paraId="7BABDD04" w14:textId="77777777" w:rsidR="0034210A" w:rsidRPr="005D0B9B" w:rsidRDefault="0034210A" w:rsidP="00DC6631">
      <w:pPr>
        <w:spacing w:after="0" w:line="240" w:lineRule="auto"/>
        <w:rPr>
          <w:rFonts w:ascii="ITC Avant Garde" w:hAnsi="ITC Avant Garde"/>
          <w:sz w:val="18"/>
        </w:rPr>
      </w:pPr>
    </w:p>
    <w:sectPr w:rsidR="0034210A" w:rsidRPr="005D0B9B" w:rsidSect="0086154B">
      <w:headerReference w:type="default" r:id="rId21"/>
      <w:footerReference w:type="default" r:id="rId22"/>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ED0E1" w14:textId="77777777" w:rsidR="001E7186" w:rsidRDefault="001E7186" w:rsidP="0038199D">
      <w:pPr>
        <w:spacing w:after="0" w:line="240" w:lineRule="auto"/>
      </w:pPr>
      <w:r>
        <w:separator/>
      </w:r>
    </w:p>
  </w:endnote>
  <w:endnote w:type="continuationSeparator" w:id="0">
    <w:p w14:paraId="23880DF9" w14:textId="77777777" w:rsidR="001E7186" w:rsidRDefault="001E7186" w:rsidP="0038199D">
      <w:pPr>
        <w:spacing w:after="0" w:line="240" w:lineRule="auto"/>
      </w:pPr>
      <w:r>
        <w:continuationSeparator/>
      </w:r>
    </w:p>
  </w:endnote>
  <w:endnote w:type="continuationNotice" w:id="1">
    <w:p w14:paraId="73F985D4" w14:textId="77777777" w:rsidR="001E7186" w:rsidRDefault="001E71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34DE3" w14:textId="7DE22AA6" w:rsidR="001E7186" w:rsidRPr="00DF5B3F" w:rsidRDefault="001E7186">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555814" w:rsidRPr="00555814">
      <w:rPr>
        <w:rFonts w:ascii="ITC Avant Garde" w:hAnsi="ITC Avant Garde"/>
        <w:noProof/>
        <w:color w:val="323E4F"/>
        <w:sz w:val="14"/>
        <w:szCs w:val="24"/>
        <w:lang w:val="es-ES"/>
      </w:rPr>
      <w:t>6</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555814" w:rsidRPr="00555814">
      <w:rPr>
        <w:rFonts w:ascii="ITC Avant Garde" w:hAnsi="ITC Avant Garde"/>
        <w:noProof/>
        <w:color w:val="323E4F"/>
        <w:sz w:val="14"/>
        <w:szCs w:val="24"/>
        <w:lang w:val="es-ES"/>
      </w:rPr>
      <w:t>7</w:t>
    </w:r>
    <w:r w:rsidRPr="00DF5B3F">
      <w:rPr>
        <w:rFonts w:ascii="ITC Avant Garde" w:hAnsi="ITC Avant Garde"/>
        <w:color w:val="323E4F"/>
        <w:sz w:val="14"/>
        <w:szCs w:val="24"/>
      </w:rPr>
      <w:fldChar w:fldCharType="end"/>
    </w:r>
  </w:p>
  <w:p w14:paraId="6ABFB7D5" w14:textId="77777777" w:rsidR="001E7186" w:rsidRDefault="001E71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632C5" w14:textId="77777777" w:rsidR="001E7186" w:rsidRDefault="001E7186" w:rsidP="0038199D">
      <w:pPr>
        <w:spacing w:after="0" w:line="240" w:lineRule="auto"/>
      </w:pPr>
      <w:r>
        <w:separator/>
      </w:r>
    </w:p>
  </w:footnote>
  <w:footnote w:type="continuationSeparator" w:id="0">
    <w:p w14:paraId="73454E89" w14:textId="77777777" w:rsidR="001E7186" w:rsidRDefault="001E7186" w:rsidP="0038199D">
      <w:pPr>
        <w:spacing w:after="0" w:line="240" w:lineRule="auto"/>
      </w:pPr>
      <w:r>
        <w:continuationSeparator/>
      </w:r>
    </w:p>
  </w:footnote>
  <w:footnote w:type="continuationNotice" w:id="1">
    <w:p w14:paraId="4DBB132B" w14:textId="77777777" w:rsidR="001E7186" w:rsidRDefault="001E71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93EFE" w14:textId="033D2D17" w:rsidR="001E7186" w:rsidRPr="007A6974" w:rsidRDefault="001E7186"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0037CAF7" wp14:editId="7761EFE5">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66627F79" w14:textId="1BF24FB4" w:rsidR="001E7186" w:rsidRPr="009577CE" w:rsidRDefault="001E7186" w:rsidP="004D5EAB">
    <w:pPr>
      <w:pStyle w:val="Encabezado"/>
      <w:ind w:left="3119"/>
      <w:jc w:val="both"/>
      <w:rPr>
        <w:rFonts w:ascii="ITC Avant Garde" w:hAnsi="ITC Avant Garde"/>
        <w:b/>
        <w:i/>
        <w:sz w:val="20"/>
        <w:szCs w:val="20"/>
      </w:rPr>
    </w:pPr>
    <w:r w:rsidRPr="009577CE">
      <w:rPr>
        <w:rFonts w:ascii="ITC Avant Garde" w:hAnsi="ITC Avant Garde"/>
        <w:b/>
        <w:i/>
        <w:sz w:val="20"/>
        <w:szCs w:val="20"/>
      </w:rPr>
      <w:t>Consulta Pública sobre el “</w:t>
    </w:r>
    <w:r w:rsidRPr="009577CE">
      <w:rPr>
        <w:rFonts w:ascii="ITC Avant Garde" w:eastAsia="Times New Roman" w:hAnsi="ITC Avant Garde"/>
        <w:b/>
        <w:i/>
        <w:sz w:val="20"/>
        <w:szCs w:val="20"/>
        <w:lang w:eastAsia="es-ES"/>
      </w:rPr>
      <w:t xml:space="preserve">Proyecto de Bases de la </w:t>
    </w:r>
    <w:r>
      <w:rPr>
        <w:rFonts w:ascii="ITC Avant Garde" w:hAnsi="ITC Avant Garde"/>
        <w:b/>
        <w:i/>
        <w:sz w:val="20"/>
        <w:szCs w:val="20"/>
      </w:rPr>
      <w:t>Li</w:t>
    </w:r>
    <w:r w:rsidRPr="009577CE">
      <w:rPr>
        <w:rFonts w:ascii="ITC Avant Garde" w:hAnsi="ITC Avant Garde"/>
        <w:b/>
        <w:i/>
        <w:sz w:val="20"/>
        <w:szCs w:val="20"/>
      </w:rPr>
      <w:t xml:space="preserve">citación Pública para concesionar el uso, aprovechamiento y explotación comercial </w:t>
    </w:r>
    <w:r w:rsidRPr="009577CE">
      <w:rPr>
        <w:rFonts w:ascii="ITC Avant Garde" w:eastAsia="MS Mincho" w:hAnsi="ITC Avant Garde"/>
        <w:b/>
        <w:i/>
        <w:sz w:val="20"/>
        <w:szCs w:val="20"/>
      </w:rPr>
      <w:t xml:space="preserve">de </w:t>
    </w:r>
    <w:r w:rsidRPr="009577CE">
      <w:rPr>
        <w:rFonts w:ascii="ITC Avant Garde" w:hAnsi="ITC Avant Garde"/>
        <w:b/>
        <w:i/>
        <w:sz w:val="20"/>
        <w:szCs w:val="20"/>
        <w:lang w:val="es-ES_tradnl"/>
      </w:rPr>
      <w:t>40 MHz de espectro radioeléctrico disponibles en la banda de frecuencias 2000-2020/2180-2200 MHz para la prestación del Servicio Complementario Terrestre del Servicio Móvil por Satélite (Licitación No. IFT-9)</w:t>
    </w:r>
    <w:r w:rsidRPr="009577CE">
      <w:rPr>
        <w:rFonts w:ascii="ITC Avant Garde" w:hAnsi="ITC Avant Garde"/>
        <w:b/>
        <w:i/>
        <w:sz w:val="20"/>
        <w:szCs w:val="20"/>
      </w:rPr>
      <w:t>”</w:t>
    </w:r>
  </w:p>
  <w:p w14:paraId="6BC11FB1" w14:textId="234E70FF" w:rsidR="001E7186" w:rsidRPr="007A6974" w:rsidRDefault="001E7186"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77722065" wp14:editId="154215E3">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1174721"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0E68BC"/>
    <w:multiLevelType w:val="hybridMultilevel"/>
    <w:tmpl w:val="8D8249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41180"/>
    <w:multiLevelType w:val="hybridMultilevel"/>
    <w:tmpl w:val="35569F7A"/>
    <w:lvl w:ilvl="0" w:tplc="080A000F">
      <w:start w:val="1"/>
      <w:numFmt w:val="decimal"/>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537BB2"/>
    <w:multiLevelType w:val="hybridMultilevel"/>
    <w:tmpl w:val="7AE28E30"/>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8C6E95"/>
    <w:multiLevelType w:val="hybridMultilevel"/>
    <w:tmpl w:val="C2B4E59E"/>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982D61"/>
    <w:multiLevelType w:val="hybridMultilevel"/>
    <w:tmpl w:val="5E8EC56E"/>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8" w15:restartNumberingAfterBreak="0">
    <w:nsid w:val="265701EA"/>
    <w:multiLevelType w:val="hybridMultilevel"/>
    <w:tmpl w:val="35569F7A"/>
    <w:lvl w:ilvl="0" w:tplc="080A000F">
      <w:start w:val="1"/>
      <w:numFmt w:val="decimal"/>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EC183A"/>
    <w:multiLevelType w:val="hybridMultilevel"/>
    <w:tmpl w:val="7AE28E30"/>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623A4E"/>
    <w:multiLevelType w:val="hybridMultilevel"/>
    <w:tmpl w:val="5DC252A2"/>
    <w:lvl w:ilvl="0" w:tplc="B4B631EA">
      <w:start w:val="1"/>
      <w:numFmt w:val="lowerLetter"/>
      <w:lvlText w:val="%1)"/>
      <w:lvlJc w:val="left"/>
      <w:pPr>
        <w:ind w:left="1440" w:hanging="360"/>
      </w:pPr>
      <w:rPr>
        <w:rFonts w:ascii="ITC Avant Garde" w:eastAsia="Calibri" w:hAnsi="ITC Avant Garde" w:cs="Times New Roman"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47C91DED"/>
    <w:multiLevelType w:val="hybridMultilevel"/>
    <w:tmpl w:val="7AE28E30"/>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F27415"/>
    <w:multiLevelType w:val="hybridMultilevel"/>
    <w:tmpl w:val="8D8249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205172"/>
    <w:multiLevelType w:val="hybridMultilevel"/>
    <w:tmpl w:val="7AE28E30"/>
    <w:lvl w:ilvl="0" w:tplc="60E6E4AA">
      <w:start w:val="1"/>
      <w:numFmt w:val="decimal"/>
      <w:lvlText w:val="%1."/>
      <w:lvlJc w:val="left"/>
      <w:pPr>
        <w:ind w:left="4406"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8169E2"/>
    <w:multiLevelType w:val="hybridMultilevel"/>
    <w:tmpl w:val="C2B4E59E"/>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1"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25"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7" w15:restartNumberingAfterBreak="0">
    <w:nsid w:val="735A11A6"/>
    <w:multiLevelType w:val="hybridMultilevel"/>
    <w:tmpl w:val="C2B4E59E"/>
    <w:lvl w:ilvl="0" w:tplc="60E6E4AA">
      <w:start w:val="1"/>
      <w:numFmt w:val="decimal"/>
      <w:lvlText w:val="%1."/>
      <w:lvlJc w:val="left"/>
      <w:pPr>
        <w:ind w:left="1080" w:hanging="72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0"/>
  </w:num>
  <w:num w:numId="3">
    <w:abstractNumId w:val="3"/>
  </w:num>
  <w:num w:numId="4">
    <w:abstractNumId w:val="12"/>
  </w:num>
  <w:num w:numId="5">
    <w:abstractNumId w:val="23"/>
  </w:num>
  <w:num w:numId="6">
    <w:abstractNumId w:val="10"/>
  </w:num>
  <w:num w:numId="7">
    <w:abstractNumId w:val="21"/>
  </w:num>
  <w:num w:numId="8">
    <w:abstractNumId w:val="22"/>
  </w:num>
  <w:num w:numId="9">
    <w:abstractNumId w:val="9"/>
  </w:num>
  <w:num w:numId="10">
    <w:abstractNumId w:val="1"/>
  </w:num>
  <w:num w:numId="11">
    <w:abstractNumId w:val="25"/>
  </w:num>
  <w:num w:numId="12">
    <w:abstractNumId w:val="17"/>
  </w:num>
  <w:num w:numId="13">
    <w:abstractNumId w:val="26"/>
  </w:num>
  <w:num w:numId="14">
    <w:abstractNumId w:val="20"/>
  </w:num>
  <w:num w:numId="15">
    <w:abstractNumId w:val="24"/>
  </w:num>
  <w:num w:numId="16">
    <w:abstractNumId w:val="16"/>
  </w:num>
  <w:num w:numId="17">
    <w:abstractNumId w:val="8"/>
  </w:num>
  <w:num w:numId="18">
    <w:abstractNumId w:val="13"/>
  </w:num>
  <w:num w:numId="19">
    <w:abstractNumId w:val="4"/>
  </w:num>
  <w:num w:numId="20">
    <w:abstractNumId w:val="6"/>
  </w:num>
  <w:num w:numId="21">
    <w:abstractNumId w:val="19"/>
  </w:num>
  <w:num w:numId="22">
    <w:abstractNumId w:val="7"/>
  </w:num>
  <w:num w:numId="23">
    <w:abstractNumId w:val="27"/>
  </w:num>
  <w:num w:numId="24">
    <w:abstractNumId w:val="5"/>
  </w:num>
  <w:num w:numId="25">
    <w:abstractNumId w:val="11"/>
  </w:num>
  <w:num w:numId="26">
    <w:abstractNumId w:val="14"/>
  </w:num>
  <w:num w:numId="27">
    <w:abstractNumId w:val="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19C8"/>
    <w:rsid w:val="000049D9"/>
    <w:rsid w:val="00004A39"/>
    <w:rsid w:val="000055EA"/>
    <w:rsid w:val="00005DB7"/>
    <w:rsid w:val="000173AF"/>
    <w:rsid w:val="000253EE"/>
    <w:rsid w:val="00025623"/>
    <w:rsid w:val="00026370"/>
    <w:rsid w:val="00026723"/>
    <w:rsid w:val="000269AA"/>
    <w:rsid w:val="00026F44"/>
    <w:rsid w:val="00030E6E"/>
    <w:rsid w:val="000356DE"/>
    <w:rsid w:val="00047097"/>
    <w:rsid w:val="00052D74"/>
    <w:rsid w:val="000571D4"/>
    <w:rsid w:val="00067AF8"/>
    <w:rsid w:val="00074296"/>
    <w:rsid w:val="0007511F"/>
    <w:rsid w:val="00092755"/>
    <w:rsid w:val="000931D8"/>
    <w:rsid w:val="00097B00"/>
    <w:rsid w:val="000A0CEF"/>
    <w:rsid w:val="000A0F69"/>
    <w:rsid w:val="000A3D5F"/>
    <w:rsid w:val="000A5CFB"/>
    <w:rsid w:val="000A6255"/>
    <w:rsid w:val="000A6974"/>
    <w:rsid w:val="000B1019"/>
    <w:rsid w:val="000C0A9E"/>
    <w:rsid w:val="000D26D1"/>
    <w:rsid w:val="000D2838"/>
    <w:rsid w:val="000E41EA"/>
    <w:rsid w:val="000E41F3"/>
    <w:rsid w:val="000E54B6"/>
    <w:rsid w:val="000E55B0"/>
    <w:rsid w:val="00100C9C"/>
    <w:rsid w:val="001124B6"/>
    <w:rsid w:val="0011625E"/>
    <w:rsid w:val="001208F6"/>
    <w:rsid w:val="00120D05"/>
    <w:rsid w:val="00122FA3"/>
    <w:rsid w:val="001331D8"/>
    <w:rsid w:val="001472CF"/>
    <w:rsid w:val="00150417"/>
    <w:rsid w:val="00150ADD"/>
    <w:rsid w:val="00157526"/>
    <w:rsid w:val="001577CF"/>
    <w:rsid w:val="00160352"/>
    <w:rsid w:val="00170916"/>
    <w:rsid w:val="00170C59"/>
    <w:rsid w:val="00174196"/>
    <w:rsid w:val="00175BCC"/>
    <w:rsid w:val="001812F7"/>
    <w:rsid w:val="00181E5E"/>
    <w:rsid w:val="00183182"/>
    <w:rsid w:val="001A15CC"/>
    <w:rsid w:val="001A3A71"/>
    <w:rsid w:val="001C2018"/>
    <w:rsid w:val="001C73D9"/>
    <w:rsid w:val="001D4EAC"/>
    <w:rsid w:val="001E0388"/>
    <w:rsid w:val="001E7186"/>
    <w:rsid w:val="001E7890"/>
    <w:rsid w:val="001E7DF4"/>
    <w:rsid w:val="001F4580"/>
    <w:rsid w:val="00201EDB"/>
    <w:rsid w:val="00222813"/>
    <w:rsid w:val="00230BD4"/>
    <w:rsid w:val="00266BE0"/>
    <w:rsid w:val="002715D3"/>
    <w:rsid w:val="002771ED"/>
    <w:rsid w:val="00277829"/>
    <w:rsid w:val="002943C1"/>
    <w:rsid w:val="00297840"/>
    <w:rsid w:val="002B1516"/>
    <w:rsid w:val="002B1746"/>
    <w:rsid w:val="002B4BB2"/>
    <w:rsid w:val="002B558F"/>
    <w:rsid w:val="002D34FE"/>
    <w:rsid w:val="002E0080"/>
    <w:rsid w:val="002E50C6"/>
    <w:rsid w:val="002E670F"/>
    <w:rsid w:val="002F12C1"/>
    <w:rsid w:val="00307092"/>
    <w:rsid w:val="00320F9F"/>
    <w:rsid w:val="00323F3A"/>
    <w:rsid w:val="003305EA"/>
    <w:rsid w:val="0034210A"/>
    <w:rsid w:val="00344F59"/>
    <w:rsid w:val="003564F2"/>
    <w:rsid w:val="003613DA"/>
    <w:rsid w:val="00367FA7"/>
    <w:rsid w:val="00371368"/>
    <w:rsid w:val="003751EE"/>
    <w:rsid w:val="00376D80"/>
    <w:rsid w:val="0038199D"/>
    <w:rsid w:val="0038373B"/>
    <w:rsid w:val="00385726"/>
    <w:rsid w:val="00394C3F"/>
    <w:rsid w:val="0039630D"/>
    <w:rsid w:val="003B099C"/>
    <w:rsid w:val="003B3C7A"/>
    <w:rsid w:val="003B524B"/>
    <w:rsid w:val="003D1CAC"/>
    <w:rsid w:val="003D6B7F"/>
    <w:rsid w:val="0040752F"/>
    <w:rsid w:val="0041087B"/>
    <w:rsid w:val="00410D0E"/>
    <w:rsid w:val="00410F8E"/>
    <w:rsid w:val="004141B1"/>
    <w:rsid w:val="00425261"/>
    <w:rsid w:val="004317BC"/>
    <w:rsid w:val="0044270D"/>
    <w:rsid w:val="00444E21"/>
    <w:rsid w:val="00450FCD"/>
    <w:rsid w:val="00461A06"/>
    <w:rsid w:val="00464849"/>
    <w:rsid w:val="00464AE1"/>
    <w:rsid w:val="00465670"/>
    <w:rsid w:val="00470294"/>
    <w:rsid w:val="004729CC"/>
    <w:rsid w:val="004742AE"/>
    <w:rsid w:val="004910FA"/>
    <w:rsid w:val="00491AA2"/>
    <w:rsid w:val="004970C4"/>
    <w:rsid w:val="004A1FE1"/>
    <w:rsid w:val="004A325A"/>
    <w:rsid w:val="004A7EC2"/>
    <w:rsid w:val="004B053F"/>
    <w:rsid w:val="004B6168"/>
    <w:rsid w:val="004C4655"/>
    <w:rsid w:val="004C4695"/>
    <w:rsid w:val="004D2479"/>
    <w:rsid w:val="004D55DC"/>
    <w:rsid w:val="004D5EAB"/>
    <w:rsid w:val="004D64DD"/>
    <w:rsid w:val="004D7960"/>
    <w:rsid w:val="004E25F4"/>
    <w:rsid w:val="004E2A3A"/>
    <w:rsid w:val="004E32E6"/>
    <w:rsid w:val="004E34AD"/>
    <w:rsid w:val="004F4C27"/>
    <w:rsid w:val="00511FAE"/>
    <w:rsid w:val="00520D85"/>
    <w:rsid w:val="0052296A"/>
    <w:rsid w:val="00537C6C"/>
    <w:rsid w:val="00546F00"/>
    <w:rsid w:val="00554A6C"/>
    <w:rsid w:val="00555814"/>
    <w:rsid w:val="00555B10"/>
    <w:rsid w:val="005768F6"/>
    <w:rsid w:val="0058551F"/>
    <w:rsid w:val="005B12B0"/>
    <w:rsid w:val="005B1BEA"/>
    <w:rsid w:val="005B3E9A"/>
    <w:rsid w:val="005C0435"/>
    <w:rsid w:val="005C06DB"/>
    <w:rsid w:val="005C2A39"/>
    <w:rsid w:val="005C6FC1"/>
    <w:rsid w:val="005D0B9B"/>
    <w:rsid w:val="005D1DEE"/>
    <w:rsid w:val="005D7FD2"/>
    <w:rsid w:val="005E46CC"/>
    <w:rsid w:val="005E6E7B"/>
    <w:rsid w:val="005E7C7B"/>
    <w:rsid w:val="005F0265"/>
    <w:rsid w:val="005F16C3"/>
    <w:rsid w:val="005F3034"/>
    <w:rsid w:val="005F3F0A"/>
    <w:rsid w:val="005F675C"/>
    <w:rsid w:val="00603B41"/>
    <w:rsid w:val="00605BD9"/>
    <w:rsid w:val="00610EB3"/>
    <w:rsid w:val="00623761"/>
    <w:rsid w:val="0064174C"/>
    <w:rsid w:val="00651300"/>
    <w:rsid w:val="00655DC2"/>
    <w:rsid w:val="006601AF"/>
    <w:rsid w:val="00670385"/>
    <w:rsid w:val="006710AF"/>
    <w:rsid w:val="006740FE"/>
    <w:rsid w:val="0068064F"/>
    <w:rsid w:val="00680E90"/>
    <w:rsid w:val="00696B2B"/>
    <w:rsid w:val="006A320E"/>
    <w:rsid w:val="006A6D93"/>
    <w:rsid w:val="006B0B12"/>
    <w:rsid w:val="006B2048"/>
    <w:rsid w:val="006D2996"/>
    <w:rsid w:val="006F5989"/>
    <w:rsid w:val="00703850"/>
    <w:rsid w:val="0071016C"/>
    <w:rsid w:val="0072675E"/>
    <w:rsid w:val="00733581"/>
    <w:rsid w:val="00735DEE"/>
    <w:rsid w:val="0074091F"/>
    <w:rsid w:val="00762996"/>
    <w:rsid w:val="00762F73"/>
    <w:rsid w:val="007644BA"/>
    <w:rsid w:val="00770018"/>
    <w:rsid w:val="00770D6C"/>
    <w:rsid w:val="0077167E"/>
    <w:rsid w:val="007733D3"/>
    <w:rsid w:val="0077357C"/>
    <w:rsid w:val="00776272"/>
    <w:rsid w:val="0077793E"/>
    <w:rsid w:val="007843CF"/>
    <w:rsid w:val="00786209"/>
    <w:rsid w:val="00786C71"/>
    <w:rsid w:val="00787266"/>
    <w:rsid w:val="0079329B"/>
    <w:rsid w:val="007978CB"/>
    <w:rsid w:val="007A5199"/>
    <w:rsid w:val="007A6974"/>
    <w:rsid w:val="007B485C"/>
    <w:rsid w:val="007B61A7"/>
    <w:rsid w:val="007C10EA"/>
    <w:rsid w:val="007D4A23"/>
    <w:rsid w:val="007E04FB"/>
    <w:rsid w:val="00800852"/>
    <w:rsid w:val="00804BB7"/>
    <w:rsid w:val="00806A49"/>
    <w:rsid w:val="008200BE"/>
    <w:rsid w:val="00830A1E"/>
    <w:rsid w:val="00834E41"/>
    <w:rsid w:val="00835881"/>
    <w:rsid w:val="0085081B"/>
    <w:rsid w:val="0086154B"/>
    <w:rsid w:val="008658B5"/>
    <w:rsid w:val="008711D6"/>
    <w:rsid w:val="00871C5C"/>
    <w:rsid w:val="0087596E"/>
    <w:rsid w:val="008827FC"/>
    <w:rsid w:val="008843FB"/>
    <w:rsid w:val="0088623D"/>
    <w:rsid w:val="008A48B4"/>
    <w:rsid w:val="008A5565"/>
    <w:rsid w:val="008B2271"/>
    <w:rsid w:val="008B7FA7"/>
    <w:rsid w:val="008C679D"/>
    <w:rsid w:val="008D106B"/>
    <w:rsid w:val="008D59CB"/>
    <w:rsid w:val="008D673B"/>
    <w:rsid w:val="008F2B1A"/>
    <w:rsid w:val="00900FEC"/>
    <w:rsid w:val="00903C94"/>
    <w:rsid w:val="00915CEA"/>
    <w:rsid w:val="009160D3"/>
    <w:rsid w:val="00917436"/>
    <w:rsid w:val="00923F70"/>
    <w:rsid w:val="00924286"/>
    <w:rsid w:val="00942344"/>
    <w:rsid w:val="009426CC"/>
    <w:rsid w:val="009577CE"/>
    <w:rsid w:val="00966ADF"/>
    <w:rsid w:val="00967A33"/>
    <w:rsid w:val="00975C25"/>
    <w:rsid w:val="009912F5"/>
    <w:rsid w:val="009A0263"/>
    <w:rsid w:val="009B1CAD"/>
    <w:rsid w:val="009B2558"/>
    <w:rsid w:val="009C07EA"/>
    <w:rsid w:val="009C5936"/>
    <w:rsid w:val="009C6C17"/>
    <w:rsid w:val="009D1C3B"/>
    <w:rsid w:val="009D3DDA"/>
    <w:rsid w:val="009E14A4"/>
    <w:rsid w:val="009E197F"/>
    <w:rsid w:val="009E2301"/>
    <w:rsid w:val="009F4C3B"/>
    <w:rsid w:val="009F6C80"/>
    <w:rsid w:val="009F7743"/>
    <w:rsid w:val="00A11685"/>
    <w:rsid w:val="00A12C9D"/>
    <w:rsid w:val="00A1372C"/>
    <w:rsid w:val="00A25465"/>
    <w:rsid w:val="00A3351C"/>
    <w:rsid w:val="00A402BB"/>
    <w:rsid w:val="00A4075E"/>
    <w:rsid w:val="00A454F4"/>
    <w:rsid w:val="00A57E13"/>
    <w:rsid w:val="00A60361"/>
    <w:rsid w:val="00A62E59"/>
    <w:rsid w:val="00A7050F"/>
    <w:rsid w:val="00A74360"/>
    <w:rsid w:val="00A751A5"/>
    <w:rsid w:val="00A75A67"/>
    <w:rsid w:val="00A8294D"/>
    <w:rsid w:val="00A917C8"/>
    <w:rsid w:val="00A92B29"/>
    <w:rsid w:val="00AA341F"/>
    <w:rsid w:val="00AA52E2"/>
    <w:rsid w:val="00AA70C3"/>
    <w:rsid w:val="00AB4FAC"/>
    <w:rsid w:val="00AC4C22"/>
    <w:rsid w:val="00AC666A"/>
    <w:rsid w:val="00AD0D63"/>
    <w:rsid w:val="00AD643F"/>
    <w:rsid w:val="00AE3E15"/>
    <w:rsid w:val="00AE778E"/>
    <w:rsid w:val="00AF03F0"/>
    <w:rsid w:val="00AF2A50"/>
    <w:rsid w:val="00B00311"/>
    <w:rsid w:val="00B01E4E"/>
    <w:rsid w:val="00B12B82"/>
    <w:rsid w:val="00B17D0B"/>
    <w:rsid w:val="00B209E7"/>
    <w:rsid w:val="00B20E15"/>
    <w:rsid w:val="00B223A2"/>
    <w:rsid w:val="00B223B8"/>
    <w:rsid w:val="00B533DC"/>
    <w:rsid w:val="00B562AC"/>
    <w:rsid w:val="00B675C6"/>
    <w:rsid w:val="00B72399"/>
    <w:rsid w:val="00B8777F"/>
    <w:rsid w:val="00B97BF9"/>
    <w:rsid w:val="00BA326F"/>
    <w:rsid w:val="00BB015F"/>
    <w:rsid w:val="00BB25F2"/>
    <w:rsid w:val="00BE72B6"/>
    <w:rsid w:val="00BE7CCF"/>
    <w:rsid w:val="00BF5CAB"/>
    <w:rsid w:val="00C06B42"/>
    <w:rsid w:val="00C20900"/>
    <w:rsid w:val="00C35A85"/>
    <w:rsid w:val="00C41536"/>
    <w:rsid w:val="00C42DD1"/>
    <w:rsid w:val="00C474AE"/>
    <w:rsid w:val="00C53026"/>
    <w:rsid w:val="00C56B77"/>
    <w:rsid w:val="00C60ADB"/>
    <w:rsid w:val="00C63CEB"/>
    <w:rsid w:val="00C647B4"/>
    <w:rsid w:val="00C714F4"/>
    <w:rsid w:val="00C77E9C"/>
    <w:rsid w:val="00C83034"/>
    <w:rsid w:val="00C83664"/>
    <w:rsid w:val="00C900FF"/>
    <w:rsid w:val="00C96789"/>
    <w:rsid w:val="00CA1EDF"/>
    <w:rsid w:val="00CA32F5"/>
    <w:rsid w:val="00CA3863"/>
    <w:rsid w:val="00CB7035"/>
    <w:rsid w:val="00CB7780"/>
    <w:rsid w:val="00CC2A0B"/>
    <w:rsid w:val="00CC382A"/>
    <w:rsid w:val="00CC53F7"/>
    <w:rsid w:val="00CD4578"/>
    <w:rsid w:val="00CD4A12"/>
    <w:rsid w:val="00CD6F7B"/>
    <w:rsid w:val="00CF6206"/>
    <w:rsid w:val="00D04390"/>
    <w:rsid w:val="00D13998"/>
    <w:rsid w:val="00D13CA5"/>
    <w:rsid w:val="00D22B9D"/>
    <w:rsid w:val="00D30E59"/>
    <w:rsid w:val="00D317EC"/>
    <w:rsid w:val="00D334B0"/>
    <w:rsid w:val="00D42FCD"/>
    <w:rsid w:val="00D45152"/>
    <w:rsid w:val="00D472B6"/>
    <w:rsid w:val="00D47A99"/>
    <w:rsid w:val="00D50117"/>
    <w:rsid w:val="00D50CA1"/>
    <w:rsid w:val="00D52016"/>
    <w:rsid w:val="00D56FA6"/>
    <w:rsid w:val="00D73779"/>
    <w:rsid w:val="00D73ADA"/>
    <w:rsid w:val="00D742D8"/>
    <w:rsid w:val="00D76089"/>
    <w:rsid w:val="00D77944"/>
    <w:rsid w:val="00D81ECC"/>
    <w:rsid w:val="00D838EA"/>
    <w:rsid w:val="00D94AAB"/>
    <w:rsid w:val="00D94F82"/>
    <w:rsid w:val="00DA17C1"/>
    <w:rsid w:val="00DA2DEB"/>
    <w:rsid w:val="00DB3233"/>
    <w:rsid w:val="00DB357E"/>
    <w:rsid w:val="00DC3C6C"/>
    <w:rsid w:val="00DC53E9"/>
    <w:rsid w:val="00DC6631"/>
    <w:rsid w:val="00DD6196"/>
    <w:rsid w:val="00DE290B"/>
    <w:rsid w:val="00DE615D"/>
    <w:rsid w:val="00DE7522"/>
    <w:rsid w:val="00DF154A"/>
    <w:rsid w:val="00DF5B3F"/>
    <w:rsid w:val="00DF5CB5"/>
    <w:rsid w:val="00E01D07"/>
    <w:rsid w:val="00E02C0D"/>
    <w:rsid w:val="00E05D6E"/>
    <w:rsid w:val="00E32295"/>
    <w:rsid w:val="00E3674F"/>
    <w:rsid w:val="00E45AA6"/>
    <w:rsid w:val="00E64007"/>
    <w:rsid w:val="00E65980"/>
    <w:rsid w:val="00E71AFE"/>
    <w:rsid w:val="00E87423"/>
    <w:rsid w:val="00E944B2"/>
    <w:rsid w:val="00EA6ACC"/>
    <w:rsid w:val="00EB1D99"/>
    <w:rsid w:val="00EB5D08"/>
    <w:rsid w:val="00EC144A"/>
    <w:rsid w:val="00EC32C5"/>
    <w:rsid w:val="00ED586A"/>
    <w:rsid w:val="00EF11A1"/>
    <w:rsid w:val="00EF11BA"/>
    <w:rsid w:val="00EF4EDB"/>
    <w:rsid w:val="00F03B3F"/>
    <w:rsid w:val="00F212B2"/>
    <w:rsid w:val="00F24E50"/>
    <w:rsid w:val="00F25CAB"/>
    <w:rsid w:val="00F3483C"/>
    <w:rsid w:val="00F362D7"/>
    <w:rsid w:val="00F36A5D"/>
    <w:rsid w:val="00F4122B"/>
    <w:rsid w:val="00F4229E"/>
    <w:rsid w:val="00F45EB4"/>
    <w:rsid w:val="00F63B9C"/>
    <w:rsid w:val="00F6424C"/>
    <w:rsid w:val="00F812E3"/>
    <w:rsid w:val="00F84E0B"/>
    <w:rsid w:val="00F84F2D"/>
    <w:rsid w:val="00FA17DF"/>
    <w:rsid w:val="00FA5549"/>
    <w:rsid w:val="00FC5D0E"/>
    <w:rsid w:val="00FD108B"/>
    <w:rsid w:val="00FD1C45"/>
    <w:rsid w:val="00FD4958"/>
    <w:rsid w:val="00FD5399"/>
    <w:rsid w:val="00FE0D1D"/>
    <w:rsid w:val="00FE47EA"/>
    <w:rsid w:val="00FF083F"/>
    <w:rsid w:val="00FF35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CA57A5"/>
  <w15:chartTrackingRefBased/>
  <w15:docId w15:val="{16D67A8C-FA87-4F2C-A3C7-CC1C335A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38199D"/>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aliases w:val="4 Viñ 1nivel,Numeración 1,Cuadrícula media 1 - Énfasis 21,Listas,lp1"/>
    <w:basedOn w:val="Normal"/>
    <w:link w:val="PrrafodelistaCar"/>
    <w:uiPriority w:val="34"/>
    <w:qFormat/>
    <w:rsid w:val="00F36A5D"/>
    <w:pPr>
      <w:ind w:left="708"/>
    </w:pPr>
  </w:style>
  <w:style w:type="character" w:customStyle="1" w:styleId="PrrafodelistaCar">
    <w:name w:val="Párrafo de lista Car"/>
    <w:aliases w:val="4 Viñ 1nivel Car,Numeración 1 Car,Cuadrícula media 1 - Énfasis 21 Car,Listas Car,lp1 Car"/>
    <w:link w:val="Prrafodelista"/>
    <w:uiPriority w:val="99"/>
    <w:locked/>
    <w:rsid w:val="009C07EA"/>
    <w:rPr>
      <w:sz w:val="22"/>
      <w:szCs w:val="22"/>
      <w:lang w:eastAsia="en-US"/>
    </w:rPr>
  </w:style>
  <w:style w:type="character" w:styleId="Textodelmarcadordeposicin">
    <w:name w:val="Placeholder Text"/>
    <w:uiPriority w:val="99"/>
    <w:rsid w:val="00230B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946901">
      <w:bodyDiv w:val="1"/>
      <w:marLeft w:val="0"/>
      <w:marRight w:val="0"/>
      <w:marTop w:val="0"/>
      <w:marBottom w:val="0"/>
      <w:divBdr>
        <w:top w:val="none" w:sz="0" w:space="0" w:color="auto"/>
        <w:left w:val="none" w:sz="0" w:space="0" w:color="auto"/>
        <w:bottom w:val="none" w:sz="0" w:space="0" w:color="auto"/>
        <w:right w:val="none" w:sz="0" w:space="0" w:color="auto"/>
      </w:divBdr>
      <w:divsChild>
        <w:div w:id="645820736">
          <w:marLeft w:val="0"/>
          <w:marRight w:val="0"/>
          <w:marTop w:val="0"/>
          <w:marBottom w:val="0"/>
          <w:divBdr>
            <w:top w:val="none" w:sz="0" w:space="0" w:color="auto"/>
            <w:left w:val="none" w:sz="0" w:space="0" w:color="auto"/>
            <w:bottom w:val="none" w:sz="0" w:space="0" w:color="auto"/>
            <w:right w:val="none" w:sz="0" w:space="0" w:color="auto"/>
          </w:divBdr>
        </w:div>
      </w:divsChild>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los.sanchezb@ift.org.mx" TargetMode="External"/><Relationship Id="rId18" Type="http://schemas.openxmlformats.org/officeDocument/2006/relationships/hyperlink" Target="mailto:isabel.delavega@ift.org.m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mailto:federico.saggiante@ift.org.m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arlos.sanchezb@ift.org.mx" TargetMode="External"/><Relationship Id="rId20" Type="http://schemas.openxmlformats.org/officeDocument/2006/relationships/hyperlink" Target="https://www.ic.gc.ca/eic/site/smt-gst.nsf/vwapj/AWS-4_Dec2014-e.pdf/$file/AWS-4_Dec2014-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itacionift9@ift.org.mx"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isabel.delavega@ift.org.m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ederico.saggiante@ift.org.m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75AFD12F484D6C9216514445782D19"/>
        <w:category>
          <w:name w:val="General"/>
          <w:gallery w:val="placeholder"/>
        </w:category>
        <w:types>
          <w:type w:val="bbPlcHdr"/>
        </w:types>
        <w:behaviors>
          <w:behavior w:val="content"/>
        </w:behaviors>
        <w:guid w:val="{9E122BDC-639A-40EE-8F91-C0C44E1FBE87}"/>
      </w:docPartPr>
      <w:docPartBody>
        <w:p w:rsidR="002F7BC8" w:rsidRDefault="004B5691" w:rsidP="004B5691">
          <w:pPr>
            <w:pStyle w:val="4A75AFD12F484D6C9216514445782D19"/>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691"/>
    <w:rsid w:val="00074B8E"/>
    <w:rsid w:val="002F7BC8"/>
    <w:rsid w:val="004B5691"/>
    <w:rsid w:val="00767934"/>
    <w:rsid w:val="007D31B6"/>
    <w:rsid w:val="00C77A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B5691"/>
    <w:rPr>
      <w:color w:val="808080"/>
    </w:rPr>
  </w:style>
  <w:style w:type="paragraph" w:customStyle="1" w:styleId="4A75AFD12F484D6C9216514445782D19">
    <w:name w:val="4A75AFD12F484D6C9216514445782D19"/>
    <w:rsid w:val="004B56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236B9-DC6F-4079-A28D-92A38BF6D808}">
  <ds:schemaRef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55B8380F-5351-4F85-8561-9D95F2E82C7C}">
  <ds:schemaRefs>
    <ds:schemaRef ds:uri="http://schemas.microsoft.com/sharepoint/v3/contenttype/forms"/>
  </ds:schemaRefs>
</ds:datastoreItem>
</file>

<file path=customXml/itemProps3.xml><?xml version="1.0" encoding="utf-8"?>
<ds:datastoreItem xmlns:ds="http://schemas.openxmlformats.org/officeDocument/2006/customXml" ds:itemID="{99C861F3-C7F6-4795-8135-09B90B670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60351D-BB41-4E5E-9122-72322B396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3140</Words>
  <Characters>17274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20374</CharactersWithSpaces>
  <SharedDoc>false</SharedDoc>
  <HLinks>
    <vt:vector size="54" baseType="variant">
      <vt:variant>
        <vt:i4>5046362</vt:i4>
      </vt:variant>
      <vt:variant>
        <vt:i4>24</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5832826</vt:i4>
      </vt:variant>
      <vt:variant>
        <vt:i4>21</vt:i4>
      </vt:variant>
      <vt:variant>
        <vt:i4>0</vt:i4>
      </vt:variant>
      <vt:variant>
        <vt:i4>5</vt:i4>
      </vt:variant>
      <vt:variant>
        <vt:lpwstr>mailto:isabel.delavega@ift.org.mx</vt:lpwstr>
      </vt:variant>
      <vt:variant>
        <vt:lpwstr/>
      </vt:variant>
      <vt:variant>
        <vt:i4>6291522</vt:i4>
      </vt:variant>
      <vt:variant>
        <vt:i4>18</vt:i4>
      </vt:variant>
      <vt:variant>
        <vt:i4>0</vt:i4>
      </vt:variant>
      <vt:variant>
        <vt:i4>5</vt:i4>
      </vt:variant>
      <vt:variant>
        <vt:lpwstr>mailto:federico.saggiante@ift.org.mx</vt:lpwstr>
      </vt:variant>
      <vt:variant>
        <vt:lpwstr/>
      </vt:variant>
      <vt:variant>
        <vt:i4>5177455</vt:i4>
      </vt:variant>
      <vt:variant>
        <vt:i4>15</vt:i4>
      </vt:variant>
      <vt:variant>
        <vt:i4>0</vt:i4>
      </vt:variant>
      <vt:variant>
        <vt:i4>5</vt:i4>
      </vt:variant>
      <vt:variant>
        <vt:lpwstr>mailto:carlos.sanchezb@ift.org.mx</vt:lpwstr>
      </vt:variant>
      <vt:variant>
        <vt:lpwstr/>
      </vt:variant>
      <vt:variant>
        <vt:i4>5832826</vt:i4>
      </vt:variant>
      <vt:variant>
        <vt:i4>12</vt:i4>
      </vt:variant>
      <vt:variant>
        <vt:i4>0</vt:i4>
      </vt:variant>
      <vt:variant>
        <vt:i4>5</vt:i4>
      </vt:variant>
      <vt:variant>
        <vt:lpwstr>mailto:isabel.delavega@ift.org.mx</vt:lpwstr>
      </vt:variant>
      <vt:variant>
        <vt:lpwstr/>
      </vt:variant>
      <vt:variant>
        <vt:i4>6291522</vt:i4>
      </vt:variant>
      <vt:variant>
        <vt:i4>9</vt:i4>
      </vt:variant>
      <vt:variant>
        <vt:i4>0</vt:i4>
      </vt:variant>
      <vt:variant>
        <vt:i4>5</vt:i4>
      </vt:variant>
      <vt:variant>
        <vt:lpwstr>mailto:federico.saggiante@ift.org.mx</vt:lpwstr>
      </vt:variant>
      <vt:variant>
        <vt:lpwstr/>
      </vt:variant>
      <vt:variant>
        <vt:i4>5177455</vt:i4>
      </vt:variant>
      <vt:variant>
        <vt:i4>6</vt:i4>
      </vt:variant>
      <vt:variant>
        <vt:i4>0</vt:i4>
      </vt:variant>
      <vt:variant>
        <vt:i4>5</vt:i4>
      </vt:variant>
      <vt:variant>
        <vt:lpwstr>mailto:carlos.sanchezb@ift.org.mx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2359307</vt:i4>
      </vt:variant>
      <vt:variant>
        <vt:i4>0</vt:i4>
      </vt:variant>
      <vt:variant>
        <vt:i4>0</vt:i4>
      </vt:variant>
      <vt:variant>
        <vt:i4>5</vt:i4>
      </vt:variant>
      <vt:variant>
        <vt:lpwstr>mailto:licitacionift9@ift.org.mx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Federico Saggiante Rangel</cp:lastModifiedBy>
  <cp:revision>11</cp:revision>
  <dcterms:created xsi:type="dcterms:W3CDTF">2018-10-19T20:56:00Z</dcterms:created>
  <dcterms:modified xsi:type="dcterms:W3CDTF">2018-10-24T16:21:00Z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