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2EBB7" w14:textId="2446EEB9" w:rsidR="000A3C72" w:rsidRPr="00E15E92" w:rsidRDefault="000A3C72" w:rsidP="000A3C72">
      <w:pPr>
        <w:spacing w:after="240"/>
        <w:jc w:val="both"/>
        <w:rPr>
          <w:sz w:val="20"/>
          <w:szCs w:val="20"/>
        </w:rPr>
      </w:pPr>
      <w:r w:rsidRPr="00E15E92">
        <w:rPr>
          <w:rFonts w:ascii="ITC Avant Garde" w:eastAsia="ITC Avant Garde" w:hAnsi="ITC Avant Garde" w:cs="ITC Avant Garde"/>
          <w:b/>
          <w:bCs/>
        </w:rPr>
        <w:t>ACUERDO</w:t>
      </w:r>
      <w:r w:rsidRPr="00E15E92">
        <w:rPr>
          <w:sz w:val="20"/>
          <w:szCs w:val="20"/>
        </w:rPr>
        <w:t xml:space="preserve"> </w:t>
      </w:r>
      <w:r w:rsidRPr="00E15E92">
        <w:rPr>
          <w:rFonts w:ascii="ITC Avant Garde" w:eastAsia="ITC Avant Garde" w:hAnsi="ITC Avant Garde" w:cs="ITC Avant Garde"/>
          <w:b/>
          <w:bCs/>
        </w:rPr>
        <w:t xml:space="preserve">MEDIANTE EL CUAL EL PLENO DEL INSTITUTO FEDERAL DE TELECOMUNICACIONES </w:t>
      </w:r>
      <w:r w:rsidR="00EF3CAB" w:rsidRPr="00E15E92">
        <w:rPr>
          <w:rFonts w:ascii="ITC Avant Garde" w:eastAsia="ITC Avant Garde" w:hAnsi="ITC Avant Garde" w:cs="ITC Avant Garde"/>
          <w:b/>
          <w:bCs/>
        </w:rPr>
        <w:t xml:space="preserve">APRUEBA Y </w:t>
      </w:r>
      <w:r w:rsidRPr="00E15E92">
        <w:rPr>
          <w:rFonts w:ascii="ITC Avant Garde" w:eastAsia="ITC Avant Garde" w:hAnsi="ITC Avant Garde" w:cs="ITC Avant Garde"/>
          <w:b/>
          <w:bCs/>
        </w:rPr>
        <w:t xml:space="preserve">EMITE </w:t>
      </w:r>
      <w:r w:rsidR="00EF3CAB" w:rsidRPr="00E15E92">
        <w:rPr>
          <w:rFonts w:ascii="ITC Avant Garde" w:eastAsia="ITC Avant Garde" w:hAnsi="ITC Avant Garde" w:cs="ITC Avant Garde"/>
          <w:b/>
          <w:bCs/>
        </w:rPr>
        <w:t xml:space="preserve">LOS </w:t>
      </w:r>
      <w:r w:rsidR="00E72F55" w:rsidRPr="00E15E92">
        <w:rPr>
          <w:rFonts w:ascii="ITC Avant Garde" w:eastAsia="ITC Avant Garde" w:hAnsi="ITC Avant Garde" w:cs="ITC Avant Garde"/>
          <w:b/>
          <w:bCs/>
        </w:rPr>
        <w:t>LINEAMIENTOS PARA LA ENTREGA, INSCRIPCIÓN Y CONSULTA DE INFORMACIÓN PARA LA CONFORMACIÓN DEL SISTEMA NACIONAL DE INFORMACIÓN DE INFRAESTRUCTURA</w:t>
      </w:r>
      <w:r w:rsidRPr="00E15E92">
        <w:rPr>
          <w:sz w:val="20"/>
          <w:szCs w:val="20"/>
        </w:rPr>
        <w:t>.</w:t>
      </w:r>
    </w:p>
    <w:p w14:paraId="7F098BD7" w14:textId="77777777" w:rsidR="009418D4" w:rsidRPr="00E15E92" w:rsidRDefault="009418D4" w:rsidP="000A3C72">
      <w:pPr>
        <w:spacing w:after="240"/>
        <w:jc w:val="both"/>
        <w:rPr>
          <w:sz w:val="20"/>
          <w:szCs w:val="20"/>
        </w:rPr>
      </w:pPr>
    </w:p>
    <w:p w14:paraId="2C46B86F" w14:textId="77777777" w:rsidR="000A3C72" w:rsidRPr="00E15E92" w:rsidRDefault="000A3C72" w:rsidP="000A3C72">
      <w:pPr>
        <w:pStyle w:val="IFTnormal"/>
        <w:jc w:val="center"/>
        <w:outlineLvl w:val="0"/>
        <w:rPr>
          <w:b/>
        </w:rPr>
      </w:pPr>
      <w:r w:rsidRPr="00E15E92">
        <w:rPr>
          <w:b/>
        </w:rPr>
        <w:t>ANTECEDENTES</w:t>
      </w:r>
      <w:bookmarkStart w:id="0" w:name="_GoBack"/>
      <w:bookmarkEnd w:id="0"/>
    </w:p>
    <w:p w14:paraId="301E4195" w14:textId="44AE8424" w:rsidR="000A3C72" w:rsidRPr="00E15E92" w:rsidRDefault="000A3C72" w:rsidP="000A3C72">
      <w:pPr>
        <w:pStyle w:val="Antecedentes"/>
        <w:rPr>
          <w:sz w:val="22"/>
          <w:szCs w:val="22"/>
        </w:rPr>
      </w:pPr>
      <w:r w:rsidRPr="00E15E92">
        <w:rPr>
          <w:sz w:val="22"/>
          <w:szCs w:val="22"/>
        </w:rPr>
        <w:t xml:space="preserve">El 11 de junio de 2013 se publicó en el Diario Oficial de la Federación (en lo sucesivo, “DOF”) el </w:t>
      </w:r>
      <w:r w:rsidRPr="00E15E92">
        <w:rPr>
          <w:i/>
          <w:sz w:val="22"/>
          <w:szCs w:val="22"/>
        </w:rPr>
        <w:t>"Decreto por el que se reforman y adicionan diversas disposiciones de los artículos 6o., 7o., 27, 28, 73, 78, 94 y 105 de la Constitución Política de los Estados Unidos Mexicanos en materia de telecomunicaciones"</w:t>
      </w:r>
      <w:r w:rsidRPr="00E15E92">
        <w:rPr>
          <w:sz w:val="22"/>
          <w:szCs w:val="22"/>
        </w:rPr>
        <w:t>, (en lo sucesivo, “Decreto”), por medio del cual se creó al Instituto Federal de Telecomunicaciones, (en lo sucesivo, “Instituto”), como órgano autónomo, con personalidad jurídica y patrimonio propio, cuyo objeto es el desarrollo eficiente de la radiodifusión y las telecomunicaciones,</w:t>
      </w:r>
      <w:r w:rsidRPr="00E15E92" w:rsidDel="00190E67">
        <w:rPr>
          <w:sz w:val="22"/>
          <w:szCs w:val="22"/>
        </w:rPr>
        <w:t xml:space="preserve"> </w:t>
      </w:r>
      <w:r w:rsidRPr="00E15E92">
        <w:rPr>
          <w:sz w:val="22"/>
          <w:szCs w:val="22"/>
        </w:rPr>
        <w:t xml:space="preserve">conforme a lo dispuesto en la Constitución Política de los Estados Unidos Mexicanos </w:t>
      </w:r>
      <w:r w:rsidRPr="00E15E92">
        <w:rPr>
          <w:color w:val="000000"/>
          <w:sz w:val="22"/>
          <w:szCs w:val="22"/>
        </w:rPr>
        <w:t>(en lo sucesivo,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r w:rsidRPr="00E15E92">
        <w:rPr>
          <w:sz w:val="22"/>
          <w:szCs w:val="22"/>
        </w:rPr>
        <w:t>.</w:t>
      </w:r>
    </w:p>
    <w:p w14:paraId="13C6C101" w14:textId="344B44CA" w:rsidR="000A3C72" w:rsidRPr="00E15E92" w:rsidRDefault="000A3C72" w:rsidP="000A3C72">
      <w:pPr>
        <w:pStyle w:val="Antecedentes"/>
        <w:rPr>
          <w:sz w:val="22"/>
          <w:szCs w:val="22"/>
        </w:rPr>
      </w:pPr>
      <w:r w:rsidRPr="00E15E92">
        <w:rPr>
          <w:sz w:val="22"/>
          <w:szCs w:val="22"/>
        </w:rPr>
        <w:t xml:space="preserve">El 14 de julio de 2014 se publicó en el DOF el </w:t>
      </w:r>
      <w:r w:rsidRPr="00E15E92">
        <w:rPr>
          <w:i/>
          <w:sz w:val="22"/>
          <w:szCs w:val="22"/>
        </w:rPr>
        <w:t>"</w:t>
      </w:r>
      <w:r w:rsidR="00286F7E" w:rsidRPr="00E15E92">
        <w:rPr>
          <w:i/>
          <w:sz w:val="22"/>
          <w:szCs w:val="22"/>
        </w:rPr>
        <w:t>DECRETO</w:t>
      </w:r>
      <w:r w:rsidRPr="00E15E92">
        <w:rPr>
          <w:i/>
          <w:sz w:val="22"/>
          <w:szCs w:val="22"/>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Pr="00E15E92">
        <w:rPr>
          <w:sz w:val="22"/>
          <w:szCs w:val="22"/>
        </w:rPr>
        <w:t xml:space="preserve">, </w:t>
      </w:r>
      <w:r w:rsidR="008117FE" w:rsidRPr="00E15E92">
        <w:rPr>
          <w:sz w:val="22"/>
          <w:szCs w:val="22"/>
        </w:rPr>
        <w:t>entrando en vigor la Ley Federal de Telecomunicaciones y Radiodifusión (en lo sucesivo, “LFTR”)</w:t>
      </w:r>
      <w:r w:rsidRPr="00E15E92">
        <w:rPr>
          <w:sz w:val="22"/>
          <w:szCs w:val="22"/>
        </w:rPr>
        <w:t xml:space="preserve"> el 13 de agosto de 2014</w:t>
      </w:r>
      <w:r w:rsidR="008117FE" w:rsidRPr="00E15E92">
        <w:rPr>
          <w:sz w:val="22"/>
          <w:szCs w:val="22"/>
        </w:rPr>
        <w:t>, cuya última reforma fue publicada en el DOF el 15 de junio de 2018</w:t>
      </w:r>
      <w:r w:rsidRPr="00E15E92">
        <w:rPr>
          <w:sz w:val="22"/>
          <w:szCs w:val="22"/>
        </w:rPr>
        <w:t>.</w:t>
      </w:r>
    </w:p>
    <w:p w14:paraId="4AE70EF7" w14:textId="7A188308" w:rsidR="000A3C72" w:rsidRPr="00E15E92" w:rsidRDefault="000A3C72" w:rsidP="000A3C72">
      <w:pPr>
        <w:pStyle w:val="Antecedentes"/>
        <w:rPr>
          <w:sz w:val="22"/>
          <w:szCs w:val="22"/>
        </w:rPr>
      </w:pPr>
      <w:r w:rsidRPr="00E15E92">
        <w:rPr>
          <w:sz w:val="22"/>
          <w:szCs w:val="22"/>
        </w:rPr>
        <w:t xml:space="preserve">El 4 de septiembre del 2014 se publicó en el DOF el </w:t>
      </w:r>
      <w:r w:rsidRPr="00E15E92">
        <w:rPr>
          <w:i/>
          <w:sz w:val="22"/>
          <w:szCs w:val="22"/>
        </w:rPr>
        <w:t>“ESTATUTO Orgánico del Instituto Federal de Telecomunicaciones”</w:t>
      </w:r>
      <w:r w:rsidRPr="00E15E92">
        <w:rPr>
          <w:sz w:val="22"/>
          <w:szCs w:val="22"/>
        </w:rPr>
        <w:t xml:space="preserve"> (en lo sucesivo, “Estatuto”), </w:t>
      </w:r>
      <w:r w:rsidR="00666AA8" w:rsidRPr="00E15E92">
        <w:rPr>
          <w:sz w:val="22"/>
          <w:szCs w:val="22"/>
          <w:lang w:val="es-MX"/>
        </w:rPr>
        <w:t xml:space="preserve">mismo que entró en vigor el 26 de septiembre de 2014, </w:t>
      </w:r>
      <w:r w:rsidR="00666AA8" w:rsidRPr="00E15E92">
        <w:rPr>
          <w:sz w:val="22"/>
          <w:szCs w:val="22"/>
          <w:lang w:val="es-ES"/>
        </w:rPr>
        <w:t>cuya última modificación fue publicada en el DOF 7 de diciembre de 2018</w:t>
      </w:r>
      <w:r w:rsidR="00666AA8" w:rsidRPr="00E15E92">
        <w:rPr>
          <w:sz w:val="22"/>
          <w:szCs w:val="22"/>
          <w:lang w:val="es-MX"/>
        </w:rPr>
        <w:t>.</w:t>
      </w:r>
    </w:p>
    <w:p w14:paraId="3B63477A" w14:textId="4F3CB6BD" w:rsidR="000A3C72" w:rsidRPr="00E15E92" w:rsidRDefault="000A3C72" w:rsidP="00847F07">
      <w:pPr>
        <w:pStyle w:val="Antecedentes"/>
        <w:numPr>
          <w:ilvl w:val="0"/>
          <w:numId w:val="0"/>
        </w:numPr>
        <w:ind w:left="720"/>
        <w:rPr>
          <w:sz w:val="22"/>
          <w:szCs w:val="22"/>
        </w:rPr>
      </w:pPr>
    </w:p>
    <w:p w14:paraId="78E33A0A" w14:textId="4EFE2EC2" w:rsidR="002F35C6" w:rsidRPr="00E15E92" w:rsidRDefault="002F35C6" w:rsidP="008C5440">
      <w:pPr>
        <w:pStyle w:val="Antecedentes"/>
        <w:numPr>
          <w:ilvl w:val="0"/>
          <w:numId w:val="0"/>
        </w:numPr>
        <w:ind w:left="1080"/>
        <w:rPr>
          <w:sz w:val="22"/>
        </w:rPr>
      </w:pPr>
    </w:p>
    <w:p w14:paraId="403685EC" w14:textId="3B55C4B9" w:rsidR="000E38BC" w:rsidRPr="00E15E92" w:rsidRDefault="002F35C6" w:rsidP="000E38BC">
      <w:pPr>
        <w:pStyle w:val="Antecedentes"/>
        <w:rPr>
          <w:sz w:val="22"/>
        </w:rPr>
      </w:pPr>
      <w:r w:rsidRPr="00E15E92">
        <w:rPr>
          <w:sz w:val="22"/>
        </w:rPr>
        <w:t xml:space="preserve">El 22 de octubre de 2018 mediante Acuerdo </w:t>
      </w:r>
      <w:r w:rsidR="000E38BC" w:rsidRPr="00E15E92">
        <w:rPr>
          <w:sz w:val="22"/>
        </w:rPr>
        <w:t>P/IFT/221018/641, el Pleno del Instituto en su XX</w:t>
      </w:r>
      <w:r w:rsidR="008C5440" w:rsidRPr="00E15E92">
        <w:rPr>
          <w:sz w:val="22"/>
        </w:rPr>
        <w:t>X</w:t>
      </w:r>
      <w:r w:rsidR="000E38BC" w:rsidRPr="00E15E92">
        <w:rPr>
          <w:sz w:val="22"/>
        </w:rPr>
        <w:t>I Sesión Ordinaria aprobó el “</w:t>
      </w:r>
      <w:r w:rsidR="000E38BC" w:rsidRPr="00E15E92">
        <w:rPr>
          <w:i/>
          <w:sz w:val="22"/>
        </w:rPr>
        <w:t>ACUERDO MEDIANTE EL CUAL EL PLENO DEL INSTITUTO FEDERAL DE TELECOMUNICACIONES DETERMINA SOMETER A CONSULTA PÚBLICA EL ANTEPROYECTO DE LINEAMIENTOS PARA LA ENTREGA, INSCRIPCIÓN Y CONSULTA DE INFORMACIÓN PARA LA CONFORMACIÓN DEL SISTEMA NACIONAL DE INFORMACIÓN DE INFRAESTRUCTURA.</w:t>
      </w:r>
      <w:r w:rsidR="000E38BC" w:rsidRPr="00E15E92">
        <w:rPr>
          <w:sz w:val="22"/>
        </w:rPr>
        <w:t>”</w:t>
      </w:r>
      <w:r w:rsidR="00685E4A" w:rsidRPr="00E15E92">
        <w:rPr>
          <w:sz w:val="22"/>
        </w:rPr>
        <w:t xml:space="preserve">, durante un periodo de treinta días hábiles, comprendido del </w:t>
      </w:r>
      <w:r w:rsidR="000E38BC" w:rsidRPr="00E15E92">
        <w:rPr>
          <w:sz w:val="22"/>
        </w:rPr>
        <w:t>24 de octubre de 2018 al 5 de diciembre de 2018.</w:t>
      </w:r>
    </w:p>
    <w:p w14:paraId="61E82DF6" w14:textId="52D29745" w:rsidR="005A48CB" w:rsidRPr="00E15E92" w:rsidRDefault="005A48CB" w:rsidP="005A48CB">
      <w:pPr>
        <w:pStyle w:val="Antecedentes"/>
        <w:rPr>
          <w:sz w:val="22"/>
        </w:rPr>
      </w:pPr>
      <w:r w:rsidRPr="00E15E92">
        <w:rPr>
          <w:sz w:val="22"/>
        </w:rPr>
        <w:t xml:space="preserve">El 8 de noviembre de 2017 se publicó en el DOF el </w:t>
      </w:r>
      <w:r w:rsidRPr="00E15E92">
        <w:rPr>
          <w:i/>
          <w:sz w:val="22"/>
        </w:rPr>
        <w:t>“Acuerdo mediante el cual el Pleno del Instituto Federal de Telecomunicaciones aprueba y emite los Lineamientos de Consulta Pública y Análisis de Impacto Regulatorio del Instituto Federal de Telecomunicaciones”</w:t>
      </w:r>
      <w:r w:rsidRPr="00E15E92">
        <w:rPr>
          <w:sz w:val="22"/>
        </w:rPr>
        <w:t xml:space="preserve"> el cual, en términos de lo dispuesto por el artículo Primero Transitorio, entró en vigor el 1 de enero de 2018.</w:t>
      </w:r>
    </w:p>
    <w:p w14:paraId="1467F669" w14:textId="1CA292AC" w:rsidR="001877EF" w:rsidRPr="00E15E92" w:rsidRDefault="005A48CB" w:rsidP="00A871D2">
      <w:pPr>
        <w:pStyle w:val="Antecedentes"/>
        <w:rPr>
          <w:sz w:val="22"/>
        </w:rPr>
      </w:pPr>
      <w:r w:rsidRPr="00E15E92">
        <w:rPr>
          <w:sz w:val="22"/>
        </w:rPr>
        <w:t xml:space="preserve">El 18 de mayo de 2018 se publicó en el DOF el </w:t>
      </w:r>
      <w:r w:rsidRPr="00E15E92">
        <w:rPr>
          <w:i/>
          <w:sz w:val="22"/>
        </w:rPr>
        <w:t>“Decreto por el que se expide la Ley General de Mejora Regulatoria y se derogan diversas disposiciones de la Ley Federal de Procedimiento Administrativo”</w:t>
      </w:r>
      <w:r w:rsidRPr="00E15E92">
        <w:rPr>
          <w:sz w:val="22"/>
        </w:rPr>
        <w:t>. En términos de lo dispuesto en el artículo Primero Transitorio, entró en vigor el 19 de mayo de 2018.</w:t>
      </w:r>
    </w:p>
    <w:p w14:paraId="706A17DC" w14:textId="02BF27E7" w:rsidR="00CC6F50" w:rsidRPr="00E15E92" w:rsidRDefault="001877EF" w:rsidP="00CC6F50">
      <w:pPr>
        <w:pStyle w:val="Antecedentes"/>
        <w:rPr>
          <w:sz w:val="22"/>
        </w:rPr>
      </w:pPr>
      <w:r w:rsidRPr="00E15E92">
        <w:rPr>
          <w:sz w:val="22"/>
        </w:rPr>
        <w:t>El 25 de mayo de 2018 el Instituto inició el “Programa de Mejora Administrativa del Instituto Federal de Telecomunicaciones”, con el objetivo de disminuir la carga administrativa de los regulados mediante la eliminación de trámites, requisitos innecesarios u obsoletos, el empleo de formatos y el empleo intensivo de las tecnologías de la información y comunicación para la recepción y gestión de los trámites y servicios a su cargo.</w:t>
      </w:r>
    </w:p>
    <w:p w14:paraId="437E7BB6" w14:textId="70BEC8F9" w:rsidR="00FF11B8" w:rsidRPr="00E15E92" w:rsidRDefault="004B68A7" w:rsidP="00CC6F50">
      <w:pPr>
        <w:pStyle w:val="Antecedentes"/>
        <w:rPr>
          <w:sz w:val="22"/>
        </w:rPr>
      </w:pPr>
      <w:r w:rsidRPr="00E15E92">
        <w:rPr>
          <w:sz w:val="22"/>
        </w:rPr>
        <w:t>El 21 de agosto de 2019 el Pleno del Instituto</w:t>
      </w:r>
      <w:r w:rsidR="00FF11B8" w:rsidRPr="00E15E92">
        <w:rPr>
          <w:sz w:val="22"/>
        </w:rPr>
        <w:t xml:space="preserve"> en su XVIII Sesión,</w:t>
      </w:r>
      <w:r w:rsidRPr="00E15E92">
        <w:rPr>
          <w:sz w:val="22"/>
        </w:rPr>
        <w:t xml:space="preserve"> aprobó</w:t>
      </w:r>
      <w:r w:rsidR="00416074" w:rsidRPr="00E15E92">
        <w:rPr>
          <w:sz w:val="22"/>
        </w:rPr>
        <w:t xml:space="preserve"> mediante Acuerdo P/IFT/EXT/210818/XXXX el</w:t>
      </w:r>
      <w:r w:rsidRPr="00E15E92">
        <w:rPr>
          <w:sz w:val="22"/>
        </w:rPr>
        <w:t xml:space="preserve"> “</w:t>
      </w:r>
      <w:r w:rsidR="00FF11B8" w:rsidRPr="00E15E92">
        <w:rPr>
          <w:sz w:val="22"/>
        </w:rPr>
        <w:t>ACUERDO POR EL QUE SE APRUEBAN LOS LINEAMIENTOS PARA LA SUSTANCIACIÓN DE LOS TRÁMITES Y SERVICIOS QUE SE REALICEN ANTE EL INSTITUTO FEDERAL DE TELECOMUNICACIONES, A TRAVÉS DE LA VENTANILLA ELECTRÓNICA</w:t>
      </w:r>
      <w:r w:rsidR="00416074" w:rsidRPr="00E15E92">
        <w:rPr>
          <w:sz w:val="22"/>
        </w:rPr>
        <w:t>”</w:t>
      </w:r>
      <w:r w:rsidR="00FF11B8" w:rsidRPr="00E15E92">
        <w:rPr>
          <w:sz w:val="22"/>
        </w:rPr>
        <w:t>.</w:t>
      </w:r>
    </w:p>
    <w:p w14:paraId="631F21D7" w14:textId="77777777" w:rsidR="00FF11B8" w:rsidRPr="00E15E92" w:rsidRDefault="00FF11B8" w:rsidP="00A36392">
      <w:pPr>
        <w:pStyle w:val="Antecedentes"/>
        <w:numPr>
          <w:ilvl w:val="0"/>
          <w:numId w:val="0"/>
        </w:numPr>
        <w:ind w:left="1080" w:hanging="360"/>
        <w:rPr>
          <w:sz w:val="22"/>
          <w:szCs w:val="22"/>
        </w:rPr>
      </w:pPr>
    </w:p>
    <w:p w14:paraId="1968B4BE" w14:textId="77777777" w:rsidR="000A3C72" w:rsidRPr="00E15E92" w:rsidDel="007F09F5" w:rsidRDefault="000A3C72" w:rsidP="000A3C72">
      <w:pPr>
        <w:pStyle w:val="IFTnormal"/>
      </w:pPr>
      <w:r w:rsidRPr="00E15E92">
        <w:t>En virtud de los citados Antecedentes, y</w:t>
      </w:r>
    </w:p>
    <w:p w14:paraId="60EA91FF" w14:textId="77777777" w:rsidR="000A3C72" w:rsidRPr="00E15E92" w:rsidRDefault="000A3C72" w:rsidP="000A3C72">
      <w:pPr>
        <w:pStyle w:val="Antecedentes"/>
        <w:numPr>
          <w:ilvl w:val="0"/>
          <w:numId w:val="0"/>
        </w:numPr>
        <w:ind w:left="720"/>
      </w:pPr>
    </w:p>
    <w:p w14:paraId="21EFCD96" w14:textId="77777777" w:rsidR="000A3C72" w:rsidRPr="00E15E92" w:rsidRDefault="000A3C72" w:rsidP="000A3C72">
      <w:pPr>
        <w:pStyle w:val="IFTnormal"/>
        <w:jc w:val="center"/>
        <w:outlineLvl w:val="0"/>
        <w:rPr>
          <w:b/>
        </w:rPr>
      </w:pPr>
      <w:r w:rsidRPr="00E15E92">
        <w:rPr>
          <w:b/>
        </w:rPr>
        <w:t>CONSIDERANDO</w:t>
      </w:r>
    </w:p>
    <w:p w14:paraId="07AEC731" w14:textId="77777777" w:rsidR="000A3C72" w:rsidRPr="00E15E92" w:rsidRDefault="000A3C72" w:rsidP="000A3C72">
      <w:pPr>
        <w:rPr>
          <w:lang w:eastAsia="es-MX"/>
        </w:rPr>
      </w:pPr>
    </w:p>
    <w:p w14:paraId="571C5228" w14:textId="77777777" w:rsidR="00AF7744" w:rsidRPr="00E15E92" w:rsidRDefault="000A3C72" w:rsidP="000A3C72">
      <w:pPr>
        <w:pStyle w:val="IFTnormal"/>
        <w:outlineLvl w:val="1"/>
      </w:pPr>
      <w:r w:rsidRPr="00E15E92">
        <w:rPr>
          <w:b/>
        </w:rPr>
        <w:t>PRIMERO. Competencia del Instituto</w:t>
      </w:r>
      <w:r w:rsidRPr="00E15E92">
        <w:t>. De conformidad con</w:t>
      </w:r>
      <w:r w:rsidR="00BB61E1" w:rsidRPr="00E15E92">
        <w:t xml:space="preserve"> el párrafo décimo quinto del artículo 28 de la Constitución</w:t>
      </w:r>
      <w:r w:rsidR="00730210" w:rsidRPr="00E15E92">
        <w:t>,</w:t>
      </w:r>
      <w:r w:rsidR="00BB61E1" w:rsidRPr="00E15E92">
        <w:t xml:space="preserve"> el Instituto es un órgano autónomo que tiene por objeto el desarrollo eficiente de la radiodifusión y las telecomunicaciones, conforme a lo dispuesto en la propia Constitución y en los términos que fijen las leyes.</w:t>
      </w:r>
    </w:p>
    <w:p w14:paraId="74889A93" w14:textId="797C6324" w:rsidR="002F5253" w:rsidRPr="00E15E92" w:rsidRDefault="00AF7744" w:rsidP="000A3C72">
      <w:pPr>
        <w:pStyle w:val="IFTnormal"/>
      </w:pPr>
      <w:r w:rsidRPr="00E15E92">
        <w:t>E</w:t>
      </w:r>
      <w:r w:rsidR="002F5253" w:rsidRPr="00E15E92">
        <w:t>n términos del precepto constitucional invocado así como de los artículos 1</w:t>
      </w:r>
      <w:r w:rsidR="00267EEB" w:rsidRPr="00E15E92">
        <w:t>°</w:t>
      </w:r>
      <w:r w:rsidR="002F5253" w:rsidRPr="00E15E92">
        <w:t xml:space="preserve"> y 7</w:t>
      </w:r>
      <w:r w:rsidR="00267EEB" w:rsidRPr="00E15E92">
        <w:t>°</w:t>
      </w:r>
      <w:r w:rsidR="002F5253" w:rsidRPr="00E15E92">
        <w:t xml:space="preserve"> de la LFTR, </w:t>
      </w:r>
      <w:r w:rsidR="00710F21" w:rsidRPr="00E15E92">
        <w:t xml:space="preserve">el Instituto </w:t>
      </w:r>
      <w:r w:rsidR="000A3C72" w:rsidRPr="00E15E92">
        <w:t xml:space="preserve">tiene a su cargo la regulación, promoción y supervisión del uso, aprovechamiento y explotación del espectro radioeléctrico, los recursos orbitales, los servicios satelitales, las redes y la prestación de los servicios de radiodifusión y telecomunicaciones, así como del acceso a infraestructura activa, pasiva y otros insumos esenciales, garantizando lo establecido en </w:t>
      </w:r>
      <w:r w:rsidR="00BB61E1" w:rsidRPr="00E15E92">
        <w:t xml:space="preserve">los </w:t>
      </w:r>
      <w:r w:rsidR="000A3C72" w:rsidRPr="00E15E92">
        <w:t>artículo</w:t>
      </w:r>
      <w:r w:rsidR="00BB61E1" w:rsidRPr="00E15E92">
        <w:t>s</w:t>
      </w:r>
      <w:r w:rsidR="000A3C72" w:rsidRPr="00E15E92">
        <w:t xml:space="preserve"> 6° </w:t>
      </w:r>
      <w:r w:rsidR="00BB61E1" w:rsidRPr="00E15E92">
        <w:t xml:space="preserve">y 7° </w:t>
      </w:r>
      <w:r w:rsidR="000A3C72" w:rsidRPr="00E15E92">
        <w:t xml:space="preserve">de la Constitución. </w:t>
      </w:r>
    </w:p>
    <w:p w14:paraId="684227FC" w14:textId="5E85B0EC" w:rsidR="00290626" w:rsidRPr="00E15E92" w:rsidRDefault="00290626" w:rsidP="000A3C72">
      <w:pPr>
        <w:pStyle w:val="IFTnormal"/>
      </w:pPr>
      <w:r w:rsidRPr="00E15E92">
        <w:t>Por su parte, el artículo 6º Constitucional, en su apartado B, fracción II, señala que las telecomunicaciones son servicios de interés general, por lo que el Estado garantizará que sean prestados en condiciones de competencia, calidad, pluralidad, cobertura universal, interconexión, convergencia, continuidad, acceso libre y sin injerencias arbitrarias.</w:t>
      </w:r>
    </w:p>
    <w:p w14:paraId="2FB77D17" w14:textId="6ADD551C" w:rsidR="000A3C72" w:rsidRPr="00E15E92" w:rsidRDefault="006C1BD3" w:rsidP="000A3C72">
      <w:pPr>
        <w:pStyle w:val="IFTnormal"/>
      </w:pPr>
      <w:r w:rsidRPr="00E15E92">
        <w:t>Asimismo</w:t>
      </w:r>
      <w:r w:rsidR="00BF69C8" w:rsidRPr="00E15E92">
        <w:t xml:space="preserve">, </w:t>
      </w:r>
      <w:r w:rsidR="00C32C34" w:rsidRPr="00E15E92">
        <w:t xml:space="preserve">el artículo 28 de la Constitución dispone que </w:t>
      </w:r>
      <w:r w:rsidR="00BF69C8" w:rsidRPr="00E15E92">
        <w:t xml:space="preserve">el Instituto es la autoridad en materia de competencia económica de los sectores de radiodifusión y telecomunicaciones, por lo que en éstos ejercerá en forma exclusiva las facultades </w:t>
      </w:r>
      <w:r w:rsidR="00C32C34" w:rsidRPr="00E15E92">
        <w:t xml:space="preserve">de ese mismo </w:t>
      </w:r>
      <w:r w:rsidR="00BF69C8" w:rsidRPr="00E15E92">
        <w:t>artículo, la LFTR y la Ley Federal de Competencia Económica.</w:t>
      </w:r>
      <w:r w:rsidR="00961A65" w:rsidRPr="00E15E92">
        <w:t xml:space="preserve"> </w:t>
      </w:r>
      <w:r w:rsidR="000A3C72" w:rsidRPr="00E15E92" w:rsidDel="002F5253">
        <w:t>De igual forma, de conformidad con la fracción IV del párrafo vigésimo del artículo 28 de la Constitución, el Instituto podrá emitir disposiciones administrativas de carácter general para el cumplimiento de su función regulatoria</w:t>
      </w:r>
      <w:r w:rsidR="002A152E" w:rsidRPr="00E15E92">
        <w:t>, mientras que d</w:t>
      </w:r>
      <w:r w:rsidR="00961A65" w:rsidRPr="00E15E92">
        <w:t xml:space="preserve">e </w:t>
      </w:r>
      <w:r w:rsidR="002A152E" w:rsidRPr="00E15E92">
        <w:t xml:space="preserve">acuerdo con </w:t>
      </w:r>
      <w:r w:rsidR="000A3C72" w:rsidRPr="00E15E92">
        <w:t>lo establecido por el artículo 15, fracci</w:t>
      </w:r>
      <w:r w:rsidR="006B4191" w:rsidRPr="00E15E92">
        <w:t>o</w:t>
      </w:r>
      <w:r w:rsidR="000A3C72" w:rsidRPr="00E15E92">
        <w:t>n</w:t>
      </w:r>
      <w:r w:rsidR="006B4191" w:rsidRPr="00E15E92">
        <w:t>es</w:t>
      </w:r>
      <w:r w:rsidR="000A3C72" w:rsidRPr="00E15E92">
        <w:t xml:space="preserve"> I</w:t>
      </w:r>
      <w:r w:rsidR="00710F21" w:rsidRPr="00E15E92">
        <w:t xml:space="preserve"> y LVI</w:t>
      </w:r>
      <w:r w:rsidR="000A3C72" w:rsidRPr="00E15E92">
        <w:t xml:space="preserve"> de la</w:t>
      </w:r>
      <w:r w:rsidRPr="00E15E92">
        <w:t xml:space="preserve"> </w:t>
      </w:r>
      <w:r w:rsidR="00C32C34" w:rsidRPr="00E15E92">
        <w:t>LFTR</w:t>
      </w:r>
      <w:r w:rsidR="000A3C72" w:rsidRPr="00E15E92">
        <w:t xml:space="preserve">, corresponde al Instituto expedir disposiciones administrativas de carácter general, lineamientos, ordenamientos técnicos en materia de telecomunicaciones y radiodifusión; </w:t>
      </w:r>
      <w:r w:rsidR="000C1681" w:rsidRPr="00E15E92">
        <w:t>así como aprobar y expedir las disposiciones administrativas de carácter general necesarias para el debido ejercicio de sus facultades y atribuciones</w:t>
      </w:r>
      <w:r w:rsidR="00FA36BB" w:rsidRPr="00E15E92">
        <w:t>.</w:t>
      </w:r>
      <w:r w:rsidR="000C1681" w:rsidRPr="00E15E92">
        <w:t xml:space="preserve"> </w:t>
      </w:r>
      <w:r w:rsidR="002A152E" w:rsidRPr="00E15E92">
        <w:t xml:space="preserve">De manera particular, </w:t>
      </w:r>
      <w:r w:rsidR="000C1681" w:rsidRPr="00E15E92">
        <w:t xml:space="preserve">la fracción XLVI </w:t>
      </w:r>
      <w:r w:rsidR="008957F4" w:rsidRPr="00E15E92">
        <w:t>del</w:t>
      </w:r>
      <w:r w:rsidR="000C1681" w:rsidRPr="00E15E92">
        <w:t xml:space="preserve"> artículo 15 señala que también corresponde al Instituto elaborar, emitir y mantener actualizada una base de datos nacional geo-referenciada de infraestructura de telecomunicaciones y radiodifusión existente en el país</w:t>
      </w:r>
      <w:r w:rsidR="00C32C34" w:rsidRPr="00E15E92">
        <w:t>.</w:t>
      </w:r>
      <w:r w:rsidR="000C1681" w:rsidRPr="00E15E92">
        <w:t xml:space="preserve">   </w:t>
      </w:r>
    </w:p>
    <w:p w14:paraId="4816FD1F" w14:textId="27703EAA" w:rsidR="00992349" w:rsidRPr="00E15E92" w:rsidRDefault="006B51AE" w:rsidP="000A3C72">
      <w:pPr>
        <w:pStyle w:val="IFTnormal"/>
      </w:pPr>
      <w:r w:rsidRPr="00E15E92">
        <w:t>Asimismo, de</w:t>
      </w:r>
      <w:r w:rsidR="00992349" w:rsidRPr="00E15E92">
        <w:t xml:space="preserve"> conformidad con la fracción XLI del artículo 1</w:t>
      </w:r>
      <w:r w:rsidR="00A430E9" w:rsidRPr="00E15E92">
        <w:t>5</w:t>
      </w:r>
      <w:r w:rsidR="00992349" w:rsidRPr="00E15E92">
        <w:t xml:space="preserve"> de la LFTR, el Instituto, es el responsable de establecer e implementar procesos de mejora regulatoria en el sector de las telecomunicaciones y la radiodifusión, a efecto de simplificar los trámites y servicios que se realizan ante este.</w:t>
      </w:r>
    </w:p>
    <w:p w14:paraId="21FB482E" w14:textId="77777777" w:rsidR="00416074" w:rsidRPr="00E15E92" w:rsidRDefault="000A3C72" w:rsidP="00BB694E">
      <w:pPr>
        <w:pStyle w:val="IFTnormal"/>
      </w:pPr>
      <w:r w:rsidRPr="00E15E92">
        <w:t>Por lo anterior, el Instituto cuenta con</w:t>
      </w:r>
      <w:r w:rsidR="00945C79" w:rsidRPr="00E15E92">
        <w:t xml:space="preserve"> </w:t>
      </w:r>
      <w:r w:rsidR="00BF69C8" w:rsidRPr="00E15E92">
        <w:t>atribuciones</w:t>
      </w:r>
      <w:r w:rsidR="005D38BB" w:rsidRPr="00E15E92">
        <w:t xml:space="preserve"> </w:t>
      </w:r>
      <w:r w:rsidRPr="00E15E92">
        <w:t xml:space="preserve">para </w:t>
      </w:r>
      <w:r w:rsidR="00C04D5A" w:rsidRPr="00E15E92">
        <w:t xml:space="preserve">emitir </w:t>
      </w:r>
      <w:r w:rsidRPr="00E15E92">
        <w:t>los presentes “</w:t>
      </w:r>
      <w:r w:rsidR="006E60BE" w:rsidRPr="00E15E92">
        <w:rPr>
          <w:i/>
        </w:rPr>
        <w:t>LINEAMIENTOS PARA LA ENTREGA, INSCRIPCIÓN Y CONSULTA DE INFORMACIÓN PARA LA CONFORMACIÓN DEL SISTEMA NACIONAL DE INFORMACIÓN DE INFRAESTRUCTURA</w:t>
      </w:r>
      <w:r w:rsidRPr="00E15E92">
        <w:t xml:space="preserve">” (en lo sucesivo, “Lineamientos”) </w:t>
      </w:r>
      <w:r w:rsidR="00945C79" w:rsidRPr="00E15E92">
        <w:t>como parte de las</w:t>
      </w:r>
      <w:r w:rsidR="00945C79" w:rsidRPr="00E15E92" w:rsidDel="005F5255">
        <w:t xml:space="preserve"> </w:t>
      </w:r>
      <w:r w:rsidRPr="00E15E92" w:rsidDel="005F5255">
        <w:t xml:space="preserve">políticas que </w:t>
      </w:r>
      <w:r w:rsidR="00F77853" w:rsidRPr="00E15E92">
        <w:t xml:space="preserve">lleve a cabo para </w:t>
      </w:r>
      <w:r w:rsidR="00945C79" w:rsidRPr="00E15E92" w:rsidDel="005F5255">
        <w:t>foment</w:t>
      </w:r>
      <w:r w:rsidR="00945C79" w:rsidRPr="00E15E92">
        <w:t>ar</w:t>
      </w:r>
      <w:r w:rsidR="00945C79" w:rsidRPr="00E15E92" w:rsidDel="005F5255">
        <w:t xml:space="preserve"> </w:t>
      </w:r>
      <w:r w:rsidRPr="00E15E92" w:rsidDel="005F5255">
        <w:t xml:space="preserve">el </w:t>
      </w:r>
      <w:r w:rsidR="005D38BB" w:rsidRPr="00E15E92">
        <w:t xml:space="preserve">despliegue y la </w:t>
      </w:r>
      <w:r w:rsidRPr="00E15E92" w:rsidDel="005F5255">
        <w:t>comparti</w:t>
      </w:r>
      <w:r w:rsidR="005D38BB" w:rsidRPr="00E15E92">
        <w:t>ción</w:t>
      </w:r>
      <w:r w:rsidRPr="00E15E92" w:rsidDel="005F5255">
        <w:t xml:space="preserve"> de infraestructura</w:t>
      </w:r>
      <w:r w:rsidR="005D38BB" w:rsidRPr="00E15E92">
        <w:t xml:space="preserve">. </w:t>
      </w:r>
    </w:p>
    <w:p w14:paraId="056C2F82" w14:textId="7FE48F56" w:rsidR="00BB694E" w:rsidRPr="00E15E92" w:rsidRDefault="000A3C72" w:rsidP="00BB694E">
      <w:pPr>
        <w:pStyle w:val="IFTnormal"/>
      </w:pPr>
      <w:r w:rsidRPr="00E15E92">
        <w:rPr>
          <w:b/>
        </w:rPr>
        <w:t xml:space="preserve">SEGUNDO. </w:t>
      </w:r>
      <w:r w:rsidR="0070173F" w:rsidRPr="00E15E92">
        <w:rPr>
          <w:b/>
        </w:rPr>
        <w:t>Del</w:t>
      </w:r>
      <w:r w:rsidRPr="00E15E92">
        <w:rPr>
          <w:b/>
        </w:rPr>
        <w:t xml:space="preserve"> Sistema Nacional de Información de Infraestructura. </w:t>
      </w:r>
      <w:r w:rsidR="00BB694E" w:rsidRPr="00E15E92">
        <w:t xml:space="preserve">Los costos de instalación de infraestructura, la disponibilidad de sitios, la tramitación de permisos y derechos de vía, entre otros factores, son </w:t>
      </w:r>
      <w:r w:rsidR="000217C1" w:rsidRPr="00E15E92">
        <w:t xml:space="preserve">de los principales elementos a </w:t>
      </w:r>
      <w:r w:rsidR="00BB694E" w:rsidRPr="00E15E92">
        <w:t>considera</w:t>
      </w:r>
      <w:r w:rsidR="000217C1" w:rsidRPr="00E15E92">
        <w:t>r</w:t>
      </w:r>
      <w:r w:rsidR="00BB694E" w:rsidRPr="00E15E92">
        <w:t xml:space="preserve"> por </w:t>
      </w:r>
      <w:r w:rsidR="000217C1" w:rsidRPr="00E15E92">
        <w:t xml:space="preserve">parte de </w:t>
      </w:r>
      <w:r w:rsidR="00BB694E" w:rsidRPr="00E15E92">
        <w:t xml:space="preserve">los concesionarios o autorizados </w:t>
      </w:r>
      <w:r w:rsidR="006227E7" w:rsidRPr="00E15E92">
        <w:t xml:space="preserve">en sus planes </w:t>
      </w:r>
      <w:r w:rsidR="00BB694E" w:rsidRPr="00E15E92">
        <w:t>para el despliegue de infraestructura de telecomunicaciones o radiodifusión</w:t>
      </w:r>
      <w:r w:rsidR="002A152E" w:rsidRPr="00E15E92">
        <w:t xml:space="preserve">, que en ocasiones generan </w:t>
      </w:r>
      <w:r w:rsidR="00BB694E" w:rsidRPr="00E15E92">
        <w:t xml:space="preserve">barreras </w:t>
      </w:r>
      <w:r w:rsidR="006227E7" w:rsidRPr="00E15E92">
        <w:t xml:space="preserve">que van desde costos económicos hasta costos administrativos y de transacción </w:t>
      </w:r>
      <w:r w:rsidR="00BB694E" w:rsidRPr="00E15E92">
        <w:t>para la instalación de infraestructura</w:t>
      </w:r>
      <w:r w:rsidR="006227E7" w:rsidRPr="00E15E92">
        <w:t>,</w:t>
      </w:r>
      <w:r w:rsidR="00BB694E" w:rsidRPr="00E15E92">
        <w:t xml:space="preserve"> </w:t>
      </w:r>
      <w:r w:rsidR="006227E7" w:rsidRPr="00E15E92">
        <w:t xml:space="preserve">lo </w:t>
      </w:r>
      <w:r w:rsidR="00BB694E" w:rsidRPr="00E15E92">
        <w:t xml:space="preserve">que </w:t>
      </w:r>
      <w:r w:rsidR="00C74D46" w:rsidRPr="00E15E92">
        <w:t>dificulta</w:t>
      </w:r>
      <w:r w:rsidR="00BB694E" w:rsidRPr="00E15E92">
        <w:t xml:space="preserve"> </w:t>
      </w:r>
      <w:r w:rsidR="00C74D46" w:rsidRPr="00E15E92">
        <w:t xml:space="preserve">el </w:t>
      </w:r>
      <w:r w:rsidR="00BB694E" w:rsidRPr="00E15E92">
        <w:t xml:space="preserve">desarrollo y despliegue </w:t>
      </w:r>
      <w:r w:rsidR="006227E7" w:rsidRPr="00E15E92">
        <w:t xml:space="preserve">eficiente </w:t>
      </w:r>
      <w:r w:rsidR="00BB694E" w:rsidRPr="00E15E92">
        <w:t xml:space="preserve">de </w:t>
      </w:r>
      <w:r w:rsidR="006227E7" w:rsidRPr="00E15E92">
        <w:t xml:space="preserve">los </w:t>
      </w:r>
      <w:r w:rsidR="00BB694E" w:rsidRPr="00E15E92">
        <w:t>servicios</w:t>
      </w:r>
      <w:r w:rsidR="006227E7" w:rsidRPr="00E15E92">
        <w:t xml:space="preserve"> de telecomunicaciones y radiodifusión</w:t>
      </w:r>
      <w:r w:rsidR="00BB694E" w:rsidRPr="00E15E92">
        <w:t>.</w:t>
      </w:r>
    </w:p>
    <w:p w14:paraId="2D81F068" w14:textId="7BC7FB75" w:rsidR="00755A20" w:rsidRPr="00E15E92" w:rsidRDefault="006227E7" w:rsidP="003948CA">
      <w:pPr>
        <w:pStyle w:val="IFTnormal"/>
      </w:pPr>
      <w:r w:rsidRPr="00E15E92">
        <w:t xml:space="preserve">Un factor que permite reducir significativamente estos costos es la compartición de infraestructura </w:t>
      </w:r>
      <w:r w:rsidR="00C6014F" w:rsidRPr="00E15E92">
        <w:t>entre</w:t>
      </w:r>
      <w:r w:rsidRPr="00E15E92">
        <w:t xml:space="preserve"> </w:t>
      </w:r>
      <w:r w:rsidR="002A152E" w:rsidRPr="00E15E92">
        <w:t xml:space="preserve">diversos </w:t>
      </w:r>
      <w:r w:rsidRPr="00E15E92">
        <w:t>operadores, lo que reduce no solamente las inversiones necesarias, sino también</w:t>
      </w:r>
      <w:r w:rsidR="00CD7AC1" w:rsidRPr="00E15E92">
        <w:t>,</w:t>
      </w:r>
      <w:r w:rsidRPr="00E15E92">
        <w:t xml:space="preserve"> los plazos para el despliegue y puesta en operación de servicios, en beneficio de los usuarios finales. </w:t>
      </w:r>
    </w:p>
    <w:p w14:paraId="7FB7961E" w14:textId="231B042E" w:rsidR="00494B8B" w:rsidRPr="00E15E92" w:rsidRDefault="006227E7" w:rsidP="003948CA">
      <w:pPr>
        <w:pStyle w:val="IFTnormal"/>
      </w:pPr>
      <w:r w:rsidRPr="00E15E92">
        <w:t>Actualmente dicha compartición se realiza en función del conocimiento que tienen los operadores de</w:t>
      </w:r>
      <w:r w:rsidR="00D5727A" w:rsidRPr="00E15E92">
        <w:t xml:space="preserve"> </w:t>
      </w:r>
      <w:r w:rsidR="002A152E" w:rsidRPr="00E15E92">
        <w:t>elementos de red</w:t>
      </w:r>
      <w:r w:rsidR="00D5727A" w:rsidRPr="00E15E92">
        <w:t xml:space="preserve"> de otros operadores o de terceros</w:t>
      </w:r>
      <w:r w:rsidRPr="00E15E92">
        <w:t xml:space="preserve">, así como de su ubicación y disponibilidad. Sin embargo, dicho conocimiento </w:t>
      </w:r>
      <w:r w:rsidR="00C6014F" w:rsidRPr="00E15E92">
        <w:t xml:space="preserve">pudiera </w:t>
      </w:r>
      <w:r w:rsidRPr="00E15E92">
        <w:t>no resulta</w:t>
      </w:r>
      <w:r w:rsidR="00C6014F" w:rsidRPr="00E15E92">
        <w:t>r</w:t>
      </w:r>
      <w:r w:rsidRPr="00E15E92">
        <w:t xml:space="preserve"> homogéneo entre todos los participantes del mercado, generando posibles asimetrías de información que no permiten el uso óptimo de los recursos disponibles.</w:t>
      </w:r>
      <w:r w:rsidR="00A377EF" w:rsidRPr="00E15E92" w:rsidDel="00A377EF">
        <w:t xml:space="preserve"> </w:t>
      </w:r>
    </w:p>
    <w:p w14:paraId="7013B3C1" w14:textId="1FDC54AA" w:rsidR="00C51D05" w:rsidRPr="00E15E92" w:rsidRDefault="00BB694E" w:rsidP="003948CA">
      <w:pPr>
        <w:pStyle w:val="IFTnormal"/>
      </w:pPr>
      <w:r w:rsidRPr="00E15E92">
        <w:t xml:space="preserve">Considerando lo anterior, una herramienta </w:t>
      </w:r>
      <w:r w:rsidR="006227E7" w:rsidRPr="00E15E92">
        <w:t xml:space="preserve">centralizada </w:t>
      </w:r>
      <w:r w:rsidRPr="00E15E92">
        <w:t xml:space="preserve">que </w:t>
      </w:r>
      <w:r w:rsidR="006227E7" w:rsidRPr="00E15E92">
        <w:t xml:space="preserve">contenga </w:t>
      </w:r>
      <w:r w:rsidRPr="00E15E92">
        <w:t xml:space="preserve">la identificación de </w:t>
      </w:r>
      <w:r w:rsidR="00C6014F" w:rsidRPr="00E15E92">
        <w:t xml:space="preserve">la </w:t>
      </w:r>
      <w:r w:rsidRPr="00E15E92">
        <w:t xml:space="preserve">infraestructura existente </w:t>
      </w:r>
      <w:r w:rsidR="00A66E10" w:rsidRPr="00E15E92">
        <w:t xml:space="preserve">con información básica como tipo de </w:t>
      </w:r>
      <w:r w:rsidR="00D5727A" w:rsidRPr="00E15E92">
        <w:t>elemento</w:t>
      </w:r>
      <w:r w:rsidR="00A66E10" w:rsidRPr="00E15E92">
        <w:t xml:space="preserve"> y ubicación</w:t>
      </w:r>
      <w:r w:rsidR="00D5727A" w:rsidRPr="00E15E92">
        <w:t xml:space="preserve">, así como principales características, </w:t>
      </w:r>
      <w:r w:rsidR="00E5393F" w:rsidRPr="00E15E92">
        <w:t xml:space="preserve">creará condiciones para un mayor fomento a la compartición de infraestructura, lo cual </w:t>
      </w:r>
      <w:r w:rsidR="00A66E10" w:rsidRPr="00E15E92">
        <w:t>permitir</w:t>
      </w:r>
      <w:r w:rsidR="00CD7AC1" w:rsidRPr="00E15E92">
        <w:t>á</w:t>
      </w:r>
      <w:r w:rsidR="00A66E10" w:rsidRPr="00E15E92">
        <w:t xml:space="preserve"> </w:t>
      </w:r>
      <w:r w:rsidRPr="00E15E92">
        <w:t>a los operadores del mercado reducir costos para el despliegue de sus redes</w:t>
      </w:r>
      <w:r w:rsidR="00D5727A" w:rsidRPr="00E15E92">
        <w:t xml:space="preserve"> al</w:t>
      </w:r>
      <w:r w:rsidRPr="00E15E92">
        <w:t xml:space="preserve"> aprovechar los recursos instalados, favoreciendo el uso eficiente de l</w:t>
      </w:r>
      <w:r w:rsidR="00E5393F" w:rsidRPr="00E15E92">
        <w:t>o</w:t>
      </w:r>
      <w:r w:rsidRPr="00E15E92">
        <w:t xml:space="preserve">s </w:t>
      </w:r>
      <w:r w:rsidR="00A51FB9" w:rsidRPr="00E15E92">
        <w:t>mism</w:t>
      </w:r>
      <w:r w:rsidR="00E5393F" w:rsidRPr="00E15E92">
        <w:t>o</w:t>
      </w:r>
      <w:r w:rsidR="00A51FB9" w:rsidRPr="00E15E92">
        <w:t>s</w:t>
      </w:r>
      <w:r w:rsidR="00C6014F" w:rsidRPr="00E15E92">
        <w:t xml:space="preserve"> </w:t>
      </w:r>
      <w:r w:rsidR="00E5393F" w:rsidRPr="00E15E92">
        <w:t xml:space="preserve">y </w:t>
      </w:r>
      <w:r w:rsidR="00C6014F" w:rsidRPr="00E15E92">
        <w:t xml:space="preserve">generando </w:t>
      </w:r>
      <w:r w:rsidR="00A66E10" w:rsidRPr="00E15E92">
        <w:t xml:space="preserve">mejores </w:t>
      </w:r>
      <w:r w:rsidRPr="00E15E92">
        <w:t xml:space="preserve">condiciones </w:t>
      </w:r>
      <w:r w:rsidR="00A66E10" w:rsidRPr="00E15E92">
        <w:t>para la</w:t>
      </w:r>
      <w:r w:rsidRPr="00E15E92">
        <w:t xml:space="preserve"> competencia</w:t>
      </w:r>
      <w:r w:rsidR="006C1BD3" w:rsidRPr="00E15E92">
        <w:t>.</w:t>
      </w:r>
      <w:r w:rsidR="00C6014F" w:rsidRPr="00E15E92">
        <w:t xml:space="preserve"> De hecho, este tipo de herramientas han sido desarrolladas e implementadas por autoridades reguladoras en otros países, con diferente grado de </w:t>
      </w:r>
      <w:r w:rsidR="00404C61" w:rsidRPr="00E15E92">
        <w:t>alcance,</w:t>
      </w:r>
      <w:r w:rsidR="00C6014F" w:rsidRPr="00E15E92">
        <w:t xml:space="preserve"> pero con prácticamente el mismo objetivo de fomentar la compartición</w:t>
      </w:r>
      <w:r w:rsidR="006C1BD3" w:rsidRPr="00E15E92">
        <w:t xml:space="preserve"> de infraestructura</w:t>
      </w:r>
      <w:r w:rsidR="00C6014F" w:rsidRPr="00E15E92">
        <w:t xml:space="preserve"> y evitar duplicidad en inversiones</w:t>
      </w:r>
      <w:r w:rsidR="00307ADC" w:rsidRPr="00E15E92">
        <w:t xml:space="preserve"> a través de participaciones conjuntas en obra civil</w:t>
      </w:r>
      <w:r w:rsidR="00C6014F" w:rsidRPr="00E15E92">
        <w:t>.</w:t>
      </w:r>
    </w:p>
    <w:p w14:paraId="2BFA3100" w14:textId="26FD71F9" w:rsidR="00C95383" w:rsidRPr="00E15E92" w:rsidRDefault="00E075E0" w:rsidP="003948CA">
      <w:pPr>
        <w:pStyle w:val="IFTnormal"/>
        <w:rPr>
          <w:b/>
        </w:rPr>
      </w:pPr>
      <w:r w:rsidRPr="00E15E92">
        <w:rPr>
          <w:b/>
        </w:rPr>
        <w:t>El S</w:t>
      </w:r>
      <w:r w:rsidR="00304452" w:rsidRPr="00E15E92">
        <w:rPr>
          <w:b/>
        </w:rPr>
        <w:t xml:space="preserve">istema </w:t>
      </w:r>
      <w:r w:rsidRPr="00E15E92">
        <w:rPr>
          <w:b/>
        </w:rPr>
        <w:t>N</w:t>
      </w:r>
      <w:r w:rsidR="00304452" w:rsidRPr="00E15E92">
        <w:rPr>
          <w:b/>
        </w:rPr>
        <w:t xml:space="preserve">acional de </w:t>
      </w:r>
      <w:r w:rsidRPr="00E15E92">
        <w:rPr>
          <w:b/>
        </w:rPr>
        <w:t>I</w:t>
      </w:r>
      <w:r w:rsidR="00304452" w:rsidRPr="00E15E92">
        <w:rPr>
          <w:b/>
        </w:rPr>
        <w:t xml:space="preserve">nformación de </w:t>
      </w:r>
      <w:r w:rsidRPr="00E15E92">
        <w:rPr>
          <w:b/>
        </w:rPr>
        <w:t>I</w:t>
      </w:r>
      <w:r w:rsidR="00304452" w:rsidRPr="00E15E92">
        <w:rPr>
          <w:b/>
        </w:rPr>
        <w:t>nfraestructura</w:t>
      </w:r>
      <w:r w:rsidRPr="00E15E92">
        <w:rPr>
          <w:b/>
        </w:rPr>
        <w:t xml:space="preserve"> en la Ley Federal de Telecomunicaciones y Radiodifusión</w:t>
      </w:r>
    </w:p>
    <w:p w14:paraId="08CDC775" w14:textId="35C387D6" w:rsidR="00C00300" w:rsidRPr="00E15E92" w:rsidRDefault="00A51FB9" w:rsidP="003948CA">
      <w:pPr>
        <w:pStyle w:val="IFTnormal"/>
      </w:pPr>
      <w:r w:rsidRPr="00E15E92">
        <w:t>Desde l</w:t>
      </w:r>
      <w:r w:rsidR="00C339F2" w:rsidRPr="00E15E92">
        <w:t xml:space="preserve">a “Iniciativa de Decreto por el que se expiden la Ley Federal de Telecomunicaciones y Radiodifusión” </w:t>
      </w:r>
      <w:r w:rsidR="00BE465A" w:rsidRPr="00E15E92">
        <w:t>se</w:t>
      </w:r>
      <w:r w:rsidR="00C339F2" w:rsidRPr="00E15E92">
        <w:t xml:space="preserve"> establec</w:t>
      </w:r>
      <w:r w:rsidR="00304452" w:rsidRPr="00E15E92">
        <w:t>ió</w:t>
      </w:r>
      <w:r w:rsidR="00C339F2" w:rsidRPr="00E15E92">
        <w:t xml:space="preserve"> la necesidad de </w:t>
      </w:r>
      <w:r w:rsidR="00BE465A" w:rsidRPr="00E15E92">
        <w:t xml:space="preserve">instaurar </w:t>
      </w:r>
      <w:r w:rsidR="00C84430" w:rsidRPr="00E15E92">
        <w:t>el</w:t>
      </w:r>
      <w:r w:rsidR="00C339F2" w:rsidRPr="00E15E92">
        <w:t xml:space="preserve"> Sistema Nacional de Información de Infraestructura (en lo sucesivo, “SNII”), con el objeto de contar con información sobre la ubicación, características, </w:t>
      </w:r>
      <w:r w:rsidR="00C00300" w:rsidRPr="00E15E92">
        <w:t xml:space="preserve">aprovechamiento, </w:t>
      </w:r>
      <w:r w:rsidR="00C339F2" w:rsidRPr="00E15E92">
        <w:t>capacidad de la infraestructura instalada en todo el país, para lo cual se deberá crear y mantener actualizada una base de datos nacional geo-referenciada que contenga los registros de infraestructura activa y medios de transmisión, de infraestructura pasiva y derechos de vía y sitios públicos</w:t>
      </w:r>
      <w:r w:rsidR="00C00300" w:rsidRPr="00E15E92">
        <w:t xml:space="preserve">. </w:t>
      </w:r>
    </w:p>
    <w:p w14:paraId="2DA92215" w14:textId="2AAD74F9" w:rsidR="004035A3" w:rsidRPr="00E15E92" w:rsidRDefault="00180C13" w:rsidP="00CE1AC3">
      <w:pPr>
        <w:pStyle w:val="IFTnormal"/>
      </w:pPr>
      <w:r w:rsidRPr="00E15E92">
        <w:t xml:space="preserve">Lo anterior, para </w:t>
      </w:r>
      <w:r w:rsidR="00755A20" w:rsidRPr="00E15E92">
        <w:t>facilitar</w:t>
      </w:r>
      <w:r w:rsidRPr="00E15E92">
        <w:t xml:space="preserve"> el despliegue y </w:t>
      </w:r>
      <w:r w:rsidR="00346701" w:rsidRPr="00E15E92">
        <w:t xml:space="preserve">la </w:t>
      </w:r>
      <w:r w:rsidRPr="00E15E92">
        <w:t xml:space="preserve">compartición de infraestructura que permita focalizar las inversiones </w:t>
      </w:r>
      <w:r w:rsidR="00346701" w:rsidRPr="00E15E92">
        <w:t>en</w:t>
      </w:r>
      <w:r w:rsidR="006C1BD3" w:rsidRPr="00E15E92">
        <w:t xml:space="preserve"> </w:t>
      </w:r>
      <w:r w:rsidRPr="00E15E92">
        <w:t>las zonas del país que así lo requieran</w:t>
      </w:r>
      <w:r w:rsidR="00CF03D3" w:rsidRPr="00E15E92">
        <w:t>,</w:t>
      </w:r>
      <w:r w:rsidRPr="00E15E92">
        <w:t xml:space="preserve"> coadyuvando a evitar la duplicidad de infraestructura e inversión necesaria.</w:t>
      </w:r>
    </w:p>
    <w:p w14:paraId="4AAF541A" w14:textId="7F3036F7" w:rsidR="00E1517D" w:rsidRPr="00E15E92" w:rsidRDefault="00C339F2" w:rsidP="00CE1AC3">
      <w:pPr>
        <w:pStyle w:val="IFTnormal"/>
      </w:pPr>
      <w:r w:rsidRPr="00E15E92">
        <w:t xml:space="preserve">En razón de ello, </w:t>
      </w:r>
      <w:r w:rsidR="00E5393F" w:rsidRPr="00E15E92">
        <w:t xml:space="preserve">el </w:t>
      </w:r>
      <w:r w:rsidR="003A7F7F" w:rsidRPr="00E15E92">
        <w:t xml:space="preserve">artículo 181 </w:t>
      </w:r>
      <w:r w:rsidR="00E5393F" w:rsidRPr="00E15E92">
        <w:t xml:space="preserve">de </w:t>
      </w:r>
      <w:r w:rsidR="00E1517D" w:rsidRPr="00E15E92">
        <w:t>la LFTR</w:t>
      </w:r>
      <w:r w:rsidR="003A7F7F" w:rsidRPr="00E15E92">
        <w:t xml:space="preserve"> </w:t>
      </w:r>
      <w:r w:rsidR="005A2265" w:rsidRPr="00E15E92">
        <w:t>e</w:t>
      </w:r>
      <w:r w:rsidR="0008543B" w:rsidRPr="00E15E92">
        <w:t>stablece</w:t>
      </w:r>
      <w:r w:rsidRPr="00E15E92">
        <w:t xml:space="preserve"> que </w:t>
      </w:r>
      <w:r w:rsidR="00E1517D" w:rsidRPr="00E15E92">
        <w:t xml:space="preserve">el Instituto creará y mantendrá actualizada una base de datos nacional geo-referenciada que </w:t>
      </w:r>
      <w:r w:rsidR="00E1517D" w:rsidRPr="00E15E92" w:rsidDel="00986179">
        <w:t xml:space="preserve">contenga </w:t>
      </w:r>
      <w:r w:rsidR="00E1517D" w:rsidRPr="00E15E92" w:rsidDel="00441FDE">
        <w:t xml:space="preserve">la información de </w:t>
      </w:r>
      <w:r w:rsidR="00E1517D" w:rsidRPr="00E15E92">
        <w:t>los registros de infraestructura activa y medios de transmisión, de infraestructura pasiva y derechos de vía y de sitios públicos</w:t>
      </w:r>
      <w:r w:rsidR="00C74D46" w:rsidRPr="00E15E92">
        <w:t xml:space="preserve"> y privados</w:t>
      </w:r>
      <w:r w:rsidR="00C6014F" w:rsidRPr="00E15E92">
        <w:t xml:space="preserve">, la cual </w:t>
      </w:r>
      <w:r w:rsidR="00C74D46" w:rsidRPr="00E15E92">
        <w:t>será reservada en términos de la Ley Federal de Transparencia y Acceso a la Información Pública Gubernamental.</w:t>
      </w:r>
      <w:r w:rsidR="003A7F7F" w:rsidRPr="00E15E92">
        <w:t xml:space="preserve"> Asimismo, del artículo 182 a</w:t>
      </w:r>
      <w:r w:rsidR="00346701" w:rsidRPr="00E15E92">
        <w:t>l</w:t>
      </w:r>
      <w:r w:rsidR="003A7F7F" w:rsidRPr="00E15E92">
        <w:t xml:space="preserve"> 188 la propia LFTR señala el tipo de información y los sujetos obligados</w:t>
      </w:r>
      <w:r w:rsidR="00E5393F" w:rsidRPr="00E15E92">
        <w:t xml:space="preserve"> que participarán tanto para la entrega como para la consulta de información</w:t>
      </w:r>
      <w:r w:rsidR="003A7F7F" w:rsidRPr="00E15E92">
        <w:t>, entre otros aspectos.</w:t>
      </w:r>
    </w:p>
    <w:p w14:paraId="08B2E72E" w14:textId="6181B56D" w:rsidR="004035A3" w:rsidRPr="00E15E92" w:rsidRDefault="000928B3" w:rsidP="00CE1AC3">
      <w:pPr>
        <w:pStyle w:val="IFTnormal"/>
      </w:pPr>
      <w:r w:rsidRPr="00E15E92">
        <w:t xml:space="preserve">En </w:t>
      </w:r>
      <w:r w:rsidR="00CF03D3" w:rsidRPr="00E15E92">
        <w:t>razón de ello</w:t>
      </w:r>
      <w:r w:rsidRPr="00E15E92">
        <w:t xml:space="preserve">, el Instituto emite los </w:t>
      </w:r>
      <w:r w:rsidR="00CF03D3" w:rsidRPr="00E15E92">
        <w:t xml:space="preserve">presentes </w:t>
      </w:r>
      <w:r w:rsidRPr="00E15E92">
        <w:t>Lineamientos</w:t>
      </w:r>
      <w:r w:rsidR="00AA5F35" w:rsidRPr="00E15E92">
        <w:t xml:space="preserve"> </w:t>
      </w:r>
      <w:r w:rsidR="009030F6" w:rsidRPr="00E15E92">
        <w:t>para materializar dichas disposiciones</w:t>
      </w:r>
      <w:r w:rsidR="00654D4D" w:rsidRPr="00E15E92">
        <w:t>, con el objeto de generar</w:t>
      </w:r>
      <w:r w:rsidRPr="00E15E92">
        <w:t xml:space="preserve"> condiciones que </w:t>
      </w:r>
      <w:r w:rsidR="003A7F7F" w:rsidRPr="00E15E92">
        <w:t>permitan identificar</w:t>
      </w:r>
      <w:r w:rsidRPr="00E15E92">
        <w:t xml:space="preserve"> la </w:t>
      </w:r>
      <w:r w:rsidR="003A7F7F" w:rsidRPr="00E15E92">
        <w:t>ubicación</w:t>
      </w:r>
      <w:r w:rsidRPr="00E15E92">
        <w:t xml:space="preserve"> de </w:t>
      </w:r>
      <w:r w:rsidR="003A7F7F" w:rsidRPr="00E15E92">
        <w:t>la infraestructura utilizada para proveer servicios de telecomunicaciones y</w:t>
      </w:r>
      <w:r w:rsidR="006C1BD3" w:rsidRPr="00E15E92">
        <w:t xml:space="preserve"> servicios de</w:t>
      </w:r>
      <w:r w:rsidR="003A7F7F" w:rsidRPr="00E15E92">
        <w:t xml:space="preserve"> radiodifusión, </w:t>
      </w:r>
      <w:r w:rsidR="006C1BD3" w:rsidRPr="00E15E92">
        <w:t>a efecto de favorecer</w:t>
      </w:r>
      <w:r w:rsidRPr="00E15E92">
        <w:t xml:space="preserve"> el despliegue y desarrollo de</w:t>
      </w:r>
      <w:r w:rsidR="003A7F7F" w:rsidRPr="00E15E92">
        <w:t xml:space="preserve"> los mismos en condiciones de competencia</w:t>
      </w:r>
      <w:r w:rsidRPr="00E15E92">
        <w:t>.</w:t>
      </w:r>
    </w:p>
    <w:p w14:paraId="5CEE8CCC" w14:textId="32FF1517" w:rsidR="000928B3" w:rsidRPr="00E15E92" w:rsidRDefault="00654D4D" w:rsidP="00CE1AC3">
      <w:pPr>
        <w:pStyle w:val="IFTnormal"/>
      </w:pPr>
      <w:r w:rsidRPr="00E15E92">
        <w:t xml:space="preserve">A </w:t>
      </w:r>
      <w:r w:rsidR="000928B3" w:rsidRPr="00E15E92">
        <w:t xml:space="preserve">través de los Lineamientos se </w:t>
      </w:r>
      <w:r w:rsidR="004035A3" w:rsidRPr="00E15E92">
        <w:t xml:space="preserve">describen los términos en los que </w:t>
      </w:r>
      <w:r w:rsidR="00346701" w:rsidRPr="00E15E92">
        <w:t xml:space="preserve">se </w:t>
      </w:r>
      <w:r w:rsidR="004035A3" w:rsidRPr="00E15E92">
        <w:t>deberá presentar</w:t>
      </w:r>
      <w:r w:rsidR="000928B3" w:rsidRPr="00E15E92">
        <w:t xml:space="preserve"> la información que conformar</w:t>
      </w:r>
      <w:r w:rsidR="004035A3" w:rsidRPr="00E15E92">
        <w:t>á</w:t>
      </w:r>
      <w:r w:rsidR="000928B3" w:rsidRPr="00E15E92">
        <w:t xml:space="preserve"> el SNII, así como los términos y plazos para la entrega, inscripción y consulta de la </w:t>
      </w:r>
      <w:r w:rsidR="00A17312" w:rsidRPr="00E15E92">
        <w:t xml:space="preserve">misma, </w:t>
      </w:r>
      <w:r w:rsidR="00CF03D3" w:rsidRPr="00E15E92">
        <w:t>que</w:t>
      </w:r>
      <w:r w:rsidR="000928B3" w:rsidRPr="00E15E92">
        <w:t xml:space="preserve"> </w:t>
      </w:r>
      <w:r w:rsidR="00CF03D3" w:rsidRPr="00E15E92">
        <w:t xml:space="preserve">deberán </w:t>
      </w:r>
      <w:r w:rsidR="00A17312" w:rsidRPr="00E15E92">
        <w:t>observar los c</w:t>
      </w:r>
      <w:r w:rsidR="000928B3" w:rsidRPr="00E15E92">
        <w:t xml:space="preserve">oncesionarios, </w:t>
      </w:r>
      <w:r w:rsidR="00A17312" w:rsidRPr="00E15E92">
        <w:t>a</w:t>
      </w:r>
      <w:r w:rsidR="000928B3" w:rsidRPr="00E15E92">
        <w:t xml:space="preserve">utorizados, </w:t>
      </w:r>
      <w:r w:rsidR="00755A20" w:rsidRPr="00E15E92">
        <w:t>a</w:t>
      </w:r>
      <w:r w:rsidR="000928B3" w:rsidRPr="00E15E92">
        <w:t xml:space="preserve">utoridades de seguridad y procuración de justicia, </w:t>
      </w:r>
      <w:r w:rsidR="00755A20" w:rsidRPr="00E15E92">
        <w:t>I</w:t>
      </w:r>
      <w:r w:rsidR="000928B3" w:rsidRPr="00E15E92">
        <w:t xml:space="preserve">nstituciones </w:t>
      </w:r>
      <w:r w:rsidR="00A17312" w:rsidRPr="00E15E92">
        <w:t>p</w:t>
      </w:r>
      <w:r w:rsidR="000928B3" w:rsidRPr="00E15E92">
        <w:t xml:space="preserve">úblicas, </w:t>
      </w:r>
      <w:r w:rsidR="00A17312" w:rsidRPr="00E15E92">
        <w:t>u</w:t>
      </w:r>
      <w:r w:rsidR="00755A20" w:rsidRPr="00E15E92">
        <w:t xml:space="preserve">niversidades, </w:t>
      </w:r>
      <w:r w:rsidR="00A17312" w:rsidRPr="00E15E92">
        <w:t>c</w:t>
      </w:r>
      <w:r w:rsidR="000928B3" w:rsidRPr="00E15E92">
        <w:t xml:space="preserve">entros de </w:t>
      </w:r>
      <w:r w:rsidR="00A17312" w:rsidRPr="00E15E92">
        <w:t>i</w:t>
      </w:r>
      <w:r w:rsidR="000928B3" w:rsidRPr="00E15E92">
        <w:t xml:space="preserve">nvestigación </w:t>
      </w:r>
      <w:r w:rsidR="00A17312" w:rsidRPr="00E15E92">
        <w:t>p</w:t>
      </w:r>
      <w:r w:rsidR="000928B3" w:rsidRPr="00E15E92">
        <w:t xml:space="preserve">úblicos y </w:t>
      </w:r>
      <w:r w:rsidR="00A17312" w:rsidRPr="00E15E92">
        <w:t>p</w:t>
      </w:r>
      <w:r w:rsidR="000928B3" w:rsidRPr="00E15E92">
        <w:t>art</w:t>
      </w:r>
      <w:r w:rsidR="00CF03D3" w:rsidRPr="00E15E92">
        <w:t>iculares.</w:t>
      </w:r>
    </w:p>
    <w:p w14:paraId="4B984212" w14:textId="377BB355" w:rsidR="00C95383" w:rsidRPr="00E15E92" w:rsidRDefault="00C95383" w:rsidP="00E1517D">
      <w:pPr>
        <w:pStyle w:val="IFTnormal"/>
        <w:rPr>
          <w:b/>
        </w:rPr>
      </w:pPr>
      <w:r w:rsidRPr="00E15E92">
        <w:rPr>
          <w:b/>
        </w:rPr>
        <w:t>Sujetos Obligados</w:t>
      </w:r>
      <w:r w:rsidR="00E075E0" w:rsidRPr="00E15E92">
        <w:rPr>
          <w:b/>
        </w:rPr>
        <w:t>,</w:t>
      </w:r>
      <w:r w:rsidRPr="00E15E92">
        <w:rPr>
          <w:b/>
        </w:rPr>
        <w:t xml:space="preserve"> Acreditados</w:t>
      </w:r>
      <w:r w:rsidR="00E075E0" w:rsidRPr="00E15E92">
        <w:rPr>
          <w:b/>
        </w:rPr>
        <w:t xml:space="preserve"> y Particulares</w:t>
      </w:r>
      <w:r w:rsidRPr="00E15E92">
        <w:rPr>
          <w:b/>
        </w:rPr>
        <w:t>.</w:t>
      </w:r>
    </w:p>
    <w:p w14:paraId="315B5807" w14:textId="4F90C5AD" w:rsidR="00180C13" w:rsidRPr="00E15E92" w:rsidRDefault="00566065" w:rsidP="00E1517D">
      <w:pPr>
        <w:pStyle w:val="IFTnormal"/>
      </w:pPr>
      <w:r w:rsidRPr="00E15E92">
        <w:t>L</w:t>
      </w:r>
      <w:r w:rsidR="004035A3" w:rsidRPr="00E15E92">
        <w:t xml:space="preserve">a LFTR </w:t>
      </w:r>
      <w:r w:rsidR="00755A20" w:rsidRPr="00E15E92">
        <w:t xml:space="preserve">establece de manera precisa </w:t>
      </w:r>
      <w:r w:rsidRPr="00E15E92">
        <w:t xml:space="preserve">las obligaciones de los diferentes actores involucrados, por lo </w:t>
      </w:r>
      <w:r w:rsidR="00404C61" w:rsidRPr="00E15E92">
        <w:t>que,</w:t>
      </w:r>
      <w:r w:rsidR="004035A3" w:rsidRPr="00E15E92">
        <w:t xml:space="preserve"> </w:t>
      </w:r>
      <w:r w:rsidRPr="00E15E92">
        <w:t>a</w:t>
      </w:r>
      <w:r w:rsidR="004035A3" w:rsidRPr="00E15E92">
        <w:t>tendiendo dicho ordenamiento, los</w:t>
      </w:r>
      <w:r w:rsidR="004F46AB" w:rsidRPr="00E15E92">
        <w:t xml:space="preserve"> Lineamientos </w:t>
      </w:r>
      <w:r w:rsidR="009847C0" w:rsidRPr="00E15E92">
        <w:t>definen a</w:t>
      </w:r>
      <w:r w:rsidR="00A759DA" w:rsidRPr="00E15E92">
        <w:t xml:space="preserve"> los “Sujetos Obligados”</w:t>
      </w:r>
      <w:r w:rsidR="009847C0" w:rsidRPr="00E15E92">
        <w:t xml:space="preserve"> que serán </w:t>
      </w:r>
      <w:r w:rsidRPr="00E15E92">
        <w:t>aquellos</w:t>
      </w:r>
      <w:r w:rsidR="009847C0" w:rsidRPr="00E15E92">
        <w:t xml:space="preserve"> responsables de entregar y mantener actualizada la información </w:t>
      </w:r>
      <w:r w:rsidR="00C86102" w:rsidRPr="00E15E92">
        <w:t>que conformará</w:t>
      </w:r>
      <w:r w:rsidR="009847C0" w:rsidRPr="00E15E92">
        <w:t xml:space="preserve"> el SNII</w:t>
      </w:r>
      <w:r w:rsidRPr="00E15E92">
        <w:t>, así como los términos y condiciones de la entrega y consulta de información</w:t>
      </w:r>
      <w:r w:rsidR="009847C0" w:rsidRPr="00E15E92">
        <w:t>.</w:t>
      </w:r>
      <w:r w:rsidR="00180C13" w:rsidRPr="00E15E92">
        <w:t xml:space="preserve"> En esta categoría se </w:t>
      </w:r>
      <w:r w:rsidR="00755A20" w:rsidRPr="00E15E92">
        <w:t>engloba</w:t>
      </w:r>
      <w:r w:rsidR="00271902" w:rsidRPr="00E15E92">
        <w:t>n</w:t>
      </w:r>
      <w:r w:rsidR="00755A20" w:rsidRPr="00E15E92">
        <w:t xml:space="preserve"> a</w:t>
      </w:r>
      <w:r w:rsidR="00180C13" w:rsidRPr="00E15E92">
        <w:t xml:space="preserve"> los Concesionarios, Autorizados, Instituciones Públicas, Universidades y Centros de Investigación Públicos.</w:t>
      </w:r>
    </w:p>
    <w:p w14:paraId="0A8E18CA" w14:textId="77777777" w:rsidR="00377658" w:rsidRPr="00E15E92" w:rsidRDefault="009847C0" w:rsidP="00E075E0">
      <w:pPr>
        <w:pStyle w:val="IFTnormal"/>
      </w:pPr>
      <w:r w:rsidRPr="00E15E92">
        <w:t xml:space="preserve">Asimismo, se definen </w:t>
      </w:r>
      <w:r w:rsidR="005B0B36" w:rsidRPr="00E15E92">
        <w:t xml:space="preserve">a </w:t>
      </w:r>
      <w:r w:rsidR="004035A3" w:rsidRPr="00E15E92">
        <w:t>los</w:t>
      </w:r>
      <w:r w:rsidR="0099127C" w:rsidRPr="00E15E92">
        <w:t xml:space="preserve"> “Acreditados</w:t>
      </w:r>
      <w:r w:rsidR="00A759DA" w:rsidRPr="00E15E92">
        <w:t>”</w:t>
      </w:r>
      <w:r w:rsidRPr="00E15E92">
        <w:t xml:space="preserve"> </w:t>
      </w:r>
      <w:r w:rsidR="005B0B36" w:rsidRPr="00E15E92">
        <w:t xml:space="preserve">como aquellos </w:t>
      </w:r>
      <w:r w:rsidRPr="00E15E92">
        <w:t>a los que el Instituto proporcionará acceso para la consulta de la información</w:t>
      </w:r>
      <w:r w:rsidR="005B0B36" w:rsidRPr="00E15E92">
        <w:t xml:space="preserve"> en el SNII</w:t>
      </w:r>
      <w:r w:rsidR="00180C13" w:rsidRPr="00E15E92">
        <w:t xml:space="preserve">. En tal clasificación se </w:t>
      </w:r>
      <w:r w:rsidR="00094C52" w:rsidRPr="00E15E92">
        <w:t xml:space="preserve">considera </w:t>
      </w:r>
      <w:r w:rsidR="00755A20" w:rsidRPr="00E15E92">
        <w:t xml:space="preserve">a </w:t>
      </w:r>
      <w:r w:rsidR="00A759DA" w:rsidRPr="00E15E92">
        <w:t>los Concesionarios</w:t>
      </w:r>
      <w:r w:rsidR="0099127C" w:rsidRPr="00E15E92">
        <w:t>,</w:t>
      </w:r>
      <w:r w:rsidR="00A759DA" w:rsidRPr="00E15E92">
        <w:t xml:space="preserve"> Autorizados, </w:t>
      </w:r>
      <w:r w:rsidR="00755A20" w:rsidRPr="00E15E92">
        <w:t>A</w:t>
      </w:r>
      <w:r w:rsidR="00180C13" w:rsidRPr="00E15E92">
        <w:t xml:space="preserve">utoridades de </w:t>
      </w:r>
      <w:r w:rsidR="00B61911" w:rsidRPr="00E15E92">
        <w:t>S</w:t>
      </w:r>
      <w:r w:rsidR="00180C13" w:rsidRPr="00E15E92">
        <w:t xml:space="preserve">eguridad y </w:t>
      </w:r>
      <w:r w:rsidR="00B61911" w:rsidRPr="00E15E92">
        <w:t>P</w:t>
      </w:r>
      <w:r w:rsidR="00180C13" w:rsidRPr="00E15E92">
        <w:t>r</w:t>
      </w:r>
      <w:r w:rsidR="00B61911" w:rsidRPr="00E15E92">
        <w:t>ocuración de J</w:t>
      </w:r>
      <w:r w:rsidR="00180C13" w:rsidRPr="00E15E92">
        <w:t>usticia</w:t>
      </w:r>
      <w:r w:rsidR="0099127C" w:rsidRPr="00E15E92">
        <w:t>; así como los “Sujetos Interesados”</w:t>
      </w:r>
      <w:r w:rsidR="00566065" w:rsidRPr="00E15E92">
        <w:t xml:space="preserve">, </w:t>
      </w:r>
      <w:r w:rsidR="003E657F" w:rsidRPr="00E15E92">
        <w:t xml:space="preserve">definidos como aquellas personas que pretendan ser concesionarios o autorizados, </w:t>
      </w:r>
      <w:r w:rsidR="00566065" w:rsidRPr="00E15E92">
        <w:t>de conformidad con lo dispuesto por el artículo 18</w:t>
      </w:r>
      <w:r w:rsidR="003E657F" w:rsidRPr="00E15E92">
        <w:t>1 de la LFTR.</w:t>
      </w:r>
      <w:r w:rsidRPr="00E15E92">
        <w:t xml:space="preserve"> </w:t>
      </w:r>
      <w:r w:rsidR="00FF3142" w:rsidRPr="00E15E92">
        <w:t xml:space="preserve"> </w:t>
      </w:r>
    </w:p>
    <w:p w14:paraId="0C100188" w14:textId="44A4293B" w:rsidR="00E075E0" w:rsidRPr="00E15E92" w:rsidRDefault="003E657F" w:rsidP="00E075E0">
      <w:pPr>
        <w:pStyle w:val="IFTnormal"/>
      </w:pPr>
      <w:r w:rsidRPr="00E15E92">
        <w:t>Por otro lado, derivado de lo señalado por el artículo 188 de la LFTR</w:t>
      </w:r>
      <w:r w:rsidR="00BB74BC" w:rsidRPr="00E15E92">
        <w:t>,</w:t>
      </w:r>
      <w:r w:rsidRPr="00E15E92">
        <w:t xml:space="preserve"> el cual dispone que el Instituto publicará los bienes inmuebles inscritos de los particulares mediante una lista o mapa geo-referenciado para consulta pública en su página de Internet, </w:t>
      </w:r>
      <w:r w:rsidR="0089020F" w:rsidRPr="00E15E92">
        <w:t>los Lineamientos</w:t>
      </w:r>
      <w:r w:rsidR="00E075E0" w:rsidRPr="00E15E92">
        <w:t xml:space="preserve"> también establece</w:t>
      </w:r>
      <w:r w:rsidR="0089020F" w:rsidRPr="00E15E92">
        <w:t>n</w:t>
      </w:r>
      <w:r w:rsidR="00E075E0" w:rsidRPr="00E15E92">
        <w:t xml:space="preserve"> </w:t>
      </w:r>
      <w:r w:rsidR="0089020F" w:rsidRPr="00E15E92">
        <w:t>las condiciones</w:t>
      </w:r>
      <w:r w:rsidR="00E075E0" w:rsidRPr="00E15E92">
        <w:t xml:space="preserve"> </w:t>
      </w:r>
      <w:r w:rsidRPr="00E15E92">
        <w:t>para</w:t>
      </w:r>
      <w:r w:rsidR="00E075E0" w:rsidRPr="00E15E92">
        <w:t xml:space="preserve"> los </w:t>
      </w:r>
      <w:r w:rsidR="005B0B36" w:rsidRPr="00E15E92">
        <w:t>denominados “P</w:t>
      </w:r>
      <w:r w:rsidR="00E075E0" w:rsidRPr="00E15E92">
        <w:t>articulares</w:t>
      </w:r>
      <w:r w:rsidR="005B0B36" w:rsidRPr="00E15E92">
        <w:t>”</w:t>
      </w:r>
      <w:r w:rsidRPr="00E15E92">
        <w:t>, es decir, aquellos</w:t>
      </w:r>
      <w:r w:rsidR="00E075E0" w:rsidRPr="00E15E92">
        <w:t xml:space="preserve"> que deseen poner a disposición de los concesionarios </w:t>
      </w:r>
      <w:r w:rsidRPr="00E15E92">
        <w:t xml:space="preserve">sus </w:t>
      </w:r>
      <w:r w:rsidR="00E075E0" w:rsidRPr="00E15E92">
        <w:t>bienes inmuebles para la instalación de infraestructura</w:t>
      </w:r>
      <w:r w:rsidR="00B61911" w:rsidRPr="00E15E92">
        <w:t>. Para ello, se establece que</w:t>
      </w:r>
      <w:r w:rsidR="00E075E0" w:rsidRPr="00E15E92">
        <w:t xml:space="preserve"> </w:t>
      </w:r>
      <w:r w:rsidR="00D81C0C" w:rsidRPr="00E15E92">
        <w:t>éstos</w:t>
      </w:r>
      <w:r w:rsidR="00B61911" w:rsidRPr="00E15E92">
        <w:t xml:space="preserve"> </w:t>
      </w:r>
      <w:r w:rsidR="00E075E0" w:rsidRPr="00E15E92">
        <w:t>podrán solicitar al Instituto que su información sea inscrita en el SNII</w:t>
      </w:r>
      <w:r w:rsidR="00247EF6" w:rsidRPr="00E15E92">
        <w:t>, lo cual</w:t>
      </w:r>
      <w:r w:rsidR="00E075E0" w:rsidRPr="00E15E92">
        <w:t xml:space="preserve"> permitirá generar sinergias entre </w:t>
      </w:r>
      <w:r w:rsidR="00247EF6" w:rsidRPr="00E15E92">
        <w:t xml:space="preserve">propietarios </w:t>
      </w:r>
      <w:r w:rsidR="00E075E0" w:rsidRPr="00E15E92">
        <w:t xml:space="preserve">de inmuebles </w:t>
      </w:r>
      <w:r w:rsidR="00247EF6" w:rsidRPr="00E15E92">
        <w:t xml:space="preserve">e </w:t>
      </w:r>
      <w:r w:rsidR="00E075E0" w:rsidRPr="00E15E92">
        <w:t xml:space="preserve">interesados en instalar infraestructura de telecomunicaciones </w:t>
      </w:r>
      <w:r w:rsidR="00E64CBD" w:rsidRPr="00E15E92">
        <w:t>y radiodifusión</w:t>
      </w:r>
      <w:r w:rsidR="00E075E0" w:rsidRPr="00E15E92">
        <w:t>.</w:t>
      </w:r>
    </w:p>
    <w:p w14:paraId="1EC23687" w14:textId="7BACCFC4" w:rsidR="00E075E0" w:rsidRPr="00E15E92" w:rsidRDefault="000167CF" w:rsidP="00E1517D">
      <w:pPr>
        <w:pStyle w:val="IFTnormal"/>
        <w:rPr>
          <w:b/>
        </w:rPr>
      </w:pPr>
      <w:r w:rsidRPr="00E15E92">
        <w:rPr>
          <w:b/>
        </w:rPr>
        <w:t xml:space="preserve">Acceso para </w:t>
      </w:r>
      <w:r w:rsidR="00E075E0" w:rsidRPr="00E15E92">
        <w:rPr>
          <w:b/>
        </w:rPr>
        <w:t xml:space="preserve">Entrega y </w:t>
      </w:r>
      <w:r w:rsidRPr="00E15E92">
        <w:rPr>
          <w:b/>
        </w:rPr>
        <w:t xml:space="preserve">Acceso para </w:t>
      </w:r>
      <w:r w:rsidR="00E075E0" w:rsidRPr="00E15E92">
        <w:rPr>
          <w:b/>
        </w:rPr>
        <w:t>Consulta</w:t>
      </w:r>
      <w:r w:rsidRPr="00E15E92">
        <w:rPr>
          <w:b/>
        </w:rPr>
        <w:t>.</w:t>
      </w:r>
      <w:r w:rsidR="00E075E0" w:rsidRPr="00E15E92">
        <w:rPr>
          <w:b/>
        </w:rPr>
        <w:t xml:space="preserve"> </w:t>
      </w:r>
    </w:p>
    <w:p w14:paraId="56B6277A" w14:textId="363EC698" w:rsidR="00685CDB" w:rsidRPr="00E15E92" w:rsidRDefault="00685CDB" w:rsidP="004B1F3C">
      <w:pPr>
        <w:pStyle w:val="IFTnormal"/>
        <w:rPr>
          <w:rFonts w:eastAsia="MS Mincho"/>
          <w:bCs/>
        </w:rPr>
      </w:pPr>
      <w:r w:rsidRPr="00E15E92">
        <w:rPr>
          <w:rFonts w:eastAsia="MS Mincho"/>
          <w:bCs/>
        </w:rPr>
        <w:t xml:space="preserve">El presente proyecto de Lineamientos se encuentra alineado a los objetivos de mejora administrativa planteados en el proyecto de “Lineamientos para la sustanciación de los trámites y servicios que se realicen ante el Instituto Federal de Telecomunicaciones, a través de la Ventanilla Electrónica”, toda vez que en estos se contempla que las solicitudes </w:t>
      </w:r>
      <w:r w:rsidR="00445974" w:rsidRPr="00E15E92">
        <w:rPr>
          <w:rFonts w:eastAsia="MS Mincho"/>
          <w:bCs/>
        </w:rPr>
        <w:t xml:space="preserve">y trámites </w:t>
      </w:r>
      <w:r w:rsidR="00B77834" w:rsidRPr="00E15E92">
        <w:rPr>
          <w:rFonts w:eastAsia="MS Mincho"/>
          <w:bCs/>
        </w:rPr>
        <w:t xml:space="preserve">que se realicen ante el Instituto </w:t>
      </w:r>
      <w:r w:rsidRPr="00E15E92">
        <w:rPr>
          <w:rFonts w:eastAsia="MS Mincho"/>
          <w:bCs/>
        </w:rPr>
        <w:t xml:space="preserve">serán por conducto de la Ventanilla Electrónica, </w:t>
      </w:r>
      <w:r w:rsidR="00445974" w:rsidRPr="00E15E92">
        <w:rPr>
          <w:rFonts w:eastAsia="MS Mincho"/>
          <w:bCs/>
        </w:rPr>
        <w:t>en ese sentido</w:t>
      </w:r>
      <w:r w:rsidR="00F5379D" w:rsidRPr="00E15E92">
        <w:rPr>
          <w:rFonts w:eastAsia="MS Mincho"/>
          <w:bCs/>
        </w:rPr>
        <w:t xml:space="preserve"> las solicitudes de Acceso para Entrega y </w:t>
      </w:r>
      <w:r w:rsidR="00347825" w:rsidRPr="00E15E92">
        <w:rPr>
          <w:rFonts w:eastAsia="MS Mincho"/>
          <w:bCs/>
        </w:rPr>
        <w:t xml:space="preserve">los </w:t>
      </w:r>
      <w:r w:rsidR="0012161A" w:rsidRPr="00E15E92">
        <w:rPr>
          <w:rFonts w:eastAsia="MS Mincho"/>
          <w:bCs/>
        </w:rPr>
        <w:t>de Acceso para Consulta</w:t>
      </w:r>
      <w:r w:rsidR="00347825" w:rsidRPr="00E15E92">
        <w:rPr>
          <w:rFonts w:eastAsia="MS Mincho"/>
          <w:bCs/>
        </w:rPr>
        <w:t xml:space="preserve"> para el SNII,</w:t>
      </w:r>
      <w:r w:rsidR="0012161A" w:rsidRPr="00E15E92">
        <w:rPr>
          <w:rFonts w:eastAsia="MS Mincho"/>
          <w:bCs/>
        </w:rPr>
        <w:t xml:space="preserve"> deberán </w:t>
      </w:r>
      <w:r w:rsidR="00445974" w:rsidRPr="00E15E92">
        <w:rPr>
          <w:rFonts w:eastAsia="MS Mincho"/>
          <w:bCs/>
        </w:rPr>
        <w:t xml:space="preserve">realizarse a través de la Ventilla Electrónica, </w:t>
      </w:r>
      <w:r w:rsidRPr="00E15E92">
        <w:rPr>
          <w:rFonts w:eastAsia="MS Mincho"/>
          <w:bCs/>
        </w:rPr>
        <w:t>ello con el fin de homologar y hacer más eficientes los trámites, facilitar su presentación y disminuir las cargas regulatorias y administrativas.</w:t>
      </w:r>
    </w:p>
    <w:p w14:paraId="6217CF0C" w14:textId="309278C8" w:rsidR="00A15D05" w:rsidRPr="00E15E92" w:rsidRDefault="00E64CBD" w:rsidP="004B1F3C">
      <w:pPr>
        <w:pStyle w:val="IFTnormal"/>
      </w:pPr>
      <w:r w:rsidRPr="00E15E92">
        <w:t xml:space="preserve">Con el fin de otorgar certeza respecto al alcance de los derechos y obligaciones de los diferentes actores involucrados, </w:t>
      </w:r>
      <w:r w:rsidR="00A027B2" w:rsidRPr="00E15E92">
        <w:t xml:space="preserve">dentro de </w:t>
      </w:r>
      <w:r w:rsidR="00665216" w:rsidRPr="00E15E92">
        <w:t>los Lineamientos</w:t>
      </w:r>
      <w:r w:rsidR="00EE3F29" w:rsidRPr="00E15E92">
        <w:t>,</w:t>
      </w:r>
      <w:r w:rsidR="009462AB" w:rsidRPr="00E15E92">
        <w:t xml:space="preserve"> </w:t>
      </w:r>
      <w:r w:rsidR="00665216" w:rsidRPr="00E15E92">
        <w:t xml:space="preserve">también </w:t>
      </w:r>
      <w:r w:rsidR="009847C0" w:rsidRPr="00E15E92">
        <w:t>se establece</w:t>
      </w:r>
      <w:r w:rsidR="00BD1AFB" w:rsidRPr="00E15E92">
        <w:t xml:space="preserve"> </w:t>
      </w:r>
      <w:r w:rsidR="00CC69E1" w:rsidRPr="00E15E92">
        <w:t xml:space="preserve">que los </w:t>
      </w:r>
      <w:r w:rsidR="005B0B36" w:rsidRPr="00E15E92">
        <w:t>“Sujetos Obligados”</w:t>
      </w:r>
      <w:r w:rsidR="00CC69E1" w:rsidRPr="00E15E92">
        <w:t xml:space="preserve">, </w:t>
      </w:r>
      <w:r w:rsidR="005B0B36" w:rsidRPr="00E15E92">
        <w:t>“Acreditados”</w:t>
      </w:r>
      <w:r w:rsidR="00CC69E1" w:rsidRPr="00E15E92">
        <w:t xml:space="preserve"> o sujetos con interés de ser concesionario o autorizado puedan solicitar</w:t>
      </w:r>
      <w:r w:rsidR="00245146" w:rsidRPr="00E15E92">
        <w:t xml:space="preserve"> a través de la Ventanilla Electrónica del Instituto,</w:t>
      </w:r>
      <w:r w:rsidR="00CC69E1" w:rsidRPr="00E15E92">
        <w:t xml:space="preserve"> l</w:t>
      </w:r>
      <w:r w:rsidR="000167CF" w:rsidRPr="00E15E92">
        <w:t>o</w:t>
      </w:r>
      <w:r w:rsidR="00CC69E1" w:rsidRPr="00E15E92">
        <w:t>s</w:t>
      </w:r>
      <w:r w:rsidR="00BD1AFB" w:rsidRPr="00E15E92">
        <w:t xml:space="preserve"> </w:t>
      </w:r>
      <w:r w:rsidR="002D55F1" w:rsidRPr="00E15E92">
        <w:t>“</w:t>
      </w:r>
      <w:r w:rsidR="000167CF" w:rsidRPr="00E15E92">
        <w:t>Accesos para</w:t>
      </w:r>
      <w:r w:rsidR="00BD1AFB" w:rsidRPr="00E15E92">
        <w:t xml:space="preserve"> </w:t>
      </w:r>
      <w:r w:rsidR="002D55F1" w:rsidRPr="00E15E92">
        <w:t>E</w:t>
      </w:r>
      <w:r w:rsidR="00BD1AFB" w:rsidRPr="00E15E92">
        <w:t>ntrega</w:t>
      </w:r>
      <w:r w:rsidR="002D55F1" w:rsidRPr="00E15E92">
        <w:t>”</w:t>
      </w:r>
      <w:r w:rsidR="00BD1AFB" w:rsidRPr="00E15E92">
        <w:t xml:space="preserve"> y </w:t>
      </w:r>
      <w:r w:rsidR="00271902" w:rsidRPr="00E15E92">
        <w:t>“</w:t>
      </w:r>
      <w:r w:rsidR="000167CF" w:rsidRPr="00E15E92">
        <w:t xml:space="preserve">Accesos para </w:t>
      </w:r>
      <w:r w:rsidR="002D55F1" w:rsidRPr="00E15E92">
        <w:t>C</w:t>
      </w:r>
      <w:r w:rsidR="00BD1AFB" w:rsidRPr="00E15E92">
        <w:t>onsulta</w:t>
      </w:r>
      <w:r w:rsidR="002D55F1" w:rsidRPr="00E15E92">
        <w:t>”, ya sea para registrar la información, o bien para consultar la información disponible</w:t>
      </w:r>
      <w:r w:rsidR="00685CDB" w:rsidRPr="00E15E92">
        <w:t>, en este último caso previa firma de un acuerdo de confidencialidad</w:t>
      </w:r>
      <w:r w:rsidR="009462AB" w:rsidRPr="00E15E92">
        <w:t xml:space="preserve">. </w:t>
      </w:r>
    </w:p>
    <w:p w14:paraId="51B7C1B4" w14:textId="4616395D" w:rsidR="00E64CBD" w:rsidRPr="00E15E92" w:rsidRDefault="00433878" w:rsidP="00E64CBD">
      <w:pPr>
        <w:pStyle w:val="IFTnormal"/>
      </w:pPr>
      <w:r w:rsidRPr="00E15E92">
        <w:t>En el caso de las autoridades de seguridad y procuración de justicia, los Lineamientos establecen los alcances que podrán tener el SNII</w:t>
      </w:r>
      <w:r w:rsidR="00E64CBD" w:rsidRPr="00E15E92">
        <w:t>,</w:t>
      </w:r>
      <w:r w:rsidRPr="00E15E92">
        <w:t xml:space="preserve"> </w:t>
      </w:r>
      <w:r w:rsidR="00E64CBD" w:rsidRPr="00E15E92">
        <w:t>d</w:t>
      </w:r>
      <w:r w:rsidRPr="00E15E92">
        <w:t>e forma que solo tengan acceso las autoridades designadas</w:t>
      </w:r>
      <w:r w:rsidR="00BB4331" w:rsidRPr="00E15E92">
        <w:rPr>
          <w:rFonts w:eastAsia="ITC Avant Garde" w:cs="ITC Avant Garde"/>
        </w:rPr>
        <w:t xml:space="preserve"> en términos del artículo 189 de la LFTR</w:t>
      </w:r>
      <w:r w:rsidR="00EE3F29" w:rsidRPr="00E15E92">
        <w:rPr>
          <w:rFonts w:eastAsia="ITC Avant Garde" w:cs="ITC Avant Garde"/>
        </w:rPr>
        <w:t>.</w:t>
      </w:r>
      <w:r w:rsidR="00BB4331" w:rsidRPr="00E15E92" w:rsidDel="00BB4331">
        <w:t xml:space="preserve"> </w:t>
      </w:r>
      <w:r w:rsidR="00E64CBD" w:rsidRPr="00E15E92">
        <w:t xml:space="preserve"> De manera particular, se consideró conveniente que dichas instancias solo podrán </w:t>
      </w:r>
      <w:r w:rsidR="00EE3F29" w:rsidRPr="00E15E92">
        <w:t>tener Acceso para Consulta una vez agotado e</w:t>
      </w:r>
      <w:r w:rsidR="00E64CBD" w:rsidRPr="00E15E92">
        <w:t xml:space="preserve">l procedimiento establecido </w:t>
      </w:r>
      <w:r w:rsidR="00EE3F29" w:rsidRPr="00E15E92">
        <w:t>en los Lineamientos</w:t>
      </w:r>
      <w:r w:rsidR="00E64CBD" w:rsidRPr="00E15E92">
        <w:t>.</w:t>
      </w:r>
    </w:p>
    <w:p w14:paraId="142D5B0E" w14:textId="72E1FC0D" w:rsidR="00062471" w:rsidRPr="00E15E92" w:rsidRDefault="00471DB0">
      <w:pPr>
        <w:pStyle w:val="IFTnormal"/>
      </w:pPr>
      <w:r w:rsidRPr="00E15E92">
        <w:t>Por lo antes mencionado</w:t>
      </w:r>
      <w:r w:rsidR="004B1F3C" w:rsidRPr="00E15E92">
        <w:t xml:space="preserve">, el Instituto busca generar condiciones de transparencia </w:t>
      </w:r>
      <w:r w:rsidR="002D55F1" w:rsidRPr="00E15E92">
        <w:t xml:space="preserve">y certeza jurídica </w:t>
      </w:r>
      <w:r w:rsidR="004B1F3C" w:rsidRPr="00E15E92">
        <w:t xml:space="preserve">para </w:t>
      </w:r>
      <w:r w:rsidR="00E42FB4" w:rsidRPr="00E15E92">
        <w:t xml:space="preserve">aquellos interesados en solicitar </w:t>
      </w:r>
      <w:r w:rsidR="00BB4331" w:rsidRPr="00E15E92">
        <w:t xml:space="preserve">acceso </w:t>
      </w:r>
      <w:r w:rsidR="00E42FB4" w:rsidRPr="00E15E92">
        <w:t>al SNII</w:t>
      </w:r>
      <w:r w:rsidRPr="00E15E92">
        <w:t xml:space="preserve">, de manera que </w:t>
      </w:r>
      <w:r w:rsidR="00685CDB" w:rsidRPr="00E15E92">
        <w:t xml:space="preserve">se </w:t>
      </w:r>
      <w:r w:rsidR="002D55F1" w:rsidRPr="00E15E92">
        <w:t>facilit</w:t>
      </w:r>
      <w:r w:rsidRPr="00E15E92">
        <w:t>e</w:t>
      </w:r>
      <w:r w:rsidR="00685CDB" w:rsidRPr="00E15E92">
        <w:t xml:space="preserve"> la entrega y </w:t>
      </w:r>
      <w:r w:rsidR="00986A9C" w:rsidRPr="00E15E92">
        <w:t>consulta de</w:t>
      </w:r>
      <w:r w:rsidR="00685CDB" w:rsidRPr="00E15E92">
        <w:t xml:space="preserve"> la información, </w:t>
      </w:r>
      <w:r w:rsidR="00986A9C" w:rsidRPr="00E15E92">
        <w:t>con los adecuados elementos de protección de la misma</w:t>
      </w:r>
      <w:r w:rsidR="00057DAB" w:rsidRPr="00E15E92">
        <w:t xml:space="preserve">. </w:t>
      </w:r>
    </w:p>
    <w:p w14:paraId="0CF0CABB" w14:textId="0B4BCFBD" w:rsidR="00E075E0" w:rsidRPr="00E15E92" w:rsidRDefault="00E075E0" w:rsidP="0037474A">
      <w:pPr>
        <w:pStyle w:val="IFTnormal"/>
        <w:rPr>
          <w:b/>
        </w:rPr>
      </w:pPr>
      <w:r w:rsidRPr="00E15E92">
        <w:rPr>
          <w:b/>
        </w:rPr>
        <w:t>Funcionalidades mínimas del SNII</w:t>
      </w:r>
    </w:p>
    <w:p w14:paraId="02212B7C" w14:textId="6C24324F" w:rsidR="00C74D46" w:rsidRPr="00E15E92" w:rsidRDefault="00EC1500" w:rsidP="0037474A">
      <w:pPr>
        <w:pStyle w:val="IFTnormal"/>
      </w:pPr>
      <w:r w:rsidRPr="00E15E92">
        <w:t>L</w:t>
      </w:r>
      <w:r w:rsidR="001E2A82" w:rsidRPr="00E15E92">
        <w:t>os Lineamientos</w:t>
      </w:r>
      <w:r w:rsidR="00C74D46" w:rsidRPr="00E15E92">
        <w:t xml:space="preserve"> establecen las directrices </w:t>
      </w:r>
      <w:r w:rsidR="00E64CBD" w:rsidRPr="00E15E92">
        <w:t xml:space="preserve">que determinarán el alcance </w:t>
      </w:r>
      <w:r w:rsidR="00C74D46" w:rsidRPr="00E15E92">
        <w:t>de las funcionalidades m</w:t>
      </w:r>
      <w:r w:rsidR="00C95383" w:rsidRPr="00E15E92">
        <w:t>ínimas del sistema</w:t>
      </w:r>
      <w:r w:rsidR="00271902" w:rsidRPr="00E15E92">
        <w:t>,</w:t>
      </w:r>
      <w:r w:rsidR="00C95383" w:rsidRPr="00E15E92">
        <w:t xml:space="preserve"> </w:t>
      </w:r>
      <w:r w:rsidR="00271902" w:rsidRPr="00E15E92">
        <w:t>e</w:t>
      </w:r>
      <w:r w:rsidR="00C95383" w:rsidRPr="00E15E92">
        <w:t xml:space="preserve">ntre </w:t>
      </w:r>
      <w:r w:rsidR="000879BA" w:rsidRPr="00E15E92">
        <w:t>otras,</w:t>
      </w:r>
      <w:r w:rsidR="00C74D46" w:rsidRPr="00E15E92">
        <w:t xml:space="preserve"> aquellas que deberá seguir el SNII para preservar la </w:t>
      </w:r>
      <w:r w:rsidR="00C95383" w:rsidRPr="00E15E92">
        <w:rPr>
          <w:rFonts w:eastAsia="ITC Avant Garde" w:cs="ITC Avant Garde"/>
        </w:rPr>
        <w:t>seguridad de la información; permitir el acceso mediante un vínculo web; facilitar la entrega de la información de los elementos de infraestructura y sitios a través de archivos vectoriales; facilitar la interoperabilidad con otros sistemas de información del Instituto</w:t>
      </w:r>
      <w:r w:rsidR="00C95383" w:rsidRPr="00E15E92">
        <w:t>; generar reportes de los accesos al SNII</w:t>
      </w:r>
      <w:r w:rsidR="00E64CBD" w:rsidRPr="00E15E92">
        <w:t>,</w:t>
      </w:r>
      <w:r w:rsidR="00C95383" w:rsidRPr="00E15E92">
        <w:t xml:space="preserve"> contar con un registro personalizado de las actividades realizadas; </w:t>
      </w:r>
      <w:r w:rsidR="00666893" w:rsidRPr="00E15E92">
        <w:t xml:space="preserve">así como </w:t>
      </w:r>
      <w:r w:rsidR="00C95383" w:rsidRPr="00E15E92">
        <w:t>permitir la visualización de información geo localizada.</w:t>
      </w:r>
    </w:p>
    <w:p w14:paraId="35E850C5" w14:textId="614D8AB7" w:rsidR="00AE7526" w:rsidRPr="00E15E92" w:rsidRDefault="00AE7526" w:rsidP="0037474A">
      <w:pPr>
        <w:pStyle w:val="IFTnormal"/>
      </w:pPr>
      <w:r w:rsidRPr="00E15E92">
        <w:t xml:space="preserve">Asimismo, se establece </w:t>
      </w:r>
      <w:r w:rsidR="00285201" w:rsidRPr="00E15E92">
        <w:t xml:space="preserve">que el SNII permitirá </w:t>
      </w:r>
      <w:r w:rsidRPr="00E15E92">
        <w:t xml:space="preserve">Accesos para Entrega y Accesos para Consulta respetando los permisos y privilegios conforme a </w:t>
      </w:r>
      <w:r w:rsidR="00986A9C" w:rsidRPr="00E15E92">
        <w:t xml:space="preserve">lo dispuesto para </w:t>
      </w:r>
      <w:r w:rsidR="00A31F83" w:rsidRPr="00E15E92">
        <w:t>la Ventanilla Electrónica del Instituto.</w:t>
      </w:r>
    </w:p>
    <w:p w14:paraId="3A6232FD" w14:textId="61DCCD61" w:rsidR="00C95383" w:rsidRPr="00E15E92" w:rsidRDefault="00C95383" w:rsidP="00E43A33">
      <w:pPr>
        <w:pStyle w:val="IFTnormal"/>
      </w:pPr>
      <w:r w:rsidRPr="00E15E92">
        <w:t xml:space="preserve">Con base en </w:t>
      </w:r>
      <w:r w:rsidR="00471DB0" w:rsidRPr="00E15E92">
        <w:t>lo anterior</w:t>
      </w:r>
      <w:r w:rsidRPr="00E15E92">
        <w:t xml:space="preserve">, </w:t>
      </w:r>
      <w:r w:rsidR="00666893" w:rsidRPr="00E15E92">
        <w:t>se</w:t>
      </w:r>
      <w:r w:rsidRPr="00E15E92">
        <w:t xml:space="preserve"> asegura </w:t>
      </w:r>
      <w:r w:rsidR="00345143" w:rsidRPr="00E15E92">
        <w:t>que el SNII cuente</w:t>
      </w:r>
      <w:r w:rsidR="00666893" w:rsidRPr="00E15E92">
        <w:t xml:space="preserve"> con </w:t>
      </w:r>
      <w:r w:rsidRPr="00E15E92">
        <w:t xml:space="preserve">funcionalidades mínimas que faciliten a los </w:t>
      </w:r>
      <w:r w:rsidR="00F27B29" w:rsidRPr="00E15E92">
        <w:t xml:space="preserve">“Sujetos Obligados” </w:t>
      </w:r>
      <w:r w:rsidR="00247EF6" w:rsidRPr="00E15E92">
        <w:t>y</w:t>
      </w:r>
      <w:r w:rsidR="00F27B29" w:rsidRPr="00E15E92">
        <w:t xml:space="preserve"> “Acreditados”</w:t>
      </w:r>
      <w:r w:rsidRPr="00E15E92">
        <w:t xml:space="preserve"> </w:t>
      </w:r>
      <w:r w:rsidR="00471DB0" w:rsidRPr="00E15E92">
        <w:t>ingresar al SNII</w:t>
      </w:r>
      <w:r w:rsidR="00F27B29" w:rsidRPr="00E15E92">
        <w:t xml:space="preserve">. Por una parte, asegurando que la información que se registre en </w:t>
      </w:r>
      <w:r w:rsidR="00247EF6" w:rsidRPr="00E15E92">
        <w:t xml:space="preserve">este sistema </w:t>
      </w:r>
      <w:r w:rsidR="00F27B29" w:rsidRPr="00E15E92">
        <w:t>contenga los elementos mínimos que permitan la construcción de una base de datos nacional geo-referenciada que contenga los registros de infraestructura activa y medios de transmisión, de infraestructura pasiva y derechos de v</w:t>
      </w:r>
      <w:r w:rsidR="003D6F9C" w:rsidRPr="00E15E92">
        <w:t>ía y de sitios públicos y privados</w:t>
      </w:r>
      <w:r w:rsidR="00E43A33" w:rsidRPr="00E15E92">
        <w:t xml:space="preserve">, y por la otra </w:t>
      </w:r>
      <w:r w:rsidR="003D6F9C" w:rsidRPr="00E15E92">
        <w:t xml:space="preserve">se asegura que </w:t>
      </w:r>
      <w:r w:rsidR="00E43A33" w:rsidRPr="00E15E92">
        <w:t xml:space="preserve">el sistema que opere </w:t>
      </w:r>
      <w:r w:rsidR="003D6F9C" w:rsidRPr="00E15E92">
        <w:t>dicha base cuente con funcionalidades para acceder</w:t>
      </w:r>
      <w:r w:rsidR="00E075E0" w:rsidRPr="00E15E92">
        <w:t xml:space="preserve"> a la información geo localizada</w:t>
      </w:r>
      <w:r w:rsidR="00C00300" w:rsidRPr="00E15E92">
        <w:t>, facilit</w:t>
      </w:r>
      <w:r w:rsidR="00666893" w:rsidRPr="00E15E92">
        <w:t>ando</w:t>
      </w:r>
      <w:r w:rsidR="00C00300" w:rsidRPr="00E15E92">
        <w:t xml:space="preserve"> la </w:t>
      </w:r>
      <w:r w:rsidR="00247EF6" w:rsidRPr="00E15E92">
        <w:t xml:space="preserve">ubicación </w:t>
      </w:r>
      <w:r w:rsidR="00C00300" w:rsidRPr="00E15E92">
        <w:t xml:space="preserve">de infraestructura de telecomunicaciones </w:t>
      </w:r>
      <w:r w:rsidR="003711CF" w:rsidRPr="00E15E92">
        <w:t>y</w:t>
      </w:r>
      <w:r w:rsidR="00C00300" w:rsidRPr="00E15E92">
        <w:t xml:space="preserve"> radiodifusi</w:t>
      </w:r>
      <w:r w:rsidR="00666893" w:rsidRPr="00E15E92">
        <w:t>ón</w:t>
      </w:r>
      <w:r w:rsidR="00E43A33" w:rsidRPr="00E15E92">
        <w:t>.</w:t>
      </w:r>
      <w:r w:rsidR="00471DB0" w:rsidRPr="00E15E92">
        <w:t xml:space="preserve"> </w:t>
      </w:r>
      <w:r w:rsidR="00271902" w:rsidRPr="00E15E92">
        <w:t>Lo anterior</w:t>
      </w:r>
      <w:r w:rsidR="00666893" w:rsidRPr="00E15E92">
        <w:t xml:space="preserve"> </w:t>
      </w:r>
      <w:r w:rsidR="003711CF" w:rsidRPr="00E15E92">
        <w:t>generar</w:t>
      </w:r>
      <w:r w:rsidR="00471DB0" w:rsidRPr="00E15E92">
        <w:t>á</w:t>
      </w:r>
      <w:r w:rsidR="003711CF" w:rsidRPr="00E15E92">
        <w:t xml:space="preserve"> incentivos</w:t>
      </w:r>
      <w:r w:rsidR="00666893" w:rsidRPr="00E15E92">
        <w:t xml:space="preserve"> hacia el uso efectivo de las redes, </w:t>
      </w:r>
      <w:r w:rsidR="003711CF" w:rsidRPr="00E15E92">
        <w:t>fomentando condiciones de competencia</w:t>
      </w:r>
      <w:r w:rsidR="00E43A33" w:rsidRPr="00E15E92">
        <w:t xml:space="preserve"> al </w:t>
      </w:r>
      <w:r w:rsidR="00666893" w:rsidRPr="00E15E92">
        <w:t>incentiva</w:t>
      </w:r>
      <w:r w:rsidR="00E43A33" w:rsidRPr="00E15E92">
        <w:t>r</w:t>
      </w:r>
      <w:r w:rsidR="00666893" w:rsidRPr="00E15E92">
        <w:t xml:space="preserve"> la compartición de infraestructura</w:t>
      </w:r>
      <w:r w:rsidR="003711CF" w:rsidRPr="00E15E92">
        <w:t xml:space="preserve"> de telecomunicaciones y radiodifusión</w:t>
      </w:r>
      <w:r w:rsidR="00666893" w:rsidRPr="00E15E92">
        <w:t>.</w:t>
      </w:r>
      <w:r w:rsidR="00C00300" w:rsidRPr="00E15E92">
        <w:t xml:space="preserve"> </w:t>
      </w:r>
      <w:r w:rsidR="00E075E0" w:rsidRPr="00E15E92">
        <w:t xml:space="preserve"> </w:t>
      </w:r>
    </w:p>
    <w:p w14:paraId="7C0FF93E" w14:textId="2109D347" w:rsidR="00E075E0" w:rsidRPr="00E15E92" w:rsidRDefault="00E075E0" w:rsidP="0037474A">
      <w:pPr>
        <w:pStyle w:val="IFTnormal"/>
        <w:rPr>
          <w:b/>
        </w:rPr>
      </w:pPr>
      <w:r w:rsidRPr="00E15E92">
        <w:rPr>
          <w:b/>
        </w:rPr>
        <w:t>Entrega de información al SNII</w:t>
      </w:r>
    </w:p>
    <w:p w14:paraId="7AC144E6" w14:textId="3F9321C9" w:rsidR="007D1F58" w:rsidRPr="00E15E92" w:rsidRDefault="007D1F58" w:rsidP="004B1F3C">
      <w:pPr>
        <w:pStyle w:val="IFTnormal"/>
        <w:rPr>
          <w:rFonts w:eastAsia="ITC Avant Garde" w:cs="ITC Avant Garde"/>
        </w:rPr>
      </w:pPr>
      <w:r w:rsidRPr="00E15E92">
        <w:rPr>
          <w:rFonts w:eastAsia="ITC Avant Garde" w:cs="ITC Avant Garde"/>
        </w:rPr>
        <w:t>Como parte del procedimiento para la entrega de información</w:t>
      </w:r>
      <w:r w:rsidR="00DF6BCC" w:rsidRPr="00E15E92">
        <w:rPr>
          <w:rFonts w:eastAsia="ITC Avant Garde" w:cs="ITC Avant Garde"/>
        </w:rPr>
        <w:t>,</w:t>
      </w:r>
      <w:r w:rsidRPr="00E15E92">
        <w:rPr>
          <w:rFonts w:eastAsia="ITC Avant Garde" w:cs="ITC Avant Garde"/>
        </w:rPr>
        <w:t xml:space="preserve"> para la conformación del SNII, los Lineamientos establecen </w:t>
      </w:r>
      <w:r w:rsidR="00986A9C" w:rsidRPr="00E15E92">
        <w:rPr>
          <w:rFonts w:eastAsia="ITC Avant Garde" w:cs="ITC Avant Garde"/>
        </w:rPr>
        <w:t xml:space="preserve">las condiciones </w:t>
      </w:r>
      <w:r w:rsidRPr="00E15E92">
        <w:rPr>
          <w:rFonts w:eastAsia="ITC Avant Garde" w:cs="ITC Avant Garde"/>
        </w:rPr>
        <w:t xml:space="preserve">para que los “Sujetos Obligados” </w:t>
      </w:r>
      <w:r w:rsidR="00A377EF" w:rsidRPr="00E15E92">
        <w:rPr>
          <w:rFonts w:eastAsia="ITC Avant Garde" w:cs="ITC Avant Garde"/>
        </w:rPr>
        <w:t>puedan entregar</w:t>
      </w:r>
      <w:r w:rsidRPr="00E15E92">
        <w:rPr>
          <w:rFonts w:eastAsia="ITC Avant Garde" w:cs="ITC Avant Garde"/>
        </w:rPr>
        <w:t xml:space="preserve"> de información</w:t>
      </w:r>
      <w:r w:rsidR="001B0756" w:rsidRPr="00E15E92">
        <w:rPr>
          <w:rFonts w:eastAsia="ITC Avant Garde" w:cs="ITC Avant Garde"/>
        </w:rPr>
        <w:t xml:space="preserve"> mismo que se encuentra</w:t>
      </w:r>
      <w:r w:rsidR="00986A9C" w:rsidRPr="00E15E92">
        <w:rPr>
          <w:rFonts w:eastAsia="ITC Avant Garde" w:cs="ITC Avant Garde"/>
        </w:rPr>
        <w:t xml:space="preserve"> en consistencia con lo dispuesto en los Lineamientos para la sustanciación de los trámites y servicios que se realicen ante el Instituto Federal de Telecomunicaciones, a través de la Ventanilla Electrónica</w:t>
      </w:r>
      <w:r w:rsidRPr="00E15E92">
        <w:rPr>
          <w:rFonts w:eastAsia="ITC Avant Garde" w:cs="ITC Avant Garde"/>
        </w:rPr>
        <w:t xml:space="preserve">. De esta manera se asegura que el proceso para la conformación del SNII </w:t>
      </w:r>
      <w:r w:rsidR="00282B1A" w:rsidRPr="00E15E92">
        <w:rPr>
          <w:rFonts w:eastAsia="ITC Avant Garde" w:cs="ITC Avant Garde"/>
        </w:rPr>
        <w:t>cuente con un</w:t>
      </w:r>
      <w:r w:rsidRPr="00E15E92">
        <w:rPr>
          <w:rFonts w:eastAsia="ITC Avant Garde" w:cs="ITC Avant Garde"/>
        </w:rPr>
        <w:t xml:space="preserve"> registro ordenado de los participantes.</w:t>
      </w:r>
    </w:p>
    <w:p w14:paraId="3C239170" w14:textId="41CF3148" w:rsidR="00B903BC" w:rsidRPr="00E15E92" w:rsidRDefault="00B903BC">
      <w:pPr>
        <w:pStyle w:val="IFTnormal"/>
        <w:rPr>
          <w:rFonts w:eastAsia="ITC Avant Garde" w:cs="ITC Avant Garde"/>
        </w:rPr>
      </w:pPr>
      <w:r w:rsidRPr="00E15E92">
        <w:rPr>
          <w:rFonts w:eastAsia="ITC Avant Garde" w:cs="ITC Avant Garde"/>
        </w:rPr>
        <w:t>Asimismo</w:t>
      </w:r>
      <w:r w:rsidR="007D1F58" w:rsidRPr="00E15E92">
        <w:rPr>
          <w:rFonts w:eastAsia="ITC Avant Garde" w:cs="ITC Avant Garde"/>
        </w:rPr>
        <w:t xml:space="preserve">, los Lineamientos establecen </w:t>
      </w:r>
      <w:r w:rsidRPr="00E15E92">
        <w:rPr>
          <w:rFonts w:eastAsia="ITC Avant Garde" w:cs="ITC Avant Garde"/>
        </w:rPr>
        <w:t xml:space="preserve">de forma clara </w:t>
      </w:r>
      <w:r w:rsidR="00282B1A" w:rsidRPr="00E15E92">
        <w:rPr>
          <w:rFonts w:eastAsia="ITC Avant Garde" w:cs="ITC Avant Garde"/>
        </w:rPr>
        <w:t>los plazos y procedimientos para la entrega inicial de información que conformará el SNII</w:t>
      </w:r>
      <w:r w:rsidRPr="00E15E92">
        <w:rPr>
          <w:rFonts w:eastAsia="ITC Avant Garde" w:cs="ITC Avant Garde"/>
        </w:rPr>
        <w:t>, así como el periodo de actualización para cada uno de los elementos de infraestructura definidos en el “Diccionario de Datos”, diseñado con el fin de otorgar precisión respecto a dichos elementos y sus respectivos indicadores, incluyendo las características con la que los archivos vectoriales deberán ser entregados, el formato en que deben presentarse, la agrupación de la información de deberá referenciarse, la precisión para cada punto geográfico, las funcionalidades para la proyección cartográfica, entre otros criterios que faciliten el registro de la información</w:t>
      </w:r>
      <w:r w:rsidR="00282B1A" w:rsidRPr="00E15E92">
        <w:rPr>
          <w:rFonts w:eastAsia="ITC Avant Garde" w:cs="ITC Avant Garde"/>
        </w:rPr>
        <w:t xml:space="preserve">. </w:t>
      </w:r>
    </w:p>
    <w:p w14:paraId="1214A0F1" w14:textId="3E1D5B44" w:rsidR="00826FE3" w:rsidRPr="00E15E92" w:rsidRDefault="00282B1A" w:rsidP="004B1F3C">
      <w:pPr>
        <w:pStyle w:val="IFTnormal"/>
        <w:rPr>
          <w:rFonts w:eastAsia="ITC Avant Garde" w:cs="ITC Avant Garde"/>
        </w:rPr>
      </w:pPr>
      <w:r w:rsidRPr="00E15E92">
        <w:rPr>
          <w:rFonts w:eastAsia="ITC Avant Garde" w:cs="ITC Avant Garde"/>
        </w:rPr>
        <w:t>Por lo antes mencionado</w:t>
      </w:r>
      <w:r w:rsidR="003D6F9C" w:rsidRPr="00E15E92">
        <w:rPr>
          <w:rFonts w:eastAsia="ITC Avant Garde" w:cs="ITC Avant Garde"/>
        </w:rPr>
        <w:t xml:space="preserve">, el Instituto busca asegurar que </w:t>
      </w:r>
      <w:r w:rsidR="00AE2187" w:rsidRPr="00E15E92">
        <w:rPr>
          <w:rFonts w:eastAsia="ITC Avant Garde" w:cs="ITC Avant Garde"/>
        </w:rPr>
        <w:t xml:space="preserve">los términos para la entrega de información </w:t>
      </w:r>
      <w:r w:rsidR="00351BFF" w:rsidRPr="00E15E92">
        <w:rPr>
          <w:rFonts w:eastAsia="ITC Avant Garde" w:cs="ITC Avant Garde"/>
        </w:rPr>
        <w:t xml:space="preserve">de infraestructura </w:t>
      </w:r>
      <w:r w:rsidR="00AE2187" w:rsidRPr="00E15E92">
        <w:rPr>
          <w:rFonts w:eastAsia="ITC Avant Garde" w:cs="ITC Avant Garde"/>
        </w:rPr>
        <w:t>sean</w:t>
      </w:r>
      <w:r w:rsidR="003D6F9C" w:rsidRPr="00E15E92">
        <w:rPr>
          <w:rFonts w:eastAsia="ITC Avant Garde" w:cs="ITC Avant Garde"/>
        </w:rPr>
        <w:t xml:space="preserve"> claros y permitan a cada uno de los </w:t>
      </w:r>
      <w:r w:rsidRPr="00E15E92">
        <w:rPr>
          <w:rFonts w:eastAsia="ITC Avant Garde" w:cs="ITC Avant Garde"/>
        </w:rPr>
        <w:t>participantes</w:t>
      </w:r>
      <w:r w:rsidR="003D6F9C" w:rsidRPr="00E15E92">
        <w:rPr>
          <w:rFonts w:eastAsia="ITC Avant Garde" w:cs="ITC Avant Garde"/>
        </w:rPr>
        <w:t xml:space="preserve"> registrar </w:t>
      </w:r>
      <w:r w:rsidR="00351BFF" w:rsidRPr="00E15E92">
        <w:rPr>
          <w:rFonts w:eastAsia="ITC Avant Garde" w:cs="ITC Avant Garde"/>
        </w:rPr>
        <w:t xml:space="preserve">los elementos </w:t>
      </w:r>
      <w:r w:rsidR="00AE2187" w:rsidRPr="00E15E92">
        <w:rPr>
          <w:rFonts w:eastAsia="ITC Avant Garde" w:cs="ITC Avant Garde"/>
        </w:rPr>
        <w:t>con l</w:t>
      </w:r>
      <w:r w:rsidR="00351BFF" w:rsidRPr="00E15E92">
        <w:rPr>
          <w:rFonts w:eastAsia="ITC Avant Garde" w:cs="ITC Avant Garde"/>
        </w:rPr>
        <w:t>os</w:t>
      </w:r>
      <w:r w:rsidR="00AE2187" w:rsidRPr="00E15E92">
        <w:rPr>
          <w:rFonts w:eastAsia="ITC Avant Garde" w:cs="ITC Avant Garde"/>
        </w:rPr>
        <w:t xml:space="preserve"> que cuenten de manera efectiva y acorde a su operación</w:t>
      </w:r>
      <w:r w:rsidR="001A46C8" w:rsidRPr="00E15E92">
        <w:rPr>
          <w:rFonts w:eastAsia="ITC Avant Garde" w:cs="ITC Avant Garde"/>
        </w:rPr>
        <w:t>, a través de un procedimiento transparente que facilite cumplir con los objetivos del SNII</w:t>
      </w:r>
      <w:r w:rsidR="00AE2187" w:rsidRPr="00E15E92">
        <w:rPr>
          <w:rFonts w:eastAsia="ITC Avant Garde" w:cs="ITC Avant Garde"/>
        </w:rPr>
        <w:t xml:space="preserve">. </w:t>
      </w:r>
    </w:p>
    <w:p w14:paraId="00AF0239" w14:textId="71DDBBFE" w:rsidR="000A3C72" w:rsidRPr="00E15E92" w:rsidRDefault="0044166C" w:rsidP="006C755B">
      <w:pPr>
        <w:pStyle w:val="IFTnormal"/>
      </w:pPr>
      <w:r w:rsidRPr="00E15E92">
        <w:rPr>
          <w:rFonts w:eastAsia="ITC Avant Garde" w:cs="ITC Avant Garde"/>
        </w:rPr>
        <w:t xml:space="preserve">En suma, </w:t>
      </w:r>
      <w:r w:rsidR="007979F7" w:rsidRPr="00E15E92">
        <w:rPr>
          <w:rFonts w:eastAsia="MS Mincho" w:cs="Calibri"/>
          <w:bCs/>
          <w:color w:val="auto"/>
          <w:lang w:val="es-MX" w:eastAsia="en-US"/>
        </w:rPr>
        <w:t>la creación de una</w:t>
      </w:r>
      <w:r w:rsidR="000A3C72" w:rsidRPr="00E15E92">
        <w:rPr>
          <w:rFonts w:eastAsia="MS Mincho" w:cs="Calibri"/>
          <w:bCs/>
          <w:color w:val="auto"/>
          <w:lang w:val="es-MX" w:eastAsia="en-US"/>
        </w:rPr>
        <w:t xml:space="preserve"> </w:t>
      </w:r>
      <w:r w:rsidR="007979F7" w:rsidRPr="00E15E92">
        <w:rPr>
          <w:rFonts w:eastAsia="MS Mincho" w:cs="Calibri"/>
          <w:bCs/>
          <w:color w:val="auto"/>
          <w:lang w:val="es-MX" w:eastAsia="en-US"/>
        </w:rPr>
        <w:t xml:space="preserve">herramienta tecnológica </w:t>
      </w:r>
      <w:r w:rsidR="005F56DB" w:rsidRPr="00E15E92">
        <w:rPr>
          <w:rFonts w:eastAsia="MS Mincho" w:cs="Calibri"/>
          <w:bCs/>
          <w:color w:val="auto"/>
          <w:lang w:val="es-MX" w:eastAsia="en-US"/>
        </w:rPr>
        <w:t>que permi</w:t>
      </w:r>
      <w:r w:rsidR="000C1681" w:rsidRPr="00E15E92">
        <w:rPr>
          <w:rFonts w:eastAsia="MS Mincho" w:cs="Calibri"/>
          <w:bCs/>
          <w:color w:val="auto"/>
          <w:lang w:val="es-MX" w:eastAsia="en-US"/>
        </w:rPr>
        <w:t>t</w:t>
      </w:r>
      <w:r w:rsidR="005F56DB" w:rsidRPr="00E15E92">
        <w:rPr>
          <w:rFonts w:eastAsia="MS Mincho" w:cs="Calibri"/>
          <w:bCs/>
          <w:color w:val="auto"/>
          <w:lang w:val="es-MX" w:eastAsia="en-US"/>
        </w:rPr>
        <w:t xml:space="preserve">a </w:t>
      </w:r>
      <w:r w:rsidR="00D1002E" w:rsidRPr="00E15E92">
        <w:rPr>
          <w:rFonts w:eastAsia="MS Mincho" w:cs="Calibri"/>
          <w:bCs/>
          <w:color w:val="auto"/>
          <w:lang w:val="es-MX" w:eastAsia="en-US"/>
        </w:rPr>
        <w:t xml:space="preserve">tanto el registro como </w:t>
      </w:r>
      <w:r w:rsidR="00417C76" w:rsidRPr="00E15E92">
        <w:rPr>
          <w:rFonts w:eastAsia="MS Mincho" w:cs="Calibri"/>
          <w:bCs/>
          <w:color w:val="auto"/>
          <w:lang w:val="es-MX" w:eastAsia="en-US"/>
        </w:rPr>
        <w:t>la</w:t>
      </w:r>
      <w:r w:rsidR="007979F7" w:rsidRPr="00E15E92">
        <w:rPr>
          <w:rFonts w:eastAsia="MS Mincho" w:cs="Calibri"/>
          <w:bCs/>
          <w:color w:val="auto"/>
          <w:lang w:val="es-MX" w:eastAsia="en-US"/>
        </w:rPr>
        <w:t xml:space="preserve"> consulta</w:t>
      </w:r>
      <w:r w:rsidR="00BB44DD" w:rsidRPr="00E15E92">
        <w:rPr>
          <w:rFonts w:eastAsia="MS Mincho" w:cs="Calibri"/>
          <w:bCs/>
          <w:color w:val="auto"/>
          <w:lang w:val="es-MX" w:eastAsia="en-US"/>
        </w:rPr>
        <w:t xml:space="preserve"> </w:t>
      </w:r>
      <w:r w:rsidR="00D1002E" w:rsidRPr="00E15E92">
        <w:rPr>
          <w:rFonts w:eastAsia="MS Mincho" w:cs="Calibri"/>
          <w:bCs/>
          <w:color w:val="auto"/>
          <w:lang w:val="es-MX" w:eastAsia="en-US"/>
        </w:rPr>
        <w:t xml:space="preserve">de dicha información </w:t>
      </w:r>
      <w:r w:rsidR="005F56DB" w:rsidRPr="00E15E92">
        <w:rPr>
          <w:rFonts w:eastAsia="MS Mincho" w:cs="Calibri"/>
          <w:bCs/>
          <w:color w:val="auto"/>
          <w:lang w:val="es-MX" w:eastAsia="en-US"/>
        </w:rPr>
        <w:t xml:space="preserve">de manera sistematizada </w:t>
      </w:r>
      <w:r w:rsidR="00D1002E" w:rsidRPr="00E15E92">
        <w:rPr>
          <w:rFonts w:eastAsia="MS Mincho" w:cs="Calibri"/>
          <w:bCs/>
          <w:color w:val="auto"/>
          <w:lang w:val="es-MX" w:eastAsia="en-US"/>
        </w:rPr>
        <w:t xml:space="preserve">generará beneficios </w:t>
      </w:r>
      <w:r w:rsidRPr="00E15E92">
        <w:rPr>
          <w:rFonts w:eastAsia="MS Mincho" w:cs="Calibri"/>
          <w:bCs/>
          <w:color w:val="auto"/>
          <w:lang w:val="es-MX" w:eastAsia="en-US"/>
        </w:rPr>
        <w:t>para</w:t>
      </w:r>
      <w:r w:rsidR="00D1002E" w:rsidRPr="00E15E92">
        <w:rPr>
          <w:rFonts w:eastAsia="MS Mincho" w:cs="Calibri"/>
          <w:bCs/>
          <w:color w:val="auto"/>
          <w:lang w:val="es-MX" w:eastAsia="en-US"/>
        </w:rPr>
        <w:t xml:space="preserve"> el desarrollo eficiente de los sectores de telecomunicaciones y radiodifusión. </w:t>
      </w:r>
    </w:p>
    <w:p w14:paraId="571B1B24" w14:textId="39284129" w:rsidR="000A3C72" w:rsidRPr="00E15E92" w:rsidRDefault="00EE44F3" w:rsidP="006C755B">
      <w:pPr>
        <w:spacing w:after="200" w:line="276" w:lineRule="auto"/>
        <w:jc w:val="both"/>
        <w:rPr>
          <w:rFonts w:ascii="ITC Avant Garde" w:hAnsi="ITC Avant Garde"/>
        </w:rPr>
      </w:pPr>
      <w:r w:rsidRPr="00E15E92">
        <w:rPr>
          <w:rFonts w:ascii="ITC Avant Garde" w:hAnsi="ITC Avant Garde"/>
        </w:rPr>
        <w:t>La información sobre la ubicación y capacidad de la infraestructura existente permitirá una mejor planeación para el despliegue de redes y con ello prevenir</w:t>
      </w:r>
      <w:r w:rsidRPr="00E15E92" w:rsidDel="00261A69">
        <w:rPr>
          <w:rFonts w:ascii="ITC Avant Garde" w:hAnsi="ITC Avant Garde"/>
        </w:rPr>
        <w:t xml:space="preserve"> </w:t>
      </w:r>
      <w:r w:rsidRPr="00E15E92">
        <w:rPr>
          <w:rFonts w:ascii="ITC Avant Garde" w:hAnsi="ITC Avant Garde"/>
        </w:rPr>
        <w:t>y combatir las restricciones en los mercados, haciendo posible el establecimiento de medidas que eliminen las barreras de competencia y/o de libre concurrencia</w:t>
      </w:r>
      <w:r w:rsidR="000A3C72" w:rsidRPr="00E15E92">
        <w:rPr>
          <w:rFonts w:ascii="ITC Avant Garde" w:hAnsi="ITC Avant Garde"/>
        </w:rPr>
        <w:t>.</w:t>
      </w:r>
      <w:r w:rsidR="00DA4B41" w:rsidRPr="00E15E92">
        <w:rPr>
          <w:rFonts w:ascii="ITC Avant Garde" w:hAnsi="ITC Avant Garde"/>
        </w:rPr>
        <w:t xml:space="preserve"> </w:t>
      </w:r>
    </w:p>
    <w:p w14:paraId="45ED0E97" w14:textId="6CDEA9EF" w:rsidR="000A3C72" w:rsidRPr="00E15E92" w:rsidRDefault="00EE44F3" w:rsidP="006C755B">
      <w:pPr>
        <w:spacing w:after="200" w:line="276" w:lineRule="auto"/>
        <w:jc w:val="both"/>
        <w:rPr>
          <w:rFonts w:ascii="ITC Avant Garde" w:hAnsi="ITC Avant Garde"/>
        </w:rPr>
      </w:pPr>
      <w:r w:rsidRPr="00E15E92">
        <w:rPr>
          <w:rFonts w:ascii="ITC Avant Garde" w:hAnsi="ITC Avant Garde"/>
        </w:rPr>
        <w:t>Si bien</w:t>
      </w:r>
      <w:r w:rsidR="00390ED5" w:rsidRPr="00E15E92">
        <w:rPr>
          <w:rFonts w:ascii="ITC Avant Garde" w:hAnsi="ITC Avant Garde"/>
        </w:rPr>
        <w:t>,</w:t>
      </w:r>
      <w:r w:rsidRPr="00E15E92">
        <w:rPr>
          <w:rFonts w:ascii="ITC Avant Garde" w:hAnsi="ITC Avant Garde"/>
        </w:rPr>
        <w:t xml:space="preserve"> la información de infraestructura genera incentivos para una mayor compartición, también permite identificar oportunidades para el despliegue y la inversión en redes de telecomunicaciones y radiodifusión, </w:t>
      </w:r>
      <w:r w:rsidR="00DA4B41" w:rsidRPr="00E15E92">
        <w:rPr>
          <w:rFonts w:ascii="ITC Avant Garde" w:hAnsi="ITC Avant Garde"/>
        </w:rPr>
        <w:t xml:space="preserve">inclusive en zonas con nula o baja penetración, </w:t>
      </w:r>
      <w:r w:rsidRPr="00E15E92">
        <w:rPr>
          <w:rFonts w:ascii="ITC Avant Garde" w:hAnsi="ITC Avant Garde"/>
        </w:rPr>
        <w:t>así como el fomento a la innovación.</w:t>
      </w:r>
    </w:p>
    <w:p w14:paraId="3553BAF5" w14:textId="0766D721" w:rsidR="00D1002E" w:rsidRPr="00E15E92" w:rsidRDefault="00D1002E" w:rsidP="006C755B">
      <w:pPr>
        <w:spacing w:after="200" w:line="276" w:lineRule="auto"/>
        <w:jc w:val="both"/>
      </w:pPr>
      <w:r w:rsidRPr="00E15E92">
        <w:rPr>
          <w:rFonts w:ascii="ITC Avant Garde" w:hAnsi="ITC Avant Garde"/>
        </w:rPr>
        <w:t>Dadas las condiciones desiguales en términos de penetración de servicios, en especial de banda ancha, que se presentan en el país, un sistema de información geo</w:t>
      </w:r>
      <w:r w:rsidR="00EE44F3" w:rsidRPr="00E15E92">
        <w:rPr>
          <w:rFonts w:ascii="ITC Avant Garde" w:hAnsi="ITC Avant Garde"/>
        </w:rPr>
        <w:t>-</w:t>
      </w:r>
      <w:r w:rsidRPr="00E15E92">
        <w:rPr>
          <w:rFonts w:ascii="ITC Avant Garde" w:hAnsi="ITC Avant Garde"/>
        </w:rPr>
        <w:t xml:space="preserve">referenciado permitirá </w:t>
      </w:r>
      <w:r w:rsidR="00575D31" w:rsidRPr="00E15E92">
        <w:rPr>
          <w:rFonts w:ascii="ITC Avant Garde" w:hAnsi="ITC Avant Garde"/>
        </w:rPr>
        <w:t xml:space="preserve">diseñar e implementar esquemas de despliegue mejor </w:t>
      </w:r>
      <w:r w:rsidR="00E028D2" w:rsidRPr="00E15E92">
        <w:rPr>
          <w:rFonts w:ascii="ITC Avant Garde" w:hAnsi="ITC Avant Garde"/>
        </w:rPr>
        <w:t>focalizados</w:t>
      </w:r>
      <w:r w:rsidR="00575D31" w:rsidRPr="00E15E92">
        <w:rPr>
          <w:rFonts w:ascii="ITC Avant Garde" w:hAnsi="ITC Avant Garde"/>
        </w:rPr>
        <w:t xml:space="preserve"> con el fin de atender de manera eficaz </w:t>
      </w:r>
      <w:r w:rsidR="00390ED5" w:rsidRPr="00E15E92">
        <w:rPr>
          <w:rFonts w:ascii="ITC Avant Garde" w:hAnsi="ITC Avant Garde"/>
        </w:rPr>
        <w:t xml:space="preserve">las </w:t>
      </w:r>
      <w:r w:rsidR="00575D31" w:rsidRPr="00E15E92">
        <w:rPr>
          <w:rFonts w:ascii="ITC Avant Garde" w:hAnsi="ITC Avant Garde"/>
        </w:rPr>
        <w:t>zonas donde actualmente no existen servicios, contribuyendo con ello</w:t>
      </w:r>
      <w:r w:rsidR="00DA4B41" w:rsidRPr="00E15E92">
        <w:rPr>
          <w:rFonts w:ascii="ITC Avant Garde" w:hAnsi="ITC Avant Garde"/>
        </w:rPr>
        <w:t xml:space="preserve"> a una mayor conectividad y</w:t>
      </w:r>
      <w:r w:rsidR="00575D31" w:rsidRPr="00E15E92">
        <w:rPr>
          <w:rFonts w:ascii="ITC Avant Garde" w:hAnsi="ITC Avant Garde"/>
        </w:rPr>
        <w:t xml:space="preserve"> a reducir la brecha digital.</w:t>
      </w:r>
    </w:p>
    <w:p w14:paraId="554BD611" w14:textId="21327FCD" w:rsidR="00785A81" w:rsidRPr="00E15E92" w:rsidRDefault="004A49DC" w:rsidP="00785A81">
      <w:pPr>
        <w:pStyle w:val="IFTnormal"/>
        <w:rPr>
          <w:rFonts w:eastAsia="MS Mincho" w:cs="Calibri"/>
          <w:bCs/>
          <w:color w:val="auto"/>
          <w:lang w:val="es-MX" w:eastAsia="en-US"/>
        </w:rPr>
      </w:pPr>
      <w:r w:rsidRPr="00E15E92">
        <w:rPr>
          <w:rFonts w:eastAsia="MS Mincho" w:cs="Calibri"/>
          <w:bCs/>
          <w:color w:val="auto"/>
          <w:lang w:val="es-MX" w:eastAsia="en-US"/>
        </w:rPr>
        <w:t>Por lo anterior</w:t>
      </w:r>
      <w:r w:rsidR="006B51AE" w:rsidRPr="00E15E92">
        <w:rPr>
          <w:rFonts w:eastAsia="MS Mincho" w:cs="Calibri"/>
          <w:bCs/>
          <w:color w:val="auto"/>
          <w:lang w:val="es-MX" w:eastAsia="en-US"/>
        </w:rPr>
        <w:t>,</w:t>
      </w:r>
      <w:r w:rsidRPr="00E15E92">
        <w:rPr>
          <w:rFonts w:eastAsia="MS Mincho" w:cs="Calibri"/>
          <w:bCs/>
          <w:color w:val="auto"/>
          <w:lang w:val="es-MX" w:eastAsia="en-US"/>
        </w:rPr>
        <w:t xml:space="preserve"> resulta</w:t>
      </w:r>
      <w:r w:rsidR="00D54E2C" w:rsidRPr="00E15E92">
        <w:rPr>
          <w:rFonts w:eastAsia="MS Mincho" w:cs="Calibri"/>
          <w:bCs/>
          <w:color w:val="auto"/>
          <w:lang w:val="es-MX" w:eastAsia="en-US"/>
        </w:rPr>
        <w:t xml:space="preserve"> necesaria</w:t>
      </w:r>
      <w:r w:rsidR="00D46384" w:rsidRPr="00E15E92">
        <w:rPr>
          <w:rFonts w:eastAsia="MS Mincho" w:cs="Calibri"/>
          <w:bCs/>
          <w:color w:val="auto"/>
          <w:lang w:val="es-MX" w:eastAsia="en-US"/>
        </w:rPr>
        <w:t xml:space="preserve"> la emisión de</w:t>
      </w:r>
      <w:r w:rsidR="00D54E2C" w:rsidRPr="00E15E92">
        <w:rPr>
          <w:rFonts w:eastAsia="MS Mincho" w:cs="Calibri"/>
          <w:bCs/>
          <w:color w:val="auto"/>
          <w:lang w:val="es-MX" w:eastAsia="en-US"/>
        </w:rPr>
        <w:t xml:space="preserve"> </w:t>
      </w:r>
      <w:r w:rsidR="00C52B74" w:rsidRPr="00E15E92">
        <w:rPr>
          <w:rFonts w:eastAsia="MS Mincho" w:cs="Calibri"/>
          <w:bCs/>
          <w:color w:val="auto"/>
          <w:lang w:val="es-MX" w:eastAsia="en-US"/>
        </w:rPr>
        <w:t>Lineamientos</w:t>
      </w:r>
      <w:r w:rsidR="00D46384" w:rsidRPr="00E15E92">
        <w:rPr>
          <w:rFonts w:eastAsia="MS Mincho" w:cs="Calibri"/>
          <w:bCs/>
          <w:color w:val="auto"/>
          <w:lang w:val="es-MX" w:eastAsia="en-US"/>
        </w:rPr>
        <w:t xml:space="preserve"> que </w:t>
      </w:r>
      <w:r w:rsidR="00D54E2C" w:rsidRPr="00E15E92">
        <w:rPr>
          <w:rFonts w:eastAsia="MS Mincho" w:cs="Calibri"/>
          <w:bCs/>
          <w:color w:val="auto"/>
          <w:lang w:val="es-MX" w:eastAsia="en-US"/>
        </w:rPr>
        <w:t>establezcan</w:t>
      </w:r>
      <w:r w:rsidR="00D46384" w:rsidRPr="00E15E92">
        <w:rPr>
          <w:rFonts w:eastAsia="MS Mincho" w:cs="Calibri"/>
          <w:bCs/>
          <w:color w:val="auto"/>
          <w:lang w:val="es-MX" w:eastAsia="en-US"/>
        </w:rPr>
        <w:t xml:space="preserve"> los términos</w:t>
      </w:r>
      <w:r w:rsidR="00D54E2C" w:rsidRPr="00E15E92">
        <w:rPr>
          <w:rFonts w:eastAsia="MS Mincho" w:cs="Calibri"/>
          <w:bCs/>
          <w:color w:val="auto"/>
          <w:lang w:val="es-MX" w:eastAsia="en-US"/>
        </w:rPr>
        <w:t xml:space="preserve"> </w:t>
      </w:r>
      <w:r w:rsidR="006C755B" w:rsidRPr="00E15E92">
        <w:rPr>
          <w:rFonts w:eastAsia="MS Mincho" w:cs="Calibri"/>
          <w:bCs/>
          <w:color w:val="auto"/>
          <w:lang w:val="es-MX" w:eastAsia="en-US"/>
        </w:rPr>
        <w:t xml:space="preserve">y condiciones </w:t>
      </w:r>
      <w:r w:rsidR="00E646B8" w:rsidRPr="00E15E92">
        <w:rPr>
          <w:rFonts w:eastAsia="MS Mincho" w:cs="Calibri"/>
          <w:bCs/>
          <w:color w:val="auto"/>
          <w:lang w:val="es-MX" w:eastAsia="en-US"/>
        </w:rPr>
        <w:t xml:space="preserve">que los </w:t>
      </w:r>
      <w:r w:rsidR="00C34AFC" w:rsidRPr="00E15E92">
        <w:rPr>
          <w:rFonts w:eastAsia="MS Mincho" w:cs="Calibri"/>
          <w:bCs/>
          <w:color w:val="auto"/>
          <w:lang w:val="es-MX" w:eastAsia="en-US"/>
        </w:rPr>
        <w:t>c</w:t>
      </w:r>
      <w:r w:rsidR="00E646B8" w:rsidRPr="00E15E92">
        <w:rPr>
          <w:rFonts w:eastAsia="MS Mincho" w:cs="Calibri"/>
          <w:bCs/>
          <w:color w:val="auto"/>
          <w:lang w:val="es-MX" w:eastAsia="en-US"/>
        </w:rPr>
        <w:t xml:space="preserve">oncesionarios, </w:t>
      </w:r>
      <w:r w:rsidR="00C34AFC" w:rsidRPr="00E15E92">
        <w:rPr>
          <w:rFonts w:eastAsia="MS Mincho" w:cs="Calibri"/>
          <w:bCs/>
          <w:color w:val="auto"/>
          <w:lang w:val="es-MX" w:eastAsia="en-US"/>
        </w:rPr>
        <w:t>a</w:t>
      </w:r>
      <w:r w:rsidR="00E646B8" w:rsidRPr="00E15E92">
        <w:rPr>
          <w:rFonts w:eastAsia="MS Mincho" w:cs="Calibri"/>
          <w:bCs/>
          <w:color w:val="auto"/>
          <w:lang w:val="es-MX" w:eastAsia="en-US"/>
        </w:rPr>
        <w:t xml:space="preserve">utorizados, </w:t>
      </w:r>
      <w:r w:rsidR="00C34AFC" w:rsidRPr="00E15E92">
        <w:rPr>
          <w:rFonts w:eastAsia="MS Mincho" w:cs="Calibri"/>
          <w:bCs/>
          <w:color w:val="auto"/>
          <w:lang w:val="es-MX" w:eastAsia="en-US"/>
        </w:rPr>
        <w:t>i</w:t>
      </w:r>
      <w:r w:rsidR="00E646B8" w:rsidRPr="00E15E92">
        <w:rPr>
          <w:rFonts w:eastAsia="MS Mincho" w:cs="Calibri"/>
          <w:bCs/>
          <w:color w:val="auto"/>
          <w:lang w:val="es-MX" w:eastAsia="en-US"/>
        </w:rPr>
        <w:t xml:space="preserve">nstituciones </w:t>
      </w:r>
      <w:r w:rsidR="00C34AFC" w:rsidRPr="00E15E92">
        <w:rPr>
          <w:rFonts w:eastAsia="MS Mincho" w:cs="Calibri"/>
          <w:bCs/>
          <w:color w:val="auto"/>
          <w:lang w:val="es-MX" w:eastAsia="en-US"/>
        </w:rPr>
        <w:t>p</w:t>
      </w:r>
      <w:r w:rsidR="00E646B8" w:rsidRPr="00E15E92">
        <w:rPr>
          <w:rFonts w:eastAsia="MS Mincho" w:cs="Calibri"/>
          <w:bCs/>
          <w:color w:val="auto"/>
          <w:lang w:val="es-MX" w:eastAsia="en-US"/>
        </w:rPr>
        <w:t xml:space="preserve">úblicas, </w:t>
      </w:r>
      <w:r w:rsidR="00C34AFC" w:rsidRPr="00E15E92">
        <w:rPr>
          <w:rFonts w:eastAsia="MS Mincho" w:cs="Calibri"/>
          <w:bCs/>
          <w:color w:val="auto"/>
          <w:lang w:val="es-MX" w:eastAsia="en-US"/>
        </w:rPr>
        <w:t>u</w:t>
      </w:r>
      <w:r w:rsidR="00E646B8" w:rsidRPr="00E15E92">
        <w:rPr>
          <w:rFonts w:eastAsia="MS Mincho" w:cs="Calibri"/>
          <w:bCs/>
          <w:color w:val="auto"/>
          <w:lang w:val="es-MX" w:eastAsia="en-US"/>
        </w:rPr>
        <w:t xml:space="preserve">niversidades, </w:t>
      </w:r>
      <w:r w:rsidR="00C34AFC" w:rsidRPr="00E15E92">
        <w:rPr>
          <w:rFonts w:eastAsia="MS Mincho" w:cs="Calibri"/>
          <w:bCs/>
          <w:color w:val="auto"/>
          <w:lang w:val="es-MX" w:eastAsia="en-US"/>
        </w:rPr>
        <w:t>c</w:t>
      </w:r>
      <w:r w:rsidR="00E646B8" w:rsidRPr="00E15E92">
        <w:rPr>
          <w:rFonts w:eastAsia="MS Mincho" w:cs="Calibri"/>
          <w:bCs/>
          <w:color w:val="auto"/>
          <w:lang w:val="es-MX" w:eastAsia="en-US"/>
        </w:rPr>
        <w:t xml:space="preserve">entros de </w:t>
      </w:r>
      <w:r w:rsidR="00C34AFC" w:rsidRPr="00E15E92">
        <w:rPr>
          <w:rFonts w:eastAsia="MS Mincho" w:cs="Calibri"/>
          <w:bCs/>
          <w:color w:val="auto"/>
          <w:lang w:val="es-MX" w:eastAsia="en-US"/>
        </w:rPr>
        <w:t>i</w:t>
      </w:r>
      <w:r w:rsidR="00E646B8" w:rsidRPr="00E15E92">
        <w:rPr>
          <w:rFonts w:eastAsia="MS Mincho" w:cs="Calibri"/>
          <w:bCs/>
          <w:color w:val="auto"/>
          <w:lang w:val="es-MX" w:eastAsia="en-US"/>
        </w:rPr>
        <w:t xml:space="preserve">nvestigación </w:t>
      </w:r>
      <w:r w:rsidR="00C34AFC" w:rsidRPr="00E15E92">
        <w:rPr>
          <w:rFonts w:eastAsia="MS Mincho" w:cs="Calibri"/>
          <w:bCs/>
          <w:color w:val="auto"/>
          <w:lang w:val="es-MX" w:eastAsia="en-US"/>
        </w:rPr>
        <w:t>p</w:t>
      </w:r>
      <w:r w:rsidR="00E646B8" w:rsidRPr="00E15E92">
        <w:rPr>
          <w:rFonts w:eastAsia="MS Mincho" w:cs="Calibri"/>
          <w:bCs/>
          <w:color w:val="auto"/>
          <w:lang w:val="es-MX" w:eastAsia="en-US"/>
        </w:rPr>
        <w:t xml:space="preserve">úblicos, </w:t>
      </w:r>
      <w:r w:rsidR="00C34AFC" w:rsidRPr="00E15E92">
        <w:rPr>
          <w:rFonts w:eastAsia="MS Mincho" w:cs="Calibri"/>
          <w:bCs/>
          <w:color w:val="auto"/>
          <w:lang w:val="es-MX" w:eastAsia="en-US"/>
        </w:rPr>
        <w:t>s</w:t>
      </w:r>
      <w:r w:rsidR="00AA6B58" w:rsidRPr="00E15E92">
        <w:rPr>
          <w:rFonts w:eastAsia="MS Mincho" w:cs="Calibri"/>
          <w:bCs/>
          <w:color w:val="auto"/>
          <w:lang w:val="es-MX" w:eastAsia="en-US"/>
        </w:rPr>
        <w:t xml:space="preserve">ujetos </w:t>
      </w:r>
      <w:r w:rsidR="00C34AFC" w:rsidRPr="00E15E92">
        <w:rPr>
          <w:rFonts w:eastAsia="MS Mincho" w:cs="Calibri"/>
          <w:bCs/>
          <w:color w:val="auto"/>
          <w:lang w:val="es-MX" w:eastAsia="en-US"/>
        </w:rPr>
        <w:t>i</w:t>
      </w:r>
      <w:r w:rsidR="00AA6B58" w:rsidRPr="00E15E92">
        <w:rPr>
          <w:rFonts w:eastAsia="MS Mincho" w:cs="Calibri"/>
          <w:bCs/>
          <w:color w:val="auto"/>
          <w:lang w:val="es-MX" w:eastAsia="en-US"/>
        </w:rPr>
        <w:t>nteresados</w:t>
      </w:r>
      <w:r w:rsidR="00E646B8" w:rsidRPr="00E15E92" w:rsidDel="00AA6B58">
        <w:rPr>
          <w:rFonts w:eastAsia="MS Mincho" w:cs="Calibri"/>
          <w:bCs/>
          <w:color w:val="auto"/>
          <w:lang w:val="es-MX" w:eastAsia="en-US"/>
        </w:rPr>
        <w:t xml:space="preserve"> </w:t>
      </w:r>
      <w:r w:rsidR="00E646B8" w:rsidRPr="00E15E92">
        <w:rPr>
          <w:rFonts w:eastAsia="MS Mincho" w:cs="Calibri"/>
          <w:bCs/>
          <w:color w:val="auto"/>
          <w:lang w:val="es-MX" w:eastAsia="en-US"/>
        </w:rPr>
        <w:t>y</w:t>
      </w:r>
      <w:r w:rsidR="00AA6B58" w:rsidRPr="00E15E92">
        <w:rPr>
          <w:rFonts w:eastAsia="MS Mincho" w:cs="Calibri"/>
          <w:bCs/>
          <w:color w:val="auto"/>
          <w:lang w:val="es-MX" w:eastAsia="en-US"/>
        </w:rPr>
        <w:t>, en su caso,</w:t>
      </w:r>
      <w:r w:rsidR="00E646B8" w:rsidRPr="00E15E92">
        <w:rPr>
          <w:rFonts w:eastAsia="MS Mincho" w:cs="Calibri"/>
          <w:bCs/>
          <w:color w:val="auto"/>
          <w:lang w:val="es-MX" w:eastAsia="en-US"/>
        </w:rPr>
        <w:t xml:space="preserve"> </w:t>
      </w:r>
      <w:r w:rsidR="00C34AFC" w:rsidRPr="00E15E92">
        <w:rPr>
          <w:rFonts w:eastAsia="MS Mincho" w:cs="Calibri"/>
          <w:bCs/>
          <w:color w:val="auto"/>
          <w:lang w:val="es-MX" w:eastAsia="en-US"/>
        </w:rPr>
        <w:t>p</w:t>
      </w:r>
      <w:r w:rsidR="00AA6B58" w:rsidRPr="00E15E92">
        <w:rPr>
          <w:rFonts w:eastAsia="MS Mincho" w:cs="Calibri"/>
          <w:bCs/>
          <w:color w:val="auto"/>
          <w:lang w:val="es-MX" w:eastAsia="en-US"/>
        </w:rPr>
        <w:t>articulares</w:t>
      </w:r>
      <w:r w:rsidR="00B92B72" w:rsidRPr="00E15E92">
        <w:rPr>
          <w:rFonts w:eastAsia="MS Mincho" w:cs="Calibri"/>
          <w:bCs/>
          <w:color w:val="auto"/>
          <w:lang w:val="es-MX" w:eastAsia="en-US"/>
        </w:rPr>
        <w:t>,</w:t>
      </w:r>
      <w:r w:rsidR="00E646B8" w:rsidRPr="00E15E92" w:rsidDel="00AA6B58">
        <w:rPr>
          <w:rFonts w:eastAsia="MS Mincho" w:cs="Calibri"/>
          <w:bCs/>
          <w:color w:val="auto"/>
          <w:lang w:val="es-MX" w:eastAsia="en-US"/>
        </w:rPr>
        <w:t xml:space="preserve"> </w:t>
      </w:r>
      <w:r w:rsidR="001B3017" w:rsidRPr="00E15E92">
        <w:rPr>
          <w:rFonts w:eastAsia="MS Mincho" w:cs="Calibri"/>
          <w:bCs/>
          <w:color w:val="auto"/>
          <w:lang w:val="es-MX" w:eastAsia="en-US"/>
        </w:rPr>
        <w:t xml:space="preserve">deberán </w:t>
      </w:r>
      <w:r w:rsidR="00CF16F6" w:rsidRPr="00E15E92">
        <w:rPr>
          <w:rFonts w:eastAsia="MS Mincho" w:cs="Calibri"/>
          <w:bCs/>
          <w:color w:val="auto"/>
          <w:lang w:val="es-MX" w:eastAsia="en-US"/>
        </w:rPr>
        <w:t xml:space="preserve">observar para </w:t>
      </w:r>
      <w:r w:rsidR="00D54E2C" w:rsidRPr="00E15E92">
        <w:rPr>
          <w:rFonts w:eastAsia="MS Mincho" w:cs="Calibri"/>
          <w:bCs/>
          <w:color w:val="auto"/>
          <w:lang w:val="es-MX" w:eastAsia="en-US"/>
        </w:rPr>
        <w:t>la entrega</w:t>
      </w:r>
      <w:r w:rsidR="00EE44F3" w:rsidRPr="00E15E92">
        <w:rPr>
          <w:rFonts w:eastAsia="MS Mincho" w:cs="Calibri"/>
          <w:bCs/>
          <w:color w:val="auto"/>
          <w:lang w:val="es-MX" w:eastAsia="en-US"/>
        </w:rPr>
        <w:t>, inscripción</w:t>
      </w:r>
      <w:r w:rsidR="00031062" w:rsidRPr="00E15E92">
        <w:rPr>
          <w:rFonts w:eastAsia="MS Mincho" w:cs="Calibri"/>
          <w:bCs/>
          <w:color w:val="auto"/>
          <w:lang w:val="es-MX" w:eastAsia="en-US"/>
        </w:rPr>
        <w:t xml:space="preserve"> </w:t>
      </w:r>
      <w:r w:rsidR="00D54E2C" w:rsidRPr="00E15E92">
        <w:rPr>
          <w:rFonts w:eastAsia="MS Mincho" w:cs="Calibri"/>
          <w:bCs/>
          <w:color w:val="auto"/>
          <w:lang w:val="es-MX" w:eastAsia="en-US"/>
        </w:rPr>
        <w:t>y consulta de la información</w:t>
      </w:r>
      <w:r w:rsidR="00D54E2C" w:rsidRPr="00E15E92" w:rsidDel="009A5820">
        <w:rPr>
          <w:rFonts w:eastAsia="MS Mincho" w:cs="Calibri"/>
          <w:bCs/>
          <w:color w:val="auto"/>
          <w:lang w:val="es-MX" w:eastAsia="en-US"/>
        </w:rPr>
        <w:t xml:space="preserve"> </w:t>
      </w:r>
      <w:r w:rsidR="009A5820" w:rsidRPr="00E15E92">
        <w:rPr>
          <w:rFonts w:eastAsia="MS Mincho" w:cs="Calibri"/>
          <w:bCs/>
          <w:color w:val="auto"/>
          <w:lang w:val="es-MX" w:eastAsia="en-US"/>
        </w:rPr>
        <w:t>que contendrá el</w:t>
      </w:r>
      <w:r w:rsidR="00C614F4" w:rsidRPr="00E15E92">
        <w:rPr>
          <w:rFonts w:eastAsia="MS Mincho" w:cs="Calibri"/>
          <w:bCs/>
          <w:color w:val="auto"/>
          <w:lang w:val="es-MX" w:eastAsia="en-US"/>
        </w:rPr>
        <w:t xml:space="preserve"> </w:t>
      </w:r>
      <w:r w:rsidR="00D1002E" w:rsidRPr="00E15E92">
        <w:rPr>
          <w:rFonts w:eastAsia="MS Mincho" w:cs="Calibri"/>
          <w:bCs/>
          <w:color w:val="auto"/>
          <w:lang w:val="es-MX" w:eastAsia="en-US"/>
        </w:rPr>
        <w:t>SNII</w:t>
      </w:r>
      <w:r w:rsidR="00EA6EC2" w:rsidRPr="00E15E92">
        <w:rPr>
          <w:rFonts w:eastAsia="MS Mincho" w:cs="Calibri"/>
          <w:bCs/>
          <w:color w:val="auto"/>
          <w:lang w:val="es-MX" w:eastAsia="en-US"/>
        </w:rPr>
        <w:t>. C</w:t>
      </w:r>
      <w:r w:rsidR="00E028D2" w:rsidRPr="00E15E92">
        <w:rPr>
          <w:rFonts w:eastAsia="MS Mincho" w:cs="Calibri"/>
          <w:bCs/>
          <w:color w:val="auto"/>
          <w:lang w:val="es-MX" w:eastAsia="en-US"/>
        </w:rPr>
        <w:t>on ello</w:t>
      </w:r>
      <w:r w:rsidR="00B92B72" w:rsidRPr="00E15E92">
        <w:rPr>
          <w:rFonts w:eastAsia="MS Mincho" w:cs="Calibri"/>
          <w:bCs/>
          <w:color w:val="auto"/>
          <w:lang w:val="es-MX" w:eastAsia="en-US"/>
        </w:rPr>
        <w:t>,</w:t>
      </w:r>
      <w:r w:rsidR="00E028D2" w:rsidRPr="00E15E92">
        <w:rPr>
          <w:rFonts w:eastAsia="MS Mincho" w:cs="Calibri"/>
          <w:bCs/>
          <w:color w:val="auto"/>
          <w:lang w:val="es-MX" w:eastAsia="en-US"/>
        </w:rPr>
        <w:t xml:space="preserve"> se</w:t>
      </w:r>
      <w:r w:rsidR="00DB3EA1" w:rsidRPr="00E15E92">
        <w:rPr>
          <w:rFonts w:eastAsia="MS Mincho" w:cs="Calibri"/>
          <w:bCs/>
          <w:color w:val="auto"/>
          <w:lang w:val="es-MX" w:eastAsia="en-US"/>
        </w:rPr>
        <w:t xml:space="preserve"> fomentará</w:t>
      </w:r>
      <w:r w:rsidR="00E028D2" w:rsidRPr="00E15E92">
        <w:rPr>
          <w:rFonts w:eastAsia="MS Mincho" w:cs="Calibri"/>
          <w:bCs/>
          <w:color w:val="auto"/>
          <w:lang w:val="es-MX" w:eastAsia="en-US"/>
        </w:rPr>
        <w:t>n</w:t>
      </w:r>
      <w:r w:rsidR="00DB3EA1" w:rsidRPr="00E15E92">
        <w:rPr>
          <w:rFonts w:eastAsia="MS Mincho" w:cs="Calibri"/>
          <w:bCs/>
          <w:color w:val="auto"/>
          <w:lang w:val="es-MX" w:eastAsia="en-US"/>
        </w:rPr>
        <w:t xml:space="preserve"> condiciones para el acceso y uso compartido de la infraestructura entre concesionarios y/o autorizados, </w:t>
      </w:r>
      <w:r w:rsidR="00E028D2" w:rsidRPr="00E15E92">
        <w:rPr>
          <w:rFonts w:eastAsia="MS Mincho" w:cs="Calibri"/>
          <w:bCs/>
          <w:color w:val="auto"/>
          <w:lang w:val="es-MX" w:eastAsia="en-US"/>
        </w:rPr>
        <w:t xml:space="preserve">evitando duplicidad en inversiones, </w:t>
      </w:r>
      <w:r w:rsidR="00DB3EA1" w:rsidRPr="00E15E92">
        <w:rPr>
          <w:rFonts w:eastAsia="MS Mincho" w:cs="Calibri"/>
          <w:bCs/>
          <w:color w:val="auto"/>
          <w:lang w:val="es-MX" w:eastAsia="en-US"/>
        </w:rPr>
        <w:t xml:space="preserve">ya que a través </w:t>
      </w:r>
      <w:r w:rsidR="00E028D2" w:rsidRPr="00E15E92">
        <w:rPr>
          <w:rFonts w:eastAsia="MS Mincho" w:cs="Calibri"/>
          <w:bCs/>
          <w:color w:val="auto"/>
          <w:lang w:val="es-MX" w:eastAsia="en-US"/>
        </w:rPr>
        <w:t xml:space="preserve">de dicho sistema </w:t>
      </w:r>
      <w:r w:rsidR="00DB3EA1" w:rsidRPr="00E15E92">
        <w:rPr>
          <w:rFonts w:eastAsia="MS Mincho" w:cs="Calibri"/>
          <w:bCs/>
          <w:color w:val="auto"/>
          <w:lang w:val="es-MX" w:eastAsia="en-US"/>
        </w:rPr>
        <w:t xml:space="preserve">se </w:t>
      </w:r>
      <w:r w:rsidR="00E028D2" w:rsidRPr="00E15E92">
        <w:rPr>
          <w:rFonts w:eastAsia="MS Mincho" w:cs="Calibri"/>
          <w:bCs/>
          <w:color w:val="auto"/>
          <w:lang w:val="es-MX" w:eastAsia="en-US"/>
        </w:rPr>
        <w:t xml:space="preserve">pondrá a disposición de los interesados </w:t>
      </w:r>
      <w:r w:rsidR="00DB3EA1" w:rsidRPr="00E15E92">
        <w:rPr>
          <w:rFonts w:eastAsia="MS Mincho" w:cs="Calibri"/>
          <w:bCs/>
          <w:color w:val="auto"/>
          <w:lang w:val="es-MX" w:eastAsia="en-US"/>
        </w:rPr>
        <w:t>información</w:t>
      </w:r>
      <w:r w:rsidR="00E028D2" w:rsidRPr="00E15E92">
        <w:rPr>
          <w:rFonts w:eastAsia="MS Mincho" w:cs="Calibri"/>
          <w:bCs/>
          <w:color w:val="auto"/>
          <w:lang w:val="es-MX" w:eastAsia="en-US"/>
        </w:rPr>
        <w:t xml:space="preserve"> sistematizada de la infraestructura existente</w:t>
      </w:r>
      <w:r w:rsidR="00DB3EA1" w:rsidRPr="00E15E92">
        <w:rPr>
          <w:rFonts w:eastAsia="MS Mincho" w:cs="Calibri"/>
          <w:bCs/>
          <w:color w:val="auto"/>
          <w:lang w:val="es-MX" w:eastAsia="en-US"/>
        </w:rPr>
        <w:t>.</w:t>
      </w:r>
    </w:p>
    <w:p w14:paraId="59601F38" w14:textId="7A08B7D5" w:rsidR="008E3E38" w:rsidRPr="00E15E92" w:rsidRDefault="00E775E2" w:rsidP="00282A62">
      <w:pPr>
        <w:pStyle w:val="IFTnormal"/>
        <w:outlineLvl w:val="1"/>
      </w:pPr>
      <w:r w:rsidRPr="00E15E92">
        <w:rPr>
          <w:b/>
        </w:rPr>
        <w:t>TERCERO</w:t>
      </w:r>
      <w:r w:rsidR="00341ADC" w:rsidRPr="00E15E92">
        <w:rPr>
          <w:b/>
        </w:rPr>
        <w:t>.</w:t>
      </w:r>
      <w:r w:rsidR="0002232E" w:rsidRPr="00E15E92">
        <w:rPr>
          <w:b/>
        </w:rPr>
        <w:t xml:space="preserve"> </w:t>
      </w:r>
      <w:r w:rsidR="00575D31" w:rsidRPr="00E15E92">
        <w:rPr>
          <w:b/>
        </w:rPr>
        <w:t xml:space="preserve">Experiencia internacional. </w:t>
      </w:r>
      <w:r w:rsidR="0002232E" w:rsidRPr="00E15E92">
        <w:t xml:space="preserve">En el ámbito internacional </w:t>
      </w:r>
      <w:r w:rsidR="00CF16F6" w:rsidRPr="00E15E92">
        <w:t xml:space="preserve">existe evidencia de la implementación de </w:t>
      </w:r>
      <w:r w:rsidR="0002232E" w:rsidRPr="00E15E92">
        <w:t>bases de datos geo</w:t>
      </w:r>
      <w:r w:rsidR="00AE7B96" w:rsidRPr="00E15E92">
        <w:t>-</w:t>
      </w:r>
      <w:r w:rsidR="0002232E" w:rsidRPr="00E15E92">
        <w:t>referenciadas</w:t>
      </w:r>
      <w:r w:rsidR="00112A1A" w:rsidRPr="00E15E92">
        <w:t xml:space="preserve"> de infraestructura</w:t>
      </w:r>
      <w:r w:rsidR="00CF16F6" w:rsidRPr="00E15E92">
        <w:t>, principalmente</w:t>
      </w:r>
      <w:r w:rsidR="00201B50" w:rsidRPr="00E15E92">
        <w:t xml:space="preserve"> </w:t>
      </w:r>
      <w:r w:rsidR="00CF16F6" w:rsidRPr="00E15E92">
        <w:t xml:space="preserve">de telecomunicaciones, que </w:t>
      </w:r>
      <w:r w:rsidR="00DE48D5" w:rsidRPr="00E15E92">
        <w:t>tienen como propósito</w:t>
      </w:r>
      <w:r w:rsidR="00872B23" w:rsidRPr="00E15E92">
        <w:t>, entre otros,</w:t>
      </w:r>
      <w:r w:rsidR="00DE48D5" w:rsidRPr="00E15E92">
        <w:t xml:space="preserve"> </w:t>
      </w:r>
      <w:r w:rsidR="00201B50" w:rsidRPr="00E15E92">
        <w:t xml:space="preserve">promover la </w:t>
      </w:r>
      <w:r w:rsidR="002A7464" w:rsidRPr="00E15E92">
        <w:t>compartición de infraestructura a través de la visualización de la infraestructura disponible</w:t>
      </w:r>
      <w:r w:rsidR="00872B23" w:rsidRPr="00E15E92">
        <w:t xml:space="preserve"> y susceptible de uso para el despliegue de redes de telecomunicaciones</w:t>
      </w:r>
      <w:r w:rsidR="00752B41" w:rsidRPr="00E15E92">
        <w:t>, así como facilitar e incentivar la coordinación entre los interesados para favorecer proyectos de inversión en redes de telecomunicaciones</w:t>
      </w:r>
      <w:r w:rsidR="0002232E" w:rsidRPr="00E15E92">
        <w:t xml:space="preserve">. </w:t>
      </w:r>
    </w:p>
    <w:p w14:paraId="579A8767" w14:textId="4147CBBD" w:rsidR="00F90844" w:rsidRPr="00E15E92" w:rsidRDefault="0048206D" w:rsidP="007E78BD">
      <w:pPr>
        <w:pStyle w:val="IFTnormal"/>
        <w:rPr>
          <w:rFonts w:eastAsia="MS Mincho" w:cs="Calibri"/>
          <w:bCs/>
          <w:color w:val="auto"/>
          <w:lang w:val="es-MX" w:eastAsia="en-US"/>
        </w:rPr>
      </w:pPr>
      <w:r w:rsidRPr="00E15E92">
        <w:rPr>
          <w:rFonts w:eastAsia="MS Mincho" w:cs="Calibri"/>
          <w:bCs/>
          <w:color w:val="auto"/>
          <w:lang w:val="es-MX" w:eastAsia="en-US"/>
        </w:rPr>
        <w:t>En</w:t>
      </w:r>
      <w:r w:rsidR="00FA7537" w:rsidRPr="00E15E92">
        <w:rPr>
          <w:rFonts w:eastAsia="MS Mincho" w:cs="Calibri"/>
          <w:bCs/>
          <w:color w:val="auto"/>
          <w:lang w:val="es-MX" w:eastAsia="en-US"/>
        </w:rPr>
        <w:t xml:space="preserve"> </w:t>
      </w:r>
      <w:r w:rsidR="00575D31" w:rsidRPr="00E15E92">
        <w:rPr>
          <w:rFonts w:eastAsia="MS Mincho" w:cs="Calibri"/>
          <w:bCs/>
          <w:color w:val="auto"/>
          <w:lang w:val="es-MX" w:eastAsia="en-US"/>
        </w:rPr>
        <w:t xml:space="preserve">países miembros de </w:t>
      </w:r>
      <w:r w:rsidR="00E11534" w:rsidRPr="00E15E92">
        <w:rPr>
          <w:rFonts w:eastAsia="MS Mincho" w:cs="Calibri"/>
          <w:bCs/>
          <w:color w:val="auto"/>
          <w:lang w:val="es-MX" w:eastAsia="en-US"/>
        </w:rPr>
        <w:t>la Unión Europ</w:t>
      </w:r>
      <w:r w:rsidR="00201B50" w:rsidRPr="00E15E92">
        <w:rPr>
          <w:rFonts w:eastAsia="MS Mincho" w:cs="Calibri"/>
          <w:bCs/>
          <w:color w:val="auto"/>
          <w:lang w:val="es-MX" w:eastAsia="en-US"/>
        </w:rPr>
        <w:t>ea</w:t>
      </w:r>
      <w:r w:rsidR="00B01AD7" w:rsidRPr="00E15E92">
        <w:rPr>
          <w:rFonts w:eastAsia="MS Mincho" w:cs="Calibri"/>
          <w:bCs/>
          <w:color w:val="auto"/>
          <w:lang w:val="es-MX" w:eastAsia="en-US"/>
        </w:rPr>
        <w:t>,</w:t>
      </w:r>
      <w:r w:rsidR="00575D31" w:rsidRPr="00E15E92">
        <w:rPr>
          <w:rFonts w:eastAsia="MS Mincho" w:cs="Calibri"/>
          <w:bCs/>
          <w:color w:val="auto"/>
          <w:lang w:val="es-MX" w:eastAsia="en-US"/>
        </w:rPr>
        <w:t xml:space="preserve"> dichas </w:t>
      </w:r>
      <w:r w:rsidR="008E3E38" w:rsidRPr="00E15E92">
        <w:rPr>
          <w:rFonts w:eastAsia="MS Mincho" w:cs="Calibri"/>
          <w:bCs/>
          <w:color w:val="auto"/>
          <w:lang w:val="es-MX" w:eastAsia="en-US"/>
        </w:rPr>
        <w:t>herramienta</w:t>
      </w:r>
      <w:r w:rsidR="00575D31" w:rsidRPr="00E15E92">
        <w:rPr>
          <w:rFonts w:eastAsia="MS Mincho" w:cs="Calibri"/>
          <w:bCs/>
          <w:color w:val="auto"/>
          <w:lang w:val="es-MX" w:eastAsia="en-US"/>
        </w:rPr>
        <w:t>s</w:t>
      </w:r>
      <w:r w:rsidR="008E3E38" w:rsidRPr="00E15E92">
        <w:rPr>
          <w:rFonts w:eastAsia="MS Mincho" w:cs="Calibri"/>
          <w:bCs/>
          <w:color w:val="auto"/>
          <w:lang w:val="es-MX" w:eastAsia="en-US"/>
        </w:rPr>
        <w:t xml:space="preserve"> </w:t>
      </w:r>
      <w:r w:rsidR="002A7464" w:rsidRPr="00E15E92">
        <w:rPr>
          <w:rFonts w:eastAsia="MS Mincho" w:cs="Calibri"/>
          <w:bCs/>
          <w:color w:val="auto"/>
          <w:lang w:val="es-MX" w:eastAsia="en-US"/>
        </w:rPr>
        <w:t>facilita</w:t>
      </w:r>
      <w:r w:rsidR="00575D31" w:rsidRPr="00E15E92">
        <w:rPr>
          <w:rFonts w:eastAsia="MS Mincho" w:cs="Calibri"/>
          <w:bCs/>
          <w:color w:val="auto"/>
          <w:lang w:val="es-MX" w:eastAsia="en-US"/>
        </w:rPr>
        <w:t>n</w:t>
      </w:r>
      <w:r w:rsidR="002A7464" w:rsidRPr="00E15E92">
        <w:rPr>
          <w:rFonts w:eastAsia="MS Mincho" w:cs="Calibri"/>
          <w:bCs/>
          <w:color w:val="auto"/>
          <w:lang w:val="es-MX" w:eastAsia="en-US"/>
        </w:rPr>
        <w:t xml:space="preserve"> la identificación de la infraestructura </w:t>
      </w:r>
      <w:r w:rsidR="00872B23" w:rsidRPr="00E15E92">
        <w:rPr>
          <w:rFonts w:eastAsia="MS Mincho" w:cs="Calibri"/>
          <w:bCs/>
          <w:color w:val="auto"/>
          <w:lang w:val="es-MX" w:eastAsia="en-US"/>
        </w:rPr>
        <w:t>disponible para</w:t>
      </w:r>
      <w:r w:rsidR="008E3E38" w:rsidRPr="00E15E92">
        <w:rPr>
          <w:rFonts w:eastAsia="MS Mincho" w:cs="Calibri"/>
          <w:bCs/>
          <w:color w:val="auto"/>
          <w:lang w:val="es-MX" w:eastAsia="en-US"/>
        </w:rPr>
        <w:t xml:space="preserve"> la</w:t>
      </w:r>
      <w:r w:rsidR="00FA7537" w:rsidRPr="00E15E92">
        <w:rPr>
          <w:rFonts w:eastAsia="MS Mincho" w:cs="Calibri"/>
          <w:bCs/>
          <w:color w:val="auto"/>
          <w:lang w:val="es-MX" w:eastAsia="en-US"/>
        </w:rPr>
        <w:t xml:space="preserve"> reducción de costos para la provisión de servicios de banda ancha</w:t>
      </w:r>
      <w:r w:rsidR="008E3E38" w:rsidRPr="00E15E92">
        <w:rPr>
          <w:rFonts w:eastAsia="MS Mincho" w:cs="Calibri"/>
          <w:bCs/>
          <w:vertAlign w:val="superscript"/>
          <w:lang w:val="es-MX" w:eastAsia="en-US"/>
        </w:rPr>
        <w:footnoteReference w:id="2"/>
      </w:r>
      <w:r w:rsidR="00C520E0" w:rsidRPr="00E15E92">
        <w:rPr>
          <w:rFonts w:eastAsia="MS Mincho" w:cs="Calibri"/>
          <w:bCs/>
          <w:color w:val="auto"/>
          <w:lang w:val="es-MX" w:eastAsia="en-US"/>
        </w:rPr>
        <w:t xml:space="preserve">. </w:t>
      </w:r>
      <w:r w:rsidR="00F90844" w:rsidRPr="00E15E92">
        <w:rPr>
          <w:rFonts w:eastAsia="MS Mincho" w:cs="Calibri"/>
          <w:bCs/>
          <w:color w:val="auto"/>
          <w:lang w:val="es-MX" w:eastAsia="en-US"/>
        </w:rPr>
        <w:t xml:space="preserve">En este sentido, </w:t>
      </w:r>
      <w:r w:rsidR="00D9102E" w:rsidRPr="00E15E92">
        <w:rPr>
          <w:rFonts w:eastAsia="MS Mincho" w:cs="Calibri"/>
          <w:bCs/>
          <w:color w:val="auto"/>
          <w:lang w:val="es-MX" w:eastAsia="en-US"/>
        </w:rPr>
        <w:t xml:space="preserve">el artículo 17 de </w:t>
      </w:r>
      <w:r w:rsidR="00F90844" w:rsidRPr="00E15E92">
        <w:rPr>
          <w:rFonts w:eastAsia="MS Mincho" w:cs="Calibri"/>
          <w:bCs/>
          <w:color w:val="auto"/>
          <w:lang w:val="es-MX" w:eastAsia="en-US"/>
        </w:rPr>
        <w:t xml:space="preserve">la </w:t>
      </w:r>
      <w:r w:rsidR="00C20B59" w:rsidRPr="00E15E92">
        <w:rPr>
          <w:rFonts w:eastAsia="MS Mincho" w:cs="Calibri"/>
          <w:bCs/>
          <w:color w:val="auto"/>
          <w:lang w:val="es-MX" w:eastAsia="en-US"/>
        </w:rPr>
        <w:t>“</w:t>
      </w:r>
      <w:r w:rsidR="00F90844" w:rsidRPr="00E15E92">
        <w:rPr>
          <w:rFonts w:eastAsia="MS Mincho" w:cs="Calibri"/>
          <w:bCs/>
          <w:i/>
          <w:color w:val="auto"/>
          <w:lang w:val="es-MX" w:eastAsia="en-US"/>
        </w:rPr>
        <w:t xml:space="preserve">Recomendación </w:t>
      </w:r>
      <w:r w:rsidR="00C20B59" w:rsidRPr="00E15E92">
        <w:rPr>
          <w:rFonts w:eastAsia="MS Mincho" w:cs="Calibri"/>
          <w:bCs/>
          <w:i/>
          <w:color w:val="auto"/>
          <w:lang w:val="es-MX" w:eastAsia="en-US"/>
        </w:rPr>
        <w:t>de la Comisión de 20 de septiembre de 2010 relativa al acceso regulado a las redes de acceso de nueva generación (NGA)</w:t>
      </w:r>
      <w:r w:rsidR="00C45655" w:rsidRPr="00E15E92">
        <w:rPr>
          <w:rFonts w:eastAsia="MS Mincho" w:cs="Calibri"/>
          <w:bCs/>
          <w:color w:val="auto"/>
          <w:lang w:val="es-MX" w:eastAsia="en-US"/>
        </w:rPr>
        <w:t xml:space="preserve"> </w:t>
      </w:r>
      <w:r w:rsidR="00C45655" w:rsidRPr="00E15E92">
        <w:rPr>
          <w:rFonts w:eastAsia="MS Mincho" w:cs="Calibri"/>
          <w:bCs/>
          <w:i/>
          <w:color w:val="auto"/>
          <w:lang w:val="es-MX" w:eastAsia="en-US"/>
        </w:rPr>
        <w:t>(210/572/UE)</w:t>
      </w:r>
      <w:r w:rsidR="00C20B59" w:rsidRPr="00E15E92">
        <w:rPr>
          <w:rFonts w:eastAsia="MS Mincho" w:cs="Calibri"/>
          <w:bCs/>
          <w:color w:val="auto"/>
          <w:lang w:val="es-MX" w:eastAsia="en-US"/>
        </w:rPr>
        <w:t xml:space="preserve">” </w:t>
      </w:r>
      <w:r w:rsidR="00D9102E" w:rsidRPr="00E15E92">
        <w:rPr>
          <w:rFonts w:eastAsia="MS Mincho" w:cs="Calibri"/>
          <w:bCs/>
          <w:color w:val="auto"/>
          <w:lang w:val="es-MX" w:eastAsia="en-US"/>
        </w:rPr>
        <w:t xml:space="preserve">de la Unión Europea </w:t>
      </w:r>
      <w:r w:rsidR="00F90844" w:rsidRPr="00E15E92">
        <w:rPr>
          <w:rFonts w:eastAsia="MS Mincho" w:cs="Calibri"/>
          <w:bCs/>
          <w:color w:val="auto"/>
          <w:lang w:val="es-MX" w:eastAsia="en-US"/>
        </w:rPr>
        <w:t>propone</w:t>
      </w:r>
      <w:r w:rsidR="00D9102E" w:rsidRPr="00E15E92">
        <w:rPr>
          <w:rFonts w:eastAsia="MS Mincho" w:cs="Calibri"/>
          <w:bCs/>
          <w:color w:val="auto"/>
          <w:lang w:val="es-MX" w:eastAsia="en-US"/>
        </w:rPr>
        <w:t xml:space="preserve"> </w:t>
      </w:r>
      <w:r w:rsidR="00575D31" w:rsidRPr="00E15E92">
        <w:rPr>
          <w:rFonts w:eastAsia="MS Mincho" w:cs="Calibri"/>
          <w:bCs/>
          <w:color w:val="auto"/>
          <w:lang w:val="es-MX" w:eastAsia="en-US"/>
        </w:rPr>
        <w:t xml:space="preserve">lo siguiente </w:t>
      </w:r>
      <w:r w:rsidR="00D9102E" w:rsidRPr="00E15E92">
        <w:rPr>
          <w:rFonts w:eastAsia="MS Mincho" w:cs="Calibri"/>
          <w:bCs/>
          <w:color w:val="auto"/>
          <w:lang w:val="es-MX" w:eastAsia="en-US"/>
        </w:rPr>
        <w:t>para incentivar el despliegue de redes de nueva generación (“NGA”, por sus siglas en inglés)</w:t>
      </w:r>
      <w:r w:rsidR="00F90844" w:rsidRPr="00E15E92">
        <w:rPr>
          <w:rFonts w:eastAsia="MS Mincho" w:cs="Calibri"/>
          <w:bCs/>
          <w:color w:val="auto"/>
          <w:lang w:val="es-MX" w:eastAsia="en-US"/>
        </w:rPr>
        <w:t>:</w:t>
      </w:r>
    </w:p>
    <w:p w14:paraId="5E494F03" w14:textId="77777777" w:rsidR="00F90844" w:rsidRPr="00E15E92" w:rsidRDefault="00F90844" w:rsidP="00F90844">
      <w:pPr>
        <w:pStyle w:val="Default"/>
        <w:spacing w:before="240" w:after="160" w:line="276" w:lineRule="auto"/>
        <w:ind w:left="709" w:right="758"/>
        <w:jc w:val="both"/>
        <w:rPr>
          <w:rFonts w:ascii="ITC Avant Garde" w:hAnsi="ITC Avant Garde" w:cstheme="minorBidi"/>
          <w:i/>
          <w:color w:val="auto"/>
          <w:sz w:val="18"/>
          <w:szCs w:val="18"/>
        </w:rPr>
      </w:pPr>
      <w:r w:rsidRPr="00E15E92">
        <w:rPr>
          <w:rFonts w:ascii="ITC Avant Garde" w:hAnsi="ITC Avant Garde" w:cstheme="minorBidi"/>
          <w:i/>
          <w:color w:val="auto"/>
          <w:sz w:val="18"/>
          <w:szCs w:val="18"/>
        </w:rPr>
        <w:t xml:space="preserve">“Las ANR deberían colaborar con las demás autoridades con vistas a crear una </w:t>
      </w:r>
      <w:r w:rsidRPr="00E15E92">
        <w:rPr>
          <w:rFonts w:ascii="ITC Avant Garde" w:hAnsi="ITC Avant Garde" w:cstheme="minorBidi"/>
          <w:b/>
          <w:i/>
          <w:color w:val="auto"/>
          <w:sz w:val="18"/>
          <w:szCs w:val="18"/>
          <w:u w:val="single"/>
        </w:rPr>
        <w:t>base de datos que contenga información sobre la localización geográfica, la capacidad disponible y otras características físicas de toda la infraestructura de obra civil</w:t>
      </w:r>
      <w:r w:rsidRPr="00E15E92">
        <w:rPr>
          <w:rFonts w:ascii="ITC Avant Garde" w:hAnsi="ITC Avant Garde" w:cstheme="minorBidi"/>
          <w:i/>
          <w:color w:val="auto"/>
          <w:sz w:val="18"/>
          <w:szCs w:val="18"/>
        </w:rPr>
        <w:t xml:space="preserve"> que pudiera utilizarse para el despliegue de las redes de fibra óptica en un mercado o segmento del mercado dados. </w:t>
      </w:r>
      <w:r w:rsidRPr="00E15E92">
        <w:rPr>
          <w:rFonts w:ascii="ITC Avant Garde" w:hAnsi="ITC Avant Garde" w:cstheme="minorBidi"/>
          <w:b/>
          <w:i/>
          <w:color w:val="auto"/>
          <w:sz w:val="18"/>
          <w:szCs w:val="18"/>
          <w:u w:val="single"/>
        </w:rPr>
        <w:t>Dicha base de datos debería ser accesible para todos los operadores</w:t>
      </w:r>
      <w:r w:rsidRPr="00E15E92">
        <w:rPr>
          <w:rFonts w:ascii="ITC Avant Garde" w:hAnsi="ITC Avant Garde" w:cstheme="minorBidi"/>
          <w:i/>
          <w:color w:val="auto"/>
          <w:sz w:val="18"/>
          <w:szCs w:val="18"/>
        </w:rPr>
        <w:t>.”</w:t>
      </w:r>
      <w:r w:rsidR="00D9102E" w:rsidRPr="00E15E92">
        <w:rPr>
          <w:rStyle w:val="Refdenotaalpie"/>
          <w:rFonts w:ascii="ITC Avant Garde" w:hAnsi="ITC Avant Garde" w:cstheme="minorBidi"/>
          <w:i/>
          <w:color w:val="auto"/>
          <w:sz w:val="18"/>
          <w:szCs w:val="18"/>
        </w:rPr>
        <w:footnoteReference w:id="3"/>
      </w:r>
    </w:p>
    <w:p w14:paraId="3D6902B4" w14:textId="77777777" w:rsidR="00D9102E" w:rsidRPr="00E15E92" w:rsidRDefault="00D9102E" w:rsidP="00D9102E">
      <w:pPr>
        <w:pStyle w:val="Default"/>
        <w:spacing w:before="240" w:after="160" w:line="276" w:lineRule="auto"/>
        <w:ind w:left="709" w:right="758"/>
        <w:jc w:val="right"/>
        <w:rPr>
          <w:rFonts w:ascii="ITC Avant Garde" w:hAnsi="ITC Avant Garde" w:cstheme="minorBidi"/>
          <w:color w:val="auto"/>
          <w:sz w:val="18"/>
          <w:szCs w:val="18"/>
        </w:rPr>
      </w:pPr>
      <w:r w:rsidRPr="00E15E92">
        <w:rPr>
          <w:rFonts w:ascii="ITC Avant Garde" w:hAnsi="ITC Avant Garde" w:cstheme="minorBidi"/>
          <w:color w:val="auto"/>
          <w:sz w:val="18"/>
          <w:szCs w:val="18"/>
        </w:rPr>
        <w:t>[Énfasis añadido]</w:t>
      </w:r>
    </w:p>
    <w:p w14:paraId="00997A5A" w14:textId="77777777" w:rsidR="00F90844" w:rsidRPr="00E15E92" w:rsidRDefault="00D9102E" w:rsidP="007E78BD">
      <w:pPr>
        <w:pStyle w:val="IFTnormal"/>
        <w:rPr>
          <w:rFonts w:eastAsia="MS Mincho" w:cs="Calibri"/>
          <w:bCs/>
          <w:color w:val="auto"/>
          <w:lang w:val="es-MX" w:eastAsia="en-US"/>
        </w:rPr>
      </w:pPr>
      <w:r w:rsidRPr="00E15E92">
        <w:rPr>
          <w:rFonts w:eastAsia="MS Mincho" w:cs="Calibri"/>
          <w:bCs/>
          <w:color w:val="auto"/>
          <w:lang w:val="es-MX" w:eastAsia="en-US"/>
        </w:rPr>
        <w:t>De lo antes citado, se desprende como una buena práctica que las autoridades nacionales de regulación (</w:t>
      </w:r>
      <w:r w:rsidR="00575D31" w:rsidRPr="00E15E92">
        <w:rPr>
          <w:rFonts w:eastAsia="MS Mincho" w:cs="Calibri"/>
          <w:bCs/>
          <w:color w:val="auto"/>
          <w:lang w:val="es-MX" w:eastAsia="en-US"/>
        </w:rPr>
        <w:t xml:space="preserve">en lo sucesivo, </w:t>
      </w:r>
      <w:r w:rsidRPr="00E15E92">
        <w:rPr>
          <w:rFonts w:eastAsia="MS Mincho" w:cs="Calibri"/>
          <w:bCs/>
          <w:color w:val="auto"/>
          <w:lang w:val="es-MX" w:eastAsia="en-US"/>
        </w:rPr>
        <w:t>“ANR”)</w:t>
      </w:r>
      <w:r w:rsidR="000455D5" w:rsidRPr="00E15E92">
        <w:rPr>
          <w:rFonts w:eastAsia="MS Mincho" w:cs="Calibri"/>
          <w:bCs/>
          <w:color w:val="auto"/>
          <w:lang w:val="es-MX" w:eastAsia="en-US"/>
        </w:rPr>
        <w:t>,</w:t>
      </w:r>
      <w:r w:rsidRPr="00E15E92">
        <w:rPr>
          <w:rFonts w:eastAsia="MS Mincho" w:cs="Calibri"/>
          <w:bCs/>
          <w:color w:val="auto"/>
          <w:lang w:val="es-MX" w:eastAsia="en-US"/>
        </w:rPr>
        <w:t xml:space="preserve"> cuenten con bases de datos que contengan la localización geográfica y capacidad disponible de la infraestructura para desplegar redes NGA. </w:t>
      </w:r>
    </w:p>
    <w:p w14:paraId="1AF782B3" w14:textId="43FCCA45" w:rsidR="00E27980" w:rsidRPr="00E15E92" w:rsidRDefault="00E27980" w:rsidP="007E78BD">
      <w:pPr>
        <w:pStyle w:val="IFTnormal"/>
        <w:rPr>
          <w:rFonts w:eastAsia="MS Mincho" w:cs="Calibri"/>
          <w:bCs/>
          <w:color w:val="auto"/>
          <w:lang w:val="es-MX" w:eastAsia="en-US"/>
        </w:rPr>
      </w:pPr>
      <w:r w:rsidRPr="00E15E92">
        <w:rPr>
          <w:rFonts w:eastAsia="MS Mincho" w:cs="Calibri"/>
          <w:bCs/>
          <w:color w:val="auto"/>
          <w:lang w:val="es-MX" w:eastAsia="en-US"/>
        </w:rPr>
        <w:t xml:space="preserve">En complemento a lo anterior, la </w:t>
      </w:r>
      <w:r w:rsidR="0092310B" w:rsidRPr="00E15E92">
        <w:rPr>
          <w:rFonts w:eastAsia="MS Mincho" w:cs="Calibri"/>
          <w:bCs/>
          <w:color w:val="auto"/>
          <w:lang w:val="es-MX" w:eastAsia="en-US"/>
        </w:rPr>
        <w:t>“</w:t>
      </w:r>
      <w:r w:rsidR="00C20B59" w:rsidRPr="00E15E92">
        <w:rPr>
          <w:rFonts w:eastAsia="MS Mincho" w:cs="Calibri"/>
          <w:bCs/>
          <w:i/>
          <w:color w:val="auto"/>
          <w:lang w:val="es-MX" w:eastAsia="en-US"/>
        </w:rPr>
        <w:t>D</w:t>
      </w:r>
      <w:r w:rsidRPr="00E15E92">
        <w:rPr>
          <w:rFonts w:eastAsia="MS Mincho" w:cs="Calibri"/>
          <w:bCs/>
          <w:i/>
          <w:color w:val="auto"/>
          <w:lang w:val="es-MX" w:eastAsia="en-US"/>
        </w:rPr>
        <w:t>irectiva 2014/61/UE</w:t>
      </w:r>
      <w:r w:rsidR="00C20B59" w:rsidRPr="00E15E92">
        <w:rPr>
          <w:rFonts w:eastAsia="MS Mincho" w:cs="Calibri"/>
          <w:bCs/>
          <w:i/>
          <w:color w:val="auto"/>
          <w:lang w:val="es-MX" w:eastAsia="en-US"/>
        </w:rPr>
        <w:t xml:space="preserve"> del Parlamento Europeo y del Consejo de 15 de mayo de 2014 relativa a</w:t>
      </w:r>
      <w:r w:rsidRPr="00E15E92">
        <w:rPr>
          <w:rFonts w:eastAsia="MS Mincho" w:cs="Calibri"/>
          <w:bCs/>
          <w:i/>
          <w:color w:val="auto"/>
          <w:lang w:val="es-MX" w:eastAsia="en-US"/>
        </w:rPr>
        <w:t xml:space="preserve"> medidas para reducir el costo de despliegue de las redes electrónicas de alta velocidad</w:t>
      </w:r>
      <w:r w:rsidR="00C20B59" w:rsidRPr="00E15E92">
        <w:rPr>
          <w:rFonts w:eastAsia="MS Mincho" w:cs="Calibri"/>
          <w:bCs/>
          <w:color w:val="auto"/>
          <w:lang w:val="es-MX" w:eastAsia="en-US"/>
        </w:rPr>
        <w:t>”</w:t>
      </w:r>
      <w:r w:rsidR="0092310B" w:rsidRPr="00E15E92">
        <w:rPr>
          <w:rFonts w:eastAsia="MS Mincho" w:cs="Calibri"/>
          <w:bCs/>
          <w:color w:val="auto"/>
          <w:lang w:val="es-MX" w:eastAsia="en-US"/>
        </w:rPr>
        <w:t xml:space="preserve"> (en los sucesivo, “Directiva para el despliegue de las redes de alta velocidad”)</w:t>
      </w:r>
      <w:r w:rsidRPr="00E15E92">
        <w:rPr>
          <w:rFonts w:eastAsia="MS Mincho" w:cs="Calibri"/>
          <w:bCs/>
          <w:color w:val="auto"/>
          <w:lang w:val="es-MX" w:eastAsia="en-US"/>
        </w:rPr>
        <w:t>, describe en su</w:t>
      </w:r>
      <w:r w:rsidR="003322FA" w:rsidRPr="00E15E92">
        <w:rPr>
          <w:rFonts w:eastAsia="MS Mincho" w:cs="Calibri"/>
          <w:bCs/>
          <w:color w:val="auto"/>
          <w:lang w:val="es-MX" w:eastAsia="en-US"/>
        </w:rPr>
        <w:t>s</w:t>
      </w:r>
      <w:r w:rsidRPr="00E15E92">
        <w:rPr>
          <w:rFonts w:eastAsia="MS Mincho" w:cs="Calibri"/>
          <w:bCs/>
          <w:color w:val="auto"/>
          <w:lang w:val="es-MX" w:eastAsia="en-US"/>
        </w:rPr>
        <w:t xml:space="preserve"> artículo</w:t>
      </w:r>
      <w:r w:rsidR="003322FA" w:rsidRPr="00E15E92">
        <w:rPr>
          <w:rFonts w:eastAsia="MS Mincho" w:cs="Calibri"/>
          <w:bCs/>
          <w:color w:val="auto"/>
          <w:lang w:val="es-MX" w:eastAsia="en-US"/>
        </w:rPr>
        <w:t>s</w:t>
      </w:r>
      <w:r w:rsidRPr="00E15E92">
        <w:rPr>
          <w:rFonts w:eastAsia="MS Mincho" w:cs="Calibri"/>
          <w:bCs/>
          <w:color w:val="auto"/>
          <w:lang w:val="es-MX" w:eastAsia="en-US"/>
        </w:rPr>
        <w:t xml:space="preserve"> 4 y 6 los mecanismos de solicitud </w:t>
      </w:r>
      <w:r w:rsidR="00FC5F21" w:rsidRPr="00E15E92">
        <w:rPr>
          <w:rFonts w:eastAsia="MS Mincho" w:cs="Calibri"/>
          <w:bCs/>
          <w:color w:val="auto"/>
          <w:lang w:val="es-MX" w:eastAsia="en-US"/>
        </w:rPr>
        <w:t>que los interesados deben acreditar para tener acceso a la infraestructura física</w:t>
      </w:r>
      <w:r w:rsidR="003322FA" w:rsidRPr="00E15E92">
        <w:rPr>
          <w:rFonts w:eastAsia="MS Mincho" w:cs="Calibri"/>
          <w:bCs/>
          <w:color w:val="auto"/>
          <w:lang w:val="es-MX" w:eastAsia="en-US"/>
        </w:rPr>
        <w:t>, a través de un “punto de información único”</w:t>
      </w:r>
      <w:r w:rsidR="001F7587" w:rsidRPr="00E15E92">
        <w:rPr>
          <w:rFonts w:eastAsia="MS Mincho" w:cs="Calibri"/>
          <w:bCs/>
          <w:color w:val="auto"/>
          <w:lang w:val="es-MX" w:eastAsia="en-US"/>
        </w:rPr>
        <w:t xml:space="preserve"> mediante la acreditación de su objeto como desarrolladores de proyectos de infraestructura</w:t>
      </w:r>
      <w:r w:rsidR="003322FA" w:rsidRPr="00E15E92">
        <w:rPr>
          <w:rFonts w:eastAsia="MS Mincho" w:cs="Calibri"/>
          <w:bCs/>
          <w:vertAlign w:val="superscript"/>
          <w:lang w:val="es-MX" w:eastAsia="en-US"/>
        </w:rPr>
        <w:footnoteReference w:id="4"/>
      </w:r>
      <w:r w:rsidR="003322FA" w:rsidRPr="00E15E92">
        <w:rPr>
          <w:rFonts w:eastAsia="MS Mincho" w:cs="Calibri"/>
          <w:bCs/>
          <w:color w:val="auto"/>
          <w:lang w:val="es-MX" w:eastAsia="en-US"/>
        </w:rPr>
        <w:t xml:space="preserve">. </w:t>
      </w:r>
      <w:r w:rsidR="00FC5F21" w:rsidRPr="00E15E92">
        <w:rPr>
          <w:rFonts w:eastAsia="MS Mincho" w:cs="Calibri"/>
          <w:bCs/>
          <w:color w:val="auto"/>
          <w:lang w:val="es-MX" w:eastAsia="en-US"/>
        </w:rPr>
        <w:t xml:space="preserve"> </w:t>
      </w:r>
    </w:p>
    <w:p w14:paraId="0B028A85" w14:textId="4CD15ED6" w:rsidR="00491430" w:rsidRPr="00E15E92" w:rsidRDefault="00752B41" w:rsidP="007E78BD">
      <w:pPr>
        <w:pStyle w:val="IFTnormal"/>
        <w:rPr>
          <w:rFonts w:eastAsia="MS Mincho" w:cs="Calibri"/>
          <w:bCs/>
          <w:color w:val="auto"/>
          <w:lang w:val="es-MX" w:eastAsia="en-US"/>
        </w:rPr>
      </w:pPr>
      <w:r w:rsidRPr="00E15E92">
        <w:rPr>
          <w:rFonts w:eastAsia="MS Mincho" w:cs="Calibri"/>
          <w:bCs/>
          <w:color w:val="auto"/>
          <w:lang w:val="es-MX" w:eastAsia="en-US"/>
        </w:rPr>
        <w:t xml:space="preserve">En </w:t>
      </w:r>
      <w:r w:rsidR="00575D31" w:rsidRPr="00E15E92">
        <w:rPr>
          <w:rFonts w:eastAsia="MS Mincho" w:cs="Calibri"/>
          <w:bCs/>
          <w:color w:val="auto"/>
          <w:lang w:val="es-MX" w:eastAsia="en-US"/>
        </w:rPr>
        <w:t xml:space="preserve">atención a </w:t>
      </w:r>
      <w:r w:rsidRPr="00E15E92">
        <w:rPr>
          <w:rFonts w:eastAsia="MS Mincho" w:cs="Calibri"/>
          <w:bCs/>
          <w:color w:val="auto"/>
          <w:lang w:val="es-MX" w:eastAsia="en-US"/>
        </w:rPr>
        <w:t xml:space="preserve">las </w:t>
      </w:r>
      <w:r w:rsidR="00C20B59" w:rsidRPr="00E15E92">
        <w:rPr>
          <w:rFonts w:eastAsia="MS Mincho" w:cs="Calibri"/>
          <w:bCs/>
          <w:color w:val="auto"/>
          <w:lang w:val="es-MX" w:eastAsia="en-US"/>
        </w:rPr>
        <w:t xml:space="preserve">disposiciones </w:t>
      </w:r>
      <w:r w:rsidRPr="00E15E92">
        <w:rPr>
          <w:rFonts w:eastAsia="MS Mincho" w:cs="Calibri"/>
          <w:bCs/>
          <w:color w:val="auto"/>
          <w:lang w:val="es-MX" w:eastAsia="en-US"/>
        </w:rPr>
        <w:t>antes señaladas algunos países europeos han implementado tales recomendaciones, poniendo en operación sistemas de bases de datos con inf</w:t>
      </w:r>
      <w:r w:rsidR="00AE7B96" w:rsidRPr="00E15E92">
        <w:rPr>
          <w:rFonts w:eastAsia="MS Mincho" w:cs="Calibri"/>
          <w:bCs/>
          <w:color w:val="auto"/>
          <w:lang w:val="es-MX" w:eastAsia="en-US"/>
        </w:rPr>
        <w:t>ormación de infraestructura geo-</w:t>
      </w:r>
      <w:r w:rsidRPr="00E15E92">
        <w:rPr>
          <w:rFonts w:eastAsia="MS Mincho" w:cs="Calibri"/>
          <w:bCs/>
          <w:color w:val="auto"/>
          <w:lang w:val="es-MX" w:eastAsia="en-US"/>
        </w:rPr>
        <w:t>referenciada o “puntos de acceso único”</w:t>
      </w:r>
      <w:r w:rsidR="00575D31" w:rsidRPr="00E15E92">
        <w:rPr>
          <w:rFonts w:eastAsia="MS Mincho" w:cs="Calibri"/>
          <w:bCs/>
          <w:color w:val="auto"/>
          <w:lang w:val="es-MX" w:eastAsia="en-US"/>
        </w:rPr>
        <w:t>, cada uno de ellos</w:t>
      </w:r>
      <w:r w:rsidR="000455D5" w:rsidRPr="00E15E92">
        <w:rPr>
          <w:rFonts w:eastAsia="MS Mincho" w:cs="Calibri"/>
          <w:bCs/>
          <w:color w:val="auto"/>
          <w:lang w:val="es-MX" w:eastAsia="en-US"/>
        </w:rPr>
        <w:t>,</w:t>
      </w:r>
      <w:r w:rsidR="00575D31" w:rsidRPr="00E15E92">
        <w:rPr>
          <w:rFonts w:eastAsia="MS Mincho" w:cs="Calibri"/>
          <w:bCs/>
          <w:color w:val="auto"/>
          <w:lang w:val="es-MX" w:eastAsia="en-US"/>
        </w:rPr>
        <w:t xml:space="preserve"> con características y alcances particulares</w:t>
      </w:r>
      <w:r w:rsidR="00491430" w:rsidRPr="00E15E92">
        <w:rPr>
          <w:rFonts w:eastAsia="MS Mincho" w:cs="Calibri"/>
          <w:bCs/>
          <w:color w:val="auto"/>
          <w:lang w:val="es-MX" w:eastAsia="en-US"/>
        </w:rPr>
        <w:t>.</w:t>
      </w:r>
    </w:p>
    <w:p w14:paraId="76C03057" w14:textId="1217056B" w:rsidR="00C24578" w:rsidRPr="00E15E92" w:rsidRDefault="00491430" w:rsidP="006C755B">
      <w:pPr>
        <w:pStyle w:val="IFTnormal"/>
      </w:pPr>
      <w:r w:rsidRPr="00E15E92">
        <w:t xml:space="preserve">No obstante que </w:t>
      </w:r>
      <w:r w:rsidR="00CF16F6" w:rsidRPr="00E15E92">
        <w:t>l</w:t>
      </w:r>
      <w:r w:rsidRPr="00E15E92">
        <w:t xml:space="preserve">a información </w:t>
      </w:r>
      <w:r w:rsidR="00CF16F6" w:rsidRPr="00E15E92">
        <w:t xml:space="preserve">específica sobre experiencia internacional </w:t>
      </w:r>
      <w:r w:rsidRPr="00E15E92">
        <w:t xml:space="preserve">fue </w:t>
      </w:r>
      <w:r w:rsidR="00CF16F6" w:rsidRPr="00E15E92">
        <w:t xml:space="preserve">puesta a disposición </w:t>
      </w:r>
      <w:r w:rsidRPr="00E15E92">
        <w:t>por el Instituto a través del A</w:t>
      </w:r>
      <w:r w:rsidR="00903D32" w:rsidRPr="00E15E92">
        <w:t xml:space="preserve">nálisis de </w:t>
      </w:r>
      <w:r w:rsidRPr="00E15E92">
        <w:t>I</w:t>
      </w:r>
      <w:r w:rsidR="00903D32" w:rsidRPr="00E15E92">
        <w:t xml:space="preserve">mpacto </w:t>
      </w:r>
      <w:r w:rsidRPr="00E15E92">
        <w:t>R</w:t>
      </w:r>
      <w:r w:rsidR="00903D32" w:rsidRPr="00E15E92">
        <w:t>egulatorio (en lo sucesivo, “AIR”)</w:t>
      </w:r>
      <w:r w:rsidRPr="00E15E92">
        <w:t xml:space="preserve"> el cual fue parte integral de la consulta pública del presente proyecto, realizada del 24 de octubre al 5 de diciembre de 2018</w:t>
      </w:r>
      <w:r w:rsidR="00903D32" w:rsidRPr="00E15E92">
        <w:t>,</w:t>
      </w:r>
      <w:r w:rsidR="001C1549" w:rsidRPr="00E15E92">
        <w:t xml:space="preserve"> </w:t>
      </w:r>
      <w:r w:rsidR="00903D32" w:rsidRPr="00E15E92">
        <w:t>d</w:t>
      </w:r>
      <w:r w:rsidR="00C24578" w:rsidRPr="00E15E92">
        <w:t>e manera particular hay elementos específicos a cada caso que se considera relevante mencionar con el fin de contextualizar el alcance que se pretende con el SNII a partir de lo señalado en la LFTR:</w:t>
      </w:r>
    </w:p>
    <w:p w14:paraId="460B6E1E" w14:textId="0E812162" w:rsidR="00C24578" w:rsidRPr="00E15E92" w:rsidRDefault="001B5475" w:rsidP="00EE6D2F">
      <w:pPr>
        <w:pStyle w:val="IFTnormal"/>
        <w:numPr>
          <w:ilvl w:val="0"/>
          <w:numId w:val="11"/>
        </w:numPr>
        <w:tabs>
          <w:tab w:val="left" w:pos="5739"/>
        </w:tabs>
      </w:pPr>
      <w:r w:rsidRPr="00E15E92">
        <w:t>En el caso de Portugal</w:t>
      </w:r>
      <w:r w:rsidR="00903D32" w:rsidRPr="00E15E92">
        <w:t>,</w:t>
      </w:r>
      <w:r w:rsidRPr="00E15E92">
        <w:t xml:space="preserve"> los registros geo-referenciados contienen información amplia e integrada de toda infraestructura susceptible de usarse para el despliegue de redes de telecomunicaciones, la cual debe ser actualizada permanentemente, con excepción de la información de ductos, la cual se actualiza cuando hay nuevas inspecciones sobre la infraestructura. Si bien incluye capacidad disponible, la entrega de esta información es opcional.</w:t>
      </w:r>
      <w:r w:rsidR="0051180D" w:rsidRPr="00E15E92">
        <w:rPr>
          <w:rStyle w:val="Refdenotaalpie"/>
        </w:rPr>
        <w:footnoteReference w:id="5"/>
      </w:r>
    </w:p>
    <w:p w14:paraId="3F8C601F" w14:textId="3064AF7F" w:rsidR="001B5475" w:rsidRPr="00E15E92" w:rsidRDefault="001B5475" w:rsidP="00EE6D2F">
      <w:pPr>
        <w:pStyle w:val="IFTnormal"/>
        <w:numPr>
          <w:ilvl w:val="0"/>
          <w:numId w:val="11"/>
        </w:numPr>
        <w:tabs>
          <w:tab w:val="left" w:pos="5739"/>
        </w:tabs>
      </w:pPr>
      <w:r w:rsidRPr="00E15E92">
        <w:t>En Alemania</w:t>
      </w:r>
      <w:r w:rsidR="00903D32" w:rsidRPr="00E15E92">
        <w:t>,</w:t>
      </w:r>
      <w:r w:rsidRPr="00E15E92">
        <w:t xml:space="preserve"> los operadores de redes de banda ancha están obligados a proporcionar información sobre su infraestructura pasiva, incluyendo fibra oscura. También considera infraestructura de telecomunicaciones fija (redes de transporte y de acceso, nodos como MDF y gabinetes</w:t>
      </w:r>
      <w:r w:rsidR="00844C36" w:rsidRPr="00E15E92">
        <w:t>), móvil (sitios, enlaces, backhaul) y otra infraestructura (electricidad, gas y drenaje).</w:t>
      </w:r>
      <w:r w:rsidR="0051180D" w:rsidRPr="00E15E92">
        <w:rPr>
          <w:rStyle w:val="Refdenotaalpie"/>
        </w:rPr>
        <w:footnoteReference w:id="6"/>
      </w:r>
    </w:p>
    <w:p w14:paraId="07505C55" w14:textId="5D19C97C" w:rsidR="00844C36" w:rsidRPr="00E15E92" w:rsidRDefault="00844C36" w:rsidP="00EE6D2F">
      <w:pPr>
        <w:pStyle w:val="IFTnormal"/>
        <w:numPr>
          <w:ilvl w:val="0"/>
          <w:numId w:val="11"/>
        </w:numPr>
        <w:tabs>
          <w:tab w:val="left" w:pos="5739"/>
        </w:tabs>
      </w:pPr>
      <w:r w:rsidRPr="00E15E92">
        <w:t>En Suecia</w:t>
      </w:r>
      <w:r w:rsidR="00903D32" w:rsidRPr="00E15E92">
        <w:t>,</w:t>
      </w:r>
      <w:r w:rsidRPr="00E15E92">
        <w:t xml:space="preserve"> el sistema de información tiene como objetivo reducir la obra civil y proporcionar oportunidades para la coordinación en la misma, por lo que se utiliza para intercambiar información sobre infraestructura existente y publicar nuevos proyectos de obra civil.</w:t>
      </w:r>
      <w:r w:rsidR="0051180D" w:rsidRPr="00E15E92">
        <w:rPr>
          <w:rStyle w:val="Refdenotaalpie"/>
        </w:rPr>
        <w:footnoteReference w:id="7"/>
      </w:r>
    </w:p>
    <w:p w14:paraId="30F2DEE7" w14:textId="1F2B0ACA" w:rsidR="00844C36" w:rsidRPr="00E15E92" w:rsidRDefault="00491430" w:rsidP="00491430">
      <w:pPr>
        <w:pStyle w:val="IFTnormal"/>
        <w:tabs>
          <w:tab w:val="left" w:pos="5739"/>
        </w:tabs>
      </w:pPr>
      <w:r w:rsidRPr="00E15E92">
        <w:t>Asimismo, en el AIR se da cuenta de que e</w:t>
      </w:r>
      <w:r w:rsidR="00844C36" w:rsidRPr="00E15E92">
        <w:t xml:space="preserve">n Brasil </w:t>
      </w:r>
      <w:r w:rsidRPr="00E15E92">
        <w:t xml:space="preserve">se ha implementado un sistema de </w:t>
      </w:r>
      <w:r w:rsidR="00844C36" w:rsidRPr="00E15E92">
        <w:t xml:space="preserve">información geo-referenciada </w:t>
      </w:r>
      <w:r w:rsidR="00903D32" w:rsidRPr="00E15E92">
        <w:t xml:space="preserve">el </w:t>
      </w:r>
      <w:r w:rsidRPr="00E15E92">
        <w:t>cual considera</w:t>
      </w:r>
      <w:r w:rsidR="00ED3DCE" w:rsidRPr="00E15E92">
        <w:t xml:space="preserve"> información técnica de la infraestructura disponible para compartición, incluyendo los criterios usados para la determinación del precio y términos aplicables.</w:t>
      </w:r>
    </w:p>
    <w:p w14:paraId="345D3373" w14:textId="196143BC" w:rsidR="001F7587" w:rsidRPr="00E15E92" w:rsidRDefault="00947EF1" w:rsidP="009851BD">
      <w:pPr>
        <w:pStyle w:val="IFTnormal"/>
        <w:tabs>
          <w:tab w:val="left" w:pos="5739"/>
        </w:tabs>
        <w:rPr>
          <w:rFonts w:eastAsia="MS Mincho" w:cs="Calibri"/>
          <w:bCs/>
          <w:color w:val="auto"/>
        </w:rPr>
      </w:pPr>
      <w:r w:rsidRPr="00E15E92">
        <w:rPr>
          <w:rFonts w:cstheme="minorBidi"/>
          <w:color w:val="auto"/>
          <w:sz w:val="16"/>
          <w:szCs w:val="16"/>
        </w:rPr>
        <w:t xml:space="preserve"> </w:t>
      </w:r>
      <w:r w:rsidR="00FF5754" w:rsidRPr="00E15E92">
        <w:rPr>
          <w:rFonts w:eastAsia="MS Mincho" w:cs="Calibri"/>
          <w:bCs/>
          <w:color w:val="auto"/>
        </w:rPr>
        <w:t>Por todo lo anterior, l</w:t>
      </w:r>
      <w:r w:rsidR="001F7587" w:rsidRPr="00E15E92">
        <w:rPr>
          <w:rFonts w:eastAsia="MS Mincho" w:cs="Calibri"/>
          <w:bCs/>
          <w:color w:val="auto"/>
        </w:rPr>
        <w:t xml:space="preserve">os esquemas antes referidos dan evidencia plena </w:t>
      </w:r>
      <w:r w:rsidR="008770B2" w:rsidRPr="00E15E92">
        <w:rPr>
          <w:rFonts w:eastAsia="MS Mincho" w:cs="Calibri"/>
          <w:bCs/>
          <w:color w:val="auto"/>
        </w:rPr>
        <w:t xml:space="preserve">a nivel internacional </w:t>
      </w:r>
      <w:r w:rsidR="001F7587" w:rsidRPr="00E15E92">
        <w:rPr>
          <w:rFonts w:eastAsia="MS Mincho" w:cs="Calibri"/>
          <w:bCs/>
          <w:color w:val="auto"/>
        </w:rPr>
        <w:t>de la existencia de bas</w:t>
      </w:r>
      <w:r w:rsidR="00AE7B96" w:rsidRPr="00E15E92">
        <w:rPr>
          <w:rFonts w:eastAsia="MS Mincho" w:cs="Calibri"/>
          <w:bCs/>
          <w:color w:val="auto"/>
        </w:rPr>
        <w:t>es de datos con información geo-</w:t>
      </w:r>
      <w:r w:rsidR="001F7587" w:rsidRPr="00E15E92">
        <w:rPr>
          <w:rFonts w:eastAsia="MS Mincho" w:cs="Calibri"/>
          <w:bCs/>
          <w:color w:val="auto"/>
        </w:rPr>
        <w:t>referenciada</w:t>
      </w:r>
      <w:r w:rsidR="008770B2" w:rsidRPr="00E15E92">
        <w:rPr>
          <w:rFonts w:eastAsia="MS Mincho" w:cs="Calibri"/>
          <w:bCs/>
          <w:color w:val="auto"/>
        </w:rPr>
        <w:t>, c</w:t>
      </w:r>
      <w:r w:rsidR="001F7587" w:rsidRPr="00E15E92">
        <w:rPr>
          <w:rFonts w:eastAsia="MS Mincho" w:cs="Calibri"/>
          <w:bCs/>
          <w:color w:val="auto"/>
        </w:rPr>
        <w:t>uy</w:t>
      </w:r>
      <w:r w:rsidR="008770B2" w:rsidRPr="00E15E92">
        <w:rPr>
          <w:rFonts w:eastAsia="MS Mincho" w:cs="Calibri"/>
          <w:bCs/>
          <w:color w:val="auto"/>
        </w:rPr>
        <w:t xml:space="preserve">o </w:t>
      </w:r>
      <w:r w:rsidR="001F7587" w:rsidRPr="00E15E92">
        <w:rPr>
          <w:rFonts w:eastAsia="MS Mincho" w:cs="Calibri"/>
          <w:bCs/>
          <w:color w:val="auto"/>
        </w:rPr>
        <w:t xml:space="preserve">principal </w:t>
      </w:r>
      <w:r w:rsidR="008770B2" w:rsidRPr="00E15E92">
        <w:rPr>
          <w:rFonts w:eastAsia="MS Mincho" w:cs="Calibri"/>
          <w:bCs/>
          <w:color w:val="auto"/>
        </w:rPr>
        <w:t xml:space="preserve">objetivo </w:t>
      </w:r>
      <w:r w:rsidR="001F7587" w:rsidRPr="00E15E92">
        <w:rPr>
          <w:rFonts w:eastAsia="MS Mincho" w:cs="Calibri"/>
          <w:bCs/>
          <w:color w:val="auto"/>
        </w:rPr>
        <w:t>es facilitar el despliegue de redes de comunicaciones, a través de</w:t>
      </w:r>
      <w:r w:rsidR="008770B2" w:rsidRPr="00E15E92">
        <w:rPr>
          <w:rFonts w:eastAsia="MS Mincho" w:cs="Calibri"/>
          <w:bCs/>
          <w:color w:val="auto"/>
        </w:rPr>
        <w:t xml:space="preserve"> </w:t>
      </w:r>
      <w:r w:rsidR="001F7587" w:rsidRPr="00E15E92">
        <w:rPr>
          <w:rFonts w:eastAsia="MS Mincho" w:cs="Calibri"/>
          <w:bCs/>
          <w:color w:val="auto"/>
        </w:rPr>
        <w:t>l</w:t>
      </w:r>
      <w:r w:rsidR="008770B2" w:rsidRPr="00E15E92">
        <w:rPr>
          <w:rFonts w:eastAsia="MS Mincho" w:cs="Calibri"/>
          <w:bCs/>
          <w:color w:val="auto"/>
        </w:rPr>
        <w:t>a compartición</w:t>
      </w:r>
      <w:r w:rsidR="001F7587" w:rsidRPr="00E15E92">
        <w:rPr>
          <w:rFonts w:eastAsia="MS Mincho" w:cs="Calibri"/>
          <w:bCs/>
          <w:color w:val="auto"/>
        </w:rPr>
        <w:t xml:space="preserve"> eficiente de</w:t>
      </w:r>
      <w:r w:rsidR="008770B2" w:rsidRPr="00E15E92">
        <w:rPr>
          <w:rFonts w:eastAsia="MS Mincho" w:cs="Calibri"/>
          <w:bCs/>
          <w:color w:val="auto"/>
        </w:rPr>
        <w:t xml:space="preserve"> infraestructura</w:t>
      </w:r>
      <w:r w:rsidR="001F7587" w:rsidRPr="00E15E92">
        <w:rPr>
          <w:rFonts w:eastAsia="MS Mincho" w:cs="Calibri"/>
          <w:bCs/>
          <w:color w:val="auto"/>
        </w:rPr>
        <w:t>.</w:t>
      </w:r>
    </w:p>
    <w:p w14:paraId="768B9785" w14:textId="33AC1628" w:rsidR="004A7AB8" w:rsidRPr="00E15E92" w:rsidRDefault="00E775E2" w:rsidP="004D19E3">
      <w:pPr>
        <w:pStyle w:val="Default"/>
        <w:tabs>
          <w:tab w:val="left" w:pos="0"/>
        </w:tabs>
        <w:spacing w:after="240" w:line="276" w:lineRule="auto"/>
        <w:jc w:val="both"/>
        <w:outlineLvl w:val="1"/>
      </w:pPr>
      <w:r w:rsidRPr="00E15E92">
        <w:rPr>
          <w:rFonts w:ascii="ITC Avant Garde" w:eastAsia="Calibri" w:hAnsi="ITC Avant Garde" w:cs="Arial"/>
          <w:b/>
          <w:sz w:val="22"/>
          <w:szCs w:val="22"/>
          <w:lang w:val="es-ES_tradnl" w:eastAsia="es-ES"/>
        </w:rPr>
        <w:t>CUARTO</w:t>
      </w:r>
      <w:r w:rsidR="00F32F6C" w:rsidRPr="00E15E92">
        <w:rPr>
          <w:rFonts w:ascii="ITC Avant Garde" w:eastAsia="Calibri" w:hAnsi="ITC Avant Garde" w:cs="Arial"/>
          <w:b/>
          <w:sz w:val="22"/>
          <w:szCs w:val="22"/>
          <w:lang w:val="es-ES_tradnl" w:eastAsia="es-ES"/>
        </w:rPr>
        <w:t>. Consulta Pública.</w:t>
      </w:r>
      <w:r w:rsidR="004D19E3" w:rsidRPr="00E15E92">
        <w:rPr>
          <w:rFonts w:ascii="ITC Avant Garde" w:eastAsia="Calibri" w:hAnsi="ITC Avant Garde" w:cs="Arial"/>
          <w:b/>
          <w:sz w:val="22"/>
          <w:szCs w:val="22"/>
          <w:lang w:val="es-ES_tradnl" w:eastAsia="es-ES"/>
        </w:rPr>
        <w:t xml:space="preserve"> </w:t>
      </w:r>
      <w:r w:rsidR="001A2DBD" w:rsidRPr="00E15E92">
        <w:rPr>
          <w:rFonts w:ascii="ITC Avant Garde" w:eastAsia="MS Mincho" w:hAnsi="ITC Avant Garde" w:cs="Calibri"/>
          <w:bCs/>
          <w:color w:val="auto"/>
          <w:sz w:val="22"/>
          <w:szCs w:val="22"/>
        </w:rPr>
        <w:t xml:space="preserve">Con fundamento en lo establecido en el artículo 51 de la LFTR, el Instituto sometió a consulta pública bajo los principios de transparencia y participación ciudadana, el </w:t>
      </w:r>
      <w:r w:rsidR="004A7AB8" w:rsidRPr="00E15E92">
        <w:rPr>
          <w:rFonts w:ascii="ITC Avant Garde" w:eastAsia="MS Mincho" w:hAnsi="ITC Avant Garde" w:cs="Calibri"/>
          <w:bCs/>
          <w:color w:val="auto"/>
          <w:sz w:val="22"/>
          <w:szCs w:val="22"/>
        </w:rPr>
        <w:t>a</w:t>
      </w:r>
      <w:r w:rsidR="001A2DBD" w:rsidRPr="00E15E92">
        <w:rPr>
          <w:rFonts w:ascii="ITC Avant Garde" w:eastAsia="MS Mincho" w:hAnsi="ITC Avant Garde" w:cs="Calibri"/>
          <w:bCs/>
          <w:color w:val="auto"/>
          <w:sz w:val="22"/>
          <w:szCs w:val="22"/>
        </w:rPr>
        <w:t>nteproyecto con el nombre de “</w:t>
      </w:r>
      <w:r w:rsidR="007505C4" w:rsidRPr="00E15E92">
        <w:rPr>
          <w:rFonts w:ascii="ITC Avant Garde" w:eastAsia="MS Mincho" w:hAnsi="ITC Avant Garde" w:cs="Calibri"/>
          <w:bCs/>
          <w:i/>
          <w:color w:val="auto"/>
          <w:sz w:val="22"/>
          <w:szCs w:val="22"/>
        </w:rPr>
        <w:t>ANTEPROYECTO DE LINEAMIENTOS PARA LA ENTREGA, INSCRIPCIÓN Y CONSULTA DE INFORMACIÓN PARA LA CONFORMACIÓN DEL SISTEMA NACIONAL DE INFORMACIÓN DE INFRAESTRUCTURA</w:t>
      </w:r>
      <w:r w:rsidR="00B84CCA" w:rsidRPr="00E15E92">
        <w:rPr>
          <w:rFonts w:ascii="ITC Avant Garde" w:eastAsia="MS Mincho" w:hAnsi="ITC Avant Garde" w:cs="Calibri"/>
          <w:bCs/>
          <w:color w:val="auto"/>
          <w:sz w:val="22"/>
          <w:szCs w:val="22"/>
        </w:rPr>
        <w:t>”</w:t>
      </w:r>
      <w:r w:rsidR="001A2DBD" w:rsidRPr="00E15E92">
        <w:rPr>
          <w:rFonts w:ascii="ITC Avant Garde" w:eastAsia="MS Mincho" w:hAnsi="ITC Avant Garde" w:cs="Calibri"/>
          <w:bCs/>
          <w:color w:val="auto"/>
          <w:sz w:val="22"/>
          <w:szCs w:val="22"/>
        </w:rPr>
        <w:t xml:space="preserve"> durante un periodo de treinta días hábiles, comprendido del </w:t>
      </w:r>
      <w:r w:rsidR="007505C4" w:rsidRPr="00E15E92">
        <w:rPr>
          <w:rFonts w:ascii="ITC Avant Garde" w:eastAsia="MS Mincho" w:hAnsi="ITC Avant Garde" w:cs="Calibri"/>
          <w:bCs/>
          <w:color w:val="auto"/>
          <w:sz w:val="22"/>
          <w:szCs w:val="22"/>
        </w:rPr>
        <w:t>24 de octubre al 5 de diciembre de 2018</w:t>
      </w:r>
      <w:r w:rsidR="001A2DBD" w:rsidRPr="00E15E92">
        <w:rPr>
          <w:rFonts w:ascii="ITC Avant Garde" w:eastAsia="MS Mincho" w:hAnsi="ITC Avant Garde" w:cs="Calibri"/>
          <w:bCs/>
          <w:color w:val="auto"/>
          <w:sz w:val="22"/>
          <w:szCs w:val="22"/>
        </w:rPr>
        <w:t>.</w:t>
      </w:r>
      <w:r w:rsidR="001A2DBD" w:rsidRPr="00E15E92">
        <w:t xml:space="preserve"> </w:t>
      </w:r>
    </w:p>
    <w:p w14:paraId="6440B3DD" w14:textId="3430E3D5" w:rsidR="00633627" w:rsidRPr="00E15E92" w:rsidRDefault="007505C4" w:rsidP="003948CA">
      <w:pPr>
        <w:pStyle w:val="Default"/>
        <w:tabs>
          <w:tab w:val="left" w:pos="0"/>
        </w:tabs>
        <w:spacing w:after="240" w:line="276" w:lineRule="auto"/>
        <w:jc w:val="both"/>
        <w:rPr>
          <w:rFonts w:ascii="ITC Avant Garde" w:eastAsia="Calibri" w:hAnsi="ITC Avant Garde" w:cs="Arial"/>
          <w:sz w:val="22"/>
          <w:szCs w:val="22"/>
          <w:lang w:val="es-ES_tradnl" w:eastAsia="es-ES"/>
        </w:rPr>
      </w:pPr>
      <w:r w:rsidRPr="00E15E92">
        <w:rPr>
          <w:rFonts w:ascii="ITC Avant Garde" w:eastAsia="MS Mincho" w:hAnsi="ITC Avant Garde" w:cs="Calibri"/>
          <w:bCs/>
          <w:color w:val="auto"/>
          <w:sz w:val="22"/>
          <w:szCs w:val="22"/>
        </w:rPr>
        <w:t>Durante la consulta pública de mérito, se recibieron 25 participaciones; derivado de dichas participaciones, se atendieron manifestaciones para el esclarecimiento de términos</w:t>
      </w:r>
      <w:r w:rsidR="00780094" w:rsidRPr="00E15E92">
        <w:rPr>
          <w:rFonts w:ascii="ITC Avant Garde" w:eastAsia="MS Mincho" w:hAnsi="ITC Avant Garde" w:cs="Calibri"/>
          <w:bCs/>
          <w:color w:val="auto"/>
          <w:sz w:val="22"/>
          <w:szCs w:val="22"/>
        </w:rPr>
        <w:t>, precisiones sobre el alcance de algunos conceptos,</w:t>
      </w:r>
      <w:r w:rsidRPr="00E15E92">
        <w:rPr>
          <w:rFonts w:ascii="ITC Avant Garde" w:eastAsia="MS Mincho" w:hAnsi="ITC Avant Garde" w:cs="Calibri"/>
          <w:bCs/>
          <w:color w:val="auto"/>
          <w:sz w:val="22"/>
          <w:szCs w:val="22"/>
        </w:rPr>
        <w:t xml:space="preserve"> definiciones, </w:t>
      </w:r>
      <w:r w:rsidR="00780094" w:rsidRPr="00E15E92">
        <w:rPr>
          <w:rFonts w:ascii="ITC Avant Garde" w:eastAsia="MS Mincho" w:hAnsi="ITC Avant Garde" w:cs="Calibri"/>
          <w:bCs/>
          <w:color w:val="auto"/>
          <w:sz w:val="22"/>
          <w:szCs w:val="22"/>
        </w:rPr>
        <w:t>plazos, entre otros</w:t>
      </w:r>
      <w:r w:rsidRPr="00E15E92">
        <w:rPr>
          <w:rFonts w:ascii="ITC Avant Garde" w:eastAsia="MS Mincho" w:hAnsi="ITC Avant Garde" w:cs="Calibri"/>
          <w:bCs/>
          <w:color w:val="auto"/>
          <w:sz w:val="22"/>
          <w:szCs w:val="22"/>
        </w:rPr>
        <w:t>.</w:t>
      </w:r>
      <w:r w:rsidRPr="00E15E92">
        <w:rPr>
          <w:rFonts w:ascii="ITC Avant Garde" w:eastAsia="Calibri" w:hAnsi="ITC Avant Garde" w:cs="Arial"/>
          <w:b/>
          <w:sz w:val="22"/>
          <w:szCs w:val="22"/>
          <w:lang w:val="es-ES_tradnl" w:eastAsia="es-ES"/>
        </w:rPr>
        <w:t xml:space="preserve"> </w:t>
      </w:r>
      <w:r w:rsidR="00B41CA5" w:rsidRPr="00E15E92">
        <w:rPr>
          <w:rFonts w:ascii="ITC Avant Garde" w:eastAsia="Calibri" w:hAnsi="ITC Avant Garde" w:cs="Arial"/>
          <w:sz w:val="22"/>
          <w:szCs w:val="22"/>
          <w:lang w:val="es-ES_tradnl" w:eastAsia="es-ES"/>
        </w:rPr>
        <w:t>Las participaciones, así como las respuestas emitidas a los comentarios, se encuentran disponibles en el portal de Internet del Instituto</w:t>
      </w:r>
      <w:r w:rsidR="00903D32" w:rsidRPr="00E15E92">
        <w:rPr>
          <w:rStyle w:val="Refdenotaalpie"/>
          <w:rFonts w:ascii="ITC Avant Garde" w:eastAsia="Calibri" w:hAnsi="ITC Avant Garde" w:cs="Arial"/>
          <w:sz w:val="22"/>
          <w:szCs w:val="22"/>
          <w:lang w:val="es-ES_tradnl" w:eastAsia="es-ES"/>
        </w:rPr>
        <w:footnoteReference w:id="8"/>
      </w:r>
      <w:r w:rsidR="00B41CA5" w:rsidRPr="00E15E92">
        <w:rPr>
          <w:rFonts w:ascii="ITC Avant Garde" w:eastAsia="Calibri" w:hAnsi="ITC Avant Garde" w:cs="Arial"/>
          <w:sz w:val="22"/>
          <w:szCs w:val="22"/>
          <w:lang w:val="es-ES_tradnl" w:eastAsia="es-ES"/>
        </w:rPr>
        <w:t>.</w:t>
      </w:r>
    </w:p>
    <w:p w14:paraId="60E65C61" w14:textId="1F44A03C" w:rsidR="00904306" w:rsidRPr="00E15E92" w:rsidRDefault="00E775E2" w:rsidP="004F4C75">
      <w:pPr>
        <w:pStyle w:val="IFTnormal"/>
      </w:pPr>
      <w:r w:rsidRPr="00E15E92">
        <w:rPr>
          <w:b/>
        </w:rPr>
        <w:t>QUINTO</w:t>
      </w:r>
      <w:r w:rsidR="00ED7E40" w:rsidRPr="00E15E92">
        <w:rPr>
          <w:b/>
        </w:rPr>
        <w:t xml:space="preserve">. Análisis de Impacto Regulatorio. </w:t>
      </w:r>
      <w:r w:rsidR="00ED7E40" w:rsidRPr="00E15E92">
        <w:t>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de conformidad con lo establecido en los artículos 51 de la LFTR; 4 fracción VIII, inciso IV) y 75 fracción II del Estatuto, la Coordinación General de Mejora Regulatoria, mediante oficio</w:t>
      </w:r>
      <w:r w:rsidR="00B733D1" w:rsidRPr="00E15E92">
        <w:t xml:space="preserve"> IFT/211/CGMR/194/2018 de fecha 27 de septiembre de 2018 e IFT/211/CGMR/058/2019 de fecha </w:t>
      </w:r>
      <w:r w:rsidR="00E30F00" w:rsidRPr="00E15E92">
        <w:t xml:space="preserve">1 </w:t>
      </w:r>
      <w:r w:rsidR="00B733D1" w:rsidRPr="00E15E92">
        <w:t>de abril de 2019</w:t>
      </w:r>
      <w:r w:rsidR="00ED7E40" w:rsidRPr="00E15E92">
        <w:t>, manifiesta la opinión no vinculante respecto del</w:t>
      </w:r>
      <w:r w:rsidR="00E30F00" w:rsidRPr="00E15E92">
        <w:t xml:space="preserve"> proyecto</w:t>
      </w:r>
      <w:r w:rsidR="00ED7E40" w:rsidRPr="00E15E92">
        <w:t xml:space="preserve"> de </w:t>
      </w:r>
      <w:r w:rsidR="00ED7E40" w:rsidRPr="00E15E92">
        <w:rPr>
          <w:i/>
        </w:rPr>
        <w:t>“</w:t>
      </w:r>
      <w:r w:rsidR="00E30F00" w:rsidRPr="00E15E92">
        <w:rPr>
          <w:i/>
        </w:rPr>
        <w:t>Lineamientos para la entrega, inscripción y consulta de información para la conformación del Sistema Nacional de Información de Infraestructura</w:t>
      </w:r>
      <w:r w:rsidR="00ED7E40" w:rsidRPr="00E15E92">
        <w:rPr>
          <w:i/>
        </w:rPr>
        <w:t>”</w:t>
      </w:r>
      <w:r w:rsidR="00ED7E40" w:rsidRPr="00E15E92">
        <w:t xml:space="preserve">, en dicha opinión, manifiesta diversas recomendaciones a efectos de robustecer y mejorar tanto el </w:t>
      </w:r>
      <w:r w:rsidR="000A5B59" w:rsidRPr="00E15E92">
        <w:t xml:space="preserve">AIR </w:t>
      </w:r>
      <w:r w:rsidR="00ED7E40" w:rsidRPr="00E15E92">
        <w:t>como algunas disposiciones del Anteproyecto, las cuales fueron analizadas y, en su caso, atendidas</w:t>
      </w:r>
      <w:r w:rsidR="00CD620E" w:rsidRPr="00E15E92">
        <w:t>.</w:t>
      </w:r>
    </w:p>
    <w:p w14:paraId="0072D60D" w14:textId="0AE042E4" w:rsidR="000A3C72" w:rsidRPr="00E15E92" w:rsidRDefault="000A3C72" w:rsidP="005F4937">
      <w:pPr>
        <w:pStyle w:val="IFTnormal"/>
      </w:pPr>
      <w:r w:rsidRPr="00E15E92">
        <w:t>Por lo anterior, y con fundamento en los artículos 6° apartado B, fracción II y III y 28 párrafos décimo quinto, décimo sexto y vigésimo fracción IV de la Constitución</w:t>
      </w:r>
      <w:r w:rsidR="00E775E2" w:rsidRPr="00E15E92">
        <w:t xml:space="preserve"> Política de los Estados Unidos Mexicanos</w:t>
      </w:r>
      <w:r w:rsidRPr="00E15E92">
        <w:t xml:space="preserve">, Décimo Sexto Transitorio del </w:t>
      </w:r>
      <w:r w:rsidR="00E775E2" w:rsidRPr="00E15E92">
        <w:rPr>
          <w:i/>
        </w:rPr>
        <w:t>"Decreto por el que se reforman y adicionan diversas disposiciones de los artículos 6o., 7o., 27, 28, 73, 78, 94 y 105 de la Constitución Política de los Estados Unidos Mexicanos en materia de telecomunicaciones"</w:t>
      </w:r>
      <w:r w:rsidRPr="00E15E92">
        <w:t xml:space="preserve">, así como en los artículos 1, 2, 4, 5, 7, 15 fracciones I, XI, </w:t>
      </w:r>
      <w:r w:rsidR="006B4191" w:rsidRPr="00E15E92">
        <w:t>XLVI, LVI,</w:t>
      </w:r>
      <w:r w:rsidRPr="00E15E92">
        <w:t xml:space="preserve"> 17 fracción I, </w:t>
      </w:r>
      <w:r w:rsidR="00501AFE" w:rsidRPr="00E15E92">
        <w:t>176,</w:t>
      </w:r>
      <w:r w:rsidRPr="00E15E92">
        <w:t>181 al 188 de la L</w:t>
      </w:r>
      <w:r w:rsidR="00E775E2" w:rsidRPr="00E15E92">
        <w:t xml:space="preserve">ey </w:t>
      </w:r>
      <w:r w:rsidRPr="00E15E92">
        <w:t>F</w:t>
      </w:r>
      <w:r w:rsidR="00E775E2" w:rsidRPr="00E15E92">
        <w:t xml:space="preserve">ederal de </w:t>
      </w:r>
      <w:r w:rsidRPr="00E15E92">
        <w:t>T</w:t>
      </w:r>
      <w:r w:rsidR="00E775E2" w:rsidRPr="00E15E92">
        <w:t xml:space="preserve">elecomunicaciones y </w:t>
      </w:r>
      <w:r w:rsidRPr="00E15E92">
        <w:t>R</w:t>
      </w:r>
      <w:r w:rsidR="00E775E2" w:rsidRPr="00E15E92">
        <w:t>adiodifusión</w:t>
      </w:r>
      <w:r w:rsidR="006B4191" w:rsidRPr="00E15E92">
        <w:t>;</w:t>
      </w:r>
      <w:r w:rsidRPr="00E15E92">
        <w:t xml:space="preserve"> 1, y 6°, fracciones I y XXV, y 26 fracción XVI del Estatuto</w:t>
      </w:r>
      <w:r w:rsidR="00E775E2" w:rsidRPr="00E15E92">
        <w:t xml:space="preserve"> Orgánico del </w:t>
      </w:r>
      <w:r w:rsidR="00E775E2" w:rsidRPr="00E15E92">
        <w:rPr>
          <w:snapToGrid w:val="0"/>
        </w:rPr>
        <w:t>Instituto Federal de Telecomunicaciones</w:t>
      </w:r>
      <w:r w:rsidRPr="00E15E92">
        <w:t xml:space="preserve">, el Pleno del Instituto </w:t>
      </w:r>
      <w:r w:rsidR="00E775E2" w:rsidRPr="00E15E92">
        <w:t xml:space="preserve">Federal de Telecomunicaciones emite </w:t>
      </w:r>
      <w:r w:rsidR="00F50DEF" w:rsidRPr="00E15E92">
        <w:t>e</w:t>
      </w:r>
      <w:r w:rsidR="00E775E2" w:rsidRPr="00E15E92">
        <w:t>l siguiente:</w:t>
      </w:r>
    </w:p>
    <w:p w14:paraId="508A57E9" w14:textId="77777777" w:rsidR="000A3C72" w:rsidRPr="00E15E92" w:rsidRDefault="000A3C72" w:rsidP="000A3C72">
      <w:pPr>
        <w:jc w:val="both"/>
        <w:rPr>
          <w:rFonts w:ascii="ITC Avant Garde" w:hAnsi="ITC Avant Garde"/>
          <w:lang w:val="es-ES_tradnl"/>
        </w:rPr>
      </w:pPr>
    </w:p>
    <w:p w14:paraId="665B5F68" w14:textId="5872D4B5" w:rsidR="000A3C72" w:rsidRPr="00E15E92" w:rsidRDefault="000A3C72" w:rsidP="000A3C72">
      <w:pPr>
        <w:pStyle w:val="Ttulo2"/>
        <w:rPr>
          <w:szCs w:val="22"/>
        </w:rPr>
      </w:pPr>
      <w:r w:rsidRPr="00E15E92">
        <w:rPr>
          <w:szCs w:val="22"/>
        </w:rPr>
        <w:t>ACUERDO</w:t>
      </w:r>
    </w:p>
    <w:p w14:paraId="5A681550" w14:textId="77777777" w:rsidR="00294567" w:rsidRPr="00E15E92" w:rsidRDefault="00294567" w:rsidP="00294567">
      <w:pPr>
        <w:rPr>
          <w:lang w:val="es-EC" w:eastAsia="es-MX"/>
        </w:rPr>
      </w:pPr>
    </w:p>
    <w:p w14:paraId="6606738E" w14:textId="0B775590" w:rsidR="000A3C72" w:rsidRPr="00E15E92" w:rsidRDefault="000A3C72" w:rsidP="00B57032">
      <w:pPr>
        <w:pStyle w:val="IFTnormal"/>
      </w:pPr>
      <w:r w:rsidRPr="00E15E92">
        <w:rPr>
          <w:b/>
        </w:rPr>
        <w:t>PRIMERO.</w:t>
      </w:r>
      <w:r w:rsidR="000D4C9D" w:rsidRPr="00E15E92">
        <w:rPr>
          <w:b/>
        </w:rPr>
        <w:t xml:space="preserve"> </w:t>
      </w:r>
      <w:r w:rsidRPr="00E15E92">
        <w:rPr>
          <w:b/>
        </w:rPr>
        <w:t>-</w:t>
      </w:r>
      <w:r w:rsidRPr="00E15E92">
        <w:t xml:space="preserve"> Se aprueban y emiten los “</w:t>
      </w:r>
      <w:r w:rsidR="007B6105" w:rsidRPr="00E15E92">
        <w:rPr>
          <w:rFonts w:eastAsia="ITC Avant Garde" w:cs="ITC Avant Garde"/>
        </w:rPr>
        <w:t>LINEAMIENTOS PARA LA ENTREGA</w:t>
      </w:r>
      <w:r w:rsidR="00355F5F" w:rsidRPr="00E15E92">
        <w:rPr>
          <w:rFonts w:eastAsia="ITC Avant Garde" w:cs="ITC Avant Garde"/>
        </w:rPr>
        <w:t>, INSCRIPCIÓN</w:t>
      </w:r>
      <w:r w:rsidR="007B6105" w:rsidRPr="00E15E92">
        <w:rPr>
          <w:rFonts w:eastAsia="ITC Avant Garde" w:cs="ITC Avant Garde"/>
        </w:rPr>
        <w:t xml:space="preserve"> Y CONSULTA DE INFORMACIÓN PARA LA CONFORMACIÓN DEL SISTEMA NACIONAL DE INFORMACIÓN DE INFRAESTRUCTURA</w:t>
      </w:r>
      <w:r w:rsidRPr="00E15E92">
        <w:t>”.</w:t>
      </w:r>
    </w:p>
    <w:p w14:paraId="208BF218" w14:textId="7430A26D" w:rsidR="000A3C72" w:rsidRPr="00E15E92" w:rsidRDefault="000A3C72" w:rsidP="00B57032">
      <w:pPr>
        <w:pStyle w:val="IFTnormal"/>
      </w:pPr>
      <w:r w:rsidRPr="00E15E92">
        <w:rPr>
          <w:b/>
        </w:rPr>
        <w:t>SEGUNDO.</w:t>
      </w:r>
      <w:r w:rsidR="000D4C9D" w:rsidRPr="00E15E92">
        <w:rPr>
          <w:b/>
        </w:rPr>
        <w:t xml:space="preserve"> </w:t>
      </w:r>
      <w:r w:rsidRPr="00E15E92">
        <w:rPr>
          <w:b/>
        </w:rPr>
        <w:t>-</w:t>
      </w:r>
      <w:r w:rsidRPr="00E15E92">
        <w:t xml:space="preserve"> Publíquense en el Diario Oficial de la Federación y en el portal de Internet del Instituto los “</w:t>
      </w:r>
      <w:r w:rsidR="007B6105" w:rsidRPr="00E15E92">
        <w:rPr>
          <w:rFonts w:eastAsia="ITC Avant Garde" w:cs="ITC Avant Garde"/>
        </w:rPr>
        <w:t>LINEAMIENTOS PARA LA ENTREGA</w:t>
      </w:r>
      <w:r w:rsidR="004A3BBF" w:rsidRPr="00E15E92">
        <w:rPr>
          <w:rFonts w:eastAsia="ITC Avant Garde" w:cs="ITC Avant Garde"/>
        </w:rPr>
        <w:t>, INSCRIPCIÓN</w:t>
      </w:r>
      <w:r w:rsidR="007B6105" w:rsidRPr="00E15E92">
        <w:rPr>
          <w:rFonts w:eastAsia="ITC Avant Garde" w:cs="ITC Avant Garde"/>
        </w:rPr>
        <w:t xml:space="preserve"> Y CONSULTA DE INFORMACIÓN PARA LA CONFORMACIÓN DEL SISTEMA NACIONAL DE INFORMACIÓN DE INFRAESTRUCTURA</w:t>
      </w:r>
      <w:r w:rsidRPr="00E15E92">
        <w:t>”.</w:t>
      </w:r>
    </w:p>
    <w:p w14:paraId="67B72F3F" w14:textId="487BCDD1" w:rsidR="000D4C9D" w:rsidRPr="00E15E92" w:rsidRDefault="000D4C9D" w:rsidP="00B57032">
      <w:pPr>
        <w:pStyle w:val="IFTnormal"/>
      </w:pPr>
      <w:r w:rsidRPr="00E15E92">
        <w:rPr>
          <w:b/>
        </w:rPr>
        <w:t>TERCERO. -</w:t>
      </w:r>
      <w:r w:rsidRPr="00E15E92">
        <w:t xml:space="preserve"> Los “LINEAMIENTOS PARA LA ENTREGA, INSCRIPCIÓN Y CONSULTA DE INFORMACIÓN PARA LA CONFORMACIÓN DEL SISTEMA NACIONAL DE INFORMACIÓN DE INFRAESTRUCTURA”, entraran en vigor al día siguiente de su publicación en el Diario Oficial de la Federación.</w:t>
      </w:r>
    </w:p>
    <w:p w14:paraId="33D33E96" w14:textId="77777777" w:rsidR="00B30B06" w:rsidRPr="00E15E92" w:rsidRDefault="00B30B06" w:rsidP="00B30B06">
      <w:pPr>
        <w:ind w:right="-94"/>
        <w:jc w:val="center"/>
        <w:rPr>
          <w:rFonts w:ascii="ITC Avant Garde" w:hAnsi="ITC Avant Garde"/>
          <w:b/>
          <w:bCs/>
        </w:rPr>
      </w:pPr>
    </w:p>
    <w:p w14:paraId="286B1ED1" w14:textId="033729DE" w:rsidR="000A3C72" w:rsidRPr="00E15E92" w:rsidRDefault="000A3C72" w:rsidP="00B30B06">
      <w:pPr>
        <w:ind w:right="-94"/>
        <w:jc w:val="center"/>
        <w:rPr>
          <w:rFonts w:ascii="ITC Avant Garde" w:hAnsi="ITC Avant Garde"/>
          <w:b/>
        </w:rPr>
      </w:pPr>
    </w:p>
    <w:p w14:paraId="764DEA62" w14:textId="77777777" w:rsidR="00831F3F" w:rsidRPr="00E15E92" w:rsidRDefault="00831F3F" w:rsidP="00B30B06">
      <w:pPr>
        <w:ind w:right="-94"/>
        <w:jc w:val="center"/>
        <w:rPr>
          <w:rFonts w:ascii="ITC Avant Garde" w:hAnsi="ITC Avant Garde"/>
          <w:b/>
        </w:rPr>
      </w:pPr>
    </w:p>
    <w:p w14:paraId="308A046E" w14:textId="77777777" w:rsidR="000A3C72" w:rsidRPr="00E15E92" w:rsidRDefault="000A3C72" w:rsidP="00B30B06">
      <w:pPr>
        <w:ind w:right="-94"/>
        <w:jc w:val="center"/>
        <w:rPr>
          <w:rFonts w:ascii="ITC Avant Garde" w:hAnsi="ITC Avant Garde"/>
          <w:b/>
        </w:rPr>
      </w:pPr>
      <w:r w:rsidRPr="00E15E92">
        <w:rPr>
          <w:rFonts w:ascii="ITC Avant Garde" w:hAnsi="ITC Avant Garde"/>
          <w:b/>
        </w:rPr>
        <w:t>Gabriel Oswaldo Contreras Saldívar</w:t>
      </w:r>
    </w:p>
    <w:p w14:paraId="39D8B4E5" w14:textId="77777777" w:rsidR="000A3C72" w:rsidRPr="00E15E92" w:rsidRDefault="000A3C72" w:rsidP="00B30B06">
      <w:pPr>
        <w:ind w:right="-94"/>
        <w:jc w:val="center"/>
        <w:rPr>
          <w:rFonts w:ascii="ITC Avant Garde" w:hAnsi="ITC Avant Garde"/>
          <w:b/>
        </w:rPr>
      </w:pPr>
      <w:r w:rsidRPr="00E15E92">
        <w:rPr>
          <w:rFonts w:ascii="ITC Avant Garde" w:hAnsi="ITC Avant Garde"/>
          <w:b/>
        </w:rPr>
        <w:t>Comisionado Presidente</w:t>
      </w:r>
    </w:p>
    <w:p w14:paraId="49A0933A" w14:textId="77777777" w:rsidR="00B30B06" w:rsidRPr="00E15E92" w:rsidRDefault="00B30B06" w:rsidP="00B30B06">
      <w:pPr>
        <w:jc w:val="center"/>
        <w:rPr>
          <w:rFonts w:ascii="ITC Avant Garde" w:hAnsi="ITC Avant Garde"/>
          <w:bCs/>
        </w:rPr>
      </w:pPr>
    </w:p>
    <w:p w14:paraId="303CF056" w14:textId="77777777" w:rsidR="00B30B06" w:rsidRPr="00E15E92" w:rsidRDefault="00B30B06" w:rsidP="00B30B06">
      <w:pPr>
        <w:jc w:val="center"/>
        <w:rPr>
          <w:rFonts w:ascii="ITC Avant Garde" w:hAnsi="ITC Avant Garde"/>
          <w:bCs/>
        </w:rPr>
      </w:pPr>
    </w:p>
    <w:p w14:paraId="3257D21D" w14:textId="77777777" w:rsidR="00B30B06" w:rsidRPr="00E15E92" w:rsidRDefault="00B30B06" w:rsidP="00B30B06">
      <w:pPr>
        <w:jc w:val="center"/>
        <w:rPr>
          <w:rFonts w:ascii="ITC Avant Garde" w:hAnsi="ITC Avant Garde"/>
          <w:bCs/>
        </w:rPr>
      </w:pPr>
    </w:p>
    <w:tbl>
      <w:tblPr>
        <w:tblW w:w="4977" w:type="pct"/>
        <w:tblCellMar>
          <w:left w:w="70" w:type="dxa"/>
          <w:right w:w="70" w:type="dxa"/>
        </w:tblCellMar>
        <w:tblLook w:val="04A0" w:firstRow="1" w:lastRow="0" w:firstColumn="1" w:lastColumn="0" w:noHBand="0" w:noVBand="1"/>
      </w:tblPr>
      <w:tblGrid>
        <w:gridCol w:w="4664"/>
        <w:gridCol w:w="4133"/>
      </w:tblGrid>
      <w:tr w:rsidR="00B30B06" w:rsidRPr="00E15E92" w14:paraId="5B98439A" w14:textId="77777777" w:rsidTr="00831F3F">
        <w:trPr>
          <w:trHeight w:val="1241"/>
        </w:trPr>
        <w:tc>
          <w:tcPr>
            <w:tcW w:w="2651" w:type="pct"/>
            <w:hideMark/>
          </w:tcPr>
          <w:p w14:paraId="6E2468E4" w14:textId="77777777" w:rsidR="00B30B06" w:rsidRPr="00E15E92" w:rsidRDefault="00B30B06" w:rsidP="009273AD">
            <w:pPr>
              <w:jc w:val="center"/>
              <w:rPr>
                <w:rFonts w:ascii="ITC Avant Garde" w:hAnsi="ITC Avant Garde"/>
                <w:b/>
                <w:bCs/>
              </w:rPr>
            </w:pPr>
            <w:r w:rsidRPr="00E15E92">
              <w:rPr>
                <w:rFonts w:ascii="ITC Avant Garde" w:hAnsi="ITC Avant Garde"/>
                <w:b/>
                <w:bCs/>
              </w:rPr>
              <w:t>Mario Germán Fromow Rangel</w:t>
            </w:r>
          </w:p>
          <w:p w14:paraId="05D8E22D" w14:textId="77777777" w:rsidR="00B30B06" w:rsidRPr="00E15E92" w:rsidRDefault="00B30B06" w:rsidP="009273AD">
            <w:pPr>
              <w:jc w:val="center"/>
              <w:rPr>
                <w:rFonts w:ascii="ITC Avant Garde" w:hAnsi="ITC Avant Garde"/>
                <w:bCs/>
              </w:rPr>
            </w:pPr>
            <w:r w:rsidRPr="00E15E92">
              <w:rPr>
                <w:rFonts w:ascii="ITC Avant Garde" w:hAnsi="ITC Avant Garde"/>
                <w:b/>
                <w:bCs/>
              </w:rPr>
              <w:t>Comisionado</w:t>
            </w:r>
            <w:r w:rsidRPr="00E15E92" w:rsidDel="009667EB">
              <w:rPr>
                <w:rFonts w:ascii="ITC Avant Garde" w:hAnsi="ITC Avant Garde"/>
                <w:b/>
                <w:bCs/>
              </w:rPr>
              <w:t xml:space="preserve"> </w:t>
            </w:r>
          </w:p>
          <w:p w14:paraId="6C6988D3" w14:textId="77777777" w:rsidR="00B30B06" w:rsidRPr="00E15E92" w:rsidRDefault="00B30B06" w:rsidP="009273AD">
            <w:pPr>
              <w:jc w:val="center"/>
              <w:rPr>
                <w:rFonts w:ascii="ITC Avant Garde" w:hAnsi="ITC Avant Garde"/>
                <w:bCs/>
              </w:rPr>
            </w:pPr>
          </w:p>
        </w:tc>
        <w:tc>
          <w:tcPr>
            <w:tcW w:w="2349" w:type="pct"/>
          </w:tcPr>
          <w:p w14:paraId="27B2F480" w14:textId="77777777" w:rsidR="00B30B06" w:rsidRPr="00E15E92" w:rsidRDefault="00B30B06" w:rsidP="009273AD">
            <w:pPr>
              <w:jc w:val="center"/>
              <w:rPr>
                <w:rFonts w:ascii="ITC Avant Garde" w:hAnsi="ITC Avant Garde"/>
                <w:b/>
                <w:bCs/>
              </w:rPr>
            </w:pPr>
            <w:r w:rsidRPr="00E15E92">
              <w:rPr>
                <w:rFonts w:ascii="ITC Avant Garde" w:hAnsi="ITC Avant Garde"/>
                <w:b/>
                <w:bCs/>
              </w:rPr>
              <w:t>Adolfo Cuevas Teja</w:t>
            </w:r>
          </w:p>
          <w:p w14:paraId="175A9111" w14:textId="77777777" w:rsidR="00B30B06" w:rsidRPr="00E15E92" w:rsidRDefault="00B30B06" w:rsidP="009273AD">
            <w:pPr>
              <w:jc w:val="center"/>
              <w:rPr>
                <w:rFonts w:ascii="ITC Avant Garde" w:hAnsi="ITC Avant Garde"/>
                <w:b/>
                <w:bCs/>
              </w:rPr>
            </w:pPr>
            <w:r w:rsidRPr="00E15E92">
              <w:rPr>
                <w:rFonts w:ascii="ITC Avant Garde" w:hAnsi="ITC Avant Garde"/>
                <w:b/>
                <w:bCs/>
              </w:rPr>
              <w:t>Comisionado</w:t>
            </w:r>
          </w:p>
          <w:p w14:paraId="087C065B" w14:textId="77777777" w:rsidR="00B30B06" w:rsidRPr="00E15E92" w:rsidRDefault="00B30B06" w:rsidP="009273AD">
            <w:pPr>
              <w:rPr>
                <w:rFonts w:ascii="ITC Avant Garde" w:hAnsi="ITC Avant Garde"/>
                <w:bCs/>
              </w:rPr>
            </w:pPr>
          </w:p>
          <w:p w14:paraId="10C9877F" w14:textId="56AB0077" w:rsidR="00B30B06" w:rsidRPr="00E15E92" w:rsidRDefault="00B30B06" w:rsidP="009273AD">
            <w:pPr>
              <w:rPr>
                <w:rFonts w:ascii="ITC Avant Garde" w:hAnsi="ITC Avant Garde"/>
                <w:bCs/>
              </w:rPr>
            </w:pPr>
          </w:p>
          <w:p w14:paraId="793DB3DD" w14:textId="77777777" w:rsidR="00831F3F" w:rsidRPr="00E15E92" w:rsidRDefault="00831F3F" w:rsidP="009273AD">
            <w:pPr>
              <w:rPr>
                <w:rFonts w:ascii="ITC Avant Garde" w:hAnsi="ITC Avant Garde"/>
                <w:bCs/>
              </w:rPr>
            </w:pPr>
          </w:p>
          <w:p w14:paraId="1E5FC86A" w14:textId="77777777" w:rsidR="00B30B06" w:rsidRPr="00E15E92" w:rsidRDefault="00B30B06" w:rsidP="009273AD">
            <w:pPr>
              <w:jc w:val="center"/>
              <w:rPr>
                <w:rFonts w:ascii="ITC Avant Garde" w:hAnsi="ITC Avant Garde"/>
                <w:bCs/>
              </w:rPr>
            </w:pPr>
          </w:p>
        </w:tc>
      </w:tr>
      <w:tr w:rsidR="00B30B06" w:rsidRPr="00E15E92" w14:paraId="30C86E2E" w14:textId="77777777" w:rsidTr="00831F3F">
        <w:trPr>
          <w:trHeight w:val="1273"/>
        </w:trPr>
        <w:tc>
          <w:tcPr>
            <w:tcW w:w="2651" w:type="pct"/>
          </w:tcPr>
          <w:p w14:paraId="7B665484" w14:textId="77777777" w:rsidR="00B30B06" w:rsidRPr="00E15E92" w:rsidRDefault="00B30B06" w:rsidP="009273AD">
            <w:pPr>
              <w:jc w:val="center"/>
              <w:rPr>
                <w:rFonts w:ascii="ITC Avant Garde" w:hAnsi="ITC Avant Garde"/>
                <w:b/>
                <w:bCs/>
              </w:rPr>
            </w:pPr>
            <w:r w:rsidRPr="00E15E92">
              <w:rPr>
                <w:rFonts w:ascii="ITC Avant Garde" w:hAnsi="ITC Avant Garde"/>
                <w:b/>
                <w:bCs/>
              </w:rPr>
              <w:t>Javier Juárez Mojica</w:t>
            </w:r>
          </w:p>
          <w:p w14:paraId="772E661B" w14:textId="25CD1A13" w:rsidR="00B30B06" w:rsidRPr="00E15E92" w:rsidRDefault="00B30B06" w:rsidP="009273AD">
            <w:pPr>
              <w:jc w:val="center"/>
              <w:rPr>
                <w:rFonts w:ascii="ITC Avant Garde" w:hAnsi="ITC Avant Garde"/>
                <w:b/>
                <w:bCs/>
              </w:rPr>
            </w:pPr>
            <w:r w:rsidRPr="00E15E92">
              <w:rPr>
                <w:rFonts w:ascii="ITC Avant Garde" w:hAnsi="ITC Avant Garde"/>
                <w:b/>
                <w:bCs/>
              </w:rPr>
              <w:t>Comisionado</w:t>
            </w:r>
          </w:p>
          <w:p w14:paraId="486E148F" w14:textId="77777777" w:rsidR="00831F3F" w:rsidRPr="00E15E92" w:rsidRDefault="00831F3F" w:rsidP="009273AD">
            <w:pPr>
              <w:jc w:val="center"/>
              <w:rPr>
                <w:rFonts w:ascii="ITC Avant Garde" w:hAnsi="ITC Avant Garde"/>
                <w:bCs/>
              </w:rPr>
            </w:pPr>
          </w:p>
          <w:p w14:paraId="4A10016F" w14:textId="77777777" w:rsidR="00B30B06" w:rsidRPr="00E15E92" w:rsidRDefault="00B30B06" w:rsidP="009273AD">
            <w:pPr>
              <w:jc w:val="center"/>
              <w:rPr>
                <w:rFonts w:ascii="ITC Avant Garde" w:hAnsi="ITC Avant Garde"/>
                <w:bCs/>
              </w:rPr>
            </w:pPr>
          </w:p>
          <w:p w14:paraId="6313E141" w14:textId="77777777" w:rsidR="00B30B06" w:rsidRPr="00E15E92" w:rsidRDefault="00B30B06" w:rsidP="009273AD">
            <w:pPr>
              <w:jc w:val="center"/>
              <w:rPr>
                <w:rFonts w:ascii="ITC Avant Garde" w:hAnsi="ITC Avant Garde"/>
                <w:bCs/>
              </w:rPr>
            </w:pPr>
          </w:p>
          <w:p w14:paraId="0CB563F7" w14:textId="77777777" w:rsidR="00B30B06" w:rsidRPr="00E15E92" w:rsidRDefault="00B30B06" w:rsidP="009273AD">
            <w:pPr>
              <w:jc w:val="center"/>
              <w:rPr>
                <w:rFonts w:ascii="ITC Avant Garde" w:hAnsi="ITC Avant Garde"/>
                <w:bCs/>
              </w:rPr>
            </w:pPr>
          </w:p>
        </w:tc>
        <w:tc>
          <w:tcPr>
            <w:tcW w:w="2349" w:type="pct"/>
          </w:tcPr>
          <w:p w14:paraId="25C8BD0B" w14:textId="77777777" w:rsidR="00B30B06" w:rsidRPr="00E15E92" w:rsidRDefault="00B30B06" w:rsidP="009273AD">
            <w:pPr>
              <w:jc w:val="center"/>
              <w:rPr>
                <w:rFonts w:ascii="ITC Avant Garde" w:hAnsi="ITC Avant Garde"/>
                <w:b/>
                <w:bCs/>
              </w:rPr>
            </w:pPr>
            <w:r w:rsidRPr="00E15E92">
              <w:rPr>
                <w:rFonts w:ascii="ITC Avant Garde" w:hAnsi="ITC Avant Garde"/>
                <w:b/>
                <w:bCs/>
              </w:rPr>
              <w:t>Arturo Robles Rovalo</w:t>
            </w:r>
          </w:p>
          <w:p w14:paraId="79E712C8" w14:textId="1145EC3B" w:rsidR="00B30B06" w:rsidRPr="00E15E92" w:rsidRDefault="00B30B06" w:rsidP="00831F3F">
            <w:pPr>
              <w:jc w:val="center"/>
              <w:rPr>
                <w:rFonts w:ascii="ITC Avant Garde" w:hAnsi="ITC Avant Garde"/>
                <w:bCs/>
              </w:rPr>
            </w:pPr>
            <w:r w:rsidRPr="00E15E92">
              <w:rPr>
                <w:rFonts w:ascii="ITC Avant Garde" w:hAnsi="ITC Avant Garde"/>
                <w:b/>
                <w:bCs/>
              </w:rPr>
              <w:t>Comisionado</w:t>
            </w:r>
          </w:p>
        </w:tc>
      </w:tr>
      <w:tr w:rsidR="00B30B06" w:rsidRPr="006418C3" w14:paraId="0CFF5FDF" w14:textId="77777777" w:rsidTr="00831F3F">
        <w:trPr>
          <w:trHeight w:val="360"/>
        </w:trPr>
        <w:tc>
          <w:tcPr>
            <w:tcW w:w="2651" w:type="pct"/>
          </w:tcPr>
          <w:p w14:paraId="1437A75E" w14:textId="77777777" w:rsidR="00B30B06" w:rsidRPr="00E15E92" w:rsidRDefault="00B30B06" w:rsidP="009273AD">
            <w:pPr>
              <w:jc w:val="center"/>
              <w:rPr>
                <w:rFonts w:ascii="ITC Avant Garde" w:hAnsi="ITC Avant Garde"/>
                <w:b/>
                <w:bCs/>
              </w:rPr>
            </w:pPr>
            <w:r w:rsidRPr="00E15E92">
              <w:rPr>
                <w:rFonts w:ascii="ITC Avant Garde" w:hAnsi="ITC Avant Garde"/>
                <w:b/>
                <w:bCs/>
              </w:rPr>
              <w:t>Sóstenes Díaz González</w:t>
            </w:r>
          </w:p>
          <w:p w14:paraId="361C6DA8" w14:textId="77777777" w:rsidR="00B30B06" w:rsidRPr="00E15E92" w:rsidRDefault="00B30B06" w:rsidP="009273AD">
            <w:pPr>
              <w:jc w:val="center"/>
              <w:rPr>
                <w:rFonts w:ascii="ITC Avant Garde" w:hAnsi="ITC Avant Garde"/>
                <w:bCs/>
              </w:rPr>
            </w:pPr>
            <w:r w:rsidRPr="00E15E92">
              <w:rPr>
                <w:rFonts w:ascii="ITC Avant Garde" w:hAnsi="ITC Avant Garde"/>
                <w:b/>
                <w:bCs/>
              </w:rPr>
              <w:t>Comisionado</w:t>
            </w:r>
          </w:p>
        </w:tc>
        <w:tc>
          <w:tcPr>
            <w:tcW w:w="2349" w:type="pct"/>
          </w:tcPr>
          <w:p w14:paraId="7BA79BD2" w14:textId="77777777" w:rsidR="00B30B06" w:rsidRPr="00E15E92" w:rsidRDefault="00B30B06" w:rsidP="009273AD">
            <w:pPr>
              <w:jc w:val="center"/>
              <w:rPr>
                <w:rFonts w:ascii="ITC Avant Garde" w:hAnsi="ITC Avant Garde"/>
                <w:b/>
                <w:bCs/>
              </w:rPr>
            </w:pPr>
            <w:r w:rsidRPr="00E15E92">
              <w:rPr>
                <w:rFonts w:ascii="ITC Avant Garde" w:hAnsi="ITC Avant Garde"/>
                <w:b/>
                <w:bCs/>
              </w:rPr>
              <w:t>Ramiro Camacho Castillo</w:t>
            </w:r>
          </w:p>
          <w:p w14:paraId="6811C6AA" w14:textId="77777777" w:rsidR="00B30B06" w:rsidRPr="006418C3" w:rsidRDefault="00B30B06" w:rsidP="009273AD">
            <w:pPr>
              <w:jc w:val="center"/>
              <w:rPr>
                <w:rFonts w:ascii="ITC Avant Garde" w:hAnsi="ITC Avant Garde"/>
                <w:bCs/>
              </w:rPr>
            </w:pPr>
            <w:r w:rsidRPr="00E15E92">
              <w:rPr>
                <w:rFonts w:ascii="ITC Avant Garde" w:hAnsi="ITC Avant Garde"/>
                <w:b/>
                <w:bCs/>
              </w:rPr>
              <w:t>Comisionado</w:t>
            </w:r>
          </w:p>
        </w:tc>
      </w:tr>
    </w:tbl>
    <w:p w14:paraId="72F31ED4" w14:textId="77777777" w:rsidR="000D3CA8" w:rsidRDefault="000D3CA8" w:rsidP="00831F3F"/>
    <w:sectPr w:rsidR="000D3CA8" w:rsidSect="00D21675">
      <w:headerReference w:type="default" r:id="rId11"/>
      <w:footerReference w:type="default" r:id="rId1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1526" w14:textId="77777777" w:rsidR="00AE72F1" w:rsidRDefault="00AE72F1" w:rsidP="000A3C72">
      <w:pPr>
        <w:spacing w:after="0" w:line="240" w:lineRule="auto"/>
      </w:pPr>
      <w:r>
        <w:separator/>
      </w:r>
    </w:p>
  </w:endnote>
  <w:endnote w:type="continuationSeparator" w:id="0">
    <w:p w14:paraId="029A13B4" w14:textId="77777777" w:rsidR="00AE72F1" w:rsidRDefault="00AE72F1" w:rsidP="000A3C72">
      <w:pPr>
        <w:spacing w:after="0" w:line="240" w:lineRule="auto"/>
      </w:pPr>
      <w:r>
        <w:continuationSeparator/>
      </w:r>
    </w:p>
  </w:endnote>
  <w:endnote w:type="continuationNotice" w:id="1">
    <w:p w14:paraId="540B5E3A" w14:textId="77777777" w:rsidR="00AE72F1" w:rsidRDefault="00AE7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126215"/>
      <w:docPartObj>
        <w:docPartGallery w:val="Page Numbers (Bottom of Page)"/>
        <w:docPartUnique/>
      </w:docPartObj>
    </w:sdtPr>
    <w:sdtEndPr>
      <w:rPr>
        <w:sz w:val="22"/>
        <w:szCs w:val="22"/>
      </w:rPr>
    </w:sdtEndPr>
    <w:sdtContent>
      <w:p w14:paraId="32B2B544" w14:textId="690B2847" w:rsidR="00425681" w:rsidRPr="009851BD" w:rsidRDefault="00425681">
        <w:pPr>
          <w:pStyle w:val="Piedepgina"/>
          <w:jc w:val="right"/>
          <w:rPr>
            <w:sz w:val="22"/>
            <w:szCs w:val="22"/>
          </w:rPr>
        </w:pPr>
        <w:r w:rsidRPr="009851BD">
          <w:rPr>
            <w:sz w:val="22"/>
            <w:szCs w:val="22"/>
          </w:rPr>
          <w:fldChar w:fldCharType="begin"/>
        </w:r>
        <w:r w:rsidRPr="009851BD">
          <w:rPr>
            <w:sz w:val="22"/>
            <w:szCs w:val="22"/>
          </w:rPr>
          <w:instrText>PAGE   \* MERGEFORMAT</w:instrText>
        </w:r>
        <w:r w:rsidRPr="009851BD">
          <w:rPr>
            <w:sz w:val="22"/>
            <w:szCs w:val="22"/>
          </w:rPr>
          <w:fldChar w:fldCharType="separate"/>
        </w:r>
        <w:r w:rsidR="00AE72F1" w:rsidRPr="00AE72F1">
          <w:rPr>
            <w:noProof/>
            <w:sz w:val="22"/>
            <w:szCs w:val="22"/>
            <w:lang w:val="es-ES"/>
          </w:rPr>
          <w:t>1</w:t>
        </w:r>
        <w:r w:rsidRPr="009851BD">
          <w:rPr>
            <w:sz w:val="22"/>
            <w:szCs w:val="22"/>
          </w:rPr>
          <w:fldChar w:fldCharType="end"/>
        </w:r>
      </w:p>
    </w:sdtContent>
  </w:sdt>
  <w:p w14:paraId="77CACC7D" w14:textId="77777777" w:rsidR="00425681" w:rsidRDefault="004256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C87A" w14:textId="77777777" w:rsidR="00AE72F1" w:rsidRDefault="00AE72F1" w:rsidP="000A3C72">
      <w:pPr>
        <w:spacing w:after="0" w:line="240" w:lineRule="auto"/>
      </w:pPr>
      <w:r>
        <w:separator/>
      </w:r>
    </w:p>
  </w:footnote>
  <w:footnote w:type="continuationSeparator" w:id="0">
    <w:p w14:paraId="28D6AC99" w14:textId="77777777" w:rsidR="00AE72F1" w:rsidRDefault="00AE72F1" w:rsidP="000A3C72">
      <w:pPr>
        <w:spacing w:after="0" w:line="240" w:lineRule="auto"/>
      </w:pPr>
      <w:r>
        <w:continuationSeparator/>
      </w:r>
    </w:p>
  </w:footnote>
  <w:footnote w:type="continuationNotice" w:id="1">
    <w:p w14:paraId="251BBB58" w14:textId="77777777" w:rsidR="00AE72F1" w:rsidRDefault="00AE72F1">
      <w:pPr>
        <w:spacing w:after="0" w:line="240" w:lineRule="auto"/>
      </w:pPr>
    </w:p>
  </w:footnote>
  <w:footnote w:id="2">
    <w:p w14:paraId="21C43E7C" w14:textId="77777777" w:rsidR="00425681" w:rsidRPr="008E3E38" w:rsidRDefault="00425681">
      <w:pPr>
        <w:pStyle w:val="Textonotapie"/>
        <w:rPr>
          <w:lang w:val="es-MX"/>
        </w:rPr>
      </w:pPr>
      <w:r>
        <w:rPr>
          <w:rStyle w:val="Refdenotaalpie"/>
        </w:rPr>
        <w:footnoteRef/>
      </w:r>
      <w:r>
        <w:t xml:space="preserve"> En consistencia con las directivas previstas en la “Agenda Digital Europea” (COM(2010) 472), la cual tiene como propósito que para 2020 todos los ciudadanos tengan accesos de banda ancha con velocidades de 30 Mbps y al menos el 50% de los hogares europeos tengan una conexión a internet con velocidades de acceso mayores a 100 Mbps.</w:t>
      </w:r>
    </w:p>
  </w:footnote>
  <w:footnote w:id="3">
    <w:p w14:paraId="009DDF63" w14:textId="77777777" w:rsidR="00425681" w:rsidRPr="00D9102E" w:rsidRDefault="00425681">
      <w:pPr>
        <w:pStyle w:val="Textonotapie"/>
        <w:rPr>
          <w:lang w:val="es-MX"/>
        </w:rPr>
      </w:pPr>
      <w:r>
        <w:rPr>
          <w:rStyle w:val="Refdenotaalpie"/>
        </w:rPr>
        <w:footnoteRef/>
      </w:r>
      <w:r>
        <w:t xml:space="preserve"> </w:t>
      </w:r>
      <w:r>
        <w:rPr>
          <w:lang w:val="es-MX"/>
        </w:rPr>
        <w:t xml:space="preserve">Véase la siguiente liga: </w:t>
      </w:r>
      <w:hyperlink r:id="rId1" w:history="1">
        <w:r w:rsidRPr="009376E3">
          <w:rPr>
            <w:rStyle w:val="Hipervnculo"/>
            <w:lang w:val="es-MX"/>
          </w:rPr>
          <w:t>https://eur-lex.europa.eu/legal-content/ES/TXT/PDF/?uri=CELEX:32010H0572&amp;from=DE</w:t>
        </w:r>
      </w:hyperlink>
      <w:r>
        <w:rPr>
          <w:lang w:val="es-MX"/>
        </w:rPr>
        <w:t xml:space="preserve"> </w:t>
      </w:r>
    </w:p>
  </w:footnote>
  <w:footnote w:id="4">
    <w:p w14:paraId="438F7F41" w14:textId="77777777" w:rsidR="00425681" w:rsidRPr="003322FA" w:rsidRDefault="00425681">
      <w:pPr>
        <w:pStyle w:val="Textonotapie"/>
        <w:rPr>
          <w:lang w:val="es-MX"/>
        </w:rPr>
      </w:pPr>
      <w:r>
        <w:rPr>
          <w:rStyle w:val="Refdenotaalpie"/>
        </w:rPr>
        <w:footnoteRef/>
      </w:r>
      <w:r>
        <w:t xml:space="preserve"> Véase para mayor detalle el siguiente enlace: </w:t>
      </w:r>
      <w:hyperlink r:id="rId2" w:history="1">
        <w:r w:rsidRPr="009376E3">
          <w:rPr>
            <w:rStyle w:val="Hipervnculo"/>
          </w:rPr>
          <w:t>https://eur-lex.europa.eu/legal-content/ES/TXT/PDF/?uri=CELEX:32014L0061&amp;from=EN</w:t>
        </w:r>
      </w:hyperlink>
      <w:r>
        <w:t xml:space="preserve"> </w:t>
      </w:r>
    </w:p>
  </w:footnote>
  <w:footnote w:id="5">
    <w:p w14:paraId="7311B37B" w14:textId="77777777" w:rsidR="00425681" w:rsidRPr="00EE6D2F" w:rsidRDefault="00425681">
      <w:pPr>
        <w:pStyle w:val="Textonotapie"/>
        <w:rPr>
          <w:lang w:val="es-MX"/>
        </w:rPr>
      </w:pPr>
      <w:r>
        <w:rPr>
          <w:rStyle w:val="Refdenotaalpie"/>
        </w:rPr>
        <w:footnoteRef/>
      </w:r>
      <w:r>
        <w:t xml:space="preserve"> </w:t>
      </w:r>
      <w:hyperlink r:id="rId3" w:history="1">
        <w:r w:rsidRPr="0051180D">
          <w:rPr>
            <w:rStyle w:val="Hipervnculo"/>
            <w:lang w:val="es-CU"/>
          </w:rPr>
          <w:t>https://www.anacom.pt/render.jsp?contentId=1376844&amp;languageId=1</w:t>
        </w:r>
      </w:hyperlink>
    </w:p>
  </w:footnote>
  <w:footnote w:id="6">
    <w:p w14:paraId="091F7D4F" w14:textId="77777777" w:rsidR="00425681" w:rsidRPr="00EE6D2F" w:rsidRDefault="00425681">
      <w:pPr>
        <w:pStyle w:val="Textonotapie"/>
        <w:rPr>
          <w:lang w:val="es-MX"/>
        </w:rPr>
      </w:pPr>
      <w:r>
        <w:rPr>
          <w:rStyle w:val="Refdenotaalpie"/>
        </w:rPr>
        <w:footnoteRef/>
      </w:r>
      <w:r>
        <w:t xml:space="preserve"> </w:t>
      </w:r>
      <w:hyperlink r:id="rId4" w:history="1">
        <w:r w:rsidRPr="00EE6D2F">
          <w:rPr>
            <w:rStyle w:val="Hipervnculo"/>
            <w:lang w:val="es-MX"/>
          </w:rPr>
          <w:t>https://www.bundesnetzagentur.de/DE/Sachgebiete/Telekommunikation/Unternehmen_Institutionen/ZIdB/ZIdB-node.html</w:t>
        </w:r>
      </w:hyperlink>
    </w:p>
  </w:footnote>
  <w:footnote w:id="7">
    <w:p w14:paraId="1816EA7C" w14:textId="77777777" w:rsidR="00425681" w:rsidRPr="00EE6D2F" w:rsidRDefault="00425681">
      <w:pPr>
        <w:pStyle w:val="Textonotapie"/>
        <w:rPr>
          <w:lang w:val="es-MX"/>
        </w:rPr>
      </w:pPr>
      <w:r>
        <w:rPr>
          <w:rStyle w:val="Refdenotaalpie"/>
        </w:rPr>
        <w:footnoteRef/>
      </w:r>
      <w:r>
        <w:t xml:space="preserve"> </w:t>
      </w:r>
      <w:r w:rsidRPr="007C7CDA">
        <w:rPr>
          <w:lang w:val="es-MX"/>
        </w:rPr>
        <w:t>https://www.ledningskollen.se/</w:t>
      </w:r>
    </w:p>
  </w:footnote>
  <w:footnote w:id="8">
    <w:p w14:paraId="30B83CC0" w14:textId="6A32D3C8" w:rsidR="00425681" w:rsidRPr="009851BD" w:rsidRDefault="00425681">
      <w:pPr>
        <w:pStyle w:val="Textonotapie"/>
        <w:rPr>
          <w:lang w:val="es-MX"/>
        </w:rPr>
      </w:pPr>
      <w:r w:rsidRPr="00903D32">
        <w:rPr>
          <w:rStyle w:val="Refdenotaalpie"/>
        </w:rPr>
        <w:footnoteRef/>
      </w:r>
      <w:r w:rsidRPr="00903D32">
        <w:t xml:space="preserve"> </w:t>
      </w:r>
      <w:hyperlink r:id="rId5" w:history="1">
        <w:r w:rsidRPr="00903D32">
          <w:rPr>
            <w:rStyle w:val="Hipervnculo"/>
          </w:rPr>
          <w:t>http://www.ift.org.mx/industria/consultas-publicas/consulta-publica-sobre-el-anteproyecto-de-anteproyecto-de-lineamientos-para-la-entrega-inscripcion-y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DB8E" w14:textId="77777777" w:rsidR="00425681" w:rsidRDefault="00425681" w:rsidP="00D21675">
    <w:pPr>
      <w:pStyle w:val="Encabezado"/>
      <w:rPr>
        <w:i/>
      </w:rPr>
    </w:pPr>
    <w:r w:rsidRPr="001C4D02">
      <w:rPr>
        <w:noProof/>
        <w:color w:val="00B050"/>
        <w:lang w:val="es-MX"/>
      </w:rPr>
      <w:drawing>
        <wp:anchor distT="0" distB="0" distL="114300" distR="114300" simplePos="0" relativeHeight="251658240" behindDoc="1" locked="0" layoutInCell="1" allowOverlap="1" wp14:anchorId="65567623" wp14:editId="40FEF834">
          <wp:simplePos x="0" y="0"/>
          <wp:positionH relativeFrom="page">
            <wp:posOffset>32301180</wp:posOffset>
          </wp:positionH>
          <wp:positionV relativeFrom="paragraph">
            <wp:posOffset>-318684275</wp:posOffset>
          </wp:positionV>
          <wp:extent cx="1955165" cy="2157730"/>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5165" cy="2157730"/>
                  </a:xfrm>
                  <a:prstGeom prst="rect">
                    <a:avLst/>
                  </a:prstGeom>
                </pic:spPr>
              </pic:pic>
            </a:graphicData>
          </a:graphic>
          <wp14:sizeRelH relativeFrom="page">
            <wp14:pctWidth>0</wp14:pctWidth>
          </wp14:sizeRelH>
          <wp14:sizeRelV relativeFrom="page">
            <wp14:pctHeight>0</wp14:pctHeight>
          </wp14:sizeRelV>
        </wp:anchor>
      </w:drawing>
    </w:r>
  </w:p>
  <w:p w14:paraId="2C9DA4D0" w14:textId="65EA950D" w:rsidR="00425681" w:rsidRDefault="00425681" w:rsidP="00791883">
    <w:pPr>
      <w:pStyle w:val="Encabezado"/>
      <w:jc w:val="right"/>
      <w:rPr>
        <w:rFonts w:eastAsia="ITC Avant Garde" w:cs="ITC Avant Garde"/>
        <w:i/>
        <w:iCs/>
        <w:sz w:val="16"/>
        <w:szCs w:val="16"/>
      </w:rPr>
    </w:pPr>
  </w:p>
  <w:p w14:paraId="36C88B51" w14:textId="77777777" w:rsidR="00425681" w:rsidRDefault="004256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447A471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E463A0"/>
    <w:multiLevelType w:val="hybridMultilevel"/>
    <w:tmpl w:val="892489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4F33296"/>
    <w:multiLevelType w:val="hybridMultilevel"/>
    <w:tmpl w:val="3EF46A92"/>
    <w:lvl w:ilvl="0" w:tplc="2A5A39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094BBF"/>
    <w:multiLevelType w:val="hybridMultilevel"/>
    <w:tmpl w:val="514C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FB75A9"/>
    <w:multiLevelType w:val="hybridMultilevel"/>
    <w:tmpl w:val="F7D0832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DA682B"/>
    <w:multiLevelType w:val="hybridMultilevel"/>
    <w:tmpl w:val="738AD9EC"/>
    <w:lvl w:ilvl="0" w:tplc="C61CD05E">
      <w:start w:val="1"/>
      <w:numFmt w:val="ordinalText"/>
      <w:lvlText w:val="%1."/>
      <w:lvlJc w:val="left"/>
      <w:pPr>
        <w:ind w:left="927" w:hanging="360"/>
      </w:pPr>
      <w:rPr>
        <w:rFonts w:ascii="ITC Avant Garde" w:hAnsi="ITC Avant Garde" w:hint="default"/>
        <w:b/>
        <w:i w:val="0"/>
        <w:caps/>
        <w:strike w:val="0"/>
        <w:dstrike w:val="0"/>
        <w:vanish w:val="0"/>
        <w:sz w:val="22"/>
        <w:u w:val="none"/>
        <w:vertAlign w:val="baseline"/>
      </w:rPr>
    </w:lvl>
    <w:lvl w:ilvl="1" w:tplc="080A0019" w:tentative="1">
      <w:start w:val="1"/>
      <w:numFmt w:val="lowerLetter"/>
      <w:lvlText w:val="%2."/>
      <w:lvlJc w:val="left"/>
      <w:pPr>
        <w:ind w:left="-5648" w:hanging="360"/>
      </w:pPr>
    </w:lvl>
    <w:lvl w:ilvl="2" w:tplc="080A001B" w:tentative="1">
      <w:start w:val="1"/>
      <w:numFmt w:val="lowerRoman"/>
      <w:lvlText w:val="%3."/>
      <w:lvlJc w:val="right"/>
      <w:pPr>
        <w:ind w:left="-4928" w:hanging="180"/>
      </w:pPr>
    </w:lvl>
    <w:lvl w:ilvl="3" w:tplc="080A000F" w:tentative="1">
      <w:start w:val="1"/>
      <w:numFmt w:val="decimal"/>
      <w:lvlText w:val="%4."/>
      <w:lvlJc w:val="left"/>
      <w:pPr>
        <w:ind w:left="-4208" w:hanging="360"/>
      </w:pPr>
    </w:lvl>
    <w:lvl w:ilvl="4" w:tplc="080A0019" w:tentative="1">
      <w:start w:val="1"/>
      <w:numFmt w:val="lowerLetter"/>
      <w:lvlText w:val="%5."/>
      <w:lvlJc w:val="left"/>
      <w:pPr>
        <w:ind w:left="-3488" w:hanging="360"/>
      </w:pPr>
    </w:lvl>
    <w:lvl w:ilvl="5" w:tplc="080A001B" w:tentative="1">
      <w:start w:val="1"/>
      <w:numFmt w:val="lowerRoman"/>
      <w:lvlText w:val="%6."/>
      <w:lvlJc w:val="right"/>
      <w:pPr>
        <w:ind w:left="-2768" w:hanging="180"/>
      </w:pPr>
    </w:lvl>
    <w:lvl w:ilvl="6" w:tplc="080A000F" w:tentative="1">
      <w:start w:val="1"/>
      <w:numFmt w:val="decimal"/>
      <w:lvlText w:val="%7."/>
      <w:lvlJc w:val="left"/>
      <w:pPr>
        <w:ind w:left="-2048" w:hanging="360"/>
      </w:pPr>
    </w:lvl>
    <w:lvl w:ilvl="7" w:tplc="080A0019" w:tentative="1">
      <w:start w:val="1"/>
      <w:numFmt w:val="lowerLetter"/>
      <w:lvlText w:val="%8."/>
      <w:lvlJc w:val="left"/>
      <w:pPr>
        <w:ind w:left="-1328" w:hanging="360"/>
      </w:pPr>
    </w:lvl>
    <w:lvl w:ilvl="8" w:tplc="080A001B" w:tentative="1">
      <w:start w:val="1"/>
      <w:numFmt w:val="lowerRoman"/>
      <w:lvlText w:val="%9."/>
      <w:lvlJc w:val="right"/>
      <w:pPr>
        <w:ind w:left="-608" w:hanging="180"/>
      </w:pPr>
    </w:lvl>
  </w:abstractNum>
  <w:abstractNum w:abstractNumId="6" w15:restartNumberingAfterBreak="0">
    <w:nsid w:val="3E2379D7"/>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49D05DA"/>
    <w:multiLevelType w:val="hybridMultilevel"/>
    <w:tmpl w:val="4F88A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6E096C"/>
    <w:multiLevelType w:val="hybridMultilevel"/>
    <w:tmpl w:val="4872B1AE"/>
    <w:lvl w:ilvl="0" w:tplc="11368C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DA5ABF"/>
    <w:multiLevelType w:val="hybridMultilevel"/>
    <w:tmpl w:val="AD4CD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863388"/>
    <w:multiLevelType w:val="hybridMultilevel"/>
    <w:tmpl w:val="11844440"/>
    <w:lvl w:ilvl="0" w:tplc="F4CAAD84">
      <w:numFmt w:val="bullet"/>
      <w:lvlText w:val="-"/>
      <w:lvlJc w:val="left"/>
      <w:pPr>
        <w:ind w:left="720" w:hanging="360"/>
      </w:pPr>
      <w:rPr>
        <w:rFonts w:ascii="ITC Avant Garde" w:eastAsia="Times New Roman" w:hAnsi="ITC Avant Gard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4DE4259"/>
    <w:multiLevelType w:val="hybridMultilevel"/>
    <w:tmpl w:val="0A5A8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7"/>
  </w:num>
  <w:num w:numId="6">
    <w:abstractNumId w:val="10"/>
  </w:num>
  <w:num w:numId="7">
    <w:abstractNumId w:val="9"/>
  </w:num>
  <w:num w:numId="8">
    <w:abstractNumId w:val="6"/>
  </w:num>
  <w:num w:numId="9">
    <w:abstractNumId w:val="2"/>
  </w:num>
  <w:num w:numId="10">
    <w:abstractNumId w:val="12"/>
  </w:num>
  <w:num w:numId="11">
    <w:abstractNumId w:val="3"/>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72"/>
    <w:rsid w:val="00001119"/>
    <w:rsid w:val="00007729"/>
    <w:rsid w:val="000167CF"/>
    <w:rsid w:val="00017D34"/>
    <w:rsid w:val="000217C1"/>
    <w:rsid w:val="0002181A"/>
    <w:rsid w:val="0002232E"/>
    <w:rsid w:val="00026ED4"/>
    <w:rsid w:val="000274A9"/>
    <w:rsid w:val="00027A23"/>
    <w:rsid w:val="00031062"/>
    <w:rsid w:val="00031AAA"/>
    <w:rsid w:val="0003362C"/>
    <w:rsid w:val="000344BF"/>
    <w:rsid w:val="00035397"/>
    <w:rsid w:val="00040506"/>
    <w:rsid w:val="00040E58"/>
    <w:rsid w:val="0004123C"/>
    <w:rsid w:val="00042A5C"/>
    <w:rsid w:val="00042B21"/>
    <w:rsid w:val="0004444C"/>
    <w:rsid w:val="000455D5"/>
    <w:rsid w:val="0004708F"/>
    <w:rsid w:val="00051257"/>
    <w:rsid w:val="00051B70"/>
    <w:rsid w:val="0005235E"/>
    <w:rsid w:val="000546D8"/>
    <w:rsid w:val="00055C3D"/>
    <w:rsid w:val="00057DAB"/>
    <w:rsid w:val="00062471"/>
    <w:rsid w:val="00063585"/>
    <w:rsid w:val="00066B34"/>
    <w:rsid w:val="00076078"/>
    <w:rsid w:val="000807D2"/>
    <w:rsid w:val="000808D0"/>
    <w:rsid w:val="00080B52"/>
    <w:rsid w:val="00083278"/>
    <w:rsid w:val="00083B54"/>
    <w:rsid w:val="00083D63"/>
    <w:rsid w:val="00084137"/>
    <w:rsid w:val="00084D63"/>
    <w:rsid w:val="00085413"/>
    <w:rsid w:val="0008543B"/>
    <w:rsid w:val="000879BA"/>
    <w:rsid w:val="000928B3"/>
    <w:rsid w:val="00094C52"/>
    <w:rsid w:val="000961FD"/>
    <w:rsid w:val="00096EB2"/>
    <w:rsid w:val="000970EB"/>
    <w:rsid w:val="000A0D3A"/>
    <w:rsid w:val="000A12CD"/>
    <w:rsid w:val="000A2569"/>
    <w:rsid w:val="000A3C72"/>
    <w:rsid w:val="000A4519"/>
    <w:rsid w:val="000A49E3"/>
    <w:rsid w:val="000A5B59"/>
    <w:rsid w:val="000B0287"/>
    <w:rsid w:val="000B06F0"/>
    <w:rsid w:val="000B1456"/>
    <w:rsid w:val="000B41B4"/>
    <w:rsid w:val="000B7BB9"/>
    <w:rsid w:val="000C1681"/>
    <w:rsid w:val="000C7113"/>
    <w:rsid w:val="000D100C"/>
    <w:rsid w:val="000D3CA8"/>
    <w:rsid w:val="000D4C9D"/>
    <w:rsid w:val="000D672E"/>
    <w:rsid w:val="000D6A8E"/>
    <w:rsid w:val="000D7119"/>
    <w:rsid w:val="000D7163"/>
    <w:rsid w:val="000E328D"/>
    <w:rsid w:val="000E38BC"/>
    <w:rsid w:val="000E7AE8"/>
    <w:rsid w:val="000F5EA2"/>
    <w:rsid w:val="000F737A"/>
    <w:rsid w:val="0010195A"/>
    <w:rsid w:val="001021A9"/>
    <w:rsid w:val="00104A7F"/>
    <w:rsid w:val="00107F34"/>
    <w:rsid w:val="00112A1A"/>
    <w:rsid w:val="0012094F"/>
    <w:rsid w:val="0012161A"/>
    <w:rsid w:val="0012410A"/>
    <w:rsid w:val="00124344"/>
    <w:rsid w:val="00127248"/>
    <w:rsid w:val="00132430"/>
    <w:rsid w:val="001347E3"/>
    <w:rsid w:val="00135724"/>
    <w:rsid w:val="001357E5"/>
    <w:rsid w:val="00135EEF"/>
    <w:rsid w:val="001366B3"/>
    <w:rsid w:val="00150CC8"/>
    <w:rsid w:val="001515A0"/>
    <w:rsid w:val="00153AF1"/>
    <w:rsid w:val="001609E6"/>
    <w:rsid w:val="00162C61"/>
    <w:rsid w:val="00163D28"/>
    <w:rsid w:val="0016578C"/>
    <w:rsid w:val="001663E4"/>
    <w:rsid w:val="00166686"/>
    <w:rsid w:val="00166FBA"/>
    <w:rsid w:val="00167AE4"/>
    <w:rsid w:val="0017439B"/>
    <w:rsid w:val="00176BA6"/>
    <w:rsid w:val="00180C13"/>
    <w:rsid w:val="00182C0E"/>
    <w:rsid w:val="001877EF"/>
    <w:rsid w:val="001933C3"/>
    <w:rsid w:val="001934AD"/>
    <w:rsid w:val="001942AE"/>
    <w:rsid w:val="00194632"/>
    <w:rsid w:val="00196C89"/>
    <w:rsid w:val="001A123D"/>
    <w:rsid w:val="001A230F"/>
    <w:rsid w:val="001A2A2A"/>
    <w:rsid w:val="001A2DBD"/>
    <w:rsid w:val="001A3B44"/>
    <w:rsid w:val="001A46C8"/>
    <w:rsid w:val="001A6C92"/>
    <w:rsid w:val="001B0756"/>
    <w:rsid w:val="001B18C3"/>
    <w:rsid w:val="001B3017"/>
    <w:rsid w:val="001B5475"/>
    <w:rsid w:val="001B6353"/>
    <w:rsid w:val="001B7662"/>
    <w:rsid w:val="001C146C"/>
    <w:rsid w:val="001C1549"/>
    <w:rsid w:val="001C4BF9"/>
    <w:rsid w:val="001C5422"/>
    <w:rsid w:val="001C5D80"/>
    <w:rsid w:val="001D01B0"/>
    <w:rsid w:val="001D0742"/>
    <w:rsid w:val="001D325F"/>
    <w:rsid w:val="001D3AC4"/>
    <w:rsid w:val="001D4D79"/>
    <w:rsid w:val="001D5CB5"/>
    <w:rsid w:val="001E2A82"/>
    <w:rsid w:val="001F0860"/>
    <w:rsid w:val="001F1D2B"/>
    <w:rsid w:val="001F4608"/>
    <w:rsid w:val="001F7587"/>
    <w:rsid w:val="00201B50"/>
    <w:rsid w:val="0020226E"/>
    <w:rsid w:val="0020265D"/>
    <w:rsid w:val="002035DE"/>
    <w:rsid w:val="00204DA0"/>
    <w:rsid w:val="002062FA"/>
    <w:rsid w:val="00210B81"/>
    <w:rsid w:val="00210ECC"/>
    <w:rsid w:val="00210F3A"/>
    <w:rsid w:val="0021136C"/>
    <w:rsid w:val="00216D74"/>
    <w:rsid w:val="002212BF"/>
    <w:rsid w:val="002227A0"/>
    <w:rsid w:val="00231825"/>
    <w:rsid w:val="00233F6A"/>
    <w:rsid w:val="00234885"/>
    <w:rsid w:val="00237505"/>
    <w:rsid w:val="0024207C"/>
    <w:rsid w:val="002442CD"/>
    <w:rsid w:val="00245146"/>
    <w:rsid w:val="00246F58"/>
    <w:rsid w:val="00247028"/>
    <w:rsid w:val="00247EF6"/>
    <w:rsid w:val="00247F3A"/>
    <w:rsid w:val="0025642C"/>
    <w:rsid w:val="00257C11"/>
    <w:rsid w:val="0026032E"/>
    <w:rsid w:val="00261305"/>
    <w:rsid w:val="00261FA7"/>
    <w:rsid w:val="00262C44"/>
    <w:rsid w:val="0026409B"/>
    <w:rsid w:val="0026669E"/>
    <w:rsid w:val="00267EEB"/>
    <w:rsid w:val="00270FAD"/>
    <w:rsid w:val="00271902"/>
    <w:rsid w:val="00273102"/>
    <w:rsid w:val="00273D53"/>
    <w:rsid w:val="00274AF3"/>
    <w:rsid w:val="002751E3"/>
    <w:rsid w:val="00282A62"/>
    <w:rsid w:val="00282B1A"/>
    <w:rsid w:val="002838AA"/>
    <w:rsid w:val="00284A26"/>
    <w:rsid w:val="00285201"/>
    <w:rsid w:val="00286F7E"/>
    <w:rsid w:val="00290626"/>
    <w:rsid w:val="00293C8B"/>
    <w:rsid w:val="00294567"/>
    <w:rsid w:val="002A152E"/>
    <w:rsid w:val="002A38E8"/>
    <w:rsid w:val="002A463F"/>
    <w:rsid w:val="002A5BD1"/>
    <w:rsid w:val="002A603D"/>
    <w:rsid w:val="002A6592"/>
    <w:rsid w:val="002A740E"/>
    <w:rsid w:val="002A7464"/>
    <w:rsid w:val="002B1BD2"/>
    <w:rsid w:val="002B3693"/>
    <w:rsid w:val="002B79AB"/>
    <w:rsid w:val="002C6BFD"/>
    <w:rsid w:val="002C7BD2"/>
    <w:rsid w:val="002D1853"/>
    <w:rsid w:val="002D3889"/>
    <w:rsid w:val="002D55F1"/>
    <w:rsid w:val="002D7546"/>
    <w:rsid w:val="002E05C1"/>
    <w:rsid w:val="002E58DF"/>
    <w:rsid w:val="002E77C3"/>
    <w:rsid w:val="002E7C87"/>
    <w:rsid w:val="002F0282"/>
    <w:rsid w:val="002F0AE1"/>
    <w:rsid w:val="002F1DAF"/>
    <w:rsid w:val="002F35C6"/>
    <w:rsid w:val="002F3744"/>
    <w:rsid w:val="002F48F5"/>
    <w:rsid w:val="002F5253"/>
    <w:rsid w:val="002F578C"/>
    <w:rsid w:val="00303679"/>
    <w:rsid w:val="0030444D"/>
    <w:rsid w:val="00304452"/>
    <w:rsid w:val="003054AC"/>
    <w:rsid w:val="00305D4A"/>
    <w:rsid w:val="00307ADC"/>
    <w:rsid w:val="00310D54"/>
    <w:rsid w:val="00311CE8"/>
    <w:rsid w:val="00311DE6"/>
    <w:rsid w:val="00312984"/>
    <w:rsid w:val="003144A4"/>
    <w:rsid w:val="00323361"/>
    <w:rsid w:val="00326A92"/>
    <w:rsid w:val="00326CE2"/>
    <w:rsid w:val="003322FA"/>
    <w:rsid w:val="00332EFA"/>
    <w:rsid w:val="00333B67"/>
    <w:rsid w:val="003348AE"/>
    <w:rsid w:val="0033787F"/>
    <w:rsid w:val="0033792F"/>
    <w:rsid w:val="003407C7"/>
    <w:rsid w:val="0034120B"/>
    <w:rsid w:val="00341655"/>
    <w:rsid w:val="00341ADC"/>
    <w:rsid w:val="00342760"/>
    <w:rsid w:val="003448C0"/>
    <w:rsid w:val="00345143"/>
    <w:rsid w:val="00346701"/>
    <w:rsid w:val="00347657"/>
    <w:rsid w:val="00347825"/>
    <w:rsid w:val="00347BE4"/>
    <w:rsid w:val="00351BFF"/>
    <w:rsid w:val="00355F5F"/>
    <w:rsid w:val="00357BF1"/>
    <w:rsid w:val="00361E67"/>
    <w:rsid w:val="003634C2"/>
    <w:rsid w:val="00365F3E"/>
    <w:rsid w:val="00366E0D"/>
    <w:rsid w:val="00366E95"/>
    <w:rsid w:val="00370C01"/>
    <w:rsid w:val="003711CF"/>
    <w:rsid w:val="00372B0F"/>
    <w:rsid w:val="00372E34"/>
    <w:rsid w:val="0037394C"/>
    <w:rsid w:val="0037474A"/>
    <w:rsid w:val="003772F5"/>
    <w:rsid w:val="00377658"/>
    <w:rsid w:val="00383CD4"/>
    <w:rsid w:val="003852A4"/>
    <w:rsid w:val="00386C3C"/>
    <w:rsid w:val="00387331"/>
    <w:rsid w:val="0039021E"/>
    <w:rsid w:val="00390ED5"/>
    <w:rsid w:val="00393668"/>
    <w:rsid w:val="003948CA"/>
    <w:rsid w:val="00396C3E"/>
    <w:rsid w:val="00396EAB"/>
    <w:rsid w:val="00397CC7"/>
    <w:rsid w:val="003A0250"/>
    <w:rsid w:val="003A2FF1"/>
    <w:rsid w:val="003A7F7F"/>
    <w:rsid w:val="003B0177"/>
    <w:rsid w:val="003B0728"/>
    <w:rsid w:val="003B1B05"/>
    <w:rsid w:val="003B1E0E"/>
    <w:rsid w:val="003B45B9"/>
    <w:rsid w:val="003C0B65"/>
    <w:rsid w:val="003C3E09"/>
    <w:rsid w:val="003C5420"/>
    <w:rsid w:val="003D14F5"/>
    <w:rsid w:val="003D2D94"/>
    <w:rsid w:val="003D5F7C"/>
    <w:rsid w:val="003D6F9C"/>
    <w:rsid w:val="003E5AB4"/>
    <w:rsid w:val="003E5D9B"/>
    <w:rsid w:val="003E5F63"/>
    <w:rsid w:val="003E657F"/>
    <w:rsid w:val="003E7C3A"/>
    <w:rsid w:val="003F26FF"/>
    <w:rsid w:val="003F4D27"/>
    <w:rsid w:val="003F5933"/>
    <w:rsid w:val="003F6966"/>
    <w:rsid w:val="0040182D"/>
    <w:rsid w:val="00401CEA"/>
    <w:rsid w:val="004027F2"/>
    <w:rsid w:val="004035A3"/>
    <w:rsid w:val="0040402B"/>
    <w:rsid w:val="00404458"/>
    <w:rsid w:val="00404C61"/>
    <w:rsid w:val="0040613F"/>
    <w:rsid w:val="00406C9C"/>
    <w:rsid w:val="004078E7"/>
    <w:rsid w:val="00411C58"/>
    <w:rsid w:val="00416074"/>
    <w:rsid w:val="00417C76"/>
    <w:rsid w:val="004230CC"/>
    <w:rsid w:val="004235DD"/>
    <w:rsid w:val="00425681"/>
    <w:rsid w:val="00426580"/>
    <w:rsid w:val="00427569"/>
    <w:rsid w:val="004305DC"/>
    <w:rsid w:val="00430F3A"/>
    <w:rsid w:val="00432AF2"/>
    <w:rsid w:val="00433634"/>
    <w:rsid w:val="00433878"/>
    <w:rsid w:val="004356BB"/>
    <w:rsid w:val="00440303"/>
    <w:rsid w:val="00440599"/>
    <w:rsid w:val="0044127E"/>
    <w:rsid w:val="00441529"/>
    <w:rsid w:val="0044166C"/>
    <w:rsid w:val="00445974"/>
    <w:rsid w:val="00445A0A"/>
    <w:rsid w:val="00445FD4"/>
    <w:rsid w:val="00447141"/>
    <w:rsid w:val="00451A2D"/>
    <w:rsid w:val="00451E07"/>
    <w:rsid w:val="00452131"/>
    <w:rsid w:val="004521CA"/>
    <w:rsid w:val="00452A47"/>
    <w:rsid w:val="00453A7F"/>
    <w:rsid w:val="00453BC7"/>
    <w:rsid w:val="00454D3B"/>
    <w:rsid w:val="0045715D"/>
    <w:rsid w:val="00457727"/>
    <w:rsid w:val="00464CB7"/>
    <w:rsid w:val="00466957"/>
    <w:rsid w:val="0046699C"/>
    <w:rsid w:val="0046759B"/>
    <w:rsid w:val="00470CD6"/>
    <w:rsid w:val="00471DB0"/>
    <w:rsid w:val="0047789C"/>
    <w:rsid w:val="004816FD"/>
    <w:rsid w:val="0048191C"/>
    <w:rsid w:val="0048206D"/>
    <w:rsid w:val="004825C1"/>
    <w:rsid w:val="00491430"/>
    <w:rsid w:val="0049284D"/>
    <w:rsid w:val="00494B8B"/>
    <w:rsid w:val="00494C70"/>
    <w:rsid w:val="0049664B"/>
    <w:rsid w:val="004A1F44"/>
    <w:rsid w:val="004A3BBF"/>
    <w:rsid w:val="004A40D0"/>
    <w:rsid w:val="004A49DC"/>
    <w:rsid w:val="004A723F"/>
    <w:rsid w:val="004A7AB8"/>
    <w:rsid w:val="004B063F"/>
    <w:rsid w:val="004B1F3C"/>
    <w:rsid w:val="004B6848"/>
    <w:rsid w:val="004B68A7"/>
    <w:rsid w:val="004C0C39"/>
    <w:rsid w:val="004C13D8"/>
    <w:rsid w:val="004C3B6D"/>
    <w:rsid w:val="004C476B"/>
    <w:rsid w:val="004C552E"/>
    <w:rsid w:val="004C5E7B"/>
    <w:rsid w:val="004C7CB2"/>
    <w:rsid w:val="004D19E3"/>
    <w:rsid w:val="004D2ED9"/>
    <w:rsid w:val="004D6CC6"/>
    <w:rsid w:val="004E415F"/>
    <w:rsid w:val="004E7FA1"/>
    <w:rsid w:val="004F06BE"/>
    <w:rsid w:val="004F138A"/>
    <w:rsid w:val="004F3AD7"/>
    <w:rsid w:val="004F46AB"/>
    <w:rsid w:val="004F4717"/>
    <w:rsid w:val="004F4C75"/>
    <w:rsid w:val="004F6D74"/>
    <w:rsid w:val="005001D9"/>
    <w:rsid w:val="00501AFE"/>
    <w:rsid w:val="00502140"/>
    <w:rsid w:val="00502164"/>
    <w:rsid w:val="0051035B"/>
    <w:rsid w:val="0051180D"/>
    <w:rsid w:val="00513609"/>
    <w:rsid w:val="00514BED"/>
    <w:rsid w:val="00515B3E"/>
    <w:rsid w:val="00520CE6"/>
    <w:rsid w:val="0052352B"/>
    <w:rsid w:val="005306E4"/>
    <w:rsid w:val="00531E48"/>
    <w:rsid w:val="0053503C"/>
    <w:rsid w:val="00535D69"/>
    <w:rsid w:val="00536AAD"/>
    <w:rsid w:val="00536D90"/>
    <w:rsid w:val="0054004D"/>
    <w:rsid w:val="005406C7"/>
    <w:rsid w:val="00545492"/>
    <w:rsid w:val="00554AC4"/>
    <w:rsid w:val="00555759"/>
    <w:rsid w:val="0055673A"/>
    <w:rsid w:val="00557206"/>
    <w:rsid w:val="00560B42"/>
    <w:rsid w:val="0056310F"/>
    <w:rsid w:val="00565F86"/>
    <w:rsid w:val="00566065"/>
    <w:rsid w:val="0056650D"/>
    <w:rsid w:val="00575D31"/>
    <w:rsid w:val="00582E55"/>
    <w:rsid w:val="00585533"/>
    <w:rsid w:val="00593EE5"/>
    <w:rsid w:val="0059577A"/>
    <w:rsid w:val="00597787"/>
    <w:rsid w:val="00597F1F"/>
    <w:rsid w:val="005A13E5"/>
    <w:rsid w:val="005A176D"/>
    <w:rsid w:val="005A2265"/>
    <w:rsid w:val="005A31BC"/>
    <w:rsid w:val="005A48CB"/>
    <w:rsid w:val="005B09E0"/>
    <w:rsid w:val="005B0B36"/>
    <w:rsid w:val="005B3810"/>
    <w:rsid w:val="005B659E"/>
    <w:rsid w:val="005C5123"/>
    <w:rsid w:val="005D1D7C"/>
    <w:rsid w:val="005D38BB"/>
    <w:rsid w:val="005D7236"/>
    <w:rsid w:val="005E01AC"/>
    <w:rsid w:val="005E11B9"/>
    <w:rsid w:val="005E2288"/>
    <w:rsid w:val="005E237E"/>
    <w:rsid w:val="005E2FF9"/>
    <w:rsid w:val="005E3522"/>
    <w:rsid w:val="005F43B7"/>
    <w:rsid w:val="005F4937"/>
    <w:rsid w:val="005F504C"/>
    <w:rsid w:val="005F56DB"/>
    <w:rsid w:val="005F64D0"/>
    <w:rsid w:val="005F66A7"/>
    <w:rsid w:val="005F765F"/>
    <w:rsid w:val="00602470"/>
    <w:rsid w:val="00605947"/>
    <w:rsid w:val="006059BE"/>
    <w:rsid w:val="00606585"/>
    <w:rsid w:val="00610009"/>
    <w:rsid w:val="00610435"/>
    <w:rsid w:val="006104D2"/>
    <w:rsid w:val="00610F0F"/>
    <w:rsid w:val="006112BD"/>
    <w:rsid w:val="00612281"/>
    <w:rsid w:val="006159FA"/>
    <w:rsid w:val="006168BF"/>
    <w:rsid w:val="006227E7"/>
    <w:rsid w:val="00622AFA"/>
    <w:rsid w:val="0062359F"/>
    <w:rsid w:val="00633627"/>
    <w:rsid w:val="00633D6A"/>
    <w:rsid w:val="006347E4"/>
    <w:rsid w:val="006363BD"/>
    <w:rsid w:val="0063693A"/>
    <w:rsid w:val="006376D9"/>
    <w:rsid w:val="00641DE1"/>
    <w:rsid w:val="006422F8"/>
    <w:rsid w:val="00654227"/>
    <w:rsid w:val="00654D4D"/>
    <w:rsid w:val="006627E4"/>
    <w:rsid w:val="00663C83"/>
    <w:rsid w:val="00664DB4"/>
    <w:rsid w:val="00665216"/>
    <w:rsid w:val="00666893"/>
    <w:rsid w:val="00666AA8"/>
    <w:rsid w:val="00667821"/>
    <w:rsid w:val="0067014D"/>
    <w:rsid w:val="006713BA"/>
    <w:rsid w:val="00674114"/>
    <w:rsid w:val="00674561"/>
    <w:rsid w:val="00680F96"/>
    <w:rsid w:val="00680FDB"/>
    <w:rsid w:val="006814EB"/>
    <w:rsid w:val="00682FF2"/>
    <w:rsid w:val="00683FB7"/>
    <w:rsid w:val="00685CDB"/>
    <w:rsid w:val="00685E4A"/>
    <w:rsid w:val="00686113"/>
    <w:rsid w:val="00691A81"/>
    <w:rsid w:val="0069497E"/>
    <w:rsid w:val="0069637C"/>
    <w:rsid w:val="006A083F"/>
    <w:rsid w:val="006A223F"/>
    <w:rsid w:val="006A67D6"/>
    <w:rsid w:val="006A7F9A"/>
    <w:rsid w:val="006B0EBD"/>
    <w:rsid w:val="006B36BB"/>
    <w:rsid w:val="006B4191"/>
    <w:rsid w:val="006B49B8"/>
    <w:rsid w:val="006B51AE"/>
    <w:rsid w:val="006B548A"/>
    <w:rsid w:val="006B57D5"/>
    <w:rsid w:val="006C16BE"/>
    <w:rsid w:val="006C1BD3"/>
    <w:rsid w:val="006C5A95"/>
    <w:rsid w:val="006C755B"/>
    <w:rsid w:val="006D0108"/>
    <w:rsid w:val="006D0336"/>
    <w:rsid w:val="006D4B42"/>
    <w:rsid w:val="006D5489"/>
    <w:rsid w:val="006E019F"/>
    <w:rsid w:val="006E1080"/>
    <w:rsid w:val="006E3AA2"/>
    <w:rsid w:val="006E60BE"/>
    <w:rsid w:val="006E73E9"/>
    <w:rsid w:val="006F1A9D"/>
    <w:rsid w:val="006F1DC3"/>
    <w:rsid w:val="006F3696"/>
    <w:rsid w:val="006F3DAD"/>
    <w:rsid w:val="006F628E"/>
    <w:rsid w:val="006F6BA0"/>
    <w:rsid w:val="00700218"/>
    <w:rsid w:val="00700A19"/>
    <w:rsid w:val="0070173F"/>
    <w:rsid w:val="007048C4"/>
    <w:rsid w:val="00706734"/>
    <w:rsid w:val="0070673B"/>
    <w:rsid w:val="00707469"/>
    <w:rsid w:val="0071079F"/>
    <w:rsid w:val="00710F21"/>
    <w:rsid w:val="00712F9D"/>
    <w:rsid w:val="00713CEB"/>
    <w:rsid w:val="007163C0"/>
    <w:rsid w:val="00720669"/>
    <w:rsid w:val="00721986"/>
    <w:rsid w:val="0072311C"/>
    <w:rsid w:val="0072482C"/>
    <w:rsid w:val="00724EF0"/>
    <w:rsid w:val="00726C5E"/>
    <w:rsid w:val="00730210"/>
    <w:rsid w:val="00731CC5"/>
    <w:rsid w:val="007326A4"/>
    <w:rsid w:val="00732872"/>
    <w:rsid w:val="0073300F"/>
    <w:rsid w:val="00734DAD"/>
    <w:rsid w:val="00734E5B"/>
    <w:rsid w:val="00737225"/>
    <w:rsid w:val="00740891"/>
    <w:rsid w:val="007436DE"/>
    <w:rsid w:val="0074552A"/>
    <w:rsid w:val="00745646"/>
    <w:rsid w:val="00746F6C"/>
    <w:rsid w:val="007473DB"/>
    <w:rsid w:val="007505C4"/>
    <w:rsid w:val="00752B41"/>
    <w:rsid w:val="0075384D"/>
    <w:rsid w:val="00753FBE"/>
    <w:rsid w:val="00754673"/>
    <w:rsid w:val="00755A20"/>
    <w:rsid w:val="00756905"/>
    <w:rsid w:val="00757058"/>
    <w:rsid w:val="00757467"/>
    <w:rsid w:val="00757582"/>
    <w:rsid w:val="00761648"/>
    <w:rsid w:val="00761A50"/>
    <w:rsid w:val="00764A37"/>
    <w:rsid w:val="00766374"/>
    <w:rsid w:val="007704FE"/>
    <w:rsid w:val="00773AB8"/>
    <w:rsid w:val="00773FD3"/>
    <w:rsid w:val="00774127"/>
    <w:rsid w:val="00780094"/>
    <w:rsid w:val="0078139F"/>
    <w:rsid w:val="007818C9"/>
    <w:rsid w:val="007822BF"/>
    <w:rsid w:val="00784757"/>
    <w:rsid w:val="00785A81"/>
    <w:rsid w:val="0078753A"/>
    <w:rsid w:val="00791883"/>
    <w:rsid w:val="007937BB"/>
    <w:rsid w:val="00795A66"/>
    <w:rsid w:val="00796A47"/>
    <w:rsid w:val="007979F7"/>
    <w:rsid w:val="007A1CD8"/>
    <w:rsid w:val="007A4342"/>
    <w:rsid w:val="007B59D8"/>
    <w:rsid w:val="007B6105"/>
    <w:rsid w:val="007B611F"/>
    <w:rsid w:val="007B6A25"/>
    <w:rsid w:val="007C1E89"/>
    <w:rsid w:val="007C2DEA"/>
    <w:rsid w:val="007C3FC2"/>
    <w:rsid w:val="007C5FCF"/>
    <w:rsid w:val="007C7094"/>
    <w:rsid w:val="007C7CDA"/>
    <w:rsid w:val="007D0581"/>
    <w:rsid w:val="007D0D21"/>
    <w:rsid w:val="007D1F58"/>
    <w:rsid w:val="007D6261"/>
    <w:rsid w:val="007D6ED7"/>
    <w:rsid w:val="007D739D"/>
    <w:rsid w:val="007E78BD"/>
    <w:rsid w:val="007F7C2B"/>
    <w:rsid w:val="008041A4"/>
    <w:rsid w:val="00806C7C"/>
    <w:rsid w:val="00807DE1"/>
    <w:rsid w:val="00810A9B"/>
    <w:rsid w:val="008117FE"/>
    <w:rsid w:val="00813CDA"/>
    <w:rsid w:val="0081721A"/>
    <w:rsid w:val="008179C2"/>
    <w:rsid w:val="0082153D"/>
    <w:rsid w:val="0082352E"/>
    <w:rsid w:val="00823FF7"/>
    <w:rsid w:val="008258AE"/>
    <w:rsid w:val="00826FE3"/>
    <w:rsid w:val="008278A4"/>
    <w:rsid w:val="00831F3F"/>
    <w:rsid w:val="008327CA"/>
    <w:rsid w:val="00836C05"/>
    <w:rsid w:val="008437D2"/>
    <w:rsid w:val="00844832"/>
    <w:rsid w:val="00844C36"/>
    <w:rsid w:val="0084526C"/>
    <w:rsid w:val="0084701A"/>
    <w:rsid w:val="00847F07"/>
    <w:rsid w:val="0085258D"/>
    <w:rsid w:val="00854801"/>
    <w:rsid w:val="00854F2D"/>
    <w:rsid w:val="00855B12"/>
    <w:rsid w:val="008565DB"/>
    <w:rsid w:val="00857C57"/>
    <w:rsid w:val="008604C2"/>
    <w:rsid w:val="00860A07"/>
    <w:rsid w:val="00861BF9"/>
    <w:rsid w:val="008678D3"/>
    <w:rsid w:val="00871581"/>
    <w:rsid w:val="00872B23"/>
    <w:rsid w:val="00874951"/>
    <w:rsid w:val="0087522C"/>
    <w:rsid w:val="008770B2"/>
    <w:rsid w:val="00880C1F"/>
    <w:rsid w:val="00885453"/>
    <w:rsid w:val="00885841"/>
    <w:rsid w:val="00885EBC"/>
    <w:rsid w:val="00886967"/>
    <w:rsid w:val="00886AD8"/>
    <w:rsid w:val="0089020F"/>
    <w:rsid w:val="008907ED"/>
    <w:rsid w:val="00890B63"/>
    <w:rsid w:val="00892EBE"/>
    <w:rsid w:val="008957F4"/>
    <w:rsid w:val="008A022E"/>
    <w:rsid w:val="008A0DCF"/>
    <w:rsid w:val="008A206B"/>
    <w:rsid w:val="008A2C66"/>
    <w:rsid w:val="008A5748"/>
    <w:rsid w:val="008B016C"/>
    <w:rsid w:val="008B0785"/>
    <w:rsid w:val="008B14AA"/>
    <w:rsid w:val="008B1FF1"/>
    <w:rsid w:val="008B3FDD"/>
    <w:rsid w:val="008B4C72"/>
    <w:rsid w:val="008B6199"/>
    <w:rsid w:val="008C12E4"/>
    <w:rsid w:val="008C21F8"/>
    <w:rsid w:val="008C5440"/>
    <w:rsid w:val="008C5AD8"/>
    <w:rsid w:val="008C6658"/>
    <w:rsid w:val="008D099B"/>
    <w:rsid w:val="008D4A2F"/>
    <w:rsid w:val="008D5FEC"/>
    <w:rsid w:val="008D74B4"/>
    <w:rsid w:val="008E155C"/>
    <w:rsid w:val="008E32B7"/>
    <w:rsid w:val="008E3E38"/>
    <w:rsid w:val="008E46F4"/>
    <w:rsid w:val="008F0D70"/>
    <w:rsid w:val="008F2AB0"/>
    <w:rsid w:val="008F4E8E"/>
    <w:rsid w:val="008F5AF1"/>
    <w:rsid w:val="008F7E8A"/>
    <w:rsid w:val="00902867"/>
    <w:rsid w:val="009030F6"/>
    <w:rsid w:val="0090354A"/>
    <w:rsid w:val="00903D32"/>
    <w:rsid w:val="00904306"/>
    <w:rsid w:val="00905755"/>
    <w:rsid w:val="00905DEC"/>
    <w:rsid w:val="00907468"/>
    <w:rsid w:val="00913169"/>
    <w:rsid w:val="00915570"/>
    <w:rsid w:val="0091620F"/>
    <w:rsid w:val="00917B4C"/>
    <w:rsid w:val="0092310B"/>
    <w:rsid w:val="0092475D"/>
    <w:rsid w:val="009254F3"/>
    <w:rsid w:val="009273AD"/>
    <w:rsid w:val="00927C67"/>
    <w:rsid w:val="00927DD4"/>
    <w:rsid w:val="00931719"/>
    <w:rsid w:val="00934466"/>
    <w:rsid w:val="00935E12"/>
    <w:rsid w:val="00940511"/>
    <w:rsid w:val="00940F60"/>
    <w:rsid w:val="009418D4"/>
    <w:rsid w:val="00942515"/>
    <w:rsid w:val="00942847"/>
    <w:rsid w:val="009443DA"/>
    <w:rsid w:val="00945C79"/>
    <w:rsid w:val="009462AB"/>
    <w:rsid w:val="00947EF1"/>
    <w:rsid w:val="009514C6"/>
    <w:rsid w:val="00951B5E"/>
    <w:rsid w:val="00951C86"/>
    <w:rsid w:val="00951EB3"/>
    <w:rsid w:val="00952590"/>
    <w:rsid w:val="0095261B"/>
    <w:rsid w:val="00952F07"/>
    <w:rsid w:val="00955E6C"/>
    <w:rsid w:val="00957382"/>
    <w:rsid w:val="00961A65"/>
    <w:rsid w:val="009625B9"/>
    <w:rsid w:val="0096381F"/>
    <w:rsid w:val="00964BE8"/>
    <w:rsid w:val="00967BB9"/>
    <w:rsid w:val="00970572"/>
    <w:rsid w:val="00970ADA"/>
    <w:rsid w:val="00972C45"/>
    <w:rsid w:val="00974A55"/>
    <w:rsid w:val="00974B89"/>
    <w:rsid w:val="00982C01"/>
    <w:rsid w:val="00983EFD"/>
    <w:rsid w:val="00983FD8"/>
    <w:rsid w:val="00984032"/>
    <w:rsid w:val="009847C0"/>
    <w:rsid w:val="009851BD"/>
    <w:rsid w:val="00986A9C"/>
    <w:rsid w:val="0099127C"/>
    <w:rsid w:val="00992349"/>
    <w:rsid w:val="00993393"/>
    <w:rsid w:val="009933F6"/>
    <w:rsid w:val="00993E53"/>
    <w:rsid w:val="00994DA5"/>
    <w:rsid w:val="00995D4A"/>
    <w:rsid w:val="00997EEA"/>
    <w:rsid w:val="009A3A4B"/>
    <w:rsid w:val="009A544B"/>
    <w:rsid w:val="009A5820"/>
    <w:rsid w:val="009B6F75"/>
    <w:rsid w:val="009B7975"/>
    <w:rsid w:val="009C20E8"/>
    <w:rsid w:val="009C2C7A"/>
    <w:rsid w:val="009C3A96"/>
    <w:rsid w:val="009C55D8"/>
    <w:rsid w:val="009D02C6"/>
    <w:rsid w:val="009D0DB7"/>
    <w:rsid w:val="009D3B0A"/>
    <w:rsid w:val="009D435D"/>
    <w:rsid w:val="009D6502"/>
    <w:rsid w:val="009D769D"/>
    <w:rsid w:val="009E0E87"/>
    <w:rsid w:val="009E13CC"/>
    <w:rsid w:val="009E1573"/>
    <w:rsid w:val="009E1733"/>
    <w:rsid w:val="009E2C18"/>
    <w:rsid w:val="009E3B95"/>
    <w:rsid w:val="009E4E66"/>
    <w:rsid w:val="009E770E"/>
    <w:rsid w:val="009F18C3"/>
    <w:rsid w:val="009F193E"/>
    <w:rsid w:val="009F4968"/>
    <w:rsid w:val="00A027B2"/>
    <w:rsid w:val="00A02870"/>
    <w:rsid w:val="00A03DF2"/>
    <w:rsid w:val="00A12510"/>
    <w:rsid w:val="00A12D78"/>
    <w:rsid w:val="00A13A47"/>
    <w:rsid w:val="00A14A97"/>
    <w:rsid w:val="00A15D05"/>
    <w:rsid w:val="00A1676F"/>
    <w:rsid w:val="00A17312"/>
    <w:rsid w:val="00A17C4F"/>
    <w:rsid w:val="00A23190"/>
    <w:rsid w:val="00A23218"/>
    <w:rsid w:val="00A256CC"/>
    <w:rsid w:val="00A25F3E"/>
    <w:rsid w:val="00A312C6"/>
    <w:rsid w:val="00A31CEE"/>
    <w:rsid w:val="00A31F83"/>
    <w:rsid w:val="00A36392"/>
    <w:rsid w:val="00A377EF"/>
    <w:rsid w:val="00A40981"/>
    <w:rsid w:val="00A42E8E"/>
    <w:rsid w:val="00A42EC1"/>
    <w:rsid w:val="00A430E9"/>
    <w:rsid w:val="00A44935"/>
    <w:rsid w:val="00A4513E"/>
    <w:rsid w:val="00A4754D"/>
    <w:rsid w:val="00A51FB9"/>
    <w:rsid w:val="00A55985"/>
    <w:rsid w:val="00A60465"/>
    <w:rsid w:val="00A60541"/>
    <w:rsid w:val="00A62797"/>
    <w:rsid w:val="00A652C3"/>
    <w:rsid w:val="00A65D7D"/>
    <w:rsid w:val="00A66368"/>
    <w:rsid w:val="00A66454"/>
    <w:rsid w:val="00A66E10"/>
    <w:rsid w:val="00A6757F"/>
    <w:rsid w:val="00A704AF"/>
    <w:rsid w:val="00A70936"/>
    <w:rsid w:val="00A72C91"/>
    <w:rsid w:val="00A758D6"/>
    <w:rsid w:val="00A759DA"/>
    <w:rsid w:val="00A75C89"/>
    <w:rsid w:val="00A76D14"/>
    <w:rsid w:val="00A7705A"/>
    <w:rsid w:val="00A8225E"/>
    <w:rsid w:val="00A831DF"/>
    <w:rsid w:val="00A83DA2"/>
    <w:rsid w:val="00A84AF8"/>
    <w:rsid w:val="00A85DCE"/>
    <w:rsid w:val="00A860B7"/>
    <w:rsid w:val="00A871D2"/>
    <w:rsid w:val="00A91B0F"/>
    <w:rsid w:val="00AA5F35"/>
    <w:rsid w:val="00AA6B58"/>
    <w:rsid w:val="00AB6106"/>
    <w:rsid w:val="00AC0CE1"/>
    <w:rsid w:val="00AC475B"/>
    <w:rsid w:val="00AC4C02"/>
    <w:rsid w:val="00AC621E"/>
    <w:rsid w:val="00AC669B"/>
    <w:rsid w:val="00AC674C"/>
    <w:rsid w:val="00AD558D"/>
    <w:rsid w:val="00AE2187"/>
    <w:rsid w:val="00AE585C"/>
    <w:rsid w:val="00AE72F1"/>
    <w:rsid w:val="00AE7526"/>
    <w:rsid w:val="00AE79BF"/>
    <w:rsid w:val="00AE7B96"/>
    <w:rsid w:val="00AF0A7B"/>
    <w:rsid w:val="00AF0B5F"/>
    <w:rsid w:val="00AF10EC"/>
    <w:rsid w:val="00AF6F0F"/>
    <w:rsid w:val="00AF7744"/>
    <w:rsid w:val="00B00CB2"/>
    <w:rsid w:val="00B01508"/>
    <w:rsid w:val="00B01AD7"/>
    <w:rsid w:val="00B07173"/>
    <w:rsid w:val="00B1170D"/>
    <w:rsid w:val="00B1474F"/>
    <w:rsid w:val="00B150ED"/>
    <w:rsid w:val="00B157DC"/>
    <w:rsid w:val="00B176C4"/>
    <w:rsid w:val="00B205DA"/>
    <w:rsid w:val="00B23920"/>
    <w:rsid w:val="00B26D22"/>
    <w:rsid w:val="00B27AC2"/>
    <w:rsid w:val="00B30AE4"/>
    <w:rsid w:val="00B30B06"/>
    <w:rsid w:val="00B3314A"/>
    <w:rsid w:val="00B36084"/>
    <w:rsid w:val="00B36333"/>
    <w:rsid w:val="00B4177C"/>
    <w:rsid w:val="00B41CA5"/>
    <w:rsid w:val="00B442E7"/>
    <w:rsid w:val="00B44D30"/>
    <w:rsid w:val="00B457BC"/>
    <w:rsid w:val="00B50398"/>
    <w:rsid w:val="00B505FD"/>
    <w:rsid w:val="00B51D9A"/>
    <w:rsid w:val="00B51E17"/>
    <w:rsid w:val="00B55001"/>
    <w:rsid w:val="00B56778"/>
    <w:rsid w:val="00B56A25"/>
    <w:rsid w:val="00B57032"/>
    <w:rsid w:val="00B570D8"/>
    <w:rsid w:val="00B61911"/>
    <w:rsid w:val="00B66DA1"/>
    <w:rsid w:val="00B67D53"/>
    <w:rsid w:val="00B733D1"/>
    <w:rsid w:val="00B73E85"/>
    <w:rsid w:val="00B77834"/>
    <w:rsid w:val="00B81233"/>
    <w:rsid w:val="00B8303D"/>
    <w:rsid w:val="00B83ACD"/>
    <w:rsid w:val="00B83CA6"/>
    <w:rsid w:val="00B84146"/>
    <w:rsid w:val="00B842FD"/>
    <w:rsid w:val="00B84CCA"/>
    <w:rsid w:val="00B903BC"/>
    <w:rsid w:val="00B92B72"/>
    <w:rsid w:val="00B94DF4"/>
    <w:rsid w:val="00BA1F1E"/>
    <w:rsid w:val="00BA2818"/>
    <w:rsid w:val="00BA428D"/>
    <w:rsid w:val="00BA486F"/>
    <w:rsid w:val="00BA5197"/>
    <w:rsid w:val="00BA6353"/>
    <w:rsid w:val="00BA7080"/>
    <w:rsid w:val="00BB3FD2"/>
    <w:rsid w:val="00BB4331"/>
    <w:rsid w:val="00BB44DD"/>
    <w:rsid w:val="00BB4EED"/>
    <w:rsid w:val="00BB5017"/>
    <w:rsid w:val="00BB61E1"/>
    <w:rsid w:val="00BB694E"/>
    <w:rsid w:val="00BB74BC"/>
    <w:rsid w:val="00BC099E"/>
    <w:rsid w:val="00BC2931"/>
    <w:rsid w:val="00BC4E12"/>
    <w:rsid w:val="00BC54AC"/>
    <w:rsid w:val="00BC5CE8"/>
    <w:rsid w:val="00BC6A84"/>
    <w:rsid w:val="00BD1AFB"/>
    <w:rsid w:val="00BD4B95"/>
    <w:rsid w:val="00BD5E66"/>
    <w:rsid w:val="00BD66D5"/>
    <w:rsid w:val="00BE0845"/>
    <w:rsid w:val="00BE150E"/>
    <w:rsid w:val="00BE2152"/>
    <w:rsid w:val="00BE3BE5"/>
    <w:rsid w:val="00BE465A"/>
    <w:rsid w:val="00BF1FC4"/>
    <w:rsid w:val="00BF6270"/>
    <w:rsid w:val="00BF69C8"/>
    <w:rsid w:val="00BF6DB7"/>
    <w:rsid w:val="00BF7AE0"/>
    <w:rsid w:val="00C00300"/>
    <w:rsid w:val="00C02641"/>
    <w:rsid w:val="00C04152"/>
    <w:rsid w:val="00C04D5A"/>
    <w:rsid w:val="00C050D5"/>
    <w:rsid w:val="00C119C5"/>
    <w:rsid w:val="00C15AD4"/>
    <w:rsid w:val="00C175FA"/>
    <w:rsid w:val="00C20B59"/>
    <w:rsid w:val="00C225A2"/>
    <w:rsid w:val="00C22968"/>
    <w:rsid w:val="00C23E45"/>
    <w:rsid w:val="00C24578"/>
    <w:rsid w:val="00C24EA8"/>
    <w:rsid w:val="00C2597B"/>
    <w:rsid w:val="00C30EDF"/>
    <w:rsid w:val="00C31413"/>
    <w:rsid w:val="00C3184E"/>
    <w:rsid w:val="00C318B5"/>
    <w:rsid w:val="00C320BC"/>
    <w:rsid w:val="00C32C34"/>
    <w:rsid w:val="00C339F2"/>
    <w:rsid w:val="00C34AFC"/>
    <w:rsid w:val="00C350BB"/>
    <w:rsid w:val="00C352AD"/>
    <w:rsid w:val="00C418C6"/>
    <w:rsid w:val="00C41A1C"/>
    <w:rsid w:val="00C42535"/>
    <w:rsid w:val="00C42DB0"/>
    <w:rsid w:val="00C44DA8"/>
    <w:rsid w:val="00C45655"/>
    <w:rsid w:val="00C5048C"/>
    <w:rsid w:val="00C51619"/>
    <w:rsid w:val="00C51D05"/>
    <w:rsid w:val="00C520E0"/>
    <w:rsid w:val="00C5227A"/>
    <w:rsid w:val="00C52B74"/>
    <w:rsid w:val="00C57036"/>
    <w:rsid w:val="00C571A9"/>
    <w:rsid w:val="00C6014F"/>
    <w:rsid w:val="00C614F4"/>
    <w:rsid w:val="00C65924"/>
    <w:rsid w:val="00C74D46"/>
    <w:rsid w:val="00C7533A"/>
    <w:rsid w:val="00C758A7"/>
    <w:rsid w:val="00C76040"/>
    <w:rsid w:val="00C7693C"/>
    <w:rsid w:val="00C77881"/>
    <w:rsid w:val="00C81870"/>
    <w:rsid w:val="00C828E1"/>
    <w:rsid w:val="00C84430"/>
    <w:rsid w:val="00C86102"/>
    <w:rsid w:val="00C861C3"/>
    <w:rsid w:val="00C93911"/>
    <w:rsid w:val="00C93A23"/>
    <w:rsid w:val="00C94793"/>
    <w:rsid w:val="00C95383"/>
    <w:rsid w:val="00C97DCC"/>
    <w:rsid w:val="00CA20F6"/>
    <w:rsid w:val="00CA3211"/>
    <w:rsid w:val="00CA48B6"/>
    <w:rsid w:val="00CA7D22"/>
    <w:rsid w:val="00CB07D7"/>
    <w:rsid w:val="00CB2EB3"/>
    <w:rsid w:val="00CB44E4"/>
    <w:rsid w:val="00CB499B"/>
    <w:rsid w:val="00CB5272"/>
    <w:rsid w:val="00CB593E"/>
    <w:rsid w:val="00CB5C29"/>
    <w:rsid w:val="00CC1F85"/>
    <w:rsid w:val="00CC3020"/>
    <w:rsid w:val="00CC4D67"/>
    <w:rsid w:val="00CC69E1"/>
    <w:rsid w:val="00CC6F50"/>
    <w:rsid w:val="00CD0F2B"/>
    <w:rsid w:val="00CD3BD6"/>
    <w:rsid w:val="00CD620E"/>
    <w:rsid w:val="00CD65DF"/>
    <w:rsid w:val="00CD7AC1"/>
    <w:rsid w:val="00CE1AC3"/>
    <w:rsid w:val="00CE2A86"/>
    <w:rsid w:val="00CE33E5"/>
    <w:rsid w:val="00CE4A40"/>
    <w:rsid w:val="00CE4E84"/>
    <w:rsid w:val="00CF03D3"/>
    <w:rsid w:val="00CF16F6"/>
    <w:rsid w:val="00CF3D3A"/>
    <w:rsid w:val="00CF7411"/>
    <w:rsid w:val="00D001F1"/>
    <w:rsid w:val="00D02C3A"/>
    <w:rsid w:val="00D04CA0"/>
    <w:rsid w:val="00D05B96"/>
    <w:rsid w:val="00D05E75"/>
    <w:rsid w:val="00D07694"/>
    <w:rsid w:val="00D1002E"/>
    <w:rsid w:val="00D12213"/>
    <w:rsid w:val="00D13946"/>
    <w:rsid w:val="00D212C0"/>
    <w:rsid w:val="00D21675"/>
    <w:rsid w:val="00D2268A"/>
    <w:rsid w:val="00D22CFE"/>
    <w:rsid w:val="00D23992"/>
    <w:rsid w:val="00D32C4A"/>
    <w:rsid w:val="00D362D8"/>
    <w:rsid w:val="00D41308"/>
    <w:rsid w:val="00D41F9D"/>
    <w:rsid w:val="00D42D13"/>
    <w:rsid w:val="00D42E1A"/>
    <w:rsid w:val="00D46384"/>
    <w:rsid w:val="00D51F49"/>
    <w:rsid w:val="00D52336"/>
    <w:rsid w:val="00D52A3B"/>
    <w:rsid w:val="00D52EE0"/>
    <w:rsid w:val="00D54E2C"/>
    <w:rsid w:val="00D55AF9"/>
    <w:rsid w:val="00D56E90"/>
    <w:rsid w:val="00D5727A"/>
    <w:rsid w:val="00D60915"/>
    <w:rsid w:val="00D61429"/>
    <w:rsid w:val="00D63A9B"/>
    <w:rsid w:val="00D63D89"/>
    <w:rsid w:val="00D65EEA"/>
    <w:rsid w:val="00D65F65"/>
    <w:rsid w:val="00D75210"/>
    <w:rsid w:val="00D81C0C"/>
    <w:rsid w:val="00D83208"/>
    <w:rsid w:val="00D85AE3"/>
    <w:rsid w:val="00D906DD"/>
    <w:rsid w:val="00D90B6D"/>
    <w:rsid w:val="00D9102E"/>
    <w:rsid w:val="00D92F0F"/>
    <w:rsid w:val="00D977EE"/>
    <w:rsid w:val="00DA4B41"/>
    <w:rsid w:val="00DA552A"/>
    <w:rsid w:val="00DA5BDC"/>
    <w:rsid w:val="00DA73D6"/>
    <w:rsid w:val="00DB1EFC"/>
    <w:rsid w:val="00DB2BCB"/>
    <w:rsid w:val="00DB3EA1"/>
    <w:rsid w:val="00DB416B"/>
    <w:rsid w:val="00DB4389"/>
    <w:rsid w:val="00DB65BA"/>
    <w:rsid w:val="00DB75C1"/>
    <w:rsid w:val="00DC0130"/>
    <w:rsid w:val="00DC1020"/>
    <w:rsid w:val="00DC2103"/>
    <w:rsid w:val="00DC2A22"/>
    <w:rsid w:val="00DC6797"/>
    <w:rsid w:val="00DC6B35"/>
    <w:rsid w:val="00DC73E0"/>
    <w:rsid w:val="00DD0D74"/>
    <w:rsid w:val="00DD2310"/>
    <w:rsid w:val="00DD2E41"/>
    <w:rsid w:val="00DD3878"/>
    <w:rsid w:val="00DD6558"/>
    <w:rsid w:val="00DD75A0"/>
    <w:rsid w:val="00DE48D5"/>
    <w:rsid w:val="00DE51C2"/>
    <w:rsid w:val="00DE5A09"/>
    <w:rsid w:val="00DE6F50"/>
    <w:rsid w:val="00DF0155"/>
    <w:rsid w:val="00DF4CB7"/>
    <w:rsid w:val="00DF59B4"/>
    <w:rsid w:val="00DF6BCC"/>
    <w:rsid w:val="00DF76D7"/>
    <w:rsid w:val="00E028D2"/>
    <w:rsid w:val="00E02E03"/>
    <w:rsid w:val="00E05743"/>
    <w:rsid w:val="00E06A51"/>
    <w:rsid w:val="00E075E0"/>
    <w:rsid w:val="00E11534"/>
    <w:rsid w:val="00E12030"/>
    <w:rsid w:val="00E1517D"/>
    <w:rsid w:val="00E15E92"/>
    <w:rsid w:val="00E16D41"/>
    <w:rsid w:val="00E2416F"/>
    <w:rsid w:val="00E27980"/>
    <w:rsid w:val="00E30BC6"/>
    <w:rsid w:val="00E30F00"/>
    <w:rsid w:val="00E312D3"/>
    <w:rsid w:val="00E3418A"/>
    <w:rsid w:val="00E361F0"/>
    <w:rsid w:val="00E40A0D"/>
    <w:rsid w:val="00E42FB4"/>
    <w:rsid w:val="00E43A33"/>
    <w:rsid w:val="00E4527F"/>
    <w:rsid w:val="00E464E8"/>
    <w:rsid w:val="00E53781"/>
    <w:rsid w:val="00E5393F"/>
    <w:rsid w:val="00E55E80"/>
    <w:rsid w:val="00E57854"/>
    <w:rsid w:val="00E57F53"/>
    <w:rsid w:val="00E61070"/>
    <w:rsid w:val="00E6198D"/>
    <w:rsid w:val="00E63B24"/>
    <w:rsid w:val="00E646B8"/>
    <w:rsid w:val="00E648BD"/>
    <w:rsid w:val="00E64CBD"/>
    <w:rsid w:val="00E66E39"/>
    <w:rsid w:val="00E7001D"/>
    <w:rsid w:val="00E71F06"/>
    <w:rsid w:val="00E72F55"/>
    <w:rsid w:val="00E75CD5"/>
    <w:rsid w:val="00E775E2"/>
    <w:rsid w:val="00E90AA0"/>
    <w:rsid w:val="00E90DC0"/>
    <w:rsid w:val="00E92596"/>
    <w:rsid w:val="00E94BD2"/>
    <w:rsid w:val="00E94D54"/>
    <w:rsid w:val="00E9721E"/>
    <w:rsid w:val="00EA07CE"/>
    <w:rsid w:val="00EA2271"/>
    <w:rsid w:val="00EA42BA"/>
    <w:rsid w:val="00EA4327"/>
    <w:rsid w:val="00EA536A"/>
    <w:rsid w:val="00EA6EC2"/>
    <w:rsid w:val="00EB0AED"/>
    <w:rsid w:val="00EB2DD3"/>
    <w:rsid w:val="00EB4BED"/>
    <w:rsid w:val="00EC1500"/>
    <w:rsid w:val="00EC2C8B"/>
    <w:rsid w:val="00EC4FB3"/>
    <w:rsid w:val="00EC54FA"/>
    <w:rsid w:val="00EC6FF2"/>
    <w:rsid w:val="00EC7A35"/>
    <w:rsid w:val="00ED03F1"/>
    <w:rsid w:val="00ED2266"/>
    <w:rsid w:val="00ED3DCE"/>
    <w:rsid w:val="00ED5486"/>
    <w:rsid w:val="00ED61D1"/>
    <w:rsid w:val="00ED7E40"/>
    <w:rsid w:val="00EE1DC1"/>
    <w:rsid w:val="00EE1E50"/>
    <w:rsid w:val="00EE2FC2"/>
    <w:rsid w:val="00EE3F29"/>
    <w:rsid w:val="00EE44F3"/>
    <w:rsid w:val="00EE6D2F"/>
    <w:rsid w:val="00EE71FD"/>
    <w:rsid w:val="00EF312F"/>
    <w:rsid w:val="00EF3CAB"/>
    <w:rsid w:val="00EF5D53"/>
    <w:rsid w:val="00EF6E6C"/>
    <w:rsid w:val="00F00C92"/>
    <w:rsid w:val="00F03778"/>
    <w:rsid w:val="00F04282"/>
    <w:rsid w:val="00F04329"/>
    <w:rsid w:val="00F046B3"/>
    <w:rsid w:val="00F05BD3"/>
    <w:rsid w:val="00F1156C"/>
    <w:rsid w:val="00F16A11"/>
    <w:rsid w:val="00F21B18"/>
    <w:rsid w:val="00F27B29"/>
    <w:rsid w:val="00F30064"/>
    <w:rsid w:val="00F308CE"/>
    <w:rsid w:val="00F31234"/>
    <w:rsid w:val="00F31863"/>
    <w:rsid w:val="00F324EE"/>
    <w:rsid w:val="00F32D0E"/>
    <w:rsid w:val="00F32F6C"/>
    <w:rsid w:val="00F360D9"/>
    <w:rsid w:val="00F45B8A"/>
    <w:rsid w:val="00F46417"/>
    <w:rsid w:val="00F50643"/>
    <w:rsid w:val="00F5068A"/>
    <w:rsid w:val="00F50DEF"/>
    <w:rsid w:val="00F5379D"/>
    <w:rsid w:val="00F55A73"/>
    <w:rsid w:val="00F56229"/>
    <w:rsid w:val="00F56B4F"/>
    <w:rsid w:val="00F57A56"/>
    <w:rsid w:val="00F57C5E"/>
    <w:rsid w:val="00F642B5"/>
    <w:rsid w:val="00F64455"/>
    <w:rsid w:val="00F644C7"/>
    <w:rsid w:val="00F65193"/>
    <w:rsid w:val="00F669D0"/>
    <w:rsid w:val="00F66F70"/>
    <w:rsid w:val="00F672F5"/>
    <w:rsid w:val="00F70129"/>
    <w:rsid w:val="00F70695"/>
    <w:rsid w:val="00F73F04"/>
    <w:rsid w:val="00F750FD"/>
    <w:rsid w:val="00F77041"/>
    <w:rsid w:val="00F77650"/>
    <w:rsid w:val="00F77853"/>
    <w:rsid w:val="00F81181"/>
    <w:rsid w:val="00F826EE"/>
    <w:rsid w:val="00F83D98"/>
    <w:rsid w:val="00F84537"/>
    <w:rsid w:val="00F85DE9"/>
    <w:rsid w:val="00F8753D"/>
    <w:rsid w:val="00F90844"/>
    <w:rsid w:val="00F918AB"/>
    <w:rsid w:val="00F93362"/>
    <w:rsid w:val="00F93D8D"/>
    <w:rsid w:val="00F94CBC"/>
    <w:rsid w:val="00F95568"/>
    <w:rsid w:val="00FA07C5"/>
    <w:rsid w:val="00FA35EC"/>
    <w:rsid w:val="00FA36BB"/>
    <w:rsid w:val="00FA5C6E"/>
    <w:rsid w:val="00FA7537"/>
    <w:rsid w:val="00FA7C56"/>
    <w:rsid w:val="00FB2486"/>
    <w:rsid w:val="00FB69E0"/>
    <w:rsid w:val="00FC066C"/>
    <w:rsid w:val="00FC0D47"/>
    <w:rsid w:val="00FC10EF"/>
    <w:rsid w:val="00FC1FD2"/>
    <w:rsid w:val="00FC5B78"/>
    <w:rsid w:val="00FC5F21"/>
    <w:rsid w:val="00FC645D"/>
    <w:rsid w:val="00FC753D"/>
    <w:rsid w:val="00FC75B8"/>
    <w:rsid w:val="00FD070F"/>
    <w:rsid w:val="00FD6668"/>
    <w:rsid w:val="00FD68B0"/>
    <w:rsid w:val="00FD77CF"/>
    <w:rsid w:val="00FE0303"/>
    <w:rsid w:val="00FE18BF"/>
    <w:rsid w:val="00FE2C57"/>
    <w:rsid w:val="00FE36FB"/>
    <w:rsid w:val="00FE3BD7"/>
    <w:rsid w:val="00FE3EE8"/>
    <w:rsid w:val="00FE5881"/>
    <w:rsid w:val="00FE59D9"/>
    <w:rsid w:val="00FE77DF"/>
    <w:rsid w:val="00FF0832"/>
    <w:rsid w:val="00FF11B8"/>
    <w:rsid w:val="00FF3142"/>
    <w:rsid w:val="00FF51BA"/>
    <w:rsid w:val="00FF5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BAC8"/>
  <w15:chartTrackingRefBased/>
  <w15:docId w15:val="{85E1E590-3F8A-4CCB-80F0-7DC3BDDB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72"/>
  </w:style>
  <w:style w:type="paragraph" w:styleId="Ttulo1">
    <w:name w:val="heading 1"/>
    <w:basedOn w:val="Normal"/>
    <w:next w:val="Normal"/>
    <w:link w:val="Ttulo1Car"/>
    <w:uiPriority w:val="9"/>
    <w:qFormat/>
    <w:rsid w:val="000A3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rsid w:val="000A3C72"/>
    <w:pPr>
      <w:spacing w:after="200" w:line="276" w:lineRule="auto"/>
      <w:jc w:val="center"/>
      <w:outlineLvl w:val="1"/>
    </w:pPr>
    <w:rPr>
      <w:rFonts w:ascii="ITC Avant Garde" w:hAnsi="ITC Avant Garde"/>
      <w:b/>
      <w:bCs/>
      <w:color w:val="auto"/>
      <w:sz w:val="22"/>
      <w:lang w:val="es-EC" w:eastAsia="es-MX"/>
    </w:rPr>
  </w:style>
  <w:style w:type="paragraph" w:styleId="Ttulo3">
    <w:name w:val="heading 3"/>
    <w:basedOn w:val="Ttulo2"/>
    <w:next w:val="Normal"/>
    <w:link w:val="Ttulo3Car"/>
    <w:uiPriority w:val="9"/>
    <w:unhideWhenUsed/>
    <w:rsid w:val="000A3C72"/>
    <w:pPr>
      <w:jc w:val="left"/>
      <w:outlineLvl w:val="2"/>
    </w:pPr>
    <w:rPr>
      <w:rFonts w:eastAsia="Times New Roman"/>
      <w:b w:val="0"/>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3C72"/>
    <w:rPr>
      <w:rFonts w:ascii="ITC Avant Garde" w:eastAsiaTheme="majorEastAsia" w:hAnsi="ITC Avant Garde" w:cstheme="majorBidi"/>
      <w:b/>
      <w:bCs/>
      <w:szCs w:val="32"/>
      <w:lang w:val="es-EC" w:eastAsia="es-MX"/>
    </w:rPr>
  </w:style>
  <w:style w:type="character" w:customStyle="1" w:styleId="Ttulo3Car">
    <w:name w:val="Título 3 Car"/>
    <w:basedOn w:val="Fuentedeprrafopredeter"/>
    <w:link w:val="Ttulo3"/>
    <w:uiPriority w:val="9"/>
    <w:rsid w:val="000A3C72"/>
    <w:rPr>
      <w:rFonts w:ascii="ITC Avant Garde" w:eastAsia="Times New Roman" w:hAnsi="ITC Avant Garde" w:cstheme="majorBidi"/>
      <w:bCs/>
      <w:sz w:val="20"/>
      <w:szCs w:val="32"/>
      <w:u w:val="single"/>
      <w:lang w:val="es-EC" w:eastAsia="es-MX"/>
    </w:rPr>
  </w:style>
  <w:style w:type="paragraph" w:styleId="Prrafodelista">
    <w:name w:val="List Paragraph"/>
    <w:aliases w:val="Considerando,prueba1,4 Viñ 1nivel,Numeración 1,Cuadrícula media 1 - Énfasis 21"/>
    <w:basedOn w:val="Normal"/>
    <w:link w:val="PrrafodelistaCar"/>
    <w:uiPriority w:val="34"/>
    <w:qFormat/>
    <w:rsid w:val="000A3C72"/>
    <w:pPr>
      <w:ind w:left="720"/>
      <w:contextualSpacing/>
    </w:pPr>
  </w:style>
  <w:style w:type="paragraph" w:styleId="Textocomentario">
    <w:name w:val="annotation text"/>
    <w:basedOn w:val="Normal"/>
    <w:link w:val="TextocomentarioCar"/>
    <w:uiPriority w:val="99"/>
    <w:unhideWhenUsed/>
    <w:rsid w:val="000A3C72"/>
    <w:pPr>
      <w:spacing w:line="240" w:lineRule="auto"/>
    </w:pPr>
    <w:rPr>
      <w:sz w:val="20"/>
      <w:szCs w:val="20"/>
    </w:rPr>
  </w:style>
  <w:style w:type="character" w:customStyle="1" w:styleId="TextocomentarioCar">
    <w:name w:val="Texto comentario Car"/>
    <w:basedOn w:val="Fuentedeprrafopredeter"/>
    <w:link w:val="Textocomentario"/>
    <w:uiPriority w:val="99"/>
    <w:rsid w:val="000A3C72"/>
    <w:rPr>
      <w:sz w:val="20"/>
      <w:szCs w:val="20"/>
    </w:rPr>
  </w:style>
  <w:style w:type="character" w:styleId="Refdecomentario">
    <w:name w:val="annotation reference"/>
    <w:basedOn w:val="Fuentedeprrafopredeter"/>
    <w:uiPriority w:val="99"/>
    <w:unhideWhenUsed/>
    <w:rsid w:val="000A3C72"/>
    <w:rPr>
      <w:sz w:val="16"/>
      <w:szCs w:val="16"/>
    </w:rPr>
  </w:style>
  <w:style w:type="character" w:customStyle="1" w:styleId="PrrafodelistaCar">
    <w:name w:val="Párrafo de lista Car"/>
    <w:aliases w:val="Considerando Car,prueba1 Car,4 Viñ 1nivel Car,Numeración 1 Car,Cuadrícula media 1 - Énfasis 21 Car"/>
    <w:link w:val="Prrafodelista"/>
    <w:uiPriority w:val="34"/>
    <w:qFormat/>
    <w:locked/>
    <w:rsid w:val="000A3C72"/>
  </w:style>
  <w:style w:type="paragraph" w:styleId="Piedepgina">
    <w:name w:val="footer"/>
    <w:basedOn w:val="Normal"/>
    <w:link w:val="PiedepginaCar"/>
    <w:uiPriority w:val="99"/>
    <w:unhideWhenUsed/>
    <w:rsid w:val="000A3C72"/>
    <w:pPr>
      <w:tabs>
        <w:tab w:val="center" w:pos="4419"/>
        <w:tab w:val="right" w:pos="8838"/>
      </w:tabs>
      <w:spacing w:after="0" w:line="240" w:lineRule="auto"/>
      <w:jc w:val="both"/>
    </w:pPr>
    <w:rPr>
      <w:rFonts w:ascii="ITC Avant Garde" w:eastAsia="Times New Roman" w:hAnsi="ITC Avant Garde" w:cs="Arial"/>
      <w:bCs/>
      <w:sz w:val="20"/>
      <w:szCs w:val="20"/>
      <w:lang w:val="es-EC" w:eastAsia="es-MX"/>
    </w:rPr>
  </w:style>
  <w:style w:type="character" w:customStyle="1" w:styleId="PiedepginaCar">
    <w:name w:val="Pie de página Car"/>
    <w:basedOn w:val="Fuentedeprrafopredeter"/>
    <w:link w:val="Piedepgina"/>
    <w:uiPriority w:val="99"/>
    <w:rsid w:val="000A3C72"/>
    <w:rPr>
      <w:rFonts w:ascii="ITC Avant Garde" w:eastAsia="Times New Roman" w:hAnsi="ITC Avant Garde" w:cs="Arial"/>
      <w:bCs/>
      <w:sz w:val="20"/>
      <w:szCs w:val="20"/>
      <w:lang w:val="es-EC" w:eastAsia="es-MX"/>
    </w:rPr>
  </w:style>
  <w:style w:type="paragraph" w:styleId="Encabezado">
    <w:name w:val="header"/>
    <w:basedOn w:val="Normal"/>
    <w:link w:val="EncabezadoCar"/>
    <w:uiPriority w:val="99"/>
    <w:unhideWhenUsed/>
    <w:rsid w:val="000A3C72"/>
    <w:pPr>
      <w:tabs>
        <w:tab w:val="center" w:pos="4419"/>
        <w:tab w:val="right" w:pos="8838"/>
      </w:tabs>
      <w:spacing w:after="0" w:line="240" w:lineRule="auto"/>
      <w:jc w:val="both"/>
    </w:pPr>
    <w:rPr>
      <w:rFonts w:ascii="ITC Avant Garde" w:eastAsia="Times New Roman" w:hAnsi="ITC Avant Garde" w:cs="Arial"/>
      <w:bCs/>
      <w:sz w:val="20"/>
      <w:szCs w:val="20"/>
      <w:lang w:val="es-EC" w:eastAsia="es-MX"/>
    </w:rPr>
  </w:style>
  <w:style w:type="character" w:customStyle="1" w:styleId="EncabezadoCar">
    <w:name w:val="Encabezado Car"/>
    <w:basedOn w:val="Fuentedeprrafopredeter"/>
    <w:link w:val="Encabezado"/>
    <w:uiPriority w:val="99"/>
    <w:rsid w:val="000A3C72"/>
    <w:rPr>
      <w:rFonts w:ascii="ITC Avant Garde" w:eastAsia="Times New Roman" w:hAnsi="ITC Avant Garde" w:cs="Arial"/>
      <w:bCs/>
      <w:sz w:val="20"/>
      <w:szCs w:val="20"/>
      <w:lang w:val="es-EC" w:eastAsia="es-MX"/>
    </w:rPr>
  </w:style>
  <w:style w:type="paragraph" w:styleId="Textonotapie">
    <w:name w:val="footnote text"/>
    <w:basedOn w:val="Normal"/>
    <w:link w:val="TextonotapieCar"/>
    <w:uiPriority w:val="99"/>
    <w:unhideWhenUsed/>
    <w:qFormat/>
    <w:rsid w:val="000A3C72"/>
    <w:pPr>
      <w:spacing w:after="60" w:line="240" w:lineRule="auto"/>
      <w:jc w:val="both"/>
    </w:pPr>
    <w:rPr>
      <w:rFonts w:ascii="ITC Avant Garde" w:eastAsia="Times New Roman" w:hAnsi="ITC Avant Garde" w:cs="Arial"/>
      <w:bCs/>
      <w:sz w:val="16"/>
      <w:szCs w:val="16"/>
      <w:lang w:val="es-EC" w:eastAsia="es-MX"/>
    </w:rPr>
  </w:style>
  <w:style w:type="character" w:customStyle="1" w:styleId="TextonotapieCar">
    <w:name w:val="Texto nota pie Car"/>
    <w:basedOn w:val="Fuentedeprrafopredeter"/>
    <w:link w:val="Textonotapie"/>
    <w:uiPriority w:val="99"/>
    <w:rsid w:val="000A3C72"/>
    <w:rPr>
      <w:rFonts w:ascii="ITC Avant Garde" w:eastAsia="Times New Roman" w:hAnsi="ITC Avant Garde" w:cs="Arial"/>
      <w:bCs/>
      <w:sz w:val="16"/>
      <w:szCs w:val="16"/>
      <w:lang w:val="es-EC" w:eastAsia="es-MX"/>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0A3C72"/>
    <w:rPr>
      <w:vertAlign w:val="superscript"/>
    </w:rPr>
  </w:style>
  <w:style w:type="paragraph" w:customStyle="1" w:styleId="Antecedentes">
    <w:name w:val="Antecedentes"/>
    <w:basedOn w:val="Normal"/>
    <w:link w:val="AntecedentesCar"/>
    <w:rsid w:val="000A3C72"/>
    <w:pPr>
      <w:numPr>
        <w:numId w:val="1"/>
      </w:numPr>
      <w:spacing w:after="200" w:line="276" w:lineRule="auto"/>
      <w:jc w:val="both"/>
    </w:pPr>
    <w:rPr>
      <w:rFonts w:ascii="ITC Avant Garde" w:eastAsia="Times New Roman" w:hAnsi="ITC Avant Garde" w:cs="Arial"/>
      <w:bCs/>
      <w:sz w:val="20"/>
      <w:szCs w:val="20"/>
      <w:lang w:val="es-EC" w:eastAsia="es-MX"/>
    </w:rPr>
  </w:style>
  <w:style w:type="character" w:customStyle="1" w:styleId="AntecedentesCar">
    <w:name w:val="Antecedentes Car"/>
    <w:basedOn w:val="Fuentedeprrafopredeter"/>
    <w:link w:val="Antecedentes"/>
    <w:rsid w:val="000A3C72"/>
    <w:rPr>
      <w:rFonts w:ascii="ITC Avant Garde" w:eastAsia="Times New Roman" w:hAnsi="ITC Avant Garde" w:cs="Arial"/>
      <w:bCs/>
      <w:sz w:val="20"/>
      <w:szCs w:val="20"/>
      <w:lang w:val="es-EC" w:eastAsia="es-MX"/>
    </w:rPr>
  </w:style>
  <w:style w:type="paragraph" w:customStyle="1" w:styleId="IFTnormal">
    <w:name w:val="IFT normal"/>
    <w:basedOn w:val="Normal"/>
    <w:link w:val="IFTnormalCar"/>
    <w:qFormat/>
    <w:rsid w:val="000A3C72"/>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0A3C72"/>
    <w:rPr>
      <w:rFonts w:ascii="ITC Avant Garde" w:eastAsia="Calibri" w:hAnsi="ITC Avant Garde" w:cs="Arial"/>
      <w:color w:val="000000"/>
      <w:lang w:val="es-ES_tradnl" w:eastAsia="es-ES"/>
    </w:rPr>
  </w:style>
  <w:style w:type="character" w:customStyle="1" w:styleId="Ttulo1Car">
    <w:name w:val="Título 1 Car"/>
    <w:basedOn w:val="Fuentedeprrafopredeter"/>
    <w:link w:val="Ttulo1"/>
    <w:uiPriority w:val="9"/>
    <w:rsid w:val="000A3C72"/>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unhideWhenUsed/>
    <w:rsid w:val="000A3C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A3C7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2C44"/>
    <w:rPr>
      <w:b/>
      <w:bCs/>
    </w:rPr>
  </w:style>
  <w:style w:type="character" w:customStyle="1" w:styleId="AsuntodelcomentarioCar">
    <w:name w:val="Asunto del comentario Car"/>
    <w:basedOn w:val="TextocomentarioCar"/>
    <w:link w:val="Asuntodelcomentario"/>
    <w:uiPriority w:val="99"/>
    <w:semiHidden/>
    <w:rsid w:val="00262C44"/>
    <w:rPr>
      <w:b/>
      <w:bCs/>
      <w:sz w:val="20"/>
      <w:szCs w:val="20"/>
    </w:rPr>
  </w:style>
  <w:style w:type="paragraph" w:customStyle="1" w:styleId="Default">
    <w:name w:val="Default"/>
    <w:rsid w:val="009F18C3"/>
    <w:pPr>
      <w:autoSpaceDE w:val="0"/>
      <w:autoSpaceDN w:val="0"/>
      <w:adjustRightInd w:val="0"/>
      <w:spacing w:after="0" w:line="240" w:lineRule="auto"/>
    </w:pPr>
    <w:rPr>
      <w:rFonts w:ascii="Verdana" w:hAnsi="Verdana" w:cs="Verdana"/>
      <w:color w:val="000000"/>
      <w:sz w:val="24"/>
      <w:szCs w:val="24"/>
    </w:rPr>
  </w:style>
  <w:style w:type="paragraph" w:styleId="Revisin">
    <w:name w:val="Revision"/>
    <w:hidden/>
    <w:uiPriority w:val="99"/>
    <w:semiHidden/>
    <w:rsid w:val="00720669"/>
    <w:pPr>
      <w:spacing w:after="0" w:line="240" w:lineRule="auto"/>
    </w:pPr>
  </w:style>
  <w:style w:type="paragraph" w:customStyle="1" w:styleId="Texto">
    <w:name w:val="Texto"/>
    <w:basedOn w:val="Normal"/>
    <w:link w:val="TextoCar"/>
    <w:rsid w:val="004018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0182D"/>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B1BD2"/>
    <w:rPr>
      <w:color w:val="0563C1" w:themeColor="hyperlink"/>
      <w:u w:val="single"/>
    </w:rPr>
  </w:style>
  <w:style w:type="paragraph" w:styleId="NormalWeb">
    <w:name w:val="Normal (Web)"/>
    <w:basedOn w:val="Normal"/>
    <w:uiPriority w:val="99"/>
    <w:semiHidden/>
    <w:unhideWhenUsed/>
    <w:rsid w:val="00D362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IFT">
    <w:name w:val="Cita IFT"/>
    <w:basedOn w:val="Normal"/>
    <w:link w:val="CitaIFTCar"/>
    <w:qFormat/>
    <w:rsid w:val="007E78BD"/>
    <w:pPr>
      <w:suppressAutoHyphens/>
      <w:adjustRightInd w:val="0"/>
      <w:spacing w:after="200" w:line="276" w:lineRule="auto"/>
      <w:ind w:left="851" w:right="760"/>
      <w:contextualSpacing/>
      <w:jc w:val="both"/>
    </w:pPr>
    <w:rPr>
      <w:rFonts w:ascii="ITC Avant Garde" w:eastAsia="Times New Roman" w:hAnsi="ITC Avant Garde" w:cs="Arial"/>
      <w:bCs/>
      <w:i/>
      <w:color w:val="000000"/>
      <w:sz w:val="18"/>
      <w:szCs w:val="18"/>
      <w:lang w:eastAsia="es-ES"/>
    </w:rPr>
  </w:style>
  <w:style w:type="character" w:customStyle="1" w:styleId="CitaIFTCar">
    <w:name w:val="Cita IFT Car"/>
    <w:link w:val="CitaIFT"/>
    <w:qFormat/>
    <w:rsid w:val="007E78BD"/>
    <w:rPr>
      <w:rFonts w:ascii="ITC Avant Garde" w:eastAsia="Times New Roman" w:hAnsi="ITC Avant Garde" w:cs="Arial"/>
      <w:bCs/>
      <w:i/>
      <w:color w:val="000000"/>
      <w:sz w:val="18"/>
      <w:szCs w:val="18"/>
      <w:lang w:eastAsia="es-ES"/>
    </w:rPr>
  </w:style>
  <w:style w:type="character" w:styleId="Hipervnculovisitado">
    <w:name w:val="FollowedHyperlink"/>
    <w:basedOn w:val="Fuentedeprrafopredeter"/>
    <w:uiPriority w:val="99"/>
    <w:semiHidden/>
    <w:unhideWhenUsed/>
    <w:rsid w:val="00326CE2"/>
    <w:rPr>
      <w:color w:val="954F72" w:themeColor="followedHyperlink"/>
      <w:u w:val="single"/>
    </w:rPr>
  </w:style>
  <w:style w:type="table" w:styleId="Tabladecuadrcula4-nfasis6">
    <w:name w:val="Grid Table 4 Accent 6"/>
    <w:basedOn w:val="Tablanormal"/>
    <w:uiPriority w:val="49"/>
    <w:rsid w:val="000808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semiHidden/>
    <w:unhideWhenUsed/>
    <w:rsid w:val="0092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2310B"/>
    <w:rPr>
      <w:rFonts w:ascii="Courier New" w:eastAsia="Times New Roman" w:hAnsi="Courier New" w:cs="Courier New"/>
      <w:sz w:val="20"/>
      <w:szCs w:val="20"/>
      <w:lang w:eastAsia="es-MX"/>
    </w:rPr>
  </w:style>
  <w:style w:type="table" w:styleId="Tablaconcuadrcula">
    <w:name w:val="Table Grid"/>
    <w:basedOn w:val="Tablanormal"/>
    <w:uiPriority w:val="39"/>
    <w:rsid w:val="0064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5A48CB"/>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5A48CB"/>
    <w:rPr>
      <w:rFonts w:ascii="Arial" w:eastAsia="Times New Roman" w:hAnsi="Arial" w:cs="Arial"/>
      <w:sz w:val="18"/>
      <w:szCs w:val="18"/>
      <w:lang w:eastAsia="es-ES"/>
    </w:rPr>
  </w:style>
  <w:style w:type="character" w:customStyle="1" w:styleId="IFTTextoCar">
    <w:name w:val="IFT Texto Car"/>
    <w:basedOn w:val="Fuentedeprrafopredeter"/>
    <w:link w:val="IFTTexto"/>
    <w:locked/>
    <w:rsid w:val="00FF11B8"/>
    <w:rPr>
      <w:rFonts w:ascii="ITC Avant Garde" w:hAnsi="ITC Avant Garde"/>
      <w:color w:val="000000"/>
      <w:lang w:eastAsia="es-ES"/>
    </w:rPr>
  </w:style>
  <w:style w:type="paragraph" w:customStyle="1" w:styleId="IFTTexto">
    <w:name w:val="IFT Texto"/>
    <w:basedOn w:val="Normal"/>
    <w:link w:val="IFTTextoCar"/>
    <w:qFormat/>
    <w:rsid w:val="00FF11B8"/>
    <w:pPr>
      <w:spacing w:after="200" w:line="276" w:lineRule="auto"/>
      <w:jc w:val="both"/>
    </w:pPr>
    <w:rPr>
      <w:rFonts w:ascii="ITC Avant Garde" w:hAnsi="ITC Avant Garde"/>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086">
      <w:bodyDiv w:val="1"/>
      <w:marLeft w:val="0"/>
      <w:marRight w:val="0"/>
      <w:marTop w:val="0"/>
      <w:marBottom w:val="0"/>
      <w:divBdr>
        <w:top w:val="none" w:sz="0" w:space="0" w:color="auto"/>
        <w:left w:val="none" w:sz="0" w:space="0" w:color="auto"/>
        <w:bottom w:val="none" w:sz="0" w:space="0" w:color="auto"/>
        <w:right w:val="none" w:sz="0" w:space="0" w:color="auto"/>
      </w:divBdr>
    </w:div>
    <w:div w:id="40130018">
      <w:bodyDiv w:val="1"/>
      <w:marLeft w:val="0"/>
      <w:marRight w:val="0"/>
      <w:marTop w:val="0"/>
      <w:marBottom w:val="0"/>
      <w:divBdr>
        <w:top w:val="none" w:sz="0" w:space="0" w:color="auto"/>
        <w:left w:val="none" w:sz="0" w:space="0" w:color="auto"/>
        <w:bottom w:val="none" w:sz="0" w:space="0" w:color="auto"/>
        <w:right w:val="none" w:sz="0" w:space="0" w:color="auto"/>
      </w:divBdr>
    </w:div>
    <w:div w:id="127865007">
      <w:bodyDiv w:val="1"/>
      <w:marLeft w:val="0"/>
      <w:marRight w:val="0"/>
      <w:marTop w:val="0"/>
      <w:marBottom w:val="0"/>
      <w:divBdr>
        <w:top w:val="none" w:sz="0" w:space="0" w:color="auto"/>
        <w:left w:val="none" w:sz="0" w:space="0" w:color="auto"/>
        <w:bottom w:val="none" w:sz="0" w:space="0" w:color="auto"/>
        <w:right w:val="none" w:sz="0" w:space="0" w:color="auto"/>
      </w:divBdr>
    </w:div>
    <w:div w:id="242107107">
      <w:bodyDiv w:val="1"/>
      <w:marLeft w:val="0"/>
      <w:marRight w:val="0"/>
      <w:marTop w:val="0"/>
      <w:marBottom w:val="0"/>
      <w:divBdr>
        <w:top w:val="none" w:sz="0" w:space="0" w:color="auto"/>
        <w:left w:val="none" w:sz="0" w:space="0" w:color="auto"/>
        <w:bottom w:val="none" w:sz="0" w:space="0" w:color="auto"/>
        <w:right w:val="none" w:sz="0" w:space="0" w:color="auto"/>
      </w:divBdr>
    </w:div>
    <w:div w:id="243074897">
      <w:bodyDiv w:val="1"/>
      <w:marLeft w:val="0"/>
      <w:marRight w:val="0"/>
      <w:marTop w:val="0"/>
      <w:marBottom w:val="0"/>
      <w:divBdr>
        <w:top w:val="none" w:sz="0" w:space="0" w:color="auto"/>
        <w:left w:val="none" w:sz="0" w:space="0" w:color="auto"/>
        <w:bottom w:val="none" w:sz="0" w:space="0" w:color="auto"/>
        <w:right w:val="none" w:sz="0" w:space="0" w:color="auto"/>
      </w:divBdr>
    </w:div>
    <w:div w:id="261180978">
      <w:bodyDiv w:val="1"/>
      <w:marLeft w:val="0"/>
      <w:marRight w:val="0"/>
      <w:marTop w:val="0"/>
      <w:marBottom w:val="0"/>
      <w:divBdr>
        <w:top w:val="none" w:sz="0" w:space="0" w:color="auto"/>
        <w:left w:val="none" w:sz="0" w:space="0" w:color="auto"/>
        <w:bottom w:val="none" w:sz="0" w:space="0" w:color="auto"/>
        <w:right w:val="none" w:sz="0" w:space="0" w:color="auto"/>
      </w:divBdr>
    </w:div>
    <w:div w:id="303975931">
      <w:bodyDiv w:val="1"/>
      <w:marLeft w:val="0"/>
      <w:marRight w:val="0"/>
      <w:marTop w:val="0"/>
      <w:marBottom w:val="0"/>
      <w:divBdr>
        <w:top w:val="none" w:sz="0" w:space="0" w:color="auto"/>
        <w:left w:val="none" w:sz="0" w:space="0" w:color="auto"/>
        <w:bottom w:val="none" w:sz="0" w:space="0" w:color="auto"/>
        <w:right w:val="none" w:sz="0" w:space="0" w:color="auto"/>
      </w:divBdr>
      <w:divsChild>
        <w:div w:id="366493174">
          <w:marLeft w:val="0"/>
          <w:marRight w:val="0"/>
          <w:marTop w:val="0"/>
          <w:marBottom w:val="0"/>
          <w:divBdr>
            <w:top w:val="none" w:sz="0" w:space="0" w:color="auto"/>
            <w:left w:val="none" w:sz="0" w:space="0" w:color="auto"/>
            <w:bottom w:val="none" w:sz="0" w:space="0" w:color="auto"/>
            <w:right w:val="none" w:sz="0" w:space="0" w:color="auto"/>
          </w:divBdr>
        </w:div>
      </w:divsChild>
    </w:div>
    <w:div w:id="316811618">
      <w:bodyDiv w:val="1"/>
      <w:marLeft w:val="0"/>
      <w:marRight w:val="0"/>
      <w:marTop w:val="0"/>
      <w:marBottom w:val="0"/>
      <w:divBdr>
        <w:top w:val="none" w:sz="0" w:space="0" w:color="auto"/>
        <w:left w:val="none" w:sz="0" w:space="0" w:color="auto"/>
        <w:bottom w:val="none" w:sz="0" w:space="0" w:color="auto"/>
        <w:right w:val="none" w:sz="0" w:space="0" w:color="auto"/>
      </w:divBdr>
    </w:div>
    <w:div w:id="320238750">
      <w:bodyDiv w:val="1"/>
      <w:marLeft w:val="0"/>
      <w:marRight w:val="0"/>
      <w:marTop w:val="0"/>
      <w:marBottom w:val="0"/>
      <w:divBdr>
        <w:top w:val="none" w:sz="0" w:space="0" w:color="auto"/>
        <w:left w:val="none" w:sz="0" w:space="0" w:color="auto"/>
        <w:bottom w:val="none" w:sz="0" w:space="0" w:color="auto"/>
        <w:right w:val="none" w:sz="0" w:space="0" w:color="auto"/>
      </w:divBdr>
    </w:div>
    <w:div w:id="357314344">
      <w:bodyDiv w:val="1"/>
      <w:marLeft w:val="0"/>
      <w:marRight w:val="0"/>
      <w:marTop w:val="0"/>
      <w:marBottom w:val="0"/>
      <w:divBdr>
        <w:top w:val="none" w:sz="0" w:space="0" w:color="auto"/>
        <w:left w:val="none" w:sz="0" w:space="0" w:color="auto"/>
        <w:bottom w:val="none" w:sz="0" w:space="0" w:color="auto"/>
        <w:right w:val="none" w:sz="0" w:space="0" w:color="auto"/>
      </w:divBdr>
      <w:divsChild>
        <w:div w:id="955140942">
          <w:marLeft w:val="0"/>
          <w:marRight w:val="0"/>
          <w:marTop w:val="0"/>
          <w:marBottom w:val="0"/>
          <w:divBdr>
            <w:top w:val="none" w:sz="0" w:space="0" w:color="auto"/>
            <w:left w:val="none" w:sz="0" w:space="0" w:color="auto"/>
            <w:bottom w:val="none" w:sz="0" w:space="0" w:color="auto"/>
            <w:right w:val="none" w:sz="0" w:space="0" w:color="auto"/>
          </w:divBdr>
        </w:div>
      </w:divsChild>
    </w:div>
    <w:div w:id="511798281">
      <w:bodyDiv w:val="1"/>
      <w:marLeft w:val="0"/>
      <w:marRight w:val="0"/>
      <w:marTop w:val="0"/>
      <w:marBottom w:val="0"/>
      <w:divBdr>
        <w:top w:val="none" w:sz="0" w:space="0" w:color="auto"/>
        <w:left w:val="none" w:sz="0" w:space="0" w:color="auto"/>
        <w:bottom w:val="none" w:sz="0" w:space="0" w:color="auto"/>
        <w:right w:val="none" w:sz="0" w:space="0" w:color="auto"/>
      </w:divBdr>
    </w:div>
    <w:div w:id="627586051">
      <w:bodyDiv w:val="1"/>
      <w:marLeft w:val="0"/>
      <w:marRight w:val="0"/>
      <w:marTop w:val="0"/>
      <w:marBottom w:val="0"/>
      <w:divBdr>
        <w:top w:val="none" w:sz="0" w:space="0" w:color="auto"/>
        <w:left w:val="none" w:sz="0" w:space="0" w:color="auto"/>
        <w:bottom w:val="none" w:sz="0" w:space="0" w:color="auto"/>
        <w:right w:val="none" w:sz="0" w:space="0" w:color="auto"/>
      </w:divBdr>
    </w:div>
    <w:div w:id="691493322">
      <w:bodyDiv w:val="1"/>
      <w:marLeft w:val="0"/>
      <w:marRight w:val="0"/>
      <w:marTop w:val="0"/>
      <w:marBottom w:val="0"/>
      <w:divBdr>
        <w:top w:val="none" w:sz="0" w:space="0" w:color="auto"/>
        <w:left w:val="none" w:sz="0" w:space="0" w:color="auto"/>
        <w:bottom w:val="none" w:sz="0" w:space="0" w:color="auto"/>
        <w:right w:val="none" w:sz="0" w:space="0" w:color="auto"/>
      </w:divBdr>
    </w:div>
    <w:div w:id="723141172">
      <w:bodyDiv w:val="1"/>
      <w:marLeft w:val="0"/>
      <w:marRight w:val="0"/>
      <w:marTop w:val="0"/>
      <w:marBottom w:val="0"/>
      <w:divBdr>
        <w:top w:val="none" w:sz="0" w:space="0" w:color="auto"/>
        <w:left w:val="none" w:sz="0" w:space="0" w:color="auto"/>
        <w:bottom w:val="none" w:sz="0" w:space="0" w:color="auto"/>
        <w:right w:val="none" w:sz="0" w:space="0" w:color="auto"/>
      </w:divBdr>
    </w:div>
    <w:div w:id="808011686">
      <w:bodyDiv w:val="1"/>
      <w:marLeft w:val="0"/>
      <w:marRight w:val="0"/>
      <w:marTop w:val="0"/>
      <w:marBottom w:val="0"/>
      <w:divBdr>
        <w:top w:val="none" w:sz="0" w:space="0" w:color="auto"/>
        <w:left w:val="none" w:sz="0" w:space="0" w:color="auto"/>
        <w:bottom w:val="none" w:sz="0" w:space="0" w:color="auto"/>
        <w:right w:val="none" w:sz="0" w:space="0" w:color="auto"/>
      </w:divBdr>
    </w:div>
    <w:div w:id="900604510">
      <w:bodyDiv w:val="1"/>
      <w:marLeft w:val="0"/>
      <w:marRight w:val="0"/>
      <w:marTop w:val="0"/>
      <w:marBottom w:val="0"/>
      <w:divBdr>
        <w:top w:val="none" w:sz="0" w:space="0" w:color="auto"/>
        <w:left w:val="none" w:sz="0" w:space="0" w:color="auto"/>
        <w:bottom w:val="none" w:sz="0" w:space="0" w:color="auto"/>
        <w:right w:val="none" w:sz="0" w:space="0" w:color="auto"/>
      </w:divBdr>
    </w:div>
    <w:div w:id="974026056">
      <w:bodyDiv w:val="1"/>
      <w:marLeft w:val="0"/>
      <w:marRight w:val="0"/>
      <w:marTop w:val="0"/>
      <w:marBottom w:val="0"/>
      <w:divBdr>
        <w:top w:val="none" w:sz="0" w:space="0" w:color="auto"/>
        <w:left w:val="none" w:sz="0" w:space="0" w:color="auto"/>
        <w:bottom w:val="none" w:sz="0" w:space="0" w:color="auto"/>
        <w:right w:val="none" w:sz="0" w:space="0" w:color="auto"/>
      </w:divBdr>
    </w:div>
    <w:div w:id="1022903350">
      <w:bodyDiv w:val="1"/>
      <w:marLeft w:val="0"/>
      <w:marRight w:val="0"/>
      <w:marTop w:val="0"/>
      <w:marBottom w:val="0"/>
      <w:divBdr>
        <w:top w:val="none" w:sz="0" w:space="0" w:color="auto"/>
        <w:left w:val="none" w:sz="0" w:space="0" w:color="auto"/>
        <w:bottom w:val="none" w:sz="0" w:space="0" w:color="auto"/>
        <w:right w:val="none" w:sz="0" w:space="0" w:color="auto"/>
      </w:divBdr>
    </w:div>
    <w:div w:id="1030885524">
      <w:bodyDiv w:val="1"/>
      <w:marLeft w:val="0"/>
      <w:marRight w:val="0"/>
      <w:marTop w:val="0"/>
      <w:marBottom w:val="0"/>
      <w:divBdr>
        <w:top w:val="none" w:sz="0" w:space="0" w:color="auto"/>
        <w:left w:val="none" w:sz="0" w:space="0" w:color="auto"/>
        <w:bottom w:val="none" w:sz="0" w:space="0" w:color="auto"/>
        <w:right w:val="none" w:sz="0" w:space="0" w:color="auto"/>
      </w:divBdr>
    </w:div>
    <w:div w:id="1096175500">
      <w:bodyDiv w:val="1"/>
      <w:marLeft w:val="0"/>
      <w:marRight w:val="0"/>
      <w:marTop w:val="0"/>
      <w:marBottom w:val="0"/>
      <w:divBdr>
        <w:top w:val="none" w:sz="0" w:space="0" w:color="auto"/>
        <w:left w:val="none" w:sz="0" w:space="0" w:color="auto"/>
        <w:bottom w:val="none" w:sz="0" w:space="0" w:color="auto"/>
        <w:right w:val="none" w:sz="0" w:space="0" w:color="auto"/>
      </w:divBdr>
    </w:div>
    <w:div w:id="1116756677">
      <w:bodyDiv w:val="1"/>
      <w:marLeft w:val="0"/>
      <w:marRight w:val="0"/>
      <w:marTop w:val="0"/>
      <w:marBottom w:val="0"/>
      <w:divBdr>
        <w:top w:val="none" w:sz="0" w:space="0" w:color="auto"/>
        <w:left w:val="none" w:sz="0" w:space="0" w:color="auto"/>
        <w:bottom w:val="none" w:sz="0" w:space="0" w:color="auto"/>
        <w:right w:val="none" w:sz="0" w:space="0" w:color="auto"/>
      </w:divBdr>
    </w:div>
    <w:div w:id="1271746357">
      <w:bodyDiv w:val="1"/>
      <w:marLeft w:val="0"/>
      <w:marRight w:val="0"/>
      <w:marTop w:val="0"/>
      <w:marBottom w:val="0"/>
      <w:divBdr>
        <w:top w:val="none" w:sz="0" w:space="0" w:color="auto"/>
        <w:left w:val="none" w:sz="0" w:space="0" w:color="auto"/>
        <w:bottom w:val="none" w:sz="0" w:space="0" w:color="auto"/>
        <w:right w:val="none" w:sz="0" w:space="0" w:color="auto"/>
      </w:divBdr>
    </w:div>
    <w:div w:id="1411002408">
      <w:bodyDiv w:val="1"/>
      <w:marLeft w:val="0"/>
      <w:marRight w:val="0"/>
      <w:marTop w:val="0"/>
      <w:marBottom w:val="0"/>
      <w:divBdr>
        <w:top w:val="none" w:sz="0" w:space="0" w:color="auto"/>
        <w:left w:val="none" w:sz="0" w:space="0" w:color="auto"/>
        <w:bottom w:val="none" w:sz="0" w:space="0" w:color="auto"/>
        <w:right w:val="none" w:sz="0" w:space="0" w:color="auto"/>
      </w:divBdr>
    </w:div>
    <w:div w:id="1429305727">
      <w:bodyDiv w:val="1"/>
      <w:marLeft w:val="0"/>
      <w:marRight w:val="0"/>
      <w:marTop w:val="0"/>
      <w:marBottom w:val="0"/>
      <w:divBdr>
        <w:top w:val="none" w:sz="0" w:space="0" w:color="auto"/>
        <w:left w:val="none" w:sz="0" w:space="0" w:color="auto"/>
        <w:bottom w:val="none" w:sz="0" w:space="0" w:color="auto"/>
        <w:right w:val="none" w:sz="0" w:space="0" w:color="auto"/>
      </w:divBdr>
    </w:div>
    <w:div w:id="1464040621">
      <w:bodyDiv w:val="1"/>
      <w:marLeft w:val="0"/>
      <w:marRight w:val="0"/>
      <w:marTop w:val="0"/>
      <w:marBottom w:val="0"/>
      <w:divBdr>
        <w:top w:val="none" w:sz="0" w:space="0" w:color="auto"/>
        <w:left w:val="none" w:sz="0" w:space="0" w:color="auto"/>
        <w:bottom w:val="none" w:sz="0" w:space="0" w:color="auto"/>
        <w:right w:val="none" w:sz="0" w:space="0" w:color="auto"/>
      </w:divBdr>
    </w:div>
    <w:div w:id="1492792260">
      <w:bodyDiv w:val="1"/>
      <w:marLeft w:val="0"/>
      <w:marRight w:val="0"/>
      <w:marTop w:val="0"/>
      <w:marBottom w:val="0"/>
      <w:divBdr>
        <w:top w:val="none" w:sz="0" w:space="0" w:color="auto"/>
        <w:left w:val="none" w:sz="0" w:space="0" w:color="auto"/>
        <w:bottom w:val="none" w:sz="0" w:space="0" w:color="auto"/>
        <w:right w:val="none" w:sz="0" w:space="0" w:color="auto"/>
      </w:divBdr>
    </w:div>
    <w:div w:id="1619141101">
      <w:bodyDiv w:val="1"/>
      <w:marLeft w:val="0"/>
      <w:marRight w:val="0"/>
      <w:marTop w:val="0"/>
      <w:marBottom w:val="0"/>
      <w:divBdr>
        <w:top w:val="none" w:sz="0" w:space="0" w:color="auto"/>
        <w:left w:val="none" w:sz="0" w:space="0" w:color="auto"/>
        <w:bottom w:val="none" w:sz="0" w:space="0" w:color="auto"/>
        <w:right w:val="none" w:sz="0" w:space="0" w:color="auto"/>
      </w:divBdr>
    </w:div>
    <w:div w:id="1673680192">
      <w:bodyDiv w:val="1"/>
      <w:marLeft w:val="0"/>
      <w:marRight w:val="0"/>
      <w:marTop w:val="0"/>
      <w:marBottom w:val="0"/>
      <w:divBdr>
        <w:top w:val="none" w:sz="0" w:space="0" w:color="auto"/>
        <w:left w:val="none" w:sz="0" w:space="0" w:color="auto"/>
        <w:bottom w:val="none" w:sz="0" w:space="0" w:color="auto"/>
        <w:right w:val="none" w:sz="0" w:space="0" w:color="auto"/>
      </w:divBdr>
    </w:div>
    <w:div w:id="1783567630">
      <w:bodyDiv w:val="1"/>
      <w:marLeft w:val="0"/>
      <w:marRight w:val="0"/>
      <w:marTop w:val="0"/>
      <w:marBottom w:val="0"/>
      <w:divBdr>
        <w:top w:val="none" w:sz="0" w:space="0" w:color="auto"/>
        <w:left w:val="none" w:sz="0" w:space="0" w:color="auto"/>
        <w:bottom w:val="none" w:sz="0" w:space="0" w:color="auto"/>
        <w:right w:val="none" w:sz="0" w:space="0" w:color="auto"/>
      </w:divBdr>
    </w:div>
    <w:div w:id="1796211371">
      <w:bodyDiv w:val="1"/>
      <w:marLeft w:val="0"/>
      <w:marRight w:val="0"/>
      <w:marTop w:val="0"/>
      <w:marBottom w:val="0"/>
      <w:divBdr>
        <w:top w:val="none" w:sz="0" w:space="0" w:color="auto"/>
        <w:left w:val="none" w:sz="0" w:space="0" w:color="auto"/>
        <w:bottom w:val="none" w:sz="0" w:space="0" w:color="auto"/>
        <w:right w:val="none" w:sz="0" w:space="0" w:color="auto"/>
      </w:divBdr>
    </w:div>
    <w:div w:id="1802307114">
      <w:bodyDiv w:val="1"/>
      <w:marLeft w:val="0"/>
      <w:marRight w:val="0"/>
      <w:marTop w:val="0"/>
      <w:marBottom w:val="0"/>
      <w:divBdr>
        <w:top w:val="none" w:sz="0" w:space="0" w:color="auto"/>
        <w:left w:val="none" w:sz="0" w:space="0" w:color="auto"/>
        <w:bottom w:val="none" w:sz="0" w:space="0" w:color="auto"/>
        <w:right w:val="none" w:sz="0" w:space="0" w:color="auto"/>
      </w:divBdr>
    </w:div>
    <w:div w:id="1807815311">
      <w:bodyDiv w:val="1"/>
      <w:marLeft w:val="0"/>
      <w:marRight w:val="0"/>
      <w:marTop w:val="0"/>
      <w:marBottom w:val="0"/>
      <w:divBdr>
        <w:top w:val="none" w:sz="0" w:space="0" w:color="auto"/>
        <w:left w:val="none" w:sz="0" w:space="0" w:color="auto"/>
        <w:bottom w:val="none" w:sz="0" w:space="0" w:color="auto"/>
        <w:right w:val="none" w:sz="0" w:space="0" w:color="auto"/>
      </w:divBdr>
    </w:div>
    <w:div w:id="1958099283">
      <w:bodyDiv w:val="1"/>
      <w:marLeft w:val="0"/>
      <w:marRight w:val="0"/>
      <w:marTop w:val="0"/>
      <w:marBottom w:val="0"/>
      <w:divBdr>
        <w:top w:val="none" w:sz="0" w:space="0" w:color="auto"/>
        <w:left w:val="none" w:sz="0" w:space="0" w:color="auto"/>
        <w:bottom w:val="none" w:sz="0" w:space="0" w:color="auto"/>
        <w:right w:val="none" w:sz="0" w:space="0" w:color="auto"/>
      </w:divBdr>
    </w:div>
    <w:div w:id="1974674269">
      <w:bodyDiv w:val="1"/>
      <w:marLeft w:val="0"/>
      <w:marRight w:val="0"/>
      <w:marTop w:val="0"/>
      <w:marBottom w:val="0"/>
      <w:divBdr>
        <w:top w:val="none" w:sz="0" w:space="0" w:color="auto"/>
        <w:left w:val="none" w:sz="0" w:space="0" w:color="auto"/>
        <w:bottom w:val="none" w:sz="0" w:space="0" w:color="auto"/>
        <w:right w:val="none" w:sz="0" w:space="0" w:color="auto"/>
      </w:divBdr>
    </w:div>
    <w:div w:id="1974827721">
      <w:bodyDiv w:val="1"/>
      <w:marLeft w:val="0"/>
      <w:marRight w:val="0"/>
      <w:marTop w:val="0"/>
      <w:marBottom w:val="0"/>
      <w:divBdr>
        <w:top w:val="none" w:sz="0" w:space="0" w:color="auto"/>
        <w:left w:val="none" w:sz="0" w:space="0" w:color="auto"/>
        <w:bottom w:val="none" w:sz="0" w:space="0" w:color="auto"/>
        <w:right w:val="none" w:sz="0" w:space="0" w:color="auto"/>
      </w:divBdr>
    </w:div>
    <w:div w:id="1998145531">
      <w:bodyDiv w:val="1"/>
      <w:marLeft w:val="0"/>
      <w:marRight w:val="0"/>
      <w:marTop w:val="0"/>
      <w:marBottom w:val="0"/>
      <w:divBdr>
        <w:top w:val="none" w:sz="0" w:space="0" w:color="auto"/>
        <w:left w:val="none" w:sz="0" w:space="0" w:color="auto"/>
        <w:bottom w:val="none" w:sz="0" w:space="0" w:color="auto"/>
        <w:right w:val="none" w:sz="0" w:space="0" w:color="auto"/>
      </w:divBdr>
    </w:div>
    <w:div w:id="2018261917">
      <w:bodyDiv w:val="1"/>
      <w:marLeft w:val="0"/>
      <w:marRight w:val="0"/>
      <w:marTop w:val="0"/>
      <w:marBottom w:val="0"/>
      <w:divBdr>
        <w:top w:val="none" w:sz="0" w:space="0" w:color="auto"/>
        <w:left w:val="none" w:sz="0" w:space="0" w:color="auto"/>
        <w:bottom w:val="none" w:sz="0" w:space="0" w:color="auto"/>
        <w:right w:val="none" w:sz="0" w:space="0" w:color="auto"/>
      </w:divBdr>
    </w:div>
    <w:div w:id="2129162448">
      <w:bodyDiv w:val="1"/>
      <w:marLeft w:val="0"/>
      <w:marRight w:val="0"/>
      <w:marTop w:val="0"/>
      <w:marBottom w:val="0"/>
      <w:divBdr>
        <w:top w:val="none" w:sz="0" w:space="0" w:color="auto"/>
        <w:left w:val="none" w:sz="0" w:space="0" w:color="auto"/>
        <w:bottom w:val="none" w:sz="0" w:space="0" w:color="auto"/>
        <w:right w:val="none" w:sz="0" w:space="0" w:color="auto"/>
      </w:divBdr>
    </w:div>
    <w:div w:id="21335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nacom.pt/render.jsp?contentId=1376844&amp;languageId=1" TargetMode="External"/><Relationship Id="rId2" Type="http://schemas.openxmlformats.org/officeDocument/2006/relationships/hyperlink" Target="https://eur-lex.europa.eu/legal-content/ES/TXT/PDF/?uri=CELEX:32014L0061&amp;from=EN" TargetMode="External"/><Relationship Id="rId1" Type="http://schemas.openxmlformats.org/officeDocument/2006/relationships/hyperlink" Target="https://eur-lex.europa.eu/legal-content/ES/TXT/PDF/?uri=CELEX:32010H0572&amp;from=DE" TargetMode="External"/><Relationship Id="rId5" Type="http://schemas.openxmlformats.org/officeDocument/2006/relationships/hyperlink" Target="http://www.ift.org.mx/industria/consultas-publicas/consulta-publica-sobre-el-anteproyecto-de-anteproyecto-de-lineamientos-para-la-entrega-inscripcion-y" TargetMode="External"/><Relationship Id="rId4" Type="http://schemas.openxmlformats.org/officeDocument/2006/relationships/hyperlink" Target="https://www.bundesnetzagentur.de/DE/Sachgebiete/Telekommunikation/Unternehmen_Institutionen/ZIdB/ZIdB-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E926-948E-4060-AA56-0BE096B1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6C3C59-C6F0-476B-B211-B415B2C3D0CF}">
  <ds:schemaRefs>
    <ds:schemaRef ds:uri="http://schemas.microsoft.com/sharepoint/v3/contenttype/forms"/>
  </ds:schemaRefs>
</ds:datastoreItem>
</file>

<file path=customXml/itemProps3.xml><?xml version="1.0" encoding="utf-8"?>
<ds:datastoreItem xmlns:ds="http://schemas.openxmlformats.org/officeDocument/2006/customXml" ds:itemID="{F397F13F-B709-4F7B-A93B-F9663D148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EA378A-D3CE-42EE-897F-7381C472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4549</Words>
  <Characters>25020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Daniela Alvarez Isidro</dc:creator>
  <cp:keywords/>
  <dc:description/>
  <cp:lastModifiedBy>Anaid Karina Limon Rivera</cp:lastModifiedBy>
  <cp:revision>2</cp:revision>
  <dcterms:created xsi:type="dcterms:W3CDTF">2019-08-21T15:12:00Z</dcterms:created>
  <dcterms:modified xsi:type="dcterms:W3CDTF">2019-08-21T15:12:00Z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