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A4F" w:rsidRPr="00263A4F" w:rsidRDefault="00263A4F" w:rsidP="00263A4F">
      <w:pPr>
        <w:rPr>
          <w:rFonts w:ascii="ITC Avant Garde" w:hAnsi="ITC Avant Garde"/>
          <w:lang w:val="es-MX"/>
        </w:rPr>
      </w:pPr>
      <w:bookmarkStart w:id="0" w:name="_Toc25557890"/>
      <w:bookmarkStart w:id="1" w:name="_Toc25560110"/>
    </w:p>
    <w:p w:rsidR="00263A4F" w:rsidRPr="00263A4F" w:rsidRDefault="00263A4F" w:rsidP="00263A4F">
      <w:pPr>
        <w:rPr>
          <w:rFonts w:ascii="ITC Avant Garde" w:hAnsi="ITC Avant Garde"/>
          <w:lang w:val="es-MX"/>
        </w:rPr>
      </w:pPr>
      <w:r w:rsidRPr="00263A4F">
        <w:rPr>
          <w:rFonts w:ascii="ITC Avant Garde" w:hAnsi="ITC Avant Garde"/>
          <w:lang w:val="es-MX"/>
        </w:rPr>
        <w:cr/>
      </w:r>
    </w:p>
    <w:tbl>
      <w:tblPr>
        <w:tblpPr w:leftFromText="187" w:rightFromText="187" w:vertAnchor="page" w:horzAnchor="margin" w:tblpY="3811"/>
        <w:tblW w:w="4637" w:type="pct"/>
        <w:tblCellMar>
          <w:left w:w="144" w:type="dxa"/>
          <w:right w:w="115" w:type="dxa"/>
        </w:tblCellMar>
        <w:tblLook w:val="04A0" w:firstRow="1" w:lastRow="0" w:firstColumn="1" w:lastColumn="0" w:noHBand="0" w:noVBand="1"/>
      </w:tblPr>
      <w:tblGrid>
        <w:gridCol w:w="7887"/>
      </w:tblGrid>
      <w:tr w:rsidR="00263A4F" w:rsidRPr="008069A7" w:rsidTr="00CB0873">
        <w:trPr>
          <w:trHeight w:val="1614"/>
        </w:trPr>
        <w:bookmarkStart w:id="2" w:name="_Toc526854329" w:displacedByCustomXml="next"/>
        <w:bookmarkStart w:id="3" w:name="_Toc525656716" w:displacedByCustomXml="next"/>
        <w:bookmarkStart w:id="4" w:name="_Toc525641495" w:displacedByCustomXml="next"/>
        <w:bookmarkStart w:id="5" w:name="_Toc525641455" w:displacedByCustomXml="next"/>
        <w:bookmarkStart w:id="6" w:name="_Toc525579139" w:displacedByCustomXml="next"/>
        <w:bookmarkStart w:id="7" w:name="_Toc525570019" w:displacedByCustomXml="next"/>
        <w:bookmarkStart w:id="8" w:name="_Toc525143007" w:displacedByCustomXml="next"/>
        <w:bookmarkStart w:id="9" w:name="_Toc525142198" w:displacedByCustomXml="next"/>
        <w:bookmarkStart w:id="10" w:name="_Toc524802931" w:displacedByCustomXml="next"/>
        <w:bookmarkStart w:id="11" w:name="_Toc524794799" w:displacedByCustomXml="next"/>
        <w:bookmarkStart w:id="12" w:name="_Toc524608948" w:displacedByCustomXml="next"/>
        <w:bookmarkStart w:id="13" w:name="_Toc524592603" w:displacedByCustomXml="next"/>
        <w:bookmarkStart w:id="14" w:name="_Toc524507468" w:displacedByCustomXml="next"/>
        <w:bookmarkStart w:id="15" w:name="_Toc524507231" w:displacedByCustomXml="next"/>
        <w:bookmarkStart w:id="16" w:name="_Toc524506842" w:displacedByCustomXml="next"/>
        <w:sdt>
          <w:sdtPr>
            <w:rPr>
              <w:sz w:val="32"/>
            </w:rPr>
            <w:alias w:val="Compañía"/>
            <w:id w:val="13406915"/>
            <w:placeholder>
              <w:docPart w:val="BEC70944162046B8A824D4D76463CBDB"/>
            </w:placeholder>
            <w:dataBinding w:prefixMappings="xmlns:ns0='http://schemas.openxmlformats.org/officeDocument/2006/extended-properties'" w:xpath="/ns0:Properties[1]/ns0:Company[1]" w:storeItemID="{6668398D-A668-4E3E-A5EB-62B293D839F1}"/>
            <w:text/>
          </w:sdtPr>
          <w:sdtContent>
            <w:tc>
              <w:tcPr>
                <w:tcW w:w="8716" w:type="dxa"/>
                <w:tcMar>
                  <w:top w:w="216" w:type="dxa"/>
                  <w:left w:w="115" w:type="dxa"/>
                  <w:bottom w:w="216" w:type="dxa"/>
                  <w:right w:w="115" w:type="dxa"/>
                </w:tcMar>
              </w:tcPr>
              <w:p w:rsidR="00263A4F" w:rsidRPr="001C2B6B" w:rsidRDefault="0029338F" w:rsidP="00263A4F">
                <w:pPr>
                  <w:pStyle w:val="NombreConcesionario"/>
                  <w:numPr>
                    <w:ilvl w:val="0"/>
                    <w:numId w:val="0"/>
                  </w:numPr>
                  <w:rPr>
                    <w:sz w:val="32"/>
                  </w:rPr>
                </w:pPr>
                <w:r>
                  <w:rPr>
                    <w:sz w:val="32"/>
                  </w:rPr>
                  <w:t>Instituto Federal de Telecomunicaciones</w:t>
                </w:r>
              </w:p>
            </w:tc>
          </w:sdtContent>
        </w:sdt>
        <w:bookmarkEnd w:id="2" w:displacedByCustomXml="prev"/>
        <w:bookmarkEnd w:id="3" w:displacedByCustomXml="prev"/>
        <w:bookmarkEnd w:id="4" w:displacedByCustomXml="prev"/>
        <w:bookmarkEnd w:id="5" w:displacedByCustomXml="prev"/>
        <w:bookmarkEnd w:id="6" w:displacedByCustomXml="prev"/>
        <w:bookmarkEnd w:id="7" w:displacedByCustomXml="prev"/>
        <w:bookmarkEnd w:id="8" w:displacedByCustomXml="prev"/>
        <w:bookmarkEnd w:id="9" w:displacedByCustomXml="prev"/>
        <w:bookmarkEnd w:id="10" w:displacedByCustomXml="prev"/>
        <w:bookmarkEnd w:id="11" w:displacedByCustomXml="prev"/>
        <w:bookmarkEnd w:id="12" w:displacedByCustomXml="prev"/>
        <w:bookmarkEnd w:id="13" w:displacedByCustomXml="prev"/>
        <w:bookmarkEnd w:id="14" w:displacedByCustomXml="prev"/>
        <w:bookmarkEnd w:id="15" w:displacedByCustomXml="prev"/>
        <w:bookmarkEnd w:id="16" w:displacedByCustomXml="prev"/>
      </w:tr>
      <w:tr w:rsidR="00263A4F" w:rsidRPr="00A835B5" w:rsidTr="00CB0873">
        <w:trPr>
          <w:trHeight w:val="1629"/>
        </w:trPr>
        <w:tc>
          <w:tcPr>
            <w:tcW w:w="8716" w:type="dxa"/>
          </w:tcPr>
          <w:bookmarkStart w:id="17" w:name="_Toc526854330" w:displacedByCustomXml="next"/>
          <w:bookmarkStart w:id="18" w:name="_Toc525656717" w:displacedByCustomXml="next"/>
          <w:bookmarkStart w:id="19" w:name="_Toc525641496" w:displacedByCustomXml="next"/>
          <w:bookmarkStart w:id="20" w:name="_Toc525641456" w:displacedByCustomXml="next"/>
          <w:bookmarkStart w:id="21" w:name="_Toc525579140" w:displacedByCustomXml="next"/>
          <w:bookmarkStart w:id="22" w:name="_Toc525570020" w:displacedByCustomXml="next"/>
          <w:bookmarkStart w:id="23" w:name="_Toc525143008" w:displacedByCustomXml="next"/>
          <w:bookmarkStart w:id="24" w:name="_Toc525142199" w:displacedByCustomXml="next"/>
          <w:bookmarkStart w:id="25" w:name="_Toc524802932" w:displacedByCustomXml="next"/>
          <w:bookmarkStart w:id="26" w:name="_Toc524794800" w:displacedByCustomXml="next"/>
          <w:bookmarkStart w:id="27" w:name="_Toc524608949" w:displacedByCustomXml="next"/>
          <w:bookmarkStart w:id="28" w:name="_Toc524592604" w:displacedByCustomXml="next"/>
          <w:bookmarkStart w:id="29" w:name="_Toc524507469" w:displacedByCustomXml="next"/>
          <w:bookmarkStart w:id="30" w:name="_Toc524507232" w:displacedByCustomXml="next"/>
          <w:bookmarkStart w:id="31" w:name="_Toc524506843" w:displacedByCustomXml="next"/>
          <w:bookmarkStart w:id="32" w:name="_Toc524266575" w:displacedByCustomXml="next"/>
          <w:bookmarkStart w:id="33" w:name="_Toc524266100" w:displacedByCustomXml="next"/>
          <w:sdt>
            <w:sdtPr>
              <w:rPr>
                <w:rStyle w:val="NombreConcesionarioCar"/>
                <w:i/>
                <w:sz w:val="30"/>
              </w:rPr>
              <w:alias w:val="Título"/>
              <w:id w:val="13406919"/>
              <w:placeholder>
                <w:docPart w:val="DBEFF528EB5D43D38C0734919140DA68"/>
              </w:placeholder>
              <w:dataBinding w:prefixMappings="xmlns:ns0='http://schemas.openxmlformats.org/package/2006/metadata/core-properties' xmlns:ns1='http://purl.org/dc/elements/1.1/'" w:xpath="/ns0:coreProperties[1]/ns1:title[1]" w:storeItemID="{6C3C8BC8-F283-45AE-878A-BAB7291924A1}"/>
              <w:text/>
            </w:sdtPr>
            <w:sdtContent>
              <w:p w:rsidR="00263A4F" w:rsidRPr="008069A7" w:rsidRDefault="00CF29C8" w:rsidP="00CB0873">
                <w:pPr>
                  <w:pStyle w:val="Sinespaciado"/>
                  <w:spacing w:line="216" w:lineRule="auto"/>
                  <w:jc w:val="both"/>
                  <w:rPr>
                    <w:rFonts w:asciiTheme="majorHAnsi" w:eastAsiaTheme="majorEastAsia" w:hAnsiTheme="majorHAnsi" w:cstheme="majorBidi"/>
                    <w:i/>
                    <w:color w:val="6076B4" w:themeColor="accent1"/>
                    <w:sz w:val="30"/>
                    <w:szCs w:val="88"/>
                  </w:rPr>
                </w:pPr>
                <w:r>
                  <w:rPr>
                    <w:rStyle w:val="NombreConcesionarioCar"/>
                    <w:i/>
                    <w:sz w:val="30"/>
                  </w:rPr>
                  <w:t>Modelo de Costos Integral de la Red de Acceso Fija</w:t>
                </w:r>
              </w:p>
            </w:sdtContent>
          </w:sdt>
          <w:bookmarkEnd w:id="17" w:displacedByCustomXml="prev"/>
          <w:bookmarkEnd w:id="18" w:displacedByCustomXml="prev"/>
          <w:bookmarkEnd w:id="19" w:displacedByCustomXml="prev"/>
          <w:bookmarkEnd w:id="20" w:displacedByCustomXml="prev"/>
          <w:bookmarkEnd w:id="21" w:displacedByCustomXml="prev"/>
          <w:bookmarkEnd w:id="22" w:displacedByCustomXml="prev"/>
          <w:bookmarkEnd w:id="23" w:displacedByCustomXml="prev"/>
          <w:bookmarkEnd w:id="24" w:displacedByCustomXml="prev"/>
          <w:bookmarkEnd w:id="25" w:displacedByCustomXml="prev"/>
          <w:bookmarkEnd w:id="26" w:displacedByCustomXml="prev"/>
          <w:bookmarkEnd w:id="27" w:displacedByCustomXml="prev"/>
          <w:bookmarkEnd w:id="28" w:displacedByCustomXml="prev"/>
          <w:bookmarkEnd w:id="29" w:displacedByCustomXml="prev"/>
          <w:bookmarkEnd w:id="30" w:displacedByCustomXml="prev"/>
          <w:bookmarkEnd w:id="31" w:displacedByCustomXml="prev"/>
          <w:bookmarkEnd w:id="32" w:displacedByCustomXml="prev"/>
          <w:bookmarkEnd w:id="33" w:displacedByCustomXml="prev"/>
        </w:tc>
      </w:tr>
      <w:tr w:rsidR="00263A4F" w:rsidRPr="00A835B5" w:rsidTr="00CB0873">
        <w:trPr>
          <w:trHeight w:val="2086"/>
        </w:trPr>
        <w:bookmarkStart w:id="34" w:name="_Toc526854331" w:displacedByCustomXml="next"/>
        <w:bookmarkStart w:id="35" w:name="_Toc525656718" w:displacedByCustomXml="next"/>
        <w:bookmarkStart w:id="36" w:name="_Toc525641497" w:displacedByCustomXml="next"/>
        <w:bookmarkStart w:id="37" w:name="_Toc525641457" w:displacedByCustomXml="next"/>
        <w:bookmarkStart w:id="38" w:name="_Toc525579141" w:displacedByCustomXml="next"/>
        <w:bookmarkStart w:id="39" w:name="_Toc525570021" w:displacedByCustomXml="next"/>
        <w:bookmarkStart w:id="40" w:name="_Toc525143009" w:displacedByCustomXml="next"/>
        <w:bookmarkStart w:id="41" w:name="_Toc525142200" w:displacedByCustomXml="next"/>
        <w:bookmarkStart w:id="42" w:name="_Toc524802933" w:displacedByCustomXml="next"/>
        <w:bookmarkStart w:id="43" w:name="_Toc524794801" w:displacedByCustomXml="next"/>
        <w:bookmarkStart w:id="44" w:name="_Toc524608950" w:displacedByCustomXml="next"/>
        <w:bookmarkStart w:id="45" w:name="_Toc524592605" w:displacedByCustomXml="next"/>
        <w:bookmarkStart w:id="46" w:name="_Toc524507470" w:displacedByCustomXml="next"/>
        <w:bookmarkStart w:id="47" w:name="_Toc524507233" w:displacedByCustomXml="next"/>
        <w:bookmarkStart w:id="48" w:name="_Toc524506844" w:displacedByCustomXml="next"/>
        <w:sdt>
          <w:sdtPr>
            <w:rPr>
              <w:b w:val="0"/>
              <w:i/>
              <w:sz w:val="30"/>
            </w:rPr>
            <w:alias w:val="Subtítulo"/>
            <w:id w:val="13406923"/>
            <w:placeholder>
              <w:docPart w:val="5137B845285747D3B8BD1DDFA3E1FF10"/>
            </w:placeholder>
            <w:dataBinding w:prefixMappings="xmlns:ns0='http://schemas.openxmlformats.org/package/2006/metadata/core-properties' xmlns:ns1='http://purl.org/dc/elements/1.1/'" w:xpath="/ns0:coreProperties[1]/ns1:subject[1]" w:storeItemID="{6C3C8BC8-F283-45AE-878A-BAB7291924A1}"/>
            <w:text/>
          </w:sdtPr>
          <w:sdtContent>
            <w:tc>
              <w:tcPr>
                <w:tcW w:w="8716" w:type="dxa"/>
                <w:tcMar>
                  <w:top w:w="216" w:type="dxa"/>
                  <w:left w:w="115" w:type="dxa"/>
                  <w:bottom w:w="216" w:type="dxa"/>
                  <w:right w:w="115" w:type="dxa"/>
                </w:tcMar>
              </w:tcPr>
              <w:p w:rsidR="00263A4F" w:rsidRPr="008069A7" w:rsidRDefault="0029338F" w:rsidP="00CB0873">
                <w:pPr>
                  <w:pStyle w:val="NombreConcesionario"/>
                  <w:numPr>
                    <w:ilvl w:val="0"/>
                    <w:numId w:val="0"/>
                  </w:numPr>
                  <w:rPr>
                    <w:b w:val="0"/>
                    <w:i/>
                    <w:sz w:val="30"/>
                  </w:rPr>
                </w:pPr>
                <w:r>
                  <w:rPr>
                    <w:b w:val="0"/>
                    <w:i/>
                    <w:sz w:val="30"/>
                  </w:rPr>
                  <w:t>Documento metodológico y descriptivo del modelo para el proceso de consulta pública</w:t>
                </w:r>
              </w:p>
            </w:tc>
          </w:sdtContent>
        </w:sdt>
        <w:bookmarkEnd w:id="34" w:displacedByCustomXml="prev"/>
        <w:bookmarkEnd w:id="35" w:displacedByCustomXml="prev"/>
        <w:bookmarkEnd w:id="36" w:displacedByCustomXml="prev"/>
        <w:bookmarkEnd w:id="37" w:displacedByCustomXml="prev"/>
        <w:bookmarkEnd w:id="38" w:displacedByCustomXml="prev"/>
        <w:bookmarkEnd w:id="39" w:displacedByCustomXml="prev"/>
        <w:bookmarkEnd w:id="40" w:displacedByCustomXml="prev"/>
        <w:bookmarkEnd w:id="41" w:displacedByCustomXml="prev"/>
        <w:bookmarkEnd w:id="42" w:displacedByCustomXml="prev"/>
        <w:bookmarkEnd w:id="43" w:displacedByCustomXml="prev"/>
        <w:bookmarkEnd w:id="44" w:displacedByCustomXml="prev"/>
        <w:bookmarkEnd w:id="45" w:displacedByCustomXml="prev"/>
        <w:bookmarkEnd w:id="46" w:displacedByCustomXml="prev"/>
        <w:bookmarkEnd w:id="47" w:displacedByCustomXml="prev"/>
        <w:bookmarkEnd w:id="48" w:displacedByCustomXml="prev"/>
      </w:tr>
    </w:tbl>
    <w:p w:rsidR="00263A4F" w:rsidRPr="00263A4F" w:rsidRDefault="00263A4F" w:rsidP="00263A4F">
      <w:pPr>
        <w:rPr>
          <w:rFonts w:ascii="ITC Avant Garde" w:hAnsi="ITC Avant Garde"/>
          <w:lang w:val="es-MX"/>
        </w:rPr>
      </w:pPr>
    </w:p>
    <w:p w:rsidR="00263A4F" w:rsidRPr="00263A4F" w:rsidRDefault="00263A4F" w:rsidP="00263A4F">
      <w:pPr>
        <w:rPr>
          <w:rFonts w:ascii="ITC Avant Garde" w:hAnsi="ITC Avant Garde"/>
          <w:lang w:val="es-MX"/>
        </w:rPr>
      </w:pPr>
    </w:p>
    <w:p w:rsidR="00263A4F" w:rsidRPr="00263A4F" w:rsidRDefault="00263A4F" w:rsidP="00263A4F">
      <w:pPr>
        <w:rPr>
          <w:rFonts w:ascii="ITC Avant Garde" w:hAnsi="ITC Avant Garde"/>
          <w:lang w:val="es-MX"/>
        </w:rPr>
      </w:pPr>
    </w:p>
    <w:p w:rsidR="00263A4F" w:rsidRPr="00263A4F" w:rsidRDefault="00263A4F" w:rsidP="00263A4F">
      <w:pPr>
        <w:rPr>
          <w:rFonts w:ascii="ITC Avant Garde" w:hAnsi="ITC Avant Garde"/>
          <w:lang w:val="es-MX"/>
        </w:rPr>
      </w:pPr>
    </w:p>
    <w:p w:rsidR="00263A4F" w:rsidRPr="00263A4F" w:rsidRDefault="00263A4F" w:rsidP="00263A4F">
      <w:pPr>
        <w:rPr>
          <w:rFonts w:ascii="ITC Avant Garde" w:hAnsi="ITC Avant Garde"/>
          <w:lang w:val="es-MX"/>
        </w:rPr>
      </w:pPr>
    </w:p>
    <w:p w:rsidR="00263A4F" w:rsidRPr="00263A4F" w:rsidRDefault="00263A4F" w:rsidP="00263A4F">
      <w:pPr>
        <w:rPr>
          <w:rFonts w:ascii="ITC Avant Garde" w:hAnsi="ITC Avant Garde"/>
          <w:lang w:val="es-MX"/>
        </w:rPr>
      </w:pPr>
    </w:p>
    <w:p w:rsidR="00263A4F" w:rsidRPr="00263A4F" w:rsidRDefault="00263A4F" w:rsidP="00263A4F">
      <w:pPr>
        <w:rPr>
          <w:rFonts w:ascii="ITC Avant Garde" w:hAnsi="ITC Avant Garde"/>
          <w:lang w:val="es-MX"/>
        </w:rPr>
      </w:pPr>
    </w:p>
    <w:p w:rsidR="00263A4F" w:rsidRPr="00263A4F" w:rsidRDefault="00263A4F" w:rsidP="00263A4F">
      <w:pPr>
        <w:rPr>
          <w:rFonts w:ascii="ITC Avant Garde" w:hAnsi="ITC Avant Garde"/>
          <w:lang w:val="es-MX"/>
        </w:rPr>
      </w:pPr>
    </w:p>
    <w:p w:rsidR="00263A4F" w:rsidRPr="00263A4F" w:rsidRDefault="00263A4F" w:rsidP="00263A4F">
      <w:pPr>
        <w:rPr>
          <w:rFonts w:ascii="ITC Avant Garde" w:hAnsi="ITC Avant Garde"/>
          <w:lang w:val="es-MX"/>
        </w:rPr>
      </w:pPr>
    </w:p>
    <w:p w:rsidR="00263A4F" w:rsidRPr="00263A4F" w:rsidRDefault="00263A4F" w:rsidP="00263A4F">
      <w:pPr>
        <w:rPr>
          <w:rFonts w:ascii="ITC Avant Garde" w:hAnsi="ITC Avant Garde"/>
          <w:lang w:val="es-MX"/>
        </w:rPr>
      </w:pPr>
    </w:p>
    <w:p w:rsidR="00263A4F" w:rsidRPr="00263A4F" w:rsidRDefault="00263A4F" w:rsidP="00263A4F">
      <w:pPr>
        <w:rPr>
          <w:rFonts w:ascii="ITC Avant Garde" w:hAnsi="ITC Avant Garde"/>
          <w:lang w:val="es-MX"/>
        </w:rPr>
      </w:pPr>
    </w:p>
    <w:p w:rsidR="00263A4F" w:rsidRPr="00263A4F" w:rsidRDefault="00263A4F" w:rsidP="00263A4F">
      <w:pPr>
        <w:rPr>
          <w:rFonts w:ascii="ITC Avant Garde" w:hAnsi="ITC Avant Garde"/>
          <w:lang w:val="es-MX"/>
        </w:rPr>
      </w:pPr>
    </w:p>
    <w:p w:rsidR="00263A4F" w:rsidRPr="00263A4F" w:rsidRDefault="00263A4F" w:rsidP="00263A4F">
      <w:pPr>
        <w:rPr>
          <w:rFonts w:ascii="ITC Avant Garde" w:hAnsi="ITC Avant Garde"/>
          <w:lang w:val="es-MX"/>
        </w:rPr>
      </w:pPr>
    </w:p>
    <w:p w:rsidR="00263A4F" w:rsidRPr="00263A4F" w:rsidRDefault="00263A4F" w:rsidP="00263A4F">
      <w:pPr>
        <w:rPr>
          <w:rFonts w:ascii="ITC Avant Garde" w:hAnsi="ITC Avant Garde"/>
          <w:lang w:val="es-MX"/>
        </w:rPr>
      </w:pPr>
    </w:p>
    <w:p w:rsidR="00263A4F" w:rsidRPr="00263A4F" w:rsidRDefault="00263A4F" w:rsidP="00263A4F">
      <w:pPr>
        <w:rPr>
          <w:rFonts w:ascii="ITC Avant Garde" w:hAnsi="ITC Avant Garde"/>
          <w:lang w:val="es-MX"/>
        </w:rPr>
      </w:pPr>
    </w:p>
    <w:p w:rsidR="00263A4F" w:rsidRPr="00263A4F" w:rsidRDefault="00263A4F" w:rsidP="00263A4F">
      <w:pPr>
        <w:rPr>
          <w:rFonts w:ascii="ITC Avant Garde" w:hAnsi="ITC Avant Garde"/>
          <w:lang w:val="es-MX"/>
        </w:rPr>
      </w:pPr>
    </w:p>
    <w:p w:rsidR="00263A4F" w:rsidRPr="00263A4F" w:rsidRDefault="00263A4F" w:rsidP="00263A4F">
      <w:pPr>
        <w:rPr>
          <w:rFonts w:ascii="ITC Avant Garde" w:hAnsi="ITC Avant Garde"/>
          <w:lang w:val="es-MX"/>
        </w:rPr>
      </w:pPr>
    </w:p>
    <w:p w:rsidR="00263A4F" w:rsidRPr="00263A4F" w:rsidRDefault="00263A4F" w:rsidP="00263A4F">
      <w:pPr>
        <w:rPr>
          <w:rFonts w:ascii="ITC Avant Garde" w:hAnsi="ITC Avant Garde"/>
          <w:lang w:val="es-MX"/>
        </w:rPr>
      </w:pPr>
    </w:p>
    <w:p w:rsidR="00263A4F" w:rsidRPr="00263A4F" w:rsidRDefault="00263A4F" w:rsidP="00263A4F">
      <w:pPr>
        <w:rPr>
          <w:rFonts w:ascii="ITC Avant Garde" w:hAnsi="ITC Avant Garde"/>
          <w:lang w:val="es-MX"/>
        </w:rPr>
      </w:pPr>
    </w:p>
    <w:p w:rsidR="00263A4F" w:rsidRPr="00263A4F" w:rsidRDefault="00263A4F" w:rsidP="00263A4F">
      <w:pPr>
        <w:rPr>
          <w:rFonts w:ascii="ITC Avant Garde" w:hAnsi="ITC Avant Garde"/>
          <w:lang w:val="es-MX"/>
        </w:rPr>
      </w:pPr>
    </w:p>
    <w:p w:rsidR="00263A4F" w:rsidRPr="00263A4F" w:rsidRDefault="00263A4F" w:rsidP="00263A4F">
      <w:pPr>
        <w:rPr>
          <w:rFonts w:ascii="ITC Avant Garde" w:hAnsi="ITC Avant Garde"/>
          <w:lang w:val="es-MX"/>
        </w:rPr>
      </w:pPr>
    </w:p>
    <w:p w:rsidR="00263A4F" w:rsidRPr="00263A4F" w:rsidRDefault="00263A4F" w:rsidP="00263A4F">
      <w:pPr>
        <w:rPr>
          <w:rFonts w:ascii="ITC Avant Garde" w:hAnsi="ITC Avant Garde"/>
          <w:lang w:val="es-MX"/>
        </w:rPr>
      </w:pPr>
    </w:p>
    <w:p w:rsidR="00263A4F" w:rsidRPr="00263A4F" w:rsidRDefault="00263A4F" w:rsidP="00263A4F">
      <w:pPr>
        <w:rPr>
          <w:rFonts w:ascii="ITC Avant Garde" w:hAnsi="ITC Avant Garde"/>
          <w:lang w:val="es-MX"/>
        </w:rPr>
      </w:pPr>
    </w:p>
    <w:p w:rsidR="0022585B" w:rsidRPr="00872052" w:rsidRDefault="0022585B">
      <w:pPr>
        <w:rPr>
          <w:rFonts w:ascii="ITC Avant Garde" w:hAnsi="ITC Avant Garde"/>
          <w:lang w:val="es-MX"/>
        </w:rPr>
      </w:pPr>
    </w:p>
    <w:p w:rsidR="0022585B" w:rsidRPr="00872052" w:rsidRDefault="0022585B">
      <w:pPr>
        <w:rPr>
          <w:rFonts w:ascii="ITC Avant Garde" w:hAnsi="ITC Avant Garde"/>
          <w:lang w:val="es-MX"/>
        </w:rPr>
      </w:pPr>
    </w:p>
    <w:p w:rsidR="0022585B" w:rsidRPr="00872052" w:rsidRDefault="0022585B">
      <w:pPr>
        <w:rPr>
          <w:rFonts w:ascii="ITC Avant Garde" w:hAnsi="ITC Avant Garde"/>
          <w:lang w:val="es-MX"/>
        </w:rPr>
      </w:pPr>
    </w:p>
    <w:p w:rsidR="0022585B" w:rsidRPr="00872052" w:rsidRDefault="0022585B">
      <w:pPr>
        <w:rPr>
          <w:rFonts w:ascii="ITC Avant Garde" w:hAnsi="ITC Avant Garde"/>
          <w:lang w:val="es-MX"/>
        </w:rPr>
      </w:pPr>
    </w:p>
    <w:p w:rsidR="0022585B" w:rsidRPr="00872052" w:rsidRDefault="0022585B">
      <w:pPr>
        <w:rPr>
          <w:rFonts w:ascii="ITC Avant Garde" w:hAnsi="ITC Avant Garde"/>
          <w:lang w:val="es-MX"/>
        </w:rPr>
      </w:pPr>
    </w:p>
    <w:bookmarkEnd w:id="0"/>
    <w:bookmarkEnd w:id="1"/>
    <w:p w:rsidR="0022585B" w:rsidRPr="00BE63E3" w:rsidRDefault="00B439F3" w:rsidP="00B921FF">
      <w:pPr>
        <w:ind w:right="1123"/>
        <w:jc w:val="left"/>
        <w:rPr>
          <w:rFonts w:ascii="ITC Avant Garde" w:hAnsi="ITC Avant Garde"/>
          <w:b/>
          <w:color w:val="CC3300"/>
          <w:sz w:val="28"/>
          <w:szCs w:val="28"/>
          <w:lang w:val="es-MX"/>
        </w:rPr>
      </w:pPr>
      <w:r w:rsidRPr="00BE63E3">
        <w:rPr>
          <w:rFonts w:ascii="ITC Avant Garde" w:hAnsi="ITC Avant Garde"/>
          <w:b/>
          <w:color w:val="CC3300"/>
          <w:sz w:val="28"/>
          <w:szCs w:val="28"/>
          <w:lang w:val="es-MX"/>
        </w:rPr>
        <w:lastRenderedPageBreak/>
        <w:t>Contenido</w:t>
      </w:r>
    </w:p>
    <w:p w:rsidR="0012305A" w:rsidRPr="00BE63E3" w:rsidRDefault="0012305A">
      <w:pPr>
        <w:rPr>
          <w:rFonts w:ascii="ITC Avant Garde" w:hAnsi="ITC Avant Garde"/>
          <w:lang w:val="es-MX"/>
        </w:rPr>
      </w:pPr>
    </w:p>
    <w:p w:rsidR="00CF29C8" w:rsidRDefault="005C54B8">
      <w:pPr>
        <w:pStyle w:val="TDC1"/>
        <w:tabs>
          <w:tab w:val="right" w:pos="8494"/>
        </w:tabs>
        <w:rPr>
          <w:rFonts w:eastAsiaTheme="minorEastAsia" w:cstheme="minorBidi"/>
          <w:b w:val="0"/>
          <w:bCs w:val="0"/>
          <w:iCs w:val="0"/>
          <w:noProof/>
          <w:sz w:val="22"/>
          <w:szCs w:val="22"/>
          <w:lang w:val="es-MX" w:eastAsia="es-MX"/>
        </w:rPr>
      </w:pPr>
      <w:r w:rsidRPr="00BE63E3">
        <w:rPr>
          <w:rFonts w:ascii="ITC Avant Garde" w:hAnsi="ITC Avant Garde"/>
          <w:b w:val="0"/>
          <w:i/>
          <w:sz w:val="24"/>
          <w:lang w:val="es-MX"/>
        </w:rPr>
        <w:fldChar w:fldCharType="begin"/>
      </w:r>
      <w:r w:rsidRPr="00BE63E3">
        <w:rPr>
          <w:rFonts w:ascii="ITC Avant Garde" w:hAnsi="ITC Avant Garde"/>
          <w:b w:val="0"/>
          <w:i/>
          <w:sz w:val="24"/>
          <w:lang w:val="es-MX"/>
        </w:rPr>
        <w:instrText xml:space="preserve"> TOC \o "1-4" \h \z \u </w:instrText>
      </w:r>
      <w:r w:rsidRPr="00BE63E3">
        <w:rPr>
          <w:rFonts w:ascii="ITC Avant Garde" w:hAnsi="ITC Avant Garde"/>
          <w:b w:val="0"/>
          <w:i/>
          <w:sz w:val="24"/>
          <w:lang w:val="es-MX"/>
        </w:rPr>
        <w:fldChar w:fldCharType="separate"/>
      </w:r>
      <w:hyperlink w:anchor="_Toc526854329" w:history="1">
        <w:r w:rsidR="00CF29C8" w:rsidRPr="000F27C6">
          <w:rPr>
            <w:rStyle w:val="Hipervnculo"/>
            <w:noProof/>
          </w:rPr>
          <w:t>Instituto Federal de Telecomunicaciones</w:t>
        </w:r>
        <w:r w:rsidR="00CF29C8">
          <w:rPr>
            <w:noProof/>
            <w:webHidden/>
          </w:rPr>
          <w:tab/>
        </w:r>
        <w:r w:rsidR="00CF29C8">
          <w:rPr>
            <w:noProof/>
            <w:webHidden/>
          </w:rPr>
          <w:fldChar w:fldCharType="begin"/>
        </w:r>
        <w:r w:rsidR="00CF29C8">
          <w:rPr>
            <w:noProof/>
            <w:webHidden/>
          </w:rPr>
          <w:instrText xml:space="preserve"> PAGEREF _Toc526854329 \h </w:instrText>
        </w:r>
        <w:r w:rsidR="00CF29C8">
          <w:rPr>
            <w:noProof/>
            <w:webHidden/>
          </w:rPr>
        </w:r>
        <w:r w:rsidR="00CF29C8">
          <w:rPr>
            <w:noProof/>
            <w:webHidden/>
          </w:rPr>
          <w:fldChar w:fldCharType="separate"/>
        </w:r>
        <w:r w:rsidR="0061735A">
          <w:rPr>
            <w:noProof/>
            <w:webHidden/>
          </w:rPr>
          <w:t>1</w:t>
        </w:r>
        <w:r w:rsidR="00CF29C8">
          <w:rPr>
            <w:noProof/>
            <w:webHidden/>
          </w:rPr>
          <w:fldChar w:fldCharType="end"/>
        </w:r>
      </w:hyperlink>
    </w:p>
    <w:p w:rsidR="00CF29C8" w:rsidRDefault="00CF29C8">
      <w:pPr>
        <w:pStyle w:val="TDC1"/>
        <w:tabs>
          <w:tab w:val="right" w:pos="8494"/>
        </w:tabs>
        <w:rPr>
          <w:rFonts w:eastAsiaTheme="minorEastAsia" w:cstheme="minorBidi"/>
          <w:b w:val="0"/>
          <w:bCs w:val="0"/>
          <w:iCs w:val="0"/>
          <w:noProof/>
          <w:sz w:val="22"/>
          <w:szCs w:val="22"/>
          <w:lang w:val="es-MX" w:eastAsia="es-MX"/>
        </w:rPr>
      </w:pPr>
      <w:hyperlink w:anchor="_Toc526854330" w:history="1">
        <w:r w:rsidRPr="000F27C6">
          <w:rPr>
            <w:rStyle w:val="Hipervnculo"/>
            <w:i/>
            <w:noProof/>
          </w:rPr>
          <w:t>Modelo de Costos Integral de la Red de Acceso Fija</w:t>
        </w:r>
        <w:r>
          <w:rPr>
            <w:noProof/>
            <w:webHidden/>
          </w:rPr>
          <w:tab/>
        </w:r>
        <w:r>
          <w:rPr>
            <w:noProof/>
            <w:webHidden/>
          </w:rPr>
          <w:fldChar w:fldCharType="begin"/>
        </w:r>
        <w:r>
          <w:rPr>
            <w:noProof/>
            <w:webHidden/>
          </w:rPr>
          <w:instrText xml:space="preserve"> PAGEREF _Toc526854330 \h </w:instrText>
        </w:r>
        <w:r>
          <w:rPr>
            <w:noProof/>
            <w:webHidden/>
          </w:rPr>
        </w:r>
        <w:r>
          <w:rPr>
            <w:noProof/>
            <w:webHidden/>
          </w:rPr>
          <w:fldChar w:fldCharType="separate"/>
        </w:r>
        <w:r w:rsidR="0061735A">
          <w:rPr>
            <w:noProof/>
            <w:webHidden/>
          </w:rPr>
          <w:t>1</w:t>
        </w:r>
        <w:r>
          <w:rPr>
            <w:noProof/>
            <w:webHidden/>
          </w:rPr>
          <w:fldChar w:fldCharType="end"/>
        </w:r>
      </w:hyperlink>
    </w:p>
    <w:p w:rsidR="00CF29C8" w:rsidRDefault="00CF29C8">
      <w:pPr>
        <w:pStyle w:val="TDC1"/>
        <w:tabs>
          <w:tab w:val="right" w:pos="8494"/>
        </w:tabs>
        <w:rPr>
          <w:rFonts w:eastAsiaTheme="minorEastAsia" w:cstheme="minorBidi"/>
          <w:b w:val="0"/>
          <w:bCs w:val="0"/>
          <w:iCs w:val="0"/>
          <w:noProof/>
          <w:sz w:val="22"/>
          <w:szCs w:val="22"/>
          <w:lang w:val="es-MX" w:eastAsia="es-MX"/>
        </w:rPr>
      </w:pPr>
      <w:hyperlink w:anchor="_Toc526854331" w:history="1">
        <w:r w:rsidRPr="000F27C6">
          <w:rPr>
            <w:rStyle w:val="Hipervnculo"/>
            <w:i/>
            <w:noProof/>
          </w:rPr>
          <w:t>Documento metodológico y descriptivo del modelo para el proceso de consulta pública</w:t>
        </w:r>
        <w:r>
          <w:rPr>
            <w:noProof/>
            <w:webHidden/>
          </w:rPr>
          <w:tab/>
        </w:r>
        <w:r>
          <w:rPr>
            <w:noProof/>
            <w:webHidden/>
          </w:rPr>
          <w:fldChar w:fldCharType="begin"/>
        </w:r>
        <w:r>
          <w:rPr>
            <w:noProof/>
            <w:webHidden/>
          </w:rPr>
          <w:instrText xml:space="preserve"> PAGEREF _Toc526854331 \h </w:instrText>
        </w:r>
        <w:r>
          <w:rPr>
            <w:noProof/>
            <w:webHidden/>
          </w:rPr>
        </w:r>
        <w:r>
          <w:rPr>
            <w:noProof/>
            <w:webHidden/>
          </w:rPr>
          <w:fldChar w:fldCharType="separate"/>
        </w:r>
        <w:r w:rsidR="0061735A">
          <w:rPr>
            <w:noProof/>
            <w:webHidden/>
          </w:rPr>
          <w:t>1</w:t>
        </w:r>
        <w:r>
          <w:rPr>
            <w:noProof/>
            <w:webHidden/>
          </w:rPr>
          <w:fldChar w:fldCharType="end"/>
        </w:r>
      </w:hyperlink>
    </w:p>
    <w:p w:rsidR="00CF29C8" w:rsidRDefault="00CF29C8">
      <w:pPr>
        <w:pStyle w:val="TDC1"/>
        <w:tabs>
          <w:tab w:val="left" w:pos="660"/>
          <w:tab w:val="right" w:pos="8494"/>
        </w:tabs>
        <w:rPr>
          <w:rFonts w:eastAsiaTheme="minorEastAsia" w:cstheme="minorBidi"/>
          <w:b w:val="0"/>
          <w:bCs w:val="0"/>
          <w:iCs w:val="0"/>
          <w:noProof/>
          <w:sz w:val="22"/>
          <w:szCs w:val="22"/>
          <w:lang w:val="es-MX" w:eastAsia="es-MX"/>
        </w:rPr>
      </w:pPr>
      <w:hyperlink w:anchor="_Toc526854332" w:history="1">
        <w:r w:rsidRPr="000F27C6">
          <w:rPr>
            <w:rStyle w:val="Hipervnculo"/>
            <w:rFonts w:ascii="ITC Avant Garde" w:hAnsi="ITC Avant Garde"/>
            <w:noProof/>
            <w14:scene3d>
              <w14:camera w14:prst="orthographicFront"/>
              <w14:lightRig w14:rig="threePt" w14:dir="t">
                <w14:rot w14:lat="0" w14:lon="0" w14:rev="0"/>
              </w14:lightRig>
            </w14:scene3d>
          </w:rPr>
          <w:t>1</w:t>
        </w:r>
        <w:r>
          <w:rPr>
            <w:rFonts w:eastAsiaTheme="minorEastAsia" w:cstheme="minorBidi"/>
            <w:b w:val="0"/>
            <w:bCs w:val="0"/>
            <w:iCs w:val="0"/>
            <w:noProof/>
            <w:sz w:val="22"/>
            <w:szCs w:val="22"/>
            <w:lang w:val="es-MX" w:eastAsia="es-MX"/>
          </w:rPr>
          <w:tab/>
        </w:r>
        <w:r w:rsidRPr="000F27C6">
          <w:rPr>
            <w:rStyle w:val="Hipervnculo"/>
            <w:rFonts w:ascii="ITC Avant Garde" w:hAnsi="ITC Avant Garde"/>
            <w:noProof/>
          </w:rPr>
          <w:t>Introducción</w:t>
        </w:r>
        <w:r>
          <w:rPr>
            <w:noProof/>
            <w:webHidden/>
          </w:rPr>
          <w:tab/>
        </w:r>
        <w:r>
          <w:rPr>
            <w:noProof/>
            <w:webHidden/>
          </w:rPr>
          <w:fldChar w:fldCharType="begin"/>
        </w:r>
        <w:r>
          <w:rPr>
            <w:noProof/>
            <w:webHidden/>
          </w:rPr>
          <w:instrText xml:space="preserve"> PAGEREF _Toc526854332 \h </w:instrText>
        </w:r>
        <w:r>
          <w:rPr>
            <w:noProof/>
            <w:webHidden/>
          </w:rPr>
        </w:r>
        <w:r>
          <w:rPr>
            <w:noProof/>
            <w:webHidden/>
          </w:rPr>
          <w:fldChar w:fldCharType="separate"/>
        </w:r>
        <w:r w:rsidR="0061735A">
          <w:rPr>
            <w:noProof/>
            <w:webHidden/>
          </w:rPr>
          <w:t>5</w:t>
        </w:r>
        <w:r>
          <w:rPr>
            <w:noProof/>
            <w:webHidden/>
          </w:rPr>
          <w:fldChar w:fldCharType="end"/>
        </w:r>
      </w:hyperlink>
    </w:p>
    <w:p w:rsidR="00CF29C8" w:rsidRDefault="00CF29C8">
      <w:pPr>
        <w:pStyle w:val="TDC2"/>
        <w:tabs>
          <w:tab w:val="left" w:pos="660"/>
          <w:tab w:val="right" w:pos="8494"/>
        </w:tabs>
        <w:rPr>
          <w:rFonts w:eastAsiaTheme="minorEastAsia" w:cstheme="minorBidi"/>
          <w:b w:val="0"/>
          <w:bCs w:val="0"/>
          <w:noProof/>
          <w:sz w:val="22"/>
          <w:lang w:val="es-MX" w:eastAsia="es-MX"/>
        </w:rPr>
      </w:pPr>
      <w:hyperlink w:anchor="_Toc526854333" w:history="1">
        <w:r w:rsidRPr="000F27C6">
          <w:rPr>
            <w:rStyle w:val="Hipervnculo"/>
            <w:rFonts w:ascii="ITC Avant Garde" w:hAnsi="ITC Avant Garde"/>
            <w:noProof/>
          </w:rPr>
          <w:t>1.1</w:t>
        </w:r>
        <w:r>
          <w:rPr>
            <w:rFonts w:eastAsiaTheme="minorEastAsia" w:cstheme="minorBidi"/>
            <w:b w:val="0"/>
            <w:bCs w:val="0"/>
            <w:noProof/>
            <w:sz w:val="22"/>
            <w:lang w:val="es-MX" w:eastAsia="es-MX"/>
          </w:rPr>
          <w:tab/>
        </w:r>
        <w:r w:rsidRPr="000F27C6">
          <w:rPr>
            <w:rStyle w:val="Hipervnculo"/>
            <w:rFonts w:ascii="ITC Avant Garde" w:hAnsi="ITC Avant Garde"/>
            <w:noProof/>
            <w:lang w:val="es-MX"/>
          </w:rPr>
          <w:t>Antecedentes</w:t>
        </w:r>
        <w:r>
          <w:rPr>
            <w:noProof/>
            <w:webHidden/>
          </w:rPr>
          <w:tab/>
        </w:r>
        <w:r>
          <w:rPr>
            <w:noProof/>
            <w:webHidden/>
          </w:rPr>
          <w:fldChar w:fldCharType="begin"/>
        </w:r>
        <w:r>
          <w:rPr>
            <w:noProof/>
            <w:webHidden/>
          </w:rPr>
          <w:instrText xml:space="preserve"> PAGEREF _Toc526854333 \h </w:instrText>
        </w:r>
        <w:r>
          <w:rPr>
            <w:noProof/>
            <w:webHidden/>
          </w:rPr>
        </w:r>
        <w:r>
          <w:rPr>
            <w:noProof/>
            <w:webHidden/>
          </w:rPr>
          <w:fldChar w:fldCharType="separate"/>
        </w:r>
        <w:r w:rsidR="0061735A">
          <w:rPr>
            <w:noProof/>
            <w:webHidden/>
          </w:rPr>
          <w:t>5</w:t>
        </w:r>
        <w:r>
          <w:rPr>
            <w:noProof/>
            <w:webHidden/>
          </w:rPr>
          <w:fldChar w:fldCharType="end"/>
        </w:r>
      </w:hyperlink>
    </w:p>
    <w:p w:rsidR="00CF29C8" w:rsidRDefault="00CF29C8">
      <w:pPr>
        <w:pStyle w:val="TDC2"/>
        <w:tabs>
          <w:tab w:val="left" w:pos="660"/>
          <w:tab w:val="right" w:pos="8494"/>
        </w:tabs>
        <w:rPr>
          <w:rFonts w:eastAsiaTheme="minorEastAsia" w:cstheme="minorBidi"/>
          <w:b w:val="0"/>
          <w:bCs w:val="0"/>
          <w:noProof/>
          <w:sz w:val="22"/>
          <w:lang w:val="es-MX" w:eastAsia="es-MX"/>
        </w:rPr>
      </w:pPr>
      <w:hyperlink w:anchor="_Toc526854334" w:history="1">
        <w:r w:rsidRPr="000F27C6">
          <w:rPr>
            <w:rStyle w:val="Hipervnculo"/>
            <w:rFonts w:ascii="ITC Avant Garde" w:hAnsi="ITC Avant Garde"/>
            <w:noProof/>
          </w:rPr>
          <w:t>1.2</w:t>
        </w:r>
        <w:r>
          <w:rPr>
            <w:rFonts w:eastAsiaTheme="minorEastAsia" w:cstheme="minorBidi"/>
            <w:b w:val="0"/>
            <w:bCs w:val="0"/>
            <w:noProof/>
            <w:sz w:val="22"/>
            <w:lang w:val="es-MX" w:eastAsia="es-MX"/>
          </w:rPr>
          <w:tab/>
        </w:r>
        <w:r w:rsidRPr="000F27C6">
          <w:rPr>
            <w:rStyle w:val="Hipervnculo"/>
            <w:rFonts w:ascii="ITC Avant Garde" w:hAnsi="ITC Avant Garde"/>
            <w:noProof/>
            <w:lang w:val="es-MX"/>
          </w:rPr>
          <w:t>Objetivos del presente informe</w:t>
        </w:r>
        <w:r>
          <w:rPr>
            <w:noProof/>
            <w:webHidden/>
          </w:rPr>
          <w:tab/>
        </w:r>
        <w:r>
          <w:rPr>
            <w:noProof/>
            <w:webHidden/>
          </w:rPr>
          <w:fldChar w:fldCharType="begin"/>
        </w:r>
        <w:r>
          <w:rPr>
            <w:noProof/>
            <w:webHidden/>
          </w:rPr>
          <w:instrText xml:space="preserve"> PAGEREF _Toc526854334 \h </w:instrText>
        </w:r>
        <w:r>
          <w:rPr>
            <w:noProof/>
            <w:webHidden/>
          </w:rPr>
        </w:r>
        <w:r>
          <w:rPr>
            <w:noProof/>
            <w:webHidden/>
          </w:rPr>
          <w:fldChar w:fldCharType="separate"/>
        </w:r>
        <w:r w:rsidR="0061735A">
          <w:rPr>
            <w:noProof/>
            <w:webHidden/>
          </w:rPr>
          <w:t>6</w:t>
        </w:r>
        <w:r>
          <w:rPr>
            <w:noProof/>
            <w:webHidden/>
          </w:rPr>
          <w:fldChar w:fldCharType="end"/>
        </w:r>
      </w:hyperlink>
    </w:p>
    <w:p w:rsidR="00CF29C8" w:rsidRDefault="00CF29C8">
      <w:pPr>
        <w:pStyle w:val="TDC1"/>
        <w:tabs>
          <w:tab w:val="left" w:pos="660"/>
          <w:tab w:val="right" w:pos="8494"/>
        </w:tabs>
        <w:rPr>
          <w:rFonts w:eastAsiaTheme="minorEastAsia" w:cstheme="minorBidi"/>
          <w:b w:val="0"/>
          <w:bCs w:val="0"/>
          <w:iCs w:val="0"/>
          <w:noProof/>
          <w:sz w:val="22"/>
          <w:szCs w:val="22"/>
          <w:lang w:val="es-MX" w:eastAsia="es-MX"/>
        </w:rPr>
      </w:pPr>
      <w:hyperlink w:anchor="_Toc526854335" w:history="1">
        <w:r w:rsidRPr="000F27C6">
          <w:rPr>
            <w:rStyle w:val="Hipervnculo"/>
            <w:rFonts w:ascii="ITC Avant Garde" w:hAnsi="ITC Avant Garde"/>
            <w:noProof/>
            <w14:scene3d>
              <w14:camera w14:prst="orthographicFront"/>
              <w14:lightRig w14:rig="threePt" w14:dir="t">
                <w14:rot w14:lat="0" w14:lon="0" w14:rev="0"/>
              </w14:lightRig>
            </w14:scene3d>
          </w:rPr>
          <w:t>2</w:t>
        </w:r>
        <w:r>
          <w:rPr>
            <w:rFonts w:eastAsiaTheme="minorEastAsia" w:cstheme="minorBidi"/>
            <w:b w:val="0"/>
            <w:bCs w:val="0"/>
            <w:iCs w:val="0"/>
            <w:noProof/>
            <w:sz w:val="22"/>
            <w:szCs w:val="22"/>
            <w:lang w:val="es-MX" w:eastAsia="es-MX"/>
          </w:rPr>
          <w:tab/>
        </w:r>
        <w:r w:rsidRPr="000F27C6">
          <w:rPr>
            <w:rStyle w:val="Hipervnculo"/>
            <w:rFonts w:ascii="ITC Avant Garde" w:hAnsi="ITC Avant Garde"/>
            <w:noProof/>
          </w:rPr>
          <w:t>Principios metodológicos y conceptuales</w:t>
        </w:r>
        <w:r>
          <w:rPr>
            <w:noProof/>
            <w:webHidden/>
          </w:rPr>
          <w:tab/>
        </w:r>
        <w:r>
          <w:rPr>
            <w:noProof/>
            <w:webHidden/>
          </w:rPr>
          <w:fldChar w:fldCharType="begin"/>
        </w:r>
        <w:r>
          <w:rPr>
            <w:noProof/>
            <w:webHidden/>
          </w:rPr>
          <w:instrText xml:space="preserve"> PAGEREF _Toc526854335 \h </w:instrText>
        </w:r>
        <w:r>
          <w:rPr>
            <w:noProof/>
            <w:webHidden/>
          </w:rPr>
        </w:r>
        <w:r>
          <w:rPr>
            <w:noProof/>
            <w:webHidden/>
          </w:rPr>
          <w:fldChar w:fldCharType="separate"/>
        </w:r>
        <w:r w:rsidR="0061735A">
          <w:rPr>
            <w:noProof/>
            <w:webHidden/>
          </w:rPr>
          <w:t>7</w:t>
        </w:r>
        <w:r>
          <w:rPr>
            <w:noProof/>
            <w:webHidden/>
          </w:rPr>
          <w:fldChar w:fldCharType="end"/>
        </w:r>
      </w:hyperlink>
    </w:p>
    <w:p w:rsidR="00CF29C8" w:rsidRDefault="00CF29C8">
      <w:pPr>
        <w:pStyle w:val="TDC2"/>
        <w:tabs>
          <w:tab w:val="left" w:pos="660"/>
          <w:tab w:val="right" w:pos="8494"/>
        </w:tabs>
        <w:rPr>
          <w:rFonts w:eastAsiaTheme="minorEastAsia" w:cstheme="minorBidi"/>
          <w:b w:val="0"/>
          <w:bCs w:val="0"/>
          <w:noProof/>
          <w:sz w:val="22"/>
          <w:lang w:val="es-MX" w:eastAsia="es-MX"/>
        </w:rPr>
      </w:pPr>
      <w:hyperlink w:anchor="_Toc526854336" w:history="1">
        <w:r w:rsidRPr="000F27C6">
          <w:rPr>
            <w:rStyle w:val="Hipervnculo"/>
            <w:rFonts w:ascii="ITC Avant Garde" w:hAnsi="ITC Avant Garde"/>
            <w:noProof/>
          </w:rPr>
          <w:t>2.1</w:t>
        </w:r>
        <w:r>
          <w:rPr>
            <w:rFonts w:eastAsiaTheme="minorEastAsia" w:cstheme="minorBidi"/>
            <w:b w:val="0"/>
            <w:bCs w:val="0"/>
            <w:noProof/>
            <w:sz w:val="22"/>
            <w:lang w:val="es-MX" w:eastAsia="es-MX"/>
          </w:rPr>
          <w:tab/>
        </w:r>
        <w:r w:rsidRPr="000F27C6">
          <w:rPr>
            <w:rStyle w:val="Hipervnculo"/>
            <w:rFonts w:ascii="ITC Avant Garde" w:hAnsi="ITC Avant Garde"/>
            <w:noProof/>
            <w:lang w:val="es-MX"/>
          </w:rPr>
          <w:t>Principios principales establecidos en el marco regulatorio</w:t>
        </w:r>
        <w:r>
          <w:rPr>
            <w:noProof/>
            <w:webHidden/>
          </w:rPr>
          <w:tab/>
        </w:r>
        <w:r>
          <w:rPr>
            <w:noProof/>
            <w:webHidden/>
          </w:rPr>
          <w:fldChar w:fldCharType="begin"/>
        </w:r>
        <w:r>
          <w:rPr>
            <w:noProof/>
            <w:webHidden/>
          </w:rPr>
          <w:instrText xml:space="preserve"> PAGEREF _Toc526854336 \h </w:instrText>
        </w:r>
        <w:r>
          <w:rPr>
            <w:noProof/>
            <w:webHidden/>
          </w:rPr>
        </w:r>
        <w:r>
          <w:rPr>
            <w:noProof/>
            <w:webHidden/>
          </w:rPr>
          <w:fldChar w:fldCharType="separate"/>
        </w:r>
        <w:r w:rsidR="0061735A">
          <w:rPr>
            <w:noProof/>
            <w:webHidden/>
          </w:rPr>
          <w:t>7</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37" w:history="1">
        <w:r w:rsidRPr="000F27C6">
          <w:rPr>
            <w:rStyle w:val="Hipervnculo"/>
            <w:rFonts w:ascii="ITC Avant Garde" w:hAnsi="ITC Avant Garde"/>
            <w:noProof/>
          </w:rPr>
          <w:t>2.1.1</w:t>
        </w:r>
        <w:r>
          <w:rPr>
            <w:rFonts w:eastAsiaTheme="minorEastAsia" w:cstheme="minorBidi"/>
            <w:noProof/>
            <w:sz w:val="22"/>
            <w:szCs w:val="22"/>
            <w:lang w:val="es-MX" w:eastAsia="es-MX"/>
          </w:rPr>
          <w:tab/>
        </w:r>
        <w:r w:rsidRPr="000F27C6">
          <w:rPr>
            <w:rStyle w:val="Hipervnculo"/>
            <w:rFonts w:ascii="ITC Avant Garde" w:hAnsi="ITC Avant Garde"/>
            <w:noProof/>
          </w:rPr>
          <w:t>Bottom Up</w:t>
        </w:r>
        <w:r>
          <w:rPr>
            <w:noProof/>
            <w:webHidden/>
          </w:rPr>
          <w:tab/>
        </w:r>
        <w:r>
          <w:rPr>
            <w:noProof/>
            <w:webHidden/>
          </w:rPr>
          <w:fldChar w:fldCharType="begin"/>
        </w:r>
        <w:r>
          <w:rPr>
            <w:noProof/>
            <w:webHidden/>
          </w:rPr>
          <w:instrText xml:space="preserve"> PAGEREF _Toc526854337 \h </w:instrText>
        </w:r>
        <w:r>
          <w:rPr>
            <w:noProof/>
            <w:webHidden/>
          </w:rPr>
        </w:r>
        <w:r>
          <w:rPr>
            <w:noProof/>
            <w:webHidden/>
          </w:rPr>
          <w:fldChar w:fldCharType="separate"/>
        </w:r>
        <w:r w:rsidR="0061735A">
          <w:rPr>
            <w:noProof/>
            <w:webHidden/>
          </w:rPr>
          <w:t>7</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38" w:history="1">
        <w:r w:rsidRPr="000F27C6">
          <w:rPr>
            <w:rStyle w:val="Hipervnculo"/>
            <w:rFonts w:ascii="ITC Avant Garde" w:hAnsi="ITC Avant Garde"/>
            <w:noProof/>
          </w:rPr>
          <w:t>2.1.2</w:t>
        </w:r>
        <w:r>
          <w:rPr>
            <w:rFonts w:eastAsiaTheme="minorEastAsia" w:cstheme="minorBidi"/>
            <w:noProof/>
            <w:sz w:val="22"/>
            <w:szCs w:val="22"/>
            <w:lang w:val="es-MX" w:eastAsia="es-MX"/>
          </w:rPr>
          <w:tab/>
        </w:r>
        <w:r w:rsidRPr="000F27C6">
          <w:rPr>
            <w:rStyle w:val="Hipervnculo"/>
            <w:rFonts w:ascii="ITC Avant Garde" w:hAnsi="ITC Avant Garde"/>
            <w:noProof/>
          </w:rPr>
          <w:t xml:space="preserve">Costos incrementales promedio de largo plazo – </w:t>
        </w:r>
        <w:r w:rsidRPr="000F27C6">
          <w:rPr>
            <w:rStyle w:val="Hipervnculo"/>
            <w:rFonts w:ascii="ITC Avant Garde" w:hAnsi="ITC Avant Garde"/>
            <w:noProof/>
            <w:lang w:val="es-MX"/>
          </w:rPr>
          <w:t>CIPLP</w:t>
        </w:r>
        <w:r w:rsidRPr="000F27C6">
          <w:rPr>
            <w:rStyle w:val="Hipervnculo"/>
            <w:rFonts w:ascii="ITC Avant Garde" w:hAnsi="ITC Avant Garde"/>
            <w:noProof/>
          </w:rPr>
          <w:t>/LRAIC</w:t>
        </w:r>
        <w:r>
          <w:rPr>
            <w:noProof/>
            <w:webHidden/>
          </w:rPr>
          <w:tab/>
        </w:r>
        <w:r>
          <w:rPr>
            <w:noProof/>
            <w:webHidden/>
          </w:rPr>
          <w:fldChar w:fldCharType="begin"/>
        </w:r>
        <w:r>
          <w:rPr>
            <w:noProof/>
            <w:webHidden/>
          </w:rPr>
          <w:instrText xml:space="preserve"> PAGEREF _Toc526854338 \h </w:instrText>
        </w:r>
        <w:r>
          <w:rPr>
            <w:noProof/>
            <w:webHidden/>
          </w:rPr>
        </w:r>
        <w:r>
          <w:rPr>
            <w:noProof/>
            <w:webHidden/>
          </w:rPr>
          <w:fldChar w:fldCharType="separate"/>
        </w:r>
        <w:r w:rsidR="0061735A">
          <w:rPr>
            <w:noProof/>
            <w:webHidden/>
          </w:rPr>
          <w:t>8</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39" w:history="1">
        <w:r w:rsidRPr="000F27C6">
          <w:rPr>
            <w:rStyle w:val="Hipervnculo"/>
            <w:rFonts w:ascii="ITC Avant Garde" w:hAnsi="ITC Avant Garde"/>
            <w:noProof/>
            <w:lang w:val="es-MX"/>
          </w:rPr>
          <w:t>2.1.3</w:t>
        </w:r>
        <w:r>
          <w:rPr>
            <w:rFonts w:eastAsiaTheme="minorEastAsia" w:cstheme="minorBidi"/>
            <w:noProof/>
            <w:sz w:val="22"/>
            <w:szCs w:val="22"/>
            <w:lang w:val="es-MX" w:eastAsia="es-MX"/>
          </w:rPr>
          <w:tab/>
        </w:r>
        <w:r w:rsidRPr="000F27C6">
          <w:rPr>
            <w:rStyle w:val="Hipervnculo"/>
            <w:rFonts w:ascii="ITC Avant Garde" w:hAnsi="ITC Avant Garde"/>
            <w:noProof/>
            <w:lang w:val="es-MX"/>
          </w:rPr>
          <w:t>Horizonte de tiempo</w:t>
        </w:r>
        <w:r>
          <w:rPr>
            <w:noProof/>
            <w:webHidden/>
          </w:rPr>
          <w:tab/>
        </w:r>
        <w:r>
          <w:rPr>
            <w:noProof/>
            <w:webHidden/>
          </w:rPr>
          <w:fldChar w:fldCharType="begin"/>
        </w:r>
        <w:r>
          <w:rPr>
            <w:noProof/>
            <w:webHidden/>
          </w:rPr>
          <w:instrText xml:space="preserve"> PAGEREF _Toc526854339 \h </w:instrText>
        </w:r>
        <w:r>
          <w:rPr>
            <w:noProof/>
            <w:webHidden/>
          </w:rPr>
        </w:r>
        <w:r>
          <w:rPr>
            <w:noProof/>
            <w:webHidden/>
          </w:rPr>
          <w:fldChar w:fldCharType="separate"/>
        </w:r>
        <w:r w:rsidR="0061735A">
          <w:rPr>
            <w:noProof/>
            <w:webHidden/>
          </w:rPr>
          <w:t>13</w:t>
        </w:r>
        <w:r>
          <w:rPr>
            <w:noProof/>
            <w:webHidden/>
          </w:rPr>
          <w:fldChar w:fldCharType="end"/>
        </w:r>
      </w:hyperlink>
    </w:p>
    <w:p w:rsidR="00CF29C8" w:rsidRDefault="00CF29C8">
      <w:pPr>
        <w:pStyle w:val="TDC2"/>
        <w:tabs>
          <w:tab w:val="left" w:pos="660"/>
          <w:tab w:val="right" w:pos="8494"/>
        </w:tabs>
        <w:rPr>
          <w:rFonts w:eastAsiaTheme="minorEastAsia" w:cstheme="minorBidi"/>
          <w:b w:val="0"/>
          <w:bCs w:val="0"/>
          <w:noProof/>
          <w:sz w:val="22"/>
          <w:lang w:val="es-MX" w:eastAsia="es-MX"/>
        </w:rPr>
      </w:pPr>
      <w:hyperlink w:anchor="_Toc526854340" w:history="1">
        <w:r w:rsidRPr="000F27C6">
          <w:rPr>
            <w:rStyle w:val="Hipervnculo"/>
            <w:rFonts w:ascii="ITC Avant Garde" w:hAnsi="ITC Avant Garde"/>
            <w:noProof/>
          </w:rPr>
          <w:t>2.2</w:t>
        </w:r>
        <w:r>
          <w:rPr>
            <w:rFonts w:eastAsiaTheme="minorEastAsia" w:cstheme="minorBidi"/>
            <w:b w:val="0"/>
            <w:bCs w:val="0"/>
            <w:noProof/>
            <w:sz w:val="22"/>
            <w:lang w:val="es-MX" w:eastAsia="es-MX"/>
          </w:rPr>
          <w:tab/>
        </w:r>
        <w:r w:rsidRPr="000F27C6">
          <w:rPr>
            <w:rStyle w:val="Hipervnculo"/>
            <w:rFonts w:ascii="ITC Avant Garde" w:hAnsi="ITC Avant Garde"/>
            <w:noProof/>
            <w:lang w:val="es-MX"/>
          </w:rPr>
          <w:t>Operador modelado</w:t>
        </w:r>
        <w:r>
          <w:rPr>
            <w:noProof/>
            <w:webHidden/>
          </w:rPr>
          <w:tab/>
        </w:r>
        <w:r>
          <w:rPr>
            <w:noProof/>
            <w:webHidden/>
          </w:rPr>
          <w:fldChar w:fldCharType="begin"/>
        </w:r>
        <w:r>
          <w:rPr>
            <w:noProof/>
            <w:webHidden/>
          </w:rPr>
          <w:instrText xml:space="preserve"> PAGEREF _Toc526854340 \h </w:instrText>
        </w:r>
        <w:r>
          <w:rPr>
            <w:noProof/>
            <w:webHidden/>
          </w:rPr>
        </w:r>
        <w:r>
          <w:rPr>
            <w:noProof/>
            <w:webHidden/>
          </w:rPr>
          <w:fldChar w:fldCharType="separate"/>
        </w:r>
        <w:r w:rsidR="0061735A">
          <w:rPr>
            <w:noProof/>
            <w:webHidden/>
          </w:rPr>
          <w:t>14</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41" w:history="1">
        <w:r w:rsidRPr="000F27C6">
          <w:rPr>
            <w:rStyle w:val="Hipervnculo"/>
            <w:rFonts w:ascii="ITC Avant Garde" w:hAnsi="ITC Avant Garde"/>
            <w:noProof/>
            <w:lang w:val="es-MX"/>
          </w:rPr>
          <w:t>2.2.1</w:t>
        </w:r>
        <w:r>
          <w:rPr>
            <w:rFonts w:eastAsiaTheme="minorEastAsia" w:cstheme="minorBidi"/>
            <w:noProof/>
            <w:sz w:val="22"/>
            <w:szCs w:val="22"/>
            <w:lang w:val="es-MX" w:eastAsia="es-MX"/>
          </w:rPr>
          <w:tab/>
        </w:r>
        <w:r w:rsidRPr="000F27C6">
          <w:rPr>
            <w:rStyle w:val="Hipervnculo"/>
            <w:rFonts w:ascii="ITC Avant Garde" w:hAnsi="ITC Avant Garde"/>
            <w:noProof/>
            <w:lang w:val="es-MX"/>
          </w:rPr>
          <w:t>Tipo de operador</w:t>
        </w:r>
        <w:r>
          <w:rPr>
            <w:noProof/>
            <w:webHidden/>
          </w:rPr>
          <w:tab/>
        </w:r>
        <w:r>
          <w:rPr>
            <w:noProof/>
            <w:webHidden/>
          </w:rPr>
          <w:fldChar w:fldCharType="begin"/>
        </w:r>
        <w:r>
          <w:rPr>
            <w:noProof/>
            <w:webHidden/>
          </w:rPr>
          <w:instrText xml:space="preserve"> PAGEREF _Toc526854341 \h </w:instrText>
        </w:r>
        <w:r>
          <w:rPr>
            <w:noProof/>
            <w:webHidden/>
          </w:rPr>
        </w:r>
        <w:r>
          <w:rPr>
            <w:noProof/>
            <w:webHidden/>
          </w:rPr>
          <w:fldChar w:fldCharType="separate"/>
        </w:r>
        <w:r w:rsidR="0061735A">
          <w:rPr>
            <w:noProof/>
            <w:webHidden/>
          </w:rPr>
          <w:t>14</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42" w:history="1">
        <w:r w:rsidRPr="000F27C6">
          <w:rPr>
            <w:rStyle w:val="Hipervnculo"/>
            <w:rFonts w:ascii="ITC Avant Garde" w:hAnsi="ITC Avant Garde"/>
            <w:noProof/>
            <w:lang w:val="es-MX"/>
          </w:rPr>
          <w:t>2.2.2</w:t>
        </w:r>
        <w:r>
          <w:rPr>
            <w:rFonts w:eastAsiaTheme="minorEastAsia" w:cstheme="minorBidi"/>
            <w:noProof/>
            <w:sz w:val="22"/>
            <w:szCs w:val="22"/>
            <w:lang w:val="es-MX" w:eastAsia="es-MX"/>
          </w:rPr>
          <w:tab/>
        </w:r>
        <w:r w:rsidRPr="000F27C6">
          <w:rPr>
            <w:rStyle w:val="Hipervnculo"/>
            <w:rFonts w:ascii="ITC Avant Garde" w:hAnsi="ITC Avant Garde"/>
            <w:noProof/>
            <w:lang w:val="es-MX"/>
          </w:rPr>
          <w:t>Servicios modelados</w:t>
        </w:r>
        <w:r>
          <w:rPr>
            <w:noProof/>
            <w:webHidden/>
          </w:rPr>
          <w:tab/>
        </w:r>
        <w:r>
          <w:rPr>
            <w:noProof/>
            <w:webHidden/>
          </w:rPr>
          <w:fldChar w:fldCharType="begin"/>
        </w:r>
        <w:r>
          <w:rPr>
            <w:noProof/>
            <w:webHidden/>
          </w:rPr>
          <w:instrText xml:space="preserve"> PAGEREF _Toc526854342 \h </w:instrText>
        </w:r>
        <w:r>
          <w:rPr>
            <w:noProof/>
            <w:webHidden/>
          </w:rPr>
        </w:r>
        <w:r>
          <w:rPr>
            <w:noProof/>
            <w:webHidden/>
          </w:rPr>
          <w:fldChar w:fldCharType="separate"/>
        </w:r>
        <w:r w:rsidR="0061735A">
          <w:rPr>
            <w:noProof/>
            <w:webHidden/>
          </w:rPr>
          <w:t>16</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43" w:history="1">
        <w:r w:rsidRPr="000F27C6">
          <w:rPr>
            <w:rStyle w:val="Hipervnculo"/>
            <w:rFonts w:ascii="ITC Avant Garde" w:hAnsi="ITC Avant Garde"/>
            <w:noProof/>
            <w:lang w:val="es-MX"/>
          </w:rPr>
          <w:t>2.2.3</w:t>
        </w:r>
        <w:r>
          <w:rPr>
            <w:rFonts w:eastAsiaTheme="minorEastAsia" w:cstheme="minorBidi"/>
            <w:noProof/>
            <w:sz w:val="22"/>
            <w:szCs w:val="22"/>
            <w:lang w:val="es-MX" w:eastAsia="es-MX"/>
          </w:rPr>
          <w:tab/>
        </w:r>
        <w:r w:rsidRPr="000F27C6">
          <w:rPr>
            <w:rStyle w:val="Hipervnculo"/>
            <w:rFonts w:ascii="ITC Avant Garde" w:hAnsi="ITC Avant Garde"/>
            <w:noProof/>
            <w:lang w:val="es-MX"/>
          </w:rPr>
          <w:t>Nivel de eficiencia del operador modelado</w:t>
        </w:r>
        <w:r>
          <w:rPr>
            <w:noProof/>
            <w:webHidden/>
          </w:rPr>
          <w:tab/>
        </w:r>
        <w:r>
          <w:rPr>
            <w:noProof/>
            <w:webHidden/>
          </w:rPr>
          <w:fldChar w:fldCharType="begin"/>
        </w:r>
        <w:r>
          <w:rPr>
            <w:noProof/>
            <w:webHidden/>
          </w:rPr>
          <w:instrText xml:space="preserve"> PAGEREF _Toc526854343 \h </w:instrText>
        </w:r>
        <w:r>
          <w:rPr>
            <w:noProof/>
            <w:webHidden/>
          </w:rPr>
        </w:r>
        <w:r>
          <w:rPr>
            <w:noProof/>
            <w:webHidden/>
          </w:rPr>
          <w:fldChar w:fldCharType="separate"/>
        </w:r>
        <w:r w:rsidR="0061735A">
          <w:rPr>
            <w:noProof/>
            <w:webHidden/>
          </w:rPr>
          <w:t>19</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44" w:history="1">
        <w:r w:rsidRPr="000F27C6">
          <w:rPr>
            <w:rStyle w:val="Hipervnculo"/>
            <w:rFonts w:ascii="ITC Avant Garde" w:hAnsi="ITC Avant Garde"/>
            <w:noProof/>
            <w:lang w:val="es-MX"/>
          </w:rPr>
          <w:t>2.2.3.1</w:t>
        </w:r>
        <w:r>
          <w:rPr>
            <w:rFonts w:eastAsiaTheme="minorEastAsia" w:cstheme="minorBidi"/>
            <w:noProof/>
            <w:sz w:val="22"/>
            <w:szCs w:val="22"/>
            <w:lang w:val="es-MX" w:eastAsia="es-MX"/>
          </w:rPr>
          <w:tab/>
        </w:r>
        <w:r w:rsidRPr="000F27C6">
          <w:rPr>
            <w:rStyle w:val="Hipervnculo"/>
            <w:rFonts w:ascii="ITC Avant Garde" w:hAnsi="ITC Avant Garde"/>
            <w:noProof/>
            <w:lang w:val="es-MX"/>
          </w:rPr>
          <w:t>Consideración de activos modernos equivalentes</w:t>
        </w:r>
        <w:r>
          <w:rPr>
            <w:noProof/>
            <w:webHidden/>
          </w:rPr>
          <w:tab/>
        </w:r>
        <w:r>
          <w:rPr>
            <w:noProof/>
            <w:webHidden/>
          </w:rPr>
          <w:fldChar w:fldCharType="begin"/>
        </w:r>
        <w:r>
          <w:rPr>
            <w:noProof/>
            <w:webHidden/>
          </w:rPr>
          <w:instrText xml:space="preserve"> PAGEREF _Toc526854344 \h </w:instrText>
        </w:r>
        <w:r>
          <w:rPr>
            <w:noProof/>
            <w:webHidden/>
          </w:rPr>
        </w:r>
        <w:r>
          <w:rPr>
            <w:noProof/>
            <w:webHidden/>
          </w:rPr>
          <w:fldChar w:fldCharType="separate"/>
        </w:r>
        <w:r w:rsidR="0061735A">
          <w:rPr>
            <w:noProof/>
            <w:webHidden/>
          </w:rPr>
          <w:t>19</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45" w:history="1">
        <w:r w:rsidRPr="000F27C6">
          <w:rPr>
            <w:rStyle w:val="Hipervnculo"/>
            <w:rFonts w:ascii="ITC Avant Garde" w:hAnsi="ITC Avant Garde"/>
            <w:noProof/>
            <w:lang w:val="es-MX"/>
          </w:rPr>
          <w:t>2.2.3.2</w:t>
        </w:r>
        <w:r>
          <w:rPr>
            <w:rFonts w:eastAsiaTheme="minorEastAsia" w:cstheme="minorBidi"/>
            <w:noProof/>
            <w:sz w:val="22"/>
            <w:szCs w:val="22"/>
            <w:lang w:val="es-MX" w:eastAsia="es-MX"/>
          </w:rPr>
          <w:tab/>
        </w:r>
        <w:r w:rsidRPr="000F27C6">
          <w:rPr>
            <w:rStyle w:val="Hipervnculo"/>
            <w:rFonts w:ascii="ITC Avant Garde" w:hAnsi="ITC Avant Garde"/>
            <w:noProof/>
            <w:lang w:val="es-MX"/>
          </w:rPr>
          <w:t>Red de acceso modelada</w:t>
        </w:r>
        <w:r>
          <w:rPr>
            <w:noProof/>
            <w:webHidden/>
          </w:rPr>
          <w:tab/>
        </w:r>
        <w:r>
          <w:rPr>
            <w:noProof/>
            <w:webHidden/>
          </w:rPr>
          <w:fldChar w:fldCharType="begin"/>
        </w:r>
        <w:r>
          <w:rPr>
            <w:noProof/>
            <w:webHidden/>
          </w:rPr>
          <w:instrText xml:space="preserve"> PAGEREF _Toc526854345 \h </w:instrText>
        </w:r>
        <w:r>
          <w:rPr>
            <w:noProof/>
            <w:webHidden/>
          </w:rPr>
        </w:r>
        <w:r>
          <w:rPr>
            <w:noProof/>
            <w:webHidden/>
          </w:rPr>
          <w:fldChar w:fldCharType="separate"/>
        </w:r>
        <w:r w:rsidR="0061735A">
          <w:rPr>
            <w:noProof/>
            <w:webHidden/>
          </w:rPr>
          <w:t>21</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46" w:history="1">
        <w:r w:rsidRPr="000F27C6">
          <w:rPr>
            <w:rStyle w:val="Hipervnculo"/>
            <w:rFonts w:ascii="ITC Avant Garde" w:hAnsi="ITC Avant Garde"/>
            <w:noProof/>
            <w:lang w:val="es-MX"/>
          </w:rPr>
          <w:t>2.2.3.3</w:t>
        </w:r>
        <w:r>
          <w:rPr>
            <w:rFonts w:eastAsiaTheme="minorEastAsia" w:cstheme="minorBidi"/>
            <w:noProof/>
            <w:sz w:val="22"/>
            <w:szCs w:val="22"/>
            <w:lang w:val="es-MX" w:eastAsia="es-MX"/>
          </w:rPr>
          <w:tab/>
        </w:r>
        <w:r w:rsidRPr="000F27C6">
          <w:rPr>
            <w:rStyle w:val="Hipervnculo"/>
            <w:rFonts w:ascii="ITC Avant Garde" w:hAnsi="ITC Avant Garde"/>
            <w:noProof/>
            <w:lang w:val="es-MX"/>
          </w:rPr>
          <w:t>Ubicación de los nodos</w:t>
        </w:r>
        <w:r>
          <w:rPr>
            <w:noProof/>
            <w:webHidden/>
          </w:rPr>
          <w:tab/>
        </w:r>
        <w:r>
          <w:rPr>
            <w:noProof/>
            <w:webHidden/>
          </w:rPr>
          <w:fldChar w:fldCharType="begin"/>
        </w:r>
        <w:r>
          <w:rPr>
            <w:noProof/>
            <w:webHidden/>
          </w:rPr>
          <w:instrText xml:space="preserve"> PAGEREF _Toc526854346 \h </w:instrText>
        </w:r>
        <w:r>
          <w:rPr>
            <w:noProof/>
            <w:webHidden/>
          </w:rPr>
        </w:r>
        <w:r>
          <w:rPr>
            <w:noProof/>
            <w:webHidden/>
          </w:rPr>
          <w:fldChar w:fldCharType="separate"/>
        </w:r>
        <w:r w:rsidR="0061735A">
          <w:rPr>
            <w:noProof/>
            <w:webHidden/>
          </w:rPr>
          <w:t>23</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47" w:history="1">
        <w:r w:rsidRPr="000F27C6">
          <w:rPr>
            <w:rStyle w:val="Hipervnculo"/>
            <w:rFonts w:ascii="ITC Avant Garde" w:hAnsi="ITC Avant Garde"/>
            <w:noProof/>
            <w:lang w:val="es-MX"/>
          </w:rPr>
          <w:t>2.2.4</w:t>
        </w:r>
        <w:r>
          <w:rPr>
            <w:rFonts w:eastAsiaTheme="minorEastAsia" w:cstheme="minorBidi"/>
            <w:noProof/>
            <w:sz w:val="22"/>
            <w:szCs w:val="22"/>
            <w:lang w:val="es-MX" w:eastAsia="es-MX"/>
          </w:rPr>
          <w:tab/>
        </w:r>
        <w:r w:rsidRPr="000F27C6">
          <w:rPr>
            <w:rStyle w:val="Hipervnculo"/>
            <w:rFonts w:ascii="ITC Avant Garde" w:hAnsi="ITC Avant Garde"/>
            <w:noProof/>
            <w:lang w:val="es-MX"/>
          </w:rPr>
          <w:t>Huella del operador modelado</w:t>
        </w:r>
        <w:r>
          <w:rPr>
            <w:noProof/>
            <w:webHidden/>
          </w:rPr>
          <w:tab/>
        </w:r>
        <w:r>
          <w:rPr>
            <w:noProof/>
            <w:webHidden/>
          </w:rPr>
          <w:fldChar w:fldCharType="begin"/>
        </w:r>
        <w:r>
          <w:rPr>
            <w:noProof/>
            <w:webHidden/>
          </w:rPr>
          <w:instrText xml:space="preserve"> PAGEREF _Toc526854347 \h </w:instrText>
        </w:r>
        <w:r>
          <w:rPr>
            <w:noProof/>
            <w:webHidden/>
          </w:rPr>
        </w:r>
        <w:r>
          <w:rPr>
            <w:noProof/>
            <w:webHidden/>
          </w:rPr>
          <w:fldChar w:fldCharType="separate"/>
        </w:r>
        <w:r w:rsidR="0061735A">
          <w:rPr>
            <w:noProof/>
            <w:webHidden/>
          </w:rPr>
          <w:t>26</w:t>
        </w:r>
        <w:r>
          <w:rPr>
            <w:noProof/>
            <w:webHidden/>
          </w:rPr>
          <w:fldChar w:fldCharType="end"/>
        </w:r>
      </w:hyperlink>
    </w:p>
    <w:p w:rsidR="00CF29C8" w:rsidRDefault="00CF29C8">
      <w:pPr>
        <w:pStyle w:val="TDC2"/>
        <w:tabs>
          <w:tab w:val="left" w:pos="660"/>
          <w:tab w:val="right" w:pos="8494"/>
        </w:tabs>
        <w:rPr>
          <w:rFonts w:eastAsiaTheme="minorEastAsia" w:cstheme="minorBidi"/>
          <w:b w:val="0"/>
          <w:bCs w:val="0"/>
          <w:noProof/>
          <w:sz w:val="22"/>
          <w:lang w:val="es-MX" w:eastAsia="es-MX"/>
        </w:rPr>
      </w:pPr>
      <w:hyperlink w:anchor="_Toc526854348" w:history="1">
        <w:r w:rsidRPr="000F27C6">
          <w:rPr>
            <w:rStyle w:val="Hipervnculo"/>
            <w:rFonts w:ascii="ITC Avant Garde" w:hAnsi="ITC Avant Garde"/>
            <w:noProof/>
          </w:rPr>
          <w:t>2.3</w:t>
        </w:r>
        <w:r>
          <w:rPr>
            <w:rFonts w:eastAsiaTheme="minorEastAsia" w:cstheme="minorBidi"/>
            <w:b w:val="0"/>
            <w:bCs w:val="0"/>
            <w:noProof/>
            <w:sz w:val="22"/>
            <w:lang w:val="es-MX" w:eastAsia="es-MX"/>
          </w:rPr>
          <w:tab/>
        </w:r>
        <w:r w:rsidRPr="000F27C6">
          <w:rPr>
            <w:rStyle w:val="Hipervnculo"/>
            <w:rFonts w:ascii="ITC Avant Garde" w:hAnsi="ITC Avant Garde"/>
            <w:noProof/>
            <w:lang w:val="es-MX"/>
          </w:rPr>
          <w:t>Enfoque de modelación de la red de acceso</w:t>
        </w:r>
        <w:r>
          <w:rPr>
            <w:noProof/>
            <w:webHidden/>
          </w:rPr>
          <w:tab/>
        </w:r>
        <w:r>
          <w:rPr>
            <w:noProof/>
            <w:webHidden/>
          </w:rPr>
          <w:fldChar w:fldCharType="begin"/>
        </w:r>
        <w:r>
          <w:rPr>
            <w:noProof/>
            <w:webHidden/>
          </w:rPr>
          <w:instrText xml:space="preserve"> PAGEREF _Toc526854348 \h </w:instrText>
        </w:r>
        <w:r>
          <w:rPr>
            <w:noProof/>
            <w:webHidden/>
          </w:rPr>
        </w:r>
        <w:r>
          <w:rPr>
            <w:noProof/>
            <w:webHidden/>
          </w:rPr>
          <w:fldChar w:fldCharType="separate"/>
        </w:r>
        <w:r w:rsidR="0061735A">
          <w:rPr>
            <w:noProof/>
            <w:webHidden/>
          </w:rPr>
          <w:t>27</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49" w:history="1">
        <w:r w:rsidRPr="000F27C6">
          <w:rPr>
            <w:rStyle w:val="Hipervnculo"/>
            <w:rFonts w:ascii="ITC Avant Garde" w:hAnsi="ITC Avant Garde"/>
            <w:noProof/>
            <w:lang w:val="es-MX"/>
          </w:rPr>
          <w:t>2.3.1</w:t>
        </w:r>
        <w:r>
          <w:rPr>
            <w:rFonts w:eastAsiaTheme="minorEastAsia" w:cstheme="minorBidi"/>
            <w:noProof/>
            <w:sz w:val="22"/>
            <w:szCs w:val="22"/>
            <w:lang w:val="es-MX" w:eastAsia="es-MX"/>
          </w:rPr>
          <w:tab/>
        </w:r>
        <w:r w:rsidRPr="000F27C6">
          <w:rPr>
            <w:rStyle w:val="Hipervnculo"/>
            <w:rFonts w:ascii="ITC Avant Garde" w:hAnsi="ITC Avant Garde"/>
            <w:noProof/>
            <w:lang w:val="es-MX"/>
          </w:rPr>
          <w:t>Alcance de la red modelada</w:t>
        </w:r>
        <w:r>
          <w:rPr>
            <w:noProof/>
            <w:webHidden/>
          </w:rPr>
          <w:tab/>
        </w:r>
        <w:r>
          <w:rPr>
            <w:noProof/>
            <w:webHidden/>
          </w:rPr>
          <w:fldChar w:fldCharType="begin"/>
        </w:r>
        <w:r>
          <w:rPr>
            <w:noProof/>
            <w:webHidden/>
          </w:rPr>
          <w:instrText xml:space="preserve"> PAGEREF _Toc526854349 \h </w:instrText>
        </w:r>
        <w:r>
          <w:rPr>
            <w:noProof/>
            <w:webHidden/>
          </w:rPr>
        </w:r>
        <w:r>
          <w:rPr>
            <w:noProof/>
            <w:webHidden/>
          </w:rPr>
          <w:fldChar w:fldCharType="separate"/>
        </w:r>
        <w:r w:rsidR="0061735A">
          <w:rPr>
            <w:noProof/>
            <w:webHidden/>
          </w:rPr>
          <w:t>27</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50" w:history="1">
        <w:r w:rsidRPr="000F27C6">
          <w:rPr>
            <w:rStyle w:val="Hipervnculo"/>
            <w:rFonts w:ascii="ITC Avant Garde" w:hAnsi="ITC Avant Garde"/>
            <w:noProof/>
            <w:lang w:val="es-MX"/>
          </w:rPr>
          <w:t>2.3.2</w:t>
        </w:r>
        <w:r>
          <w:rPr>
            <w:rFonts w:eastAsiaTheme="minorEastAsia" w:cstheme="minorBidi"/>
            <w:noProof/>
            <w:sz w:val="22"/>
            <w:szCs w:val="22"/>
            <w:lang w:val="es-MX" w:eastAsia="es-MX"/>
          </w:rPr>
          <w:tab/>
        </w:r>
        <w:r w:rsidRPr="000F27C6">
          <w:rPr>
            <w:rStyle w:val="Hipervnculo"/>
            <w:rFonts w:ascii="ITC Avant Garde" w:hAnsi="ITC Avant Garde"/>
            <w:noProof/>
            <w:lang w:val="es-MX"/>
          </w:rPr>
          <w:t>Enfoque de modelado</w:t>
        </w:r>
        <w:r>
          <w:rPr>
            <w:noProof/>
            <w:webHidden/>
          </w:rPr>
          <w:tab/>
        </w:r>
        <w:r>
          <w:rPr>
            <w:noProof/>
            <w:webHidden/>
          </w:rPr>
          <w:fldChar w:fldCharType="begin"/>
        </w:r>
        <w:r>
          <w:rPr>
            <w:noProof/>
            <w:webHidden/>
          </w:rPr>
          <w:instrText xml:space="preserve"> PAGEREF _Toc526854350 \h </w:instrText>
        </w:r>
        <w:r>
          <w:rPr>
            <w:noProof/>
            <w:webHidden/>
          </w:rPr>
        </w:r>
        <w:r>
          <w:rPr>
            <w:noProof/>
            <w:webHidden/>
          </w:rPr>
          <w:fldChar w:fldCharType="separate"/>
        </w:r>
        <w:r w:rsidR="0061735A">
          <w:rPr>
            <w:noProof/>
            <w:webHidden/>
          </w:rPr>
          <w:t>30</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51" w:history="1">
        <w:r w:rsidRPr="000F27C6">
          <w:rPr>
            <w:rStyle w:val="Hipervnculo"/>
            <w:rFonts w:ascii="ITC Avant Garde" w:hAnsi="ITC Avant Garde"/>
            <w:noProof/>
            <w:lang w:val="es-MX"/>
          </w:rPr>
          <w:t>2.3.3</w:t>
        </w:r>
        <w:r>
          <w:rPr>
            <w:rFonts w:eastAsiaTheme="minorEastAsia" w:cstheme="minorBidi"/>
            <w:noProof/>
            <w:sz w:val="22"/>
            <w:szCs w:val="22"/>
            <w:lang w:val="es-MX" w:eastAsia="es-MX"/>
          </w:rPr>
          <w:tab/>
        </w:r>
        <w:r w:rsidRPr="000F27C6">
          <w:rPr>
            <w:rStyle w:val="Hipervnculo"/>
            <w:rFonts w:ascii="ITC Avant Garde" w:hAnsi="ITC Avant Garde"/>
            <w:noProof/>
            <w:lang w:val="es-MX"/>
          </w:rPr>
          <w:t>Tecnologías modeladas</w:t>
        </w:r>
        <w:r>
          <w:rPr>
            <w:noProof/>
            <w:webHidden/>
          </w:rPr>
          <w:tab/>
        </w:r>
        <w:r>
          <w:rPr>
            <w:noProof/>
            <w:webHidden/>
          </w:rPr>
          <w:fldChar w:fldCharType="begin"/>
        </w:r>
        <w:r>
          <w:rPr>
            <w:noProof/>
            <w:webHidden/>
          </w:rPr>
          <w:instrText xml:space="preserve"> PAGEREF _Toc526854351 \h </w:instrText>
        </w:r>
        <w:r>
          <w:rPr>
            <w:noProof/>
            <w:webHidden/>
          </w:rPr>
        </w:r>
        <w:r>
          <w:rPr>
            <w:noProof/>
            <w:webHidden/>
          </w:rPr>
          <w:fldChar w:fldCharType="separate"/>
        </w:r>
        <w:r w:rsidR="0061735A">
          <w:rPr>
            <w:noProof/>
            <w:webHidden/>
          </w:rPr>
          <w:t>34</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52" w:history="1">
        <w:r w:rsidRPr="000F27C6">
          <w:rPr>
            <w:rStyle w:val="Hipervnculo"/>
            <w:rFonts w:ascii="ITC Avant Garde" w:hAnsi="ITC Avant Garde"/>
            <w:noProof/>
            <w:lang w:val="es-MX"/>
          </w:rPr>
          <w:t>2.3.4</w:t>
        </w:r>
        <w:r>
          <w:rPr>
            <w:rFonts w:eastAsiaTheme="minorEastAsia" w:cstheme="minorBidi"/>
            <w:noProof/>
            <w:sz w:val="22"/>
            <w:szCs w:val="22"/>
            <w:lang w:val="es-MX" w:eastAsia="es-MX"/>
          </w:rPr>
          <w:tab/>
        </w:r>
        <w:r w:rsidRPr="000F27C6">
          <w:rPr>
            <w:rStyle w:val="Hipervnculo"/>
            <w:rFonts w:ascii="ITC Avant Garde" w:hAnsi="ITC Avant Garde"/>
            <w:noProof/>
            <w:lang w:val="es-MX"/>
          </w:rPr>
          <w:t>Demanda de dimensionamiento</w:t>
        </w:r>
        <w:r>
          <w:rPr>
            <w:noProof/>
            <w:webHidden/>
          </w:rPr>
          <w:tab/>
        </w:r>
        <w:r>
          <w:rPr>
            <w:noProof/>
            <w:webHidden/>
          </w:rPr>
          <w:fldChar w:fldCharType="begin"/>
        </w:r>
        <w:r>
          <w:rPr>
            <w:noProof/>
            <w:webHidden/>
          </w:rPr>
          <w:instrText xml:space="preserve"> PAGEREF _Toc526854352 \h </w:instrText>
        </w:r>
        <w:r>
          <w:rPr>
            <w:noProof/>
            <w:webHidden/>
          </w:rPr>
        </w:r>
        <w:r>
          <w:rPr>
            <w:noProof/>
            <w:webHidden/>
          </w:rPr>
          <w:fldChar w:fldCharType="separate"/>
        </w:r>
        <w:r w:rsidR="0061735A">
          <w:rPr>
            <w:noProof/>
            <w:webHidden/>
          </w:rPr>
          <w:t>36</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53" w:history="1">
        <w:r w:rsidRPr="000F27C6">
          <w:rPr>
            <w:rStyle w:val="Hipervnculo"/>
            <w:rFonts w:ascii="ITC Avant Garde" w:hAnsi="ITC Avant Garde"/>
            <w:noProof/>
            <w:lang w:val="es-MX"/>
          </w:rPr>
          <w:t>2.3.5</w:t>
        </w:r>
        <w:r>
          <w:rPr>
            <w:rFonts w:eastAsiaTheme="minorEastAsia" w:cstheme="minorBidi"/>
            <w:noProof/>
            <w:sz w:val="22"/>
            <w:szCs w:val="22"/>
            <w:lang w:val="es-MX" w:eastAsia="es-MX"/>
          </w:rPr>
          <w:tab/>
        </w:r>
        <w:r w:rsidRPr="000F27C6">
          <w:rPr>
            <w:rStyle w:val="Hipervnculo"/>
            <w:rFonts w:ascii="ITC Avant Garde" w:hAnsi="ITC Avant Garde"/>
            <w:noProof/>
            <w:lang w:val="es-MX"/>
          </w:rPr>
          <w:t>Reglas de dimensionamiento y diseño de red</w:t>
        </w:r>
        <w:r>
          <w:rPr>
            <w:noProof/>
            <w:webHidden/>
          </w:rPr>
          <w:tab/>
        </w:r>
        <w:r>
          <w:rPr>
            <w:noProof/>
            <w:webHidden/>
          </w:rPr>
          <w:fldChar w:fldCharType="begin"/>
        </w:r>
        <w:r>
          <w:rPr>
            <w:noProof/>
            <w:webHidden/>
          </w:rPr>
          <w:instrText xml:space="preserve"> PAGEREF _Toc526854353 \h </w:instrText>
        </w:r>
        <w:r>
          <w:rPr>
            <w:noProof/>
            <w:webHidden/>
          </w:rPr>
        </w:r>
        <w:r>
          <w:rPr>
            <w:noProof/>
            <w:webHidden/>
          </w:rPr>
          <w:fldChar w:fldCharType="separate"/>
        </w:r>
        <w:r w:rsidR="0061735A">
          <w:rPr>
            <w:noProof/>
            <w:webHidden/>
          </w:rPr>
          <w:t>37</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54" w:history="1">
        <w:r w:rsidRPr="000F27C6">
          <w:rPr>
            <w:rStyle w:val="Hipervnculo"/>
            <w:rFonts w:ascii="ITC Avant Garde" w:hAnsi="ITC Avant Garde"/>
            <w:noProof/>
            <w:lang w:val="es-MX"/>
          </w:rPr>
          <w:t>2.3.5.1</w:t>
        </w:r>
        <w:r>
          <w:rPr>
            <w:rFonts w:eastAsiaTheme="minorEastAsia" w:cstheme="minorBidi"/>
            <w:noProof/>
            <w:sz w:val="22"/>
            <w:szCs w:val="22"/>
            <w:lang w:val="es-MX" w:eastAsia="es-MX"/>
          </w:rPr>
          <w:tab/>
        </w:r>
        <w:r w:rsidRPr="000F27C6">
          <w:rPr>
            <w:rStyle w:val="Hipervnculo"/>
            <w:rFonts w:ascii="ITC Avant Garde" w:hAnsi="ITC Avant Garde"/>
            <w:noProof/>
            <w:lang w:val="es-MX"/>
          </w:rPr>
          <w:t>Diseño de red</w:t>
        </w:r>
        <w:r>
          <w:rPr>
            <w:noProof/>
            <w:webHidden/>
          </w:rPr>
          <w:tab/>
        </w:r>
        <w:r>
          <w:rPr>
            <w:noProof/>
            <w:webHidden/>
          </w:rPr>
          <w:fldChar w:fldCharType="begin"/>
        </w:r>
        <w:r>
          <w:rPr>
            <w:noProof/>
            <w:webHidden/>
          </w:rPr>
          <w:instrText xml:space="preserve"> PAGEREF _Toc526854354 \h </w:instrText>
        </w:r>
        <w:r>
          <w:rPr>
            <w:noProof/>
            <w:webHidden/>
          </w:rPr>
        </w:r>
        <w:r>
          <w:rPr>
            <w:noProof/>
            <w:webHidden/>
          </w:rPr>
          <w:fldChar w:fldCharType="separate"/>
        </w:r>
        <w:r w:rsidR="0061735A">
          <w:rPr>
            <w:noProof/>
            <w:webHidden/>
          </w:rPr>
          <w:t>37</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55" w:history="1">
        <w:r w:rsidRPr="000F27C6">
          <w:rPr>
            <w:rStyle w:val="Hipervnculo"/>
            <w:rFonts w:ascii="ITC Avant Garde" w:hAnsi="ITC Avant Garde"/>
            <w:noProof/>
            <w:lang w:val="es-MX"/>
          </w:rPr>
          <w:t>2.3.5.2</w:t>
        </w:r>
        <w:r>
          <w:rPr>
            <w:rFonts w:eastAsiaTheme="minorEastAsia" w:cstheme="minorBidi"/>
            <w:noProof/>
            <w:sz w:val="22"/>
            <w:szCs w:val="22"/>
            <w:lang w:val="es-MX" w:eastAsia="es-MX"/>
          </w:rPr>
          <w:tab/>
        </w:r>
        <w:r w:rsidRPr="000F27C6">
          <w:rPr>
            <w:rStyle w:val="Hipervnculo"/>
            <w:rFonts w:ascii="ITC Avant Garde" w:hAnsi="ITC Avant Garde"/>
            <w:noProof/>
            <w:lang w:val="es-MX"/>
          </w:rPr>
          <w:t>Demanda para el cálculo de los costos unitarios</w:t>
        </w:r>
        <w:r>
          <w:rPr>
            <w:noProof/>
            <w:webHidden/>
          </w:rPr>
          <w:tab/>
        </w:r>
        <w:r>
          <w:rPr>
            <w:noProof/>
            <w:webHidden/>
          </w:rPr>
          <w:fldChar w:fldCharType="begin"/>
        </w:r>
        <w:r>
          <w:rPr>
            <w:noProof/>
            <w:webHidden/>
          </w:rPr>
          <w:instrText xml:space="preserve"> PAGEREF _Toc526854355 \h </w:instrText>
        </w:r>
        <w:r>
          <w:rPr>
            <w:noProof/>
            <w:webHidden/>
          </w:rPr>
        </w:r>
        <w:r>
          <w:rPr>
            <w:noProof/>
            <w:webHidden/>
          </w:rPr>
          <w:fldChar w:fldCharType="separate"/>
        </w:r>
        <w:r w:rsidR="0061735A">
          <w:rPr>
            <w:noProof/>
            <w:webHidden/>
          </w:rPr>
          <w:t>38</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56" w:history="1">
        <w:r w:rsidRPr="000F27C6">
          <w:rPr>
            <w:rStyle w:val="Hipervnculo"/>
            <w:rFonts w:ascii="ITC Avant Garde" w:hAnsi="ITC Avant Garde"/>
            <w:noProof/>
            <w:lang w:val="es-MX"/>
          </w:rPr>
          <w:t>2.3.5.3</w:t>
        </w:r>
        <w:r>
          <w:rPr>
            <w:rFonts w:eastAsiaTheme="minorEastAsia" w:cstheme="minorBidi"/>
            <w:noProof/>
            <w:sz w:val="22"/>
            <w:szCs w:val="22"/>
            <w:lang w:val="es-MX" w:eastAsia="es-MX"/>
          </w:rPr>
          <w:tab/>
        </w:r>
        <w:r w:rsidRPr="000F27C6">
          <w:rPr>
            <w:rStyle w:val="Hipervnculo"/>
            <w:rFonts w:ascii="ITC Avant Garde" w:hAnsi="ITC Avant Garde"/>
            <w:noProof/>
            <w:lang w:val="es-MX"/>
          </w:rPr>
          <w:t>Compartición de infraestructura</w:t>
        </w:r>
        <w:r>
          <w:rPr>
            <w:noProof/>
            <w:webHidden/>
          </w:rPr>
          <w:tab/>
        </w:r>
        <w:r>
          <w:rPr>
            <w:noProof/>
            <w:webHidden/>
          </w:rPr>
          <w:fldChar w:fldCharType="begin"/>
        </w:r>
        <w:r>
          <w:rPr>
            <w:noProof/>
            <w:webHidden/>
          </w:rPr>
          <w:instrText xml:space="preserve"> PAGEREF _Toc526854356 \h </w:instrText>
        </w:r>
        <w:r>
          <w:rPr>
            <w:noProof/>
            <w:webHidden/>
          </w:rPr>
        </w:r>
        <w:r>
          <w:rPr>
            <w:noProof/>
            <w:webHidden/>
          </w:rPr>
          <w:fldChar w:fldCharType="separate"/>
        </w:r>
        <w:r w:rsidR="0061735A">
          <w:rPr>
            <w:noProof/>
            <w:webHidden/>
          </w:rPr>
          <w:t>40</w:t>
        </w:r>
        <w:r>
          <w:rPr>
            <w:noProof/>
            <w:webHidden/>
          </w:rPr>
          <w:fldChar w:fldCharType="end"/>
        </w:r>
      </w:hyperlink>
    </w:p>
    <w:p w:rsidR="00CF29C8" w:rsidRDefault="00CF29C8">
      <w:pPr>
        <w:pStyle w:val="TDC2"/>
        <w:tabs>
          <w:tab w:val="left" w:pos="660"/>
          <w:tab w:val="right" w:pos="8494"/>
        </w:tabs>
        <w:rPr>
          <w:rFonts w:eastAsiaTheme="minorEastAsia" w:cstheme="minorBidi"/>
          <w:b w:val="0"/>
          <w:bCs w:val="0"/>
          <w:noProof/>
          <w:sz w:val="22"/>
          <w:lang w:val="es-MX" w:eastAsia="es-MX"/>
        </w:rPr>
      </w:pPr>
      <w:hyperlink w:anchor="_Toc526854357" w:history="1">
        <w:r w:rsidRPr="000F27C6">
          <w:rPr>
            <w:rStyle w:val="Hipervnculo"/>
            <w:rFonts w:ascii="ITC Avant Garde" w:hAnsi="ITC Avant Garde"/>
            <w:noProof/>
          </w:rPr>
          <w:t>2.4</w:t>
        </w:r>
        <w:r>
          <w:rPr>
            <w:rFonts w:eastAsiaTheme="minorEastAsia" w:cstheme="minorBidi"/>
            <w:b w:val="0"/>
            <w:bCs w:val="0"/>
            <w:noProof/>
            <w:sz w:val="22"/>
            <w:lang w:val="es-MX" w:eastAsia="es-MX"/>
          </w:rPr>
          <w:tab/>
        </w:r>
        <w:r w:rsidRPr="000F27C6">
          <w:rPr>
            <w:rStyle w:val="Hipervnculo"/>
            <w:rFonts w:ascii="ITC Avant Garde" w:hAnsi="ITC Avant Garde"/>
            <w:noProof/>
            <w:lang w:val="es-MX"/>
          </w:rPr>
          <w:t>Enfoque de costeo</w:t>
        </w:r>
        <w:r>
          <w:rPr>
            <w:noProof/>
            <w:webHidden/>
          </w:rPr>
          <w:tab/>
        </w:r>
        <w:r>
          <w:rPr>
            <w:noProof/>
            <w:webHidden/>
          </w:rPr>
          <w:fldChar w:fldCharType="begin"/>
        </w:r>
        <w:r>
          <w:rPr>
            <w:noProof/>
            <w:webHidden/>
          </w:rPr>
          <w:instrText xml:space="preserve"> PAGEREF _Toc526854357 \h </w:instrText>
        </w:r>
        <w:r>
          <w:rPr>
            <w:noProof/>
            <w:webHidden/>
          </w:rPr>
        </w:r>
        <w:r>
          <w:rPr>
            <w:noProof/>
            <w:webHidden/>
          </w:rPr>
          <w:fldChar w:fldCharType="separate"/>
        </w:r>
        <w:r w:rsidR="0061735A">
          <w:rPr>
            <w:noProof/>
            <w:webHidden/>
          </w:rPr>
          <w:t>41</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58" w:history="1">
        <w:r w:rsidRPr="000F27C6">
          <w:rPr>
            <w:rStyle w:val="Hipervnculo"/>
            <w:rFonts w:ascii="ITC Avant Garde" w:hAnsi="ITC Avant Garde"/>
            <w:noProof/>
            <w:lang w:val="es-MX"/>
          </w:rPr>
          <w:t>2.4.1</w:t>
        </w:r>
        <w:r>
          <w:rPr>
            <w:rFonts w:eastAsiaTheme="minorEastAsia" w:cstheme="minorBidi"/>
            <w:noProof/>
            <w:sz w:val="22"/>
            <w:szCs w:val="22"/>
            <w:lang w:val="es-MX" w:eastAsia="es-MX"/>
          </w:rPr>
          <w:tab/>
        </w:r>
        <w:r w:rsidRPr="000F27C6">
          <w:rPr>
            <w:rStyle w:val="Hipervnculo"/>
            <w:rFonts w:ascii="ITC Avant Garde" w:hAnsi="ITC Avant Garde"/>
            <w:noProof/>
            <w:lang w:val="es-MX"/>
          </w:rPr>
          <w:t>CAPEX</w:t>
        </w:r>
        <w:r>
          <w:rPr>
            <w:noProof/>
            <w:webHidden/>
          </w:rPr>
          <w:tab/>
        </w:r>
        <w:r>
          <w:rPr>
            <w:noProof/>
            <w:webHidden/>
          </w:rPr>
          <w:fldChar w:fldCharType="begin"/>
        </w:r>
        <w:r>
          <w:rPr>
            <w:noProof/>
            <w:webHidden/>
          </w:rPr>
          <w:instrText xml:space="preserve"> PAGEREF _Toc526854358 \h </w:instrText>
        </w:r>
        <w:r>
          <w:rPr>
            <w:noProof/>
            <w:webHidden/>
          </w:rPr>
        </w:r>
        <w:r>
          <w:rPr>
            <w:noProof/>
            <w:webHidden/>
          </w:rPr>
          <w:fldChar w:fldCharType="separate"/>
        </w:r>
        <w:r w:rsidR="0061735A">
          <w:rPr>
            <w:noProof/>
            <w:webHidden/>
          </w:rPr>
          <w:t>41</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59" w:history="1">
        <w:r w:rsidRPr="000F27C6">
          <w:rPr>
            <w:rStyle w:val="Hipervnculo"/>
            <w:rFonts w:ascii="ITC Avant Garde" w:hAnsi="ITC Avant Garde"/>
            <w:noProof/>
            <w:lang w:val="es-MX"/>
          </w:rPr>
          <w:t>2.4.1.1</w:t>
        </w:r>
        <w:r>
          <w:rPr>
            <w:rFonts w:eastAsiaTheme="minorEastAsia" w:cstheme="minorBidi"/>
            <w:noProof/>
            <w:sz w:val="22"/>
            <w:szCs w:val="22"/>
            <w:lang w:val="es-MX" w:eastAsia="es-MX"/>
          </w:rPr>
          <w:tab/>
        </w:r>
        <w:r w:rsidRPr="000F27C6">
          <w:rPr>
            <w:rStyle w:val="Hipervnculo"/>
            <w:rFonts w:ascii="ITC Avant Garde" w:hAnsi="ITC Avant Garde"/>
            <w:noProof/>
            <w:lang w:val="es-MX"/>
          </w:rPr>
          <w:t>Valoración de los activos</w:t>
        </w:r>
        <w:r>
          <w:rPr>
            <w:noProof/>
            <w:webHidden/>
          </w:rPr>
          <w:tab/>
        </w:r>
        <w:r>
          <w:rPr>
            <w:noProof/>
            <w:webHidden/>
          </w:rPr>
          <w:fldChar w:fldCharType="begin"/>
        </w:r>
        <w:r>
          <w:rPr>
            <w:noProof/>
            <w:webHidden/>
          </w:rPr>
          <w:instrText xml:space="preserve"> PAGEREF _Toc526854359 \h </w:instrText>
        </w:r>
        <w:r>
          <w:rPr>
            <w:noProof/>
            <w:webHidden/>
          </w:rPr>
        </w:r>
        <w:r>
          <w:rPr>
            <w:noProof/>
            <w:webHidden/>
          </w:rPr>
          <w:fldChar w:fldCharType="separate"/>
        </w:r>
        <w:r w:rsidR="0061735A">
          <w:rPr>
            <w:noProof/>
            <w:webHidden/>
          </w:rPr>
          <w:t>41</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60" w:history="1">
        <w:r w:rsidRPr="000F27C6">
          <w:rPr>
            <w:rStyle w:val="Hipervnculo"/>
            <w:rFonts w:ascii="ITC Avant Garde" w:hAnsi="ITC Avant Garde"/>
            <w:noProof/>
            <w:lang w:val="es-MX"/>
          </w:rPr>
          <w:t>2.4.1.2</w:t>
        </w:r>
        <w:r>
          <w:rPr>
            <w:rFonts w:eastAsiaTheme="minorEastAsia" w:cstheme="minorBidi"/>
            <w:noProof/>
            <w:sz w:val="22"/>
            <w:szCs w:val="22"/>
            <w:lang w:val="es-MX" w:eastAsia="es-MX"/>
          </w:rPr>
          <w:tab/>
        </w:r>
        <w:r w:rsidRPr="000F27C6">
          <w:rPr>
            <w:rStyle w:val="Hipervnculo"/>
            <w:rFonts w:ascii="ITC Avant Garde" w:hAnsi="ITC Avant Garde"/>
            <w:noProof/>
            <w:lang w:val="es-MX"/>
          </w:rPr>
          <w:t>Valoración de activos de ingeniería civil reutilizables</w:t>
        </w:r>
        <w:r>
          <w:rPr>
            <w:noProof/>
            <w:webHidden/>
          </w:rPr>
          <w:tab/>
        </w:r>
        <w:r>
          <w:rPr>
            <w:noProof/>
            <w:webHidden/>
          </w:rPr>
          <w:fldChar w:fldCharType="begin"/>
        </w:r>
        <w:r>
          <w:rPr>
            <w:noProof/>
            <w:webHidden/>
          </w:rPr>
          <w:instrText xml:space="preserve"> PAGEREF _Toc526854360 \h </w:instrText>
        </w:r>
        <w:r>
          <w:rPr>
            <w:noProof/>
            <w:webHidden/>
          </w:rPr>
        </w:r>
        <w:r>
          <w:rPr>
            <w:noProof/>
            <w:webHidden/>
          </w:rPr>
          <w:fldChar w:fldCharType="separate"/>
        </w:r>
        <w:r w:rsidR="0061735A">
          <w:rPr>
            <w:noProof/>
            <w:webHidden/>
          </w:rPr>
          <w:t>43</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61" w:history="1">
        <w:r w:rsidRPr="000F27C6">
          <w:rPr>
            <w:rStyle w:val="Hipervnculo"/>
            <w:rFonts w:ascii="ITC Avant Garde" w:hAnsi="ITC Avant Garde"/>
            <w:noProof/>
            <w:lang w:val="es-MX"/>
          </w:rPr>
          <w:t>2.4.2</w:t>
        </w:r>
        <w:r>
          <w:rPr>
            <w:rFonts w:eastAsiaTheme="minorEastAsia" w:cstheme="minorBidi"/>
            <w:noProof/>
            <w:sz w:val="22"/>
            <w:szCs w:val="22"/>
            <w:lang w:val="es-MX" w:eastAsia="es-MX"/>
          </w:rPr>
          <w:tab/>
        </w:r>
        <w:r w:rsidRPr="000F27C6">
          <w:rPr>
            <w:rStyle w:val="Hipervnculo"/>
            <w:rFonts w:ascii="ITC Avant Garde" w:hAnsi="ITC Avant Garde"/>
            <w:noProof/>
            <w:lang w:val="es-MX"/>
          </w:rPr>
          <w:t>Anualización de los CAPEX</w:t>
        </w:r>
        <w:r>
          <w:rPr>
            <w:noProof/>
            <w:webHidden/>
          </w:rPr>
          <w:tab/>
        </w:r>
        <w:r>
          <w:rPr>
            <w:noProof/>
            <w:webHidden/>
          </w:rPr>
          <w:fldChar w:fldCharType="begin"/>
        </w:r>
        <w:r>
          <w:rPr>
            <w:noProof/>
            <w:webHidden/>
          </w:rPr>
          <w:instrText xml:space="preserve"> PAGEREF _Toc526854361 \h </w:instrText>
        </w:r>
        <w:r>
          <w:rPr>
            <w:noProof/>
            <w:webHidden/>
          </w:rPr>
        </w:r>
        <w:r>
          <w:rPr>
            <w:noProof/>
            <w:webHidden/>
          </w:rPr>
          <w:fldChar w:fldCharType="separate"/>
        </w:r>
        <w:r w:rsidR="0061735A">
          <w:rPr>
            <w:noProof/>
            <w:webHidden/>
          </w:rPr>
          <w:t>47</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62" w:history="1">
        <w:r w:rsidRPr="000F27C6">
          <w:rPr>
            <w:rStyle w:val="Hipervnculo"/>
            <w:rFonts w:ascii="ITC Avant Garde" w:hAnsi="ITC Avant Garde"/>
            <w:noProof/>
            <w:lang w:val="es-MX"/>
          </w:rPr>
          <w:t>2.4.2.1</w:t>
        </w:r>
        <w:r>
          <w:rPr>
            <w:rFonts w:eastAsiaTheme="minorEastAsia" w:cstheme="minorBidi"/>
            <w:noProof/>
            <w:sz w:val="22"/>
            <w:szCs w:val="22"/>
            <w:lang w:val="es-MX" w:eastAsia="es-MX"/>
          </w:rPr>
          <w:tab/>
        </w:r>
        <w:r w:rsidRPr="000F27C6">
          <w:rPr>
            <w:rStyle w:val="Hipervnculo"/>
            <w:rFonts w:ascii="ITC Avant Garde" w:hAnsi="ITC Avant Garde"/>
            <w:noProof/>
            <w:lang w:val="es-MX"/>
          </w:rPr>
          <w:t>Costo Promedio Ponderado del Capital (CPPC o WACC)</w:t>
        </w:r>
        <w:r>
          <w:rPr>
            <w:noProof/>
            <w:webHidden/>
          </w:rPr>
          <w:tab/>
        </w:r>
        <w:r>
          <w:rPr>
            <w:noProof/>
            <w:webHidden/>
          </w:rPr>
          <w:fldChar w:fldCharType="begin"/>
        </w:r>
        <w:r>
          <w:rPr>
            <w:noProof/>
            <w:webHidden/>
          </w:rPr>
          <w:instrText xml:space="preserve"> PAGEREF _Toc526854362 \h </w:instrText>
        </w:r>
        <w:r>
          <w:rPr>
            <w:noProof/>
            <w:webHidden/>
          </w:rPr>
        </w:r>
        <w:r>
          <w:rPr>
            <w:noProof/>
            <w:webHidden/>
          </w:rPr>
          <w:fldChar w:fldCharType="separate"/>
        </w:r>
        <w:r w:rsidR="0061735A">
          <w:rPr>
            <w:noProof/>
            <w:webHidden/>
          </w:rPr>
          <w:t>47</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63" w:history="1">
        <w:r w:rsidRPr="000F27C6">
          <w:rPr>
            <w:rStyle w:val="Hipervnculo"/>
            <w:rFonts w:ascii="ITC Avant Garde" w:hAnsi="ITC Avant Garde"/>
            <w:noProof/>
            <w:lang w:val="es-MX"/>
          </w:rPr>
          <w:t>2.4.2.2</w:t>
        </w:r>
        <w:r>
          <w:rPr>
            <w:rFonts w:eastAsiaTheme="minorEastAsia" w:cstheme="minorBidi"/>
            <w:noProof/>
            <w:sz w:val="22"/>
            <w:szCs w:val="22"/>
            <w:lang w:val="es-MX" w:eastAsia="es-MX"/>
          </w:rPr>
          <w:tab/>
        </w:r>
        <w:r w:rsidRPr="000F27C6">
          <w:rPr>
            <w:rStyle w:val="Hipervnculo"/>
            <w:rFonts w:ascii="ITC Avant Garde" w:hAnsi="ITC Avant Garde"/>
            <w:noProof/>
            <w:lang w:val="es-MX"/>
          </w:rPr>
          <w:t>Tendencias de precios y vidas de activos</w:t>
        </w:r>
        <w:r>
          <w:rPr>
            <w:noProof/>
            <w:webHidden/>
          </w:rPr>
          <w:tab/>
        </w:r>
        <w:r>
          <w:rPr>
            <w:noProof/>
            <w:webHidden/>
          </w:rPr>
          <w:fldChar w:fldCharType="begin"/>
        </w:r>
        <w:r>
          <w:rPr>
            <w:noProof/>
            <w:webHidden/>
          </w:rPr>
          <w:instrText xml:space="preserve"> PAGEREF _Toc526854363 \h </w:instrText>
        </w:r>
        <w:r>
          <w:rPr>
            <w:noProof/>
            <w:webHidden/>
          </w:rPr>
        </w:r>
        <w:r>
          <w:rPr>
            <w:noProof/>
            <w:webHidden/>
          </w:rPr>
          <w:fldChar w:fldCharType="separate"/>
        </w:r>
        <w:r w:rsidR="0061735A">
          <w:rPr>
            <w:noProof/>
            <w:webHidden/>
          </w:rPr>
          <w:t>47</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64" w:history="1">
        <w:r w:rsidRPr="000F27C6">
          <w:rPr>
            <w:rStyle w:val="Hipervnculo"/>
            <w:rFonts w:ascii="ITC Avant Garde" w:hAnsi="ITC Avant Garde"/>
            <w:noProof/>
            <w:lang w:val="es-MX"/>
          </w:rPr>
          <w:t>2.4.2.3</w:t>
        </w:r>
        <w:r>
          <w:rPr>
            <w:rFonts w:eastAsiaTheme="minorEastAsia" w:cstheme="minorBidi"/>
            <w:noProof/>
            <w:sz w:val="22"/>
            <w:szCs w:val="22"/>
            <w:lang w:val="es-MX" w:eastAsia="es-MX"/>
          </w:rPr>
          <w:tab/>
        </w:r>
        <w:r w:rsidRPr="000F27C6">
          <w:rPr>
            <w:rStyle w:val="Hipervnculo"/>
            <w:rFonts w:ascii="ITC Avant Garde" w:hAnsi="ITC Avant Garde"/>
            <w:noProof/>
            <w:lang w:val="es-MX"/>
          </w:rPr>
          <w:t>Metodología de depreciación de las inversiones</w:t>
        </w:r>
        <w:r>
          <w:rPr>
            <w:noProof/>
            <w:webHidden/>
          </w:rPr>
          <w:tab/>
        </w:r>
        <w:r>
          <w:rPr>
            <w:noProof/>
            <w:webHidden/>
          </w:rPr>
          <w:fldChar w:fldCharType="begin"/>
        </w:r>
        <w:r>
          <w:rPr>
            <w:noProof/>
            <w:webHidden/>
          </w:rPr>
          <w:instrText xml:space="preserve"> PAGEREF _Toc526854364 \h </w:instrText>
        </w:r>
        <w:r>
          <w:rPr>
            <w:noProof/>
            <w:webHidden/>
          </w:rPr>
        </w:r>
        <w:r>
          <w:rPr>
            <w:noProof/>
            <w:webHidden/>
          </w:rPr>
          <w:fldChar w:fldCharType="separate"/>
        </w:r>
        <w:r w:rsidR="0061735A">
          <w:rPr>
            <w:noProof/>
            <w:webHidden/>
          </w:rPr>
          <w:t>49</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65" w:history="1">
        <w:r w:rsidRPr="000F27C6">
          <w:rPr>
            <w:rStyle w:val="Hipervnculo"/>
            <w:rFonts w:ascii="ITC Avant Garde" w:hAnsi="ITC Avant Garde"/>
            <w:noProof/>
            <w:lang w:val="es-MX"/>
          </w:rPr>
          <w:t>2.4.3</w:t>
        </w:r>
        <w:r>
          <w:rPr>
            <w:rFonts w:eastAsiaTheme="minorEastAsia" w:cstheme="minorBidi"/>
            <w:noProof/>
            <w:sz w:val="22"/>
            <w:szCs w:val="22"/>
            <w:lang w:val="es-MX" w:eastAsia="es-MX"/>
          </w:rPr>
          <w:tab/>
        </w:r>
        <w:r w:rsidRPr="000F27C6">
          <w:rPr>
            <w:rStyle w:val="Hipervnculo"/>
            <w:rFonts w:ascii="ITC Avant Garde" w:hAnsi="ITC Avant Garde"/>
            <w:noProof/>
            <w:lang w:val="es-MX"/>
          </w:rPr>
          <w:t>Gastos operacionales (OPEX)</w:t>
        </w:r>
        <w:r>
          <w:rPr>
            <w:noProof/>
            <w:webHidden/>
          </w:rPr>
          <w:tab/>
        </w:r>
        <w:r>
          <w:rPr>
            <w:noProof/>
            <w:webHidden/>
          </w:rPr>
          <w:fldChar w:fldCharType="begin"/>
        </w:r>
        <w:r>
          <w:rPr>
            <w:noProof/>
            <w:webHidden/>
          </w:rPr>
          <w:instrText xml:space="preserve"> PAGEREF _Toc526854365 \h </w:instrText>
        </w:r>
        <w:r>
          <w:rPr>
            <w:noProof/>
            <w:webHidden/>
          </w:rPr>
        </w:r>
        <w:r>
          <w:rPr>
            <w:noProof/>
            <w:webHidden/>
          </w:rPr>
          <w:fldChar w:fldCharType="separate"/>
        </w:r>
        <w:r w:rsidR="0061735A">
          <w:rPr>
            <w:noProof/>
            <w:webHidden/>
          </w:rPr>
          <w:t>52</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66" w:history="1">
        <w:r w:rsidRPr="000F27C6">
          <w:rPr>
            <w:rStyle w:val="Hipervnculo"/>
            <w:rFonts w:ascii="ITC Avant Garde" w:hAnsi="ITC Avant Garde"/>
            <w:noProof/>
            <w:lang w:val="es-MX"/>
          </w:rPr>
          <w:t>2.4.3.1</w:t>
        </w:r>
        <w:r>
          <w:rPr>
            <w:rFonts w:eastAsiaTheme="minorEastAsia" w:cstheme="minorBidi"/>
            <w:noProof/>
            <w:sz w:val="22"/>
            <w:szCs w:val="22"/>
            <w:lang w:val="es-MX" w:eastAsia="es-MX"/>
          </w:rPr>
          <w:tab/>
        </w:r>
        <w:r w:rsidRPr="000F27C6">
          <w:rPr>
            <w:rStyle w:val="Hipervnculo"/>
            <w:rFonts w:ascii="ITC Avant Garde" w:hAnsi="ITC Avant Garde"/>
            <w:noProof/>
            <w:lang w:val="es-MX"/>
          </w:rPr>
          <w:t>Mantenimiento de la red</w:t>
        </w:r>
        <w:r>
          <w:rPr>
            <w:noProof/>
            <w:webHidden/>
          </w:rPr>
          <w:tab/>
        </w:r>
        <w:r>
          <w:rPr>
            <w:noProof/>
            <w:webHidden/>
          </w:rPr>
          <w:fldChar w:fldCharType="begin"/>
        </w:r>
        <w:r>
          <w:rPr>
            <w:noProof/>
            <w:webHidden/>
          </w:rPr>
          <w:instrText xml:space="preserve"> PAGEREF _Toc526854366 \h </w:instrText>
        </w:r>
        <w:r>
          <w:rPr>
            <w:noProof/>
            <w:webHidden/>
          </w:rPr>
        </w:r>
        <w:r>
          <w:rPr>
            <w:noProof/>
            <w:webHidden/>
          </w:rPr>
          <w:fldChar w:fldCharType="separate"/>
        </w:r>
        <w:r w:rsidR="0061735A">
          <w:rPr>
            <w:noProof/>
            <w:webHidden/>
          </w:rPr>
          <w:t>52</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67" w:history="1">
        <w:r w:rsidRPr="000F27C6">
          <w:rPr>
            <w:rStyle w:val="Hipervnculo"/>
            <w:rFonts w:ascii="ITC Avant Garde" w:hAnsi="ITC Avant Garde"/>
            <w:noProof/>
            <w:lang w:val="es-MX"/>
          </w:rPr>
          <w:t>2.4.3.2</w:t>
        </w:r>
        <w:r>
          <w:rPr>
            <w:rFonts w:eastAsiaTheme="minorEastAsia" w:cstheme="minorBidi"/>
            <w:noProof/>
            <w:sz w:val="22"/>
            <w:szCs w:val="22"/>
            <w:lang w:val="es-MX" w:eastAsia="es-MX"/>
          </w:rPr>
          <w:tab/>
        </w:r>
        <w:r w:rsidRPr="000F27C6">
          <w:rPr>
            <w:rStyle w:val="Hipervnculo"/>
            <w:rFonts w:ascii="ITC Avant Garde" w:hAnsi="ITC Avant Garde"/>
            <w:noProof/>
            <w:lang w:val="es-MX"/>
          </w:rPr>
          <w:t>costos indirectos y no relacionados con la red</w:t>
        </w:r>
        <w:r>
          <w:rPr>
            <w:noProof/>
            <w:webHidden/>
          </w:rPr>
          <w:tab/>
        </w:r>
        <w:r>
          <w:rPr>
            <w:noProof/>
            <w:webHidden/>
          </w:rPr>
          <w:fldChar w:fldCharType="begin"/>
        </w:r>
        <w:r>
          <w:rPr>
            <w:noProof/>
            <w:webHidden/>
          </w:rPr>
          <w:instrText xml:space="preserve"> PAGEREF _Toc526854367 \h </w:instrText>
        </w:r>
        <w:r>
          <w:rPr>
            <w:noProof/>
            <w:webHidden/>
          </w:rPr>
        </w:r>
        <w:r>
          <w:rPr>
            <w:noProof/>
            <w:webHidden/>
          </w:rPr>
          <w:fldChar w:fldCharType="separate"/>
        </w:r>
        <w:r w:rsidR="0061735A">
          <w:rPr>
            <w:noProof/>
            <w:webHidden/>
          </w:rPr>
          <w:t>53</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68" w:history="1">
        <w:r w:rsidRPr="000F27C6">
          <w:rPr>
            <w:rStyle w:val="Hipervnculo"/>
            <w:rFonts w:ascii="ITC Avant Garde" w:hAnsi="ITC Avant Garde"/>
            <w:noProof/>
            <w:lang w:val="es-MX"/>
          </w:rPr>
          <w:t>2.4.4</w:t>
        </w:r>
        <w:r>
          <w:rPr>
            <w:rFonts w:eastAsiaTheme="minorEastAsia" w:cstheme="minorBidi"/>
            <w:noProof/>
            <w:sz w:val="22"/>
            <w:szCs w:val="22"/>
            <w:lang w:val="es-MX" w:eastAsia="es-MX"/>
          </w:rPr>
          <w:tab/>
        </w:r>
        <w:r w:rsidRPr="000F27C6">
          <w:rPr>
            <w:rStyle w:val="Hipervnculo"/>
            <w:rFonts w:ascii="ITC Avant Garde" w:hAnsi="ITC Avant Garde"/>
            <w:noProof/>
            <w:lang w:val="es-MX"/>
          </w:rPr>
          <w:t>Costo del capital circulante</w:t>
        </w:r>
        <w:r>
          <w:rPr>
            <w:noProof/>
            <w:webHidden/>
          </w:rPr>
          <w:tab/>
        </w:r>
        <w:r>
          <w:rPr>
            <w:noProof/>
            <w:webHidden/>
          </w:rPr>
          <w:fldChar w:fldCharType="begin"/>
        </w:r>
        <w:r>
          <w:rPr>
            <w:noProof/>
            <w:webHidden/>
          </w:rPr>
          <w:instrText xml:space="preserve"> PAGEREF _Toc526854368 \h </w:instrText>
        </w:r>
        <w:r>
          <w:rPr>
            <w:noProof/>
            <w:webHidden/>
          </w:rPr>
        </w:r>
        <w:r>
          <w:rPr>
            <w:noProof/>
            <w:webHidden/>
          </w:rPr>
          <w:fldChar w:fldCharType="separate"/>
        </w:r>
        <w:r w:rsidR="0061735A">
          <w:rPr>
            <w:noProof/>
            <w:webHidden/>
          </w:rPr>
          <w:t>56</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69" w:history="1">
        <w:r w:rsidRPr="000F27C6">
          <w:rPr>
            <w:rStyle w:val="Hipervnculo"/>
            <w:rFonts w:ascii="ITC Avant Garde" w:hAnsi="ITC Avant Garde"/>
            <w:noProof/>
            <w:lang w:val="es-MX"/>
          </w:rPr>
          <w:t>2.4.4.1</w:t>
        </w:r>
        <w:r>
          <w:rPr>
            <w:rFonts w:eastAsiaTheme="minorEastAsia" w:cstheme="minorBidi"/>
            <w:noProof/>
            <w:sz w:val="22"/>
            <w:szCs w:val="22"/>
            <w:lang w:val="es-MX" w:eastAsia="es-MX"/>
          </w:rPr>
          <w:tab/>
        </w:r>
        <w:r w:rsidRPr="000F27C6">
          <w:rPr>
            <w:rStyle w:val="Hipervnculo"/>
            <w:rFonts w:ascii="ITC Avant Garde" w:hAnsi="ITC Avant Garde"/>
            <w:noProof/>
            <w:lang w:val="es-MX"/>
          </w:rPr>
          <w:t>Capital circulante por Capex de red</w:t>
        </w:r>
        <w:r>
          <w:rPr>
            <w:noProof/>
            <w:webHidden/>
          </w:rPr>
          <w:tab/>
        </w:r>
        <w:r>
          <w:rPr>
            <w:noProof/>
            <w:webHidden/>
          </w:rPr>
          <w:fldChar w:fldCharType="begin"/>
        </w:r>
        <w:r>
          <w:rPr>
            <w:noProof/>
            <w:webHidden/>
          </w:rPr>
          <w:instrText xml:space="preserve"> PAGEREF _Toc526854369 \h </w:instrText>
        </w:r>
        <w:r>
          <w:rPr>
            <w:noProof/>
            <w:webHidden/>
          </w:rPr>
        </w:r>
        <w:r>
          <w:rPr>
            <w:noProof/>
            <w:webHidden/>
          </w:rPr>
          <w:fldChar w:fldCharType="separate"/>
        </w:r>
        <w:r w:rsidR="0061735A">
          <w:rPr>
            <w:noProof/>
            <w:webHidden/>
          </w:rPr>
          <w:t>56</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70" w:history="1">
        <w:r w:rsidRPr="000F27C6">
          <w:rPr>
            <w:rStyle w:val="Hipervnculo"/>
            <w:rFonts w:ascii="ITC Avant Garde" w:hAnsi="ITC Avant Garde"/>
            <w:noProof/>
            <w:lang w:val="es-MX"/>
          </w:rPr>
          <w:t>2.4.4.2</w:t>
        </w:r>
        <w:r>
          <w:rPr>
            <w:rFonts w:eastAsiaTheme="minorEastAsia" w:cstheme="minorBidi"/>
            <w:noProof/>
            <w:sz w:val="22"/>
            <w:szCs w:val="22"/>
            <w:lang w:val="es-MX" w:eastAsia="es-MX"/>
          </w:rPr>
          <w:tab/>
        </w:r>
        <w:r w:rsidRPr="000F27C6">
          <w:rPr>
            <w:rStyle w:val="Hipervnculo"/>
            <w:rFonts w:ascii="ITC Avant Garde" w:hAnsi="ITC Avant Garde"/>
            <w:noProof/>
            <w:lang w:val="es-MX"/>
          </w:rPr>
          <w:t>Capital circulante por Opex de la red</w:t>
        </w:r>
        <w:r>
          <w:rPr>
            <w:noProof/>
            <w:webHidden/>
          </w:rPr>
          <w:tab/>
        </w:r>
        <w:r>
          <w:rPr>
            <w:noProof/>
            <w:webHidden/>
          </w:rPr>
          <w:fldChar w:fldCharType="begin"/>
        </w:r>
        <w:r>
          <w:rPr>
            <w:noProof/>
            <w:webHidden/>
          </w:rPr>
          <w:instrText xml:space="preserve"> PAGEREF _Toc526854370 \h </w:instrText>
        </w:r>
        <w:r>
          <w:rPr>
            <w:noProof/>
            <w:webHidden/>
          </w:rPr>
        </w:r>
        <w:r>
          <w:rPr>
            <w:noProof/>
            <w:webHidden/>
          </w:rPr>
          <w:fldChar w:fldCharType="separate"/>
        </w:r>
        <w:r w:rsidR="0061735A">
          <w:rPr>
            <w:noProof/>
            <w:webHidden/>
          </w:rPr>
          <w:t>57</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71" w:history="1">
        <w:r w:rsidRPr="000F27C6">
          <w:rPr>
            <w:rStyle w:val="Hipervnculo"/>
            <w:rFonts w:ascii="ITC Avant Garde" w:hAnsi="ITC Avant Garde"/>
            <w:noProof/>
            <w:lang w:val="es-MX"/>
          </w:rPr>
          <w:t>2.4.5</w:t>
        </w:r>
        <w:r>
          <w:rPr>
            <w:rFonts w:eastAsiaTheme="minorEastAsia" w:cstheme="minorBidi"/>
            <w:noProof/>
            <w:sz w:val="22"/>
            <w:szCs w:val="22"/>
            <w:lang w:val="es-MX" w:eastAsia="es-MX"/>
          </w:rPr>
          <w:tab/>
        </w:r>
        <w:r w:rsidRPr="000F27C6">
          <w:rPr>
            <w:rStyle w:val="Hipervnculo"/>
            <w:rFonts w:ascii="ITC Avant Garde" w:hAnsi="ITC Avant Garde"/>
            <w:noProof/>
            <w:lang w:val="es-MX"/>
          </w:rPr>
          <w:t>Recuperación de costos</w:t>
        </w:r>
        <w:r>
          <w:rPr>
            <w:noProof/>
            <w:webHidden/>
          </w:rPr>
          <w:tab/>
        </w:r>
        <w:r>
          <w:rPr>
            <w:noProof/>
            <w:webHidden/>
          </w:rPr>
          <w:fldChar w:fldCharType="begin"/>
        </w:r>
        <w:r>
          <w:rPr>
            <w:noProof/>
            <w:webHidden/>
          </w:rPr>
          <w:instrText xml:space="preserve"> PAGEREF _Toc526854371 \h </w:instrText>
        </w:r>
        <w:r>
          <w:rPr>
            <w:noProof/>
            <w:webHidden/>
          </w:rPr>
        </w:r>
        <w:r>
          <w:rPr>
            <w:noProof/>
            <w:webHidden/>
          </w:rPr>
          <w:fldChar w:fldCharType="separate"/>
        </w:r>
        <w:r w:rsidR="0061735A">
          <w:rPr>
            <w:noProof/>
            <w:webHidden/>
          </w:rPr>
          <w:t>58</w:t>
        </w:r>
        <w:r>
          <w:rPr>
            <w:noProof/>
            <w:webHidden/>
          </w:rPr>
          <w:fldChar w:fldCharType="end"/>
        </w:r>
      </w:hyperlink>
    </w:p>
    <w:p w:rsidR="00CF29C8" w:rsidRDefault="00CF29C8">
      <w:pPr>
        <w:pStyle w:val="TDC1"/>
        <w:tabs>
          <w:tab w:val="left" w:pos="660"/>
          <w:tab w:val="right" w:pos="8494"/>
        </w:tabs>
        <w:rPr>
          <w:rFonts w:eastAsiaTheme="minorEastAsia" w:cstheme="minorBidi"/>
          <w:b w:val="0"/>
          <w:bCs w:val="0"/>
          <w:iCs w:val="0"/>
          <w:noProof/>
          <w:sz w:val="22"/>
          <w:szCs w:val="22"/>
          <w:lang w:val="es-MX" w:eastAsia="es-MX"/>
        </w:rPr>
      </w:pPr>
      <w:hyperlink w:anchor="_Toc526854372" w:history="1">
        <w:r w:rsidRPr="000F27C6">
          <w:rPr>
            <w:rStyle w:val="Hipervnculo"/>
            <w:rFonts w:ascii="ITC Avant Garde" w:hAnsi="ITC Avant Garde"/>
            <w:noProof/>
            <w:lang w:val="es-MX"/>
            <w14:scene3d>
              <w14:camera w14:prst="orthographicFront"/>
              <w14:lightRig w14:rig="threePt" w14:dir="t">
                <w14:rot w14:lat="0" w14:lon="0" w14:rev="0"/>
              </w14:lightRig>
            </w14:scene3d>
          </w:rPr>
          <w:t>3</w:t>
        </w:r>
        <w:r>
          <w:rPr>
            <w:rFonts w:eastAsiaTheme="minorEastAsia" w:cstheme="minorBidi"/>
            <w:b w:val="0"/>
            <w:bCs w:val="0"/>
            <w:iCs w:val="0"/>
            <w:noProof/>
            <w:sz w:val="22"/>
            <w:szCs w:val="22"/>
            <w:lang w:val="es-MX" w:eastAsia="es-MX"/>
          </w:rPr>
          <w:tab/>
        </w:r>
        <w:r w:rsidRPr="000F27C6">
          <w:rPr>
            <w:rStyle w:val="Hipervnculo"/>
            <w:rFonts w:ascii="ITC Avant Garde" w:hAnsi="ITC Avant Garde"/>
            <w:noProof/>
            <w:lang w:val="es-MX"/>
          </w:rPr>
          <w:t>Descripción del modelo de acceso</w:t>
        </w:r>
        <w:r>
          <w:rPr>
            <w:noProof/>
            <w:webHidden/>
          </w:rPr>
          <w:tab/>
        </w:r>
        <w:r>
          <w:rPr>
            <w:noProof/>
            <w:webHidden/>
          </w:rPr>
          <w:fldChar w:fldCharType="begin"/>
        </w:r>
        <w:r>
          <w:rPr>
            <w:noProof/>
            <w:webHidden/>
          </w:rPr>
          <w:instrText xml:space="preserve"> PAGEREF _Toc526854372 \h </w:instrText>
        </w:r>
        <w:r>
          <w:rPr>
            <w:noProof/>
            <w:webHidden/>
          </w:rPr>
        </w:r>
        <w:r>
          <w:rPr>
            <w:noProof/>
            <w:webHidden/>
          </w:rPr>
          <w:fldChar w:fldCharType="separate"/>
        </w:r>
        <w:r w:rsidR="0061735A">
          <w:rPr>
            <w:noProof/>
            <w:webHidden/>
          </w:rPr>
          <w:t>60</w:t>
        </w:r>
        <w:r>
          <w:rPr>
            <w:noProof/>
            <w:webHidden/>
          </w:rPr>
          <w:fldChar w:fldCharType="end"/>
        </w:r>
      </w:hyperlink>
    </w:p>
    <w:p w:rsidR="00CF29C8" w:rsidRDefault="00CF29C8">
      <w:pPr>
        <w:pStyle w:val="TDC2"/>
        <w:tabs>
          <w:tab w:val="left" w:pos="660"/>
          <w:tab w:val="right" w:pos="8494"/>
        </w:tabs>
        <w:rPr>
          <w:rFonts w:eastAsiaTheme="minorEastAsia" w:cstheme="minorBidi"/>
          <w:b w:val="0"/>
          <w:bCs w:val="0"/>
          <w:noProof/>
          <w:sz w:val="22"/>
          <w:lang w:val="es-MX" w:eastAsia="es-MX"/>
        </w:rPr>
      </w:pPr>
      <w:hyperlink w:anchor="_Toc526854373" w:history="1">
        <w:r w:rsidRPr="000F27C6">
          <w:rPr>
            <w:rStyle w:val="Hipervnculo"/>
            <w:rFonts w:ascii="ITC Avant Garde" w:hAnsi="ITC Avant Garde"/>
            <w:noProof/>
          </w:rPr>
          <w:t>3.1</w:t>
        </w:r>
        <w:r>
          <w:rPr>
            <w:rFonts w:eastAsiaTheme="minorEastAsia" w:cstheme="minorBidi"/>
            <w:b w:val="0"/>
            <w:bCs w:val="0"/>
            <w:noProof/>
            <w:sz w:val="22"/>
            <w:lang w:val="es-MX" w:eastAsia="es-MX"/>
          </w:rPr>
          <w:tab/>
        </w:r>
        <w:r w:rsidRPr="000F27C6">
          <w:rPr>
            <w:rStyle w:val="Hipervnculo"/>
            <w:rFonts w:ascii="ITC Avant Garde" w:hAnsi="ITC Avant Garde"/>
            <w:noProof/>
            <w:lang w:val="es-MX"/>
          </w:rPr>
          <w:t>Estructura del modelo</w:t>
        </w:r>
        <w:r>
          <w:rPr>
            <w:noProof/>
            <w:webHidden/>
          </w:rPr>
          <w:tab/>
        </w:r>
        <w:r>
          <w:rPr>
            <w:noProof/>
            <w:webHidden/>
          </w:rPr>
          <w:fldChar w:fldCharType="begin"/>
        </w:r>
        <w:r>
          <w:rPr>
            <w:noProof/>
            <w:webHidden/>
          </w:rPr>
          <w:instrText xml:space="preserve"> PAGEREF _Toc526854373 \h </w:instrText>
        </w:r>
        <w:r>
          <w:rPr>
            <w:noProof/>
            <w:webHidden/>
          </w:rPr>
        </w:r>
        <w:r>
          <w:rPr>
            <w:noProof/>
            <w:webHidden/>
          </w:rPr>
          <w:fldChar w:fldCharType="separate"/>
        </w:r>
        <w:r w:rsidR="0061735A">
          <w:rPr>
            <w:noProof/>
            <w:webHidden/>
          </w:rPr>
          <w:t>61</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74" w:history="1">
        <w:r w:rsidRPr="000F27C6">
          <w:rPr>
            <w:rStyle w:val="Hipervnculo"/>
            <w:rFonts w:ascii="ITC Avant Garde" w:hAnsi="ITC Avant Garde"/>
            <w:noProof/>
            <w:lang w:val="es-MX"/>
          </w:rPr>
          <w:t>3.1.1</w:t>
        </w:r>
        <w:r>
          <w:rPr>
            <w:rFonts w:eastAsiaTheme="minorEastAsia" w:cstheme="minorBidi"/>
            <w:noProof/>
            <w:sz w:val="22"/>
            <w:szCs w:val="22"/>
            <w:lang w:val="es-MX" w:eastAsia="es-MX"/>
          </w:rPr>
          <w:tab/>
        </w:r>
        <w:r w:rsidRPr="000F27C6">
          <w:rPr>
            <w:rStyle w:val="Hipervnculo"/>
            <w:rFonts w:ascii="ITC Avant Garde" w:hAnsi="ITC Avant Garde"/>
            <w:noProof/>
            <w:lang w:val="es-MX"/>
          </w:rPr>
          <w:t>Visión general</w:t>
        </w:r>
        <w:r>
          <w:rPr>
            <w:noProof/>
            <w:webHidden/>
          </w:rPr>
          <w:tab/>
        </w:r>
        <w:r>
          <w:rPr>
            <w:noProof/>
            <w:webHidden/>
          </w:rPr>
          <w:fldChar w:fldCharType="begin"/>
        </w:r>
        <w:r>
          <w:rPr>
            <w:noProof/>
            <w:webHidden/>
          </w:rPr>
          <w:instrText xml:space="preserve"> PAGEREF _Toc526854374 \h </w:instrText>
        </w:r>
        <w:r>
          <w:rPr>
            <w:noProof/>
            <w:webHidden/>
          </w:rPr>
        </w:r>
        <w:r>
          <w:rPr>
            <w:noProof/>
            <w:webHidden/>
          </w:rPr>
          <w:fldChar w:fldCharType="separate"/>
        </w:r>
        <w:r w:rsidR="0061735A">
          <w:rPr>
            <w:noProof/>
            <w:webHidden/>
          </w:rPr>
          <w:t>61</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75" w:history="1">
        <w:r w:rsidRPr="000F27C6">
          <w:rPr>
            <w:rStyle w:val="Hipervnculo"/>
            <w:rFonts w:ascii="ITC Avant Garde" w:hAnsi="ITC Avant Garde"/>
            <w:noProof/>
            <w:lang w:val="es-MX"/>
          </w:rPr>
          <w:t>3.1.2</w:t>
        </w:r>
        <w:r>
          <w:rPr>
            <w:rFonts w:eastAsiaTheme="minorEastAsia" w:cstheme="minorBidi"/>
            <w:noProof/>
            <w:sz w:val="22"/>
            <w:szCs w:val="22"/>
            <w:lang w:val="es-MX" w:eastAsia="es-MX"/>
          </w:rPr>
          <w:tab/>
        </w:r>
        <w:r w:rsidRPr="000F27C6">
          <w:rPr>
            <w:rStyle w:val="Hipervnculo"/>
            <w:rFonts w:ascii="ITC Avant Garde" w:hAnsi="ITC Avant Garde"/>
            <w:noProof/>
            <w:lang w:val="es-MX"/>
          </w:rPr>
          <w:t>Estructura del archivo SQL</w:t>
        </w:r>
        <w:r>
          <w:rPr>
            <w:noProof/>
            <w:webHidden/>
          </w:rPr>
          <w:tab/>
        </w:r>
        <w:r>
          <w:rPr>
            <w:noProof/>
            <w:webHidden/>
          </w:rPr>
          <w:fldChar w:fldCharType="begin"/>
        </w:r>
        <w:r>
          <w:rPr>
            <w:noProof/>
            <w:webHidden/>
          </w:rPr>
          <w:instrText xml:space="preserve"> PAGEREF _Toc526854375 \h </w:instrText>
        </w:r>
        <w:r>
          <w:rPr>
            <w:noProof/>
            <w:webHidden/>
          </w:rPr>
        </w:r>
        <w:r>
          <w:rPr>
            <w:noProof/>
            <w:webHidden/>
          </w:rPr>
          <w:fldChar w:fldCharType="separate"/>
        </w:r>
        <w:r w:rsidR="0061735A">
          <w:rPr>
            <w:noProof/>
            <w:webHidden/>
          </w:rPr>
          <w:t>62</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76" w:history="1">
        <w:r w:rsidRPr="000F27C6">
          <w:rPr>
            <w:rStyle w:val="Hipervnculo"/>
            <w:rFonts w:ascii="ITC Avant Garde" w:hAnsi="ITC Avant Garde"/>
            <w:noProof/>
            <w:lang w:val="es-MX"/>
          </w:rPr>
          <w:t>3.1.3</w:t>
        </w:r>
        <w:r>
          <w:rPr>
            <w:rFonts w:eastAsiaTheme="minorEastAsia" w:cstheme="minorBidi"/>
            <w:noProof/>
            <w:sz w:val="22"/>
            <w:szCs w:val="22"/>
            <w:lang w:val="es-MX" w:eastAsia="es-MX"/>
          </w:rPr>
          <w:tab/>
        </w:r>
        <w:r w:rsidRPr="000F27C6">
          <w:rPr>
            <w:rStyle w:val="Hipervnculo"/>
            <w:rFonts w:ascii="ITC Avant Garde" w:hAnsi="ITC Avant Garde"/>
            <w:noProof/>
            <w:lang w:val="es-MX"/>
          </w:rPr>
          <w:t>Estructura del archivo de Microsoft Excel</w:t>
        </w:r>
        <w:r>
          <w:rPr>
            <w:noProof/>
            <w:webHidden/>
          </w:rPr>
          <w:tab/>
        </w:r>
        <w:r>
          <w:rPr>
            <w:noProof/>
            <w:webHidden/>
          </w:rPr>
          <w:fldChar w:fldCharType="begin"/>
        </w:r>
        <w:r>
          <w:rPr>
            <w:noProof/>
            <w:webHidden/>
          </w:rPr>
          <w:instrText xml:space="preserve"> PAGEREF _Toc526854376 \h </w:instrText>
        </w:r>
        <w:r>
          <w:rPr>
            <w:noProof/>
            <w:webHidden/>
          </w:rPr>
        </w:r>
        <w:r>
          <w:rPr>
            <w:noProof/>
            <w:webHidden/>
          </w:rPr>
          <w:fldChar w:fldCharType="separate"/>
        </w:r>
        <w:r w:rsidR="0061735A">
          <w:rPr>
            <w:noProof/>
            <w:webHidden/>
          </w:rPr>
          <w:t>68</w:t>
        </w:r>
        <w:r>
          <w:rPr>
            <w:noProof/>
            <w:webHidden/>
          </w:rPr>
          <w:fldChar w:fldCharType="end"/>
        </w:r>
      </w:hyperlink>
    </w:p>
    <w:p w:rsidR="00CF29C8" w:rsidRDefault="00CF29C8">
      <w:pPr>
        <w:pStyle w:val="TDC2"/>
        <w:tabs>
          <w:tab w:val="left" w:pos="660"/>
          <w:tab w:val="right" w:pos="8494"/>
        </w:tabs>
        <w:rPr>
          <w:rFonts w:eastAsiaTheme="minorEastAsia" w:cstheme="minorBidi"/>
          <w:b w:val="0"/>
          <w:bCs w:val="0"/>
          <w:noProof/>
          <w:sz w:val="22"/>
          <w:lang w:val="es-MX" w:eastAsia="es-MX"/>
        </w:rPr>
      </w:pPr>
      <w:hyperlink w:anchor="_Toc526854377" w:history="1">
        <w:r w:rsidRPr="000F27C6">
          <w:rPr>
            <w:rStyle w:val="Hipervnculo"/>
            <w:rFonts w:ascii="ITC Avant Garde" w:hAnsi="ITC Avant Garde"/>
            <w:noProof/>
          </w:rPr>
          <w:t>3.2</w:t>
        </w:r>
        <w:r>
          <w:rPr>
            <w:rFonts w:eastAsiaTheme="minorEastAsia" w:cstheme="minorBidi"/>
            <w:b w:val="0"/>
            <w:bCs w:val="0"/>
            <w:noProof/>
            <w:sz w:val="22"/>
            <w:lang w:val="es-MX" w:eastAsia="es-MX"/>
          </w:rPr>
          <w:tab/>
        </w:r>
        <w:r w:rsidRPr="000F27C6">
          <w:rPr>
            <w:rStyle w:val="Hipervnculo"/>
            <w:rFonts w:ascii="ITC Avant Garde" w:hAnsi="ITC Avant Garde"/>
            <w:noProof/>
            <w:lang w:val="es-MX"/>
          </w:rPr>
          <w:t>Análisis geomarketing</w:t>
        </w:r>
        <w:r>
          <w:rPr>
            <w:noProof/>
            <w:webHidden/>
          </w:rPr>
          <w:tab/>
        </w:r>
        <w:r>
          <w:rPr>
            <w:noProof/>
            <w:webHidden/>
          </w:rPr>
          <w:fldChar w:fldCharType="begin"/>
        </w:r>
        <w:r>
          <w:rPr>
            <w:noProof/>
            <w:webHidden/>
          </w:rPr>
          <w:instrText xml:space="preserve"> PAGEREF _Toc526854377 \h </w:instrText>
        </w:r>
        <w:r>
          <w:rPr>
            <w:noProof/>
            <w:webHidden/>
          </w:rPr>
        </w:r>
        <w:r>
          <w:rPr>
            <w:noProof/>
            <w:webHidden/>
          </w:rPr>
          <w:fldChar w:fldCharType="separate"/>
        </w:r>
        <w:r w:rsidR="0061735A">
          <w:rPr>
            <w:noProof/>
            <w:webHidden/>
          </w:rPr>
          <w:t>70</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78" w:history="1">
        <w:r w:rsidRPr="000F27C6">
          <w:rPr>
            <w:rStyle w:val="Hipervnculo"/>
            <w:rFonts w:ascii="ITC Avant Garde" w:hAnsi="ITC Avant Garde"/>
            <w:noProof/>
            <w:lang w:val="es-MX"/>
          </w:rPr>
          <w:t>3.2.1</w:t>
        </w:r>
        <w:r>
          <w:rPr>
            <w:rFonts w:eastAsiaTheme="minorEastAsia" w:cstheme="minorBidi"/>
            <w:noProof/>
            <w:sz w:val="22"/>
            <w:szCs w:val="22"/>
            <w:lang w:val="es-MX" w:eastAsia="es-MX"/>
          </w:rPr>
          <w:tab/>
        </w:r>
        <w:r w:rsidRPr="000F27C6">
          <w:rPr>
            <w:rStyle w:val="Hipervnculo"/>
            <w:rFonts w:ascii="ITC Avant Garde" w:hAnsi="ITC Avant Garde"/>
            <w:noProof/>
            <w:lang w:val="es-MX"/>
          </w:rPr>
          <w:t>Archivos de referencia</w:t>
        </w:r>
        <w:r>
          <w:rPr>
            <w:noProof/>
            <w:webHidden/>
          </w:rPr>
          <w:tab/>
        </w:r>
        <w:r>
          <w:rPr>
            <w:noProof/>
            <w:webHidden/>
          </w:rPr>
          <w:fldChar w:fldCharType="begin"/>
        </w:r>
        <w:r>
          <w:rPr>
            <w:noProof/>
            <w:webHidden/>
          </w:rPr>
          <w:instrText xml:space="preserve"> PAGEREF _Toc526854378 \h </w:instrText>
        </w:r>
        <w:r>
          <w:rPr>
            <w:noProof/>
            <w:webHidden/>
          </w:rPr>
        </w:r>
        <w:r>
          <w:rPr>
            <w:noProof/>
            <w:webHidden/>
          </w:rPr>
          <w:fldChar w:fldCharType="separate"/>
        </w:r>
        <w:r w:rsidR="0061735A">
          <w:rPr>
            <w:noProof/>
            <w:webHidden/>
          </w:rPr>
          <w:t>70</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79" w:history="1">
        <w:r w:rsidRPr="000F27C6">
          <w:rPr>
            <w:rStyle w:val="Hipervnculo"/>
            <w:rFonts w:ascii="ITC Avant Garde" w:hAnsi="ITC Avant Garde"/>
            <w:noProof/>
            <w:lang w:val="es-MX"/>
          </w:rPr>
          <w:t>3.2.2</w:t>
        </w:r>
        <w:r>
          <w:rPr>
            <w:rFonts w:eastAsiaTheme="minorEastAsia" w:cstheme="minorBidi"/>
            <w:noProof/>
            <w:sz w:val="22"/>
            <w:szCs w:val="22"/>
            <w:lang w:val="es-MX" w:eastAsia="es-MX"/>
          </w:rPr>
          <w:tab/>
        </w:r>
        <w:r w:rsidRPr="000F27C6">
          <w:rPr>
            <w:rStyle w:val="Hipervnculo"/>
            <w:rFonts w:ascii="ITC Avant Garde" w:hAnsi="ITC Avant Garde"/>
            <w:noProof/>
            <w:lang w:val="es-MX"/>
          </w:rPr>
          <w:t>Trabajo preliminar en la base de datos de la red de carreteras</w:t>
        </w:r>
        <w:r>
          <w:rPr>
            <w:noProof/>
            <w:webHidden/>
          </w:rPr>
          <w:tab/>
        </w:r>
        <w:r>
          <w:rPr>
            <w:noProof/>
            <w:webHidden/>
          </w:rPr>
          <w:fldChar w:fldCharType="begin"/>
        </w:r>
        <w:r>
          <w:rPr>
            <w:noProof/>
            <w:webHidden/>
          </w:rPr>
          <w:instrText xml:space="preserve"> PAGEREF _Toc526854379 \h </w:instrText>
        </w:r>
        <w:r>
          <w:rPr>
            <w:noProof/>
            <w:webHidden/>
          </w:rPr>
        </w:r>
        <w:r>
          <w:rPr>
            <w:noProof/>
            <w:webHidden/>
          </w:rPr>
          <w:fldChar w:fldCharType="separate"/>
        </w:r>
        <w:r w:rsidR="0061735A">
          <w:rPr>
            <w:noProof/>
            <w:webHidden/>
          </w:rPr>
          <w:t>71</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80" w:history="1">
        <w:r w:rsidRPr="000F27C6">
          <w:rPr>
            <w:rStyle w:val="Hipervnculo"/>
            <w:rFonts w:ascii="ITC Avant Garde" w:hAnsi="ITC Avant Garde"/>
            <w:noProof/>
            <w:lang w:val="es-MX"/>
          </w:rPr>
          <w:t>3.2.3</w:t>
        </w:r>
        <w:r>
          <w:rPr>
            <w:rFonts w:eastAsiaTheme="minorEastAsia" w:cstheme="minorBidi"/>
            <w:noProof/>
            <w:sz w:val="22"/>
            <w:szCs w:val="22"/>
            <w:lang w:val="es-MX" w:eastAsia="es-MX"/>
          </w:rPr>
          <w:tab/>
        </w:r>
        <w:r w:rsidRPr="000F27C6">
          <w:rPr>
            <w:rStyle w:val="Hipervnculo"/>
            <w:rFonts w:ascii="ITC Avant Garde" w:hAnsi="ITC Avant Garde"/>
            <w:noProof/>
            <w:lang w:val="es-MX"/>
          </w:rPr>
          <w:t>Trabajo preliminar en la ubicación de los nodos</w:t>
        </w:r>
        <w:r>
          <w:rPr>
            <w:noProof/>
            <w:webHidden/>
          </w:rPr>
          <w:tab/>
        </w:r>
        <w:r>
          <w:rPr>
            <w:noProof/>
            <w:webHidden/>
          </w:rPr>
          <w:fldChar w:fldCharType="begin"/>
        </w:r>
        <w:r>
          <w:rPr>
            <w:noProof/>
            <w:webHidden/>
          </w:rPr>
          <w:instrText xml:space="preserve"> PAGEREF _Toc526854380 \h </w:instrText>
        </w:r>
        <w:r>
          <w:rPr>
            <w:noProof/>
            <w:webHidden/>
          </w:rPr>
        </w:r>
        <w:r>
          <w:rPr>
            <w:noProof/>
            <w:webHidden/>
          </w:rPr>
          <w:fldChar w:fldCharType="separate"/>
        </w:r>
        <w:r w:rsidR="0061735A">
          <w:rPr>
            <w:noProof/>
            <w:webHidden/>
          </w:rPr>
          <w:t>72</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81" w:history="1">
        <w:r w:rsidRPr="000F27C6">
          <w:rPr>
            <w:rStyle w:val="Hipervnculo"/>
            <w:rFonts w:ascii="ITC Avant Garde" w:hAnsi="ITC Avant Garde"/>
            <w:noProof/>
            <w:lang w:val="es-MX"/>
          </w:rPr>
          <w:t>3.2.4</w:t>
        </w:r>
        <w:r>
          <w:rPr>
            <w:rFonts w:eastAsiaTheme="minorEastAsia" w:cstheme="minorBidi"/>
            <w:noProof/>
            <w:sz w:val="22"/>
            <w:szCs w:val="22"/>
            <w:lang w:val="es-MX" w:eastAsia="es-MX"/>
          </w:rPr>
          <w:tab/>
        </w:r>
        <w:r w:rsidRPr="000F27C6">
          <w:rPr>
            <w:rStyle w:val="Hipervnculo"/>
            <w:rFonts w:ascii="ITC Avant Garde" w:hAnsi="ITC Avant Garde"/>
            <w:noProof/>
            <w:lang w:val="es-MX"/>
          </w:rPr>
          <w:t>Trabajo preliminar sobre la correspondencia entre PDP y CO</w:t>
        </w:r>
        <w:r>
          <w:rPr>
            <w:noProof/>
            <w:webHidden/>
          </w:rPr>
          <w:tab/>
        </w:r>
        <w:r>
          <w:rPr>
            <w:noProof/>
            <w:webHidden/>
          </w:rPr>
          <w:fldChar w:fldCharType="begin"/>
        </w:r>
        <w:r>
          <w:rPr>
            <w:noProof/>
            <w:webHidden/>
          </w:rPr>
          <w:instrText xml:space="preserve"> PAGEREF _Toc526854381 \h </w:instrText>
        </w:r>
        <w:r>
          <w:rPr>
            <w:noProof/>
            <w:webHidden/>
          </w:rPr>
        </w:r>
        <w:r>
          <w:rPr>
            <w:noProof/>
            <w:webHidden/>
          </w:rPr>
          <w:fldChar w:fldCharType="separate"/>
        </w:r>
        <w:r w:rsidR="0061735A">
          <w:rPr>
            <w:noProof/>
            <w:webHidden/>
          </w:rPr>
          <w:t>75</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82" w:history="1">
        <w:r w:rsidRPr="000F27C6">
          <w:rPr>
            <w:rStyle w:val="Hipervnculo"/>
            <w:rFonts w:ascii="ITC Avant Garde" w:hAnsi="ITC Avant Garde"/>
            <w:noProof/>
            <w:lang w:val="es-MX"/>
          </w:rPr>
          <w:t>3.2.5</w:t>
        </w:r>
        <w:r>
          <w:rPr>
            <w:rFonts w:eastAsiaTheme="minorEastAsia" w:cstheme="minorBidi"/>
            <w:noProof/>
            <w:sz w:val="22"/>
            <w:szCs w:val="22"/>
            <w:lang w:val="es-MX" w:eastAsia="es-MX"/>
          </w:rPr>
          <w:tab/>
        </w:r>
        <w:r w:rsidRPr="000F27C6">
          <w:rPr>
            <w:rStyle w:val="Hipervnculo"/>
            <w:rFonts w:ascii="ITC Avant Garde" w:hAnsi="ITC Avant Garde"/>
            <w:noProof/>
            <w:lang w:val="es-MX"/>
          </w:rPr>
          <w:t>Trabajo preliminar en la base de datos de direcciones</w:t>
        </w:r>
        <w:r>
          <w:rPr>
            <w:noProof/>
            <w:webHidden/>
          </w:rPr>
          <w:tab/>
        </w:r>
        <w:r>
          <w:rPr>
            <w:noProof/>
            <w:webHidden/>
          </w:rPr>
          <w:fldChar w:fldCharType="begin"/>
        </w:r>
        <w:r>
          <w:rPr>
            <w:noProof/>
            <w:webHidden/>
          </w:rPr>
          <w:instrText xml:space="preserve"> PAGEREF _Toc526854382 \h </w:instrText>
        </w:r>
        <w:r>
          <w:rPr>
            <w:noProof/>
            <w:webHidden/>
          </w:rPr>
        </w:r>
        <w:r>
          <w:rPr>
            <w:noProof/>
            <w:webHidden/>
          </w:rPr>
          <w:fldChar w:fldCharType="separate"/>
        </w:r>
        <w:r w:rsidR="0061735A">
          <w:rPr>
            <w:noProof/>
            <w:webHidden/>
          </w:rPr>
          <w:t>76</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83" w:history="1">
        <w:r w:rsidRPr="000F27C6">
          <w:rPr>
            <w:rStyle w:val="Hipervnculo"/>
            <w:rFonts w:ascii="ITC Avant Garde" w:hAnsi="ITC Avant Garde"/>
            <w:noProof/>
            <w:lang w:val="es-MX"/>
          </w:rPr>
          <w:t>3.2.6</w:t>
        </w:r>
        <w:r>
          <w:rPr>
            <w:rFonts w:eastAsiaTheme="minorEastAsia" w:cstheme="minorBidi"/>
            <w:noProof/>
            <w:sz w:val="22"/>
            <w:szCs w:val="22"/>
            <w:lang w:val="es-MX" w:eastAsia="es-MX"/>
          </w:rPr>
          <w:tab/>
        </w:r>
        <w:r w:rsidRPr="000F27C6">
          <w:rPr>
            <w:rStyle w:val="Hipervnculo"/>
            <w:rFonts w:ascii="ITC Avant Garde" w:hAnsi="ITC Avant Garde"/>
            <w:noProof/>
            <w:lang w:val="es-MX"/>
          </w:rPr>
          <w:t>Ajuste de la huella considerado en cada escenario</w:t>
        </w:r>
        <w:r>
          <w:rPr>
            <w:noProof/>
            <w:webHidden/>
          </w:rPr>
          <w:tab/>
        </w:r>
        <w:r>
          <w:rPr>
            <w:noProof/>
            <w:webHidden/>
          </w:rPr>
          <w:fldChar w:fldCharType="begin"/>
        </w:r>
        <w:r>
          <w:rPr>
            <w:noProof/>
            <w:webHidden/>
          </w:rPr>
          <w:instrText xml:space="preserve"> PAGEREF _Toc526854383 \h </w:instrText>
        </w:r>
        <w:r>
          <w:rPr>
            <w:noProof/>
            <w:webHidden/>
          </w:rPr>
        </w:r>
        <w:r>
          <w:rPr>
            <w:noProof/>
            <w:webHidden/>
          </w:rPr>
          <w:fldChar w:fldCharType="separate"/>
        </w:r>
        <w:r w:rsidR="0061735A">
          <w:rPr>
            <w:noProof/>
            <w:webHidden/>
          </w:rPr>
          <w:t>77</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84" w:history="1">
        <w:r w:rsidRPr="000F27C6">
          <w:rPr>
            <w:rStyle w:val="Hipervnculo"/>
            <w:rFonts w:ascii="ITC Avant Garde" w:hAnsi="ITC Avant Garde"/>
            <w:noProof/>
            <w:lang w:val="es-MX"/>
          </w:rPr>
          <w:t>3.2.7</w:t>
        </w:r>
        <w:r>
          <w:rPr>
            <w:rFonts w:eastAsiaTheme="minorEastAsia" w:cstheme="minorBidi"/>
            <w:noProof/>
            <w:sz w:val="22"/>
            <w:szCs w:val="22"/>
            <w:lang w:val="es-MX" w:eastAsia="es-MX"/>
          </w:rPr>
          <w:tab/>
        </w:r>
        <w:r w:rsidRPr="000F27C6">
          <w:rPr>
            <w:rStyle w:val="Hipervnculo"/>
            <w:rFonts w:ascii="ITC Avant Garde" w:hAnsi="ITC Avant Garde"/>
            <w:noProof/>
            <w:lang w:val="es-MX"/>
          </w:rPr>
          <w:t>Estimación del número de líneas activas en cada escenario</w:t>
        </w:r>
        <w:r>
          <w:rPr>
            <w:noProof/>
            <w:webHidden/>
          </w:rPr>
          <w:tab/>
        </w:r>
        <w:r>
          <w:rPr>
            <w:noProof/>
            <w:webHidden/>
          </w:rPr>
          <w:fldChar w:fldCharType="begin"/>
        </w:r>
        <w:r>
          <w:rPr>
            <w:noProof/>
            <w:webHidden/>
          </w:rPr>
          <w:instrText xml:space="preserve"> PAGEREF _Toc526854384 \h </w:instrText>
        </w:r>
        <w:r>
          <w:rPr>
            <w:noProof/>
            <w:webHidden/>
          </w:rPr>
        </w:r>
        <w:r>
          <w:rPr>
            <w:noProof/>
            <w:webHidden/>
          </w:rPr>
          <w:fldChar w:fldCharType="separate"/>
        </w:r>
        <w:r w:rsidR="0061735A">
          <w:rPr>
            <w:noProof/>
            <w:webHidden/>
          </w:rPr>
          <w:t>81</w:t>
        </w:r>
        <w:r>
          <w:rPr>
            <w:noProof/>
            <w:webHidden/>
          </w:rPr>
          <w:fldChar w:fldCharType="end"/>
        </w:r>
      </w:hyperlink>
    </w:p>
    <w:p w:rsidR="00CF29C8" w:rsidRDefault="00CF29C8">
      <w:pPr>
        <w:pStyle w:val="TDC2"/>
        <w:tabs>
          <w:tab w:val="left" w:pos="660"/>
          <w:tab w:val="right" w:pos="8494"/>
        </w:tabs>
        <w:rPr>
          <w:rFonts w:eastAsiaTheme="minorEastAsia" w:cstheme="minorBidi"/>
          <w:b w:val="0"/>
          <w:bCs w:val="0"/>
          <w:noProof/>
          <w:sz w:val="22"/>
          <w:lang w:val="es-MX" w:eastAsia="es-MX"/>
        </w:rPr>
      </w:pPr>
      <w:hyperlink w:anchor="_Toc526854385" w:history="1">
        <w:r w:rsidRPr="000F27C6">
          <w:rPr>
            <w:rStyle w:val="Hipervnculo"/>
            <w:rFonts w:ascii="ITC Avant Garde" w:hAnsi="ITC Avant Garde"/>
            <w:noProof/>
          </w:rPr>
          <w:t>3.3</w:t>
        </w:r>
        <w:r>
          <w:rPr>
            <w:rFonts w:eastAsiaTheme="minorEastAsia" w:cstheme="minorBidi"/>
            <w:b w:val="0"/>
            <w:bCs w:val="0"/>
            <w:noProof/>
            <w:sz w:val="22"/>
            <w:lang w:val="es-MX" w:eastAsia="es-MX"/>
          </w:rPr>
          <w:tab/>
        </w:r>
        <w:r w:rsidRPr="000F27C6">
          <w:rPr>
            <w:rStyle w:val="Hipervnculo"/>
            <w:rFonts w:ascii="ITC Avant Garde" w:hAnsi="ITC Avant Garde"/>
            <w:noProof/>
            <w:lang w:val="es-MX"/>
          </w:rPr>
          <w:t>Diseño de red</w:t>
        </w:r>
        <w:r>
          <w:rPr>
            <w:noProof/>
            <w:webHidden/>
          </w:rPr>
          <w:tab/>
        </w:r>
        <w:r>
          <w:rPr>
            <w:noProof/>
            <w:webHidden/>
          </w:rPr>
          <w:fldChar w:fldCharType="begin"/>
        </w:r>
        <w:r>
          <w:rPr>
            <w:noProof/>
            <w:webHidden/>
          </w:rPr>
          <w:instrText xml:space="preserve"> PAGEREF _Toc526854385 \h </w:instrText>
        </w:r>
        <w:r>
          <w:rPr>
            <w:noProof/>
            <w:webHidden/>
          </w:rPr>
        </w:r>
        <w:r>
          <w:rPr>
            <w:noProof/>
            <w:webHidden/>
          </w:rPr>
          <w:fldChar w:fldCharType="separate"/>
        </w:r>
        <w:r w:rsidR="0061735A">
          <w:rPr>
            <w:noProof/>
            <w:webHidden/>
          </w:rPr>
          <w:t>83</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86" w:history="1">
        <w:r w:rsidRPr="000F27C6">
          <w:rPr>
            <w:rStyle w:val="Hipervnculo"/>
            <w:rFonts w:ascii="ITC Avant Garde" w:hAnsi="ITC Avant Garde"/>
            <w:noProof/>
            <w:lang w:val="es-MX"/>
          </w:rPr>
          <w:t>3.3.1</w:t>
        </w:r>
        <w:r>
          <w:rPr>
            <w:rFonts w:eastAsiaTheme="minorEastAsia" w:cstheme="minorBidi"/>
            <w:noProof/>
            <w:sz w:val="22"/>
            <w:szCs w:val="22"/>
            <w:lang w:val="es-MX" w:eastAsia="es-MX"/>
          </w:rPr>
          <w:tab/>
        </w:r>
        <w:r w:rsidRPr="000F27C6">
          <w:rPr>
            <w:rStyle w:val="Hipervnculo"/>
            <w:rFonts w:ascii="ITC Avant Garde" w:hAnsi="ITC Avant Garde"/>
            <w:noProof/>
            <w:lang w:val="es-MX"/>
          </w:rPr>
          <w:t>Arquitecturas de cobre y fibra</w:t>
        </w:r>
        <w:r>
          <w:rPr>
            <w:noProof/>
            <w:webHidden/>
          </w:rPr>
          <w:tab/>
        </w:r>
        <w:r>
          <w:rPr>
            <w:noProof/>
            <w:webHidden/>
          </w:rPr>
          <w:fldChar w:fldCharType="begin"/>
        </w:r>
        <w:r>
          <w:rPr>
            <w:noProof/>
            <w:webHidden/>
          </w:rPr>
          <w:instrText xml:space="preserve"> PAGEREF _Toc526854386 \h </w:instrText>
        </w:r>
        <w:r>
          <w:rPr>
            <w:noProof/>
            <w:webHidden/>
          </w:rPr>
        </w:r>
        <w:r>
          <w:rPr>
            <w:noProof/>
            <w:webHidden/>
          </w:rPr>
          <w:fldChar w:fldCharType="separate"/>
        </w:r>
        <w:r w:rsidR="0061735A">
          <w:rPr>
            <w:noProof/>
            <w:webHidden/>
          </w:rPr>
          <w:t>83</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87" w:history="1">
        <w:r w:rsidRPr="000F27C6">
          <w:rPr>
            <w:rStyle w:val="Hipervnculo"/>
            <w:rFonts w:ascii="ITC Avant Garde" w:hAnsi="ITC Avant Garde"/>
            <w:noProof/>
            <w:lang w:val="es-MX"/>
          </w:rPr>
          <w:t>3.3.1.1</w:t>
        </w:r>
        <w:r>
          <w:rPr>
            <w:rFonts w:eastAsiaTheme="minorEastAsia" w:cstheme="minorBidi"/>
            <w:noProof/>
            <w:sz w:val="22"/>
            <w:szCs w:val="22"/>
            <w:lang w:val="es-MX" w:eastAsia="es-MX"/>
          </w:rPr>
          <w:tab/>
        </w:r>
        <w:r w:rsidRPr="000F27C6">
          <w:rPr>
            <w:rStyle w:val="Hipervnculo"/>
            <w:rFonts w:ascii="ITC Avant Garde" w:hAnsi="ITC Avant Garde"/>
            <w:noProof/>
            <w:lang w:val="es-MX"/>
          </w:rPr>
          <w:t>Arquitectura de cobre</w:t>
        </w:r>
        <w:r>
          <w:rPr>
            <w:noProof/>
            <w:webHidden/>
          </w:rPr>
          <w:tab/>
        </w:r>
        <w:r>
          <w:rPr>
            <w:noProof/>
            <w:webHidden/>
          </w:rPr>
          <w:fldChar w:fldCharType="begin"/>
        </w:r>
        <w:r>
          <w:rPr>
            <w:noProof/>
            <w:webHidden/>
          </w:rPr>
          <w:instrText xml:space="preserve"> PAGEREF _Toc526854387 \h </w:instrText>
        </w:r>
        <w:r>
          <w:rPr>
            <w:noProof/>
            <w:webHidden/>
          </w:rPr>
        </w:r>
        <w:r>
          <w:rPr>
            <w:noProof/>
            <w:webHidden/>
          </w:rPr>
          <w:fldChar w:fldCharType="separate"/>
        </w:r>
        <w:r w:rsidR="0061735A">
          <w:rPr>
            <w:noProof/>
            <w:webHidden/>
          </w:rPr>
          <w:t>83</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88" w:history="1">
        <w:r w:rsidRPr="000F27C6">
          <w:rPr>
            <w:rStyle w:val="Hipervnculo"/>
            <w:rFonts w:ascii="ITC Avant Garde" w:hAnsi="ITC Avant Garde"/>
            <w:noProof/>
            <w:lang w:val="es-MX"/>
          </w:rPr>
          <w:t>3.3.1.2</w:t>
        </w:r>
        <w:r>
          <w:rPr>
            <w:rFonts w:eastAsiaTheme="minorEastAsia" w:cstheme="minorBidi"/>
            <w:noProof/>
            <w:sz w:val="22"/>
            <w:szCs w:val="22"/>
            <w:lang w:val="es-MX" w:eastAsia="es-MX"/>
          </w:rPr>
          <w:tab/>
        </w:r>
        <w:r w:rsidRPr="000F27C6">
          <w:rPr>
            <w:rStyle w:val="Hipervnculo"/>
            <w:rFonts w:ascii="ITC Avant Garde" w:hAnsi="ITC Avant Garde"/>
            <w:noProof/>
            <w:lang w:val="es-MX"/>
          </w:rPr>
          <w:t>Arquitectura de fibra</w:t>
        </w:r>
        <w:r>
          <w:rPr>
            <w:noProof/>
            <w:webHidden/>
          </w:rPr>
          <w:tab/>
        </w:r>
        <w:r>
          <w:rPr>
            <w:noProof/>
            <w:webHidden/>
          </w:rPr>
          <w:fldChar w:fldCharType="begin"/>
        </w:r>
        <w:r>
          <w:rPr>
            <w:noProof/>
            <w:webHidden/>
          </w:rPr>
          <w:instrText xml:space="preserve"> PAGEREF _Toc526854388 \h </w:instrText>
        </w:r>
        <w:r>
          <w:rPr>
            <w:noProof/>
            <w:webHidden/>
          </w:rPr>
        </w:r>
        <w:r>
          <w:rPr>
            <w:noProof/>
            <w:webHidden/>
          </w:rPr>
          <w:fldChar w:fldCharType="separate"/>
        </w:r>
        <w:r w:rsidR="0061735A">
          <w:rPr>
            <w:noProof/>
            <w:webHidden/>
          </w:rPr>
          <w:t>84</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89" w:history="1">
        <w:r w:rsidRPr="000F27C6">
          <w:rPr>
            <w:rStyle w:val="Hipervnculo"/>
            <w:rFonts w:ascii="ITC Avant Garde" w:hAnsi="ITC Avant Garde"/>
            <w:noProof/>
            <w:lang w:val="es-MX"/>
          </w:rPr>
          <w:t>3.3.1.3</w:t>
        </w:r>
        <w:r>
          <w:rPr>
            <w:rFonts w:eastAsiaTheme="minorEastAsia" w:cstheme="minorBidi"/>
            <w:noProof/>
            <w:sz w:val="22"/>
            <w:szCs w:val="22"/>
            <w:lang w:val="es-MX" w:eastAsia="es-MX"/>
          </w:rPr>
          <w:tab/>
        </w:r>
        <w:r w:rsidRPr="000F27C6">
          <w:rPr>
            <w:rStyle w:val="Hipervnculo"/>
            <w:rFonts w:ascii="ITC Avant Garde" w:hAnsi="ITC Avant Garde"/>
            <w:noProof/>
            <w:lang w:val="es-MX"/>
          </w:rPr>
          <w:t>Procesamiento de geomarketing para ambas redes</w:t>
        </w:r>
        <w:r>
          <w:rPr>
            <w:noProof/>
            <w:webHidden/>
          </w:rPr>
          <w:tab/>
        </w:r>
        <w:r>
          <w:rPr>
            <w:noProof/>
            <w:webHidden/>
          </w:rPr>
          <w:fldChar w:fldCharType="begin"/>
        </w:r>
        <w:r>
          <w:rPr>
            <w:noProof/>
            <w:webHidden/>
          </w:rPr>
          <w:instrText xml:space="preserve"> PAGEREF _Toc526854389 \h </w:instrText>
        </w:r>
        <w:r>
          <w:rPr>
            <w:noProof/>
            <w:webHidden/>
          </w:rPr>
        </w:r>
        <w:r>
          <w:rPr>
            <w:noProof/>
            <w:webHidden/>
          </w:rPr>
          <w:fldChar w:fldCharType="separate"/>
        </w:r>
        <w:r w:rsidR="0061735A">
          <w:rPr>
            <w:noProof/>
            <w:webHidden/>
          </w:rPr>
          <w:t>85</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390" w:history="1">
        <w:r w:rsidRPr="000F27C6">
          <w:rPr>
            <w:rStyle w:val="Hipervnculo"/>
            <w:rFonts w:ascii="ITC Avant Garde" w:hAnsi="ITC Avant Garde"/>
            <w:noProof/>
            <w:lang w:val="es-MX"/>
          </w:rPr>
          <w:t>3.3.2</w:t>
        </w:r>
        <w:r>
          <w:rPr>
            <w:rFonts w:eastAsiaTheme="minorEastAsia" w:cstheme="minorBidi"/>
            <w:noProof/>
            <w:sz w:val="22"/>
            <w:szCs w:val="22"/>
            <w:lang w:val="es-MX" w:eastAsia="es-MX"/>
          </w:rPr>
          <w:tab/>
        </w:r>
        <w:r w:rsidRPr="000F27C6">
          <w:rPr>
            <w:rStyle w:val="Hipervnculo"/>
            <w:rFonts w:ascii="ITC Avant Garde" w:hAnsi="ITC Avant Garde"/>
            <w:noProof/>
            <w:lang w:val="es-MX"/>
          </w:rPr>
          <w:t>Despliegue de la red de cobre</w:t>
        </w:r>
        <w:r>
          <w:rPr>
            <w:noProof/>
            <w:webHidden/>
          </w:rPr>
          <w:tab/>
        </w:r>
        <w:r>
          <w:rPr>
            <w:noProof/>
            <w:webHidden/>
          </w:rPr>
          <w:fldChar w:fldCharType="begin"/>
        </w:r>
        <w:r>
          <w:rPr>
            <w:noProof/>
            <w:webHidden/>
          </w:rPr>
          <w:instrText xml:space="preserve"> PAGEREF _Toc526854390 \h </w:instrText>
        </w:r>
        <w:r>
          <w:rPr>
            <w:noProof/>
            <w:webHidden/>
          </w:rPr>
        </w:r>
        <w:r>
          <w:rPr>
            <w:noProof/>
            <w:webHidden/>
          </w:rPr>
          <w:fldChar w:fldCharType="separate"/>
        </w:r>
        <w:r w:rsidR="0061735A">
          <w:rPr>
            <w:noProof/>
            <w:webHidden/>
          </w:rPr>
          <w:t>90</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91" w:history="1">
        <w:r w:rsidRPr="000F27C6">
          <w:rPr>
            <w:rStyle w:val="Hipervnculo"/>
            <w:rFonts w:ascii="ITC Avant Garde" w:hAnsi="ITC Avant Garde"/>
            <w:noProof/>
            <w:lang w:val="es-MX"/>
          </w:rPr>
          <w:t>3.3.2.1</w:t>
        </w:r>
        <w:r>
          <w:rPr>
            <w:rFonts w:eastAsiaTheme="minorEastAsia" w:cstheme="minorBidi"/>
            <w:noProof/>
            <w:sz w:val="22"/>
            <w:szCs w:val="22"/>
            <w:lang w:val="es-MX" w:eastAsia="es-MX"/>
          </w:rPr>
          <w:tab/>
        </w:r>
        <w:r w:rsidRPr="000F27C6">
          <w:rPr>
            <w:rStyle w:val="Hipervnculo"/>
            <w:rFonts w:ascii="ITC Avant Garde" w:hAnsi="ITC Avant Garde"/>
            <w:noProof/>
            <w:lang w:val="es-MX"/>
          </w:rPr>
          <w:t>Diferentes partes de la red modeladas</w:t>
        </w:r>
        <w:r>
          <w:rPr>
            <w:noProof/>
            <w:webHidden/>
          </w:rPr>
          <w:tab/>
        </w:r>
        <w:r>
          <w:rPr>
            <w:noProof/>
            <w:webHidden/>
          </w:rPr>
          <w:fldChar w:fldCharType="begin"/>
        </w:r>
        <w:r>
          <w:rPr>
            <w:noProof/>
            <w:webHidden/>
          </w:rPr>
          <w:instrText xml:space="preserve"> PAGEREF _Toc526854391 \h </w:instrText>
        </w:r>
        <w:r>
          <w:rPr>
            <w:noProof/>
            <w:webHidden/>
          </w:rPr>
        </w:r>
        <w:r>
          <w:rPr>
            <w:noProof/>
            <w:webHidden/>
          </w:rPr>
          <w:fldChar w:fldCharType="separate"/>
        </w:r>
        <w:r w:rsidR="0061735A">
          <w:rPr>
            <w:noProof/>
            <w:webHidden/>
          </w:rPr>
          <w:t>90</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92" w:history="1">
        <w:r w:rsidRPr="000F27C6">
          <w:rPr>
            <w:rStyle w:val="Hipervnculo"/>
            <w:rFonts w:ascii="ITC Avant Garde" w:hAnsi="ITC Avant Garde"/>
            <w:noProof/>
            <w:lang w:val="es-MX"/>
          </w:rPr>
          <w:t>3.3.2.2</w:t>
        </w:r>
        <w:r>
          <w:rPr>
            <w:rFonts w:eastAsiaTheme="minorEastAsia" w:cstheme="minorBidi"/>
            <w:noProof/>
            <w:sz w:val="22"/>
            <w:szCs w:val="22"/>
            <w:lang w:val="es-MX" w:eastAsia="es-MX"/>
          </w:rPr>
          <w:tab/>
        </w:r>
        <w:r w:rsidRPr="000F27C6">
          <w:rPr>
            <w:rStyle w:val="Hipervnculo"/>
            <w:rFonts w:ascii="ITC Avant Garde" w:hAnsi="ITC Avant Garde"/>
            <w:noProof/>
            <w:lang w:val="es-MX"/>
          </w:rPr>
          <w:t>Cables de red de cobre</w:t>
        </w:r>
        <w:r>
          <w:rPr>
            <w:noProof/>
            <w:webHidden/>
          </w:rPr>
          <w:tab/>
        </w:r>
        <w:r>
          <w:rPr>
            <w:noProof/>
            <w:webHidden/>
          </w:rPr>
          <w:fldChar w:fldCharType="begin"/>
        </w:r>
        <w:r>
          <w:rPr>
            <w:noProof/>
            <w:webHidden/>
          </w:rPr>
          <w:instrText xml:space="preserve"> PAGEREF _Toc526854392 \h </w:instrText>
        </w:r>
        <w:r>
          <w:rPr>
            <w:noProof/>
            <w:webHidden/>
          </w:rPr>
        </w:r>
        <w:r>
          <w:rPr>
            <w:noProof/>
            <w:webHidden/>
          </w:rPr>
          <w:fldChar w:fldCharType="separate"/>
        </w:r>
        <w:r w:rsidR="0061735A">
          <w:rPr>
            <w:noProof/>
            <w:webHidden/>
          </w:rPr>
          <w:t>90</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93" w:history="1">
        <w:r w:rsidRPr="000F27C6">
          <w:rPr>
            <w:rStyle w:val="Hipervnculo"/>
            <w:rFonts w:ascii="ITC Avant Garde" w:hAnsi="ITC Avant Garde"/>
            <w:noProof/>
            <w:lang w:val="es-MX"/>
          </w:rPr>
          <w:t>3.3.2.3</w:t>
        </w:r>
        <w:r>
          <w:rPr>
            <w:rFonts w:eastAsiaTheme="minorEastAsia" w:cstheme="minorBidi"/>
            <w:noProof/>
            <w:sz w:val="22"/>
            <w:szCs w:val="22"/>
            <w:lang w:val="es-MX" w:eastAsia="es-MX"/>
          </w:rPr>
          <w:tab/>
        </w:r>
        <w:r w:rsidRPr="000F27C6">
          <w:rPr>
            <w:rStyle w:val="Hipervnculo"/>
            <w:rFonts w:ascii="ITC Avant Garde" w:hAnsi="ITC Avant Garde"/>
            <w:noProof/>
            <w:lang w:val="es-MX"/>
          </w:rPr>
          <w:t>Acometida</w:t>
        </w:r>
        <w:r>
          <w:rPr>
            <w:noProof/>
            <w:webHidden/>
          </w:rPr>
          <w:tab/>
        </w:r>
        <w:r>
          <w:rPr>
            <w:noProof/>
            <w:webHidden/>
          </w:rPr>
          <w:fldChar w:fldCharType="begin"/>
        </w:r>
        <w:r>
          <w:rPr>
            <w:noProof/>
            <w:webHidden/>
          </w:rPr>
          <w:instrText xml:space="preserve"> PAGEREF _Toc526854393 \h </w:instrText>
        </w:r>
        <w:r>
          <w:rPr>
            <w:noProof/>
            <w:webHidden/>
          </w:rPr>
        </w:r>
        <w:r>
          <w:rPr>
            <w:noProof/>
            <w:webHidden/>
          </w:rPr>
          <w:fldChar w:fldCharType="separate"/>
        </w:r>
        <w:r w:rsidR="0061735A">
          <w:rPr>
            <w:noProof/>
            <w:webHidden/>
          </w:rPr>
          <w:t>91</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94" w:history="1">
        <w:r w:rsidRPr="000F27C6">
          <w:rPr>
            <w:rStyle w:val="Hipervnculo"/>
            <w:rFonts w:ascii="ITC Avant Garde" w:hAnsi="ITC Avant Garde"/>
            <w:noProof/>
            <w:lang w:val="es-MX"/>
          </w:rPr>
          <w:t>3.3.2.4</w:t>
        </w:r>
        <w:r>
          <w:rPr>
            <w:rFonts w:eastAsiaTheme="minorEastAsia" w:cstheme="minorBidi"/>
            <w:noProof/>
            <w:sz w:val="22"/>
            <w:szCs w:val="22"/>
            <w:lang w:val="es-MX" w:eastAsia="es-MX"/>
          </w:rPr>
          <w:tab/>
        </w:r>
        <w:r w:rsidRPr="000F27C6">
          <w:rPr>
            <w:rStyle w:val="Hipervnculo"/>
            <w:rFonts w:ascii="ITC Avant Garde" w:hAnsi="ITC Avant Garde"/>
            <w:noProof/>
            <w:lang w:val="es-MX"/>
          </w:rPr>
          <w:t>Parte del SDP: "Red Secundaria"</w:t>
        </w:r>
        <w:r>
          <w:rPr>
            <w:noProof/>
            <w:webHidden/>
          </w:rPr>
          <w:tab/>
        </w:r>
        <w:r>
          <w:rPr>
            <w:noProof/>
            <w:webHidden/>
          </w:rPr>
          <w:fldChar w:fldCharType="begin"/>
        </w:r>
        <w:r>
          <w:rPr>
            <w:noProof/>
            <w:webHidden/>
          </w:rPr>
          <w:instrText xml:space="preserve"> PAGEREF _Toc526854394 \h </w:instrText>
        </w:r>
        <w:r>
          <w:rPr>
            <w:noProof/>
            <w:webHidden/>
          </w:rPr>
        </w:r>
        <w:r>
          <w:rPr>
            <w:noProof/>
            <w:webHidden/>
          </w:rPr>
          <w:fldChar w:fldCharType="separate"/>
        </w:r>
        <w:r w:rsidR="0061735A">
          <w:rPr>
            <w:noProof/>
            <w:webHidden/>
          </w:rPr>
          <w:t>92</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95" w:history="1">
        <w:r w:rsidRPr="000F27C6">
          <w:rPr>
            <w:rStyle w:val="Hipervnculo"/>
            <w:rFonts w:ascii="ITC Avant Garde" w:hAnsi="ITC Avant Garde"/>
            <w:noProof/>
            <w:lang w:val="es-MX"/>
          </w:rPr>
          <w:t>3.3.2.5</w:t>
        </w:r>
        <w:r>
          <w:rPr>
            <w:rFonts w:eastAsiaTheme="minorEastAsia" w:cstheme="minorBidi"/>
            <w:noProof/>
            <w:sz w:val="22"/>
            <w:szCs w:val="22"/>
            <w:lang w:val="es-MX" w:eastAsia="es-MX"/>
          </w:rPr>
          <w:tab/>
        </w:r>
        <w:r w:rsidRPr="000F27C6">
          <w:rPr>
            <w:rStyle w:val="Hipervnculo"/>
            <w:rFonts w:ascii="ITC Avant Garde" w:hAnsi="ITC Avant Garde"/>
            <w:noProof/>
            <w:lang w:val="es-MX"/>
          </w:rPr>
          <w:t>parte PDP: "Red Primaria"</w:t>
        </w:r>
        <w:r>
          <w:rPr>
            <w:noProof/>
            <w:webHidden/>
          </w:rPr>
          <w:tab/>
        </w:r>
        <w:r>
          <w:rPr>
            <w:noProof/>
            <w:webHidden/>
          </w:rPr>
          <w:fldChar w:fldCharType="begin"/>
        </w:r>
        <w:r>
          <w:rPr>
            <w:noProof/>
            <w:webHidden/>
          </w:rPr>
          <w:instrText xml:space="preserve"> PAGEREF _Toc526854395 \h </w:instrText>
        </w:r>
        <w:r>
          <w:rPr>
            <w:noProof/>
            <w:webHidden/>
          </w:rPr>
        </w:r>
        <w:r>
          <w:rPr>
            <w:noProof/>
            <w:webHidden/>
          </w:rPr>
          <w:fldChar w:fldCharType="separate"/>
        </w:r>
        <w:r w:rsidR="0061735A">
          <w:rPr>
            <w:noProof/>
            <w:webHidden/>
          </w:rPr>
          <w:t>94</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96" w:history="1">
        <w:r w:rsidRPr="000F27C6">
          <w:rPr>
            <w:rStyle w:val="Hipervnculo"/>
            <w:rFonts w:ascii="ITC Avant Garde" w:hAnsi="ITC Avant Garde"/>
            <w:noProof/>
            <w:lang w:val="es-MX"/>
          </w:rPr>
          <w:t>3.3.2.6</w:t>
        </w:r>
        <w:r>
          <w:rPr>
            <w:rFonts w:eastAsiaTheme="minorEastAsia" w:cstheme="minorBidi"/>
            <w:noProof/>
            <w:sz w:val="22"/>
            <w:szCs w:val="22"/>
            <w:lang w:val="es-MX" w:eastAsia="es-MX"/>
          </w:rPr>
          <w:tab/>
        </w:r>
        <w:r w:rsidRPr="000F27C6">
          <w:rPr>
            <w:rStyle w:val="Hipervnculo"/>
            <w:rFonts w:ascii="ITC Avant Garde" w:hAnsi="ITC Avant Garde"/>
            <w:noProof/>
            <w:lang w:val="es-MX"/>
          </w:rPr>
          <w:t>Zanjas / "canalizaciones"</w:t>
        </w:r>
        <w:r>
          <w:rPr>
            <w:noProof/>
            <w:webHidden/>
          </w:rPr>
          <w:tab/>
        </w:r>
        <w:r>
          <w:rPr>
            <w:noProof/>
            <w:webHidden/>
          </w:rPr>
          <w:fldChar w:fldCharType="begin"/>
        </w:r>
        <w:r>
          <w:rPr>
            <w:noProof/>
            <w:webHidden/>
          </w:rPr>
          <w:instrText xml:space="preserve"> PAGEREF _Toc526854396 \h </w:instrText>
        </w:r>
        <w:r>
          <w:rPr>
            <w:noProof/>
            <w:webHidden/>
          </w:rPr>
        </w:r>
        <w:r>
          <w:rPr>
            <w:noProof/>
            <w:webHidden/>
          </w:rPr>
          <w:fldChar w:fldCharType="separate"/>
        </w:r>
        <w:r w:rsidR="0061735A">
          <w:rPr>
            <w:noProof/>
            <w:webHidden/>
          </w:rPr>
          <w:t>94</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97" w:history="1">
        <w:r w:rsidRPr="000F27C6">
          <w:rPr>
            <w:rStyle w:val="Hipervnculo"/>
            <w:rFonts w:ascii="ITC Avant Garde" w:hAnsi="ITC Avant Garde"/>
            <w:noProof/>
            <w:lang w:val="es-MX"/>
          </w:rPr>
          <w:t>3.3.2.7</w:t>
        </w:r>
        <w:r>
          <w:rPr>
            <w:rFonts w:eastAsiaTheme="minorEastAsia" w:cstheme="minorBidi"/>
            <w:noProof/>
            <w:sz w:val="22"/>
            <w:szCs w:val="22"/>
            <w:lang w:val="es-MX" w:eastAsia="es-MX"/>
          </w:rPr>
          <w:tab/>
        </w:r>
        <w:r w:rsidRPr="000F27C6">
          <w:rPr>
            <w:rStyle w:val="Hipervnculo"/>
            <w:rFonts w:ascii="ITC Avant Garde" w:hAnsi="ITC Avant Garde"/>
            <w:noProof/>
            <w:lang w:val="es-MX"/>
          </w:rPr>
          <w:t>Cierres de empalme</w:t>
        </w:r>
        <w:r>
          <w:rPr>
            <w:noProof/>
            <w:webHidden/>
          </w:rPr>
          <w:tab/>
        </w:r>
        <w:r>
          <w:rPr>
            <w:noProof/>
            <w:webHidden/>
          </w:rPr>
          <w:fldChar w:fldCharType="begin"/>
        </w:r>
        <w:r>
          <w:rPr>
            <w:noProof/>
            <w:webHidden/>
          </w:rPr>
          <w:instrText xml:space="preserve"> PAGEREF _Toc526854397 \h </w:instrText>
        </w:r>
        <w:r>
          <w:rPr>
            <w:noProof/>
            <w:webHidden/>
          </w:rPr>
        </w:r>
        <w:r>
          <w:rPr>
            <w:noProof/>
            <w:webHidden/>
          </w:rPr>
          <w:fldChar w:fldCharType="separate"/>
        </w:r>
        <w:r w:rsidR="0061735A">
          <w:rPr>
            <w:noProof/>
            <w:webHidden/>
          </w:rPr>
          <w:t>96</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98" w:history="1">
        <w:r w:rsidRPr="000F27C6">
          <w:rPr>
            <w:rStyle w:val="Hipervnculo"/>
            <w:rFonts w:ascii="ITC Avant Garde" w:hAnsi="ITC Avant Garde"/>
            <w:noProof/>
            <w:lang w:val="es-MX"/>
          </w:rPr>
          <w:t>3.3.2.8</w:t>
        </w:r>
        <w:r>
          <w:rPr>
            <w:rFonts w:eastAsiaTheme="minorEastAsia" w:cstheme="minorBidi"/>
            <w:noProof/>
            <w:sz w:val="22"/>
            <w:szCs w:val="22"/>
            <w:lang w:val="es-MX" w:eastAsia="es-MX"/>
          </w:rPr>
          <w:tab/>
        </w:r>
        <w:r w:rsidRPr="000F27C6">
          <w:rPr>
            <w:rStyle w:val="Hipervnculo"/>
            <w:rFonts w:ascii="ITC Avant Garde" w:hAnsi="ITC Avant Garde"/>
            <w:noProof/>
            <w:lang w:val="es-MX"/>
          </w:rPr>
          <w:t>Bocas de alcantarillas (Pozos)</w:t>
        </w:r>
        <w:r>
          <w:rPr>
            <w:noProof/>
            <w:webHidden/>
          </w:rPr>
          <w:tab/>
        </w:r>
        <w:r>
          <w:rPr>
            <w:noProof/>
            <w:webHidden/>
          </w:rPr>
          <w:fldChar w:fldCharType="begin"/>
        </w:r>
        <w:r>
          <w:rPr>
            <w:noProof/>
            <w:webHidden/>
          </w:rPr>
          <w:instrText xml:space="preserve"> PAGEREF _Toc526854398 \h </w:instrText>
        </w:r>
        <w:r>
          <w:rPr>
            <w:noProof/>
            <w:webHidden/>
          </w:rPr>
        </w:r>
        <w:r>
          <w:rPr>
            <w:noProof/>
            <w:webHidden/>
          </w:rPr>
          <w:fldChar w:fldCharType="separate"/>
        </w:r>
        <w:r w:rsidR="0061735A">
          <w:rPr>
            <w:noProof/>
            <w:webHidden/>
          </w:rPr>
          <w:t>98</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399" w:history="1">
        <w:r w:rsidRPr="000F27C6">
          <w:rPr>
            <w:rStyle w:val="Hipervnculo"/>
            <w:rFonts w:ascii="ITC Avant Garde" w:hAnsi="ITC Avant Garde"/>
            <w:noProof/>
            <w:lang w:val="es-MX"/>
          </w:rPr>
          <w:t>3.3.2.9</w:t>
        </w:r>
        <w:r>
          <w:rPr>
            <w:rFonts w:eastAsiaTheme="minorEastAsia" w:cstheme="minorBidi"/>
            <w:noProof/>
            <w:sz w:val="22"/>
            <w:szCs w:val="22"/>
            <w:lang w:val="es-MX" w:eastAsia="es-MX"/>
          </w:rPr>
          <w:tab/>
        </w:r>
        <w:r w:rsidRPr="000F27C6">
          <w:rPr>
            <w:rStyle w:val="Hipervnculo"/>
            <w:rFonts w:ascii="ITC Avant Garde" w:hAnsi="ITC Avant Garde"/>
            <w:noProof/>
            <w:lang w:val="es-MX"/>
          </w:rPr>
          <w:t>Postes</w:t>
        </w:r>
        <w:r>
          <w:rPr>
            <w:noProof/>
            <w:webHidden/>
          </w:rPr>
          <w:tab/>
        </w:r>
        <w:r>
          <w:rPr>
            <w:noProof/>
            <w:webHidden/>
          </w:rPr>
          <w:fldChar w:fldCharType="begin"/>
        </w:r>
        <w:r>
          <w:rPr>
            <w:noProof/>
            <w:webHidden/>
          </w:rPr>
          <w:instrText xml:space="preserve"> PAGEREF _Toc526854399 \h </w:instrText>
        </w:r>
        <w:r>
          <w:rPr>
            <w:noProof/>
            <w:webHidden/>
          </w:rPr>
        </w:r>
        <w:r>
          <w:rPr>
            <w:noProof/>
            <w:webHidden/>
          </w:rPr>
          <w:fldChar w:fldCharType="separate"/>
        </w:r>
        <w:r w:rsidR="0061735A">
          <w:rPr>
            <w:noProof/>
            <w:webHidden/>
          </w:rPr>
          <w:t>98</w:t>
        </w:r>
        <w:r>
          <w:rPr>
            <w:noProof/>
            <w:webHidden/>
          </w:rPr>
          <w:fldChar w:fldCharType="end"/>
        </w:r>
      </w:hyperlink>
    </w:p>
    <w:p w:rsidR="00CF29C8" w:rsidRDefault="00CF29C8">
      <w:pPr>
        <w:pStyle w:val="TDC4"/>
        <w:tabs>
          <w:tab w:val="left" w:pos="1760"/>
          <w:tab w:val="right" w:pos="8494"/>
        </w:tabs>
        <w:rPr>
          <w:rFonts w:eastAsiaTheme="minorEastAsia" w:cstheme="minorBidi"/>
          <w:noProof/>
          <w:sz w:val="22"/>
          <w:szCs w:val="22"/>
          <w:lang w:val="es-MX" w:eastAsia="es-MX"/>
        </w:rPr>
      </w:pPr>
      <w:hyperlink w:anchor="_Toc526854400" w:history="1">
        <w:r w:rsidRPr="000F27C6">
          <w:rPr>
            <w:rStyle w:val="Hipervnculo"/>
            <w:rFonts w:ascii="ITC Avant Garde" w:hAnsi="ITC Avant Garde"/>
            <w:noProof/>
            <w:lang w:val="es-MX"/>
          </w:rPr>
          <w:t>3.3.2.10</w:t>
        </w:r>
        <w:r>
          <w:rPr>
            <w:rFonts w:eastAsiaTheme="minorEastAsia" w:cstheme="minorBidi"/>
            <w:noProof/>
            <w:sz w:val="22"/>
            <w:szCs w:val="22"/>
            <w:lang w:val="es-MX" w:eastAsia="es-MX"/>
          </w:rPr>
          <w:tab/>
        </w:r>
        <w:r w:rsidRPr="000F27C6">
          <w:rPr>
            <w:rStyle w:val="Hipervnculo"/>
            <w:rFonts w:ascii="ITC Avant Garde" w:hAnsi="ITC Avant Garde"/>
            <w:noProof/>
            <w:lang w:val="es-MX"/>
          </w:rPr>
          <w:t>Cálculo de longitud de zanjas / "canalizaciones"</w:t>
        </w:r>
        <w:r>
          <w:rPr>
            <w:noProof/>
            <w:webHidden/>
          </w:rPr>
          <w:tab/>
        </w:r>
        <w:r>
          <w:rPr>
            <w:noProof/>
            <w:webHidden/>
          </w:rPr>
          <w:fldChar w:fldCharType="begin"/>
        </w:r>
        <w:r>
          <w:rPr>
            <w:noProof/>
            <w:webHidden/>
          </w:rPr>
          <w:instrText xml:space="preserve"> PAGEREF _Toc526854400 \h </w:instrText>
        </w:r>
        <w:r>
          <w:rPr>
            <w:noProof/>
            <w:webHidden/>
          </w:rPr>
        </w:r>
        <w:r>
          <w:rPr>
            <w:noProof/>
            <w:webHidden/>
          </w:rPr>
          <w:fldChar w:fldCharType="separate"/>
        </w:r>
        <w:r w:rsidR="0061735A">
          <w:rPr>
            <w:noProof/>
            <w:webHidden/>
          </w:rPr>
          <w:t>99</w:t>
        </w:r>
        <w:r>
          <w:rPr>
            <w:noProof/>
            <w:webHidden/>
          </w:rPr>
          <w:fldChar w:fldCharType="end"/>
        </w:r>
      </w:hyperlink>
    </w:p>
    <w:p w:rsidR="00CF29C8" w:rsidRDefault="00CF29C8">
      <w:pPr>
        <w:pStyle w:val="TDC4"/>
        <w:tabs>
          <w:tab w:val="left" w:pos="1760"/>
          <w:tab w:val="right" w:pos="8494"/>
        </w:tabs>
        <w:rPr>
          <w:rFonts w:eastAsiaTheme="minorEastAsia" w:cstheme="minorBidi"/>
          <w:noProof/>
          <w:sz w:val="22"/>
          <w:szCs w:val="22"/>
          <w:lang w:val="es-MX" w:eastAsia="es-MX"/>
        </w:rPr>
      </w:pPr>
      <w:hyperlink w:anchor="_Toc526854401" w:history="1">
        <w:r w:rsidRPr="000F27C6">
          <w:rPr>
            <w:rStyle w:val="Hipervnculo"/>
            <w:rFonts w:ascii="ITC Avant Garde" w:hAnsi="ITC Avant Garde"/>
            <w:noProof/>
            <w:lang w:val="es-MX"/>
          </w:rPr>
          <w:t>3.3.2.11</w:t>
        </w:r>
        <w:r>
          <w:rPr>
            <w:rFonts w:eastAsiaTheme="minorEastAsia" w:cstheme="minorBidi"/>
            <w:noProof/>
            <w:sz w:val="22"/>
            <w:szCs w:val="22"/>
            <w:lang w:val="es-MX" w:eastAsia="es-MX"/>
          </w:rPr>
          <w:tab/>
        </w:r>
        <w:r w:rsidRPr="000F27C6">
          <w:rPr>
            <w:rStyle w:val="Hipervnculo"/>
            <w:rFonts w:ascii="ITC Avant Garde" w:hAnsi="ITC Avant Garde"/>
            <w:noProof/>
            <w:lang w:val="es-MX"/>
          </w:rPr>
          <w:t>Asignación de longitud de zanja</w:t>
        </w:r>
        <w:r>
          <w:rPr>
            <w:noProof/>
            <w:webHidden/>
          </w:rPr>
          <w:tab/>
        </w:r>
        <w:r>
          <w:rPr>
            <w:noProof/>
            <w:webHidden/>
          </w:rPr>
          <w:fldChar w:fldCharType="begin"/>
        </w:r>
        <w:r>
          <w:rPr>
            <w:noProof/>
            <w:webHidden/>
          </w:rPr>
          <w:instrText xml:space="preserve"> PAGEREF _Toc526854401 \h </w:instrText>
        </w:r>
        <w:r>
          <w:rPr>
            <w:noProof/>
            <w:webHidden/>
          </w:rPr>
        </w:r>
        <w:r>
          <w:rPr>
            <w:noProof/>
            <w:webHidden/>
          </w:rPr>
          <w:fldChar w:fldCharType="separate"/>
        </w:r>
        <w:r w:rsidR="0061735A">
          <w:rPr>
            <w:noProof/>
            <w:webHidden/>
          </w:rPr>
          <w:t>101</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402" w:history="1">
        <w:r w:rsidRPr="000F27C6">
          <w:rPr>
            <w:rStyle w:val="Hipervnculo"/>
            <w:rFonts w:ascii="ITC Avant Garde" w:hAnsi="ITC Avant Garde"/>
            <w:noProof/>
            <w:lang w:val="es-MX"/>
          </w:rPr>
          <w:t>3.3.3</w:t>
        </w:r>
        <w:r>
          <w:rPr>
            <w:rFonts w:eastAsiaTheme="minorEastAsia" w:cstheme="minorBidi"/>
            <w:noProof/>
            <w:sz w:val="22"/>
            <w:szCs w:val="22"/>
            <w:lang w:val="es-MX" w:eastAsia="es-MX"/>
          </w:rPr>
          <w:tab/>
        </w:r>
        <w:r w:rsidRPr="000F27C6">
          <w:rPr>
            <w:rStyle w:val="Hipervnculo"/>
            <w:rFonts w:ascii="ITC Avant Garde" w:hAnsi="ITC Avant Garde"/>
            <w:noProof/>
            <w:lang w:val="es-MX"/>
          </w:rPr>
          <w:t>Despliegue de la red de fibra</w:t>
        </w:r>
        <w:r>
          <w:rPr>
            <w:noProof/>
            <w:webHidden/>
          </w:rPr>
          <w:tab/>
        </w:r>
        <w:r>
          <w:rPr>
            <w:noProof/>
            <w:webHidden/>
          </w:rPr>
          <w:fldChar w:fldCharType="begin"/>
        </w:r>
        <w:r>
          <w:rPr>
            <w:noProof/>
            <w:webHidden/>
          </w:rPr>
          <w:instrText xml:space="preserve"> PAGEREF _Toc526854402 \h </w:instrText>
        </w:r>
        <w:r>
          <w:rPr>
            <w:noProof/>
            <w:webHidden/>
          </w:rPr>
        </w:r>
        <w:r>
          <w:rPr>
            <w:noProof/>
            <w:webHidden/>
          </w:rPr>
          <w:fldChar w:fldCharType="separate"/>
        </w:r>
        <w:r w:rsidR="0061735A">
          <w:rPr>
            <w:noProof/>
            <w:webHidden/>
          </w:rPr>
          <w:t>103</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403" w:history="1">
        <w:r w:rsidRPr="000F27C6">
          <w:rPr>
            <w:rStyle w:val="Hipervnculo"/>
            <w:rFonts w:ascii="ITC Avant Garde" w:hAnsi="ITC Avant Garde"/>
            <w:noProof/>
            <w:lang w:val="es-MX"/>
          </w:rPr>
          <w:t>3.3.3.1</w:t>
        </w:r>
        <w:r>
          <w:rPr>
            <w:rFonts w:eastAsiaTheme="minorEastAsia" w:cstheme="minorBidi"/>
            <w:noProof/>
            <w:sz w:val="22"/>
            <w:szCs w:val="22"/>
            <w:lang w:val="es-MX" w:eastAsia="es-MX"/>
          </w:rPr>
          <w:tab/>
        </w:r>
        <w:r w:rsidRPr="000F27C6">
          <w:rPr>
            <w:rStyle w:val="Hipervnculo"/>
            <w:rFonts w:ascii="ITC Avant Garde" w:hAnsi="ITC Avant Garde"/>
            <w:noProof/>
            <w:lang w:val="es-MX"/>
          </w:rPr>
          <w:t>Subductos</w:t>
        </w:r>
        <w:r>
          <w:rPr>
            <w:noProof/>
            <w:webHidden/>
          </w:rPr>
          <w:tab/>
        </w:r>
        <w:r>
          <w:rPr>
            <w:noProof/>
            <w:webHidden/>
          </w:rPr>
          <w:fldChar w:fldCharType="begin"/>
        </w:r>
        <w:r>
          <w:rPr>
            <w:noProof/>
            <w:webHidden/>
          </w:rPr>
          <w:instrText xml:space="preserve"> PAGEREF _Toc526854403 \h </w:instrText>
        </w:r>
        <w:r>
          <w:rPr>
            <w:noProof/>
            <w:webHidden/>
          </w:rPr>
        </w:r>
        <w:r>
          <w:rPr>
            <w:noProof/>
            <w:webHidden/>
          </w:rPr>
          <w:fldChar w:fldCharType="separate"/>
        </w:r>
        <w:r w:rsidR="0061735A">
          <w:rPr>
            <w:noProof/>
            <w:webHidden/>
          </w:rPr>
          <w:t>103</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404" w:history="1">
        <w:r w:rsidRPr="000F27C6">
          <w:rPr>
            <w:rStyle w:val="Hipervnculo"/>
            <w:rFonts w:ascii="ITC Avant Garde" w:hAnsi="ITC Avant Garde"/>
            <w:noProof/>
            <w:lang w:val="es-MX"/>
          </w:rPr>
          <w:t>3.3.3.2</w:t>
        </w:r>
        <w:r>
          <w:rPr>
            <w:rFonts w:eastAsiaTheme="minorEastAsia" w:cstheme="minorBidi"/>
            <w:noProof/>
            <w:sz w:val="22"/>
            <w:szCs w:val="22"/>
            <w:lang w:val="es-MX" w:eastAsia="es-MX"/>
          </w:rPr>
          <w:tab/>
        </w:r>
        <w:r w:rsidRPr="000F27C6">
          <w:rPr>
            <w:rStyle w:val="Hipervnculo"/>
            <w:rFonts w:ascii="ITC Avant Garde" w:hAnsi="ITC Avant Garde"/>
            <w:noProof/>
            <w:lang w:val="es-MX"/>
          </w:rPr>
          <w:t>Cierre de empalme</w:t>
        </w:r>
        <w:r>
          <w:rPr>
            <w:noProof/>
            <w:webHidden/>
          </w:rPr>
          <w:tab/>
        </w:r>
        <w:r>
          <w:rPr>
            <w:noProof/>
            <w:webHidden/>
          </w:rPr>
          <w:fldChar w:fldCharType="begin"/>
        </w:r>
        <w:r>
          <w:rPr>
            <w:noProof/>
            <w:webHidden/>
          </w:rPr>
          <w:instrText xml:space="preserve"> PAGEREF _Toc526854404 \h </w:instrText>
        </w:r>
        <w:r>
          <w:rPr>
            <w:noProof/>
            <w:webHidden/>
          </w:rPr>
        </w:r>
        <w:r>
          <w:rPr>
            <w:noProof/>
            <w:webHidden/>
          </w:rPr>
          <w:fldChar w:fldCharType="separate"/>
        </w:r>
        <w:r w:rsidR="0061735A">
          <w:rPr>
            <w:noProof/>
            <w:webHidden/>
          </w:rPr>
          <w:t>103</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405" w:history="1">
        <w:r w:rsidRPr="000F27C6">
          <w:rPr>
            <w:rStyle w:val="Hipervnculo"/>
            <w:rFonts w:ascii="ITC Avant Garde" w:hAnsi="ITC Avant Garde"/>
            <w:noProof/>
            <w:lang w:val="es-MX"/>
          </w:rPr>
          <w:t>3.3.3.3</w:t>
        </w:r>
        <w:r>
          <w:rPr>
            <w:rFonts w:eastAsiaTheme="minorEastAsia" w:cstheme="minorBidi"/>
            <w:noProof/>
            <w:sz w:val="22"/>
            <w:szCs w:val="22"/>
            <w:lang w:val="es-MX" w:eastAsia="es-MX"/>
          </w:rPr>
          <w:tab/>
        </w:r>
        <w:r w:rsidRPr="000F27C6">
          <w:rPr>
            <w:rStyle w:val="Hipervnculo"/>
            <w:rFonts w:ascii="ITC Avant Garde" w:hAnsi="ITC Avant Garde"/>
            <w:noProof/>
            <w:lang w:val="es-MX"/>
          </w:rPr>
          <w:t>Cálculo de la longitud de zanjas / "canalizaciones"</w:t>
        </w:r>
        <w:r>
          <w:rPr>
            <w:noProof/>
            <w:webHidden/>
          </w:rPr>
          <w:tab/>
        </w:r>
        <w:r>
          <w:rPr>
            <w:noProof/>
            <w:webHidden/>
          </w:rPr>
          <w:fldChar w:fldCharType="begin"/>
        </w:r>
        <w:r>
          <w:rPr>
            <w:noProof/>
            <w:webHidden/>
          </w:rPr>
          <w:instrText xml:space="preserve"> PAGEREF _Toc526854405 \h </w:instrText>
        </w:r>
        <w:r>
          <w:rPr>
            <w:noProof/>
            <w:webHidden/>
          </w:rPr>
        </w:r>
        <w:r>
          <w:rPr>
            <w:noProof/>
            <w:webHidden/>
          </w:rPr>
          <w:fldChar w:fldCharType="separate"/>
        </w:r>
        <w:r w:rsidR="0061735A">
          <w:rPr>
            <w:noProof/>
            <w:webHidden/>
          </w:rPr>
          <w:t>104</w:t>
        </w:r>
        <w:r>
          <w:rPr>
            <w:noProof/>
            <w:webHidden/>
          </w:rPr>
          <w:fldChar w:fldCharType="end"/>
        </w:r>
      </w:hyperlink>
    </w:p>
    <w:p w:rsidR="00CF29C8" w:rsidRDefault="00CF29C8">
      <w:pPr>
        <w:pStyle w:val="TDC2"/>
        <w:tabs>
          <w:tab w:val="left" w:pos="660"/>
          <w:tab w:val="right" w:pos="8494"/>
        </w:tabs>
        <w:rPr>
          <w:rFonts w:eastAsiaTheme="minorEastAsia" w:cstheme="minorBidi"/>
          <w:b w:val="0"/>
          <w:bCs w:val="0"/>
          <w:noProof/>
          <w:sz w:val="22"/>
          <w:lang w:val="es-MX" w:eastAsia="es-MX"/>
        </w:rPr>
      </w:pPr>
      <w:hyperlink w:anchor="_Toc526854406" w:history="1">
        <w:r w:rsidRPr="000F27C6">
          <w:rPr>
            <w:rStyle w:val="Hipervnculo"/>
            <w:rFonts w:ascii="ITC Avant Garde" w:hAnsi="ITC Avant Garde"/>
            <w:noProof/>
          </w:rPr>
          <w:t>3.4</w:t>
        </w:r>
        <w:r>
          <w:rPr>
            <w:rFonts w:eastAsiaTheme="minorEastAsia" w:cstheme="minorBidi"/>
            <w:b w:val="0"/>
            <w:bCs w:val="0"/>
            <w:noProof/>
            <w:sz w:val="22"/>
            <w:lang w:val="es-MX" w:eastAsia="es-MX"/>
          </w:rPr>
          <w:tab/>
        </w:r>
        <w:r w:rsidRPr="000F27C6">
          <w:rPr>
            <w:rStyle w:val="Hipervnculo"/>
            <w:rFonts w:ascii="ITC Avant Garde" w:hAnsi="ITC Avant Garde"/>
            <w:noProof/>
            <w:lang w:val="es-MX"/>
          </w:rPr>
          <w:t>Evaluación de los costos</w:t>
        </w:r>
        <w:r>
          <w:rPr>
            <w:noProof/>
            <w:webHidden/>
          </w:rPr>
          <w:tab/>
        </w:r>
        <w:r>
          <w:rPr>
            <w:noProof/>
            <w:webHidden/>
          </w:rPr>
          <w:fldChar w:fldCharType="begin"/>
        </w:r>
        <w:r>
          <w:rPr>
            <w:noProof/>
            <w:webHidden/>
          </w:rPr>
          <w:instrText xml:space="preserve"> PAGEREF _Toc526854406 \h </w:instrText>
        </w:r>
        <w:r>
          <w:rPr>
            <w:noProof/>
            <w:webHidden/>
          </w:rPr>
        </w:r>
        <w:r>
          <w:rPr>
            <w:noProof/>
            <w:webHidden/>
          </w:rPr>
          <w:fldChar w:fldCharType="separate"/>
        </w:r>
        <w:r w:rsidR="0061735A">
          <w:rPr>
            <w:noProof/>
            <w:webHidden/>
          </w:rPr>
          <w:t>105</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407" w:history="1">
        <w:r w:rsidRPr="000F27C6">
          <w:rPr>
            <w:rStyle w:val="Hipervnculo"/>
            <w:rFonts w:ascii="ITC Avant Garde" w:hAnsi="ITC Avant Garde"/>
            <w:noProof/>
            <w:lang w:val="es-MX"/>
          </w:rPr>
          <w:t>3.4.1</w:t>
        </w:r>
        <w:r>
          <w:rPr>
            <w:rFonts w:eastAsiaTheme="minorEastAsia" w:cstheme="minorBidi"/>
            <w:noProof/>
            <w:sz w:val="22"/>
            <w:szCs w:val="22"/>
            <w:lang w:val="es-MX" w:eastAsia="es-MX"/>
          </w:rPr>
          <w:tab/>
        </w:r>
        <w:r w:rsidRPr="000F27C6">
          <w:rPr>
            <w:rStyle w:val="Hipervnculo"/>
            <w:rFonts w:ascii="ITC Avant Garde" w:hAnsi="ITC Avant Garde"/>
            <w:noProof/>
            <w:lang w:val="es-MX"/>
          </w:rPr>
          <w:t>Insumos de costos unitarios</w:t>
        </w:r>
        <w:r>
          <w:rPr>
            <w:noProof/>
            <w:webHidden/>
          </w:rPr>
          <w:tab/>
        </w:r>
        <w:r>
          <w:rPr>
            <w:noProof/>
            <w:webHidden/>
          </w:rPr>
          <w:fldChar w:fldCharType="begin"/>
        </w:r>
        <w:r>
          <w:rPr>
            <w:noProof/>
            <w:webHidden/>
          </w:rPr>
          <w:instrText xml:space="preserve"> PAGEREF _Toc526854407 \h </w:instrText>
        </w:r>
        <w:r>
          <w:rPr>
            <w:noProof/>
            <w:webHidden/>
          </w:rPr>
        </w:r>
        <w:r>
          <w:rPr>
            <w:noProof/>
            <w:webHidden/>
          </w:rPr>
          <w:fldChar w:fldCharType="separate"/>
        </w:r>
        <w:r w:rsidR="0061735A">
          <w:rPr>
            <w:noProof/>
            <w:webHidden/>
          </w:rPr>
          <w:t>105</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408" w:history="1">
        <w:r w:rsidRPr="000F27C6">
          <w:rPr>
            <w:rStyle w:val="Hipervnculo"/>
            <w:rFonts w:ascii="ITC Avant Garde" w:hAnsi="ITC Avant Garde"/>
            <w:noProof/>
            <w:lang w:val="es-MX"/>
          </w:rPr>
          <w:t>3.4.1.1</w:t>
        </w:r>
        <w:r>
          <w:rPr>
            <w:rFonts w:eastAsiaTheme="minorEastAsia" w:cstheme="minorBidi"/>
            <w:noProof/>
            <w:sz w:val="22"/>
            <w:szCs w:val="22"/>
            <w:lang w:val="es-MX" w:eastAsia="es-MX"/>
          </w:rPr>
          <w:tab/>
        </w:r>
        <w:r w:rsidRPr="000F27C6">
          <w:rPr>
            <w:rStyle w:val="Hipervnculo"/>
            <w:rFonts w:ascii="ITC Avant Garde" w:hAnsi="ITC Avant Garde"/>
            <w:noProof/>
            <w:lang w:val="es-MX"/>
          </w:rPr>
          <w:t>Inversión</w:t>
        </w:r>
        <w:r>
          <w:rPr>
            <w:noProof/>
            <w:webHidden/>
          </w:rPr>
          <w:tab/>
        </w:r>
        <w:r>
          <w:rPr>
            <w:noProof/>
            <w:webHidden/>
          </w:rPr>
          <w:fldChar w:fldCharType="begin"/>
        </w:r>
        <w:r>
          <w:rPr>
            <w:noProof/>
            <w:webHidden/>
          </w:rPr>
          <w:instrText xml:space="preserve"> PAGEREF _Toc526854408 \h </w:instrText>
        </w:r>
        <w:r>
          <w:rPr>
            <w:noProof/>
            <w:webHidden/>
          </w:rPr>
        </w:r>
        <w:r>
          <w:rPr>
            <w:noProof/>
            <w:webHidden/>
          </w:rPr>
          <w:fldChar w:fldCharType="separate"/>
        </w:r>
        <w:r w:rsidR="0061735A">
          <w:rPr>
            <w:noProof/>
            <w:webHidden/>
          </w:rPr>
          <w:t>105</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409" w:history="1">
        <w:r w:rsidRPr="000F27C6">
          <w:rPr>
            <w:rStyle w:val="Hipervnculo"/>
            <w:rFonts w:ascii="ITC Avant Garde" w:hAnsi="ITC Avant Garde"/>
            <w:noProof/>
            <w:lang w:val="es-MX"/>
          </w:rPr>
          <w:t>3.4.1.2</w:t>
        </w:r>
        <w:r>
          <w:rPr>
            <w:rFonts w:eastAsiaTheme="minorEastAsia" w:cstheme="minorBidi"/>
            <w:noProof/>
            <w:sz w:val="22"/>
            <w:szCs w:val="22"/>
            <w:lang w:val="es-MX" w:eastAsia="es-MX"/>
          </w:rPr>
          <w:tab/>
        </w:r>
        <w:r w:rsidRPr="000F27C6">
          <w:rPr>
            <w:rStyle w:val="Hipervnculo"/>
            <w:rFonts w:ascii="ITC Avant Garde" w:hAnsi="ITC Avant Garde"/>
            <w:noProof/>
            <w:lang w:val="es-MX"/>
          </w:rPr>
          <w:t>Tendencias de precios</w:t>
        </w:r>
        <w:r>
          <w:rPr>
            <w:noProof/>
            <w:webHidden/>
          </w:rPr>
          <w:tab/>
        </w:r>
        <w:r>
          <w:rPr>
            <w:noProof/>
            <w:webHidden/>
          </w:rPr>
          <w:fldChar w:fldCharType="begin"/>
        </w:r>
        <w:r>
          <w:rPr>
            <w:noProof/>
            <w:webHidden/>
          </w:rPr>
          <w:instrText xml:space="preserve"> PAGEREF _Toc526854409 \h </w:instrText>
        </w:r>
        <w:r>
          <w:rPr>
            <w:noProof/>
            <w:webHidden/>
          </w:rPr>
        </w:r>
        <w:r>
          <w:rPr>
            <w:noProof/>
            <w:webHidden/>
          </w:rPr>
          <w:fldChar w:fldCharType="separate"/>
        </w:r>
        <w:r w:rsidR="0061735A">
          <w:rPr>
            <w:noProof/>
            <w:webHidden/>
          </w:rPr>
          <w:t>106</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410" w:history="1">
        <w:r w:rsidRPr="000F27C6">
          <w:rPr>
            <w:rStyle w:val="Hipervnculo"/>
            <w:rFonts w:ascii="ITC Avant Garde" w:hAnsi="ITC Avant Garde"/>
            <w:noProof/>
            <w:lang w:val="es-MX"/>
          </w:rPr>
          <w:t>3.4.1.3</w:t>
        </w:r>
        <w:r>
          <w:rPr>
            <w:rFonts w:eastAsiaTheme="minorEastAsia" w:cstheme="minorBidi"/>
            <w:noProof/>
            <w:sz w:val="22"/>
            <w:szCs w:val="22"/>
            <w:lang w:val="es-MX" w:eastAsia="es-MX"/>
          </w:rPr>
          <w:tab/>
        </w:r>
        <w:r w:rsidRPr="000F27C6">
          <w:rPr>
            <w:rStyle w:val="Hipervnculo"/>
            <w:rFonts w:ascii="ITC Avant Garde" w:hAnsi="ITC Avant Garde"/>
            <w:noProof/>
            <w:lang w:val="es-MX"/>
          </w:rPr>
          <w:t>Gastos operacionales (OPEX)</w:t>
        </w:r>
        <w:r>
          <w:rPr>
            <w:noProof/>
            <w:webHidden/>
          </w:rPr>
          <w:tab/>
        </w:r>
        <w:r>
          <w:rPr>
            <w:noProof/>
            <w:webHidden/>
          </w:rPr>
          <w:fldChar w:fldCharType="begin"/>
        </w:r>
        <w:r>
          <w:rPr>
            <w:noProof/>
            <w:webHidden/>
          </w:rPr>
          <w:instrText xml:space="preserve"> PAGEREF _Toc526854410 \h </w:instrText>
        </w:r>
        <w:r>
          <w:rPr>
            <w:noProof/>
            <w:webHidden/>
          </w:rPr>
        </w:r>
        <w:r>
          <w:rPr>
            <w:noProof/>
            <w:webHidden/>
          </w:rPr>
          <w:fldChar w:fldCharType="separate"/>
        </w:r>
        <w:r w:rsidR="0061735A">
          <w:rPr>
            <w:noProof/>
            <w:webHidden/>
          </w:rPr>
          <w:t>106</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411" w:history="1">
        <w:r w:rsidRPr="000F27C6">
          <w:rPr>
            <w:rStyle w:val="Hipervnculo"/>
            <w:rFonts w:ascii="ITC Avant Garde" w:hAnsi="ITC Avant Garde"/>
            <w:noProof/>
            <w:lang w:val="es-MX"/>
          </w:rPr>
          <w:t>3.4.2</w:t>
        </w:r>
        <w:r>
          <w:rPr>
            <w:rFonts w:eastAsiaTheme="minorEastAsia" w:cstheme="minorBidi"/>
            <w:noProof/>
            <w:sz w:val="22"/>
            <w:szCs w:val="22"/>
            <w:lang w:val="es-MX" w:eastAsia="es-MX"/>
          </w:rPr>
          <w:tab/>
        </w:r>
        <w:r w:rsidRPr="000F27C6">
          <w:rPr>
            <w:rStyle w:val="Hipervnculo"/>
            <w:rFonts w:ascii="ITC Avant Garde" w:hAnsi="ITC Avant Garde"/>
            <w:noProof/>
            <w:lang w:val="es-MX"/>
          </w:rPr>
          <w:t>Vida útil de los activos</w:t>
        </w:r>
        <w:r>
          <w:rPr>
            <w:noProof/>
            <w:webHidden/>
          </w:rPr>
          <w:tab/>
        </w:r>
        <w:r>
          <w:rPr>
            <w:noProof/>
            <w:webHidden/>
          </w:rPr>
          <w:fldChar w:fldCharType="begin"/>
        </w:r>
        <w:r>
          <w:rPr>
            <w:noProof/>
            <w:webHidden/>
          </w:rPr>
          <w:instrText xml:space="preserve"> PAGEREF _Toc526854411 \h </w:instrText>
        </w:r>
        <w:r>
          <w:rPr>
            <w:noProof/>
            <w:webHidden/>
          </w:rPr>
        </w:r>
        <w:r>
          <w:rPr>
            <w:noProof/>
            <w:webHidden/>
          </w:rPr>
          <w:fldChar w:fldCharType="separate"/>
        </w:r>
        <w:r w:rsidR="0061735A">
          <w:rPr>
            <w:noProof/>
            <w:webHidden/>
          </w:rPr>
          <w:t>106</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412" w:history="1">
        <w:r w:rsidRPr="000F27C6">
          <w:rPr>
            <w:rStyle w:val="Hipervnculo"/>
            <w:rFonts w:ascii="ITC Avant Garde" w:hAnsi="ITC Avant Garde"/>
            <w:noProof/>
            <w:lang w:val="es-MX"/>
          </w:rPr>
          <w:t>3.4.3</w:t>
        </w:r>
        <w:r>
          <w:rPr>
            <w:rFonts w:eastAsiaTheme="minorEastAsia" w:cstheme="minorBidi"/>
            <w:noProof/>
            <w:sz w:val="22"/>
            <w:szCs w:val="22"/>
            <w:lang w:val="es-MX" w:eastAsia="es-MX"/>
          </w:rPr>
          <w:tab/>
        </w:r>
        <w:r w:rsidRPr="000F27C6">
          <w:rPr>
            <w:rStyle w:val="Hipervnculo"/>
            <w:rFonts w:ascii="ITC Avant Garde" w:hAnsi="ITC Avant Garde"/>
            <w:noProof/>
            <w:lang w:val="es-MX"/>
          </w:rPr>
          <w:t>Costo promedio de capital ponderado (WACC)</w:t>
        </w:r>
        <w:r>
          <w:rPr>
            <w:noProof/>
            <w:webHidden/>
          </w:rPr>
          <w:tab/>
        </w:r>
        <w:r>
          <w:rPr>
            <w:noProof/>
            <w:webHidden/>
          </w:rPr>
          <w:fldChar w:fldCharType="begin"/>
        </w:r>
        <w:r>
          <w:rPr>
            <w:noProof/>
            <w:webHidden/>
          </w:rPr>
          <w:instrText xml:space="preserve"> PAGEREF _Toc526854412 \h </w:instrText>
        </w:r>
        <w:r>
          <w:rPr>
            <w:noProof/>
            <w:webHidden/>
          </w:rPr>
        </w:r>
        <w:r>
          <w:rPr>
            <w:noProof/>
            <w:webHidden/>
          </w:rPr>
          <w:fldChar w:fldCharType="separate"/>
        </w:r>
        <w:r w:rsidR="0061735A">
          <w:rPr>
            <w:noProof/>
            <w:webHidden/>
          </w:rPr>
          <w:t>107</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413" w:history="1">
        <w:r w:rsidRPr="000F27C6">
          <w:rPr>
            <w:rStyle w:val="Hipervnculo"/>
            <w:rFonts w:ascii="ITC Avant Garde" w:hAnsi="ITC Avant Garde"/>
            <w:noProof/>
            <w:lang w:val="es-MX"/>
          </w:rPr>
          <w:t>3.4.4</w:t>
        </w:r>
        <w:r>
          <w:rPr>
            <w:rFonts w:eastAsiaTheme="minorEastAsia" w:cstheme="minorBidi"/>
            <w:noProof/>
            <w:sz w:val="22"/>
            <w:szCs w:val="22"/>
            <w:lang w:val="es-MX" w:eastAsia="es-MX"/>
          </w:rPr>
          <w:tab/>
        </w:r>
        <w:r w:rsidRPr="000F27C6">
          <w:rPr>
            <w:rStyle w:val="Hipervnculo"/>
            <w:rFonts w:ascii="ITC Avant Garde" w:hAnsi="ITC Avant Garde"/>
            <w:noProof/>
            <w:lang w:val="es-MX"/>
          </w:rPr>
          <w:t>Cálculos de anualidad</w:t>
        </w:r>
        <w:r>
          <w:rPr>
            <w:noProof/>
            <w:webHidden/>
          </w:rPr>
          <w:tab/>
        </w:r>
        <w:r>
          <w:rPr>
            <w:noProof/>
            <w:webHidden/>
          </w:rPr>
          <w:fldChar w:fldCharType="begin"/>
        </w:r>
        <w:r>
          <w:rPr>
            <w:noProof/>
            <w:webHidden/>
          </w:rPr>
          <w:instrText xml:space="preserve"> PAGEREF _Toc526854413 \h </w:instrText>
        </w:r>
        <w:r>
          <w:rPr>
            <w:noProof/>
            <w:webHidden/>
          </w:rPr>
        </w:r>
        <w:r>
          <w:rPr>
            <w:noProof/>
            <w:webHidden/>
          </w:rPr>
          <w:fldChar w:fldCharType="separate"/>
        </w:r>
        <w:r w:rsidR="0061735A">
          <w:rPr>
            <w:noProof/>
            <w:webHidden/>
          </w:rPr>
          <w:t>107</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414" w:history="1">
        <w:r w:rsidRPr="000F27C6">
          <w:rPr>
            <w:rStyle w:val="Hipervnculo"/>
            <w:rFonts w:ascii="ITC Avant Garde" w:hAnsi="ITC Avant Garde"/>
            <w:noProof/>
            <w:lang w:val="es-MX"/>
          </w:rPr>
          <w:t>3.4.5</w:t>
        </w:r>
        <w:r>
          <w:rPr>
            <w:rFonts w:eastAsiaTheme="minorEastAsia" w:cstheme="minorBidi"/>
            <w:noProof/>
            <w:sz w:val="22"/>
            <w:szCs w:val="22"/>
            <w:lang w:val="es-MX" w:eastAsia="es-MX"/>
          </w:rPr>
          <w:tab/>
        </w:r>
        <w:r w:rsidRPr="000F27C6">
          <w:rPr>
            <w:rStyle w:val="Hipervnculo"/>
            <w:rFonts w:ascii="ITC Avant Garde" w:hAnsi="ITC Avant Garde"/>
            <w:noProof/>
            <w:lang w:val="es-MX"/>
          </w:rPr>
          <w:t>Uso compartido y reutilización de activos</w:t>
        </w:r>
        <w:r>
          <w:rPr>
            <w:noProof/>
            <w:webHidden/>
          </w:rPr>
          <w:tab/>
        </w:r>
        <w:r>
          <w:rPr>
            <w:noProof/>
            <w:webHidden/>
          </w:rPr>
          <w:fldChar w:fldCharType="begin"/>
        </w:r>
        <w:r>
          <w:rPr>
            <w:noProof/>
            <w:webHidden/>
          </w:rPr>
          <w:instrText xml:space="preserve"> PAGEREF _Toc526854414 \h </w:instrText>
        </w:r>
        <w:r>
          <w:rPr>
            <w:noProof/>
            <w:webHidden/>
          </w:rPr>
        </w:r>
        <w:r>
          <w:rPr>
            <w:noProof/>
            <w:webHidden/>
          </w:rPr>
          <w:fldChar w:fldCharType="separate"/>
        </w:r>
        <w:r w:rsidR="0061735A">
          <w:rPr>
            <w:noProof/>
            <w:webHidden/>
          </w:rPr>
          <w:t>108</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415" w:history="1">
        <w:r w:rsidRPr="000F27C6">
          <w:rPr>
            <w:rStyle w:val="Hipervnculo"/>
            <w:rFonts w:ascii="ITC Avant Garde" w:hAnsi="ITC Avant Garde"/>
            <w:noProof/>
            <w:lang w:val="es-MX"/>
          </w:rPr>
          <w:t>3.4.5.1</w:t>
        </w:r>
        <w:r>
          <w:rPr>
            <w:rFonts w:eastAsiaTheme="minorEastAsia" w:cstheme="minorBidi"/>
            <w:noProof/>
            <w:sz w:val="22"/>
            <w:szCs w:val="22"/>
            <w:lang w:val="es-MX" w:eastAsia="es-MX"/>
          </w:rPr>
          <w:tab/>
        </w:r>
        <w:r w:rsidRPr="000F27C6">
          <w:rPr>
            <w:rStyle w:val="Hipervnculo"/>
            <w:rFonts w:ascii="ITC Avant Garde" w:hAnsi="ITC Avant Garde"/>
            <w:noProof/>
            <w:lang w:val="es-MX"/>
          </w:rPr>
          <w:t>Compartición de recursos</w:t>
        </w:r>
        <w:r>
          <w:rPr>
            <w:noProof/>
            <w:webHidden/>
          </w:rPr>
          <w:tab/>
        </w:r>
        <w:r>
          <w:rPr>
            <w:noProof/>
            <w:webHidden/>
          </w:rPr>
          <w:fldChar w:fldCharType="begin"/>
        </w:r>
        <w:r>
          <w:rPr>
            <w:noProof/>
            <w:webHidden/>
          </w:rPr>
          <w:instrText xml:space="preserve"> PAGEREF _Toc526854415 \h </w:instrText>
        </w:r>
        <w:r>
          <w:rPr>
            <w:noProof/>
            <w:webHidden/>
          </w:rPr>
        </w:r>
        <w:r>
          <w:rPr>
            <w:noProof/>
            <w:webHidden/>
          </w:rPr>
          <w:fldChar w:fldCharType="separate"/>
        </w:r>
        <w:r w:rsidR="0061735A">
          <w:rPr>
            <w:noProof/>
            <w:webHidden/>
          </w:rPr>
          <w:t>108</w:t>
        </w:r>
        <w:r>
          <w:rPr>
            <w:noProof/>
            <w:webHidden/>
          </w:rPr>
          <w:fldChar w:fldCharType="end"/>
        </w:r>
      </w:hyperlink>
    </w:p>
    <w:p w:rsidR="00CF29C8" w:rsidRDefault="00CF29C8">
      <w:pPr>
        <w:pStyle w:val="TDC4"/>
        <w:tabs>
          <w:tab w:val="left" w:pos="1540"/>
          <w:tab w:val="right" w:pos="8494"/>
        </w:tabs>
        <w:rPr>
          <w:rFonts w:eastAsiaTheme="minorEastAsia" w:cstheme="minorBidi"/>
          <w:noProof/>
          <w:sz w:val="22"/>
          <w:szCs w:val="22"/>
          <w:lang w:val="es-MX" w:eastAsia="es-MX"/>
        </w:rPr>
      </w:pPr>
      <w:hyperlink w:anchor="_Toc526854416" w:history="1">
        <w:r w:rsidRPr="000F27C6">
          <w:rPr>
            <w:rStyle w:val="Hipervnculo"/>
            <w:rFonts w:ascii="ITC Avant Garde" w:hAnsi="ITC Avant Garde"/>
            <w:noProof/>
            <w:lang w:val="es-MX"/>
          </w:rPr>
          <w:t>3.4.5.2</w:t>
        </w:r>
        <w:r>
          <w:rPr>
            <w:rFonts w:eastAsiaTheme="minorEastAsia" w:cstheme="minorBidi"/>
            <w:noProof/>
            <w:sz w:val="22"/>
            <w:szCs w:val="22"/>
            <w:lang w:val="es-MX" w:eastAsia="es-MX"/>
          </w:rPr>
          <w:tab/>
        </w:r>
        <w:r w:rsidRPr="000F27C6">
          <w:rPr>
            <w:rStyle w:val="Hipervnculo"/>
            <w:rFonts w:ascii="ITC Avant Garde" w:hAnsi="ITC Avant Garde"/>
            <w:noProof/>
            <w:lang w:val="es-MX"/>
          </w:rPr>
          <w:t>Reutilización de activos</w:t>
        </w:r>
        <w:r>
          <w:rPr>
            <w:noProof/>
            <w:webHidden/>
          </w:rPr>
          <w:tab/>
        </w:r>
        <w:r>
          <w:rPr>
            <w:noProof/>
            <w:webHidden/>
          </w:rPr>
          <w:fldChar w:fldCharType="begin"/>
        </w:r>
        <w:r>
          <w:rPr>
            <w:noProof/>
            <w:webHidden/>
          </w:rPr>
          <w:instrText xml:space="preserve"> PAGEREF _Toc526854416 \h </w:instrText>
        </w:r>
        <w:r>
          <w:rPr>
            <w:noProof/>
            <w:webHidden/>
          </w:rPr>
        </w:r>
        <w:r>
          <w:rPr>
            <w:noProof/>
            <w:webHidden/>
          </w:rPr>
          <w:fldChar w:fldCharType="separate"/>
        </w:r>
        <w:r w:rsidR="0061735A">
          <w:rPr>
            <w:noProof/>
            <w:webHidden/>
          </w:rPr>
          <w:t>109</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417" w:history="1">
        <w:r w:rsidRPr="000F27C6">
          <w:rPr>
            <w:rStyle w:val="Hipervnculo"/>
            <w:rFonts w:ascii="ITC Avant Garde" w:hAnsi="ITC Avant Garde"/>
            <w:noProof/>
            <w:lang w:val="es-MX"/>
          </w:rPr>
          <w:t>3.4.6</w:t>
        </w:r>
        <w:r>
          <w:rPr>
            <w:rFonts w:eastAsiaTheme="minorEastAsia" w:cstheme="minorBidi"/>
            <w:noProof/>
            <w:sz w:val="22"/>
            <w:szCs w:val="22"/>
            <w:lang w:val="es-MX" w:eastAsia="es-MX"/>
          </w:rPr>
          <w:tab/>
        </w:r>
        <w:r w:rsidRPr="000F27C6">
          <w:rPr>
            <w:rStyle w:val="Hipervnculo"/>
            <w:rFonts w:ascii="ITC Avant Garde" w:hAnsi="ITC Avant Garde"/>
            <w:noProof/>
            <w:lang w:val="es-MX"/>
          </w:rPr>
          <w:t>Costos comunes</w:t>
        </w:r>
        <w:r>
          <w:rPr>
            <w:noProof/>
            <w:webHidden/>
          </w:rPr>
          <w:tab/>
        </w:r>
        <w:r>
          <w:rPr>
            <w:noProof/>
            <w:webHidden/>
          </w:rPr>
          <w:fldChar w:fldCharType="begin"/>
        </w:r>
        <w:r>
          <w:rPr>
            <w:noProof/>
            <w:webHidden/>
          </w:rPr>
          <w:instrText xml:space="preserve"> PAGEREF _Toc526854417 \h </w:instrText>
        </w:r>
        <w:r>
          <w:rPr>
            <w:noProof/>
            <w:webHidden/>
          </w:rPr>
        </w:r>
        <w:r>
          <w:rPr>
            <w:noProof/>
            <w:webHidden/>
          </w:rPr>
          <w:fldChar w:fldCharType="separate"/>
        </w:r>
        <w:r w:rsidR="0061735A">
          <w:rPr>
            <w:noProof/>
            <w:webHidden/>
          </w:rPr>
          <w:t>109</w:t>
        </w:r>
        <w:r>
          <w:rPr>
            <w:noProof/>
            <w:webHidden/>
          </w:rPr>
          <w:fldChar w:fldCharType="end"/>
        </w:r>
      </w:hyperlink>
    </w:p>
    <w:p w:rsidR="00CF29C8" w:rsidRDefault="00CF29C8">
      <w:pPr>
        <w:pStyle w:val="TDC3"/>
        <w:tabs>
          <w:tab w:val="left" w:pos="880"/>
          <w:tab w:val="right" w:pos="8494"/>
        </w:tabs>
        <w:rPr>
          <w:rFonts w:eastAsiaTheme="minorEastAsia" w:cstheme="minorBidi"/>
          <w:noProof/>
          <w:sz w:val="22"/>
          <w:szCs w:val="22"/>
          <w:lang w:val="es-MX" w:eastAsia="es-MX"/>
        </w:rPr>
      </w:pPr>
      <w:hyperlink w:anchor="_Toc526854418" w:history="1">
        <w:r w:rsidRPr="000F27C6">
          <w:rPr>
            <w:rStyle w:val="Hipervnculo"/>
            <w:rFonts w:ascii="ITC Avant Garde" w:hAnsi="ITC Avant Garde"/>
            <w:noProof/>
            <w:lang w:val="es-MX"/>
          </w:rPr>
          <w:t>3.4.7</w:t>
        </w:r>
        <w:r>
          <w:rPr>
            <w:rFonts w:eastAsiaTheme="minorEastAsia" w:cstheme="minorBidi"/>
            <w:noProof/>
            <w:sz w:val="22"/>
            <w:szCs w:val="22"/>
            <w:lang w:val="es-MX" w:eastAsia="es-MX"/>
          </w:rPr>
          <w:tab/>
        </w:r>
        <w:r w:rsidRPr="000F27C6">
          <w:rPr>
            <w:rStyle w:val="Hipervnculo"/>
            <w:rFonts w:ascii="ITC Avant Garde" w:hAnsi="ITC Avant Garde"/>
            <w:noProof/>
            <w:lang w:val="es-MX"/>
          </w:rPr>
          <w:t>Salidas</w:t>
        </w:r>
        <w:r>
          <w:rPr>
            <w:noProof/>
            <w:webHidden/>
          </w:rPr>
          <w:tab/>
        </w:r>
        <w:r>
          <w:rPr>
            <w:noProof/>
            <w:webHidden/>
          </w:rPr>
          <w:fldChar w:fldCharType="begin"/>
        </w:r>
        <w:r>
          <w:rPr>
            <w:noProof/>
            <w:webHidden/>
          </w:rPr>
          <w:instrText xml:space="preserve"> PAGEREF _Toc526854418 \h </w:instrText>
        </w:r>
        <w:r>
          <w:rPr>
            <w:noProof/>
            <w:webHidden/>
          </w:rPr>
        </w:r>
        <w:r>
          <w:rPr>
            <w:noProof/>
            <w:webHidden/>
          </w:rPr>
          <w:fldChar w:fldCharType="separate"/>
        </w:r>
        <w:r w:rsidR="0061735A">
          <w:rPr>
            <w:noProof/>
            <w:webHidden/>
          </w:rPr>
          <w:t>110</w:t>
        </w:r>
        <w:r>
          <w:rPr>
            <w:noProof/>
            <w:webHidden/>
          </w:rPr>
          <w:fldChar w:fldCharType="end"/>
        </w:r>
      </w:hyperlink>
    </w:p>
    <w:p w:rsidR="00CF29C8" w:rsidRDefault="00CF29C8">
      <w:pPr>
        <w:pStyle w:val="TDC1"/>
        <w:tabs>
          <w:tab w:val="left" w:pos="660"/>
          <w:tab w:val="right" w:pos="8494"/>
        </w:tabs>
        <w:rPr>
          <w:rFonts w:eastAsiaTheme="minorEastAsia" w:cstheme="minorBidi"/>
          <w:b w:val="0"/>
          <w:bCs w:val="0"/>
          <w:iCs w:val="0"/>
          <w:noProof/>
          <w:sz w:val="22"/>
          <w:szCs w:val="22"/>
          <w:lang w:val="es-MX" w:eastAsia="es-MX"/>
        </w:rPr>
      </w:pPr>
      <w:hyperlink w:anchor="_Toc526854419" w:history="1">
        <w:r w:rsidRPr="000F27C6">
          <w:rPr>
            <w:rStyle w:val="Hipervnculo"/>
            <w:rFonts w:ascii="ITC Avant Garde" w:hAnsi="ITC Avant Garde"/>
            <w:noProof/>
            <w:lang w:val="es-MX"/>
            <w14:scene3d>
              <w14:camera w14:prst="orthographicFront"/>
              <w14:lightRig w14:rig="threePt" w14:dir="t">
                <w14:rot w14:lat="0" w14:lon="0" w14:rev="0"/>
              </w14:lightRig>
            </w14:scene3d>
          </w:rPr>
          <w:t>4</w:t>
        </w:r>
        <w:r>
          <w:rPr>
            <w:rFonts w:eastAsiaTheme="minorEastAsia" w:cstheme="minorBidi"/>
            <w:b w:val="0"/>
            <w:bCs w:val="0"/>
            <w:iCs w:val="0"/>
            <w:noProof/>
            <w:sz w:val="22"/>
            <w:szCs w:val="22"/>
            <w:lang w:val="es-MX" w:eastAsia="es-MX"/>
          </w:rPr>
          <w:tab/>
        </w:r>
        <w:r w:rsidRPr="000F27C6">
          <w:rPr>
            <w:rStyle w:val="Hipervnculo"/>
            <w:rFonts w:ascii="ITC Avant Garde" w:hAnsi="ITC Avant Garde"/>
            <w:noProof/>
            <w:lang w:val="es-MX"/>
          </w:rPr>
          <w:t>Anexos</w:t>
        </w:r>
        <w:r>
          <w:rPr>
            <w:noProof/>
            <w:webHidden/>
          </w:rPr>
          <w:tab/>
        </w:r>
        <w:r>
          <w:rPr>
            <w:noProof/>
            <w:webHidden/>
          </w:rPr>
          <w:fldChar w:fldCharType="begin"/>
        </w:r>
        <w:r>
          <w:rPr>
            <w:noProof/>
            <w:webHidden/>
          </w:rPr>
          <w:instrText xml:space="preserve"> PAGEREF _Toc526854419 \h </w:instrText>
        </w:r>
        <w:r>
          <w:rPr>
            <w:noProof/>
            <w:webHidden/>
          </w:rPr>
        </w:r>
        <w:r>
          <w:rPr>
            <w:noProof/>
            <w:webHidden/>
          </w:rPr>
          <w:fldChar w:fldCharType="separate"/>
        </w:r>
        <w:r w:rsidR="0061735A">
          <w:rPr>
            <w:noProof/>
            <w:webHidden/>
          </w:rPr>
          <w:t>111</w:t>
        </w:r>
        <w:r>
          <w:rPr>
            <w:noProof/>
            <w:webHidden/>
          </w:rPr>
          <w:fldChar w:fldCharType="end"/>
        </w:r>
      </w:hyperlink>
    </w:p>
    <w:p w:rsidR="00CF29C8" w:rsidRDefault="00CF29C8">
      <w:pPr>
        <w:pStyle w:val="TDC2"/>
        <w:tabs>
          <w:tab w:val="left" w:pos="660"/>
          <w:tab w:val="right" w:pos="8494"/>
        </w:tabs>
        <w:rPr>
          <w:rFonts w:eastAsiaTheme="minorEastAsia" w:cstheme="minorBidi"/>
          <w:b w:val="0"/>
          <w:bCs w:val="0"/>
          <w:noProof/>
          <w:sz w:val="22"/>
          <w:lang w:val="es-MX" w:eastAsia="es-MX"/>
        </w:rPr>
      </w:pPr>
      <w:hyperlink w:anchor="_Toc526854420" w:history="1">
        <w:r w:rsidRPr="000F27C6">
          <w:rPr>
            <w:rStyle w:val="Hipervnculo"/>
            <w:rFonts w:ascii="ITC Avant Garde" w:hAnsi="ITC Avant Garde"/>
            <w:noProof/>
          </w:rPr>
          <w:t>4.1</w:t>
        </w:r>
        <w:r>
          <w:rPr>
            <w:rFonts w:eastAsiaTheme="minorEastAsia" w:cstheme="minorBidi"/>
            <w:b w:val="0"/>
            <w:bCs w:val="0"/>
            <w:noProof/>
            <w:sz w:val="22"/>
            <w:lang w:val="es-MX" w:eastAsia="es-MX"/>
          </w:rPr>
          <w:tab/>
        </w:r>
        <w:r w:rsidRPr="000F27C6">
          <w:rPr>
            <w:rStyle w:val="Hipervnculo"/>
            <w:rFonts w:ascii="ITC Avant Garde" w:hAnsi="ITC Avant Garde"/>
            <w:noProof/>
            <w:lang w:val="es-MX"/>
          </w:rPr>
          <w:t>Lista de parámetros técnicos considerados por el dimensionamiento</w:t>
        </w:r>
        <w:r>
          <w:rPr>
            <w:noProof/>
            <w:webHidden/>
          </w:rPr>
          <w:tab/>
        </w:r>
        <w:r>
          <w:rPr>
            <w:noProof/>
            <w:webHidden/>
          </w:rPr>
          <w:fldChar w:fldCharType="begin"/>
        </w:r>
        <w:r>
          <w:rPr>
            <w:noProof/>
            <w:webHidden/>
          </w:rPr>
          <w:instrText xml:space="preserve"> PAGEREF _Toc526854420 \h </w:instrText>
        </w:r>
        <w:r>
          <w:rPr>
            <w:noProof/>
            <w:webHidden/>
          </w:rPr>
        </w:r>
        <w:r>
          <w:rPr>
            <w:noProof/>
            <w:webHidden/>
          </w:rPr>
          <w:fldChar w:fldCharType="separate"/>
        </w:r>
        <w:r w:rsidR="0061735A">
          <w:rPr>
            <w:noProof/>
            <w:webHidden/>
          </w:rPr>
          <w:t>111</w:t>
        </w:r>
        <w:r>
          <w:rPr>
            <w:noProof/>
            <w:webHidden/>
          </w:rPr>
          <w:fldChar w:fldCharType="end"/>
        </w:r>
      </w:hyperlink>
    </w:p>
    <w:p w:rsidR="00CF29C8" w:rsidRDefault="00CF29C8">
      <w:pPr>
        <w:pStyle w:val="TDC2"/>
        <w:tabs>
          <w:tab w:val="left" w:pos="660"/>
          <w:tab w:val="right" w:pos="8494"/>
        </w:tabs>
        <w:rPr>
          <w:rFonts w:eastAsiaTheme="minorEastAsia" w:cstheme="minorBidi"/>
          <w:b w:val="0"/>
          <w:bCs w:val="0"/>
          <w:noProof/>
          <w:sz w:val="22"/>
          <w:lang w:val="es-MX" w:eastAsia="es-MX"/>
        </w:rPr>
      </w:pPr>
      <w:hyperlink w:anchor="_Toc526854421" w:history="1">
        <w:r w:rsidRPr="000F27C6">
          <w:rPr>
            <w:rStyle w:val="Hipervnculo"/>
            <w:rFonts w:ascii="ITC Avant Garde" w:hAnsi="ITC Avant Garde"/>
            <w:noProof/>
          </w:rPr>
          <w:t>4.2</w:t>
        </w:r>
        <w:r>
          <w:rPr>
            <w:rFonts w:eastAsiaTheme="minorEastAsia" w:cstheme="minorBidi"/>
            <w:b w:val="0"/>
            <w:bCs w:val="0"/>
            <w:noProof/>
            <w:sz w:val="22"/>
            <w:lang w:val="es-MX" w:eastAsia="es-MX"/>
          </w:rPr>
          <w:tab/>
        </w:r>
        <w:r w:rsidRPr="000F27C6">
          <w:rPr>
            <w:rStyle w:val="Hipervnculo"/>
            <w:rFonts w:ascii="ITC Avant Garde" w:hAnsi="ITC Avant Garde"/>
            <w:noProof/>
            <w:lang w:val="es-MX"/>
          </w:rPr>
          <w:t>Tipos de canalizaciones empleadas en el modelo</w:t>
        </w:r>
        <w:r>
          <w:rPr>
            <w:noProof/>
            <w:webHidden/>
          </w:rPr>
          <w:tab/>
        </w:r>
        <w:r>
          <w:rPr>
            <w:noProof/>
            <w:webHidden/>
          </w:rPr>
          <w:fldChar w:fldCharType="begin"/>
        </w:r>
        <w:r>
          <w:rPr>
            <w:noProof/>
            <w:webHidden/>
          </w:rPr>
          <w:instrText xml:space="preserve"> PAGEREF _Toc526854421 \h </w:instrText>
        </w:r>
        <w:r>
          <w:rPr>
            <w:noProof/>
            <w:webHidden/>
          </w:rPr>
        </w:r>
        <w:r>
          <w:rPr>
            <w:noProof/>
            <w:webHidden/>
          </w:rPr>
          <w:fldChar w:fldCharType="separate"/>
        </w:r>
        <w:r w:rsidR="0061735A">
          <w:rPr>
            <w:noProof/>
            <w:webHidden/>
          </w:rPr>
          <w:t>114</w:t>
        </w:r>
        <w:r>
          <w:rPr>
            <w:noProof/>
            <w:webHidden/>
          </w:rPr>
          <w:fldChar w:fldCharType="end"/>
        </w:r>
      </w:hyperlink>
    </w:p>
    <w:p w:rsidR="0022585B" w:rsidRPr="00872052" w:rsidRDefault="005C54B8" w:rsidP="00981224">
      <w:pPr>
        <w:jc w:val="center"/>
        <w:rPr>
          <w:rFonts w:ascii="ITC Avant Garde" w:hAnsi="ITC Avant Garde"/>
          <w:lang w:val="es-MX"/>
        </w:rPr>
      </w:pPr>
      <w:r w:rsidRPr="00BE63E3">
        <w:rPr>
          <w:rFonts w:ascii="ITC Avant Garde" w:hAnsi="ITC Avant Garde" w:cstheme="minorHAnsi"/>
          <w:b/>
          <w:i/>
          <w:sz w:val="24"/>
          <w:lang w:val="es-MX"/>
        </w:rPr>
        <w:fldChar w:fldCharType="end"/>
      </w:r>
      <w:r w:rsidR="0022585B" w:rsidRPr="00872052">
        <w:rPr>
          <w:rFonts w:ascii="ITC Avant Garde" w:hAnsi="ITC Avant Garde"/>
          <w:lang w:val="es-MX"/>
        </w:rPr>
        <w:br w:type="page"/>
      </w:r>
    </w:p>
    <w:p w:rsidR="00147ADD" w:rsidRPr="00BE63E3" w:rsidRDefault="003A0FB4" w:rsidP="006A7E91">
      <w:pPr>
        <w:pStyle w:val="Ttulo1"/>
        <w:rPr>
          <w:rFonts w:ascii="ITC Avant Garde" w:hAnsi="ITC Avant Garde"/>
        </w:rPr>
      </w:pPr>
      <w:bookmarkStart w:id="49" w:name="_Toc525665251"/>
      <w:bookmarkStart w:id="50" w:name="_Toc525665630"/>
      <w:bookmarkStart w:id="51" w:name="_Toc526854332"/>
      <w:r w:rsidRPr="00BE63E3">
        <w:rPr>
          <w:rFonts w:ascii="ITC Avant Garde" w:hAnsi="ITC Avant Garde"/>
        </w:rPr>
        <w:lastRenderedPageBreak/>
        <w:t>Introducción</w:t>
      </w:r>
      <w:bookmarkEnd w:id="49"/>
      <w:bookmarkEnd w:id="50"/>
      <w:bookmarkEnd w:id="51"/>
    </w:p>
    <w:p w:rsidR="0082426C" w:rsidRPr="00BE63E3" w:rsidRDefault="0033164B" w:rsidP="00147ADD">
      <w:pPr>
        <w:pStyle w:val="Ttulo2"/>
        <w:rPr>
          <w:rFonts w:ascii="ITC Avant Garde" w:hAnsi="ITC Avant Garde"/>
          <w:lang w:val="es-MX"/>
        </w:rPr>
      </w:pPr>
      <w:bookmarkStart w:id="52" w:name="_Toc525665252"/>
      <w:bookmarkStart w:id="53" w:name="_Toc525665631"/>
      <w:bookmarkStart w:id="54" w:name="_Toc526854333"/>
      <w:r w:rsidRPr="00BE63E3">
        <w:rPr>
          <w:rFonts w:ascii="ITC Avant Garde" w:hAnsi="ITC Avant Garde"/>
          <w:lang w:val="es-MX"/>
        </w:rPr>
        <w:t>Antecedentes</w:t>
      </w:r>
      <w:bookmarkEnd w:id="52"/>
      <w:bookmarkEnd w:id="53"/>
      <w:bookmarkEnd w:id="54"/>
    </w:p>
    <w:p w:rsidR="00337B8D" w:rsidRPr="00BE63E3" w:rsidRDefault="0033164B" w:rsidP="0033164B">
      <w:pPr>
        <w:rPr>
          <w:rFonts w:ascii="ITC Avant Garde" w:hAnsi="ITC Avant Garde"/>
          <w:lang w:val="es-MX"/>
        </w:rPr>
      </w:pPr>
      <w:r w:rsidRPr="00BE63E3">
        <w:rPr>
          <w:rFonts w:ascii="ITC Avant Garde" w:hAnsi="ITC Avant Garde"/>
          <w:lang w:val="es-MX"/>
        </w:rPr>
        <w:t xml:space="preserve">Para abordar los problemas de competencia en el mercado </w:t>
      </w:r>
      <w:r w:rsidR="00774E1C" w:rsidRPr="00BE63E3">
        <w:rPr>
          <w:rFonts w:ascii="ITC Avant Garde" w:hAnsi="ITC Avant Garde"/>
          <w:lang w:val="es-MX"/>
        </w:rPr>
        <w:t>de telecomunicaciones</w:t>
      </w:r>
      <w:r w:rsidRPr="00BE63E3">
        <w:rPr>
          <w:rFonts w:ascii="ITC Avant Garde" w:hAnsi="ITC Avant Garde"/>
          <w:lang w:val="es-MX"/>
        </w:rPr>
        <w:t xml:space="preserve">, el regulador mexicano (IFT) impone reglas que buscan crear un </w:t>
      </w:r>
      <w:r w:rsidR="00DC60BE" w:rsidRPr="00BE63E3">
        <w:rPr>
          <w:rFonts w:ascii="ITC Avant Garde" w:hAnsi="ITC Avant Garde"/>
          <w:lang w:val="es-MX"/>
        </w:rPr>
        <w:t xml:space="preserve">entorno </w:t>
      </w:r>
      <w:r w:rsidRPr="00BE63E3">
        <w:rPr>
          <w:rFonts w:ascii="ITC Avant Garde" w:hAnsi="ITC Avant Garde"/>
          <w:lang w:val="es-MX"/>
        </w:rPr>
        <w:t xml:space="preserve">predecible y </w:t>
      </w:r>
      <w:r w:rsidR="00337B8D" w:rsidRPr="00BE63E3">
        <w:rPr>
          <w:rFonts w:ascii="ITC Avant Garde" w:hAnsi="ITC Avant Garde"/>
          <w:lang w:val="es-MX"/>
        </w:rPr>
        <w:t>con igualdad de condiciones</w:t>
      </w:r>
      <w:r w:rsidRPr="00BE63E3">
        <w:rPr>
          <w:rFonts w:ascii="ITC Avant Garde" w:hAnsi="ITC Avant Garde"/>
          <w:lang w:val="es-MX"/>
        </w:rPr>
        <w:t xml:space="preserve"> para todos los participantes del mercado, y que en última instancia podría facilitar </w:t>
      </w:r>
      <w:r w:rsidR="00337B8D" w:rsidRPr="00BE63E3">
        <w:rPr>
          <w:rFonts w:ascii="ITC Avant Garde" w:hAnsi="ITC Avant Garde"/>
          <w:lang w:val="es-MX"/>
        </w:rPr>
        <w:t>el desarrollo de una</w:t>
      </w:r>
      <w:r w:rsidRPr="00BE63E3">
        <w:rPr>
          <w:rFonts w:ascii="ITC Avant Garde" w:hAnsi="ITC Avant Garde"/>
          <w:lang w:val="es-MX"/>
        </w:rPr>
        <w:t xml:space="preserve"> competencia eficiente </w:t>
      </w:r>
      <w:r w:rsidR="00337B8D" w:rsidRPr="00BE63E3">
        <w:rPr>
          <w:rFonts w:ascii="ITC Avant Garde" w:hAnsi="ITC Avant Garde"/>
          <w:lang w:val="es-MX"/>
        </w:rPr>
        <w:t>para</w:t>
      </w:r>
      <w:r w:rsidRPr="00BE63E3">
        <w:rPr>
          <w:rFonts w:ascii="ITC Avant Garde" w:hAnsi="ITC Avant Garde"/>
          <w:lang w:val="es-MX"/>
        </w:rPr>
        <w:t xml:space="preserve"> </w:t>
      </w:r>
      <w:r w:rsidR="00337B8D" w:rsidRPr="00BE63E3">
        <w:rPr>
          <w:rFonts w:ascii="ITC Avant Garde" w:hAnsi="ITC Avant Garde"/>
          <w:lang w:val="es-MX"/>
        </w:rPr>
        <w:t>la proporción de</w:t>
      </w:r>
      <w:r w:rsidRPr="00BE63E3">
        <w:rPr>
          <w:rFonts w:ascii="ITC Avant Garde" w:hAnsi="ITC Avant Garde"/>
          <w:lang w:val="es-MX"/>
        </w:rPr>
        <w:t xml:space="preserve"> una amplia gama de servicios </w:t>
      </w:r>
      <w:r w:rsidR="00337B8D" w:rsidRPr="00BE63E3">
        <w:rPr>
          <w:rFonts w:ascii="ITC Avant Garde" w:hAnsi="ITC Avant Garde"/>
          <w:lang w:val="es-MX"/>
        </w:rPr>
        <w:t xml:space="preserve">con precios atractivos </w:t>
      </w:r>
      <w:r w:rsidRPr="00BE63E3">
        <w:rPr>
          <w:rFonts w:ascii="ITC Avant Garde" w:hAnsi="ITC Avant Garde"/>
          <w:lang w:val="es-MX"/>
        </w:rPr>
        <w:t xml:space="preserve">para los consumidores. </w:t>
      </w:r>
    </w:p>
    <w:p w:rsidR="0033164B" w:rsidRPr="00BE63E3" w:rsidRDefault="0033164B" w:rsidP="0033164B">
      <w:pPr>
        <w:rPr>
          <w:rFonts w:ascii="ITC Avant Garde" w:hAnsi="ITC Avant Garde"/>
          <w:lang w:val="es-MX"/>
        </w:rPr>
      </w:pPr>
      <w:r w:rsidRPr="00BE63E3">
        <w:rPr>
          <w:rFonts w:ascii="ITC Avant Garde" w:hAnsi="ITC Avant Garde"/>
          <w:lang w:val="es-MX"/>
        </w:rPr>
        <w:t xml:space="preserve">Como parte de este trabajo, </w:t>
      </w:r>
      <w:r w:rsidR="00337B8D" w:rsidRPr="00BE63E3">
        <w:rPr>
          <w:rFonts w:ascii="ITC Avant Garde" w:hAnsi="ITC Avant Garde"/>
          <w:lang w:val="es-MX"/>
        </w:rPr>
        <w:t xml:space="preserve">el </w:t>
      </w:r>
      <w:r w:rsidRPr="00BE63E3">
        <w:rPr>
          <w:rFonts w:ascii="ITC Avant Garde" w:hAnsi="ITC Avant Garde"/>
          <w:lang w:val="es-MX"/>
        </w:rPr>
        <w:t xml:space="preserve">IFT ha desarrollado </w:t>
      </w:r>
      <w:r w:rsidR="00337B8D" w:rsidRPr="00BE63E3">
        <w:rPr>
          <w:rFonts w:ascii="ITC Avant Garde" w:hAnsi="ITC Avant Garde"/>
          <w:lang w:val="es-MX"/>
        </w:rPr>
        <w:t xml:space="preserve">en los últimos años </w:t>
      </w:r>
      <w:r w:rsidRPr="00BE63E3">
        <w:rPr>
          <w:rFonts w:ascii="ITC Avant Garde" w:hAnsi="ITC Avant Garde"/>
          <w:lang w:val="es-MX"/>
        </w:rPr>
        <w:t>dos modelos que le permiten evaluar el precio de los servicios asociados con las ofertas de referencia OREDA y ORCI.</w:t>
      </w:r>
    </w:p>
    <w:p w:rsidR="0033164B" w:rsidRPr="00BE63E3" w:rsidRDefault="0062074B" w:rsidP="0033164B">
      <w:pPr>
        <w:pStyle w:val="Listaconvietas2"/>
        <w:rPr>
          <w:rFonts w:ascii="ITC Avant Garde" w:hAnsi="ITC Avant Garde"/>
          <w:lang w:val="es-MX"/>
        </w:rPr>
      </w:pPr>
      <w:r>
        <w:rPr>
          <w:rFonts w:ascii="ITC Avant Garde" w:hAnsi="ITC Avant Garde"/>
          <w:lang w:val="es-MX"/>
        </w:rPr>
        <w:t>U</w:t>
      </w:r>
      <w:r w:rsidR="00337B8D" w:rsidRPr="00BE63E3">
        <w:rPr>
          <w:rFonts w:ascii="ITC Avant Garde" w:hAnsi="ITC Avant Garde"/>
          <w:lang w:val="es-MX"/>
        </w:rPr>
        <w:t>n</w:t>
      </w:r>
      <w:r w:rsidR="0033164B" w:rsidRPr="00BE63E3">
        <w:rPr>
          <w:rFonts w:ascii="ITC Avant Garde" w:hAnsi="ITC Avant Garde"/>
          <w:lang w:val="es-MX"/>
        </w:rPr>
        <w:t xml:space="preserve"> modelo de costo</w:t>
      </w:r>
      <w:r w:rsidR="00337B8D" w:rsidRPr="00BE63E3">
        <w:rPr>
          <w:rFonts w:ascii="ITC Avant Garde" w:hAnsi="ITC Avant Garde"/>
          <w:lang w:val="es-MX"/>
        </w:rPr>
        <w:t>s</w:t>
      </w:r>
      <w:r w:rsidR="0033164B" w:rsidRPr="00BE63E3">
        <w:rPr>
          <w:rFonts w:ascii="ITC Avant Garde" w:hAnsi="ITC Avant Garde"/>
          <w:lang w:val="es-MX"/>
        </w:rPr>
        <w:t xml:space="preserve"> de la red de acceso fij</w:t>
      </w:r>
      <w:r w:rsidR="00337B8D" w:rsidRPr="00BE63E3">
        <w:rPr>
          <w:rFonts w:ascii="ITC Avant Garde" w:hAnsi="ITC Avant Garde"/>
          <w:lang w:val="es-MX"/>
        </w:rPr>
        <w:t>a</w:t>
      </w:r>
      <w:r w:rsidR="0033164B" w:rsidRPr="00BE63E3">
        <w:rPr>
          <w:rFonts w:ascii="ITC Avant Garde" w:hAnsi="ITC Avant Garde"/>
          <w:lang w:val="es-MX"/>
        </w:rPr>
        <w:t xml:space="preserve"> para </w:t>
      </w:r>
      <w:r w:rsidR="00337B8D" w:rsidRPr="00BE63E3">
        <w:rPr>
          <w:rFonts w:ascii="ITC Avant Garde" w:hAnsi="ITC Avant Garde"/>
          <w:lang w:val="es-MX"/>
        </w:rPr>
        <w:t xml:space="preserve">la compartición de </w:t>
      </w:r>
      <w:r w:rsidR="0033164B" w:rsidRPr="00BE63E3">
        <w:rPr>
          <w:rFonts w:ascii="ITC Avant Garde" w:hAnsi="ITC Avant Garde"/>
          <w:lang w:val="es-MX"/>
        </w:rPr>
        <w:t>infraestructura y servicios de desagregación. En este informe, este modelo de costo</w:t>
      </w:r>
      <w:r>
        <w:rPr>
          <w:rFonts w:ascii="ITC Avant Garde" w:hAnsi="ITC Avant Garde"/>
          <w:lang w:val="es-MX"/>
        </w:rPr>
        <w:t>s</w:t>
      </w:r>
      <w:r w:rsidR="0033164B" w:rsidRPr="00BE63E3">
        <w:rPr>
          <w:rFonts w:ascii="ITC Avant Garde" w:hAnsi="ITC Avant Garde"/>
          <w:lang w:val="es-MX"/>
        </w:rPr>
        <w:t xml:space="preserve"> se denominará "Modelo de cobre";</w:t>
      </w:r>
    </w:p>
    <w:p w:rsidR="0033164B" w:rsidRPr="00BE63E3" w:rsidRDefault="0062074B" w:rsidP="0033164B">
      <w:pPr>
        <w:pStyle w:val="Listaconvietas2"/>
        <w:rPr>
          <w:rFonts w:ascii="ITC Avant Garde" w:hAnsi="ITC Avant Garde"/>
          <w:lang w:val="es-MX"/>
        </w:rPr>
      </w:pPr>
      <w:r>
        <w:rPr>
          <w:rFonts w:ascii="ITC Avant Garde" w:hAnsi="ITC Avant Garde"/>
          <w:lang w:val="es-MX"/>
        </w:rPr>
        <w:t>U</w:t>
      </w:r>
      <w:r w:rsidR="00337B8D" w:rsidRPr="00BE63E3">
        <w:rPr>
          <w:rFonts w:ascii="ITC Avant Garde" w:hAnsi="ITC Avant Garde"/>
          <w:lang w:val="es-MX"/>
        </w:rPr>
        <w:t>n</w:t>
      </w:r>
      <w:r w:rsidR="0033164B" w:rsidRPr="00BE63E3">
        <w:rPr>
          <w:rFonts w:ascii="ITC Avant Garde" w:hAnsi="ITC Avant Garde"/>
          <w:lang w:val="es-MX"/>
        </w:rPr>
        <w:t xml:space="preserve"> modelo de costo</w:t>
      </w:r>
      <w:r w:rsidR="00337B8D" w:rsidRPr="00BE63E3">
        <w:rPr>
          <w:rFonts w:ascii="ITC Avant Garde" w:hAnsi="ITC Avant Garde"/>
          <w:lang w:val="es-MX"/>
        </w:rPr>
        <w:t>s</w:t>
      </w:r>
      <w:r w:rsidR="0033164B" w:rsidRPr="00BE63E3">
        <w:rPr>
          <w:rFonts w:ascii="ITC Avant Garde" w:hAnsi="ITC Avant Garde"/>
          <w:lang w:val="es-MX"/>
        </w:rPr>
        <w:t xml:space="preserve"> </w:t>
      </w:r>
      <w:r w:rsidR="009C573E" w:rsidRPr="00BE63E3">
        <w:rPr>
          <w:rFonts w:ascii="ITC Avant Garde" w:hAnsi="ITC Avant Garde"/>
          <w:lang w:val="es-MX"/>
        </w:rPr>
        <w:t xml:space="preserve">de la red de acceso </w:t>
      </w:r>
      <w:r w:rsidR="0033164B" w:rsidRPr="00BE63E3">
        <w:rPr>
          <w:rFonts w:ascii="ITC Avant Garde" w:hAnsi="ITC Avant Garde"/>
          <w:lang w:val="es-MX"/>
        </w:rPr>
        <w:t>de fibra óptica del operador con poder de mercado significativo (SMP</w:t>
      </w:r>
      <w:r w:rsidR="00A8465E" w:rsidRPr="00BE63E3">
        <w:rPr>
          <w:rFonts w:ascii="ITC Avant Garde" w:hAnsi="ITC Avant Garde"/>
          <w:lang w:val="es-MX"/>
        </w:rPr>
        <w:t xml:space="preserve"> por sus siglas en inglés</w:t>
      </w:r>
      <w:r w:rsidR="00337B8D" w:rsidRPr="00BE63E3">
        <w:rPr>
          <w:rFonts w:ascii="ITC Avant Garde" w:hAnsi="ITC Avant Garde"/>
          <w:lang w:val="es-MX"/>
        </w:rPr>
        <w:t xml:space="preserve"> </w:t>
      </w:r>
      <w:proofErr w:type="spellStart"/>
      <w:r w:rsidR="00337B8D" w:rsidRPr="00BE63E3">
        <w:rPr>
          <w:rFonts w:ascii="ITC Avant Garde" w:hAnsi="ITC Avant Garde"/>
          <w:i/>
          <w:lang w:val="es-MX"/>
        </w:rPr>
        <w:t>Significant</w:t>
      </w:r>
      <w:proofErr w:type="spellEnd"/>
      <w:r w:rsidR="00337B8D" w:rsidRPr="00BE63E3">
        <w:rPr>
          <w:rFonts w:ascii="ITC Avant Garde" w:hAnsi="ITC Avant Garde"/>
          <w:i/>
          <w:lang w:val="es-MX"/>
        </w:rPr>
        <w:t xml:space="preserve"> </w:t>
      </w:r>
      <w:proofErr w:type="spellStart"/>
      <w:r w:rsidR="00337B8D" w:rsidRPr="00BE63E3">
        <w:rPr>
          <w:rFonts w:ascii="ITC Avant Garde" w:hAnsi="ITC Avant Garde"/>
          <w:i/>
          <w:lang w:val="es-MX"/>
        </w:rPr>
        <w:t>Market</w:t>
      </w:r>
      <w:proofErr w:type="spellEnd"/>
      <w:r w:rsidR="00337B8D" w:rsidRPr="00BE63E3">
        <w:rPr>
          <w:rFonts w:ascii="ITC Avant Garde" w:hAnsi="ITC Avant Garde"/>
          <w:i/>
          <w:lang w:val="es-MX"/>
        </w:rPr>
        <w:t xml:space="preserve"> </w:t>
      </w:r>
      <w:proofErr w:type="spellStart"/>
      <w:r w:rsidR="00337B8D" w:rsidRPr="00BE63E3">
        <w:rPr>
          <w:rFonts w:ascii="ITC Avant Garde" w:hAnsi="ITC Avant Garde"/>
          <w:i/>
          <w:lang w:val="es-MX"/>
        </w:rPr>
        <w:t>Power</w:t>
      </w:r>
      <w:proofErr w:type="spellEnd"/>
      <w:r w:rsidR="0033164B" w:rsidRPr="00BE63E3">
        <w:rPr>
          <w:rFonts w:ascii="ITC Avant Garde" w:hAnsi="ITC Avant Garde"/>
          <w:lang w:val="es-MX"/>
        </w:rPr>
        <w:t>)</w:t>
      </w:r>
      <w:r w:rsidR="009C573E" w:rsidRPr="00BE63E3">
        <w:rPr>
          <w:rFonts w:ascii="ITC Avant Garde" w:hAnsi="ITC Avant Garde"/>
          <w:lang w:val="es-MX"/>
        </w:rPr>
        <w:t>, en e</w:t>
      </w:r>
      <w:r w:rsidR="00012A82" w:rsidRPr="00BE63E3">
        <w:rPr>
          <w:rFonts w:ascii="ITC Avant Garde" w:hAnsi="ITC Avant Garde"/>
          <w:lang w:val="es-MX"/>
        </w:rPr>
        <w:t>ste</w:t>
      </w:r>
      <w:r w:rsidR="009C573E" w:rsidRPr="00BE63E3">
        <w:rPr>
          <w:rFonts w:ascii="ITC Avant Garde" w:hAnsi="ITC Avant Garde"/>
          <w:lang w:val="es-MX"/>
        </w:rPr>
        <w:t xml:space="preserve"> caso particular del Agente Económico Preponderante (AEP)</w:t>
      </w:r>
      <w:r w:rsidR="0033164B" w:rsidRPr="00BE63E3">
        <w:rPr>
          <w:rFonts w:ascii="ITC Avant Garde" w:hAnsi="ITC Avant Garde"/>
          <w:lang w:val="es-MX"/>
        </w:rPr>
        <w:t>. En este informe, este modelo de costo</w:t>
      </w:r>
      <w:r>
        <w:rPr>
          <w:rFonts w:ascii="ITC Avant Garde" w:hAnsi="ITC Avant Garde"/>
          <w:lang w:val="es-MX"/>
        </w:rPr>
        <w:t>s</w:t>
      </w:r>
      <w:r w:rsidR="0033164B" w:rsidRPr="00BE63E3">
        <w:rPr>
          <w:rFonts w:ascii="ITC Avant Garde" w:hAnsi="ITC Avant Garde"/>
          <w:lang w:val="es-MX"/>
        </w:rPr>
        <w:t xml:space="preserve"> se denominará "Modelo de </w:t>
      </w:r>
      <w:r w:rsidR="009C573E" w:rsidRPr="00BE63E3">
        <w:rPr>
          <w:rFonts w:ascii="ITC Avant Garde" w:hAnsi="ITC Avant Garde"/>
          <w:lang w:val="es-MX"/>
        </w:rPr>
        <w:t>fibra</w:t>
      </w:r>
      <w:r w:rsidR="0033164B" w:rsidRPr="00BE63E3">
        <w:rPr>
          <w:rFonts w:ascii="ITC Avant Garde" w:hAnsi="ITC Avant Garde"/>
          <w:lang w:val="es-MX"/>
        </w:rPr>
        <w:t>".</w:t>
      </w:r>
    </w:p>
    <w:p w:rsidR="0033164B" w:rsidRPr="00BE63E3" w:rsidRDefault="0033164B" w:rsidP="0033164B">
      <w:pPr>
        <w:rPr>
          <w:rFonts w:ascii="ITC Avant Garde" w:hAnsi="ITC Avant Garde"/>
          <w:lang w:val="es-MX"/>
        </w:rPr>
      </w:pPr>
      <w:r w:rsidRPr="00BE63E3">
        <w:rPr>
          <w:rFonts w:ascii="ITC Avant Garde" w:hAnsi="ITC Avant Garde"/>
          <w:lang w:val="es-MX"/>
        </w:rPr>
        <w:t>El 2</w:t>
      </w:r>
      <w:r w:rsidR="003B3606" w:rsidRPr="00BE63E3">
        <w:rPr>
          <w:rFonts w:ascii="ITC Avant Garde" w:hAnsi="ITC Avant Garde"/>
          <w:lang w:val="es-MX"/>
        </w:rPr>
        <w:t>7</w:t>
      </w:r>
      <w:r w:rsidRPr="00BE63E3">
        <w:rPr>
          <w:rFonts w:ascii="ITC Avant Garde" w:hAnsi="ITC Avant Garde"/>
          <w:lang w:val="es-MX"/>
        </w:rPr>
        <w:t xml:space="preserve"> de febrero de 2017, </w:t>
      </w:r>
      <w:r w:rsidR="003B3606" w:rsidRPr="00E65505">
        <w:rPr>
          <w:rFonts w:ascii="ITC Avant Garde" w:hAnsi="ITC Avant Garde"/>
          <w:lang w:val="es-MX"/>
        </w:rPr>
        <w:t>el Pleno del</w:t>
      </w:r>
      <w:r w:rsidRPr="00BE63E3">
        <w:rPr>
          <w:rFonts w:ascii="ITC Avant Garde" w:hAnsi="ITC Avant Garde"/>
          <w:lang w:val="es-MX"/>
        </w:rPr>
        <w:t xml:space="preserve"> IFT </w:t>
      </w:r>
      <w:r w:rsidR="003B3606" w:rsidRPr="00E65505">
        <w:rPr>
          <w:rFonts w:ascii="ITC Avant Garde" w:hAnsi="ITC Avant Garde"/>
          <w:lang w:val="es-MX"/>
        </w:rPr>
        <w:t xml:space="preserve">aprobó mediante Acuerdo P/IFT/EXT/270217/119 </w:t>
      </w:r>
      <w:r w:rsidRPr="00BE63E3">
        <w:rPr>
          <w:rFonts w:ascii="ITC Avant Garde" w:hAnsi="ITC Avant Garde"/>
          <w:lang w:val="es-MX"/>
        </w:rPr>
        <w:t xml:space="preserve"> </w:t>
      </w:r>
      <w:r w:rsidR="003B3606" w:rsidRPr="00E65505">
        <w:rPr>
          <w:rFonts w:ascii="ITC Avant Garde" w:hAnsi="ITC Avant Garde"/>
          <w:lang w:val="es-MX"/>
        </w:rPr>
        <w:t>la “</w:t>
      </w:r>
      <w:r w:rsidR="003B3606" w:rsidRPr="00BE63E3">
        <w:rPr>
          <w:rFonts w:ascii="ITC Avant Garde" w:hAnsi="ITC Avant Garde"/>
          <w:i/>
          <w:lang w:val="es-MX"/>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003B3606" w:rsidRPr="00BE63E3">
        <w:rPr>
          <w:rFonts w:ascii="ITC Avant Garde" w:hAnsi="ITC Avant Garde"/>
          <w:lang w:val="es-MX"/>
        </w:rPr>
        <w:t xml:space="preserve"> (Resolución Bienal</w:t>
      </w:r>
      <w:r w:rsidR="003B3606" w:rsidRPr="00E65505">
        <w:rPr>
          <w:rFonts w:ascii="ITC Avant Garde" w:hAnsi="ITC Avant Garde"/>
          <w:lang w:val="es-MX"/>
        </w:rPr>
        <w:t xml:space="preserve">) </w:t>
      </w:r>
      <w:r w:rsidR="003B3606" w:rsidRPr="00BE63E3">
        <w:rPr>
          <w:rFonts w:ascii="ITC Avant Garde" w:hAnsi="ITC Avant Garde"/>
          <w:lang w:val="es-MX"/>
        </w:rPr>
        <w:t>que contiene</w:t>
      </w:r>
      <w:r w:rsidRPr="00BE63E3">
        <w:rPr>
          <w:rFonts w:ascii="ITC Avant Garde" w:hAnsi="ITC Avant Garde"/>
          <w:lang w:val="es-MX"/>
        </w:rPr>
        <w:t xml:space="preserve"> un conjunto actualizado de decisiones que tienen la intención de revisar, agregar y modificar las medidas impuestas al </w:t>
      </w:r>
      <w:r w:rsidR="0062074B">
        <w:rPr>
          <w:rFonts w:ascii="ITC Avant Garde" w:hAnsi="ITC Avant Garde"/>
          <w:lang w:val="es-MX"/>
        </w:rPr>
        <w:t>AEP</w:t>
      </w:r>
      <w:r w:rsidRPr="00BE63E3">
        <w:rPr>
          <w:rFonts w:ascii="ITC Avant Garde" w:hAnsi="ITC Avant Garde"/>
          <w:lang w:val="es-MX"/>
        </w:rPr>
        <w:t xml:space="preserve">. Estas medidas publicadas en la </w:t>
      </w:r>
      <w:r w:rsidR="003B3606" w:rsidRPr="00BE63E3">
        <w:rPr>
          <w:rFonts w:ascii="ITC Avant Garde" w:hAnsi="ITC Avant Garde"/>
          <w:lang w:val="es-MX"/>
        </w:rPr>
        <w:t>Resolución Bienal</w:t>
      </w:r>
      <w:r w:rsidRPr="00BE63E3">
        <w:rPr>
          <w:rFonts w:ascii="ITC Avant Garde" w:hAnsi="ITC Avant Garde"/>
          <w:lang w:val="es-MX"/>
        </w:rPr>
        <w:t xml:space="preserve"> entraron en vigencia el 9 de marzo de 2017.</w:t>
      </w:r>
    </w:p>
    <w:p w:rsidR="0033164B" w:rsidRPr="00BE63E3" w:rsidRDefault="0033164B" w:rsidP="0033164B">
      <w:pPr>
        <w:rPr>
          <w:rFonts w:ascii="ITC Avant Garde" w:hAnsi="ITC Avant Garde"/>
          <w:lang w:val="es-MX"/>
        </w:rPr>
      </w:pPr>
      <w:r w:rsidRPr="00BE63E3">
        <w:rPr>
          <w:rFonts w:ascii="ITC Avant Garde" w:hAnsi="ITC Avant Garde"/>
          <w:lang w:val="es-MX"/>
        </w:rPr>
        <w:t xml:space="preserve">De acuerdo con </w:t>
      </w:r>
      <w:r w:rsidR="00CE3EDA" w:rsidRPr="00BE63E3">
        <w:rPr>
          <w:rFonts w:ascii="ITC Avant Garde" w:hAnsi="ITC Avant Garde"/>
          <w:lang w:val="es-MX"/>
        </w:rPr>
        <w:t>el Anexo 1 y Anexo 3</w:t>
      </w:r>
      <w:r w:rsidRPr="00BE63E3">
        <w:rPr>
          <w:rFonts w:ascii="ITC Avant Garde" w:hAnsi="ITC Avant Garde"/>
          <w:lang w:val="es-MX"/>
        </w:rPr>
        <w:t xml:space="preserve"> de esta decisión,</w:t>
      </w:r>
      <w:r w:rsidR="00CE3EDA" w:rsidRPr="00BE63E3">
        <w:rPr>
          <w:rFonts w:ascii="ITC Avant Garde" w:hAnsi="ITC Avant Garde"/>
          <w:lang w:val="es-MX"/>
        </w:rPr>
        <w:t xml:space="preserve"> el</w:t>
      </w:r>
      <w:r w:rsidRPr="00BE63E3">
        <w:rPr>
          <w:rFonts w:ascii="ITC Avant Garde" w:hAnsi="ITC Avant Garde"/>
          <w:lang w:val="es-MX"/>
        </w:rPr>
        <w:t xml:space="preserve"> IFT está obligado a evaluar las ofertas de ORCI y OREDA, </w:t>
      </w:r>
      <w:r w:rsidR="00774E1C" w:rsidRPr="00BE63E3">
        <w:rPr>
          <w:rFonts w:ascii="ITC Avant Garde" w:hAnsi="ITC Avant Garde"/>
          <w:lang w:val="es-MX"/>
        </w:rPr>
        <w:t xml:space="preserve">así como determinar </w:t>
      </w:r>
      <w:r w:rsidRPr="00BE63E3">
        <w:rPr>
          <w:rFonts w:ascii="ITC Avant Garde" w:hAnsi="ITC Avant Garde"/>
          <w:lang w:val="es-MX"/>
        </w:rPr>
        <w:t>las tarifas aplicables para ambas ofertas de referencia basadas en un enfoque orientado a costos</w:t>
      </w:r>
      <w:r w:rsidR="00337B8D" w:rsidRPr="00BE63E3">
        <w:rPr>
          <w:rFonts w:ascii="ITC Avant Garde" w:hAnsi="ITC Avant Garde"/>
          <w:lang w:val="es-MX"/>
        </w:rPr>
        <w:t>,</w:t>
      </w:r>
      <w:r w:rsidRPr="00BE63E3">
        <w:rPr>
          <w:rFonts w:ascii="ITC Avant Garde" w:hAnsi="ITC Avant Garde"/>
          <w:lang w:val="es-MX"/>
        </w:rPr>
        <w:t xml:space="preserve"> de acuerdo con </w:t>
      </w:r>
      <w:r w:rsidR="009C573E" w:rsidRPr="00872052">
        <w:rPr>
          <w:rFonts w:ascii="ITC Avant Garde" w:hAnsi="ITC Avant Garde"/>
          <w:lang w:val="es-MX"/>
        </w:rPr>
        <w:t>la</w:t>
      </w:r>
      <w:r w:rsidR="009C573E" w:rsidRPr="00BE63E3">
        <w:rPr>
          <w:rFonts w:ascii="ITC Avant Garde" w:hAnsi="ITC Avant Garde"/>
          <w:lang w:val="es-MX"/>
        </w:rPr>
        <w:t xml:space="preserve"> metodología</w:t>
      </w:r>
      <w:r w:rsidRPr="00BE63E3">
        <w:rPr>
          <w:rFonts w:ascii="ITC Avant Garde" w:hAnsi="ITC Avant Garde"/>
          <w:lang w:val="es-MX"/>
        </w:rPr>
        <w:t xml:space="preserve"> de costo</w:t>
      </w:r>
      <w:r w:rsidR="00407AD2" w:rsidRPr="00BE63E3">
        <w:rPr>
          <w:rFonts w:ascii="ITC Avant Garde" w:hAnsi="ITC Avant Garde"/>
          <w:lang w:val="es-MX"/>
        </w:rPr>
        <w:t>s</w:t>
      </w:r>
      <w:r w:rsidRPr="00BE63E3">
        <w:rPr>
          <w:rFonts w:ascii="ITC Avant Garde" w:hAnsi="ITC Avant Garde"/>
          <w:lang w:val="es-MX"/>
        </w:rPr>
        <w:t xml:space="preserve"> incremental</w:t>
      </w:r>
      <w:r w:rsidR="00407AD2" w:rsidRPr="00BE63E3">
        <w:rPr>
          <w:rFonts w:ascii="ITC Avant Garde" w:hAnsi="ITC Avant Garde"/>
          <w:lang w:val="es-MX"/>
        </w:rPr>
        <w:t>es</w:t>
      </w:r>
      <w:r w:rsidRPr="00BE63E3">
        <w:rPr>
          <w:rFonts w:ascii="ITC Avant Garde" w:hAnsi="ITC Avant Garde"/>
          <w:lang w:val="es-MX"/>
        </w:rPr>
        <w:t xml:space="preserve"> promedio </w:t>
      </w:r>
      <w:r w:rsidR="00407AD2" w:rsidRPr="00BE63E3">
        <w:rPr>
          <w:rFonts w:ascii="ITC Avant Garde" w:hAnsi="ITC Avant Garde"/>
          <w:lang w:val="es-MX"/>
        </w:rPr>
        <w:t>de</w:t>
      </w:r>
      <w:r w:rsidRPr="00BE63E3">
        <w:rPr>
          <w:rFonts w:ascii="ITC Avant Garde" w:hAnsi="ITC Avant Garde"/>
          <w:lang w:val="es-MX"/>
        </w:rPr>
        <w:t xml:space="preserve"> largo plazo</w:t>
      </w:r>
      <w:r w:rsidR="00337B8D" w:rsidRPr="00BE63E3">
        <w:rPr>
          <w:rFonts w:ascii="ITC Avant Garde" w:hAnsi="ITC Avant Garde"/>
          <w:lang w:val="es-MX"/>
        </w:rPr>
        <w:t xml:space="preserve"> (</w:t>
      </w:r>
      <w:r w:rsidR="00407AD2" w:rsidRPr="00BE63E3">
        <w:rPr>
          <w:rFonts w:ascii="ITC Avant Garde" w:hAnsi="ITC Avant Garde"/>
          <w:lang w:val="es-MX"/>
        </w:rPr>
        <w:t xml:space="preserve">CIPLP o </w:t>
      </w:r>
      <w:r w:rsidR="00337B8D" w:rsidRPr="00BE63E3">
        <w:rPr>
          <w:rFonts w:ascii="ITC Avant Garde" w:hAnsi="ITC Avant Garde"/>
          <w:lang w:val="es-MX"/>
        </w:rPr>
        <w:t>LRAIC</w:t>
      </w:r>
      <w:r w:rsidR="00407AD2" w:rsidRPr="00BE63E3">
        <w:rPr>
          <w:rFonts w:ascii="ITC Avant Garde" w:hAnsi="ITC Avant Garde"/>
          <w:lang w:val="es-MX"/>
        </w:rPr>
        <w:t xml:space="preserve"> por sus siglas en inglés </w:t>
      </w:r>
      <w:r w:rsidR="00337B8D" w:rsidRPr="00BE63E3">
        <w:rPr>
          <w:rFonts w:ascii="ITC Avant Garde" w:hAnsi="ITC Avant Garde"/>
          <w:i/>
          <w:lang w:val="es-MX"/>
        </w:rPr>
        <w:t xml:space="preserve">Long Run </w:t>
      </w:r>
      <w:proofErr w:type="spellStart"/>
      <w:r w:rsidR="00337B8D" w:rsidRPr="00BE63E3">
        <w:rPr>
          <w:rFonts w:ascii="ITC Avant Garde" w:hAnsi="ITC Avant Garde"/>
          <w:i/>
          <w:lang w:val="es-MX"/>
        </w:rPr>
        <w:t>Average</w:t>
      </w:r>
      <w:proofErr w:type="spellEnd"/>
      <w:r w:rsidR="00337B8D" w:rsidRPr="00BE63E3">
        <w:rPr>
          <w:rFonts w:ascii="ITC Avant Garde" w:hAnsi="ITC Avant Garde"/>
          <w:i/>
          <w:lang w:val="es-MX"/>
        </w:rPr>
        <w:t xml:space="preserve"> Incremental </w:t>
      </w:r>
      <w:proofErr w:type="spellStart"/>
      <w:r w:rsidR="00337B8D" w:rsidRPr="00BE63E3">
        <w:rPr>
          <w:rFonts w:ascii="ITC Avant Garde" w:hAnsi="ITC Avant Garde"/>
          <w:i/>
          <w:lang w:val="es-MX"/>
        </w:rPr>
        <w:t>Cost</w:t>
      </w:r>
      <w:proofErr w:type="spellEnd"/>
      <w:r w:rsidR="00337B8D" w:rsidRPr="00BE63E3">
        <w:rPr>
          <w:rFonts w:ascii="ITC Avant Garde" w:hAnsi="ITC Avant Garde"/>
          <w:lang w:val="es-MX"/>
        </w:rPr>
        <w:t>)</w:t>
      </w:r>
      <w:r w:rsidRPr="00BE63E3">
        <w:rPr>
          <w:rFonts w:ascii="ITC Avant Garde" w:hAnsi="ITC Avant Garde"/>
          <w:lang w:val="es-MX"/>
        </w:rPr>
        <w:t>.</w:t>
      </w:r>
    </w:p>
    <w:p w:rsidR="00337B8D" w:rsidRPr="00BE63E3" w:rsidRDefault="0033164B" w:rsidP="0033164B">
      <w:pPr>
        <w:rPr>
          <w:rFonts w:ascii="ITC Avant Garde" w:hAnsi="ITC Avant Garde"/>
          <w:lang w:val="es-MX"/>
        </w:rPr>
      </w:pPr>
      <w:r w:rsidRPr="00BE63E3">
        <w:rPr>
          <w:rFonts w:ascii="ITC Avant Garde" w:hAnsi="ITC Avant Garde"/>
          <w:lang w:val="es-MX"/>
        </w:rPr>
        <w:t xml:space="preserve">Consistente con este marco regulatorio actualizado y dada la naturaleza de los servicios incluidos en las ofertas de referencia antes mencionadas, así como los parámetros, insumos y metodologías ya implementadas en los modelos de acceso (fibra y cobre), </w:t>
      </w:r>
      <w:r w:rsidR="00337B8D" w:rsidRPr="00BE63E3">
        <w:rPr>
          <w:rFonts w:ascii="ITC Avant Garde" w:hAnsi="ITC Avant Garde"/>
          <w:lang w:val="es-MX"/>
        </w:rPr>
        <w:t xml:space="preserve">el </w:t>
      </w:r>
      <w:r w:rsidRPr="00BE63E3">
        <w:rPr>
          <w:rFonts w:ascii="ITC Avant Garde" w:hAnsi="ITC Avant Garde"/>
          <w:lang w:val="es-MX"/>
        </w:rPr>
        <w:t xml:space="preserve">IFT </w:t>
      </w:r>
      <w:r w:rsidR="00337B8D" w:rsidRPr="00BE63E3">
        <w:rPr>
          <w:rFonts w:ascii="ITC Avant Garde" w:hAnsi="ITC Avant Garde"/>
          <w:lang w:val="es-MX"/>
        </w:rPr>
        <w:t>decidi</w:t>
      </w:r>
      <w:r w:rsidR="009C573E" w:rsidRPr="00BE63E3">
        <w:rPr>
          <w:rFonts w:ascii="ITC Avant Garde" w:hAnsi="ITC Avant Garde"/>
          <w:lang w:val="es-MX"/>
        </w:rPr>
        <w:t>ó</w:t>
      </w:r>
      <w:r w:rsidRPr="00BE63E3">
        <w:rPr>
          <w:rFonts w:ascii="ITC Avant Garde" w:hAnsi="ITC Avant Garde"/>
          <w:lang w:val="es-MX"/>
        </w:rPr>
        <w:t xml:space="preserve"> desarrollar un modelo de costo integral que permite calcular</w:t>
      </w:r>
      <w:r w:rsidR="000C52E2">
        <w:rPr>
          <w:rFonts w:ascii="ITC Avant Garde" w:hAnsi="ITC Avant Garde"/>
          <w:lang w:val="es-MX"/>
        </w:rPr>
        <w:t>:</w:t>
      </w:r>
      <w:r w:rsidRPr="00BE63E3">
        <w:rPr>
          <w:rFonts w:ascii="ITC Avant Garde" w:hAnsi="ITC Avant Garde"/>
          <w:lang w:val="es-MX"/>
        </w:rPr>
        <w:t xml:space="preserve"> </w:t>
      </w:r>
    </w:p>
    <w:p w:rsidR="00337B8D" w:rsidRPr="00872052" w:rsidRDefault="000C52E2" w:rsidP="00556A48">
      <w:pPr>
        <w:pStyle w:val="Prrafodelista"/>
        <w:numPr>
          <w:ilvl w:val="0"/>
          <w:numId w:val="8"/>
        </w:numPr>
        <w:rPr>
          <w:rFonts w:ascii="ITC Avant Garde" w:hAnsi="ITC Avant Garde"/>
          <w:lang w:val="es-MX"/>
        </w:rPr>
      </w:pPr>
      <w:r>
        <w:rPr>
          <w:rFonts w:ascii="ITC Avant Garde" w:hAnsi="ITC Avant Garde"/>
          <w:lang w:val="es-MX"/>
        </w:rPr>
        <w:lastRenderedPageBreak/>
        <w:t>E</w:t>
      </w:r>
      <w:r w:rsidR="0033164B" w:rsidRPr="00BE63E3">
        <w:rPr>
          <w:rFonts w:ascii="ITC Avant Garde" w:hAnsi="ITC Avant Garde"/>
          <w:lang w:val="es-MX"/>
        </w:rPr>
        <w:t xml:space="preserve">l costo de los servicios de desagregación relacionados con la red de acceso del </w:t>
      </w:r>
      <w:r w:rsidR="007A05CF" w:rsidRPr="00BE63E3">
        <w:rPr>
          <w:rFonts w:ascii="ITC Avant Garde" w:hAnsi="ITC Avant Garde"/>
          <w:lang w:val="es-MX"/>
        </w:rPr>
        <w:t>AEP</w:t>
      </w:r>
      <w:r w:rsidR="0033164B" w:rsidRPr="00BE63E3">
        <w:rPr>
          <w:rFonts w:ascii="ITC Avant Garde" w:hAnsi="ITC Avant Garde"/>
          <w:lang w:val="es-MX"/>
        </w:rPr>
        <w:t xml:space="preserve"> para ambas tecnologías, cobre y fibra</w:t>
      </w:r>
      <w:r>
        <w:rPr>
          <w:rFonts w:ascii="ITC Avant Garde" w:hAnsi="ITC Avant Garde"/>
          <w:lang w:val="es-MX"/>
        </w:rPr>
        <w:t>;</w:t>
      </w:r>
      <w:r w:rsidR="0033164B" w:rsidRPr="00BE63E3">
        <w:rPr>
          <w:rFonts w:ascii="ITC Avant Garde" w:hAnsi="ITC Avant Garde"/>
          <w:lang w:val="es-MX"/>
        </w:rPr>
        <w:t xml:space="preserve"> y</w:t>
      </w:r>
      <w:r w:rsidR="0033164B" w:rsidRPr="00872052">
        <w:rPr>
          <w:rFonts w:ascii="ITC Avant Garde" w:hAnsi="ITC Avant Garde"/>
          <w:lang w:val="es-MX"/>
        </w:rPr>
        <w:t xml:space="preserve"> </w:t>
      </w:r>
    </w:p>
    <w:p w:rsidR="0033164B" w:rsidRPr="00BE63E3" w:rsidRDefault="000C52E2" w:rsidP="00556A48">
      <w:pPr>
        <w:pStyle w:val="Prrafodelista"/>
        <w:numPr>
          <w:ilvl w:val="0"/>
          <w:numId w:val="8"/>
        </w:numPr>
        <w:rPr>
          <w:rFonts w:ascii="ITC Avant Garde" w:hAnsi="ITC Avant Garde"/>
          <w:lang w:val="es-MX"/>
        </w:rPr>
      </w:pPr>
      <w:r>
        <w:rPr>
          <w:rFonts w:ascii="ITC Avant Garde" w:hAnsi="ITC Avant Garde"/>
          <w:lang w:val="es-MX"/>
        </w:rPr>
        <w:t>E</w:t>
      </w:r>
      <w:r w:rsidR="0033164B" w:rsidRPr="00BE63E3">
        <w:rPr>
          <w:rFonts w:ascii="ITC Avant Garde" w:hAnsi="ITC Avant Garde"/>
          <w:lang w:val="es-MX"/>
        </w:rPr>
        <w:t xml:space="preserve">l costo de los servicios de compartición de infraestructura pasiva. </w:t>
      </w:r>
    </w:p>
    <w:p w:rsidR="00372D1F" w:rsidRPr="00BE63E3" w:rsidRDefault="00372D1F" w:rsidP="0033164B">
      <w:pPr>
        <w:rPr>
          <w:rFonts w:ascii="ITC Avant Garde" w:hAnsi="ITC Avant Garde"/>
          <w:lang w:val="es-MX"/>
        </w:rPr>
      </w:pPr>
    </w:p>
    <w:p w:rsidR="00372D1F" w:rsidRPr="00BE63E3" w:rsidRDefault="00372D1F" w:rsidP="00372D1F">
      <w:pPr>
        <w:rPr>
          <w:rFonts w:ascii="ITC Avant Garde" w:hAnsi="ITC Avant Garde"/>
          <w:lang w:val="es-MX"/>
        </w:rPr>
      </w:pPr>
      <w:r w:rsidRPr="00BE63E3">
        <w:rPr>
          <w:rFonts w:ascii="ITC Avant Garde" w:hAnsi="ITC Avant Garde"/>
          <w:lang w:val="es-MX"/>
        </w:rPr>
        <w:t xml:space="preserve">El IFT ha encargado a TERA </w:t>
      </w:r>
      <w:proofErr w:type="spellStart"/>
      <w:r w:rsidRPr="00BE63E3">
        <w:rPr>
          <w:rFonts w:ascii="ITC Avant Garde" w:hAnsi="ITC Avant Garde"/>
          <w:lang w:val="es-MX"/>
        </w:rPr>
        <w:t>Consultants</w:t>
      </w:r>
      <w:proofErr w:type="spellEnd"/>
      <w:r w:rsidRPr="00BE63E3">
        <w:rPr>
          <w:rFonts w:ascii="ITC Avant Garde" w:hAnsi="ITC Avant Garde"/>
          <w:lang w:val="es-MX"/>
        </w:rPr>
        <w:t xml:space="preserve"> (TERA) el desarrollo del modelo </w:t>
      </w:r>
      <w:r w:rsidR="00A8465E" w:rsidRPr="00BE63E3">
        <w:rPr>
          <w:rFonts w:ascii="ITC Avant Garde" w:hAnsi="ITC Avant Garde"/>
          <w:lang w:val="es-MX"/>
        </w:rPr>
        <w:t xml:space="preserve">de CIPLP </w:t>
      </w:r>
      <w:r w:rsidRPr="00BE63E3">
        <w:rPr>
          <w:rFonts w:ascii="ITC Avant Garde" w:hAnsi="ITC Avant Garde"/>
          <w:lang w:val="es-MX"/>
        </w:rPr>
        <w:t xml:space="preserve">para redes fijas en México para el período 2018-2023 con el fin de establecer precios para los servicios antes citados. </w:t>
      </w:r>
    </w:p>
    <w:p w:rsidR="00372D1F" w:rsidRPr="00BE63E3" w:rsidRDefault="00372D1F" w:rsidP="00372D1F">
      <w:pPr>
        <w:rPr>
          <w:rFonts w:ascii="ITC Avant Garde" w:hAnsi="ITC Avant Garde"/>
          <w:lang w:val="es-MX"/>
        </w:rPr>
      </w:pPr>
      <w:r w:rsidRPr="00BE63E3">
        <w:rPr>
          <w:rFonts w:ascii="ITC Avant Garde" w:hAnsi="ITC Avant Garde"/>
          <w:lang w:val="es-MX"/>
        </w:rPr>
        <w:t xml:space="preserve">Como parte de las primeras fases de este proyecto, TERA realizó una revisión global de los modelos </w:t>
      </w:r>
      <w:r w:rsidR="009136FB" w:rsidRPr="00BE63E3">
        <w:rPr>
          <w:rFonts w:ascii="ITC Avant Garde" w:hAnsi="ITC Avant Garde"/>
          <w:lang w:val="es-MX"/>
        </w:rPr>
        <w:t>de cobre y de fibra</w:t>
      </w:r>
      <w:r w:rsidRPr="00BE63E3">
        <w:rPr>
          <w:rFonts w:ascii="ITC Avant Garde" w:hAnsi="ITC Avant Garde"/>
          <w:lang w:val="es-MX"/>
        </w:rPr>
        <w:t>, y en los últimos meses, ha recopilado información de diferentes partes interesadas</w:t>
      </w:r>
      <w:r w:rsidR="009C573E" w:rsidRPr="00BE63E3">
        <w:rPr>
          <w:rFonts w:ascii="ITC Avant Garde" w:hAnsi="ITC Avant Garde"/>
          <w:lang w:val="es-MX"/>
        </w:rPr>
        <w:t>, inclu</w:t>
      </w:r>
      <w:r w:rsidR="000C52E2">
        <w:rPr>
          <w:rFonts w:ascii="ITC Avant Garde" w:hAnsi="ITC Avant Garde"/>
          <w:lang w:val="es-MX"/>
        </w:rPr>
        <w:t>y</w:t>
      </w:r>
      <w:r w:rsidR="009C573E" w:rsidRPr="00BE63E3">
        <w:rPr>
          <w:rFonts w:ascii="ITC Avant Garde" w:hAnsi="ITC Avant Garde"/>
          <w:lang w:val="es-MX"/>
        </w:rPr>
        <w:t>endo a</w:t>
      </w:r>
      <w:r w:rsidRPr="00BE63E3">
        <w:rPr>
          <w:rFonts w:ascii="ITC Avant Garde" w:hAnsi="ITC Avant Garde"/>
          <w:lang w:val="es-MX"/>
        </w:rPr>
        <w:t xml:space="preserve"> Telmex</w:t>
      </w:r>
      <w:r w:rsidR="00774E1C" w:rsidRPr="00BE63E3">
        <w:rPr>
          <w:rFonts w:ascii="ITC Avant Garde" w:hAnsi="ITC Avant Garde"/>
          <w:lang w:val="es-MX"/>
        </w:rPr>
        <w:t xml:space="preserve"> </w:t>
      </w:r>
      <w:r w:rsidR="009C573E" w:rsidRPr="00BE63E3">
        <w:rPr>
          <w:rFonts w:ascii="ITC Avant Garde" w:hAnsi="ITC Avant Garde"/>
          <w:lang w:val="es-MX"/>
        </w:rPr>
        <w:t>y</w:t>
      </w:r>
      <w:r w:rsidRPr="00BE63E3">
        <w:rPr>
          <w:rFonts w:ascii="ITC Avant Garde" w:hAnsi="ITC Avant Garde"/>
          <w:lang w:val="es-MX"/>
        </w:rPr>
        <w:t xml:space="preserve"> </w:t>
      </w:r>
      <w:proofErr w:type="spellStart"/>
      <w:r w:rsidRPr="00BE63E3">
        <w:rPr>
          <w:rFonts w:ascii="ITC Avant Garde" w:hAnsi="ITC Avant Garde"/>
          <w:lang w:val="es-MX"/>
        </w:rPr>
        <w:t>Telnor</w:t>
      </w:r>
      <w:proofErr w:type="spellEnd"/>
      <w:r w:rsidRPr="00BE63E3">
        <w:rPr>
          <w:rFonts w:ascii="ITC Avant Garde" w:hAnsi="ITC Avant Garde"/>
          <w:lang w:val="es-MX"/>
        </w:rPr>
        <w:t xml:space="preserve">, </w:t>
      </w:r>
      <w:r w:rsidR="009C573E" w:rsidRPr="00BE63E3">
        <w:rPr>
          <w:rFonts w:ascii="ITC Avant Garde" w:hAnsi="ITC Avant Garde"/>
          <w:lang w:val="es-MX"/>
        </w:rPr>
        <w:t>como miembros del AEP</w:t>
      </w:r>
      <w:r w:rsidRPr="00BE63E3">
        <w:rPr>
          <w:rFonts w:ascii="ITC Avant Garde" w:hAnsi="ITC Avant Garde"/>
          <w:lang w:val="es-MX"/>
        </w:rPr>
        <w:t xml:space="preserve">. </w:t>
      </w:r>
    </w:p>
    <w:p w:rsidR="001D6A1A" w:rsidRPr="00BE63E3" w:rsidRDefault="0033164B" w:rsidP="0033164B">
      <w:pPr>
        <w:rPr>
          <w:rFonts w:ascii="ITC Avant Garde" w:hAnsi="ITC Avant Garde"/>
          <w:lang w:val="es-MX"/>
        </w:rPr>
      </w:pPr>
      <w:r w:rsidRPr="00BE63E3">
        <w:rPr>
          <w:rFonts w:ascii="ITC Avant Garde" w:hAnsi="ITC Avant Garde"/>
          <w:lang w:val="es-MX"/>
        </w:rPr>
        <w:t xml:space="preserve">El nuevo modelo </w:t>
      </w:r>
      <w:r w:rsidR="001D6A1A" w:rsidRPr="00BE63E3">
        <w:rPr>
          <w:rFonts w:ascii="ITC Avant Garde" w:hAnsi="ITC Avant Garde"/>
          <w:lang w:val="es-MX"/>
        </w:rPr>
        <w:t>tiene</w:t>
      </w:r>
      <w:r w:rsidRPr="00BE63E3">
        <w:rPr>
          <w:rFonts w:ascii="ITC Avant Garde" w:hAnsi="ITC Avant Garde"/>
          <w:lang w:val="es-MX"/>
        </w:rPr>
        <w:t xml:space="preserve"> en cuenta las partes relevantes y válidas de los modelos anteriores, por </w:t>
      </w:r>
      <w:r w:rsidR="009F5817" w:rsidRPr="00BE63E3">
        <w:rPr>
          <w:rFonts w:ascii="ITC Avant Garde" w:hAnsi="ITC Avant Garde"/>
          <w:lang w:val="es-MX"/>
        </w:rPr>
        <w:t>ejemplo,</w:t>
      </w:r>
      <w:r w:rsidRPr="00BE63E3">
        <w:rPr>
          <w:rFonts w:ascii="ITC Avant Garde" w:hAnsi="ITC Avant Garde"/>
          <w:lang w:val="es-MX"/>
        </w:rPr>
        <w:t xml:space="preserve"> algunas reglas de ingeniería, vidas de activos, datos sobre la red</w:t>
      </w:r>
      <w:r w:rsidR="001D6A1A" w:rsidRPr="00BE63E3">
        <w:rPr>
          <w:rFonts w:ascii="ITC Avant Garde" w:hAnsi="ITC Avant Garde"/>
          <w:lang w:val="es-MX"/>
        </w:rPr>
        <w:t xml:space="preserve"> y</w:t>
      </w:r>
      <w:r w:rsidRPr="00BE63E3">
        <w:rPr>
          <w:rFonts w:ascii="ITC Avant Garde" w:hAnsi="ITC Avant Garde"/>
          <w:lang w:val="es-MX"/>
        </w:rPr>
        <w:t xml:space="preserve"> datos de costos. </w:t>
      </w:r>
    </w:p>
    <w:p w:rsidR="0033164B" w:rsidRPr="00BE63E3" w:rsidRDefault="001D6A1A" w:rsidP="0033164B">
      <w:pPr>
        <w:rPr>
          <w:rFonts w:ascii="ITC Avant Garde" w:hAnsi="ITC Avant Garde"/>
          <w:lang w:val="es-MX"/>
        </w:rPr>
      </w:pPr>
      <w:r w:rsidRPr="00BE63E3">
        <w:rPr>
          <w:rFonts w:ascii="ITC Avant Garde" w:hAnsi="ITC Avant Garde"/>
          <w:lang w:val="es-MX"/>
        </w:rPr>
        <w:t xml:space="preserve">El </w:t>
      </w:r>
      <w:r w:rsidR="0033164B" w:rsidRPr="00BE63E3">
        <w:rPr>
          <w:rFonts w:ascii="ITC Avant Garde" w:hAnsi="ITC Avant Garde"/>
          <w:lang w:val="es-MX"/>
        </w:rPr>
        <w:t xml:space="preserve">modelo de costos </w:t>
      </w:r>
      <w:r w:rsidRPr="00BE63E3">
        <w:rPr>
          <w:rFonts w:ascii="ITC Avant Garde" w:hAnsi="ITC Avant Garde"/>
          <w:lang w:val="es-MX"/>
        </w:rPr>
        <w:t xml:space="preserve">ha sido desarrollado tomando en alta consideración </w:t>
      </w:r>
      <w:r w:rsidR="0033164B" w:rsidRPr="00BE63E3">
        <w:rPr>
          <w:rFonts w:ascii="ITC Avant Garde" w:hAnsi="ITC Avant Garde"/>
          <w:lang w:val="es-MX"/>
        </w:rPr>
        <w:t>el marco regulatorio mexicano</w:t>
      </w:r>
      <w:r w:rsidRPr="00BE63E3">
        <w:rPr>
          <w:rFonts w:ascii="ITC Avant Garde" w:hAnsi="ITC Avant Garde"/>
          <w:lang w:val="es-MX"/>
        </w:rPr>
        <w:t xml:space="preserve">, </w:t>
      </w:r>
      <w:r w:rsidRPr="00872052">
        <w:rPr>
          <w:rFonts w:ascii="ITC Avant Garde" w:hAnsi="ITC Avant Garde"/>
          <w:lang w:val="es-MX"/>
        </w:rPr>
        <w:t>as</w:t>
      </w:r>
      <w:r w:rsidR="006F7C8B">
        <w:rPr>
          <w:rFonts w:ascii="ITC Avant Garde" w:hAnsi="ITC Avant Garde"/>
          <w:lang w:val="es-MX"/>
        </w:rPr>
        <w:t>í</w:t>
      </w:r>
      <w:r w:rsidRPr="00BE63E3">
        <w:rPr>
          <w:rFonts w:ascii="ITC Avant Garde" w:hAnsi="ITC Avant Garde"/>
          <w:lang w:val="es-MX"/>
        </w:rPr>
        <w:t xml:space="preserve"> como</w:t>
      </w:r>
      <w:r w:rsidR="0033164B" w:rsidRPr="00BE63E3">
        <w:rPr>
          <w:rFonts w:ascii="ITC Avant Garde" w:hAnsi="ITC Avant Garde"/>
          <w:lang w:val="es-MX"/>
        </w:rPr>
        <w:t xml:space="preserve"> las mejores prácticas internacionales, </w:t>
      </w:r>
      <w:r w:rsidRPr="00BE63E3">
        <w:rPr>
          <w:rFonts w:ascii="ITC Avant Garde" w:hAnsi="ITC Avant Garde"/>
          <w:lang w:val="es-MX"/>
        </w:rPr>
        <w:t>en particular</w:t>
      </w:r>
      <w:r w:rsidR="0033164B" w:rsidRPr="00BE63E3">
        <w:rPr>
          <w:rFonts w:ascii="ITC Avant Garde" w:hAnsi="ITC Avant Garde"/>
          <w:lang w:val="es-MX"/>
        </w:rPr>
        <w:t xml:space="preserve"> el </w:t>
      </w:r>
      <w:r w:rsidRPr="00BE63E3">
        <w:rPr>
          <w:rFonts w:ascii="ITC Avant Garde" w:hAnsi="ITC Avant Garde"/>
          <w:lang w:val="es-MX"/>
        </w:rPr>
        <w:t>m</w:t>
      </w:r>
      <w:r w:rsidR="0033164B" w:rsidRPr="00BE63E3">
        <w:rPr>
          <w:rFonts w:ascii="ITC Avant Garde" w:hAnsi="ITC Avant Garde"/>
          <w:lang w:val="es-MX"/>
        </w:rPr>
        <w:t>arco</w:t>
      </w:r>
      <w:r w:rsidRPr="00BE63E3">
        <w:rPr>
          <w:rFonts w:ascii="ITC Avant Garde" w:hAnsi="ITC Avant Garde"/>
          <w:lang w:val="es-MX"/>
        </w:rPr>
        <w:t xml:space="preserve"> regulatorio </w:t>
      </w:r>
      <w:r w:rsidR="0033164B" w:rsidRPr="00BE63E3">
        <w:rPr>
          <w:rFonts w:ascii="ITC Avant Garde" w:hAnsi="ITC Avant Garde"/>
          <w:lang w:val="es-MX"/>
        </w:rPr>
        <w:t>Europeo de Comunicaciones Electrónicas</w:t>
      </w:r>
      <w:r w:rsidRPr="00BE63E3">
        <w:rPr>
          <w:rFonts w:ascii="ITC Avant Garde" w:hAnsi="ITC Avant Garde"/>
          <w:lang w:val="es-MX"/>
        </w:rPr>
        <w:t>.</w:t>
      </w:r>
    </w:p>
    <w:p w:rsidR="0033164B" w:rsidRPr="00BE63E3" w:rsidRDefault="0033164B" w:rsidP="00147ADD">
      <w:pPr>
        <w:pStyle w:val="Ttulo2"/>
        <w:rPr>
          <w:rFonts w:ascii="ITC Avant Garde" w:hAnsi="ITC Avant Garde"/>
          <w:lang w:val="es-MX"/>
        </w:rPr>
      </w:pPr>
      <w:bookmarkStart w:id="55" w:name="_Toc525665253"/>
      <w:bookmarkStart w:id="56" w:name="_Toc525665632"/>
      <w:bookmarkStart w:id="57" w:name="_Toc526854334"/>
      <w:r w:rsidRPr="00BE63E3">
        <w:rPr>
          <w:rFonts w:ascii="ITC Avant Garde" w:hAnsi="ITC Avant Garde"/>
          <w:lang w:val="es-MX"/>
        </w:rPr>
        <w:t xml:space="preserve">Objetivos del </w:t>
      </w:r>
      <w:r w:rsidR="001D6A1A" w:rsidRPr="00BE63E3">
        <w:rPr>
          <w:rFonts w:ascii="ITC Avant Garde" w:hAnsi="ITC Avant Garde"/>
          <w:lang w:val="es-MX"/>
        </w:rPr>
        <w:t xml:space="preserve">presente </w:t>
      </w:r>
      <w:r w:rsidRPr="00BE63E3">
        <w:rPr>
          <w:rFonts w:ascii="ITC Avant Garde" w:hAnsi="ITC Avant Garde"/>
          <w:lang w:val="es-MX"/>
        </w:rPr>
        <w:t>informe</w:t>
      </w:r>
      <w:bookmarkEnd w:id="55"/>
      <w:bookmarkEnd w:id="56"/>
      <w:bookmarkEnd w:id="57"/>
    </w:p>
    <w:p w:rsidR="00372D1F" w:rsidRPr="00BE63E3" w:rsidRDefault="00372D1F" w:rsidP="00372D1F">
      <w:pPr>
        <w:rPr>
          <w:rFonts w:ascii="ITC Avant Garde" w:hAnsi="ITC Avant Garde"/>
          <w:lang w:val="es-MX"/>
        </w:rPr>
      </w:pPr>
      <w:r w:rsidRPr="00BE63E3">
        <w:rPr>
          <w:rFonts w:ascii="ITC Avant Garde" w:hAnsi="ITC Avant Garde"/>
          <w:lang w:val="es-MX"/>
        </w:rPr>
        <w:t xml:space="preserve">Este informe tiene como objetivo describir a la industria los principios </w:t>
      </w:r>
      <w:r w:rsidRPr="00872052">
        <w:rPr>
          <w:rFonts w:ascii="ITC Avant Garde" w:hAnsi="ITC Avant Garde"/>
          <w:lang w:val="es-MX"/>
        </w:rPr>
        <w:t>metodol</w:t>
      </w:r>
      <w:r w:rsidR="00720839">
        <w:rPr>
          <w:rFonts w:ascii="ITC Avant Garde" w:hAnsi="ITC Avant Garde"/>
          <w:lang w:val="es-MX"/>
        </w:rPr>
        <w:t>ó</w:t>
      </w:r>
      <w:r w:rsidRPr="00872052">
        <w:rPr>
          <w:rFonts w:ascii="ITC Avant Garde" w:hAnsi="ITC Avant Garde"/>
          <w:lang w:val="es-MX"/>
        </w:rPr>
        <w:t>gicos</w:t>
      </w:r>
      <w:r w:rsidRPr="00BE63E3">
        <w:rPr>
          <w:rFonts w:ascii="ITC Avant Garde" w:hAnsi="ITC Avant Garde"/>
          <w:lang w:val="es-MX"/>
        </w:rPr>
        <w:t xml:space="preserve"> clave que se han considerado en el desarrollo del modelo de costos, as</w:t>
      </w:r>
      <w:r w:rsidR="000C52E2">
        <w:rPr>
          <w:rFonts w:ascii="ITC Avant Garde" w:hAnsi="ITC Avant Garde"/>
          <w:lang w:val="es-MX"/>
        </w:rPr>
        <w:t>í</w:t>
      </w:r>
      <w:r w:rsidRPr="00BE63E3">
        <w:rPr>
          <w:rFonts w:ascii="ITC Avant Garde" w:hAnsi="ITC Avant Garde"/>
          <w:lang w:val="es-MX"/>
        </w:rPr>
        <w:t xml:space="preserve"> como la estructura, los parámetros y los supuestos utilizados durante el desarrollo del modelo </w:t>
      </w:r>
      <w:r w:rsidR="00A8465E" w:rsidRPr="00BE63E3">
        <w:rPr>
          <w:rFonts w:ascii="ITC Avant Garde" w:hAnsi="ITC Avant Garde"/>
          <w:lang w:val="es-MX"/>
        </w:rPr>
        <w:t xml:space="preserve">de CIPLP </w:t>
      </w:r>
      <w:r w:rsidRPr="00BE63E3">
        <w:rPr>
          <w:rFonts w:ascii="ITC Avant Garde" w:hAnsi="ITC Avant Garde"/>
          <w:lang w:val="es-MX"/>
        </w:rPr>
        <w:t xml:space="preserve">para redes fijas que luego se utilizan para determinar los costos basados </w:t>
      </w:r>
      <w:r w:rsidRPr="00872052">
        <w:rPr>
          <w:rFonts w:cs="Arial"/>
          <w:lang w:val="es-MX"/>
        </w:rPr>
        <w:t>​​</w:t>
      </w:r>
      <w:r w:rsidRPr="00BE63E3">
        <w:rPr>
          <w:rFonts w:ascii="ITC Avant Garde" w:hAnsi="ITC Avant Garde"/>
          <w:lang w:val="es-MX"/>
        </w:rPr>
        <w:t xml:space="preserve">en </w:t>
      </w:r>
      <w:r w:rsidR="00A8465E" w:rsidRPr="00BE63E3">
        <w:rPr>
          <w:rFonts w:ascii="ITC Avant Garde" w:hAnsi="ITC Avant Garde"/>
          <w:lang w:val="es-MX"/>
        </w:rPr>
        <w:t xml:space="preserve">CIPLP </w:t>
      </w:r>
      <w:r w:rsidRPr="00BE63E3">
        <w:rPr>
          <w:rFonts w:ascii="ITC Avant Garde" w:hAnsi="ITC Avant Garde"/>
          <w:lang w:val="es-MX"/>
        </w:rPr>
        <w:t>para ciertos servicios mayoristas y de acceso principal en México.</w:t>
      </w:r>
    </w:p>
    <w:p w:rsidR="00372D1F" w:rsidRPr="00BE63E3" w:rsidRDefault="0033164B" w:rsidP="0033164B">
      <w:pPr>
        <w:rPr>
          <w:rFonts w:ascii="ITC Avant Garde" w:hAnsi="ITC Avant Garde"/>
          <w:lang w:val="es-MX"/>
        </w:rPr>
      </w:pPr>
      <w:r w:rsidRPr="00BE63E3">
        <w:rPr>
          <w:rFonts w:ascii="ITC Avant Garde" w:hAnsi="ITC Avant Garde"/>
          <w:lang w:val="es-MX"/>
        </w:rPr>
        <w:t xml:space="preserve">El informe está </w:t>
      </w:r>
      <w:r w:rsidR="009C573E" w:rsidRPr="00BE63E3">
        <w:rPr>
          <w:rFonts w:ascii="ITC Avant Garde" w:hAnsi="ITC Avant Garde"/>
          <w:lang w:val="es-MX"/>
        </w:rPr>
        <w:t>compuesto de</w:t>
      </w:r>
      <w:r w:rsidRPr="00BE63E3">
        <w:rPr>
          <w:rFonts w:ascii="ITC Avant Garde" w:hAnsi="ITC Avant Garde"/>
          <w:lang w:val="es-MX"/>
        </w:rPr>
        <w:t xml:space="preserve"> </w:t>
      </w:r>
      <w:r w:rsidR="00372D1F" w:rsidRPr="00BE63E3">
        <w:rPr>
          <w:rFonts w:ascii="ITC Avant Garde" w:hAnsi="ITC Avant Garde"/>
          <w:lang w:val="es-MX"/>
        </w:rPr>
        <w:t>2 secciones principales</w:t>
      </w:r>
      <w:r w:rsidR="009C573E" w:rsidRPr="00BE63E3">
        <w:rPr>
          <w:rFonts w:ascii="ITC Avant Garde" w:hAnsi="ITC Avant Garde"/>
          <w:lang w:val="es-MX"/>
        </w:rPr>
        <w:t>:</w:t>
      </w:r>
      <w:r w:rsidR="00372D1F" w:rsidRPr="00BE63E3">
        <w:rPr>
          <w:rFonts w:ascii="ITC Avant Garde" w:hAnsi="ITC Avant Garde"/>
          <w:lang w:val="es-MX"/>
        </w:rPr>
        <w:t xml:space="preserve"> </w:t>
      </w:r>
    </w:p>
    <w:p w:rsidR="00372D1F" w:rsidRPr="00BE63E3" w:rsidRDefault="00372D1F">
      <w:pPr>
        <w:pStyle w:val="Prrafodelista"/>
        <w:numPr>
          <w:ilvl w:val="0"/>
          <w:numId w:val="28"/>
        </w:numPr>
        <w:rPr>
          <w:rFonts w:ascii="ITC Avant Garde" w:hAnsi="ITC Avant Garde"/>
          <w:lang w:val="es-MX"/>
        </w:rPr>
      </w:pPr>
      <w:r w:rsidRPr="00BE63E3">
        <w:rPr>
          <w:rFonts w:ascii="ITC Avant Garde" w:hAnsi="ITC Avant Garde"/>
          <w:lang w:val="es-MX"/>
        </w:rPr>
        <w:t>La primera sección describe los principios metodológicos y con</w:t>
      </w:r>
      <w:r w:rsidR="00A8465E" w:rsidRPr="00BE63E3">
        <w:rPr>
          <w:rFonts w:ascii="ITC Avant Garde" w:hAnsi="ITC Avant Garde"/>
          <w:lang w:val="es-MX"/>
        </w:rPr>
        <w:t>c</w:t>
      </w:r>
      <w:r w:rsidRPr="00BE63E3">
        <w:rPr>
          <w:rFonts w:ascii="ITC Avant Garde" w:hAnsi="ITC Avant Garde"/>
          <w:lang w:val="es-MX"/>
        </w:rPr>
        <w:t xml:space="preserve">eptuales en que se ha basado el desarrollo el modelo. </w:t>
      </w:r>
    </w:p>
    <w:p w:rsidR="00372D1F" w:rsidRPr="00BE63E3" w:rsidRDefault="00372D1F">
      <w:pPr>
        <w:pStyle w:val="Prrafodelista"/>
        <w:numPr>
          <w:ilvl w:val="0"/>
          <w:numId w:val="28"/>
        </w:numPr>
        <w:rPr>
          <w:rFonts w:ascii="ITC Avant Garde" w:hAnsi="ITC Avant Garde"/>
          <w:lang w:val="es-MX"/>
        </w:rPr>
      </w:pPr>
      <w:r w:rsidRPr="00BE63E3">
        <w:rPr>
          <w:rFonts w:ascii="ITC Avant Garde" w:hAnsi="ITC Avant Garde"/>
          <w:lang w:val="es-MX"/>
        </w:rPr>
        <w:t xml:space="preserve">La segunda sección proporciona una descripción técnica de la implementación del modelo, de acuerdo con los principios conceptuales mencionados en la primera sección. </w:t>
      </w:r>
    </w:p>
    <w:p w:rsidR="00372D1F" w:rsidRPr="00BE63E3" w:rsidRDefault="00152309" w:rsidP="0033164B">
      <w:pPr>
        <w:rPr>
          <w:rFonts w:ascii="ITC Avant Garde" w:hAnsi="ITC Avant Garde"/>
          <w:lang w:val="es-MX"/>
        </w:rPr>
      </w:pPr>
      <w:r w:rsidRPr="00BE63E3">
        <w:rPr>
          <w:rFonts w:ascii="ITC Avant Garde" w:hAnsi="ITC Avant Garde"/>
          <w:lang w:val="es-MX"/>
        </w:rPr>
        <w:t xml:space="preserve">Este informe incluye también </w:t>
      </w:r>
      <w:r w:rsidR="00F370AD">
        <w:rPr>
          <w:rFonts w:ascii="ITC Avant Garde" w:hAnsi="ITC Avant Garde"/>
          <w:lang w:val="es-MX"/>
        </w:rPr>
        <w:t>una serie de anexos al final del documento.</w:t>
      </w:r>
      <w:r w:rsidR="00372D1F" w:rsidRPr="00872052">
        <w:rPr>
          <w:rFonts w:ascii="ITC Avant Garde" w:hAnsi="ITC Avant Garde"/>
          <w:lang w:val="es-MX"/>
        </w:rPr>
        <w:t xml:space="preserve"> </w:t>
      </w:r>
    </w:p>
    <w:p w:rsidR="0033164B" w:rsidRPr="00BE63E3" w:rsidRDefault="0033164B" w:rsidP="0033164B">
      <w:pPr>
        <w:rPr>
          <w:rFonts w:ascii="ITC Avant Garde" w:hAnsi="ITC Avant Garde"/>
          <w:lang w:val="es-MX"/>
        </w:rPr>
      </w:pPr>
    </w:p>
    <w:p w:rsidR="00A01BD3" w:rsidRPr="00872052" w:rsidRDefault="00A01BD3" w:rsidP="0003049E">
      <w:pPr>
        <w:pStyle w:val="Listaconvietas2"/>
        <w:numPr>
          <w:ilvl w:val="0"/>
          <w:numId w:val="0"/>
        </w:numPr>
        <w:rPr>
          <w:rFonts w:ascii="ITC Avant Garde" w:hAnsi="ITC Avant Garde"/>
          <w:lang w:val="es-MX"/>
        </w:rPr>
      </w:pPr>
    </w:p>
    <w:p w:rsidR="00792987" w:rsidRPr="00872052" w:rsidRDefault="00792987" w:rsidP="0012728E">
      <w:pPr>
        <w:pStyle w:val="Listaconvietas2"/>
        <w:numPr>
          <w:ilvl w:val="0"/>
          <w:numId w:val="0"/>
        </w:numPr>
        <w:rPr>
          <w:rFonts w:ascii="ITC Avant Garde" w:hAnsi="ITC Avant Garde"/>
          <w:lang w:val="es-MX"/>
        </w:rPr>
      </w:pPr>
    </w:p>
    <w:p w:rsidR="00792987" w:rsidRPr="00872052" w:rsidRDefault="00792987">
      <w:pPr>
        <w:spacing w:before="0" w:line="240" w:lineRule="auto"/>
        <w:jc w:val="left"/>
        <w:rPr>
          <w:rFonts w:ascii="ITC Avant Garde" w:hAnsi="ITC Avant Garde"/>
          <w:b/>
          <w:color w:val="808080"/>
          <w:sz w:val="28"/>
          <w:lang w:val="es-MX"/>
        </w:rPr>
      </w:pPr>
      <w:r w:rsidRPr="00872052">
        <w:rPr>
          <w:rFonts w:ascii="ITC Avant Garde" w:hAnsi="ITC Avant Garde"/>
          <w:lang w:val="es-MX"/>
        </w:rPr>
        <w:br w:type="page"/>
      </w:r>
    </w:p>
    <w:p w:rsidR="00FE0A2B" w:rsidRPr="00BE63E3" w:rsidRDefault="00A374A9" w:rsidP="006A7E91">
      <w:pPr>
        <w:pStyle w:val="Ttulo1"/>
        <w:rPr>
          <w:rFonts w:ascii="ITC Avant Garde" w:hAnsi="ITC Avant Garde"/>
        </w:rPr>
      </w:pPr>
      <w:bookmarkStart w:id="58" w:name="_Toc525665255"/>
      <w:bookmarkStart w:id="59" w:name="_Toc525665634"/>
      <w:bookmarkStart w:id="60" w:name="_Toc526854335"/>
      <w:r w:rsidRPr="00BE63E3">
        <w:rPr>
          <w:rFonts w:ascii="ITC Avant Garde" w:hAnsi="ITC Avant Garde"/>
        </w:rPr>
        <w:lastRenderedPageBreak/>
        <w:t>Principios metodológicos y conceptuales</w:t>
      </w:r>
      <w:bookmarkEnd w:id="58"/>
      <w:bookmarkEnd w:id="59"/>
      <w:bookmarkEnd w:id="60"/>
    </w:p>
    <w:p w:rsidR="00152309" w:rsidRPr="00BE63E3" w:rsidRDefault="00152309" w:rsidP="00152309">
      <w:pPr>
        <w:rPr>
          <w:rFonts w:ascii="ITC Avant Garde" w:hAnsi="ITC Avant Garde"/>
          <w:lang w:val="es-MX"/>
        </w:rPr>
      </w:pPr>
      <w:r w:rsidRPr="00BE63E3">
        <w:rPr>
          <w:rFonts w:ascii="ITC Avant Garde" w:hAnsi="ITC Avant Garde"/>
          <w:lang w:val="es-MX"/>
        </w:rPr>
        <w:t xml:space="preserve">Esta </w:t>
      </w:r>
      <w:r w:rsidR="009533FA" w:rsidRPr="00872052">
        <w:rPr>
          <w:rFonts w:ascii="ITC Avant Garde" w:hAnsi="ITC Avant Garde"/>
          <w:lang w:val="es-MX"/>
        </w:rPr>
        <w:t>sección</w:t>
      </w:r>
      <w:r w:rsidRPr="00BE63E3">
        <w:rPr>
          <w:rFonts w:ascii="ITC Avant Garde" w:hAnsi="ITC Avant Garde"/>
          <w:lang w:val="es-MX"/>
        </w:rPr>
        <w:t xml:space="preserve"> tiene la siguiente estructura:</w:t>
      </w:r>
    </w:p>
    <w:p w:rsidR="00152309" w:rsidRPr="00BE63E3" w:rsidRDefault="00152309" w:rsidP="00152309">
      <w:pPr>
        <w:pStyle w:val="Listaconvietas2"/>
        <w:rPr>
          <w:rFonts w:ascii="ITC Avant Garde" w:hAnsi="ITC Avant Garde"/>
          <w:lang w:val="es-MX"/>
        </w:rPr>
      </w:pPr>
      <w:r w:rsidRPr="00BE63E3">
        <w:rPr>
          <w:rFonts w:ascii="ITC Avant Garde" w:hAnsi="ITC Avant Garde"/>
          <w:lang w:val="es-MX"/>
        </w:rPr>
        <w:t>La sección 2.1 aborda los principales principios metodológicos definidos por el marco regulatorio mexicano, que se deben de tomar en cuenta en el modelo de costos;</w:t>
      </w:r>
    </w:p>
    <w:p w:rsidR="00152309" w:rsidRPr="00BE63E3" w:rsidRDefault="00152309" w:rsidP="00152309">
      <w:pPr>
        <w:pStyle w:val="Listaconvietas2"/>
        <w:rPr>
          <w:rFonts w:ascii="ITC Avant Garde" w:hAnsi="ITC Avant Garde"/>
          <w:lang w:val="es-MX"/>
        </w:rPr>
      </w:pPr>
      <w:r w:rsidRPr="00BE63E3">
        <w:rPr>
          <w:rFonts w:ascii="ITC Avant Garde" w:hAnsi="ITC Avant Garde"/>
          <w:lang w:val="es-MX"/>
        </w:rPr>
        <w:t>La sección 2.2 detalla algunas decisiones metodológicas que se han considerado para el modelo de red de acceso;</w:t>
      </w:r>
    </w:p>
    <w:p w:rsidR="00152309" w:rsidRPr="00BE63E3" w:rsidRDefault="00152309" w:rsidP="00152309">
      <w:pPr>
        <w:pStyle w:val="Listaconvietas2"/>
        <w:rPr>
          <w:rFonts w:ascii="ITC Avant Garde" w:hAnsi="ITC Avant Garde"/>
          <w:lang w:val="es-MX"/>
        </w:rPr>
      </w:pPr>
      <w:r w:rsidRPr="00BE63E3">
        <w:rPr>
          <w:rFonts w:ascii="ITC Avant Garde" w:hAnsi="ITC Avant Garde"/>
          <w:lang w:val="es-MX"/>
        </w:rPr>
        <w:t>La sección 2.3 aborda el enfoque de implementación para la red de acceso (fibra y cobre);</w:t>
      </w:r>
    </w:p>
    <w:p w:rsidR="003B3086" w:rsidRPr="00BE63E3" w:rsidRDefault="00152309" w:rsidP="00152309">
      <w:pPr>
        <w:pStyle w:val="Listaconvietas2"/>
        <w:rPr>
          <w:rFonts w:ascii="ITC Avant Garde" w:hAnsi="ITC Avant Garde"/>
          <w:lang w:val="es-MX"/>
        </w:rPr>
      </w:pPr>
      <w:r w:rsidRPr="00BE63E3">
        <w:rPr>
          <w:rFonts w:ascii="ITC Avant Garde" w:hAnsi="ITC Avant Garde"/>
          <w:lang w:val="es-MX"/>
        </w:rPr>
        <w:t>La sección 2.4 aborda la evaluación de costos de capital (CAPEX) y costos operacionales (OPEX).</w:t>
      </w:r>
    </w:p>
    <w:p w:rsidR="008E052A" w:rsidRPr="00BE63E3" w:rsidRDefault="003B3086" w:rsidP="00090AF7">
      <w:pPr>
        <w:pStyle w:val="Ttulo2"/>
        <w:rPr>
          <w:rFonts w:ascii="ITC Avant Garde" w:hAnsi="ITC Avant Garde"/>
          <w:lang w:val="es-MX"/>
        </w:rPr>
      </w:pPr>
      <w:bookmarkStart w:id="61" w:name="_Toc525665256"/>
      <w:bookmarkStart w:id="62" w:name="_Toc525665635"/>
      <w:bookmarkStart w:id="63" w:name="_Toc526854336"/>
      <w:r w:rsidRPr="00BE63E3">
        <w:rPr>
          <w:rFonts w:ascii="ITC Avant Garde" w:hAnsi="ITC Avant Garde"/>
          <w:lang w:val="es-MX"/>
        </w:rPr>
        <w:t>Principios principales establecidos en el marco regula</w:t>
      </w:r>
      <w:r w:rsidR="00152309" w:rsidRPr="00BE63E3">
        <w:rPr>
          <w:rFonts w:ascii="ITC Avant Garde" w:hAnsi="ITC Avant Garde"/>
          <w:lang w:val="es-MX"/>
        </w:rPr>
        <w:t>torio</w:t>
      </w:r>
      <w:bookmarkEnd w:id="61"/>
      <w:bookmarkEnd w:id="62"/>
      <w:bookmarkEnd w:id="63"/>
    </w:p>
    <w:p w:rsidR="003B3086" w:rsidRPr="00BE63E3" w:rsidRDefault="003B3086" w:rsidP="003B3086">
      <w:pPr>
        <w:pStyle w:val="Ttulo3"/>
        <w:rPr>
          <w:rFonts w:ascii="ITC Avant Garde" w:hAnsi="ITC Avant Garde"/>
          <w:lang w:val="en-GB"/>
        </w:rPr>
      </w:pPr>
      <w:bookmarkStart w:id="64" w:name="_Toc525665257"/>
      <w:bookmarkStart w:id="65" w:name="_Toc525665636"/>
      <w:bookmarkStart w:id="66" w:name="_Toc526854337"/>
      <w:r w:rsidRPr="00BE63E3">
        <w:rPr>
          <w:rFonts w:ascii="ITC Avant Garde" w:hAnsi="ITC Avant Garde"/>
          <w:lang w:val="en-GB"/>
        </w:rPr>
        <w:t>Bottom Up</w:t>
      </w:r>
      <w:bookmarkEnd w:id="64"/>
      <w:bookmarkEnd w:id="65"/>
      <w:bookmarkEnd w:id="66"/>
    </w:p>
    <w:p w:rsidR="003B3086" w:rsidRPr="00BE63E3" w:rsidRDefault="003B3086" w:rsidP="003B3086">
      <w:pPr>
        <w:rPr>
          <w:rFonts w:ascii="ITC Avant Garde" w:hAnsi="ITC Avant Garde"/>
          <w:lang w:val="es-MX"/>
        </w:rPr>
      </w:pPr>
      <w:r w:rsidRPr="00BE63E3">
        <w:rPr>
          <w:rFonts w:ascii="ITC Avant Garde" w:hAnsi="ITC Avant Garde"/>
          <w:lang w:val="es-MX"/>
        </w:rPr>
        <w:t xml:space="preserve">El propósito de un modelo </w:t>
      </w:r>
      <w:proofErr w:type="spellStart"/>
      <w:r w:rsidRPr="00BE63E3">
        <w:rPr>
          <w:rFonts w:ascii="ITC Avant Garde" w:hAnsi="ITC Avant Garde"/>
          <w:i/>
          <w:lang w:val="es-MX"/>
        </w:rPr>
        <w:t>Bottom</w:t>
      </w:r>
      <w:proofErr w:type="spellEnd"/>
      <w:r w:rsidRPr="00BE63E3">
        <w:rPr>
          <w:rFonts w:ascii="ITC Avant Garde" w:hAnsi="ITC Avant Garde"/>
          <w:i/>
          <w:lang w:val="es-MX"/>
        </w:rPr>
        <w:t>-Up</w:t>
      </w:r>
      <w:r w:rsidRPr="00BE63E3">
        <w:rPr>
          <w:rFonts w:ascii="ITC Avant Garde" w:hAnsi="ITC Avant Garde"/>
          <w:lang w:val="es-MX"/>
        </w:rPr>
        <w:t xml:space="preserve"> es calcular los costos de los servicios (regulados o no) sobre la base de una red eficiente que utiliza tecnología moderna. En principio, un modelo </w:t>
      </w:r>
      <w:proofErr w:type="spellStart"/>
      <w:r w:rsidRPr="005112D6">
        <w:rPr>
          <w:rFonts w:ascii="ITC Avant Garde" w:hAnsi="ITC Avant Garde"/>
          <w:i/>
          <w:lang w:val="es-MX"/>
        </w:rPr>
        <w:t>Bottom</w:t>
      </w:r>
      <w:proofErr w:type="spellEnd"/>
      <w:r w:rsidRPr="005112D6">
        <w:rPr>
          <w:rFonts w:ascii="ITC Avant Garde" w:hAnsi="ITC Avant Garde"/>
          <w:i/>
          <w:lang w:val="es-MX"/>
        </w:rPr>
        <w:t>-Up</w:t>
      </w:r>
      <w:r w:rsidRPr="00BE63E3">
        <w:rPr>
          <w:rFonts w:ascii="ITC Avant Garde" w:hAnsi="ITC Avant Garde"/>
          <w:lang w:val="es-MX"/>
        </w:rPr>
        <w:t xml:space="preserve"> debe modelar la red que un operador hipotéticamente eficiente crearía para cumplir con la demanda prospectiva del operador modelado. En este modelo, los datos de demanda se utilizan como punto de partida y se determina una red eficiente capaz de atender esa demanda utilizando principios económicos y reglas de ingeniería.</w:t>
      </w:r>
    </w:p>
    <w:p w:rsidR="003B3086" w:rsidRPr="00BE63E3" w:rsidRDefault="003B3086" w:rsidP="003B3086">
      <w:pPr>
        <w:rPr>
          <w:rFonts w:ascii="ITC Avant Garde" w:hAnsi="ITC Avant Garde"/>
          <w:lang w:val="es-MX"/>
        </w:rPr>
      </w:pPr>
      <w:r w:rsidRPr="00BE63E3">
        <w:rPr>
          <w:rFonts w:ascii="ITC Avant Garde" w:hAnsi="ITC Avant Garde"/>
          <w:lang w:val="es-MX"/>
        </w:rPr>
        <w:t xml:space="preserve">El enfoque </w:t>
      </w:r>
      <w:proofErr w:type="spellStart"/>
      <w:r w:rsidRPr="005112D6">
        <w:rPr>
          <w:rFonts w:ascii="ITC Avant Garde" w:hAnsi="ITC Avant Garde"/>
          <w:i/>
          <w:lang w:val="es-MX"/>
        </w:rPr>
        <w:t>Bottom</w:t>
      </w:r>
      <w:proofErr w:type="spellEnd"/>
      <w:r w:rsidRPr="005112D6">
        <w:rPr>
          <w:rFonts w:ascii="ITC Avant Garde" w:hAnsi="ITC Avant Garde"/>
          <w:i/>
          <w:lang w:val="es-MX"/>
        </w:rPr>
        <w:t>-Up</w:t>
      </w:r>
      <w:r w:rsidRPr="00BE63E3">
        <w:rPr>
          <w:rFonts w:ascii="ITC Avant Garde" w:hAnsi="ITC Avant Garde"/>
          <w:lang w:val="es-MX"/>
        </w:rPr>
        <w:t xml:space="preserve"> se </w:t>
      </w:r>
      <w:r w:rsidR="003A0FB4" w:rsidRPr="00BE63E3">
        <w:rPr>
          <w:rFonts w:ascii="ITC Avant Garde" w:hAnsi="ITC Avant Garde"/>
          <w:lang w:val="es-MX"/>
        </w:rPr>
        <w:t>utilizó</w:t>
      </w:r>
      <w:r w:rsidRPr="00BE63E3">
        <w:rPr>
          <w:rFonts w:ascii="ITC Avant Garde" w:hAnsi="ITC Avant Garde"/>
          <w:lang w:val="es-MX"/>
        </w:rPr>
        <w:t xml:space="preserve"> en los modelos anteriores de</w:t>
      </w:r>
      <w:r w:rsidR="00F72DA5">
        <w:rPr>
          <w:rFonts w:ascii="ITC Avant Garde" w:hAnsi="ITC Avant Garde"/>
          <w:lang w:val="es-MX"/>
        </w:rPr>
        <w:t>l</w:t>
      </w:r>
      <w:r w:rsidRPr="00BE63E3">
        <w:rPr>
          <w:rFonts w:ascii="ITC Avant Garde" w:hAnsi="ITC Avant Garde"/>
          <w:lang w:val="es-MX"/>
        </w:rPr>
        <w:t xml:space="preserve"> IFT (modelos de acceso de fibra y cobre, así como en el modelo de interconexión) de forma con las mejores prácticas internacionales. En particular, la Comisión Europea ha reconocido los beneficios de los modelos de costos ascendentes en 2009</w:t>
      </w:r>
      <w:r w:rsidR="00B914E4" w:rsidRPr="00BE63E3">
        <w:rPr>
          <w:rStyle w:val="Refdenotaalpie"/>
          <w:rFonts w:ascii="ITC Avant Garde" w:hAnsi="ITC Avant Garde"/>
          <w:lang w:val="es-MX"/>
        </w:rPr>
        <w:footnoteReference w:id="2"/>
      </w:r>
      <w:r w:rsidRPr="00BE63E3">
        <w:rPr>
          <w:rFonts w:ascii="ITC Avant Garde" w:hAnsi="ITC Avant Garde"/>
          <w:lang w:val="es-MX"/>
        </w:rPr>
        <w:t>:</w:t>
      </w:r>
    </w:p>
    <w:p w:rsidR="00D76341" w:rsidRDefault="003B3086" w:rsidP="003B3086">
      <w:pPr>
        <w:ind w:left="567" w:right="565"/>
        <w:rPr>
          <w:rFonts w:ascii="ITC Avant Garde" w:hAnsi="ITC Avant Garde"/>
          <w:i/>
          <w:lang w:val="es-MX"/>
        </w:rPr>
      </w:pPr>
      <w:r w:rsidRPr="00BE63E3">
        <w:rPr>
          <w:rFonts w:ascii="ITC Avant Garde" w:hAnsi="ITC Avant Garde"/>
          <w:i/>
          <w:lang w:val="es-MX"/>
        </w:rPr>
        <w:t xml:space="preserve">"Los modelos BU utilizan datos de demanda como punto de partida y determinan una red eficiente capaz de satisfacer esa demanda mediante el uso de principios económicos, de ingeniería y contabilidad. </w:t>
      </w:r>
      <w:r w:rsidRPr="00BE63E3">
        <w:rPr>
          <w:rFonts w:ascii="ITC Avant Garde" w:hAnsi="ITC Avant Garde"/>
          <w:b/>
          <w:i/>
          <w:lang w:val="es-MX"/>
        </w:rPr>
        <w:t>Los modelos BU ofrecen más flexibilidad con respecto a las consideraciones de eficiencia de la red</w:t>
      </w:r>
      <w:r w:rsidRPr="00BE63E3">
        <w:rPr>
          <w:rFonts w:ascii="ITC Avant Garde" w:hAnsi="ITC Avant Garde"/>
          <w:i/>
          <w:lang w:val="es-MX"/>
        </w:rPr>
        <w:t xml:space="preserve"> y reducen la dependencia </w:t>
      </w:r>
      <w:r w:rsidR="00152309" w:rsidRPr="00BE63E3">
        <w:rPr>
          <w:rFonts w:ascii="ITC Avant Garde" w:hAnsi="ITC Avant Garde"/>
          <w:i/>
          <w:lang w:val="es-MX"/>
        </w:rPr>
        <w:t>a</w:t>
      </w:r>
      <w:r w:rsidRPr="00BE63E3">
        <w:rPr>
          <w:rFonts w:ascii="ITC Avant Garde" w:hAnsi="ITC Avant Garde"/>
          <w:i/>
          <w:lang w:val="es-MX"/>
        </w:rPr>
        <w:t xml:space="preserve"> los datos del operador regulado. </w:t>
      </w:r>
      <w:r w:rsidRPr="00BE63E3">
        <w:rPr>
          <w:rFonts w:ascii="ITC Avant Garde" w:hAnsi="ITC Avant Garde"/>
          <w:b/>
          <w:i/>
          <w:lang w:val="es-MX"/>
        </w:rPr>
        <w:t>Un modelo BU es sinónimo del concepto teórico de desarrollar la red de un operador eficiente porque refleja la cantidad de equipo necesaria</w:t>
      </w:r>
      <w:r w:rsidRPr="00BE63E3">
        <w:rPr>
          <w:rFonts w:ascii="ITC Avant Garde" w:hAnsi="ITC Avant Garde"/>
          <w:i/>
          <w:lang w:val="es-MX"/>
        </w:rPr>
        <w:t xml:space="preserve"> en lugar </w:t>
      </w:r>
      <w:r w:rsidRPr="00BE63E3">
        <w:rPr>
          <w:rFonts w:ascii="ITC Avant Garde" w:hAnsi="ITC Avant Garde"/>
          <w:i/>
          <w:lang w:val="es-MX"/>
        </w:rPr>
        <w:lastRenderedPageBreak/>
        <w:t xml:space="preserve">de </w:t>
      </w:r>
      <w:r w:rsidR="00152309" w:rsidRPr="00BE63E3">
        <w:rPr>
          <w:rFonts w:ascii="ITC Avant Garde" w:hAnsi="ITC Avant Garde"/>
          <w:i/>
          <w:lang w:val="es-MX"/>
        </w:rPr>
        <w:t xml:space="preserve">realmente </w:t>
      </w:r>
      <w:r w:rsidRPr="00BE63E3">
        <w:rPr>
          <w:rFonts w:ascii="ITC Avant Garde" w:hAnsi="ITC Avant Garde"/>
          <w:i/>
          <w:lang w:val="es-MX"/>
        </w:rPr>
        <w:t>proporciona</w:t>
      </w:r>
      <w:r w:rsidR="00152309" w:rsidRPr="00BE63E3">
        <w:rPr>
          <w:rFonts w:ascii="ITC Avant Garde" w:hAnsi="ITC Avant Garde"/>
          <w:i/>
          <w:lang w:val="es-MX"/>
        </w:rPr>
        <w:t>da,</w:t>
      </w:r>
      <w:r w:rsidRPr="00BE63E3">
        <w:rPr>
          <w:rFonts w:ascii="ITC Avant Garde" w:hAnsi="ITC Avant Garde"/>
          <w:i/>
          <w:lang w:val="es-MX"/>
        </w:rPr>
        <w:t xml:space="preserve"> y el modelo ignora los costos heredados. (...) Aunque los modelos BU generalmente son desarrollados por las A</w:t>
      </w:r>
      <w:r w:rsidR="00152309" w:rsidRPr="00BE63E3">
        <w:rPr>
          <w:rFonts w:ascii="ITC Avant Garde" w:hAnsi="ITC Avant Garde"/>
          <w:i/>
          <w:lang w:val="es-MX"/>
        </w:rPr>
        <w:t xml:space="preserve">utoridades </w:t>
      </w:r>
      <w:r w:rsidRPr="00BE63E3">
        <w:rPr>
          <w:rFonts w:ascii="ITC Avant Garde" w:hAnsi="ITC Avant Garde"/>
          <w:i/>
          <w:lang w:val="es-MX"/>
        </w:rPr>
        <w:t>N</w:t>
      </w:r>
      <w:r w:rsidR="00152309" w:rsidRPr="00BE63E3">
        <w:rPr>
          <w:rFonts w:ascii="ITC Avant Garde" w:hAnsi="ITC Avant Garde"/>
          <w:i/>
          <w:lang w:val="es-MX"/>
        </w:rPr>
        <w:t xml:space="preserve">acionales de </w:t>
      </w:r>
      <w:r w:rsidR="009533FA" w:rsidRPr="00872052">
        <w:rPr>
          <w:rFonts w:ascii="ITC Avant Garde" w:hAnsi="ITC Avant Garde"/>
          <w:i/>
          <w:lang w:val="es-MX"/>
        </w:rPr>
        <w:t>Regulación</w:t>
      </w:r>
      <w:r w:rsidRPr="00BE63E3">
        <w:rPr>
          <w:rFonts w:ascii="ITC Avant Garde" w:hAnsi="ITC Avant Garde"/>
          <w:i/>
          <w:lang w:val="es-MX"/>
        </w:rPr>
        <w:t xml:space="preserve">, los operadores pueden contribuir a las suposiciones y </w:t>
      </w:r>
      <w:r w:rsidR="00B914E4" w:rsidRPr="00BE63E3">
        <w:rPr>
          <w:rFonts w:ascii="ITC Avant Garde" w:hAnsi="ITC Avant Garde"/>
          <w:i/>
          <w:lang w:val="es-MX"/>
        </w:rPr>
        <w:t>lo insumo</w:t>
      </w:r>
      <w:r w:rsidRPr="00BE63E3">
        <w:rPr>
          <w:rFonts w:ascii="ITC Avant Garde" w:hAnsi="ITC Avant Garde"/>
          <w:i/>
          <w:lang w:val="es-MX"/>
        </w:rPr>
        <w:t xml:space="preserve">s del modelo. Esto aumentará la transparencia y la objetividad de los modelos de BU, aunque conlleva el riesgo de que se utilicen en el modelo cifras "negociadas", </w:t>
      </w:r>
      <w:r w:rsidR="00B914E4" w:rsidRPr="00BE63E3">
        <w:rPr>
          <w:rFonts w:ascii="ITC Avant Garde" w:hAnsi="ITC Avant Garde"/>
          <w:i/>
          <w:lang w:val="es-MX"/>
        </w:rPr>
        <w:t>en lugar de</w:t>
      </w:r>
      <w:r w:rsidRPr="00BE63E3">
        <w:rPr>
          <w:rFonts w:ascii="ITC Avant Garde" w:hAnsi="ITC Avant Garde"/>
          <w:i/>
          <w:lang w:val="es-MX"/>
        </w:rPr>
        <w:t xml:space="preserve"> cifras más precisas. " </w:t>
      </w:r>
    </w:p>
    <w:p w:rsidR="003B3086" w:rsidRPr="00BE63E3" w:rsidRDefault="003B3086" w:rsidP="00D76341">
      <w:pPr>
        <w:ind w:left="567" w:right="565"/>
        <w:jc w:val="right"/>
        <w:rPr>
          <w:rFonts w:ascii="ITC Avant Garde" w:hAnsi="ITC Avant Garde"/>
          <w:i/>
          <w:lang w:val="es-MX"/>
        </w:rPr>
      </w:pPr>
      <w:r w:rsidRPr="00D76341">
        <w:rPr>
          <w:rFonts w:ascii="ITC Avant Garde" w:hAnsi="ITC Avant Garde"/>
          <w:i/>
          <w:lang w:val="es-MX"/>
        </w:rPr>
        <w:t>(énfasis añadido)</w:t>
      </w:r>
    </w:p>
    <w:p w:rsidR="003B3086" w:rsidRPr="00BE63E3" w:rsidRDefault="003B3086" w:rsidP="003B3086">
      <w:pPr>
        <w:rPr>
          <w:rFonts w:ascii="ITC Avant Garde" w:hAnsi="ITC Avant Garde"/>
          <w:lang w:val="es-MX"/>
        </w:rPr>
      </w:pPr>
      <w:r w:rsidRPr="00BE63E3">
        <w:rPr>
          <w:rFonts w:ascii="ITC Avant Garde" w:hAnsi="ITC Avant Garde"/>
          <w:lang w:val="es-MX"/>
        </w:rPr>
        <w:t xml:space="preserve">La Comisión </w:t>
      </w:r>
      <w:r w:rsidR="00C35A29" w:rsidRPr="00BE63E3">
        <w:rPr>
          <w:rFonts w:ascii="ITC Avant Garde" w:hAnsi="ITC Avant Garde"/>
          <w:lang w:val="es-MX"/>
        </w:rPr>
        <w:t xml:space="preserve">Europea </w:t>
      </w:r>
      <w:r w:rsidRPr="00BE63E3">
        <w:rPr>
          <w:rFonts w:ascii="ITC Avant Garde" w:hAnsi="ITC Avant Garde"/>
          <w:lang w:val="es-MX"/>
        </w:rPr>
        <w:t xml:space="preserve">continúa recomendando el uso de modelos </w:t>
      </w:r>
      <w:proofErr w:type="spellStart"/>
      <w:r w:rsidR="009533FA" w:rsidRPr="009533FA">
        <w:rPr>
          <w:rFonts w:ascii="ITC Avant Garde" w:hAnsi="ITC Avant Garde"/>
          <w:i/>
          <w:lang w:val="es-MX"/>
        </w:rPr>
        <w:t>Bottom</w:t>
      </w:r>
      <w:proofErr w:type="spellEnd"/>
      <w:r w:rsidR="009533FA" w:rsidRPr="009533FA">
        <w:rPr>
          <w:rFonts w:ascii="ITC Avant Garde" w:hAnsi="ITC Avant Garde"/>
          <w:i/>
          <w:lang w:val="es-MX"/>
        </w:rPr>
        <w:t>-Up</w:t>
      </w:r>
      <w:r w:rsidRPr="00BE63E3">
        <w:rPr>
          <w:rFonts w:ascii="ITC Avant Garde" w:hAnsi="ITC Avant Garde"/>
          <w:lang w:val="es-MX"/>
        </w:rPr>
        <w:t xml:space="preserve"> en </w:t>
      </w:r>
      <w:r w:rsidR="00C35A29" w:rsidRPr="00BE63E3">
        <w:rPr>
          <w:rFonts w:ascii="ITC Avant Garde" w:hAnsi="ITC Avant Garde"/>
          <w:lang w:val="es-MX"/>
        </w:rPr>
        <w:t xml:space="preserve">su </w:t>
      </w:r>
      <w:r w:rsidR="009F5817" w:rsidRPr="00BE63E3">
        <w:rPr>
          <w:rFonts w:ascii="ITC Avant Garde" w:hAnsi="ITC Avant Garde"/>
          <w:lang w:val="es-MX"/>
        </w:rPr>
        <w:t>recomendación realizada</w:t>
      </w:r>
      <w:r w:rsidR="00C35A29" w:rsidRPr="00BE63E3">
        <w:rPr>
          <w:rFonts w:ascii="ITC Avant Garde" w:hAnsi="ITC Avant Garde"/>
          <w:lang w:val="es-MX"/>
        </w:rPr>
        <w:t xml:space="preserve"> en el año</w:t>
      </w:r>
      <w:r w:rsidR="00B914E4" w:rsidRPr="00BE63E3">
        <w:rPr>
          <w:rFonts w:ascii="ITC Avant Garde" w:hAnsi="ITC Avant Garde"/>
          <w:lang w:val="es-MX"/>
        </w:rPr>
        <w:t xml:space="preserve"> </w:t>
      </w:r>
      <w:r w:rsidRPr="00BE63E3">
        <w:rPr>
          <w:rFonts w:ascii="ITC Avant Garde" w:hAnsi="ITC Avant Garde"/>
          <w:lang w:val="es-MX"/>
        </w:rPr>
        <w:t xml:space="preserve">2013, de acuerdo con </w:t>
      </w:r>
      <w:r w:rsidR="00B914E4" w:rsidRPr="00BE63E3">
        <w:rPr>
          <w:rFonts w:ascii="ITC Avant Garde" w:hAnsi="ITC Avant Garde"/>
          <w:lang w:val="es-MX"/>
        </w:rPr>
        <w:t>su</w:t>
      </w:r>
      <w:r w:rsidRPr="00BE63E3">
        <w:rPr>
          <w:rFonts w:ascii="ITC Avant Garde" w:hAnsi="ITC Avant Garde"/>
          <w:lang w:val="es-MX"/>
        </w:rPr>
        <w:t xml:space="preserve"> artículo 30:</w:t>
      </w:r>
    </w:p>
    <w:p w:rsidR="003B3086" w:rsidRPr="00BE63E3" w:rsidRDefault="003B3086" w:rsidP="003B3086">
      <w:pPr>
        <w:ind w:left="567" w:right="565"/>
        <w:rPr>
          <w:rFonts w:ascii="ITC Avant Garde" w:hAnsi="ITC Avant Garde"/>
          <w:i/>
          <w:lang w:val="es-MX"/>
        </w:rPr>
      </w:pPr>
      <w:r w:rsidRPr="00BE63E3">
        <w:rPr>
          <w:rFonts w:ascii="ITC Avant Garde" w:hAnsi="ITC Avant Garde"/>
          <w:i/>
          <w:lang w:val="es-MX"/>
        </w:rPr>
        <w:t xml:space="preserve"> "A los efectos de establecer precios de acceso mayorista de cobre y NGA donde la orientación al costo se impone como remedio, </w:t>
      </w:r>
      <w:r w:rsidR="00B914E4" w:rsidRPr="00BE63E3">
        <w:rPr>
          <w:rFonts w:ascii="ITC Avant Garde" w:hAnsi="ITC Avant Garde"/>
          <w:i/>
          <w:lang w:val="es-MX"/>
        </w:rPr>
        <w:t>y cuando apropiado</w:t>
      </w:r>
      <w:r w:rsidRPr="00BE63E3">
        <w:rPr>
          <w:rFonts w:ascii="ITC Avant Garde" w:hAnsi="ITC Avant Garde"/>
          <w:i/>
          <w:lang w:val="es-MX"/>
        </w:rPr>
        <w:t>, proporcionado y justificado de conformidad con el artículo 16 (4) de la Directiva 2002/21 / CE y el artículo 8 (4) de la Directiva 2002 / 19 / CE, las ANR deben adoptar una metodología de cálculo de costos incrementales de costo incremental a largo plazo (BULRIC +) que incluya un enfoque de modelado ascendente usando LRIC como el modelo de costo y con la adición de un recargo para la rec</w:t>
      </w:r>
      <w:r w:rsidR="009F5817">
        <w:rPr>
          <w:rFonts w:ascii="ITC Avant Garde" w:hAnsi="ITC Avant Garde"/>
          <w:i/>
          <w:lang w:val="es-MX"/>
        </w:rPr>
        <w:t>uperación de los costos comunes</w:t>
      </w:r>
      <w:r w:rsidRPr="00BE63E3">
        <w:rPr>
          <w:rFonts w:ascii="ITC Avant Garde" w:hAnsi="ITC Avant Garde"/>
          <w:i/>
          <w:lang w:val="es-MX"/>
        </w:rPr>
        <w:t>".</w:t>
      </w:r>
    </w:p>
    <w:p w:rsidR="003B3086" w:rsidRPr="00BE63E3" w:rsidRDefault="003B3086" w:rsidP="003B3086">
      <w:pPr>
        <w:rPr>
          <w:rFonts w:ascii="ITC Avant Garde" w:hAnsi="ITC Avant Garde"/>
          <w:lang w:val="es-MX"/>
        </w:rPr>
      </w:pPr>
    </w:p>
    <w:p w:rsidR="005F5BB7" w:rsidRPr="00BE63E3" w:rsidRDefault="003B3086" w:rsidP="003B3086">
      <w:pPr>
        <w:pStyle w:val="Encadr3"/>
        <w:rPr>
          <w:rFonts w:ascii="ITC Avant Garde" w:hAnsi="ITC Avant Garde"/>
          <w:b w:val="0"/>
          <w:lang w:val="es-MX"/>
        </w:rPr>
      </w:pPr>
      <w:r w:rsidRPr="00BE63E3">
        <w:rPr>
          <w:rFonts w:ascii="ITC Avant Garde" w:hAnsi="ITC Avant Garde"/>
          <w:lang w:val="es-MX"/>
        </w:rPr>
        <w:t xml:space="preserve">Criterio 1: </w:t>
      </w:r>
      <w:r w:rsidRPr="00BE63E3">
        <w:rPr>
          <w:rFonts w:ascii="ITC Avant Garde" w:hAnsi="ITC Avant Garde"/>
          <w:b w:val="0"/>
          <w:lang w:val="es-MX"/>
        </w:rPr>
        <w:t>El modelo de costos se basa principalmente en un</w:t>
      </w:r>
      <w:r w:rsidR="00B914E4" w:rsidRPr="00BE63E3">
        <w:rPr>
          <w:rFonts w:ascii="ITC Avant Garde" w:hAnsi="ITC Avant Garde"/>
          <w:b w:val="0"/>
          <w:lang w:val="es-MX"/>
        </w:rPr>
        <w:t xml:space="preserve"> enfoque</w:t>
      </w:r>
      <w:r w:rsidRPr="00BE63E3">
        <w:rPr>
          <w:rFonts w:ascii="ITC Avant Garde" w:hAnsi="ITC Avant Garde"/>
          <w:b w:val="0"/>
          <w:lang w:val="es-MX"/>
        </w:rPr>
        <w:t xml:space="preserve"> </w:t>
      </w:r>
      <w:proofErr w:type="spellStart"/>
      <w:r w:rsidR="005F5BB7" w:rsidRPr="00D76341">
        <w:rPr>
          <w:rFonts w:ascii="ITC Avant Garde" w:hAnsi="ITC Avant Garde"/>
          <w:b w:val="0"/>
          <w:i/>
          <w:lang w:val="es-MX"/>
        </w:rPr>
        <w:t>Bottom</w:t>
      </w:r>
      <w:proofErr w:type="spellEnd"/>
      <w:r w:rsidR="005F5BB7" w:rsidRPr="00D76341">
        <w:rPr>
          <w:rFonts w:ascii="ITC Avant Garde" w:hAnsi="ITC Avant Garde"/>
          <w:b w:val="0"/>
          <w:i/>
          <w:lang w:val="es-MX"/>
        </w:rPr>
        <w:t>-Up</w:t>
      </w:r>
      <w:r w:rsidRPr="00BE63E3">
        <w:rPr>
          <w:rFonts w:ascii="ITC Avant Garde" w:hAnsi="ITC Avant Garde"/>
          <w:b w:val="0"/>
          <w:lang w:val="es-MX"/>
        </w:rPr>
        <w:t xml:space="preserve"> consistente con los modelos actuales de</w:t>
      </w:r>
      <w:r w:rsidR="00F72DA5">
        <w:rPr>
          <w:rFonts w:ascii="ITC Avant Garde" w:hAnsi="ITC Avant Garde"/>
          <w:b w:val="0"/>
          <w:lang w:val="es-MX"/>
        </w:rPr>
        <w:t>l</w:t>
      </w:r>
      <w:r w:rsidRPr="00BE63E3">
        <w:rPr>
          <w:rFonts w:ascii="ITC Avant Garde" w:hAnsi="ITC Avant Garde"/>
          <w:b w:val="0"/>
          <w:lang w:val="es-MX"/>
        </w:rPr>
        <w:t xml:space="preserve"> IFT. Sin embargo, el modelo de costo</w:t>
      </w:r>
      <w:r w:rsidR="006E77C9" w:rsidRPr="00BE63E3">
        <w:rPr>
          <w:rFonts w:ascii="ITC Avant Garde" w:hAnsi="ITC Avant Garde"/>
          <w:b w:val="0"/>
          <w:lang w:val="es-MX"/>
        </w:rPr>
        <w:t>s</w:t>
      </w:r>
      <w:r w:rsidRPr="00BE63E3">
        <w:rPr>
          <w:rFonts w:ascii="ITC Avant Garde" w:hAnsi="ITC Avant Garde"/>
          <w:b w:val="0"/>
          <w:lang w:val="es-MX"/>
        </w:rPr>
        <w:t xml:space="preserve"> </w:t>
      </w:r>
      <w:r w:rsidR="00B914E4" w:rsidRPr="00BE63E3">
        <w:rPr>
          <w:rFonts w:ascii="ITC Avant Garde" w:hAnsi="ITC Avant Garde"/>
          <w:b w:val="0"/>
          <w:lang w:val="es-MX"/>
        </w:rPr>
        <w:t>es</w:t>
      </w:r>
      <w:r w:rsidRPr="00BE63E3">
        <w:rPr>
          <w:rFonts w:ascii="ITC Avant Garde" w:hAnsi="ITC Avant Garde"/>
          <w:b w:val="0"/>
          <w:lang w:val="es-MX"/>
        </w:rPr>
        <w:t xml:space="preserve"> </w:t>
      </w:r>
      <w:r w:rsidR="00ED001A" w:rsidRPr="00BE63E3">
        <w:rPr>
          <w:rFonts w:ascii="ITC Avant Garde" w:hAnsi="ITC Avant Garde"/>
          <w:b w:val="0"/>
          <w:lang w:val="es-MX"/>
        </w:rPr>
        <w:t xml:space="preserve">calibrado </w:t>
      </w:r>
      <w:r w:rsidRPr="00BE63E3">
        <w:rPr>
          <w:rFonts w:ascii="ITC Avant Garde" w:hAnsi="ITC Avant Garde"/>
          <w:b w:val="0"/>
          <w:lang w:val="es-MX"/>
        </w:rPr>
        <w:t xml:space="preserve">por datos descendentes del </w:t>
      </w:r>
      <w:r w:rsidR="006E77C9" w:rsidRPr="00BE63E3">
        <w:rPr>
          <w:rFonts w:ascii="ITC Avant Garde" w:hAnsi="ITC Avant Garde"/>
          <w:b w:val="0"/>
          <w:lang w:val="es-MX"/>
        </w:rPr>
        <w:t>AEP</w:t>
      </w:r>
      <w:r w:rsidRPr="00BE63E3">
        <w:rPr>
          <w:rFonts w:ascii="ITC Avant Garde" w:hAnsi="ITC Avant Garde"/>
          <w:b w:val="0"/>
          <w:lang w:val="es-MX"/>
        </w:rPr>
        <w:t xml:space="preserve"> y otros operadores, entre otros datos de control, para verificar los datos de entrada utilizados en el modelo </w:t>
      </w:r>
      <w:proofErr w:type="spellStart"/>
      <w:r w:rsidR="005F5BB7" w:rsidRPr="00D76341">
        <w:rPr>
          <w:rFonts w:ascii="ITC Avant Garde" w:hAnsi="ITC Avant Garde"/>
          <w:b w:val="0"/>
          <w:i/>
          <w:lang w:val="es-MX"/>
        </w:rPr>
        <w:t>Bottom</w:t>
      </w:r>
      <w:proofErr w:type="spellEnd"/>
      <w:r w:rsidR="005F5BB7" w:rsidRPr="00D76341">
        <w:rPr>
          <w:rFonts w:ascii="ITC Avant Garde" w:hAnsi="ITC Avant Garde"/>
          <w:b w:val="0"/>
          <w:i/>
          <w:lang w:val="es-MX"/>
        </w:rPr>
        <w:t>-Up</w:t>
      </w:r>
      <w:r w:rsidRPr="00BE63E3">
        <w:rPr>
          <w:rFonts w:ascii="ITC Avant Garde" w:hAnsi="ITC Avant Garde"/>
          <w:b w:val="0"/>
          <w:lang w:val="es-MX"/>
        </w:rPr>
        <w:t xml:space="preserve"> </w:t>
      </w:r>
      <w:r w:rsidR="005F5BB7" w:rsidRPr="00BE63E3">
        <w:rPr>
          <w:rFonts w:ascii="ITC Avant Garde" w:hAnsi="ITC Avant Garde"/>
          <w:b w:val="0"/>
          <w:lang w:val="es-MX"/>
        </w:rPr>
        <w:t>y</w:t>
      </w:r>
      <w:r w:rsidRPr="00BE63E3">
        <w:rPr>
          <w:rFonts w:ascii="ITC Avant Garde" w:hAnsi="ITC Avant Garde"/>
          <w:b w:val="0"/>
          <w:lang w:val="es-MX"/>
        </w:rPr>
        <w:t xml:space="preserve"> asegurar que los resultados del modelado ascendente sean consistentes y realista</w:t>
      </w:r>
      <w:r w:rsidR="00F72DA5">
        <w:rPr>
          <w:rFonts w:ascii="ITC Avant Garde" w:hAnsi="ITC Avant Garde"/>
          <w:b w:val="0"/>
          <w:lang w:val="es-MX"/>
        </w:rPr>
        <w:t>s</w:t>
      </w:r>
      <w:r w:rsidR="005F5BB7" w:rsidRPr="00BE63E3">
        <w:rPr>
          <w:rFonts w:ascii="ITC Avant Garde" w:hAnsi="ITC Avant Garde"/>
          <w:b w:val="0"/>
          <w:lang w:val="es-MX"/>
        </w:rPr>
        <w:t>.</w:t>
      </w:r>
      <w:r w:rsidRPr="00BE63E3">
        <w:rPr>
          <w:rFonts w:ascii="ITC Avant Garde" w:hAnsi="ITC Avant Garde"/>
          <w:b w:val="0"/>
          <w:lang w:val="es-MX"/>
        </w:rPr>
        <w:t xml:space="preserve"> </w:t>
      </w:r>
    </w:p>
    <w:p w:rsidR="003B3086" w:rsidRPr="00BE63E3" w:rsidRDefault="003B3086" w:rsidP="003B3086">
      <w:pPr>
        <w:pStyle w:val="Encadr3"/>
        <w:rPr>
          <w:rFonts w:ascii="ITC Avant Garde" w:hAnsi="ITC Avant Garde"/>
          <w:b w:val="0"/>
          <w:lang w:val="es-MX"/>
        </w:rPr>
      </w:pPr>
    </w:p>
    <w:p w:rsidR="003B3086" w:rsidRPr="00BE63E3" w:rsidRDefault="003B3086" w:rsidP="003B3086">
      <w:pPr>
        <w:rPr>
          <w:rFonts w:ascii="ITC Avant Garde" w:hAnsi="ITC Avant Garde"/>
          <w:lang w:val="es-MX"/>
        </w:rPr>
      </w:pPr>
    </w:p>
    <w:p w:rsidR="005F5BB7" w:rsidRPr="00BE63E3" w:rsidRDefault="005F5BB7" w:rsidP="00DA2590">
      <w:pPr>
        <w:pStyle w:val="Ttulo3"/>
        <w:rPr>
          <w:rFonts w:ascii="ITC Avant Garde" w:hAnsi="ITC Avant Garde"/>
        </w:rPr>
      </w:pPr>
      <w:bookmarkStart w:id="67" w:name="_Toc525665258"/>
      <w:bookmarkStart w:id="68" w:name="_Toc525665637"/>
      <w:bookmarkStart w:id="69" w:name="_Toc526854338"/>
      <w:r w:rsidRPr="00BE63E3">
        <w:rPr>
          <w:rFonts w:ascii="ITC Avant Garde" w:hAnsi="ITC Avant Garde"/>
        </w:rPr>
        <w:t xml:space="preserve">Costos incrementales </w:t>
      </w:r>
      <w:r w:rsidR="00DA2590" w:rsidRPr="00BE63E3">
        <w:rPr>
          <w:rFonts w:ascii="ITC Avant Garde" w:hAnsi="ITC Avant Garde"/>
        </w:rPr>
        <w:t xml:space="preserve">promedio </w:t>
      </w:r>
      <w:r w:rsidRPr="00BE63E3">
        <w:rPr>
          <w:rFonts w:ascii="ITC Avant Garde" w:hAnsi="ITC Avant Garde"/>
        </w:rPr>
        <w:t xml:space="preserve">de largo plazo – </w:t>
      </w:r>
      <w:r w:rsidR="00DA2590" w:rsidRPr="00BE63E3">
        <w:rPr>
          <w:rFonts w:ascii="ITC Avant Garde" w:hAnsi="ITC Avant Garde"/>
          <w:lang w:val="es-MX"/>
        </w:rPr>
        <w:t>CIPLP</w:t>
      </w:r>
      <w:r w:rsidR="00875932">
        <w:rPr>
          <w:rFonts w:ascii="ITC Avant Garde" w:hAnsi="ITC Avant Garde"/>
        </w:rPr>
        <w:t>/</w:t>
      </w:r>
      <w:r w:rsidRPr="00BE63E3">
        <w:rPr>
          <w:rFonts w:ascii="ITC Avant Garde" w:hAnsi="ITC Avant Garde"/>
        </w:rPr>
        <w:t>LR</w:t>
      </w:r>
      <w:r w:rsidR="00ED001A" w:rsidRPr="00BE63E3">
        <w:rPr>
          <w:rFonts w:ascii="ITC Avant Garde" w:hAnsi="ITC Avant Garde"/>
        </w:rPr>
        <w:t>A</w:t>
      </w:r>
      <w:r w:rsidRPr="00BE63E3">
        <w:rPr>
          <w:rFonts w:ascii="ITC Avant Garde" w:hAnsi="ITC Avant Garde"/>
        </w:rPr>
        <w:t>IC</w:t>
      </w:r>
      <w:bookmarkEnd w:id="67"/>
      <w:bookmarkEnd w:id="68"/>
      <w:bookmarkEnd w:id="69"/>
    </w:p>
    <w:p w:rsidR="005F5BB7" w:rsidRPr="00BE63E3" w:rsidRDefault="005F5BB7" w:rsidP="005F5BB7">
      <w:pPr>
        <w:rPr>
          <w:rFonts w:ascii="ITC Avant Garde" w:hAnsi="ITC Avant Garde"/>
          <w:lang w:val="es-MX"/>
        </w:rPr>
      </w:pPr>
      <w:r w:rsidRPr="00BE63E3">
        <w:rPr>
          <w:rFonts w:ascii="ITC Avant Garde" w:hAnsi="ITC Avant Garde"/>
          <w:lang w:val="es-MX"/>
        </w:rPr>
        <w:t xml:space="preserve">De acuerdo con la práctica establecida para fines regulatorios, la base de costos derivada del modelado </w:t>
      </w:r>
      <w:proofErr w:type="spellStart"/>
      <w:r w:rsidR="00850A2C" w:rsidRPr="00D76341">
        <w:rPr>
          <w:rFonts w:ascii="ITC Avant Garde" w:hAnsi="ITC Avant Garde"/>
          <w:i/>
          <w:lang w:val="es-MX"/>
        </w:rPr>
        <w:t>Bottom</w:t>
      </w:r>
      <w:proofErr w:type="spellEnd"/>
      <w:r w:rsidR="00850A2C" w:rsidRPr="00D76341">
        <w:rPr>
          <w:rFonts w:ascii="ITC Avant Garde" w:hAnsi="ITC Avant Garde"/>
          <w:i/>
          <w:lang w:val="es-MX"/>
        </w:rPr>
        <w:t xml:space="preserve"> Up</w:t>
      </w:r>
      <w:r w:rsidRPr="00BE63E3">
        <w:rPr>
          <w:rFonts w:ascii="ITC Avant Garde" w:hAnsi="ITC Avant Garde"/>
          <w:lang w:val="es-MX"/>
        </w:rPr>
        <w:t xml:space="preserve"> se puede capturar a través del concepto de </w:t>
      </w:r>
      <w:r w:rsidR="00AF5676" w:rsidRPr="00BE63E3">
        <w:rPr>
          <w:rFonts w:ascii="ITC Avant Garde" w:hAnsi="ITC Avant Garde"/>
          <w:lang w:val="es-MX"/>
        </w:rPr>
        <w:t>c</w:t>
      </w:r>
      <w:r w:rsidRPr="00BE63E3" w:rsidDel="00407AD2">
        <w:rPr>
          <w:rFonts w:ascii="ITC Avant Garde" w:hAnsi="ITC Avant Garde"/>
          <w:lang w:val="es-MX"/>
        </w:rPr>
        <w:t xml:space="preserve">ostos </w:t>
      </w:r>
      <w:r w:rsidR="00AF5676" w:rsidRPr="00BE63E3">
        <w:rPr>
          <w:rFonts w:ascii="ITC Avant Garde" w:hAnsi="ITC Avant Garde"/>
          <w:lang w:val="es-MX"/>
        </w:rPr>
        <w:t>i</w:t>
      </w:r>
      <w:r w:rsidRPr="00BE63E3" w:rsidDel="00407AD2">
        <w:rPr>
          <w:rFonts w:ascii="ITC Avant Garde" w:hAnsi="ITC Avant Garde"/>
          <w:lang w:val="es-MX"/>
        </w:rPr>
        <w:t xml:space="preserve">ncrementales </w:t>
      </w:r>
      <w:r w:rsidR="00AF5676" w:rsidRPr="00BE63E3">
        <w:rPr>
          <w:rFonts w:ascii="ITC Avant Garde" w:hAnsi="ITC Avant Garde"/>
          <w:lang w:val="es-MX"/>
        </w:rPr>
        <w:t>de</w:t>
      </w:r>
      <w:r w:rsidRPr="00BE63E3" w:rsidDel="00407AD2">
        <w:rPr>
          <w:rFonts w:ascii="ITC Avant Garde" w:hAnsi="ITC Avant Garde"/>
          <w:lang w:val="es-MX"/>
        </w:rPr>
        <w:t xml:space="preserve"> </w:t>
      </w:r>
      <w:r w:rsidR="00AF5676" w:rsidRPr="00BE63E3">
        <w:rPr>
          <w:rFonts w:ascii="ITC Avant Garde" w:hAnsi="ITC Avant Garde"/>
          <w:lang w:val="es-MX"/>
        </w:rPr>
        <w:t>l</w:t>
      </w:r>
      <w:r w:rsidRPr="00BE63E3" w:rsidDel="00407AD2">
        <w:rPr>
          <w:rFonts w:ascii="ITC Avant Garde" w:hAnsi="ITC Avant Garde"/>
          <w:lang w:val="es-MX"/>
        </w:rPr>
        <w:t xml:space="preserve">argo </w:t>
      </w:r>
      <w:r w:rsidR="00AF5676" w:rsidRPr="00BE63E3">
        <w:rPr>
          <w:rFonts w:ascii="ITC Avant Garde" w:hAnsi="ITC Avant Garde"/>
          <w:lang w:val="es-MX"/>
        </w:rPr>
        <w:t>p</w:t>
      </w:r>
      <w:r w:rsidRPr="00BE63E3">
        <w:rPr>
          <w:rFonts w:ascii="ITC Avant Garde" w:hAnsi="ITC Avant Garde"/>
          <w:lang w:val="es-MX"/>
        </w:rPr>
        <w:t>lazo:</w:t>
      </w:r>
    </w:p>
    <w:p w:rsidR="005F5BB7" w:rsidRPr="00BE63E3" w:rsidRDefault="005F5BB7" w:rsidP="00850A2C">
      <w:pPr>
        <w:pStyle w:val="Listaconvietas2"/>
        <w:rPr>
          <w:rFonts w:ascii="ITC Avant Garde" w:hAnsi="ITC Avant Garde"/>
          <w:lang w:val="es-MX"/>
        </w:rPr>
      </w:pPr>
      <w:r w:rsidRPr="00BE63E3">
        <w:rPr>
          <w:rFonts w:ascii="ITC Avant Garde" w:hAnsi="ITC Avant Garde"/>
          <w:lang w:val="es-MX"/>
        </w:rPr>
        <w:t xml:space="preserve">Largo plazo se entiende como un horizonte temporal, en el que </w:t>
      </w:r>
      <w:r w:rsidR="003A0FB4" w:rsidRPr="00BE63E3">
        <w:rPr>
          <w:rFonts w:ascii="ITC Avant Garde" w:hAnsi="ITC Avant Garde"/>
          <w:lang w:val="es-MX"/>
        </w:rPr>
        <w:t>todos los insumos</w:t>
      </w:r>
      <w:r w:rsidRPr="00BE63E3">
        <w:rPr>
          <w:rFonts w:ascii="ITC Avant Garde" w:hAnsi="ITC Avant Garde"/>
          <w:lang w:val="es-MX"/>
        </w:rPr>
        <w:t>, incluido</w:t>
      </w:r>
      <w:r w:rsidR="009174E4" w:rsidRPr="00BE63E3">
        <w:rPr>
          <w:rFonts w:ascii="ITC Avant Garde" w:hAnsi="ITC Avant Garde"/>
          <w:lang w:val="es-MX"/>
        </w:rPr>
        <w:t>s</w:t>
      </w:r>
      <w:r w:rsidRPr="00BE63E3">
        <w:rPr>
          <w:rFonts w:ascii="ITC Avant Garde" w:hAnsi="ITC Avant Garde"/>
          <w:lang w:val="es-MX"/>
        </w:rPr>
        <w:t xml:space="preserve"> </w:t>
      </w:r>
      <w:r w:rsidR="009174E4" w:rsidRPr="00BE63E3">
        <w:rPr>
          <w:rFonts w:ascii="ITC Avant Garde" w:hAnsi="ITC Avant Garde"/>
          <w:lang w:val="es-MX"/>
        </w:rPr>
        <w:t>los</w:t>
      </w:r>
      <w:r w:rsidRPr="00BE63E3">
        <w:rPr>
          <w:rFonts w:ascii="ITC Avant Garde" w:hAnsi="ITC Avant Garde"/>
          <w:lang w:val="es-MX"/>
        </w:rPr>
        <w:t xml:space="preserve"> costo</w:t>
      </w:r>
      <w:r w:rsidR="009174E4" w:rsidRPr="00BE63E3">
        <w:rPr>
          <w:rFonts w:ascii="ITC Avant Garde" w:hAnsi="ITC Avant Garde"/>
          <w:lang w:val="es-MX"/>
        </w:rPr>
        <w:t>s</w:t>
      </w:r>
      <w:r w:rsidRPr="00BE63E3">
        <w:rPr>
          <w:rFonts w:ascii="ITC Avant Garde" w:hAnsi="ITC Avant Garde"/>
          <w:lang w:val="es-MX"/>
        </w:rPr>
        <w:t xml:space="preserve"> del equipo, pueden variar como consecuencia de la demanda del mercado.</w:t>
      </w:r>
    </w:p>
    <w:p w:rsidR="005F5BB7" w:rsidRPr="00BE63E3" w:rsidRDefault="005F5BB7" w:rsidP="00850A2C">
      <w:pPr>
        <w:pStyle w:val="Listaconvietas2"/>
        <w:rPr>
          <w:rFonts w:ascii="ITC Avant Garde" w:hAnsi="ITC Avant Garde"/>
          <w:lang w:val="es-MX"/>
        </w:rPr>
      </w:pPr>
      <w:r w:rsidRPr="00BE63E3">
        <w:rPr>
          <w:rFonts w:ascii="ITC Avant Garde" w:hAnsi="ITC Avant Garde"/>
          <w:lang w:val="es-MX"/>
        </w:rPr>
        <w:t xml:space="preserve">El término </w:t>
      </w:r>
      <w:r w:rsidR="00850A2C" w:rsidRPr="00BE63E3">
        <w:rPr>
          <w:rFonts w:ascii="ITC Avant Garde" w:hAnsi="ITC Avant Garde"/>
          <w:lang w:val="es-MX"/>
        </w:rPr>
        <w:t>“</w:t>
      </w:r>
      <w:r w:rsidRPr="00BE63E3">
        <w:rPr>
          <w:rFonts w:ascii="ITC Avant Garde" w:hAnsi="ITC Avant Garde"/>
          <w:lang w:val="es-MX"/>
        </w:rPr>
        <w:t>Increment</w:t>
      </w:r>
      <w:r w:rsidR="00850A2C" w:rsidRPr="00BE63E3">
        <w:rPr>
          <w:rFonts w:ascii="ITC Avant Garde" w:hAnsi="ITC Avant Garde"/>
          <w:lang w:val="es-MX"/>
        </w:rPr>
        <w:t>al”</w:t>
      </w:r>
      <w:r w:rsidRPr="00BE63E3">
        <w:rPr>
          <w:rFonts w:ascii="ITC Avant Garde" w:hAnsi="ITC Avant Garde"/>
          <w:lang w:val="es-MX"/>
        </w:rPr>
        <w:t xml:space="preserve"> </w:t>
      </w:r>
      <w:r w:rsidR="00850A2C" w:rsidRPr="00BE63E3">
        <w:rPr>
          <w:rFonts w:ascii="ITC Avant Garde" w:hAnsi="ITC Avant Garde"/>
          <w:lang w:val="es-MX"/>
        </w:rPr>
        <w:t>significa</w:t>
      </w:r>
      <w:r w:rsidRPr="00BE63E3">
        <w:rPr>
          <w:rFonts w:ascii="ITC Avant Garde" w:hAnsi="ITC Avant Garde"/>
          <w:lang w:val="es-MX"/>
        </w:rPr>
        <w:t xml:space="preserve"> que los costos considerados corresponden a los del incremento definido. Existen varias definiciones del incremento.</w:t>
      </w:r>
    </w:p>
    <w:p w:rsidR="0061735A" w:rsidRDefault="0061735A" w:rsidP="005F5BB7">
      <w:pPr>
        <w:rPr>
          <w:rFonts w:ascii="ITC Avant Garde" w:hAnsi="ITC Avant Garde"/>
          <w:lang w:val="es-MX"/>
        </w:rPr>
      </w:pPr>
    </w:p>
    <w:p w:rsidR="0061735A" w:rsidRDefault="0061735A" w:rsidP="005F5BB7">
      <w:pPr>
        <w:rPr>
          <w:rFonts w:ascii="ITC Avant Garde" w:hAnsi="ITC Avant Garde"/>
          <w:lang w:val="es-MX"/>
        </w:rPr>
      </w:pPr>
    </w:p>
    <w:p w:rsidR="005F5BB7" w:rsidRPr="00BE63E3" w:rsidRDefault="005F5BB7" w:rsidP="005F5BB7">
      <w:pPr>
        <w:rPr>
          <w:rFonts w:ascii="ITC Avant Garde" w:hAnsi="ITC Avant Garde"/>
          <w:lang w:val="es-MX"/>
        </w:rPr>
      </w:pPr>
      <w:r w:rsidRPr="00BE63E3">
        <w:rPr>
          <w:rFonts w:ascii="ITC Avant Garde" w:hAnsi="ITC Avant Garde"/>
          <w:lang w:val="es-MX"/>
        </w:rPr>
        <w:lastRenderedPageBreak/>
        <w:t>Según lo definido por la Comisión Europea:</w:t>
      </w:r>
    </w:p>
    <w:p w:rsidR="005F5BB7" w:rsidRPr="00BE63E3" w:rsidRDefault="005F5BB7" w:rsidP="00850A2C">
      <w:pPr>
        <w:ind w:left="567" w:right="565"/>
        <w:rPr>
          <w:rFonts w:ascii="ITC Avant Garde" w:hAnsi="ITC Avant Garde"/>
          <w:i/>
          <w:lang w:val="es-MX"/>
        </w:rPr>
      </w:pPr>
      <w:r w:rsidRPr="00BE63E3">
        <w:rPr>
          <w:rFonts w:ascii="ITC Avant Garde" w:hAnsi="ITC Avant Garde"/>
          <w:i/>
          <w:lang w:val="es-MX"/>
        </w:rPr>
        <w:t>"Costos incrementales a largo plazo (</w:t>
      </w:r>
      <w:r w:rsidR="004E38E6" w:rsidRPr="00BE63E3">
        <w:rPr>
          <w:rFonts w:ascii="ITC Avant Garde" w:hAnsi="ITC Avant Garde"/>
          <w:i/>
          <w:lang w:val="es-MX"/>
        </w:rPr>
        <w:t>CILP</w:t>
      </w:r>
      <w:r w:rsidRPr="00BE63E3">
        <w:rPr>
          <w:rFonts w:ascii="ITC Avant Garde" w:hAnsi="ITC Avant Garde"/>
          <w:i/>
          <w:lang w:val="es-MX"/>
        </w:rPr>
        <w:t>) significa los costos incrementales correspondientes a un horizonte temporal donde todos los factores de producción, incluido el equipo de capital, son variables en respuesta a cambios en la demanda debido a cambios en el volumen o en la estructura de producción. Por lo tanto, todas las inversiones se consideran costos variables ".</w:t>
      </w:r>
      <w:r w:rsidR="00B914E4" w:rsidRPr="00BE63E3">
        <w:rPr>
          <w:rStyle w:val="Refdenotaalpie"/>
          <w:rFonts w:ascii="ITC Avant Garde" w:hAnsi="ITC Avant Garde"/>
          <w:i/>
          <w:lang w:val="es-MX"/>
        </w:rPr>
        <w:footnoteReference w:id="3"/>
      </w:r>
    </w:p>
    <w:p w:rsidR="005F5BB7" w:rsidRPr="00BE63E3" w:rsidRDefault="00850A2C" w:rsidP="00850A2C">
      <w:pPr>
        <w:rPr>
          <w:rFonts w:ascii="ITC Avant Garde" w:hAnsi="ITC Avant Garde"/>
          <w:lang w:val="es-MX"/>
        </w:rPr>
      </w:pPr>
      <w:r w:rsidRPr="00BE63E3">
        <w:rPr>
          <w:rFonts w:ascii="ITC Avant Garde" w:hAnsi="ITC Avant Garde"/>
          <w:lang w:val="es-MX"/>
        </w:rPr>
        <w:t>E</w:t>
      </w:r>
      <w:r w:rsidR="005F5BB7" w:rsidRPr="00BE63E3">
        <w:rPr>
          <w:rFonts w:ascii="ITC Avant Garde" w:hAnsi="ITC Avant Garde"/>
          <w:lang w:val="es-MX"/>
        </w:rPr>
        <w:t>l enfoque</w:t>
      </w:r>
      <w:r w:rsidRPr="00BE63E3">
        <w:rPr>
          <w:rFonts w:ascii="ITC Avant Garde" w:hAnsi="ITC Avant Garde"/>
          <w:lang w:val="es-MX"/>
        </w:rPr>
        <w:t xml:space="preserve"> de </w:t>
      </w:r>
      <w:r w:rsidRPr="00BE63E3" w:rsidDel="00DA2590">
        <w:rPr>
          <w:rFonts w:ascii="ITC Avant Garde" w:hAnsi="ITC Avant Garde"/>
          <w:lang w:val="es-MX"/>
        </w:rPr>
        <w:t xml:space="preserve">Costos </w:t>
      </w:r>
      <w:r w:rsidR="00B914E4" w:rsidRPr="00BE63E3" w:rsidDel="00DA2590">
        <w:rPr>
          <w:rFonts w:ascii="ITC Avant Garde" w:hAnsi="ITC Avant Garde"/>
          <w:lang w:val="es-MX"/>
        </w:rPr>
        <w:t>I</w:t>
      </w:r>
      <w:r w:rsidRPr="00BE63E3" w:rsidDel="00DA2590">
        <w:rPr>
          <w:rFonts w:ascii="ITC Avant Garde" w:hAnsi="ITC Avant Garde"/>
          <w:lang w:val="es-MX"/>
        </w:rPr>
        <w:t xml:space="preserve">ncrementales </w:t>
      </w:r>
      <w:r w:rsidR="00AB46E9" w:rsidRPr="00BE63E3" w:rsidDel="00DA2590">
        <w:rPr>
          <w:rFonts w:ascii="ITC Avant Garde" w:hAnsi="ITC Avant Garde"/>
          <w:lang w:val="es-MX"/>
        </w:rPr>
        <w:t xml:space="preserve">Promedios </w:t>
      </w:r>
      <w:r w:rsidRPr="00BE63E3" w:rsidDel="00DA2590">
        <w:rPr>
          <w:rFonts w:ascii="ITC Avant Garde" w:hAnsi="ITC Avant Garde"/>
          <w:lang w:val="es-MX"/>
        </w:rPr>
        <w:t xml:space="preserve">de </w:t>
      </w:r>
      <w:r w:rsidR="00AF5676" w:rsidRPr="00BE63E3">
        <w:rPr>
          <w:rFonts w:ascii="ITC Avant Garde" w:hAnsi="ITC Avant Garde"/>
          <w:lang w:val="es-MX"/>
        </w:rPr>
        <w:t>L</w:t>
      </w:r>
      <w:r w:rsidRPr="00BE63E3" w:rsidDel="00DA2590">
        <w:rPr>
          <w:rFonts w:ascii="ITC Avant Garde" w:hAnsi="ITC Avant Garde"/>
          <w:lang w:val="es-MX"/>
        </w:rPr>
        <w:t xml:space="preserve">argo </w:t>
      </w:r>
      <w:r w:rsidR="00AF5676" w:rsidRPr="00BE63E3">
        <w:rPr>
          <w:rFonts w:ascii="ITC Avant Garde" w:hAnsi="ITC Avant Garde"/>
          <w:lang w:val="es-MX"/>
        </w:rPr>
        <w:t xml:space="preserve">Plazo </w:t>
      </w:r>
      <w:r w:rsidRPr="00BE63E3">
        <w:rPr>
          <w:rFonts w:ascii="ITC Avant Garde" w:hAnsi="ITC Avant Garde"/>
          <w:lang w:val="es-MX"/>
        </w:rPr>
        <w:t>(</w:t>
      </w:r>
      <w:r w:rsidR="004E38E6" w:rsidRPr="00BE63E3">
        <w:rPr>
          <w:rFonts w:ascii="ITC Avant Garde" w:hAnsi="ITC Avant Garde"/>
          <w:lang w:val="es-MX"/>
        </w:rPr>
        <w:t>CI</w:t>
      </w:r>
      <w:r w:rsidR="00DA2590" w:rsidRPr="00BE63E3">
        <w:rPr>
          <w:rFonts w:ascii="ITC Avant Garde" w:hAnsi="ITC Avant Garde"/>
          <w:lang w:val="es-MX"/>
        </w:rPr>
        <w:t>P</w:t>
      </w:r>
      <w:r w:rsidR="004E38E6" w:rsidRPr="00BE63E3">
        <w:rPr>
          <w:rFonts w:ascii="ITC Avant Garde" w:hAnsi="ITC Avant Garde"/>
          <w:lang w:val="es-MX"/>
        </w:rPr>
        <w:t>LP</w:t>
      </w:r>
      <w:r w:rsidRPr="00BE63E3" w:rsidDel="00DA2590">
        <w:rPr>
          <w:rFonts w:ascii="ITC Avant Garde" w:hAnsi="ITC Avant Garde"/>
          <w:lang w:val="es-MX"/>
        </w:rPr>
        <w:t>)</w:t>
      </w:r>
      <w:r w:rsidR="005F5BB7" w:rsidRPr="00BE63E3">
        <w:rPr>
          <w:rFonts w:ascii="ITC Avant Garde" w:hAnsi="ITC Avant Garde"/>
          <w:lang w:val="es-MX"/>
        </w:rPr>
        <w:t xml:space="preserve"> es una </w:t>
      </w:r>
      <w:r w:rsidRPr="00BE63E3">
        <w:rPr>
          <w:rFonts w:ascii="ITC Avant Garde" w:hAnsi="ITC Avant Garde"/>
          <w:lang w:val="es-MX"/>
        </w:rPr>
        <w:t xml:space="preserve">variación </w:t>
      </w:r>
      <w:r w:rsidR="005F5BB7" w:rsidRPr="00BE63E3">
        <w:rPr>
          <w:rFonts w:ascii="ITC Avant Garde" w:hAnsi="ITC Avant Garde"/>
          <w:lang w:val="es-MX"/>
        </w:rPr>
        <w:t xml:space="preserve">de </w:t>
      </w:r>
      <w:r w:rsidRPr="00BE63E3">
        <w:rPr>
          <w:rFonts w:ascii="ITC Avant Garde" w:hAnsi="ITC Avant Garde"/>
          <w:lang w:val="es-MX"/>
        </w:rPr>
        <w:t xml:space="preserve">la </w:t>
      </w:r>
      <w:r w:rsidR="005F5BB7" w:rsidRPr="00BE63E3">
        <w:rPr>
          <w:rFonts w:ascii="ITC Avant Garde" w:hAnsi="ITC Avant Garde"/>
          <w:lang w:val="es-MX"/>
        </w:rPr>
        <w:t xml:space="preserve">metodología </w:t>
      </w:r>
      <w:r w:rsidR="00FA6F2F" w:rsidRPr="00BE63E3">
        <w:rPr>
          <w:rFonts w:ascii="ITC Avant Garde" w:hAnsi="ITC Avant Garde"/>
          <w:lang w:val="es-MX"/>
        </w:rPr>
        <w:t xml:space="preserve">de costos incrementales de largo plazo, </w:t>
      </w:r>
      <w:r w:rsidR="005F5BB7" w:rsidRPr="00BE63E3">
        <w:rPr>
          <w:rFonts w:ascii="ITC Avant Garde" w:hAnsi="ITC Avant Garde"/>
          <w:lang w:val="es-MX"/>
        </w:rPr>
        <w:t xml:space="preserve">que agrega el término </w:t>
      </w:r>
      <w:r w:rsidR="00FA6F2F" w:rsidRPr="00BE63E3">
        <w:rPr>
          <w:rFonts w:ascii="ITC Avant Garde" w:hAnsi="ITC Avant Garde"/>
          <w:lang w:val="es-MX"/>
        </w:rPr>
        <w:t>“</w:t>
      </w:r>
      <w:r w:rsidR="004D6F82" w:rsidRPr="00BE63E3">
        <w:rPr>
          <w:rFonts w:ascii="ITC Avant Garde" w:hAnsi="ITC Avant Garde"/>
          <w:lang w:val="es-MX"/>
        </w:rPr>
        <w:t>p</w:t>
      </w:r>
      <w:r w:rsidR="005F5BB7" w:rsidRPr="00BE63E3">
        <w:rPr>
          <w:rFonts w:ascii="ITC Avant Garde" w:hAnsi="ITC Avant Garde"/>
          <w:lang w:val="es-MX"/>
        </w:rPr>
        <w:t>romedio</w:t>
      </w:r>
      <w:r w:rsidR="00FA6F2F" w:rsidRPr="00BE63E3">
        <w:rPr>
          <w:rFonts w:ascii="ITC Avant Garde" w:hAnsi="ITC Avant Garde"/>
          <w:lang w:val="es-MX"/>
        </w:rPr>
        <w:t xml:space="preserve">”, lo que implica que </w:t>
      </w:r>
      <w:r w:rsidR="000361A8" w:rsidRPr="00BE63E3">
        <w:rPr>
          <w:rFonts w:ascii="ITC Avant Garde" w:hAnsi="ITC Avant Garde"/>
          <w:lang w:val="es-MX"/>
        </w:rPr>
        <w:t>todos</w:t>
      </w:r>
      <w:r w:rsidRPr="00BE63E3">
        <w:rPr>
          <w:rFonts w:ascii="ITC Avant Garde" w:hAnsi="ITC Avant Garde"/>
          <w:lang w:val="es-MX"/>
        </w:rPr>
        <w:t xml:space="preserve"> </w:t>
      </w:r>
      <w:r w:rsidR="005F5BB7" w:rsidRPr="00BE63E3">
        <w:rPr>
          <w:rFonts w:ascii="ITC Avant Garde" w:hAnsi="ITC Avant Garde"/>
          <w:lang w:val="es-MX"/>
        </w:rPr>
        <w:t xml:space="preserve">los costos </w:t>
      </w:r>
      <w:r w:rsidR="000361A8" w:rsidRPr="00BE63E3">
        <w:rPr>
          <w:rFonts w:ascii="ITC Avant Garde" w:hAnsi="ITC Avant Garde"/>
          <w:lang w:val="es-MX"/>
        </w:rPr>
        <w:t>asociad</w:t>
      </w:r>
      <w:r w:rsidR="005F5BB7" w:rsidRPr="00BE63E3">
        <w:rPr>
          <w:rFonts w:ascii="ITC Avant Garde" w:hAnsi="ITC Avant Garde"/>
          <w:lang w:val="es-MX"/>
        </w:rPr>
        <w:t xml:space="preserve">os a la producción del servicio relevante (dentro de los costos de proporcionar el incremento completo) se dividen por el tráfico total correspondiente </w:t>
      </w:r>
      <w:r w:rsidR="000361A8" w:rsidRPr="00BE63E3">
        <w:rPr>
          <w:rFonts w:ascii="ITC Avant Garde" w:hAnsi="ITC Avant Garde"/>
          <w:lang w:val="es-MX"/>
        </w:rPr>
        <w:t>con el fin de obtener</w:t>
      </w:r>
      <w:r w:rsidR="005F5BB7" w:rsidRPr="00BE63E3">
        <w:rPr>
          <w:rFonts w:ascii="ITC Avant Garde" w:hAnsi="ITC Avant Garde"/>
          <w:lang w:val="es-MX"/>
        </w:rPr>
        <w:t xml:space="preserve"> una estimación del costo incremental promedio del servicio. Hay varias definiciones del término </w:t>
      </w:r>
      <w:r w:rsidR="004D6F82" w:rsidRPr="00BE63E3">
        <w:rPr>
          <w:rFonts w:ascii="ITC Avant Garde" w:hAnsi="ITC Avant Garde"/>
          <w:lang w:val="es-MX"/>
        </w:rPr>
        <w:t>“</w:t>
      </w:r>
      <w:r w:rsidR="005F5BB7" w:rsidRPr="00BE63E3">
        <w:rPr>
          <w:rFonts w:ascii="ITC Avant Garde" w:hAnsi="ITC Avant Garde"/>
          <w:lang w:val="es-MX"/>
        </w:rPr>
        <w:t>incremento</w:t>
      </w:r>
      <w:r w:rsidR="004D6F82" w:rsidRPr="00BE63E3">
        <w:rPr>
          <w:rFonts w:ascii="ITC Avant Garde" w:hAnsi="ITC Avant Garde"/>
          <w:lang w:val="es-MX"/>
        </w:rPr>
        <w:t>”</w:t>
      </w:r>
      <w:r w:rsidR="005F5BB7" w:rsidRPr="00BE63E3">
        <w:rPr>
          <w:rFonts w:ascii="ITC Avant Garde" w:hAnsi="ITC Avant Garde"/>
          <w:lang w:val="es-MX"/>
        </w:rPr>
        <w:t xml:space="preserve">, razón por la cual este tema se trata </w:t>
      </w:r>
      <w:r w:rsidR="00F72DA5">
        <w:rPr>
          <w:rFonts w:ascii="ITC Avant Garde" w:hAnsi="ITC Avant Garde"/>
          <w:lang w:val="es-MX"/>
        </w:rPr>
        <w:t>a</w:t>
      </w:r>
      <w:r w:rsidR="00F72DA5" w:rsidRPr="00BE63E3">
        <w:rPr>
          <w:rFonts w:ascii="ITC Avant Garde" w:hAnsi="ITC Avant Garde"/>
          <w:lang w:val="es-MX"/>
        </w:rPr>
        <w:t xml:space="preserve"> </w:t>
      </w:r>
      <w:r w:rsidR="005F5BB7" w:rsidRPr="00BE63E3">
        <w:rPr>
          <w:rFonts w:ascii="ITC Avant Garde" w:hAnsi="ITC Avant Garde"/>
          <w:lang w:val="es-MX"/>
        </w:rPr>
        <w:t>detalle a continuación.</w:t>
      </w:r>
    </w:p>
    <w:p w:rsidR="005F5BB7" w:rsidRPr="00BE63E3" w:rsidRDefault="005F5BB7" w:rsidP="005F5BB7">
      <w:pPr>
        <w:rPr>
          <w:rFonts w:ascii="ITC Avant Garde" w:hAnsi="ITC Avant Garde"/>
          <w:lang w:val="es-MX"/>
        </w:rPr>
      </w:pPr>
      <w:r w:rsidRPr="00BE63E3">
        <w:rPr>
          <w:rFonts w:ascii="ITC Avant Garde" w:hAnsi="ITC Avant Garde"/>
          <w:lang w:val="es-MX"/>
        </w:rPr>
        <w:t xml:space="preserve">Este uso del enfoque </w:t>
      </w:r>
      <w:r w:rsidR="00080E46" w:rsidRPr="00BE63E3">
        <w:rPr>
          <w:rFonts w:ascii="ITC Avant Garde" w:hAnsi="ITC Avant Garde"/>
          <w:lang w:val="es-MX"/>
        </w:rPr>
        <w:t xml:space="preserve">CIPLP </w:t>
      </w:r>
      <w:r w:rsidRPr="00BE63E3">
        <w:rPr>
          <w:rFonts w:ascii="ITC Avant Garde" w:hAnsi="ITC Avant Garde"/>
          <w:lang w:val="es-MX"/>
        </w:rPr>
        <w:t>es consistente con los modelos anteriores de acceso (tanto el modelo de cobre como el de fibra), como se establece en los documentos metodológicos y conceptuales del modelo de cobre</w:t>
      </w:r>
      <w:r w:rsidR="004E38E6" w:rsidRPr="00BE63E3">
        <w:rPr>
          <w:rStyle w:val="Refdenotaalpie"/>
          <w:rFonts w:ascii="ITC Avant Garde" w:hAnsi="ITC Avant Garde"/>
          <w:lang w:val="es-MX"/>
        </w:rPr>
        <w:footnoteReference w:id="4"/>
      </w:r>
      <w:r w:rsidRPr="00BE63E3">
        <w:rPr>
          <w:rFonts w:ascii="ITC Avant Garde" w:hAnsi="ITC Avant Garde"/>
          <w:lang w:val="es-MX"/>
        </w:rPr>
        <w:t>:</w:t>
      </w:r>
    </w:p>
    <w:p w:rsidR="00EC047F" w:rsidRDefault="0074343B" w:rsidP="00EC047F">
      <w:pPr>
        <w:ind w:left="567" w:right="565"/>
        <w:rPr>
          <w:rFonts w:ascii="ITC Avant Garde" w:hAnsi="ITC Avant Garde"/>
          <w:i/>
          <w:lang w:val="es-MX"/>
        </w:rPr>
      </w:pPr>
      <w:r w:rsidRPr="00BE63E3">
        <w:rPr>
          <w:rFonts w:ascii="ITC Avant Garde" w:hAnsi="ITC Avant Garde"/>
          <w:i/>
          <w:lang w:val="es-MX"/>
        </w:rPr>
        <w:t>“</w:t>
      </w:r>
      <w:r w:rsidR="00EC047F" w:rsidRPr="00EC047F">
        <w:rPr>
          <w:rFonts w:ascii="ITC Avant Garde" w:hAnsi="ITC Avant Garde"/>
          <w:i/>
          <w:lang w:val="es-MX"/>
        </w:rPr>
        <w:t>El IFT decidió que es</w:t>
      </w:r>
      <w:r w:rsidR="005F5BB7" w:rsidRPr="00BE63E3">
        <w:rPr>
          <w:rFonts w:ascii="ITC Avant Garde" w:hAnsi="ITC Avant Garde"/>
          <w:i/>
          <w:lang w:val="es-MX"/>
        </w:rPr>
        <w:t xml:space="preserve"> la elección más </w:t>
      </w:r>
      <w:r w:rsidR="00EC047F" w:rsidRPr="00EC047F">
        <w:rPr>
          <w:rFonts w:ascii="ITC Avant Garde" w:hAnsi="ITC Avant Garde"/>
          <w:i/>
          <w:lang w:val="es-MX"/>
        </w:rPr>
        <w:t>apropiada para</w:t>
      </w:r>
      <w:r w:rsidR="005F5BB7" w:rsidRPr="00BE63E3">
        <w:rPr>
          <w:rFonts w:ascii="ITC Avant Garde" w:hAnsi="ITC Avant Garde"/>
          <w:i/>
          <w:lang w:val="es-MX"/>
        </w:rPr>
        <w:t xml:space="preserve"> los servicios de infraestructura de la red de acceso fija</w:t>
      </w:r>
      <w:r w:rsidR="00EC047F">
        <w:rPr>
          <w:rFonts w:ascii="ITC Avant Garde" w:hAnsi="ITC Avant Garde"/>
          <w:i/>
          <w:lang w:val="es-MX"/>
        </w:rPr>
        <w:t xml:space="preserve">. </w:t>
      </w:r>
    </w:p>
    <w:p w:rsidR="005F5BB7" w:rsidRPr="00BE63E3" w:rsidRDefault="00EC047F" w:rsidP="000361A8">
      <w:pPr>
        <w:ind w:left="567" w:right="565"/>
        <w:rPr>
          <w:rFonts w:ascii="ITC Avant Garde" w:hAnsi="ITC Avant Garde"/>
          <w:i/>
          <w:lang w:val="es-MX"/>
        </w:rPr>
      </w:pPr>
      <w:r w:rsidRPr="00EC047F">
        <w:rPr>
          <w:rFonts w:ascii="ITC Avant Garde" w:hAnsi="ITC Avant Garde"/>
          <w:i/>
          <w:lang w:val="es-MX"/>
        </w:rPr>
        <w:t>Calcula</w:t>
      </w:r>
      <w:r w:rsidR="005F5BB7" w:rsidRPr="00BE63E3">
        <w:rPr>
          <w:rFonts w:ascii="ITC Avant Garde" w:hAnsi="ITC Avant Garde"/>
          <w:i/>
          <w:lang w:val="es-MX"/>
        </w:rPr>
        <w:t xml:space="preserve"> los costos incrementales de proveer un servicio </w:t>
      </w:r>
      <w:r w:rsidR="00F54759" w:rsidRPr="00F54759">
        <w:rPr>
          <w:rFonts w:ascii="ITC Avant Garde" w:hAnsi="ITC Avant Garde"/>
          <w:i/>
          <w:lang w:val="es-MX"/>
        </w:rPr>
        <w:t>considerando</w:t>
      </w:r>
      <w:r w:rsidR="005F5BB7" w:rsidRPr="00BE63E3">
        <w:rPr>
          <w:rFonts w:ascii="ITC Avant Garde" w:hAnsi="ITC Avant Garde"/>
          <w:i/>
          <w:lang w:val="es-MX"/>
        </w:rPr>
        <w:t xml:space="preserve"> todos los servicios </w:t>
      </w:r>
      <w:r w:rsidR="00F54759" w:rsidRPr="00F54759">
        <w:rPr>
          <w:rFonts w:ascii="ITC Avant Garde" w:hAnsi="ITC Avant Garde"/>
          <w:i/>
          <w:lang w:val="es-MX"/>
        </w:rPr>
        <w:t>ya</w:t>
      </w:r>
      <w:r w:rsidR="005F5BB7" w:rsidRPr="00BE63E3">
        <w:rPr>
          <w:rFonts w:ascii="ITC Avant Garde" w:hAnsi="ITC Avant Garde"/>
          <w:i/>
          <w:lang w:val="es-MX"/>
        </w:rPr>
        <w:t xml:space="preserve"> provistos (atribuyendo los costos compartidos y comunes a los servicios relevantes en función de la demanda de dichos servicios</w:t>
      </w:r>
      <w:r w:rsidR="00337B8D" w:rsidRPr="00BE63E3">
        <w:rPr>
          <w:rFonts w:ascii="ITC Avant Garde" w:hAnsi="ITC Avant Garde"/>
          <w:i/>
          <w:lang w:val="es-MX"/>
        </w:rPr>
        <w:t>)</w:t>
      </w:r>
      <w:r w:rsidR="0074343B" w:rsidRPr="00BE63E3">
        <w:rPr>
          <w:rFonts w:ascii="ITC Avant Garde" w:hAnsi="ITC Avant Garde"/>
          <w:i/>
          <w:lang w:val="es-MX"/>
        </w:rPr>
        <w:t>”</w:t>
      </w:r>
      <w:r w:rsidR="00337B8D" w:rsidRPr="00BE63E3">
        <w:rPr>
          <w:rFonts w:ascii="ITC Avant Garde" w:hAnsi="ITC Avant Garde"/>
          <w:i/>
          <w:lang w:val="es-MX"/>
        </w:rPr>
        <w:t xml:space="preserve"> </w:t>
      </w:r>
    </w:p>
    <w:p w:rsidR="005F5BB7" w:rsidRPr="00BE63E3" w:rsidRDefault="005F5BB7" w:rsidP="005F5BB7">
      <w:pPr>
        <w:rPr>
          <w:rFonts w:ascii="ITC Avant Garde" w:hAnsi="ITC Avant Garde"/>
          <w:lang w:val="es-MX"/>
        </w:rPr>
      </w:pPr>
      <w:r w:rsidRPr="00BE63E3">
        <w:rPr>
          <w:rFonts w:ascii="ITC Avant Garde" w:hAnsi="ITC Avant Garde"/>
          <w:lang w:val="es-MX"/>
        </w:rPr>
        <w:t>La misma elección se realiza en el modelo de fibra, como se indica en el documento metodológico</w:t>
      </w:r>
      <w:r w:rsidR="004E38E6" w:rsidRPr="00BE63E3">
        <w:rPr>
          <w:rStyle w:val="Refdenotaalpie"/>
          <w:rFonts w:ascii="ITC Avant Garde" w:hAnsi="ITC Avant Garde"/>
          <w:lang w:val="es-MX"/>
        </w:rPr>
        <w:footnoteReference w:id="5"/>
      </w:r>
      <w:r w:rsidRPr="00BE63E3">
        <w:rPr>
          <w:rFonts w:ascii="ITC Avant Garde" w:hAnsi="ITC Avant Garde"/>
          <w:lang w:val="es-MX"/>
        </w:rPr>
        <w:t>.</w:t>
      </w:r>
    </w:p>
    <w:p w:rsidR="005F5BB7" w:rsidRPr="00BE63E3" w:rsidRDefault="0074343B" w:rsidP="007E23B3">
      <w:pPr>
        <w:ind w:left="567" w:right="565"/>
        <w:rPr>
          <w:rFonts w:ascii="ITC Avant Garde" w:hAnsi="ITC Avant Garde"/>
          <w:i/>
          <w:lang w:val="es-MX"/>
        </w:rPr>
      </w:pPr>
      <w:r w:rsidRPr="00BE63E3">
        <w:rPr>
          <w:rFonts w:ascii="ITC Avant Garde" w:hAnsi="ITC Avant Garde"/>
          <w:i/>
          <w:lang w:val="es-MX"/>
        </w:rPr>
        <w:t>“</w:t>
      </w:r>
      <w:r w:rsidR="005F5BB7" w:rsidRPr="00BE63E3">
        <w:rPr>
          <w:rFonts w:ascii="ITC Avant Garde" w:hAnsi="ITC Avant Garde"/>
          <w:i/>
          <w:lang w:val="es-MX"/>
        </w:rPr>
        <w:t>La metodología CIPLP calcula los costos evitados si un cierto servicio, o un grupo de proveedores se dejaran de prestar. Adicionalmente, esta metodología incluye la atribución de los costos comunes (no incrementales) a servicios.</w:t>
      </w:r>
    </w:p>
    <w:p w:rsidR="005F5BB7" w:rsidRPr="00BE63E3" w:rsidRDefault="005F5BB7" w:rsidP="007E23B3">
      <w:pPr>
        <w:ind w:left="567" w:right="565"/>
        <w:rPr>
          <w:rFonts w:ascii="ITC Avant Garde" w:hAnsi="ITC Avant Garde"/>
          <w:i/>
          <w:lang w:val="es-MX"/>
        </w:rPr>
      </w:pPr>
      <w:r w:rsidRPr="00BE63E3">
        <w:rPr>
          <w:rFonts w:ascii="ITC Avant Garde" w:hAnsi="ITC Avant Garde"/>
          <w:i/>
          <w:lang w:val="es-MX"/>
        </w:rPr>
        <w:t xml:space="preserve">Se concluye emplear una metodología de costos CIPLP para la atribución de los costos de red a servicios. " </w:t>
      </w:r>
    </w:p>
    <w:p w:rsidR="007E23B3" w:rsidRPr="00BE63E3" w:rsidRDefault="007E23B3" w:rsidP="005F5BB7">
      <w:pPr>
        <w:rPr>
          <w:rFonts w:ascii="ITC Avant Garde" w:hAnsi="ITC Avant Garde"/>
          <w:lang w:val="es-MX"/>
        </w:rPr>
      </w:pPr>
    </w:p>
    <w:p w:rsidR="005F5BB7" w:rsidRPr="00BE63E3" w:rsidRDefault="005F5BB7" w:rsidP="005F5BB7">
      <w:pPr>
        <w:rPr>
          <w:rFonts w:ascii="ITC Avant Garde" w:hAnsi="ITC Avant Garde"/>
          <w:lang w:val="es-MX"/>
        </w:rPr>
      </w:pPr>
      <w:r w:rsidRPr="00BE63E3">
        <w:rPr>
          <w:rFonts w:ascii="ITC Avant Garde" w:hAnsi="ITC Avant Garde"/>
          <w:lang w:val="es-MX"/>
        </w:rPr>
        <w:t xml:space="preserve">En conjunto, la metodología </w:t>
      </w:r>
      <w:r w:rsidR="007E23B3" w:rsidRPr="00BE63E3">
        <w:rPr>
          <w:rFonts w:ascii="ITC Avant Garde" w:hAnsi="ITC Avant Garde"/>
          <w:lang w:val="es-MX"/>
        </w:rPr>
        <w:t>C</w:t>
      </w:r>
      <w:r w:rsidR="00AB46E9" w:rsidRPr="00BE63E3">
        <w:rPr>
          <w:rFonts w:ascii="ITC Avant Garde" w:hAnsi="ITC Avant Garde"/>
          <w:lang w:val="es-MX"/>
        </w:rPr>
        <w:t>I</w:t>
      </w:r>
      <w:r w:rsidR="007E23B3" w:rsidRPr="00BE63E3">
        <w:rPr>
          <w:rFonts w:ascii="ITC Avant Garde" w:hAnsi="ITC Avant Garde"/>
          <w:lang w:val="es-MX"/>
        </w:rPr>
        <w:t>PLP</w:t>
      </w:r>
      <w:r w:rsidRPr="00BE63E3">
        <w:rPr>
          <w:rFonts w:ascii="ITC Avant Garde" w:hAnsi="ITC Avant Garde"/>
          <w:lang w:val="es-MX"/>
        </w:rPr>
        <w:t xml:space="preserve"> proporciona a</w:t>
      </w:r>
      <w:r w:rsidR="007E23B3" w:rsidRPr="00BE63E3">
        <w:rPr>
          <w:rFonts w:ascii="ITC Avant Garde" w:hAnsi="ITC Avant Garde"/>
          <w:lang w:val="es-MX"/>
        </w:rPr>
        <w:t>l</w:t>
      </w:r>
      <w:r w:rsidRPr="00BE63E3">
        <w:rPr>
          <w:rFonts w:ascii="ITC Avant Garde" w:hAnsi="ITC Avant Garde"/>
          <w:lang w:val="es-MX"/>
        </w:rPr>
        <w:t xml:space="preserve"> IFT un enfoque apropiado en línea con las mejores prácticas internacionales</w:t>
      </w:r>
      <w:r w:rsidR="007E23B3" w:rsidRPr="00BE63E3">
        <w:rPr>
          <w:rFonts w:ascii="ITC Avant Garde" w:hAnsi="ITC Avant Garde"/>
          <w:lang w:val="es-MX"/>
        </w:rPr>
        <w:t>, e</w:t>
      </w:r>
      <w:r w:rsidRPr="00BE63E3">
        <w:rPr>
          <w:rFonts w:ascii="ITC Avant Garde" w:hAnsi="ITC Avant Garde"/>
          <w:lang w:val="es-MX"/>
        </w:rPr>
        <w:t>n particular con la recomendación de la C</w:t>
      </w:r>
      <w:r w:rsidR="00262D4C" w:rsidRPr="00BE63E3">
        <w:rPr>
          <w:rFonts w:ascii="ITC Avant Garde" w:hAnsi="ITC Avant Garde"/>
          <w:lang w:val="es-MX"/>
        </w:rPr>
        <w:t xml:space="preserve">omisión </w:t>
      </w:r>
      <w:r w:rsidRPr="00BE63E3">
        <w:rPr>
          <w:rFonts w:ascii="ITC Avant Garde" w:hAnsi="ITC Avant Garde"/>
          <w:lang w:val="es-MX"/>
        </w:rPr>
        <w:t>E</w:t>
      </w:r>
      <w:r w:rsidR="00262D4C" w:rsidRPr="00BE63E3">
        <w:rPr>
          <w:rFonts w:ascii="ITC Avant Garde" w:hAnsi="ITC Avant Garde"/>
          <w:lang w:val="es-MX"/>
        </w:rPr>
        <w:t>uropea</w:t>
      </w:r>
      <w:r w:rsidRPr="00BE63E3">
        <w:rPr>
          <w:rFonts w:ascii="ITC Avant Garde" w:hAnsi="ITC Avant Garde"/>
          <w:lang w:val="es-MX"/>
        </w:rPr>
        <w:t>.</w:t>
      </w:r>
    </w:p>
    <w:p w:rsidR="005F5BB7" w:rsidRPr="00BE63E3" w:rsidRDefault="005F5BB7" w:rsidP="005F5BB7">
      <w:pPr>
        <w:rPr>
          <w:rFonts w:ascii="ITC Avant Garde" w:hAnsi="ITC Avant Garde"/>
          <w:lang w:val="es-MX"/>
        </w:rPr>
      </w:pPr>
      <w:r w:rsidRPr="00BE63E3">
        <w:rPr>
          <w:rFonts w:ascii="ITC Avant Garde" w:hAnsi="ITC Avant Garde"/>
          <w:lang w:val="es-MX"/>
        </w:rPr>
        <w:t xml:space="preserve">Además de elegir </w:t>
      </w:r>
      <w:r w:rsidR="003A02C7" w:rsidRPr="00BE63E3">
        <w:rPr>
          <w:rFonts w:ascii="ITC Avant Garde" w:hAnsi="ITC Avant Garde"/>
          <w:lang w:val="es-MX"/>
        </w:rPr>
        <w:t xml:space="preserve">un enfoque </w:t>
      </w:r>
      <w:proofErr w:type="spellStart"/>
      <w:r w:rsidR="003A02C7" w:rsidRPr="00D76341">
        <w:rPr>
          <w:rFonts w:ascii="ITC Avant Garde" w:hAnsi="ITC Avant Garde"/>
          <w:i/>
          <w:lang w:val="es-MX"/>
        </w:rPr>
        <w:t>Bottom</w:t>
      </w:r>
      <w:proofErr w:type="spellEnd"/>
      <w:r w:rsidR="003A02C7" w:rsidRPr="00D76341">
        <w:rPr>
          <w:rFonts w:ascii="ITC Avant Garde" w:hAnsi="ITC Avant Garde"/>
          <w:i/>
          <w:lang w:val="es-MX"/>
        </w:rPr>
        <w:t>-Up</w:t>
      </w:r>
      <w:r w:rsidR="003A02C7" w:rsidRPr="00BE63E3">
        <w:rPr>
          <w:rFonts w:ascii="ITC Avant Garde" w:hAnsi="ITC Avant Garde"/>
          <w:lang w:val="es-MX"/>
        </w:rPr>
        <w:t xml:space="preserve"> y la metodología CIPLP</w:t>
      </w:r>
      <w:r w:rsidRPr="00BE63E3">
        <w:rPr>
          <w:rFonts w:ascii="ITC Avant Garde" w:hAnsi="ITC Avant Garde"/>
          <w:lang w:val="es-MX"/>
        </w:rPr>
        <w:t xml:space="preserve"> como un estándar de costo, el incremento considerado para el cálculo debe definirse claramente. En un sentido amplio, los costos incrementales son los costos de proporcionar un incremento o decremento del producto cuando otros incrementos de la demanda no cambian.</w:t>
      </w:r>
    </w:p>
    <w:p w:rsidR="005F5BB7" w:rsidRPr="00BE63E3" w:rsidRDefault="005F5BB7" w:rsidP="005F5BB7">
      <w:pPr>
        <w:rPr>
          <w:rFonts w:ascii="ITC Avant Garde" w:hAnsi="ITC Avant Garde"/>
          <w:lang w:val="es-MX"/>
        </w:rPr>
      </w:pPr>
      <w:r w:rsidRPr="00BE63E3">
        <w:rPr>
          <w:rFonts w:ascii="ITC Avant Garde" w:hAnsi="ITC Avant Garde"/>
          <w:lang w:val="es-MX"/>
        </w:rPr>
        <w:t xml:space="preserve">Se pueden identificar dos familias principales de incrementos, según la tecnología utilizada (i) o según los servicios proporcionados por la red (ii). La segunda familia de incrementos es la más utilizada (está en línea con los modelos </w:t>
      </w:r>
      <w:r w:rsidR="009136FB" w:rsidRPr="00BE63E3">
        <w:rPr>
          <w:rFonts w:ascii="ITC Avant Garde" w:hAnsi="ITC Avant Garde"/>
          <w:lang w:val="es-MX"/>
        </w:rPr>
        <w:t>de cobre y de fibra</w:t>
      </w:r>
      <w:r w:rsidRPr="00BE63E3">
        <w:rPr>
          <w:rFonts w:ascii="ITC Avant Garde" w:hAnsi="ITC Avant Garde"/>
          <w:lang w:val="es-MX"/>
        </w:rPr>
        <w:t>) a partir de la cual los incrementos se pueden definir de varias maneras.</w:t>
      </w:r>
      <w:r w:rsidR="007E23B3" w:rsidRPr="00BE63E3">
        <w:rPr>
          <w:rFonts w:ascii="ITC Avant Garde" w:hAnsi="ITC Avant Garde"/>
          <w:lang w:val="es-MX"/>
        </w:rPr>
        <w:t xml:space="preserve"> </w:t>
      </w:r>
      <w:r w:rsidRPr="00BE63E3">
        <w:rPr>
          <w:rFonts w:ascii="ITC Avant Garde" w:hAnsi="ITC Avant Garde"/>
          <w:lang w:val="es-MX"/>
        </w:rPr>
        <w:t>Las posibles definiciones del incremento incluyen:</w:t>
      </w:r>
    </w:p>
    <w:p w:rsidR="005F5BB7" w:rsidRPr="00BE63E3" w:rsidRDefault="00253B07" w:rsidP="007E23B3">
      <w:pPr>
        <w:pStyle w:val="Listaconvietas2"/>
        <w:rPr>
          <w:rFonts w:ascii="ITC Avant Garde" w:hAnsi="ITC Avant Garde"/>
          <w:lang w:val="es-MX"/>
        </w:rPr>
      </w:pPr>
      <w:r>
        <w:rPr>
          <w:rFonts w:ascii="ITC Avant Garde" w:hAnsi="ITC Avant Garde"/>
          <w:lang w:val="es-MX"/>
        </w:rPr>
        <w:t>U</w:t>
      </w:r>
      <w:r w:rsidR="005F5BB7" w:rsidRPr="00BE63E3">
        <w:rPr>
          <w:rFonts w:ascii="ITC Avant Garde" w:hAnsi="ITC Avant Garde"/>
          <w:lang w:val="es-MX"/>
        </w:rPr>
        <w:t>nidad marginal de demanda de un servicio;</w:t>
      </w:r>
    </w:p>
    <w:p w:rsidR="005F5BB7" w:rsidRPr="00BE63E3" w:rsidRDefault="00253B07" w:rsidP="007E23B3">
      <w:pPr>
        <w:pStyle w:val="Listaconvietas2"/>
        <w:rPr>
          <w:rFonts w:ascii="ITC Avant Garde" w:hAnsi="ITC Avant Garde"/>
          <w:lang w:val="es-MX"/>
        </w:rPr>
      </w:pPr>
      <w:r>
        <w:rPr>
          <w:rFonts w:ascii="ITC Avant Garde" w:hAnsi="ITC Avant Garde"/>
          <w:lang w:val="es-MX"/>
        </w:rPr>
        <w:t>D</w:t>
      </w:r>
      <w:r w:rsidR="005F5BB7" w:rsidRPr="00BE63E3">
        <w:rPr>
          <w:rFonts w:ascii="ITC Avant Garde" w:hAnsi="ITC Avant Garde"/>
          <w:lang w:val="es-MX"/>
        </w:rPr>
        <w:t>emanda total de un servicio;</w:t>
      </w:r>
    </w:p>
    <w:p w:rsidR="005F5BB7" w:rsidRPr="00BE63E3" w:rsidRDefault="00253B07" w:rsidP="007E23B3">
      <w:pPr>
        <w:pStyle w:val="Listaconvietas2"/>
        <w:rPr>
          <w:rFonts w:ascii="ITC Avant Garde" w:hAnsi="ITC Avant Garde"/>
          <w:lang w:val="es-MX"/>
        </w:rPr>
      </w:pPr>
      <w:r>
        <w:rPr>
          <w:rFonts w:ascii="ITC Avant Garde" w:hAnsi="ITC Avant Garde"/>
          <w:lang w:val="es-MX"/>
        </w:rPr>
        <w:t>D</w:t>
      </w:r>
      <w:r w:rsidR="005F5BB7" w:rsidRPr="00BE63E3">
        <w:rPr>
          <w:rFonts w:ascii="ITC Avant Garde" w:hAnsi="ITC Avant Garde"/>
          <w:lang w:val="es-MX"/>
        </w:rPr>
        <w:t>emanda total de un grupo de servicios;</w:t>
      </w:r>
    </w:p>
    <w:p w:rsidR="005F5BB7" w:rsidRPr="00BE63E3" w:rsidRDefault="00253B07" w:rsidP="007E23B3">
      <w:pPr>
        <w:pStyle w:val="Listaconvietas2"/>
        <w:rPr>
          <w:rFonts w:ascii="ITC Avant Garde" w:hAnsi="ITC Avant Garde"/>
          <w:lang w:val="es-MX"/>
        </w:rPr>
      </w:pPr>
      <w:r>
        <w:rPr>
          <w:rFonts w:ascii="ITC Avant Garde" w:hAnsi="ITC Avant Garde"/>
          <w:lang w:val="es-MX"/>
        </w:rPr>
        <w:t>D</w:t>
      </w:r>
      <w:r w:rsidR="005F5BB7" w:rsidRPr="00BE63E3">
        <w:rPr>
          <w:rFonts w:ascii="ITC Avant Garde" w:hAnsi="ITC Avant Garde"/>
          <w:lang w:val="es-MX"/>
        </w:rPr>
        <w:t>emanda total de todos los servicios.</w:t>
      </w:r>
    </w:p>
    <w:p w:rsidR="005F5BB7" w:rsidRPr="00BE63E3" w:rsidRDefault="005F5BB7" w:rsidP="005F5BB7">
      <w:pPr>
        <w:rPr>
          <w:rFonts w:ascii="ITC Avant Garde" w:hAnsi="ITC Avant Garde"/>
          <w:lang w:val="es-MX"/>
        </w:rPr>
      </w:pPr>
      <w:r w:rsidRPr="00BE63E3">
        <w:rPr>
          <w:rFonts w:ascii="ITC Avant Garde" w:hAnsi="ITC Avant Garde"/>
          <w:lang w:val="es-MX"/>
        </w:rPr>
        <w:t>La siguiente figura ilustra estas diferentes definiciones para el caso de una empresa que produce cinco servicios diferentes (de</w:t>
      </w:r>
      <w:r w:rsidR="004E38E6" w:rsidRPr="00BE63E3">
        <w:rPr>
          <w:rFonts w:ascii="ITC Avant Garde" w:hAnsi="ITC Avant Garde"/>
          <w:lang w:val="es-MX"/>
        </w:rPr>
        <w:t>l servicio</w:t>
      </w:r>
      <w:r w:rsidRPr="00BE63E3">
        <w:rPr>
          <w:rFonts w:ascii="ITC Avant Garde" w:hAnsi="ITC Avant Garde"/>
          <w:lang w:val="es-MX"/>
        </w:rPr>
        <w:t xml:space="preserve"> A a</w:t>
      </w:r>
      <w:r w:rsidR="004E38E6" w:rsidRPr="00BE63E3">
        <w:rPr>
          <w:rFonts w:ascii="ITC Avant Garde" w:hAnsi="ITC Avant Garde"/>
          <w:lang w:val="es-MX"/>
        </w:rPr>
        <w:t>l</w:t>
      </w:r>
      <w:r w:rsidRPr="00BE63E3">
        <w:rPr>
          <w:rFonts w:ascii="ITC Avant Garde" w:hAnsi="ITC Avant Garde"/>
          <w:lang w:val="es-MX"/>
        </w:rPr>
        <w:t xml:space="preserve"> E):</w:t>
      </w:r>
    </w:p>
    <w:p w:rsidR="005F5BB7" w:rsidRPr="00BE63E3" w:rsidRDefault="005F5BB7" w:rsidP="005F5BB7">
      <w:pPr>
        <w:rPr>
          <w:rFonts w:ascii="ITC Avant Garde" w:hAnsi="ITC Avant Garde"/>
          <w:lang w:val="es-MX"/>
        </w:rPr>
      </w:pPr>
    </w:p>
    <w:p w:rsidR="00850A2C" w:rsidRPr="00BE63E3" w:rsidRDefault="00850A2C" w:rsidP="00A776E3">
      <w:pPr>
        <w:pStyle w:val="Descripcin"/>
        <w:keepNext/>
        <w:rPr>
          <w:rFonts w:ascii="ITC Avant Garde" w:hAnsi="ITC Avant Garde"/>
          <w:lang w:val="es-MX"/>
        </w:rPr>
      </w:pPr>
      <w:r w:rsidRPr="00BE63E3">
        <w:rPr>
          <w:rFonts w:ascii="ITC Avant Garde" w:hAnsi="ITC Avant Garde"/>
          <w:lang w:val="es-MX"/>
        </w:rPr>
        <w:lastRenderedPageBreak/>
        <w:t xml:space="preserve">Figura </w:t>
      </w:r>
      <w:r w:rsidRPr="00BE63E3">
        <w:rPr>
          <w:rFonts w:ascii="ITC Avant Garde" w:hAnsi="ITC Avant Garde"/>
          <w:lang w:val="es-MX"/>
        </w:rPr>
        <w:fldChar w:fldCharType="begin"/>
      </w:r>
      <w:r w:rsidRPr="00BE63E3">
        <w:rPr>
          <w:rFonts w:ascii="ITC Avant Garde" w:hAnsi="ITC Avant Garde"/>
          <w:lang w:val="es-MX"/>
        </w:rPr>
        <w:instrText xml:space="preserve"> SEQ Figura \* ARABIC </w:instrText>
      </w:r>
      <w:r w:rsidRPr="00BE63E3">
        <w:rPr>
          <w:rFonts w:ascii="ITC Avant Garde" w:hAnsi="ITC Avant Garde"/>
          <w:lang w:val="es-MX"/>
        </w:rPr>
        <w:fldChar w:fldCharType="separate"/>
      </w:r>
      <w:r w:rsidR="003008BC" w:rsidRPr="00BE63E3">
        <w:rPr>
          <w:rFonts w:ascii="ITC Avant Garde" w:hAnsi="ITC Avant Garde"/>
          <w:lang w:val="es-MX"/>
        </w:rPr>
        <w:t>1</w:t>
      </w:r>
      <w:r w:rsidRPr="00BE63E3">
        <w:rPr>
          <w:rFonts w:ascii="ITC Avant Garde" w:hAnsi="ITC Avant Garde"/>
          <w:lang w:val="es-MX"/>
        </w:rPr>
        <w:fldChar w:fldCharType="end"/>
      </w:r>
      <w:r w:rsidRPr="00BE63E3">
        <w:rPr>
          <w:rFonts w:ascii="ITC Avant Garde" w:hAnsi="ITC Avant Garde"/>
          <w:lang w:val="es-MX"/>
        </w:rPr>
        <w:t xml:space="preserve"> - </w:t>
      </w:r>
      <w:r w:rsidR="00A776E3" w:rsidRPr="00BE63E3">
        <w:rPr>
          <w:rFonts w:ascii="ITC Avant Garde" w:hAnsi="ITC Avant Garde"/>
          <w:lang w:val="es-MX"/>
        </w:rPr>
        <w:t>Ilustración de posibles definiciones de incremento</w:t>
      </w:r>
    </w:p>
    <w:p w:rsidR="005F5BB7" w:rsidRPr="00BE63E3" w:rsidRDefault="005F5BB7" w:rsidP="00A776E3">
      <w:pPr>
        <w:jc w:val="center"/>
        <w:rPr>
          <w:rFonts w:ascii="ITC Avant Garde" w:hAnsi="ITC Avant Garde"/>
          <w:lang w:val="es-MX"/>
        </w:rPr>
      </w:pPr>
      <w:r w:rsidRPr="00BE63E3">
        <w:rPr>
          <w:rFonts w:ascii="ITC Avant Garde" w:hAnsi="ITC Avant Garde"/>
          <w:i/>
          <w:noProof/>
          <w:color w:val="BFBFBF"/>
          <w:lang w:val="es-MX" w:eastAsia="es-MX"/>
        </w:rPr>
        <w:drawing>
          <wp:inline distT="0" distB="0" distL="0" distR="0" wp14:anchorId="7B0EEC83" wp14:editId="2B5C6959">
            <wp:extent cx="5399405" cy="4975993"/>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9405" cy="4975993"/>
                    </a:xfrm>
                    <a:prstGeom prst="rect">
                      <a:avLst/>
                    </a:prstGeom>
                    <a:noFill/>
                  </pic:spPr>
                </pic:pic>
              </a:graphicData>
            </a:graphic>
          </wp:inline>
        </w:drawing>
      </w:r>
    </w:p>
    <w:p w:rsidR="004E38E6" w:rsidRPr="00BE63E3" w:rsidRDefault="004E38E6" w:rsidP="00A776E3">
      <w:pPr>
        <w:rPr>
          <w:rFonts w:ascii="ITC Avant Garde" w:hAnsi="ITC Avant Garde"/>
          <w:lang w:val="es-MX"/>
        </w:rPr>
      </w:pPr>
    </w:p>
    <w:p w:rsidR="00A776E3" w:rsidRPr="00BE63E3" w:rsidRDefault="00A776E3" w:rsidP="00A776E3">
      <w:pPr>
        <w:rPr>
          <w:rFonts w:ascii="ITC Avant Garde" w:hAnsi="ITC Avant Garde"/>
          <w:lang w:val="es-MX"/>
        </w:rPr>
      </w:pPr>
      <w:r w:rsidRPr="00BE63E3">
        <w:rPr>
          <w:rFonts w:ascii="ITC Avant Garde" w:hAnsi="ITC Avant Garde"/>
          <w:lang w:val="es-MX"/>
        </w:rPr>
        <w:t>Cuanto mayor sea el incremento, mayor será la participación de los costos conjuntos y comunes. Por ejemplo (ver figura 1):</w:t>
      </w:r>
    </w:p>
    <w:p w:rsidR="00A776E3" w:rsidRPr="00BE63E3" w:rsidRDefault="00A776E3" w:rsidP="00A776E3">
      <w:pPr>
        <w:pStyle w:val="Listaconvietas2"/>
        <w:rPr>
          <w:rFonts w:ascii="ITC Avant Garde" w:hAnsi="ITC Avant Garde"/>
          <w:lang w:val="es-MX"/>
        </w:rPr>
      </w:pPr>
      <w:r w:rsidRPr="00BE63E3">
        <w:rPr>
          <w:rFonts w:ascii="ITC Avant Garde" w:hAnsi="ITC Avant Garde"/>
          <w:lang w:val="es-MX"/>
        </w:rPr>
        <w:t>Si el servicio A es el incremento, no se tienen en cuenta los costos conjuntos y comunes</w:t>
      </w:r>
      <w:r w:rsidR="004E38E6" w:rsidRPr="00BE63E3">
        <w:rPr>
          <w:rFonts w:ascii="ITC Avant Garde" w:hAnsi="ITC Avant Garde"/>
          <w:lang w:val="es-MX"/>
        </w:rPr>
        <w:t xml:space="preserve"> (costo incremental </w:t>
      </w:r>
      <w:r w:rsidR="00D76341">
        <w:rPr>
          <w:rFonts w:ascii="ITC Avant Garde" w:hAnsi="ITC Avant Garde"/>
          <w:lang w:val="es-MX"/>
        </w:rPr>
        <w:t>“puro”</w:t>
      </w:r>
      <w:r w:rsidR="004E38E6" w:rsidRPr="00BE63E3">
        <w:rPr>
          <w:rFonts w:ascii="ITC Avant Garde" w:hAnsi="ITC Avant Garde"/>
          <w:lang w:val="es-MX"/>
        </w:rPr>
        <w:t>)</w:t>
      </w:r>
      <w:r w:rsidRPr="00BE63E3">
        <w:rPr>
          <w:rFonts w:ascii="ITC Avant Garde" w:hAnsi="ITC Avant Garde"/>
          <w:lang w:val="es-MX"/>
        </w:rPr>
        <w:t>;</w:t>
      </w:r>
    </w:p>
    <w:p w:rsidR="00A776E3" w:rsidRPr="00BE63E3" w:rsidRDefault="00A776E3" w:rsidP="00A776E3">
      <w:pPr>
        <w:pStyle w:val="Listaconvietas2"/>
        <w:rPr>
          <w:rFonts w:ascii="ITC Avant Garde" w:hAnsi="ITC Avant Garde"/>
          <w:lang w:val="es-MX"/>
        </w:rPr>
      </w:pPr>
      <w:r w:rsidRPr="00BE63E3">
        <w:rPr>
          <w:rFonts w:ascii="ITC Avant Garde" w:hAnsi="ITC Avant Garde"/>
          <w:lang w:val="es-MX"/>
        </w:rPr>
        <w:t>Si el incremento es el servicio A, B y C en conjunto, se tiene en cuenta una parte de los costos que se combinan con los servicios A, B y C.</w:t>
      </w:r>
    </w:p>
    <w:p w:rsidR="00A776E3" w:rsidRPr="00BE63E3" w:rsidRDefault="00A776E3" w:rsidP="00A776E3">
      <w:pPr>
        <w:rPr>
          <w:rFonts w:ascii="ITC Avant Garde" w:hAnsi="ITC Avant Garde"/>
          <w:lang w:val="es-MX"/>
        </w:rPr>
      </w:pPr>
      <w:r w:rsidRPr="00BE63E3">
        <w:rPr>
          <w:rFonts w:ascii="ITC Avant Garde" w:hAnsi="ITC Avant Garde"/>
          <w:lang w:val="es-MX"/>
        </w:rPr>
        <w:t>Calcular los costos basados en pequeños incrementos significa que los costos incrementales calculados no contribuyen al financiamiento de los costos comunes, o posiblemente una parte limitada de los costos comunes.</w:t>
      </w:r>
    </w:p>
    <w:p w:rsidR="00A776E3" w:rsidRPr="00BE63E3" w:rsidRDefault="00A776E3" w:rsidP="00A776E3">
      <w:pPr>
        <w:rPr>
          <w:rFonts w:ascii="ITC Avant Garde" w:hAnsi="ITC Avant Garde"/>
          <w:lang w:val="es-MX"/>
        </w:rPr>
      </w:pPr>
      <w:r w:rsidRPr="00BE63E3">
        <w:rPr>
          <w:rFonts w:ascii="ITC Avant Garde" w:hAnsi="ITC Avant Garde"/>
          <w:lang w:val="es-MX"/>
        </w:rPr>
        <w:t xml:space="preserve">La adopción de un gran incremento (por ejemplo, en el caso de una red fija, todos los servicios que utilizan la red de acceso) significa que todos los servicios </w:t>
      </w:r>
      <w:r w:rsidR="00A774A1">
        <w:rPr>
          <w:rFonts w:ascii="ITC Avant Garde" w:hAnsi="ITC Avant Garde"/>
          <w:lang w:val="es-MX"/>
        </w:rPr>
        <w:t>se</w:t>
      </w:r>
      <w:r w:rsidRPr="00872052">
        <w:rPr>
          <w:rFonts w:ascii="ITC Avant Garde" w:hAnsi="ITC Avant Garde"/>
          <w:lang w:val="es-MX"/>
        </w:rPr>
        <w:t xml:space="preserve"> </w:t>
      </w:r>
      <w:r w:rsidRPr="00BE63E3">
        <w:rPr>
          <w:rFonts w:ascii="ITC Avant Garde" w:hAnsi="ITC Avant Garde"/>
          <w:lang w:val="es-MX"/>
        </w:rPr>
        <w:t xml:space="preserve">benefician en </w:t>
      </w:r>
      <w:r w:rsidRPr="00BE63E3">
        <w:rPr>
          <w:rFonts w:ascii="ITC Avant Garde" w:hAnsi="ITC Avant Garde"/>
          <w:lang w:val="es-MX"/>
        </w:rPr>
        <w:lastRenderedPageBreak/>
        <w:t xml:space="preserve">la misma medida de las economías de escala. En estos casos, todos los servicios </w:t>
      </w:r>
      <w:r w:rsidR="004E38E6" w:rsidRPr="00BE63E3">
        <w:rPr>
          <w:rFonts w:ascii="ITC Avant Garde" w:hAnsi="ITC Avant Garde"/>
          <w:lang w:val="es-MX"/>
        </w:rPr>
        <w:t xml:space="preserve">soportan </w:t>
      </w:r>
      <w:r w:rsidRPr="00BE63E3">
        <w:rPr>
          <w:rFonts w:ascii="ITC Avant Garde" w:hAnsi="ITC Avant Garde"/>
          <w:lang w:val="es-MX"/>
        </w:rPr>
        <w:t>una parte de los costos conjuntos y comunes.</w:t>
      </w:r>
    </w:p>
    <w:p w:rsidR="00A776E3" w:rsidRPr="00BE63E3" w:rsidRDefault="00A776E3" w:rsidP="00A776E3">
      <w:pPr>
        <w:rPr>
          <w:rFonts w:ascii="ITC Avant Garde" w:hAnsi="ITC Avant Garde"/>
          <w:lang w:val="es-MX"/>
        </w:rPr>
      </w:pPr>
      <w:r w:rsidRPr="00BE63E3">
        <w:rPr>
          <w:rFonts w:ascii="ITC Avant Garde" w:hAnsi="ITC Avant Garde"/>
          <w:lang w:val="es-MX"/>
        </w:rPr>
        <w:t>De acuerdo con la recomendación de la C</w:t>
      </w:r>
      <w:r w:rsidR="00825B3B" w:rsidRPr="00BE63E3">
        <w:rPr>
          <w:rFonts w:ascii="ITC Avant Garde" w:hAnsi="ITC Avant Garde"/>
          <w:lang w:val="es-MX"/>
        </w:rPr>
        <w:t xml:space="preserve">omisión </w:t>
      </w:r>
      <w:r w:rsidRPr="00BE63E3">
        <w:rPr>
          <w:rFonts w:ascii="ITC Avant Garde" w:hAnsi="ITC Avant Garde"/>
          <w:lang w:val="es-MX"/>
        </w:rPr>
        <w:t>E</w:t>
      </w:r>
      <w:r w:rsidR="00825B3B" w:rsidRPr="00BE63E3">
        <w:rPr>
          <w:rFonts w:ascii="ITC Avant Garde" w:hAnsi="ITC Avant Garde"/>
          <w:lang w:val="es-MX"/>
        </w:rPr>
        <w:t>uropea</w:t>
      </w:r>
      <w:r w:rsidRPr="00BE63E3">
        <w:rPr>
          <w:rFonts w:ascii="ITC Avant Garde" w:hAnsi="ITC Avant Garde"/>
          <w:lang w:val="es-MX"/>
        </w:rPr>
        <w:t>, el incremento para el acceso fijo y las redes centrales se definirá de acuerdo con la demanda total de todos los servicios:</w:t>
      </w:r>
    </w:p>
    <w:p w:rsidR="00A776E3" w:rsidRPr="00BE63E3" w:rsidRDefault="00A776E3" w:rsidP="009107A2">
      <w:pPr>
        <w:ind w:left="567" w:right="565"/>
        <w:rPr>
          <w:rFonts w:ascii="ITC Avant Garde" w:hAnsi="ITC Avant Garde"/>
          <w:i/>
          <w:lang w:val="es-MX"/>
        </w:rPr>
      </w:pPr>
      <w:r w:rsidRPr="00BE63E3">
        <w:rPr>
          <w:rFonts w:ascii="ITC Avant Garde" w:hAnsi="ITC Avant Garde"/>
          <w:i/>
          <w:lang w:val="es-MX"/>
        </w:rPr>
        <w:t> "Costos incrementales a largo plazo (LRIC)" significa los costos incrementales correspondientes a un horizonte temporal donde todos los factores de producción, incluido el equipo de capital, son variables en respuesta a cambios en la demanda debido a cambios en el volumen o en la estructura de producción. Por lo tanto, todas las inversiones se consideran costos variables ".</w:t>
      </w:r>
      <w:r w:rsidR="009107A2" w:rsidRPr="00BE63E3">
        <w:rPr>
          <w:rStyle w:val="Refdenotaalpie"/>
          <w:rFonts w:ascii="ITC Avant Garde" w:hAnsi="ITC Avant Garde"/>
          <w:lang w:val="es-MX"/>
        </w:rPr>
        <w:footnoteReference w:id="6"/>
      </w:r>
    </w:p>
    <w:p w:rsidR="00A776E3" w:rsidRPr="00BE63E3" w:rsidRDefault="00A776E3" w:rsidP="00A776E3">
      <w:pPr>
        <w:rPr>
          <w:rFonts w:ascii="ITC Avant Garde" w:hAnsi="ITC Avant Garde"/>
          <w:lang w:val="es-MX"/>
        </w:rPr>
      </w:pPr>
      <w:r w:rsidRPr="00BE63E3">
        <w:rPr>
          <w:rFonts w:ascii="ITC Avant Garde" w:hAnsi="ITC Avant Garde"/>
          <w:lang w:val="es-MX"/>
        </w:rPr>
        <w:t>Para la red fija, generalmente se definen dos incrementos principales:</w:t>
      </w:r>
    </w:p>
    <w:p w:rsidR="00A776E3" w:rsidRPr="00BE63E3" w:rsidRDefault="00A34C9D" w:rsidP="009107A2">
      <w:pPr>
        <w:pStyle w:val="Listaconvietas2"/>
        <w:rPr>
          <w:rFonts w:ascii="ITC Avant Garde" w:hAnsi="ITC Avant Garde"/>
          <w:lang w:val="es-MX"/>
        </w:rPr>
      </w:pPr>
      <w:r>
        <w:rPr>
          <w:rFonts w:ascii="ITC Avant Garde" w:hAnsi="ITC Avant Garde"/>
          <w:lang w:val="es-MX"/>
        </w:rPr>
        <w:t>E</w:t>
      </w:r>
      <w:r w:rsidR="00A776E3" w:rsidRPr="00BE63E3">
        <w:rPr>
          <w:rFonts w:ascii="ITC Avant Garde" w:hAnsi="ITC Avant Garde"/>
          <w:lang w:val="es-MX"/>
        </w:rPr>
        <w:t>l incremento de acceso que se define como todos los servicios (tanto regulados como no regulados) que utilizan la red de acceso;</w:t>
      </w:r>
    </w:p>
    <w:p w:rsidR="00A776E3" w:rsidRPr="00BE63E3" w:rsidRDefault="00A34C9D" w:rsidP="009107A2">
      <w:pPr>
        <w:pStyle w:val="Listaconvietas2"/>
        <w:rPr>
          <w:rFonts w:ascii="ITC Avant Garde" w:hAnsi="ITC Avant Garde"/>
          <w:lang w:val="es-MX"/>
        </w:rPr>
      </w:pPr>
      <w:r>
        <w:rPr>
          <w:rFonts w:ascii="ITC Avant Garde" w:hAnsi="ITC Avant Garde"/>
          <w:lang w:val="es-MX"/>
        </w:rPr>
        <w:t>E</w:t>
      </w:r>
      <w:r w:rsidR="00A776E3" w:rsidRPr="00BE63E3">
        <w:rPr>
          <w:rFonts w:ascii="ITC Avant Garde" w:hAnsi="ITC Avant Garde"/>
          <w:lang w:val="es-MX"/>
        </w:rPr>
        <w:t>l incremento de</w:t>
      </w:r>
      <w:r w:rsidR="009107A2" w:rsidRPr="00BE63E3">
        <w:rPr>
          <w:rFonts w:ascii="ITC Avant Garde" w:hAnsi="ITC Avant Garde"/>
          <w:lang w:val="es-MX"/>
        </w:rPr>
        <w:t xml:space="preserve"> transporte</w:t>
      </w:r>
      <w:r w:rsidR="00A776E3" w:rsidRPr="00BE63E3">
        <w:rPr>
          <w:rFonts w:ascii="ITC Avant Garde" w:hAnsi="ITC Avant Garde"/>
          <w:lang w:val="es-MX"/>
        </w:rPr>
        <w:t xml:space="preserve">, que se define como todos los servicios (tanto regulados como no regulados) que utilizan la red </w:t>
      </w:r>
      <w:r w:rsidR="009107A2" w:rsidRPr="00BE63E3">
        <w:rPr>
          <w:rFonts w:ascii="ITC Avant Garde" w:hAnsi="ITC Avant Garde"/>
          <w:lang w:val="es-MX"/>
        </w:rPr>
        <w:t>de transporte</w:t>
      </w:r>
      <w:r w:rsidR="00A776E3" w:rsidRPr="00BE63E3">
        <w:rPr>
          <w:rFonts w:ascii="ITC Avant Garde" w:hAnsi="ITC Avant Garde"/>
          <w:lang w:val="es-MX"/>
        </w:rPr>
        <w:t>.</w:t>
      </w:r>
    </w:p>
    <w:p w:rsidR="00A776E3" w:rsidRPr="00BE63E3" w:rsidRDefault="00A776E3" w:rsidP="00A776E3">
      <w:pPr>
        <w:rPr>
          <w:rFonts w:ascii="ITC Avant Garde" w:hAnsi="ITC Avant Garde"/>
          <w:lang w:val="es-MX"/>
        </w:rPr>
      </w:pPr>
      <w:r w:rsidRPr="00BE63E3">
        <w:rPr>
          <w:rFonts w:ascii="ITC Avant Garde" w:hAnsi="ITC Avant Garde"/>
          <w:lang w:val="es-MX"/>
        </w:rPr>
        <w:t xml:space="preserve">El costo incremental para la red </w:t>
      </w:r>
      <w:r w:rsidR="009107A2" w:rsidRPr="00BE63E3">
        <w:rPr>
          <w:rFonts w:ascii="ITC Avant Garde" w:hAnsi="ITC Avant Garde"/>
          <w:lang w:val="es-MX"/>
        </w:rPr>
        <w:t>de transporte</w:t>
      </w:r>
      <w:r w:rsidRPr="00BE63E3">
        <w:rPr>
          <w:rFonts w:ascii="ITC Avant Garde" w:hAnsi="ITC Avant Garde"/>
          <w:lang w:val="es-MX"/>
        </w:rPr>
        <w:t xml:space="preserve"> es el costo que se produce cuando se agrega una red </w:t>
      </w:r>
      <w:r w:rsidR="009107A2" w:rsidRPr="00BE63E3">
        <w:rPr>
          <w:rFonts w:ascii="ITC Avant Garde" w:hAnsi="ITC Avant Garde"/>
          <w:lang w:val="es-MX"/>
        </w:rPr>
        <w:t>de transporte</w:t>
      </w:r>
      <w:r w:rsidRPr="00BE63E3">
        <w:rPr>
          <w:rFonts w:ascii="ITC Avant Garde" w:hAnsi="ITC Avant Garde"/>
          <w:lang w:val="es-MX"/>
        </w:rPr>
        <w:t xml:space="preserve"> a una red de acceso ya existente. Y el costo incremental para una red de acceso surge cuando se agrega una red de acceso a una red </w:t>
      </w:r>
      <w:r w:rsidR="009107A2" w:rsidRPr="00BE63E3">
        <w:rPr>
          <w:rFonts w:ascii="ITC Avant Garde" w:hAnsi="ITC Avant Garde"/>
          <w:lang w:val="es-MX"/>
        </w:rPr>
        <w:t>de transporte</w:t>
      </w:r>
      <w:r w:rsidRPr="00BE63E3">
        <w:rPr>
          <w:rFonts w:ascii="ITC Avant Garde" w:hAnsi="ITC Avant Garde"/>
          <w:lang w:val="es-MX"/>
        </w:rPr>
        <w:t xml:space="preserve"> ya existente.</w:t>
      </w:r>
    </w:p>
    <w:p w:rsidR="00A776E3" w:rsidRPr="00BE63E3" w:rsidRDefault="00A776E3" w:rsidP="00A776E3">
      <w:pPr>
        <w:rPr>
          <w:rFonts w:ascii="ITC Avant Garde" w:hAnsi="ITC Avant Garde"/>
          <w:lang w:val="es-MX"/>
        </w:rPr>
      </w:pPr>
      <w:r w:rsidRPr="00BE63E3">
        <w:rPr>
          <w:rFonts w:ascii="ITC Avant Garde" w:hAnsi="ITC Avant Garde"/>
          <w:lang w:val="es-MX"/>
        </w:rPr>
        <w:t xml:space="preserve">Con respecto al incremento de acceso, de manera consistente con los principios metodológicos utilizados en el modelo </w:t>
      </w:r>
      <w:r w:rsidR="009136FB" w:rsidRPr="00BE63E3">
        <w:rPr>
          <w:rFonts w:ascii="ITC Avant Garde" w:hAnsi="ITC Avant Garde"/>
          <w:lang w:val="es-MX"/>
        </w:rPr>
        <w:t>de cobre</w:t>
      </w:r>
      <w:r w:rsidRPr="00BE63E3">
        <w:rPr>
          <w:rFonts w:ascii="ITC Avant Garde" w:hAnsi="ITC Avant Garde"/>
          <w:lang w:val="es-MX"/>
        </w:rPr>
        <w:t xml:space="preserve">, el incremento de acceso en el modelo de cobre se ha definido </w:t>
      </w:r>
      <w:r w:rsidR="001D4966" w:rsidRPr="00BE63E3">
        <w:rPr>
          <w:rFonts w:ascii="ITC Avant Garde" w:hAnsi="ITC Avant Garde"/>
          <w:lang w:val="es-MX"/>
        </w:rPr>
        <w:t>con</w:t>
      </w:r>
      <w:r w:rsidRPr="00BE63E3">
        <w:rPr>
          <w:rFonts w:ascii="ITC Avant Garde" w:hAnsi="ITC Avant Garde"/>
          <w:lang w:val="es-MX"/>
        </w:rPr>
        <w:t xml:space="preserve"> base a todos los servicios de acceso:</w:t>
      </w:r>
    </w:p>
    <w:p w:rsidR="00A776E3" w:rsidRPr="00BE63E3" w:rsidRDefault="00A776E3" w:rsidP="009107A2">
      <w:pPr>
        <w:ind w:left="567" w:right="565"/>
        <w:rPr>
          <w:rFonts w:ascii="ITC Avant Garde" w:hAnsi="ITC Avant Garde"/>
          <w:i/>
          <w:lang w:val="es-MX"/>
        </w:rPr>
      </w:pPr>
      <w:r w:rsidRPr="00BE63E3">
        <w:rPr>
          <w:rFonts w:ascii="ITC Avant Garde" w:hAnsi="ITC Avant Garde"/>
          <w:i/>
          <w:lang w:val="es-MX"/>
        </w:rPr>
        <w:t>" Costos promedios incrementales de largo plazo;</w:t>
      </w:r>
    </w:p>
    <w:p w:rsidR="00A776E3" w:rsidRPr="00BE63E3" w:rsidRDefault="002806BF" w:rsidP="009107A2">
      <w:pPr>
        <w:ind w:left="567" w:right="565"/>
        <w:rPr>
          <w:rFonts w:ascii="ITC Avant Garde" w:hAnsi="ITC Avant Garde"/>
          <w:i/>
          <w:lang w:val="es-MX"/>
        </w:rPr>
      </w:pPr>
      <w:r>
        <w:rPr>
          <w:rFonts w:ascii="ITC Avant Garde" w:hAnsi="ITC Avant Garde"/>
          <w:i/>
          <w:lang w:val="es-MX"/>
        </w:rPr>
        <w:t>(</w:t>
      </w:r>
      <w:r w:rsidRPr="002806BF">
        <w:rPr>
          <w:rFonts w:ascii="ITC Avant Garde" w:hAnsi="ITC Avant Garde"/>
          <w:i/>
          <w:lang w:val="es-MX"/>
        </w:rPr>
        <w:t>atribuyendo</w:t>
      </w:r>
      <w:r w:rsidR="00A776E3" w:rsidRPr="00BE63E3">
        <w:rPr>
          <w:rFonts w:ascii="ITC Avant Garde" w:hAnsi="ITC Avant Garde"/>
          <w:i/>
          <w:lang w:val="es-MX"/>
        </w:rPr>
        <w:t xml:space="preserve"> los </w:t>
      </w:r>
      <w:r w:rsidR="009533FA" w:rsidRPr="00872052">
        <w:rPr>
          <w:rFonts w:ascii="ITC Avant Garde" w:hAnsi="ITC Avant Garde"/>
          <w:i/>
          <w:lang w:val="es-MX"/>
        </w:rPr>
        <w:t>costos compartidos</w:t>
      </w:r>
      <w:r w:rsidR="00A776E3" w:rsidRPr="00BE63E3">
        <w:rPr>
          <w:rFonts w:ascii="ITC Avant Garde" w:hAnsi="ITC Avant Garde"/>
          <w:i/>
          <w:lang w:val="es-MX"/>
        </w:rPr>
        <w:t xml:space="preserve"> y </w:t>
      </w:r>
      <w:r w:rsidRPr="002806BF">
        <w:rPr>
          <w:rFonts w:ascii="ITC Avant Garde" w:hAnsi="ITC Avant Garde"/>
          <w:i/>
          <w:lang w:val="es-MX"/>
        </w:rPr>
        <w:t xml:space="preserve">comunes a </w:t>
      </w:r>
      <w:r w:rsidR="00A776E3" w:rsidRPr="00BE63E3">
        <w:rPr>
          <w:rFonts w:ascii="ITC Avant Garde" w:hAnsi="ITC Avant Garde"/>
          <w:i/>
          <w:lang w:val="es-MX"/>
        </w:rPr>
        <w:t xml:space="preserve">los servicios </w:t>
      </w:r>
      <w:r w:rsidRPr="002806BF">
        <w:rPr>
          <w:rFonts w:ascii="ITC Avant Garde" w:hAnsi="ITC Avant Garde"/>
          <w:i/>
          <w:lang w:val="es-MX"/>
        </w:rPr>
        <w:t>relevantes</w:t>
      </w:r>
      <w:r w:rsidR="00A776E3" w:rsidRPr="00BE63E3">
        <w:rPr>
          <w:rFonts w:ascii="ITC Avant Garde" w:hAnsi="ITC Avant Garde"/>
          <w:i/>
          <w:lang w:val="es-MX"/>
        </w:rPr>
        <w:t xml:space="preserve"> en función de la demanda de dichos servicios</w:t>
      </w:r>
      <w:r>
        <w:rPr>
          <w:rFonts w:ascii="ITC Avant Garde" w:hAnsi="ITC Avant Garde"/>
          <w:i/>
          <w:lang w:val="es-MX"/>
        </w:rPr>
        <w:t>)</w:t>
      </w:r>
      <w:r w:rsidRPr="002806BF" w:rsidDel="002806BF">
        <w:rPr>
          <w:rFonts w:ascii="ITC Avant Garde" w:hAnsi="ITC Avant Garde"/>
          <w:i/>
          <w:lang w:val="es-MX"/>
        </w:rPr>
        <w:t xml:space="preserve"> </w:t>
      </w:r>
      <w:r w:rsidR="00A776E3" w:rsidRPr="00BE63E3">
        <w:rPr>
          <w:rFonts w:ascii="ITC Avant Garde" w:hAnsi="ITC Avant Garde"/>
          <w:i/>
          <w:lang w:val="es-MX"/>
        </w:rPr>
        <w:t>"</w:t>
      </w:r>
      <w:r w:rsidR="009107A2" w:rsidRPr="00BE63E3">
        <w:rPr>
          <w:rStyle w:val="Refdenotaalpie"/>
          <w:rFonts w:ascii="ITC Avant Garde" w:hAnsi="ITC Avant Garde"/>
          <w:i/>
          <w:lang w:val="es-MX"/>
        </w:rPr>
        <w:footnoteReference w:id="7"/>
      </w:r>
    </w:p>
    <w:p w:rsidR="00A776E3" w:rsidRPr="00BE63E3" w:rsidRDefault="00A776E3" w:rsidP="00A776E3">
      <w:pPr>
        <w:rPr>
          <w:rFonts w:ascii="ITC Avant Garde" w:hAnsi="ITC Avant Garde"/>
          <w:lang w:val="es-MX"/>
        </w:rPr>
      </w:pPr>
      <w:r w:rsidRPr="00BE63E3">
        <w:rPr>
          <w:rFonts w:ascii="ITC Avant Garde" w:hAnsi="ITC Avant Garde"/>
          <w:lang w:val="es-MX"/>
        </w:rPr>
        <w:t>La misma elección se realiza en el modelo de fibra donde el incremento de acceso se define como todos los servicios que utilizan la red de acceso de fibra.</w:t>
      </w:r>
    </w:p>
    <w:p w:rsidR="00A776E3" w:rsidRPr="00BE63E3" w:rsidRDefault="00A776E3" w:rsidP="009107A2">
      <w:pPr>
        <w:ind w:left="567" w:right="565"/>
        <w:rPr>
          <w:rFonts w:ascii="ITC Avant Garde" w:hAnsi="ITC Avant Garde"/>
          <w:i/>
          <w:lang w:val="es-MX"/>
        </w:rPr>
      </w:pPr>
      <w:r w:rsidRPr="00BE63E3">
        <w:rPr>
          <w:rFonts w:ascii="ITC Avant Garde" w:hAnsi="ITC Avant Garde"/>
          <w:i/>
          <w:lang w:val="es-MX"/>
        </w:rPr>
        <w:t xml:space="preserve">"En el caso de los modelos de costos empleados para objetivos regulatorios, es práctica común realizar una definición de incrementos en tipos de servicios. En el caso de modelos de redes, se identifican típicamente dos incrementos: Acceso y Transporte. De manera consistente con esta </w:t>
      </w:r>
      <w:r w:rsidRPr="00BE63E3">
        <w:rPr>
          <w:rFonts w:ascii="ITC Avant Garde" w:hAnsi="ITC Avant Garde"/>
          <w:i/>
          <w:lang w:val="es-MX"/>
        </w:rPr>
        <w:lastRenderedPageBreak/>
        <w:t>práctica, y dado que el modelo objeto de este documento trata únicamente la red de acceso, se ha considerado oportuno definir un único aumento que englobe todos los servicios de acceso modelados</w:t>
      </w:r>
      <w:r w:rsidR="009107A2" w:rsidRPr="00BE63E3">
        <w:rPr>
          <w:rFonts w:ascii="ITC Avant Garde" w:hAnsi="ITC Avant Garde"/>
          <w:i/>
          <w:lang w:val="es-MX"/>
        </w:rPr>
        <w:t>.</w:t>
      </w:r>
      <w:r w:rsidRPr="00BE63E3">
        <w:rPr>
          <w:rFonts w:ascii="ITC Avant Garde" w:hAnsi="ITC Avant Garde"/>
          <w:i/>
          <w:lang w:val="es-MX"/>
        </w:rPr>
        <w:t>"</w:t>
      </w:r>
      <w:r w:rsidR="009107A2" w:rsidRPr="00BE63E3">
        <w:rPr>
          <w:rStyle w:val="Refdenotaalpie"/>
          <w:rFonts w:ascii="ITC Avant Garde" w:hAnsi="ITC Avant Garde"/>
          <w:i/>
          <w:lang w:val="es-MX"/>
        </w:rPr>
        <w:footnoteReference w:id="8"/>
      </w:r>
    </w:p>
    <w:p w:rsidR="00A776E3" w:rsidRPr="00BE63E3" w:rsidRDefault="00A776E3" w:rsidP="00A776E3">
      <w:pPr>
        <w:rPr>
          <w:rFonts w:ascii="ITC Avant Garde" w:hAnsi="ITC Avant Garde"/>
          <w:lang w:val="es-MX"/>
        </w:rPr>
      </w:pPr>
      <w:r w:rsidRPr="00BE63E3">
        <w:rPr>
          <w:rFonts w:ascii="ITC Avant Garde" w:hAnsi="ITC Avant Garde"/>
          <w:lang w:val="es-MX"/>
        </w:rPr>
        <w:t>Aunque se considera que la demanda correspondiente a los servicios minoristas dimensiona la red, la base de cost</w:t>
      </w:r>
      <w:r w:rsidR="00DA2590" w:rsidRPr="00BE63E3">
        <w:rPr>
          <w:rFonts w:ascii="ITC Avant Garde" w:hAnsi="ITC Avant Garde"/>
          <w:lang w:val="es-MX"/>
        </w:rPr>
        <w:t>o</w:t>
      </w:r>
      <w:r w:rsidRPr="00BE63E3">
        <w:rPr>
          <w:rFonts w:ascii="ITC Avant Garde" w:hAnsi="ITC Avant Garde"/>
          <w:lang w:val="es-MX"/>
        </w:rPr>
        <w:t>s correspondiente a la demanda total de todos los servicios incluirá únicamente los cost</w:t>
      </w:r>
      <w:r w:rsidR="00DA2590" w:rsidRPr="00BE63E3">
        <w:rPr>
          <w:rFonts w:ascii="ITC Avant Garde" w:hAnsi="ITC Avant Garde"/>
          <w:lang w:val="es-MX"/>
        </w:rPr>
        <w:t>o</w:t>
      </w:r>
      <w:r w:rsidRPr="00BE63E3">
        <w:rPr>
          <w:rFonts w:ascii="ITC Avant Garde" w:hAnsi="ITC Avant Garde"/>
          <w:lang w:val="es-MX"/>
        </w:rPr>
        <w:t>s de red y excluirá todos los tipos de cost</w:t>
      </w:r>
      <w:r w:rsidR="00DA2590" w:rsidRPr="00BE63E3">
        <w:rPr>
          <w:rFonts w:ascii="ITC Avant Garde" w:hAnsi="ITC Avant Garde"/>
          <w:lang w:val="es-MX"/>
        </w:rPr>
        <w:t>o</w:t>
      </w:r>
      <w:r w:rsidRPr="00BE63E3">
        <w:rPr>
          <w:rFonts w:ascii="ITC Avant Garde" w:hAnsi="ITC Avant Garde"/>
          <w:lang w:val="es-MX"/>
        </w:rPr>
        <w:t>s minoristas (por ejemplo, tiendas, equipos de locales del cliente, centros de llamadas</w:t>
      </w:r>
      <w:r w:rsidR="0054779A">
        <w:rPr>
          <w:rFonts w:ascii="ITC Avant Garde" w:hAnsi="ITC Avant Garde"/>
          <w:lang w:val="es-MX"/>
        </w:rPr>
        <w:t>, entre otros</w:t>
      </w:r>
      <w:r w:rsidR="003A0FB4" w:rsidRPr="00BE63E3">
        <w:rPr>
          <w:rFonts w:ascii="ITC Avant Garde" w:hAnsi="ITC Avant Garde"/>
          <w:lang w:val="es-MX"/>
        </w:rPr>
        <w:t>)</w:t>
      </w:r>
      <w:r w:rsidR="009107A2" w:rsidRPr="00BE63E3">
        <w:rPr>
          <w:rFonts w:ascii="ITC Avant Garde" w:hAnsi="ITC Avant Garde"/>
          <w:lang w:val="es-MX"/>
        </w:rPr>
        <w:t>.</w:t>
      </w:r>
      <w:r w:rsidRPr="00BE63E3">
        <w:rPr>
          <w:rFonts w:ascii="ITC Avant Garde" w:hAnsi="ITC Avant Garde"/>
          <w:lang w:val="es-MX"/>
        </w:rPr>
        <w:t xml:space="preserve"> La razón de esto es que los cálculos de costos se refieren al acceso mayorista y no a los servicios minoristas.</w:t>
      </w:r>
    </w:p>
    <w:p w:rsidR="00A776E3" w:rsidRPr="00BE63E3" w:rsidRDefault="009107A2" w:rsidP="00A776E3">
      <w:pPr>
        <w:rPr>
          <w:rFonts w:ascii="ITC Avant Garde" w:hAnsi="ITC Avant Garde"/>
          <w:lang w:val="es-MX"/>
        </w:rPr>
      </w:pPr>
      <w:r w:rsidRPr="00BE63E3">
        <w:rPr>
          <w:rFonts w:ascii="ITC Avant Garde" w:hAnsi="ITC Avant Garde"/>
          <w:lang w:val="es-MX"/>
        </w:rPr>
        <w:t>E</w:t>
      </w:r>
      <w:r w:rsidR="00AB46E9" w:rsidRPr="00BE63E3">
        <w:rPr>
          <w:rFonts w:ascii="ITC Avant Garde" w:hAnsi="ITC Avant Garde"/>
          <w:lang w:val="es-MX"/>
        </w:rPr>
        <w:t>l</w:t>
      </w:r>
      <w:r w:rsidRPr="00BE63E3">
        <w:rPr>
          <w:rFonts w:ascii="ITC Avant Garde" w:hAnsi="ITC Avant Garde"/>
          <w:lang w:val="es-MX"/>
        </w:rPr>
        <w:t xml:space="preserve"> enfoque C</w:t>
      </w:r>
      <w:r w:rsidR="00AB46E9" w:rsidRPr="00BE63E3">
        <w:rPr>
          <w:rFonts w:ascii="ITC Avant Garde" w:hAnsi="ITC Avant Garde"/>
          <w:lang w:val="es-MX"/>
        </w:rPr>
        <w:t>I</w:t>
      </w:r>
      <w:r w:rsidRPr="00BE63E3">
        <w:rPr>
          <w:rFonts w:ascii="ITC Avant Garde" w:hAnsi="ITC Avant Garde"/>
          <w:lang w:val="es-MX"/>
        </w:rPr>
        <w:t xml:space="preserve">PLP </w:t>
      </w:r>
      <w:r w:rsidR="00A776E3" w:rsidRPr="00BE63E3">
        <w:rPr>
          <w:rFonts w:ascii="ITC Avant Garde" w:hAnsi="ITC Avant Garde"/>
          <w:lang w:val="es-MX"/>
        </w:rPr>
        <w:t>resulta</w:t>
      </w:r>
      <w:r w:rsidRPr="00BE63E3">
        <w:rPr>
          <w:rFonts w:ascii="ITC Avant Garde" w:hAnsi="ITC Avant Garde"/>
          <w:lang w:val="es-MX"/>
        </w:rPr>
        <w:t xml:space="preserve"> en</w:t>
      </w:r>
      <w:r w:rsidR="00A776E3" w:rsidRPr="00BE63E3">
        <w:rPr>
          <w:rFonts w:ascii="ITC Avant Garde" w:hAnsi="ITC Avant Garde"/>
          <w:lang w:val="es-MX"/>
        </w:rPr>
        <w:t xml:space="preserve"> </w:t>
      </w:r>
      <w:r w:rsidRPr="00BE63E3">
        <w:rPr>
          <w:rFonts w:ascii="ITC Avant Garde" w:hAnsi="ITC Avant Garde"/>
          <w:lang w:val="es-MX"/>
        </w:rPr>
        <w:t>costos</w:t>
      </w:r>
      <w:r w:rsidR="00A776E3" w:rsidRPr="00BE63E3">
        <w:rPr>
          <w:rFonts w:ascii="ITC Avant Garde" w:hAnsi="ITC Avant Garde"/>
          <w:lang w:val="es-MX"/>
        </w:rPr>
        <w:t xml:space="preserve"> que están por encima del costo marginal. </w:t>
      </w:r>
      <w:r w:rsidRPr="00BE63E3">
        <w:rPr>
          <w:rFonts w:ascii="ITC Avant Garde" w:hAnsi="ITC Avant Garde"/>
          <w:lang w:val="es-MX"/>
        </w:rPr>
        <w:t>Actualmente, l</w:t>
      </w:r>
      <w:r w:rsidR="00A776E3" w:rsidRPr="00BE63E3">
        <w:rPr>
          <w:rFonts w:ascii="ITC Avant Garde" w:hAnsi="ITC Avant Garde"/>
          <w:lang w:val="es-MX"/>
        </w:rPr>
        <w:t xml:space="preserve">a existencia de costos fijos significa que cobrar </w:t>
      </w:r>
      <w:r w:rsidRPr="00BE63E3">
        <w:rPr>
          <w:rFonts w:ascii="ITC Avant Garde" w:hAnsi="ITC Avant Garde"/>
          <w:lang w:val="es-MX"/>
        </w:rPr>
        <w:t>servicios</w:t>
      </w:r>
      <w:r w:rsidR="00A776E3" w:rsidRPr="00BE63E3">
        <w:rPr>
          <w:rFonts w:ascii="ITC Avant Garde" w:hAnsi="ITC Avant Garde"/>
          <w:lang w:val="es-MX"/>
        </w:rPr>
        <w:t xml:space="preserve"> sobre la base de los costos marginales no </w:t>
      </w:r>
      <w:r w:rsidRPr="00BE63E3">
        <w:rPr>
          <w:rFonts w:ascii="ITC Avant Garde" w:hAnsi="ITC Avant Garde"/>
          <w:lang w:val="es-MX"/>
        </w:rPr>
        <w:t xml:space="preserve">permitiría </w:t>
      </w:r>
      <w:r w:rsidR="00A776E3" w:rsidRPr="00BE63E3">
        <w:rPr>
          <w:rFonts w:ascii="ITC Avant Garde" w:hAnsi="ITC Avant Garde"/>
          <w:lang w:val="es-MX"/>
        </w:rPr>
        <w:t xml:space="preserve">al </w:t>
      </w:r>
      <w:r w:rsidRPr="00BE63E3">
        <w:rPr>
          <w:rFonts w:ascii="ITC Avant Garde" w:hAnsi="ITC Avant Garde"/>
          <w:lang w:val="es-MX"/>
        </w:rPr>
        <w:t>AEP</w:t>
      </w:r>
      <w:r w:rsidR="00A776E3" w:rsidRPr="00BE63E3">
        <w:rPr>
          <w:rFonts w:ascii="ITC Avant Garde" w:hAnsi="ITC Avant Garde"/>
          <w:lang w:val="es-MX"/>
        </w:rPr>
        <w:t xml:space="preserve"> recuperar el costo de las inversiones en su red, incluso cuando sus costos se incurren de manera eficiente.</w:t>
      </w:r>
    </w:p>
    <w:p w:rsidR="00A776E3" w:rsidRPr="00BE63E3" w:rsidRDefault="00A776E3" w:rsidP="00A776E3">
      <w:pPr>
        <w:rPr>
          <w:rFonts w:ascii="ITC Avant Garde" w:hAnsi="ITC Avant Garde"/>
          <w:lang w:val="es-MX"/>
        </w:rPr>
      </w:pPr>
      <w:r w:rsidRPr="00BE63E3">
        <w:rPr>
          <w:rFonts w:ascii="ITC Avant Garde" w:hAnsi="ITC Avant Garde"/>
          <w:lang w:val="es-MX"/>
        </w:rPr>
        <w:t xml:space="preserve">Establecer precios usando </w:t>
      </w:r>
      <w:r w:rsidR="009107A2" w:rsidRPr="00BE63E3">
        <w:rPr>
          <w:rFonts w:ascii="ITC Avant Garde" w:hAnsi="ITC Avant Garde"/>
          <w:lang w:val="es-MX"/>
        </w:rPr>
        <w:t>un enfoque C</w:t>
      </w:r>
      <w:r w:rsidR="008900F8" w:rsidRPr="00BE63E3">
        <w:rPr>
          <w:rFonts w:ascii="ITC Avant Garde" w:hAnsi="ITC Avant Garde"/>
          <w:lang w:val="es-MX"/>
        </w:rPr>
        <w:t>IP</w:t>
      </w:r>
      <w:r w:rsidR="009107A2" w:rsidRPr="00BE63E3">
        <w:rPr>
          <w:rFonts w:ascii="ITC Avant Garde" w:hAnsi="ITC Avant Garde"/>
          <w:lang w:val="es-MX"/>
        </w:rPr>
        <w:t>LP</w:t>
      </w:r>
      <w:r w:rsidRPr="00BE63E3">
        <w:rPr>
          <w:rFonts w:ascii="ITC Avant Garde" w:hAnsi="ITC Avant Garde"/>
          <w:lang w:val="es-MX"/>
        </w:rPr>
        <w:t xml:space="preserve"> permite la recuperación de costos fijos dentro de un incremento, en el proceso de promover decisiones de inversión prospectivas. También p</w:t>
      </w:r>
      <w:r w:rsidR="00AC1C39" w:rsidRPr="00BE63E3">
        <w:rPr>
          <w:rFonts w:ascii="ITC Avant Garde" w:hAnsi="ITC Avant Garde"/>
          <w:lang w:val="es-MX"/>
        </w:rPr>
        <w:t>ermite</w:t>
      </w:r>
      <w:r w:rsidRPr="00BE63E3">
        <w:rPr>
          <w:rFonts w:ascii="ITC Avant Garde" w:hAnsi="ITC Avant Garde"/>
          <w:lang w:val="es-MX"/>
        </w:rPr>
        <w:t xml:space="preserve"> </w:t>
      </w:r>
      <w:r w:rsidR="00AC1C39" w:rsidRPr="00BE63E3">
        <w:rPr>
          <w:rFonts w:ascii="ITC Avant Garde" w:hAnsi="ITC Avant Garde"/>
          <w:lang w:val="es-MX"/>
        </w:rPr>
        <w:t>evitar</w:t>
      </w:r>
      <w:r w:rsidRPr="00BE63E3">
        <w:rPr>
          <w:rFonts w:ascii="ITC Avant Garde" w:hAnsi="ITC Avant Garde"/>
          <w:lang w:val="es-MX"/>
        </w:rPr>
        <w:t xml:space="preserve"> </w:t>
      </w:r>
      <w:r w:rsidR="00AC1C39" w:rsidRPr="00BE63E3">
        <w:rPr>
          <w:rFonts w:ascii="ITC Avant Garde" w:hAnsi="ITC Avant Garde"/>
          <w:lang w:val="es-MX"/>
        </w:rPr>
        <w:t>ciertas</w:t>
      </w:r>
      <w:r w:rsidRPr="00BE63E3">
        <w:rPr>
          <w:rFonts w:ascii="ITC Avant Garde" w:hAnsi="ITC Avant Garde"/>
          <w:lang w:val="es-MX"/>
        </w:rPr>
        <w:t xml:space="preserve"> distorsiones del mercado</w:t>
      </w:r>
      <w:r w:rsidR="00AC1C39" w:rsidRPr="00BE63E3">
        <w:rPr>
          <w:rFonts w:ascii="ITC Avant Garde" w:hAnsi="ITC Avant Garde"/>
          <w:lang w:val="es-MX"/>
        </w:rPr>
        <w:t>: s</w:t>
      </w:r>
      <w:r w:rsidRPr="00BE63E3">
        <w:rPr>
          <w:rFonts w:ascii="ITC Avant Garde" w:hAnsi="ITC Avant Garde"/>
          <w:lang w:val="es-MX"/>
        </w:rPr>
        <w:t>i los precios se basaran en el costo marginal, el operador SMP tendría que recuperar muchos costos compartidos/fijos de sus otros servicios (no regulados), lo que podría distorsionar el proceso de competencia a favor de otros operadores competidores en esos mercados.</w:t>
      </w:r>
    </w:p>
    <w:p w:rsidR="00AC1C39" w:rsidRPr="00BE63E3" w:rsidRDefault="00A776E3" w:rsidP="00A776E3">
      <w:pPr>
        <w:rPr>
          <w:rFonts w:ascii="ITC Avant Garde" w:hAnsi="ITC Avant Garde"/>
          <w:lang w:val="es-MX"/>
        </w:rPr>
      </w:pPr>
      <w:r w:rsidRPr="00BE63E3">
        <w:rPr>
          <w:rFonts w:ascii="ITC Avant Garde" w:hAnsi="ITC Avant Garde"/>
          <w:lang w:val="es-MX"/>
        </w:rPr>
        <w:t xml:space="preserve">Incluso el incremento de todos los servicios de los precios de </w:t>
      </w:r>
      <w:r w:rsidR="00AC1C39" w:rsidRPr="00BE63E3">
        <w:rPr>
          <w:rFonts w:ascii="ITC Avant Garde" w:hAnsi="ITC Avant Garde"/>
          <w:lang w:val="es-MX"/>
        </w:rPr>
        <w:t>C</w:t>
      </w:r>
      <w:r w:rsidR="008900F8" w:rsidRPr="00BE63E3">
        <w:rPr>
          <w:rFonts w:ascii="ITC Avant Garde" w:hAnsi="ITC Avant Garde"/>
          <w:lang w:val="es-MX"/>
        </w:rPr>
        <w:t>IP</w:t>
      </w:r>
      <w:r w:rsidR="00AC1C39" w:rsidRPr="00BE63E3">
        <w:rPr>
          <w:rFonts w:ascii="ITC Avant Garde" w:hAnsi="ITC Avant Garde"/>
          <w:lang w:val="es-MX"/>
        </w:rPr>
        <w:t>LP</w:t>
      </w:r>
      <w:r w:rsidRPr="00BE63E3">
        <w:rPr>
          <w:rFonts w:ascii="ITC Avant Garde" w:hAnsi="ITC Avant Garde"/>
          <w:lang w:val="es-MX"/>
        </w:rPr>
        <w:t xml:space="preserve"> no permite que el </w:t>
      </w:r>
      <w:r w:rsidR="009F5817" w:rsidRPr="00BE63E3">
        <w:rPr>
          <w:rFonts w:ascii="ITC Avant Garde" w:hAnsi="ITC Avant Garde"/>
          <w:lang w:val="es-MX"/>
        </w:rPr>
        <w:t>operador SMP</w:t>
      </w:r>
      <w:r w:rsidRPr="00BE63E3">
        <w:rPr>
          <w:rFonts w:ascii="ITC Avant Garde" w:hAnsi="ITC Avant Garde"/>
          <w:lang w:val="es-MX"/>
        </w:rPr>
        <w:t xml:space="preserve"> recupere los costos comunes entre los incrementos. Para permitir la recuperación total de los costos incurridos eficientemente, se debe aplicar un ajuste a</w:t>
      </w:r>
      <w:r w:rsidR="00AC1C39" w:rsidRPr="00BE63E3">
        <w:rPr>
          <w:rFonts w:ascii="ITC Avant Garde" w:hAnsi="ITC Avant Garde"/>
          <w:lang w:val="es-MX"/>
        </w:rPr>
        <w:t>l</w:t>
      </w:r>
      <w:r w:rsidRPr="00BE63E3">
        <w:rPr>
          <w:rFonts w:ascii="ITC Avant Garde" w:hAnsi="ITC Avant Garde"/>
          <w:lang w:val="es-MX"/>
        </w:rPr>
        <w:t xml:space="preserve"> </w:t>
      </w:r>
      <w:r w:rsidR="00AC1C39" w:rsidRPr="00BE63E3">
        <w:rPr>
          <w:rFonts w:ascii="ITC Avant Garde" w:hAnsi="ITC Avant Garde"/>
          <w:lang w:val="es-MX"/>
        </w:rPr>
        <w:t>C</w:t>
      </w:r>
      <w:r w:rsidR="00AE635D" w:rsidRPr="00BE63E3">
        <w:rPr>
          <w:rFonts w:ascii="ITC Avant Garde" w:hAnsi="ITC Avant Garde"/>
          <w:lang w:val="es-MX"/>
        </w:rPr>
        <w:t>IP</w:t>
      </w:r>
      <w:r w:rsidR="00AC1C39" w:rsidRPr="00BE63E3">
        <w:rPr>
          <w:rFonts w:ascii="ITC Avant Garde" w:hAnsi="ITC Avant Garde"/>
          <w:lang w:val="es-MX"/>
        </w:rPr>
        <w:t>LP</w:t>
      </w:r>
      <w:r w:rsidRPr="00BE63E3">
        <w:rPr>
          <w:rFonts w:ascii="ITC Avant Garde" w:hAnsi="ITC Avant Garde"/>
          <w:lang w:val="es-MX"/>
        </w:rPr>
        <w:t xml:space="preserve"> para tener en cuenta dichos costos comunes</w:t>
      </w:r>
      <w:r w:rsidR="00AC1C39" w:rsidRPr="00BE63E3">
        <w:rPr>
          <w:rFonts w:ascii="ITC Avant Garde" w:hAnsi="ITC Avant Garde"/>
          <w:lang w:val="es-MX"/>
        </w:rPr>
        <w:t xml:space="preserve"> (enfoque C</w:t>
      </w:r>
      <w:r w:rsidR="008900F8" w:rsidRPr="00BE63E3">
        <w:rPr>
          <w:rFonts w:ascii="ITC Avant Garde" w:hAnsi="ITC Avant Garde"/>
          <w:lang w:val="es-MX"/>
        </w:rPr>
        <w:t>IP</w:t>
      </w:r>
      <w:r w:rsidR="00AC1C39" w:rsidRPr="00BE63E3">
        <w:rPr>
          <w:rFonts w:ascii="ITC Avant Garde" w:hAnsi="ITC Avant Garde"/>
          <w:lang w:val="es-MX"/>
        </w:rPr>
        <w:t>LP+)</w:t>
      </w:r>
      <w:r w:rsidRPr="00BE63E3">
        <w:rPr>
          <w:rFonts w:ascii="ITC Avant Garde" w:hAnsi="ITC Avant Garde"/>
          <w:lang w:val="es-MX"/>
        </w:rPr>
        <w:t>.</w:t>
      </w:r>
    </w:p>
    <w:p w:rsidR="00A776E3" w:rsidRPr="00BE63E3" w:rsidRDefault="00A776E3" w:rsidP="00A776E3">
      <w:pPr>
        <w:pStyle w:val="Encadr3"/>
        <w:rPr>
          <w:rFonts w:ascii="ITC Avant Garde" w:hAnsi="ITC Avant Garde"/>
          <w:lang w:val="es-MX"/>
        </w:rPr>
      </w:pPr>
      <w:r w:rsidRPr="00BE63E3">
        <w:rPr>
          <w:rFonts w:ascii="ITC Avant Garde" w:hAnsi="ITC Avant Garde"/>
          <w:lang w:val="es-MX"/>
        </w:rPr>
        <w:t>Criterio 2: los costos de</w:t>
      </w:r>
      <w:r w:rsidR="00AC1C39" w:rsidRPr="00BE63E3">
        <w:rPr>
          <w:rFonts w:ascii="ITC Avant Garde" w:hAnsi="ITC Avant Garde"/>
          <w:lang w:val="es-MX"/>
        </w:rPr>
        <w:t xml:space="preserve"> </w:t>
      </w:r>
      <w:r w:rsidRPr="00BE63E3">
        <w:rPr>
          <w:rFonts w:ascii="ITC Avant Garde" w:hAnsi="ITC Avant Garde"/>
          <w:lang w:val="es-MX"/>
        </w:rPr>
        <w:t>l</w:t>
      </w:r>
      <w:r w:rsidR="00AC1C39" w:rsidRPr="00BE63E3">
        <w:rPr>
          <w:rFonts w:ascii="ITC Avant Garde" w:hAnsi="ITC Avant Garde"/>
          <w:lang w:val="es-MX"/>
        </w:rPr>
        <w:t>a red de</w:t>
      </w:r>
      <w:r w:rsidRPr="00BE63E3">
        <w:rPr>
          <w:rFonts w:ascii="ITC Avant Garde" w:hAnsi="ITC Avant Garde"/>
          <w:lang w:val="es-MX"/>
        </w:rPr>
        <w:t xml:space="preserve"> acceso</w:t>
      </w:r>
      <w:r w:rsidR="00AC1C39" w:rsidRPr="00BE63E3">
        <w:rPr>
          <w:rFonts w:ascii="ITC Avant Garde" w:hAnsi="ITC Avant Garde"/>
          <w:lang w:val="es-MX"/>
        </w:rPr>
        <w:t xml:space="preserve"> </w:t>
      </w:r>
      <w:r w:rsidR="001826B3" w:rsidRPr="00BE63E3">
        <w:rPr>
          <w:rFonts w:ascii="ITC Avant Garde" w:hAnsi="ITC Avant Garde"/>
          <w:lang w:val="es-MX"/>
        </w:rPr>
        <w:t xml:space="preserve">en el modelo </w:t>
      </w:r>
      <w:r w:rsidR="00AC1C39" w:rsidRPr="00BE63E3">
        <w:rPr>
          <w:rFonts w:ascii="ITC Avant Garde" w:hAnsi="ITC Avant Garde"/>
          <w:lang w:val="es-MX"/>
        </w:rPr>
        <w:t>se</w:t>
      </w:r>
      <w:r w:rsidRPr="00BE63E3">
        <w:rPr>
          <w:rFonts w:ascii="ITC Avant Garde" w:hAnsi="ITC Avant Garde"/>
          <w:lang w:val="es-MX"/>
        </w:rPr>
        <w:t xml:space="preserve"> </w:t>
      </w:r>
      <w:r w:rsidR="009533FA" w:rsidRPr="00872052">
        <w:rPr>
          <w:rFonts w:ascii="ITC Avant Garde" w:hAnsi="ITC Avant Garde"/>
          <w:lang w:val="es-MX"/>
        </w:rPr>
        <w:t>evalúan</w:t>
      </w:r>
      <w:r w:rsidRPr="00BE63E3">
        <w:rPr>
          <w:rFonts w:ascii="ITC Avant Garde" w:hAnsi="ITC Avant Garde"/>
          <w:lang w:val="es-MX"/>
        </w:rPr>
        <w:t xml:space="preserve"> siguiendo el enfoque de costos incrementales promedio </w:t>
      </w:r>
      <w:r w:rsidR="00407AD2" w:rsidRPr="00BE63E3">
        <w:rPr>
          <w:rFonts w:ascii="ITC Avant Garde" w:hAnsi="ITC Avant Garde"/>
          <w:lang w:val="es-MX"/>
        </w:rPr>
        <w:t>de</w:t>
      </w:r>
      <w:r w:rsidRPr="00BE63E3">
        <w:rPr>
          <w:rFonts w:ascii="ITC Avant Garde" w:hAnsi="ITC Avant Garde"/>
          <w:lang w:val="es-MX"/>
        </w:rPr>
        <w:t xml:space="preserve"> largo plazo con la inclusión de costos comunes</w:t>
      </w:r>
      <w:r w:rsidR="00AC1C39" w:rsidRPr="00BE63E3">
        <w:rPr>
          <w:rFonts w:ascii="ITC Avant Garde" w:hAnsi="ITC Avant Garde"/>
          <w:lang w:val="es-MX"/>
        </w:rPr>
        <w:t xml:space="preserve"> (CI</w:t>
      </w:r>
      <w:r w:rsidR="00407AD2" w:rsidRPr="00BE63E3">
        <w:rPr>
          <w:rFonts w:ascii="ITC Avant Garde" w:hAnsi="ITC Avant Garde"/>
          <w:lang w:val="es-MX"/>
        </w:rPr>
        <w:t>P</w:t>
      </w:r>
      <w:r w:rsidR="00AC1C39" w:rsidRPr="00BE63E3">
        <w:rPr>
          <w:rFonts w:ascii="ITC Avant Garde" w:hAnsi="ITC Avant Garde"/>
          <w:lang w:val="es-MX"/>
        </w:rPr>
        <w:t>LP+)</w:t>
      </w:r>
      <w:r w:rsidRPr="00BE63E3">
        <w:rPr>
          <w:rFonts w:ascii="ITC Avant Garde" w:hAnsi="ITC Avant Garde"/>
          <w:lang w:val="es-MX"/>
        </w:rPr>
        <w:t>.</w:t>
      </w:r>
    </w:p>
    <w:p w:rsidR="00DE7A5B" w:rsidRPr="00BE63E3" w:rsidRDefault="003A0FB4" w:rsidP="00DE7A5B">
      <w:pPr>
        <w:pStyle w:val="Ttulo3"/>
        <w:rPr>
          <w:rFonts w:ascii="ITC Avant Garde" w:hAnsi="ITC Avant Garde"/>
          <w:lang w:val="es-MX"/>
        </w:rPr>
      </w:pPr>
      <w:bookmarkStart w:id="70" w:name="_Toc525665259"/>
      <w:bookmarkStart w:id="71" w:name="_Toc525665638"/>
      <w:bookmarkStart w:id="72" w:name="_Toc526854339"/>
      <w:r w:rsidRPr="00BE63E3">
        <w:rPr>
          <w:rFonts w:ascii="ITC Avant Garde" w:hAnsi="ITC Avant Garde"/>
          <w:lang w:val="es-MX"/>
        </w:rPr>
        <w:t>Horizonte</w:t>
      </w:r>
      <w:r w:rsidR="00DE7A5B" w:rsidRPr="00BE63E3">
        <w:rPr>
          <w:rFonts w:ascii="ITC Avant Garde" w:hAnsi="ITC Avant Garde"/>
          <w:lang w:val="es-MX"/>
        </w:rPr>
        <w:t xml:space="preserve"> de tiempo</w:t>
      </w:r>
      <w:bookmarkEnd w:id="70"/>
      <w:bookmarkEnd w:id="71"/>
      <w:bookmarkEnd w:id="72"/>
    </w:p>
    <w:p w:rsidR="00DE7A5B" w:rsidRPr="00BE63E3" w:rsidRDefault="00DE7A5B" w:rsidP="00DE7A5B">
      <w:pPr>
        <w:rPr>
          <w:rFonts w:ascii="ITC Avant Garde" w:hAnsi="ITC Avant Garde"/>
          <w:lang w:val="es-MX"/>
        </w:rPr>
      </w:pPr>
      <w:r w:rsidRPr="00BE63E3">
        <w:rPr>
          <w:rFonts w:ascii="ITC Avant Garde" w:hAnsi="ITC Avant Garde"/>
          <w:lang w:val="es-MX"/>
        </w:rPr>
        <w:t>Dado que los costos unitarios de los servicios que se calcularán dependen de la demanda en un momento específico en el tiempo, el período de tiempo que se modelará será un parámetro importante del modelo e impactará los posibles análisis de sus resultados.</w:t>
      </w:r>
    </w:p>
    <w:p w:rsidR="00DE7A5B" w:rsidRPr="00BE63E3" w:rsidRDefault="00DE7A5B" w:rsidP="00DE7A5B">
      <w:pPr>
        <w:rPr>
          <w:rFonts w:ascii="ITC Avant Garde" w:hAnsi="ITC Avant Garde"/>
          <w:lang w:val="es-MX"/>
        </w:rPr>
      </w:pPr>
      <w:r w:rsidRPr="00BE63E3">
        <w:rPr>
          <w:rFonts w:ascii="ITC Avant Garde" w:hAnsi="ITC Avant Garde"/>
          <w:lang w:val="es-MX"/>
        </w:rPr>
        <w:t>Se podrían usar dos enfoques alternativos:</w:t>
      </w:r>
    </w:p>
    <w:p w:rsidR="00DE7A5B" w:rsidRPr="00BE63E3" w:rsidRDefault="00DE7A5B" w:rsidP="00556A48">
      <w:pPr>
        <w:pStyle w:val="Prrafodelista"/>
        <w:numPr>
          <w:ilvl w:val="0"/>
          <w:numId w:val="9"/>
        </w:numPr>
        <w:rPr>
          <w:rFonts w:ascii="ITC Avant Garde" w:hAnsi="ITC Avant Garde"/>
          <w:lang w:val="es-MX"/>
        </w:rPr>
      </w:pPr>
      <w:r w:rsidRPr="00BE63E3">
        <w:rPr>
          <w:rFonts w:ascii="ITC Avant Garde" w:hAnsi="ITC Avant Garde"/>
          <w:lang w:val="es-MX"/>
        </w:rPr>
        <w:t>Un horizonte de tiempo de un año;</w:t>
      </w:r>
    </w:p>
    <w:p w:rsidR="00DE7A5B" w:rsidRPr="00BE63E3" w:rsidRDefault="00DE7A5B" w:rsidP="00556A48">
      <w:pPr>
        <w:pStyle w:val="Prrafodelista"/>
        <w:numPr>
          <w:ilvl w:val="0"/>
          <w:numId w:val="9"/>
        </w:numPr>
        <w:rPr>
          <w:rFonts w:ascii="ITC Avant Garde" w:hAnsi="ITC Avant Garde"/>
          <w:lang w:val="es-MX"/>
        </w:rPr>
      </w:pPr>
      <w:r w:rsidRPr="00BE63E3">
        <w:rPr>
          <w:rFonts w:ascii="ITC Avant Garde" w:hAnsi="ITC Avant Garde"/>
          <w:lang w:val="es-MX"/>
        </w:rPr>
        <w:t>Un horizonte de tiempo de varios años.</w:t>
      </w:r>
    </w:p>
    <w:p w:rsidR="00DE7A5B" w:rsidRPr="00BE63E3" w:rsidRDefault="00DE7A5B" w:rsidP="00DE7A5B">
      <w:pPr>
        <w:rPr>
          <w:rFonts w:ascii="ITC Avant Garde" w:hAnsi="ITC Avant Garde"/>
          <w:lang w:val="es-MX"/>
        </w:rPr>
      </w:pPr>
      <w:r w:rsidRPr="00BE63E3">
        <w:rPr>
          <w:rFonts w:ascii="ITC Avant Garde" w:hAnsi="ITC Avant Garde"/>
          <w:lang w:val="es-MX"/>
        </w:rPr>
        <w:lastRenderedPageBreak/>
        <w:t>En el primer enfoque, los costos se modelan dentro de un período de un año. Entonces, el modelo no considera ninguna evolución de los costos y produce resultados considerando un solo año.</w:t>
      </w:r>
    </w:p>
    <w:p w:rsidR="00DE7A5B" w:rsidRPr="00BE63E3" w:rsidRDefault="00DE7A5B" w:rsidP="00DE7A5B">
      <w:pPr>
        <w:rPr>
          <w:rFonts w:ascii="ITC Avant Garde" w:hAnsi="ITC Avant Garde"/>
          <w:lang w:val="es-MX"/>
        </w:rPr>
      </w:pPr>
      <w:r w:rsidRPr="00BE63E3">
        <w:rPr>
          <w:rFonts w:ascii="ITC Avant Garde" w:hAnsi="ITC Avant Garde"/>
          <w:lang w:val="es-MX"/>
        </w:rPr>
        <w:t>En el segundo enfoque, el modelo debe tener en cuenta la evolución de los costos dentro de un período de tiempo y proporciona resultados no solo para la situación actual de la red sino también para los próximos años.</w:t>
      </w:r>
    </w:p>
    <w:p w:rsidR="00DE7A5B" w:rsidRPr="00BE63E3" w:rsidRDefault="00DE7A5B" w:rsidP="00DE7A5B">
      <w:pPr>
        <w:rPr>
          <w:rFonts w:ascii="ITC Avant Garde" w:hAnsi="ITC Avant Garde"/>
          <w:lang w:val="es-MX"/>
        </w:rPr>
      </w:pPr>
      <w:r w:rsidRPr="00BE63E3">
        <w:rPr>
          <w:rFonts w:ascii="ITC Avant Garde" w:hAnsi="ITC Avant Garde"/>
          <w:lang w:val="es-MX"/>
        </w:rPr>
        <w:t>El período de tiempo a modelar debe comenzar desde un punto de tiempo teniendo en cuenta la última información suficiente que permita reflejar el estado actual de la demanda y la cobertura.</w:t>
      </w:r>
    </w:p>
    <w:p w:rsidR="00DE7A5B" w:rsidRPr="00BE63E3" w:rsidRDefault="00DE7A5B" w:rsidP="00DE7A5B">
      <w:pPr>
        <w:rPr>
          <w:rFonts w:ascii="ITC Avant Garde" w:hAnsi="ITC Avant Garde"/>
          <w:lang w:val="es-MX"/>
        </w:rPr>
      </w:pPr>
      <w:r w:rsidRPr="00BE63E3">
        <w:rPr>
          <w:rFonts w:ascii="ITC Avant Garde" w:hAnsi="ITC Avant Garde"/>
          <w:lang w:val="es-MX"/>
        </w:rPr>
        <w:t>El último año del horizonte temporal debe especificarse y no debe exceder el futuro cercano ya que los resultados se basarán en hipótesis sobre la evolución de los costos unitarios esperados.</w:t>
      </w:r>
    </w:p>
    <w:p w:rsidR="00DE7A5B" w:rsidRPr="00BE63E3" w:rsidRDefault="00DE7A5B" w:rsidP="00DE7A5B">
      <w:pPr>
        <w:rPr>
          <w:rFonts w:ascii="ITC Avant Garde" w:hAnsi="ITC Avant Garde"/>
          <w:lang w:val="es-MX"/>
        </w:rPr>
      </w:pPr>
      <w:r w:rsidRPr="00BE63E3">
        <w:rPr>
          <w:rFonts w:ascii="ITC Avant Garde" w:hAnsi="ITC Avant Garde"/>
          <w:lang w:val="es-MX"/>
        </w:rPr>
        <w:t>Ambos enfoques se han utilizado en los modelos anteriores.</w:t>
      </w:r>
    </w:p>
    <w:p w:rsidR="00DE7A5B" w:rsidRPr="00BE63E3" w:rsidRDefault="00DE7A5B" w:rsidP="00DE7A5B">
      <w:pPr>
        <w:rPr>
          <w:rFonts w:ascii="ITC Avant Garde" w:hAnsi="ITC Avant Garde"/>
          <w:lang w:val="es-MX"/>
        </w:rPr>
      </w:pPr>
      <w:r w:rsidRPr="00BE63E3">
        <w:rPr>
          <w:rFonts w:ascii="ITC Avant Garde" w:hAnsi="ITC Avant Garde"/>
          <w:lang w:val="es-MX"/>
        </w:rPr>
        <w:t>El enfoque de un año se ha utilizado en el modelo de cobre</w:t>
      </w:r>
      <w:r w:rsidR="00AC1C39" w:rsidRPr="00BE63E3">
        <w:rPr>
          <w:rStyle w:val="Refdenotaalpie"/>
          <w:rFonts w:ascii="ITC Avant Garde" w:hAnsi="ITC Avant Garde"/>
          <w:lang w:val="es-MX"/>
        </w:rPr>
        <w:footnoteReference w:id="9"/>
      </w:r>
      <w:r w:rsidRPr="00BE63E3">
        <w:rPr>
          <w:rFonts w:ascii="ITC Avant Garde" w:hAnsi="ITC Avant Garde"/>
          <w:lang w:val="es-MX"/>
        </w:rPr>
        <w:t>:</w:t>
      </w:r>
    </w:p>
    <w:p w:rsidR="00DE7A5B" w:rsidRPr="00BE63E3" w:rsidRDefault="0074343B" w:rsidP="00AC1C39">
      <w:pPr>
        <w:ind w:left="567" w:right="565"/>
        <w:rPr>
          <w:rFonts w:ascii="ITC Avant Garde" w:hAnsi="ITC Avant Garde"/>
          <w:i/>
          <w:lang w:val="es-MX"/>
        </w:rPr>
      </w:pPr>
      <w:r w:rsidRPr="00BE63E3">
        <w:rPr>
          <w:rFonts w:ascii="ITC Avant Garde" w:hAnsi="ITC Avant Garde"/>
          <w:i/>
          <w:lang w:val="es-MX"/>
        </w:rPr>
        <w:t>“</w:t>
      </w:r>
      <w:r w:rsidR="00DE7A5B" w:rsidRPr="00BE63E3">
        <w:rPr>
          <w:rFonts w:ascii="ITC Avant Garde" w:hAnsi="ITC Avant Garde"/>
          <w:i/>
          <w:lang w:val="es-MX"/>
        </w:rPr>
        <w:t xml:space="preserve">Periodo de referencia = </w:t>
      </w:r>
      <w:r w:rsidR="003B4618">
        <w:rPr>
          <w:rFonts w:ascii="ITC Avant Garde" w:hAnsi="ITC Avant Garde"/>
          <w:i/>
          <w:lang w:val="es-MX"/>
        </w:rPr>
        <w:t>anual</w:t>
      </w:r>
      <w:r w:rsidR="00DE7A5B" w:rsidRPr="0029338F">
        <w:rPr>
          <w:rFonts w:ascii="ITC Avant Garde" w:hAnsi="ITC Avant Garde"/>
          <w:lang w:val="es-MX"/>
        </w:rPr>
        <w:t xml:space="preserve"> </w:t>
      </w:r>
      <w:r w:rsidR="00DE7A5B" w:rsidRPr="00BE63E3">
        <w:rPr>
          <w:rFonts w:ascii="ITC Avant Garde" w:hAnsi="ITC Avant Garde"/>
          <w:i/>
          <w:lang w:val="es-MX"/>
        </w:rPr>
        <w:t xml:space="preserve">Se asume que la demanda y la cobertura de </w:t>
      </w:r>
      <w:r w:rsidR="003B4618" w:rsidRPr="003B4618">
        <w:rPr>
          <w:rFonts w:ascii="ITC Avant Garde" w:hAnsi="ITC Avant Garde"/>
          <w:i/>
          <w:lang w:val="es-MX"/>
        </w:rPr>
        <w:t xml:space="preserve">red </w:t>
      </w:r>
      <w:proofErr w:type="spellStart"/>
      <w:r w:rsidR="003B4618" w:rsidRPr="003B4618">
        <w:rPr>
          <w:rFonts w:ascii="ITC Avant Garde" w:hAnsi="ITC Avant Garde"/>
          <w:i/>
          <w:lang w:val="es-MX"/>
        </w:rPr>
        <w:t>legacy</w:t>
      </w:r>
      <w:proofErr w:type="spellEnd"/>
      <w:r w:rsidR="00DE7A5B" w:rsidRPr="00BE63E3">
        <w:rPr>
          <w:rFonts w:ascii="ITC Avant Garde" w:hAnsi="ITC Avant Garde"/>
          <w:i/>
          <w:lang w:val="es-MX"/>
        </w:rPr>
        <w:t xml:space="preserve"> permanecen </w:t>
      </w:r>
      <w:r w:rsidR="003B4618" w:rsidRPr="003B4618">
        <w:rPr>
          <w:rFonts w:ascii="ITC Avant Garde" w:hAnsi="ITC Avant Garde"/>
          <w:i/>
          <w:lang w:val="es-MX"/>
        </w:rPr>
        <w:t xml:space="preserve">relativamente </w:t>
      </w:r>
      <w:r w:rsidR="00DE7A5B" w:rsidRPr="00BE63E3">
        <w:rPr>
          <w:rFonts w:ascii="ITC Avant Garde" w:hAnsi="ITC Avant Garde"/>
          <w:i/>
          <w:lang w:val="es-MX"/>
        </w:rPr>
        <w:t xml:space="preserve">estables en los próximos años, por lo que un modelo de un solo año arroja resultados </w:t>
      </w:r>
      <w:r w:rsidR="003B4618" w:rsidRPr="003B4618">
        <w:rPr>
          <w:rFonts w:ascii="ITC Avant Garde" w:hAnsi="ITC Avant Garde"/>
          <w:i/>
          <w:lang w:val="es-MX"/>
        </w:rPr>
        <w:t>suficientemente</w:t>
      </w:r>
      <w:r w:rsidR="00DE7A5B" w:rsidRPr="00BE63E3">
        <w:rPr>
          <w:rFonts w:ascii="ITC Avant Garde" w:hAnsi="ITC Avant Garde"/>
          <w:i/>
          <w:lang w:val="es-MX"/>
        </w:rPr>
        <w:t xml:space="preserve"> representativos</w:t>
      </w:r>
      <w:r w:rsidRPr="00BE63E3">
        <w:rPr>
          <w:rFonts w:ascii="ITC Avant Garde" w:hAnsi="ITC Avant Garde"/>
          <w:i/>
          <w:lang w:val="es-MX"/>
        </w:rPr>
        <w:t>”</w:t>
      </w:r>
    </w:p>
    <w:p w:rsidR="00DE7A5B" w:rsidRPr="00BE63E3" w:rsidRDefault="00DE7A5B" w:rsidP="00DE7A5B">
      <w:pPr>
        <w:rPr>
          <w:rFonts w:ascii="ITC Avant Garde" w:hAnsi="ITC Avant Garde"/>
          <w:lang w:val="es-MX"/>
        </w:rPr>
      </w:pPr>
      <w:r w:rsidRPr="00BE63E3">
        <w:rPr>
          <w:rFonts w:ascii="ITC Avant Garde" w:hAnsi="ITC Avant Garde"/>
          <w:lang w:val="es-MX"/>
        </w:rPr>
        <w:t>Por otro lado, el enfoque plurianual se ha utilizado en el modelo de fibra con un rango de tiempo de 5 años que va de 2015 a 2020</w:t>
      </w:r>
      <w:r w:rsidR="00AC1C39" w:rsidRPr="00BE63E3">
        <w:rPr>
          <w:rStyle w:val="Refdenotaalpie"/>
          <w:rFonts w:ascii="ITC Avant Garde" w:hAnsi="ITC Avant Garde"/>
          <w:lang w:val="es-MX"/>
        </w:rPr>
        <w:footnoteReference w:id="10"/>
      </w:r>
      <w:r w:rsidRPr="00BE63E3">
        <w:rPr>
          <w:rFonts w:ascii="ITC Avant Garde" w:hAnsi="ITC Avant Garde"/>
          <w:lang w:val="es-MX"/>
        </w:rPr>
        <w:t>:</w:t>
      </w:r>
    </w:p>
    <w:p w:rsidR="00DE7A5B" w:rsidRPr="00BE63E3" w:rsidRDefault="00DE7A5B" w:rsidP="00AC1C39">
      <w:pPr>
        <w:ind w:left="567" w:right="565"/>
        <w:rPr>
          <w:rFonts w:ascii="ITC Avant Garde" w:hAnsi="ITC Avant Garde"/>
          <w:i/>
          <w:lang w:val="es-MX"/>
        </w:rPr>
      </w:pPr>
      <w:r w:rsidRPr="00BE63E3">
        <w:rPr>
          <w:rFonts w:ascii="ITC Avant Garde" w:hAnsi="ITC Avant Garde"/>
          <w:i/>
          <w:lang w:val="es-MX"/>
        </w:rPr>
        <w:t>"Se define el marco temporal en el modelo como el período comprendido entre 2015 y 2020".</w:t>
      </w:r>
    </w:p>
    <w:p w:rsidR="00AC1C39" w:rsidRPr="00BE63E3" w:rsidRDefault="00AC1C39" w:rsidP="00AC1C39">
      <w:pPr>
        <w:rPr>
          <w:rFonts w:ascii="ITC Avant Garde" w:hAnsi="ITC Avant Garde"/>
          <w:lang w:val="es-MX"/>
        </w:rPr>
      </w:pPr>
    </w:p>
    <w:p w:rsidR="00DE7A5B" w:rsidRPr="00BE63E3" w:rsidRDefault="00DE7A5B" w:rsidP="00DE7A5B">
      <w:pPr>
        <w:pStyle w:val="Encadr3"/>
        <w:rPr>
          <w:rFonts w:ascii="ITC Avant Garde" w:hAnsi="ITC Avant Garde"/>
          <w:lang w:val="es-MX"/>
        </w:rPr>
      </w:pPr>
      <w:r w:rsidRPr="00BE63E3">
        <w:rPr>
          <w:rFonts w:ascii="ITC Avant Garde" w:hAnsi="ITC Avant Garde"/>
          <w:lang w:val="es-MX"/>
        </w:rPr>
        <w:t xml:space="preserve">Criterio 3: El modelo </w:t>
      </w:r>
      <w:r w:rsidR="00AC1C39" w:rsidRPr="00BE63E3">
        <w:rPr>
          <w:rFonts w:ascii="ITC Avant Garde" w:hAnsi="ITC Avant Garde"/>
          <w:lang w:val="es-MX"/>
        </w:rPr>
        <w:t>es</w:t>
      </w:r>
      <w:r w:rsidRPr="00BE63E3">
        <w:rPr>
          <w:rFonts w:ascii="ITC Avant Garde" w:hAnsi="ITC Avant Garde"/>
          <w:lang w:val="es-MX"/>
        </w:rPr>
        <w:t xml:space="preserve"> </w:t>
      </w:r>
      <w:proofErr w:type="spellStart"/>
      <w:r w:rsidR="00AC1C39" w:rsidRPr="00BE63E3">
        <w:rPr>
          <w:rFonts w:ascii="ITC Avant Garde" w:hAnsi="ITC Avant Garde"/>
          <w:lang w:val="es-MX"/>
        </w:rPr>
        <w:t>pluri</w:t>
      </w:r>
      <w:proofErr w:type="spellEnd"/>
      <w:r w:rsidR="00732779">
        <w:rPr>
          <w:rFonts w:ascii="ITC Avant Garde" w:hAnsi="ITC Avant Garde"/>
          <w:lang w:val="es-MX"/>
        </w:rPr>
        <w:t>-</w:t>
      </w:r>
      <w:r w:rsidR="00AC1C39" w:rsidRPr="00BE63E3">
        <w:rPr>
          <w:rFonts w:ascii="ITC Avant Garde" w:hAnsi="ITC Avant Garde"/>
          <w:lang w:val="es-MX"/>
        </w:rPr>
        <w:t>anual, considerando</w:t>
      </w:r>
      <w:r w:rsidRPr="00BE63E3">
        <w:rPr>
          <w:rFonts w:ascii="ITC Avant Garde" w:hAnsi="ITC Avant Garde"/>
          <w:lang w:val="es-MX"/>
        </w:rPr>
        <w:t xml:space="preserve"> un marco temporal de 5 años.</w:t>
      </w:r>
    </w:p>
    <w:p w:rsidR="00DE7A5B" w:rsidRPr="00BE63E3" w:rsidRDefault="00DE7A5B" w:rsidP="00DE7A5B">
      <w:pPr>
        <w:pStyle w:val="Ttulo2"/>
        <w:rPr>
          <w:rFonts w:ascii="ITC Avant Garde" w:hAnsi="ITC Avant Garde"/>
          <w:lang w:val="es-MX"/>
        </w:rPr>
      </w:pPr>
      <w:bookmarkStart w:id="73" w:name="_Toc525665260"/>
      <w:bookmarkStart w:id="74" w:name="_Toc525665639"/>
      <w:bookmarkStart w:id="75" w:name="_Toc526854340"/>
      <w:r w:rsidRPr="00BE63E3">
        <w:rPr>
          <w:rFonts w:ascii="ITC Avant Garde" w:hAnsi="ITC Avant Garde"/>
          <w:lang w:val="es-MX"/>
        </w:rPr>
        <w:t>Operador modelado</w:t>
      </w:r>
      <w:bookmarkEnd w:id="73"/>
      <w:bookmarkEnd w:id="74"/>
      <w:bookmarkEnd w:id="75"/>
    </w:p>
    <w:p w:rsidR="00BC0096" w:rsidRPr="00BE63E3" w:rsidRDefault="00BC0096" w:rsidP="00BC0096">
      <w:pPr>
        <w:pStyle w:val="Ttulo3"/>
        <w:rPr>
          <w:rFonts w:ascii="ITC Avant Garde" w:hAnsi="ITC Avant Garde"/>
          <w:lang w:val="es-MX"/>
        </w:rPr>
      </w:pPr>
      <w:bookmarkStart w:id="76" w:name="_Toc525665261"/>
      <w:bookmarkStart w:id="77" w:name="_Toc525665640"/>
      <w:bookmarkStart w:id="78" w:name="_Toc526854341"/>
      <w:r w:rsidRPr="00BE63E3">
        <w:rPr>
          <w:rFonts w:ascii="ITC Avant Garde" w:hAnsi="ITC Avant Garde"/>
          <w:lang w:val="es-MX"/>
        </w:rPr>
        <w:t>Tipo de operador</w:t>
      </w:r>
      <w:bookmarkEnd w:id="76"/>
      <w:bookmarkEnd w:id="77"/>
      <w:bookmarkEnd w:id="78"/>
    </w:p>
    <w:p w:rsidR="00DE7A5B" w:rsidRPr="00BE63E3" w:rsidRDefault="00DE7A5B" w:rsidP="00DE7A5B">
      <w:pPr>
        <w:rPr>
          <w:rFonts w:ascii="ITC Avant Garde" w:hAnsi="ITC Avant Garde"/>
          <w:lang w:val="es-MX"/>
        </w:rPr>
      </w:pPr>
      <w:r w:rsidRPr="00BE63E3">
        <w:rPr>
          <w:rFonts w:ascii="ITC Avant Garde" w:hAnsi="ITC Avant Garde"/>
          <w:lang w:val="es-MX"/>
        </w:rPr>
        <w:t>Un modelo de costo</w:t>
      </w:r>
      <w:r w:rsidR="00937A82">
        <w:rPr>
          <w:rFonts w:ascii="ITC Avant Garde" w:hAnsi="ITC Avant Garde"/>
          <w:lang w:val="es-MX"/>
        </w:rPr>
        <w:t>s</w:t>
      </w:r>
      <w:r w:rsidRPr="00BE63E3">
        <w:rPr>
          <w:rFonts w:ascii="ITC Avant Garde" w:hAnsi="ITC Avant Garde"/>
          <w:lang w:val="es-MX"/>
        </w:rPr>
        <w:t xml:space="preserve"> puede reflejar el costo de diferentes tipos de operadores, siendo las opciones más relevantes:</w:t>
      </w:r>
    </w:p>
    <w:p w:rsidR="00DE7A5B" w:rsidRPr="00BE63E3" w:rsidRDefault="00DE7A5B" w:rsidP="00556A48">
      <w:pPr>
        <w:pStyle w:val="Prrafodelista"/>
        <w:numPr>
          <w:ilvl w:val="0"/>
          <w:numId w:val="10"/>
        </w:numPr>
        <w:rPr>
          <w:rFonts w:ascii="ITC Avant Garde" w:hAnsi="ITC Avant Garde"/>
          <w:lang w:val="es-MX"/>
        </w:rPr>
      </w:pPr>
      <w:r w:rsidRPr="00BE63E3">
        <w:rPr>
          <w:rFonts w:ascii="ITC Avant Garde" w:hAnsi="ITC Avant Garde"/>
          <w:lang w:val="es-MX"/>
        </w:rPr>
        <w:t xml:space="preserve">El </w:t>
      </w:r>
      <w:r w:rsidR="00AC1C39" w:rsidRPr="00BE63E3">
        <w:rPr>
          <w:rFonts w:ascii="ITC Avant Garde" w:hAnsi="ITC Avant Garde"/>
          <w:lang w:val="es-MX"/>
        </w:rPr>
        <w:t>AE</w:t>
      </w:r>
      <w:r w:rsidRPr="00BE63E3">
        <w:rPr>
          <w:rFonts w:ascii="ITC Avant Garde" w:hAnsi="ITC Avant Garde"/>
          <w:lang w:val="es-MX"/>
        </w:rPr>
        <w:t>P real;</w:t>
      </w:r>
    </w:p>
    <w:p w:rsidR="00DE7A5B" w:rsidRPr="00BE63E3" w:rsidRDefault="00DE7A5B" w:rsidP="00556A48">
      <w:pPr>
        <w:pStyle w:val="Prrafodelista"/>
        <w:numPr>
          <w:ilvl w:val="0"/>
          <w:numId w:val="10"/>
        </w:numPr>
        <w:rPr>
          <w:rFonts w:ascii="ITC Avant Garde" w:hAnsi="ITC Avant Garde"/>
          <w:lang w:val="es-MX"/>
        </w:rPr>
      </w:pPr>
      <w:r w:rsidRPr="00BE63E3">
        <w:rPr>
          <w:rFonts w:ascii="ITC Avant Garde" w:hAnsi="ITC Avant Garde"/>
          <w:lang w:val="es-MX"/>
        </w:rPr>
        <w:lastRenderedPageBreak/>
        <w:t xml:space="preserve">Un operador promedio, por ejemplo, basado en el </w:t>
      </w:r>
      <w:r w:rsidR="0074343B" w:rsidRPr="00BE63E3">
        <w:rPr>
          <w:rFonts w:ascii="ITC Avant Garde" w:hAnsi="ITC Avant Garde"/>
          <w:lang w:val="es-MX"/>
        </w:rPr>
        <w:t>AEP</w:t>
      </w:r>
      <w:r w:rsidRPr="00BE63E3">
        <w:rPr>
          <w:rFonts w:ascii="ITC Avant Garde" w:hAnsi="ITC Avant Garde"/>
          <w:lang w:val="es-MX"/>
        </w:rPr>
        <w:t xml:space="preserve"> y operadores no regulados;</w:t>
      </w:r>
    </w:p>
    <w:p w:rsidR="00DE7A5B" w:rsidRPr="00BE63E3" w:rsidRDefault="00DE7A5B" w:rsidP="00556A48">
      <w:pPr>
        <w:pStyle w:val="Prrafodelista"/>
        <w:numPr>
          <w:ilvl w:val="0"/>
          <w:numId w:val="10"/>
        </w:numPr>
        <w:rPr>
          <w:rFonts w:ascii="ITC Avant Garde" w:hAnsi="ITC Avant Garde"/>
          <w:lang w:val="es-MX"/>
        </w:rPr>
      </w:pPr>
      <w:r w:rsidRPr="00BE63E3">
        <w:rPr>
          <w:rFonts w:ascii="ITC Avant Garde" w:hAnsi="ITC Avant Garde"/>
          <w:lang w:val="es-MX"/>
        </w:rPr>
        <w:t>Un operador hipotéticamente eficiente;</w:t>
      </w:r>
    </w:p>
    <w:p w:rsidR="00DE7A5B" w:rsidRPr="00BE63E3" w:rsidRDefault="00DE7A5B" w:rsidP="00556A48">
      <w:pPr>
        <w:pStyle w:val="Prrafodelista"/>
        <w:numPr>
          <w:ilvl w:val="0"/>
          <w:numId w:val="10"/>
        </w:numPr>
        <w:rPr>
          <w:rFonts w:ascii="ITC Avant Garde" w:hAnsi="ITC Avant Garde"/>
          <w:lang w:val="es-MX"/>
        </w:rPr>
      </w:pPr>
      <w:r w:rsidRPr="00BE63E3">
        <w:rPr>
          <w:rFonts w:ascii="ITC Avant Garde" w:hAnsi="ITC Avant Garde"/>
          <w:lang w:val="es-MX"/>
        </w:rPr>
        <w:t xml:space="preserve">Un operador hipotéticamente eficiente basado en el </w:t>
      </w:r>
      <w:r w:rsidR="0074343B" w:rsidRPr="00BE63E3">
        <w:rPr>
          <w:rFonts w:ascii="ITC Avant Garde" w:hAnsi="ITC Avant Garde"/>
          <w:lang w:val="es-MX"/>
        </w:rPr>
        <w:t>AEP</w:t>
      </w:r>
      <w:r w:rsidRPr="00BE63E3">
        <w:rPr>
          <w:rFonts w:ascii="ITC Avant Garde" w:hAnsi="ITC Avant Garde"/>
          <w:lang w:val="es-MX"/>
        </w:rPr>
        <w:t>.</w:t>
      </w:r>
    </w:p>
    <w:p w:rsidR="00DE7A5B" w:rsidRPr="00BE63E3" w:rsidRDefault="00DE7A5B" w:rsidP="00DE7A5B">
      <w:pPr>
        <w:rPr>
          <w:rFonts w:ascii="ITC Avant Garde" w:hAnsi="ITC Avant Garde"/>
          <w:lang w:val="es-MX"/>
        </w:rPr>
      </w:pPr>
      <w:r w:rsidRPr="00BE63E3">
        <w:rPr>
          <w:rFonts w:ascii="ITC Avant Garde" w:hAnsi="ITC Avant Garde"/>
          <w:lang w:val="es-MX"/>
        </w:rPr>
        <w:t xml:space="preserve">En el primer enfoque, los costos modelados están directamente relacionados con los costos reales de los servicios regulados. </w:t>
      </w:r>
      <w:r w:rsidR="0074343B" w:rsidRPr="00BE63E3">
        <w:rPr>
          <w:rFonts w:ascii="ITC Avant Garde" w:hAnsi="ITC Avant Garde"/>
          <w:lang w:val="es-MX"/>
        </w:rPr>
        <w:t xml:space="preserve">Con este enfoque, el modelo cumpliría </w:t>
      </w:r>
      <w:r w:rsidRPr="00BE63E3">
        <w:rPr>
          <w:rFonts w:ascii="ITC Avant Garde" w:hAnsi="ITC Avant Garde"/>
          <w:lang w:val="es-MX"/>
        </w:rPr>
        <w:t xml:space="preserve">con los principios de orientación </w:t>
      </w:r>
      <w:r w:rsidR="0074343B" w:rsidRPr="00BE63E3">
        <w:rPr>
          <w:rFonts w:ascii="ITC Avant Garde" w:hAnsi="ITC Avant Garde"/>
          <w:lang w:val="es-MX"/>
        </w:rPr>
        <w:t>hacia los</w:t>
      </w:r>
      <w:r w:rsidRPr="00BE63E3">
        <w:rPr>
          <w:rFonts w:ascii="ITC Avant Garde" w:hAnsi="ITC Avant Garde"/>
          <w:lang w:val="es-MX"/>
        </w:rPr>
        <w:t xml:space="preserve"> costos y </w:t>
      </w:r>
      <w:r w:rsidR="0074343B" w:rsidRPr="00BE63E3">
        <w:rPr>
          <w:rFonts w:ascii="ITC Avant Garde" w:hAnsi="ITC Avant Garde"/>
          <w:lang w:val="es-MX"/>
        </w:rPr>
        <w:t xml:space="preserve">de </w:t>
      </w:r>
      <w:r w:rsidRPr="00BE63E3">
        <w:rPr>
          <w:rFonts w:ascii="ITC Avant Garde" w:hAnsi="ITC Avant Garde"/>
          <w:lang w:val="es-MX"/>
        </w:rPr>
        <w:t>causalidad de costos</w:t>
      </w:r>
      <w:r w:rsidR="0074343B" w:rsidRPr="00BE63E3">
        <w:rPr>
          <w:rFonts w:ascii="ITC Avant Garde" w:hAnsi="ITC Avant Garde"/>
          <w:lang w:val="es-MX"/>
        </w:rPr>
        <w:t xml:space="preserve"> (</w:t>
      </w:r>
      <w:r w:rsidRPr="00BE63E3">
        <w:rPr>
          <w:rFonts w:ascii="ITC Avant Garde" w:hAnsi="ITC Avant Garde"/>
          <w:lang w:val="es-MX"/>
        </w:rPr>
        <w:t>es decir, los precios de los servicios regulados deben ser consistentes con los costos incurridos para proporcionar esos servicios</w:t>
      </w:r>
      <w:r w:rsidR="0074343B" w:rsidRPr="00BE63E3">
        <w:rPr>
          <w:rFonts w:ascii="ITC Avant Garde" w:hAnsi="ITC Avant Garde"/>
          <w:lang w:val="es-MX"/>
        </w:rPr>
        <w:t>)</w:t>
      </w:r>
      <w:r w:rsidRPr="00BE63E3">
        <w:rPr>
          <w:rFonts w:ascii="ITC Avant Garde" w:hAnsi="ITC Avant Garde"/>
          <w:lang w:val="es-MX"/>
        </w:rPr>
        <w:t>. Sin embargo, no representa</w:t>
      </w:r>
      <w:r w:rsidR="0074343B" w:rsidRPr="00BE63E3">
        <w:rPr>
          <w:rFonts w:ascii="ITC Avant Garde" w:hAnsi="ITC Avant Garde"/>
          <w:lang w:val="es-MX"/>
        </w:rPr>
        <w:t>r</w:t>
      </w:r>
      <w:r w:rsidR="00F713AD">
        <w:rPr>
          <w:rFonts w:ascii="ITC Avant Garde" w:hAnsi="ITC Avant Garde"/>
          <w:lang w:val="es-MX"/>
        </w:rPr>
        <w:t>í</w:t>
      </w:r>
      <w:r w:rsidR="0074343B" w:rsidRPr="00BE63E3">
        <w:rPr>
          <w:rFonts w:ascii="ITC Avant Garde" w:hAnsi="ITC Avant Garde"/>
          <w:lang w:val="es-MX"/>
        </w:rPr>
        <w:t>a</w:t>
      </w:r>
      <w:r w:rsidRPr="00BE63E3">
        <w:rPr>
          <w:rFonts w:ascii="ITC Avant Garde" w:hAnsi="ITC Avant Garde"/>
          <w:lang w:val="es-MX"/>
        </w:rPr>
        <w:t xml:space="preserve"> necesariamente los costos de un operador hipotéticamente eficiente. Por lo tanto, no env</w:t>
      </w:r>
      <w:r w:rsidR="00F713AD">
        <w:rPr>
          <w:rFonts w:ascii="ITC Avant Garde" w:hAnsi="ITC Avant Garde"/>
          <w:lang w:val="es-MX"/>
        </w:rPr>
        <w:t>i</w:t>
      </w:r>
      <w:r w:rsidRPr="00BE63E3">
        <w:rPr>
          <w:rFonts w:ascii="ITC Avant Garde" w:hAnsi="ITC Avant Garde"/>
          <w:lang w:val="es-MX"/>
        </w:rPr>
        <w:t>a</w:t>
      </w:r>
      <w:r w:rsidR="0074343B" w:rsidRPr="00BE63E3">
        <w:rPr>
          <w:rFonts w:ascii="ITC Avant Garde" w:hAnsi="ITC Avant Garde"/>
          <w:lang w:val="es-MX"/>
        </w:rPr>
        <w:t>r</w:t>
      </w:r>
      <w:r w:rsidR="00F713AD">
        <w:rPr>
          <w:rFonts w:ascii="ITC Avant Garde" w:hAnsi="ITC Avant Garde"/>
          <w:lang w:val="es-MX"/>
        </w:rPr>
        <w:t>í</w:t>
      </w:r>
      <w:r w:rsidR="0074343B" w:rsidRPr="00BE63E3">
        <w:rPr>
          <w:rFonts w:ascii="ITC Avant Garde" w:hAnsi="ITC Avant Garde"/>
          <w:lang w:val="es-MX"/>
        </w:rPr>
        <w:t>a</w:t>
      </w:r>
      <w:r w:rsidRPr="00BE63E3">
        <w:rPr>
          <w:rFonts w:ascii="ITC Avant Garde" w:hAnsi="ITC Avant Garde"/>
          <w:lang w:val="es-MX"/>
        </w:rPr>
        <w:t xml:space="preserve"> </w:t>
      </w:r>
      <w:r w:rsidR="0074343B" w:rsidRPr="00BE63E3">
        <w:rPr>
          <w:rFonts w:ascii="ITC Avant Garde" w:hAnsi="ITC Avant Garde"/>
          <w:lang w:val="es-MX"/>
        </w:rPr>
        <w:t>una</w:t>
      </w:r>
      <w:r w:rsidRPr="00BE63E3">
        <w:rPr>
          <w:rFonts w:ascii="ITC Avant Garde" w:hAnsi="ITC Avant Garde"/>
          <w:lang w:val="es-MX"/>
        </w:rPr>
        <w:t xml:space="preserve"> señal de precio adecuada al </w:t>
      </w:r>
      <w:r w:rsidR="0074343B" w:rsidRPr="00BE63E3">
        <w:rPr>
          <w:rFonts w:ascii="ITC Avant Garde" w:hAnsi="ITC Avant Garde"/>
          <w:lang w:val="es-MX"/>
        </w:rPr>
        <w:t>AEP</w:t>
      </w:r>
      <w:r w:rsidRPr="00BE63E3">
        <w:rPr>
          <w:rFonts w:ascii="ITC Avant Garde" w:hAnsi="ITC Avant Garde"/>
          <w:lang w:val="es-MX"/>
        </w:rPr>
        <w:t xml:space="preserve"> ni a los buscadores de acceso.</w:t>
      </w:r>
    </w:p>
    <w:p w:rsidR="00DE7A5B" w:rsidRPr="00BE63E3" w:rsidRDefault="00DE7A5B" w:rsidP="00DE7A5B">
      <w:pPr>
        <w:rPr>
          <w:rFonts w:ascii="ITC Avant Garde" w:hAnsi="ITC Avant Garde"/>
          <w:lang w:val="es-MX"/>
        </w:rPr>
      </w:pPr>
      <w:r w:rsidRPr="00BE63E3">
        <w:rPr>
          <w:rFonts w:ascii="ITC Avant Garde" w:hAnsi="ITC Avant Garde"/>
          <w:lang w:val="es-MX"/>
        </w:rPr>
        <w:t xml:space="preserve">Según el segundo enfoque, </w:t>
      </w:r>
      <w:r w:rsidR="00CA2AC5" w:rsidRPr="00BE63E3">
        <w:rPr>
          <w:rFonts w:ascii="ITC Avant Garde" w:hAnsi="ITC Avant Garde"/>
          <w:lang w:val="es-MX"/>
        </w:rPr>
        <w:t>la idea es modelar el costo real de un operador genérico, donde se promedian las peculiaridades de los operadores específicos</w:t>
      </w:r>
      <w:r w:rsidR="006D7F56" w:rsidRPr="00BE63E3">
        <w:rPr>
          <w:rFonts w:ascii="ITC Avant Garde" w:hAnsi="ITC Avant Garde"/>
          <w:lang w:val="es-MX"/>
        </w:rPr>
        <w:t>.</w:t>
      </w:r>
      <w:r w:rsidR="00CA2AC5" w:rsidRPr="00BE63E3">
        <w:rPr>
          <w:rFonts w:ascii="ITC Avant Garde" w:hAnsi="ITC Avant Garde"/>
          <w:lang w:val="es-MX"/>
        </w:rPr>
        <w:t xml:space="preserve"> </w:t>
      </w:r>
      <w:r w:rsidR="006D7F56" w:rsidRPr="00BE63E3">
        <w:rPr>
          <w:rFonts w:ascii="ITC Avant Garde" w:hAnsi="ITC Avant Garde"/>
          <w:lang w:val="es-MX"/>
        </w:rPr>
        <w:t>L</w:t>
      </w:r>
      <w:r w:rsidRPr="00BE63E3">
        <w:rPr>
          <w:rFonts w:ascii="ITC Avant Garde" w:hAnsi="ITC Avant Garde"/>
          <w:lang w:val="es-MX"/>
        </w:rPr>
        <w:t xml:space="preserve">os costos que se modelan </w:t>
      </w:r>
      <w:r w:rsidR="006D7F56" w:rsidRPr="00BE63E3">
        <w:rPr>
          <w:rFonts w:ascii="ITC Avant Garde" w:hAnsi="ITC Avant Garde"/>
          <w:lang w:val="es-MX"/>
        </w:rPr>
        <w:t>as</w:t>
      </w:r>
      <w:r w:rsidR="003913FE">
        <w:rPr>
          <w:rFonts w:ascii="ITC Avant Garde" w:hAnsi="ITC Avant Garde"/>
          <w:lang w:val="es-MX"/>
        </w:rPr>
        <w:t>í</w:t>
      </w:r>
      <w:r w:rsidR="006D7F56" w:rsidRPr="00BE63E3">
        <w:rPr>
          <w:rFonts w:ascii="ITC Avant Garde" w:hAnsi="ITC Avant Garde"/>
          <w:lang w:val="es-MX"/>
        </w:rPr>
        <w:t xml:space="preserve"> </w:t>
      </w:r>
      <w:r w:rsidRPr="00BE63E3">
        <w:rPr>
          <w:rFonts w:ascii="ITC Avant Garde" w:hAnsi="ITC Avant Garde"/>
          <w:lang w:val="es-MX"/>
        </w:rPr>
        <w:t xml:space="preserve">no están directamente relacionados con los costos de los servicios regulados proporcionados por el </w:t>
      </w:r>
      <w:r w:rsidR="0074343B" w:rsidRPr="00BE63E3">
        <w:rPr>
          <w:rFonts w:ascii="ITC Avant Garde" w:hAnsi="ITC Avant Garde"/>
          <w:lang w:val="es-MX"/>
        </w:rPr>
        <w:t>AEP</w:t>
      </w:r>
      <w:r w:rsidRPr="00BE63E3">
        <w:rPr>
          <w:rFonts w:ascii="ITC Avant Garde" w:hAnsi="ITC Avant Garde"/>
          <w:lang w:val="es-MX"/>
        </w:rPr>
        <w:t xml:space="preserve">, ya que </w:t>
      </w:r>
      <w:r w:rsidR="00AC4C26" w:rsidRPr="00BE63E3">
        <w:rPr>
          <w:rFonts w:ascii="ITC Avant Garde" w:hAnsi="ITC Avant Garde"/>
          <w:lang w:val="es-MX"/>
        </w:rPr>
        <w:t xml:space="preserve">dicho agente </w:t>
      </w:r>
      <w:r w:rsidRPr="00BE63E3">
        <w:rPr>
          <w:rFonts w:ascii="ITC Avant Garde" w:hAnsi="ITC Avant Garde"/>
          <w:lang w:val="es-MX"/>
        </w:rPr>
        <w:t xml:space="preserve">puede tener costos diferentes </w:t>
      </w:r>
      <w:r w:rsidR="0074343B" w:rsidRPr="00BE63E3">
        <w:rPr>
          <w:rFonts w:ascii="ITC Avant Garde" w:hAnsi="ITC Avant Garde"/>
          <w:lang w:val="es-MX"/>
        </w:rPr>
        <w:t>de</w:t>
      </w:r>
      <w:r w:rsidRPr="00BE63E3">
        <w:rPr>
          <w:rFonts w:ascii="ITC Avant Garde" w:hAnsi="ITC Avant Garde"/>
          <w:lang w:val="es-MX"/>
        </w:rPr>
        <w:t xml:space="preserve"> los de otros operadores, ni cumplen </w:t>
      </w:r>
      <w:r w:rsidR="0074343B" w:rsidRPr="00BE63E3">
        <w:rPr>
          <w:rFonts w:ascii="ITC Avant Garde" w:hAnsi="ITC Avant Garde"/>
          <w:lang w:val="es-MX"/>
        </w:rPr>
        <w:t xml:space="preserve">con </w:t>
      </w:r>
      <w:r w:rsidRPr="00BE63E3">
        <w:rPr>
          <w:rFonts w:ascii="ITC Avant Garde" w:hAnsi="ITC Avant Garde"/>
          <w:lang w:val="es-MX"/>
        </w:rPr>
        <w:t xml:space="preserve">el criterio de eficiencia en la metodología </w:t>
      </w:r>
      <w:r w:rsidR="00AC4C26" w:rsidRPr="00BE63E3">
        <w:rPr>
          <w:rFonts w:ascii="ITC Avant Garde" w:hAnsi="ITC Avant Garde"/>
          <w:lang w:val="es-MX"/>
        </w:rPr>
        <w:t>de CIPLP</w:t>
      </w:r>
      <w:r w:rsidRPr="00BE63E3">
        <w:rPr>
          <w:rFonts w:ascii="ITC Avant Garde" w:hAnsi="ITC Avant Garde"/>
          <w:lang w:val="es-MX"/>
        </w:rPr>
        <w:t>.</w:t>
      </w:r>
    </w:p>
    <w:p w:rsidR="00DE7A5B" w:rsidRPr="00BE63E3" w:rsidRDefault="00DE7A5B" w:rsidP="00DE7A5B">
      <w:pPr>
        <w:rPr>
          <w:rFonts w:ascii="ITC Avant Garde" w:hAnsi="ITC Avant Garde"/>
          <w:lang w:val="es-MX"/>
        </w:rPr>
      </w:pPr>
      <w:r w:rsidRPr="00BE63E3">
        <w:rPr>
          <w:rFonts w:ascii="ITC Avant Garde" w:hAnsi="ITC Avant Garde"/>
          <w:lang w:val="es-MX"/>
        </w:rPr>
        <w:t xml:space="preserve">El tercer enfoque permite imitar un mercado competitivo, donde el despliegue de la infraestructura es eficiente y moderno y, por lo tanto, establece un operador hipotéticamente eficiente. De acuerdo con las mejores prácticas internacionales y especialmente con la Comisión Europea, se </w:t>
      </w:r>
      <w:r w:rsidR="006D7F56" w:rsidRPr="00BE63E3">
        <w:rPr>
          <w:rFonts w:ascii="ITC Avant Garde" w:hAnsi="ITC Avant Garde"/>
          <w:lang w:val="es-MX"/>
        </w:rPr>
        <w:t>recom</w:t>
      </w:r>
      <w:r w:rsidR="003913FE">
        <w:rPr>
          <w:rFonts w:ascii="ITC Avant Garde" w:hAnsi="ITC Avant Garde"/>
          <w:lang w:val="es-MX"/>
        </w:rPr>
        <w:t>i</w:t>
      </w:r>
      <w:r w:rsidR="006D7F56" w:rsidRPr="00BE63E3">
        <w:rPr>
          <w:rFonts w:ascii="ITC Avant Garde" w:hAnsi="ITC Avant Garde"/>
          <w:lang w:val="es-MX"/>
        </w:rPr>
        <w:t>enda</w:t>
      </w:r>
      <w:r w:rsidRPr="00BE63E3">
        <w:rPr>
          <w:rFonts w:ascii="ITC Avant Garde" w:hAnsi="ITC Avant Garde"/>
          <w:lang w:val="es-MX"/>
        </w:rPr>
        <w:t xml:space="preserve"> esta opción</w:t>
      </w:r>
      <w:r w:rsidR="006D7F56" w:rsidRPr="00BE63E3">
        <w:rPr>
          <w:rFonts w:ascii="ITC Avant Garde" w:hAnsi="ITC Avant Garde"/>
          <w:lang w:val="es-MX"/>
        </w:rPr>
        <w:t>, dado que</w:t>
      </w:r>
      <w:r w:rsidRPr="00BE63E3">
        <w:rPr>
          <w:rFonts w:ascii="ITC Avant Garde" w:hAnsi="ITC Avant Garde"/>
          <w:lang w:val="es-MX"/>
        </w:rPr>
        <w:t xml:space="preserve"> envía incentivos normativos apropiados tanto al operador SMP como a los solicitantes de acceso, ya que captura el costo de construir una red eficiente moderna sin capturar ninguna ineficiencia histórica potencial.</w:t>
      </w:r>
    </w:p>
    <w:p w:rsidR="00DE7A5B" w:rsidRPr="00BE63E3" w:rsidRDefault="00DE7A5B" w:rsidP="00DE7A5B">
      <w:pPr>
        <w:rPr>
          <w:rFonts w:ascii="ITC Avant Garde" w:hAnsi="ITC Avant Garde"/>
          <w:lang w:val="es-MX"/>
        </w:rPr>
      </w:pPr>
      <w:r w:rsidRPr="00BE63E3">
        <w:rPr>
          <w:rFonts w:ascii="ITC Avant Garde" w:hAnsi="ITC Avant Garde"/>
          <w:lang w:val="es-MX"/>
        </w:rPr>
        <w:t xml:space="preserve">Finalmente, el cuarto enfoque consiste en modelar un operador hipotético eficiente basado en la cobertura, demanda y topología de red del operador histórico. Este enfoque es de alguna manera similar al tercero en términos de eficiencia, pero el modelo se basa principalmente en el funcionamiento del </w:t>
      </w:r>
      <w:r w:rsidR="003C772E" w:rsidRPr="00BE63E3">
        <w:rPr>
          <w:rFonts w:ascii="ITC Avant Garde" w:hAnsi="ITC Avant Garde"/>
          <w:lang w:val="es-MX"/>
        </w:rPr>
        <w:t xml:space="preserve">operador </w:t>
      </w:r>
      <w:r w:rsidRPr="00BE63E3">
        <w:rPr>
          <w:rFonts w:ascii="ITC Avant Garde" w:hAnsi="ITC Avant Garde"/>
          <w:lang w:val="es-MX"/>
        </w:rPr>
        <w:t>SMP.</w:t>
      </w:r>
    </w:p>
    <w:p w:rsidR="00DE7A5B" w:rsidRPr="00BE63E3" w:rsidRDefault="00DE7A5B" w:rsidP="00DE7A5B">
      <w:pPr>
        <w:rPr>
          <w:rFonts w:ascii="ITC Avant Garde" w:hAnsi="ITC Avant Garde"/>
          <w:lang w:val="es-MX"/>
        </w:rPr>
      </w:pPr>
      <w:r w:rsidRPr="00BE63E3">
        <w:rPr>
          <w:rFonts w:ascii="ITC Avant Garde" w:hAnsi="ITC Avant Garde"/>
          <w:lang w:val="es-MX"/>
        </w:rPr>
        <w:t>Los enfoques tercero y cuarto están en línea con las mejores prácticas, especialmente la recomendación de la Comisión Europea sobre los enfoques de modelado de costos para la regulación de los servicios de acceso:</w:t>
      </w:r>
      <w:r w:rsidR="006D7F56" w:rsidRPr="00BE63E3">
        <w:rPr>
          <w:rStyle w:val="Refdenotaalpie"/>
          <w:rFonts w:ascii="ITC Avant Garde" w:hAnsi="ITC Avant Garde"/>
          <w:lang w:val="es-MX"/>
        </w:rPr>
        <w:footnoteReference w:id="11"/>
      </w:r>
    </w:p>
    <w:p w:rsidR="00DE7A5B" w:rsidRPr="00BE63E3" w:rsidRDefault="00DE7A5B" w:rsidP="006D7F56">
      <w:pPr>
        <w:ind w:left="567" w:right="565"/>
        <w:rPr>
          <w:rFonts w:ascii="ITC Avant Garde" w:hAnsi="ITC Avant Garde"/>
          <w:i/>
          <w:lang w:val="es-MX"/>
        </w:rPr>
      </w:pPr>
      <w:r w:rsidRPr="00BE63E3">
        <w:rPr>
          <w:rFonts w:ascii="ITC Avant Garde" w:hAnsi="ITC Avant Garde"/>
          <w:i/>
          <w:lang w:val="es-MX"/>
        </w:rPr>
        <w:t>"Las ANR deben adoptar una metodología de cálculo de costos BULRIC + que calcule el costo actual en que incurriría un operador hipotético eficiente para construir una red eficiente moderna, que es una red NGA. "</w:t>
      </w:r>
    </w:p>
    <w:p w:rsidR="00DE7A5B" w:rsidRPr="00BE63E3" w:rsidRDefault="00DE7A5B" w:rsidP="00DE7A5B">
      <w:pPr>
        <w:rPr>
          <w:rFonts w:ascii="ITC Avant Garde" w:hAnsi="ITC Avant Garde"/>
          <w:lang w:val="es-MX"/>
        </w:rPr>
      </w:pPr>
      <w:r w:rsidRPr="00BE63E3">
        <w:rPr>
          <w:rFonts w:ascii="ITC Avant Garde" w:hAnsi="ITC Avant Garde"/>
          <w:lang w:val="es-MX"/>
        </w:rPr>
        <w:t xml:space="preserve">Los dos primeros enfoques, </w:t>
      </w:r>
      <w:r w:rsidR="006D7F56" w:rsidRPr="00BE63E3">
        <w:rPr>
          <w:rFonts w:ascii="ITC Avant Garde" w:hAnsi="ITC Avant Garde"/>
          <w:lang w:val="es-MX"/>
        </w:rPr>
        <w:t>a</w:t>
      </w:r>
      <w:r w:rsidRPr="00BE63E3">
        <w:rPr>
          <w:rFonts w:ascii="ITC Avant Garde" w:hAnsi="ITC Avant Garde"/>
          <w:lang w:val="es-MX"/>
        </w:rPr>
        <w:t>l contrario, no están respaldados por la recomendación de la C</w:t>
      </w:r>
      <w:r w:rsidR="00894050" w:rsidRPr="00BE63E3">
        <w:rPr>
          <w:rFonts w:ascii="ITC Avant Garde" w:hAnsi="ITC Avant Garde"/>
          <w:lang w:val="es-MX"/>
        </w:rPr>
        <w:t xml:space="preserve">omisión </w:t>
      </w:r>
      <w:r w:rsidRPr="00BE63E3">
        <w:rPr>
          <w:rFonts w:ascii="ITC Avant Garde" w:hAnsi="ITC Avant Garde"/>
          <w:lang w:val="es-MX"/>
        </w:rPr>
        <w:t>E</w:t>
      </w:r>
      <w:r w:rsidR="00894050" w:rsidRPr="00BE63E3">
        <w:rPr>
          <w:rFonts w:ascii="ITC Avant Garde" w:hAnsi="ITC Avant Garde"/>
          <w:lang w:val="es-MX"/>
        </w:rPr>
        <w:t>uropea</w:t>
      </w:r>
      <w:r w:rsidRPr="00BE63E3">
        <w:rPr>
          <w:rFonts w:ascii="ITC Avant Garde" w:hAnsi="ITC Avant Garde"/>
          <w:lang w:val="es-MX"/>
        </w:rPr>
        <w:t xml:space="preserve">. En particular, el uso de costos históricos del operador SMP como </w:t>
      </w:r>
      <w:r w:rsidRPr="00BE63E3">
        <w:rPr>
          <w:rFonts w:ascii="ITC Avant Garde" w:hAnsi="ITC Avant Garde"/>
          <w:lang w:val="es-MX"/>
        </w:rPr>
        <w:lastRenderedPageBreak/>
        <w:t xml:space="preserve">punto de partida de la modelización no puede constituir una base adecuada para el cálculo del costo, ya que pueden no ser representativos de los costos de un operador hipotéticamente eficiente (estos pueden no estar basados </w:t>
      </w:r>
      <w:r w:rsidRPr="00872052">
        <w:rPr>
          <w:rFonts w:cs="Arial"/>
          <w:lang w:val="es-MX"/>
        </w:rPr>
        <w:t>​​</w:t>
      </w:r>
      <w:r w:rsidRPr="00BE63E3">
        <w:rPr>
          <w:rFonts w:ascii="ITC Avant Garde" w:hAnsi="ITC Avant Garde"/>
          <w:lang w:val="es-MX"/>
        </w:rPr>
        <w:t>en las tecnolog</w:t>
      </w:r>
      <w:r w:rsidRPr="00BE63E3">
        <w:rPr>
          <w:rFonts w:ascii="ITC Avant Garde" w:hAnsi="ITC Avant Garde" w:cs="ITC Avant Garde"/>
          <w:lang w:val="es-MX"/>
        </w:rPr>
        <w:t>í</w:t>
      </w:r>
      <w:r w:rsidRPr="00BE63E3">
        <w:rPr>
          <w:rFonts w:ascii="ITC Avant Garde" w:hAnsi="ITC Avant Garde"/>
          <w:lang w:val="es-MX"/>
        </w:rPr>
        <w:t>as modernas</w:t>
      </w:r>
      <w:r w:rsidR="006D7F56" w:rsidRPr="00BE63E3">
        <w:rPr>
          <w:rFonts w:ascii="ITC Avant Garde" w:hAnsi="ITC Avant Garde"/>
          <w:lang w:val="es-MX"/>
        </w:rPr>
        <w:t xml:space="preserve"> disponibles</w:t>
      </w:r>
      <w:r w:rsidRPr="00BE63E3">
        <w:rPr>
          <w:rFonts w:ascii="ITC Avant Garde" w:hAnsi="ITC Avant Garde"/>
          <w:lang w:val="es-MX"/>
        </w:rPr>
        <w:t>, pueden incluir ineficiencias debido a inversiones históricas que resultan en un legado, pueden haberse construido en un momento en que los precios eran más altos o más bajos, y pueden incluir una cantidad de activos totalmente depreciados).</w:t>
      </w:r>
    </w:p>
    <w:p w:rsidR="00DE7A5B" w:rsidRPr="00BE63E3" w:rsidRDefault="00DE7A5B" w:rsidP="00DE7A5B">
      <w:pPr>
        <w:rPr>
          <w:rFonts w:ascii="ITC Avant Garde" w:hAnsi="ITC Avant Garde"/>
          <w:lang w:val="es-MX"/>
        </w:rPr>
      </w:pPr>
      <w:r w:rsidRPr="00BE63E3">
        <w:rPr>
          <w:rFonts w:ascii="ITC Avant Garde" w:hAnsi="ITC Avant Garde"/>
          <w:lang w:val="es-MX"/>
        </w:rPr>
        <w:t xml:space="preserve">El cuarto enfoque también está en línea con los modelos </w:t>
      </w:r>
      <w:r w:rsidR="009136FB" w:rsidRPr="00BE63E3">
        <w:rPr>
          <w:rFonts w:ascii="ITC Avant Garde" w:hAnsi="ITC Avant Garde"/>
          <w:lang w:val="es-MX"/>
        </w:rPr>
        <w:t xml:space="preserve">de </w:t>
      </w:r>
      <w:r w:rsidRPr="00BE63E3">
        <w:rPr>
          <w:rFonts w:ascii="ITC Avant Garde" w:hAnsi="ITC Avant Garde"/>
          <w:lang w:val="es-MX"/>
        </w:rPr>
        <w:t xml:space="preserve">fibra y </w:t>
      </w:r>
      <w:r w:rsidR="009136FB" w:rsidRPr="00BE63E3">
        <w:rPr>
          <w:rFonts w:ascii="ITC Avant Garde" w:hAnsi="ITC Avant Garde"/>
          <w:lang w:val="es-MX"/>
        </w:rPr>
        <w:t xml:space="preserve">de </w:t>
      </w:r>
      <w:r w:rsidRPr="00BE63E3">
        <w:rPr>
          <w:rFonts w:ascii="ITC Avant Garde" w:hAnsi="ITC Avant Garde"/>
          <w:lang w:val="es-MX"/>
        </w:rPr>
        <w:t>cobre, tal como se detalla en los documentos metodológicos y conceptuales.</w:t>
      </w:r>
    </w:p>
    <w:p w:rsidR="00DE7A5B" w:rsidRPr="00BE63E3" w:rsidRDefault="00DE7A5B" w:rsidP="00DE7A5B">
      <w:pPr>
        <w:rPr>
          <w:rFonts w:ascii="ITC Avant Garde" w:hAnsi="ITC Avant Garde"/>
          <w:lang w:val="es-MX"/>
        </w:rPr>
      </w:pPr>
      <w:r w:rsidRPr="00BE63E3">
        <w:rPr>
          <w:rFonts w:ascii="ITC Avant Garde" w:hAnsi="ITC Avant Garde"/>
          <w:lang w:val="es-MX"/>
        </w:rPr>
        <w:t>Con respecto al modelo de cobre, se basó en un operador eficiente que construye una topología eficiente ya que refleja de manera más realista la decisión de hacer o comprar</w:t>
      </w:r>
      <w:r w:rsidR="006D7F56" w:rsidRPr="00BE63E3">
        <w:rPr>
          <w:rFonts w:ascii="ITC Avant Garde" w:hAnsi="ITC Avant Garde"/>
          <w:lang w:val="es-MX"/>
        </w:rPr>
        <w:t xml:space="preserve"> (señal </w:t>
      </w:r>
      <w:r w:rsidR="001E08E5">
        <w:rPr>
          <w:rFonts w:ascii="ITC Avant Garde" w:hAnsi="ITC Avant Garde"/>
          <w:lang w:val="es-MX"/>
        </w:rPr>
        <w:t>“</w:t>
      </w:r>
      <w:proofErr w:type="spellStart"/>
      <w:r w:rsidR="006D7F56" w:rsidRPr="00BE63E3">
        <w:rPr>
          <w:rFonts w:ascii="ITC Avant Garde" w:hAnsi="ITC Avant Garde"/>
          <w:i/>
          <w:lang w:val="es-MX"/>
        </w:rPr>
        <w:t>make</w:t>
      </w:r>
      <w:proofErr w:type="spellEnd"/>
      <w:r w:rsidR="006D7F56" w:rsidRPr="00BE63E3">
        <w:rPr>
          <w:rFonts w:ascii="ITC Avant Garde" w:hAnsi="ITC Avant Garde"/>
          <w:i/>
          <w:lang w:val="es-MX"/>
        </w:rPr>
        <w:t xml:space="preserve"> </w:t>
      </w:r>
      <w:proofErr w:type="spellStart"/>
      <w:r w:rsidR="006D7F56" w:rsidRPr="00BE63E3">
        <w:rPr>
          <w:rFonts w:ascii="ITC Avant Garde" w:hAnsi="ITC Avant Garde"/>
          <w:i/>
          <w:lang w:val="es-MX"/>
        </w:rPr>
        <w:t>or</w:t>
      </w:r>
      <w:proofErr w:type="spellEnd"/>
      <w:r w:rsidR="006D7F56" w:rsidRPr="00BE63E3">
        <w:rPr>
          <w:rFonts w:ascii="ITC Avant Garde" w:hAnsi="ITC Avant Garde"/>
          <w:i/>
          <w:lang w:val="es-MX"/>
        </w:rPr>
        <w:t xml:space="preserve"> </w:t>
      </w:r>
      <w:proofErr w:type="spellStart"/>
      <w:r w:rsidR="006D7F56" w:rsidRPr="00BE63E3">
        <w:rPr>
          <w:rFonts w:ascii="ITC Avant Garde" w:hAnsi="ITC Avant Garde"/>
          <w:i/>
          <w:lang w:val="es-MX"/>
        </w:rPr>
        <w:t>buy</w:t>
      </w:r>
      <w:proofErr w:type="spellEnd"/>
      <w:r w:rsidR="001E08E5">
        <w:rPr>
          <w:rFonts w:ascii="ITC Avant Garde" w:hAnsi="ITC Avant Garde"/>
          <w:i/>
          <w:lang w:val="es-MX"/>
        </w:rPr>
        <w:t>”</w:t>
      </w:r>
      <w:r w:rsidR="006D7F56" w:rsidRPr="00BE63E3">
        <w:rPr>
          <w:rFonts w:ascii="ITC Avant Garde" w:hAnsi="ITC Avant Garde"/>
          <w:lang w:val="es-MX"/>
        </w:rPr>
        <w:t>)</w:t>
      </w:r>
      <w:r w:rsidRPr="00BE63E3">
        <w:rPr>
          <w:rFonts w:ascii="ITC Avant Garde" w:hAnsi="ITC Avant Garde"/>
          <w:lang w:val="es-MX"/>
        </w:rPr>
        <w:t xml:space="preserve"> del </w:t>
      </w:r>
      <w:r w:rsidR="00A774A1">
        <w:rPr>
          <w:rFonts w:ascii="ITC Avant Garde" w:hAnsi="ITC Avant Garde"/>
          <w:lang w:val="es-MX"/>
        </w:rPr>
        <w:t>operador que solicita el</w:t>
      </w:r>
      <w:r w:rsidRPr="00BE63E3">
        <w:rPr>
          <w:rFonts w:ascii="ITC Avant Garde" w:hAnsi="ITC Avant Garde"/>
          <w:lang w:val="es-MX"/>
        </w:rPr>
        <w:t xml:space="preserve"> acceso</w:t>
      </w:r>
      <w:r w:rsidR="006D7F56" w:rsidRPr="00BE63E3">
        <w:rPr>
          <w:rFonts w:ascii="ITC Avant Garde" w:hAnsi="ITC Avant Garde"/>
          <w:lang w:val="es-MX"/>
        </w:rPr>
        <w:t>:</w:t>
      </w:r>
      <w:r w:rsidR="006D7F56" w:rsidRPr="00BE63E3">
        <w:rPr>
          <w:rStyle w:val="Refdenotaalpie"/>
          <w:rFonts w:ascii="ITC Avant Garde" w:hAnsi="ITC Avant Garde"/>
          <w:lang w:val="es-MX"/>
        </w:rPr>
        <w:footnoteReference w:id="12"/>
      </w:r>
    </w:p>
    <w:p w:rsidR="00DE7A5B" w:rsidRPr="00BE63E3" w:rsidRDefault="00DE7A5B" w:rsidP="006D7F56">
      <w:pPr>
        <w:ind w:left="567" w:right="565"/>
        <w:rPr>
          <w:rFonts w:ascii="ITC Avant Garde" w:hAnsi="ITC Avant Garde"/>
          <w:i/>
          <w:lang w:val="es-MX"/>
        </w:rPr>
      </w:pPr>
      <w:r w:rsidRPr="00BE63E3">
        <w:rPr>
          <w:rFonts w:ascii="ITC Avant Garde" w:hAnsi="ITC Avant Garde"/>
          <w:i/>
          <w:lang w:val="es-MX"/>
        </w:rPr>
        <w:t>«Topología de red modelada en la red de acceso: Eficiente.</w:t>
      </w:r>
    </w:p>
    <w:p w:rsidR="00DE7A5B" w:rsidRPr="00BE63E3" w:rsidRDefault="00DE7A5B" w:rsidP="006D7F56">
      <w:pPr>
        <w:ind w:left="567" w:right="565"/>
        <w:rPr>
          <w:rFonts w:ascii="ITC Avant Garde" w:hAnsi="ITC Avant Garde"/>
          <w:i/>
          <w:lang w:val="es-MX"/>
        </w:rPr>
      </w:pPr>
      <w:r w:rsidRPr="00BE63E3">
        <w:rPr>
          <w:rFonts w:ascii="ITC Avant Garde" w:hAnsi="ITC Avant Garde"/>
          <w:i/>
          <w:lang w:val="es-MX"/>
        </w:rPr>
        <w:t xml:space="preserve"> Refleja de manera más realista la decisión de compra del </w:t>
      </w:r>
      <w:r w:rsidR="003A0FB4" w:rsidRPr="00BE63E3">
        <w:rPr>
          <w:rFonts w:ascii="ITC Avant Garde" w:hAnsi="ITC Avant Garde"/>
          <w:i/>
          <w:lang w:val="es-MX"/>
        </w:rPr>
        <w:t>proveedor»</w:t>
      </w:r>
    </w:p>
    <w:p w:rsidR="00DE7A5B" w:rsidRPr="00BE63E3" w:rsidRDefault="00DE7A5B" w:rsidP="00DE7A5B">
      <w:pPr>
        <w:rPr>
          <w:rFonts w:ascii="ITC Avant Garde" w:hAnsi="ITC Avant Garde"/>
          <w:lang w:val="es-MX"/>
        </w:rPr>
      </w:pPr>
      <w:r w:rsidRPr="00BE63E3">
        <w:rPr>
          <w:rFonts w:ascii="ITC Avant Garde" w:hAnsi="ITC Avant Garde"/>
          <w:lang w:val="es-MX"/>
        </w:rPr>
        <w:t>En el modelo de fibra, el enfoque de modelado se basó en un operador hipotéticamente eficiente basado en el funcionamiento real de</w:t>
      </w:r>
      <w:r w:rsidR="003C772E" w:rsidRPr="00BE63E3">
        <w:rPr>
          <w:rFonts w:ascii="ITC Avant Garde" w:hAnsi="ITC Avant Garde"/>
          <w:lang w:val="es-MX"/>
        </w:rPr>
        <w:t xml:space="preserve"> operador</w:t>
      </w:r>
      <w:r w:rsidRPr="00BE63E3">
        <w:rPr>
          <w:rFonts w:ascii="ITC Avant Garde" w:hAnsi="ITC Avant Garde"/>
          <w:lang w:val="es-MX"/>
        </w:rPr>
        <w:t xml:space="preserve"> SMP</w:t>
      </w:r>
      <w:r w:rsidR="006D7F56" w:rsidRPr="00BE63E3">
        <w:rPr>
          <w:rFonts w:ascii="ITC Avant Garde" w:hAnsi="ITC Avant Garde"/>
          <w:lang w:val="es-MX"/>
        </w:rPr>
        <w:t>:</w:t>
      </w:r>
      <w:r w:rsidR="006D7F56" w:rsidRPr="00BE63E3">
        <w:rPr>
          <w:rStyle w:val="Refdenotaalpie"/>
          <w:rFonts w:ascii="ITC Avant Garde" w:hAnsi="ITC Avant Garde"/>
          <w:lang w:val="es-MX"/>
        </w:rPr>
        <w:footnoteReference w:id="13"/>
      </w:r>
    </w:p>
    <w:p w:rsidR="00DE7A5B" w:rsidRPr="00BE63E3" w:rsidRDefault="00DE7A5B" w:rsidP="006D7F56">
      <w:pPr>
        <w:ind w:left="567" w:right="565"/>
        <w:rPr>
          <w:rFonts w:ascii="ITC Avant Garde" w:hAnsi="ITC Avant Garde"/>
          <w:i/>
          <w:lang w:val="es-MX"/>
        </w:rPr>
      </w:pPr>
      <w:r w:rsidRPr="00BE63E3">
        <w:rPr>
          <w:rFonts w:ascii="ITC Avant Garde" w:hAnsi="ITC Avant Garde"/>
          <w:i/>
          <w:lang w:val="es-MX"/>
        </w:rPr>
        <w:t>«... IFT considera oportuno adoptar el modelado de un operador hipotético eficiente basado en la operación real del AEP».</w:t>
      </w:r>
    </w:p>
    <w:p w:rsidR="00DE7A5B" w:rsidRPr="00BE63E3" w:rsidRDefault="00DE7A5B" w:rsidP="00DE7A5B">
      <w:pPr>
        <w:rPr>
          <w:rFonts w:ascii="ITC Avant Garde" w:hAnsi="ITC Avant Garde"/>
          <w:lang w:val="es-MX"/>
        </w:rPr>
      </w:pPr>
      <w:r w:rsidRPr="00BE63E3">
        <w:rPr>
          <w:rFonts w:ascii="ITC Avant Garde" w:hAnsi="ITC Avant Garde"/>
          <w:lang w:val="es-MX"/>
        </w:rPr>
        <w:t xml:space="preserve">En teoría, </w:t>
      </w:r>
      <w:r w:rsidR="006D7F56" w:rsidRPr="00BE63E3">
        <w:rPr>
          <w:rFonts w:ascii="ITC Avant Garde" w:hAnsi="ITC Avant Garde"/>
          <w:lang w:val="es-MX"/>
        </w:rPr>
        <w:t>el modelo de un</w:t>
      </w:r>
      <w:r w:rsidRPr="00BE63E3">
        <w:rPr>
          <w:rFonts w:ascii="ITC Avant Garde" w:hAnsi="ITC Avant Garde"/>
          <w:lang w:val="es-MX"/>
        </w:rPr>
        <w:t xml:space="preserve"> operador hipotético eficiente basado en el enfoque de</w:t>
      </w:r>
      <w:r w:rsidR="003C772E" w:rsidRPr="00BE63E3">
        <w:rPr>
          <w:rFonts w:ascii="ITC Avant Garde" w:hAnsi="ITC Avant Garde"/>
          <w:lang w:val="es-MX"/>
        </w:rPr>
        <w:t>l AEP</w:t>
      </w:r>
      <w:r w:rsidRPr="00BE63E3" w:rsidDel="003C772E">
        <w:rPr>
          <w:rFonts w:ascii="ITC Avant Garde" w:hAnsi="ITC Avant Garde"/>
          <w:lang w:val="es-MX"/>
        </w:rPr>
        <w:t xml:space="preserve"> </w:t>
      </w:r>
      <w:r w:rsidR="006D7F56" w:rsidRPr="00BE63E3">
        <w:rPr>
          <w:rFonts w:ascii="ITC Avant Garde" w:hAnsi="ITC Avant Garde"/>
          <w:lang w:val="es-MX"/>
        </w:rPr>
        <w:t>refleja</w:t>
      </w:r>
      <w:r w:rsidRPr="00BE63E3">
        <w:rPr>
          <w:rFonts w:ascii="ITC Avant Garde" w:hAnsi="ITC Avant Garde"/>
          <w:lang w:val="es-MX"/>
        </w:rPr>
        <w:t xml:space="preserve"> la red </w:t>
      </w:r>
      <w:r w:rsidR="006D7F56" w:rsidRPr="00BE63E3">
        <w:rPr>
          <w:rFonts w:ascii="ITC Avant Garde" w:hAnsi="ITC Avant Garde"/>
          <w:lang w:val="es-MX"/>
        </w:rPr>
        <w:t>que dicho operador</w:t>
      </w:r>
      <w:r w:rsidRPr="00BE63E3">
        <w:rPr>
          <w:rFonts w:ascii="ITC Avant Garde" w:hAnsi="ITC Avant Garde"/>
          <w:lang w:val="es-MX"/>
        </w:rPr>
        <w:t xml:space="preserve"> desplegaría en México dado que capturaría parte de la demanda pronosticada.</w:t>
      </w:r>
    </w:p>
    <w:p w:rsidR="00DE7A5B" w:rsidRPr="00BE63E3" w:rsidRDefault="00DE7A5B" w:rsidP="00DE7A5B">
      <w:pPr>
        <w:pStyle w:val="Encadr3"/>
        <w:rPr>
          <w:rFonts w:ascii="ITC Avant Garde" w:hAnsi="ITC Avant Garde"/>
          <w:lang w:val="es-MX"/>
        </w:rPr>
      </w:pPr>
      <w:r w:rsidRPr="00BE63E3">
        <w:rPr>
          <w:rFonts w:ascii="ITC Avant Garde" w:hAnsi="ITC Avant Garde"/>
          <w:lang w:val="es-MX"/>
        </w:rPr>
        <w:t xml:space="preserve">Criterio 4: El operador modelado </w:t>
      </w:r>
      <w:r w:rsidR="006D7F56" w:rsidRPr="00BE63E3">
        <w:rPr>
          <w:rFonts w:ascii="ITC Avant Garde" w:hAnsi="ITC Avant Garde"/>
          <w:lang w:val="es-MX"/>
        </w:rPr>
        <w:t>es</w:t>
      </w:r>
      <w:r w:rsidRPr="00BE63E3">
        <w:rPr>
          <w:rFonts w:ascii="ITC Avant Garde" w:hAnsi="ITC Avant Garde"/>
          <w:lang w:val="es-MX"/>
        </w:rPr>
        <w:t xml:space="preserve"> un operador hipotéticamente eficiente basado en el </w:t>
      </w:r>
      <w:r w:rsidR="00A5570A" w:rsidRPr="00BE63E3">
        <w:rPr>
          <w:rFonts w:ascii="ITC Avant Garde" w:hAnsi="ITC Avant Garde"/>
          <w:lang w:val="es-MX"/>
        </w:rPr>
        <w:t>AEP</w:t>
      </w:r>
      <w:r w:rsidR="006D7F56" w:rsidRPr="00BE63E3">
        <w:rPr>
          <w:rFonts w:ascii="ITC Avant Garde" w:hAnsi="ITC Avant Garde"/>
          <w:lang w:val="es-MX"/>
        </w:rPr>
        <w:t>.</w:t>
      </w:r>
    </w:p>
    <w:p w:rsidR="00DE7A5B" w:rsidRPr="00BE63E3" w:rsidRDefault="00DE7A5B" w:rsidP="00DE7A5B">
      <w:pPr>
        <w:pStyle w:val="Ttulo3"/>
        <w:rPr>
          <w:rFonts w:ascii="ITC Avant Garde" w:hAnsi="ITC Avant Garde"/>
          <w:lang w:val="es-MX"/>
        </w:rPr>
      </w:pPr>
      <w:bookmarkStart w:id="79" w:name="_Toc525665262"/>
      <w:bookmarkStart w:id="80" w:name="_Toc525665641"/>
      <w:bookmarkStart w:id="81" w:name="_Toc526854342"/>
      <w:r w:rsidRPr="00BE63E3">
        <w:rPr>
          <w:rFonts w:ascii="ITC Avant Garde" w:hAnsi="ITC Avant Garde"/>
          <w:lang w:val="es-MX"/>
        </w:rPr>
        <w:t>Servicios modelados</w:t>
      </w:r>
      <w:bookmarkEnd w:id="79"/>
      <w:bookmarkEnd w:id="80"/>
      <w:bookmarkEnd w:id="81"/>
    </w:p>
    <w:p w:rsidR="00DE7A5B" w:rsidRPr="00BE63E3" w:rsidRDefault="006D7F56" w:rsidP="00DE7A5B">
      <w:pPr>
        <w:rPr>
          <w:rFonts w:ascii="ITC Avant Garde" w:hAnsi="ITC Avant Garde"/>
          <w:lang w:val="es-MX"/>
        </w:rPr>
      </w:pPr>
      <w:r w:rsidRPr="00BE63E3">
        <w:rPr>
          <w:rFonts w:ascii="ITC Avant Garde" w:hAnsi="ITC Avant Garde"/>
          <w:lang w:val="es-MX"/>
        </w:rPr>
        <w:t>El modelo considera t</w:t>
      </w:r>
      <w:r w:rsidR="00DE7A5B" w:rsidRPr="00BE63E3">
        <w:rPr>
          <w:rFonts w:ascii="ITC Avant Garde" w:hAnsi="ITC Avant Garde"/>
          <w:lang w:val="es-MX"/>
        </w:rPr>
        <w:t xml:space="preserve">odos los servicios que </w:t>
      </w:r>
      <w:r w:rsidRPr="00BE63E3">
        <w:rPr>
          <w:rFonts w:ascii="ITC Avant Garde" w:hAnsi="ITC Avant Garde"/>
          <w:lang w:val="es-MX"/>
        </w:rPr>
        <w:t>usan</w:t>
      </w:r>
      <w:r w:rsidR="00DE7A5B" w:rsidRPr="00BE63E3">
        <w:rPr>
          <w:rFonts w:ascii="ITC Avant Garde" w:hAnsi="ITC Avant Garde"/>
          <w:lang w:val="es-MX"/>
        </w:rPr>
        <w:t xml:space="preserve"> la red</w:t>
      </w:r>
      <w:r w:rsidRPr="00BE63E3">
        <w:rPr>
          <w:rFonts w:ascii="ITC Avant Garde" w:hAnsi="ITC Avant Garde"/>
          <w:lang w:val="es-MX"/>
        </w:rPr>
        <w:t>,</w:t>
      </w:r>
      <w:r w:rsidR="00DE7A5B" w:rsidRPr="00BE63E3">
        <w:rPr>
          <w:rFonts w:ascii="ITC Avant Garde" w:hAnsi="ITC Avant Garde"/>
          <w:lang w:val="es-MX"/>
        </w:rPr>
        <w:t xml:space="preserve"> </w:t>
      </w:r>
      <w:r w:rsidRPr="00BE63E3">
        <w:rPr>
          <w:rFonts w:ascii="ITC Avant Garde" w:hAnsi="ITC Avant Garde"/>
          <w:lang w:val="es-MX"/>
        </w:rPr>
        <w:t>a</w:t>
      </w:r>
      <w:r w:rsidR="00DE7A5B" w:rsidRPr="00BE63E3">
        <w:rPr>
          <w:rFonts w:ascii="ITC Avant Garde" w:hAnsi="ITC Avant Garde"/>
          <w:lang w:val="es-MX"/>
        </w:rPr>
        <w:t xml:space="preserve"> fin de capturar el nivel apropiado de economías de escala y economías de alcance, aunque el modelo solo se utiliza para calcular los costos de un conjunto de servicios regulados</w:t>
      </w:r>
      <w:r w:rsidRPr="00BE63E3">
        <w:rPr>
          <w:rFonts w:ascii="ITC Avant Garde" w:hAnsi="ITC Avant Garde"/>
          <w:lang w:val="es-MX"/>
        </w:rPr>
        <w:t xml:space="preserve"> </w:t>
      </w:r>
      <w:r w:rsidR="009533FA" w:rsidRPr="00872052">
        <w:rPr>
          <w:rFonts w:ascii="ITC Avant Garde" w:hAnsi="ITC Avant Garde"/>
          <w:lang w:val="es-MX"/>
        </w:rPr>
        <w:t>específicos</w:t>
      </w:r>
      <w:r w:rsidR="00DE7A5B" w:rsidRPr="00872052">
        <w:rPr>
          <w:rFonts w:ascii="ITC Avant Garde" w:hAnsi="ITC Avant Garde"/>
          <w:lang w:val="es-MX"/>
        </w:rPr>
        <w:t>.</w:t>
      </w:r>
      <w:r w:rsidR="00DE7A5B" w:rsidRPr="00BE63E3">
        <w:rPr>
          <w:rFonts w:ascii="ITC Avant Garde" w:hAnsi="ITC Avant Garde"/>
          <w:lang w:val="es-MX"/>
        </w:rPr>
        <w:t xml:space="preserve"> Esto es consistente con el enfoque adoptado en los modelos anteriores</w:t>
      </w:r>
      <w:r w:rsidR="007D15BC" w:rsidRPr="00BE63E3">
        <w:rPr>
          <w:rFonts w:ascii="ITC Avant Garde" w:hAnsi="ITC Avant Garde"/>
          <w:lang w:val="es-MX"/>
        </w:rPr>
        <w:t>.</w:t>
      </w:r>
    </w:p>
    <w:p w:rsidR="00DE7A5B" w:rsidRPr="00BE63E3" w:rsidRDefault="00DE7A5B" w:rsidP="007D15BC">
      <w:pPr>
        <w:rPr>
          <w:rFonts w:ascii="ITC Avant Garde" w:hAnsi="ITC Avant Garde"/>
          <w:lang w:val="es-MX"/>
        </w:rPr>
      </w:pPr>
      <w:r w:rsidRPr="00BE63E3">
        <w:rPr>
          <w:rFonts w:ascii="ITC Avant Garde" w:hAnsi="ITC Avant Garde"/>
          <w:lang w:val="es-MX"/>
        </w:rPr>
        <w:t xml:space="preserve">En el modelo de cobre, la mayoría de los servicios que utilizan la infraestructura de red de cobre se han modelado (excepto los relacionados con la colocación). Se dividen en tres categorías de </w:t>
      </w:r>
      <w:r w:rsidR="007D15BC" w:rsidRPr="00BE63E3">
        <w:rPr>
          <w:rFonts w:ascii="ITC Avant Garde" w:hAnsi="ITC Avant Garde"/>
          <w:lang w:val="es-MX"/>
        </w:rPr>
        <w:t xml:space="preserve">servicios: (i) </w:t>
      </w:r>
      <w:r w:rsidRPr="00BE63E3">
        <w:rPr>
          <w:rFonts w:ascii="ITC Avant Garde" w:hAnsi="ITC Avant Garde"/>
          <w:lang w:val="es-MX"/>
        </w:rPr>
        <w:t>acceso a la infraestructura, (ii) líneas arrendadas y (iii) servicios de desagregación</w:t>
      </w:r>
      <w:r w:rsidR="007D15BC" w:rsidRPr="00BE63E3">
        <w:rPr>
          <w:rFonts w:ascii="ITC Avant Garde" w:hAnsi="ITC Avant Garde"/>
          <w:lang w:val="es-MX"/>
        </w:rPr>
        <w:t>.</w:t>
      </w:r>
    </w:p>
    <w:p w:rsidR="007D15BC" w:rsidRPr="00BE63E3" w:rsidRDefault="007D15BC" w:rsidP="007D15BC">
      <w:pPr>
        <w:rPr>
          <w:rFonts w:ascii="ITC Avant Garde" w:hAnsi="ITC Avant Garde"/>
          <w:lang w:val="es-MX"/>
        </w:rPr>
      </w:pPr>
    </w:p>
    <w:p w:rsidR="007D15BC" w:rsidRPr="00BE63E3" w:rsidRDefault="00F90B7A" w:rsidP="007D15BC">
      <w:pPr>
        <w:pStyle w:val="Descripcin"/>
        <w:keepNext/>
        <w:rPr>
          <w:rFonts w:ascii="ITC Avant Garde" w:hAnsi="ITC Avant Garde"/>
          <w:lang w:val="es-MX"/>
        </w:rPr>
      </w:pPr>
      <w:r>
        <w:rPr>
          <w:rFonts w:ascii="ITC Avant Garde" w:hAnsi="ITC Avant Garde"/>
          <w:lang w:val="es-MX"/>
        </w:rPr>
        <w:lastRenderedPageBreak/>
        <w:t>Cuadro 1</w:t>
      </w:r>
      <w:r w:rsidR="007D15BC" w:rsidRPr="00BE63E3">
        <w:rPr>
          <w:rFonts w:ascii="ITC Avant Garde" w:hAnsi="ITC Avant Garde"/>
          <w:lang w:val="es-MX"/>
        </w:rPr>
        <w:t xml:space="preserve"> - Servicios considerados </w:t>
      </w:r>
      <w:r w:rsidR="00457EF8">
        <w:rPr>
          <w:rFonts w:ascii="ITC Avant Garde" w:hAnsi="ITC Avant Garde"/>
          <w:lang w:val="es-MX"/>
        </w:rPr>
        <w:t xml:space="preserve">principalmente </w:t>
      </w:r>
      <w:r w:rsidR="007D15BC" w:rsidRPr="00BE63E3">
        <w:rPr>
          <w:rFonts w:ascii="ITC Avant Garde" w:hAnsi="ITC Avant Garde"/>
          <w:lang w:val="es-MX"/>
        </w:rPr>
        <w:t>en el modelo de cobre</w:t>
      </w:r>
      <w:r w:rsidR="00D547DD" w:rsidRPr="00BE63E3">
        <w:rPr>
          <w:rStyle w:val="Refdenotaalpie"/>
          <w:rFonts w:ascii="ITC Avant Garde" w:hAnsi="ITC Avant Garde"/>
          <w:lang w:val="es-MX"/>
        </w:rPr>
        <w:footnoteReference w:id="14"/>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231"/>
      </w:tblGrid>
      <w:tr w:rsidR="007D15BC" w:rsidRPr="004B276B" w:rsidTr="007D15BC">
        <w:tc>
          <w:tcPr>
            <w:tcW w:w="2263" w:type="dxa"/>
            <w:shd w:val="clear" w:color="auto" w:fill="2F5897" w:themeFill="text2"/>
            <w:vAlign w:val="center"/>
          </w:tcPr>
          <w:p w:rsidR="007D15BC" w:rsidRPr="00BE63E3" w:rsidRDefault="009533FA" w:rsidP="007D15BC">
            <w:pPr>
              <w:keepNext/>
              <w:keepLines/>
              <w:ind w:left="22"/>
              <w:jc w:val="left"/>
              <w:rPr>
                <w:rFonts w:ascii="ITC Avant Garde" w:hAnsi="ITC Avant Garde"/>
                <w:b/>
                <w:color w:val="FFFFFF"/>
                <w:sz w:val="16"/>
                <w:szCs w:val="16"/>
                <w:lang w:val="es-MX"/>
              </w:rPr>
            </w:pPr>
            <w:r w:rsidRPr="00872052">
              <w:rPr>
                <w:rFonts w:ascii="ITC Avant Garde" w:hAnsi="ITC Avant Garde"/>
                <w:b/>
                <w:color w:val="FFFFFF"/>
                <w:sz w:val="16"/>
                <w:szCs w:val="16"/>
                <w:lang w:val="es-MX"/>
              </w:rPr>
              <w:t>Categoría</w:t>
            </w:r>
            <w:r w:rsidR="007D15BC" w:rsidRPr="00BE63E3">
              <w:rPr>
                <w:rFonts w:ascii="ITC Avant Garde" w:hAnsi="ITC Avant Garde"/>
                <w:b/>
                <w:color w:val="FFFFFF"/>
                <w:sz w:val="16"/>
                <w:szCs w:val="16"/>
                <w:lang w:val="es-MX"/>
              </w:rPr>
              <w:t xml:space="preserve"> de servicios</w:t>
            </w:r>
          </w:p>
        </w:tc>
        <w:tc>
          <w:tcPr>
            <w:tcW w:w="6230" w:type="dxa"/>
            <w:shd w:val="clear" w:color="auto" w:fill="2F5897" w:themeFill="text2"/>
            <w:vAlign w:val="center"/>
          </w:tcPr>
          <w:p w:rsidR="007D15BC" w:rsidRPr="00BE63E3" w:rsidRDefault="007D15BC" w:rsidP="007D15BC">
            <w:pPr>
              <w:keepNext/>
              <w:keepLines/>
              <w:jc w:val="left"/>
              <w:rPr>
                <w:rFonts w:ascii="ITC Avant Garde" w:hAnsi="ITC Avant Garde"/>
                <w:b/>
                <w:color w:val="FFFFFF"/>
                <w:sz w:val="16"/>
                <w:szCs w:val="16"/>
                <w:lang w:val="es-MX"/>
              </w:rPr>
            </w:pPr>
            <w:r w:rsidRPr="00BE63E3">
              <w:rPr>
                <w:rFonts w:ascii="ITC Avant Garde" w:hAnsi="ITC Avant Garde"/>
                <w:b/>
                <w:color w:val="FFFFFF"/>
                <w:sz w:val="16"/>
                <w:szCs w:val="16"/>
                <w:lang w:val="es-MX"/>
              </w:rPr>
              <w:t>Servicios</w:t>
            </w:r>
          </w:p>
        </w:tc>
      </w:tr>
      <w:tr w:rsidR="007D15BC" w:rsidRPr="004B276B" w:rsidTr="007D15BC">
        <w:tc>
          <w:tcPr>
            <w:tcW w:w="2263" w:type="dxa"/>
            <w:vMerge w:val="restart"/>
            <w:shd w:val="clear" w:color="auto" w:fill="auto"/>
            <w:vAlign w:val="center"/>
          </w:tcPr>
          <w:p w:rsidR="007D15BC" w:rsidRPr="00BE63E3" w:rsidRDefault="007D15BC" w:rsidP="007D15BC">
            <w:pPr>
              <w:keepNext/>
              <w:keepLines/>
              <w:ind w:left="22"/>
              <w:jc w:val="left"/>
              <w:rPr>
                <w:rFonts w:ascii="ITC Avant Garde" w:hAnsi="ITC Avant Garde"/>
                <w:sz w:val="16"/>
                <w:szCs w:val="16"/>
                <w:lang w:val="es-MX"/>
              </w:rPr>
            </w:pPr>
            <w:r w:rsidRPr="00BE63E3">
              <w:rPr>
                <w:rFonts w:ascii="ITC Avant Garde" w:hAnsi="ITC Avant Garde"/>
                <w:sz w:val="16"/>
                <w:szCs w:val="16"/>
                <w:lang w:val="es-MX"/>
              </w:rPr>
              <w:t>Infraestructura</w:t>
            </w:r>
          </w:p>
        </w:tc>
        <w:tc>
          <w:tcPr>
            <w:tcW w:w="6230" w:type="dxa"/>
            <w:shd w:val="clear" w:color="auto" w:fill="auto"/>
          </w:tcPr>
          <w:p w:rsidR="007D15BC" w:rsidRPr="00BE63E3" w:rsidRDefault="007D15BC" w:rsidP="007D15BC">
            <w:pPr>
              <w:keepNext/>
              <w:keepLines/>
              <w:ind w:left="360" w:hanging="360"/>
              <w:jc w:val="left"/>
              <w:rPr>
                <w:rFonts w:ascii="ITC Avant Garde" w:hAnsi="ITC Avant Garde"/>
                <w:sz w:val="16"/>
                <w:szCs w:val="16"/>
                <w:lang w:val="es-MX"/>
              </w:rPr>
            </w:pPr>
            <w:r w:rsidRPr="00BE63E3">
              <w:rPr>
                <w:rFonts w:ascii="ITC Avant Garde" w:hAnsi="ITC Avant Garde"/>
                <w:sz w:val="16"/>
                <w:szCs w:val="16"/>
                <w:lang w:val="es-MX"/>
              </w:rPr>
              <w:t>Acceso a los ductos;</w:t>
            </w:r>
          </w:p>
        </w:tc>
      </w:tr>
      <w:tr w:rsidR="007D15BC" w:rsidRPr="004B276B" w:rsidTr="007D15BC">
        <w:tc>
          <w:tcPr>
            <w:tcW w:w="2263" w:type="dxa"/>
            <w:vMerge/>
            <w:shd w:val="clear" w:color="auto" w:fill="auto"/>
            <w:vAlign w:val="center"/>
          </w:tcPr>
          <w:p w:rsidR="007D15BC" w:rsidRPr="00BE63E3" w:rsidRDefault="007D15BC" w:rsidP="007D15BC">
            <w:pPr>
              <w:keepNext/>
              <w:keepLines/>
              <w:ind w:left="22"/>
              <w:jc w:val="left"/>
              <w:rPr>
                <w:rFonts w:ascii="ITC Avant Garde" w:hAnsi="ITC Avant Garde"/>
                <w:sz w:val="16"/>
                <w:szCs w:val="16"/>
                <w:lang w:val="es-MX"/>
              </w:rPr>
            </w:pPr>
          </w:p>
        </w:tc>
        <w:tc>
          <w:tcPr>
            <w:tcW w:w="6230" w:type="dxa"/>
            <w:shd w:val="clear" w:color="auto" w:fill="auto"/>
          </w:tcPr>
          <w:p w:rsidR="007D15BC" w:rsidRPr="00BE63E3" w:rsidRDefault="007D15BC" w:rsidP="007D15BC">
            <w:pPr>
              <w:keepNext/>
              <w:keepLines/>
              <w:ind w:left="360" w:hanging="360"/>
              <w:jc w:val="left"/>
              <w:rPr>
                <w:rFonts w:ascii="ITC Avant Garde" w:hAnsi="ITC Avant Garde"/>
                <w:sz w:val="16"/>
                <w:szCs w:val="16"/>
                <w:lang w:val="es-MX"/>
              </w:rPr>
            </w:pPr>
            <w:r w:rsidRPr="00BE63E3">
              <w:rPr>
                <w:rFonts w:ascii="ITC Avant Garde" w:hAnsi="ITC Avant Garde"/>
                <w:sz w:val="16"/>
                <w:szCs w:val="16"/>
                <w:lang w:val="es-MX"/>
              </w:rPr>
              <w:t>Acceso a los pozos;</w:t>
            </w:r>
          </w:p>
        </w:tc>
      </w:tr>
      <w:tr w:rsidR="007D15BC" w:rsidRPr="00A835B5" w:rsidTr="007D15BC">
        <w:tc>
          <w:tcPr>
            <w:tcW w:w="2263" w:type="dxa"/>
            <w:vMerge/>
            <w:shd w:val="clear" w:color="auto" w:fill="auto"/>
            <w:vAlign w:val="center"/>
          </w:tcPr>
          <w:p w:rsidR="007D15BC" w:rsidRPr="00BE63E3" w:rsidRDefault="007D15BC" w:rsidP="007D15BC">
            <w:pPr>
              <w:keepNext/>
              <w:keepLines/>
              <w:ind w:left="22"/>
              <w:jc w:val="left"/>
              <w:rPr>
                <w:rFonts w:ascii="ITC Avant Garde" w:hAnsi="ITC Avant Garde"/>
                <w:sz w:val="16"/>
                <w:szCs w:val="16"/>
                <w:lang w:val="es-MX"/>
              </w:rPr>
            </w:pPr>
          </w:p>
        </w:tc>
        <w:tc>
          <w:tcPr>
            <w:tcW w:w="6230" w:type="dxa"/>
            <w:shd w:val="clear" w:color="auto" w:fill="auto"/>
          </w:tcPr>
          <w:p w:rsidR="007D15BC" w:rsidRPr="00BE63E3" w:rsidRDefault="007D15BC" w:rsidP="007D15BC">
            <w:pPr>
              <w:keepNext/>
              <w:keepLines/>
              <w:ind w:left="360" w:hanging="360"/>
              <w:jc w:val="left"/>
              <w:rPr>
                <w:rFonts w:ascii="ITC Avant Garde" w:hAnsi="ITC Avant Garde"/>
                <w:sz w:val="16"/>
                <w:szCs w:val="16"/>
                <w:lang w:val="es-MX"/>
              </w:rPr>
            </w:pPr>
            <w:r w:rsidRPr="00BE63E3">
              <w:rPr>
                <w:rFonts w:ascii="ITC Avant Garde" w:hAnsi="ITC Avant Garde"/>
                <w:sz w:val="16"/>
                <w:szCs w:val="16"/>
                <w:lang w:val="es-MX"/>
              </w:rPr>
              <w:t>Otros cobros:</w:t>
            </w:r>
          </w:p>
          <w:p w:rsidR="007D15BC" w:rsidRPr="00BE63E3" w:rsidRDefault="007D15BC" w:rsidP="00556A48">
            <w:pPr>
              <w:pStyle w:val="Prrafodelista"/>
              <w:keepNext/>
              <w:keepLines/>
              <w:numPr>
                <w:ilvl w:val="0"/>
                <w:numId w:val="11"/>
              </w:numPr>
              <w:ind w:left="646"/>
              <w:jc w:val="left"/>
              <w:rPr>
                <w:rFonts w:ascii="ITC Avant Garde" w:hAnsi="ITC Avant Garde"/>
                <w:sz w:val="16"/>
                <w:szCs w:val="16"/>
                <w:lang w:val="es-MX"/>
              </w:rPr>
            </w:pPr>
            <w:r w:rsidRPr="00BE63E3">
              <w:rPr>
                <w:rFonts w:ascii="ITC Avant Garde" w:hAnsi="ITC Avant Garde"/>
                <w:sz w:val="16"/>
                <w:szCs w:val="16"/>
                <w:lang w:val="es-MX"/>
              </w:rPr>
              <w:t>Alojamiento de gaza de fibra óptica en el pozo;</w:t>
            </w:r>
          </w:p>
          <w:p w:rsidR="007D15BC" w:rsidRPr="00BE63E3" w:rsidRDefault="007D15BC" w:rsidP="00556A48">
            <w:pPr>
              <w:pStyle w:val="Prrafodelista"/>
              <w:keepNext/>
              <w:keepLines/>
              <w:numPr>
                <w:ilvl w:val="0"/>
                <w:numId w:val="11"/>
              </w:numPr>
              <w:ind w:left="646"/>
              <w:jc w:val="left"/>
              <w:rPr>
                <w:rFonts w:ascii="ITC Avant Garde" w:hAnsi="ITC Avant Garde"/>
                <w:sz w:val="16"/>
                <w:szCs w:val="16"/>
                <w:lang w:val="es-MX"/>
              </w:rPr>
            </w:pPr>
            <w:r w:rsidRPr="00BE63E3">
              <w:rPr>
                <w:rFonts w:ascii="ITC Avant Garde" w:hAnsi="ITC Avant Garde"/>
                <w:sz w:val="16"/>
                <w:szCs w:val="16"/>
                <w:lang w:val="es-MX"/>
              </w:rPr>
              <w:t>Alojamiento de cierre de empalme;</w:t>
            </w:r>
          </w:p>
        </w:tc>
      </w:tr>
      <w:tr w:rsidR="007D15BC" w:rsidRPr="004B276B" w:rsidTr="007D15BC">
        <w:tc>
          <w:tcPr>
            <w:tcW w:w="2263" w:type="dxa"/>
            <w:vMerge/>
            <w:shd w:val="clear" w:color="auto" w:fill="auto"/>
            <w:vAlign w:val="center"/>
          </w:tcPr>
          <w:p w:rsidR="007D15BC" w:rsidRPr="00BE63E3" w:rsidRDefault="007D15BC" w:rsidP="007D15BC">
            <w:pPr>
              <w:keepNext/>
              <w:keepLines/>
              <w:ind w:left="22"/>
              <w:jc w:val="left"/>
              <w:rPr>
                <w:rFonts w:ascii="ITC Avant Garde" w:hAnsi="ITC Avant Garde"/>
                <w:sz w:val="16"/>
                <w:szCs w:val="16"/>
                <w:lang w:val="es-MX"/>
              </w:rPr>
            </w:pPr>
          </w:p>
        </w:tc>
        <w:tc>
          <w:tcPr>
            <w:tcW w:w="6230" w:type="dxa"/>
            <w:shd w:val="clear" w:color="auto" w:fill="auto"/>
          </w:tcPr>
          <w:p w:rsidR="007D15BC" w:rsidRPr="00BE63E3" w:rsidRDefault="007D15BC" w:rsidP="007D15BC">
            <w:pPr>
              <w:keepNext/>
              <w:keepLines/>
              <w:ind w:left="360" w:hanging="360"/>
              <w:jc w:val="left"/>
              <w:rPr>
                <w:rFonts w:ascii="ITC Avant Garde" w:hAnsi="ITC Avant Garde"/>
                <w:sz w:val="16"/>
                <w:szCs w:val="16"/>
                <w:lang w:val="es-MX"/>
              </w:rPr>
            </w:pPr>
            <w:r w:rsidRPr="00BE63E3">
              <w:rPr>
                <w:rFonts w:ascii="ITC Avant Garde" w:hAnsi="ITC Avant Garde"/>
                <w:sz w:val="16"/>
                <w:szCs w:val="16"/>
                <w:lang w:val="es-MX"/>
              </w:rPr>
              <w:t>Uso del poste:</w:t>
            </w:r>
          </w:p>
          <w:p w:rsidR="007D15BC" w:rsidRPr="00BE63E3" w:rsidRDefault="007D15BC" w:rsidP="00556A48">
            <w:pPr>
              <w:pStyle w:val="Prrafodelista"/>
              <w:keepNext/>
              <w:keepLines/>
              <w:numPr>
                <w:ilvl w:val="0"/>
                <w:numId w:val="11"/>
              </w:numPr>
              <w:ind w:left="646"/>
              <w:jc w:val="left"/>
              <w:rPr>
                <w:rFonts w:ascii="ITC Avant Garde" w:hAnsi="ITC Avant Garde"/>
                <w:sz w:val="16"/>
                <w:szCs w:val="16"/>
                <w:lang w:val="es-MX"/>
              </w:rPr>
            </w:pPr>
            <w:r w:rsidRPr="00BE63E3">
              <w:rPr>
                <w:rFonts w:ascii="ITC Avant Garde" w:hAnsi="ITC Avant Garde"/>
                <w:sz w:val="16"/>
                <w:szCs w:val="16"/>
                <w:lang w:val="es-MX"/>
              </w:rPr>
              <w:t>por cable;</w:t>
            </w:r>
          </w:p>
          <w:p w:rsidR="007D15BC" w:rsidRPr="00BE63E3" w:rsidRDefault="007D15BC" w:rsidP="00556A48">
            <w:pPr>
              <w:pStyle w:val="Prrafodelista"/>
              <w:keepNext/>
              <w:keepLines/>
              <w:numPr>
                <w:ilvl w:val="0"/>
                <w:numId w:val="11"/>
              </w:numPr>
              <w:ind w:left="646"/>
              <w:jc w:val="left"/>
              <w:rPr>
                <w:rFonts w:ascii="ITC Avant Garde" w:hAnsi="ITC Avant Garde"/>
                <w:sz w:val="16"/>
                <w:szCs w:val="16"/>
                <w:lang w:val="es-MX"/>
              </w:rPr>
            </w:pPr>
            <w:r w:rsidRPr="00BE63E3">
              <w:rPr>
                <w:rFonts w:ascii="ITC Avant Garde" w:hAnsi="ITC Avant Garde"/>
                <w:sz w:val="16"/>
                <w:szCs w:val="16"/>
                <w:lang w:val="es-MX"/>
              </w:rPr>
              <w:t>peso adicional (Kg);</w:t>
            </w:r>
          </w:p>
        </w:tc>
      </w:tr>
      <w:tr w:rsidR="007D15BC" w:rsidRPr="00A835B5" w:rsidTr="007D15BC">
        <w:tc>
          <w:tcPr>
            <w:tcW w:w="2263" w:type="dxa"/>
            <w:vMerge/>
            <w:shd w:val="clear" w:color="auto" w:fill="auto"/>
            <w:vAlign w:val="center"/>
          </w:tcPr>
          <w:p w:rsidR="007D15BC" w:rsidRPr="00BE63E3" w:rsidRDefault="007D15BC" w:rsidP="007D15BC">
            <w:pPr>
              <w:keepNext/>
              <w:keepLines/>
              <w:ind w:left="22"/>
              <w:jc w:val="left"/>
              <w:rPr>
                <w:rFonts w:ascii="ITC Avant Garde" w:hAnsi="ITC Avant Garde"/>
                <w:sz w:val="16"/>
                <w:szCs w:val="16"/>
                <w:lang w:val="es-MX"/>
              </w:rPr>
            </w:pPr>
          </w:p>
        </w:tc>
        <w:tc>
          <w:tcPr>
            <w:tcW w:w="6230" w:type="dxa"/>
            <w:shd w:val="clear" w:color="auto" w:fill="auto"/>
          </w:tcPr>
          <w:p w:rsidR="007D15BC" w:rsidRPr="00BE63E3" w:rsidRDefault="007D15BC" w:rsidP="007D15BC">
            <w:pPr>
              <w:keepNext/>
              <w:keepLines/>
              <w:ind w:left="360" w:hanging="360"/>
              <w:jc w:val="left"/>
              <w:rPr>
                <w:rFonts w:ascii="ITC Avant Garde" w:hAnsi="ITC Avant Garde"/>
                <w:sz w:val="16"/>
                <w:szCs w:val="16"/>
                <w:lang w:val="es-MX"/>
              </w:rPr>
            </w:pPr>
            <w:r w:rsidRPr="00BE63E3">
              <w:rPr>
                <w:rFonts w:ascii="ITC Avant Garde" w:hAnsi="ITC Avant Garde"/>
                <w:sz w:val="16"/>
                <w:szCs w:val="16"/>
                <w:lang w:val="es-MX"/>
              </w:rPr>
              <w:t>Apoyos de protecciones para subidas o aterramientos;</w:t>
            </w:r>
          </w:p>
        </w:tc>
      </w:tr>
      <w:tr w:rsidR="007D15BC" w:rsidRPr="00A835B5" w:rsidTr="007D15BC">
        <w:tc>
          <w:tcPr>
            <w:tcW w:w="2263" w:type="dxa"/>
            <w:vMerge/>
            <w:shd w:val="clear" w:color="auto" w:fill="auto"/>
            <w:vAlign w:val="center"/>
          </w:tcPr>
          <w:p w:rsidR="007D15BC" w:rsidRPr="00BE63E3" w:rsidRDefault="007D15BC" w:rsidP="007D15BC">
            <w:pPr>
              <w:keepNext/>
              <w:keepLines/>
              <w:ind w:left="22"/>
              <w:jc w:val="left"/>
              <w:rPr>
                <w:rFonts w:ascii="ITC Avant Garde" w:hAnsi="ITC Avant Garde"/>
                <w:sz w:val="16"/>
                <w:szCs w:val="16"/>
                <w:lang w:val="es-MX"/>
              </w:rPr>
            </w:pPr>
          </w:p>
        </w:tc>
        <w:tc>
          <w:tcPr>
            <w:tcW w:w="6230" w:type="dxa"/>
            <w:shd w:val="clear" w:color="auto" w:fill="auto"/>
          </w:tcPr>
          <w:p w:rsidR="007D15BC" w:rsidRPr="00BE63E3" w:rsidRDefault="007D15BC" w:rsidP="007D15BC">
            <w:pPr>
              <w:keepNext/>
              <w:keepLines/>
              <w:ind w:left="360" w:hanging="360"/>
              <w:jc w:val="left"/>
              <w:rPr>
                <w:rFonts w:ascii="ITC Avant Garde" w:hAnsi="ITC Avant Garde"/>
                <w:sz w:val="16"/>
                <w:szCs w:val="16"/>
                <w:lang w:val="es-MX"/>
              </w:rPr>
            </w:pPr>
            <w:r w:rsidRPr="00BE63E3">
              <w:rPr>
                <w:rFonts w:ascii="ITC Avant Garde" w:hAnsi="ITC Avant Garde"/>
                <w:sz w:val="16"/>
                <w:szCs w:val="16"/>
                <w:lang w:val="es-MX"/>
              </w:rPr>
              <w:t>Instalación del cable de tendido (cable de uso y mantenimiento de [tendido de]);</w:t>
            </w:r>
          </w:p>
        </w:tc>
      </w:tr>
      <w:tr w:rsidR="007D15BC" w:rsidRPr="00A835B5" w:rsidTr="007D15BC">
        <w:tc>
          <w:tcPr>
            <w:tcW w:w="2263" w:type="dxa"/>
            <w:vMerge w:val="restart"/>
            <w:shd w:val="clear" w:color="auto" w:fill="auto"/>
            <w:vAlign w:val="center"/>
          </w:tcPr>
          <w:p w:rsidR="007D15BC" w:rsidRPr="00BE63E3" w:rsidRDefault="007D15BC" w:rsidP="007D15BC">
            <w:pPr>
              <w:keepNext/>
              <w:keepLines/>
              <w:ind w:left="22"/>
              <w:jc w:val="left"/>
              <w:rPr>
                <w:rFonts w:ascii="ITC Avant Garde" w:hAnsi="ITC Avant Garde"/>
                <w:sz w:val="16"/>
                <w:szCs w:val="16"/>
              </w:rPr>
            </w:pPr>
            <w:proofErr w:type="spellStart"/>
            <w:r w:rsidRPr="00BE63E3">
              <w:rPr>
                <w:rFonts w:ascii="ITC Avant Garde" w:hAnsi="ITC Avant Garde"/>
                <w:sz w:val="16"/>
                <w:szCs w:val="16"/>
              </w:rPr>
              <w:t>Desagregación</w:t>
            </w:r>
            <w:proofErr w:type="spellEnd"/>
          </w:p>
        </w:tc>
        <w:tc>
          <w:tcPr>
            <w:tcW w:w="6230" w:type="dxa"/>
            <w:shd w:val="clear" w:color="auto" w:fill="auto"/>
          </w:tcPr>
          <w:p w:rsidR="007D15BC" w:rsidRPr="00BE63E3" w:rsidRDefault="00457EF8" w:rsidP="007D15BC">
            <w:pPr>
              <w:keepNext/>
              <w:keepLines/>
              <w:ind w:left="360" w:hanging="360"/>
              <w:jc w:val="left"/>
              <w:rPr>
                <w:rFonts w:ascii="ITC Avant Garde" w:hAnsi="ITC Avant Garde"/>
                <w:sz w:val="16"/>
                <w:szCs w:val="16"/>
                <w:lang w:val="es-MX"/>
              </w:rPr>
            </w:pPr>
            <w:r>
              <w:rPr>
                <w:rFonts w:ascii="ITC Avant Garde" w:hAnsi="ITC Avant Garde"/>
                <w:sz w:val="16"/>
                <w:szCs w:val="16"/>
                <w:lang w:val="es-MX"/>
              </w:rPr>
              <w:t>Servicio de Desagregación Total del Sub-bucle Local (</w:t>
            </w:r>
            <w:r w:rsidR="007D15BC" w:rsidRPr="00BE63E3">
              <w:rPr>
                <w:rFonts w:ascii="ITC Avant Garde" w:hAnsi="ITC Avant Garde"/>
                <w:sz w:val="16"/>
                <w:szCs w:val="16"/>
                <w:lang w:val="es-MX"/>
              </w:rPr>
              <w:t xml:space="preserve">SLU </w:t>
            </w:r>
            <w:r>
              <w:rPr>
                <w:rFonts w:ascii="ITC Avant Garde" w:hAnsi="ITC Avant Garde"/>
                <w:sz w:val="16"/>
                <w:szCs w:val="16"/>
                <w:lang w:val="es-MX"/>
              </w:rPr>
              <w:t>–</w:t>
            </w:r>
            <w:r w:rsidR="007D15BC" w:rsidRPr="00BE63E3">
              <w:rPr>
                <w:rFonts w:ascii="ITC Avant Garde" w:hAnsi="ITC Avant Garde"/>
                <w:sz w:val="16"/>
                <w:szCs w:val="16"/>
                <w:lang w:val="es-MX"/>
              </w:rPr>
              <w:t xml:space="preserve"> Completo</w:t>
            </w:r>
            <w:r>
              <w:rPr>
                <w:rFonts w:ascii="ITC Avant Garde" w:hAnsi="ITC Avant Garde"/>
                <w:sz w:val="16"/>
                <w:szCs w:val="16"/>
                <w:lang w:val="es-MX"/>
              </w:rPr>
              <w:t>)</w:t>
            </w:r>
            <w:r w:rsidR="007D15BC" w:rsidRPr="00BE63E3">
              <w:rPr>
                <w:rFonts w:ascii="ITC Avant Garde" w:hAnsi="ITC Avant Garde"/>
                <w:sz w:val="16"/>
                <w:szCs w:val="16"/>
                <w:lang w:val="es-MX"/>
              </w:rPr>
              <w:t>;</w:t>
            </w:r>
          </w:p>
        </w:tc>
      </w:tr>
      <w:tr w:rsidR="007D15BC" w:rsidRPr="00A835B5" w:rsidTr="007D15BC">
        <w:tc>
          <w:tcPr>
            <w:tcW w:w="2263" w:type="dxa"/>
            <w:vMerge/>
            <w:shd w:val="clear" w:color="auto" w:fill="auto"/>
            <w:vAlign w:val="center"/>
          </w:tcPr>
          <w:p w:rsidR="007D15BC" w:rsidRPr="0029338F" w:rsidRDefault="007D15BC" w:rsidP="007D15BC">
            <w:pPr>
              <w:keepNext/>
              <w:keepLines/>
              <w:ind w:left="22"/>
              <w:jc w:val="left"/>
              <w:rPr>
                <w:rFonts w:ascii="ITC Avant Garde" w:hAnsi="ITC Avant Garde"/>
                <w:sz w:val="16"/>
                <w:szCs w:val="16"/>
                <w:lang w:val="es-MX"/>
              </w:rPr>
            </w:pPr>
          </w:p>
        </w:tc>
        <w:tc>
          <w:tcPr>
            <w:tcW w:w="6230" w:type="dxa"/>
            <w:shd w:val="clear" w:color="auto" w:fill="auto"/>
          </w:tcPr>
          <w:p w:rsidR="007D15BC" w:rsidRPr="00BE63E3" w:rsidRDefault="00457EF8" w:rsidP="007D15BC">
            <w:pPr>
              <w:keepNext/>
              <w:keepLines/>
              <w:ind w:left="360" w:hanging="360"/>
              <w:jc w:val="left"/>
              <w:rPr>
                <w:rFonts w:ascii="ITC Avant Garde" w:hAnsi="ITC Avant Garde"/>
                <w:sz w:val="16"/>
                <w:szCs w:val="16"/>
                <w:lang w:val="es-MX"/>
              </w:rPr>
            </w:pPr>
            <w:r>
              <w:rPr>
                <w:rFonts w:ascii="ITC Avant Garde" w:hAnsi="ITC Avant Garde"/>
                <w:sz w:val="16"/>
                <w:szCs w:val="16"/>
                <w:lang w:val="es-MX"/>
              </w:rPr>
              <w:t>Servicio de Desagregación Compartida del Sub-bucle Local</w:t>
            </w:r>
            <w:r w:rsidRPr="00BE63E3">
              <w:rPr>
                <w:rFonts w:ascii="ITC Avant Garde" w:hAnsi="ITC Avant Garde"/>
                <w:sz w:val="16"/>
                <w:szCs w:val="16"/>
                <w:lang w:val="es-MX"/>
              </w:rPr>
              <w:t xml:space="preserve"> </w:t>
            </w:r>
            <w:r>
              <w:rPr>
                <w:rFonts w:ascii="ITC Avant Garde" w:hAnsi="ITC Avant Garde"/>
                <w:sz w:val="16"/>
                <w:szCs w:val="16"/>
                <w:lang w:val="es-MX"/>
              </w:rPr>
              <w:t>(</w:t>
            </w:r>
            <w:r w:rsidR="007D15BC" w:rsidRPr="00BE63E3">
              <w:rPr>
                <w:rFonts w:ascii="ITC Avant Garde" w:hAnsi="ITC Avant Garde"/>
                <w:sz w:val="16"/>
                <w:szCs w:val="16"/>
                <w:lang w:val="es-MX"/>
              </w:rPr>
              <w:t xml:space="preserve">SLU </w:t>
            </w:r>
            <w:r>
              <w:rPr>
                <w:rFonts w:ascii="ITC Avant Garde" w:hAnsi="ITC Avant Garde"/>
                <w:sz w:val="16"/>
                <w:szCs w:val="16"/>
                <w:lang w:val="es-MX"/>
              </w:rPr>
              <w:t>–</w:t>
            </w:r>
            <w:r w:rsidR="007D15BC" w:rsidRPr="00BE63E3">
              <w:rPr>
                <w:rFonts w:ascii="ITC Avant Garde" w:hAnsi="ITC Avant Garde"/>
                <w:sz w:val="16"/>
                <w:szCs w:val="16"/>
                <w:lang w:val="es-MX"/>
              </w:rPr>
              <w:t xml:space="preserve"> Compartido</w:t>
            </w:r>
            <w:r>
              <w:rPr>
                <w:rFonts w:ascii="ITC Avant Garde" w:hAnsi="ITC Avant Garde"/>
                <w:sz w:val="16"/>
                <w:szCs w:val="16"/>
                <w:lang w:val="es-MX"/>
              </w:rPr>
              <w:t>)</w:t>
            </w:r>
            <w:r w:rsidR="007D15BC" w:rsidRPr="00BE63E3">
              <w:rPr>
                <w:rFonts w:ascii="ITC Avant Garde" w:hAnsi="ITC Avant Garde"/>
                <w:sz w:val="16"/>
                <w:szCs w:val="16"/>
                <w:lang w:val="es-MX"/>
              </w:rPr>
              <w:t>;</w:t>
            </w:r>
          </w:p>
        </w:tc>
      </w:tr>
      <w:tr w:rsidR="007D15BC" w:rsidRPr="00A835B5" w:rsidTr="007D15BC">
        <w:tc>
          <w:tcPr>
            <w:tcW w:w="2263" w:type="dxa"/>
            <w:vMerge/>
            <w:shd w:val="clear" w:color="auto" w:fill="auto"/>
            <w:vAlign w:val="center"/>
          </w:tcPr>
          <w:p w:rsidR="007D15BC" w:rsidRPr="0029338F" w:rsidRDefault="007D15BC" w:rsidP="007D15BC">
            <w:pPr>
              <w:keepNext/>
              <w:keepLines/>
              <w:ind w:left="22"/>
              <w:jc w:val="left"/>
              <w:rPr>
                <w:rFonts w:ascii="ITC Avant Garde" w:hAnsi="ITC Avant Garde"/>
                <w:sz w:val="16"/>
                <w:szCs w:val="16"/>
                <w:lang w:val="es-MX"/>
              </w:rPr>
            </w:pPr>
          </w:p>
        </w:tc>
        <w:tc>
          <w:tcPr>
            <w:tcW w:w="6230" w:type="dxa"/>
            <w:shd w:val="clear" w:color="auto" w:fill="auto"/>
          </w:tcPr>
          <w:p w:rsidR="007D15BC" w:rsidRPr="00BE63E3" w:rsidRDefault="00457EF8" w:rsidP="00FB771A">
            <w:pPr>
              <w:keepNext/>
              <w:keepLines/>
              <w:ind w:left="360" w:hanging="360"/>
              <w:jc w:val="left"/>
              <w:rPr>
                <w:rFonts w:ascii="ITC Avant Garde" w:hAnsi="ITC Avant Garde"/>
                <w:sz w:val="16"/>
                <w:szCs w:val="16"/>
                <w:lang w:val="es-MX"/>
              </w:rPr>
            </w:pPr>
            <w:r>
              <w:rPr>
                <w:rFonts w:ascii="ITC Avant Garde" w:hAnsi="ITC Avant Garde"/>
                <w:sz w:val="16"/>
                <w:szCs w:val="16"/>
                <w:lang w:val="es-MX"/>
              </w:rPr>
              <w:t>Servicio de Desagregación Total del Bucle Local (</w:t>
            </w:r>
            <w:r w:rsidR="007D15BC" w:rsidRPr="00BE63E3">
              <w:rPr>
                <w:rFonts w:ascii="ITC Avant Garde" w:hAnsi="ITC Avant Garde"/>
                <w:sz w:val="16"/>
                <w:szCs w:val="16"/>
                <w:lang w:val="es-MX"/>
              </w:rPr>
              <w:t xml:space="preserve">LLU </w:t>
            </w:r>
            <w:r>
              <w:rPr>
                <w:rFonts w:ascii="ITC Avant Garde" w:hAnsi="ITC Avant Garde"/>
                <w:sz w:val="16"/>
                <w:szCs w:val="16"/>
                <w:lang w:val="es-MX"/>
              </w:rPr>
              <w:t>–</w:t>
            </w:r>
            <w:r w:rsidR="007D15BC" w:rsidRPr="00BE63E3">
              <w:rPr>
                <w:rFonts w:ascii="ITC Avant Garde" w:hAnsi="ITC Avant Garde"/>
                <w:sz w:val="16"/>
                <w:szCs w:val="16"/>
                <w:lang w:val="es-MX"/>
              </w:rPr>
              <w:t xml:space="preserve"> </w:t>
            </w:r>
            <w:r w:rsidR="00FB771A" w:rsidRPr="00BE63E3">
              <w:rPr>
                <w:rFonts w:ascii="ITC Avant Garde" w:hAnsi="ITC Avant Garde"/>
                <w:sz w:val="16"/>
                <w:szCs w:val="16"/>
                <w:lang w:val="es-MX"/>
              </w:rPr>
              <w:t>Completo</w:t>
            </w:r>
            <w:r>
              <w:rPr>
                <w:rFonts w:ascii="ITC Avant Garde" w:hAnsi="ITC Avant Garde"/>
                <w:sz w:val="16"/>
                <w:szCs w:val="16"/>
                <w:lang w:val="es-MX"/>
              </w:rPr>
              <w:t>)</w:t>
            </w:r>
            <w:r w:rsidR="007D15BC" w:rsidRPr="00BE63E3">
              <w:rPr>
                <w:rFonts w:ascii="ITC Avant Garde" w:hAnsi="ITC Avant Garde"/>
                <w:sz w:val="16"/>
                <w:szCs w:val="16"/>
                <w:lang w:val="es-MX"/>
              </w:rPr>
              <w:t>;</w:t>
            </w:r>
          </w:p>
        </w:tc>
      </w:tr>
      <w:tr w:rsidR="007D15BC" w:rsidRPr="00A835B5" w:rsidTr="007D15BC">
        <w:tc>
          <w:tcPr>
            <w:tcW w:w="2263" w:type="dxa"/>
            <w:vMerge/>
            <w:shd w:val="clear" w:color="auto" w:fill="auto"/>
            <w:vAlign w:val="center"/>
          </w:tcPr>
          <w:p w:rsidR="007D15BC" w:rsidRPr="0029338F" w:rsidRDefault="007D15BC" w:rsidP="007D15BC">
            <w:pPr>
              <w:keepNext/>
              <w:keepLines/>
              <w:ind w:left="22"/>
              <w:jc w:val="left"/>
              <w:rPr>
                <w:rFonts w:ascii="ITC Avant Garde" w:hAnsi="ITC Avant Garde"/>
                <w:sz w:val="16"/>
                <w:szCs w:val="16"/>
                <w:lang w:val="es-MX"/>
              </w:rPr>
            </w:pPr>
          </w:p>
        </w:tc>
        <w:tc>
          <w:tcPr>
            <w:tcW w:w="6230" w:type="dxa"/>
            <w:shd w:val="clear" w:color="auto" w:fill="auto"/>
          </w:tcPr>
          <w:p w:rsidR="007D15BC" w:rsidRPr="00BE63E3" w:rsidRDefault="00457EF8" w:rsidP="007D15BC">
            <w:pPr>
              <w:keepNext/>
              <w:keepLines/>
              <w:ind w:left="360" w:hanging="360"/>
              <w:jc w:val="left"/>
              <w:rPr>
                <w:rFonts w:ascii="ITC Avant Garde" w:hAnsi="ITC Avant Garde"/>
                <w:sz w:val="16"/>
                <w:szCs w:val="16"/>
                <w:lang w:val="es-MX"/>
              </w:rPr>
            </w:pPr>
            <w:r>
              <w:rPr>
                <w:rFonts w:ascii="ITC Avant Garde" w:hAnsi="ITC Avant Garde"/>
                <w:sz w:val="16"/>
                <w:szCs w:val="16"/>
                <w:lang w:val="es-MX"/>
              </w:rPr>
              <w:t>Servicio de Desagregación Compartida del Bucle Local (</w:t>
            </w:r>
            <w:r w:rsidR="007D15BC" w:rsidRPr="00BE63E3">
              <w:rPr>
                <w:rFonts w:ascii="ITC Avant Garde" w:hAnsi="ITC Avant Garde"/>
                <w:sz w:val="16"/>
                <w:szCs w:val="16"/>
                <w:lang w:val="es-MX"/>
              </w:rPr>
              <w:t>LLU: compartido</w:t>
            </w:r>
            <w:r>
              <w:rPr>
                <w:rFonts w:ascii="ITC Avant Garde" w:hAnsi="ITC Avant Garde"/>
                <w:sz w:val="16"/>
                <w:szCs w:val="16"/>
                <w:lang w:val="es-MX"/>
              </w:rPr>
              <w:t>)</w:t>
            </w:r>
            <w:r w:rsidR="007D15BC" w:rsidRPr="00BE63E3">
              <w:rPr>
                <w:rFonts w:ascii="ITC Avant Garde" w:hAnsi="ITC Avant Garde"/>
                <w:sz w:val="16"/>
                <w:szCs w:val="16"/>
                <w:lang w:val="es-MX"/>
              </w:rPr>
              <w:t>;</w:t>
            </w:r>
          </w:p>
        </w:tc>
      </w:tr>
    </w:tbl>
    <w:p w:rsidR="007D15BC" w:rsidRPr="00BE63E3" w:rsidRDefault="007D15BC" w:rsidP="007D15BC">
      <w:pPr>
        <w:pStyle w:val="Listaconvietas2"/>
        <w:numPr>
          <w:ilvl w:val="0"/>
          <w:numId w:val="0"/>
        </w:numPr>
        <w:rPr>
          <w:rFonts w:ascii="ITC Avant Garde" w:hAnsi="ITC Avant Garde"/>
          <w:lang w:val="es-MX"/>
        </w:rPr>
      </w:pPr>
    </w:p>
    <w:p w:rsidR="00DE7A5B" w:rsidRPr="00BE63E3" w:rsidRDefault="00DE7A5B" w:rsidP="00DE7A5B">
      <w:pPr>
        <w:rPr>
          <w:rFonts w:ascii="ITC Avant Garde" w:hAnsi="ITC Avant Garde"/>
          <w:lang w:val="es-MX"/>
        </w:rPr>
      </w:pPr>
      <w:r w:rsidRPr="00BE63E3">
        <w:rPr>
          <w:rFonts w:ascii="ITC Avant Garde" w:hAnsi="ITC Avant Garde"/>
          <w:lang w:val="es-MX"/>
        </w:rPr>
        <w:t xml:space="preserve">En el modelo de fibra, se </w:t>
      </w:r>
      <w:r w:rsidR="00457EF8">
        <w:rPr>
          <w:rFonts w:ascii="ITC Avant Garde" w:hAnsi="ITC Avant Garde"/>
          <w:lang w:val="es-MX"/>
        </w:rPr>
        <w:t>consideraron</w:t>
      </w:r>
      <w:r w:rsidR="00B929A7">
        <w:rPr>
          <w:rFonts w:ascii="ITC Avant Garde" w:hAnsi="ITC Avant Garde"/>
          <w:lang w:val="es-MX"/>
        </w:rPr>
        <w:t xml:space="preserve"> 2</w:t>
      </w:r>
      <w:r w:rsidRPr="00BE63E3">
        <w:rPr>
          <w:rFonts w:ascii="ITC Avant Garde" w:hAnsi="ITC Avant Garde"/>
          <w:lang w:val="es-MX"/>
        </w:rPr>
        <w:t xml:space="preserve"> categorías de servicios</w:t>
      </w:r>
      <w:r w:rsidR="007D15BC" w:rsidRPr="00BE63E3">
        <w:rPr>
          <w:rFonts w:ascii="ITC Avant Garde" w:hAnsi="ITC Avant Garde"/>
          <w:lang w:val="es-MX"/>
        </w:rPr>
        <w:t xml:space="preserve">: </w:t>
      </w:r>
      <w:r w:rsidR="00B929A7">
        <w:rPr>
          <w:rFonts w:ascii="ITC Avant Garde" w:hAnsi="ITC Avant Garde"/>
          <w:lang w:val="es-MX"/>
        </w:rPr>
        <w:t xml:space="preserve">(i) </w:t>
      </w:r>
      <w:r w:rsidRPr="00BE63E3">
        <w:rPr>
          <w:rFonts w:ascii="ITC Avant Garde" w:hAnsi="ITC Avant Garde"/>
          <w:lang w:val="es-MX"/>
        </w:rPr>
        <w:t>Desagreg</w:t>
      </w:r>
      <w:r w:rsidR="00B929A7">
        <w:rPr>
          <w:rFonts w:ascii="ITC Avant Garde" w:hAnsi="ITC Avant Garde"/>
          <w:lang w:val="es-MX"/>
        </w:rPr>
        <w:t>ación de fibra punto a punto y (i</w:t>
      </w:r>
      <w:r w:rsidRPr="00BE63E3">
        <w:rPr>
          <w:rFonts w:ascii="ITC Avant Garde" w:hAnsi="ITC Avant Garde"/>
          <w:lang w:val="es-MX"/>
        </w:rPr>
        <w:t>i) Otros servicios (incluidas líneas arrendadas, acceso indirecto y servicios de fibra minorista):</w:t>
      </w:r>
    </w:p>
    <w:p w:rsidR="007D15BC" w:rsidRPr="00BE63E3" w:rsidRDefault="00F90B7A" w:rsidP="007D15BC">
      <w:pPr>
        <w:pStyle w:val="Descripcin"/>
        <w:keepNext/>
        <w:rPr>
          <w:rFonts w:ascii="ITC Avant Garde" w:hAnsi="ITC Avant Garde"/>
          <w:lang w:val="es-MX"/>
        </w:rPr>
      </w:pPr>
      <w:r>
        <w:rPr>
          <w:rFonts w:ascii="ITC Avant Garde" w:hAnsi="ITC Avant Garde"/>
          <w:lang w:val="es-MX"/>
        </w:rPr>
        <w:t>Cuadro 2</w:t>
      </w:r>
      <w:r w:rsidR="007D15BC" w:rsidRPr="00BE63E3">
        <w:rPr>
          <w:rFonts w:ascii="ITC Avant Garde" w:hAnsi="ITC Avant Garde"/>
          <w:lang w:val="es-MX"/>
        </w:rPr>
        <w:t xml:space="preserve"> - Servicios considerados </w:t>
      </w:r>
      <w:r w:rsidR="00457EF8">
        <w:rPr>
          <w:rFonts w:ascii="ITC Avant Garde" w:hAnsi="ITC Avant Garde"/>
          <w:lang w:val="es-MX"/>
        </w:rPr>
        <w:t xml:space="preserve">principalmente </w:t>
      </w:r>
      <w:r w:rsidR="007D15BC" w:rsidRPr="00BE63E3">
        <w:rPr>
          <w:rFonts w:ascii="ITC Avant Garde" w:hAnsi="ITC Avant Garde"/>
          <w:lang w:val="es-MX"/>
        </w:rPr>
        <w:t xml:space="preserve">en el modelo de </w:t>
      </w:r>
      <w:r w:rsidR="00FB771A" w:rsidRPr="00BE63E3">
        <w:rPr>
          <w:rFonts w:ascii="ITC Avant Garde" w:hAnsi="ITC Avant Garde"/>
          <w:lang w:val="es-MX"/>
        </w:rPr>
        <w:t>fibra</w:t>
      </w:r>
      <w:r w:rsidR="00D547DD" w:rsidRPr="00BE63E3">
        <w:rPr>
          <w:rStyle w:val="Refdenotaalpie"/>
          <w:rFonts w:ascii="ITC Avant Garde" w:hAnsi="ITC Avant Garde"/>
          <w:lang w:val="es-MX"/>
        </w:rPr>
        <w:footnoteReference w:id="15"/>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231"/>
      </w:tblGrid>
      <w:tr w:rsidR="007D15BC" w:rsidRPr="004B276B" w:rsidTr="00CB0873">
        <w:tc>
          <w:tcPr>
            <w:tcW w:w="2263" w:type="dxa"/>
            <w:shd w:val="clear" w:color="auto" w:fill="2F5897" w:themeFill="text2"/>
            <w:vAlign w:val="center"/>
          </w:tcPr>
          <w:p w:rsidR="007D15BC" w:rsidRPr="00BE63E3" w:rsidRDefault="007D15BC" w:rsidP="007D15BC">
            <w:pPr>
              <w:keepNext/>
              <w:keepLines/>
              <w:ind w:left="22"/>
              <w:jc w:val="left"/>
              <w:rPr>
                <w:rFonts w:ascii="ITC Avant Garde" w:hAnsi="ITC Avant Garde"/>
                <w:b/>
                <w:color w:val="FFFFFF"/>
                <w:sz w:val="16"/>
                <w:szCs w:val="16"/>
                <w:lang w:val="es-MX"/>
              </w:rPr>
            </w:pPr>
            <w:proofErr w:type="spellStart"/>
            <w:r w:rsidRPr="00BE63E3">
              <w:rPr>
                <w:rFonts w:ascii="ITC Avant Garde" w:hAnsi="ITC Avant Garde"/>
                <w:b/>
                <w:color w:val="FFFFFF"/>
                <w:sz w:val="16"/>
                <w:szCs w:val="16"/>
                <w:lang w:val="es-MX"/>
              </w:rPr>
              <w:t>Categoria</w:t>
            </w:r>
            <w:proofErr w:type="spellEnd"/>
            <w:r w:rsidRPr="00BE63E3">
              <w:rPr>
                <w:rFonts w:ascii="ITC Avant Garde" w:hAnsi="ITC Avant Garde"/>
                <w:b/>
                <w:color w:val="FFFFFF"/>
                <w:sz w:val="16"/>
                <w:szCs w:val="16"/>
                <w:lang w:val="es-MX"/>
              </w:rPr>
              <w:t xml:space="preserve"> de servicios</w:t>
            </w:r>
          </w:p>
        </w:tc>
        <w:tc>
          <w:tcPr>
            <w:tcW w:w="6231" w:type="dxa"/>
            <w:shd w:val="clear" w:color="auto" w:fill="2F5897" w:themeFill="text2"/>
            <w:vAlign w:val="center"/>
          </w:tcPr>
          <w:p w:rsidR="007D15BC" w:rsidRPr="00BE63E3" w:rsidRDefault="007D15BC" w:rsidP="007D15BC">
            <w:pPr>
              <w:keepNext/>
              <w:keepLines/>
              <w:jc w:val="left"/>
              <w:rPr>
                <w:rFonts w:ascii="ITC Avant Garde" w:hAnsi="ITC Avant Garde"/>
                <w:b/>
                <w:color w:val="FFFFFF"/>
                <w:sz w:val="16"/>
                <w:szCs w:val="16"/>
                <w:lang w:val="es-MX"/>
              </w:rPr>
            </w:pPr>
            <w:r w:rsidRPr="00BE63E3">
              <w:rPr>
                <w:rFonts w:ascii="ITC Avant Garde" w:hAnsi="ITC Avant Garde"/>
                <w:b/>
                <w:color w:val="FFFFFF"/>
                <w:sz w:val="16"/>
                <w:szCs w:val="16"/>
                <w:lang w:val="es-MX"/>
              </w:rPr>
              <w:t>Servicios</w:t>
            </w:r>
          </w:p>
        </w:tc>
      </w:tr>
      <w:tr w:rsidR="007D15BC" w:rsidRPr="00A835B5" w:rsidTr="00CB0873">
        <w:tc>
          <w:tcPr>
            <w:tcW w:w="2263" w:type="dxa"/>
            <w:shd w:val="clear" w:color="auto" w:fill="auto"/>
            <w:vAlign w:val="center"/>
          </w:tcPr>
          <w:p w:rsidR="007D15BC" w:rsidRPr="00BE63E3" w:rsidRDefault="00A347F0" w:rsidP="007D15BC">
            <w:pPr>
              <w:keepNext/>
              <w:keepLines/>
              <w:ind w:left="22"/>
              <w:jc w:val="left"/>
              <w:rPr>
                <w:rFonts w:ascii="ITC Avant Garde" w:hAnsi="ITC Avant Garde"/>
                <w:sz w:val="16"/>
                <w:szCs w:val="16"/>
                <w:lang w:val="es-MX"/>
              </w:rPr>
            </w:pPr>
            <w:r w:rsidRPr="00BE63E3">
              <w:rPr>
                <w:rFonts w:ascii="ITC Avant Garde" w:hAnsi="ITC Avant Garde"/>
                <w:sz w:val="16"/>
                <w:szCs w:val="16"/>
                <w:lang w:val="es-MX"/>
              </w:rPr>
              <w:t>Servicio punto a punto</w:t>
            </w:r>
          </w:p>
        </w:tc>
        <w:tc>
          <w:tcPr>
            <w:tcW w:w="6231" w:type="dxa"/>
            <w:shd w:val="clear" w:color="auto" w:fill="auto"/>
          </w:tcPr>
          <w:p w:rsidR="007D15BC" w:rsidRPr="00BE63E3" w:rsidRDefault="00A347F0" w:rsidP="007D15BC">
            <w:pPr>
              <w:keepNext/>
              <w:keepLines/>
              <w:ind w:left="360" w:hanging="360"/>
              <w:jc w:val="left"/>
              <w:rPr>
                <w:rFonts w:ascii="ITC Avant Garde" w:hAnsi="ITC Avant Garde"/>
                <w:sz w:val="16"/>
                <w:szCs w:val="16"/>
                <w:lang w:val="es-MX"/>
              </w:rPr>
            </w:pPr>
            <w:r w:rsidRPr="00BE63E3">
              <w:rPr>
                <w:rFonts w:ascii="ITC Avant Garde" w:hAnsi="ITC Avant Garde"/>
                <w:sz w:val="16"/>
                <w:szCs w:val="16"/>
                <w:lang w:val="es-MX"/>
              </w:rPr>
              <w:t>Servicio de desagregación del bucle punto a punto</w:t>
            </w:r>
          </w:p>
        </w:tc>
      </w:tr>
      <w:tr w:rsidR="00A347F0" w:rsidRPr="00A835B5" w:rsidTr="00CB0873">
        <w:tc>
          <w:tcPr>
            <w:tcW w:w="2263" w:type="dxa"/>
            <w:vMerge w:val="restart"/>
            <w:shd w:val="clear" w:color="auto" w:fill="auto"/>
            <w:vAlign w:val="center"/>
          </w:tcPr>
          <w:p w:rsidR="00A347F0" w:rsidRPr="00BE63E3" w:rsidRDefault="00A347F0" w:rsidP="00A347F0">
            <w:pPr>
              <w:keepNext/>
              <w:keepLines/>
              <w:ind w:left="22"/>
              <w:jc w:val="left"/>
              <w:rPr>
                <w:rFonts w:ascii="ITC Avant Garde" w:hAnsi="ITC Avant Garde"/>
                <w:sz w:val="16"/>
                <w:szCs w:val="16"/>
              </w:rPr>
            </w:pPr>
            <w:proofErr w:type="spellStart"/>
            <w:r w:rsidRPr="00BE63E3">
              <w:rPr>
                <w:rFonts w:ascii="ITC Avant Garde" w:hAnsi="ITC Avant Garde"/>
                <w:sz w:val="16"/>
                <w:szCs w:val="16"/>
              </w:rPr>
              <w:t>Otros</w:t>
            </w:r>
            <w:proofErr w:type="spellEnd"/>
            <w:r w:rsidRPr="00BE63E3">
              <w:rPr>
                <w:rFonts w:ascii="ITC Avant Garde" w:hAnsi="ITC Avant Garde"/>
                <w:sz w:val="16"/>
                <w:szCs w:val="16"/>
              </w:rPr>
              <w:t xml:space="preserve"> </w:t>
            </w:r>
            <w:proofErr w:type="spellStart"/>
            <w:r w:rsidRPr="00BE63E3">
              <w:rPr>
                <w:rFonts w:ascii="ITC Avant Garde" w:hAnsi="ITC Avant Garde"/>
                <w:sz w:val="16"/>
                <w:szCs w:val="16"/>
              </w:rPr>
              <w:t>servicios</w:t>
            </w:r>
            <w:proofErr w:type="spellEnd"/>
            <w:r w:rsidRPr="00BE63E3">
              <w:rPr>
                <w:rFonts w:ascii="ITC Avant Garde" w:hAnsi="ITC Avant Garde"/>
                <w:sz w:val="16"/>
                <w:szCs w:val="16"/>
              </w:rPr>
              <w:t xml:space="preserve"> </w:t>
            </w:r>
            <w:proofErr w:type="spellStart"/>
            <w:r w:rsidRPr="00BE63E3">
              <w:rPr>
                <w:rFonts w:ascii="ITC Avant Garde" w:hAnsi="ITC Avant Garde"/>
                <w:sz w:val="16"/>
                <w:szCs w:val="16"/>
              </w:rPr>
              <w:t>relevantes</w:t>
            </w:r>
            <w:proofErr w:type="spellEnd"/>
          </w:p>
        </w:tc>
        <w:tc>
          <w:tcPr>
            <w:tcW w:w="6231" w:type="dxa"/>
            <w:shd w:val="clear" w:color="auto" w:fill="auto"/>
          </w:tcPr>
          <w:p w:rsidR="00A347F0" w:rsidRPr="00BE63E3" w:rsidRDefault="00A347F0" w:rsidP="00A347F0">
            <w:pPr>
              <w:keepNext/>
              <w:keepLines/>
              <w:ind w:left="360" w:hanging="360"/>
              <w:jc w:val="left"/>
              <w:rPr>
                <w:rFonts w:ascii="ITC Avant Garde" w:hAnsi="ITC Avant Garde"/>
                <w:sz w:val="16"/>
                <w:szCs w:val="16"/>
                <w:lang w:val="es-MX"/>
              </w:rPr>
            </w:pPr>
            <w:r w:rsidRPr="00BE63E3">
              <w:rPr>
                <w:rFonts w:ascii="ITC Avant Garde" w:hAnsi="ITC Avant Garde"/>
                <w:sz w:val="16"/>
                <w:szCs w:val="16"/>
                <w:lang w:val="es-MX"/>
              </w:rPr>
              <w:t>Servicio de acceso a fibra minorista;</w:t>
            </w:r>
          </w:p>
        </w:tc>
      </w:tr>
      <w:tr w:rsidR="00A347F0" w:rsidRPr="00A347F0" w:rsidTr="00CB0873">
        <w:tc>
          <w:tcPr>
            <w:tcW w:w="2263" w:type="dxa"/>
            <w:vMerge/>
            <w:shd w:val="clear" w:color="auto" w:fill="auto"/>
            <w:vAlign w:val="center"/>
          </w:tcPr>
          <w:p w:rsidR="00A347F0" w:rsidRPr="00BE63E3" w:rsidRDefault="00A347F0" w:rsidP="00A347F0">
            <w:pPr>
              <w:keepNext/>
              <w:keepLines/>
              <w:ind w:left="22"/>
              <w:jc w:val="left"/>
              <w:rPr>
                <w:rFonts w:ascii="ITC Avant Garde" w:hAnsi="ITC Avant Garde"/>
                <w:sz w:val="16"/>
                <w:szCs w:val="16"/>
                <w:lang w:val="es-MX"/>
              </w:rPr>
            </w:pPr>
          </w:p>
        </w:tc>
        <w:tc>
          <w:tcPr>
            <w:tcW w:w="6231" w:type="dxa"/>
            <w:shd w:val="clear" w:color="auto" w:fill="auto"/>
          </w:tcPr>
          <w:p w:rsidR="00A347F0" w:rsidRPr="00BE63E3" w:rsidRDefault="00A347F0" w:rsidP="00A347F0">
            <w:pPr>
              <w:keepNext/>
              <w:keepLines/>
              <w:ind w:left="360" w:hanging="360"/>
              <w:jc w:val="left"/>
              <w:rPr>
                <w:rFonts w:ascii="ITC Avant Garde" w:hAnsi="ITC Avant Garde"/>
                <w:sz w:val="16"/>
                <w:szCs w:val="16"/>
                <w:lang w:val="es-MX"/>
              </w:rPr>
            </w:pPr>
            <w:r w:rsidRPr="00BE63E3">
              <w:rPr>
                <w:rFonts w:ascii="ITC Avant Garde" w:hAnsi="ITC Avant Garde"/>
                <w:sz w:val="16"/>
                <w:szCs w:val="16"/>
                <w:lang w:val="es-MX"/>
              </w:rPr>
              <w:t>Servicio de acceso Indirecto;</w:t>
            </w:r>
          </w:p>
        </w:tc>
      </w:tr>
      <w:tr w:rsidR="00A347F0" w:rsidRPr="00A347F0" w:rsidTr="00CB0873">
        <w:tc>
          <w:tcPr>
            <w:tcW w:w="2263" w:type="dxa"/>
            <w:vMerge/>
            <w:shd w:val="clear" w:color="auto" w:fill="auto"/>
            <w:vAlign w:val="center"/>
          </w:tcPr>
          <w:p w:rsidR="00A347F0" w:rsidRPr="00BE63E3" w:rsidRDefault="00A347F0" w:rsidP="00A347F0">
            <w:pPr>
              <w:keepNext/>
              <w:keepLines/>
              <w:ind w:left="22"/>
              <w:jc w:val="left"/>
              <w:rPr>
                <w:rFonts w:ascii="ITC Avant Garde" w:hAnsi="ITC Avant Garde"/>
                <w:sz w:val="16"/>
                <w:szCs w:val="16"/>
                <w:lang w:val="es-MX"/>
              </w:rPr>
            </w:pPr>
          </w:p>
        </w:tc>
        <w:tc>
          <w:tcPr>
            <w:tcW w:w="6231" w:type="dxa"/>
            <w:shd w:val="clear" w:color="auto" w:fill="auto"/>
          </w:tcPr>
          <w:p w:rsidR="00A347F0" w:rsidRPr="00BE63E3" w:rsidRDefault="00A347F0" w:rsidP="00A347F0">
            <w:pPr>
              <w:keepNext/>
              <w:keepLines/>
              <w:ind w:left="360" w:hanging="360"/>
              <w:jc w:val="left"/>
              <w:rPr>
                <w:rFonts w:ascii="ITC Avant Garde" w:hAnsi="ITC Avant Garde"/>
                <w:sz w:val="16"/>
                <w:szCs w:val="16"/>
                <w:lang w:val="es-MX"/>
              </w:rPr>
            </w:pPr>
            <w:r w:rsidRPr="00BE63E3">
              <w:rPr>
                <w:rFonts w:ascii="ITC Avant Garde" w:hAnsi="ITC Avant Garde"/>
                <w:sz w:val="16"/>
                <w:szCs w:val="16"/>
                <w:lang w:val="es-MX"/>
              </w:rPr>
              <w:t>Servicio de enlaces dedicados</w:t>
            </w:r>
          </w:p>
        </w:tc>
      </w:tr>
    </w:tbl>
    <w:p w:rsidR="007D15BC" w:rsidRPr="00BE63E3" w:rsidRDefault="007D15BC" w:rsidP="00DE7A5B">
      <w:pPr>
        <w:rPr>
          <w:rFonts w:ascii="ITC Avant Garde" w:hAnsi="ITC Avant Garde"/>
          <w:lang w:val="es-MX"/>
        </w:rPr>
      </w:pPr>
    </w:p>
    <w:p w:rsidR="00DE7A5B" w:rsidRPr="00BE63E3" w:rsidRDefault="00DE7A5B" w:rsidP="00DE7A5B">
      <w:pPr>
        <w:rPr>
          <w:rFonts w:ascii="ITC Avant Garde" w:hAnsi="ITC Avant Garde"/>
          <w:lang w:val="es-MX"/>
        </w:rPr>
      </w:pPr>
      <w:r w:rsidRPr="00BE63E3">
        <w:rPr>
          <w:rFonts w:ascii="ITC Avant Garde" w:hAnsi="ITC Avant Garde"/>
          <w:lang w:val="es-MX"/>
        </w:rPr>
        <w:lastRenderedPageBreak/>
        <w:t xml:space="preserve">Esta lista debe completarse con otros servicios pasivos de acceso a la infraestructura, como </w:t>
      </w:r>
      <w:r w:rsidR="00FB771A" w:rsidRPr="00BE63E3">
        <w:rPr>
          <w:rFonts w:ascii="ITC Avant Garde" w:hAnsi="ITC Avant Garde"/>
          <w:lang w:val="es-MX"/>
        </w:rPr>
        <w:t xml:space="preserve">fibra obscura, acceso indirecto en </w:t>
      </w:r>
      <w:proofErr w:type="spellStart"/>
      <w:r w:rsidR="00FB771A" w:rsidRPr="00BE63E3">
        <w:rPr>
          <w:rFonts w:ascii="ITC Avant Garde" w:hAnsi="ITC Avant Garde"/>
          <w:lang w:val="es-MX"/>
        </w:rPr>
        <w:t>cobre</w:t>
      </w:r>
      <w:r w:rsidRPr="00BE63E3">
        <w:rPr>
          <w:rFonts w:ascii="ITC Avant Garde" w:hAnsi="ITC Avant Garde"/>
          <w:lang w:val="es-MX"/>
        </w:rPr>
        <w:t>u</w:t>
      </w:r>
      <w:proofErr w:type="spellEnd"/>
      <w:r w:rsidRPr="00BE63E3">
        <w:rPr>
          <w:rFonts w:ascii="ITC Avant Garde" w:hAnsi="ITC Avant Garde"/>
          <w:lang w:val="es-MX"/>
        </w:rPr>
        <w:t xml:space="preserve"> otros servicios auxiliares utilizados para la colocación considerados en las ofertas tarifarias (OREDA</w:t>
      </w:r>
      <w:r w:rsidR="00875932">
        <w:rPr>
          <w:rFonts w:ascii="ITC Avant Garde" w:hAnsi="ITC Avant Garde"/>
          <w:lang w:val="es-MX"/>
        </w:rPr>
        <w:t>/</w:t>
      </w:r>
      <w:r w:rsidRPr="00BE63E3">
        <w:rPr>
          <w:rFonts w:ascii="ITC Avant Garde" w:hAnsi="ITC Avant Garde"/>
          <w:lang w:val="es-MX"/>
        </w:rPr>
        <w:t>ORCI), tales como:</w:t>
      </w:r>
    </w:p>
    <w:p w:rsidR="003008BC" w:rsidRPr="00BE63E3" w:rsidRDefault="003008BC" w:rsidP="00DE7A5B">
      <w:pPr>
        <w:rPr>
          <w:rFonts w:ascii="ITC Avant Garde" w:hAnsi="ITC Avant Garde"/>
          <w:lang w:val="es-MX"/>
        </w:rPr>
      </w:pPr>
    </w:p>
    <w:p w:rsidR="003008BC" w:rsidRPr="00BE63E3" w:rsidRDefault="00F90B7A" w:rsidP="003008BC">
      <w:pPr>
        <w:pStyle w:val="Descripcin"/>
        <w:rPr>
          <w:rFonts w:ascii="ITC Avant Garde" w:hAnsi="ITC Avant Garde"/>
          <w:lang w:val="es-MX"/>
        </w:rPr>
      </w:pPr>
      <w:r>
        <w:rPr>
          <w:rFonts w:ascii="ITC Avant Garde" w:hAnsi="ITC Avant Garde"/>
          <w:lang w:val="es-MX"/>
        </w:rPr>
        <w:t>Cuadro 3</w:t>
      </w:r>
      <w:r w:rsidR="003008BC" w:rsidRPr="00BE63E3">
        <w:rPr>
          <w:rFonts w:ascii="ITC Avant Garde" w:hAnsi="ITC Avant Garde"/>
          <w:lang w:val="es-MX"/>
        </w:rPr>
        <w:t xml:space="preserve"> - otros servicios mencionados en las ofertas OREDA/ORCI</w:t>
      </w:r>
      <w:r w:rsidR="00D547DD" w:rsidRPr="00BE63E3">
        <w:rPr>
          <w:rStyle w:val="Refdenotaalpie"/>
          <w:rFonts w:ascii="ITC Avant Garde" w:hAnsi="ITC Avant Garde"/>
          <w:lang w:val="es-MX"/>
        </w:rPr>
        <w:footnoteReference w:id="16"/>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231"/>
      </w:tblGrid>
      <w:tr w:rsidR="00A347F0" w:rsidRPr="004B276B" w:rsidTr="003008BC">
        <w:trPr>
          <w:cantSplit/>
          <w:tblHeader/>
        </w:trPr>
        <w:tc>
          <w:tcPr>
            <w:tcW w:w="2263" w:type="dxa"/>
            <w:shd w:val="clear" w:color="auto" w:fill="2F5897" w:themeFill="text2"/>
            <w:vAlign w:val="center"/>
          </w:tcPr>
          <w:p w:rsidR="00A347F0" w:rsidRPr="00BE63E3" w:rsidRDefault="00A347F0" w:rsidP="003008BC">
            <w:pPr>
              <w:ind w:left="22"/>
              <w:jc w:val="left"/>
              <w:rPr>
                <w:rFonts w:ascii="ITC Avant Garde" w:hAnsi="ITC Avant Garde"/>
                <w:b/>
                <w:color w:val="FFFFFF"/>
                <w:sz w:val="16"/>
                <w:szCs w:val="16"/>
                <w:lang w:val="es-MX"/>
              </w:rPr>
            </w:pPr>
            <w:proofErr w:type="spellStart"/>
            <w:r w:rsidRPr="00BE63E3">
              <w:rPr>
                <w:rFonts w:ascii="ITC Avant Garde" w:hAnsi="ITC Avant Garde"/>
                <w:b/>
                <w:color w:val="FFFFFF"/>
                <w:sz w:val="16"/>
                <w:szCs w:val="16"/>
                <w:lang w:val="es-MX"/>
              </w:rPr>
              <w:t>Categoria</w:t>
            </w:r>
            <w:proofErr w:type="spellEnd"/>
            <w:r w:rsidRPr="00BE63E3">
              <w:rPr>
                <w:rFonts w:ascii="ITC Avant Garde" w:hAnsi="ITC Avant Garde"/>
                <w:b/>
                <w:color w:val="FFFFFF"/>
                <w:sz w:val="16"/>
                <w:szCs w:val="16"/>
                <w:lang w:val="es-MX"/>
              </w:rPr>
              <w:t xml:space="preserve"> de servicios</w:t>
            </w:r>
          </w:p>
        </w:tc>
        <w:tc>
          <w:tcPr>
            <w:tcW w:w="6230" w:type="dxa"/>
            <w:shd w:val="clear" w:color="auto" w:fill="2F5897" w:themeFill="text2"/>
            <w:vAlign w:val="center"/>
          </w:tcPr>
          <w:p w:rsidR="00A347F0" w:rsidRPr="00BE63E3" w:rsidRDefault="00A347F0" w:rsidP="003008BC">
            <w:pPr>
              <w:jc w:val="left"/>
              <w:rPr>
                <w:rFonts w:ascii="ITC Avant Garde" w:hAnsi="ITC Avant Garde"/>
                <w:b/>
                <w:color w:val="FFFFFF"/>
                <w:sz w:val="16"/>
                <w:szCs w:val="16"/>
                <w:lang w:val="es-MX"/>
              </w:rPr>
            </w:pPr>
            <w:r w:rsidRPr="00BE63E3">
              <w:rPr>
                <w:rFonts w:ascii="ITC Avant Garde" w:hAnsi="ITC Avant Garde"/>
                <w:b/>
                <w:color w:val="FFFFFF"/>
                <w:sz w:val="16"/>
                <w:szCs w:val="16"/>
                <w:lang w:val="es-MX"/>
              </w:rPr>
              <w:t>Servicios</w:t>
            </w:r>
          </w:p>
        </w:tc>
      </w:tr>
      <w:tr w:rsidR="00130FCB" w:rsidRPr="00A835B5" w:rsidTr="003008BC">
        <w:trPr>
          <w:cantSplit/>
        </w:trPr>
        <w:tc>
          <w:tcPr>
            <w:tcW w:w="2263" w:type="dxa"/>
            <w:vMerge w:val="restart"/>
            <w:shd w:val="clear" w:color="auto" w:fill="auto"/>
            <w:vAlign w:val="center"/>
          </w:tcPr>
          <w:p w:rsidR="00130FCB" w:rsidRPr="00BE63E3" w:rsidRDefault="00130FCB" w:rsidP="003008BC">
            <w:pPr>
              <w:ind w:left="22"/>
              <w:jc w:val="left"/>
              <w:rPr>
                <w:rFonts w:ascii="ITC Avant Garde" w:hAnsi="ITC Avant Garde"/>
                <w:sz w:val="16"/>
                <w:szCs w:val="16"/>
                <w:lang w:val="es-MX"/>
              </w:rPr>
            </w:pPr>
            <w:r w:rsidRPr="00BE63E3">
              <w:rPr>
                <w:rFonts w:ascii="ITC Avant Garde" w:hAnsi="ITC Avant Garde"/>
                <w:sz w:val="16"/>
                <w:szCs w:val="16"/>
                <w:lang w:val="es-MX"/>
              </w:rPr>
              <w:t>Actividades de Apoyo</w:t>
            </w:r>
          </w:p>
        </w:tc>
        <w:tc>
          <w:tcPr>
            <w:tcW w:w="6230" w:type="dxa"/>
            <w:shd w:val="clear" w:color="auto" w:fill="auto"/>
          </w:tcPr>
          <w:p w:rsidR="00130FCB" w:rsidRPr="00BE63E3" w:rsidRDefault="00130FCB" w:rsidP="003008BC">
            <w:pPr>
              <w:ind w:left="360" w:hanging="360"/>
              <w:jc w:val="left"/>
              <w:rPr>
                <w:rFonts w:ascii="ITC Avant Garde" w:hAnsi="ITC Avant Garde"/>
                <w:sz w:val="16"/>
                <w:szCs w:val="16"/>
                <w:lang w:val="es-MX"/>
              </w:rPr>
            </w:pPr>
            <w:r w:rsidRPr="00BE63E3">
              <w:rPr>
                <w:rFonts w:ascii="ITC Avant Garde" w:hAnsi="ITC Avant Garde"/>
                <w:sz w:val="16"/>
                <w:szCs w:val="16"/>
                <w:lang w:val="es-MX"/>
              </w:rPr>
              <w:t>Tipo de Visita Técnica</w:t>
            </w:r>
          </w:p>
          <w:p w:rsidR="00130FCB" w:rsidRPr="00BE63E3" w:rsidRDefault="00130FCB" w:rsidP="00556A48">
            <w:pPr>
              <w:pStyle w:val="Prrafodelista"/>
              <w:numPr>
                <w:ilvl w:val="0"/>
                <w:numId w:val="12"/>
              </w:numPr>
              <w:jc w:val="left"/>
              <w:rPr>
                <w:rFonts w:ascii="ITC Avant Garde" w:hAnsi="ITC Avant Garde"/>
                <w:sz w:val="16"/>
                <w:szCs w:val="16"/>
                <w:lang w:val="es-MX"/>
              </w:rPr>
            </w:pPr>
            <w:r w:rsidRPr="00BE63E3">
              <w:rPr>
                <w:rFonts w:ascii="ITC Avant Garde" w:hAnsi="ITC Avant Garde"/>
                <w:sz w:val="16"/>
                <w:szCs w:val="16"/>
                <w:lang w:val="es-MX"/>
              </w:rPr>
              <w:t>Para Postes (por km)</w:t>
            </w:r>
          </w:p>
          <w:p w:rsidR="00130FCB" w:rsidRPr="00BE63E3" w:rsidRDefault="00130FCB" w:rsidP="00556A48">
            <w:pPr>
              <w:pStyle w:val="Prrafodelista"/>
              <w:numPr>
                <w:ilvl w:val="0"/>
                <w:numId w:val="12"/>
              </w:numPr>
              <w:jc w:val="left"/>
              <w:rPr>
                <w:rFonts w:ascii="ITC Avant Garde" w:hAnsi="ITC Avant Garde"/>
                <w:sz w:val="16"/>
                <w:szCs w:val="16"/>
                <w:lang w:val="es-MX"/>
              </w:rPr>
            </w:pPr>
            <w:r w:rsidRPr="00BE63E3">
              <w:rPr>
                <w:rFonts w:ascii="ITC Avant Garde" w:hAnsi="ITC Avant Garde"/>
                <w:sz w:val="16"/>
                <w:szCs w:val="16"/>
                <w:lang w:val="es-MX"/>
              </w:rPr>
              <w:t>Para Pozos y Canalizaciones (por km)</w:t>
            </w:r>
          </w:p>
          <w:p w:rsidR="00130FCB" w:rsidRPr="00BE63E3" w:rsidRDefault="00130FCB" w:rsidP="00556A48">
            <w:pPr>
              <w:pStyle w:val="Prrafodelista"/>
              <w:numPr>
                <w:ilvl w:val="0"/>
                <w:numId w:val="12"/>
              </w:numPr>
              <w:jc w:val="left"/>
              <w:rPr>
                <w:rFonts w:ascii="ITC Avant Garde" w:hAnsi="ITC Avant Garde"/>
                <w:sz w:val="16"/>
                <w:szCs w:val="16"/>
                <w:lang w:val="es-MX"/>
              </w:rPr>
            </w:pPr>
            <w:r w:rsidRPr="00BE63E3">
              <w:rPr>
                <w:rFonts w:ascii="ITC Avant Garde" w:hAnsi="ITC Avant Garde"/>
                <w:sz w:val="16"/>
                <w:szCs w:val="16"/>
                <w:lang w:val="es-MX"/>
              </w:rPr>
              <w:t>Para el servicio de Torres (por torre)</w:t>
            </w:r>
          </w:p>
          <w:p w:rsidR="00130FCB" w:rsidRPr="00BE63E3" w:rsidRDefault="00130FCB" w:rsidP="00556A48">
            <w:pPr>
              <w:pStyle w:val="Prrafodelista"/>
              <w:numPr>
                <w:ilvl w:val="0"/>
                <w:numId w:val="12"/>
              </w:numPr>
              <w:jc w:val="left"/>
              <w:rPr>
                <w:rFonts w:ascii="ITC Avant Garde" w:hAnsi="ITC Avant Garde"/>
                <w:sz w:val="16"/>
                <w:szCs w:val="16"/>
                <w:lang w:val="es-MX"/>
              </w:rPr>
            </w:pPr>
            <w:r w:rsidRPr="00BE63E3">
              <w:rPr>
                <w:rFonts w:ascii="ITC Avant Garde" w:hAnsi="ITC Avant Garde"/>
                <w:sz w:val="16"/>
                <w:szCs w:val="16"/>
                <w:lang w:val="es-MX"/>
              </w:rPr>
              <w:t>Para Sitios, Predios y Espacios Físicos (por predio)</w:t>
            </w:r>
          </w:p>
          <w:p w:rsidR="00130FCB" w:rsidRPr="00BE63E3" w:rsidRDefault="00130FCB" w:rsidP="00556A48">
            <w:pPr>
              <w:pStyle w:val="Prrafodelista"/>
              <w:numPr>
                <w:ilvl w:val="0"/>
                <w:numId w:val="12"/>
              </w:numPr>
              <w:jc w:val="left"/>
              <w:rPr>
                <w:rFonts w:ascii="ITC Avant Garde" w:hAnsi="ITC Avant Garde"/>
                <w:sz w:val="16"/>
                <w:szCs w:val="16"/>
                <w:lang w:val="es-MX"/>
              </w:rPr>
            </w:pPr>
            <w:r w:rsidRPr="00BE63E3">
              <w:rPr>
                <w:rFonts w:ascii="ITC Avant Garde" w:hAnsi="ITC Avant Garde"/>
                <w:sz w:val="16"/>
                <w:szCs w:val="16"/>
                <w:lang w:val="es-MX"/>
              </w:rPr>
              <w:t>Para Tendido de Cable sobre Infraestructura Desagregada (por evento)</w:t>
            </w:r>
          </w:p>
          <w:p w:rsidR="00130FCB" w:rsidRPr="00BE63E3" w:rsidRDefault="00130FCB" w:rsidP="00556A48">
            <w:pPr>
              <w:pStyle w:val="Prrafodelista"/>
              <w:numPr>
                <w:ilvl w:val="0"/>
                <w:numId w:val="12"/>
              </w:numPr>
              <w:jc w:val="left"/>
              <w:rPr>
                <w:rFonts w:ascii="ITC Avant Garde" w:hAnsi="ITC Avant Garde"/>
                <w:sz w:val="16"/>
                <w:szCs w:val="16"/>
                <w:lang w:val="es-MX"/>
              </w:rPr>
            </w:pPr>
            <w:r w:rsidRPr="00BE63E3">
              <w:rPr>
                <w:rFonts w:ascii="ITC Avant Garde" w:hAnsi="ITC Avant Garde"/>
                <w:sz w:val="16"/>
                <w:szCs w:val="16"/>
                <w:lang w:val="es-MX"/>
              </w:rPr>
              <w:t>Apertura de pozo (por evento)</w:t>
            </w:r>
          </w:p>
          <w:p w:rsidR="00130FCB" w:rsidRPr="00BE63E3" w:rsidRDefault="00130FCB" w:rsidP="00556A48">
            <w:pPr>
              <w:pStyle w:val="Prrafodelista"/>
              <w:numPr>
                <w:ilvl w:val="0"/>
                <w:numId w:val="12"/>
              </w:numPr>
              <w:jc w:val="left"/>
              <w:rPr>
                <w:rFonts w:ascii="ITC Avant Garde" w:hAnsi="ITC Avant Garde"/>
                <w:sz w:val="16"/>
                <w:szCs w:val="16"/>
                <w:lang w:val="es-MX"/>
              </w:rPr>
            </w:pPr>
            <w:r w:rsidRPr="00BE63E3">
              <w:rPr>
                <w:rFonts w:ascii="ITC Avant Garde" w:hAnsi="ITC Avant Garde"/>
                <w:sz w:val="16"/>
                <w:szCs w:val="16"/>
                <w:lang w:val="es-MX"/>
              </w:rPr>
              <w:t>Desazolve de pozo (por evento)</w:t>
            </w:r>
          </w:p>
          <w:p w:rsidR="00130FCB" w:rsidRPr="00BE63E3" w:rsidRDefault="00130FCB" w:rsidP="00556A48">
            <w:pPr>
              <w:pStyle w:val="Prrafodelista"/>
              <w:numPr>
                <w:ilvl w:val="0"/>
                <w:numId w:val="12"/>
              </w:numPr>
              <w:jc w:val="left"/>
              <w:rPr>
                <w:rFonts w:ascii="ITC Avant Garde" w:hAnsi="ITC Avant Garde"/>
                <w:sz w:val="16"/>
                <w:szCs w:val="16"/>
                <w:lang w:val="es-MX"/>
              </w:rPr>
            </w:pPr>
            <w:r w:rsidRPr="00BE63E3">
              <w:rPr>
                <w:rFonts w:ascii="ITC Avant Garde" w:hAnsi="ITC Avant Garde"/>
                <w:sz w:val="16"/>
                <w:szCs w:val="16"/>
                <w:lang w:val="es-MX"/>
              </w:rPr>
              <w:t>Desagüe de pozo (por evento)</w:t>
            </w:r>
          </w:p>
        </w:tc>
      </w:tr>
      <w:tr w:rsidR="00130FCB" w:rsidRPr="00A835B5" w:rsidTr="003008BC">
        <w:trPr>
          <w:cantSplit/>
        </w:trPr>
        <w:tc>
          <w:tcPr>
            <w:tcW w:w="2263" w:type="dxa"/>
            <w:vMerge/>
            <w:shd w:val="clear" w:color="auto" w:fill="auto"/>
            <w:vAlign w:val="center"/>
          </w:tcPr>
          <w:p w:rsidR="00130FCB" w:rsidRPr="00BE63E3" w:rsidRDefault="00130FCB" w:rsidP="003008BC">
            <w:pPr>
              <w:ind w:left="22"/>
              <w:jc w:val="left"/>
              <w:rPr>
                <w:rFonts w:ascii="ITC Avant Garde" w:hAnsi="ITC Avant Garde"/>
                <w:sz w:val="16"/>
                <w:szCs w:val="16"/>
                <w:lang w:val="es-MX"/>
              </w:rPr>
            </w:pPr>
          </w:p>
        </w:tc>
        <w:tc>
          <w:tcPr>
            <w:tcW w:w="6230" w:type="dxa"/>
            <w:shd w:val="clear" w:color="auto" w:fill="auto"/>
          </w:tcPr>
          <w:p w:rsidR="00130FCB" w:rsidRPr="00BE63E3" w:rsidRDefault="00130FCB" w:rsidP="003008BC">
            <w:pPr>
              <w:ind w:left="360" w:hanging="360"/>
              <w:jc w:val="left"/>
              <w:rPr>
                <w:rFonts w:ascii="ITC Avant Garde" w:hAnsi="ITC Avant Garde"/>
                <w:sz w:val="16"/>
                <w:szCs w:val="16"/>
                <w:lang w:val="es-MX"/>
              </w:rPr>
            </w:pPr>
            <w:r w:rsidRPr="00BE63E3">
              <w:rPr>
                <w:rFonts w:ascii="ITC Avant Garde" w:hAnsi="ITC Avant Garde"/>
                <w:sz w:val="16"/>
                <w:szCs w:val="16"/>
                <w:lang w:val="es-MX"/>
              </w:rPr>
              <w:t>Tipo de análisis de factibilidad</w:t>
            </w:r>
          </w:p>
          <w:p w:rsidR="00130FCB" w:rsidRPr="00BE63E3" w:rsidRDefault="00130FCB" w:rsidP="00556A48">
            <w:pPr>
              <w:pStyle w:val="Prrafodelista"/>
              <w:numPr>
                <w:ilvl w:val="0"/>
                <w:numId w:val="13"/>
              </w:numPr>
              <w:jc w:val="left"/>
              <w:rPr>
                <w:rFonts w:ascii="ITC Avant Garde" w:hAnsi="ITC Avant Garde"/>
                <w:sz w:val="16"/>
                <w:szCs w:val="16"/>
                <w:lang w:val="es-MX"/>
              </w:rPr>
            </w:pPr>
            <w:r w:rsidRPr="00BE63E3">
              <w:rPr>
                <w:rFonts w:ascii="ITC Avant Garde" w:hAnsi="ITC Avant Garde"/>
                <w:sz w:val="16"/>
                <w:szCs w:val="16"/>
                <w:lang w:val="es-MX"/>
              </w:rPr>
              <w:t>Para la compartición de postes (por km)</w:t>
            </w:r>
          </w:p>
          <w:p w:rsidR="00130FCB" w:rsidRPr="00BE63E3" w:rsidRDefault="00130FCB" w:rsidP="00556A48">
            <w:pPr>
              <w:pStyle w:val="Prrafodelista"/>
              <w:numPr>
                <w:ilvl w:val="0"/>
                <w:numId w:val="13"/>
              </w:numPr>
              <w:jc w:val="left"/>
              <w:rPr>
                <w:rFonts w:ascii="ITC Avant Garde" w:hAnsi="ITC Avant Garde"/>
                <w:sz w:val="16"/>
                <w:szCs w:val="16"/>
                <w:lang w:val="es-MX"/>
              </w:rPr>
            </w:pPr>
            <w:r w:rsidRPr="00BE63E3">
              <w:rPr>
                <w:rFonts w:ascii="ITC Avant Garde" w:hAnsi="ITC Avant Garde"/>
                <w:sz w:val="16"/>
                <w:szCs w:val="16"/>
                <w:lang w:val="es-MX"/>
              </w:rPr>
              <w:t>Para la compartición de pozos, de ductos y canalizaciones (por km)</w:t>
            </w:r>
          </w:p>
          <w:p w:rsidR="00130FCB" w:rsidRPr="00BE63E3" w:rsidRDefault="00130FCB" w:rsidP="00556A48">
            <w:pPr>
              <w:pStyle w:val="Prrafodelista"/>
              <w:numPr>
                <w:ilvl w:val="0"/>
                <w:numId w:val="13"/>
              </w:numPr>
              <w:jc w:val="left"/>
              <w:rPr>
                <w:rFonts w:ascii="ITC Avant Garde" w:hAnsi="ITC Avant Garde"/>
                <w:sz w:val="16"/>
                <w:szCs w:val="16"/>
                <w:lang w:val="es-MX"/>
              </w:rPr>
            </w:pPr>
            <w:r w:rsidRPr="00BE63E3">
              <w:rPr>
                <w:rFonts w:ascii="ITC Avant Garde" w:hAnsi="ITC Avant Garde"/>
                <w:sz w:val="16"/>
                <w:szCs w:val="16"/>
                <w:lang w:val="es-MX"/>
              </w:rPr>
              <w:t>Para la compartición de torres (por torre)</w:t>
            </w:r>
          </w:p>
          <w:p w:rsidR="00130FCB" w:rsidRPr="00BE63E3" w:rsidRDefault="00130FCB" w:rsidP="00556A48">
            <w:pPr>
              <w:pStyle w:val="Prrafodelista"/>
              <w:numPr>
                <w:ilvl w:val="0"/>
                <w:numId w:val="13"/>
              </w:numPr>
              <w:jc w:val="left"/>
              <w:rPr>
                <w:rFonts w:ascii="ITC Avant Garde" w:hAnsi="ITC Avant Garde"/>
                <w:sz w:val="16"/>
                <w:szCs w:val="16"/>
                <w:lang w:val="es-MX"/>
              </w:rPr>
            </w:pPr>
            <w:r w:rsidRPr="00BE63E3">
              <w:rPr>
                <w:rFonts w:ascii="ITC Avant Garde" w:hAnsi="ITC Avant Garde"/>
                <w:sz w:val="16"/>
                <w:szCs w:val="16"/>
                <w:lang w:val="es-MX"/>
              </w:rPr>
              <w:t>Construcción</w:t>
            </w:r>
            <w:r w:rsidR="00875932">
              <w:rPr>
                <w:rFonts w:ascii="ITC Avant Garde" w:hAnsi="ITC Avant Garde"/>
                <w:sz w:val="16"/>
                <w:szCs w:val="16"/>
                <w:lang w:val="es-MX"/>
              </w:rPr>
              <w:t>/</w:t>
            </w:r>
            <w:r w:rsidRPr="00BE63E3">
              <w:rPr>
                <w:rFonts w:ascii="ITC Avant Garde" w:hAnsi="ITC Avant Garde"/>
                <w:sz w:val="16"/>
                <w:szCs w:val="16"/>
                <w:lang w:val="es-MX"/>
              </w:rPr>
              <w:t>Adaptación (Compartición de Espacios) (por servicio)</w:t>
            </w:r>
          </w:p>
          <w:p w:rsidR="00130FCB" w:rsidRPr="00BE63E3" w:rsidRDefault="00130FCB" w:rsidP="00556A48">
            <w:pPr>
              <w:pStyle w:val="Prrafodelista"/>
              <w:numPr>
                <w:ilvl w:val="0"/>
                <w:numId w:val="13"/>
              </w:numPr>
              <w:jc w:val="left"/>
              <w:rPr>
                <w:rFonts w:ascii="ITC Avant Garde" w:hAnsi="ITC Avant Garde"/>
                <w:sz w:val="16"/>
                <w:szCs w:val="16"/>
                <w:lang w:val="es-MX"/>
              </w:rPr>
            </w:pPr>
            <w:r w:rsidRPr="00BE63E3">
              <w:rPr>
                <w:rFonts w:ascii="ITC Avant Garde" w:hAnsi="ITC Avant Garde"/>
                <w:sz w:val="16"/>
                <w:szCs w:val="16"/>
                <w:lang w:val="es-MX"/>
              </w:rPr>
              <w:t>Infraestructura de Fuerza (por servicio)</w:t>
            </w:r>
          </w:p>
          <w:p w:rsidR="00130FCB" w:rsidRPr="00BE63E3" w:rsidRDefault="00130FCB" w:rsidP="00556A48">
            <w:pPr>
              <w:pStyle w:val="Prrafodelista"/>
              <w:numPr>
                <w:ilvl w:val="0"/>
                <w:numId w:val="13"/>
              </w:numPr>
              <w:jc w:val="left"/>
              <w:rPr>
                <w:rFonts w:ascii="ITC Avant Garde" w:hAnsi="ITC Avant Garde"/>
                <w:sz w:val="16"/>
                <w:szCs w:val="16"/>
                <w:lang w:val="es-MX"/>
              </w:rPr>
            </w:pPr>
            <w:r w:rsidRPr="00BE63E3">
              <w:rPr>
                <w:rFonts w:ascii="ITC Avant Garde" w:hAnsi="ITC Avant Garde"/>
                <w:sz w:val="16"/>
                <w:szCs w:val="16"/>
                <w:lang w:val="es-MX"/>
              </w:rPr>
              <w:t>Renta de Espacios Físicos (por servicio)</w:t>
            </w:r>
          </w:p>
          <w:p w:rsidR="00130FCB" w:rsidRPr="00BE63E3" w:rsidRDefault="00130FCB" w:rsidP="00556A48">
            <w:pPr>
              <w:pStyle w:val="Prrafodelista"/>
              <w:numPr>
                <w:ilvl w:val="0"/>
                <w:numId w:val="13"/>
              </w:numPr>
              <w:jc w:val="left"/>
              <w:rPr>
                <w:rFonts w:ascii="ITC Avant Garde" w:hAnsi="ITC Avant Garde"/>
                <w:sz w:val="16"/>
                <w:szCs w:val="16"/>
                <w:lang w:val="es-MX"/>
              </w:rPr>
            </w:pPr>
            <w:r w:rsidRPr="00BE63E3">
              <w:rPr>
                <w:rFonts w:ascii="ITC Avant Garde" w:hAnsi="ITC Avant Garde"/>
                <w:sz w:val="16"/>
                <w:szCs w:val="16"/>
                <w:lang w:val="es-MX"/>
              </w:rPr>
              <w:t>Renta de Predios (por servicio)</w:t>
            </w:r>
          </w:p>
        </w:tc>
      </w:tr>
      <w:tr w:rsidR="00130FCB" w:rsidRPr="004B276B" w:rsidTr="003008BC">
        <w:trPr>
          <w:cantSplit/>
        </w:trPr>
        <w:tc>
          <w:tcPr>
            <w:tcW w:w="2263" w:type="dxa"/>
            <w:vMerge/>
            <w:shd w:val="clear" w:color="auto" w:fill="auto"/>
            <w:vAlign w:val="center"/>
          </w:tcPr>
          <w:p w:rsidR="00130FCB" w:rsidRPr="00BE63E3" w:rsidRDefault="00130FCB" w:rsidP="003008BC">
            <w:pPr>
              <w:ind w:left="22"/>
              <w:jc w:val="left"/>
              <w:rPr>
                <w:rFonts w:ascii="ITC Avant Garde" w:hAnsi="ITC Avant Garde"/>
                <w:sz w:val="16"/>
                <w:szCs w:val="16"/>
                <w:lang w:val="es-MX"/>
              </w:rPr>
            </w:pPr>
          </w:p>
        </w:tc>
        <w:tc>
          <w:tcPr>
            <w:tcW w:w="6230" w:type="dxa"/>
            <w:shd w:val="clear" w:color="auto" w:fill="auto"/>
          </w:tcPr>
          <w:p w:rsidR="00130FCB" w:rsidRPr="00BE63E3" w:rsidRDefault="009533FA" w:rsidP="003008BC">
            <w:pPr>
              <w:ind w:left="360" w:hanging="360"/>
              <w:jc w:val="left"/>
              <w:rPr>
                <w:rFonts w:ascii="ITC Avant Garde" w:hAnsi="ITC Avant Garde"/>
                <w:sz w:val="16"/>
                <w:szCs w:val="16"/>
                <w:lang w:val="es-MX"/>
              </w:rPr>
            </w:pPr>
            <w:r w:rsidRPr="00872052">
              <w:rPr>
                <w:rFonts w:ascii="ITC Avant Garde" w:hAnsi="ITC Avant Garde"/>
                <w:sz w:val="16"/>
                <w:szCs w:val="16"/>
                <w:lang w:val="es-MX"/>
              </w:rPr>
              <w:t>Verificación</w:t>
            </w:r>
            <w:r w:rsidR="00130FCB" w:rsidRPr="00BE63E3">
              <w:rPr>
                <w:rFonts w:ascii="ITC Avant Garde" w:hAnsi="ITC Avant Garde"/>
                <w:sz w:val="16"/>
                <w:szCs w:val="16"/>
                <w:lang w:val="es-MX"/>
              </w:rPr>
              <w:t xml:space="preserve"> </w:t>
            </w:r>
          </w:p>
        </w:tc>
      </w:tr>
      <w:tr w:rsidR="003008BC" w:rsidRPr="004B276B" w:rsidTr="003008BC">
        <w:trPr>
          <w:cantSplit/>
        </w:trPr>
        <w:tc>
          <w:tcPr>
            <w:tcW w:w="2263" w:type="dxa"/>
            <w:vMerge w:val="restart"/>
            <w:shd w:val="clear" w:color="auto" w:fill="auto"/>
            <w:vAlign w:val="center"/>
          </w:tcPr>
          <w:p w:rsidR="003008BC" w:rsidRPr="00BE63E3" w:rsidRDefault="003008BC" w:rsidP="003008BC">
            <w:pPr>
              <w:ind w:left="22"/>
              <w:jc w:val="left"/>
              <w:rPr>
                <w:rFonts w:ascii="ITC Avant Garde" w:hAnsi="ITC Avant Garde"/>
                <w:sz w:val="16"/>
                <w:szCs w:val="16"/>
                <w:lang w:val="es-MX"/>
              </w:rPr>
            </w:pPr>
            <w:r w:rsidRPr="00BE63E3">
              <w:rPr>
                <w:rFonts w:ascii="ITC Avant Garde" w:hAnsi="ITC Avant Garde"/>
                <w:sz w:val="16"/>
                <w:szCs w:val="16"/>
                <w:lang w:val="es-MX"/>
              </w:rPr>
              <w:t xml:space="preserve">Cobros no recurrentes de la </w:t>
            </w:r>
            <w:r w:rsidR="009533FA" w:rsidRPr="00872052">
              <w:rPr>
                <w:rFonts w:ascii="ITC Avant Garde" w:hAnsi="ITC Avant Garde"/>
                <w:sz w:val="16"/>
                <w:szCs w:val="16"/>
                <w:lang w:val="es-MX"/>
              </w:rPr>
              <w:t>desagregación</w:t>
            </w:r>
            <w:r w:rsidRPr="00BE63E3">
              <w:rPr>
                <w:rFonts w:ascii="ITC Avant Garde" w:hAnsi="ITC Avant Garde"/>
                <w:sz w:val="16"/>
                <w:szCs w:val="16"/>
                <w:lang w:val="es-MX"/>
              </w:rPr>
              <w:t xml:space="preserve"> del Bucle Local</w:t>
            </w:r>
          </w:p>
        </w:tc>
        <w:tc>
          <w:tcPr>
            <w:tcW w:w="6230" w:type="dxa"/>
            <w:shd w:val="clear" w:color="auto" w:fill="auto"/>
          </w:tcPr>
          <w:p w:rsidR="003008BC" w:rsidRPr="00BE63E3" w:rsidRDefault="003008BC" w:rsidP="003008BC">
            <w:pPr>
              <w:ind w:left="360" w:hanging="360"/>
              <w:jc w:val="left"/>
              <w:rPr>
                <w:rFonts w:ascii="ITC Avant Garde" w:hAnsi="ITC Avant Garde"/>
                <w:sz w:val="16"/>
                <w:szCs w:val="16"/>
                <w:lang w:val="es-MX"/>
              </w:rPr>
            </w:pPr>
            <w:r w:rsidRPr="00BE63E3">
              <w:rPr>
                <w:rFonts w:ascii="ITC Avant Garde" w:hAnsi="ITC Avant Garde"/>
                <w:sz w:val="16"/>
                <w:szCs w:val="16"/>
                <w:lang w:val="es-MX"/>
              </w:rPr>
              <w:t>Habilitación SDTBL (Full LLU)</w:t>
            </w:r>
          </w:p>
        </w:tc>
      </w:tr>
      <w:tr w:rsidR="003008BC" w:rsidRPr="004B276B" w:rsidTr="003008BC">
        <w:trPr>
          <w:cantSplit/>
        </w:trPr>
        <w:tc>
          <w:tcPr>
            <w:tcW w:w="2263" w:type="dxa"/>
            <w:vMerge/>
            <w:shd w:val="clear" w:color="auto" w:fill="auto"/>
            <w:vAlign w:val="center"/>
          </w:tcPr>
          <w:p w:rsidR="003008BC" w:rsidRPr="00BE63E3" w:rsidRDefault="003008BC" w:rsidP="003008BC">
            <w:pPr>
              <w:ind w:left="22"/>
              <w:jc w:val="left"/>
              <w:rPr>
                <w:rFonts w:ascii="ITC Avant Garde" w:hAnsi="ITC Avant Garde"/>
                <w:sz w:val="16"/>
                <w:szCs w:val="16"/>
                <w:lang w:val="es-MX"/>
              </w:rPr>
            </w:pPr>
          </w:p>
        </w:tc>
        <w:tc>
          <w:tcPr>
            <w:tcW w:w="6230" w:type="dxa"/>
            <w:shd w:val="clear" w:color="auto" w:fill="auto"/>
          </w:tcPr>
          <w:p w:rsidR="003008BC" w:rsidRPr="00BE63E3" w:rsidRDefault="003008BC" w:rsidP="003008BC">
            <w:pPr>
              <w:ind w:left="360" w:hanging="360"/>
              <w:jc w:val="left"/>
              <w:rPr>
                <w:rFonts w:ascii="ITC Avant Garde" w:hAnsi="ITC Avant Garde"/>
                <w:sz w:val="16"/>
                <w:szCs w:val="16"/>
                <w:lang w:val="es-MX"/>
              </w:rPr>
            </w:pPr>
            <w:r w:rsidRPr="00BE63E3">
              <w:rPr>
                <w:rFonts w:ascii="ITC Avant Garde" w:hAnsi="ITC Avant Garde"/>
                <w:sz w:val="16"/>
                <w:szCs w:val="16"/>
                <w:lang w:val="es-MX"/>
              </w:rPr>
              <w:t>Habilitación SDTBSL (Full SLU)</w:t>
            </w:r>
          </w:p>
        </w:tc>
      </w:tr>
      <w:tr w:rsidR="003008BC" w:rsidRPr="00A347F0" w:rsidTr="003008BC">
        <w:trPr>
          <w:cantSplit/>
        </w:trPr>
        <w:tc>
          <w:tcPr>
            <w:tcW w:w="2263" w:type="dxa"/>
            <w:vMerge/>
            <w:shd w:val="clear" w:color="auto" w:fill="auto"/>
            <w:vAlign w:val="center"/>
          </w:tcPr>
          <w:p w:rsidR="003008BC" w:rsidRPr="00BE63E3" w:rsidRDefault="003008BC" w:rsidP="003008BC">
            <w:pPr>
              <w:ind w:left="22"/>
              <w:jc w:val="left"/>
              <w:rPr>
                <w:rFonts w:ascii="ITC Avant Garde" w:hAnsi="ITC Avant Garde"/>
                <w:sz w:val="16"/>
                <w:szCs w:val="16"/>
                <w:lang w:val="es-MX"/>
              </w:rPr>
            </w:pPr>
          </w:p>
        </w:tc>
        <w:tc>
          <w:tcPr>
            <w:tcW w:w="6230" w:type="dxa"/>
            <w:shd w:val="clear" w:color="auto" w:fill="auto"/>
          </w:tcPr>
          <w:p w:rsidR="003008BC" w:rsidRPr="00BE63E3" w:rsidRDefault="003008BC" w:rsidP="003008BC">
            <w:pPr>
              <w:ind w:left="360" w:hanging="360"/>
              <w:jc w:val="left"/>
              <w:rPr>
                <w:rFonts w:ascii="ITC Avant Garde" w:hAnsi="ITC Avant Garde"/>
                <w:sz w:val="16"/>
                <w:szCs w:val="16"/>
                <w:lang w:val="es-MX"/>
              </w:rPr>
            </w:pPr>
            <w:r w:rsidRPr="00BE63E3">
              <w:rPr>
                <w:rFonts w:ascii="ITC Avant Garde" w:hAnsi="ITC Avant Garde"/>
                <w:sz w:val="16"/>
                <w:szCs w:val="16"/>
                <w:lang w:val="es-MX"/>
              </w:rPr>
              <w:t>Habilitación SDCBL (</w:t>
            </w:r>
            <w:proofErr w:type="spellStart"/>
            <w:r w:rsidRPr="00BE63E3">
              <w:rPr>
                <w:rFonts w:ascii="ITC Avant Garde" w:hAnsi="ITC Avant Garde"/>
                <w:sz w:val="16"/>
                <w:szCs w:val="16"/>
                <w:lang w:val="es-MX"/>
              </w:rPr>
              <w:t>Shared</w:t>
            </w:r>
            <w:proofErr w:type="spellEnd"/>
            <w:r w:rsidRPr="00BE63E3">
              <w:rPr>
                <w:rFonts w:ascii="ITC Avant Garde" w:hAnsi="ITC Avant Garde"/>
                <w:sz w:val="16"/>
                <w:szCs w:val="16"/>
                <w:lang w:val="es-MX"/>
              </w:rPr>
              <w:t xml:space="preserve"> LLU)</w:t>
            </w:r>
          </w:p>
        </w:tc>
      </w:tr>
      <w:tr w:rsidR="003008BC" w:rsidRPr="00A347F0" w:rsidTr="003008BC">
        <w:trPr>
          <w:cantSplit/>
        </w:trPr>
        <w:tc>
          <w:tcPr>
            <w:tcW w:w="2263" w:type="dxa"/>
            <w:vMerge/>
            <w:shd w:val="clear" w:color="auto" w:fill="auto"/>
            <w:vAlign w:val="center"/>
          </w:tcPr>
          <w:p w:rsidR="003008BC" w:rsidRPr="00BE63E3" w:rsidRDefault="003008BC" w:rsidP="003008BC">
            <w:pPr>
              <w:ind w:left="22"/>
              <w:jc w:val="left"/>
              <w:rPr>
                <w:rFonts w:ascii="ITC Avant Garde" w:hAnsi="ITC Avant Garde"/>
                <w:sz w:val="16"/>
                <w:szCs w:val="16"/>
                <w:lang w:val="es-MX"/>
              </w:rPr>
            </w:pPr>
          </w:p>
        </w:tc>
        <w:tc>
          <w:tcPr>
            <w:tcW w:w="6230" w:type="dxa"/>
            <w:shd w:val="clear" w:color="auto" w:fill="auto"/>
          </w:tcPr>
          <w:p w:rsidR="003008BC" w:rsidRPr="00BE63E3" w:rsidRDefault="003008BC" w:rsidP="003008BC">
            <w:pPr>
              <w:ind w:left="360" w:hanging="360"/>
              <w:jc w:val="left"/>
              <w:rPr>
                <w:rFonts w:ascii="ITC Avant Garde" w:hAnsi="ITC Avant Garde"/>
                <w:sz w:val="16"/>
                <w:szCs w:val="16"/>
                <w:lang w:val="es-MX"/>
              </w:rPr>
            </w:pPr>
            <w:r w:rsidRPr="00BE63E3">
              <w:rPr>
                <w:rFonts w:ascii="ITC Avant Garde" w:hAnsi="ITC Avant Garde"/>
                <w:sz w:val="16"/>
                <w:szCs w:val="16"/>
                <w:lang w:val="es-MX"/>
              </w:rPr>
              <w:t>Habilitación SDCBSL (</w:t>
            </w:r>
            <w:proofErr w:type="spellStart"/>
            <w:r w:rsidRPr="00BE63E3">
              <w:rPr>
                <w:rFonts w:ascii="ITC Avant Garde" w:hAnsi="ITC Avant Garde"/>
                <w:sz w:val="16"/>
                <w:szCs w:val="16"/>
                <w:lang w:val="es-MX"/>
              </w:rPr>
              <w:t>Shared</w:t>
            </w:r>
            <w:proofErr w:type="spellEnd"/>
            <w:r w:rsidRPr="00BE63E3">
              <w:rPr>
                <w:rFonts w:ascii="ITC Avant Garde" w:hAnsi="ITC Avant Garde"/>
                <w:sz w:val="16"/>
                <w:szCs w:val="16"/>
                <w:lang w:val="es-MX"/>
              </w:rPr>
              <w:t xml:space="preserve"> SLU)</w:t>
            </w:r>
          </w:p>
        </w:tc>
      </w:tr>
      <w:tr w:rsidR="00A347F0" w:rsidRPr="00A835B5" w:rsidTr="003008BC">
        <w:trPr>
          <w:cantSplit/>
        </w:trPr>
        <w:tc>
          <w:tcPr>
            <w:tcW w:w="2263" w:type="dxa"/>
            <w:vMerge w:val="restart"/>
            <w:shd w:val="clear" w:color="auto" w:fill="auto"/>
            <w:vAlign w:val="center"/>
          </w:tcPr>
          <w:p w:rsidR="00A347F0" w:rsidRPr="00BE63E3" w:rsidRDefault="003008BC" w:rsidP="003008BC">
            <w:pPr>
              <w:ind w:left="22"/>
              <w:jc w:val="left"/>
              <w:rPr>
                <w:rFonts w:ascii="ITC Avant Garde" w:hAnsi="ITC Avant Garde"/>
                <w:sz w:val="16"/>
                <w:szCs w:val="16"/>
                <w:lang w:val="es-MX"/>
              </w:rPr>
            </w:pPr>
            <w:r w:rsidRPr="00BE63E3">
              <w:rPr>
                <w:rFonts w:ascii="ITC Avant Garde" w:hAnsi="ITC Avant Garde"/>
                <w:sz w:val="16"/>
                <w:szCs w:val="16"/>
                <w:lang w:val="es-MX"/>
              </w:rPr>
              <w:t xml:space="preserve">Servicio Auxiliar de Cableado </w:t>
            </w:r>
            <w:proofErr w:type="spellStart"/>
            <w:r w:rsidRPr="00BE63E3">
              <w:rPr>
                <w:rFonts w:ascii="ITC Avant Garde" w:hAnsi="ITC Avant Garde"/>
                <w:sz w:val="16"/>
                <w:szCs w:val="16"/>
                <w:lang w:val="es-MX"/>
              </w:rPr>
              <w:t>Multipar</w:t>
            </w:r>
            <w:proofErr w:type="spellEnd"/>
            <w:r w:rsidRPr="00BE63E3">
              <w:rPr>
                <w:rFonts w:ascii="ITC Avant Garde" w:hAnsi="ITC Avant Garde"/>
                <w:sz w:val="16"/>
                <w:szCs w:val="16"/>
                <w:lang w:val="es-MX"/>
              </w:rPr>
              <w:t xml:space="preserve"> y Cableado del DFO de Telmex al DFO del CS</w:t>
            </w:r>
          </w:p>
        </w:tc>
        <w:tc>
          <w:tcPr>
            <w:tcW w:w="6230" w:type="dxa"/>
            <w:shd w:val="clear" w:color="auto" w:fill="auto"/>
          </w:tcPr>
          <w:p w:rsidR="003008BC" w:rsidRPr="00BE63E3" w:rsidRDefault="003008BC" w:rsidP="003008BC">
            <w:pPr>
              <w:ind w:left="360" w:hanging="360"/>
              <w:jc w:val="left"/>
              <w:rPr>
                <w:rFonts w:ascii="ITC Avant Garde" w:hAnsi="ITC Avant Garde"/>
                <w:sz w:val="16"/>
                <w:szCs w:val="16"/>
                <w:lang w:val="es-MX"/>
              </w:rPr>
            </w:pPr>
            <w:r w:rsidRPr="00BE63E3">
              <w:rPr>
                <w:rFonts w:ascii="ITC Avant Garde" w:hAnsi="ITC Avant Garde"/>
                <w:sz w:val="16"/>
                <w:szCs w:val="16"/>
                <w:lang w:val="es-MX"/>
              </w:rPr>
              <w:t>Concepto</w:t>
            </w:r>
          </w:p>
          <w:p w:rsidR="003008BC" w:rsidRPr="00BE63E3" w:rsidRDefault="003008BC" w:rsidP="00556A48">
            <w:pPr>
              <w:pStyle w:val="Prrafodelista"/>
              <w:numPr>
                <w:ilvl w:val="0"/>
                <w:numId w:val="16"/>
              </w:numPr>
              <w:jc w:val="left"/>
              <w:rPr>
                <w:rFonts w:ascii="ITC Avant Garde" w:hAnsi="ITC Avant Garde"/>
                <w:sz w:val="16"/>
                <w:szCs w:val="16"/>
                <w:lang w:val="es-MX"/>
              </w:rPr>
            </w:pPr>
            <w:r w:rsidRPr="00BE63E3">
              <w:rPr>
                <w:rFonts w:ascii="ITC Avant Garde" w:hAnsi="ITC Avant Garde"/>
                <w:sz w:val="16"/>
                <w:szCs w:val="16"/>
                <w:lang w:val="es-MX"/>
              </w:rPr>
              <w:t xml:space="preserve">Tablilla de 64 puertos y Módulo </w:t>
            </w:r>
            <w:proofErr w:type="spellStart"/>
            <w:r w:rsidRPr="00BE63E3">
              <w:rPr>
                <w:rFonts w:ascii="ITC Avant Garde" w:hAnsi="ITC Avant Garde"/>
                <w:sz w:val="16"/>
                <w:szCs w:val="16"/>
                <w:lang w:val="es-MX"/>
              </w:rPr>
              <w:t>Splitter</w:t>
            </w:r>
            <w:proofErr w:type="spellEnd"/>
            <w:r w:rsidRPr="00BE63E3">
              <w:rPr>
                <w:rFonts w:ascii="ITC Avant Garde" w:hAnsi="ITC Avant Garde"/>
                <w:sz w:val="16"/>
                <w:szCs w:val="16"/>
                <w:lang w:val="es-MX"/>
              </w:rPr>
              <w:t xml:space="preserve"> VDSL 2</w:t>
            </w:r>
          </w:p>
          <w:p w:rsidR="003008BC" w:rsidRPr="00BE63E3" w:rsidRDefault="003008BC" w:rsidP="00556A48">
            <w:pPr>
              <w:pStyle w:val="Prrafodelista"/>
              <w:numPr>
                <w:ilvl w:val="0"/>
                <w:numId w:val="16"/>
              </w:numPr>
              <w:jc w:val="left"/>
              <w:rPr>
                <w:rFonts w:ascii="ITC Avant Garde" w:hAnsi="ITC Avant Garde"/>
                <w:sz w:val="16"/>
                <w:szCs w:val="16"/>
                <w:lang w:val="es-MX"/>
              </w:rPr>
            </w:pPr>
            <w:r w:rsidRPr="00BE63E3">
              <w:rPr>
                <w:rFonts w:ascii="ITC Avant Garde" w:hAnsi="ITC Avant Garde"/>
                <w:sz w:val="16"/>
                <w:szCs w:val="16"/>
                <w:lang w:val="es-MX"/>
              </w:rPr>
              <w:t>Escalerilla de aluminio de 6 "a 8" para cableado UTP Y</w:t>
            </w:r>
            <w:r w:rsidR="00875932">
              <w:rPr>
                <w:rFonts w:ascii="ITC Avant Garde" w:hAnsi="ITC Avant Garde"/>
                <w:sz w:val="16"/>
                <w:szCs w:val="16"/>
                <w:lang w:val="es-MX"/>
              </w:rPr>
              <w:t>/</w:t>
            </w:r>
            <w:r w:rsidRPr="00BE63E3">
              <w:rPr>
                <w:rFonts w:ascii="ITC Avant Garde" w:hAnsi="ITC Avant Garde"/>
                <w:sz w:val="16"/>
                <w:szCs w:val="16"/>
                <w:lang w:val="es-MX"/>
              </w:rPr>
              <w:t>O COAXIAL (por metro lineal)</w:t>
            </w:r>
          </w:p>
          <w:p w:rsidR="00A347F0" w:rsidRPr="00BE63E3" w:rsidRDefault="003008BC" w:rsidP="00556A48">
            <w:pPr>
              <w:pStyle w:val="Prrafodelista"/>
              <w:numPr>
                <w:ilvl w:val="0"/>
                <w:numId w:val="16"/>
              </w:numPr>
              <w:jc w:val="left"/>
              <w:rPr>
                <w:rFonts w:ascii="ITC Avant Garde" w:hAnsi="ITC Avant Garde"/>
                <w:sz w:val="16"/>
                <w:szCs w:val="16"/>
                <w:lang w:val="es-MX"/>
              </w:rPr>
            </w:pPr>
            <w:r w:rsidRPr="00BE63E3">
              <w:rPr>
                <w:rFonts w:ascii="ITC Avant Garde" w:hAnsi="ITC Avant Garde"/>
                <w:sz w:val="16"/>
                <w:szCs w:val="16"/>
                <w:lang w:val="es-MX"/>
              </w:rPr>
              <w:t xml:space="preserve">Cableado </w:t>
            </w:r>
            <w:proofErr w:type="spellStart"/>
            <w:r w:rsidRPr="00BE63E3">
              <w:rPr>
                <w:rFonts w:ascii="ITC Avant Garde" w:hAnsi="ITC Avant Garde"/>
                <w:sz w:val="16"/>
                <w:szCs w:val="16"/>
                <w:lang w:val="es-MX"/>
              </w:rPr>
              <w:t>Multipar</w:t>
            </w:r>
            <w:proofErr w:type="spellEnd"/>
            <w:r w:rsidRPr="00BE63E3">
              <w:rPr>
                <w:rFonts w:ascii="ITC Avant Garde" w:hAnsi="ITC Avant Garde"/>
                <w:sz w:val="16"/>
                <w:szCs w:val="16"/>
                <w:lang w:val="es-MX"/>
              </w:rPr>
              <w:t xml:space="preserve"> de 70 pares con Blindaje y Estañado de Línea (por metro lineal)</w:t>
            </w:r>
          </w:p>
        </w:tc>
      </w:tr>
      <w:tr w:rsidR="00A347F0" w:rsidRPr="00A835B5" w:rsidTr="003008BC">
        <w:trPr>
          <w:cantSplit/>
        </w:trPr>
        <w:tc>
          <w:tcPr>
            <w:tcW w:w="2263" w:type="dxa"/>
            <w:vMerge/>
            <w:shd w:val="clear" w:color="auto" w:fill="auto"/>
            <w:vAlign w:val="center"/>
          </w:tcPr>
          <w:p w:rsidR="00A347F0" w:rsidRPr="00BE63E3" w:rsidRDefault="00A347F0" w:rsidP="003008BC">
            <w:pPr>
              <w:ind w:left="22"/>
              <w:jc w:val="left"/>
              <w:rPr>
                <w:rFonts w:ascii="ITC Avant Garde" w:hAnsi="ITC Avant Garde"/>
                <w:sz w:val="16"/>
                <w:szCs w:val="16"/>
                <w:lang w:val="es-MX"/>
              </w:rPr>
            </w:pPr>
          </w:p>
        </w:tc>
        <w:tc>
          <w:tcPr>
            <w:tcW w:w="6230" w:type="dxa"/>
            <w:shd w:val="clear" w:color="auto" w:fill="auto"/>
          </w:tcPr>
          <w:p w:rsidR="003008BC" w:rsidRPr="00BE63E3" w:rsidRDefault="003008BC" w:rsidP="003008BC">
            <w:pPr>
              <w:jc w:val="left"/>
              <w:rPr>
                <w:rFonts w:ascii="ITC Avant Garde" w:hAnsi="ITC Avant Garde"/>
                <w:sz w:val="16"/>
                <w:szCs w:val="16"/>
                <w:lang w:val="es-MX"/>
              </w:rPr>
            </w:pPr>
            <w:r w:rsidRPr="00BE63E3">
              <w:rPr>
                <w:rFonts w:ascii="ITC Avant Garde" w:hAnsi="ITC Avant Garde"/>
                <w:sz w:val="16"/>
                <w:szCs w:val="16"/>
                <w:lang w:val="es-MX"/>
              </w:rPr>
              <w:t>Gastos de instalación</w:t>
            </w:r>
          </w:p>
          <w:p w:rsidR="003008BC" w:rsidRPr="00BE63E3" w:rsidRDefault="003008BC" w:rsidP="00556A48">
            <w:pPr>
              <w:pStyle w:val="Prrafodelista"/>
              <w:numPr>
                <w:ilvl w:val="0"/>
                <w:numId w:val="15"/>
              </w:numPr>
              <w:jc w:val="left"/>
              <w:rPr>
                <w:rFonts w:ascii="ITC Avant Garde" w:hAnsi="ITC Avant Garde"/>
                <w:sz w:val="16"/>
                <w:szCs w:val="16"/>
                <w:lang w:val="es-MX"/>
              </w:rPr>
            </w:pPr>
            <w:r w:rsidRPr="00BE63E3">
              <w:rPr>
                <w:rFonts w:ascii="ITC Avant Garde" w:hAnsi="ITC Avant Garde"/>
                <w:sz w:val="16"/>
                <w:szCs w:val="16"/>
                <w:lang w:val="es-MX"/>
              </w:rPr>
              <w:t>Despliegue por metro lineal</w:t>
            </w:r>
          </w:p>
          <w:p w:rsidR="003008BC" w:rsidRPr="00BE63E3" w:rsidRDefault="003008BC" w:rsidP="00556A48">
            <w:pPr>
              <w:pStyle w:val="Prrafodelista"/>
              <w:numPr>
                <w:ilvl w:val="0"/>
                <w:numId w:val="15"/>
              </w:numPr>
              <w:jc w:val="left"/>
              <w:rPr>
                <w:rFonts w:ascii="ITC Avant Garde" w:hAnsi="ITC Avant Garde"/>
                <w:sz w:val="16"/>
                <w:szCs w:val="16"/>
                <w:lang w:val="es-MX"/>
              </w:rPr>
            </w:pPr>
            <w:r w:rsidRPr="00BE63E3">
              <w:rPr>
                <w:rFonts w:ascii="ITC Avant Garde" w:hAnsi="ITC Avant Garde"/>
                <w:sz w:val="16"/>
                <w:szCs w:val="16"/>
                <w:lang w:val="es-MX"/>
              </w:rPr>
              <w:t>Construcción de escalerilla por metro lineal</w:t>
            </w:r>
          </w:p>
          <w:p w:rsidR="00A347F0" w:rsidRPr="00BE63E3" w:rsidRDefault="003008BC" w:rsidP="00556A48">
            <w:pPr>
              <w:pStyle w:val="Prrafodelista"/>
              <w:numPr>
                <w:ilvl w:val="0"/>
                <w:numId w:val="15"/>
              </w:numPr>
              <w:jc w:val="left"/>
              <w:rPr>
                <w:rFonts w:ascii="ITC Avant Garde" w:hAnsi="ITC Avant Garde"/>
                <w:sz w:val="16"/>
                <w:szCs w:val="16"/>
                <w:lang w:val="es-MX"/>
              </w:rPr>
            </w:pPr>
            <w:r w:rsidRPr="00BE63E3">
              <w:rPr>
                <w:rFonts w:ascii="ITC Avant Garde" w:hAnsi="ITC Avant Garde"/>
                <w:sz w:val="16"/>
                <w:szCs w:val="16"/>
                <w:lang w:val="es-MX"/>
              </w:rPr>
              <w:t>Escalerilla y fibra por metro lineal</w:t>
            </w:r>
          </w:p>
        </w:tc>
      </w:tr>
      <w:tr w:rsidR="00A347F0" w:rsidRPr="00A835B5" w:rsidTr="003008BC">
        <w:trPr>
          <w:cantSplit/>
        </w:trPr>
        <w:tc>
          <w:tcPr>
            <w:tcW w:w="2263" w:type="dxa"/>
            <w:vMerge/>
            <w:shd w:val="clear" w:color="auto" w:fill="auto"/>
            <w:vAlign w:val="center"/>
          </w:tcPr>
          <w:p w:rsidR="00A347F0" w:rsidRPr="00BE63E3" w:rsidRDefault="00A347F0" w:rsidP="003008BC">
            <w:pPr>
              <w:ind w:left="22"/>
              <w:jc w:val="left"/>
              <w:rPr>
                <w:rFonts w:ascii="ITC Avant Garde" w:hAnsi="ITC Avant Garde"/>
                <w:sz w:val="16"/>
                <w:szCs w:val="16"/>
                <w:lang w:val="es-MX"/>
              </w:rPr>
            </w:pPr>
          </w:p>
        </w:tc>
        <w:tc>
          <w:tcPr>
            <w:tcW w:w="6230" w:type="dxa"/>
            <w:shd w:val="clear" w:color="auto" w:fill="auto"/>
          </w:tcPr>
          <w:p w:rsidR="003008BC" w:rsidRPr="00BE63E3" w:rsidRDefault="003008BC" w:rsidP="003008BC">
            <w:pPr>
              <w:jc w:val="left"/>
              <w:rPr>
                <w:rFonts w:ascii="ITC Avant Garde" w:hAnsi="ITC Avant Garde"/>
                <w:sz w:val="16"/>
                <w:szCs w:val="16"/>
                <w:lang w:val="es-MX"/>
              </w:rPr>
            </w:pPr>
            <w:r w:rsidRPr="00BE63E3">
              <w:rPr>
                <w:rFonts w:ascii="ITC Avant Garde" w:hAnsi="ITC Avant Garde"/>
                <w:sz w:val="16"/>
                <w:szCs w:val="16"/>
                <w:lang w:val="es-MX"/>
              </w:rPr>
              <w:t>Servicio de Anexo de Caja de Distribución</w:t>
            </w:r>
          </w:p>
          <w:p w:rsidR="003008BC" w:rsidRPr="00BE63E3" w:rsidRDefault="003008BC" w:rsidP="00556A48">
            <w:pPr>
              <w:pStyle w:val="Prrafodelista"/>
              <w:numPr>
                <w:ilvl w:val="0"/>
                <w:numId w:val="14"/>
              </w:numPr>
              <w:jc w:val="left"/>
              <w:rPr>
                <w:rFonts w:ascii="ITC Avant Garde" w:hAnsi="ITC Avant Garde"/>
                <w:sz w:val="16"/>
                <w:szCs w:val="16"/>
                <w:lang w:val="es-MX"/>
              </w:rPr>
            </w:pPr>
            <w:r w:rsidRPr="00BE63E3">
              <w:rPr>
                <w:rFonts w:ascii="ITC Avant Garde" w:hAnsi="ITC Avant Garde"/>
                <w:sz w:val="16"/>
                <w:szCs w:val="16"/>
                <w:lang w:val="es-MX"/>
              </w:rPr>
              <w:t xml:space="preserve">Instalación de Anexo de Caja de Distribución * (Incluye el costo de instalación para el Anexo de Caja de Distribución y el Cableado </w:t>
            </w:r>
            <w:proofErr w:type="spellStart"/>
            <w:r w:rsidRPr="00BE63E3">
              <w:rPr>
                <w:rFonts w:ascii="ITC Avant Garde" w:hAnsi="ITC Avant Garde"/>
                <w:sz w:val="16"/>
                <w:szCs w:val="16"/>
                <w:lang w:val="es-MX"/>
              </w:rPr>
              <w:t>Multipar</w:t>
            </w:r>
            <w:proofErr w:type="spellEnd"/>
            <w:r w:rsidRPr="00BE63E3">
              <w:rPr>
                <w:rFonts w:ascii="ITC Avant Garde" w:hAnsi="ITC Avant Garde"/>
                <w:sz w:val="16"/>
                <w:szCs w:val="16"/>
                <w:lang w:val="es-MX"/>
              </w:rPr>
              <w:t xml:space="preserve"> asociado)</w:t>
            </w:r>
          </w:p>
          <w:p w:rsidR="003008BC" w:rsidRPr="00BE63E3" w:rsidRDefault="003008BC" w:rsidP="00556A48">
            <w:pPr>
              <w:pStyle w:val="Prrafodelista"/>
              <w:numPr>
                <w:ilvl w:val="0"/>
                <w:numId w:val="14"/>
              </w:numPr>
              <w:jc w:val="left"/>
              <w:rPr>
                <w:rFonts w:ascii="ITC Avant Garde" w:hAnsi="ITC Avant Garde"/>
                <w:sz w:val="16"/>
                <w:szCs w:val="16"/>
                <w:lang w:val="es-MX"/>
              </w:rPr>
            </w:pPr>
            <w:r w:rsidRPr="00BE63E3">
              <w:rPr>
                <w:rFonts w:ascii="ITC Avant Garde" w:hAnsi="ITC Avant Garde"/>
                <w:sz w:val="16"/>
                <w:szCs w:val="16"/>
                <w:lang w:val="es-MX"/>
              </w:rPr>
              <w:t xml:space="preserve">Tablilla de 100 </w:t>
            </w:r>
            <w:r w:rsidR="00F2544C" w:rsidRPr="00BE63E3">
              <w:rPr>
                <w:rFonts w:ascii="ITC Avant Garde" w:hAnsi="ITC Avant Garde"/>
                <w:sz w:val="16"/>
                <w:szCs w:val="16"/>
                <w:lang w:val="es-MX"/>
              </w:rPr>
              <w:t>usuarios</w:t>
            </w:r>
          </w:p>
          <w:p w:rsidR="00A347F0" w:rsidRPr="00BE63E3" w:rsidRDefault="003008BC" w:rsidP="00556A48">
            <w:pPr>
              <w:pStyle w:val="Prrafodelista"/>
              <w:numPr>
                <w:ilvl w:val="0"/>
                <w:numId w:val="14"/>
              </w:numPr>
              <w:jc w:val="left"/>
              <w:rPr>
                <w:rFonts w:ascii="ITC Avant Garde" w:hAnsi="ITC Avant Garde"/>
                <w:sz w:val="16"/>
                <w:szCs w:val="16"/>
                <w:lang w:val="es-MX"/>
              </w:rPr>
            </w:pPr>
            <w:r w:rsidRPr="00BE63E3">
              <w:rPr>
                <w:rFonts w:ascii="ITC Avant Garde" w:hAnsi="ITC Avant Garde"/>
                <w:sz w:val="16"/>
                <w:szCs w:val="16"/>
                <w:lang w:val="es-MX"/>
              </w:rPr>
              <w:t>Renta anual por el Anexo a Caja de Distribución</w:t>
            </w:r>
          </w:p>
        </w:tc>
      </w:tr>
    </w:tbl>
    <w:p w:rsidR="00A347F0" w:rsidRPr="00BE63E3" w:rsidRDefault="00A347F0" w:rsidP="00A347F0">
      <w:pPr>
        <w:ind w:right="565"/>
        <w:rPr>
          <w:rFonts w:ascii="ITC Avant Garde" w:hAnsi="ITC Avant Garde"/>
          <w:i/>
          <w:lang w:val="es-MX"/>
        </w:rPr>
      </w:pPr>
    </w:p>
    <w:p w:rsidR="00DE7A5B" w:rsidRPr="00BE63E3" w:rsidRDefault="00DE7A5B" w:rsidP="00DE7A5B">
      <w:pPr>
        <w:pStyle w:val="Encadr3"/>
        <w:rPr>
          <w:rFonts w:ascii="ITC Avant Garde" w:hAnsi="ITC Avant Garde"/>
          <w:lang w:val="es-MX"/>
        </w:rPr>
      </w:pPr>
      <w:r w:rsidRPr="00BE63E3">
        <w:rPr>
          <w:rFonts w:ascii="ITC Avant Garde" w:hAnsi="ITC Avant Garde"/>
          <w:lang w:val="es-MX"/>
        </w:rPr>
        <w:t>Criterio 5: El modelo debe poder</w:t>
      </w:r>
      <w:r w:rsidR="00FB771A" w:rsidRPr="00BE63E3">
        <w:rPr>
          <w:rFonts w:ascii="ITC Avant Garde" w:hAnsi="ITC Avant Garde"/>
          <w:lang w:val="es-MX"/>
        </w:rPr>
        <w:t xml:space="preserve"> calcular</w:t>
      </w:r>
      <w:r w:rsidRPr="00BE63E3">
        <w:rPr>
          <w:rFonts w:ascii="ITC Avant Garde" w:hAnsi="ITC Avant Garde"/>
          <w:lang w:val="es-MX"/>
        </w:rPr>
        <w:t xml:space="preserve"> </w:t>
      </w:r>
      <w:r w:rsidR="003008BC" w:rsidRPr="00BE63E3">
        <w:rPr>
          <w:rFonts w:ascii="ITC Avant Garde" w:hAnsi="ITC Avant Garde"/>
          <w:lang w:val="es-MX"/>
        </w:rPr>
        <w:t>los</w:t>
      </w:r>
      <w:r w:rsidRPr="00BE63E3">
        <w:rPr>
          <w:rFonts w:ascii="ITC Avant Garde" w:hAnsi="ITC Avant Garde"/>
          <w:lang w:val="es-MX"/>
        </w:rPr>
        <w:t xml:space="preserve"> costos </w:t>
      </w:r>
      <w:r w:rsidR="003008BC" w:rsidRPr="00BE63E3">
        <w:rPr>
          <w:rFonts w:ascii="ITC Avant Garde" w:hAnsi="ITC Avant Garde"/>
          <w:lang w:val="es-MX"/>
        </w:rPr>
        <w:t xml:space="preserve">necesarios </w:t>
      </w:r>
      <w:r w:rsidRPr="00BE63E3">
        <w:rPr>
          <w:rFonts w:ascii="ITC Avant Garde" w:hAnsi="ITC Avant Garde"/>
          <w:lang w:val="es-MX"/>
        </w:rPr>
        <w:t>para proporcionar un conjunto determinado de servicios, teniendo en cuenta todos los servicios para capturar los incrementos de costos pertinentes.</w:t>
      </w:r>
    </w:p>
    <w:p w:rsidR="00DE7A5B" w:rsidRPr="00BE63E3" w:rsidRDefault="00DE7A5B" w:rsidP="00DE7A5B">
      <w:pPr>
        <w:rPr>
          <w:rFonts w:ascii="ITC Avant Garde" w:hAnsi="ITC Avant Garde"/>
          <w:lang w:val="es-MX"/>
        </w:rPr>
      </w:pPr>
    </w:p>
    <w:p w:rsidR="00DE7A5B" w:rsidRPr="00BE63E3" w:rsidRDefault="00DE7A5B" w:rsidP="00BC0096">
      <w:pPr>
        <w:pStyle w:val="Ttulo3"/>
        <w:rPr>
          <w:rFonts w:ascii="ITC Avant Garde" w:hAnsi="ITC Avant Garde"/>
          <w:lang w:val="es-MX"/>
        </w:rPr>
      </w:pPr>
      <w:bookmarkStart w:id="82" w:name="_Toc525665263"/>
      <w:bookmarkStart w:id="83" w:name="_Toc525665642"/>
      <w:bookmarkStart w:id="84" w:name="_Toc526854343"/>
      <w:r w:rsidRPr="00BE63E3">
        <w:rPr>
          <w:rFonts w:ascii="ITC Avant Garde" w:hAnsi="ITC Avant Garde"/>
          <w:lang w:val="es-MX"/>
        </w:rPr>
        <w:t>Nivel de eficiencia del operador modelado</w:t>
      </w:r>
      <w:bookmarkEnd w:id="82"/>
      <w:bookmarkEnd w:id="83"/>
      <w:bookmarkEnd w:id="84"/>
    </w:p>
    <w:p w:rsidR="00DE7A5B" w:rsidRPr="00BE63E3" w:rsidRDefault="00BC0096" w:rsidP="00BC0096">
      <w:pPr>
        <w:pStyle w:val="Ttulo4"/>
        <w:rPr>
          <w:rFonts w:ascii="ITC Avant Garde" w:hAnsi="ITC Avant Garde"/>
          <w:lang w:val="es-MX"/>
        </w:rPr>
      </w:pPr>
      <w:bookmarkStart w:id="85" w:name="_Toc525665264"/>
      <w:bookmarkStart w:id="86" w:name="_Toc525665643"/>
      <w:bookmarkStart w:id="87" w:name="_Toc526854344"/>
      <w:r w:rsidRPr="00BE63E3">
        <w:rPr>
          <w:rFonts w:ascii="ITC Avant Garde" w:hAnsi="ITC Avant Garde"/>
          <w:lang w:val="es-MX"/>
        </w:rPr>
        <w:t>Consideración de activos</w:t>
      </w:r>
      <w:r w:rsidR="005A2E48" w:rsidRPr="00BE63E3">
        <w:rPr>
          <w:rFonts w:ascii="ITC Avant Garde" w:hAnsi="ITC Avant Garde"/>
          <w:lang w:val="es-MX"/>
        </w:rPr>
        <w:t xml:space="preserve"> modernos</w:t>
      </w:r>
      <w:r w:rsidRPr="00BE63E3">
        <w:rPr>
          <w:rFonts w:ascii="ITC Avant Garde" w:hAnsi="ITC Avant Garde"/>
          <w:lang w:val="es-MX"/>
        </w:rPr>
        <w:t xml:space="preserve"> equivalentes</w:t>
      </w:r>
      <w:bookmarkEnd w:id="87"/>
      <w:r w:rsidRPr="00BE63E3">
        <w:rPr>
          <w:rFonts w:ascii="ITC Avant Garde" w:hAnsi="ITC Avant Garde"/>
          <w:lang w:val="es-MX"/>
        </w:rPr>
        <w:t xml:space="preserve"> </w:t>
      </w:r>
      <w:bookmarkEnd w:id="85"/>
      <w:bookmarkEnd w:id="86"/>
    </w:p>
    <w:p w:rsidR="00BC0096" w:rsidRPr="00BE63E3" w:rsidRDefault="00BC0096" w:rsidP="00BC0096">
      <w:pPr>
        <w:rPr>
          <w:rFonts w:ascii="ITC Avant Garde" w:hAnsi="ITC Avant Garde"/>
          <w:lang w:val="es-MX"/>
        </w:rPr>
      </w:pPr>
      <w:r w:rsidRPr="00BE63E3">
        <w:rPr>
          <w:rFonts w:ascii="ITC Avant Garde" w:hAnsi="ITC Avant Garde"/>
          <w:lang w:val="es-MX"/>
        </w:rPr>
        <w:t xml:space="preserve">En muchos casos, es posible que se hayan desarrollado nuevas tecnologías </w:t>
      </w:r>
      <w:r w:rsidR="003008BC" w:rsidRPr="00BE63E3">
        <w:rPr>
          <w:rFonts w:ascii="ITC Avant Garde" w:hAnsi="ITC Avant Garde"/>
          <w:lang w:val="es-MX"/>
        </w:rPr>
        <w:t>desde</w:t>
      </w:r>
      <w:r w:rsidRPr="00BE63E3">
        <w:rPr>
          <w:rFonts w:ascii="ITC Avant Garde" w:hAnsi="ITC Avant Garde"/>
          <w:lang w:val="es-MX"/>
        </w:rPr>
        <w:t xml:space="preserve"> que se </w:t>
      </w:r>
      <w:r w:rsidR="003008BC" w:rsidRPr="00BE63E3">
        <w:rPr>
          <w:rFonts w:ascii="ITC Avant Garde" w:hAnsi="ITC Avant Garde"/>
          <w:lang w:val="es-MX"/>
        </w:rPr>
        <w:t>despl</w:t>
      </w:r>
      <w:r w:rsidR="005A2E48" w:rsidRPr="00BE63E3">
        <w:rPr>
          <w:rFonts w:ascii="ITC Avant Garde" w:hAnsi="ITC Avant Garde"/>
          <w:lang w:val="es-MX"/>
        </w:rPr>
        <w:t>egó</w:t>
      </w:r>
      <w:r w:rsidR="003008BC" w:rsidRPr="00BE63E3">
        <w:rPr>
          <w:rFonts w:ascii="ITC Avant Garde" w:hAnsi="ITC Avant Garde"/>
          <w:lang w:val="es-MX"/>
        </w:rPr>
        <w:t xml:space="preserve"> la red</w:t>
      </w:r>
      <w:r w:rsidRPr="00BE63E3">
        <w:rPr>
          <w:rFonts w:ascii="ITC Avant Garde" w:hAnsi="ITC Avant Garde"/>
          <w:lang w:val="es-MX"/>
        </w:rPr>
        <w:t xml:space="preserve"> existente </w:t>
      </w:r>
      <w:r w:rsidR="003008BC" w:rsidRPr="00BE63E3">
        <w:rPr>
          <w:rFonts w:ascii="ITC Avant Garde" w:hAnsi="ITC Avant Garde"/>
          <w:lang w:val="es-MX"/>
        </w:rPr>
        <w:t>d</w:t>
      </w:r>
      <w:r w:rsidRPr="00BE63E3">
        <w:rPr>
          <w:rFonts w:ascii="ITC Avant Garde" w:hAnsi="ITC Avant Garde"/>
          <w:lang w:val="es-MX"/>
        </w:rPr>
        <w:t xml:space="preserve">el operador SMP. También puede ocurrir que los activos existentes </w:t>
      </w:r>
      <w:r w:rsidR="003008BC" w:rsidRPr="00BE63E3">
        <w:rPr>
          <w:rFonts w:ascii="ITC Avant Garde" w:hAnsi="ITC Avant Garde"/>
          <w:lang w:val="es-MX"/>
        </w:rPr>
        <w:t xml:space="preserve">ya </w:t>
      </w:r>
      <w:r w:rsidRPr="00BE63E3">
        <w:rPr>
          <w:rFonts w:ascii="ITC Avant Garde" w:hAnsi="ITC Avant Garde"/>
          <w:lang w:val="es-MX"/>
        </w:rPr>
        <w:t xml:space="preserve">no puedan comprarse. Siempre que las nuevas tecnologías puedan realizar funciones llevadas a cabo por el activo existente con la misma o mejor calidad, el activo </w:t>
      </w:r>
      <w:r w:rsidR="005A2E48" w:rsidRPr="00BE63E3">
        <w:rPr>
          <w:rFonts w:ascii="ITC Avant Garde" w:hAnsi="ITC Avant Garde"/>
          <w:lang w:val="es-MX"/>
        </w:rPr>
        <w:t xml:space="preserve">moderno </w:t>
      </w:r>
      <w:r w:rsidRPr="00BE63E3">
        <w:rPr>
          <w:rFonts w:ascii="ITC Avant Garde" w:hAnsi="ITC Avant Garde"/>
          <w:lang w:val="es-MX"/>
        </w:rPr>
        <w:t>equivalente (MEA</w:t>
      </w:r>
      <w:r w:rsidR="00D547DD" w:rsidRPr="00BE63E3">
        <w:rPr>
          <w:rFonts w:ascii="ITC Avant Garde" w:hAnsi="ITC Avant Garde"/>
          <w:lang w:val="es-MX"/>
        </w:rPr>
        <w:t>,</w:t>
      </w:r>
      <w:r w:rsidR="00B2529B" w:rsidRPr="00BE63E3">
        <w:rPr>
          <w:rFonts w:ascii="ITC Avant Garde" w:hAnsi="ITC Avant Garde"/>
          <w:lang w:val="es-MX"/>
        </w:rPr>
        <w:t xml:space="preserve"> por sus siglas en inglés</w:t>
      </w:r>
      <w:r w:rsidR="00D547DD" w:rsidRPr="00BE63E3">
        <w:rPr>
          <w:rFonts w:ascii="ITC Avant Garde" w:hAnsi="ITC Avant Garde"/>
          <w:lang w:val="es-MX"/>
        </w:rPr>
        <w:t xml:space="preserve"> </w:t>
      </w:r>
      <w:r w:rsidR="00D547DD" w:rsidRPr="00BE63E3">
        <w:rPr>
          <w:rFonts w:ascii="ITC Avant Garde" w:hAnsi="ITC Avant Garde"/>
          <w:i/>
          <w:lang w:val="es-MX"/>
        </w:rPr>
        <w:t xml:space="preserve">Modern </w:t>
      </w:r>
      <w:proofErr w:type="spellStart"/>
      <w:r w:rsidR="00D547DD" w:rsidRPr="00BE63E3">
        <w:rPr>
          <w:rFonts w:ascii="ITC Avant Garde" w:hAnsi="ITC Avant Garde"/>
          <w:i/>
          <w:lang w:val="es-MX"/>
        </w:rPr>
        <w:t>Equivalent</w:t>
      </w:r>
      <w:proofErr w:type="spellEnd"/>
      <w:r w:rsidR="00D547DD" w:rsidRPr="00BE63E3">
        <w:rPr>
          <w:rFonts w:ascii="ITC Avant Garde" w:hAnsi="ITC Avant Garde"/>
          <w:i/>
          <w:lang w:val="es-MX"/>
        </w:rPr>
        <w:t xml:space="preserve"> </w:t>
      </w:r>
      <w:proofErr w:type="spellStart"/>
      <w:r w:rsidR="00D547DD" w:rsidRPr="00BE63E3">
        <w:rPr>
          <w:rFonts w:ascii="ITC Avant Garde" w:hAnsi="ITC Avant Garde"/>
          <w:i/>
          <w:lang w:val="es-MX"/>
        </w:rPr>
        <w:t>Asset</w:t>
      </w:r>
      <w:proofErr w:type="spellEnd"/>
      <w:r w:rsidRPr="00BE63E3">
        <w:rPr>
          <w:rFonts w:ascii="ITC Avant Garde" w:hAnsi="ITC Avant Garde"/>
          <w:lang w:val="es-MX"/>
        </w:rPr>
        <w:t>) puede, por lo tanto, ser un activo utilizando la nueva tecnología.</w:t>
      </w:r>
    </w:p>
    <w:p w:rsidR="00BC0096" w:rsidRPr="00BE63E3" w:rsidRDefault="00BC0096" w:rsidP="00BC0096">
      <w:pPr>
        <w:rPr>
          <w:rFonts w:ascii="ITC Avant Garde" w:hAnsi="ITC Avant Garde"/>
          <w:lang w:val="es-MX"/>
        </w:rPr>
      </w:pPr>
      <w:r w:rsidRPr="00BE63E3">
        <w:rPr>
          <w:rFonts w:ascii="ITC Avant Garde" w:hAnsi="ITC Avant Garde"/>
          <w:lang w:val="es-MX"/>
        </w:rPr>
        <w:t>Además, el uso del activo</w:t>
      </w:r>
      <w:r w:rsidR="005A2E48" w:rsidRPr="00BE63E3">
        <w:rPr>
          <w:rFonts w:ascii="ITC Avant Garde" w:hAnsi="ITC Avant Garde"/>
          <w:lang w:val="es-MX"/>
        </w:rPr>
        <w:t xml:space="preserve"> moderno</w:t>
      </w:r>
      <w:r w:rsidRPr="00BE63E3">
        <w:rPr>
          <w:rFonts w:ascii="ITC Avant Garde" w:hAnsi="ITC Avant Garde"/>
          <w:lang w:val="es-MX"/>
        </w:rPr>
        <w:t xml:space="preserve"> equivalente </w:t>
      </w:r>
      <w:r w:rsidR="003008BC" w:rsidRPr="00BE63E3">
        <w:rPr>
          <w:rFonts w:ascii="ITC Avant Garde" w:hAnsi="ITC Avant Garde"/>
          <w:lang w:val="es-MX"/>
        </w:rPr>
        <w:t>es inherente</w:t>
      </w:r>
      <w:r w:rsidRPr="00BE63E3">
        <w:rPr>
          <w:rFonts w:ascii="ITC Avant Garde" w:hAnsi="ITC Avant Garde"/>
          <w:lang w:val="es-MX"/>
        </w:rPr>
        <w:t xml:space="preserve"> </w:t>
      </w:r>
      <w:r w:rsidR="003008BC" w:rsidRPr="00BE63E3">
        <w:rPr>
          <w:rFonts w:ascii="ITC Avant Garde" w:hAnsi="ITC Avant Garde"/>
          <w:lang w:val="es-MX"/>
        </w:rPr>
        <w:t>a</w:t>
      </w:r>
      <w:r w:rsidRPr="00BE63E3">
        <w:rPr>
          <w:rFonts w:ascii="ITC Avant Garde" w:hAnsi="ITC Avant Garde"/>
          <w:lang w:val="es-MX"/>
        </w:rPr>
        <w:t>l concepto de costos prospectivos</w:t>
      </w:r>
      <w:r w:rsidR="003008BC" w:rsidRPr="00BE63E3">
        <w:rPr>
          <w:rFonts w:ascii="ITC Avant Garde" w:hAnsi="ITC Avant Garde"/>
          <w:lang w:val="es-MX"/>
        </w:rPr>
        <w:t xml:space="preserve"> (</w:t>
      </w:r>
      <w:r w:rsidR="003008BC" w:rsidRPr="00BE63E3">
        <w:rPr>
          <w:rFonts w:ascii="ITC Avant Garde" w:hAnsi="ITC Avant Garde"/>
          <w:i/>
          <w:lang w:val="es-MX"/>
        </w:rPr>
        <w:t xml:space="preserve">Forward </w:t>
      </w:r>
      <w:proofErr w:type="spellStart"/>
      <w:r w:rsidR="003008BC" w:rsidRPr="00BE63E3">
        <w:rPr>
          <w:rFonts w:ascii="ITC Avant Garde" w:hAnsi="ITC Avant Garde"/>
          <w:i/>
          <w:lang w:val="es-MX"/>
        </w:rPr>
        <w:t>Looking</w:t>
      </w:r>
      <w:proofErr w:type="spellEnd"/>
      <w:r w:rsidR="003008BC" w:rsidRPr="00BE63E3">
        <w:rPr>
          <w:rFonts w:ascii="ITC Avant Garde" w:hAnsi="ITC Avant Garde"/>
          <w:i/>
          <w:lang w:val="es-MX"/>
        </w:rPr>
        <w:t xml:space="preserve"> </w:t>
      </w:r>
      <w:proofErr w:type="spellStart"/>
      <w:r w:rsidR="003008BC" w:rsidRPr="00BE63E3">
        <w:rPr>
          <w:rFonts w:ascii="ITC Avant Garde" w:hAnsi="ITC Avant Garde"/>
          <w:i/>
          <w:lang w:val="es-MX"/>
        </w:rPr>
        <w:t>costs</w:t>
      </w:r>
      <w:proofErr w:type="spellEnd"/>
      <w:r w:rsidR="003008BC" w:rsidRPr="00BE63E3">
        <w:rPr>
          <w:rFonts w:ascii="ITC Avant Garde" w:hAnsi="ITC Avant Garde"/>
          <w:lang w:val="es-MX"/>
        </w:rPr>
        <w:t>)</w:t>
      </w:r>
      <w:r w:rsidRPr="00BE63E3">
        <w:rPr>
          <w:rFonts w:ascii="ITC Avant Garde" w:hAnsi="ITC Avant Garde"/>
          <w:lang w:val="es-MX"/>
        </w:rPr>
        <w:t xml:space="preserve"> que implica una perspectiva a largo plazo y permite reflejar el nivel de los costos que se producirían en un mercado competitivo y contestable.</w:t>
      </w:r>
    </w:p>
    <w:p w:rsidR="00BC0096" w:rsidRPr="00BE63E3" w:rsidRDefault="00BC0096" w:rsidP="00BC0096">
      <w:pPr>
        <w:rPr>
          <w:rFonts w:ascii="ITC Avant Garde" w:hAnsi="ITC Avant Garde"/>
          <w:lang w:val="es-MX"/>
        </w:rPr>
      </w:pPr>
      <w:r w:rsidRPr="00BE63E3">
        <w:rPr>
          <w:rFonts w:ascii="ITC Avant Garde" w:hAnsi="ITC Avant Garde"/>
          <w:lang w:val="es-MX"/>
        </w:rPr>
        <w:t xml:space="preserve">El concepto de MEA permite calcular el costo que enfrentaría un nuevo operador eficiente que invierta hoy en redes de </w:t>
      </w:r>
      <w:r w:rsidR="00CC25BE">
        <w:rPr>
          <w:rFonts w:ascii="ITC Avant Garde" w:hAnsi="ITC Avant Garde"/>
          <w:lang w:val="es-MX"/>
        </w:rPr>
        <w:t>tele</w:t>
      </w:r>
      <w:r w:rsidRPr="00BE63E3">
        <w:rPr>
          <w:rFonts w:ascii="ITC Avant Garde" w:hAnsi="ITC Avant Garde"/>
          <w:lang w:val="es-MX"/>
        </w:rPr>
        <w:t>comunicaciones fijas.</w:t>
      </w:r>
      <w:r w:rsidR="00D547DD" w:rsidRPr="00BE63E3">
        <w:rPr>
          <w:rFonts w:ascii="ITC Avant Garde" w:hAnsi="ITC Avant Garde"/>
          <w:lang w:val="es-MX"/>
        </w:rPr>
        <w:t xml:space="preserve"> </w:t>
      </w:r>
      <w:r w:rsidRPr="00BE63E3">
        <w:rPr>
          <w:rFonts w:ascii="ITC Avant Garde" w:hAnsi="ITC Avant Garde"/>
          <w:lang w:val="es-MX"/>
        </w:rPr>
        <w:t>Desde un punto de vista regulatorio, el concepto de MEA puede ser muy útil ya que:</w:t>
      </w:r>
    </w:p>
    <w:p w:rsidR="00BC0096" w:rsidRPr="00BE63E3" w:rsidRDefault="00BC0096" w:rsidP="00D547DD">
      <w:pPr>
        <w:pStyle w:val="Listaconvietas2"/>
        <w:rPr>
          <w:rFonts w:ascii="ITC Avant Garde" w:hAnsi="ITC Avant Garde"/>
          <w:lang w:val="es-MX"/>
        </w:rPr>
      </w:pPr>
      <w:r w:rsidRPr="00BE63E3">
        <w:rPr>
          <w:rFonts w:ascii="ITC Avant Garde" w:hAnsi="ITC Avant Garde"/>
          <w:lang w:val="es-MX"/>
        </w:rPr>
        <w:t xml:space="preserve">Permite a las autoridades reguladoras comprender mejor los costos </w:t>
      </w:r>
      <w:r w:rsidR="00D547DD" w:rsidRPr="00BE63E3">
        <w:rPr>
          <w:rFonts w:ascii="ITC Avant Garde" w:hAnsi="ITC Avant Garde"/>
          <w:lang w:val="es-MX"/>
        </w:rPr>
        <w:t>prospectivos</w:t>
      </w:r>
      <w:r w:rsidRPr="00BE63E3">
        <w:rPr>
          <w:rFonts w:ascii="ITC Avant Garde" w:hAnsi="ITC Avant Garde"/>
          <w:lang w:val="es-MX"/>
        </w:rPr>
        <w:t xml:space="preserve"> y permite reflejar el nivel de los costos que se producirían en un mercado competitivo y contestable</w:t>
      </w:r>
      <w:r w:rsidR="00D547DD" w:rsidRPr="00BE63E3">
        <w:rPr>
          <w:rFonts w:ascii="ITC Avant Garde" w:hAnsi="ITC Avant Garde"/>
          <w:lang w:val="es-MX"/>
        </w:rPr>
        <w:t>;</w:t>
      </w:r>
    </w:p>
    <w:p w:rsidR="00BC0096" w:rsidRPr="00BE63E3" w:rsidRDefault="00BC0096" w:rsidP="00D547DD">
      <w:pPr>
        <w:pStyle w:val="Listaconvietas2"/>
        <w:rPr>
          <w:rFonts w:ascii="ITC Avant Garde" w:hAnsi="ITC Avant Garde"/>
          <w:lang w:val="es-MX"/>
        </w:rPr>
      </w:pPr>
      <w:r w:rsidRPr="00BE63E3">
        <w:rPr>
          <w:rFonts w:ascii="ITC Avant Garde" w:hAnsi="ITC Avant Garde"/>
          <w:lang w:val="es-MX"/>
        </w:rPr>
        <w:t>Calcula costos eficientes y, por lo tanto, permite asegurarse de que los operadores que compran acceso a un activo regulado no paguen por las ineficiencias del operador regulado;</w:t>
      </w:r>
    </w:p>
    <w:p w:rsidR="00BC0096" w:rsidRPr="00BE63E3" w:rsidRDefault="00BC0096" w:rsidP="00D547DD">
      <w:pPr>
        <w:pStyle w:val="Listaconvietas2"/>
        <w:rPr>
          <w:rFonts w:ascii="ITC Avant Garde" w:hAnsi="ITC Avant Garde"/>
          <w:lang w:val="es-MX"/>
        </w:rPr>
      </w:pPr>
      <w:r w:rsidRPr="00BE63E3">
        <w:rPr>
          <w:rFonts w:ascii="ITC Avant Garde" w:hAnsi="ITC Avant Garde"/>
          <w:lang w:val="es-MX"/>
        </w:rPr>
        <w:lastRenderedPageBreak/>
        <w:t>Permite enviar señales apropiadas "</w:t>
      </w:r>
      <w:proofErr w:type="spellStart"/>
      <w:r w:rsidR="00D547DD" w:rsidRPr="00BE63E3">
        <w:rPr>
          <w:rFonts w:ascii="ITC Avant Garde" w:hAnsi="ITC Avant Garde"/>
          <w:i/>
          <w:lang w:val="es-MX"/>
        </w:rPr>
        <w:t>make</w:t>
      </w:r>
      <w:proofErr w:type="spellEnd"/>
      <w:r w:rsidR="00D547DD" w:rsidRPr="00BE63E3">
        <w:rPr>
          <w:rFonts w:ascii="ITC Avant Garde" w:hAnsi="ITC Avant Garde"/>
          <w:i/>
          <w:lang w:val="es-MX"/>
        </w:rPr>
        <w:t xml:space="preserve"> </w:t>
      </w:r>
      <w:proofErr w:type="spellStart"/>
      <w:r w:rsidR="00D547DD" w:rsidRPr="00BE63E3">
        <w:rPr>
          <w:rFonts w:ascii="ITC Avant Garde" w:hAnsi="ITC Avant Garde"/>
          <w:i/>
          <w:lang w:val="es-MX"/>
        </w:rPr>
        <w:t>or</w:t>
      </w:r>
      <w:proofErr w:type="spellEnd"/>
      <w:r w:rsidR="00D547DD" w:rsidRPr="00BE63E3">
        <w:rPr>
          <w:rFonts w:ascii="ITC Avant Garde" w:hAnsi="ITC Avant Garde"/>
          <w:i/>
          <w:lang w:val="es-MX"/>
        </w:rPr>
        <w:t xml:space="preserve"> </w:t>
      </w:r>
      <w:proofErr w:type="spellStart"/>
      <w:r w:rsidR="00D547DD" w:rsidRPr="00BE63E3">
        <w:rPr>
          <w:rFonts w:ascii="ITC Avant Garde" w:hAnsi="ITC Avant Garde"/>
          <w:i/>
          <w:lang w:val="es-MX"/>
        </w:rPr>
        <w:t>buy</w:t>
      </w:r>
      <w:proofErr w:type="spellEnd"/>
      <w:r w:rsidRPr="00BE63E3">
        <w:rPr>
          <w:rFonts w:ascii="ITC Avant Garde" w:hAnsi="ITC Avant Garde"/>
          <w:lang w:val="es-MX"/>
        </w:rPr>
        <w:t xml:space="preserve">". De hecho, como los precios regulados para acceder a los activos se basan en el MEA, es equivalente para un operador alternativo comprar </w:t>
      </w:r>
      <w:r w:rsidR="00D547DD" w:rsidRPr="00BE63E3">
        <w:rPr>
          <w:rFonts w:ascii="ITC Avant Garde" w:hAnsi="ITC Avant Garde"/>
          <w:lang w:val="es-MX"/>
        </w:rPr>
        <w:t xml:space="preserve">un </w:t>
      </w:r>
      <w:r w:rsidRPr="00BE63E3">
        <w:rPr>
          <w:rFonts w:ascii="ITC Avant Garde" w:hAnsi="ITC Avant Garde"/>
          <w:lang w:val="es-MX"/>
        </w:rPr>
        <w:t>acceso o construir un activo equivalente que, por lo tanto, no disuada la inversión en alternativa y promueva la competencia basada en la infraestructura. Este es uno de los aspectos clave de la definición de MEA.</w:t>
      </w:r>
    </w:p>
    <w:p w:rsidR="00BC0096" w:rsidRPr="00BE63E3" w:rsidRDefault="0062140F" w:rsidP="00BC0096">
      <w:pPr>
        <w:rPr>
          <w:rFonts w:ascii="ITC Avant Garde" w:hAnsi="ITC Avant Garde"/>
          <w:lang w:val="es-MX"/>
        </w:rPr>
      </w:pPr>
      <w:r w:rsidRPr="00BE63E3">
        <w:rPr>
          <w:rFonts w:ascii="ITC Avant Garde" w:hAnsi="ITC Avant Garde"/>
          <w:lang w:val="es-MX"/>
        </w:rPr>
        <w:t>E</w:t>
      </w:r>
      <w:r w:rsidR="00BC0096" w:rsidRPr="00BE63E3">
        <w:rPr>
          <w:rFonts w:ascii="ITC Avant Garde" w:hAnsi="ITC Avant Garde"/>
          <w:lang w:val="es-MX"/>
        </w:rPr>
        <w:t xml:space="preserve">l uso de los </w:t>
      </w:r>
      <w:r w:rsidR="00407AD2" w:rsidRPr="00BE63E3">
        <w:rPr>
          <w:rFonts w:ascii="ITC Avant Garde" w:hAnsi="ITC Avant Garde"/>
          <w:lang w:val="es-MX"/>
        </w:rPr>
        <w:t>CIPLP</w:t>
      </w:r>
      <w:r w:rsidR="00BC0096" w:rsidRPr="00BE63E3">
        <w:rPr>
          <w:rFonts w:ascii="ITC Avant Garde" w:hAnsi="ITC Avant Garde"/>
          <w:lang w:val="es-MX"/>
        </w:rPr>
        <w:t xml:space="preserve"> con el MEA garantiza que los costos incurridos de manera ineficiente no sean recuperables</w:t>
      </w:r>
      <w:r w:rsidR="00D547DD" w:rsidRPr="00BE63E3">
        <w:rPr>
          <w:rFonts w:ascii="ITC Avant Garde" w:hAnsi="ITC Avant Garde"/>
          <w:lang w:val="es-MX"/>
        </w:rPr>
        <w:t>,</w:t>
      </w:r>
      <w:r w:rsidR="00BC0096" w:rsidRPr="00BE63E3">
        <w:rPr>
          <w:rFonts w:ascii="ITC Avant Garde" w:hAnsi="ITC Avant Garde"/>
          <w:lang w:val="es-MX"/>
        </w:rPr>
        <w:t xml:space="preserve"> y requiere una evaluación prospectiva de la recuperación de costos de</w:t>
      </w:r>
      <w:r w:rsidR="00D547DD" w:rsidRPr="00BE63E3">
        <w:rPr>
          <w:rFonts w:ascii="ITC Avant Garde" w:hAnsi="ITC Avant Garde"/>
          <w:lang w:val="es-MX"/>
        </w:rPr>
        <w:t>l</w:t>
      </w:r>
      <w:r w:rsidR="00BC0096" w:rsidRPr="00BE63E3">
        <w:rPr>
          <w:rFonts w:ascii="ITC Avant Garde" w:hAnsi="ITC Avant Garde"/>
          <w:lang w:val="es-MX"/>
        </w:rPr>
        <w:t xml:space="preserve"> operador ya que un posible nuevo entrante no está limitado por la recuperación de costos históricos.</w:t>
      </w:r>
    </w:p>
    <w:p w:rsidR="00BC0096" w:rsidRPr="00BE63E3" w:rsidRDefault="00BC0096" w:rsidP="00BC0096">
      <w:pPr>
        <w:rPr>
          <w:rFonts w:ascii="ITC Avant Garde" w:hAnsi="ITC Avant Garde"/>
          <w:lang w:val="es-MX"/>
        </w:rPr>
      </w:pPr>
      <w:r w:rsidRPr="00BE63E3">
        <w:rPr>
          <w:rFonts w:ascii="ITC Avant Garde" w:hAnsi="ITC Avant Garde"/>
          <w:lang w:val="es-MX"/>
        </w:rPr>
        <w:t>Las mejores prácticas internacionales y particularmente la Comisión Europea recomiendan calcular los costos para el bucle local de cobre en función de los costos de una red eficiente moderna:</w:t>
      </w:r>
    </w:p>
    <w:p w:rsidR="00BC0096" w:rsidRPr="00BE63E3" w:rsidRDefault="00BC0096" w:rsidP="00D547DD">
      <w:pPr>
        <w:ind w:left="567" w:right="565"/>
        <w:rPr>
          <w:rFonts w:ascii="ITC Avant Garde" w:hAnsi="ITC Avant Garde"/>
          <w:i/>
          <w:lang w:val="es-MX"/>
        </w:rPr>
      </w:pPr>
      <w:r w:rsidRPr="00BE63E3">
        <w:rPr>
          <w:rFonts w:ascii="ITC Avant Garde" w:hAnsi="ITC Avant Garde"/>
          <w:i/>
          <w:lang w:val="es-MX"/>
        </w:rPr>
        <w:t>"Construye una red moderna y eficiente, que es una red NGA"</w:t>
      </w:r>
      <w:r w:rsidR="00D547DD" w:rsidRPr="00BE63E3">
        <w:rPr>
          <w:rStyle w:val="Refdenotaalpie"/>
          <w:rFonts w:ascii="ITC Avant Garde" w:hAnsi="ITC Avant Garde"/>
          <w:i/>
          <w:lang w:val="es-MX"/>
        </w:rPr>
        <w:footnoteReference w:id="17"/>
      </w:r>
    </w:p>
    <w:p w:rsidR="00253E64" w:rsidRPr="00BE63E3" w:rsidRDefault="00253E64" w:rsidP="00253E64">
      <w:pPr>
        <w:rPr>
          <w:rFonts w:ascii="ITC Avant Garde" w:hAnsi="ITC Avant Garde"/>
          <w:lang w:val="es-MX"/>
        </w:rPr>
      </w:pPr>
      <w:r w:rsidRPr="00BE63E3">
        <w:rPr>
          <w:rFonts w:ascii="ITC Avant Garde" w:hAnsi="ITC Avant Garde"/>
          <w:lang w:val="es-MX"/>
        </w:rPr>
        <w:t>Este enfoque es también recomendado en la Guía de Contabilidad publicada por la U</w:t>
      </w:r>
      <w:r w:rsidR="00B2529B" w:rsidRPr="00BE63E3">
        <w:rPr>
          <w:rFonts w:ascii="ITC Avant Garde" w:hAnsi="ITC Avant Garde"/>
          <w:lang w:val="es-MX"/>
        </w:rPr>
        <w:t xml:space="preserve">nión </w:t>
      </w:r>
      <w:r w:rsidRPr="00BE63E3">
        <w:rPr>
          <w:rFonts w:ascii="ITC Avant Garde" w:hAnsi="ITC Avant Garde"/>
          <w:lang w:val="es-MX"/>
        </w:rPr>
        <w:t>I</w:t>
      </w:r>
      <w:r w:rsidR="00B2529B" w:rsidRPr="00BE63E3">
        <w:rPr>
          <w:rFonts w:ascii="ITC Avant Garde" w:hAnsi="ITC Avant Garde"/>
          <w:lang w:val="es-MX"/>
        </w:rPr>
        <w:t xml:space="preserve">nternacional de </w:t>
      </w:r>
      <w:r w:rsidRPr="00BE63E3">
        <w:rPr>
          <w:rFonts w:ascii="ITC Avant Garde" w:hAnsi="ITC Avant Garde"/>
          <w:lang w:val="es-MX"/>
        </w:rPr>
        <w:t>T</w:t>
      </w:r>
      <w:r w:rsidR="00B2529B" w:rsidRPr="00BE63E3">
        <w:rPr>
          <w:rFonts w:ascii="ITC Avant Garde" w:hAnsi="ITC Avant Garde"/>
          <w:lang w:val="es-MX"/>
        </w:rPr>
        <w:t>elecomunicaciones</w:t>
      </w:r>
      <w:r w:rsidRPr="00BE63E3">
        <w:rPr>
          <w:rFonts w:ascii="ITC Avant Garde" w:hAnsi="ITC Avant Garde"/>
          <w:lang w:val="es-MX"/>
        </w:rPr>
        <w:t>:</w:t>
      </w:r>
      <w:r w:rsidRPr="00BE63E3">
        <w:rPr>
          <w:rStyle w:val="Refdenotaalpie"/>
          <w:rFonts w:ascii="ITC Avant Garde" w:hAnsi="ITC Avant Garde"/>
          <w:lang w:val="es-MX"/>
        </w:rPr>
        <w:footnoteReference w:id="18"/>
      </w:r>
    </w:p>
    <w:p w:rsidR="00253E64" w:rsidRPr="00BE63E3" w:rsidRDefault="00C96820" w:rsidP="00253E64">
      <w:pPr>
        <w:ind w:left="567" w:right="565"/>
        <w:rPr>
          <w:rFonts w:ascii="ITC Avant Garde" w:hAnsi="ITC Avant Garde"/>
          <w:i/>
          <w:lang w:val="es-MX"/>
        </w:rPr>
      </w:pPr>
      <w:r>
        <w:rPr>
          <w:rFonts w:ascii="ITC Avant Garde" w:hAnsi="ITC Avant Garde"/>
          <w:i/>
          <w:lang w:val="es-MX"/>
        </w:rPr>
        <w:t>“</w:t>
      </w:r>
      <w:r w:rsidR="00253E64" w:rsidRPr="00BE63E3">
        <w:rPr>
          <w:rFonts w:ascii="ITC Avant Garde" w:hAnsi="ITC Avant Garde"/>
          <w:i/>
          <w:lang w:val="es-MX"/>
        </w:rPr>
        <w:t>Los "activos equivalentes modernos" (MEA) se deben usar siempre que sea posible, ya que es el criterio de valoración más preciso para reflejar el costo de un operador eficiente, ya que capturará los costos (y eficiencias) asociados que un operador entrante carga, si entra en el mercado en un momento específico "</w:t>
      </w:r>
    </w:p>
    <w:p w:rsidR="00BC0096" w:rsidRPr="00BE63E3" w:rsidRDefault="00BC0096" w:rsidP="00BC0096">
      <w:pPr>
        <w:rPr>
          <w:rFonts w:ascii="ITC Avant Garde" w:hAnsi="ITC Avant Garde"/>
          <w:lang w:val="es-MX"/>
        </w:rPr>
      </w:pPr>
      <w:r w:rsidRPr="00BE63E3">
        <w:rPr>
          <w:rFonts w:ascii="ITC Avant Garde" w:hAnsi="ITC Avant Garde"/>
          <w:lang w:val="es-MX"/>
        </w:rPr>
        <w:t xml:space="preserve">La evaluación del MEA se lleva </w:t>
      </w:r>
      <w:r w:rsidR="00D547DD" w:rsidRPr="00BE63E3">
        <w:rPr>
          <w:rFonts w:ascii="ITC Avant Garde" w:hAnsi="ITC Avant Garde"/>
          <w:lang w:val="es-MX"/>
        </w:rPr>
        <w:t xml:space="preserve">teóricamente </w:t>
      </w:r>
      <w:r w:rsidRPr="00BE63E3">
        <w:rPr>
          <w:rFonts w:ascii="ITC Avant Garde" w:hAnsi="ITC Avant Garde"/>
          <w:lang w:val="es-MX"/>
        </w:rPr>
        <w:t>a cabo a través del análisis de 4 aspectos principales:</w:t>
      </w:r>
    </w:p>
    <w:p w:rsidR="00BC0096" w:rsidRPr="00BE63E3" w:rsidRDefault="00B2529B" w:rsidP="00D547DD">
      <w:pPr>
        <w:pStyle w:val="Listaconvietas2"/>
        <w:rPr>
          <w:rFonts w:ascii="ITC Avant Garde" w:hAnsi="ITC Avant Garde"/>
          <w:lang w:val="es-MX"/>
        </w:rPr>
      </w:pPr>
      <w:r w:rsidRPr="00BE63E3">
        <w:rPr>
          <w:rFonts w:ascii="ITC Avant Garde" w:hAnsi="ITC Avant Garde"/>
          <w:lang w:val="es-MX"/>
        </w:rPr>
        <w:t>Si</w:t>
      </w:r>
      <w:r w:rsidR="00BC0096" w:rsidRPr="00BE63E3">
        <w:rPr>
          <w:rFonts w:ascii="ITC Avant Garde" w:hAnsi="ITC Avant Garde"/>
          <w:lang w:val="es-MX"/>
        </w:rPr>
        <w:t xml:space="preserve"> los productos basados </w:t>
      </w:r>
      <w:r w:rsidR="00BC0096" w:rsidRPr="00872052">
        <w:rPr>
          <w:rFonts w:cs="Arial"/>
          <w:lang w:val="es-MX"/>
        </w:rPr>
        <w:t>​​</w:t>
      </w:r>
      <w:r w:rsidR="00BC0096" w:rsidRPr="00BE63E3">
        <w:rPr>
          <w:rFonts w:ascii="ITC Avant Garde" w:hAnsi="ITC Avant Garde"/>
          <w:lang w:val="es-MX"/>
        </w:rPr>
        <w:t xml:space="preserve">en el activo moderno a ser considerado reemplazan esencialmente productos similares basados </w:t>
      </w:r>
      <w:r w:rsidR="00BC0096" w:rsidRPr="00872052">
        <w:rPr>
          <w:rFonts w:cs="Arial"/>
          <w:lang w:val="es-MX"/>
        </w:rPr>
        <w:t>​​</w:t>
      </w:r>
      <w:r w:rsidR="00BC0096" w:rsidRPr="00BE63E3">
        <w:rPr>
          <w:rFonts w:ascii="ITC Avant Garde" w:hAnsi="ITC Avant Garde"/>
          <w:lang w:val="es-MX"/>
        </w:rPr>
        <w:t>en los activos establecidos</w:t>
      </w:r>
      <w:r w:rsidR="009F5817">
        <w:rPr>
          <w:rFonts w:ascii="ITC Avant Garde" w:hAnsi="ITC Avant Garde"/>
          <w:lang w:val="es-MX"/>
        </w:rPr>
        <w:t>,</w:t>
      </w:r>
      <w:r w:rsidRPr="00BE63E3">
        <w:rPr>
          <w:rFonts w:ascii="ITC Avant Garde" w:hAnsi="ITC Avant Garde"/>
          <w:lang w:val="es-MX"/>
        </w:rPr>
        <w:t xml:space="preserve"> ¿Sigue el criterio </w:t>
      </w:r>
      <w:r w:rsidR="009F5817">
        <w:rPr>
          <w:rFonts w:ascii="ITC Avant Garde" w:hAnsi="ITC Avant Garde"/>
          <w:lang w:val="es-MX"/>
        </w:rPr>
        <w:t>tecnológico?</w:t>
      </w:r>
    </w:p>
    <w:p w:rsidR="00BC0096" w:rsidRPr="00BE63E3" w:rsidRDefault="009533FA" w:rsidP="00D547DD">
      <w:pPr>
        <w:pStyle w:val="Listaconvietas2"/>
        <w:rPr>
          <w:rFonts w:ascii="ITC Avant Garde" w:hAnsi="ITC Avant Garde"/>
          <w:lang w:val="es-MX"/>
        </w:rPr>
      </w:pPr>
      <w:r w:rsidRPr="00872052">
        <w:rPr>
          <w:rFonts w:ascii="ITC Avant Garde" w:hAnsi="ITC Avant Garde"/>
          <w:lang w:val="es-MX"/>
        </w:rPr>
        <w:t>La comparación</w:t>
      </w:r>
      <w:r w:rsidR="003A0FB4" w:rsidRPr="00BE63E3">
        <w:rPr>
          <w:rFonts w:ascii="ITC Avant Garde" w:hAnsi="ITC Avant Garde"/>
          <w:lang w:val="es-MX"/>
        </w:rPr>
        <w:t xml:space="preserve"> del costo para desplegar las redes </w:t>
      </w:r>
      <w:r w:rsidR="0062140F" w:rsidRPr="00BE63E3">
        <w:rPr>
          <w:rFonts w:ascii="ITC Avant Garde" w:hAnsi="ITC Avant Garde"/>
          <w:lang w:val="es-MX"/>
        </w:rPr>
        <w:t>con</w:t>
      </w:r>
      <w:r w:rsidR="003A0FB4" w:rsidRPr="00BE63E3">
        <w:rPr>
          <w:rFonts w:ascii="ITC Avant Garde" w:hAnsi="ITC Avant Garde"/>
          <w:lang w:val="es-MX"/>
        </w:rPr>
        <w:t xml:space="preserve"> base al activo moderno o el activo existente utilizado por el operador SMP</w:t>
      </w:r>
      <w:r>
        <w:rPr>
          <w:rFonts w:ascii="ITC Avant Garde" w:hAnsi="ITC Avant Garde"/>
          <w:lang w:val="es-MX"/>
        </w:rPr>
        <w:t xml:space="preserve">, </w:t>
      </w:r>
      <w:r w:rsidR="00B2529B" w:rsidRPr="00BE63E3">
        <w:rPr>
          <w:rFonts w:ascii="ITC Avant Garde" w:hAnsi="ITC Avant Garde"/>
          <w:lang w:val="es-MX"/>
        </w:rPr>
        <w:t>¿Sigue el criterio del Costo</w:t>
      </w:r>
      <w:r w:rsidR="003A0FB4" w:rsidRPr="00BE63E3">
        <w:rPr>
          <w:rFonts w:ascii="ITC Avant Garde" w:hAnsi="ITC Avant Garde"/>
          <w:lang w:val="es-MX"/>
        </w:rPr>
        <w:t>?</w:t>
      </w:r>
    </w:p>
    <w:p w:rsidR="00253E64" w:rsidRPr="00BE63E3" w:rsidRDefault="00BC0096" w:rsidP="00D547DD">
      <w:pPr>
        <w:pStyle w:val="Listaconvietas2"/>
        <w:rPr>
          <w:rFonts w:ascii="ITC Avant Garde" w:hAnsi="ITC Avant Garde"/>
          <w:lang w:val="es-MX"/>
        </w:rPr>
      </w:pPr>
      <w:r w:rsidRPr="00BE63E3">
        <w:rPr>
          <w:rFonts w:ascii="ITC Avant Garde" w:hAnsi="ITC Avant Garde"/>
          <w:lang w:val="es-MX"/>
        </w:rPr>
        <w:t>¿El comportamiento</w:t>
      </w:r>
      <w:r w:rsidR="00253E64" w:rsidRPr="00BE63E3">
        <w:rPr>
          <w:rFonts w:ascii="ITC Avant Garde" w:hAnsi="ITC Avant Garde"/>
          <w:lang w:val="es-MX"/>
        </w:rPr>
        <w:t xml:space="preserve"> observado</w:t>
      </w:r>
      <w:r w:rsidRPr="00BE63E3">
        <w:rPr>
          <w:rFonts w:ascii="ITC Avant Garde" w:hAnsi="ITC Avant Garde"/>
          <w:lang w:val="es-MX"/>
        </w:rPr>
        <w:t xml:space="preserve"> del mercado respalda una suposición de ese activo como MEA? Lo que se puede evaluar con el análisis de tres </w:t>
      </w:r>
      <w:r w:rsidRPr="00872052">
        <w:rPr>
          <w:rFonts w:ascii="ITC Avant Garde" w:hAnsi="ITC Avant Garde"/>
          <w:lang w:val="es-MX"/>
        </w:rPr>
        <w:t>sub</w:t>
      </w:r>
      <w:r w:rsidR="009533FA">
        <w:rPr>
          <w:rFonts w:ascii="ITC Avant Garde" w:hAnsi="ITC Avant Garde"/>
          <w:lang w:val="es-MX"/>
        </w:rPr>
        <w:t>-</w:t>
      </w:r>
      <w:r w:rsidRPr="00872052">
        <w:rPr>
          <w:rFonts w:ascii="ITC Avant Garde" w:hAnsi="ITC Avant Garde"/>
          <w:lang w:val="es-MX"/>
        </w:rPr>
        <w:t>criterios</w:t>
      </w:r>
      <w:r w:rsidRPr="00BE63E3">
        <w:rPr>
          <w:rFonts w:ascii="ITC Avant Garde" w:hAnsi="ITC Avant Garde"/>
          <w:lang w:val="es-MX"/>
        </w:rPr>
        <w:t xml:space="preserve"> específicos: </w:t>
      </w:r>
    </w:p>
    <w:p w:rsidR="00BC0096" w:rsidRPr="00BE63E3" w:rsidRDefault="00BC0096" w:rsidP="00253E64">
      <w:pPr>
        <w:pStyle w:val="Listaconvietas2"/>
        <w:numPr>
          <w:ilvl w:val="1"/>
          <w:numId w:val="1"/>
        </w:numPr>
        <w:rPr>
          <w:rFonts w:ascii="ITC Avant Garde" w:hAnsi="ITC Avant Garde"/>
          <w:lang w:val="es-MX"/>
        </w:rPr>
      </w:pPr>
      <w:r w:rsidRPr="00BE63E3">
        <w:rPr>
          <w:rFonts w:ascii="ITC Avant Garde" w:hAnsi="ITC Avant Garde"/>
          <w:i/>
          <w:lang w:val="es-MX"/>
        </w:rPr>
        <w:t>Criterio del suscriptor</w:t>
      </w:r>
      <w:r w:rsidRPr="00BE63E3">
        <w:rPr>
          <w:rFonts w:ascii="ITC Avant Garde" w:hAnsi="ITC Avant Garde"/>
          <w:lang w:val="es-MX"/>
        </w:rPr>
        <w:t>: Análisis de la evolución del número de conexiones para cada tipo de tecnología;</w:t>
      </w:r>
    </w:p>
    <w:p w:rsidR="00BC0096" w:rsidRPr="00BE63E3" w:rsidRDefault="00253E64" w:rsidP="00D547DD">
      <w:pPr>
        <w:pStyle w:val="Listaconvietas2"/>
        <w:numPr>
          <w:ilvl w:val="1"/>
          <w:numId w:val="1"/>
        </w:numPr>
        <w:rPr>
          <w:rFonts w:ascii="ITC Avant Garde" w:hAnsi="ITC Avant Garde"/>
          <w:lang w:val="es-MX"/>
        </w:rPr>
      </w:pPr>
      <w:r w:rsidRPr="00BE63E3">
        <w:rPr>
          <w:rFonts w:ascii="ITC Avant Garde" w:hAnsi="ITC Avant Garde"/>
          <w:i/>
          <w:lang w:val="es-MX"/>
        </w:rPr>
        <w:lastRenderedPageBreak/>
        <w:t>C</w:t>
      </w:r>
      <w:r w:rsidR="00BC0096" w:rsidRPr="00BE63E3">
        <w:rPr>
          <w:rFonts w:ascii="ITC Avant Garde" w:hAnsi="ITC Avant Garde"/>
          <w:i/>
          <w:lang w:val="es-MX"/>
        </w:rPr>
        <w:t>riterio de estrategia de los operadores</w:t>
      </w:r>
      <w:r w:rsidR="00BC0096" w:rsidRPr="00BE63E3">
        <w:rPr>
          <w:rFonts w:ascii="ITC Avant Garde" w:hAnsi="ITC Avant Garde"/>
          <w:lang w:val="es-MX"/>
        </w:rPr>
        <w:t xml:space="preserve">: </w:t>
      </w:r>
      <w:r w:rsidR="00C96820">
        <w:rPr>
          <w:rFonts w:ascii="ITC Avant Garde" w:hAnsi="ITC Avant Garde"/>
          <w:lang w:val="es-MX"/>
        </w:rPr>
        <w:t>O</w:t>
      </w:r>
      <w:r w:rsidR="00BC0096" w:rsidRPr="00BE63E3">
        <w:rPr>
          <w:rFonts w:ascii="ITC Avant Garde" w:hAnsi="ITC Avant Garde"/>
          <w:lang w:val="es-MX"/>
        </w:rPr>
        <w:t>bservar la estrategia seguida por los operadores, ya que proporciona un buen indicador de lo que se espera sea la tecnología de red de acceso a largo plazo;</w:t>
      </w:r>
    </w:p>
    <w:p w:rsidR="00BC0096" w:rsidRPr="00BE63E3" w:rsidRDefault="00253E64" w:rsidP="00D547DD">
      <w:pPr>
        <w:pStyle w:val="Listaconvietas2"/>
        <w:numPr>
          <w:ilvl w:val="1"/>
          <w:numId w:val="1"/>
        </w:numPr>
        <w:rPr>
          <w:rFonts w:ascii="ITC Avant Garde" w:hAnsi="ITC Avant Garde"/>
          <w:lang w:val="es-MX"/>
        </w:rPr>
      </w:pPr>
      <w:r w:rsidRPr="00BE63E3">
        <w:rPr>
          <w:rFonts w:ascii="ITC Avant Garde" w:hAnsi="ITC Avant Garde"/>
          <w:i/>
          <w:lang w:val="es-MX"/>
        </w:rPr>
        <w:t>C</w:t>
      </w:r>
      <w:r w:rsidR="00BC0096" w:rsidRPr="00BE63E3">
        <w:rPr>
          <w:rFonts w:ascii="ITC Avant Garde" w:hAnsi="ITC Avant Garde"/>
          <w:i/>
          <w:lang w:val="es-MX"/>
        </w:rPr>
        <w:t>riterio de precio minorista</w:t>
      </w:r>
      <w:r w:rsidR="00BC0096" w:rsidRPr="00BE63E3">
        <w:rPr>
          <w:rFonts w:ascii="ITC Avant Garde" w:hAnsi="ITC Avant Garde"/>
          <w:lang w:val="es-MX"/>
        </w:rPr>
        <w:t>: Análisis de la evolución de los precios minoristas entre las diferentes tecnologías, que debe ser complementado por un análisis de rentabilidad a lo largo de un período de tiempo prolongado.</w:t>
      </w:r>
    </w:p>
    <w:p w:rsidR="00BC0096" w:rsidRPr="00BE63E3" w:rsidRDefault="00BC0096" w:rsidP="00D547DD">
      <w:pPr>
        <w:pStyle w:val="Listaconvietas2"/>
        <w:rPr>
          <w:rFonts w:ascii="ITC Avant Garde" w:hAnsi="ITC Avant Garde"/>
          <w:lang w:val="es-MX"/>
        </w:rPr>
      </w:pPr>
      <w:r w:rsidRPr="00BE63E3">
        <w:rPr>
          <w:rFonts w:ascii="ITC Avant Garde" w:hAnsi="ITC Avant Garde"/>
          <w:lang w:val="es-MX"/>
        </w:rPr>
        <w:t>¿Cuáles son las mejores prácticas internacionales en términos de MEA?</w:t>
      </w:r>
    </w:p>
    <w:p w:rsidR="00BC0096" w:rsidRPr="00BE63E3" w:rsidRDefault="00253E64" w:rsidP="00BC0096">
      <w:pPr>
        <w:rPr>
          <w:rFonts w:ascii="ITC Avant Garde" w:hAnsi="ITC Avant Garde"/>
          <w:i/>
          <w:lang w:val="es-MX"/>
        </w:rPr>
      </w:pPr>
      <w:r w:rsidRPr="00BE63E3">
        <w:rPr>
          <w:rFonts w:ascii="ITC Avant Garde" w:hAnsi="ITC Avant Garde"/>
          <w:lang w:val="es-MX"/>
        </w:rPr>
        <w:t>En practica, e</w:t>
      </w:r>
      <w:r w:rsidR="00BC0096" w:rsidRPr="00BE63E3">
        <w:rPr>
          <w:rFonts w:ascii="ITC Avant Garde" w:hAnsi="ITC Avant Garde"/>
          <w:lang w:val="es-MX"/>
        </w:rPr>
        <w:t xml:space="preserve">l activo eficiente moderno correspondiente al bucle local de cobre es la forma moderna y rentable de proporcionar el servicio que comúnmente utiliza el bucle local de cobre. </w:t>
      </w:r>
      <w:r w:rsidRPr="00BE63E3">
        <w:rPr>
          <w:rFonts w:ascii="ITC Avant Garde" w:hAnsi="ITC Avant Garde"/>
          <w:lang w:val="es-MX"/>
        </w:rPr>
        <w:t>Desde este punto de vista, d</w:t>
      </w:r>
      <w:r w:rsidR="00BC0096" w:rsidRPr="00BE63E3">
        <w:rPr>
          <w:rFonts w:ascii="ITC Avant Garde" w:hAnsi="ITC Avant Garde"/>
          <w:lang w:val="es-MX"/>
        </w:rPr>
        <w:t>os enfoques de modelado son posibles:</w:t>
      </w:r>
    </w:p>
    <w:p w:rsidR="00BC0096" w:rsidRPr="00BE63E3" w:rsidRDefault="00BC0096" w:rsidP="00556A48">
      <w:pPr>
        <w:pStyle w:val="Prrafodelista"/>
        <w:numPr>
          <w:ilvl w:val="0"/>
          <w:numId w:val="17"/>
        </w:numPr>
        <w:rPr>
          <w:rFonts w:ascii="ITC Avant Garde" w:hAnsi="ITC Avant Garde"/>
          <w:lang w:val="es-MX"/>
        </w:rPr>
      </w:pPr>
      <w:r w:rsidRPr="00BE63E3">
        <w:rPr>
          <w:rFonts w:ascii="ITC Avant Garde" w:hAnsi="ITC Avant Garde"/>
          <w:lang w:val="es-MX"/>
        </w:rPr>
        <w:t>La red de acceso debe basarse en la tecnología más reciente en uso, es decir, un</w:t>
      </w:r>
      <w:r w:rsidR="00B1639E">
        <w:rPr>
          <w:rFonts w:ascii="ITC Avant Garde" w:hAnsi="ITC Avant Garde"/>
          <w:lang w:val="es-MX"/>
        </w:rPr>
        <w:t>a red de</w:t>
      </w:r>
      <w:r w:rsidR="00B67D57" w:rsidRPr="00BE63E3">
        <w:rPr>
          <w:rFonts w:ascii="ITC Avant Garde" w:hAnsi="ITC Avant Garde"/>
          <w:lang w:val="es-MX"/>
        </w:rPr>
        <w:t xml:space="preserve"> acceso de próxima generación (</w:t>
      </w:r>
      <w:r w:rsidRPr="00BE63E3">
        <w:rPr>
          <w:rFonts w:ascii="ITC Avant Garde" w:hAnsi="ITC Avant Garde"/>
          <w:lang w:val="es-MX"/>
        </w:rPr>
        <w:t>NGA</w:t>
      </w:r>
      <w:r w:rsidR="00B67D57" w:rsidRPr="00BE63E3">
        <w:rPr>
          <w:rFonts w:ascii="ITC Avant Garde" w:hAnsi="ITC Avant Garde"/>
          <w:lang w:val="es-MX"/>
        </w:rPr>
        <w:t xml:space="preserve">, por sus siglas en inglés </w:t>
      </w:r>
      <w:proofErr w:type="spellStart"/>
      <w:r w:rsidR="00B67D57" w:rsidRPr="0029338F">
        <w:rPr>
          <w:rFonts w:ascii="ITC Avant Garde" w:hAnsi="ITC Avant Garde"/>
          <w:i/>
          <w:lang w:val="es-MX"/>
        </w:rPr>
        <w:t>Next</w:t>
      </w:r>
      <w:proofErr w:type="spellEnd"/>
      <w:r w:rsidR="00B67D57" w:rsidRPr="0029338F">
        <w:rPr>
          <w:rFonts w:ascii="ITC Avant Garde" w:hAnsi="ITC Avant Garde"/>
          <w:i/>
          <w:lang w:val="es-MX"/>
        </w:rPr>
        <w:t xml:space="preserve"> </w:t>
      </w:r>
      <w:proofErr w:type="spellStart"/>
      <w:r w:rsidR="00B67D57" w:rsidRPr="0029338F">
        <w:rPr>
          <w:rFonts w:ascii="ITC Avant Garde" w:hAnsi="ITC Avant Garde"/>
          <w:i/>
          <w:lang w:val="es-MX"/>
        </w:rPr>
        <w:t>Generation</w:t>
      </w:r>
      <w:proofErr w:type="spellEnd"/>
      <w:r w:rsidR="00B67D57" w:rsidRPr="0029338F">
        <w:rPr>
          <w:rFonts w:ascii="ITC Avant Garde" w:hAnsi="ITC Avant Garde"/>
          <w:i/>
          <w:lang w:val="es-MX"/>
        </w:rPr>
        <w:t xml:space="preserve"> Access</w:t>
      </w:r>
      <w:r w:rsidR="00B67D57" w:rsidRPr="00BE63E3">
        <w:rPr>
          <w:rFonts w:ascii="ITC Avant Garde" w:hAnsi="ITC Avant Garde"/>
          <w:lang w:val="es-MX"/>
        </w:rPr>
        <w:t>)</w:t>
      </w:r>
      <w:r w:rsidRPr="00BE63E3">
        <w:rPr>
          <w:rFonts w:ascii="ITC Avant Garde" w:hAnsi="ITC Avant Garde"/>
          <w:lang w:val="es-MX"/>
        </w:rPr>
        <w:t xml:space="preserve"> hipotéticamente eficiente"</w:t>
      </w:r>
      <w:r w:rsidR="001F2EF1" w:rsidRPr="00BE63E3">
        <w:rPr>
          <w:rStyle w:val="Refdenotaalpie"/>
          <w:rFonts w:ascii="ITC Avant Garde" w:hAnsi="ITC Avant Garde"/>
          <w:lang w:val="es-MX"/>
        </w:rPr>
        <w:footnoteReference w:id="19"/>
      </w:r>
      <w:r w:rsidRPr="00BE63E3">
        <w:rPr>
          <w:rFonts w:ascii="ITC Avant Garde" w:hAnsi="ITC Avant Garde"/>
          <w:lang w:val="es-MX"/>
        </w:rPr>
        <w:t>: se debe modelar una red de fibra única;</w:t>
      </w:r>
    </w:p>
    <w:p w:rsidR="00BC0096" w:rsidRPr="00BE63E3" w:rsidRDefault="00BC0096" w:rsidP="00556A48">
      <w:pPr>
        <w:pStyle w:val="Prrafodelista"/>
        <w:numPr>
          <w:ilvl w:val="0"/>
          <w:numId w:val="17"/>
        </w:numPr>
        <w:rPr>
          <w:rFonts w:ascii="ITC Avant Garde" w:hAnsi="ITC Avant Garde"/>
          <w:lang w:val="es-MX"/>
        </w:rPr>
      </w:pPr>
      <w:r w:rsidRPr="00BE63E3">
        <w:rPr>
          <w:rFonts w:ascii="ITC Avant Garde" w:hAnsi="ITC Avant Garde"/>
          <w:lang w:val="es-MX"/>
        </w:rPr>
        <w:t>La red de acceso debe basarse en un enfoque híbrido, que consiste, por un lado, en una red NGA para la huella de fibra y, por otro, en una red de cobre que utiliza los modernos equipos de cobre para la huella de cobre.</w:t>
      </w:r>
    </w:p>
    <w:p w:rsidR="00BC0096" w:rsidRPr="00BE63E3" w:rsidRDefault="00BC0096" w:rsidP="00BC0096">
      <w:pPr>
        <w:rPr>
          <w:rFonts w:ascii="ITC Avant Garde" w:hAnsi="ITC Avant Garde"/>
          <w:lang w:val="es-MX"/>
        </w:rPr>
      </w:pPr>
      <w:r w:rsidRPr="00BE63E3">
        <w:rPr>
          <w:rFonts w:ascii="ITC Avant Garde" w:hAnsi="ITC Avant Garde"/>
          <w:lang w:val="es-MX"/>
        </w:rPr>
        <w:t xml:space="preserve">De manera consistente con el contexto mexicano donde ambas tecnologías (cobre y fibra) coexisten, el segundo enfoque parece ser más adecuado. Esto podría ser respaldado por el hecho de que el enfoque híbrido permite capturar el estado de la red fija como es </w:t>
      </w:r>
      <w:r w:rsidR="003A0FB4" w:rsidRPr="00BE63E3">
        <w:rPr>
          <w:rFonts w:ascii="ITC Avant Garde" w:hAnsi="ITC Avant Garde"/>
          <w:lang w:val="es-MX"/>
        </w:rPr>
        <w:t>actualmente,</w:t>
      </w:r>
      <w:r w:rsidRPr="00BE63E3">
        <w:rPr>
          <w:rFonts w:ascii="ITC Avant Garde" w:hAnsi="ITC Avant Garde"/>
          <w:lang w:val="es-MX"/>
        </w:rPr>
        <w:t xml:space="preserve"> así como también en los próximos años, ya que </w:t>
      </w:r>
      <w:r w:rsidR="00253E64" w:rsidRPr="00BE63E3">
        <w:rPr>
          <w:rFonts w:ascii="ITC Avant Garde" w:hAnsi="ITC Avant Garde"/>
          <w:lang w:val="es-MX"/>
        </w:rPr>
        <w:t xml:space="preserve">los </w:t>
      </w:r>
      <w:r w:rsidR="00F2544C" w:rsidRPr="00BE63E3">
        <w:rPr>
          <w:rFonts w:ascii="ITC Avant Garde" w:hAnsi="ITC Avant Garde"/>
          <w:lang w:val="es-MX"/>
        </w:rPr>
        <w:t>despliegues</w:t>
      </w:r>
      <w:r w:rsidRPr="00BE63E3">
        <w:rPr>
          <w:rFonts w:ascii="ITC Avant Garde" w:hAnsi="ITC Avant Garde"/>
          <w:lang w:val="es-MX"/>
        </w:rPr>
        <w:t xml:space="preserve"> de fibra</w:t>
      </w:r>
      <w:r w:rsidR="00253E64" w:rsidRPr="00BE63E3">
        <w:rPr>
          <w:rFonts w:ascii="ITC Avant Garde" w:hAnsi="ITC Avant Garde"/>
          <w:lang w:val="es-MX"/>
        </w:rPr>
        <w:t xml:space="preserve"> óptica </w:t>
      </w:r>
      <w:r w:rsidRPr="00BE63E3">
        <w:rPr>
          <w:rFonts w:ascii="ITC Avant Garde" w:hAnsi="ITC Avant Garde"/>
          <w:lang w:val="es-MX"/>
        </w:rPr>
        <w:t>no se expanden significativamente.</w:t>
      </w:r>
    </w:p>
    <w:p w:rsidR="00BC0096" w:rsidRPr="00BE63E3" w:rsidRDefault="00BC0096" w:rsidP="00BC0096">
      <w:pPr>
        <w:rPr>
          <w:rFonts w:ascii="ITC Avant Garde" w:hAnsi="ITC Avant Garde"/>
          <w:lang w:val="es-MX"/>
        </w:rPr>
      </w:pPr>
      <w:r w:rsidRPr="00BE63E3">
        <w:rPr>
          <w:rFonts w:ascii="ITC Avant Garde" w:hAnsi="ITC Avant Garde"/>
          <w:lang w:val="es-MX"/>
        </w:rPr>
        <w:t xml:space="preserve">Además, cabe señalar que </w:t>
      </w:r>
      <w:r w:rsidR="00253E64" w:rsidRPr="00BE63E3">
        <w:rPr>
          <w:rFonts w:ascii="ITC Avant Garde" w:hAnsi="ITC Avant Garde"/>
          <w:lang w:val="es-MX"/>
        </w:rPr>
        <w:t>considerando que el modelo refleja</w:t>
      </w:r>
      <w:r w:rsidRPr="00BE63E3">
        <w:rPr>
          <w:rFonts w:ascii="ITC Avant Garde" w:hAnsi="ITC Avant Garde"/>
          <w:lang w:val="es-MX"/>
        </w:rPr>
        <w:t xml:space="preserve"> un operador hipotéticamente eficiente, los costos de migración</w:t>
      </w:r>
      <w:r w:rsidR="00253E64" w:rsidRPr="00BE63E3">
        <w:rPr>
          <w:rFonts w:ascii="ITC Avant Garde" w:hAnsi="ITC Avant Garde"/>
          <w:lang w:val="es-MX"/>
        </w:rPr>
        <w:t xml:space="preserve">, </w:t>
      </w:r>
      <w:r w:rsidRPr="00BE63E3">
        <w:rPr>
          <w:rFonts w:ascii="ITC Avant Garde" w:hAnsi="ITC Avant Garde"/>
          <w:lang w:val="es-MX"/>
        </w:rPr>
        <w:t>los costos adicionales u otras ineficiencias asociadas con el cambio de la red existente a la red optimizada no deberían incluirse en el modelo de costos.</w:t>
      </w:r>
    </w:p>
    <w:p w:rsidR="00BC0096" w:rsidRPr="00BE63E3" w:rsidRDefault="00BC0096" w:rsidP="00253E64">
      <w:pPr>
        <w:pStyle w:val="Encadr3"/>
        <w:rPr>
          <w:rFonts w:ascii="ITC Avant Garde" w:hAnsi="ITC Avant Garde"/>
          <w:lang w:val="es-MX"/>
        </w:rPr>
      </w:pPr>
      <w:r w:rsidRPr="00BE63E3">
        <w:rPr>
          <w:rFonts w:ascii="ITC Avant Garde" w:hAnsi="ITC Avant Garde"/>
          <w:lang w:val="es-MX"/>
        </w:rPr>
        <w:t xml:space="preserve">Criterio 6: la red eficiente moderna </w:t>
      </w:r>
      <w:r w:rsidR="00F2544C" w:rsidRPr="00BE63E3">
        <w:rPr>
          <w:rFonts w:ascii="ITC Avant Garde" w:hAnsi="ITC Avant Garde"/>
          <w:lang w:val="es-MX"/>
        </w:rPr>
        <w:t>está</w:t>
      </w:r>
      <w:r w:rsidRPr="00BE63E3">
        <w:rPr>
          <w:rFonts w:ascii="ITC Avant Garde" w:hAnsi="ITC Avant Garde"/>
          <w:lang w:val="es-MX"/>
        </w:rPr>
        <w:t xml:space="preserve"> basada en </w:t>
      </w:r>
      <w:r w:rsidR="00253E64" w:rsidRPr="00BE63E3">
        <w:rPr>
          <w:rFonts w:ascii="ITC Avant Garde" w:hAnsi="ITC Avant Garde"/>
          <w:lang w:val="es-MX"/>
        </w:rPr>
        <w:t>un</w:t>
      </w:r>
      <w:r w:rsidRPr="00BE63E3">
        <w:rPr>
          <w:rFonts w:ascii="ITC Avant Garde" w:hAnsi="ITC Avant Garde"/>
          <w:lang w:val="es-MX"/>
        </w:rPr>
        <w:t xml:space="preserve"> enfoque híbrido</w:t>
      </w:r>
      <w:r w:rsidR="00253E64" w:rsidRPr="00BE63E3">
        <w:rPr>
          <w:rFonts w:ascii="ITC Avant Garde" w:hAnsi="ITC Avant Garde"/>
          <w:lang w:val="es-MX"/>
        </w:rPr>
        <w:t>: una red de cobre y una red de fibra óptica</w:t>
      </w:r>
      <w:r w:rsidRPr="00BE63E3">
        <w:rPr>
          <w:rFonts w:ascii="ITC Avant Garde" w:hAnsi="ITC Avant Garde"/>
          <w:lang w:val="es-MX"/>
        </w:rPr>
        <w:t>.</w:t>
      </w:r>
    </w:p>
    <w:p w:rsidR="00BC0096" w:rsidRPr="00BE63E3" w:rsidRDefault="00BC0096" w:rsidP="00BC0096">
      <w:pPr>
        <w:pStyle w:val="Encadr3"/>
        <w:rPr>
          <w:rFonts w:ascii="ITC Avant Garde" w:hAnsi="ITC Avant Garde"/>
          <w:lang w:val="es-MX"/>
        </w:rPr>
      </w:pPr>
      <w:r w:rsidRPr="00BE63E3">
        <w:rPr>
          <w:rFonts w:ascii="ITC Avant Garde" w:hAnsi="ITC Avant Garde"/>
          <w:lang w:val="es-MX"/>
        </w:rPr>
        <w:t xml:space="preserve">No se </w:t>
      </w:r>
      <w:r w:rsidR="004C013F" w:rsidRPr="00BE63E3">
        <w:rPr>
          <w:rFonts w:ascii="ITC Avant Garde" w:hAnsi="ITC Avant Garde"/>
          <w:lang w:val="es-MX"/>
        </w:rPr>
        <w:t>incluyen</w:t>
      </w:r>
      <w:r w:rsidRPr="00BE63E3">
        <w:rPr>
          <w:rFonts w:ascii="ITC Avant Garde" w:hAnsi="ITC Avant Garde"/>
          <w:lang w:val="es-MX"/>
        </w:rPr>
        <w:t xml:space="preserve"> costos de migración en el modelo.</w:t>
      </w:r>
    </w:p>
    <w:p w:rsidR="00DE7A5B" w:rsidRPr="00BE63E3" w:rsidRDefault="00DE7A5B" w:rsidP="00DE7A5B">
      <w:pPr>
        <w:rPr>
          <w:rFonts w:ascii="ITC Avant Garde" w:hAnsi="ITC Avant Garde"/>
          <w:lang w:val="es-MX"/>
        </w:rPr>
      </w:pPr>
    </w:p>
    <w:p w:rsidR="00BC0096" w:rsidRPr="00BE63E3" w:rsidRDefault="00BC0096" w:rsidP="00BC0096">
      <w:pPr>
        <w:pStyle w:val="Ttulo4"/>
        <w:rPr>
          <w:rFonts w:ascii="ITC Avant Garde" w:hAnsi="ITC Avant Garde"/>
          <w:lang w:val="es-MX"/>
        </w:rPr>
      </w:pPr>
      <w:bookmarkStart w:id="88" w:name="_Toc525665265"/>
      <w:bookmarkStart w:id="89" w:name="_Toc525665644"/>
      <w:bookmarkStart w:id="90" w:name="_Toc526854345"/>
      <w:r w:rsidRPr="00BE63E3">
        <w:rPr>
          <w:rFonts w:ascii="ITC Avant Garde" w:hAnsi="ITC Avant Garde"/>
          <w:lang w:val="es-MX"/>
        </w:rPr>
        <w:t>Red de acceso modelada</w:t>
      </w:r>
      <w:bookmarkEnd w:id="88"/>
      <w:bookmarkEnd w:id="89"/>
      <w:bookmarkEnd w:id="90"/>
    </w:p>
    <w:p w:rsidR="00BC0096" w:rsidRPr="00BE63E3" w:rsidRDefault="00BC0096" w:rsidP="00BC0096">
      <w:pPr>
        <w:rPr>
          <w:rFonts w:ascii="ITC Avant Garde" w:hAnsi="ITC Avant Garde"/>
          <w:lang w:val="es-MX"/>
        </w:rPr>
      </w:pPr>
      <w:r w:rsidRPr="00BE63E3">
        <w:rPr>
          <w:rFonts w:ascii="ITC Avant Garde" w:hAnsi="ITC Avant Garde"/>
          <w:lang w:val="es-MX"/>
        </w:rPr>
        <w:t>De acuerdo con la sección anterior, el enfoque de modelado para las redes de fibra/cobre podría realizarse según los siguientes enfoques:</w:t>
      </w:r>
    </w:p>
    <w:p w:rsidR="00BC0096" w:rsidRPr="00BE63E3" w:rsidRDefault="00F25A52" w:rsidP="00F25A52">
      <w:pPr>
        <w:pStyle w:val="Listaconvietas2"/>
        <w:rPr>
          <w:rFonts w:ascii="ITC Avant Garde" w:hAnsi="ITC Avant Garde"/>
          <w:lang w:val="es-MX"/>
        </w:rPr>
      </w:pPr>
      <w:r w:rsidRPr="00BE63E3">
        <w:rPr>
          <w:rFonts w:ascii="ITC Avant Garde" w:hAnsi="ITC Avant Garde"/>
          <w:lang w:val="es-MX"/>
        </w:rPr>
        <w:lastRenderedPageBreak/>
        <w:t>Modelando</w:t>
      </w:r>
      <w:r w:rsidR="00BC0096" w:rsidRPr="00BE63E3">
        <w:rPr>
          <w:rFonts w:ascii="ITC Avant Garde" w:hAnsi="ITC Avant Garde"/>
          <w:lang w:val="es-MX"/>
        </w:rPr>
        <w:t xml:space="preserve"> una red </w:t>
      </w:r>
      <w:r w:rsidRPr="00BE63E3">
        <w:rPr>
          <w:rFonts w:ascii="ITC Avant Garde" w:hAnsi="ITC Avant Garde"/>
          <w:lang w:val="es-MX"/>
        </w:rPr>
        <w:t xml:space="preserve">de </w:t>
      </w:r>
      <w:r w:rsidR="00BC0096" w:rsidRPr="00BE63E3">
        <w:rPr>
          <w:rFonts w:ascii="ITC Avant Garde" w:hAnsi="ITC Avant Garde"/>
          <w:lang w:val="es-MX"/>
        </w:rPr>
        <w:t>fibra como la tecnología moderna</w:t>
      </w:r>
      <w:r w:rsidRPr="00BE63E3">
        <w:rPr>
          <w:rFonts w:ascii="ITC Avant Garde" w:hAnsi="ITC Avant Garde"/>
          <w:lang w:val="es-MX"/>
        </w:rPr>
        <w:t>, considerando los a</w:t>
      </w:r>
      <w:r w:rsidR="00BC0096" w:rsidRPr="00BE63E3">
        <w:rPr>
          <w:rFonts w:ascii="ITC Avant Garde" w:hAnsi="ITC Avant Garde"/>
          <w:lang w:val="es-MX"/>
        </w:rPr>
        <w:t>justes relevantes mediante la sustitución de los parámetros económicos de la red de acceso de fibra, el costo unitario de los cables, las tendencias de los precios y la vida de los activos para que coincidan con las características de una red de cobre</w:t>
      </w:r>
    </w:p>
    <w:p w:rsidR="00BC0096" w:rsidRPr="00BE63E3" w:rsidRDefault="00BC0096" w:rsidP="00F25A52">
      <w:pPr>
        <w:pStyle w:val="Listaconvietas2"/>
        <w:rPr>
          <w:rFonts w:ascii="ITC Avant Garde" w:hAnsi="ITC Avant Garde"/>
          <w:lang w:val="es-MX"/>
        </w:rPr>
      </w:pPr>
      <w:r w:rsidRPr="00BE63E3">
        <w:rPr>
          <w:rFonts w:ascii="ITC Avant Garde" w:hAnsi="ITC Avant Garde"/>
          <w:lang w:val="es-MX"/>
        </w:rPr>
        <w:t>Modelando tanto una red de fibra como de cobre;</w:t>
      </w:r>
    </w:p>
    <w:p w:rsidR="00BC0096" w:rsidRPr="00BE63E3" w:rsidRDefault="00F25A52" w:rsidP="00F25A52">
      <w:pPr>
        <w:pStyle w:val="Listaconvietas2"/>
        <w:numPr>
          <w:ilvl w:val="1"/>
          <w:numId w:val="1"/>
        </w:numPr>
        <w:rPr>
          <w:rFonts w:ascii="ITC Avant Garde" w:hAnsi="ITC Avant Garde"/>
          <w:lang w:val="es-MX"/>
        </w:rPr>
      </w:pPr>
      <w:r w:rsidRPr="00BE63E3">
        <w:rPr>
          <w:rFonts w:ascii="ITC Avant Garde" w:hAnsi="ITC Avant Garde"/>
          <w:lang w:val="es-MX"/>
        </w:rPr>
        <w:t xml:space="preserve">Que estima </w:t>
      </w:r>
      <w:r w:rsidR="00BC0096" w:rsidRPr="00BE63E3">
        <w:rPr>
          <w:rFonts w:ascii="ITC Avant Garde" w:hAnsi="ITC Avant Garde"/>
          <w:lang w:val="es-MX"/>
        </w:rPr>
        <w:t xml:space="preserve">por separado </w:t>
      </w:r>
      <w:r w:rsidRPr="00BE63E3">
        <w:rPr>
          <w:rFonts w:ascii="ITC Avant Garde" w:hAnsi="ITC Avant Garde"/>
          <w:lang w:val="es-MX"/>
        </w:rPr>
        <w:t xml:space="preserve">el costo </w:t>
      </w:r>
      <w:r w:rsidR="00BC0096" w:rsidRPr="00BE63E3">
        <w:rPr>
          <w:rFonts w:ascii="ITC Avant Garde" w:hAnsi="ITC Avant Garde"/>
          <w:lang w:val="es-MX"/>
        </w:rPr>
        <w:t xml:space="preserve">de servicios basados </w:t>
      </w:r>
      <w:r w:rsidR="00BC0096" w:rsidRPr="00872052">
        <w:rPr>
          <w:rFonts w:cs="Arial"/>
          <w:lang w:val="es-MX"/>
        </w:rPr>
        <w:t>​​</w:t>
      </w:r>
      <w:r w:rsidR="00BC0096" w:rsidRPr="00BE63E3">
        <w:rPr>
          <w:rFonts w:ascii="ITC Avant Garde" w:hAnsi="ITC Avant Garde"/>
          <w:lang w:val="es-MX"/>
        </w:rPr>
        <w:t xml:space="preserve">en fibra y </w:t>
      </w:r>
      <w:r w:rsidRPr="00BE63E3">
        <w:rPr>
          <w:rFonts w:ascii="ITC Avant Garde" w:hAnsi="ITC Avant Garde"/>
          <w:lang w:val="es-MX"/>
        </w:rPr>
        <w:t xml:space="preserve">el costo de </w:t>
      </w:r>
      <w:r w:rsidR="00BC0096" w:rsidRPr="00BE63E3">
        <w:rPr>
          <w:rFonts w:ascii="ITC Avant Garde" w:hAnsi="ITC Avant Garde"/>
          <w:lang w:val="es-MX"/>
        </w:rPr>
        <w:t xml:space="preserve">servicios basados </w:t>
      </w:r>
      <w:r w:rsidR="00BC0096" w:rsidRPr="00872052">
        <w:rPr>
          <w:rFonts w:cs="Arial"/>
          <w:lang w:val="es-MX"/>
        </w:rPr>
        <w:t>​​</w:t>
      </w:r>
      <w:r w:rsidR="00BC0096" w:rsidRPr="00BE63E3">
        <w:rPr>
          <w:rFonts w:ascii="ITC Avant Garde" w:hAnsi="ITC Avant Garde"/>
          <w:lang w:val="es-MX"/>
        </w:rPr>
        <w:t>en cobre;</w:t>
      </w:r>
    </w:p>
    <w:p w:rsidR="00BC0096" w:rsidRPr="00BE63E3" w:rsidRDefault="00F25A52" w:rsidP="00F25A52">
      <w:pPr>
        <w:pStyle w:val="Listaconvietas2"/>
        <w:numPr>
          <w:ilvl w:val="1"/>
          <w:numId w:val="1"/>
        </w:numPr>
        <w:rPr>
          <w:rFonts w:ascii="ITC Avant Garde" w:hAnsi="ITC Avant Garde"/>
          <w:lang w:val="es-MX"/>
        </w:rPr>
      </w:pPr>
      <w:r w:rsidRPr="00BE63E3">
        <w:rPr>
          <w:rFonts w:ascii="ITC Avant Garde" w:hAnsi="ITC Avant Garde"/>
          <w:lang w:val="es-MX"/>
        </w:rPr>
        <w:t>Que refleja</w:t>
      </w:r>
      <w:r w:rsidR="00BC0096" w:rsidRPr="00BE63E3">
        <w:rPr>
          <w:rFonts w:ascii="ITC Avant Garde" w:hAnsi="ITC Avant Garde"/>
          <w:lang w:val="es-MX"/>
        </w:rPr>
        <w:t xml:space="preserve"> la huella </w:t>
      </w:r>
      <w:r w:rsidRPr="00BE63E3">
        <w:rPr>
          <w:rFonts w:ascii="ITC Avant Garde" w:hAnsi="ITC Avant Garde"/>
          <w:lang w:val="es-MX"/>
        </w:rPr>
        <w:t xml:space="preserve">apropiada, </w:t>
      </w:r>
      <w:r w:rsidR="00BC0096" w:rsidRPr="00BE63E3">
        <w:rPr>
          <w:rFonts w:ascii="ITC Avant Garde" w:hAnsi="ITC Avant Garde"/>
          <w:lang w:val="es-MX"/>
        </w:rPr>
        <w:t>así como los parámetros específicos para cada red;</w:t>
      </w:r>
    </w:p>
    <w:p w:rsidR="00BC0096" w:rsidRPr="00BE63E3" w:rsidRDefault="00F25A52" w:rsidP="00F25A52">
      <w:pPr>
        <w:pStyle w:val="Listaconvietas2"/>
        <w:numPr>
          <w:ilvl w:val="1"/>
          <w:numId w:val="1"/>
        </w:numPr>
        <w:rPr>
          <w:rFonts w:ascii="ITC Avant Garde" w:hAnsi="ITC Avant Garde"/>
          <w:lang w:val="es-MX"/>
        </w:rPr>
      </w:pPr>
      <w:r w:rsidRPr="00BE63E3">
        <w:rPr>
          <w:rFonts w:ascii="ITC Avant Garde" w:hAnsi="ITC Avant Garde"/>
          <w:lang w:val="es-MX"/>
        </w:rPr>
        <w:t>Que refleja las economías de costos en</w:t>
      </w:r>
      <w:r w:rsidR="00BC0096" w:rsidRPr="00BE63E3">
        <w:rPr>
          <w:rFonts w:ascii="ITC Avant Garde" w:hAnsi="ITC Avant Garde"/>
          <w:lang w:val="es-MX"/>
        </w:rPr>
        <w:t xml:space="preserve"> donde dos redes paralelas (cobre y fibra, </w:t>
      </w:r>
      <w:r w:rsidR="009D12BF" w:rsidRPr="00BE63E3">
        <w:rPr>
          <w:rFonts w:ascii="ITC Avant Garde" w:hAnsi="ITC Avant Garde"/>
          <w:lang w:val="es-MX"/>
        </w:rPr>
        <w:t>fibra directa al cliente (</w:t>
      </w:r>
      <w:proofErr w:type="spellStart"/>
      <w:r w:rsidR="009D12BF" w:rsidRPr="00F2544C">
        <w:rPr>
          <w:rFonts w:ascii="ITC Avant Garde" w:hAnsi="ITC Avant Garde"/>
          <w:i/>
          <w:lang w:val="es-MX"/>
        </w:rPr>
        <w:t>Fiber</w:t>
      </w:r>
      <w:proofErr w:type="spellEnd"/>
      <w:r w:rsidR="009D12BF" w:rsidRPr="00F2544C">
        <w:rPr>
          <w:rFonts w:ascii="ITC Avant Garde" w:hAnsi="ITC Avant Garde"/>
          <w:i/>
          <w:lang w:val="es-MX"/>
        </w:rPr>
        <w:t xml:space="preserve"> To </w:t>
      </w:r>
      <w:proofErr w:type="spellStart"/>
      <w:r w:rsidR="009D12BF" w:rsidRPr="00F2544C">
        <w:rPr>
          <w:rFonts w:ascii="ITC Avant Garde" w:hAnsi="ITC Avant Garde"/>
          <w:i/>
          <w:lang w:val="es-MX"/>
        </w:rPr>
        <w:t>The</w:t>
      </w:r>
      <w:proofErr w:type="spellEnd"/>
      <w:r w:rsidR="009D12BF" w:rsidRPr="00F2544C">
        <w:rPr>
          <w:rFonts w:ascii="ITC Avant Garde" w:hAnsi="ITC Avant Garde"/>
          <w:i/>
          <w:lang w:val="es-MX"/>
        </w:rPr>
        <w:t xml:space="preserve"> Home</w:t>
      </w:r>
      <w:r w:rsidR="009D12BF" w:rsidRPr="00BE63E3">
        <w:rPr>
          <w:rFonts w:ascii="ITC Avant Garde" w:hAnsi="ITC Avant Garde"/>
          <w:lang w:val="es-MX"/>
        </w:rPr>
        <w:t>, FTTH)</w:t>
      </w:r>
      <w:r w:rsidR="00BC0096" w:rsidRPr="00BE63E3">
        <w:rPr>
          <w:rFonts w:ascii="ITC Avant Garde" w:hAnsi="ITC Avant Garde"/>
          <w:lang w:val="es-MX"/>
        </w:rPr>
        <w:t>) comparten la misma infraestructura civil.</w:t>
      </w:r>
    </w:p>
    <w:p w:rsidR="00BC0096" w:rsidRPr="00BE63E3" w:rsidRDefault="00BC0096" w:rsidP="00BC0096">
      <w:pPr>
        <w:rPr>
          <w:rFonts w:ascii="ITC Avant Garde" w:hAnsi="ITC Avant Garde"/>
          <w:lang w:val="es-MX"/>
        </w:rPr>
      </w:pPr>
      <w:r w:rsidRPr="00BE63E3">
        <w:rPr>
          <w:rFonts w:ascii="ITC Avant Garde" w:hAnsi="ITC Avant Garde"/>
          <w:lang w:val="es-MX"/>
        </w:rPr>
        <w:t>El primer enfoque</w:t>
      </w:r>
      <w:r w:rsidR="00F25A52" w:rsidRPr="00BE63E3">
        <w:rPr>
          <w:rFonts w:ascii="ITC Avant Garde" w:hAnsi="ITC Avant Garde"/>
          <w:lang w:val="es-MX"/>
        </w:rPr>
        <w:t xml:space="preserve"> (</w:t>
      </w:r>
      <w:r w:rsidR="000515D5">
        <w:rPr>
          <w:rFonts w:ascii="ITC Avant Garde" w:hAnsi="ITC Avant Garde"/>
          <w:lang w:val="es-MX"/>
        </w:rPr>
        <w:t xml:space="preserve">es decir, </w:t>
      </w:r>
      <w:r w:rsidRPr="00BE63E3">
        <w:rPr>
          <w:rFonts w:ascii="ITC Avant Garde" w:hAnsi="ITC Avant Garde"/>
          <w:lang w:val="es-MX"/>
        </w:rPr>
        <w:t xml:space="preserve">modelar una </w:t>
      </w:r>
      <w:r w:rsidR="00F25A52" w:rsidRPr="00BE63E3">
        <w:rPr>
          <w:rFonts w:ascii="ITC Avant Garde" w:hAnsi="ITC Avant Garde"/>
          <w:lang w:val="es-MX"/>
        </w:rPr>
        <w:t xml:space="preserve">única </w:t>
      </w:r>
      <w:r w:rsidRPr="00BE63E3">
        <w:rPr>
          <w:rFonts w:ascii="ITC Avant Garde" w:hAnsi="ITC Avant Garde"/>
          <w:lang w:val="es-MX"/>
        </w:rPr>
        <w:t>red con fibra como la tecnología moderna</w:t>
      </w:r>
      <w:r w:rsidR="00F25A52" w:rsidRPr="00BE63E3">
        <w:rPr>
          <w:rFonts w:ascii="ITC Avant Garde" w:hAnsi="ITC Avant Garde"/>
          <w:lang w:val="es-MX"/>
        </w:rPr>
        <w:t>)</w:t>
      </w:r>
      <w:r w:rsidRPr="00BE63E3">
        <w:rPr>
          <w:rFonts w:ascii="ITC Avant Garde" w:hAnsi="ITC Avant Garde"/>
          <w:lang w:val="es-MX"/>
        </w:rPr>
        <w:t xml:space="preserve">, consiste en utilizar un único modelo con las mismas reglas de ingeniería para determinar el precio de los servicios basados </w:t>
      </w:r>
      <w:r w:rsidRPr="00872052">
        <w:rPr>
          <w:rFonts w:cs="Arial"/>
          <w:lang w:val="es-MX"/>
        </w:rPr>
        <w:t>​​</w:t>
      </w:r>
      <w:r w:rsidRPr="00BE63E3">
        <w:rPr>
          <w:rFonts w:ascii="ITC Avant Garde" w:hAnsi="ITC Avant Garde"/>
          <w:lang w:val="es-MX"/>
        </w:rPr>
        <w:t xml:space="preserve">en cobre y los servicios basados </w:t>
      </w:r>
      <w:r w:rsidRPr="00872052">
        <w:rPr>
          <w:rFonts w:cs="Arial"/>
          <w:lang w:val="es-MX"/>
        </w:rPr>
        <w:t>​​</w:t>
      </w:r>
      <w:r w:rsidRPr="00BE63E3">
        <w:rPr>
          <w:rFonts w:ascii="ITC Avant Garde" w:hAnsi="ITC Avant Garde"/>
          <w:lang w:val="es-MX"/>
        </w:rPr>
        <w:t>en fibra. Lo que conducir</w:t>
      </w:r>
      <w:r w:rsidRPr="00BE63E3">
        <w:rPr>
          <w:rFonts w:ascii="ITC Avant Garde" w:hAnsi="ITC Avant Garde" w:cs="ITC Avant Garde"/>
          <w:lang w:val="es-MX"/>
        </w:rPr>
        <w:t>í</w:t>
      </w:r>
      <w:r w:rsidRPr="00BE63E3">
        <w:rPr>
          <w:rFonts w:ascii="ITC Avant Garde" w:hAnsi="ITC Avant Garde"/>
          <w:lang w:val="es-MX"/>
        </w:rPr>
        <w:t>a a precios armonizados para ambos servicios. Sin embargo, bajo este enfoque, los ajustes relevantes deber</w:t>
      </w:r>
      <w:r w:rsidRPr="00BE63E3">
        <w:rPr>
          <w:rFonts w:ascii="ITC Avant Garde" w:hAnsi="ITC Avant Garde" w:cs="ITC Avant Garde"/>
          <w:lang w:val="es-MX"/>
        </w:rPr>
        <w:t>í</w:t>
      </w:r>
      <w:r w:rsidRPr="00BE63E3">
        <w:rPr>
          <w:rFonts w:ascii="ITC Avant Garde" w:hAnsi="ITC Avant Garde"/>
          <w:lang w:val="es-MX"/>
        </w:rPr>
        <w:t xml:space="preserve">an implementarse para tener en cuenta las especificidades del cobre, por </w:t>
      </w:r>
      <w:r w:rsidR="009F5817" w:rsidRPr="00BE63E3">
        <w:rPr>
          <w:rFonts w:ascii="ITC Avant Garde" w:hAnsi="ITC Avant Garde"/>
          <w:lang w:val="es-MX"/>
        </w:rPr>
        <w:t>ejemplo,</w:t>
      </w:r>
      <w:r w:rsidRPr="00BE63E3">
        <w:rPr>
          <w:rFonts w:ascii="ITC Avant Garde" w:hAnsi="ITC Avant Garde"/>
          <w:lang w:val="es-MX"/>
        </w:rPr>
        <w:t xml:space="preserve"> vidas de activos, tendencias de precios, diferencias de velocidad</w:t>
      </w:r>
      <w:r w:rsidR="000515D5">
        <w:rPr>
          <w:rFonts w:ascii="ITC Avant Garde" w:hAnsi="ITC Avant Garde"/>
          <w:lang w:val="es-MX"/>
        </w:rPr>
        <w:t>, entre otras</w:t>
      </w:r>
      <w:r w:rsidRPr="00BE63E3">
        <w:rPr>
          <w:rFonts w:ascii="ITC Avant Garde" w:hAnsi="ITC Avant Garde"/>
          <w:lang w:val="es-MX"/>
        </w:rPr>
        <w:t>.</w:t>
      </w:r>
    </w:p>
    <w:p w:rsidR="00BC0096" w:rsidRPr="00BE63E3" w:rsidRDefault="00BC0096" w:rsidP="00BC0096">
      <w:pPr>
        <w:rPr>
          <w:rFonts w:ascii="ITC Avant Garde" w:hAnsi="ITC Avant Garde"/>
          <w:lang w:val="es-MX"/>
        </w:rPr>
      </w:pPr>
      <w:r w:rsidRPr="00BE63E3">
        <w:rPr>
          <w:rFonts w:ascii="ITC Avant Garde" w:hAnsi="ITC Avant Garde"/>
          <w:lang w:val="es-MX"/>
        </w:rPr>
        <w:t xml:space="preserve">Bajo este enfoque, la fibra y el cobre estarían basados </w:t>
      </w:r>
      <w:r w:rsidRPr="00872052">
        <w:rPr>
          <w:rFonts w:cs="Arial"/>
          <w:lang w:val="es-MX"/>
        </w:rPr>
        <w:t>​​</w:t>
      </w:r>
      <w:r w:rsidRPr="00BE63E3">
        <w:rPr>
          <w:rFonts w:ascii="ITC Avant Garde" w:hAnsi="ITC Avant Garde"/>
          <w:lang w:val="es-MX"/>
        </w:rPr>
        <w:t>en la misma red, es decir, la misma estructura de nodo.</w:t>
      </w:r>
    </w:p>
    <w:p w:rsidR="00BC0096" w:rsidRPr="00BE63E3" w:rsidRDefault="00BC0096" w:rsidP="00BC0096">
      <w:pPr>
        <w:rPr>
          <w:rFonts w:ascii="ITC Avant Garde" w:hAnsi="ITC Avant Garde"/>
          <w:lang w:val="es-MX"/>
        </w:rPr>
      </w:pPr>
      <w:r w:rsidRPr="00BE63E3">
        <w:rPr>
          <w:rFonts w:ascii="ITC Avant Garde" w:hAnsi="ITC Avant Garde"/>
          <w:lang w:val="es-MX"/>
        </w:rPr>
        <w:t>Bajo el segundo enfoque</w:t>
      </w:r>
      <w:r w:rsidR="00F25A52" w:rsidRPr="00BE63E3">
        <w:rPr>
          <w:rFonts w:ascii="ITC Avant Garde" w:hAnsi="ITC Avant Garde"/>
          <w:lang w:val="es-MX"/>
        </w:rPr>
        <w:t xml:space="preserve"> (</w:t>
      </w:r>
      <w:r w:rsidRPr="00BE63E3">
        <w:rPr>
          <w:rFonts w:ascii="ITC Avant Garde" w:hAnsi="ITC Avant Garde"/>
          <w:lang w:val="es-MX"/>
        </w:rPr>
        <w:t>modelar separadamente la red de cobre y la red de fibra</w:t>
      </w:r>
      <w:r w:rsidR="00F25A52" w:rsidRPr="00BE63E3">
        <w:rPr>
          <w:rFonts w:ascii="ITC Avant Garde" w:hAnsi="ITC Avant Garde"/>
          <w:lang w:val="es-MX"/>
        </w:rPr>
        <w:t>)</w:t>
      </w:r>
      <w:r w:rsidRPr="00BE63E3">
        <w:rPr>
          <w:rFonts w:ascii="ITC Avant Garde" w:hAnsi="ITC Avant Garde"/>
          <w:lang w:val="es-MX"/>
        </w:rPr>
        <w:t xml:space="preserve"> </w:t>
      </w:r>
      <w:r w:rsidR="00F25A52" w:rsidRPr="00BE63E3">
        <w:rPr>
          <w:rFonts w:ascii="ITC Avant Garde" w:hAnsi="ITC Avant Garde"/>
          <w:lang w:val="es-MX"/>
        </w:rPr>
        <w:t xml:space="preserve">se consideran </w:t>
      </w:r>
      <w:r w:rsidRPr="00BE63E3">
        <w:rPr>
          <w:rFonts w:ascii="ITC Avant Garde" w:hAnsi="ITC Avant Garde"/>
          <w:lang w:val="es-MX"/>
        </w:rPr>
        <w:t xml:space="preserve">los </w:t>
      </w:r>
      <w:r w:rsidR="00F25A52" w:rsidRPr="00BE63E3">
        <w:rPr>
          <w:rFonts w:ascii="ITC Avant Garde" w:hAnsi="ITC Avant Garde"/>
          <w:lang w:val="es-MX"/>
        </w:rPr>
        <w:t>factores</w:t>
      </w:r>
      <w:r w:rsidRPr="00BE63E3">
        <w:rPr>
          <w:rFonts w:ascii="ITC Avant Garde" w:hAnsi="ITC Avant Garde"/>
          <w:lang w:val="es-MX"/>
        </w:rPr>
        <w:t xml:space="preserve"> de costos apropiados y las reglas de ingeniería (equipos/parámetros específicos) para que cada red </w:t>
      </w:r>
      <w:r w:rsidR="00F25A52" w:rsidRPr="00BE63E3">
        <w:rPr>
          <w:rFonts w:ascii="ITC Avant Garde" w:hAnsi="ITC Avant Garde"/>
          <w:lang w:val="es-MX"/>
        </w:rPr>
        <w:t>reflej</w:t>
      </w:r>
      <w:r w:rsidR="00016AA5">
        <w:rPr>
          <w:rFonts w:ascii="ITC Avant Garde" w:hAnsi="ITC Avant Garde"/>
          <w:lang w:val="es-MX"/>
        </w:rPr>
        <w:t>e</w:t>
      </w:r>
      <w:r w:rsidR="00F25A52" w:rsidRPr="00BE63E3">
        <w:rPr>
          <w:rFonts w:ascii="ITC Avant Garde" w:hAnsi="ITC Avant Garde"/>
          <w:lang w:val="es-MX"/>
        </w:rPr>
        <w:t xml:space="preserve"> los costos de su propia</w:t>
      </w:r>
      <w:r w:rsidRPr="00BE63E3">
        <w:rPr>
          <w:rFonts w:ascii="ITC Avant Garde" w:hAnsi="ITC Avant Garde"/>
          <w:lang w:val="es-MX"/>
        </w:rPr>
        <w:t xml:space="preserve"> tecnología.</w:t>
      </w:r>
    </w:p>
    <w:p w:rsidR="00F25A52" w:rsidRPr="00BE63E3" w:rsidRDefault="00F25A52" w:rsidP="00F25A52">
      <w:pPr>
        <w:rPr>
          <w:rFonts w:ascii="ITC Avant Garde" w:hAnsi="ITC Avant Garde"/>
          <w:lang w:val="es-MX"/>
        </w:rPr>
      </w:pPr>
      <w:r w:rsidRPr="00BE63E3">
        <w:rPr>
          <w:rFonts w:ascii="ITC Avant Garde" w:hAnsi="ITC Avant Garde"/>
          <w:lang w:val="es-MX"/>
        </w:rPr>
        <w:t>Bajo este enfoque, la fibra y el cobre se basarían en dos redes y, por lo tanto, dos estructuras de nodos.</w:t>
      </w:r>
    </w:p>
    <w:p w:rsidR="001F2EF1" w:rsidRPr="00BE63E3" w:rsidRDefault="001F2EF1" w:rsidP="001F2EF1">
      <w:pPr>
        <w:rPr>
          <w:rFonts w:ascii="ITC Avant Garde" w:hAnsi="ITC Avant Garde"/>
          <w:lang w:val="es-MX"/>
        </w:rPr>
      </w:pPr>
      <w:r w:rsidRPr="00BE63E3">
        <w:rPr>
          <w:rFonts w:ascii="ITC Avant Garde" w:hAnsi="ITC Avant Garde"/>
          <w:lang w:val="es-MX"/>
        </w:rPr>
        <w:t xml:space="preserve">La decisión a tomar entre estos dos enfoques depende de los </w:t>
      </w:r>
      <w:r w:rsidR="00F2544C" w:rsidRPr="00BE63E3">
        <w:rPr>
          <w:rFonts w:ascii="ITC Avant Garde" w:hAnsi="ITC Avant Garde"/>
          <w:lang w:val="es-MX"/>
        </w:rPr>
        <w:t>objetivos</w:t>
      </w:r>
      <w:r w:rsidRPr="00BE63E3">
        <w:rPr>
          <w:rFonts w:ascii="ITC Avant Garde" w:hAnsi="ITC Avant Garde"/>
          <w:lang w:val="es-MX"/>
        </w:rPr>
        <w:t xml:space="preserve"> del re</w:t>
      </w:r>
      <w:r w:rsidR="007B421A" w:rsidRPr="00BE63E3">
        <w:rPr>
          <w:rFonts w:ascii="ITC Avant Garde" w:hAnsi="ITC Avant Garde"/>
          <w:lang w:val="es-MX"/>
        </w:rPr>
        <w:t>g</w:t>
      </w:r>
      <w:r w:rsidRPr="00BE63E3">
        <w:rPr>
          <w:rFonts w:ascii="ITC Avant Garde" w:hAnsi="ITC Avant Garde"/>
          <w:lang w:val="es-MX"/>
        </w:rPr>
        <w:t xml:space="preserve">ulador: </w:t>
      </w:r>
    </w:p>
    <w:p w:rsidR="001F2EF1" w:rsidRPr="00BE63E3" w:rsidRDefault="00016AA5" w:rsidP="001F2EF1">
      <w:pPr>
        <w:pStyle w:val="Listaconvietas2"/>
        <w:rPr>
          <w:rFonts w:ascii="ITC Avant Garde" w:hAnsi="ITC Avant Garde"/>
          <w:lang w:val="es-MX"/>
        </w:rPr>
      </w:pPr>
      <w:r>
        <w:rPr>
          <w:rFonts w:ascii="ITC Avant Garde" w:hAnsi="ITC Avant Garde"/>
          <w:lang w:val="es-MX"/>
        </w:rPr>
        <w:t>Por</w:t>
      </w:r>
      <w:r w:rsidR="001F2EF1" w:rsidRPr="00BE63E3">
        <w:rPr>
          <w:rFonts w:ascii="ITC Avant Garde" w:hAnsi="ITC Avant Garde"/>
          <w:lang w:val="es-MX"/>
        </w:rPr>
        <w:t xml:space="preserve"> un </w:t>
      </w:r>
      <w:r w:rsidR="009F5817" w:rsidRPr="00BE63E3">
        <w:rPr>
          <w:rFonts w:ascii="ITC Avant Garde" w:hAnsi="ITC Avant Garde"/>
          <w:lang w:val="es-MX"/>
        </w:rPr>
        <w:t>lado,</w:t>
      </w:r>
      <w:r w:rsidR="001F2EF1" w:rsidRPr="00BE63E3">
        <w:rPr>
          <w:rFonts w:ascii="ITC Avant Garde" w:hAnsi="ITC Avant Garde"/>
          <w:lang w:val="es-MX"/>
        </w:rPr>
        <w:t xml:space="preserve"> fijar precios de cobre y fibra respectivamente sobre la base de dos redes de acceso (y luego usar costos específicos de equipos de cobre y fibra) permite establecer precios que reflejan las diferencias reales de costos y poner ambas tecnologías en igualdad de condiciones, </w:t>
      </w:r>
    </w:p>
    <w:p w:rsidR="001F2EF1" w:rsidRPr="00BE63E3" w:rsidRDefault="000515D5" w:rsidP="001F2EF1">
      <w:pPr>
        <w:pStyle w:val="Listaconvietas2"/>
        <w:rPr>
          <w:rFonts w:ascii="ITC Avant Garde" w:hAnsi="ITC Avant Garde"/>
          <w:lang w:val="es-MX"/>
        </w:rPr>
      </w:pPr>
      <w:r>
        <w:rPr>
          <w:rFonts w:ascii="ITC Avant Garde" w:hAnsi="ITC Avant Garde"/>
          <w:lang w:val="es-MX"/>
        </w:rPr>
        <w:t>P</w:t>
      </w:r>
      <w:r w:rsidRPr="00BE63E3">
        <w:rPr>
          <w:rFonts w:ascii="ITC Avant Garde" w:hAnsi="ITC Avant Garde"/>
          <w:lang w:val="es-MX"/>
        </w:rPr>
        <w:t>or</w:t>
      </w:r>
      <w:r w:rsidR="001F2EF1" w:rsidRPr="00BE63E3">
        <w:rPr>
          <w:rFonts w:ascii="ITC Avant Garde" w:hAnsi="ITC Avant Garde"/>
          <w:lang w:val="es-MX"/>
        </w:rPr>
        <w:t xml:space="preserve"> otro lado, el primer enfoque resulta en un precio del cobre y de la fibra al mismo nivel (el precio de la fibra), lo que facilita la migración del cobre a la fibra, ya que la fibra tendría el mismo precio que el cobre y ofrecería muchas más capacidades.</w:t>
      </w:r>
    </w:p>
    <w:p w:rsidR="00BC0096" w:rsidRPr="00BE63E3" w:rsidRDefault="00BC0096" w:rsidP="00BC0096">
      <w:pPr>
        <w:rPr>
          <w:rFonts w:ascii="ITC Avant Garde" w:hAnsi="ITC Avant Garde"/>
          <w:lang w:val="es-MX"/>
        </w:rPr>
      </w:pPr>
      <w:r w:rsidRPr="00BE63E3">
        <w:rPr>
          <w:rFonts w:ascii="ITC Avant Garde" w:hAnsi="ITC Avant Garde"/>
          <w:lang w:val="es-MX"/>
        </w:rPr>
        <w:lastRenderedPageBreak/>
        <w:t xml:space="preserve">El modelado de ambas tecnologías por separado en el mismo modelo </w:t>
      </w:r>
      <w:r w:rsidR="007B421A" w:rsidRPr="00BE63E3">
        <w:rPr>
          <w:rFonts w:ascii="ITC Avant Garde" w:hAnsi="ITC Avant Garde"/>
          <w:lang w:val="es-MX"/>
        </w:rPr>
        <w:t>es el</w:t>
      </w:r>
      <w:r w:rsidRPr="00BE63E3">
        <w:rPr>
          <w:rFonts w:ascii="ITC Avant Garde" w:hAnsi="ITC Avant Garde"/>
          <w:lang w:val="es-MX"/>
        </w:rPr>
        <w:t xml:space="preserve"> </w:t>
      </w:r>
      <w:r w:rsidR="007B421A" w:rsidRPr="00BE63E3">
        <w:rPr>
          <w:rFonts w:ascii="ITC Avant Garde" w:hAnsi="ITC Avant Garde"/>
          <w:lang w:val="es-MX"/>
        </w:rPr>
        <w:t xml:space="preserve">enfoque </w:t>
      </w:r>
      <w:r w:rsidRPr="00BE63E3">
        <w:rPr>
          <w:rFonts w:ascii="ITC Avant Garde" w:hAnsi="ITC Avant Garde"/>
          <w:lang w:val="es-MX"/>
        </w:rPr>
        <w:t xml:space="preserve">que está más en línea con el objetivo </w:t>
      </w:r>
      <w:r w:rsidR="007B421A" w:rsidRPr="00BE63E3">
        <w:rPr>
          <w:rFonts w:ascii="ITC Avant Garde" w:hAnsi="ITC Avant Garde"/>
          <w:lang w:val="es-MX"/>
        </w:rPr>
        <w:t>de</w:t>
      </w:r>
      <w:r w:rsidRPr="00BE63E3">
        <w:rPr>
          <w:rFonts w:ascii="ITC Avant Garde" w:hAnsi="ITC Avant Garde"/>
          <w:lang w:val="es-MX"/>
        </w:rPr>
        <w:t xml:space="preserve"> facilitar la coherencia en los precios y reconciliar los dos modelos anteriores ya desarrollados. Además, este enfoque parece ser consistente con el desarrollo actual de la fibra en México, </w:t>
      </w:r>
      <w:r w:rsidR="000515D5">
        <w:rPr>
          <w:rFonts w:ascii="ITC Avant Garde" w:hAnsi="ITC Avant Garde"/>
          <w:lang w:val="es-MX"/>
        </w:rPr>
        <w:t>el cual presumiblemente se encuentra</w:t>
      </w:r>
      <w:r w:rsidRPr="00BE63E3">
        <w:rPr>
          <w:rFonts w:ascii="ITC Avant Garde" w:hAnsi="ITC Avant Garde"/>
          <w:lang w:val="es-MX"/>
        </w:rPr>
        <w:t xml:space="preserve"> menos desarrollado (solo el 18% del acceso de banda ancha se realiza mediante tecnología de fibra en 2017).</w:t>
      </w:r>
      <w:r w:rsidR="001F2EF1" w:rsidRPr="00BE63E3">
        <w:rPr>
          <w:rStyle w:val="Refdenotaalpie"/>
          <w:rFonts w:ascii="ITC Avant Garde" w:hAnsi="ITC Avant Garde"/>
          <w:lang w:val="es-MX"/>
        </w:rPr>
        <w:footnoteReference w:id="20"/>
      </w:r>
    </w:p>
    <w:p w:rsidR="00BC0096" w:rsidRPr="00BE63E3" w:rsidRDefault="00BC0096" w:rsidP="001F2EF1">
      <w:pPr>
        <w:pStyle w:val="Encadr3"/>
        <w:rPr>
          <w:rFonts w:ascii="ITC Avant Garde" w:hAnsi="ITC Avant Garde"/>
          <w:lang w:val="es-MX"/>
        </w:rPr>
      </w:pPr>
      <w:r w:rsidRPr="00BE63E3">
        <w:rPr>
          <w:rFonts w:ascii="ITC Avant Garde" w:hAnsi="ITC Avant Garde"/>
          <w:lang w:val="es-MX"/>
        </w:rPr>
        <w:t>Criterio 7: La red de acceso considerada se basa en dos redes separadas: cobre y fibra.</w:t>
      </w:r>
    </w:p>
    <w:p w:rsidR="00BC0096" w:rsidRPr="00BE63E3" w:rsidRDefault="00BC0096" w:rsidP="00BC0096">
      <w:pPr>
        <w:rPr>
          <w:rFonts w:ascii="ITC Avant Garde" w:hAnsi="ITC Avant Garde"/>
          <w:lang w:val="es-MX"/>
        </w:rPr>
      </w:pPr>
    </w:p>
    <w:p w:rsidR="00BC0096" w:rsidRPr="00BE63E3" w:rsidRDefault="00BC0096" w:rsidP="00BC0096">
      <w:pPr>
        <w:pStyle w:val="Ttulo4"/>
        <w:rPr>
          <w:rFonts w:ascii="ITC Avant Garde" w:hAnsi="ITC Avant Garde"/>
          <w:lang w:val="es-MX"/>
        </w:rPr>
      </w:pPr>
      <w:bookmarkStart w:id="91" w:name="_Toc525665266"/>
      <w:bookmarkStart w:id="92" w:name="_Toc525665645"/>
      <w:bookmarkStart w:id="93" w:name="_Toc526854346"/>
      <w:r w:rsidRPr="00BE63E3">
        <w:rPr>
          <w:rFonts w:ascii="ITC Avant Garde" w:hAnsi="ITC Avant Garde"/>
          <w:lang w:val="es-MX"/>
        </w:rPr>
        <w:t>Ubicación de los nodos</w:t>
      </w:r>
      <w:bookmarkEnd w:id="91"/>
      <w:bookmarkEnd w:id="92"/>
      <w:bookmarkEnd w:id="93"/>
    </w:p>
    <w:p w:rsidR="00BC0096" w:rsidRPr="00BE63E3" w:rsidRDefault="00BC0096" w:rsidP="00BC0096">
      <w:pPr>
        <w:rPr>
          <w:rFonts w:ascii="ITC Avant Garde" w:hAnsi="ITC Avant Garde"/>
          <w:lang w:val="es-MX"/>
        </w:rPr>
      </w:pPr>
      <w:r w:rsidRPr="00BE63E3">
        <w:rPr>
          <w:rFonts w:ascii="ITC Avant Garde" w:hAnsi="ITC Avant Garde"/>
          <w:lang w:val="es-MX"/>
        </w:rPr>
        <w:t>La ubicación de</w:t>
      </w:r>
      <w:r w:rsidR="001F2EF1" w:rsidRPr="00BE63E3">
        <w:rPr>
          <w:rFonts w:ascii="ITC Avant Garde" w:hAnsi="ITC Avant Garde"/>
          <w:lang w:val="es-MX"/>
        </w:rPr>
        <w:t xml:space="preserve"> </w:t>
      </w:r>
      <w:r w:rsidRPr="00BE63E3">
        <w:rPr>
          <w:rFonts w:ascii="ITC Avant Garde" w:hAnsi="ITC Avant Garde"/>
          <w:lang w:val="es-MX"/>
        </w:rPr>
        <w:t>nodo</w:t>
      </w:r>
      <w:r w:rsidR="001F2EF1" w:rsidRPr="00BE63E3">
        <w:rPr>
          <w:rFonts w:ascii="ITC Avant Garde" w:hAnsi="ITC Avant Garde"/>
          <w:lang w:val="es-MX"/>
        </w:rPr>
        <w:t>s de la red de acceso</w:t>
      </w:r>
      <w:r w:rsidRPr="00BE63E3">
        <w:rPr>
          <w:rFonts w:ascii="ITC Avant Garde" w:hAnsi="ITC Avant Garde"/>
          <w:lang w:val="es-MX"/>
        </w:rPr>
        <w:t xml:space="preserve"> que debe considerarse en el modelo depende de la elección del operador que se modelará En el caso de modelar </w:t>
      </w:r>
      <w:r w:rsidR="00B36DD9" w:rsidRPr="00BE63E3">
        <w:rPr>
          <w:rFonts w:ascii="ITC Avant Garde" w:hAnsi="ITC Avant Garde"/>
          <w:lang w:val="es-MX"/>
        </w:rPr>
        <w:t>al</w:t>
      </w:r>
      <w:r w:rsidRPr="00BE63E3">
        <w:rPr>
          <w:rFonts w:ascii="ITC Avant Garde" w:hAnsi="ITC Avant Garde"/>
          <w:lang w:val="es-MX"/>
        </w:rPr>
        <w:t xml:space="preserve"> </w:t>
      </w:r>
      <w:r w:rsidR="001F2EF1" w:rsidRPr="00BE63E3">
        <w:rPr>
          <w:rFonts w:ascii="ITC Avant Garde" w:hAnsi="ITC Avant Garde"/>
          <w:lang w:val="es-MX"/>
        </w:rPr>
        <w:t>AEP</w:t>
      </w:r>
      <w:r w:rsidRPr="00BE63E3">
        <w:rPr>
          <w:rFonts w:ascii="ITC Avant Garde" w:hAnsi="ITC Avant Garde"/>
          <w:lang w:val="es-MX"/>
        </w:rPr>
        <w:t xml:space="preserve">, la ubicación de los nodos que se podría tomar en consideración es la </w:t>
      </w:r>
      <w:r w:rsidR="001F2EF1" w:rsidRPr="00BE63E3">
        <w:rPr>
          <w:rFonts w:ascii="ITC Avant Garde" w:hAnsi="ITC Avant Garde"/>
          <w:lang w:val="es-MX"/>
        </w:rPr>
        <w:t>del</w:t>
      </w:r>
      <w:r w:rsidRPr="00BE63E3">
        <w:rPr>
          <w:rFonts w:ascii="ITC Avant Garde" w:hAnsi="ITC Avant Garde"/>
          <w:lang w:val="es-MX"/>
        </w:rPr>
        <w:t xml:space="preserve"> operador, por lo que este parámetro no es un resultado de ningún proceso de optimización.</w:t>
      </w:r>
    </w:p>
    <w:p w:rsidR="00BC0096" w:rsidRPr="00BE63E3" w:rsidRDefault="00BC0096" w:rsidP="00BC0096">
      <w:pPr>
        <w:rPr>
          <w:rFonts w:ascii="ITC Avant Garde" w:hAnsi="ITC Avant Garde"/>
          <w:lang w:val="es-MX"/>
        </w:rPr>
      </w:pPr>
      <w:r w:rsidRPr="00BE63E3">
        <w:rPr>
          <w:rFonts w:ascii="ITC Avant Garde" w:hAnsi="ITC Avant Garde"/>
          <w:lang w:val="es-MX"/>
        </w:rPr>
        <w:t xml:space="preserve">Sin embargo, en el caso de modelar un operador hipotéticamente eficiente, en lugar de un operador que imita la red del operador SMP, se puede usar la red </w:t>
      </w:r>
      <w:r w:rsidR="003B1FBF">
        <w:rPr>
          <w:rFonts w:ascii="ITC Avant Garde" w:hAnsi="ITC Avant Garde"/>
          <w:lang w:val="es-MX"/>
        </w:rPr>
        <w:t xml:space="preserve">del </w:t>
      </w:r>
      <w:r w:rsidR="009F5817">
        <w:rPr>
          <w:rFonts w:ascii="ITC Avant Garde" w:hAnsi="ITC Avant Garde"/>
          <w:lang w:val="es-MX"/>
        </w:rPr>
        <w:t>AEP</w:t>
      </w:r>
      <w:r w:rsidR="009F5817" w:rsidRPr="00BE63E3">
        <w:rPr>
          <w:rFonts w:ascii="ITC Avant Garde" w:hAnsi="ITC Avant Garde"/>
          <w:lang w:val="es-MX"/>
        </w:rPr>
        <w:t xml:space="preserve"> como</w:t>
      </w:r>
      <w:r w:rsidRPr="00BE63E3">
        <w:rPr>
          <w:rFonts w:ascii="ITC Avant Garde" w:hAnsi="ITC Avant Garde"/>
          <w:lang w:val="es-MX"/>
        </w:rPr>
        <w:t xml:space="preserve"> base para definir los nodos de acceso de red que se han establecido en ubicaciones geográficas</w:t>
      </w:r>
      <w:r w:rsidR="001F2EF1" w:rsidRPr="00BE63E3">
        <w:rPr>
          <w:rFonts w:ascii="ITC Avant Garde" w:hAnsi="ITC Avant Garde"/>
          <w:lang w:val="es-MX"/>
        </w:rPr>
        <w:t xml:space="preserve"> (</w:t>
      </w:r>
      <w:r w:rsidRPr="00BE63E3">
        <w:rPr>
          <w:rFonts w:ascii="ITC Avant Garde" w:hAnsi="ITC Avant Garde"/>
          <w:lang w:val="es-MX"/>
        </w:rPr>
        <w:t>llamados sitios</w:t>
      </w:r>
      <w:r w:rsidR="001F2EF1" w:rsidRPr="00BE63E3">
        <w:rPr>
          <w:rFonts w:ascii="ITC Avant Garde" w:hAnsi="ITC Avant Garde"/>
          <w:lang w:val="es-MX"/>
        </w:rPr>
        <w:t>)</w:t>
      </w:r>
      <w:r w:rsidRPr="00BE63E3">
        <w:rPr>
          <w:rFonts w:ascii="ITC Avant Garde" w:hAnsi="ITC Avant Garde"/>
          <w:lang w:val="es-MX"/>
        </w:rPr>
        <w:t>, considerados como ideales para el despliegue de la red de cobre y también tomando en consideración las especificidades del territorio y la sociedad mexicanos. Esto podría proporcionar un punto de partida razonable para el modelo. Por otro lado, las ubicaciones geográficas existentes de los nodos que se encuentran en sitios, que es un espacio físico que incluye protección de blindaje, sistemas eléctricos, sistema de energía de reserva y sistema climático, pueden ser inconsistentes con lo que podría suponerse para una nueva red de fibra óptica. particularmente debido a que la fibra óptica tiene un alcance considerablemente mayor que el cobre debido a diferentes atributos tecnológicos.</w:t>
      </w:r>
    </w:p>
    <w:p w:rsidR="00BC0096" w:rsidRPr="00BE63E3" w:rsidRDefault="001F2EF1" w:rsidP="00BC0096">
      <w:pPr>
        <w:rPr>
          <w:rFonts w:ascii="ITC Avant Garde" w:hAnsi="ITC Avant Garde"/>
          <w:lang w:val="es-MX"/>
        </w:rPr>
      </w:pPr>
      <w:r w:rsidRPr="00BE63E3">
        <w:rPr>
          <w:rFonts w:ascii="ITC Avant Garde" w:hAnsi="ITC Avant Garde"/>
          <w:lang w:val="es-MX"/>
        </w:rPr>
        <w:t>Al final, l</w:t>
      </w:r>
      <w:r w:rsidR="00BC0096" w:rsidRPr="00BE63E3">
        <w:rPr>
          <w:rFonts w:ascii="ITC Avant Garde" w:hAnsi="ITC Avant Garde"/>
          <w:lang w:val="es-MX"/>
        </w:rPr>
        <w:t>a determinación de la ubicación de los nodos se puede realizar utilizando varios enfoques:</w:t>
      </w:r>
    </w:p>
    <w:p w:rsidR="00BC0096" w:rsidRPr="00BE63E3" w:rsidRDefault="00BC0096" w:rsidP="00556A48">
      <w:pPr>
        <w:pStyle w:val="Prrafodelista"/>
        <w:numPr>
          <w:ilvl w:val="0"/>
          <w:numId w:val="18"/>
        </w:numPr>
        <w:rPr>
          <w:rFonts w:ascii="ITC Avant Garde" w:hAnsi="ITC Avant Garde"/>
          <w:lang w:val="es-MX"/>
        </w:rPr>
      </w:pPr>
      <w:r w:rsidRPr="00BE63E3">
        <w:rPr>
          <w:rFonts w:ascii="ITC Avant Garde" w:hAnsi="ITC Avant Garde"/>
          <w:lang w:val="es-MX"/>
        </w:rPr>
        <w:t xml:space="preserve">Enfoque </w:t>
      </w:r>
      <w:proofErr w:type="spellStart"/>
      <w:r w:rsidR="001F2EF1" w:rsidRPr="00BE63E3">
        <w:rPr>
          <w:rFonts w:ascii="ITC Avant Garde" w:hAnsi="ITC Avant Garde"/>
          <w:i/>
          <w:lang w:val="es-MX"/>
        </w:rPr>
        <w:t>scorched</w:t>
      </w:r>
      <w:proofErr w:type="spellEnd"/>
      <w:r w:rsidR="001F2EF1" w:rsidRPr="00BE63E3">
        <w:rPr>
          <w:rFonts w:ascii="ITC Avant Garde" w:hAnsi="ITC Avant Garde"/>
          <w:i/>
          <w:lang w:val="es-MX"/>
        </w:rPr>
        <w:t xml:space="preserve"> </w:t>
      </w:r>
      <w:proofErr w:type="spellStart"/>
      <w:r w:rsidR="001F2EF1" w:rsidRPr="00BE63E3">
        <w:rPr>
          <w:rFonts w:ascii="ITC Avant Garde" w:hAnsi="ITC Avant Garde"/>
          <w:i/>
          <w:lang w:val="es-MX"/>
        </w:rPr>
        <w:t>earth</w:t>
      </w:r>
      <w:proofErr w:type="spellEnd"/>
      <w:r w:rsidR="001F2EF1" w:rsidRPr="00BE63E3">
        <w:rPr>
          <w:rFonts w:ascii="ITC Avant Garde" w:hAnsi="ITC Avant Garde"/>
          <w:lang w:val="es-MX"/>
        </w:rPr>
        <w:t xml:space="preserve"> </w:t>
      </w:r>
      <w:r w:rsidRPr="00BE63E3">
        <w:rPr>
          <w:rFonts w:ascii="ITC Avant Garde" w:hAnsi="ITC Avant Garde"/>
          <w:lang w:val="es-MX"/>
        </w:rPr>
        <w:t>(construyendo desde cero);</w:t>
      </w:r>
    </w:p>
    <w:p w:rsidR="00BC0096" w:rsidRPr="00BE63E3" w:rsidRDefault="00BC0096" w:rsidP="00556A48">
      <w:pPr>
        <w:pStyle w:val="Prrafodelista"/>
        <w:numPr>
          <w:ilvl w:val="0"/>
          <w:numId w:val="18"/>
        </w:numPr>
        <w:rPr>
          <w:rFonts w:ascii="ITC Avant Garde" w:hAnsi="ITC Avant Garde"/>
          <w:lang w:val="es-MX"/>
        </w:rPr>
      </w:pPr>
      <w:r w:rsidRPr="00BE63E3">
        <w:rPr>
          <w:rFonts w:ascii="ITC Avant Garde" w:hAnsi="ITC Avant Garde"/>
          <w:lang w:val="es-MX"/>
        </w:rPr>
        <w:t xml:space="preserve">Enfoque </w:t>
      </w:r>
      <w:proofErr w:type="spellStart"/>
      <w:r w:rsidR="001F2EF1" w:rsidRPr="00BE63E3">
        <w:rPr>
          <w:rFonts w:ascii="ITC Avant Garde" w:hAnsi="ITC Avant Garde"/>
          <w:i/>
          <w:lang w:val="es-MX"/>
        </w:rPr>
        <w:t>sorched</w:t>
      </w:r>
      <w:proofErr w:type="spellEnd"/>
      <w:r w:rsidR="001F2EF1" w:rsidRPr="00BE63E3">
        <w:rPr>
          <w:rFonts w:ascii="ITC Avant Garde" w:hAnsi="ITC Avant Garde"/>
          <w:i/>
          <w:lang w:val="es-MX"/>
        </w:rPr>
        <w:t xml:space="preserve"> </w:t>
      </w:r>
      <w:proofErr w:type="spellStart"/>
      <w:r w:rsidR="001F2EF1" w:rsidRPr="00BE63E3">
        <w:rPr>
          <w:rFonts w:ascii="ITC Avant Garde" w:hAnsi="ITC Avant Garde"/>
          <w:i/>
          <w:lang w:val="es-MX"/>
        </w:rPr>
        <w:t>node</w:t>
      </w:r>
      <w:proofErr w:type="spellEnd"/>
      <w:r w:rsidRPr="00BE63E3">
        <w:rPr>
          <w:rFonts w:ascii="ITC Avant Garde" w:hAnsi="ITC Avant Garde"/>
          <w:lang w:val="es-MX"/>
        </w:rPr>
        <w:t xml:space="preserve"> (es decir, los nodos de acceso del </w:t>
      </w:r>
      <w:r w:rsidR="001F2EF1" w:rsidRPr="00BE63E3">
        <w:rPr>
          <w:rFonts w:ascii="ITC Avant Garde" w:hAnsi="ITC Avant Garde"/>
          <w:lang w:val="es-MX"/>
        </w:rPr>
        <w:t>AEP</w:t>
      </w:r>
      <w:r w:rsidRPr="00BE63E3">
        <w:rPr>
          <w:rFonts w:ascii="ITC Avant Garde" w:hAnsi="ITC Avant Garde"/>
          <w:lang w:val="es-MX"/>
        </w:rPr>
        <w:t>);</w:t>
      </w:r>
    </w:p>
    <w:p w:rsidR="00BC0096" w:rsidRPr="00BE63E3" w:rsidRDefault="00BC0096" w:rsidP="00556A48">
      <w:pPr>
        <w:pStyle w:val="Prrafodelista"/>
        <w:numPr>
          <w:ilvl w:val="0"/>
          <w:numId w:val="18"/>
        </w:numPr>
        <w:rPr>
          <w:rFonts w:ascii="ITC Avant Garde" w:hAnsi="ITC Avant Garde"/>
          <w:lang w:val="es-MX"/>
        </w:rPr>
      </w:pPr>
      <w:r w:rsidRPr="00BE63E3">
        <w:rPr>
          <w:rFonts w:ascii="ITC Avant Garde" w:hAnsi="ITC Avant Garde"/>
          <w:lang w:val="es-MX"/>
        </w:rPr>
        <w:t xml:space="preserve">Enfoque </w:t>
      </w:r>
      <w:proofErr w:type="spellStart"/>
      <w:r w:rsidR="001F2EF1" w:rsidRPr="00BE63E3">
        <w:rPr>
          <w:rFonts w:ascii="ITC Avant Garde" w:hAnsi="ITC Avant Garde"/>
          <w:i/>
          <w:lang w:val="es-MX"/>
        </w:rPr>
        <w:t>sorched</w:t>
      </w:r>
      <w:proofErr w:type="spellEnd"/>
      <w:r w:rsidR="001F2EF1" w:rsidRPr="00BE63E3">
        <w:rPr>
          <w:rFonts w:ascii="ITC Avant Garde" w:hAnsi="ITC Avant Garde"/>
          <w:i/>
          <w:lang w:val="es-MX"/>
        </w:rPr>
        <w:t xml:space="preserve"> </w:t>
      </w:r>
      <w:proofErr w:type="spellStart"/>
      <w:r w:rsidR="001F2EF1" w:rsidRPr="00BE63E3">
        <w:rPr>
          <w:rFonts w:ascii="ITC Avant Garde" w:hAnsi="ITC Avant Garde"/>
          <w:i/>
          <w:lang w:val="es-MX"/>
        </w:rPr>
        <w:t>node</w:t>
      </w:r>
      <w:proofErr w:type="spellEnd"/>
      <w:r w:rsidRPr="00BE63E3">
        <w:rPr>
          <w:rFonts w:ascii="ITC Avant Garde" w:hAnsi="ITC Avant Garde"/>
          <w:lang w:val="es-MX"/>
        </w:rPr>
        <w:t xml:space="preserve"> modificado:</w:t>
      </w:r>
    </w:p>
    <w:p w:rsidR="00BC0096" w:rsidRPr="00BE63E3" w:rsidRDefault="00BC0096" w:rsidP="00556A48">
      <w:pPr>
        <w:pStyle w:val="Prrafodelista"/>
        <w:numPr>
          <w:ilvl w:val="1"/>
          <w:numId w:val="18"/>
        </w:numPr>
        <w:rPr>
          <w:rFonts w:ascii="ITC Avant Garde" w:hAnsi="ITC Avant Garde"/>
          <w:lang w:val="es-MX"/>
        </w:rPr>
      </w:pPr>
      <w:r w:rsidRPr="00BE63E3">
        <w:rPr>
          <w:rFonts w:ascii="ITC Avant Garde" w:hAnsi="ITC Avant Garde"/>
          <w:lang w:val="es-MX"/>
        </w:rPr>
        <w:t xml:space="preserve">en función de los nodos de acceso de cobre actuales </w:t>
      </w:r>
      <w:r w:rsidR="003A0FB4" w:rsidRPr="00BE63E3">
        <w:rPr>
          <w:rFonts w:ascii="ITC Avant Garde" w:hAnsi="ITC Avant Garde"/>
          <w:lang w:val="es-MX"/>
        </w:rPr>
        <w:t>u</w:t>
      </w:r>
      <w:r w:rsidRPr="00BE63E3">
        <w:rPr>
          <w:rFonts w:ascii="ITC Avant Garde" w:hAnsi="ITC Avant Garde"/>
          <w:lang w:val="es-MX"/>
        </w:rPr>
        <w:t xml:space="preserve"> objetivo del </w:t>
      </w:r>
      <w:r w:rsidR="001F2EF1" w:rsidRPr="00BE63E3">
        <w:rPr>
          <w:rFonts w:ascii="ITC Avant Garde" w:hAnsi="ITC Avant Garde"/>
          <w:lang w:val="es-MX"/>
        </w:rPr>
        <w:t>AE</w:t>
      </w:r>
      <w:r w:rsidRPr="00BE63E3">
        <w:rPr>
          <w:rFonts w:ascii="ITC Avant Garde" w:hAnsi="ITC Avant Garde"/>
          <w:lang w:val="es-MX"/>
        </w:rPr>
        <w:t>P;</w:t>
      </w:r>
    </w:p>
    <w:p w:rsidR="00BC0096" w:rsidRPr="00BE63E3" w:rsidRDefault="00BC0096" w:rsidP="00556A48">
      <w:pPr>
        <w:pStyle w:val="Prrafodelista"/>
        <w:numPr>
          <w:ilvl w:val="1"/>
          <w:numId w:val="18"/>
        </w:numPr>
        <w:rPr>
          <w:rFonts w:ascii="ITC Avant Garde" w:hAnsi="ITC Avant Garde"/>
          <w:lang w:val="es-MX"/>
        </w:rPr>
      </w:pPr>
      <w:r w:rsidRPr="00BE63E3">
        <w:rPr>
          <w:rFonts w:ascii="ITC Avant Garde" w:hAnsi="ITC Avant Garde"/>
          <w:lang w:val="es-MX"/>
        </w:rPr>
        <w:t xml:space="preserve">basado en los nodos de acceso a la red de fibra del </w:t>
      </w:r>
      <w:r w:rsidR="001F2EF1" w:rsidRPr="00BE63E3">
        <w:rPr>
          <w:rFonts w:ascii="ITC Avant Garde" w:hAnsi="ITC Avant Garde"/>
          <w:lang w:val="es-MX"/>
        </w:rPr>
        <w:t>AE</w:t>
      </w:r>
      <w:r w:rsidRPr="00BE63E3">
        <w:rPr>
          <w:rFonts w:ascii="ITC Avant Garde" w:hAnsi="ITC Avant Garde"/>
          <w:lang w:val="es-MX"/>
        </w:rPr>
        <w:t>P y otros operadores;</w:t>
      </w:r>
    </w:p>
    <w:p w:rsidR="00BC0096" w:rsidRPr="00BE63E3" w:rsidRDefault="001F2EF1" w:rsidP="00556A48">
      <w:pPr>
        <w:pStyle w:val="Prrafodelista"/>
        <w:numPr>
          <w:ilvl w:val="1"/>
          <w:numId w:val="18"/>
        </w:numPr>
        <w:rPr>
          <w:rFonts w:ascii="ITC Avant Garde" w:hAnsi="ITC Avant Garde"/>
          <w:lang w:val="es-MX"/>
        </w:rPr>
      </w:pPr>
      <w:r w:rsidRPr="00BE63E3">
        <w:rPr>
          <w:rFonts w:ascii="ITC Avant Garde" w:hAnsi="ITC Avant Garde"/>
          <w:lang w:val="es-MX"/>
        </w:rPr>
        <w:t>e</w:t>
      </w:r>
      <w:r w:rsidR="00BC0096" w:rsidRPr="00BE63E3">
        <w:rPr>
          <w:rFonts w:ascii="ITC Avant Garde" w:hAnsi="ITC Avant Garde"/>
          <w:lang w:val="es-MX"/>
        </w:rPr>
        <w:t xml:space="preserve">n función de los nodos de acceso de cobre y fibra actuales u objetivo del </w:t>
      </w:r>
      <w:r w:rsidRPr="00BE63E3">
        <w:rPr>
          <w:rFonts w:ascii="ITC Avant Garde" w:hAnsi="ITC Avant Garde"/>
          <w:lang w:val="es-MX"/>
        </w:rPr>
        <w:t>AE</w:t>
      </w:r>
      <w:r w:rsidR="00BC0096" w:rsidRPr="00BE63E3">
        <w:rPr>
          <w:rFonts w:ascii="ITC Avant Garde" w:hAnsi="ITC Avant Garde"/>
          <w:lang w:val="es-MX"/>
        </w:rPr>
        <w:t>P.</w:t>
      </w:r>
    </w:p>
    <w:p w:rsidR="00BC0096" w:rsidRPr="00BE63E3" w:rsidRDefault="00BC0096" w:rsidP="00BC0096">
      <w:pPr>
        <w:rPr>
          <w:rFonts w:ascii="ITC Avant Garde" w:hAnsi="ITC Avant Garde"/>
          <w:lang w:val="es-MX"/>
        </w:rPr>
      </w:pPr>
      <w:r w:rsidRPr="00BE63E3">
        <w:rPr>
          <w:rFonts w:ascii="ITC Avant Garde" w:hAnsi="ITC Avant Garde"/>
          <w:lang w:val="es-MX"/>
        </w:rPr>
        <w:lastRenderedPageBreak/>
        <w:t>El primer enfoque (</w:t>
      </w:r>
      <w:proofErr w:type="spellStart"/>
      <w:r w:rsidR="001F2EF1" w:rsidRPr="00BE63E3">
        <w:rPr>
          <w:rFonts w:ascii="ITC Avant Garde" w:hAnsi="ITC Avant Garde"/>
          <w:i/>
          <w:lang w:val="es-MX"/>
        </w:rPr>
        <w:t>scorched</w:t>
      </w:r>
      <w:proofErr w:type="spellEnd"/>
      <w:r w:rsidR="001F2EF1" w:rsidRPr="00BE63E3">
        <w:rPr>
          <w:rFonts w:ascii="ITC Avant Garde" w:hAnsi="ITC Avant Garde"/>
          <w:i/>
          <w:lang w:val="es-MX"/>
        </w:rPr>
        <w:t xml:space="preserve"> </w:t>
      </w:r>
      <w:proofErr w:type="spellStart"/>
      <w:r w:rsidR="001F2EF1" w:rsidRPr="00BE63E3">
        <w:rPr>
          <w:rFonts w:ascii="ITC Avant Garde" w:hAnsi="ITC Avant Garde"/>
          <w:i/>
          <w:lang w:val="es-MX"/>
        </w:rPr>
        <w:t>earth</w:t>
      </w:r>
      <w:proofErr w:type="spellEnd"/>
      <w:r w:rsidRPr="00BE63E3">
        <w:rPr>
          <w:rFonts w:ascii="ITC Avant Garde" w:hAnsi="ITC Avant Garde"/>
          <w:lang w:val="es-MX"/>
        </w:rPr>
        <w:t>) proporciona el enfoque teórico más óptimo para modelar un operador hipotéticamente eficiente, ya que supone que la red se construye completamente desde cero. Sin embargo, es complejo de implementar, y no se sabe que ninguna A</w:t>
      </w:r>
      <w:r w:rsidR="00595966" w:rsidRPr="00BE63E3">
        <w:rPr>
          <w:rFonts w:ascii="ITC Avant Garde" w:hAnsi="ITC Avant Garde"/>
          <w:lang w:val="es-MX"/>
        </w:rPr>
        <w:t xml:space="preserve">gencias </w:t>
      </w:r>
      <w:r w:rsidRPr="00BE63E3">
        <w:rPr>
          <w:rFonts w:ascii="ITC Avant Garde" w:hAnsi="ITC Avant Garde"/>
          <w:lang w:val="es-MX"/>
        </w:rPr>
        <w:t>N</w:t>
      </w:r>
      <w:r w:rsidR="00595966" w:rsidRPr="00BE63E3">
        <w:rPr>
          <w:rFonts w:ascii="ITC Avant Garde" w:hAnsi="ITC Avant Garde"/>
          <w:lang w:val="es-MX"/>
        </w:rPr>
        <w:t xml:space="preserve">acionales </w:t>
      </w:r>
      <w:r w:rsidR="00F71486" w:rsidRPr="00BE63E3">
        <w:rPr>
          <w:rFonts w:ascii="ITC Avant Garde" w:hAnsi="ITC Avant Garde"/>
          <w:lang w:val="es-MX"/>
        </w:rPr>
        <w:t xml:space="preserve">de </w:t>
      </w:r>
      <w:r w:rsidRPr="00BE63E3">
        <w:rPr>
          <w:rFonts w:ascii="ITC Avant Garde" w:hAnsi="ITC Avant Garde"/>
          <w:lang w:val="es-MX"/>
        </w:rPr>
        <w:t>R</w:t>
      </w:r>
      <w:r w:rsidR="00595966" w:rsidRPr="00BE63E3">
        <w:rPr>
          <w:rFonts w:ascii="ITC Avant Garde" w:hAnsi="ITC Avant Garde"/>
          <w:lang w:val="es-MX"/>
        </w:rPr>
        <w:t>egulación (</w:t>
      </w:r>
      <w:r w:rsidRPr="00BE63E3">
        <w:rPr>
          <w:rFonts w:ascii="ITC Avant Garde" w:hAnsi="ITC Avant Garde"/>
          <w:lang w:val="es-MX"/>
        </w:rPr>
        <w:t>ANR</w:t>
      </w:r>
      <w:r w:rsidR="00595966" w:rsidRPr="00BE63E3">
        <w:rPr>
          <w:rFonts w:ascii="ITC Avant Garde" w:hAnsi="ITC Avant Garde"/>
          <w:lang w:val="es-MX"/>
        </w:rPr>
        <w:t>)</w:t>
      </w:r>
      <w:r w:rsidRPr="00BE63E3">
        <w:rPr>
          <w:rFonts w:ascii="ITC Avant Garde" w:hAnsi="ITC Avant Garde"/>
          <w:lang w:val="es-MX"/>
        </w:rPr>
        <w:t xml:space="preserve"> haya adoptado este enfoque porque existe el riesgo de modelar una red sobre optimizada, que ignora las limitaciones implícitas de la geografía</w:t>
      </w:r>
      <w:r w:rsidR="00875932">
        <w:rPr>
          <w:rFonts w:ascii="ITC Avant Garde" w:hAnsi="ITC Avant Garde"/>
          <w:lang w:val="es-MX"/>
        </w:rPr>
        <w:t>/</w:t>
      </w:r>
      <w:r w:rsidRPr="00BE63E3">
        <w:rPr>
          <w:rFonts w:ascii="ITC Avant Garde" w:hAnsi="ITC Avant Garde"/>
          <w:lang w:val="es-MX"/>
        </w:rPr>
        <w:t>urbanismo. Además, la definición de criterios para identificar las ubicaciones correctas para los nodos de acceso puede ser muy subjetiva o simplemente imposible debido a que existe un número infinito de posibilidades.</w:t>
      </w:r>
    </w:p>
    <w:p w:rsidR="00BC0096" w:rsidRPr="00BE63E3" w:rsidRDefault="00BC0096" w:rsidP="00BC0096">
      <w:pPr>
        <w:rPr>
          <w:rFonts w:ascii="ITC Avant Garde" w:hAnsi="ITC Avant Garde"/>
          <w:lang w:val="es-MX"/>
        </w:rPr>
      </w:pPr>
      <w:r w:rsidRPr="00BE63E3">
        <w:rPr>
          <w:rFonts w:ascii="ITC Avant Garde" w:hAnsi="ITC Avant Garde"/>
          <w:lang w:val="es-MX"/>
        </w:rPr>
        <w:t>El segundo y tercer enfoque (</w:t>
      </w:r>
      <w:proofErr w:type="spellStart"/>
      <w:r w:rsidR="00CA69A7" w:rsidRPr="00BE63E3">
        <w:rPr>
          <w:rFonts w:ascii="ITC Avant Garde" w:hAnsi="ITC Avant Garde"/>
          <w:i/>
          <w:lang w:val="es-MX"/>
        </w:rPr>
        <w:t>sorched</w:t>
      </w:r>
      <w:proofErr w:type="spellEnd"/>
      <w:r w:rsidR="00CA69A7" w:rsidRPr="00BE63E3">
        <w:rPr>
          <w:rFonts w:ascii="ITC Avant Garde" w:hAnsi="ITC Avant Garde"/>
          <w:i/>
          <w:lang w:val="es-MX"/>
        </w:rPr>
        <w:t xml:space="preserve"> </w:t>
      </w:r>
      <w:proofErr w:type="spellStart"/>
      <w:r w:rsidR="00CA69A7" w:rsidRPr="00BE63E3">
        <w:rPr>
          <w:rFonts w:ascii="ITC Avant Garde" w:hAnsi="ITC Avant Garde"/>
          <w:i/>
          <w:lang w:val="es-MX"/>
        </w:rPr>
        <w:t>node</w:t>
      </w:r>
      <w:proofErr w:type="spellEnd"/>
      <w:r w:rsidR="00CA69A7" w:rsidRPr="00BE63E3">
        <w:rPr>
          <w:rFonts w:ascii="ITC Avant Garde" w:hAnsi="ITC Avant Garde"/>
          <w:lang w:val="es-MX"/>
        </w:rPr>
        <w:t xml:space="preserve"> </w:t>
      </w:r>
      <w:r w:rsidRPr="00BE63E3">
        <w:rPr>
          <w:rFonts w:ascii="ITC Avant Garde" w:hAnsi="ITC Avant Garde"/>
          <w:lang w:val="es-MX"/>
        </w:rPr>
        <w:t xml:space="preserve">y </w:t>
      </w:r>
      <w:proofErr w:type="spellStart"/>
      <w:r w:rsidR="00CA69A7" w:rsidRPr="00BE63E3">
        <w:rPr>
          <w:rFonts w:ascii="ITC Avant Garde" w:hAnsi="ITC Avant Garde"/>
          <w:i/>
          <w:lang w:val="es-MX"/>
        </w:rPr>
        <w:t>sorched</w:t>
      </w:r>
      <w:proofErr w:type="spellEnd"/>
      <w:r w:rsidR="00CA69A7" w:rsidRPr="00BE63E3">
        <w:rPr>
          <w:rFonts w:ascii="ITC Avant Garde" w:hAnsi="ITC Avant Garde"/>
          <w:i/>
          <w:lang w:val="es-MX"/>
        </w:rPr>
        <w:t xml:space="preserve"> </w:t>
      </w:r>
      <w:proofErr w:type="spellStart"/>
      <w:r w:rsidR="00CA69A7" w:rsidRPr="00BE63E3">
        <w:rPr>
          <w:rFonts w:ascii="ITC Avant Garde" w:hAnsi="ITC Avant Garde"/>
          <w:i/>
          <w:lang w:val="es-MX"/>
        </w:rPr>
        <w:t>node</w:t>
      </w:r>
      <w:proofErr w:type="spellEnd"/>
      <w:r w:rsidR="00CA69A7" w:rsidRPr="00BE63E3">
        <w:rPr>
          <w:rFonts w:ascii="ITC Avant Garde" w:hAnsi="ITC Avant Garde"/>
          <w:lang w:val="es-MX"/>
        </w:rPr>
        <w:t xml:space="preserve"> modificado</w:t>
      </w:r>
      <w:r w:rsidRPr="00BE63E3">
        <w:rPr>
          <w:rFonts w:ascii="ITC Avant Garde" w:hAnsi="ITC Avant Garde"/>
          <w:lang w:val="es-MX"/>
        </w:rPr>
        <w:t>) derriban las barreras del primer enfoque.</w:t>
      </w:r>
    </w:p>
    <w:p w:rsidR="00BC0096" w:rsidRPr="00BE63E3" w:rsidRDefault="00BC0096" w:rsidP="00BC0096">
      <w:pPr>
        <w:rPr>
          <w:rFonts w:ascii="ITC Avant Garde" w:hAnsi="ITC Avant Garde"/>
          <w:lang w:val="es-MX"/>
        </w:rPr>
      </w:pPr>
      <w:r w:rsidRPr="00BE63E3">
        <w:rPr>
          <w:rFonts w:ascii="ITC Avant Garde" w:hAnsi="ITC Avant Garde"/>
          <w:lang w:val="es-MX"/>
        </w:rPr>
        <w:t>Bajo el segundo enfoque (</w:t>
      </w:r>
      <w:proofErr w:type="spellStart"/>
      <w:r w:rsidR="00CA69A7" w:rsidRPr="00BE63E3">
        <w:rPr>
          <w:rFonts w:ascii="ITC Avant Garde" w:hAnsi="ITC Avant Garde"/>
          <w:i/>
          <w:lang w:val="es-MX"/>
        </w:rPr>
        <w:t>sorched</w:t>
      </w:r>
      <w:proofErr w:type="spellEnd"/>
      <w:r w:rsidR="00CA69A7" w:rsidRPr="00BE63E3">
        <w:rPr>
          <w:rFonts w:ascii="ITC Avant Garde" w:hAnsi="ITC Avant Garde"/>
          <w:i/>
          <w:lang w:val="es-MX"/>
        </w:rPr>
        <w:t xml:space="preserve"> </w:t>
      </w:r>
      <w:proofErr w:type="spellStart"/>
      <w:r w:rsidR="00CA69A7" w:rsidRPr="00BE63E3">
        <w:rPr>
          <w:rFonts w:ascii="ITC Avant Garde" w:hAnsi="ITC Avant Garde"/>
          <w:i/>
          <w:lang w:val="es-MX"/>
        </w:rPr>
        <w:t>node</w:t>
      </w:r>
      <w:proofErr w:type="spellEnd"/>
      <w:r w:rsidRPr="00BE63E3">
        <w:rPr>
          <w:rFonts w:ascii="ITC Avant Garde" w:hAnsi="ITC Avant Garde"/>
          <w:lang w:val="es-MX"/>
        </w:rPr>
        <w:t>), el operador modelado imitaría</w:t>
      </w:r>
      <w:r w:rsidR="00CA69A7" w:rsidRPr="00BE63E3">
        <w:rPr>
          <w:rFonts w:ascii="ITC Avant Garde" w:hAnsi="ITC Avant Garde"/>
          <w:lang w:val="es-MX"/>
        </w:rPr>
        <w:t xml:space="preserve"> exactamente</w:t>
      </w:r>
      <w:r w:rsidRPr="00BE63E3">
        <w:rPr>
          <w:rFonts w:ascii="ITC Avant Garde" w:hAnsi="ITC Avant Garde"/>
          <w:lang w:val="es-MX"/>
        </w:rPr>
        <w:t xml:space="preserve"> la red del </w:t>
      </w:r>
      <w:r w:rsidR="00CA69A7" w:rsidRPr="00BE63E3">
        <w:rPr>
          <w:rFonts w:ascii="ITC Avant Garde" w:hAnsi="ITC Avant Garde"/>
          <w:lang w:val="es-MX"/>
        </w:rPr>
        <w:t>AEP</w:t>
      </w:r>
      <w:r w:rsidRPr="00BE63E3">
        <w:rPr>
          <w:rFonts w:ascii="ITC Avant Garde" w:hAnsi="ITC Avant Garde"/>
          <w:lang w:val="es-MX"/>
        </w:rPr>
        <w:t>. No se realizarán ajustes ni correcciones. Esto contradice la suposición hipotética del operador eficiente y no podría usarse conjuntamente con la elección de un operador hipotéticamente eficiente.</w:t>
      </w:r>
    </w:p>
    <w:p w:rsidR="00BC0096" w:rsidRPr="00BE63E3" w:rsidRDefault="00BC0096" w:rsidP="00BC0096">
      <w:pPr>
        <w:rPr>
          <w:rFonts w:ascii="ITC Avant Garde" w:hAnsi="ITC Avant Garde"/>
          <w:lang w:val="es-MX"/>
        </w:rPr>
      </w:pPr>
      <w:r w:rsidRPr="00BE63E3">
        <w:rPr>
          <w:rFonts w:ascii="ITC Avant Garde" w:hAnsi="ITC Avant Garde"/>
          <w:lang w:val="es-MX"/>
        </w:rPr>
        <w:t>El tercer enfoque tiene en cuenta los cambios previstos de la estructura de</w:t>
      </w:r>
      <w:r w:rsidR="00CA69A7" w:rsidRPr="00BE63E3">
        <w:rPr>
          <w:rFonts w:ascii="ITC Avant Garde" w:hAnsi="ITC Avant Garde"/>
          <w:lang w:val="es-MX"/>
        </w:rPr>
        <w:t xml:space="preserve"> </w:t>
      </w:r>
      <w:r w:rsidRPr="00BE63E3">
        <w:rPr>
          <w:rFonts w:ascii="ITC Avant Garde" w:hAnsi="ITC Avant Garde"/>
          <w:lang w:val="es-MX"/>
        </w:rPr>
        <w:t>l</w:t>
      </w:r>
      <w:r w:rsidR="00CA69A7" w:rsidRPr="00BE63E3">
        <w:rPr>
          <w:rFonts w:ascii="ITC Avant Garde" w:hAnsi="ITC Avant Garde"/>
          <w:lang w:val="es-MX"/>
        </w:rPr>
        <w:t>os</w:t>
      </w:r>
      <w:r w:rsidRPr="00BE63E3">
        <w:rPr>
          <w:rFonts w:ascii="ITC Avant Garde" w:hAnsi="ITC Avant Garde"/>
          <w:lang w:val="es-MX"/>
        </w:rPr>
        <w:t xml:space="preserve"> nodo</w:t>
      </w:r>
      <w:r w:rsidR="00CA69A7" w:rsidRPr="00BE63E3">
        <w:rPr>
          <w:rFonts w:ascii="ITC Avant Garde" w:hAnsi="ITC Avant Garde"/>
          <w:lang w:val="es-MX"/>
        </w:rPr>
        <w:t>s</w:t>
      </w:r>
      <w:r w:rsidRPr="00BE63E3">
        <w:rPr>
          <w:rFonts w:ascii="ITC Avant Garde" w:hAnsi="ITC Avant Garde"/>
          <w:lang w:val="es-MX"/>
        </w:rPr>
        <w:t xml:space="preserve">, lo que lo hace un poco más </w:t>
      </w:r>
      <w:r w:rsidR="00CA69A7" w:rsidRPr="00BE63E3">
        <w:rPr>
          <w:rFonts w:ascii="ITC Avant Garde" w:hAnsi="ITC Avant Garde"/>
          <w:lang w:val="es-MX"/>
        </w:rPr>
        <w:t>prospectivo</w:t>
      </w:r>
      <w:r w:rsidRPr="00BE63E3">
        <w:rPr>
          <w:rFonts w:ascii="ITC Avant Garde" w:hAnsi="ITC Avant Garde"/>
          <w:lang w:val="es-MX"/>
        </w:rPr>
        <w:t xml:space="preserve"> y permite un cierto grado de eficiencia.</w:t>
      </w:r>
    </w:p>
    <w:p w:rsidR="00BC0096" w:rsidRPr="00BE63E3" w:rsidRDefault="00BC0096" w:rsidP="00BC0096">
      <w:pPr>
        <w:rPr>
          <w:rFonts w:ascii="ITC Avant Garde" w:hAnsi="ITC Avant Garde"/>
          <w:lang w:val="es-MX"/>
        </w:rPr>
      </w:pPr>
      <w:r w:rsidRPr="00BE63E3">
        <w:rPr>
          <w:rFonts w:ascii="ITC Avant Garde" w:hAnsi="ITC Avant Garde"/>
          <w:lang w:val="es-MX"/>
        </w:rPr>
        <w:t xml:space="preserve">Por ejemplo, el uso de una configuración de nodo diferente puede conducir a una red más o menos eficiente. La figura siguiente muestra que las dos configuraciones conducen a la misma </w:t>
      </w:r>
      <w:r w:rsidR="003A0FB4" w:rsidRPr="00BE63E3">
        <w:rPr>
          <w:rFonts w:ascii="ITC Avant Garde" w:hAnsi="ITC Avant Garde"/>
          <w:lang w:val="es-MX"/>
        </w:rPr>
        <w:t>cobertura,</w:t>
      </w:r>
      <w:r w:rsidRPr="00BE63E3">
        <w:rPr>
          <w:rFonts w:ascii="ITC Avant Garde" w:hAnsi="ITC Avant Garde"/>
          <w:lang w:val="es-MX"/>
        </w:rPr>
        <w:t xml:space="preserve"> pero con dos inventarios diferentes que generan dos costos diferentes: cuando los nodos se fusionan, los cables de distribución entrantes y l</w:t>
      </w:r>
      <w:r w:rsidR="00CA69A7" w:rsidRPr="00BE63E3">
        <w:rPr>
          <w:rFonts w:ascii="ITC Avant Garde" w:hAnsi="ITC Avant Garde"/>
          <w:lang w:val="es-MX"/>
        </w:rPr>
        <w:t>os cierres</w:t>
      </w:r>
      <w:r w:rsidRPr="00BE63E3">
        <w:rPr>
          <w:rFonts w:ascii="ITC Avant Garde" w:hAnsi="ITC Avant Garde"/>
          <w:lang w:val="es-MX"/>
        </w:rPr>
        <w:t xml:space="preserve"> de empalme son más grandes. Por el contrario, </w:t>
      </w:r>
      <w:r w:rsidR="00F71486" w:rsidRPr="00BE63E3">
        <w:rPr>
          <w:rFonts w:ascii="ITC Avant Garde" w:hAnsi="ITC Avant Garde"/>
          <w:lang w:val="es-MX"/>
        </w:rPr>
        <w:t xml:space="preserve">la red de </w:t>
      </w:r>
      <w:r w:rsidR="009F5817" w:rsidRPr="00BE63E3">
        <w:rPr>
          <w:rFonts w:ascii="ITC Avant Garde" w:hAnsi="ITC Avant Garde"/>
          <w:lang w:val="es-MX"/>
        </w:rPr>
        <w:t>retorno “</w:t>
      </w:r>
      <w:proofErr w:type="spellStart"/>
      <w:r w:rsidRPr="00D91C2C">
        <w:rPr>
          <w:rFonts w:ascii="ITC Avant Garde" w:hAnsi="ITC Avant Garde"/>
          <w:i/>
          <w:lang w:val="es-MX"/>
        </w:rPr>
        <w:t>backhaul</w:t>
      </w:r>
      <w:proofErr w:type="spellEnd"/>
      <w:r w:rsidR="00F71486" w:rsidRPr="00D91C2C">
        <w:rPr>
          <w:rFonts w:ascii="ITC Avant Garde" w:hAnsi="ITC Avant Garde"/>
          <w:i/>
          <w:lang w:val="es-MX"/>
        </w:rPr>
        <w:t>”</w:t>
      </w:r>
      <w:r w:rsidRPr="00BE63E3">
        <w:rPr>
          <w:rFonts w:ascii="ITC Avant Garde" w:hAnsi="ITC Avant Garde"/>
          <w:lang w:val="es-MX"/>
        </w:rPr>
        <w:t>, que surge de los nodos, usa cables más pequeños.</w:t>
      </w:r>
    </w:p>
    <w:p w:rsidR="00BC0096" w:rsidRPr="00BE63E3" w:rsidRDefault="00BC0096" w:rsidP="00BC0096">
      <w:pPr>
        <w:rPr>
          <w:rFonts w:ascii="ITC Avant Garde" w:hAnsi="ITC Avant Garde"/>
          <w:lang w:val="es-MX"/>
        </w:rPr>
      </w:pPr>
    </w:p>
    <w:p w:rsidR="00BC0096" w:rsidRPr="00BE63E3" w:rsidRDefault="00BC0096" w:rsidP="00BC0096">
      <w:pPr>
        <w:pStyle w:val="Descripcin"/>
        <w:keepNext/>
        <w:rPr>
          <w:rFonts w:ascii="ITC Avant Garde" w:hAnsi="ITC Avant Garde"/>
          <w:lang w:val="es-MX"/>
        </w:rPr>
      </w:pPr>
      <w:r w:rsidRPr="00BE63E3">
        <w:rPr>
          <w:rFonts w:ascii="ITC Avant Garde" w:hAnsi="ITC Avant Garde"/>
          <w:lang w:val="es-MX"/>
        </w:rPr>
        <w:t xml:space="preserve">Figura </w:t>
      </w:r>
      <w:r w:rsidR="00F90B7A">
        <w:rPr>
          <w:rFonts w:ascii="ITC Avant Garde" w:hAnsi="ITC Avant Garde"/>
          <w:lang w:val="es-MX"/>
        </w:rPr>
        <w:t>2</w:t>
      </w:r>
      <w:r w:rsidR="00F90B7A" w:rsidRPr="00BE63E3">
        <w:rPr>
          <w:rFonts w:ascii="ITC Avant Garde" w:hAnsi="ITC Avant Garde"/>
          <w:lang w:val="es-MX"/>
        </w:rPr>
        <w:t xml:space="preserve"> </w:t>
      </w:r>
      <w:r w:rsidRPr="00BE63E3">
        <w:rPr>
          <w:rFonts w:ascii="ITC Avant Garde" w:hAnsi="ITC Avant Garde"/>
          <w:lang w:val="es-MX"/>
        </w:rPr>
        <w:t>- Uso de nodos de varios tamaños en la red de fibra (solo con fines ilustrativos)</w:t>
      </w:r>
    </w:p>
    <w:p w:rsidR="00BC0096" w:rsidRPr="00BE63E3" w:rsidRDefault="00BC0096" w:rsidP="00BC0096">
      <w:pPr>
        <w:rPr>
          <w:rFonts w:ascii="ITC Avant Garde" w:hAnsi="ITC Avant Garde"/>
          <w:lang w:val="es-MX"/>
        </w:rPr>
      </w:pPr>
      <w:r w:rsidRPr="00BE63E3">
        <w:rPr>
          <w:rFonts w:ascii="ITC Avant Garde" w:hAnsi="ITC Avant Garde"/>
          <w:noProof/>
          <w:lang w:val="es-MX" w:eastAsia="es-MX"/>
        </w:rPr>
        <w:drawing>
          <wp:inline distT="0" distB="0" distL="0" distR="0" wp14:anchorId="79BCF6F1" wp14:editId="636B889C">
            <wp:extent cx="5399405" cy="199707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9405" cy="1997075"/>
                    </a:xfrm>
                    <a:prstGeom prst="rect">
                      <a:avLst/>
                    </a:prstGeom>
                    <a:noFill/>
                    <a:ln>
                      <a:noFill/>
                    </a:ln>
                  </pic:spPr>
                </pic:pic>
              </a:graphicData>
            </a:graphic>
          </wp:inline>
        </w:drawing>
      </w:r>
    </w:p>
    <w:p w:rsidR="00BC0096" w:rsidRPr="00BE63E3" w:rsidRDefault="00BC0096" w:rsidP="00BC0096">
      <w:pPr>
        <w:pStyle w:val="Source"/>
        <w:rPr>
          <w:rFonts w:ascii="ITC Avant Garde" w:hAnsi="ITC Avant Garde"/>
          <w:lang w:val="es-MX"/>
        </w:rPr>
      </w:pPr>
    </w:p>
    <w:p w:rsidR="00BC0096" w:rsidRPr="00BE63E3" w:rsidRDefault="00BC0096" w:rsidP="00BC0096">
      <w:pPr>
        <w:rPr>
          <w:rFonts w:ascii="ITC Avant Garde" w:hAnsi="ITC Avant Garde"/>
          <w:lang w:val="es-MX"/>
        </w:rPr>
      </w:pPr>
      <w:r w:rsidRPr="00BE63E3">
        <w:rPr>
          <w:rFonts w:ascii="ITC Avant Garde" w:hAnsi="ITC Avant Garde"/>
          <w:lang w:val="es-MX"/>
        </w:rPr>
        <w:lastRenderedPageBreak/>
        <w:t xml:space="preserve">El enfoque </w:t>
      </w:r>
      <w:proofErr w:type="spellStart"/>
      <w:r w:rsidR="00CA69A7" w:rsidRPr="00BE63E3">
        <w:rPr>
          <w:rFonts w:ascii="ITC Avant Garde" w:hAnsi="ITC Avant Garde"/>
          <w:i/>
          <w:lang w:val="es-MX"/>
        </w:rPr>
        <w:t>sorched</w:t>
      </w:r>
      <w:proofErr w:type="spellEnd"/>
      <w:r w:rsidR="00CA69A7" w:rsidRPr="00BE63E3">
        <w:rPr>
          <w:rFonts w:ascii="ITC Avant Garde" w:hAnsi="ITC Avant Garde"/>
          <w:i/>
          <w:lang w:val="es-MX"/>
        </w:rPr>
        <w:t xml:space="preserve"> </w:t>
      </w:r>
      <w:proofErr w:type="spellStart"/>
      <w:r w:rsidR="00CA69A7" w:rsidRPr="00BE63E3">
        <w:rPr>
          <w:rFonts w:ascii="ITC Avant Garde" w:hAnsi="ITC Avant Garde"/>
          <w:i/>
          <w:lang w:val="es-MX"/>
        </w:rPr>
        <w:t>node</w:t>
      </w:r>
      <w:proofErr w:type="spellEnd"/>
      <w:r w:rsidR="00CA69A7" w:rsidRPr="00BE63E3">
        <w:rPr>
          <w:rFonts w:ascii="ITC Avant Garde" w:hAnsi="ITC Avant Garde"/>
          <w:lang w:val="es-MX"/>
        </w:rPr>
        <w:t xml:space="preserve"> modificado </w:t>
      </w:r>
      <w:r w:rsidRPr="00BE63E3">
        <w:rPr>
          <w:rFonts w:ascii="ITC Avant Garde" w:hAnsi="ITC Avant Garde"/>
          <w:lang w:val="es-MX"/>
        </w:rPr>
        <w:t>es consistente con el utilizado en el modelo de cobre:</w:t>
      </w:r>
      <w:r w:rsidR="00CA69A7" w:rsidRPr="00BE63E3">
        <w:rPr>
          <w:rStyle w:val="Refdenotaalpie"/>
          <w:rFonts w:ascii="ITC Avant Garde" w:hAnsi="ITC Avant Garde"/>
          <w:lang w:val="es-MX"/>
        </w:rPr>
        <w:footnoteReference w:id="21"/>
      </w:r>
    </w:p>
    <w:p w:rsidR="00BC0096" w:rsidRPr="00BE63E3" w:rsidRDefault="00BC0096" w:rsidP="00CA69A7">
      <w:pPr>
        <w:ind w:left="567" w:right="565"/>
        <w:rPr>
          <w:rFonts w:ascii="ITC Avant Garde" w:hAnsi="ITC Avant Garde"/>
          <w:i/>
        </w:rPr>
      </w:pPr>
      <w:r w:rsidRPr="00BE63E3">
        <w:rPr>
          <w:rFonts w:ascii="ITC Avant Garde" w:hAnsi="ITC Avant Garde"/>
          <w:i/>
        </w:rPr>
        <w:t>«</w:t>
      </w:r>
      <w:proofErr w:type="spellStart"/>
      <w:r w:rsidRPr="00BE63E3">
        <w:rPr>
          <w:rFonts w:ascii="ITC Avant Garde" w:hAnsi="ITC Avant Garde"/>
          <w:i/>
        </w:rPr>
        <w:t>Enfoque</w:t>
      </w:r>
      <w:proofErr w:type="spellEnd"/>
      <w:r w:rsidRPr="00BE63E3">
        <w:rPr>
          <w:rFonts w:ascii="ITC Avant Garde" w:hAnsi="ITC Avant Garde"/>
          <w:i/>
        </w:rPr>
        <w:t xml:space="preserve"> </w:t>
      </w:r>
      <w:r w:rsidR="00CA69A7" w:rsidRPr="00BE63E3">
        <w:rPr>
          <w:rFonts w:ascii="ITC Avant Garde" w:hAnsi="ITC Avant Garde"/>
          <w:i/>
        </w:rPr>
        <w:t xml:space="preserve">scorching </w:t>
      </w:r>
      <w:r w:rsidRPr="00BE63E3">
        <w:rPr>
          <w:rFonts w:ascii="ITC Avant Garde" w:hAnsi="ITC Avant Garde"/>
          <w:i/>
        </w:rPr>
        <w:t xml:space="preserve">= </w:t>
      </w:r>
      <w:r w:rsidR="00CA69A7" w:rsidRPr="00BE63E3">
        <w:rPr>
          <w:rFonts w:ascii="ITC Avant Garde" w:hAnsi="ITC Avant Garde"/>
          <w:i/>
        </w:rPr>
        <w:t xml:space="preserve">Scorched node </w:t>
      </w:r>
      <w:r w:rsidRPr="00BE63E3">
        <w:rPr>
          <w:rFonts w:ascii="ITC Avant Garde" w:hAnsi="ITC Avant Garde"/>
          <w:i/>
        </w:rPr>
        <w:t>(</w:t>
      </w:r>
      <w:proofErr w:type="spellStart"/>
      <w:r w:rsidRPr="00BE63E3">
        <w:rPr>
          <w:rFonts w:ascii="ITC Avant Garde" w:hAnsi="ITC Avant Garde"/>
          <w:i/>
        </w:rPr>
        <w:t>modificado</w:t>
      </w:r>
      <w:proofErr w:type="spellEnd"/>
      <w:r w:rsidRPr="00BE63E3">
        <w:rPr>
          <w:rFonts w:ascii="ITC Avant Garde" w:hAnsi="ITC Avant Garde"/>
          <w:i/>
        </w:rPr>
        <w:t>);</w:t>
      </w:r>
    </w:p>
    <w:p w:rsidR="00BC0096" w:rsidRPr="00BE63E3" w:rsidRDefault="00BC0096" w:rsidP="00CA69A7">
      <w:pPr>
        <w:ind w:left="567" w:right="565"/>
        <w:rPr>
          <w:rFonts w:ascii="ITC Avant Garde" w:hAnsi="ITC Avant Garde"/>
          <w:i/>
          <w:lang w:val="es-MX"/>
        </w:rPr>
      </w:pPr>
      <w:r w:rsidRPr="00BE63E3">
        <w:rPr>
          <w:rFonts w:ascii="ITC Avant Garde" w:hAnsi="ITC Avant Garde"/>
          <w:i/>
          <w:lang w:val="es-MX"/>
        </w:rPr>
        <w:t>Permite [</w:t>
      </w:r>
      <w:proofErr w:type="spellStart"/>
      <w:r w:rsidR="00CA69A7" w:rsidRPr="00BE63E3">
        <w:rPr>
          <w:rFonts w:ascii="ITC Avant Garde" w:hAnsi="ITC Avant Garde"/>
          <w:i/>
          <w:lang w:val="es-MX"/>
        </w:rPr>
        <w:t>Scorched</w:t>
      </w:r>
      <w:proofErr w:type="spellEnd"/>
      <w:r w:rsidR="00CA69A7" w:rsidRPr="00BE63E3">
        <w:rPr>
          <w:rFonts w:ascii="ITC Avant Garde" w:hAnsi="ITC Avant Garde"/>
          <w:i/>
          <w:lang w:val="es-MX"/>
        </w:rPr>
        <w:t xml:space="preserve"> </w:t>
      </w:r>
      <w:proofErr w:type="spellStart"/>
      <w:r w:rsidR="00CA69A7" w:rsidRPr="00BE63E3">
        <w:rPr>
          <w:rFonts w:ascii="ITC Avant Garde" w:hAnsi="ITC Avant Garde"/>
          <w:i/>
          <w:lang w:val="es-MX"/>
        </w:rPr>
        <w:t>node</w:t>
      </w:r>
      <w:proofErr w:type="spellEnd"/>
      <w:r w:rsidR="00CA69A7" w:rsidRPr="00BE63E3">
        <w:rPr>
          <w:rFonts w:ascii="ITC Avant Garde" w:hAnsi="ITC Avant Garde"/>
          <w:i/>
          <w:lang w:val="es-MX"/>
        </w:rPr>
        <w:t xml:space="preserve"> </w:t>
      </w:r>
      <w:r w:rsidRPr="00BE63E3">
        <w:rPr>
          <w:rFonts w:ascii="ITC Avant Garde" w:hAnsi="ITC Avant Garde"/>
          <w:i/>
          <w:lang w:val="es-MX"/>
        </w:rPr>
        <w:t>(modificado)] eliminar ineficiencias en la ubicación de los nodos manteniendo la topología de r</w:t>
      </w:r>
      <w:r w:rsidR="00CA69A7" w:rsidRPr="00BE63E3">
        <w:rPr>
          <w:rFonts w:ascii="ITC Avant Garde" w:hAnsi="ITC Avant Garde"/>
          <w:i/>
          <w:lang w:val="es-MX"/>
        </w:rPr>
        <w:t>ed</w:t>
      </w:r>
      <w:r w:rsidRPr="00BE63E3">
        <w:rPr>
          <w:rFonts w:ascii="ITC Avant Garde" w:hAnsi="ITC Avant Garde"/>
          <w:i/>
          <w:lang w:val="es-MX"/>
        </w:rPr>
        <w:t xml:space="preserve"> existente. ")</w:t>
      </w:r>
    </w:p>
    <w:p w:rsidR="00BC0096" w:rsidRPr="00BE63E3" w:rsidRDefault="00BC0096" w:rsidP="00BC0096">
      <w:pPr>
        <w:rPr>
          <w:rFonts w:ascii="ITC Avant Garde" w:hAnsi="ITC Avant Garde"/>
          <w:lang w:val="es-MX"/>
        </w:rPr>
      </w:pPr>
      <w:r w:rsidRPr="00BE63E3">
        <w:rPr>
          <w:rFonts w:ascii="ITC Avant Garde" w:hAnsi="ITC Avant Garde"/>
          <w:lang w:val="es-MX"/>
        </w:rPr>
        <w:t>Al igual que en el modelo de fibra:</w:t>
      </w:r>
      <w:r w:rsidR="00CA69A7" w:rsidRPr="00BE63E3">
        <w:rPr>
          <w:rStyle w:val="Refdenotaalpie"/>
          <w:rFonts w:ascii="ITC Avant Garde" w:hAnsi="ITC Avant Garde"/>
          <w:lang w:val="es-MX"/>
        </w:rPr>
        <w:footnoteReference w:id="22"/>
      </w:r>
    </w:p>
    <w:p w:rsidR="00BC0096" w:rsidRPr="00BE63E3" w:rsidRDefault="00BC0096" w:rsidP="00CA69A7">
      <w:pPr>
        <w:ind w:left="567" w:right="565"/>
        <w:rPr>
          <w:rFonts w:ascii="ITC Avant Garde" w:hAnsi="ITC Avant Garde"/>
          <w:i/>
          <w:lang w:val="es-MX"/>
        </w:rPr>
      </w:pPr>
      <w:r w:rsidRPr="00BE63E3">
        <w:rPr>
          <w:rFonts w:ascii="ITC Avant Garde" w:hAnsi="ITC Avant Garde"/>
          <w:i/>
          <w:lang w:val="es-MX"/>
        </w:rPr>
        <w:t xml:space="preserve">«Se considera el enfoque </w:t>
      </w:r>
      <w:proofErr w:type="spellStart"/>
      <w:r w:rsidR="00CA69A7" w:rsidRPr="00BE63E3">
        <w:rPr>
          <w:rFonts w:ascii="ITC Avant Garde" w:hAnsi="ITC Avant Garde"/>
          <w:i/>
          <w:lang w:val="es-MX"/>
        </w:rPr>
        <w:t>Scorched</w:t>
      </w:r>
      <w:proofErr w:type="spellEnd"/>
      <w:r w:rsidR="00CA69A7" w:rsidRPr="00BE63E3">
        <w:rPr>
          <w:rFonts w:ascii="ITC Avant Garde" w:hAnsi="ITC Avant Garde"/>
          <w:i/>
          <w:lang w:val="es-MX"/>
        </w:rPr>
        <w:t xml:space="preserve"> </w:t>
      </w:r>
      <w:proofErr w:type="spellStart"/>
      <w:r w:rsidR="00CA69A7" w:rsidRPr="00BE63E3">
        <w:rPr>
          <w:rFonts w:ascii="ITC Avant Garde" w:hAnsi="ITC Avant Garde"/>
          <w:i/>
          <w:lang w:val="es-MX"/>
        </w:rPr>
        <w:t>node</w:t>
      </w:r>
      <w:proofErr w:type="spellEnd"/>
      <w:r w:rsidR="00CA69A7" w:rsidRPr="00BE63E3">
        <w:rPr>
          <w:rFonts w:ascii="ITC Avant Garde" w:hAnsi="ITC Avant Garde"/>
          <w:i/>
          <w:lang w:val="es-MX"/>
        </w:rPr>
        <w:t xml:space="preserve"> </w:t>
      </w:r>
      <w:r w:rsidRPr="00BE63E3">
        <w:rPr>
          <w:rFonts w:ascii="ITC Avant Garde" w:hAnsi="ITC Avant Garde"/>
          <w:i/>
          <w:lang w:val="es-MX"/>
        </w:rPr>
        <w:t>modificado para la definición de los algoritmos técnicos de dimensionado en el Modelo."</w:t>
      </w:r>
    </w:p>
    <w:p w:rsidR="00CA69A7" w:rsidRPr="00BE63E3" w:rsidRDefault="00CA69A7" w:rsidP="00BC0096">
      <w:pPr>
        <w:rPr>
          <w:rFonts w:ascii="ITC Avant Garde" w:hAnsi="ITC Avant Garde"/>
          <w:lang w:val="es-MX"/>
        </w:rPr>
      </w:pPr>
    </w:p>
    <w:p w:rsidR="00BC0096" w:rsidRPr="00BE63E3" w:rsidRDefault="00BC0096" w:rsidP="00BC0096">
      <w:pPr>
        <w:rPr>
          <w:rFonts w:ascii="ITC Avant Garde" w:hAnsi="ITC Avant Garde"/>
          <w:lang w:val="es-MX"/>
        </w:rPr>
      </w:pPr>
      <w:r w:rsidRPr="00BE63E3">
        <w:rPr>
          <w:rFonts w:ascii="ITC Avant Garde" w:hAnsi="ITC Avant Garde"/>
          <w:lang w:val="es-MX"/>
        </w:rPr>
        <w:t>Además, esta familia de enfoques se puede dividir en 3 categorías según el operador, los nodos y la tecnología que se tengan en cuenta.</w:t>
      </w:r>
    </w:p>
    <w:p w:rsidR="00BC0096" w:rsidRPr="00BE63E3" w:rsidRDefault="00BC0096" w:rsidP="00BC0096">
      <w:pPr>
        <w:rPr>
          <w:rFonts w:ascii="ITC Avant Garde" w:hAnsi="ITC Avant Garde"/>
          <w:lang w:val="es-MX"/>
        </w:rPr>
      </w:pPr>
      <w:r w:rsidRPr="00BE63E3">
        <w:rPr>
          <w:rFonts w:ascii="ITC Avant Garde" w:hAnsi="ITC Avant Garde"/>
          <w:lang w:val="es-MX"/>
        </w:rPr>
        <w:t xml:space="preserve">El enfoque 3-a se basa en los nodos de acceso de cobre actuales </w:t>
      </w:r>
      <w:r w:rsidR="003A0FB4" w:rsidRPr="00BE63E3">
        <w:rPr>
          <w:rFonts w:ascii="ITC Avant Garde" w:hAnsi="ITC Avant Garde"/>
          <w:lang w:val="es-MX"/>
        </w:rPr>
        <w:t>u</w:t>
      </w:r>
      <w:r w:rsidRPr="00BE63E3">
        <w:rPr>
          <w:rFonts w:ascii="ITC Avant Garde" w:hAnsi="ITC Avant Garde"/>
          <w:lang w:val="es-MX"/>
        </w:rPr>
        <w:t xml:space="preserve"> objetivo del operador </w:t>
      </w:r>
      <w:r w:rsidR="003C772E" w:rsidRPr="00BE63E3">
        <w:rPr>
          <w:rFonts w:ascii="ITC Avant Garde" w:hAnsi="ITC Avant Garde"/>
          <w:lang w:val="es-MX"/>
        </w:rPr>
        <w:t>SMP</w:t>
      </w:r>
      <w:r w:rsidRPr="00BE63E3">
        <w:rPr>
          <w:rFonts w:ascii="ITC Avant Garde" w:hAnsi="ITC Avant Garde"/>
          <w:lang w:val="es-MX"/>
        </w:rPr>
        <w:t>: este enfoque incluye sol</w:t>
      </w:r>
      <w:r w:rsidR="00CA69A7" w:rsidRPr="00BE63E3">
        <w:rPr>
          <w:rFonts w:ascii="ITC Avant Garde" w:hAnsi="ITC Avant Garde"/>
          <w:lang w:val="es-MX"/>
        </w:rPr>
        <w:t>amente</w:t>
      </w:r>
      <w:r w:rsidRPr="00BE63E3">
        <w:rPr>
          <w:rFonts w:ascii="ITC Avant Garde" w:hAnsi="ITC Avant Garde"/>
          <w:lang w:val="es-MX"/>
        </w:rPr>
        <w:t xml:space="preserve"> nodos de cobre asociados a la red del</w:t>
      </w:r>
      <w:r w:rsidR="003C772E" w:rsidRPr="00BE63E3">
        <w:rPr>
          <w:rFonts w:ascii="ITC Avant Garde" w:hAnsi="ITC Avant Garde"/>
          <w:lang w:val="es-MX"/>
        </w:rPr>
        <w:t xml:space="preserve"> </w:t>
      </w:r>
      <w:r w:rsidR="00F2544C" w:rsidRPr="00BE63E3">
        <w:rPr>
          <w:rFonts w:ascii="ITC Avant Garde" w:hAnsi="ITC Avant Garde"/>
          <w:lang w:val="es-MX"/>
        </w:rPr>
        <w:t>operador</w:t>
      </w:r>
      <w:r w:rsidRPr="00BE63E3">
        <w:rPr>
          <w:rFonts w:ascii="ITC Avant Garde" w:hAnsi="ITC Avant Garde"/>
          <w:lang w:val="es-MX"/>
        </w:rPr>
        <w:t xml:space="preserve"> </w:t>
      </w:r>
      <w:r w:rsidR="003C772E" w:rsidRPr="00BE63E3">
        <w:rPr>
          <w:rFonts w:ascii="ITC Avant Garde" w:hAnsi="ITC Avant Garde"/>
          <w:lang w:val="es-MX"/>
        </w:rPr>
        <w:t>SMP</w:t>
      </w:r>
      <w:r w:rsidR="00CA69A7" w:rsidRPr="00BE63E3">
        <w:rPr>
          <w:rFonts w:ascii="ITC Avant Garde" w:hAnsi="ITC Avant Garde"/>
          <w:lang w:val="es-MX"/>
        </w:rPr>
        <w:t xml:space="preserve">, </w:t>
      </w:r>
      <w:r w:rsidR="00F2544C" w:rsidRPr="00BE63E3">
        <w:rPr>
          <w:rFonts w:ascii="ITC Avant Garde" w:hAnsi="ITC Avant Garde"/>
          <w:lang w:val="es-MX"/>
        </w:rPr>
        <w:t>entonces</w:t>
      </w:r>
      <w:r w:rsidRPr="00BE63E3">
        <w:rPr>
          <w:rFonts w:ascii="ITC Avant Garde" w:hAnsi="ITC Avant Garde"/>
          <w:lang w:val="es-MX"/>
        </w:rPr>
        <w:t xml:space="preserve"> podría ser adecuado para modelar sol</w:t>
      </w:r>
      <w:r w:rsidR="00CA69A7" w:rsidRPr="00BE63E3">
        <w:rPr>
          <w:rFonts w:ascii="ITC Avant Garde" w:hAnsi="ITC Avant Garde"/>
          <w:lang w:val="es-MX"/>
        </w:rPr>
        <w:t>amente</w:t>
      </w:r>
      <w:r w:rsidRPr="00BE63E3">
        <w:rPr>
          <w:rFonts w:ascii="ITC Avant Garde" w:hAnsi="ITC Avant Garde"/>
          <w:lang w:val="es-MX"/>
        </w:rPr>
        <w:t xml:space="preserve"> redes de cobre (esto está en línea con el modelo de cobre).</w:t>
      </w:r>
    </w:p>
    <w:p w:rsidR="00BC0096" w:rsidRPr="00BE63E3" w:rsidRDefault="00BC0096" w:rsidP="00BC0096">
      <w:pPr>
        <w:rPr>
          <w:rFonts w:ascii="ITC Avant Garde" w:hAnsi="ITC Avant Garde"/>
          <w:lang w:val="es-MX"/>
        </w:rPr>
      </w:pPr>
      <w:r w:rsidRPr="00BE63E3">
        <w:rPr>
          <w:rFonts w:ascii="ITC Avant Garde" w:hAnsi="ITC Avant Garde"/>
          <w:lang w:val="es-MX"/>
        </w:rPr>
        <w:t xml:space="preserve">El enfoque 3-b se basa únicamente en los nodos de fibra de los nodos de acceso a la red del operador SMP y otros operadores. Este enfoque de modelado excluye los nodos de cobre y parece apropiado solo para modelos de costo de fibra (esto está en línea con el modelo de fibra). Además, debido a </w:t>
      </w:r>
      <w:r w:rsidR="00CA69A7" w:rsidRPr="00BE63E3">
        <w:rPr>
          <w:rFonts w:ascii="ITC Avant Garde" w:hAnsi="ITC Avant Garde"/>
          <w:lang w:val="es-MX"/>
        </w:rPr>
        <w:t>que el</w:t>
      </w:r>
      <w:r w:rsidRPr="00BE63E3">
        <w:rPr>
          <w:rFonts w:ascii="ITC Avant Garde" w:hAnsi="ITC Avant Garde"/>
          <w:lang w:val="es-MX"/>
        </w:rPr>
        <w:t xml:space="preserve"> rendimiento</w:t>
      </w:r>
      <w:r w:rsidR="00CA69A7" w:rsidRPr="00BE63E3">
        <w:rPr>
          <w:rFonts w:ascii="ITC Avant Garde" w:hAnsi="ITC Avant Garde"/>
          <w:lang w:val="es-MX"/>
        </w:rPr>
        <w:t xml:space="preserve"> </w:t>
      </w:r>
      <w:r w:rsidR="00D91C2C">
        <w:rPr>
          <w:rFonts w:ascii="ITC Avant Garde" w:hAnsi="ITC Avant Garde"/>
          <w:lang w:val="es-MX"/>
        </w:rPr>
        <w:t>máximo</w:t>
      </w:r>
      <w:r w:rsidR="00D91C2C" w:rsidRPr="00BE63E3">
        <w:rPr>
          <w:rFonts w:ascii="ITC Avant Garde" w:hAnsi="ITC Avant Garde"/>
          <w:lang w:val="es-MX"/>
        </w:rPr>
        <w:t xml:space="preserve"> </w:t>
      </w:r>
      <w:r w:rsidR="00CA69A7" w:rsidRPr="00BE63E3">
        <w:rPr>
          <w:rFonts w:ascii="ITC Avant Garde" w:hAnsi="ITC Avant Garde"/>
          <w:lang w:val="es-MX"/>
        </w:rPr>
        <w:t>de las líneas depende de</w:t>
      </w:r>
      <w:r w:rsidRPr="00BE63E3">
        <w:rPr>
          <w:rFonts w:ascii="ITC Avant Garde" w:hAnsi="ITC Avant Garde"/>
          <w:lang w:val="es-MX"/>
        </w:rPr>
        <w:t xml:space="preserve"> la longitud de la línea</w:t>
      </w:r>
      <w:r w:rsidR="003C772E" w:rsidRPr="00BE63E3">
        <w:rPr>
          <w:rFonts w:ascii="ITC Avant Garde" w:hAnsi="ITC Avant Garde"/>
          <w:lang w:val="es-MX"/>
        </w:rPr>
        <w:t xml:space="preserve"> </w:t>
      </w:r>
      <w:r w:rsidR="00473233" w:rsidRPr="00BE63E3">
        <w:rPr>
          <w:rFonts w:ascii="ITC Avant Garde" w:hAnsi="ITC Avant Garde"/>
          <w:lang w:val="es-MX"/>
        </w:rPr>
        <w:t>en la red de cobre y no en la red de fibra, una</w:t>
      </w:r>
      <w:r w:rsidRPr="00BE63E3">
        <w:rPr>
          <w:rFonts w:ascii="ITC Avant Garde" w:hAnsi="ITC Avant Garde"/>
          <w:lang w:val="es-MX"/>
        </w:rPr>
        <w:t xml:space="preserve"> red de fibra completa tenderá a tener una red </w:t>
      </w:r>
      <w:r w:rsidR="00473233" w:rsidRPr="00BE63E3">
        <w:rPr>
          <w:rFonts w:ascii="ITC Avant Garde" w:hAnsi="ITC Avant Garde"/>
          <w:lang w:val="es-MX"/>
        </w:rPr>
        <w:t>de transporte</w:t>
      </w:r>
      <w:r w:rsidRPr="00BE63E3">
        <w:rPr>
          <w:rFonts w:ascii="ITC Avant Garde" w:hAnsi="ITC Avant Garde"/>
          <w:lang w:val="es-MX"/>
        </w:rPr>
        <w:t xml:space="preserve"> más </w:t>
      </w:r>
      <w:r w:rsidR="00473233" w:rsidRPr="00BE63E3">
        <w:rPr>
          <w:rFonts w:ascii="ITC Avant Garde" w:hAnsi="ITC Avant Garde"/>
          <w:lang w:val="es-MX"/>
        </w:rPr>
        <w:t>reducida</w:t>
      </w:r>
      <w:r w:rsidRPr="00BE63E3">
        <w:rPr>
          <w:rFonts w:ascii="ITC Avant Garde" w:hAnsi="ITC Avant Garde"/>
          <w:lang w:val="es-MX"/>
        </w:rPr>
        <w:t xml:space="preserve"> con menos intercambios para conectar todas las instalaciones, lo que crea una diferencia con el </w:t>
      </w:r>
      <w:r w:rsidR="00473233" w:rsidRPr="00BE63E3">
        <w:rPr>
          <w:rFonts w:ascii="ITC Avant Garde" w:hAnsi="ITC Avant Garde"/>
          <w:lang w:val="es-MX"/>
        </w:rPr>
        <w:t>enfoque</w:t>
      </w:r>
      <w:r w:rsidRPr="00BE63E3">
        <w:rPr>
          <w:rFonts w:ascii="ITC Avant Garde" w:hAnsi="ITC Avant Garde"/>
          <w:lang w:val="es-MX"/>
        </w:rPr>
        <w:t xml:space="preserve"> 3-a. Sin embargo, este método </w:t>
      </w:r>
      <w:r w:rsidR="00473233" w:rsidRPr="00BE63E3">
        <w:rPr>
          <w:rFonts w:ascii="ITC Avant Garde" w:hAnsi="ITC Avant Garde"/>
          <w:lang w:val="es-MX"/>
        </w:rPr>
        <w:t xml:space="preserve">no </w:t>
      </w:r>
      <w:r w:rsidRPr="00BE63E3">
        <w:rPr>
          <w:rFonts w:ascii="ITC Avant Garde" w:hAnsi="ITC Avant Garde"/>
          <w:lang w:val="es-MX"/>
        </w:rPr>
        <w:t>está adaptado para modelar redes donde coexisten ambas tecnologías</w:t>
      </w:r>
      <w:r w:rsidR="00D91C2C">
        <w:rPr>
          <w:rFonts w:ascii="ITC Avant Garde" w:hAnsi="ITC Avant Garde"/>
          <w:lang w:val="es-MX"/>
        </w:rPr>
        <w:t>.</w:t>
      </w:r>
    </w:p>
    <w:p w:rsidR="00BC0096" w:rsidRPr="00BE63E3" w:rsidRDefault="00BC0096" w:rsidP="00BC0096">
      <w:pPr>
        <w:rPr>
          <w:rFonts w:ascii="ITC Avant Garde" w:hAnsi="ITC Avant Garde"/>
          <w:lang w:val="es-MX"/>
        </w:rPr>
      </w:pPr>
      <w:r w:rsidRPr="00BE63E3">
        <w:rPr>
          <w:rFonts w:ascii="ITC Avant Garde" w:hAnsi="ITC Avant Garde"/>
          <w:lang w:val="es-MX"/>
        </w:rPr>
        <w:t xml:space="preserve">Este caso está cubierto por el último enfoque 3-c que considera los dos nodos de tecnologías (cobre y fibra) </w:t>
      </w:r>
      <w:r w:rsidR="003545A7">
        <w:rPr>
          <w:rFonts w:ascii="ITC Avant Garde" w:hAnsi="ITC Avant Garde"/>
          <w:lang w:val="es-MX"/>
        </w:rPr>
        <w:t>tomando en cuenta</w:t>
      </w:r>
      <w:r w:rsidR="003545A7" w:rsidRPr="00BE63E3">
        <w:rPr>
          <w:rFonts w:ascii="ITC Avant Garde" w:hAnsi="ITC Avant Garde"/>
          <w:lang w:val="es-MX"/>
        </w:rPr>
        <w:t xml:space="preserve"> </w:t>
      </w:r>
      <w:r w:rsidRPr="00BE63E3">
        <w:rPr>
          <w:rFonts w:ascii="ITC Avant Garde" w:hAnsi="ITC Avant Garde"/>
          <w:lang w:val="es-MX"/>
        </w:rPr>
        <w:t xml:space="preserve">solo la red del operador </w:t>
      </w:r>
      <w:r w:rsidR="003C772E" w:rsidRPr="00BE63E3">
        <w:rPr>
          <w:rFonts w:ascii="ITC Avant Garde" w:hAnsi="ITC Avant Garde"/>
          <w:lang w:val="es-MX"/>
        </w:rPr>
        <w:t>SMP</w:t>
      </w:r>
      <w:r w:rsidRPr="00BE63E3">
        <w:rPr>
          <w:rFonts w:ascii="ITC Avant Garde" w:hAnsi="ITC Avant Garde"/>
          <w:lang w:val="es-MX"/>
        </w:rPr>
        <w:t>. Por lo tanto, este enfoque podría considerar los nodos de acceso de cobre y fibra actuales u objetivos del operador</w:t>
      </w:r>
      <w:r w:rsidRPr="00BE63E3" w:rsidDel="003C772E">
        <w:rPr>
          <w:rFonts w:ascii="ITC Avant Garde" w:hAnsi="ITC Avant Garde"/>
          <w:lang w:val="es-MX"/>
        </w:rPr>
        <w:t xml:space="preserve"> </w:t>
      </w:r>
      <w:r w:rsidR="003C772E" w:rsidRPr="00BE63E3">
        <w:rPr>
          <w:rFonts w:ascii="ITC Avant Garde" w:hAnsi="ITC Avant Garde"/>
          <w:lang w:val="es-MX"/>
        </w:rPr>
        <w:t>SMP</w:t>
      </w:r>
      <w:r w:rsidRPr="00BE63E3">
        <w:rPr>
          <w:rFonts w:ascii="ITC Avant Garde" w:hAnsi="ITC Avant Garde"/>
          <w:lang w:val="es-MX"/>
        </w:rPr>
        <w:t>.</w:t>
      </w:r>
    </w:p>
    <w:p w:rsidR="00BC0096" w:rsidRPr="00BE63E3" w:rsidRDefault="00BC0096" w:rsidP="00BC0096">
      <w:pPr>
        <w:rPr>
          <w:rFonts w:ascii="ITC Avant Garde" w:hAnsi="ITC Avant Garde"/>
          <w:lang w:val="es-MX"/>
        </w:rPr>
      </w:pPr>
    </w:p>
    <w:p w:rsidR="00BC0096" w:rsidRPr="00BE63E3" w:rsidRDefault="00BC0096" w:rsidP="00BC0096">
      <w:pPr>
        <w:pStyle w:val="Encadr3"/>
        <w:rPr>
          <w:rFonts w:ascii="ITC Avant Garde" w:hAnsi="ITC Avant Garde"/>
          <w:lang w:val="es-MX"/>
        </w:rPr>
      </w:pPr>
      <w:r w:rsidRPr="00BE63E3">
        <w:rPr>
          <w:rFonts w:ascii="ITC Avant Garde" w:hAnsi="ITC Avant Garde"/>
          <w:lang w:val="es-MX"/>
        </w:rPr>
        <w:t>Criterio 8: El enfoque 3-c</w:t>
      </w:r>
      <w:r w:rsidR="00473233" w:rsidRPr="00BE63E3">
        <w:rPr>
          <w:rFonts w:ascii="ITC Avant Garde" w:hAnsi="ITC Avant Garde"/>
          <w:lang w:val="es-MX"/>
        </w:rPr>
        <w:t>,</w:t>
      </w:r>
      <w:r w:rsidRPr="00BE63E3">
        <w:rPr>
          <w:rFonts w:ascii="ITC Avant Garde" w:hAnsi="ITC Avant Garde"/>
          <w:lang w:val="es-MX"/>
        </w:rPr>
        <w:t xml:space="preserve"> </w:t>
      </w:r>
      <w:r w:rsidR="00473233" w:rsidRPr="00BE63E3">
        <w:rPr>
          <w:rFonts w:ascii="ITC Avant Garde" w:hAnsi="ITC Avant Garde"/>
          <w:lang w:val="es-MX"/>
        </w:rPr>
        <w:t>es decir</w:t>
      </w:r>
      <w:r w:rsidRPr="00BE63E3">
        <w:rPr>
          <w:rFonts w:ascii="ITC Avant Garde" w:hAnsi="ITC Avant Garde"/>
          <w:lang w:val="es-MX"/>
        </w:rPr>
        <w:t xml:space="preserve"> </w:t>
      </w:r>
      <w:r w:rsidR="00473233" w:rsidRPr="00BE63E3">
        <w:rPr>
          <w:rFonts w:ascii="ITC Avant Garde" w:hAnsi="ITC Avant Garde"/>
          <w:lang w:val="es-MX"/>
        </w:rPr>
        <w:t xml:space="preserve">un </w:t>
      </w:r>
      <w:r w:rsidRPr="00BE63E3">
        <w:rPr>
          <w:rFonts w:ascii="ITC Avant Garde" w:hAnsi="ITC Avant Garde"/>
          <w:lang w:val="es-MX"/>
        </w:rPr>
        <w:t xml:space="preserve">enfoque </w:t>
      </w:r>
      <w:proofErr w:type="spellStart"/>
      <w:r w:rsidR="00473233" w:rsidRPr="00BE63E3">
        <w:rPr>
          <w:rFonts w:ascii="ITC Avant Garde" w:hAnsi="ITC Avant Garde"/>
          <w:i/>
          <w:lang w:val="es-MX"/>
        </w:rPr>
        <w:t>scorched</w:t>
      </w:r>
      <w:proofErr w:type="spellEnd"/>
      <w:r w:rsidR="00473233" w:rsidRPr="00BE63E3">
        <w:rPr>
          <w:rFonts w:ascii="ITC Avant Garde" w:hAnsi="ITC Avant Garde"/>
          <w:i/>
          <w:lang w:val="es-MX"/>
        </w:rPr>
        <w:t xml:space="preserve"> </w:t>
      </w:r>
      <w:proofErr w:type="spellStart"/>
      <w:r w:rsidR="00473233" w:rsidRPr="00BE63E3">
        <w:rPr>
          <w:rFonts w:ascii="ITC Avant Garde" w:hAnsi="ITC Avant Garde"/>
          <w:i/>
          <w:lang w:val="es-MX"/>
        </w:rPr>
        <w:t>node</w:t>
      </w:r>
      <w:proofErr w:type="spellEnd"/>
      <w:r w:rsidRPr="00BE63E3">
        <w:rPr>
          <w:rFonts w:ascii="ITC Avant Garde" w:hAnsi="ITC Avant Garde"/>
          <w:lang w:val="es-MX"/>
        </w:rPr>
        <w:t xml:space="preserve"> modificado considerando nodos de </w:t>
      </w:r>
      <w:r w:rsidR="00473233" w:rsidRPr="00BE63E3">
        <w:rPr>
          <w:rFonts w:ascii="ITC Avant Garde" w:hAnsi="ITC Avant Garde"/>
          <w:lang w:val="es-MX"/>
        </w:rPr>
        <w:t xml:space="preserve">ambas </w:t>
      </w:r>
      <w:r w:rsidRPr="00BE63E3">
        <w:rPr>
          <w:rFonts w:ascii="ITC Avant Garde" w:hAnsi="ITC Avant Garde"/>
          <w:lang w:val="es-MX"/>
        </w:rPr>
        <w:t xml:space="preserve">tecnologías (cobre y fibra) del </w:t>
      </w:r>
      <w:r w:rsidR="00473233" w:rsidRPr="00BE63E3">
        <w:rPr>
          <w:rFonts w:ascii="ITC Avant Garde" w:hAnsi="ITC Avant Garde"/>
          <w:lang w:val="es-MX"/>
        </w:rPr>
        <w:t>AE</w:t>
      </w:r>
      <w:r w:rsidRPr="00BE63E3">
        <w:rPr>
          <w:rFonts w:ascii="ITC Avant Garde" w:hAnsi="ITC Avant Garde"/>
          <w:lang w:val="es-MX"/>
        </w:rPr>
        <w:t>P solamente</w:t>
      </w:r>
      <w:r w:rsidR="00473233" w:rsidRPr="00BE63E3">
        <w:rPr>
          <w:rFonts w:ascii="ITC Avant Garde" w:hAnsi="ITC Avant Garde"/>
          <w:lang w:val="es-MX"/>
        </w:rPr>
        <w:t>, el más apropiado para este modelo.</w:t>
      </w:r>
    </w:p>
    <w:p w:rsidR="00BC0096" w:rsidRPr="00BE63E3" w:rsidRDefault="00BC0096" w:rsidP="00BC0096">
      <w:pPr>
        <w:pStyle w:val="Ttulo3"/>
        <w:rPr>
          <w:rFonts w:ascii="ITC Avant Garde" w:hAnsi="ITC Avant Garde"/>
          <w:lang w:val="es-MX"/>
        </w:rPr>
      </w:pPr>
      <w:bookmarkStart w:id="94" w:name="_Toc525665267"/>
      <w:bookmarkStart w:id="95" w:name="_Toc525665646"/>
      <w:bookmarkStart w:id="96" w:name="_Toc526854347"/>
      <w:r w:rsidRPr="00BE63E3">
        <w:rPr>
          <w:rFonts w:ascii="ITC Avant Garde" w:hAnsi="ITC Avant Garde"/>
          <w:lang w:val="es-MX"/>
        </w:rPr>
        <w:lastRenderedPageBreak/>
        <w:t>Huella del operador modelado</w:t>
      </w:r>
      <w:bookmarkEnd w:id="94"/>
      <w:bookmarkEnd w:id="95"/>
      <w:bookmarkEnd w:id="96"/>
    </w:p>
    <w:p w:rsidR="00BC0096" w:rsidRPr="00BE63E3" w:rsidRDefault="00BC0096" w:rsidP="00BC0096">
      <w:pPr>
        <w:rPr>
          <w:rFonts w:ascii="ITC Avant Garde" w:hAnsi="ITC Avant Garde"/>
          <w:lang w:val="es-MX"/>
        </w:rPr>
      </w:pPr>
      <w:r w:rsidRPr="00BE63E3">
        <w:rPr>
          <w:rFonts w:ascii="ITC Avant Garde" w:hAnsi="ITC Avant Garde"/>
          <w:lang w:val="es-MX"/>
        </w:rPr>
        <w:t xml:space="preserve">La huella del operador modelado es el conjunto de áreas geográficas donde se supone que la red </w:t>
      </w:r>
      <w:r w:rsidR="009533FA" w:rsidRPr="00872052">
        <w:rPr>
          <w:rFonts w:ascii="ITC Avant Garde" w:hAnsi="ITC Avant Garde"/>
          <w:lang w:val="es-MX"/>
        </w:rPr>
        <w:t>está</w:t>
      </w:r>
      <w:r w:rsidR="00473233" w:rsidRPr="00BE63E3">
        <w:rPr>
          <w:rFonts w:ascii="ITC Avant Garde" w:hAnsi="ITC Avant Garde"/>
          <w:lang w:val="es-MX"/>
        </w:rPr>
        <w:t xml:space="preserve"> </w:t>
      </w:r>
      <w:r w:rsidR="00F2544C" w:rsidRPr="00BE63E3">
        <w:rPr>
          <w:rFonts w:ascii="ITC Avant Garde" w:hAnsi="ITC Avant Garde"/>
          <w:lang w:val="es-MX"/>
        </w:rPr>
        <w:t>desplegada</w:t>
      </w:r>
      <w:r w:rsidR="00473233" w:rsidRPr="00BE63E3">
        <w:rPr>
          <w:rFonts w:ascii="ITC Avant Garde" w:hAnsi="ITC Avant Garde"/>
          <w:lang w:val="es-MX"/>
        </w:rPr>
        <w:t xml:space="preserve"> </w:t>
      </w:r>
      <w:r w:rsidRPr="00BE63E3">
        <w:rPr>
          <w:rFonts w:ascii="ITC Avant Garde" w:hAnsi="ITC Avant Garde"/>
          <w:lang w:val="es-MX"/>
        </w:rPr>
        <w:t xml:space="preserve">en el modelo de costos. Se pueden considerar tres huellas alternativas </w:t>
      </w:r>
      <w:r w:rsidR="00473233" w:rsidRPr="00BE63E3">
        <w:rPr>
          <w:rFonts w:ascii="ITC Avant Garde" w:hAnsi="ITC Avant Garde"/>
          <w:lang w:val="es-MX"/>
        </w:rPr>
        <w:t>en el modelo</w:t>
      </w:r>
      <w:r w:rsidRPr="00BE63E3">
        <w:rPr>
          <w:rFonts w:ascii="ITC Avant Garde" w:hAnsi="ITC Avant Garde"/>
          <w:lang w:val="es-MX"/>
        </w:rPr>
        <w:t>:</w:t>
      </w:r>
    </w:p>
    <w:p w:rsidR="00BC0096" w:rsidRPr="00BE63E3" w:rsidRDefault="00BC0096" w:rsidP="00473233">
      <w:pPr>
        <w:pStyle w:val="Listaconvietas2"/>
        <w:rPr>
          <w:rFonts w:ascii="ITC Avant Garde" w:hAnsi="ITC Avant Garde"/>
          <w:lang w:val="es-MX"/>
        </w:rPr>
      </w:pPr>
      <w:r w:rsidRPr="00BE63E3">
        <w:rPr>
          <w:rFonts w:ascii="ITC Avant Garde" w:hAnsi="ITC Avant Garde"/>
          <w:lang w:val="es-MX"/>
        </w:rPr>
        <w:t xml:space="preserve">Una huella nacional, que potencialmente llegue a todos los hogares </w:t>
      </w:r>
      <w:r w:rsidR="00473233" w:rsidRPr="00BE63E3">
        <w:rPr>
          <w:rFonts w:ascii="ITC Avant Garde" w:hAnsi="ITC Avant Garde"/>
          <w:lang w:val="es-MX"/>
        </w:rPr>
        <w:t xml:space="preserve">principales, </w:t>
      </w:r>
      <w:r w:rsidRPr="00BE63E3">
        <w:rPr>
          <w:rFonts w:ascii="ITC Avant Garde" w:hAnsi="ITC Avant Garde"/>
          <w:lang w:val="es-MX"/>
        </w:rPr>
        <w:t>secundarios y lugares de trabajo relevantes en México</w:t>
      </w:r>
      <w:r w:rsidR="00F313AF" w:rsidRPr="00BE63E3">
        <w:rPr>
          <w:rFonts w:ascii="ITC Avant Garde" w:hAnsi="ITC Avant Garde"/>
          <w:lang w:val="es-MX"/>
        </w:rPr>
        <w:t>, t</w:t>
      </w:r>
      <w:r w:rsidRPr="00BE63E3">
        <w:rPr>
          <w:rFonts w:ascii="ITC Avant Garde" w:hAnsi="ITC Avant Garde"/>
          <w:lang w:val="es-MX"/>
        </w:rPr>
        <w:t xml:space="preserve">eniendo en cuenta tanto el área considerada comercialmente viable por los operadores y donde el despliegue de cobre y/o fibra es efectivo, y el área restante </w:t>
      </w:r>
      <w:r w:rsidR="00897777">
        <w:rPr>
          <w:rFonts w:ascii="ITC Avant Garde" w:hAnsi="ITC Avant Garde"/>
          <w:lang w:val="es-MX"/>
        </w:rPr>
        <w:t>la cual se estima</w:t>
      </w:r>
      <w:r w:rsidR="00897777" w:rsidRPr="00BE63E3">
        <w:rPr>
          <w:rFonts w:ascii="ITC Avant Garde" w:hAnsi="ITC Avant Garde"/>
          <w:lang w:val="es-MX"/>
        </w:rPr>
        <w:t xml:space="preserve"> </w:t>
      </w:r>
      <w:r w:rsidRPr="00BE63E3">
        <w:rPr>
          <w:rFonts w:ascii="ITC Avant Garde" w:hAnsi="ITC Avant Garde"/>
          <w:lang w:val="es-MX"/>
        </w:rPr>
        <w:t>como demasiado costosa para desplegarse y que puede estar conectada a través de un Plan Nacional de Banda Ancha;</w:t>
      </w:r>
    </w:p>
    <w:p w:rsidR="00BC0096" w:rsidRPr="00BE63E3" w:rsidRDefault="00BC0096" w:rsidP="00473233">
      <w:pPr>
        <w:pStyle w:val="Listaconvietas2"/>
        <w:rPr>
          <w:rFonts w:ascii="ITC Avant Garde" w:hAnsi="ITC Avant Garde"/>
          <w:lang w:val="es-MX"/>
        </w:rPr>
      </w:pPr>
      <w:r w:rsidRPr="00BE63E3">
        <w:rPr>
          <w:rFonts w:ascii="ITC Avant Garde" w:hAnsi="ITC Avant Garde"/>
          <w:lang w:val="es-MX"/>
        </w:rPr>
        <w:t>La cobertura actual de cobre y fibra en México</w:t>
      </w:r>
      <w:r w:rsidR="00F313AF" w:rsidRPr="00BE63E3">
        <w:rPr>
          <w:rFonts w:ascii="ITC Avant Garde" w:hAnsi="ITC Avant Garde"/>
          <w:lang w:val="es-MX"/>
        </w:rPr>
        <w:t>;</w:t>
      </w:r>
    </w:p>
    <w:p w:rsidR="00BC0096" w:rsidRPr="00BE63E3" w:rsidRDefault="00BC0096" w:rsidP="00473233">
      <w:pPr>
        <w:pStyle w:val="Listaconvietas2"/>
        <w:rPr>
          <w:rFonts w:ascii="ITC Avant Garde" w:hAnsi="ITC Avant Garde"/>
          <w:lang w:val="es-MX"/>
        </w:rPr>
      </w:pPr>
      <w:r w:rsidRPr="00BE63E3">
        <w:rPr>
          <w:rFonts w:ascii="ITC Avant Garde" w:hAnsi="ITC Avant Garde"/>
          <w:lang w:val="es-MX"/>
        </w:rPr>
        <w:t>Una cobertura futura de cobre y fibra que refleje implementaciones futuras o específicas (limitando la huella al área considerada comercialmente viable por los operadores y donde los operadores tienen planes de implementaciones futuras).</w:t>
      </w:r>
    </w:p>
    <w:p w:rsidR="00BC0096" w:rsidRPr="00BE63E3" w:rsidRDefault="00BC0096" w:rsidP="00BC0096">
      <w:pPr>
        <w:rPr>
          <w:rFonts w:ascii="ITC Avant Garde" w:hAnsi="ITC Avant Garde"/>
          <w:lang w:val="es-MX"/>
        </w:rPr>
      </w:pPr>
      <w:r w:rsidRPr="00BE63E3">
        <w:rPr>
          <w:rFonts w:ascii="ITC Avant Garde" w:hAnsi="ITC Avant Garde"/>
          <w:lang w:val="es-MX"/>
        </w:rPr>
        <w:t xml:space="preserve">Tener en cuenta una huella nacional </w:t>
      </w:r>
      <w:r w:rsidR="00F2544C" w:rsidRPr="00BE63E3">
        <w:rPr>
          <w:rFonts w:ascii="ITC Avant Garde" w:hAnsi="ITC Avant Garde"/>
          <w:lang w:val="es-MX"/>
        </w:rPr>
        <w:t>resultaría</w:t>
      </w:r>
      <w:r w:rsidRPr="00BE63E3">
        <w:rPr>
          <w:rFonts w:ascii="ITC Avant Garde" w:hAnsi="ITC Avant Garde"/>
          <w:lang w:val="es-MX"/>
        </w:rPr>
        <w:t xml:space="preserve"> </w:t>
      </w:r>
      <w:r w:rsidR="00F313AF" w:rsidRPr="00BE63E3">
        <w:rPr>
          <w:rFonts w:ascii="ITC Avant Garde" w:hAnsi="ITC Avant Garde"/>
          <w:lang w:val="es-MX"/>
        </w:rPr>
        <w:t>en</w:t>
      </w:r>
      <w:r w:rsidRPr="00BE63E3">
        <w:rPr>
          <w:rFonts w:ascii="ITC Avant Garde" w:hAnsi="ITC Avant Garde"/>
          <w:lang w:val="es-MX"/>
        </w:rPr>
        <w:t xml:space="preserve"> costos</w:t>
      </w:r>
      <w:r w:rsidR="00F313AF" w:rsidRPr="00BE63E3">
        <w:rPr>
          <w:rFonts w:ascii="ITC Avant Garde" w:hAnsi="ITC Avant Garde"/>
          <w:lang w:val="es-MX"/>
        </w:rPr>
        <w:t xml:space="preserve"> por </w:t>
      </w:r>
      <w:r w:rsidR="00F2544C" w:rsidRPr="00BE63E3">
        <w:rPr>
          <w:rFonts w:ascii="ITC Avant Garde" w:hAnsi="ITC Avant Garde"/>
          <w:lang w:val="es-MX"/>
        </w:rPr>
        <w:t>línea</w:t>
      </w:r>
      <w:r w:rsidRPr="00BE63E3">
        <w:rPr>
          <w:rFonts w:ascii="ITC Avant Garde" w:hAnsi="ITC Avant Garde"/>
          <w:lang w:val="es-MX"/>
        </w:rPr>
        <w:t xml:space="preserve"> más altos</w:t>
      </w:r>
      <w:r w:rsidR="00F313AF" w:rsidRPr="00BE63E3">
        <w:rPr>
          <w:rFonts w:ascii="ITC Avant Garde" w:hAnsi="ITC Avant Garde"/>
          <w:lang w:val="es-MX"/>
        </w:rPr>
        <w:t>,</w:t>
      </w:r>
      <w:r w:rsidRPr="00BE63E3">
        <w:rPr>
          <w:rFonts w:ascii="ITC Avant Garde" w:hAnsi="ITC Avant Garde"/>
          <w:lang w:val="es-MX"/>
        </w:rPr>
        <w:t xml:space="preserve"> debido a las líneas costosas </w:t>
      </w:r>
      <w:r w:rsidR="00F313AF" w:rsidRPr="00BE63E3">
        <w:rPr>
          <w:rFonts w:ascii="ITC Avant Garde" w:hAnsi="ITC Avant Garde"/>
          <w:lang w:val="es-MX"/>
        </w:rPr>
        <w:t>(y generalmente n</w:t>
      </w:r>
      <w:r w:rsidRPr="00BE63E3">
        <w:rPr>
          <w:rFonts w:ascii="ITC Avant Garde" w:hAnsi="ITC Avant Garde"/>
          <w:lang w:val="es-MX"/>
        </w:rPr>
        <w:t>o rentables</w:t>
      </w:r>
      <w:r w:rsidR="00F313AF" w:rsidRPr="00BE63E3">
        <w:rPr>
          <w:rFonts w:ascii="ITC Avant Garde" w:hAnsi="ITC Avant Garde"/>
          <w:lang w:val="es-MX"/>
        </w:rPr>
        <w:t>)</w:t>
      </w:r>
      <w:r w:rsidRPr="00BE63E3">
        <w:rPr>
          <w:rFonts w:ascii="ITC Avant Garde" w:hAnsi="ITC Avant Garde"/>
          <w:lang w:val="es-MX"/>
        </w:rPr>
        <w:t xml:space="preserve"> que en realidad no se </w:t>
      </w:r>
      <w:r w:rsidR="00F313AF" w:rsidRPr="00BE63E3">
        <w:rPr>
          <w:rFonts w:ascii="ITC Avant Garde" w:hAnsi="ITC Avant Garde"/>
          <w:lang w:val="es-MX"/>
        </w:rPr>
        <w:t>han desplegado</w:t>
      </w:r>
      <w:r w:rsidRPr="00BE63E3">
        <w:rPr>
          <w:rFonts w:ascii="ITC Avant Garde" w:hAnsi="ITC Avant Garde"/>
          <w:lang w:val="es-MX"/>
        </w:rPr>
        <w:t xml:space="preserve">, lo que haría que el modelo </w:t>
      </w:r>
      <w:r w:rsidR="003A0FB4" w:rsidRPr="00BE63E3">
        <w:rPr>
          <w:rFonts w:ascii="ITC Avant Garde" w:hAnsi="ITC Avant Garde"/>
          <w:lang w:val="es-MX"/>
        </w:rPr>
        <w:t>sobre recupere</w:t>
      </w:r>
      <w:r w:rsidRPr="00BE63E3">
        <w:rPr>
          <w:rFonts w:ascii="ITC Avant Garde" w:hAnsi="ITC Avant Garde"/>
          <w:lang w:val="es-MX"/>
        </w:rPr>
        <w:t xml:space="preserve"> los costos reales del </w:t>
      </w:r>
      <w:r w:rsidR="003C772E" w:rsidRPr="00BE63E3">
        <w:rPr>
          <w:rFonts w:ascii="ITC Avant Garde" w:hAnsi="ITC Avant Garde"/>
          <w:lang w:val="es-MX"/>
        </w:rPr>
        <w:t xml:space="preserve">operador </w:t>
      </w:r>
      <w:r w:rsidRPr="00BE63E3">
        <w:rPr>
          <w:rFonts w:ascii="ITC Avant Garde" w:hAnsi="ITC Avant Garde"/>
          <w:lang w:val="es-MX"/>
        </w:rPr>
        <w:t xml:space="preserve">SMP. Sin embargo, basar el análisis en la cobertura de tecnología actual permite capturar con precisión todos los costos del operador. </w:t>
      </w:r>
    </w:p>
    <w:p w:rsidR="00BC0096" w:rsidRPr="00BE63E3" w:rsidRDefault="00BC0096" w:rsidP="00BC0096">
      <w:pPr>
        <w:rPr>
          <w:rFonts w:ascii="ITC Avant Garde" w:hAnsi="ITC Avant Garde"/>
          <w:lang w:val="es-MX"/>
        </w:rPr>
      </w:pPr>
      <w:r w:rsidRPr="00BE63E3">
        <w:rPr>
          <w:rFonts w:ascii="ITC Avant Garde" w:hAnsi="ITC Avant Garde"/>
          <w:lang w:val="es-MX"/>
        </w:rPr>
        <w:t xml:space="preserve">Los modelos de costos </w:t>
      </w:r>
      <w:proofErr w:type="spellStart"/>
      <w:r w:rsidR="003A02C7" w:rsidRPr="00F2544C">
        <w:rPr>
          <w:rFonts w:ascii="ITC Avant Garde" w:hAnsi="ITC Avant Garde"/>
          <w:i/>
          <w:lang w:val="es-MX"/>
        </w:rPr>
        <w:t>Bottom</w:t>
      </w:r>
      <w:proofErr w:type="spellEnd"/>
      <w:r w:rsidR="003A02C7" w:rsidRPr="00F2544C">
        <w:rPr>
          <w:rFonts w:ascii="ITC Avant Garde" w:hAnsi="ITC Avant Garde"/>
          <w:i/>
          <w:lang w:val="es-MX"/>
        </w:rPr>
        <w:t>-Up</w:t>
      </w:r>
      <w:r w:rsidR="008D4C08" w:rsidRPr="00BE63E3">
        <w:rPr>
          <w:rFonts w:ascii="ITC Avant Garde" w:hAnsi="ITC Avant Garde"/>
          <w:lang w:val="es-MX"/>
        </w:rPr>
        <w:t xml:space="preserve"> modernos</w:t>
      </w:r>
      <w:r w:rsidRPr="00BE63E3">
        <w:rPr>
          <w:rFonts w:ascii="ITC Avant Garde" w:hAnsi="ITC Avant Garde"/>
          <w:lang w:val="es-MX"/>
        </w:rPr>
        <w:t xml:space="preserve"> usan comúnmente datos de "sistema</w:t>
      </w:r>
      <w:r w:rsidR="00671A72" w:rsidRPr="00BE63E3">
        <w:rPr>
          <w:rFonts w:ascii="ITC Avant Garde" w:hAnsi="ITC Avant Garde"/>
          <w:lang w:val="es-MX"/>
        </w:rPr>
        <w:t>s</w:t>
      </w:r>
      <w:r w:rsidRPr="00BE63E3">
        <w:rPr>
          <w:rFonts w:ascii="ITC Avant Garde" w:hAnsi="ITC Avant Garde"/>
          <w:lang w:val="es-MX"/>
        </w:rPr>
        <w:t xml:space="preserve"> de información geográfica" (</w:t>
      </w:r>
      <w:r w:rsidR="00671A72" w:rsidRPr="00BE63E3">
        <w:rPr>
          <w:rFonts w:ascii="ITC Avant Garde" w:hAnsi="ITC Avant Garde"/>
          <w:lang w:val="es-MX"/>
        </w:rPr>
        <w:t>S</w:t>
      </w:r>
      <w:r w:rsidRPr="00BE63E3">
        <w:rPr>
          <w:rFonts w:ascii="ITC Avant Garde" w:hAnsi="ITC Avant Garde"/>
          <w:lang w:val="es-MX"/>
        </w:rPr>
        <w:t>I</w:t>
      </w:r>
      <w:r w:rsidR="00671A72" w:rsidRPr="00BE63E3">
        <w:rPr>
          <w:rFonts w:ascii="ITC Avant Garde" w:hAnsi="ITC Avant Garde"/>
          <w:lang w:val="es-MX"/>
        </w:rPr>
        <w:t>G</w:t>
      </w:r>
      <w:r w:rsidRPr="00BE63E3">
        <w:rPr>
          <w:rFonts w:ascii="ITC Avant Garde" w:hAnsi="ITC Avant Garde"/>
          <w:lang w:val="es-MX"/>
        </w:rPr>
        <w:t xml:space="preserve">), que proporcionan características geográficas detalladas de la red modelada, hasta </w:t>
      </w:r>
      <w:r w:rsidR="00763735" w:rsidRPr="00BE63E3">
        <w:rPr>
          <w:rFonts w:ascii="ITC Avant Garde" w:hAnsi="ITC Avant Garde"/>
          <w:lang w:val="es-MX"/>
        </w:rPr>
        <w:t xml:space="preserve">el nivel de </w:t>
      </w:r>
      <w:r w:rsidRPr="00BE63E3">
        <w:rPr>
          <w:rFonts w:ascii="ITC Avant Garde" w:hAnsi="ITC Avant Garde"/>
          <w:lang w:val="es-MX"/>
        </w:rPr>
        <w:t>calle, propiedad y edificio. Esto permite subdivisiones refinadas y flexibles de la red modelada.</w:t>
      </w:r>
    </w:p>
    <w:p w:rsidR="00BC0096" w:rsidRPr="00BE63E3" w:rsidRDefault="00BC0096" w:rsidP="00BC0096">
      <w:pPr>
        <w:rPr>
          <w:rFonts w:ascii="ITC Avant Garde" w:hAnsi="ITC Avant Garde"/>
          <w:lang w:val="es-MX"/>
        </w:rPr>
      </w:pPr>
      <w:r w:rsidRPr="00BE63E3">
        <w:rPr>
          <w:rFonts w:ascii="ITC Avant Garde" w:hAnsi="ITC Avant Garde"/>
          <w:lang w:val="es-MX"/>
        </w:rPr>
        <w:t xml:space="preserve">Dado que el modelo se basa en </w:t>
      </w:r>
      <w:r w:rsidR="00763735" w:rsidRPr="00BE63E3">
        <w:rPr>
          <w:rFonts w:ascii="ITC Avant Garde" w:hAnsi="ITC Avant Garde"/>
          <w:lang w:val="es-MX"/>
        </w:rPr>
        <w:t xml:space="preserve">un </w:t>
      </w:r>
      <w:r w:rsidRPr="00BE63E3">
        <w:rPr>
          <w:rFonts w:ascii="ITC Avant Garde" w:hAnsi="ITC Avant Garde"/>
          <w:lang w:val="es-MX"/>
        </w:rPr>
        <w:t>SIG usando la base de datos de carreteras (datos del Instituto Nacional de Estadística y Geografía</w:t>
      </w:r>
      <w:r w:rsidR="00763735" w:rsidRPr="00BE63E3">
        <w:rPr>
          <w:rFonts w:ascii="ITC Avant Garde" w:hAnsi="ITC Avant Garde"/>
          <w:lang w:val="es-MX"/>
        </w:rPr>
        <w:t xml:space="preserve">, o </w:t>
      </w:r>
      <w:r w:rsidRPr="00BE63E3">
        <w:rPr>
          <w:rFonts w:ascii="ITC Avant Garde" w:hAnsi="ITC Avant Garde"/>
          <w:lang w:val="es-MX"/>
        </w:rPr>
        <w:t xml:space="preserve">INEGI) en combinación con la información sobre edificios e instalaciones mexicanas (derivada de </w:t>
      </w:r>
      <w:r w:rsidR="00763735" w:rsidRPr="00BE63E3">
        <w:rPr>
          <w:rFonts w:ascii="ITC Avant Garde" w:hAnsi="ITC Avant Garde"/>
          <w:lang w:val="es-MX"/>
        </w:rPr>
        <w:t>unos mapas del INEGI</w:t>
      </w:r>
      <w:r w:rsidRPr="00BE63E3">
        <w:rPr>
          <w:rFonts w:ascii="ITC Avant Garde" w:hAnsi="ITC Avant Garde"/>
          <w:lang w:val="es-MX"/>
        </w:rPr>
        <w:t xml:space="preserve"> </w:t>
      </w:r>
      <w:r w:rsidR="00763735" w:rsidRPr="00BE63E3">
        <w:rPr>
          <w:rFonts w:ascii="ITC Avant Garde" w:hAnsi="ITC Avant Garde"/>
          <w:lang w:val="es-MX"/>
        </w:rPr>
        <w:t xml:space="preserve">que </w:t>
      </w:r>
      <w:r w:rsidRPr="00BE63E3">
        <w:rPr>
          <w:rFonts w:ascii="ITC Avant Garde" w:hAnsi="ITC Avant Garde"/>
          <w:lang w:val="es-MX"/>
        </w:rPr>
        <w:t xml:space="preserve">detallan estadísticas sobre edificios y viviendas), es posible determinar los edificios que son relevantes para conectarse con la red moderna que está construyendo un operador hipotéticamente eficiente. Esto implica que </w:t>
      </w:r>
      <w:r w:rsidR="00763735" w:rsidRPr="00BE63E3">
        <w:rPr>
          <w:rFonts w:ascii="ITC Avant Garde" w:hAnsi="ITC Avant Garde"/>
          <w:lang w:val="es-MX"/>
        </w:rPr>
        <w:t xml:space="preserve">el </w:t>
      </w:r>
      <w:r w:rsidRPr="00BE63E3">
        <w:rPr>
          <w:rFonts w:ascii="ITC Avant Garde" w:hAnsi="ITC Avant Garde"/>
          <w:lang w:val="es-MX"/>
        </w:rPr>
        <w:t>IFT, basado en una selección de las diferentes subcategorías para propiedades y edificios de estas bases de datos, podrá establecer la base para una cobertura total que conecte a todos los hogares, lugares de trabajo relevantes, edificios públicos, edificios comerciales y edificios industriales, lo que significa el 100 por ciento de los edificios que se han identificado.</w:t>
      </w:r>
    </w:p>
    <w:p w:rsidR="00BC0096" w:rsidRPr="00BE63E3" w:rsidRDefault="00BC0096" w:rsidP="00BC0096">
      <w:pPr>
        <w:rPr>
          <w:rFonts w:ascii="ITC Avant Garde" w:hAnsi="ITC Avant Garde"/>
          <w:lang w:val="es-MX"/>
        </w:rPr>
      </w:pPr>
      <w:r w:rsidRPr="00BE63E3">
        <w:rPr>
          <w:rFonts w:ascii="ITC Avant Garde" w:hAnsi="ITC Avant Garde"/>
          <w:lang w:val="es-MX"/>
        </w:rPr>
        <w:t xml:space="preserve">El modelo podría desplegar inicialmente la red a todos los edificios identificados y seleccionados y así establecer una cobertura </w:t>
      </w:r>
      <w:r w:rsidR="00F2544C" w:rsidRPr="00BE63E3">
        <w:rPr>
          <w:rFonts w:ascii="ITC Avant Garde" w:hAnsi="ITC Avant Garde"/>
          <w:lang w:val="es-MX"/>
        </w:rPr>
        <w:t>nacional</w:t>
      </w:r>
      <w:r w:rsidRPr="00BE63E3">
        <w:rPr>
          <w:rFonts w:ascii="ITC Avant Garde" w:hAnsi="ITC Avant Garde"/>
          <w:lang w:val="es-MX"/>
        </w:rPr>
        <w:t xml:space="preserve">. Esto significa que la red se modela como una red nacional e inicialmente se construye con cobertura total de los </w:t>
      </w:r>
      <w:r w:rsidRPr="00BE63E3">
        <w:rPr>
          <w:rFonts w:ascii="ITC Avant Garde" w:hAnsi="ITC Avant Garde"/>
          <w:lang w:val="es-MX"/>
        </w:rPr>
        <w:lastRenderedPageBreak/>
        <w:t>hogares, lo que significa que cumple con el objetivo dentro de un determinado número de años por determinar.</w:t>
      </w:r>
    </w:p>
    <w:p w:rsidR="00BC0096" w:rsidRPr="00BE63E3" w:rsidRDefault="00BC0096" w:rsidP="00BC0096">
      <w:pPr>
        <w:rPr>
          <w:rFonts w:ascii="ITC Avant Garde" w:hAnsi="ITC Avant Garde"/>
          <w:lang w:val="es-MX"/>
        </w:rPr>
      </w:pPr>
      <w:r w:rsidRPr="00BE63E3">
        <w:rPr>
          <w:rFonts w:ascii="ITC Avant Garde" w:hAnsi="ITC Avant Garde"/>
          <w:lang w:val="es-MX"/>
        </w:rPr>
        <w:t>La segunda opción tiene en cuenta las dos tecnologías y considera la cobertura actual de fibra y cobre. La huella resultante contendría en realidad dos sub</w:t>
      </w:r>
      <w:r w:rsidR="00763735" w:rsidRPr="00BE63E3">
        <w:rPr>
          <w:rFonts w:ascii="ITC Avant Garde" w:hAnsi="ITC Avant Garde"/>
          <w:lang w:val="es-MX"/>
        </w:rPr>
        <w:t>-huellas</w:t>
      </w:r>
      <w:r w:rsidRPr="00BE63E3">
        <w:rPr>
          <w:rFonts w:ascii="ITC Avant Garde" w:hAnsi="ITC Avant Garde"/>
          <w:lang w:val="es-MX"/>
        </w:rPr>
        <w:t>, un</w:t>
      </w:r>
      <w:r w:rsidR="00763735" w:rsidRPr="00BE63E3">
        <w:rPr>
          <w:rFonts w:ascii="ITC Avant Garde" w:hAnsi="ITC Avant Garde"/>
          <w:lang w:val="es-MX"/>
        </w:rPr>
        <w:t>a</w:t>
      </w:r>
      <w:r w:rsidRPr="00BE63E3">
        <w:rPr>
          <w:rFonts w:ascii="ITC Avant Garde" w:hAnsi="ITC Avant Garde"/>
          <w:lang w:val="es-MX"/>
        </w:rPr>
        <w:t xml:space="preserve"> para cada tecnología.</w:t>
      </w:r>
    </w:p>
    <w:p w:rsidR="00BC0096" w:rsidRPr="00BE63E3" w:rsidRDefault="00BC0096" w:rsidP="00BC0096">
      <w:pPr>
        <w:rPr>
          <w:rFonts w:ascii="ITC Avant Garde" w:hAnsi="ITC Avant Garde"/>
          <w:lang w:val="es-MX"/>
        </w:rPr>
      </w:pPr>
      <w:r w:rsidRPr="00BE63E3">
        <w:rPr>
          <w:rFonts w:ascii="ITC Avant Garde" w:hAnsi="ITC Avant Garde"/>
          <w:lang w:val="es-MX"/>
        </w:rPr>
        <w:t>Finalmente, dado que gran parte de México aún no está cubierta ni por el cobre ni por la fibra, pero podría cubrirse en el futuro, la huella basada en la cobertura actual de cobre y fibra podría extenderse a todos los posibles hogares y hogares secundarios y lugares de trabajo relevantes</w:t>
      </w:r>
      <w:r w:rsidR="00897777">
        <w:rPr>
          <w:rFonts w:ascii="ITC Avant Garde" w:hAnsi="ITC Avant Garde"/>
          <w:lang w:val="es-MX"/>
        </w:rPr>
        <w:t xml:space="preserve"> del país</w:t>
      </w:r>
      <w:r w:rsidR="008D4C08" w:rsidRPr="00BE63E3">
        <w:rPr>
          <w:rFonts w:ascii="ITC Avant Garde" w:hAnsi="ITC Avant Garde"/>
          <w:lang w:val="es-MX"/>
        </w:rPr>
        <w:t>.</w:t>
      </w:r>
    </w:p>
    <w:p w:rsidR="00763735" w:rsidRPr="00BE63E3" w:rsidRDefault="00763735" w:rsidP="00BC0096">
      <w:pPr>
        <w:rPr>
          <w:rFonts w:ascii="ITC Avant Garde" w:hAnsi="ITC Avant Garde"/>
          <w:lang w:val="es-MX"/>
        </w:rPr>
      </w:pPr>
    </w:p>
    <w:p w:rsidR="00BC0096" w:rsidRPr="00BE63E3" w:rsidRDefault="00BC0096" w:rsidP="00BC0096">
      <w:pPr>
        <w:pStyle w:val="Encadr3"/>
        <w:rPr>
          <w:rFonts w:ascii="ITC Avant Garde" w:hAnsi="ITC Avant Garde"/>
          <w:lang w:val="es-MX"/>
        </w:rPr>
      </w:pPr>
      <w:r w:rsidRPr="00BE63E3">
        <w:rPr>
          <w:rFonts w:ascii="ITC Avant Garde" w:hAnsi="ITC Avant Garde"/>
          <w:lang w:val="es-MX"/>
        </w:rPr>
        <w:t>Criterio 9: La huella de la red que despliega el operador modelado es un parámetro clave del modelo de costo.</w:t>
      </w:r>
    </w:p>
    <w:p w:rsidR="00BC0096" w:rsidRPr="00BE63E3" w:rsidRDefault="00763735" w:rsidP="00BC0096">
      <w:pPr>
        <w:pStyle w:val="Encadr3"/>
        <w:rPr>
          <w:rFonts w:ascii="ITC Avant Garde" w:hAnsi="ITC Avant Garde"/>
          <w:lang w:val="es-MX"/>
        </w:rPr>
      </w:pPr>
      <w:r w:rsidRPr="00BE63E3">
        <w:rPr>
          <w:rFonts w:ascii="ITC Avant Garde" w:hAnsi="ITC Avant Garde"/>
          <w:lang w:val="es-MX"/>
        </w:rPr>
        <w:t>L</w:t>
      </w:r>
      <w:r w:rsidR="00BC0096" w:rsidRPr="00BE63E3">
        <w:rPr>
          <w:rFonts w:ascii="ITC Avant Garde" w:hAnsi="ITC Avant Garde"/>
          <w:lang w:val="es-MX"/>
        </w:rPr>
        <w:t xml:space="preserve">a cobertura actual de cobre y fibra </w:t>
      </w:r>
      <w:r w:rsidRPr="00BE63E3">
        <w:rPr>
          <w:rFonts w:ascii="ITC Avant Garde" w:hAnsi="ITC Avant Garde"/>
          <w:lang w:val="es-MX"/>
        </w:rPr>
        <w:t>es</w:t>
      </w:r>
      <w:r w:rsidR="00BC0096" w:rsidRPr="00BE63E3">
        <w:rPr>
          <w:rFonts w:ascii="ITC Avant Garde" w:hAnsi="ITC Avant Garde"/>
          <w:lang w:val="es-MX"/>
        </w:rPr>
        <w:t xml:space="preserve"> la más relevante para el cálculo del costo de los servicios de red de acceso regulado.</w:t>
      </w:r>
    </w:p>
    <w:p w:rsidR="00BC0096" w:rsidRPr="00BE63E3" w:rsidRDefault="00BC0096" w:rsidP="00BC0096">
      <w:pPr>
        <w:pStyle w:val="Encadr3"/>
        <w:rPr>
          <w:rFonts w:ascii="ITC Avant Garde" w:hAnsi="ITC Avant Garde"/>
          <w:lang w:val="es-MX"/>
        </w:rPr>
      </w:pPr>
      <w:r w:rsidRPr="00BE63E3">
        <w:rPr>
          <w:rFonts w:ascii="ITC Avant Garde" w:hAnsi="ITC Avant Garde"/>
          <w:lang w:val="es-MX"/>
        </w:rPr>
        <w:t xml:space="preserve">Con el fin de conciliar los datos de </w:t>
      </w:r>
      <w:proofErr w:type="spellStart"/>
      <w:r w:rsidRPr="00BE63E3">
        <w:rPr>
          <w:rFonts w:ascii="ITC Avant Garde" w:hAnsi="ITC Avant Garde"/>
          <w:lang w:val="es-MX"/>
        </w:rPr>
        <w:t>geomarketing</w:t>
      </w:r>
      <w:proofErr w:type="spellEnd"/>
      <w:r w:rsidRPr="00BE63E3">
        <w:rPr>
          <w:rFonts w:ascii="ITC Avant Garde" w:hAnsi="ITC Avant Garde"/>
          <w:lang w:val="es-MX"/>
        </w:rPr>
        <w:t xml:space="preserve"> y la demanda específica, </w:t>
      </w:r>
      <w:r w:rsidR="00763735" w:rsidRPr="00BE63E3">
        <w:rPr>
          <w:rFonts w:ascii="ITC Avant Garde" w:hAnsi="ITC Avant Garde"/>
          <w:lang w:val="es-MX"/>
        </w:rPr>
        <w:t>la cobertura anual se deriva de la cobertura nacional, haciendo</w:t>
      </w:r>
      <w:r w:rsidRPr="00BE63E3">
        <w:rPr>
          <w:rFonts w:ascii="ITC Avant Garde" w:hAnsi="ITC Avant Garde"/>
          <w:lang w:val="es-MX"/>
        </w:rPr>
        <w:t xml:space="preserve"> un ajuste de la huella considerando las premisas más económicamente viables que permitan alcanzar la demanda específica.</w:t>
      </w:r>
    </w:p>
    <w:p w:rsidR="00BC0096" w:rsidRPr="00BE63E3" w:rsidRDefault="00BC0096" w:rsidP="00BC0096">
      <w:pPr>
        <w:rPr>
          <w:rFonts w:ascii="ITC Avant Garde" w:hAnsi="ITC Avant Garde"/>
          <w:lang w:val="es-MX"/>
        </w:rPr>
      </w:pPr>
    </w:p>
    <w:p w:rsidR="00BC0096" w:rsidRPr="00BE63E3" w:rsidRDefault="00453F6F" w:rsidP="00453F6F">
      <w:pPr>
        <w:pStyle w:val="Ttulo2"/>
        <w:rPr>
          <w:rFonts w:ascii="ITC Avant Garde" w:hAnsi="ITC Avant Garde"/>
          <w:lang w:val="es-MX"/>
        </w:rPr>
      </w:pPr>
      <w:bookmarkStart w:id="97" w:name="_Toc525665268"/>
      <w:bookmarkStart w:id="98" w:name="_Toc525665647"/>
      <w:bookmarkStart w:id="99" w:name="_Toc526854348"/>
      <w:r w:rsidRPr="00BE63E3">
        <w:rPr>
          <w:rFonts w:ascii="ITC Avant Garde" w:hAnsi="ITC Avant Garde"/>
          <w:lang w:val="es-MX"/>
        </w:rPr>
        <w:t xml:space="preserve">Enfoque de </w:t>
      </w:r>
      <w:r w:rsidR="003A0FB4" w:rsidRPr="00BE63E3">
        <w:rPr>
          <w:rFonts w:ascii="ITC Avant Garde" w:hAnsi="ITC Avant Garde"/>
          <w:lang w:val="es-MX"/>
        </w:rPr>
        <w:t>modelación</w:t>
      </w:r>
      <w:r w:rsidRPr="00BE63E3">
        <w:rPr>
          <w:rFonts w:ascii="ITC Avant Garde" w:hAnsi="ITC Avant Garde"/>
          <w:lang w:val="es-MX"/>
        </w:rPr>
        <w:t xml:space="preserve"> de la red de acceso</w:t>
      </w:r>
      <w:bookmarkEnd w:id="97"/>
      <w:bookmarkEnd w:id="98"/>
      <w:bookmarkEnd w:id="99"/>
    </w:p>
    <w:p w:rsidR="00453F6F" w:rsidRPr="00BE63E3" w:rsidRDefault="00453F6F" w:rsidP="003E59D9">
      <w:pPr>
        <w:pStyle w:val="Ttulo3"/>
        <w:rPr>
          <w:rFonts w:ascii="ITC Avant Garde" w:hAnsi="ITC Avant Garde"/>
          <w:lang w:val="es-MX"/>
        </w:rPr>
      </w:pPr>
      <w:bookmarkStart w:id="100" w:name="_Toc525665269"/>
      <w:bookmarkStart w:id="101" w:name="_Toc525665648"/>
      <w:bookmarkStart w:id="102" w:name="_Toc526854349"/>
      <w:r w:rsidRPr="00BE63E3">
        <w:rPr>
          <w:rFonts w:ascii="ITC Avant Garde" w:hAnsi="ITC Avant Garde"/>
          <w:lang w:val="es-MX"/>
        </w:rPr>
        <w:t>Alcance de la red modelada</w:t>
      </w:r>
      <w:bookmarkEnd w:id="100"/>
      <w:bookmarkEnd w:id="101"/>
      <w:bookmarkEnd w:id="102"/>
    </w:p>
    <w:p w:rsidR="00453F6F" w:rsidRPr="00BE63E3" w:rsidRDefault="00453F6F" w:rsidP="00453F6F">
      <w:pPr>
        <w:rPr>
          <w:rFonts w:ascii="ITC Avant Garde" w:hAnsi="ITC Avant Garde"/>
          <w:lang w:val="es-MX"/>
        </w:rPr>
      </w:pPr>
      <w:r w:rsidRPr="00BE63E3">
        <w:rPr>
          <w:rFonts w:ascii="ITC Avant Garde" w:hAnsi="ITC Avant Garde"/>
          <w:lang w:val="es-MX"/>
        </w:rPr>
        <w:t>En una red fija, la red de acceso generalmente se define como la parte pasiva de la red que conecta cada premisa de usuario final o punto de terminación de red (NTP</w:t>
      </w:r>
      <w:r w:rsidR="00763735" w:rsidRPr="00BE63E3">
        <w:rPr>
          <w:rFonts w:ascii="ITC Avant Garde" w:hAnsi="ITC Avant Garde"/>
          <w:lang w:val="es-MX"/>
        </w:rPr>
        <w:t>,</w:t>
      </w:r>
      <w:r w:rsidR="00446220" w:rsidRPr="00BE63E3">
        <w:rPr>
          <w:rFonts w:ascii="ITC Avant Garde" w:hAnsi="ITC Avant Garde"/>
          <w:lang w:val="es-MX"/>
        </w:rPr>
        <w:t xml:space="preserve"> por sus siglas en inglés</w:t>
      </w:r>
      <w:r w:rsidR="00763735" w:rsidRPr="00BE63E3">
        <w:rPr>
          <w:rFonts w:ascii="ITC Avant Garde" w:hAnsi="ITC Avant Garde"/>
          <w:lang w:val="es-MX"/>
        </w:rPr>
        <w:t xml:space="preserve"> </w:t>
      </w:r>
      <w:r w:rsidR="00763735" w:rsidRPr="00BE63E3">
        <w:rPr>
          <w:rFonts w:ascii="ITC Avant Garde" w:hAnsi="ITC Avant Garde"/>
          <w:i/>
          <w:lang w:val="es-MX"/>
        </w:rPr>
        <w:t xml:space="preserve">Network </w:t>
      </w:r>
      <w:proofErr w:type="spellStart"/>
      <w:r w:rsidR="00763735" w:rsidRPr="00BE63E3">
        <w:rPr>
          <w:rFonts w:ascii="ITC Avant Garde" w:hAnsi="ITC Avant Garde"/>
          <w:i/>
          <w:lang w:val="es-MX"/>
        </w:rPr>
        <w:t>Termination</w:t>
      </w:r>
      <w:proofErr w:type="spellEnd"/>
      <w:r w:rsidR="00763735" w:rsidRPr="00BE63E3">
        <w:rPr>
          <w:rFonts w:ascii="ITC Avant Garde" w:hAnsi="ITC Avant Garde"/>
          <w:i/>
          <w:lang w:val="es-MX"/>
        </w:rPr>
        <w:t xml:space="preserve"> Point</w:t>
      </w:r>
      <w:r w:rsidRPr="00BE63E3">
        <w:rPr>
          <w:rFonts w:ascii="ITC Avant Garde" w:hAnsi="ITC Avant Garde"/>
          <w:lang w:val="es-MX"/>
        </w:rPr>
        <w:t xml:space="preserve">) a un nodo de acceso donde se instalan los primeros </w:t>
      </w:r>
      <w:r w:rsidR="00763735" w:rsidRPr="00BE63E3">
        <w:rPr>
          <w:rFonts w:ascii="ITC Avant Garde" w:hAnsi="ITC Avant Garde"/>
          <w:lang w:val="es-MX"/>
        </w:rPr>
        <w:t xml:space="preserve">equipos </w:t>
      </w:r>
      <w:r w:rsidRPr="00BE63E3">
        <w:rPr>
          <w:rFonts w:ascii="ITC Avant Garde" w:hAnsi="ITC Avant Garde"/>
          <w:lang w:val="es-MX"/>
        </w:rPr>
        <w:t>activos. El nodo de acceso está, por un lado, conectado a la red de acceso y, por otro lado, está conectado a la red central y se encuentra en un sitio.</w:t>
      </w:r>
    </w:p>
    <w:p w:rsidR="00453F6F" w:rsidRPr="00BE63E3" w:rsidRDefault="00453F6F" w:rsidP="00453F6F">
      <w:pPr>
        <w:rPr>
          <w:rFonts w:ascii="ITC Avant Garde" w:hAnsi="ITC Avant Garde"/>
          <w:lang w:val="es-MX"/>
        </w:rPr>
      </w:pPr>
      <w:r w:rsidRPr="00BE63E3">
        <w:rPr>
          <w:rFonts w:ascii="ITC Avant Garde" w:hAnsi="ITC Avant Garde"/>
          <w:lang w:val="es-MX"/>
        </w:rPr>
        <w:t>Los activos de red de acceso son todos los activos asociados con las líneas de clientes entre las premisas del cliente final y el nodo de acceso e incluyen:</w:t>
      </w:r>
    </w:p>
    <w:p w:rsidR="00763735" w:rsidRPr="00BE63E3" w:rsidRDefault="00453F6F" w:rsidP="00453F6F">
      <w:pPr>
        <w:pStyle w:val="Listaconvietas2"/>
        <w:rPr>
          <w:rFonts w:ascii="ITC Avant Garde" w:hAnsi="ITC Avant Garde"/>
          <w:lang w:val="es-MX"/>
        </w:rPr>
      </w:pPr>
      <w:r w:rsidRPr="00BE63E3">
        <w:rPr>
          <w:rFonts w:ascii="ITC Avant Garde" w:hAnsi="ITC Avant Garde"/>
          <w:lang w:val="es-MX"/>
        </w:rPr>
        <w:t>La tarjeta de línea en el nodo de acceso que conecta a los clientes finales;</w:t>
      </w:r>
    </w:p>
    <w:p w:rsidR="00763735" w:rsidRPr="00BE63E3" w:rsidRDefault="00453F6F" w:rsidP="00453F6F">
      <w:pPr>
        <w:pStyle w:val="Listaconvietas2"/>
        <w:rPr>
          <w:rFonts w:ascii="ITC Avant Garde" w:hAnsi="ITC Avant Garde"/>
          <w:lang w:val="es-MX"/>
        </w:rPr>
      </w:pPr>
      <w:r w:rsidRPr="00BE63E3">
        <w:rPr>
          <w:rFonts w:ascii="ITC Avant Garde" w:hAnsi="ITC Avant Garde"/>
          <w:lang w:val="es-MX"/>
        </w:rPr>
        <w:t xml:space="preserve">Conectores cruzados de fibra óptica y </w:t>
      </w:r>
      <w:r w:rsidR="0006783B" w:rsidRPr="00BE63E3">
        <w:rPr>
          <w:rFonts w:ascii="ITC Avant Garde" w:hAnsi="ITC Avant Garde"/>
          <w:lang w:val="es-MX"/>
        </w:rPr>
        <w:t xml:space="preserve">Bastidor </w:t>
      </w:r>
      <w:r w:rsidRPr="00BE63E3">
        <w:rPr>
          <w:rFonts w:ascii="ITC Avant Garde" w:hAnsi="ITC Avant Garde"/>
          <w:lang w:val="es-MX"/>
        </w:rPr>
        <w:t>de Distribución Óptica</w:t>
      </w:r>
      <w:r w:rsidR="0006783B" w:rsidRPr="0029338F">
        <w:rPr>
          <w:rFonts w:ascii="ITC Avant Garde" w:hAnsi="ITC Avant Garde"/>
          <w:lang w:val="es-MX"/>
        </w:rPr>
        <w:t xml:space="preserve"> (</w:t>
      </w:r>
      <w:proofErr w:type="spellStart"/>
      <w:r w:rsidR="005570A2" w:rsidRPr="006F20DA">
        <w:rPr>
          <w:rFonts w:ascii="ITC Avant Garde" w:hAnsi="ITC Avant Garde"/>
          <w:i/>
          <w:lang w:val="es-MX"/>
        </w:rPr>
        <w:t>Optical</w:t>
      </w:r>
      <w:proofErr w:type="spellEnd"/>
      <w:r w:rsidR="005570A2" w:rsidRPr="006F20DA">
        <w:rPr>
          <w:rFonts w:ascii="ITC Avant Garde" w:hAnsi="ITC Avant Garde"/>
          <w:i/>
          <w:lang w:val="es-MX"/>
        </w:rPr>
        <w:t xml:space="preserve"> </w:t>
      </w:r>
      <w:proofErr w:type="spellStart"/>
      <w:r w:rsidR="005570A2" w:rsidRPr="006F20DA">
        <w:rPr>
          <w:rFonts w:ascii="ITC Avant Garde" w:hAnsi="ITC Avant Garde"/>
          <w:i/>
          <w:lang w:val="es-MX"/>
        </w:rPr>
        <w:t>Distribution</w:t>
      </w:r>
      <w:proofErr w:type="spellEnd"/>
      <w:r w:rsidR="005570A2" w:rsidRPr="006F20DA">
        <w:rPr>
          <w:rFonts w:ascii="ITC Avant Garde" w:hAnsi="ITC Avant Garde"/>
          <w:i/>
          <w:lang w:val="es-MX"/>
        </w:rPr>
        <w:t xml:space="preserve"> </w:t>
      </w:r>
      <w:proofErr w:type="spellStart"/>
      <w:r w:rsidR="005570A2" w:rsidRPr="006F20DA">
        <w:rPr>
          <w:rFonts w:ascii="ITC Avant Garde" w:hAnsi="ITC Avant Garde"/>
          <w:i/>
          <w:lang w:val="es-MX"/>
        </w:rPr>
        <w:t>Frame</w:t>
      </w:r>
      <w:r w:rsidR="0006783B" w:rsidRPr="00BE63E3">
        <w:rPr>
          <w:rFonts w:ascii="ITC Avant Garde" w:hAnsi="ITC Avant Garde"/>
          <w:lang w:val="es-MX"/>
        </w:rPr>
        <w:t>ODF</w:t>
      </w:r>
      <w:proofErr w:type="spellEnd"/>
      <w:r w:rsidR="005570A2">
        <w:rPr>
          <w:rFonts w:ascii="ITC Avant Garde" w:hAnsi="ITC Avant Garde"/>
          <w:lang w:val="es-MX"/>
        </w:rPr>
        <w:t>, por sus siglas en inglés</w:t>
      </w:r>
      <w:r w:rsidR="0006783B" w:rsidRPr="00BE63E3">
        <w:rPr>
          <w:rFonts w:ascii="ITC Avant Garde" w:hAnsi="ITC Avant Garde"/>
          <w:lang w:val="es-MX"/>
        </w:rPr>
        <w:t>)</w:t>
      </w:r>
      <w:r w:rsidRPr="00BE63E3">
        <w:rPr>
          <w:rFonts w:ascii="ITC Avant Garde" w:hAnsi="ITC Avant Garde"/>
          <w:lang w:val="es-MX"/>
        </w:rPr>
        <w:t xml:space="preserve">, que son equipos para terminación, conexión y </w:t>
      </w:r>
      <w:proofErr w:type="spellStart"/>
      <w:r w:rsidRPr="00BE63E3">
        <w:rPr>
          <w:rFonts w:ascii="ITC Avant Garde" w:hAnsi="ITC Avant Garde"/>
          <w:lang w:val="es-MX"/>
        </w:rPr>
        <w:t>reticulación</w:t>
      </w:r>
      <w:proofErr w:type="spellEnd"/>
      <w:r w:rsidRPr="00BE63E3">
        <w:rPr>
          <w:rFonts w:ascii="ITC Avant Garde" w:hAnsi="ITC Avant Garde"/>
          <w:lang w:val="es-MX"/>
        </w:rPr>
        <w:t xml:space="preserve"> de fibras y equipos asociados para conexiones de clientes en nodos de acceso;</w:t>
      </w:r>
    </w:p>
    <w:p w:rsidR="0059553F" w:rsidRPr="00BE63E3" w:rsidRDefault="00453F6F" w:rsidP="00453F6F">
      <w:pPr>
        <w:pStyle w:val="Listaconvietas2"/>
        <w:rPr>
          <w:rFonts w:ascii="ITC Avant Garde" w:hAnsi="ITC Avant Garde"/>
          <w:lang w:val="es-MX"/>
        </w:rPr>
      </w:pPr>
      <w:r w:rsidRPr="00BE63E3">
        <w:rPr>
          <w:rFonts w:ascii="ITC Avant Garde" w:hAnsi="ITC Avant Garde"/>
          <w:lang w:val="es-MX"/>
        </w:rPr>
        <w:lastRenderedPageBreak/>
        <w:t xml:space="preserve">Cables de fibra, ductos, conmutadores y otros equipos que pasan del nodo de acceso al NTP, que es el punto de conexión para fibra en las instalaciones del cliente final, o al </w:t>
      </w:r>
      <w:r w:rsidR="0006783B" w:rsidRPr="00BE63E3">
        <w:rPr>
          <w:rFonts w:ascii="ITC Avant Garde" w:hAnsi="ITC Avant Garde"/>
          <w:lang w:val="es-MX"/>
        </w:rPr>
        <w:t>Bastidor de D</w:t>
      </w:r>
      <w:r w:rsidR="001A3FDF" w:rsidRPr="00BE63E3">
        <w:rPr>
          <w:rFonts w:ascii="ITC Avant Garde" w:hAnsi="ITC Avant Garde"/>
          <w:lang w:val="es-MX"/>
        </w:rPr>
        <w:t>istribución del</w:t>
      </w:r>
      <w:r w:rsidR="0006783B" w:rsidRPr="00BE63E3">
        <w:rPr>
          <w:rFonts w:ascii="ITC Avant Garde" w:hAnsi="ITC Avant Garde"/>
          <w:lang w:val="es-MX"/>
        </w:rPr>
        <w:t xml:space="preserve"> </w:t>
      </w:r>
      <w:r w:rsidR="009F5817" w:rsidRPr="00BE63E3">
        <w:rPr>
          <w:rFonts w:ascii="ITC Avant Garde" w:hAnsi="ITC Avant Garde"/>
          <w:lang w:val="es-MX"/>
        </w:rPr>
        <w:t>Edificio (</w:t>
      </w:r>
      <w:r w:rsidRPr="00BE63E3">
        <w:rPr>
          <w:rFonts w:ascii="ITC Avant Garde" w:hAnsi="ITC Avant Garde"/>
          <w:lang w:val="es-MX"/>
        </w:rPr>
        <w:t xml:space="preserve">BDF) en el caso de </w:t>
      </w:r>
      <w:r w:rsidR="006F20DA">
        <w:rPr>
          <w:rFonts w:ascii="ITC Avant Garde" w:hAnsi="ITC Avant Garde"/>
          <w:lang w:val="es-MX"/>
        </w:rPr>
        <w:t>u</w:t>
      </w:r>
      <w:r w:rsidR="006F20DA" w:rsidRPr="00BE63E3">
        <w:rPr>
          <w:rFonts w:ascii="ITC Avant Garde" w:hAnsi="ITC Avant Garde"/>
          <w:lang w:val="es-MX"/>
        </w:rPr>
        <w:t xml:space="preserve">nidades </w:t>
      </w:r>
      <w:r w:rsidRPr="00BE63E3">
        <w:rPr>
          <w:rFonts w:ascii="ITC Avant Garde" w:hAnsi="ITC Avant Garde"/>
          <w:lang w:val="es-MX"/>
        </w:rPr>
        <w:t>de vivienda múltiple, que es un dispositivo para cableado y equipo en el nodo de propiedad, y que gestiona la transición de redes de acceso a redes de cableado interior, que va a un NTP;</w:t>
      </w:r>
    </w:p>
    <w:p w:rsidR="0059553F" w:rsidRPr="00BE63E3" w:rsidRDefault="00453F6F" w:rsidP="00453F6F">
      <w:pPr>
        <w:pStyle w:val="Listaconvietas2"/>
        <w:rPr>
          <w:rFonts w:ascii="ITC Avant Garde" w:hAnsi="ITC Avant Garde"/>
          <w:lang w:val="es-MX"/>
        </w:rPr>
      </w:pPr>
      <w:r w:rsidRPr="00BE63E3">
        <w:rPr>
          <w:rFonts w:ascii="ITC Avant Garde" w:hAnsi="ITC Avant Garde"/>
          <w:lang w:val="es-MX"/>
        </w:rPr>
        <w:t xml:space="preserve">Los cables, incluido el equipo de </w:t>
      </w:r>
      <w:r w:rsidR="001A3FDF" w:rsidRPr="00BE63E3">
        <w:rPr>
          <w:rFonts w:ascii="ITC Avant Garde" w:hAnsi="ITC Avant Garde"/>
          <w:lang w:val="es-MX"/>
        </w:rPr>
        <w:t>c</w:t>
      </w:r>
      <w:r w:rsidR="0059553F" w:rsidRPr="00BE63E3">
        <w:rPr>
          <w:rFonts w:ascii="ITC Avant Garde" w:hAnsi="ITC Avant Garde"/>
          <w:lang w:val="es-MX"/>
        </w:rPr>
        <w:t>ierre de empalme</w:t>
      </w:r>
      <w:r w:rsidRPr="00BE63E3">
        <w:rPr>
          <w:rFonts w:ascii="ITC Avant Garde" w:hAnsi="ITC Avant Garde"/>
          <w:lang w:val="es-MX"/>
        </w:rPr>
        <w:t xml:space="preserve"> utilizado para </w:t>
      </w:r>
      <w:r w:rsidR="0059553F" w:rsidRPr="00BE63E3">
        <w:rPr>
          <w:rFonts w:ascii="ITC Avant Garde" w:hAnsi="ITC Avant Garde"/>
          <w:lang w:val="es-MX"/>
        </w:rPr>
        <w:t>la red de</w:t>
      </w:r>
      <w:r w:rsidRPr="00BE63E3">
        <w:rPr>
          <w:rFonts w:ascii="ITC Avant Garde" w:hAnsi="ITC Avant Garde"/>
          <w:lang w:val="es-MX"/>
        </w:rPr>
        <w:t xml:space="preserve"> </w:t>
      </w:r>
      <w:r w:rsidR="009F5817" w:rsidRPr="00BE63E3">
        <w:rPr>
          <w:rFonts w:ascii="ITC Avant Garde" w:hAnsi="ITC Avant Garde"/>
          <w:lang w:val="es-MX"/>
        </w:rPr>
        <w:t>fibra,</w:t>
      </w:r>
      <w:r w:rsidRPr="00BE63E3">
        <w:rPr>
          <w:rFonts w:ascii="ITC Avant Garde" w:hAnsi="ITC Avant Garde"/>
          <w:lang w:val="es-MX"/>
        </w:rPr>
        <w:t xml:space="preserve"> </w:t>
      </w:r>
      <w:r w:rsidR="00F2544C" w:rsidRPr="00BE63E3">
        <w:rPr>
          <w:rFonts w:ascii="ITC Avant Garde" w:hAnsi="ITC Avant Garde"/>
          <w:lang w:val="es-MX"/>
        </w:rPr>
        <w:t>así</w:t>
      </w:r>
      <w:r w:rsidR="0059553F" w:rsidRPr="00BE63E3">
        <w:rPr>
          <w:rFonts w:ascii="ITC Avant Garde" w:hAnsi="ITC Avant Garde"/>
          <w:lang w:val="es-MX"/>
        </w:rPr>
        <w:t xml:space="preserve"> como</w:t>
      </w:r>
      <w:r w:rsidRPr="00BE63E3">
        <w:rPr>
          <w:rFonts w:ascii="ITC Avant Garde" w:hAnsi="ITC Avant Garde"/>
          <w:lang w:val="es-MX"/>
        </w:rPr>
        <w:t xml:space="preserve"> la </w:t>
      </w:r>
      <w:r w:rsidR="0059553F" w:rsidRPr="00BE63E3">
        <w:rPr>
          <w:rFonts w:ascii="ITC Avant Garde" w:hAnsi="ITC Avant Garde"/>
          <w:lang w:val="es-MX"/>
        </w:rPr>
        <w:t>acometida</w:t>
      </w:r>
      <w:r w:rsidRPr="00BE63E3">
        <w:rPr>
          <w:rFonts w:ascii="ITC Avant Garde" w:hAnsi="ITC Avant Garde"/>
          <w:lang w:val="es-MX"/>
        </w:rPr>
        <w:t>, que es el cable dedicado para cada edificio;</w:t>
      </w:r>
    </w:p>
    <w:p w:rsidR="0059553F" w:rsidRPr="00BE63E3" w:rsidRDefault="00453F6F" w:rsidP="00453F6F">
      <w:pPr>
        <w:pStyle w:val="Listaconvietas2"/>
        <w:rPr>
          <w:rFonts w:ascii="ITC Avant Garde" w:hAnsi="ITC Avant Garde"/>
          <w:lang w:val="es-MX"/>
        </w:rPr>
      </w:pPr>
      <w:r w:rsidRPr="00BE63E3">
        <w:rPr>
          <w:rFonts w:ascii="ITC Avant Garde" w:hAnsi="ITC Avant Garde"/>
          <w:lang w:val="es-MX"/>
        </w:rPr>
        <w:t>Las obras de ingeniería civil donde los cables se despliegan como ductos, zanjas, pozos de registro;</w:t>
      </w:r>
    </w:p>
    <w:p w:rsidR="0059553F" w:rsidRPr="00BE63E3" w:rsidRDefault="00453F6F" w:rsidP="00453F6F">
      <w:pPr>
        <w:pStyle w:val="Listaconvietas2"/>
        <w:rPr>
          <w:rFonts w:ascii="ITC Avant Garde" w:hAnsi="ITC Avant Garde"/>
          <w:lang w:val="es-MX"/>
        </w:rPr>
      </w:pPr>
      <w:r w:rsidRPr="00BE63E3">
        <w:rPr>
          <w:rFonts w:ascii="ITC Avant Garde" w:hAnsi="ITC Avant Garde"/>
          <w:lang w:val="es-MX"/>
        </w:rPr>
        <w:t xml:space="preserve">Puntos de flexibilidad intermediarios en la red, como </w:t>
      </w:r>
      <w:r w:rsidR="0059553F" w:rsidRPr="00BE63E3">
        <w:rPr>
          <w:rFonts w:ascii="ITC Avant Garde" w:hAnsi="ITC Avant Garde"/>
          <w:lang w:val="es-MX"/>
        </w:rPr>
        <w:t>puntos</w:t>
      </w:r>
      <w:r w:rsidRPr="00BE63E3">
        <w:rPr>
          <w:rFonts w:ascii="ITC Avant Garde" w:hAnsi="ITC Avant Garde"/>
          <w:lang w:val="es-MX"/>
        </w:rPr>
        <w:t xml:space="preserve"> </w:t>
      </w:r>
      <w:r w:rsidR="0059553F" w:rsidRPr="00BE63E3">
        <w:rPr>
          <w:rFonts w:ascii="ITC Avant Garde" w:hAnsi="ITC Avant Garde"/>
          <w:lang w:val="es-MX"/>
        </w:rPr>
        <w:t xml:space="preserve">de </w:t>
      </w:r>
      <w:r w:rsidRPr="00BE63E3">
        <w:rPr>
          <w:rFonts w:ascii="ITC Avant Garde" w:hAnsi="ITC Avant Garde"/>
          <w:lang w:val="es-MX"/>
        </w:rPr>
        <w:t>distribución</w:t>
      </w:r>
      <w:r w:rsidR="0059553F" w:rsidRPr="00BE63E3">
        <w:rPr>
          <w:rStyle w:val="Refdenotaalpie"/>
          <w:rFonts w:ascii="ITC Avant Garde" w:hAnsi="ITC Avant Garde"/>
          <w:lang w:val="es-MX"/>
        </w:rPr>
        <w:footnoteReference w:id="23"/>
      </w:r>
      <w:r w:rsidRPr="00BE63E3">
        <w:rPr>
          <w:rFonts w:ascii="ITC Avant Garde" w:hAnsi="ITC Avant Garde"/>
          <w:lang w:val="es-MX"/>
        </w:rPr>
        <w:t>;</w:t>
      </w:r>
    </w:p>
    <w:p w:rsidR="00453F6F" w:rsidRPr="00BE63E3" w:rsidRDefault="00453F6F" w:rsidP="00453F6F">
      <w:pPr>
        <w:pStyle w:val="Listaconvietas2"/>
        <w:rPr>
          <w:rFonts w:ascii="ITC Avant Garde" w:hAnsi="ITC Avant Garde"/>
          <w:lang w:val="es-MX"/>
        </w:rPr>
      </w:pPr>
      <w:r w:rsidRPr="00BE63E3">
        <w:rPr>
          <w:rFonts w:ascii="ITC Avant Garde" w:hAnsi="ITC Avant Garde"/>
          <w:lang w:val="es-MX"/>
        </w:rPr>
        <w:t>El equipo en la</w:t>
      </w:r>
      <w:r w:rsidR="0059553F" w:rsidRPr="00BE63E3">
        <w:rPr>
          <w:rFonts w:ascii="ITC Avant Garde" w:hAnsi="ITC Avant Garde"/>
          <w:lang w:val="es-MX"/>
        </w:rPr>
        <w:t>s</w:t>
      </w:r>
      <w:r w:rsidRPr="00BE63E3">
        <w:rPr>
          <w:rFonts w:ascii="ITC Avant Garde" w:hAnsi="ITC Avant Garde"/>
          <w:lang w:val="es-MX"/>
        </w:rPr>
        <w:t xml:space="preserve"> premisa</w:t>
      </w:r>
      <w:r w:rsidR="0059553F" w:rsidRPr="00BE63E3">
        <w:rPr>
          <w:rFonts w:ascii="ITC Avant Garde" w:hAnsi="ITC Avant Garde"/>
          <w:lang w:val="es-MX"/>
        </w:rPr>
        <w:t>s</w:t>
      </w:r>
      <w:r w:rsidRPr="00BE63E3">
        <w:rPr>
          <w:rFonts w:ascii="ITC Avant Garde" w:hAnsi="ITC Avant Garde"/>
          <w:lang w:val="es-MX"/>
        </w:rPr>
        <w:t xml:space="preserve"> del cliente final, como los puntos de terminación de la red, el </w:t>
      </w:r>
      <w:r w:rsidR="001A3FDF" w:rsidRPr="00BE63E3">
        <w:rPr>
          <w:rFonts w:ascii="ITC Avant Garde" w:hAnsi="ITC Avant Garde"/>
          <w:lang w:val="es-MX"/>
        </w:rPr>
        <w:t>BDF</w:t>
      </w:r>
      <w:r w:rsidRPr="00BE63E3">
        <w:rPr>
          <w:rFonts w:ascii="ITC Avant Garde" w:hAnsi="ITC Avant Garde"/>
          <w:lang w:val="es-MX"/>
        </w:rPr>
        <w:t xml:space="preserve"> en el caso de unidades de viviendas múltiples;</w:t>
      </w:r>
    </w:p>
    <w:p w:rsidR="00B22871" w:rsidRPr="00BE63E3" w:rsidRDefault="00B22871" w:rsidP="00453F6F">
      <w:pPr>
        <w:rPr>
          <w:rFonts w:ascii="ITC Avant Garde" w:hAnsi="ITC Avant Garde"/>
          <w:lang w:val="es-MX"/>
        </w:rPr>
      </w:pPr>
    </w:p>
    <w:p w:rsidR="00B22871" w:rsidRPr="00BE63E3" w:rsidRDefault="00B22871" w:rsidP="00B22871">
      <w:pPr>
        <w:pStyle w:val="Descripcin"/>
        <w:keepNext/>
        <w:rPr>
          <w:rFonts w:ascii="ITC Avant Garde" w:hAnsi="ITC Avant Garde"/>
          <w:lang w:val="es-MX"/>
        </w:rPr>
      </w:pPr>
      <w:r w:rsidRPr="00BE63E3">
        <w:rPr>
          <w:rFonts w:ascii="ITC Avant Garde" w:hAnsi="ITC Avant Garde"/>
          <w:lang w:val="es-MX"/>
        </w:rPr>
        <w:t xml:space="preserve">Figura </w:t>
      </w:r>
      <w:r w:rsidR="00F90B7A">
        <w:rPr>
          <w:rFonts w:ascii="ITC Avant Garde" w:hAnsi="ITC Avant Garde"/>
          <w:lang w:val="es-MX"/>
        </w:rPr>
        <w:t>3</w:t>
      </w:r>
      <w:r w:rsidR="00F90B7A" w:rsidRPr="00BE63E3">
        <w:rPr>
          <w:rFonts w:ascii="ITC Avant Garde" w:hAnsi="ITC Avant Garde"/>
          <w:lang w:val="es-MX"/>
        </w:rPr>
        <w:t xml:space="preserve"> </w:t>
      </w:r>
      <w:r w:rsidRPr="00BE63E3">
        <w:rPr>
          <w:rFonts w:ascii="ITC Avant Garde" w:hAnsi="ITC Avant Garde"/>
          <w:lang w:val="es-MX"/>
        </w:rPr>
        <w:t>- Arquitectura de la red de acceso</w:t>
      </w:r>
    </w:p>
    <w:p w:rsidR="00B22871" w:rsidRPr="00872052" w:rsidRDefault="00B22871" w:rsidP="00453F6F">
      <w:pPr>
        <w:rPr>
          <w:rFonts w:ascii="ITC Avant Garde" w:hAnsi="ITC Avant Garde"/>
          <w:lang w:val="es-MX"/>
        </w:rPr>
      </w:pPr>
      <w:r w:rsidRPr="00872052">
        <w:rPr>
          <w:rFonts w:ascii="ITC Avant Garde" w:hAnsi="ITC Avant Garde"/>
          <w:noProof/>
          <w:lang w:val="es-MX" w:eastAsia="es-MX"/>
        </w:rPr>
        <w:drawing>
          <wp:inline distT="0" distB="0" distL="0" distR="0" wp14:anchorId="1A0E11D4" wp14:editId="76E1C8C5">
            <wp:extent cx="5399405" cy="2660015"/>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9405" cy="2660015"/>
                    </a:xfrm>
                    <a:prstGeom prst="rect">
                      <a:avLst/>
                    </a:prstGeom>
                    <a:noFill/>
                  </pic:spPr>
                </pic:pic>
              </a:graphicData>
            </a:graphic>
          </wp:inline>
        </w:drawing>
      </w:r>
    </w:p>
    <w:p w:rsidR="00B22871" w:rsidRPr="00872052" w:rsidRDefault="00B22871" w:rsidP="00453F6F">
      <w:pPr>
        <w:rPr>
          <w:rFonts w:ascii="ITC Avant Garde" w:hAnsi="ITC Avant Garde"/>
          <w:lang w:val="es-MX"/>
        </w:rPr>
      </w:pPr>
    </w:p>
    <w:p w:rsidR="004900D4" w:rsidRPr="00BE63E3" w:rsidRDefault="00C1352A" w:rsidP="00C1352A">
      <w:pPr>
        <w:rPr>
          <w:rFonts w:ascii="ITC Avant Garde" w:hAnsi="ITC Avant Garde"/>
          <w:lang w:val="es-MX"/>
        </w:rPr>
      </w:pPr>
      <w:r w:rsidRPr="00BE63E3">
        <w:rPr>
          <w:rFonts w:ascii="ITC Avant Garde" w:hAnsi="ITC Avant Garde"/>
          <w:lang w:val="es-MX"/>
        </w:rPr>
        <w:t xml:space="preserve">La red de acceso debe modelarse de extremo a extremo e incluir todos los activos entre el nodo de acceso y el punto de terminación de la red en las instalaciones del cliente final. </w:t>
      </w:r>
    </w:p>
    <w:p w:rsidR="003E59D9" w:rsidRPr="00BE63E3" w:rsidRDefault="003E59D9" w:rsidP="00C1352A">
      <w:pPr>
        <w:rPr>
          <w:rFonts w:ascii="ITC Avant Garde" w:hAnsi="ITC Avant Garde"/>
          <w:lang w:val="es-MX"/>
        </w:rPr>
      </w:pPr>
    </w:p>
    <w:p w:rsidR="003E59D9" w:rsidRPr="00BE63E3" w:rsidRDefault="003E59D9" w:rsidP="003E59D9">
      <w:pPr>
        <w:pStyle w:val="Descripcin"/>
        <w:keepNext/>
        <w:rPr>
          <w:rFonts w:ascii="ITC Avant Garde" w:hAnsi="ITC Avant Garde"/>
          <w:lang w:val="es-MX"/>
        </w:rPr>
      </w:pPr>
      <w:r w:rsidRPr="00BE63E3">
        <w:rPr>
          <w:rFonts w:ascii="ITC Avant Garde" w:hAnsi="ITC Avant Garde"/>
          <w:lang w:val="es-MX"/>
        </w:rPr>
        <w:lastRenderedPageBreak/>
        <w:t xml:space="preserve">Figura </w:t>
      </w:r>
      <w:r w:rsidR="00F90B7A">
        <w:rPr>
          <w:rFonts w:ascii="ITC Avant Garde" w:hAnsi="ITC Avant Garde"/>
          <w:lang w:val="es-MX"/>
        </w:rPr>
        <w:t>4</w:t>
      </w:r>
      <w:r w:rsidR="00F90B7A" w:rsidRPr="00BE63E3">
        <w:rPr>
          <w:rFonts w:ascii="ITC Avant Garde" w:hAnsi="ITC Avant Garde"/>
          <w:lang w:val="es-MX"/>
        </w:rPr>
        <w:t xml:space="preserve"> </w:t>
      </w:r>
      <w:r w:rsidRPr="00BE63E3">
        <w:rPr>
          <w:rFonts w:ascii="ITC Avant Garde" w:hAnsi="ITC Avant Garde"/>
          <w:lang w:val="es-MX"/>
        </w:rPr>
        <w:t>– Frontera entre el acceso y la red de transporte</w:t>
      </w:r>
    </w:p>
    <w:p w:rsidR="003E59D9" w:rsidRPr="00872052" w:rsidRDefault="003E59D9" w:rsidP="00C1352A">
      <w:pPr>
        <w:rPr>
          <w:rFonts w:ascii="ITC Avant Garde" w:hAnsi="ITC Avant Garde"/>
          <w:lang w:val="es-MX"/>
        </w:rPr>
      </w:pPr>
      <w:r w:rsidRPr="00872052">
        <w:rPr>
          <w:rFonts w:ascii="ITC Avant Garde" w:hAnsi="ITC Avant Garde"/>
          <w:b/>
          <w:noProof/>
          <w:sz w:val="22"/>
          <w:szCs w:val="22"/>
          <w:lang w:val="es-MX" w:eastAsia="es-MX"/>
        </w:rPr>
        <w:drawing>
          <wp:inline distT="0" distB="0" distL="0" distR="0" wp14:anchorId="17EF7191" wp14:editId="57E47502">
            <wp:extent cx="4523740" cy="23901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3740" cy="2390140"/>
                    </a:xfrm>
                    <a:prstGeom prst="rect">
                      <a:avLst/>
                    </a:prstGeom>
                    <a:noFill/>
                  </pic:spPr>
                </pic:pic>
              </a:graphicData>
            </a:graphic>
          </wp:inline>
        </w:drawing>
      </w:r>
    </w:p>
    <w:p w:rsidR="003E59D9" w:rsidRPr="00872052" w:rsidRDefault="003E59D9" w:rsidP="00C1352A">
      <w:pPr>
        <w:rPr>
          <w:rFonts w:ascii="ITC Avant Garde" w:hAnsi="ITC Avant Garde"/>
          <w:lang w:val="es-MX"/>
        </w:rPr>
      </w:pPr>
    </w:p>
    <w:p w:rsidR="003E59D9" w:rsidRPr="00BE63E3" w:rsidRDefault="006F20DA" w:rsidP="00C1352A">
      <w:pPr>
        <w:rPr>
          <w:rFonts w:ascii="ITC Avant Garde" w:hAnsi="ITC Avant Garde"/>
          <w:lang w:val="es-MX"/>
        </w:rPr>
      </w:pPr>
      <w:r>
        <w:rPr>
          <w:rFonts w:ascii="ITC Avant Garde" w:hAnsi="ITC Avant Garde"/>
          <w:lang w:val="es-MX"/>
        </w:rPr>
        <w:t>Típicamente, c</w:t>
      </w:r>
      <w:r w:rsidR="00C1352A" w:rsidRPr="00BE63E3">
        <w:rPr>
          <w:rFonts w:ascii="ITC Avant Garde" w:hAnsi="ITC Avant Garde"/>
          <w:lang w:val="es-MX"/>
        </w:rPr>
        <w:t xml:space="preserve">uando los costos son comunes </w:t>
      </w:r>
      <w:r w:rsidR="0059553F" w:rsidRPr="00BE63E3">
        <w:rPr>
          <w:rFonts w:ascii="ITC Avant Garde" w:hAnsi="ITC Avant Garde"/>
          <w:lang w:val="es-MX"/>
        </w:rPr>
        <w:t>a</w:t>
      </w:r>
      <w:r w:rsidR="00C1352A" w:rsidRPr="00BE63E3">
        <w:rPr>
          <w:rFonts w:ascii="ITC Avant Garde" w:hAnsi="ITC Avant Garde"/>
          <w:lang w:val="es-MX"/>
        </w:rPr>
        <w:t xml:space="preserve"> </w:t>
      </w:r>
      <w:r w:rsidR="007B4F5E" w:rsidRPr="00BE63E3">
        <w:rPr>
          <w:rFonts w:ascii="ITC Avant Garde" w:hAnsi="ITC Avant Garde"/>
          <w:lang w:val="es-MX"/>
        </w:rPr>
        <w:t>la red de</w:t>
      </w:r>
      <w:r w:rsidR="00C1352A" w:rsidRPr="00BE63E3">
        <w:rPr>
          <w:rFonts w:ascii="ITC Avant Garde" w:hAnsi="ITC Avant Garde"/>
          <w:lang w:val="es-MX"/>
        </w:rPr>
        <w:t xml:space="preserve"> acceso y </w:t>
      </w:r>
      <w:r w:rsidR="0059553F" w:rsidRPr="00BE63E3">
        <w:rPr>
          <w:rFonts w:ascii="ITC Avant Garde" w:hAnsi="ITC Avant Garde"/>
          <w:lang w:val="es-MX"/>
        </w:rPr>
        <w:t xml:space="preserve">a </w:t>
      </w:r>
      <w:r w:rsidR="00C1352A" w:rsidRPr="00BE63E3">
        <w:rPr>
          <w:rFonts w:ascii="ITC Avant Garde" w:hAnsi="ITC Avant Garde"/>
          <w:lang w:val="es-MX"/>
        </w:rPr>
        <w:t xml:space="preserve">la red </w:t>
      </w:r>
      <w:r w:rsidR="007B4F5E" w:rsidRPr="00BE63E3">
        <w:rPr>
          <w:rFonts w:ascii="ITC Avant Garde" w:hAnsi="ITC Avant Garde"/>
          <w:lang w:val="es-MX"/>
        </w:rPr>
        <w:t>de transporte</w:t>
      </w:r>
      <w:r w:rsidR="00C1352A" w:rsidRPr="00BE63E3">
        <w:rPr>
          <w:rFonts w:ascii="ITC Avant Garde" w:hAnsi="ITC Avant Garde"/>
          <w:lang w:val="es-MX"/>
        </w:rPr>
        <w:t xml:space="preserve">, </w:t>
      </w:r>
      <w:r>
        <w:rPr>
          <w:rFonts w:ascii="ITC Avant Garde" w:hAnsi="ITC Avant Garde"/>
          <w:lang w:val="es-MX"/>
        </w:rPr>
        <w:t>así como en el caso en que</w:t>
      </w:r>
      <w:r w:rsidR="00C1352A" w:rsidRPr="00BE63E3">
        <w:rPr>
          <w:rFonts w:ascii="ITC Avant Garde" w:hAnsi="ITC Avant Garde"/>
          <w:lang w:val="es-MX"/>
        </w:rPr>
        <w:t xml:space="preserve"> los costos están relacionados con el número de suscriptores en lugar del tráfico, estos se modelan en el modelo de red de acceso. </w:t>
      </w:r>
    </w:p>
    <w:p w:rsidR="003E59D9" w:rsidRPr="00BE63E3" w:rsidRDefault="00C1352A" w:rsidP="00C1352A">
      <w:pPr>
        <w:rPr>
          <w:rFonts w:ascii="ITC Avant Garde" w:hAnsi="ITC Avant Garde"/>
          <w:lang w:val="es-MX"/>
        </w:rPr>
      </w:pPr>
      <w:r w:rsidRPr="00BE63E3">
        <w:rPr>
          <w:rFonts w:ascii="ITC Avant Garde" w:hAnsi="ITC Avant Garde"/>
          <w:lang w:val="es-MX"/>
        </w:rPr>
        <w:t>Es importante tener en cuenta que algunos activos</w:t>
      </w:r>
      <w:r w:rsidR="0059553F" w:rsidRPr="00BE63E3">
        <w:rPr>
          <w:rFonts w:ascii="ITC Avant Garde" w:hAnsi="ITC Avant Garde"/>
          <w:lang w:val="es-MX"/>
        </w:rPr>
        <w:t xml:space="preserve"> de la red</w:t>
      </w:r>
      <w:r w:rsidRPr="00BE63E3">
        <w:rPr>
          <w:rFonts w:ascii="ITC Avant Garde" w:hAnsi="ITC Avant Garde"/>
          <w:lang w:val="es-MX"/>
        </w:rPr>
        <w:t>, como</w:t>
      </w:r>
      <w:r w:rsidR="0059553F" w:rsidRPr="00BE63E3">
        <w:rPr>
          <w:rFonts w:ascii="ITC Avant Garde" w:hAnsi="ITC Avant Garde"/>
          <w:lang w:val="es-MX"/>
        </w:rPr>
        <w:t xml:space="preserve"> por ejemplo</w:t>
      </w:r>
      <w:r w:rsidRPr="00BE63E3">
        <w:rPr>
          <w:rFonts w:ascii="ITC Avant Garde" w:hAnsi="ITC Avant Garde"/>
          <w:lang w:val="es-MX"/>
        </w:rPr>
        <w:t xml:space="preserve"> la parte de la </w:t>
      </w:r>
      <w:r w:rsidR="0059553F" w:rsidRPr="00BE63E3">
        <w:rPr>
          <w:rFonts w:ascii="ITC Avant Garde" w:hAnsi="ITC Avant Garde"/>
          <w:lang w:val="es-MX"/>
        </w:rPr>
        <w:t>acometida</w:t>
      </w:r>
      <w:r w:rsidRPr="00BE63E3">
        <w:rPr>
          <w:rFonts w:ascii="ITC Avant Garde" w:hAnsi="ITC Avant Garde"/>
          <w:lang w:val="es-MX"/>
        </w:rPr>
        <w:t xml:space="preserve"> implementada en el dominio privado, se pueden financiar por separado mediante cargos iniciales pagados por clientes finales que, por lo tanto, deben excluirse de la base de costos sujeta al cálculo de costos de servicios regulados. </w:t>
      </w:r>
    </w:p>
    <w:p w:rsidR="00C1352A" w:rsidRPr="00BE63E3" w:rsidRDefault="0059553F" w:rsidP="00C1352A">
      <w:pPr>
        <w:rPr>
          <w:rFonts w:ascii="ITC Avant Garde" w:hAnsi="ITC Avant Garde"/>
          <w:lang w:val="es-MX"/>
        </w:rPr>
      </w:pPr>
      <w:r w:rsidRPr="00BE63E3">
        <w:rPr>
          <w:rFonts w:ascii="ITC Avant Garde" w:hAnsi="ITC Avant Garde"/>
          <w:lang w:val="es-MX"/>
        </w:rPr>
        <w:t>Asimismo,</w:t>
      </w:r>
      <w:r w:rsidR="00C1352A" w:rsidRPr="00BE63E3">
        <w:rPr>
          <w:rFonts w:ascii="ITC Avant Garde" w:hAnsi="ITC Avant Garde"/>
          <w:lang w:val="es-MX"/>
        </w:rPr>
        <w:t xml:space="preserve"> el cableado interno, que es una red local dentro de un edificio o propiedad</w:t>
      </w:r>
      <w:r w:rsidRPr="00BE63E3">
        <w:rPr>
          <w:rFonts w:ascii="ITC Avant Garde" w:hAnsi="ITC Avant Garde"/>
          <w:lang w:val="es-MX"/>
        </w:rPr>
        <w:t xml:space="preserve"> </w:t>
      </w:r>
      <w:r w:rsidR="00C1352A" w:rsidRPr="00BE63E3">
        <w:rPr>
          <w:rFonts w:ascii="ITC Avant Garde" w:hAnsi="ITC Avant Garde"/>
          <w:lang w:val="es-MX"/>
        </w:rPr>
        <w:t>se excluye del modelo de costo.</w:t>
      </w:r>
    </w:p>
    <w:p w:rsidR="0059553F" w:rsidRPr="00BE63E3" w:rsidRDefault="0059553F" w:rsidP="00C1352A">
      <w:pPr>
        <w:rPr>
          <w:rFonts w:ascii="ITC Avant Garde" w:hAnsi="ITC Avant Garde"/>
          <w:lang w:val="es-MX"/>
        </w:rPr>
      </w:pPr>
    </w:p>
    <w:p w:rsidR="00C1352A" w:rsidRPr="00BE63E3" w:rsidRDefault="00C1352A" w:rsidP="003E59D9">
      <w:pPr>
        <w:pStyle w:val="Encadr3"/>
        <w:rPr>
          <w:rFonts w:ascii="ITC Avant Garde" w:hAnsi="ITC Avant Garde"/>
          <w:lang w:val="es-MX"/>
        </w:rPr>
      </w:pPr>
      <w:r w:rsidRPr="00BE63E3">
        <w:rPr>
          <w:rFonts w:ascii="ITC Avant Garde" w:hAnsi="ITC Avant Garde"/>
          <w:lang w:val="es-MX"/>
        </w:rPr>
        <w:t>Criterio 10: el alcance de la red de acceso modelad</w:t>
      </w:r>
      <w:r w:rsidR="0059553F" w:rsidRPr="00BE63E3">
        <w:rPr>
          <w:rFonts w:ascii="ITC Avant Garde" w:hAnsi="ITC Avant Garde"/>
          <w:lang w:val="es-MX"/>
        </w:rPr>
        <w:t>a</w:t>
      </w:r>
      <w:r w:rsidRPr="00BE63E3">
        <w:rPr>
          <w:rFonts w:ascii="ITC Avant Garde" w:hAnsi="ITC Avant Garde"/>
          <w:lang w:val="es-MX"/>
        </w:rPr>
        <w:t xml:space="preserve"> comienza en los nodos de acceso, donde la tarjeta de línea (desde el lado del cliente) es el límite, y termina en el NTP en las instalaciones del cliente final.</w:t>
      </w:r>
    </w:p>
    <w:p w:rsidR="00C1352A" w:rsidRPr="00BE63E3" w:rsidRDefault="00C1352A" w:rsidP="003E59D9">
      <w:pPr>
        <w:pStyle w:val="Encadr3"/>
        <w:rPr>
          <w:rFonts w:ascii="ITC Avant Garde" w:hAnsi="ITC Avant Garde"/>
          <w:lang w:val="es-MX"/>
        </w:rPr>
      </w:pPr>
      <w:r w:rsidRPr="00BE63E3">
        <w:rPr>
          <w:rFonts w:ascii="ITC Avant Garde" w:hAnsi="ITC Avant Garde"/>
          <w:lang w:val="es-MX"/>
        </w:rPr>
        <w:t>Más específicamente, la frontera entre las redes de acceso y núcleo es el equipo DSLAM</w:t>
      </w:r>
      <w:r w:rsidR="00875932">
        <w:rPr>
          <w:rFonts w:ascii="ITC Avant Garde" w:hAnsi="ITC Avant Garde"/>
          <w:lang w:val="es-MX"/>
        </w:rPr>
        <w:t>/</w:t>
      </w:r>
      <w:r w:rsidRPr="00BE63E3">
        <w:rPr>
          <w:rFonts w:ascii="ITC Avant Garde" w:hAnsi="ITC Avant Garde"/>
          <w:lang w:val="es-MX"/>
        </w:rPr>
        <w:t xml:space="preserve">OLT colocado en el nodo de acceso que se considera que pertenece a la red </w:t>
      </w:r>
      <w:r w:rsidR="0059553F" w:rsidRPr="00BE63E3">
        <w:rPr>
          <w:rFonts w:ascii="ITC Avant Garde" w:hAnsi="ITC Avant Garde"/>
          <w:lang w:val="es-MX"/>
        </w:rPr>
        <w:t xml:space="preserve">de </w:t>
      </w:r>
      <w:r w:rsidR="00F2544C" w:rsidRPr="00BE63E3">
        <w:rPr>
          <w:rFonts w:ascii="ITC Avant Garde" w:hAnsi="ITC Avant Garde"/>
          <w:lang w:val="es-MX"/>
        </w:rPr>
        <w:t>transporte</w:t>
      </w:r>
      <w:r w:rsidRPr="00BE63E3">
        <w:rPr>
          <w:rFonts w:ascii="ITC Avant Garde" w:hAnsi="ITC Avant Garde"/>
          <w:lang w:val="es-MX"/>
        </w:rPr>
        <w:t xml:space="preserve"> y se considera que todos los demás elementos pasivos del lado del client</w:t>
      </w:r>
      <w:r w:rsidR="00B929A7">
        <w:rPr>
          <w:rFonts w:ascii="ITC Avant Garde" w:hAnsi="ITC Avant Garde"/>
          <w:lang w:val="es-MX"/>
        </w:rPr>
        <w:t>e pertenecen a la red de acceso</w:t>
      </w:r>
      <w:r w:rsidRPr="00BE63E3">
        <w:rPr>
          <w:rFonts w:ascii="ITC Avant Garde" w:hAnsi="ITC Avant Garde"/>
          <w:lang w:val="es-MX"/>
        </w:rPr>
        <w:t>.</w:t>
      </w:r>
    </w:p>
    <w:p w:rsidR="00C1352A" w:rsidRPr="00BE63E3" w:rsidRDefault="00C1352A" w:rsidP="003E59D9">
      <w:pPr>
        <w:pStyle w:val="Encadr3"/>
        <w:rPr>
          <w:rFonts w:ascii="ITC Avant Garde" w:hAnsi="ITC Avant Garde"/>
          <w:lang w:val="es-MX"/>
        </w:rPr>
      </w:pPr>
      <w:r w:rsidRPr="00BE63E3">
        <w:rPr>
          <w:rFonts w:ascii="ITC Avant Garde" w:hAnsi="ITC Avant Garde"/>
          <w:lang w:val="es-MX"/>
        </w:rPr>
        <w:t xml:space="preserve">Con respecto a la </w:t>
      </w:r>
      <w:r w:rsidR="0059553F" w:rsidRPr="00BE63E3">
        <w:rPr>
          <w:rFonts w:ascii="ITC Avant Garde" w:hAnsi="ITC Avant Garde"/>
          <w:lang w:val="es-MX"/>
        </w:rPr>
        <w:t>acometida</w:t>
      </w:r>
      <w:r w:rsidRPr="00BE63E3">
        <w:rPr>
          <w:rFonts w:ascii="ITC Avant Garde" w:hAnsi="ITC Avant Garde"/>
          <w:lang w:val="es-MX"/>
        </w:rPr>
        <w:t>, este segmento de la red se tendrá en cuenta solo para las instalaciones conectadas</w:t>
      </w:r>
      <w:r w:rsidR="00210928" w:rsidRPr="00BE63E3">
        <w:rPr>
          <w:rFonts w:ascii="ITC Avant Garde" w:hAnsi="ITC Avant Garde"/>
          <w:lang w:val="es-MX"/>
        </w:rPr>
        <w:t>.</w:t>
      </w:r>
    </w:p>
    <w:p w:rsidR="00C1352A" w:rsidRPr="00BE63E3" w:rsidRDefault="00C1352A" w:rsidP="00C1352A">
      <w:pPr>
        <w:rPr>
          <w:rFonts w:ascii="ITC Avant Garde" w:hAnsi="ITC Avant Garde"/>
          <w:lang w:val="es-MX"/>
        </w:rPr>
      </w:pPr>
    </w:p>
    <w:p w:rsidR="003E59D9" w:rsidRPr="00BE63E3" w:rsidRDefault="003E59D9" w:rsidP="003E59D9">
      <w:pPr>
        <w:pStyle w:val="Ttulo3"/>
        <w:rPr>
          <w:rFonts w:ascii="ITC Avant Garde" w:hAnsi="ITC Avant Garde"/>
          <w:lang w:val="es-MX"/>
        </w:rPr>
      </w:pPr>
      <w:bookmarkStart w:id="103" w:name="_Toc525665270"/>
      <w:bookmarkStart w:id="104" w:name="_Toc525665649"/>
      <w:bookmarkStart w:id="105" w:name="_Toc526854350"/>
      <w:r w:rsidRPr="00BE63E3">
        <w:rPr>
          <w:rFonts w:ascii="ITC Avant Garde" w:hAnsi="ITC Avant Garde"/>
          <w:lang w:val="es-MX"/>
        </w:rPr>
        <w:lastRenderedPageBreak/>
        <w:t>Enfoque de modelado</w:t>
      </w:r>
      <w:bookmarkEnd w:id="103"/>
      <w:bookmarkEnd w:id="104"/>
      <w:bookmarkEnd w:id="105"/>
    </w:p>
    <w:p w:rsidR="003E59D9" w:rsidRPr="00BE63E3" w:rsidRDefault="003E59D9" w:rsidP="003E59D9">
      <w:pPr>
        <w:rPr>
          <w:rFonts w:ascii="ITC Avant Garde" w:hAnsi="ITC Avant Garde"/>
          <w:lang w:val="es-MX"/>
        </w:rPr>
      </w:pPr>
      <w:r w:rsidRPr="00BE63E3">
        <w:rPr>
          <w:rFonts w:ascii="ITC Avant Garde" w:hAnsi="ITC Avant Garde"/>
          <w:lang w:val="es-MX"/>
        </w:rPr>
        <w:t xml:space="preserve">Los modelos de costos de red de acceso son fundamentalmente diferentes de los modelos de costo de red de </w:t>
      </w:r>
      <w:r w:rsidR="0059553F" w:rsidRPr="00BE63E3">
        <w:rPr>
          <w:rFonts w:ascii="ITC Avant Garde" w:hAnsi="ITC Avant Garde"/>
          <w:lang w:val="es-MX"/>
        </w:rPr>
        <w:t>transporte</w:t>
      </w:r>
      <w:r w:rsidRPr="00BE63E3">
        <w:rPr>
          <w:rFonts w:ascii="ITC Avant Garde" w:hAnsi="ITC Avant Garde"/>
          <w:lang w:val="es-MX"/>
        </w:rPr>
        <w:t>. Esto se debe al hecho de que los activos pasivos son predominantes</w:t>
      </w:r>
      <w:r w:rsidR="0059553F" w:rsidRPr="00BE63E3">
        <w:rPr>
          <w:rFonts w:ascii="ITC Avant Garde" w:hAnsi="ITC Avant Garde"/>
          <w:lang w:val="es-MX"/>
        </w:rPr>
        <w:t xml:space="preserve">: </w:t>
      </w:r>
      <w:r w:rsidRPr="00BE63E3">
        <w:rPr>
          <w:rFonts w:ascii="ITC Avant Garde" w:hAnsi="ITC Avant Garde"/>
          <w:lang w:val="es-MX"/>
        </w:rPr>
        <w:t xml:space="preserve">los trabajos de ingeniería civil representan la gran mayoría de los costos y los volúmenes agregados de la red de acceso son comúnmente más grandes que la red </w:t>
      </w:r>
      <w:r w:rsidR="0059553F" w:rsidRPr="00BE63E3">
        <w:rPr>
          <w:rFonts w:ascii="ITC Avant Garde" w:hAnsi="ITC Avant Garde"/>
          <w:lang w:val="es-MX"/>
        </w:rPr>
        <w:t>de transporte</w:t>
      </w:r>
      <w:r w:rsidRPr="00BE63E3">
        <w:rPr>
          <w:rFonts w:ascii="ITC Avant Garde" w:hAnsi="ITC Avant Garde"/>
          <w:lang w:val="es-MX"/>
        </w:rPr>
        <w:t>.</w:t>
      </w:r>
    </w:p>
    <w:p w:rsidR="003E59D9" w:rsidRPr="00BE63E3" w:rsidRDefault="003E59D9" w:rsidP="003E59D9">
      <w:pPr>
        <w:rPr>
          <w:rFonts w:ascii="ITC Avant Garde" w:hAnsi="ITC Avant Garde"/>
          <w:lang w:val="es-MX"/>
        </w:rPr>
      </w:pPr>
      <w:r w:rsidRPr="00BE63E3">
        <w:rPr>
          <w:rFonts w:ascii="ITC Avant Garde" w:hAnsi="ITC Avant Garde"/>
          <w:lang w:val="es-MX"/>
        </w:rPr>
        <w:t>El enfoque de modelado generalmente debe reflejar especificidades clave de las redes de acceso:</w:t>
      </w:r>
    </w:p>
    <w:p w:rsidR="003E59D9" w:rsidRPr="00BE63E3" w:rsidRDefault="00546591" w:rsidP="00546591">
      <w:pPr>
        <w:pStyle w:val="Listaconvietas2"/>
        <w:rPr>
          <w:rFonts w:ascii="ITC Avant Garde" w:hAnsi="ITC Avant Garde"/>
          <w:lang w:val="es-MX"/>
        </w:rPr>
      </w:pPr>
      <w:r w:rsidRPr="00BE63E3">
        <w:rPr>
          <w:rFonts w:ascii="ITC Avant Garde" w:hAnsi="ITC Avant Garde"/>
          <w:lang w:val="es-MX"/>
        </w:rPr>
        <w:t>L</w:t>
      </w:r>
      <w:r w:rsidR="003E59D9" w:rsidRPr="00BE63E3">
        <w:rPr>
          <w:rFonts w:ascii="ITC Avant Garde" w:hAnsi="ITC Avant Garde"/>
          <w:lang w:val="es-MX"/>
        </w:rPr>
        <w:t xml:space="preserve">a demanda </w:t>
      </w:r>
      <w:r w:rsidRPr="00BE63E3">
        <w:rPr>
          <w:rFonts w:ascii="ITC Avant Garde" w:hAnsi="ITC Avant Garde"/>
          <w:lang w:val="es-MX"/>
        </w:rPr>
        <w:t xml:space="preserve">es el </w:t>
      </w:r>
      <w:r w:rsidR="00F2544C" w:rsidRPr="00BE63E3">
        <w:rPr>
          <w:rFonts w:ascii="ITC Avant Garde" w:hAnsi="ITC Avant Garde"/>
          <w:lang w:val="es-MX"/>
        </w:rPr>
        <w:t>número</w:t>
      </w:r>
      <w:r w:rsidRPr="00BE63E3">
        <w:rPr>
          <w:rFonts w:ascii="ITC Avant Garde" w:hAnsi="ITC Avant Garde"/>
          <w:lang w:val="es-MX"/>
        </w:rPr>
        <w:t xml:space="preserve"> de líneas a despl</w:t>
      </w:r>
      <w:r w:rsidR="00B471D2" w:rsidRPr="00BE63E3">
        <w:rPr>
          <w:rFonts w:ascii="ITC Avant Garde" w:hAnsi="ITC Avant Garde"/>
          <w:lang w:val="es-MX"/>
        </w:rPr>
        <w:t>egar</w:t>
      </w:r>
      <w:r w:rsidRPr="00BE63E3">
        <w:rPr>
          <w:rFonts w:ascii="ITC Avant Garde" w:hAnsi="ITC Avant Garde"/>
          <w:lang w:val="es-MX"/>
        </w:rPr>
        <w:t xml:space="preserve"> y no el </w:t>
      </w:r>
      <w:r w:rsidR="00F2544C" w:rsidRPr="00BE63E3">
        <w:rPr>
          <w:rFonts w:ascii="ITC Avant Garde" w:hAnsi="ITC Avant Garde"/>
          <w:lang w:val="es-MX"/>
        </w:rPr>
        <w:t>tráfico</w:t>
      </w:r>
      <w:r w:rsidRPr="00BE63E3">
        <w:rPr>
          <w:rFonts w:ascii="ITC Avant Garde" w:hAnsi="ITC Avant Garde"/>
          <w:lang w:val="es-MX"/>
        </w:rPr>
        <w:t xml:space="preserve"> generado por los usuarios</w:t>
      </w:r>
      <w:r w:rsidR="003E59D9" w:rsidRPr="00BE63E3">
        <w:rPr>
          <w:rFonts w:ascii="ITC Avant Garde" w:hAnsi="ITC Avant Garde"/>
          <w:lang w:val="es-MX"/>
        </w:rPr>
        <w:t>;</w:t>
      </w:r>
    </w:p>
    <w:p w:rsidR="003E59D9" w:rsidRPr="00BE63E3" w:rsidRDefault="003E59D9" w:rsidP="00546591">
      <w:pPr>
        <w:pStyle w:val="Listaconvietas2"/>
        <w:rPr>
          <w:rFonts w:ascii="ITC Avant Garde" w:hAnsi="ITC Avant Garde"/>
          <w:lang w:val="es-MX"/>
        </w:rPr>
      </w:pPr>
      <w:r w:rsidRPr="00BE63E3">
        <w:rPr>
          <w:rFonts w:ascii="ITC Avant Garde" w:hAnsi="ITC Avant Garde"/>
          <w:lang w:val="es-MX"/>
        </w:rPr>
        <w:t>Las redes siguen calles y caminos como las redes de distribución de electricidad;</w:t>
      </w:r>
    </w:p>
    <w:p w:rsidR="003E59D9" w:rsidRPr="00BE63E3" w:rsidRDefault="00546591" w:rsidP="00546591">
      <w:pPr>
        <w:pStyle w:val="Listaconvietas2"/>
        <w:rPr>
          <w:rFonts w:ascii="ITC Avant Garde" w:hAnsi="ITC Avant Garde"/>
          <w:lang w:val="es-MX"/>
        </w:rPr>
      </w:pPr>
      <w:r w:rsidRPr="00BE63E3">
        <w:rPr>
          <w:rFonts w:ascii="ITC Avant Garde" w:hAnsi="ITC Avant Garde"/>
          <w:lang w:val="es-MX"/>
        </w:rPr>
        <w:t>L</w:t>
      </w:r>
      <w:r w:rsidR="003E59D9" w:rsidRPr="00BE63E3">
        <w:rPr>
          <w:rFonts w:ascii="ITC Avant Garde" w:hAnsi="ITC Avant Garde"/>
          <w:lang w:val="es-MX"/>
        </w:rPr>
        <w:t>os costos de la red de acceso fijo consisten principalmente en:</w:t>
      </w:r>
    </w:p>
    <w:p w:rsidR="003E59D9" w:rsidRPr="00BE63E3" w:rsidRDefault="003E59D9" w:rsidP="00546591">
      <w:pPr>
        <w:pStyle w:val="Listaconvietas2"/>
        <w:numPr>
          <w:ilvl w:val="1"/>
          <w:numId w:val="1"/>
        </w:numPr>
        <w:rPr>
          <w:rFonts w:ascii="ITC Avant Garde" w:hAnsi="ITC Avant Garde"/>
          <w:lang w:val="es-MX"/>
        </w:rPr>
      </w:pPr>
      <w:r w:rsidRPr="00BE63E3">
        <w:rPr>
          <w:rFonts w:ascii="ITC Avant Garde" w:hAnsi="ITC Avant Garde"/>
          <w:lang w:val="es-MX"/>
        </w:rPr>
        <w:t xml:space="preserve">costos de ingeniería civil que dependen </w:t>
      </w:r>
      <w:r w:rsidR="00546591" w:rsidRPr="00BE63E3">
        <w:rPr>
          <w:rFonts w:ascii="ITC Avant Garde" w:hAnsi="ITC Avant Garde"/>
          <w:lang w:val="es-MX"/>
        </w:rPr>
        <w:t xml:space="preserve">en una cierta </w:t>
      </w:r>
      <w:r w:rsidR="00B471D2" w:rsidRPr="00BE63E3">
        <w:rPr>
          <w:rFonts w:ascii="ITC Avant Garde" w:hAnsi="ITC Avant Garde"/>
          <w:lang w:val="es-MX"/>
        </w:rPr>
        <w:t>medida</w:t>
      </w:r>
      <w:r w:rsidR="00546591" w:rsidRPr="00BE63E3">
        <w:rPr>
          <w:rFonts w:ascii="ITC Avant Garde" w:hAnsi="ITC Avant Garde"/>
          <w:lang w:val="es-MX"/>
        </w:rPr>
        <w:t xml:space="preserve"> de la longitud de calles</w:t>
      </w:r>
      <w:r w:rsidR="00875932">
        <w:rPr>
          <w:rFonts w:ascii="ITC Avant Garde" w:hAnsi="ITC Avant Garde"/>
          <w:lang w:val="es-MX"/>
        </w:rPr>
        <w:t>/</w:t>
      </w:r>
      <w:r w:rsidR="00546591" w:rsidRPr="00BE63E3">
        <w:rPr>
          <w:rFonts w:ascii="ITC Avant Garde" w:hAnsi="ITC Avant Garde"/>
          <w:lang w:val="es-MX"/>
        </w:rPr>
        <w:t>carreteras</w:t>
      </w:r>
      <w:r w:rsidRPr="00BE63E3">
        <w:rPr>
          <w:rFonts w:ascii="ITC Avant Garde" w:hAnsi="ITC Avant Garde"/>
          <w:lang w:val="es-MX"/>
        </w:rPr>
        <w:t xml:space="preserve"> </w:t>
      </w:r>
      <w:r w:rsidR="00546591" w:rsidRPr="00BE63E3">
        <w:rPr>
          <w:rFonts w:ascii="ITC Avant Garde" w:hAnsi="ITC Avant Garde"/>
          <w:lang w:val="es-MX"/>
        </w:rPr>
        <w:t xml:space="preserve">especificas a </w:t>
      </w:r>
      <w:r w:rsidR="00B471D2" w:rsidRPr="00BE63E3">
        <w:rPr>
          <w:rFonts w:ascii="ITC Avant Garde" w:hAnsi="ITC Avant Garde"/>
          <w:lang w:val="es-MX"/>
        </w:rPr>
        <w:t xml:space="preserve">cada </w:t>
      </w:r>
      <w:r w:rsidR="00F2544C" w:rsidRPr="00BE63E3">
        <w:rPr>
          <w:rFonts w:ascii="ITC Avant Garde" w:hAnsi="ITC Avant Garde"/>
          <w:lang w:val="es-MX"/>
        </w:rPr>
        <w:t>área</w:t>
      </w:r>
      <w:r w:rsidRPr="00BE63E3">
        <w:rPr>
          <w:rFonts w:ascii="ITC Avant Garde" w:hAnsi="ITC Avant Garde"/>
          <w:lang w:val="es-MX"/>
        </w:rPr>
        <w:t>;</w:t>
      </w:r>
    </w:p>
    <w:p w:rsidR="003E59D9" w:rsidRPr="00BE63E3" w:rsidRDefault="003E59D9" w:rsidP="00546591">
      <w:pPr>
        <w:pStyle w:val="Listaconvietas2"/>
        <w:numPr>
          <w:ilvl w:val="1"/>
          <w:numId w:val="1"/>
        </w:numPr>
        <w:rPr>
          <w:rFonts w:ascii="ITC Avant Garde" w:hAnsi="ITC Avant Garde"/>
          <w:lang w:val="es-MX"/>
        </w:rPr>
      </w:pPr>
      <w:r w:rsidRPr="00BE63E3">
        <w:rPr>
          <w:rFonts w:ascii="ITC Avant Garde" w:hAnsi="ITC Avant Garde"/>
          <w:lang w:val="es-MX"/>
        </w:rPr>
        <w:t>costos de cable que dependen</w:t>
      </w:r>
      <w:r w:rsidR="00546591" w:rsidRPr="00BE63E3">
        <w:rPr>
          <w:rFonts w:ascii="ITC Avant Garde" w:hAnsi="ITC Avant Garde"/>
          <w:lang w:val="es-MX"/>
        </w:rPr>
        <w:t>,</w:t>
      </w:r>
      <w:r w:rsidRPr="00BE63E3">
        <w:rPr>
          <w:rFonts w:ascii="ITC Avant Garde" w:hAnsi="ITC Avant Garde"/>
          <w:lang w:val="es-MX"/>
        </w:rPr>
        <w:t xml:space="preserve"> </w:t>
      </w:r>
      <w:r w:rsidR="00546591" w:rsidRPr="00BE63E3">
        <w:rPr>
          <w:rFonts w:ascii="ITC Avant Garde" w:hAnsi="ITC Avant Garde"/>
          <w:lang w:val="es-MX"/>
        </w:rPr>
        <w:t>en</w:t>
      </w:r>
      <w:r w:rsidRPr="00BE63E3">
        <w:rPr>
          <w:rFonts w:ascii="ITC Avant Garde" w:hAnsi="ITC Avant Garde"/>
          <w:lang w:val="es-MX"/>
        </w:rPr>
        <w:t xml:space="preserve"> un</w:t>
      </w:r>
      <w:r w:rsidR="00546591" w:rsidRPr="00BE63E3">
        <w:rPr>
          <w:rFonts w:ascii="ITC Avant Garde" w:hAnsi="ITC Avant Garde"/>
          <w:lang w:val="es-MX"/>
        </w:rPr>
        <w:t>a</w:t>
      </w:r>
      <w:r w:rsidRPr="00BE63E3">
        <w:rPr>
          <w:rFonts w:ascii="ITC Avant Garde" w:hAnsi="ITC Avant Garde"/>
          <w:lang w:val="es-MX"/>
        </w:rPr>
        <w:t xml:space="preserve"> </w:t>
      </w:r>
      <w:r w:rsidR="00546591" w:rsidRPr="00BE63E3">
        <w:rPr>
          <w:rFonts w:ascii="ITC Avant Garde" w:hAnsi="ITC Avant Garde"/>
          <w:lang w:val="es-MX"/>
        </w:rPr>
        <w:t xml:space="preserve">cierta </w:t>
      </w:r>
      <w:r w:rsidR="00B471D2" w:rsidRPr="00BE63E3">
        <w:rPr>
          <w:rFonts w:ascii="ITC Avant Garde" w:hAnsi="ITC Avant Garde"/>
          <w:lang w:val="es-MX"/>
        </w:rPr>
        <w:t>medida</w:t>
      </w:r>
      <w:r w:rsidR="00546591" w:rsidRPr="00BE63E3">
        <w:rPr>
          <w:rFonts w:ascii="ITC Avant Garde" w:hAnsi="ITC Avant Garde"/>
          <w:lang w:val="es-MX"/>
        </w:rPr>
        <w:t>,</w:t>
      </w:r>
      <w:r w:rsidRPr="00BE63E3">
        <w:rPr>
          <w:rFonts w:ascii="ITC Avant Garde" w:hAnsi="ITC Avant Garde"/>
          <w:lang w:val="es-MX"/>
        </w:rPr>
        <w:t xml:space="preserve"> </w:t>
      </w:r>
      <w:r w:rsidR="00546591" w:rsidRPr="00BE63E3">
        <w:rPr>
          <w:rFonts w:ascii="ITC Avant Garde" w:hAnsi="ITC Avant Garde"/>
          <w:lang w:val="es-MX"/>
        </w:rPr>
        <w:t>de</w:t>
      </w:r>
      <w:r w:rsidRPr="00BE63E3">
        <w:rPr>
          <w:rFonts w:ascii="ITC Avant Garde" w:hAnsi="ITC Avant Garde"/>
          <w:lang w:val="es-MX"/>
        </w:rPr>
        <w:t xml:space="preserve"> la longitud de calles</w:t>
      </w:r>
      <w:r w:rsidR="00875932">
        <w:rPr>
          <w:rFonts w:ascii="ITC Avant Garde" w:hAnsi="ITC Avant Garde"/>
          <w:lang w:val="es-MX"/>
        </w:rPr>
        <w:t>/</w:t>
      </w:r>
      <w:r w:rsidRPr="00BE63E3">
        <w:rPr>
          <w:rFonts w:ascii="ITC Avant Garde" w:hAnsi="ITC Avant Garde"/>
          <w:lang w:val="es-MX"/>
        </w:rPr>
        <w:t xml:space="preserve">carreteras y </w:t>
      </w:r>
      <w:r w:rsidR="00546591" w:rsidRPr="00BE63E3">
        <w:rPr>
          <w:rFonts w:ascii="ITC Avant Garde" w:hAnsi="ITC Avant Garde"/>
          <w:lang w:val="es-MX"/>
        </w:rPr>
        <w:t xml:space="preserve">de </w:t>
      </w:r>
      <w:r w:rsidRPr="00BE63E3">
        <w:rPr>
          <w:rFonts w:ascii="ITC Avant Garde" w:hAnsi="ITC Avant Garde"/>
          <w:lang w:val="es-MX"/>
        </w:rPr>
        <w:t>la cantidad de locales atendidos por los cables.</w:t>
      </w:r>
    </w:p>
    <w:p w:rsidR="003E59D9" w:rsidRPr="00BE63E3" w:rsidRDefault="003E59D9" w:rsidP="003E59D9">
      <w:pPr>
        <w:rPr>
          <w:rFonts w:ascii="ITC Avant Garde" w:hAnsi="ITC Avant Garde"/>
          <w:lang w:val="es-MX"/>
        </w:rPr>
      </w:pPr>
      <w:r w:rsidRPr="00BE63E3">
        <w:rPr>
          <w:rFonts w:ascii="ITC Avant Garde" w:hAnsi="ITC Avant Garde"/>
          <w:lang w:val="es-MX"/>
        </w:rPr>
        <w:t>En este contexto, modela</w:t>
      </w:r>
      <w:r w:rsidR="00546591" w:rsidRPr="00BE63E3">
        <w:rPr>
          <w:rFonts w:ascii="ITC Avant Garde" w:hAnsi="ITC Avant Garde"/>
          <w:lang w:val="es-MX"/>
        </w:rPr>
        <w:t>r</w:t>
      </w:r>
      <w:r w:rsidRPr="00BE63E3">
        <w:rPr>
          <w:rFonts w:ascii="ITC Avant Garde" w:hAnsi="ITC Avant Garde"/>
          <w:lang w:val="es-MX"/>
        </w:rPr>
        <w:t xml:space="preserve"> con precisión, </w:t>
      </w:r>
      <w:r w:rsidR="00546591" w:rsidRPr="00BE63E3">
        <w:rPr>
          <w:rFonts w:ascii="ITC Avant Garde" w:hAnsi="ITC Avant Garde"/>
          <w:lang w:val="es-MX"/>
        </w:rPr>
        <w:t xml:space="preserve">según un enfoque </w:t>
      </w:r>
      <w:proofErr w:type="spellStart"/>
      <w:r w:rsidR="00546591" w:rsidRPr="000406F8">
        <w:rPr>
          <w:rFonts w:ascii="ITC Avant Garde" w:hAnsi="ITC Avant Garde"/>
          <w:i/>
          <w:lang w:val="es-MX"/>
        </w:rPr>
        <w:t>Bottom</w:t>
      </w:r>
      <w:proofErr w:type="spellEnd"/>
      <w:r w:rsidR="00546591" w:rsidRPr="000406F8">
        <w:rPr>
          <w:rFonts w:ascii="ITC Avant Garde" w:hAnsi="ITC Avant Garde"/>
          <w:i/>
          <w:lang w:val="es-MX"/>
        </w:rPr>
        <w:t xml:space="preserve"> Up</w:t>
      </w:r>
      <w:r w:rsidRPr="00BE63E3">
        <w:rPr>
          <w:rFonts w:ascii="ITC Avant Garde" w:hAnsi="ITC Avant Garde"/>
          <w:lang w:val="es-MX"/>
        </w:rPr>
        <w:t>, los costos de la red de acceso requieren acceso a amplios</w:t>
      </w:r>
      <w:r w:rsidR="00546591" w:rsidRPr="00BE63E3">
        <w:rPr>
          <w:rFonts w:ascii="ITC Avant Garde" w:hAnsi="ITC Avant Garde"/>
          <w:lang w:val="es-MX"/>
        </w:rPr>
        <w:t xml:space="preserve"> bases de</w:t>
      </w:r>
      <w:r w:rsidRPr="00BE63E3">
        <w:rPr>
          <w:rFonts w:ascii="ITC Avant Garde" w:hAnsi="ITC Avant Garde"/>
          <w:lang w:val="es-MX"/>
        </w:rPr>
        <w:t xml:space="preserve"> datos geográficos y demográficos sobre la ubicación de las instalaciones y </w:t>
      </w:r>
      <w:r w:rsidR="00546591" w:rsidRPr="00BE63E3">
        <w:rPr>
          <w:rFonts w:ascii="ITC Avant Garde" w:hAnsi="ITC Avant Garde"/>
          <w:lang w:val="es-MX"/>
        </w:rPr>
        <w:t>sobre</w:t>
      </w:r>
      <w:r w:rsidRPr="00BE63E3">
        <w:rPr>
          <w:rFonts w:ascii="ITC Avant Garde" w:hAnsi="ITC Avant Garde"/>
          <w:lang w:val="es-MX"/>
        </w:rPr>
        <w:t xml:space="preserve"> las redes de carreteras y calles, llamados </w:t>
      </w:r>
      <w:proofErr w:type="spellStart"/>
      <w:r w:rsidRPr="00BE63E3">
        <w:rPr>
          <w:rFonts w:ascii="ITC Avant Garde" w:hAnsi="ITC Avant Garde"/>
          <w:lang w:val="es-MX"/>
        </w:rPr>
        <w:t>geodatos</w:t>
      </w:r>
      <w:proofErr w:type="spellEnd"/>
      <w:r w:rsidRPr="00BE63E3">
        <w:rPr>
          <w:rFonts w:ascii="ITC Avant Garde" w:hAnsi="ITC Avant Garde"/>
          <w:lang w:val="es-MX"/>
        </w:rPr>
        <w:t>.</w:t>
      </w:r>
    </w:p>
    <w:p w:rsidR="003E59D9" w:rsidRPr="00BE63E3" w:rsidRDefault="003E59D9" w:rsidP="003E59D9">
      <w:pPr>
        <w:rPr>
          <w:rFonts w:ascii="ITC Avant Garde" w:hAnsi="ITC Avant Garde"/>
          <w:lang w:val="es-MX"/>
        </w:rPr>
      </w:pPr>
      <w:r w:rsidRPr="00BE63E3">
        <w:rPr>
          <w:rFonts w:ascii="ITC Avant Garde" w:hAnsi="ITC Avant Garde"/>
          <w:lang w:val="es-MX"/>
        </w:rPr>
        <w:t>Dichos datos pueden usarse en un enfoque de muestreo</w:t>
      </w:r>
      <w:r w:rsidR="00875932">
        <w:rPr>
          <w:rFonts w:ascii="ITC Avant Garde" w:hAnsi="ITC Avant Garde"/>
          <w:lang w:val="es-MX"/>
        </w:rPr>
        <w:t>/</w:t>
      </w:r>
      <w:proofErr w:type="spellStart"/>
      <w:r w:rsidRPr="00BE63E3">
        <w:rPr>
          <w:rFonts w:ascii="ITC Avant Garde" w:hAnsi="ITC Avant Garde"/>
          <w:lang w:val="es-MX"/>
        </w:rPr>
        <w:t>geot</w:t>
      </w:r>
      <w:r w:rsidR="003A0FB4" w:rsidRPr="00BE63E3">
        <w:rPr>
          <w:rFonts w:ascii="ITC Avant Garde" w:hAnsi="ITC Avant Garde"/>
          <w:lang w:val="es-MX"/>
        </w:rPr>
        <w:t>yping</w:t>
      </w:r>
      <w:proofErr w:type="spellEnd"/>
      <w:r w:rsidR="00875932">
        <w:rPr>
          <w:rFonts w:ascii="ITC Avant Garde" w:hAnsi="ITC Avant Garde"/>
          <w:lang w:val="es-MX"/>
        </w:rPr>
        <w:t>/</w:t>
      </w:r>
      <w:r w:rsidRPr="00BE63E3">
        <w:rPr>
          <w:rFonts w:ascii="ITC Avant Garde" w:hAnsi="ITC Avant Garde"/>
          <w:lang w:val="es-MX"/>
        </w:rPr>
        <w:t>extrapolación por el cual los costos se calculan con precisión para las áreas de muestra y luego se extrapolan a la parte restante del país. Este fue el enfoque en los modelos anteriores</w:t>
      </w:r>
      <w:r w:rsidR="001716C2" w:rsidRPr="00BE63E3">
        <w:rPr>
          <w:rStyle w:val="Refdenotaalpie"/>
          <w:rFonts w:ascii="ITC Avant Garde" w:hAnsi="ITC Avant Garde"/>
          <w:lang w:val="es-MX"/>
        </w:rPr>
        <w:footnoteReference w:id="24"/>
      </w:r>
      <w:r w:rsidRPr="00BE63E3">
        <w:rPr>
          <w:rFonts w:ascii="ITC Avant Garde" w:hAnsi="ITC Avant Garde"/>
          <w:lang w:val="es-MX"/>
        </w:rPr>
        <w:t>.</w:t>
      </w:r>
    </w:p>
    <w:p w:rsidR="003E59D9" w:rsidRPr="00BE63E3" w:rsidRDefault="003E59D9" w:rsidP="003E59D9">
      <w:pPr>
        <w:rPr>
          <w:rFonts w:ascii="ITC Avant Garde" w:hAnsi="ITC Avant Garde"/>
          <w:lang w:val="es-MX"/>
        </w:rPr>
      </w:pPr>
      <w:r w:rsidRPr="00BE63E3">
        <w:rPr>
          <w:rFonts w:ascii="ITC Avant Garde" w:hAnsi="ITC Avant Garde"/>
          <w:lang w:val="es-MX"/>
        </w:rPr>
        <w:t xml:space="preserve">Dichos datos también se pueden usar para calcular los costos </w:t>
      </w:r>
      <w:r w:rsidR="00546591" w:rsidRPr="00BE63E3">
        <w:rPr>
          <w:rFonts w:ascii="ITC Avant Garde" w:hAnsi="ITC Avant Garde"/>
          <w:lang w:val="es-MX"/>
        </w:rPr>
        <w:t>asociados a</w:t>
      </w:r>
      <w:r w:rsidRPr="00BE63E3">
        <w:rPr>
          <w:rFonts w:ascii="ITC Avant Garde" w:hAnsi="ITC Avant Garde"/>
          <w:lang w:val="es-MX"/>
        </w:rPr>
        <w:t xml:space="preserve"> cada calle del país. Trabajar con datos a nivel de la calle o a nivel de sección</w:t>
      </w:r>
      <w:r w:rsidR="00546591" w:rsidRPr="00BE63E3">
        <w:rPr>
          <w:rFonts w:ascii="ITC Avant Garde" w:hAnsi="ITC Avant Garde"/>
          <w:lang w:val="es-MX"/>
        </w:rPr>
        <w:t xml:space="preserve"> </w:t>
      </w:r>
      <w:r w:rsidRPr="00BE63E3">
        <w:rPr>
          <w:rFonts w:ascii="ITC Avant Garde" w:hAnsi="ITC Avant Garde"/>
          <w:lang w:val="es-MX"/>
        </w:rPr>
        <w:t xml:space="preserve">proporciona mayor robustez y transparencia, y permite ajustes de eficiencia más robustos y objetivos en comparación con los métodos basados </w:t>
      </w:r>
      <w:r w:rsidRPr="00872052">
        <w:rPr>
          <w:rFonts w:cs="Arial"/>
          <w:lang w:val="es-MX"/>
        </w:rPr>
        <w:t>​​</w:t>
      </w:r>
      <w:r w:rsidRPr="00BE63E3">
        <w:rPr>
          <w:rFonts w:ascii="ITC Avant Garde" w:hAnsi="ITC Avant Garde"/>
          <w:lang w:val="es-MX"/>
        </w:rPr>
        <w:t>en muestras. La secci</w:t>
      </w:r>
      <w:r w:rsidRPr="00BE63E3">
        <w:rPr>
          <w:rFonts w:ascii="ITC Avant Garde" w:hAnsi="ITC Avant Garde" w:cs="ITC Avant Garde"/>
          <w:lang w:val="es-MX"/>
        </w:rPr>
        <w:t>ó</w:t>
      </w:r>
      <w:r w:rsidRPr="00BE63E3">
        <w:rPr>
          <w:rFonts w:ascii="ITC Avant Garde" w:hAnsi="ITC Avant Garde"/>
          <w:lang w:val="es-MX"/>
        </w:rPr>
        <w:t>n se refiere a todos los edificios de una carretera</w:t>
      </w:r>
      <w:r w:rsidR="00875932">
        <w:rPr>
          <w:rFonts w:ascii="ITC Avant Garde" w:hAnsi="ITC Avant Garde"/>
          <w:lang w:val="es-MX"/>
        </w:rPr>
        <w:t>/</w:t>
      </w:r>
      <w:r w:rsidRPr="00BE63E3">
        <w:rPr>
          <w:rFonts w:ascii="ITC Avant Garde" w:hAnsi="ITC Avant Garde"/>
          <w:lang w:val="es-MX"/>
        </w:rPr>
        <w:t xml:space="preserve">calle </w:t>
      </w:r>
      <w:r w:rsidR="00546591" w:rsidRPr="00BE63E3">
        <w:rPr>
          <w:rFonts w:ascii="ITC Avant Garde" w:hAnsi="ITC Avant Garde"/>
          <w:lang w:val="es-MX"/>
        </w:rPr>
        <w:t xml:space="preserve">ubicadas </w:t>
      </w:r>
      <w:r w:rsidRPr="00BE63E3">
        <w:rPr>
          <w:rFonts w:ascii="ITC Avant Garde" w:hAnsi="ITC Avant Garde"/>
          <w:lang w:val="es-MX"/>
        </w:rPr>
        <w:t>entre dos secciones transversales</w:t>
      </w:r>
      <w:r w:rsidR="00546591" w:rsidRPr="00BE63E3">
        <w:rPr>
          <w:rFonts w:ascii="ITC Avant Garde" w:hAnsi="ITC Avant Garde"/>
          <w:lang w:val="es-MX"/>
        </w:rPr>
        <w:t xml:space="preserve"> consecutivas</w:t>
      </w:r>
      <w:r w:rsidRPr="00BE63E3">
        <w:rPr>
          <w:rFonts w:ascii="ITC Avant Garde" w:hAnsi="ITC Avant Garde"/>
          <w:lang w:val="es-MX"/>
        </w:rPr>
        <w:t>, como se ilustra en la figura a continuación.</w:t>
      </w:r>
    </w:p>
    <w:p w:rsidR="003E59D9" w:rsidRPr="00BE63E3" w:rsidRDefault="003E59D9" w:rsidP="003E59D9">
      <w:pPr>
        <w:rPr>
          <w:rFonts w:ascii="ITC Avant Garde" w:hAnsi="ITC Avant Garde"/>
          <w:lang w:val="es-MX"/>
        </w:rPr>
      </w:pPr>
    </w:p>
    <w:p w:rsidR="003E59D9" w:rsidRPr="00BE63E3" w:rsidRDefault="003E59D9" w:rsidP="003E59D9">
      <w:pPr>
        <w:pStyle w:val="Descripcin"/>
        <w:keepNext/>
        <w:rPr>
          <w:rFonts w:ascii="ITC Avant Garde" w:hAnsi="ITC Avant Garde"/>
          <w:lang w:val="es-MX"/>
        </w:rPr>
      </w:pPr>
      <w:r w:rsidRPr="00BE63E3">
        <w:rPr>
          <w:rFonts w:ascii="ITC Avant Garde" w:hAnsi="ITC Avant Garde"/>
          <w:lang w:val="es-MX"/>
        </w:rPr>
        <w:lastRenderedPageBreak/>
        <w:t xml:space="preserve">Figura </w:t>
      </w:r>
      <w:r w:rsidR="00F90B7A">
        <w:rPr>
          <w:rFonts w:ascii="ITC Avant Garde" w:hAnsi="ITC Avant Garde"/>
          <w:lang w:val="es-MX"/>
        </w:rPr>
        <w:t>5</w:t>
      </w:r>
      <w:r w:rsidR="00F90B7A" w:rsidRPr="00BE63E3">
        <w:rPr>
          <w:rFonts w:ascii="ITC Avant Garde" w:hAnsi="ITC Avant Garde"/>
          <w:lang w:val="es-MX"/>
        </w:rPr>
        <w:t xml:space="preserve"> </w:t>
      </w:r>
      <w:r w:rsidRPr="00BE63E3">
        <w:rPr>
          <w:rFonts w:ascii="ITC Avant Garde" w:hAnsi="ITC Avant Garde"/>
          <w:lang w:val="es-MX"/>
        </w:rPr>
        <w:t xml:space="preserve">– </w:t>
      </w:r>
      <w:r w:rsidR="003A0FB4" w:rsidRPr="00BE63E3">
        <w:rPr>
          <w:rFonts w:ascii="ITC Avant Garde" w:hAnsi="ITC Avant Garde"/>
          <w:lang w:val="es-MX"/>
        </w:rPr>
        <w:t>Ilustración</w:t>
      </w:r>
      <w:r w:rsidRPr="00BE63E3">
        <w:rPr>
          <w:rFonts w:ascii="ITC Avant Garde" w:hAnsi="ITC Avant Garde"/>
          <w:lang w:val="es-MX"/>
        </w:rPr>
        <w:t xml:space="preserve"> de una sección </w:t>
      </w:r>
    </w:p>
    <w:p w:rsidR="003E59D9" w:rsidRPr="00872052" w:rsidRDefault="003E59D9" w:rsidP="003E59D9">
      <w:pPr>
        <w:jc w:val="center"/>
        <w:rPr>
          <w:rFonts w:ascii="ITC Avant Garde" w:hAnsi="ITC Avant Garde"/>
          <w:lang w:val="es-MX"/>
        </w:rPr>
      </w:pPr>
      <w:r w:rsidRPr="00872052">
        <w:rPr>
          <w:rStyle w:val="PrrafodelistaCar"/>
          <w:rFonts w:ascii="ITC Avant Garde" w:hAnsi="ITC Avant Garde" w:cs="Arial"/>
          <w:noProof/>
          <w:lang w:val="es-MX" w:eastAsia="es-MX"/>
        </w:rPr>
        <w:drawing>
          <wp:inline distT="0" distB="0" distL="0" distR="0" wp14:anchorId="05439DC5" wp14:editId="0E0839F4">
            <wp:extent cx="3491011" cy="2107692"/>
            <wp:effectExtent l="0" t="0" r="0" b="698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9253" cy="2118706"/>
                    </a:xfrm>
                    <a:prstGeom prst="rect">
                      <a:avLst/>
                    </a:prstGeom>
                    <a:noFill/>
                  </pic:spPr>
                </pic:pic>
              </a:graphicData>
            </a:graphic>
          </wp:inline>
        </w:drawing>
      </w:r>
    </w:p>
    <w:p w:rsidR="003E59D9" w:rsidRPr="00872052" w:rsidRDefault="003E59D9" w:rsidP="003E59D9">
      <w:pPr>
        <w:rPr>
          <w:rFonts w:ascii="ITC Avant Garde" w:hAnsi="ITC Avant Garde"/>
          <w:lang w:val="es-MX"/>
        </w:rPr>
      </w:pPr>
    </w:p>
    <w:p w:rsidR="003E59D9" w:rsidRPr="00BE63E3" w:rsidRDefault="003E59D9" w:rsidP="003E59D9">
      <w:pPr>
        <w:rPr>
          <w:rFonts w:ascii="ITC Avant Garde" w:hAnsi="ITC Avant Garde"/>
          <w:lang w:val="es-MX"/>
        </w:rPr>
      </w:pPr>
      <w:r w:rsidRPr="00BE63E3">
        <w:rPr>
          <w:rFonts w:ascii="ITC Avant Garde" w:hAnsi="ITC Avant Garde"/>
          <w:lang w:val="es-MX"/>
        </w:rPr>
        <w:t>Además, trabajar en el nivel de la sección permite realizar anális</w:t>
      </w:r>
      <w:r w:rsidR="00446220" w:rsidRPr="00BE63E3">
        <w:rPr>
          <w:rFonts w:ascii="ITC Avant Garde" w:hAnsi="ITC Avant Garde"/>
          <w:lang w:val="es-MX"/>
        </w:rPr>
        <w:t>i</w:t>
      </w:r>
      <w:r w:rsidRPr="00BE63E3">
        <w:rPr>
          <w:rFonts w:ascii="ITC Avant Garde" w:hAnsi="ITC Avant Garde"/>
          <w:lang w:val="es-MX"/>
        </w:rPr>
        <w:t xml:space="preserve">s </w:t>
      </w:r>
      <w:r w:rsidRPr="00872052">
        <w:rPr>
          <w:rFonts w:ascii="ITC Avant Garde" w:hAnsi="ITC Avant Garde"/>
          <w:lang w:val="es-MX"/>
        </w:rPr>
        <w:t>sub</w:t>
      </w:r>
      <w:r w:rsidR="009533FA">
        <w:rPr>
          <w:rFonts w:ascii="ITC Avant Garde" w:hAnsi="ITC Avant Garde"/>
          <w:lang w:val="es-MX"/>
        </w:rPr>
        <w:t>-</w:t>
      </w:r>
      <w:r w:rsidRPr="00872052">
        <w:rPr>
          <w:rFonts w:ascii="ITC Avant Garde" w:hAnsi="ITC Avant Garde"/>
          <w:lang w:val="es-MX"/>
        </w:rPr>
        <w:t>nacional</w:t>
      </w:r>
      <w:r w:rsidR="00546591" w:rsidRPr="00872052">
        <w:rPr>
          <w:rFonts w:ascii="ITC Avant Garde" w:hAnsi="ITC Avant Garde"/>
          <w:lang w:val="es-MX"/>
        </w:rPr>
        <w:t>es</w:t>
      </w:r>
      <w:r w:rsidRPr="00BE63E3">
        <w:rPr>
          <w:rFonts w:ascii="ITC Avant Garde" w:hAnsi="ITC Avant Garde"/>
          <w:lang w:val="es-MX"/>
        </w:rPr>
        <w:t xml:space="preserve"> de los costos de manera precisa y flexible. Esto permite derivar precios promediados, o precios basados </w:t>
      </w:r>
      <w:r w:rsidRPr="00872052">
        <w:rPr>
          <w:rFonts w:cs="Arial"/>
          <w:lang w:val="es-MX"/>
        </w:rPr>
        <w:t>​​</w:t>
      </w:r>
      <w:r w:rsidRPr="00BE63E3">
        <w:rPr>
          <w:rFonts w:ascii="ITC Avant Garde" w:hAnsi="ITC Avant Garde"/>
          <w:lang w:val="es-MX"/>
        </w:rPr>
        <w:t xml:space="preserve">en una huella limitada. </w:t>
      </w:r>
    </w:p>
    <w:p w:rsidR="003E59D9" w:rsidRPr="00BE63E3" w:rsidRDefault="003E59D9" w:rsidP="003E59D9">
      <w:pPr>
        <w:rPr>
          <w:rFonts w:ascii="ITC Avant Garde" w:hAnsi="ITC Avant Garde"/>
          <w:lang w:val="es-MX"/>
        </w:rPr>
      </w:pPr>
      <w:r w:rsidRPr="00BE63E3">
        <w:rPr>
          <w:rFonts w:ascii="ITC Avant Garde" w:hAnsi="ITC Avant Garde"/>
          <w:lang w:val="es-MX"/>
        </w:rPr>
        <w:t>Sin embargo, e</w:t>
      </w:r>
      <w:r w:rsidR="00546591" w:rsidRPr="00BE63E3">
        <w:rPr>
          <w:rFonts w:ascii="ITC Avant Garde" w:hAnsi="ITC Avant Garde"/>
          <w:lang w:val="es-MX"/>
        </w:rPr>
        <w:t>ste</w:t>
      </w:r>
      <w:r w:rsidRPr="00BE63E3">
        <w:rPr>
          <w:rFonts w:ascii="ITC Avant Garde" w:hAnsi="ITC Avant Garde"/>
          <w:lang w:val="es-MX"/>
        </w:rPr>
        <w:t xml:space="preserve"> enfoque está sujeto a la disponibilidad de datos completos y al mismo nivel de granularidad (</w:t>
      </w:r>
      <w:r w:rsidR="00546591" w:rsidRPr="00BE63E3">
        <w:rPr>
          <w:rFonts w:ascii="ITC Avant Garde" w:hAnsi="ITC Avant Garde"/>
          <w:lang w:val="es-MX"/>
        </w:rPr>
        <w:t>al nivel</w:t>
      </w:r>
      <w:r w:rsidRPr="00BE63E3">
        <w:rPr>
          <w:rFonts w:ascii="ITC Avant Garde" w:hAnsi="ITC Avant Garde"/>
          <w:lang w:val="es-MX"/>
        </w:rPr>
        <w:t xml:space="preserve"> de </w:t>
      </w:r>
      <w:r w:rsidR="00546591" w:rsidRPr="00BE63E3">
        <w:rPr>
          <w:rFonts w:ascii="ITC Avant Garde" w:hAnsi="ITC Avant Garde"/>
          <w:lang w:val="es-MX"/>
        </w:rPr>
        <w:t>calles</w:t>
      </w:r>
      <w:r w:rsidRPr="00BE63E3">
        <w:rPr>
          <w:rFonts w:ascii="ITC Avant Garde" w:hAnsi="ITC Avant Garde"/>
          <w:lang w:val="es-MX"/>
        </w:rPr>
        <w:t>).</w:t>
      </w:r>
    </w:p>
    <w:p w:rsidR="003E59D9" w:rsidRPr="00BE63E3" w:rsidRDefault="003E59D9" w:rsidP="003E59D9">
      <w:pPr>
        <w:rPr>
          <w:rFonts w:ascii="ITC Avant Garde" w:hAnsi="ITC Avant Garde"/>
          <w:lang w:val="es-MX"/>
        </w:rPr>
      </w:pPr>
      <w:r w:rsidRPr="00BE63E3">
        <w:rPr>
          <w:rFonts w:ascii="ITC Avant Garde" w:hAnsi="ITC Avant Garde"/>
          <w:lang w:val="es-MX"/>
        </w:rPr>
        <w:t xml:space="preserve">La información </w:t>
      </w:r>
      <w:r w:rsidR="004C5CB3">
        <w:rPr>
          <w:rFonts w:ascii="ITC Avant Garde" w:hAnsi="ITC Avant Garde"/>
          <w:lang w:val="es-MX"/>
        </w:rPr>
        <w:t>obtenida</w:t>
      </w:r>
      <w:r w:rsidRPr="00872052">
        <w:rPr>
          <w:rFonts w:ascii="ITC Avant Garde" w:hAnsi="ITC Avant Garde"/>
          <w:lang w:val="es-MX"/>
        </w:rPr>
        <w:t xml:space="preserve"> </w:t>
      </w:r>
      <w:r w:rsidR="004C5CB3">
        <w:rPr>
          <w:rFonts w:ascii="ITC Avant Garde" w:hAnsi="ITC Avant Garde"/>
          <w:lang w:val="es-MX"/>
        </w:rPr>
        <w:t>del</w:t>
      </w:r>
      <w:r w:rsidRPr="00BE63E3">
        <w:rPr>
          <w:rFonts w:ascii="ITC Avant Garde" w:hAnsi="ITC Avant Garde"/>
          <w:lang w:val="es-MX"/>
        </w:rPr>
        <w:t xml:space="preserve"> INEGI </w:t>
      </w:r>
      <w:r w:rsidR="00546591" w:rsidRPr="00BE63E3">
        <w:rPr>
          <w:rFonts w:ascii="ITC Avant Garde" w:hAnsi="ITC Avant Garde"/>
          <w:lang w:val="es-MX"/>
        </w:rPr>
        <w:t xml:space="preserve">permitió </w:t>
      </w:r>
      <w:r w:rsidR="001716C2" w:rsidRPr="00BE63E3">
        <w:rPr>
          <w:rFonts w:ascii="ITC Avant Garde" w:hAnsi="ITC Avant Garde"/>
          <w:lang w:val="es-MX"/>
        </w:rPr>
        <w:t xml:space="preserve">derivar </w:t>
      </w:r>
      <w:r w:rsidRPr="00BE63E3">
        <w:rPr>
          <w:rFonts w:ascii="ITC Avant Garde" w:hAnsi="ITC Avant Garde"/>
          <w:lang w:val="es-MX"/>
        </w:rPr>
        <w:t xml:space="preserve">todos los datos requeridos para el análisis </w:t>
      </w:r>
      <w:proofErr w:type="spellStart"/>
      <w:r w:rsidRPr="00BE63E3">
        <w:rPr>
          <w:rFonts w:ascii="ITC Avant Garde" w:hAnsi="ITC Avant Garde"/>
          <w:lang w:val="es-MX"/>
        </w:rPr>
        <w:t>geomarketing</w:t>
      </w:r>
      <w:proofErr w:type="spellEnd"/>
      <w:r w:rsidRPr="00BE63E3">
        <w:rPr>
          <w:rFonts w:ascii="ITC Avant Garde" w:hAnsi="ITC Avant Garde"/>
          <w:lang w:val="es-MX"/>
        </w:rPr>
        <w:t xml:space="preserve">, </w:t>
      </w:r>
      <w:r w:rsidR="001716C2" w:rsidRPr="00BE63E3">
        <w:rPr>
          <w:rFonts w:ascii="ITC Avant Garde" w:hAnsi="ITC Avant Garde"/>
          <w:lang w:val="es-MX"/>
        </w:rPr>
        <w:t>considerando</w:t>
      </w:r>
      <w:r w:rsidRPr="00BE63E3">
        <w:rPr>
          <w:rFonts w:ascii="ITC Avant Garde" w:hAnsi="ITC Avant Garde"/>
          <w:lang w:val="es-MX"/>
        </w:rPr>
        <w:t xml:space="preserve"> algunas suposiciones adicionales para algunas áreas.</w:t>
      </w:r>
    </w:p>
    <w:p w:rsidR="001716C2" w:rsidRPr="00BE63E3" w:rsidRDefault="001716C2" w:rsidP="003E59D9">
      <w:pPr>
        <w:rPr>
          <w:rFonts w:ascii="ITC Avant Garde" w:hAnsi="ITC Avant Garde"/>
          <w:lang w:val="es-MX"/>
        </w:rPr>
      </w:pPr>
    </w:p>
    <w:p w:rsidR="003E59D9" w:rsidRPr="00BE63E3" w:rsidRDefault="003E59D9" w:rsidP="00A11503">
      <w:pPr>
        <w:pStyle w:val="Encadr3"/>
        <w:rPr>
          <w:rFonts w:ascii="ITC Avant Garde" w:hAnsi="ITC Avant Garde"/>
          <w:lang w:val="es-MX"/>
        </w:rPr>
      </w:pPr>
      <w:r w:rsidRPr="00BE63E3">
        <w:rPr>
          <w:rFonts w:ascii="ITC Avant Garde" w:hAnsi="ITC Avant Garde"/>
          <w:lang w:val="es-MX"/>
        </w:rPr>
        <w:t xml:space="preserve">Criterio 11: El enfoque </w:t>
      </w:r>
      <w:r w:rsidR="001716C2" w:rsidRPr="00BE63E3">
        <w:rPr>
          <w:rFonts w:ascii="ITC Avant Garde" w:hAnsi="ITC Avant Garde"/>
          <w:lang w:val="es-MX"/>
        </w:rPr>
        <w:t>de modelado</w:t>
      </w:r>
      <w:r w:rsidRPr="00BE63E3">
        <w:rPr>
          <w:rFonts w:ascii="ITC Avant Garde" w:hAnsi="ITC Avant Garde"/>
          <w:lang w:val="es-MX"/>
        </w:rPr>
        <w:t xml:space="preserve"> consiste en dimensionar los activos de la red de acceso a nivel de sección (es decir, cada segmento de carretera entre dos intersecciones).</w:t>
      </w:r>
    </w:p>
    <w:p w:rsidR="003E59D9" w:rsidRPr="00BE63E3" w:rsidRDefault="003E59D9" w:rsidP="003E59D9">
      <w:pPr>
        <w:rPr>
          <w:rFonts w:ascii="ITC Avant Garde" w:hAnsi="ITC Avant Garde"/>
          <w:lang w:val="es-MX"/>
        </w:rPr>
      </w:pPr>
    </w:p>
    <w:p w:rsidR="003E59D9" w:rsidRPr="00BE63E3" w:rsidRDefault="003E59D9" w:rsidP="003E59D9">
      <w:pPr>
        <w:rPr>
          <w:rFonts w:ascii="ITC Avant Garde" w:hAnsi="ITC Avant Garde"/>
          <w:lang w:val="es-MX"/>
        </w:rPr>
      </w:pPr>
      <w:r w:rsidRPr="00BE63E3">
        <w:rPr>
          <w:rFonts w:ascii="ITC Avant Garde" w:hAnsi="ITC Avant Garde"/>
          <w:lang w:val="es-MX"/>
        </w:rPr>
        <w:t>El cálculo de los costos unitarios de los servicios admitidos por la red de acceso fijo generalmente se realiza en tres fases:</w:t>
      </w:r>
    </w:p>
    <w:p w:rsidR="003E59D9" w:rsidRPr="00BE63E3" w:rsidRDefault="003E59D9" w:rsidP="001716C2">
      <w:pPr>
        <w:pStyle w:val="Listaconvietas2"/>
        <w:rPr>
          <w:rFonts w:ascii="ITC Avant Garde" w:hAnsi="ITC Avant Garde"/>
          <w:lang w:val="es-MX"/>
        </w:rPr>
      </w:pPr>
      <w:r w:rsidRPr="00BE63E3">
        <w:rPr>
          <w:rFonts w:ascii="ITC Avant Garde" w:hAnsi="ITC Avant Garde"/>
          <w:lang w:val="es-MX"/>
        </w:rPr>
        <w:t>Dimensionar la red, es decir, modelar el inventario de la red (equipos e infraestructura);</w:t>
      </w:r>
    </w:p>
    <w:p w:rsidR="003E59D9" w:rsidRPr="00BE63E3" w:rsidRDefault="001716C2" w:rsidP="001716C2">
      <w:pPr>
        <w:pStyle w:val="Listaconvietas2"/>
        <w:rPr>
          <w:rFonts w:ascii="ITC Avant Garde" w:hAnsi="ITC Avant Garde"/>
          <w:lang w:val="es-MX"/>
        </w:rPr>
      </w:pPr>
      <w:r w:rsidRPr="00BE63E3">
        <w:rPr>
          <w:rFonts w:ascii="ITC Avant Garde" w:hAnsi="ITC Avant Garde"/>
          <w:lang w:val="es-MX"/>
        </w:rPr>
        <w:t>Evaluar los costos</w:t>
      </w:r>
      <w:r w:rsidR="003E59D9" w:rsidRPr="00BE63E3">
        <w:rPr>
          <w:rFonts w:ascii="ITC Avant Garde" w:hAnsi="ITC Avant Garde"/>
          <w:lang w:val="es-MX"/>
        </w:rPr>
        <w:t xml:space="preserve"> de la red, es decir, derivar los costos de la red de su inventario;</w:t>
      </w:r>
    </w:p>
    <w:p w:rsidR="003E59D9" w:rsidRPr="00BE63E3" w:rsidRDefault="003E59D9" w:rsidP="001716C2">
      <w:pPr>
        <w:pStyle w:val="Listaconvietas2"/>
        <w:rPr>
          <w:rFonts w:ascii="ITC Avant Garde" w:hAnsi="ITC Avant Garde"/>
          <w:lang w:val="es-MX"/>
        </w:rPr>
      </w:pPr>
      <w:r w:rsidRPr="00BE63E3">
        <w:rPr>
          <w:rFonts w:ascii="ITC Avant Garde" w:hAnsi="ITC Avant Garde"/>
          <w:lang w:val="es-MX"/>
        </w:rPr>
        <w:t>Calcular los costos unitarios de los servicios, dividiendo los costos totales por la demanda relevante que los costos deberían recuperar.</w:t>
      </w:r>
    </w:p>
    <w:p w:rsidR="003E59D9" w:rsidRPr="00BE63E3" w:rsidRDefault="003E59D9" w:rsidP="003E59D9">
      <w:pPr>
        <w:rPr>
          <w:rFonts w:ascii="ITC Avant Garde" w:hAnsi="ITC Avant Garde"/>
          <w:lang w:val="es-MX"/>
        </w:rPr>
      </w:pPr>
      <w:r w:rsidRPr="00BE63E3">
        <w:rPr>
          <w:rFonts w:ascii="ITC Avant Garde" w:hAnsi="ITC Avant Garde"/>
          <w:lang w:val="es-MX"/>
        </w:rPr>
        <w:t xml:space="preserve">En la sección </w:t>
      </w:r>
      <w:r w:rsidR="001716C2" w:rsidRPr="00BE63E3">
        <w:rPr>
          <w:rFonts w:ascii="ITC Avant Garde" w:hAnsi="ITC Avant Garde"/>
          <w:lang w:val="es-MX"/>
        </w:rPr>
        <w:t>2.</w:t>
      </w:r>
      <w:r w:rsidRPr="00BE63E3">
        <w:rPr>
          <w:rFonts w:ascii="ITC Avant Garde" w:hAnsi="ITC Avant Garde"/>
          <w:lang w:val="es-MX"/>
        </w:rPr>
        <w:t xml:space="preserve">4 se abordan los costos de la red y los costos unitarios. Con referencia a la fase de dimensionamiento de la red y considerando el alcance de la red de acceso, el punto de partida es </w:t>
      </w:r>
      <w:r w:rsidR="001716C2" w:rsidRPr="00BE63E3">
        <w:rPr>
          <w:rFonts w:ascii="ITC Avant Garde" w:hAnsi="ITC Avant Garde"/>
          <w:lang w:val="es-MX"/>
        </w:rPr>
        <w:t xml:space="preserve">de un lado </w:t>
      </w:r>
      <w:r w:rsidRPr="00BE63E3">
        <w:rPr>
          <w:rFonts w:ascii="ITC Avant Garde" w:hAnsi="ITC Avant Garde"/>
          <w:lang w:val="es-MX"/>
        </w:rPr>
        <w:t xml:space="preserve">el conjunto de ubicaciones de nodos de acceso y </w:t>
      </w:r>
      <w:r w:rsidR="001716C2" w:rsidRPr="00BE63E3">
        <w:rPr>
          <w:rFonts w:ascii="ITC Avant Garde" w:hAnsi="ITC Avant Garde"/>
          <w:lang w:val="es-MX"/>
        </w:rPr>
        <w:t>del</w:t>
      </w:r>
      <w:r w:rsidRPr="00BE63E3">
        <w:rPr>
          <w:rFonts w:ascii="ITC Avant Garde" w:hAnsi="ITC Avant Garde"/>
          <w:lang w:val="es-MX"/>
        </w:rPr>
        <w:t xml:space="preserve"> otro lado, el conjunto de ubicaciones de las instalaciones del usuario final:</w:t>
      </w:r>
    </w:p>
    <w:p w:rsidR="003E59D9" w:rsidRPr="00BE63E3" w:rsidRDefault="003E59D9" w:rsidP="001716C2">
      <w:pPr>
        <w:pStyle w:val="Listaconvietas2"/>
        <w:rPr>
          <w:rFonts w:ascii="ITC Avant Garde" w:hAnsi="ITC Avant Garde"/>
          <w:lang w:val="es-MX"/>
        </w:rPr>
      </w:pPr>
      <w:r w:rsidRPr="00BE63E3">
        <w:rPr>
          <w:rFonts w:ascii="ITC Avant Garde" w:hAnsi="ITC Avant Garde"/>
          <w:lang w:val="es-MX"/>
        </w:rPr>
        <w:lastRenderedPageBreak/>
        <w:t>Las ubicaciones de</w:t>
      </w:r>
      <w:r w:rsidR="001716C2" w:rsidRPr="00BE63E3">
        <w:rPr>
          <w:rFonts w:ascii="ITC Avant Garde" w:hAnsi="ITC Avant Garde"/>
          <w:lang w:val="es-MX"/>
        </w:rPr>
        <w:t xml:space="preserve"> </w:t>
      </w:r>
      <w:r w:rsidRPr="00BE63E3">
        <w:rPr>
          <w:rFonts w:ascii="ITC Avant Garde" w:hAnsi="ITC Avant Garde"/>
          <w:lang w:val="es-MX"/>
        </w:rPr>
        <w:t>l</w:t>
      </w:r>
      <w:r w:rsidR="001716C2" w:rsidRPr="00BE63E3">
        <w:rPr>
          <w:rFonts w:ascii="ITC Avant Garde" w:hAnsi="ITC Avant Garde"/>
          <w:lang w:val="es-MX"/>
        </w:rPr>
        <w:t>os</w:t>
      </w:r>
      <w:r w:rsidRPr="00BE63E3">
        <w:rPr>
          <w:rFonts w:ascii="ITC Avant Garde" w:hAnsi="ITC Avant Garde"/>
          <w:lang w:val="es-MX"/>
        </w:rPr>
        <w:t xml:space="preserve"> nodo</w:t>
      </w:r>
      <w:r w:rsidR="001716C2" w:rsidRPr="00BE63E3">
        <w:rPr>
          <w:rFonts w:ascii="ITC Avant Garde" w:hAnsi="ITC Avant Garde"/>
          <w:lang w:val="es-MX"/>
        </w:rPr>
        <w:t>s</w:t>
      </w:r>
      <w:r w:rsidRPr="00BE63E3">
        <w:rPr>
          <w:rFonts w:ascii="ITC Avant Garde" w:hAnsi="ITC Avant Garde"/>
          <w:lang w:val="es-MX"/>
        </w:rPr>
        <w:t xml:space="preserve"> de acceso </w:t>
      </w:r>
      <w:r w:rsidR="001716C2" w:rsidRPr="00BE63E3">
        <w:rPr>
          <w:rFonts w:ascii="ITC Avant Garde" w:hAnsi="ITC Avant Garde"/>
          <w:lang w:val="es-MX"/>
        </w:rPr>
        <w:t xml:space="preserve">se </w:t>
      </w:r>
      <w:r w:rsidR="00F2544C" w:rsidRPr="00BE63E3">
        <w:rPr>
          <w:rFonts w:ascii="ITC Avant Garde" w:hAnsi="ITC Avant Garde"/>
          <w:lang w:val="es-MX"/>
        </w:rPr>
        <w:t>obtienen</w:t>
      </w:r>
      <w:r w:rsidR="001716C2" w:rsidRPr="00BE63E3">
        <w:rPr>
          <w:rFonts w:ascii="ITC Avant Garde" w:hAnsi="ITC Avant Garde"/>
          <w:lang w:val="es-MX"/>
        </w:rPr>
        <w:t xml:space="preserve"> de acuerdo con el enfoque </w:t>
      </w:r>
      <w:proofErr w:type="spellStart"/>
      <w:r w:rsidR="001716C2" w:rsidRPr="00BE63E3">
        <w:rPr>
          <w:rFonts w:ascii="ITC Avant Garde" w:hAnsi="ITC Avant Garde"/>
          <w:lang w:val="es-MX"/>
        </w:rPr>
        <w:t>Scorched</w:t>
      </w:r>
      <w:proofErr w:type="spellEnd"/>
      <w:r w:rsidR="001716C2" w:rsidRPr="00BE63E3">
        <w:rPr>
          <w:rFonts w:ascii="ITC Avant Garde" w:hAnsi="ITC Avant Garde"/>
          <w:lang w:val="es-MX"/>
        </w:rPr>
        <w:t xml:space="preserve"> </w:t>
      </w:r>
      <w:proofErr w:type="spellStart"/>
      <w:r w:rsidR="001716C2" w:rsidRPr="00BE63E3">
        <w:rPr>
          <w:rFonts w:ascii="ITC Avant Garde" w:hAnsi="ITC Avant Garde"/>
          <w:lang w:val="es-MX"/>
        </w:rPr>
        <w:t>Node</w:t>
      </w:r>
      <w:proofErr w:type="spellEnd"/>
      <w:r w:rsidR="001716C2" w:rsidRPr="00BE63E3">
        <w:rPr>
          <w:rFonts w:ascii="ITC Avant Garde" w:hAnsi="ITC Avant Garde"/>
          <w:lang w:val="es-MX"/>
        </w:rPr>
        <w:t xml:space="preserve"> modificado</w:t>
      </w:r>
      <w:r w:rsidRPr="00BE63E3">
        <w:rPr>
          <w:rFonts w:ascii="ITC Avant Garde" w:hAnsi="ITC Avant Garde"/>
          <w:lang w:val="es-MX"/>
        </w:rPr>
        <w:t>;</w:t>
      </w:r>
    </w:p>
    <w:p w:rsidR="003E59D9" w:rsidRPr="00BE63E3" w:rsidRDefault="003E59D9" w:rsidP="001716C2">
      <w:pPr>
        <w:pStyle w:val="Listaconvietas2"/>
        <w:rPr>
          <w:rFonts w:ascii="ITC Avant Garde" w:hAnsi="ITC Avant Garde"/>
          <w:lang w:val="es-MX"/>
        </w:rPr>
      </w:pPr>
      <w:r w:rsidRPr="00BE63E3">
        <w:rPr>
          <w:rFonts w:ascii="ITC Avant Garde" w:hAnsi="ITC Avant Garde"/>
          <w:lang w:val="es-MX"/>
        </w:rPr>
        <w:t xml:space="preserve">Las ubicaciones de los locales de los usuarios finales se </w:t>
      </w:r>
      <w:r w:rsidR="00F2544C" w:rsidRPr="00BE63E3">
        <w:rPr>
          <w:rFonts w:ascii="ITC Avant Garde" w:hAnsi="ITC Avant Garde"/>
          <w:lang w:val="es-MX"/>
        </w:rPr>
        <w:t>obtienen</w:t>
      </w:r>
      <w:r w:rsidRPr="00BE63E3">
        <w:rPr>
          <w:rFonts w:ascii="ITC Avant Garde" w:hAnsi="ITC Avant Garde"/>
          <w:lang w:val="es-MX"/>
        </w:rPr>
        <w:t xml:space="preserve"> a través de bases de datos de mapas geográficos digitales disponibles para México, tal como se explicó anteriormente.</w:t>
      </w:r>
    </w:p>
    <w:p w:rsidR="003E59D9" w:rsidRPr="00BE63E3" w:rsidRDefault="003E59D9" w:rsidP="003E59D9">
      <w:pPr>
        <w:rPr>
          <w:rFonts w:ascii="ITC Avant Garde" w:hAnsi="ITC Avant Garde"/>
          <w:lang w:val="es-MX"/>
        </w:rPr>
      </w:pPr>
      <w:r w:rsidRPr="00BE63E3">
        <w:rPr>
          <w:rFonts w:ascii="ITC Avant Garde" w:hAnsi="ITC Avant Garde"/>
          <w:lang w:val="es-MX"/>
        </w:rPr>
        <w:t xml:space="preserve">El siguiente paso de la fase de dimensionamiento de la red es identificar qué instalaciones están conectadas a qué nodo de acceso, es decir, determinar </w:t>
      </w:r>
      <w:r w:rsidR="001716C2" w:rsidRPr="00BE63E3">
        <w:rPr>
          <w:rFonts w:ascii="ITC Avant Garde" w:hAnsi="ITC Avant Garde"/>
          <w:lang w:val="es-MX"/>
        </w:rPr>
        <w:t xml:space="preserve">el área </w:t>
      </w:r>
      <w:r w:rsidRPr="00BE63E3">
        <w:rPr>
          <w:rFonts w:ascii="ITC Avant Garde" w:hAnsi="ITC Avant Garde"/>
          <w:lang w:val="es-MX"/>
        </w:rPr>
        <w:t>de cobertura de cada nodo de acceso. Las áreas de cobertura de los nodos de acceso se pueden determinar de dos maneras:</w:t>
      </w:r>
    </w:p>
    <w:p w:rsidR="003E59D9" w:rsidRPr="00BE63E3" w:rsidRDefault="003E59D9" w:rsidP="001716C2">
      <w:pPr>
        <w:pStyle w:val="Listaconvietas2"/>
        <w:rPr>
          <w:rFonts w:ascii="ITC Avant Garde" w:hAnsi="ITC Avant Garde"/>
          <w:lang w:val="es-MX"/>
        </w:rPr>
      </w:pPr>
      <w:r w:rsidRPr="00BE63E3">
        <w:rPr>
          <w:rFonts w:ascii="ITC Avant Garde" w:hAnsi="ITC Avant Garde"/>
          <w:lang w:val="es-MX"/>
        </w:rPr>
        <w:t xml:space="preserve">De acuerdo con las áreas de cobertura reales de los nodos de acceso en la red del </w:t>
      </w:r>
      <w:r w:rsidR="001B3F60" w:rsidRPr="00BE63E3">
        <w:rPr>
          <w:rFonts w:ascii="ITC Avant Garde" w:hAnsi="ITC Avant Garde"/>
          <w:lang w:val="es-MX"/>
        </w:rPr>
        <w:t>AEP</w:t>
      </w:r>
      <w:r w:rsidRPr="00BE63E3">
        <w:rPr>
          <w:rFonts w:ascii="ITC Avant Garde" w:hAnsi="ITC Avant Garde"/>
          <w:lang w:val="es-MX"/>
        </w:rPr>
        <w:t>; o</w:t>
      </w:r>
    </w:p>
    <w:p w:rsidR="003E59D9" w:rsidRPr="00BE63E3" w:rsidRDefault="003E59D9" w:rsidP="001716C2">
      <w:pPr>
        <w:pStyle w:val="Listaconvietas2"/>
        <w:rPr>
          <w:rFonts w:ascii="ITC Avant Garde" w:hAnsi="ITC Avant Garde"/>
          <w:lang w:val="es-MX"/>
        </w:rPr>
      </w:pPr>
      <w:r w:rsidRPr="00BE63E3">
        <w:rPr>
          <w:rFonts w:ascii="ITC Avant Garde" w:hAnsi="ITC Avant Garde"/>
          <w:lang w:val="es-MX"/>
        </w:rPr>
        <w:t>Al optimizar las áreas de cobertura.</w:t>
      </w:r>
    </w:p>
    <w:p w:rsidR="003E59D9" w:rsidRPr="00BE63E3" w:rsidRDefault="003E59D9" w:rsidP="003E59D9">
      <w:pPr>
        <w:rPr>
          <w:rFonts w:ascii="ITC Avant Garde" w:hAnsi="ITC Avant Garde"/>
          <w:lang w:val="es-MX"/>
        </w:rPr>
      </w:pPr>
      <w:r w:rsidRPr="00BE63E3">
        <w:rPr>
          <w:rFonts w:ascii="ITC Avant Garde" w:hAnsi="ITC Avant Garde"/>
          <w:lang w:val="es-MX"/>
        </w:rPr>
        <w:t xml:space="preserve">El uso de áreas de cobertura reales no sería consistente con la opción de modelar una red moderna para un operador hipotéticamente eficiente. La optimización de las áreas de cobertura es más consistente cuando se busca una red optimizada y cuando se modela un operador eficiente. Esto se puede realizar utilizando el enfoque </w:t>
      </w:r>
      <w:proofErr w:type="spellStart"/>
      <w:r w:rsidRPr="00BE63E3">
        <w:rPr>
          <w:rFonts w:ascii="ITC Avant Garde" w:hAnsi="ITC Avant Garde"/>
          <w:lang w:val="es-MX"/>
        </w:rPr>
        <w:t>Voronoï</w:t>
      </w:r>
      <w:proofErr w:type="spellEnd"/>
      <w:r w:rsidRPr="00BE63E3">
        <w:rPr>
          <w:rFonts w:ascii="ITC Avant Garde" w:hAnsi="ITC Avant Garde"/>
          <w:lang w:val="es-MX"/>
        </w:rPr>
        <w:t xml:space="preserve">, un enfoque matemático que calcula distancias a puntos, que asigna todas las secciones (y las instalaciones ubicadas en esta sección) que son las más cercanas a un </w:t>
      </w:r>
      <w:r w:rsidR="001716C2" w:rsidRPr="00BE63E3">
        <w:rPr>
          <w:rFonts w:ascii="ITC Avant Garde" w:hAnsi="ITC Avant Garde"/>
          <w:lang w:val="es-MX"/>
        </w:rPr>
        <w:t xml:space="preserve">cierto </w:t>
      </w:r>
      <w:r w:rsidRPr="00BE63E3">
        <w:rPr>
          <w:rFonts w:ascii="ITC Avant Garde" w:hAnsi="ITC Avant Garde"/>
          <w:lang w:val="es-MX"/>
        </w:rPr>
        <w:t>nodo de acceso</w:t>
      </w:r>
      <w:r w:rsidR="001716C2" w:rsidRPr="00BE63E3">
        <w:rPr>
          <w:rFonts w:ascii="ITC Avant Garde" w:hAnsi="ITC Avant Garde"/>
          <w:lang w:val="es-MX"/>
        </w:rPr>
        <w:t>,</w:t>
      </w:r>
      <w:r w:rsidRPr="00BE63E3">
        <w:rPr>
          <w:rFonts w:ascii="ITC Avant Garde" w:hAnsi="ITC Avant Garde"/>
          <w:lang w:val="es-MX"/>
        </w:rPr>
        <w:t xml:space="preserve"> en lugar de a cualquier otro nodo de acceso según </w:t>
      </w:r>
      <w:r w:rsidR="003A0FB4" w:rsidRPr="00BE63E3">
        <w:rPr>
          <w:rFonts w:ascii="ITC Avant Garde" w:hAnsi="ITC Avant Garde"/>
          <w:lang w:val="es-MX"/>
        </w:rPr>
        <w:t>la distancia</w:t>
      </w:r>
      <w:r w:rsidRPr="00BE63E3">
        <w:rPr>
          <w:rFonts w:ascii="ITC Avant Garde" w:hAnsi="ITC Avant Garde"/>
          <w:lang w:val="es-MX"/>
        </w:rPr>
        <w:t xml:space="preserve"> de la red de carreteras. Proporciona cobertura de nodo</w:t>
      </w:r>
      <w:r w:rsidR="001716C2" w:rsidRPr="00BE63E3">
        <w:rPr>
          <w:rFonts w:ascii="ITC Avant Garde" w:hAnsi="ITC Avant Garde"/>
          <w:lang w:val="es-MX"/>
        </w:rPr>
        <w:t>s</w:t>
      </w:r>
      <w:r w:rsidRPr="00BE63E3">
        <w:rPr>
          <w:rFonts w:ascii="ITC Avant Garde" w:hAnsi="ITC Avant Garde"/>
          <w:lang w:val="es-MX"/>
        </w:rPr>
        <w:t xml:space="preserve"> de acceso óptim</w:t>
      </w:r>
      <w:r w:rsidR="001716C2" w:rsidRPr="00BE63E3">
        <w:rPr>
          <w:rFonts w:ascii="ITC Avant Garde" w:hAnsi="ITC Avant Garde"/>
          <w:lang w:val="es-MX"/>
        </w:rPr>
        <w:t>a</w:t>
      </w:r>
      <w:r w:rsidRPr="00BE63E3">
        <w:rPr>
          <w:rFonts w:ascii="ITC Avant Garde" w:hAnsi="ITC Avant Garde"/>
          <w:lang w:val="es-MX"/>
        </w:rPr>
        <w:t xml:space="preserve"> para una ubicación dada de </w:t>
      </w:r>
      <w:r w:rsidR="001716C2" w:rsidRPr="00BE63E3">
        <w:rPr>
          <w:rFonts w:ascii="ITC Avant Garde" w:hAnsi="ITC Avant Garde"/>
          <w:lang w:val="es-MX"/>
        </w:rPr>
        <w:t>estos</w:t>
      </w:r>
      <w:r w:rsidRPr="00BE63E3">
        <w:rPr>
          <w:rFonts w:ascii="ITC Avant Garde" w:hAnsi="ITC Avant Garde"/>
          <w:lang w:val="es-MX"/>
        </w:rPr>
        <w:t xml:space="preserve"> nodo</w:t>
      </w:r>
      <w:r w:rsidR="001716C2" w:rsidRPr="00BE63E3">
        <w:rPr>
          <w:rFonts w:ascii="ITC Avant Garde" w:hAnsi="ITC Avant Garde"/>
          <w:lang w:val="es-MX"/>
        </w:rPr>
        <w:t>s</w:t>
      </w:r>
      <w:r w:rsidRPr="00BE63E3">
        <w:rPr>
          <w:rFonts w:ascii="ITC Avant Garde" w:hAnsi="ITC Avant Garde"/>
          <w:lang w:val="es-MX"/>
        </w:rPr>
        <w:t>.</w:t>
      </w:r>
    </w:p>
    <w:p w:rsidR="00A11503" w:rsidRPr="00BE63E3" w:rsidRDefault="00A11503" w:rsidP="003E59D9">
      <w:pPr>
        <w:rPr>
          <w:rFonts w:ascii="ITC Avant Garde" w:hAnsi="ITC Avant Garde"/>
          <w:lang w:val="es-MX"/>
        </w:rPr>
      </w:pPr>
    </w:p>
    <w:p w:rsidR="00A11503" w:rsidRPr="00BE63E3" w:rsidRDefault="00A11503" w:rsidP="00A11503">
      <w:pPr>
        <w:pStyle w:val="Descripcin"/>
        <w:keepNext/>
        <w:rPr>
          <w:rFonts w:ascii="ITC Avant Garde" w:hAnsi="ITC Avant Garde"/>
          <w:lang w:val="es-MX"/>
        </w:rPr>
      </w:pPr>
      <w:r w:rsidRPr="00BE63E3">
        <w:rPr>
          <w:rFonts w:ascii="ITC Avant Garde" w:hAnsi="ITC Avant Garde"/>
          <w:lang w:val="es-MX"/>
        </w:rPr>
        <w:t xml:space="preserve">Figura </w:t>
      </w:r>
      <w:r w:rsidR="00F90B7A">
        <w:rPr>
          <w:rFonts w:ascii="ITC Avant Garde" w:hAnsi="ITC Avant Garde"/>
          <w:lang w:val="es-MX"/>
        </w:rPr>
        <w:t>6</w:t>
      </w:r>
      <w:r w:rsidR="00F90B7A" w:rsidRPr="00BE63E3">
        <w:rPr>
          <w:rFonts w:ascii="ITC Avant Garde" w:hAnsi="ITC Avant Garde"/>
          <w:lang w:val="es-MX"/>
        </w:rPr>
        <w:t xml:space="preserve"> </w:t>
      </w:r>
      <w:r w:rsidRPr="00BE63E3">
        <w:rPr>
          <w:rFonts w:ascii="ITC Avant Garde" w:hAnsi="ITC Avant Garde"/>
          <w:lang w:val="es-MX"/>
        </w:rPr>
        <w:t>– Ilustración de un ejemplo de área de cobertura del nodo de acceso y área de cobertura del nodo de acceso optimizado</w:t>
      </w:r>
    </w:p>
    <w:p w:rsidR="00A11503" w:rsidRPr="00872052" w:rsidRDefault="00A11503" w:rsidP="00A11503">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15F7864C" wp14:editId="53E7CD7A">
            <wp:extent cx="3178980" cy="2917992"/>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2272"/>
                    <a:stretch/>
                  </pic:blipFill>
                  <pic:spPr bwMode="auto">
                    <a:xfrm>
                      <a:off x="0" y="0"/>
                      <a:ext cx="3183464" cy="2922108"/>
                    </a:xfrm>
                    <a:prstGeom prst="rect">
                      <a:avLst/>
                    </a:prstGeom>
                    <a:noFill/>
                    <a:ln>
                      <a:noFill/>
                    </a:ln>
                    <a:extLst>
                      <a:ext uri="{53640926-AAD7-44D8-BBD7-CCE9431645EC}">
                        <a14:shadowObscured xmlns:a14="http://schemas.microsoft.com/office/drawing/2010/main"/>
                      </a:ext>
                    </a:extLst>
                  </pic:spPr>
                </pic:pic>
              </a:graphicData>
            </a:graphic>
          </wp:inline>
        </w:drawing>
      </w:r>
    </w:p>
    <w:p w:rsidR="00A11503" w:rsidRPr="00872052" w:rsidRDefault="00A11503" w:rsidP="00A11503">
      <w:pPr>
        <w:jc w:val="center"/>
        <w:rPr>
          <w:rFonts w:ascii="ITC Avant Garde" w:hAnsi="ITC Avant Garde"/>
          <w:lang w:val="es-MX"/>
        </w:rPr>
      </w:pPr>
    </w:p>
    <w:p w:rsidR="00A11503" w:rsidRPr="00BE63E3" w:rsidRDefault="00A11503" w:rsidP="00A11503">
      <w:pPr>
        <w:pStyle w:val="Encadr3"/>
        <w:rPr>
          <w:rFonts w:ascii="ITC Avant Garde" w:hAnsi="ITC Avant Garde"/>
          <w:lang w:val="es-MX"/>
        </w:rPr>
      </w:pPr>
      <w:r w:rsidRPr="00BE63E3">
        <w:rPr>
          <w:rFonts w:ascii="ITC Avant Garde" w:hAnsi="ITC Avant Garde"/>
          <w:lang w:val="es-MX"/>
        </w:rPr>
        <w:t xml:space="preserve">Criterio 12: </w:t>
      </w:r>
      <w:r w:rsidR="00984BB8" w:rsidRPr="00BE63E3">
        <w:rPr>
          <w:rFonts w:ascii="ITC Avant Garde" w:hAnsi="ITC Avant Garde"/>
          <w:lang w:val="es-MX"/>
        </w:rPr>
        <w:t>C</w:t>
      </w:r>
      <w:r w:rsidRPr="00BE63E3">
        <w:rPr>
          <w:rFonts w:ascii="ITC Avant Garde" w:hAnsi="ITC Avant Garde"/>
          <w:lang w:val="es-MX"/>
        </w:rPr>
        <w:t xml:space="preserve">onsistentemente con la elección de un operador eficiente para modelar, </w:t>
      </w:r>
      <w:r w:rsidR="001716C2" w:rsidRPr="00BE63E3">
        <w:rPr>
          <w:rFonts w:ascii="ITC Avant Garde" w:hAnsi="ITC Avant Garde"/>
          <w:lang w:val="es-MX"/>
        </w:rPr>
        <w:t xml:space="preserve">y del enfoque </w:t>
      </w:r>
      <w:proofErr w:type="spellStart"/>
      <w:r w:rsidR="001716C2" w:rsidRPr="00BE63E3">
        <w:rPr>
          <w:rFonts w:ascii="ITC Avant Garde" w:hAnsi="ITC Avant Garde"/>
          <w:lang w:val="es-MX"/>
        </w:rPr>
        <w:t>Schorched</w:t>
      </w:r>
      <w:proofErr w:type="spellEnd"/>
      <w:r w:rsidR="001716C2" w:rsidRPr="00BE63E3">
        <w:rPr>
          <w:rFonts w:ascii="ITC Avant Garde" w:hAnsi="ITC Avant Garde"/>
          <w:lang w:val="es-MX"/>
        </w:rPr>
        <w:t xml:space="preserve"> </w:t>
      </w:r>
      <w:proofErr w:type="spellStart"/>
      <w:r w:rsidR="001716C2" w:rsidRPr="00BE63E3">
        <w:rPr>
          <w:rFonts w:ascii="ITC Avant Garde" w:hAnsi="ITC Avant Garde"/>
          <w:lang w:val="es-MX"/>
        </w:rPr>
        <w:t>node</w:t>
      </w:r>
      <w:proofErr w:type="spellEnd"/>
      <w:r w:rsidR="001716C2" w:rsidRPr="00BE63E3">
        <w:rPr>
          <w:rFonts w:ascii="ITC Avant Garde" w:hAnsi="ITC Avant Garde"/>
          <w:lang w:val="es-MX"/>
        </w:rPr>
        <w:t xml:space="preserve"> modificado, </w:t>
      </w:r>
      <w:r w:rsidRPr="00BE63E3">
        <w:rPr>
          <w:rFonts w:ascii="ITC Avant Garde" w:hAnsi="ITC Avant Garde"/>
          <w:lang w:val="es-MX"/>
        </w:rPr>
        <w:t xml:space="preserve">las áreas de cobertura de los nodos de red se optimizan utilizando algoritmos matemáticos para asociar cada sección de carretera (y luego a cada usuario final) al </w:t>
      </w:r>
      <w:r w:rsidR="00446220" w:rsidRPr="00BE63E3">
        <w:rPr>
          <w:rFonts w:ascii="ITC Avant Garde" w:hAnsi="ITC Avant Garde"/>
          <w:lang w:val="es-MX"/>
        </w:rPr>
        <w:t>Punto de Presencia (PDP)</w:t>
      </w:r>
      <w:r w:rsidR="001B3F60" w:rsidRPr="00BE63E3">
        <w:rPr>
          <w:rFonts w:ascii="ITC Avant Garde" w:hAnsi="ITC Avant Garde"/>
          <w:lang w:val="es-MX"/>
        </w:rPr>
        <w:t xml:space="preserve"> </w:t>
      </w:r>
      <w:r w:rsidRPr="00BE63E3">
        <w:rPr>
          <w:rFonts w:ascii="ITC Avant Garde" w:hAnsi="ITC Avant Garde"/>
          <w:lang w:val="es-MX"/>
        </w:rPr>
        <w:t>más cercano estimado por distancia de</w:t>
      </w:r>
      <w:r w:rsidR="00984BB8" w:rsidRPr="00BE63E3">
        <w:rPr>
          <w:rFonts w:ascii="ITC Avant Garde" w:hAnsi="ITC Avant Garde"/>
          <w:lang w:val="es-MX"/>
        </w:rPr>
        <w:t xml:space="preserve"> los</w:t>
      </w:r>
      <w:r w:rsidRPr="00BE63E3">
        <w:rPr>
          <w:rFonts w:ascii="ITC Avant Garde" w:hAnsi="ITC Avant Garde"/>
          <w:lang w:val="es-MX"/>
        </w:rPr>
        <w:t xml:space="preserve"> camino</w:t>
      </w:r>
      <w:r w:rsidR="00984BB8" w:rsidRPr="00BE63E3">
        <w:rPr>
          <w:rFonts w:ascii="ITC Avant Garde" w:hAnsi="ITC Avant Garde"/>
          <w:lang w:val="es-MX"/>
        </w:rPr>
        <w:t>s y calles</w:t>
      </w:r>
      <w:r w:rsidRPr="00BE63E3">
        <w:rPr>
          <w:rFonts w:ascii="ITC Avant Garde" w:hAnsi="ITC Avant Garde"/>
          <w:lang w:val="es-MX"/>
        </w:rPr>
        <w:t>.</w:t>
      </w:r>
    </w:p>
    <w:p w:rsidR="001B3F60" w:rsidRPr="00872052" w:rsidRDefault="001B3F60" w:rsidP="00A11503">
      <w:pPr>
        <w:rPr>
          <w:rFonts w:ascii="ITC Avant Garde" w:hAnsi="ITC Avant Garde"/>
          <w:lang w:val="es-MX"/>
        </w:rPr>
      </w:pPr>
    </w:p>
    <w:p w:rsidR="00A11503" w:rsidRPr="00BE63E3" w:rsidRDefault="00A11503" w:rsidP="00A11503">
      <w:pPr>
        <w:rPr>
          <w:rFonts w:ascii="ITC Avant Garde" w:hAnsi="ITC Avant Garde"/>
          <w:lang w:val="es-MX"/>
        </w:rPr>
      </w:pPr>
      <w:r w:rsidRPr="00BE63E3">
        <w:rPr>
          <w:rFonts w:ascii="ITC Avant Garde" w:hAnsi="ITC Avant Garde"/>
          <w:lang w:val="es-MX"/>
        </w:rPr>
        <w:t>Una vez determinadas las áreas de cobertura de</w:t>
      </w:r>
      <w:r w:rsidR="001B3F60" w:rsidRPr="00BE63E3">
        <w:rPr>
          <w:rFonts w:ascii="ITC Avant Garde" w:hAnsi="ITC Avant Garde"/>
          <w:lang w:val="es-MX"/>
        </w:rPr>
        <w:t xml:space="preserve"> </w:t>
      </w:r>
      <w:r w:rsidRPr="00BE63E3">
        <w:rPr>
          <w:rFonts w:ascii="ITC Avant Garde" w:hAnsi="ITC Avant Garde"/>
          <w:lang w:val="es-MX"/>
        </w:rPr>
        <w:t>l</w:t>
      </w:r>
      <w:r w:rsidR="001B3F60" w:rsidRPr="00BE63E3">
        <w:rPr>
          <w:rFonts w:ascii="ITC Avant Garde" w:hAnsi="ITC Avant Garde"/>
          <w:lang w:val="es-MX"/>
        </w:rPr>
        <w:t>os</w:t>
      </w:r>
      <w:r w:rsidRPr="00BE63E3">
        <w:rPr>
          <w:rFonts w:ascii="ITC Avant Garde" w:hAnsi="ITC Avant Garde"/>
          <w:lang w:val="es-MX"/>
        </w:rPr>
        <w:t xml:space="preserve"> nodo</w:t>
      </w:r>
      <w:r w:rsidR="001B3F60" w:rsidRPr="00BE63E3">
        <w:rPr>
          <w:rFonts w:ascii="ITC Avant Garde" w:hAnsi="ITC Avant Garde"/>
          <w:lang w:val="es-MX"/>
        </w:rPr>
        <w:t>s</w:t>
      </w:r>
      <w:r w:rsidRPr="00BE63E3">
        <w:rPr>
          <w:rFonts w:ascii="ITC Avant Garde" w:hAnsi="ITC Avant Garde"/>
          <w:lang w:val="es-MX"/>
        </w:rPr>
        <w:t xml:space="preserve"> de acceso, es posible calcular la ruta eficiente que permite al modelo conectar cada premisa del usuario final a un nodo de acceso, utilizando el algoritmo de ruta más corta. Este cálculo distingue entre la parte horizontal y vertical de la red de acceso, es decir, parte a lo largo de la red de carreteras y para la parte privada de la </w:t>
      </w:r>
      <w:r w:rsidR="001B3F60" w:rsidRPr="00BE63E3">
        <w:rPr>
          <w:rFonts w:ascii="ITC Avant Garde" w:hAnsi="ITC Avant Garde"/>
          <w:lang w:val="es-MX"/>
        </w:rPr>
        <w:t>acometida</w:t>
      </w:r>
      <w:r w:rsidRPr="00BE63E3">
        <w:rPr>
          <w:rFonts w:ascii="ITC Avant Garde" w:hAnsi="ITC Avant Garde"/>
          <w:lang w:val="es-MX"/>
        </w:rPr>
        <w:t xml:space="preserve"> con la conexión de la carretera al edificio con el punto de terminación de la red.</w:t>
      </w:r>
    </w:p>
    <w:p w:rsidR="00A11503" w:rsidRPr="00872052" w:rsidRDefault="00A11503" w:rsidP="00A11503">
      <w:pPr>
        <w:rPr>
          <w:rFonts w:ascii="ITC Avant Garde" w:hAnsi="ITC Avant Garde"/>
          <w:lang w:val="es-MX"/>
        </w:rPr>
      </w:pPr>
    </w:p>
    <w:p w:rsidR="00A11503" w:rsidRPr="00872052" w:rsidRDefault="00A11503" w:rsidP="00A11503">
      <w:pPr>
        <w:rPr>
          <w:rFonts w:ascii="ITC Avant Garde" w:hAnsi="ITC Avant Garde"/>
          <w:lang w:val="es-MX"/>
        </w:rPr>
      </w:pPr>
    </w:p>
    <w:p w:rsidR="00A11503" w:rsidRPr="00BE63E3" w:rsidRDefault="00A11503" w:rsidP="00A11503">
      <w:pPr>
        <w:pStyle w:val="Descripcin"/>
        <w:keepNext/>
        <w:rPr>
          <w:rFonts w:ascii="ITC Avant Garde" w:hAnsi="ITC Avant Garde"/>
          <w:lang w:val="es-MX"/>
        </w:rPr>
      </w:pPr>
      <w:r w:rsidRPr="00BE63E3">
        <w:rPr>
          <w:rFonts w:ascii="ITC Avant Garde" w:hAnsi="ITC Avant Garde"/>
          <w:lang w:val="es-MX"/>
        </w:rPr>
        <w:t xml:space="preserve">Figura </w:t>
      </w:r>
      <w:r w:rsidR="00F90B7A">
        <w:rPr>
          <w:rFonts w:ascii="ITC Avant Garde" w:hAnsi="ITC Avant Garde"/>
          <w:lang w:val="es-MX"/>
        </w:rPr>
        <w:t xml:space="preserve">7 </w:t>
      </w:r>
      <w:r w:rsidRPr="00BE63E3">
        <w:rPr>
          <w:rFonts w:ascii="ITC Avant Garde" w:hAnsi="ITC Avant Garde"/>
          <w:lang w:val="es-MX"/>
        </w:rPr>
        <w:t>– Camino más corto desde los nodos de acceso a los edificios</w:t>
      </w:r>
    </w:p>
    <w:p w:rsidR="00A11503" w:rsidRPr="00872052" w:rsidRDefault="00A11503" w:rsidP="00A11503">
      <w:pPr>
        <w:keepNext/>
        <w:spacing w:before="0" w:line="240" w:lineRule="auto"/>
        <w:jc w:val="center"/>
        <w:rPr>
          <w:rFonts w:ascii="ITC Avant Garde" w:hAnsi="ITC Avant Garde"/>
          <w:i/>
          <w:color w:val="808080"/>
          <w:lang w:val="es-MX"/>
        </w:rPr>
      </w:pPr>
      <w:r w:rsidRPr="00872052">
        <w:rPr>
          <w:rFonts w:ascii="ITC Avant Garde" w:hAnsi="ITC Avant Garde"/>
          <w:i/>
          <w:noProof/>
          <w:color w:val="808080"/>
          <w:lang w:val="es-MX" w:eastAsia="es-MX"/>
        </w:rPr>
        <w:drawing>
          <wp:inline distT="0" distB="0" distL="0" distR="0" wp14:anchorId="6C75E7DC" wp14:editId="024CCFCC">
            <wp:extent cx="5394960" cy="294132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4960" cy="2941320"/>
                    </a:xfrm>
                    <a:prstGeom prst="rect">
                      <a:avLst/>
                    </a:prstGeom>
                    <a:noFill/>
                  </pic:spPr>
                </pic:pic>
              </a:graphicData>
            </a:graphic>
          </wp:inline>
        </w:drawing>
      </w:r>
    </w:p>
    <w:p w:rsidR="00A11503" w:rsidRPr="00872052" w:rsidRDefault="00A11503" w:rsidP="00A11503">
      <w:pPr>
        <w:rPr>
          <w:rFonts w:ascii="ITC Avant Garde" w:hAnsi="ITC Avant Garde"/>
          <w:lang w:val="es-MX"/>
        </w:rPr>
      </w:pPr>
    </w:p>
    <w:p w:rsidR="00A11503" w:rsidRPr="00BE63E3" w:rsidRDefault="00A11503" w:rsidP="00A11503">
      <w:pPr>
        <w:rPr>
          <w:rFonts w:ascii="ITC Avant Garde" w:hAnsi="ITC Avant Garde"/>
          <w:lang w:val="es-MX"/>
        </w:rPr>
      </w:pPr>
      <w:r w:rsidRPr="00BE63E3">
        <w:rPr>
          <w:rFonts w:ascii="ITC Avant Garde" w:hAnsi="ITC Avant Garde"/>
          <w:lang w:val="es-MX"/>
        </w:rPr>
        <w:t>Habiendo calculado todas las rutas más cortas requeridas, es posible calcular la demanda en el nivel de sección. La demanda a nivel de sección consiste en:</w:t>
      </w:r>
    </w:p>
    <w:p w:rsidR="00A11503" w:rsidRPr="00BE63E3" w:rsidRDefault="00A11503" w:rsidP="001B3F60">
      <w:pPr>
        <w:pStyle w:val="Listaconvietas2"/>
        <w:rPr>
          <w:rFonts w:ascii="ITC Avant Garde" w:hAnsi="ITC Avant Garde"/>
          <w:lang w:val="es-MX"/>
        </w:rPr>
      </w:pPr>
      <w:r w:rsidRPr="00BE63E3">
        <w:rPr>
          <w:rFonts w:ascii="ITC Avant Garde" w:hAnsi="ITC Avant Garde"/>
          <w:lang w:val="es-MX"/>
        </w:rPr>
        <w:t xml:space="preserve">La demanda de la sección actual, es decir, </w:t>
      </w:r>
      <w:r w:rsidR="001B3F60" w:rsidRPr="00BE63E3">
        <w:rPr>
          <w:rFonts w:ascii="ITC Avant Garde" w:hAnsi="ITC Avant Garde"/>
          <w:lang w:val="es-MX"/>
        </w:rPr>
        <w:t xml:space="preserve">de </w:t>
      </w:r>
      <w:r w:rsidRPr="00BE63E3">
        <w:rPr>
          <w:rFonts w:ascii="ITC Avant Garde" w:hAnsi="ITC Avant Garde"/>
          <w:lang w:val="es-MX"/>
        </w:rPr>
        <w:t>todas las instalaciones ubicadas en esta sección; y</w:t>
      </w:r>
    </w:p>
    <w:p w:rsidR="00A11503" w:rsidRPr="00BE63E3" w:rsidRDefault="00A11503" w:rsidP="001B3F60">
      <w:pPr>
        <w:pStyle w:val="Listaconvietas2"/>
        <w:rPr>
          <w:rFonts w:ascii="ITC Avant Garde" w:hAnsi="ITC Avant Garde"/>
          <w:lang w:val="es-MX"/>
        </w:rPr>
      </w:pPr>
      <w:r w:rsidRPr="00BE63E3">
        <w:rPr>
          <w:rFonts w:ascii="ITC Avant Garde" w:hAnsi="ITC Avant Garde"/>
          <w:lang w:val="es-MX"/>
        </w:rPr>
        <w:t>La demanda del área posterior de la sección, es decir, todas las instalaciones para las cuales la ruta más corta al nodo de acceso pasa por la sección.</w:t>
      </w:r>
    </w:p>
    <w:p w:rsidR="001B3F60" w:rsidRPr="00BE63E3" w:rsidRDefault="001B3F60" w:rsidP="001B3F60">
      <w:pPr>
        <w:pStyle w:val="Listaconvietas2"/>
        <w:numPr>
          <w:ilvl w:val="0"/>
          <w:numId w:val="0"/>
        </w:numPr>
        <w:rPr>
          <w:rFonts w:ascii="ITC Avant Garde" w:hAnsi="ITC Avant Garde"/>
          <w:lang w:val="es-MX"/>
        </w:rPr>
      </w:pPr>
    </w:p>
    <w:p w:rsidR="001B3F60" w:rsidRPr="00BE63E3" w:rsidRDefault="001B3F60" w:rsidP="001B3F60">
      <w:pPr>
        <w:pStyle w:val="Descripcin"/>
        <w:keepNext/>
        <w:rPr>
          <w:rFonts w:ascii="ITC Avant Garde" w:hAnsi="ITC Avant Garde"/>
          <w:lang w:val="es-MX"/>
        </w:rPr>
      </w:pPr>
      <w:r w:rsidRPr="00BE63E3">
        <w:rPr>
          <w:rFonts w:ascii="ITC Avant Garde" w:hAnsi="ITC Avant Garde"/>
          <w:lang w:val="es-MX"/>
        </w:rPr>
        <w:t xml:space="preserve">Figura </w:t>
      </w:r>
      <w:r w:rsidR="003B6FDE">
        <w:rPr>
          <w:rFonts w:ascii="ITC Avant Garde" w:hAnsi="ITC Avant Garde"/>
          <w:lang w:val="es-MX"/>
        </w:rPr>
        <w:t>8</w:t>
      </w:r>
      <w:r w:rsidRPr="00BE63E3">
        <w:rPr>
          <w:rFonts w:ascii="ITC Avant Garde" w:hAnsi="ITC Avant Garde"/>
          <w:lang w:val="es-MX"/>
        </w:rPr>
        <w:t xml:space="preserve"> – </w:t>
      </w:r>
      <w:r w:rsidR="00F2544C" w:rsidRPr="00BE63E3">
        <w:rPr>
          <w:rFonts w:ascii="ITC Avant Garde" w:hAnsi="ITC Avant Garde"/>
          <w:lang w:val="es-MX"/>
        </w:rPr>
        <w:t>Ilustración</w:t>
      </w:r>
      <w:r w:rsidRPr="00BE63E3">
        <w:rPr>
          <w:rFonts w:ascii="ITC Avant Garde" w:hAnsi="ITC Avant Garde"/>
          <w:lang w:val="es-MX"/>
        </w:rPr>
        <w:t xml:space="preserve"> del área posterior de una sección </w:t>
      </w:r>
    </w:p>
    <w:p w:rsidR="001B3F60" w:rsidRPr="00872052" w:rsidRDefault="001B3F60" w:rsidP="001B3F60">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4F41D372" wp14:editId="69C7CD5B">
            <wp:extent cx="5400000" cy="238479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2384790"/>
                    </a:xfrm>
                    <a:prstGeom prst="rect">
                      <a:avLst/>
                    </a:prstGeom>
                    <a:noFill/>
                  </pic:spPr>
                </pic:pic>
              </a:graphicData>
            </a:graphic>
          </wp:inline>
        </w:drawing>
      </w:r>
    </w:p>
    <w:p w:rsidR="001B3F60" w:rsidRPr="00872052" w:rsidRDefault="001B3F60" w:rsidP="00A11503">
      <w:pPr>
        <w:rPr>
          <w:rFonts w:ascii="ITC Avant Garde" w:hAnsi="ITC Avant Garde"/>
          <w:lang w:val="es-MX"/>
        </w:rPr>
      </w:pPr>
    </w:p>
    <w:p w:rsidR="00A11503" w:rsidRPr="00BE63E3" w:rsidRDefault="00A11503" w:rsidP="00A11503">
      <w:pPr>
        <w:rPr>
          <w:rFonts w:ascii="ITC Avant Garde" w:hAnsi="ITC Avant Garde"/>
          <w:lang w:val="es-MX"/>
        </w:rPr>
      </w:pPr>
      <w:r w:rsidRPr="00BE63E3">
        <w:rPr>
          <w:rFonts w:ascii="ITC Avant Garde" w:hAnsi="ITC Avant Garde"/>
          <w:lang w:val="es-MX"/>
        </w:rPr>
        <w:t>El dimensionamiento de la red de acceso a nivel de sección consiste en calcular el número de activos necesarios para satisfacer la demanda local, dadas las reglas de ingeniería y un catálogo de activos.</w:t>
      </w:r>
    </w:p>
    <w:p w:rsidR="00A11503" w:rsidRPr="00BE63E3" w:rsidRDefault="00A11503" w:rsidP="00A11503">
      <w:pPr>
        <w:rPr>
          <w:rFonts w:ascii="ITC Avant Garde" w:hAnsi="ITC Avant Garde"/>
          <w:lang w:val="es-MX"/>
        </w:rPr>
      </w:pPr>
      <w:r w:rsidRPr="00BE63E3">
        <w:rPr>
          <w:rFonts w:ascii="ITC Avant Garde" w:hAnsi="ITC Avant Garde"/>
          <w:lang w:val="es-MX"/>
        </w:rPr>
        <w:t>Finalmente, la red completa, es decir, la red desplegada a nivel nacional, o la red en el nivel del área de nodo de acceso se dimensiona sumando el número de activos calculados en el nivel de sección. Esto permite obtener el inventario de la red y concluye la fase de dimensionamiento de la red.</w:t>
      </w:r>
    </w:p>
    <w:p w:rsidR="00A11503" w:rsidRPr="00BE63E3" w:rsidRDefault="00A11503" w:rsidP="00A11503">
      <w:pPr>
        <w:pStyle w:val="Encadr3"/>
        <w:rPr>
          <w:rFonts w:ascii="ITC Avant Garde" w:hAnsi="ITC Avant Garde"/>
          <w:lang w:val="es-MX"/>
        </w:rPr>
      </w:pPr>
      <w:r w:rsidRPr="00BE63E3">
        <w:rPr>
          <w:rFonts w:ascii="ITC Avant Garde" w:hAnsi="ITC Avant Garde"/>
          <w:lang w:val="es-MX"/>
        </w:rPr>
        <w:t>Criterio 13: las instalaciones del usuario final se conectan al nodo de acceso más cercano a través del camino más corto desde el usuario final hasta el nodo de acceso.</w:t>
      </w:r>
    </w:p>
    <w:p w:rsidR="00A11503" w:rsidRPr="00BE63E3" w:rsidRDefault="00A11503" w:rsidP="00A11503">
      <w:pPr>
        <w:rPr>
          <w:rFonts w:ascii="ITC Avant Garde" w:hAnsi="ITC Avant Garde"/>
          <w:lang w:val="es-MX"/>
        </w:rPr>
      </w:pPr>
    </w:p>
    <w:p w:rsidR="00A11503" w:rsidRPr="00BE63E3" w:rsidRDefault="003A0FB4" w:rsidP="00A11503">
      <w:pPr>
        <w:pStyle w:val="Ttulo3"/>
        <w:rPr>
          <w:rFonts w:ascii="ITC Avant Garde" w:hAnsi="ITC Avant Garde"/>
          <w:lang w:val="es-MX"/>
        </w:rPr>
      </w:pPr>
      <w:bookmarkStart w:id="106" w:name="_Toc525665271"/>
      <w:bookmarkStart w:id="107" w:name="_Toc525665650"/>
      <w:bookmarkStart w:id="108" w:name="_Toc526854351"/>
      <w:r w:rsidRPr="00BE63E3">
        <w:rPr>
          <w:rFonts w:ascii="ITC Avant Garde" w:hAnsi="ITC Avant Garde"/>
          <w:lang w:val="es-MX"/>
        </w:rPr>
        <w:t>Tecnologías</w:t>
      </w:r>
      <w:r w:rsidR="00A11503" w:rsidRPr="00BE63E3">
        <w:rPr>
          <w:rFonts w:ascii="ITC Avant Garde" w:hAnsi="ITC Avant Garde"/>
          <w:lang w:val="es-MX"/>
        </w:rPr>
        <w:t xml:space="preserve"> modeladas</w:t>
      </w:r>
      <w:bookmarkEnd w:id="106"/>
      <w:bookmarkEnd w:id="107"/>
      <w:bookmarkEnd w:id="108"/>
    </w:p>
    <w:p w:rsidR="00A11503" w:rsidRPr="00BE63E3" w:rsidRDefault="00A11503" w:rsidP="00A11503">
      <w:pPr>
        <w:rPr>
          <w:rFonts w:ascii="ITC Avant Garde" w:hAnsi="ITC Avant Garde"/>
          <w:lang w:val="es-MX"/>
        </w:rPr>
      </w:pPr>
      <w:r w:rsidRPr="00BE63E3">
        <w:rPr>
          <w:rFonts w:ascii="ITC Avant Garde" w:hAnsi="ITC Avant Garde"/>
          <w:lang w:val="es-MX"/>
        </w:rPr>
        <w:t>La tecnología tradicional de acceso de cobre</w:t>
      </w:r>
      <w:r w:rsidR="0053734A" w:rsidRPr="00BE63E3">
        <w:rPr>
          <w:rFonts w:ascii="ITC Avant Garde" w:hAnsi="ITC Avant Garde"/>
          <w:lang w:val="es-MX"/>
        </w:rPr>
        <w:t>,</w:t>
      </w:r>
      <w:r w:rsidRPr="00BE63E3">
        <w:rPr>
          <w:rFonts w:ascii="ITC Avant Garde" w:hAnsi="ITC Avant Garde"/>
          <w:lang w:val="es-MX"/>
        </w:rPr>
        <w:t xml:space="preserve"> propiedad del operador histórico</w:t>
      </w:r>
      <w:r w:rsidR="0053734A" w:rsidRPr="00BE63E3">
        <w:rPr>
          <w:rFonts w:ascii="ITC Avant Garde" w:hAnsi="ITC Avant Garde"/>
          <w:lang w:val="es-MX"/>
        </w:rPr>
        <w:t>,</w:t>
      </w:r>
      <w:r w:rsidRPr="00BE63E3">
        <w:rPr>
          <w:rFonts w:ascii="ITC Avant Garde" w:hAnsi="ITC Avant Garde"/>
          <w:lang w:val="es-MX"/>
        </w:rPr>
        <w:t xml:space="preserve"> </w:t>
      </w:r>
      <w:r w:rsidR="0053734A" w:rsidRPr="00BE63E3">
        <w:rPr>
          <w:rFonts w:ascii="ITC Avant Garde" w:hAnsi="ITC Avant Garde"/>
          <w:lang w:val="es-MX"/>
        </w:rPr>
        <w:t>se modela</w:t>
      </w:r>
      <w:r w:rsidRPr="00BE63E3">
        <w:rPr>
          <w:rFonts w:ascii="ITC Avant Garde" w:hAnsi="ITC Avant Garde"/>
          <w:lang w:val="es-MX"/>
        </w:rPr>
        <w:t xml:space="preserve"> a partir de pares de cobre. En general, la línea desde el cliente hasta el intercambio más cercano consiste en un par trenzado de cobre con los pares individuales agregados en cables más grandes en gabinetes de calle </w:t>
      </w:r>
      <w:r w:rsidR="0053734A" w:rsidRPr="00BE63E3">
        <w:rPr>
          <w:rFonts w:ascii="ITC Avant Garde" w:hAnsi="ITC Avant Garde"/>
          <w:lang w:val="es-MX"/>
        </w:rPr>
        <w:t xml:space="preserve">(los puntos de distribución) </w:t>
      </w:r>
      <w:r w:rsidRPr="00BE63E3">
        <w:rPr>
          <w:rFonts w:ascii="ITC Avant Garde" w:hAnsi="ITC Avant Garde"/>
          <w:lang w:val="es-MX"/>
        </w:rPr>
        <w:t>para el transporte a</w:t>
      </w:r>
      <w:r w:rsidR="0053734A" w:rsidRPr="00BE63E3">
        <w:rPr>
          <w:rFonts w:ascii="ITC Avant Garde" w:hAnsi="ITC Avant Garde"/>
          <w:lang w:val="es-MX"/>
        </w:rPr>
        <w:t xml:space="preserve">l central </w:t>
      </w:r>
      <w:r w:rsidR="00F2544C" w:rsidRPr="00BE63E3">
        <w:rPr>
          <w:rFonts w:ascii="ITC Avant Garde" w:hAnsi="ITC Avant Garde"/>
          <w:lang w:val="es-MX"/>
        </w:rPr>
        <w:t>más</w:t>
      </w:r>
      <w:r w:rsidR="0053734A" w:rsidRPr="00BE63E3">
        <w:rPr>
          <w:rFonts w:ascii="ITC Avant Garde" w:hAnsi="ITC Avant Garde"/>
          <w:lang w:val="es-MX"/>
        </w:rPr>
        <w:t xml:space="preserve"> cercano</w:t>
      </w:r>
      <w:r w:rsidRPr="00BE63E3">
        <w:rPr>
          <w:rFonts w:ascii="ITC Avant Garde" w:hAnsi="ITC Avant Garde"/>
          <w:lang w:val="es-MX"/>
        </w:rPr>
        <w:t>.</w:t>
      </w:r>
    </w:p>
    <w:p w:rsidR="00A11503" w:rsidRPr="00BE63E3" w:rsidRDefault="0053734A" w:rsidP="00A11503">
      <w:pPr>
        <w:rPr>
          <w:rFonts w:ascii="ITC Avant Garde" w:hAnsi="ITC Avant Garde"/>
          <w:lang w:val="es-MX"/>
        </w:rPr>
      </w:pPr>
      <w:r w:rsidRPr="00BE63E3">
        <w:rPr>
          <w:rFonts w:ascii="ITC Avant Garde" w:hAnsi="ITC Avant Garde"/>
          <w:lang w:val="es-MX"/>
        </w:rPr>
        <w:t>Asimismo, l</w:t>
      </w:r>
      <w:r w:rsidR="00A11503" w:rsidRPr="00BE63E3">
        <w:rPr>
          <w:rFonts w:ascii="ITC Avant Garde" w:hAnsi="ITC Avant Garde"/>
          <w:lang w:val="es-MX"/>
        </w:rPr>
        <w:t>as redes de acceso de cobre se basan comúnmente en una topología de punto a punto, entre las instalaciones del abonado y los nodos de acceso.</w:t>
      </w:r>
    </w:p>
    <w:p w:rsidR="00A11503" w:rsidRPr="00BE63E3" w:rsidRDefault="00A11503" w:rsidP="00A11503">
      <w:pPr>
        <w:rPr>
          <w:rFonts w:ascii="ITC Avant Garde" w:hAnsi="ITC Avant Garde"/>
          <w:lang w:val="es-MX"/>
        </w:rPr>
      </w:pPr>
      <w:r w:rsidRPr="00BE63E3">
        <w:rPr>
          <w:rFonts w:ascii="ITC Avant Garde" w:hAnsi="ITC Avant Garde"/>
          <w:lang w:val="es-MX"/>
        </w:rPr>
        <w:t xml:space="preserve">Dado que casi toda la capacidad de los bucles </w:t>
      </w:r>
      <w:r w:rsidR="0053734A" w:rsidRPr="00BE63E3">
        <w:rPr>
          <w:rFonts w:ascii="ITC Avant Garde" w:hAnsi="ITC Avant Garde"/>
          <w:lang w:val="es-MX"/>
        </w:rPr>
        <w:t xml:space="preserve">de cobre </w:t>
      </w:r>
      <w:r w:rsidRPr="00BE63E3">
        <w:rPr>
          <w:rFonts w:ascii="ITC Avant Garde" w:hAnsi="ITC Avant Garde"/>
          <w:lang w:val="es-MX"/>
        </w:rPr>
        <w:t xml:space="preserve">se proporciona en pares de cobre, </w:t>
      </w:r>
      <w:r w:rsidR="0053734A" w:rsidRPr="00BE63E3">
        <w:rPr>
          <w:rFonts w:ascii="ITC Avant Garde" w:hAnsi="ITC Avant Garde"/>
          <w:lang w:val="es-MX"/>
        </w:rPr>
        <w:t>se han</w:t>
      </w:r>
      <w:r w:rsidRPr="00BE63E3">
        <w:rPr>
          <w:rFonts w:ascii="ITC Avant Garde" w:hAnsi="ITC Avant Garde"/>
          <w:lang w:val="es-MX"/>
        </w:rPr>
        <w:t xml:space="preserve"> buscado </w:t>
      </w:r>
      <w:r w:rsidR="0053734A" w:rsidRPr="00BE63E3">
        <w:rPr>
          <w:rFonts w:ascii="ITC Avant Garde" w:hAnsi="ITC Avant Garde"/>
          <w:lang w:val="es-MX"/>
        </w:rPr>
        <w:t xml:space="preserve">soluciones técnicas para </w:t>
      </w:r>
      <w:r w:rsidRPr="00BE63E3">
        <w:rPr>
          <w:rFonts w:ascii="ITC Avant Garde" w:hAnsi="ITC Avant Garde"/>
          <w:lang w:val="es-MX"/>
        </w:rPr>
        <w:t>aumentar la cantidad de datos</w:t>
      </w:r>
      <w:r w:rsidR="00875932">
        <w:rPr>
          <w:rFonts w:ascii="ITC Avant Garde" w:hAnsi="ITC Avant Garde"/>
          <w:lang w:val="es-MX"/>
        </w:rPr>
        <w:t>/</w:t>
      </w:r>
      <w:r w:rsidRPr="00BE63E3">
        <w:rPr>
          <w:rFonts w:ascii="ITC Avant Garde" w:hAnsi="ITC Avant Garde"/>
          <w:lang w:val="es-MX"/>
        </w:rPr>
        <w:t xml:space="preserve">tráfico que se puede transmitir a través de un par de cobre, como las tecnologías </w:t>
      </w:r>
      <w:proofErr w:type="spellStart"/>
      <w:r w:rsidRPr="00BE63E3">
        <w:rPr>
          <w:rFonts w:ascii="ITC Avant Garde" w:hAnsi="ITC Avant Garde"/>
          <w:lang w:val="es-MX"/>
        </w:rPr>
        <w:t>xDSL</w:t>
      </w:r>
      <w:proofErr w:type="spellEnd"/>
      <w:r w:rsidRPr="00BE63E3">
        <w:rPr>
          <w:rFonts w:ascii="ITC Avant Garde" w:hAnsi="ITC Avant Garde"/>
          <w:lang w:val="es-MX"/>
        </w:rPr>
        <w:t xml:space="preserve">. El aumento de las velocidades de datos se produce a </w:t>
      </w:r>
      <w:r w:rsidR="002A1977" w:rsidRPr="00BE63E3">
        <w:rPr>
          <w:rFonts w:ascii="ITC Avant Garde" w:hAnsi="ITC Avant Garde"/>
          <w:lang w:val="es-MX"/>
        </w:rPr>
        <w:t>costa</w:t>
      </w:r>
      <w:r w:rsidRPr="00BE63E3">
        <w:rPr>
          <w:rFonts w:ascii="ITC Avant Garde" w:hAnsi="ITC Avant Garde"/>
          <w:lang w:val="es-MX"/>
        </w:rPr>
        <w:t xml:space="preserve"> de una reducción en la </w:t>
      </w:r>
      <w:r w:rsidRPr="00BE63E3">
        <w:rPr>
          <w:rFonts w:ascii="ITC Avant Garde" w:hAnsi="ITC Avant Garde"/>
          <w:lang w:val="es-MX"/>
        </w:rPr>
        <w:lastRenderedPageBreak/>
        <w:t>distancia de transmisión; los cables de cobre de par trenzado tienen que ser de longitud más corta</w:t>
      </w:r>
      <w:r w:rsidR="002A1977" w:rsidRPr="00BE63E3">
        <w:rPr>
          <w:rFonts w:ascii="ITC Avant Garde" w:hAnsi="ITC Avant Garde"/>
          <w:lang w:val="es-MX"/>
        </w:rPr>
        <w:t xml:space="preserve">, lo que ha provocado </w:t>
      </w:r>
      <w:r w:rsidRPr="00BE63E3">
        <w:rPr>
          <w:rFonts w:ascii="ITC Avant Garde" w:hAnsi="ITC Avant Garde"/>
          <w:lang w:val="es-MX"/>
        </w:rPr>
        <w:t>que el equipo activo (generalmente DSLAM) esté comenzando a implementarse en las ubicaciones de los gabinetes de las calles</w:t>
      </w:r>
      <w:r w:rsidR="002A1977" w:rsidRPr="00BE63E3">
        <w:rPr>
          <w:rFonts w:ascii="ITC Avant Garde" w:hAnsi="ITC Avant Garde"/>
          <w:lang w:val="es-MX"/>
        </w:rPr>
        <w:t xml:space="preserve"> en lugar del central</w:t>
      </w:r>
      <w:r w:rsidRPr="00BE63E3">
        <w:rPr>
          <w:rFonts w:ascii="ITC Avant Garde" w:hAnsi="ITC Avant Garde"/>
          <w:lang w:val="es-MX"/>
        </w:rPr>
        <w:t>.</w:t>
      </w:r>
    </w:p>
    <w:p w:rsidR="00A11503" w:rsidRPr="00BE63E3" w:rsidRDefault="00A11503" w:rsidP="00A11503">
      <w:pPr>
        <w:rPr>
          <w:rFonts w:ascii="ITC Avant Garde" w:hAnsi="ITC Avant Garde"/>
          <w:lang w:val="es-MX"/>
        </w:rPr>
      </w:pPr>
      <w:r w:rsidRPr="00BE63E3">
        <w:rPr>
          <w:rFonts w:ascii="ITC Avant Garde" w:hAnsi="ITC Avant Garde"/>
          <w:lang w:val="es-MX"/>
        </w:rPr>
        <w:t xml:space="preserve">Además de la tecnología de cobre, existen otras técnicas que se implementan en México que pueden ofrecer servicios mejorados en el </w:t>
      </w:r>
      <w:r w:rsidR="002A1977" w:rsidRPr="00BE63E3">
        <w:rPr>
          <w:rFonts w:ascii="ITC Avant Garde" w:hAnsi="ITC Avant Garde"/>
          <w:lang w:val="es-MX"/>
        </w:rPr>
        <w:t>bucle</w:t>
      </w:r>
      <w:r w:rsidRPr="00BE63E3">
        <w:rPr>
          <w:rFonts w:ascii="ITC Avant Garde" w:hAnsi="ITC Avant Garde"/>
          <w:lang w:val="es-MX"/>
        </w:rPr>
        <w:t xml:space="preserve"> local, que se basan básicamente en la tecnología de fibra.</w:t>
      </w:r>
      <w:r w:rsidR="002A1977" w:rsidRPr="00BE63E3">
        <w:rPr>
          <w:rFonts w:ascii="ITC Avant Garde" w:hAnsi="ITC Avant Garde"/>
          <w:lang w:val="es-MX"/>
        </w:rPr>
        <w:t xml:space="preserve"> En las redes de f</w:t>
      </w:r>
      <w:r w:rsidRPr="00BE63E3">
        <w:rPr>
          <w:rFonts w:ascii="ITC Avant Garde" w:hAnsi="ITC Avant Garde"/>
          <w:lang w:val="es-MX"/>
        </w:rPr>
        <w:t>ibra directa al cliente (</w:t>
      </w:r>
      <w:proofErr w:type="spellStart"/>
      <w:r w:rsidRPr="00F2544C">
        <w:rPr>
          <w:rFonts w:ascii="ITC Avant Garde" w:hAnsi="ITC Avant Garde"/>
          <w:i/>
          <w:lang w:val="es-MX"/>
        </w:rPr>
        <w:t>Fiber</w:t>
      </w:r>
      <w:proofErr w:type="spellEnd"/>
      <w:r w:rsidRPr="00F2544C">
        <w:rPr>
          <w:rFonts w:ascii="ITC Avant Garde" w:hAnsi="ITC Avant Garde"/>
          <w:i/>
          <w:lang w:val="es-MX"/>
        </w:rPr>
        <w:t xml:space="preserve"> To </w:t>
      </w:r>
      <w:proofErr w:type="spellStart"/>
      <w:r w:rsidRPr="00F2544C">
        <w:rPr>
          <w:rFonts w:ascii="ITC Avant Garde" w:hAnsi="ITC Avant Garde"/>
          <w:i/>
          <w:lang w:val="es-MX"/>
        </w:rPr>
        <w:t>The</w:t>
      </w:r>
      <w:proofErr w:type="spellEnd"/>
      <w:r w:rsidRPr="00F2544C">
        <w:rPr>
          <w:rFonts w:ascii="ITC Avant Garde" w:hAnsi="ITC Avant Garde"/>
          <w:i/>
          <w:lang w:val="es-MX"/>
        </w:rPr>
        <w:t xml:space="preserve"> Home</w:t>
      </w:r>
      <w:r w:rsidRPr="00BE63E3">
        <w:rPr>
          <w:rFonts w:ascii="ITC Avant Garde" w:hAnsi="ITC Avant Garde"/>
          <w:lang w:val="es-MX"/>
        </w:rPr>
        <w:t>, FTTH)</w:t>
      </w:r>
      <w:r w:rsidR="002A1977" w:rsidRPr="00BE63E3">
        <w:rPr>
          <w:rFonts w:ascii="ITC Avant Garde" w:hAnsi="ITC Avant Garde"/>
          <w:lang w:val="es-MX"/>
        </w:rPr>
        <w:t>,</w:t>
      </w:r>
      <w:r w:rsidRPr="00BE63E3">
        <w:rPr>
          <w:rFonts w:ascii="ITC Avant Garde" w:hAnsi="ITC Avant Garde"/>
          <w:lang w:val="es-MX"/>
        </w:rPr>
        <w:t xml:space="preserve"> la fibra llega al límite de la casa del cliente, </w:t>
      </w:r>
      <w:r w:rsidR="002A1977" w:rsidRPr="00BE63E3">
        <w:rPr>
          <w:rFonts w:ascii="ITC Avant Garde" w:hAnsi="ITC Avant Garde"/>
          <w:lang w:val="es-MX"/>
        </w:rPr>
        <w:t>por ejemplo, en</w:t>
      </w:r>
      <w:r w:rsidRPr="00BE63E3">
        <w:rPr>
          <w:rFonts w:ascii="ITC Avant Garde" w:hAnsi="ITC Avant Garde"/>
          <w:lang w:val="es-MX"/>
        </w:rPr>
        <w:t xml:space="preserve"> una caja en la pared exterior de una casa. Esta tecnología p</w:t>
      </w:r>
      <w:r w:rsidR="002A1977" w:rsidRPr="00BE63E3">
        <w:rPr>
          <w:rFonts w:ascii="ITC Avant Garde" w:hAnsi="ITC Avant Garde"/>
          <w:lang w:val="es-MX"/>
        </w:rPr>
        <w:t>uede</w:t>
      </w:r>
      <w:r w:rsidRPr="00BE63E3">
        <w:rPr>
          <w:rFonts w:ascii="ITC Avant Garde" w:hAnsi="ITC Avant Garde"/>
          <w:lang w:val="es-MX"/>
        </w:rPr>
        <w:t xml:space="preserve"> implementarse utilizando dos arquitecturas de red:</w:t>
      </w:r>
    </w:p>
    <w:p w:rsidR="00A11503" w:rsidRPr="00BE63E3" w:rsidRDefault="002149BD" w:rsidP="002A1977">
      <w:pPr>
        <w:pStyle w:val="Listaconvietas2"/>
        <w:rPr>
          <w:rFonts w:ascii="ITC Avant Garde" w:hAnsi="ITC Avant Garde"/>
          <w:lang w:val="es-MX"/>
        </w:rPr>
      </w:pPr>
      <w:r>
        <w:rPr>
          <w:rFonts w:ascii="ITC Avant Garde" w:hAnsi="ITC Avant Garde"/>
          <w:lang w:val="es-MX"/>
        </w:rPr>
        <w:t>U</w:t>
      </w:r>
      <w:r w:rsidR="00A11503" w:rsidRPr="00BE63E3">
        <w:rPr>
          <w:rFonts w:ascii="ITC Avant Garde" w:hAnsi="ITC Avant Garde"/>
          <w:lang w:val="es-MX"/>
        </w:rPr>
        <w:t>na arquitectura PON (red óptica pasiva);</w:t>
      </w:r>
    </w:p>
    <w:p w:rsidR="00A11503" w:rsidRPr="00BE63E3" w:rsidRDefault="002149BD" w:rsidP="002A1977">
      <w:pPr>
        <w:pStyle w:val="Listaconvietas2"/>
        <w:rPr>
          <w:rFonts w:ascii="ITC Avant Garde" w:hAnsi="ITC Avant Garde"/>
          <w:lang w:val="es-MX"/>
        </w:rPr>
      </w:pPr>
      <w:r>
        <w:rPr>
          <w:rFonts w:ascii="ITC Avant Garde" w:hAnsi="ITC Avant Garde"/>
          <w:lang w:val="es-MX"/>
        </w:rPr>
        <w:t>U</w:t>
      </w:r>
      <w:r w:rsidR="00A11503" w:rsidRPr="00BE63E3">
        <w:rPr>
          <w:rFonts w:ascii="ITC Avant Garde" w:hAnsi="ITC Avant Garde"/>
          <w:lang w:val="es-MX"/>
        </w:rPr>
        <w:t>na arquitectura P</w:t>
      </w:r>
      <w:r w:rsidR="002A1977" w:rsidRPr="00BE63E3">
        <w:rPr>
          <w:rFonts w:ascii="ITC Avant Garde" w:hAnsi="ITC Avant Garde"/>
          <w:lang w:val="es-MX"/>
        </w:rPr>
        <w:t>2</w:t>
      </w:r>
      <w:r w:rsidR="00A11503" w:rsidRPr="00BE63E3">
        <w:rPr>
          <w:rFonts w:ascii="ITC Avant Garde" w:hAnsi="ITC Avant Garde"/>
          <w:lang w:val="es-MX"/>
        </w:rPr>
        <w:t>P (punto a punto).</w:t>
      </w:r>
    </w:p>
    <w:p w:rsidR="00A11503" w:rsidRPr="00BE63E3" w:rsidRDefault="00A11503" w:rsidP="00A11503">
      <w:pPr>
        <w:rPr>
          <w:rFonts w:ascii="ITC Avant Garde" w:hAnsi="ITC Avant Garde"/>
          <w:lang w:val="es-MX"/>
        </w:rPr>
      </w:pPr>
      <w:r w:rsidRPr="00BE63E3">
        <w:rPr>
          <w:rFonts w:ascii="ITC Avant Garde" w:hAnsi="ITC Avant Garde"/>
          <w:lang w:val="es-MX"/>
        </w:rPr>
        <w:t xml:space="preserve">La arquitectura GPON (red óptica pasiva con capacidad Gigabit) significa que la fibra se implementa </w:t>
      </w:r>
      <w:r w:rsidR="002A1977" w:rsidRPr="00BE63E3">
        <w:rPr>
          <w:rFonts w:ascii="ITC Avant Garde" w:hAnsi="ITC Avant Garde"/>
          <w:lang w:val="es-MX"/>
        </w:rPr>
        <w:t>siguiendo</w:t>
      </w:r>
      <w:r w:rsidRPr="00BE63E3">
        <w:rPr>
          <w:rFonts w:ascii="ITC Avant Garde" w:hAnsi="ITC Avant Garde"/>
          <w:lang w:val="es-MX"/>
        </w:rPr>
        <w:t xml:space="preserve"> una topología de árbol, pero </w:t>
      </w:r>
      <w:r w:rsidR="002A1977" w:rsidRPr="00BE63E3">
        <w:rPr>
          <w:rFonts w:ascii="ITC Avant Garde" w:hAnsi="ITC Avant Garde"/>
          <w:lang w:val="es-MX"/>
        </w:rPr>
        <w:t>una</w:t>
      </w:r>
      <w:r w:rsidRPr="00BE63E3">
        <w:rPr>
          <w:rFonts w:ascii="ITC Avant Garde" w:hAnsi="ITC Avant Garde"/>
          <w:lang w:val="es-MX"/>
        </w:rPr>
        <w:t xml:space="preserve"> fibra no está dedicada a una premisa: las fibras se dividen </w:t>
      </w:r>
      <w:r w:rsidR="002A1977" w:rsidRPr="00BE63E3">
        <w:rPr>
          <w:rFonts w:ascii="ITC Avant Garde" w:hAnsi="ITC Avant Garde"/>
          <w:lang w:val="es-MX"/>
        </w:rPr>
        <w:t>de manera</w:t>
      </w:r>
      <w:r w:rsidRPr="00BE63E3">
        <w:rPr>
          <w:rFonts w:ascii="ITC Avant Garde" w:hAnsi="ITC Avant Garde"/>
          <w:lang w:val="es-MX"/>
        </w:rPr>
        <w:t xml:space="preserve"> que varias instalaciones compartan la misma fibra entre el punto de intercambio</w:t>
      </w:r>
      <w:r w:rsidR="002A1977" w:rsidRPr="00BE63E3">
        <w:rPr>
          <w:rFonts w:ascii="ITC Avant Garde" w:hAnsi="ITC Avant Garde"/>
          <w:lang w:val="es-MX"/>
        </w:rPr>
        <w:t xml:space="preserve"> (central)</w:t>
      </w:r>
      <w:r w:rsidRPr="00BE63E3">
        <w:rPr>
          <w:rFonts w:ascii="ITC Avant Garde" w:hAnsi="ITC Avant Garde"/>
          <w:lang w:val="es-MX"/>
        </w:rPr>
        <w:t xml:space="preserve"> y el </w:t>
      </w:r>
      <w:r w:rsidR="003A0FB4" w:rsidRPr="00BE63E3">
        <w:rPr>
          <w:rFonts w:ascii="ITC Avant Garde" w:hAnsi="ITC Avant Garde"/>
          <w:lang w:val="es-MX"/>
        </w:rPr>
        <w:t>divisor</w:t>
      </w:r>
      <w:r w:rsidR="002A1977" w:rsidRPr="00BE63E3">
        <w:rPr>
          <w:rFonts w:ascii="ITC Avant Garde" w:hAnsi="ITC Avant Garde"/>
          <w:lang w:val="es-MX"/>
        </w:rPr>
        <w:t xml:space="preserve"> (</w:t>
      </w:r>
      <w:proofErr w:type="spellStart"/>
      <w:r w:rsidR="002A1977" w:rsidRPr="00BE63E3">
        <w:rPr>
          <w:rFonts w:ascii="ITC Avant Garde" w:hAnsi="ITC Avant Garde"/>
          <w:i/>
          <w:lang w:val="es-MX"/>
        </w:rPr>
        <w:t>splitter</w:t>
      </w:r>
      <w:proofErr w:type="spellEnd"/>
      <w:r w:rsidR="002A1977" w:rsidRPr="00BE63E3">
        <w:rPr>
          <w:rFonts w:ascii="ITC Avant Garde" w:hAnsi="ITC Avant Garde"/>
          <w:lang w:val="es-MX"/>
        </w:rPr>
        <w:t>)</w:t>
      </w:r>
      <w:r w:rsidR="003A0FB4" w:rsidRPr="00BE63E3">
        <w:rPr>
          <w:rFonts w:ascii="ITC Avant Garde" w:hAnsi="ITC Avant Garde"/>
          <w:lang w:val="es-MX"/>
        </w:rPr>
        <w:t>.</w:t>
      </w:r>
      <w:r w:rsidR="002A1977" w:rsidRPr="00BE63E3">
        <w:rPr>
          <w:rFonts w:ascii="ITC Avant Garde" w:hAnsi="ITC Avant Garde"/>
          <w:lang w:val="es-MX"/>
        </w:rPr>
        <w:t xml:space="preserve"> </w:t>
      </w:r>
      <w:r w:rsidRPr="00BE63E3">
        <w:rPr>
          <w:rFonts w:ascii="ITC Avant Garde" w:hAnsi="ITC Avant Garde"/>
          <w:lang w:val="es-MX"/>
        </w:rPr>
        <w:t>Las fibras desplegadas desde el nodo de acceso al cliente final se dividen progresivamente antes de llegar a las instalaciones finales (</w:t>
      </w:r>
      <w:r w:rsidR="002A1977" w:rsidRPr="00BE63E3">
        <w:rPr>
          <w:rFonts w:ascii="ITC Avant Garde" w:hAnsi="ITC Avant Garde"/>
          <w:lang w:val="es-MX"/>
        </w:rPr>
        <w:t>ver</w:t>
      </w:r>
      <w:r w:rsidRPr="00BE63E3">
        <w:rPr>
          <w:rFonts w:ascii="ITC Avant Garde" w:hAnsi="ITC Avant Garde"/>
          <w:lang w:val="es-MX"/>
        </w:rPr>
        <w:t xml:space="preserve"> figura </w:t>
      </w:r>
      <w:r w:rsidR="00926902">
        <w:rPr>
          <w:rFonts w:ascii="ITC Avant Garde" w:hAnsi="ITC Avant Garde"/>
          <w:lang w:val="es-MX"/>
        </w:rPr>
        <w:t>siguiente</w:t>
      </w:r>
      <w:r w:rsidRPr="00BE63E3">
        <w:rPr>
          <w:rFonts w:ascii="ITC Avant Garde" w:hAnsi="ITC Avant Garde"/>
          <w:lang w:val="es-MX"/>
        </w:rPr>
        <w:t>).</w:t>
      </w:r>
    </w:p>
    <w:p w:rsidR="00A11503" w:rsidRPr="00BE63E3" w:rsidRDefault="00A11503" w:rsidP="00A11503">
      <w:pPr>
        <w:rPr>
          <w:rFonts w:ascii="ITC Avant Garde" w:hAnsi="ITC Avant Garde"/>
          <w:lang w:val="es-MX"/>
        </w:rPr>
      </w:pPr>
    </w:p>
    <w:p w:rsidR="00A11503" w:rsidRPr="00BE63E3" w:rsidRDefault="00A11503" w:rsidP="00A11503">
      <w:pPr>
        <w:pStyle w:val="Descripcin"/>
        <w:keepNext/>
        <w:rPr>
          <w:rFonts w:ascii="ITC Avant Garde" w:hAnsi="ITC Avant Garde"/>
          <w:lang w:val="es-MX"/>
        </w:rPr>
      </w:pPr>
      <w:r w:rsidRPr="00BE63E3">
        <w:rPr>
          <w:rFonts w:ascii="ITC Avant Garde" w:hAnsi="ITC Avant Garde"/>
          <w:lang w:val="es-MX"/>
        </w:rPr>
        <w:t xml:space="preserve">Figura </w:t>
      </w:r>
      <w:r w:rsidR="003B6FDE">
        <w:rPr>
          <w:rFonts w:ascii="ITC Avant Garde" w:hAnsi="ITC Avant Garde"/>
          <w:lang w:val="es-MX"/>
        </w:rPr>
        <w:t>9</w:t>
      </w:r>
      <w:r w:rsidRPr="00BE63E3">
        <w:rPr>
          <w:rFonts w:ascii="ITC Avant Garde" w:hAnsi="ITC Avant Garde"/>
          <w:lang w:val="es-MX"/>
        </w:rPr>
        <w:t xml:space="preserve"> – Esquema ilustrativo de la tecnología GPON</w:t>
      </w:r>
      <w:r w:rsidRPr="00BE63E3">
        <w:rPr>
          <w:rStyle w:val="Refdenotaalpie"/>
          <w:rFonts w:ascii="ITC Avant Garde" w:hAnsi="ITC Avant Garde"/>
          <w:lang w:val="es-MX"/>
        </w:rPr>
        <w:footnoteReference w:id="25"/>
      </w:r>
    </w:p>
    <w:p w:rsidR="00A11503" w:rsidRPr="00872052" w:rsidRDefault="00A11503" w:rsidP="00A11503">
      <w:pPr>
        <w:rPr>
          <w:rFonts w:ascii="ITC Avant Garde" w:hAnsi="ITC Avant Garde"/>
          <w:lang w:val="es-MX"/>
        </w:rPr>
      </w:pPr>
      <w:r w:rsidRPr="00872052">
        <w:rPr>
          <w:rFonts w:ascii="ITC Avant Garde" w:hAnsi="ITC Avant Garde"/>
          <w:noProof/>
          <w:lang w:val="es-MX" w:eastAsia="es-MX"/>
        </w:rPr>
        <w:drawing>
          <wp:inline distT="0" distB="0" distL="0" distR="0" wp14:anchorId="242A54BD" wp14:editId="730DBC0E">
            <wp:extent cx="5399405" cy="226631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9405" cy="2266315"/>
                    </a:xfrm>
                    <a:prstGeom prst="rect">
                      <a:avLst/>
                    </a:prstGeom>
                    <a:noFill/>
                    <a:ln>
                      <a:noFill/>
                    </a:ln>
                  </pic:spPr>
                </pic:pic>
              </a:graphicData>
            </a:graphic>
          </wp:inline>
        </w:drawing>
      </w:r>
    </w:p>
    <w:p w:rsidR="00A11503" w:rsidRPr="00872052" w:rsidRDefault="00A11503" w:rsidP="00A11503">
      <w:pPr>
        <w:rPr>
          <w:rFonts w:ascii="ITC Avant Garde" w:hAnsi="ITC Avant Garde"/>
          <w:lang w:val="es-MX"/>
        </w:rPr>
      </w:pPr>
    </w:p>
    <w:p w:rsidR="00A11503" w:rsidRPr="00BE63E3" w:rsidRDefault="00A11503" w:rsidP="00A11503">
      <w:pPr>
        <w:rPr>
          <w:rFonts w:ascii="ITC Avant Garde" w:hAnsi="ITC Avant Garde"/>
          <w:lang w:val="es-MX"/>
        </w:rPr>
      </w:pPr>
      <w:r w:rsidRPr="00BE63E3">
        <w:rPr>
          <w:rFonts w:ascii="ITC Avant Garde" w:hAnsi="ITC Avant Garde"/>
          <w:lang w:val="es-MX"/>
        </w:rPr>
        <w:t>A diferencia de la configuración GPON, bajo la arquitectura P</w:t>
      </w:r>
      <w:r w:rsidR="009D12BF" w:rsidRPr="00BE63E3">
        <w:rPr>
          <w:rFonts w:ascii="ITC Avant Garde" w:hAnsi="ITC Avant Garde"/>
          <w:lang w:val="es-MX"/>
        </w:rPr>
        <w:t xml:space="preserve">unto a </w:t>
      </w:r>
      <w:r w:rsidRPr="00BE63E3">
        <w:rPr>
          <w:rFonts w:ascii="ITC Avant Garde" w:hAnsi="ITC Avant Garde"/>
          <w:lang w:val="es-MX"/>
        </w:rPr>
        <w:t>P</w:t>
      </w:r>
      <w:r w:rsidR="009D12BF" w:rsidRPr="00BE63E3">
        <w:rPr>
          <w:rFonts w:ascii="ITC Avant Garde" w:hAnsi="ITC Avant Garde"/>
          <w:lang w:val="es-MX"/>
        </w:rPr>
        <w:t>unto (</w:t>
      </w:r>
      <w:r w:rsidRPr="00BE63E3">
        <w:rPr>
          <w:rFonts w:ascii="ITC Avant Garde" w:hAnsi="ITC Avant Garde"/>
          <w:lang w:val="es-MX"/>
        </w:rPr>
        <w:t>PTP</w:t>
      </w:r>
      <w:r w:rsidR="009D12BF" w:rsidRPr="00BE63E3">
        <w:rPr>
          <w:rFonts w:ascii="ITC Avant Garde" w:hAnsi="ITC Avant Garde"/>
          <w:lang w:val="es-MX"/>
        </w:rPr>
        <w:t>)</w:t>
      </w:r>
      <w:r w:rsidRPr="00BE63E3">
        <w:rPr>
          <w:rFonts w:ascii="ITC Avant Garde" w:hAnsi="ITC Avant Garde"/>
          <w:lang w:val="es-MX"/>
        </w:rPr>
        <w:t>, cada fibra está dedicada a cada premisa individual. Las fibras están contenidas con otras fibras en conductos más grandes y se empalman progresivamente, sin dividirse, del nodo de acceso al cliente final.</w:t>
      </w:r>
    </w:p>
    <w:p w:rsidR="00086BFA" w:rsidRPr="00BE63E3" w:rsidRDefault="00086BFA" w:rsidP="00086BFA">
      <w:pPr>
        <w:rPr>
          <w:rFonts w:ascii="ITC Avant Garde" w:hAnsi="ITC Avant Garde"/>
          <w:lang w:val="es-MX"/>
        </w:rPr>
      </w:pPr>
      <w:r w:rsidRPr="00BE63E3">
        <w:rPr>
          <w:rFonts w:ascii="ITC Avant Garde" w:hAnsi="ITC Avant Garde"/>
          <w:lang w:val="es-MX"/>
        </w:rPr>
        <w:lastRenderedPageBreak/>
        <w:t>Como consecuencia, cerca del nodo de acceso, los conductos de distribución y de alimentación son progresivamente más grandes que los conductos requeridos en una configuración GPON.</w:t>
      </w:r>
    </w:p>
    <w:p w:rsidR="00086BFA" w:rsidRPr="00BE63E3" w:rsidRDefault="00086BFA" w:rsidP="00086BFA">
      <w:pPr>
        <w:rPr>
          <w:rFonts w:ascii="ITC Avant Garde" w:hAnsi="ITC Avant Garde"/>
          <w:lang w:val="es-MX"/>
        </w:rPr>
      </w:pPr>
    </w:p>
    <w:p w:rsidR="00086BFA" w:rsidRPr="00BE63E3" w:rsidRDefault="00086BFA" w:rsidP="00086BFA">
      <w:pPr>
        <w:pStyle w:val="Encadr3"/>
        <w:rPr>
          <w:rFonts w:ascii="ITC Avant Garde" w:hAnsi="ITC Avant Garde"/>
          <w:lang w:val="es-MX"/>
        </w:rPr>
      </w:pPr>
      <w:r w:rsidRPr="00BE63E3">
        <w:rPr>
          <w:rFonts w:ascii="ITC Avant Garde" w:hAnsi="ITC Avant Garde"/>
          <w:lang w:val="es-MX"/>
        </w:rPr>
        <w:t>Criterio 14: La tecnología de red de acceso de fibra más apropiada para ser modelada de acuerdo con el contexto mexicano es la tecnología FTTH GPON.</w:t>
      </w:r>
    </w:p>
    <w:p w:rsidR="00086BFA" w:rsidRPr="00BE63E3" w:rsidRDefault="00086BFA" w:rsidP="00086BFA">
      <w:pPr>
        <w:rPr>
          <w:rFonts w:ascii="ITC Avant Garde" w:hAnsi="ITC Avant Garde"/>
          <w:lang w:val="es-MX"/>
        </w:rPr>
      </w:pPr>
    </w:p>
    <w:p w:rsidR="00A11503" w:rsidRPr="00BE63E3" w:rsidRDefault="00A11503" w:rsidP="00A11503">
      <w:pPr>
        <w:pStyle w:val="Ttulo3"/>
        <w:rPr>
          <w:rFonts w:ascii="ITC Avant Garde" w:hAnsi="ITC Avant Garde"/>
          <w:lang w:val="es-MX"/>
        </w:rPr>
      </w:pPr>
      <w:bookmarkStart w:id="109" w:name="_Toc525665272"/>
      <w:bookmarkStart w:id="110" w:name="_Toc525665651"/>
      <w:bookmarkStart w:id="111" w:name="_Toc526854352"/>
      <w:r w:rsidRPr="00BE63E3">
        <w:rPr>
          <w:rFonts w:ascii="ITC Avant Garde" w:hAnsi="ITC Avant Garde"/>
          <w:lang w:val="es-MX"/>
        </w:rPr>
        <w:t>Demanda de dimensionamiento</w:t>
      </w:r>
      <w:bookmarkEnd w:id="109"/>
      <w:bookmarkEnd w:id="110"/>
      <w:bookmarkEnd w:id="111"/>
    </w:p>
    <w:p w:rsidR="00A11503" w:rsidRPr="00BE63E3" w:rsidRDefault="00A11503" w:rsidP="00A11503">
      <w:pPr>
        <w:rPr>
          <w:rFonts w:ascii="ITC Avant Garde" w:hAnsi="ITC Avant Garde"/>
          <w:lang w:val="es-MX"/>
        </w:rPr>
      </w:pPr>
      <w:r w:rsidRPr="00BE63E3">
        <w:rPr>
          <w:rFonts w:ascii="ITC Avant Garde" w:hAnsi="ITC Avant Garde"/>
          <w:lang w:val="es-MX"/>
        </w:rPr>
        <w:t>La determinación de la demanda en la red de acceso se puede capturar de dos maneras para fines de modelado:</w:t>
      </w:r>
    </w:p>
    <w:p w:rsidR="00A11503" w:rsidRPr="00BE63E3" w:rsidRDefault="00A11503" w:rsidP="00556A48">
      <w:pPr>
        <w:pStyle w:val="Prrafodelista"/>
        <w:numPr>
          <w:ilvl w:val="0"/>
          <w:numId w:val="19"/>
        </w:numPr>
        <w:rPr>
          <w:rFonts w:ascii="ITC Avant Garde" w:hAnsi="ITC Avant Garde"/>
          <w:lang w:val="es-MX"/>
        </w:rPr>
      </w:pPr>
      <w:r w:rsidRPr="00BE63E3">
        <w:rPr>
          <w:rFonts w:ascii="ITC Avant Garde" w:hAnsi="ITC Avant Garde"/>
          <w:lang w:val="es-MX"/>
        </w:rPr>
        <w:t xml:space="preserve">Determinar la demanda para el dimensionamiento de la red de acceso, ya que la metodología </w:t>
      </w:r>
      <w:r w:rsidR="00AC4C26" w:rsidRPr="00BE63E3">
        <w:rPr>
          <w:rFonts w:ascii="ITC Avant Garde" w:hAnsi="ITC Avant Garde"/>
          <w:lang w:val="es-MX"/>
        </w:rPr>
        <w:t xml:space="preserve">de CIPLP </w:t>
      </w:r>
      <w:r w:rsidRPr="00BE63E3">
        <w:rPr>
          <w:rFonts w:ascii="ITC Avant Garde" w:hAnsi="ITC Avant Garde"/>
          <w:lang w:val="es-MX"/>
        </w:rPr>
        <w:t>refleja los costos eficientes promedio en que incurriría un operador al desplegar una red nueva dimensionada para un nivel dado de demanda</w:t>
      </w:r>
      <w:r w:rsidR="002E396D" w:rsidRPr="00BE63E3">
        <w:rPr>
          <w:rFonts w:ascii="ITC Avant Garde" w:hAnsi="ITC Avant Garde"/>
          <w:lang w:val="es-MX"/>
        </w:rPr>
        <w:t xml:space="preserve"> (demanda pasiva)</w:t>
      </w:r>
      <w:r w:rsidRPr="00BE63E3">
        <w:rPr>
          <w:rFonts w:ascii="ITC Avant Garde" w:hAnsi="ITC Avant Garde"/>
          <w:lang w:val="es-MX"/>
        </w:rPr>
        <w:t>;</w:t>
      </w:r>
    </w:p>
    <w:p w:rsidR="00A11503" w:rsidRPr="00BE63E3" w:rsidRDefault="00A11503" w:rsidP="00556A48">
      <w:pPr>
        <w:pStyle w:val="Prrafodelista"/>
        <w:numPr>
          <w:ilvl w:val="0"/>
          <w:numId w:val="19"/>
        </w:numPr>
        <w:rPr>
          <w:rFonts w:ascii="ITC Avant Garde" w:hAnsi="ITC Avant Garde"/>
          <w:lang w:val="es-MX"/>
        </w:rPr>
      </w:pPr>
      <w:r w:rsidRPr="00BE63E3">
        <w:rPr>
          <w:rFonts w:ascii="ITC Avant Garde" w:hAnsi="ITC Avant Garde"/>
          <w:lang w:val="es-MX"/>
        </w:rPr>
        <w:t>Determinar la demanda que usa efectivamente la red de acceso y en la que se recuperan los costos (es decir, la demanda utilizada para derivar los costos unitarios</w:t>
      </w:r>
      <w:r w:rsidR="002E396D" w:rsidRPr="00BE63E3">
        <w:rPr>
          <w:rFonts w:ascii="ITC Avant Garde" w:hAnsi="ITC Avant Garde"/>
          <w:lang w:val="es-MX"/>
        </w:rPr>
        <w:t>, o demanda activa</w:t>
      </w:r>
      <w:r w:rsidRPr="00BE63E3">
        <w:rPr>
          <w:rFonts w:ascii="ITC Avant Garde" w:hAnsi="ITC Avant Garde"/>
          <w:lang w:val="es-MX"/>
        </w:rPr>
        <w:t>);</w:t>
      </w:r>
    </w:p>
    <w:p w:rsidR="00A11503" w:rsidRPr="00BE63E3" w:rsidRDefault="00A11503" w:rsidP="00A11503">
      <w:pPr>
        <w:rPr>
          <w:rFonts w:ascii="ITC Avant Garde" w:hAnsi="ITC Avant Garde"/>
          <w:lang w:val="es-MX"/>
        </w:rPr>
      </w:pPr>
      <w:r w:rsidRPr="00BE63E3">
        <w:rPr>
          <w:rFonts w:ascii="ITC Avant Garde" w:hAnsi="ITC Avant Garde"/>
          <w:lang w:val="es-MX"/>
        </w:rPr>
        <w:t>Una red de acceso está construida para cubrir un área determinada sin tener en cuenta la cantidad real de conexiones activas (suscriptores</w:t>
      </w:r>
      <w:r w:rsidR="00875932">
        <w:rPr>
          <w:rFonts w:ascii="ITC Avant Garde" w:hAnsi="ITC Avant Garde"/>
          <w:lang w:val="es-MX"/>
        </w:rPr>
        <w:t>/</w:t>
      </w:r>
      <w:r w:rsidRPr="00BE63E3">
        <w:rPr>
          <w:rFonts w:ascii="ITC Avant Garde" w:hAnsi="ITC Avant Garde"/>
          <w:lang w:val="es-MX"/>
        </w:rPr>
        <w:t>líneas</w:t>
      </w:r>
      <w:r w:rsidR="00875932">
        <w:rPr>
          <w:rFonts w:ascii="ITC Avant Garde" w:hAnsi="ITC Avant Garde"/>
          <w:lang w:val="es-MX"/>
        </w:rPr>
        <w:t>/</w:t>
      </w:r>
      <w:r w:rsidRPr="00BE63E3">
        <w:rPr>
          <w:rFonts w:ascii="ITC Avant Garde" w:hAnsi="ITC Avant Garde"/>
          <w:lang w:val="es-MX"/>
        </w:rPr>
        <w:t>puertos) en el área, mientras que las conexiones activas son las que recuperan los costos</w:t>
      </w:r>
      <w:r w:rsidR="00953B02" w:rsidRPr="00BE63E3">
        <w:rPr>
          <w:rStyle w:val="Refdenotaalpie"/>
          <w:rFonts w:ascii="ITC Avant Garde" w:hAnsi="ITC Avant Garde"/>
          <w:lang w:val="es-MX"/>
        </w:rPr>
        <w:footnoteReference w:id="26"/>
      </w:r>
      <w:r w:rsidRPr="00BE63E3">
        <w:rPr>
          <w:rFonts w:ascii="ITC Avant Garde" w:hAnsi="ITC Avant Garde"/>
          <w:lang w:val="es-MX"/>
        </w:rPr>
        <w:t xml:space="preserve">. Para las redes de acceso, la segunda forma de demanda </w:t>
      </w:r>
      <w:r w:rsidR="002E396D" w:rsidRPr="00BE63E3">
        <w:rPr>
          <w:rFonts w:ascii="ITC Avant Garde" w:hAnsi="ITC Avant Garde"/>
          <w:lang w:val="es-MX"/>
        </w:rPr>
        <w:t xml:space="preserve">(demanda activa) </w:t>
      </w:r>
      <w:r w:rsidRPr="00BE63E3">
        <w:rPr>
          <w:rFonts w:ascii="ITC Avant Garde" w:hAnsi="ITC Avant Garde"/>
          <w:lang w:val="es-MX"/>
        </w:rPr>
        <w:t xml:space="preserve">tiene un impacto limitado en el dimensionamiento de la red. Sin embargo, se requeriría el nivel de demanda </w:t>
      </w:r>
      <w:r w:rsidR="002E396D" w:rsidRPr="00BE63E3">
        <w:rPr>
          <w:rFonts w:ascii="ITC Avant Garde" w:hAnsi="ITC Avant Garde"/>
          <w:lang w:val="es-MX"/>
        </w:rPr>
        <w:t xml:space="preserve">activa </w:t>
      </w:r>
      <w:r w:rsidRPr="00BE63E3">
        <w:rPr>
          <w:rFonts w:ascii="ITC Avant Garde" w:hAnsi="ITC Avant Garde"/>
          <w:lang w:val="es-MX"/>
        </w:rPr>
        <w:t>para derivar los costos unitarios. Es por eso que es importante diferenciar estos dos tipos de demanda al desarrollar un modelo de costo de red de acceso.</w:t>
      </w:r>
    </w:p>
    <w:p w:rsidR="00A11503" w:rsidRPr="00BE63E3" w:rsidRDefault="00A11503" w:rsidP="005C2495">
      <w:pPr>
        <w:rPr>
          <w:rFonts w:ascii="ITC Avant Garde" w:hAnsi="ITC Avant Garde"/>
          <w:lang w:val="es-MX"/>
        </w:rPr>
      </w:pPr>
      <w:r w:rsidRPr="00BE63E3">
        <w:rPr>
          <w:rFonts w:ascii="ITC Avant Garde" w:hAnsi="ITC Avant Garde"/>
          <w:lang w:val="es-MX"/>
        </w:rPr>
        <w:t xml:space="preserve">Por lo tanto, la demanda del dimensionamiento debe ser coherente con la huella de la red </w:t>
      </w:r>
      <w:r w:rsidR="005C2495" w:rsidRPr="00BE63E3">
        <w:rPr>
          <w:rFonts w:ascii="ITC Avant Garde" w:hAnsi="ITC Avant Garde"/>
          <w:lang w:val="es-MX"/>
        </w:rPr>
        <w:t>y</w:t>
      </w:r>
      <w:r w:rsidRPr="00BE63E3">
        <w:rPr>
          <w:rFonts w:ascii="ITC Avant Garde" w:hAnsi="ITC Avant Garde"/>
          <w:lang w:val="es-MX"/>
        </w:rPr>
        <w:t xml:space="preserve"> consiste en todos los edificios y locales relevantes en México que se han establecido sobre la huella del operador modelado:</w:t>
      </w:r>
    </w:p>
    <w:p w:rsidR="00A11503" w:rsidRPr="00BE63E3" w:rsidRDefault="002149BD" w:rsidP="002E396D">
      <w:pPr>
        <w:pStyle w:val="Listaconvietas2"/>
        <w:rPr>
          <w:rFonts w:ascii="ITC Avant Garde" w:hAnsi="ITC Avant Garde"/>
          <w:lang w:val="es-MX"/>
        </w:rPr>
      </w:pPr>
      <w:r>
        <w:rPr>
          <w:rFonts w:ascii="ITC Avant Garde" w:hAnsi="ITC Avant Garde"/>
          <w:lang w:val="es-MX"/>
        </w:rPr>
        <w:t>L</w:t>
      </w:r>
      <w:r w:rsidR="00A11503" w:rsidRPr="00BE63E3">
        <w:rPr>
          <w:rFonts w:ascii="ITC Avant Garde" w:hAnsi="ITC Avant Garde"/>
          <w:lang w:val="es-MX"/>
        </w:rPr>
        <w:t>ocales residenciales</w:t>
      </w:r>
      <w:r w:rsidR="002E396D" w:rsidRPr="00BE63E3">
        <w:rPr>
          <w:rFonts w:ascii="ITC Avant Garde" w:hAnsi="ITC Avant Garde"/>
          <w:lang w:val="es-MX"/>
        </w:rPr>
        <w:t>,</w:t>
      </w:r>
      <w:r w:rsidR="00A11503" w:rsidRPr="00BE63E3">
        <w:rPr>
          <w:rFonts w:ascii="ITC Avant Garde" w:hAnsi="ITC Avant Garde"/>
          <w:lang w:val="es-MX"/>
        </w:rPr>
        <w:t xml:space="preserve"> donde la gente vive </w:t>
      </w:r>
      <w:r w:rsidR="004B276B" w:rsidRPr="00BE63E3">
        <w:rPr>
          <w:rFonts w:ascii="ITC Avant Garde" w:hAnsi="ITC Avant Garde"/>
          <w:lang w:val="es-MX"/>
        </w:rPr>
        <w:t>permanentemente,</w:t>
      </w:r>
      <w:r w:rsidR="00A11503" w:rsidRPr="00BE63E3">
        <w:rPr>
          <w:rFonts w:ascii="ITC Avant Garde" w:hAnsi="ITC Avant Garde"/>
          <w:lang w:val="es-MX"/>
        </w:rPr>
        <w:t xml:space="preserve"> así como hogares secundarios;</w:t>
      </w:r>
    </w:p>
    <w:p w:rsidR="00A11503" w:rsidRPr="00BE63E3" w:rsidRDefault="002149BD" w:rsidP="002E396D">
      <w:pPr>
        <w:pStyle w:val="Listaconvietas2"/>
        <w:rPr>
          <w:rFonts w:ascii="ITC Avant Garde" w:hAnsi="ITC Avant Garde"/>
          <w:lang w:val="es-MX"/>
        </w:rPr>
      </w:pPr>
      <w:r>
        <w:rPr>
          <w:rFonts w:ascii="ITC Avant Garde" w:hAnsi="ITC Avant Garde"/>
          <w:lang w:val="es-MX"/>
        </w:rPr>
        <w:t>L</w:t>
      </w:r>
      <w:r w:rsidR="00A11503" w:rsidRPr="00BE63E3">
        <w:rPr>
          <w:rFonts w:ascii="ITC Avant Garde" w:hAnsi="ITC Avant Garde"/>
          <w:lang w:val="es-MX"/>
        </w:rPr>
        <w:t>ocales comerciales</w:t>
      </w:r>
      <w:r w:rsidR="002E396D" w:rsidRPr="00BE63E3">
        <w:rPr>
          <w:rFonts w:ascii="ITC Avant Garde" w:hAnsi="ITC Avant Garde"/>
          <w:lang w:val="es-MX"/>
        </w:rPr>
        <w:t>,</w:t>
      </w:r>
      <w:r w:rsidR="00A11503" w:rsidRPr="00BE63E3">
        <w:rPr>
          <w:rFonts w:ascii="ITC Avant Garde" w:hAnsi="ITC Avant Garde"/>
          <w:lang w:val="es-MX"/>
        </w:rPr>
        <w:t xml:space="preserve"> donde se ubican pequeñas empresas y que adquieren productos de mercado masivo similares a los que usan los clientes residenciales;</w:t>
      </w:r>
    </w:p>
    <w:p w:rsidR="00A11503" w:rsidRPr="00BE63E3" w:rsidRDefault="002E396D" w:rsidP="002E396D">
      <w:pPr>
        <w:pStyle w:val="Listaconvietas2"/>
        <w:rPr>
          <w:rFonts w:ascii="ITC Avant Garde" w:hAnsi="ITC Avant Garde"/>
          <w:lang w:val="es-MX"/>
        </w:rPr>
      </w:pPr>
      <w:r w:rsidRPr="00BE63E3">
        <w:rPr>
          <w:rFonts w:ascii="ITC Avant Garde" w:hAnsi="ITC Avant Garde"/>
          <w:lang w:val="es-MX"/>
        </w:rPr>
        <w:t>E</w:t>
      </w:r>
      <w:r w:rsidR="00A11503" w:rsidRPr="00BE63E3">
        <w:rPr>
          <w:rFonts w:ascii="ITC Avant Garde" w:hAnsi="ITC Avant Garde"/>
          <w:lang w:val="es-MX"/>
        </w:rPr>
        <w:t>dificios públicos;</w:t>
      </w:r>
    </w:p>
    <w:p w:rsidR="00A11503" w:rsidRPr="00BE63E3" w:rsidRDefault="00A11503" w:rsidP="002E396D">
      <w:pPr>
        <w:pStyle w:val="Listaconvietas2"/>
        <w:rPr>
          <w:rFonts w:ascii="ITC Avant Garde" w:hAnsi="ITC Avant Garde"/>
          <w:lang w:val="es-MX"/>
        </w:rPr>
      </w:pPr>
      <w:r w:rsidRPr="00BE63E3">
        <w:rPr>
          <w:rFonts w:ascii="ITC Avant Garde" w:hAnsi="ITC Avant Garde"/>
          <w:lang w:val="es-MX"/>
        </w:rPr>
        <w:t>Edificios comerciales;</w:t>
      </w:r>
    </w:p>
    <w:p w:rsidR="00A11503" w:rsidRPr="00BE63E3" w:rsidRDefault="00A11503" w:rsidP="002E396D">
      <w:pPr>
        <w:pStyle w:val="Listaconvietas2"/>
        <w:rPr>
          <w:rFonts w:ascii="ITC Avant Garde" w:hAnsi="ITC Avant Garde"/>
          <w:lang w:val="es-MX"/>
        </w:rPr>
      </w:pPr>
      <w:r w:rsidRPr="00BE63E3">
        <w:rPr>
          <w:rFonts w:ascii="ITC Avant Garde" w:hAnsi="ITC Avant Garde"/>
          <w:lang w:val="es-MX"/>
        </w:rPr>
        <w:lastRenderedPageBreak/>
        <w:t>Edificios industriales</w:t>
      </w:r>
      <w:r w:rsidR="00570745">
        <w:rPr>
          <w:rFonts w:ascii="ITC Avant Garde" w:hAnsi="ITC Avant Garde"/>
          <w:lang w:val="es-MX"/>
        </w:rPr>
        <w:t>.</w:t>
      </w:r>
    </w:p>
    <w:p w:rsidR="00A11503" w:rsidRPr="00BE63E3" w:rsidRDefault="00A11503" w:rsidP="00A11503">
      <w:pPr>
        <w:pStyle w:val="Ttulo3"/>
        <w:rPr>
          <w:rFonts w:ascii="ITC Avant Garde" w:hAnsi="ITC Avant Garde"/>
          <w:lang w:val="es-MX"/>
        </w:rPr>
      </w:pPr>
      <w:bookmarkStart w:id="112" w:name="_Toc525665273"/>
      <w:bookmarkStart w:id="113" w:name="_Toc525665652"/>
      <w:bookmarkStart w:id="114" w:name="_Toc526854353"/>
      <w:r w:rsidRPr="00BE63E3">
        <w:rPr>
          <w:rFonts w:ascii="ITC Avant Garde" w:hAnsi="ITC Avant Garde"/>
          <w:lang w:val="es-MX"/>
        </w:rPr>
        <w:t>Reglas de dimensionamiento y diseño de red</w:t>
      </w:r>
      <w:bookmarkEnd w:id="112"/>
      <w:bookmarkEnd w:id="113"/>
      <w:bookmarkEnd w:id="114"/>
    </w:p>
    <w:p w:rsidR="00A374A9" w:rsidRPr="00BE63E3" w:rsidRDefault="00A374A9" w:rsidP="00A374A9">
      <w:pPr>
        <w:rPr>
          <w:rFonts w:ascii="ITC Avant Garde" w:hAnsi="ITC Avant Garde"/>
          <w:lang w:val="es-MX"/>
        </w:rPr>
      </w:pPr>
      <w:r w:rsidRPr="00BE63E3">
        <w:rPr>
          <w:rFonts w:ascii="ITC Avant Garde" w:hAnsi="ITC Avant Garde"/>
          <w:lang w:val="es-MX"/>
        </w:rPr>
        <w:t xml:space="preserve">Las reglas de dimensionamiento para la red de acceso se </w:t>
      </w:r>
      <w:r w:rsidR="002E396D" w:rsidRPr="00BE63E3">
        <w:rPr>
          <w:rFonts w:ascii="ITC Avant Garde" w:hAnsi="ITC Avant Garde"/>
          <w:lang w:val="es-MX"/>
        </w:rPr>
        <w:t>detallan</w:t>
      </w:r>
      <w:r w:rsidRPr="00BE63E3">
        <w:rPr>
          <w:rFonts w:ascii="ITC Avant Garde" w:hAnsi="ITC Avant Garde"/>
          <w:lang w:val="es-MX"/>
        </w:rPr>
        <w:t xml:space="preserve"> en la </w:t>
      </w:r>
      <w:r w:rsidR="002E396D" w:rsidRPr="00BE63E3">
        <w:rPr>
          <w:rFonts w:ascii="ITC Avant Garde" w:hAnsi="ITC Avant Garde"/>
          <w:lang w:val="es-MX"/>
        </w:rPr>
        <w:t>sección 3</w:t>
      </w:r>
      <w:r w:rsidRPr="00BE63E3">
        <w:rPr>
          <w:rFonts w:ascii="ITC Avant Garde" w:hAnsi="ITC Avant Garde"/>
          <w:lang w:val="es-MX"/>
        </w:rPr>
        <w:t xml:space="preserve">, de forma coherente con los datos recopilados del </w:t>
      </w:r>
      <w:r w:rsidR="005C2495" w:rsidRPr="00BE63E3">
        <w:rPr>
          <w:rFonts w:ascii="ITC Avant Garde" w:hAnsi="ITC Avant Garde"/>
          <w:lang w:val="es-MX"/>
        </w:rPr>
        <w:t>AEP</w:t>
      </w:r>
      <w:r w:rsidRPr="00BE63E3">
        <w:rPr>
          <w:rFonts w:ascii="ITC Avant Garde" w:hAnsi="ITC Avant Garde"/>
          <w:lang w:val="es-MX"/>
        </w:rPr>
        <w:t xml:space="preserve"> y </w:t>
      </w:r>
      <w:r w:rsidR="002E396D" w:rsidRPr="00BE63E3">
        <w:rPr>
          <w:rFonts w:ascii="ITC Avant Garde" w:hAnsi="ITC Avant Garde"/>
          <w:lang w:val="es-MX"/>
        </w:rPr>
        <w:t>con</w:t>
      </w:r>
      <w:r w:rsidRPr="00BE63E3">
        <w:rPr>
          <w:rFonts w:ascii="ITC Avant Garde" w:hAnsi="ITC Avant Garde"/>
          <w:lang w:val="es-MX"/>
        </w:rPr>
        <w:t xml:space="preserve"> las mejores prácticas reales. Los principios generales para el diseño de la red se definen </w:t>
      </w:r>
      <w:r w:rsidR="002E396D" w:rsidRPr="00BE63E3">
        <w:rPr>
          <w:rFonts w:ascii="ITC Avant Garde" w:hAnsi="ITC Avant Garde"/>
          <w:lang w:val="es-MX"/>
        </w:rPr>
        <w:t>a continuación</w:t>
      </w:r>
      <w:r w:rsidRPr="00BE63E3">
        <w:rPr>
          <w:rFonts w:ascii="ITC Avant Garde" w:hAnsi="ITC Avant Garde"/>
          <w:lang w:val="es-MX"/>
        </w:rPr>
        <w:t>.</w:t>
      </w:r>
    </w:p>
    <w:p w:rsidR="00A374A9" w:rsidRPr="00BE63E3" w:rsidRDefault="00A374A9" w:rsidP="00A374A9">
      <w:pPr>
        <w:rPr>
          <w:rFonts w:ascii="ITC Avant Garde" w:hAnsi="ITC Avant Garde"/>
          <w:lang w:val="es-MX"/>
        </w:rPr>
      </w:pPr>
    </w:p>
    <w:p w:rsidR="00A374A9" w:rsidRPr="00BE63E3" w:rsidRDefault="00A374A9" w:rsidP="00A374A9">
      <w:pPr>
        <w:pStyle w:val="Ttulo4"/>
        <w:rPr>
          <w:rFonts w:ascii="ITC Avant Garde" w:hAnsi="ITC Avant Garde"/>
          <w:lang w:val="es-MX"/>
        </w:rPr>
      </w:pPr>
      <w:bookmarkStart w:id="115" w:name="_Toc525665274"/>
      <w:bookmarkStart w:id="116" w:name="_Toc525665653"/>
      <w:bookmarkStart w:id="117" w:name="_Toc526854354"/>
      <w:r w:rsidRPr="00BE63E3">
        <w:rPr>
          <w:rFonts w:ascii="ITC Avant Garde" w:hAnsi="ITC Avant Garde"/>
          <w:lang w:val="es-MX"/>
        </w:rPr>
        <w:t>Diseño de red</w:t>
      </w:r>
      <w:bookmarkEnd w:id="115"/>
      <w:bookmarkEnd w:id="116"/>
      <w:bookmarkEnd w:id="117"/>
    </w:p>
    <w:p w:rsidR="002E396D" w:rsidRPr="00BE63E3" w:rsidRDefault="002E396D" w:rsidP="00A374A9">
      <w:pPr>
        <w:rPr>
          <w:rFonts w:ascii="ITC Avant Garde" w:hAnsi="ITC Avant Garde"/>
          <w:lang w:val="es-MX"/>
        </w:rPr>
      </w:pPr>
      <w:r w:rsidRPr="00BE63E3">
        <w:rPr>
          <w:rFonts w:ascii="ITC Avant Garde" w:hAnsi="ITC Avant Garde"/>
          <w:lang w:val="es-MX"/>
        </w:rPr>
        <w:t>E</w:t>
      </w:r>
      <w:r w:rsidR="00A374A9" w:rsidRPr="00BE63E3">
        <w:rPr>
          <w:rFonts w:ascii="ITC Avant Garde" w:hAnsi="ITC Avant Garde"/>
          <w:lang w:val="es-MX"/>
        </w:rPr>
        <w:t>l proceso de dimensionamiento para las categorías de costos directos de la red</w:t>
      </w:r>
      <w:r w:rsidRPr="00BE63E3">
        <w:rPr>
          <w:rFonts w:ascii="ITC Avant Garde" w:hAnsi="ITC Avant Garde"/>
          <w:lang w:val="es-MX"/>
        </w:rPr>
        <w:t xml:space="preserve"> </w:t>
      </w:r>
      <w:r w:rsidR="00F2544C" w:rsidRPr="00BE63E3">
        <w:rPr>
          <w:rFonts w:ascii="ITC Avant Garde" w:hAnsi="ITC Avant Garde"/>
          <w:lang w:val="es-MX"/>
        </w:rPr>
        <w:t>está</w:t>
      </w:r>
      <w:r w:rsidRPr="00BE63E3">
        <w:rPr>
          <w:rFonts w:ascii="ITC Avant Garde" w:hAnsi="ITC Avant Garde"/>
          <w:lang w:val="es-MX"/>
        </w:rPr>
        <w:t xml:space="preserve"> basado en reglas de </w:t>
      </w:r>
      <w:r w:rsidR="00F2544C" w:rsidRPr="00BE63E3">
        <w:rPr>
          <w:rFonts w:ascii="ITC Avant Garde" w:hAnsi="ITC Avant Garde"/>
          <w:lang w:val="es-MX"/>
        </w:rPr>
        <w:t>ingeniería</w:t>
      </w:r>
      <w:r w:rsidR="004C5CB3">
        <w:rPr>
          <w:rFonts w:ascii="ITC Avant Garde" w:hAnsi="ITC Avant Garde"/>
          <w:lang w:val="es-MX"/>
        </w:rPr>
        <w:t xml:space="preserve">, los cuales </w:t>
      </w:r>
      <w:r w:rsidR="00A374A9" w:rsidRPr="00BE63E3">
        <w:rPr>
          <w:rFonts w:ascii="ITC Avant Garde" w:hAnsi="ITC Avant Garde"/>
          <w:lang w:val="es-MX"/>
        </w:rPr>
        <w:t>se establece</w:t>
      </w:r>
      <w:r w:rsidRPr="00BE63E3">
        <w:rPr>
          <w:rFonts w:ascii="ITC Avant Garde" w:hAnsi="ITC Avant Garde"/>
          <w:lang w:val="es-MX"/>
        </w:rPr>
        <w:t>n</w:t>
      </w:r>
      <w:r w:rsidR="00A374A9" w:rsidRPr="00BE63E3">
        <w:rPr>
          <w:rFonts w:ascii="ITC Avant Garde" w:hAnsi="ITC Avant Garde"/>
          <w:lang w:val="es-MX"/>
        </w:rPr>
        <w:t xml:space="preserve"> de acuerdo con el principio de </w:t>
      </w:r>
      <w:r w:rsidR="005209E2">
        <w:rPr>
          <w:rFonts w:ascii="ITC Avant Garde" w:hAnsi="ITC Avant Garde"/>
          <w:lang w:val="es-MX"/>
        </w:rPr>
        <w:t>diseño de una</w:t>
      </w:r>
      <w:r w:rsidR="00A374A9" w:rsidRPr="00BE63E3">
        <w:rPr>
          <w:rFonts w:ascii="ITC Avant Garde" w:hAnsi="ITC Avant Garde"/>
          <w:lang w:val="es-MX"/>
        </w:rPr>
        <w:t xml:space="preserve"> red moderna eficiente </w:t>
      </w:r>
      <w:r w:rsidR="005209E2">
        <w:rPr>
          <w:rFonts w:ascii="ITC Avant Garde" w:hAnsi="ITC Avant Garde"/>
          <w:lang w:val="es-MX"/>
        </w:rPr>
        <w:t>a través de la cual se ofrezca</w:t>
      </w:r>
      <w:r w:rsidR="00A374A9" w:rsidRPr="00BE63E3">
        <w:rPr>
          <w:rFonts w:ascii="ITC Avant Garde" w:hAnsi="ITC Avant Garde"/>
          <w:lang w:val="es-MX"/>
        </w:rPr>
        <w:t xml:space="preserve"> </w:t>
      </w:r>
      <w:r w:rsidR="005209E2">
        <w:rPr>
          <w:rFonts w:ascii="ITC Avant Garde" w:hAnsi="ITC Avant Garde"/>
          <w:lang w:val="es-MX"/>
        </w:rPr>
        <w:t>un</w:t>
      </w:r>
      <w:r w:rsidR="005209E2" w:rsidRPr="00BE63E3">
        <w:rPr>
          <w:rFonts w:ascii="ITC Avant Garde" w:hAnsi="ITC Avant Garde"/>
          <w:lang w:val="es-MX"/>
        </w:rPr>
        <w:t xml:space="preserve"> </w:t>
      </w:r>
      <w:r w:rsidR="00A374A9" w:rsidRPr="00BE63E3">
        <w:rPr>
          <w:rFonts w:ascii="ITC Avant Garde" w:hAnsi="ITC Avant Garde"/>
          <w:lang w:val="es-MX"/>
        </w:rPr>
        <w:t xml:space="preserve">nivel de calidad de servicio buscado. </w:t>
      </w:r>
    </w:p>
    <w:p w:rsidR="00A374A9" w:rsidRPr="00BE63E3" w:rsidRDefault="00A374A9" w:rsidP="00A374A9">
      <w:pPr>
        <w:rPr>
          <w:rFonts w:ascii="ITC Avant Garde" w:hAnsi="ITC Avant Garde"/>
          <w:lang w:val="es-MX"/>
        </w:rPr>
      </w:pPr>
      <w:r w:rsidRPr="00BE63E3">
        <w:rPr>
          <w:rFonts w:ascii="ITC Avant Garde" w:hAnsi="ITC Avant Garde"/>
          <w:lang w:val="es-MX"/>
        </w:rPr>
        <w:t xml:space="preserve">Sin embargo, estas reglas de ingeniería deberían ser provistas por el </w:t>
      </w:r>
      <w:r w:rsidR="002E396D" w:rsidRPr="00BE63E3">
        <w:rPr>
          <w:rFonts w:ascii="ITC Avant Garde" w:hAnsi="ITC Avant Garde"/>
          <w:lang w:val="es-MX"/>
        </w:rPr>
        <w:t>AE</w:t>
      </w:r>
      <w:r w:rsidRPr="00BE63E3">
        <w:rPr>
          <w:rFonts w:ascii="ITC Avant Garde" w:hAnsi="ITC Avant Garde"/>
          <w:lang w:val="es-MX"/>
        </w:rPr>
        <w:t xml:space="preserve">P y otras partes interesadas que desplieguen redes de fibra, de acuerdo con la solicitud de datos, como punto de partida, y para salvaguardar que </w:t>
      </w:r>
      <w:r w:rsidR="002E396D" w:rsidRPr="00BE63E3">
        <w:rPr>
          <w:rFonts w:ascii="ITC Avant Garde" w:hAnsi="ITC Avant Garde"/>
          <w:lang w:val="es-MX"/>
        </w:rPr>
        <w:t>el modelo</w:t>
      </w:r>
      <w:r w:rsidRPr="00BE63E3">
        <w:rPr>
          <w:rFonts w:ascii="ITC Avant Garde" w:hAnsi="ITC Avant Garde"/>
          <w:lang w:val="es-MX"/>
        </w:rPr>
        <w:t xml:space="preserve"> refleje el contexto mexicano. De hecho, existen múltiples formas "eficientes" de construir una red, dependiendo de las especificidades reglamentarias locales y del nivel de calidad del servicio que se desea alcanzar: esto implica que las reglas de diseño para las técnicas de implementación, sistemas y arquitectura de red deben basarse primero en las aportaciones mexicanas.</w:t>
      </w:r>
    </w:p>
    <w:p w:rsidR="00A374A9" w:rsidRPr="00BE63E3" w:rsidRDefault="00A374A9" w:rsidP="00A374A9">
      <w:pPr>
        <w:rPr>
          <w:rFonts w:ascii="ITC Avant Garde" w:hAnsi="ITC Avant Garde"/>
          <w:lang w:val="es-MX"/>
        </w:rPr>
      </w:pPr>
      <w:r w:rsidRPr="00BE63E3">
        <w:rPr>
          <w:rFonts w:ascii="ITC Avant Garde" w:hAnsi="ITC Avant Garde"/>
          <w:lang w:val="es-MX"/>
        </w:rPr>
        <w:t>Tales reglas de ingeniería son, por ejemplo:</w:t>
      </w:r>
    </w:p>
    <w:p w:rsidR="00A374A9" w:rsidRPr="00BE63E3" w:rsidRDefault="002149BD" w:rsidP="005C04AA">
      <w:pPr>
        <w:pStyle w:val="Listaconvietas2"/>
        <w:rPr>
          <w:rFonts w:ascii="ITC Avant Garde" w:hAnsi="ITC Avant Garde"/>
          <w:lang w:val="es-MX"/>
        </w:rPr>
      </w:pPr>
      <w:r>
        <w:rPr>
          <w:rFonts w:ascii="ITC Avant Garde" w:hAnsi="ITC Avant Garde"/>
          <w:lang w:val="es-MX"/>
        </w:rPr>
        <w:t>E</w:t>
      </w:r>
      <w:r w:rsidR="00A374A9" w:rsidRPr="00BE63E3">
        <w:rPr>
          <w:rFonts w:ascii="ITC Avant Garde" w:hAnsi="ITC Avant Garde"/>
          <w:lang w:val="es-MX"/>
        </w:rPr>
        <w:t>l número de fibras por vivienda en cada nivel de red,</w:t>
      </w:r>
    </w:p>
    <w:p w:rsidR="00A374A9" w:rsidRPr="00BE63E3" w:rsidRDefault="002149BD" w:rsidP="005C04AA">
      <w:pPr>
        <w:pStyle w:val="Listaconvietas2"/>
        <w:rPr>
          <w:rFonts w:ascii="ITC Avant Garde" w:hAnsi="ITC Avant Garde"/>
          <w:lang w:val="es-MX"/>
        </w:rPr>
      </w:pPr>
      <w:r>
        <w:rPr>
          <w:rFonts w:ascii="ITC Avant Garde" w:hAnsi="ITC Avant Garde"/>
          <w:lang w:val="es-MX"/>
        </w:rPr>
        <w:t>L</w:t>
      </w:r>
      <w:r w:rsidR="00A374A9" w:rsidRPr="00BE63E3">
        <w:rPr>
          <w:rFonts w:ascii="ITC Avant Garde" w:hAnsi="ITC Avant Garde"/>
          <w:lang w:val="es-MX"/>
        </w:rPr>
        <w:t>a distancia entre pozos de registro,</w:t>
      </w:r>
      <w:r w:rsidR="005C04AA" w:rsidRPr="00BE63E3">
        <w:rPr>
          <w:rFonts w:ascii="ITC Avant Garde" w:hAnsi="ITC Avant Garde"/>
          <w:lang w:val="es-MX"/>
        </w:rPr>
        <w:t xml:space="preserve"> entre postes, entre cierres de empalme;</w:t>
      </w:r>
    </w:p>
    <w:p w:rsidR="005C04AA" w:rsidRPr="00BE63E3" w:rsidRDefault="002149BD" w:rsidP="005C04AA">
      <w:pPr>
        <w:pStyle w:val="Listaconvietas2"/>
        <w:rPr>
          <w:rFonts w:ascii="ITC Avant Garde" w:hAnsi="ITC Avant Garde"/>
          <w:lang w:val="es-MX"/>
        </w:rPr>
      </w:pPr>
      <w:r>
        <w:rPr>
          <w:rFonts w:ascii="ITC Avant Garde" w:hAnsi="ITC Avant Garde"/>
          <w:lang w:val="es-MX"/>
        </w:rPr>
        <w:t>S</w:t>
      </w:r>
      <w:r w:rsidR="005C04AA" w:rsidRPr="00BE63E3">
        <w:rPr>
          <w:rFonts w:ascii="ITC Avant Garde" w:hAnsi="ITC Avant Garde"/>
          <w:lang w:val="es-MX"/>
        </w:rPr>
        <w:t>egún cuales reglas se considera un despliegue aéreo o subterráneo;</w:t>
      </w:r>
    </w:p>
    <w:p w:rsidR="00A374A9" w:rsidRPr="00BE63E3" w:rsidRDefault="002149BD" w:rsidP="005C04AA">
      <w:pPr>
        <w:pStyle w:val="Listaconvietas2"/>
        <w:rPr>
          <w:rFonts w:ascii="ITC Avant Garde" w:hAnsi="ITC Avant Garde"/>
          <w:lang w:val="es-MX"/>
        </w:rPr>
      </w:pPr>
      <w:r>
        <w:rPr>
          <w:rFonts w:ascii="ITC Avant Garde" w:hAnsi="ITC Avant Garde"/>
          <w:lang w:val="es-MX"/>
        </w:rPr>
        <w:t>S</w:t>
      </w:r>
      <w:r w:rsidR="00A374A9" w:rsidRPr="00BE63E3">
        <w:rPr>
          <w:rFonts w:ascii="ITC Avant Garde" w:hAnsi="ITC Avant Garde"/>
          <w:lang w:val="es-MX"/>
        </w:rPr>
        <w:t xml:space="preserve">i las </w:t>
      </w:r>
      <w:r w:rsidR="001F22CA" w:rsidRPr="00BE63E3">
        <w:rPr>
          <w:rFonts w:ascii="ITC Avant Garde" w:hAnsi="ITC Avant Garde"/>
          <w:lang w:val="es-MX"/>
        </w:rPr>
        <w:t xml:space="preserve">zanjas </w:t>
      </w:r>
      <w:r w:rsidR="00A374A9" w:rsidRPr="00BE63E3">
        <w:rPr>
          <w:rFonts w:ascii="ITC Avant Garde" w:hAnsi="ITC Avant Garde"/>
          <w:lang w:val="es-MX"/>
        </w:rPr>
        <w:t>están canalizadas, blindadas o enterradas directamente,</w:t>
      </w:r>
    </w:p>
    <w:p w:rsidR="00A374A9" w:rsidRPr="00BE63E3" w:rsidRDefault="002149BD" w:rsidP="005C04AA">
      <w:pPr>
        <w:pStyle w:val="Listaconvietas2"/>
        <w:rPr>
          <w:rFonts w:ascii="ITC Avant Garde" w:hAnsi="ITC Avant Garde"/>
          <w:lang w:val="es-MX"/>
        </w:rPr>
      </w:pPr>
      <w:r>
        <w:rPr>
          <w:rFonts w:ascii="ITC Avant Garde" w:hAnsi="ITC Avant Garde"/>
          <w:lang w:val="es-MX"/>
        </w:rPr>
        <w:t>D</w:t>
      </w:r>
      <w:r w:rsidR="00A374A9" w:rsidRPr="00BE63E3">
        <w:rPr>
          <w:rFonts w:ascii="ITC Avant Garde" w:hAnsi="ITC Avant Garde"/>
          <w:lang w:val="es-MX"/>
        </w:rPr>
        <w:t xml:space="preserve">onde las </w:t>
      </w:r>
      <w:r w:rsidR="001F22CA" w:rsidRPr="00BE63E3">
        <w:rPr>
          <w:rFonts w:ascii="ITC Avant Garde" w:hAnsi="ITC Avant Garde"/>
          <w:lang w:val="es-MX"/>
        </w:rPr>
        <w:t xml:space="preserve">zanjas </w:t>
      </w:r>
      <w:r w:rsidR="00A374A9" w:rsidRPr="00BE63E3">
        <w:rPr>
          <w:rFonts w:ascii="ITC Avant Garde" w:hAnsi="ITC Avant Garde"/>
          <w:lang w:val="es-MX"/>
        </w:rPr>
        <w:t>están ubicadas en cada sendero de una calle,</w:t>
      </w:r>
    </w:p>
    <w:p w:rsidR="00A374A9" w:rsidRPr="00BE63E3" w:rsidRDefault="002149BD" w:rsidP="005C04AA">
      <w:pPr>
        <w:pStyle w:val="Listaconvietas2"/>
        <w:rPr>
          <w:rFonts w:ascii="ITC Avant Garde" w:hAnsi="ITC Avant Garde"/>
          <w:lang w:val="es-MX"/>
        </w:rPr>
      </w:pPr>
      <w:r>
        <w:rPr>
          <w:rFonts w:ascii="ITC Avant Garde" w:hAnsi="ITC Avant Garde"/>
          <w:lang w:val="es-MX"/>
        </w:rPr>
        <w:t>C</w:t>
      </w:r>
      <w:r w:rsidR="00A374A9" w:rsidRPr="00872052">
        <w:rPr>
          <w:rFonts w:ascii="ITC Avant Garde" w:hAnsi="ITC Avant Garde"/>
          <w:lang w:val="es-MX"/>
        </w:rPr>
        <w:t xml:space="preserve">uántas instalaciones puede servir un </w:t>
      </w:r>
      <w:r w:rsidR="00FB3A09">
        <w:rPr>
          <w:rFonts w:ascii="ITC Avant Garde" w:hAnsi="ITC Avant Garde"/>
          <w:lang w:val="es-MX"/>
        </w:rPr>
        <w:t>punto de distribución secundario (</w:t>
      </w:r>
      <w:r w:rsidR="00FB3A09" w:rsidRPr="00872052">
        <w:rPr>
          <w:rFonts w:ascii="ITC Avant Garde" w:hAnsi="ITC Avant Garde"/>
          <w:lang w:val="es-MX"/>
        </w:rPr>
        <w:t>SDP</w:t>
      </w:r>
      <w:r w:rsidR="00FB3A09">
        <w:rPr>
          <w:rFonts w:ascii="ITC Avant Garde" w:hAnsi="ITC Avant Garde"/>
          <w:lang w:val="es-MX"/>
        </w:rPr>
        <w:t xml:space="preserve"> por sus siglas en inglés, </w:t>
      </w:r>
      <w:proofErr w:type="spellStart"/>
      <w:r w:rsidR="00FB3A09">
        <w:rPr>
          <w:rFonts w:ascii="ITC Avant Garde" w:hAnsi="ITC Avant Garde"/>
          <w:i/>
          <w:lang w:val="es-MX"/>
        </w:rPr>
        <w:t>Secondary</w:t>
      </w:r>
      <w:proofErr w:type="spellEnd"/>
      <w:r w:rsidR="00FB3A09">
        <w:rPr>
          <w:rFonts w:ascii="ITC Avant Garde" w:hAnsi="ITC Avant Garde"/>
          <w:i/>
          <w:lang w:val="es-MX"/>
        </w:rPr>
        <w:t xml:space="preserve"> </w:t>
      </w:r>
      <w:proofErr w:type="spellStart"/>
      <w:r w:rsidR="00FB3A09">
        <w:rPr>
          <w:rFonts w:ascii="ITC Avant Garde" w:hAnsi="ITC Avant Garde"/>
          <w:i/>
          <w:lang w:val="es-MX"/>
        </w:rPr>
        <w:t>Distribution</w:t>
      </w:r>
      <w:proofErr w:type="spellEnd"/>
      <w:r w:rsidR="00FB3A09" w:rsidRPr="00592EF2">
        <w:rPr>
          <w:rFonts w:ascii="ITC Avant Garde" w:hAnsi="ITC Avant Garde"/>
          <w:i/>
          <w:lang w:val="es-MX"/>
        </w:rPr>
        <w:t xml:space="preserve"> Point</w:t>
      </w:r>
      <w:r w:rsidR="00FB3A09">
        <w:rPr>
          <w:rFonts w:ascii="ITC Avant Garde" w:hAnsi="ITC Avant Garde"/>
          <w:lang w:val="es-MX"/>
        </w:rPr>
        <w:t>)</w:t>
      </w:r>
      <w:r w:rsidR="00A374A9" w:rsidRPr="00872052">
        <w:rPr>
          <w:rFonts w:ascii="ITC Avant Garde" w:hAnsi="ITC Avant Garde"/>
          <w:lang w:val="es-MX"/>
        </w:rPr>
        <w:t>,</w:t>
      </w:r>
    </w:p>
    <w:p w:rsidR="00A374A9" w:rsidRPr="00BE63E3" w:rsidRDefault="002149BD" w:rsidP="005C04AA">
      <w:pPr>
        <w:pStyle w:val="Listaconvietas2"/>
        <w:rPr>
          <w:rFonts w:ascii="ITC Avant Garde" w:hAnsi="ITC Avant Garde"/>
          <w:lang w:val="es-MX"/>
        </w:rPr>
      </w:pPr>
      <w:r>
        <w:rPr>
          <w:rFonts w:ascii="ITC Avant Garde" w:hAnsi="ITC Avant Garde"/>
          <w:lang w:val="es-MX"/>
        </w:rPr>
        <w:t>C</w:t>
      </w:r>
      <w:r w:rsidR="00A374A9" w:rsidRPr="00BE63E3">
        <w:rPr>
          <w:rFonts w:ascii="ITC Avant Garde" w:hAnsi="ITC Avant Garde"/>
          <w:lang w:val="es-MX"/>
        </w:rPr>
        <w:t>ómo se asegura la resiliencia de la red.</w:t>
      </w:r>
    </w:p>
    <w:p w:rsidR="00A374A9" w:rsidRPr="00BE63E3" w:rsidRDefault="00A374A9" w:rsidP="00A374A9">
      <w:pPr>
        <w:rPr>
          <w:rFonts w:ascii="ITC Avant Garde" w:hAnsi="ITC Avant Garde"/>
          <w:lang w:val="es-MX"/>
        </w:rPr>
      </w:pPr>
      <w:r w:rsidRPr="00BE63E3">
        <w:rPr>
          <w:rFonts w:ascii="ITC Avant Garde" w:hAnsi="ITC Avant Garde"/>
          <w:lang w:val="es-MX"/>
        </w:rPr>
        <w:t>Las reglas de ingeniería pueden diferir entre diferentes áreas</w:t>
      </w:r>
      <w:r w:rsidR="005C04AA" w:rsidRPr="00BE63E3">
        <w:rPr>
          <w:rFonts w:ascii="ITC Avant Garde" w:hAnsi="ITC Avant Garde"/>
          <w:lang w:val="es-MX"/>
        </w:rPr>
        <w:t>,</w:t>
      </w:r>
      <w:r w:rsidRPr="00BE63E3">
        <w:rPr>
          <w:rFonts w:ascii="ITC Avant Garde" w:hAnsi="ITC Avant Garde"/>
          <w:lang w:val="es-MX"/>
        </w:rPr>
        <w:t xml:space="preserve"> </w:t>
      </w:r>
      <w:r w:rsidR="005C04AA" w:rsidRPr="00BE63E3">
        <w:rPr>
          <w:rFonts w:ascii="ITC Avant Garde" w:hAnsi="ITC Avant Garde"/>
          <w:lang w:val="es-MX"/>
        </w:rPr>
        <w:t>p</w:t>
      </w:r>
      <w:r w:rsidRPr="00BE63E3">
        <w:rPr>
          <w:rFonts w:ascii="ITC Avant Garde" w:hAnsi="ITC Avant Garde"/>
          <w:lang w:val="es-MX"/>
        </w:rPr>
        <w:t xml:space="preserve">or ejemplo, el </w:t>
      </w:r>
      <w:r w:rsidR="005C04AA" w:rsidRPr="00BE63E3">
        <w:rPr>
          <w:rFonts w:ascii="ITC Avant Garde" w:hAnsi="ITC Avant Garde"/>
          <w:lang w:val="es-MX"/>
        </w:rPr>
        <w:t>despliegue de cables de un solo lado de la calle o de los dos lados</w:t>
      </w:r>
      <w:r w:rsidRPr="00BE63E3">
        <w:rPr>
          <w:rFonts w:ascii="ITC Avant Garde" w:hAnsi="ITC Avant Garde"/>
          <w:lang w:val="es-MX"/>
        </w:rPr>
        <w:t xml:space="preserve">, </w:t>
      </w:r>
      <w:r w:rsidR="005C04AA" w:rsidRPr="00BE63E3">
        <w:rPr>
          <w:rFonts w:ascii="ITC Avant Garde" w:hAnsi="ITC Avant Garde"/>
          <w:lang w:val="es-MX"/>
        </w:rPr>
        <w:t xml:space="preserve">o </w:t>
      </w:r>
      <w:r w:rsidRPr="00BE63E3">
        <w:rPr>
          <w:rFonts w:ascii="ITC Avant Garde" w:hAnsi="ITC Avant Garde"/>
          <w:lang w:val="es-MX"/>
        </w:rPr>
        <w:t>la técnica de despliegue</w:t>
      </w:r>
      <w:r w:rsidR="005C04AA" w:rsidRPr="00BE63E3">
        <w:rPr>
          <w:rFonts w:ascii="ITC Avant Garde" w:hAnsi="ITC Avant Garde"/>
          <w:lang w:val="es-MX"/>
        </w:rPr>
        <w:t xml:space="preserve"> usada</w:t>
      </w:r>
      <w:r w:rsidRPr="00BE63E3">
        <w:rPr>
          <w:rFonts w:ascii="ITC Avant Garde" w:hAnsi="ITC Avant Garde"/>
          <w:lang w:val="es-MX"/>
        </w:rPr>
        <w:t xml:space="preserve">. Cuando no se dispone de una norma de ingeniería, se pueden utilizar los datos </w:t>
      </w:r>
      <w:r w:rsidR="005C04AA" w:rsidRPr="00BE63E3">
        <w:rPr>
          <w:rFonts w:ascii="ITC Avant Garde" w:hAnsi="ITC Avant Garde"/>
          <w:lang w:val="es-MX"/>
        </w:rPr>
        <w:t>derivados de</w:t>
      </w:r>
      <w:r w:rsidRPr="00BE63E3">
        <w:rPr>
          <w:rFonts w:ascii="ITC Avant Garde" w:hAnsi="ITC Avant Garde"/>
          <w:lang w:val="es-MX"/>
        </w:rPr>
        <w:t xml:space="preserve"> las mejores prácticas de la industria, así como los </w:t>
      </w:r>
      <w:r w:rsidR="005C04AA" w:rsidRPr="00BE63E3">
        <w:rPr>
          <w:rFonts w:ascii="ITC Avant Garde" w:hAnsi="ITC Avant Garde"/>
          <w:lang w:val="es-MX"/>
        </w:rPr>
        <w:t xml:space="preserve">insumos </w:t>
      </w:r>
      <w:r w:rsidRPr="00BE63E3">
        <w:rPr>
          <w:rFonts w:ascii="ITC Avant Garde" w:hAnsi="ITC Avant Garde"/>
          <w:lang w:val="es-MX"/>
        </w:rPr>
        <w:t>utilizados en los modelos anteriores</w:t>
      </w:r>
      <w:r w:rsidR="005C04AA" w:rsidRPr="00BE63E3">
        <w:rPr>
          <w:rFonts w:ascii="ITC Avant Garde" w:hAnsi="ITC Avant Garde"/>
          <w:lang w:val="es-MX"/>
        </w:rPr>
        <w:t>.</w:t>
      </w:r>
      <w:r w:rsidRPr="00BE63E3">
        <w:rPr>
          <w:rFonts w:ascii="ITC Avant Garde" w:hAnsi="ITC Avant Garde"/>
          <w:lang w:val="es-MX"/>
        </w:rPr>
        <w:t xml:space="preserve"> </w:t>
      </w:r>
      <w:r w:rsidR="005C04AA" w:rsidRPr="00BE63E3">
        <w:rPr>
          <w:rFonts w:ascii="ITC Avant Garde" w:hAnsi="ITC Avant Garde"/>
          <w:lang w:val="es-MX"/>
        </w:rPr>
        <w:t>L</w:t>
      </w:r>
      <w:r w:rsidRPr="00BE63E3">
        <w:rPr>
          <w:rFonts w:ascii="ITC Avant Garde" w:hAnsi="ITC Avant Garde"/>
          <w:lang w:val="es-MX"/>
        </w:rPr>
        <w:t>os datos de otros países también podrían utilizarse potencialmente si fuera necesario.</w:t>
      </w:r>
    </w:p>
    <w:p w:rsidR="00A374A9" w:rsidRPr="00BE63E3" w:rsidRDefault="00A374A9" w:rsidP="00A374A9">
      <w:pPr>
        <w:rPr>
          <w:rFonts w:ascii="ITC Avant Garde" w:hAnsi="ITC Avant Garde"/>
          <w:lang w:val="es-MX"/>
        </w:rPr>
      </w:pPr>
      <w:r w:rsidRPr="00BE63E3">
        <w:rPr>
          <w:rFonts w:ascii="ITC Avant Garde" w:hAnsi="ITC Avant Garde"/>
          <w:lang w:val="es-MX"/>
        </w:rPr>
        <w:lastRenderedPageBreak/>
        <w:t xml:space="preserve">La construcción, el despliegue y el dimensionamiento de la red moderna deben ser coherentes y cumplir con las directrices </w:t>
      </w:r>
      <w:r w:rsidR="005C04AA" w:rsidRPr="00BE63E3">
        <w:rPr>
          <w:rFonts w:ascii="ITC Avant Garde" w:hAnsi="ITC Avant Garde"/>
          <w:lang w:val="es-MX"/>
        </w:rPr>
        <w:t xml:space="preserve">del </w:t>
      </w:r>
      <w:r w:rsidRPr="00BE63E3">
        <w:rPr>
          <w:rFonts w:ascii="ITC Avant Garde" w:hAnsi="ITC Avant Garde"/>
          <w:lang w:val="es-MX"/>
        </w:rPr>
        <w:t>IFT, con las prácticas del operador local y otros requisitos relevantes si es necesario.</w:t>
      </w:r>
    </w:p>
    <w:p w:rsidR="00A374A9" w:rsidRPr="00BE63E3" w:rsidRDefault="00A374A9" w:rsidP="00A374A9">
      <w:pPr>
        <w:pStyle w:val="Encadr3"/>
        <w:rPr>
          <w:rFonts w:ascii="ITC Avant Garde" w:hAnsi="ITC Avant Garde"/>
          <w:lang w:val="es-MX"/>
        </w:rPr>
      </w:pPr>
      <w:r w:rsidRPr="00BE63E3">
        <w:rPr>
          <w:rFonts w:ascii="ITC Avant Garde" w:hAnsi="ITC Avant Garde"/>
          <w:lang w:val="es-MX"/>
        </w:rPr>
        <w:t xml:space="preserve">Criterio 15: El diseño de la red </w:t>
      </w:r>
      <w:r w:rsidR="005C04AA" w:rsidRPr="00BE63E3">
        <w:rPr>
          <w:rFonts w:ascii="ITC Avant Garde" w:hAnsi="ITC Avant Garde"/>
          <w:lang w:val="es-MX"/>
        </w:rPr>
        <w:t>es</w:t>
      </w:r>
      <w:r w:rsidRPr="00BE63E3">
        <w:rPr>
          <w:rFonts w:ascii="ITC Avant Garde" w:hAnsi="ITC Avant Garde"/>
          <w:lang w:val="es-MX"/>
        </w:rPr>
        <w:t xml:space="preserve"> basa</w:t>
      </w:r>
      <w:r w:rsidR="005C04AA" w:rsidRPr="00BE63E3">
        <w:rPr>
          <w:rFonts w:ascii="ITC Avant Garde" w:hAnsi="ITC Avant Garde"/>
          <w:lang w:val="es-MX"/>
        </w:rPr>
        <w:t>do</w:t>
      </w:r>
      <w:r w:rsidRPr="00BE63E3">
        <w:rPr>
          <w:rFonts w:ascii="ITC Avant Garde" w:hAnsi="ITC Avant Garde"/>
          <w:lang w:val="es-MX"/>
        </w:rPr>
        <w:t xml:space="preserve"> en principios técnicos que reflejen las condiciones en México. La construcción, el despliegue y el dimensionamiento de la red moderna </w:t>
      </w:r>
      <w:r w:rsidR="005C2495" w:rsidRPr="00BE63E3">
        <w:rPr>
          <w:rFonts w:ascii="ITC Avant Garde" w:hAnsi="ITC Avant Garde"/>
          <w:lang w:val="es-MX"/>
        </w:rPr>
        <w:t xml:space="preserve">es </w:t>
      </w:r>
      <w:r w:rsidRPr="00BE63E3">
        <w:rPr>
          <w:rFonts w:ascii="ITC Avant Garde" w:hAnsi="ITC Avant Garde"/>
          <w:lang w:val="es-MX"/>
        </w:rPr>
        <w:t>ser coher</w:t>
      </w:r>
      <w:r w:rsidR="005C2495" w:rsidRPr="00BE63E3">
        <w:rPr>
          <w:rFonts w:ascii="ITC Avant Garde" w:hAnsi="ITC Avant Garde"/>
          <w:lang w:val="es-MX"/>
        </w:rPr>
        <w:t>ente</w:t>
      </w:r>
      <w:r w:rsidRPr="00BE63E3">
        <w:rPr>
          <w:rFonts w:ascii="ITC Avant Garde" w:hAnsi="ITC Avant Garde"/>
          <w:lang w:val="es-MX"/>
        </w:rPr>
        <w:t xml:space="preserve"> y cump</w:t>
      </w:r>
      <w:r w:rsidR="005C2495" w:rsidRPr="00BE63E3">
        <w:rPr>
          <w:rFonts w:ascii="ITC Avant Garde" w:hAnsi="ITC Avant Garde"/>
          <w:lang w:val="es-MX"/>
        </w:rPr>
        <w:t>le</w:t>
      </w:r>
      <w:r w:rsidRPr="00BE63E3">
        <w:rPr>
          <w:rFonts w:ascii="ITC Avant Garde" w:hAnsi="ITC Avant Garde"/>
          <w:lang w:val="es-MX"/>
        </w:rPr>
        <w:t xml:space="preserve"> con las directrices IFT, con las prácticas del operador local y otros requisitos relevantes.</w:t>
      </w:r>
    </w:p>
    <w:p w:rsidR="00A374A9" w:rsidRPr="00BE63E3" w:rsidRDefault="00A374A9" w:rsidP="00A374A9">
      <w:pPr>
        <w:rPr>
          <w:rFonts w:ascii="ITC Avant Garde" w:hAnsi="ITC Avant Garde"/>
          <w:lang w:val="es-MX"/>
        </w:rPr>
      </w:pPr>
    </w:p>
    <w:p w:rsidR="00A374A9" w:rsidRPr="00BE63E3" w:rsidRDefault="00A374A9" w:rsidP="00A374A9">
      <w:pPr>
        <w:pStyle w:val="Ttulo4"/>
        <w:rPr>
          <w:rFonts w:ascii="ITC Avant Garde" w:hAnsi="ITC Avant Garde"/>
          <w:lang w:val="es-MX"/>
        </w:rPr>
      </w:pPr>
      <w:bookmarkStart w:id="118" w:name="_Toc525665275"/>
      <w:bookmarkStart w:id="119" w:name="_Toc525665654"/>
      <w:bookmarkStart w:id="120" w:name="_Toc526854355"/>
      <w:r w:rsidRPr="00BE63E3">
        <w:rPr>
          <w:rFonts w:ascii="ITC Avant Garde" w:hAnsi="ITC Avant Garde"/>
          <w:lang w:val="es-MX"/>
        </w:rPr>
        <w:t>Demanda para el cálculo de los costos unitarios</w:t>
      </w:r>
      <w:bookmarkEnd w:id="118"/>
      <w:bookmarkEnd w:id="119"/>
      <w:bookmarkEnd w:id="120"/>
    </w:p>
    <w:p w:rsidR="00A374A9" w:rsidRPr="00BE63E3" w:rsidRDefault="00A374A9" w:rsidP="00A374A9">
      <w:pPr>
        <w:rPr>
          <w:rFonts w:ascii="ITC Avant Garde" w:hAnsi="ITC Avant Garde"/>
          <w:lang w:val="es-MX"/>
        </w:rPr>
      </w:pPr>
      <w:r w:rsidRPr="00BE63E3">
        <w:rPr>
          <w:rFonts w:ascii="ITC Avant Garde" w:hAnsi="ITC Avant Garde"/>
          <w:lang w:val="es-MX"/>
        </w:rPr>
        <w:t xml:space="preserve">La demanda para el cálculo de los costos unitarios es la cantidad de clientes que utilizan la red del operador hipotéticamente eficiente. Esta demanda puede evaluarse multiplicando la demanda total </w:t>
      </w:r>
      <w:r w:rsidR="005C04AA" w:rsidRPr="00BE63E3">
        <w:rPr>
          <w:rFonts w:ascii="ITC Avant Garde" w:hAnsi="ITC Avant Garde"/>
          <w:lang w:val="es-MX"/>
        </w:rPr>
        <w:t xml:space="preserve">pasiva (es decir todos los edificios conectados o conectables, si solo les falta el despliegue de la acometida) </w:t>
      </w:r>
      <w:r w:rsidRPr="00BE63E3">
        <w:rPr>
          <w:rFonts w:ascii="ITC Avant Garde" w:hAnsi="ITC Avant Garde"/>
          <w:lang w:val="es-MX"/>
        </w:rPr>
        <w:t>por la participación de mercado del operador hipotéticamente eficiente. Es probable que esta demanda evolucione con el tiempo.</w:t>
      </w:r>
    </w:p>
    <w:p w:rsidR="00A374A9" w:rsidRPr="00BE63E3" w:rsidRDefault="00A374A9" w:rsidP="00A374A9">
      <w:pPr>
        <w:rPr>
          <w:rFonts w:ascii="ITC Avant Garde" w:hAnsi="ITC Avant Garde"/>
          <w:lang w:val="es-MX"/>
        </w:rPr>
      </w:pPr>
      <w:r w:rsidRPr="00BE63E3">
        <w:rPr>
          <w:rFonts w:ascii="ITC Avant Garde" w:hAnsi="ITC Avant Garde"/>
          <w:lang w:val="es-MX"/>
        </w:rPr>
        <w:t>La presencia de varias redes de acceso coexistentes en un área determinada es el resultado de la historia y el despliegue de tecnologías sucesivas. Si se re</w:t>
      </w:r>
      <w:r w:rsidR="004B276B" w:rsidRPr="00BE63E3">
        <w:rPr>
          <w:rFonts w:ascii="ITC Avant Garde" w:hAnsi="ITC Avant Garde"/>
          <w:lang w:val="es-MX"/>
        </w:rPr>
        <w:t>cons</w:t>
      </w:r>
      <w:r w:rsidRPr="00BE63E3">
        <w:rPr>
          <w:rFonts w:ascii="ITC Avant Garde" w:hAnsi="ITC Avant Garde"/>
          <w:lang w:val="es-MX"/>
        </w:rPr>
        <w:t xml:space="preserve">truyeran redes (como se supone en el enfoque </w:t>
      </w:r>
      <w:r w:rsidR="005564A2" w:rsidRPr="00BE63E3">
        <w:rPr>
          <w:rFonts w:ascii="ITC Avant Garde" w:hAnsi="ITC Avant Garde"/>
          <w:lang w:val="es-MX"/>
        </w:rPr>
        <w:t>CIPLP</w:t>
      </w:r>
      <w:r w:rsidRPr="00BE63E3">
        <w:rPr>
          <w:rFonts w:ascii="ITC Avant Garde" w:hAnsi="ITC Avant Garde"/>
          <w:lang w:val="es-MX"/>
        </w:rPr>
        <w:t>), la coexistencia de varias redes de acceso sería muy poco probable. La presencia de varias redes de acceso en paralelo puede considerarse ineficiente desde el punto de vista de</w:t>
      </w:r>
      <w:r w:rsidR="005C04AA" w:rsidRPr="00BE63E3">
        <w:rPr>
          <w:rFonts w:ascii="ITC Avant Garde" w:hAnsi="ITC Avant Garde"/>
          <w:lang w:val="es-MX"/>
        </w:rPr>
        <w:t xml:space="preserve">l enfoque </w:t>
      </w:r>
      <w:r w:rsidR="00D3308C" w:rsidRPr="00BE63E3">
        <w:rPr>
          <w:rFonts w:ascii="ITC Avant Garde" w:hAnsi="ITC Avant Garde"/>
          <w:lang w:val="es-MX"/>
        </w:rPr>
        <w:t>CIPLP</w:t>
      </w:r>
      <w:r w:rsidRPr="00BE63E3">
        <w:rPr>
          <w:rFonts w:ascii="ITC Avant Garde" w:hAnsi="ITC Avant Garde"/>
          <w:lang w:val="es-MX"/>
        </w:rPr>
        <w:t>, especialmente porque pueden soportar los mismos tipos de servicios minoristas. Las redes de acceso a veces se consideran infraestructuras esenciales y, por lo tanto, no es deseable duplicar dichas redes.</w:t>
      </w:r>
    </w:p>
    <w:p w:rsidR="00A374A9" w:rsidRPr="00BE63E3" w:rsidRDefault="00A374A9" w:rsidP="00A374A9">
      <w:pPr>
        <w:rPr>
          <w:rFonts w:ascii="ITC Avant Garde" w:hAnsi="ITC Avant Garde"/>
          <w:lang w:val="es-MX"/>
        </w:rPr>
      </w:pPr>
      <w:r w:rsidRPr="00BE63E3">
        <w:rPr>
          <w:rFonts w:ascii="ITC Avant Garde" w:hAnsi="ITC Avant Garde"/>
          <w:lang w:val="es-MX"/>
        </w:rPr>
        <w:t>Sin embargo, la presencia de varias redes de acceso coexistentes es posible durante una fase de migración de una tecnología a otra.</w:t>
      </w:r>
    </w:p>
    <w:p w:rsidR="00A374A9" w:rsidRPr="00BE63E3" w:rsidRDefault="00A374A9" w:rsidP="00A374A9">
      <w:pPr>
        <w:rPr>
          <w:rFonts w:ascii="ITC Avant Garde" w:hAnsi="ITC Avant Garde"/>
          <w:lang w:val="es-MX"/>
        </w:rPr>
      </w:pPr>
      <w:r w:rsidRPr="00BE63E3">
        <w:rPr>
          <w:rFonts w:ascii="ITC Avant Garde" w:hAnsi="ITC Avant Garde"/>
          <w:lang w:val="es-MX"/>
        </w:rPr>
        <w:t xml:space="preserve">Construir el modelo </w:t>
      </w:r>
      <w:r w:rsidR="00576CE6" w:rsidRPr="00BE63E3">
        <w:rPr>
          <w:rFonts w:ascii="ITC Avant Garde" w:hAnsi="ITC Avant Garde"/>
          <w:lang w:val="es-MX"/>
        </w:rPr>
        <w:t xml:space="preserve">CIPLP </w:t>
      </w:r>
      <w:r w:rsidRPr="00BE63E3">
        <w:rPr>
          <w:rFonts w:ascii="ITC Avant Garde" w:hAnsi="ITC Avant Garde"/>
          <w:lang w:val="es-MX"/>
        </w:rPr>
        <w:t>basado en redes de acceso coexistentes a largo plazo llevaría a costos de acceso artificialmente altos y daría incentivos a la duplicación de redes ineficiente (señales erróneas de "</w:t>
      </w:r>
      <w:proofErr w:type="spellStart"/>
      <w:r w:rsidR="005C04AA" w:rsidRPr="00BE63E3">
        <w:rPr>
          <w:rFonts w:ascii="ITC Avant Garde" w:hAnsi="ITC Avant Garde"/>
          <w:i/>
          <w:lang w:val="es-MX"/>
        </w:rPr>
        <w:t>make</w:t>
      </w:r>
      <w:proofErr w:type="spellEnd"/>
      <w:r w:rsidRPr="00BE63E3">
        <w:rPr>
          <w:rFonts w:ascii="ITC Avant Garde" w:hAnsi="ITC Avant Garde"/>
          <w:i/>
          <w:lang w:val="es-MX"/>
        </w:rPr>
        <w:t xml:space="preserve"> </w:t>
      </w:r>
      <w:proofErr w:type="spellStart"/>
      <w:r w:rsidRPr="00BE63E3">
        <w:rPr>
          <w:rFonts w:ascii="ITC Avant Garde" w:hAnsi="ITC Avant Garde"/>
          <w:i/>
          <w:lang w:val="es-MX"/>
        </w:rPr>
        <w:t>o</w:t>
      </w:r>
      <w:r w:rsidR="005C04AA" w:rsidRPr="00BE63E3">
        <w:rPr>
          <w:rFonts w:ascii="ITC Avant Garde" w:hAnsi="ITC Avant Garde"/>
          <w:i/>
          <w:lang w:val="es-MX"/>
        </w:rPr>
        <w:t>r</w:t>
      </w:r>
      <w:proofErr w:type="spellEnd"/>
      <w:r w:rsidRPr="00BE63E3">
        <w:rPr>
          <w:rFonts w:ascii="ITC Avant Garde" w:hAnsi="ITC Avant Garde"/>
          <w:i/>
          <w:lang w:val="es-MX"/>
        </w:rPr>
        <w:t xml:space="preserve"> </w:t>
      </w:r>
      <w:proofErr w:type="spellStart"/>
      <w:r w:rsidR="005C04AA" w:rsidRPr="00BE63E3">
        <w:rPr>
          <w:rFonts w:ascii="ITC Avant Garde" w:hAnsi="ITC Avant Garde"/>
          <w:i/>
          <w:lang w:val="es-MX"/>
        </w:rPr>
        <w:t>buy</w:t>
      </w:r>
      <w:proofErr w:type="spellEnd"/>
      <w:r w:rsidRPr="00BE63E3">
        <w:rPr>
          <w:rFonts w:ascii="ITC Avant Garde" w:hAnsi="ITC Avant Garde"/>
          <w:lang w:val="es-MX"/>
        </w:rPr>
        <w:t xml:space="preserve">"). Por lo tanto, se debe suponer que cada topología de red de acceso admite el 100% de la demanda actual fija del </w:t>
      </w:r>
      <w:r w:rsidR="005C04AA" w:rsidRPr="00BE63E3">
        <w:rPr>
          <w:rFonts w:ascii="ITC Avant Garde" w:hAnsi="ITC Avant Garde"/>
          <w:lang w:val="es-MX"/>
        </w:rPr>
        <w:t>AE</w:t>
      </w:r>
      <w:r w:rsidRPr="00BE63E3">
        <w:rPr>
          <w:rFonts w:ascii="ITC Avant Garde" w:hAnsi="ITC Avant Garde"/>
          <w:lang w:val="es-MX"/>
        </w:rPr>
        <w:t xml:space="preserve">P en un área determinada, bajo los principios de </w:t>
      </w:r>
      <w:r w:rsidR="00576CE6" w:rsidRPr="00BE63E3">
        <w:rPr>
          <w:rFonts w:ascii="ITC Avant Garde" w:hAnsi="ITC Avant Garde"/>
          <w:lang w:val="es-MX"/>
        </w:rPr>
        <w:t>CIPLP</w:t>
      </w:r>
      <w:r w:rsidRPr="00BE63E3">
        <w:rPr>
          <w:rFonts w:ascii="ITC Avant Garde" w:hAnsi="ITC Avant Garde"/>
          <w:lang w:val="es-MX"/>
        </w:rPr>
        <w:t>.</w:t>
      </w:r>
    </w:p>
    <w:p w:rsidR="00A374A9" w:rsidRPr="00BE63E3" w:rsidRDefault="00A374A9" w:rsidP="005C04AA">
      <w:pPr>
        <w:pStyle w:val="Encadr3"/>
        <w:rPr>
          <w:rFonts w:ascii="ITC Avant Garde" w:hAnsi="ITC Avant Garde"/>
          <w:lang w:val="es-MX"/>
        </w:rPr>
      </w:pPr>
      <w:r w:rsidRPr="00BE63E3">
        <w:rPr>
          <w:rFonts w:ascii="ITC Avant Garde" w:hAnsi="ITC Avant Garde"/>
          <w:lang w:val="es-MX"/>
        </w:rPr>
        <w:t xml:space="preserve">Criterio 16: El modelo </w:t>
      </w:r>
      <w:r w:rsidR="002F50AA" w:rsidRPr="00BE63E3">
        <w:rPr>
          <w:rFonts w:ascii="ITC Avant Garde" w:hAnsi="ITC Avant Garde"/>
          <w:lang w:val="es-MX"/>
        </w:rPr>
        <w:t>CIPLP supone</w:t>
      </w:r>
      <w:r w:rsidRPr="00BE63E3">
        <w:rPr>
          <w:rFonts w:ascii="ITC Avant Garde" w:hAnsi="ITC Avant Garde"/>
          <w:lang w:val="es-MX"/>
        </w:rPr>
        <w:t xml:space="preserve"> que cada tecnología de red de acceso admite el 100% de la demanda actual de la red fija local del </w:t>
      </w:r>
      <w:r w:rsidR="005C04AA" w:rsidRPr="00BE63E3">
        <w:rPr>
          <w:rFonts w:ascii="ITC Avant Garde" w:hAnsi="ITC Avant Garde"/>
          <w:lang w:val="es-MX"/>
        </w:rPr>
        <w:t>AE</w:t>
      </w:r>
      <w:r w:rsidRPr="00BE63E3">
        <w:rPr>
          <w:rFonts w:ascii="ITC Avant Garde" w:hAnsi="ITC Avant Garde"/>
          <w:lang w:val="es-MX"/>
        </w:rPr>
        <w:t>P en términos de suscripciones activas (es decir, el 100% de la demanda "cobre + fibra").</w:t>
      </w:r>
    </w:p>
    <w:p w:rsidR="00A374A9" w:rsidRPr="00BE63E3" w:rsidRDefault="00A374A9" w:rsidP="00A374A9">
      <w:pPr>
        <w:rPr>
          <w:rFonts w:ascii="ITC Avant Garde" w:hAnsi="ITC Avant Garde"/>
          <w:lang w:val="es-MX"/>
        </w:rPr>
      </w:pPr>
    </w:p>
    <w:p w:rsidR="00A374A9" w:rsidRPr="00BE63E3" w:rsidRDefault="00A374A9" w:rsidP="00A374A9">
      <w:pPr>
        <w:rPr>
          <w:rFonts w:ascii="ITC Avant Garde" w:hAnsi="ITC Avant Garde"/>
          <w:lang w:val="es-MX"/>
        </w:rPr>
      </w:pPr>
      <w:r w:rsidRPr="00BE63E3">
        <w:rPr>
          <w:rFonts w:ascii="ITC Avant Garde" w:hAnsi="ITC Avant Garde"/>
          <w:lang w:val="es-MX"/>
        </w:rPr>
        <w:t>Además, se deben considerar las diferentes etapas de implementación de todas las tecnologías de acceso:</w:t>
      </w:r>
    </w:p>
    <w:p w:rsidR="00A374A9" w:rsidRPr="00BE63E3" w:rsidRDefault="00A374A9" w:rsidP="005C04AA">
      <w:pPr>
        <w:pStyle w:val="Listaconvietas2"/>
        <w:rPr>
          <w:rFonts w:ascii="ITC Avant Garde" w:hAnsi="ITC Avant Garde"/>
          <w:lang w:val="es-MX"/>
        </w:rPr>
      </w:pPr>
      <w:r w:rsidRPr="00BE63E3">
        <w:rPr>
          <w:rFonts w:ascii="ITC Avant Garde" w:hAnsi="ITC Avant Garde"/>
          <w:lang w:val="es-MX"/>
        </w:rPr>
        <w:t>La red de cobre tiene una huella de cobertura nacional y admite hoy en día la gran mayoría de las suscripciones activas;</w:t>
      </w:r>
    </w:p>
    <w:p w:rsidR="00A374A9" w:rsidRPr="00BE63E3" w:rsidRDefault="00A374A9" w:rsidP="005C04AA">
      <w:pPr>
        <w:pStyle w:val="Listaconvietas2"/>
        <w:rPr>
          <w:rFonts w:ascii="ITC Avant Garde" w:hAnsi="ITC Avant Garde"/>
          <w:lang w:val="es-MX"/>
        </w:rPr>
      </w:pPr>
      <w:r w:rsidRPr="00BE63E3">
        <w:rPr>
          <w:rFonts w:ascii="ITC Avant Garde" w:hAnsi="ITC Avant Garde"/>
          <w:lang w:val="es-MX"/>
        </w:rPr>
        <w:lastRenderedPageBreak/>
        <w:t>La red FTTH tiene una implementación no nacional en curso y admite un número creciente de suscripciones activas.</w:t>
      </w:r>
    </w:p>
    <w:p w:rsidR="00A374A9" w:rsidRPr="00BE63E3" w:rsidRDefault="00A374A9" w:rsidP="00A374A9">
      <w:pPr>
        <w:rPr>
          <w:rFonts w:ascii="ITC Avant Garde" w:hAnsi="ITC Avant Garde"/>
          <w:lang w:val="es-MX"/>
        </w:rPr>
      </w:pPr>
      <w:r w:rsidRPr="00BE63E3">
        <w:rPr>
          <w:rFonts w:ascii="ITC Avant Garde" w:hAnsi="ITC Avant Garde"/>
          <w:lang w:val="es-MX"/>
        </w:rPr>
        <w:t xml:space="preserve">Para la red de cobre, es poco probable que ocurra una mayor implementación. Como consecuencia, el 100% de la demanda </w:t>
      </w:r>
      <w:r w:rsidR="00F03FE9" w:rsidRPr="00BE63E3">
        <w:rPr>
          <w:rFonts w:ascii="ITC Avant Garde" w:hAnsi="ITC Avant Garde"/>
          <w:lang w:val="es-MX"/>
        </w:rPr>
        <w:t xml:space="preserve">activa </w:t>
      </w:r>
      <w:r w:rsidRPr="00BE63E3">
        <w:rPr>
          <w:rFonts w:ascii="ITC Avant Garde" w:hAnsi="ITC Avant Garde"/>
          <w:lang w:val="es-MX"/>
        </w:rPr>
        <w:t>de</w:t>
      </w:r>
      <w:r w:rsidR="00F03FE9" w:rsidRPr="00BE63E3">
        <w:rPr>
          <w:rFonts w:ascii="ITC Avant Garde" w:hAnsi="ITC Avant Garde"/>
          <w:lang w:val="es-MX"/>
        </w:rPr>
        <w:t>l</w:t>
      </w:r>
      <w:r w:rsidRPr="00BE63E3">
        <w:rPr>
          <w:rFonts w:ascii="ITC Avant Garde" w:hAnsi="ITC Avant Garde"/>
          <w:lang w:val="es-MX"/>
        </w:rPr>
        <w:t xml:space="preserve"> </w:t>
      </w:r>
      <w:r w:rsidR="00F03FE9" w:rsidRPr="00BE63E3">
        <w:rPr>
          <w:rFonts w:ascii="ITC Avant Garde" w:hAnsi="ITC Avant Garde"/>
          <w:lang w:val="es-MX"/>
        </w:rPr>
        <w:t>AE</w:t>
      </w:r>
      <w:r w:rsidRPr="00BE63E3">
        <w:rPr>
          <w:rFonts w:ascii="ITC Avant Garde" w:hAnsi="ITC Avant Garde"/>
          <w:lang w:val="es-MX"/>
        </w:rPr>
        <w:t>P en el área (en términos de suscripciones activas) se puede</w:t>
      </w:r>
      <w:r w:rsidR="00086BFA">
        <w:rPr>
          <w:rFonts w:ascii="ITC Avant Garde" w:hAnsi="ITC Avant Garde"/>
          <w:lang w:val="es-MX"/>
        </w:rPr>
        <w:t xml:space="preserve"> considerar desde el principio.</w:t>
      </w:r>
      <w:r w:rsidR="00086BFA" w:rsidRPr="00BE63E3">
        <w:rPr>
          <w:rFonts w:ascii="ITC Avant Garde" w:hAnsi="ITC Avant Garde"/>
          <w:lang w:val="es-MX"/>
        </w:rPr>
        <w:t xml:space="preserve"> Para FTTH, se</w:t>
      </w:r>
      <w:r w:rsidR="006A3B29">
        <w:rPr>
          <w:rFonts w:ascii="ITC Avant Garde" w:hAnsi="ITC Avant Garde"/>
          <w:lang w:val="es-MX"/>
        </w:rPr>
        <w:t xml:space="preserve"> debe seguir el mismo supuesto. </w:t>
      </w:r>
    </w:p>
    <w:p w:rsidR="00A374A9" w:rsidRPr="00BE63E3" w:rsidRDefault="00A374A9" w:rsidP="00A374A9">
      <w:pPr>
        <w:rPr>
          <w:rFonts w:ascii="ITC Avant Garde" w:hAnsi="ITC Avant Garde"/>
          <w:lang w:val="es-MX"/>
        </w:rPr>
      </w:pPr>
      <w:r w:rsidRPr="00BE63E3">
        <w:rPr>
          <w:rFonts w:ascii="ITC Avant Garde" w:hAnsi="ITC Avant Garde"/>
          <w:lang w:val="es-MX"/>
        </w:rPr>
        <w:t>En la red de acceso, no todas las instalaciones tienen una suscripción activa que permite recuperar los costos de la línea de acceso asociada. En la práctica, pueden ocurrir varias situaciones. Éstas incluyen:</w:t>
      </w:r>
    </w:p>
    <w:p w:rsidR="00F03FE9" w:rsidRPr="00BE63E3" w:rsidRDefault="00DE156C" w:rsidP="00A374A9">
      <w:pPr>
        <w:pStyle w:val="Listaconvietas2"/>
        <w:rPr>
          <w:rFonts w:ascii="ITC Avant Garde" w:hAnsi="ITC Avant Garde"/>
          <w:lang w:val="es-MX"/>
        </w:rPr>
      </w:pPr>
      <w:r>
        <w:rPr>
          <w:rFonts w:ascii="ITC Avant Garde" w:hAnsi="ITC Avant Garde"/>
          <w:lang w:val="es-MX"/>
        </w:rPr>
        <w:t>I</w:t>
      </w:r>
      <w:r w:rsidR="00A374A9" w:rsidRPr="00BE63E3">
        <w:rPr>
          <w:rFonts w:ascii="ITC Avant Garde" w:hAnsi="ITC Avant Garde"/>
          <w:lang w:val="es-MX"/>
        </w:rPr>
        <w:t xml:space="preserve">nstalaciones aprobadas, es decir, aquellas que </w:t>
      </w:r>
      <w:r w:rsidR="00A374A9" w:rsidRPr="00872052">
        <w:rPr>
          <w:rFonts w:ascii="ITC Avant Garde" w:hAnsi="ITC Avant Garde"/>
          <w:lang w:val="es-MX"/>
        </w:rPr>
        <w:t>están</w:t>
      </w:r>
      <w:r w:rsidR="00A374A9" w:rsidRPr="00BE63E3">
        <w:rPr>
          <w:rFonts w:ascii="ITC Avant Garde" w:hAnsi="ITC Avant Garde"/>
          <w:lang w:val="es-MX"/>
        </w:rPr>
        <w:t xml:space="preserve"> al alcance de la red de distribución;</w:t>
      </w:r>
    </w:p>
    <w:p w:rsidR="00F03FE9" w:rsidRPr="00BE63E3" w:rsidRDefault="00DE156C" w:rsidP="00A374A9">
      <w:pPr>
        <w:pStyle w:val="Listaconvietas2"/>
        <w:rPr>
          <w:rFonts w:ascii="ITC Avant Garde" w:hAnsi="ITC Avant Garde"/>
          <w:lang w:val="es-MX"/>
        </w:rPr>
      </w:pPr>
      <w:r>
        <w:rPr>
          <w:rFonts w:ascii="ITC Avant Garde" w:hAnsi="ITC Avant Garde"/>
          <w:lang w:val="es-MX"/>
        </w:rPr>
        <w:t>I</w:t>
      </w:r>
      <w:r w:rsidR="00A374A9" w:rsidRPr="00BE63E3">
        <w:rPr>
          <w:rFonts w:ascii="ITC Avant Garde" w:hAnsi="ITC Avant Garde"/>
          <w:lang w:val="es-MX"/>
        </w:rPr>
        <w:t>nstalaciones conectadas, es decir, aquellas a las que se ha desplegado un cable de caída final;</w:t>
      </w:r>
    </w:p>
    <w:p w:rsidR="00A374A9" w:rsidRPr="00BE63E3" w:rsidRDefault="00DE156C" w:rsidP="00A374A9">
      <w:pPr>
        <w:pStyle w:val="Listaconvietas2"/>
        <w:rPr>
          <w:rFonts w:ascii="ITC Avant Garde" w:hAnsi="ITC Avant Garde"/>
          <w:lang w:val="es-MX"/>
        </w:rPr>
      </w:pPr>
      <w:r>
        <w:rPr>
          <w:rFonts w:ascii="ITC Avant Garde" w:hAnsi="ITC Avant Garde"/>
          <w:lang w:val="es-MX"/>
        </w:rPr>
        <w:t>L</w:t>
      </w:r>
      <w:r w:rsidR="00A374A9" w:rsidRPr="00BE63E3">
        <w:rPr>
          <w:rFonts w:ascii="ITC Avant Garde" w:hAnsi="ITC Avant Garde"/>
          <w:lang w:val="es-MX"/>
        </w:rPr>
        <w:t>ocales que tienen una suscripción activa, es decir, aquellos sobre los cuales se recuperan los costos.</w:t>
      </w:r>
    </w:p>
    <w:p w:rsidR="00A374A9" w:rsidRPr="00BE63E3" w:rsidRDefault="00A374A9" w:rsidP="00A374A9">
      <w:pPr>
        <w:rPr>
          <w:rFonts w:ascii="ITC Avant Garde" w:hAnsi="ITC Avant Garde"/>
          <w:lang w:val="es-MX"/>
        </w:rPr>
      </w:pPr>
      <w:r w:rsidRPr="00BE63E3">
        <w:rPr>
          <w:rFonts w:ascii="ITC Avant Garde" w:hAnsi="ITC Avant Garde"/>
          <w:lang w:val="es-MX"/>
        </w:rPr>
        <w:t xml:space="preserve">Implementar una red desplegando solo la red para clientes activos sería altamente ineficiente a largo plazo. Como consecuencia, las redes de acceso en el modelo </w:t>
      </w:r>
      <w:r w:rsidR="00CF596B" w:rsidRPr="00BE63E3">
        <w:rPr>
          <w:rFonts w:ascii="ITC Avant Garde" w:hAnsi="ITC Avant Garde"/>
          <w:lang w:val="es-MX"/>
        </w:rPr>
        <w:t>CIPLP</w:t>
      </w:r>
      <w:r w:rsidRPr="00BE63E3">
        <w:rPr>
          <w:rFonts w:ascii="ITC Avant Garde" w:hAnsi="ITC Avant Garde"/>
          <w:lang w:val="es-MX"/>
        </w:rPr>
        <w:t xml:space="preserve"> deben dimensionarse pasando todas las instalaciones del área que cubren. Sin embargo, un operador eficiente no despliega un cable de conexión hasta que el usuario final se active. Pero, es probable que </w:t>
      </w:r>
      <w:r w:rsidR="00F03FE9" w:rsidRPr="00BE63E3">
        <w:rPr>
          <w:rFonts w:ascii="ITC Avant Garde" w:hAnsi="ITC Avant Garde"/>
          <w:lang w:val="es-MX"/>
        </w:rPr>
        <w:t xml:space="preserve">cualquier operador, hasta </w:t>
      </w:r>
      <w:r w:rsidR="00DE156C">
        <w:rPr>
          <w:rFonts w:ascii="ITC Avant Garde" w:hAnsi="ITC Avant Garde"/>
          <w:lang w:val="es-MX"/>
        </w:rPr>
        <w:t>el</w:t>
      </w:r>
      <w:r w:rsidR="00F03FE9" w:rsidRPr="00BE63E3">
        <w:rPr>
          <w:rFonts w:ascii="ITC Avant Garde" w:hAnsi="ITC Avant Garde"/>
          <w:lang w:val="es-MX"/>
        </w:rPr>
        <w:t xml:space="preserve"> </w:t>
      </w:r>
      <w:r w:rsidR="00F2544C" w:rsidRPr="00CD0C09">
        <w:rPr>
          <w:rFonts w:ascii="ITC Avant Garde" w:hAnsi="ITC Avant Garde"/>
          <w:lang w:val="es-MX"/>
        </w:rPr>
        <w:t>más</w:t>
      </w:r>
      <w:r w:rsidR="00F03FE9" w:rsidRPr="00BE63E3">
        <w:rPr>
          <w:rFonts w:ascii="ITC Avant Garde" w:hAnsi="ITC Avant Garde"/>
          <w:lang w:val="es-MX"/>
        </w:rPr>
        <w:t xml:space="preserve"> eficiente, </w:t>
      </w:r>
      <w:r w:rsidRPr="00BE63E3">
        <w:rPr>
          <w:rFonts w:ascii="ITC Avant Garde" w:hAnsi="ITC Avant Garde"/>
          <w:lang w:val="es-MX"/>
        </w:rPr>
        <w:t xml:space="preserve">experimente </w:t>
      </w:r>
      <w:r w:rsidR="00F03FE9" w:rsidRPr="00BE63E3">
        <w:rPr>
          <w:rFonts w:ascii="ITC Avant Garde" w:hAnsi="ITC Avant Garde"/>
          <w:lang w:val="es-MX"/>
        </w:rPr>
        <w:t xml:space="preserve">la </w:t>
      </w:r>
      <w:r w:rsidR="00F03FE9" w:rsidRPr="00872052">
        <w:rPr>
          <w:rFonts w:ascii="ITC Avant Garde" w:hAnsi="ITC Avant Garde"/>
          <w:lang w:val="es-MX"/>
        </w:rPr>
        <w:t>p</w:t>
      </w:r>
      <w:r w:rsidR="004C5CB3">
        <w:rPr>
          <w:rFonts w:ascii="ITC Avant Garde" w:hAnsi="ITC Avant Garde"/>
          <w:lang w:val="es-MX"/>
        </w:rPr>
        <w:t>é</w:t>
      </w:r>
      <w:r w:rsidR="00F03FE9" w:rsidRPr="00872052">
        <w:rPr>
          <w:rFonts w:ascii="ITC Avant Garde" w:hAnsi="ITC Avant Garde"/>
          <w:lang w:val="es-MX"/>
        </w:rPr>
        <w:t>rdida</w:t>
      </w:r>
      <w:r w:rsidRPr="00BE63E3">
        <w:rPr>
          <w:rFonts w:ascii="ITC Avant Garde" w:hAnsi="ITC Avant Garde"/>
          <w:lang w:val="es-MX"/>
        </w:rPr>
        <w:t xml:space="preserve"> de </w:t>
      </w:r>
      <w:r w:rsidR="00F03FE9" w:rsidRPr="00BE63E3">
        <w:rPr>
          <w:rFonts w:ascii="ITC Avant Garde" w:hAnsi="ITC Avant Garde"/>
          <w:lang w:val="es-MX"/>
        </w:rPr>
        <w:t>algunos</w:t>
      </w:r>
      <w:r w:rsidRPr="00BE63E3">
        <w:rPr>
          <w:rFonts w:ascii="ITC Avant Garde" w:hAnsi="ITC Avant Garde"/>
          <w:lang w:val="es-MX"/>
        </w:rPr>
        <w:t xml:space="preserve"> usuarios finales después de desplegar un cable de </w:t>
      </w:r>
      <w:r w:rsidR="00F03FE9" w:rsidRPr="00BE63E3">
        <w:rPr>
          <w:rFonts w:ascii="ITC Avant Garde" w:hAnsi="ITC Avant Garde"/>
          <w:lang w:val="es-MX"/>
        </w:rPr>
        <w:t>acometida</w:t>
      </w:r>
      <w:r w:rsidRPr="00BE63E3">
        <w:rPr>
          <w:rFonts w:ascii="ITC Avant Garde" w:hAnsi="ITC Avant Garde"/>
          <w:lang w:val="es-MX"/>
        </w:rPr>
        <w:t xml:space="preserve"> y</w:t>
      </w:r>
      <w:r w:rsidR="00F03FE9" w:rsidRPr="00BE63E3">
        <w:rPr>
          <w:rFonts w:ascii="ITC Avant Garde" w:hAnsi="ITC Avant Garde"/>
          <w:lang w:val="es-MX"/>
        </w:rPr>
        <w:t xml:space="preserve"> que</w:t>
      </w:r>
      <w:r w:rsidRPr="00BE63E3">
        <w:rPr>
          <w:rFonts w:ascii="ITC Avant Garde" w:hAnsi="ITC Avant Garde"/>
          <w:lang w:val="es-MX"/>
        </w:rPr>
        <w:t xml:space="preserve">, por lo tanto, el cable de </w:t>
      </w:r>
      <w:r w:rsidR="00F03FE9" w:rsidRPr="00BE63E3">
        <w:rPr>
          <w:rFonts w:ascii="ITC Avant Garde" w:hAnsi="ITC Avant Garde"/>
          <w:lang w:val="es-MX"/>
        </w:rPr>
        <w:t>acometida</w:t>
      </w:r>
      <w:r w:rsidRPr="00BE63E3">
        <w:rPr>
          <w:rFonts w:ascii="ITC Avant Garde" w:hAnsi="ITC Avant Garde"/>
          <w:lang w:val="es-MX"/>
        </w:rPr>
        <w:t xml:space="preserve"> se vuelv</w:t>
      </w:r>
      <w:r w:rsidR="00DE156C">
        <w:rPr>
          <w:rFonts w:ascii="ITC Avant Garde" w:hAnsi="ITC Avant Garde"/>
          <w:lang w:val="es-MX"/>
        </w:rPr>
        <w:t>a</w:t>
      </w:r>
      <w:r w:rsidRPr="00BE63E3">
        <w:rPr>
          <w:rFonts w:ascii="ITC Avant Garde" w:hAnsi="ITC Avant Garde"/>
          <w:lang w:val="es-MX"/>
        </w:rPr>
        <w:t xml:space="preserve"> inactivo. Además, en un edificio con varios alojamientos, parece más eficiente desplegar cables de bajada del sótano del edificio a todos los alojamientos, incluso si algunos alojamientos no alojan a un cliente activo.</w:t>
      </w:r>
    </w:p>
    <w:p w:rsidR="00A374A9" w:rsidRPr="00CD0C09" w:rsidRDefault="00A374A9" w:rsidP="00A374A9">
      <w:pPr>
        <w:rPr>
          <w:rFonts w:ascii="ITC Avant Garde" w:hAnsi="ITC Avant Garde"/>
          <w:lang w:val="es-MX"/>
        </w:rPr>
      </w:pPr>
      <w:r w:rsidRPr="00BE63E3">
        <w:rPr>
          <w:rFonts w:ascii="ITC Avant Garde" w:hAnsi="ITC Avant Garde"/>
          <w:lang w:val="es-MX"/>
        </w:rPr>
        <w:t xml:space="preserve">Sin embargo, los costos deben recuperarse en el subconjunto de ubicaciones conectadas que se supone </w:t>
      </w:r>
      <w:r w:rsidR="00F03FE9" w:rsidRPr="00BE63E3">
        <w:rPr>
          <w:rFonts w:ascii="ITC Avant Garde" w:hAnsi="ITC Avant Garde"/>
          <w:lang w:val="es-MX"/>
        </w:rPr>
        <w:t xml:space="preserve">que </w:t>
      </w:r>
      <w:r w:rsidRPr="00BE63E3">
        <w:rPr>
          <w:rFonts w:ascii="ITC Avant Garde" w:hAnsi="ITC Avant Garde"/>
          <w:lang w:val="es-MX"/>
        </w:rPr>
        <w:t>tienen una suscripción activa.</w:t>
      </w:r>
    </w:p>
    <w:p w:rsidR="00A374A9" w:rsidRPr="00BE63E3" w:rsidRDefault="00A374A9" w:rsidP="00A374A9">
      <w:pPr>
        <w:pStyle w:val="Encadr3"/>
        <w:rPr>
          <w:rFonts w:ascii="ITC Avant Garde" w:hAnsi="ITC Avant Garde"/>
          <w:lang w:val="es-MX"/>
        </w:rPr>
      </w:pPr>
      <w:r w:rsidRPr="00BE63E3">
        <w:rPr>
          <w:rFonts w:ascii="ITC Avant Garde" w:hAnsi="ITC Avant Garde"/>
          <w:lang w:val="es-MX"/>
        </w:rPr>
        <w:t xml:space="preserve">Criterio 17: El costo de todas las instalaciones que se </w:t>
      </w:r>
      <w:r w:rsidR="00F03FE9" w:rsidRPr="00BE63E3">
        <w:rPr>
          <w:rFonts w:ascii="ITC Avant Garde" w:hAnsi="ITC Avant Garde"/>
          <w:lang w:val="es-MX"/>
        </w:rPr>
        <w:t>consideran como conectadas</w:t>
      </w:r>
      <w:r w:rsidRPr="00BE63E3">
        <w:rPr>
          <w:rFonts w:ascii="ITC Avant Garde" w:hAnsi="ITC Avant Garde"/>
          <w:lang w:val="es-MX"/>
        </w:rPr>
        <w:t xml:space="preserve"> se t</w:t>
      </w:r>
      <w:r w:rsidR="00F03FE9" w:rsidRPr="00BE63E3">
        <w:rPr>
          <w:rFonts w:ascii="ITC Avant Garde" w:hAnsi="ITC Avant Garde"/>
          <w:lang w:val="es-MX"/>
        </w:rPr>
        <w:t>i</w:t>
      </w:r>
      <w:r w:rsidRPr="00BE63E3">
        <w:rPr>
          <w:rFonts w:ascii="ITC Avant Garde" w:hAnsi="ITC Avant Garde"/>
          <w:lang w:val="es-MX"/>
        </w:rPr>
        <w:t>en</w:t>
      </w:r>
      <w:r w:rsidR="00F03FE9" w:rsidRPr="00BE63E3">
        <w:rPr>
          <w:rFonts w:ascii="ITC Avant Garde" w:hAnsi="ITC Avant Garde"/>
          <w:lang w:val="es-MX"/>
        </w:rPr>
        <w:t>e</w:t>
      </w:r>
      <w:r w:rsidRPr="00BE63E3">
        <w:rPr>
          <w:rFonts w:ascii="ITC Avant Garde" w:hAnsi="ITC Avant Garde"/>
          <w:lang w:val="es-MX"/>
        </w:rPr>
        <w:t xml:space="preserve"> en cuenta en </w:t>
      </w:r>
      <w:r w:rsidR="00F03FE9" w:rsidRPr="00BE63E3">
        <w:rPr>
          <w:rFonts w:ascii="ITC Avant Garde" w:hAnsi="ITC Avant Garde"/>
          <w:lang w:val="es-MX"/>
        </w:rPr>
        <w:t xml:space="preserve">la recuperación </w:t>
      </w:r>
      <w:r w:rsidRPr="00BE63E3">
        <w:rPr>
          <w:rFonts w:ascii="ITC Avant Garde" w:hAnsi="ITC Avant Garde"/>
          <w:lang w:val="es-MX"/>
        </w:rPr>
        <w:t>de</w:t>
      </w:r>
      <w:r w:rsidR="00F03FE9" w:rsidRPr="00BE63E3">
        <w:rPr>
          <w:rFonts w:ascii="ITC Avant Garde" w:hAnsi="ITC Avant Garde"/>
          <w:lang w:val="es-MX"/>
        </w:rPr>
        <w:t xml:space="preserve"> </w:t>
      </w:r>
      <w:r w:rsidRPr="00BE63E3">
        <w:rPr>
          <w:rFonts w:ascii="ITC Avant Garde" w:hAnsi="ITC Avant Garde"/>
          <w:lang w:val="es-MX"/>
        </w:rPr>
        <w:t>l</w:t>
      </w:r>
      <w:r w:rsidR="00F03FE9" w:rsidRPr="00BE63E3">
        <w:rPr>
          <w:rFonts w:ascii="ITC Avant Garde" w:hAnsi="ITC Avant Garde"/>
          <w:lang w:val="es-MX"/>
        </w:rPr>
        <w:t>os</w:t>
      </w:r>
      <w:r w:rsidRPr="00BE63E3">
        <w:rPr>
          <w:rFonts w:ascii="ITC Avant Garde" w:hAnsi="ITC Avant Garde"/>
          <w:lang w:val="es-MX"/>
        </w:rPr>
        <w:t xml:space="preserve"> costo</w:t>
      </w:r>
      <w:r w:rsidR="00F03FE9" w:rsidRPr="00BE63E3">
        <w:rPr>
          <w:rFonts w:ascii="ITC Avant Garde" w:hAnsi="ITC Avant Garde"/>
          <w:lang w:val="es-MX"/>
        </w:rPr>
        <w:t>s</w:t>
      </w:r>
      <w:r w:rsidRPr="00BE63E3">
        <w:rPr>
          <w:rFonts w:ascii="ITC Avant Garde" w:hAnsi="ITC Avant Garde"/>
          <w:lang w:val="es-MX"/>
        </w:rPr>
        <w:t xml:space="preserve">. Las premisas conectadas y activas </w:t>
      </w:r>
      <w:r w:rsidR="00F03FE9" w:rsidRPr="00BE63E3">
        <w:rPr>
          <w:rFonts w:ascii="ITC Avant Garde" w:hAnsi="ITC Avant Garde"/>
          <w:lang w:val="es-MX"/>
        </w:rPr>
        <w:t xml:space="preserve">se </w:t>
      </w:r>
      <w:r w:rsidRPr="00BE63E3">
        <w:rPr>
          <w:rFonts w:ascii="ITC Avant Garde" w:hAnsi="ITC Avant Garde"/>
          <w:lang w:val="es-MX"/>
        </w:rPr>
        <w:t>diferencia</w:t>
      </w:r>
      <w:r w:rsidR="00F03FE9" w:rsidRPr="00BE63E3">
        <w:rPr>
          <w:rFonts w:ascii="ITC Avant Garde" w:hAnsi="ITC Avant Garde"/>
          <w:lang w:val="es-MX"/>
        </w:rPr>
        <w:t>n</w:t>
      </w:r>
      <w:r w:rsidRPr="00BE63E3">
        <w:rPr>
          <w:rFonts w:ascii="ITC Avant Garde" w:hAnsi="ITC Avant Garde"/>
          <w:lang w:val="es-MX"/>
        </w:rPr>
        <w:t xml:space="preserve"> </w:t>
      </w:r>
      <w:r w:rsidR="00F03FE9" w:rsidRPr="00BE63E3">
        <w:rPr>
          <w:rFonts w:ascii="ITC Avant Garde" w:hAnsi="ITC Avant Garde"/>
          <w:lang w:val="es-MX"/>
        </w:rPr>
        <w:t>a fin de</w:t>
      </w:r>
      <w:r w:rsidRPr="00BE63E3">
        <w:rPr>
          <w:rFonts w:ascii="ITC Avant Garde" w:hAnsi="ITC Avant Garde"/>
          <w:lang w:val="es-MX"/>
        </w:rPr>
        <w:t xml:space="preserve"> considerar que las instalaciones activas incluyen solo líneas con una suscripción activa, mientras que las líneas conectadas incluyen, además de las instalaciones activas, algunas premisas inactivas para reflejar que las transferencias se implementan para tener en cuenta también el abandono del cliente como despliegues de cables sueltos en la construcción con varios alojamientos (independientemente de la </w:t>
      </w:r>
      <w:r w:rsidR="00F03FE9" w:rsidRPr="00BE63E3">
        <w:rPr>
          <w:rFonts w:ascii="ITC Avant Garde" w:hAnsi="ITC Avant Garde"/>
          <w:lang w:val="es-MX"/>
        </w:rPr>
        <w:t>p</w:t>
      </w:r>
      <w:r w:rsidRPr="00BE63E3">
        <w:rPr>
          <w:rFonts w:ascii="ITC Avant Garde" w:hAnsi="ITC Avant Garde"/>
          <w:lang w:val="es-MX"/>
        </w:rPr>
        <w:t>resencia o no del cliente).</w:t>
      </w:r>
    </w:p>
    <w:p w:rsidR="00A374A9" w:rsidRPr="00BE63E3" w:rsidRDefault="00A374A9" w:rsidP="00A374A9">
      <w:pPr>
        <w:pStyle w:val="Encadr3"/>
        <w:rPr>
          <w:rFonts w:ascii="ITC Avant Garde" w:hAnsi="ITC Avant Garde"/>
          <w:lang w:val="es-MX"/>
        </w:rPr>
      </w:pPr>
      <w:r w:rsidRPr="00BE63E3">
        <w:rPr>
          <w:rFonts w:ascii="ITC Avant Garde" w:hAnsi="ITC Avant Garde"/>
          <w:lang w:val="es-MX"/>
        </w:rPr>
        <w:t>La recuperación de costos siempre se realiza en base a las premisas activas.</w:t>
      </w:r>
    </w:p>
    <w:p w:rsidR="00A374A9" w:rsidRPr="00CD0C09" w:rsidRDefault="00A374A9" w:rsidP="00A374A9">
      <w:pPr>
        <w:rPr>
          <w:rFonts w:ascii="ITC Avant Garde" w:hAnsi="ITC Avant Garde"/>
          <w:lang w:val="es-MX"/>
        </w:rPr>
      </w:pPr>
    </w:p>
    <w:p w:rsidR="00A374A9" w:rsidRPr="00CD0C09" w:rsidRDefault="004B276B" w:rsidP="00A374A9">
      <w:pPr>
        <w:pStyle w:val="Ttulo4"/>
        <w:rPr>
          <w:rFonts w:ascii="ITC Avant Garde" w:hAnsi="ITC Avant Garde"/>
          <w:lang w:val="es-MX"/>
        </w:rPr>
      </w:pPr>
      <w:bookmarkStart w:id="121" w:name="_Toc525665276"/>
      <w:bookmarkStart w:id="122" w:name="_Toc525665655"/>
      <w:bookmarkStart w:id="123" w:name="_Toc526854356"/>
      <w:r w:rsidRPr="00CD0C09">
        <w:rPr>
          <w:rFonts w:ascii="ITC Avant Garde" w:hAnsi="ITC Avant Garde"/>
          <w:lang w:val="es-MX"/>
        </w:rPr>
        <w:lastRenderedPageBreak/>
        <w:t>Compartición</w:t>
      </w:r>
      <w:r w:rsidR="00A374A9" w:rsidRPr="00CD0C09">
        <w:rPr>
          <w:rFonts w:ascii="ITC Avant Garde" w:hAnsi="ITC Avant Garde"/>
          <w:lang w:val="es-MX"/>
        </w:rPr>
        <w:t xml:space="preserve"> de infraestructura</w:t>
      </w:r>
      <w:bookmarkEnd w:id="121"/>
      <w:bookmarkEnd w:id="122"/>
      <w:bookmarkEnd w:id="123"/>
    </w:p>
    <w:p w:rsidR="00A374A9" w:rsidRPr="00CD0C09" w:rsidRDefault="00A374A9" w:rsidP="00A374A9">
      <w:pPr>
        <w:rPr>
          <w:rFonts w:ascii="ITC Avant Garde" w:hAnsi="ITC Avant Garde"/>
          <w:lang w:val="es-MX"/>
        </w:rPr>
      </w:pPr>
      <w:r w:rsidRPr="00CD0C09">
        <w:rPr>
          <w:rFonts w:ascii="ITC Avant Garde" w:hAnsi="ITC Avant Garde"/>
          <w:lang w:val="es-MX"/>
        </w:rPr>
        <w:t>Una red de acceso puede compartir infraestructura con otros niveles de red (por ejemplo, rutas de</w:t>
      </w:r>
      <w:r w:rsidR="00F03FE9" w:rsidRPr="00CD0C09">
        <w:rPr>
          <w:rFonts w:ascii="ITC Avant Garde" w:hAnsi="ITC Avant Garde"/>
          <w:lang w:val="es-MX"/>
        </w:rPr>
        <w:t xml:space="preserve"> la red</w:t>
      </w:r>
      <w:r w:rsidRPr="00CD0C09">
        <w:rPr>
          <w:rFonts w:ascii="ITC Avant Garde" w:hAnsi="ITC Avant Garde"/>
          <w:lang w:val="es-MX"/>
        </w:rPr>
        <w:t xml:space="preserve"> central), así como con otros operadores, como </w:t>
      </w:r>
      <w:r w:rsidR="00EB2A89" w:rsidRPr="00CD0C09">
        <w:rPr>
          <w:rFonts w:ascii="ITC Avant Garde" w:hAnsi="ITC Avant Garde"/>
          <w:lang w:val="es-MX"/>
        </w:rPr>
        <w:t>otros servic</w:t>
      </w:r>
      <w:r w:rsidR="00D65193">
        <w:rPr>
          <w:rFonts w:ascii="ITC Avant Garde" w:hAnsi="ITC Avant Garde"/>
          <w:lang w:val="es-MX"/>
        </w:rPr>
        <w:t>i</w:t>
      </w:r>
      <w:r w:rsidR="00EB2A89" w:rsidRPr="00CD0C09">
        <w:rPr>
          <w:rFonts w:ascii="ITC Avant Garde" w:hAnsi="ITC Avant Garde"/>
          <w:lang w:val="es-MX"/>
        </w:rPr>
        <w:t xml:space="preserve">os </w:t>
      </w:r>
      <w:r w:rsidR="00F03FE9" w:rsidRPr="00CD0C09">
        <w:rPr>
          <w:rFonts w:ascii="ITC Avant Garde" w:hAnsi="ITC Avant Garde"/>
          <w:lang w:val="es-MX"/>
        </w:rPr>
        <w:t>(</w:t>
      </w:r>
      <w:r w:rsidR="00F2544C" w:rsidRPr="00CD0C09">
        <w:rPr>
          <w:rFonts w:ascii="ITC Avant Garde" w:hAnsi="ITC Avant Garde"/>
          <w:lang w:val="es-MX"/>
        </w:rPr>
        <w:t>energía</w:t>
      </w:r>
      <w:r w:rsidR="00F03FE9" w:rsidRPr="00CD0C09">
        <w:rPr>
          <w:rFonts w:ascii="ITC Avant Garde" w:hAnsi="ITC Avant Garde"/>
          <w:lang w:val="es-MX"/>
        </w:rPr>
        <w:t>, agua)</w:t>
      </w:r>
      <w:r w:rsidRPr="00CD0C09">
        <w:rPr>
          <w:rFonts w:ascii="ITC Avant Garde" w:hAnsi="ITC Avant Garde"/>
          <w:lang w:val="es-MX"/>
        </w:rPr>
        <w:t xml:space="preserve">, </w:t>
      </w:r>
      <w:r w:rsidR="00F2544C" w:rsidRPr="00CD0C09">
        <w:rPr>
          <w:rFonts w:ascii="ITC Avant Garde" w:hAnsi="ITC Avant Garde"/>
          <w:lang w:val="es-MX"/>
        </w:rPr>
        <w:t>u</w:t>
      </w:r>
      <w:r w:rsidR="00F03FE9" w:rsidRPr="00CD0C09">
        <w:rPr>
          <w:rFonts w:ascii="ITC Avant Garde" w:hAnsi="ITC Avant Garde"/>
          <w:lang w:val="es-MX"/>
        </w:rPr>
        <w:t xml:space="preserve"> operadores de </w:t>
      </w:r>
      <w:r w:rsidRPr="00CD0C09">
        <w:rPr>
          <w:rFonts w:ascii="ITC Avant Garde" w:hAnsi="ITC Avant Garde"/>
          <w:lang w:val="es-MX"/>
        </w:rPr>
        <w:t>televisión por cable. El uso compartido de la infraestructura de red debe tenerse en cuenta en el modelo de costos. El uso compartido de infraestructura es una práctica común en las implementaciones de redes, ya que el trabajo de ingeniería civil es costoso y los activos de ingeniería civil constituyen una parte importante de la infraestructura.</w:t>
      </w:r>
    </w:p>
    <w:p w:rsidR="00A374A9" w:rsidRPr="00CD0C09" w:rsidRDefault="00A374A9" w:rsidP="00A374A9">
      <w:pPr>
        <w:rPr>
          <w:rFonts w:ascii="ITC Avant Garde" w:hAnsi="ITC Avant Garde"/>
          <w:lang w:val="es-MX"/>
        </w:rPr>
      </w:pPr>
      <w:r w:rsidRPr="00CD0C09">
        <w:rPr>
          <w:rFonts w:ascii="ITC Avant Garde" w:hAnsi="ITC Avant Garde"/>
          <w:lang w:val="es-MX"/>
        </w:rPr>
        <w:t xml:space="preserve">Por lo tanto, es </w:t>
      </w:r>
      <w:r w:rsidR="00F03FE9" w:rsidRPr="00CD0C09">
        <w:rPr>
          <w:rFonts w:ascii="ITC Avant Garde" w:hAnsi="ITC Avant Garde"/>
          <w:lang w:val="es-MX"/>
        </w:rPr>
        <w:t>consistente</w:t>
      </w:r>
      <w:r w:rsidRPr="00CD0C09">
        <w:rPr>
          <w:rFonts w:ascii="ITC Avant Garde" w:hAnsi="ITC Avant Garde"/>
          <w:lang w:val="es-MX"/>
        </w:rPr>
        <w:t xml:space="preserve"> considerar el uso compartido de la infraestructura tanto desde el punto de vista empresarial como desde el punto de vista socioeconómico. Generalmente, las ANR son </w:t>
      </w:r>
      <w:r w:rsidR="00F03FE9" w:rsidRPr="00CD0C09">
        <w:rPr>
          <w:rFonts w:ascii="ITC Avant Garde" w:hAnsi="ITC Avant Garde"/>
          <w:lang w:val="es-MX"/>
        </w:rPr>
        <w:t>favorables</w:t>
      </w:r>
      <w:r w:rsidRPr="00CD0C09">
        <w:rPr>
          <w:rFonts w:ascii="ITC Avant Garde" w:hAnsi="ITC Avant Garde"/>
          <w:lang w:val="es-MX"/>
        </w:rPr>
        <w:t xml:space="preserve"> a</w:t>
      </w:r>
      <w:r w:rsidR="00F03FE9" w:rsidRPr="00CD0C09">
        <w:rPr>
          <w:rFonts w:ascii="ITC Avant Garde" w:hAnsi="ITC Avant Garde"/>
          <w:lang w:val="es-MX"/>
        </w:rPr>
        <w:t xml:space="preserve"> </w:t>
      </w:r>
      <w:r w:rsidRPr="00CD0C09">
        <w:rPr>
          <w:rFonts w:ascii="ITC Avant Garde" w:hAnsi="ITC Avant Garde"/>
          <w:lang w:val="es-MX"/>
        </w:rPr>
        <w:t>l</w:t>
      </w:r>
      <w:r w:rsidR="00F03FE9" w:rsidRPr="00CD0C09">
        <w:rPr>
          <w:rFonts w:ascii="ITC Avant Garde" w:hAnsi="ITC Avant Garde"/>
          <w:lang w:val="es-MX"/>
        </w:rPr>
        <w:t>a</w:t>
      </w:r>
      <w:r w:rsidRPr="00CD0C09">
        <w:rPr>
          <w:rFonts w:ascii="ITC Avant Garde" w:hAnsi="ITC Avant Garde"/>
          <w:lang w:val="es-MX"/>
        </w:rPr>
        <w:t xml:space="preserve"> </w:t>
      </w:r>
      <w:r w:rsidR="00F2544C" w:rsidRPr="00CD0C09">
        <w:rPr>
          <w:rFonts w:ascii="ITC Avant Garde" w:hAnsi="ITC Avant Garde"/>
          <w:lang w:val="es-MX"/>
        </w:rPr>
        <w:t>compartición</w:t>
      </w:r>
      <w:r w:rsidRPr="00CD0C09">
        <w:rPr>
          <w:rFonts w:ascii="ITC Avant Garde" w:hAnsi="ITC Avant Garde"/>
          <w:lang w:val="es-MX"/>
        </w:rPr>
        <w:t xml:space="preserve"> de infraestructura, siempre que no </w:t>
      </w:r>
      <w:r w:rsidR="000C6CFA" w:rsidRPr="00CD0C09">
        <w:rPr>
          <w:rFonts w:ascii="ITC Avant Garde" w:hAnsi="ITC Avant Garde"/>
          <w:lang w:val="es-MX"/>
        </w:rPr>
        <w:t>perjud</w:t>
      </w:r>
      <w:r w:rsidR="00DE156C">
        <w:rPr>
          <w:rFonts w:ascii="ITC Avant Garde" w:hAnsi="ITC Avant Garde"/>
          <w:lang w:val="es-MX"/>
        </w:rPr>
        <w:t>iquen</w:t>
      </w:r>
      <w:r w:rsidRPr="00CD0C09">
        <w:rPr>
          <w:rFonts w:ascii="ITC Avant Garde" w:hAnsi="ITC Avant Garde"/>
          <w:lang w:val="es-MX"/>
        </w:rPr>
        <w:t xml:space="preserve"> la competencia o la resiliencia de la red</w:t>
      </w:r>
      <w:r w:rsidR="000C6CFA" w:rsidRPr="00CD0C09">
        <w:rPr>
          <w:rFonts w:ascii="ITC Avant Garde" w:hAnsi="ITC Avant Garde"/>
          <w:lang w:val="es-MX"/>
        </w:rPr>
        <w:t>,</w:t>
      </w:r>
      <w:r w:rsidRPr="00CD0C09">
        <w:rPr>
          <w:rFonts w:ascii="ITC Avant Garde" w:hAnsi="ITC Avant Garde"/>
          <w:lang w:val="es-MX"/>
        </w:rPr>
        <w:t xml:space="preserve"> pero requiere acuerdos entre los participantes del mercado.</w:t>
      </w:r>
    </w:p>
    <w:p w:rsidR="00A374A9" w:rsidRPr="00CD0C09" w:rsidRDefault="00A374A9" w:rsidP="00A374A9">
      <w:pPr>
        <w:rPr>
          <w:rFonts w:ascii="ITC Avant Garde" w:hAnsi="ITC Avant Garde"/>
          <w:lang w:val="es-MX"/>
        </w:rPr>
      </w:pPr>
      <w:r w:rsidRPr="00CD0C09">
        <w:rPr>
          <w:rFonts w:ascii="ITC Avant Garde" w:hAnsi="ITC Avant Garde"/>
          <w:lang w:val="es-MX"/>
        </w:rPr>
        <w:t xml:space="preserve">Con la aplicación de </w:t>
      </w:r>
      <w:r w:rsidR="000C6CFA" w:rsidRPr="00CD0C09">
        <w:rPr>
          <w:rFonts w:ascii="ITC Avant Garde" w:hAnsi="ITC Avant Garde"/>
          <w:lang w:val="es-MX"/>
        </w:rPr>
        <w:t>ciertas medidas</w:t>
      </w:r>
      <w:r w:rsidRPr="00CD0C09">
        <w:rPr>
          <w:rFonts w:ascii="ITC Avant Garde" w:hAnsi="ITC Avant Garde"/>
          <w:lang w:val="es-MX"/>
        </w:rPr>
        <w:t>, un operador de red puede, bajo ciertas condiciones, tener derecho a acceder a la infraestructura de un propietario de red y tener derecho a coordinar su proyecto con un proyecto de construcción de un propietario de red para construir redes de banda ancha. Los reguladores manejan la resolución de disputas en caso de que las partes no puedan llegar a un acuerdo de precios. Por lo tanto, este objetivo de compartir infraestructura debe reflejarse en el modelo.</w:t>
      </w:r>
    </w:p>
    <w:p w:rsidR="00A374A9" w:rsidRPr="00CD0C09" w:rsidRDefault="00A374A9" w:rsidP="00A374A9">
      <w:pPr>
        <w:rPr>
          <w:rFonts w:ascii="ITC Avant Garde" w:hAnsi="ITC Avant Garde"/>
          <w:lang w:val="es-MX"/>
        </w:rPr>
      </w:pPr>
      <w:r w:rsidRPr="00CD0C09">
        <w:rPr>
          <w:rFonts w:ascii="ITC Avant Garde" w:hAnsi="ITC Avant Garde"/>
          <w:lang w:val="es-MX"/>
        </w:rPr>
        <w:t>La parte de los costos asignados a los otros niveles de la red (por ejemplo, entre la red central y de acceso) y a los otros operadores o servicios se puede determinar de acuerdo con varios tipos de reglas de asignación, tales como:</w:t>
      </w:r>
    </w:p>
    <w:p w:rsidR="00A374A9" w:rsidRPr="00CD0C09" w:rsidRDefault="00A374A9" w:rsidP="000C6CFA">
      <w:pPr>
        <w:pStyle w:val="Listaconvietas2"/>
        <w:rPr>
          <w:rFonts w:ascii="ITC Avant Garde" w:hAnsi="ITC Avant Garde"/>
          <w:lang w:val="es-MX"/>
        </w:rPr>
      </w:pPr>
      <w:r w:rsidRPr="00CD0C09">
        <w:rPr>
          <w:rFonts w:ascii="ITC Avant Garde" w:hAnsi="ITC Avant Garde"/>
          <w:lang w:val="es-MX"/>
        </w:rPr>
        <w:t>50/50: a cada red se le asigna la mitad de la parte compartida;</w:t>
      </w:r>
    </w:p>
    <w:p w:rsidR="00A374A9" w:rsidRPr="00CD0C09" w:rsidRDefault="00A374A9" w:rsidP="000C6CFA">
      <w:pPr>
        <w:pStyle w:val="Listaconvietas2"/>
        <w:rPr>
          <w:rFonts w:ascii="ITC Avant Garde" w:hAnsi="ITC Avant Garde"/>
          <w:lang w:val="es-MX"/>
        </w:rPr>
      </w:pPr>
      <w:r w:rsidRPr="00CD0C09">
        <w:rPr>
          <w:rFonts w:ascii="ITC Avant Garde" w:hAnsi="ITC Avant Garde"/>
          <w:lang w:val="es-MX"/>
        </w:rPr>
        <w:t xml:space="preserve">La cantidad de cables: </w:t>
      </w:r>
      <w:r w:rsidR="00DE156C">
        <w:rPr>
          <w:rFonts w:ascii="ITC Avant Garde" w:hAnsi="ITC Avant Garde"/>
          <w:lang w:val="es-MX"/>
        </w:rPr>
        <w:t>A</w:t>
      </w:r>
      <w:r w:rsidRPr="00CD0C09">
        <w:rPr>
          <w:rFonts w:ascii="ITC Avant Garde" w:hAnsi="ITC Avant Garde"/>
          <w:lang w:val="es-MX"/>
        </w:rPr>
        <w:t xml:space="preserve"> cada red se le asignan los costos de la parte compartida en proporción a la cantidad de cables que utiliza;</w:t>
      </w:r>
    </w:p>
    <w:p w:rsidR="00A374A9" w:rsidRPr="00CD0C09" w:rsidRDefault="00A374A9" w:rsidP="000C6CFA">
      <w:pPr>
        <w:pStyle w:val="Listaconvietas2"/>
        <w:rPr>
          <w:rFonts w:ascii="ITC Avant Garde" w:hAnsi="ITC Avant Garde"/>
          <w:lang w:val="es-MX"/>
        </w:rPr>
      </w:pPr>
      <w:r w:rsidRPr="00CD0C09">
        <w:rPr>
          <w:rFonts w:ascii="ITC Avant Garde" w:hAnsi="ITC Avant Garde"/>
          <w:lang w:val="es-MX"/>
        </w:rPr>
        <w:t xml:space="preserve">La superficie de los cables: </w:t>
      </w:r>
      <w:r w:rsidR="00DE156C">
        <w:rPr>
          <w:rFonts w:ascii="ITC Avant Garde" w:hAnsi="ITC Avant Garde"/>
          <w:lang w:val="es-MX"/>
        </w:rPr>
        <w:t>A</w:t>
      </w:r>
      <w:r w:rsidRPr="00CD0C09">
        <w:rPr>
          <w:rFonts w:ascii="ITC Avant Garde" w:hAnsi="ITC Avant Garde"/>
          <w:lang w:val="es-MX"/>
        </w:rPr>
        <w:t xml:space="preserve"> cada red se le asignan los costos de la parte compartida en proporción a la superficie total de los cables que utiliza (enfoque preferido implementado en el modelo de costos ya que esto es más consistente con los factores de costo);</w:t>
      </w:r>
    </w:p>
    <w:p w:rsidR="00A374A9" w:rsidRPr="00CD0C09" w:rsidRDefault="00A374A9" w:rsidP="000C6CFA">
      <w:pPr>
        <w:pStyle w:val="Listaconvietas2"/>
        <w:rPr>
          <w:rFonts w:ascii="ITC Avant Garde" w:hAnsi="ITC Avant Garde"/>
          <w:lang w:val="es-MX"/>
        </w:rPr>
      </w:pPr>
      <w:r w:rsidRPr="00CD0C09">
        <w:rPr>
          <w:rFonts w:ascii="ITC Avant Garde" w:hAnsi="ITC Avant Garde"/>
          <w:lang w:val="es-MX"/>
        </w:rPr>
        <w:t>Reglas especiales tales como las reglas estipuladas en el contrato entre dos operadores de red.</w:t>
      </w:r>
    </w:p>
    <w:p w:rsidR="00A374A9" w:rsidRPr="00CD0C09" w:rsidRDefault="00A374A9" w:rsidP="00A374A9">
      <w:pPr>
        <w:rPr>
          <w:rFonts w:ascii="ITC Avant Garde" w:hAnsi="ITC Avant Garde"/>
          <w:lang w:val="es-MX"/>
        </w:rPr>
      </w:pPr>
      <w:r w:rsidRPr="00CD0C09">
        <w:rPr>
          <w:rFonts w:ascii="ITC Avant Garde" w:hAnsi="ITC Avant Garde"/>
          <w:lang w:val="es-MX"/>
        </w:rPr>
        <w:t xml:space="preserve">Si solo hay cables de acceso en una sección, entonces el 100% de los costos de la zanja deberían asignarse a la red de acceso y recíprocamente, si en una sección solo hay cables </w:t>
      </w:r>
      <w:r w:rsidR="000C6CFA" w:rsidRPr="00CD0C09">
        <w:rPr>
          <w:rFonts w:ascii="ITC Avant Garde" w:hAnsi="ITC Avant Garde"/>
          <w:lang w:val="es-MX"/>
        </w:rPr>
        <w:t>de transporte</w:t>
      </w:r>
      <w:r w:rsidRPr="00CD0C09">
        <w:rPr>
          <w:rFonts w:ascii="ITC Avant Garde" w:hAnsi="ITC Avant Garde"/>
          <w:lang w:val="es-MX"/>
        </w:rPr>
        <w:t xml:space="preserve">, entonces el 100% de los costos de la zanja deberían asignarse a la red </w:t>
      </w:r>
      <w:r w:rsidR="000C6CFA" w:rsidRPr="00CD0C09">
        <w:rPr>
          <w:rFonts w:ascii="ITC Avant Garde" w:hAnsi="ITC Avant Garde"/>
          <w:lang w:val="es-MX"/>
        </w:rPr>
        <w:t>de transporte</w:t>
      </w:r>
      <w:r w:rsidRPr="00CD0C09">
        <w:rPr>
          <w:rFonts w:ascii="ITC Avant Garde" w:hAnsi="ITC Avant Garde"/>
          <w:lang w:val="es-MX"/>
        </w:rPr>
        <w:t xml:space="preserve">. Se pueden usar reglas similares para compartir infraestructura con otros tipos de redes (como redes de electricidad). </w:t>
      </w:r>
    </w:p>
    <w:p w:rsidR="00A374A9" w:rsidRPr="00CD0C09" w:rsidRDefault="00A374A9" w:rsidP="00A374A9">
      <w:pPr>
        <w:pStyle w:val="Encadr3"/>
        <w:rPr>
          <w:rFonts w:ascii="ITC Avant Garde" w:hAnsi="ITC Avant Garde"/>
          <w:lang w:val="es-MX"/>
        </w:rPr>
      </w:pPr>
      <w:r w:rsidRPr="00CD0C09">
        <w:rPr>
          <w:rFonts w:ascii="ITC Avant Garde" w:hAnsi="ITC Avant Garde"/>
          <w:lang w:val="es-MX"/>
        </w:rPr>
        <w:lastRenderedPageBreak/>
        <w:t>Criterio 18: El modelo t</w:t>
      </w:r>
      <w:r w:rsidR="000C6CFA" w:rsidRPr="00CD0C09">
        <w:rPr>
          <w:rFonts w:ascii="ITC Avant Garde" w:hAnsi="ITC Avant Garde"/>
          <w:lang w:val="es-MX"/>
        </w:rPr>
        <w:t>i</w:t>
      </w:r>
      <w:r w:rsidRPr="00CD0C09">
        <w:rPr>
          <w:rFonts w:ascii="ITC Avant Garde" w:hAnsi="ITC Avant Garde"/>
          <w:lang w:val="es-MX"/>
        </w:rPr>
        <w:t xml:space="preserve">ene en cuenta el uso compartido de infraestructura de red </w:t>
      </w:r>
      <w:r w:rsidR="000C6CFA" w:rsidRPr="00CD0C09">
        <w:rPr>
          <w:rFonts w:ascii="ITC Avant Garde" w:hAnsi="ITC Avant Garde"/>
          <w:lang w:val="es-MX"/>
        </w:rPr>
        <w:t>entre</w:t>
      </w:r>
      <w:r w:rsidRPr="00CD0C09">
        <w:rPr>
          <w:rFonts w:ascii="ITC Avant Garde" w:hAnsi="ITC Avant Garde"/>
          <w:lang w:val="es-MX"/>
        </w:rPr>
        <w:t xml:space="preserve"> la red </w:t>
      </w:r>
      <w:r w:rsidR="000C6CFA" w:rsidRPr="00CD0C09">
        <w:rPr>
          <w:rFonts w:ascii="ITC Avant Garde" w:hAnsi="ITC Avant Garde"/>
          <w:lang w:val="es-MX"/>
        </w:rPr>
        <w:t>de transporte</w:t>
      </w:r>
      <w:r w:rsidRPr="00CD0C09">
        <w:rPr>
          <w:rFonts w:ascii="ITC Avant Garde" w:hAnsi="ITC Avant Garde"/>
          <w:lang w:val="es-MX"/>
        </w:rPr>
        <w:t xml:space="preserve"> y </w:t>
      </w:r>
      <w:r w:rsidR="000C6CFA" w:rsidRPr="00CD0C09">
        <w:rPr>
          <w:rFonts w:ascii="ITC Avant Garde" w:hAnsi="ITC Avant Garde"/>
          <w:lang w:val="es-MX"/>
        </w:rPr>
        <w:t>la red de</w:t>
      </w:r>
      <w:r w:rsidRPr="00CD0C09">
        <w:rPr>
          <w:rFonts w:ascii="ITC Avant Garde" w:hAnsi="ITC Avant Garde"/>
          <w:lang w:val="es-MX"/>
        </w:rPr>
        <w:t xml:space="preserve"> acceso</w:t>
      </w:r>
      <w:r w:rsidR="000C6CFA" w:rsidRPr="00CD0C09">
        <w:rPr>
          <w:rFonts w:ascii="ITC Avant Garde" w:hAnsi="ITC Avant Garde"/>
          <w:lang w:val="es-MX"/>
        </w:rPr>
        <w:t xml:space="preserve">, </w:t>
      </w:r>
      <w:r w:rsidR="00F2544C" w:rsidRPr="00CD0C09">
        <w:rPr>
          <w:rFonts w:ascii="ITC Avant Garde" w:hAnsi="ITC Avant Garde"/>
          <w:lang w:val="es-MX"/>
        </w:rPr>
        <w:t>así</w:t>
      </w:r>
      <w:r w:rsidR="000C6CFA" w:rsidRPr="00CD0C09">
        <w:rPr>
          <w:rFonts w:ascii="ITC Avant Garde" w:hAnsi="ITC Avant Garde"/>
          <w:lang w:val="es-MX"/>
        </w:rPr>
        <w:t xml:space="preserve"> como</w:t>
      </w:r>
      <w:r w:rsidRPr="00CD0C09">
        <w:rPr>
          <w:rFonts w:ascii="ITC Avant Garde" w:hAnsi="ITC Avant Garde"/>
          <w:lang w:val="es-MX"/>
        </w:rPr>
        <w:t xml:space="preserve"> con otros tipos de redes e infraestructuras.</w:t>
      </w:r>
    </w:p>
    <w:p w:rsidR="00A374A9" w:rsidRPr="00CD0C09" w:rsidRDefault="00A374A9" w:rsidP="00A374A9">
      <w:pPr>
        <w:rPr>
          <w:rFonts w:ascii="ITC Avant Garde" w:hAnsi="ITC Avant Garde"/>
          <w:lang w:val="es-MX"/>
        </w:rPr>
      </w:pPr>
    </w:p>
    <w:p w:rsidR="00A374A9" w:rsidRPr="00CD0C09" w:rsidRDefault="00A374A9" w:rsidP="00A374A9">
      <w:pPr>
        <w:pStyle w:val="Ttulo2"/>
        <w:rPr>
          <w:rFonts w:ascii="ITC Avant Garde" w:hAnsi="ITC Avant Garde"/>
          <w:lang w:val="es-MX"/>
        </w:rPr>
      </w:pPr>
      <w:bookmarkStart w:id="124" w:name="_Toc525665277"/>
      <w:bookmarkStart w:id="125" w:name="_Toc525665656"/>
      <w:bookmarkStart w:id="126" w:name="_Toc526854357"/>
      <w:r w:rsidRPr="00CD0C09">
        <w:rPr>
          <w:rFonts w:ascii="ITC Avant Garde" w:hAnsi="ITC Avant Garde"/>
          <w:lang w:val="es-MX"/>
        </w:rPr>
        <w:t>Enfoque de costeo</w:t>
      </w:r>
      <w:bookmarkEnd w:id="124"/>
      <w:bookmarkEnd w:id="125"/>
      <w:bookmarkEnd w:id="126"/>
    </w:p>
    <w:p w:rsidR="00A374A9" w:rsidRPr="00CD0C09" w:rsidRDefault="00A374A9" w:rsidP="00A374A9">
      <w:pPr>
        <w:pStyle w:val="Ttulo3"/>
        <w:rPr>
          <w:rFonts w:ascii="ITC Avant Garde" w:hAnsi="ITC Avant Garde"/>
          <w:lang w:val="es-MX"/>
        </w:rPr>
      </w:pPr>
      <w:bookmarkStart w:id="127" w:name="_Toc525665278"/>
      <w:bookmarkStart w:id="128" w:name="_Toc525665657"/>
      <w:bookmarkStart w:id="129" w:name="_Toc526854358"/>
      <w:r w:rsidRPr="00CD0C09">
        <w:rPr>
          <w:rFonts w:ascii="ITC Avant Garde" w:hAnsi="ITC Avant Garde"/>
          <w:lang w:val="es-MX"/>
        </w:rPr>
        <w:t>CAPEX</w:t>
      </w:r>
      <w:bookmarkEnd w:id="127"/>
      <w:bookmarkEnd w:id="128"/>
      <w:bookmarkEnd w:id="129"/>
    </w:p>
    <w:p w:rsidR="00A374A9" w:rsidRPr="00CD0C09" w:rsidRDefault="00A374A9" w:rsidP="00A374A9">
      <w:pPr>
        <w:pStyle w:val="Ttulo4"/>
        <w:rPr>
          <w:rFonts w:ascii="ITC Avant Garde" w:hAnsi="ITC Avant Garde"/>
          <w:lang w:val="es-MX"/>
        </w:rPr>
      </w:pPr>
      <w:bookmarkStart w:id="130" w:name="_Toc525665279"/>
      <w:bookmarkStart w:id="131" w:name="_Toc525665658"/>
      <w:bookmarkStart w:id="132" w:name="_Toc526854359"/>
      <w:r w:rsidRPr="00CD0C09">
        <w:rPr>
          <w:rFonts w:ascii="ITC Avant Garde" w:hAnsi="ITC Avant Garde"/>
          <w:lang w:val="es-MX"/>
        </w:rPr>
        <w:t>Valoración de los activos</w:t>
      </w:r>
      <w:bookmarkEnd w:id="130"/>
      <w:bookmarkEnd w:id="131"/>
      <w:bookmarkEnd w:id="132"/>
    </w:p>
    <w:p w:rsidR="00A374A9" w:rsidRPr="00CD0C09" w:rsidRDefault="00A374A9" w:rsidP="00A374A9">
      <w:pPr>
        <w:rPr>
          <w:rFonts w:ascii="ITC Avant Garde" w:hAnsi="ITC Avant Garde"/>
          <w:lang w:val="es-MX"/>
        </w:rPr>
      </w:pPr>
      <w:r w:rsidRPr="00CD0C09">
        <w:rPr>
          <w:rFonts w:ascii="ITC Avant Garde" w:hAnsi="ITC Avant Garde"/>
          <w:lang w:val="es-MX"/>
        </w:rPr>
        <w:t>Los gastos de capital de la red, denominados C</w:t>
      </w:r>
      <w:r w:rsidR="000C6CFA" w:rsidRPr="00CD0C09">
        <w:rPr>
          <w:rFonts w:ascii="ITC Avant Garde" w:hAnsi="ITC Avant Garde"/>
          <w:lang w:val="es-MX"/>
        </w:rPr>
        <w:t>APEX</w:t>
      </w:r>
      <w:r w:rsidRPr="00CD0C09">
        <w:rPr>
          <w:rFonts w:ascii="ITC Avant Garde" w:hAnsi="ITC Avant Garde"/>
          <w:lang w:val="es-MX"/>
        </w:rPr>
        <w:t>, son costos incurridos cuando el operador invierte en equipos y</w:t>
      </w:r>
      <w:r w:rsidR="00875932">
        <w:rPr>
          <w:rFonts w:ascii="ITC Avant Garde" w:hAnsi="ITC Avant Garde"/>
          <w:lang w:val="es-MX"/>
        </w:rPr>
        <w:t>/</w:t>
      </w:r>
      <w:r w:rsidRPr="00CD0C09">
        <w:rPr>
          <w:rFonts w:ascii="ITC Avant Garde" w:hAnsi="ITC Avant Garde"/>
          <w:lang w:val="es-MX"/>
        </w:rPr>
        <w:t xml:space="preserve">o diseña e </w:t>
      </w:r>
      <w:r w:rsidR="00F2544C" w:rsidRPr="00CD0C09">
        <w:rPr>
          <w:rFonts w:ascii="ITC Avant Garde" w:hAnsi="ITC Avant Garde"/>
          <w:lang w:val="es-MX"/>
        </w:rPr>
        <w:t>despliegue</w:t>
      </w:r>
      <w:r w:rsidR="000C6CFA" w:rsidRPr="00CD0C09">
        <w:rPr>
          <w:rFonts w:ascii="ITC Avant Garde" w:hAnsi="ITC Avant Garde"/>
          <w:lang w:val="es-MX"/>
        </w:rPr>
        <w:t xml:space="preserve"> </w:t>
      </w:r>
      <w:r w:rsidRPr="00CD0C09">
        <w:rPr>
          <w:rFonts w:ascii="ITC Avant Garde" w:hAnsi="ITC Avant Garde"/>
          <w:lang w:val="es-MX"/>
        </w:rPr>
        <w:t xml:space="preserve">la infraestructura de la red. </w:t>
      </w:r>
      <w:r w:rsidR="000C6CFA" w:rsidRPr="00CD0C09">
        <w:rPr>
          <w:rFonts w:ascii="ITC Avant Garde" w:hAnsi="ITC Avant Garde"/>
          <w:lang w:val="es-MX"/>
        </w:rPr>
        <w:t>Los</w:t>
      </w:r>
      <w:r w:rsidRPr="00CD0C09">
        <w:rPr>
          <w:rFonts w:ascii="ITC Avant Garde" w:hAnsi="ITC Avant Garde"/>
          <w:lang w:val="es-MX"/>
        </w:rPr>
        <w:t xml:space="preserve"> </w:t>
      </w:r>
      <w:r w:rsidR="000C6CFA" w:rsidRPr="00CD0C09">
        <w:rPr>
          <w:rFonts w:ascii="ITC Avant Garde" w:hAnsi="ITC Avant Garde"/>
          <w:lang w:val="es-MX"/>
        </w:rPr>
        <w:t>CAPEX asociados con los equipos</w:t>
      </w:r>
      <w:r w:rsidRPr="00CD0C09">
        <w:rPr>
          <w:rFonts w:ascii="ITC Avant Garde" w:hAnsi="ITC Avant Garde"/>
          <w:lang w:val="es-MX"/>
        </w:rPr>
        <w:t xml:space="preserve"> incluye</w:t>
      </w:r>
      <w:r w:rsidR="000C6CFA" w:rsidRPr="00CD0C09">
        <w:rPr>
          <w:rFonts w:ascii="ITC Avant Garde" w:hAnsi="ITC Avant Garde"/>
          <w:lang w:val="es-MX"/>
        </w:rPr>
        <w:t>n</w:t>
      </w:r>
      <w:r w:rsidRPr="00CD0C09">
        <w:rPr>
          <w:rFonts w:ascii="ITC Avant Garde" w:hAnsi="ITC Avant Garde"/>
          <w:lang w:val="es-MX"/>
        </w:rPr>
        <w:t xml:space="preserve">, por ejemplo, </w:t>
      </w:r>
      <w:r w:rsidR="000C6CFA" w:rsidRPr="00CD0C09">
        <w:rPr>
          <w:rFonts w:ascii="ITC Avant Garde" w:hAnsi="ITC Avant Garde"/>
          <w:lang w:val="es-MX"/>
        </w:rPr>
        <w:t xml:space="preserve">los costos de </w:t>
      </w:r>
      <w:r w:rsidRPr="00CD0C09">
        <w:rPr>
          <w:rFonts w:ascii="ITC Avant Garde" w:hAnsi="ITC Avant Garde"/>
          <w:lang w:val="es-MX"/>
        </w:rPr>
        <w:t xml:space="preserve">cables, conductos, </w:t>
      </w:r>
      <w:r w:rsidR="000C6CFA" w:rsidRPr="00CD0C09">
        <w:rPr>
          <w:rFonts w:ascii="ITC Avant Garde" w:hAnsi="ITC Avant Garde"/>
          <w:lang w:val="es-MX"/>
        </w:rPr>
        <w:t>OLT, DSLAM</w:t>
      </w:r>
      <w:r w:rsidRPr="00CD0C09">
        <w:rPr>
          <w:rFonts w:ascii="ITC Avant Garde" w:hAnsi="ITC Avant Garde"/>
          <w:lang w:val="es-MX"/>
        </w:rPr>
        <w:t xml:space="preserve">, mientras que los </w:t>
      </w:r>
      <w:r w:rsidR="000C6CFA" w:rsidRPr="00CD0C09">
        <w:rPr>
          <w:rFonts w:ascii="ITC Avant Garde" w:hAnsi="ITC Avant Garde"/>
          <w:lang w:val="es-MX"/>
        </w:rPr>
        <w:t>CAPEX incurridos</w:t>
      </w:r>
      <w:r w:rsidRPr="00CD0C09">
        <w:rPr>
          <w:rFonts w:ascii="ITC Avant Garde" w:hAnsi="ITC Avant Garde"/>
          <w:lang w:val="es-MX"/>
        </w:rPr>
        <w:t xml:space="preserve"> para el diseño y la implementación de la infraestructura de red pueden ser, por ejemplo, adquisición de sitio y obras civiles, así como planificación de la red y administración del despliegue</w:t>
      </w:r>
      <w:r w:rsidR="00953B02" w:rsidRPr="00CD0C09">
        <w:rPr>
          <w:rStyle w:val="Refdenotaalpie"/>
          <w:rFonts w:ascii="ITC Avant Garde" w:hAnsi="ITC Avant Garde"/>
          <w:lang w:val="es-MX"/>
        </w:rPr>
        <w:footnoteReference w:id="27"/>
      </w:r>
      <w:r w:rsidRPr="00CD0C09">
        <w:rPr>
          <w:rFonts w:ascii="ITC Avant Garde" w:hAnsi="ITC Avant Garde"/>
          <w:lang w:val="es-MX"/>
        </w:rPr>
        <w:t>.</w:t>
      </w:r>
    </w:p>
    <w:p w:rsidR="00A374A9" w:rsidRPr="00CD0C09" w:rsidRDefault="000C6CFA" w:rsidP="00A374A9">
      <w:pPr>
        <w:rPr>
          <w:rFonts w:ascii="ITC Avant Garde" w:hAnsi="ITC Avant Garde"/>
          <w:lang w:val="es-MX"/>
        </w:rPr>
      </w:pPr>
      <w:r w:rsidRPr="00CD0C09">
        <w:rPr>
          <w:rFonts w:ascii="ITC Avant Garde" w:hAnsi="ITC Avant Garde"/>
          <w:lang w:val="es-MX"/>
        </w:rPr>
        <w:t>Bajo</w:t>
      </w:r>
      <w:r w:rsidR="00A374A9" w:rsidRPr="00CD0C09">
        <w:rPr>
          <w:rFonts w:ascii="ITC Avant Garde" w:hAnsi="ITC Avant Garde"/>
          <w:lang w:val="es-MX"/>
        </w:rPr>
        <w:t xml:space="preserve"> el </w:t>
      </w:r>
      <w:r w:rsidRPr="00CD0C09">
        <w:rPr>
          <w:rFonts w:ascii="ITC Avant Garde" w:hAnsi="ITC Avant Garde"/>
          <w:lang w:val="es-MX"/>
        </w:rPr>
        <w:t>enfoque</w:t>
      </w:r>
      <w:r w:rsidR="003A02C7" w:rsidRPr="00CD0C09">
        <w:rPr>
          <w:rFonts w:ascii="ITC Avant Garde" w:hAnsi="ITC Avant Garde"/>
          <w:lang w:val="es-MX"/>
        </w:rPr>
        <w:t xml:space="preserve"> </w:t>
      </w:r>
      <w:proofErr w:type="spellStart"/>
      <w:r w:rsidR="003A02C7" w:rsidRPr="00F2544C">
        <w:rPr>
          <w:rFonts w:ascii="ITC Avant Garde" w:hAnsi="ITC Avant Garde"/>
          <w:i/>
          <w:lang w:val="es-MX"/>
        </w:rPr>
        <w:t>Bottom</w:t>
      </w:r>
      <w:proofErr w:type="spellEnd"/>
      <w:r w:rsidR="003A02C7" w:rsidRPr="00F2544C">
        <w:rPr>
          <w:rFonts w:ascii="ITC Avant Garde" w:hAnsi="ITC Avant Garde"/>
          <w:i/>
          <w:lang w:val="es-MX"/>
        </w:rPr>
        <w:t>-Up</w:t>
      </w:r>
      <w:r w:rsidR="003A02C7" w:rsidRPr="00CD0C09">
        <w:rPr>
          <w:rFonts w:ascii="ITC Avant Garde" w:hAnsi="ITC Avant Garde"/>
          <w:lang w:val="es-MX"/>
        </w:rPr>
        <w:t xml:space="preserve"> y la metodología CIPLP</w:t>
      </w:r>
      <w:r w:rsidR="00A374A9" w:rsidRPr="00CD0C09">
        <w:rPr>
          <w:rFonts w:ascii="ITC Avant Garde" w:hAnsi="ITC Avant Garde"/>
          <w:lang w:val="es-MX"/>
        </w:rPr>
        <w:t xml:space="preserve">, </w:t>
      </w:r>
      <w:r w:rsidRPr="00CD0C09">
        <w:rPr>
          <w:rFonts w:ascii="ITC Avant Garde" w:hAnsi="ITC Avant Garde"/>
          <w:lang w:val="es-MX"/>
        </w:rPr>
        <w:t>los CAPEX</w:t>
      </w:r>
      <w:r w:rsidR="00A374A9" w:rsidRPr="00CD0C09">
        <w:rPr>
          <w:rFonts w:ascii="ITC Avant Garde" w:hAnsi="ITC Avant Garde"/>
          <w:lang w:val="es-MX"/>
        </w:rPr>
        <w:t xml:space="preserve"> se deriva</w:t>
      </w:r>
      <w:r w:rsidRPr="00CD0C09">
        <w:rPr>
          <w:rFonts w:ascii="ITC Avant Garde" w:hAnsi="ITC Avant Garde"/>
          <w:lang w:val="es-MX"/>
        </w:rPr>
        <w:t>n</w:t>
      </w:r>
      <w:r w:rsidR="00A374A9" w:rsidRPr="00CD0C09">
        <w:rPr>
          <w:rFonts w:ascii="ITC Avant Garde" w:hAnsi="ITC Avant Garde"/>
          <w:lang w:val="es-MX"/>
        </w:rPr>
        <w:t xml:space="preserve"> de la demanda del servicio a través de principios de ingeniería: se calculan como los precios unitarios de cada activo multiplicado por el inventario derivado de</w:t>
      </w:r>
      <w:r w:rsidR="003A02C7" w:rsidRPr="00CD0C09">
        <w:rPr>
          <w:rFonts w:ascii="ITC Avant Garde" w:hAnsi="ITC Avant Garde"/>
          <w:lang w:val="es-MX"/>
        </w:rPr>
        <w:t xml:space="preserve"> dicho modelado</w:t>
      </w:r>
      <w:r w:rsidR="00A374A9" w:rsidRPr="00CD0C09">
        <w:rPr>
          <w:rFonts w:ascii="ITC Avant Garde" w:hAnsi="ITC Avant Garde"/>
          <w:lang w:val="es-MX"/>
        </w:rPr>
        <w:t>. Incluye</w:t>
      </w:r>
      <w:r w:rsidRPr="00CD0C09">
        <w:rPr>
          <w:rFonts w:ascii="ITC Avant Garde" w:hAnsi="ITC Avant Garde"/>
          <w:lang w:val="es-MX"/>
        </w:rPr>
        <w:t>n</w:t>
      </w:r>
      <w:r w:rsidR="00A374A9" w:rsidRPr="00CD0C09">
        <w:rPr>
          <w:rFonts w:ascii="ITC Avant Garde" w:hAnsi="ITC Avant Garde"/>
          <w:lang w:val="es-MX"/>
        </w:rPr>
        <w:t xml:space="preserve"> todos los costos asociados con el despliegue de un activo como el costo del equipo, así como el costo de instalación, diseño y gestión del proyecto.</w:t>
      </w:r>
    </w:p>
    <w:p w:rsidR="00A374A9" w:rsidRPr="00CD0C09" w:rsidRDefault="00A374A9" w:rsidP="00A374A9">
      <w:pPr>
        <w:rPr>
          <w:rFonts w:ascii="ITC Avant Garde" w:hAnsi="ITC Avant Garde"/>
          <w:lang w:val="es-MX"/>
        </w:rPr>
      </w:pPr>
      <w:r w:rsidRPr="00CD0C09">
        <w:rPr>
          <w:rFonts w:ascii="ITC Avant Garde" w:hAnsi="ITC Avant Garde"/>
          <w:lang w:val="es-MX"/>
        </w:rPr>
        <w:t>Es probable que los costos de los activos varíen entre los operadores por una serie de razones, tales como las diferencias en la estructura de la red subyacente, las especificaciones, el enfoque comercial y el poder de negociación debido a las diferentes capacidades y escala. Además, se esperaría que un operador hipotético con una red nacional tenga un poder de negociación más fuerte en comparación con un operador más pequeño. Los modelos deberían tener esto en cuenta.</w:t>
      </w:r>
    </w:p>
    <w:p w:rsidR="00A374A9" w:rsidRPr="00CD0C09" w:rsidRDefault="00A374A9" w:rsidP="00A374A9">
      <w:pPr>
        <w:rPr>
          <w:rFonts w:ascii="ITC Avant Garde" w:hAnsi="ITC Avant Garde"/>
          <w:lang w:val="es-MX"/>
        </w:rPr>
      </w:pPr>
      <w:r w:rsidRPr="00CD0C09">
        <w:rPr>
          <w:rFonts w:ascii="ITC Avant Garde" w:hAnsi="ITC Avant Garde"/>
          <w:lang w:val="es-MX"/>
        </w:rPr>
        <w:t xml:space="preserve">Como </w:t>
      </w:r>
      <w:r w:rsidR="003A02C7" w:rsidRPr="00CD0C09">
        <w:rPr>
          <w:rFonts w:ascii="ITC Avant Garde" w:hAnsi="ITC Avant Garde"/>
          <w:lang w:val="es-MX"/>
        </w:rPr>
        <w:t>los modelos en cuestión</w:t>
      </w:r>
      <w:r w:rsidRPr="00CD0C09">
        <w:rPr>
          <w:rFonts w:ascii="ITC Avant Garde" w:hAnsi="ITC Avant Garde"/>
          <w:lang w:val="es-MX"/>
        </w:rPr>
        <w:t xml:space="preserve"> son prospectivos</w:t>
      </w:r>
      <w:r w:rsidR="0048168E" w:rsidRPr="00CD0C09">
        <w:rPr>
          <w:rFonts w:ascii="ITC Avant Garde" w:hAnsi="ITC Avant Garde"/>
          <w:lang w:val="es-MX"/>
        </w:rPr>
        <w:t xml:space="preserve"> y reflejan una señal “</w:t>
      </w:r>
      <w:proofErr w:type="spellStart"/>
      <w:r w:rsidR="0048168E" w:rsidRPr="00CD0C09">
        <w:rPr>
          <w:rFonts w:ascii="ITC Avant Garde" w:hAnsi="ITC Avant Garde"/>
          <w:i/>
          <w:lang w:val="es-MX"/>
        </w:rPr>
        <w:t>make</w:t>
      </w:r>
      <w:proofErr w:type="spellEnd"/>
      <w:r w:rsidR="0048168E" w:rsidRPr="00CD0C09">
        <w:rPr>
          <w:rFonts w:ascii="ITC Avant Garde" w:hAnsi="ITC Avant Garde"/>
          <w:i/>
          <w:lang w:val="es-MX"/>
        </w:rPr>
        <w:t xml:space="preserve"> </w:t>
      </w:r>
      <w:proofErr w:type="spellStart"/>
      <w:r w:rsidR="0048168E" w:rsidRPr="00CD0C09">
        <w:rPr>
          <w:rFonts w:ascii="ITC Avant Garde" w:hAnsi="ITC Avant Garde"/>
          <w:i/>
          <w:lang w:val="es-MX"/>
        </w:rPr>
        <w:t>or</w:t>
      </w:r>
      <w:proofErr w:type="spellEnd"/>
      <w:r w:rsidR="0048168E" w:rsidRPr="00CD0C09">
        <w:rPr>
          <w:rFonts w:ascii="ITC Avant Garde" w:hAnsi="ITC Avant Garde"/>
          <w:i/>
          <w:lang w:val="es-MX"/>
        </w:rPr>
        <w:t xml:space="preserve"> </w:t>
      </w:r>
      <w:proofErr w:type="spellStart"/>
      <w:r w:rsidR="0048168E" w:rsidRPr="00CD0C09">
        <w:rPr>
          <w:rFonts w:ascii="ITC Avant Garde" w:hAnsi="ITC Avant Garde"/>
          <w:i/>
          <w:lang w:val="es-MX"/>
        </w:rPr>
        <w:t>buy</w:t>
      </w:r>
      <w:proofErr w:type="spellEnd"/>
      <w:r w:rsidR="0048168E" w:rsidRPr="00CD0C09">
        <w:rPr>
          <w:rFonts w:ascii="ITC Avant Garde" w:hAnsi="ITC Avant Garde"/>
          <w:i/>
          <w:lang w:val="es-MX"/>
        </w:rPr>
        <w:t>”</w:t>
      </w:r>
      <w:r w:rsidRPr="00CD0C09">
        <w:rPr>
          <w:rFonts w:ascii="ITC Avant Garde" w:hAnsi="ITC Avant Garde"/>
          <w:lang w:val="es-MX"/>
        </w:rPr>
        <w:t xml:space="preserve">, los costos actuales más que el costo histórico son la base del costo apropiado. Una manera de estimar los costos actuales es calcular el costo de reposición de cada activo, que es el monto que una entidad tendría que pagar para reemplazar un activo en el momento </w:t>
      </w:r>
      <w:r w:rsidRPr="00CD0C09">
        <w:rPr>
          <w:rFonts w:ascii="ITC Avant Garde" w:hAnsi="ITC Avant Garde"/>
          <w:lang w:val="es-MX"/>
        </w:rPr>
        <w:lastRenderedPageBreak/>
        <w:t xml:space="preserve">actual de acuerdo con su valor actual, con la excepción de los activos de ingeniería civil reutilizables </w:t>
      </w:r>
      <w:r w:rsidR="004B276B" w:rsidRPr="00CD0C09">
        <w:rPr>
          <w:rFonts w:ascii="ITC Avant Garde" w:hAnsi="ITC Avant Garde"/>
          <w:lang w:val="es-MX"/>
        </w:rPr>
        <w:t>(ver</w:t>
      </w:r>
      <w:r w:rsidRPr="00CD0C09">
        <w:rPr>
          <w:rFonts w:ascii="ITC Avant Garde" w:hAnsi="ITC Avant Garde"/>
          <w:lang w:val="es-MX"/>
        </w:rPr>
        <w:t xml:space="preserve"> la siguiente sección). El costo de reemplazo puede ser mayor o menor que el costo histórico, ya que los precios y la tecnología evolucionan con el tiempo.</w:t>
      </w:r>
    </w:p>
    <w:p w:rsidR="00A374A9" w:rsidRPr="00CD0C09" w:rsidRDefault="00A374A9" w:rsidP="00A374A9">
      <w:pPr>
        <w:rPr>
          <w:rFonts w:ascii="ITC Avant Garde" w:hAnsi="ITC Avant Garde"/>
          <w:lang w:val="es-MX"/>
        </w:rPr>
      </w:pPr>
      <w:r w:rsidRPr="00CD0C09">
        <w:rPr>
          <w:rFonts w:ascii="ITC Avant Garde" w:hAnsi="ITC Avant Garde"/>
          <w:lang w:val="es-MX"/>
        </w:rPr>
        <w:t>Las propiedades de uso general, como los edificios de oficinas, deben valorarse normalmente sobre una base de valoración de mercado abierto, ya sea para uso existente o alternativo.</w:t>
      </w:r>
    </w:p>
    <w:p w:rsidR="00A374A9" w:rsidRPr="00CD0C09" w:rsidRDefault="00A374A9" w:rsidP="00A374A9">
      <w:pPr>
        <w:rPr>
          <w:rFonts w:ascii="ITC Avant Garde" w:hAnsi="ITC Avant Garde"/>
          <w:lang w:val="es-MX"/>
        </w:rPr>
      </w:pPr>
      <w:r w:rsidRPr="00CD0C09">
        <w:rPr>
          <w:rFonts w:ascii="ITC Avant Garde" w:hAnsi="ITC Avant Garde"/>
          <w:lang w:val="es-MX"/>
        </w:rPr>
        <w:t xml:space="preserve">Para las propiedades en general, el modelo debe derivar una evaluación del espacio ocupado por diferentes equipos y calcular los costos de alojamiento en función del costo del espacio de construcción por metro cuadrado según los costos de alquiler del </w:t>
      </w:r>
      <w:r w:rsidR="00235347" w:rsidRPr="00CD0C09">
        <w:rPr>
          <w:rFonts w:ascii="ITC Avant Garde" w:hAnsi="ITC Avant Garde"/>
          <w:lang w:val="es-MX"/>
        </w:rPr>
        <w:t>AE</w:t>
      </w:r>
      <w:r w:rsidRPr="00CD0C09">
        <w:rPr>
          <w:rFonts w:ascii="ITC Avant Garde" w:hAnsi="ITC Avant Garde"/>
          <w:lang w:val="es-MX"/>
        </w:rPr>
        <w:t xml:space="preserve">P y otros interesados </w:t>
      </w:r>
      <w:r w:rsidRPr="00872052">
        <w:rPr>
          <w:rFonts w:cs="Arial"/>
          <w:lang w:val="es-MX"/>
        </w:rPr>
        <w:t>​​</w:t>
      </w:r>
      <w:r w:rsidRPr="00CD0C09">
        <w:rPr>
          <w:rFonts w:ascii="ITC Avant Garde" w:hAnsi="ITC Avant Garde"/>
          <w:lang w:val="es-MX"/>
        </w:rPr>
        <w:t>o seg</w:t>
      </w:r>
      <w:r w:rsidRPr="00CD0C09">
        <w:rPr>
          <w:rFonts w:ascii="ITC Avant Garde" w:hAnsi="ITC Avant Garde" w:cs="ITC Avant Garde"/>
          <w:lang w:val="es-MX"/>
        </w:rPr>
        <w:t>ú</w:t>
      </w:r>
      <w:r w:rsidRPr="00CD0C09">
        <w:rPr>
          <w:rFonts w:ascii="ITC Avant Garde" w:hAnsi="ITC Avant Garde"/>
          <w:lang w:val="es-MX"/>
        </w:rPr>
        <w:t>n los precios del mercado, sujeto a la disponibilidad de datos.</w:t>
      </w:r>
    </w:p>
    <w:p w:rsidR="00A374A9" w:rsidRPr="00CD0C09" w:rsidRDefault="00A374A9" w:rsidP="00A374A9">
      <w:pPr>
        <w:rPr>
          <w:rFonts w:ascii="ITC Avant Garde" w:hAnsi="ITC Avant Garde"/>
          <w:lang w:val="es-MX"/>
        </w:rPr>
      </w:pPr>
    </w:p>
    <w:p w:rsidR="00A374A9" w:rsidRPr="00CD0C09" w:rsidRDefault="00A374A9" w:rsidP="00A374A9">
      <w:pPr>
        <w:pStyle w:val="Encadr3"/>
        <w:rPr>
          <w:rFonts w:ascii="ITC Avant Garde" w:hAnsi="ITC Avant Garde"/>
          <w:lang w:val="es-MX"/>
        </w:rPr>
      </w:pPr>
      <w:r w:rsidRPr="00CD0C09">
        <w:rPr>
          <w:rFonts w:ascii="ITC Avant Garde" w:hAnsi="ITC Avant Garde"/>
          <w:lang w:val="es-MX"/>
        </w:rPr>
        <w:t xml:space="preserve">Criterio </w:t>
      </w:r>
      <w:r w:rsidR="00542089" w:rsidRPr="00CD0C09">
        <w:rPr>
          <w:rFonts w:ascii="ITC Avant Garde" w:hAnsi="ITC Avant Garde"/>
          <w:lang w:val="es-MX"/>
        </w:rPr>
        <w:t>19</w:t>
      </w:r>
      <w:r w:rsidRPr="00CD0C09">
        <w:rPr>
          <w:rFonts w:ascii="ITC Avant Garde" w:hAnsi="ITC Avant Garde"/>
          <w:lang w:val="es-MX"/>
        </w:rPr>
        <w:t xml:space="preserve">: La inversión </w:t>
      </w:r>
      <w:r w:rsidR="00235347" w:rsidRPr="00CD0C09">
        <w:rPr>
          <w:rFonts w:ascii="ITC Avant Garde" w:hAnsi="ITC Avant Garde"/>
          <w:lang w:val="es-MX"/>
        </w:rPr>
        <w:t>en</w:t>
      </w:r>
      <w:r w:rsidRPr="00CD0C09">
        <w:rPr>
          <w:rFonts w:ascii="ITC Avant Garde" w:hAnsi="ITC Avant Garde"/>
          <w:lang w:val="es-MX"/>
        </w:rPr>
        <w:t xml:space="preserve"> la red debe valorarse en función del costo actual (en lugar de los costos históricos) con la excepción de los activos de ingeniería civil reutilizables en la medida en que los datos estén disponibles.</w:t>
      </w:r>
    </w:p>
    <w:p w:rsidR="00A374A9" w:rsidRPr="00CD0C09" w:rsidRDefault="00A374A9" w:rsidP="00A374A9">
      <w:pPr>
        <w:rPr>
          <w:rFonts w:ascii="ITC Avant Garde" w:hAnsi="ITC Avant Garde"/>
          <w:lang w:val="es-MX"/>
        </w:rPr>
      </w:pPr>
    </w:p>
    <w:p w:rsidR="00A374A9" w:rsidRPr="00CD0C09" w:rsidRDefault="00A374A9" w:rsidP="00A374A9">
      <w:pPr>
        <w:rPr>
          <w:rFonts w:ascii="ITC Avant Garde" w:hAnsi="ITC Avant Garde"/>
          <w:lang w:val="es-MX"/>
        </w:rPr>
      </w:pPr>
      <w:r w:rsidRPr="00CD0C09">
        <w:rPr>
          <w:rFonts w:ascii="ITC Avant Garde" w:hAnsi="ITC Avant Garde"/>
          <w:lang w:val="es-MX"/>
        </w:rPr>
        <w:t xml:space="preserve">Finalmente, las entradas para los costos unitarios en el modelo se basan en la última información disponible (es decir, datos de 2018 si está disponible). Para los costos futuros de la implementación, y cuando los datos no están disponibles para el año modelo, se </w:t>
      </w:r>
      <w:r w:rsidR="00F2544C" w:rsidRPr="00CD0C09">
        <w:rPr>
          <w:rFonts w:ascii="ITC Avant Garde" w:hAnsi="ITC Avant Garde"/>
          <w:lang w:val="es-MX"/>
        </w:rPr>
        <w:t>realizó</w:t>
      </w:r>
      <w:r w:rsidR="00235347" w:rsidRPr="00CD0C09">
        <w:rPr>
          <w:rFonts w:ascii="ITC Avant Garde" w:hAnsi="ITC Avant Garde"/>
          <w:lang w:val="es-MX"/>
        </w:rPr>
        <w:t xml:space="preserve"> </w:t>
      </w:r>
      <w:r w:rsidRPr="00CD0C09">
        <w:rPr>
          <w:rFonts w:ascii="ITC Avant Garde" w:hAnsi="ITC Avant Garde"/>
          <w:lang w:val="es-MX"/>
        </w:rPr>
        <w:t>una extrapolación a partir de los datos históricos relevantes y de las tendencias razonables de los precios a largo plazo.</w:t>
      </w:r>
    </w:p>
    <w:p w:rsidR="00A374A9" w:rsidRPr="00CD0C09" w:rsidRDefault="00A374A9" w:rsidP="00A374A9">
      <w:pPr>
        <w:rPr>
          <w:rFonts w:ascii="ITC Avant Garde" w:hAnsi="ITC Avant Garde"/>
          <w:lang w:val="es-MX"/>
        </w:rPr>
      </w:pPr>
      <w:r w:rsidRPr="00CD0C09">
        <w:rPr>
          <w:rFonts w:ascii="ITC Avant Garde" w:hAnsi="ITC Avant Garde"/>
          <w:lang w:val="es-MX"/>
        </w:rPr>
        <w:t xml:space="preserve">No habrá una actualización anual del modelo y de sus parámetros de entrada, ya que los resultados de los costos se traducirán en precios establecidos en decisiones </w:t>
      </w:r>
      <w:r w:rsidR="00885291">
        <w:rPr>
          <w:rFonts w:ascii="ITC Avant Garde" w:hAnsi="ITC Avant Garde"/>
          <w:lang w:val="es-MX"/>
        </w:rPr>
        <w:t xml:space="preserve">del </w:t>
      </w:r>
      <w:r w:rsidR="00235347" w:rsidRPr="00CD0C09">
        <w:rPr>
          <w:rFonts w:ascii="ITC Avant Garde" w:hAnsi="ITC Avant Garde"/>
          <w:lang w:val="es-MX"/>
        </w:rPr>
        <w:t>AE</w:t>
      </w:r>
      <w:r w:rsidRPr="00CD0C09">
        <w:rPr>
          <w:rFonts w:ascii="ITC Avant Garde" w:hAnsi="ITC Avant Garde"/>
          <w:lang w:val="es-MX"/>
        </w:rPr>
        <w:t xml:space="preserve">P válidas para períodos reglamentarios. Esto implica que las actualizaciones o posibles revisiones pueden </w:t>
      </w:r>
      <w:r w:rsidR="00235347" w:rsidRPr="00CD0C09">
        <w:rPr>
          <w:rFonts w:ascii="ITC Avant Garde" w:hAnsi="ITC Avant Garde"/>
          <w:lang w:val="es-MX"/>
        </w:rPr>
        <w:t>llevarse a cabo</w:t>
      </w:r>
      <w:r w:rsidRPr="00CD0C09">
        <w:rPr>
          <w:rFonts w:ascii="ITC Avant Garde" w:hAnsi="ITC Avant Garde"/>
          <w:lang w:val="es-MX"/>
        </w:rPr>
        <w:t xml:space="preserve"> junto con </w:t>
      </w:r>
      <w:r w:rsidRPr="00613A0D">
        <w:rPr>
          <w:rFonts w:ascii="ITC Avant Garde" w:hAnsi="ITC Avant Garde"/>
          <w:lang w:val="es-MX"/>
        </w:rPr>
        <w:t>la</w:t>
      </w:r>
      <w:r w:rsidR="00D14972" w:rsidRPr="00613A0D">
        <w:rPr>
          <w:rFonts w:ascii="ITC Avant Garde" w:hAnsi="ITC Avant Garde"/>
          <w:lang w:val="es-MX"/>
        </w:rPr>
        <w:t xml:space="preserve"> planeación de</w:t>
      </w:r>
      <w:r w:rsidRPr="00CD0C09">
        <w:rPr>
          <w:rFonts w:ascii="ITC Avant Garde" w:hAnsi="ITC Avant Garde"/>
          <w:lang w:val="es-MX"/>
        </w:rPr>
        <w:t xml:space="preserve"> decisiones</w:t>
      </w:r>
      <w:r w:rsidR="00235347" w:rsidRPr="00CD0C09">
        <w:rPr>
          <w:rFonts w:ascii="ITC Avant Garde" w:hAnsi="ITC Avant Garde"/>
          <w:lang w:val="es-MX"/>
        </w:rPr>
        <w:t xml:space="preserve"> del IFT</w:t>
      </w:r>
      <w:r w:rsidRPr="00CD0C09">
        <w:rPr>
          <w:rFonts w:ascii="ITC Avant Garde" w:hAnsi="ITC Avant Garde"/>
          <w:lang w:val="es-MX"/>
        </w:rPr>
        <w:t>, si y solo si las condiciones económicas o de mercado han cambiado radicalmente y las cifras reales del mercado difieren significativamente de la previsión.</w:t>
      </w:r>
    </w:p>
    <w:p w:rsidR="00A374A9" w:rsidRPr="00CD0C09" w:rsidRDefault="00A374A9" w:rsidP="00A374A9">
      <w:pPr>
        <w:rPr>
          <w:rFonts w:ascii="ITC Avant Garde" w:hAnsi="ITC Avant Garde"/>
          <w:lang w:val="es-MX"/>
        </w:rPr>
      </w:pPr>
    </w:p>
    <w:p w:rsidR="00A374A9" w:rsidRPr="00CD0C09" w:rsidRDefault="00A374A9" w:rsidP="00A374A9">
      <w:pPr>
        <w:pStyle w:val="Encadr3"/>
        <w:rPr>
          <w:rFonts w:ascii="ITC Avant Garde" w:hAnsi="ITC Avant Garde"/>
          <w:lang w:val="es-MX"/>
        </w:rPr>
      </w:pPr>
      <w:r w:rsidRPr="00CD0C09">
        <w:rPr>
          <w:rFonts w:ascii="ITC Avant Garde" w:hAnsi="ITC Avant Garde"/>
          <w:lang w:val="es-MX"/>
        </w:rPr>
        <w:t xml:space="preserve">Criterio </w:t>
      </w:r>
      <w:r w:rsidR="00542089" w:rsidRPr="00CD0C09">
        <w:rPr>
          <w:rFonts w:ascii="ITC Avant Garde" w:hAnsi="ITC Avant Garde"/>
          <w:lang w:val="es-MX"/>
        </w:rPr>
        <w:t>20</w:t>
      </w:r>
      <w:r w:rsidRPr="00CD0C09">
        <w:rPr>
          <w:rFonts w:ascii="ITC Avant Garde" w:hAnsi="ITC Avant Garde"/>
          <w:lang w:val="es-MX"/>
        </w:rPr>
        <w:t>: Inicialmente, l</w:t>
      </w:r>
      <w:r w:rsidR="00235347" w:rsidRPr="00CD0C09">
        <w:rPr>
          <w:rFonts w:ascii="ITC Avant Garde" w:hAnsi="ITC Avant Garde"/>
          <w:lang w:val="es-MX"/>
        </w:rPr>
        <w:t>o</w:t>
      </w:r>
      <w:r w:rsidRPr="00CD0C09">
        <w:rPr>
          <w:rFonts w:ascii="ITC Avant Garde" w:hAnsi="ITC Avant Garde"/>
          <w:lang w:val="es-MX"/>
        </w:rPr>
        <w:t>s</w:t>
      </w:r>
      <w:r w:rsidR="00235347" w:rsidRPr="00CD0C09">
        <w:rPr>
          <w:rFonts w:ascii="ITC Avant Garde" w:hAnsi="ITC Avant Garde"/>
          <w:lang w:val="es-MX"/>
        </w:rPr>
        <w:t xml:space="preserve"> insumos</w:t>
      </w:r>
      <w:r w:rsidRPr="00CD0C09">
        <w:rPr>
          <w:rFonts w:ascii="ITC Avant Garde" w:hAnsi="ITC Avant Garde"/>
          <w:lang w:val="es-MX"/>
        </w:rPr>
        <w:t xml:space="preserve"> de costos se basan en la última información disponible y reflejan el mercado en 2018, que es el año base para el modelo. </w:t>
      </w:r>
      <w:r w:rsidR="00235347" w:rsidRPr="00CD0C09">
        <w:rPr>
          <w:rFonts w:ascii="ITC Avant Garde" w:hAnsi="ITC Avant Garde"/>
          <w:lang w:val="es-MX"/>
        </w:rPr>
        <w:t xml:space="preserve">El </w:t>
      </w:r>
      <w:r w:rsidRPr="00CD0C09">
        <w:rPr>
          <w:rFonts w:ascii="ITC Avant Garde" w:hAnsi="ITC Avant Garde"/>
          <w:lang w:val="es-MX"/>
        </w:rPr>
        <w:t xml:space="preserve">IFT puede actualizar o revisar el modelo junto con los preparativos de las decisiones de </w:t>
      </w:r>
      <w:r w:rsidR="00235347" w:rsidRPr="00CD0C09">
        <w:rPr>
          <w:rFonts w:ascii="ITC Avant Garde" w:hAnsi="ITC Avant Garde"/>
          <w:lang w:val="es-MX"/>
        </w:rPr>
        <w:t xml:space="preserve">definición de mercados </w:t>
      </w:r>
      <w:r w:rsidR="00F2544C" w:rsidRPr="00CD0C09">
        <w:rPr>
          <w:rFonts w:ascii="ITC Avant Garde" w:hAnsi="ITC Avant Garde"/>
          <w:lang w:val="es-MX"/>
        </w:rPr>
        <w:t>e</w:t>
      </w:r>
      <w:r w:rsidR="00235347" w:rsidRPr="00CD0C09">
        <w:rPr>
          <w:rFonts w:ascii="ITC Avant Garde" w:hAnsi="ITC Avant Garde"/>
          <w:lang w:val="es-MX"/>
        </w:rPr>
        <w:t xml:space="preserve"> identificación de AEP</w:t>
      </w:r>
      <w:r w:rsidRPr="00CD0C09">
        <w:rPr>
          <w:rFonts w:ascii="ITC Avant Garde" w:hAnsi="ITC Avant Garde"/>
          <w:lang w:val="es-MX"/>
        </w:rPr>
        <w:t xml:space="preserve">. </w:t>
      </w:r>
      <w:r w:rsidR="00235347" w:rsidRPr="00CD0C09">
        <w:rPr>
          <w:rFonts w:ascii="ITC Avant Garde" w:hAnsi="ITC Avant Garde"/>
          <w:lang w:val="es-MX"/>
        </w:rPr>
        <w:t xml:space="preserve">El </w:t>
      </w:r>
      <w:r w:rsidRPr="00CD0C09">
        <w:rPr>
          <w:rFonts w:ascii="ITC Avant Garde" w:hAnsi="ITC Avant Garde"/>
          <w:lang w:val="es-MX"/>
        </w:rPr>
        <w:t xml:space="preserve">IFT también debe poder actualizar el modelo </w:t>
      </w:r>
      <w:proofErr w:type="spellStart"/>
      <w:r w:rsidR="00F2544C" w:rsidRPr="00CD0C09">
        <w:rPr>
          <w:rFonts w:ascii="ITC Avant Garde" w:hAnsi="ITC Avant Garde"/>
          <w:lang w:val="es-MX"/>
        </w:rPr>
        <w:t>s</w:t>
      </w:r>
      <w:r w:rsidR="00885291">
        <w:rPr>
          <w:rFonts w:ascii="ITC Avant Garde" w:hAnsi="ITC Avant Garde"/>
          <w:lang w:val="es-MX"/>
        </w:rPr>
        <w:t>i</w:t>
      </w:r>
      <w:proofErr w:type="spellEnd"/>
      <w:r w:rsidRPr="00CD0C09">
        <w:rPr>
          <w:rFonts w:ascii="ITC Avant Garde" w:hAnsi="ITC Avant Garde"/>
          <w:lang w:val="es-MX"/>
        </w:rPr>
        <w:t xml:space="preserve"> parece que los pronósticos (tráfico, costos unitarios, etc.) difieren significativamente de los datos de mercado esperados o si ocurren cambios radicales en el mercado mexicano que son relevantes para el modelo.</w:t>
      </w:r>
    </w:p>
    <w:p w:rsidR="00A374A9" w:rsidRPr="00CD0C09" w:rsidRDefault="00A374A9" w:rsidP="00A374A9">
      <w:pPr>
        <w:rPr>
          <w:rFonts w:ascii="ITC Avant Garde" w:hAnsi="ITC Avant Garde"/>
          <w:lang w:val="es-MX"/>
        </w:rPr>
      </w:pPr>
    </w:p>
    <w:p w:rsidR="00A374A9" w:rsidRPr="00CD0C09" w:rsidRDefault="00A374A9" w:rsidP="00A374A9">
      <w:pPr>
        <w:pStyle w:val="Ttulo4"/>
        <w:rPr>
          <w:rFonts w:ascii="ITC Avant Garde" w:hAnsi="ITC Avant Garde"/>
          <w:lang w:val="es-MX"/>
        </w:rPr>
      </w:pPr>
      <w:bookmarkStart w:id="133" w:name="_Toc525665280"/>
      <w:bookmarkStart w:id="134" w:name="_Toc525665659"/>
      <w:bookmarkStart w:id="135" w:name="_Toc526854360"/>
      <w:r w:rsidRPr="00CD0C09">
        <w:rPr>
          <w:rFonts w:ascii="ITC Avant Garde" w:hAnsi="ITC Avant Garde"/>
          <w:lang w:val="es-MX"/>
        </w:rPr>
        <w:lastRenderedPageBreak/>
        <w:t>Valoración de activos de ingeniería civil reutilizables</w:t>
      </w:r>
      <w:bookmarkEnd w:id="133"/>
      <w:bookmarkEnd w:id="134"/>
      <w:bookmarkEnd w:id="135"/>
    </w:p>
    <w:p w:rsidR="00A374A9" w:rsidRPr="00CD0C09" w:rsidRDefault="00A374A9" w:rsidP="00A374A9">
      <w:pPr>
        <w:rPr>
          <w:rFonts w:ascii="ITC Avant Garde" w:hAnsi="ITC Avant Garde"/>
          <w:lang w:val="es-MX"/>
        </w:rPr>
      </w:pPr>
      <w:r w:rsidRPr="00CD0C09">
        <w:rPr>
          <w:rFonts w:ascii="ITC Avant Garde" w:hAnsi="ITC Avant Garde"/>
          <w:lang w:val="es-MX"/>
        </w:rPr>
        <w:t>Los Activos de ingeniería civil reutilizables (</w:t>
      </w:r>
      <w:r w:rsidR="00E13441">
        <w:rPr>
          <w:rFonts w:ascii="ITC Avant Garde" w:hAnsi="ITC Avant Garde"/>
          <w:lang w:val="es-MX"/>
        </w:rPr>
        <w:t>RCEA</w:t>
      </w:r>
      <w:r w:rsidR="00E13441" w:rsidRPr="00CD0C09">
        <w:rPr>
          <w:rFonts w:ascii="ITC Avant Garde" w:hAnsi="ITC Avant Garde"/>
          <w:lang w:val="es-MX"/>
        </w:rPr>
        <w:t xml:space="preserve"> por sus siglas en inglés</w:t>
      </w:r>
      <w:r w:rsidR="00CD125A">
        <w:rPr>
          <w:rFonts w:ascii="ITC Avant Garde" w:hAnsi="ITC Avant Garde"/>
          <w:lang w:val="es-MX"/>
        </w:rPr>
        <w:t>,</w:t>
      </w:r>
      <w:r w:rsidR="00E13441" w:rsidRPr="00CD0C09">
        <w:rPr>
          <w:rFonts w:ascii="ITC Avant Garde" w:hAnsi="ITC Avant Garde"/>
          <w:lang w:val="es-MX"/>
        </w:rPr>
        <w:t xml:space="preserve"> </w:t>
      </w:r>
      <w:r w:rsidR="00235347" w:rsidRPr="00B90F0F">
        <w:rPr>
          <w:rFonts w:ascii="ITC Avant Garde" w:hAnsi="ITC Avant Garde"/>
          <w:i/>
          <w:lang w:val="es-MX"/>
        </w:rPr>
        <w:t xml:space="preserve">Reusable Civil </w:t>
      </w:r>
      <w:proofErr w:type="spellStart"/>
      <w:r w:rsidR="00235347" w:rsidRPr="00B90F0F">
        <w:rPr>
          <w:rFonts w:ascii="ITC Avant Garde" w:hAnsi="ITC Avant Garde"/>
          <w:i/>
          <w:lang w:val="es-MX"/>
        </w:rPr>
        <w:t>Engineering</w:t>
      </w:r>
      <w:proofErr w:type="spellEnd"/>
      <w:r w:rsidR="00235347" w:rsidRPr="00B90F0F">
        <w:rPr>
          <w:rFonts w:ascii="ITC Avant Garde" w:hAnsi="ITC Avant Garde"/>
          <w:i/>
          <w:lang w:val="es-MX"/>
        </w:rPr>
        <w:t xml:space="preserve"> </w:t>
      </w:r>
      <w:proofErr w:type="spellStart"/>
      <w:r w:rsidR="00235347" w:rsidRPr="00B90F0F">
        <w:rPr>
          <w:rFonts w:ascii="ITC Avant Garde" w:hAnsi="ITC Avant Garde"/>
          <w:i/>
          <w:lang w:val="es-MX"/>
        </w:rPr>
        <w:t>Asset</w:t>
      </w:r>
      <w:r w:rsidR="00235347" w:rsidRPr="00CD0C09">
        <w:rPr>
          <w:rFonts w:ascii="ITC Avant Garde" w:hAnsi="ITC Avant Garde"/>
          <w:lang w:val="es-MX"/>
        </w:rPr>
        <w:t>s</w:t>
      </w:r>
      <w:proofErr w:type="spellEnd"/>
      <w:r w:rsidRPr="00CD0C09">
        <w:rPr>
          <w:rFonts w:ascii="ITC Avant Garde" w:hAnsi="ITC Avant Garde"/>
          <w:lang w:val="es-MX"/>
        </w:rPr>
        <w:t>) son aquellos activos heredados de ingeniería civil que ya están en vigencia (por ejemplo, se usan para la red de cobre) y que pueden reutilizarse para acomodar una red NGA. Esto se refiere solo a los activos de ingeniería civil (zanjas, conductos, postes, pozos de registro) y no a cables que no podrían reutilizarse a partir de redes heredadas.</w:t>
      </w:r>
    </w:p>
    <w:p w:rsidR="00A374A9" w:rsidRPr="00CD0C09" w:rsidRDefault="00A374A9" w:rsidP="00A374A9">
      <w:pPr>
        <w:rPr>
          <w:rFonts w:ascii="ITC Avant Garde" w:hAnsi="ITC Avant Garde"/>
          <w:lang w:val="es-MX"/>
        </w:rPr>
      </w:pPr>
      <w:r w:rsidRPr="00CD0C09">
        <w:rPr>
          <w:rFonts w:ascii="ITC Avant Garde" w:hAnsi="ITC Avant Garde"/>
          <w:lang w:val="es-MX"/>
        </w:rPr>
        <w:t>De acuerdo con la recomendación de la C</w:t>
      </w:r>
      <w:r w:rsidR="009173AC" w:rsidRPr="00CD0C09">
        <w:rPr>
          <w:rFonts w:ascii="ITC Avant Garde" w:hAnsi="ITC Avant Garde"/>
          <w:lang w:val="es-MX"/>
        </w:rPr>
        <w:t xml:space="preserve">omisión </w:t>
      </w:r>
      <w:r w:rsidRPr="00CD0C09">
        <w:rPr>
          <w:rFonts w:ascii="ITC Avant Garde" w:hAnsi="ITC Avant Garde"/>
          <w:lang w:val="es-MX"/>
        </w:rPr>
        <w:t>E</w:t>
      </w:r>
      <w:r w:rsidR="009173AC" w:rsidRPr="00CD0C09">
        <w:rPr>
          <w:rFonts w:ascii="ITC Avant Garde" w:hAnsi="ITC Avant Garde"/>
          <w:lang w:val="es-MX"/>
        </w:rPr>
        <w:t>uropea</w:t>
      </w:r>
      <w:r w:rsidRPr="00CD0C09">
        <w:rPr>
          <w:rFonts w:ascii="ITC Avant Garde" w:hAnsi="ITC Avant Garde"/>
          <w:lang w:val="es-MX"/>
        </w:rPr>
        <w:t xml:space="preserve">, </w:t>
      </w:r>
      <w:r w:rsidR="00235347" w:rsidRPr="00CD0C09">
        <w:rPr>
          <w:rFonts w:ascii="ITC Avant Garde" w:hAnsi="ITC Avant Garde"/>
          <w:lang w:val="es-MX"/>
        </w:rPr>
        <w:t xml:space="preserve">los </w:t>
      </w:r>
      <w:r w:rsidRPr="00CD0C09">
        <w:rPr>
          <w:rFonts w:ascii="ITC Avant Garde" w:hAnsi="ITC Avant Garde"/>
          <w:lang w:val="es-MX"/>
        </w:rPr>
        <w:t>RCEA se valora</w:t>
      </w:r>
      <w:r w:rsidR="00235347" w:rsidRPr="00CD0C09">
        <w:rPr>
          <w:rFonts w:ascii="ITC Avant Garde" w:hAnsi="ITC Avant Garde"/>
          <w:lang w:val="es-MX"/>
        </w:rPr>
        <w:t>n</w:t>
      </w:r>
      <w:r w:rsidRPr="00CD0C09">
        <w:rPr>
          <w:rFonts w:ascii="ITC Avant Garde" w:hAnsi="ITC Avant Garde"/>
          <w:lang w:val="es-MX"/>
        </w:rPr>
        <w:t xml:space="preserve"> por separado de los demás activos en la base de activos reguladores:</w:t>
      </w:r>
      <w:r w:rsidR="00953B02" w:rsidRPr="00CD0C09">
        <w:rPr>
          <w:rStyle w:val="Refdenotaalpie"/>
          <w:rFonts w:ascii="ITC Avant Garde" w:hAnsi="ITC Avant Garde"/>
          <w:lang w:val="es-MX"/>
        </w:rPr>
        <w:t xml:space="preserve"> </w:t>
      </w:r>
      <w:r w:rsidR="00953B02" w:rsidRPr="00CD0C09">
        <w:rPr>
          <w:rStyle w:val="Refdenotaalpie"/>
          <w:rFonts w:ascii="ITC Avant Garde" w:hAnsi="ITC Avant Garde"/>
          <w:lang w:val="es-MX"/>
        </w:rPr>
        <w:footnoteReference w:id="28"/>
      </w:r>
    </w:p>
    <w:p w:rsidR="00A374A9" w:rsidRPr="00CD0C09" w:rsidRDefault="00A374A9" w:rsidP="00235347">
      <w:pPr>
        <w:ind w:left="567" w:right="565"/>
        <w:rPr>
          <w:rFonts w:ascii="ITC Avant Garde" w:hAnsi="ITC Avant Garde"/>
          <w:i/>
          <w:lang w:val="es-MX"/>
        </w:rPr>
      </w:pPr>
      <w:r w:rsidRPr="00CD0C09">
        <w:rPr>
          <w:rFonts w:ascii="ITC Avant Garde" w:hAnsi="ITC Avant Garde"/>
          <w:i/>
          <w:lang w:val="es-MX"/>
        </w:rPr>
        <w:t>"Las ANR deben valorar todos los activos que constituyen el RAB de la red modelada sobre la base de los costos de reposición, a excepción de los activos de ingeniería civil heredados reutilizables.</w:t>
      </w:r>
    </w:p>
    <w:p w:rsidR="00A374A9" w:rsidRPr="00CD0C09" w:rsidRDefault="00A374A9" w:rsidP="00953B02">
      <w:pPr>
        <w:ind w:left="567" w:right="565"/>
        <w:rPr>
          <w:rFonts w:ascii="ITC Avant Garde" w:hAnsi="ITC Avant Garde"/>
          <w:i/>
          <w:lang w:val="es-MX"/>
        </w:rPr>
      </w:pPr>
      <w:r w:rsidRPr="00CD0C09">
        <w:rPr>
          <w:rFonts w:ascii="ITC Avant Garde" w:hAnsi="ITC Avant Garde"/>
          <w:i/>
          <w:lang w:val="es-MX"/>
        </w:rPr>
        <w:t>Las ANR deben valorar los activos de ingeniería civil heredados reutilizables y su correspondiente RAB sobre la base del método de indexación. Específicamente, las ANR deben establecer el RAB para este tipo de activos al valor contable regulatorio neto de la depreciación acumulada en el momento del cálculo, indexado por un índice de precios apropiado, como el índice de precios minoristas. Las ANR deben examinar las cuentas del operador del PSM cuando estén disponibles para determinar si son lo suficientemente confiables como base para reconstruir el valor contable regulatorio. Deberían realizar una valoración sobre la base de un índice de referencia de las mejores prácticas en Estados miembros comparables. Las ANR no deben incluir activos legados reutilizables de ingeniería civil que estén totalmente depreciados pero que aún estén en uso ".</w:t>
      </w:r>
    </w:p>
    <w:p w:rsidR="00A374A9" w:rsidRPr="00CD0C09" w:rsidRDefault="00A374A9" w:rsidP="00A374A9">
      <w:pPr>
        <w:rPr>
          <w:rFonts w:ascii="ITC Avant Garde" w:hAnsi="ITC Avant Garde"/>
          <w:lang w:val="es-MX"/>
        </w:rPr>
      </w:pPr>
      <w:r w:rsidRPr="00CD0C09">
        <w:rPr>
          <w:rFonts w:ascii="ITC Avant Garde" w:hAnsi="ITC Avant Garde"/>
          <w:lang w:val="es-MX"/>
        </w:rPr>
        <w:t xml:space="preserve">Según la Comisión Europea, </w:t>
      </w:r>
      <w:r w:rsidR="00B92FAD">
        <w:rPr>
          <w:rFonts w:ascii="ITC Avant Garde" w:hAnsi="ITC Avant Garde"/>
          <w:lang w:val="es-MX"/>
        </w:rPr>
        <w:t xml:space="preserve">se establece </w:t>
      </w:r>
      <w:r w:rsidRPr="00CD0C09">
        <w:rPr>
          <w:rFonts w:ascii="ITC Avant Garde" w:hAnsi="ITC Avant Garde"/>
          <w:lang w:val="es-MX"/>
        </w:rPr>
        <w:t>este enfoque</w:t>
      </w:r>
      <w:r w:rsidR="00B92FAD">
        <w:rPr>
          <w:rFonts w:ascii="ITC Avant Garde" w:hAnsi="ITC Avant Garde"/>
          <w:lang w:val="es-MX"/>
        </w:rPr>
        <w:t>:</w:t>
      </w:r>
    </w:p>
    <w:p w:rsidR="00A374A9" w:rsidRPr="00CD0C09" w:rsidRDefault="00A374A9" w:rsidP="00235347">
      <w:pPr>
        <w:ind w:left="567" w:right="565"/>
        <w:rPr>
          <w:rFonts w:ascii="ITC Avant Garde" w:hAnsi="ITC Avant Garde"/>
          <w:i/>
          <w:lang w:val="es-MX"/>
        </w:rPr>
      </w:pPr>
      <w:r w:rsidRPr="00CD0C09">
        <w:rPr>
          <w:rFonts w:ascii="ITC Avant Garde" w:hAnsi="ITC Avant Garde"/>
          <w:i/>
          <w:lang w:val="es-MX"/>
        </w:rPr>
        <w:t>"Envía señales de entrada al mercado eficientes para decisiones de" construir o comprar ", y evita el riesgo de una recuperación excesiva de costos para la infraestructura civil heredada reutilizable. No se justifica una recuperación excesiva de los costos para garantizar la entrada eficiente y preservar los incentivos para invertir porque la opción de construcción no es económicamente factible para esta categoría de activos ".</w:t>
      </w:r>
      <w:r w:rsidR="00953B02" w:rsidRPr="00CD0C09">
        <w:rPr>
          <w:rStyle w:val="Refdenotaalpie"/>
          <w:rFonts w:ascii="ITC Avant Garde" w:hAnsi="ITC Avant Garde"/>
          <w:i/>
          <w:lang w:val="es-MX"/>
        </w:rPr>
        <w:footnoteReference w:id="29"/>
      </w:r>
    </w:p>
    <w:p w:rsidR="00A374A9" w:rsidRPr="00CD0C09" w:rsidRDefault="00A374A9" w:rsidP="00A374A9">
      <w:pPr>
        <w:rPr>
          <w:rFonts w:ascii="ITC Avant Garde" w:hAnsi="ITC Avant Garde"/>
          <w:lang w:val="es-MX"/>
        </w:rPr>
      </w:pPr>
      <w:r w:rsidRPr="00CD0C09">
        <w:rPr>
          <w:rFonts w:ascii="ITC Avant Garde" w:hAnsi="ITC Avant Garde"/>
          <w:lang w:val="es-MX"/>
        </w:rPr>
        <w:t xml:space="preserve">La parte de los activos reutilizables de ingeniería civil se </w:t>
      </w:r>
      <w:r w:rsidR="00F2544C" w:rsidRPr="00CD0C09">
        <w:rPr>
          <w:rFonts w:ascii="ITC Avant Garde" w:hAnsi="ITC Avant Garde"/>
          <w:lang w:val="es-MX"/>
        </w:rPr>
        <w:t>evalúa</w:t>
      </w:r>
      <w:r w:rsidR="00953B02" w:rsidRPr="00CD0C09">
        <w:rPr>
          <w:rFonts w:ascii="ITC Avant Garde" w:hAnsi="ITC Avant Garde"/>
          <w:lang w:val="es-MX"/>
        </w:rPr>
        <w:t xml:space="preserve"> </w:t>
      </w:r>
      <w:r w:rsidRPr="00CD0C09">
        <w:rPr>
          <w:rFonts w:ascii="ITC Avant Garde" w:hAnsi="ITC Avant Garde"/>
          <w:lang w:val="es-MX"/>
        </w:rPr>
        <w:t xml:space="preserve">sobre la base del despliegue previo realizado por el </w:t>
      </w:r>
      <w:r w:rsidR="00953B02" w:rsidRPr="00CD0C09">
        <w:rPr>
          <w:rFonts w:ascii="ITC Avant Garde" w:hAnsi="ITC Avant Garde"/>
          <w:lang w:val="es-MX"/>
        </w:rPr>
        <w:t>AE</w:t>
      </w:r>
      <w:r w:rsidRPr="00CD0C09">
        <w:rPr>
          <w:rFonts w:ascii="ITC Avant Garde" w:hAnsi="ITC Avant Garde"/>
          <w:lang w:val="es-MX"/>
        </w:rPr>
        <w:t xml:space="preserve">P y por otras partes interesadas, así como el punto </w:t>
      </w:r>
      <w:r w:rsidRPr="00CD0C09">
        <w:rPr>
          <w:rFonts w:ascii="ITC Avant Garde" w:hAnsi="ITC Avant Garde"/>
          <w:lang w:val="es-MX"/>
        </w:rPr>
        <w:lastRenderedPageBreak/>
        <w:t xml:space="preserve">de referencia recomendado por la Comisión </w:t>
      </w:r>
      <w:r w:rsidR="00C35A29" w:rsidRPr="00CD0C09">
        <w:rPr>
          <w:rFonts w:ascii="ITC Avant Garde" w:hAnsi="ITC Avant Garde"/>
          <w:lang w:val="es-MX"/>
        </w:rPr>
        <w:t>Europea</w:t>
      </w:r>
      <w:r w:rsidRPr="00CD0C09">
        <w:rPr>
          <w:rFonts w:ascii="ITC Avant Garde" w:hAnsi="ITC Avant Garde"/>
          <w:lang w:val="es-MX"/>
        </w:rPr>
        <w:t>.</w:t>
      </w:r>
      <w:r w:rsidR="00953B02" w:rsidRPr="00CD0C09">
        <w:rPr>
          <w:rFonts w:ascii="ITC Avant Garde" w:hAnsi="ITC Avant Garde"/>
          <w:lang w:val="es-MX"/>
        </w:rPr>
        <w:t xml:space="preserve"> </w:t>
      </w:r>
      <w:r w:rsidRPr="00CD0C09">
        <w:rPr>
          <w:rFonts w:ascii="ITC Avant Garde" w:hAnsi="ITC Avant Garde"/>
          <w:lang w:val="es-MX"/>
        </w:rPr>
        <w:t xml:space="preserve">Para tener en cuenta </w:t>
      </w:r>
      <w:r w:rsidR="009173AC" w:rsidRPr="00CD0C09">
        <w:rPr>
          <w:rFonts w:ascii="ITC Avant Garde" w:hAnsi="ITC Avant Garde"/>
          <w:lang w:val="es-MX"/>
        </w:rPr>
        <w:t xml:space="preserve">dicha </w:t>
      </w:r>
      <w:r w:rsidRPr="00CD0C09">
        <w:rPr>
          <w:rFonts w:ascii="ITC Avant Garde" w:hAnsi="ITC Avant Garde"/>
          <w:lang w:val="es-MX"/>
        </w:rPr>
        <w:t>recomendación, la valoración de los activos de ingeniería civil reutilizables podría realizarse en tres pasos:</w:t>
      </w:r>
    </w:p>
    <w:p w:rsidR="00A374A9" w:rsidRPr="00CD0C09" w:rsidRDefault="00A374A9" w:rsidP="00556A48">
      <w:pPr>
        <w:pStyle w:val="Prrafodelista"/>
        <w:numPr>
          <w:ilvl w:val="0"/>
          <w:numId w:val="20"/>
        </w:numPr>
        <w:rPr>
          <w:rFonts w:ascii="ITC Avant Garde" w:hAnsi="ITC Avant Garde"/>
          <w:lang w:val="es-MX"/>
        </w:rPr>
      </w:pPr>
      <w:r w:rsidRPr="00CD0C09">
        <w:rPr>
          <w:rFonts w:ascii="ITC Avant Garde" w:hAnsi="ITC Avant Garde"/>
          <w:lang w:val="es-MX"/>
        </w:rPr>
        <w:t>Evaluar la participación de los activos de ingeniería civil que pueden reutilizarse;</w:t>
      </w:r>
    </w:p>
    <w:p w:rsidR="00A374A9" w:rsidRPr="00CD0C09" w:rsidRDefault="00A374A9" w:rsidP="00556A48">
      <w:pPr>
        <w:pStyle w:val="Prrafodelista"/>
        <w:numPr>
          <w:ilvl w:val="0"/>
          <w:numId w:val="20"/>
        </w:numPr>
        <w:rPr>
          <w:rFonts w:ascii="ITC Avant Garde" w:hAnsi="ITC Avant Garde"/>
          <w:lang w:val="es-MX"/>
        </w:rPr>
      </w:pPr>
      <w:r w:rsidRPr="00CD0C09">
        <w:rPr>
          <w:rFonts w:ascii="ITC Avant Garde" w:hAnsi="ITC Avant Garde"/>
          <w:lang w:val="es-MX"/>
        </w:rPr>
        <w:t>Valorar estos activos;</w:t>
      </w:r>
    </w:p>
    <w:p w:rsidR="00A374A9" w:rsidRPr="00CD0C09" w:rsidRDefault="00953B02" w:rsidP="00556A48">
      <w:pPr>
        <w:pStyle w:val="Prrafodelista"/>
        <w:numPr>
          <w:ilvl w:val="0"/>
          <w:numId w:val="20"/>
        </w:numPr>
        <w:rPr>
          <w:rFonts w:ascii="ITC Avant Garde" w:hAnsi="ITC Avant Garde"/>
          <w:lang w:val="es-MX"/>
        </w:rPr>
      </w:pPr>
      <w:r w:rsidRPr="00CD0C09">
        <w:rPr>
          <w:rFonts w:ascii="ITC Avant Garde" w:hAnsi="ITC Avant Garde"/>
          <w:lang w:val="es-MX"/>
        </w:rPr>
        <w:t>Despreciar</w:t>
      </w:r>
      <w:r w:rsidR="00A374A9" w:rsidRPr="00CD0C09">
        <w:rPr>
          <w:rFonts w:ascii="ITC Avant Garde" w:hAnsi="ITC Avant Garde"/>
          <w:lang w:val="es-MX"/>
        </w:rPr>
        <w:t xml:space="preserve"> estos activos.</w:t>
      </w:r>
    </w:p>
    <w:p w:rsidR="00A374A9" w:rsidRPr="00CD0C09" w:rsidRDefault="00A374A9" w:rsidP="00A374A9">
      <w:pPr>
        <w:rPr>
          <w:rFonts w:ascii="ITC Avant Garde" w:hAnsi="ITC Avant Garde"/>
          <w:lang w:val="es-MX"/>
        </w:rPr>
      </w:pPr>
      <w:r w:rsidRPr="00CD0C09">
        <w:rPr>
          <w:rFonts w:ascii="ITC Avant Garde" w:hAnsi="ITC Avant Garde"/>
          <w:lang w:val="es-MX"/>
        </w:rPr>
        <w:t xml:space="preserve">En primer lugar, la proporción de activos de ingeniería civil reutilizables -entre la base de activos de ingeniería civil- puede estimarse sobre la base de los recientes despliegues de redes de fibra hechas por el </w:t>
      </w:r>
      <w:r w:rsidR="00953B02" w:rsidRPr="00CD0C09">
        <w:rPr>
          <w:rFonts w:ascii="ITC Avant Garde" w:hAnsi="ITC Avant Garde"/>
          <w:lang w:val="es-MX"/>
        </w:rPr>
        <w:t>AE</w:t>
      </w:r>
      <w:r w:rsidRPr="00CD0C09">
        <w:rPr>
          <w:rFonts w:ascii="ITC Avant Garde" w:hAnsi="ITC Avant Garde"/>
          <w:lang w:val="es-MX"/>
        </w:rPr>
        <w:t>P y otros operadores, dado que han realizado implementaciones racionales y eficientes.</w:t>
      </w:r>
    </w:p>
    <w:p w:rsidR="00A374A9" w:rsidRPr="00CD0C09" w:rsidRDefault="00A374A9" w:rsidP="00A374A9">
      <w:pPr>
        <w:rPr>
          <w:rFonts w:ascii="ITC Avant Garde" w:hAnsi="ITC Avant Garde"/>
          <w:lang w:val="es-MX"/>
        </w:rPr>
      </w:pPr>
      <w:r w:rsidRPr="00CD0C09">
        <w:rPr>
          <w:rFonts w:ascii="ITC Avant Garde" w:hAnsi="ITC Avant Garde"/>
          <w:lang w:val="es-MX"/>
        </w:rPr>
        <w:t xml:space="preserve">La ingeniería civil considerada como "reutilizable" excluye, en particular, los activos de ingeniería civil desplegados en las redes NGA durante los últimos años, ya que estos se modelarían típicamente </w:t>
      </w:r>
      <w:r w:rsidR="00953B02" w:rsidRPr="00CD0C09">
        <w:rPr>
          <w:rFonts w:ascii="ITC Avant Garde" w:hAnsi="ITC Avant Garde"/>
          <w:lang w:val="es-MX"/>
        </w:rPr>
        <w:t>usando una</w:t>
      </w:r>
      <w:r w:rsidRPr="00CD0C09">
        <w:rPr>
          <w:rFonts w:ascii="ITC Avant Garde" w:hAnsi="ITC Avant Garde"/>
          <w:lang w:val="es-MX"/>
        </w:rPr>
        <w:t xml:space="preserve"> valoración de costos de reemplazo bruta</w:t>
      </w:r>
      <w:r w:rsidR="00953B02" w:rsidRPr="00CD0C09">
        <w:rPr>
          <w:rFonts w:ascii="ITC Avant Garde" w:hAnsi="ITC Avant Garde"/>
          <w:lang w:val="es-MX"/>
        </w:rPr>
        <w:t xml:space="preserve">, </w:t>
      </w:r>
      <w:r w:rsidRPr="00CD0C09">
        <w:rPr>
          <w:rFonts w:ascii="ITC Avant Garde" w:hAnsi="ITC Avant Garde"/>
          <w:lang w:val="es-MX"/>
        </w:rPr>
        <w:t>más apropiada.</w:t>
      </w:r>
    </w:p>
    <w:p w:rsidR="00A374A9" w:rsidRPr="00CD0C09" w:rsidRDefault="00A374A9" w:rsidP="00A374A9">
      <w:pPr>
        <w:rPr>
          <w:rFonts w:ascii="ITC Avant Garde" w:hAnsi="ITC Avant Garde"/>
          <w:lang w:val="es-MX"/>
        </w:rPr>
      </w:pPr>
      <w:r w:rsidRPr="00CD0C09">
        <w:rPr>
          <w:rFonts w:ascii="ITC Avant Garde" w:hAnsi="ITC Avant Garde"/>
          <w:lang w:val="es-MX"/>
        </w:rPr>
        <w:t>Desde un punto de vista regulatorio, es necesario asegurarse de que la reutilización de los activos de ingeniería civil existentes esté optimizada y, por lo tanto, envíe las señales de inversión adecuadas y eficientes.</w:t>
      </w:r>
    </w:p>
    <w:p w:rsidR="00A374A9" w:rsidRPr="00CD0C09" w:rsidRDefault="00A374A9" w:rsidP="00A374A9">
      <w:pPr>
        <w:rPr>
          <w:rFonts w:ascii="ITC Avant Garde" w:hAnsi="ITC Avant Garde"/>
          <w:lang w:val="es-MX"/>
        </w:rPr>
      </w:pPr>
      <w:r w:rsidRPr="00CD0C09">
        <w:rPr>
          <w:rFonts w:ascii="ITC Avant Garde" w:hAnsi="ITC Avant Garde"/>
          <w:lang w:val="es-MX"/>
        </w:rPr>
        <w:t>Se pueden usar varios enfoques para valorar los activos de ingeniería civil reutilizables:</w:t>
      </w:r>
    </w:p>
    <w:p w:rsidR="00A374A9" w:rsidRPr="00CD0C09" w:rsidRDefault="00A374A9" w:rsidP="00556A48">
      <w:pPr>
        <w:pStyle w:val="Prrafodelista"/>
        <w:numPr>
          <w:ilvl w:val="0"/>
          <w:numId w:val="21"/>
        </w:numPr>
        <w:rPr>
          <w:rFonts w:ascii="ITC Avant Garde" w:hAnsi="ITC Avant Garde"/>
          <w:lang w:val="es-MX"/>
        </w:rPr>
      </w:pPr>
      <w:r w:rsidRPr="00CD0C09">
        <w:rPr>
          <w:rFonts w:ascii="ITC Avant Garde" w:hAnsi="ITC Avant Garde"/>
          <w:lang w:val="es-MX"/>
        </w:rPr>
        <w:t>De acuerdo con el valor neto contable de los activos de ingeniería civil reutilizables, depreciados a lo largo de la vida restante basada en un enfoque de anualidad inclinada;</w:t>
      </w:r>
    </w:p>
    <w:p w:rsidR="00A374A9" w:rsidRPr="00CD0C09" w:rsidRDefault="00A374A9" w:rsidP="00556A48">
      <w:pPr>
        <w:pStyle w:val="Prrafodelista"/>
        <w:numPr>
          <w:ilvl w:val="0"/>
          <w:numId w:val="21"/>
        </w:numPr>
        <w:rPr>
          <w:rFonts w:ascii="ITC Avant Garde" w:hAnsi="ITC Avant Garde"/>
          <w:lang w:val="es-MX"/>
        </w:rPr>
      </w:pPr>
      <w:r w:rsidRPr="00CD0C09">
        <w:rPr>
          <w:rFonts w:ascii="ITC Avant Garde" w:hAnsi="ITC Avant Garde"/>
          <w:lang w:val="es-MX"/>
        </w:rPr>
        <w:t>De acuerdo con el valor residual pro forma de los activos de ingeniería civil reutilizables derivados de una anualidad inclinada (o "indexación"</w:t>
      </w:r>
      <w:r w:rsidR="00D876C1" w:rsidRPr="00CD0C09">
        <w:rPr>
          <w:rStyle w:val="Refdenotaalpie"/>
          <w:rFonts w:ascii="ITC Avant Garde" w:hAnsi="ITC Avant Garde"/>
          <w:lang w:val="es-MX"/>
        </w:rPr>
        <w:footnoteReference w:id="30"/>
      </w:r>
      <w:r w:rsidRPr="00CD0C09">
        <w:rPr>
          <w:rFonts w:ascii="ITC Avant Garde" w:hAnsi="ITC Avant Garde"/>
          <w:lang w:val="es-MX"/>
        </w:rPr>
        <w:t>) realizada en el despliegue anterior de los activos de ingeniería civil reutilizables;</w:t>
      </w:r>
    </w:p>
    <w:p w:rsidR="00A374A9" w:rsidRPr="00CD0C09" w:rsidRDefault="00A374A9" w:rsidP="00556A48">
      <w:pPr>
        <w:pStyle w:val="Prrafodelista"/>
        <w:numPr>
          <w:ilvl w:val="0"/>
          <w:numId w:val="21"/>
        </w:numPr>
        <w:rPr>
          <w:rFonts w:ascii="ITC Avant Garde" w:hAnsi="ITC Avant Garde"/>
          <w:lang w:val="es-MX"/>
        </w:rPr>
      </w:pPr>
      <w:r w:rsidRPr="00CD0C09">
        <w:rPr>
          <w:rFonts w:ascii="ITC Avant Garde" w:hAnsi="ITC Avant Garde"/>
          <w:lang w:val="es-MX"/>
        </w:rPr>
        <w:t>De acuerdo con los costos brutos de reemplazo en los que se aplica un descuento específico;</w:t>
      </w:r>
    </w:p>
    <w:p w:rsidR="00A374A9" w:rsidRPr="00CD0C09" w:rsidRDefault="00A374A9" w:rsidP="00556A48">
      <w:pPr>
        <w:pStyle w:val="Prrafodelista"/>
        <w:numPr>
          <w:ilvl w:val="0"/>
          <w:numId w:val="21"/>
        </w:numPr>
        <w:rPr>
          <w:rFonts w:ascii="ITC Avant Garde" w:hAnsi="ITC Avant Garde"/>
          <w:lang w:val="es-MX"/>
        </w:rPr>
      </w:pPr>
      <w:r w:rsidRPr="00CD0C09">
        <w:rPr>
          <w:rFonts w:ascii="ITC Avant Garde" w:hAnsi="ITC Avant Garde"/>
          <w:lang w:val="es-MX"/>
        </w:rPr>
        <w:t>De acuerdo con los precios regulados del acceso a la ingeniería civil, con una indexación adecuada;</w:t>
      </w:r>
    </w:p>
    <w:p w:rsidR="00A374A9" w:rsidRPr="00CD0C09" w:rsidRDefault="00A374A9" w:rsidP="00556A48">
      <w:pPr>
        <w:pStyle w:val="Prrafodelista"/>
        <w:numPr>
          <w:ilvl w:val="0"/>
          <w:numId w:val="21"/>
        </w:numPr>
        <w:rPr>
          <w:rFonts w:ascii="ITC Avant Garde" w:hAnsi="ITC Avant Garde"/>
          <w:lang w:val="es-MX"/>
        </w:rPr>
      </w:pPr>
      <w:r w:rsidRPr="00CD0C09">
        <w:rPr>
          <w:rFonts w:ascii="ITC Avant Garde" w:hAnsi="ITC Avant Garde"/>
          <w:lang w:val="es-MX"/>
        </w:rPr>
        <w:t>Sin valoración específica para los activos de ingeniería civil (valor contable bruto).</w:t>
      </w:r>
    </w:p>
    <w:p w:rsidR="00A374A9" w:rsidRPr="00CD0C09" w:rsidRDefault="00A374A9" w:rsidP="00A374A9">
      <w:pPr>
        <w:rPr>
          <w:rFonts w:ascii="ITC Avant Garde" w:hAnsi="ITC Avant Garde"/>
          <w:lang w:val="es-MX"/>
        </w:rPr>
      </w:pPr>
      <w:r w:rsidRPr="00CD0C09">
        <w:rPr>
          <w:rFonts w:ascii="ITC Avant Garde" w:hAnsi="ITC Avant Garde"/>
          <w:lang w:val="es-MX"/>
        </w:rPr>
        <w:t xml:space="preserve">Los enfoques </w:t>
      </w:r>
      <w:r w:rsidR="00D876C1" w:rsidRPr="00CD0C09">
        <w:rPr>
          <w:rFonts w:ascii="ITC Avant Garde" w:hAnsi="ITC Avant Garde"/>
          <w:lang w:val="es-MX"/>
        </w:rPr>
        <w:t>(</w:t>
      </w:r>
      <w:r w:rsidRPr="00CD0C09">
        <w:rPr>
          <w:rFonts w:ascii="ITC Avant Garde" w:hAnsi="ITC Avant Garde"/>
          <w:lang w:val="es-MX"/>
        </w:rPr>
        <w:t>a</w:t>
      </w:r>
      <w:r w:rsidR="00D876C1" w:rsidRPr="00CD0C09">
        <w:rPr>
          <w:rFonts w:ascii="ITC Avant Garde" w:hAnsi="ITC Avant Garde"/>
          <w:lang w:val="es-MX"/>
        </w:rPr>
        <w:t>)</w:t>
      </w:r>
      <w:r w:rsidRPr="00CD0C09">
        <w:rPr>
          <w:rFonts w:ascii="ITC Avant Garde" w:hAnsi="ITC Avant Garde"/>
          <w:lang w:val="es-MX"/>
        </w:rPr>
        <w:t xml:space="preserve"> y </w:t>
      </w:r>
      <w:r w:rsidR="00D876C1" w:rsidRPr="00CD0C09">
        <w:rPr>
          <w:rFonts w:ascii="ITC Avant Garde" w:hAnsi="ITC Avant Garde"/>
          <w:lang w:val="es-MX"/>
        </w:rPr>
        <w:t>(</w:t>
      </w:r>
      <w:r w:rsidRPr="00CD0C09">
        <w:rPr>
          <w:rFonts w:ascii="ITC Avant Garde" w:hAnsi="ITC Avant Garde"/>
          <w:lang w:val="es-MX"/>
        </w:rPr>
        <w:t>b</w:t>
      </w:r>
      <w:r w:rsidR="00D876C1" w:rsidRPr="00CD0C09">
        <w:rPr>
          <w:rFonts w:ascii="ITC Avant Garde" w:hAnsi="ITC Avant Garde"/>
          <w:lang w:val="es-MX"/>
        </w:rPr>
        <w:t>)</w:t>
      </w:r>
      <w:r w:rsidRPr="00CD0C09">
        <w:rPr>
          <w:rFonts w:ascii="ITC Avant Garde" w:hAnsi="ITC Avant Garde"/>
          <w:lang w:val="es-MX"/>
        </w:rPr>
        <w:t xml:space="preserve"> (valor contable neto y anualidad inclinada pro forma) siguen los principios establecidos por la recomendación</w:t>
      </w:r>
      <w:r w:rsidR="00C35A29" w:rsidRPr="00CD0C09">
        <w:rPr>
          <w:rFonts w:ascii="ITC Avant Garde" w:hAnsi="ITC Avant Garde"/>
          <w:lang w:val="es-MX"/>
        </w:rPr>
        <w:t xml:space="preserve"> de la Comisión Europea</w:t>
      </w:r>
      <w:r w:rsidRPr="00CD0C09">
        <w:rPr>
          <w:rFonts w:ascii="ITC Avant Garde" w:hAnsi="ITC Avant Garde"/>
          <w:lang w:val="es-MX"/>
        </w:rPr>
        <w:t xml:space="preserve"> antes mencionada. Bajo estos enfoques, el valor residual (ya sea del valor contable neto o de la anualidad inclinada pro forma) se amortizará en la vida restante del activo.</w:t>
      </w:r>
    </w:p>
    <w:p w:rsidR="004B276B" w:rsidRPr="00CD0C09" w:rsidRDefault="004B276B" w:rsidP="004B276B">
      <w:pPr>
        <w:rPr>
          <w:rFonts w:ascii="ITC Avant Garde" w:hAnsi="ITC Avant Garde"/>
          <w:lang w:val="es-MX"/>
        </w:rPr>
      </w:pPr>
      <w:r w:rsidRPr="00CD0C09">
        <w:rPr>
          <w:rFonts w:ascii="ITC Avant Garde" w:hAnsi="ITC Avant Garde"/>
          <w:lang w:val="es-MX"/>
        </w:rPr>
        <w:t xml:space="preserve">El enfoque </w:t>
      </w:r>
      <w:r w:rsidR="00D876C1" w:rsidRPr="00CD0C09">
        <w:rPr>
          <w:rFonts w:ascii="ITC Avant Garde" w:hAnsi="ITC Avant Garde"/>
          <w:lang w:val="es-MX"/>
        </w:rPr>
        <w:t>(</w:t>
      </w:r>
      <w:r w:rsidRPr="00CD0C09">
        <w:rPr>
          <w:rFonts w:ascii="ITC Avant Garde" w:hAnsi="ITC Avant Garde"/>
          <w:lang w:val="es-MX"/>
        </w:rPr>
        <w:t>a</w:t>
      </w:r>
      <w:r w:rsidR="00D876C1" w:rsidRPr="00CD0C09">
        <w:rPr>
          <w:rFonts w:ascii="ITC Avant Garde" w:hAnsi="ITC Avant Garde"/>
          <w:lang w:val="es-MX"/>
        </w:rPr>
        <w:t>)</w:t>
      </w:r>
      <w:r w:rsidRPr="00CD0C09">
        <w:rPr>
          <w:rFonts w:ascii="ITC Avant Garde" w:hAnsi="ITC Avant Garde"/>
          <w:lang w:val="es-MX"/>
        </w:rPr>
        <w:t xml:space="preserve"> (valor contable neto) se ajusta a las mejores prácticas europeas implementadas en desarrollos de modelos de costos recientes y permite una </w:t>
      </w:r>
      <w:r w:rsidRPr="00CD0C09">
        <w:rPr>
          <w:rFonts w:ascii="ITC Avant Garde" w:hAnsi="ITC Avant Garde"/>
          <w:lang w:val="es-MX"/>
        </w:rPr>
        <w:lastRenderedPageBreak/>
        <w:t>recuperación adecuada de los costos debido al uso del valor contable neto, los costos ya recuperados no se tienen en cuenta. Ha sido implementado por la A</w:t>
      </w:r>
      <w:r w:rsidR="009B4975" w:rsidRPr="00CD0C09">
        <w:rPr>
          <w:rFonts w:ascii="ITC Avant Garde" w:hAnsi="ITC Avant Garde"/>
          <w:lang w:val="es-MX"/>
        </w:rPr>
        <w:t>RN</w:t>
      </w:r>
      <w:r w:rsidRPr="00CD0C09">
        <w:rPr>
          <w:rFonts w:ascii="ITC Avant Garde" w:hAnsi="ITC Avant Garde"/>
          <w:lang w:val="es-MX"/>
        </w:rPr>
        <w:t xml:space="preserve"> irlandesa (</w:t>
      </w:r>
      <w:proofErr w:type="spellStart"/>
      <w:r w:rsidRPr="009533FA">
        <w:rPr>
          <w:rFonts w:ascii="ITC Avant Garde" w:hAnsi="ITC Avant Garde"/>
          <w:i/>
          <w:lang w:val="es-MX"/>
        </w:rPr>
        <w:t>ComReg</w:t>
      </w:r>
      <w:proofErr w:type="spellEnd"/>
      <w:r w:rsidRPr="00CD0C09">
        <w:rPr>
          <w:rFonts w:ascii="ITC Avant Garde" w:hAnsi="ITC Avant Garde"/>
          <w:lang w:val="es-MX"/>
        </w:rPr>
        <w:t>):</w:t>
      </w:r>
    </w:p>
    <w:p w:rsidR="004B276B" w:rsidRPr="00CD0C09" w:rsidRDefault="004B276B" w:rsidP="0091536E">
      <w:pPr>
        <w:ind w:left="567" w:right="565"/>
        <w:rPr>
          <w:rFonts w:ascii="ITC Avant Garde" w:hAnsi="ITC Avant Garde"/>
          <w:i/>
          <w:lang w:val="es-MX"/>
        </w:rPr>
      </w:pPr>
      <w:r w:rsidRPr="00CD0C09">
        <w:rPr>
          <w:rFonts w:ascii="ITC Avant Garde" w:hAnsi="ITC Avant Garde"/>
          <w:i/>
          <w:lang w:val="es-MX"/>
        </w:rPr>
        <w:t xml:space="preserve">"Para asegurar la recuperación de costos para los activos reutilizables, </w:t>
      </w:r>
      <w:proofErr w:type="spellStart"/>
      <w:r w:rsidRPr="00CD0C09">
        <w:rPr>
          <w:rFonts w:ascii="ITC Avant Garde" w:hAnsi="ITC Avant Garde"/>
          <w:i/>
          <w:lang w:val="es-MX"/>
        </w:rPr>
        <w:t>ComReg</w:t>
      </w:r>
      <w:proofErr w:type="spellEnd"/>
      <w:r w:rsidRPr="00CD0C09">
        <w:rPr>
          <w:rFonts w:ascii="ITC Avant Garde" w:hAnsi="ITC Avant Garde"/>
          <w:i/>
          <w:lang w:val="es-MX"/>
        </w:rPr>
        <w:t xml:space="preserve"> considera que es necesario depreciar el valor contable regulatorio neto de la depreciación acumulada en el momento del cálculo a lo largo de la vida restante de los activos".</w:t>
      </w:r>
      <w:r w:rsidR="00D876C1" w:rsidRPr="00CD0C09">
        <w:rPr>
          <w:rStyle w:val="Refdenotaalpie"/>
          <w:rFonts w:ascii="ITC Avant Garde" w:hAnsi="ITC Avant Garde"/>
          <w:i/>
          <w:lang w:val="es-MX"/>
        </w:rPr>
        <w:footnoteReference w:id="31"/>
      </w:r>
    </w:p>
    <w:p w:rsidR="004B276B" w:rsidRPr="00CD0C09" w:rsidRDefault="004B276B" w:rsidP="004B276B">
      <w:pPr>
        <w:rPr>
          <w:rFonts w:ascii="ITC Avant Garde" w:hAnsi="ITC Avant Garde"/>
          <w:lang w:val="es-MX"/>
        </w:rPr>
      </w:pPr>
      <w:r w:rsidRPr="00CD0C09">
        <w:rPr>
          <w:rFonts w:ascii="ITC Avant Garde" w:hAnsi="ITC Avant Garde"/>
          <w:lang w:val="es-MX"/>
        </w:rPr>
        <w:t xml:space="preserve">Consiste en depreciar el valor neto contable durante la vida útil restante del activo, de acuerdo con la fórmula de anualidad inclinada. Conforme a la fórmula de anualidades inclinadas, la anualidad crece cada año por una tendencia de precios relevante para el activo (precios históricos del activo, índice de precios del sector, índice de precios del trabajo, etc.). </w:t>
      </w:r>
      <w:r w:rsidR="00D876C1" w:rsidRPr="00CD0C09">
        <w:rPr>
          <w:rFonts w:ascii="ITC Avant Garde" w:hAnsi="ITC Avant Garde"/>
          <w:lang w:val="es-MX"/>
        </w:rPr>
        <w:t>L</w:t>
      </w:r>
      <w:r w:rsidRPr="00CD0C09">
        <w:rPr>
          <w:rFonts w:ascii="ITC Avant Garde" w:hAnsi="ITC Avant Garde"/>
          <w:lang w:val="es-MX"/>
        </w:rPr>
        <w:t xml:space="preserve">a anualidad aumenta (disminuye) si el </w:t>
      </w:r>
      <w:r w:rsidR="00D876C1" w:rsidRPr="00CD0C09">
        <w:rPr>
          <w:rFonts w:ascii="ITC Avant Garde" w:hAnsi="ITC Avant Garde"/>
          <w:lang w:val="es-MX"/>
        </w:rPr>
        <w:t>precio cambia</w:t>
      </w:r>
      <w:r w:rsidRPr="00CD0C09">
        <w:rPr>
          <w:rFonts w:ascii="ITC Avant Garde" w:hAnsi="ITC Avant Garde"/>
          <w:lang w:val="es-MX"/>
        </w:rPr>
        <w:t xml:space="preserve"> hacia arriba (hacia abajo).</w:t>
      </w:r>
    </w:p>
    <w:p w:rsidR="004B276B" w:rsidRPr="00CD0C09" w:rsidRDefault="004B276B" w:rsidP="004B276B">
      <w:pPr>
        <w:rPr>
          <w:rFonts w:ascii="ITC Avant Garde" w:hAnsi="ITC Avant Garde"/>
          <w:lang w:val="es-MX"/>
        </w:rPr>
      </w:pPr>
      <w:r w:rsidRPr="00CD0C09">
        <w:rPr>
          <w:rFonts w:ascii="ITC Avant Garde" w:hAnsi="ITC Avant Garde"/>
          <w:lang w:val="es-MX"/>
        </w:rPr>
        <w:t xml:space="preserve">La vida útil de los activos utilizada en los libros </w:t>
      </w:r>
      <w:r w:rsidR="00D876C1" w:rsidRPr="00CD0C09">
        <w:rPr>
          <w:rFonts w:ascii="ITC Avant Garde" w:hAnsi="ITC Avant Garde"/>
          <w:lang w:val="es-MX"/>
        </w:rPr>
        <w:t xml:space="preserve">contables </w:t>
      </w:r>
      <w:r w:rsidRPr="00CD0C09">
        <w:rPr>
          <w:rFonts w:ascii="ITC Avant Garde" w:hAnsi="ITC Avant Garde"/>
          <w:lang w:val="es-MX"/>
        </w:rPr>
        <w:t>se compara con la vida de los activos utilizada en el modelado ascendente, y puede ajustarse.</w:t>
      </w:r>
      <w:r w:rsidR="00D876C1" w:rsidRPr="00CD0C09">
        <w:rPr>
          <w:rFonts w:ascii="ITC Avant Garde" w:hAnsi="ITC Avant Garde"/>
          <w:lang w:val="es-MX"/>
        </w:rPr>
        <w:t xml:space="preserve"> </w:t>
      </w:r>
      <w:r w:rsidRPr="00CD0C09">
        <w:rPr>
          <w:rFonts w:ascii="ITC Avant Garde" w:hAnsi="ITC Avant Garde"/>
          <w:lang w:val="es-MX"/>
        </w:rPr>
        <w:t>Al final de la vida útil restante del activo, se ha recuperado el valor neto contable del activo.</w:t>
      </w:r>
    </w:p>
    <w:p w:rsidR="004B276B" w:rsidRPr="00CD0C09" w:rsidRDefault="004B276B" w:rsidP="004B276B">
      <w:pPr>
        <w:rPr>
          <w:rFonts w:ascii="ITC Avant Garde" w:hAnsi="ITC Avant Garde"/>
          <w:lang w:val="es-MX"/>
        </w:rPr>
      </w:pPr>
      <w:r w:rsidRPr="00CD0C09">
        <w:rPr>
          <w:rFonts w:ascii="ITC Avant Garde" w:hAnsi="ITC Avant Garde"/>
          <w:lang w:val="es-MX"/>
        </w:rPr>
        <w:t xml:space="preserve">El enfoque </w:t>
      </w:r>
      <w:r w:rsidR="00D876C1" w:rsidRPr="00CD0C09">
        <w:rPr>
          <w:rFonts w:ascii="ITC Avant Garde" w:hAnsi="ITC Avant Garde"/>
          <w:lang w:val="es-MX"/>
        </w:rPr>
        <w:t>(</w:t>
      </w:r>
      <w:r w:rsidRPr="00CD0C09">
        <w:rPr>
          <w:rFonts w:ascii="ITC Avant Garde" w:hAnsi="ITC Avant Garde"/>
          <w:lang w:val="es-MX"/>
        </w:rPr>
        <w:t>b</w:t>
      </w:r>
      <w:r w:rsidR="00D876C1" w:rsidRPr="00CD0C09">
        <w:rPr>
          <w:rFonts w:ascii="ITC Avant Garde" w:hAnsi="ITC Avant Garde"/>
          <w:lang w:val="es-MX"/>
        </w:rPr>
        <w:t>)</w:t>
      </w:r>
      <w:r w:rsidRPr="00CD0C09">
        <w:rPr>
          <w:rFonts w:ascii="ITC Avant Garde" w:hAnsi="ITC Avant Garde"/>
          <w:lang w:val="es-MX"/>
        </w:rPr>
        <w:t xml:space="preserve"> (</w:t>
      </w:r>
      <w:r w:rsidR="00D876C1" w:rsidRPr="00CD0C09">
        <w:rPr>
          <w:rFonts w:ascii="ITC Avant Garde" w:hAnsi="ITC Avant Garde"/>
          <w:lang w:val="es-MX"/>
        </w:rPr>
        <w:t>anualidad inclinada pro forma</w:t>
      </w:r>
      <w:r w:rsidRPr="00CD0C09">
        <w:rPr>
          <w:rFonts w:ascii="ITC Avant Garde" w:hAnsi="ITC Avant Garde"/>
          <w:lang w:val="es-MX"/>
        </w:rPr>
        <w:t>) es más complejo de implementar y requiere un amplio conocimiento de las inversiones anteriores en infraestructura de ingeniería civil.</w:t>
      </w:r>
    </w:p>
    <w:p w:rsidR="004B276B" w:rsidRPr="00CD0C09" w:rsidRDefault="004B276B" w:rsidP="004B276B">
      <w:pPr>
        <w:rPr>
          <w:rFonts w:ascii="ITC Avant Garde" w:hAnsi="ITC Avant Garde"/>
          <w:lang w:val="es-MX"/>
        </w:rPr>
      </w:pPr>
      <w:r w:rsidRPr="00CD0C09">
        <w:rPr>
          <w:rFonts w:ascii="ITC Avant Garde" w:hAnsi="ITC Avant Garde"/>
          <w:lang w:val="es-MX"/>
        </w:rPr>
        <w:t>Para cada inversión pasada, su valor histórico en el momento de la inversión se recupera y deprecia (aplicando anualidades inclinadas) a lo largo de toda la vida de la inversión, es decir, primero en el período pasado, luego en el presente y en el futuro. Para una inversión dada, el valor contable neto puede diferir del valor neto pro forma, ya que las depreciaciones pasadas en los libros no necesariamente siguen el mismo perfil de anualidad inclinada.</w:t>
      </w:r>
      <w:r w:rsidR="00D876C1" w:rsidRPr="00CD0C09">
        <w:rPr>
          <w:rFonts w:ascii="ITC Avant Garde" w:hAnsi="ITC Avant Garde"/>
          <w:lang w:val="es-MX"/>
        </w:rPr>
        <w:t xml:space="preserve"> Este enfoque ha sido implementado por la ARN francesa (</w:t>
      </w:r>
      <w:proofErr w:type="spellStart"/>
      <w:r w:rsidR="00CF7228" w:rsidRPr="00F2544C">
        <w:rPr>
          <w:rFonts w:ascii="ITC Avant Garde" w:hAnsi="ITC Avant Garde" w:cs="Arial"/>
          <w:color w:val="545454"/>
          <w:shd w:val="clear" w:color="auto" w:fill="FFFFFF"/>
          <w:lang w:val="es-MX"/>
        </w:rPr>
        <w:t>l'Autorité</w:t>
      </w:r>
      <w:proofErr w:type="spellEnd"/>
      <w:r w:rsidR="00CF7228" w:rsidRPr="00F2544C">
        <w:rPr>
          <w:rFonts w:ascii="ITC Avant Garde" w:hAnsi="ITC Avant Garde" w:cs="Arial"/>
          <w:color w:val="545454"/>
          <w:shd w:val="clear" w:color="auto" w:fill="FFFFFF"/>
          <w:lang w:val="es-MX"/>
        </w:rPr>
        <w:t xml:space="preserve"> de </w:t>
      </w:r>
      <w:proofErr w:type="spellStart"/>
      <w:r w:rsidR="00CF7228" w:rsidRPr="00F2544C">
        <w:rPr>
          <w:rFonts w:ascii="ITC Avant Garde" w:hAnsi="ITC Avant Garde" w:cs="Arial"/>
          <w:color w:val="545454"/>
          <w:shd w:val="clear" w:color="auto" w:fill="FFFFFF"/>
          <w:lang w:val="es-MX"/>
        </w:rPr>
        <w:t>régulation</w:t>
      </w:r>
      <w:proofErr w:type="spellEnd"/>
      <w:r w:rsidR="00CF7228" w:rsidRPr="00F2544C">
        <w:rPr>
          <w:rFonts w:ascii="ITC Avant Garde" w:hAnsi="ITC Avant Garde" w:cs="Arial"/>
          <w:color w:val="545454"/>
          <w:shd w:val="clear" w:color="auto" w:fill="FFFFFF"/>
          <w:lang w:val="es-MX"/>
        </w:rPr>
        <w:t xml:space="preserve"> des </w:t>
      </w:r>
      <w:proofErr w:type="spellStart"/>
      <w:r w:rsidR="00CF7228" w:rsidRPr="00F2544C">
        <w:rPr>
          <w:rFonts w:ascii="ITC Avant Garde" w:hAnsi="ITC Avant Garde" w:cs="Arial"/>
          <w:color w:val="545454"/>
          <w:shd w:val="clear" w:color="auto" w:fill="FFFFFF"/>
          <w:lang w:val="es-MX"/>
        </w:rPr>
        <w:t>communications</w:t>
      </w:r>
      <w:proofErr w:type="spellEnd"/>
      <w:r w:rsidR="00CF7228" w:rsidRPr="00F2544C">
        <w:rPr>
          <w:rFonts w:ascii="ITC Avant Garde" w:hAnsi="ITC Avant Garde" w:cs="Arial"/>
          <w:color w:val="545454"/>
          <w:shd w:val="clear" w:color="auto" w:fill="FFFFFF"/>
          <w:lang w:val="es-MX"/>
        </w:rPr>
        <w:t xml:space="preserve"> </w:t>
      </w:r>
      <w:proofErr w:type="spellStart"/>
      <w:r w:rsidR="00CF7228" w:rsidRPr="00F2544C">
        <w:rPr>
          <w:rFonts w:ascii="ITC Avant Garde" w:hAnsi="ITC Avant Garde" w:cs="Arial"/>
          <w:color w:val="545454"/>
          <w:shd w:val="clear" w:color="auto" w:fill="FFFFFF"/>
          <w:lang w:val="es-MX"/>
        </w:rPr>
        <w:t>électroniques</w:t>
      </w:r>
      <w:proofErr w:type="spellEnd"/>
      <w:r w:rsidR="00CF7228" w:rsidRPr="00F2544C">
        <w:rPr>
          <w:rFonts w:ascii="ITC Avant Garde" w:hAnsi="ITC Avant Garde" w:cs="Arial"/>
          <w:color w:val="545454"/>
          <w:shd w:val="clear" w:color="auto" w:fill="FFFFFF"/>
          <w:lang w:val="es-MX"/>
        </w:rPr>
        <w:t xml:space="preserve"> et des Postes</w:t>
      </w:r>
      <w:r w:rsidR="00D876C1" w:rsidRPr="00CD0C09">
        <w:rPr>
          <w:rFonts w:ascii="ITC Avant Garde" w:hAnsi="ITC Avant Garde"/>
          <w:lang w:val="es-MX"/>
        </w:rPr>
        <w:t>) desde 2005.</w:t>
      </w:r>
      <w:r w:rsidR="00D876C1" w:rsidRPr="00CD0C09">
        <w:rPr>
          <w:rStyle w:val="Refdenotaalpie"/>
          <w:rFonts w:ascii="ITC Avant Garde" w:hAnsi="ITC Avant Garde"/>
          <w:lang w:val="es-MX"/>
        </w:rPr>
        <w:t xml:space="preserve"> </w:t>
      </w:r>
      <w:r w:rsidR="00D876C1" w:rsidRPr="00CD0C09">
        <w:rPr>
          <w:rStyle w:val="Refdenotaalpie"/>
          <w:rFonts w:ascii="ITC Avant Garde" w:hAnsi="ITC Avant Garde"/>
          <w:lang w:val="es-MX"/>
        </w:rPr>
        <w:footnoteReference w:id="32"/>
      </w:r>
    </w:p>
    <w:p w:rsidR="004B276B" w:rsidRPr="00B414BD" w:rsidRDefault="004B276B" w:rsidP="004B276B">
      <w:pPr>
        <w:rPr>
          <w:rFonts w:ascii="ITC Avant Garde" w:hAnsi="ITC Avant Garde"/>
          <w:lang w:val="es-MX"/>
        </w:rPr>
      </w:pPr>
      <w:r w:rsidRPr="00B414BD">
        <w:rPr>
          <w:rFonts w:ascii="ITC Avant Garde" w:hAnsi="ITC Avant Garde"/>
          <w:lang w:val="es-MX"/>
        </w:rPr>
        <w:t>Al final de la vida útil restante del activo, el valor neto contable del activo en el año base no se ha recuperado necesariamente. Por el contrario, el valor histórico del activo en el momento de la inversión se recupera a lo largo de toda la vida del activo.</w:t>
      </w:r>
    </w:p>
    <w:p w:rsidR="004B276B" w:rsidRPr="00B414BD" w:rsidRDefault="004B276B" w:rsidP="004B276B">
      <w:pPr>
        <w:rPr>
          <w:rFonts w:ascii="ITC Avant Garde" w:hAnsi="ITC Avant Garde"/>
          <w:lang w:val="es-MX"/>
        </w:rPr>
      </w:pPr>
      <w:r w:rsidRPr="00B414BD">
        <w:rPr>
          <w:rFonts w:ascii="ITC Avant Garde" w:hAnsi="ITC Avant Garde"/>
          <w:lang w:val="es-MX"/>
        </w:rPr>
        <w:t xml:space="preserve">El enfoque </w:t>
      </w:r>
      <w:r w:rsidR="00D876C1" w:rsidRPr="00B414BD">
        <w:rPr>
          <w:rFonts w:ascii="ITC Avant Garde" w:hAnsi="ITC Avant Garde"/>
          <w:lang w:val="es-MX"/>
        </w:rPr>
        <w:t>(c)</w:t>
      </w:r>
      <w:r w:rsidRPr="00B414BD">
        <w:rPr>
          <w:rFonts w:ascii="ITC Avant Garde" w:hAnsi="ITC Avant Garde"/>
          <w:lang w:val="es-MX"/>
        </w:rPr>
        <w:t xml:space="preserve">, basado en factores de descuento, requiere una evaluación previa del descuento que se aplicará a los costos de reemplazo bruto de los activos de ingeniería civil. Esta evaluación generalmente se basa en una comparación del valor contable neto con los costos brutos de reposición (los resultados están entonces cerca de </w:t>
      </w:r>
      <w:r w:rsidRPr="00B414BD">
        <w:rPr>
          <w:rFonts w:ascii="ITC Avant Garde" w:hAnsi="ITC Avant Garde"/>
          <w:lang w:val="es-MX"/>
        </w:rPr>
        <w:lastRenderedPageBreak/>
        <w:t xml:space="preserve">acercarse a </w:t>
      </w:r>
      <w:r w:rsidR="00D876C1" w:rsidRPr="00B414BD">
        <w:rPr>
          <w:rFonts w:ascii="ITC Avant Garde" w:hAnsi="ITC Avant Garde"/>
          <w:lang w:val="es-MX"/>
        </w:rPr>
        <w:t>(</w:t>
      </w:r>
      <w:r w:rsidRPr="00B414BD">
        <w:rPr>
          <w:rFonts w:ascii="ITC Avant Garde" w:hAnsi="ITC Avant Garde"/>
          <w:lang w:val="es-MX"/>
        </w:rPr>
        <w:t>a</w:t>
      </w:r>
      <w:r w:rsidR="00D876C1" w:rsidRPr="00B414BD">
        <w:rPr>
          <w:rFonts w:ascii="ITC Avant Garde" w:hAnsi="ITC Avant Garde"/>
          <w:lang w:val="es-MX"/>
        </w:rPr>
        <w:t>)</w:t>
      </w:r>
      <w:r w:rsidRPr="00B414BD">
        <w:rPr>
          <w:rFonts w:ascii="ITC Avant Garde" w:hAnsi="ITC Avant Garde"/>
          <w:lang w:val="es-MX"/>
        </w:rPr>
        <w:t xml:space="preserve">, excepto que no valdrían a cero los activos totalmente depreciados). Este enfoque se ha implementado notablemente en Noruega en el modelo de costos desarrollado por </w:t>
      </w:r>
      <w:r w:rsidR="00D52E38" w:rsidRPr="00B414BD">
        <w:rPr>
          <w:rFonts w:ascii="ITC Avant Garde" w:hAnsi="ITC Avant Garde"/>
          <w:lang w:val="es-MX"/>
        </w:rPr>
        <w:t xml:space="preserve">la ARN noruega (NCOM, por sus siglas en noruego, </w:t>
      </w:r>
      <w:proofErr w:type="spellStart"/>
      <w:r w:rsidR="00D52E38" w:rsidRPr="002A6F9E">
        <w:rPr>
          <w:rFonts w:ascii="ITC Avant Garde" w:hAnsi="ITC Avant Garde"/>
          <w:i/>
          <w:lang w:val="es-MX"/>
        </w:rPr>
        <w:t>Nasjonal</w:t>
      </w:r>
      <w:proofErr w:type="spellEnd"/>
      <w:r w:rsidR="00D52E38" w:rsidRPr="002A6F9E">
        <w:rPr>
          <w:rFonts w:ascii="ITC Avant Garde" w:hAnsi="ITC Avant Garde"/>
          <w:i/>
          <w:lang w:val="es-MX"/>
        </w:rPr>
        <w:t xml:space="preserve"> </w:t>
      </w:r>
      <w:proofErr w:type="spellStart"/>
      <w:r w:rsidR="00D52E38" w:rsidRPr="002A6F9E">
        <w:rPr>
          <w:rFonts w:ascii="ITC Avant Garde" w:hAnsi="ITC Avant Garde"/>
          <w:i/>
          <w:lang w:val="es-MX"/>
        </w:rPr>
        <w:t>Kommunikasjonsmyndighet</w:t>
      </w:r>
      <w:proofErr w:type="spellEnd"/>
      <w:r w:rsidR="00D52E38" w:rsidRPr="00B414BD">
        <w:rPr>
          <w:rFonts w:ascii="ITC Avant Garde" w:hAnsi="ITC Avant Garde"/>
          <w:lang w:val="es-MX"/>
        </w:rPr>
        <w:t xml:space="preserve">) </w:t>
      </w:r>
      <w:r w:rsidRPr="00B414BD">
        <w:rPr>
          <w:rFonts w:ascii="ITC Avant Garde" w:hAnsi="ITC Avant Garde"/>
          <w:lang w:val="es-MX"/>
        </w:rPr>
        <w:t>en 2012 y actualizado en 2015</w:t>
      </w:r>
      <w:r w:rsidR="00D876C1" w:rsidRPr="00B414BD">
        <w:rPr>
          <w:rStyle w:val="Refdenotaalpie"/>
          <w:rFonts w:ascii="ITC Avant Garde" w:hAnsi="ITC Avant Garde"/>
          <w:lang w:val="es-MX"/>
        </w:rPr>
        <w:footnoteReference w:id="33"/>
      </w:r>
      <w:r w:rsidRPr="00B414BD">
        <w:rPr>
          <w:rFonts w:ascii="ITC Avant Garde" w:hAnsi="ITC Avant Garde"/>
          <w:lang w:val="es-MX"/>
        </w:rPr>
        <w:t>.</w:t>
      </w:r>
    </w:p>
    <w:p w:rsidR="004B276B" w:rsidRPr="00CD0C09" w:rsidRDefault="004B276B" w:rsidP="004B276B">
      <w:pPr>
        <w:rPr>
          <w:rFonts w:ascii="ITC Avant Garde" w:hAnsi="ITC Avant Garde"/>
          <w:lang w:val="es-MX"/>
        </w:rPr>
      </w:pPr>
      <w:r w:rsidRPr="00CD0C09">
        <w:rPr>
          <w:rFonts w:ascii="ITC Avant Garde" w:hAnsi="ITC Avant Garde"/>
          <w:lang w:val="es-MX"/>
        </w:rPr>
        <w:t>En este enfoque, la calibración del factor de descuento se realiza mediante la implementación del enfoque (a) en una muestra de inversiones.</w:t>
      </w:r>
    </w:p>
    <w:p w:rsidR="004B276B" w:rsidRPr="00CD0C09" w:rsidRDefault="004B276B" w:rsidP="004B276B">
      <w:pPr>
        <w:rPr>
          <w:rFonts w:ascii="ITC Avant Garde" w:hAnsi="ITC Avant Garde"/>
          <w:lang w:val="es-MX"/>
        </w:rPr>
      </w:pPr>
      <w:r w:rsidRPr="00CD0C09">
        <w:rPr>
          <w:rFonts w:ascii="ITC Avant Garde" w:hAnsi="ITC Avant Garde"/>
          <w:lang w:val="es-MX"/>
        </w:rPr>
        <w:t xml:space="preserve">El enfoque </w:t>
      </w:r>
      <w:r w:rsidR="00D876C1" w:rsidRPr="00CD0C09">
        <w:rPr>
          <w:rFonts w:ascii="ITC Avant Garde" w:hAnsi="ITC Avant Garde"/>
          <w:lang w:val="es-MX"/>
        </w:rPr>
        <w:t>(</w:t>
      </w:r>
      <w:r w:rsidRPr="00CD0C09">
        <w:rPr>
          <w:rFonts w:ascii="ITC Avant Garde" w:hAnsi="ITC Avant Garde"/>
          <w:lang w:val="es-MX"/>
        </w:rPr>
        <w:t>d</w:t>
      </w:r>
      <w:r w:rsidR="00D876C1" w:rsidRPr="00CD0C09">
        <w:rPr>
          <w:rFonts w:ascii="ITC Avant Garde" w:hAnsi="ITC Avant Garde"/>
          <w:lang w:val="es-MX"/>
        </w:rPr>
        <w:t>)</w:t>
      </w:r>
      <w:r w:rsidRPr="00CD0C09">
        <w:rPr>
          <w:rFonts w:ascii="ITC Avant Garde" w:hAnsi="ITC Avant Garde"/>
          <w:lang w:val="es-MX"/>
        </w:rPr>
        <w:t>, basado en los costos de acceso a la infraestructura regulad</w:t>
      </w:r>
      <w:r w:rsidR="00D876C1" w:rsidRPr="00CD0C09">
        <w:rPr>
          <w:rFonts w:ascii="ITC Avant Garde" w:hAnsi="ITC Avant Garde"/>
          <w:lang w:val="es-MX"/>
        </w:rPr>
        <w:t>a</w:t>
      </w:r>
      <w:r w:rsidRPr="00CD0C09">
        <w:rPr>
          <w:rFonts w:ascii="ITC Avant Garde" w:hAnsi="ITC Avant Garde"/>
          <w:lang w:val="es-MX"/>
        </w:rPr>
        <w:t xml:space="preserve">, envía señales de "compra", pero puede conducir a un cálculo circular ya que el modelo de costos también </w:t>
      </w:r>
      <w:r w:rsidR="00E8437A" w:rsidRPr="00CD0C09">
        <w:rPr>
          <w:rFonts w:ascii="ITC Avant Garde" w:hAnsi="ITC Avant Garde"/>
          <w:lang w:val="es-MX"/>
        </w:rPr>
        <w:t>permite</w:t>
      </w:r>
      <w:r w:rsidRPr="00CD0C09">
        <w:rPr>
          <w:rFonts w:ascii="ITC Avant Garde" w:hAnsi="ITC Avant Garde"/>
          <w:lang w:val="es-MX"/>
        </w:rPr>
        <w:t xml:space="preserve"> derivar costos regulatorios de acceso a infraestructura de ingeniería civil.</w:t>
      </w:r>
    </w:p>
    <w:p w:rsidR="004B276B" w:rsidRPr="00CD0C09" w:rsidRDefault="004B276B" w:rsidP="004B276B">
      <w:pPr>
        <w:rPr>
          <w:rFonts w:ascii="ITC Avant Garde" w:hAnsi="ITC Avant Garde"/>
          <w:lang w:val="es-MX"/>
        </w:rPr>
      </w:pPr>
      <w:r w:rsidRPr="00CD0C09">
        <w:rPr>
          <w:rFonts w:ascii="ITC Avant Garde" w:hAnsi="ITC Avant Garde"/>
          <w:lang w:val="es-MX"/>
        </w:rPr>
        <w:t>Bajo este enfoque, el cargo de acceso al ducto en el año t se extrapolará del cargo de acceso al ducto en 2018 a través de un factor de crecimiento π o indexación basado en el índice de precios al consumidor, índice de precios laborales o cualquier otro índice de inflación relevante:</w:t>
      </w:r>
    </w:p>
    <w:p w:rsidR="004B276B" w:rsidRPr="00CD0C09" w:rsidRDefault="004B276B" w:rsidP="004B276B">
      <w:pPr>
        <w:rPr>
          <w:rFonts w:ascii="ITC Avant Garde" w:hAnsi="ITC Avant Garde"/>
          <w:lang w:val="es-MX"/>
        </w:rPr>
      </w:pPr>
      <w:r w:rsidRPr="00CD0C09">
        <w:rPr>
          <w:rFonts w:ascii="ITC Avant Garde" w:hAnsi="ITC Avant Garde"/>
          <w:lang w:val="es-MX"/>
        </w:rPr>
        <w:t>Carga de acceso al conducto (t) = Carga de acceso al conducto (2018) * (1 + π) ^ t</w:t>
      </w:r>
    </w:p>
    <w:p w:rsidR="004B276B" w:rsidRPr="00CD0C09" w:rsidRDefault="004B276B" w:rsidP="004B276B">
      <w:pPr>
        <w:rPr>
          <w:rFonts w:ascii="ITC Avant Garde" w:hAnsi="ITC Avant Garde"/>
          <w:lang w:val="es-MX"/>
        </w:rPr>
      </w:pPr>
      <w:r w:rsidRPr="00CD0C09">
        <w:rPr>
          <w:rFonts w:ascii="ITC Avant Garde" w:hAnsi="ITC Avant Garde"/>
          <w:lang w:val="es-MX"/>
        </w:rPr>
        <w:t>Esto imita el perfil de depreciación de una anualidad inclinada, donde la anualidad crece</w:t>
      </w:r>
      <w:r w:rsidR="00875932">
        <w:rPr>
          <w:rFonts w:ascii="ITC Avant Garde" w:hAnsi="ITC Avant Garde"/>
          <w:lang w:val="es-MX"/>
        </w:rPr>
        <w:t>/</w:t>
      </w:r>
      <w:r w:rsidRPr="00CD0C09">
        <w:rPr>
          <w:rFonts w:ascii="ITC Avant Garde" w:hAnsi="ITC Avant Garde"/>
          <w:lang w:val="es-MX"/>
        </w:rPr>
        <w:t>declina cada año según la tendencia del precio del activo.</w:t>
      </w:r>
    </w:p>
    <w:p w:rsidR="004B276B" w:rsidRPr="00CD0C09" w:rsidRDefault="004B276B" w:rsidP="004B276B">
      <w:pPr>
        <w:rPr>
          <w:rFonts w:ascii="ITC Avant Garde" w:hAnsi="ITC Avant Garde"/>
          <w:lang w:val="es-MX"/>
        </w:rPr>
      </w:pPr>
      <w:r w:rsidRPr="00CD0C09">
        <w:rPr>
          <w:rFonts w:ascii="ITC Avant Garde" w:hAnsi="ITC Avant Garde"/>
          <w:lang w:val="es-MX"/>
        </w:rPr>
        <w:t xml:space="preserve">Finalmente, el enfoque </w:t>
      </w:r>
      <w:r w:rsidR="00E8437A" w:rsidRPr="00CD0C09">
        <w:rPr>
          <w:rFonts w:ascii="ITC Avant Garde" w:hAnsi="ITC Avant Garde"/>
          <w:lang w:val="es-MX"/>
        </w:rPr>
        <w:t>(e)</w:t>
      </w:r>
      <w:r w:rsidRPr="00CD0C09">
        <w:rPr>
          <w:rFonts w:ascii="ITC Avant Garde" w:hAnsi="ITC Avant Garde"/>
          <w:lang w:val="es-MX"/>
        </w:rPr>
        <w:t xml:space="preserve"> se implementa cuando no hay activos de ingeniería civil reutilizables, por ejemplo, cuando se excavaron zanjas sin ductos y deben abrirse y construirse una vez más</w:t>
      </w:r>
      <w:r w:rsidRPr="00872052">
        <w:rPr>
          <w:rFonts w:ascii="ITC Avant Garde" w:hAnsi="ITC Avant Garde"/>
          <w:lang w:val="es-MX"/>
        </w:rPr>
        <w:t xml:space="preserve"> </w:t>
      </w:r>
      <w:r w:rsidRPr="00CD0C09">
        <w:rPr>
          <w:rFonts w:ascii="ITC Avant Garde" w:hAnsi="ITC Avant Garde"/>
          <w:lang w:val="es-MX"/>
        </w:rPr>
        <w:t>para el despliegue de NGA. Cuando los activos de ingeniería civil pueden reutilizarse, el uso de los costos de reemplazo bruto de los activos puede llevar a una sobreestimación de los costos de red que implica una recuperación excesiva. Como consecuencia, valorar los activos de ingeniería civil reutilizables de acuerdo con sus costos de reemplazo brutos incentivaría la construcción de las infraestructuras una vez más, lo que no es adecuado desde un punto de vista regulatorio.</w:t>
      </w:r>
    </w:p>
    <w:p w:rsidR="004B276B" w:rsidRPr="00CD0C09" w:rsidRDefault="004B276B" w:rsidP="004B276B">
      <w:pPr>
        <w:rPr>
          <w:rFonts w:ascii="ITC Avant Garde" w:hAnsi="ITC Avant Garde"/>
          <w:lang w:val="es-MX"/>
        </w:rPr>
      </w:pPr>
      <w:r w:rsidRPr="00CD0C09">
        <w:rPr>
          <w:rFonts w:ascii="ITC Avant Garde" w:hAnsi="ITC Avant Garde"/>
          <w:lang w:val="es-MX"/>
        </w:rPr>
        <w:t>En conjunto, el examen de los diferentes métodos para valorar los activos de ingeniería civil reutilizables demuestra que plantean diferentes requisitos de acceso a los datos y que presentan diferentes ventajas y desventajas.</w:t>
      </w:r>
    </w:p>
    <w:p w:rsidR="00086BFA" w:rsidRPr="00CD0C09" w:rsidRDefault="00086BFA" w:rsidP="00086BFA">
      <w:pPr>
        <w:pStyle w:val="Encadr3"/>
        <w:rPr>
          <w:rFonts w:ascii="ITC Avant Garde" w:hAnsi="ITC Avant Garde"/>
          <w:lang w:val="es-MX"/>
        </w:rPr>
      </w:pPr>
      <w:r w:rsidRPr="00CD0C09">
        <w:rPr>
          <w:rFonts w:ascii="ITC Avant Garde" w:hAnsi="ITC Avant Garde"/>
          <w:lang w:val="es-MX"/>
        </w:rPr>
        <w:t xml:space="preserve">Criterio 21: </w:t>
      </w:r>
      <w:r w:rsidR="006A3B29">
        <w:rPr>
          <w:rFonts w:ascii="ITC Avant Garde" w:hAnsi="ITC Avant Garde"/>
          <w:lang w:val="es-MX"/>
        </w:rPr>
        <w:t>L</w:t>
      </w:r>
      <w:r w:rsidRPr="00CD0C09">
        <w:rPr>
          <w:rFonts w:ascii="ITC Avant Garde" w:hAnsi="ITC Avant Garde"/>
          <w:lang w:val="es-MX"/>
        </w:rPr>
        <w:t xml:space="preserve">os activos reutilizables se deben valorar al valor neto contable del AEP. De lo contrario, se </w:t>
      </w:r>
      <w:r w:rsidR="006A3B29">
        <w:rPr>
          <w:rFonts w:ascii="ITC Avant Garde" w:hAnsi="ITC Avant Garde"/>
          <w:lang w:val="es-MX"/>
        </w:rPr>
        <w:t>usa</w:t>
      </w:r>
      <w:r w:rsidRPr="00CD0C09">
        <w:rPr>
          <w:rFonts w:ascii="ITC Avant Garde" w:hAnsi="ITC Avant Garde"/>
          <w:lang w:val="es-MX"/>
        </w:rPr>
        <w:t xml:space="preserve"> una valoración basada en la participación del valor neto contable restante procedente de un índice de referencia internacional.</w:t>
      </w:r>
    </w:p>
    <w:p w:rsidR="004B276B" w:rsidRPr="00CD0C09" w:rsidRDefault="004B276B" w:rsidP="004B276B">
      <w:pPr>
        <w:rPr>
          <w:rFonts w:ascii="ITC Avant Garde" w:hAnsi="ITC Avant Garde"/>
          <w:lang w:val="es-MX"/>
        </w:rPr>
      </w:pPr>
    </w:p>
    <w:p w:rsidR="00A04AD9" w:rsidRPr="00CD0C09" w:rsidRDefault="004B276B" w:rsidP="00A04AD9">
      <w:pPr>
        <w:pStyle w:val="Ttulo3"/>
        <w:rPr>
          <w:rFonts w:ascii="ITC Avant Garde" w:hAnsi="ITC Avant Garde"/>
          <w:lang w:val="es-MX"/>
        </w:rPr>
      </w:pPr>
      <w:bookmarkStart w:id="136" w:name="_Toc525665281"/>
      <w:bookmarkStart w:id="137" w:name="_Toc525665660"/>
      <w:bookmarkStart w:id="138" w:name="_Toc526854361"/>
      <w:proofErr w:type="spellStart"/>
      <w:r w:rsidRPr="00CD0C09">
        <w:rPr>
          <w:rFonts w:ascii="ITC Avant Garde" w:hAnsi="ITC Avant Garde"/>
          <w:lang w:val="es-MX"/>
        </w:rPr>
        <w:lastRenderedPageBreak/>
        <w:t>Anualización</w:t>
      </w:r>
      <w:proofErr w:type="spellEnd"/>
      <w:r w:rsidRPr="00CD0C09">
        <w:rPr>
          <w:rFonts w:ascii="ITC Avant Garde" w:hAnsi="ITC Avant Garde"/>
          <w:lang w:val="es-MX"/>
        </w:rPr>
        <w:t xml:space="preserve"> de</w:t>
      </w:r>
      <w:r w:rsidR="00A04AD9" w:rsidRPr="00CD0C09">
        <w:rPr>
          <w:rFonts w:ascii="ITC Avant Garde" w:hAnsi="ITC Avant Garde"/>
          <w:lang w:val="es-MX"/>
        </w:rPr>
        <w:t xml:space="preserve"> los CAPEX</w:t>
      </w:r>
      <w:bookmarkEnd w:id="136"/>
      <w:bookmarkEnd w:id="137"/>
      <w:bookmarkEnd w:id="138"/>
    </w:p>
    <w:p w:rsidR="00A04AD9" w:rsidRPr="00CD0C09" w:rsidRDefault="00E8437A" w:rsidP="00A04AD9">
      <w:pPr>
        <w:pStyle w:val="Ttulo4"/>
        <w:rPr>
          <w:rFonts w:ascii="ITC Avant Garde" w:hAnsi="ITC Avant Garde"/>
          <w:lang w:val="es-MX"/>
        </w:rPr>
      </w:pPr>
      <w:bookmarkStart w:id="139" w:name="_Toc525665282"/>
      <w:bookmarkStart w:id="140" w:name="_Toc525665661"/>
      <w:bookmarkStart w:id="141" w:name="_Toc526854362"/>
      <w:r w:rsidRPr="00CD0C09">
        <w:rPr>
          <w:rFonts w:ascii="ITC Avant Garde" w:hAnsi="ITC Avant Garde"/>
          <w:lang w:val="es-MX"/>
        </w:rPr>
        <w:t xml:space="preserve">Costo Promedio Ponderado del Capital (CPPC o </w:t>
      </w:r>
      <w:r w:rsidR="00A04AD9" w:rsidRPr="00CD0C09">
        <w:rPr>
          <w:rFonts w:ascii="ITC Avant Garde" w:hAnsi="ITC Avant Garde"/>
          <w:lang w:val="es-MX"/>
        </w:rPr>
        <w:t>WACC</w:t>
      </w:r>
      <w:r w:rsidRPr="00CD0C09">
        <w:rPr>
          <w:rFonts w:ascii="ITC Avant Garde" w:hAnsi="ITC Avant Garde"/>
          <w:lang w:val="es-MX"/>
        </w:rPr>
        <w:t>)</w:t>
      </w:r>
      <w:bookmarkEnd w:id="139"/>
      <w:bookmarkEnd w:id="140"/>
      <w:bookmarkEnd w:id="141"/>
    </w:p>
    <w:p w:rsidR="00A04AD9" w:rsidRPr="00CD0C09" w:rsidRDefault="00A04AD9" w:rsidP="00A04AD9">
      <w:pPr>
        <w:rPr>
          <w:rFonts w:ascii="ITC Avant Garde" w:hAnsi="ITC Avant Garde"/>
          <w:lang w:val="es-MX"/>
        </w:rPr>
      </w:pPr>
      <w:r w:rsidRPr="00CD0C09">
        <w:rPr>
          <w:rFonts w:ascii="ITC Avant Garde" w:hAnsi="ITC Avant Garde"/>
          <w:lang w:val="es-MX"/>
        </w:rPr>
        <w:t>El costo del capital mide la oportunidad o el costo alternativo de las fuentes de capital (deuda y capital) invertidas en la red.</w:t>
      </w:r>
      <w:r w:rsidR="00E8437A" w:rsidRPr="00CD0C09">
        <w:rPr>
          <w:rFonts w:ascii="ITC Avant Garde" w:hAnsi="ITC Avant Garde"/>
          <w:lang w:val="es-MX"/>
        </w:rPr>
        <w:t xml:space="preserve"> </w:t>
      </w:r>
      <w:r w:rsidRPr="00CD0C09">
        <w:rPr>
          <w:rFonts w:ascii="ITC Avant Garde" w:hAnsi="ITC Avant Garde"/>
          <w:lang w:val="es-MX"/>
        </w:rPr>
        <w:t>Considera que el rendimiento de los activos de la empresa debe ser igual al rendimiento total esperado por sus accionistas y acreedores de la deuda, ponderado por su contribución respectiva al financiamiento de la empresa.</w:t>
      </w:r>
    </w:p>
    <w:p w:rsidR="00A04AD9" w:rsidRPr="00CD0C09" w:rsidRDefault="00A04AD9" w:rsidP="00A04AD9">
      <w:pPr>
        <w:rPr>
          <w:rFonts w:ascii="ITC Avant Garde" w:hAnsi="ITC Avant Garde"/>
          <w:lang w:val="es-MX"/>
        </w:rPr>
      </w:pPr>
    </w:p>
    <w:p w:rsidR="00A04AD9" w:rsidRPr="00CD0C09" w:rsidRDefault="00A04AD9" w:rsidP="00EB0D4A">
      <w:pPr>
        <w:pStyle w:val="Encadr3"/>
        <w:rPr>
          <w:rFonts w:ascii="ITC Avant Garde" w:hAnsi="ITC Avant Garde"/>
          <w:lang w:val="es-MX"/>
        </w:rPr>
      </w:pPr>
      <w:r w:rsidRPr="00CD0C09">
        <w:rPr>
          <w:rFonts w:ascii="ITC Avant Garde" w:hAnsi="ITC Avant Garde"/>
          <w:lang w:val="es-MX"/>
        </w:rPr>
        <w:t xml:space="preserve">Criterio </w:t>
      </w:r>
      <w:r w:rsidR="00542089" w:rsidRPr="00CD0C09">
        <w:rPr>
          <w:rFonts w:ascii="ITC Avant Garde" w:hAnsi="ITC Avant Garde"/>
          <w:lang w:val="es-MX"/>
        </w:rPr>
        <w:t>22</w:t>
      </w:r>
      <w:r w:rsidRPr="00CD0C09">
        <w:rPr>
          <w:rFonts w:ascii="ITC Avant Garde" w:hAnsi="ITC Avant Garde"/>
          <w:lang w:val="es-MX"/>
        </w:rPr>
        <w:t xml:space="preserve">: </w:t>
      </w:r>
      <w:r w:rsidR="00EB0D4A">
        <w:rPr>
          <w:rFonts w:ascii="ITC Avant Garde" w:hAnsi="ITC Avant Garde"/>
          <w:lang w:val="es-MX"/>
        </w:rPr>
        <w:t>S</w:t>
      </w:r>
      <w:r w:rsidRPr="00CD0C09">
        <w:rPr>
          <w:rFonts w:ascii="ITC Avant Garde" w:hAnsi="ITC Avant Garde"/>
          <w:lang w:val="es-MX"/>
        </w:rPr>
        <w:t xml:space="preserve">e </w:t>
      </w:r>
      <w:r w:rsidR="009E1A99" w:rsidRPr="00CD0C09">
        <w:rPr>
          <w:rFonts w:ascii="ITC Avant Garde" w:hAnsi="ITC Avant Garde"/>
          <w:lang w:val="es-MX"/>
        </w:rPr>
        <w:t>utilizará</w:t>
      </w:r>
      <w:r w:rsidRPr="00CD0C09">
        <w:rPr>
          <w:rFonts w:ascii="ITC Avant Garde" w:hAnsi="ITC Avant Garde"/>
          <w:lang w:val="es-MX"/>
        </w:rPr>
        <w:t xml:space="preserve"> el último cálculo de WACC (realizado y decidido por </w:t>
      </w:r>
      <w:r w:rsidR="00E8437A" w:rsidRPr="00CD0C09">
        <w:rPr>
          <w:rFonts w:ascii="ITC Avant Garde" w:hAnsi="ITC Avant Garde"/>
          <w:lang w:val="es-MX"/>
        </w:rPr>
        <w:t xml:space="preserve">el </w:t>
      </w:r>
      <w:r w:rsidRPr="00CD0C09">
        <w:rPr>
          <w:rFonts w:ascii="ITC Avant Garde" w:hAnsi="ITC Avant Garde"/>
          <w:lang w:val="es-MX"/>
        </w:rPr>
        <w:t>IFT).</w:t>
      </w:r>
    </w:p>
    <w:p w:rsidR="00E8437A" w:rsidRPr="00CD0C09" w:rsidRDefault="00E8437A" w:rsidP="00A04AD9">
      <w:pPr>
        <w:rPr>
          <w:rFonts w:ascii="ITC Avant Garde" w:hAnsi="ITC Avant Garde"/>
          <w:lang w:val="es-MX"/>
        </w:rPr>
      </w:pPr>
    </w:p>
    <w:p w:rsidR="00A04AD9" w:rsidRPr="00CD0C09" w:rsidRDefault="00A04AD9" w:rsidP="00A04AD9">
      <w:pPr>
        <w:rPr>
          <w:rFonts w:ascii="ITC Avant Garde" w:hAnsi="ITC Avant Garde"/>
          <w:lang w:val="es-MX"/>
        </w:rPr>
      </w:pPr>
      <w:r w:rsidRPr="00CD0C09">
        <w:rPr>
          <w:rFonts w:ascii="ITC Avant Garde" w:hAnsi="ITC Avant Garde"/>
          <w:lang w:val="es-MX"/>
        </w:rPr>
        <w:t>Por otro lado, el WACC podría considerarse en el modelo según dos métodos alternativos:</w:t>
      </w:r>
    </w:p>
    <w:p w:rsidR="00A04AD9" w:rsidRPr="00CD0C09" w:rsidRDefault="00A04AD9" w:rsidP="009E1A99">
      <w:pPr>
        <w:pStyle w:val="Listaconvietas2"/>
        <w:rPr>
          <w:rFonts w:ascii="ITC Avant Garde" w:hAnsi="ITC Avant Garde"/>
          <w:lang w:val="es-MX"/>
        </w:rPr>
      </w:pPr>
      <w:r w:rsidRPr="00CD0C09">
        <w:rPr>
          <w:rFonts w:ascii="ITC Avant Garde" w:hAnsi="ITC Avant Garde"/>
          <w:lang w:val="es-MX"/>
        </w:rPr>
        <w:t xml:space="preserve">WACC nominal, </w:t>
      </w:r>
      <w:r w:rsidR="009E1A99" w:rsidRPr="00CD0C09">
        <w:rPr>
          <w:rFonts w:ascii="ITC Avant Garde" w:hAnsi="ITC Avant Garde"/>
          <w:lang w:val="es-MX"/>
        </w:rPr>
        <w:t xml:space="preserve">que </w:t>
      </w:r>
      <w:r w:rsidRPr="00CD0C09">
        <w:rPr>
          <w:rFonts w:ascii="ITC Avant Garde" w:hAnsi="ITC Avant Garde"/>
          <w:lang w:val="es-MX"/>
        </w:rPr>
        <w:t>no tiene en cuenta la tasa de inflación del país o sector al que se refiere. Esta alternativa se utiliza principalmente en modelos estáticos, limitados a la producción de resultados para un solo año;</w:t>
      </w:r>
    </w:p>
    <w:p w:rsidR="00A04AD9" w:rsidRPr="00CD0C09" w:rsidRDefault="00A04AD9" w:rsidP="009E1A99">
      <w:pPr>
        <w:pStyle w:val="Listaconvietas2"/>
        <w:rPr>
          <w:rFonts w:ascii="ITC Avant Garde" w:hAnsi="ITC Avant Garde"/>
          <w:lang w:val="es-MX"/>
        </w:rPr>
      </w:pPr>
      <w:r w:rsidRPr="00CD0C09">
        <w:rPr>
          <w:rFonts w:ascii="ITC Avant Garde" w:hAnsi="ITC Avant Garde"/>
          <w:lang w:val="es-MX"/>
        </w:rPr>
        <w:t>WACC real que tiene en cuenta la tasa de inflación. Este enfoque es la alternativa generalmente adoptada en modelos de varios años, que proyectan los resultados en el futuro.</w:t>
      </w:r>
    </w:p>
    <w:p w:rsidR="00A04AD9" w:rsidRPr="00CD0C09" w:rsidRDefault="009E1A99" w:rsidP="00A04AD9">
      <w:pPr>
        <w:rPr>
          <w:rFonts w:ascii="ITC Avant Garde" w:hAnsi="ITC Avant Garde"/>
          <w:lang w:val="es-MX"/>
        </w:rPr>
      </w:pPr>
      <w:r w:rsidRPr="00CD0C09">
        <w:rPr>
          <w:rFonts w:ascii="ITC Avant Garde" w:hAnsi="ITC Avant Garde"/>
          <w:lang w:val="es-MX"/>
        </w:rPr>
        <w:t>En</w:t>
      </w:r>
      <w:r w:rsidR="00A04AD9" w:rsidRPr="00CD0C09">
        <w:rPr>
          <w:rFonts w:ascii="ITC Avant Garde" w:hAnsi="ITC Avant Garde"/>
          <w:lang w:val="es-MX"/>
        </w:rPr>
        <w:t xml:space="preserve"> los modelos anteriores, el primer enfoque se usa en el modelo de cobre, mientras que el segundo se sigue en el modelo de fibra.</w:t>
      </w:r>
    </w:p>
    <w:p w:rsidR="00A04AD9" w:rsidRPr="00CD0C09" w:rsidRDefault="00A04AD9" w:rsidP="00A04AD9">
      <w:pPr>
        <w:rPr>
          <w:rFonts w:ascii="ITC Avant Garde" w:hAnsi="ITC Avant Garde"/>
          <w:lang w:val="es-MX"/>
        </w:rPr>
      </w:pPr>
      <w:r w:rsidRPr="00CD0C09">
        <w:rPr>
          <w:rFonts w:ascii="ITC Avant Garde" w:hAnsi="ITC Avant Garde"/>
          <w:lang w:val="es-MX"/>
        </w:rPr>
        <w:t xml:space="preserve">El costo del capital podría evaluarse como un cálculo separado y usarse en el modelo </w:t>
      </w:r>
      <w:r w:rsidR="00AC4C26" w:rsidRPr="00CD0C09">
        <w:rPr>
          <w:rFonts w:ascii="ITC Avant Garde" w:hAnsi="ITC Avant Garde"/>
          <w:lang w:val="es-MX"/>
        </w:rPr>
        <w:t>de CIPLP</w:t>
      </w:r>
      <w:r w:rsidRPr="00CD0C09">
        <w:rPr>
          <w:rFonts w:ascii="ITC Avant Garde" w:hAnsi="ITC Avant Garde"/>
          <w:lang w:val="es-MX"/>
        </w:rPr>
        <w:t>, debe ser posible cambiar su valor en el modelo.</w:t>
      </w:r>
    </w:p>
    <w:p w:rsidR="00A04AD9" w:rsidRDefault="00A04AD9" w:rsidP="00A04AD9">
      <w:pPr>
        <w:rPr>
          <w:rFonts w:ascii="ITC Avant Garde" w:hAnsi="ITC Avant Garde"/>
          <w:lang w:val="es-MX" w:eastAsia="x-none"/>
        </w:rPr>
      </w:pPr>
      <w:r w:rsidRPr="00CD0C09">
        <w:rPr>
          <w:rFonts w:ascii="ITC Avant Garde" w:hAnsi="ITC Avant Garde"/>
          <w:lang w:val="es-MX"/>
        </w:rPr>
        <w:t>La elección del uso de WACC real o nominal debe ser consistente con la elección de la base del precio (si los precios están regulados en términos nominales, el costo del capital también debe expresarse en términos nominales).</w:t>
      </w:r>
      <w:r w:rsidR="009E1A99" w:rsidRPr="005A428C">
        <w:rPr>
          <w:rStyle w:val="Refdenotaalpie"/>
          <w:rFonts w:ascii="ITC Avant Garde" w:hAnsi="ITC Avant Garde"/>
          <w:lang w:val="es-MX" w:eastAsia="x-none"/>
        </w:rPr>
        <w:t xml:space="preserve"> </w:t>
      </w:r>
      <w:r w:rsidR="009E1A99" w:rsidRPr="00CD0C09">
        <w:rPr>
          <w:rStyle w:val="Refdenotaalpie"/>
          <w:rFonts w:ascii="ITC Avant Garde" w:hAnsi="ITC Avant Garde"/>
          <w:lang w:val="en-US" w:eastAsia="x-none"/>
        </w:rPr>
        <w:footnoteReference w:id="34"/>
      </w:r>
    </w:p>
    <w:p w:rsidR="00086BFA" w:rsidRPr="00CD0C09" w:rsidRDefault="00086BFA" w:rsidP="00086BFA">
      <w:pPr>
        <w:pStyle w:val="Encadr3"/>
        <w:rPr>
          <w:rFonts w:ascii="ITC Avant Garde" w:hAnsi="ITC Avant Garde"/>
          <w:lang w:val="es-MX"/>
        </w:rPr>
      </w:pPr>
      <w:r w:rsidRPr="00CD0C09">
        <w:rPr>
          <w:rFonts w:ascii="ITC Avant Garde" w:hAnsi="ITC Avant Garde"/>
          <w:lang w:val="es-MX"/>
        </w:rPr>
        <w:t>Criterio 23: Un WACC nominal se tendrá en cuenta en el modelo de costos.</w:t>
      </w:r>
    </w:p>
    <w:p w:rsidR="00A04AD9" w:rsidRPr="00CD0C09" w:rsidRDefault="00A04AD9" w:rsidP="00A04AD9">
      <w:pPr>
        <w:rPr>
          <w:rFonts w:ascii="ITC Avant Garde" w:hAnsi="ITC Avant Garde"/>
          <w:lang w:val="es-MX"/>
        </w:rPr>
      </w:pPr>
    </w:p>
    <w:p w:rsidR="00A04AD9" w:rsidRPr="00CD0C09" w:rsidRDefault="00A04AD9" w:rsidP="00A04AD9">
      <w:pPr>
        <w:pStyle w:val="Ttulo4"/>
        <w:rPr>
          <w:rFonts w:ascii="ITC Avant Garde" w:hAnsi="ITC Avant Garde"/>
          <w:lang w:val="es-MX"/>
        </w:rPr>
      </w:pPr>
      <w:bookmarkStart w:id="142" w:name="_Toc525665283"/>
      <w:bookmarkStart w:id="143" w:name="_Toc525665662"/>
      <w:bookmarkStart w:id="144" w:name="_Toc526854363"/>
      <w:r w:rsidRPr="00CD0C09">
        <w:rPr>
          <w:rFonts w:ascii="ITC Avant Garde" w:hAnsi="ITC Avant Garde"/>
          <w:lang w:val="es-MX"/>
        </w:rPr>
        <w:t>Tendencias de precios y vidas de activos</w:t>
      </w:r>
      <w:bookmarkEnd w:id="142"/>
      <w:bookmarkEnd w:id="143"/>
      <w:bookmarkEnd w:id="144"/>
    </w:p>
    <w:p w:rsidR="00A04AD9" w:rsidRPr="00CD0C09" w:rsidRDefault="00A04AD9" w:rsidP="00A04AD9">
      <w:pPr>
        <w:rPr>
          <w:rFonts w:ascii="ITC Avant Garde" w:hAnsi="ITC Avant Garde"/>
          <w:lang w:val="es-MX"/>
        </w:rPr>
      </w:pPr>
      <w:r w:rsidRPr="00CD0C09">
        <w:rPr>
          <w:rFonts w:ascii="ITC Avant Garde" w:hAnsi="ITC Avant Garde"/>
          <w:lang w:val="es-MX"/>
        </w:rPr>
        <w:t xml:space="preserve">Las tendencias de los precios y la vida de los activos son parámetros clave para la depreciación de </w:t>
      </w:r>
      <w:proofErr w:type="spellStart"/>
      <w:r w:rsidRPr="00CD0C09">
        <w:rPr>
          <w:rFonts w:ascii="ITC Avant Garde" w:hAnsi="ITC Avant Garde"/>
          <w:lang w:val="es-MX"/>
        </w:rPr>
        <w:t>Capex</w:t>
      </w:r>
      <w:proofErr w:type="spellEnd"/>
      <w:r w:rsidRPr="00CD0C09">
        <w:rPr>
          <w:rFonts w:ascii="ITC Avant Garde" w:hAnsi="ITC Avant Garde"/>
          <w:lang w:val="es-MX"/>
        </w:rPr>
        <w:t xml:space="preserve"> en costos anualizados</w:t>
      </w:r>
      <w:r w:rsidR="009E1A99" w:rsidRPr="00CD0C09">
        <w:rPr>
          <w:rFonts w:ascii="ITC Avant Garde" w:hAnsi="ITC Avant Garde"/>
          <w:lang w:val="es-MX"/>
        </w:rPr>
        <w:t>.</w:t>
      </w:r>
    </w:p>
    <w:p w:rsidR="00A04AD9" w:rsidRPr="00CD0C09" w:rsidRDefault="00A04AD9" w:rsidP="00A04AD9">
      <w:pPr>
        <w:rPr>
          <w:rFonts w:ascii="ITC Avant Garde" w:hAnsi="ITC Avant Garde"/>
          <w:lang w:val="es-MX"/>
        </w:rPr>
      </w:pPr>
      <w:r w:rsidRPr="00CD0C09">
        <w:rPr>
          <w:rFonts w:ascii="ITC Avant Garde" w:hAnsi="ITC Avant Garde"/>
          <w:lang w:val="es-MX"/>
        </w:rPr>
        <w:t xml:space="preserve">En teoría, la vida útil de los activos utilizada en el modelo ascendente debe corresponder a la vida económica de los activos, que es el período de tiempo esperado </w:t>
      </w:r>
      <w:r w:rsidRPr="00CD0C09">
        <w:rPr>
          <w:rFonts w:ascii="ITC Avant Garde" w:hAnsi="ITC Avant Garde"/>
          <w:lang w:val="es-MX"/>
        </w:rPr>
        <w:lastRenderedPageBreak/>
        <w:t>durante el cual un activo es útil y es económicamente ventajoso utilizar el activo. En el contexto de las implementaciones de NGA, la Comisión Europea ha subrayado recientemente que la vida económica debería capturar la vida tecnológica y los desarrollos futuros de la red:</w:t>
      </w:r>
    </w:p>
    <w:p w:rsidR="00A04AD9" w:rsidRPr="00FC28C8" w:rsidRDefault="00A04AD9" w:rsidP="009E1A99">
      <w:pPr>
        <w:ind w:left="567" w:right="565"/>
        <w:rPr>
          <w:rFonts w:ascii="ITC Avant Garde" w:hAnsi="ITC Avant Garde"/>
          <w:i/>
          <w:lang w:val="es-MX"/>
        </w:rPr>
      </w:pPr>
      <w:r w:rsidRPr="00CD0C09">
        <w:rPr>
          <w:rFonts w:ascii="ITC Avant Garde" w:hAnsi="ITC Avant Garde"/>
          <w:i/>
          <w:lang w:val="es-MX"/>
        </w:rPr>
        <w:t>"... Al establecer la vida económica de los activos en una red F</w:t>
      </w:r>
      <w:r w:rsidR="00EB0D4A">
        <w:rPr>
          <w:rFonts w:ascii="ITC Avant Garde" w:hAnsi="ITC Avant Garde"/>
          <w:i/>
          <w:lang w:val="es-MX"/>
        </w:rPr>
        <w:t>TT</w:t>
      </w:r>
      <w:r w:rsidRPr="00CD0C09">
        <w:rPr>
          <w:rFonts w:ascii="ITC Avant Garde" w:hAnsi="ITC Avant Garde"/>
          <w:i/>
          <w:lang w:val="es-MX"/>
        </w:rPr>
        <w:t>C modelada, las ANR deben tener en cuenta los desarrollos tecnológicos y de red esperados de los diferentes componentes de la red"</w:t>
      </w:r>
      <w:r w:rsidR="00542089" w:rsidRPr="00CD0C09">
        <w:rPr>
          <w:rStyle w:val="Refdenotaalpie"/>
          <w:rFonts w:ascii="ITC Avant Garde" w:hAnsi="ITC Avant Garde"/>
          <w:i/>
          <w:lang w:eastAsia="x-none"/>
        </w:rPr>
        <w:footnoteReference w:id="35"/>
      </w:r>
    </w:p>
    <w:p w:rsidR="00A04AD9" w:rsidRPr="00CD0C09" w:rsidRDefault="00A04AD9" w:rsidP="00A04AD9">
      <w:pPr>
        <w:rPr>
          <w:rFonts w:ascii="ITC Avant Garde" w:hAnsi="ITC Avant Garde"/>
          <w:lang w:val="es-MX"/>
        </w:rPr>
      </w:pPr>
      <w:r w:rsidRPr="00CD0C09">
        <w:rPr>
          <w:rFonts w:ascii="ITC Avant Garde" w:hAnsi="ITC Avant Garde"/>
          <w:lang w:val="es-MX"/>
        </w:rPr>
        <w:t xml:space="preserve">En la práctica, sin embargo, los modelos </w:t>
      </w:r>
      <w:r w:rsidR="003A02C7" w:rsidRPr="00CD0C09">
        <w:rPr>
          <w:rFonts w:ascii="ITC Avant Garde" w:hAnsi="ITC Avant Garde"/>
          <w:lang w:val="es-MX"/>
        </w:rPr>
        <w:t xml:space="preserve">con enfoque </w:t>
      </w:r>
      <w:proofErr w:type="spellStart"/>
      <w:r w:rsidR="003A02C7" w:rsidRPr="00CD0C09">
        <w:rPr>
          <w:rFonts w:ascii="ITC Avant Garde" w:hAnsi="ITC Avant Garde"/>
          <w:lang w:val="es-MX"/>
        </w:rPr>
        <w:t>Bottom</w:t>
      </w:r>
      <w:proofErr w:type="spellEnd"/>
      <w:r w:rsidR="003A02C7" w:rsidRPr="00CD0C09">
        <w:rPr>
          <w:rFonts w:ascii="ITC Avant Garde" w:hAnsi="ITC Avant Garde"/>
          <w:lang w:val="es-MX"/>
        </w:rPr>
        <w:t xml:space="preserve">-Up </w:t>
      </w:r>
      <w:r w:rsidRPr="00CD0C09">
        <w:rPr>
          <w:rFonts w:ascii="ITC Avant Garde" w:hAnsi="ITC Avant Garde"/>
          <w:lang w:val="es-MX"/>
        </w:rPr>
        <w:t>a menudo usan la vida útil de los activos que se usa en las cuentas de los operadores como un proxy. Aunque este enfoque puede subestimar la vida útil del activo, debido a las prácticas contables conservadoras, tiene la ventaja de ser más objetivo y robusto. Además, la vida del activo utilizada en las cuentas debería, en principio, reflejar la vida económica de los activos.</w:t>
      </w:r>
    </w:p>
    <w:p w:rsidR="00A04AD9" w:rsidRPr="00CD0C09" w:rsidRDefault="00A04AD9" w:rsidP="00A04AD9">
      <w:pPr>
        <w:rPr>
          <w:rFonts w:ascii="ITC Avant Garde" w:hAnsi="ITC Avant Garde"/>
          <w:lang w:val="es-MX"/>
        </w:rPr>
      </w:pPr>
      <w:r w:rsidRPr="00CD0C09">
        <w:rPr>
          <w:rFonts w:ascii="ITC Avant Garde" w:hAnsi="ITC Avant Garde"/>
          <w:lang w:val="es-MX"/>
        </w:rPr>
        <w:t xml:space="preserve">La vida útil de los activos se </w:t>
      </w:r>
      <w:r w:rsidR="00F2544C" w:rsidRPr="00CD0C09">
        <w:rPr>
          <w:rFonts w:ascii="ITC Avant Garde" w:hAnsi="ITC Avant Garde"/>
          <w:lang w:val="es-MX"/>
        </w:rPr>
        <w:t>solicitó</w:t>
      </w:r>
      <w:r w:rsidR="00542089" w:rsidRPr="00CD0C09">
        <w:rPr>
          <w:rFonts w:ascii="ITC Avant Garde" w:hAnsi="ITC Avant Garde"/>
          <w:lang w:val="es-MX"/>
        </w:rPr>
        <w:t xml:space="preserve"> </w:t>
      </w:r>
      <w:r w:rsidRPr="00CD0C09">
        <w:rPr>
          <w:rFonts w:ascii="ITC Avant Garde" w:hAnsi="ITC Avant Garde"/>
          <w:lang w:val="es-MX"/>
        </w:rPr>
        <w:t xml:space="preserve">en </w:t>
      </w:r>
      <w:r w:rsidR="00542089" w:rsidRPr="00CD0C09">
        <w:rPr>
          <w:rFonts w:ascii="ITC Avant Garde" w:hAnsi="ITC Avant Garde"/>
          <w:lang w:val="es-MX"/>
        </w:rPr>
        <w:t>el requerimiento</w:t>
      </w:r>
      <w:r w:rsidRPr="00CD0C09">
        <w:rPr>
          <w:rFonts w:ascii="ITC Avant Garde" w:hAnsi="ITC Avant Garde"/>
          <w:lang w:val="es-MX"/>
        </w:rPr>
        <w:t xml:space="preserve"> de datos y se </w:t>
      </w:r>
      <w:r w:rsidR="00F2544C" w:rsidRPr="00CD0C09">
        <w:rPr>
          <w:rFonts w:ascii="ITC Avant Garde" w:hAnsi="ITC Avant Garde"/>
          <w:lang w:val="es-MX"/>
        </w:rPr>
        <w:t>utilizó</w:t>
      </w:r>
      <w:r w:rsidR="00542089" w:rsidRPr="00CD0C09">
        <w:rPr>
          <w:rFonts w:ascii="ITC Avant Garde" w:hAnsi="ITC Avant Garde"/>
          <w:lang w:val="es-MX"/>
        </w:rPr>
        <w:t xml:space="preserve"> </w:t>
      </w:r>
      <w:r w:rsidRPr="00CD0C09">
        <w:rPr>
          <w:rFonts w:ascii="ITC Avant Garde" w:hAnsi="ITC Avant Garde"/>
          <w:lang w:val="es-MX"/>
        </w:rPr>
        <w:t>en el modelo.</w:t>
      </w:r>
      <w:r w:rsidR="00542089" w:rsidRPr="00CD0C09">
        <w:rPr>
          <w:rFonts w:ascii="ITC Avant Garde" w:hAnsi="ITC Avant Garde"/>
          <w:lang w:val="es-MX"/>
        </w:rPr>
        <w:t xml:space="preserve"> </w:t>
      </w:r>
      <w:r w:rsidRPr="00CD0C09">
        <w:rPr>
          <w:rFonts w:ascii="ITC Avant Garde" w:hAnsi="ITC Avant Garde"/>
          <w:lang w:val="es-MX"/>
        </w:rPr>
        <w:t xml:space="preserve">En caso de que las estimaciones de vida útil de los activos proporcionadas por el </w:t>
      </w:r>
      <w:r w:rsidR="00542089" w:rsidRPr="00CD0C09">
        <w:rPr>
          <w:rFonts w:ascii="ITC Avant Garde" w:hAnsi="ITC Avant Garde"/>
          <w:lang w:val="es-MX"/>
        </w:rPr>
        <w:t>AE</w:t>
      </w:r>
      <w:r w:rsidRPr="00CD0C09">
        <w:rPr>
          <w:rFonts w:ascii="ITC Avant Garde" w:hAnsi="ITC Avant Garde"/>
          <w:lang w:val="es-MX"/>
        </w:rPr>
        <w:t>P u otras partes interesadas parezcan no ser realistas o inapropiadas, se toman</w:t>
      </w:r>
      <w:r w:rsidR="00542089" w:rsidRPr="00CD0C09">
        <w:rPr>
          <w:rFonts w:ascii="ITC Avant Garde" w:hAnsi="ITC Avant Garde"/>
          <w:lang w:val="es-MX"/>
        </w:rPr>
        <w:t xml:space="preserve"> </w:t>
      </w:r>
      <w:r w:rsidRPr="00CD0C09">
        <w:rPr>
          <w:rFonts w:ascii="ITC Avant Garde" w:hAnsi="ITC Avant Garde"/>
          <w:lang w:val="es-MX"/>
        </w:rPr>
        <w:t>en consideración las vidas útiles utilizadas en los modelos anteriores y los valores de referencia de los</w:t>
      </w:r>
      <w:r w:rsidR="00542089" w:rsidRPr="00CD0C09">
        <w:rPr>
          <w:rFonts w:ascii="ITC Avant Garde" w:hAnsi="ITC Avant Garde"/>
          <w:lang w:val="es-MX"/>
        </w:rPr>
        <w:t xml:space="preserve"> activos</w:t>
      </w:r>
      <w:r w:rsidRPr="00CD0C09">
        <w:rPr>
          <w:rFonts w:ascii="ITC Avant Garde" w:hAnsi="ITC Avant Garde"/>
          <w:lang w:val="es-MX"/>
        </w:rPr>
        <w:t xml:space="preserve"> utilizados en modelos de costos similares desarrollados por otras ANR. La información sobre los tiempos de vida de los activos se detalla en la</w:t>
      </w:r>
      <w:r w:rsidR="00542089" w:rsidRPr="00CD0C09">
        <w:rPr>
          <w:rFonts w:ascii="ITC Avant Garde" w:hAnsi="ITC Avant Garde"/>
          <w:lang w:val="es-MX"/>
        </w:rPr>
        <w:t xml:space="preserve"> siguiente sección</w:t>
      </w:r>
      <w:r w:rsidRPr="00CD0C09">
        <w:rPr>
          <w:rFonts w:ascii="ITC Avant Garde" w:hAnsi="ITC Avant Garde"/>
          <w:lang w:val="es-MX"/>
        </w:rPr>
        <w:t>.</w:t>
      </w:r>
    </w:p>
    <w:p w:rsidR="00A04AD9" w:rsidRPr="00CD0C09" w:rsidRDefault="00A04AD9" w:rsidP="00A04AD9">
      <w:pPr>
        <w:rPr>
          <w:rFonts w:ascii="ITC Avant Garde" w:hAnsi="ITC Avant Garde"/>
          <w:lang w:val="es-MX"/>
        </w:rPr>
      </w:pPr>
    </w:p>
    <w:p w:rsidR="00A04AD9" w:rsidRPr="00CD0C09" w:rsidRDefault="00A04AD9" w:rsidP="00542089">
      <w:pPr>
        <w:pStyle w:val="Encadr3"/>
        <w:rPr>
          <w:rFonts w:ascii="ITC Avant Garde" w:hAnsi="ITC Avant Garde"/>
          <w:lang w:val="es-MX"/>
        </w:rPr>
      </w:pPr>
      <w:r w:rsidRPr="00CD0C09">
        <w:rPr>
          <w:rFonts w:ascii="ITC Avant Garde" w:hAnsi="ITC Avant Garde"/>
          <w:lang w:val="es-MX"/>
        </w:rPr>
        <w:t xml:space="preserve">Criterio </w:t>
      </w:r>
      <w:r w:rsidR="00542089" w:rsidRPr="00CD0C09">
        <w:rPr>
          <w:rFonts w:ascii="ITC Avant Garde" w:hAnsi="ITC Avant Garde"/>
          <w:lang w:val="es-MX"/>
        </w:rPr>
        <w:t>24</w:t>
      </w:r>
      <w:r w:rsidRPr="00CD0C09">
        <w:rPr>
          <w:rFonts w:ascii="ITC Avant Garde" w:hAnsi="ITC Avant Garde"/>
          <w:lang w:val="es-MX"/>
        </w:rPr>
        <w:t xml:space="preserve">: </w:t>
      </w:r>
      <w:r w:rsidR="00093CDF">
        <w:rPr>
          <w:rFonts w:ascii="ITC Avant Garde" w:hAnsi="ITC Avant Garde"/>
          <w:lang w:val="es-MX"/>
        </w:rPr>
        <w:t>L</w:t>
      </w:r>
      <w:r w:rsidR="00542089" w:rsidRPr="00CD0C09">
        <w:rPr>
          <w:rFonts w:ascii="ITC Avant Garde" w:hAnsi="ITC Avant Garde"/>
          <w:lang w:val="es-MX"/>
        </w:rPr>
        <w:t xml:space="preserve">as </w:t>
      </w:r>
      <w:r w:rsidRPr="00CD0C09">
        <w:rPr>
          <w:rFonts w:ascii="ITC Avant Garde" w:hAnsi="ITC Avant Garde"/>
          <w:lang w:val="es-MX"/>
        </w:rPr>
        <w:t>vida</w:t>
      </w:r>
      <w:r w:rsidR="00542089" w:rsidRPr="00CD0C09">
        <w:rPr>
          <w:rFonts w:ascii="ITC Avant Garde" w:hAnsi="ITC Avant Garde"/>
          <w:lang w:val="es-MX"/>
        </w:rPr>
        <w:t xml:space="preserve">s </w:t>
      </w:r>
      <w:r w:rsidR="00F2544C" w:rsidRPr="00CD0C09">
        <w:rPr>
          <w:rFonts w:ascii="ITC Avant Garde" w:hAnsi="ITC Avant Garde"/>
          <w:lang w:val="es-MX"/>
        </w:rPr>
        <w:t>útiles</w:t>
      </w:r>
      <w:r w:rsidRPr="00CD0C09">
        <w:rPr>
          <w:rFonts w:ascii="ITC Avant Garde" w:hAnsi="ITC Avant Garde"/>
          <w:lang w:val="es-MX"/>
        </w:rPr>
        <w:t xml:space="preserve"> de los activos </w:t>
      </w:r>
      <w:r w:rsidR="00542089" w:rsidRPr="00CD0C09">
        <w:rPr>
          <w:rFonts w:ascii="ITC Avant Garde" w:hAnsi="ITC Avant Garde"/>
          <w:lang w:val="es-MX"/>
        </w:rPr>
        <w:t xml:space="preserve">se </w:t>
      </w:r>
      <w:r w:rsidR="00F2544C" w:rsidRPr="00CD0C09">
        <w:rPr>
          <w:rFonts w:ascii="ITC Avant Garde" w:hAnsi="ITC Avant Garde"/>
          <w:lang w:val="es-MX"/>
        </w:rPr>
        <w:t>evalúan</w:t>
      </w:r>
      <w:r w:rsidRPr="00CD0C09">
        <w:rPr>
          <w:rFonts w:ascii="ITC Avant Garde" w:hAnsi="ITC Avant Garde"/>
          <w:lang w:val="es-MX"/>
        </w:rPr>
        <w:t xml:space="preserve"> de acuerdo con los </w:t>
      </w:r>
      <w:r w:rsidR="00542089" w:rsidRPr="00CD0C09">
        <w:rPr>
          <w:rFonts w:ascii="ITC Avant Garde" w:hAnsi="ITC Avant Garde"/>
          <w:lang w:val="es-MX"/>
        </w:rPr>
        <w:t xml:space="preserve">insumos </w:t>
      </w:r>
      <w:r w:rsidRPr="00CD0C09">
        <w:rPr>
          <w:rFonts w:ascii="ITC Avant Garde" w:hAnsi="ITC Avant Garde"/>
          <w:lang w:val="es-MX"/>
        </w:rPr>
        <w:t>proporcionados por las partes interesadas después de</w:t>
      </w:r>
      <w:r w:rsidR="00542089" w:rsidRPr="00CD0C09">
        <w:rPr>
          <w:rFonts w:ascii="ITC Avant Garde" w:hAnsi="ITC Avant Garde"/>
          <w:lang w:val="es-MX"/>
        </w:rPr>
        <w:t>l requerimiento</w:t>
      </w:r>
      <w:r w:rsidRPr="00CD0C09">
        <w:rPr>
          <w:rFonts w:ascii="ITC Avant Garde" w:hAnsi="ITC Avant Garde"/>
          <w:lang w:val="es-MX"/>
        </w:rPr>
        <w:t xml:space="preserve"> de datos </w:t>
      </w:r>
      <w:r w:rsidR="00EE7A88">
        <w:rPr>
          <w:rFonts w:ascii="ITC Avant Garde" w:hAnsi="ITC Avant Garde"/>
          <w:lang w:val="es-MX"/>
        </w:rPr>
        <w:t>o</w:t>
      </w:r>
      <w:r w:rsidRPr="00CD0C09">
        <w:rPr>
          <w:rFonts w:ascii="ITC Avant Garde" w:hAnsi="ITC Avant Garde"/>
          <w:lang w:val="es-MX"/>
        </w:rPr>
        <w:t xml:space="preserve"> con los datos del modelo anterior, los datos contables del </w:t>
      </w:r>
      <w:r w:rsidR="00542089" w:rsidRPr="00CD0C09">
        <w:rPr>
          <w:rFonts w:ascii="ITC Avant Garde" w:hAnsi="ITC Avant Garde"/>
          <w:lang w:val="es-MX"/>
        </w:rPr>
        <w:t>AE</w:t>
      </w:r>
      <w:r w:rsidRPr="00CD0C09">
        <w:rPr>
          <w:rFonts w:ascii="ITC Avant Garde" w:hAnsi="ITC Avant Garde"/>
          <w:lang w:val="es-MX"/>
        </w:rPr>
        <w:t>P u otros puntos de referencia relevantes.</w:t>
      </w:r>
    </w:p>
    <w:p w:rsidR="00A04AD9" w:rsidRPr="00CD0C09" w:rsidRDefault="00A04AD9" w:rsidP="00A04AD9">
      <w:pPr>
        <w:rPr>
          <w:rFonts w:ascii="ITC Avant Garde" w:hAnsi="ITC Avant Garde"/>
          <w:lang w:val="es-MX"/>
        </w:rPr>
      </w:pPr>
    </w:p>
    <w:p w:rsidR="00A04AD9" w:rsidRPr="00CD0C09" w:rsidRDefault="00A04AD9" w:rsidP="00A04AD9">
      <w:pPr>
        <w:rPr>
          <w:rFonts w:ascii="ITC Avant Garde" w:hAnsi="ITC Avant Garde"/>
          <w:lang w:val="es-MX"/>
        </w:rPr>
      </w:pPr>
      <w:r w:rsidRPr="00CD0C09">
        <w:rPr>
          <w:rFonts w:ascii="ITC Avant Garde" w:hAnsi="ITC Avant Garde"/>
          <w:lang w:val="es-MX"/>
        </w:rPr>
        <w:t xml:space="preserve">Las tendencias de los precios se evaluarán a largo plazo según los datos históricos pertinentes, los datos de los modelos anteriores y los datos de los fundamentos económicos, como la inflación objetivo y los datos históricos de los costos laborales. En la práctica, las tendencias de los precios a largo plazo para diferentes activos y categorías </w:t>
      </w:r>
      <w:r w:rsidR="00093CDF">
        <w:rPr>
          <w:rFonts w:ascii="ITC Avant Garde" w:hAnsi="ITC Avant Garde"/>
          <w:lang w:val="es-MX"/>
        </w:rPr>
        <w:t>OPEX</w:t>
      </w:r>
      <w:r w:rsidRPr="00CD0C09">
        <w:rPr>
          <w:rFonts w:ascii="ITC Avant Garde" w:hAnsi="ITC Avant Garde"/>
          <w:lang w:val="es-MX"/>
        </w:rPr>
        <w:t xml:space="preserve"> se evaluarán de acuerdo con los datos proporcionados por las partes interesadas después de la solicitud de los datos y, cuando sea necesario, derivados de </w:t>
      </w:r>
      <w:r w:rsidR="009136FB" w:rsidRPr="00CD0C09">
        <w:rPr>
          <w:rFonts w:ascii="ITC Avant Garde" w:hAnsi="ITC Avant Garde"/>
          <w:lang w:val="es-MX"/>
        </w:rPr>
        <w:t xml:space="preserve">dichos </w:t>
      </w:r>
      <w:r w:rsidRPr="00CD0C09">
        <w:rPr>
          <w:rFonts w:ascii="ITC Avant Garde" w:hAnsi="ITC Avant Garde"/>
          <w:lang w:val="es-MX"/>
        </w:rPr>
        <w:t>modelos.</w:t>
      </w:r>
    </w:p>
    <w:p w:rsidR="00A04AD9" w:rsidRPr="00CD0C09" w:rsidRDefault="00A04AD9" w:rsidP="00A04AD9">
      <w:pPr>
        <w:rPr>
          <w:rFonts w:ascii="ITC Avant Garde" w:hAnsi="ITC Avant Garde"/>
          <w:lang w:val="es-MX"/>
        </w:rPr>
      </w:pPr>
      <w:r w:rsidRPr="00CD0C09">
        <w:rPr>
          <w:rFonts w:ascii="ITC Avant Garde" w:hAnsi="ITC Avant Garde"/>
          <w:lang w:val="es-MX"/>
        </w:rPr>
        <w:t>Cuando esos insumos se consideren inapropiados, se derivarán de:</w:t>
      </w:r>
    </w:p>
    <w:p w:rsidR="00A04AD9" w:rsidRPr="00CD0C09" w:rsidRDefault="00A04AD9" w:rsidP="00542089">
      <w:pPr>
        <w:pStyle w:val="Listaconvietas2"/>
        <w:rPr>
          <w:rFonts w:ascii="ITC Avant Garde" w:hAnsi="ITC Avant Garde"/>
          <w:lang w:val="es-MX"/>
        </w:rPr>
      </w:pPr>
      <w:r w:rsidRPr="00CD0C09">
        <w:rPr>
          <w:rFonts w:ascii="ITC Avant Garde" w:hAnsi="ITC Avant Garde"/>
          <w:lang w:val="es-MX"/>
        </w:rPr>
        <w:t xml:space="preserve">Escalada de costos: identificación del índice o conjunto de índices relevantes con los que se supone que evolucionará el costo de la categoría de activos. Las </w:t>
      </w:r>
      <w:r w:rsidRPr="00CD0C09">
        <w:rPr>
          <w:rFonts w:ascii="ITC Avant Garde" w:hAnsi="ITC Avant Garde"/>
          <w:lang w:val="es-MX"/>
        </w:rPr>
        <w:lastRenderedPageBreak/>
        <w:t>alternativas relevantes son el índice de precios al consumidor, el índice de costos laborales, el índice de productos básicos;</w:t>
      </w:r>
    </w:p>
    <w:p w:rsidR="00A04AD9" w:rsidRPr="00CD0C09" w:rsidRDefault="00A04AD9" w:rsidP="00542089">
      <w:pPr>
        <w:pStyle w:val="Listaconvietas2"/>
        <w:rPr>
          <w:rFonts w:ascii="ITC Avant Garde" w:hAnsi="ITC Avant Garde"/>
          <w:lang w:val="es-MX"/>
        </w:rPr>
      </w:pPr>
      <w:r w:rsidRPr="00CD0C09">
        <w:rPr>
          <w:rFonts w:ascii="ITC Avant Garde" w:hAnsi="ITC Avant Garde"/>
          <w:lang w:val="es-MX"/>
        </w:rPr>
        <w:t xml:space="preserve">Punto de referencia internacional: supuestos de tendencias de precios en modelos </w:t>
      </w:r>
      <w:r w:rsidR="00AC4C26" w:rsidRPr="00CD0C09">
        <w:rPr>
          <w:rFonts w:ascii="ITC Avant Garde" w:hAnsi="ITC Avant Garde"/>
          <w:lang w:val="es-MX"/>
        </w:rPr>
        <w:t xml:space="preserve">de CIPLP </w:t>
      </w:r>
      <w:r w:rsidRPr="00CD0C09">
        <w:rPr>
          <w:rFonts w:ascii="ITC Avant Garde" w:hAnsi="ITC Avant Garde"/>
          <w:lang w:val="es-MX"/>
        </w:rPr>
        <w:t>disponibles públicamente,</w:t>
      </w:r>
    </w:p>
    <w:p w:rsidR="00A04AD9" w:rsidRPr="00CD0C09" w:rsidRDefault="00542089" w:rsidP="00542089">
      <w:pPr>
        <w:pStyle w:val="Listaconvietas2"/>
        <w:rPr>
          <w:rFonts w:ascii="ITC Avant Garde" w:hAnsi="ITC Avant Garde"/>
          <w:lang w:val="es-MX"/>
        </w:rPr>
      </w:pPr>
      <w:r w:rsidRPr="00CD0C09">
        <w:rPr>
          <w:rFonts w:ascii="ITC Avant Garde" w:hAnsi="ITC Avant Garde"/>
          <w:lang w:val="es-MX"/>
        </w:rPr>
        <w:t>Insumos</w:t>
      </w:r>
      <w:r w:rsidR="00A04AD9" w:rsidRPr="00CD0C09">
        <w:rPr>
          <w:rFonts w:ascii="ITC Avant Garde" w:hAnsi="ITC Avant Garde"/>
          <w:lang w:val="es-MX"/>
        </w:rPr>
        <w:t xml:space="preserve"> de los operadores (el </w:t>
      </w:r>
      <w:r w:rsidRPr="00CD0C09">
        <w:rPr>
          <w:rFonts w:ascii="ITC Avant Garde" w:hAnsi="ITC Avant Garde"/>
          <w:lang w:val="es-MX"/>
        </w:rPr>
        <w:t>AE</w:t>
      </w:r>
      <w:r w:rsidR="004B276B" w:rsidRPr="00CD0C09">
        <w:rPr>
          <w:rFonts w:ascii="ITC Avant Garde" w:hAnsi="ITC Avant Garde"/>
          <w:lang w:val="es-MX"/>
        </w:rPr>
        <w:t>P,</w:t>
      </w:r>
      <w:r w:rsidR="00A04AD9" w:rsidRPr="00CD0C09">
        <w:rPr>
          <w:rFonts w:ascii="ITC Avant Garde" w:hAnsi="ITC Avant Garde"/>
          <w:lang w:val="es-MX"/>
        </w:rPr>
        <w:t xml:space="preserve"> así como los operadores alternativos).</w:t>
      </w:r>
    </w:p>
    <w:p w:rsidR="00A04AD9" w:rsidRPr="00CD0C09" w:rsidRDefault="00A04AD9" w:rsidP="00542089">
      <w:pPr>
        <w:pStyle w:val="Encadr3"/>
        <w:rPr>
          <w:rFonts w:ascii="ITC Avant Garde" w:hAnsi="ITC Avant Garde"/>
          <w:lang w:val="es-MX"/>
        </w:rPr>
      </w:pPr>
      <w:r w:rsidRPr="00CD0C09">
        <w:rPr>
          <w:rFonts w:ascii="ITC Avant Garde" w:hAnsi="ITC Avant Garde"/>
          <w:lang w:val="es-MX"/>
        </w:rPr>
        <w:t xml:space="preserve">Criterio </w:t>
      </w:r>
      <w:r w:rsidR="00542089" w:rsidRPr="00CD0C09">
        <w:rPr>
          <w:rFonts w:ascii="ITC Avant Garde" w:hAnsi="ITC Avant Garde"/>
          <w:lang w:val="es-MX"/>
        </w:rPr>
        <w:t>25</w:t>
      </w:r>
      <w:r w:rsidRPr="00CD0C09">
        <w:rPr>
          <w:rFonts w:ascii="ITC Avant Garde" w:hAnsi="ITC Avant Garde"/>
          <w:lang w:val="es-MX"/>
        </w:rPr>
        <w:t xml:space="preserve">: </w:t>
      </w:r>
      <w:r w:rsidR="00093CDF">
        <w:rPr>
          <w:rFonts w:ascii="ITC Avant Garde" w:hAnsi="ITC Avant Garde"/>
          <w:lang w:val="es-MX"/>
        </w:rPr>
        <w:t>L</w:t>
      </w:r>
      <w:r w:rsidRPr="00CD0C09">
        <w:rPr>
          <w:rFonts w:ascii="ITC Avant Garde" w:hAnsi="ITC Avant Garde"/>
          <w:lang w:val="es-MX"/>
        </w:rPr>
        <w:t xml:space="preserve">as tendencias de precios a largo plazo se evaluarán para todos los activos y costos operativos, según los datos proporcionados por las partes interesadas después de la solicitud de datos y de los modelos anteriores, o de acuerdo con datos históricos y pronósticos para la categoría de activos y los índices macroeconómicos </w:t>
      </w:r>
      <w:r w:rsidR="004B276B" w:rsidRPr="00CD0C09">
        <w:rPr>
          <w:rFonts w:ascii="ITC Avant Garde" w:hAnsi="ITC Avant Garde"/>
          <w:lang w:val="es-MX"/>
        </w:rPr>
        <w:t>(índice</w:t>
      </w:r>
      <w:r w:rsidRPr="00CD0C09">
        <w:rPr>
          <w:rFonts w:ascii="ITC Avant Garde" w:hAnsi="ITC Avant Garde"/>
          <w:lang w:val="es-MX"/>
        </w:rPr>
        <w:t xml:space="preserve"> de costo laboral, índice de precios al consumidor, etc.).</w:t>
      </w:r>
    </w:p>
    <w:p w:rsidR="00A04AD9" w:rsidRPr="00CD0C09" w:rsidRDefault="00A04AD9" w:rsidP="00A04AD9">
      <w:pPr>
        <w:rPr>
          <w:rFonts w:ascii="ITC Avant Garde" w:hAnsi="ITC Avant Garde"/>
          <w:lang w:val="es-MX"/>
        </w:rPr>
      </w:pPr>
    </w:p>
    <w:p w:rsidR="00A04AD9" w:rsidRPr="00CD0C09" w:rsidRDefault="00724174" w:rsidP="00724174">
      <w:pPr>
        <w:pStyle w:val="Ttulo4"/>
        <w:rPr>
          <w:rFonts w:ascii="ITC Avant Garde" w:hAnsi="ITC Avant Garde"/>
          <w:lang w:val="es-MX"/>
        </w:rPr>
      </w:pPr>
      <w:bookmarkStart w:id="145" w:name="_Toc525665284"/>
      <w:bookmarkStart w:id="146" w:name="_Toc525665663"/>
      <w:bookmarkStart w:id="147" w:name="_Toc526854364"/>
      <w:r w:rsidRPr="00CD0C09">
        <w:rPr>
          <w:rFonts w:ascii="ITC Avant Garde" w:hAnsi="ITC Avant Garde"/>
          <w:lang w:val="es-MX"/>
        </w:rPr>
        <w:t>Metodología de depreciación de las inversiones</w:t>
      </w:r>
      <w:bookmarkEnd w:id="145"/>
      <w:bookmarkEnd w:id="146"/>
      <w:bookmarkEnd w:id="147"/>
    </w:p>
    <w:p w:rsidR="00724174" w:rsidRPr="00CD0C09" w:rsidRDefault="00724174" w:rsidP="00724174">
      <w:pPr>
        <w:rPr>
          <w:rFonts w:ascii="ITC Avant Garde" w:hAnsi="ITC Avant Garde"/>
          <w:lang w:val="es-MX"/>
        </w:rPr>
      </w:pPr>
      <w:r w:rsidRPr="00CD0C09">
        <w:rPr>
          <w:rFonts w:ascii="ITC Avant Garde" w:hAnsi="ITC Avant Garde"/>
          <w:lang w:val="es-MX"/>
        </w:rPr>
        <w:t xml:space="preserve">Un elemento importante de un modelo </w:t>
      </w:r>
      <w:r w:rsidR="00AC4C26" w:rsidRPr="00CD0C09">
        <w:rPr>
          <w:rFonts w:ascii="ITC Avant Garde" w:hAnsi="ITC Avant Garde"/>
          <w:lang w:val="es-MX"/>
        </w:rPr>
        <w:t xml:space="preserve">de CIPLP </w:t>
      </w:r>
      <w:r w:rsidRPr="00CD0C09">
        <w:rPr>
          <w:rFonts w:ascii="ITC Avant Garde" w:hAnsi="ITC Avant Garde"/>
          <w:lang w:val="es-MX"/>
        </w:rPr>
        <w:t>es la estimación del costo anual generado por los activos</w:t>
      </w:r>
      <w:r w:rsidR="00542089" w:rsidRPr="00CD0C09">
        <w:rPr>
          <w:rFonts w:ascii="ITC Avant Garde" w:hAnsi="ITC Avant Garde"/>
          <w:lang w:val="es-MX"/>
        </w:rPr>
        <w:t xml:space="preserve"> (</w:t>
      </w:r>
      <w:r w:rsidRPr="00CD0C09">
        <w:rPr>
          <w:rFonts w:ascii="ITC Avant Garde" w:hAnsi="ITC Avant Garde"/>
          <w:lang w:val="es-MX"/>
        </w:rPr>
        <w:t>la anualidad</w:t>
      </w:r>
      <w:r w:rsidR="00542089" w:rsidRPr="00CD0C09">
        <w:rPr>
          <w:rFonts w:ascii="ITC Avant Garde" w:hAnsi="ITC Avant Garde"/>
          <w:lang w:val="es-MX"/>
        </w:rPr>
        <w:t>)</w:t>
      </w:r>
      <w:r w:rsidRPr="00CD0C09">
        <w:rPr>
          <w:rFonts w:ascii="ITC Avant Garde" w:hAnsi="ITC Avant Garde"/>
          <w:lang w:val="es-MX"/>
        </w:rPr>
        <w:t>. Las anualidades miden tanto el cargo de depreciación como el c</w:t>
      </w:r>
      <w:r w:rsidR="00542089" w:rsidRPr="00CD0C09">
        <w:rPr>
          <w:rFonts w:ascii="ITC Avant Garde" w:hAnsi="ITC Avant Garde"/>
          <w:lang w:val="es-MX"/>
        </w:rPr>
        <w:t>osto</w:t>
      </w:r>
      <w:r w:rsidRPr="00CD0C09">
        <w:rPr>
          <w:rFonts w:ascii="ITC Avant Garde" w:hAnsi="ITC Avant Garde"/>
          <w:lang w:val="es-MX"/>
        </w:rPr>
        <w:t xml:space="preserve"> de capital asociado </w:t>
      </w:r>
      <w:r w:rsidR="00542089" w:rsidRPr="00CD0C09">
        <w:rPr>
          <w:rFonts w:ascii="ITC Avant Garde" w:hAnsi="ITC Avant Garde"/>
          <w:lang w:val="es-MX"/>
        </w:rPr>
        <w:t xml:space="preserve">a la inversión en </w:t>
      </w:r>
      <w:r w:rsidRPr="00CD0C09">
        <w:rPr>
          <w:rFonts w:ascii="ITC Avant Garde" w:hAnsi="ITC Avant Garde"/>
          <w:lang w:val="es-MX"/>
        </w:rPr>
        <w:t>el activo.</w:t>
      </w:r>
    </w:p>
    <w:p w:rsidR="00724174" w:rsidRPr="00CD0C09" w:rsidRDefault="00724174" w:rsidP="00724174">
      <w:pPr>
        <w:rPr>
          <w:rFonts w:ascii="ITC Avant Garde" w:hAnsi="ITC Avant Garde"/>
          <w:lang w:val="es-MX"/>
        </w:rPr>
      </w:pPr>
      <w:r w:rsidRPr="00CD0C09">
        <w:rPr>
          <w:rFonts w:ascii="ITC Avant Garde" w:hAnsi="ITC Avant Garde"/>
          <w:lang w:val="es-MX"/>
        </w:rPr>
        <w:t>Una anualidad es el pago anual que, cuando se descuenta a un costo de capital apropiado a lo largo de la vida del activo, proporciona el costo de reposición de un activo. El método de anualidad puede ser estándar o inclinado. Un enfoque alternativo a estos dos métodos es la anualidad ajustada, que mide el cargo de depreciación como el cambio anual en el valor presente neto (VAN) de un activo, ajustado por factores tales como cambios en el perfil de producción y precios, costos generales y el costo de capital.</w:t>
      </w:r>
    </w:p>
    <w:p w:rsidR="00724174" w:rsidRPr="00CD0C09" w:rsidRDefault="00724174" w:rsidP="00724174">
      <w:pPr>
        <w:rPr>
          <w:rFonts w:ascii="ITC Avant Garde" w:hAnsi="ITC Avant Garde"/>
          <w:lang w:val="es-MX"/>
        </w:rPr>
      </w:pPr>
      <w:r w:rsidRPr="00CD0C09">
        <w:rPr>
          <w:rFonts w:ascii="ITC Avant Garde" w:hAnsi="ITC Avant Garde"/>
          <w:lang w:val="es-MX"/>
        </w:rPr>
        <w:t>Generalmente se usan cinco fórmulas de anualidades:</w:t>
      </w:r>
    </w:p>
    <w:p w:rsidR="00724174" w:rsidRPr="00CD0C09" w:rsidRDefault="00724174" w:rsidP="00556A48">
      <w:pPr>
        <w:pStyle w:val="Prrafodelista"/>
        <w:numPr>
          <w:ilvl w:val="0"/>
          <w:numId w:val="25"/>
        </w:numPr>
        <w:rPr>
          <w:rFonts w:ascii="ITC Avant Garde" w:hAnsi="ITC Avant Garde"/>
          <w:lang w:val="es-MX"/>
        </w:rPr>
      </w:pPr>
      <w:r w:rsidRPr="00CD0C09">
        <w:rPr>
          <w:rFonts w:ascii="ITC Avant Garde" w:hAnsi="ITC Avant Garde"/>
          <w:lang w:val="es-MX"/>
        </w:rPr>
        <w:t>Contabilidad de costos históricos (HCA);</w:t>
      </w:r>
    </w:p>
    <w:p w:rsidR="00724174" w:rsidRPr="00CD0C09" w:rsidRDefault="00724174" w:rsidP="00556A48">
      <w:pPr>
        <w:pStyle w:val="Prrafodelista"/>
        <w:numPr>
          <w:ilvl w:val="0"/>
          <w:numId w:val="25"/>
        </w:numPr>
        <w:rPr>
          <w:rFonts w:ascii="ITC Avant Garde" w:hAnsi="ITC Avant Garde"/>
          <w:lang w:val="es-MX"/>
        </w:rPr>
      </w:pPr>
      <w:r w:rsidRPr="00CD0C09">
        <w:rPr>
          <w:rFonts w:ascii="ITC Avant Garde" w:hAnsi="ITC Avant Garde"/>
          <w:lang w:val="es-MX"/>
        </w:rPr>
        <w:t>Contabilidad de Costos Actual (CCA);</w:t>
      </w:r>
    </w:p>
    <w:p w:rsidR="00724174" w:rsidRPr="00CD0C09" w:rsidRDefault="00724174" w:rsidP="00556A48">
      <w:pPr>
        <w:pStyle w:val="Prrafodelista"/>
        <w:numPr>
          <w:ilvl w:val="0"/>
          <w:numId w:val="25"/>
        </w:numPr>
        <w:rPr>
          <w:rFonts w:ascii="ITC Avant Garde" w:hAnsi="ITC Avant Garde"/>
          <w:lang w:val="es-MX"/>
        </w:rPr>
      </w:pPr>
      <w:r w:rsidRPr="00CD0C09">
        <w:rPr>
          <w:rFonts w:ascii="ITC Avant Garde" w:hAnsi="ITC Avant Garde"/>
          <w:lang w:val="es-MX"/>
        </w:rPr>
        <w:t>anualidad estándar;</w:t>
      </w:r>
    </w:p>
    <w:p w:rsidR="00724174" w:rsidRPr="00CD0C09" w:rsidRDefault="00724174" w:rsidP="00556A48">
      <w:pPr>
        <w:pStyle w:val="Prrafodelista"/>
        <w:numPr>
          <w:ilvl w:val="0"/>
          <w:numId w:val="25"/>
        </w:numPr>
        <w:rPr>
          <w:rFonts w:ascii="ITC Avant Garde" w:hAnsi="ITC Avant Garde"/>
          <w:lang w:val="es-MX"/>
        </w:rPr>
      </w:pPr>
      <w:r w:rsidRPr="00CD0C09">
        <w:rPr>
          <w:rFonts w:ascii="ITC Avant Garde" w:hAnsi="ITC Avant Garde"/>
          <w:lang w:val="es-MX"/>
        </w:rPr>
        <w:t>anualidad inclinada; y</w:t>
      </w:r>
    </w:p>
    <w:p w:rsidR="00724174" w:rsidRPr="00CD0C09" w:rsidRDefault="00724174" w:rsidP="00556A48">
      <w:pPr>
        <w:pStyle w:val="Prrafodelista"/>
        <w:numPr>
          <w:ilvl w:val="0"/>
          <w:numId w:val="25"/>
        </w:numPr>
        <w:rPr>
          <w:rFonts w:ascii="ITC Avant Garde" w:hAnsi="ITC Avant Garde"/>
          <w:lang w:val="es-MX"/>
        </w:rPr>
      </w:pPr>
      <w:r w:rsidRPr="00CD0C09">
        <w:rPr>
          <w:rFonts w:ascii="ITC Avant Garde" w:hAnsi="ITC Avant Garde"/>
          <w:lang w:val="es-MX"/>
        </w:rPr>
        <w:t>anualidad inclinada ajustada</w:t>
      </w:r>
    </w:p>
    <w:p w:rsidR="00542089" w:rsidRPr="00CD0C09" w:rsidRDefault="00542089" w:rsidP="00724174">
      <w:pPr>
        <w:rPr>
          <w:rFonts w:ascii="ITC Avant Garde" w:hAnsi="ITC Avant Garde"/>
          <w:lang w:val="es-MX"/>
        </w:rPr>
      </w:pPr>
    </w:p>
    <w:p w:rsidR="00AC2FC4" w:rsidRPr="00CD0C09" w:rsidRDefault="00724174" w:rsidP="00724174">
      <w:pPr>
        <w:rPr>
          <w:rFonts w:ascii="ITC Avant Garde" w:hAnsi="ITC Avant Garde"/>
          <w:lang w:val="es-MX"/>
        </w:rPr>
      </w:pPr>
      <w:r w:rsidRPr="00CD0C09">
        <w:rPr>
          <w:rFonts w:ascii="ITC Avant Garde" w:hAnsi="ITC Avant Garde"/>
          <w:lang w:val="es-MX"/>
        </w:rPr>
        <w:t xml:space="preserve">Los métodos de depreciación se describen con más detalle en el </w:t>
      </w:r>
      <w:r w:rsidR="00901A79">
        <w:rPr>
          <w:rFonts w:ascii="ITC Avant Garde" w:hAnsi="ITC Avant Garde"/>
          <w:lang w:val="es-MX"/>
        </w:rPr>
        <w:t>anexo</w:t>
      </w:r>
      <w:r w:rsidR="00542089" w:rsidRPr="00872052">
        <w:rPr>
          <w:rFonts w:ascii="ITC Avant Garde" w:hAnsi="ITC Avant Garde"/>
          <w:lang w:val="es-MX"/>
        </w:rPr>
        <w:t>.</w:t>
      </w:r>
      <w:r w:rsidR="00AC2FC4" w:rsidRPr="00CD0C09">
        <w:rPr>
          <w:rFonts w:ascii="ITC Avant Garde" w:hAnsi="ITC Avant Garde"/>
          <w:lang w:val="es-MX"/>
        </w:rPr>
        <w:t xml:space="preserve"> Una descripción </w:t>
      </w:r>
      <w:r w:rsidR="00F2544C" w:rsidRPr="00CD0C09">
        <w:rPr>
          <w:rFonts w:ascii="ITC Avant Garde" w:hAnsi="ITC Avant Garde"/>
          <w:lang w:val="es-MX"/>
        </w:rPr>
        <w:t>sintética</w:t>
      </w:r>
      <w:r w:rsidR="00AC2FC4" w:rsidRPr="00CD0C09">
        <w:rPr>
          <w:rFonts w:ascii="ITC Avant Garde" w:hAnsi="ITC Avant Garde"/>
          <w:lang w:val="es-MX"/>
        </w:rPr>
        <w:t xml:space="preserve"> esta proporcionada a continuación.</w:t>
      </w:r>
    </w:p>
    <w:p w:rsidR="00724174" w:rsidRPr="00CD0C09" w:rsidRDefault="00724174" w:rsidP="00556A48">
      <w:pPr>
        <w:pStyle w:val="Prrafodelista"/>
        <w:numPr>
          <w:ilvl w:val="0"/>
          <w:numId w:val="26"/>
        </w:numPr>
        <w:rPr>
          <w:rFonts w:ascii="ITC Avant Garde" w:hAnsi="ITC Avant Garde"/>
          <w:u w:val="single"/>
          <w:lang w:val="es-MX"/>
        </w:rPr>
      </w:pPr>
      <w:r w:rsidRPr="00CD0C09">
        <w:rPr>
          <w:rFonts w:ascii="ITC Avant Garde" w:hAnsi="ITC Avant Garde"/>
          <w:u w:val="single"/>
          <w:lang w:val="es-MX"/>
        </w:rPr>
        <w:t>Contabilidad de costos históricos (HCA)</w:t>
      </w:r>
    </w:p>
    <w:p w:rsidR="00724174" w:rsidRPr="00CD0C09" w:rsidRDefault="00724174" w:rsidP="00724174">
      <w:pPr>
        <w:rPr>
          <w:rFonts w:ascii="ITC Avant Garde" w:hAnsi="ITC Avant Garde"/>
          <w:lang w:val="es-MX"/>
        </w:rPr>
      </w:pPr>
      <w:r w:rsidRPr="00CD0C09">
        <w:rPr>
          <w:rFonts w:ascii="ITC Avant Garde" w:hAnsi="ITC Avant Garde"/>
          <w:lang w:val="es-MX"/>
        </w:rPr>
        <w:t xml:space="preserve">Este es el método más usado en contabilidad. Los cargos </w:t>
      </w:r>
      <w:r w:rsidR="00AC2FC4" w:rsidRPr="00CD0C09">
        <w:rPr>
          <w:rFonts w:ascii="ITC Avant Garde" w:hAnsi="ITC Avant Garde"/>
          <w:lang w:val="es-MX"/>
        </w:rPr>
        <w:t>de</w:t>
      </w:r>
      <w:r w:rsidRPr="00CD0C09">
        <w:rPr>
          <w:rFonts w:ascii="ITC Avant Garde" w:hAnsi="ITC Avant Garde"/>
          <w:lang w:val="es-MX"/>
        </w:rPr>
        <w:t xml:space="preserve"> depreciación se obtienen simplemente dividiendo la inversión por la vida del activo.</w:t>
      </w:r>
    </w:p>
    <w:p w:rsidR="00AC2FC4" w:rsidRPr="00CD0C09" w:rsidRDefault="00724174" w:rsidP="00724174">
      <w:pPr>
        <w:rPr>
          <w:rFonts w:ascii="ITC Avant Garde" w:hAnsi="ITC Avant Garde"/>
          <w:lang w:val="es-MX"/>
        </w:rPr>
      </w:pPr>
      <w:r w:rsidRPr="00CD0C09">
        <w:rPr>
          <w:rFonts w:ascii="ITC Avant Garde" w:hAnsi="ITC Avant Garde"/>
          <w:lang w:val="es-MX"/>
        </w:rPr>
        <w:t xml:space="preserve">El problema con este enfoque es que, cuando se incluye el rendimiento del capital empleado para derivar anualidades, estas </w:t>
      </w:r>
      <w:r w:rsidR="00AC2FC4" w:rsidRPr="00CD0C09">
        <w:rPr>
          <w:rFonts w:ascii="ITC Avant Garde" w:hAnsi="ITC Avant Garde"/>
          <w:lang w:val="es-MX"/>
        </w:rPr>
        <w:t>anualidades</w:t>
      </w:r>
      <w:r w:rsidRPr="00CD0C09">
        <w:rPr>
          <w:rFonts w:ascii="ITC Avant Garde" w:hAnsi="ITC Avant Garde"/>
          <w:lang w:val="es-MX"/>
        </w:rPr>
        <w:t xml:space="preserve"> no evolucionan de manera </w:t>
      </w:r>
      <w:r w:rsidRPr="00CD0C09">
        <w:rPr>
          <w:rFonts w:ascii="ITC Avant Garde" w:hAnsi="ITC Avant Garde"/>
          <w:lang w:val="es-MX"/>
        </w:rPr>
        <w:lastRenderedPageBreak/>
        <w:t xml:space="preserve">fluida: la </w:t>
      </w:r>
      <w:r w:rsidR="00AC2FC4" w:rsidRPr="00CD0C09">
        <w:rPr>
          <w:rFonts w:ascii="ITC Avant Garde" w:hAnsi="ITC Avant Garde"/>
          <w:lang w:val="es-MX"/>
        </w:rPr>
        <w:t>anualidad</w:t>
      </w:r>
      <w:r w:rsidRPr="00CD0C09">
        <w:rPr>
          <w:rFonts w:ascii="ITC Avant Garde" w:hAnsi="ITC Avant Garde"/>
          <w:lang w:val="es-MX"/>
        </w:rPr>
        <w:t xml:space="preserve"> es muy sensible a los ciclos de inversión (véanse las figuras en el </w:t>
      </w:r>
      <w:r w:rsidR="00901A79">
        <w:rPr>
          <w:rFonts w:ascii="ITC Avant Garde" w:hAnsi="ITC Avant Garde"/>
          <w:lang w:val="es-MX"/>
        </w:rPr>
        <w:t>anexo</w:t>
      </w:r>
      <w:r w:rsidRPr="00CD0C09">
        <w:rPr>
          <w:rFonts w:ascii="ITC Avant Garde" w:hAnsi="ITC Avant Garde"/>
          <w:lang w:val="es-MX"/>
        </w:rPr>
        <w:t>).</w:t>
      </w:r>
    </w:p>
    <w:p w:rsidR="00724174" w:rsidRPr="00CD0C09" w:rsidRDefault="00724174" w:rsidP="00556A48">
      <w:pPr>
        <w:pStyle w:val="Prrafodelista"/>
        <w:numPr>
          <w:ilvl w:val="0"/>
          <w:numId w:val="26"/>
        </w:numPr>
        <w:rPr>
          <w:rFonts w:ascii="ITC Avant Garde" w:hAnsi="ITC Avant Garde"/>
          <w:u w:val="single"/>
          <w:lang w:val="es-MX"/>
        </w:rPr>
      </w:pPr>
      <w:r w:rsidRPr="00CD0C09">
        <w:rPr>
          <w:rFonts w:ascii="ITC Avant Garde" w:hAnsi="ITC Avant Garde"/>
          <w:u w:val="single"/>
          <w:lang w:val="es-MX"/>
        </w:rPr>
        <w:t>Contabilidad de Costos Actual (CCA)</w:t>
      </w:r>
    </w:p>
    <w:p w:rsidR="00724174" w:rsidRPr="00CD0C09" w:rsidRDefault="00724174" w:rsidP="00724174">
      <w:pPr>
        <w:rPr>
          <w:rFonts w:ascii="ITC Avant Garde" w:hAnsi="ITC Avant Garde"/>
          <w:lang w:val="es-MX"/>
        </w:rPr>
      </w:pPr>
      <w:r w:rsidRPr="00CD0C09">
        <w:rPr>
          <w:rFonts w:ascii="ITC Avant Garde" w:hAnsi="ITC Avant Garde"/>
          <w:lang w:val="es-MX"/>
        </w:rPr>
        <w:t>El enfoque actual de contabilidad de costos es un método que valora los activos a sus costos actuales de reemplazo en lugar de su costo original. Esta familia de métodos se puede dividir en dos enfoques:</w:t>
      </w:r>
    </w:p>
    <w:p w:rsidR="00724174" w:rsidRPr="00CD0C09" w:rsidRDefault="00724174" w:rsidP="00556A48">
      <w:pPr>
        <w:pStyle w:val="Prrafodelista"/>
        <w:numPr>
          <w:ilvl w:val="1"/>
          <w:numId w:val="26"/>
        </w:numPr>
        <w:rPr>
          <w:rFonts w:ascii="ITC Avant Garde" w:hAnsi="ITC Avant Garde"/>
          <w:i/>
          <w:lang w:val="es-MX"/>
        </w:rPr>
      </w:pPr>
      <w:r w:rsidRPr="00CD0C09">
        <w:rPr>
          <w:rFonts w:ascii="ITC Avant Garde" w:hAnsi="ITC Avant Garde"/>
          <w:i/>
          <w:lang w:val="es-MX"/>
        </w:rPr>
        <w:t>CCA-OCM (costo operativo de mantenimiento)</w:t>
      </w:r>
    </w:p>
    <w:p w:rsidR="00724174" w:rsidRPr="00CD0C09" w:rsidRDefault="00724174" w:rsidP="00724174">
      <w:pPr>
        <w:rPr>
          <w:rFonts w:ascii="ITC Avant Garde" w:hAnsi="ITC Avant Garde"/>
          <w:lang w:val="es-MX"/>
        </w:rPr>
      </w:pPr>
      <w:r w:rsidRPr="00CD0C09">
        <w:rPr>
          <w:rFonts w:ascii="ITC Avant Garde" w:hAnsi="ITC Avant Garde"/>
          <w:lang w:val="es-MX"/>
        </w:rPr>
        <w:t xml:space="preserve">Este método captura los cambios en los precios de los activos, </w:t>
      </w:r>
      <w:r w:rsidR="00AC2FC4" w:rsidRPr="00CD0C09">
        <w:rPr>
          <w:rFonts w:ascii="ITC Avant Garde" w:hAnsi="ITC Avant Garde"/>
          <w:lang w:val="es-MX"/>
        </w:rPr>
        <w:t>por lo cual</w:t>
      </w:r>
      <w:r w:rsidRPr="00CD0C09">
        <w:rPr>
          <w:rFonts w:ascii="ITC Avant Garde" w:hAnsi="ITC Avant Garde"/>
          <w:lang w:val="es-MX"/>
        </w:rPr>
        <w:t xml:space="preserve"> se llama método de depreciación de contabilidad de costos corrientes.</w:t>
      </w:r>
    </w:p>
    <w:p w:rsidR="00724174" w:rsidRPr="00CD0C09" w:rsidRDefault="00724174" w:rsidP="00724174">
      <w:pPr>
        <w:rPr>
          <w:rFonts w:ascii="ITC Avant Garde" w:hAnsi="ITC Avant Garde"/>
          <w:lang w:val="es-MX"/>
        </w:rPr>
      </w:pPr>
      <w:r w:rsidRPr="00CD0C09">
        <w:rPr>
          <w:rFonts w:ascii="ITC Avant Garde" w:hAnsi="ITC Avant Garde"/>
          <w:lang w:val="es-MX"/>
        </w:rPr>
        <w:t>Este método tiene un serio inconveniente</w:t>
      </w:r>
      <w:r w:rsidR="00AC2FC4" w:rsidRPr="00CD0C09">
        <w:rPr>
          <w:rFonts w:ascii="ITC Avant Garde" w:hAnsi="ITC Avant Garde"/>
          <w:lang w:val="es-MX"/>
        </w:rPr>
        <w:t>: c</w:t>
      </w:r>
      <w:r w:rsidRPr="00CD0C09">
        <w:rPr>
          <w:rFonts w:ascii="ITC Avant Garde" w:hAnsi="ITC Avant Garde"/>
          <w:lang w:val="es-MX"/>
        </w:rPr>
        <w:t xml:space="preserve">ontrariamente al método HCA, el método CCA-OCM no garantiza que los costos se recuperen exactamente, es decir, la suma de anualidades descontadas no es igual a la inversión inicial. Por lo tanto, si el precio de acceso se basa en este método, el </w:t>
      </w:r>
      <w:r w:rsidR="00AC2FC4" w:rsidRPr="00CD0C09">
        <w:rPr>
          <w:rFonts w:ascii="ITC Avant Garde" w:hAnsi="ITC Avant Garde"/>
          <w:lang w:val="es-MX"/>
        </w:rPr>
        <w:t xml:space="preserve">precio de </w:t>
      </w:r>
      <w:r w:rsidRPr="00CD0C09">
        <w:rPr>
          <w:rFonts w:ascii="ITC Avant Garde" w:hAnsi="ITC Avant Garde"/>
          <w:lang w:val="es-MX"/>
        </w:rPr>
        <w:t>acceso a una infraestructura no está orientado a los costos (excepto en circunstancias muy específicas). Esta es la razón por la cual este método no es apropiado para el cálculo de la depreciación para fines regulatorios.</w:t>
      </w:r>
    </w:p>
    <w:p w:rsidR="00724174" w:rsidRPr="00CD0C09" w:rsidRDefault="00724174" w:rsidP="00556A48">
      <w:pPr>
        <w:pStyle w:val="Prrafodelista"/>
        <w:numPr>
          <w:ilvl w:val="1"/>
          <w:numId w:val="26"/>
        </w:numPr>
        <w:rPr>
          <w:rFonts w:ascii="ITC Avant Garde" w:hAnsi="ITC Avant Garde"/>
          <w:i/>
          <w:lang w:val="es-MX"/>
        </w:rPr>
      </w:pPr>
      <w:r w:rsidRPr="00CD0C09">
        <w:rPr>
          <w:rFonts w:ascii="ITC Avant Garde" w:hAnsi="ITC Avant Garde"/>
          <w:i/>
          <w:lang w:val="es-MX"/>
        </w:rPr>
        <w:t>CCA-FCM (costo financiero de mantenimiento)</w:t>
      </w:r>
    </w:p>
    <w:p w:rsidR="00724174" w:rsidRPr="00CD0C09" w:rsidRDefault="00724174" w:rsidP="00724174">
      <w:pPr>
        <w:rPr>
          <w:rFonts w:ascii="ITC Avant Garde" w:hAnsi="ITC Avant Garde"/>
          <w:lang w:val="es-MX"/>
        </w:rPr>
      </w:pPr>
      <w:r w:rsidRPr="00CD0C09">
        <w:rPr>
          <w:rFonts w:ascii="ITC Avant Garde" w:hAnsi="ITC Avant Garde"/>
          <w:lang w:val="es-MX"/>
        </w:rPr>
        <w:t>De forma similar al CCA-OCM, el método CCA-FCM tiene en cuenta los cambios en los precios de los activos. Al mismo tiempo, al contrario del método CCA-OCM, el método CCA-FCM asegura que los costos se recuperen exactamente. Esta es la razón por la cual los reguladores nacionales prefieren este método.</w:t>
      </w:r>
    </w:p>
    <w:p w:rsidR="00AC2FC4" w:rsidRPr="00CD0C09" w:rsidRDefault="00724174" w:rsidP="00724174">
      <w:pPr>
        <w:rPr>
          <w:rFonts w:ascii="ITC Avant Garde" w:hAnsi="ITC Avant Garde"/>
          <w:lang w:val="es-MX"/>
        </w:rPr>
      </w:pPr>
      <w:r w:rsidRPr="00CD0C09">
        <w:rPr>
          <w:rFonts w:ascii="ITC Avant Garde" w:hAnsi="ITC Avant Garde"/>
          <w:lang w:val="es-MX"/>
        </w:rPr>
        <w:t xml:space="preserve">Sin embargo, como en el caso de HCA, el método no garantiza exactamente que las </w:t>
      </w:r>
      <w:r w:rsidR="00AC2FC4" w:rsidRPr="00CD0C09">
        <w:rPr>
          <w:rFonts w:ascii="ITC Avant Garde" w:hAnsi="ITC Avant Garde"/>
          <w:lang w:val="es-MX"/>
        </w:rPr>
        <w:t>anualidades</w:t>
      </w:r>
      <w:r w:rsidRPr="00CD0C09">
        <w:rPr>
          <w:rFonts w:ascii="ITC Avant Garde" w:hAnsi="ITC Avant Garde"/>
          <w:lang w:val="es-MX"/>
        </w:rPr>
        <w:t xml:space="preserve"> que enfrenta un operador evolucionan sin </w:t>
      </w:r>
      <w:r w:rsidR="00AC2FC4" w:rsidRPr="00CD0C09">
        <w:rPr>
          <w:rFonts w:ascii="ITC Avant Garde" w:hAnsi="ITC Avant Garde"/>
          <w:lang w:val="es-MX"/>
        </w:rPr>
        <w:t>discontinuidad en el momento de reinversión,</w:t>
      </w:r>
      <w:r w:rsidRPr="00CD0C09">
        <w:rPr>
          <w:rFonts w:ascii="ITC Avant Garde" w:hAnsi="ITC Avant Garde"/>
          <w:lang w:val="es-MX"/>
        </w:rPr>
        <w:t xml:space="preserve"> cuando los precios del activo están cambiando. </w:t>
      </w:r>
      <w:r w:rsidR="00AC2FC4" w:rsidRPr="00CD0C09">
        <w:rPr>
          <w:rFonts w:ascii="ITC Avant Garde" w:hAnsi="ITC Avant Garde"/>
          <w:lang w:val="es-MX"/>
        </w:rPr>
        <w:t xml:space="preserve">(ver las figuras en el </w:t>
      </w:r>
      <w:r w:rsidR="00901A79">
        <w:rPr>
          <w:rFonts w:ascii="ITC Avant Garde" w:hAnsi="ITC Avant Garde"/>
          <w:lang w:val="es-MX"/>
        </w:rPr>
        <w:t>anexo</w:t>
      </w:r>
      <w:r w:rsidR="00AC2FC4" w:rsidRPr="00CD0C09">
        <w:rPr>
          <w:rFonts w:ascii="ITC Avant Garde" w:hAnsi="ITC Avant Garde"/>
          <w:lang w:val="es-MX"/>
        </w:rPr>
        <w:t>).</w:t>
      </w:r>
    </w:p>
    <w:p w:rsidR="00724174" w:rsidRPr="00CD0C09" w:rsidRDefault="00AC2FC4" w:rsidP="00556A48">
      <w:pPr>
        <w:pStyle w:val="Prrafodelista"/>
        <w:numPr>
          <w:ilvl w:val="0"/>
          <w:numId w:val="26"/>
        </w:numPr>
        <w:rPr>
          <w:rFonts w:ascii="ITC Avant Garde" w:hAnsi="ITC Avant Garde"/>
          <w:u w:val="single"/>
          <w:lang w:val="es-MX"/>
        </w:rPr>
      </w:pPr>
      <w:r w:rsidRPr="00CD0C09">
        <w:rPr>
          <w:rFonts w:ascii="ITC Avant Garde" w:hAnsi="ITC Avant Garde"/>
          <w:u w:val="single"/>
          <w:lang w:val="es-MX"/>
        </w:rPr>
        <w:t>A</w:t>
      </w:r>
      <w:r w:rsidR="00724174" w:rsidRPr="00CD0C09">
        <w:rPr>
          <w:rFonts w:ascii="ITC Avant Garde" w:hAnsi="ITC Avant Garde"/>
          <w:u w:val="single"/>
          <w:lang w:val="es-MX"/>
        </w:rPr>
        <w:t>nualidad estándar</w:t>
      </w:r>
    </w:p>
    <w:p w:rsidR="00724174" w:rsidRPr="00CD0C09" w:rsidRDefault="00724174" w:rsidP="00724174">
      <w:pPr>
        <w:rPr>
          <w:rFonts w:ascii="ITC Avant Garde" w:hAnsi="ITC Avant Garde"/>
          <w:lang w:val="es-MX"/>
        </w:rPr>
      </w:pPr>
      <w:r w:rsidRPr="00CD0C09">
        <w:rPr>
          <w:rFonts w:ascii="ITC Avant Garde" w:hAnsi="ITC Avant Garde"/>
          <w:lang w:val="es-MX"/>
        </w:rPr>
        <w:t>El enfoque de anualidad estándar consiste en calcular una anualidad que es idéntic</w:t>
      </w:r>
      <w:r w:rsidR="00AC2FC4" w:rsidRPr="00CD0C09">
        <w:rPr>
          <w:rFonts w:ascii="ITC Avant Garde" w:hAnsi="ITC Avant Garde"/>
          <w:lang w:val="es-MX"/>
        </w:rPr>
        <w:t>a</w:t>
      </w:r>
      <w:r w:rsidRPr="00CD0C09">
        <w:rPr>
          <w:rFonts w:ascii="ITC Avant Garde" w:hAnsi="ITC Avant Garde"/>
          <w:lang w:val="es-MX"/>
        </w:rPr>
        <w:t xml:space="preserve"> cada año</w:t>
      </w:r>
      <w:r w:rsidR="00AC2FC4" w:rsidRPr="00CD0C09">
        <w:rPr>
          <w:rFonts w:ascii="ITC Avant Garde" w:hAnsi="ITC Avant Garde"/>
          <w:lang w:val="es-MX"/>
        </w:rPr>
        <w:t xml:space="preserve"> (aunque la </w:t>
      </w:r>
      <w:r w:rsidR="00F2544C" w:rsidRPr="00CD0C09">
        <w:rPr>
          <w:rFonts w:ascii="ITC Avant Garde" w:hAnsi="ITC Avant Garde"/>
          <w:lang w:val="es-MX"/>
        </w:rPr>
        <w:t>proporción</w:t>
      </w:r>
      <w:r w:rsidR="00AC2FC4" w:rsidRPr="00CD0C09">
        <w:rPr>
          <w:rFonts w:ascii="ITC Avant Garde" w:hAnsi="ITC Avant Garde"/>
          <w:lang w:val="es-MX"/>
        </w:rPr>
        <w:t xml:space="preserve"> entre el cargo de depreciación y el costo de capital varía entre años)</w:t>
      </w:r>
      <w:r w:rsidRPr="00CD0C09">
        <w:rPr>
          <w:rFonts w:ascii="ITC Avant Garde" w:hAnsi="ITC Avant Garde"/>
          <w:lang w:val="es-MX"/>
        </w:rPr>
        <w:t xml:space="preserve"> y se ajusta a los criterios de recuperación de costos. Por lo tanto, el enfoque estándar de anualidad calcula un cargo de depreciación creciente y un rendimiento decreciente sobre el capital empleado a medida que la anualidad se mantiene estable a lo largo del tiempo. Este método es apropiado cuando los precios de los activos y los volúmenes de productos producidos por los activos son estables a lo largo del tiempo.</w:t>
      </w:r>
      <w:r w:rsidR="00AC2FC4" w:rsidRPr="00CD0C09">
        <w:rPr>
          <w:rFonts w:ascii="ITC Avant Garde" w:hAnsi="ITC Avant Garde"/>
          <w:lang w:val="es-MX"/>
        </w:rPr>
        <w:t xml:space="preserve"> Cuando los precios de los activos cambian, los problemas identificados en el método HCA y CCA FCM también se encuentran.</w:t>
      </w:r>
    </w:p>
    <w:p w:rsidR="00724174" w:rsidRPr="00CD0C09" w:rsidRDefault="00AC2FC4" w:rsidP="00556A48">
      <w:pPr>
        <w:pStyle w:val="Prrafodelista"/>
        <w:numPr>
          <w:ilvl w:val="0"/>
          <w:numId w:val="26"/>
        </w:numPr>
        <w:rPr>
          <w:rFonts w:ascii="ITC Avant Garde" w:hAnsi="ITC Avant Garde"/>
          <w:u w:val="single"/>
          <w:lang w:val="es-MX"/>
        </w:rPr>
      </w:pPr>
      <w:r w:rsidRPr="00CD0C09">
        <w:rPr>
          <w:rFonts w:ascii="ITC Avant Garde" w:hAnsi="ITC Avant Garde"/>
          <w:u w:val="single"/>
          <w:lang w:val="es-MX"/>
        </w:rPr>
        <w:t>A</w:t>
      </w:r>
      <w:r w:rsidR="00724174" w:rsidRPr="00CD0C09">
        <w:rPr>
          <w:rFonts w:ascii="ITC Avant Garde" w:hAnsi="ITC Avant Garde"/>
          <w:u w:val="single"/>
          <w:lang w:val="es-MX"/>
        </w:rPr>
        <w:t>nualidad inclinada</w:t>
      </w:r>
    </w:p>
    <w:p w:rsidR="00724174" w:rsidRPr="00CD0C09" w:rsidRDefault="00724174" w:rsidP="00724174">
      <w:pPr>
        <w:rPr>
          <w:rFonts w:ascii="ITC Avant Garde" w:hAnsi="ITC Avant Garde"/>
          <w:lang w:val="es-MX"/>
        </w:rPr>
      </w:pPr>
      <w:r w:rsidRPr="00CD0C09">
        <w:rPr>
          <w:rFonts w:ascii="ITC Avant Garde" w:hAnsi="ITC Avant Garde"/>
          <w:lang w:val="es-MX"/>
        </w:rPr>
        <w:t xml:space="preserve">La fórmula de anualidad inclinada es probablemente la fórmula de depreciación más utilizada para fines regulatorios. Incorpora una inclinación que permite que el cálculo </w:t>
      </w:r>
      <w:r w:rsidRPr="00CD0C09">
        <w:rPr>
          <w:rFonts w:ascii="ITC Avant Garde" w:hAnsi="ITC Avant Garde"/>
          <w:lang w:val="es-MX"/>
        </w:rPr>
        <w:lastRenderedPageBreak/>
        <w:t>de anualidades evolucione de acuerdo con los cambios en el precio de los activos: si el precio de un activo aumenta en un 5% anual, las anualidades también aumentarán con un 5% anual.</w:t>
      </w:r>
    </w:p>
    <w:p w:rsidR="00724174" w:rsidRPr="00CD0C09" w:rsidRDefault="00724174" w:rsidP="00724174">
      <w:pPr>
        <w:rPr>
          <w:rFonts w:ascii="ITC Avant Garde" w:hAnsi="ITC Avant Garde"/>
          <w:lang w:val="es-MX"/>
        </w:rPr>
      </w:pPr>
      <w:r w:rsidRPr="00CD0C09">
        <w:rPr>
          <w:rFonts w:ascii="ITC Avant Garde" w:hAnsi="ITC Avant Garde"/>
          <w:lang w:val="es-MX"/>
        </w:rPr>
        <w:t>Dicha fórmula envía señales apropiadas "</w:t>
      </w:r>
      <w:proofErr w:type="spellStart"/>
      <w:r w:rsidR="00AC2FC4" w:rsidRPr="00CD0C09">
        <w:rPr>
          <w:rFonts w:ascii="ITC Avant Garde" w:hAnsi="ITC Avant Garde"/>
          <w:i/>
          <w:lang w:val="es-MX"/>
        </w:rPr>
        <w:t>build</w:t>
      </w:r>
      <w:proofErr w:type="spellEnd"/>
      <w:r w:rsidR="00AC2FC4" w:rsidRPr="00CD0C09">
        <w:rPr>
          <w:rFonts w:ascii="ITC Avant Garde" w:hAnsi="ITC Avant Garde"/>
          <w:i/>
          <w:lang w:val="es-MX"/>
        </w:rPr>
        <w:t xml:space="preserve"> </w:t>
      </w:r>
      <w:proofErr w:type="spellStart"/>
      <w:r w:rsidR="00AC2FC4" w:rsidRPr="00CD0C09">
        <w:rPr>
          <w:rFonts w:ascii="ITC Avant Garde" w:hAnsi="ITC Avant Garde"/>
          <w:i/>
          <w:lang w:val="es-MX"/>
        </w:rPr>
        <w:t>or</w:t>
      </w:r>
      <w:proofErr w:type="spellEnd"/>
      <w:r w:rsidR="00AC2FC4" w:rsidRPr="00CD0C09">
        <w:rPr>
          <w:rFonts w:ascii="ITC Avant Garde" w:hAnsi="ITC Avant Garde"/>
          <w:i/>
          <w:lang w:val="es-MX"/>
        </w:rPr>
        <w:t xml:space="preserve"> </w:t>
      </w:r>
      <w:proofErr w:type="spellStart"/>
      <w:r w:rsidR="00AC2FC4" w:rsidRPr="00CD0C09">
        <w:rPr>
          <w:rFonts w:ascii="ITC Avant Garde" w:hAnsi="ITC Avant Garde"/>
          <w:i/>
          <w:lang w:val="es-MX"/>
        </w:rPr>
        <w:t>buy</w:t>
      </w:r>
      <w:proofErr w:type="spellEnd"/>
      <w:r w:rsidRPr="00CD0C09">
        <w:rPr>
          <w:rFonts w:ascii="ITC Avant Garde" w:hAnsi="ITC Avant Garde"/>
          <w:lang w:val="es-MX"/>
        </w:rPr>
        <w:t xml:space="preserve">" a los </w:t>
      </w:r>
      <w:r w:rsidR="00AC2FC4" w:rsidRPr="00CD0C09">
        <w:rPr>
          <w:rFonts w:ascii="ITC Avant Garde" w:hAnsi="ITC Avant Garde"/>
          <w:lang w:val="es-MX"/>
        </w:rPr>
        <w:t>operadores</w:t>
      </w:r>
      <w:r w:rsidRPr="00CD0C09">
        <w:rPr>
          <w:rFonts w:ascii="ITC Avant Garde" w:hAnsi="ITC Avant Garde"/>
          <w:lang w:val="es-MX"/>
        </w:rPr>
        <w:t xml:space="preserve"> del mercado. Facilita la replicación de los cargos anuales que un operador en un mercado competitivo enfrentaría. También es coherente con el "índice de precios" recomendado por la Comisión Europea para la valoración y amortización de activos de ingeniería civil reutilizables.</w:t>
      </w:r>
      <w:r w:rsidR="00AC2FC4" w:rsidRPr="00CD0C09">
        <w:rPr>
          <w:rStyle w:val="Refdenotaalpie"/>
          <w:rFonts w:ascii="ITC Avant Garde" w:hAnsi="ITC Avant Garde"/>
          <w:lang w:val="es-MX"/>
        </w:rPr>
        <w:footnoteReference w:id="36"/>
      </w:r>
    </w:p>
    <w:p w:rsidR="00724174" w:rsidRPr="00CD0C09" w:rsidRDefault="00724174" w:rsidP="00724174">
      <w:pPr>
        <w:rPr>
          <w:rFonts w:ascii="ITC Avant Garde" w:hAnsi="ITC Avant Garde"/>
          <w:lang w:val="es-MX"/>
        </w:rPr>
      </w:pPr>
      <w:r w:rsidRPr="00CD0C09">
        <w:rPr>
          <w:rFonts w:ascii="ITC Avant Garde" w:hAnsi="ITC Avant Garde"/>
          <w:lang w:val="es-MX"/>
        </w:rPr>
        <w:t xml:space="preserve">Aún más importante, las </w:t>
      </w:r>
      <w:r w:rsidR="00B90EB1" w:rsidRPr="00CD0C09">
        <w:rPr>
          <w:rFonts w:ascii="ITC Avant Garde" w:hAnsi="ITC Avant Garde"/>
          <w:lang w:val="es-MX"/>
        </w:rPr>
        <w:t>anualidades</w:t>
      </w:r>
      <w:r w:rsidRPr="00CD0C09">
        <w:rPr>
          <w:rFonts w:ascii="ITC Avant Garde" w:hAnsi="ITC Avant Garde"/>
          <w:lang w:val="es-MX"/>
        </w:rPr>
        <w:t xml:space="preserve"> inclinadas permiten una evolución uniforme de los costos anuales a pesar de los cambios en los precios y los ciclos de inversión. Al final de la vida útil de un activo, es decir, cuando el activo necesita ser renovado, las anualidades calculadas con el método de anualidad inclinada serán similares justo antes y justo después de la renovación del activo. Por lo tanto, las anualidades evolucionan sin las discontinuidades que </w:t>
      </w:r>
      <w:r w:rsidR="00B90EB1" w:rsidRPr="00CD0C09">
        <w:rPr>
          <w:rFonts w:ascii="ITC Avant Garde" w:hAnsi="ITC Avant Garde"/>
          <w:lang w:val="es-MX"/>
        </w:rPr>
        <w:t>genera el</w:t>
      </w:r>
      <w:r w:rsidRPr="00CD0C09">
        <w:rPr>
          <w:rFonts w:ascii="ITC Avant Garde" w:hAnsi="ITC Avant Garde"/>
          <w:lang w:val="es-MX"/>
        </w:rPr>
        <w:t xml:space="preserve"> enfoque de anualidad estándar.</w:t>
      </w:r>
    </w:p>
    <w:p w:rsidR="00AC2FC4" w:rsidRPr="00CD0C09" w:rsidRDefault="00724174" w:rsidP="00724174">
      <w:pPr>
        <w:rPr>
          <w:rFonts w:ascii="ITC Avant Garde" w:hAnsi="ITC Avant Garde"/>
          <w:lang w:val="es-MX"/>
        </w:rPr>
      </w:pPr>
      <w:r w:rsidRPr="00CD0C09">
        <w:rPr>
          <w:rFonts w:ascii="ITC Avant Garde" w:hAnsi="ITC Avant Garde"/>
          <w:lang w:val="es-MX"/>
        </w:rPr>
        <w:t>Sin embargo, la anualidad inclinada puede no ser un buen indicador de la depreciación económica cuando el volumen de productos producidos por un activo no es estable o crece desde un nivel bajo. Este puede ser el caso para productos nuevos (que tienen una curva logística) o cuando la demanda está evolucionando rápidamente</w:t>
      </w:r>
      <w:r w:rsidR="00B90EB1" w:rsidRPr="00CD0C09">
        <w:rPr>
          <w:rFonts w:ascii="ITC Avant Garde" w:hAnsi="ITC Avant Garde"/>
          <w:lang w:val="es-MX"/>
        </w:rPr>
        <w:t>.</w:t>
      </w:r>
    </w:p>
    <w:p w:rsidR="00724174" w:rsidRPr="00CD0C09" w:rsidRDefault="00AC2FC4" w:rsidP="00556A48">
      <w:pPr>
        <w:pStyle w:val="Prrafodelista"/>
        <w:numPr>
          <w:ilvl w:val="0"/>
          <w:numId w:val="26"/>
        </w:numPr>
        <w:rPr>
          <w:rFonts w:ascii="ITC Avant Garde" w:hAnsi="ITC Avant Garde"/>
          <w:u w:val="single"/>
          <w:lang w:val="es-MX"/>
        </w:rPr>
      </w:pPr>
      <w:r w:rsidRPr="00CD0C09">
        <w:rPr>
          <w:rFonts w:ascii="ITC Avant Garde" w:hAnsi="ITC Avant Garde"/>
          <w:u w:val="single"/>
          <w:lang w:val="es-MX"/>
        </w:rPr>
        <w:t>A</w:t>
      </w:r>
      <w:r w:rsidR="00724174" w:rsidRPr="00CD0C09">
        <w:rPr>
          <w:rFonts w:ascii="ITC Avant Garde" w:hAnsi="ITC Avant Garde"/>
          <w:u w:val="single"/>
          <w:lang w:val="es-MX"/>
        </w:rPr>
        <w:t>nualidad inclinada ajustada</w:t>
      </w:r>
    </w:p>
    <w:p w:rsidR="00724174" w:rsidRPr="00CD0C09" w:rsidRDefault="00724174" w:rsidP="00724174">
      <w:pPr>
        <w:rPr>
          <w:rFonts w:ascii="ITC Avant Garde" w:hAnsi="ITC Avant Garde"/>
          <w:lang w:val="es-MX"/>
        </w:rPr>
      </w:pPr>
      <w:r w:rsidRPr="00CD0C09">
        <w:rPr>
          <w:rFonts w:ascii="ITC Avant Garde" w:hAnsi="ITC Avant Garde"/>
          <w:lang w:val="es-MX"/>
        </w:rPr>
        <w:t xml:space="preserve">Es posible modificar la fórmula de anualidades inclinadas para calcular anualidades que tengan en cuenta la evolución del número de productos producidos por los activos. Esto se conoce como una "anualidad inclinada </w:t>
      </w:r>
      <w:r w:rsidR="00B90EB1" w:rsidRPr="00CD0C09">
        <w:rPr>
          <w:rFonts w:ascii="ITC Avant Garde" w:hAnsi="ITC Avant Garde"/>
          <w:lang w:val="es-MX"/>
        </w:rPr>
        <w:t>ajustada</w:t>
      </w:r>
      <w:r w:rsidRPr="00CD0C09">
        <w:rPr>
          <w:rFonts w:ascii="ITC Avant Garde" w:hAnsi="ITC Avant Garde"/>
          <w:lang w:val="es-MX"/>
        </w:rPr>
        <w:t xml:space="preserve">". Este enfoque usa la misma fórmula que en la anualidad inclinada, excepto </w:t>
      </w:r>
      <w:r w:rsidR="004B276B" w:rsidRPr="00CD0C09">
        <w:rPr>
          <w:rFonts w:ascii="ITC Avant Garde" w:hAnsi="ITC Avant Garde"/>
          <w:lang w:val="es-MX"/>
        </w:rPr>
        <w:t>que,</w:t>
      </w:r>
      <w:r w:rsidRPr="00CD0C09">
        <w:rPr>
          <w:rFonts w:ascii="ITC Avant Garde" w:hAnsi="ITC Avant Garde"/>
          <w:lang w:val="es-MX"/>
        </w:rPr>
        <w:t xml:space="preserve"> en lugar de una anualidad total constante, se usa una anualidad de unidad constante (y la anualidad total varía con el número de </w:t>
      </w:r>
      <w:r w:rsidR="00B90EB1" w:rsidRPr="00CD0C09">
        <w:rPr>
          <w:rFonts w:ascii="ITC Avant Garde" w:hAnsi="ITC Avant Garde"/>
          <w:lang w:val="es-MX"/>
        </w:rPr>
        <w:t>productos</w:t>
      </w:r>
      <w:r w:rsidRPr="00CD0C09">
        <w:rPr>
          <w:rFonts w:ascii="ITC Avant Garde" w:hAnsi="ITC Avant Garde"/>
          <w:lang w:val="es-MX"/>
        </w:rPr>
        <w:t>).</w:t>
      </w:r>
    </w:p>
    <w:p w:rsidR="00724174" w:rsidRPr="00CD0C09" w:rsidRDefault="00724174" w:rsidP="00724174">
      <w:pPr>
        <w:rPr>
          <w:rFonts w:ascii="ITC Avant Garde" w:hAnsi="ITC Avant Garde"/>
          <w:lang w:val="es-MX"/>
        </w:rPr>
      </w:pPr>
      <w:r w:rsidRPr="00CD0C09">
        <w:rPr>
          <w:rFonts w:ascii="ITC Avant Garde" w:hAnsi="ITC Avant Garde"/>
          <w:lang w:val="es-MX"/>
        </w:rPr>
        <w:t xml:space="preserve">La anualidad en este enfoque varía con el número de productos producidos por los activos y con la tendencia del precio. Cuando el activo produce un número bajo de productos (por ejemplo, FTTH en los primeros años cuando hay pocos clientes), la </w:t>
      </w:r>
      <w:r w:rsidR="00B90EB1" w:rsidRPr="00CD0C09">
        <w:rPr>
          <w:rFonts w:ascii="ITC Avant Garde" w:hAnsi="ITC Avant Garde"/>
          <w:lang w:val="es-MX"/>
        </w:rPr>
        <w:t>anualidad</w:t>
      </w:r>
      <w:r w:rsidRPr="00CD0C09">
        <w:rPr>
          <w:rFonts w:ascii="ITC Avant Garde" w:hAnsi="ITC Avant Garde"/>
          <w:lang w:val="es-MX"/>
        </w:rPr>
        <w:t xml:space="preserve"> total es baja al principio y luego aumenta cuando aumenta el número de productos producidos (por ejemplo, </w:t>
      </w:r>
      <w:r w:rsidR="00B90EB1" w:rsidRPr="00CD0C09">
        <w:rPr>
          <w:rFonts w:ascii="ITC Avant Garde" w:hAnsi="ITC Avant Garde"/>
          <w:lang w:val="es-MX"/>
        </w:rPr>
        <w:t xml:space="preserve">cuando </w:t>
      </w:r>
      <w:r w:rsidRPr="00CD0C09">
        <w:rPr>
          <w:rFonts w:ascii="ITC Avant Garde" w:hAnsi="ITC Avant Garde"/>
          <w:lang w:val="es-MX"/>
        </w:rPr>
        <w:t>aumenta la tasa de penetración de FTTH)</w:t>
      </w:r>
      <w:r w:rsidR="004B276B" w:rsidRPr="00CD0C09">
        <w:rPr>
          <w:rFonts w:ascii="ITC Avant Garde" w:hAnsi="ITC Avant Garde"/>
          <w:lang w:val="es-MX"/>
        </w:rPr>
        <w:t>.</w:t>
      </w:r>
    </w:p>
    <w:p w:rsidR="00724174" w:rsidRPr="00CD0C09" w:rsidRDefault="00724174" w:rsidP="00724174">
      <w:pPr>
        <w:rPr>
          <w:rFonts w:ascii="ITC Avant Garde" w:hAnsi="ITC Avant Garde"/>
          <w:lang w:val="es-MX"/>
        </w:rPr>
      </w:pPr>
      <w:r w:rsidRPr="00CD0C09">
        <w:rPr>
          <w:rFonts w:ascii="ITC Avant Garde" w:hAnsi="ITC Avant Garde"/>
          <w:lang w:val="es-MX"/>
        </w:rPr>
        <w:t>El principal inconveniente de este método de depreciación es que requiere pronósticos sobre los resultados producidos durante un largo período de tiempo</w:t>
      </w:r>
      <w:r w:rsidR="00B90EB1" w:rsidRPr="00CD0C09">
        <w:rPr>
          <w:rFonts w:ascii="ITC Avant Garde" w:hAnsi="ITC Avant Garde"/>
          <w:lang w:val="es-MX"/>
        </w:rPr>
        <w:t xml:space="preserve"> (por ejemplo, proyecciones de penetración del servicio FTTH)</w:t>
      </w:r>
      <w:r w:rsidRPr="00CD0C09">
        <w:rPr>
          <w:rFonts w:ascii="ITC Avant Garde" w:hAnsi="ITC Avant Garde"/>
          <w:lang w:val="es-MX"/>
        </w:rPr>
        <w:t xml:space="preserve">. Como consecuencia, podría ser más subjetivo que otros métodos, pero depende de cómo se espera que sea la ruta de desarrollo, y puede ser un método más complejo de implementar. Sin embargo, tiende a dar mejores señales económicas que otros métodos de depreciación cuando el </w:t>
      </w:r>
      <w:r w:rsidRPr="00CD0C09">
        <w:rPr>
          <w:rFonts w:ascii="ITC Avant Garde" w:hAnsi="ITC Avant Garde"/>
          <w:lang w:val="es-MX"/>
        </w:rPr>
        <w:lastRenderedPageBreak/>
        <w:t>número de productos producidos por un activo no es estable y se espera que cambie significativamente durante el período de pronóstico.</w:t>
      </w:r>
    </w:p>
    <w:p w:rsidR="00724174" w:rsidRPr="00CD0C09" w:rsidRDefault="00724174" w:rsidP="00724174">
      <w:pPr>
        <w:rPr>
          <w:rFonts w:ascii="ITC Avant Garde" w:hAnsi="ITC Avant Garde"/>
          <w:lang w:val="es-MX"/>
        </w:rPr>
      </w:pPr>
    </w:p>
    <w:p w:rsidR="00724174" w:rsidRPr="00CD0C09" w:rsidRDefault="00724174" w:rsidP="00B90EB1">
      <w:pPr>
        <w:pStyle w:val="Encadr3"/>
        <w:rPr>
          <w:rFonts w:ascii="ITC Avant Garde" w:hAnsi="ITC Avant Garde"/>
          <w:lang w:val="es-MX"/>
        </w:rPr>
      </w:pPr>
      <w:r w:rsidRPr="00CD0C09">
        <w:rPr>
          <w:rFonts w:ascii="ITC Avant Garde" w:hAnsi="ITC Avant Garde"/>
          <w:lang w:val="es-MX"/>
        </w:rPr>
        <w:t xml:space="preserve">Criterio </w:t>
      </w:r>
      <w:r w:rsidR="00F9290D" w:rsidRPr="00CD0C09">
        <w:rPr>
          <w:rFonts w:ascii="ITC Avant Garde" w:hAnsi="ITC Avant Garde"/>
          <w:lang w:val="es-MX"/>
        </w:rPr>
        <w:t>26</w:t>
      </w:r>
      <w:r w:rsidRPr="00CD0C09">
        <w:rPr>
          <w:rFonts w:ascii="ITC Avant Garde" w:hAnsi="ITC Avant Garde"/>
          <w:lang w:val="es-MX"/>
        </w:rPr>
        <w:t xml:space="preserve">: El enfoque de depreciación de anualidades inclinadas se </w:t>
      </w:r>
      <w:proofErr w:type="spellStart"/>
      <w:r w:rsidR="001349AD">
        <w:rPr>
          <w:rFonts w:ascii="ITC Avant Garde" w:hAnsi="ITC Avant Garde"/>
          <w:lang w:val="es-MX"/>
        </w:rPr>
        <w:t>usa</w:t>
      </w:r>
      <w:r w:rsidRPr="00CD0C09">
        <w:rPr>
          <w:rFonts w:ascii="ITC Avant Garde" w:hAnsi="ITC Avant Garde"/>
          <w:lang w:val="es-MX"/>
        </w:rPr>
        <w:t>para</w:t>
      </w:r>
      <w:proofErr w:type="spellEnd"/>
      <w:r w:rsidRPr="00CD0C09">
        <w:rPr>
          <w:rFonts w:ascii="ITC Avant Garde" w:hAnsi="ITC Avant Garde"/>
          <w:lang w:val="es-MX"/>
        </w:rPr>
        <w:t xml:space="preserve"> todos los activos. </w:t>
      </w:r>
    </w:p>
    <w:p w:rsidR="00724174" w:rsidRPr="00CD0C09" w:rsidRDefault="00724174" w:rsidP="00724174">
      <w:pPr>
        <w:rPr>
          <w:rFonts w:ascii="ITC Avant Garde" w:hAnsi="ITC Avant Garde"/>
          <w:lang w:val="es-MX"/>
        </w:rPr>
      </w:pPr>
    </w:p>
    <w:p w:rsidR="00724174" w:rsidRPr="00CD0C09" w:rsidRDefault="00724174" w:rsidP="00724174">
      <w:pPr>
        <w:pStyle w:val="Ttulo3"/>
        <w:rPr>
          <w:rFonts w:ascii="ITC Avant Garde" w:hAnsi="ITC Avant Garde"/>
          <w:lang w:val="es-MX"/>
        </w:rPr>
      </w:pPr>
      <w:bookmarkStart w:id="148" w:name="_Toc525665285"/>
      <w:bookmarkStart w:id="149" w:name="_Toc525665664"/>
      <w:bookmarkStart w:id="150" w:name="_Toc526854365"/>
      <w:r w:rsidRPr="00CD0C09">
        <w:rPr>
          <w:rFonts w:ascii="ITC Avant Garde" w:hAnsi="ITC Avant Garde"/>
          <w:lang w:val="es-MX"/>
        </w:rPr>
        <w:t>Gastos operacionales (OPEX)</w:t>
      </w:r>
      <w:bookmarkEnd w:id="148"/>
      <w:bookmarkEnd w:id="149"/>
      <w:bookmarkEnd w:id="150"/>
    </w:p>
    <w:p w:rsidR="00724174" w:rsidRPr="00CD0C09" w:rsidRDefault="00724174" w:rsidP="00724174">
      <w:pPr>
        <w:pStyle w:val="Ttulo4"/>
        <w:rPr>
          <w:rFonts w:ascii="ITC Avant Garde" w:hAnsi="ITC Avant Garde"/>
          <w:lang w:val="es-MX"/>
        </w:rPr>
      </w:pPr>
      <w:bookmarkStart w:id="151" w:name="_Toc525665286"/>
      <w:bookmarkStart w:id="152" w:name="_Toc525665665"/>
      <w:bookmarkStart w:id="153" w:name="_Toc526854366"/>
      <w:r w:rsidRPr="00CD0C09">
        <w:rPr>
          <w:rFonts w:ascii="ITC Avant Garde" w:hAnsi="ITC Avant Garde"/>
          <w:lang w:val="es-MX"/>
        </w:rPr>
        <w:t>Mantenimiento de la red</w:t>
      </w:r>
      <w:bookmarkEnd w:id="151"/>
      <w:bookmarkEnd w:id="152"/>
      <w:bookmarkEnd w:id="153"/>
    </w:p>
    <w:p w:rsidR="00724174" w:rsidRPr="00CD0C09" w:rsidRDefault="00724174" w:rsidP="00724174">
      <w:pPr>
        <w:rPr>
          <w:rFonts w:ascii="ITC Avant Garde" w:hAnsi="ITC Avant Garde"/>
          <w:lang w:val="es-MX"/>
        </w:rPr>
      </w:pPr>
      <w:r w:rsidRPr="00CD0C09">
        <w:rPr>
          <w:rFonts w:ascii="ITC Avant Garde" w:hAnsi="ITC Avant Garde"/>
          <w:lang w:val="es-MX"/>
        </w:rPr>
        <w:t xml:space="preserve">El modelo examinará los costos de operación en un nivel desagregado para garantizar que sean asignados a la parte correcta de la red. Solo los costos de red (al por mayor) deben incluirse en los incrementos de acceso </w:t>
      </w:r>
      <w:r w:rsidR="00B90EB1" w:rsidRPr="00CD0C09">
        <w:rPr>
          <w:rFonts w:ascii="ITC Avant Garde" w:hAnsi="ITC Avant Garde"/>
          <w:lang w:val="es-MX"/>
        </w:rPr>
        <w:t>y transporte</w:t>
      </w:r>
      <w:r w:rsidRPr="00CD0C09">
        <w:rPr>
          <w:rFonts w:ascii="ITC Avant Garde" w:hAnsi="ITC Avant Garde"/>
          <w:lang w:val="es-MX"/>
        </w:rPr>
        <w:t>. Cualquier costo relacionado con las actividades minoristas, como los costos de comercialización y venta al por menor, debe excluirse de estos incrementos.</w:t>
      </w:r>
    </w:p>
    <w:p w:rsidR="00724174" w:rsidRPr="00CD0C09" w:rsidRDefault="00724174" w:rsidP="00724174">
      <w:pPr>
        <w:rPr>
          <w:rFonts w:ascii="ITC Avant Garde" w:hAnsi="ITC Avant Garde"/>
          <w:lang w:val="es-MX"/>
        </w:rPr>
      </w:pPr>
      <w:r w:rsidRPr="00CD0C09">
        <w:rPr>
          <w:rFonts w:ascii="ITC Avant Garde" w:hAnsi="ITC Avant Garde"/>
          <w:lang w:val="es-MX"/>
        </w:rPr>
        <w:t>Los costos de operación para actividades estrechamente relacionadas con la red incluyen provisión, mantenimiento, planificación e instalación de la red.</w:t>
      </w:r>
    </w:p>
    <w:p w:rsidR="00724174" w:rsidRPr="00CD0C09" w:rsidRDefault="00724174" w:rsidP="00724174">
      <w:pPr>
        <w:rPr>
          <w:rFonts w:ascii="ITC Avant Garde" w:hAnsi="ITC Avant Garde"/>
          <w:lang w:val="es-MX"/>
        </w:rPr>
      </w:pPr>
      <w:r w:rsidRPr="00CD0C09">
        <w:rPr>
          <w:rFonts w:ascii="ITC Avant Garde" w:hAnsi="ITC Avant Garde"/>
          <w:lang w:val="es-MX"/>
        </w:rPr>
        <w:t>Se pueden implementar múltiples enfoques para derivar los costos de mantenimiento de la red para el operador modelado:</w:t>
      </w:r>
    </w:p>
    <w:p w:rsidR="00724174" w:rsidRPr="00CD0C09" w:rsidRDefault="00724174" w:rsidP="00556A48">
      <w:pPr>
        <w:pStyle w:val="Prrafodelista"/>
        <w:numPr>
          <w:ilvl w:val="0"/>
          <w:numId w:val="27"/>
        </w:numPr>
        <w:rPr>
          <w:rFonts w:ascii="ITC Avant Garde" w:hAnsi="ITC Avant Garde"/>
          <w:lang w:val="es-MX"/>
        </w:rPr>
      </w:pPr>
      <w:r w:rsidRPr="00CD0C09">
        <w:rPr>
          <w:rFonts w:ascii="ITC Avant Garde" w:hAnsi="ITC Avant Garde"/>
          <w:lang w:val="es-MX"/>
        </w:rPr>
        <w:t xml:space="preserve">Un enfoque </w:t>
      </w:r>
      <w:r w:rsidR="00B90EB1" w:rsidRPr="00CD0C09">
        <w:rPr>
          <w:rFonts w:ascii="ITC Avant Garde" w:hAnsi="ITC Avant Garde"/>
          <w:lang w:val="es-MX"/>
        </w:rPr>
        <w:t xml:space="preserve">Top Down </w:t>
      </w:r>
      <w:r w:rsidRPr="00CD0C09">
        <w:rPr>
          <w:rFonts w:ascii="ITC Avant Garde" w:hAnsi="ITC Avant Garde"/>
          <w:lang w:val="es-MX"/>
        </w:rPr>
        <w:t xml:space="preserve">basado en los datos contables del </w:t>
      </w:r>
      <w:r w:rsidR="00B90EB1" w:rsidRPr="00CD0C09">
        <w:rPr>
          <w:rFonts w:ascii="ITC Avant Garde" w:hAnsi="ITC Avant Garde"/>
          <w:lang w:val="es-MX"/>
        </w:rPr>
        <w:t>AE</w:t>
      </w:r>
      <w:r w:rsidRPr="00CD0C09">
        <w:rPr>
          <w:rFonts w:ascii="ITC Avant Garde" w:hAnsi="ITC Avant Garde"/>
          <w:lang w:val="es-MX"/>
        </w:rPr>
        <w:t xml:space="preserve">P para el mantenimiento de la red de </w:t>
      </w:r>
      <w:r w:rsidR="00B90EB1" w:rsidRPr="00CD0C09">
        <w:rPr>
          <w:rFonts w:ascii="ITC Avant Garde" w:hAnsi="ITC Avant Garde"/>
          <w:lang w:val="es-MX"/>
        </w:rPr>
        <w:t>acceso</w:t>
      </w:r>
      <w:r w:rsidRPr="00CD0C09">
        <w:rPr>
          <w:rFonts w:ascii="ITC Avant Garde" w:hAnsi="ITC Avant Garde"/>
          <w:lang w:val="es-MX"/>
        </w:rPr>
        <w:t>, con los ajustes pertinentes para reflejar las ganancias de eficiencia a través de la transición de cobre a fibra.</w:t>
      </w:r>
    </w:p>
    <w:p w:rsidR="00724174" w:rsidRPr="00CD0C09" w:rsidRDefault="00724174" w:rsidP="00556A48">
      <w:pPr>
        <w:pStyle w:val="Prrafodelista"/>
        <w:numPr>
          <w:ilvl w:val="0"/>
          <w:numId w:val="27"/>
        </w:numPr>
        <w:rPr>
          <w:rFonts w:ascii="ITC Avant Garde" w:hAnsi="ITC Avant Garde"/>
          <w:lang w:val="es-MX"/>
        </w:rPr>
      </w:pPr>
      <w:r w:rsidRPr="00CD0C09">
        <w:rPr>
          <w:rFonts w:ascii="ITC Avant Garde" w:hAnsi="ITC Avant Garde"/>
          <w:lang w:val="es-MX"/>
        </w:rPr>
        <w:t xml:space="preserve">Un enfoque de </w:t>
      </w:r>
      <w:proofErr w:type="spellStart"/>
      <w:r w:rsidR="00B90EB1" w:rsidRPr="00CD0C09">
        <w:rPr>
          <w:rFonts w:ascii="ITC Avant Garde" w:hAnsi="ITC Avant Garde"/>
          <w:i/>
          <w:lang w:val="es-MX"/>
        </w:rPr>
        <w:t>benchmark</w:t>
      </w:r>
      <w:proofErr w:type="spellEnd"/>
      <w:r w:rsidRPr="00CD0C09">
        <w:rPr>
          <w:rFonts w:ascii="ITC Avant Garde" w:hAnsi="ITC Avant Garde"/>
          <w:lang w:val="es-MX"/>
        </w:rPr>
        <w:t xml:space="preserve"> nacional de los costos de mantenimiento </w:t>
      </w:r>
      <w:r w:rsidR="00B90EB1" w:rsidRPr="00CD0C09">
        <w:rPr>
          <w:rFonts w:ascii="ITC Avant Garde" w:hAnsi="ITC Avant Garde"/>
          <w:lang w:val="es-MX"/>
        </w:rPr>
        <w:t>de</w:t>
      </w:r>
      <w:r w:rsidRPr="00CD0C09">
        <w:rPr>
          <w:rFonts w:ascii="ITC Avant Garde" w:hAnsi="ITC Avant Garde"/>
          <w:lang w:val="es-MX"/>
        </w:rPr>
        <w:t xml:space="preserve"> la red de fibra, basado, por ejemplo, en un análisis de regresión de los costos de mantenimiento por línea, por falla, por número de nodos de acceso y posiblemente también por otros parámetros.</w:t>
      </w:r>
      <w:r w:rsidR="00B90EB1" w:rsidRPr="0099592C">
        <w:rPr>
          <w:rStyle w:val="Refdenotaalpie"/>
          <w:rFonts w:ascii="ITC Avant Garde" w:hAnsi="ITC Avant Garde"/>
          <w:lang w:val="es-MX" w:eastAsia="x-none"/>
        </w:rPr>
        <w:t xml:space="preserve"> </w:t>
      </w:r>
      <w:r w:rsidR="00B90EB1" w:rsidRPr="00CD0C09">
        <w:rPr>
          <w:rStyle w:val="Refdenotaalpie"/>
          <w:rFonts w:ascii="ITC Avant Garde" w:hAnsi="ITC Avant Garde"/>
          <w:lang w:eastAsia="x-none"/>
        </w:rPr>
        <w:footnoteReference w:id="37"/>
      </w:r>
    </w:p>
    <w:p w:rsidR="00724174" w:rsidRPr="00CD0C09" w:rsidRDefault="00724174" w:rsidP="00556A48">
      <w:pPr>
        <w:pStyle w:val="Prrafodelista"/>
        <w:numPr>
          <w:ilvl w:val="0"/>
          <w:numId w:val="27"/>
        </w:numPr>
        <w:rPr>
          <w:rFonts w:ascii="ITC Avant Garde" w:hAnsi="ITC Avant Garde"/>
          <w:lang w:val="es-MX"/>
        </w:rPr>
      </w:pPr>
      <w:r w:rsidRPr="00CD0C09">
        <w:rPr>
          <w:rFonts w:ascii="ITC Avant Garde" w:hAnsi="ITC Avant Garde"/>
          <w:lang w:val="es-MX"/>
        </w:rPr>
        <w:t xml:space="preserve">Un enfoque híbrido basado en un análisis funcional de la red de fibra: los </w:t>
      </w:r>
      <w:r w:rsidR="00C73E49" w:rsidRPr="00CD0C09">
        <w:rPr>
          <w:rFonts w:ascii="ITC Avant Garde" w:hAnsi="ITC Avant Garde"/>
          <w:lang w:val="es-MX"/>
        </w:rPr>
        <w:t>factores</w:t>
      </w:r>
      <w:r w:rsidRPr="00CD0C09">
        <w:rPr>
          <w:rFonts w:ascii="ITC Avant Garde" w:hAnsi="ITC Avant Garde"/>
          <w:lang w:val="es-MX"/>
        </w:rPr>
        <w:t xml:space="preserve"> de cada categoría de costos del mantenimiento de la red se identificarán y evaluarán. Esto podría basarse en los datos contables de los operadores de fibra (</w:t>
      </w:r>
      <w:r w:rsidR="00C73E49" w:rsidRPr="00CD0C09">
        <w:rPr>
          <w:rFonts w:ascii="ITC Avant Garde" w:hAnsi="ITC Avant Garde"/>
          <w:lang w:val="es-MX"/>
        </w:rPr>
        <w:t>AE</w:t>
      </w:r>
      <w:r w:rsidRPr="00CD0C09">
        <w:rPr>
          <w:rFonts w:ascii="ITC Avant Garde" w:hAnsi="ITC Avant Garde"/>
          <w:lang w:val="es-MX"/>
        </w:rPr>
        <w:t>P y operadores municipales), así como en los contratos de los operadores de fibra con sus subcontratistas de mantenimiento, cuando los contratos se basan en eventos caso por caso.</w:t>
      </w:r>
    </w:p>
    <w:p w:rsidR="00724174" w:rsidRPr="00CD0C09" w:rsidRDefault="00724174" w:rsidP="00724174">
      <w:pPr>
        <w:rPr>
          <w:rFonts w:ascii="ITC Avant Garde" w:hAnsi="ITC Avant Garde"/>
          <w:lang w:val="es-MX"/>
        </w:rPr>
      </w:pPr>
      <w:r w:rsidRPr="00CD0C09">
        <w:rPr>
          <w:rFonts w:ascii="ITC Avant Garde" w:hAnsi="ITC Avant Garde"/>
          <w:lang w:val="es-MX"/>
        </w:rPr>
        <w:t xml:space="preserve">El enfoque para los costos de mantenimiento se elegirá de acuerdo con la disponibilidad y la calidad de los datos recopilados del </w:t>
      </w:r>
      <w:r w:rsidR="00C73E49" w:rsidRPr="00CD0C09">
        <w:rPr>
          <w:rFonts w:ascii="ITC Avant Garde" w:hAnsi="ITC Avant Garde"/>
          <w:lang w:val="es-MX"/>
        </w:rPr>
        <w:t>AE</w:t>
      </w:r>
      <w:r w:rsidRPr="00CD0C09">
        <w:rPr>
          <w:rFonts w:ascii="ITC Avant Garde" w:hAnsi="ITC Avant Garde"/>
          <w:lang w:val="es-MX"/>
        </w:rPr>
        <w:t xml:space="preserve">P y otras partes interesadas, </w:t>
      </w:r>
      <w:r w:rsidRPr="00CD0C09">
        <w:rPr>
          <w:rFonts w:ascii="ITC Avant Garde" w:hAnsi="ITC Avant Garde"/>
          <w:lang w:val="es-MX"/>
        </w:rPr>
        <w:lastRenderedPageBreak/>
        <w:t>así como dependiendo de la naturaleza de los costos de mantenimiento considerados y de la idoneidad de un modelo ascendente.</w:t>
      </w:r>
    </w:p>
    <w:p w:rsidR="00724174" w:rsidRPr="00CD0C09" w:rsidRDefault="00724174" w:rsidP="00724174">
      <w:pPr>
        <w:rPr>
          <w:rFonts w:ascii="ITC Avant Garde" w:hAnsi="ITC Avant Garde"/>
          <w:lang w:val="es-MX"/>
        </w:rPr>
      </w:pPr>
      <w:r w:rsidRPr="00CD0C09">
        <w:rPr>
          <w:rFonts w:ascii="ITC Avant Garde" w:hAnsi="ITC Avant Garde"/>
          <w:lang w:val="es-MX"/>
        </w:rPr>
        <w:t xml:space="preserve">La coherencia con el Criterio 2 en el modelado de </w:t>
      </w:r>
      <w:r w:rsidR="00C73E49" w:rsidRPr="00CD0C09">
        <w:rPr>
          <w:rFonts w:ascii="ITC Avant Garde" w:hAnsi="ITC Avant Garde"/>
          <w:lang w:val="es-MX"/>
        </w:rPr>
        <w:t xml:space="preserve">un enfoque </w:t>
      </w:r>
      <w:proofErr w:type="spellStart"/>
      <w:r w:rsidR="00C73E49" w:rsidRPr="00CD0C09">
        <w:rPr>
          <w:rFonts w:ascii="ITC Avant Garde" w:hAnsi="ITC Avant Garde"/>
          <w:lang w:val="es-MX"/>
        </w:rPr>
        <w:t>Bottom</w:t>
      </w:r>
      <w:proofErr w:type="spellEnd"/>
      <w:r w:rsidR="00C73E49" w:rsidRPr="00CD0C09">
        <w:rPr>
          <w:rFonts w:ascii="ITC Avant Garde" w:hAnsi="ITC Avant Garde"/>
          <w:lang w:val="es-MX"/>
        </w:rPr>
        <w:t xml:space="preserve"> Up</w:t>
      </w:r>
      <w:r w:rsidRPr="00CD0C09">
        <w:rPr>
          <w:rFonts w:ascii="ITC Avant Garde" w:hAnsi="ITC Avant Garde"/>
          <w:lang w:val="es-MX"/>
        </w:rPr>
        <w:t xml:space="preserve"> se enfocará tanto como sea posible.</w:t>
      </w:r>
    </w:p>
    <w:p w:rsidR="00724174" w:rsidRPr="00CD0C09" w:rsidRDefault="00724174" w:rsidP="00724174">
      <w:pPr>
        <w:rPr>
          <w:rFonts w:ascii="ITC Avant Garde" w:hAnsi="ITC Avant Garde"/>
          <w:lang w:val="es-MX"/>
        </w:rPr>
      </w:pPr>
      <w:r w:rsidRPr="00CD0C09">
        <w:rPr>
          <w:rFonts w:ascii="ITC Avant Garde" w:hAnsi="ITC Avant Garde"/>
          <w:lang w:val="es-MX"/>
        </w:rPr>
        <w:t>Se pueden considerar variaciones geográficas para las operaciones para reflejar las diferencias geográficas que influyen en el nivel de los costos de operación y mantenimiento, los posibles efectos de las diferencias de cambio climático, así como el tiempo de viaje para el personal o las implicaciones de una huella reducida.</w:t>
      </w:r>
    </w:p>
    <w:p w:rsidR="00B90EB1" w:rsidRPr="00CD0C09" w:rsidRDefault="00B90EB1" w:rsidP="00724174">
      <w:pPr>
        <w:rPr>
          <w:rFonts w:ascii="ITC Avant Garde" w:hAnsi="ITC Avant Garde"/>
          <w:lang w:val="es-MX"/>
        </w:rPr>
      </w:pPr>
    </w:p>
    <w:p w:rsidR="00724174" w:rsidRPr="00CD0C09" w:rsidRDefault="00724174" w:rsidP="00B90EB1">
      <w:pPr>
        <w:pStyle w:val="Encadr3"/>
        <w:rPr>
          <w:rFonts w:ascii="ITC Avant Garde" w:hAnsi="ITC Avant Garde"/>
          <w:lang w:val="es-MX"/>
        </w:rPr>
      </w:pPr>
      <w:r w:rsidRPr="00CD0C09">
        <w:rPr>
          <w:rFonts w:ascii="ITC Avant Garde" w:hAnsi="ITC Avant Garde"/>
          <w:lang w:val="es-MX"/>
        </w:rPr>
        <w:t xml:space="preserve">Criterio </w:t>
      </w:r>
      <w:r w:rsidR="00F9290D" w:rsidRPr="00CD0C09">
        <w:rPr>
          <w:rFonts w:ascii="ITC Avant Garde" w:hAnsi="ITC Avant Garde"/>
          <w:lang w:val="es-MX"/>
        </w:rPr>
        <w:t>27</w:t>
      </w:r>
      <w:r w:rsidRPr="00CD0C09">
        <w:rPr>
          <w:rFonts w:ascii="ITC Avant Garde" w:hAnsi="ITC Avant Garde"/>
          <w:lang w:val="es-MX"/>
        </w:rPr>
        <w:t xml:space="preserve">: Con base en los datos recopilados y su calidad, </w:t>
      </w:r>
      <w:r w:rsidR="00C73E49" w:rsidRPr="00CD0C09">
        <w:rPr>
          <w:rFonts w:ascii="ITC Avant Garde" w:hAnsi="ITC Avant Garde"/>
          <w:lang w:val="es-MX"/>
        </w:rPr>
        <w:t>los</w:t>
      </w:r>
      <w:r w:rsidRPr="00CD0C09">
        <w:rPr>
          <w:rFonts w:ascii="ITC Avant Garde" w:hAnsi="ITC Avant Garde"/>
          <w:lang w:val="es-MX"/>
        </w:rPr>
        <w:t xml:space="preserve"> </w:t>
      </w:r>
      <w:r w:rsidR="00C73E49" w:rsidRPr="00CD0C09">
        <w:rPr>
          <w:rFonts w:ascii="ITC Avant Garde" w:hAnsi="ITC Avant Garde"/>
          <w:lang w:val="es-MX"/>
        </w:rPr>
        <w:t>OPEX</w:t>
      </w:r>
      <w:r w:rsidRPr="00CD0C09">
        <w:rPr>
          <w:rFonts w:ascii="ITC Avant Garde" w:hAnsi="ITC Avant Garde"/>
          <w:lang w:val="es-MX"/>
        </w:rPr>
        <w:t xml:space="preserve"> de mantenimiento de red </w:t>
      </w:r>
      <w:r w:rsidR="005E4098">
        <w:rPr>
          <w:rFonts w:ascii="ITC Avant Garde" w:hAnsi="ITC Avant Garde"/>
          <w:lang w:val="es-MX"/>
        </w:rPr>
        <w:t xml:space="preserve">se usan </w:t>
      </w:r>
      <w:r w:rsidRPr="00CD0C09">
        <w:rPr>
          <w:rFonts w:ascii="ITC Avant Garde" w:hAnsi="ITC Avant Garde"/>
          <w:lang w:val="es-MX"/>
        </w:rPr>
        <w:t xml:space="preserve">de primera mano de acuerdo con un enfoque </w:t>
      </w:r>
      <w:proofErr w:type="spellStart"/>
      <w:r w:rsidR="00C73E49" w:rsidRPr="00FC28C8">
        <w:rPr>
          <w:rFonts w:ascii="ITC Avant Garde" w:hAnsi="ITC Avant Garde"/>
          <w:i/>
          <w:lang w:val="es-MX"/>
        </w:rPr>
        <w:t>Bottom</w:t>
      </w:r>
      <w:proofErr w:type="spellEnd"/>
      <w:r w:rsidR="00F2544C" w:rsidRPr="00FC28C8">
        <w:rPr>
          <w:rFonts w:ascii="ITC Avant Garde" w:hAnsi="ITC Avant Garde"/>
          <w:i/>
          <w:lang w:val="es-MX"/>
        </w:rPr>
        <w:t xml:space="preserve"> </w:t>
      </w:r>
      <w:r w:rsidR="00C73E49" w:rsidRPr="00FC28C8">
        <w:rPr>
          <w:rFonts w:ascii="ITC Avant Garde" w:hAnsi="ITC Avant Garde"/>
          <w:i/>
          <w:lang w:val="es-MX"/>
        </w:rPr>
        <w:t>Up</w:t>
      </w:r>
      <w:r w:rsidRPr="00CD0C09">
        <w:rPr>
          <w:rFonts w:ascii="ITC Avant Garde" w:hAnsi="ITC Avant Garde"/>
          <w:lang w:val="es-MX"/>
        </w:rPr>
        <w:t xml:space="preserve">, o alternativamente de acuerdo con un enfoque mixto </w:t>
      </w:r>
      <w:proofErr w:type="spellStart"/>
      <w:r w:rsidR="00C73E49" w:rsidRPr="00FC28C8">
        <w:rPr>
          <w:rFonts w:ascii="ITC Avant Garde" w:hAnsi="ITC Avant Garde"/>
          <w:i/>
          <w:lang w:val="es-MX"/>
        </w:rPr>
        <w:t>Bottom</w:t>
      </w:r>
      <w:proofErr w:type="spellEnd"/>
      <w:r w:rsidR="00C73E49" w:rsidRPr="00FC28C8">
        <w:rPr>
          <w:rFonts w:ascii="ITC Avant Garde" w:hAnsi="ITC Avant Garde"/>
          <w:i/>
          <w:lang w:val="es-MX"/>
        </w:rPr>
        <w:t xml:space="preserve"> Up</w:t>
      </w:r>
      <w:r w:rsidR="00C73E49" w:rsidRPr="00CD0C09">
        <w:rPr>
          <w:rFonts w:ascii="ITC Avant Garde" w:hAnsi="ITC Avant Garde"/>
          <w:lang w:val="es-MX"/>
        </w:rPr>
        <w:t xml:space="preserve"> </w:t>
      </w:r>
      <w:r w:rsidRPr="00CD0C09">
        <w:rPr>
          <w:rFonts w:ascii="ITC Avant Garde" w:hAnsi="ITC Avant Garde"/>
          <w:lang w:val="es-MX"/>
        </w:rPr>
        <w:t xml:space="preserve">y </w:t>
      </w:r>
      <w:r w:rsidR="00C73E49" w:rsidRPr="00CD0C09">
        <w:rPr>
          <w:rFonts w:ascii="ITC Avant Garde" w:hAnsi="ITC Avant Garde"/>
          <w:lang w:val="es-MX"/>
        </w:rPr>
        <w:t>Top Down</w:t>
      </w:r>
      <w:r w:rsidRPr="00CD0C09">
        <w:rPr>
          <w:rFonts w:ascii="ITC Avant Garde" w:hAnsi="ITC Avant Garde"/>
          <w:lang w:val="es-MX"/>
        </w:rPr>
        <w:t xml:space="preserve"> para salvaguardar que el modelo se basa en datos confiables para los costos de operación y mantenimiento.</w:t>
      </w:r>
    </w:p>
    <w:p w:rsidR="00724174" w:rsidRPr="00CD0C09" w:rsidRDefault="00724174" w:rsidP="00724174">
      <w:pPr>
        <w:rPr>
          <w:rFonts w:ascii="ITC Avant Garde" w:hAnsi="ITC Avant Garde"/>
          <w:lang w:val="es-MX"/>
        </w:rPr>
      </w:pPr>
    </w:p>
    <w:p w:rsidR="00724174" w:rsidRPr="00CD0C09" w:rsidRDefault="00724174" w:rsidP="00724174">
      <w:pPr>
        <w:pStyle w:val="Ttulo4"/>
        <w:rPr>
          <w:rFonts w:ascii="ITC Avant Garde" w:hAnsi="ITC Avant Garde"/>
          <w:lang w:val="es-MX"/>
        </w:rPr>
      </w:pPr>
      <w:bookmarkStart w:id="154" w:name="_Toc525665287"/>
      <w:bookmarkStart w:id="155" w:name="_Toc525665666"/>
      <w:bookmarkStart w:id="156" w:name="_Toc526854367"/>
      <w:r w:rsidRPr="00CD0C09">
        <w:rPr>
          <w:rFonts w:ascii="ITC Avant Garde" w:hAnsi="ITC Avant Garde"/>
          <w:lang w:val="es-MX"/>
        </w:rPr>
        <w:t>costos indirectos y no relacionados con la red</w:t>
      </w:r>
      <w:bookmarkEnd w:id="154"/>
      <w:bookmarkEnd w:id="155"/>
      <w:bookmarkEnd w:id="156"/>
    </w:p>
    <w:p w:rsidR="00724174" w:rsidRPr="00CD0C09" w:rsidRDefault="00724174" w:rsidP="00724174">
      <w:pPr>
        <w:rPr>
          <w:rFonts w:ascii="ITC Avant Garde" w:hAnsi="ITC Avant Garde"/>
          <w:lang w:val="es-MX"/>
        </w:rPr>
      </w:pPr>
      <w:r w:rsidRPr="00CD0C09">
        <w:rPr>
          <w:rFonts w:ascii="ITC Avant Garde" w:hAnsi="ITC Avant Garde"/>
          <w:lang w:val="es-MX"/>
        </w:rPr>
        <w:t xml:space="preserve">Es difícil determinar si las actividades que componen los costos operativos se relacionan con la red de acceso, la red </w:t>
      </w:r>
      <w:r w:rsidR="00C73E49" w:rsidRPr="00CD0C09">
        <w:rPr>
          <w:rFonts w:ascii="ITC Avant Garde" w:hAnsi="ITC Avant Garde"/>
          <w:lang w:val="es-MX"/>
        </w:rPr>
        <w:t>de transporte</w:t>
      </w:r>
      <w:r w:rsidRPr="00CD0C09">
        <w:rPr>
          <w:rFonts w:ascii="ITC Avant Garde" w:hAnsi="ITC Avant Garde"/>
          <w:lang w:val="es-MX"/>
        </w:rPr>
        <w:t xml:space="preserve"> o ambas. Para </w:t>
      </w:r>
      <w:r w:rsidR="00C73E49" w:rsidRPr="00CD0C09">
        <w:rPr>
          <w:rFonts w:ascii="ITC Avant Garde" w:hAnsi="ITC Avant Garde"/>
          <w:lang w:val="es-MX"/>
        </w:rPr>
        <w:t>ciertas</w:t>
      </w:r>
      <w:r w:rsidRPr="00CD0C09">
        <w:rPr>
          <w:rFonts w:ascii="ITC Avant Garde" w:hAnsi="ITC Avant Garde"/>
          <w:lang w:val="es-MX"/>
        </w:rPr>
        <w:t xml:space="preserve"> actividades de costos operativos, un problema adicional es que solo están vinculadas indirectamente a la red</w:t>
      </w:r>
      <w:r w:rsidR="00C73E49" w:rsidRPr="00CD0C09">
        <w:rPr>
          <w:rFonts w:ascii="ITC Avant Garde" w:hAnsi="ITC Avant Garde"/>
          <w:lang w:val="es-MX"/>
        </w:rPr>
        <w:t>:</w:t>
      </w:r>
      <w:r w:rsidRPr="00CD0C09">
        <w:rPr>
          <w:rFonts w:ascii="ITC Avant Garde" w:hAnsi="ITC Avant Garde"/>
          <w:lang w:val="es-MX"/>
        </w:rPr>
        <w:t xml:space="preserve"> representan los costos indirectos de la red o los costos generales. Dichos costos operativos comprenden, entre otras cosas:</w:t>
      </w:r>
    </w:p>
    <w:p w:rsidR="00724174" w:rsidRPr="00CD0C09" w:rsidRDefault="00724174" w:rsidP="00C73E49">
      <w:pPr>
        <w:pStyle w:val="Listaconvietas2"/>
        <w:rPr>
          <w:rFonts w:ascii="ITC Avant Garde" w:hAnsi="ITC Avant Garde"/>
          <w:lang w:val="es-MX"/>
        </w:rPr>
      </w:pPr>
      <w:r w:rsidRPr="00CD0C09">
        <w:rPr>
          <w:rFonts w:ascii="ITC Avant Garde" w:hAnsi="ITC Avant Garde"/>
          <w:lang w:val="es-MX"/>
        </w:rPr>
        <w:t>Transporte, cuando no está directamente relacionado con el personal que interviene en la red,</w:t>
      </w:r>
    </w:p>
    <w:p w:rsidR="00724174" w:rsidRPr="00CD0C09" w:rsidRDefault="00724174" w:rsidP="00C73E49">
      <w:pPr>
        <w:pStyle w:val="Listaconvietas2"/>
        <w:rPr>
          <w:rFonts w:ascii="ITC Avant Garde" w:hAnsi="ITC Avant Garde"/>
          <w:lang w:val="es-MX"/>
        </w:rPr>
      </w:pPr>
      <w:r w:rsidRPr="00CD0C09">
        <w:rPr>
          <w:rFonts w:ascii="ITC Avant Garde" w:hAnsi="ITC Avant Garde"/>
          <w:lang w:val="es-MX"/>
        </w:rPr>
        <w:t>Alojamiento relacionado con edificios de oficinas,</w:t>
      </w:r>
    </w:p>
    <w:p w:rsidR="00724174" w:rsidRPr="00CD0C09" w:rsidRDefault="00724174" w:rsidP="00C73E49">
      <w:pPr>
        <w:pStyle w:val="Listaconvietas2"/>
        <w:rPr>
          <w:rFonts w:ascii="ITC Avant Garde" w:hAnsi="ITC Avant Garde"/>
          <w:lang w:val="es-MX"/>
        </w:rPr>
      </w:pPr>
      <w:r w:rsidRPr="00CD0C09">
        <w:rPr>
          <w:rFonts w:ascii="ITC Avant Garde" w:hAnsi="ITC Avant Garde"/>
          <w:lang w:val="es-MX"/>
        </w:rPr>
        <w:t>Planificación de red y optimización de red,</w:t>
      </w:r>
    </w:p>
    <w:p w:rsidR="00724174" w:rsidRPr="00CD0C09" w:rsidRDefault="00724174" w:rsidP="00C73E49">
      <w:pPr>
        <w:pStyle w:val="Listaconvietas2"/>
        <w:rPr>
          <w:rFonts w:ascii="ITC Avant Garde" w:hAnsi="ITC Avant Garde"/>
          <w:lang w:val="es-MX"/>
        </w:rPr>
      </w:pPr>
      <w:r w:rsidRPr="00CD0C09">
        <w:rPr>
          <w:rFonts w:ascii="ITC Avant Garde" w:hAnsi="ITC Avant Garde"/>
          <w:lang w:val="es-MX"/>
        </w:rPr>
        <w:t>Costos de I</w:t>
      </w:r>
      <w:r w:rsidR="00C73E49" w:rsidRPr="00CD0C09">
        <w:rPr>
          <w:rFonts w:ascii="ITC Avant Garde" w:hAnsi="ITC Avant Garde"/>
          <w:lang w:val="es-MX"/>
        </w:rPr>
        <w:t>T</w:t>
      </w:r>
      <w:r w:rsidRPr="00CD0C09">
        <w:rPr>
          <w:rFonts w:ascii="ITC Avant Garde" w:hAnsi="ITC Avant Garde"/>
          <w:lang w:val="es-MX"/>
        </w:rPr>
        <w:t xml:space="preserve"> para administrar la red y para los empleados de la compañía,</w:t>
      </w:r>
    </w:p>
    <w:p w:rsidR="00724174" w:rsidRPr="00CD0C09" w:rsidRDefault="00724174" w:rsidP="00C73E49">
      <w:pPr>
        <w:pStyle w:val="Listaconvietas2"/>
        <w:rPr>
          <w:rFonts w:ascii="ITC Avant Garde" w:hAnsi="ITC Avant Garde"/>
          <w:lang w:val="es-MX"/>
        </w:rPr>
      </w:pPr>
      <w:r w:rsidRPr="00CD0C09">
        <w:rPr>
          <w:rFonts w:ascii="ITC Avant Garde" w:hAnsi="ITC Avant Garde"/>
          <w:lang w:val="es-MX"/>
        </w:rPr>
        <w:t xml:space="preserve">Gerencia general, incluyendo el departamento de finanzas, recursos humanos, </w:t>
      </w:r>
      <w:r w:rsidR="00C73E49" w:rsidRPr="00CD0C09">
        <w:rPr>
          <w:rFonts w:ascii="ITC Avant Garde" w:hAnsi="ITC Avant Garde"/>
          <w:lang w:val="es-MX"/>
        </w:rPr>
        <w:t xml:space="preserve">senior </w:t>
      </w:r>
      <w:proofErr w:type="spellStart"/>
      <w:r w:rsidR="00C73E49" w:rsidRPr="00CD0C09">
        <w:rPr>
          <w:rFonts w:ascii="ITC Avant Garde" w:hAnsi="ITC Avant Garde"/>
          <w:lang w:val="es-MX"/>
        </w:rPr>
        <w:t>management</w:t>
      </w:r>
      <w:proofErr w:type="spellEnd"/>
      <w:r w:rsidRPr="00CD0C09">
        <w:rPr>
          <w:rFonts w:ascii="ITC Avant Garde" w:hAnsi="ITC Avant Garde"/>
          <w:lang w:val="es-MX"/>
        </w:rPr>
        <w:t>, etc.,</w:t>
      </w:r>
    </w:p>
    <w:p w:rsidR="00724174" w:rsidRPr="00CD0C09" w:rsidRDefault="00724174" w:rsidP="00C73E49">
      <w:pPr>
        <w:pStyle w:val="Listaconvietas2"/>
        <w:rPr>
          <w:rFonts w:ascii="ITC Avant Garde" w:hAnsi="ITC Avant Garde"/>
          <w:lang w:val="es-MX"/>
        </w:rPr>
      </w:pPr>
      <w:r w:rsidRPr="00CD0C09">
        <w:rPr>
          <w:rFonts w:ascii="ITC Avant Garde" w:hAnsi="ITC Avant Garde"/>
          <w:lang w:val="es-MX"/>
        </w:rPr>
        <w:t>Costo específico mayorista, es decir, los costos del personal involucrado en facturación de interconexión y gestión de productos de servicios mayoristas.</w:t>
      </w:r>
    </w:p>
    <w:p w:rsidR="00724174" w:rsidRPr="00CD0C09" w:rsidRDefault="00724174" w:rsidP="00724174">
      <w:pPr>
        <w:rPr>
          <w:rFonts w:ascii="ITC Avant Garde" w:hAnsi="ITC Avant Garde"/>
          <w:lang w:val="es-MX"/>
        </w:rPr>
      </w:pPr>
      <w:r w:rsidRPr="00CD0C09">
        <w:rPr>
          <w:rFonts w:ascii="ITC Avant Garde" w:hAnsi="ITC Avant Garde"/>
          <w:lang w:val="es-MX"/>
        </w:rPr>
        <w:t xml:space="preserve">Estos costos son principalmente costos fijos a corto y mediano plazo y no deben variar entre una red de cobre y fibra. Podrían estimarse a partir de los datos contables del operador SMP, de acuerdo con un enfoque </w:t>
      </w:r>
      <w:r w:rsidR="00C73E49" w:rsidRPr="00CD0C09">
        <w:rPr>
          <w:rFonts w:ascii="ITC Avant Garde" w:hAnsi="ITC Avant Garde"/>
          <w:lang w:val="es-MX"/>
        </w:rPr>
        <w:t>Top Down</w:t>
      </w:r>
      <w:r w:rsidRPr="00CD0C09">
        <w:rPr>
          <w:rFonts w:ascii="ITC Avant Garde" w:hAnsi="ITC Avant Garde"/>
          <w:lang w:val="es-MX"/>
        </w:rPr>
        <w:t>. Sin embargo, se debe definir una metodología para establecer los criterios que se emplearán para la asignación de costos a los servicios, en otras palabras, para definir qué 'parte equitativa' de estos costos debe soportar cada servicio específico.</w:t>
      </w:r>
    </w:p>
    <w:p w:rsidR="00724174" w:rsidRPr="00CD0C09" w:rsidRDefault="00724174" w:rsidP="00724174">
      <w:pPr>
        <w:rPr>
          <w:rFonts w:ascii="ITC Avant Garde" w:hAnsi="ITC Avant Garde"/>
          <w:lang w:val="es-MX"/>
        </w:rPr>
      </w:pPr>
      <w:r w:rsidRPr="00CD0C09">
        <w:rPr>
          <w:rFonts w:ascii="ITC Avant Garde" w:hAnsi="ITC Avant Garde"/>
          <w:lang w:val="es-MX"/>
        </w:rPr>
        <w:lastRenderedPageBreak/>
        <w:t>TERA identificó cuatro metodologías potenciales que podrían utilizarse para la asignación de estas categorías de costos:</w:t>
      </w:r>
    </w:p>
    <w:p w:rsidR="00724174" w:rsidRPr="00CD0C09" w:rsidRDefault="001177CC" w:rsidP="00C73E49">
      <w:pPr>
        <w:pStyle w:val="Listaconvietas2"/>
        <w:rPr>
          <w:rFonts w:ascii="ITC Avant Garde" w:hAnsi="ITC Avant Garde"/>
          <w:lang w:val="es-MX"/>
        </w:rPr>
      </w:pPr>
      <w:r>
        <w:rPr>
          <w:rFonts w:ascii="ITC Avant Garde" w:hAnsi="ITC Avant Garde"/>
          <w:lang w:val="es-MX"/>
        </w:rPr>
        <w:t xml:space="preserve">Margen </w:t>
      </w:r>
      <w:proofErr w:type="spellStart"/>
      <w:r>
        <w:rPr>
          <w:rFonts w:ascii="ITC Avant Garde" w:hAnsi="ITC Avant Garde"/>
          <w:lang w:val="es-MX"/>
        </w:rPr>
        <w:t>equi</w:t>
      </w:r>
      <w:proofErr w:type="spellEnd"/>
      <w:r w:rsidR="00C53D5E">
        <w:rPr>
          <w:rFonts w:ascii="ITC Avant Garde" w:hAnsi="ITC Avant Garde"/>
          <w:lang w:val="es-MX"/>
        </w:rPr>
        <w:t>-</w:t>
      </w:r>
      <w:r>
        <w:rPr>
          <w:rFonts w:ascii="ITC Avant Garde" w:hAnsi="ITC Avant Garde"/>
          <w:lang w:val="es-MX"/>
        </w:rPr>
        <w:t>proporcional</w:t>
      </w:r>
      <w:r w:rsidR="004B276B" w:rsidRPr="00CD0C09">
        <w:rPr>
          <w:rFonts w:ascii="ITC Avant Garde" w:hAnsi="ITC Avant Garde"/>
          <w:lang w:val="es-MX"/>
        </w:rPr>
        <w:t xml:space="preserve"> </w:t>
      </w:r>
      <w:r w:rsidR="00724174" w:rsidRPr="00CD0C09">
        <w:rPr>
          <w:rFonts w:ascii="ITC Avant Garde" w:hAnsi="ITC Avant Garde"/>
          <w:lang w:val="es-MX"/>
        </w:rPr>
        <w:t>(EPMU</w:t>
      </w:r>
      <w:r>
        <w:rPr>
          <w:rFonts w:ascii="ITC Avant Garde" w:hAnsi="ITC Avant Garde"/>
          <w:lang w:val="es-MX"/>
        </w:rPr>
        <w:t xml:space="preserve"> por sus siglas en inglés, </w:t>
      </w:r>
      <w:proofErr w:type="spellStart"/>
      <w:r w:rsidR="004B276B">
        <w:rPr>
          <w:rFonts w:ascii="ITC Avant Garde" w:hAnsi="ITC Avant Garde"/>
          <w:lang w:val="es-MX"/>
        </w:rPr>
        <w:t>Equi-Proportional</w:t>
      </w:r>
      <w:proofErr w:type="spellEnd"/>
      <w:r w:rsidR="004B276B">
        <w:rPr>
          <w:rFonts w:ascii="ITC Avant Garde" w:hAnsi="ITC Avant Garde"/>
          <w:lang w:val="es-MX"/>
        </w:rPr>
        <w:t xml:space="preserve"> Mark-Up</w:t>
      </w:r>
      <w:r w:rsidR="00724174" w:rsidRPr="00CD0C09">
        <w:rPr>
          <w:rFonts w:ascii="ITC Avant Garde" w:hAnsi="ITC Avant Garde"/>
          <w:lang w:val="es-MX"/>
        </w:rPr>
        <w:t xml:space="preserve">), que asigna los costos comunes </w:t>
      </w:r>
      <w:proofErr w:type="spellStart"/>
      <w:r w:rsidR="00724174" w:rsidRPr="00CD0C09">
        <w:rPr>
          <w:rFonts w:ascii="ITC Avant Garde" w:hAnsi="ITC Avant Garde"/>
          <w:lang w:val="es-MX"/>
        </w:rPr>
        <w:t>y</w:t>
      </w:r>
      <w:proofErr w:type="spellEnd"/>
      <w:r w:rsidR="00724174" w:rsidRPr="00CD0C09">
        <w:rPr>
          <w:rFonts w:ascii="ITC Avant Garde" w:hAnsi="ITC Avant Garde"/>
          <w:lang w:val="es-MX"/>
        </w:rPr>
        <w:t xml:space="preserve"> </w:t>
      </w:r>
      <w:r w:rsidR="00C73E49" w:rsidRPr="00CD0C09">
        <w:rPr>
          <w:rFonts w:ascii="ITC Avant Garde" w:hAnsi="ITC Avant Garde"/>
          <w:lang w:val="es-MX"/>
        </w:rPr>
        <w:t>indirec</w:t>
      </w:r>
      <w:r w:rsidR="00724174" w:rsidRPr="00CD0C09">
        <w:rPr>
          <w:rFonts w:ascii="ITC Avant Garde" w:hAnsi="ITC Avant Garde"/>
          <w:lang w:val="es-MX"/>
        </w:rPr>
        <w:t>tos a los servicios proporcionalmente a sus costos incrementales. Este método es simple de implementar y se usa comúnmente;</w:t>
      </w:r>
    </w:p>
    <w:p w:rsidR="00724174" w:rsidRPr="00CD0C09" w:rsidRDefault="00724174" w:rsidP="00C73E49">
      <w:pPr>
        <w:pStyle w:val="Listaconvietas2"/>
        <w:rPr>
          <w:rFonts w:ascii="ITC Avant Garde" w:hAnsi="ITC Avant Garde"/>
          <w:lang w:val="es-MX"/>
        </w:rPr>
      </w:pPr>
      <w:r w:rsidRPr="00CD0C09">
        <w:rPr>
          <w:rFonts w:ascii="ITC Avant Garde" w:hAnsi="ITC Avant Garde"/>
          <w:lang w:val="es-MX"/>
        </w:rPr>
        <w:t>Capacidad efectiva</w:t>
      </w:r>
      <w:r w:rsidR="00C73E49" w:rsidRPr="00CD0C09">
        <w:rPr>
          <w:rFonts w:ascii="ITC Avant Garde" w:hAnsi="ITC Avant Garde"/>
          <w:lang w:val="es-MX"/>
        </w:rPr>
        <w:t>:</w:t>
      </w:r>
      <w:r w:rsidRPr="00CD0C09">
        <w:rPr>
          <w:rFonts w:ascii="ITC Avant Garde" w:hAnsi="ITC Avant Garde"/>
          <w:lang w:val="es-MX"/>
        </w:rPr>
        <w:t xml:space="preserve"> según este enfoque, los costos comunes </w:t>
      </w:r>
      <w:r w:rsidR="00C53D5E" w:rsidRPr="00CD0C09">
        <w:rPr>
          <w:rFonts w:ascii="ITC Avant Garde" w:hAnsi="ITC Avant Garde"/>
          <w:lang w:val="es-MX"/>
        </w:rPr>
        <w:t>e</w:t>
      </w:r>
      <w:r w:rsidRPr="00CD0C09">
        <w:rPr>
          <w:rFonts w:ascii="ITC Avant Garde" w:hAnsi="ITC Avant Garde"/>
          <w:lang w:val="es-MX"/>
        </w:rPr>
        <w:t xml:space="preserve"> </w:t>
      </w:r>
      <w:r w:rsidR="00C73E49" w:rsidRPr="00CD0C09">
        <w:rPr>
          <w:rFonts w:ascii="ITC Avant Garde" w:hAnsi="ITC Avant Garde"/>
          <w:lang w:val="es-MX"/>
        </w:rPr>
        <w:t xml:space="preserve">indirectos </w:t>
      </w:r>
      <w:r w:rsidRPr="00CD0C09">
        <w:rPr>
          <w:rFonts w:ascii="ITC Avant Garde" w:hAnsi="ITC Avant Garde"/>
          <w:lang w:val="es-MX"/>
        </w:rPr>
        <w:t>se asignan en función de la capacidad utilizada por cada servicio de acuerdo con un factor de costo relevante (capacidad en la hora punta, por ejemplo);</w:t>
      </w:r>
    </w:p>
    <w:p w:rsidR="00724174" w:rsidRPr="00CD0C09" w:rsidRDefault="00724174" w:rsidP="00C73E49">
      <w:pPr>
        <w:pStyle w:val="Listaconvietas2"/>
        <w:rPr>
          <w:rFonts w:ascii="ITC Avant Garde" w:hAnsi="ITC Avant Garde"/>
          <w:lang w:val="es-MX"/>
        </w:rPr>
      </w:pPr>
      <w:proofErr w:type="spellStart"/>
      <w:r w:rsidRPr="00CD0C09">
        <w:rPr>
          <w:rFonts w:ascii="ITC Avant Garde" w:hAnsi="ITC Avant Garde"/>
          <w:lang w:val="es-MX"/>
        </w:rPr>
        <w:t>Shapley-Shubik</w:t>
      </w:r>
      <w:proofErr w:type="spellEnd"/>
      <w:r w:rsidR="00C73E49" w:rsidRPr="00CD0C09">
        <w:rPr>
          <w:rFonts w:ascii="ITC Avant Garde" w:hAnsi="ITC Avant Garde"/>
          <w:lang w:val="es-MX"/>
        </w:rPr>
        <w:t>:</w:t>
      </w:r>
      <w:r w:rsidRPr="00CD0C09">
        <w:rPr>
          <w:rFonts w:ascii="ITC Avant Garde" w:hAnsi="ITC Avant Garde"/>
          <w:lang w:val="es-MX"/>
        </w:rPr>
        <w:t xml:space="preserve"> este método consiste en establecer que el costo de un servicio sea igual al promedio de los costos incrementales del servicio después de revisar cada posible orden de llegada del incremento;</w:t>
      </w:r>
    </w:p>
    <w:p w:rsidR="00724174" w:rsidRPr="00CD0C09" w:rsidRDefault="001177CC" w:rsidP="00C73E49">
      <w:pPr>
        <w:pStyle w:val="Listaconvietas2"/>
        <w:rPr>
          <w:rFonts w:ascii="ITC Avant Garde" w:hAnsi="ITC Avant Garde"/>
          <w:lang w:val="es-MX"/>
        </w:rPr>
      </w:pPr>
      <w:r>
        <w:rPr>
          <w:rFonts w:ascii="ITC Avant Garde" w:hAnsi="ITC Avant Garde"/>
          <w:lang w:val="es-MX"/>
        </w:rPr>
        <w:t xml:space="preserve">Precios </w:t>
      </w:r>
      <w:r w:rsidR="00F1012B">
        <w:rPr>
          <w:rFonts w:ascii="ITC Avant Garde" w:hAnsi="ITC Avant Garde"/>
          <w:lang w:val="es-MX"/>
        </w:rPr>
        <w:t xml:space="preserve">de </w:t>
      </w:r>
      <w:r w:rsidR="00724174" w:rsidRPr="00CD0C09">
        <w:rPr>
          <w:rFonts w:ascii="ITC Avant Garde" w:hAnsi="ITC Avant Garde"/>
          <w:lang w:val="es-MX"/>
        </w:rPr>
        <w:t>Ramsey, que consiste en atribuir los costos comunes a los diferentes servicios, en función del costo marginal de producción relativo de los servicios y la elasticidad del precio.</w:t>
      </w:r>
    </w:p>
    <w:p w:rsidR="00724174" w:rsidRPr="00CD0C09" w:rsidRDefault="00724174" w:rsidP="00724174">
      <w:pPr>
        <w:rPr>
          <w:rFonts w:ascii="ITC Avant Garde" w:hAnsi="ITC Avant Garde"/>
          <w:lang w:val="es-MX"/>
        </w:rPr>
      </w:pPr>
      <w:r w:rsidRPr="00CD0C09">
        <w:rPr>
          <w:rFonts w:ascii="ITC Avant Garde" w:hAnsi="ITC Avant Garde"/>
          <w:lang w:val="es-MX"/>
        </w:rPr>
        <w:t>Entre todos estos enfoques, el método de fijación de precios de Ramsey se percibe como el más relevante desde una perspectiva económica. Sin embargo, su complejidad y el alto nivel de datos involucrados en su cálculo limitan su uso en modelos de costos.</w:t>
      </w:r>
    </w:p>
    <w:p w:rsidR="00724174" w:rsidRPr="00CD0C09" w:rsidRDefault="00724174" w:rsidP="00724174">
      <w:pPr>
        <w:rPr>
          <w:rFonts w:ascii="ITC Avant Garde" w:hAnsi="ITC Avant Garde"/>
          <w:lang w:val="es-MX"/>
        </w:rPr>
      </w:pPr>
      <w:r w:rsidRPr="00CD0C09">
        <w:rPr>
          <w:rFonts w:ascii="ITC Avant Garde" w:hAnsi="ITC Avant Garde"/>
          <w:lang w:val="es-MX"/>
        </w:rPr>
        <w:t xml:space="preserve">El método </w:t>
      </w:r>
      <w:proofErr w:type="spellStart"/>
      <w:r w:rsidR="00C73E49" w:rsidRPr="00CD0C09">
        <w:rPr>
          <w:rFonts w:ascii="ITC Avant Garde" w:hAnsi="ITC Avant Garde"/>
          <w:lang w:val="es-MX"/>
        </w:rPr>
        <w:t>S</w:t>
      </w:r>
      <w:r w:rsidRPr="00CD0C09">
        <w:rPr>
          <w:rFonts w:ascii="ITC Avant Garde" w:hAnsi="ITC Avant Garde"/>
          <w:lang w:val="es-MX"/>
        </w:rPr>
        <w:t>hapley-</w:t>
      </w:r>
      <w:r w:rsidR="00C73E49" w:rsidRPr="00CD0C09">
        <w:rPr>
          <w:rFonts w:ascii="ITC Avant Garde" w:hAnsi="ITC Avant Garde"/>
          <w:lang w:val="es-MX"/>
        </w:rPr>
        <w:t>S</w:t>
      </w:r>
      <w:r w:rsidRPr="00CD0C09">
        <w:rPr>
          <w:rFonts w:ascii="ITC Avant Garde" w:hAnsi="ITC Avant Garde"/>
          <w:lang w:val="es-MX"/>
        </w:rPr>
        <w:t>hubik</w:t>
      </w:r>
      <w:proofErr w:type="spellEnd"/>
      <w:r w:rsidRPr="00CD0C09">
        <w:rPr>
          <w:rFonts w:ascii="ITC Avant Garde" w:hAnsi="ITC Avant Garde"/>
          <w:lang w:val="es-MX"/>
        </w:rPr>
        <w:t xml:space="preserve"> se basa en las reglas de la teoría de juegos: consiste en establecer el costo de un servicio igual al promedio de los costos incrementales del servicio después de revisar cada posible orden de llegada del incremento. Esta regla de asignación de costos también se considera como un enfoque económicamente relevante y puede valer la pena considerarla porque brinda diferentes puntos de vista en comparación con las reglas técnicas tradicionales.</w:t>
      </w:r>
    </w:p>
    <w:p w:rsidR="00724174" w:rsidRPr="00CD0C09" w:rsidRDefault="00724174" w:rsidP="00724174">
      <w:pPr>
        <w:rPr>
          <w:rFonts w:ascii="ITC Avant Garde" w:hAnsi="ITC Avant Garde"/>
          <w:lang w:val="es-MX"/>
        </w:rPr>
      </w:pPr>
      <w:r w:rsidRPr="00CD0C09">
        <w:rPr>
          <w:rFonts w:ascii="ITC Avant Garde" w:hAnsi="ITC Avant Garde"/>
          <w:lang w:val="es-MX"/>
        </w:rPr>
        <w:t>Sin embargo, esta regla de asignación presenta dos dificultades:</w:t>
      </w:r>
    </w:p>
    <w:p w:rsidR="00724174" w:rsidRPr="00CD0C09" w:rsidRDefault="00C73E49" w:rsidP="00C73E49">
      <w:pPr>
        <w:pStyle w:val="Listaconvietas2"/>
        <w:rPr>
          <w:rFonts w:ascii="ITC Avant Garde" w:hAnsi="ITC Avant Garde"/>
          <w:lang w:val="es-MX"/>
        </w:rPr>
      </w:pPr>
      <w:r w:rsidRPr="00CD0C09">
        <w:rPr>
          <w:rFonts w:ascii="ITC Avant Garde" w:hAnsi="ITC Avant Garde"/>
          <w:lang w:val="es-MX"/>
        </w:rPr>
        <w:t>R</w:t>
      </w:r>
      <w:r w:rsidR="00724174" w:rsidRPr="00CD0C09">
        <w:rPr>
          <w:rFonts w:ascii="ITC Avant Garde" w:hAnsi="ITC Avant Garde"/>
          <w:lang w:val="es-MX"/>
        </w:rPr>
        <w:t>equiere una gran cantidad de cálculos que crece rápidamente dependiendo del número de incrementos que se deben considerar;</w:t>
      </w:r>
    </w:p>
    <w:p w:rsidR="00724174" w:rsidRPr="00CD0C09" w:rsidRDefault="00724174" w:rsidP="00C73E49">
      <w:pPr>
        <w:pStyle w:val="Listaconvietas2"/>
        <w:rPr>
          <w:rFonts w:ascii="ITC Avant Garde" w:hAnsi="ITC Avant Garde"/>
          <w:lang w:val="es-MX"/>
        </w:rPr>
      </w:pPr>
      <w:r w:rsidRPr="00CD0C09">
        <w:rPr>
          <w:rFonts w:ascii="ITC Avant Garde" w:hAnsi="ITC Avant Garde"/>
          <w:lang w:val="es-MX"/>
        </w:rPr>
        <w:t>Dado que la complejidad del enfoque crece más rápidamente con el número de incrementos, generalmente se consideran incrementos generales para simplificar el enfoque, tales como: incremento del servicio de voz, incremento de banda ancha, incremento de I</w:t>
      </w:r>
      <w:r w:rsidR="00F1012B">
        <w:rPr>
          <w:rFonts w:ascii="ITC Avant Garde" w:hAnsi="ITC Avant Garde"/>
          <w:lang w:val="es-MX"/>
        </w:rPr>
        <w:t xml:space="preserve">nternet </w:t>
      </w:r>
      <w:proofErr w:type="spellStart"/>
      <w:r w:rsidRPr="00CD0C09">
        <w:rPr>
          <w:rFonts w:ascii="ITC Avant Garde" w:hAnsi="ITC Avant Garde"/>
          <w:lang w:val="es-MX"/>
        </w:rPr>
        <w:t>P</w:t>
      </w:r>
      <w:r w:rsidR="00F1012B">
        <w:rPr>
          <w:rFonts w:ascii="ITC Avant Garde" w:hAnsi="ITC Avant Garde"/>
          <w:lang w:val="es-MX"/>
        </w:rPr>
        <w:t>rotocol</w:t>
      </w:r>
      <w:proofErr w:type="spellEnd"/>
      <w:r w:rsidR="00F1012B">
        <w:rPr>
          <w:rFonts w:ascii="ITC Avant Garde" w:hAnsi="ITC Avant Garde"/>
          <w:lang w:val="es-MX"/>
        </w:rPr>
        <w:t xml:space="preserve"> </w:t>
      </w:r>
      <w:proofErr w:type="spellStart"/>
      <w:r w:rsidRPr="00CD0C09">
        <w:rPr>
          <w:rFonts w:ascii="ITC Avant Garde" w:hAnsi="ITC Avant Garde"/>
          <w:lang w:val="es-MX"/>
        </w:rPr>
        <w:t>T</w:t>
      </w:r>
      <w:r w:rsidR="00F1012B">
        <w:rPr>
          <w:rFonts w:ascii="ITC Avant Garde" w:hAnsi="ITC Avant Garde"/>
          <w:lang w:val="es-MX"/>
        </w:rPr>
        <w:t>elevision</w:t>
      </w:r>
      <w:proofErr w:type="spellEnd"/>
      <w:r w:rsidRPr="00CD0C09">
        <w:rPr>
          <w:rFonts w:ascii="ITC Avant Garde" w:hAnsi="ITC Avant Garde"/>
          <w:lang w:val="es-MX"/>
        </w:rPr>
        <w:t xml:space="preserve"> y aumento de líneas arrendadas y servicios de datos. Con incrementos tan amplios, los enfoques tradicionales de asignación pueden seguir siendo necesarios para calcular los costos de servicios más pequeños (por ejemplo, para originar llamadas dentro del incremento de voz).</w:t>
      </w:r>
    </w:p>
    <w:p w:rsidR="00724174" w:rsidRPr="00CD0C09" w:rsidRDefault="00724174" w:rsidP="00724174">
      <w:pPr>
        <w:rPr>
          <w:rFonts w:ascii="ITC Avant Garde" w:hAnsi="ITC Avant Garde"/>
          <w:lang w:val="es-MX"/>
        </w:rPr>
      </w:pPr>
      <w:r w:rsidRPr="00CD0C09">
        <w:rPr>
          <w:rFonts w:ascii="ITC Avant Garde" w:hAnsi="ITC Avant Garde"/>
          <w:lang w:val="es-MX"/>
        </w:rPr>
        <w:t>Alternativ</w:t>
      </w:r>
      <w:r w:rsidR="004B276B" w:rsidRPr="00CD0C09">
        <w:rPr>
          <w:rFonts w:ascii="ITC Avant Garde" w:hAnsi="ITC Avant Garde"/>
          <w:lang w:val="es-MX"/>
        </w:rPr>
        <w:t>amente</w:t>
      </w:r>
      <w:r w:rsidRPr="00CD0C09">
        <w:rPr>
          <w:rFonts w:ascii="ITC Avant Garde" w:hAnsi="ITC Avant Garde"/>
          <w:lang w:val="es-MX"/>
        </w:rPr>
        <w:t>, el método de capacidad efectiva, que pertenece a la familia de 'reglas proporcionales' es un enfoque técnico tradicional que también se usa comúnmente y permite tener una asignación de costos específica de un servicio a otro.</w:t>
      </w:r>
    </w:p>
    <w:p w:rsidR="00724174" w:rsidRPr="00CD0C09" w:rsidRDefault="00724174" w:rsidP="00724174">
      <w:pPr>
        <w:rPr>
          <w:rFonts w:ascii="ITC Avant Garde" w:hAnsi="ITC Avant Garde"/>
          <w:lang w:val="es-MX"/>
        </w:rPr>
      </w:pPr>
      <w:r w:rsidRPr="00CD0C09">
        <w:rPr>
          <w:rFonts w:ascii="ITC Avant Garde" w:hAnsi="ITC Avant Garde"/>
          <w:lang w:val="es-MX"/>
        </w:rPr>
        <w:lastRenderedPageBreak/>
        <w:t>Por otro lado, el enfoque EPMU es comúnmente utilizado como una solución considerablemente más práctica. Si bien este enfoque parece ser simple y práctico, también puede presentar algunas limitaciones, especialmente cuando los costos comunes y conjuntos representan una cantidad importante de la base de costos.</w:t>
      </w:r>
    </w:p>
    <w:p w:rsidR="00724174" w:rsidRPr="00CD0C09" w:rsidRDefault="00724174" w:rsidP="00724174">
      <w:pPr>
        <w:rPr>
          <w:rFonts w:ascii="ITC Avant Garde" w:hAnsi="ITC Avant Garde"/>
          <w:lang w:val="es-MX"/>
        </w:rPr>
      </w:pPr>
      <w:r w:rsidRPr="00CD0C09">
        <w:rPr>
          <w:rFonts w:ascii="ITC Avant Garde" w:hAnsi="ITC Avant Garde"/>
          <w:lang w:val="es-MX"/>
        </w:rPr>
        <w:t xml:space="preserve">La mayoría de estos costos indirectos podrían dividirse entre las empresas mayoristas y minoristas, de modo que los métodos de asignación basados </w:t>
      </w:r>
      <w:r w:rsidRPr="00872052">
        <w:rPr>
          <w:rFonts w:cs="Arial"/>
          <w:lang w:val="es-MX"/>
        </w:rPr>
        <w:t>​​</w:t>
      </w:r>
      <w:r w:rsidRPr="00CD0C09">
        <w:rPr>
          <w:rFonts w:ascii="ITC Avant Garde" w:hAnsi="ITC Avant Garde"/>
          <w:lang w:val="es-MX"/>
        </w:rPr>
        <w:t>en la actividad se podr</w:t>
      </w:r>
      <w:r w:rsidRPr="00CD0C09">
        <w:rPr>
          <w:rFonts w:ascii="ITC Avant Garde" w:hAnsi="ITC Avant Garde" w:cs="ITC Avant Garde"/>
          <w:lang w:val="es-MX"/>
        </w:rPr>
        <w:t>í</w:t>
      </w:r>
      <w:r w:rsidRPr="00CD0C09">
        <w:rPr>
          <w:rFonts w:ascii="ITC Avant Garde" w:hAnsi="ITC Avant Garde"/>
          <w:lang w:val="es-MX"/>
        </w:rPr>
        <w:t>an utilizar para determinar su magnitud, a trav</w:t>
      </w:r>
      <w:r w:rsidRPr="00CD0C09">
        <w:rPr>
          <w:rFonts w:ascii="ITC Avant Garde" w:hAnsi="ITC Avant Garde" w:cs="ITC Avant Garde"/>
          <w:lang w:val="es-MX"/>
        </w:rPr>
        <w:t>é</w:t>
      </w:r>
      <w:r w:rsidRPr="00CD0C09">
        <w:rPr>
          <w:rFonts w:ascii="ITC Avant Garde" w:hAnsi="ITC Avant Garde"/>
          <w:lang w:val="es-MX"/>
        </w:rPr>
        <w:t>s de m</w:t>
      </w:r>
      <w:r w:rsidRPr="00CD0C09">
        <w:rPr>
          <w:rFonts w:ascii="ITC Avant Garde" w:hAnsi="ITC Avant Garde" w:cs="ITC Avant Garde"/>
          <w:lang w:val="es-MX"/>
        </w:rPr>
        <w:t>é</w:t>
      </w:r>
      <w:r w:rsidRPr="00CD0C09">
        <w:rPr>
          <w:rFonts w:ascii="ITC Avant Garde" w:hAnsi="ITC Avant Garde"/>
          <w:lang w:val="es-MX"/>
        </w:rPr>
        <w:t xml:space="preserve">todos EPMU basados </w:t>
      </w:r>
      <w:r w:rsidRPr="00872052">
        <w:rPr>
          <w:rFonts w:cs="Arial"/>
          <w:lang w:val="es-MX"/>
        </w:rPr>
        <w:t>​​</w:t>
      </w:r>
      <w:r w:rsidRPr="00CD0C09">
        <w:rPr>
          <w:rFonts w:ascii="ITC Avant Garde" w:hAnsi="ITC Avant Garde"/>
          <w:lang w:val="es-MX"/>
        </w:rPr>
        <w:t>en los ingresos.</w:t>
      </w:r>
    </w:p>
    <w:p w:rsidR="00724174" w:rsidRPr="00CD0C09" w:rsidRDefault="00724174" w:rsidP="00724174">
      <w:pPr>
        <w:rPr>
          <w:rFonts w:ascii="ITC Avant Garde" w:hAnsi="ITC Avant Garde"/>
          <w:lang w:val="es-MX"/>
        </w:rPr>
      </w:pPr>
      <w:r w:rsidRPr="00CD0C09">
        <w:rPr>
          <w:rFonts w:ascii="ITC Avant Garde" w:hAnsi="ITC Avant Garde"/>
          <w:lang w:val="es-MX"/>
        </w:rPr>
        <w:t>En cuanto a</w:t>
      </w:r>
      <w:r w:rsidR="002C27B6" w:rsidRPr="00CD0C09">
        <w:rPr>
          <w:rFonts w:ascii="ITC Avant Garde" w:hAnsi="ITC Avant Garde"/>
          <w:lang w:val="es-MX"/>
        </w:rPr>
        <w:t xml:space="preserve"> </w:t>
      </w:r>
      <w:r w:rsidRPr="00CD0C09">
        <w:rPr>
          <w:rFonts w:ascii="ITC Avant Garde" w:hAnsi="ITC Avant Garde"/>
          <w:lang w:val="es-MX"/>
        </w:rPr>
        <w:t>l</w:t>
      </w:r>
      <w:r w:rsidR="002C27B6" w:rsidRPr="00CD0C09">
        <w:rPr>
          <w:rFonts w:ascii="ITC Avant Garde" w:hAnsi="ITC Avant Garde"/>
          <w:lang w:val="es-MX"/>
        </w:rPr>
        <w:t>os</w:t>
      </w:r>
      <w:r w:rsidRPr="00CD0C09">
        <w:rPr>
          <w:rFonts w:ascii="ITC Avant Garde" w:hAnsi="ITC Avant Garde"/>
          <w:lang w:val="es-MX"/>
        </w:rPr>
        <w:t xml:space="preserve"> costo</w:t>
      </w:r>
      <w:r w:rsidR="002C27B6" w:rsidRPr="00CD0C09">
        <w:rPr>
          <w:rFonts w:ascii="ITC Avant Garde" w:hAnsi="ITC Avant Garde"/>
          <w:lang w:val="es-MX"/>
        </w:rPr>
        <w:t>s</w:t>
      </w:r>
      <w:r w:rsidRPr="00CD0C09">
        <w:rPr>
          <w:rFonts w:ascii="ITC Avant Garde" w:hAnsi="ITC Avant Garde"/>
          <w:lang w:val="es-MX"/>
        </w:rPr>
        <w:t xml:space="preserve"> indirecto</w:t>
      </w:r>
      <w:r w:rsidR="002C27B6" w:rsidRPr="00CD0C09">
        <w:rPr>
          <w:rFonts w:ascii="ITC Avant Garde" w:hAnsi="ITC Avant Garde"/>
          <w:lang w:val="es-MX"/>
        </w:rPr>
        <w:t>s</w:t>
      </w:r>
      <w:r w:rsidRPr="00CD0C09">
        <w:rPr>
          <w:rFonts w:ascii="ITC Avant Garde" w:hAnsi="ITC Avant Garde"/>
          <w:lang w:val="es-MX"/>
        </w:rPr>
        <w:t xml:space="preserve"> de la red, </w:t>
      </w:r>
      <w:r w:rsidR="002C27B6" w:rsidRPr="00CD0C09">
        <w:rPr>
          <w:rFonts w:ascii="ITC Avant Garde" w:hAnsi="ITC Avant Garde"/>
          <w:lang w:val="es-MX"/>
        </w:rPr>
        <w:t>cabe destacar</w:t>
      </w:r>
      <w:r w:rsidRPr="00CD0C09">
        <w:rPr>
          <w:rFonts w:ascii="ITC Avant Garde" w:hAnsi="ITC Avant Garde"/>
          <w:lang w:val="es-MX"/>
        </w:rPr>
        <w:t xml:space="preserve"> que se han utilizado dos métodos diferentes para ambos modelos.</w:t>
      </w:r>
    </w:p>
    <w:p w:rsidR="00724174" w:rsidRPr="00CD0C09" w:rsidRDefault="00724174" w:rsidP="00724174">
      <w:pPr>
        <w:rPr>
          <w:rFonts w:ascii="ITC Avant Garde" w:hAnsi="ITC Avant Garde"/>
          <w:lang w:val="es-MX"/>
        </w:rPr>
      </w:pPr>
      <w:r w:rsidRPr="00CD0C09">
        <w:rPr>
          <w:rFonts w:ascii="ITC Avant Garde" w:hAnsi="ITC Avant Garde"/>
          <w:lang w:val="es-MX"/>
        </w:rPr>
        <w:t>Para el modelo de cobre, el enfoque EPMU se ha utilizado:</w:t>
      </w:r>
      <w:r w:rsidR="002C27B6" w:rsidRPr="00CD0C09">
        <w:rPr>
          <w:rStyle w:val="Refdenotaalpie"/>
          <w:rFonts w:ascii="ITC Avant Garde" w:hAnsi="ITC Avant Garde"/>
          <w:lang w:val="es-MX" w:eastAsia="x-none"/>
        </w:rPr>
        <w:t xml:space="preserve"> </w:t>
      </w:r>
      <w:r w:rsidR="002C27B6" w:rsidRPr="00CD0C09">
        <w:rPr>
          <w:rStyle w:val="Refdenotaalpie"/>
          <w:rFonts w:ascii="ITC Avant Garde" w:hAnsi="ITC Avant Garde"/>
          <w:lang w:eastAsia="x-none"/>
        </w:rPr>
        <w:footnoteReference w:id="38"/>
      </w:r>
    </w:p>
    <w:p w:rsidR="00724174" w:rsidRPr="00CD0C09" w:rsidRDefault="00724174" w:rsidP="00C73E49">
      <w:pPr>
        <w:ind w:left="567" w:right="565"/>
        <w:rPr>
          <w:rFonts w:ascii="ITC Avant Garde" w:hAnsi="ITC Avant Garde"/>
          <w:i/>
          <w:lang w:val="es-MX"/>
        </w:rPr>
      </w:pPr>
      <w:r w:rsidRPr="00CD0C09">
        <w:rPr>
          <w:rFonts w:ascii="ITC Avant Garde" w:hAnsi="ITC Avant Garde"/>
          <w:i/>
          <w:lang w:val="es-MX"/>
        </w:rPr>
        <w:t xml:space="preserve">«Asignación de costos </w:t>
      </w:r>
      <w:r w:rsidR="004B276B" w:rsidRPr="00CD0C09">
        <w:rPr>
          <w:rFonts w:ascii="ITC Avant Garde" w:hAnsi="ITC Avant Garde"/>
          <w:i/>
          <w:lang w:val="es-MX"/>
        </w:rPr>
        <w:t>comunes</w:t>
      </w:r>
      <w:r w:rsidRPr="00CD0C09">
        <w:rPr>
          <w:rFonts w:ascii="ITC Avant Garde" w:hAnsi="ITC Avant Garde"/>
          <w:i/>
          <w:lang w:val="es-MX"/>
        </w:rPr>
        <w:t xml:space="preserve"> [.</w:t>
      </w:r>
      <w:r w:rsidR="005828C0">
        <w:rPr>
          <w:rFonts w:ascii="ITC Avant Garde" w:hAnsi="ITC Avant Garde"/>
          <w:i/>
          <w:lang w:val="es-MX"/>
        </w:rPr>
        <w:t>.</w:t>
      </w:r>
      <w:r w:rsidRPr="00CD0C09">
        <w:rPr>
          <w:rFonts w:ascii="ITC Avant Garde" w:hAnsi="ITC Avant Garde"/>
          <w:i/>
          <w:lang w:val="es-MX"/>
        </w:rPr>
        <w:t>.] = EPMU;</w:t>
      </w:r>
    </w:p>
    <w:p w:rsidR="00724174" w:rsidRPr="00CD0C09" w:rsidRDefault="00724174" w:rsidP="00C73E49">
      <w:pPr>
        <w:ind w:left="567" w:right="565"/>
        <w:rPr>
          <w:rFonts w:ascii="ITC Avant Garde" w:hAnsi="ITC Avant Garde"/>
          <w:i/>
          <w:lang w:val="es-MX"/>
        </w:rPr>
      </w:pPr>
      <w:r w:rsidRPr="00CD0C09">
        <w:rPr>
          <w:rFonts w:ascii="ITC Avant Garde" w:hAnsi="ITC Avant Garde"/>
          <w:i/>
          <w:lang w:val="es-MX"/>
        </w:rPr>
        <w:t xml:space="preserve">Los costos comunes son recuperados como un recargo, esto es de forma proporcional a los costos totales sin </w:t>
      </w:r>
      <w:r w:rsidR="004B276B" w:rsidRPr="00CD0C09">
        <w:rPr>
          <w:rFonts w:ascii="ITC Avant Garde" w:hAnsi="ITC Avant Garde"/>
          <w:i/>
          <w:lang w:val="es-MX"/>
        </w:rPr>
        <w:t>recargos»</w:t>
      </w:r>
    </w:p>
    <w:p w:rsidR="00724174" w:rsidRPr="00CD0C09" w:rsidRDefault="00724174" w:rsidP="00724174">
      <w:pPr>
        <w:rPr>
          <w:rFonts w:ascii="ITC Avant Garde" w:hAnsi="ITC Avant Garde"/>
          <w:lang w:val="es-MX"/>
        </w:rPr>
      </w:pPr>
      <w:r w:rsidRPr="00CD0C09">
        <w:rPr>
          <w:rFonts w:ascii="ITC Avant Garde" w:hAnsi="ITC Avant Garde"/>
          <w:lang w:val="es-MX"/>
        </w:rPr>
        <w:t xml:space="preserve">Por otro lado, en el modelo de costo de fibra, el método utilizado para </w:t>
      </w:r>
      <w:r w:rsidR="002C27B6" w:rsidRPr="00CD0C09">
        <w:rPr>
          <w:rFonts w:ascii="ITC Avant Garde" w:hAnsi="ITC Avant Garde"/>
          <w:lang w:val="es-MX"/>
        </w:rPr>
        <w:t>los OPEX</w:t>
      </w:r>
      <w:r w:rsidRPr="00CD0C09">
        <w:rPr>
          <w:rFonts w:ascii="ITC Avant Garde" w:hAnsi="ITC Avant Garde"/>
          <w:lang w:val="es-MX"/>
        </w:rPr>
        <w:t xml:space="preserve"> </w:t>
      </w:r>
      <w:r w:rsidR="002C27B6" w:rsidRPr="00CD0C09">
        <w:rPr>
          <w:rFonts w:ascii="ITC Avant Garde" w:hAnsi="ITC Avant Garde"/>
          <w:lang w:val="es-MX"/>
        </w:rPr>
        <w:t xml:space="preserve">de red </w:t>
      </w:r>
      <w:r w:rsidRPr="00CD0C09">
        <w:rPr>
          <w:rFonts w:ascii="ITC Avant Garde" w:hAnsi="ITC Avant Garde"/>
          <w:lang w:val="es-MX"/>
        </w:rPr>
        <w:t xml:space="preserve">es el enfoque de </w:t>
      </w:r>
      <w:r w:rsidR="00A14090">
        <w:rPr>
          <w:rFonts w:ascii="ITC Avant Garde" w:hAnsi="ITC Avant Garde"/>
          <w:lang w:val="es-MX"/>
        </w:rPr>
        <w:t>c</w:t>
      </w:r>
      <w:r w:rsidRPr="00CD0C09">
        <w:rPr>
          <w:rFonts w:ascii="ITC Avant Garde" w:hAnsi="ITC Avant Garde"/>
          <w:lang w:val="es-MX"/>
        </w:rPr>
        <w:t>apacidad efectiva:</w:t>
      </w:r>
      <w:r w:rsidR="002C27B6" w:rsidRPr="00CD0C09">
        <w:rPr>
          <w:rStyle w:val="Refdenotaalpie"/>
          <w:rFonts w:ascii="ITC Avant Garde" w:hAnsi="ITC Avant Garde"/>
          <w:lang w:val="es-MX"/>
        </w:rPr>
        <w:t xml:space="preserve"> </w:t>
      </w:r>
      <w:r w:rsidR="002C27B6" w:rsidRPr="00CD0C09">
        <w:rPr>
          <w:rStyle w:val="Refdenotaalpie"/>
          <w:rFonts w:ascii="ITC Avant Garde" w:hAnsi="ITC Avant Garde"/>
        </w:rPr>
        <w:footnoteReference w:id="39"/>
      </w:r>
    </w:p>
    <w:p w:rsidR="00724174" w:rsidRPr="00CD0C09" w:rsidRDefault="00724174" w:rsidP="00C73E49">
      <w:pPr>
        <w:ind w:left="567" w:right="565"/>
        <w:rPr>
          <w:rFonts w:ascii="ITC Avant Garde" w:hAnsi="ITC Avant Garde"/>
          <w:i/>
          <w:lang w:val="es-MX"/>
        </w:rPr>
      </w:pPr>
      <w:r w:rsidRPr="00CD0C09">
        <w:rPr>
          <w:rFonts w:ascii="ITC Avant Garde" w:hAnsi="ITC Avant Garde"/>
          <w:i/>
          <w:lang w:val="es-MX"/>
        </w:rPr>
        <w:t xml:space="preserve">«La metodología de Capacidad Requerida, por otro </w:t>
      </w:r>
      <w:r w:rsidR="004B276B" w:rsidRPr="00CD0C09">
        <w:rPr>
          <w:rFonts w:ascii="ITC Avant Garde" w:hAnsi="ITC Avant Garde"/>
          <w:i/>
          <w:lang w:val="es-MX"/>
        </w:rPr>
        <w:t>lado,</w:t>
      </w:r>
      <w:r w:rsidRPr="00CD0C09">
        <w:rPr>
          <w:rFonts w:ascii="ITC Avant Garde" w:hAnsi="ITC Avant Garde"/>
          <w:i/>
          <w:lang w:val="es-MX"/>
        </w:rPr>
        <w:t xml:space="preserve"> equilibra, entre complejidad de implementación y causalidad del reparto. Es por esto que esta última metodología se considera más adecuada para el reparto de los costos comunes de la red de acceso. "</w:t>
      </w:r>
    </w:p>
    <w:p w:rsidR="00724174" w:rsidRPr="00CD0C09" w:rsidRDefault="00724174" w:rsidP="00724174">
      <w:pPr>
        <w:rPr>
          <w:rFonts w:ascii="ITC Avant Garde" w:hAnsi="ITC Avant Garde"/>
          <w:lang w:val="es-MX"/>
        </w:rPr>
      </w:pPr>
      <w:r w:rsidRPr="00CD0C09">
        <w:rPr>
          <w:rFonts w:ascii="ITC Avant Garde" w:hAnsi="ITC Avant Garde"/>
          <w:lang w:val="es-MX"/>
        </w:rPr>
        <w:t>Con respecto al costo indirecto no relacionado con la red, el método de asignación de costos EPMU se adopta en el modelo de costo de fibra:</w:t>
      </w:r>
      <w:r w:rsidR="002C27B6" w:rsidRPr="00CD0C09">
        <w:rPr>
          <w:rStyle w:val="Refdenotaalpie"/>
          <w:rFonts w:ascii="ITC Avant Garde" w:hAnsi="ITC Avant Garde"/>
          <w:lang w:val="es-MX" w:eastAsia="x-none"/>
        </w:rPr>
        <w:t xml:space="preserve"> </w:t>
      </w:r>
      <w:r w:rsidR="002C27B6" w:rsidRPr="00CD0C09">
        <w:rPr>
          <w:rStyle w:val="Refdenotaalpie"/>
          <w:rFonts w:ascii="ITC Avant Garde" w:hAnsi="ITC Avant Garde"/>
          <w:lang w:val="en-US" w:eastAsia="x-none"/>
        </w:rPr>
        <w:footnoteReference w:id="40"/>
      </w:r>
    </w:p>
    <w:p w:rsidR="00724174" w:rsidRPr="00CD0C09" w:rsidRDefault="00724174" w:rsidP="00C73E49">
      <w:pPr>
        <w:ind w:left="567" w:right="565"/>
        <w:rPr>
          <w:rFonts w:ascii="ITC Avant Garde" w:hAnsi="ITC Avant Garde"/>
          <w:i/>
          <w:lang w:val="es-MX"/>
        </w:rPr>
      </w:pPr>
      <w:r w:rsidRPr="00CD0C09">
        <w:rPr>
          <w:rFonts w:ascii="ITC Avant Garde" w:hAnsi="ITC Avant Garde"/>
          <w:i/>
          <w:lang w:val="es-MX"/>
        </w:rPr>
        <w:t>«Adoptado. Asignación de costos no comunes de rojo</w:t>
      </w:r>
    </w:p>
    <w:p w:rsidR="00724174" w:rsidRPr="00CD0C09" w:rsidRDefault="00724174" w:rsidP="00C73E49">
      <w:pPr>
        <w:ind w:left="567" w:right="565"/>
        <w:rPr>
          <w:rFonts w:ascii="ITC Avant Garde" w:hAnsi="ITC Avant Garde"/>
          <w:i/>
          <w:lang w:val="es-MX"/>
        </w:rPr>
      </w:pPr>
      <w:r w:rsidRPr="00CD0C09">
        <w:rPr>
          <w:rFonts w:ascii="ITC Avant Garde" w:hAnsi="ITC Avant Garde"/>
          <w:i/>
          <w:lang w:val="es-MX"/>
        </w:rPr>
        <w:t xml:space="preserve">Se usa un enfoque EPMU para la asignación de </w:t>
      </w:r>
      <w:r w:rsidR="004B276B" w:rsidRPr="00CD0C09">
        <w:rPr>
          <w:rFonts w:ascii="ITC Avant Garde" w:hAnsi="ITC Avant Garde"/>
          <w:i/>
          <w:lang w:val="es-MX"/>
        </w:rPr>
        <w:t>costos»</w:t>
      </w:r>
    </w:p>
    <w:p w:rsidR="002C27B6" w:rsidRPr="00CD0C09" w:rsidRDefault="002C27B6" w:rsidP="00724174">
      <w:pPr>
        <w:rPr>
          <w:rFonts w:ascii="ITC Avant Garde" w:hAnsi="ITC Avant Garde"/>
          <w:lang w:val="es-MX"/>
        </w:rPr>
      </w:pPr>
    </w:p>
    <w:p w:rsidR="00724174" w:rsidRPr="00CD0C09" w:rsidRDefault="00724174" w:rsidP="00724174">
      <w:pPr>
        <w:rPr>
          <w:rFonts w:ascii="ITC Avant Garde" w:hAnsi="ITC Avant Garde"/>
          <w:lang w:val="es-MX"/>
        </w:rPr>
      </w:pPr>
      <w:r w:rsidRPr="00CD0C09">
        <w:rPr>
          <w:rFonts w:ascii="ITC Avant Garde" w:hAnsi="ITC Avant Garde"/>
          <w:lang w:val="es-MX"/>
        </w:rPr>
        <w:t>El mismo enfoque se usa en el modelo de cobre.</w:t>
      </w:r>
    </w:p>
    <w:p w:rsidR="00724174" w:rsidRPr="00CD0C09" w:rsidRDefault="00724174" w:rsidP="00724174">
      <w:pPr>
        <w:rPr>
          <w:rFonts w:ascii="ITC Avant Garde" w:hAnsi="ITC Avant Garde"/>
          <w:lang w:val="es-MX"/>
        </w:rPr>
      </w:pPr>
    </w:p>
    <w:p w:rsidR="00724174" w:rsidRPr="00CD0C09" w:rsidRDefault="00724174" w:rsidP="002C27B6">
      <w:pPr>
        <w:pStyle w:val="Encadr3"/>
        <w:rPr>
          <w:rFonts w:ascii="ITC Avant Garde" w:hAnsi="ITC Avant Garde"/>
          <w:lang w:val="es-MX"/>
        </w:rPr>
      </w:pPr>
      <w:r w:rsidRPr="00CD0C09">
        <w:rPr>
          <w:rFonts w:ascii="ITC Avant Garde" w:hAnsi="ITC Avant Garde"/>
          <w:lang w:val="es-MX"/>
        </w:rPr>
        <w:t xml:space="preserve">Criterio </w:t>
      </w:r>
      <w:r w:rsidR="00F9290D" w:rsidRPr="00CD0C09">
        <w:rPr>
          <w:rFonts w:ascii="ITC Avant Garde" w:hAnsi="ITC Avant Garde"/>
          <w:lang w:val="es-MX"/>
        </w:rPr>
        <w:t>28</w:t>
      </w:r>
      <w:r w:rsidRPr="00CD0C09">
        <w:rPr>
          <w:rFonts w:ascii="ITC Avant Garde" w:hAnsi="ITC Avant Garde"/>
          <w:lang w:val="es-MX"/>
        </w:rPr>
        <w:t>: l</w:t>
      </w:r>
      <w:r w:rsidR="002C27B6" w:rsidRPr="00CD0C09">
        <w:rPr>
          <w:rFonts w:ascii="ITC Avant Garde" w:hAnsi="ITC Avant Garde"/>
          <w:lang w:val="es-MX"/>
        </w:rPr>
        <w:t>os OPEX de</w:t>
      </w:r>
      <w:r w:rsidRPr="00CD0C09">
        <w:rPr>
          <w:rFonts w:ascii="ITC Avant Garde" w:hAnsi="ITC Avant Garde"/>
          <w:lang w:val="es-MX"/>
        </w:rPr>
        <w:t xml:space="preserve"> red </w:t>
      </w:r>
      <w:r w:rsidR="009F5817" w:rsidRPr="00CD0C09">
        <w:rPr>
          <w:rFonts w:ascii="ITC Avant Garde" w:hAnsi="ITC Avant Garde"/>
          <w:lang w:val="es-MX"/>
        </w:rPr>
        <w:t>indirectos,</w:t>
      </w:r>
      <w:r w:rsidR="00C53D5E" w:rsidRPr="00CD0C09">
        <w:rPr>
          <w:rFonts w:ascii="ITC Avant Garde" w:hAnsi="ITC Avant Garde"/>
          <w:lang w:val="es-MX"/>
        </w:rPr>
        <w:t xml:space="preserve"> así</w:t>
      </w:r>
      <w:r w:rsidR="002C27B6" w:rsidRPr="00CD0C09">
        <w:rPr>
          <w:rFonts w:ascii="ITC Avant Garde" w:hAnsi="ITC Avant Garde"/>
          <w:lang w:val="es-MX"/>
        </w:rPr>
        <w:t xml:space="preserve"> como los OPEX </w:t>
      </w:r>
      <w:r w:rsidRPr="00CD0C09">
        <w:rPr>
          <w:rFonts w:ascii="ITC Avant Garde" w:hAnsi="ITC Avant Garde"/>
          <w:lang w:val="es-MX"/>
        </w:rPr>
        <w:t xml:space="preserve">no </w:t>
      </w:r>
      <w:r w:rsidR="002C27B6" w:rsidRPr="00CD0C09">
        <w:rPr>
          <w:rFonts w:ascii="ITC Avant Garde" w:hAnsi="ITC Avant Garde"/>
          <w:lang w:val="es-MX"/>
        </w:rPr>
        <w:t xml:space="preserve">relacionados con la </w:t>
      </w:r>
      <w:r w:rsidRPr="00CD0C09">
        <w:rPr>
          <w:rFonts w:ascii="ITC Avant Garde" w:hAnsi="ITC Avant Garde"/>
          <w:lang w:val="es-MX"/>
        </w:rPr>
        <w:t xml:space="preserve">red se </w:t>
      </w:r>
      <w:proofErr w:type="spellStart"/>
      <w:r w:rsidR="005E4098">
        <w:rPr>
          <w:rFonts w:ascii="ITC Avant Garde" w:hAnsi="ITC Avant Garde"/>
          <w:lang w:val="es-MX"/>
        </w:rPr>
        <w:t>evaluan</w:t>
      </w:r>
      <w:proofErr w:type="spellEnd"/>
      <w:r w:rsidR="005E4098" w:rsidRPr="00CD0C09">
        <w:rPr>
          <w:rFonts w:ascii="ITC Avant Garde" w:hAnsi="ITC Avant Garde"/>
          <w:lang w:val="es-MX"/>
        </w:rPr>
        <w:t xml:space="preserve"> </w:t>
      </w:r>
      <w:r w:rsidRPr="00CD0C09">
        <w:rPr>
          <w:rFonts w:ascii="ITC Avant Garde" w:hAnsi="ITC Avant Garde"/>
          <w:lang w:val="es-MX"/>
        </w:rPr>
        <w:t xml:space="preserve">a través de un enfoque </w:t>
      </w:r>
      <w:r w:rsidR="002C27B6" w:rsidRPr="00CD0C09">
        <w:rPr>
          <w:rFonts w:ascii="ITC Avant Garde" w:hAnsi="ITC Avant Garde"/>
          <w:lang w:val="es-MX"/>
        </w:rPr>
        <w:t>Top Down</w:t>
      </w:r>
      <w:r w:rsidRPr="00CD0C09">
        <w:rPr>
          <w:rFonts w:ascii="ITC Avant Garde" w:hAnsi="ITC Avant Garde"/>
          <w:lang w:val="es-MX"/>
        </w:rPr>
        <w:t xml:space="preserve">. </w:t>
      </w:r>
      <w:r w:rsidR="002C27B6" w:rsidRPr="00CD0C09">
        <w:rPr>
          <w:rFonts w:ascii="ITC Avant Garde" w:hAnsi="ITC Avant Garde"/>
          <w:lang w:val="es-MX"/>
        </w:rPr>
        <w:t xml:space="preserve">Una asignación </w:t>
      </w:r>
      <w:r w:rsidRPr="00CD0C09">
        <w:rPr>
          <w:rFonts w:ascii="ITC Avant Garde" w:hAnsi="ITC Avant Garde"/>
          <w:lang w:val="es-MX"/>
        </w:rPr>
        <w:t>proporcional EPMU se usará en el modelo.</w:t>
      </w:r>
    </w:p>
    <w:p w:rsidR="00724174" w:rsidRPr="00CD0C09" w:rsidRDefault="00A14090" w:rsidP="00724174">
      <w:pPr>
        <w:pStyle w:val="Ttulo3"/>
        <w:rPr>
          <w:rFonts w:ascii="ITC Avant Garde" w:hAnsi="ITC Avant Garde"/>
          <w:lang w:val="es-MX"/>
        </w:rPr>
      </w:pPr>
      <w:bookmarkStart w:id="157" w:name="_Toc525665288"/>
      <w:bookmarkStart w:id="158" w:name="_Toc525665667"/>
      <w:bookmarkStart w:id="159" w:name="_Toc526854368"/>
      <w:r>
        <w:rPr>
          <w:rFonts w:ascii="ITC Avant Garde" w:hAnsi="ITC Avant Garde"/>
          <w:lang w:val="es-MX"/>
        </w:rPr>
        <w:lastRenderedPageBreak/>
        <w:t>C</w:t>
      </w:r>
      <w:r w:rsidR="00724174" w:rsidRPr="00CD0C09">
        <w:rPr>
          <w:rFonts w:ascii="ITC Avant Garde" w:hAnsi="ITC Avant Garde"/>
          <w:lang w:val="es-MX"/>
        </w:rPr>
        <w:t xml:space="preserve">osto del capital </w:t>
      </w:r>
      <w:r w:rsidR="008C2FF5" w:rsidRPr="00CD0C09">
        <w:rPr>
          <w:rFonts w:ascii="ITC Avant Garde" w:hAnsi="ITC Avant Garde"/>
          <w:lang w:val="es-MX"/>
        </w:rPr>
        <w:t>circulante</w:t>
      </w:r>
      <w:bookmarkEnd w:id="157"/>
      <w:bookmarkEnd w:id="158"/>
      <w:bookmarkEnd w:id="159"/>
    </w:p>
    <w:p w:rsidR="00724174" w:rsidRPr="00CD0C09" w:rsidRDefault="00724174" w:rsidP="00724174">
      <w:pPr>
        <w:rPr>
          <w:rFonts w:ascii="ITC Avant Garde" w:hAnsi="ITC Avant Garde"/>
          <w:lang w:val="es-MX"/>
        </w:rPr>
      </w:pPr>
      <w:r w:rsidRPr="00CD0C09">
        <w:rPr>
          <w:rFonts w:ascii="ITC Avant Garde" w:hAnsi="ITC Avant Garde"/>
          <w:lang w:val="es-MX"/>
        </w:rPr>
        <w:t xml:space="preserve">La actividad de un operador de comunicaciones electrónicas requiere </w:t>
      </w:r>
      <w:r w:rsidR="002C27B6" w:rsidRPr="00CD0C09">
        <w:rPr>
          <w:rFonts w:ascii="ITC Avant Garde" w:hAnsi="ITC Avant Garde"/>
          <w:lang w:val="es-MX"/>
        </w:rPr>
        <w:t>(</w:t>
      </w:r>
      <w:r w:rsidRPr="00CD0C09">
        <w:rPr>
          <w:rFonts w:ascii="ITC Avant Garde" w:hAnsi="ITC Avant Garde"/>
          <w:lang w:val="es-MX"/>
        </w:rPr>
        <w:t>o genera</w:t>
      </w:r>
      <w:r w:rsidR="002C27B6" w:rsidRPr="00CD0C09">
        <w:rPr>
          <w:rFonts w:ascii="ITC Avant Garde" w:hAnsi="ITC Avant Garde"/>
          <w:lang w:val="es-MX"/>
        </w:rPr>
        <w:t>) salidas (o entradas) de</w:t>
      </w:r>
      <w:r w:rsidRPr="00CD0C09">
        <w:rPr>
          <w:rFonts w:ascii="ITC Avant Garde" w:hAnsi="ITC Avant Garde"/>
          <w:lang w:val="es-MX"/>
        </w:rPr>
        <w:t xml:space="preserve"> efectivo para las operaciones diarias: esta cantidad de efectivo se define como "capital </w:t>
      </w:r>
      <w:r w:rsidR="008C2FF5" w:rsidRPr="00CD0C09">
        <w:rPr>
          <w:rFonts w:ascii="ITC Avant Garde" w:hAnsi="ITC Avant Garde"/>
          <w:lang w:val="es-MX"/>
        </w:rPr>
        <w:t>circulante</w:t>
      </w:r>
      <w:r w:rsidRPr="00CD0C09">
        <w:rPr>
          <w:rFonts w:ascii="ITC Avant Garde" w:hAnsi="ITC Avant Garde"/>
          <w:lang w:val="es-MX"/>
        </w:rPr>
        <w:t>". Consiste en el saldo neto de los usos operativos y las fuentes de fondos, que pueden ser positivos o negativos. En el día a día, puede haber un retraso entre el día en que se incurre en un costo y el momento en que se generan los ingresos destinados a recuperar este costo.</w:t>
      </w:r>
    </w:p>
    <w:p w:rsidR="00724174" w:rsidRPr="00CD0C09" w:rsidRDefault="00724174" w:rsidP="00724174">
      <w:pPr>
        <w:rPr>
          <w:rFonts w:ascii="ITC Avant Garde" w:hAnsi="ITC Avant Garde"/>
          <w:lang w:val="es-MX"/>
        </w:rPr>
      </w:pPr>
      <w:r w:rsidRPr="00CD0C09">
        <w:rPr>
          <w:rFonts w:ascii="ITC Avant Garde" w:hAnsi="ITC Avant Garde"/>
          <w:lang w:val="es-MX"/>
        </w:rPr>
        <w:t xml:space="preserve">El capital de </w:t>
      </w:r>
      <w:r w:rsidR="008C2FF5" w:rsidRPr="00CD0C09">
        <w:rPr>
          <w:rFonts w:ascii="ITC Avant Garde" w:hAnsi="ITC Avant Garde"/>
          <w:lang w:val="es-MX"/>
        </w:rPr>
        <w:t>circulante</w:t>
      </w:r>
      <w:r w:rsidRPr="00CD0C09">
        <w:rPr>
          <w:rFonts w:ascii="ITC Avant Garde" w:hAnsi="ITC Avant Garde"/>
          <w:lang w:val="es-MX"/>
        </w:rPr>
        <w:t xml:space="preserve"> puede generar ingresos (a través de intereses) cuando sea positivo. Pero también puede generar costos financieros para el operador cuando sea negativo. Es posible que estos ingresos y costos financieros deban tenerse en cuenta en los modelos de costos. El costo del capital </w:t>
      </w:r>
      <w:r w:rsidR="008C2FF5" w:rsidRPr="00CD0C09">
        <w:rPr>
          <w:rFonts w:ascii="ITC Avant Garde" w:hAnsi="ITC Avant Garde"/>
          <w:lang w:val="es-MX"/>
        </w:rPr>
        <w:t>circulante</w:t>
      </w:r>
      <w:r w:rsidRPr="00CD0C09">
        <w:rPr>
          <w:rFonts w:ascii="ITC Avant Garde" w:hAnsi="ITC Avant Garde"/>
          <w:lang w:val="es-MX"/>
        </w:rPr>
        <w:t xml:space="preserve"> </w:t>
      </w:r>
      <w:r w:rsidR="008C2FF5" w:rsidRPr="00CD0C09">
        <w:rPr>
          <w:rFonts w:ascii="ITC Avant Garde" w:hAnsi="ITC Avant Garde"/>
          <w:lang w:val="es-MX"/>
        </w:rPr>
        <w:t xml:space="preserve">se deriva como la </w:t>
      </w:r>
      <w:r w:rsidR="00C53D5E" w:rsidRPr="00CD0C09">
        <w:rPr>
          <w:rFonts w:ascii="ITC Avant Garde" w:hAnsi="ITC Avant Garde"/>
          <w:lang w:val="es-MX"/>
        </w:rPr>
        <w:t>diferencia</w:t>
      </w:r>
      <w:r w:rsidR="008C2FF5" w:rsidRPr="00CD0C09">
        <w:rPr>
          <w:rFonts w:ascii="ITC Avant Garde" w:hAnsi="ITC Avant Garde"/>
          <w:lang w:val="es-MX"/>
        </w:rPr>
        <w:t xml:space="preserve"> entre</w:t>
      </w:r>
      <w:r w:rsidRPr="00CD0C09">
        <w:rPr>
          <w:rFonts w:ascii="ITC Avant Garde" w:hAnsi="ITC Avant Garde"/>
          <w:lang w:val="es-MX"/>
        </w:rPr>
        <w:t xml:space="preserve"> los activos corrientes</w:t>
      </w:r>
      <w:r w:rsidR="000A1C06" w:rsidRPr="00CD0C09">
        <w:rPr>
          <w:rFonts w:ascii="ITC Avant Garde" w:hAnsi="ITC Avant Garde"/>
          <w:lang w:val="es-MX"/>
        </w:rPr>
        <w:t xml:space="preserve"> </w:t>
      </w:r>
      <w:r w:rsidR="008C2FF5" w:rsidRPr="00CD0C09">
        <w:rPr>
          <w:rFonts w:ascii="ITC Avant Garde" w:hAnsi="ITC Avant Garde"/>
          <w:lang w:val="es-MX"/>
        </w:rPr>
        <w:t>y</w:t>
      </w:r>
      <w:r w:rsidRPr="00CD0C09">
        <w:rPr>
          <w:rFonts w:ascii="ITC Avant Garde" w:hAnsi="ITC Avant Garde"/>
          <w:lang w:val="es-MX"/>
        </w:rPr>
        <w:t xml:space="preserve"> los pasivos corrientes</w:t>
      </w:r>
      <w:r w:rsidR="008C2FF5" w:rsidRPr="00CD0C09">
        <w:rPr>
          <w:rFonts w:ascii="ITC Avant Garde" w:hAnsi="ITC Avant Garde"/>
          <w:lang w:val="es-MX"/>
        </w:rPr>
        <w:t xml:space="preserve"> (la diferencia es el capital circulante), que se</w:t>
      </w:r>
      <w:r w:rsidRPr="00CD0C09">
        <w:rPr>
          <w:rFonts w:ascii="ITC Avant Garde" w:hAnsi="ITC Avant Garde"/>
          <w:lang w:val="es-MX"/>
        </w:rPr>
        <w:t xml:space="preserve"> multiplica por el WACC </w:t>
      </w:r>
      <w:r w:rsidR="008C2FF5" w:rsidRPr="00CD0C09">
        <w:rPr>
          <w:rFonts w:ascii="ITC Avant Garde" w:hAnsi="ITC Avant Garde"/>
          <w:lang w:val="es-MX"/>
        </w:rPr>
        <w:t xml:space="preserve">para obtener el costo del </w:t>
      </w:r>
      <w:r w:rsidR="00C53D5E" w:rsidRPr="00CD0C09">
        <w:rPr>
          <w:rFonts w:ascii="ITC Avant Garde" w:hAnsi="ITC Avant Garde"/>
          <w:lang w:val="es-MX"/>
        </w:rPr>
        <w:t>capital circulante</w:t>
      </w:r>
      <w:r w:rsidRPr="00CD0C09">
        <w:rPr>
          <w:rFonts w:ascii="ITC Avant Garde" w:hAnsi="ITC Avant Garde"/>
          <w:lang w:val="es-MX"/>
        </w:rPr>
        <w:t>.</w:t>
      </w:r>
    </w:p>
    <w:p w:rsidR="00724174" w:rsidRPr="00CD0C09" w:rsidRDefault="00724174" w:rsidP="00724174">
      <w:pPr>
        <w:rPr>
          <w:rFonts w:ascii="ITC Avant Garde" w:hAnsi="ITC Avant Garde"/>
          <w:lang w:val="es-MX"/>
        </w:rPr>
      </w:pPr>
      <w:r w:rsidRPr="00CD0C09">
        <w:rPr>
          <w:rFonts w:ascii="ITC Avant Garde" w:hAnsi="ITC Avant Garde"/>
          <w:lang w:val="es-MX"/>
        </w:rPr>
        <w:t xml:space="preserve">Un operador de telecomunicaciones enfrenta diferentes tipos de costos que pueden generar capital </w:t>
      </w:r>
      <w:r w:rsidR="008C2FF5" w:rsidRPr="00CD0C09">
        <w:rPr>
          <w:rFonts w:ascii="ITC Avant Garde" w:hAnsi="ITC Avant Garde"/>
          <w:lang w:val="es-MX"/>
        </w:rPr>
        <w:t>circulante</w:t>
      </w:r>
      <w:r w:rsidRPr="00CD0C09">
        <w:rPr>
          <w:rFonts w:ascii="ITC Avant Garde" w:hAnsi="ITC Avant Garde"/>
          <w:lang w:val="es-MX"/>
        </w:rPr>
        <w:t>:</w:t>
      </w:r>
    </w:p>
    <w:p w:rsidR="00724174" w:rsidRPr="00CD0C09" w:rsidRDefault="00724174" w:rsidP="008C2FF5">
      <w:pPr>
        <w:pStyle w:val="Listaconvietas2"/>
        <w:rPr>
          <w:rFonts w:ascii="ITC Avant Garde" w:hAnsi="ITC Avant Garde"/>
          <w:lang w:val="es-MX"/>
        </w:rPr>
      </w:pPr>
      <w:proofErr w:type="spellStart"/>
      <w:r w:rsidRPr="00CD0C09">
        <w:rPr>
          <w:rFonts w:ascii="ITC Avant Garde" w:hAnsi="ITC Avant Garde"/>
          <w:lang w:val="es-MX"/>
        </w:rPr>
        <w:t>Capex</w:t>
      </w:r>
      <w:proofErr w:type="spellEnd"/>
      <w:r w:rsidRPr="00CD0C09">
        <w:rPr>
          <w:rFonts w:ascii="ITC Avant Garde" w:hAnsi="ITC Avant Garde"/>
          <w:lang w:val="es-MX"/>
        </w:rPr>
        <w:t xml:space="preserve"> de red;</w:t>
      </w:r>
    </w:p>
    <w:p w:rsidR="00724174" w:rsidRPr="00CD0C09" w:rsidRDefault="00724174" w:rsidP="008C2FF5">
      <w:pPr>
        <w:pStyle w:val="Listaconvietas2"/>
        <w:rPr>
          <w:rFonts w:ascii="ITC Avant Garde" w:hAnsi="ITC Avant Garde"/>
          <w:lang w:val="es-MX"/>
        </w:rPr>
      </w:pPr>
      <w:proofErr w:type="spellStart"/>
      <w:r w:rsidRPr="00CD0C09">
        <w:rPr>
          <w:rFonts w:ascii="ITC Avant Garde" w:hAnsi="ITC Avant Garde"/>
          <w:lang w:val="es-MX"/>
        </w:rPr>
        <w:t>Opex</w:t>
      </w:r>
      <w:proofErr w:type="spellEnd"/>
      <w:r w:rsidRPr="00CD0C09">
        <w:rPr>
          <w:rFonts w:ascii="ITC Avant Garde" w:hAnsi="ITC Avant Garde"/>
          <w:lang w:val="es-MX"/>
        </w:rPr>
        <w:t xml:space="preserve"> </w:t>
      </w:r>
      <w:r w:rsidR="008C2FF5" w:rsidRPr="00CD0C09">
        <w:rPr>
          <w:rFonts w:ascii="ITC Avant Garde" w:hAnsi="ITC Avant Garde"/>
          <w:lang w:val="es-MX"/>
        </w:rPr>
        <w:t>de red</w:t>
      </w:r>
      <w:r w:rsidRPr="00CD0C09">
        <w:rPr>
          <w:rFonts w:ascii="ITC Avant Garde" w:hAnsi="ITC Avant Garde"/>
          <w:lang w:val="es-MX"/>
        </w:rPr>
        <w:t>.</w:t>
      </w:r>
    </w:p>
    <w:p w:rsidR="00724174" w:rsidRPr="00CD0C09" w:rsidRDefault="00724174" w:rsidP="00724174">
      <w:pPr>
        <w:rPr>
          <w:rFonts w:ascii="ITC Avant Garde" w:hAnsi="ITC Avant Garde"/>
          <w:lang w:val="es-MX"/>
        </w:rPr>
      </w:pPr>
      <w:r w:rsidRPr="00CD0C09">
        <w:rPr>
          <w:rFonts w:ascii="ITC Avant Garde" w:hAnsi="ITC Avant Garde"/>
          <w:lang w:val="es-MX"/>
        </w:rPr>
        <w:t xml:space="preserve">Los problemas de capital </w:t>
      </w:r>
      <w:r w:rsidR="008C2FF5" w:rsidRPr="00CD0C09">
        <w:rPr>
          <w:rFonts w:ascii="ITC Avant Garde" w:hAnsi="ITC Avant Garde"/>
          <w:lang w:val="es-MX"/>
        </w:rPr>
        <w:t>circulante</w:t>
      </w:r>
      <w:r w:rsidRPr="00CD0C09">
        <w:rPr>
          <w:rFonts w:ascii="ITC Avant Garde" w:hAnsi="ITC Avant Garde"/>
          <w:lang w:val="es-MX"/>
        </w:rPr>
        <w:t xml:space="preserve"> generados por estos costos se analizan en detalle a continuación.</w:t>
      </w:r>
    </w:p>
    <w:p w:rsidR="008C2FF5" w:rsidRPr="00CD0C09" w:rsidRDefault="008C2FF5" w:rsidP="00724174">
      <w:pPr>
        <w:rPr>
          <w:rFonts w:ascii="ITC Avant Garde" w:hAnsi="ITC Avant Garde"/>
          <w:lang w:val="es-MX"/>
        </w:rPr>
      </w:pPr>
    </w:p>
    <w:p w:rsidR="00724174" w:rsidRPr="00CD0C09" w:rsidRDefault="00724174" w:rsidP="00724174">
      <w:pPr>
        <w:pStyle w:val="Ttulo4"/>
        <w:rPr>
          <w:rFonts w:ascii="ITC Avant Garde" w:hAnsi="ITC Avant Garde"/>
          <w:lang w:val="es-MX"/>
        </w:rPr>
      </w:pPr>
      <w:bookmarkStart w:id="160" w:name="_Toc525665289"/>
      <w:bookmarkStart w:id="161" w:name="_Toc525665668"/>
      <w:bookmarkStart w:id="162" w:name="_Toc526854369"/>
      <w:r w:rsidRPr="00CD0C09">
        <w:rPr>
          <w:rFonts w:ascii="ITC Avant Garde" w:hAnsi="ITC Avant Garde"/>
          <w:lang w:val="es-MX"/>
        </w:rPr>
        <w:t xml:space="preserve">Capital </w:t>
      </w:r>
      <w:r w:rsidR="00CB61CB" w:rsidRPr="00CD0C09">
        <w:rPr>
          <w:rFonts w:ascii="ITC Avant Garde" w:hAnsi="ITC Avant Garde"/>
          <w:lang w:val="es-MX"/>
        </w:rPr>
        <w:t xml:space="preserve">circulante </w:t>
      </w:r>
      <w:r w:rsidRPr="00CD0C09">
        <w:rPr>
          <w:rFonts w:ascii="ITC Avant Garde" w:hAnsi="ITC Avant Garde"/>
          <w:lang w:val="es-MX"/>
        </w:rPr>
        <w:t xml:space="preserve">por </w:t>
      </w:r>
      <w:proofErr w:type="spellStart"/>
      <w:r w:rsidRPr="00CD0C09">
        <w:rPr>
          <w:rFonts w:ascii="ITC Avant Garde" w:hAnsi="ITC Avant Garde"/>
          <w:lang w:val="es-MX"/>
        </w:rPr>
        <w:t>Capex</w:t>
      </w:r>
      <w:proofErr w:type="spellEnd"/>
      <w:r w:rsidRPr="00CD0C09">
        <w:rPr>
          <w:rFonts w:ascii="ITC Avant Garde" w:hAnsi="ITC Avant Garde"/>
          <w:lang w:val="es-MX"/>
        </w:rPr>
        <w:t xml:space="preserve"> de red</w:t>
      </w:r>
      <w:bookmarkEnd w:id="160"/>
      <w:bookmarkEnd w:id="161"/>
      <w:bookmarkEnd w:id="162"/>
    </w:p>
    <w:p w:rsidR="00724174" w:rsidRPr="00CD0C09" w:rsidRDefault="00724174" w:rsidP="00724174">
      <w:pPr>
        <w:rPr>
          <w:rFonts w:ascii="ITC Avant Garde" w:hAnsi="ITC Avant Garde"/>
          <w:lang w:val="es-MX"/>
        </w:rPr>
      </w:pPr>
      <w:r w:rsidRPr="00CD0C09">
        <w:rPr>
          <w:rFonts w:ascii="ITC Avant Garde" w:hAnsi="ITC Avant Garde"/>
          <w:lang w:val="es-MX"/>
        </w:rPr>
        <w:t>Al realizar inversiones en redes, un operador generalmente comienza a generar ingresos de su activo varios meses después de que la inversión se complete (el efectivo generado puede utilizarse para financiar el negocio, reembolsar a los accionistas y los bancos). Este período, que va desde el pago de un activo hasta su primer uso operativo, genera capital de trabajo y algunas veces se lo denomina "tiempo de construcción" (el período de "tiempo de construcción" puede variar significativamente de un activo a otro).</w:t>
      </w:r>
    </w:p>
    <w:p w:rsidR="00724174" w:rsidRPr="00CD0C09" w:rsidRDefault="00724174" w:rsidP="00724174">
      <w:pPr>
        <w:rPr>
          <w:rFonts w:ascii="ITC Avant Garde" w:hAnsi="ITC Avant Garde"/>
          <w:lang w:val="es-MX"/>
        </w:rPr>
      </w:pPr>
    </w:p>
    <w:p w:rsidR="00724174" w:rsidRPr="00CD0C09" w:rsidRDefault="00724174" w:rsidP="00724174">
      <w:pPr>
        <w:pStyle w:val="Descripcin"/>
        <w:keepNext/>
        <w:rPr>
          <w:rFonts w:ascii="ITC Avant Garde" w:hAnsi="ITC Avant Garde"/>
          <w:lang w:val="es-MX"/>
        </w:rPr>
      </w:pPr>
      <w:r w:rsidRPr="00CD0C09">
        <w:rPr>
          <w:rFonts w:ascii="ITC Avant Garde" w:hAnsi="ITC Avant Garde"/>
          <w:lang w:val="es-MX"/>
        </w:rPr>
        <w:lastRenderedPageBreak/>
        <w:t xml:space="preserve">Figura </w:t>
      </w:r>
      <w:r w:rsidR="003B6FDE">
        <w:rPr>
          <w:rFonts w:ascii="ITC Avant Garde" w:hAnsi="ITC Avant Garde"/>
          <w:lang w:val="es-MX"/>
        </w:rPr>
        <w:t>12</w:t>
      </w:r>
      <w:r w:rsidRPr="00CD0C09">
        <w:rPr>
          <w:rFonts w:ascii="ITC Avant Garde" w:hAnsi="ITC Avant Garde"/>
          <w:lang w:val="es-MX"/>
        </w:rPr>
        <w:t xml:space="preserve"> - CAPEX de red y capital </w:t>
      </w:r>
      <w:r w:rsidR="008C2FF5" w:rsidRPr="00CD0C09">
        <w:rPr>
          <w:rFonts w:ascii="ITC Avant Garde" w:hAnsi="ITC Avant Garde"/>
          <w:lang w:val="es-MX"/>
        </w:rPr>
        <w:t>circulante</w:t>
      </w:r>
      <w:r w:rsidRPr="00CD0C09">
        <w:rPr>
          <w:rFonts w:ascii="ITC Avant Garde" w:hAnsi="ITC Avant Garde"/>
          <w:lang w:val="es-MX"/>
        </w:rPr>
        <w:t xml:space="preserve"> (solo para fines ilustrativos)</w:t>
      </w:r>
    </w:p>
    <w:p w:rsidR="00724174" w:rsidRPr="00CD0C09" w:rsidRDefault="00724174" w:rsidP="00724174">
      <w:pPr>
        <w:jc w:val="center"/>
        <w:rPr>
          <w:rFonts w:ascii="ITC Avant Garde" w:hAnsi="ITC Avant Garde"/>
          <w:lang w:val="es-MX"/>
        </w:rPr>
      </w:pPr>
      <w:r w:rsidRPr="00CD0C09">
        <w:rPr>
          <w:rFonts w:ascii="ITC Avant Garde" w:hAnsi="ITC Avant Garde"/>
          <w:noProof/>
          <w:lang w:val="es-MX" w:eastAsia="es-MX"/>
        </w:rPr>
        <w:drawing>
          <wp:inline distT="0" distB="0" distL="0" distR="0" wp14:anchorId="6A2FFD68" wp14:editId="4E195E04">
            <wp:extent cx="4927600" cy="14224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7600" cy="1422400"/>
                    </a:xfrm>
                    <a:prstGeom prst="rect">
                      <a:avLst/>
                    </a:prstGeom>
                    <a:noFill/>
                    <a:ln>
                      <a:noFill/>
                    </a:ln>
                  </pic:spPr>
                </pic:pic>
              </a:graphicData>
            </a:graphic>
          </wp:inline>
        </w:drawing>
      </w:r>
    </w:p>
    <w:p w:rsidR="00724174" w:rsidRPr="00CD0C09" w:rsidRDefault="00724174" w:rsidP="00724174">
      <w:pPr>
        <w:rPr>
          <w:rFonts w:ascii="ITC Avant Garde" w:hAnsi="ITC Avant Garde"/>
          <w:lang w:val="es-MX"/>
        </w:rPr>
      </w:pPr>
      <w:r w:rsidRPr="00CD0C09">
        <w:rPr>
          <w:rFonts w:ascii="ITC Avant Garde" w:hAnsi="ITC Avant Garde"/>
          <w:lang w:val="es-MX"/>
        </w:rPr>
        <w:t>Para l</w:t>
      </w:r>
      <w:r w:rsidR="008C2FF5" w:rsidRPr="00CD0C09">
        <w:rPr>
          <w:rFonts w:ascii="ITC Avant Garde" w:hAnsi="ITC Avant Garde"/>
          <w:lang w:val="es-MX"/>
        </w:rPr>
        <w:t xml:space="preserve">os </w:t>
      </w:r>
      <w:proofErr w:type="spellStart"/>
      <w:r w:rsidRPr="00CD0C09">
        <w:rPr>
          <w:rFonts w:ascii="ITC Avant Garde" w:hAnsi="ITC Avant Garde"/>
          <w:lang w:val="es-MX"/>
        </w:rPr>
        <w:t>Capex</w:t>
      </w:r>
      <w:proofErr w:type="spellEnd"/>
      <w:r w:rsidR="008C2FF5" w:rsidRPr="00CD0C09">
        <w:rPr>
          <w:rFonts w:ascii="ITC Avant Garde" w:hAnsi="ITC Avant Garde"/>
          <w:lang w:val="es-MX"/>
        </w:rPr>
        <w:t xml:space="preserve"> de la red</w:t>
      </w:r>
      <w:r w:rsidRPr="00CD0C09">
        <w:rPr>
          <w:rFonts w:ascii="ITC Avant Garde" w:hAnsi="ITC Avant Garde"/>
          <w:lang w:val="es-MX"/>
        </w:rPr>
        <w:t xml:space="preserve">, el capital </w:t>
      </w:r>
      <w:r w:rsidR="008C2FF5" w:rsidRPr="00CD0C09">
        <w:rPr>
          <w:rFonts w:ascii="ITC Avant Garde" w:hAnsi="ITC Avant Garde"/>
          <w:lang w:val="es-MX"/>
        </w:rPr>
        <w:t>circulante</w:t>
      </w:r>
      <w:r w:rsidRPr="00CD0C09">
        <w:rPr>
          <w:rFonts w:ascii="ITC Avant Garde" w:hAnsi="ITC Avant Garde"/>
          <w:lang w:val="es-MX"/>
        </w:rPr>
        <w:t xml:space="preserve"> está, por lo tanto, vinculado al período de "tiempo de construcción" que existe entre los pagos de inversión de la red y cuando la red comienza a generar ingresos. Por ejemplo, si hay un retraso de un mes entre el momento en que se completa la inversión y el tiempo en que se generan los ingresos, entonces es necesario tener en cuenta el costo mensual del capital (es decir, multiplicar las anualidades por el WACC mensual). Esto se puede hacer multiplicando cada anualidad por (1+ WACC) </w:t>
      </w:r>
      <w:r w:rsidR="008C2FF5" w:rsidRPr="00CD0C09">
        <w:rPr>
          <w:rFonts w:ascii="ITC Avant Garde" w:hAnsi="ITC Avant Garde"/>
          <w:vertAlign w:val="superscript"/>
          <w:lang w:val="es-MX"/>
        </w:rPr>
        <w:t xml:space="preserve">tiempo </w:t>
      </w:r>
      <w:r w:rsidRPr="00CD0C09">
        <w:rPr>
          <w:rFonts w:ascii="ITC Avant Garde" w:hAnsi="ITC Avant Garde"/>
          <w:vertAlign w:val="superscript"/>
          <w:lang w:val="es-MX"/>
        </w:rPr>
        <w:t>para construir (en años)</w:t>
      </w:r>
      <w:r w:rsidRPr="00CD0C09">
        <w:rPr>
          <w:rFonts w:ascii="ITC Avant Garde" w:hAnsi="ITC Avant Garde"/>
          <w:lang w:val="es-MX"/>
        </w:rPr>
        <w:t>.</w:t>
      </w:r>
    </w:p>
    <w:p w:rsidR="00724174" w:rsidRPr="00CD0C09" w:rsidRDefault="00724174" w:rsidP="00724174">
      <w:pPr>
        <w:rPr>
          <w:rFonts w:ascii="ITC Avant Garde" w:hAnsi="ITC Avant Garde"/>
          <w:lang w:val="es-MX"/>
        </w:rPr>
      </w:pPr>
      <w:r w:rsidRPr="00CD0C09">
        <w:rPr>
          <w:rFonts w:ascii="ITC Avant Garde" w:hAnsi="ITC Avant Garde"/>
          <w:lang w:val="es-MX"/>
        </w:rPr>
        <w:t>Dado que la red se "construye de la noche a la mañana"</w:t>
      </w:r>
      <w:r w:rsidR="008C2FF5" w:rsidRPr="00CD0C09">
        <w:rPr>
          <w:rFonts w:ascii="ITC Avant Garde" w:hAnsi="ITC Avant Garde"/>
          <w:lang w:val="es-MX"/>
        </w:rPr>
        <w:t xml:space="preserve"> (es decir, se considera que la red se </w:t>
      </w:r>
      <w:r w:rsidR="00C53D5E" w:rsidRPr="00CD0C09">
        <w:rPr>
          <w:rFonts w:ascii="ITC Avant Garde" w:hAnsi="ITC Avant Garde"/>
          <w:lang w:val="es-MX"/>
        </w:rPr>
        <w:t>despliega</w:t>
      </w:r>
      <w:r w:rsidR="008C2FF5" w:rsidRPr="00CD0C09">
        <w:rPr>
          <w:rFonts w:ascii="ITC Avant Garde" w:hAnsi="ITC Avant Garde"/>
          <w:lang w:val="es-MX"/>
        </w:rPr>
        <w:t xml:space="preserve"> </w:t>
      </w:r>
      <w:r w:rsidR="00C53D5E" w:rsidRPr="00CD0C09">
        <w:rPr>
          <w:rFonts w:ascii="ITC Avant Garde" w:hAnsi="ITC Avant Garde"/>
          <w:lang w:val="es-MX"/>
        </w:rPr>
        <w:t>inmediatamente</w:t>
      </w:r>
      <w:r w:rsidR="008C2FF5" w:rsidRPr="00CD0C09">
        <w:rPr>
          <w:rFonts w:ascii="ITC Avant Garde" w:hAnsi="ITC Avant Garde"/>
          <w:lang w:val="es-MX"/>
        </w:rPr>
        <w:t xml:space="preserve"> sin </w:t>
      </w:r>
      <w:r w:rsidR="00C53D5E" w:rsidRPr="00CD0C09">
        <w:rPr>
          <w:rFonts w:ascii="ITC Avant Garde" w:hAnsi="ITC Avant Garde"/>
          <w:lang w:val="es-MX"/>
        </w:rPr>
        <w:t>noción</w:t>
      </w:r>
      <w:r w:rsidR="008C2FF5" w:rsidRPr="00CD0C09">
        <w:rPr>
          <w:rFonts w:ascii="ITC Avant Garde" w:hAnsi="ITC Avant Garde"/>
          <w:lang w:val="es-MX"/>
        </w:rPr>
        <w:t xml:space="preserve"> de duración del despliegue),</w:t>
      </w:r>
      <w:r w:rsidRPr="00CD0C09">
        <w:rPr>
          <w:rFonts w:ascii="ITC Avant Garde" w:hAnsi="ITC Avant Garde"/>
          <w:lang w:val="es-MX"/>
        </w:rPr>
        <w:t xml:space="preserve"> con una toma de posesión inmediata y una operación completa, el capital </w:t>
      </w:r>
      <w:r w:rsidR="008C2FF5" w:rsidRPr="00CD0C09">
        <w:rPr>
          <w:rFonts w:ascii="ITC Avant Garde" w:hAnsi="ITC Avant Garde"/>
          <w:lang w:val="es-MX"/>
        </w:rPr>
        <w:t>circulante</w:t>
      </w:r>
      <w:r w:rsidRPr="00CD0C09">
        <w:rPr>
          <w:rFonts w:ascii="ITC Avant Garde" w:hAnsi="ITC Avant Garde"/>
          <w:lang w:val="es-MX"/>
        </w:rPr>
        <w:t xml:space="preserve"> para el gasto de capital de la red no es relevante.</w:t>
      </w:r>
    </w:p>
    <w:p w:rsidR="00724174" w:rsidRPr="00CD0C09" w:rsidRDefault="00724174" w:rsidP="00724174">
      <w:pPr>
        <w:rPr>
          <w:rFonts w:ascii="ITC Avant Garde" w:hAnsi="ITC Avant Garde"/>
          <w:lang w:val="es-MX"/>
        </w:rPr>
      </w:pPr>
    </w:p>
    <w:p w:rsidR="00724174" w:rsidRPr="00CD0C09" w:rsidRDefault="00724174" w:rsidP="00724174">
      <w:pPr>
        <w:pStyle w:val="Encadr3"/>
        <w:rPr>
          <w:rFonts w:ascii="ITC Avant Garde" w:hAnsi="ITC Avant Garde"/>
          <w:lang w:val="es-MX"/>
        </w:rPr>
      </w:pPr>
      <w:r w:rsidRPr="00CD0C09">
        <w:rPr>
          <w:rFonts w:ascii="ITC Avant Garde" w:hAnsi="ITC Avant Garde"/>
          <w:lang w:val="es-MX"/>
        </w:rPr>
        <w:t xml:space="preserve">Criterio </w:t>
      </w:r>
      <w:r w:rsidR="00F9290D" w:rsidRPr="00CD0C09">
        <w:rPr>
          <w:rFonts w:ascii="ITC Avant Garde" w:hAnsi="ITC Avant Garde"/>
          <w:lang w:val="es-MX"/>
        </w:rPr>
        <w:t>29</w:t>
      </w:r>
      <w:r w:rsidRPr="00CD0C09">
        <w:rPr>
          <w:rFonts w:ascii="ITC Avant Garde" w:hAnsi="ITC Avant Garde"/>
          <w:lang w:val="es-MX"/>
        </w:rPr>
        <w:t xml:space="preserve">: El costo del capital </w:t>
      </w:r>
      <w:r w:rsidR="008C2FF5" w:rsidRPr="00CD0C09">
        <w:rPr>
          <w:rFonts w:ascii="ITC Avant Garde" w:hAnsi="ITC Avant Garde"/>
          <w:lang w:val="es-MX"/>
        </w:rPr>
        <w:t>circulante</w:t>
      </w:r>
      <w:r w:rsidRPr="00CD0C09">
        <w:rPr>
          <w:rFonts w:ascii="ITC Avant Garde" w:hAnsi="ITC Avant Garde"/>
          <w:lang w:val="es-MX"/>
        </w:rPr>
        <w:t xml:space="preserve"> relacionado con </w:t>
      </w:r>
      <w:r w:rsidR="008C2FF5" w:rsidRPr="00CD0C09">
        <w:rPr>
          <w:rFonts w:ascii="ITC Avant Garde" w:hAnsi="ITC Avant Garde"/>
          <w:lang w:val="es-MX"/>
        </w:rPr>
        <w:t xml:space="preserve">los </w:t>
      </w:r>
      <w:proofErr w:type="spellStart"/>
      <w:r w:rsidRPr="00CD0C09">
        <w:rPr>
          <w:rFonts w:ascii="ITC Avant Garde" w:hAnsi="ITC Avant Garde"/>
          <w:lang w:val="es-MX"/>
        </w:rPr>
        <w:t>Capex</w:t>
      </w:r>
      <w:proofErr w:type="spellEnd"/>
      <w:r w:rsidR="008C2FF5" w:rsidRPr="00CD0C09">
        <w:rPr>
          <w:rFonts w:ascii="ITC Avant Garde" w:hAnsi="ITC Avant Garde"/>
          <w:lang w:val="es-MX"/>
        </w:rPr>
        <w:t xml:space="preserve"> de la red</w:t>
      </w:r>
      <w:r w:rsidRPr="00CD0C09">
        <w:rPr>
          <w:rFonts w:ascii="ITC Avant Garde" w:hAnsi="ITC Avant Garde"/>
          <w:lang w:val="es-MX"/>
        </w:rPr>
        <w:t xml:space="preserve"> no se tendrá en cuenta para el operador hipotéticamente eficiente.</w:t>
      </w:r>
    </w:p>
    <w:p w:rsidR="00724174" w:rsidRPr="00CD0C09" w:rsidRDefault="00724174" w:rsidP="00724174">
      <w:pPr>
        <w:rPr>
          <w:rFonts w:ascii="ITC Avant Garde" w:hAnsi="ITC Avant Garde"/>
          <w:lang w:val="es-MX"/>
        </w:rPr>
      </w:pPr>
    </w:p>
    <w:p w:rsidR="00724174" w:rsidRPr="00CD0C09" w:rsidRDefault="00724174" w:rsidP="00724174">
      <w:pPr>
        <w:pStyle w:val="Ttulo4"/>
        <w:rPr>
          <w:rFonts w:ascii="ITC Avant Garde" w:hAnsi="ITC Avant Garde"/>
          <w:lang w:val="es-MX"/>
        </w:rPr>
      </w:pPr>
      <w:bookmarkStart w:id="163" w:name="_Toc525665290"/>
      <w:bookmarkStart w:id="164" w:name="_Toc525665669"/>
      <w:bookmarkStart w:id="165" w:name="_Toc526854370"/>
      <w:r w:rsidRPr="00CD0C09">
        <w:rPr>
          <w:rFonts w:ascii="ITC Avant Garde" w:hAnsi="ITC Avant Garde"/>
          <w:lang w:val="es-MX"/>
        </w:rPr>
        <w:t xml:space="preserve">Capital </w:t>
      </w:r>
      <w:r w:rsidR="00CB61CB" w:rsidRPr="00CD0C09">
        <w:rPr>
          <w:rFonts w:ascii="ITC Avant Garde" w:hAnsi="ITC Avant Garde"/>
          <w:lang w:val="es-MX"/>
        </w:rPr>
        <w:t>circulante</w:t>
      </w:r>
      <w:r w:rsidRPr="00CD0C09">
        <w:rPr>
          <w:rFonts w:ascii="ITC Avant Garde" w:hAnsi="ITC Avant Garde"/>
          <w:lang w:val="es-MX"/>
        </w:rPr>
        <w:t xml:space="preserve"> por </w:t>
      </w:r>
      <w:proofErr w:type="spellStart"/>
      <w:r w:rsidRPr="00CD0C09">
        <w:rPr>
          <w:rFonts w:ascii="ITC Avant Garde" w:hAnsi="ITC Avant Garde"/>
          <w:lang w:val="es-MX"/>
        </w:rPr>
        <w:t>Opex</w:t>
      </w:r>
      <w:proofErr w:type="spellEnd"/>
      <w:r w:rsidRPr="00CD0C09">
        <w:rPr>
          <w:rFonts w:ascii="ITC Avant Garde" w:hAnsi="ITC Avant Garde"/>
          <w:lang w:val="es-MX"/>
        </w:rPr>
        <w:t xml:space="preserve"> de la red</w:t>
      </w:r>
      <w:bookmarkEnd w:id="163"/>
      <w:bookmarkEnd w:id="164"/>
      <w:bookmarkEnd w:id="165"/>
    </w:p>
    <w:p w:rsidR="00724174" w:rsidRPr="00CD0C09" w:rsidRDefault="00724174" w:rsidP="00724174">
      <w:pPr>
        <w:rPr>
          <w:rFonts w:ascii="ITC Avant Garde" w:hAnsi="ITC Avant Garde"/>
          <w:lang w:val="es-MX"/>
        </w:rPr>
      </w:pPr>
      <w:r w:rsidRPr="00CD0C09">
        <w:rPr>
          <w:rFonts w:ascii="ITC Avant Garde" w:hAnsi="ITC Avant Garde"/>
          <w:lang w:val="es-MX"/>
        </w:rPr>
        <w:t>Para los costos operativos, puede haber un período de tiempo entre el pago del personal y los proveedores y la generación de ingresos. Por lo tanto, se pueden anticipar dos situaciones:</w:t>
      </w:r>
    </w:p>
    <w:p w:rsidR="00724174" w:rsidRPr="00CD0C09" w:rsidRDefault="00724174" w:rsidP="00CB61CB">
      <w:pPr>
        <w:pStyle w:val="Listaconvietas2"/>
        <w:rPr>
          <w:rFonts w:ascii="ITC Avant Garde" w:hAnsi="ITC Avant Garde"/>
          <w:lang w:val="es-MX"/>
        </w:rPr>
      </w:pPr>
      <w:r w:rsidRPr="00CD0C09">
        <w:rPr>
          <w:rFonts w:ascii="ITC Avant Garde" w:hAnsi="ITC Avant Garde"/>
          <w:lang w:val="es-MX"/>
        </w:rPr>
        <w:t xml:space="preserve">El personal y los proveedores reciben el pago antes de que se obtengan los ingresos: el capital </w:t>
      </w:r>
      <w:r w:rsidR="00CB61CB" w:rsidRPr="00CD0C09">
        <w:rPr>
          <w:rFonts w:ascii="ITC Avant Garde" w:hAnsi="ITC Avant Garde"/>
          <w:lang w:val="es-MX"/>
        </w:rPr>
        <w:t>circulante</w:t>
      </w:r>
      <w:r w:rsidRPr="00CD0C09">
        <w:rPr>
          <w:rFonts w:ascii="ITC Avant Garde" w:hAnsi="ITC Avant Garde"/>
          <w:lang w:val="es-MX"/>
        </w:rPr>
        <w:t xml:space="preserve"> es negativo y la empresa incurre en un costo;</w:t>
      </w:r>
    </w:p>
    <w:p w:rsidR="00724174" w:rsidRPr="00CD0C09" w:rsidRDefault="00724174" w:rsidP="00CB61CB">
      <w:pPr>
        <w:pStyle w:val="Listaconvietas2"/>
        <w:rPr>
          <w:rFonts w:ascii="ITC Avant Garde" w:hAnsi="ITC Avant Garde"/>
          <w:lang w:val="es-MX"/>
        </w:rPr>
      </w:pPr>
      <w:r w:rsidRPr="00CD0C09">
        <w:rPr>
          <w:rFonts w:ascii="ITC Avant Garde" w:hAnsi="ITC Avant Garde"/>
          <w:lang w:val="es-MX"/>
        </w:rPr>
        <w:t xml:space="preserve">El personal y los proveedores son remunerados después de obtener los ingresos: el capital </w:t>
      </w:r>
      <w:r w:rsidR="00CB61CB" w:rsidRPr="00CD0C09">
        <w:rPr>
          <w:rFonts w:ascii="ITC Avant Garde" w:hAnsi="ITC Avant Garde"/>
          <w:lang w:val="es-MX"/>
        </w:rPr>
        <w:t xml:space="preserve">circulante </w:t>
      </w:r>
      <w:r w:rsidRPr="00CD0C09">
        <w:rPr>
          <w:rFonts w:ascii="ITC Avant Garde" w:hAnsi="ITC Avant Garde"/>
          <w:lang w:val="es-MX"/>
        </w:rPr>
        <w:t>es positivo y la empresa obtiene un beneficio.</w:t>
      </w:r>
    </w:p>
    <w:p w:rsidR="004F627A" w:rsidRPr="00CD0C09" w:rsidRDefault="00724174" w:rsidP="00724174">
      <w:pPr>
        <w:rPr>
          <w:rFonts w:ascii="ITC Avant Garde" w:hAnsi="ITC Avant Garde"/>
          <w:lang w:val="es-MX"/>
        </w:rPr>
      </w:pPr>
      <w:r w:rsidRPr="00CD0C09">
        <w:rPr>
          <w:rFonts w:ascii="ITC Avant Garde" w:hAnsi="ITC Avant Garde"/>
          <w:lang w:val="es-MX"/>
        </w:rPr>
        <w:t> </w:t>
      </w:r>
    </w:p>
    <w:p w:rsidR="004F627A" w:rsidRPr="00CD0C09" w:rsidRDefault="004F627A" w:rsidP="004F627A">
      <w:pPr>
        <w:pStyle w:val="Descripcin"/>
        <w:keepNext/>
        <w:rPr>
          <w:rFonts w:ascii="ITC Avant Garde" w:hAnsi="ITC Avant Garde"/>
          <w:lang w:val="es-MX"/>
        </w:rPr>
      </w:pPr>
      <w:r w:rsidRPr="00CD0C09">
        <w:rPr>
          <w:rFonts w:ascii="ITC Avant Garde" w:hAnsi="ITC Avant Garde"/>
          <w:lang w:val="es-MX"/>
        </w:rPr>
        <w:lastRenderedPageBreak/>
        <w:t xml:space="preserve">Figura </w:t>
      </w:r>
      <w:r w:rsidR="003B6FDE">
        <w:rPr>
          <w:rFonts w:ascii="ITC Avant Garde" w:hAnsi="ITC Avant Garde"/>
          <w:lang w:val="es-MX"/>
        </w:rPr>
        <w:t>13</w:t>
      </w:r>
      <w:r w:rsidRPr="00CD0C09">
        <w:rPr>
          <w:rFonts w:ascii="ITC Avant Garde" w:hAnsi="ITC Avant Garde"/>
          <w:lang w:val="es-MX"/>
        </w:rPr>
        <w:t xml:space="preserve"> – OPEX de red y capital circulante (solo para fines ilustrativos)</w:t>
      </w:r>
    </w:p>
    <w:p w:rsidR="00724174" w:rsidRPr="00CD0C09" w:rsidRDefault="00724174" w:rsidP="004F627A">
      <w:pPr>
        <w:jc w:val="center"/>
        <w:rPr>
          <w:rFonts w:ascii="ITC Avant Garde" w:hAnsi="ITC Avant Garde"/>
          <w:lang w:val="es-MX"/>
        </w:rPr>
      </w:pPr>
      <w:r w:rsidRPr="00CD0C09">
        <w:rPr>
          <w:rFonts w:ascii="ITC Avant Garde" w:hAnsi="ITC Avant Garde"/>
          <w:noProof/>
          <w:lang w:val="es-MX" w:eastAsia="es-MX"/>
        </w:rPr>
        <w:drawing>
          <wp:inline distT="0" distB="0" distL="0" distR="0" wp14:anchorId="06721FE4" wp14:editId="633E29FE">
            <wp:extent cx="4953000" cy="17018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1701800"/>
                    </a:xfrm>
                    <a:prstGeom prst="rect">
                      <a:avLst/>
                    </a:prstGeom>
                    <a:noFill/>
                    <a:ln>
                      <a:noFill/>
                    </a:ln>
                  </pic:spPr>
                </pic:pic>
              </a:graphicData>
            </a:graphic>
          </wp:inline>
        </w:drawing>
      </w:r>
    </w:p>
    <w:p w:rsidR="00724174" w:rsidRPr="00CD0C09" w:rsidRDefault="00724174" w:rsidP="00724174">
      <w:pPr>
        <w:rPr>
          <w:rFonts w:ascii="ITC Avant Garde" w:hAnsi="ITC Avant Garde"/>
          <w:lang w:val="es-MX"/>
        </w:rPr>
      </w:pPr>
    </w:p>
    <w:p w:rsidR="00724174" w:rsidRPr="00CD0C09" w:rsidRDefault="00724174" w:rsidP="00724174">
      <w:pPr>
        <w:rPr>
          <w:rFonts w:ascii="ITC Avant Garde" w:hAnsi="ITC Avant Garde"/>
          <w:lang w:val="es-MX"/>
        </w:rPr>
      </w:pPr>
      <w:r w:rsidRPr="00CD0C09">
        <w:rPr>
          <w:rFonts w:ascii="ITC Avant Garde" w:hAnsi="ITC Avant Garde"/>
          <w:lang w:val="es-MX"/>
        </w:rPr>
        <w:t xml:space="preserve">Comúnmente, el personal y los proveedores son pagados a fin de mes, mientras que los ingresos se reciben a principios de mes. Como consecuencia, el capital </w:t>
      </w:r>
      <w:r w:rsidR="00CB61CB" w:rsidRPr="00CD0C09">
        <w:rPr>
          <w:rFonts w:ascii="ITC Avant Garde" w:hAnsi="ITC Avant Garde"/>
          <w:lang w:val="es-MX"/>
        </w:rPr>
        <w:t>circulante de lo</w:t>
      </w:r>
      <w:r w:rsidRPr="00CD0C09">
        <w:rPr>
          <w:rFonts w:ascii="ITC Avant Garde" w:hAnsi="ITC Avant Garde"/>
          <w:lang w:val="es-MX"/>
        </w:rPr>
        <w:t xml:space="preserve"> OPEX de la red se considera positivo o al menos equilibrado.</w:t>
      </w:r>
    </w:p>
    <w:p w:rsidR="00724174" w:rsidRDefault="00724174" w:rsidP="00724174">
      <w:pPr>
        <w:rPr>
          <w:rFonts w:ascii="ITC Avant Garde" w:hAnsi="ITC Avant Garde"/>
          <w:lang w:val="es-MX" w:eastAsia="x-none"/>
        </w:rPr>
      </w:pPr>
      <w:r w:rsidRPr="00CD0C09">
        <w:rPr>
          <w:rFonts w:ascii="ITC Avant Garde" w:hAnsi="ITC Avant Garde"/>
          <w:lang w:val="es-MX"/>
        </w:rPr>
        <w:t>Por lo tanto, se recomienda no tenerlo en cuenta. Esto es consistente con el enfoque adoptado en los modelos anteriores y cómo lo hacen los reguladores en otros países.</w:t>
      </w:r>
      <w:r w:rsidR="00CB61CB" w:rsidRPr="00FC28C8">
        <w:rPr>
          <w:rStyle w:val="Refdenotaalpie"/>
          <w:rFonts w:ascii="ITC Avant Garde" w:hAnsi="ITC Avant Garde"/>
          <w:lang w:val="es-MX" w:eastAsia="x-none"/>
        </w:rPr>
        <w:t xml:space="preserve"> </w:t>
      </w:r>
      <w:r w:rsidR="00CB61CB" w:rsidRPr="00CD0C09">
        <w:rPr>
          <w:rStyle w:val="Refdenotaalpie"/>
          <w:rFonts w:ascii="ITC Avant Garde" w:hAnsi="ITC Avant Garde"/>
          <w:lang w:eastAsia="x-none"/>
        </w:rPr>
        <w:footnoteReference w:id="41"/>
      </w:r>
    </w:p>
    <w:p w:rsidR="007A227B" w:rsidRPr="00CD0C09" w:rsidRDefault="007A227B" w:rsidP="00724174">
      <w:pPr>
        <w:rPr>
          <w:rFonts w:ascii="ITC Avant Garde" w:hAnsi="ITC Avant Garde"/>
          <w:lang w:val="es-MX"/>
        </w:rPr>
      </w:pPr>
    </w:p>
    <w:p w:rsidR="004F627A" w:rsidRPr="00CD0C09" w:rsidRDefault="00724174" w:rsidP="00CB61CB">
      <w:pPr>
        <w:pStyle w:val="Encadr3"/>
        <w:rPr>
          <w:rFonts w:ascii="ITC Avant Garde" w:hAnsi="ITC Avant Garde"/>
          <w:lang w:val="es-MX"/>
        </w:rPr>
      </w:pPr>
      <w:r w:rsidRPr="00CD0C09">
        <w:rPr>
          <w:rFonts w:ascii="ITC Avant Garde" w:hAnsi="ITC Avant Garde"/>
          <w:lang w:val="es-MX"/>
        </w:rPr>
        <w:t xml:space="preserve">Criterio </w:t>
      </w:r>
      <w:r w:rsidR="00F9290D" w:rsidRPr="00CD0C09">
        <w:rPr>
          <w:rFonts w:ascii="ITC Avant Garde" w:hAnsi="ITC Avant Garde"/>
          <w:lang w:val="es-MX"/>
        </w:rPr>
        <w:t>30</w:t>
      </w:r>
      <w:r w:rsidRPr="00CD0C09">
        <w:rPr>
          <w:rFonts w:ascii="ITC Avant Garde" w:hAnsi="ITC Avant Garde"/>
          <w:lang w:val="es-MX"/>
        </w:rPr>
        <w:t xml:space="preserve">: El costo del capital </w:t>
      </w:r>
      <w:r w:rsidR="00C53D5E" w:rsidRPr="00CD0C09">
        <w:rPr>
          <w:rFonts w:ascii="ITC Avant Garde" w:hAnsi="ITC Avant Garde"/>
          <w:lang w:val="es-MX"/>
        </w:rPr>
        <w:t>circulante</w:t>
      </w:r>
      <w:r w:rsidR="00CB61CB" w:rsidRPr="00CD0C09">
        <w:rPr>
          <w:rFonts w:ascii="ITC Avant Garde" w:hAnsi="ITC Avant Garde"/>
          <w:lang w:val="es-MX"/>
        </w:rPr>
        <w:t xml:space="preserve"> </w:t>
      </w:r>
      <w:r w:rsidRPr="00CD0C09">
        <w:rPr>
          <w:rFonts w:ascii="ITC Avant Garde" w:hAnsi="ITC Avant Garde"/>
          <w:lang w:val="es-MX"/>
        </w:rPr>
        <w:t xml:space="preserve">relacionado con </w:t>
      </w:r>
      <w:r w:rsidR="00CB61CB" w:rsidRPr="00CD0C09">
        <w:rPr>
          <w:rFonts w:ascii="ITC Avant Garde" w:hAnsi="ITC Avant Garde"/>
          <w:lang w:val="es-MX"/>
        </w:rPr>
        <w:t xml:space="preserve">los </w:t>
      </w:r>
      <w:proofErr w:type="spellStart"/>
      <w:r w:rsidRPr="00CD0C09">
        <w:rPr>
          <w:rFonts w:ascii="ITC Avant Garde" w:hAnsi="ITC Avant Garde"/>
          <w:lang w:val="es-MX"/>
        </w:rPr>
        <w:t>Opex</w:t>
      </w:r>
      <w:proofErr w:type="spellEnd"/>
      <w:r w:rsidRPr="00CD0C09">
        <w:rPr>
          <w:rFonts w:ascii="ITC Avant Garde" w:hAnsi="ITC Avant Garde"/>
          <w:lang w:val="es-MX"/>
        </w:rPr>
        <w:t xml:space="preserve"> no se tendrá en cuenta para el operador modelado</w:t>
      </w:r>
    </w:p>
    <w:p w:rsidR="004F627A" w:rsidRPr="00CD0C09" w:rsidRDefault="004F627A" w:rsidP="00724174">
      <w:pPr>
        <w:rPr>
          <w:rFonts w:ascii="ITC Avant Garde" w:hAnsi="ITC Avant Garde"/>
          <w:lang w:val="es-MX"/>
        </w:rPr>
      </w:pPr>
    </w:p>
    <w:p w:rsidR="00724174" w:rsidRPr="00CD0C09" w:rsidRDefault="004F627A" w:rsidP="004F627A">
      <w:pPr>
        <w:pStyle w:val="Ttulo3"/>
        <w:rPr>
          <w:rFonts w:ascii="ITC Avant Garde" w:hAnsi="ITC Avant Garde"/>
          <w:lang w:val="es-MX"/>
        </w:rPr>
      </w:pPr>
      <w:bookmarkStart w:id="166" w:name="_Toc525665291"/>
      <w:bookmarkStart w:id="167" w:name="_Toc525665670"/>
      <w:bookmarkStart w:id="168" w:name="_Toc526854371"/>
      <w:r w:rsidRPr="00CD0C09">
        <w:rPr>
          <w:rFonts w:ascii="ITC Avant Garde" w:hAnsi="ITC Avant Garde"/>
          <w:lang w:val="es-MX"/>
        </w:rPr>
        <w:t>Recuperación de costos</w:t>
      </w:r>
      <w:bookmarkEnd w:id="166"/>
      <w:bookmarkEnd w:id="167"/>
      <w:bookmarkEnd w:id="168"/>
    </w:p>
    <w:p w:rsidR="004F627A" w:rsidRPr="00CD0C09" w:rsidRDefault="004F627A" w:rsidP="004F627A">
      <w:pPr>
        <w:rPr>
          <w:rFonts w:ascii="ITC Avant Garde" w:hAnsi="ITC Avant Garde"/>
          <w:lang w:val="es-MX"/>
        </w:rPr>
      </w:pPr>
      <w:r w:rsidRPr="00CD0C09">
        <w:rPr>
          <w:rFonts w:ascii="ITC Avant Garde" w:hAnsi="ITC Avant Garde"/>
          <w:lang w:val="es-MX"/>
        </w:rPr>
        <w:t xml:space="preserve">La recuperación de costos es un principio clave en una metodología de costos. Garantiza que </w:t>
      </w:r>
      <w:r w:rsidR="00CB61CB" w:rsidRPr="00CD0C09">
        <w:rPr>
          <w:rFonts w:ascii="ITC Avant Garde" w:hAnsi="ITC Avant Garde"/>
          <w:lang w:val="es-MX"/>
        </w:rPr>
        <w:t>el AEP</w:t>
      </w:r>
      <w:r w:rsidRPr="00CD0C09">
        <w:rPr>
          <w:rFonts w:ascii="ITC Avant Garde" w:hAnsi="ITC Avant Garde"/>
          <w:lang w:val="es-MX"/>
        </w:rPr>
        <w:t xml:space="preserve"> pueda cubrir los costos que se incurre</w:t>
      </w:r>
      <w:r w:rsidR="00CB61CB" w:rsidRPr="00CD0C09">
        <w:rPr>
          <w:rFonts w:ascii="ITC Avant Garde" w:hAnsi="ITC Avant Garde"/>
          <w:lang w:val="es-MX"/>
        </w:rPr>
        <w:t>n</w:t>
      </w:r>
      <w:r w:rsidRPr="00CD0C09">
        <w:rPr>
          <w:rFonts w:ascii="ITC Avant Garde" w:hAnsi="ITC Avant Garde"/>
          <w:lang w:val="es-MX"/>
        </w:rPr>
        <w:t xml:space="preserve"> de manera eficiente y recib</w:t>
      </w:r>
      <w:r w:rsidR="00CB61CB" w:rsidRPr="00CD0C09">
        <w:rPr>
          <w:rFonts w:ascii="ITC Avant Garde" w:hAnsi="ITC Avant Garde"/>
          <w:lang w:val="es-MX"/>
        </w:rPr>
        <w:t>e</w:t>
      </w:r>
      <w:r w:rsidRPr="00CD0C09">
        <w:rPr>
          <w:rFonts w:ascii="ITC Avant Garde" w:hAnsi="ITC Avant Garde"/>
          <w:lang w:val="es-MX"/>
        </w:rPr>
        <w:t xml:space="preserve"> un rendimiento apropiado del capital invertido.</w:t>
      </w:r>
    </w:p>
    <w:p w:rsidR="004F627A" w:rsidRPr="00CD0C09" w:rsidRDefault="004F627A" w:rsidP="004F627A">
      <w:pPr>
        <w:rPr>
          <w:rFonts w:ascii="ITC Avant Garde" w:hAnsi="ITC Avant Garde"/>
          <w:lang w:val="es-MX"/>
        </w:rPr>
      </w:pPr>
      <w:r w:rsidRPr="00CD0C09">
        <w:rPr>
          <w:rFonts w:ascii="ITC Avant Garde" w:hAnsi="ITC Avant Garde"/>
          <w:lang w:val="es-MX"/>
        </w:rPr>
        <w:t>En una perspectiva de fijación de precios, los costos incurridos por un servicio dado se recuperarán mediante la demanda efectiva de este servicio.</w:t>
      </w:r>
    </w:p>
    <w:p w:rsidR="004F627A" w:rsidRPr="00CD0C09" w:rsidRDefault="004F627A" w:rsidP="004F627A">
      <w:pPr>
        <w:rPr>
          <w:rFonts w:ascii="ITC Avant Garde" w:hAnsi="ITC Avant Garde"/>
          <w:lang w:val="es-MX"/>
        </w:rPr>
      </w:pPr>
      <w:r w:rsidRPr="00CD0C09">
        <w:rPr>
          <w:rFonts w:ascii="ITC Avant Garde" w:hAnsi="ITC Avant Garde"/>
          <w:lang w:val="es-MX"/>
        </w:rPr>
        <w:t xml:space="preserve">En particular, el modelo identificará los activos </w:t>
      </w:r>
      <w:r w:rsidR="00CB61CB" w:rsidRPr="00CD0C09">
        <w:rPr>
          <w:rFonts w:ascii="ITC Avant Garde" w:hAnsi="ITC Avant Garde"/>
          <w:lang w:val="es-MX"/>
        </w:rPr>
        <w:t>cuyos costos</w:t>
      </w:r>
      <w:r w:rsidRPr="00CD0C09">
        <w:rPr>
          <w:rFonts w:ascii="ITC Avant Garde" w:hAnsi="ITC Avant Garde"/>
          <w:lang w:val="es-MX"/>
        </w:rPr>
        <w:t xml:space="preserve"> no </w:t>
      </w:r>
      <w:r w:rsidR="00CB61CB" w:rsidRPr="00CD0C09">
        <w:rPr>
          <w:rFonts w:ascii="ITC Avant Garde" w:hAnsi="ITC Avant Garde"/>
          <w:lang w:val="es-MX"/>
        </w:rPr>
        <w:t xml:space="preserve">deben de </w:t>
      </w:r>
      <w:r w:rsidRPr="00CD0C09">
        <w:rPr>
          <w:rFonts w:ascii="ITC Avant Garde" w:hAnsi="ITC Avant Garde"/>
          <w:lang w:val="es-MX"/>
        </w:rPr>
        <w:t>ser</w:t>
      </w:r>
      <w:r w:rsidR="00CB61CB" w:rsidRPr="00CD0C09">
        <w:rPr>
          <w:rFonts w:ascii="ITC Avant Garde" w:hAnsi="ITC Avant Garde"/>
          <w:lang w:val="es-MX"/>
        </w:rPr>
        <w:t xml:space="preserve"> </w:t>
      </w:r>
      <w:r w:rsidRPr="00CD0C09">
        <w:rPr>
          <w:rFonts w:ascii="ITC Avant Garde" w:hAnsi="ITC Avant Garde"/>
          <w:lang w:val="es-MX"/>
        </w:rPr>
        <w:t>recuperados por el cargo recurrente del servicio (si lo hay). Por ejemplo, los costos incurridos en la activación de la línea por el buscador de acceso o las tarifas de conexión pagadas por el usuario final (pagos iniciales) se excluirán de la base de costos o se compensarán con un cargo correspondiente.</w:t>
      </w:r>
    </w:p>
    <w:p w:rsidR="004F627A" w:rsidRPr="00CD0C09" w:rsidRDefault="004F627A" w:rsidP="004F627A">
      <w:pPr>
        <w:rPr>
          <w:rFonts w:ascii="ITC Avant Garde" w:hAnsi="ITC Avant Garde"/>
          <w:lang w:val="es-MX"/>
        </w:rPr>
      </w:pPr>
      <w:r w:rsidRPr="00CD0C09">
        <w:rPr>
          <w:rFonts w:ascii="ITC Avant Garde" w:hAnsi="ITC Avant Garde"/>
          <w:lang w:val="es-MX"/>
        </w:rPr>
        <w:t>Además, el modelo identificará la porción de costos indirectos y comunes que se recuperarán de los servicios regulados.</w:t>
      </w:r>
    </w:p>
    <w:p w:rsidR="004F627A" w:rsidRPr="00CD0C09" w:rsidRDefault="004F627A" w:rsidP="004F627A">
      <w:pPr>
        <w:rPr>
          <w:rFonts w:ascii="ITC Avant Garde" w:hAnsi="ITC Avant Garde"/>
          <w:lang w:val="es-MX"/>
        </w:rPr>
      </w:pPr>
      <w:r w:rsidRPr="00CD0C09">
        <w:rPr>
          <w:rFonts w:ascii="ITC Avant Garde" w:hAnsi="ITC Avant Garde"/>
          <w:lang w:val="es-MX"/>
        </w:rPr>
        <w:t xml:space="preserve">El modelo obtendrá resultados de costos que garanticen </w:t>
      </w:r>
      <w:r w:rsidR="00CB61CB" w:rsidRPr="00CD0C09">
        <w:rPr>
          <w:rFonts w:ascii="ITC Avant Garde" w:hAnsi="ITC Avant Garde"/>
          <w:lang w:val="es-MX"/>
        </w:rPr>
        <w:t>que los costos no se sobre-</w:t>
      </w:r>
      <w:r w:rsidRPr="00CD0C09">
        <w:rPr>
          <w:rFonts w:ascii="ITC Avant Garde" w:hAnsi="ITC Avant Garde"/>
          <w:lang w:val="es-MX"/>
        </w:rPr>
        <w:t>recupera</w:t>
      </w:r>
      <w:r w:rsidR="00CB61CB" w:rsidRPr="00CD0C09">
        <w:rPr>
          <w:rFonts w:ascii="ITC Avant Garde" w:hAnsi="ITC Avant Garde"/>
          <w:lang w:val="es-MX"/>
        </w:rPr>
        <w:t>n ni se sub-</w:t>
      </w:r>
      <w:r w:rsidRPr="00CD0C09">
        <w:rPr>
          <w:rFonts w:ascii="ITC Avant Garde" w:hAnsi="ITC Avant Garde"/>
          <w:lang w:val="es-MX"/>
        </w:rPr>
        <w:t>recupera</w:t>
      </w:r>
      <w:r w:rsidR="00CB61CB" w:rsidRPr="00CD0C09">
        <w:rPr>
          <w:rFonts w:ascii="ITC Avant Garde" w:hAnsi="ITC Avant Garde"/>
          <w:lang w:val="es-MX"/>
        </w:rPr>
        <w:t>n</w:t>
      </w:r>
      <w:r w:rsidRPr="00CD0C09">
        <w:rPr>
          <w:rFonts w:ascii="ITC Avant Garde" w:hAnsi="ITC Avant Garde"/>
          <w:lang w:val="es-MX"/>
        </w:rPr>
        <w:t>. En particular, el modelo no tendrá en cuenta, para el costo de un servicio dado, los activos recuperados de otro servicio.</w:t>
      </w:r>
    </w:p>
    <w:p w:rsidR="004F627A" w:rsidRPr="00CD0C09" w:rsidRDefault="004F627A" w:rsidP="004F627A">
      <w:pPr>
        <w:rPr>
          <w:rFonts w:ascii="ITC Avant Garde" w:hAnsi="ITC Avant Garde"/>
          <w:lang w:val="es-MX"/>
        </w:rPr>
      </w:pPr>
      <w:r w:rsidRPr="00CD0C09">
        <w:rPr>
          <w:rFonts w:ascii="ITC Avant Garde" w:hAnsi="ITC Avant Garde"/>
          <w:lang w:val="es-MX"/>
        </w:rPr>
        <w:t>Para los servicios de acceso a la red, se debe prestar la debida consideración a:</w:t>
      </w:r>
    </w:p>
    <w:p w:rsidR="004F627A" w:rsidRDefault="004F627A" w:rsidP="00F9290D">
      <w:pPr>
        <w:pStyle w:val="Listaconvietas2"/>
        <w:rPr>
          <w:rFonts w:ascii="ITC Avant Garde" w:hAnsi="ITC Avant Garde"/>
          <w:lang w:val="es-MX"/>
        </w:rPr>
      </w:pPr>
      <w:r w:rsidRPr="00CD0C09">
        <w:rPr>
          <w:rFonts w:ascii="ITC Avant Garde" w:hAnsi="ITC Avant Garde"/>
          <w:lang w:val="es-MX"/>
        </w:rPr>
        <w:t xml:space="preserve">Los activos cerca de las instalaciones del usuario final: los activos que se benefician de financiación externa, en particular la parte privada de la </w:t>
      </w:r>
      <w:r w:rsidR="00F9290D" w:rsidRPr="00CD0C09">
        <w:rPr>
          <w:rFonts w:ascii="ITC Avant Garde" w:hAnsi="ITC Avant Garde"/>
          <w:lang w:val="es-MX"/>
        </w:rPr>
        <w:t>acometida</w:t>
      </w:r>
      <w:r w:rsidRPr="00CD0C09">
        <w:rPr>
          <w:rFonts w:ascii="ITC Avant Garde" w:hAnsi="ITC Avant Garde"/>
          <w:lang w:val="es-MX"/>
        </w:rPr>
        <w:t xml:space="preserve"> y el punto de terminación de la red, se identificarán </w:t>
      </w:r>
      <w:r w:rsidR="00F9290D" w:rsidRPr="00CD0C09">
        <w:rPr>
          <w:rFonts w:ascii="ITC Avant Garde" w:hAnsi="ITC Avant Garde"/>
          <w:lang w:val="es-MX"/>
        </w:rPr>
        <w:t>a partir de los</w:t>
      </w:r>
      <w:r w:rsidRPr="00CD0C09">
        <w:rPr>
          <w:rFonts w:ascii="ITC Avant Garde" w:hAnsi="ITC Avant Garde"/>
          <w:lang w:val="es-MX"/>
        </w:rPr>
        <w:t xml:space="preserve"> datos recopilados del </w:t>
      </w:r>
      <w:r w:rsidR="00F9290D" w:rsidRPr="00CD0C09">
        <w:rPr>
          <w:rFonts w:ascii="ITC Avant Garde" w:hAnsi="ITC Avant Garde"/>
          <w:lang w:val="es-MX"/>
        </w:rPr>
        <w:t>AE</w:t>
      </w:r>
      <w:r w:rsidRPr="00CD0C09">
        <w:rPr>
          <w:rFonts w:ascii="ITC Avant Garde" w:hAnsi="ITC Avant Garde"/>
          <w:lang w:val="es-MX"/>
        </w:rPr>
        <w:t xml:space="preserve">P, otras partes interesadas y </w:t>
      </w:r>
      <w:r w:rsidR="004B276B" w:rsidRPr="00CD0C09">
        <w:rPr>
          <w:rFonts w:ascii="ITC Avant Garde" w:hAnsi="ITC Avant Garde"/>
          <w:lang w:val="es-MX"/>
        </w:rPr>
        <w:t>otras fuentes relevantes</w:t>
      </w:r>
    </w:p>
    <w:p w:rsidR="007A227B" w:rsidRPr="00CD0C09" w:rsidRDefault="007A227B" w:rsidP="007A227B">
      <w:pPr>
        <w:pStyle w:val="Listaconvietas2"/>
        <w:numPr>
          <w:ilvl w:val="0"/>
          <w:numId w:val="0"/>
        </w:numPr>
        <w:ind w:left="643"/>
        <w:rPr>
          <w:rFonts w:ascii="ITC Avant Garde" w:hAnsi="ITC Avant Garde"/>
          <w:lang w:val="es-MX"/>
        </w:rPr>
      </w:pPr>
    </w:p>
    <w:p w:rsidR="004F627A" w:rsidRPr="00CD0C09" w:rsidRDefault="004F627A" w:rsidP="00F9290D">
      <w:pPr>
        <w:pStyle w:val="Listaconvietas2"/>
        <w:rPr>
          <w:rFonts w:ascii="ITC Avant Garde" w:hAnsi="ITC Avant Garde"/>
          <w:lang w:val="es-MX"/>
        </w:rPr>
      </w:pPr>
      <w:r w:rsidRPr="00CD0C09">
        <w:rPr>
          <w:rFonts w:ascii="ITC Avant Garde" w:hAnsi="ITC Avant Garde"/>
          <w:lang w:val="es-MX"/>
        </w:rPr>
        <w:t xml:space="preserve">Los activos en el nodo de acceso: los activos desplegados para los servicios de acceso (por ejemplo, ODF) se identificarán y diferenciarán de los activos desplegados para la </w:t>
      </w:r>
      <w:r w:rsidR="00F9290D" w:rsidRPr="00CD0C09">
        <w:rPr>
          <w:rFonts w:ascii="ITC Avant Garde" w:hAnsi="ITC Avant Garde"/>
          <w:lang w:val="es-MX"/>
        </w:rPr>
        <w:t>de transporte</w:t>
      </w:r>
      <w:r w:rsidRPr="00CD0C09">
        <w:rPr>
          <w:rFonts w:ascii="ITC Avant Garde" w:hAnsi="ITC Avant Garde"/>
          <w:lang w:val="es-MX"/>
        </w:rPr>
        <w:t>. Esto definirá la frontera entre el acceso y las redes centrales. Además, los activos propiedad</w:t>
      </w:r>
      <w:r w:rsidR="00F9290D" w:rsidRPr="00CD0C09">
        <w:rPr>
          <w:rFonts w:ascii="ITC Avant Garde" w:hAnsi="ITC Avant Garde"/>
          <w:lang w:val="es-MX"/>
        </w:rPr>
        <w:t>es</w:t>
      </w:r>
      <w:r w:rsidRPr="00CD0C09">
        <w:rPr>
          <w:rFonts w:ascii="ITC Avant Garde" w:hAnsi="ITC Avant Garde"/>
          <w:lang w:val="es-MX"/>
        </w:rPr>
        <w:t xml:space="preserve"> de los solicitantes de acceso se excluirán a los efectos de la fijación de precios de los servicios de acceso.</w:t>
      </w:r>
    </w:p>
    <w:p w:rsidR="004F627A" w:rsidRPr="00CD0C09" w:rsidRDefault="00FC28C8" w:rsidP="004F627A">
      <w:pPr>
        <w:rPr>
          <w:rFonts w:ascii="ITC Avant Garde" w:hAnsi="ITC Avant Garde"/>
          <w:lang w:val="es-MX"/>
        </w:rPr>
      </w:pPr>
      <w:r>
        <w:rPr>
          <w:rFonts w:ascii="ITC Avant Garde" w:hAnsi="ITC Avant Garde"/>
          <w:lang w:val="es-MX"/>
        </w:rPr>
        <w:t xml:space="preserve">En este contexto, el término </w:t>
      </w:r>
      <w:r w:rsidR="004F627A" w:rsidRPr="00CD0C09">
        <w:rPr>
          <w:rFonts w:ascii="ITC Avant Garde" w:hAnsi="ITC Avant Garde"/>
          <w:lang w:val="es-MX"/>
        </w:rPr>
        <w:t>"</w:t>
      </w:r>
      <w:r>
        <w:rPr>
          <w:rFonts w:ascii="ITC Avant Garde" w:hAnsi="ITC Avant Garde"/>
          <w:lang w:val="es-MX"/>
        </w:rPr>
        <w:t>f</w:t>
      </w:r>
      <w:r w:rsidRPr="00CD0C09">
        <w:rPr>
          <w:rFonts w:ascii="ITC Avant Garde" w:hAnsi="ITC Avant Garde"/>
          <w:lang w:val="es-MX"/>
        </w:rPr>
        <w:t>inanciamiento</w:t>
      </w:r>
      <w:r w:rsidR="004F627A" w:rsidRPr="00CD0C09">
        <w:rPr>
          <w:rFonts w:ascii="ITC Avant Garde" w:hAnsi="ITC Avant Garde"/>
          <w:lang w:val="es-MX"/>
        </w:rPr>
        <w:t xml:space="preserve"> externo" se refiere a todas las fuentes de ingresos</w:t>
      </w:r>
      <w:r w:rsidR="00875932">
        <w:rPr>
          <w:rFonts w:ascii="ITC Avant Garde" w:hAnsi="ITC Avant Garde"/>
          <w:lang w:val="es-MX"/>
        </w:rPr>
        <w:t>/</w:t>
      </w:r>
      <w:r w:rsidR="004F627A" w:rsidRPr="00CD0C09">
        <w:rPr>
          <w:rFonts w:ascii="ITC Avant Garde" w:hAnsi="ITC Avant Garde"/>
          <w:lang w:val="es-MX"/>
        </w:rPr>
        <w:t xml:space="preserve">fondos que no sean el precio regulado derivado del modelo (tarifa mensual mayorista pagada por el buscador de acceso, terminación fija, </w:t>
      </w:r>
      <w:r>
        <w:rPr>
          <w:rFonts w:ascii="ITC Avant Garde" w:hAnsi="ITC Avant Garde"/>
          <w:lang w:val="es-MX"/>
        </w:rPr>
        <w:t>entre otros</w:t>
      </w:r>
      <w:r w:rsidR="004F627A" w:rsidRPr="00CD0C09">
        <w:rPr>
          <w:rFonts w:ascii="ITC Avant Garde" w:hAnsi="ITC Avant Garde"/>
          <w:lang w:val="es-MX"/>
        </w:rPr>
        <w:t>). Puede consistir en:</w:t>
      </w:r>
    </w:p>
    <w:p w:rsidR="004F627A" w:rsidRPr="00CD0C09" w:rsidRDefault="004F627A" w:rsidP="00F9290D">
      <w:pPr>
        <w:pStyle w:val="Listaconvietas2"/>
        <w:rPr>
          <w:rFonts w:ascii="ITC Avant Garde" w:hAnsi="ITC Avant Garde"/>
          <w:lang w:val="es-MX"/>
        </w:rPr>
      </w:pPr>
      <w:r w:rsidRPr="00CD0C09">
        <w:rPr>
          <w:rFonts w:ascii="ITC Avant Garde" w:hAnsi="ITC Avant Garde"/>
          <w:lang w:val="es-MX"/>
        </w:rPr>
        <w:t>Tarifa única pagada por adelantado para la instalación de la línea, por el cliente final o por el operador alternativo</w:t>
      </w:r>
    </w:p>
    <w:p w:rsidR="004F627A" w:rsidRPr="00CD0C09" w:rsidRDefault="004F627A" w:rsidP="00F9290D">
      <w:pPr>
        <w:pStyle w:val="Listaconvietas2"/>
        <w:rPr>
          <w:rFonts w:ascii="ITC Avant Garde" w:hAnsi="ITC Avant Garde"/>
          <w:lang w:val="es-MX"/>
        </w:rPr>
      </w:pPr>
      <w:r w:rsidRPr="00CD0C09">
        <w:rPr>
          <w:rFonts w:ascii="ITC Avant Garde" w:hAnsi="ITC Avant Garde"/>
          <w:lang w:val="es-MX"/>
        </w:rPr>
        <w:t>Ayudas estatales o subsidios municipales diseñados para recuperar todo o parte de un determinado conjunto de servicios o despliegue de activos.</w:t>
      </w:r>
    </w:p>
    <w:p w:rsidR="004F627A" w:rsidRPr="00CD0C09" w:rsidRDefault="004F627A" w:rsidP="004F627A">
      <w:pPr>
        <w:rPr>
          <w:rFonts w:ascii="ITC Avant Garde" w:hAnsi="ITC Avant Garde"/>
          <w:lang w:val="es-MX"/>
        </w:rPr>
      </w:pPr>
      <w:r w:rsidRPr="00CD0C09">
        <w:rPr>
          <w:rFonts w:ascii="ITC Avant Garde" w:hAnsi="ITC Avant Garde"/>
          <w:lang w:val="es-MX"/>
        </w:rPr>
        <w:t>Cuando el cálculo del costo se basa en una huella que corresponde a una implementación impulsada por el mercado, las ayudas estatales y regionales deben excluirse de la base de costos que estará sujeta al cálculo de los resultados de costos para los servicios regulados.</w:t>
      </w:r>
    </w:p>
    <w:p w:rsidR="004F627A" w:rsidRPr="00CD0C09" w:rsidRDefault="004F627A" w:rsidP="004F627A">
      <w:pPr>
        <w:rPr>
          <w:rFonts w:ascii="ITC Avant Garde" w:hAnsi="ITC Avant Garde"/>
          <w:lang w:val="es-MX"/>
        </w:rPr>
      </w:pPr>
    </w:p>
    <w:p w:rsidR="004F627A" w:rsidRPr="00CD0C09" w:rsidRDefault="004F627A" w:rsidP="00F9290D">
      <w:pPr>
        <w:pStyle w:val="Encadr3"/>
        <w:rPr>
          <w:rFonts w:ascii="ITC Avant Garde" w:hAnsi="ITC Avant Garde"/>
          <w:lang w:val="es-MX"/>
        </w:rPr>
      </w:pPr>
      <w:r w:rsidRPr="00CD0C09">
        <w:rPr>
          <w:rFonts w:ascii="ITC Avant Garde" w:hAnsi="ITC Avant Garde"/>
          <w:lang w:val="es-MX"/>
        </w:rPr>
        <w:t xml:space="preserve">Criterio </w:t>
      </w:r>
      <w:r w:rsidR="00F9290D" w:rsidRPr="00CD0C09">
        <w:rPr>
          <w:rFonts w:ascii="ITC Avant Garde" w:hAnsi="ITC Avant Garde"/>
          <w:lang w:val="es-MX"/>
        </w:rPr>
        <w:t>31</w:t>
      </w:r>
      <w:r w:rsidRPr="00CD0C09">
        <w:rPr>
          <w:rFonts w:ascii="ITC Avant Garde" w:hAnsi="ITC Avant Garde"/>
          <w:lang w:val="es-MX"/>
        </w:rPr>
        <w:t xml:space="preserve">: El modelo asegura la recuperación del costo eficiente para el acceso y los servicios básicos para el operador modelado. En particular, identifica los activos </w:t>
      </w:r>
      <w:r w:rsidR="00F9290D" w:rsidRPr="00CD0C09">
        <w:rPr>
          <w:rFonts w:ascii="ITC Avant Garde" w:hAnsi="ITC Avant Garde"/>
          <w:lang w:val="es-MX"/>
        </w:rPr>
        <w:t xml:space="preserve">requeridos </w:t>
      </w:r>
      <w:r w:rsidRPr="00CD0C09">
        <w:rPr>
          <w:rFonts w:ascii="ITC Avant Garde" w:hAnsi="ITC Avant Garde"/>
          <w:lang w:val="es-MX"/>
        </w:rPr>
        <w:t>para proporcionar uno u otro servicio para definir la base de costos para el servicio, y no tendrá en cuenta los activos que se benefician de una financiación alternativa, como por ejemplo la ayuda estatal y los pag</w:t>
      </w:r>
      <w:r w:rsidR="00F9290D" w:rsidRPr="00CD0C09">
        <w:rPr>
          <w:rFonts w:ascii="ITC Avant Garde" w:hAnsi="ITC Avant Garde"/>
          <w:lang w:val="es-MX"/>
        </w:rPr>
        <w:t xml:space="preserve">os del </w:t>
      </w:r>
      <w:r w:rsidRPr="00CD0C09">
        <w:rPr>
          <w:rFonts w:ascii="ITC Avant Garde" w:hAnsi="ITC Avant Garde"/>
          <w:lang w:val="es-MX"/>
        </w:rPr>
        <w:t>cliente</w:t>
      </w:r>
      <w:r w:rsidR="00F9290D" w:rsidRPr="00CD0C09">
        <w:rPr>
          <w:rFonts w:ascii="ITC Avant Garde" w:hAnsi="ITC Avant Garde"/>
          <w:lang w:val="es-MX"/>
        </w:rPr>
        <w:t xml:space="preserve"> final</w:t>
      </w:r>
      <w:r w:rsidRPr="00CD0C09">
        <w:rPr>
          <w:rFonts w:ascii="ITC Avant Garde" w:hAnsi="ITC Avant Garde"/>
          <w:lang w:val="es-MX"/>
        </w:rPr>
        <w:t>.</w:t>
      </w:r>
    </w:p>
    <w:p w:rsidR="004F627A" w:rsidRDefault="004F627A" w:rsidP="004F627A">
      <w:pPr>
        <w:rPr>
          <w:rFonts w:ascii="ITC Avant Garde" w:hAnsi="ITC Avant Garde"/>
          <w:lang w:val="es-MX"/>
        </w:rPr>
      </w:pPr>
    </w:p>
    <w:p w:rsidR="007A227B" w:rsidRDefault="007A227B" w:rsidP="004F627A">
      <w:pPr>
        <w:rPr>
          <w:rFonts w:ascii="ITC Avant Garde" w:hAnsi="ITC Avant Garde"/>
          <w:lang w:val="es-MX"/>
        </w:rPr>
      </w:pPr>
    </w:p>
    <w:p w:rsidR="007A227B" w:rsidRDefault="007A227B" w:rsidP="004F627A">
      <w:pPr>
        <w:rPr>
          <w:rFonts w:ascii="ITC Avant Garde" w:hAnsi="ITC Avant Garde"/>
          <w:lang w:val="es-MX"/>
        </w:rPr>
      </w:pPr>
    </w:p>
    <w:p w:rsidR="007A227B" w:rsidRDefault="007A227B" w:rsidP="004F627A">
      <w:pPr>
        <w:rPr>
          <w:rFonts w:ascii="ITC Avant Garde" w:hAnsi="ITC Avant Garde"/>
          <w:lang w:val="es-MX"/>
        </w:rPr>
      </w:pPr>
    </w:p>
    <w:p w:rsidR="007A227B" w:rsidRDefault="007A227B" w:rsidP="004F627A">
      <w:pPr>
        <w:rPr>
          <w:rFonts w:ascii="ITC Avant Garde" w:hAnsi="ITC Avant Garde"/>
          <w:lang w:val="es-MX"/>
        </w:rPr>
      </w:pPr>
    </w:p>
    <w:p w:rsidR="007A227B" w:rsidRDefault="007A227B" w:rsidP="004F627A">
      <w:pPr>
        <w:rPr>
          <w:rFonts w:ascii="ITC Avant Garde" w:hAnsi="ITC Avant Garde"/>
          <w:lang w:val="es-MX"/>
        </w:rPr>
      </w:pPr>
    </w:p>
    <w:p w:rsidR="007A227B" w:rsidRDefault="007A227B" w:rsidP="004F627A">
      <w:pPr>
        <w:rPr>
          <w:rFonts w:ascii="ITC Avant Garde" w:hAnsi="ITC Avant Garde"/>
          <w:lang w:val="es-MX"/>
        </w:rPr>
      </w:pPr>
    </w:p>
    <w:p w:rsidR="007A227B" w:rsidRDefault="007A227B" w:rsidP="004F627A">
      <w:pPr>
        <w:rPr>
          <w:rFonts w:ascii="ITC Avant Garde" w:hAnsi="ITC Avant Garde"/>
          <w:lang w:val="es-MX"/>
        </w:rPr>
      </w:pPr>
    </w:p>
    <w:p w:rsidR="007A227B" w:rsidRDefault="007A227B" w:rsidP="004F627A">
      <w:pPr>
        <w:rPr>
          <w:rFonts w:ascii="ITC Avant Garde" w:hAnsi="ITC Avant Garde"/>
          <w:lang w:val="es-MX"/>
        </w:rPr>
      </w:pPr>
    </w:p>
    <w:p w:rsidR="007A227B" w:rsidRDefault="007A227B" w:rsidP="004F627A">
      <w:pPr>
        <w:rPr>
          <w:rFonts w:ascii="ITC Avant Garde" w:hAnsi="ITC Avant Garde"/>
          <w:lang w:val="es-MX"/>
        </w:rPr>
      </w:pPr>
    </w:p>
    <w:p w:rsidR="004F627A" w:rsidRPr="00872052" w:rsidRDefault="004B276B" w:rsidP="005B0846">
      <w:pPr>
        <w:pStyle w:val="Ttulo1"/>
        <w:ind w:left="567"/>
        <w:rPr>
          <w:rFonts w:ascii="ITC Avant Garde" w:hAnsi="ITC Avant Garde"/>
          <w:lang w:val="es-MX"/>
        </w:rPr>
      </w:pPr>
      <w:bookmarkStart w:id="169" w:name="_Toc525672852"/>
      <w:bookmarkStart w:id="170" w:name="_Toc525665292"/>
      <w:bookmarkStart w:id="171" w:name="_Toc525665671"/>
      <w:bookmarkStart w:id="172" w:name="_Toc526854372"/>
      <w:r w:rsidRPr="00872052">
        <w:rPr>
          <w:rFonts w:ascii="ITC Avant Garde" w:hAnsi="ITC Avant Garde"/>
          <w:lang w:val="es-MX"/>
        </w:rPr>
        <w:t>Descripción</w:t>
      </w:r>
      <w:r w:rsidR="002951CD" w:rsidRPr="00872052">
        <w:rPr>
          <w:rFonts w:ascii="ITC Avant Garde" w:hAnsi="ITC Avant Garde"/>
          <w:lang w:val="es-MX"/>
        </w:rPr>
        <w:t xml:space="preserve"> </w:t>
      </w:r>
      <w:r w:rsidR="004F627A" w:rsidRPr="00872052">
        <w:rPr>
          <w:rFonts w:ascii="ITC Avant Garde" w:hAnsi="ITC Avant Garde"/>
          <w:lang w:val="es-MX"/>
        </w:rPr>
        <w:t>del modelo de acceso</w:t>
      </w:r>
      <w:bookmarkEnd w:id="169"/>
      <w:bookmarkEnd w:id="170"/>
      <w:bookmarkEnd w:id="171"/>
      <w:bookmarkEnd w:id="172"/>
    </w:p>
    <w:p w:rsidR="004F627A" w:rsidRPr="00872052" w:rsidRDefault="004F627A" w:rsidP="004F627A">
      <w:pPr>
        <w:rPr>
          <w:rFonts w:ascii="ITC Avant Garde" w:hAnsi="ITC Avant Garde"/>
          <w:lang w:val="es-MX"/>
        </w:rPr>
      </w:pPr>
      <w:r w:rsidRPr="00872052">
        <w:rPr>
          <w:rFonts w:ascii="ITC Avant Garde" w:hAnsi="ITC Avant Garde"/>
          <w:lang w:val="es-MX"/>
        </w:rPr>
        <w:t>Est</w:t>
      </w:r>
      <w:r w:rsidR="00F9290D" w:rsidRPr="00872052">
        <w:rPr>
          <w:rFonts w:ascii="ITC Avant Garde" w:hAnsi="ITC Avant Garde"/>
          <w:lang w:val="es-MX"/>
        </w:rPr>
        <w:t xml:space="preserve">a sección </w:t>
      </w:r>
      <w:r w:rsidRPr="00872052">
        <w:rPr>
          <w:rFonts w:ascii="ITC Avant Garde" w:hAnsi="ITC Avant Garde"/>
          <w:lang w:val="es-MX"/>
        </w:rPr>
        <w:t xml:space="preserve">detalla </w:t>
      </w:r>
      <w:r w:rsidR="00F9290D" w:rsidRPr="00872052">
        <w:rPr>
          <w:rFonts w:ascii="ITC Avant Garde" w:hAnsi="ITC Avant Garde"/>
          <w:lang w:val="es-MX"/>
        </w:rPr>
        <w:t>la implementación técnica de</w:t>
      </w:r>
      <w:r w:rsidRPr="00872052">
        <w:rPr>
          <w:rFonts w:ascii="ITC Avant Garde" w:hAnsi="ITC Avant Garde"/>
          <w:lang w:val="es-MX"/>
        </w:rPr>
        <w:t xml:space="preserve">l modelo LRAIC. </w:t>
      </w:r>
      <w:r w:rsidR="00F9290D" w:rsidRPr="00872052">
        <w:rPr>
          <w:rFonts w:ascii="ITC Avant Garde" w:hAnsi="ITC Avant Garde"/>
          <w:lang w:val="es-MX"/>
        </w:rPr>
        <w:t>T</w:t>
      </w:r>
      <w:r w:rsidRPr="00872052">
        <w:rPr>
          <w:rFonts w:ascii="ITC Avant Garde" w:hAnsi="ITC Avant Garde"/>
          <w:lang w:val="es-MX"/>
        </w:rPr>
        <w:t>iene la siguiente estructura:</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La sección 3.1 proporciona una vista de alto nivel de la estructura del modelo;</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 xml:space="preserve">La sección 3.2 presenta la elaboración y el uso de los bases de datos </w:t>
      </w:r>
      <w:proofErr w:type="spellStart"/>
      <w:r w:rsidRPr="00872052">
        <w:rPr>
          <w:rFonts w:ascii="ITC Avant Garde" w:hAnsi="ITC Avant Garde"/>
          <w:lang w:val="es-MX"/>
        </w:rPr>
        <w:t>geomarketing</w:t>
      </w:r>
      <w:proofErr w:type="spellEnd"/>
      <w:r w:rsidRPr="00872052">
        <w:rPr>
          <w:rFonts w:ascii="ITC Avant Garde" w:hAnsi="ITC Avant Garde"/>
          <w:lang w:val="es-MX"/>
        </w:rPr>
        <w:t xml:space="preserve"> (cálculos fuera de línea);</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La sección 3.3 detalla los principios de dimensionamiento utilizados para diseñar las redes de acceso de cobre y fibra;</w:t>
      </w:r>
    </w:p>
    <w:p w:rsidR="00086BFA" w:rsidRPr="00872052" w:rsidRDefault="00086BFA" w:rsidP="00086BFA">
      <w:pPr>
        <w:pStyle w:val="Listaconvietas2"/>
        <w:rPr>
          <w:rFonts w:ascii="ITC Avant Garde" w:hAnsi="ITC Avant Garde"/>
          <w:lang w:val="es-MX"/>
        </w:rPr>
      </w:pPr>
      <w:r w:rsidRPr="00872052">
        <w:rPr>
          <w:rFonts w:ascii="ITC Avant Garde" w:hAnsi="ITC Avant Garde"/>
          <w:lang w:val="es-MX"/>
        </w:rPr>
        <w:t xml:space="preserve">La sección 3.4 detalla los cálculos que permiten derivar los costos </w:t>
      </w:r>
      <w:r w:rsidR="00D4162F">
        <w:rPr>
          <w:rFonts w:ascii="ITC Avant Garde" w:hAnsi="ITC Avant Garde"/>
          <w:lang w:val="es-MX"/>
        </w:rPr>
        <w:t>de red y los costos por servicio.</w:t>
      </w:r>
    </w:p>
    <w:p w:rsidR="005B0846" w:rsidRPr="00872052" w:rsidRDefault="005B0846" w:rsidP="005B0846">
      <w:pPr>
        <w:rPr>
          <w:rFonts w:ascii="ITC Avant Garde" w:hAnsi="ITC Avant Garde"/>
          <w:lang w:val="es-MX"/>
        </w:rPr>
      </w:pPr>
    </w:p>
    <w:p w:rsidR="004F627A" w:rsidRPr="00872052" w:rsidRDefault="004F627A" w:rsidP="004F627A">
      <w:pPr>
        <w:rPr>
          <w:rFonts w:ascii="ITC Avant Garde" w:hAnsi="ITC Avant Garde"/>
          <w:lang w:val="es-MX"/>
        </w:rPr>
      </w:pPr>
    </w:p>
    <w:p w:rsidR="004F627A" w:rsidRPr="00872052" w:rsidRDefault="004F627A">
      <w:pPr>
        <w:spacing w:before="0" w:line="240" w:lineRule="auto"/>
        <w:jc w:val="left"/>
        <w:rPr>
          <w:rFonts w:ascii="ITC Avant Garde" w:hAnsi="ITC Avant Garde"/>
          <w:lang w:val="es-MX"/>
        </w:rPr>
      </w:pPr>
      <w:r w:rsidRPr="00872052">
        <w:rPr>
          <w:rFonts w:ascii="ITC Avant Garde" w:hAnsi="ITC Avant Garde"/>
          <w:lang w:val="es-MX"/>
        </w:rPr>
        <w:br w:type="page"/>
      </w:r>
    </w:p>
    <w:p w:rsidR="004F627A" w:rsidRPr="00872052" w:rsidRDefault="003A0FB4" w:rsidP="004F627A">
      <w:pPr>
        <w:pStyle w:val="Ttulo2"/>
        <w:rPr>
          <w:rFonts w:ascii="ITC Avant Garde" w:hAnsi="ITC Avant Garde"/>
          <w:lang w:val="es-MX"/>
        </w:rPr>
      </w:pPr>
      <w:bookmarkStart w:id="173" w:name="_Toc525672853"/>
      <w:bookmarkStart w:id="174" w:name="_Toc525665293"/>
      <w:bookmarkStart w:id="175" w:name="_Toc525665672"/>
      <w:bookmarkStart w:id="176" w:name="_Toc526854373"/>
      <w:r w:rsidRPr="00872052">
        <w:rPr>
          <w:rFonts w:ascii="ITC Avant Garde" w:hAnsi="ITC Avant Garde"/>
          <w:lang w:val="es-MX"/>
        </w:rPr>
        <w:lastRenderedPageBreak/>
        <w:t>Estructura del modelo</w:t>
      </w:r>
      <w:bookmarkEnd w:id="173"/>
      <w:bookmarkEnd w:id="174"/>
      <w:bookmarkEnd w:id="175"/>
      <w:bookmarkEnd w:id="176"/>
    </w:p>
    <w:p w:rsidR="005B0846" w:rsidRPr="00872052" w:rsidRDefault="005B0846" w:rsidP="005B0846">
      <w:pPr>
        <w:pStyle w:val="Ttulo3"/>
        <w:rPr>
          <w:rFonts w:ascii="ITC Avant Garde" w:hAnsi="ITC Avant Garde"/>
          <w:lang w:val="es-MX"/>
        </w:rPr>
      </w:pPr>
      <w:bookmarkStart w:id="177" w:name="_Toc525672854"/>
      <w:bookmarkStart w:id="178" w:name="_Toc525665294"/>
      <w:bookmarkStart w:id="179" w:name="_Toc525665673"/>
      <w:bookmarkStart w:id="180" w:name="_Toc526854374"/>
      <w:r w:rsidRPr="00872052">
        <w:rPr>
          <w:rFonts w:ascii="ITC Avant Garde" w:hAnsi="ITC Avant Garde"/>
          <w:lang w:val="es-MX"/>
        </w:rPr>
        <w:t>Visi</w:t>
      </w:r>
      <w:r w:rsidR="00872052" w:rsidRPr="00872052">
        <w:rPr>
          <w:rFonts w:ascii="ITC Avant Garde" w:hAnsi="ITC Avant Garde"/>
          <w:lang w:val="es-MX"/>
        </w:rPr>
        <w:t>ó</w:t>
      </w:r>
      <w:r w:rsidRPr="00872052">
        <w:rPr>
          <w:rFonts w:ascii="ITC Avant Garde" w:hAnsi="ITC Avant Garde"/>
          <w:lang w:val="es-MX"/>
        </w:rPr>
        <w:t>n general</w:t>
      </w:r>
      <w:bookmarkEnd w:id="177"/>
      <w:bookmarkEnd w:id="178"/>
      <w:bookmarkEnd w:id="179"/>
      <w:bookmarkEnd w:id="180"/>
    </w:p>
    <w:p w:rsidR="004F627A" w:rsidRPr="00872052" w:rsidRDefault="004F627A" w:rsidP="004F627A">
      <w:pPr>
        <w:rPr>
          <w:rFonts w:ascii="ITC Avant Garde" w:hAnsi="ITC Avant Garde"/>
          <w:lang w:val="es-MX"/>
        </w:rPr>
      </w:pPr>
      <w:r w:rsidRPr="00872052">
        <w:rPr>
          <w:rFonts w:ascii="ITC Avant Garde" w:hAnsi="ITC Avant Garde"/>
          <w:lang w:val="es-MX"/>
        </w:rPr>
        <w:t>Esta sección describe la estructura básica y el funcionamiento del modelo</w:t>
      </w:r>
      <w:r w:rsidR="00E23877" w:rsidRPr="00872052">
        <w:rPr>
          <w:rFonts w:ascii="ITC Avant Garde" w:hAnsi="ITC Avant Garde"/>
          <w:lang w:val="es-MX"/>
        </w:rPr>
        <w:t xml:space="preserve"> de acceso</w:t>
      </w:r>
      <w:r w:rsidRPr="00872052">
        <w:rPr>
          <w:rFonts w:ascii="ITC Avant Garde" w:hAnsi="ITC Avant Garde"/>
          <w:lang w:val="es-MX"/>
        </w:rPr>
        <w:t>.</w:t>
      </w:r>
    </w:p>
    <w:p w:rsidR="005B0846" w:rsidRPr="00872052" w:rsidRDefault="005B0846" w:rsidP="005B0846">
      <w:pPr>
        <w:rPr>
          <w:rFonts w:ascii="ITC Avant Garde" w:hAnsi="ITC Avant Garde"/>
          <w:lang w:val="es-MX"/>
        </w:rPr>
      </w:pPr>
      <w:r w:rsidRPr="00872052">
        <w:rPr>
          <w:rFonts w:ascii="ITC Avant Garde" w:hAnsi="ITC Avant Garde"/>
          <w:lang w:val="es-MX"/>
        </w:rPr>
        <w:t>El modelo de costo de la red de acceso estima los costos de todos los cables y zanjas asociados con las líneas de clientes para vincular a todos los clientes desde las instalaciones del cliente a un punto de concentración (PDP), y del punto de concentraci</w:t>
      </w:r>
      <w:r w:rsidR="00720839">
        <w:rPr>
          <w:rFonts w:ascii="ITC Avant Garde" w:hAnsi="ITC Avant Garde"/>
          <w:lang w:val="es-MX"/>
        </w:rPr>
        <w:t>ó</w:t>
      </w:r>
      <w:r w:rsidRPr="00872052">
        <w:rPr>
          <w:rFonts w:ascii="ITC Avant Garde" w:hAnsi="ITC Avant Garde"/>
          <w:lang w:val="es-MX"/>
        </w:rPr>
        <w:t xml:space="preserve">n </w:t>
      </w:r>
      <w:r w:rsidR="00872052" w:rsidRPr="00872052">
        <w:rPr>
          <w:rFonts w:ascii="ITC Avant Garde" w:hAnsi="ITC Avant Garde"/>
          <w:lang w:val="es-MX"/>
        </w:rPr>
        <w:t xml:space="preserve">(el término “Centrales” llama se emplean en este documento para denominar </w:t>
      </w:r>
      <w:r w:rsidR="009F36EA">
        <w:rPr>
          <w:rFonts w:ascii="ITC Avant Garde" w:hAnsi="ITC Avant Garde"/>
          <w:lang w:val="es-MX"/>
        </w:rPr>
        <w:t>a</w:t>
      </w:r>
      <w:r w:rsidR="00872052" w:rsidRPr="00872052">
        <w:rPr>
          <w:rFonts w:ascii="ITC Avant Garde" w:hAnsi="ITC Avant Garde"/>
          <w:lang w:val="es-MX"/>
        </w:rPr>
        <w:t xml:space="preserve"> la Oficina Central (CO)</w:t>
      </w:r>
      <w:r w:rsidRPr="00872052">
        <w:rPr>
          <w:rFonts w:ascii="ITC Avant Garde" w:hAnsi="ITC Avant Garde"/>
          <w:lang w:val="es-MX"/>
        </w:rPr>
        <w:t xml:space="preserve"> donde se encuentran los equipos activos. Esto se realiza para ambas tecnologías de acceso.</w:t>
      </w:r>
    </w:p>
    <w:p w:rsidR="005B0846" w:rsidRPr="00872052" w:rsidRDefault="005B0846" w:rsidP="005B0846">
      <w:pPr>
        <w:rPr>
          <w:rFonts w:ascii="ITC Avant Garde" w:hAnsi="ITC Avant Garde"/>
          <w:lang w:val="es-MX"/>
        </w:rPr>
      </w:pPr>
      <w:r w:rsidRPr="00872052">
        <w:rPr>
          <w:rFonts w:ascii="ITC Avant Garde" w:hAnsi="ITC Avant Garde"/>
          <w:lang w:val="es-MX"/>
        </w:rPr>
        <w:t>El modelo es una jerarquía de 3 m</w:t>
      </w:r>
      <w:r w:rsidR="0093083D">
        <w:rPr>
          <w:rFonts w:ascii="ITC Avant Garde" w:hAnsi="ITC Avant Garde"/>
          <w:lang w:val="es-MX"/>
        </w:rPr>
        <w:t>ó</w:t>
      </w:r>
      <w:r w:rsidRPr="00872052">
        <w:rPr>
          <w:rFonts w:ascii="ITC Avant Garde" w:hAnsi="ITC Avant Garde"/>
          <w:lang w:val="es-MX"/>
        </w:rPr>
        <w:t xml:space="preserve">dulos interconectados (ver </w:t>
      </w:r>
      <w:r w:rsidR="0093083D">
        <w:rPr>
          <w:rFonts w:ascii="ITC Avant Garde" w:hAnsi="ITC Avant Garde"/>
          <w:lang w:val="es-MX"/>
        </w:rPr>
        <w:t>f</w:t>
      </w:r>
      <w:r w:rsidRPr="00872052">
        <w:rPr>
          <w:rFonts w:ascii="ITC Avant Garde" w:hAnsi="ITC Avant Garde"/>
          <w:lang w:val="es-MX"/>
        </w:rPr>
        <w:t xml:space="preserve">igura </w:t>
      </w:r>
      <w:r w:rsidR="0093083D">
        <w:rPr>
          <w:rFonts w:ascii="ITC Avant Garde" w:hAnsi="ITC Avant Garde"/>
          <w:lang w:val="es-MX"/>
        </w:rPr>
        <w:t>siguiente</w:t>
      </w:r>
      <w:r w:rsidRPr="00872052">
        <w:rPr>
          <w:rFonts w:ascii="ITC Avant Garde" w:hAnsi="ITC Avant Garde"/>
          <w:lang w:val="es-MX"/>
        </w:rPr>
        <w:t>):</w:t>
      </w:r>
    </w:p>
    <w:p w:rsidR="005B0846" w:rsidRPr="00872052" w:rsidRDefault="005B0846" w:rsidP="005B0846">
      <w:pPr>
        <w:pStyle w:val="Listaconvietas2"/>
        <w:rPr>
          <w:rFonts w:ascii="ITC Avant Garde" w:hAnsi="ITC Avant Garde"/>
          <w:lang w:val="es-MX"/>
        </w:rPr>
      </w:pPr>
      <w:r w:rsidRPr="00872052">
        <w:rPr>
          <w:rFonts w:ascii="ITC Avant Garde" w:hAnsi="ITC Avant Garde"/>
          <w:b/>
          <w:lang w:val="es-MX"/>
        </w:rPr>
        <w:t>Procesamiento de datos de geo marketing (cálculo fuera de línea)</w:t>
      </w:r>
      <w:r w:rsidRPr="00872052">
        <w:rPr>
          <w:rFonts w:ascii="ITC Avant Garde" w:hAnsi="ITC Avant Garde"/>
          <w:lang w:val="es-MX"/>
        </w:rPr>
        <w:t xml:space="preserve">: tiene como objetivo determinar todas las rutas de cables desde los usuarios finales hasta los nodos de red (algoritmos de ruta más cortos). Incluye la interpretación de los nodos </w:t>
      </w:r>
      <w:r w:rsidR="00AF2EAB">
        <w:rPr>
          <w:rFonts w:ascii="ITC Avant Garde" w:hAnsi="ITC Avant Garde"/>
          <w:lang w:val="es-MX"/>
        </w:rPr>
        <w:t>AEP</w:t>
      </w:r>
      <w:r w:rsidR="00CA5B80">
        <w:rPr>
          <w:rFonts w:ascii="ITC Avant Garde" w:hAnsi="ITC Avant Garde"/>
          <w:lang w:val="es-MX"/>
        </w:rPr>
        <w:t>/</w:t>
      </w:r>
      <w:r w:rsidRPr="00872052">
        <w:rPr>
          <w:rFonts w:ascii="ITC Avant Garde" w:hAnsi="ITC Avant Garde"/>
          <w:lang w:val="es-MX"/>
        </w:rPr>
        <w:t>IFT, las bases de datos de carreteras y el análisis de direcciones. Se utiliza una herramienta de geo-marketing específica para realizar estos cálculos fuera de línea. Esta parte del modelo no est</w:t>
      </w:r>
      <w:r w:rsidR="00720839">
        <w:rPr>
          <w:rFonts w:ascii="ITC Avant Garde" w:hAnsi="ITC Avant Garde"/>
          <w:lang w:val="es-MX"/>
        </w:rPr>
        <w:t>á</w:t>
      </w:r>
      <w:r w:rsidRPr="00872052">
        <w:rPr>
          <w:rFonts w:ascii="ITC Avant Garde" w:hAnsi="ITC Avant Garde"/>
          <w:lang w:val="es-MX"/>
        </w:rPr>
        <w:t xml:space="preserve"> en consulta p</w:t>
      </w:r>
      <w:r w:rsidR="00720839">
        <w:rPr>
          <w:rFonts w:ascii="ITC Avant Garde" w:hAnsi="ITC Avant Garde"/>
          <w:lang w:val="es-MX"/>
        </w:rPr>
        <w:t>ú</w:t>
      </w:r>
      <w:r w:rsidRPr="00872052">
        <w:rPr>
          <w:rFonts w:ascii="ITC Avant Garde" w:hAnsi="ITC Avant Garde"/>
          <w:lang w:val="es-MX"/>
        </w:rPr>
        <w:t>blica, pero se proporciona el resultado detallado para la revisión de la industria;</w:t>
      </w:r>
    </w:p>
    <w:p w:rsidR="005B0846" w:rsidRPr="00872052" w:rsidRDefault="005B0846" w:rsidP="005B0846">
      <w:pPr>
        <w:pStyle w:val="Listaconvietas2"/>
        <w:rPr>
          <w:rFonts w:ascii="ITC Avant Garde" w:hAnsi="ITC Avant Garde"/>
          <w:lang w:val="es-MX"/>
        </w:rPr>
      </w:pPr>
      <w:r w:rsidRPr="00872052">
        <w:rPr>
          <w:rFonts w:ascii="ITC Avant Garde" w:hAnsi="ITC Avant Garde"/>
          <w:b/>
          <w:lang w:val="es-MX"/>
        </w:rPr>
        <w:t>Dimensionamiento de la red de acceso (SQL):</w:t>
      </w:r>
      <w:r w:rsidRPr="00872052">
        <w:rPr>
          <w:rFonts w:ascii="ITC Avant Garde" w:hAnsi="ITC Avant Garde"/>
          <w:lang w:val="es-MX"/>
        </w:rPr>
        <w:t xml:space="preserve"> en función del análisis de datos de </w:t>
      </w:r>
      <w:proofErr w:type="spellStart"/>
      <w:r w:rsidRPr="00872052">
        <w:rPr>
          <w:rFonts w:ascii="ITC Avant Garde" w:hAnsi="ITC Avant Garde"/>
          <w:lang w:val="es-MX"/>
        </w:rPr>
        <w:t>geomarketing</w:t>
      </w:r>
      <w:proofErr w:type="spellEnd"/>
      <w:r w:rsidRPr="00872052">
        <w:rPr>
          <w:rFonts w:ascii="ITC Avant Garde" w:hAnsi="ITC Avant Garde"/>
          <w:lang w:val="es-MX"/>
        </w:rPr>
        <w:t xml:space="preserve"> realizado en los cálculos fuera de línea, as</w:t>
      </w:r>
      <w:r w:rsidR="00CA5B80">
        <w:rPr>
          <w:rFonts w:ascii="ITC Avant Garde" w:hAnsi="ITC Avant Garde"/>
          <w:lang w:val="es-MX"/>
        </w:rPr>
        <w:t>í</w:t>
      </w:r>
      <w:r w:rsidRPr="00872052">
        <w:rPr>
          <w:rFonts w:ascii="ITC Avant Garde" w:hAnsi="ITC Avant Garde"/>
          <w:lang w:val="es-MX"/>
        </w:rPr>
        <w:t xml:space="preserve"> como de la lista de activos disponibles y de las reglas de dimensionamiento, la red de acceso está dimensionada en este m</w:t>
      </w:r>
      <w:r w:rsidR="00CA5B80">
        <w:rPr>
          <w:rFonts w:ascii="ITC Avant Garde" w:hAnsi="ITC Avant Garde"/>
          <w:lang w:val="es-MX"/>
        </w:rPr>
        <w:t>ó</w:t>
      </w:r>
      <w:r w:rsidRPr="00872052">
        <w:rPr>
          <w:rFonts w:ascii="ITC Avant Garde" w:hAnsi="ITC Avant Garde"/>
          <w:lang w:val="es-MX"/>
        </w:rPr>
        <w:t>dulo (cables, ingeniería civil, etc.), que determina un inventario de activos de la red a desplegar. Debido a la gran cantidad de datos a tratar, el cálculo se realiza con SQL. Esta parte del modelo no est</w:t>
      </w:r>
      <w:r w:rsidR="00720839">
        <w:rPr>
          <w:rFonts w:ascii="ITC Avant Garde" w:hAnsi="ITC Avant Garde"/>
          <w:lang w:val="es-MX"/>
        </w:rPr>
        <w:t>á</w:t>
      </w:r>
      <w:r w:rsidRPr="00872052">
        <w:rPr>
          <w:rFonts w:ascii="ITC Avant Garde" w:hAnsi="ITC Avant Garde"/>
          <w:lang w:val="es-MX"/>
        </w:rPr>
        <w:t xml:space="preserve"> en consulta p</w:t>
      </w:r>
      <w:r w:rsidR="00720839">
        <w:rPr>
          <w:rFonts w:ascii="ITC Avant Garde" w:hAnsi="ITC Avant Garde"/>
          <w:lang w:val="es-MX"/>
        </w:rPr>
        <w:t>ú</w:t>
      </w:r>
      <w:r w:rsidRPr="00872052">
        <w:rPr>
          <w:rFonts w:ascii="ITC Avant Garde" w:hAnsi="ITC Avant Garde"/>
          <w:lang w:val="es-MX"/>
        </w:rPr>
        <w:t>blica,</w:t>
      </w:r>
      <w:r w:rsidR="00086BFA" w:rsidRPr="00872052">
        <w:rPr>
          <w:rFonts w:ascii="ITC Avant Garde" w:hAnsi="ITC Avant Garde"/>
          <w:lang w:val="es-MX"/>
        </w:rPr>
        <w:t xml:space="preserve"> pero se proporciona el resultado detallado para la revisión de la industria;</w:t>
      </w:r>
    </w:p>
    <w:p w:rsidR="005B0846" w:rsidRPr="00872052" w:rsidRDefault="005B0846" w:rsidP="005B0846">
      <w:pPr>
        <w:pStyle w:val="Listaconvietas2"/>
        <w:rPr>
          <w:rFonts w:ascii="ITC Avant Garde" w:hAnsi="ITC Avant Garde"/>
          <w:lang w:val="es-MX"/>
        </w:rPr>
      </w:pPr>
      <w:r w:rsidRPr="00872052">
        <w:rPr>
          <w:rFonts w:ascii="ITC Avant Garde" w:hAnsi="ITC Avant Garde"/>
          <w:b/>
          <w:lang w:val="es-MX"/>
        </w:rPr>
        <w:t>Costo de acceso a la red (Microsoft Excel):</w:t>
      </w:r>
      <w:r w:rsidRPr="00872052">
        <w:rPr>
          <w:rFonts w:ascii="ITC Avant Garde" w:hAnsi="ITC Avant Garde"/>
          <w:lang w:val="es-MX"/>
        </w:rPr>
        <w:t xml:space="preserve"> una vez que se realiza el dimensionamiento, los costos se obtienen (multiplicando el recuento de activos obtenido en el m</w:t>
      </w:r>
      <w:r w:rsidR="00CA5B80">
        <w:rPr>
          <w:rFonts w:ascii="ITC Avant Garde" w:hAnsi="ITC Avant Garde"/>
          <w:lang w:val="es-MX"/>
        </w:rPr>
        <w:t>ó</w:t>
      </w:r>
      <w:r w:rsidRPr="00872052">
        <w:rPr>
          <w:rFonts w:ascii="ITC Avant Garde" w:hAnsi="ITC Avant Garde"/>
          <w:lang w:val="es-MX"/>
        </w:rPr>
        <w:t xml:space="preserve">dulo anterior por los costos unitarios). Luego se realiza la depreciación y asignación de los costos de </w:t>
      </w:r>
      <w:r w:rsidR="00CA5B80">
        <w:rPr>
          <w:rFonts w:ascii="ITC Avant Garde" w:hAnsi="ITC Avant Garde"/>
          <w:lang w:val="es-MX"/>
        </w:rPr>
        <w:t>zanjas</w:t>
      </w:r>
      <w:r w:rsidR="00CA5B80" w:rsidRPr="00872052">
        <w:rPr>
          <w:rFonts w:ascii="ITC Avant Garde" w:hAnsi="ITC Avant Garde"/>
          <w:lang w:val="es-MX"/>
        </w:rPr>
        <w:t xml:space="preserve"> </w:t>
      </w:r>
      <w:r w:rsidRPr="00872052">
        <w:rPr>
          <w:rFonts w:ascii="ITC Avant Garde" w:hAnsi="ITC Avant Garde"/>
          <w:lang w:val="es-MX"/>
        </w:rPr>
        <w:t>entre las redes centrales y de acceso. La cantidad máxima de cálculos (incluido el cálculo de la inversión) se realiza en Microsoft Excel. Los costos de las redes de fibra y cobre</w:t>
      </w:r>
      <w:r w:rsidR="00AF2EAB">
        <w:rPr>
          <w:rFonts w:ascii="ITC Avant Garde" w:hAnsi="ITC Avant Garde"/>
          <w:lang w:val="es-MX"/>
        </w:rPr>
        <w:t xml:space="preserve"> </w:t>
      </w:r>
      <w:r w:rsidRPr="00872052">
        <w:rPr>
          <w:rFonts w:ascii="ITC Avant Garde" w:hAnsi="ITC Avant Garde"/>
          <w:lang w:val="es-MX"/>
        </w:rPr>
        <w:t>se calculan en este mismo modulo. Este m</w:t>
      </w:r>
      <w:r w:rsidR="00720839">
        <w:rPr>
          <w:rFonts w:ascii="ITC Avant Garde" w:hAnsi="ITC Avant Garde"/>
          <w:lang w:val="es-MX"/>
        </w:rPr>
        <w:t>ó</w:t>
      </w:r>
      <w:r w:rsidRPr="00872052">
        <w:rPr>
          <w:rFonts w:ascii="ITC Avant Garde" w:hAnsi="ITC Avant Garde"/>
          <w:lang w:val="es-MX"/>
        </w:rPr>
        <w:t>dulo est</w:t>
      </w:r>
      <w:r w:rsidR="00720839">
        <w:rPr>
          <w:rFonts w:ascii="ITC Avant Garde" w:hAnsi="ITC Avant Garde"/>
          <w:lang w:val="es-MX"/>
        </w:rPr>
        <w:t>á</w:t>
      </w:r>
      <w:r w:rsidRPr="00872052">
        <w:rPr>
          <w:rFonts w:ascii="ITC Avant Garde" w:hAnsi="ITC Avant Garde"/>
          <w:lang w:val="es-MX"/>
        </w:rPr>
        <w:t xml:space="preserve"> en consulta p</w:t>
      </w:r>
      <w:r w:rsidR="00720839">
        <w:rPr>
          <w:rFonts w:ascii="ITC Avant Garde" w:hAnsi="ITC Avant Garde"/>
          <w:lang w:val="es-MX"/>
        </w:rPr>
        <w:t>ú</w:t>
      </w:r>
      <w:r w:rsidRPr="00872052">
        <w:rPr>
          <w:rFonts w:ascii="ITC Avant Garde" w:hAnsi="ITC Avant Garde"/>
          <w:lang w:val="es-MX"/>
        </w:rPr>
        <w:t>blica.</w:t>
      </w:r>
    </w:p>
    <w:p w:rsidR="004F627A" w:rsidRPr="00872052" w:rsidRDefault="004F627A" w:rsidP="004F627A">
      <w:pPr>
        <w:rPr>
          <w:rFonts w:ascii="ITC Avant Garde" w:hAnsi="ITC Avant Garde"/>
          <w:lang w:val="es-MX"/>
        </w:rPr>
      </w:pPr>
    </w:p>
    <w:p w:rsidR="00B01E26" w:rsidRPr="00872052" w:rsidRDefault="00B01E26" w:rsidP="00B01E26">
      <w:pPr>
        <w:pStyle w:val="Descripcin"/>
        <w:keepNext/>
        <w:rPr>
          <w:rFonts w:ascii="ITC Avant Garde" w:hAnsi="ITC Avant Garde"/>
          <w:lang w:val="es-MX"/>
        </w:rPr>
      </w:pPr>
      <w:r w:rsidRPr="00872052">
        <w:rPr>
          <w:rFonts w:ascii="ITC Avant Garde" w:hAnsi="ITC Avant Garde"/>
          <w:lang w:val="es-MX"/>
        </w:rPr>
        <w:lastRenderedPageBreak/>
        <w:t xml:space="preserve">Figura </w:t>
      </w:r>
      <w:r w:rsidR="0093083D">
        <w:rPr>
          <w:rFonts w:ascii="ITC Avant Garde" w:hAnsi="ITC Avant Garde"/>
          <w:lang w:val="es-MX"/>
        </w:rPr>
        <w:t>14</w:t>
      </w:r>
      <w:r w:rsidR="0093083D" w:rsidRPr="00872052">
        <w:rPr>
          <w:rFonts w:ascii="ITC Avant Garde" w:hAnsi="ITC Avant Garde"/>
          <w:lang w:val="es-MX"/>
        </w:rPr>
        <w:t xml:space="preserve"> </w:t>
      </w:r>
      <w:r w:rsidRPr="00872052">
        <w:rPr>
          <w:rFonts w:ascii="ITC Avant Garde" w:hAnsi="ITC Avant Garde"/>
          <w:lang w:val="es-MX"/>
        </w:rPr>
        <w:t>– Estructura e interacción del modelo</w:t>
      </w:r>
    </w:p>
    <w:p w:rsidR="004F627A" w:rsidRPr="00872052" w:rsidRDefault="005B0846" w:rsidP="004F627A">
      <w:pPr>
        <w:keepNext/>
        <w:keepLines/>
        <w:rPr>
          <w:rFonts w:ascii="ITC Avant Garde" w:hAnsi="ITC Avant Garde"/>
          <w:lang w:val="es-MX"/>
        </w:rPr>
      </w:pPr>
      <w:r w:rsidRPr="00872052">
        <w:rPr>
          <w:rFonts w:ascii="ITC Avant Garde" w:hAnsi="ITC Avant Garde"/>
          <w:noProof/>
          <w:lang w:val="es-MX" w:eastAsia="es-MX"/>
        </w:rPr>
        <w:drawing>
          <wp:inline distT="0" distB="0" distL="0" distR="0" wp14:anchorId="797B00A2" wp14:editId="7ED44E65">
            <wp:extent cx="5399405" cy="1769414"/>
            <wp:effectExtent l="0" t="0" r="0" b="254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9405" cy="1769414"/>
                    </a:xfrm>
                    <a:prstGeom prst="rect">
                      <a:avLst/>
                    </a:prstGeom>
                    <a:noFill/>
                    <a:ln>
                      <a:noFill/>
                    </a:ln>
                  </pic:spPr>
                </pic:pic>
              </a:graphicData>
            </a:graphic>
          </wp:inline>
        </w:drawing>
      </w:r>
    </w:p>
    <w:p w:rsidR="00C3229C" w:rsidRPr="00872052" w:rsidRDefault="00C3229C" w:rsidP="00C3229C">
      <w:pPr>
        <w:pStyle w:val="Ttulo3"/>
        <w:rPr>
          <w:rFonts w:ascii="ITC Avant Garde" w:hAnsi="ITC Avant Garde"/>
          <w:lang w:val="es-MX"/>
        </w:rPr>
      </w:pPr>
      <w:bookmarkStart w:id="181" w:name="_Toc525672855"/>
      <w:bookmarkStart w:id="182" w:name="_Toc525665295"/>
      <w:bookmarkStart w:id="183" w:name="_Toc525665674"/>
      <w:bookmarkStart w:id="184" w:name="_Toc526854375"/>
      <w:r w:rsidRPr="00872052">
        <w:rPr>
          <w:rFonts w:ascii="ITC Avant Garde" w:hAnsi="ITC Avant Garde"/>
          <w:lang w:val="es-MX"/>
        </w:rPr>
        <w:t>Estructura del archivo SQL</w:t>
      </w:r>
      <w:bookmarkEnd w:id="181"/>
      <w:bookmarkEnd w:id="182"/>
      <w:bookmarkEnd w:id="183"/>
      <w:bookmarkEnd w:id="184"/>
    </w:p>
    <w:p w:rsidR="005B0846" w:rsidRPr="00872052" w:rsidRDefault="005B0846" w:rsidP="005B0846">
      <w:pPr>
        <w:rPr>
          <w:rFonts w:ascii="ITC Avant Garde" w:hAnsi="ITC Avant Garde"/>
          <w:lang w:val="es-MX"/>
        </w:rPr>
      </w:pPr>
      <w:r w:rsidRPr="00872052">
        <w:rPr>
          <w:rFonts w:ascii="ITC Avant Garde" w:hAnsi="ITC Avant Garde"/>
          <w:lang w:val="es-MX"/>
        </w:rPr>
        <w:t xml:space="preserve">Esta sección proporciona una descripción general del modelo SQL. </w:t>
      </w:r>
    </w:p>
    <w:p w:rsidR="00C3229C" w:rsidRPr="00872052" w:rsidRDefault="00C3229C" w:rsidP="00C3229C">
      <w:pPr>
        <w:rPr>
          <w:rFonts w:ascii="ITC Avant Garde" w:hAnsi="ITC Avant Garde"/>
          <w:lang w:val="es-MX"/>
        </w:rPr>
      </w:pPr>
      <w:r w:rsidRPr="00872052">
        <w:rPr>
          <w:rFonts w:ascii="ITC Avant Garde" w:hAnsi="ITC Avant Garde"/>
          <w:lang w:val="es-MX"/>
        </w:rPr>
        <w:t>La parte SQL está compuesta de 4 bases de datos:</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3 bases de datos específicas para los insumos de red donde se describen y preparan las rutas</w:t>
      </w:r>
      <w:r w:rsidR="00CA5B80">
        <w:rPr>
          <w:rFonts w:ascii="ITC Avant Garde" w:hAnsi="ITC Avant Garde"/>
          <w:lang w:val="es-MX"/>
        </w:rPr>
        <w:t>/</w:t>
      </w:r>
      <w:r w:rsidRPr="00872052">
        <w:rPr>
          <w:rFonts w:ascii="ITC Avant Garde" w:hAnsi="ITC Avant Garde"/>
          <w:lang w:val="es-MX"/>
        </w:rPr>
        <w:t>direcciones</w:t>
      </w:r>
      <w:r w:rsidR="00CA5B80">
        <w:rPr>
          <w:rFonts w:ascii="ITC Avant Garde" w:hAnsi="ITC Avant Garde"/>
          <w:lang w:val="es-MX"/>
        </w:rPr>
        <w:t>/s</w:t>
      </w:r>
      <w:r w:rsidRPr="00872052">
        <w:rPr>
          <w:rFonts w:ascii="ITC Avant Garde" w:hAnsi="ITC Avant Garde"/>
          <w:lang w:val="es-MX"/>
        </w:rPr>
        <w:t>ecciones pertinentes;</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1 base de datos que, al ejecutarse, calculará el dimensionamiento para el escenario relevante (es decir, deriva la cantidad necesaria de cada activo en cada sección de calle del país).</w:t>
      </w:r>
    </w:p>
    <w:p w:rsidR="005B0846" w:rsidRPr="00872052" w:rsidRDefault="005B0846" w:rsidP="005B0846">
      <w:pPr>
        <w:pStyle w:val="Descripcin"/>
        <w:keepNext/>
        <w:rPr>
          <w:rFonts w:ascii="ITC Avant Garde" w:hAnsi="ITC Avant Garde"/>
          <w:lang w:val="es-MX"/>
        </w:rPr>
      </w:pP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t xml:space="preserve">Figura </w:t>
      </w:r>
      <w:r w:rsidR="00DC6B35">
        <w:rPr>
          <w:rFonts w:ascii="ITC Avant Garde" w:hAnsi="ITC Avant Garde"/>
          <w:lang w:val="es-MX"/>
        </w:rPr>
        <w:t>15</w:t>
      </w:r>
      <w:r w:rsidRPr="00872052">
        <w:rPr>
          <w:rFonts w:ascii="ITC Avant Garde" w:hAnsi="ITC Avant Garde"/>
          <w:lang w:val="es-MX"/>
        </w:rPr>
        <w:t xml:space="preserve"> – Arquitectura general del m</w:t>
      </w:r>
      <w:r w:rsidR="00720839">
        <w:rPr>
          <w:rFonts w:ascii="ITC Avant Garde" w:hAnsi="ITC Avant Garde"/>
          <w:lang w:val="es-MX"/>
        </w:rPr>
        <w:t>ó</w:t>
      </w:r>
      <w:r w:rsidRPr="00872052">
        <w:rPr>
          <w:rFonts w:ascii="ITC Avant Garde" w:hAnsi="ITC Avant Garde"/>
          <w:lang w:val="es-MX"/>
        </w:rPr>
        <w:t>dulo SQL</w:t>
      </w:r>
    </w:p>
    <w:p w:rsidR="005B0846" w:rsidRPr="00872052" w:rsidRDefault="005B0846" w:rsidP="005B0846">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31D06929" wp14:editId="235F1619">
            <wp:extent cx="4713106" cy="5293934"/>
            <wp:effectExtent l="0" t="0" r="0" b="2540"/>
            <wp:docPr id="24"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1301" cy="5303139"/>
                    </a:xfrm>
                    <a:prstGeom prst="rect">
                      <a:avLst/>
                    </a:prstGeom>
                    <a:noFill/>
                  </pic:spPr>
                </pic:pic>
              </a:graphicData>
            </a:graphic>
          </wp:inline>
        </w:drawing>
      </w:r>
    </w:p>
    <w:p w:rsidR="005B0846" w:rsidRPr="00872052" w:rsidRDefault="005B0846" w:rsidP="005B0846">
      <w:pPr>
        <w:rPr>
          <w:rFonts w:ascii="ITC Avant Garde" w:hAnsi="ITC Avant Garde"/>
          <w:lang w:val="es-MX"/>
        </w:rPr>
      </w:pP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Las primeras tres bases de datos se utilizan como un búfer para estructurar la entrada de los datos de cálculos fuera de línea en el formato utilizado por la base de datos de modelo. </w:t>
      </w: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La primera base de datos contiene la totalidad de los datos resultantes del análisis </w:t>
      </w:r>
      <w:proofErr w:type="spellStart"/>
      <w:r w:rsidRPr="00872052">
        <w:rPr>
          <w:rFonts w:ascii="ITC Avant Garde" w:hAnsi="ITC Avant Garde"/>
          <w:lang w:val="es-MX"/>
        </w:rPr>
        <w:t>geomarketing</w:t>
      </w:r>
      <w:proofErr w:type="spellEnd"/>
      <w:r w:rsidRPr="00872052">
        <w:rPr>
          <w:rFonts w:ascii="ITC Avant Garde" w:hAnsi="ITC Avant Garde"/>
          <w:lang w:val="es-MX"/>
        </w:rPr>
        <w:t>. Esta base de datos no contiene ning</w:t>
      </w:r>
      <w:r w:rsidR="00720839">
        <w:rPr>
          <w:rFonts w:ascii="ITC Avant Garde" w:hAnsi="ITC Avant Garde"/>
          <w:lang w:val="es-MX"/>
        </w:rPr>
        <w:t>ú</w:t>
      </w:r>
      <w:r w:rsidRPr="00872052">
        <w:rPr>
          <w:rFonts w:ascii="ITC Avant Garde" w:hAnsi="ITC Avant Garde"/>
          <w:lang w:val="es-MX"/>
        </w:rPr>
        <w:t>n algoritmo, y no se modifica durante los cálculos de SQL.</w:t>
      </w: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Esta base de datos contiene las siguientes tablas </w:t>
      </w:r>
    </w:p>
    <w:p w:rsidR="005B0846" w:rsidRDefault="005B0846" w:rsidP="005B0846">
      <w:pPr>
        <w:rPr>
          <w:rFonts w:ascii="ITC Avant Garde" w:hAnsi="ITC Avant Garde"/>
          <w:lang w:val="es-MX"/>
        </w:rPr>
      </w:pPr>
    </w:p>
    <w:p w:rsidR="009F5817" w:rsidRPr="00872052" w:rsidRDefault="009F5817" w:rsidP="005B0846">
      <w:pPr>
        <w:rPr>
          <w:rFonts w:ascii="ITC Avant Garde" w:hAnsi="ITC Avant Garde"/>
          <w:lang w:val="es-MX"/>
        </w:rPr>
      </w:pPr>
    </w:p>
    <w:p w:rsidR="005B0846" w:rsidRPr="00872052" w:rsidRDefault="00CA5B80" w:rsidP="005B0846">
      <w:pPr>
        <w:pStyle w:val="Descripcin"/>
        <w:rPr>
          <w:rFonts w:ascii="ITC Avant Garde" w:hAnsi="ITC Avant Garde"/>
          <w:lang w:val="es-MX"/>
        </w:rPr>
      </w:pPr>
      <w:r>
        <w:rPr>
          <w:rFonts w:ascii="ITC Avant Garde" w:hAnsi="ITC Avant Garde"/>
          <w:lang w:val="es-MX"/>
        </w:rPr>
        <w:t xml:space="preserve">Cuadro </w:t>
      </w:r>
      <w:r w:rsidR="009F5817">
        <w:rPr>
          <w:rFonts w:ascii="ITC Avant Garde" w:hAnsi="ITC Avant Garde"/>
          <w:lang w:val="es-MX"/>
        </w:rPr>
        <w:t>5</w:t>
      </w:r>
      <w:r w:rsidR="009F5817" w:rsidRPr="00872052">
        <w:rPr>
          <w:rFonts w:ascii="ITC Avant Garde" w:hAnsi="ITC Avant Garde"/>
          <w:lang w:val="es-MX"/>
        </w:rPr>
        <w:t xml:space="preserve"> -</w:t>
      </w:r>
      <w:r w:rsidR="005B0846" w:rsidRPr="00872052">
        <w:rPr>
          <w:rFonts w:ascii="ITC Avant Garde" w:hAnsi="ITC Avant Garde"/>
          <w:lang w:val="es-MX"/>
        </w:rPr>
        <w:t xml:space="preserve"> Descripción de las tablas - Base de datos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3"/>
        <w:gridCol w:w="4500"/>
      </w:tblGrid>
      <w:tr w:rsidR="005B0846" w:rsidRPr="00C53150" w:rsidTr="005B0846">
        <w:trPr>
          <w:tblHeader/>
          <w:jc w:val="center"/>
        </w:trPr>
        <w:tc>
          <w:tcPr>
            <w:tcW w:w="3993" w:type="dxa"/>
            <w:shd w:val="clear" w:color="auto" w:fill="2F5897" w:themeFill="text2"/>
          </w:tcPr>
          <w:p w:rsidR="005B0846" w:rsidRPr="00872052" w:rsidRDefault="005B0846" w:rsidP="005B0846">
            <w:pPr>
              <w:keepNext/>
              <w:jc w:val="center"/>
              <w:rPr>
                <w:rFonts w:ascii="ITC Avant Garde" w:hAnsi="ITC Avant Garde"/>
                <w:b/>
                <w:color w:val="FFFFFF"/>
                <w:sz w:val="16"/>
                <w:szCs w:val="16"/>
                <w:lang w:val="en-US"/>
              </w:rPr>
            </w:pPr>
            <w:r w:rsidRPr="00872052">
              <w:rPr>
                <w:rFonts w:ascii="ITC Avant Garde" w:hAnsi="ITC Avant Garde"/>
                <w:b/>
                <w:color w:val="FFFFFF"/>
                <w:sz w:val="16"/>
                <w:szCs w:val="16"/>
                <w:lang w:val="en-US"/>
              </w:rPr>
              <w:t>Table name</w:t>
            </w:r>
          </w:p>
        </w:tc>
        <w:tc>
          <w:tcPr>
            <w:tcW w:w="4500" w:type="dxa"/>
            <w:shd w:val="clear" w:color="auto" w:fill="2F5897" w:themeFill="text2"/>
          </w:tcPr>
          <w:p w:rsidR="005B0846" w:rsidRPr="00872052" w:rsidRDefault="005B0846" w:rsidP="005B0846">
            <w:pPr>
              <w:keepNext/>
              <w:jc w:val="center"/>
              <w:rPr>
                <w:rFonts w:ascii="ITC Avant Garde" w:hAnsi="ITC Avant Garde"/>
                <w:b/>
                <w:color w:val="FFFFFF"/>
                <w:sz w:val="16"/>
                <w:szCs w:val="16"/>
                <w:lang w:val="en-US"/>
              </w:rPr>
            </w:pPr>
            <w:r w:rsidRPr="00872052">
              <w:rPr>
                <w:rFonts w:ascii="ITC Avant Garde" w:hAnsi="ITC Avant Garde"/>
                <w:b/>
                <w:color w:val="FFFFFF"/>
                <w:sz w:val="16"/>
                <w:szCs w:val="16"/>
                <w:lang w:val="en-US"/>
              </w:rPr>
              <w:t>Description</w:t>
            </w:r>
          </w:p>
        </w:tc>
      </w:tr>
      <w:tr w:rsidR="005B0846" w:rsidRPr="00F906F3" w:rsidTr="005B0846">
        <w:trPr>
          <w:jc w:val="center"/>
        </w:trPr>
        <w:tc>
          <w:tcPr>
            <w:tcW w:w="3993" w:type="dxa"/>
            <w:shd w:val="clear" w:color="auto" w:fill="auto"/>
          </w:tcPr>
          <w:p w:rsidR="005B0846" w:rsidRPr="00872052" w:rsidRDefault="005B0846" w:rsidP="005B0846">
            <w:pPr>
              <w:keepNext/>
              <w:rPr>
                <w:rFonts w:ascii="ITC Avant Garde" w:hAnsi="ITC Avant Garde"/>
                <w:sz w:val="16"/>
                <w:szCs w:val="16"/>
                <w:lang w:val="en-US"/>
              </w:rPr>
            </w:pPr>
            <w:r w:rsidRPr="00872052">
              <w:rPr>
                <w:rFonts w:ascii="ITC Avant Garde" w:hAnsi="ITC Avant Garde"/>
                <w:sz w:val="16"/>
                <w:szCs w:val="16"/>
                <w:lang w:val="en-US"/>
              </w:rPr>
              <w:t>PDPCOs</w:t>
            </w:r>
          </w:p>
        </w:tc>
        <w:tc>
          <w:tcPr>
            <w:tcW w:w="4500"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que describe todos los puntos principales de distribución y las oficinas centrales</w:t>
            </w:r>
          </w:p>
        </w:tc>
      </w:tr>
      <w:tr w:rsidR="005B0846" w:rsidRPr="00F906F3" w:rsidTr="005B0846">
        <w:trPr>
          <w:jc w:val="center"/>
        </w:trPr>
        <w:tc>
          <w:tcPr>
            <w:tcW w:w="3993" w:type="dxa"/>
            <w:shd w:val="clear" w:color="auto" w:fill="auto"/>
          </w:tcPr>
          <w:p w:rsidR="005B0846" w:rsidRPr="00872052" w:rsidRDefault="005B0846" w:rsidP="005B0846">
            <w:pPr>
              <w:keepNext/>
              <w:rPr>
                <w:rFonts w:ascii="ITC Avant Garde" w:hAnsi="ITC Avant Garde"/>
                <w:sz w:val="16"/>
                <w:szCs w:val="16"/>
                <w:lang w:val="en-US"/>
              </w:rPr>
            </w:pPr>
            <w:r w:rsidRPr="00872052">
              <w:rPr>
                <w:rFonts w:ascii="ITC Avant Garde" w:hAnsi="ITC Avant Garde"/>
                <w:sz w:val="16"/>
                <w:szCs w:val="16"/>
                <w:lang w:val="en-US"/>
              </w:rPr>
              <w:t>_</w:t>
            </w:r>
            <w:proofErr w:type="spellStart"/>
            <w:r w:rsidRPr="00872052">
              <w:rPr>
                <w:rFonts w:ascii="ITC Avant Garde" w:hAnsi="ITC Avant Garde"/>
                <w:sz w:val="16"/>
                <w:szCs w:val="16"/>
                <w:lang w:val="en-US"/>
              </w:rPr>
              <w:t>Source_Routes_PDP_CO</w:t>
            </w:r>
            <w:proofErr w:type="spellEnd"/>
          </w:p>
        </w:tc>
        <w:tc>
          <w:tcPr>
            <w:tcW w:w="4500"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que identifica todas las rutas utilizadas para vincular los PDP a las oficinas centrales</w:t>
            </w:r>
          </w:p>
        </w:tc>
      </w:tr>
      <w:tr w:rsidR="005B0846" w:rsidRPr="00F906F3" w:rsidTr="005B0846">
        <w:trPr>
          <w:jc w:val="center"/>
        </w:trPr>
        <w:tc>
          <w:tcPr>
            <w:tcW w:w="3993" w:type="dxa"/>
            <w:shd w:val="clear" w:color="auto" w:fill="auto"/>
          </w:tcPr>
          <w:p w:rsidR="005B0846" w:rsidRPr="00872052" w:rsidRDefault="005B0846" w:rsidP="005B0846">
            <w:pPr>
              <w:keepNext/>
              <w:rPr>
                <w:rFonts w:ascii="ITC Avant Garde" w:hAnsi="ITC Avant Garde"/>
                <w:sz w:val="16"/>
                <w:szCs w:val="16"/>
                <w:lang w:val="en-US"/>
              </w:rPr>
            </w:pPr>
            <w:r w:rsidRPr="00872052">
              <w:rPr>
                <w:rFonts w:ascii="ITC Avant Garde" w:hAnsi="ITC Avant Garde"/>
                <w:sz w:val="16"/>
                <w:szCs w:val="16"/>
                <w:lang w:val="en-US"/>
              </w:rPr>
              <w:t>_</w:t>
            </w:r>
            <w:proofErr w:type="spellStart"/>
            <w:r w:rsidRPr="00872052">
              <w:rPr>
                <w:rFonts w:ascii="ITC Avant Garde" w:hAnsi="ITC Avant Garde"/>
                <w:sz w:val="16"/>
                <w:szCs w:val="16"/>
                <w:lang w:val="en-US"/>
              </w:rPr>
              <w:t>Source_Routes_Sections_PDP_CO</w:t>
            </w:r>
            <w:proofErr w:type="spellEnd"/>
          </w:p>
        </w:tc>
        <w:tc>
          <w:tcPr>
            <w:tcW w:w="4500"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que describe el itinerario de las rutas utilizadas por el PDP a las rutas de la Oficina Central</w:t>
            </w:r>
          </w:p>
        </w:tc>
      </w:tr>
      <w:tr w:rsidR="005B0846" w:rsidRPr="00F906F3" w:rsidTr="005B0846">
        <w:trPr>
          <w:jc w:val="center"/>
        </w:trPr>
        <w:tc>
          <w:tcPr>
            <w:tcW w:w="3993" w:type="dxa"/>
            <w:shd w:val="clear" w:color="auto" w:fill="auto"/>
          </w:tcPr>
          <w:p w:rsidR="005B0846" w:rsidRPr="00872052" w:rsidRDefault="005B0846" w:rsidP="005B0846">
            <w:pPr>
              <w:keepNext/>
              <w:rPr>
                <w:rFonts w:ascii="ITC Avant Garde" w:hAnsi="ITC Avant Garde"/>
                <w:sz w:val="16"/>
                <w:szCs w:val="16"/>
                <w:lang w:val="en-US"/>
              </w:rPr>
            </w:pPr>
            <w:r w:rsidRPr="00872052">
              <w:rPr>
                <w:rFonts w:ascii="ITC Avant Garde" w:hAnsi="ITC Avant Garde"/>
                <w:sz w:val="16"/>
                <w:szCs w:val="16"/>
                <w:lang w:val="en-US"/>
              </w:rPr>
              <w:t>_</w:t>
            </w:r>
            <w:proofErr w:type="spellStart"/>
            <w:r w:rsidRPr="00872052">
              <w:rPr>
                <w:rFonts w:ascii="ITC Avant Garde" w:hAnsi="ITC Avant Garde"/>
                <w:sz w:val="16"/>
                <w:szCs w:val="16"/>
                <w:lang w:val="en-US"/>
              </w:rPr>
              <w:t>Source_Routes</w:t>
            </w:r>
            <w:proofErr w:type="spellEnd"/>
          </w:p>
        </w:tc>
        <w:tc>
          <w:tcPr>
            <w:tcW w:w="4500"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que identifica todas las rutas utilizadas para vincular a los usuarios finales con un PDP</w:t>
            </w:r>
          </w:p>
        </w:tc>
      </w:tr>
      <w:tr w:rsidR="005B0846" w:rsidRPr="00F906F3" w:rsidTr="005B0846">
        <w:trPr>
          <w:jc w:val="center"/>
        </w:trPr>
        <w:tc>
          <w:tcPr>
            <w:tcW w:w="3993" w:type="dxa"/>
            <w:shd w:val="clear" w:color="auto" w:fill="auto"/>
          </w:tcPr>
          <w:p w:rsidR="005B0846" w:rsidRPr="00872052" w:rsidRDefault="005B0846" w:rsidP="005B0846">
            <w:pPr>
              <w:keepNext/>
              <w:rPr>
                <w:rFonts w:ascii="ITC Avant Garde" w:hAnsi="ITC Avant Garde"/>
                <w:sz w:val="16"/>
                <w:szCs w:val="16"/>
                <w:lang w:val="en-US"/>
              </w:rPr>
            </w:pPr>
            <w:r w:rsidRPr="00872052">
              <w:rPr>
                <w:rFonts w:ascii="ITC Avant Garde" w:hAnsi="ITC Avant Garde"/>
                <w:sz w:val="16"/>
                <w:szCs w:val="16"/>
                <w:lang w:val="en-US"/>
              </w:rPr>
              <w:t>_</w:t>
            </w:r>
            <w:proofErr w:type="spellStart"/>
            <w:r w:rsidRPr="00872052">
              <w:rPr>
                <w:rFonts w:ascii="ITC Avant Garde" w:hAnsi="ITC Avant Garde"/>
                <w:sz w:val="16"/>
                <w:szCs w:val="16"/>
                <w:lang w:val="en-US"/>
              </w:rPr>
              <w:t>Source_Routes_Sections</w:t>
            </w:r>
            <w:proofErr w:type="spellEnd"/>
          </w:p>
        </w:tc>
        <w:tc>
          <w:tcPr>
            <w:tcW w:w="4500"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que describe el itinerario de las rutas utilizadas por las instalaciones a las rutas PDP</w:t>
            </w:r>
          </w:p>
        </w:tc>
      </w:tr>
      <w:tr w:rsidR="005B0846" w:rsidRPr="00F906F3" w:rsidTr="005B0846">
        <w:trPr>
          <w:jc w:val="center"/>
        </w:trPr>
        <w:tc>
          <w:tcPr>
            <w:tcW w:w="3993" w:type="dxa"/>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Address_All</w:t>
            </w:r>
            <w:proofErr w:type="spellEnd"/>
          </w:p>
        </w:tc>
        <w:tc>
          <w:tcPr>
            <w:tcW w:w="4500"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utilizada para describir todas las direcciones del país</w:t>
            </w:r>
          </w:p>
        </w:tc>
      </w:tr>
      <w:tr w:rsidR="005B0846" w:rsidRPr="00F906F3" w:rsidTr="005B0846">
        <w:trPr>
          <w:jc w:val="center"/>
        </w:trPr>
        <w:tc>
          <w:tcPr>
            <w:tcW w:w="3993" w:type="dxa"/>
            <w:shd w:val="clear" w:color="auto" w:fill="auto"/>
          </w:tcPr>
          <w:p w:rsidR="005B0846" w:rsidRPr="00872052" w:rsidRDefault="005B0846" w:rsidP="005B0846">
            <w:pPr>
              <w:keepNext/>
              <w:rPr>
                <w:rFonts w:ascii="ITC Avant Garde" w:hAnsi="ITC Avant Garde"/>
                <w:sz w:val="16"/>
                <w:szCs w:val="16"/>
                <w:lang w:val="en-US"/>
              </w:rPr>
            </w:pPr>
            <w:r w:rsidRPr="00872052">
              <w:rPr>
                <w:rFonts w:ascii="ITC Avant Garde" w:hAnsi="ITC Avant Garde"/>
                <w:sz w:val="16"/>
                <w:szCs w:val="16"/>
                <w:lang w:val="en-US"/>
              </w:rPr>
              <w:t>_</w:t>
            </w:r>
            <w:proofErr w:type="spellStart"/>
            <w:r w:rsidRPr="00872052">
              <w:rPr>
                <w:rFonts w:ascii="ITC Avant Garde" w:hAnsi="ITC Avant Garde"/>
                <w:sz w:val="16"/>
                <w:szCs w:val="16"/>
                <w:lang w:val="en-US"/>
              </w:rPr>
              <w:t>Source_Sections_All</w:t>
            </w:r>
            <w:proofErr w:type="spellEnd"/>
          </w:p>
        </w:tc>
        <w:tc>
          <w:tcPr>
            <w:tcW w:w="4500"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que describe todos los tramos viales del país</w:t>
            </w:r>
          </w:p>
        </w:tc>
      </w:tr>
    </w:tbl>
    <w:p w:rsidR="005B0846" w:rsidRPr="00872052" w:rsidRDefault="005B0846" w:rsidP="005B0846">
      <w:pPr>
        <w:rPr>
          <w:rFonts w:ascii="ITC Avant Garde" w:hAnsi="ITC Avant Garde"/>
          <w:lang w:val="es-MX"/>
        </w:rPr>
      </w:pPr>
    </w:p>
    <w:p w:rsidR="005B0846" w:rsidRPr="00872052" w:rsidRDefault="005B0846" w:rsidP="005B0846">
      <w:pPr>
        <w:rPr>
          <w:rFonts w:ascii="ITC Avant Garde" w:hAnsi="ITC Avant Garde"/>
          <w:lang w:val="es-MX"/>
        </w:rPr>
      </w:pPr>
      <w:r w:rsidRPr="00872052">
        <w:rPr>
          <w:rFonts w:ascii="ITC Avant Garde" w:hAnsi="ITC Avant Garde"/>
          <w:lang w:val="es-MX"/>
        </w:rPr>
        <w:t>La segunda base de datos prepara y estructura las tablas anteriores, y tambi</w:t>
      </w:r>
      <w:r w:rsidR="00720839">
        <w:rPr>
          <w:rFonts w:ascii="ITC Avant Garde" w:hAnsi="ITC Avant Garde"/>
          <w:lang w:val="es-MX"/>
        </w:rPr>
        <w:t>é</w:t>
      </w:r>
      <w:r w:rsidRPr="00872052">
        <w:rPr>
          <w:rFonts w:ascii="ITC Avant Garde" w:hAnsi="ITC Avant Garde"/>
          <w:lang w:val="es-MX"/>
        </w:rPr>
        <w:t>n realiza el cálculo del ajuste de la huella (de una huella nacional hacia la huella de operación efectiva del AEP). Las tablas resultantes son utilizadas por el modelo.</w:t>
      </w:r>
    </w:p>
    <w:p w:rsidR="005B0846" w:rsidRPr="00872052" w:rsidRDefault="005B0846" w:rsidP="005B0846">
      <w:pPr>
        <w:rPr>
          <w:rFonts w:ascii="ITC Avant Garde" w:hAnsi="ITC Avant Garde"/>
          <w:lang w:val="es-MX"/>
        </w:rPr>
      </w:pPr>
      <w:r w:rsidRPr="00872052">
        <w:rPr>
          <w:rFonts w:ascii="ITC Avant Garde" w:hAnsi="ITC Avant Garde"/>
          <w:lang w:val="es-MX"/>
        </w:rPr>
        <w:t>Contiene las siguientes tablas.</w:t>
      </w:r>
    </w:p>
    <w:p w:rsidR="005B0846" w:rsidRPr="00872052" w:rsidRDefault="00CA5B80" w:rsidP="005B0846">
      <w:pPr>
        <w:pStyle w:val="Descripcin"/>
        <w:keepNext/>
        <w:rPr>
          <w:rFonts w:ascii="ITC Avant Garde" w:hAnsi="ITC Avant Garde"/>
          <w:lang w:val="es-MX"/>
        </w:rPr>
      </w:pPr>
      <w:r>
        <w:rPr>
          <w:rFonts w:ascii="ITC Avant Garde" w:hAnsi="ITC Avant Garde"/>
          <w:lang w:val="es-MX"/>
        </w:rPr>
        <w:lastRenderedPageBreak/>
        <w:t>Cuadro 6</w:t>
      </w:r>
      <w:r w:rsidR="005B0846" w:rsidRPr="00872052">
        <w:rPr>
          <w:rFonts w:ascii="ITC Avant Garde" w:hAnsi="ITC Avant Garde"/>
          <w:lang w:val="es-MX"/>
        </w:rPr>
        <w:t xml:space="preserve"> - Descripción de las tablas - Base de datos 2</w:t>
      </w:r>
    </w:p>
    <w:tbl>
      <w:tblPr>
        <w:tblW w:w="51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3"/>
        <w:gridCol w:w="5321"/>
      </w:tblGrid>
      <w:tr w:rsidR="005B0846" w:rsidRPr="00C53150" w:rsidTr="005B0846">
        <w:trPr>
          <w:tblHeader/>
          <w:jc w:val="center"/>
        </w:trPr>
        <w:tc>
          <w:tcPr>
            <w:tcW w:w="1934" w:type="pct"/>
            <w:shd w:val="clear" w:color="auto" w:fill="2F5897" w:themeFill="text2"/>
          </w:tcPr>
          <w:p w:rsidR="005B0846" w:rsidRPr="00872052" w:rsidRDefault="005B0846" w:rsidP="005B0846">
            <w:pPr>
              <w:keepNext/>
              <w:jc w:val="center"/>
              <w:rPr>
                <w:rFonts w:ascii="ITC Avant Garde" w:hAnsi="ITC Avant Garde"/>
                <w:b/>
                <w:color w:val="FFFFFF"/>
                <w:sz w:val="16"/>
                <w:szCs w:val="16"/>
                <w:lang w:val="en-US"/>
              </w:rPr>
            </w:pPr>
            <w:r w:rsidRPr="00872052">
              <w:rPr>
                <w:rFonts w:ascii="ITC Avant Garde" w:hAnsi="ITC Avant Garde"/>
                <w:b/>
                <w:color w:val="FFFFFF"/>
                <w:sz w:val="16"/>
                <w:szCs w:val="16"/>
                <w:lang w:val="en-US"/>
              </w:rPr>
              <w:t>Table name</w:t>
            </w:r>
          </w:p>
        </w:tc>
        <w:tc>
          <w:tcPr>
            <w:tcW w:w="3066" w:type="pct"/>
            <w:shd w:val="clear" w:color="auto" w:fill="2F5897" w:themeFill="text2"/>
          </w:tcPr>
          <w:p w:rsidR="005B0846" w:rsidRPr="00872052" w:rsidRDefault="005B0846" w:rsidP="005B0846">
            <w:pPr>
              <w:keepNext/>
              <w:jc w:val="center"/>
              <w:rPr>
                <w:rFonts w:ascii="ITC Avant Garde" w:hAnsi="ITC Avant Garde"/>
                <w:b/>
                <w:color w:val="FFFFFF"/>
                <w:sz w:val="16"/>
                <w:szCs w:val="16"/>
                <w:lang w:val="en-US"/>
              </w:rPr>
            </w:pPr>
            <w:r w:rsidRPr="00872052">
              <w:rPr>
                <w:rFonts w:ascii="ITC Avant Garde" w:hAnsi="ITC Avant Garde"/>
                <w:b/>
                <w:color w:val="FFFFFF"/>
                <w:sz w:val="16"/>
                <w:szCs w:val="16"/>
                <w:lang w:val="en-US"/>
              </w:rPr>
              <w:t>Description</w:t>
            </w:r>
          </w:p>
        </w:tc>
      </w:tr>
      <w:tr w:rsidR="005B0846" w:rsidRPr="00F906F3" w:rsidTr="005B0846">
        <w:trPr>
          <w:jc w:val="center"/>
        </w:trPr>
        <w:tc>
          <w:tcPr>
            <w:tcW w:w="1934" w:type="pct"/>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Output_PDPCOs</w:t>
            </w:r>
            <w:proofErr w:type="spellEnd"/>
          </w:p>
        </w:tc>
        <w:tc>
          <w:tcPr>
            <w:tcW w:w="3066" w:type="pct"/>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que describe todos los puntos principales de distribución y las oficinas centrales</w:t>
            </w:r>
          </w:p>
        </w:tc>
      </w:tr>
      <w:tr w:rsidR="005B0846" w:rsidRPr="00F906F3" w:rsidTr="005B0846">
        <w:trPr>
          <w:jc w:val="center"/>
        </w:trPr>
        <w:tc>
          <w:tcPr>
            <w:tcW w:w="1934" w:type="pct"/>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Output_Routes_PDP_CO</w:t>
            </w:r>
            <w:proofErr w:type="spellEnd"/>
          </w:p>
        </w:tc>
        <w:tc>
          <w:tcPr>
            <w:tcW w:w="3066" w:type="pct"/>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que identifica todas las rutas utilizadas para vincular los PDP a las oficinas centrales</w:t>
            </w:r>
          </w:p>
        </w:tc>
      </w:tr>
      <w:tr w:rsidR="005B0846" w:rsidRPr="00F906F3" w:rsidTr="005B0846">
        <w:trPr>
          <w:jc w:val="center"/>
        </w:trPr>
        <w:tc>
          <w:tcPr>
            <w:tcW w:w="1934" w:type="pct"/>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Output_Routes_Sections_PDP_CO</w:t>
            </w:r>
            <w:proofErr w:type="spellEnd"/>
          </w:p>
        </w:tc>
        <w:tc>
          <w:tcPr>
            <w:tcW w:w="3066" w:type="pct"/>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que describe el itinerario de las rutas utilizadas por el PDP a las rutas de la Oficina Central</w:t>
            </w:r>
          </w:p>
        </w:tc>
      </w:tr>
      <w:tr w:rsidR="005B0846" w:rsidRPr="00F906F3" w:rsidTr="005B0846">
        <w:trPr>
          <w:jc w:val="center"/>
        </w:trPr>
        <w:tc>
          <w:tcPr>
            <w:tcW w:w="1934" w:type="pct"/>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Output_Routes</w:t>
            </w:r>
            <w:proofErr w:type="spellEnd"/>
          </w:p>
        </w:tc>
        <w:tc>
          <w:tcPr>
            <w:tcW w:w="3066" w:type="pct"/>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que identifica todas las rutas utilizadas para vincular a los usuarios finales con un PDP</w:t>
            </w:r>
          </w:p>
        </w:tc>
      </w:tr>
      <w:tr w:rsidR="005B0846" w:rsidRPr="00F906F3" w:rsidTr="005B0846">
        <w:trPr>
          <w:jc w:val="center"/>
        </w:trPr>
        <w:tc>
          <w:tcPr>
            <w:tcW w:w="1934" w:type="pct"/>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Output_Routes_Sections</w:t>
            </w:r>
            <w:proofErr w:type="spellEnd"/>
          </w:p>
        </w:tc>
        <w:tc>
          <w:tcPr>
            <w:tcW w:w="3066" w:type="pct"/>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que describe el itinerario de las rutas utilizadas por las instalaciones a las rutas PDP</w:t>
            </w:r>
          </w:p>
        </w:tc>
      </w:tr>
      <w:tr w:rsidR="005B0846" w:rsidRPr="00F906F3" w:rsidTr="005B0846">
        <w:trPr>
          <w:jc w:val="center"/>
        </w:trPr>
        <w:tc>
          <w:tcPr>
            <w:tcW w:w="1934" w:type="pct"/>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Output_Address_All</w:t>
            </w:r>
            <w:proofErr w:type="spellEnd"/>
          </w:p>
        </w:tc>
        <w:tc>
          <w:tcPr>
            <w:tcW w:w="3066" w:type="pct"/>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utilizada para describir todas las direcciones del país</w:t>
            </w:r>
          </w:p>
        </w:tc>
      </w:tr>
      <w:tr w:rsidR="005B0846" w:rsidRPr="00F906F3" w:rsidTr="005B0846">
        <w:trPr>
          <w:jc w:val="center"/>
        </w:trPr>
        <w:tc>
          <w:tcPr>
            <w:tcW w:w="1934" w:type="pct"/>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Output_Sets_Of_DropCables</w:t>
            </w:r>
            <w:proofErr w:type="spellEnd"/>
          </w:p>
        </w:tc>
        <w:tc>
          <w:tcPr>
            <w:tcW w:w="3066" w:type="pct"/>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utilizada para describir la parte de la red que está en propiedades privadas</w:t>
            </w:r>
          </w:p>
        </w:tc>
      </w:tr>
      <w:tr w:rsidR="005B0846" w:rsidRPr="00F906F3" w:rsidTr="005B0846">
        <w:trPr>
          <w:jc w:val="center"/>
        </w:trPr>
        <w:tc>
          <w:tcPr>
            <w:tcW w:w="1934" w:type="pct"/>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Output_SectionsUsed</w:t>
            </w:r>
            <w:proofErr w:type="spellEnd"/>
          </w:p>
        </w:tc>
        <w:tc>
          <w:tcPr>
            <w:tcW w:w="3066" w:type="pct"/>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utilizada para identificar todas las secciones de carreteras relevantes para el escenario considerado</w:t>
            </w:r>
          </w:p>
        </w:tc>
      </w:tr>
      <w:tr w:rsidR="005B0846" w:rsidRPr="00F906F3" w:rsidTr="005B0846">
        <w:trPr>
          <w:jc w:val="center"/>
        </w:trPr>
        <w:tc>
          <w:tcPr>
            <w:tcW w:w="1934" w:type="pct"/>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Output_Sections_All</w:t>
            </w:r>
            <w:proofErr w:type="spellEnd"/>
          </w:p>
        </w:tc>
        <w:tc>
          <w:tcPr>
            <w:tcW w:w="3066" w:type="pct"/>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que describe todos los tramos viales del país</w:t>
            </w:r>
          </w:p>
        </w:tc>
      </w:tr>
      <w:tr w:rsidR="005B0846" w:rsidRPr="00F906F3" w:rsidTr="005B0846">
        <w:trPr>
          <w:jc w:val="center"/>
        </w:trPr>
        <w:tc>
          <w:tcPr>
            <w:tcW w:w="1934" w:type="pct"/>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List_Pdp_Fibre</w:t>
            </w:r>
            <w:proofErr w:type="spellEnd"/>
          </w:p>
        </w:tc>
        <w:tc>
          <w:tcPr>
            <w:tcW w:w="3066" w:type="pct"/>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que contiene la lista de PDP utilizada como entrada para reducir la huella de fibra</w:t>
            </w:r>
          </w:p>
        </w:tc>
      </w:tr>
      <w:tr w:rsidR="005B0846" w:rsidRPr="00F906F3" w:rsidTr="005B0846">
        <w:trPr>
          <w:jc w:val="center"/>
        </w:trPr>
        <w:tc>
          <w:tcPr>
            <w:tcW w:w="1934" w:type="pct"/>
            <w:shd w:val="clear" w:color="auto" w:fill="auto"/>
          </w:tcPr>
          <w:p w:rsidR="005B0846" w:rsidRPr="00872052" w:rsidRDefault="005B0846" w:rsidP="005B0846">
            <w:pPr>
              <w:keepNext/>
              <w:rPr>
                <w:rFonts w:ascii="ITC Avant Garde" w:hAnsi="ITC Avant Garde"/>
                <w:sz w:val="16"/>
                <w:szCs w:val="16"/>
                <w:lang w:val="es-419"/>
              </w:rPr>
            </w:pPr>
            <w:proofErr w:type="spellStart"/>
            <w:r w:rsidRPr="00872052">
              <w:rPr>
                <w:rFonts w:ascii="ITC Avant Garde" w:hAnsi="ITC Avant Garde"/>
                <w:sz w:val="16"/>
                <w:szCs w:val="16"/>
                <w:lang w:val="es-419"/>
              </w:rPr>
              <w:t>Link_CO_Estado_Municipio_Cible_Copper</w:t>
            </w:r>
            <w:proofErr w:type="spellEnd"/>
          </w:p>
        </w:tc>
        <w:tc>
          <w:tcPr>
            <w:tcW w:w="3066" w:type="pct"/>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 xml:space="preserve">Tabla que describe el vínculo entre </w:t>
            </w:r>
            <w:proofErr w:type="spellStart"/>
            <w:r w:rsidRPr="00872052">
              <w:rPr>
                <w:rFonts w:ascii="ITC Avant Garde" w:hAnsi="ITC Avant Garde"/>
                <w:sz w:val="16"/>
                <w:szCs w:val="16"/>
                <w:lang w:val="es-MX"/>
              </w:rPr>
              <w:t>I</w:t>
            </w:r>
            <w:r w:rsidR="00720839">
              <w:rPr>
                <w:rFonts w:ascii="ITC Avant Garde" w:hAnsi="ITC Avant Garde"/>
                <w:sz w:val="16"/>
                <w:szCs w:val="16"/>
                <w:lang w:val="es-MX"/>
              </w:rPr>
              <w:t>o</w:t>
            </w:r>
            <w:r w:rsidRPr="00872052">
              <w:rPr>
                <w:rFonts w:ascii="ITC Avant Garde" w:hAnsi="ITC Avant Garde"/>
                <w:sz w:val="16"/>
                <w:szCs w:val="16"/>
                <w:lang w:val="es-MX"/>
              </w:rPr>
              <w:t>s</w:t>
            </w:r>
            <w:proofErr w:type="spellEnd"/>
            <w:r w:rsidRPr="00872052">
              <w:rPr>
                <w:rFonts w:ascii="ITC Avant Garde" w:hAnsi="ITC Avant Garde"/>
                <w:sz w:val="16"/>
                <w:szCs w:val="16"/>
                <w:lang w:val="es-MX"/>
              </w:rPr>
              <w:t xml:space="preserve"> municipales y CO, así como la demanda específica para la reducción de la huella de cobre</w:t>
            </w:r>
          </w:p>
        </w:tc>
      </w:tr>
      <w:tr w:rsidR="005B0846" w:rsidRPr="00F906F3" w:rsidTr="005B0846">
        <w:trPr>
          <w:jc w:val="center"/>
        </w:trPr>
        <w:tc>
          <w:tcPr>
            <w:tcW w:w="1934" w:type="pct"/>
            <w:shd w:val="clear" w:color="auto" w:fill="auto"/>
          </w:tcPr>
          <w:p w:rsidR="005B0846" w:rsidRPr="00872052" w:rsidRDefault="005B0846" w:rsidP="005B0846">
            <w:pPr>
              <w:keepNext/>
              <w:rPr>
                <w:rFonts w:ascii="ITC Avant Garde" w:hAnsi="ITC Avant Garde"/>
                <w:sz w:val="16"/>
                <w:szCs w:val="16"/>
                <w:lang w:val="es-419"/>
              </w:rPr>
            </w:pPr>
            <w:proofErr w:type="spellStart"/>
            <w:r w:rsidRPr="00872052">
              <w:rPr>
                <w:rFonts w:ascii="ITC Avant Garde" w:hAnsi="ITC Avant Garde"/>
                <w:sz w:val="16"/>
                <w:szCs w:val="16"/>
                <w:lang w:val="es-419"/>
              </w:rPr>
              <w:t>Link_CO_Estado_Municipio_Cible_Fibre</w:t>
            </w:r>
            <w:proofErr w:type="spellEnd"/>
          </w:p>
        </w:tc>
        <w:tc>
          <w:tcPr>
            <w:tcW w:w="3066" w:type="pct"/>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 xml:space="preserve">Tabla que describe el vínculo entre </w:t>
            </w:r>
            <w:proofErr w:type="spellStart"/>
            <w:r w:rsidRPr="00872052">
              <w:rPr>
                <w:rFonts w:ascii="ITC Avant Garde" w:hAnsi="ITC Avant Garde"/>
                <w:sz w:val="16"/>
                <w:szCs w:val="16"/>
                <w:lang w:val="es-MX"/>
              </w:rPr>
              <w:t>I</w:t>
            </w:r>
            <w:r w:rsidR="00720839">
              <w:rPr>
                <w:rFonts w:ascii="ITC Avant Garde" w:hAnsi="ITC Avant Garde"/>
                <w:sz w:val="16"/>
                <w:szCs w:val="16"/>
                <w:lang w:val="es-MX"/>
              </w:rPr>
              <w:t>o</w:t>
            </w:r>
            <w:r w:rsidRPr="00872052">
              <w:rPr>
                <w:rFonts w:ascii="ITC Avant Garde" w:hAnsi="ITC Avant Garde"/>
                <w:sz w:val="16"/>
                <w:szCs w:val="16"/>
                <w:lang w:val="es-MX"/>
              </w:rPr>
              <w:t>s</w:t>
            </w:r>
            <w:proofErr w:type="spellEnd"/>
            <w:r w:rsidRPr="00872052">
              <w:rPr>
                <w:rFonts w:ascii="ITC Avant Garde" w:hAnsi="ITC Avant Garde"/>
                <w:sz w:val="16"/>
                <w:szCs w:val="16"/>
                <w:lang w:val="es-MX"/>
              </w:rPr>
              <w:t xml:space="preserve"> municipales y CO, así como la demanda específica para la reducción de la huella de fibra</w:t>
            </w:r>
          </w:p>
        </w:tc>
      </w:tr>
      <w:tr w:rsidR="005B0846" w:rsidRPr="00F906F3" w:rsidTr="005B0846">
        <w:trPr>
          <w:jc w:val="center"/>
        </w:trPr>
        <w:tc>
          <w:tcPr>
            <w:tcW w:w="1934" w:type="pct"/>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Score_per_Sections</w:t>
            </w:r>
            <w:proofErr w:type="spellEnd"/>
          </w:p>
        </w:tc>
        <w:tc>
          <w:tcPr>
            <w:tcW w:w="3066" w:type="pct"/>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que describe el puntaje de cada sección utilizada para la reducción de la huella</w:t>
            </w:r>
          </w:p>
        </w:tc>
      </w:tr>
      <w:tr w:rsidR="005B0846" w:rsidRPr="00F906F3" w:rsidTr="005B0846">
        <w:trPr>
          <w:jc w:val="center"/>
        </w:trPr>
        <w:tc>
          <w:tcPr>
            <w:tcW w:w="1934" w:type="pct"/>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Ranking_per_MUNICIPIO</w:t>
            </w:r>
            <w:proofErr w:type="spellEnd"/>
          </w:p>
        </w:tc>
        <w:tc>
          <w:tcPr>
            <w:tcW w:w="3066" w:type="pct"/>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que describe el ranking por Municipio de cada sección utilizada para la reducción de huella</w:t>
            </w:r>
          </w:p>
        </w:tc>
      </w:tr>
      <w:tr w:rsidR="005B0846" w:rsidRPr="00F906F3" w:rsidTr="005B0846">
        <w:trPr>
          <w:jc w:val="center"/>
        </w:trPr>
        <w:tc>
          <w:tcPr>
            <w:tcW w:w="1934" w:type="pct"/>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Ranking_per_CO</w:t>
            </w:r>
            <w:proofErr w:type="spellEnd"/>
          </w:p>
        </w:tc>
        <w:tc>
          <w:tcPr>
            <w:tcW w:w="3066" w:type="pct"/>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que describe el ranking por CO de cada sección utilizada para la reducción de la huella</w:t>
            </w:r>
          </w:p>
        </w:tc>
      </w:tr>
    </w:tbl>
    <w:p w:rsidR="005B0846" w:rsidRPr="00872052" w:rsidRDefault="005B0846" w:rsidP="005B0846">
      <w:pPr>
        <w:rPr>
          <w:rFonts w:ascii="ITC Avant Garde" w:hAnsi="ITC Avant Garde"/>
          <w:lang w:val="es-MX"/>
        </w:rPr>
      </w:pPr>
    </w:p>
    <w:p w:rsidR="005B0846" w:rsidRPr="00872052" w:rsidRDefault="005B0846" w:rsidP="005B0846">
      <w:pPr>
        <w:rPr>
          <w:rFonts w:ascii="ITC Avant Garde" w:hAnsi="ITC Avant Garde"/>
          <w:lang w:val="es-MX"/>
        </w:rPr>
      </w:pPr>
      <w:r w:rsidRPr="00872052">
        <w:rPr>
          <w:rFonts w:ascii="ITC Avant Garde" w:hAnsi="ITC Avant Garde"/>
          <w:lang w:val="es-MX"/>
        </w:rPr>
        <w:t>La tercera base de datos resume las tablas que usará directamente el modelo. Esta base de datos se crea a partir de la base de datos n°2 y de las consultas SQL de la base de datos n°4.</w:t>
      </w:r>
    </w:p>
    <w:p w:rsidR="005B0846" w:rsidRPr="00872052" w:rsidRDefault="005B0846" w:rsidP="005B0846">
      <w:pPr>
        <w:rPr>
          <w:rFonts w:ascii="ITC Avant Garde" w:hAnsi="ITC Avant Garde"/>
          <w:lang w:val="es-MX"/>
        </w:rPr>
      </w:pPr>
      <w:r w:rsidRPr="00872052">
        <w:rPr>
          <w:rFonts w:ascii="ITC Avant Garde" w:hAnsi="ITC Avant Garde"/>
          <w:lang w:val="es-MX"/>
        </w:rPr>
        <w:t>Contiene las siguientes tablas:</w:t>
      </w:r>
    </w:p>
    <w:p w:rsidR="005B0846" w:rsidRPr="00872052" w:rsidRDefault="009F36EA" w:rsidP="005B0846">
      <w:pPr>
        <w:pStyle w:val="Descripcin"/>
        <w:keepNext/>
        <w:rPr>
          <w:rFonts w:ascii="ITC Avant Garde" w:hAnsi="ITC Avant Garde"/>
          <w:lang w:val="es-MX"/>
        </w:rPr>
      </w:pPr>
      <w:r>
        <w:rPr>
          <w:rFonts w:ascii="ITC Avant Garde" w:hAnsi="ITC Avant Garde"/>
          <w:lang w:val="es-MX"/>
        </w:rPr>
        <w:lastRenderedPageBreak/>
        <w:t>Cuadro</w:t>
      </w:r>
      <w:r w:rsidR="005B0846" w:rsidRPr="00872052">
        <w:rPr>
          <w:rFonts w:ascii="ITC Avant Garde" w:hAnsi="ITC Avant Garde"/>
          <w:lang w:val="es-MX"/>
        </w:rPr>
        <w:t xml:space="preserve"> </w:t>
      </w:r>
      <w:r w:rsidR="00CA5B80">
        <w:rPr>
          <w:rFonts w:ascii="ITC Avant Garde" w:hAnsi="ITC Avant Garde"/>
          <w:lang w:val="es-MX"/>
        </w:rPr>
        <w:t>7</w:t>
      </w:r>
      <w:r w:rsidR="005B0846" w:rsidRPr="00872052">
        <w:rPr>
          <w:rFonts w:ascii="ITC Avant Garde" w:hAnsi="ITC Avant Garde"/>
          <w:lang w:val="es-MX"/>
        </w:rPr>
        <w:t xml:space="preserve"> - Descripción de las tablas - Base de datos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6"/>
        <w:gridCol w:w="4657"/>
      </w:tblGrid>
      <w:tr w:rsidR="005B0846" w:rsidRPr="00C53150" w:rsidTr="005B0846">
        <w:trPr>
          <w:tblHeader/>
          <w:jc w:val="center"/>
        </w:trPr>
        <w:tc>
          <w:tcPr>
            <w:tcW w:w="3836" w:type="dxa"/>
            <w:shd w:val="clear" w:color="auto" w:fill="2F5897" w:themeFill="text2"/>
          </w:tcPr>
          <w:p w:rsidR="005B0846" w:rsidRPr="00872052" w:rsidRDefault="005B0846" w:rsidP="005B0846">
            <w:pPr>
              <w:keepNext/>
              <w:jc w:val="center"/>
              <w:rPr>
                <w:rFonts w:ascii="ITC Avant Garde" w:hAnsi="ITC Avant Garde"/>
                <w:b/>
                <w:color w:val="FFFFFF"/>
                <w:sz w:val="16"/>
                <w:szCs w:val="16"/>
                <w:lang w:val="en-US"/>
              </w:rPr>
            </w:pPr>
            <w:r w:rsidRPr="00872052">
              <w:rPr>
                <w:rFonts w:ascii="ITC Avant Garde" w:hAnsi="ITC Avant Garde"/>
                <w:b/>
                <w:color w:val="FFFFFF"/>
                <w:sz w:val="16"/>
                <w:szCs w:val="16"/>
                <w:lang w:val="en-US"/>
              </w:rPr>
              <w:t>Table name</w:t>
            </w:r>
          </w:p>
        </w:tc>
        <w:tc>
          <w:tcPr>
            <w:tcW w:w="4657" w:type="dxa"/>
            <w:shd w:val="clear" w:color="auto" w:fill="2F5897" w:themeFill="text2"/>
          </w:tcPr>
          <w:p w:rsidR="005B0846" w:rsidRPr="00872052" w:rsidRDefault="005B0846" w:rsidP="005B0846">
            <w:pPr>
              <w:keepNext/>
              <w:jc w:val="center"/>
              <w:rPr>
                <w:rFonts w:ascii="ITC Avant Garde" w:hAnsi="ITC Avant Garde"/>
                <w:b/>
                <w:color w:val="FFFFFF"/>
                <w:sz w:val="16"/>
                <w:szCs w:val="16"/>
                <w:lang w:val="en-US"/>
              </w:rPr>
            </w:pPr>
            <w:r w:rsidRPr="00872052">
              <w:rPr>
                <w:rFonts w:ascii="ITC Avant Garde" w:hAnsi="ITC Avant Garde"/>
                <w:b/>
                <w:color w:val="FFFFFF"/>
                <w:sz w:val="16"/>
                <w:szCs w:val="16"/>
                <w:lang w:val="en-US"/>
              </w:rPr>
              <w:t>Description</w:t>
            </w:r>
          </w:p>
        </w:tc>
      </w:tr>
      <w:tr w:rsidR="005B0846" w:rsidRPr="00F906F3" w:rsidTr="005B0846">
        <w:trPr>
          <w:jc w:val="center"/>
        </w:trPr>
        <w:tc>
          <w:tcPr>
            <w:tcW w:w="3836" w:type="dxa"/>
            <w:shd w:val="clear" w:color="auto" w:fill="auto"/>
          </w:tcPr>
          <w:p w:rsidR="005B0846" w:rsidRPr="00872052" w:rsidRDefault="005B0846" w:rsidP="005B0846">
            <w:pPr>
              <w:keepNext/>
              <w:rPr>
                <w:rFonts w:ascii="ITC Avant Garde" w:hAnsi="ITC Avant Garde"/>
                <w:sz w:val="16"/>
                <w:szCs w:val="16"/>
                <w:lang w:val="en-US"/>
              </w:rPr>
            </w:pPr>
            <w:r w:rsidRPr="00872052">
              <w:rPr>
                <w:rFonts w:ascii="ITC Avant Garde" w:hAnsi="ITC Avant Garde"/>
                <w:sz w:val="16"/>
                <w:szCs w:val="16"/>
                <w:lang w:val="en-US"/>
              </w:rPr>
              <w:t>_</w:t>
            </w:r>
            <w:proofErr w:type="spellStart"/>
            <w:r w:rsidRPr="00872052">
              <w:rPr>
                <w:rFonts w:ascii="ITC Avant Garde" w:hAnsi="ITC Avant Garde"/>
                <w:sz w:val="16"/>
                <w:szCs w:val="16"/>
                <w:lang w:val="en-US"/>
              </w:rPr>
              <w:t>Source_Routes</w:t>
            </w:r>
            <w:proofErr w:type="spellEnd"/>
          </w:p>
        </w:tc>
        <w:tc>
          <w:tcPr>
            <w:tcW w:w="4657"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que identifica todas las rutas utilizadas para vincular a los usuarios finales con un PDP</w:t>
            </w:r>
          </w:p>
        </w:tc>
      </w:tr>
      <w:tr w:rsidR="005B0846" w:rsidRPr="00F906F3" w:rsidTr="005B0846">
        <w:trPr>
          <w:jc w:val="center"/>
        </w:trPr>
        <w:tc>
          <w:tcPr>
            <w:tcW w:w="3836" w:type="dxa"/>
            <w:shd w:val="clear" w:color="auto" w:fill="auto"/>
          </w:tcPr>
          <w:p w:rsidR="005B0846" w:rsidRPr="00872052" w:rsidRDefault="005B0846" w:rsidP="005B0846">
            <w:pPr>
              <w:keepNext/>
              <w:rPr>
                <w:rFonts w:ascii="ITC Avant Garde" w:hAnsi="ITC Avant Garde"/>
                <w:sz w:val="16"/>
                <w:szCs w:val="16"/>
                <w:lang w:val="en-US"/>
              </w:rPr>
            </w:pPr>
            <w:r w:rsidRPr="00872052">
              <w:rPr>
                <w:rFonts w:ascii="ITC Avant Garde" w:hAnsi="ITC Avant Garde"/>
                <w:sz w:val="16"/>
                <w:szCs w:val="16"/>
                <w:lang w:val="en-US"/>
              </w:rPr>
              <w:t>_</w:t>
            </w:r>
            <w:proofErr w:type="spellStart"/>
            <w:r w:rsidRPr="00872052">
              <w:rPr>
                <w:rFonts w:ascii="ITC Avant Garde" w:hAnsi="ITC Avant Garde"/>
                <w:sz w:val="16"/>
                <w:szCs w:val="16"/>
                <w:lang w:val="en-US"/>
              </w:rPr>
              <w:t>Source_Routes_Sections</w:t>
            </w:r>
            <w:proofErr w:type="spellEnd"/>
          </w:p>
        </w:tc>
        <w:tc>
          <w:tcPr>
            <w:tcW w:w="4657"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que describe el itinerario en términos de secciones de carreteras utilizadas por la ruta</w:t>
            </w:r>
          </w:p>
        </w:tc>
      </w:tr>
      <w:tr w:rsidR="005B0846" w:rsidRPr="00F906F3" w:rsidTr="005B0846">
        <w:trPr>
          <w:jc w:val="center"/>
        </w:trPr>
        <w:tc>
          <w:tcPr>
            <w:tcW w:w="3836" w:type="dxa"/>
            <w:shd w:val="clear" w:color="auto" w:fill="auto"/>
          </w:tcPr>
          <w:p w:rsidR="005B0846" w:rsidRPr="00872052" w:rsidRDefault="005B0846" w:rsidP="005B0846">
            <w:pPr>
              <w:keepNext/>
              <w:rPr>
                <w:rFonts w:ascii="ITC Avant Garde" w:hAnsi="ITC Avant Garde"/>
                <w:sz w:val="16"/>
                <w:szCs w:val="16"/>
                <w:lang w:val="en-US"/>
              </w:rPr>
            </w:pPr>
            <w:r w:rsidRPr="00872052">
              <w:rPr>
                <w:rFonts w:ascii="ITC Avant Garde" w:hAnsi="ITC Avant Garde"/>
                <w:sz w:val="16"/>
                <w:szCs w:val="16"/>
                <w:lang w:val="en-US"/>
              </w:rPr>
              <w:t>_</w:t>
            </w:r>
            <w:proofErr w:type="spellStart"/>
            <w:r w:rsidRPr="00872052">
              <w:rPr>
                <w:rFonts w:ascii="ITC Avant Garde" w:hAnsi="ITC Avant Garde"/>
                <w:sz w:val="16"/>
                <w:szCs w:val="16"/>
                <w:lang w:val="en-US"/>
              </w:rPr>
              <w:t>Source_Routes_PDP_CO</w:t>
            </w:r>
            <w:proofErr w:type="spellEnd"/>
          </w:p>
        </w:tc>
        <w:tc>
          <w:tcPr>
            <w:tcW w:w="4657"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que identifica todas las rutas utilizadas para vincular los PDP a las oficinas centrales</w:t>
            </w:r>
          </w:p>
        </w:tc>
      </w:tr>
      <w:tr w:rsidR="005B0846" w:rsidRPr="00F906F3" w:rsidTr="005B0846">
        <w:trPr>
          <w:jc w:val="center"/>
        </w:trPr>
        <w:tc>
          <w:tcPr>
            <w:tcW w:w="3836" w:type="dxa"/>
            <w:shd w:val="clear" w:color="auto" w:fill="auto"/>
          </w:tcPr>
          <w:p w:rsidR="005B0846" w:rsidRPr="00872052" w:rsidRDefault="005B0846" w:rsidP="005B0846">
            <w:pPr>
              <w:keepNext/>
              <w:rPr>
                <w:rFonts w:ascii="ITC Avant Garde" w:hAnsi="ITC Avant Garde"/>
                <w:sz w:val="16"/>
                <w:szCs w:val="16"/>
                <w:lang w:val="fr-FR"/>
              </w:rPr>
            </w:pPr>
            <w:r w:rsidRPr="00872052">
              <w:rPr>
                <w:rFonts w:ascii="ITC Avant Garde" w:hAnsi="ITC Avant Garde"/>
                <w:sz w:val="16"/>
                <w:szCs w:val="16"/>
                <w:lang w:val="fr-FR"/>
              </w:rPr>
              <w:t>_Source_Routes_Sections_PD_PCO</w:t>
            </w:r>
          </w:p>
        </w:tc>
        <w:tc>
          <w:tcPr>
            <w:tcW w:w="4657"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que describe el itinerario en términos de secciones de carreteras utilizadas por la ruta</w:t>
            </w:r>
          </w:p>
        </w:tc>
      </w:tr>
      <w:tr w:rsidR="005B0846" w:rsidRPr="00F906F3" w:rsidTr="005B0846">
        <w:trPr>
          <w:jc w:val="center"/>
        </w:trPr>
        <w:tc>
          <w:tcPr>
            <w:tcW w:w="3836" w:type="dxa"/>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Addresses_All</w:t>
            </w:r>
            <w:proofErr w:type="spellEnd"/>
          </w:p>
        </w:tc>
        <w:tc>
          <w:tcPr>
            <w:tcW w:w="4657"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Esta tabla describe todas las direcciones de la red considerada</w:t>
            </w:r>
          </w:p>
        </w:tc>
      </w:tr>
      <w:tr w:rsidR="005B0846" w:rsidRPr="00F906F3" w:rsidTr="005B0846">
        <w:trPr>
          <w:jc w:val="center"/>
        </w:trPr>
        <w:tc>
          <w:tcPr>
            <w:tcW w:w="3836" w:type="dxa"/>
            <w:shd w:val="clear" w:color="auto" w:fill="auto"/>
          </w:tcPr>
          <w:p w:rsidR="005B0846" w:rsidRPr="00872052" w:rsidRDefault="005B0846" w:rsidP="005B0846">
            <w:pPr>
              <w:keepNext/>
              <w:rPr>
                <w:rFonts w:ascii="ITC Avant Garde" w:hAnsi="ITC Avant Garde"/>
                <w:sz w:val="16"/>
                <w:szCs w:val="16"/>
                <w:lang w:val="en-US"/>
              </w:rPr>
            </w:pPr>
            <w:r w:rsidRPr="00872052">
              <w:rPr>
                <w:rFonts w:ascii="ITC Avant Garde" w:hAnsi="ITC Avant Garde"/>
                <w:sz w:val="16"/>
                <w:szCs w:val="16"/>
                <w:lang w:val="en-US"/>
              </w:rPr>
              <w:t>PDPCOs</w:t>
            </w:r>
          </w:p>
        </w:tc>
        <w:tc>
          <w:tcPr>
            <w:tcW w:w="4657"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Esta tabla describe todas las oficinas centrales y PDP del escenario considerado</w:t>
            </w:r>
          </w:p>
        </w:tc>
      </w:tr>
      <w:tr w:rsidR="005B0846" w:rsidRPr="00F906F3" w:rsidTr="005B0846">
        <w:trPr>
          <w:jc w:val="center"/>
        </w:trPr>
        <w:tc>
          <w:tcPr>
            <w:tcW w:w="3836" w:type="dxa"/>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Sets_Of_DropCables</w:t>
            </w:r>
            <w:proofErr w:type="spellEnd"/>
          </w:p>
        </w:tc>
        <w:tc>
          <w:tcPr>
            <w:tcW w:w="4657"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utilizada para describir la parte de la red que está en propiedades privadas</w:t>
            </w:r>
          </w:p>
        </w:tc>
      </w:tr>
    </w:tbl>
    <w:p w:rsidR="005B0846" w:rsidRPr="00872052" w:rsidRDefault="005B0846" w:rsidP="005B0846">
      <w:pPr>
        <w:rPr>
          <w:rFonts w:ascii="ITC Avant Garde" w:hAnsi="ITC Avant Garde"/>
          <w:lang w:val="es-MX"/>
        </w:rPr>
      </w:pP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La cuarta base de datos es el núcleo del modelo; contiene todos los algoritmos necesarios para dimensionar la red de acceso. Utiliza la tercera base de datos como la principal fuente de insumos y almacena los resultados intermedios en sus tablas, que se presentan en la tabla a continuación. </w:t>
      </w:r>
    </w:p>
    <w:p w:rsidR="005B0846" w:rsidRPr="00872052" w:rsidRDefault="005B0846" w:rsidP="005B0846">
      <w:pPr>
        <w:rPr>
          <w:rFonts w:ascii="ITC Avant Garde" w:hAnsi="ITC Avant Garde"/>
          <w:lang w:val="es-MX"/>
        </w:rPr>
      </w:pPr>
      <w:r w:rsidRPr="00872052">
        <w:rPr>
          <w:rFonts w:ascii="ITC Avant Garde" w:hAnsi="ITC Avant Garde"/>
          <w:lang w:val="es-MX"/>
        </w:rPr>
        <w:t>Los parámetros del modelo también se almacenan en la cuarta base de datos.</w:t>
      </w:r>
    </w:p>
    <w:p w:rsidR="005B0846" w:rsidRPr="00872052" w:rsidRDefault="005B0846" w:rsidP="005B0846">
      <w:pPr>
        <w:rPr>
          <w:rFonts w:ascii="ITC Avant Garde" w:hAnsi="ITC Avant Garde"/>
          <w:lang w:val="es-MX"/>
        </w:rPr>
      </w:pPr>
    </w:p>
    <w:p w:rsidR="005B0846" w:rsidRPr="00872052" w:rsidRDefault="00CA5B80" w:rsidP="005B0846">
      <w:pPr>
        <w:pStyle w:val="Descripcin"/>
        <w:keepNext/>
        <w:rPr>
          <w:rFonts w:ascii="ITC Avant Garde" w:hAnsi="ITC Avant Garde"/>
          <w:lang w:val="es-MX"/>
        </w:rPr>
      </w:pPr>
      <w:r>
        <w:rPr>
          <w:rFonts w:ascii="ITC Avant Garde" w:hAnsi="ITC Avant Garde"/>
          <w:lang w:val="es-MX"/>
        </w:rPr>
        <w:lastRenderedPageBreak/>
        <w:t>Cuadro 8</w:t>
      </w:r>
      <w:r w:rsidR="005B0846" w:rsidRPr="00872052">
        <w:rPr>
          <w:rFonts w:ascii="ITC Avant Garde" w:hAnsi="ITC Avant Garde"/>
          <w:lang w:val="es-MX"/>
        </w:rPr>
        <w:t xml:space="preserve"> - Descripción de las tablas - Base de datos 4</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5875"/>
      </w:tblGrid>
      <w:tr w:rsidR="005B0846" w:rsidRPr="00874668" w:rsidTr="005B0846">
        <w:trPr>
          <w:tblHeader/>
          <w:jc w:val="center"/>
        </w:trPr>
        <w:tc>
          <w:tcPr>
            <w:tcW w:w="2831" w:type="dxa"/>
            <w:shd w:val="clear" w:color="auto" w:fill="2F5897" w:themeFill="text2"/>
          </w:tcPr>
          <w:p w:rsidR="005B0846" w:rsidRPr="00872052" w:rsidRDefault="005B0846" w:rsidP="005B0846">
            <w:pPr>
              <w:keepNext/>
              <w:jc w:val="center"/>
              <w:rPr>
                <w:rFonts w:ascii="ITC Avant Garde" w:hAnsi="ITC Avant Garde"/>
                <w:b/>
                <w:color w:val="FFFFFF"/>
                <w:sz w:val="16"/>
                <w:szCs w:val="16"/>
                <w:lang w:val="en-US"/>
              </w:rPr>
            </w:pPr>
            <w:r w:rsidRPr="00872052">
              <w:rPr>
                <w:rFonts w:ascii="ITC Avant Garde" w:hAnsi="ITC Avant Garde"/>
                <w:b/>
                <w:color w:val="FFFFFF"/>
                <w:sz w:val="16"/>
                <w:szCs w:val="16"/>
                <w:lang w:val="en-US"/>
              </w:rPr>
              <w:t>Table name</w:t>
            </w:r>
          </w:p>
        </w:tc>
        <w:tc>
          <w:tcPr>
            <w:tcW w:w="5953" w:type="dxa"/>
            <w:shd w:val="clear" w:color="auto" w:fill="2F5897" w:themeFill="text2"/>
          </w:tcPr>
          <w:p w:rsidR="005B0846" w:rsidRPr="00872052" w:rsidRDefault="005B0846" w:rsidP="005B0846">
            <w:pPr>
              <w:keepNext/>
              <w:jc w:val="center"/>
              <w:rPr>
                <w:rFonts w:ascii="ITC Avant Garde" w:hAnsi="ITC Avant Garde"/>
                <w:b/>
                <w:color w:val="FFFFFF"/>
                <w:sz w:val="16"/>
                <w:szCs w:val="16"/>
                <w:lang w:val="en-US"/>
              </w:rPr>
            </w:pPr>
            <w:r w:rsidRPr="00872052">
              <w:rPr>
                <w:rFonts w:ascii="ITC Avant Garde" w:hAnsi="ITC Avant Garde"/>
                <w:b/>
                <w:color w:val="FFFFFF"/>
                <w:sz w:val="16"/>
                <w:szCs w:val="16"/>
                <w:lang w:val="en-US"/>
              </w:rPr>
              <w:t>Description</w:t>
            </w:r>
          </w:p>
        </w:tc>
      </w:tr>
      <w:tr w:rsidR="005B0846" w:rsidRPr="00F906F3" w:rsidTr="005B0846">
        <w:trPr>
          <w:jc w:val="center"/>
        </w:trPr>
        <w:tc>
          <w:tcPr>
            <w:tcW w:w="2831" w:type="dxa"/>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Sections_Premises</w:t>
            </w:r>
            <w:proofErr w:type="spellEnd"/>
          </w:p>
        </w:tc>
        <w:tc>
          <w:tcPr>
            <w:tcW w:w="5953"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Esta tabla contiene todas las secciones de la carretera relacionadas con las instalaciones de las rutas PDP</w:t>
            </w:r>
          </w:p>
        </w:tc>
      </w:tr>
      <w:tr w:rsidR="005B0846" w:rsidRPr="00F906F3" w:rsidTr="005B0846">
        <w:trPr>
          <w:jc w:val="center"/>
        </w:trPr>
        <w:tc>
          <w:tcPr>
            <w:tcW w:w="2831" w:type="dxa"/>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Sets_Of_DropCables</w:t>
            </w:r>
            <w:proofErr w:type="spellEnd"/>
          </w:p>
        </w:tc>
        <w:tc>
          <w:tcPr>
            <w:tcW w:w="5953"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utilizada para describir y dimensionar la parte de la red que está más cerca de los edificios</w:t>
            </w:r>
          </w:p>
        </w:tc>
      </w:tr>
      <w:tr w:rsidR="005B0846" w:rsidRPr="00F906F3" w:rsidTr="005B0846">
        <w:trPr>
          <w:jc w:val="center"/>
        </w:trPr>
        <w:tc>
          <w:tcPr>
            <w:tcW w:w="2831" w:type="dxa"/>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Results_Wires_Copper</w:t>
            </w:r>
            <w:proofErr w:type="spellEnd"/>
          </w:p>
        </w:tc>
        <w:tc>
          <w:tcPr>
            <w:tcW w:w="5953"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Esta tabla proporciona los resultados de cálculo para alambres de cobre</w:t>
            </w:r>
          </w:p>
        </w:tc>
      </w:tr>
      <w:tr w:rsidR="005B0846" w:rsidRPr="00F906F3" w:rsidTr="005B0846">
        <w:trPr>
          <w:jc w:val="center"/>
        </w:trPr>
        <w:tc>
          <w:tcPr>
            <w:tcW w:w="2831" w:type="dxa"/>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Results_Wires_Fibre</w:t>
            </w:r>
            <w:proofErr w:type="spellEnd"/>
          </w:p>
        </w:tc>
        <w:tc>
          <w:tcPr>
            <w:tcW w:w="5953"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Esta tabla proporciona los resultados de cálculo para cables de fibra</w:t>
            </w:r>
          </w:p>
        </w:tc>
      </w:tr>
      <w:tr w:rsidR="005B0846" w:rsidRPr="00F906F3" w:rsidTr="005B0846">
        <w:trPr>
          <w:jc w:val="center"/>
        </w:trPr>
        <w:tc>
          <w:tcPr>
            <w:tcW w:w="2831" w:type="dxa"/>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Results_Cables_Copper</w:t>
            </w:r>
            <w:proofErr w:type="spellEnd"/>
          </w:p>
        </w:tc>
        <w:tc>
          <w:tcPr>
            <w:tcW w:w="5953"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Esta tabla proporciona los resultados de cálculo para cables de cobre subterráneos</w:t>
            </w:r>
          </w:p>
        </w:tc>
      </w:tr>
      <w:tr w:rsidR="005B0846" w:rsidRPr="00F906F3" w:rsidTr="005B0846">
        <w:trPr>
          <w:jc w:val="center"/>
        </w:trPr>
        <w:tc>
          <w:tcPr>
            <w:tcW w:w="2831" w:type="dxa"/>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Results_Cables_Copper_Aer</w:t>
            </w:r>
            <w:proofErr w:type="spellEnd"/>
          </w:p>
        </w:tc>
        <w:tc>
          <w:tcPr>
            <w:tcW w:w="5953"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Esta tabla proporciona los resultados de cálculo para cables aéreos de cobre</w:t>
            </w:r>
          </w:p>
        </w:tc>
      </w:tr>
      <w:tr w:rsidR="005B0846" w:rsidRPr="00F906F3" w:rsidTr="005B0846">
        <w:trPr>
          <w:jc w:val="center"/>
        </w:trPr>
        <w:tc>
          <w:tcPr>
            <w:tcW w:w="2831" w:type="dxa"/>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Results_Cables_Fibre</w:t>
            </w:r>
            <w:proofErr w:type="spellEnd"/>
          </w:p>
        </w:tc>
        <w:tc>
          <w:tcPr>
            <w:tcW w:w="5953"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Esta tabla proporciona resultados de cálculo para cables de fibra subterráneos</w:t>
            </w:r>
          </w:p>
        </w:tc>
      </w:tr>
      <w:tr w:rsidR="005B0846" w:rsidRPr="00F906F3" w:rsidTr="005B0846">
        <w:trPr>
          <w:jc w:val="center"/>
        </w:trPr>
        <w:tc>
          <w:tcPr>
            <w:tcW w:w="2831" w:type="dxa"/>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Results_Cables_Fibre_Aer</w:t>
            </w:r>
            <w:proofErr w:type="spellEnd"/>
          </w:p>
        </w:tc>
        <w:tc>
          <w:tcPr>
            <w:tcW w:w="5953"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Esta tabla proporciona resultados de cálculo para cables de fibra aéreos</w:t>
            </w:r>
          </w:p>
        </w:tc>
      </w:tr>
      <w:tr w:rsidR="005B0846" w:rsidRPr="00F906F3" w:rsidTr="005B0846">
        <w:trPr>
          <w:jc w:val="center"/>
        </w:trPr>
        <w:tc>
          <w:tcPr>
            <w:tcW w:w="2831" w:type="dxa"/>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Results_Ducts_Copper</w:t>
            </w:r>
            <w:proofErr w:type="spellEnd"/>
          </w:p>
        </w:tc>
        <w:tc>
          <w:tcPr>
            <w:tcW w:w="5953"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Esta tabla proporciona los resultados del cálculo de los conductos de cobre</w:t>
            </w:r>
          </w:p>
        </w:tc>
      </w:tr>
      <w:tr w:rsidR="005B0846" w:rsidRPr="00F906F3" w:rsidTr="005B0846">
        <w:trPr>
          <w:jc w:val="center"/>
        </w:trPr>
        <w:tc>
          <w:tcPr>
            <w:tcW w:w="2831" w:type="dxa"/>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Results_Ducts_Fibre</w:t>
            </w:r>
            <w:proofErr w:type="spellEnd"/>
          </w:p>
        </w:tc>
        <w:tc>
          <w:tcPr>
            <w:tcW w:w="5953"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Esta tabla proporciona los resultados del cálculo de los conductos de fibra</w:t>
            </w:r>
          </w:p>
        </w:tc>
      </w:tr>
      <w:tr w:rsidR="005B0846" w:rsidRPr="00F906F3" w:rsidTr="005B0846">
        <w:trPr>
          <w:jc w:val="center"/>
        </w:trPr>
        <w:tc>
          <w:tcPr>
            <w:tcW w:w="2831" w:type="dxa"/>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Results_Trenches</w:t>
            </w:r>
            <w:proofErr w:type="spellEnd"/>
          </w:p>
        </w:tc>
        <w:tc>
          <w:tcPr>
            <w:tcW w:w="5953"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Esta tabla proporciona los resultados de cálculo para zanjas</w:t>
            </w:r>
          </w:p>
        </w:tc>
      </w:tr>
      <w:tr w:rsidR="005B0846" w:rsidRPr="00F906F3" w:rsidTr="005B0846">
        <w:trPr>
          <w:jc w:val="center"/>
        </w:trPr>
        <w:tc>
          <w:tcPr>
            <w:tcW w:w="2831" w:type="dxa"/>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Results_AerialLength</w:t>
            </w:r>
            <w:proofErr w:type="spellEnd"/>
          </w:p>
        </w:tc>
        <w:tc>
          <w:tcPr>
            <w:tcW w:w="5953"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Esta tabla almacena los resultados del cálculo para la longitud aérea</w:t>
            </w:r>
          </w:p>
        </w:tc>
      </w:tr>
      <w:tr w:rsidR="005B0846" w:rsidRPr="00F906F3" w:rsidTr="005B0846">
        <w:trPr>
          <w:jc w:val="center"/>
        </w:trPr>
        <w:tc>
          <w:tcPr>
            <w:tcW w:w="2831" w:type="dxa"/>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Results_Aggregated_Assets</w:t>
            </w:r>
            <w:proofErr w:type="spellEnd"/>
          </w:p>
        </w:tc>
        <w:tc>
          <w:tcPr>
            <w:tcW w:w="5953"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Esta tabla proporciona resultados agregados de la CO</w:t>
            </w:r>
            <w:r w:rsidR="00720839">
              <w:rPr>
                <w:rFonts w:ascii="ITC Avant Garde" w:hAnsi="ITC Avant Garde"/>
                <w:sz w:val="16"/>
                <w:szCs w:val="16"/>
                <w:lang w:val="es-MX"/>
              </w:rPr>
              <w:t xml:space="preserve"> </w:t>
            </w:r>
            <w:r w:rsidRPr="00872052">
              <w:rPr>
                <w:rFonts w:ascii="ITC Avant Garde" w:hAnsi="ITC Avant Garde"/>
                <w:sz w:val="16"/>
                <w:szCs w:val="16"/>
                <w:lang w:val="es-MX"/>
              </w:rPr>
              <w:t>para los activos</w:t>
            </w:r>
          </w:p>
        </w:tc>
      </w:tr>
      <w:tr w:rsidR="005B0846" w:rsidRPr="00874668" w:rsidTr="005B0846">
        <w:trPr>
          <w:jc w:val="center"/>
        </w:trPr>
        <w:tc>
          <w:tcPr>
            <w:tcW w:w="2831" w:type="dxa"/>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Last_Results_Aggregated_Assets_C</w:t>
            </w:r>
            <w:proofErr w:type="spellEnd"/>
          </w:p>
        </w:tc>
        <w:tc>
          <w:tcPr>
            <w:tcW w:w="5953" w:type="dxa"/>
            <w:shd w:val="clear" w:color="auto" w:fill="auto"/>
          </w:tcPr>
          <w:p w:rsidR="005B0846" w:rsidRPr="0029338F"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Esta tabla almacena los últimos resultados de cobre de la tabla "</w:t>
            </w:r>
            <w:proofErr w:type="spellStart"/>
            <w:r w:rsidRPr="00872052">
              <w:rPr>
                <w:rFonts w:ascii="ITC Avant Garde" w:hAnsi="ITC Avant Garde"/>
                <w:sz w:val="16"/>
                <w:szCs w:val="16"/>
                <w:lang w:val="es-MX"/>
              </w:rPr>
              <w:t>Results_Aggregated_Assets</w:t>
            </w:r>
            <w:proofErr w:type="spellEnd"/>
            <w:r w:rsidRPr="00872052">
              <w:rPr>
                <w:rFonts w:ascii="ITC Avant Garde" w:hAnsi="ITC Avant Garde"/>
                <w:sz w:val="16"/>
                <w:szCs w:val="16"/>
                <w:lang w:val="es-MX"/>
              </w:rPr>
              <w:t xml:space="preserve">". </w:t>
            </w:r>
            <w:r w:rsidRPr="00872052">
              <w:rPr>
                <w:rFonts w:ascii="ITC Avant Garde" w:hAnsi="ITC Avant Garde"/>
                <w:sz w:val="16"/>
                <w:szCs w:val="16"/>
              </w:rPr>
              <w:t xml:space="preserve">No se </w:t>
            </w:r>
            <w:proofErr w:type="spellStart"/>
            <w:r w:rsidR="00720839">
              <w:rPr>
                <w:rFonts w:ascii="ITC Avant Garde" w:hAnsi="ITC Avant Garde"/>
                <w:sz w:val="16"/>
                <w:szCs w:val="16"/>
              </w:rPr>
              <w:t>elimina</w:t>
            </w:r>
            <w:proofErr w:type="spellEnd"/>
            <w:r w:rsidR="00720839" w:rsidRPr="00872052">
              <w:rPr>
                <w:rFonts w:ascii="ITC Avant Garde" w:hAnsi="ITC Avant Garde"/>
                <w:sz w:val="16"/>
                <w:szCs w:val="16"/>
              </w:rPr>
              <w:t xml:space="preserve"> </w:t>
            </w:r>
            <w:r w:rsidRPr="00872052">
              <w:rPr>
                <w:rFonts w:ascii="ITC Avant Garde" w:hAnsi="ITC Avant Garde"/>
                <w:sz w:val="16"/>
                <w:szCs w:val="16"/>
              </w:rPr>
              <w:t xml:space="preserve">al </w:t>
            </w:r>
            <w:proofErr w:type="spellStart"/>
            <w:r w:rsidR="00720839">
              <w:rPr>
                <w:rFonts w:ascii="ITC Avant Garde" w:hAnsi="ITC Avant Garde"/>
                <w:sz w:val="16"/>
                <w:szCs w:val="16"/>
              </w:rPr>
              <w:t>establecer</w:t>
            </w:r>
            <w:proofErr w:type="spellEnd"/>
            <w:r w:rsidR="00720839" w:rsidRPr="00872052">
              <w:rPr>
                <w:rFonts w:ascii="ITC Avant Garde" w:hAnsi="ITC Avant Garde"/>
                <w:sz w:val="16"/>
                <w:szCs w:val="16"/>
              </w:rPr>
              <w:t xml:space="preserve"> </w:t>
            </w:r>
            <w:r w:rsidRPr="00872052">
              <w:rPr>
                <w:rFonts w:ascii="ITC Avant Garde" w:hAnsi="ITC Avant Garde"/>
                <w:sz w:val="16"/>
                <w:szCs w:val="16"/>
              </w:rPr>
              <w:t xml:space="preserve">un </w:t>
            </w:r>
            <w:proofErr w:type="spellStart"/>
            <w:r w:rsidRPr="00872052">
              <w:rPr>
                <w:rFonts w:ascii="ITC Avant Garde" w:hAnsi="ITC Avant Garde"/>
                <w:sz w:val="16"/>
                <w:szCs w:val="16"/>
              </w:rPr>
              <w:t>escenario</w:t>
            </w:r>
            <w:proofErr w:type="spellEnd"/>
            <w:r w:rsidRPr="00872052">
              <w:rPr>
                <w:rFonts w:ascii="ITC Avant Garde" w:hAnsi="ITC Avant Garde"/>
                <w:sz w:val="16"/>
                <w:szCs w:val="16"/>
              </w:rPr>
              <w:t xml:space="preserve"> </w:t>
            </w:r>
            <w:proofErr w:type="spellStart"/>
            <w:r w:rsidR="00720839">
              <w:rPr>
                <w:rFonts w:ascii="ITC Avant Garde" w:hAnsi="ITC Avant Garde"/>
                <w:sz w:val="16"/>
                <w:szCs w:val="16"/>
              </w:rPr>
              <w:t>diferente</w:t>
            </w:r>
            <w:proofErr w:type="spellEnd"/>
            <w:r w:rsidRPr="00872052">
              <w:rPr>
                <w:rFonts w:ascii="ITC Avant Garde" w:hAnsi="ITC Avant Garde"/>
                <w:sz w:val="16"/>
                <w:szCs w:val="16"/>
              </w:rPr>
              <w:t>.</w:t>
            </w:r>
          </w:p>
        </w:tc>
      </w:tr>
      <w:tr w:rsidR="005B0846" w:rsidRPr="00874668" w:rsidTr="005B0846">
        <w:trPr>
          <w:jc w:val="center"/>
        </w:trPr>
        <w:tc>
          <w:tcPr>
            <w:tcW w:w="2831" w:type="dxa"/>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Last_Results_Aggregated_Assets_F</w:t>
            </w:r>
            <w:proofErr w:type="spellEnd"/>
          </w:p>
        </w:tc>
        <w:tc>
          <w:tcPr>
            <w:tcW w:w="5953" w:type="dxa"/>
            <w:shd w:val="clear" w:color="auto" w:fill="auto"/>
          </w:tcPr>
          <w:p w:rsidR="005B0846" w:rsidRPr="0029338F"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Esta tabla almacena los resultados de la última fibra de la tabla "</w:t>
            </w:r>
            <w:proofErr w:type="spellStart"/>
            <w:r w:rsidRPr="00872052">
              <w:rPr>
                <w:rFonts w:ascii="ITC Avant Garde" w:hAnsi="ITC Avant Garde"/>
                <w:sz w:val="16"/>
                <w:szCs w:val="16"/>
                <w:lang w:val="es-MX"/>
              </w:rPr>
              <w:t>Results_Aggregated_Assets</w:t>
            </w:r>
            <w:proofErr w:type="spellEnd"/>
            <w:r w:rsidRPr="00872052">
              <w:rPr>
                <w:rFonts w:ascii="ITC Avant Garde" w:hAnsi="ITC Avant Garde"/>
                <w:sz w:val="16"/>
                <w:szCs w:val="16"/>
                <w:lang w:val="es-MX"/>
              </w:rPr>
              <w:t xml:space="preserve">". </w:t>
            </w:r>
            <w:r w:rsidRPr="00872052">
              <w:rPr>
                <w:rFonts w:ascii="ITC Avant Garde" w:hAnsi="ITC Avant Garde"/>
                <w:sz w:val="16"/>
                <w:szCs w:val="16"/>
              </w:rPr>
              <w:t xml:space="preserve">No se </w:t>
            </w:r>
            <w:proofErr w:type="spellStart"/>
            <w:r w:rsidR="00720839">
              <w:rPr>
                <w:rFonts w:ascii="ITC Avant Garde" w:hAnsi="ITC Avant Garde"/>
                <w:sz w:val="16"/>
                <w:szCs w:val="16"/>
              </w:rPr>
              <w:t>elimina</w:t>
            </w:r>
            <w:proofErr w:type="spellEnd"/>
            <w:r w:rsidR="00720839" w:rsidRPr="00872052">
              <w:rPr>
                <w:rFonts w:ascii="ITC Avant Garde" w:hAnsi="ITC Avant Garde"/>
                <w:sz w:val="16"/>
                <w:szCs w:val="16"/>
              </w:rPr>
              <w:t xml:space="preserve"> </w:t>
            </w:r>
            <w:r w:rsidRPr="00872052">
              <w:rPr>
                <w:rFonts w:ascii="ITC Avant Garde" w:hAnsi="ITC Avant Garde"/>
                <w:sz w:val="16"/>
                <w:szCs w:val="16"/>
              </w:rPr>
              <w:t xml:space="preserve">al </w:t>
            </w:r>
            <w:proofErr w:type="spellStart"/>
            <w:r w:rsidR="00720839">
              <w:rPr>
                <w:rFonts w:ascii="ITC Avant Garde" w:hAnsi="ITC Avant Garde"/>
                <w:sz w:val="16"/>
                <w:szCs w:val="16"/>
              </w:rPr>
              <w:t>establecer</w:t>
            </w:r>
            <w:proofErr w:type="spellEnd"/>
            <w:r w:rsidR="00720839" w:rsidRPr="00872052">
              <w:rPr>
                <w:rFonts w:ascii="ITC Avant Garde" w:hAnsi="ITC Avant Garde"/>
                <w:sz w:val="16"/>
                <w:szCs w:val="16"/>
              </w:rPr>
              <w:t xml:space="preserve"> </w:t>
            </w:r>
            <w:r w:rsidRPr="00872052">
              <w:rPr>
                <w:rFonts w:ascii="ITC Avant Garde" w:hAnsi="ITC Avant Garde"/>
                <w:sz w:val="16"/>
                <w:szCs w:val="16"/>
              </w:rPr>
              <w:t xml:space="preserve">un </w:t>
            </w:r>
            <w:proofErr w:type="spellStart"/>
            <w:r w:rsidRPr="00872052">
              <w:rPr>
                <w:rFonts w:ascii="ITC Avant Garde" w:hAnsi="ITC Avant Garde"/>
                <w:sz w:val="16"/>
                <w:szCs w:val="16"/>
              </w:rPr>
              <w:t>escenario</w:t>
            </w:r>
            <w:proofErr w:type="spellEnd"/>
            <w:r w:rsidRPr="00872052">
              <w:rPr>
                <w:rFonts w:ascii="ITC Avant Garde" w:hAnsi="ITC Avant Garde"/>
                <w:sz w:val="16"/>
                <w:szCs w:val="16"/>
              </w:rPr>
              <w:t xml:space="preserve"> </w:t>
            </w:r>
            <w:proofErr w:type="spellStart"/>
            <w:r w:rsidRPr="00872052">
              <w:rPr>
                <w:rFonts w:ascii="ITC Avant Garde" w:hAnsi="ITC Avant Garde"/>
                <w:sz w:val="16"/>
                <w:szCs w:val="16"/>
              </w:rPr>
              <w:t>diferente</w:t>
            </w:r>
            <w:proofErr w:type="spellEnd"/>
            <w:r w:rsidRPr="00872052">
              <w:rPr>
                <w:rFonts w:ascii="ITC Avant Garde" w:hAnsi="ITC Avant Garde"/>
                <w:sz w:val="16"/>
                <w:szCs w:val="16"/>
              </w:rPr>
              <w:t>.</w:t>
            </w:r>
          </w:p>
        </w:tc>
      </w:tr>
    </w:tbl>
    <w:p w:rsidR="005B0846" w:rsidRPr="00872052" w:rsidRDefault="005B0846" w:rsidP="005B0846">
      <w:pPr>
        <w:rPr>
          <w:rFonts w:ascii="ITC Avant Garde" w:hAnsi="ITC Avant Garde"/>
          <w:lang w:val="es-MX"/>
        </w:rPr>
      </w:pPr>
    </w:p>
    <w:p w:rsidR="005B0846" w:rsidRPr="00872052" w:rsidRDefault="005B0846" w:rsidP="005B0846">
      <w:pPr>
        <w:rPr>
          <w:rFonts w:ascii="ITC Avant Garde" w:hAnsi="ITC Avant Garde"/>
          <w:lang w:val="es-MX"/>
        </w:rPr>
      </w:pPr>
    </w:p>
    <w:p w:rsidR="005B0846" w:rsidRPr="00872052" w:rsidRDefault="00CA5B80" w:rsidP="005B0846">
      <w:pPr>
        <w:pStyle w:val="Descripcin"/>
        <w:keepNext/>
        <w:rPr>
          <w:rFonts w:ascii="ITC Avant Garde" w:hAnsi="ITC Avant Garde"/>
          <w:lang w:val="es-MX"/>
        </w:rPr>
      </w:pPr>
      <w:r>
        <w:rPr>
          <w:rFonts w:ascii="ITC Avant Garde" w:hAnsi="ITC Avant Garde"/>
          <w:lang w:val="es-MX"/>
        </w:rPr>
        <w:lastRenderedPageBreak/>
        <w:t>Cuadro 9</w:t>
      </w:r>
      <w:r w:rsidR="005B0846" w:rsidRPr="00872052">
        <w:rPr>
          <w:rFonts w:ascii="ITC Avant Garde" w:hAnsi="ITC Avant Garde"/>
          <w:lang w:val="es-MX"/>
        </w:rPr>
        <w:t xml:space="preserve"> - Descripción de las tablas de par</w:t>
      </w:r>
      <w:r w:rsidR="00720839">
        <w:rPr>
          <w:rFonts w:ascii="ITC Avant Garde" w:hAnsi="ITC Avant Garde"/>
          <w:lang w:val="es-MX"/>
        </w:rPr>
        <w:t>á</w:t>
      </w:r>
      <w:r w:rsidR="005B0846" w:rsidRPr="00872052">
        <w:rPr>
          <w:rFonts w:ascii="ITC Avant Garde" w:hAnsi="ITC Avant Garde"/>
          <w:lang w:val="es-MX"/>
        </w:rPr>
        <w:t>metros - Base de datos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5489"/>
      </w:tblGrid>
      <w:tr w:rsidR="005B0846" w:rsidRPr="00874668" w:rsidTr="005B0846">
        <w:trPr>
          <w:tblHeader/>
          <w:jc w:val="center"/>
        </w:trPr>
        <w:tc>
          <w:tcPr>
            <w:tcW w:w="3004" w:type="dxa"/>
            <w:shd w:val="clear" w:color="auto" w:fill="2F5897" w:themeFill="text2"/>
          </w:tcPr>
          <w:p w:rsidR="005B0846" w:rsidRPr="00872052" w:rsidRDefault="005B0846" w:rsidP="005B0846">
            <w:pPr>
              <w:keepNext/>
              <w:jc w:val="center"/>
              <w:rPr>
                <w:rFonts w:ascii="ITC Avant Garde" w:hAnsi="ITC Avant Garde"/>
                <w:b/>
                <w:color w:val="FFFFFF"/>
                <w:sz w:val="16"/>
                <w:szCs w:val="16"/>
                <w:lang w:val="en-US"/>
              </w:rPr>
            </w:pPr>
            <w:r w:rsidRPr="00872052">
              <w:rPr>
                <w:rFonts w:ascii="ITC Avant Garde" w:hAnsi="ITC Avant Garde"/>
                <w:b/>
                <w:color w:val="FFFFFF"/>
                <w:sz w:val="16"/>
                <w:szCs w:val="16"/>
                <w:lang w:val="en-US"/>
              </w:rPr>
              <w:t>Table name</w:t>
            </w:r>
          </w:p>
        </w:tc>
        <w:tc>
          <w:tcPr>
            <w:tcW w:w="5489" w:type="dxa"/>
            <w:shd w:val="clear" w:color="auto" w:fill="2F5897" w:themeFill="text2"/>
          </w:tcPr>
          <w:p w:rsidR="005B0846" w:rsidRPr="00872052" w:rsidRDefault="005B0846" w:rsidP="005B0846">
            <w:pPr>
              <w:keepNext/>
              <w:jc w:val="center"/>
              <w:rPr>
                <w:rFonts w:ascii="ITC Avant Garde" w:hAnsi="ITC Avant Garde"/>
                <w:b/>
                <w:color w:val="FFFFFF"/>
                <w:sz w:val="16"/>
                <w:szCs w:val="16"/>
                <w:lang w:val="en-US"/>
              </w:rPr>
            </w:pPr>
            <w:r w:rsidRPr="00872052">
              <w:rPr>
                <w:rFonts w:ascii="ITC Avant Garde" w:hAnsi="ITC Avant Garde"/>
                <w:b/>
                <w:color w:val="FFFFFF"/>
                <w:sz w:val="16"/>
                <w:szCs w:val="16"/>
                <w:lang w:val="en-US"/>
              </w:rPr>
              <w:t>Description</w:t>
            </w:r>
          </w:p>
        </w:tc>
      </w:tr>
      <w:tr w:rsidR="005B0846" w:rsidRPr="00F906F3" w:rsidTr="005B0846">
        <w:trPr>
          <w:jc w:val="center"/>
        </w:trPr>
        <w:tc>
          <w:tcPr>
            <w:tcW w:w="3004" w:type="dxa"/>
            <w:shd w:val="clear" w:color="auto" w:fill="auto"/>
          </w:tcPr>
          <w:p w:rsidR="005B0846" w:rsidRPr="00872052" w:rsidRDefault="005B0846" w:rsidP="005B0846">
            <w:pPr>
              <w:keepNext/>
              <w:rPr>
                <w:rFonts w:ascii="ITC Avant Garde" w:hAnsi="ITC Avant Garde"/>
                <w:sz w:val="16"/>
                <w:szCs w:val="16"/>
                <w:lang w:val="en-US"/>
              </w:rPr>
            </w:pPr>
            <w:r w:rsidRPr="00872052">
              <w:rPr>
                <w:rFonts w:ascii="ITC Avant Garde" w:hAnsi="ITC Avant Garde"/>
                <w:sz w:val="16"/>
                <w:szCs w:val="16"/>
                <w:lang w:val="en-US"/>
              </w:rPr>
              <w:t>Parameters</w:t>
            </w:r>
          </w:p>
        </w:tc>
        <w:tc>
          <w:tcPr>
            <w:tcW w:w="5489"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que contiene todos los parámetros específicos del escenario. Esto incluye parámetros para el escenario actual, pero también los valores de parámetros específicos para cada escenario.</w:t>
            </w:r>
          </w:p>
        </w:tc>
      </w:tr>
      <w:tr w:rsidR="005B0846" w:rsidRPr="00F906F3" w:rsidTr="005B0846">
        <w:trPr>
          <w:jc w:val="center"/>
        </w:trPr>
        <w:tc>
          <w:tcPr>
            <w:tcW w:w="3004" w:type="dxa"/>
            <w:shd w:val="clear" w:color="auto" w:fill="auto"/>
          </w:tcPr>
          <w:p w:rsidR="005B0846" w:rsidRPr="00872052" w:rsidRDefault="005B0846" w:rsidP="005B0846">
            <w:pPr>
              <w:keepNext/>
              <w:rPr>
                <w:rFonts w:ascii="ITC Avant Garde" w:hAnsi="ITC Avant Garde"/>
                <w:sz w:val="16"/>
                <w:szCs w:val="16"/>
                <w:lang w:val="en-US"/>
              </w:rPr>
            </w:pPr>
            <w:proofErr w:type="spellStart"/>
            <w:r w:rsidRPr="00872052">
              <w:rPr>
                <w:rFonts w:ascii="ITC Avant Garde" w:hAnsi="ITC Avant Garde"/>
                <w:sz w:val="16"/>
                <w:szCs w:val="16"/>
                <w:lang w:val="en-US"/>
              </w:rPr>
              <w:t>Parameters_Technical</w:t>
            </w:r>
            <w:proofErr w:type="spellEnd"/>
          </w:p>
        </w:tc>
        <w:tc>
          <w:tcPr>
            <w:tcW w:w="5489"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que contiene todos los parámetros que son independientes de los escenarios.</w:t>
            </w:r>
          </w:p>
        </w:tc>
      </w:tr>
      <w:tr w:rsidR="005B0846" w:rsidRPr="00F906F3" w:rsidTr="005B0846">
        <w:trPr>
          <w:jc w:val="center"/>
        </w:trPr>
        <w:tc>
          <w:tcPr>
            <w:tcW w:w="3004" w:type="dxa"/>
            <w:shd w:val="clear" w:color="auto" w:fill="auto"/>
          </w:tcPr>
          <w:p w:rsidR="005B0846" w:rsidRPr="00872052" w:rsidRDefault="005B0846" w:rsidP="005B0846">
            <w:pPr>
              <w:keepNext/>
              <w:rPr>
                <w:rFonts w:ascii="ITC Avant Garde" w:hAnsi="ITC Avant Garde"/>
                <w:sz w:val="16"/>
                <w:szCs w:val="16"/>
                <w:lang w:val="en-US"/>
              </w:rPr>
            </w:pPr>
            <w:r w:rsidRPr="00872052">
              <w:rPr>
                <w:rFonts w:ascii="ITC Avant Garde" w:hAnsi="ITC Avant Garde"/>
                <w:sz w:val="16"/>
                <w:szCs w:val="16"/>
                <w:lang w:val="en-US"/>
              </w:rPr>
              <w:t>Assets</w:t>
            </w:r>
          </w:p>
        </w:tc>
        <w:tc>
          <w:tcPr>
            <w:tcW w:w="5489"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lang w:val="es-MX"/>
              </w:rPr>
              <w:t>Tabla que describe todos los activos utilizados para el modelado. Esta tabla se reconstruye cada vez que se ejecuta el modelo (completado con el procedimiento A01b_FillAssetsTable).</w:t>
            </w:r>
          </w:p>
        </w:tc>
      </w:tr>
    </w:tbl>
    <w:p w:rsidR="005B0846" w:rsidRPr="00872052" w:rsidRDefault="005B0846" w:rsidP="005B0846">
      <w:pPr>
        <w:spacing w:before="0" w:line="240" w:lineRule="auto"/>
        <w:jc w:val="left"/>
        <w:rPr>
          <w:rFonts w:ascii="ITC Avant Garde" w:hAnsi="ITC Avant Garde"/>
          <w:b/>
          <w:color w:val="CC3300"/>
          <w:lang w:val="es-MX"/>
        </w:rPr>
      </w:pPr>
      <w:bookmarkStart w:id="185" w:name="_Toc525672856"/>
    </w:p>
    <w:p w:rsidR="00C3229C" w:rsidRPr="00872052" w:rsidRDefault="00C3229C" w:rsidP="00C3229C">
      <w:pPr>
        <w:pStyle w:val="Ttulo3"/>
        <w:rPr>
          <w:rFonts w:ascii="ITC Avant Garde" w:hAnsi="ITC Avant Garde"/>
          <w:lang w:val="es-MX"/>
        </w:rPr>
      </w:pPr>
      <w:bookmarkStart w:id="186" w:name="_Toc525665296"/>
      <w:bookmarkStart w:id="187" w:name="_Toc525665675"/>
      <w:bookmarkStart w:id="188" w:name="_Toc526854376"/>
      <w:r w:rsidRPr="00872052">
        <w:rPr>
          <w:rFonts w:ascii="ITC Avant Garde" w:hAnsi="ITC Avant Garde"/>
          <w:lang w:val="es-MX"/>
        </w:rPr>
        <w:t>Estructura del archivo de Microsoft Excel</w:t>
      </w:r>
      <w:bookmarkEnd w:id="185"/>
      <w:bookmarkEnd w:id="186"/>
      <w:bookmarkEnd w:id="187"/>
      <w:bookmarkEnd w:id="188"/>
    </w:p>
    <w:p w:rsidR="005B0846" w:rsidRPr="00872052" w:rsidRDefault="005B0846" w:rsidP="005B0846">
      <w:pPr>
        <w:rPr>
          <w:rFonts w:ascii="ITC Avant Garde" w:hAnsi="ITC Avant Garde"/>
          <w:lang w:val="es-MX"/>
        </w:rPr>
      </w:pPr>
      <w:r w:rsidRPr="00872052">
        <w:rPr>
          <w:rFonts w:ascii="ITC Avant Garde" w:hAnsi="ITC Avant Garde"/>
          <w:lang w:val="es-MX"/>
        </w:rPr>
        <w:t>El archivo de Microsoft Excel s</w:t>
      </w:r>
      <w:r w:rsidR="009A4CA2">
        <w:rPr>
          <w:rFonts w:ascii="ITC Avant Garde" w:hAnsi="ITC Avant Garde"/>
          <w:lang w:val="es-MX"/>
        </w:rPr>
        <w:t>ó</w:t>
      </w:r>
      <w:r w:rsidRPr="00872052">
        <w:rPr>
          <w:rFonts w:ascii="ITC Avant Garde" w:hAnsi="ITC Avant Garde"/>
          <w:lang w:val="es-MX"/>
        </w:rPr>
        <w:t>lo usa la entrada del modelo de SQL.</w:t>
      </w:r>
    </w:p>
    <w:p w:rsidR="00C3229C" w:rsidRPr="00872052" w:rsidRDefault="00C3229C" w:rsidP="00C3229C">
      <w:pPr>
        <w:rPr>
          <w:rFonts w:ascii="ITC Avant Garde" w:hAnsi="ITC Avant Garde"/>
          <w:lang w:val="es-MX"/>
        </w:rPr>
      </w:pPr>
      <w:r w:rsidRPr="00872052">
        <w:rPr>
          <w:rFonts w:ascii="ITC Avant Garde" w:hAnsi="ITC Avant Garde"/>
          <w:lang w:val="es-MX"/>
        </w:rPr>
        <w:t>La arquitectura de la parte de Microsoft Excel del modelo de acceso se muestra en la siguiente figura:</w:t>
      </w:r>
    </w:p>
    <w:p w:rsidR="005B0846" w:rsidRPr="00872052" w:rsidRDefault="005B0846" w:rsidP="005B0846">
      <w:pPr>
        <w:rPr>
          <w:rFonts w:ascii="ITC Avant Garde" w:hAnsi="ITC Avant Garde"/>
          <w:lang w:val="es-MX"/>
        </w:rPr>
      </w:pPr>
      <w:r w:rsidRPr="00872052">
        <w:rPr>
          <w:rFonts w:ascii="ITC Avant Garde" w:hAnsi="ITC Avant Garde"/>
          <w:lang w:val="es-MX"/>
        </w:rPr>
        <w:t> </w:t>
      </w: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t xml:space="preserve">Figura </w:t>
      </w:r>
      <w:r w:rsidR="00CA5B80">
        <w:rPr>
          <w:rFonts w:ascii="ITC Avant Garde" w:hAnsi="ITC Avant Garde"/>
          <w:lang w:val="es-MX"/>
        </w:rPr>
        <w:t>16</w:t>
      </w:r>
      <w:r w:rsidRPr="00872052">
        <w:rPr>
          <w:rFonts w:ascii="ITC Avant Garde" w:hAnsi="ITC Avant Garde"/>
          <w:lang w:val="es-MX"/>
        </w:rPr>
        <w:t xml:space="preserve"> - Arquitectura del modelo Excel</w:t>
      </w:r>
    </w:p>
    <w:p w:rsidR="005B0846" w:rsidRPr="00872052" w:rsidRDefault="005B0846" w:rsidP="005B0846">
      <w:pPr>
        <w:rPr>
          <w:rFonts w:ascii="ITC Avant Garde" w:hAnsi="ITC Avant Garde"/>
          <w:lang w:val="es-MX"/>
        </w:rPr>
      </w:pPr>
      <w:r w:rsidRPr="00872052">
        <w:rPr>
          <w:rFonts w:ascii="ITC Avant Garde" w:hAnsi="ITC Avant Garde"/>
          <w:noProof/>
          <w:lang w:val="es-MX" w:eastAsia="es-MX"/>
        </w:rPr>
        <w:drawing>
          <wp:inline distT="0" distB="0" distL="0" distR="0" wp14:anchorId="11DF8C82" wp14:editId="481E1F62">
            <wp:extent cx="5399405" cy="2157811"/>
            <wp:effectExtent l="0" t="0" r="0" b="0"/>
            <wp:docPr id="33"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99405" cy="2157811"/>
                    </a:xfrm>
                    <a:prstGeom prst="rect">
                      <a:avLst/>
                    </a:prstGeom>
                  </pic:spPr>
                </pic:pic>
              </a:graphicData>
            </a:graphic>
          </wp:inline>
        </w:drawing>
      </w:r>
    </w:p>
    <w:p w:rsidR="005B0846" w:rsidRPr="00872052" w:rsidRDefault="00400AEB" w:rsidP="005B0846">
      <w:pPr>
        <w:pStyle w:val="Source"/>
        <w:keepNext/>
        <w:rPr>
          <w:rFonts w:ascii="ITC Avant Garde" w:hAnsi="ITC Avant Garde"/>
          <w:lang w:val="es-MX"/>
        </w:rPr>
      </w:pPr>
      <w:r>
        <w:rPr>
          <w:rFonts w:ascii="ITC Avant Garde" w:hAnsi="ITC Avant Garde"/>
          <w:lang w:val="es-MX"/>
        </w:rPr>
        <w:t>¿</w:t>
      </w: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Desde el </w:t>
      </w:r>
      <w:proofErr w:type="spellStart"/>
      <w:r w:rsidRPr="009A4CA2">
        <w:rPr>
          <w:rFonts w:ascii="ITC Avant Garde" w:hAnsi="ITC Avant Garde"/>
          <w:i/>
          <w:lang w:val="es-MX"/>
        </w:rPr>
        <w:t>Dashboard</w:t>
      </w:r>
      <w:proofErr w:type="spellEnd"/>
      <w:r w:rsidRPr="00872052">
        <w:rPr>
          <w:rFonts w:ascii="ITC Avant Garde" w:hAnsi="ITC Avant Garde"/>
          <w:lang w:val="es-MX"/>
        </w:rPr>
        <w:t>, es posible seleccionar el año del modelado y el escenario. Una vez que se ha seleccionado el escenario, el modelo proporciona todos los costos del servicio en la hoja de cálculo de "Resultados".</w:t>
      </w:r>
    </w:p>
    <w:p w:rsidR="005B0846" w:rsidRPr="00872052" w:rsidRDefault="005B0846" w:rsidP="005B0846">
      <w:pPr>
        <w:rPr>
          <w:rFonts w:ascii="ITC Avant Garde" w:hAnsi="ITC Avant Garde"/>
          <w:lang w:val="es-MX"/>
        </w:rPr>
      </w:pPr>
      <w:r w:rsidRPr="00872052">
        <w:rPr>
          <w:rFonts w:ascii="ITC Avant Garde" w:hAnsi="ITC Avant Garde"/>
          <w:lang w:val="es-MX"/>
        </w:rPr>
        <w:t>La parte del archivo de Microsoft Excel del modelo de costo de la red de acceso está compuesta por 12 hojas de cálculo principales:</w:t>
      </w:r>
    </w:p>
    <w:p w:rsidR="005B0846" w:rsidRPr="00872052" w:rsidRDefault="005B0846" w:rsidP="005B0846">
      <w:pPr>
        <w:spacing w:before="0" w:line="240" w:lineRule="auto"/>
        <w:jc w:val="left"/>
        <w:rPr>
          <w:rFonts w:ascii="ITC Avant Garde" w:hAnsi="ITC Avant Garde"/>
          <w:b/>
          <w:color w:val="CC3300"/>
          <w:szCs w:val="20"/>
          <w:lang w:val="es-MX"/>
        </w:rPr>
      </w:pPr>
      <w:r w:rsidRPr="00872052">
        <w:rPr>
          <w:rFonts w:ascii="ITC Avant Garde" w:hAnsi="ITC Avant Garde"/>
          <w:lang w:val="es-MX"/>
        </w:rPr>
        <w:br w:type="page"/>
      </w:r>
    </w:p>
    <w:p w:rsidR="005B0846" w:rsidRPr="00872052" w:rsidRDefault="00CA5B80" w:rsidP="005B0846">
      <w:pPr>
        <w:pStyle w:val="Descripcin"/>
        <w:keepNext/>
        <w:rPr>
          <w:rFonts w:ascii="ITC Avant Garde" w:hAnsi="ITC Avant Garde"/>
          <w:lang w:val="es-MX"/>
        </w:rPr>
      </w:pPr>
      <w:r>
        <w:rPr>
          <w:rFonts w:ascii="ITC Avant Garde" w:hAnsi="ITC Avant Garde"/>
          <w:lang w:val="es-MX"/>
        </w:rPr>
        <w:lastRenderedPageBreak/>
        <w:t>Cuadro 10</w:t>
      </w:r>
      <w:r w:rsidR="005B0846" w:rsidRPr="00872052">
        <w:rPr>
          <w:rFonts w:ascii="ITC Avant Garde" w:hAnsi="ITC Avant Garde"/>
          <w:lang w:val="es-MX"/>
        </w:rPr>
        <w:t xml:space="preserve"> - Descripción de las hojas de cálculo</w:t>
      </w:r>
    </w:p>
    <w:tbl>
      <w:tblPr>
        <w:tblW w:w="5000" w:type="pct"/>
        <w:tblCellMar>
          <w:left w:w="70" w:type="dxa"/>
          <w:right w:w="70" w:type="dxa"/>
        </w:tblCellMar>
        <w:tblLook w:val="04A0" w:firstRow="1" w:lastRow="0" w:firstColumn="1" w:lastColumn="0" w:noHBand="0" w:noVBand="1"/>
      </w:tblPr>
      <w:tblGrid>
        <w:gridCol w:w="2335"/>
        <w:gridCol w:w="6149"/>
      </w:tblGrid>
      <w:tr w:rsidR="005B0846" w:rsidRPr="00100B21" w:rsidTr="005B0846">
        <w:trPr>
          <w:trHeight w:val="564"/>
        </w:trPr>
        <w:tc>
          <w:tcPr>
            <w:tcW w:w="1376" w:type="pct"/>
            <w:tcBorders>
              <w:top w:val="single" w:sz="8" w:space="0" w:color="auto"/>
              <w:left w:val="single" w:sz="8" w:space="0" w:color="auto"/>
              <w:bottom w:val="single" w:sz="8" w:space="0" w:color="auto"/>
              <w:right w:val="single" w:sz="8" w:space="0" w:color="auto"/>
            </w:tcBorders>
            <w:shd w:val="clear" w:color="auto" w:fill="2F5897" w:themeFill="text2"/>
            <w:vAlign w:val="center"/>
            <w:hideMark/>
          </w:tcPr>
          <w:p w:rsidR="005B0846" w:rsidRPr="00872052" w:rsidRDefault="005B0846" w:rsidP="005B0846">
            <w:pPr>
              <w:spacing w:before="0" w:line="240" w:lineRule="auto"/>
              <w:jc w:val="center"/>
              <w:rPr>
                <w:rFonts w:ascii="ITC Avant Garde" w:hAnsi="ITC Avant Garde" w:cs="Arial"/>
                <w:b/>
                <w:color w:val="FFFFFF"/>
                <w:sz w:val="16"/>
                <w:szCs w:val="22"/>
                <w:lang w:val="es-MX"/>
              </w:rPr>
            </w:pPr>
            <w:proofErr w:type="spellStart"/>
            <w:r w:rsidRPr="00872052">
              <w:rPr>
                <w:rFonts w:ascii="ITC Avant Garde" w:hAnsi="ITC Avant Garde" w:cs="Arial"/>
                <w:b/>
                <w:color w:val="FFFFFF"/>
                <w:sz w:val="16"/>
                <w:szCs w:val="22"/>
                <w:lang w:val="es-MX"/>
              </w:rPr>
              <w:t>Name</w:t>
            </w:r>
            <w:proofErr w:type="spellEnd"/>
          </w:p>
        </w:tc>
        <w:tc>
          <w:tcPr>
            <w:tcW w:w="3624" w:type="pct"/>
            <w:tcBorders>
              <w:top w:val="single" w:sz="8" w:space="0" w:color="auto"/>
              <w:left w:val="nil"/>
              <w:bottom w:val="single" w:sz="8" w:space="0" w:color="auto"/>
              <w:right w:val="single" w:sz="8" w:space="0" w:color="auto"/>
            </w:tcBorders>
            <w:shd w:val="clear" w:color="auto" w:fill="2F5897" w:themeFill="text2"/>
            <w:vAlign w:val="center"/>
            <w:hideMark/>
          </w:tcPr>
          <w:p w:rsidR="005B0846" w:rsidRPr="00872052" w:rsidRDefault="005B0846" w:rsidP="005B0846">
            <w:pPr>
              <w:spacing w:before="0" w:line="240" w:lineRule="auto"/>
              <w:jc w:val="center"/>
              <w:rPr>
                <w:rFonts w:ascii="ITC Avant Garde" w:hAnsi="ITC Avant Garde" w:cs="Arial"/>
                <w:b/>
                <w:color w:val="FFFFFF"/>
                <w:sz w:val="16"/>
                <w:szCs w:val="22"/>
                <w:lang w:val="es-MX"/>
              </w:rPr>
            </w:pPr>
            <w:proofErr w:type="spellStart"/>
            <w:r w:rsidRPr="00872052">
              <w:rPr>
                <w:rFonts w:ascii="ITC Avant Garde" w:hAnsi="ITC Avant Garde" w:cs="Arial"/>
                <w:b/>
                <w:color w:val="FFFFFF"/>
                <w:sz w:val="16"/>
                <w:szCs w:val="22"/>
                <w:lang w:val="es-MX"/>
              </w:rPr>
              <w:t>Description</w:t>
            </w:r>
            <w:proofErr w:type="spellEnd"/>
          </w:p>
        </w:tc>
      </w:tr>
      <w:tr w:rsidR="005B0846" w:rsidRPr="00F906F3" w:rsidTr="005B0846">
        <w:trPr>
          <w:trHeight w:val="504"/>
        </w:trPr>
        <w:tc>
          <w:tcPr>
            <w:tcW w:w="1376" w:type="pct"/>
            <w:tcBorders>
              <w:top w:val="nil"/>
              <w:left w:val="single" w:sz="8" w:space="0" w:color="auto"/>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left"/>
              <w:rPr>
                <w:rFonts w:ascii="ITC Avant Garde" w:hAnsi="ITC Avant Garde" w:cs="Arial"/>
                <w:color w:val="000000"/>
                <w:sz w:val="16"/>
                <w:szCs w:val="22"/>
                <w:lang w:val="es-MX"/>
              </w:rPr>
            </w:pPr>
            <w:proofErr w:type="spellStart"/>
            <w:r w:rsidRPr="00872052">
              <w:rPr>
                <w:rFonts w:ascii="ITC Avant Garde" w:hAnsi="ITC Avant Garde" w:cs="Arial"/>
                <w:color w:val="000000"/>
                <w:sz w:val="16"/>
                <w:szCs w:val="22"/>
                <w:lang w:val="es-MX"/>
              </w:rPr>
              <w:t>Welcome</w:t>
            </w:r>
            <w:proofErr w:type="spellEnd"/>
          </w:p>
        </w:tc>
        <w:tc>
          <w:tcPr>
            <w:tcW w:w="3624" w:type="pct"/>
            <w:tcBorders>
              <w:top w:val="nil"/>
              <w:left w:val="nil"/>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left"/>
              <w:rPr>
                <w:rFonts w:ascii="ITC Avant Garde" w:hAnsi="ITC Avant Garde" w:cs="Arial"/>
                <w:color w:val="000000"/>
                <w:sz w:val="16"/>
                <w:szCs w:val="22"/>
                <w:lang w:val="es-MX"/>
              </w:rPr>
            </w:pPr>
            <w:r w:rsidRPr="00872052">
              <w:rPr>
                <w:rFonts w:ascii="ITC Avant Garde" w:hAnsi="ITC Avant Garde"/>
                <w:sz w:val="16"/>
                <w:lang w:val="es-MX"/>
              </w:rPr>
              <w:t>Esta hoja describe el modelo</w:t>
            </w:r>
          </w:p>
        </w:tc>
      </w:tr>
      <w:tr w:rsidR="005B0846" w:rsidRPr="00F906F3" w:rsidTr="005B0846">
        <w:trPr>
          <w:trHeight w:val="504"/>
        </w:trPr>
        <w:tc>
          <w:tcPr>
            <w:tcW w:w="1376" w:type="pct"/>
            <w:tcBorders>
              <w:top w:val="nil"/>
              <w:left w:val="single" w:sz="8" w:space="0" w:color="auto"/>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left"/>
              <w:rPr>
                <w:rFonts w:ascii="ITC Avant Garde" w:hAnsi="ITC Avant Garde" w:cs="Arial"/>
                <w:color w:val="000000"/>
                <w:sz w:val="16"/>
                <w:szCs w:val="22"/>
                <w:lang w:val="es-MX"/>
              </w:rPr>
            </w:pPr>
            <w:proofErr w:type="spellStart"/>
            <w:r w:rsidRPr="00872052">
              <w:rPr>
                <w:rFonts w:ascii="ITC Avant Garde" w:hAnsi="ITC Avant Garde" w:cs="Arial"/>
                <w:color w:val="000000"/>
                <w:sz w:val="16"/>
                <w:szCs w:val="22"/>
                <w:lang w:val="es-MX"/>
              </w:rPr>
              <w:t>Dashboard</w:t>
            </w:r>
            <w:proofErr w:type="spellEnd"/>
          </w:p>
        </w:tc>
        <w:tc>
          <w:tcPr>
            <w:tcW w:w="3624" w:type="pct"/>
            <w:tcBorders>
              <w:top w:val="nil"/>
              <w:left w:val="nil"/>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left"/>
              <w:rPr>
                <w:rFonts w:ascii="ITC Avant Garde" w:hAnsi="ITC Avant Garde" w:cs="Arial"/>
                <w:color w:val="000000"/>
                <w:sz w:val="16"/>
                <w:szCs w:val="22"/>
                <w:lang w:val="es-MX"/>
              </w:rPr>
            </w:pPr>
            <w:r w:rsidRPr="00872052">
              <w:rPr>
                <w:rFonts w:ascii="ITC Avant Garde" w:hAnsi="ITC Avant Garde"/>
                <w:sz w:val="16"/>
                <w:lang w:val="es-MX"/>
              </w:rPr>
              <w:t>Esta hoja contiene los principales parámetros del modelo</w:t>
            </w:r>
          </w:p>
        </w:tc>
      </w:tr>
      <w:tr w:rsidR="005B0846" w:rsidRPr="00F906F3" w:rsidTr="005B0846">
        <w:trPr>
          <w:trHeight w:val="504"/>
        </w:trPr>
        <w:tc>
          <w:tcPr>
            <w:tcW w:w="1376" w:type="pct"/>
            <w:tcBorders>
              <w:top w:val="nil"/>
              <w:left w:val="single" w:sz="8" w:space="0" w:color="auto"/>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left"/>
              <w:rPr>
                <w:rFonts w:ascii="ITC Avant Garde" w:hAnsi="ITC Avant Garde" w:cs="Arial"/>
                <w:color w:val="000000"/>
                <w:sz w:val="16"/>
                <w:szCs w:val="22"/>
                <w:lang w:val="es-MX"/>
              </w:rPr>
            </w:pPr>
            <w:r w:rsidRPr="00872052">
              <w:rPr>
                <w:rFonts w:ascii="ITC Avant Garde" w:hAnsi="ITC Avant Garde" w:cs="Arial"/>
                <w:color w:val="000000"/>
                <w:sz w:val="16"/>
                <w:szCs w:val="22"/>
                <w:lang w:val="es-MX"/>
              </w:rPr>
              <w:t>“Canalizaciones”</w:t>
            </w:r>
          </w:p>
        </w:tc>
        <w:tc>
          <w:tcPr>
            <w:tcW w:w="3624" w:type="pct"/>
            <w:tcBorders>
              <w:top w:val="nil"/>
              <w:left w:val="nil"/>
              <w:bottom w:val="single" w:sz="8" w:space="0" w:color="auto"/>
              <w:right w:val="single" w:sz="8" w:space="0" w:color="auto"/>
            </w:tcBorders>
            <w:shd w:val="clear" w:color="auto" w:fill="auto"/>
            <w:vAlign w:val="center"/>
            <w:hideMark/>
          </w:tcPr>
          <w:p w:rsidR="005B0846" w:rsidRPr="00872052" w:rsidRDefault="005B0846" w:rsidP="005B0846">
            <w:pPr>
              <w:spacing w:before="0"/>
              <w:rPr>
                <w:rFonts w:ascii="ITC Avant Garde" w:hAnsi="ITC Avant Garde"/>
                <w:sz w:val="16"/>
                <w:lang w:val="es-MX"/>
              </w:rPr>
            </w:pPr>
            <w:r w:rsidRPr="00872052">
              <w:rPr>
                <w:rFonts w:ascii="ITC Avant Garde" w:hAnsi="ITC Avant Garde"/>
                <w:sz w:val="16"/>
                <w:lang w:val="es-MX"/>
              </w:rPr>
              <w:t>Esta hoja contiene el cálculo de los OPEX para "canalizaciones"</w:t>
            </w:r>
          </w:p>
          <w:p w:rsidR="005B0846" w:rsidRPr="00872052" w:rsidRDefault="005B0846" w:rsidP="005B0846">
            <w:pPr>
              <w:spacing w:before="0" w:line="240" w:lineRule="auto"/>
              <w:jc w:val="left"/>
              <w:rPr>
                <w:rFonts w:ascii="ITC Avant Garde" w:hAnsi="ITC Avant Garde" w:cs="Arial"/>
                <w:color w:val="000000"/>
                <w:sz w:val="16"/>
                <w:szCs w:val="22"/>
                <w:lang w:val="es-MX"/>
              </w:rPr>
            </w:pPr>
          </w:p>
        </w:tc>
      </w:tr>
      <w:tr w:rsidR="005B0846" w:rsidRPr="00F906F3" w:rsidTr="005B0846">
        <w:trPr>
          <w:trHeight w:val="564"/>
        </w:trPr>
        <w:tc>
          <w:tcPr>
            <w:tcW w:w="1376" w:type="pct"/>
            <w:tcBorders>
              <w:top w:val="nil"/>
              <w:left w:val="single" w:sz="8" w:space="0" w:color="auto"/>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left"/>
              <w:rPr>
                <w:rFonts w:ascii="ITC Avant Garde" w:hAnsi="ITC Avant Garde" w:cs="Arial"/>
                <w:color w:val="000000"/>
                <w:sz w:val="16"/>
                <w:szCs w:val="22"/>
                <w:lang w:val="es-MX"/>
              </w:rPr>
            </w:pPr>
            <w:proofErr w:type="spellStart"/>
            <w:r w:rsidRPr="00872052">
              <w:rPr>
                <w:rFonts w:ascii="ITC Avant Garde" w:hAnsi="ITC Avant Garde" w:cs="Arial"/>
                <w:color w:val="000000"/>
                <w:sz w:val="16"/>
                <w:szCs w:val="22"/>
                <w:lang w:val="es-MX"/>
              </w:rPr>
              <w:t>Import</w:t>
            </w:r>
            <w:proofErr w:type="spellEnd"/>
            <w:r w:rsidRPr="00872052">
              <w:rPr>
                <w:rFonts w:ascii="ITC Avant Garde" w:hAnsi="ITC Avant Garde" w:cs="Arial"/>
                <w:color w:val="000000"/>
                <w:sz w:val="16"/>
                <w:szCs w:val="22"/>
                <w:lang w:val="es-MX"/>
              </w:rPr>
              <w:t xml:space="preserve"> </w:t>
            </w:r>
            <w:proofErr w:type="spellStart"/>
            <w:r w:rsidRPr="00872052">
              <w:rPr>
                <w:rFonts w:ascii="ITC Avant Garde" w:hAnsi="ITC Avant Garde" w:cs="Arial"/>
                <w:color w:val="000000"/>
                <w:sz w:val="16"/>
                <w:szCs w:val="22"/>
                <w:lang w:val="es-MX"/>
              </w:rPr>
              <w:t>from</w:t>
            </w:r>
            <w:proofErr w:type="spellEnd"/>
            <w:r w:rsidRPr="00872052">
              <w:rPr>
                <w:rFonts w:ascii="ITC Avant Garde" w:hAnsi="ITC Avant Garde" w:cs="Arial"/>
                <w:color w:val="000000"/>
                <w:sz w:val="16"/>
                <w:szCs w:val="22"/>
                <w:lang w:val="es-MX"/>
              </w:rPr>
              <w:t xml:space="preserve"> MSSQL</w:t>
            </w:r>
          </w:p>
        </w:tc>
        <w:tc>
          <w:tcPr>
            <w:tcW w:w="3624" w:type="pct"/>
            <w:tcBorders>
              <w:top w:val="nil"/>
              <w:left w:val="nil"/>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left"/>
              <w:rPr>
                <w:rFonts w:ascii="ITC Avant Garde" w:hAnsi="ITC Avant Garde" w:cs="Arial"/>
                <w:color w:val="000000"/>
                <w:sz w:val="16"/>
                <w:szCs w:val="22"/>
                <w:lang w:val="es-MX"/>
              </w:rPr>
            </w:pPr>
            <w:r w:rsidRPr="00872052">
              <w:rPr>
                <w:rFonts w:ascii="ITC Avant Garde" w:hAnsi="ITC Avant Garde"/>
                <w:sz w:val="16"/>
                <w:lang w:val="es-MX"/>
              </w:rPr>
              <w:t>Esta hoja contiene inventarios y métricas importadas del modelo SQL</w:t>
            </w:r>
          </w:p>
        </w:tc>
      </w:tr>
      <w:tr w:rsidR="005B0846" w:rsidRPr="00F906F3" w:rsidTr="005B0846">
        <w:trPr>
          <w:trHeight w:val="504"/>
        </w:trPr>
        <w:tc>
          <w:tcPr>
            <w:tcW w:w="1376" w:type="pct"/>
            <w:tcBorders>
              <w:top w:val="nil"/>
              <w:left w:val="single" w:sz="8" w:space="0" w:color="auto"/>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left"/>
              <w:rPr>
                <w:rFonts w:ascii="ITC Avant Garde" w:hAnsi="ITC Avant Garde" w:cs="Arial"/>
                <w:color w:val="000000"/>
                <w:sz w:val="16"/>
                <w:szCs w:val="22"/>
                <w:lang w:val="es-MX"/>
              </w:rPr>
            </w:pPr>
            <w:proofErr w:type="spellStart"/>
            <w:r w:rsidRPr="00872052">
              <w:rPr>
                <w:rFonts w:ascii="ITC Avant Garde" w:hAnsi="ITC Avant Garde" w:cs="Arial"/>
                <w:color w:val="000000"/>
                <w:sz w:val="16"/>
                <w:szCs w:val="22"/>
                <w:lang w:val="es-MX"/>
              </w:rPr>
              <w:t>Demand</w:t>
            </w:r>
            <w:proofErr w:type="spellEnd"/>
          </w:p>
        </w:tc>
        <w:tc>
          <w:tcPr>
            <w:tcW w:w="3624" w:type="pct"/>
            <w:tcBorders>
              <w:top w:val="nil"/>
              <w:left w:val="nil"/>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left"/>
              <w:rPr>
                <w:rFonts w:ascii="ITC Avant Garde" w:hAnsi="ITC Avant Garde" w:cs="Arial"/>
                <w:color w:val="000000"/>
                <w:sz w:val="16"/>
                <w:szCs w:val="22"/>
                <w:lang w:val="es-MX"/>
              </w:rPr>
            </w:pPr>
            <w:r w:rsidRPr="00872052">
              <w:rPr>
                <w:rFonts w:ascii="ITC Avant Garde" w:hAnsi="ITC Avant Garde"/>
                <w:sz w:val="16"/>
                <w:lang w:val="es-MX"/>
              </w:rPr>
              <w:t>Esta hoja contiene cálculos de demanda</w:t>
            </w:r>
          </w:p>
        </w:tc>
      </w:tr>
      <w:tr w:rsidR="005B0846" w:rsidRPr="00F906F3" w:rsidTr="005B0846">
        <w:trPr>
          <w:trHeight w:val="504"/>
        </w:trPr>
        <w:tc>
          <w:tcPr>
            <w:tcW w:w="1376" w:type="pct"/>
            <w:tcBorders>
              <w:top w:val="nil"/>
              <w:left w:val="single" w:sz="8" w:space="0" w:color="auto"/>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left"/>
              <w:rPr>
                <w:rFonts w:ascii="ITC Avant Garde" w:hAnsi="ITC Avant Garde" w:cs="Arial"/>
                <w:color w:val="000000"/>
                <w:sz w:val="16"/>
                <w:szCs w:val="22"/>
                <w:lang w:val="es-MX"/>
              </w:rPr>
            </w:pPr>
            <w:proofErr w:type="spellStart"/>
            <w:r w:rsidRPr="00872052">
              <w:rPr>
                <w:rFonts w:ascii="ITC Avant Garde" w:hAnsi="ITC Avant Garde" w:cs="Arial"/>
                <w:color w:val="000000"/>
                <w:sz w:val="16"/>
                <w:szCs w:val="22"/>
                <w:lang w:val="es-MX"/>
              </w:rPr>
              <w:t>Unit</w:t>
            </w:r>
            <w:proofErr w:type="spellEnd"/>
            <w:r w:rsidRPr="00872052">
              <w:rPr>
                <w:rFonts w:ascii="ITC Avant Garde" w:hAnsi="ITC Avant Garde" w:cs="Arial"/>
                <w:color w:val="000000"/>
                <w:sz w:val="16"/>
                <w:szCs w:val="22"/>
                <w:lang w:val="es-MX"/>
              </w:rPr>
              <w:t xml:space="preserve"> </w:t>
            </w:r>
            <w:proofErr w:type="spellStart"/>
            <w:r w:rsidRPr="00872052">
              <w:rPr>
                <w:rFonts w:ascii="ITC Avant Garde" w:hAnsi="ITC Avant Garde" w:cs="Arial"/>
                <w:color w:val="000000"/>
                <w:sz w:val="16"/>
                <w:szCs w:val="22"/>
                <w:lang w:val="es-MX"/>
              </w:rPr>
              <w:t>costs</w:t>
            </w:r>
            <w:proofErr w:type="spellEnd"/>
            <w:r w:rsidRPr="00872052">
              <w:rPr>
                <w:rFonts w:ascii="ITC Avant Garde" w:hAnsi="ITC Avant Garde" w:cs="Arial"/>
                <w:color w:val="000000"/>
                <w:sz w:val="16"/>
                <w:szCs w:val="22"/>
                <w:lang w:val="es-MX"/>
              </w:rPr>
              <w:t xml:space="preserve"> of </w:t>
            </w:r>
            <w:proofErr w:type="spellStart"/>
            <w:r w:rsidRPr="00872052">
              <w:rPr>
                <w:rFonts w:ascii="ITC Avant Garde" w:hAnsi="ITC Avant Garde" w:cs="Arial"/>
                <w:color w:val="000000"/>
                <w:sz w:val="16"/>
                <w:szCs w:val="22"/>
                <w:lang w:val="es-MX"/>
              </w:rPr>
              <w:t>assets</w:t>
            </w:r>
            <w:proofErr w:type="spellEnd"/>
          </w:p>
        </w:tc>
        <w:tc>
          <w:tcPr>
            <w:tcW w:w="3624" w:type="pct"/>
            <w:tcBorders>
              <w:top w:val="nil"/>
              <w:left w:val="nil"/>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left"/>
              <w:rPr>
                <w:rFonts w:ascii="ITC Avant Garde" w:hAnsi="ITC Avant Garde" w:cs="Arial"/>
                <w:color w:val="000000"/>
                <w:sz w:val="16"/>
                <w:szCs w:val="22"/>
                <w:lang w:val="es-MX"/>
              </w:rPr>
            </w:pPr>
            <w:r w:rsidRPr="00872052">
              <w:rPr>
                <w:rFonts w:ascii="ITC Avant Garde" w:hAnsi="ITC Avant Garde"/>
                <w:sz w:val="16"/>
                <w:lang w:val="es-MX"/>
              </w:rPr>
              <w:t>Esta hoja contiene la lista de activos de la red de acceso</w:t>
            </w:r>
          </w:p>
        </w:tc>
      </w:tr>
      <w:tr w:rsidR="005B0846" w:rsidRPr="00F906F3" w:rsidTr="005B0846">
        <w:trPr>
          <w:trHeight w:val="504"/>
        </w:trPr>
        <w:tc>
          <w:tcPr>
            <w:tcW w:w="1376" w:type="pct"/>
            <w:vMerge w:val="restart"/>
            <w:tcBorders>
              <w:top w:val="nil"/>
              <w:left w:val="single" w:sz="8" w:space="0" w:color="auto"/>
              <w:bottom w:val="single" w:sz="8" w:space="0" w:color="000000"/>
              <w:right w:val="single" w:sz="8" w:space="0" w:color="auto"/>
            </w:tcBorders>
            <w:shd w:val="clear" w:color="auto" w:fill="auto"/>
            <w:vAlign w:val="center"/>
            <w:hideMark/>
          </w:tcPr>
          <w:p w:rsidR="005B0846" w:rsidRPr="00872052" w:rsidRDefault="005B0846" w:rsidP="005B0846">
            <w:pPr>
              <w:spacing w:before="0" w:line="240" w:lineRule="auto"/>
              <w:jc w:val="left"/>
              <w:rPr>
                <w:rFonts w:ascii="ITC Avant Garde" w:hAnsi="ITC Avant Garde" w:cs="Arial"/>
                <w:color w:val="000000"/>
                <w:sz w:val="16"/>
                <w:szCs w:val="22"/>
                <w:lang w:val="es-MX"/>
              </w:rPr>
            </w:pPr>
            <w:proofErr w:type="spellStart"/>
            <w:r w:rsidRPr="00872052">
              <w:rPr>
                <w:rFonts w:ascii="ITC Avant Garde" w:hAnsi="ITC Avant Garde" w:cs="Arial"/>
                <w:color w:val="000000"/>
                <w:sz w:val="16"/>
                <w:szCs w:val="22"/>
                <w:lang w:val="es-MX"/>
              </w:rPr>
              <w:t>Routing</w:t>
            </w:r>
            <w:proofErr w:type="spellEnd"/>
            <w:r w:rsidRPr="00872052">
              <w:rPr>
                <w:rFonts w:ascii="ITC Avant Garde" w:hAnsi="ITC Avant Garde" w:cs="Arial"/>
                <w:color w:val="000000"/>
                <w:sz w:val="16"/>
                <w:szCs w:val="22"/>
                <w:lang w:val="es-MX"/>
              </w:rPr>
              <w:t xml:space="preserve"> </w:t>
            </w:r>
            <w:proofErr w:type="spellStart"/>
            <w:r w:rsidRPr="00872052">
              <w:rPr>
                <w:rFonts w:ascii="ITC Avant Garde" w:hAnsi="ITC Avant Garde" w:cs="Arial"/>
                <w:color w:val="000000"/>
                <w:sz w:val="16"/>
                <w:szCs w:val="22"/>
                <w:lang w:val="es-MX"/>
              </w:rPr>
              <w:t>Matrix</w:t>
            </w:r>
            <w:proofErr w:type="spellEnd"/>
            <w:r w:rsidRPr="00872052">
              <w:rPr>
                <w:rFonts w:ascii="ITC Avant Garde" w:hAnsi="ITC Avant Garde" w:cs="Arial"/>
                <w:color w:val="000000"/>
                <w:sz w:val="16"/>
                <w:szCs w:val="22"/>
                <w:lang w:val="es-MX"/>
              </w:rPr>
              <w:t xml:space="preserve"> per </w:t>
            </w:r>
            <w:proofErr w:type="spellStart"/>
            <w:r w:rsidRPr="00872052">
              <w:rPr>
                <w:rFonts w:ascii="ITC Avant Garde" w:hAnsi="ITC Avant Garde" w:cs="Arial"/>
                <w:color w:val="000000"/>
                <w:sz w:val="16"/>
                <w:szCs w:val="22"/>
                <w:lang w:val="es-MX"/>
              </w:rPr>
              <w:t>services</w:t>
            </w:r>
            <w:proofErr w:type="spellEnd"/>
          </w:p>
        </w:tc>
        <w:tc>
          <w:tcPr>
            <w:tcW w:w="3624" w:type="pct"/>
            <w:vMerge w:val="restart"/>
            <w:tcBorders>
              <w:top w:val="nil"/>
              <w:left w:val="single" w:sz="8" w:space="0" w:color="auto"/>
              <w:bottom w:val="single" w:sz="8" w:space="0" w:color="000000"/>
              <w:right w:val="single" w:sz="8" w:space="0" w:color="auto"/>
            </w:tcBorders>
            <w:shd w:val="clear" w:color="auto" w:fill="auto"/>
            <w:vAlign w:val="center"/>
            <w:hideMark/>
          </w:tcPr>
          <w:p w:rsidR="005B0846" w:rsidRPr="00872052" w:rsidRDefault="005B0846" w:rsidP="005B0846">
            <w:pPr>
              <w:spacing w:before="0" w:line="240" w:lineRule="auto"/>
              <w:jc w:val="left"/>
              <w:rPr>
                <w:rFonts w:ascii="ITC Avant Garde" w:hAnsi="ITC Avant Garde" w:cs="Arial"/>
                <w:color w:val="000000"/>
                <w:sz w:val="16"/>
                <w:szCs w:val="22"/>
                <w:lang w:val="es-MX"/>
              </w:rPr>
            </w:pPr>
            <w:r w:rsidRPr="00872052">
              <w:rPr>
                <w:rFonts w:ascii="ITC Avant Garde" w:hAnsi="ITC Avant Garde"/>
                <w:sz w:val="16"/>
                <w:lang w:val="es-MX"/>
              </w:rPr>
              <w:t>Esta hoja contiene la matriz de enrutamiento para servicios</w:t>
            </w:r>
          </w:p>
        </w:tc>
      </w:tr>
      <w:tr w:rsidR="005B0846" w:rsidRPr="00F906F3" w:rsidTr="005B0846">
        <w:trPr>
          <w:trHeight w:val="247"/>
        </w:trPr>
        <w:tc>
          <w:tcPr>
            <w:tcW w:w="1376" w:type="pct"/>
            <w:vMerge/>
            <w:tcBorders>
              <w:top w:val="nil"/>
              <w:left w:val="single" w:sz="8" w:space="0" w:color="auto"/>
              <w:bottom w:val="single" w:sz="8" w:space="0" w:color="000000"/>
              <w:right w:val="single" w:sz="8" w:space="0" w:color="auto"/>
            </w:tcBorders>
            <w:vAlign w:val="center"/>
            <w:hideMark/>
          </w:tcPr>
          <w:p w:rsidR="005B0846" w:rsidRPr="00872052" w:rsidRDefault="005B0846" w:rsidP="005B0846">
            <w:pPr>
              <w:spacing w:before="0" w:line="240" w:lineRule="auto"/>
              <w:jc w:val="left"/>
              <w:rPr>
                <w:rFonts w:ascii="ITC Avant Garde" w:hAnsi="ITC Avant Garde" w:cs="Arial"/>
                <w:color w:val="000000"/>
                <w:sz w:val="16"/>
                <w:szCs w:val="22"/>
                <w:lang w:val="es-MX"/>
              </w:rPr>
            </w:pPr>
          </w:p>
        </w:tc>
        <w:tc>
          <w:tcPr>
            <w:tcW w:w="3624" w:type="pct"/>
            <w:vMerge/>
            <w:tcBorders>
              <w:top w:val="nil"/>
              <w:left w:val="single" w:sz="8" w:space="0" w:color="auto"/>
              <w:bottom w:val="single" w:sz="8" w:space="0" w:color="000000"/>
              <w:right w:val="single" w:sz="8" w:space="0" w:color="auto"/>
            </w:tcBorders>
            <w:vAlign w:val="center"/>
            <w:hideMark/>
          </w:tcPr>
          <w:p w:rsidR="005B0846" w:rsidRPr="00872052" w:rsidRDefault="005B0846" w:rsidP="005B0846">
            <w:pPr>
              <w:spacing w:before="0" w:line="240" w:lineRule="auto"/>
              <w:jc w:val="left"/>
              <w:rPr>
                <w:rFonts w:ascii="ITC Avant Garde" w:hAnsi="ITC Avant Garde" w:cs="Arial"/>
                <w:color w:val="000000"/>
                <w:sz w:val="16"/>
                <w:szCs w:val="22"/>
                <w:lang w:val="es-MX"/>
              </w:rPr>
            </w:pPr>
          </w:p>
        </w:tc>
      </w:tr>
      <w:tr w:rsidR="005B0846" w:rsidRPr="00F906F3" w:rsidTr="005B0846">
        <w:trPr>
          <w:trHeight w:val="504"/>
        </w:trPr>
        <w:tc>
          <w:tcPr>
            <w:tcW w:w="1376" w:type="pct"/>
            <w:tcBorders>
              <w:top w:val="nil"/>
              <w:left w:val="single" w:sz="8" w:space="0" w:color="auto"/>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left"/>
              <w:rPr>
                <w:rFonts w:ascii="ITC Avant Garde" w:hAnsi="ITC Avant Garde" w:cs="Arial"/>
                <w:color w:val="000000"/>
                <w:sz w:val="16"/>
                <w:szCs w:val="22"/>
                <w:lang w:val="es-MX"/>
              </w:rPr>
            </w:pPr>
            <w:proofErr w:type="spellStart"/>
            <w:r w:rsidRPr="00872052">
              <w:rPr>
                <w:rFonts w:ascii="ITC Avant Garde" w:hAnsi="ITC Avant Garde" w:cs="Arial"/>
                <w:color w:val="000000"/>
                <w:sz w:val="16"/>
                <w:szCs w:val="22"/>
                <w:lang w:val="es-MX"/>
              </w:rPr>
              <w:t>Inventory</w:t>
            </w:r>
            <w:proofErr w:type="spellEnd"/>
          </w:p>
        </w:tc>
        <w:tc>
          <w:tcPr>
            <w:tcW w:w="3624" w:type="pct"/>
            <w:tcBorders>
              <w:top w:val="nil"/>
              <w:left w:val="nil"/>
              <w:bottom w:val="single" w:sz="8" w:space="0" w:color="auto"/>
              <w:right w:val="single" w:sz="8" w:space="0" w:color="auto"/>
            </w:tcBorders>
            <w:shd w:val="clear" w:color="auto" w:fill="auto"/>
            <w:vAlign w:val="center"/>
            <w:hideMark/>
          </w:tcPr>
          <w:p w:rsidR="005B0846" w:rsidRPr="00872052" w:rsidRDefault="005B0846" w:rsidP="005B0846">
            <w:pPr>
              <w:spacing w:before="0"/>
              <w:rPr>
                <w:rFonts w:ascii="ITC Avant Garde" w:hAnsi="ITC Avant Garde"/>
                <w:sz w:val="16"/>
                <w:lang w:val="es-MX"/>
              </w:rPr>
            </w:pPr>
            <w:r w:rsidRPr="00872052">
              <w:rPr>
                <w:rFonts w:ascii="ITC Avant Garde" w:hAnsi="ITC Avant Garde"/>
                <w:sz w:val="16"/>
                <w:lang w:val="es-MX"/>
              </w:rPr>
              <w:t>Esta hoja contiene el inventario de la red</w:t>
            </w:r>
          </w:p>
          <w:p w:rsidR="005B0846" w:rsidRPr="00872052" w:rsidRDefault="005B0846" w:rsidP="005B0846">
            <w:pPr>
              <w:spacing w:before="0" w:line="240" w:lineRule="auto"/>
              <w:jc w:val="left"/>
              <w:rPr>
                <w:rFonts w:ascii="ITC Avant Garde" w:hAnsi="ITC Avant Garde" w:cs="Arial"/>
                <w:color w:val="000000"/>
                <w:sz w:val="16"/>
                <w:szCs w:val="22"/>
                <w:lang w:val="es-MX"/>
              </w:rPr>
            </w:pPr>
          </w:p>
        </w:tc>
      </w:tr>
      <w:tr w:rsidR="005B0846" w:rsidRPr="00F906F3" w:rsidTr="005B0846">
        <w:trPr>
          <w:trHeight w:val="504"/>
        </w:trPr>
        <w:tc>
          <w:tcPr>
            <w:tcW w:w="1376" w:type="pct"/>
            <w:tcBorders>
              <w:top w:val="nil"/>
              <w:left w:val="single" w:sz="8" w:space="0" w:color="auto"/>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left"/>
              <w:rPr>
                <w:rFonts w:ascii="ITC Avant Garde" w:hAnsi="ITC Avant Garde" w:cs="Arial"/>
                <w:color w:val="000000"/>
                <w:sz w:val="16"/>
                <w:szCs w:val="22"/>
                <w:lang w:val="es-MX"/>
              </w:rPr>
            </w:pPr>
            <w:proofErr w:type="spellStart"/>
            <w:r w:rsidRPr="00872052">
              <w:rPr>
                <w:rFonts w:ascii="ITC Avant Garde" w:hAnsi="ITC Avant Garde" w:cs="Arial"/>
                <w:color w:val="000000"/>
                <w:sz w:val="16"/>
                <w:szCs w:val="22"/>
                <w:lang w:val="es-MX"/>
              </w:rPr>
              <w:t>Investment</w:t>
            </w:r>
            <w:proofErr w:type="spellEnd"/>
          </w:p>
        </w:tc>
        <w:tc>
          <w:tcPr>
            <w:tcW w:w="3624" w:type="pct"/>
            <w:tcBorders>
              <w:top w:val="nil"/>
              <w:left w:val="nil"/>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left"/>
              <w:rPr>
                <w:rFonts w:ascii="ITC Avant Garde" w:hAnsi="ITC Avant Garde" w:cs="Arial"/>
                <w:color w:val="000000"/>
                <w:sz w:val="16"/>
                <w:szCs w:val="22"/>
                <w:lang w:val="es-MX"/>
              </w:rPr>
            </w:pPr>
            <w:r w:rsidRPr="00872052">
              <w:rPr>
                <w:rFonts w:ascii="ITC Avant Garde" w:hAnsi="ITC Avant Garde"/>
                <w:sz w:val="16"/>
                <w:lang w:val="es-MX"/>
              </w:rPr>
              <w:t>Esta hoja contiene la inversión de la red</w:t>
            </w:r>
          </w:p>
        </w:tc>
      </w:tr>
      <w:tr w:rsidR="005B0846" w:rsidRPr="00F906F3" w:rsidTr="005B0846">
        <w:trPr>
          <w:trHeight w:val="504"/>
        </w:trPr>
        <w:tc>
          <w:tcPr>
            <w:tcW w:w="1376" w:type="pct"/>
            <w:tcBorders>
              <w:top w:val="nil"/>
              <w:left w:val="single" w:sz="8" w:space="0" w:color="auto"/>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left"/>
              <w:rPr>
                <w:rFonts w:ascii="ITC Avant Garde" w:hAnsi="ITC Avant Garde" w:cs="Arial"/>
                <w:color w:val="000000"/>
                <w:sz w:val="16"/>
                <w:szCs w:val="22"/>
                <w:lang w:val="es-MX"/>
              </w:rPr>
            </w:pPr>
            <w:proofErr w:type="spellStart"/>
            <w:r w:rsidRPr="00872052">
              <w:rPr>
                <w:rFonts w:ascii="ITC Avant Garde" w:hAnsi="ITC Avant Garde" w:cs="Arial"/>
                <w:color w:val="000000"/>
                <w:sz w:val="16"/>
                <w:szCs w:val="22"/>
                <w:lang w:val="es-MX"/>
              </w:rPr>
              <w:t>Annual</w:t>
            </w:r>
            <w:proofErr w:type="spellEnd"/>
            <w:r w:rsidRPr="00872052">
              <w:rPr>
                <w:rFonts w:ascii="ITC Avant Garde" w:hAnsi="ITC Avant Garde" w:cs="Arial"/>
                <w:color w:val="000000"/>
                <w:sz w:val="16"/>
                <w:szCs w:val="22"/>
                <w:lang w:val="es-MX"/>
              </w:rPr>
              <w:t xml:space="preserve"> </w:t>
            </w:r>
            <w:proofErr w:type="spellStart"/>
            <w:r w:rsidRPr="00872052">
              <w:rPr>
                <w:rFonts w:ascii="ITC Avant Garde" w:hAnsi="ITC Avant Garde" w:cs="Arial"/>
                <w:color w:val="000000"/>
                <w:sz w:val="16"/>
                <w:szCs w:val="22"/>
                <w:lang w:val="es-MX"/>
              </w:rPr>
              <w:t>Capex</w:t>
            </w:r>
            <w:proofErr w:type="spellEnd"/>
          </w:p>
        </w:tc>
        <w:tc>
          <w:tcPr>
            <w:tcW w:w="3624" w:type="pct"/>
            <w:tcBorders>
              <w:top w:val="nil"/>
              <w:left w:val="nil"/>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left"/>
              <w:rPr>
                <w:rFonts w:ascii="ITC Avant Garde" w:hAnsi="ITC Avant Garde" w:cs="Arial"/>
                <w:color w:val="000000"/>
                <w:sz w:val="16"/>
                <w:szCs w:val="22"/>
                <w:lang w:val="es-MX"/>
              </w:rPr>
            </w:pPr>
            <w:r w:rsidRPr="00872052">
              <w:rPr>
                <w:rFonts w:ascii="ITC Avant Garde" w:hAnsi="ITC Avant Garde"/>
                <w:sz w:val="16"/>
                <w:lang w:val="es-MX"/>
              </w:rPr>
              <w:t>Esta hoja contiene el costo anual de la red</w:t>
            </w:r>
          </w:p>
        </w:tc>
      </w:tr>
      <w:tr w:rsidR="005B0846" w:rsidRPr="00F906F3" w:rsidTr="005B0846">
        <w:trPr>
          <w:trHeight w:val="504"/>
        </w:trPr>
        <w:tc>
          <w:tcPr>
            <w:tcW w:w="1376" w:type="pct"/>
            <w:tcBorders>
              <w:top w:val="nil"/>
              <w:left w:val="single" w:sz="8" w:space="0" w:color="auto"/>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left"/>
              <w:rPr>
                <w:rFonts w:ascii="ITC Avant Garde" w:hAnsi="ITC Avant Garde" w:cs="Arial"/>
                <w:color w:val="000000"/>
                <w:sz w:val="16"/>
                <w:szCs w:val="22"/>
                <w:lang w:val="es-MX"/>
              </w:rPr>
            </w:pPr>
            <w:r w:rsidRPr="00872052">
              <w:rPr>
                <w:rFonts w:ascii="ITC Avant Garde" w:hAnsi="ITC Avant Garde" w:cs="Arial"/>
                <w:color w:val="000000"/>
                <w:sz w:val="16"/>
                <w:szCs w:val="22"/>
                <w:lang w:val="es-MX"/>
              </w:rPr>
              <w:t xml:space="preserve">OPEX </w:t>
            </w:r>
            <w:proofErr w:type="spellStart"/>
            <w:r w:rsidRPr="00872052">
              <w:rPr>
                <w:rFonts w:ascii="ITC Avant Garde" w:hAnsi="ITC Avant Garde" w:cs="Arial"/>
                <w:color w:val="000000"/>
                <w:sz w:val="16"/>
                <w:szCs w:val="22"/>
                <w:lang w:val="es-MX"/>
              </w:rPr>
              <w:t>Calculation</w:t>
            </w:r>
            <w:proofErr w:type="spellEnd"/>
          </w:p>
        </w:tc>
        <w:tc>
          <w:tcPr>
            <w:tcW w:w="3624" w:type="pct"/>
            <w:tcBorders>
              <w:top w:val="nil"/>
              <w:left w:val="nil"/>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left"/>
              <w:rPr>
                <w:rFonts w:ascii="ITC Avant Garde" w:hAnsi="ITC Avant Garde" w:cs="Arial"/>
                <w:color w:val="000000"/>
                <w:sz w:val="16"/>
                <w:szCs w:val="22"/>
                <w:lang w:val="es-MX"/>
              </w:rPr>
            </w:pPr>
            <w:r w:rsidRPr="00872052">
              <w:rPr>
                <w:rFonts w:ascii="ITC Avant Garde" w:hAnsi="ITC Avant Garde"/>
                <w:sz w:val="16"/>
                <w:lang w:val="es-MX"/>
              </w:rPr>
              <w:t>Esta hoja contiene el cálculo OPEX</w:t>
            </w:r>
          </w:p>
        </w:tc>
      </w:tr>
      <w:tr w:rsidR="005B0846" w:rsidRPr="00F906F3" w:rsidTr="005B0846">
        <w:trPr>
          <w:trHeight w:val="588"/>
        </w:trPr>
        <w:tc>
          <w:tcPr>
            <w:tcW w:w="1376" w:type="pct"/>
            <w:tcBorders>
              <w:top w:val="nil"/>
              <w:left w:val="single" w:sz="8" w:space="0" w:color="auto"/>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left"/>
              <w:rPr>
                <w:rFonts w:ascii="ITC Avant Garde" w:hAnsi="ITC Avant Garde" w:cs="Arial"/>
                <w:color w:val="000000"/>
                <w:sz w:val="16"/>
                <w:szCs w:val="22"/>
                <w:lang w:val="es-MX"/>
              </w:rPr>
            </w:pPr>
            <w:proofErr w:type="spellStart"/>
            <w:r w:rsidRPr="00872052">
              <w:rPr>
                <w:rFonts w:ascii="ITC Avant Garde" w:hAnsi="ITC Avant Garde" w:cs="Arial"/>
                <w:color w:val="000000"/>
                <w:sz w:val="16"/>
                <w:szCs w:val="22"/>
                <w:lang w:val="es-MX"/>
              </w:rPr>
              <w:t>Services</w:t>
            </w:r>
            <w:proofErr w:type="spellEnd"/>
          </w:p>
        </w:tc>
        <w:tc>
          <w:tcPr>
            <w:tcW w:w="3624" w:type="pct"/>
            <w:tcBorders>
              <w:top w:val="nil"/>
              <w:left w:val="nil"/>
              <w:bottom w:val="single" w:sz="8" w:space="0" w:color="auto"/>
              <w:right w:val="single" w:sz="8" w:space="0" w:color="auto"/>
            </w:tcBorders>
            <w:shd w:val="clear" w:color="auto" w:fill="auto"/>
            <w:vAlign w:val="center"/>
            <w:hideMark/>
          </w:tcPr>
          <w:p w:rsidR="005B0846" w:rsidRPr="00872052" w:rsidRDefault="005B0846" w:rsidP="005B0846">
            <w:pPr>
              <w:spacing w:before="0"/>
              <w:rPr>
                <w:rFonts w:ascii="ITC Avant Garde" w:hAnsi="ITC Avant Garde"/>
                <w:sz w:val="16"/>
                <w:lang w:val="es-MX"/>
              </w:rPr>
            </w:pPr>
            <w:r w:rsidRPr="00872052">
              <w:rPr>
                <w:rFonts w:ascii="ITC Avant Garde" w:hAnsi="ITC Avant Garde"/>
                <w:sz w:val="16"/>
                <w:lang w:val="es-MX"/>
              </w:rPr>
              <w:t>Esta hoja resume los costos anuales totales por tipo de activos y costos unitarios por servicio</w:t>
            </w:r>
          </w:p>
        </w:tc>
      </w:tr>
    </w:tbl>
    <w:p w:rsidR="005B0846" w:rsidRPr="00872052" w:rsidRDefault="005B0846" w:rsidP="005B0846">
      <w:pPr>
        <w:rPr>
          <w:rFonts w:ascii="ITC Avant Garde" w:hAnsi="ITC Avant Garde"/>
          <w:lang w:val="es-MX"/>
        </w:rPr>
      </w:pPr>
    </w:p>
    <w:p w:rsidR="005B0846" w:rsidRPr="00872052" w:rsidRDefault="005B0846" w:rsidP="005B0846">
      <w:pPr>
        <w:rPr>
          <w:rFonts w:ascii="ITC Avant Garde" w:hAnsi="ITC Avant Garde"/>
          <w:lang w:val="es-MX"/>
        </w:rPr>
      </w:pPr>
      <w:r w:rsidRPr="00872052">
        <w:rPr>
          <w:rFonts w:ascii="ITC Avant Garde" w:hAnsi="ITC Avant Garde"/>
          <w:lang w:val="es-MX"/>
        </w:rPr>
        <w:t>Para facilitar la revisión del modelo, los siguientes colores se utilizan para marcar los diferentes pasos del modelado.</w:t>
      </w:r>
    </w:p>
    <w:p w:rsidR="005B0846" w:rsidRPr="00872052" w:rsidRDefault="00CA5B80" w:rsidP="005B0846">
      <w:pPr>
        <w:pStyle w:val="Descripcin"/>
        <w:rPr>
          <w:rFonts w:ascii="ITC Avant Garde" w:hAnsi="ITC Avant Garde"/>
          <w:lang w:val="es-MX"/>
        </w:rPr>
      </w:pPr>
      <w:proofErr w:type="spellStart"/>
      <w:r>
        <w:rPr>
          <w:rFonts w:ascii="ITC Avant Garde" w:hAnsi="ITC Avant Garde"/>
        </w:rPr>
        <w:t>Cuadro</w:t>
      </w:r>
      <w:proofErr w:type="spellEnd"/>
      <w:r>
        <w:rPr>
          <w:rFonts w:ascii="ITC Avant Garde" w:hAnsi="ITC Avant Garde"/>
        </w:rPr>
        <w:t xml:space="preserve"> 11</w:t>
      </w:r>
      <w:r w:rsidR="005B0846" w:rsidRPr="00872052">
        <w:rPr>
          <w:rFonts w:ascii="ITC Avant Garde" w:hAnsi="ITC Avant Garde"/>
        </w:rPr>
        <w:t xml:space="preserve"> - </w:t>
      </w:r>
      <w:proofErr w:type="spellStart"/>
      <w:r w:rsidR="005B0846" w:rsidRPr="00872052">
        <w:rPr>
          <w:rFonts w:ascii="ITC Avant Garde" w:hAnsi="ITC Avant Garde"/>
        </w:rPr>
        <w:t>C</w:t>
      </w:r>
      <w:r w:rsidR="004F5AFE">
        <w:rPr>
          <w:rFonts w:ascii="ITC Avant Garde" w:hAnsi="ITC Avant Garde"/>
        </w:rPr>
        <w:t>ó</w:t>
      </w:r>
      <w:r w:rsidR="005B0846" w:rsidRPr="00872052">
        <w:rPr>
          <w:rFonts w:ascii="ITC Avant Garde" w:hAnsi="ITC Avant Garde"/>
        </w:rPr>
        <w:t>digo</w:t>
      </w:r>
      <w:proofErr w:type="spellEnd"/>
      <w:r w:rsidR="005B0846" w:rsidRPr="00872052">
        <w:rPr>
          <w:rFonts w:ascii="ITC Avant Garde" w:hAnsi="ITC Avant Garde"/>
        </w:rPr>
        <w:t xml:space="preserve"> de </w:t>
      </w:r>
      <w:proofErr w:type="spellStart"/>
      <w:r w:rsidR="005B0846" w:rsidRPr="00872052">
        <w:rPr>
          <w:rFonts w:ascii="ITC Avant Garde" w:hAnsi="ITC Avant Garde"/>
        </w:rPr>
        <w:t>color</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6"/>
        <w:gridCol w:w="4248"/>
      </w:tblGrid>
      <w:tr w:rsidR="005B0846" w:rsidRPr="00874668" w:rsidTr="005B0846">
        <w:trPr>
          <w:jc w:val="center"/>
        </w:trPr>
        <w:tc>
          <w:tcPr>
            <w:tcW w:w="4246" w:type="dxa"/>
            <w:shd w:val="clear" w:color="auto" w:fill="2F5897" w:themeFill="text2"/>
          </w:tcPr>
          <w:p w:rsidR="005B0846" w:rsidRPr="00872052" w:rsidRDefault="005B0846" w:rsidP="005B0846">
            <w:pPr>
              <w:keepNext/>
              <w:jc w:val="center"/>
              <w:rPr>
                <w:rFonts w:ascii="ITC Avant Garde" w:hAnsi="ITC Avant Garde"/>
                <w:b/>
                <w:color w:val="FFFFFF"/>
                <w:sz w:val="16"/>
                <w:szCs w:val="16"/>
                <w:lang w:val="es-MX"/>
              </w:rPr>
            </w:pPr>
            <w:r w:rsidRPr="00872052">
              <w:rPr>
                <w:rFonts w:ascii="ITC Avant Garde" w:hAnsi="ITC Avant Garde"/>
                <w:b/>
                <w:color w:val="FFFFFF"/>
                <w:sz w:val="16"/>
                <w:szCs w:val="16"/>
                <w:lang w:val="es-MX"/>
              </w:rPr>
              <w:t>Color</w:t>
            </w:r>
          </w:p>
        </w:tc>
        <w:tc>
          <w:tcPr>
            <w:tcW w:w="4247" w:type="dxa"/>
            <w:shd w:val="clear" w:color="auto" w:fill="2F5897" w:themeFill="text2"/>
          </w:tcPr>
          <w:p w:rsidR="005B0846" w:rsidRPr="00872052" w:rsidRDefault="005B0846" w:rsidP="005B0846">
            <w:pPr>
              <w:keepNext/>
              <w:jc w:val="center"/>
              <w:rPr>
                <w:rFonts w:ascii="ITC Avant Garde" w:hAnsi="ITC Avant Garde"/>
                <w:b/>
                <w:color w:val="FFFFFF"/>
                <w:sz w:val="16"/>
                <w:szCs w:val="16"/>
                <w:lang w:val="es-MX"/>
              </w:rPr>
            </w:pPr>
            <w:r w:rsidRPr="00872052">
              <w:rPr>
                <w:rFonts w:ascii="ITC Avant Garde" w:hAnsi="ITC Avant Garde"/>
                <w:b/>
                <w:color w:val="FFFFFF"/>
                <w:sz w:val="16"/>
                <w:szCs w:val="16"/>
                <w:lang w:val="es-MX"/>
              </w:rPr>
              <w:t>C</w:t>
            </w:r>
            <w:r w:rsidR="004F5AFE">
              <w:rPr>
                <w:rFonts w:ascii="ITC Avant Garde" w:hAnsi="ITC Avant Garde"/>
                <w:b/>
                <w:color w:val="FFFFFF"/>
                <w:sz w:val="16"/>
                <w:szCs w:val="16"/>
                <w:lang w:val="es-MX"/>
              </w:rPr>
              <w:t>ó</w:t>
            </w:r>
            <w:r w:rsidRPr="00872052">
              <w:rPr>
                <w:rFonts w:ascii="ITC Avant Garde" w:hAnsi="ITC Avant Garde"/>
                <w:b/>
                <w:color w:val="FFFFFF"/>
                <w:sz w:val="16"/>
                <w:szCs w:val="16"/>
                <w:lang w:val="es-MX"/>
              </w:rPr>
              <w:t>digo</w:t>
            </w:r>
          </w:p>
        </w:tc>
      </w:tr>
      <w:tr w:rsidR="005B0846" w:rsidRPr="00874668" w:rsidTr="005B0846">
        <w:trPr>
          <w:jc w:val="center"/>
        </w:trPr>
        <w:tc>
          <w:tcPr>
            <w:tcW w:w="4246"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rPr>
              <w:t>Verde</w:t>
            </w:r>
          </w:p>
        </w:tc>
        <w:tc>
          <w:tcPr>
            <w:tcW w:w="4247" w:type="dxa"/>
            <w:shd w:val="clear" w:color="auto" w:fill="auto"/>
          </w:tcPr>
          <w:p w:rsidR="005B0846" w:rsidRPr="00872052" w:rsidRDefault="005B0846" w:rsidP="005B0846">
            <w:pPr>
              <w:keepNext/>
              <w:rPr>
                <w:rFonts w:ascii="ITC Avant Garde" w:hAnsi="ITC Avant Garde"/>
                <w:sz w:val="16"/>
                <w:szCs w:val="16"/>
                <w:lang w:val="es-MX"/>
              </w:rPr>
            </w:pPr>
            <w:proofErr w:type="spellStart"/>
            <w:r w:rsidRPr="00872052">
              <w:rPr>
                <w:rFonts w:ascii="ITC Avant Garde" w:hAnsi="ITC Avant Garde"/>
                <w:sz w:val="16"/>
                <w:szCs w:val="16"/>
              </w:rPr>
              <w:t>Hojas</w:t>
            </w:r>
            <w:proofErr w:type="spellEnd"/>
            <w:r w:rsidRPr="00872052">
              <w:rPr>
                <w:rFonts w:ascii="ITC Avant Garde" w:hAnsi="ITC Avant Garde"/>
                <w:sz w:val="16"/>
                <w:szCs w:val="16"/>
              </w:rPr>
              <w:t xml:space="preserve"> de entrada</w:t>
            </w:r>
          </w:p>
        </w:tc>
      </w:tr>
      <w:tr w:rsidR="005B0846" w:rsidRPr="00874668" w:rsidTr="009F5817">
        <w:trPr>
          <w:trHeight w:val="288"/>
          <w:jc w:val="center"/>
        </w:trPr>
        <w:tc>
          <w:tcPr>
            <w:tcW w:w="4246"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rPr>
              <w:t>Azul</w:t>
            </w:r>
          </w:p>
        </w:tc>
        <w:tc>
          <w:tcPr>
            <w:tcW w:w="4247" w:type="dxa"/>
            <w:shd w:val="clear" w:color="auto" w:fill="auto"/>
          </w:tcPr>
          <w:p w:rsidR="005B0846" w:rsidRPr="00872052" w:rsidRDefault="005B0846" w:rsidP="005B0846">
            <w:pPr>
              <w:keepNext/>
              <w:rPr>
                <w:rFonts w:ascii="ITC Avant Garde" w:hAnsi="ITC Avant Garde"/>
                <w:sz w:val="16"/>
                <w:szCs w:val="16"/>
                <w:lang w:val="es-MX"/>
              </w:rPr>
            </w:pPr>
            <w:proofErr w:type="spellStart"/>
            <w:r w:rsidRPr="00872052">
              <w:rPr>
                <w:rFonts w:ascii="ITC Avant Garde" w:hAnsi="ITC Avant Garde"/>
                <w:sz w:val="16"/>
                <w:szCs w:val="16"/>
              </w:rPr>
              <w:t>Dimensionamiento</w:t>
            </w:r>
            <w:proofErr w:type="spellEnd"/>
          </w:p>
        </w:tc>
      </w:tr>
      <w:tr w:rsidR="005B0846" w:rsidRPr="00874668" w:rsidTr="005B0846">
        <w:trPr>
          <w:jc w:val="center"/>
        </w:trPr>
        <w:tc>
          <w:tcPr>
            <w:tcW w:w="4246" w:type="dxa"/>
            <w:shd w:val="clear" w:color="auto" w:fill="auto"/>
          </w:tcPr>
          <w:p w:rsidR="005B0846" w:rsidRPr="00872052" w:rsidRDefault="005B0846" w:rsidP="005B0846">
            <w:pPr>
              <w:keepNext/>
              <w:rPr>
                <w:rFonts w:ascii="ITC Avant Garde" w:hAnsi="ITC Avant Garde"/>
                <w:sz w:val="16"/>
                <w:szCs w:val="16"/>
                <w:lang w:val="es-MX"/>
              </w:rPr>
            </w:pPr>
            <w:proofErr w:type="spellStart"/>
            <w:r w:rsidRPr="00872052">
              <w:rPr>
                <w:rFonts w:ascii="ITC Avant Garde" w:hAnsi="ITC Avant Garde"/>
                <w:sz w:val="16"/>
                <w:szCs w:val="16"/>
              </w:rPr>
              <w:t>rojo</w:t>
            </w:r>
            <w:proofErr w:type="spellEnd"/>
          </w:p>
        </w:tc>
        <w:tc>
          <w:tcPr>
            <w:tcW w:w="4247" w:type="dxa"/>
            <w:shd w:val="clear" w:color="auto" w:fill="auto"/>
          </w:tcPr>
          <w:p w:rsidR="005B0846" w:rsidRPr="00872052" w:rsidRDefault="009F36EA" w:rsidP="005B0846">
            <w:pPr>
              <w:keepNext/>
              <w:rPr>
                <w:rFonts w:ascii="ITC Avant Garde" w:hAnsi="ITC Avant Garde"/>
                <w:sz w:val="16"/>
                <w:szCs w:val="16"/>
                <w:lang w:val="es-MX"/>
              </w:rPr>
            </w:pPr>
            <w:proofErr w:type="spellStart"/>
            <w:r>
              <w:rPr>
                <w:rFonts w:ascii="ITC Avant Garde" w:hAnsi="ITC Avant Garde"/>
                <w:sz w:val="16"/>
                <w:szCs w:val="16"/>
              </w:rPr>
              <w:t>R</w:t>
            </w:r>
            <w:r w:rsidR="005B0846" w:rsidRPr="00872052">
              <w:rPr>
                <w:rFonts w:ascii="ITC Avant Garde" w:hAnsi="ITC Avant Garde"/>
                <w:sz w:val="16"/>
                <w:szCs w:val="16"/>
              </w:rPr>
              <w:t>esultados</w:t>
            </w:r>
            <w:proofErr w:type="spellEnd"/>
          </w:p>
        </w:tc>
      </w:tr>
      <w:tr w:rsidR="005B0846" w:rsidRPr="00874668" w:rsidTr="005B0846">
        <w:trPr>
          <w:jc w:val="center"/>
        </w:trPr>
        <w:tc>
          <w:tcPr>
            <w:tcW w:w="4246" w:type="dxa"/>
            <w:shd w:val="clear" w:color="auto" w:fill="auto"/>
          </w:tcPr>
          <w:p w:rsidR="005B0846" w:rsidRPr="00872052" w:rsidRDefault="005B0846" w:rsidP="005B0846">
            <w:pPr>
              <w:keepNext/>
              <w:rPr>
                <w:rFonts w:ascii="ITC Avant Garde" w:hAnsi="ITC Avant Garde"/>
                <w:sz w:val="16"/>
                <w:szCs w:val="16"/>
                <w:lang w:val="es-MX"/>
              </w:rPr>
            </w:pPr>
            <w:r w:rsidRPr="00872052">
              <w:rPr>
                <w:rFonts w:ascii="ITC Avant Garde" w:hAnsi="ITC Avant Garde"/>
                <w:sz w:val="16"/>
                <w:szCs w:val="16"/>
              </w:rPr>
              <w:t>Gris</w:t>
            </w:r>
          </w:p>
        </w:tc>
        <w:tc>
          <w:tcPr>
            <w:tcW w:w="4247" w:type="dxa"/>
            <w:shd w:val="clear" w:color="auto" w:fill="auto"/>
          </w:tcPr>
          <w:p w:rsidR="005B0846" w:rsidRPr="00872052" w:rsidRDefault="005B0846" w:rsidP="005B0846">
            <w:pPr>
              <w:keepNext/>
              <w:rPr>
                <w:rFonts w:ascii="ITC Avant Garde" w:hAnsi="ITC Avant Garde"/>
                <w:sz w:val="16"/>
                <w:szCs w:val="16"/>
                <w:lang w:val="es-MX"/>
              </w:rPr>
            </w:pPr>
            <w:proofErr w:type="spellStart"/>
            <w:r w:rsidRPr="00872052">
              <w:rPr>
                <w:rFonts w:ascii="ITC Avant Garde" w:hAnsi="ITC Avant Garde"/>
                <w:sz w:val="16"/>
                <w:szCs w:val="16"/>
              </w:rPr>
              <w:t>Leyenda</w:t>
            </w:r>
            <w:r w:rsidR="004F5AFE">
              <w:rPr>
                <w:rFonts w:ascii="ITC Avant Garde" w:hAnsi="ITC Avant Garde"/>
                <w:sz w:val="16"/>
                <w:szCs w:val="16"/>
              </w:rPr>
              <w:t>s</w:t>
            </w:r>
            <w:proofErr w:type="spellEnd"/>
          </w:p>
        </w:tc>
      </w:tr>
    </w:tbl>
    <w:p w:rsidR="005B0846" w:rsidRPr="00872052" w:rsidRDefault="00400AEB" w:rsidP="005B0846">
      <w:pPr>
        <w:pStyle w:val="Source"/>
        <w:keepNext/>
        <w:rPr>
          <w:rFonts w:ascii="ITC Avant Garde" w:hAnsi="ITC Avant Garde"/>
          <w:lang w:val="es-MX"/>
        </w:rPr>
      </w:pPr>
      <w:r>
        <w:rPr>
          <w:rFonts w:ascii="ITC Avant Garde" w:hAnsi="ITC Avant Garde"/>
          <w:lang w:val="es-MX"/>
        </w:rPr>
        <w:t>¿</w:t>
      </w:r>
    </w:p>
    <w:p w:rsidR="005B0846" w:rsidRPr="00872052" w:rsidRDefault="005B0846" w:rsidP="005B0846">
      <w:pPr>
        <w:rPr>
          <w:rFonts w:ascii="ITC Avant Garde" w:hAnsi="ITC Avant Garde"/>
          <w:lang w:val="es-MX"/>
        </w:rPr>
      </w:pPr>
    </w:p>
    <w:p w:rsidR="005B0846" w:rsidRPr="00872052" w:rsidRDefault="005B0846" w:rsidP="005B0846">
      <w:pPr>
        <w:rPr>
          <w:rFonts w:ascii="ITC Avant Garde" w:hAnsi="ITC Avant Garde"/>
          <w:lang w:val="es-MX"/>
        </w:rPr>
      </w:pPr>
    </w:p>
    <w:p w:rsidR="005B0846" w:rsidRPr="00872052" w:rsidRDefault="005B0846" w:rsidP="005B0846">
      <w:pPr>
        <w:spacing w:before="0" w:line="240" w:lineRule="auto"/>
        <w:jc w:val="left"/>
        <w:rPr>
          <w:rFonts w:ascii="ITC Avant Garde" w:hAnsi="ITC Avant Garde"/>
          <w:b/>
          <w:color w:val="CC3300"/>
          <w:sz w:val="24"/>
          <w:lang w:val="es-MX"/>
        </w:rPr>
      </w:pPr>
      <w:r w:rsidRPr="00872052">
        <w:rPr>
          <w:rFonts w:ascii="ITC Avant Garde" w:hAnsi="ITC Avant Garde"/>
          <w:lang w:val="es-MX"/>
        </w:rPr>
        <w:br w:type="page"/>
      </w:r>
    </w:p>
    <w:p w:rsidR="001F2D73" w:rsidRPr="00872052" w:rsidRDefault="003A0FB4" w:rsidP="001F2D73">
      <w:pPr>
        <w:pStyle w:val="Ttulo2"/>
        <w:rPr>
          <w:rFonts w:ascii="ITC Avant Garde" w:hAnsi="ITC Avant Garde"/>
          <w:lang w:val="es-MX"/>
        </w:rPr>
      </w:pPr>
      <w:bookmarkStart w:id="189" w:name="_Toc525672857"/>
      <w:bookmarkStart w:id="190" w:name="_Toc525665297"/>
      <w:bookmarkStart w:id="191" w:name="_Toc525665676"/>
      <w:bookmarkStart w:id="192" w:name="_Toc526854377"/>
      <w:r w:rsidRPr="00872052">
        <w:rPr>
          <w:rFonts w:ascii="ITC Avant Garde" w:hAnsi="ITC Avant Garde"/>
          <w:lang w:val="es-MX"/>
        </w:rPr>
        <w:lastRenderedPageBreak/>
        <w:t>A</w:t>
      </w:r>
      <w:r w:rsidR="001F2D73" w:rsidRPr="00872052">
        <w:rPr>
          <w:rFonts w:ascii="ITC Avant Garde" w:hAnsi="ITC Avant Garde"/>
          <w:lang w:val="es-MX"/>
        </w:rPr>
        <w:t xml:space="preserve">nálisis </w:t>
      </w:r>
      <w:proofErr w:type="spellStart"/>
      <w:r w:rsidR="001F2D73" w:rsidRPr="00872052">
        <w:rPr>
          <w:rFonts w:ascii="ITC Avant Garde" w:hAnsi="ITC Avant Garde"/>
          <w:lang w:val="es-MX"/>
        </w:rPr>
        <w:t>geomarketing</w:t>
      </w:r>
      <w:bookmarkEnd w:id="189"/>
      <w:bookmarkEnd w:id="190"/>
      <w:bookmarkEnd w:id="191"/>
      <w:bookmarkEnd w:id="192"/>
      <w:proofErr w:type="spellEnd"/>
    </w:p>
    <w:p w:rsidR="005B0846" w:rsidRPr="00872052" w:rsidRDefault="005B0846" w:rsidP="005B0846">
      <w:pPr>
        <w:rPr>
          <w:rFonts w:ascii="ITC Avant Garde" w:hAnsi="ITC Avant Garde"/>
          <w:lang w:val="es-MX"/>
        </w:rPr>
      </w:pPr>
      <w:r w:rsidRPr="00872052">
        <w:rPr>
          <w:rFonts w:ascii="ITC Avant Garde" w:hAnsi="ITC Avant Garde"/>
          <w:lang w:val="es-MX"/>
        </w:rPr>
        <w:t>Los datos de geo-marketing son un insumo clave del modelo. Se requieren varios pasos preliminares para estimar la demanda de acceso a partir de estos datos:</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Recoger los archivos de referencia;</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Trabajar en la base de datos de la red de carreteras;</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Trabajar en la base de datos de direcciones.</w:t>
      </w:r>
    </w:p>
    <w:p w:rsidR="001F2D73" w:rsidRPr="00872052" w:rsidRDefault="001F2D73" w:rsidP="001F2D73">
      <w:pPr>
        <w:rPr>
          <w:rFonts w:ascii="ITC Avant Garde" w:hAnsi="ITC Avant Garde"/>
          <w:lang w:val="es-MX"/>
        </w:rPr>
      </w:pPr>
    </w:p>
    <w:p w:rsidR="001F2D73" w:rsidRPr="00872052" w:rsidRDefault="001F2D73" w:rsidP="001F2D73">
      <w:pPr>
        <w:pStyle w:val="Ttulo3"/>
        <w:rPr>
          <w:rFonts w:ascii="ITC Avant Garde" w:hAnsi="ITC Avant Garde"/>
          <w:lang w:val="es-MX"/>
        </w:rPr>
      </w:pPr>
      <w:bookmarkStart w:id="193" w:name="_Toc525672858"/>
      <w:bookmarkStart w:id="194" w:name="_Toc525665298"/>
      <w:bookmarkStart w:id="195" w:name="_Toc525665677"/>
      <w:bookmarkStart w:id="196" w:name="_Toc526854378"/>
      <w:r w:rsidRPr="00872052">
        <w:rPr>
          <w:rFonts w:ascii="ITC Avant Garde" w:hAnsi="ITC Avant Garde"/>
          <w:lang w:val="es-MX"/>
        </w:rPr>
        <w:t>Archivos de referencia</w:t>
      </w:r>
      <w:bookmarkEnd w:id="193"/>
      <w:bookmarkEnd w:id="194"/>
      <w:bookmarkEnd w:id="195"/>
      <w:bookmarkEnd w:id="196"/>
    </w:p>
    <w:p w:rsidR="001F2D73" w:rsidRPr="00872052" w:rsidRDefault="005B0846" w:rsidP="001F2D73">
      <w:pPr>
        <w:rPr>
          <w:rFonts w:ascii="ITC Avant Garde" w:hAnsi="ITC Avant Garde"/>
          <w:lang w:val="es-MX"/>
        </w:rPr>
      </w:pPr>
      <w:r w:rsidRPr="00872052">
        <w:rPr>
          <w:rFonts w:ascii="ITC Avant Garde" w:hAnsi="ITC Avant Garde"/>
          <w:lang w:val="es-MX"/>
        </w:rPr>
        <w:t>Primero se agregaron</w:t>
      </w:r>
      <w:r w:rsidR="001F2D73" w:rsidRPr="00872052">
        <w:rPr>
          <w:rFonts w:ascii="ITC Avant Garde" w:hAnsi="ITC Avant Garde"/>
          <w:lang w:val="es-MX"/>
        </w:rPr>
        <w:t xml:space="preserve"> los datos de topología de red presentados por </w:t>
      </w:r>
      <w:r w:rsidRPr="00872052">
        <w:rPr>
          <w:rFonts w:ascii="ITC Avant Garde" w:hAnsi="ITC Avant Garde"/>
          <w:lang w:val="es-MX"/>
        </w:rPr>
        <w:t xml:space="preserve">el </w:t>
      </w:r>
      <w:r w:rsidR="001F2D73" w:rsidRPr="00872052">
        <w:rPr>
          <w:rFonts w:ascii="ITC Avant Garde" w:hAnsi="ITC Avant Garde"/>
          <w:lang w:val="es-MX"/>
        </w:rPr>
        <w:t xml:space="preserve">IFT con la cartografía de México. Se ha llevado a cabo un amplio trabajo de </w:t>
      </w:r>
      <w:proofErr w:type="spellStart"/>
      <w:r w:rsidR="001F2D73" w:rsidRPr="00872052">
        <w:rPr>
          <w:rFonts w:ascii="ITC Avant Garde" w:hAnsi="ITC Avant Garde"/>
          <w:lang w:val="es-MX"/>
        </w:rPr>
        <w:t>geomarketing</w:t>
      </w:r>
      <w:proofErr w:type="spellEnd"/>
      <w:r w:rsidR="001F2D73" w:rsidRPr="00872052">
        <w:rPr>
          <w:rFonts w:ascii="ITC Avant Garde" w:hAnsi="ITC Avant Garde"/>
          <w:lang w:val="es-MX"/>
        </w:rPr>
        <w:t xml:space="preserve"> (sobre los datos mexicanos proporcionados por las partes interesadas) con el fin de tener bases de datos limpias sobre las cuales se podrían realizar los cálculos.</w:t>
      </w:r>
    </w:p>
    <w:p w:rsidR="001F2D73" w:rsidRPr="00872052" w:rsidRDefault="001F2D73" w:rsidP="001F2D73">
      <w:pPr>
        <w:rPr>
          <w:rFonts w:ascii="ITC Avant Garde" w:hAnsi="ITC Avant Garde"/>
          <w:lang w:val="es-MX"/>
        </w:rPr>
      </w:pPr>
      <w:r w:rsidRPr="00872052">
        <w:rPr>
          <w:rFonts w:ascii="ITC Avant Garde" w:hAnsi="ITC Avant Garde"/>
          <w:lang w:val="es-MX"/>
        </w:rPr>
        <w:t xml:space="preserve">La siguiente tabla enumera los archivos que han sido considerados como archivos de referencia para definir la demanda de la red de acceso (ver Figura </w:t>
      </w:r>
      <w:r w:rsidR="009F36EA">
        <w:rPr>
          <w:rFonts w:ascii="ITC Avant Garde" w:hAnsi="ITC Avant Garde"/>
          <w:lang w:val="es-MX"/>
        </w:rPr>
        <w:t>inferior</w:t>
      </w:r>
      <w:r w:rsidRPr="00872052">
        <w:rPr>
          <w:rFonts w:ascii="ITC Avant Garde" w:hAnsi="ITC Avant Garde"/>
          <w:lang w:val="es-MX"/>
        </w:rPr>
        <w:t>).</w:t>
      </w:r>
    </w:p>
    <w:p w:rsidR="0052235D" w:rsidRPr="00872052" w:rsidRDefault="0052235D" w:rsidP="001F2D73">
      <w:pPr>
        <w:rPr>
          <w:rFonts w:ascii="ITC Avant Garde" w:hAnsi="ITC Avant Garde"/>
          <w:lang w:val="es-MX"/>
        </w:rPr>
      </w:pPr>
    </w:p>
    <w:p w:rsidR="005B0846" w:rsidRPr="00872052" w:rsidRDefault="00CA5B80" w:rsidP="005B0846">
      <w:pPr>
        <w:pStyle w:val="Descripcin"/>
        <w:keepNext/>
        <w:rPr>
          <w:rFonts w:ascii="ITC Avant Garde" w:hAnsi="ITC Avant Garde"/>
          <w:lang w:val="es-MX"/>
        </w:rPr>
      </w:pPr>
      <w:r>
        <w:rPr>
          <w:rFonts w:ascii="ITC Avant Garde" w:hAnsi="ITC Avant Garde"/>
          <w:lang w:val="es-MX"/>
        </w:rPr>
        <w:t>Cuadro 12</w:t>
      </w:r>
      <w:r w:rsidR="005B0846" w:rsidRPr="00872052">
        <w:rPr>
          <w:rFonts w:ascii="ITC Avant Garde" w:hAnsi="ITC Avant Garde"/>
          <w:lang w:val="es-MX"/>
        </w:rPr>
        <w:t xml:space="preserve"> – Tablas de entrada para el análisis de </w:t>
      </w:r>
      <w:proofErr w:type="spellStart"/>
      <w:r w:rsidR="005B0846" w:rsidRPr="00872052">
        <w:rPr>
          <w:rFonts w:ascii="ITC Avant Garde" w:hAnsi="ITC Avant Garde"/>
          <w:lang w:val="es-MX"/>
        </w:rPr>
        <w:t>geomarketing</w:t>
      </w:r>
      <w:proofErr w:type="spellEnd"/>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79"/>
        <w:gridCol w:w="4366"/>
        <w:gridCol w:w="2976"/>
      </w:tblGrid>
      <w:tr w:rsidR="005B0846" w:rsidRPr="00874668" w:rsidTr="005B0846">
        <w:tc>
          <w:tcPr>
            <w:tcW w:w="959" w:type="dxa"/>
            <w:shd w:val="clear" w:color="auto" w:fill="2F5897" w:themeFill="text2"/>
            <w:vAlign w:val="center"/>
          </w:tcPr>
          <w:p w:rsidR="005B0846" w:rsidRPr="00872052" w:rsidRDefault="005B0846" w:rsidP="005B0846">
            <w:pPr>
              <w:keepNext/>
              <w:keepLines/>
              <w:jc w:val="left"/>
              <w:rPr>
                <w:rFonts w:ascii="ITC Avant Garde" w:hAnsi="ITC Avant Garde"/>
                <w:b/>
                <w:color w:val="FFFFFF"/>
                <w:sz w:val="16"/>
                <w:szCs w:val="16"/>
                <w:lang w:val="es-MX"/>
              </w:rPr>
            </w:pPr>
            <w:r w:rsidRPr="00872052">
              <w:rPr>
                <w:rFonts w:ascii="ITC Avant Garde" w:hAnsi="ITC Avant Garde"/>
                <w:b/>
                <w:color w:val="FFFFFF"/>
                <w:sz w:val="16"/>
                <w:szCs w:val="16"/>
                <w:lang w:val="es-MX"/>
              </w:rPr>
              <w:t>Red</w:t>
            </w:r>
          </w:p>
        </w:tc>
        <w:tc>
          <w:tcPr>
            <w:tcW w:w="879" w:type="dxa"/>
            <w:shd w:val="clear" w:color="auto" w:fill="2F5897" w:themeFill="text2"/>
            <w:vAlign w:val="center"/>
          </w:tcPr>
          <w:p w:rsidR="005B0846" w:rsidRPr="00872052" w:rsidRDefault="005B0846" w:rsidP="005B0846">
            <w:pPr>
              <w:keepNext/>
              <w:keepLines/>
              <w:jc w:val="left"/>
              <w:rPr>
                <w:rFonts w:ascii="ITC Avant Garde" w:hAnsi="ITC Avant Garde"/>
                <w:b/>
                <w:color w:val="FFFFFF"/>
                <w:sz w:val="16"/>
                <w:szCs w:val="16"/>
                <w:lang w:val="es-MX"/>
              </w:rPr>
            </w:pPr>
            <w:r w:rsidRPr="00872052">
              <w:rPr>
                <w:rFonts w:ascii="ITC Avant Garde" w:hAnsi="ITC Avant Garde"/>
                <w:b/>
                <w:color w:val="FFFFFF"/>
                <w:sz w:val="16"/>
                <w:szCs w:val="16"/>
                <w:lang w:val="es-MX"/>
              </w:rPr>
              <w:t>Tipo de archivo</w:t>
            </w:r>
          </w:p>
        </w:tc>
        <w:tc>
          <w:tcPr>
            <w:tcW w:w="4366" w:type="dxa"/>
            <w:shd w:val="clear" w:color="auto" w:fill="2F5897" w:themeFill="text2"/>
            <w:vAlign w:val="center"/>
          </w:tcPr>
          <w:p w:rsidR="005B0846" w:rsidRPr="00872052" w:rsidRDefault="005B0846" w:rsidP="005B0846">
            <w:pPr>
              <w:keepNext/>
              <w:keepLines/>
              <w:jc w:val="left"/>
              <w:rPr>
                <w:rFonts w:ascii="ITC Avant Garde" w:hAnsi="ITC Avant Garde"/>
                <w:b/>
                <w:color w:val="FFFFFF"/>
                <w:sz w:val="16"/>
                <w:szCs w:val="16"/>
                <w:lang w:val="es-MX"/>
              </w:rPr>
            </w:pPr>
            <w:r w:rsidRPr="00872052">
              <w:rPr>
                <w:rFonts w:ascii="ITC Avant Garde" w:hAnsi="ITC Avant Garde"/>
                <w:b/>
                <w:color w:val="FFFFFF"/>
                <w:sz w:val="16"/>
                <w:szCs w:val="16"/>
                <w:lang w:val="es-MX"/>
              </w:rPr>
              <w:t>Descripci</w:t>
            </w:r>
            <w:r w:rsidR="009F36EA">
              <w:rPr>
                <w:rFonts w:ascii="ITC Avant Garde" w:hAnsi="ITC Avant Garde"/>
                <w:b/>
                <w:color w:val="FFFFFF"/>
                <w:sz w:val="16"/>
                <w:szCs w:val="16"/>
                <w:lang w:val="es-MX"/>
              </w:rPr>
              <w:t>ó</w:t>
            </w:r>
            <w:r w:rsidRPr="00872052">
              <w:rPr>
                <w:rFonts w:ascii="ITC Avant Garde" w:hAnsi="ITC Avant Garde"/>
                <w:b/>
                <w:color w:val="FFFFFF"/>
                <w:sz w:val="16"/>
                <w:szCs w:val="16"/>
                <w:lang w:val="es-MX"/>
              </w:rPr>
              <w:t>n</w:t>
            </w:r>
          </w:p>
        </w:tc>
        <w:tc>
          <w:tcPr>
            <w:tcW w:w="2976" w:type="dxa"/>
            <w:shd w:val="clear" w:color="auto" w:fill="2F5897" w:themeFill="text2"/>
            <w:vAlign w:val="center"/>
          </w:tcPr>
          <w:p w:rsidR="005B0846" w:rsidRPr="00872052" w:rsidRDefault="005B0846" w:rsidP="005B0846">
            <w:pPr>
              <w:keepNext/>
              <w:keepLines/>
              <w:jc w:val="left"/>
              <w:rPr>
                <w:rFonts w:ascii="ITC Avant Garde" w:hAnsi="ITC Avant Garde"/>
                <w:b/>
                <w:color w:val="FFFFFF"/>
                <w:sz w:val="16"/>
                <w:szCs w:val="16"/>
                <w:lang w:val="es-MX"/>
              </w:rPr>
            </w:pPr>
            <w:r w:rsidRPr="00872052">
              <w:rPr>
                <w:rFonts w:ascii="ITC Avant Garde" w:hAnsi="ITC Avant Garde"/>
                <w:b/>
                <w:color w:val="FFFFFF"/>
                <w:sz w:val="16"/>
                <w:szCs w:val="16"/>
                <w:lang w:val="es-MX"/>
              </w:rPr>
              <w:t>Fuente</w:t>
            </w:r>
          </w:p>
        </w:tc>
      </w:tr>
      <w:tr w:rsidR="005B0846" w:rsidRPr="00F906F3" w:rsidTr="005B0846">
        <w:tc>
          <w:tcPr>
            <w:tcW w:w="959" w:type="dxa"/>
            <w:shd w:val="clear" w:color="auto" w:fill="auto"/>
            <w:vAlign w:val="center"/>
          </w:tcPr>
          <w:p w:rsidR="005B0846" w:rsidRPr="00872052" w:rsidRDefault="009A4CA2" w:rsidP="005B0846">
            <w:pPr>
              <w:keepNext/>
              <w:keepLines/>
              <w:jc w:val="left"/>
              <w:rPr>
                <w:rFonts w:ascii="ITC Avant Garde" w:hAnsi="ITC Avant Garde"/>
                <w:sz w:val="16"/>
                <w:szCs w:val="16"/>
                <w:lang w:val="es-MX"/>
              </w:rPr>
            </w:pPr>
            <w:r>
              <w:rPr>
                <w:rFonts w:ascii="ITC Avant Garde" w:hAnsi="ITC Avant Garde"/>
                <w:sz w:val="16"/>
                <w:szCs w:val="16"/>
                <w:lang w:val="es-MX"/>
              </w:rPr>
              <w:t>Todas</w:t>
            </w:r>
          </w:p>
        </w:tc>
        <w:tc>
          <w:tcPr>
            <w:tcW w:w="879" w:type="dxa"/>
            <w:shd w:val="clear" w:color="auto" w:fill="auto"/>
            <w:vAlign w:val="center"/>
          </w:tcPr>
          <w:p w:rsidR="005B0846" w:rsidRPr="00872052" w:rsidRDefault="005B0846" w:rsidP="005B0846">
            <w:pPr>
              <w:keepNext/>
              <w:keepLines/>
              <w:jc w:val="left"/>
              <w:rPr>
                <w:rFonts w:ascii="ITC Avant Garde" w:hAnsi="ITC Avant Garde"/>
                <w:sz w:val="16"/>
                <w:szCs w:val="16"/>
                <w:lang w:val="es-MX"/>
              </w:rPr>
            </w:pPr>
            <w:r w:rsidRPr="00872052">
              <w:rPr>
                <w:rFonts w:ascii="ITC Avant Garde" w:hAnsi="ITC Avant Garde"/>
                <w:sz w:val="16"/>
                <w:szCs w:val="16"/>
                <w:lang w:val="es-MX"/>
              </w:rPr>
              <w:t>GIS</w:t>
            </w:r>
          </w:p>
        </w:tc>
        <w:tc>
          <w:tcPr>
            <w:tcW w:w="4366" w:type="dxa"/>
            <w:shd w:val="clear" w:color="auto" w:fill="auto"/>
            <w:vAlign w:val="center"/>
          </w:tcPr>
          <w:p w:rsidR="005B0846" w:rsidRPr="00872052" w:rsidRDefault="005B0846" w:rsidP="005B0846">
            <w:pPr>
              <w:keepNext/>
              <w:keepLines/>
              <w:jc w:val="left"/>
              <w:rPr>
                <w:rFonts w:ascii="ITC Avant Garde" w:hAnsi="ITC Avant Garde"/>
                <w:sz w:val="16"/>
                <w:szCs w:val="16"/>
                <w:lang w:val="es-MX"/>
              </w:rPr>
            </w:pPr>
            <w:r w:rsidRPr="00872052">
              <w:rPr>
                <w:rFonts w:ascii="ITC Avant Garde" w:hAnsi="ITC Avant Garde"/>
                <w:sz w:val="16"/>
                <w:szCs w:val="16"/>
                <w:lang w:val="es-MX"/>
              </w:rPr>
              <w:t>Describe la red de carreteras a nivel regional y nacional</w:t>
            </w:r>
          </w:p>
        </w:tc>
        <w:tc>
          <w:tcPr>
            <w:tcW w:w="2976" w:type="dxa"/>
            <w:shd w:val="clear" w:color="auto" w:fill="auto"/>
            <w:vAlign w:val="center"/>
          </w:tcPr>
          <w:p w:rsidR="005B0846" w:rsidRPr="00872052" w:rsidRDefault="005B0846" w:rsidP="005B0846">
            <w:pPr>
              <w:pStyle w:val="Prrafodelista"/>
              <w:keepNext/>
              <w:keepLines/>
              <w:numPr>
                <w:ilvl w:val="0"/>
                <w:numId w:val="7"/>
              </w:numPr>
              <w:ind w:left="175" w:hanging="142"/>
              <w:jc w:val="left"/>
              <w:rPr>
                <w:rFonts w:ascii="ITC Avant Garde" w:hAnsi="ITC Avant Garde"/>
                <w:sz w:val="16"/>
                <w:szCs w:val="16"/>
                <w:lang w:val="es-MX"/>
              </w:rPr>
            </w:pPr>
            <w:r w:rsidRPr="00872052">
              <w:rPr>
                <w:rFonts w:ascii="ITC Avant Garde" w:hAnsi="ITC Avant Garde"/>
                <w:sz w:val="16"/>
                <w:szCs w:val="16"/>
                <w:lang w:val="es-MX"/>
              </w:rPr>
              <w:t>Marco Geo</w:t>
            </w:r>
            <w:r w:rsidR="004F5AFE">
              <w:rPr>
                <w:rFonts w:ascii="ITC Avant Garde" w:hAnsi="ITC Avant Garde"/>
                <w:sz w:val="16"/>
                <w:szCs w:val="16"/>
                <w:lang w:val="es-MX"/>
              </w:rPr>
              <w:t xml:space="preserve"> </w:t>
            </w:r>
            <w:proofErr w:type="spellStart"/>
            <w:r w:rsidR="004F5AFE">
              <w:rPr>
                <w:rFonts w:ascii="ITC Avant Garde" w:hAnsi="ITC Avant Garde"/>
                <w:sz w:val="16"/>
                <w:szCs w:val="16"/>
                <w:lang w:val="es-MX"/>
              </w:rPr>
              <w:t>e</w:t>
            </w:r>
            <w:r w:rsidRPr="00872052">
              <w:rPr>
                <w:rFonts w:ascii="ITC Avant Garde" w:hAnsi="ITC Avant Garde"/>
                <w:sz w:val="16"/>
                <w:szCs w:val="16"/>
                <w:lang w:val="es-MX"/>
              </w:rPr>
              <w:t>stadistico</w:t>
            </w:r>
            <w:proofErr w:type="spellEnd"/>
            <w:r w:rsidRPr="00872052">
              <w:rPr>
                <w:rFonts w:ascii="ITC Avant Garde" w:hAnsi="ITC Avant Garde"/>
                <w:sz w:val="16"/>
                <w:szCs w:val="16"/>
                <w:lang w:val="es-MX"/>
              </w:rPr>
              <w:t>, dicie</w:t>
            </w:r>
            <w:r w:rsidR="009F36EA">
              <w:rPr>
                <w:rFonts w:ascii="ITC Avant Garde" w:hAnsi="ITC Avant Garde"/>
                <w:sz w:val="16"/>
                <w:szCs w:val="16"/>
                <w:lang w:val="es-MX"/>
              </w:rPr>
              <w:t>m</w:t>
            </w:r>
            <w:r w:rsidRPr="00872052">
              <w:rPr>
                <w:rFonts w:ascii="ITC Avant Garde" w:hAnsi="ITC Avant Garde"/>
                <w:sz w:val="16"/>
                <w:szCs w:val="16"/>
                <w:lang w:val="es-MX"/>
              </w:rPr>
              <w:t>bre 2017 (INEGI)</w:t>
            </w:r>
          </w:p>
          <w:p w:rsidR="005B0846" w:rsidRPr="00872052" w:rsidRDefault="005B0846" w:rsidP="005B0846">
            <w:pPr>
              <w:pStyle w:val="Prrafodelista"/>
              <w:keepNext/>
              <w:keepLines/>
              <w:numPr>
                <w:ilvl w:val="0"/>
                <w:numId w:val="7"/>
              </w:numPr>
              <w:ind w:left="175" w:hanging="142"/>
              <w:jc w:val="left"/>
              <w:rPr>
                <w:rFonts w:ascii="ITC Avant Garde" w:hAnsi="ITC Avant Garde"/>
                <w:sz w:val="16"/>
                <w:szCs w:val="16"/>
                <w:lang w:val="es-MX"/>
              </w:rPr>
            </w:pPr>
            <w:r w:rsidRPr="00872052">
              <w:rPr>
                <w:rFonts w:ascii="ITC Avant Garde" w:hAnsi="ITC Avant Garde"/>
                <w:sz w:val="16"/>
                <w:szCs w:val="16"/>
                <w:lang w:val="es-MX"/>
              </w:rPr>
              <w:t>Red Na</w:t>
            </w:r>
            <w:r w:rsidR="004F5AFE">
              <w:rPr>
                <w:rFonts w:ascii="ITC Avant Garde" w:hAnsi="ITC Avant Garde"/>
                <w:sz w:val="16"/>
                <w:szCs w:val="16"/>
                <w:lang w:val="es-MX"/>
              </w:rPr>
              <w:t>c</w:t>
            </w:r>
            <w:r w:rsidRPr="00872052">
              <w:rPr>
                <w:rFonts w:ascii="ITC Avant Garde" w:hAnsi="ITC Avant Garde"/>
                <w:sz w:val="16"/>
                <w:szCs w:val="16"/>
                <w:lang w:val="es-MX"/>
              </w:rPr>
              <w:t>ional de Caminos 2</w:t>
            </w:r>
            <w:r w:rsidR="004F5AFE">
              <w:rPr>
                <w:rFonts w:ascii="ITC Avant Garde" w:hAnsi="ITC Avant Garde"/>
                <w:sz w:val="16"/>
                <w:szCs w:val="16"/>
                <w:lang w:val="es-MX"/>
              </w:rPr>
              <w:t>0</w:t>
            </w:r>
            <w:r w:rsidRPr="00872052">
              <w:rPr>
                <w:rFonts w:ascii="ITC Avant Garde" w:hAnsi="ITC Avant Garde"/>
                <w:sz w:val="16"/>
                <w:szCs w:val="16"/>
                <w:lang w:val="es-MX"/>
              </w:rPr>
              <w:t>17 (INEGI)</w:t>
            </w:r>
          </w:p>
        </w:tc>
      </w:tr>
      <w:tr w:rsidR="005B0846" w:rsidRPr="00874668" w:rsidTr="005B0846">
        <w:tc>
          <w:tcPr>
            <w:tcW w:w="959" w:type="dxa"/>
            <w:shd w:val="clear" w:color="auto" w:fill="auto"/>
            <w:vAlign w:val="center"/>
          </w:tcPr>
          <w:p w:rsidR="005B0846" w:rsidRPr="00872052" w:rsidRDefault="009A4CA2" w:rsidP="009A4CA2">
            <w:pPr>
              <w:keepNext/>
              <w:keepLines/>
              <w:jc w:val="center"/>
              <w:rPr>
                <w:rFonts w:ascii="ITC Avant Garde" w:hAnsi="ITC Avant Garde"/>
                <w:sz w:val="16"/>
                <w:szCs w:val="16"/>
                <w:lang w:val="es-MX"/>
              </w:rPr>
            </w:pPr>
            <w:r>
              <w:rPr>
                <w:rFonts w:ascii="ITC Avant Garde" w:hAnsi="ITC Avant Garde"/>
                <w:sz w:val="16"/>
                <w:szCs w:val="16"/>
                <w:lang w:val="es-MX"/>
              </w:rPr>
              <w:t>Todas</w:t>
            </w:r>
          </w:p>
        </w:tc>
        <w:tc>
          <w:tcPr>
            <w:tcW w:w="879" w:type="dxa"/>
            <w:shd w:val="clear" w:color="auto" w:fill="auto"/>
            <w:vAlign w:val="center"/>
          </w:tcPr>
          <w:p w:rsidR="005B0846" w:rsidRPr="00872052" w:rsidRDefault="005B0846" w:rsidP="005B0846">
            <w:pPr>
              <w:keepNext/>
              <w:keepLines/>
              <w:jc w:val="left"/>
              <w:rPr>
                <w:rFonts w:ascii="ITC Avant Garde" w:hAnsi="ITC Avant Garde"/>
                <w:sz w:val="16"/>
                <w:szCs w:val="16"/>
                <w:lang w:val="es-MX"/>
              </w:rPr>
            </w:pPr>
            <w:r w:rsidRPr="00872052">
              <w:rPr>
                <w:rFonts w:ascii="ITC Avant Garde" w:hAnsi="ITC Avant Garde"/>
                <w:sz w:val="16"/>
                <w:szCs w:val="16"/>
                <w:lang w:val="es-MX"/>
              </w:rPr>
              <w:t>DB/GIS</w:t>
            </w:r>
          </w:p>
        </w:tc>
        <w:tc>
          <w:tcPr>
            <w:tcW w:w="4366" w:type="dxa"/>
            <w:shd w:val="clear" w:color="auto" w:fill="auto"/>
            <w:vAlign w:val="center"/>
          </w:tcPr>
          <w:p w:rsidR="005B0846" w:rsidRPr="00872052" w:rsidRDefault="005B0846" w:rsidP="005B0846">
            <w:pPr>
              <w:keepNext/>
              <w:keepLines/>
              <w:jc w:val="left"/>
              <w:rPr>
                <w:rFonts w:ascii="ITC Avant Garde" w:hAnsi="ITC Avant Garde"/>
                <w:sz w:val="16"/>
                <w:szCs w:val="16"/>
                <w:lang w:val="es-MX"/>
              </w:rPr>
            </w:pPr>
            <w:r w:rsidRPr="00872052">
              <w:rPr>
                <w:rFonts w:ascii="ITC Avant Garde" w:hAnsi="ITC Avant Garde"/>
                <w:sz w:val="16"/>
                <w:szCs w:val="16"/>
                <w:lang w:val="es-MX"/>
              </w:rPr>
              <w:t>Para los recuentos de edificios residenciales y de viviendas amanzanadas, se utilizan las fuentes FTP INEGI Complemento \ IVLAYNE Nacional y "cat_localidad_ENE2018".</w:t>
            </w:r>
          </w:p>
          <w:p w:rsidR="005B0846" w:rsidRPr="00872052" w:rsidRDefault="005B0846" w:rsidP="005B0846">
            <w:pPr>
              <w:keepNext/>
              <w:keepLines/>
              <w:jc w:val="left"/>
              <w:rPr>
                <w:rFonts w:ascii="ITC Avant Garde" w:hAnsi="ITC Avant Garde"/>
                <w:sz w:val="16"/>
                <w:szCs w:val="16"/>
                <w:lang w:val="es-MX"/>
              </w:rPr>
            </w:pPr>
            <w:r w:rsidRPr="00872052">
              <w:rPr>
                <w:rFonts w:ascii="ITC Avant Garde" w:hAnsi="ITC Avant Garde"/>
                <w:sz w:val="16"/>
                <w:szCs w:val="16"/>
                <w:lang w:val="es-MX"/>
              </w:rPr>
              <w:t>Para edificios comerciales, se usa la base de datos DENUE.</w:t>
            </w:r>
          </w:p>
          <w:p w:rsidR="005B0846" w:rsidRPr="00872052" w:rsidRDefault="005B0846" w:rsidP="005B0846">
            <w:pPr>
              <w:keepNext/>
              <w:keepLines/>
              <w:jc w:val="left"/>
              <w:rPr>
                <w:rFonts w:ascii="ITC Avant Garde" w:hAnsi="ITC Avant Garde"/>
                <w:sz w:val="16"/>
                <w:szCs w:val="16"/>
                <w:lang w:val="es-MX"/>
              </w:rPr>
            </w:pPr>
            <w:r w:rsidRPr="00872052">
              <w:rPr>
                <w:rFonts w:ascii="ITC Avant Garde" w:hAnsi="ITC Avant Garde"/>
                <w:sz w:val="16"/>
                <w:szCs w:val="16"/>
                <w:lang w:val="es-MX"/>
              </w:rPr>
              <w:t>Para Manzanas, se utiliza la base de datos "Manzanas - Nacional".</w:t>
            </w:r>
          </w:p>
        </w:tc>
        <w:tc>
          <w:tcPr>
            <w:tcW w:w="2976" w:type="dxa"/>
            <w:shd w:val="clear" w:color="auto" w:fill="auto"/>
            <w:vAlign w:val="center"/>
          </w:tcPr>
          <w:p w:rsidR="005B0846" w:rsidRPr="00872052" w:rsidRDefault="005B0846" w:rsidP="005B0846">
            <w:pPr>
              <w:pStyle w:val="Prrafodelista"/>
              <w:keepNext/>
              <w:keepLines/>
              <w:numPr>
                <w:ilvl w:val="0"/>
                <w:numId w:val="7"/>
              </w:numPr>
              <w:ind w:left="209" w:hanging="151"/>
              <w:jc w:val="left"/>
              <w:rPr>
                <w:rFonts w:ascii="ITC Avant Garde" w:hAnsi="ITC Avant Garde"/>
                <w:sz w:val="16"/>
                <w:szCs w:val="16"/>
                <w:lang w:val="es-MX"/>
              </w:rPr>
            </w:pPr>
            <w:r w:rsidRPr="00872052">
              <w:rPr>
                <w:rFonts w:ascii="ITC Avant Garde" w:hAnsi="ITC Avant Garde"/>
                <w:sz w:val="16"/>
                <w:szCs w:val="16"/>
                <w:lang w:val="es-MX"/>
              </w:rPr>
              <w:t>Manzanas – Nacional;</w:t>
            </w:r>
          </w:p>
          <w:p w:rsidR="005B0846" w:rsidRPr="00872052" w:rsidRDefault="005B0846" w:rsidP="005B0846">
            <w:pPr>
              <w:pStyle w:val="Prrafodelista"/>
              <w:keepNext/>
              <w:keepLines/>
              <w:numPr>
                <w:ilvl w:val="0"/>
                <w:numId w:val="7"/>
              </w:numPr>
              <w:ind w:left="209" w:hanging="151"/>
              <w:jc w:val="left"/>
              <w:rPr>
                <w:rFonts w:ascii="ITC Avant Garde" w:hAnsi="ITC Avant Garde"/>
                <w:sz w:val="16"/>
                <w:szCs w:val="16"/>
                <w:lang w:val="es-MX"/>
              </w:rPr>
            </w:pPr>
            <w:r w:rsidRPr="00872052">
              <w:rPr>
                <w:rFonts w:ascii="ITC Avant Garde" w:hAnsi="ITC Avant Garde"/>
                <w:sz w:val="16"/>
                <w:szCs w:val="16"/>
                <w:lang w:val="es-MX"/>
              </w:rPr>
              <w:t>“cat_localidad_ENE2018”</w:t>
            </w:r>
          </w:p>
          <w:p w:rsidR="005B0846" w:rsidRPr="00872052" w:rsidRDefault="005B0846" w:rsidP="005B0846">
            <w:pPr>
              <w:pStyle w:val="Prrafodelista"/>
              <w:keepNext/>
              <w:keepLines/>
              <w:numPr>
                <w:ilvl w:val="0"/>
                <w:numId w:val="7"/>
              </w:numPr>
              <w:ind w:left="209" w:hanging="151"/>
              <w:jc w:val="left"/>
              <w:rPr>
                <w:rFonts w:ascii="ITC Avant Garde" w:hAnsi="ITC Avant Garde"/>
                <w:sz w:val="16"/>
                <w:szCs w:val="16"/>
                <w:lang w:val="es-MX"/>
              </w:rPr>
            </w:pPr>
            <w:proofErr w:type="spellStart"/>
            <w:r w:rsidRPr="00872052">
              <w:rPr>
                <w:rFonts w:ascii="ITC Avant Garde" w:hAnsi="ITC Avant Garde"/>
                <w:sz w:val="16"/>
                <w:szCs w:val="16"/>
                <w:lang w:val="es-MX"/>
              </w:rPr>
              <w:t>The</w:t>
            </w:r>
            <w:proofErr w:type="spellEnd"/>
            <w:r w:rsidRPr="00872052">
              <w:rPr>
                <w:rFonts w:ascii="ITC Avant Garde" w:hAnsi="ITC Avant Garde"/>
                <w:sz w:val="16"/>
                <w:szCs w:val="16"/>
                <w:lang w:val="es-MX"/>
              </w:rPr>
              <w:t xml:space="preserve"> “IVLAYNE Nacional”;</w:t>
            </w:r>
          </w:p>
          <w:p w:rsidR="005B0846" w:rsidRPr="00872052" w:rsidRDefault="005B0846" w:rsidP="005B0846">
            <w:pPr>
              <w:pStyle w:val="Prrafodelista"/>
              <w:keepNext/>
              <w:keepLines/>
              <w:numPr>
                <w:ilvl w:val="0"/>
                <w:numId w:val="7"/>
              </w:numPr>
              <w:ind w:left="209" w:hanging="151"/>
              <w:jc w:val="left"/>
              <w:rPr>
                <w:rFonts w:ascii="ITC Avant Garde" w:hAnsi="ITC Avant Garde"/>
                <w:sz w:val="16"/>
                <w:szCs w:val="16"/>
                <w:lang w:val="es-MX"/>
              </w:rPr>
            </w:pPr>
            <w:r w:rsidRPr="00872052">
              <w:rPr>
                <w:rFonts w:ascii="ITC Avant Garde" w:hAnsi="ITC Avant Garde"/>
                <w:sz w:val="16"/>
                <w:szCs w:val="16"/>
                <w:lang w:val="es-MX"/>
              </w:rPr>
              <w:t>FTP INEGI Complemento;</w:t>
            </w:r>
          </w:p>
          <w:p w:rsidR="005B0846" w:rsidRPr="00872052" w:rsidRDefault="005B0846" w:rsidP="005B0846">
            <w:pPr>
              <w:pStyle w:val="Prrafodelista"/>
              <w:keepNext/>
              <w:keepLines/>
              <w:numPr>
                <w:ilvl w:val="0"/>
                <w:numId w:val="7"/>
              </w:numPr>
              <w:ind w:left="209" w:hanging="151"/>
              <w:jc w:val="left"/>
              <w:rPr>
                <w:rFonts w:ascii="ITC Avant Garde" w:hAnsi="ITC Avant Garde"/>
                <w:sz w:val="16"/>
                <w:szCs w:val="16"/>
                <w:lang w:val="es-MX"/>
              </w:rPr>
            </w:pPr>
            <w:proofErr w:type="spellStart"/>
            <w:r w:rsidRPr="00872052">
              <w:rPr>
                <w:rFonts w:ascii="ITC Avant Garde" w:hAnsi="ITC Avant Garde"/>
                <w:sz w:val="16"/>
                <w:szCs w:val="16"/>
                <w:lang w:val="es-MX"/>
              </w:rPr>
              <w:t>The</w:t>
            </w:r>
            <w:proofErr w:type="spellEnd"/>
            <w:r w:rsidRPr="00872052">
              <w:rPr>
                <w:rFonts w:ascii="ITC Avant Garde" w:hAnsi="ITC Avant Garde"/>
                <w:sz w:val="16"/>
                <w:szCs w:val="16"/>
                <w:lang w:val="es-MX"/>
              </w:rPr>
              <w:t xml:space="preserve"> DENUE (Denue-nacional-shp-11-2017).</w:t>
            </w:r>
          </w:p>
        </w:tc>
      </w:tr>
      <w:tr w:rsidR="005B0846" w:rsidRPr="00F906F3" w:rsidTr="005B0846">
        <w:tc>
          <w:tcPr>
            <w:tcW w:w="959" w:type="dxa"/>
            <w:shd w:val="clear" w:color="auto" w:fill="auto"/>
            <w:vAlign w:val="center"/>
          </w:tcPr>
          <w:p w:rsidR="005B0846" w:rsidRPr="00872052" w:rsidRDefault="009A4CA2" w:rsidP="005B0846">
            <w:pPr>
              <w:keepNext/>
              <w:keepLines/>
              <w:jc w:val="left"/>
              <w:rPr>
                <w:rFonts w:ascii="ITC Avant Garde" w:hAnsi="ITC Avant Garde"/>
                <w:sz w:val="16"/>
                <w:szCs w:val="16"/>
                <w:lang w:val="es-MX"/>
              </w:rPr>
            </w:pPr>
            <w:r>
              <w:rPr>
                <w:rFonts w:ascii="ITC Avant Garde" w:hAnsi="ITC Avant Garde"/>
                <w:sz w:val="16"/>
                <w:szCs w:val="16"/>
                <w:lang w:val="es-MX"/>
              </w:rPr>
              <w:t>Cobre</w:t>
            </w:r>
          </w:p>
        </w:tc>
        <w:tc>
          <w:tcPr>
            <w:tcW w:w="879" w:type="dxa"/>
            <w:shd w:val="clear" w:color="auto" w:fill="auto"/>
            <w:vAlign w:val="center"/>
          </w:tcPr>
          <w:p w:rsidR="005B0846" w:rsidRPr="00872052" w:rsidRDefault="005B0846" w:rsidP="005B0846">
            <w:pPr>
              <w:keepNext/>
              <w:keepLines/>
              <w:jc w:val="left"/>
              <w:rPr>
                <w:rFonts w:ascii="ITC Avant Garde" w:hAnsi="ITC Avant Garde"/>
                <w:sz w:val="16"/>
                <w:szCs w:val="16"/>
                <w:lang w:val="es-MX"/>
              </w:rPr>
            </w:pPr>
            <w:proofErr w:type="spellStart"/>
            <w:r w:rsidRPr="00872052">
              <w:rPr>
                <w:rFonts w:ascii="ITC Avant Garde" w:hAnsi="ITC Avant Garde"/>
                <w:sz w:val="16"/>
                <w:szCs w:val="16"/>
                <w:lang w:val="es-MX"/>
              </w:rPr>
              <w:t>xlsx</w:t>
            </w:r>
            <w:proofErr w:type="spellEnd"/>
          </w:p>
        </w:tc>
        <w:tc>
          <w:tcPr>
            <w:tcW w:w="4366" w:type="dxa"/>
            <w:shd w:val="clear" w:color="auto" w:fill="auto"/>
            <w:vAlign w:val="center"/>
          </w:tcPr>
          <w:p w:rsidR="005B0846" w:rsidRPr="00872052" w:rsidRDefault="005B0846" w:rsidP="005B0846">
            <w:pPr>
              <w:keepNext/>
              <w:keepLines/>
              <w:jc w:val="left"/>
              <w:rPr>
                <w:rFonts w:ascii="ITC Avant Garde" w:hAnsi="ITC Avant Garde"/>
                <w:sz w:val="16"/>
                <w:szCs w:val="16"/>
                <w:lang w:val="es-MX"/>
              </w:rPr>
            </w:pPr>
            <w:r w:rsidRPr="00872052">
              <w:rPr>
                <w:rFonts w:ascii="ITC Avant Garde" w:hAnsi="ITC Avant Garde"/>
                <w:sz w:val="16"/>
                <w:szCs w:val="16"/>
                <w:lang w:val="es-MX"/>
              </w:rPr>
              <w:t xml:space="preserve">La ubicación de los nodos de acceso de cobre la proporciona </w:t>
            </w:r>
            <w:r w:rsidR="003B1FBF">
              <w:rPr>
                <w:rFonts w:ascii="ITC Avant Garde" w:hAnsi="ITC Avant Garde"/>
                <w:sz w:val="16"/>
                <w:szCs w:val="16"/>
                <w:lang w:val="es-MX"/>
              </w:rPr>
              <w:t>el AEP</w:t>
            </w:r>
            <w:r w:rsidRPr="00872052">
              <w:rPr>
                <w:rFonts w:ascii="ITC Avant Garde" w:hAnsi="ITC Avant Garde"/>
                <w:sz w:val="16"/>
                <w:szCs w:val="16"/>
                <w:lang w:val="es-MX"/>
              </w:rPr>
              <w:t xml:space="preserve"> en el archivo 6.</w:t>
            </w:r>
          </w:p>
        </w:tc>
        <w:tc>
          <w:tcPr>
            <w:tcW w:w="2976" w:type="dxa"/>
            <w:shd w:val="clear" w:color="auto" w:fill="auto"/>
            <w:vAlign w:val="center"/>
          </w:tcPr>
          <w:p w:rsidR="005B0846" w:rsidRPr="00872052" w:rsidRDefault="005B0846" w:rsidP="005B0846">
            <w:pPr>
              <w:pStyle w:val="Prrafodelista"/>
              <w:keepNext/>
              <w:keepLines/>
              <w:numPr>
                <w:ilvl w:val="0"/>
                <w:numId w:val="7"/>
              </w:numPr>
              <w:ind w:left="317" w:hanging="284"/>
              <w:jc w:val="left"/>
              <w:rPr>
                <w:rFonts w:ascii="ITC Avant Garde" w:hAnsi="ITC Avant Garde"/>
                <w:sz w:val="16"/>
                <w:szCs w:val="16"/>
                <w:lang w:val="es-MX"/>
              </w:rPr>
            </w:pPr>
            <w:r w:rsidRPr="00872052">
              <w:rPr>
                <w:rFonts w:ascii="ITC Avant Garde" w:hAnsi="ITC Avant Garde"/>
                <w:sz w:val="16"/>
                <w:szCs w:val="16"/>
                <w:lang w:val="es-MX"/>
              </w:rPr>
              <w:t xml:space="preserve">«6. </w:t>
            </w:r>
            <w:proofErr w:type="spellStart"/>
            <w:r w:rsidRPr="00872052">
              <w:rPr>
                <w:rFonts w:ascii="ITC Avant Garde" w:hAnsi="ITC Avant Garde"/>
                <w:sz w:val="16"/>
                <w:szCs w:val="16"/>
                <w:lang w:val="es-MX"/>
              </w:rPr>
              <w:t>Anexo_Acceso-linea_de_cobre</w:t>
            </w:r>
            <w:proofErr w:type="spellEnd"/>
            <w:r w:rsidRPr="00872052">
              <w:rPr>
                <w:rFonts w:ascii="ITC Avant Garde" w:hAnsi="ITC Avant Garde"/>
                <w:sz w:val="16"/>
                <w:szCs w:val="16"/>
                <w:lang w:val="es-MX"/>
              </w:rPr>
              <w:t> »</w:t>
            </w:r>
          </w:p>
        </w:tc>
      </w:tr>
      <w:tr w:rsidR="005B0846" w:rsidRPr="00F906F3" w:rsidTr="005B0846">
        <w:tc>
          <w:tcPr>
            <w:tcW w:w="959" w:type="dxa"/>
            <w:shd w:val="clear" w:color="auto" w:fill="auto"/>
            <w:vAlign w:val="center"/>
          </w:tcPr>
          <w:p w:rsidR="005B0846" w:rsidRPr="00872052" w:rsidRDefault="009A4CA2" w:rsidP="005B0846">
            <w:pPr>
              <w:keepNext/>
              <w:keepLines/>
              <w:jc w:val="left"/>
              <w:rPr>
                <w:rFonts w:ascii="ITC Avant Garde" w:hAnsi="ITC Avant Garde"/>
                <w:sz w:val="16"/>
                <w:szCs w:val="16"/>
                <w:lang w:val="es-MX"/>
              </w:rPr>
            </w:pPr>
            <w:r>
              <w:rPr>
                <w:rFonts w:ascii="ITC Avant Garde" w:hAnsi="ITC Avant Garde"/>
                <w:sz w:val="16"/>
                <w:szCs w:val="16"/>
                <w:lang w:val="es-MX"/>
              </w:rPr>
              <w:t>Fibra</w:t>
            </w:r>
          </w:p>
        </w:tc>
        <w:tc>
          <w:tcPr>
            <w:tcW w:w="879" w:type="dxa"/>
            <w:shd w:val="clear" w:color="auto" w:fill="auto"/>
            <w:vAlign w:val="center"/>
          </w:tcPr>
          <w:p w:rsidR="005B0846" w:rsidRPr="00872052" w:rsidRDefault="005B0846" w:rsidP="005B0846">
            <w:pPr>
              <w:keepNext/>
              <w:keepLines/>
              <w:jc w:val="left"/>
              <w:rPr>
                <w:rFonts w:ascii="ITC Avant Garde" w:hAnsi="ITC Avant Garde"/>
                <w:sz w:val="16"/>
                <w:szCs w:val="16"/>
                <w:lang w:val="es-MX"/>
              </w:rPr>
            </w:pPr>
            <w:proofErr w:type="spellStart"/>
            <w:r w:rsidRPr="00872052">
              <w:rPr>
                <w:rFonts w:ascii="ITC Avant Garde" w:hAnsi="ITC Avant Garde"/>
                <w:sz w:val="16"/>
                <w:szCs w:val="16"/>
                <w:lang w:val="es-MX"/>
              </w:rPr>
              <w:t>xlsx</w:t>
            </w:r>
            <w:proofErr w:type="spellEnd"/>
          </w:p>
        </w:tc>
        <w:tc>
          <w:tcPr>
            <w:tcW w:w="4366" w:type="dxa"/>
            <w:shd w:val="clear" w:color="auto" w:fill="auto"/>
            <w:vAlign w:val="center"/>
          </w:tcPr>
          <w:p w:rsidR="005B0846" w:rsidRPr="00872052" w:rsidRDefault="005B0846" w:rsidP="005B0846">
            <w:pPr>
              <w:keepNext/>
              <w:keepLines/>
              <w:jc w:val="left"/>
              <w:rPr>
                <w:rFonts w:ascii="ITC Avant Garde" w:hAnsi="ITC Avant Garde"/>
                <w:sz w:val="16"/>
                <w:szCs w:val="16"/>
                <w:lang w:val="es-MX"/>
              </w:rPr>
            </w:pPr>
            <w:r w:rsidRPr="00872052">
              <w:rPr>
                <w:rFonts w:ascii="ITC Avant Garde" w:hAnsi="ITC Avant Garde"/>
                <w:sz w:val="16"/>
                <w:szCs w:val="16"/>
                <w:lang w:val="es-MX"/>
              </w:rPr>
              <w:t xml:space="preserve">La ubicación de los nodos de acceso de fibra la proporciona </w:t>
            </w:r>
            <w:r w:rsidR="003B1FBF">
              <w:rPr>
                <w:rFonts w:ascii="ITC Avant Garde" w:hAnsi="ITC Avant Garde"/>
                <w:sz w:val="16"/>
                <w:szCs w:val="16"/>
                <w:lang w:val="es-MX"/>
              </w:rPr>
              <w:t>el AEP</w:t>
            </w:r>
            <w:r w:rsidRPr="00872052">
              <w:rPr>
                <w:rFonts w:ascii="ITC Avant Garde" w:hAnsi="ITC Avant Garde"/>
                <w:sz w:val="16"/>
                <w:szCs w:val="16"/>
                <w:lang w:val="es-MX"/>
              </w:rPr>
              <w:t xml:space="preserve"> en el archivo 7.</w:t>
            </w:r>
          </w:p>
        </w:tc>
        <w:tc>
          <w:tcPr>
            <w:tcW w:w="2976" w:type="dxa"/>
            <w:shd w:val="clear" w:color="auto" w:fill="auto"/>
            <w:vAlign w:val="center"/>
          </w:tcPr>
          <w:p w:rsidR="005B0846" w:rsidRPr="00872052" w:rsidRDefault="005B0846" w:rsidP="005B0846">
            <w:pPr>
              <w:pStyle w:val="Prrafodelista"/>
              <w:keepNext/>
              <w:keepLines/>
              <w:numPr>
                <w:ilvl w:val="0"/>
                <w:numId w:val="7"/>
              </w:numPr>
              <w:ind w:left="317" w:hanging="284"/>
              <w:jc w:val="left"/>
              <w:rPr>
                <w:rFonts w:ascii="ITC Avant Garde" w:hAnsi="ITC Avant Garde"/>
                <w:sz w:val="16"/>
                <w:szCs w:val="16"/>
                <w:lang w:val="es-MX"/>
              </w:rPr>
            </w:pPr>
            <w:r w:rsidRPr="00872052">
              <w:rPr>
                <w:rFonts w:ascii="ITC Avant Garde" w:hAnsi="ITC Avant Garde"/>
                <w:sz w:val="16"/>
                <w:szCs w:val="16"/>
                <w:lang w:val="es-MX"/>
              </w:rPr>
              <w:t xml:space="preserve">«7. </w:t>
            </w:r>
            <w:proofErr w:type="spellStart"/>
            <w:r w:rsidRPr="00872052">
              <w:rPr>
                <w:rFonts w:ascii="ITC Avant Garde" w:hAnsi="ITC Avant Garde"/>
                <w:sz w:val="16"/>
                <w:szCs w:val="16"/>
                <w:lang w:val="es-MX"/>
              </w:rPr>
              <w:t>Anexo_Acceso-linea_de_fibra</w:t>
            </w:r>
            <w:proofErr w:type="spellEnd"/>
            <w:r w:rsidRPr="00872052">
              <w:rPr>
                <w:rFonts w:ascii="ITC Avant Garde" w:hAnsi="ITC Avant Garde"/>
                <w:sz w:val="16"/>
                <w:szCs w:val="16"/>
                <w:lang w:val="es-MX"/>
              </w:rPr>
              <w:t>»</w:t>
            </w:r>
          </w:p>
        </w:tc>
      </w:tr>
    </w:tbl>
    <w:p w:rsidR="005B0846" w:rsidRPr="00872052" w:rsidRDefault="00400AEB" w:rsidP="005B0846">
      <w:pPr>
        <w:pStyle w:val="Source"/>
        <w:keepNext/>
        <w:rPr>
          <w:rFonts w:ascii="ITC Avant Garde" w:hAnsi="ITC Avant Garde"/>
          <w:lang w:val="es-MX"/>
        </w:rPr>
      </w:pPr>
      <w:r>
        <w:rPr>
          <w:rFonts w:ascii="ITC Avant Garde" w:hAnsi="ITC Avant Garde"/>
          <w:lang w:val="es-MX"/>
        </w:rPr>
        <w:t>¿</w:t>
      </w:r>
    </w:p>
    <w:p w:rsidR="005B0846" w:rsidRPr="00872052" w:rsidRDefault="005B0846" w:rsidP="005B0846">
      <w:pPr>
        <w:rPr>
          <w:rFonts w:ascii="ITC Avant Garde" w:hAnsi="ITC Avant Garde"/>
          <w:lang w:val="es-MX"/>
        </w:rPr>
      </w:pPr>
    </w:p>
    <w:p w:rsidR="005B0846" w:rsidRPr="00872052" w:rsidRDefault="005B0846" w:rsidP="005B0846">
      <w:pPr>
        <w:rPr>
          <w:rFonts w:ascii="ITC Avant Garde" w:hAnsi="ITC Avant Garde"/>
          <w:lang w:val="es-MX"/>
        </w:rPr>
      </w:pPr>
      <w:r w:rsidRPr="00872052">
        <w:rPr>
          <w:rFonts w:ascii="ITC Avant Garde" w:hAnsi="ITC Avant Garde"/>
          <w:lang w:val="es-MX"/>
        </w:rPr>
        <w:lastRenderedPageBreak/>
        <w:t>Se realiz</w:t>
      </w:r>
      <w:r w:rsidR="004F5AFE">
        <w:rPr>
          <w:rFonts w:ascii="ITC Avant Garde" w:hAnsi="ITC Avant Garde"/>
          <w:lang w:val="es-MX"/>
        </w:rPr>
        <w:t>ó</w:t>
      </w:r>
      <w:r w:rsidRPr="00872052">
        <w:rPr>
          <w:rFonts w:ascii="ITC Avant Garde" w:hAnsi="ITC Avant Garde"/>
          <w:lang w:val="es-MX"/>
        </w:rPr>
        <w:t xml:space="preserve"> un amplio trabajo preliminar para garantizar la coherencia entre todas las bases de datos proporcionadas.</w:t>
      </w:r>
    </w:p>
    <w:p w:rsidR="0052235D" w:rsidRPr="00872052" w:rsidRDefault="0052235D" w:rsidP="001F2D73">
      <w:pPr>
        <w:rPr>
          <w:rFonts w:ascii="ITC Avant Garde" w:hAnsi="ITC Avant Garde"/>
          <w:lang w:val="es-MX"/>
        </w:rPr>
      </w:pPr>
    </w:p>
    <w:p w:rsidR="0052235D" w:rsidRPr="00872052" w:rsidRDefault="0052235D" w:rsidP="0052235D">
      <w:pPr>
        <w:pStyle w:val="Ttulo3"/>
        <w:rPr>
          <w:rFonts w:ascii="ITC Avant Garde" w:hAnsi="ITC Avant Garde"/>
          <w:lang w:val="es-MX"/>
        </w:rPr>
      </w:pPr>
      <w:bookmarkStart w:id="197" w:name="_Toc525672859"/>
      <w:bookmarkStart w:id="198" w:name="_Toc525665299"/>
      <w:bookmarkStart w:id="199" w:name="_Toc525665678"/>
      <w:bookmarkStart w:id="200" w:name="_Toc526854379"/>
      <w:r w:rsidRPr="00872052">
        <w:rPr>
          <w:rFonts w:ascii="ITC Avant Garde" w:hAnsi="ITC Avant Garde"/>
          <w:lang w:val="es-MX"/>
        </w:rPr>
        <w:t>Trabajo preliminar en la base de datos de la red de carreteras</w:t>
      </w:r>
      <w:bookmarkEnd w:id="197"/>
      <w:bookmarkEnd w:id="198"/>
      <w:bookmarkEnd w:id="199"/>
      <w:bookmarkEnd w:id="200"/>
    </w:p>
    <w:p w:rsidR="0052235D" w:rsidRPr="00872052" w:rsidRDefault="0052235D" w:rsidP="0052235D">
      <w:pPr>
        <w:rPr>
          <w:rFonts w:ascii="ITC Avant Garde" w:hAnsi="ITC Avant Garde"/>
          <w:lang w:val="es-MX"/>
        </w:rPr>
      </w:pPr>
      <w:r w:rsidRPr="00872052">
        <w:rPr>
          <w:rFonts w:ascii="ITC Avant Garde" w:hAnsi="ITC Avant Garde"/>
          <w:lang w:val="es-MX"/>
        </w:rPr>
        <w:t xml:space="preserve">Las bases de datos provenientes de "Marco </w:t>
      </w:r>
      <w:proofErr w:type="spellStart"/>
      <w:r w:rsidR="00A46493" w:rsidRPr="00872052">
        <w:rPr>
          <w:rFonts w:ascii="ITC Avant Garde" w:hAnsi="ITC Avant Garde"/>
          <w:lang w:val="es-MX"/>
        </w:rPr>
        <w:t>Geoestadístico</w:t>
      </w:r>
      <w:proofErr w:type="spellEnd"/>
      <w:r w:rsidRPr="00872052">
        <w:rPr>
          <w:rFonts w:ascii="ITC Avant Garde" w:hAnsi="ITC Avant Garde"/>
          <w:lang w:val="es-MX"/>
        </w:rPr>
        <w:t xml:space="preserve">, </w:t>
      </w:r>
      <w:r w:rsidR="00A46493" w:rsidRPr="00872052">
        <w:rPr>
          <w:rFonts w:ascii="ITC Avant Garde" w:hAnsi="ITC Avant Garde"/>
          <w:lang w:val="es-MX"/>
        </w:rPr>
        <w:t>diciembre</w:t>
      </w:r>
      <w:r w:rsidRPr="00872052">
        <w:rPr>
          <w:rFonts w:ascii="ITC Avant Garde" w:hAnsi="ITC Avant Garde"/>
          <w:lang w:val="es-MX"/>
        </w:rPr>
        <w:t xml:space="preserve"> 2017" y "Red Nacional de Caminos" brindan detalles sobre toda la red vial mexicana. Para garantizar la conectividad de la red de carreteras, se han requerido </w:t>
      </w:r>
      <w:r w:rsidR="005B0846" w:rsidRPr="00872052">
        <w:rPr>
          <w:rFonts w:ascii="ITC Avant Garde" w:hAnsi="ITC Avant Garde"/>
          <w:lang w:val="es-MX"/>
        </w:rPr>
        <w:t>varios ajustes.</w:t>
      </w:r>
      <w:r w:rsidRPr="00872052">
        <w:rPr>
          <w:rFonts w:ascii="ITC Avant Garde" w:hAnsi="ITC Avant Garde"/>
          <w:lang w:val="es-MX"/>
        </w:rPr>
        <w:t xml:space="preserve"> Éstas incluyen:</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Eliminar las secciones de la carretera que no están conectadas a la red y donde no se encuentran edificios (por ejemplo, estadios, canteras</w:t>
      </w:r>
      <w:r w:rsidR="009F36EA">
        <w:rPr>
          <w:rFonts w:ascii="ITC Avant Garde" w:hAnsi="ITC Avant Garde"/>
          <w:lang w:val="es-MX"/>
        </w:rPr>
        <w:t>, entre otros</w:t>
      </w:r>
      <w:r w:rsidRPr="00872052">
        <w:rPr>
          <w:rFonts w:ascii="ITC Avant Garde" w:hAnsi="ITC Avant Garde"/>
          <w:lang w:val="es-MX"/>
        </w:rPr>
        <w:t>);</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 xml:space="preserve">Agregar secciones de camino para conectar secciones de camino aisladas con el resto de la red para asegurar la conectividad de la red y para conectar los edificios correspondientes (vea la </w:t>
      </w:r>
      <w:r w:rsidR="009F36EA">
        <w:rPr>
          <w:rFonts w:ascii="ITC Avant Garde" w:hAnsi="ITC Avant Garde"/>
          <w:lang w:val="es-MX"/>
        </w:rPr>
        <w:t>figura siguiente</w:t>
      </w:r>
      <w:r w:rsidRPr="00872052">
        <w:rPr>
          <w:rFonts w:ascii="ITC Avant Garde" w:hAnsi="ITC Avant Garde"/>
          <w:lang w:val="es-MX"/>
        </w:rPr>
        <w:t>). Estas secciones de camino aisladas están conectadas con una línea recta (proyección ortogonal) al resto de la red.</w:t>
      </w:r>
    </w:p>
    <w:p w:rsidR="005B0846" w:rsidRPr="00872052" w:rsidRDefault="005B0846" w:rsidP="005B0846">
      <w:pPr>
        <w:rPr>
          <w:rFonts w:ascii="ITC Avant Garde" w:hAnsi="ITC Avant Garde"/>
          <w:lang w:val="es-MX"/>
        </w:rPr>
      </w:pPr>
      <w:r w:rsidRPr="00872052">
        <w:rPr>
          <w:rFonts w:ascii="ITC Avant Garde" w:hAnsi="ITC Avant Garde"/>
          <w:lang w:val="es-MX"/>
        </w:rPr>
        <w:t> </w:t>
      </w:r>
    </w:p>
    <w:p w:rsidR="005B0846" w:rsidRPr="00872052" w:rsidRDefault="005B0846" w:rsidP="005B0846">
      <w:pPr>
        <w:pStyle w:val="Descripcin"/>
        <w:keepNext/>
        <w:jc w:val="both"/>
        <w:rPr>
          <w:rFonts w:ascii="ITC Avant Garde" w:hAnsi="ITC Avant Garde"/>
          <w:lang w:val="es-MX"/>
        </w:rPr>
      </w:pPr>
      <w:r w:rsidRPr="00872052">
        <w:rPr>
          <w:rFonts w:ascii="ITC Avant Garde" w:hAnsi="ITC Avant Garde"/>
          <w:lang w:val="es-MX"/>
        </w:rPr>
        <w:t xml:space="preserve">Figura </w:t>
      </w:r>
      <w:r w:rsidR="00E55E52">
        <w:rPr>
          <w:rFonts w:ascii="ITC Avant Garde" w:hAnsi="ITC Avant Garde"/>
          <w:lang w:val="es-MX"/>
        </w:rPr>
        <w:t>17</w:t>
      </w:r>
      <w:r w:rsidRPr="00872052">
        <w:rPr>
          <w:rFonts w:ascii="ITC Avant Garde" w:hAnsi="ITC Avant Garde"/>
          <w:lang w:val="es-MX"/>
        </w:rPr>
        <w:t xml:space="preserve"> - Ejemplo de sección de camino aislada para conectarse al resto de la red</w:t>
      </w:r>
    </w:p>
    <w:p w:rsidR="005B0846" w:rsidRPr="00872052" w:rsidRDefault="005B0846" w:rsidP="005B0846">
      <w:pPr>
        <w:rPr>
          <w:rFonts w:ascii="ITC Avant Garde" w:hAnsi="ITC Avant Garde"/>
          <w:lang w:val="es-MX"/>
        </w:rPr>
      </w:pPr>
      <w:r w:rsidRPr="00872052">
        <w:rPr>
          <w:rFonts w:ascii="ITC Avant Garde" w:hAnsi="ITC Avant Garde"/>
          <w:noProof/>
          <w:lang w:val="es-MX" w:eastAsia="es-MX"/>
        </w:rPr>
        <w:drawing>
          <wp:inline distT="0" distB="0" distL="0" distR="0" wp14:anchorId="46A6C95E" wp14:editId="07880207">
            <wp:extent cx="4895850" cy="2342564"/>
            <wp:effectExtent l="0" t="0" r="0" b="635"/>
            <wp:docPr id="3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3235" cy="2350882"/>
                    </a:xfrm>
                    <a:prstGeom prst="rect">
                      <a:avLst/>
                    </a:prstGeom>
                    <a:noFill/>
                  </pic:spPr>
                </pic:pic>
              </a:graphicData>
            </a:graphic>
          </wp:inline>
        </w:drawing>
      </w:r>
    </w:p>
    <w:p w:rsidR="005B0846" w:rsidRPr="00872052" w:rsidRDefault="00400AEB" w:rsidP="005B0846">
      <w:pPr>
        <w:pStyle w:val="Source"/>
        <w:keepNext/>
        <w:rPr>
          <w:rFonts w:ascii="ITC Avant Garde" w:hAnsi="ITC Avant Garde"/>
          <w:lang w:val="es-MX"/>
        </w:rPr>
      </w:pPr>
      <w:r>
        <w:rPr>
          <w:rFonts w:ascii="ITC Avant Garde" w:hAnsi="ITC Avant Garde"/>
          <w:lang w:val="es-MX"/>
        </w:rPr>
        <w:t>¿</w:t>
      </w:r>
    </w:p>
    <w:p w:rsidR="005B0846" w:rsidRPr="00872052" w:rsidRDefault="005B0846" w:rsidP="005B0846">
      <w:pPr>
        <w:rPr>
          <w:rFonts w:ascii="ITC Avant Garde" w:hAnsi="ITC Avant Garde"/>
          <w:lang w:val="es-MX"/>
        </w:rPr>
      </w:pPr>
    </w:p>
    <w:p w:rsidR="005B0846" w:rsidRPr="00872052" w:rsidRDefault="005B0846" w:rsidP="005B0846">
      <w:pPr>
        <w:rPr>
          <w:rFonts w:ascii="ITC Avant Garde" w:hAnsi="ITC Avant Garde"/>
          <w:lang w:val="es-MX"/>
        </w:rPr>
      </w:pPr>
      <w:r w:rsidRPr="00872052">
        <w:rPr>
          <w:rFonts w:ascii="ITC Avant Garde" w:hAnsi="ITC Avant Garde"/>
          <w:lang w:val="es-MX"/>
        </w:rPr>
        <w:t>Durante el modelado, todas las viviendas se agregan para llegar a la CO</w:t>
      </w:r>
      <w:r w:rsidR="00C45D1B">
        <w:rPr>
          <w:rFonts w:ascii="ITC Avant Garde" w:hAnsi="ITC Avant Garde"/>
          <w:lang w:val="es-MX"/>
        </w:rPr>
        <w:t xml:space="preserve"> </w:t>
      </w:r>
      <w:r w:rsidRPr="00872052">
        <w:rPr>
          <w:rFonts w:ascii="ITC Avant Garde" w:hAnsi="ITC Avant Garde"/>
          <w:lang w:val="es-MX"/>
        </w:rPr>
        <w:t>siguiendo la red de carreteras.</w:t>
      </w: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La red vial final se ajusta en base a las bases de datos "Marco </w:t>
      </w:r>
      <w:proofErr w:type="spellStart"/>
      <w:r w:rsidRPr="00872052">
        <w:rPr>
          <w:rFonts w:ascii="ITC Avant Garde" w:hAnsi="ITC Avant Garde"/>
          <w:lang w:val="es-MX"/>
        </w:rPr>
        <w:t>Geoestadístico</w:t>
      </w:r>
      <w:proofErr w:type="spellEnd"/>
      <w:r w:rsidRPr="00872052">
        <w:rPr>
          <w:rFonts w:ascii="ITC Avant Garde" w:hAnsi="ITC Avant Garde"/>
          <w:lang w:val="es-MX"/>
        </w:rPr>
        <w:t>, diciembre 2017" y "Red Nacional de Caminos", la información vial utilizada en el modelo consiste en secciones de caminos y nodos al final de cada tramo de carretera. Una sección de carretera es un segmento de carretera que no se cruza con ninguna otra carretera.</w:t>
      </w:r>
    </w:p>
    <w:p w:rsidR="005B0846" w:rsidRPr="00872052" w:rsidRDefault="005B0846" w:rsidP="005B0846">
      <w:pPr>
        <w:rPr>
          <w:rFonts w:ascii="ITC Avant Garde" w:hAnsi="ITC Avant Garde"/>
          <w:lang w:val="es-MX"/>
        </w:rPr>
      </w:pPr>
      <w:r w:rsidRPr="00872052">
        <w:rPr>
          <w:rFonts w:ascii="ITC Avant Garde" w:hAnsi="ITC Avant Garde"/>
          <w:lang w:val="es-MX"/>
        </w:rPr>
        <w:lastRenderedPageBreak/>
        <w:t> </w:t>
      </w:r>
    </w:p>
    <w:p w:rsidR="005B0846" w:rsidRPr="00872052" w:rsidRDefault="005B0846" w:rsidP="005B0846">
      <w:pPr>
        <w:pStyle w:val="Descripcin"/>
        <w:keepNext/>
        <w:rPr>
          <w:rFonts w:ascii="ITC Avant Garde" w:hAnsi="ITC Avant Garde"/>
        </w:rPr>
      </w:pPr>
      <w:proofErr w:type="spellStart"/>
      <w:r w:rsidRPr="00872052">
        <w:rPr>
          <w:rFonts w:ascii="ITC Avant Garde" w:hAnsi="ITC Avant Garde"/>
        </w:rPr>
        <w:t>Figura</w:t>
      </w:r>
      <w:proofErr w:type="spellEnd"/>
      <w:r w:rsidRPr="00872052">
        <w:rPr>
          <w:rFonts w:ascii="ITC Avant Garde" w:hAnsi="ITC Avant Garde"/>
        </w:rPr>
        <w:t xml:space="preserve"> </w:t>
      </w:r>
      <w:r w:rsidR="00E55E52">
        <w:rPr>
          <w:rFonts w:ascii="ITC Avant Garde" w:hAnsi="ITC Avant Garde"/>
        </w:rPr>
        <w:t>18</w:t>
      </w:r>
      <w:r w:rsidRPr="00872052">
        <w:rPr>
          <w:rFonts w:ascii="ITC Avant Garde" w:hAnsi="ITC Avant Garde"/>
        </w:rPr>
        <w:t xml:space="preserve"> - </w:t>
      </w:r>
      <w:proofErr w:type="spellStart"/>
      <w:r w:rsidRPr="00872052">
        <w:rPr>
          <w:rFonts w:ascii="ITC Avant Garde" w:hAnsi="ITC Avant Garde"/>
        </w:rPr>
        <w:t>Secciones</w:t>
      </w:r>
      <w:proofErr w:type="spellEnd"/>
      <w:r w:rsidRPr="00872052">
        <w:rPr>
          <w:rFonts w:ascii="ITC Avant Garde" w:hAnsi="ITC Avant Garde"/>
        </w:rPr>
        <w:t xml:space="preserve"> de </w:t>
      </w:r>
      <w:proofErr w:type="spellStart"/>
      <w:r w:rsidRPr="00872052">
        <w:rPr>
          <w:rFonts w:ascii="ITC Avant Garde" w:hAnsi="ITC Avant Garde"/>
        </w:rPr>
        <w:t>camino</w:t>
      </w:r>
      <w:proofErr w:type="spellEnd"/>
    </w:p>
    <w:p w:rsidR="005B0846" w:rsidRPr="00872052" w:rsidRDefault="005B0846" w:rsidP="005B0846">
      <w:pPr>
        <w:rPr>
          <w:rFonts w:ascii="ITC Avant Garde" w:hAnsi="ITC Avant Garde"/>
          <w:lang w:val="es-MX"/>
        </w:rPr>
      </w:pPr>
      <w:r w:rsidRPr="00872052">
        <w:rPr>
          <w:rFonts w:ascii="ITC Avant Garde" w:hAnsi="ITC Avant Garde"/>
          <w:noProof/>
          <w:lang w:val="es-MX" w:eastAsia="es-MX"/>
        </w:rPr>
        <w:drawing>
          <wp:inline distT="0" distB="0" distL="0" distR="0" wp14:anchorId="07C28915" wp14:editId="4D11A97E">
            <wp:extent cx="4880610" cy="2009775"/>
            <wp:effectExtent l="0" t="0" r="0" b="9525"/>
            <wp:docPr id="3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0610" cy="2009775"/>
                    </a:xfrm>
                    <a:prstGeom prst="rect">
                      <a:avLst/>
                    </a:prstGeom>
                    <a:noFill/>
                    <a:ln>
                      <a:noFill/>
                    </a:ln>
                  </pic:spPr>
                </pic:pic>
              </a:graphicData>
            </a:graphic>
          </wp:inline>
        </w:drawing>
      </w:r>
    </w:p>
    <w:p w:rsidR="0052235D" w:rsidRPr="00872052" w:rsidRDefault="0052235D" w:rsidP="005B0846">
      <w:pPr>
        <w:pStyle w:val="Source"/>
        <w:keepNext/>
        <w:rPr>
          <w:rFonts w:ascii="ITC Avant Garde" w:hAnsi="ITC Avant Garde"/>
          <w:lang w:val="es-MX"/>
        </w:rPr>
      </w:pPr>
    </w:p>
    <w:p w:rsidR="0052235D" w:rsidRPr="00872052" w:rsidRDefault="0052235D" w:rsidP="0052235D">
      <w:pPr>
        <w:pStyle w:val="Ttulo3"/>
        <w:rPr>
          <w:rFonts w:ascii="ITC Avant Garde" w:hAnsi="ITC Avant Garde"/>
          <w:lang w:val="es-MX"/>
        </w:rPr>
      </w:pPr>
      <w:bookmarkStart w:id="201" w:name="_Toc525672860"/>
      <w:bookmarkStart w:id="202" w:name="_Toc525665300"/>
      <w:bookmarkStart w:id="203" w:name="_Toc525665679"/>
      <w:bookmarkStart w:id="204" w:name="_Toc526854380"/>
      <w:r w:rsidRPr="00872052">
        <w:rPr>
          <w:rFonts w:ascii="ITC Avant Garde" w:hAnsi="ITC Avant Garde"/>
          <w:lang w:val="es-MX"/>
        </w:rPr>
        <w:t>Trabajo preliminar en la ubicación de los nodos</w:t>
      </w:r>
      <w:bookmarkEnd w:id="201"/>
      <w:bookmarkEnd w:id="202"/>
      <w:bookmarkEnd w:id="203"/>
      <w:bookmarkEnd w:id="204"/>
    </w:p>
    <w:p w:rsidR="0052235D" w:rsidRPr="00872052" w:rsidRDefault="0052235D" w:rsidP="0052235D">
      <w:pPr>
        <w:rPr>
          <w:rFonts w:ascii="ITC Avant Garde" w:hAnsi="ITC Avant Garde"/>
          <w:lang w:val="es-MX"/>
        </w:rPr>
      </w:pPr>
      <w:r w:rsidRPr="00872052">
        <w:rPr>
          <w:rFonts w:ascii="ITC Avant Garde" w:hAnsi="ITC Avant Garde"/>
          <w:lang w:val="es-MX"/>
        </w:rPr>
        <w:t xml:space="preserve">Las bases de datos que describen la ubicación de los nodos son provistas por </w:t>
      </w:r>
      <w:r w:rsidR="003B1FBF">
        <w:rPr>
          <w:rFonts w:ascii="ITC Avant Garde" w:hAnsi="ITC Avant Garde"/>
          <w:lang w:val="es-MX"/>
        </w:rPr>
        <w:t>el AEP</w:t>
      </w:r>
      <w:r w:rsidRPr="00872052">
        <w:rPr>
          <w:rFonts w:ascii="ITC Avant Garde" w:hAnsi="ITC Avant Garde"/>
          <w:lang w:val="es-MX"/>
        </w:rPr>
        <w:t xml:space="preserve"> en las bases de datos «6. </w:t>
      </w:r>
      <w:proofErr w:type="spellStart"/>
      <w:r w:rsidRPr="00872052">
        <w:rPr>
          <w:rFonts w:ascii="ITC Avant Garde" w:hAnsi="ITC Avant Garde"/>
          <w:lang w:val="es-MX"/>
        </w:rPr>
        <w:t>Anexo_Acceso-linea_de_cobre</w:t>
      </w:r>
      <w:proofErr w:type="spellEnd"/>
      <w:r w:rsidRPr="00872052">
        <w:rPr>
          <w:rFonts w:ascii="ITC Avant Garde" w:hAnsi="ITC Avant Garde"/>
          <w:lang w:val="es-MX"/>
        </w:rPr>
        <w:t xml:space="preserve">» para nodos de cobre y «7. </w:t>
      </w:r>
      <w:proofErr w:type="spellStart"/>
      <w:r w:rsidRPr="00872052">
        <w:rPr>
          <w:rFonts w:ascii="ITC Avant Garde" w:hAnsi="ITC Avant Garde"/>
          <w:lang w:val="es-MX"/>
        </w:rPr>
        <w:t>Anexo_Acceso-linea_de_</w:t>
      </w:r>
      <w:r w:rsidR="00A46493" w:rsidRPr="00872052">
        <w:rPr>
          <w:rFonts w:ascii="ITC Avant Garde" w:hAnsi="ITC Avant Garde"/>
          <w:lang w:val="es-MX"/>
        </w:rPr>
        <w:t>fibra</w:t>
      </w:r>
      <w:proofErr w:type="spellEnd"/>
      <w:r w:rsidR="00A46493" w:rsidRPr="00872052">
        <w:rPr>
          <w:rFonts w:ascii="ITC Avant Garde" w:hAnsi="ITC Avant Garde"/>
          <w:lang w:val="es-MX"/>
        </w:rPr>
        <w:t>» para</w:t>
      </w:r>
      <w:r w:rsidRPr="00872052">
        <w:rPr>
          <w:rFonts w:ascii="ITC Avant Garde" w:hAnsi="ITC Avant Garde"/>
          <w:lang w:val="es-MX"/>
        </w:rPr>
        <w:t xml:space="preserve"> nodos de fibra.</w:t>
      </w:r>
    </w:p>
    <w:p w:rsidR="0052235D" w:rsidRPr="00872052" w:rsidRDefault="0052235D" w:rsidP="0052235D">
      <w:pPr>
        <w:rPr>
          <w:rFonts w:ascii="ITC Avant Garde" w:hAnsi="ITC Avant Garde"/>
          <w:lang w:val="es-MX"/>
        </w:rPr>
      </w:pPr>
      <w:r w:rsidRPr="00872052">
        <w:rPr>
          <w:rFonts w:ascii="ITC Avant Garde" w:hAnsi="ITC Avant Garde"/>
          <w:lang w:val="es-MX"/>
        </w:rPr>
        <w:t xml:space="preserve">En general, los nodos de fibra tienen la misma posición que los de cobre, lo que significa que las Centrales </w:t>
      </w:r>
      <w:r w:rsidR="005B0846" w:rsidRPr="00872052">
        <w:rPr>
          <w:rFonts w:ascii="ITC Avant Garde" w:hAnsi="ITC Avant Garde"/>
          <w:lang w:val="es-MX"/>
        </w:rPr>
        <w:t xml:space="preserve">(CO) de </w:t>
      </w:r>
      <w:proofErr w:type="spellStart"/>
      <w:r w:rsidR="005B0846" w:rsidRPr="00872052">
        <w:rPr>
          <w:rFonts w:ascii="ITC Avant Garde" w:hAnsi="ITC Avant Garde"/>
          <w:lang w:val="es-MX"/>
        </w:rPr>
        <w:t>fibre</w:t>
      </w:r>
      <w:proofErr w:type="spellEnd"/>
      <w:r w:rsidR="005B0846" w:rsidRPr="00872052">
        <w:rPr>
          <w:rFonts w:ascii="ITC Avant Garde" w:hAnsi="ITC Avant Garde"/>
          <w:lang w:val="es-MX"/>
        </w:rPr>
        <w:t xml:space="preserve"> </w:t>
      </w:r>
      <w:r w:rsidRPr="00872052">
        <w:rPr>
          <w:rFonts w:ascii="ITC Avant Garde" w:hAnsi="ITC Avant Garde"/>
          <w:lang w:val="es-MX"/>
        </w:rPr>
        <w:t xml:space="preserve">se han posicionado ex post en las mismas posiciones que los </w:t>
      </w:r>
      <w:r w:rsidR="005B0846" w:rsidRPr="00872052">
        <w:rPr>
          <w:rFonts w:ascii="ITC Avant Garde" w:hAnsi="ITC Avant Garde"/>
          <w:lang w:val="es-MX"/>
        </w:rPr>
        <w:t>CO</w:t>
      </w:r>
      <w:r w:rsidRPr="00872052">
        <w:rPr>
          <w:rFonts w:ascii="ITC Avant Garde" w:hAnsi="ITC Avant Garde"/>
          <w:lang w:val="es-MX"/>
        </w:rPr>
        <w:t xml:space="preserve"> de cobre. Las dos listas de nodos se fusionaron para generar una lista PDP/CO global. Esta lista global es la principal estructura de nodos de la red </w:t>
      </w:r>
      <w:r w:rsidR="005B0846" w:rsidRPr="00872052">
        <w:rPr>
          <w:rFonts w:ascii="ITC Avant Garde" w:hAnsi="ITC Avant Garde"/>
          <w:lang w:val="es-MX"/>
        </w:rPr>
        <w:t>del AEP</w:t>
      </w:r>
      <w:r w:rsidRPr="00872052">
        <w:rPr>
          <w:rFonts w:ascii="ITC Avant Garde" w:hAnsi="ITC Avant Garde"/>
          <w:lang w:val="es-MX"/>
        </w:rPr>
        <w:t xml:space="preserve">, contiene alrededor de 130K PDP </w:t>
      </w:r>
      <w:r w:rsidR="005B0846" w:rsidRPr="00872052">
        <w:rPr>
          <w:rFonts w:ascii="ITC Avant Garde" w:hAnsi="ITC Avant Garde"/>
          <w:lang w:val="es-MX"/>
        </w:rPr>
        <w:t>(</w:t>
      </w:r>
      <w:r w:rsidRPr="00872052">
        <w:rPr>
          <w:rFonts w:ascii="ITC Avant Garde" w:hAnsi="ITC Avant Garde"/>
          <w:lang w:val="es-MX"/>
        </w:rPr>
        <w:t>no únicos</w:t>
      </w:r>
      <w:r w:rsidR="005B0846" w:rsidRPr="00872052">
        <w:rPr>
          <w:rFonts w:ascii="ITC Avant Garde" w:hAnsi="ITC Avant Garde"/>
          <w:lang w:val="es-MX"/>
        </w:rPr>
        <w:t>)</w:t>
      </w:r>
      <w:r w:rsidRPr="00872052">
        <w:rPr>
          <w:rFonts w:ascii="ITC Avant Garde" w:hAnsi="ITC Avant Garde"/>
          <w:lang w:val="es-MX"/>
        </w:rPr>
        <w:t xml:space="preserve"> y un total de 8</w:t>
      </w:r>
      <w:r w:rsidR="009F36EA">
        <w:rPr>
          <w:rFonts w:ascii="ITC Avant Garde" w:hAnsi="ITC Avant Garde"/>
          <w:lang w:val="es-MX"/>
        </w:rPr>
        <w:t>,</w:t>
      </w:r>
      <w:r w:rsidRPr="00872052">
        <w:rPr>
          <w:rFonts w:ascii="ITC Avant Garde" w:hAnsi="ITC Avant Garde"/>
          <w:lang w:val="es-MX"/>
        </w:rPr>
        <w:t xml:space="preserve">437 </w:t>
      </w:r>
      <w:r w:rsidR="005B0846" w:rsidRPr="00872052">
        <w:rPr>
          <w:rFonts w:ascii="ITC Avant Garde" w:hAnsi="ITC Avant Garde"/>
          <w:lang w:val="es-MX"/>
        </w:rPr>
        <w:t>CO</w:t>
      </w:r>
      <w:r w:rsidRPr="00872052">
        <w:rPr>
          <w:rFonts w:ascii="ITC Avant Garde" w:hAnsi="ITC Avant Garde"/>
          <w:lang w:val="es-MX"/>
        </w:rPr>
        <w:t>.</w:t>
      </w:r>
    </w:p>
    <w:p w:rsidR="005B0846" w:rsidRPr="00872052" w:rsidRDefault="005B0846" w:rsidP="005B0846">
      <w:pPr>
        <w:rPr>
          <w:rFonts w:ascii="ITC Avant Garde" w:hAnsi="ITC Avant Garde"/>
          <w:lang w:val="es-MX"/>
        </w:rPr>
      </w:pPr>
      <w:r w:rsidRPr="00872052">
        <w:rPr>
          <w:rFonts w:ascii="ITC Avant Garde" w:hAnsi="ITC Avant Garde"/>
          <w:lang w:val="es-MX"/>
        </w:rPr>
        <w:t>El análisis de esta lista de PDP/CO muestra que muchos PDP/CO no tienen una posición geográfica identificada (no se proporcionaron X/Y para una cantidad de nodos). La posición de algunos PDP/CO se ha completado en base a la información provista en las dos listas (por ejemplo, para CO con coordenadas faltantes, el PDP asociado que tiene el número máximo de líneas instaladas se usa como CO, para PDP sin coordenadas, el Posición CO se usa). Siguiendo estas reglas, se han completado 409 casos.</w:t>
      </w:r>
    </w:p>
    <w:p w:rsidR="005B0846" w:rsidRPr="00872052" w:rsidRDefault="005B0846" w:rsidP="005B0846">
      <w:pPr>
        <w:rPr>
          <w:rFonts w:ascii="ITC Avant Garde" w:hAnsi="ITC Avant Garde"/>
          <w:lang w:val="es-MX"/>
        </w:rPr>
      </w:pPr>
      <w:r w:rsidRPr="00872052">
        <w:rPr>
          <w:rFonts w:ascii="ITC Avant Garde" w:hAnsi="ITC Avant Garde"/>
          <w:lang w:val="es-MX"/>
        </w:rPr>
        <w:t>Después de estos tratamientos, un número de 6</w:t>
      </w:r>
      <w:r w:rsidR="009F36EA">
        <w:rPr>
          <w:rFonts w:ascii="ITC Avant Garde" w:hAnsi="ITC Avant Garde"/>
          <w:lang w:val="es-MX"/>
        </w:rPr>
        <w:t>,</w:t>
      </w:r>
      <w:r w:rsidRPr="00872052">
        <w:rPr>
          <w:rFonts w:ascii="ITC Avant Garde" w:hAnsi="ITC Avant Garde"/>
          <w:lang w:val="es-MX"/>
        </w:rPr>
        <w:t>000 PDP todavía tienen una posición desconocida. Estos PDP se colocaron siguiendo un enfoque desde cero (</w:t>
      </w:r>
      <w:proofErr w:type="spellStart"/>
      <w:r w:rsidRPr="00872052">
        <w:rPr>
          <w:rFonts w:ascii="ITC Avant Garde" w:hAnsi="ITC Avant Garde"/>
          <w:i/>
          <w:lang w:val="es-MX"/>
        </w:rPr>
        <w:t>scorched</w:t>
      </w:r>
      <w:proofErr w:type="spellEnd"/>
      <w:r w:rsidRPr="00872052">
        <w:rPr>
          <w:rFonts w:ascii="ITC Avant Garde" w:hAnsi="ITC Avant Garde"/>
          <w:i/>
          <w:lang w:val="es-MX"/>
        </w:rPr>
        <w:t xml:space="preserve"> </w:t>
      </w:r>
      <w:proofErr w:type="spellStart"/>
      <w:r w:rsidRPr="00872052">
        <w:rPr>
          <w:rFonts w:ascii="ITC Avant Garde" w:hAnsi="ITC Avant Garde"/>
          <w:i/>
          <w:lang w:val="es-MX"/>
        </w:rPr>
        <w:t>earth</w:t>
      </w:r>
      <w:proofErr w:type="spellEnd"/>
      <w:r w:rsidRPr="00872052">
        <w:rPr>
          <w:rFonts w:ascii="ITC Avant Garde" w:hAnsi="ITC Avant Garde"/>
          <w:lang w:val="es-MX"/>
        </w:rPr>
        <w:t>), es decir, se colocaron en el punto de la red más cercano al centro del promedio de las ubicaciones de los edificios para los mayores 6</w:t>
      </w:r>
      <w:r w:rsidR="009F36EA">
        <w:rPr>
          <w:rFonts w:ascii="ITC Avant Garde" w:hAnsi="ITC Avant Garde"/>
          <w:lang w:val="es-MX"/>
        </w:rPr>
        <w:t>,</w:t>
      </w:r>
      <w:r w:rsidRPr="00872052">
        <w:rPr>
          <w:rFonts w:ascii="ITC Avant Garde" w:hAnsi="ITC Avant Garde"/>
          <w:lang w:val="es-MX"/>
        </w:rPr>
        <w:t>000 PDP (con el mayor número de edificios).</w:t>
      </w: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La </w:t>
      </w:r>
      <w:r w:rsidR="00DC6B35">
        <w:rPr>
          <w:rFonts w:ascii="ITC Avant Garde" w:hAnsi="ITC Avant Garde"/>
          <w:lang w:val="es-MX"/>
        </w:rPr>
        <w:t>f</w:t>
      </w:r>
      <w:r w:rsidRPr="00872052">
        <w:rPr>
          <w:rFonts w:ascii="ITC Avant Garde" w:hAnsi="ITC Avant Garde"/>
          <w:lang w:val="es-MX"/>
        </w:rPr>
        <w:t>igura a bajo muestra los PDP alrededor del CO identificado como “NVZ”. Las carreteras están codificadas por colores en función del PDP/CO más cercano. Se han colocado nuevos PDP en la coordenada promedio de los edificios atendidos por los PDP existentes.</w:t>
      </w: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lastRenderedPageBreak/>
        <w:t xml:space="preserve"> Figura </w:t>
      </w:r>
      <w:r w:rsidR="00E55E52">
        <w:rPr>
          <w:rFonts w:ascii="ITC Avant Garde" w:hAnsi="ITC Avant Garde"/>
          <w:lang w:val="es-MX"/>
        </w:rPr>
        <w:t>19</w:t>
      </w:r>
      <w:r w:rsidRPr="00872052">
        <w:rPr>
          <w:rFonts w:ascii="ITC Avant Garde" w:hAnsi="ITC Avant Garde"/>
          <w:lang w:val="es-MX"/>
        </w:rPr>
        <w:t xml:space="preserve"> - Colocación de nuevos PDP con posición desconocida</w:t>
      </w:r>
    </w:p>
    <w:p w:rsidR="005B0846" w:rsidRPr="00872052" w:rsidRDefault="005B0846" w:rsidP="005B0846">
      <w:pPr>
        <w:rPr>
          <w:rFonts w:ascii="ITC Avant Garde" w:hAnsi="ITC Avant Garde"/>
          <w:lang w:val="es-MX"/>
        </w:rPr>
      </w:pPr>
      <w:r w:rsidRPr="00872052">
        <w:rPr>
          <w:rFonts w:ascii="ITC Avant Garde" w:hAnsi="ITC Avant Garde"/>
          <w:noProof/>
          <w:lang w:val="es-MX" w:eastAsia="es-MX"/>
        </w:rPr>
        <w:drawing>
          <wp:inline distT="0" distB="0" distL="0" distR="0" wp14:anchorId="39A02FD3" wp14:editId="51577E74">
            <wp:extent cx="4983480" cy="3465464"/>
            <wp:effectExtent l="0" t="0" r="762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r="1244"/>
                    <a:stretch/>
                  </pic:blipFill>
                  <pic:spPr bwMode="auto">
                    <a:xfrm>
                      <a:off x="0" y="0"/>
                      <a:ext cx="4988849" cy="3469197"/>
                    </a:xfrm>
                    <a:prstGeom prst="rect">
                      <a:avLst/>
                    </a:prstGeom>
                    <a:noFill/>
                    <a:ln>
                      <a:noFill/>
                    </a:ln>
                    <a:extLst>
                      <a:ext uri="{53640926-AAD7-44D8-BBD7-CCE9431645EC}">
                        <a14:shadowObscured xmlns:a14="http://schemas.microsoft.com/office/drawing/2010/main"/>
                      </a:ext>
                    </a:extLst>
                  </pic:spPr>
                </pic:pic>
              </a:graphicData>
            </a:graphic>
          </wp:inline>
        </w:drawing>
      </w:r>
    </w:p>
    <w:p w:rsidR="005B0846" w:rsidRPr="00872052" w:rsidRDefault="005B0846" w:rsidP="005B0846">
      <w:pPr>
        <w:rPr>
          <w:rFonts w:ascii="ITC Avant Garde" w:hAnsi="ITC Avant Garde"/>
          <w:lang w:val="es-MX"/>
        </w:rPr>
      </w:pPr>
    </w:p>
    <w:p w:rsidR="005B0846" w:rsidRPr="00872052" w:rsidRDefault="0052235D" w:rsidP="005B0846">
      <w:pPr>
        <w:rPr>
          <w:rFonts w:ascii="ITC Avant Garde" w:hAnsi="ITC Avant Garde"/>
          <w:lang w:val="es-MX"/>
        </w:rPr>
      </w:pPr>
      <w:r w:rsidRPr="00872052">
        <w:rPr>
          <w:rFonts w:ascii="ITC Avant Garde" w:hAnsi="ITC Avant Garde"/>
          <w:lang w:val="es-MX"/>
        </w:rPr>
        <w:t xml:space="preserve">Además, dado que las listas de cobre y fibra se han fusionado, los nodos redundantes posicionados en la misma posición se han fusionado. </w:t>
      </w:r>
    </w:p>
    <w:p w:rsidR="0052235D" w:rsidRPr="00872052" w:rsidRDefault="0052235D" w:rsidP="0052235D">
      <w:pPr>
        <w:rPr>
          <w:rFonts w:ascii="ITC Avant Garde" w:hAnsi="ITC Avant Garde"/>
          <w:lang w:val="es-MX"/>
        </w:rPr>
      </w:pPr>
      <w:r w:rsidRPr="00872052">
        <w:rPr>
          <w:rFonts w:ascii="ITC Avant Garde" w:hAnsi="ITC Avant Garde"/>
          <w:lang w:val="es-MX"/>
        </w:rPr>
        <w:t>Por otro lado, los PDP que están a 20 m de distancia entre sí se fusionan para tener una base de datos limpia con PDP únicos y lo suficientemente lejos el uno del otro.</w:t>
      </w:r>
    </w:p>
    <w:p w:rsidR="005B0846" w:rsidRPr="00872052" w:rsidRDefault="005B0846" w:rsidP="005B0846">
      <w:pPr>
        <w:rPr>
          <w:rFonts w:ascii="ITC Avant Garde" w:hAnsi="ITC Avant Garde"/>
          <w:lang w:val="es-MX"/>
        </w:rPr>
      </w:pPr>
      <w:r w:rsidRPr="00872052">
        <w:rPr>
          <w:rFonts w:ascii="ITC Avant Garde" w:hAnsi="ITC Avant Garde"/>
          <w:lang w:val="es-MX"/>
        </w:rPr>
        <w:t>En cuanto a los CO, de los 8</w:t>
      </w:r>
      <w:r w:rsidR="00E55E52">
        <w:rPr>
          <w:rFonts w:ascii="ITC Avant Garde" w:hAnsi="ITC Avant Garde"/>
          <w:lang w:val="es-MX"/>
        </w:rPr>
        <w:t>,</w:t>
      </w:r>
      <w:r w:rsidRPr="00872052">
        <w:rPr>
          <w:rFonts w:ascii="ITC Avant Garde" w:hAnsi="ITC Avant Garde"/>
          <w:lang w:val="es-MX"/>
        </w:rPr>
        <w:t>437 CO únicos, 10 tenían ubicaciones coincidentes, 39 esta ubicados a menos de 100 m de otro CO y se fusionaron, y 2 CO tenían coordenadas desconocidas.</w:t>
      </w:r>
    </w:p>
    <w:p w:rsidR="005B0846" w:rsidRPr="00872052" w:rsidRDefault="005B0846" w:rsidP="005B0846">
      <w:pPr>
        <w:rPr>
          <w:rFonts w:ascii="ITC Avant Garde" w:hAnsi="ITC Avant Garde"/>
          <w:lang w:val="es-MX"/>
        </w:rPr>
      </w:pPr>
      <w:r w:rsidRPr="00872052">
        <w:rPr>
          <w:rFonts w:ascii="ITC Avant Garde" w:hAnsi="ITC Avant Garde"/>
          <w:lang w:val="es-MX"/>
        </w:rPr>
        <w:t>Finalmente, estos tratamientos dieron lugar a una cantidad total de 8</w:t>
      </w:r>
      <w:r w:rsidR="009825B1">
        <w:rPr>
          <w:rFonts w:ascii="ITC Avant Garde" w:hAnsi="ITC Avant Garde"/>
          <w:lang w:val="es-MX"/>
        </w:rPr>
        <w:t>,</w:t>
      </w:r>
      <w:r w:rsidRPr="00872052">
        <w:rPr>
          <w:rFonts w:ascii="ITC Avant Garde" w:hAnsi="ITC Avant Garde"/>
          <w:lang w:val="es-MX"/>
        </w:rPr>
        <w:t>386 CO y 105</w:t>
      </w:r>
      <w:r w:rsidR="009825B1">
        <w:rPr>
          <w:rFonts w:ascii="ITC Avant Garde" w:hAnsi="ITC Avant Garde"/>
          <w:lang w:val="es-MX"/>
        </w:rPr>
        <w:t>,</w:t>
      </w:r>
      <w:r w:rsidRPr="00872052">
        <w:rPr>
          <w:rFonts w:ascii="ITC Avant Garde" w:hAnsi="ITC Avant Garde"/>
          <w:lang w:val="es-MX"/>
        </w:rPr>
        <w:t>821 PDP que en realidad se consideran en el modelo.</w:t>
      </w: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lastRenderedPageBreak/>
        <w:t xml:space="preserve"> Figura </w:t>
      </w:r>
      <w:r w:rsidR="00E55E52">
        <w:rPr>
          <w:rFonts w:ascii="ITC Avant Garde" w:hAnsi="ITC Avant Garde"/>
          <w:lang w:val="es-MX"/>
        </w:rPr>
        <w:t>20</w:t>
      </w:r>
      <w:r w:rsidRPr="00872052">
        <w:rPr>
          <w:rFonts w:ascii="ITC Avant Garde" w:hAnsi="ITC Avant Garde"/>
          <w:lang w:val="es-MX"/>
        </w:rPr>
        <w:t xml:space="preserve"> - Distribución de los CO considerados en el modelo</w:t>
      </w:r>
    </w:p>
    <w:p w:rsidR="005B0846" w:rsidRPr="00872052" w:rsidRDefault="005B0846" w:rsidP="005B0846">
      <w:pPr>
        <w:rPr>
          <w:rFonts w:ascii="ITC Avant Garde" w:hAnsi="ITC Avant Garde"/>
          <w:lang w:val="es-MX"/>
        </w:rPr>
      </w:pPr>
      <w:r w:rsidRPr="00872052">
        <w:rPr>
          <w:rFonts w:ascii="ITC Avant Garde" w:hAnsi="ITC Avant Garde"/>
          <w:noProof/>
          <w:lang w:val="es-MX" w:eastAsia="es-MX"/>
        </w:rPr>
        <w:drawing>
          <wp:inline distT="0" distB="0" distL="0" distR="0" wp14:anchorId="249B08F3" wp14:editId="6AB31FD3">
            <wp:extent cx="5399405" cy="3235325"/>
            <wp:effectExtent l="0" t="0" r="0" b="3175"/>
            <wp:docPr id="4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99405" cy="3235325"/>
                    </a:xfrm>
                    <a:prstGeom prst="rect">
                      <a:avLst/>
                    </a:prstGeom>
                  </pic:spPr>
                </pic:pic>
              </a:graphicData>
            </a:graphic>
          </wp:inline>
        </w:drawing>
      </w:r>
    </w:p>
    <w:p w:rsidR="005B0846" w:rsidRPr="00872052" w:rsidRDefault="005B0846" w:rsidP="005B0846">
      <w:pPr>
        <w:pStyle w:val="Source"/>
        <w:keepNext/>
        <w:rPr>
          <w:rFonts w:ascii="ITC Avant Garde" w:hAnsi="ITC Avant Garde"/>
          <w:lang w:val="es-MX"/>
        </w:rPr>
      </w:pPr>
    </w:p>
    <w:p w:rsidR="005B0846" w:rsidRPr="00872052" w:rsidRDefault="005B0846" w:rsidP="005B0846">
      <w:pPr>
        <w:rPr>
          <w:rFonts w:ascii="ITC Avant Garde" w:hAnsi="ITC Avant Garde"/>
          <w:lang w:val="es-MX"/>
        </w:rPr>
      </w:pP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t xml:space="preserve"> Figura </w:t>
      </w:r>
      <w:r w:rsidR="00E55E52">
        <w:rPr>
          <w:rFonts w:ascii="ITC Avant Garde" w:hAnsi="ITC Avant Garde"/>
          <w:lang w:val="es-MX"/>
        </w:rPr>
        <w:t>21</w:t>
      </w:r>
      <w:r w:rsidRPr="00872052">
        <w:rPr>
          <w:rFonts w:ascii="ITC Avant Garde" w:hAnsi="ITC Avant Garde"/>
          <w:lang w:val="es-MX"/>
        </w:rPr>
        <w:t xml:space="preserve"> - Distribución de los PDP tomados en consideración en el modelo</w:t>
      </w:r>
    </w:p>
    <w:p w:rsidR="005B0846" w:rsidRPr="00872052" w:rsidRDefault="005B0846" w:rsidP="005B0846">
      <w:pPr>
        <w:rPr>
          <w:rFonts w:ascii="ITC Avant Garde" w:hAnsi="ITC Avant Garde"/>
          <w:lang w:val="es-MX"/>
        </w:rPr>
      </w:pPr>
      <w:r w:rsidRPr="00872052">
        <w:rPr>
          <w:rFonts w:ascii="ITC Avant Garde" w:hAnsi="ITC Avant Garde"/>
          <w:noProof/>
          <w:lang w:val="es-MX" w:eastAsia="es-MX"/>
        </w:rPr>
        <w:drawing>
          <wp:inline distT="0" distB="0" distL="0" distR="0" wp14:anchorId="74D8E1C7" wp14:editId="3F5A805C">
            <wp:extent cx="5399405" cy="3204210"/>
            <wp:effectExtent l="0" t="0" r="0" b="0"/>
            <wp:docPr id="4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9405" cy="3204210"/>
                    </a:xfrm>
                    <a:prstGeom prst="rect">
                      <a:avLst/>
                    </a:prstGeom>
                  </pic:spPr>
                </pic:pic>
              </a:graphicData>
            </a:graphic>
          </wp:inline>
        </w:drawing>
      </w:r>
    </w:p>
    <w:p w:rsidR="0052235D" w:rsidRPr="00872052" w:rsidRDefault="0052235D" w:rsidP="0052235D">
      <w:pPr>
        <w:rPr>
          <w:rFonts w:ascii="ITC Avant Garde" w:hAnsi="ITC Avant Garde"/>
          <w:lang w:val="es-MX"/>
        </w:rPr>
      </w:pPr>
    </w:p>
    <w:p w:rsidR="0052235D" w:rsidRPr="00872052" w:rsidRDefault="0052235D" w:rsidP="0052235D">
      <w:pPr>
        <w:rPr>
          <w:rFonts w:ascii="ITC Avant Garde" w:hAnsi="ITC Avant Garde"/>
          <w:lang w:val="es-MX"/>
        </w:rPr>
      </w:pPr>
    </w:p>
    <w:p w:rsidR="0052235D" w:rsidRPr="00872052" w:rsidRDefault="0052235D" w:rsidP="0052235D">
      <w:pPr>
        <w:pStyle w:val="Ttulo3"/>
        <w:rPr>
          <w:rFonts w:ascii="ITC Avant Garde" w:hAnsi="ITC Avant Garde"/>
          <w:lang w:val="es-MX"/>
        </w:rPr>
      </w:pPr>
      <w:bookmarkStart w:id="205" w:name="_Toc525672861"/>
      <w:bookmarkStart w:id="206" w:name="_Toc525665301"/>
      <w:bookmarkStart w:id="207" w:name="_Toc525665680"/>
      <w:bookmarkStart w:id="208" w:name="_Toc526854381"/>
      <w:r w:rsidRPr="00872052">
        <w:rPr>
          <w:rFonts w:ascii="ITC Avant Garde" w:hAnsi="ITC Avant Garde"/>
          <w:lang w:val="es-MX"/>
        </w:rPr>
        <w:lastRenderedPageBreak/>
        <w:t>Trabajo preliminar sobre la correspondencia entre PDP y CO</w:t>
      </w:r>
      <w:bookmarkEnd w:id="205"/>
      <w:bookmarkEnd w:id="206"/>
      <w:bookmarkEnd w:id="207"/>
      <w:bookmarkEnd w:id="208"/>
    </w:p>
    <w:p w:rsidR="005B0846" w:rsidRPr="00872052" w:rsidRDefault="005B0846" w:rsidP="005B0846">
      <w:pPr>
        <w:rPr>
          <w:rFonts w:ascii="ITC Avant Garde" w:hAnsi="ITC Avant Garde"/>
          <w:lang w:val="es-MX"/>
        </w:rPr>
      </w:pPr>
      <w:r w:rsidRPr="00872052">
        <w:rPr>
          <w:rFonts w:ascii="ITC Avant Garde" w:hAnsi="ITC Avant Garde"/>
          <w:lang w:val="es-MX"/>
        </w:rPr>
        <w:t xml:space="preserve">El análisis de las listas PDP/CO proporcionadas por </w:t>
      </w:r>
      <w:r w:rsidR="00C45D1B">
        <w:rPr>
          <w:rFonts w:ascii="ITC Avant Garde" w:hAnsi="ITC Avant Garde"/>
          <w:lang w:val="es-MX"/>
        </w:rPr>
        <w:t>el AEP</w:t>
      </w:r>
      <w:r w:rsidRPr="00872052">
        <w:rPr>
          <w:rFonts w:ascii="ITC Avant Garde" w:hAnsi="ITC Avant Garde"/>
          <w:lang w:val="es-MX"/>
        </w:rPr>
        <w:t xml:space="preserve"> revela que los datos iniciales proporcionados contienen algunas inconsistencias con respecto a la asociación de los PDP a un CO que parece</w:t>
      </w:r>
      <w:r w:rsidR="0073312D">
        <w:rPr>
          <w:rFonts w:ascii="ITC Avant Garde" w:hAnsi="ITC Avant Garde"/>
          <w:lang w:val="es-MX"/>
        </w:rPr>
        <w:t>n</w:t>
      </w:r>
      <w:r w:rsidRPr="00872052">
        <w:rPr>
          <w:rFonts w:ascii="ITC Avant Garde" w:hAnsi="ITC Avant Garde"/>
          <w:lang w:val="es-MX"/>
        </w:rPr>
        <w:t xml:space="preserve"> ser ineficiente</w:t>
      </w:r>
      <w:r w:rsidR="0073312D">
        <w:rPr>
          <w:rFonts w:ascii="ITC Avant Garde" w:hAnsi="ITC Avant Garde"/>
          <w:lang w:val="es-MX"/>
        </w:rPr>
        <w:t>s</w:t>
      </w:r>
      <w:r w:rsidRPr="00872052">
        <w:rPr>
          <w:rFonts w:ascii="ITC Avant Garde" w:hAnsi="ITC Avant Garde"/>
          <w:lang w:val="es-MX"/>
        </w:rPr>
        <w:t>.</w:t>
      </w:r>
    </w:p>
    <w:p w:rsidR="005B0846" w:rsidRPr="00872052" w:rsidRDefault="005B0846" w:rsidP="005B0846">
      <w:pPr>
        <w:rPr>
          <w:rFonts w:ascii="ITC Avant Garde" w:hAnsi="ITC Avant Garde"/>
          <w:lang w:val="es-MX"/>
        </w:rPr>
      </w:pPr>
      <w:r w:rsidRPr="00872052">
        <w:rPr>
          <w:rFonts w:ascii="ITC Avant Garde" w:hAnsi="ITC Avant Garde"/>
          <w:lang w:val="es-MX"/>
        </w:rPr>
        <w:t>Un ejemplo de esto se puede ver en la figura a bajo que muestra que algunos PDP (‘</w:t>
      </w:r>
      <w:proofErr w:type="spellStart"/>
      <w:r w:rsidRPr="00872052">
        <w:rPr>
          <w:rFonts w:ascii="ITC Avant Garde" w:hAnsi="ITC Avant Garde"/>
          <w:lang w:val="es-MX"/>
        </w:rPr>
        <w:t>SC_xx</w:t>
      </w:r>
      <w:proofErr w:type="spellEnd"/>
      <w:r w:rsidRPr="00872052">
        <w:rPr>
          <w:rFonts w:ascii="ITC Avant Garde" w:hAnsi="ITC Avant Garde"/>
          <w:lang w:val="es-MX"/>
        </w:rPr>
        <w:t>’) inicialmente asociados al CO ‘SC_’ estaban realmente dispersos entre los nodos del CO ‘AA_’.</w:t>
      </w:r>
    </w:p>
    <w:p w:rsidR="005B0846" w:rsidRPr="00872052" w:rsidRDefault="005B0846" w:rsidP="005B0846">
      <w:pPr>
        <w:pStyle w:val="Descripcin"/>
        <w:keepNext/>
        <w:rPr>
          <w:rFonts w:ascii="ITC Avant Garde" w:hAnsi="ITC Avant Garde"/>
          <w:lang w:val="es-MX"/>
        </w:rPr>
      </w:pP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t> Figura</w:t>
      </w:r>
      <w:r w:rsidR="00E55E52">
        <w:rPr>
          <w:rFonts w:ascii="ITC Avant Garde" w:hAnsi="ITC Avant Garde"/>
          <w:lang w:val="es-MX"/>
        </w:rPr>
        <w:t xml:space="preserve"> 22</w:t>
      </w:r>
      <w:r w:rsidRPr="00872052">
        <w:rPr>
          <w:rFonts w:ascii="ITC Avant Garde" w:hAnsi="ITC Avant Garde"/>
          <w:lang w:val="es-MX"/>
        </w:rPr>
        <w:t xml:space="preserve"> - Ejemplo de problemas de adaptación entre algunos PDP a algunos CO</w:t>
      </w:r>
    </w:p>
    <w:p w:rsidR="005B0846" w:rsidRPr="00872052" w:rsidRDefault="005B0846" w:rsidP="005B0846">
      <w:pPr>
        <w:rPr>
          <w:rFonts w:ascii="ITC Avant Garde" w:hAnsi="ITC Avant Garde"/>
          <w:lang w:val="es-MX"/>
        </w:rPr>
      </w:pPr>
      <w:r w:rsidRPr="00872052">
        <w:rPr>
          <w:rFonts w:ascii="ITC Avant Garde" w:hAnsi="ITC Avant Garde"/>
          <w:noProof/>
          <w:lang w:val="es-MX" w:eastAsia="es-MX"/>
        </w:rPr>
        <w:drawing>
          <wp:inline distT="0" distB="0" distL="0" distR="0" wp14:anchorId="0DFB2703" wp14:editId="77144C8B">
            <wp:extent cx="5399405" cy="3097333"/>
            <wp:effectExtent l="0" t="0" r="0" b="8255"/>
            <wp:docPr id="4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9405" cy="3097333"/>
                    </a:xfrm>
                    <a:prstGeom prst="rect">
                      <a:avLst/>
                    </a:prstGeom>
                    <a:noFill/>
                  </pic:spPr>
                </pic:pic>
              </a:graphicData>
            </a:graphic>
          </wp:inline>
        </w:drawing>
      </w:r>
    </w:p>
    <w:p w:rsidR="005B0846" w:rsidRPr="00872052" w:rsidRDefault="005B0846" w:rsidP="005B0846">
      <w:pPr>
        <w:rPr>
          <w:rFonts w:ascii="ITC Avant Garde" w:hAnsi="ITC Avant Garde"/>
          <w:lang w:val="es-MX"/>
        </w:rPr>
      </w:pP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Este tipo de “inconsistencias” proviene generalmente de la historia del desarrollo del AEP, dado que la red se ha desplegada progresivamente, siguiendo el crecimiento de las zonas urbanas, por lo que un diseño </w:t>
      </w:r>
      <w:r w:rsidR="004F5AFE">
        <w:rPr>
          <w:rFonts w:ascii="ITC Avant Garde" w:hAnsi="ITC Avant Garde"/>
          <w:lang w:val="es-MX"/>
        </w:rPr>
        <w:t>ó</w:t>
      </w:r>
      <w:r w:rsidRPr="00872052">
        <w:rPr>
          <w:rFonts w:ascii="ITC Avant Garde" w:hAnsi="ITC Avant Garde"/>
          <w:lang w:val="es-MX"/>
        </w:rPr>
        <w:t>ptim</w:t>
      </w:r>
      <w:r w:rsidR="004F5AFE">
        <w:rPr>
          <w:rFonts w:ascii="ITC Avant Garde" w:hAnsi="ITC Avant Garde"/>
          <w:lang w:val="es-MX"/>
        </w:rPr>
        <w:t>o</w:t>
      </w:r>
      <w:r w:rsidRPr="00872052">
        <w:rPr>
          <w:rFonts w:ascii="ITC Avant Garde" w:hAnsi="ITC Avant Garde"/>
          <w:lang w:val="es-MX"/>
        </w:rPr>
        <w:t xml:space="preserve"> a un cierto momento puede resultar en ser ineficiente unos años </w:t>
      </w:r>
      <w:proofErr w:type="spellStart"/>
      <w:r w:rsidRPr="00872052">
        <w:rPr>
          <w:rFonts w:ascii="ITC Avant Garde" w:hAnsi="ITC Avant Garde"/>
          <w:lang w:val="es-MX"/>
        </w:rPr>
        <w:t>despues</w:t>
      </w:r>
      <w:proofErr w:type="spellEnd"/>
      <w:r w:rsidRPr="00872052">
        <w:rPr>
          <w:rFonts w:ascii="ITC Avant Garde" w:hAnsi="ITC Avant Garde"/>
          <w:lang w:val="es-MX"/>
        </w:rPr>
        <w:t xml:space="preserve">. </w:t>
      </w: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De acuerdo con el enfoque </w:t>
      </w:r>
      <w:proofErr w:type="spellStart"/>
      <w:r w:rsidRPr="00872052">
        <w:rPr>
          <w:rFonts w:ascii="ITC Avant Garde" w:hAnsi="ITC Avant Garde"/>
          <w:lang w:val="es-MX"/>
        </w:rPr>
        <w:t>scorche</w:t>
      </w:r>
      <w:proofErr w:type="spellEnd"/>
      <w:r w:rsidRPr="00872052">
        <w:rPr>
          <w:rFonts w:ascii="ITC Avant Garde" w:hAnsi="ITC Avant Garde"/>
          <w:lang w:val="es-MX"/>
        </w:rPr>
        <w:t xml:space="preserve"> </w:t>
      </w:r>
      <w:proofErr w:type="spellStart"/>
      <w:r w:rsidRPr="00872052">
        <w:rPr>
          <w:rFonts w:ascii="ITC Avant Garde" w:hAnsi="ITC Avant Garde"/>
          <w:lang w:val="es-MX"/>
        </w:rPr>
        <w:t>node</w:t>
      </w:r>
      <w:proofErr w:type="spellEnd"/>
      <w:r w:rsidRPr="00872052">
        <w:rPr>
          <w:rFonts w:ascii="ITC Avant Garde" w:hAnsi="ITC Avant Garde"/>
          <w:lang w:val="es-MX"/>
        </w:rPr>
        <w:t xml:space="preserve"> modificado que se adopt</w:t>
      </w:r>
      <w:r w:rsidR="004F5AFE">
        <w:rPr>
          <w:rFonts w:ascii="ITC Avant Garde" w:hAnsi="ITC Avant Garde"/>
          <w:lang w:val="es-MX"/>
        </w:rPr>
        <w:t>ó</w:t>
      </w:r>
      <w:r w:rsidRPr="00872052">
        <w:rPr>
          <w:rFonts w:ascii="ITC Avant Garde" w:hAnsi="ITC Avant Garde"/>
          <w:lang w:val="es-MX"/>
        </w:rPr>
        <w:t>, esas inconsistencias se corrigieron en las bases de datos resultantes con el fin de considerar un nivel de eficiencia m</w:t>
      </w:r>
      <w:r w:rsidR="004F5AFE">
        <w:rPr>
          <w:rFonts w:ascii="ITC Avant Garde" w:hAnsi="ITC Avant Garde"/>
          <w:lang w:val="es-MX"/>
        </w:rPr>
        <w:t>á</w:t>
      </w:r>
      <w:r w:rsidRPr="00872052">
        <w:rPr>
          <w:rFonts w:ascii="ITC Avant Garde" w:hAnsi="ITC Avant Garde"/>
          <w:lang w:val="es-MX"/>
        </w:rPr>
        <w:t>s elevado, por lo que no se permiten superposiciones en las áreas de cobertura de CO.</w:t>
      </w:r>
    </w:p>
    <w:p w:rsidR="0052235D" w:rsidRPr="00872052" w:rsidRDefault="0052235D" w:rsidP="0052235D">
      <w:pPr>
        <w:rPr>
          <w:rFonts w:ascii="ITC Avant Garde" w:hAnsi="ITC Avant Garde"/>
          <w:lang w:val="es-MX"/>
        </w:rPr>
      </w:pPr>
      <w:r w:rsidRPr="00872052">
        <w:rPr>
          <w:rFonts w:ascii="ITC Avant Garde" w:hAnsi="ITC Avant Garde"/>
          <w:lang w:val="es-MX"/>
        </w:rPr>
        <w:t xml:space="preserve">Este ajuste se realiza cambiando la asociación entre PDP a </w:t>
      </w:r>
      <w:r w:rsidR="005B0846" w:rsidRPr="00872052">
        <w:rPr>
          <w:rFonts w:ascii="ITC Avant Garde" w:hAnsi="ITC Avant Garde"/>
          <w:lang w:val="es-MX"/>
        </w:rPr>
        <w:t>CO</w:t>
      </w:r>
      <w:r w:rsidRPr="00872052">
        <w:rPr>
          <w:rFonts w:ascii="ITC Avant Garde" w:hAnsi="ITC Avant Garde"/>
          <w:lang w:val="es-MX"/>
        </w:rPr>
        <w:t>, por ejemplo, los PDP AA_0015, AA_0016 y AA_0025 ya no están asociados al CO AA_ sino al CO SC_ y, de forma similar, los PDP SC_0104 y SC_0038 están asociados al CO AA_.</w:t>
      </w:r>
    </w:p>
    <w:p w:rsidR="0052235D" w:rsidRPr="00872052" w:rsidRDefault="0052235D" w:rsidP="0052235D">
      <w:pPr>
        <w:rPr>
          <w:rFonts w:ascii="ITC Avant Garde" w:hAnsi="ITC Avant Garde"/>
          <w:lang w:val="es-MX"/>
        </w:rPr>
      </w:pPr>
    </w:p>
    <w:p w:rsidR="0052235D" w:rsidRPr="00872052" w:rsidRDefault="0052235D" w:rsidP="0052235D">
      <w:pPr>
        <w:pStyle w:val="Ttulo3"/>
        <w:rPr>
          <w:rFonts w:ascii="ITC Avant Garde" w:hAnsi="ITC Avant Garde"/>
          <w:lang w:val="es-MX"/>
        </w:rPr>
      </w:pPr>
      <w:bookmarkStart w:id="209" w:name="_Toc525672862"/>
      <w:bookmarkStart w:id="210" w:name="_Toc525665302"/>
      <w:bookmarkStart w:id="211" w:name="_Toc525665681"/>
      <w:bookmarkStart w:id="212" w:name="_Toc526854382"/>
      <w:r w:rsidRPr="00872052">
        <w:rPr>
          <w:rFonts w:ascii="ITC Avant Garde" w:hAnsi="ITC Avant Garde"/>
          <w:lang w:val="es-MX"/>
        </w:rPr>
        <w:lastRenderedPageBreak/>
        <w:t>Trabajo preliminar en la base de datos de direcciones</w:t>
      </w:r>
      <w:bookmarkEnd w:id="209"/>
      <w:bookmarkEnd w:id="210"/>
      <w:bookmarkEnd w:id="211"/>
      <w:bookmarkEnd w:id="212"/>
    </w:p>
    <w:p w:rsidR="0052235D" w:rsidRPr="00872052" w:rsidRDefault="0052235D" w:rsidP="0052235D">
      <w:pPr>
        <w:rPr>
          <w:rFonts w:ascii="ITC Avant Garde" w:hAnsi="ITC Avant Garde"/>
          <w:lang w:val="es-MX"/>
        </w:rPr>
      </w:pPr>
      <w:r w:rsidRPr="00872052">
        <w:rPr>
          <w:rFonts w:ascii="ITC Avant Garde" w:hAnsi="ITC Avant Garde"/>
          <w:lang w:val="es-MX"/>
        </w:rPr>
        <w:t xml:space="preserve">Como se explica en </w:t>
      </w:r>
      <w:r w:rsidR="005B0846" w:rsidRPr="00872052">
        <w:rPr>
          <w:rFonts w:ascii="ITC Avant Garde" w:hAnsi="ITC Avant Garde"/>
          <w:lang w:val="es-MX"/>
        </w:rPr>
        <w:t>la parte de principios metodológicos y conceptuales</w:t>
      </w:r>
      <w:r w:rsidRPr="00872052">
        <w:rPr>
          <w:rFonts w:ascii="ITC Avant Garde" w:hAnsi="ITC Avant Garde"/>
          <w:lang w:val="es-MX"/>
        </w:rPr>
        <w:t xml:space="preserve">, las redes de acceso en el modelo </w:t>
      </w:r>
      <w:r w:rsidR="0073312D">
        <w:rPr>
          <w:rFonts w:ascii="ITC Avant Garde" w:hAnsi="ITC Avant Garde"/>
          <w:lang w:val="es-MX"/>
        </w:rPr>
        <w:t>CIPLP</w:t>
      </w:r>
      <w:r w:rsidR="0073312D" w:rsidRPr="00872052">
        <w:rPr>
          <w:rFonts w:ascii="ITC Avant Garde" w:hAnsi="ITC Avant Garde"/>
          <w:lang w:val="es-MX"/>
        </w:rPr>
        <w:t xml:space="preserve"> </w:t>
      </w:r>
      <w:r w:rsidRPr="00872052">
        <w:rPr>
          <w:rFonts w:ascii="ITC Avant Garde" w:hAnsi="ITC Avant Garde"/>
          <w:lang w:val="es-MX"/>
        </w:rPr>
        <w:t>se dimensionan pasando todas las premisas del área que cubren.</w:t>
      </w:r>
    </w:p>
    <w:p w:rsidR="0052235D" w:rsidRPr="00872052" w:rsidRDefault="0052235D" w:rsidP="0052235D">
      <w:pPr>
        <w:rPr>
          <w:rFonts w:ascii="ITC Avant Garde" w:hAnsi="ITC Avant Garde"/>
          <w:lang w:val="es-MX"/>
        </w:rPr>
      </w:pPr>
      <w:r w:rsidRPr="00872052">
        <w:rPr>
          <w:rFonts w:ascii="ITC Avant Garde" w:hAnsi="ITC Avant Garde"/>
          <w:lang w:val="es-MX"/>
        </w:rPr>
        <w:t>La huella total y la distribución de edificios se identifica con base en las siguientes fuentes:</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 xml:space="preserve">Para el conteo de edificios residenciales y viviendas amanzanadas, se utilizan </w:t>
      </w:r>
      <w:r w:rsidR="008D78BD" w:rsidRPr="00872052">
        <w:rPr>
          <w:rFonts w:ascii="ITC Avant Garde" w:hAnsi="ITC Avant Garde"/>
          <w:lang w:val="es-MX"/>
        </w:rPr>
        <w:t>las bases</w:t>
      </w:r>
      <w:r w:rsidR="0073312D">
        <w:rPr>
          <w:rFonts w:ascii="ITC Avant Garde" w:hAnsi="ITC Avant Garde"/>
          <w:lang w:val="es-MX"/>
        </w:rPr>
        <w:t xml:space="preserve"> </w:t>
      </w:r>
      <w:r w:rsidRPr="00872052">
        <w:rPr>
          <w:rFonts w:ascii="ITC Avant Garde" w:hAnsi="ITC Avant Garde"/>
          <w:lang w:val="es-MX"/>
        </w:rPr>
        <w:t>IVLAYNE Nacional</w:t>
      </w:r>
      <w:r w:rsidR="0073312D">
        <w:rPr>
          <w:rFonts w:ascii="ITC Avant Garde" w:hAnsi="ITC Avant Garde"/>
          <w:lang w:val="es-MX"/>
        </w:rPr>
        <w:t xml:space="preserve"> proporcionadas por INEGI</w:t>
      </w:r>
      <w:r w:rsidRPr="00872052">
        <w:rPr>
          <w:rFonts w:ascii="ITC Avant Garde" w:hAnsi="ITC Avant Garde"/>
          <w:lang w:val="es-MX"/>
        </w:rPr>
        <w:t>;</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Para edificios comerciales, se usa la base de datos DENUE</w:t>
      </w:r>
      <w:r w:rsidR="0073312D">
        <w:rPr>
          <w:rFonts w:ascii="ITC Avant Garde" w:hAnsi="ITC Avant Garde"/>
          <w:lang w:val="es-MX"/>
        </w:rPr>
        <w:t xml:space="preserve"> </w:t>
      </w:r>
      <w:proofErr w:type="spellStart"/>
      <w:r w:rsidR="0073312D">
        <w:rPr>
          <w:rFonts w:ascii="ITC Avant Garde" w:hAnsi="ITC Avant Garde"/>
          <w:lang w:val="es-MX"/>
        </w:rPr>
        <w:t>porporcionada</w:t>
      </w:r>
      <w:proofErr w:type="spellEnd"/>
      <w:r w:rsidR="0073312D">
        <w:rPr>
          <w:rFonts w:ascii="ITC Avant Garde" w:hAnsi="ITC Avant Garde"/>
          <w:lang w:val="es-MX"/>
        </w:rPr>
        <w:t xml:space="preserve"> por INEGI</w:t>
      </w:r>
      <w:r w:rsidRPr="00872052">
        <w:rPr>
          <w:rFonts w:ascii="ITC Avant Garde" w:hAnsi="ITC Avant Garde"/>
          <w:lang w:val="es-MX"/>
        </w:rPr>
        <w:t>.</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Para Manzanas, se utiliza la base de datos "Manzanas - Nacional"</w:t>
      </w:r>
      <w:r w:rsidR="0073312D">
        <w:rPr>
          <w:rFonts w:ascii="ITC Avant Garde" w:hAnsi="ITC Avant Garde"/>
          <w:lang w:val="es-MX"/>
        </w:rPr>
        <w:t xml:space="preserve"> </w:t>
      </w:r>
      <w:proofErr w:type="spellStart"/>
      <w:r w:rsidR="0073312D">
        <w:rPr>
          <w:rFonts w:ascii="ITC Avant Garde" w:hAnsi="ITC Avant Garde"/>
          <w:lang w:val="es-MX"/>
        </w:rPr>
        <w:t>porporcionada</w:t>
      </w:r>
      <w:proofErr w:type="spellEnd"/>
      <w:r w:rsidR="0073312D">
        <w:rPr>
          <w:rFonts w:ascii="ITC Avant Garde" w:hAnsi="ITC Avant Garde"/>
          <w:lang w:val="es-MX"/>
        </w:rPr>
        <w:t xml:space="preserve"> por INEGI</w:t>
      </w:r>
      <w:r w:rsidRPr="00872052">
        <w:rPr>
          <w:rFonts w:ascii="ITC Avant Garde" w:hAnsi="ITC Avant Garde"/>
          <w:lang w:val="es-MX"/>
        </w:rPr>
        <w:t>.</w:t>
      </w:r>
    </w:p>
    <w:p w:rsidR="005B0846" w:rsidRPr="00872052" w:rsidRDefault="005B0846" w:rsidP="005B0846">
      <w:pPr>
        <w:rPr>
          <w:rFonts w:ascii="ITC Avant Garde" w:hAnsi="ITC Avant Garde"/>
          <w:lang w:val="es-MX"/>
        </w:rPr>
      </w:pPr>
      <w:r w:rsidRPr="00872052">
        <w:rPr>
          <w:rFonts w:ascii="ITC Avant Garde" w:hAnsi="ITC Avant Garde"/>
          <w:lang w:val="es-MX"/>
        </w:rPr>
        <w:t>El número de hogares se determina en función de la cantidad de viviendas contenidas en cada Manzanas que se distribuye a los edificios utilizando la base de datos IVLAYNE que contiene la ubicación de todos los edificios y sus tipos (residencial / comercial).</w:t>
      </w:r>
    </w:p>
    <w:p w:rsidR="0052235D" w:rsidRPr="00872052" w:rsidRDefault="0052235D" w:rsidP="0052235D">
      <w:pPr>
        <w:rPr>
          <w:rFonts w:ascii="ITC Avant Garde" w:hAnsi="ITC Avant Garde"/>
          <w:lang w:val="es-MX"/>
        </w:rPr>
      </w:pPr>
      <w:r w:rsidRPr="00872052">
        <w:rPr>
          <w:rFonts w:ascii="ITC Avant Garde" w:hAnsi="ITC Avant Garde"/>
          <w:lang w:val="es-MX"/>
        </w:rPr>
        <w:t>Sin embargo, la base de datos DENUE que contiene solo edificios comerciales con el número externo de cada edificio y el tamaño del negocio, este último se usa como un proxy para inferir el número de locales.</w:t>
      </w:r>
    </w:p>
    <w:p w:rsidR="0052235D" w:rsidRPr="00872052" w:rsidRDefault="0052235D" w:rsidP="0052235D">
      <w:pPr>
        <w:rPr>
          <w:rFonts w:ascii="ITC Avant Garde" w:hAnsi="ITC Avant Garde"/>
          <w:lang w:val="es-MX"/>
        </w:rPr>
      </w:pPr>
      <w:r w:rsidRPr="00872052">
        <w:rPr>
          <w:rFonts w:ascii="ITC Avant Garde" w:hAnsi="ITC Avant Garde"/>
          <w:lang w:val="es-MX"/>
        </w:rPr>
        <w:t>Una vez compiladas todas estas bases de datos, los edificios se proyectan a la sección de la carretera correspondiente y para cada edificio se establece la cantidad de hogares y lugares de trabajo.</w:t>
      </w: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t xml:space="preserve"> Figura </w:t>
      </w:r>
      <w:r w:rsidR="00E55E52">
        <w:rPr>
          <w:rFonts w:ascii="ITC Avant Garde" w:hAnsi="ITC Avant Garde"/>
          <w:lang w:val="es-MX"/>
        </w:rPr>
        <w:t>23</w:t>
      </w:r>
      <w:r w:rsidRPr="00872052">
        <w:rPr>
          <w:rFonts w:ascii="ITC Avant Garde" w:hAnsi="ITC Avant Garde"/>
          <w:lang w:val="es-MX"/>
        </w:rPr>
        <w:t xml:space="preserve"> - Proyección de direcciones en la sección de la carretera</w:t>
      </w:r>
    </w:p>
    <w:p w:rsidR="005B0846" w:rsidRPr="00872052" w:rsidRDefault="005B0846" w:rsidP="005B0846">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60C96203" wp14:editId="28C1EE20">
            <wp:extent cx="3042285" cy="1767840"/>
            <wp:effectExtent l="0" t="0" r="0" b="0"/>
            <wp:docPr id="5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2285" cy="1767840"/>
                    </a:xfrm>
                    <a:prstGeom prst="rect">
                      <a:avLst/>
                    </a:prstGeom>
                    <a:noFill/>
                  </pic:spPr>
                </pic:pic>
              </a:graphicData>
            </a:graphic>
          </wp:inline>
        </w:drawing>
      </w:r>
    </w:p>
    <w:p w:rsidR="005B0846" w:rsidRPr="00872052" w:rsidRDefault="005B0846" w:rsidP="005B0846">
      <w:pPr>
        <w:rPr>
          <w:rFonts w:ascii="ITC Avant Garde" w:hAnsi="ITC Avant Garde"/>
          <w:lang w:val="es-MX"/>
        </w:rPr>
      </w:pPr>
    </w:p>
    <w:p w:rsidR="0052235D" w:rsidRPr="00872052" w:rsidRDefault="0052235D" w:rsidP="0052235D">
      <w:pPr>
        <w:rPr>
          <w:rFonts w:ascii="ITC Avant Garde" w:hAnsi="ITC Avant Garde"/>
          <w:lang w:val="es-MX"/>
        </w:rPr>
      </w:pPr>
      <w:r w:rsidRPr="00872052">
        <w:rPr>
          <w:rFonts w:ascii="ITC Avant Garde" w:hAnsi="ITC Avant Garde"/>
          <w:lang w:val="es-MX"/>
        </w:rPr>
        <w:t xml:space="preserve">Se debe tener en cuenta </w:t>
      </w:r>
      <w:r w:rsidR="00A46493" w:rsidRPr="00872052">
        <w:rPr>
          <w:rFonts w:ascii="ITC Avant Garde" w:hAnsi="ITC Avant Garde"/>
          <w:lang w:val="es-MX"/>
        </w:rPr>
        <w:t>que,</w:t>
      </w:r>
      <w:r w:rsidRPr="00872052">
        <w:rPr>
          <w:rFonts w:ascii="ITC Avant Garde" w:hAnsi="ITC Avant Garde"/>
          <w:lang w:val="es-MX"/>
        </w:rPr>
        <w:t xml:space="preserve"> dado que los datos no son lo suficientemente detallados, el segmento "Privado" (distancia entre la sección de la carretera y el edificio) no se toma en consideración en el modelo y se establece en 0. Los edificios / direcciones se proyectan directamente a la sección de la carretera.</w:t>
      </w:r>
    </w:p>
    <w:p w:rsidR="0052235D" w:rsidRPr="00872052" w:rsidRDefault="0052235D" w:rsidP="005B0846">
      <w:pPr>
        <w:pStyle w:val="Ttulo3"/>
        <w:rPr>
          <w:rFonts w:ascii="ITC Avant Garde" w:hAnsi="ITC Avant Garde"/>
          <w:lang w:val="es-MX"/>
        </w:rPr>
      </w:pPr>
      <w:bookmarkStart w:id="213" w:name="_Toc525672863"/>
      <w:bookmarkStart w:id="214" w:name="_Toc525665303"/>
      <w:bookmarkStart w:id="215" w:name="_Toc525665682"/>
      <w:bookmarkStart w:id="216" w:name="_Toc526854383"/>
      <w:r w:rsidRPr="00872052">
        <w:rPr>
          <w:rFonts w:ascii="ITC Avant Garde" w:hAnsi="ITC Avant Garde"/>
          <w:lang w:val="es-MX"/>
        </w:rPr>
        <w:lastRenderedPageBreak/>
        <w:t>Ajuste de la huella considerado en cada escenario</w:t>
      </w:r>
      <w:bookmarkEnd w:id="213"/>
      <w:bookmarkEnd w:id="214"/>
      <w:bookmarkEnd w:id="215"/>
      <w:bookmarkEnd w:id="216"/>
    </w:p>
    <w:p w:rsidR="0052235D" w:rsidRPr="00872052" w:rsidRDefault="0052235D" w:rsidP="0052235D">
      <w:pPr>
        <w:rPr>
          <w:rFonts w:ascii="ITC Avant Garde" w:hAnsi="ITC Avant Garde"/>
          <w:lang w:val="es-MX"/>
        </w:rPr>
      </w:pPr>
      <w:r w:rsidRPr="00872052">
        <w:rPr>
          <w:rFonts w:ascii="ITC Avant Garde" w:hAnsi="ITC Avant Garde"/>
          <w:lang w:val="es-MX"/>
        </w:rPr>
        <w:t xml:space="preserve">Tal como se describe en </w:t>
      </w:r>
      <w:r w:rsidR="005B0846" w:rsidRPr="00872052">
        <w:rPr>
          <w:rFonts w:ascii="ITC Avant Garde" w:hAnsi="ITC Avant Garde"/>
          <w:lang w:val="es-MX"/>
        </w:rPr>
        <w:t>la sección</w:t>
      </w:r>
      <w:r w:rsidRPr="00872052">
        <w:rPr>
          <w:rFonts w:ascii="ITC Avant Garde" w:hAnsi="ITC Avant Garde"/>
          <w:lang w:val="es-MX"/>
        </w:rPr>
        <w:t xml:space="preserve"> de </w:t>
      </w:r>
      <w:r w:rsidR="005B0846" w:rsidRPr="00872052">
        <w:rPr>
          <w:rFonts w:ascii="ITC Avant Garde" w:hAnsi="ITC Avant Garde"/>
          <w:lang w:val="es-MX"/>
        </w:rPr>
        <w:t>principios metodol</w:t>
      </w:r>
      <w:r w:rsidR="004F5AFE">
        <w:rPr>
          <w:rFonts w:ascii="ITC Avant Garde" w:hAnsi="ITC Avant Garde"/>
          <w:lang w:val="es-MX"/>
        </w:rPr>
        <w:t>ó</w:t>
      </w:r>
      <w:r w:rsidR="005B0846" w:rsidRPr="00872052">
        <w:rPr>
          <w:rFonts w:ascii="ITC Avant Garde" w:hAnsi="ITC Avant Garde"/>
          <w:lang w:val="es-MX"/>
        </w:rPr>
        <w:t>gicos</w:t>
      </w:r>
      <w:r w:rsidRPr="00872052">
        <w:rPr>
          <w:rFonts w:ascii="ITC Avant Garde" w:hAnsi="ITC Avant Garde"/>
          <w:lang w:val="es-MX"/>
        </w:rPr>
        <w:t xml:space="preserve">, la huella </w:t>
      </w:r>
      <w:r w:rsidR="005B0846" w:rsidRPr="00872052">
        <w:rPr>
          <w:rFonts w:ascii="ITC Avant Garde" w:hAnsi="ITC Avant Garde"/>
          <w:lang w:val="es-MX"/>
        </w:rPr>
        <w:t>geográfica</w:t>
      </w:r>
      <w:r w:rsidRPr="00872052">
        <w:rPr>
          <w:rFonts w:ascii="ITC Avant Garde" w:hAnsi="ITC Avant Garde"/>
          <w:lang w:val="es-MX"/>
        </w:rPr>
        <w:t xml:space="preserve"> para costear la red del operador modelado </w:t>
      </w:r>
      <w:r w:rsidR="005B0846" w:rsidRPr="00872052">
        <w:rPr>
          <w:rFonts w:ascii="ITC Avant Garde" w:hAnsi="ITC Avant Garde"/>
          <w:lang w:val="es-MX"/>
        </w:rPr>
        <w:t>esa</w:t>
      </w:r>
      <w:r w:rsidRPr="00872052">
        <w:rPr>
          <w:rFonts w:ascii="ITC Avant Garde" w:hAnsi="ITC Avant Garde"/>
          <w:lang w:val="es-MX"/>
        </w:rPr>
        <w:t xml:space="preserve"> la del </w:t>
      </w:r>
      <w:r w:rsidR="005B0846" w:rsidRPr="00872052">
        <w:rPr>
          <w:rFonts w:ascii="ITC Avant Garde" w:hAnsi="ITC Avant Garde"/>
          <w:lang w:val="es-MX"/>
        </w:rPr>
        <w:t>AEP.</w:t>
      </w:r>
      <w:r w:rsidRPr="00872052">
        <w:rPr>
          <w:rFonts w:ascii="ITC Avant Garde" w:hAnsi="ITC Avant Garde"/>
          <w:lang w:val="es-MX"/>
        </w:rPr>
        <w:t xml:space="preserve"> Esto significa que primero debe identificarse una huella nacional (completa) y restringirse al área de cobertura que sea relevante con respecto al estado actual de despliegue del operador modelado.</w:t>
      </w:r>
    </w:p>
    <w:p w:rsidR="0052235D" w:rsidRPr="00872052" w:rsidRDefault="0052235D" w:rsidP="0052235D">
      <w:pPr>
        <w:rPr>
          <w:rFonts w:ascii="ITC Avant Garde" w:hAnsi="ITC Avant Garde"/>
          <w:lang w:val="es-MX"/>
        </w:rPr>
      </w:pPr>
      <w:r w:rsidRPr="00872052">
        <w:rPr>
          <w:rFonts w:ascii="ITC Avant Garde" w:hAnsi="ITC Avant Garde"/>
          <w:lang w:val="es-MX"/>
        </w:rPr>
        <w:t>La identificación de la huella se realiza en tres pasos:</w:t>
      </w:r>
    </w:p>
    <w:p w:rsidR="0052235D" w:rsidRPr="00872052" w:rsidRDefault="0052235D" w:rsidP="0052235D">
      <w:pPr>
        <w:rPr>
          <w:rFonts w:ascii="ITC Avant Garde" w:hAnsi="ITC Avant Garde"/>
          <w:b/>
          <w:lang w:val="es-MX"/>
        </w:rPr>
      </w:pPr>
      <w:r w:rsidRPr="00872052">
        <w:rPr>
          <w:rFonts w:ascii="ITC Avant Garde" w:hAnsi="ITC Avant Garde"/>
          <w:b/>
          <w:lang w:val="es-MX"/>
        </w:rPr>
        <w:t>Primer paso:</w:t>
      </w:r>
    </w:p>
    <w:p w:rsidR="0052235D" w:rsidRPr="00872052" w:rsidRDefault="0052235D" w:rsidP="0052235D">
      <w:pPr>
        <w:rPr>
          <w:rFonts w:ascii="ITC Avant Garde" w:hAnsi="ITC Avant Garde"/>
          <w:lang w:val="es-MX"/>
        </w:rPr>
      </w:pPr>
      <w:r w:rsidRPr="00872052">
        <w:rPr>
          <w:rFonts w:ascii="ITC Avant Garde" w:hAnsi="ITC Avant Garde"/>
          <w:lang w:val="es-MX"/>
        </w:rPr>
        <w:t xml:space="preserve">Inicialmente, </w:t>
      </w:r>
      <w:r w:rsidR="0073312D">
        <w:rPr>
          <w:rFonts w:ascii="ITC Avant Garde" w:hAnsi="ITC Avant Garde"/>
          <w:lang w:val="es-MX"/>
        </w:rPr>
        <w:t>se establecen</w:t>
      </w:r>
      <w:r w:rsidR="0073312D" w:rsidRPr="00872052">
        <w:rPr>
          <w:rFonts w:ascii="ITC Avant Garde" w:hAnsi="ITC Avant Garde"/>
          <w:lang w:val="es-MX"/>
        </w:rPr>
        <w:t xml:space="preserve"> </w:t>
      </w:r>
      <w:r w:rsidRPr="00872052">
        <w:rPr>
          <w:rFonts w:ascii="ITC Avant Garde" w:hAnsi="ITC Avant Garde"/>
          <w:lang w:val="es-MX"/>
        </w:rPr>
        <w:t xml:space="preserve">todos los edificios que sean relevantes para conectarse a la red que comprende </w:t>
      </w:r>
      <w:r w:rsidR="0073312D">
        <w:rPr>
          <w:rFonts w:ascii="ITC Avant Garde" w:hAnsi="ITC Avant Garde"/>
          <w:lang w:val="es-MX"/>
        </w:rPr>
        <w:t>residencias</w:t>
      </w:r>
      <w:r w:rsidRPr="00872052">
        <w:rPr>
          <w:rFonts w:ascii="ITC Avant Garde" w:hAnsi="ITC Avant Garde"/>
          <w:lang w:val="es-MX"/>
        </w:rPr>
        <w:t xml:space="preserve"> y ubicaciones comerciales. Esto determinará una red nacional con una cobertura del 100 por ciento.</w:t>
      </w:r>
    </w:p>
    <w:p w:rsidR="0052235D" w:rsidRPr="00872052" w:rsidRDefault="0052235D" w:rsidP="0052235D">
      <w:pPr>
        <w:rPr>
          <w:rFonts w:ascii="ITC Avant Garde" w:hAnsi="ITC Avant Garde"/>
          <w:b/>
          <w:lang w:val="es-MX"/>
        </w:rPr>
      </w:pPr>
      <w:r w:rsidRPr="00872052">
        <w:rPr>
          <w:rFonts w:ascii="ITC Avant Garde" w:hAnsi="ITC Avant Garde"/>
          <w:b/>
          <w:lang w:val="es-MX"/>
        </w:rPr>
        <w:t>Segundo paso:</w:t>
      </w:r>
    </w:p>
    <w:p w:rsidR="0052235D" w:rsidRPr="00872052" w:rsidRDefault="0052235D" w:rsidP="0052235D">
      <w:pPr>
        <w:rPr>
          <w:rFonts w:ascii="ITC Avant Garde" w:hAnsi="ITC Avant Garde"/>
          <w:lang w:val="es-MX"/>
        </w:rPr>
      </w:pPr>
      <w:r w:rsidRPr="00872052">
        <w:rPr>
          <w:rFonts w:ascii="ITC Avant Garde" w:hAnsi="ITC Avant Garde"/>
          <w:lang w:val="es-MX"/>
        </w:rPr>
        <w:t xml:space="preserve">Según el resultado del primer paso, que conecta todos los edificios identificados, la huella excluirá los edificios más </w:t>
      </w:r>
      <w:r w:rsidR="0073312D">
        <w:rPr>
          <w:rFonts w:ascii="ITC Avant Garde" w:hAnsi="ITC Avant Garde"/>
          <w:lang w:val="es-MX"/>
        </w:rPr>
        <w:t xml:space="preserve">costosos </w:t>
      </w:r>
      <w:r w:rsidRPr="00872052">
        <w:rPr>
          <w:rFonts w:ascii="ITC Avant Garde" w:hAnsi="ITC Avant Garde"/>
          <w:lang w:val="es-MX"/>
        </w:rPr>
        <w:t>(estos edificios no están conectados a la red) mediante la eliminación de los puntos porcentuales de las líneas aprobadas que tienen el costo más alto para conectarse a la red moderna (el número de líneas pasadas se utiliza como la variable de control</w:t>
      </w:r>
      <w:r w:rsidR="005B0846" w:rsidRPr="00872052">
        <w:rPr>
          <w:rStyle w:val="Refdenotaalpie"/>
          <w:rFonts w:ascii="ITC Avant Garde" w:hAnsi="ITC Avant Garde"/>
          <w:lang w:val="es-MX"/>
        </w:rPr>
        <w:footnoteReference w:id="42"/>
      </w:r>
      <w:r w:rsidRPr="00872052">
        <w:rPr>
          <w:rFonts w:ascii="ITC Avant Garde" w:hAnsi="ITC Avant Garde"/>
          <w:lang w:val="es-MX"/>
        </w:rPr>
        <w:t>). Esto establecerá una huella que es relevante para la fijación de precios de los servicios nacionales regulados.</w:t>
      </w:r>
    </w:p>
    <w:p w:rsidR="0052235D" w:rsidRDefault="0052235D" w:rsidP="0052235D">
      <w:pPr>
        <w:rPr>
          <w:rFonts w:ascii="ITC Avant Garde" w:hAnsi="ITC Avant Garde"/>
          <w:lang w:val="es-MX"/>
        </w:rPr>
      </w:pPr>
      <w:r w:rsidRPr="00872052">
        <w:rPr>
          <w:rFonts w:ascii="ITC Avant Garde" w:hAnsi="ITC Avant Garde"/>
          <w:lang w:val="es-MX"/>
        </w:rPr>
        <w:t>Los edificios más caros que se descartan en el cálculo se determinan clasificando cada sección de acuerdo con la siguiente métrica, que se utiliza como un proxy para el costo incremental de cada sección a través de la ruta al nodo de acceso.</w:t>
      </w:r>
    </w:p>
    <w:p w:rsidR="007A227B" w:rsidRPr="00872052" w:rsidRDefault="007A227B" w:rsidP="0052235D">
      <w:pPr>
        <w:rPr>
          <w:rFonts w:ascii="ITC Avant Garde" w:hAnsi="ITC Avant Garde"/>
          <w:lang w:val="es-MX"/>
        </w:rPr>
      </w:pPr>
    </w:p>
    <w:p w:rsidR="005B0846" w:rsidRPr="00872052" w:rsidRDefault="0061735A" w:rsidP="005B0846">
      <w:pPr>
        <w:rPr>
          <w:rFonts w:ascii="ITC Avant Garde" w:hAnsi="ITC Avant Garde"/>
          <w:sz w:val="16"/>
          <w:lang w:val="en-US"/>
        </w:rPr>
      </w:pPr>
      <m:oMathPara>
        <m:oMath>
          <m:nary>
            <m:naryPr>
              <m:chr m:val="∑"/>
              <m:limLoc m:val="undOvr"/>
              <m:supHide m:val="1"/>
              <m:ctrlPr>
                <w:rPr>
                  <w:rFonts w:ascii="Cambria Math" w:hAnsi="Cambria Math"/>
                  <w:i/>
                  <w:sz w:val="18"/>
                  <w:lang w:val="en-US"/>
                </w:rPr>
              </m:ctrlPr>
            </m:naryPr>
            <m:sub>
              <m:r>
                <w:rPr>
                  <w:rFonts w:ascii="Cambria Math" w:hAnsi="Cambria Math"/>
                  <w:sz w:val="14"/>
                  <w:lang w:val="en-US"/>
                </w:rPr>
                <m:t>uplink sections</m:t>
              </m:r>
            </m:sub>
            <m:sup/>
            <m:e>
              <m:f>
                <m:fPr>
                  <m:ctrlPr>
                    <w:rPr>
                      <w:rFonts w:ascii="Cambria Math" w:hAnsi="Cambria Math"/>
                      <w:i/>
                      <w:sz w:val="18"/>
                      <w:lang w:val="en-US"/>
                    </w:rPr>
                  </m:ctrlPr>
                </m:fPr>
                <m:num>
                  <m:r>
                    <w:rPr>
                      <w:rFonts w:ascii="Cambria Math" w:hAnsi="Cambria Math"/>
                      <w:sz w:val="14"/>
                      <w:lang w:val="en-US"/>
                    </w:rPr>
                    <m:t>Length of the section</m:t>
                  </m:r>
                </m:num>
                <m:den>
                  <m:r>
                    <w:rPr>
                      <w:rFonts w:ascii="Cambria Math" w:hAnsi="Cambria Math"/>
                      <w:sz w:val="14"/>
                      <w:lang w:val="en-US"/>
                    </w:rPr>
                    <m:t>Number of local+distribution lines using this section</m:t>
                  </m:r>
                </m:den>
              </m:f>
            </m:e>
          </m:nary>
          <m:r>
            <w:rPr>
              <w:rFonts w:ascii="Cambria Math" w:hAnsi="Cambria Math"/>
              <w:sz w:val="18"/>
              <w:lang w:val="en-US"/>
            </w:rPr>
            <m:t>=</m:t>
          </m:r>
          <m:nary>
            <m:naryPr>
              <m:chr m:val="∑"/>
              <m:limLoc m:val="undOvr"/>
              <m:ctrlPr>
                <w:rPr>
                  <w:rFonts w:ascii="Cambria Math" w:hAnsi="Cambria Math"/>
                  <w:i/>
                  <w:sz w:val="18"/>
                  <w:lang w:val="en-US"/>
                </w:rPr>
              </m:ctrlPr>
            </m:naryPr>
            <m:sub>
              <m:r>
                <w:rPr>
                  <w:rFonts w:ascii="Cambria Math" w:hAnsi="Cambria Math"/>
                  <w:sz w:val="18"/>
                  <w:lang w:val="en-US"/>
                </w:rPr>
                <m:t>i=1</m:t>
              </m:r>
            </m:sub>
            <m:sup>
              <m:r>
                <w:rPr>
                  <w:rFonts w:ascii="Cambria Math" w:hAnsi="Cambria Math"/>
                  <w:sz w:val="18"/>
                  <w:lang w:val="en-US"/>
                </w:rPr>
                <m:t>n</m:t>
              </m:r>
            </m:sup>
            <m:e>
              <m:f>
                <m:fPr>
                  <m:ctrlPr>
                    <w:rPr>
                      <w:rFonts w:ascii="Cambria Math" w:hAnsi="Cambria Math"/>
                      <w:i/>
                      <w:sz w:val="18"/>
                      <w:lang w:val="en-US"/>
                    </w:rPr>
                  </m:ctrlPr>
                </m:fPr>
                <m:num>
                  <m:sSub>
                    <m:sSubPr>
                      <m:ctrlPr>
                        <w:rPr>
                          <w:rFonts w:ascii="Cambria Math" w:hAnsi="Cambria Math"/>
                          <w:i/>
                          <w:sz w:val="14"/>
                          <w:lang w:val="en-US"/>
                        </w:rPr>
                      </m:ctrlPr>
                    </m:sSubPr>
                    <m:e>
                      <m:r>
                        <w:rPr>
                          <w:rFonts w:ascii="Cambria Math" w:hAnsi="Cambria Math"/>
                          <w:sz w:val="14"/>
                          <w:lang w:val="en-US"/>
                        </w:rPr>
                        <m:t>Length of the section</m:t>
                      </m:r>
                    </m:e>
                    <m:sub>
                      <m:r>
                        <w:rPr>
                          <w:rFonts w:ascii="Cambria Math" w:hAnsi="Cambria Math"/>
                          <w:sz w:val="14"/>
                          <w:lang w:val="en-US"/>
                        </w:rPr>
                        <m:t>i</m:t>
                      </m:r>
                    </m:sub>
                  </m:sSub>
                </m:num>
                <m:den>
                  <m:sSub>
                    <m:sSubPr>
                      <m:ctrlPr>
                        <w:rPr>
                          <w:rFonts w:ascii="Cambria Math" w:hAnsi="Cambria Math"/>
                          <w:i/>
                          <w:sz w:val="14"/>
                          <w:lang w:val="en-US"/>
                        </w:rPr>
                      </m:ctrlPr>
                    </m:sSubPr>
                    <m:e>
                      <m:r>
                        <w:rPr>
                          <w:rFonts w:ascii="Cambria Math" w:hAnsi="Cambria Math"/>
                          <w:sz w:val="14"/>
                          <w:lang w:val="en-US"/>
                        </w:rPr>
                        <m:t>Number of local</m:t>
                      </m:r>
                    </m:e>
                    <m:sub>
                      <m:r>
                        <w:rPr>
                          <w:rFonts w:ascii="Cambria Math" w:hAnsi="Cambria Math"/>
                          <w:sz w:val="14"/>
                          <w:lang w:val="en-US"/>
                        </w:rPr>
                        <m:t>i</m:t>
                      </m:r>
                    </m:sub>
                  </m:sSub>
                  <m:r>
                    <w:rPr>
                      <w:rFonts w:ascii="Cambria Math" w:hAnsi="Cambria Math"/>
                      <w:sz w:val="14"/>
                      <w:lang w:val="en-US"/>
                    </w:rPr>
                    <m:t>+</m:t>
                  </m:r>
                  <m:sSub>
                    <m:sSubPr>
                      <m:ctrlPr>
                        <w:rPr>
                          <w:rFonts w:ascii="Cambria Math" w:hAnsi="Cambria Math"/>
                          <w:i/>
                          <w:sz w:val="14"/>
                          <w:lang w:val="en-US"/>
                        </w:rPr>
                      </m:ctrlPr>
                    </m:sSubPr>
                    <m:e>
                      <m:r>
                        <w:rPr>
                          <w:rFonts w:ascii="Cambria Math" w:hAnsi="Cambria Math"/>
                          <w:sz w:val="14"/>
                          <w:lang w:val="en-US"/>
                        </w:rPr>
                        <m:t>distribution lines using this section</m:t>
                      </m:r>
                    </m:e>
                    <m:sub>
                      <m:r>
                        <w:rPr>
                          <w:rFonts w:ascii="Cambria Math" w:hAnsi="Cambria Math"/>
                          <w:sz w:val="14"/>
                          <w:lang w:val="en-US"/>
                        </w:rPr>
                        <m:t>i</m:t>
                      </m:r>
                    </m:sub>
                  </m:sSub>
                </m:den>
              </m:f>
            </m:e>
          </m:nary>
        </m:oMath>
      </m:oMathPara>
    </w:p>
    <w:p w:rsidR="007A227B" w:rsidRDefault="007A227B" w:rsidP="0052235D">
      <w:pPr>
        <w:rPr>
          <w:rFonts w:ascii="ITC Avant Garde" w:hAnsi="ITC Avant Garde"/>
          <w:lang w:val="es-MX"/>
        </w:rPr>
      </w:pPr>
    </w:p>
    <w:p w:rsidR="0052235D" w:rsidRPr="00872052" w:rsidRDefault="0052235D" w:rsidP="0052235D">
      <w:pPr>
        <w:rPr>
          <w:rFonts w:ascii="ITC Avant Garde" w:hAnsi="ITC Avant Garde"/>
          <w:lang w:val="es-MX"/>
        </w:rPr>
      </w:pPr>
      <w:r w:rsidRPr="00872052">
        <w:rPr>
          <w:rFonts w:ascii="ITC Avant Garde" w:hAnsi="ITC Avant Garde"/>
          <w:lang w:val="es-MX"/>
        </w:rPr>
        <w:t>Para n secciones de enlace ascendente</w:t>
      </w:r>
    </w:p>
    <w:p w:rsidR="007A227B" w:rsidRDefault="007A227B" w:rsidP="0052235D">
      <w:pPr>
        <w:rPr>
          <w:rFonts w:ascii="ITC Avant Garde" w:hAnsi="ITC Avant Garde"/>
          <w:lang w:val="es-MX"/>
        </w:rPr>
      </w:pPr>
    </w:p>
    <w:p w:rsidR="0052235D" w:rsidRPr="00872052" w:rsidRDefault="0052235D" w:rsidP="0052235D">
      <w:pPr>
        <w:rPr>
          <w:rFonts w:ascii="ITC Avant Garde" w:hAnsi="ITC Avant Garde"/>
          <w:lang w:val="es-MX"/>
        </w:rPr>
      </w:pPr>
      <w:r w:rsidRPr="00872052">
        <w:rPr>
          <w:rFonts w:ascii="ITC Avant Garde" w:hAnsi="ITC Avant Garde"/>
          <w:lang w:val="es-MX"/>
        </w:rPr>
        <w:t>Por ejemplo, en la cobertura del nodo de acceso esquemático en la figura a continuación, la puntuación de la sección 2 se determina de la siguiente manera:</w:t>
      </w:r>
    </w:p>
    <w:p w:rsidR="005B0846" w:rsidRPr="00872052" w:rsidRDefault="002F19AF" w:rsidP="005B0846">
      <w:pPr>
        <w:rPr>
          <w:rFonts w:ascii="ITC Avant Garde" w:hAnsi="ITC Avant Garde"/>
          <w:lang w:val="en-US"/>
        </w:rPr>
      </w:pPr>
      <m:oMathPara>
        <m:oMath>
          <m:r>
            <w:rPr>
              <w:rFonts w:ascii="Cambria Math" w:hAnsi="Cambria Math"/>
              <w:lang w:val="en-US"/>
            </w:rPr>
            <m:t>Puntuación sección 2=</m:t>
          </m:r>
          <m:f>
            <m:fPr>
              <m:ctrlPr>
                <w:rPr>
                  <w:rFonts w:ascii="Cambria Math" w:hAnsi="Cambria Math"/>
                  <w:i/>
                  <w:lang w:val="en-US"/>
                </w:rPr>
              </m:ctrlPr>
            </m:fPr>
            <m:num>
              <m:r>
                <w:rPr>
                  <w:rFonts w:ascii="Cambria Math" w:hAnsi="Cambria Math"/>
                  <w:lang w:val="en-US"/>
                </w:rPr>
                <m:t>L1</m:t>
              </m:r>
            </m:num>
            <m:den>
              <m:r>
                <w:rPr>
                  <w:rFonts w:ascii="Cambria Math" w:hAnsi="Cambria Math"/>
                  <w:lang w:val="en-US"/>
                </w:rPr>
                <m:t>2+1+1+5+1+1+1+1</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L2</m:t>
              </m:r>
            </m:num>
            <m:den>
              <m:r>
                <w:rPr>
                  <w:rFonts w:ascii="Cambria Math" w:hAnsi="Cambria Math"/>
                  <w:lang w:val="en-US"/>
                </w:rPr>
                <m:t>1+5+1+1+1+1</m:t>
              </m:r>
            </m:den>
          </m:f>
        </m:oMath>
      </m:oMathPara>
    </w:p>
    <w:p w:rsidR="005B0846" w:rsidRPr="00872052" w:rsidRDefault="005B0846" w:rsidP="005B0846">
      <w:pPr>
        <w:rPr>
          <w:rFonts w:ascii="ITC Avant Garde" w:hAnsi="ITC Avant Garde"/>
          <w:lang w:val="es-MX"/>
        </w:rPr>
      </w:pP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lastRenderedPageBreak/>
        <w:t xml:space="preserve"> Figura </w:t>
      </w:r>
      <w:r w:rsidR="00E55E52">
        <w:rPr>
          <w:rFonts w:ascii="ITC Avant Garde" w:hAnsi="ITC Avant Garde"/>
          <w:lang w:val="es-MX"/>
        </w:rPr>
        <w:t>24</w:t>
      </w:r>
      <w:r w:rsidRPr="00872052">
        <w:rPr>
          <w:rFonts w:ascii="ITC Avant Garde" w:hAnsi="ITC Avant Garde"/>
          <w:lang w:val="es-MX"/>
        </w:rPr>
        <w:t xml:space="preserve"> - Ejemplo esquemático de cobertura de nodo de acceso</w:t>
      </w:r>
    </w:p>
    <w:p w:rsidR="005B0846" w:rsidRPr="00872052" w:rsidRDefault="005B0846" w:rsidP="005B0846">
      <w:pPr>
        <w:rPr>
          <w:rFonts w:ascii="ITC Avant Garde" w:hAnsi="ITC Avant Garde"/>
          <w:lang w:val="es-MX"/>
        </w:rPr>
      </w:pPr>
      <w:r w:rsidRPr="00872052">
        <w:rPr>
          <w:rFonts w:ascii="ITC Avant Garde" w:hAnsi="ITC Avant Garde"/>
          <w:noProof/>
          <w:lang w:val="es-MX" w:eastAsia="es-MX"/>
        </w:rPr>
        <w:drawing>
          <wp:inline distT="0" distB="0" distL="0" distR="0" wp14:anchorId="32D8FDB8" wp14:editId="498A493F">
            <wp:extent cx="4902907" cy="3409950"/>
            <wp:effectExtent l="0" t="0" r="0" b="0"/>
            <wp:docPr id="53"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2907" cy="3409950"/>
                    </a:xfrm>
                    <a:prstGeom prst="rect">
                      <a:avLst/>
                    </a:prstGeom>
                    <a:noFill/>
                    <a:ln>
                      <a:noFill/>
                    </a:ln>
                  </pic:spPr>
                </pic:pic>
              </a:graphicData>
            </a:graphic>
          </wp:inline>
        </w:drawing>
      </w:r>
    </w:p>
    <w:p w:rsidR="0052235D" w:rsidRPr="00872052" w:rsidRDefault="0052235D" w:rsidP="0052235D">
      <w:pPr>
        <w:rPr>
          <w:rFonts w:ascii="ITC Avant Garde" w:hAnsi="ITC Avant Garde"/>
          <w:lang w:val="es-MX"/>
        </w:rPr>
      </w:pPr>
    </w:p>
    <w:p w:rsidR="0052235D" w:rsidRPr="00872052" w:rsidRDefault="003B6FDE" w:rsidP="0052235D">
      <w:pPr>
        <w:rPr>
          <w:rFonts w:ascii="ITC Avant Garde" w:hAnsi="ITC Avant Garde"/>
          <w:b/>
          <w:lang w:val="es-MX"/>
        </w:rPr>
      </w:pPr>
      <w:r w:rsidRPr="00872052">
        <w:rPr>
          <w:rFonts w:ascii="ITC Avant Garde" w:hAnsi="ITC Avant Garde"/>
          <w:b/>
          <w:lang w:val="es-MX"/>
        </w:rPr>
        <w:t>T</w:t>
      </w:r>
      <w:r w:rsidR="0052235D" w:rsidRPr="00872052">
        <w:rPr>
          <w:rFonts w:ascii="ITC Avant Garde" w:hAnsi="ITC Avant Garde"/>
          <w:b/>
          <w:lang w:val="es-MX"/>
        </w:rPr>
        <w:t>ercer paso:</w:t>
      </w:r>
    </w:p>
    <w:p w:rsidR="0052235D" w:rsidRPr="00872052" w:rsidRDefault="0052235D" w:rsidP="0052235D">
      <w:pPr>
        <w:rPr>
          <w:rFonts w:ascii="ITC Avant Garde" w:hAnsi="ITC Avant Garde"/>
          <w:lang w:val="es-MX"/>
        </w:rPr>
      </w:pPr>
      <w:r w:rsidRPr="00872052">
        <w:rPr>
          <w:rFonts w:ascii="ITC Avant Garde" w:hAnsi="ITC Avant Garde"/>
          <w:lang w:val="es-MX"/>
        </w:rPr>
        <w:t>El tercer paso consiste en determinar el umbral que indica las líneas caras (secciones) y eliminarlas de la huella que se utilizará en el modelo.</w:t>
      </w:r>
    </w:p>
    <w:p w:rsidR="0052235D" w:rsidRPr="00872052" w:rsidRDefault="0052235D" w:rsidP="0052235D">
      <w:pPr>
        <w:rPr>
          <w:rFonts w:ascii="ITC Avant Garde" w:hAnsi="ITC Avant Garde"/>
          <w:lang w:val="es-MX"/>
        </w:rPr>
      </w:pPr>
      <w:r w:rsidRPr="00872052">
        <w:rPr>
          <w:rFonts w:ascii="ITC Avant Garde" w:hAnsi="ITC Avant Garde"/>
          <w:lang w:val="es-MX"/>
        </w:rPr>
        <w:t>Este paso se lleva a cabo de manera diferente entre el escenario de cobre y fibra.</w:t>
      </w:r>
    </w:p>
    <w:p w:rsidR="005B0846" w:rsidRPr="00872052" w:rsidRDefault="005B0846" w:rsidP="00FE7152">
      <w:pPr>
        <w:pStyle w:val="Listaconvietas2"/>
        <w:numPr>
          <w:ilvl w:val="0"/>
          <w:numId w:val="29"/>
        </w:numPr>
        <w:rPr>
          <w:rFonts w:ascii="ITC Avant Garde" w:hAnsi="ITC Avant Garde"/>
          <w:b/>
          <w:lang w:val="es-MX"/>
        </w:rPr>
      </w:pPr>
      <w:r w:rsidRPr="00872052">
        <w:rPr>
          <w:rFonts w:ascii="ITC Avant Garde" w:hAnsi="ITC Avant Garde"/>
          <w:b/>
          <w:lang w:val="es-MX"/>
        </w:rPr>
        <w:t>Para el escenario de cobre:</w:t>
      </w:r>
    </w:p>
    <w:p w:rsidR="005B0846" w:rsidRPr="00872052" w:rsidRDefault="005B0846" w:rsidP="005B0846">
      <w:pPr>
        <w:rPr>
          <w:rFonts w:ascii="ITC Avant Garde" w:hAnsi="ITC Avant Garde"/>
          <w:lang w:val="es-MX"/>
        </w:rPr>
      </w:pPr>
      <w:r w:rsidRPr="00872052">
        <w:rPr>
          <w:rFonts w:ascii="ITC Avant Garde" w:hAnsi="ITC Avant Garde"/>
          <w:lang w:val="es-MX"/>
        </w:rPr>
        <w:t>Con respecto al escenario de cobre, se considera una huella nacional: esto significa que todos los CO se toman en consideración, pero con un número restringido de edificios/locales por CO/municipio ya que el operador modelado es eficiente y no desplegaría todas las instalaciones sino solo en los más económicamente viables.</w:t>
      </w:r>
    </w:p>
    <w:p w:rsidR="005B0846" w:rsidRPr="00872052" w:rsidRDefault="005B0846" w:rsidP="005B0846">
      <w:pPr>
        <w:rPr>
          <w:rFonts w:ascii="ITC Avant Garde" w:hAnsi="ITC Avant Garde"/>
          <w:lang w:val="es-MX"/>
        </w:rPr>
      </w:pPr>
      <w:r w:rsidRPr="00872052">
        <w:rPr>
          <w:rFonts w:ascii="ITC Avant Garde" w:hAnsi="ITC Avant Garde"/>
          <w:lang w:val="es-MX"/>
        </w:rPr>
        <w:t>Se debe determinar un umbral para identificar los edificios (o secciones) económicamente más viables. Este umbral se determina a nivel de "municipio", lo que significa que considerando un número específico de locales por "municipio", las secciones se clasifican por "municipio" siguiendo el principio presentado en el paso 2 y el umbral se determina por "municipio" de modo que el número de locales por debajo del umbral sea menor o igual a la demanda total por "Municipio".</w:t>
      </w:r>
    </w:p>
    <w:p w:rsidR="005B0846" w:rsidRPr="00872052" w:rsidRDefault="005B0846" w:rsidP="005B0846">
      <w:pPr>
        <w:rPr>
          <w:rFonts w:ascii="ITC Avant Garde" w:hAnsi="ITC Avant Garde"/>
          <w:lang w:val="es-MX"/>
        </w:rPr>
      </w:pPr>
      <w:r w:rsidRPr="00872052">
        <w:rPr>
          <w:rFonts w:ascii="ITC Avant Garde" w:hAnsi="ITC Avant Garde"/>
          <w:lang w:val="es-MX"/>
        </w:rPr>
        <w:t>La demanda específica es proporcionada por el IFT de acuerdo con la estimación de INEGI (solo se consideran las líneas pasivas de</w:t>
      </w:r>
      <w:r w:rsidR="003B1FBF">
        <w:rPr>
          <w:rFonts w:ascii="ITC Avant Garde" w:hAnsi="ITC Avant Garde"/>
          <w:lang w:val="es-MX"/>
        </w:rPr>
        <w:t>l AEP</w:t>
      </w:r>
      <w:r w:rsidRPr="00872052">
        <w:rPr>
          <w:rFonts w:ascii="ITC Avant Garde" w:hAnsi="ITC Avant Garde"/>
          <w:lang w:val="es-MX"/>
        </w:rPr>
        <w:t xml:space="preserve">). La </w:t>
      </w:r>
      <w:r w:rsidR="00DC6B35">
        <w:rPr>
          <w:rFonts w:ascii="ITC Avant Garde" w:hAnsi="ITC Avant Garde"/>
          <w:lang w:val="es-MX"/>
        </w:rPr>
        <w:t>f</w:t>
      </w:r>
      <w:r w:rsidRPr="00872052">
        <w:rPr>
          <w:rFonts w:ascii="ITC Avant Garde" w:hAnsi="ITC Avant Garde"/>
          <w:lang w:val="es-MX"/>
        </w:rPr>
        <w:t>igura a bajo presenta una comparación entre el número de locales por "Municipio" realmente considerado en el modelo y los objetivos, ambas curvas se comparan con la huella total nacional.</w:t>
      </w:r>
    </w:p>
    <w:p w:rsidR="005B0846" w:rsidRPr="00872052" w:rsidRDefault="005B0846" w:rsidP="005B0846">
      <w:pPr>
        <w:rPr>
          <w:rFonts w:ascii="ITC Avant Garde" w:hAnsi="ITC Avant Garde"/>
          <w:lang w:val="es-MX"/>
        </w:rPr>
      </w:pP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t xml:space="preserve"> Figura </w:t>
      </w:r>
      <w:r w:rsidR="00E55E52">
        <w:rPr>
          <w:rFonts w:ascii="ITC Avant Garde" w:hAnsi="ITC Avant Garde"/>
          <w:lang w:val="es-MX"/>
        </w:rPr>
        <w:t>25</w:t>
      </w:r>
      <w:r w:rsidRPr="00872052">
        <w:rPr>
          <w:rFonts w:ascii="ITC Avant Garde" w:hAnsi="ITC Avant Garde"/>
          <w:lang w:val="es-MX"/>
        </w:rPr>
        <w:t xml:space="preserve"> - Número acumulado de locales por "municipio" - comparación entre los valores objetivo y los valores del modelo de cobre</w:t>
      </w:r>
    </w:p>
    <w:p w:rsidR="005B0846" w:rsidRPr="00872052" w:rsidRDefault="005B0846" w:rsidP="005B0846">
      <w:pPr>
        <w:rPr>
          <w:rFonts w:ascii="ITC Avant Garde" w:hAnsi="ITC Avant Garde"/>
          <w:lang w:val="es-MX"/>
        </w:rPr>
      </w:pPr>
      <w:r w:rsidRPr="00872052">
        <w:rPr>
          <w:rFonts w:ascii="ITC Avant Garde" w:hAnsi="ITC Avant Garde"/>
          <w:noProof/>
          <w:lang w:val="es-MX" w:eastAsia="es-MX"/>
        </w:rPr>
        <w:drawing>
          <wp:inline distT="0" distB="0" distL="0" distR="0" wp14:anchorId="5928C1B7" wp14:editId="0B9C5C6E">
            <wp:extent cx="5399405" cy="2644775"/>
            <wp:effectExtent l="0" t="0" r="0" b="3175"/>
            <wp:docPr id="5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9405" cy="2644775"/>
                    </a:xfrm>
                    <a:prstGeom prst="rect">
                      <a:avLst/>
                    </a:prstGeom>
                    <a:noFill/>
                  </pic:spPr>
                </pic:pic>
              </a:graphicData>
            </a:graphic>
          </wp:inline>
        </w:drawing>
      </w:r>
    </w:p>
    <w:p w:rsidR="005B0846" w:rsidRPr="00872052" w:rsidRDefault="005B0846" w:rsidP="005B0846">
      <w:pPr>
        <w:rPr>
          <w:rFonts w:ascii="ITC Avant Garde" w:hAnsi="ITC Avant Garde"/>
          <w:lang w:val="es-MX"/>
        </w:rPr>
      </w:pPr>
    </w:p>
    <w:p w:rsidR="005B0846" w:rsidRPr="00872052" w:rsidRDefault="005B0846" w:rsidP="005B0846">
      <w:pPr>
        <w:rPr>
          <w:rFonts w:ascii="ITC Avant Garde" w:hAnsi="ITC Avant Garde"/>
          <w:lang w:val="es-MX"/>
        </w:rPr>
      </w:pPr>
      <w:r w:rsidRPr="00872052">
        <w:rPr>
          <w:rFonts w:ascii="ITC Avant Garde" w:hAnsi="ITC Avant Garde"/>
          <w:lang w:val="es-MX"/>
        </w:rPr>
        <w:t>El eje X describe los 'municipios' ordenados de 1 a 1893 en orden ascendente según el número de instalaciones objetivo</w:t>
      </w:r>
    </w:p>
    <w:p w:rsidR="005B0846" w:rsidRPr="00872052" w:rsidRDefault="005B0846" w:rsidP="005B0846">
      <w:pPr>
        <w:rPr>
          <w:rFonts w:ascii="ITC Avant Garde" w:hAnsi="ITC Avant Garde"/>
          <w:lang w:val="es-MX"/>
        </w:rPr>
      </w:pPr>
      <w:r w:rsidRPr="00872052">
        <w:rPr>
          <w:rFonts w:ascii="ITC Avant Garde" w:hAnsi="ITC Avant Garde"/>
          <w:lang w:val="es-MX"/>
        </w:rPr>
        <w:t>El número total de locales considerados en todo el país es de 49</w:t>
      </w:r>
      <w:r w:rsidR="009825B1">
        <w:rPr>
          <w:rFonts w:ascii="ITC Avant Garde" w:hAnsi="ITC Avant Garde"/>
          <w:lang w:val="es-MX"/>
        </w:rPr>
        <w:t>.</w:t>
      </w:r>
      <w:r w:rsidRPr="00872052">
        <w:rPr>
          <w:rFonts w:ascii="ITC Avant Garde" w:hAnsi="ITC Avant Garde"/>
          <w:lang w:val="es-MX"/>
        </w:rPr>
        <w:t xml:space="preserve">77 millones (como resultado del tratamiento </w:t>
      </w:r>
      <w:proofErr w:type="spellStart"/>
      <w:r w:rsidRPr="00872052">
        <w:rPr>
          <w:rFonts w:ascii="ITC Avant Garde" w:hAnsi="ITC Avant Garde"/>
          <w:lang w:val="es-MX"/>
        </w:rPr>
        <w:t>geomarketing</w:t>
      </w:r>
      <w:proofErr w:type="spellEnd"/>
      <w:r w:rsidRPr="00872052">
        <w:rPr>
          <w:rFonts w:ascii="ITC Avant Garde" w:hAnsi="ITC Avant Garde"/>
          <w:lang w:val="es-MX"/>
        </w:rPr>
        <w:t xml:space="preserve"> de los datos SIG) y se ha reducido para corresponder a la demanda específica de 34</w:t>
      </w:r>
      <w:r w:rsidR="009825B1">
        <w:rPr>
          <w:rFonts w:ascii="ITC Avant Garde" w:hAnsi="ITC Avant Garde"/>
          <w:lang w:val="es-MX"/>
        </w:rPr>
        <w:t>.</w:t>
      </w:r>
      <w:r w:rsidRPr="00872052">
        <w:rPr>
          <w:rFonts w:ascii="ITC Avant Garde" w:hAnsi="ITC Avant Garde"/>
          <w:lang w:val="es-MX"/>
        </w:rPr>
        <w:t>74 millones de locales.</w:t>
      </w:r>
    </w:p>
    <w:p w:rsidR="0052235D" w:rsidRPr="00872052" w:rsidRDefault="0052235D" w:rsidP="0052235D">
      <w:pPr>
        <w:rPr>
          <w:rFonts w:ascii="ITC Avant Garde" w:hAnsi="ITC Avant Garde"/>
          <w:lang w:val="es-MX"/>
        </w:rPr>
      </w:pPr>
      <w:r w:rsidRPr="00872052">
        <w:rPr>
          <w:rFonts w:ascii="ITC Avant Garde" w:hAnsi="ITC Avant Garde"/>
          <w:lang w:val="es-MX"/>
        </w:rPr>
        <w:t>El proceso de restricción de la huella ha llevado a una distribución de locales por "municipio" cuasi similar al objetivo (curva verde) que es muy comparable a la distribución de las instalaciones en todo el país.</w:t>
      </w:r>
    </w:p>
    <w:p w:rsidR="005B0846" w:rsidRPr="00872052" w:rsidRDefault="005B0846" w:rsidP="005B0846">
      <w:pPr>
        <w:rPr>
          <w:rFonts w:ascii="ITC Avant Garde" w:hAnsi="ITC Avant Garde"/>
          <w:lang w:val="es-MX"/>
        </w:rPr>
      </w:pPr>
      <w:r w:rsidRPr="00872052">
        <w:rPr>
          <w:rFonts w:ascii="ITC Avant Garde" w:hAnsi="ITC Avant Garde"/>
          <w:lang w:val="es-MX"/>
        </w:rPr>
        <w:t>Sin embargo, el número total de premisas resultantes del proceso de ajuste de la huella es menor que el número objetivo (31</w:t>
      </w:r>
      <w:r w:rsidR="009825B1">
        <w:rPr>
          <w:rFonts w:ascii="ITC Avant Garde" w:hAnsi="ITC Avant Garde"/>
          <w:lang w:val="es-MX"/>
        </w:rPr>
        <w:t>.</w:t>
      </w:r>
      <w:r w:rsidRPr="00872052">
        <w:rPr>
          <w:rFonts w:ascii="ITC Avant Garde" w:hAnsi="ITC Avant Garde"/>
          <w:lang w:val="es-MX"/>
        </w:rPr>
        <w:t xml:space="preserve">67M </w:t>
      </w:r>
      <w:r w:rsidR="009825B1">
        <w:rPr>
          <w:rFonts w:ascii="ITC Avant Garde" w:hAnsi="ITC Avant Garde"/>
          <w:lang w:val="es-MX"/>
        </w:rPr>
        <w:t>vs</w:t>
      </w:r>
      <w:r w:rsidRPr="00872052">
        <w:rPr>
          <w:rFonts w:ascii="ITC Avant Garde" w:hAnsi="ITC Avant Garde"/>
          <w:lang w:val="es-MX"/>
        </w:rPr>
        <w:t xml:space="preserve"> 34</w:t>
      </w:r>
      <w:r w:rsidR="009825B1">
        <w:rPr>
          <w:rFonts w:ascii="ITC Avant Garde" w:hAnsi="ITC Avant Garde"/>
          <w:lang w:val="es-MX"/>
        </w:rPr>
        <w:t>.</w:t>
      </w:r>
      <w:r w:rsidRPr="00872052">
        <w:rPr>
          <w:rFonts w:ascii="ITC Avant Garde" w:hAnsi="ITC Avant Garde"/>
          <w:lang w:val="es-MX"/>
        </w:rPr>
        <w:t>74M).</w:t>
      </w:r>
    </w:p>
    <w:p w:rsidR="005B0846" w:rsidRPr="00872052" w:rsidRDefault="005B0846" w:rsidP="005B0846">
      <w:pPr>
        <w:rPr>
          <w:rFonts w:ascii="ITC Avant Garde" w:hAnsi="ITC Avant Garde"/>
          <w:lang w:val="es-MX"/>
        </w:rPr>
      </w:pPr>
      <w:r w:rsidRPr="00872052">
        <w:rPr>
          <w:rFonts w:ascii="ITC Avant Garde" w:hAnsi="ITC Avant Garde"/>
          <w:lang w:val="es-MX"/>
        </w:rPr>
        <w:t>Esta inconsistencia surge debido a dos fenómenos:</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El primero es el proceso de puntuación de huella que establece puntajes sección por sección, por lo que las secciones resultantes de este proceso para ser consideradas en la huella no siempre tienen exactamente el mismo número acumulativo de locales que el objetivo (este podría ser el caso solamente si el proceso de puntuación se realizar</w:t>
      </w:r>
      <w:r w:rsidR="004F5AFE">
        <w:rPr>
          <w:rFonts w:ascii="ITC Avant Garde" w:hAnsi="ITC Avant Garde"/>
          <w:lang w:val="es-MX"/>
        </w:rPr>
        <w:t>í</w:t>
      </w:r>
      <w:r w:rsidRPr="00872052">
        <w:rPr>
          <w:rFonts w:ascii="ITC Avant Garde" w:hAnsi="ITC Avant Garde"/>
          <w:lang w:val="es-MX"/>
        </w:rPr>
        <w:t>a al nivel de edificios o cuando la sección de limitación tiene solo una premisa).</w:t>
      </w:r>
    </w:p>
    <w:p w:rsidR="005B0846" w:rsidRPr="00872052" w:rsidRDefault="005B0846" w:rsidP="005B0846">
      <w:pPr>
        <w:pStyle w:val="Listaconvietas2"/>
        <w:numPr>
          <w:ilvl w:val="0"/>
          <w:numId w:val="0"/>
        </w:numPr>
        <w:ind w:left="643"/>
        <w:rPr>
          <w:rFonts w:ascii="ITC Avant Garde" w:hAnsi="ITC Avant Garde"/>
          <w:lang w:val="es-MX"/>
        </w:rPr>
      </w:pPr>
      <w:r w:rsidRPr="00872052">
        <w:rPr>
          <w:rFonts w:ascii="ITC Avant Garde" w:hAnsi="ITC Avant Garde"/>
          <w:lang w:val="es-MX"/>
        </w:rPr>
        <w:t>Cabe señalar que este fenómeno tiene un impacto limitado en comparación con el segundo punto (solo 14</w:t>
      </w:r>
      <w:r w:rsidR="009825B1">
        <w:rPr>
          <w:rFonts w:ascii="ITC Avant Garde" w:hAnsi="ITC Avant Garde"/>
          <w:lang w:val="es-MX"/>
        </w:rPr>
        <w:t>,</w:t>
      </w:r>
      <w:r w:rsidRPr="00872052">
        <w:rPr>
          <w:rFonts w:ascii="ITC Avant Garde" w:hAnsi="ITC Avant Garde"/>
          <w:lang w:val="es-MX"/>
        </w:rPr>
        <w:t>843 locales se ven afectados por este fenómeno).</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lastRenderedPageBreak/>
        <w:t>El segundo fen</w:t>
      </w:r>
      <w:r w:rsidR="004F5AFE">
        <w:rPr>
          <w:rFonts w:ascii="ITC Avant Garde" w:hAnsi="ITC Avant Garde"/>
          <w:lang w:val="es-MX"/>
        </w:rPr>
        <w:t>ó</w:t>
      </w:r>
      <w:r w:rsidRPr="00872052">
        <w:rPr>
          <w:rFonts w:ascii="ITC Avant Garde" w:hAnsi="ITC Avant Garde"/>
          <w:lang w:val="es-MX"/>
        </w:rPr>
        <w:t xml:space="preserve">meno proviene de la combinación entre la demanda específica y la demanda de </w:t>
      </w:r>
      <w:proofErr w:type="spellStart"/>
      <w:r w:rsidRPr="00872052">
        <w:rPr>
          <w:rFonts w:ascii="ITC Avant Garde" w:hAnsi="ITC Avant Garde"/>
          <w:lang w:val="es-MX"/>
        </w:rPr>
        <w:t>geomarketing</w:t>
      </w:r>
      <w:proofErr w:type="spellEnd"/>
      <w:r w:rsidRPr="00872052">
        <w:rPr>
          <w:rFonts w:ascii="ITC Avant Garde" w:hAnsi="ITC Avant Garde"/>
          <w:lang w:val="es-MX"/>
        </w:rPr>
        <w:t xml:space="preserve">, donde en algún "municipio", la demanda objetivo es mayor que la demanda real que se registra en el proceso de </w:t>
      </w:r>
      <w:proofErr w:type="spellStart"/>
      <w:r w:rsidRPr="00872052">
        <w:rPr>
          <w:rFonts w:ascii="ITC Avant Garde" w:hAnsi="ITC Avant Garde"/>
          <w:lang w:val="es-MX"/>
        </w:rPr>
        <w:t>geomarketing</w:t>
      </w:r>
      <w:proofErr w:type="spellEnd"/>
      <w:r w:rsidRPr="00872052">
        <w:rPr>
          <w:rFonts w:ascii="ITC Avant Garde" w:hAnsi="ITC Avant Garde"/>
          <w:lang w:val="es-MX"/>
        </w:rPr>
        <w:t>.</w:t>
      </w:r>
    </w:p>
    <w:p w:rsidR="005B0846" w:rsidRPr="00872052" w:rsidRDefault="005B0846" w:rsidP="005B0846">
      <w:pPr>
        <w:pStyle w:val="Listaconvietas2"/>
        <w:numPr>
          <w:ilvl w:val="0"/>
          <w:numId w:val="0"/>
        </w:numPr>
        <w:ind w:left="643"/>
        <w:rPr>
          <w:rFonts w:ascii="ITC Avant Garde" w:hAnsi="ITC Avant Garde"/>
          <w:lang w:val="es-MX"/>
        </w:rPr>
      </w:pPr>
      <w:r w:rsidRPr="00872052">
        <w:rPr>
          <w:rFonts w:ascii="ITC Avant Garde" w:hAnsi="ITC Avant Garde"/>
          <w:lang w:val="es-MX"/>
        </w:rPr>
        <w:t xml:space="preserve">En estos "municipio", la huella no se reduce y se considera el número total de locales resultantes del proceso de </w:t>
      </w:r>
      <w:proofErr w:type="spellStart"/>
      <w:r w:rsidRPr="00872052">
        <w:rPr>
          <w:rFonts w:ascii="ITC Avant Garde" w:hAnsi="ITC Avant Garde"/>
          <w:lang w:val="es-MX"/>
        </w:rPr>
        <w:t>geomarketing</w:t>
      </w:r>
      <w:proofErr w:type="spellEnd"/>
      <w:r w:rsidRPr="00872052">
        <w:rPr>
          <w:rFonts w:ascii="ITC Avant Garde" w:hAnsi="ITC Avant Garde"/>
          <w:lang w:val="es-MX"/>
        </w:rPr>
        <w:t>.</w:t>
      </w:r>
    </w:p>
    <w:p w:rsidR="005B0846" w:rsidRPr="00872052" w:rsidRDefault="005B0846" w:rsidP="005B0846">
      <w:pPr>
        <w:pStyle w:val="Listaconvietas2"/>
        <w:numPr>
          <w:ilvl w:val="0"/>
          <w:numId w:val="0"/>
        </w:numPr>
        <w:ind w:left="643"/>
        <w:rPr>
          <w:rFonts w:ascii="ITC Avant Garde" w:hAnsi="ITC Avant Garde"/>
          <w:lang w:val="es-MX"/>
        </w:rPr>
      </w:pPr>
      <w:r w:rsidRPr="00872052">
        <w:rPr>
          <w:rFonts w:ascii="ITC Avant Garde" w:hAnsi="ITC Avant Garde"/>
          <w:lang w:val="es-MX"/>
        </w:rPr>
        <w:t>Esto concierne 82 "municipio" de 1</w:t>
      </w:r>
      <w:r w:rsidR="009825B1">
        <w:rPr>
          <w:rFonts w:ascii="ITC Avant Garde" w:hAnsi="ITC Avant Garde"/>
          <w:lang w:val="es-MX"/>
        </w:rPr>
        <w:t>,</w:t>
      </w:r>
      <w:r w:rsidRPr="00872052">
        <w:rPr>
          <w:rFonts w:ascii="ITC Avant Garde" w:hAnsi="ITC Avant Garde"/>
          <w:lang w:val="es-MX"/>
        </w:rPr>
        <w:t xml:space="preserve">893. </w:t>
      </w:r>
    </w:p>
    <w:p w:rsidR="005B0846" w:rsidRPr="00872052" w:rsidRDefault="005B0846" w:rsidP="005B0846">
      <w:pPr>
        <w:rPr>
          <w:rFonts w:ascii="ITC Avant Garde" w:hAnsi="ITC Avant Garde"/>
          <w:lang w:val="es-MX"/>
        </w:rPr>
      </w:pPr>
      <w:r w:rsidRPr="00872052">
        <w:rPr>
          <w:rFonts w:ascii="ITC Avant Garde" w:hAnsi="ITC Avant Garde"/>
          <w:lang w:val="es-MX"/>
        </w:rPr>
        <w:t>Al final, el número total de locales considerados en el modelo es de 31</w:t>
      </w:r>
      <w:r w:rsidR="009825B1">
        <w:rPr>
          <w:rFonts w:ascii="ITC Avant Garde" w:hAnsi="ITC Avant Garde"/>
          <w:lang w:val="es-MX"/>
        </w:rPr>
        <w:t>.</w:t>
      </w:r>
      <w:r w:rsidRPr="00872052">
        <w:rPr>
          <w:rFonts w:ascii="ITC Avant Garde" w:hAnsi="ITC Avant Garde"/>
          <w:lang w:val="es-MX"/>
        </w:rPr>
        <w:t>7 millones y el número total de edificios es de 15</w:t>
      </w:r>
      <w:r w:rsidR="009825B1">
        <w:rPr>
          <w:rFonts w:ascii="ITC Avant Garde" w:hAnsi="ITC Avant Garde"/>
          <w:lang w:val="es-MX"/>
        </w:rPr>
        <w:t>.</w:t>
      </w:r>
      <w:r w:rsidRPr="00872052">
        <w:rPr>
          <w:rFonts w:ascii="ITC Avant Garde" w:hAnsi="ITC Avant Garde"/>
          <w:lang w:val="es-MX"/>
        </w:rPr>
        <w:t>6 millones.</w:t>
      </w:r>
    </w:p>
    <w:p w:rsidR="005B0846" w:rsidRPr="00872052" w:rsidRDefault="005B0846" w:rsidP="005B0846">
      <w:pPr>
        <w:rPr>
          <w:rFonts w:ascii="ITC Avant Garde" w:hAnsi="ITC Avant Garde"/>
          <w:lang w:val="es-MX"/>
        </w:rPr>
      </w:pPr>
    </w:p>
    <w:p w:rsidR="005B0846" w:rsidRPr="00872052" w:rsidRDefault="005B0846" w:rsidP="00FE7152">
      <w:pPr>
        <w:pStyle w:val="Listaconvietas2"/>
        <w:numPr>
          <w:ilvl w:val="0"/>
          <w:numId w:val="29"/>
        </w:numPr>
        <w:rPr>
          <w:rFonts w:ascii="ITC Avant Garde" w:hAnsi="ITC Avant Garde"/>
          <w:b/>
          <w:lang w:val="es-MX"/>
        </w:rPr>
      </w:pPr>
      <w:r w:rsidRPr="00872052">
        <w:rPr>
          <w:rFonts w:ascii="ITC Avant Garde" w:hAnsi="ITC Avant Garde"/>
          <w:b/>
          <w:lang w:val="es-MX"/>
        </w:rPr>
        <w:t>Para el escenario de fibra:</w:t>
      </w:r>
    </w:p>
    <w:p w:rsidR="005B0846" w:rsidRPr="00872052" w:rsidRDefault="005B0846" w:rsidP="005B0846">
      <w:pPr>
        <w:rPr>
          <w:rFonts w:ascii="ITC Avant Garde" w:hAnsi="ITC Avant Garde"/>
          <w:lang w:val="es-MX"/>
        </w:rPr>
      </w:pPr>
      <w:r w:rsidRPr="00872052">
        <w:rPr>
          <w:rFonts w:ascii="ITC Avant Garde" w:hAnsi="ITC Avant Garde"/>
          <w:lang w:val="es-MX"/>
        </w:rPr>
        <w:t>Dado que el despliegue de fibra en México es considerablemente más bajo que el de cobre, el costo de los servicios regulados por fibra no puede basarse en una huella nacional completa ni en una huella nacional restringida (como el cobre).</w:t>
      </w:r>
    </w:p>
    <w:p w:rsidR="005B0846" w:rsidRPr="00872052" w:rsidRDefault="005B0846" w:rsidP="005B0846">
      <w:pPr>
        <w:rPr>
          <w:rFonts w:ascii="ITC Avant Garde" w:hAnsi="ITC Avant Garde"/>
          <w:lang w:val="es-MX"/>
        </w:rPr>
      </w:pPr>
      <w:r w:rsidRPr="00872052">
        <w:rPr>
          <w:rFonts w:ascii="ITC Avant Garde" w:hAnsi="ITC Avant Garde"/>
          <w:lang w:val="es-MX"/>
        </w:rPr>
        <w:t>La huella que se considera tiene en cuenta el estado actual de la implementación de fibra al considerar solo CO donde se implementan los PDP de fibra y al limitar el número de instalaciones a las que se encuentran en el área posterior de los PDP desplegadas actualmente.</w:t>
      </w:r>
    </w:p>
    <w:p w:rsidR="005B0846" w:rsidRPr="00872052" w:rsidRDefault="005B0846" w:rsidP="005B0846">
      <w:pPr>
        <w:rPr>
          <w:rFonts w:ascii="ITC Avant Garde" w:hAnsi="ITC Avant Garde"/>
          <w:lang w:val="es-MX"/>
        </w:rPr>
      </w:pPr>
      <w:r w:rsidRPr="00872052">
        <w:rPr>
          <w:rFonts w:ascii="ITC Avant Garde" w:hAnsi="ITC Avant Garde"/>
          <w:lang w:val="es-MX"/>
        </w:rPr>
        <w:t>Teniendo en cuenta el mismo enfoque, pero utilizando una clasificación en al nivel de CO, este enfoque lleva al despliegue de PDP adicionales (además de los actuales) en la misma área que los PDP implementados actuales, de modo que la demanda total por CO no exceda la cantidad máxima de locales que existe en las áreas de cobertura actuales. Esto garantizará el despliegue de fibra en el área donde actualmente es más dinámica y al mismo tiempo desplegar solo las instalaciones económicamente más viables.</w:t>
      </w:r>
    </w:p>
    <w:p w:rsidR="005B0846" w:rsidRPr="00872052" w:rsidRDefault="005B0846" w:rsidP="005B0846">
      <w:pPr>
        <w:rPr>
          <w:rFonts w:ascii="ITC Avant Garde" w:hAnsi="ITC Avant Garde"/>
          <w:lang w:val="es-MX"/>
        </w:rPr>
      </w:pPr>
      <w:r w:rsidRPr="00872052">
        <w:rPr>
          <w:rFonts w:ascii="ITC Avant Garde" w:hAnsi="ITC Avant Garde"/>
          <w:lang w:val="es-MX"/>
        </w:rPr>
        <w:t>La siguiente figura muestra una comparación entre el número de instalaciones por CO implementadas en el modelo en comparación con el objetivo.</w:t>
      </w: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lastRenderedPageBreak/>
        <w:t xml:space="preserve"> Figura </w:t>
      </w:r>
      <w:r w:rsidR="00E55E52">
        <w:rPr>
          <w:rFonts w:ascii="ITC Avant Garde" w:hAnsi="ITC Avant Garde"/>
          <w:lang w:val="es-MX"/>
        </w:rPr>
        <w:t>26</w:t>
      </w:r>
      <w:r w:rsidRPr="00872052">
        <w:rPr>
          <w:rFonts w:ascii="ITC Avant Garde" w:hAnsi="ITC Avant Garde"/>
          <w:lang w:val="es-MX"/>
        </w:rPr>
        <w:t xml:space="preserve"> - Número acumulado de locales por comparación de CO entre los valores objetivo y los valores del modelo de Fibra</w:t>
      </w:r>
    </w:p>
    <w:p w:rsidR="005B0846" w:rsidRPr="00872052" w:rsidRDefault="005B0846" w:rsidP="005B0846">
      <w:pPr>
        <w:rPr>
          <w:rFonts w:ascii="ITC Avant Garde" w:hAnsi="ITC Avant Garde"/>
          <w:lang w:val="es-MX"/>
        </w:rPr>
      </w:pPr>
      <w:r w:rsidRPr="00872052">
        <w:rPr>
          <w:rFonts w:ascii="ITC Avant Garde" w:hAnsi="ITC Avant Garde"/>
          <w:noProof/>
          <w:lang w:val="es-MX" w:eastAsia="es-MX"/>
        </w:rPr>
        <w:drawing>
          <wp:inline distT="0" distB="0" distL="0" distR="0" wp14:anchorId="08929E5D" wp14:editId="7BD20450">
            <wp:extent cx="4859020" cy="3066415"/>
            <wp:effectExtent l="0" t="0" r="0" b="635"/>
            <wp:docPr id="59"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9020" cy="3066415"/>
                    </a:xfrm>
                    <a:prstGeom prst="rect">
                      <a:avLst/>
                    </a:prstGeom>
                    <a:noFill/>
                  </pic:spPr>
                </pic:pic>
              </a:graphicData>
            </a:graphic>
          </wp:inline>
        </w:drawing>
      </w:r>
    </w:p>
    <w:p w:rsidR="005B0846" w:rsidRPr="00872052" w:rsidRDefault="005B0846" w:rsidP="005B0846">
      <w:pPr>
        <w:rPr>
          <w:rFonts w:ascii="ITC Avant Garde" w:hAnsi="ITC Avant Garde"/>
          <w:lang w:val="es-MX"/>
        </w:rPr>
      </w:pPr>
    </w:p>
    <w:p w:rsidR="005B0846" w:rsidRPr="00872052" w:rsidRDefault="005B0846" w:rsidP="005B0846">
      <w:pPr>
        <w:rPr>
          <w:rFonts w:ascii="ITC Avant Garde" w:hAnsi="ITC Avant Garde"/>
          <w:lang w:val="es-MX"/>
        </w:rPr>
      </w:pPr>
      <w:r w:rsidRPr="00872052">
        <w:rPr>
          <w:rFonts w:ascii="ITC Avant Garde" w:hAnsi="ITC Avant Garde"/>
          <w:lang w:val="es-MX"/>
        </w:rPr>
        <w:t>El eje X describe los CO ordenados de 1 a 2</w:t>
      </w:r>
      <w:r w:rsidR="00E55E52">
        <w:rPr>
          <w:rFonts w:ascii="ITC Avant Garde" w:hAnsi="ITC Avant Garde"/>
          <w:lang w:val="es-MX"/>
        </w:rPr>
        <w:t>,</w:t>
      </w:r>
      <w:r w:rsidRPr="00872052">
        <w:rPr>
          <w:rFonts w:ascii="ITC Avant Garde" w:hAnsi="ITC Avant Garde"/>
          <w:lang w:val="es-MX"/>
        </w:rPr>
        <w:t>079 en orden ascendente según el número de instalaciones objetivo</w:t>
      </w:r>
    </w:p>
    <w:p w:rsidR="005B0846" w:rsidRPr="00872052" w:rsidRDefault="005B0846" w:rsidP="005B0846">
      <w:pPr>
        <w:rPr>
          <w:rFonts w:ascii="ITC Avant Garde" w:hAnsi="ITC Avant Garde"/>
          <w:lang w:val="es-MX"/>
        </w:rPr>
      </w:pPr>
      <w:r w:rsidRPr="00872052">
        <w:rPr>
          <w:rFonts w:ascii="ITC Avant Garde" w:hAnsi="ITC Avant Garde"/>
          <w:lang w:val="es-MX"/>
        </w:rPr>
        <w:t>El número total de locales considerados en el modelo es de 5,357 millones y el número total de edificios es de 2,097 millones.</w:t>
      </w:r>
    </w:p>
    <w:p w:rsidR="005B0846" w:rsidRPr="00872052" w:rsidRDefault="005B0846" w:rsidP="005B0846">
      <w:pPr>
        <w:rPr>
          <w:rFonts w:ascii="ITC Avant Garde" w:hAnsi="ITC Avant Garde"/>
          <w:lang w:val="es-MX"/>
        </w:rPr>
      </w:pPr>
      <w:r w:rsidRPr="00872052">
        <w:rPr>
          <w:rFonts w:ascii="ITC Avant Garde" w:hAnsi="ITC Avant Garde"/>
          <w:lang w:val="es-MX"/>
        </w:rPr>
        <w:t>La diferencia entre el número de premisas objetivo y modelado en el modelo de fibra es muy limitada en comparación con el modelado de cobre. Esto se debe (como se explicó en la sección anterior) al proceso de puntuación utilizado en la restricción de huella que asocia las puntuaciones a toda la sección y no a los edificios.</w:t>
      </w:r>
    </w:p>
    <w:p w:rsidR="005B0846" w:rsidRPr="00872052" w:rsidRDefault="005B0846" w:rsidP="005B0846">
      <w:pPr>
        <w:rPr>
          <w:rFonts w:ascii="ITC Avant Garde" w:hAnsi="ITC Avant Garde"/>
          <w:lang w:val="es-MX"/>
        </w:rPr>
      </w:pPr>
    </w:p>
    <w:p w:rsidR="005B0846" w:rsidRPr="00872052" w:rsidRDefault="005B0846" w:rsidP="005B0846">
      <w:pPr>
        <w:pStyle w:val="Ttulo3"/>
        <w:rPr>
          <w:rFonts w:ascii="ITC Avant Garde" w:hAnsi="ITC Avant Garde"/>
          <w:lang w:val="es-MX"/>
        </w:rPr>
      </w:pPr>
      <w:bookmarkStart w:id="217" w:name="_Toc525672864"/>
      <w:bookmarkStart w:id="218" w:name="_Toc525665304"/>
      <w:bookmarkStart w:id="219" w:name="_Toc525665683"/>
      <w:bookmarkStart w:id="220" w:name="_Toc526854384"/>
      <w:r w:rsidRPr="00872052">
        <w:rPr>
          <w:rFonts w:ascii="ITC Avant Garde" w:hAnsi="ITC Avant Garde"/>
          <w:lang w:val="es-MX"/>
        </w:rPr>
        <w:t>Estimaci</w:t>
      </w:r>
      <w:r w:rsidR="004F5AFE">
        <w:rPr>
          <w:rFonts w:ascii="ITC Avant Garde" w:hAnsi="ITC Avant Garde"/>
          <w:lang w:val="es-MX"/>
        </w:rPr>
        <w:t>ó</w:t>
      </w:r>
      <w:r w:rsidRPr="00872052">
        <w:rPr>
          <w:rFonts w:ascii="ITC Avant Garde" w:hAnsi="ITC Avant Garde"/>
          <w:lang w:val="es-MX"/>
        </w:rPr>
        <w:t>n del número de líneas activas en cada escenario</w:t>
      </w:r>
      <w:bookmarkEnd w:id="217"/>
      <w:bookmarkEnd w:id="218"/>
      <w:bookmarkEnd w:id="219"/>
      <w:bookmarkEnd w:id="220"/>
    </w:p>
    <w:p w:rsidR="005B0846" w:rsidRPr="00872052" w:rsidRDefault="005B0846" w:rsidP="005B0846">
      <w:pPr>
        <w:rPr>
          <w:rFonts w:ascii="ITC Avant Garde" w:hAnsi="ITC Avant Garde"/>
          <w:lang w:val="es-MX"/>
        </w:rPr>
      </w:pPr>
      <w:r w:rsidRPr="00872052">
        <w:rPr>
          <w:rFonts w:ascii="ITC Avant Garde" w:hAnsi="ITC Avant Garde"/>
          <w:lang w:val="es-MX"/>
        </w:rPr>
        <w:t xml:space="preserve">El número total de líneas de cobre activas se determina multiplicando el número total de líneas pasadas (es decir, instaladas), que se </w:t>
      </w:r>
      <w:proofErr w:type="spellStart"/>
      <w:r w:rsidRPr="00872052">
        <w:rPr>
          <w:rFonts w:ascii="ITC Avant Garde" w:hAnsi="ITC Avant Garde"/>
          <w:lang w:val="es-MX"/>
        </w:rPr>
        <w:t>c</w:t>
      </w:r>
      <w:r w:rsidR="004F5AFE">
        <w:rPr>
          <w:rFonts w:ascii="ITC Avant Garde" w:hAnsi="ITC Avant Garde"/>
          <w:lang w:val="es-MX"/>
        </w:rPr>
        <w:t>á</w:t>
      </w:r>
      <w:r w:rsidRPr="00872052">
        <w:rPr>
          <w:rFonts w:ascii="ITC Avant Garde" w:hAnsi="ITC Avant Garde"/>
          <w:lang w:val="es-MX"/>
        </w:rPr>
        <w:t>lculo</w:t>
      </w:r>
      <w:proofErr w:type="spellEnd"/>
      <w:r w:rsidRPr="00872052">
        <w:rPr>
          <w:rFonts w:ascii="ITC Avant Garde" w:hAnsi="ITC Avant Garde"/>
          <w:lang w:val="es-MX"/>
        </w:rPr>
        <w:t xml:space="preserve"> en la sección anterior mediante el proceso de huella geogr</w:t>
      </w:r>
      <w:r w:rsidR="004F5AFE">
        <w:rPr>
          <w:rFonts w:ascii="ITC Avant Garde" w:hAnsi="ITC Avant Garde"/>
          <w:lang w:val="es-MX"/>
        </w:rPr>
        <w:t>á</w:t>
      </w:r>
      <w:r w:rsidRPr="00872052">
        <w:rPr>
          <w:rFonts w:ascii="ITC Avant Garde" w:hAnsi="ITC Avant Garde"/>
          <w:lang w:val="es-MX"/>
        </w:rPr>
        <w:t>fica, por la tasa de penetración al nivel de CO proporcionado por el IFT.</w:t>
      </w:r>
    </w:p>
    <w:p w:rsidR="0052235D" w:rsidRPr="00872052" w:rsidRDefault="0052235D" w:rsidP="0052235D">
      <w:pPr>
        <w:rPr>
          <w:rFonts w:ascii="ITC Avant Garde" w:hAnsi="ITC Avant Garde"/>
          <w:lang w:val="es-MX"/>
        </w:rPr>
      </w:pPr>
      <w:r w:rsidRPr="00872052">
        <w:rPr>
          <w:rFonts w:ascii="ITC Avant Garde" w:hAnsi="ITC Avant Garde"/>
          <w:lang w:val="es-MX"/>
        </w:rPr>
        <w:t>Los detalles del cálculo se describen en la hoja de cálculo "Demanda" en el modelo de costo de Excel Access.</w:t>
      </w: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lastRenderedPageBreak/>
        <w:t xml:space="preserve"> Figura </w:t>
      </w:r>
      <w:r w:rsidR="00E55E52">
        <w:rPr>
          <w:rFonts w:ascii="ITC Avant Garde" w:hAnsi="ITC Avant Garde"/>
          <w:lang w:val="es-MX"/>
        </w:rPr>
        <w:t>27</w:t>
      </w:r>
      <w:r w:rsidRPr="00872052">
        <w:rPr>
          <w:rFonts w:ascii="ITC Avant Garde" w:hAnsi="ITC Avant Garde"/>
          <w:lang w:val="es-MX"/>
        </w:rPr>
        <w:t xml:space="preserve"> - Líneas activas y pasivas acumuladas consideradas en el modelo de cobre - Número de líneas en el eje Y </w:t>
      </w:r>
      <w:proofErr w:type="spellStart"/>
      <w:r w:rsidRPr="00872052">
        <w:rPr>
          <w:rFonts w:ascii="ITC Avant Garde" w:hAnsi="ITC Avant Garde"/>
          <w:lang w:val="es-MX"/>
        </w:rPr>
        <w:t>y</w:t>
      </w:r>
      <w:proofErr w:type="spellEnd"/>
      <w:r w:rsidRPr="00872052">
        <w:rPr>
          <w:rFonts w:ascii="ITC Avant Garde" w:hAnsi="ITC Avant Garde"/>
          <w:lang w:val="es-MX"/>
        </w:rPr>
        <w:t xml:space="preserve"> </w:t>
      </w:r>
      <w:proofErr w:type="spellStart"/>
      <w:r w:rsidRPr="00872052">
        <w:rPr>
          <w:rFonts w:ascii="ITC Avant Garde" w:hAnsi="ITC Avant Garde"/>
          <w:lang w:val="es-MX"/>
        </w:rPr>
        <w:t>Cos</w:t>
      </w:r>
      <w:proofErr w:type="spellEnd"/>
      <w:r w:rsidRPr="00872052">
        <w:rPr>
          <w:rFonts w:ascii="ITC Avant Garde" w:hAnsi="ITC Avant Garde"/>
          <w:lang w:val="es-MX"/>
        </w:rPr>
        <w:t xml:space="preserve"> en el eje X </w:t>
      </w:r>
      <w:r w:rsidRPr="00872052">
        <w:rPr>
          <w:rFonts w:ascii="ITC Avant Garde" w:hAnsi="ITC Avant Garde"/>
          <w:noProof/>
          <w:lang w:val="es-MX" w:eastAsia="es-MX"/>
        </w:rPr>
        <w:drawing>
          <wp:inline distT="0" distB="0" distL="0" distR="0" wp14:anchorId="42FC698C" wp14:editId="6869FCB2">
            <wp:extent cx="4237840" cy="2491740"/>
            <wp:effectExtent l="0" t="0" r="0" b="3810"/>
            <wp:docPr id="6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47411" cy="2497368"/>
                    </a:xfrm>
                    <a:prstGeom prst="rect">
                      <a:avLst/>
                    </a:prstGeom>
                    <a:noFill/>
                  </pic:spPr>
                </pic:pic>
              </a:graphicData>
            </a:graphic>
          </wp:inline>
        </w:drawing>
      </w:r>
    </w:p>
    <w:p w:rsidR="005B0846" w:rsidRPr="00872052" w:rsidRDefault="005B0846" w:rsidP="005B0846">
      <w:pPr>
        <w:rPr>
          <w:rFonts w:ascii="ITC Avant Garde" w:hAnsi="ITC Avant Garde"/>
          <w:lang w:val="es-MX"/>
        </w:rPr>
      </w:pPr>
    </w:p>
    <w:p w:rsidR="005B0846" w:rsidRPr="00872052" w:rsidRDefault="005B0846" w:rsidP="005B0846">
      <w:pPr>
        <w:rPr>
          <w:rFonts w:ascii="ITC Avant Garde" w:hAnsi="ITC Avant Garde"/>
          <w:lang w:val="es-MX"/>
        </w:rPr>
      </w:pPr>
      <w:r w:rsidRPr="00872052">
        <w:rPr>
          <w:rFonts w:ascii="ITC Avant Garde" w:hAnsi="ITC Avant Garde"/>
          <w:lang w:val="es-MX"/>
        </w:rPr>
        <w:t>El eje X describe los CO ordenados de 1 a 8 386 en orden ascendente según el número de líneas pasivas.</w:t>
      </w:r>
    </w:p>
    <w:p w:rsidR="0052235D" w:rsidRPr="00872052" w:rsidRDefault="0052235D" w:rsidP="0052235D">
      <w:pPr>
        <w:rPr>
          <w:rFonts w:ascii="ITC Avant Garde" w:hAnsi="ITC Avant Garde"/>
          <w:lang w:val="es-MX"/>
        </w:rPr>
      </w:pPr>
      <w:r w:rsidRPr="00872052">
        <w:rPr>
          <w:rFonts w:ascii="ITC Avant Garde" w:hAnsi="ITC Avant Garde"/>
          <w:lang w:val="es-MX"/>
        </w:rPr>
        <w:t xml:space="preserve">Como se presenta en la </w:t>
      </w:r>
      <w:r w:rsidR="00DC6B35">
        <w:rPr>
          <w:rFonts w:ascii="ITC Avant Garde" w:hAnsi="ITC Avant Garde"/>
          <w:lang w:val="es-MX"/>
        </w:rPr>
        <w:t>f</w:t>
      </w:r>
      <w:r w:rsidRPr="00872052">
        <w:rPr>
          <w:rFonts w:ascii="ITC Avant Garde" w:hAnsi="ITC Avant Garde"/>
          <w:lang w:val="es-MX"/>
        </w:rPr>
        <w:t>igura anterior, el número total de líneas activas de cobre consideradas en el modelo de costo de cobre es 13</w:t>
      </w:r>
      <w:r w:rsidR="009825B1">
        <w:rPr>
          <w:rFonts w:ascii="ITC Avant Garde" w:hAnsi="ITC Avant Garde"/>
          <w:lang w:val="es-MX"/>
        </w:rPr>
        <w:t>,</w:t>
      </w:r>
      <w:r w:rsidRPr="00872052">
        <w:rPr>
          <w:rFonts w:ascii="ITC Avant Garde" w:hAnsi="ITC Avant Garde"/>
          <w:lang w:val="es-MX"/>
        </w:rPr>
        <w:t>221</w:t>
      </w:r>
      <w:r w:rsidR="009825B1">
        <w:rPr>
          <w:rFonts w:ascii="ITC Avant Garde" w:hAnsi="ITC Avant Garde"/>
          <w:lang w:val="es-MX"/>
        </w:rPr>
        <w:t>,</w:t>
      </w:r>
      <w:r w:rsidRPr="00872052">
        <w:rPr>
          <w:rFonts w:ascii="ITC Avant Garde" w:hAnsi="ITC Avant Garde"/>
          <w:lang w:val="es-MX"/>
        </w:rPr>
        <w:t>283 líneas, lo que lleva a una tasa de penetración global de aproximadamente 42% en México.</w:t>
      </w:r>
    </w:p>
    <w:p w:rsidR="0052235D" w:rsidRPr="00872052" w:rsidRDefault="0052235D" w:rsidP="0052235D">
      <w:pPr>
        <w:rPr>
          <w:rFonts w:ascii="ITC Avant Garde" w:hAnsi="ITC Avant Garde"/>
          <w:lang w:val="es-MX"/>
        </w:rPr>
      </w:pPr>
      <w:r w:rsidRPr="00872052">
        <w:rPr>
          <w:rFonts w:ascii="ITC Avant Garde" w:hAnsi="ITC Avant Garde"/>
          <w:lang w:val="es-MX"/>
        </w:rPr>
        <w:t>Debe notarse que los valores presentados en la figura anterior corresponden a las tasas de penetración de 2018.</w:t>
      </w:r>
    </w:p>
    <w:p w:rsidR="0052235D" w:rsidRPr="00872052" w:rsidRDefault="0052235D" w:rsidP="0052235D">
      <w:pPr>
        <w:rPr>
          <w:rFonts w:ascii="ITC Avant Garde" w:hAnsi="ITC Avant Garde"/>
          <w:lang w:val="es-MX"/>
        </w:rPr>
      </w:pPr>
      <w:r w:rsidRPr="00872052">
        <w:rPr>
          <w:rFonts w:ascii="ITC Avant Garde" w:hAnsi="ITC Avant Garde"/>
          <w:lang w:val="es-MX"/>
        </w:rPr>
        <w:t>El modelo se construye dinámicamente teniendo en cuenta la evolución de las tasas de penetración para futuras evaluaciones de líneas activas.</w:t>
      </w:r>
    </w:p>
    <w:p w:rsidR="0052235D" w:rsidRPr="00872052" w:rsidRDefault="0052235D" w:rsidP="0052235D">
      <w:pPr>
        <w:rPr>
          <w:rFonts w:ascii="ITC Avant Garde" w:hAnsi="ITC Avant Garde"/>
          <w:lang w:val="es-MX"/>
        </w:rPr>
      </w:pPr>
      <w:r w:rsidRPr="00872052">
        <w:rPr>
          <w:rFonts w:ascii="ITC Avant Garde" w:hAnsi="ITC Avant Garde"/>
          <w:lang w:val="es-MX"/>
        </w:rPr>
        <w:t>En la etapa actual del desarrollo del modelo, los valores constantes de las tasas de penetración se utilizan desde 2015 hasta 2018, por lo que el modelo no estima ninguna tendencia futura. Esto podría cambiarse en las celdas de entrada (verde) en la hoja de cálculo "Demanda".</w:t>
      </w:r>
    </w:p>
    <w:p w:rsidR="005B0846" w:rsidRPr="00872052" w:rsidRDefault="005B0846" w:rsidP="005B0846">
      <w:pPr>
        <w:rPr>
          <w:rFonts w:ascii="ITC Avant Garde" w:hAnsi="ITC Avant Garde"/>
          <w:highlight w:val="yellow"/>
          <w:lang w:val="es-MX"/>
        </w:rPr>
      </w:pPr>
    </w:p>
    <w:p w:rsidR="005B0846" w:rsidRPr="00872052" w:rsidRDefault="005B0846" w:rsidP="005B0846">
      <w:pPr>
        <w:rPr>
          <w:rFonts w:ascii="ITC Avant Garde" w:hAnsi="ITC Avant Garde"/>
          <w:lang w:val="es-MX"/>
        </w:rPr>
      </w:pPr>
      <w:r w:rsidRPr="00872052">
        <w:rPr>
          <w:rFonts w:ascii="ITC Avant Garde" w:hAnsi="ITC Avant Garde"/>
          <w:lang w:val="es-MX"/>
        </w:rPr>
        <w:t>Por otro lado, el modelo de fibra, según la misma metodología, considera las mismas tasas de penetración que el modelo de cobre, para determinar la demanda activa de fibra. Esto conduce a un total de líneas activas de fibra de 2</w:t>
      </w:r>
      <w:r w:rsidR="009825B1">
        <w:rPr>
          <w:rFonts w:ascii="ITC Avant Garde" w:hAnsi="ITC Avant Garde"/>
          <w:lang w:val="es-MX"/>
        </w:rPr>
        <w:t>.</w:t>
      </w:r>
      <w:r w:rsidRPr="00872052">
        <w:rPr>
          <w:rFonts w:ascii="ITC Avant Garde" w:hAnsi="ITC Avant Garde"/>
          <w:lang w:val="es-MX"/>
        </w:rPr>
        <w:t>26 millones.</w:t>
      </w:r>
    </w:p>
    <w:p w:rsidR="0052235D" w:rsidRPr="00872052" w:rsidRDefault="0052235D" w:rsidP="0052235D">
      <w:pPr>
        <w:pStyle w:val="Ttulo2"/>
        <w:rPr>
          <w:rFonts w:ascii="ITC Avant Garde" w:hAnsi="ITC Avant Garde"/>
          <w:lang w:val="es-MX"/>
        </w:rPr>
      </w:pPr>
      <w:bookmarkStart w:id="221" w:name="_Toc525672865"/>
      <w:bookmarkStart w:id="222" w:name="_Toc525665305"/>
      <w:bookmarkStart w:id="223" w:name="_Toc525665684"/>
      <w:bookmarkStart w:id="224" w:name="_Toc526854385"/>
      <w:r w:rsidRPr="00872052">
        <w:rPr>
          <w:rFonts w:ascii="ITC Avant Garde" w:hAnsi="ITC Avant Garde"/>
          <w:lang w:val="es-MX"/>
        </w:rPr>
        <w:lastRenderedPageBreak/>
        <w:t>Diseño de red</w:t>
      </w:r>
      <w:bookmarkEnd w:id="221"/>
      <w:bookmarkEnd w:id="222"/>
      <w:bookmarkEnd w:id="223"/>
      <w:bookmarkEnd w:id="224"/>
    </w:p>
    <w:p w:rsidR="0052235D" w:rsidRPr="00872052" w:rsidRDefault="0052235D" w:rsidP="0052235D">
      <w:pPr>
        <w:rPr>
          <w:rFonts w:ascii="ITC Avant Garde" w:hAnsi="ITC Avant Garde"/>
          <w:lang w:val="es-MX"/>
        </w:rPr>
      </w:pPr>
      <w:r w:rsidRPr="00872052">
        <w:rPr>
          <w:rFonts w:ascii="ITC Avant Garde" w:hAnsi="ITC Avant Garde"/>
          <w:lang w:val="es-MX"/>
        </w:rPr>
        <w:t>Esta sección tiene como objetivo describir el proceso de dimensionamiento de la red de cobre y fibra. Al final del proceso de dimensionamiento, se determinan los recuentos de activos para la red de cobre y fibra.</w:t>
      </w:r>
    </w:p>
    <w:p w:rsidR="0052235D" w:rsidRPr="00872052" w:rsidRDefault="0052235D" w:rsidP="0052235D">
      <w:pPr>
        <w:pStyle w:val="Ttulo3"/>
        <w:rPr>
          <w:rFonts w:ascii="ITC Avant Garde" w:hAnsi="ITC Avant Garde"/>
          <w:lang w:val="es-MX"/>
        </w:rPr>
      </w:pPr>
      <w:bookmarkStart w:id="225" w:name="_Toc525672866"/>
      <w:bookmarkStart w:id="226" w:name="_Toc525665306"/>
      <w:bookmarkStart w:id="227" w:name="_Toc525665685"/>
      <w:bookmarkStart w:id="228" w:name="_Toc526854386"/>
      <w:r w:rsidRPr="00872052">
        <w:rPr>
          <w:rFonts w:ascii="ITC Avant Garde" w:hAnsi="ITC Avant Garde"/>
          <w:lang w:val="es-MX"/>
        </w:rPr>
        <w:t>Arquitecturas de cobre y fibra</w:t>
      </w:r>
      <w:bookmarkEnd w:id="225"/>
      <w:bookmarkEnd w:id="226"/>
      <w:bookmarkEnd w:id="227"/>
      <w:bookmarkEnd w:id="228"/>
    </w:p>
    <w:p w:rsidR="0052235D" w:rsidRPr="00872052" w:rsidRDefault="0052235D" w:rsidP="0052235D">
      <w:pPr>
        <w:rPr>
          <w:rFonts w:ascii="ITC Avant Garde" w:hAnsi="ITC Avant Garde"/>
          <w:lang w:val="es-MX"/>
        </w:rPr>
      </w:pPr>
      <w:r w:rsidRPr="00872052">
        <w:rPr>
          <w:rFonts w:ascii="ITC Avant Garde" w:hAnsi="ITC Avant Garde"/>
          <w:lang w:val="es-MX"/>
        </w:rPr>
        <w:t>Dado que las tecnologías que se modelarán en México (el cobre y la fibra FTTH PON) se basan en una estructura similar que utiliza tres niveles en la red:</w:t>
      </w:r>
    </w:p>
    <w:p w:rsidR="005B0846" w:rsidRPr="00872052" w:rsidRDefault="005B0846" w:rsidP="00FE7152">
      <w:pPr>
        <w:pStyle w:val="Prrafodelista"/>
        <w:numPr>
          <w:ilvl w:val="0"/>
          <w:numId w:val="30"/>
        </w:numPr>
        <w:rPr>
          <w:rFonts w:ascii="ITC Avant Garde" w:hAnsi="ITC Avant Garde"/>
          <w:lang w:val="es-MX"/>
        </w:rPr>
      </w:pPr>
      <w:r w:rsidRPr="00872052">
        <w:rPr>
          <w:rFonts w:ascii="ITC Avant Garde" w:hAnsi="ITC Avant Garde"/>
          <w:lang w:val="es-MX"/>
        </w:rPr>
        <w:t>Red primaria: CO-PDP;</w:t>
      </w:r>
    </w:p>
    <w:p w:rsidR="005B0846" w:rsidRPr="00872052" w:rsidRDefault="005B0846" w:rsidP="00FE7152">
      <w:pPr>
        <w:pStyle w:val="Prrafodelista"/>
        <w:numPr>
          <w:ilvl w:val="0"/>
          <w:numId w:val="30"/>
        </w:numPr>
        <w:rPr>
          <w:rFonts w:ascii="ITC Avant Garde" w:hAnsi="ITC Avant Garde"/>
          <w:lang w:val="es-MX"/>
        </w:rPr>
      </w:pPr>
      <w:r w:rsidRPr="00872052">
        <w:rPr>
          <w:rFonts w:ascii="ITC Avant Garde" w:hAnsi="ITC Avant Garde"/>
          <w:lang w:val="es-MX"/>
        </w:rPr>
        <w:t>Red secundaria: PDP- SDP;</w:t>
      </w:r>
    </w:p>
    <w:p w:rsidR="005B0846" w:rsidRPr="00872052" w:rsidRDefault="005B0846" w:rsidP="00FE7152">
      <w:pPr>
        <w:pStyle w:val="Prrafodelista"/>
        <w:numPr>
          <w:ilvl w:val="0"/>
          <w:numId w:val="30"/>
        </w:numPr>
        <w:rPr>
          <w:rFonts w:ascii="ITC Avant Garde" w:hAnsi="ITC Avant Garde"/>
          <w:lang w:val="es-MX"/>
        </w:rPr>
      </w:pPr>
      <w:r w:rsidRPr="00872052">
        <w:rPr>
          <w:rFonts w:ascii="ITC Avant Garde" w:hAnsi="ITC Avant Garde"/>
          <w:lang w:val="es-MX"/>
        </w:rPr>
        <w:t>Acometida.</w:t>
      </w:r>
    </w:p>
    <w:p w:rsidR="0052235D" w:rsidRPr="00872052" w:rsidRDefault="0052235D" w:rsidP="0052235D">
      <w:pPr>
        <w:rPr>
          <w:rFonts w:ascii="ITC Avant Garde" w:hAnsi="ITC Avant Garde"/>
          <w:lang w:val="es-MX"/>
        </w:rPr>
      </w:pPr>
      <w:r w:rsidRPr="00872052">
        <w:rPr>
          <w:rFonts w:ascii="ITC Avant Garde" w:hAnsi="ITC Avant Garde"/>
          <w:lang w:val="es-MX"/>
        </w:rPr>
        <w:t xml:space="preserve">El modelo se basa en datos de entrada de </w:t>
      </w:r>
      <w:proofErr w:type="spellStart"/>
      <w:r w:rsidRPr="00872052">
        <w:rPr>
          <w:rFonts w:ascii="ITC Avant Garde" w:hAnsi="ITC Avant Garde"/>
          <w:lang w:val="es-MX"/>
        </w:rPr>
        <w:t>geomarketing</w:t>
      </w:r>
      <w:proofErr w:type="spellEnd"/>
      <w:r w:rsidRPr="00872052">
        <w:rPr>
          <w:rFonts w:ascii="ITC Avant Garde" w:hAnsi="ITC Avant Garde"/>
          <w:lang w:val="es-MX"/>
        </w:rPr>
        <w:t xml:space="preserve"> idénticos, que se usan de forma diferente según la red que se modele (fibra o cobre).</w:t>
      </w:r>
    </w:p>
    <w:p w:rsidR="0052235D" w:rsidRPr="00872052" w:rsidRDefault="0052235D" w:rsidP="0052235D">
      <w:pPr>
        <w:rPr>
          <w:rFonts w:ascii="ITC Avant Garde" w:hAnsi="ITC Avant Garde"/>
          <w:lang w:val="es-MX"/>
        </w:rPr>
      </w:pPr>
    </w:p>
    <w:p w:rsidR="0052235D" w:rsidRPr="00872052" w:rsidRDefault="0052235D" w:rsidP="0052235D">
      <w:pPr>
        <w:pStyle w:val="Ttulo4"/>
        <w:rPr>
          <w:rFonts w:ascii="ITC Avant Garde" w:hAnsi="ITC Avant Garde"/>
          <w:lang w:val="es-MX"/>
        </w:rPr>
      </w:pPr>
      <w:bookmarkStart w:id="229" w:name="_Toc525672867"/>
      <w:bookmarkStart w:id="230" w:name="_Toc525665307"/>
      <w:bookmarkStart w:id="231" w:name="_Toc525665686"/>
      <w:bookmarkStart w:id="232" w:name="_Toc526854387"/>
      <w:r w:rsidRPr="00872052">
        <w:rPr>
          <w:rFonts w:ascii="ITC Avant Garde" w:hAnsi="ITC Avant Garde"/>
          <w:lang w:val="es-MX"/>
        </w:rPr>
        <w:t>Arquitectura de cobre</w:t>
      </w:r>
      <w:bookmarkEnd w:id="229"/>
      <w:bookmarkEnd w:id="230"/>
      <w:bookmarkEnd w:id="231"/>
      <w:bookmarkEnd w:id="232"/>
    </w:p>
    <w:p w:rsidR="005B0846" w:rsidRPr="00872052" w:rsidRDefault="005B0846" w:rsidP="005B0846">
      <w:pPr>
        <w:rPr>
          <w:rFonts w:ascii="ITC Avant Garde" w:hAnsi="ITC Avant Garde"/>
          <w:lang w:val="es-MX"/>
        </w:rPr>
      </w:pPr>
      <w:r w:rsidRPr="00872052">
        <w:rPr>
          <w:rFonts w:ascii="ITC Avant Garde" w:hAnsi="ITC Avant Garde"/>
          <w:lang w:val="es-MX"/>
        </w:rPr>
        <w:t>Como se indica en la sección 2, la arquitectura de la red de cobre modelada de</w:t>
      </w:r>
      <w:r w:rsidR="003B1FBF">
        <w:rPr>
          <w:rFonts w:ascii="ITC Avant Garde" w:hAnsi="ITC Avant Garde"/>
          <w:lang w:val="es-MX"/>
        </w:rPr>
        <w:t xml:space="preserve">l AEP </w:t>
      </w:r>
      <w:r w:rsidRPr="00872052">
        <w:rPr>
          <w:rFonts w:ascii="ITC Avant Garde" w:hAnsi="ITC Avant Garde"/>
          <w:lang w:val="es-MX"/>
        </w:rPr>
        <w:t>incluye 3 niveles de nodos: CO, PDP y SDP.</w:t>
      </w:r>
    </w:p>
    <w:p w:rsidR="005B0846" w:rsidRPr="00872052" w:rsidRDefault="005B0846" w:rsidP="005B0846">
      <w:pPr>
        <w:rPr>
          <w:rFonts w:ascii="ITC Avant Garde" w:hAnsi="ITC Avant Garde"/>
          <w:lang w:val="es-MX"/>
        </w:rPr>
      </w:pP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t xml:space="preserve">Figura </w:t>
      </w:r>
      <w:r w:rsidR="00E55E52">
        <w:rPr>
          <w:rFonts w:ascii="ITC Avant Garde" w:hAnsi="ITC Avant Garde"/>
          <w:lang w:val="es-MX"/>
        </w:rPr>
        <w:t>28</w:t>
      </w:r>
      <w:r w:rsidRPr="00872052">
        <w:rPr>
          <w:rFonts w:ascii="ITC Avant Garde" w:hAnsi="ITC Avant Garde"/>
          <w:lang w:val="es-MX"/>
        </w:rPr>
        <w:t xml:space="preserve"> - Arquitectura de red de cobre </w:t>
      </w:r>
      <w:r w:rsidRPr="00872052">
        <w:rPr>
          <w:rFonts w:ascii="ITC Avant Garde" w:hAnsi="ITC Avant Garde"/>
          <w:noProof/>
          <w:lang w:val="es-MX" w:eastAsia="es-MX"/>
        </w:rPr>
        <w:drawing>
          <wp:inline distT="0" distB="0" distL="0" distR="0" wp14:anchorId="45101487" wp14:editId="14F04D0C">
            <wp:extent cx="4508500" cy="1818005"/>
            <wp:effectExtent l="0" t="0" r="6350" b="0"/>
            <wp:docPr id="6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8500" cy="1818005"/>
                    </a:xfrm>
                    <a:prstGeom prst="rect">
                      <a:avLst/>
                    </a:prstGeom>
                    <a:noFill/>
                    <a:ln>
                      <a:noFill/>
                    </a:ln>
                  </pic:spPr>
                </pic:pic>
              </a:graphicData>
            </a:graphic>
          </wp:inline>
        </w:drawing>
      </w:r>
      <w:r w:rsidRPr="00872052">
        <w:rPr>
          <w:rFonts w:ascii="ITC Avant Garde" w:hAnsi="ITC Avant Garde"/>
          <w:lang w:val="es-MX"/>
        </w:rPr>
        <w:t>  </w:t>
      </w:r>
    </w:p>
    <w:p w:rsidR="005B0846" w:rsidRPr="00872052" w:rsidRDefault="005B0846" w:rsidP="005B0846">
      <w:pPr>
        <w:rPr>
          <w:rFonts w:ascii="ITC Avant Garde" w:hAnsi="ITC Avant Garde"/>
          <w:lang w:val="es-MX"/>
        </w:rPr>
      </w:pPr>
    </w:p>
    <w:p w:rsidR="005B0846" w:rsidRDefault="005B0846" w:rsidP="005B0846">
      <w:pPr>
        <w:rPr>
          <w:rFonts w:ascii="ITC Avant Garde" w:hAnsi="ITC Avant Garde"/>
          <w:lang w:val="es-MX"/>
        </w:rPr>
      </w:pPr>
      <w:r w:rsidRPr="00872052">
        <w:rPr>
          <w:rFonts w:ascii="ITC Avant Garde" w:hAnsi="ITC Avant Garde"/>
          <w:lang w:val="es-MX"/>
        </w:rPr>
        <w:t xml:space="preserve">En general, los SDP se ubican muy cerca del usuario final (la mayor parte del tiempo en la sección de la calle del usuario final). Como consecuencia, los SDP no han sido considerados en el tratamiento de los datos de geo-marketing, y se reubicaron con un enfoque </w:t>
      </w:r>
      <w:proofErr w:type="spellStart"/>
      <w:r w:rsidRPr="00872052">
        <w:rPr>
          <w:rFonts w:ascii="ITC Avant Garde" w:hAnsi="ITC Avant Garde"/>
          <w:lang w:val="es-MX"/>
        </w:rPr>
        <w:t>bottom</w:t>
      </w:r>
      <w:proofErr w:type="spellEnd"/>
      <w:r w:rsidRPr="00872052">
        <w:rPr>
          <w:rFonts w:ascii="ITC Avant Garde" w:hAnsi="ITC Avant Garde"/>
          <w:lang w:val="es-MX"/>
        </w:rPr>
        <w:t xml:space="preserve"> up.</w:t>
      </w:r>
    </w:p>
    <w:p w:rsidR="0061735A" w:rsidRDefault="0061735A" w:rsidP="005B0846">
      <w:pPr>
        <w:rPr>
          <w:rFonts w:ascii="ITC Avant Garde" w:hAnsi="ITC Avant Garde"/>
          <w:lang w:val="es-MX"/>
        </w:rPr>
      </w:pPr>
    </w:p>
    <w:p w:rsidR="0061735A" w:rsidRPr="00872052" w:rsidRDefault="0061735A" w:rsidP="005B0846">
      <w:pPr>
        <w:rPr>
          <w:rFonts w:ascii="ITC Avant Garde" w:hAnsi="ITC Avant Garde"/>
          <w:lang w:val="es-MX"/>
        </w:rPr>
      </w:pPr>
    </w:p>
    <w:p w:rsidR="0052235D" w:rsidRPr="00872052" w:rsidRDefault="0052235D" w:rsidP="0052235D">
      <w:pPr>
        <w:rPr>
          <w:rFonts w:ascii="ITC Avant Garde" w:hAnsi="ITC Avant Garde"/>
          <w:lang w:val="es-MX"/>
        </w:rPr>
      </w:pPr>
      <w:r w:rsidRPr="00872052">
        <w:rPr>
          <w:rFonts w:ascii="ITC Avant Garde" w:hAnsi="ITC Avant Garde"/>
          <w:lang w:val="es-MX"/>
        </w:rPr>
        <w:lastRenderedPageBreak/>
        <w:t>Las siguientes 2 rutas de camino necesitan ser determinadas:</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Usuario final</w:t>
      </w:r>
      <w:r w:rsidR="0094720B">
        <w:rPr>
          <w:rFonts w:ascii="ITC Avant Garde" w:hAnsi="ITC Avant Garde"/>
          <w:lang w:val="es-MX"/>
        </w:rPr>
        <w:t>/</w:t>
      </w:r>
      <w:r w:rsidRPr="00872052">
        <w:rPr>
          <w:rFonts w:ascii="ITC Avant Garde" w:hAnsi="ITC Avant Garde"/>
          <w:lang w:val="es-MX"/>
        </w:rPr>
        <w:t>PDP;</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PDP</w:t>
      </w:r>
      <w:r w:rsidR="0094720B">
        <w:rPr>
          <w:rFonts w:ascii="ITC Avant Garde" w:hAnsi="ITC Avant Garde"/>
          <w:lang w:val="es-MX"/>
        </w:rPr>
        <w:t>/</w:t>
      </w:r>
      <w:r w:rsidRPr="00872052">
        <w:rPr>
          <w:rFonts w:ascii="ITC Avant Garde" w:hAnsi="ITC Avant Garde"/>
          <w:lang w:val="es-MX"/>
        </w:rPr>
        <w:t>CO.</w:t>
      </w:r>
    </w:p>
    <w:p w:rsidR="0052235D" w:rsidRPr="00872052" w:rsidRDefault="0052235D" w:rsidP="0052235D">
      <w:pPr>
        <w:rPr>
          <w:rFonts w:ascii="ITC Avant Garde" w:hAnsi="ITC Avant Garde"/>
          <w:lang w:val="es-MX"/>
        </w:rPr>
      </w:pPr>
    </w:p>
    <w:p w:rsidR="0052235D" w:rsidRPr="00872052" w:rsidRDefault="0052235D" w:rsidP="0052235D">
      <w:pPr>
        <w:pStyle w:val="Ttulo4"/>
        <w:rPr>
          <w:rFonts w:ascii="ITC Avant Garde" w:hAnsi="ITC Avant Garde"/>
          <w:lang w:val="es-MX"/>
        </w:rPr>
      </w:pPr>
      <w:bookmarkStart w:id="233" w:name="_Toc525672868"/>
      <w:bookmarkStart w:id="234" w:name="_Toc525665308"/>
      <w:bookmarkStart w:id="235" w:name="_Toc525665687"/>
      <w:bookmarkStart w:id="236" w:name="_Toc526854388"/>
      <w:r w:rsidRPr="00872052">
        <w:rPr>
          <w:rFonts w:ascii="ITC Avant Garde" w:hAnsi="ITC Avant Garde"/>
          <w:lang w:val="es-MX"/>
        </w:rPr>
        <w:t>Arquitectura de fibra</w:t>
      </w:r>
      <w:bookmarkEnd w:id="233"/>
      <w:bookmarkEnd w:id="234"/>
      <w:bookmarkEnd w:id="235"/>
      <w:bookmarkEnd w:id="236"/>
    </w:p>
    <w:p w:rsidR="0052235D" w:rsidRPr="00872052" w:rsidRDefault="0052235D" w:rsidP="0052235D">
      <w:pPr>
        <w:rPr>
          <w:rFonts w:ascii="ITC Avant Garde" w:hAnsi="ITC Avant Garde"/>
          <w:lang w:val="es-MX"/>
        </w:rPr>
      </w:pPr>
      <w:r w:rsidRPr="00872052">
        <w:rPr>
          <w:rFonts w:ascii="ITC Avant Garde" w:hAnsi="ITC Avant Garde"/>
          <w:lang w:val="es-MX"/>
        </w:rPr>
        <w:t xml:space="preserve">La arquitectura modelada sigue la arquitectura de la red de cobre, es decir, las premisas se agregan en un SDP, los SDP se agregan a un PDP y los PDP se agregan a </w:t>
      </w:r>
      <w:r w:rsidR="005B0846" w:rsidRPr="00872052">
        <w:rPr>
          <w:rFonts w:ascii="ITC Avant Garde" w:hAnsi="ITC Avant Garde"/>
          <w:lang w:val="es-MX"/>
        </w:rPr>
        <w:t>un CO</w:t>
      </w:r>
      <w:r w:rsidRPr="00872052">
        <w:rPr>
          <w:rFonts w:ascii="ITC Avant Garde" w:hAnsi="ITC Avant Garde"/>
          <w:lang w:val="es-MX"/>
        </w:rPr>
        <w:t>.</w:t>
      </w:r>
    </w:p>
    <w:p w:rsidR="005B0846" w:rsidRPr="00872052" w:rsidRDefault="005B0846" w:rsidP="005B0846">
      <w:pPr>
        <w:rPr>
          <w:rFonts w:ascii="ITC Avant Garde" w:hAnsi="ITC Avant Garde"/>
          <w:lang w:val="es-MX"/>
        </w:rPr>
      </w:pP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t xml:space="preserve"> Figura </w:t>
      </w:r>
      <w:r w:rsidR="00E55E52">
        <w:rPr>
          <w:rFonts w:ascii="ITC Avant Garde" w:hAnsi="ITC Avant Garde"/>
          <w:lang w:val="es-MX"/>
        </w:rPr>
        <w:t>29</w:t>
      </w:r>
      <w:r w:rsidRPr="00872052">
        <w:rPr>
          <w:rFonts w:ascii="ITC Avant Garde" w:hAnsi="ITC Avant Garde"/>
          <w:lang w:val="es-MX"/>
        </w:rPr>
        <w:t xml:space="preserve"> - Arquitectura de red de fibra (solo para fines ilustrativos)</w:t>
      </w:r>
    </w:p>
    <w:p w:rsidR="005B0846" w:rsidRPr="00872052" w:rsidRDefault="005B0846" w:rsidP="005B0846">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61C87C35" wp14:editId="6351D598">
            <wp:extent cx="4508500" cy="1818005"/>
            <wp:effectExtent l="0" t="0" r="6350" b="0"/>
            <wp:docPr id="6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8500" cy="1818005"/>
                    </a:xfrm>
                    <a:prstGeom prst="rect">
                      <a:avLst/>
                    </a:prstGeom>
                    <a:noFill/>
                    <a:ln>
                      <a:noFill/>
                    </a:ln>
                  </pic:spPr>
                </pic:pic>
              </a:graphicData>
            </a:graphic>
          </wp:inline>
        </w:drawing>
      </w:r>
    </w:p>
    <w:p w:rsidR="005B0846" w:rsidRPr="00872052" w:rsidRDefault="005B0846" w:rsidP="005B0846">
      <w:pPr>
        <w:rPr>
          <w:rFonts w:ascii="ITC Avant Garde" w:hAnsi="ITC Avant Garde"/>
          <w:lang w:val="es-MX"/>
        </w:rPr>
      </w:pP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Según los datos proporcionados por </w:t>
      </w:r>
      <w:r w:rsidR="003B1FBF">
        <w:rPr>
          <w:rFonts w:ascii="ITC Avant Garde" w:hAnsi="ITC Avant Garde"/>
          <w:lang w:val="es-MX"/>
        </w:rPr>
        <w:t>el AEP</w:t>
      </w:r>
      <w:r w:rsidR="003B1FBF" w:rsidRPr="00872052">
        <w:rPr>
          <w:rFonts w:ascii="ITC Avant Garde" w:hAnsi="ITC Avant Garde"/>
          <w:lang w:val="es-MX"/>
        </w:rPr>
        <w:t xml:space="preserve"> </w:t>
      </w:r>
      <w:r w:rsidRPr="00872052">
        <w:rPr>
          <w:rFonts w:ascii="ITC Avant Garde" w:hAnsi="ITC Avant Garde"/>
          <w:lang w:val="es-MX"/>
        </w:rPr>
        <w:t>y de acuerdo con los principios establecidos en la sección 2, la red de fibra se modela considerando una tecnología PON.</w:t>
      </w:r>
    </w:p>
    <w:p w:rsidR="0052235D" w:rsidRPr="00872052" w:rsidRDefault="0052235D" w:rsidP="0052235D">
      <w:pPr>
        <w:rPr>
          <w:rFonts w:ascii="ITC Avant Garde" w:hAnsi="ITC Avant Garde"/>
          <w:lang w:val="es-MX"/>
        </w:rPr>
      </w:pPr>
      <w:r w:rsidRPr="00872052">
        <w:rPr>
          <w:rFonts w:ascii="ITC Avant Garde" w:hAnsi="ITC Avant Garde"/>
          <w:lang w:val="es-MX"/>
        </w:rPr>
        <w:t>El modelo se basa en esta tecnología considerando dos etapas de división:</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En el nivel "C</w:t>
      </w:r>
      <w:r w:rsidR="002A7514">
        <w:rPr>
          <w:rFonts w:ascii="ITC Avant Garde" w:hAnsi="ITC Avant Garde"/>
          <w:lang w:val="es-MX"/>
        </w:rPr>
        <w:t>ierres de Empalme de Derivación Óptica</w:t>
      </w:r>
      <w:r w:rsidRPr="00872052">
        <w:rPr>
          <w:rFonts w:ascii="ITC Avant Garde" w:hAnsi="ITC Avant Garde"/>
          <w:lang w:val="es-MX"/>
        </w:rPr>
        <w:t>" / PDP, la relación de división considerada es 1: 8;</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En el nivel "Terminal Óptica" / SDP, la relación de división considerada es 1: 8.</w:t>
      </w:r>
    </w:p>
    <w:p w:rsidR="005B0846" w:rsidRPr="00872052" w:rsidRDefault="005B0846" w:rsidP="005B0846">
      <w:pPr>
        <w:pStyle w:val="Listaconvietas2"/>
        <w:numPr>
          <w:ilvl w:val="0"/>
          <w:numId w:val="0"/>
        </w:numPr>
        <w:ind w:left="643" w:hanging="360"/>
        <w:rPr>
          <w:rFonts w:ascii="ITC Avant Garde" w:hAnsi="ITC Avant Garde"/>
          <w:lang w:val="es-MX"/>
        </w:rPr>
      </w:pP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lastRenderedPageBreak/>
        <w:t xml:space="preserve">Figura </w:t>
      </w:r>
      <w:r w:rsidR="00E55E52">
        <w:rPr>
          <w:rFonts w:ascii="ITC Avant Garde" w:hAnsi="ITC Avant Garde"/>
          <w:lang w:val="es-MX"/>
        </w:rPr>
        <w:t>30</w:t>
      </w:r>
      <w:r w:rsidRPr="00872052">
        <w:rPr>
          <w:rFonts w:ascii="ITC Avant Garde" w:hAnsi="ITC Avant Garde"/>
          <w:lang w:val="es-MX"/>
        </w:rPr>
        <w:t xml:space="preserve"> - Niveles de división de la red de fibra </w:t>
      </w:r>
      <w:r w:rsidRPr="00872052">
        <w:rPr>
          <w:rFonts w:ascii="ITC Avant Garde" w:hAnsi="ITC Avant Garde"/>
          <w:noProof/>
          <w:lang w:val="es-MX" w:eastAsia="es-MX"/>
        </w:rPr>
        <w:drawing>
          <wp:inline distT="0" distB="0" distL="0" distR="0" wp14:anchorId="557C07FA" wp14:editId="124AE0E8">
            <wp:extent cx="4714875" cy="3187700"/>
            <wp:effectExtent l="0" t="0" r="0" b="0"/>
            <wp:docPr id="63"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37" cstate="print"/>
                    <a:srcRect/>
                    <a:stretch>
                      <a:fillRect/>
                    </a:stretch>
                  </pic:blipFill>
                  <pic:spPr bwMode="auto">
                    <a:xfrm>
                      <a:off x="0" y="0"/>
                      <a:ext cx="4714875" cy="3187700"/>
                    </a:xfrm>
                    <a:prstGeom prst="rect">
                      <a:avLst/>
                    </a:prstGeom>
                    <a:noFill/>
                    <a:ln w="9525">
                      <a:noFill/>
                      <a:miter lim="800000"/>
                      <a:headEnd/>
                      <a:tailEnd/>
                    </a:ln>
                  </pic:spPr>
                </pic:pic>
              </a:graphicData>
            </a:graphic>
          </wp:inline>
        </w:drawing>
      </w:r>
    </w:p>
    <w:p w:rsidR="0052235D" w:rsidRDefault="0052235D" w:rsidP="0052235D">
      <w:pPr>
        <w:rPr>
          <w:rFonts w:ascii="ITC Avant Garde" w:hAnsi="ITC Avant Garde"/>
          <w:lang w:val="es-MX"/>
        </w:rPr>
      </w:pPr>
    </w:p>
    <w:p w:rsidR="007A227B" w:rsidRPr="00872052" w:rsidRDefault="007A227B" w:rsidP="0052235D">
      <w:pPr>
        <w:rPr>
          <w:rFonts w:ascii="ITC Avant Garde" w:hAnsi="ITC Avant Garde"/>
          <w:lang w:val="es-MX"/>
        </w:rPr>
      </w:pPr>
    </w:p>
    <w:p w:rsidR="0052235D" w:rsidRPr="00872052" w:rsidRDefault="0052235D" w:rsidP="0052235D">
      <w:pPr>
        <w:rPr>
          <w:rFonts w:ascii="ITC Avant Garde" w:hAnsi="ITC Avant Garde"/>
          <w:lang w:val="es-MX"/>
        </w:rPr>
      </w:pPr>
      <w:r w:rsidRPr="00872052">
        <w:rPr>
          <w:rFonts w:ascii="ITC Avant Garde" w:hAnsi="ITC Avant Garde"/>
          <w:lang w:val="es-MX"/>
        </w:rPr>
        <w:t>Como se describió anteriormente, el despliegue de fibra en México todavía es relativamente limitado, por lo que una huella nacional no es adecuada para los costos de los servicios de fibra.</w:t>
      </w:r>
    </w:p>
    <w:p w:rsidR="0052235D" w:rsidRPr="00872052" w:rsidRDefault="0052235D" w:rsidP="0052235D">
      <w:pPr>
        <w:rPr>
          <w:rFonts w:ascii="ITC Avant Garde" w:hAnsi="ITC Avant Garde"/>
          <w:lang w:val="es-MX"/>
        </w:rPr>
      </w:pPr>
      <w:r w:rsidRPr="00872052">
        <w:rPr>
          <w:rFonts w:ascii="ITC Avant Garde" w:hAnsi="ITC Avant Garde"/>
          <w:lang w:val="es-MX"/>
        </w:rPr>
        <w:t>La huella está entonces restringida, de modo que las áreas de cobertura modeladas se corresponden tanto como sea posible con la realidad</w:t>
      </w:r>
      <w:r w:rsidR="005B0846" w:rsidRPr="00872052">
        <w:rPr>
          <w:rFonts w:ascii="ITC Avant Garde" w:hAnsi="ITC Avant Garde"/>
          <w:lang w:val="es-MX"/>
        </w:rPr>
        <w:t>.</w:t>
      </w:r>
    </w:p>
    <w:p w:rsidR="0052235D" w:rsidRPr="00872052" w:rsidRDefault="0052235D" w:rsidP="0052235D">
      <w:pPr>
        <w:rPr>
          <w:rFonts w:ascii="ITC Avant Garde" w:hAnsi="ITC Avant Garde"/>
          <w:lang w:val="es-MX"/>
        </w:rPr>
      </w:pPr>
      <w:r w:rsidRPr="00872052">
        <w:rPr>
          <w:rFonts w:ascii="ITC Avant Garde" w:hAnsi="ITC Avant Garde"/>
          <w:lang w:val="es-MX"/>
        </w:rPr>
        <w:t>Como se mencionó anteriormente, la huella FTTH nacional inicial utilizada como punto de partida es idéntica a la red de cobre:</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Los ODF de fibra están ubicados en la misma ubicación que las oficinas centrales de cobre;</w:t>
      </w:r>
    </w:p>
    <w:p w:rsidR="0052235D" w:rsidRPr="00872052" w:rsidRDefault="0052235D" w:rsidP="005B0846">
      <w:pPr>
        <w:pStyle w:val="Listaconvietas2"/>
        <w:rPr>
          <w:rFonts w:ascii="ITC Avant Garde" w:hAnsi="ITC Avant Garde"/>
          <w:lang w:val="es-MX"/>
        </w:rPr>
      </w:pPr>
      <w:r w:rsidRPr="00872052">
        <w:rPr>
          <w:rFonts w:ascii="ITC Avant Garde" w:hAnsi="ITC Avant Garde"/>
          <w:lang w:val="es-MX"/>
        </w:rPr>
        <w:t>Las PDP de fibra están ubicadas en la misma ubicación que las PDP de cobre.</w:t>
      </w:r>
    </w:p>
    <w:p w:rsidR="0052235D" w:rsidRPr="00872052" w:rsidRDefault="0052235D" w:rsidP="0052235D">
      <w:pPr>
        <w:rPr>
          <w:rFonts w:ascii="ITC Avant Garde" w:hAnsi="ITC Avant Garde"/>
          <w:lang w:val="es-MX"/>
        </w:rPr>
      </w:pPr>
      <w:r w:rsidRPr="00872052">
        <w:rPr>
          <w:rFonts w:ascii="ITC Avant Garde" w:hAnsi="ITC Avant Garde"/>
          <w:lang w:val="es-MX"/>
        </w:rPr>
        <w:t>Como consecuencia, el procesamiento de geo-marketing debe realizarse una vez para ambas redes, pero con una reducción de huella diferente.</w:t>
      </w:r>
    </w:p>
    <w:p w:rsidR="0052235D" w:rsidRPr="00872052" w:rsidRDefault="0052235D" w:rsidP="0052235D">
      <w:pPr>
        <w:rPr>
          <w:rFonts w:ascii="ITC Avant Garde" w:hAnsi="ITC Avant Garde"/>
          <w:lang w:val="es-MX"/>
        </w:rPr>
      </w:pPr>
      <w:r w:rsidRPr="00872052">
        <w:rPr>
          <w:rFonts w:ascii="ITC Avant Garde" w:hAnsi="ITC Avant Garde"/>
          <w:lang w:val="es-MX"/>
        </w:rPr>
        <w:t xml:space="preserve">El siguiente párrafo presenta los principales pasos seguidos para tratar los aportes provistos por </w:t>
      </w:r>
      <w:r w:rsidR="003B1FBF">
        <w:rPr>
          <w:rFonts w:ascii="ITC Avant Garde" w:hAnsi="ITC Avant Garde"/>
          <w:lang w:val="es-MX"/>
        </w:rPr>
        <w:t>el AEP</w:t>
      </w:r>
      <w:r w:rsidRPr="00872052">
        <w:rPr>
          <w:rFonts w:ascii="ITC Avant Garde" w:hAnsi="ITC Avant Garde"/>
          <w:lang w:val="es-MX"/>
        </w:rPr>
        <w:t>.</w:t>
      </w:r>
    </w:p>
    <w:p w:rsidR="0052235D" w:rsidRDefault="0052235D" w:rsidP="0052235D">
      <w:pPr>
        <w:rPr>
          <w:rFonts w:ascii="ITC Avant Garde" w:hAnsi="ITC Avant Garde"/>
          <w:lang w:val="es-MX"/>
        </w:rPr>
      </w:pPr>
    </w:p>
    <w:p w:rsidR="007A227B" w:rsidRPr="00872052" w:rsidRDefault="007A227B" w:rsidP="0052235D">
      <w:pPr>
        <w:rPr>
          <w:rFonts w:ascii="ITC Avant Garde" w:hAnsi="ITC Avant Garde"/>
          <w:lang w:val="es-MX"/>
        </w:rPr>
      </w:pPr>
    </w:p>
    <w:p w:rsidR="0052235D" w:rsidRPr="00872052" w:rsidRDefault="0052235D" w:rsidP="0052235D">
      <w:pPr>
        <w:pStyle w:val="Ttulo4"/>
        <w:rPr>
          <w:rFonts w:ascii="ITC Avant Garde" w:hAnsi="ITC Avant Garde"/>
          <w:lang w:val="es-MX"/>
        </w:rPr>
      </w:pPr>
      <w:bookmarkStart w:id="237" w:name="_Toc525672869"/>
      <w:bookmarkStart w:id="238" w:name="_Toc525665309"/>
      <w:bookmarkStart w:id="239" w:name="_Toc525665688"/>
      <w:bookmarkStart w:id="240" w:name="_Toc526854389"/>
      <w:r w:rsidRPr="00872052">
        <w:rPr>
          <w:rFonts w:ascii="ITC Avant Garde" w:hAnsi="ITC Avant Garde"/>
          <w:lang w:val="es-MX"/>
        </w:rPr>
        <w:t xml:space="preserve">Procesamiento de </w:t>
      </w:r>
      <w:proofErr w:type="spellStart"/>
      <w:r w:rsidRPr="00872052">
        <w:rPr>
          <w:rFonts w:ascii="ITC Avant Garde" w:hAnsi="ITC Avant Garde"/>
          <w:lang w:val="es-MX"/>
        </w:rPr>
        <w:t>geomarketing</w:t>
      </w:r>
      <w:proofErr w:type="spellEnd"/>
      <w:r w:rsidRPr="00872052">
        <w:rPr>
          <w:rFonts w:ascii="ITC Avant Garde" w:hAnsi="ITC Avant Garde"/>
          <w:lang w:val="es-MX"/>
        </w:rPr>
        <w:t xml:space="preserve"> para ambas redes</w:t>
      </w:r>
      <w:bookmarkEnd w:id="237"/>
      <w:bookmarkEnd w:id="238"/>
      <w:bookmarkEnd w:id="239"/>
      <w:bookmarkEnd w:id="240"/>
    </w:p>
    <w:p w:rsidR="0052235D" w:rsidRPr="00872052" w:rsidRDefault="0052235D" w:rsidP="0052235D">
      <w:pPr>
        <w:rPr>
          <w:rFonts w:ascii="ITC Avant Garde" w:hAnsi="ITC Avant Garde"/>
          <w:lang w:val="es-MX"/>
        </w:rPr>
      </w:pPr>
      <w:r w:rsidRPr="00872052">
        <w:rPr>
          <w:rFonts w:ascii="ITC Avant Garde" w:hAnsi="ITC Avant Garde"/>
          <w:lang w:val="es-MX"/>
        </w:rPr>
        <w:t xml:space="preserve">Con base en la información proporcionada por </w:t>
      </w:r>
      <w:r w:rsidR="003B1FBF">
        <w:rPr>
          <w:rFonts w:ascii="ITC Avant Garde" w:hAnsi="ITC Avant Garde"/>
          <w:lang w:val="es-MX"/>
        </w:rPr>
        <w:t>el AEP</w:t>
      </w:r>
      <w:r w:rsidRPr="00872052">
        <w:rPr>
          <w:rFonts w:ascii="ITC Avant Garde" w:hAnsi="ITC Avant Garde"/>
          <w:lang w:val="es-MX"/>
        </w:rPr>
        <w:t>, el punto de partida (paso 1) del algoritmo de gráficos es el siguiente</w:t>
      </w:r>
      <w:r w:rsidR="005B0846" w:rsidRPr="00872052">
        <w:rPr>
          <w:rFonts w:ascii="ITC Avant Garde" w:hAnsi="ITC Avant Garde"/>
          <w:lang w:val="es-MX"/>
        </w:rPr>
        <w:t>:</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Se conocen ubicaciones de oficinas centrales y PDP;</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lastRenderedPageBreak/>
        <w:t>Se conocen los límites de las áreas de los CO: una huella nacional se considera como un primer límite global;</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Se deben determinar los límites de las áreas PDP.</w:t>
      </w:r>
    </w:p>
    <w:p w:rsidR="005B0846" w:rsidRPr="00872052" w:rsidRDefault="005B0846" w:rsidP="005B0846">
      <w:pPr>
        <w:pStyle w:val="Listaconvietas2"/>
        <w:numPr>
          <w:ilvl w:val="0"/>
          <w:numId w:val="0"/>
        </w:numPr>
        <w:ind w:left="643" w:hanging="360"/>
        <w:rPr>
          <w:rFonts w:ascii="ITC Avant Garde" w:hAnsi="ITC Avant Garde"/>
          <w:lang w:val="es-MX"/>
        </w:rPr>
      </w:pP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t xml:space="preserve">Figura </w:t>
      </w:r>
      <w:r w:rsidR="00E55E52">
        <w:rPr>
          <w:rFonts w:ascii="ITC Avant Garde" w:hAnsi="ITC Avant Garde"/>
          <w:lang w:val="es-MX"/>
        </w:rPr>
        <w:t>31</w:t>
      </w:r>
      <w:r w:rsidRPr="00872052">
        <w:rPr>
          <w:rFonts w:ascii="ITC Avant Garde" w:hAnsi="ITC Avant Garde"/>
          <w:lang w:val="es-MX"/>
        </w:rPr>
        <w:t xml:space="preserve"> - Gráficos de </w:t>
      </w:r>
      <w:proofErr w:type="spellStart"/>
      <w:r w:rsidRPr="00872052">
        <w:rPr>
          <w:rFonts w:ascii="ITC Avant Garde" w:hAnsi="ITC Avant Garde"/>
          <w:lang w:val="es-MX"/>
        </w:rPr>
        <w:t>geomarketing</w:t>
      </w:r>
      <w:proofErr w:type="spellEnd"/>
      <w:r w:rsidRPr="00872052">
        <w:rPr>
          <w:rFonts w:ascii="ITC Avant Garde" w:hAnsi="ITC Avant Garde"/>
          <w:lang w:val="es-MX"/>
        </w:rPr>
        <w:t xml:space="preserve"> (Paso 1: PUNTO DE PARTIDA)</w:t>
      </w:r>
    </w:p>
    <w:p w:rsidR="005B0846" w:rsidRPr="00872052" w:rsidRDefault="005B0846" w:rsidP="005B0846">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5DA2EB03" wp14:editId="4E1EBDE9">
            <wp:extent cx="4472940" cy="2724642"/>
            <wp:effectExtent l="0" t="0" r="0" b="0"/>
            <wp:docPr id="64"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81920" cy="2730112"/>
                    </a:xfrm>
                    <a:prstGeom prst="rect">
                      <a:avLst/>
                    </a:prstGeom>
                    <a:noFill/>
                  </pic:spPr>
                </pic:pic>
              </a:graphicData>
            </a:graphic>
          </wp:inline>
        </w:drawing>
      </w:r>
    </w:p>
    <w:p w:rsidR="005B0846" w:rsidRPr="00872052" w:rsidRDefault="005B0846" w:rsidP="005B0846">
      <w:pPr>
        <w:rPr>
          <w:rFonts w:ascii="ITC Avant Garde" w:hAnsi="ITC Avant Garde"/>
          <w:lang w:val="es-MX"/>
        </w:rPr>
      </w:pPr>
      <w:r w:rsidRPr="00872052">
        <w:rPr>
          <w:rFonts w:ascii="ITC Avant Garde" w:hAnsi="ITC Avant Garde"/>
          <w:lang w:val="es-MX"/>
        </w:rPr>
        <w:t> </w:t>
      </w: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Dado que se conoce la huella geográfica global de México, y la ubicación de los nodos (PDP y CO) es proporcionada por </w:t>
      </w:r>
      <w:r w:rsidR="003B1FBF">
        <w:rPr>
          <w:rFonts w:ascii="ITC Avant Garde" w:hAnsi="ITC Avant Garde"/>
          <w:lang w:val="es-MX"/>
        </w:rPr>
        <w:t>el AEP</w:t>
      </w:r>
      <w:r w:rsidRPr="00872052">
        <w:rPr>
          <w:rFonts w:ascii="ITC Avant Garde" w:hAnsi="ITC Avant Garde"/>
          <w:lang w:val="es-MX"/>
        </w:rPr>
        <w:t>, el objetivo restante es identificar el área de cobertura de PDP/CO.</w:t>
      </w: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Con base en la figura </w:t>
      </w:r>
      <w:r w:rsidR="00DC6B35">
        <w:rPr>
          <w:rFonts w:ascii="ITC Avant Garde" w:hAnsi="ITC Avant Garde"/>
          <w:lang w:val="es-MX"/>
        </w:rPr>
        <w:t>de</w:t>
      </w:r>
      <w:r w:rsidRPr="00872052">
        <w:rPr>
          <w:rFonts w:ascii="ITC Avant Garde" w:hAnsi="ITC Avant Garde"/>
          <w:lang w:val="es-MX"/>
        </w:rPr>
        <w:t xml:space="preserve"> abajo (que representa una porción aleatoria de México que podría generalizarse a todo el país), el siguiente paso es asociar un área de cobertura y segmentos de carretera/calles a cada nodo.</w:t>
      </w:r>
    </w:p>
    <w:p w:rsidR="0052235D" w:rsidRPr="00872052" w:rsidRDefault="0052235D" w:rsidP="0052235D">
      <w:pPr>
        <w:rPr>
          <w:rFonts w:ascii="ITC Avant Garde" w:hAnsi="ITC Avant Garde"/>
          <w:lang w:val="es-MX"/>
        </w:rPr>
      </w:pPr>
      <w:r w:rsidRPr="00872052">
        <w:rPr>
          <w:rFonts w:ascii="ITC Avant Garde" w:hAnsi="ITC Avant Garde"/>
          <w:lang w:val="es-MX"/>
        </w:rPr>
        <w:t>El próximo paso (paso 2) es, por lo tanto, determinar las áreas de cobertura de PDP.</w:t>
      </w:r>
    </w:p>
    <w:p w:rsidR="005B0846" w:rsidRPr="00872052" w:rsidRDefault="005B0846" w:rsidP="005B0846">
      <w:pPr>
        <w:rPr>
          <w:rFonts w:ascii="ITC Avant Garde" w:hAnsi="ITC Avant Garde"/>
          <w:lang w:val="es-MX"/>
        </w:rPr>
      </w:pPr>
      <w:r w:rsidRPr="00872052">
        <w:rPr>
          <w:rFonts w:ascii="ITC Avant Garde" w:hAnsi="ITC Avant Garde"/>
          <w:lang w:val="es-MX"/>
        </w:rPr>
        <w:t>Cada sección de carretera dentro del área aleatoria debe estar conectada a un PDP. Se debe tener en cuenta que una sección de carretera se puede conectar directamente al CO. Como consecuencia, el CO también tiene un área 'PDP'. Cada sección de camino se asigna al PDP más cercano.</w:t>
      </w:r>
    </w:p>
    <w:p w:rsidR="005B0846" w:rsidRPr="00872052" w:rsidRDefault="005B0846" w:rsidP="005B0846">
      <w:pPr>
        <w:rPr>
          <w:rFonts w:ascii="ITC Avant Garde" w:hAnsi="ITC Avant Garde"/>
          <w:lang w:val="es-MX"/>
        </w:rPr>
      </w:pP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lastRenderedPageBreak/>
        <w:t xml:space="preserve">Figura </w:t>
      </w:r>
      <w:r w:rsidR="00E55E52">
        <w:rPr>
          <w:rFonts w:ascii="ITC Avant Garde" w:hAnsi="ITC Avant Garde"/>
          <w:lang w:val="es-MX"/>
        </w:rPr>
        <w:t>32</w:t>
      </w:r>
      <w:r w:rsidRPr="00872052">
        <w:rPr>
          <w:rFonts w:ascii="ITC Avant Garde" w:hAnsi="ITC Avant Garde"/>
          <w:lang w:val="es-MX"/>
        </w:rPr>
        <w:t xml:space="preserve"> - Gráficos de </w:t>
      </w:r>
      <w:proofErr w:type="spellStart"/>
      <w:r w:rsidRPr="00872052">
        <w:rPr>
          <w:rFonts w:ascii="ITC Avant Garde" w:hAnsi="ITC Avant Garde"/>
          <w:lang w:val="es-MX"/>
        </w:rPr>
        <w:t>geomarketing</w:t>
      </w:r>
      <w:proofErr w:type="spellEnd"/>
      <w:r w:rsidRPr="00872052">
        <w:rPr>
          <w:rFonts w:ascii="ITC Avant Garde" w:hAnsi="ITC Avant Garde"/>
          <w:lang w:val="es-MX"/>
        </w:rPr>
        <w:t xml:space="preserve"> (Paso 2: DETERMINACIÓN DE LAS ÁREAS PDP)</w:t>
      </w:r>
    </w:p>
    <w:p w:rsidR="005B0846" w:rsidRPr="00872052" w:rsidRDefault="005B0846" w:rsidP="005B0846">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0C687C19" wp14:editId="1F6D8681">
            <wp:extent cx="4744580" cy="2890109"/>
            <wp:effectExtent l="0" t="0" r="0" b="0"/>
            <wp:docPr id="6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52440" cy="2894897"/>
                    </a:xfrm>
                    <a:prstGeom prst="rect">
                      <a:avLst/>
                    </a:prstGeom>
                    <a:noFill/>
                  </pic:spPr>
                </pic:pic>
              </a:graphicData>
            </a:graphic>
          </wp:inline>
        </w:drawing>
      </w:r>
    </w:p>
    <w:p w:rsidR="005B0846" w:rsidRPr="00872052" w:rsidRDefault="005B0846" w:rsidP="005B0846">
      <w:pPr>
        <w:rPr>
          <w:rFonts w:ascii="ITC Avant Garde" w:hAnsi="ITC Avant Garde"/>
          <w:lang w:val="es-MX"/>
        </w:rPr>
      </w:pP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t xml:space="preserve"> Figura </w:t>
      </w:r>
      <w:r w:rsidR="00E55E52">
        <w:rPr>
          <w:rFonts w:ascii="ITC Avant Garde" w:hAnsi="ITC Avant Garde"/>
          <w:lang w:val="es-MX"/>
        </w:rPr>
        <w:t>33</w:t>
      </w:r>
      <w:r w:rsidRPr="00872052">
        <w:rPr>
          <w:rFonts w:ascii="ITC Avant Garde" w:hAnsi="ITC Avant Garde"/>
          <w:lang w:val="es-MX"/>
        </w:rPr>
        <w:t xml:space="preserve"> - El área de cobertura podría identificarse para cada PDPCO, la sección de carretera correspondiente también está asociada a cada PDP</w:t>
      </w:r>
    </w:p>
    <w:p w:rsidR="005B0846" w:rsidRPr="00872052" w:rsidRDefault="005B0846" w:rsidP="005B0846">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47CDB7EA" wp14:editId="3A155690">
            <wp:extent cx="4731286" cy="2562437"/>
            <wp:effectExtent l="0" t="0" r="0" b="0"/>
            <wp:docPr id="66"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47522" cy="2571230"/>
                    </a:xfrm>
                    <a:prstGeom prst="rect">
                      <a:avLst/>
                    </a:prstGeom>
                    <a:noFill/>
                  </pic:spPr>
                </pic:pic>
              </a:graphicData>
            </a:graphic>
          </wp:inline>
        </w:drawing>
      </w:r>
    </w:p>
    <w:p w:rsidR="005B0846" w:rsidRPr="00872052" w:rsidRDefault="005B0846" w:rsidP="005B0846">
      <w:pPr>
        <w:rPr>
          <w:rFonts w:ascii="ITC Avant Garde" w:hAnsi="ITC Avant Garde"/>
          <w:lang w:val="es-MX"/>
        </w:rPr>
      </w:pPr>
    </w:p>
    <w:p w:rsidR="005B0846" w:rsidRPr="00872052" w:rsidRDefault="005B0846" w:rsidP="005B0846">
      <w:pPr>
        <w:rPr>
          <w:rFonts w:ascii="ITC Avant Garde" w:hAnsi="ITC Avant Garde"/>
          <w:lang w:val="es-MX"/>
        </w:rPr>
      </w:pPr>
      <w:r w:rsidRPr="00872052">
        <w:rPr>
          <w:rFonts w:ascii="ITC Avant Garde" w:hAnsi="ITC Avant Garde"/>
          <w:lang w:val="es-MX"/>
        </w:rPr>
        <w:t>Una vez que se han determinado las áreas de cobertura de PDP, el siguiente paso (paso 3) es determinar la ruta del "usuario final / PDP". Para cada sección de carretera dentro de un área de cobertura de PDP, se usa un algoritmo de ruta más corta para establecer la ruta desde cada sección de carretera hasta el PDP correspondiente.</w:t>
      </w:r>
    </w:p>
    <w:p w:rsidR="005B0846" w:rsidRPr="00872052" w:rsidRDefault="005B0846" w:rsidP="005B0846">
      <w:pPr>
        <w:rPr>
          <w:rFonts w:ascii="ITC Avant Garde" w:hAnsi="ITC Avant Garde"/>
          <w:lang w:val="es-MX"/>
        </w:rPr>
      </w:pPr>
    </w:p>
    <w:p w:rsidR="0052235D" w:rsidRPr="00872052" w:rsidRDefault="005B0846">
      <w:pPr>
        <w:pStyle w:val="Descripcin"/>
        <w:keepNext/>
        <w:rPr>
          <w:rFonts w:ascii="ITC Avant Garde" w:hAnsi="ITC Avant Garde"/>
          <w:lang w:val="es-MX"/>
        </w:rPr>
      </w:pPr>
      <w:r w:rsidRPr="00872052">
        <w:rPr>
          <w:rFonts w:ascii="ITC Avant Garde" w:hAnsi="ITC Avant Garde"/>
          <w:lang w:val="es-MX"/>
        </w:rPr>
        <w:lastRenderedPageBreak/>
        <w:t xml:space="preserve"> Figura </w:t>
      </w:r>
      <w:r w:rsidR="00E55E52">
        <w:rPr>
          <w:rFonts w:ascii="ITC Avant Garde" w:hAnsi="ITC Avant Garde"/>
          <w:lang w:val="es-MX"/>
        </w:rPr>
        <w:t>34</w:t>
      </w:r>
      <w:r w:rsidRPr="00872052">
        <w:rPr>
          <w:rFonts w:ascii="ITC Avant Garde" w:hAnsi="ITC Avant Garde"/>
          <w:lang w:val="es-MX"/>
        </w:rPr>
        <w:t xml:space="preserve"> - Gráficos de </w:t>
      </w:r>
      <w:proofErr w:type="spellStart"/>
      <w:r w:rsidRPr="00872052">
        <w:rPr>
          <w:rFonts w:ascii="ITC Avant Garde" w:hAnsi="ITC Avant Garde"/>
          <w:lang w:val="es-MX"/>
        </w:rPr>
        <w:t>geomarketing</w:t>
      </w:r>
      <w:proofErr w:type="spellEnd"/>
      <w:r w:rsidRPr="00872052">
        <w:rPr>
          <w:rFonts w:ascii="ITC Avant Garde" w:hAnsi="ITC Avant Garde"/>
          <w:lang w:val="es-MX"/>
        </w:rPr>
        <w:t xml:space="preserve"> (Paso 3: DETERMINACIÓN de las rutas de usuario final / PDP)</w:t>
      </w:r>
    </w:p>
    <w:p w:rsidR="005B0846" w:rsidRPr="00872052" w:rsidRDefault="005B0846" w:rsidP="005B0846">
      <w:pPr>
        <w:rPr>
          <w:rFonts w:ascii="ITC Avant Garde" w:hAnsi="ITC Avant Garde"/>
          <w:lang w:val="es-MX"/>
        </w:rPr>
      </w:pPr>
      <w:r w:rsidRPr="00872052">
        <w:rPr>
          <w:rFonts w:ascii="ITC Avant Garde" w:hAnsi="ITC Avant Garde"/>
          <w:noProof/>
          <w:lang w:val="es-MX" w:eastAsia="es-MX"/>
        </w:rPr>
        <w:drawing>
          <wp:inline distT="0" distB="0" distL="0" distR="0" wp14:anchorId="5FA6A1E2" wp14:editId="169D578F">
            <wp:extent cx="5399405" cy="2385740"/>
            <wp:effectExtent l="0" t="0" r="0" b="0"/>
            <wp:docPr id="67"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3766"/>
                    <a:stretch/>
                  </pic:blipFill>
                  <pic:spPr bwMode="auto">
                    <a:xfrm>
                      <a:off x="0" y="0"/>
                      <a:ext cx="5399405" cy="2385740"/>
                    </a:xfrm>
                    <a:prstGeom prst="rect">
                      <a:avLst/>
                    </a:prstGeom>
                    <a:noFill/>
                    <a:ln>
                      <a:noFill/>
                    </a:ln>
                    <a:extLst>
                      <a:ext uri="{53640926-AAD7-44D8-BBD7-CCE9431645EC}">
                        <a14:shadowObscured xmlns:a14="http://schemas.microsoft.com/office/drawing/2010/main"/>
                      </a:ext>
                    </a:extLst>
                  </pic:spPr>
                </pic:pic>
              </a:graphicData>
            </a:graphic>
          </wp:inline>
        </w:drawing>
      </w:r>
    </w:p>
    <w:p w:rsidR="005B0846" w:rsidRPr="00872052" w:rsidRDefault="005B0846" w:rsidP="005B0846">
      <w:pPr>
        <w:rPr>
          <w:rFonts w:ascii="ITC Avant Garde" w:hAnsi="ITC Avant Garde"/>
          <w:lang w:val="es-MX"/>
        </w:rPr>
      </w:pP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t xml:space="preserve">Figura </w:t>
      </w:r>
      <w:r w:rsidR="00E55E52">
        <w:rPr>
          <w:rFonts w:ascii="ITC Avant Garde" w:hAnsi="ITC Avant Garde"/>
          <w:lang w:val="es-MX"/>
        </w:rPr>
        <w:t>35</w:t>
      </w:r>
      <w:r w:rsidRPr="00872052">
        <w:rPr>
          <w:rFonts w:ascii="ITC Avant Garde" w:hAnsi="ITC Avant Garde"/>
          <w:lang w:val="es-MX"/>
        </w:rPr>
        <w:t xml:space="preserve"> - Gráficos de </w:t>
      </w:r>
      <w:proofErr w:type="spellStart"/>
      <w:r w:rsidRPr="00872052">
        <w:rPr>
          <w:rFonts w:ascii="ITC Avant Garde" w:hAnsi="ITC Avant Garde"/>
          <w:lang w:val="es-MX"/>
        </w:rPr>
        <w:t>geomarketing</w:t>
      </w:r>
      <w:proofErr w:type="spellEnd"/>
      <w:r w:rsidRPr="00872052">
        <w:rPr>
          <w:rFonts w:ascii="ITC Avant Garde" w:hAnsi="ITC Avant Garde"/>
          <w:lang w:val="es-MX"/>
        </w:rPr>
        <w:t xml:space="preserve"> (Ejemplos de rutas de usuario final a PDP con fondo de mapa)</w:t>
      </w:r>
    </w:p>
    <w:p w:rsidR="005B0846" w:rsidRPr="00872052" w:rsidRDefault="005B0846" w:rsidP="005B0846">
      <w:pPr>
        <w:rPr>
          <w:rFonts w:ascii="ITC Avant Garde" w:hAnsi="ITC Avant Garde"/>
          <w:lang w:val="es-MX"/>
        </w:rPr>
      </w:pPr>
      <w:r w:rsidRPr="00872052">
        <w:rPr>
          <w:rFonts w:ascii="ITC Avant Garde" w:hAnsi="ITC Avant Garde"/>
          <w:noProof/>
          <w:lang w:val="es-MX" w:eastAsia="es-MX"/>
        </w:rPr>
        <w:drawing>
          <wp:inline distT="0" distB="0" distL="0" distR="0" wp14:anchorId="2D34D77A" wp14:editId="5F3B2495">
            <wp:extent cx="5399405" cy="3489960"/>
            <wp:effectExtent l="0" t="0" r="0" b="0"/>
            <wp:docPr id="6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99405" cy="3489960"/>
                    </a:xfrm>
                    <a:prstGeom prst="rect">
                      <a:avLst/>
                    </a:prstGeom>
                  </pic:spPr>
                </pic:pic>
              </a:graphicData>
            </a:graphic>
          </wp:inline>
        </w:drawing>
      </w:r>
    </w:p>
    <w:p w:rsidR="005B0846" w:rsidRPr="00872052" w:rsidRDefault="005B0846" w:rsidP="005B0846">
      <w:pPr>
        <w:pStyle w:val="Source"/>
        <w:rPr>
          <w:rFonts w:ascii="ITC Avant Garde" w:hAnsi="ITC Avant Garde"/>
          <w:lang w:val="es-MX"/>
        </w:rPr>
      </w:pPr>
      <w:r w:rsidRPr="00872052">
        <w:rPr>
          <w:rFonts w:ascii="ITC Avant Garde" w:hAnsi="ITC Avant Garde"/>
          <w:lang w:val="es-MX"/>
        </w:rPr>
        <w:t> Leyenda: CO, diamantes en rojo - PDP, círculo en azul, Senderos en función de PDP-CO de los que dependen</w:t>
      </w:r>
    </w:p>
    <w:p w:rsidR="005B0846" w:rsidRPr="00872052" w:rsidRDefault="005B0846" w:rsidP="005B0846">
      <w:pPr>
        <w:rPr>
          <w:rFonts w:ascii="ITC Avant Garde" w:hAnsi="ITC Avant Garde"/>
          <w:lang w:val="es-MX"/>
        </w:rPr>
      </w:pPr>
    </w:p>
    <w:p w:rsidR="005B0846" w:rsidRPr="00872052" w:rsidRDefault="005B0846" w:rsidP="005B0846">
      <w:pPr>
        <w:rPr>
          <w:rFonts w:ascii="ITC Avant Garde" w:hAnsi="ITC Avant Garde"/>
          <w:lang w:val="es-MX"/>
        </w:rPr>
      </w:pPr>
      <w:r w:rsidRPr="00872052">
        <w:rPr>
          <w:rFonts w:ascii="ITC Avant Garde" w:hAnsi="ITC Avant Garde"/>
          <w:lang w:val="es-MX"/>
        </w:rPr>
        <w:lastRenderedPageBreak/>
        <w:t>Luego, se usa un algoritmo de ruta más corta para establecer la ruta desde cada PDP al CO correspondiente.</w:t>
      </w:r>
    </w:p>
    <w:p w:rsidR="005B0846" w:rsidRPr="00872052" w:rsidRDefault="005B0846" w:rsidP="005B0846">
      <w:pPr>
        <w:rPr>
          <w:rFonts w:ascii="ITC Avant Garde" w:hAnsi="ITC Avant Garde"/>
          <w:lang w:val="es-MX"/>
        </w:rPr>
      </w:pP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t xml:space="preserve"> Figura </w:t>
      </w:r>
      <w:r w:rsidR="00E55E52">
        <w:rPr>
          <w:rFonts w:ascii="ITC Avant Garde" w:hAnsi="ITC Avant Garde"/>
          <w:lang w:val="es-MX"/>
        </w:rPr>
        <w:t>36</w:t>
      </w:r>
      <w:r w:rsidRPr="00872052">
        <w:rPr>
          <w:rFonts w:ascii="ITC Avant Garde" w:hAnsi="ITC Avant Garde"/>
          <w:lang w:val="es-MX"/>
        </w:rPr>
        <w:t xml:space="preserve"> - Gráficos de </w:t>
      </w:r>
      <w:proofErr w:type="spellStart"/>
      <w:r w:rsidRPr="00872052">
        <w:rPr>
          <w:rFonts w:ascii="ITC Avant Garde" w:hAnsi="ITC Avant Garde"/>
          <w:lang w:val="es-MX"/>
        </w:rPr>
        <w:t>geomarketing</w:t>
      </w:r>
      <w:proofErr w:type="spellEnd"/>
      <w:r w:rsidRPr="00872052">
        <w:rPr>
          <w:rFonts w:ascii="ITC Avant Garde" w:hAnsi="ITC Avant Garde"/>
          <w:lang w:val="es-MX"/>
        </w:rPr>
        <w:t xml:space="preserve"> (Paso 4: DETERMINACIÓN de las rutas PDP / CO)</w:t>
      </w:r>
    </w:p>
    <w:p w:rsidR="005B0846" w:rsidRPr="00872052" w:rsidRDefault="005B0846" w:rsidP="005B0846">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7AF749FB" wp14:editId="7BDE2AED">
            <wp:extent cx="3776133" cy="2333614"/>
            <wp:effectExtent l="0" t="0" r="0" b="0"/>
            <wp:docPr id="69"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 r="4599"/>
                    <a:stretch/>
                  </pic:blipFill>
                  <pic:spPr bwMode="auto">
                    <a:xfrm>
                      <a:off x="0" y="0"/>
                      <a:ext cx="3789392" cy="2341808"/>
                    </a:xfrm>
                    <a:prstGeom prst="rect">
                      <a:avLst/>
                    </a:prstGeom>
                    <a:noFill/>
                    <a:ln>
                      <a:noFill/>
                    </a:ln>
                    <a:extLst>
                      <a:ext uri="{53640926-AAD7-44D8-BBD7-CCE9431645EC}">
                        <a14:shadowObscured xmlns:a14="http://schemas.microsoft.com/office/drawing/2010/main"/>
                      </a:ext>
                    </a:extLst>
                  </pic:spPr>
                </pic:pic>
              </a:graphicData>
            </a:graphic>
          </wp:inline>
        </w:drawing>
      </w:r>
    </w:p>
    <w:p w:rsidR="005B0846" w:rsidRPr="00872052" w:rsidRDefault="005B0846" w:rsidP="005B0846">
      <w:pPr>
        <w:rPr>
          <w:rFonts w:ascii="ITC Avant Garde" w:hAnsi="ITC Avant Garde"/>
          <w:lang w:val="es-MX"/>
        </w:rPr>
      </w:pPr>
    </w:p>
    <w:p w:rsidR="005B0846" w:rsidRPr="00872052" w:rsidRDefault="005B0846" w:rsidP="005B0846">
      <w:pPr>
        <w:rPr>
          <w:rFonts w:ascii="ITC Avant Garde" w:hAnsi="ITC Avant Garde"/>
          <w:lang w:val="es-MX"/>
        </w:rPr>
      </w:pPr>
      <w:r w:rsidRPr="00872052">
        <w:rPr>
          <w:rFonts w:ascii="ITC Avant Garde" w:hAnsi="ITC Avant Garde"/>
          <w:lang w:val="es-MX"/>
        </w:rPr>
        <w:t>Después del paso 4, las rutas de usuario final / PDP y PDP / CO se han determinado (es decir, se identific</w:t>
      </w:r>
      <w:r w:rsidR="006F7C8B">
        <w:rPr>
          <w:rFonts w:ascii="ITC Avant Garde" w:hAnsi="ITC Avant Garde"/>
          <w:lang w:val="es-MX"/>
        </w:rPr>
        <w:t>ó</w:t>
      </w:r>
      <w:r w:rsidRPr="00872052">
        <w:rPr>
          <w:rFonts w:ascii="ITC Avant Garde" w:hAnsi="ITC Avant Garde"/>
          <w:lang w:val="es-MX"/>
        </w:rPr>
        <w:t xml:space="preserve"> la lista de secciones utilizadas por cada ruta).</w:t>
      </w:r>
    </w:p>
    <w:p w:rsidR="005B0846" w:rsidRPr="00872052" w:rsidRDefault="005B0846" w:rsidP="005B0846">
      <w:pPr>
        <w:rPr>
          <w:rFonts w:ascii="ITC Avant Garde" w:hAnsi="ITC Avant Garde"/>
          <w:lang w:val="es-MX"/>
        </w:rPr>
      </w:pP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t xml:space="preserve"> Figura </w:t>
      </w:r>
      <w:r w:rsidR="00E55E52">
        <w:rPr>
          <w:rFonts w:ascii="ITC Avant Garde" w:hAnsi="ITC Avant Garde"/>
          <w:lang w:val="es-MX"/>
        </w:rPr>
        <w:t>37</w:t>
      </w:r>
      <w:r w:rsidRPr="00872052">
        <w:rPr>
          <w:rFonts w:ascii="ITC Avant Garde" w:hAnsi="ITC Avant Garde"/>
          <w:lang w:val="es-MX"/>
        </w:rPr>
        <w:t xml:space="preserve"> - Gráfico de </w:t>
      </w:r>
      <w:proofErr w:type="spellStart"/>
      <w:r w:rsidRPr="00872052">
        <w:rPr>
          <w:rFonts w:ascii="ITC Avant Garde" w:hAnsi="ITC Avant Garde"/>
          <w:lang w:val="es-MX"/>
        </w:rPr>
        <w:t>geomarketing</w:t>
      </w:r>
      <w:proofErr w:type="spellEnd"/>
      <w:r w:rsidRPr="00872052">
        <w:rPr>
          <w:rFonts w:ascii="ITC Avant Garde" w:hAnsi="ITC Avant Garde"/>
          <w:lang w:val="es-MX"/>
        </w:rPr>
        <w:t xml:space="preserve"> (Ejemplo de rutas de usuario final a CO)</w:t>
      </w:r>
    </w:p>
    <w:p w:rsidR="005B0846" w:rsidRPr="00872052" w:rsidRDefault="005B0846" w:rsidP="005B0846">
      <w:pPr>
        <w:rPr>
          <w:rFonts w:ascii="ITC Avant Garde" w:hAnsi="ITC Avant Garde"/>
          <w:lang w:val="es-MX"/>
        </w:rPr>
      </w:pPr>
      <w:r w:rsidRPr="00872052">
        <w:rPr>
          <w:rFonts w:ascii="ITC Avant Garde" w:hAnsi="ITC Avant Garde"/>
          <w:noProof/>
          <w:lang w:val="es-MX" w:eastAsia="es-MX"/>
        </w:rPr>
        <w:drawing>
          <wp:inline distT="0" distB="0" distL="0" distR="0" wp14:anchorId="1521B2F9" wp14:editId="48DBAB16">
            <wp:extent cx="5296843" cy="2454275"/>
            <wp:effectExtent l="0" t="0" r="0" b="0"/>
            <wp:docPr id="71"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03983" cy="2457583"/>
                    </a:xfrm>
                    <a:prstGeom prst="rect">
                      <a:avLst/>
                    </a:prstGeom>
                    <a:noFill/>
                  </pic:spPr>
                </pic:pic>
              </a:graphicData>
            </a:graphic>
          </wp:inline>
        </w:drawing>
      </w:r>
    </w:p>
    <w:p w:rsidR="00567F1B" w:rsidRPr="00872052" w:rsidRDefault="00567F1B" w:rsidP="0052235D">
      <w:pPr>
        <w:rPr>
          <w:rFonts w:ascii="ITC Avant Garde" w:hAnsi="ITC Avant Garde"/>
          <w:lang w:val="es-MX"/>
        </w:rPr>
      </w:pPr>
    </w:p>
    <w:p w:rsidR="00567F1B" w:rsidRPr="00872052" w:rsidRDefault="00567F1B" w:rsidP="00567F1B">
      <w:pPr>
        <w:pStyle w:val="Ttulo3"/>
        <w:rPr>
          <w:rFonts w:ascii="ITC Avant Garde" w:hAnsi="ITC Avant Garde"/>
          <w:lang w:val="es-MX"/>
        </w:rPr>
      </w:pPr>
      <w:bookmarkStart w:id="241" w:name="_Toc525672870"/>
      <w:bookmarkStart w:id="242" w:name="_Toc525665310"/>
      <w:bookmarkStart w:id="243" w:name="_Toc525665689"/>
      <w:bookmarkStart w:id="244" w:name="_Toc526854390"/>
      <w:r w:rsidRPr="00872052">
        <w:rPr>
          <w:rFonts w:ascii="ITC Avant Garde" w:hAnsi="ITC Avant Garde"/>
          <w:lang w:val="es-MX"/>
        </w:rPr>
        <w:lastRenderedPageBreak/>
        <w:t>Despliegue de la red de cobre</w:t>
      </w:r>
      <w:bookmarkEnd w:id="241"/>
      <w:bookmarkEnd w:id="242"/>
      <w:bookmarkEnd w:id="243"/>
      <w:bookmarkEnd w:id="244"/>
    </w:p>
    <w:p w:rsidR="00567F1B" w:rsidRPr="00872052" w:rsidRDefault="00567F1B" w:rsidP="00567F1B">
      <w:pPr>
        <w:pStyle w:val="Ttulo4"/>
        <w:rPr>
          <w:rFonts w:ascii="ITC Avant Garde" w:hAnsi="ITC Avant Garde"/>
          <w:lang w:val="es-MX"/>
        </w:rPr>
      </w:pPr>
      <w:bookmarkStart w:id="245" w:name="_Toc525672871"/>
      <w:bookmarkStart w:id="246" w:name="_Toc525665311"/>
      <w:bookmarkStart w:id="247" w:name="_Toc525665690"/>
      <w:bookmarkStart w:id="248" w:name="_Toc526854391"/>
      <w:r w:rsidRPr="00872052">
        <w:rPr>
          <w:rFonts w:ascii="ITC Avant Garde" w:hAnsi="ITC Avant Garde"/>
          <w:lang w:val="es-MX"/>
        </w:rPr>
        <w:t>Diferentes partes de la red modeladas</w:t>
      </w:r>
      <w:bookmarkEnd w:id="245"/>
      <w:bookmarkEnd w:id="246"/>
      <w:bookmarkEnd w:id="247"/>
      <w:bookmarkEnd w:id="248"/>
    </w:p>
    <w:p w:rsidR="005B0846" w:rsidRPr="00872052" w:rsidRDefault="005B0846" w:rsidP="005B0846">
      <w:pPr>
        <w:rPr>
          <w:rFonts w:ascii="ITC Avant Garde" w:hAnsi="ITC Avant Garde"/>
          <w:lang w:val="es-MX"/>
        </w:rPr>
      </w:pPr>
      <w:r w:rsidRPr="00872052">
        <w:rPr>
          <w:rFonts w:ascii="ITC Avant Garde" w:hAnsi="ITC Avant Garde"/>
          <w:lang w:val="es-MX"/>
        </w:rPr>
        <w:t>Desde las instalaciones hasta el CO, varios elementos deben ser modelados:</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El equipo requerido para unir la sección de la carretera con el SDP (referido como "Acometida"), que consiste en cables de cobre, zanjas / canalizaciones, pozos de registro y postes;</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El equipo requerido para vincular el SDP al PDP, incluido el SDP (denominado SDP / "Red Secundaria"), que consiste en cables de cobre, zanjas / Canalizaciones, pozos de registro, postes, cierres de empalme y puntos de distribución;</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El equipo requerido para vincular el PDP al CO, incluido el PDP (referido como PDP / "Red Primaria"), que consiste en cables de cobre, zanjas, registros, cierres de empalme y puntos de distribución.</w:t>
      </w:r>
    </w:p>
    <w:p w:rsidR="00567F1B" w:rsidRPr="00872052" w:rsidRDefault="00567F1B" w:rsidP="005B0846">
      <w:pPr>
        <w:pStyle w:val="Listaconvietas2"/>
        <w:rPr>
          <w:rFonts w:ascii="ITC Avant Garde" w:hAnsi="ITC Avant Garde"/>
          <w:lang w:val="es-MX"/>
        </w:rPr>
      </w:pPr>
      <w:r w:rsidRPr="00872052">
        <w:rPr>
          <w:rFonts w:ascii="ITC Avant Garde" w:hAnsi="ITC Avant Garde"/>
          <w:lang w:val="es-MX"/>
        </w:rPr>
        <w:t xml:space="preserve">El equipo dentro del edificio, así como aquellos necesarios para </w:t>
      </w:r>
      <w:r w:rsidR="005B0846" w:rsidRPr="00872052">
        <w:rPr>
          <w:rFonts w:ascii="ITC Avant Garde" w:hAnsi="ITC Avant Garde"/>
          <w:lang w:val="es-MX"/>
        </w:rPr>
        <w:t>conectar</w:t>
      </w:r>
      <w:r w:rsidRPr="00872052">
        <w:rPr>
          <w:rFonts w:ascii="ITC Avant Garde" w:hAnsi="ITC Avant Garde"/>
          <w:lang w:val="es-MX"/>
        </w:rPr>
        <w:t xml:space="preserve"> el edificio con la sección de la carretera (referido como Privado) no se modelan ya que estos segmentos de la red no están modelados.</w:t>
      </w:r>
    </w:p>
    <w:p w:rsidR="00567F1B" w:rsidRPr="00872052" w:rsidRDefault="00567F1B" w:rsidP="00567F1B">
      <w:pPr>
        <w:rPr>
          <w:rFonts w:ascii="ITC Avant Garde" w:hAnsi="ITC Avant Garde"/>
          <w:lang w:val="es-MX"/>
        </w:rPr>
      </w:pPr>
    </w:p>
    <w:p w:rsidR="00567F1B" w:rsidRPr="00872052" w:rsidRDefault="00567F1B" w:rsidP="00567F1B">
      <w:pPr>
        <w:pStyle w:val="Ttulo4"/>
        <w:rPr>
          <w:rFonts w:ascii="ITC Avant Garde" w:hAnsi="ITC Avant Garde"/>
          <w:lang w:val="es-MX"/>
        </w:rPr>
      </w:pPr>
      <w:bookmarkStart w:id="249" w:name="_Toc525672872"/>
      <w:bookmarkStart w:id="250" w:name="_Toc525665312"/>
      <w:bookmarkStart w:id="251" w:name="_Toc525665691"/>
      <w:bookmarkStart w:id="252" w:name="_Toc526854392"/>
      <w:r w:rsidRPr="00872052">
        <w:rPr>
          <w:rFonts w:ascii="ITC Avant Garde" w:hAnsi="ITC Avant Garde"/>
          <w:lang w:val="es-MX"/>
        </w:rPr>
        <w:t>Cables de red de cobre</w:t>
      </w:r>
      <w:bookmarkEnd w:id="249"/>
      <w:bookmarkEnd w:id="250"/>
      <w:bookmarkEnd w:id="251"/>
      <w:bookmarkEnd w:id="252"/>
    </w:p>
    <w:p w:rsidR="005B0846" w:rsidRPr="00872052" w:rsidRDefault="005B0846" w:rsidP="005B0846">
      <w:pPr>
        <w:rPr>
          <w:rFonts w:ascii="ITC Avant Garde" w:hAnsi="ITC Avant Garde"/>
          <w:lang w:val="es-MX"/>
        </w:rPr>
      </w:pPr>
      <w:r w:rsidRPr="00872052">
        <w:rPr>
          <w:rFonts w:ascii="ITC Avant Garde" w:hAnsi="ITC Avant Garde"/>
          <w:lang w:val="es-MX"/>
        </w:rPr>
        <w:t>Varios cables, relacionados con diferentes partes de la red, tienen que ser dimensionados para una sección dada. Estos diferentes cables no se comparten, pero usan la misma zanja (o el mismo poste) en dicha sección.</w:t>
      </w:r>
    </w:p>
    <w:p w:rsidR="00567F1B" w:rsidRPr="00872052" w:rsidRDefault="00567F1B" w:rsidP="00567F1B">
      <w:pPr>
        <w:rPr>
          <w:rFonts w:ascii="ITC Avant Garde" w:hAnsi="ITC Avant Garde"/>
          <w:lang w:val="es-MX"/>
        </w:rPr>
      </w:pPr>
      <w:r w:rsidRPr="00872052">
        <w:rPr>
          <w:rFonts w:ascii="ITC Avant Garde" w:hAnsi="ITC Avant Garde"/>
          <w:lang w:val="es-MX"/>
        </w:rPr>
        <w:t>Los cables incluyen:</w:t>
      </w:r>
    </w:p>
    <w:p w:rsidR="005B0846" w:rsidRPr="00872052" w:rsidRDefault="005B0846" w:rsidP="005B0846">
      <w:pPr>
        <w:pStyle w:val="Listaconvietas2"/>
        <w:rPr>
          <w:rFonts w:ascii="ITC Avant Garde" w:hAnsi="ITC Avant Garde"/>
        </w:rPr>
      </w:pPr>
      <w:r w:rsidRPr="00872052">
        <w:rPr>
          <w:rFonts w:ascii="ITC Avant Garde" w:hAnsi="ITC Avant Garde"/>
        </w:rPr>
        <w:t xml:space="preserve">la </w:t>
      </w:r>
      <w:proofErr w:type="spellStart"/>
      <w:r w:rsidRPr="00872052">
        <w:rPr>
          <w:rFonts w:ascii="ITC Avant Garde" w:hAnsi="ITC Avant Garde"/>
        </w:rPr>
        <w:t>acometida</w:t>
      </w:r>
      <w:proofErr w:type="spellEnd"/>
      <w:r w:rsidRPr="00872052">
        <w:rPr>
          <w:rFonts w:ascii="ITC Avant Garde" w:hAnsi="ITC Avant Garde"/>
        </w:rPr>
        <w:t>;</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el cable que conecta el SDP al PDP;</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el cable que conecta el PDP al CO.</w:t>
      </w:r>
    </w:p>
    <w:p w:rsidR="005B0846" w:rsidRPr="00872052" w:rsidRDefault="005B0846" w:rsidP="005B0846">
      <w:pPr>
        <w:pStyle w:val="Listaconvietas2"/>
        <w:numPr>
          <w:ilvl w:val="0"/>
          <w:numId w:val="0"/>
        </w:numPr>
        <w:ind w:left="643" w:hanging="360"/>
        <w:rPr>
          <w:rFonts w:ascii="ITC Avant Garde" w:hAnsi="ITC Avant Garde"/>
          <w:lang w:val="es-MX"/>
        </w:rPr>
      </w:pP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lastRenderedPageBreak/>
        <w:t xml:space="preserve">  Figura </w:t>
      </w:r>
      <w:r w:rsidR="00E55E52">
        <w:rPr>
          <w:rFonts w:ascii="ITC Avant Garde" w:hAnsi="ITC Avant Garde"/>
          <w:lang w:val="es-MX"/>
        </w:rPr>
        <w:t>38</w:t>
      </w:r>
      <w:r w:rsidRPr="00872052">
        <w:rPr>
          <w:rFonts w:ascii="ITC Avant Garde" w:hAnsi="ITC Avant Garde"/>
          <w:lang w:val="es-MX"/>
        </w:rPr>
        <w:t xml:space="preserve"> - Tipos de cables que pasan por una sección</w:t>
      </w:r>
    </w:p>
    <w:p w:rsidR="005B0846" w:rsidRPr="00872052" w:rsidRDefault="005B0846" w:rsidP="005B0846">
      <w:pPr>
        <w:rPr>
          <w:rFonts w:ascii="ITC Avant Garde" w:hAnsi="ITC Avant Garde"/>
          <w:lang w:val="es-MX"/>
        </w:rPr>
      </w:pPr>
      <w:r w:rsidRPr="00872052">
        <w:rPr>
          <w:rFonts w:ascii="ITC Avant Garde" w:hAnsi="ITC Avant Garde"/>
          <w:noProof/>
          <w:lang w:val="es-MX" w:eastAsia="es-MX"/>
        </w:rPr>
        <w:drawing>
          <wp:inline distT="0" distB="0" distL="0" distR="0" wp14:anchorId="2E3F4069" wp14:editId="4B96D8AE">
            <wp:extent cx="5273141" cy="2303145"/>
            <wp:effectExtent l="0" t="0" r="3810" b="1905"/>
            <wp:docPr id="72"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5297" cy="2304087"/>
                    </a:xfrm>
                    <a:prstGeom prst="rect">
                      <a:avLst/>
                    </a:prstGeom>
                    <a:noFill/>
                  </pic:spPr>
                </pic:pic>
              </a:graphicData>
            </a:graphic>
          </wp:inline>
        </w:drawing>
      </w:r>
    </w:p>
    <w:p w:rsidR="005B0846" w:rsidRPr="00872052" w:rsidRDefault="005B0846" w:rsidP="005B0846">
      <w:pPr>
        <w:rPr>
          <w:rFonts w:ascii="ITC Avant Garde" w:hAnsi="ITC Avant Garde"/>
          <w:lang w:val="es-MX"/>
        </w:rPr>
      </w:pPr>
    </w:p>
    <w:p w:rsidR="005B0846" w:rsidRPr="00872052" w:rsidRDefault="005B0846" w:rsidP="005B0846">
      <w:pPr>
        <w:rPr>
          <w:rFonts w:ascii="ITC Avant Garde" w:hAnsi="ITC Avant Garde"/>
          <w:lang w:val="es-MX"/>
        </w:rPr>
      </w:pPr>
      <w:r w:rsidRPr="00872052">
        <w:rPr>
          <w:rFonts w:ascii="ITC Avant Garde" w:hAnsi="ITC Avant Garde"/>
          <w:lang w:val="es-MX"/>
        </w:rPr>
        <w:t>Para cada sección y cada categoría de cable, se debe entonces determinar lo siguiente:</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¿Cuántos pares de cobre se requieren para cumplir con el nivel de demanda?</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¿Cuál es el tamaño de cable más adecuado en función del número de pares de cobre?</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¿Qué tipo de cable se debe usar?</w:t>
      </w:r>
    </w:p>
    <w:p w:rsidR="005B0846" w:rsidRPr="00872052" w:rsidRDefault="005B0846" w:rsidP="005B0846">
      <w:pPr>
        <w:rPr>
          <w:rFonts w:ascii="ITC Avant Garde" w:hAnsi="ITC Avant Garde"/>
          <w:lang w:val="es-MX"/>
        </w:rPr>
      </w:pPr>
    </w:p>
    <w:p w:rsidR="005B0846" w:rsidRPr="00872052" w:rsidRDefault="005B0846" w:rsidP="005B0846">
      <w:pPr>
        <w:pStyle w:val="Ttulo4"/>
        <w:rPr>
          <w:rFonts w:ascii="ITC Avant Garde" w:hAnsi="ITC Avant Garde"/>
          <w:lang w:val="es-MX"/>
        </w:rPr>
      </w:pPr>
      <w:bookmarkStart w:id="253" w:name="_Toc525672873"/>
      <w:bookmarkStart w:id="254" w:name="_Toc525665313"/>
      <w:bookmarkStart w:id="255" w:name="_Toc525665692"/>
      <w:bookmarkStart w:id="256" w:name="_Toc526854393"/>
      <w:r w:rsidRPr="00872052">
        <w:rPr>
          <w:rFonts w:ascii="ITC Avant Garde" w:hAnsi="ITC Avant Garde"/>
          <w:lang w:val="es-MX"/>
        </w:rPr>
        <w:t>Acometida</w:t>
      </w:r>
      <w:bookmarkEnd w:id="253"/>
      <w:bookmarkEnd w:id="254"/>
      <w:bookmarkEnd w:id="255"/>
      <w:bookmarkEnd w:id="256"/>
    </w:p>
    <w:p w:rsidR="005B0846" w:rsidRPr="00872052" w:rsidRDefault="005B0846" w:rsidP="005B0846">
      <w:pPr>
        <w:rPr>
          <w:rFonts w:ascii="ITC Avant Garde" w:hAnsi="ITC Avant Garde"/>
          <w:lang w:val="es-MX"/>
        </w:rPr>
      </w:pPr>
      <w:r w:rsidRPr="00872052">
        <w:rPr>
          <w:rFonts w:ascii="ITC Avant Garde" w:hAnsi="ITC Avant Garde"/>
          <w:lang w:val="es-MX"/>
        </w:rPr>
        <w:t>Esta sección describe el costo de la acometida, que incluye los costos desde el edificio del cliente hasta el SDP.</w:t>
      </w: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El modelado se ha realizado en una base "por dirección". Por lo tanto, para cada sección de carretera, se ha determinado la posición de cada dirección, es decir, la posición relativa de la dirección al nodo de carretera que va al CO y el lado de la dirección (lado izquierdo o derecho de la carretera cuando se mira desde la extremidad más cercana al CO, ver figura </w:t>
      </w:r>
      <w:r w:rsidR="00DC6B35">
        <w:rPr>
          <w:rFonts w:ascii="ITC Avant Garde" w:hAnsi="ITC Avant Garde"/>
          <w:lang w:val="es-MX"/>
        </w:rPr>
        <w:t>inferior</w:t>
      </w:r>
      <w:r w:rsidRPr="00872052">
        <w:rPr>
          <w:rFonts w:ascii="ITC Avant Garde" w:hAnsi="ITC Avant Garde"/>
          <w:lang w:val="es-MX"/>
        </w:rPr>
        <w:t>). P</w:t>
      </w:r>
      <w:r w:rsidR="006F7C8B">
        <w:rPr>
          <w:rFonts w:ascii="ITC Avant Garde" w:hAnsi="ITC Avant Garde"/>
          <w:lang w:val="es-MX"/>
        </w:rPr>
        <w:t>a</w:t>
      </w:r>
      <w:r w:rsidRPr="00872052">
        <w:rPr>
          <w:rFonts w:ascii="ITC Avant Garde" w:hAnsi="ITC Avant Garde"/>
          <w:lang w:val="es-MX"/>
        </w:rPr>
        <w:t>ra cada dirección se ha determinado:</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La distancia entre la construcción de la dirección y la intersección de calle relevante;</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La cantidad de locales conectados para cada dirección.</w:t>
      </w: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lastRenderedPageBreak/>
        <w:t xml:space="preserve">Figura </w:t>
      </w:r>
      <w:r w:rsidR="00E55E52">
        <w:rPr>
          <w:rFonts w:ascii="ITC Avant Garde" w:hAnsi="ITC Avant Garde"/>
          <w:lang w:val="es-MX"/>
        </w:rPr>
        <w:t>39</w:t>
      </w:r>
      <w:r w:rsidRPr="00872052">
        <w:rPr>
          <w:rFonts w:ascii="ITC Avant Garde" w:hAnsi="ITC Avant Garde"/>
          <w:lang w:val="es-MX"/>
        </w:rPr>
        <w:t xml:space="preserve"> - Posición de una dirección en el lado izquierdo de una sección de carretera</w:t>
      </w:r>
    </w:p>
    <w:p w:rsidR="005B0846" w:rsidRPr="00872052" w:rsidRDefault="005B0846" w:rsidP="005B0846">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7503718F" wp14:editId="20287FCD">
            <wp:extent cx="2348942" cy="1859280"/>
            <wp:effectExtent l="0" t="0" r="0" b="0"/>
            <wp:docPr id="7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66733" cy="1873362"/>
                    </a:xfrm>
                    <a:prstGeom prst="rect">
                      <a:avLst/>
                    </a:prstGeom>
                    <a:noFill/>
                    <a:ln>
                      <a:noFill/>
                    </a:ln>
                  </pic:spPr>
                </pic:pic>
              </a:graphicData>
            </a:graphic>
          </wp:inline>
        </w:drawing>
      </w:r>
    </w:p>
    <w:p w:rsidR="00567F1B" w:rsidRPr="00872052" w:rsidRDefault="00567F1B" w:rsidP="00567F1B">
      <w:pPr>
        <w:rPr>
          <w:rFonts w:ascii="ITC Avant Garde" w:hAnsi="ITC Avant Garde"/>
          <w:lang w:val="es-MX"/>
        </w:rPr>
      </w:pPr>
    </w:p>
    <w:p w:rsidR="00567F1B" w:rsidRPr="00872052" w:rsidRDefault="00567F1B" w:rsidP="00567F1B">
      <w:pPr>
        <w:rPr>
          <w:rFonts w:ascii="ITC Avant Garde" w:hAnsi="ITC Avant Garde"/>
          <w:lang w:val="es-MX"/>
        </w:rPr>
      </w:pPr>
      <w:r w:rsidRPr="00872052">
        <w:rPr>
          <w:rFonts w:ascii="ITC Avant Garde" w:hAnsi="ITC Avant Garde"/>
          <w:lang w:val="es-MX"/>
        </w:rPr>
        <w:t>Un cable dedicado se extiende desde el SDP hasta las instalaciones.</w:t>
      </w:r>
    </w:p>
    <w:p w:rsidR="00567F1B" w:rsidRPr="00872052" w:rsidRDefault="00567F1B" w:rsidP="00567F1B">
      <w:pPr>
        <w:rPr>
          <w:rFonts w:ascii="ITC Avant Garde" w:hAnsi="ITC Avant Garde"/>
          <w:lang w:val="es-MX"/>
        </w:rPr>
      </w:pPr>
      <w:r w:rsidRPr="00872052">
        <w:rPr>
          <w:rFonts w:ascii="ITC Avant Garde" w:hAnsi="ITC Avant Garde"/>
          <w:lang w:val="es-MX"/>
        </w:rPr>
        <w:t xml:space="preserve">El número de pares de cobre desplegados en la </w:t>
      </w:r>
      <w:r w:rsidR="005B0846" w:rsidRPr="00872052">
        <w:rPr>
          <w:rFonts w:ascii="ITC Avant Garde" w:hAnsi="ITC Avant Garde"/>
          <w:lang w:val="es-MX"/>
        </w:rPr>
        <w:t>acometida</w:t>
      </w:r>
      <w:r w:rsidRPr="00872052">
        <w:rPr>
          <w:rFonts w:ascii="ITC Avant Garde" w:hAnsi="ITC Avant Garde"/>
          <w:lang w:val="es-MX"/>
        </w:rPr>
        <w:t xml:space="preserve"> depende de la cantidad de locales. Como se establece en las reglas de diseño provistas por </w:t>
      </w:r>
      <w:r w:rsidR="003B1FBF">
        <w:rPr>
          <w:rFonts w:ascii="ITC Avant Garde" w:hAnsi="ITC Avant Garde"/>
          <w:lang w:val="es-MX"/>
        </w:rPr>
        <w:t>el AEP</w:t>
      </w:r>
      <w:r w:rsidRPr="00872052">
        <w:rPr>
          <w:rFonts w:ascii="ITC Avant Garde" w:hAnsi="ITC Avant Garde"/>
          <w:lang w:val="es-MX"/>
        </w:rPr>
        <w:t>, se instalan 2 pares por local: uno para cada servicio.</w:t>
      </w:r>
    </w:p>
    <w:p w:rsidR="00567F1B" w:rsidRPr="00872052" w:rsidRDefault="00567F1B" w:rsidP="00567F1B">
      <w:pPr>
        <w:rPr>
          <w:rFonts w:ascii="ITC Avant Garde" w:hAnsi="ITC Avant Garde"/>
          <w:lang w:val="es-MX"/>
        </w:rPr>
      </w:pPr>
    </w:p>
    <w:p w:rsidR="00567F1B" w:rsidRPr="00872052" w:rsidRDefault="00567F1B" w:rsidP="00567F1B">
      <w:pPr>
        <w:pStyle w:val="Ttulo4"/>
        <w:rPr>
          <w:rFonts w:ascii="ITC Avant Garde" w:hAnsi="ITC Avant Garde"/>
          <w:lang w:val="es-MX"/>
        </w:rPr>
      </w:pPr>
      <w:bookmarkStart w:id="257" w:name="_Toc525672874"/>
      <w:bookmarkStart w:id="258" w:name="_Toc525665314"/>
      <w:bookmarkStart w:id="259" w:name="_Toc525665693"/>
      <w:bookmarkStart w:id="260" w:name="_Toc526854394"/>
      <w:r w:rsidRPr="00872052">
        <w:rPr>
          <w:rFonts w:ascii="ITC Avant Garde" w:hAnsi="ITC Avant Garde"/>
          <w:lang w:val="es-MX"/>
        </w:rPr>
        <w:t>Parte del SDP: "Red Secundaria"</w:t>
      </w:r>
      <w:bookmarkEnd w:id="257"/>
      <w:bookmarkEnd w:id="258"/>
      <w:bookmarkEnd w:id="259"/>
      <w:bookmarkEnd w:id="260"/>
    </w:p>
    <w:p w:rsidR="005B0846" w:rsidRPr="00872052" w:rsidRDefault="005B0846" w:rsidP="005B0846">
      <w:pPr>
        <w:rPr>
          <w:rFonts w:ascii="ITC Avant Garde" w:hAnsi="ITC Avant Garde"/>
          <w:lang w:val="es-MX"/>
        </w:rPr>
      </w:pPr>
      <w:r w:rsidRPr="00872052">
        <w:rPr>
          <w:rFonts w:ascii="ITC Avant Garde" w:hAnsi="ITC Avant Garde"/>
          <w:lang w:val="es-MX"/>
        </w:rPr>
        <w:t>La parte SDP está compuesta por los puntos de distribución SDP, los cables y las zanjas relacionadas, pozos de registro, y postes entre el SDP y el PDP.</w:t>
      </w:r>
    </w:p>
    <w:p w:rsidR="00567F1B" w:rsidRPr="00872052" w:rsidRDefault="00567F1B" w:rsidP="00567F1B">
      <w:pPr>
        <w:rPr>
          <w:rFonts w:ascii="ITC Avant Garde" w:hAnsi="ITC Avant Garde"/>
          <w:b/>
          <w:lang w:val="es-MX"/>
        </w:rPr>
      </w:pPr>
      <w:r w:rsidRPr="00872052">
        <w:rPr>
          <w:rFonts w:ascii="ITC Avant Garde" w:hAnsi="ITC Avant Garde"/>
          <w:b/>
          <w:lang w:val="es-MX"/>
        </w:rPr>
        <w:t>Ubicación de los SDP</w:t>
      </w: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Los SDP se modelan en </w:t>
      </w:r>
      <w:proofErr w:type="spellStart"/>
      <w:r w:rsidRPr="00872052">
        <w:rPr>
          <w:rFonts w:ascii="ITC Avant Garde" w:hAnsi="ITC Avant Garde"/>
          <w:lang w:val="es-MX"/>
        </w:rPr>
        <w:t>Bottom</w:t>
      </w:r>
      <w:proofErr w:type="spellEnd"/>
      <w:r w:rsidRPr="00872052">
        <w:rPr>
          <w:rFonts w:ascii="ITC Avant Garde" w:hAnsi="ITC Avant Garde"/>
          <w:lang w:val="es-MX"/>
        </w:rPr>
        <w:t xml:space="preserve"> Up (es decir, su ubicación no se basa en los datos de</w:t>
      </w:r>
      <w:r w:rsidR="003B1FBF">
        <w:rPr>
          <w:rFonts w:ascii="ITC Avant Garde" w:hAnsi="ITC Avant Garde"/>
          <w:lang w:val="es-MX"/>
        </w:rPr>
        <w:t>l AEP</w:t>
      </w:r>
      <w:r w:rsidRPr="00872052">
        <w:rPr>
          <w:rFonts w:ascii="ITC Avant Garde" w:hAnsi="ITC Avant Garde"/>
          <w:lang w:val="es-MX"/>
        </w:rPr>
        <w:t>). El proceso de cálculo agrega todos los conjuntos de cables de bajada al PDP.</w:t>
      </w:r>
    </w:p>
    <w:p w:rsidR="00567F1B" w:rsidRPr="00872052" w:rsidRDefault="00567F1B" w:rsidP="00567F1B">
      <w:pPr>
        <w:rPr>
          <w:rFonts w:ascii="ITC Avant Garde" w:hAnsi="ITC Avant Garde"/>
          <w:lang w:val="es-MX"/>
        </w:rPr>
      </w:pPr>
      <w:r w:rsidRPr="00872052">
        <w:rPr>
          <w:rFonts w:ascii="ITC Avant Garde" w:hAnsi="ITC Avant Garde"/>
          <w:lang w:val="es-MX"/>
        </w:rPr>
        <w:t xml:space="preserve">Comenzando más alejado y moviéndose hacia el PDP, en cada ubicación </w:t>
      </w:r>
      <w:r w:rsidR="005B0846" w:rsidRPr="00872052">
        <w:rPr>
          <w:rFonts w:ascii="ITC Avant Garde" w:hAnsi="ITC Avant Garde"/>
          <w:lang w:val="es-MX"/>
        </w:rPr>
        <w:t>de un edificio</w:t>
      </w:r>
      <w:r w:rsidRPr="00872052">
        <w:rPr>
          <w:rFonts w:ascii="ITC Avant Garde" w:hAnsi="ITC Avant Garde"/>
          <w:lang w:val="es-MX"/>
        </w:rPr>
        <w:t xml:space="preserve">, se verifica si el número de locales </w:t>
      </w:r>
      <w:r w:rsidR="005B0846" w:rsidRPr="00872052">
        <w:rPr>
          <w:rFonts w:ascii="ITC Avant Garde" w:hAnsi="ITC Avant Garde"/>
          <w:lang w:val="es-MX"/>
        </w:rPr>
        <w:t>a agregar (es decir</w:t>
      </w:r>
      <w:r w:rsidRPr="00872052">
        <w:rPr>
          <w:rFonts w:ascii="ITC Avant Garde" w:hAnsi="ITC Avant Garde"/>
          <w:lang w:val="es-MX"/>
        </w:rPr>
        <w:t>, que ya no están agregados por un SDP</w:t>
      </w:r>
      <w:r w:rsidR="005B0846" w:rsidRPr="00872052">
        <w:rPr>
          <w:rFonts w:ascii="ITC Avant Garde" w:hAnsi="ITC Avant Garde"/>
          <w:lang w:val="es-MX"/>
        </w:rPr>
        <w:t>),</w:t>
      </w:r>
      <w:r w:rsidRPr="00872052">
        <w:rPr>
          <w:rFonts w:ascii="ITC Avant Garde" w:hAnsi="ITC Avant Garde"/>
          <w:lang w:val="es-MX"/>
        </w:rPr>
        <w:t xml:space="preserve"> es igual o superior a 20. Si este es el caso, se instala un nuevo </w:t>
      </w:r>
      <w:r w:rsidR="00A46493" w:rsidRPr="00872052">
        <w:rPr>
          <w:rFonts w:ascii="ITC Avant Garde" w:hAnsi="ITC Avant Garde"/>
          <w:lang w:val="es-MX"/>
        </w:rPr>
        <w:t>SDP.</w:t>
      </w:r>
    </w:p>
    <w:p w:rsidR="00567F1B" w:rsidRPr="00872052" w:rsidRDefault="00567F1B" w:rsidP="00567F1B">
      <w:pPr>
        <w:rPr>
          <w:rFonts w:ascii="ITC Avant Garde" w:hAnsi="ITC Avant Garde"/>
          <w:b/>
          <w:lang w:val="es-MX"/>
        </w:rPr>
      </w:pPr>
      <w:r w:rsidRPr="00872052">
        <w:rPr>
          <w:rFonts w:ascii="ITC Avant Garde" w:hAnsi="ITC Avant Garde"/>
          <w:b/>
          <w:lang w:val="es-MX"/>
        </w:rPr>
        <w:t>Tamaño de los SDP</w:t>
      </w:r>
    </w:p>
    <w:p w:rsidR="00567F1B" w:rsidRPr="00872052" w:rsidRDefault="00567F1B" w:rsidP="00567F1B">
      <w:pPr>
        <w:rPr>
          <w:rFonts w:ascii="ITC Avant Garde" w:hAnsi="ITC Avant Garde"/>
          <w:lang w:val="es-MX"/>
        </w:rPr>
      </w:pPr>
      <w:r w:rsidRPr="00872052">
        <w:rPr>
          <w:rFonts w:ascii="ITC Avant Garde" w:hAnsi="ITC Avant Garde"/>
          <w:lang w:val="es-MX"/>
        </w:rPr>
        <w:t>En el SDP, se considera que el 110% de los pares entrantes están vinculados al próximo PDP (se considera una capacidad adicional del 10% en la parte SDP (Red Secundaria)). El tamaño del SDP se determina entonces por la suma del número de pares de cobre agregados por este SDP (pares entrantes) y el número de pares salientes.</w:t>
      </w:r>
    </w:p>
    <w:p w:rsidR="00567F1B" w:rsidRPr="00872052" w:rsidRDefault="00567F1B" w:rsidP="00567F1B">
      <w:pPr>
        <w:rPr>
          <w:rFonts w:ascii="ITC Avant Garde" w:hAnsi="ITC Avant Garde"/>
          <w:b/>
          <w:lang w:val="es-MX"/>
        </w:rPr>
      </w:pPr>
      <w:r w:rsidRPr="00872052">
        <w:rPr>
          <w:rFonts w:ascii="ITC Avant Garde" w:hAnsi="ITC Avant Garde"/>
          <w:b/>
          <w:lang w:val="es-MX"/>
        </w:rPr>
        <w:t>Cables SDP</w:t>
      </w:r>
    </w:p>
    <w:p w:rsidR="00567F1B" w:rsidRDefault="00567F1B" w:rsidP="00567F1B">
      <w:pPr>
        <w:rPr>
          <w:rFonts w:ascii="ITC Avant Garde" w:hAnsi="ITC Avant Garde"/>
          <w:lang w:val="es-MX"/>
        </w:rPr>
      </w:pPr>
      <w:r w:rsidRPr="00872052">
        <w:rPr>
          <w:rFonts w:ascii="ITC Avant Garde" w:hAnsi="ITC Avant Garde"/>
          <w:lang w:val="es-MX"/>
        </w:rPr>
        <w:t>Para una sección determinada, se considera que la longitud requerida para el cable SDP (cable que conecta los SDP a los PDP) es:</w:t>
      </w:r>
    </w:p>
    <w:p w:rsidR="0061735A" w:rsidRPr="00872052" w:rsidRDefault="0061735A" w:rsidP="00567F1B">
      <w:pPr>
        <w:rPr>
          <w:rFonts w:ascii="ITC Avant Garde" w:hAnsi="ITC Avant Garde"/>
          <w:lang w:val="es-MX"/>
        </w:rPr>
      </w:pP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lastRenderedPageBreak/>
        <w:t>La longitud de la sección si algunos cables SDP ya han sido agregados en secciones anteriores;</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la longitud desde el último SDP de la sección hasta el nodo más cercano al CO si la sección de la carretera es una "última sección" de la red (ver figuras a continuación).</w:t>
      </w: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t xml:space="preserve"> Figura </w:t>
      </w:r>
      <w:r w:rsidR="00E55E52">
        <w:rPr>
          <w:rFonts w:ascii="ITC Avant Garde" w:hAnsi="ITC Avant Garde"/>
          <w:lang w:val="es-MX"/>
        </w:rPr>
        <w:t>40</w:t>
      </w:r>
      <w:r w:rsidRPr="00872052">
        <w:rPr>
          <w:rFonts w:ascii="ITC Avant Garde" w:hAnsi="ITC Avant Garde"/>
          <w:lang w:val="es-MX"/>
        </w:rPr>
        <w:t xml:space="preserve"> - Distancia utilizada para SDP</w:t>
      </w:r>
    </w:p>
    <w:p w:rsidR="005B0846" w:rsidRPr="00872052" w:rsidRDefault="005B0846" w:rsidP="005B0846">
      <w:pPr>
        <w:rPr>
          <w:rFonts w:ascii="ITC Avant Garde" w:hAnsi="ITC Avant Garde"/>
          <w:lang w:val="es-MX"/>
        </w:rPr>
      </w:pPr>
      <w:r w:rsidRPr="00872052">
        <w:rPr>
          <w:rFonts w:ascii="ITC Avant Garde" w:hAnsi="ITC Avant Garde"/>
          <w:noProof/>
          <w:lang w:val="es-MX" w:eastAsia="es-MX"/>
        </w:rPr>
        <w:drawing>
          <wp:inline distT="0" distB="0" distL="0" distR="0" wp14:anchorId="4CBB90E5" wp14:editId="52B28E96">
            <wp:extent cx="5399405" cy="1794311"/>
            <wp:effectExtent l="0" t="0" r="0" b="0"/>
            <wp:docPr id="74"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9405" cy="1794311"/>
                    </a:xfrm>
                    <a:prstGeom prst="rect">
                      <a:avLst/>
                    </a:prstGeom>
                    <a:noFill/>
                  </pic:spPr>
                </pic:pic>
              </a:graphicData>
            </a:graphic>
          </wp:inline>
        </w:drawing>
      </w:r>
    </w:p>
    <w:p w:rsidR="005B0846" w:rsidRPr="00872052" w:rsidRDefault="005B0846" w:rsidP="005B0846">
      <w:pPr>
        <w:rPr>
          <w:rFonts w:ascii="ITC Avant Garde" w:hAnsi="ITC Avant Garde"/>
          <w:lang w:val="es-MX"/>
        </w:rPr>
      </w:pP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t xml:space="preserve"> Figura </w:t>
      </w:r>
      <w:r w:rsidR="00E55E52">
        <w:rPr>
          <w:rFonts w:ascii="ITC Avant Garde" w:hAnsi="ITC Avant Garde"/>
          <w:lang w:val="es-MX"/>
        </w:rPr>
        <w:t>41</w:t>
      </w:r>
      <w:r w:rsidRPr="00872052">
        <w:rPr>
          <w:rFonts w:ascii="ITC Avant Garde" w:hAnsi="ITC Avant Garde"/>
          <w:lang w:val="es-MX"/>
        </w:rPr>
        <w:t xml:space="preserve"> - "Última sección"</w:t>
      </w:r>
    </w:p>
    <w:p w:rsidR="005B0846" w:rsidRPr="00872052" w:rsidRDefault="005B0846" w:rsidP="005B0846">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2714F1D3" wp14:editId="698E039E">
            <wp:extent cx="4657725" cy="2651760"/>
            <wp:effectExtent l="0" t="0" r="9525" b="0"/>
            <wp:docPr id="75"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57725" cy="2651760"/>
                    </a:xfrm>
                    <a:prstGeom prst="rect">
                      <a:avLst/>
                    </a:prstGeom>
                    <a:noFill/>
                  </pic:spPr>
                </pic:pic>
              </a:graphicData>
            </a:graphic>
          </wp:inline>
        </w:drawing>
      </w:r>
    </w:p>
    <w:p w:rsidR="005B0846" w:rsidRPr="00872052" w:rsidRDefault="005B0846" w:rsidP="005B0846">
      <w:pPr>
        <w:rPr>
          <w:rFonts w:ascii="ITC Avant Garde" w:hAnsi="ITC Avant Garde"/>
          <w:lang w:val="es-MX"/>
        </w:rPr>
      </w:pPr>
    </w:p>
    <w:p w:rsidR="005B0846" w:rsidRPr="00872052" w:rsidRDefault="005B0846" w:rsidP="005B0846">
      <w:pPr>
        <w:rPr>
          <w:rFonts w:ascii="ITC Avant Garde" w:hAnsi="ITC Avant Garde"/>
          <w:lang w:val="es-MX"/>
        </w:rPr>
      </w:pPr>
      <w:r w:rsidRPr="00872052">
        <w:rPr>
          <w:rFonts w:ascii="ITC Avant Garde" w:hAnsi="ITC Avant Garde"/>
          <w:lang w:val="es-MX"/>
        </w:rPr>
        <w:t>El tamaño del cable utilizado es la suma de todos los cables SDP entrantes en la secci</w:t>
      </w:r>
      <w:r w:rsidR="006F7C8B">
        <w:rPr>
          <w:rFonts w:ascii="ITC Avant Garde" w:hAnsi="ITC Avant Garde"/>
          <w:lang w:val="es-MX"/>
        </w:rPr>
        <w:t>ó</w:t>
      </w:r>
      <w:r w:rsidRPr="00872052">
        <w:rPr>
          <w:rFonts w:ascii="ITC Avant Garde" w:hAnsi="ITC Avant Garde"/>
          <w:lang w:val="es-MX"/>
        </w:rPr>
        <w:t>n más la suma del tamaño de todos los SDP de la sección.</w:t>
      </w:r>
    </w:p>
    <w:p w:rsidR="00567F1B" w:rsidRPr="00872052" w:rsidRDefault="00567F1B" w:rsidP="00567F1B">
      <w:pPr>
        <w:rPr>
          <w:rFonts w:ascii="ITC Avant Garde" w:hAnsi="ITC Avant Garde"/>
          <w:lang w:val="es-MX"/>
        </w:rPr>
      </w:pPr>
      <w:r w:rsidRPr="00872052">
        <w:rPr>
          <w:rFonts w:ascii="ITC Avant Garde" w:hAnsi="ITC Avant Garde"/>
          <w:lang w:val="es-MX"/>
        </w:rPr>
        <w:t xml:space="preserve">La elección del cable es el más pequeño </w:t>
      </w:r>
      <w:r w:rsidR="005B0846" w:rsidRPr="00872052">
        <w:rPr>
          <w:rFonts w:ascii="ITC Avant Garde" w:hAnsi="ITC Avant Garde"/>
          <w:lang w:val="es-MX"/>
        </w:rPr>
        <w:t>disponible con un</w:t>
      </w:r>
      <w:r w:rsidRPr="00872052">
        <w:rPr>
          <w:rFonts w:ascii="ITC Avant Garde" w:hAnsi="ITC Avant Garde"/>
          <w:lang w:val="es-MX"/>
        </w:rPr>
        <w:t xml:space="preserve"> tamaño mayor que el número requerido de pares de cobre. Si el tamaño requerido es más grande que el cable más grande, el tipo de cable utilizado es el cable más grande multiplicado por el redondeo del tamaño requerido dividido por el tamaño del cable.</w:t>
      </w:r>
    </w:p>
    <w:p w:rsidR="00567F1B" w:rsidRPr="00872052" w:rsidRDefault="00567F1B" w:rsidP="00567F1B">
      <w:pPr>
        <w:pStyle w:val="Ttulo4"/>
        <w:rPr>
          <w:rFonts w:ascii="ITC Avant Garde" w:hAnsi="ITC Avant Garde"/>
          <w:lang w:val="es-MX"/>
        </w:rPr>
      </w:pPr>
      <w:bookmarkStart w:id="261" w:name="_Toc525672875"/>
      <w:bookmarkStart w:id="262" w:name="_Toc525665315"/>
      <w:bookmarkStart w:id="263" w:name="_Toc525665694"/>
      <w:bookmarkStart w:id="264" w:name="_Toc526854395"/>
      <w:r w:rsidRPr="00872052">
        <w:rPr>
          <w:rFonts w:ascii="ITC Avant Garde" w:hAnsi="ITC Avant Garde"/>
          <w:lang w:val="es-MX"/>
        </w:rPr>
        <w:lastRenderedPageBreak/>
        <w:t>parte PDP: "Red Primaria"</w:t>
      </w:r>
      <w:bookmarkEnd w:id="261"/>
      <w:bookmarkEnd w:id="262"/>
      <w:bookmarkEnd w:id="263"/>
      <w:bookmarkEnd w:id="264"/>
    </w:p>
    <w:p w:rsidR="005B0846" w:rsidRPr="00872052" w:rsidRDefault="00567F1B" w:rsidP="005B0846">
      <w:pPr>
        <w:rPr>
          <w:rFonts w:ascii="ITC Avant Garde" w:hAnsi="ITC Avant Garde"/>
          <w:lang w:val="es-MX"/>
        </w:rPr>
      </w:pPr>
      <w:r w:rsidRPr="00872052">
        <w:rPr>
          <w:rFonts w:ascii="ITC Avant Garde" w:hAnsi="ITC Avant Garde"/>
          <w:lang w:val="es-MX"/>
        </w:rPr>
        <w:t xml:space="preserve">La </w:t>
      </w:r>
      <w:r w:rsidR="005B0846" w:rsidRPr="00872052">
        <w:rPr>
          <w:rFonts w:ascii="ITC Avant Garde" w:hAnsi="ITC Avant Garde"/>
          <w:lang w:val="es-MX"/>
        </w:rPr>
        <w:t>red primaria</w:t>
      </w:r>
      <w:r w:rsidRPr="00872052">
        <w:rPr>
          <w:rFonts w:ascii="ITC Avant Garde" w:hAnsi="ITC Avant Garde"/>
          <w:lang w:val="es-MX"/>
        </w:rPr>
        <w:t xml:space="preserve"> se compone de </w:t>
      </w:r>
      <w:r w:rsidR="005B0846" w:rsidRPr="00872052">
        <w:rPr>
          <w:rFonts w:ascii="ITC Avant Garde" w:hAnsi="ITC Avant Garde"/>
          <w:lang w:val="es-MX"/>
        </w:rPr>
        <w:t>PDP,</w:t>
      </w:r>
      <w:r w:rsidRPr="00872052">
        <w:rPr>
          <w:rFonts w:ascii="ITC Avant Garde" w:hAnsi="ITC Avant Garde"/>
          <w:lang w:val="es-MX"/>
        </w:rPr>
        <w:t xml:space="preserve"> cables y </w:t>
      </w:r>
      <w:r w:rsidR="00751425">
        <w:rPr>
          <w:rFonts w:ascii="ITC Avant Garde" w:hAnsi="ITC Avant Garde"/>
          <w:lang w:val="es-MX"/>
        </w:rPr>
        <w:t>zanjas</w:t>
      </w:r>
      <w:r w:rsidR="00751425" w:rsidRPr="00872052">
        <w:rPr>
          <w:rFonts w:ascii="ITC Avant Garde" w:hAnsi="ITC Avant Garde"/>
          <w:lang w:val="es-MX"/>
        </w:rPr>
        <w:t xml:space="preserve"> </w:t>
      </w:r>
      <w:r w:rsidRPr="00872052">
        <w:rPr>
          <w:rFonts w:ascii="ITC Avant Garde" w:hAnsi="ITC Avant Garde"/>
          <w:lang w:val="es-MX"/>
        </w:rPr>
        <w:t xml:space="preserve">relacionadas entre el PDP y </w:t>
      </w:r>
      <w:r w:rsidR="005B0846" w:rsidRPr="00872052">
        <w:rPr>
          <w:rFonts w:ascii="ITC Avant Garde" w:hAnsi="ITC Avant Garde"/>
          <w:lang w:val="es-MX"/>
        </w:rPr>
        <w:t>el CO.</w:t>
      </w:r>
    </w:p>
    <w:p w:rsidR="00567F1B" w:rsidRPr="00872052" w:rsidRDefault="00567F1B" w:rsidP="00567F1B">
      <w:pPr>
        <w:rPr>
          <w:rFonts w:ascii="ITC Avant Garde" w:hAnsi="ITC Avant Garde"/>
          <w:b/>
          <w:lang w:val="es-MX"/>
        </w:rPr>
      </w:pPr>
      <w:r w:rsidRPr="00872052">
        <w:rPr>
          <w:rFonts w:ascii="ITC Avant Garde" w:hAnsi="ITC Avant Garde"/>
          <w:b/>
          <w:lang w:val="es-MX"/>
        </w:rPr>
        <w:t>Ubicación de los PDP</w:t>
      </w:r>
    </w:p>
    <w:p w:rsidR="00567F1B" w:rsidRPr="00872052" w:rsidRDefault="00567F1B" w:rsidP="00567F1B">
      <w:pPr>
        <w:rPr>
          <w:rFonts w:ascii="ITC Avant Garde" w:hAnsi="ITC Avant Garde"/>
          <w:lang w:val="es-MX"/>
        </w:rPr>
      </w:pPr>
      <w:r w:rsidRPr="00872052">
        <w:rPr>
          <w:rFonts w:ascii="ITC Avant Garde" w:hAnsi="ITC Avant Garde"/>
          <w:lang w:val="es-MX"/>
        </w:rPr>
        <w:t xml:space="preserve">Las ubicaciones de PDP han sido provistas por </w:t>
      </w:r>
      <w:r w:rsidR="003B1FBF">
        <w:rPr>
          <w:rFonts w:ascii="ITC Avant Garde" w:hAnsi="ITC Avant Garde"/>
          <w:lang w:val="es-MX"/>
        </w:rPr>
        <w:t>el AEP</w:t>
      </w:r>
      <w:r w:rsidRPr="00872052">
        <w:rPr>
          <w:rFonts w:ascii="ITC Avant Garde" w:hAnsi="ITC Avant Garde"/>
          <w:lang w:val="es-MX"/>
        </w:rPr>
        <w:t>. Se han localizado en secciones de la red. En caso de que muchos PDP estén presentes en una misma sección, se ha considerado que solo había un PDP presente y el otro se modeló como SDP si fuera necesario siguiendo las reglas de dimensionamiento del SDP.</w:t>
      </w:r>
    </w:p>
    <w:p w:rsidR="00567F1B" w:rsidRPr="00872052" w:rsidRDefault="00567F1B" w:rsidP="00567F1B">
      <w:pPr>
        <w:rPr>
          <w:rFonts w:ascii="ITC Avant Garde" w:hAnsi="ITC Avant Garde"/>
          <w:b/>
          <w:lang w:val="es-MX"/>
        </w:rPr>
      </w:pPr>
      <w:r w:rsidRPr="00872052">
        <w:rPr>
          <w:rFonts w:ascii="ITC Avant Garde" w:hAnsi="ITC Avant Garde"/>
          <w:b/>
          <w:lang w:val="es-MX"/>
        </w:rPr>
        <w:t>Tamaño de los PDP</w:t>
      </w:r>
    </w:p>
    <w:p w:rsidR="005B0846" w:rsidRPr="00872052" w:rsidRDefault="005B0846" w:rsidP="005B0846">
      <w:pPr>
        <w:rPr>
          <w:rFonts w:ascii="ITC Avant Garde" w:hAnsi="ITC Avant Garde"/>
          <w:lang w:val="es-MX"/>
        </w:rPr>
      </w:pPr>
      <w:r w:rsidRPr="00872052">
        <w:rPr>
          <w:rFonts w:ascii="ITC Avant Garde" w:hAnsi="ITC Avant Garde"/>
          <w:lang w:val="es-MX"/>
        </w:rPr>
        <w:t>En el PDP, se considera que el 110% de los pares entrantes están vinculados al CO (se considera una capacidad adicional del 10% en la Red Primaria). El número de pares es por lo tanto el número de premisas agregadas por el PDP x 2 (pares de cobre por local) x 110% (pares seguidos por el SDP) para los pares entrantes, y el mismo número multiplicado por 110% para los pares salientes al CO.</w:t>
      </w:r>
    </w:p>
    <w:p w:rsidR="00567F1B" w:rsidRPr="00872052" w:rsidRDefault="00567F1B" w:rsidP="00567F1B">
      <w:pPr>
        <w:rPr>
          <w:rFonts w:ascii="ITC Avant Garde" w:hAnsi="ITC Avant Garde"/>
          <w:lang w:val="es-MX"/>
        </w:rPr>
      </w:pPr>
      <w:r w:rsidRPr="00872052">
        <w:rPr>
          <w:rFonts w:ascii="ITC Avant Garde" w:hAnsi="ITC Avant Garde"/>
          <w:lang w:val="es-MX"/>
        </w:rPr>
        <w:t>El tamaño del PDP se determina entonces por la suma del número de pares de cobre agregados por este PDP provenientes de los SDP y el número de pares salientes.</w:t>
      </w:r>
    </w:p>
    <w:p w:rsidR="00567F1B" w:rsidRPr="00872052" w:rsidRDefault="00567F1B" w:rsidP="00567F1B">
      <w:pPr>
        <w:rPr>
          <w:rFonts w:ascii="ITC Avant Garde" w:hAnsi="ITC Avant Garde"/>
          <w:b/>
          <w:lang w:val="es-MX"/>
        </w:rPr>
      </w:pPr>
      <w:r w:rsidRPr="00872052">
        <w:rPr>
          <w:rFonts w:ascii="ITC Avant Garde" w:hAnsi="ITC Avant Garde"/>
          <w:b/>
          <w:lang w:val="es-MX"/>
        </w:rPr>
        <w:t>Cables PDP</w:t>
      </w:r>
    </w:p>
    <w:p w:rsidR="00567F1B" w:rsidRPr="00872052" w:rsidRDefault="00567F1B" w:rsidP="00567F1B">
      <w:pPr>
        <w:rPr>
          <w:rFonts w:ascii="ITC Avant Garde" w:hAnsi="ITC Avant Garde"/>
          <w:lang w:val="es-MX"/>
        </w:rPr>
      </w:pPr>
      <w:r w:rsidRPr="00872052">
        <w:rPr>
          <w:rFonts w:ascii="ITC Avant Garde" w:hAnsi="ITC Avant Garde"/>
          <w:lang w:val="es-MX"/>
        </w:rPr>
        <w:t>Para una sección determinada, se considera que la longitud requerida para el cable PDP (cable que conecta los PDP a las oficinas centrales) es la longitud de la sección.</w:t>
      </w:r>
    </w:p>
    <w:p w:rsidR="00567F1B" w:rsidRPr="00872052" w:rsidRDefault="00567F1B" w:rsidP="00567F1B">
      <w:pPr>
        <w:rPr>
          <w:rFonts w:ascii="ITC Avant Garde" w:hAnsi="ITC Avant Garde"/>
          <w:lang w:val="es-MX"/>
        </w:rPr>
      </w:pPr>
      <w:r w:rsidRPr="00872052">
        <w:rPr>
          <w:rFonts w:ascii="ITC Avant Garde" w:hAnsi="ITC Avant Garde"/>
          <w:lang w:val="es-MX"/>
        </w:rPr>
        <w:t>El tamaño del cable utilizado es la suma de todos los pares de cobre PDP que transitan en la sección.</w:t>
      </w:r>
    </w:p>
    <w:p w:rsidR="00567F1B" w:rsidRPr="00872052" w:rsidRDefault="00567F1B" w:rsidP="00567F1B">
      <w:pPr>
        <w:rPr>
          <w:rFonts w:ascii="ITC Avant Garde" w:hAnsi="ITC Avant Garde"/>
          <w:lang w:val="es-MX"/>
        </w:rPr>
      </w:pPr>
      <w:r w:rsidRPr="00872052">
        <w:rPr>
          <w:rFonts w:ascii="ITC Avant Garde" w:hAnsi="ITC Avant Garde"/>
          <w:lang w:val="es-MX"/>
        </w:rPr>
        <w:t>La elección del cable es el más pequeño para el cual el tamaño es más alto que el número requerido de cable de cobre. Si el tamaño requerido es más grande que el cable más grande, el tipo de cable utilizado es el cable más grande multiplicado por el redondeo del tamaño requerido dividido por el tamaño del cable.</w:t>
      </w:r>
    </w:p>
    <w:p w:rsidR="005B0846" w:rsidRPr="00872052" w:rsidRDefault="005B0846" w:rsidP="005B0846">
      <w:pPr>
        <w:rPr>
          <w:rFonts w:ascii="ITC Avant Garde" w:hAnsi="ITC Avant Garde"/>
          <w:b/>
          <w:lang w:val="es-MX"/>
        </w:rPr>
      </w:pPr>
      <w:r w:rsidRPr="00872052">
        <w:rPr>
          <w:rFonts w:ascii="ITC Avant Garde" w:hAnsi="ITC Avant Garde"/>
          <w:b/>
          <w:lang w:val="es-MX"/>
        </w:rPr>
        <w:t>Cierres de empalme PDP</w:t>
      </w:r>
    </w:p>
    <w:p w:rsidR="005B0846" w:rsidRPr="00872052" w:rsidRDefault="005B0846" w:rsidP="005B0846">
      <w:pPr>
        <w:rPr>
          <w:rFonts w:ascii="ITC Avant Garde" w:hAnsi="ITC Avant Garde"/>
          <w:lang w:val="es-MX"/>
        </w:rPr>
      </w:pPr>
      <w:r w:rsidRPr="00872052">
        <w:rPr>
          <w:rFonts w:ascii="ITC Avant Garde" w:hAnsi="ITC Avant Garde"/>
          <w:lang w:val="es-MX"/>
        </w:rPr>
        <w:t>Se instala un cierre en cada sección si la longitud de la sección es superior a 70 metros. El tamaño del cierre corresponde al tamaño del cable PDP.</w:t>
      </w:r>
    </w:p>
    <w:p w:rsidR="005B0846" w:rsidRPr="00872052" w:rsidRDefault="005B0846" w:rsidP="005B0846">
      <w:pPr>
        <w:rPr>
          <w:rFonts w:ascii="ITC Avant Garde" w:hAnsi="ITC Avant Garde"/>
          <w:lang w:val="es-MX"/>
        </w:rPr>
      </w:pPr>
    </w:p>
    <w:p w:rsidR="005B0846" w:rsidRPr="00872052" w:rsidRDefault="005B0846" w:rsidP="005B0846">
      <w:pPr>
        <w:pStyle w:val="Ttulo4"/>
        <w:rPr>
          <w:rFonts w:ascii="ITC Avant Garde" w:hAnsi="ITC Avant Garde"/>
          <w:lang w:val="es-MX"/>
        </w:rPr>
      </w:pPr>
      <w:bookmarkStart w:id="265" w:name="_Toc525672876"/>
      <w:bookmarkStart w:id="266" w:name="_Toc525665316"/>
      <w:bookmarkStart w:id="267" w:name="_Toc525665695"/>
      <w:bookmarkStart w:id="268" w:name="_Toc526854396"/>
      <w:r w:rsidRPr="00872052">
        <w:rPr>
          <w:rFonts w:ascii="ITC Avant Garde" w:hAnsi="ITC Avant Garde"/>
          <w:lang w:val="es-MX"/>
        </w:rPr>
        <w:t>Zanjas / "canalizaciones"</w:t>
      </w:r>
      <w:bookmarkEnd w:id="265"/>
      <w:bookmarkEnd w:id="266"/>
      <w:bookmarkEnd w:id="267"/>
      <w:bookmarkEnd w:id="268"/>
    </w:p>
    <w:p w:rsidR="005B0846" w:rsidRPr="00872052" w:rsidRDefault="005B0846" w:rsidP="005B0846">
      <w:pPr>
        <w:rPr>
          <w:rFonts w:ascii="ITC Avant Garde" w:hAnsi="ITC Avant Garde"/>
          <w:lang w:val="es-MX"/>
        </w:rPr>
      </w:pPr>
      <w:r w:rsidRPr="00872052">
        <w:rPr>
          <w:rFonts w:ascii="ITC Avant Garde" w:hAnsi="ITC Avant Garde"/>
          <w:lang w:val="es-MX"/>
        </w:rPr>
        <w:t xml:space="preserve">Las </w:t>
      </w:r>
      <w:r w:rsidR="00751425">
        <w:rPr>
          <w:rFonts w:ascii="ITC Avant Garde" w:hAnsi="ITC Avant Garde"/>
          <w:lang w:val="es-MX"/>
        </w:rPr>
        <w:t>zanja</w:t>
      </w:r>
      <w:r w:rsidR="00751425" w:rsidRPr="00872052">
        <w:rPr>
          <w:rFonts w:ascii="ITC Avant Garde" w:hAnsi="ITC Avant Garde"/>
          <w:lang w:val="es-MX"/>
        </w:rPr>
        <w:t xml:space="preserve">s </w:t>
      </w:r>
      <w:r w:rsidRPr="00872052">
        <w:rPr>
          <w:rFonts w:ascii="ITC Avant Garde" w:hAnsi="ITC Avant Garde"/>
          <w:lang w:val="es-MX"/>
        </w:rPr>
        <w:t>que siguen la red de carreteras se dividen en dos partes, la parte principal y la segunda. Una sección de camino puede tener varias configuraciones:</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(1) Acometidas solo en un lado de la carretera;</w:t>
      </w:r>
    </w:p>
    <w:p w:rsidR="005B0846" w:rsidRDefault="005B0846" w:rsidP="005B0846">
      <w:pPr>
        <w:pStyle w:val="Listaconvietas2"/>
        <w:rPr>
          <w:rFonts w:ascii="ITC Avant Garde" w:hAnsi="ITC Avant Garde"/>
          <w:lang w:val="es-MX"/>
        </w:rPr>
      </w:pPr>
      <w:r w:rsidRPr="00872052">
        <w:rPr>
          <w:rFonts w:ascii="ITC Avant Garde" w:hAnsi="ITC Avant Garde"/>
          <w:lang w:val="es-MX"/>
        </w:rPr>
        <w:t>(2) Acometidas en ambos lados de la carretera, pero con solo unos pocos en el segundo lado; o</w:t>
      </w:r>
    </w:p>
    <w:p w:rsidR="0061735A" w:rsidRPr="00872052" w:rsidRDefault="0061735A" w:rsidP="0061735A">
      <w:pPr>
        <w:pStyle w:val="Listaconvietas2"/>
        <w:numPr>
          <w:ilvl w:val="0"/>
          <w:numId w:val="0"/>
        </w:numPr>
        <w:ind w:left="643"/>
        <w:rPr>
          <w:rFonts w:ascii="ITC Avant Garde" w:hAnsi="ITC Avant Garde"/>
          <w:lang w:val="es-MX"/>
        </w:rPr>
      </w:pP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lastRenderedPageBreak/>
        <w:t>(3) Acometidas a ambos lados de la carretera.</w:t>
      </w:r>
    </w:p>
    <w:p w:rsidR="005B0846" w:rsidRPr="00872052" w:rsidRDefault="005B0846" w:rsidP="005B0846">
      <w:pPr>
        <w:rPr>
          <w:rFonts w:ascii="ITC Avant Garde" w:hAnsi="ITC Avant Garde"/>
          <w:lang w:val="es-MX"/>
        </w:rPr>
      </w:pPr>
    </w:p>
    <w:p w:rsidR="00567F1B" w:rsidRPr="00872052" w:rsidRDefault="00567F1B" w:rsidP="00567F1B">
      <w:pPr>
        <w:rPr>
          <w:rFonts w:ascii="ITC Avant Garde" w:hAnsi="ITC Avant Garde"/>
          <w:lang w:val="es-MX"/>
        </w:rPr>
      </w:pPr>
      <w:r w:rsidRPr="00872052">
        <w:rPr>
          <w:rFonts w:ascii="ITC Avant Garde" w:hAnsi="ITC Avant Garde"/>
          <w:lang w:val="es-MX"/>
        </w:rPr>
        <w:t xml:space="preserve">El lado principal de la carretera para una sección de carretera se determina como el lado donde la longitud entre </w:t>
      </w:r>
      <w:r w:rsidR="005B0846" w:rsidRPr="00872052">
        <w:rPr>
          <w:rFonts w:ascii="ITC Avant Garde" w:hAnsi="ITC Avant Garde"/>
          <w:lang w:val="es-MX"/>
        </w:rPr>
        <w:t>la primera</w:t>
      </w:r>
      <w:r w:rsidRPr="00872052">
        <w:rPr>
          <w:rFonts w:ascii="ITC Avant Garde" w:hAnsi="ITC Avant Garde"/>
          <w:lang w:val="es-MX"/>
        </w:rPr>
        <w:t xml:space="preserve"> y </w:t>
      </w:r>
      <w:r w:rsidR="005B0846" w:rsidRPr="00872052">
        <w:rPr>
          <w:rFonts w:ascii="ITC Avant Garde" w:hAnsi="ITC Avant Garde"/>
          <w:lang w:val="es-MX"/>
        </w:rPr>
        <w:t xml:space="preserve">la </w:t>
      </w:r>
      <w:r w:rsidR="006F7C8B">
        <w:rPr>
          <w:rFonts w:ascii="ITC Avant Garde" w:hAnsi="ITC Avant Garde"/>
          <w:lang w:val="es-MX"/>
        </w:rPr>
        <w:t>ú</w:t>
      </w:r>
      <w:r w:rsidR="005B0846" w:rsidRPr="00872052">
        <w:rPr>
          <w:rFonts w:ascii="ITC Avant Garde" w:hAnsi="ITC Avant Garde"/>
          <w:lang w:val="es-MX"/>
        </w:rPr>
        <w:t>ltima acometida</w:t>
      </w:r>
      <w:r w:rsidRPr="00872052">
        <w:rPr>
          <w:rFonts w:ascii="ITC Avant Garde" w:hAnsi="ITC Avant Garde"/>
          <w:lang w:val="es-MX"/>
        </w:rPr>
        <w:t xml:space="preserve"> es la más larga. El segundo lado es el otro.</w:t>
      </w:r>
    </w:p>
    <w:p w:rsidR="00567F1B" w:rsidRDefault="00567F1B" w:rsidP="00567F1B">
      <w:pPr>
        <w:rPr>
          <w:rFonts w:ascii="ITC Avant Garde" w:hAnsi="ITC Avant Garde"/>
          <w:lang w:val="es-MX"/>
        </w:rPr>
      </w:pPr>
      <w:r w:rsidRPr="00872052">
        <w:rPr>
          <w:rFonts w:ascii="ITC Avant Garde" w:hAnsi="ITC Avant Garde"/>
          <w:lang w:val="es-MX"/>
        </w:rPr>
        <w:t>Para determinar el cableado necesario para el segundo lado, el modelo determina si es más eficiente cavar todo el segundo lado y luego cruzar la carretera una vez (caso 3), o si es más eficiente cruzar la calle para cada caída cable (caso 2).</w:t>
      </w:r>
    </w:p>
    <w:p w:rsidR="0061735A" w:rsidRPr="00872052" w:rsidRDefault="0061735A" w:rsidP="00567F1B">
      <w:pPr>
        <w:rPr>
          <w:rFonts w:ascii="ITC Avant Garde" w:hAnsi="ITC Avant Garde"/>
          <w:lang w:val="es-MX"/>
        </w:rPr>
      </w:pPr>
    </w:p>
    <w:p w:rsidR="00567F1B" w:rsidRPr="00872052" w:rsidRDefault="00567F1B" w:rsidP="00567F1B">
      <w:pPr>
        <w:rPr>
          <w:rFonts w:ascii="ITC Avant Garde" w:hAnsi="ITC Avant Garde"/>
          <w:lang w:val="es-MX"/>
        </w:rPr>
      </w:pPr>
      <w:r w:rsidRPr="00872052">
        <w:rPr>
          <w:rFonts w:ascii="ITC Avant Garde" w:hAnsi="ITC Avant Garde"/>
          <w:lang w:val="es-MX"/>
        </w:rPr>
        <w:t xml:space="preserve">La longitud del segundo lado </w:t>
      </w:r>
      <w:r w:rsidR="00A46493" w:rsidRPr="00872052">
        <w:rPr>
          <w:rFonts w:ascii="ITC Avant Garde" w:hAnsi="ITC Avant Garde"/>
          <w:lang w:val="es-MX"/>
        </w:rPr>
        <w:t>es,</w:t>
      </w:r>
      <w:r w:rsidRPr="00872052">
        <w:rPr>
          <w:rFonts w:ascii="ITC Avant Garde" w:hAnsi="ITC Avant Garde"/>
          <w:lang w:val="es-MX"/>
        </w:rPr>
        <w:t xml:space="preserve"> por lo tanto:</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 xml:space="preserve">En el caso 2, el ancho de la carretera se multiplica por la cantidad de cables de acometida; </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En el caso 3, la longitud entre el primer y el ultimo cable de acometida más el ancho de la carretera.</w:t>
      </w:r>
    </w:p>
    <w:p w:rsidR="0061735A" w:rsidRDefault="0061735A" w:rsidP="00567F1B">
      <w:pPr>
        <w:rPr>
          <w:rFonts w:ascii="ITC Avant Garde" w:hAnsi="ITC Avant Garde"/>
          <w:lang w:val="es-MX"/>
        </w:rPr>
      </w:pPr>
    </w:p>
    <w:p w:rsidR="00567F1B" w:rsidRPr="00872052" w:rsidRDefault="00567F1B" w:rsidP="00567F1B">
      <w:pPr>
        <w:rPr>
          <w:rFonts w:ascii="ITC Avant Garde" w:hAnsi="ITC Avant Garde"/>
          <w:lang w:val="es-MX"/>
        </w:rPr>
      </w:pPr>
      <w:r w:rsidRPr="00872052">
        <w:rPr>
          <w:rFonts w:ascii="ITC Avant Garde" w:hAnsi="ITC Avant Garde"/>
          <w:lang w:val="es-MX"/>
        </w:rPr>
        <w:t>La longitud del lado principal se establece como:</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La longitud entre el último cable de acometida y el nodo de la sección de carretera más cercana a la CO si la sección es una sección de borde de la red;</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La longitud de la sección si no es una sección de borde o si la sección es cruzada por un cable SDP o PDP.</w:t>
      </w:r>
    </w:p>
    <w:p w:rsidR="005B0846" w:rsidRPr="00872052" w:rsidRDefault="005B0846" w:rsidP="005B0846">
      <w:pPr>
        <w:rPr>
          <w:rFonts w:ascii="ITC Avant Garde" w:hAnsi="ITC Avant Garde"/>
          <w:lang w:val="es-MX"/>
        </w:rPr>
      </w:pPr>
    </w:p>
    <w:p w:rsidR="00567F1B" w:rsidRPr="00872052" w:rsidRDefault="00567F1B" w:rsidP="00567F1B">
      <w:pPr>
        <w:rPr>
          <w:rFonts w:ascii="ITC Avant Garde" w:hAnsi="ITC Avant Garde"/>
          <w:lang w:val="es-MX"/>
        </w:rPr>
      </w:pPr>
      <w:r w:rsidRPr="00872052">
        <w:rPr>
          <w:rFonts w:ascii="ITC Avant Garde" w:hAnsi="ITC Avant Garde"/>
          <w:lang w:val="es-MX"/>
        </w:rPr>
        <w:t xml:space="preserve">Las zanjas no se modelan por separado de los conductos; se consideran juntos como un conjunto de </w:t>
      </w:r>
      <w:r w:rsidR="00751425">
        <w:rPr>
          <w:rFonts w:ascii="ITC Avant Garde" w:hAnsi="ITC Avant Garde"/>
          <w:lang w:val="es-MX"/>
        </w:rPr>
        <w:t>zanja</w:t>
      </w:r>
      <w:r w:rsidR="00751425" w:rsidRPr="00872052">
        <w:rPr>
          <w:rFonts w:ascii="ITC Avant Garde" w:hAnsi="ITC Avant Garde"/>
          <w:lang w:val="es-MX"/>
        </w:rPr>
        <w:t xml:space="preserve">s </w:t>
      </w:r>
      <w:r w:rsidRPr="00872052">
        <w:rPr>
          <w:rFonts w:ascii="ITC Avant Garde" w:hAnsi="ITC Avant Garde"/>
          <w:lang w:val="es-MX"/>
        </w:rPr>
        <w:t>+ conductos llamados "canalizaciones". Hay 10 tipos de canalizaciones</w:t>
      </w:r>
      <w:r w:rsidR="005B0846" w:rsidRPr="00872052">
        <w:rPr>
          <w:rFonts w:ascii="ITC Avant Garde" w:hAnsi="ITC Avant Garde"/>
          <w:lang w:val="es-MX"/>
        </w:rPr>
        <w:t>:</w:t>
      </w:r>
      <w:r w:rsidRPr="00872052">
        <w:rPr>
          <w:rFonts w:ascii="ITC Avant Garde" w:hAnsi="ITC Avant Garde"/>
          <w:lang w:val="es-MX"/>
        </w:rPr>
        <w:t xml:space="preserve"> cada una es diferente de la otra dependiendo de su capacidad en cantidad de conductos.</w:t>
      </w:r>
    </w:p>
    <w:p w:rsidR="0061735A" w:rsidRDefault="0061735A" w:rsidP="00567F1B">
      <w:pPr>
        <w:rPr>
          <w:rFonts w:ascii="ITC Avant Garde" w:hAnsi="ITC Avant Garde"/>
          <w:lang w:val="es-MX"/>
        </w:rPr>
      </w:pPr>
    </w:p>
    <w:p w:rsidR="00567F1B" w:rsidRPr="00872052" w:rsidRDefault="00567F1B" w:rsidP="00567F1B">
      <w:pPr>
        <w:rPr>
          <w:rFonts w:ascii="ITC Avant Garde" w:hAnsi="ITC Avant Garde"/>
          <w:lang w:val="es-MX"/>
        </w:rPr>
      </w:pPr>
      <w:r w:rsidRPr="00872052">
        <w:rPr>
          <w:rFonts w:ascii="ITC Avant Garde" w:hAnsi="ITC Avant Garde"/>
          <w:lang w:val="es-MX"/>
        </w:rPr>
        <w:t>Se consideran dos tipos de canalizaciones dependiendo del tipo de suelo:</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"En Banqueta": usado a lo largo de las carreteras;</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"Arroyo con Tráfico Pesado": utilizado al cruzar carreteras, este tipo de canalizaciones deberían ser más resistentes al paso de automóviles y vehículos.</w:t>
      </w:r>
    </w:p>
    <w:p w:rsidR="0061735A" w:rsidRDefault="0061735A" w:rsidP="005B0846">
      <w:pPr>
        <w:rPr>
          <w:rFonts w:ascii="ITC Avant Garde" w:hAnsi="ITC Avant Garde"/>
          <w:lang w:val="es-MX"/>
        </w:rPr>
      </w:pPr>
    </w:p>
    <w:p w:rsidR="005B0846" w:rsidRDefault="005B0846" w:rsidP="005B0846">
      <w:pPr>
        <w:rPr>
          <w:rFonts w:ascii="ITC Avant Garde" w:hAnsi="ITC Avant Garde"/>
          <w:lang w:val="es-MX"/>
        </w:rPr>
      </w:pPr>
      <w:r w:rsidRPr="00872052">
        <w:rPr>
          <w:rFonts w:ascii="ITC Avant Garde" w:hAnsi="ITC Avant Garde"/>
          <w:lang w:val="es-MX"/>
        </w:rPr>
        <w:t>Para cada suelo, se despliegan 10 tipos de canalizaciones.</w:t>
      </w:r>
    </w:p>
    <w:p w:rsidR="0061735A" w:rsidRPr="00872052" w:rsidRDefault="0061735A" w:rsidP="005B0846">
      <w:pPr>
        <w:rPr>
          <w:rFonts w:ascii="ITC Avant Garde" w:hAnsi="ITC Avant Garde"/>
          <w:lang w:val="es-MX"/>
        </w:rPr>
      </w:pPr>
    </w:p>
    <w:p w:rsidR="005B0846" w:rsidRPr="00872052" w:rsidRDefault="00E55E52" w:rsidP="005B0846">
      <w:pPr>
        <w:pStyle w:val="Descripcin"/>
        <w:keepNext/>
        <w:rPr>
          <w:rFonts w:ascii="ITC Avant Garde" w:hAnsi="ITC Avant Garde"/>
          <w:lang w:val="es-MX"/>
        </w:rPr>
      </w:pPr>
      <w:r>
        <w:rPr>
          <w:rFonts w:ascii="ITC Avant Garde" w:hAnsi="ITC Avant Garde"/>
          <w:lang w:val="es-MX"/>
        </w:rPr>
        <w:lastRenderedPageBreak/>
        <w:t>Cuadro 13</w:t>
      </w:r>
      <w:r w:rsidR="005B0846" w:rsidRPr="00872052">
        <w:rPr>
          <w:rFonts w:ascii="ITC Avant Garde" w:hAnsi="ITC Avant Garde"/>
          <w:lang w:val="es-MX"/>
        </w:rPr>
        <w:t xml:space="preserve"> - Tipos de "Canalizaciones" utilizados en el modelo</w:t>
      </w:r>
    </w:p>
    <w:tbl>
      <w:tblPr>
        <w:tblW w:w="5780" w:type="dxa"/>
        <w:tblInd w:w="1094" w:type="dxa"/>
        <w:tblCellMar>
          <w:left w:w="70" w:type="dxa"/>
          <w:right w:w="70" w:type="dxa"/>
        </w:tblCellMar>
        <w:tblLook w:val="04A0" w:firstRow="1" w:lastRow="0" w:firstColumn="1" w:lastColumn="0" w:noHBand="0" w:noVBand="1"/>
      </w:tblPr>
      <w:tblGrid>
        <w:gridCol w:w="1240"/>
        <w:gridCol w:w="4540"/>
      </w:tblGrid>
      <w:tr w:rsidR="005B0846" w:rsidRPr="004B276B" w:rsidTr="005B0846">
        <w:trPr>
          <w:trHeight w:val="300"/>
        </w:trPr>
        <w:tc>
          <w:tcPr>
            <w:tcW w:w="1240" w:type="dxa"/>
            <w:tcBorders>
              <w:top w:val="single" w:sz="8" w:space="0" w:color="auto"/>
              <w:left w:val="single" w:sz="8" w:space="0" w:color="auto"/>
              <w:bottom w:val="single" w:sz="8" w:space="0" w:color="auto"/>
              <w:right w:val="single" w:sz="8" w:space="0" w:color="auto"/>
            </w:tcBorders>
            <w:shd w:val="clear" w:color="000000" w:fill="A6A6A6"/>
            <w:vAlign w:val="center"/>
            <w:hideMark/>
          </w:tcPr>
          <w:p w:rsidR="005B0846" w:rsidRPr="00872052" w:rsidRDefault="005B0846" w:rsidP="005B0846">
            <w:pPr>
              <w:spacing w:before="0" w:line="240" w:lineRule="auto"/>
              <w:jc w:val="center"/>
              <w:rPr>
                <w:rFonts w:ascii="ITC Avant Garde" w:hAnsi="ITC Avant Garde" w:cs="Arial"/>
                <w:b/>
                <w:color w:val="FFFFFF"/>
                <w:szCs w:val="22"/>
                <w:lang w:val="es-MX"/>
              </w:rPr>
            </w:pPr>
            <w:r w:rsidRPr="00872052">
              <w:rPr>
                <w:rFonts w:ascii="ITC Avant Garde" w:hAnsi="ITC Avant Garde" w:cs="Arial"/>
                <w:b/>
                <w:color w:val="FFFFFF"/>
                <w:szCs w:val="22"/>
                <w:lang w:val="es-MX"/>
              </w:rPr>
              <w:t>Tipo</w:t>
            </w:r>
          </w:p>
        </w:tc>
        <w:tc>
          <w:tcPr>
            <w:tcW w:w="4540" w:type="dxa"/>
            <w:tcBorders>
              <w:top w:val="single" w:sz="8" w:space="0" w:color="auto"/>
              <w:left w:val="nil"/>
              <w:bottom w:val="single" w:sz="8" w:space="0" w:color="auto"/>
              <w:right w:val="single" w:sz="8" w:space="0" w:color="auto"/>
            </w:tcBorders>
            <w:shd w:val="clear" w:color="000000" w:fill="A6A6A6"/>
            <w:vAlign w:val="center"/>
            <w:hideMark/>
          </w:tcPr>
          <w:p w:rsidR="005B0846" w:rsidRPr="00872052" w:rsidRDefault="005B0846" w:rsidP="005B0846">
            <w:pPr>
              <w:spacing w:before="0" w:line="240" w:lineRule="auto"/>
              <w:jc w:val="center"/>
              <w:rPr>
                <w:rFonts w:ascii="ITC Avant Garde" w:hAnsi="ITC Avant Garde" w:cs="Arial"/>
                <w:b/>
                <w:color w:val="FFFFFF"/>
                <w:szCs w:val="22"/>
                <w:lang w:val="es-MX"/>
              </w:rPr>
            </w:pPr>
            <w:r w:rsidRPr="00872052">
              <w:rPr>
                <w:rFonts w:ascii="ITC Avant Garde" w:hAnsi="ITC Avant Garde" w:cs="Arial"/>
                <w:b/>
                <w:color w:val="FFFFFF"/>
                <w:szCs w:val="22"/>
                <w:lang w:val="es-MX"/>
              </w:rPr>
              <w:t>Tamaño</w:t>
            </w:r>
          </w:p>
        </w:tc>
      </w:tr>
      <w:tr w:rsidR="005B0846" w:rsidRPr="004B276B" w:rsidTr="005B0846">
        <w:trPr>
          <w:trHeight w:val="300"/>
        </w:trPr>
        <w:tc>
          <w:tcPr>
            <w:tcW w:w="1240" w:type="dxa"/>
            <w:tcBorders>
              <w:top w:val="nil"/>
              <w:left w:val="single" w:sz="8" w:space="0" w:color="auto"/>
              <w:bottom w:val="nil"/>
              <w:right w:val="single" w:sz="8" w:space="0" w:color="auto"/>
            </w:tcBorders>
            <w:shd w:val="clear" w:color="auto" w:fill="auto"/>
            <w:vAlign w:val="center"/>
            <w:hideMark/>
          </w:tcPr>
          <w:p w:rsidR="005B0846" w:rsidRPr="00872052" w:rsidRDefault="005B0846" w:rsidP="005B0846">
            <w:pPr>
              <w:spacing w:before="0" w:line="240" w:lineRule="auto"/>
              <w:jc w:val="center"/>
              <w:rPr>
                <w:rFonts w:ascii="ITC Avant Garde" w:hAnsi="ITC Avant Garde" w:cs="Arial"/>
                <w:color w:val="000000"/>
                <w:szCs w:val="22"/>
                <w:lang w:val="es-MX"/>
              </w:rPr>
            </w:pPr>
            <w:r w:rsidRPr="00872052">
              <w:rPr>
                <w:rFonts w:ascii="ITC Avant Garde" w:hAnsi="ITC Avant Garde" w:cs="Arial"/>
                <w:color w:val="000000"/>
                <w:szCs w:val="22"/>
                <w:lang w:val="es-MX"/>
              </w:rPr>
              <w:t>2H4</w:t>
            </w:r>
          </w:p>
        </w:tc>
        <w:tc>
          <w:tcPr>
            <w:tcW w:w="4540" w:type="dxa"/>
            <w:tcBorders>
              <w:top w:val="nil"/>
              <w:left w:val="nil"/>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center"/>
              <w:rPr>
                <w:rFonts w:ascii="ITC Avant Garde" w:hAnsi="ITC Avant Garde" w:cs="Arial"/>
                <w:color w:val="000000"/>
                <w:szCs w:val="22"/>
                <w:lang w:val="es-MX"/>
              </w:rPr>
            </w:pPr>
            <w:r w:rsidRPr="00872052">
              <w:rPr>
                <w:rFonts w:ascii="ITC Avant Garde" w:hAnsi="ITC Avant Garde" w:cs="Arial"/>
                <w:color w:val="000000"/>
                <w:szCs w:val="22"/>
                <w:lang w:val="es-MX"/>
              </w:rPr>
              <w:t xml:space="preserve">2 </w:t>
            </w:r>
            <w:r w:rsidR="00E6765C">
              <w:rPr>
                <w:rFonts w:ascii="ITC Avant Garde" w:hAnsi="ITC Avant Garde" w:cs="Arial"/>
                <w:color w:val="000000"/>
                <w:szCs w:val="22"/>
                <w:lang w:val="es-MX"/>
              </w:rPr>
              <w:t>ductos de</w:t>
            </w:r>
            <w:r w:rsidRPr="00872052">
              <w:rPr>
                <w:rFonts w:ascii="ITC Avant Garde" w:hAnsi="ITC Avant Garde" w:cs="Arial"/>
                <w:color w:val="000000"/>
                <w:szCs w:val="22"/>
                <w:lang w:val="es-MX"/>
              </w:rPr>
              <w:t xml:space="preserve"> 45mm</w:t>
            </w:r>
          </w:p>
        </w:tc>
      </w:tr>
      <w:tr w:rsidR="005B0846" w:rsidRPr="004B276B" w:rsidTr="005B0846">
        <w:trPr>
          <w:trHeight w:val="300"/>
        </w:trPr>
        <w:tc>
          <w:tcPr>
            <w:tcW w:w="12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center"/>
              <w:rPr>
                <w:rFonts w:ascii="ITC Avant Garde" w:hAnsi="ITC Avant Garde" w:cs="Arial"/>
                <w:color w:val="000000"/>
                <w:szCs w:val="22"/>
                <w:lang w:val="es-MX"/>
              </w:rPr>
            </w:pPr>
            <w:r w:rsidRPr="00872052">
              <w:rPr>
                <w:rFonts w:ascii="ITC Avant Garde" w:hAnsi="ITC Avant Garde" w:cs="Arial"/>
                <w:color w:val="000000"/>
                <w:szCs w:val="22"/>
                <w:lang w:val="es-MX"/>
              </w:rPr>
              <w:t>3H4</w:t>
            </w:r>
          </w:p>
        </w:tc>
        <w:tc>
          <w:tcPr>
            <w:tcW w:w="4540" w:type="dxa"/>
            <w:tcBorders>
              <w:top w:val="nil"/>
              <w:left w:val="nil"/>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center"/>
              <w:rPr>
                <w:rFonts w:ascii="ITC Avant Garde" w:hAnsi="ITC Avant Garde" w:cs="Arial"/>
                <w:color w:val="000000"/>
                <w:szCs w:val="22"/>
                <w:lang w:val="es-MX"/>
              </w:rPr>
            </w:pPr>
            <w:r w:rsidRPr="00872052">
              <w:rPr>
                <w:rFonts w:ascii="ITC Avant Garde" w:hAnsi="ITC Avant Garde" w:cs="Arial"/>
                <w:color w:val="000000"/>
                <w:szCs w:val="22"/>
                <w:lang w:val="es-MX"/>
              </w:rPr>
              <w:t xml:space="preserve">3 </w:t>
            </w:r>
            <w:r w:rsidR="00E6765C">
              <w:rPr>
                <w:rFonts w:ascii="ITC Avant Garde" w:hAnsi="ITC Avant Garde" w:cs="Arial"/>
                <w:color w:val="000000"/>
                <w:szCs w:val="22"/>
                <w:lang w:val="es-MX"/>
              </w:rPr>
              <w:t>ductos de</w:t>
            </w:r>
            <w:r w:rsidRPr="00872052">
              <w:rPr>
                <w:rFonts w:ascii="ITC Avant Garde" w:hAnsi="ITC Avant Garde" w:cs="Arial"/>
                <w:color w:val="000000"/>
                <w:szCs w:val="22"/>
                <w:lang w:val="es-MX"/>
              </w:rPr>
              <w:t xml:space="preserve"> 45mm</w:t>
            </w:r>
          </w:p>
        </w:tc>
      </w:tr>
      <w:tr w:rsidR="005B0846" w:rsidRPr="004B276B" w:rsidTr="005B0846">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center"/>
              <w:rPr>
                <w:rFonts w:ascii="ITC Avant Garde" w:hAnsi="ITC Avant Garde" w:cs="Arial"/>
                <w:color w:val="000000"/>
                <w:szCs w:val="22"/>
                <w:lang w:val="es-MX"/>
              </w:rPr>
            </w:pPr>
            <w:r w:rsidRPr="00872052">
              <w:rPr>
                <w:rFonts w:ascii="ITC Avant Garde" w:hAnsi="ITC Avant Garde" w:cs="Arial"/>
                <w:color w:val="000000"/>
                <w:szCs w:val="22"/>
                <w:lang w:val="es-MX"/>
              </w:rPr>
              <w:t>5H4</w:t>
            </w:r>
          </w:p>
        </w:tc>
        <w:tc>
          <w:tcPr>
            <w:tcW w:w="4540" w:type="dxa"/>
            <w:tcBorders>
              <w:top w:val="nil"/>
              <w:left w:val="nil"/>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center"/>
              <w:rPr>
                <w:rFonts w:ascii="ITC Avant Garde" w:hAnsi="ITC Avant Garde" w:cs="Arial"/>
                <w:color w:val="000000"/>
                <w:szCs w:val="22"/>
                <w:lang w:val="es-MX"/>
              </w:rPr>
            </w:pPr>
            <w:r w:rsidRPr="00872052">
              <w:rPr>
                <w:rFonts w:ascii="ITC Avant Garde" w:hAnsi="ITC Avant Garde" w:cs="Arial"/>
                <w:color w:val="000000"/>
                <w:szCs w:val="22"/>
                <w:lang w:val="es-MX"/>
              </w:rPr>
              <w:t xml:space="preserve">5 </w:t>
            </w:r>
            <w:r w:rsidR="00E6765C">
              <w:rPr>
                <w:rFonts w:ascii="ITC Avant Garde" w:hAnsi="ITC Avant Garde" w:cs="Arial"/>
                <w:color w:val="000000"/>
                <w:szCs w:val="22"/>
                <w:lang w:val="es-MX"/>
              </w:rPr>
              <w:t>ductos de</w:t>
            </w:r>
            <w:r w:rsidRPr="00872052">
              <w:rPr>
                <w:rFonts w:ascii="ITC Avant Garde" w:hAnsi="ITC Avant Garde" w:cs="Arial"/>
                <w:color w:val="000000"/>
                <w:szCs w:val="22"/>
                <w:lang w:val="es-MX"/>
              </w:rPr>
              <w:t xml:space="preserve"> 45mm</w:t>
            </w:r>
          </w:p>
        </w:tc>
      </w:tr>
      <w:tr w:rsidR="005B0846" w:rsidRPr="004B276B" w:rsidTr="005B0846">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center"/>
              <w:rPr>
                <w:rFonts w:ascii="ITC Avant Garde" w:hAnsi="ITC Avant Garde" w:cs="Arial"/>
                <w:color w:val="000000"/>
                <w:szCs w:val="22"/>
                <w:lang w:val="es-MX"/>
              </w:rPr>
            </w:pPr>
            <w:r w:rsidRPr="00872052">
              <w:rPr>
                <w:rFonts w:ascii="ITC Avant Garde" w:hAnsi="ITC Avant Garde" w:cs="Arial"/>
                <w:color w:val="000000"/>
                <w:szCs w:val="22"/>
                <w:lang w:val="es-MX"/>
              </w:rPr>
              <w:t>7H4</w:t>
            </w:r>
          </w:p>
        </w:tc>
        <w:tc>
          <w:tcPr>
            <w:tcW w:w="4540" w:type="dxa"/>
            <w:tcBorders>
              <w:top w:val="nil"/>
              <w:left w:val="nil"/>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center"/>
              <w:rPr>
                <w:rFonts w:ascii="ITC Avant Garde" w:hAnsi="ITC Avant Garde" w:cs="Arial"/>
                <w:color w:val="000000"/>
                <w:szCs w:val="22"/>
                <w:lang w:val="es-MX"/>
              </w:rPr>
            </w:pPr>
            <w:r w:rsidRPr="00872052">
              <w:rPr>
                <w:rFonts w:ascii="ITC Avant Garde" w:hAnsi="ITC Avant Garde" w:cs="Arial"/>
                <w:color w:val="000000"/>
                <w:szCs w:val="22"/>
                <w:lang w:val="es-MX"/>
              </w:rPr>
              <w:t xml:space="preserve">7 </w:t>
            </w:r>
            <w:r w:rsidR="00E6765C">
              <w:rPr>
                <w:rFonts w:ascii="ITC Avant Garde" w:hAnsi="ITC Avant Garde" w:cs="Arial"/>
                <w:color w:val="000000"/>
                <w:szCs w:val="22"/>
                <w:lang w:val="es-MX"/>
              </w:rPr>
              <w:t>ductos de</w:t>
            </w:r>
            <w:r w:rsidRPr="00872052">
              <w:rPr>
                <w:rFonts w:ascii="ITC Avant Garde" w:hAnsi="ITC Avant Garde" w:cs="Arial"/>
                <w:color w:val="000000"/>
                <w:szCs w:val="22"/>
                <w:lang w:val="es-MX"/>
              </w:rPr>
              <w:t xml:space="preserve"> 45mm</w:t>
            </w:r>
          </w:p>
        </w:tc>
      </w:tr>
      <w:tr w:rsidR="005B0846" w:rsidRPr="004B276B" w:rsidTr="005B0846">
        <w:trPr>
          <w:trHeight w:val="300"/>
        </w:trPr>
        <w:tc>
          <w:tcPr>
            <w:tcW w:w="1240" w:type="dxa"/>
            <w:tcBorders>
              <w:top w:val="nil"/>
              <w:left w:val="single" w:sz="8" w:space="0" w:color="auto"/>
              <w:bottom w:val="nil"/>
              <w:right w:val="single" w:sz="8" w:space="0" w:color="auto"/>
            </w:tcBorders>
            <w:shd w:val="clear" w:color="auto" w:fill="auto"/>
            <w:vAlign w:val="center"/>
            <w:hideMark/>
          </w:tcPr>
          <w:p w:rsidR="005B0846" w:rsidRPr="00872052" w:rsidRDefault="005B0846" w:rsidP="005B0846">
            <w:pPr>
              <w:spacing w:before="0" w:line="240" w:lineRule="auto"/>
              <w:jc w:val="center"/>
              <w:rPr>
                <w:rFonts w:ascii="ITC Avant Garde" w:hAnsi="ITC Avant Garde" w:cs="Arial"/>
                <w:color w:val="000000"/>
                <w:szCs w:val="22"/>
                <w:lang w:val="es-MX"/>
              </w:rPr>
            </w:pPr>
            <w:r w:rsidRPr="00872052">
              <w:rPr>
                <w:rFonts w:ascii="ITC Avant Garde" w:hAnsi="ITC Avant Garde" w:cs="Arial"/>
                <w:color w:val="000000"/>
                <w:szCs w:val="22"/>
                <w:lang w:val="es-MX"/>
              </w:rPr>
              <w:t>15H4</w:t>
            </w:r>
          </w:p>
        </w:tc>
        <w:tc>
          <w:tcPr>
            <w:tcW w:w="4540" w:type="dxa"/>
            <w:tcBorders>
              <w:top w:val="nil"/>
              <w:left w:val="nil"/>
              <w:bottom w:val="single" w:sz="8" w:space="0" w:color="auto"/>
              <w:right w:val="single" w:sz="8" w:space="0" w:color="auto"/>
            </w:tcBorders>
            <w:shd w:val="clear" w:color="auto" w:fill="auto"/>
            <w:vAlign w:val="center"/>
            <w:hideMark/>
          </w:tcPr>
          <w:p w:rsidR="005B0846" w:rsidRPr="00872052" w:rsidRDefault="00E6765C" w:rsidP="005B0846">
            <w:pPr>
              <w:spacing w:before="0" w:line="240" w:lineRule="auto"/>
              <w:jc w:val="center"/>
              <w:rPr>
                <w:rFonts w:ascii="ITC Avant Garde" w:hAnsi="ITC Avant Garde" w:cs="Arial"/>
                <w:color w:val="000000"/>
                <w:szCs w:val="22"/>
                <w:lang w:val="es-MX"/>
              </w:rPr>
            </w:pPr>
            <w:r>
              <w:rPr>
                <w:rFonts w:ascii="ITC Avant Garde" w:hAnsi="ITC Avant Garde" w:cs="Arial"/>
                <w:color w:val="000000"/>
                <w:szCs w:val="22"/>
                <w:lang w:val="es-MX"/>
              </w:rPr>
              <w:t>ductos de</w:t>
            </w:r>
          </w:p>
        </w:tc>
      </w:tr>
      <w:tr w:rsidR="005B0846" w:rsidRPr="00F906F3" w:rsidTr="005B0846">
        <w:trPr>
          <w:trHeight w:val="300"/>
        </w:trPr>
        <w:tc>
          <w:tcPr>
            <w:tcW w:w="12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center"/>
              <w:rPr>
                <w:rFonts w:ascii="ITC Avant Garde" w:hAnsi="ITC Avant Garde" w:cs="Arial"/>
                <w:color w:val="000000"/>
                <w:szCs w:val="22"/>
                <w:lang w:val="es-MX"/>
              </w:rPr>
            </w:pPr>
            <w:r w:rsidRPr="00872052">
              <w:rPr>
                <w:rFonts w:ascii="ITC Avant Garde" w:hAnsi="ITC Avant Garde" w:cs="Arial"/>
                <w:color w:val="000000"/>
                <w:szCs w:val="22"/>
                <w:lang w:val="es-MX"/>
              </w:rPr>
              <w:t>2H6</w:t>
            </w:r>
          </w:p>
        </w:tc>
        <w:tc>
          <w:tcPr>
            <w:tcW w:w="4540" w:type="dxa"/>
            <w:tcBorders>
              <w:top w:val="nil"/>
              <w:left w:val="nil"/>
              <w:bottom w:val="single" w:sz="8" w:space="0" w:color="auto"/>
              <w:right w:val="single" w:sz="8" w:space="0" w:color="auto"/>
            </w:tcBorders>
            <w:shd w:val="clear" w:color="auto" w:fill="auto"/>
            <w:vAlign w:val="center"/>
            <w:hideMark/>
          </w:tcPr>
          <w:p w:rsidR="005B0846" w:rsidRPr="00875403" w:rsidRDefault="005B0846" w:rsidP="005B0846">
            <w:pPr>
              <w:spacing w:before="0" w:line="240" w:lineRule="auto"/>
              <w:jc w:val="center"/>
              <w:rPr>
                <w:rFonts w:ascii="ITC Avant Garde" w:hAnsi="ITC Avant Garde" w:cs="Arial"/>
                <w:color w:val="000000"/>
                <w:szCs w:val="22"/>
                <w:lang w:val="es-MX"/>
              </w:rPr>
            </w:pPr>
            <w:r w:rsidRPr="00875403">
              <w:rPr>
                <w:rFonts w:ascii="ITC Avant Garde" w:hAnsi="ITC Avant Garde" w:cs="Arial"/>
                <w:color w:val="000000"/>
                <w:szCs w:val="22"/>
                <w:lang w:val="es-MX"/>
              </w:rPr>
              <w:t xml:space="preserve">2 </w:t>
            </w:r>
            <w:r w:rsidR="00E6765C">
              <w:rPr>
                <w:rFonts w:ascii="ITC Avant Garde" w:hAnsi="ITC Avant Garde" w:cs="Arial"/>
                <w:color w:val="000000"/>
                <w:szCs w:val="22"/>
                <w:lang w:val="es-MX"/>
              </w:rPr>
              <w:t>ductos de</w:t>
            </w:r>
            <w:r w:rsidRPr="00875403">
              <w:rPr>
                <w:rFonts w:ascii="ITC Avant Garde" w:hAnsi="ITC Avant Garde" w:cs="Arial"/>
                <w:color w:val="000000"/>
                <w:szCs w:val="22"/>
                <w:lang w:val="es-MX"/>
              </w:rPr>
              <w:t xml:space="preserve">60mm + 2 </w:t>
            </w:r>
            <w:r w:rsidR="00E6765C">
              <w:rPr>
                <w:rFonts w:ascii="ITC Avant Garde" w:hAnsi="ITC Avant Garde" w:cs="Arial"/>
                <w:color w:val="000000"/>
                <w:szCs w:val="22"/>
                <w:lang w:val="es-MX"/>
              </w:rPr>
              <w:t>ductos de</w:t>
            </w:r>
            <w:r w:rsidR="00E6765C" w:rsidRPr="00875403">
              <w:rPr>
                <w:rFonts w:ascii="ITC Avant Garde" w:hAnsi="ITC Avant Garde" w:cs="Arial"/>
                <w:color w:val="000000"/>
                <w:szCs w:val="22"/>
                <w:lang w:val="es-MX"/>
              </w:rPr>
              <w:t xml:space="preserve"> </w:t>
            </w:r>
            <w:r w:rsidRPr="00875403">
              <w:rPr>
                <w:rFonts w:ascii="ITC Avant Garde" w:hAnsi="ITC Avant Garde" w:cs="Arial"/>
                <w:color w:val="000000"/>
                <w:szCs w:val="22"/>
                <w:lang w:val="es-MX"/>
              </w:rPr>
              <w:t>45mm</w:t>
            </w:r>
          </w:p>
        </w:tc>
      </w:tr>
      <w:tr w:rsidR="005B0846" w:rsidRPr="00F906F3" w:rsidTr="005B0846">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center"/>
              <w:rPr>
                <w:rFonts w:ascii="ITC Avant Garde" w:hAnsi="ITC Avant Garde" w:cs="Arial"/>
                <w:color w:val="000000"/>
                <w:szCs w:val="22"/>
                <w:lang w:val="es-MX"/>
              </w:rPr>
            </w:pPr>
            <w:r w:rsidRPr="00872052">
              <w:rPr>
                <w:rFonts w:ascii="ITC Avant Garde" w:hAnsi="ITC Avant Garde" w:cs="Arial"/>
                <w:color w:val="000000"/>
                <w:szCs w:val="22"/>
                <w:lang w:val="es-MX"/>
              </w:rPr>
              <w:t>3H6</w:t>
            </w:r>
          </w:p>
        </w:tc>
        <w:tc>
          <w:tcPr>
            <w:tcW w:w="4540" w:type="dxa"/>
            <w:tcBorders>
              <w:top w:val="nil"/>
              <w:left w:val="nil"/>
              <w:bottom w:val="single" w:sz="8" w:space="0" w:color="auto"/>
              <w:right w:val="single" w:sz="8" w:space="0" w:color="auto"/>
            </w:tcBorders>
            <w:shd w:val="clear" w:color="auto" w:fill="auto"/>
            <w:vAlign w:val="center"/>
            <w:hideMark/>
          </w:tcPr>
          <w:p w:rsidR="005B0846" w:rsidRPr="00875403" w:rsidRDefault="005B0846" w:rsidP="005B0846">
            <w:pPr>
              <w:spacing w:before="0" w:line="240" w:lineRule="auto"/>
              <w:jc w:val="center"/>
              <w:rPr>
                <w:rFonts w:ascii="ITC Avant Garde" w:hAnsi="ITC Avant Garde" w:cs="Arial"/>
                <w:color w:val="000000"/>
                <w:szCs w:val="22"/>
                <w:lang w:val="es-MX"/>
              </w:rPr>
            </w:pPr>
            <w:r w:rsidRPr="00875403">
              <w:rPr>
                <w:rFonts w:ascii="ITC Avant Garde" w:hAnsi="ITC Avant Garde" w:cs="Arial"/>
                <w:color w:val="000000"/>
                <w:szCs w:val="22"/>
                <w:lang w:val="es-MX"/>
              </w:rPr>
              <w:t xml:space="preserve">3 </w:t>
            </w:r>
            <w:r w:rsidR="00E6765C">
              <w:rPr>
                <w:rFonts w:ascii="ITC Avant Garde" w:hAnsi="ITC Avant Garde" w:cs="Arial"/>
                <w:color w:val="000000"/>
                <w:szCs w:val="22"/>
                <w:lang w:val="es-MX"/>
              </w:rPr>
              <w:t>ductos de</w:t>
            </w:r>
            <w:r w:rsidR="00E6765C" w:rsidRPr="00875403">
              <w:rPr>
                <w:rFonts w:ascii="ITC Avant Garde" w:hAnsi="ITC Avant Garde" w:cs="Arial"/>
                <w:color w:val="000000"/>
                <w:szCs w:val="22"/>
                <w:lang w:val="es-MX"/>
              </w:rPr>
              <w:t xml:space="preserve"> </w:t>
            </w:r>
            <w:r w:rsidRPr="00875403">
              <w:rPr>
                <w:rFonts w:ascii="ITC Avant Garde" w:hAnsi="ITC Avant Garde" w:cs="Arial"/>
                <w:color w:val="000000"/>
                <w:szCs w:val="22"/>
                <w:lang w:val="es-MX"/>
              </w:rPr>
              <w:t xml:space="preserve">60mm + 4 </w:t>
            </w:r>
            <w:r w:rsidR="00E6765C">
              <w:rPr>
                <w:rFonts w:ascii="ITC Avant Garde" w:hAnsi="ITC Avant Garde" w:cs="Arial"/>
                <w:color w:val="000000"/>
                <w:szCs w:val="22"/>
                <w:lang w:val="es-MX"/>
              </w:rPr>
              <w:t>ductos de</w:t>
            </w:r>
            <w:r w:rsidRPr="00875403">
              <w:rPr>
                <w:rFonts w:ascii="ITC Avant Garde" w:hAnsi="ITC Avant Garde" w:cs="Arial"/>
                <w:color w:val="000000"/>
                <w:szCs w:val="22"/>
                <w:lang w:val="es-MX"/>
              </w:rPr>
              <w:t xml:space="preserve"> 45mm</w:t>
            </w:r>
          </w:p>
        </w:tc>
      </w:tr>
      <w:tr w:rsidR="005B0846" w:rsidRPr="00F906F3" w:rsidTr="005B0846">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center"/>
              <w:rPr>
                <w:rFonts w:ascii="ITC Avant Garde" w:hAnsi="ITC Avant Garde" w:cs="Arial"/>
                <w:color w:val="000000"/>
                <w:szCs w:val="22"/>
                <w:lang w:val="es-MX"/>
              </w:rPr>
            </w:pPr>
            <w:r w:rsidRPr="00872052">
              <w:rPr>
                <w:rFonts w:ascii="ITC Avant Garde" w:hAnsi="ITC Avant Garde" w:cs="Arial"/>
                <w:color w:val="000000"/>
                <w:szCs w:val="22"/>
                <w:lang w:val="es-MX"/>
              </w:rPr>
              <w:t>4H6</w:t>
            </w:r>
          </w:p>
        </w:tc>
        <w:tc>
          <w:tcPr>
            <w:tcW w:w="4540" w:type="dxa"/>
            <w:tcBorders>
              <w:top w:val="nil"/>
              <w:left w:val="nil"/>
              <w:bottom w:val="single" w:sz="8" w:space="0" w:color="auto"/>
              <w:right w:val="single" w:sz="8" w:space="0" w:color="auto"/>
            </w:tcBorders>
            <w:shd w:val="clear" w:color="auto" w:fill="auto"/>
            <w:vAlign w:val="center"/>
            <w:hideMark/>
          </w:tcPr>
          <w:p w:rsidR="005B0846" w:rsidRPr="00875403" w:rsidRDefault="005B0846" w:rsidP="005B0846">
            <w:pPr>
              <w:spacing w:before="0" w:line="240" w:lineRule="auto"/>
              <w:jc w:val="center"/>
              <w:rPr>
                <w:rFonts w:ascii="ITC Avant Garde" w:hAnsi="ITC Avant Garde" w:cs="Arial"/>
                <w:color w:val="000000"/>
                <w:szCs w:val="22"/>
                <w:lang w:val="es-MX"/>
              </w:rPr>
            </w:pPr>
            <w:r w:rsidRPr="00875403">
              <w:rPr>
                <w:rFonts w:ascii="ITC Avant Garde" w:hAnsi="ITC Avant Garde" w:cs="Arial"/>
                <w:color w:val="000000"/>
                <w:szCs w:val="22"/>
                <w:lang w:val="es-MX"/>
              </w:rPr>
              <w:t xml:space="preserve">4 </w:t>
            </w:r>
            <w:r w:rsidR="00E6765C">
              <w:rPr>
                <w:rFonts w:ascii="ITC Avant Garde" w:hAnsi="ITC Avant Garde" w:cs="Arial"/>
                <w:color w:val="000000"/>
                <w:szCs w:val="22"/>
                <w:lang w:val="es-MX"/>
              </w:rPr>
              <w:t>ductos de</w:t>
            </w:r>
            <w:r w:rsidR="00E6765C" w:rsidRPr="00875403">
              <w:rPr>
                <w:rFonts w:ascii="ITC Avant Garde" w:hAnsi="ITC Avant Garde" w:cs="Arial"/>
                <w:color w:val="000000"/>
                <w:szCs w:val="22"/>
                <w:lang w:val="es-MX"/>
              </w:rPr>
              <w:t xml:space="preserve"> </w:t>
            </w:r>
            <w:r w:rsidRPr="00875403">
              <w:rPr>
                <w:rFonts w:ascii="ITC Avant Garde" w:hAnsi="ITC Avant Garde" w:cs="Arial"/>
                <w:color w:val="000000"/>
                <w:szCs w:val="22"/>
                <w:lang w:val="es-MX"/>
              </w:rPr>
              <w:t xml:space="preserve">60mm + 4 </w:t>
            </w:r>
            <w:r w:rsidR="00E6765C">
              <w:rPr>
                <w:rFonts w:ascii="ITC Avant Garde" w:hAnsi="ITC Avant Garde" w:cs="Arial"/>
                <w:color w:val="000000"/>
                <w:szCs w:val="22"/>
                <w:lang w:val="es-MX"/>
              </w:rPr>
              <w:t>ductos de</w:t>
            </w:r>
            <w:r w:rsidRPr="00875403">
              <w:rPr>
                <w:rFonts w:ascii="ITC Avant Garde" w:hAnsi="ITC Avant Garde" w:cs="Arial"/>
                <w:color w:val="000000"/>
                <w:szCs w:val="22"/>
                <w:lang w:val="es-MX"/>
              </w:rPr>
              <w:t xml:space="preserve"> 45mm</w:t>
            </w:r>
          </w:p>
        </w:tc>
      </w:tr>
      <w:tr w:rsidR="005B0846" w:rsidRPr="00F906F3" w:rsidTr="005B0846">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center"/>
              <w:rPr>
                <w:rFonts w:ascii="ITC Avant Garde" w:hAnsi="ITC Avant Garde" w:cs="Arial"/>
                <w:color w:val="000000"/>
                <w:szCs w:val="22"/>
                <w:lang w:val="es-MX"/>
              </w:rPr>
            </w:pPr>
            <w:r w:rsidRPr="00872052">
              <w:rPr>
                <w:rFonts w:ascii="ITC Avant Garde" w:hAnsi="ITC Avant Garde" w:cs="Arial"/>
                <w:color w:val="000000"/>
                <w:szCs w:val="22"/>
                <w:lang w:val="es-MX"/>
              </w:rPr>
              <w:t>3H8</w:t>
            </w:r>
          </w:p>
        </w:tc>
        <w:tc>
          <w:tcPr>
            <w:tcW w:w="4540" w:type="dxa"/>
            <w:tcBorders>
              <w:top w:val="nil"/>
              <w:left w:val="nil"/>
              <w:bottom w:val="single" w:sz="8" w:space="0" w:color="auto"/>
              <w:right w:val="single" w:sz="8" w:space="0" w:color="auto"/>
            </w:tcBorders>
            <w:shd w:val="clear" w:color="auto" w:fill="auto"/>
            <w:vAlign w:val="center"/>
            <w:hideMark/>
          </w:tcPr>
          <w:p w:rsidR="005B0846" w:rsidRPr="00875403" w:rsidRDefault="005B0846" w:rsidP="005B0846">
            <w:pPr>
              <w:spacing w:before="0" w:line="240" w:lineRule="auto"/>
              <w:jc w:val="center"/>
              <w:rPr>
                <w:rFonts w:ascii="ITC Avant Garde" w:hAnsi="ITC Avant Garde" w:cs="Arial"/>
                <w:color w:val="000000"/>
                <w:szCs w:val="22"/>
                <w:lang w:val="es-MX"/>
              </w:rPr>
            </w:pPr>
            <w:r w:rsidRPr="00875403">
              <w:rPr>
                <w:rFonts w:ascii="ITC Avant Garde" w:hAnsi="ITC Avant Garde" w:cs="Arial"/>
                <w:color w:val="000000"/>
                <w:szCs w:val="22"/>
                <w:lang w:val="es-MX"/>
              </w:rPr>
              <w:t xml:space="preserve">3 </w:t>
            </w:r>
            <w:r w:rsidR="00E6765C">
              <w:rPr>
                <w:rFonts w:ascii="ITC Avant Garde" w:hAnsi="ITC Avant Garde" w:cs="Arial"/>
                <w:color w:val="000000"/>
                <w:szCs w:val="22"/>
                <w:lang w:val="es-MX"/>
              </w:rPr>
              <w:t>ductos de</w:t>
            </w:r>
            <w:r w:rsidR="00E6765C" w:rsidRPr="00875403">
              <w:rPr>
                <w:rFonts w:ascii="ITC Avant Garde" w:hAnsi="ITC Avant Garde" w:cs="Arial"/>
                <w:color w:val="000000"/>
                <w:szCs w:val="22"/>
                <w:lang w:val="es-MX"/>
              </w:rPr>
              <w:t xml:space="preserve"> </w:t>
            </w:r>
            <w:r w:rsidRPr="00875403">
              <w:rPr>
                <w:rFonts w:ascii="ITC Avant Garde" w:hAnsi="ITC Avant Garde" w:cs="Arial"/>
                <w:color w:val="000000"/>
                <w:szCs w:val="22"/>
                <w:lang w:val="es-MX"/>
              </w:rPr>
              <w:t xml:space="preserve">80mm + 4 </w:t>
            </w:r>
            <w:r w:rsidR="00E6765C">
              <w:rPr>
                <w:rFonts w:ascii="ITC Avant Garde" w:hAnsi="ITC Avant Garde" w:cs="Arial"/>
                <w:color w:val="000000"/>
                <w:szCs w:val="22"/>
                <w:lang w:val="es-MX"/>
              </w:rPr>
              <w:t>ductos de</w:t>
            </w:r>
            <w:r w:rsidRPr="00875403">
              <w:rPr>
                <w:rFonts w:ascii="ITC Avant Garde" w:hAnsi="ITC Avant Garde" w:cs="Arial"/>
                <w:color w:val="000000"/>
                <w:szCs w:val="22"/>
                <w:lang w:val="es-MX"/>
              </w:rPr>
              <w:t xml:space="preserve"> 45mm</w:t>
            </w:r>
          </w:p>
        </w:tc>
      </w:tr>
      <w:tr w:rsidR="005B0846" w:rsidRPr="00F906F3" w:rsidTr="005B0846">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rsidR="005B0846" w:rsidRPr="00872052" w:rsidRDefault="005B0846" w:rsidP="005B0846">
            <w:pPr>
              <w:spacing w:before="0" w:line="240" w:lineRule="auto"/>
              <w:jc w:val="center"/>
              <w:rPr>
                <w:rFonts w:ascii="ITC Avant Garde" w:hAnsi="ITC Avant Garde" w:cs="Arial"/>
                <w:color w:val="000000"/>
                <w:szCs w:val="22"/>
                <w:lang w:val="es-MX"/>
              </w:rPr>
            </w:pPr>
            <w:r w:rsidRPr="00872052">
              <w:rPr>
                <w:rFonts w:ascii="ITC Avant Garde" w:hAnsi="ITC Avant Garde" w:cs="Arial"/>
                <w:color w:val="000000"/>
                <w:szCs w:val="22"/>
                <w:lang w:val="es-MX"/>
              </w:rPr>
              <w:t>4H8</w:t>
            </w:r>
          </w:p>
        </w:tc>
        <w:tc>
          <w:tcPr>
            <w:tcW w:w="4540" w:type="dxa"/>
            <w:tcBorders>
              <w:top w:val="nil"/>
              <w:left w:val="nil"/>
              <w:bottom w:val="single" w:sz="8" w:space="0" w:color="auto"/>
              <w:right w:val="single" w:sz="8" w:space="0" w:color="auto"/>
            </w:tcBorders>
            <w:shd w:val="clear" w:color="auto" w:fill="auto"/>
            <w:vAlign w:val="center"/>
            <w:hideMark/>
          </w:tcPr>
          <w:p w:rsidR="005B0846" w:rsidRPr="00875403" w:rsidRDefault="005B0846" w:rsidP="005B0846">
            <w:pPr>
              <w:spacing w:before="0" w:line="240" w:lineRule="auto"/>
              <w:jc w:val="center"/>
              <w:rPr>
                <w:rFonts w:ascii="ITC Avant Garde" w:hAnsi="ITC Avant Garde" w:cs="Arial"/>
                <w:color w:val="000000"/>
                <w:szCs w:val="22"/>
                <w:lang w:val="es-MX"/>
              </w:rPr>
            </w:pPr>
            <w:r w:rsidRPr="00875403">
              <w:rPr>
                <w:rFonts w:ascii="ITC Avant Garde" w:hAnsi="ITC Avant Garde" w:cs="Arial"/>
                <w:color w:val="000000"/>
                <w:szCs w:val="22"/>
                <w:lang w:val="es-MX"/>
              </w:rPr>
              <w:t xml:space="preserve">4 </w:t>
            </w:r>
            <w:r w:rsidR="00E6765C">
              <w:rPr>
                <w:rFonts w:ascii="ITC Avant Garde" w:hAnsi="ITC Avant Garde" w:cs="Arial"/>
                <w:color w:val="000000"/>
                <w:szCs w:val="22"/>
                <w:lang w:val="es-MX"/>
              </w:rPr>
              <w:t>ductos de</w:t>
            </w:r>
            <w:r w:rsidRPr="00875403">
              <w:rPr>
                <w:rFonts w:ascii="ITC Avant Garde" w:hAnsi="ITC Avant Garde" w:cs="Arial"/>
                <w:color w:val="000000"/>
                <w:szCs w:val="22"/>
                <w:lang w:val="es-MX"/>
              </w:rPr>
              <w:t xml:space="preserve"> 80mm + 4 </w:t>
            </w:r>
            <w:r w:rsidR="00E6765C">
              <w:rPr>
                <w:rFonts w:ascii="ITC Avant Garde" w:hAnsi="ITC Avant Garde" w:cs="Arial"/>
                <w:color w:val="000000"/>
                <w:szCs w:val="22"/>
                <w:lang w:val="es-MX"/>
              </w:rPr>
              <w:t>ductos de</w:t>
            </w:r>
            <w:r w:rsidRPr="00875403">
              <w:rPr>
                <w:rFonts w:ascii="ITC Avant Garde" w:hAnsi="ITC Avant Garde" w:cs="Arial"/>
                <w:color w:val="000000"/>
                <w:szCs w:val="22"/>
                <w:lang w:val="es-MX"/>
              </w:rPr>
              <w:t xml:space="preserve"> 45mm</w:t>
            </w:r>
          </w:p>
        </w:tc>
      </w:tr>
    </w:tbl>
    <w:p w:rsidR="00567F1B" w:rsidRPr="00872052" w:rsidRDefault="00567F1B" w:rsidP="00567F1B">
      <w:pPr>
        <w:rPr>
          <w:rFonts w:ascii="ITC Avant Garde" w:hAnsi="ITC Avant Garde"/>
          <w:lang w:val="es-MX"/>
        </w:rPr>
      </w:pPr>
    </w:p>
    <w:p w:rsidR="00567F1B" w:rsidRPr="00872052" w:rsidRDefault="00567F1B" w:rsidP="00567F1B">
      <w:pPr>
        <w:rPr>
          <w:rFonts w:ascii="ITC Avant Garde" w:hAnsi="ITC Avant Garde"/>
          <w:lang w:val="es-MX"/>
        </w:rPr>
      </w:pPr>
      <w:r w:rsidRPr="00872052">
        <w:rPr>
          <w:rFonts w:ascii="ITC Avant Garde" w:hAnsi="ITC Avant Garde"/>
          <w:lang w:val="es-MX"/>
        </w:rPr>
        <w:t>La siguiente figura muestra la configuración de la canalización tipo 7H4.</w:t>
      </w: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t xml:space="preserve"> Figura </w:t>
      </w:r>
      <w:r w:rsidR="00E55E52">
        <w:rPr>
          <w:rFonts w:ascii="ITC Avant Garde" w:hAnsi="ITC Avant Garde"/>
          <w:lang w:val="es-MX"/>
        </w:rPr>
        <w:t>42</w:t>
      </w:r>
      <w:r w:rsidRPr="00872052">
        <w:rPr>
          <w:rFonts w:ascii="ITC Avant Garde" w:hAnsi="ITC Avant Garde"/>
          <w:lang w:val="es-MX"/>
        </w:rPr>
        <w:t xml:space="preserve"> - Ejemplo de "Canalizaciones" usadas como </w:t>
      </w:r>
      <w:r w:rsidR="00751425">
        <w:rPr>
          <w:rFonts w:ascii="ITC Avant Garde" w:hAnsi="ITC Avant Garde"/>
          <w:lang w:val="es-MX"/>
        </w:rPr>
        <w:t>zanja</w:t>
      </w:r>
      <w:r w:rsidR="00751425" w:rsidRPr="00872052">
        <w:rPr>
          <w:rFonts w:ascii="ITC Avant Garde" w:hAnsi="ITC Avant Garde"/>
          <w:lang w:val="es-MX"/>
        </w:rPr>
        <w:t xml:space="preserve">s </w:t>
      </w:r>
      <w:r w:rsidRPr="00872052">
        <w:rPr>
          <w:rFonts w:ascii="ITC Avant Garde" w:hAnsi="ITC Avant Garde"/>
          <w:lang w:val="es-MX"/>
        </w:rPr>
        <w:t>+ conductos tipo 7H4</w:t>
      </w:r>
    </w:p>
    <w:p w:rsidR="005B0846" w:rsidRPr="00872052" w:rsidRDefault="005B0846" w:rsidP="005B0846">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082DA7AF" wp14:editId="5A868B89">
            <wp:extent cx="2485687" cy="2406636"/>
            <wp:effectExtent l="0" t="0" r="0" b="0"/>
            <wp:docPr id="7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93677" cy="2414372"/>
                    </a:xfrm>
                    <a:prstGeom prst="rect">
                      <a:avLst/>
                    </a:prstGeom>
                  </pic:spPr>
                </pic:pic>
              </a:graphicData>
            </a:graphic>
          </wp:inline>
        </w:drawing>
      </w:r>
    </w:p>
    <w:p w:rsidR="00567F1B" w:rsidRPr="00872052" w:rsidRDefault="00567F1B" w:rsidP="00567F1B">
      <w:pPr>
        <w:rPr>
          <w:rFonts w:ascii="ITC Avant Garde" w:hAnsi="ITC Avant Garde"/>
          <w:lang w:val="es-MX"/>
        </w:rPr>
      </w:pPr>
    </w:p>
    <w:p w:rsidR="00567F1B" w:rsidRPr="00872052" w:rsidRDefault="00567F1B" w:rsidP="00567F1B">
      <w:pPr>
        <w:rPr>
          <w:rFonts w:ascii="ITC Avant Garde" w:hAnsi="ITC Avant Garde"/>
          <w:lang w:val="es-MX"/>
        </w:rPr>
      </w:pPr>
      <w:r w:rsidRPr="00872052">
        <w:rPr>
          <w:rFonts w:ascii="ITC Avant Garde" w:hAnsi="ITC Avant Garde"/>
          <w:lang w:val="es-MX"/>
        </w:rPr>
        <w:t xml:space="preserve">El tamaño de las canalizaciones está dimensionado por la superficie de los cables que deben pasarse. Se considera la superficie total de los cables, y las canalizaciones están dimensionadas para ser rellenados hasta el </w:t>
      </w:r>
      <w:r w:rsidR="004A0B43">
        <w:rPr>
          <w:rFonts w:ascii="ITC Avant Garde" w:hAnsi="ITC Avant Garde"/>
          <w:lang w:val="es-MX"/>
        </w:rPr>
        <w:t>80</w:t>
      </w:r>
      <w:r w:rsidRPr="00872052">
        <w:rPr>
          <w:rFonts w:ascii="ITC Avant Garde" w:hAnsi="ITC Avant Garde"/>
          <w:lang w:val="es-MX"/>
        </w:rPr>
        <w:t>% de su superficie total por la superficie total de los cables.</w:t>
      </w:r>
    </w:p>
    <w:p w:rsidR="00567F1B" w:rsidRDefault="00567F1B" w:rsidP="00567F1B">
      <w:pPr>
        <w:rPr>
          <w:rFonts w:ascii="ITC Avant Garde" w:hAnsi="ITC Avant Garde"/>
          <w:lang w:val="es-MX"/>
        </w:rPr>
      </w:pPr>
    </w:p>
    <w:p w:rsidR="007A227B" w:rsidRDefault="007A227B" w:rsidP="00567F1B">
      <w:pPr>
        <w:rPr>
          <w:rFonts w:ascii="ITC Avant Garde" w:hAnsi="ITC Avant Garde"/>
          <w:lang w:val="es-MX"/>
        </w:rPr>
      </w:pPr>
    </w:p>
    <w:p w:rsidR="007A227B" w:rsidRPr="00872052" w:rsidRDefault="007A227B" w:rsidP="00567F1B">
      <w:pPr>
        <w:rPr>
          <w:rFonts w:ascii="ITC Avant Garde" w:hAnsi="ITC Avant Garde"/>
          <w:lang w:val="es-MX"/>
        </w:rPr>
      </w:pPr>
    </w:p>
    <w:p w:rsidR="005B0846" w:rsidRPr="00872052" w:rsidRDefault="005B0846" w:rsidP="005B0846">
      <w:pPr>
        <w:pStyle w:val="Ttulo4"/>
        <w:rPr>
          <w:rFonts w:ascii="ITC Avant Garde" w:hAnsi="ITC Avant Garde"/>
          <w:lang w:val="es-MX"/>
        </w:rPr>
      </w:pPr>
      <w:bookmarkStart w:id="269" w:name="_Toc525665317"/>
      <w:bookmarkStart w:id="270" w:name="_Toc525665696"/>
      <w:bookmarkStart w:id="271" w:name="_Toc526854397"/>
      <w:r w:rsidRPr="00872052">
        <w:rPr>
          <w:rFonts w:ascii="ITC Avant Garde" w:hAnsi="ITC Avant Garde"/>
          <w:lang w:val="es-MX"/>
        </w:rPr>
        <w:t>Cierres de empalme</w:t>
      </w:r>
      <w:bookmarkEnd w:id="269"/>
      <w:bookmarkEnd w:id="270"/>
      <w:bookmarkEnd w:id="271"/>
    </w:p>
    <w:p w:rsidR="005B0846" w:rsidRPr="00872052" w:rsidRDefault="005B0846" w:rsidP="005B0846">
      <w:pPr>
        <w:rPr>
          <w:rFonts w:ascii="ITC Avant Garde" w:hAnsi="ITC Avant Garde"/>
          <w:lang w:val="es-MX"/>
        </w:rPr>
      </w:pPr>
      <w:r w:rsidRPr="00872052">
        <w:rPr>
          <w:rFonts w:ascii="ITC Avant Garde" w:hAnsi="ITC Avant Garde"/>
          <w:lang w:val="es-MX"/>
        </w:rPr>
        <w:t xml:space="preserve">Las acometidas del SDP al edificio / a la dirección se consideran en un solo cable dedicado, por lo tanto, no se requiere un cierre de </w:t>
      </w:r>
      <w:r w:rsidR="006F7C8B">
        <w:rPr>
          <w:rFonts w:ascii="ITC Avant Garde" w:hAnsi="ITC Avant Garde"/>
          <w:lang w:val="es-MX"/>
        </w:rPr>
        <w:t>e</w:t>
      </w:r>
      <w:r w:rsidRPr="00872052">
        <w:rPr>
          <w:rFonts w:ascii="ITC Avant Garde" w:hAnsi="ITC Avant Garde"/>
          <w:lang w:val="es-MX"/>
        </w:rPr>
        <w:t>mpalme entre el SDP y el edificio.</w:t>
      </w:r>
    </w:p>
    <w:p w:rsidR="005B0846" w:rsidRPr="00872052" w:rsidRDefault="005B0846" w:rsidP="005B0846">
      <w:pPr>
        <w:rPr>
          <w:rFonts w:ascii="ITC Avant Garde" w:hAnsi="ITC Avant Garde"/>
          <w:lang w:val="es-MX"/>
        </w:rPr>
      </w:pPr>
      <w:r w:rsidRPr="00872052">
        <w:rPr>
          <w:rFonts w:ascii="ITC Avant Garde" w:hAnsi="ITC Avant Garde"/>
          <w:lang w:val="es-MX"/>
        </w:rPr>
        <w:lastRenderedPageBreak/>
        <w:t xml:space="preserve">Desde el SDP hasta el PDP, se utiliza un cierre de empalme cada vez que se deben agregar dos cables como se muestra en la </w:t>
      </w:r>
      <w:r w:rsidR="00DC6B35">
        <w:rPr>
          <w:rFonts w:ascii="ITC Avant Garde" w:hAnsi="ITC Avant Garde"/>
          <w:lang w:val="es-MX"/>
        </w:rPr>
        <w:t>siguiente f</w:t>
      </w:r>
      <w:r w:rsidRPr="00872052">
        <w:rPr>
          <w:rFonts w:ascii="ITC Avant Garde" w:hAnsi="ITC Avant Garde"/>
          <w:lang w:val="es-MX"/>
        </w:rPr>
        <w:t>igura. Si la sección es inferior a 15 metros, no se instala ninguna junta.</w:t>
      </w:r>
    </w:p>
    <w:p w:rsidR="005B0846" w:rsidRPr="00872052" w:rsidRDefault="005B0846" w:rsidP="005B0846">
      <w:pPr>
        <w:rPr>
          <w:rFonts w:ascii="ITC Avant Garde" w:hAnsi="ITC Avant Garde"/>
          <w:lang w:val="es-MX"/>
        </w:rPr>
      </w:pP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t xml:space="preserve">Figura </w:t>
      </w:r>
      <w:r w:rsidR="00E55E52">
        <w:rPr>
          <w:rFonts w:ascii="ITC Avant Garde" w:hAnsi="ITC Avant Garde"/>
          <w:lang w:val="es-MX"/>
        </w:rPr>
        <w:t>43</w:t>
      </w:r>
      <w:r w:rsidRPr="00872052">
        <w:rPr>
          <w:rFonts w:ascii="ITC Avant Garde" w:hAnsi="ITC Avant Garde"/>
          <w:lang w:val="es-MX"/>
        </w:rPr>
        <w:t xml:space="preserve"> - Juntas y agujeros de unión</w:t>
      </w:r>
    </w:p>
    <w:p w:rsidR="005B0846" w:rsidRPr="00872052" w:rsidRDefault="005B0846" w:rsidP="005B0846">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76A3F1FD" wp14:editId="0A877458">
            <wp:extent cx="2698257" cy="2887345"/>
            <wp:effectExtent l="0" t="0" r="0" b="8255"/>
            <wp:docPr id="7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00043" cy="2889256"/>
                    </a:xfrm>
                    <a:prstGeom prst="rect">
                      <a:avLst/>
                    </a:prstGeom>
                    <a:noFill/>
                    <a:ln>
                      <a:noFill/>
                    </a:ln>
                  </pic:spPr>
                </pic:pic>
              </a:graphicData>
            </a:graphic>
          </wp:inline>
        </w:drawing>
      </w:r>
    </w:p>
    <w:p w:rsidR="005B0846" w:rsidRPr="00872052" w:rsidRDefault="005B0846" w:rsidP="005B0846">
      <w:pPr>
        <w:rPr>
          <w:rFonts w:ascii="ITC Avant Garde" w:hAnsi="ITC Avant Garde"/>
          <w:lang w:val="es-MX"/>
        </w:rPr>
      </w:pP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Un </w:t>
      </w:r>
      <w:r w:rsidR="006F7C8B">
        <w:rPr>
          <w:rFonts w:ascii="ITC Avant Garde" w:hAnsi="ITC Avant Garde"/>
          <w:lang w:val="es-MX"/>
        </w:rPr>
        <w:t>c</w:t>
      </w:r>
      <w:r w:rsidRPr="00872052">
        <w:rPr>
          <w:rFonts w:ascii="ITC Avant Garde" w:hAnsi="ITC Avant Garde"/>
          <w:lang w:val="es-MX"/>
        </w:rPr>
        <w:t>ierre de empa</w:t>
      </w:r>
      <w:r w:rsidR="006F7C8B">
        <w:rPr>
          <w:rFonts w:ascii="ITC Avant Garde" w:hAnsi="ITC Avant Garde"/>
          <w:lang w:val="es-MX"/>
        </w:rPr>
        <w:t>l</w:t>
      </w:r>
      <w:r w:rsidRPr="00872052">
        <w:rPr>
          <w:rFonts w:ascii="ITC Avant Garde" w:hAnsi="ITC Avant Garde"/>
          <w:lang w:val="es-MX"/>
        </w:rPr>
        <w:t xml:space="preserve">me también se despliega en la intersección con el segundo lado. </w:t>
      </w:r>
      <w:r w:rsidR="006F7C8B">
        <w:rPr>
          <w:rFonts w:ascii="ITC Avant Garde" w:hAnsi="ITC Avant Garde"/>
          <w:lang w:val="es-MX"/>
        </w:rPr>
        <w:t>Estos cierres</w:t>
      </w:r>
      <w:r w:rsidRPr="00872052">
        <w:rPr>
          <w:rFonts w:ascii="ITC Avant Garde" w:hAnsi="ITC Avant Garde"/>
          <w:lang w:val="es-MX"/>
        </w:rPr>
        <w:t xml:space="preserve"> de empalme se despliegan en postes cuando la sección es aérea y en pozos de registro cuando está bajo tierra.</w:t>
      </w:r>
    </w:p>
    <w:p w:rsidR="005B0846" w:rsidRPr="00872052" w:rsidRDefault="005B0846" w:rsidP="005B0846">
      <w:pPr>
        <w:rPr>
          <w:rFonts w:ascii="ITC Avant Garde" w:hAnsi="ITC Avant Garde"/>
          <w:lang w:val="es-MX"/>
        </w:rPr>
      </w:pP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t xml:space="preserve">Figura </w:t>
      </w:r>
      <w:r w:rsidR="00E55E52">
        <w:rPr>
          <w:rFonts w:ascii="ITC Avant Garde" w:hAnsi="ITC Avant Garde"/>
          <w:lang w:val="es-MX"/>
        </w:rPr>
        <w:t>44</w:t>
      </w:r>
      <w:r w:rsidRPr="00872052">
        <w:rPr>
          <w:rFonts w:ascii="ITC Avant Garde" w:hAnsi="ITC Avant Garde"/>
          <w:lang w:val="es-MX"/>
        </w:rPr>
        <w:t xml:space="preserve"> - Cierres en cruces</w:t>
      </w:r>
    </w:p>
    <w:p w:rsidR="005B0846" w:rsidRPr="00872052" w:rsidRDefault="005B0846" w:rsidP="005B0846">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09870A25" wp14:editId="1C9CED6F">
            <wp:extent cx="4754880" cy="1577848"/>
            <wp:effectExtent l="0" t="0" r="7620" b="3810"/>
            <wp:docPr id="78"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76518" cy="1585028"/>
                    </a:xfrm>
                    <a:prstGeom prst="rect">
                      <a:avLst/>
                    </a:prstGeom>
                    <a:noFill/>
                  </pic:spPr>
                </pic:pic>
              </a:graphicData>
            </a:graphic>
          </wp:inline>
        </w:drawing>
      </w:r>
    </w:p>
    <w:p w:rsidR="00567F1B" w:rsidRPr="00872052" w:rsidRDefault="00567F1B" w:rsidP="00567F1B">
      <w:pPr>
        <w:pStyle w:val="Ttulo4"/>
        <w:rPr>
          <w:rFonts w:ascii="ITC Avant Garde" w:hAnsi="ITC Avant Garde"/>
          <w:lang w:val="es-MX"/>
        </w:rPr>
      </w:pPr>
      <w:bookmarkStart w:id="272" w:name="_Toc525672878"/>
      <w:bookmarkStart w:id="273" w:name="_Toc525665318"/>
      <w:bookmarkStart w:id="274" w:name="_Toc525665697"/>
      <w:bookmarkStart w:id="275" w:name="_Toc526854398"/>
      <w:r w:rsidRPr="00872052">
        <w:rPr>
          <w:rFonts w:ascii="ITC Avant Garde" w:hAnsi="ITC Avant Garde"/>
          <w:lang w:val="es-MX"/>
        </w:rPr>
        <w:t>Bocas de alcantarillas (Pozos)</w:t>
      </w:r>
      <w:bookmarkEnd w:id="272"/>
      <w:bookmarkEnd w:id="273"/>
      <w:bookmarkEnd w:id="274"/>
      <w:bookmarkEnd w:id="275"/>
    </w:p>
    <w:p w:rsidR="005B0846" w:rsidRPr="00872052" w:rsidRDefault="005B0846" w:rsidP="005B0846">
      <w:pPr>
        <w:rPr>
          <w:rFonts w:ascii="ITC Avant Garde" w:hAnsi="ITC Avant Garde"/>
          <w:lang w:val="es-MX"/>
        </w:rPr>
      </w:pPr>
      <w:r w:rsidRPr="00872052">
        <w:rPr>
          <w:rFonts w:ascii="ITC Avant Garde" w:hAnsi="ITC Avant Garde"/>
          <w:lang w:val="es-MX"/>
        </w:rPr>
        <w:t>Un Pozo es una caja subterránea donde se instalan los cierres de empalme y se puede acceder fácilmente.</w:t>
      </w:r>
    </w:p>
    <w:p w:rsidR="00567F1B" w:rsidRPr="00872052" w:rsidRDefault="00567F1B" w:rsidP="00567F1B">
      <w:pPr>
        <w:rPr>
          <w:rFonts w:ascii="ITC Avant Garde" w:hAnsi="ITC Avant Garde"/>
          <w:lang w:val="es-MX"/>
        </w:rPr>
      </w:pPr>
      <w:r w:rsidRPr="00872052">
        <w:rPr>
          <w:rFonts w:ascii="ITC Avant Garde" w:hAnsi="ITC Avant Garde"/>
          <w:lang w:val="es-MX"/>
        </w:rPr>
        <w:t>En el modelo, esta categoría de activos incluye un tipo de cámaras que se implementa en una red. En el cálculo se utiliza un costo unitario de pozo único y representa una configuración promedio.</w:t>
      </w:r>
    </w:p>
    <w:p w:rsidR="00567F1B" w:rsidRPr="00872052" w:rsidRDefault="00567F1B" w:rsidP="00567F1B">
      <w:pPr>
        <w:rPr>
          <w:rFonts w:ascii="ITC Avant Garde" w:hAnsi="ITC Avant Garde"/>
          <w:lang w:val="es-MX"/>
        </w:rPr>
      </w:pPr>
      <w:r w:rsidRPr="00872052">
        <w:rPr>
          <w:rFonts w:ascii="ITC Avant Garde" w:hAnsi="ITC Avant Garde"/>
          <w:lang w:val="es-MX"/>
        </w:rPr>
        <w:t>Se determina el número de pozos de visita, de modo que la cantidad de equipos subterráneos, por ejemplo, comunes y transversales, podría ser de libre acceso.</w:t>
      </w:r>
    </w:p>
    <w:p w:rsidR="005B0846" w:rsidRPr="00872052" w:rsidRDefault="005B0846" w:rsidP="005B0846">
      <w:pPr>
        <w:rPr>
          <w:rFonts w:ascii="ITC Avant Garde" w:hAnsi="ITC Avant Garde"/>
          <w:lang w:val="es-MX"/>
        </w:rPr>
      </w:pPr>
      <w:r w:rsidRPr="00872052">
        <w:rPr>
          <w:rFonts w:ascii="ITC Avant Garde" w:hAnsi="ITC Avant Garde"/>
          <w:lang w:val="es-MX"/>
        </w:rPr>
        <w:t>Solo se despliega una boca de alcantarilla / "Pozo" por posición de junta, independientemente del número de uniones desplegadas en la misma posición.</w:t>
      </w:r>
    </w:p>
    <w:p w:rsidR="005B0846" w:rsidRPr="00872052" w:rsidRDefault="005B0846" w:rsidP="005B0846">
      <w:pPr>
        <w:rPr>
          <w:rFonts w:ascii="ITC Avant Garde" w:hAnsi="ITC Avant Garde"/>
          <w:lang w:val="es-MX"/>
        </w:rPr>
      </w:pPr>
      <w:r w:rsidRPr="00872052">
        <w:rPr>
          <w:rFonts w:ascii="ITC Avant Garde" w:hAnsi="ITC Avant Garde"/>
          <w:lang w:val="es-MX"/>
        </w:rPr>
        <w:t>Los pozos de registros se asignan siguiendo las mismas claves de asignación que los cierres de empalme.</w:t>
      </w: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t xml:space="preserve">Figura </w:t>
      </w:r>
      <w:r w:rsidR="00E55E52">
        <w:rPr>
          <w:rFonts w:ascii="ITC Avant Garde" w:hAnsi="ITC Avant Garde"/>
          <w:lang w:val="es-MX"/>
        </w:rPr>
        <w:t>45</w:t>
      </w:r>
      <w:r w:rsidRPr="00872052">
        <w:rPr>
          <w:rFonts w:ascii="ITC Avant Garde" w:hAnsi="ITC Avant Garde"/>
          <w:lang w:val="es-MX"/>
        </w:rPr>
        <w:t xml:space="preserve"> – Cierres y pozos</w:t>
      </w:r>
    </w:p>
    <w:p w:rsidR="005B0846" w:rsidRPr="00872052" w:rsidRDefault="005B0846" w:rsidP="005B0846">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4B4D7372" wp14:editId="7552B820">
            <wp:extent cx="3151776" cy="2966085"/>
            <wp:effectExtent l="0" t="0" r="0" b="5715"/>
            <wp:docPr id="79"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54062" cy="2968237"/>
                    </a:xfrm>
                    <a:prstGeom prst="rect">
                      <a:avLst/>
                    </a:prstGeom>
                    <a:noFill/>
                  </pic:spPr>
                </pic:pic>
              </a:graphicData>
            </a:graphic>
          </wp:inline>
        </w:drawing>
      </w:r>
    </w:p>
    <w:p w:rsidR="005B0846" w:rsidRPr="00872052" w:rsidRDefault="005B0846" w:rsidP="005B0846">
      <w:pPr>
        <w:pStyle w:val="Ttulo4"/>
        <w:rPr>
          <w:rFonts w:ascii="ITC Avant Garde" w:hAnsi="ITC Avant Garde"/>
          <w:lang w:val="es-MX"/>
        </w:rPr>
      </w:pPr>
      <w:bookmarkStart w:id="276" w:name="_Toc525672879"/>
      <w:bookmarkStart w:id="277" w:name="_Toc525665319"/>
      <w:bookmarkStart w:id="278" w:name="_Toc525665698"/>
      <w:bookmarkStart w:id="279" w:name="_Toc526854399"/>
      <w:r w:rsidRPr="00872052">
        <w:rPr>
          <w:rFonts w:ascii="ITC Avant Garde" w:hAnsi="ITC Avant Garde"/>
          <w:lang w:val="es-MX"/>
        </w:rPr>
        <w:t>Postes</w:t>
      </w:r>
      <w:bookmarkEnd w:id="276"/>
      <w:bookmarkEnd w:id="277"/>
      <w:bookmarkEnd w:id="278"/>
      <w:bookmarkEnd w:id="279"/>
    </w:p>
    <w:p w:rsidR="005B0846" w:rsidRPr="00872052" w:rsidRDefault="005B0846" w:rsidP="005B0846">
      <w:pPr>
        <w:rPr>
          <w:rFonts w:ascii="ITC Avant Garde" w:hAnsi="ITC Avant Garde"/>
          <w:lang w:val="es-MX"/>
        </w:rPr>
      </w:pPr>
      <w:r w:rsidRPr="00872052">
        <w:rPr>
          <w:rFonts w:ascii="ITC Avant Garde" w:hAnsi="ITC Avant Garde"/>
          <w:lang w:val="es-MX"/>
        </w:rPr>
        <w:t>Según las respuestas de</w:t>
      </w:r>
      <w:r w:rsidR="003B1FBF">
        <w:rPr>
          <w:rFonts w:ascii="ITC Avant Garde" w:hAnsi="ITC Avant Garde"/>
          <w:lang w:val="es-MX"/>
        </w:rPr>
        <w:t>l AEP</w:t>
      </w:r>
      <w:r w:rsidRPr="00872052">
        <w:rPr>
          <w:rFonts w:ascii="ITC Avant Garde" w:hAnsi="ITC Avant Garde"/>
          <w:lang w:val="es-MX"/>
        </w:rPr>
        <w:t>, la red primaria se construye principalmente utilizando infraestructura subterránea, mientras que la red secundaria y la acometida se implementan principalmente por a</w:t>
      </w:r>
      <w:r w:rsidR="006F7C8B">
        <w:rPr>
          <w:rFonts w:ascii="ITC Avant Garde" w:hAnsi="ITC Avant Garde"/>
          <w:lang w:val="es-MX"/>
        </w:rPr>
        <w:t>é</w:t>
      </w:r>
      <w:r w:rsidRPr="00872052">
        <w:rPr>
          <w:rFonts w:ascii="ITC Avant Garde" w:hAnsi="ITC Avant Garde"/>
          <w:lang w:val="es-MX"/>
        </w:rPr>
        <w:t>reo.</w:t>
      </w: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Esto es consistente con el hecho de que la red primaria generalmente contiene una cantidad importante de cables de gran tamaño, ya que agrega los cables de la acometida y la red secundaria. Como la capacidad de los postes es limitada, no </w:t>
      </w:r>
      <w:r w:rsidRPr="00872052">
        <w:rPr>
          <w:rFonts w:ascii="ITC Avant Garde" w:hAnsi="ITC Avant Garde"/>
          <w:lang w:val="es-MX"/>
        </w:rPr>
        <w:lastRenderedPageBreak/>
        <w:t>permite acudir cables de gran tamaño, por lo que la red principal se despliega completamente bajo tierra.</w:t>
      </w:r>
    </w:p>
    <w:p w:rsidR="005B0846" w:rsidRPr="00872052" w:rsidRDefault="005B0846" w:rsidP="005B0846">
      <w:pPr>
        <w:rPr>
          <w:rFonts w:ascii="ITC Avant Garde" w:hAnsi="ITC Avant Garde"/>
          <w:lang w:val="es-MX"/>
        </w:rPr>
      </w:pPr>
      <w:r w:rsidRPr="00872052">
        <w:rPr>
          <w:rFonts w:ascii="ITC Avant Garde" w:hAnsi="ITC Avant Garde"/>
          <w:lang w:val="es-MX"/>
        </w:rPr>
        <w:t>En la red secundaria y en la acometida, la red aérea está permitida si los cables en tránsito en la sección son más bajos que la capacidad máxima permitida.</w:t>
      </w:r>
    </w:p>
    <w:p w:rsidR="005B0846" w:rsidRPr="00872052" w:rsidRDefault="005B0846" w:rsidP="005B0846">
      <w:pPr>
        <w:rPr>
          <w:rFonts w:ascii="ITC Avant Garde" w:hAnsi="ITC Avant Garde"/>
          <w:lang w:val="es-MX"/>
        </w:rPr>
      </w:pPr>
      <w:r w:rsidRPr="00872052">
        <w:rPr>
          <w:rFonts w:ascii="ITC Avant Garde" w:hAnsi="ITC Avant Garde"/>
          <w:lang w:val="es-MX"/>
        </w:rPr>
        <w:t>La capacidad máxima permitida por a</w:t>
      </w:r>
      <w:r w:rsidR="006F7C8B">
        <w:rPr>
          <w:rFonts w:ascii="ITC Avant Garde" w:hAnsi="ITC Avant Garde"/>
          <w:lang w:val="es-MX"/>
        </w:rPr>
        <w:t>é</w:t>
      </w:r>
      <w:r w:rsidRPr="00872052">
        <w:rPr>
          <w:rFonts w:ascii="ITC Avant Garde" w:hAnsi="ITC Avant Garde"/>
          <w:lang w:val="es-MX"/>
        </w:rPr>
        <w:t>reo es la combinación de dos parámetros de entrada:</w:t>
      </w:r>
    </w:p>
    <w:p w:rsidR="005B0846" w:rsidRPr="00872052" w:rsidRDefault="005B0846" w:rsidP="005B0846">
      <w:pPr>
        <w:pStyle w:val="Listaconvietas2"/>
        <w:rPr>
          <w:rFonts w:ascii="ITC Avant Garde" w:hAnsi="ITC Avant Garde"/>
          <w:lang w:val="es-MX"/>
        </w:rPr>
      </w:pPr>
      <w:proofErr w:type="spellStart"/>
      <w:r w:rsidRPr="00872052">
        <w:rPr>
          <w:rFonts w:ascii="ITC Avant Garde" w:hAnsi="ITC Avant Garde"/>
          <w:lang w:val="es-MX"/>
        </w:rPr>
        <w:t>MaxPoleCapa</w:t>
      </w:r>
      <w:proofErr w:type="spellEnd"/>
      <w:r w:rsidRPr="00872052">
        <w:rPr>
          <w:rFonts w:ascii="ITC Avant Garde" w:hAnsi="ITC Avant Garde"/>
          <w:lang w:val="es-MX"/>
        </w:rPr>
        <w:t>, que es el tamaño máximo de cables permitido en la red aérea;</w:t>
      </w:r>
    </w:p>
    <w:p w:rsidR="005B0846" w:rsidRPr="00872052" w:rsidRDefault="005B0846" w:rsidP="005B0846">
      <w:pPr>
        <w:pStyle w:val="Listaconvietas2"/>
        <w:rPr>
          <w:rFonts w:ascii="ITC Avant Garde" w:hAnsi="ITC Avant Garde"/>
          <w:lang w:val="es-MX"/>
        </w:rPr>
      </w:pPr>
      <w:proofErr w:type="spellStart"/>
      <w:r w:rsidRPr="00872052">
        <w:rPr>
          <w:rFonts w:ascii="ITC Avant Garde" w:hAnsi="ITC Avant Garde"/>
          <w:lang w:val="es-MX"/>
        </w:rPr>
        <w:t>MaxNbPoles</w:t>
      </w:r>
      <w:proofErr w:type="spellEnd"/>
      <w:r w:rsidRPr="00872052">
        <w:rPr>
          <w:rFonts w:ascii="ITC Avant Garde" w:hAnsi="ITC Avant Garde"/>
          <w:lang w:val="es-MX"/>
        </w:rPr>
        <w:t xml:space="preserve">, que es la cantidad máxima de cables (cuya capacidad es </w:t>
      </w:r>
      <w:proofErr w:type="spellStart"/>
      <w:r w:rsidRPr="00872052">
        <w:rPr>
          <w:rFonts w:ascii="ITC Avant Garde" w:hAnsi="ITC Avant Garde"/>
          <w:lang w:val="es-MX"/>
        </w:rPr>
        <w:t>MaxPoleCapa</w:t>
      </w:r>
      <w:proofErr w:type="spellEnd"/>
      <w:r w:rsidRPr="00872052">
        <w:rPr>
          <w:rFonts w:ascii="ITC Avant Garde" w:hAnsi="ITC Avant Garde"/>
          <w:lang w:val="es-MX"/>
        </w:rPr>
        <w:t>) que se permite en la red a</w:t>
      </w:r>
      <w:r w:rsidR="006F7C8B">
        <w:rPr>
          <w:rFonts w:ascii="ITC Avant Garde" w:hAnsi="ITC Avant Garde"/>
          <w:lang w:val="es-MX"/>
        </w:rPr>
        <w:t>é</w:t>
      </w:r>
      <w:r w:rsidRPr="00872052">
        <w:rPr>
          <w:rFonts w:ascii="ITC Avant Garde" w:hAnsi="ITC Avant Garde"/>
          <w:lang w:val="es-MX"/>
        </w:rPr>
        <w:t>rea.</w:t>
      </w:r>
    </w:p>
    <w:p w:rsidR="00567F1B" w:rsidRPr="00872052" w:rsidRDefault="00567F1B" w:rsidP="00567F1B">
      <w:pPr>
        <w:rPr>
          <w:rFonts w:ascii="ITC Avant Garde" w:hAnsi="ITC Avant Garde"/>
          <w:lang w:val="es-MX"/>
        </w:rPr>
      </w:pPr>
      <w:r w:rsidRPr="00872052">
        <w:rPr>
          <w:rFonts w:ascii="ITC Avant Garde" w:hAnsi="ITC Avant Garde"/>
          <w:lang w:val="es-MX"/>
        </w:rPr>
        <w:t xml:space="preserve">Por lo tanto, en la red primaria no se implementa red aérea mientras que en los otros segmentos se implementa cuando la cantidad de cable x su tamaño es inferior a </w:t>
      </w:r>
      <w:proofErr w:type="spellStart"/>
      <w:r w:rsidRPr="00872052">
        <w:rPr>
          <w:rFonts w:ascii="ITC Avant Garde" w:hAnsi="ITC Avant Garde"/>
          <w:lang w:val="es-MX"/>
        </w:rPr>
        <w:t>MaxPoleCapa</w:t>
      </w:r>
      <w:proofErr w:type="spellEnd"/>
      <w:r w:rsidRPr="00872052">
        <w:rPr>
          <w:rFonts w:ascii="ITC Avant Garde" w:hAnsi="ITC Avant Garde"/>
          <w:lang w:val="es-MX"/>
        </w:rPr>
        <w:t xml:space="preserve"> x </w:t>
      </w:r>
      <w:proofErr w:type="spellStart"/>
      <w:r w:rsidRPr="00872052">
        <w:rPr>
          <w:rFonts w:ascii="ITC Avant Garde" w:hAnsi="ITC Avant Garde"/>
          <w:lang w:val="es-MX"/>
        </w:rPr>
        <w:t>MaxNbPoles</w:t>
      </w:r>
      <w:proofErr w:type="spellEnd"/>
      <w:r w:rsidRPr="00872052">
        <w:rPr>
          <w:rFonts w:ascii="ITC Avant Garde" w:hAnsi="ITC Avant Garde"/>
          <w:lang w:val="es-MX"/>
        </w:rPr>
        <w:t>.</w:t>
      </w:r>
    </w:p>
    <w:p w:rsidR="00567F1B" w:rsidRPr="00872052" w:rsidRDefault="00567F1B" w:rsidP="00567F1B">
      <w:pPr>
        <w:rPr>
          <w:rFonts w:ascii="ITC Avant Garde" w:hAnsi="ITC Avant Garde"/>
          <w:lang w:val="es-MX"/>
        </w:rPr>
      </w:pPr>
      <w:r w:rsidRPr="00872052">
        <w:rPr>
          <w:rFonts w:ascii="ITC Avant Garde" w:hAnsi="ITC Avant Garde"/>
          <w:lang w:val="es-MX"/>
        </w:rPr>
        <w:t xml:space="preserve">Además, en la red aérea, los </w:t>
      </w:r>
      <w:r w:rsidR="005B0846" w:rsidRPr="00872052">
        <w:rPr>
          <w:rFonts w:ascii="ITC Avant Garde" w:hAnsi="ITC Avant Garde"/>
          <w:lang w:val="es-MX"/>
        </w:rPr>
        <w:t>postes</w:t>
      </w:r>
      <w:r w:rsidRPr="00872052">
        <w:rPr>
          <w:rFonts w:ascii="ITC Avant Garde" w:hAnsi="ITC Avant Garde"/>
          <w:lang w:val="es-MX"/>
        </w:rPr>
        <w:t xml:space="preserve"> están desplegados en ambos lados de la sección.</w:t>
      </w:r>
    </w:p>
    <w:p w:rsidR="00567F1B" w:rsidRPr="00872052" w:rsidRDefault="00567F1B" w:rsidP="00567F1B">
      <w:pPr>
        <w:rPr>
          <w:rFonts w:ascii="ITC Avant Garde" w:hAnsi="ITC Avant Garde"/>
          <w:lang w:val="es-MX"/>
        </w:rPr>
      </w:pPr>
      <w:r w:rsidRPr="00872052">
        <w:rPr>
          <w:rFonts w:ascii="ITC Avant Garde" w:hAnsi="ITC Avant Garde"/>
          <w:lang w:val="es-MX"/>
        </w:rPr>
        <w:t>Están ubicados según las siguientes reglas:</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Distancia máxima entre postes (el parámetro de control es "</w:t>
      </w:r>
      <w:proofErr w:type="spellStart"/>
      <w:r w:rsidRPr="00872052">
        <w:rPr>
          <w:rFonts w:ascii="ITC Avant Garde" w:hAnsi="ITC Avant Garde"/>
          <w:lang w:val="es-MX"/>
        </w:rPr>
        <w:t>MaxDistancePoles</w:t>
      </w:r>
      <w:proofErr w:type="spellEnd"/>
      <w:r w:rsidRPr="00872052">
        <w:rPr>
          <w:rFonts w:ascii="ITC Avant Garde" w:hAnsi="ITC Avant Garde"/>
          <w:lang w:val="es-MX"/>
        </w:rPr>
        <w:t>");</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Equipo de cable aéreo (SDP, cierres de empalme), que debe desplegarse en los postes.</w:t>
      </w:r>
    </w:p>
    <w:p w:rsidR="005B0846" w:rsidRPr="00872052" w:rsidRDefault="005B0846" w:rsidP="005B0846">
      <w:pPr>
        <w:pStyle w:val="Listaconvietas2"/>
        <w:numPr>
          <w:ilvl w:val="0"/>
          <w:numId w:val="0"/>
        </w:numPr>
        <w:ind w:left="643"/>
        <w:rPr>
          <w:rFonts w:ascii="ITC Avant Garde" w:hAnsi="ITC Avant Garde"/>
          <w:lang w:val="es-MX"/>
        </w:rPr>
      </w:pP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t xml:space="preserve">Figura </w:t>
      </w:r>
      <w:r w:rsidR="00E55E52">
        <w:rPr>
          <w:rFonts w:ascii="ITC Avant Garde" w:hAnsi="ITC Avant Garde"/>
          <w:lang w:val="es-MX"/>
        </w:rPr>
        <w:t>46</w:t>
      </w:r>
      <w:r w:rsidRPr="00872052">
        <w:rPr>
          <w:rFonts w:ascii="ITC Avant Garde" w:hAnsi="ITC Avant Garde"/>
          <w:lang w:val="es-MX"/>
        </w:rPr>
        <w:t xml:space="preserve"> - Ubicación de los postes</w:t>
      </w:r>
    </w:p>
    <w:p w:rsidR="005B0846" w:rsidRPr="00872052" w:rsidRDefault="005B0846" w:rsidP="005B0846">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016E8A0E" wp14:editId="08B2FA41">
            <wp:extent cx="5399405" cy="2118290"/>
            <wp:effectExtent l="0" t="0" r="0" b="0"/>
            <wp:docPr id="8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9405" cy="2118290"/>
                    </a:xfrm>
                    <a:prstGeom prst="rect">
                      <a:avLst/>
                    </a:prstGeom>
                    <a:noFill/>
                  </pic:spPr>
                </pic:pic>
              </a:graphicData>
            </a:graphic>
          </wp:inline>
        </w:drawing>
      </w:r>
    </w:p>
    <w:p w:rsidR="005B0846" w:rsidRPr="00872052" w:rsidRDefault="005B0846" w:rsidP="005B0846">
      <w:pPr>
        <w:rPr>
          <w:rFonts w:ascii="ITC Avant Garde" w:hAnsi="ITC Avant Garde"/>
          <w:lang w:val="es-MX"/>
        </w:rPr>
      </w:pPr>
    </w:p>
    <w:p w:rsidR="005B0846" w:rsidRPr="00872052" w:rsidRDefault="005B0846" w:rsidP="005B0846">
      <w:pPr>
        <w:pStyle w:val="Ttulo4"/>
        <w:rPr>
          <w:rFonts w:ascii="ITC Avant Garde" w:hAnsi="ITC Avant Garde"/>
          <w:lang w:val="es-MX"/>
        </w:rPr>
      </w:pPr>
      <w:bookmarkStart w:id="280" w:name="_Toc525672880"/>
      <w:bookmarkStart w:id="281" w:name="_Toc525665320"/>
      <w:bookmarkStart w:id="282" w:name="_Toc525665699"/>
      <w:bookmarkStart w:id="283" w:name="_Toc526854400"/>
      <w:r w:rsidRPr="00872052">
        <w:rPr>
          <w:rFonts w:ascii="ITC Avant Garde" w:hAnsi="ITC Avant Garde"/>
          <w:lang w:val="es-MX"/>
        </w:rPr>
        <w:t>Cálculo de longitud de zanjas / "canalizaciones"</w:t>
      </w:r>
      <w:bookmarkEnd w:id="280"/>
      <w:bookmarkEnd w:id="281"/>
      <w:bookmarkEnd w:id="282"/>
      <w:bookmarkEnd w:id="283"/>
    </w:p>
    <w:p w:rsidR="005B0846" w:rsidRPr="00872052" w:rsidRDefault="005B0846" w:rsidP="005B0846">
      <w:pPr>
        <w:rPr>
          <w:rFonts w:ascii="ITC Avant Garde" w:hAnsi="ITC Avant Garde"/>
          <w:lang w:val="es-MX"/>
        </w:rPr>
      </w:pPr>
      <w:r w:rsidRPr="00872052">
        <w:rPr>
          <w:rFonts w:ascii="ITC Avant Garde" w:hAnsi="ITC Avant Garde"/>
          <w:lang w:val="es-MX"/>
        </w:rPr>
        <w:t xml:space="preserve">Cuando se deben cavar </w:t>
      </w:r>
      <w:r w:rsidR="00751425">
        <w:rPr>
          <w:rFonts w:ascii="ITC Avant Garde" w:hAnsi="ITC Avant Garde"/>
          <w:lang w:val="es-MX"/>
        </w:rPr>
        <w:t>zanja</w:t>
      </w:r>
      <w:r w:rsidR="00751425" w:rsidRPr="00872052">
        <w:rPr>
          <w:rFonts w:ascii="ITC Avant Garde" w:hAnsi="ITC Avant Garde"/>
          <w:lang w:val="es-MX"/>
        </w:rPr>
        <w:t xml:space="preserve">s </w:t>
      </w:r>
      <w:r w:rsidRPr="00872052">
        <w:rPr>
          <w:rFonts w:ascii="ITC Avant Garde" w:hAnsi="ITC Avant Garde"/>
          <w:lang w:val="es-MX"/>
        </w:rPr>
        <w:t>/ "canalizaciones" en ambos lados de la carretera, hay dos configuraciones principales para la longitud de las zanjas.</w:t>
      </w: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lastRenderedPageBreak/>
        <w:t xml:space="preserve">Figura </w:t>
      </w:r>
      <w:r w:rsidR="00E55E52">
        <w:rPr>
          <w:rFonts w:ascii="ITC Avant Garde" w:hAnsi="ITC Avant Garde"/>
          <w:lang w:val="es-MX"/>
        </w:rPr>
        <w:t>47</w:t>
      </w:r>
      <w:r w:rsidRPr="00872052">
        <w:rPr>
          <w:rFonts w:ascii="ITC Avant Garde" w:hAnsi="ITC Avant Garde"/>
          <w:lang w:val="es-MX"/>
        </w:rPr>
        <w:t xml:space="preserve"> - Configuraciones de secciones de camino</w:t>
      </w:r>
    </w:p>
    <w:p w:rsidR="005B0846" w:rsidRPr="00872052" w:rsidRDefault="005B0846" w:rsidP="005B0846">
      <w:pPr>
        <w:jc w:val="center"/>
        <w:rPr>
          <w:rFonts w:ascii="ITC Avant Garde" w:hAnsi="ITC Avant Garde"/>
          <w:lang w:val="es-MX"/>
        </w:rPr>
      </w:pPr>
      <w:r w:rsidRPr="00872052">
        <w:rPr>
          <w:rFonts w:ascii="ITC Avant Garde" w:hAnsi="ITC Avant Garde"/>
          <w:noProof/>
          <w:lang w:val="es-MX" w:eastAsia="es-MX"/>
        </w:rPr>
        <w:drawing>
          <wp:inline distT="0" distB="0" distL="0" distR="0" wp14:anchorId="553747CF" wp14:editId="44CABE62">
            <wp:extent cx="5399405" cy="1509497"/>
            <wp:effectExtent l="0" t="0" r="0" b="0"/>
            <wp:docPr id="8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9405" cy="1509497"/>
                    </a:xfrm>
                    <a:prstGeom prst="rect">
                      <a:avLst/>
                    </a:prstGeom>
                    <a:noFill/>
                    <a:ln>
                      <a:noFill/>
                    </a:ln>
                  </pic:spPr>
                </pic:pic>
              </a:graphicData>
            </a:graphic>
          </wp:inline>
        </w:drawing>
      </w:r>
    </w:p>
    <w:p w:rsidR="005B0846" w:rsidRPr="00872052" w:rsidRDefault="005B0846" w:rsidP="005B0846">
      <w:pPr>
        <w:pStyle w:val="Source"/>
        <w:rPr>
          <w:rFonts w:ascii="ITC Avant Garde" w:hAnsi="ITC Avant Garde"/>
          <w:lang w:val="es-MX"/>
        </w:rPr>
      </w:pP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El primer caso (a) corresponde a una situación en la que se cavan </w:t>
      </w:r>
      <w:r w:rsidR="00751425">
        <w:rPr>
          <w:rFonts w:ascii="ITC Avant Garde" w:hAnsi="ITC Avant Garde"/>
          <w:lang w:val="es-MX"/>
        </w:rPr>
        <w:t>zanja</w:t>
      </w:r>
      <w:r w:rsidR="00751425" w:rsidRPr="00872052">
        <w:rPr>
          <w:rFonts w:ascii="ITC Avant Garde" w:hAnsi="ITC Avant Garde"/>
          <w:lang w:val="es-MX"/>
        </w:rPr>
        <w:t xml:space="preserve">s </w:t>
      </w:r>
      <w:r w:rsidRPr="00872052">
        <w:rPr>
          <w:rFonts w:ascii="ITC Avant Garde" w:hAnsi="ITC Avant Garde"/>
          <w:lang w:val="es-MX"/>
        </w:rPr>
        <w:t xml:space="preserve">en ambos lados de la carretera, y luego se cruza la carretera una vez. El caso (b) corresponde a una situación donde se cavan </w:t>
      </w:r>
      <w:r w:rsidR="00751425">
        <w:rPr>
          <w:rFonts w:ascii="ITC Avant Garde" w:hAnsi="ITC Avant Garde"/>
          <w:lang w:val="es-MX"/>
        </w:rPr>
        <w:t>zanja</w:t>
      </w:r>
      <w:r w:rsidR="00751425" w:rsidRPr="00872052">
        <w:rPr>
          <w:rFonts w:ascii="ITC Avant Garde" w:hAnsi="ITC Avant Garde"/>
          <w:lang w:val="es-MX"/>
        </w:rPr>
        <w:t xml:space="preserve">s </w:t>
      </w:r>
      <w:r w:rsidRPr="00872052">
        <w:rPr>
          <w:rFonts w:ascii="ITC Avant Garde" w:hAnsi="ITC Avant Garde"/>
          <w:lang w:val="es-MX"/>
        </w:rPr>
        <w:t>en el lado principal de la carretera y luego, el camino se cruza una vez para cada dirección en el segundo lado.</w:t>
      </w:r>
    </w:p>
    <w:p w:rsidR="00567F1B" w:rsidRPr="00872052" w:rsidRDefault="00567F1B" w:rsidP="00567F1B">
      <w:pPr>
        <w:rPr>
          <w:rFonts w:ascii="ITC Avant Garde" w:hAnsi="ITC Avant Garde"/>
          <w:lang w:val="es-MX"/>
        </w:rPr>
      </w:pPr>
      <w:r w:rsidRPr="00872052">
        <w:rPr>
          <w:rFonts w:ascii="ITC Avant Garde" w:hAnsi="ITC Avant Garde"/>
          <w:lang w:val="es-MX"/>
        </w:rPr>
        <w:t>Esto se calcula con el fin de minimizar la longitud de las zanjas excavadas, mediante el siguiente proceso:</w:t>
      </w:r>
    </w:p>
    <w:p w:rsidR="005B0846" w:rsidRPr="00872052" w:rsidRDefault="005B0846" w:rsidP="00FE7152">
      <w:pPr>
        <w:pStyle w:val="Prrafodelista"/>
        <w:numPr>
          <w:ilvl w:val="0"/>
          <w:numId w:val="31"/>
        </w:numPr>
        <w:rPr>
          <w:rFonts w:ascii="ITC Avant Garde" w:hAnsi="ITC Avant Garde"/>
          <w:lang w:val="es-MX"/>
        </w:rPr>
      </w:pPr>
      <w:r w:rsidRPr="00872052">
        <w:rPr>
          <w:rFonts w:ascii="ITC Avant Garde" w:hAnsi="ITC Avant Garde"/>
          <w:lang w:val="es-MX"/>
        </w:rPr>
        <w:t>Identificar en ambos lados la dirección más cercana a la CO y la dirección más alejada de la CO.</w:t>
      </w:r>
    </w:p>
    <w:p w:rsidR="005B0846" w:rsidRPr="00872052" w:rsidRDefault="005B0846" w:rsidP="00FE7152">
      <w:pPr>
        <w:pStyle w:val="Prrafodelista"/>
        <w:numPr>
          <w:ilvl w:val="0"/>
          <w:numId w:val="31"/>
        </w:numPr>
        <w:rPr>
          <w:rFonts w:ascii="ITC Avant Garde" w:hAnsi="ITC Avant Garde"/>
          <w:lang w:val="es-MX"/>
        </w:rPr>
      </w:pPr>
      <w:r w:rsidRPr="00872052">
        <w:rPr>
          <w:rFonts w:ascii="ITC Avant Garde" w:hAnsi="ITC Avant Garde"/>
          <w:lang w:val="es-MX"/>
        </w:rPr>
        <w:t>Identificar el número de direcciones en ambos lados.</w:t>
      </w:r>
    </w:p>
    <w:p w:rsidR="005B0846" w:rsidRPr="00872052" w:rsidRDefault="005B0846" w:rsidP="00FE7152">
      <w:pPr>
        <w:pStyle w:val="Prrafodelista"/>
        <w:numPr>
          <w:ilvl w:val="0"/>
          <w:numId w:val="31"/>
        </w:numPr>
        <w:rPr>
          <w:rFonts w:ascii="ITC Avant Garde" w:hAnsi="ITC Avant Garde"/>
          <w:lang w:val="es-MX"/>
        </w:rPr>
      </w:pPr>
      <w:r w:rsidRPr="00872052">
        <w:rPr>
          <w:rFonts w:ascii="ITC Avant Garde" w:hAnsi="ITC Avant Garde"/>
          <w:lang w:val="es-MX"/>
        </w:rPr>
        <w:t xml:space="preserve">Calcular para ambos lados la longitud requerida para conectar todas las direcciones al otro lado usando el caso (a), y el caso (b) (en el SQL referido como </w:t>
      </w:r>
      <w:proofErr w:type="spellStart"/>
      <w:r w:rsidRPr="00872052">
        <w:rPr>
          <w:rFonts w:ascii="ITC Avant Garde" w:hAnsi="ITC Avant Garde"/>
          <w:lang w:val="es-MX"/>
        </w:rPr>
        <w:t>Left_OneCrossLength</w:t>
      </w:r>
      <w:proofErr w:type="spellEnd"/>
      <w:r w:rsidRPr="00872052">
        <w:rPr>
          <w:rFonts w:ascii="ITC Avant Garde" w:hAnsi="ITC Avant Garde"/>
          <w:lang w:val="es-MX"/>
        </w:rPr>
        <w:t xml:space="preserve"> e </w:t>
      </w:r>
      <w:proofErr w:type="spellStart"/>
      <w:r w:rsidRPr="00872052">
        <w:rPr>
          <w:rFonts w:ascii="ITC Avant Garde" w:hAnsi="ITC Avant Garde"/>
          <w:lang w:val="es-MX"/>
        </w:rPr>
        <w:t>Left_ManyCrossLength</w:t>
      </w:r>
      <w:proofErr w:type="spellEnd"/>
      <w:r w:rsidRPr="00872052">
        <w:rPr>
          <w:rFonts w:ascii="ITC Avant Garde" w:hAnsi="ITC Avant Garde"/>
          <w:lang w:val="es-MX"/>
        </w:rPr>
        <w:t>).</w:t>
      </w:r>
    </w:p>
    <w:p w:rsidR="005B0846" w:rsidRPr="00872052" w:rsidRDefault="005B0846" w:rsidP="00FE7152">
      <w:pPr>
        <w:pStyle w:val="Prrafodelista"/>
        <w:numPr>
          <w:ilvl w:val="0"/>
          <w:numId w:val="31"/>
        </w:numPr>
        <w:rPr>
          <w:rFonts w:ascii="ITC Avant Garde" w:hAnsi="ITC Avant Garde"/>
          <w:lang w:val="es-MX"/>
        </w:rPr>
      </w:pPr>
      <w:r w:rsidRPr="00872052">
        <w:rPr>
          <w:rFonts w:ascii="ITC Avant Garde" w:hAnsi="ITC Avant Garde"/>
          <w:lang w:val="es-MX"/>
        </w:rPr>
        <w:t xml:space="preserve">Identificar el lado principal, identificando la combinación más pequeña longitud izquierda + longitud derecha usando el valor descrito arriba (ver Tabla a bajo, determinando cuál de a1, a2, b1 o b2 es la distancia más pequeña) e identificando la estrategia de </w:t>
      </w:r>
      <w:r w:rsidR="00751425">
        <w:rPr>
          <w:rFonts w:ascii="ITC Avant Garde" w:hAnsi="ITC Avant Garde"/>
          <w:lang w:val="es-MX"/>
        </w:rPr>
        <w:t>zanja</w:t>
      </w:r>
      <w:r w:rsidR="00751425" w:rsidRPr="00872052">
        <w:rPr>
          <w:rFonts w:ascii="ITC Avant Garde" w:hAnsi="ITC Avant Garde"/>
          <w:lang w:val="es-MX"/>
        </w:rPr>
        <w:t xml:space="preserve"> </w:t>
      </w:r>
      <w:r w:rsidRPr="00872052">
        <w:rPr>
          <w:rFonts w:ascii="ITC Avant Garde" w:hAnsi="ITC Avant Garde"/>
          <w:lang w:val="es-MX"/>
        </w:rPr>
        <w:t>(una cruz o muchas cruces) seleccionando la que minimiza la longitud. 4 longitudes están definidas:</w:t>
      </w:r>
    </w:p>
    <w:p w:rsidR="005B0846" w:rsidRPr="00872052" w:rsidRDefault="005B0846" w:rsidP="00FE7152">
      <w:pPr>
        <w:pStyle w:val="Prrafodelista"/>
        <w:numPr>
          <w:ilvl w:val="1"/>
          <w:numId w:val="31"/>
        </w:numPr>
        <w:rPr>
          <w:rFonts w:ascii="ITC Avant Garde" w:hAnsi="ITC Avant Garde"/>
          <w:lang w:val="es-MX"/>
        </w:rPr>
      </w:pPr>
      <w:proofErr w:type="spellStart"/>
      <w:r w:rsidRPr="00872052">
        <w:rPr>
          <w:rFonts w:ascii="ITC Avant Garde" w:hAnsi="ITC Avant Garde"/>
          <w:lang w:val="es-MX"/>
        </w:rPr>
        <w:t>Left_OneCrossLength</w:t>
      </w:r>
      <w:proofErr w:type="spellEnd"/>
      <w:r w:rsidRPr="00872052">
        <w:rPr>
          <w:rFonts w:ascii="ITC Avant Garde" w:hAnsi="ITC Avant Garde"/>
          <w:lang w:val="es-MX"/>
        </w:rPr>
        <w:t>: longitud de vincular todos los edificios en el lado izquierdo (distancia entre el último y el primer edificio) + cruzar la carretera una vez</w:t>
      </w:r>
    </w:p>
    <w:p w:rsidR="005B0846" w:rsidRPr="00872052" w:rsidRDefault="005B0846" w:rsidP="00FE7152">
      <w:pPr>
        <w:pStyle w:val="Prrafodelista"/>
        <w:numPr>
          <w:ilvl w:val="1"/>
          <w:numId w:val="31"/>
        </w:numPr>
        <w:rPr>
          <w:rFonts w:ascii="ITC Avant Garde" w:hAnsi="ITC Avant Garde"/>
          <w:lang w:val="es-MX"/>
        </w:rPr>
      </w:pPr>
      <w:proofErr w:type="spellStart"/>
      <w:r w:rsidRPr="00872052">
        <w:rPr>
          <w:rFonts w:ascii="ITC Avant Garde" w:hAnsi="ITC Avant Garde"/>
          <w:lang w:val="es-MX"/>
        </w:rPr>
        <w:t>Left_ManyCrossLength</w:t>
      </w:r>
      <w:proofErr w:type="spellEnd"/>
      <w:r w:rsidRPr="00872052">
        <w:rPr>
          <w:rFonts w:ascii="ITC Avant Garde" w:hAnsi="ITC Avant Garde"/>
          <w:lang w:val="es-MX"/>
        </w:rPr>
        <w:t>: longitud de cruzar la calle una vez por cada edificio en el lado izquierdo</w:t>
      </w:r>
    </w:p>
    <w:p w:rsidR="005B0846" w:rsidRPr="00872052" w:rsidRDefault="005B0846" w:rsidP="00FE7152">
      <w:pPr>
        <w:pStyle w:val="Prrafodelista"/>
        <w:numPr>
          <w:ilvl w:val="1"/>
          <w:numId w:val="31"/>
        </w:numPr>
        <w:rPr>
          <w:rFonts w:ascii="ITC Avant Garde" w:hAnsi="ITC Avant Garde"/>
          <w:lang w:val="es-MX"/>
        </w:rPr>
      </w:pPr>
      <w:proofErr w:type="spellStart"/>
      <w:r w:rsidRPr="00872052">
        <w:rPr>
          <w:rFonts w:ascii="ITC Avant Garde" w:hAnsi="ITC Avant Garde"/>
          <w:lang w:val="es-MX"/>
        </w:rPr>
        <w:t>Right_OneCrossLength</w:t>
      </w:r>
      <w:proofErr w:type="spellEnd"/>
      <w:r w:rsidRPr="00872052">
        <w:rPr>
          <w:rFonts w:ascii="ITC Avant Garde" w:hAnsi="ITC Avant Garde"/>
          <w:lang w:val="es-MX"/>
        </w:rPr>
        <w:t>: longitud de vincular todos los edificios del lado derecho + cruzar la calle una vez</w:t>
      </w:r>
    </w:p>
    <w:p w:rsidR="005B0846" w:rsidRPr="00872052" w:rsidRDefault="005B0846" w:rsidP="00FE7152">
      <w:pPr>
        <w:pStyle w:val="Prrafodelista"/>
        <w:numPr>
          <w:ilvl w:val="1"/>
          <w:numId w:val="31"/>
        </w:numPr>
        <w:rPr>
          <w:rFonts w:ascii="ITC Avant Garde" w:hAnsi="ITC Avant Garde"/>
          <w:lang w:val="es-MX"/>
        </w:rPr>
      </w:pPr>
      <w:proofErr w:type="spellStart"/>
      <w:r w:rsidRPr="00872052">
        <w:rPr>
          <w:rFonts w:ascii="ITC Avant Garde" w:hAnsi="ITC Avant Garde"/>
          <w:lang w:val="es-MX"/>
        </w:rPr>
        <w:t>Right_ManyCrossLength</w:t>
      </w:r>
      <w:proofErr w:type="spellEnd"/>
      <w:r w:rsidRPr="00872052">
        <w:rPr>
          <w:rFonts w:ascii="ITC Avant Garde" w:hAnsi="ITC Avant Garde"/>
          <w:lang w:val="es-MX"/>
        </w:rPr>
        <w:t>: longitud de cruzar la calle una vez por cada edificio en el lado derecho</w:t>
      </w:r>
    </w:p>
    <w:p w:rsidR="005B0846" w:rsidRPr="00872052" w:rsidRDefault="005B0846" w:rsidP="005B0846">
      <w:pPr>
        <w:rPr>
          <w:rFonts w:ascii="ITC Avant Garde" w:hAnsi="ITC Avant Garde"/>
          <w:lang w:val="es-MX"/>
        </w:rPr>
      </w:pPr>
    </w:p>
    <w:p w:rsidR="00567F1B" w:rsidRPr="00872052" w:rsidRDefault="00E55E52" w:rsidP="009D1253">
      <w:pPr>
        <w:pStyle w:val="Descripcin"/>
        <w:keepNext/>
        <w:rPr>
          <w:rFonts w:ascii="ITC Avant Garde" w:hAnsi="ITC Avant Garde"/>
          <w:lang w:val="es-MX"/>
        </w:rPr>
      </w:pPr>
      <w:r>
        <w:rPr>
          <w:rFonts w:ascii="ITC Avant Garde" w:hAnsi="ITC Avant Garde"/>
          <w:lang w:val="es-MX"/>
        </w:rPr>
        <w:lastRenderedPageBreak/>
        <w:t>Cuadro</w:t>
      </w:r>
      <w:r w:rsidRPr="00872052">
        <w:rPr>
          <w:rFonts w:ascii="ITC Avant Garde" w:hAnsi="ITC Avant Garde"/>
          <w:lang w:val="es-MX"/>
        </w:rPr>
        <w:t xml:space="preserve"> </w:t>
      </w:r>
      <w:r>
        <w:rPr>
          <w:rFonts w:ascii="ITC Avant Garde" w:hAnsi="ITC Avant Garde"/>
          <w:lang w:val="es-MX"/>
        </w:rPr>
        <w:t>14</w:t>
      </w:r>
      <w:r w:rsidR="00567F1B" w:rsidRPr="00872052">
        <w:rPr>
          <w:rFonts w:ascii="ITC Avant Garde" w:hAnsi="ITC Avant Garde"/>
          <w:lang w:val="es-MX"/>
        </w:rPr>
        <w:t xml:space="preserve"> - Determinación de la estrategia de zanjas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881"/>
        <w:gridCol w:w="2881"/>
      </w:tblGrid>
      <w:tr w:rsidR="00567F1B" w:rsidRPr="004B276B" w:rsidTr="005B0846">
        <w:trPr>
          <w:jc w:val="center"/>
        </w:trPr>
        <w:tc>
          <w:tcPr>
            <w:tcW w:w="1101" w:type="dxa"/>
            <w:shd w:val="clear" w:color="auto" w:fill="2F5897" w:themeFill="text2"/>
          </w:tcPr>
          <w:p w:rsidR="00567F1B" w:rsidRPr="00872052" w:rsidRDefault="00567F1B" w:rsidP="00567F1B">
            <w:pPr>
              <w:keepNext/>
              <w:keepLines/>
              <w:rPr>
                <w:rFonts w:ascii="ITC Avant Garde" w:hAnsi="ITC Avant Garde"/>
                <w:sz w:val="16"/>
                <w:lang w:val="es-MX"/>
              </w:rPr>
            </w:pPr>
          </w:p>
        </w:tc>
        <w:tc>
          <w:tcPr>
            <w:tcW w:w="2881" w:type="dxa"/>
            <w:shd w:val="clear" w:color="auto" w:fill="2F5897" w:themeFill="text2"/>
          </w:tcPr>
          <w:p w:rsidR="00567F1B" w:rsidRPr="00872052" w:rsidRDefault="00567F1B" w:rsidP="00567F1B">
            <w:pPr>
              <w:keepNext/>
              <w:keepLines/>
              <w:jc w:val="center"/>
              <w:rPr>
                <w:rFonts w:ascii="ITC Avant Garde" w:hAnsi="ITC Avant Garde"/>
                <w:b/>
                <w:color w:val="FFFFFF"/>
                <w:sz w:val="16"/>
                <w:lang w:val="es-MX"/>
              </w:rPr>
            </w:pPr>
            <w:r w:rsidRPr="00872052">
              <w:rPr>
                <w:rFonts w:ascii="ITC Avant Garde" w:hAnsi="ITC Avant Garde"/>
                <w:b/>
                <w:color w:val="FFFFFF"/>
                <w:sz w:val="16"/>
                <w:lang w:val="es-MX"/>
              </w:rPr>
              <w:t>1 (</w:t>
            </w:r>
            <w:proofErr w:type="spellStart"/>
            <w:r w:rsidRPr="00872052">
              <w:rPr>
                <w:rFonts w:ascii="ITC Avant Garde" w:hAnsi="ITC Avant Garde"/>
                <w:b/>
                <w:color w:val="FFFFFF"/>
                <w:sz w:val="16"/>
                <w:lang w:val="es-MX"/>
              </w:rPr>
              <w:t>right</w:t>
            </w:r>
            <w:proofErr w:type="spellEnd"/>
            <w:r w:rsidRPr="00872052">
              <w:rPr>
                <w:rFonts w:ascii="ITC Avant Garde" w:hAnsi="ITC Avant Garde"/>
                <w:b/>
                <w:color w:val="FFFFFF"/>
                <w:sz w:val="16"/>
                <w:lang w:val="es-MX"/>
              </w:rPr>
              <w:t xml:space="preserve"> </w:t>
            </w:r>
            <w:proofErr w:type="spellStart"/>
            <w:r w:rsidRPr="00872052">
              <w:rPr>
                <w:rFonts w:ascii="ITC Avant Garde" w:hAnsi="ITC Avant Garde"/>
                <w:b/>
                <w:color w:val="FFFFFF"/>
                <w:sz w:val="16"/>
                <w:lang w:val="es-MX"/>
              </w:rPr>
              <w:t>is</w:t>
            </w:r>
            <w:proofErr w:type="spellEnd"/>
            <w:r w:rsidRPr="00872052">
              <w:rPr>
                <w:rFonts w:ascii="ITC Avant Garde" w:hAnsi="ITC Avant Garde"/>
                <w:b/>
                <w:color w:val="FFFFFF"/>
                <w:sz w:val="16"/>
                <w:lang w:val="es-MX"/>
              </w:rPr>
              <w:t xml:space="preserve"> </w:t>
            </w:r>
            <w:proofErr w:type="spellStart"/>
            <w:r w:rsidRPr="00872052">
              <w:rPr>
                <w:rFonts w:ascii="ITC Avant Garde" w:hAnsi="ITC Avant Garde"/>
                <w:b/>
                <w:color w:val="FFFFFF"/>
                <w:sz w:val="16"/>
                <w:lang w:val="es-MX"/>
              </w:rPr>
              <w:t>main</w:t>
            </w:r>
            <w:proofErr w:type="spellEnd"/>
            <w:r w:rsidRPr="00872052">
              <w:rPr>
                <w:rFonts w:ascii="ITC Avant Garde" w:hAnsi="ITC Avant Garde"/>
                <w:b/>
                <w:color w:val="FFFFFF"/>
                <w:sz w:val="16"/>
                <w:lang w:val="es-MX"/>
              </w:rPr>
              <w:t xml:space="preserve"> </w:t>
            </w:r>
            <w:proofErr w:type="spellStart"/>
            <w:r w:rsidRPr="00872052">
              <w:rPr>
                <w:rFonts w:ascii="ITC Avant Garde" w:hAnsi="ITC Avant Garde"/>
                <w:b/>
                <w:color w:val="FFFFFF"/>
                <w:sz w:val="16"/>
                <w:lang w:val="es-MX"/>
              </w:rPr>
              <w:t>side</w:t>
            </w:r>
            <w:proofErr w:type="spellEnd"/>
            <w:r w:rsidRPr="00872052">
              <w:rPr>
                <w:rFonts w:ascii="ITC Avant Garde" w:hAnsi="ITC Avant Garde"/>
                <w:b/>
                <w:color w:val="FFFFFF"/>
                <w:sz w:val="16"/>
                <w:lang w:val="es-MX"/>
              </w:rPr>
              <w:t>)</w:t>
            </w:r>
          </w:p>
        </w:tc>
        <w:tc>
          <w:tcPr>
            <w:tcW w:w="2881" w:type="dxa"/>
            <w:shd w:val="clear" w:color="auto" w:fill="2F5897" w:themeFill="text2"/>
          </w:tcPr>
          <w:p w:rsidR="00567F1B" w:rsidRPr="00872052" w:rsidRDefault="00567F1B" w:rsidP="00567F1B">
            <w:pPr>
              <w:keepNext/>
              <w:keepLines/>
              <w:jc w:val="center"/>
              <w:rPr>
                <w:rFonts w:ascii="ITC Avant Garde" w:hAnsi="ITC Avant Garde"/>
                <w:b/>
                <w:color w:val="FFFFFF"/>
                <w:sz w:val="16"/>
                <w:lang w:val="es-MX"/>
              </w:rPr>
            </w:pPr>
            <w:r w:rsidRPr="00872052">
              <w:rPr>
                <w:rFonts w:ascii="ITC Avant Garde" w:hAnsi="ITC Avant Garde"/>
                <w:b/>
                <w:color w:val="FFFFFF"/>
                <w:sz w:val="16"/>
                <w:lang w:val="es-MX"/>
              </w:rPr>
              <w:t>2 (</w:t>
            </w:r>
            <w:proofErr w:type="spellStart"/>
            <w:r w:rsidRPr="00872052">
              <w:rPr>
                <w:rFonts w:ascii="ITC Avant Garde" w:hAnsi="ITC Avant Garde"/>
                <w:b/>
                <w:color w:val="FFFFFF"/>
                <w:sz w:val="16"/>
                <w:lang w:val="es-MX"/>
              </w:rPr>
              <w:t>left</w:t>
            </w:r>
            <w:proofErr w:type="spellEnd"/>
            <w:r w:rsidRPr="00872052">
              <w:rPr>
                <w:rFonts w:ascii="ITC Avant Garde" w:hAnsi="ITC Avant Garde"/>
                <w:b/>
                <w:color w:val="FFFFFF"/>
                <w:sz w:val="16"/>
                <w:lang w:val="es-MX"/>
              </w:rPr>
              <w:t xml:space="preserve"> </w:t>
            </w:r>
            <w:proofErr w:type="spellStart"/>
            <w:r w:rsidRPr="00872052">
              <w:rPr>
                <w:rFonts w:ascii="ITC Avant Garde" w:hAnsi="ITC Avant Garde"/>
                <w:b/>
                <w:color w:val="FFFFFF"/>
                <w:sz w:val="16"/>
                <w:lang w:val="es-MX"/>
              </w:rPr>
              <w:t>is</w:t>
            </w:r>
            <w:proofErr w:type="spellEnd"/>
            <w:r w:rsidRPr="00872052">
              <w:rPr>
                <w:rFonts w:ascii="ITC Avant Garde" w:hAnsi="ITC Avant Garde"/>
                <w:b/>
                <w:color w:val="FFFFFF"/>
                <w:sz w:val="16"/>
                <w:lang w:val="es-MX"/>
              </w:rPr>
              <w:t xml:space="preserve"> </w:t>
            </w:r>
            <w:proofErr w:type="spellStart"/>
            <w:r w:rsidRPr="00872052">
              <w:rPr>
                <w:rFonts w:ascii="ITC Avant Garde" w:hAnsi="ITC Avant Garde"/>
                <w:b/>
                <w:color w:val="FFFFFF"/>
                <w:sz w:val="16"/>
                <w:lang w:val="es-MX"/>
              </w:rPr>
              <w:t>main</w:t>
            </w:r>
            <w:proofErr w:type="spellEnd"/>
            <w:r w:rsidRPr="00872052">
              <w:rPr>
                <w:rFonts w:ascii="ITC Avant Garde" w:hAnsi="ITC Avant Garde"/>
                <w:b/>
                <w:color w:val="FFFFFF"/>
                <w:sz w:val="16"/>
                <w:lang w:val="es-MX"/>
              </w:rPr>
              <w:t xml:space="preserve"> </w:t>
            </w:r>
            <w:proofErr w:type="spellStart"/>
            <w:r w:rsidRPr="00872052">
              <w:rPr>
                <w:rFonts w:ascii="ITC Avant Garde" w:hAnsi="ITC Avant Garde"/>
                <w:b/>
                <w:color w:val="FFFFFF"/>
                <w:sz w:val="16"/>
                <w:lang w:val="es-MX"/>
              </w:rPr>
              <w:t>side</w:t>
            </w:r>
            <w:proofErr w:type="spellEnd"/>
            <w:r w:rsidRPr="00872052">
              <w:rPr>
                <w:rFonts w:ascii="ITC Avant Garde" w:hAnsi="ITC Avant Garde"/>
                <w:b/>
                <w:color w:val="FFFFFF"/>
                <w:sz w:val="16"/>
                <w:lang w:val="es-MX"/>
              </w:rPr>
              <w:t>)</w:t>
            </w:r>
          </w:p>
        </w:tc>
      </w:tr>
      <w:tr w:rsidR="00567F1B" w:rsidRPr="000F2F19" w:rsidTr="005B0846">
        <w:trPr>
          <w:jc w:val="center"/>
        </w:trPr>
        <w:tc>
          <w:tcPr>
            <w:tcW w:w="1101" w:type="dxa"/>
            <w:shd w:val="clear" w:color="auto" w:fill="DFE3F0" w:themeFill="accent1" w:themeFillTint="33"/>
          </w:tcPr>
          <w:p w:rsidR="00567F1B" w:rsidRPr="00872052" w:rsidRDefault="00567F1B" w:rsidP="00567F1B">
            <w:pPr>
              <w:keepNext/>
              <w:keepLines/>
              <w:rPr>
                <w:rFonts w:ascii="ITC Avant Garde" w:hAnsi="ITC Avant Garde"/>
                <w:b/>
                <w:sz w:val="16"/>
                <w:lang w:val="es-MX"/>
              </w:rPr>
            </w:pPr>
            <w:r w:rsidRPr="00872052">
              <w:rPr>
                <w:rFonts w:ascii="ITC Avant Garde" w:hAnsi="ITC Avant Garde"/>
                <w:b/>
                <w:sz w:val="16"/>
                <w:lang w:val="es-MX"/>
              </w:rPr>
              <w:t>A (</w:t>
            </w:r>
            <w:proofErr w:type="spellStart"/>
            <w:r w:rsidRPr="00872052">
              <w:rPr>
                <w:rFonts w:ascii="ITC Avant Garde" w:hAnsi="ITC Avant Garde"/>
                <w:b/>
                <w:sz w:val="16"/>
                <w:lang w:val="es-MX"/>
              </w:rPr>
              <w:t>One</w:t>
            </w:r>
            <w:proofErr w:type="spellEnd"/>
            <w:r w:rsidRPr="00872052">
              <w:rPr>
                <w:rFonts w:ascii="ITC Avant Garde" w:hAnsi="ITC Avant Garde"/>
                <w:b/>
                <w:sz w:val="16"/>
                <w:lang w:val="es-MX"/>
              </w:rPr>
              <w:t xml:space="preserve"> </w:t>
            </w:r>
            <w:proofErr w:type="spellStart"/>
            <w:r w:rsidRPr="00872052">
              <w:rPr>
                <w:rFonts w:ascii="ITC Avant Garde" w:hAnsi="ITC Avant Garde"/>
                <w:b/>
                <w:sz w:val="16"/>
                <w:lang w:val="es-MX"/>
              </w:rPr>
              <w:t>cross</w:t>
            </w:r>
            <w:proofErr w:type="spellEnd"/>
            <w:r w:rsidRPr="00872052">
              <w:rPr>
                <w:rFonts w:ascii="ITC Avant Garde" w:hAnsi="ITC Avant Garde"/>
                <w:b/>
                <w:sz w:val="16"/>
                <w:lang w:val="es-MX"/>
              </w:rPr>
              <w:t>)</w:t>
            </w:r>
          </w:p>
        </w:tc>
        <w:tc>
          <w:tcPr>
            <w:tcW w:w="2881" w:type="dxa"/>
            <w:shd w:val="clear" w:color="auto" w:fill="auto"/>
          </w:tcPr>
          <w:p w:rsidR="00567F1B" w:rsidRPr="00872052" w:rsidRDefault="00567F1B" w:rsidP="00567F1B">
            <w:pPr>
              <w:keepNext/>
              <w:keepLines/>
              <w:jc w:val="center"/>
              <w:rPr>
                <w:rFonts w:ascii="ITC Avant Garde" w:hAnsi="ITC Avant Garde"/>
                <w:sz w:val="16"/>
              </w:rPr>
            </w:pPr>
            <w:proofErr w:type="spellStart"/>
            <w:r w:rsidRPr="00872052">
              <w:rPr>
                <w:rFonts w:ascii="ITC Avant Garde" w:hAnsi="ITC Avant Garde"/>
                <w:sz w:val="16"/>
              </w:rPr>
              <w:t>Left_OneCrossLength</w:t>
            </w:r>
            <w:proofErr w:type="spellEnd"/>
          </w:p>
          <w:p w:rsidR="00567F1B" w:rsidRPr="00872052" w:rsidRDefault="00567F1B" w:rsidP="00567F1B">
            <w:pPr>
              <w:keepNext/>
              <w:keepLines/>
              <w:jc w:val="center"/>
              <w:rPr>
                <w:rFonts w:ascii="ITC Avant Garde" w:hAnsi="ITC Avant Garde"/>
                <w:sz w:val="16"/>
              </w:rPr>
            </w:pPr>
            <w:r w:rsidRPr="00872052">
              <w:rPr>
                <w:rFonts w:ascii="ITC Avant Garde" w:hAnsi="ITC Avant Garde"/>
                <w:sz w:val="16"/>
              </w:rPr>
              <w:t>+ Right length if main side</w:t>
            </w:r>
          </w:p>
        </w:tc>
        <w:tc>
          <w:tcPr>
            <w:tcW w:w="2881" w:type="dxa"/>
            <w:shd w:val="clear" w:color="auto" w:fill="auto"/>
          </w:tcPr>
          <w:p w:rsidR="00567F1B" w:rsidRPr="00872052" w:rsidRDefault="00567F1B" w:rsidP="00567F1B">
            <w:pPr>
              <w:keepNext/>
              <w:keepLines/>
              <w:jc w:val="center"/>
              <w:rPr>
                <w:rFonts w:ascii="ITC Avant Garde" w:hAnsi="ITC Avant Garde"/>
                <w:sz w:val="16"/>
              </w:rPr>
            </w:pPr>
            <w:proofErr w:type="spellStart"/>
            <w:r w:rsidRPr="00872052">
              <w:rPr>
                <w:rFonts w:ascii="ITC Avant Garde" w:hAnsi="ITC Avant Garde"/>
                <w:sz w:val="16"/>
              </w:rPr>
              <w:t>Right_OneCrossLength</w:t>
            </w:r>
            <w:proofErr w:type="spellEnd"/>
          </w:p>
          <w:p w:rsidR="00567F1B" w:rsidRPr="00872052" w:rsidRDefault="00567F1B" w:rsidP="00567F1B">
            <w:pPr>
              <w:keepNext/>
              <w:keepLines/>
              <w:jc w:val="center"/>
              <w:rPr>
                <w:rFonts w:ascii="ITC Avant Garde" w:hAnsi="ITC Avant Garde"/>
                <w:sz w:val="16"/>
              </w:rPr>
            </w:pPr>
            <w:r w:rsidRPr="00872052">
              <w:rPr>
                <w:rFonts w:ascii="ITC Avant Garde" w:hAnsi="ITC Avant Garde"/>
                <w:sz w:val="16"/>
              </w:rPr>
              <w:t>+ Left length if main side</w:t>
            </w:r>
          </w:p>
        </w:tc>
      </w:tr>
      <w:tr w:rsidR="00567F1B" w:rsidRPr="000F2F19" w:rsidTr="005B0846">
        <w:trPr>
          <w:jc w:val="center"/>
        </w:trPr>
        <w:tc>
          <w:tcPr>
            <w:tcW w:w="1101" w:type="dxa"/>
            <w:shd w:val="clear" w:color="auto" w:fill="DFE3F0" w:themeFill="accent1" w:themeFillTint="33"/>
          </w:tcPr>
          <w:p w:rsidR="00567F1B" w:rsidRPr="00872052" w:rsidRDefault="00567F1B" w:rsidP="00567F1B">
            <w:pPr>
              <w:keepNext/>
              <w:keepLines/>
              <w:rPr>
                <w:rFonts w:ascii="ITC Avant Garde" w:hAnsi="ITC Avant Garde"/>
                <w:b/>
                <w:sz w:val="16"/>
                <w:lang w:val="es-MX"/>
              </w:rPr>
            </w:pPr>
            <w:r w:rsidRPr="00872052">
              <w:rPr>
                <w:rFonts w:ascii="ITC Avant Garde" w:hAnsi="ITC Avant Garde"/>
                <w:b/>
                <w:sz w:val="16"/>
                <w:lang w:val="es-MX"/>
              </w:rPr>
              <w:t>B (</w:t>
            </w:r>
            <w:proofErr w:type="spellStart"/>
            <w:r w:rsidRPr="00872052">
              <w:rPr>
                <w:rFonts w:ascii="ITC Avant Garde" w:hAnsi="ITC Avant Garde"/>
                <w:b/>
                <w:sz w:val="16"/>
                <w:lang w:val="es-MX"/>
              </w:rPr>
              <w:t>Many</w:t>
            </w:r>
            <w:proofErr w:type="spellEnd"/>
            <w:r w:rsidRPr="00872052">
              <w:rPr>
                <w:rFonts w:ascii="ITC Avant Garde" w:hAnsi="ITC Avant Garde"/>
                <w:b/>
                <w:sz w:val="16"/>
                <w:lang w:val="es-MX"/>
              </w:rPr>
              <w:t xml:space="preserve"> </w:t>
            </w:r>
            <w:proofErr w:type="spellStart"/>
            <w:r w:rsidRPr="00872052">
              <w:rPr>
                <w:rFonts w:ascii="ITC Avant Garde" w:hAnsi="ITC Avant Garde"/>
                <w:b/>
                <w:sz w:val="16"/>
                <w:lang w:val="es-MX"/>
              </w:rPr>
              <w:t>cross</w:t>
            </w:r>
            <w:proofErr w:type="spellEnd"/>
            <w:r w:rsidRPr="00872052">
              <w:rPr>
                <w:rFonts w:ascii="ITC Avant Garde" w:hAnsi="ITC Avant Garde"/>
                <w:b/>
                <w:sz w:val="16"/>
                <w:lang w:val="es-MX"/>
              </w:rPr>
              <w:t>)</w:t>
            </w:r>
          </w:p>
        </w:tc>
        <w:tc>
          <w:tcPr>
            <w:tcW w:w="2881" w:type="dxa"/>
            <w:shd w:val="clear" w:color="auto" w:fill="auto"/>
          </w:tcPr>
          <w:p w:rsidR="00567F1B" w:rsidRPr="00872052" w:rsidRDefault="00567F1B" w:rsidP="00567F1B">
            <w:pPr>
              <w:keepNext/>
              <w:keepLines/>
              <w:jc w:val="center"/>
              <w:rPr>
                <w:rFonts w:ascii="ITC Avant Garde" w:hAnsi="ITC Avant Garde"/>
                <w:sz w:val="16"/>
              </w:rPr>
            </w:pPr>
            <w:proofErr w:type="spellStart"/>
            <w:r w:rsidRPr="00872052">
              <w:rPr>
                <w:rFonts w:ascii="ITC Avant Garde" w:hAnsi="ITC Avant Garde"/>
                <w:sz w:val="16"/>
              </w:rPr>
              <w:t>Left_ManyCrossLength</w:t>
            </w:r>
            <w:proofErr w:type="spellEnd"/>
          </w:p>
          <w:p w:rsidR="00567F1B" w:rsidRPr="00872052" w:rsidRDefault="00567F1B" w:rsidP="00567F1B">
            <w:pPr>
              <w:keepNext/>
              <w:keepLines/>
              <w:jc w:val="center"/>
              <w:rPr>
                <w:rFonts w:ascii="ITC Avant Garde" w:hAnsi="ITC Avant Garde"/>
                <w:sz w:val="16"/>
              </w:rPr>
            </w:pPr>
            <w:r w:rsidRPr="00872052">
              <w:rPr>
                <w:rFonts w:ascii="ITC Avant Garde" w:hAnsi="ITC Avant Garde"/>
                <w:sz w:val="16"/>
              </w:rPr>
              <w:t>+ Right length if main side</w:t>
            </w:r>
          </w:p>
        </w:tc>
        <w:tc>
          <w:tcPr>
            <w:tcW w:w="2881" w:type="dxa"/>
            <w:shd w:val="clear" w:color="auto" w:fill="auto"/>
          </w:tcPr>
          <w:p w:rsidR="00567F1B" w:rsidRPr="00872052" w:rsidRDefault="00567F1B" w:rsidP="00567F1B">
            <w:pPr>
              <w:keepNext/>
              <w:keepLines/>
              <w:jc w:val="center"/>
              <w:rPr>
                <w:rFonts w:ascii="ITC Avant Garde" w:hAnsi="ITC Avant Garde"/>
                <w:sz w:val="16"/>
              </w:rPr>
            </w:pPr>
            <w:proofErr w:type="spellStart"/>
            <w:r w:rsidRPr="00872052">
              <w:rPr>
                <w:rFonts w:ascii="ITC Avant Garde" w:hAnsi="ITC Avant Garde"/>
                <w:sz w:val="16"/>
              </w:rPr>
              <w:t>Right_ManyCrossLength</w:t>
            </w:r>
            <w:proofErr w:type="spellEnd"/>
          </w:p>
          <w:p w:rsidR="00567F1B" w:rsidRPr="00872052" w:rsidRDefault="00567F1B" w:rsidP="00567F1B">
            <w:pPr>
              <w:keepNext/>
              <w:keepLines/>
              <w:jc w:val="center"/>
              <w:rPr>
                <w:rFonts w:ascii="ITC Avant Garde" w:hAnsi="ITC Avant Garde"/>
                <w:sz w:val="16"/>
              </w:rPr>
            </w:pPr>
            <w:r w:rsidRPr="00872052">
              <w:rPr>
                <w:rFonts w:ascii="ITC Avant Garde" w:hAnsi="ITC Avant Garde"/>
                <w:sz w:val="16"/>
              </w:rPr>
              <w:t>+ Left length if main side</w:t>
            </w:r>
          </w:p>
        </w:tc>
      </w:tr>
    </w:tbl>
    <w:p w:rsidR="00567F1B" w:rsidRPr="00872052" w:rsidRDefault="00567F1B" w:rsidP="00567F1B">
      <w:pPr>
        <w:rPr>
          <w:rFonts w:ascii="ITC Avant Garde" w:hAnsi="ITC Avant Garde"/>
        </w:rPr>
      </w:pPr>
    </w:p>
    <w:p w:rsidR="005B0846" w:rsidRPr="00872052" w:rsidRDefault="005B0846" w:rsidP="005B0846">
      <w:pPr>
        <w:rPr>
          <w:rFonts w:ascii="ITC Avant Garde" w:hAnsi="ITC Avant Garde"/>
          <w:lang w:val="es-MX"/>
        </w:rPr>
      </w:pPr>
      <w:r w:rsidRPr="00872052">
        <w:rPr>
          <w:rFonts w:ascii="ITC Avant Garde" w:hAnsi="ITC Avant Garde"/>
          <w:lang w:val="es-MX"/>
        </w:rPr>
        <w:t>La longitud de la zanja en el segundo lado es entonces la seleccionada (la seleccionada en la Tabla arriba).</w:t>
      </w:r>
    </w:p>
    <w:p w:rsidR="00567F1B" w:rsidRPr="00872052" w:rsidRDefault="00567F1B" w:rsidP="00567F1B">
      <w:pPr>
        <w:rPr>
          <w:rFonts w:ascii="ITC Avant Garde" w:hAnsi="ITC Avant Garde"/>
          <w:lang w:val="es-MX"/>
        </w:rPr>
      </w:pPr>
      <w:r w:rsidRPr="00872052">
        <w:rPr>
          <w:rFonts w:ascii="ITC Avant Garde" w:hAnsi="ITC Avant Garde"/>
          <w:lang w:val="es-MX"/>
        </w:rPr>
        <w:t xml:space="preserve">Debe tenerse en cuenta que el ancho de la carretera está ponderado por un factor con el fin de tener en cuenta el costo adicional de la construcción de túneles en comparación con las </w:t>
      </w:r>
      <w:r w:rsidR="00751425">
        <w:rPr>
          <w:rFonts w:ascii="ITC Avant Garde" w:hAnsi="ITC Avant Garde"/>
          <w:lang w:val="es-MX"/>
        </w:rPr>
        <w:t>zanja</w:t>
      </w:r>
      <w:r w:rsidR="00751425" w:rsidRPr="00872052">
        <w:rPr>
          <w:rFonts w:ascii="ITC Avant Garde" w:hAnsi="ITC Avant Garde"/>
          <w:lang w:val="es-MX"/>
        </w:rPr>
        <w:t xml:space="preserve">s </w:t>
      </w:r>
      <w:r w:rsidRPr="00872052">
        <w:rPr>
          <w:rFonts w:ascii="ITC Avant Garde" w:hAnsi="ITC Avant Garde"/>
          <w:lang w:val="es-MX"/>
        </w:rPr>
        <w:t>de los caminos. Este factor se calcula como la relación entre el costo de "canalizaciones en Arroyo con Tráfico Pesado" y las "Canalizaciones en Banqueta" utilizadas en el borde de la carretera.</w:t>
      </w:r>
    </w:p>
    <w:p w:rsidR="00567F1B" w:rsidRPr="00872052" w:rsidRDefault="00567F1B" w:rsidP="00567F1B">
      <w:pPr>
        <w:rPr>
          <w:rFonts w:ascii="ITC Avant Garde" w:hAnsi="ITC Avant Garde"/>
          <w:lang w:val="es-MX"/>
        </w:rPr>
      </w:pPr>
      <w:r w:rsidRPr="00872052">
        <w:rPr>
          <w:rFonts w:ascii="ITC Avant Garde" w:hAnsi="ITC Avant Garde"/>
          <w:lang w:val="es-MX"/>
        </w:rPr>
        <w:t xml:space="preserve">En el lado principal, la longitud es la longitud generada al agregar las casas al siguiente SDP y el SDP al comienzo de la sección, o la longitud de la sección si la ruta es utilizada por una ruta 'PDP </w:t>
      </w:r>
      <w:r w:rsidR="005B0846" w:rsidRPr="00872052">
        <w:rPr>
          <w:rFonts w:ascii="ITC Avant Garde" w:hAnsi="ITC Avant Garde"/>
          <w:lang w:val="es-MX"/>
        </w:rPr>
        <w:t>al CO'</w:t>
      </w:r>
      <w:r w:rsidRPr="00872052">
        <w:rPr>
          <w:rFonts w:ascii="ITC Avant Garde" w:hAnsi="ITC Avant Garde"/>
          <w:lang w:val="es-MX"/>
        </w:rPr>
        <w:t xml:space="preserve"> o si la sección agrega algunas otras secciones con los SDP</w:t>
      </w:r>
      <w:r w:rsidR="005B0846" w:rsidRPr="00872052">
        <w:rPr>
          <w:rFonts w:ascii="ITC Avant Garde" w:hAnsi="ITC Avant Garde"/>
          <w:lang w:val="es-MX"/>
        </w:rPr>
        <w:t>.</w:t>
      </w: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t xml:space="preserve"> Figura </w:t>
      </w:r>
      <w:r w:rsidR="00E55E52">
        <w:rPr>
          <w:rFonts w:ascii="ITC Avant Garde" w:hAnsi="ITC Avant Garde"/>
          <w:lang w:val="es-MX"/>
        </w:rPr>
        <w:t>48</w:t>
      </w:r>
      <w:r w:rsidRPr="00872052">
        <w:rPr>
          <w:rFonts w:ascii="ITC Avant Garde" w:hAnsi="ITC Avant Garde"/>
          <w:lang w:val="es-MX"/>
        </w:rPr>
        <w:t xml:space="preserve"> - Longitud de la zanja utilizada por los diferentes niveles de la red</w:t>
      </w:r>
    </w:p>
    <w:p w:rsidR="005B0846" w:rsidRPr="00872052" w:rsidRDefault="005B0846" w:rsidP="005B0846">
      <w:pPr>
        <w:rPr>
          <w:rFonts w:ascii="ITC Avant Garde" w:hAnsi="ITC Avant Garde"/>
          <w:lang w:val="es-MX"/>
        </w:rPr>
      </w:pPr>
      <w:r w:rsidRPr="00872052">
        <w:rPr>
          <w:rFonts w:ascii="ITC Avant Garde" w:hAnsi="ITC Avant Garde"/>
          <w:noProof/>
          <w:lang w:val="es-MX" w:eastAsia="es-MX"/>
        </w:rPr>
        <w:drawing>
          <wp:inline distT="0" distB="0" distL="0" distR="0" wp14:anchorId="30F6803B" wp14:editId="7BA22DF9">
            <wp:extent cx="5399405" cy="1579189"/>
            <wp:effectExtent l="0" t="0" r="0" b="254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9405" cy="1579189"/>
                    </a:xfrm>
                    <a:prstGeom prst="rect">
                      <a:avLst/>
                    </a:prstGeom>
                    <a:noFill/>
                  </pic:spPr>
                </pic:pic>
              </a:graphicData>
            </a:graphic>
          </wp:inline>
        </w:drawing>
      </w:r>
    </w:p>
    <w:p w:rsidR="00567F1B" w:rsidRPr="00872052" w:rsidRDefault="00567F1B" w:rsidP="00567F1B">
      <w:pPr>
        <w:rPr>
          <w:rFonts w:ascii="ITC Avant Garde" w:hAnsi="ITC Avant Garde"/>
          <w:lang w:val="es-MX"/>
        </w:rPr>
      </w:pPr>
    </w:p>
    <w:p w:rsidR="00567F1B" w:rsidRPr="00872052" w:rsidRDefault="00567F1B" w:rsidP="00567F1B">
      <w:pPr>
        <w:pStyle w:val="Ttulo4"/>
        <w:rPr>
          <w:rFonts w:ascii="ITC Avant Garde" w:hAnsi="ITC Avant Garde"/>
          <w:lang w:val="es-MX"/>
        </w:rPr>
      </w:pPr>
      <w:bookmarkStart w:id="284" w:name="_Toc525672881"/>
      <w:bookmarkStart w:id="285" w:name="_Toc525665321"/>
      <w:bookmarkStart w:id="286" w:name="_Toc525665700"/>
      <w:bookmarkStart w:id="287" w:name="_Toc526854401"/>
      <w:r w:rsidRPr="00872052">
        <w:rPr>
          <w:rFonts w:ascii="ITC Avant Garde" w:hAnsi="ITC Avant Garde"/>
          <w:lang w:val="es-MX"/>
        </w:rPr>
        <w:t>Asignación de longitud de zanja</w:t>
      </w:r>
      <w:bookmarkEnd w:id="284"/>
      <w:bookmarkEnd w:id="285"/>
      <w:bookmarkEnd w:id="286"/>
      <w:bookmarkEnd w:id="287"/>
    </w:p>
    <w:p w:rsidR="005B0846" w:rsidRPr="00872052" w:rsidRDefault="005B0846" w:rsidP="005B0846">
      <w:pPr>
        <w:rPr>
          <w:rFonts w:ascii="ITC Avant Garde" w:hAnsi="ITC Avant Garde"/>
          <w:lang w:val="es-MX"/>
        </w:rPr>
      </w:pPr>
      <w:r w:rsidRPr="00872052">
        <w:rPr>
          <w:rFonts w:ascii="ITC Avant Garde" w:hAnsi="ITC Avant Garde"/>
          <w:lang w:val="es-MX"/>
        </w:rPr>
        <w:t>La longitud de zanja en el segundo lado se asigna entre la acometida y la red secundaria con base en las siguientes reglas:</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Si no hay ningún SDP instalado en el segundo lado, todo se asigna a la acometida;</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Si se instala un SDP en el segundo lado, se calcula la longitud de las zanjas utilizadas por la longitud del SDP, se calcula la longitud de las zanjas utilizadas por la acometida. La longitud total de la zanja se asigna en función de las proporciones respectivas de longitud.</w:t>
      </w:r>
    </w:p>
    <w:p w:rsidR="00567F1B" w:rsidRPr="00872052" w:rsidRDefault="00567F1B" w:rsidP="00567F1B">
      <w:pPr>
        <w:rPr>
          <w:rFonts w:ascii="ITC Avant Garde" w:hAnsi="ITC Avant Garde"/>
          <w:lang w:val="es-MX"/>
        </w:rPr>
      </w:pPr>
      <w:r w:rsidRPr="00872052">
        <w:rPr>
          <w:rFonts w:ascii="ITC Avant Garde" w:hAnsi="ITC Avant Garde"/>
          <w:lang w:val="es-MX"/>
        </w:rPr>
        <w:lastRenderedPageBreak/>
        <w:t>Para el lado principal, se usa el mismo principio. Las distancias utilizadas se calculan de la siguiente manera:</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Si un enlace de red primaria usa la sección, la longitud de la red primaria es la longitud de la sección.</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 xml:space="preserve">Si la sección agrega una sección que tenía un SDP: </w:t>
      </w:r>
    </w:p>
    <w:p w:rsidR="005B0846" w:rsidRPr="00872052" w:rsidRDefault="005B0846" w:rsidP="005B0846">
      <w:pPr>
        <w:pStyle w:val="Listaconvietas2"/>
        <w:numPr>
          <w:ilvl w:val="1"/>
          <w:numId w:val="1"/>
        </w:numPr>
        <w:rPr>
          <w:rFonts w:ascii="ITC Avant Garde" w:hAnsi="ITC Avant Garde"/>
          <w:lang w:val="es-MX"/>
        </w:rPr>
      </w:pPr>
      <w:r w:rsidRPr="00872052">
        <w:rPr>
          <w:rFonts w:ascii="ITC Avant Garde" w:hAnsi="ITC Avant Garde"/>
          <w:lang w:val="es-MX"/>
        </w:rPr>
        <w:t>si la sección contiene un PDP, se utiliza la longitud del SDP al PDP</w:t>
      </w:r>
    </w:p>
    <w:p w:rsidR="005B0846" w:rsidRPr="00872052" w:rsidRDefault="005B0846" w:rsidP="005B0846">
      <w:pPr>
        <w:pStyle w:val="Listaconvietas2"/>
        <w:numPr>
          <w:ilvl w:val="1"/>
          <w:numId w:val="1"/>
        </w:numPr>
        <w:rPr>
          <w:rFonts w:ascii="ITC Avant Garde" w:hAnsi="ITC Avant Garde"/>
          <w:lang w:val="es-MX"/>
        </w:rPr>
      </w:pPr>
      <w:r w:rsidRPr="00872052">
        <w:rPr>
          <w:rFonts w:ascii="ITC Avant Garde" w:hAnsi="ITC Avant Garde"/>
          <w:lang w:val="es-MX"/>
        </w:rPr>
        <w:t>de lo contrario, se utiliza la longitud de la sección.</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Si la sección no agrega ninguna sección que tenga un SDP y tenga al menos un SDP:</w:t>
      </w:r>
    </w:p>
    <w:p w:rsidR="005B0846" w:rsidRPr="00872052" w:rsidRDefault="00407294" w:rsidP="005B0846">
      <w:pPr>
        <w:pStyle w:val="Listaconvietas2"/>
        <w:numPr>
          <w:ilvl w:val="1"/>
          <w:numId w:val="1"/>
        </w:numPr>
        <w:rPr>
          <w:rFonts w:ascii="ITC Avant Garde" w:hAnsi="ITC Avant Garde"/>
          <w:lang w:val="es-MX"/>
        </w:rPr>
      </w:pPr>
      <w:r>
        <w:rPr>
          <w:rFonts w:ascii="ITC Avant Garde" w:hAnsi="ITC Avant Garde"/>
          <w:lang w:val="es-MX"/>
        </w:rPr>
        <w:t>S</w:t>
      </w:r>
      <w:r w:rsidR="005B0846" w:rsidRPr="00872052">
        <w:rPr>
          <w:rFonts w:ascii="ITC Avant Garde" w:hAnsi="ITC Avant Garde"/>
          <w:lang w:val="es-MX"/>
        </w:rPr>
        <w:t>i la sección contiene un PDP, se utiliza la longitud máxima entre el primero y el último SDP y entre el SDP y el PDP</w:t>
      </w:r>
      <w:r>
        <w:rPr>
          <w:rFonts w:ascii="ITC Avant Garde" w:hAnsi="ITC Avant Garde"/>
          <w:lang w:val="es-MX"/>
        </w:rPr>
        <w:t>;</w:t>
      </w:r>
    </w:p>
    <w:p w:rsidR="005B0846" w:rsidRPr="00872052" w:rsidRDefault="005B0846" w:rsidP="005B0846">
      <w:pPr>
        <w:pStyle w:val="Listaconvietas2"/>
        <w:numPr>
          <w:ilvl w:val="1"/>
          <w:numId w:val="1"/>
        </w:numPr>
        <w:rPr>
          <w:rFonts w:ascii="ITC Avant Garde" w:hAnsi="ITC Avant Garde"/>
          <w:lang w:val="es-MX"/>
        </w:rPr>
      </w:pPr>
      <w:r w:rsidRPr="00872052">
        <w:rPr>
          <w:rFonts w:ascii="ITC Avant Garde" w:hAnsi="ITC Avant Garde"/>
          <w:lang w:val="es-MX"/>
        </w:rPr>
        <w:t>Si la sección no contiene un PDP, se utiliza la longitud entre el último SDP y el comienzo de la sección.</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Si la sección no agrega ninguna sección que tenga un SDP y no se instala SDP en la sección, se usa 0 para la longitud del SDP.</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Para la longitud de acometida, se utiliza la longitud de las zanjas utilizadas entre las instalaciones y los SDP (ver figura a continuación).</w:t>
      </w: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t xml:space="preserve"> Figura </w:t>
      </w:r>
      <w:r w:rsidR="00E55E52">
        <w:rPr>
          <w:rFonts w:ascii="ITC Avant Garde" w:hAnsi="ITC Avant Garde"/>
          <w:lang w:val="es-MX"/>
        </w:rPr>
        <w:t>49</w:t>
      </w:r>
      <w:r w:rsidRPr="00872052">
        <w:rPr>
          <w:rFonts w:ascii="ITC Avant Garde" w:hAnsi="ITC Avant Garde"/>
          <w:lang w:val="es-MX"/>
        </w:rPr>
        <w:t xml:space="preserve"> - asignación de longitud de </w:t>
      </w:r>
      <w:r w:rsidR="00751425">
        <w:rPr>
          <w:rFonts w:ascii="ITC Avant Garde" w:hAnsi="ITC Avant Garde"/>
          <w:lang w:val="es-MX"/>
        </w:rPr>
        <w:t>zanja</w:t>
      </w:r>
      <w:r w:rsidR="00751425" w:rsidRPr="00872052">
        <w:rPr>
          <w:rFonts w:ascii="ITC Avant Garde" w:hAnsi="ITC Avant Garde"/>
          <w:lang w:val="es-MX"/>
        </w:rPr>
        <w:t>s</w:t>
      </w:r>
    </w:p>
    <w:p w:rsidR="005B0846" w:rsidRPr="00872052" w:rsidRDefault="005B0846" w:rsidP="005B0846">
      <w:pPr>
        <w:rPr>
          <w:rFonts w:ascii="ITC Avant Garde" w:hAnsi="ITC Avant Garde"/>
          <w:lang w:val="es-MX"/>
        </w:rPr>
      </w:pPr>
      <w:r w:rsidRPr="00872052">
        <w:rPr>
          <w:rFonts w:ascii="ITC Avant Garde" w:hAnsi="ITC Avant Garde"/>
          <w:noProof/>
          <w:lang w:val="es-MX" w:eastAsia="es-MX"/>
        </w:rPr>
        <w:drawing>
          <wp:inline distT="0" distB="0" distL="0" distR="0" wp14:anchorId="17CAA1CB" wp14:editId="53ADB7CB">
            <wp:extent cx="4964430" cy="1858502"/>
            <wp:effectExtent l="0" t="0" r="7620" b="8890"/>
            <wp:docPr id="82"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88584" cy="1867544"/>
                    </a:xfrm>
                    <a:prstGeom prst="rect">
                      <a:avLst/>
                    </a:prstGeom>
                    <a:noFill/>
                  </pic:spPr>
                </pic:pic>
              </a:graphicData>
            </a:graphic>
          </wp:inline>
        </w:drawing>
      </w:r>
    </w:p>
    <w:p w:rsidR="005B0846" w:rsidRPr="00872052" w:rsidRDefault="005B0846" w:rsidP="005B0846">
      <w:pPr>
        <w:rPr>
          <w:rFonts w:ascii="ITC Avant Garde" w:hAnsi="ITC Avant Garde"/>
          <w:lang w:val="es-MX"/>
        </w:rPr>
      </w:pP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Para la red de cobre, se considera que el 10% de las canalizaciones se comparten con la red de </w:t>
      </w:r>
      <w:proofErr w:type="spellStart"/>
      <w:r w:rsidRPr="00872052">
        <w:rPr>
          <w:rFonts w:ascii="ITC Avant Garde" w:hAnsi="ITC Avant Garde"/>
          <w:lang w:val="es-MX"/>
        </w:rPr>
        <w:t>trasnporte</w:t>
      </w:r>
      <w:proofErr w:type="spellEnd"/>
      <w:r w:rsidRPr="00872052">
        <w:rPr>
          <w:rFonts w:ascii="ITC Avant Garde" w:hAnsi="ITC Avant Garde"/>
          <w:lang w:val="es-MX"/>
        </w:rPr>
        <w:t>.</w:t>
      </w:r>
    </w:p>
    <w:p w:rsidR="009E4497" w:rsidRDefault="009E4497" w:rsidP="00567F1B">
      <w:pPr>
        <w:rPr>
          <w:rFonts w:ascii="ITC Avant Garde" w:hAnsi="ITC Avant Garde"/>
          <w:lang w:val="es-MX"/>
        </w:rPr>
      </w:pPr>
    </w:p>
    <w:p w:rsidR="0061735A" w:rsidRDefault="0061735A" w:rsidP="00567F1B">
      <w:pPr>
        <w:rPr>
          <w:rFonts w:ascii="ITC Avant Garde" w:hAnsi="ITC Avant Garde"/>
          <w:lang w:val="es-MX"/>
        </w:rPr>
      </w:pPr>
    </w:p>
    <w:p w:rsidR="0061735A" w:rsidRPr="00872052" w:rsidRDefault="0061735A" w:rsidP="00567F1B">
      <w:pPr>
        <w:rPr>
          <w:rFonts w:ascii="ITC Avant Garde" w:hAnsi="ITC Avant Garde"/>
          <w:lang w:val="es-MX"/>
        </w:rPr>
      </w:pPr>
    </w:p>
    <w:p w:rsidR="009E4497" w:rsidRPr="00872052" w:rsidRDefault="009E4497" w:rsidP="009E4497">
      <w:pPr>
        <w:pStyle w:val="Ttulo3"/>
        <w:rPr>
          <w:rFonts w:ascii="ITC Avant Garde" w:hAnsi="ITC Avant Garde"/>
          <w:lang w:val="es-MX"/>
        </w:rPr>
      </w:pPr>
      <w:bookmarkStart w:id="288" w:name="_Toc525672882"/>
      <w:bookmarkStart w:id="289" w:name="_Toc525665322"/>
      <w:bookmarkStart w:id="290" w:name="_Toc525665701"/>
      <w:bookmarkStart w:id="291" w:name="_Toc526854402"/>
      <w:r w:rsidRPr="00872052">
        <w:rPr>
          <w:rFonts w:ascii="ITC Avant Garde" w:hAnsi="ITC Avant Garde"/>
          <w:lang w:val="es-MX"/>
        </w:rPr>
        <w:lastRenderedPageBreak/>
        <w:t>Despliegue de la red de fibra</w:t>
      </w:r>
      <w:bookmarkEnd w:id="288"/>
      <w:bookmarkEnd w:id="289"/>
      <w:bookmarkEnd w:id="290"/>
      <w:bookmarkEnd w:id="291"/>
    </w:p>
    <w:p w:rsidR="009E4497" w:rsidRPr="00872052" w:rsidRDefault="009E4497" w:rsidP="009E4497">
      <w:pPr>
        <w:rPr>
          <w:rFonts w:ascii="ITC Avant Garde" w:hAnsi="ITC Avant Garde"/>
          <w:lang w:val="es-MX"/>
        </w:rPr>
      </w:pPr>
      <w:r w:rsidRPr="00872052">
        <w:rPr>
          <w:rFonts w:ascii="ITC Avant Garde" w:hAnsi="ITC Avant Garde"/>
          <w:lang w:val="es-MX"/>
        </w:rPr>
        <w:t>Los principios seguidos para implementar la red son globalmente similares a los de la red de cobre con pequeños ajustes:</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 xml:space="preserve">Se supone 1 fibra por local (según lo establecido por </w:t>
      </w:r>
      <w:r w:rsidR="003B1FBF">
        <w:rPr>
          <w:rFonts w:ascii="ITC Avant Garde" w:hAnsi="ITC Avant Garde"/>
          <w:lang w:val="es-MX"/>
        </w:rPr>
        <w:t>el AEP</w:t>
      </w:r>
      <w:r w:rsidRPr="00872052">
        <w:rPr>
          <w:rFonts w:ascii="ITC Avant Garde" w:hAnsi="ITC Avant Garde"/>
          <w:lang w:val="es-MX"/>
        </w:rPr>
        <w:t>);</w:t>
      </w:r>
    </w:p>
    <w:p w:rsidR="005B0846" w:rsidRPr="00872052" w:rsidRDefault="00407294" w:rsidP="005B0846">
      <w:pPr>
        <w:pStyle w:val="Listaconvietas2"/>
        <w:rPr>
          <w:rFonts w:ascii="ITC Avant Garde" w:hAnsi="ITC Avant Garde"/>
          <w:lang w:val="es-MX"/>
        </w:rPr>
      </w:pPr>
      <w:r>
        <w:rPr>
          <w:rFonts w:ascii="ITC Avant Garde" w:hAnsi="ITC Avant Garde"/>
          <w:lang w:val="es-MX"/>
        </w:rPr>
        <w:t>S</w:t>
      </w:r>
      <w:r w:rsidR="005B0846" w:rsidRPr="00872052">
        <w:rPr>
          <w:rFonts w:ascii="ITC Avant Garde" w:hAnsi="ITC Avant Garde"/>
          <w:lang w:val="es-MX"/>
        </w:rPr>
        <w:t>e usan cables de fibra en lugar de cables de cobre;</w:t>
      </w:r>
    </w:p>
    <w:p w:rsidR="005B0846" w:rsidRPr="00872052" w:rsidRDefault="00407294" w:rsidP="005B0846">
      <w:pPr>
        <w:pStyle w:val="Listaconvietas2"/>
        <w:rPr>
          <w:rFonts w:ascii="ITC Avant Garde" w:hAnsi="ITC Avant Garde"/>
          <w:lang w:val="es-MX"/>
        </w:rPr>
      </w:pPr>
      <w:r>
        <w:rPr>
          <w:rFonts w:ascii="ITC Avant Garde" w:hAnsi="ITC Avant Garde"/>
          <w:lang w:val="es-MX"/>
        </w:rPr>
        <w:t>S</w:t>
      </w:r>
      <w:r w:rsidR="005B0846" w:rsidRPr="00872052">
        <w:rPr>
          <w:rFonts w:ascii="ITC Avant Garde" w:hAnsi="ITC Avant Garde"/>
          <w:lang w:val="es-MX"/>
        </w:rPr>
        <w:t>e utilizan DP de fibra en lugar de DP de cobre;</w:t>
      </w:r>
    </w:p>
    <w:p w:rsidR="005B0846" w:rsidRPr="00872052" w:rsidRDefault="00407294" w:rsidP="005B0846">
      <w:pPr>
        <w:pStyle w:val="Listaconvietas2"/>
        <w:rPr>
          <w:rFonts w:ascii="ITC Avant Garde" w:hAnsi="ITC Avant Garde"/>
          <w:lang w:val="es-MX"/>
        </w:rPr>
      </w:pPr>
      <w:r>
        <w:rPr>
          <w:rFonts w:ascii="ITC Avant Garde" w:hAnsi="ITC Avant Garde"/>
          <w:lang w:val="es-MX"/>
        </w:rPr>
        <w:t>S</w:t>
      </w:r>
      <w:r w:rsidR="005B0846" w:rsidRPr="00872052">
        <w:rPr>
          <w:rFonts w:ascii="ITC Avant Garde" w:hAnsi="ITC Avant Garde"/>
          <w:lang w:val="es-MX"/>
        </w:rPr>
        <w:t xml:space="preserve">e utilizan </w:t>
      </w:r>
      <w:proofErr w:type="spellStart"/>
      <w:r w:rsidR="005B0846" w:rsidRPr="00872052">
        <w:rPr>
          <w:rFonts w:ascii="ITC Avant Garde" w:hAnsi="ITC Avant Garde"/>
          <w:lang w:val="es-MX"/>
        </w:rPr>
        <w:t>subductos</w:t>
      </w:r>
      <w:proofErr w:type="spellEnd"/>
      <w:r w:rsidR="005B0846" w:rsidRPr="00872052">
        <w:rPr>
          <w:rFonts w:ascii="ITC Avant Garde" w:hAnsi="ITC Avant Garde"/>
          <w:lang w:val="es-MX"/>
        </w:rPr>
        <w:t xml:space="preserve"> de fibra</w:t>
      </w:r>
    </w:p>
    <w:p w:rsidR="005B0846" w:rsidRPr="00872052" w:rsidRDefault="005B0846" w:rsidP="005B0846">
      <w:pPr>
        <w:rPr>
          <w:rFonts w:ascii="ITC Avant Garde" w:hAnsi="ITC Avant Garde"/>
          <w:lang w:val="es-MX"/>
        </w:rPr>
      </w:pPr>
      <w:r w:rsidRPr="00872052">
        <w:rPr>
          <w:rFonts w:ascii="ITC Avant Garde" w:hAnsi="ITC Avant Garde"/>
          <w:lang w:val="es-MX"/>
        </w:rPr>
        <w:t>Para los cables SDP y PDP, las reglas de cierres son las mismas que para la red de cobre.</w:t>
      </w:r>
    </w:p>
    <w:p w:rsidR="009E4497" w:rsidRPr="00872052" w:rsidRDefault="009E4497" w:rsidP="009E4497">
      <w:pPr>
        <w:rPr>
          <w:rFonts w:ascii="ITC Avant Garde" w:hAnsi="ITC Avant Garde"/>
          <w:lang w:val="es-MX"/>
        </w:rPr>
      </w:pPr>
      <w:r w:rsidRPr="00872052">
        <w:rPr>
          <w:rFonts w:ascii="ITC Avant Garde" w:hAnsi="ITC Avant Garde"/>
          <w:lang w:val="es-MX"/>
        </w:rPr>
        <w:t>Dado que se considera la tecnología PON, el equipo SDP es un divisor, que agrega 8 fibras.</w:t>
      </w:r>
    </w:p>
    <w:p w:rsidR="009E4497" w:rsidRPr="00872052" w:rsidRDefault="009E4497" w:rsidP="009E4497">
      <w:pPr>
        <w:rPr>
          <w:rFonts w:ascii="ITC Avant Garde" w:hAnsi="ITC Avant Garde"/>
          <w:lang w:val="es-MX"/>
        </w:rPr>
      </w:pPr>
      <w:r w:rsidRPr="00872052">
        <w:rPr>
          <w:rFonts w:ascii="ITC Avant Garde" w:hAnsi="ITC Avant Garde"/>
          <w:lang w:val="es-MX"/>
        </w:rPr>
        <w:t xml:space="preserve">En el nivel SDP, el número de líneas requeridas para pasar al PDP es el número de líneas agregadas divididas por 8. En el nivel PDP, el número de líneas requeridas para pasar a la </w:t>
      </w:r>
      <w:r w:rsidR="005B0846" w:rsidRPr="00872052">
        <w:rPr>
          <w:rFonts w:ascii="ITC Avant Garde" w:hAnsi="ITC Avant Garde"/>
          <w:lang w:val="es-MX"/>
        </w:rPr>
        <w:t>CO</w:t>
      </w:r>
      <w:r w:rsidRPr="00872052">
        <w:rPr>
          <w:rFonts w:ascii="ITC Avant Garde" w:hAnsi="ITC Avant Garde"/>
          <w:lang w:val="es-MX"/>
        </w:rPr>
        <w:t xml:space="preserve"> el número de líneas agregadas divididas por 8 (1: 8 se usa como una relación de división para ambos niveles de división).</w:t>
      </w:r>
    </w:p>
    <w:p w:rsidR="005B0846" w:rsidRPr="00872052" w:rsidRDefault="005B0846" w:rsidP="005B0846">
      <w:pPr>
        <w:rPr>
          <w:rFonts w:ascii="ITC Avant Garde" w:hAnsi="ITC Avant Garde"/>
          <w:lang w:val="es-MX"/>
        </w:rPr>
      </w:pPr>
      <w:r w:rsidRPr="00872052">
        <w:rPr>
          <w:rFonts w:ascii="ITC Avant Garde" w:hAnsi="ITC Avant Garde"/>
          <w:lang w:val="es-MX"/>
        </w:rPr>
        <w:t>Para la red de fibra, se considera que el 10% de las canalizaciones se comparten con la red central.</w:t>
      </w:r>
    </w:p>
    <w:p w:rsidR="005B0846" w:rsidRPr="00872052" w:rsidRDefault="005B0846" w:rsidP="005B0846">
      <w:pPr>
        <w:rPr>
          <w:rFonts w:ascii="ITC Avant Garde" w:hAnsi="ITC Avant Garde"/>
          <w:lang w:val="es-MX"/>
        </w:rPr>
      </w:pPr>
    </w:p>
    <w:p w:rsidR="005B0846" w:rsidRPr="00872052" w:rsidRDefault="005B0846" w:rsidP="005B0846">
      <w:pPr>
        <w:pStyle w:val="Ttulo4"/>
        <w:rPr>
          <w:rFonts w:ascii="ITC Avant Garde" w:hAnsi="ITC Avant Garde"/>
          <w:lang w:val="es-MX"/>
        </w:rPr>
      </w:pPr>
      <w:bookmarkStart w:id="292" w:name="_Toc525672883"/>
      <w:bookmarkStart w:id="293" w:name="_Toc525665323"/>
      <w:bookmarkStart w:id="294" w:name="_Toc525665702"/>
      <w:bookmarkStart w:id="295" w:name="_Toc526854403"/>
      <w:proofErr w:type="spellStart"/>
      <w:r w:rsidRPr="00872052">
        <w:rPr>
          <w:rFonts w:ascii="ITC Avant Garde" w:hAnsi="ITC Avant Garde"/>
          <w:lang w:val="es-MX"/>
        </w:rPr>
        <w:t>Subductos</w:t>
      </w:r>
      <w:bookmarkEnd w:id="292"/>
      <w:bookmarkEnd w:id="293"/>
      <w:bookmarkEnd w:id="294"/>
      <w:bookmarkEnd w:id="295"/>
      <w:proofErr w:type="spellEnd"/>
    </w:p>
    <w:p w:rsidR="005B0846" w:rsidRPr="00872052" w:rsidRDefault="005B0846" w:rsidP="005B0846">
      <w:pPr>
        <w:rPr>
          <w:rFonts w:ascii="ITC Avant Garde" w:hAnsi="ITC Avant Garde"/>
          <w:lang w:val="es-MX"/>
        </w:rPr>
      </w:pPr>
      <w:r w:rsidRPr="00872052">
        <w:rPr>
          <w:rFonts w:ascii="ITC Avant Garde" w:hAnsi="ITC Avant Garde"/>
          <w:lang w:val="es-MX"/>
        </w:rPr>
        <w:t xml:space="preserve">Dado que la red de fibra utiliza canalizaciones (como la red de cobre) en lugar de </w:t>
      </w:r>
      <w:r w:rsidR="00751425">
        <w:rPr>
          <w:rFonts w:ascii="ITC Avant Garde" w:hAnsi="ITC Avant Garde"/>
          <w:lang w:val="es-MX"/>
        </w:rPr>
        <w:t>zanja</w:t>
      </w:r>
      <w:r w:rsidR="00751425" w:rsidRPr="00872052">
        <w:rPr>
          <w:rFonts w:ascii="ITC Avant Garde" w:hAnsi="ITC Avant Garde"/>
          <w:lang w:val="es-MX"/>
        </w:rPr>
        <w:t xml:space="preserve">s </w:t>
      </w:r>
      <w:r w:rsidRPr="00872052">
        <w:rPr>
          <w:rFonts w:ascii="ITC Avant Garde" w:hAnsi="ITC Avant Garde"/>
          <w:lang w:val="es-MX"/>
        </w:rPr>
        <w:t>+ conductos, no se consideran grandes conductos.</w:t>
      </w:r>
    </w:p>
    <w:p w:rsidR="009E4497" w:rsidRPr="00872052" w:rsidRDefault="009E4497" w:rsidP="009E4497">
      <w:pPr>
        <w:rPr>
          <w:rFonts w:ascii="ITC Avant Garde" w:hAnsi="ITC Avant Garde"/>
          <w:lang w:val="es-MX"/>
        </w:rPr>
      </w:pPr>
      <w:r w:rsidRPr="00872052">
        <w:rPr>
          <w:rFonts w:ascii="ITC Avant Garde" w:hAnsi="ITC Avant Garde"/>
          <w:lang w:val="es-MX"/>
        </w:rPr>
        <w:t xml:space="preserve">Para la fibra, los </w:t>
      </w:r>
      <w:proofErr w:type="spellStart"/>
      <w:r w:rsidRPr="00872052">
        <w:rPr>
          <w:rFonts w:ascii="ITC Avant Garde" w:hAnsi="ITC Avant Garde"/>
          <w:lang w:val="es-MX"/>
        </w:rPr>
        <w:t>subductos</w:t>
      </w:r>
      <w:proofErr w:type="spellEnd"/>
      <w:r w:rsidRPr="00872052">
        <w:rPr>
          <w:rFonts w:ascii="ITC Avant Garde" w:hAnsi="ITC Avant Garde"/>
          <w:lang w:val="es-MX"/>
        </w:rPr>
        <w:t xml:space="preserve"> se utilizan para proteger los cables de fibra, que a su vez están incrustados en canalizaciones.</w:t>
      </w:r>
    </w:p>
    <w:p w:rsidR="009E4497" w:rsidRPr="00872052" w:rsidRDefault="009E4497" w:rsidP="009E4497">
      <w:pPr>
        <w:rPr>
          <w:rFonts w:ascii="ITC Avant Garde" w:hAnsi="ITC Avant Garde"/>
          <w:lang w:val="es-MX"/>
        </w:rPr>
      </w:pPr>
      <w:r w:rsidRPr="00872052">
        <w:rPr>
          <w:rFonts w:ascii="ITC Avant Garde" w:hAnsi="ITC Avant Garde"/>
          <w:lang w:val="es-MX"/>
        </w:rPr>
        <w:t xml:space="preserve">Se consideran dos </w:t>
      </w:r>
      <w:proofErr w:type="spellStart"/>
      <w:r w:rsidRPr="00872052">
        <w:rPr>
          <w:rFonts w:ascii="ITC Avant Garde" w:hAnsi="ITC Avant Garde"/>
          <w:lang w:val="es-MX"/>
        </w:rPr>
        <w:t>subductos</w:t>
      </w:r>
      <w:proofErr w:type="spellEnd"/>
      <w:r w:rsidRPr="00872052">
        <w:rPr>
          <w:rFonts w:ascii="ITC Avant Garde" w:hAnsi="ITC Avant Garde"/>
          <w:lang w:val="es-MX"/>
        </w:rPr>
        <w:t xml:space="preserve"> de tipo, el tamaño está determinado por la superficie de los cables de fibra que deben pasarse. Se considera la superficie total de los cables, y los conductos están dimensionados para que se llenen hasta el </w:t>
      </w:r>
      <w:r w:rsidR="004A0B43">
        <w:rPr>
          <w:rFonts w:ascii="ITC Avant Garde" w:hAnsi="ITC Avant Garde"/>
          <w:lang w:val="es-MX"/>
        </w:rPr>
        <w:t>80</w:t>
      </w:r>
      <w:r w:rsidRPr="00872052">
        <w:rPr>
          <w:rFonts w:ascii="ITC Avant Garde" w:hAnsi="ITC Avant Garde"/>
          <w:lang w:val="es-MX"/>
        </w:rPr>
        <w:t>% de su superficie total por la superficie total de los cables.</w:t>
      </w:r>
    </w:p>
    <w:p w:rsidR="005B0846" w:rsidRPr="00872052" w:rsidRDefault="005B0846" w:rsidP="005B0846">
      <w:pPr>
        <w:rPr>
          <w:rFonts w:ascii="ITC Avant Garde" w:hAnsi="ITC Avant Garde"/>
          <w:lang w:val="es-MX"/>
        </w:rPr>
      </w:pPr>
    </w:p>
    <w:p w:rsidR="005B0846" w:rsidRPr="00872052" w:rsidRDefault="005B0846" w:rsidP="005B0846">
      <w:pPr>
        <w:pStyle w:val="Ttulo4"/>
        <w:rPr>
          <w:rFonts w:ascii="ITC Avant Garde" w:hAnsi="ITC Avant Garde"/>
          <w:lang w:val="es-MX"/>
        </w:rPr>
      </w:pPr>
      <w:bookmarkStart w:id="296" w:name="_Toc525665324"/>
      <w:bookmarkStart w:id="297" w:name="_Toc525665703"/>
      <w:bookmarkStart w:id="298" w:name="_Toc526854404"/>
      <w:r w:rsidRPr="00872052">
        <w:rPr>
          <w:rFonts w:ascii="ITC Avant Garde" w:hAnsi="ITC Avant Garde"/>
          <w:lang w:val="es-MX"/>
        </w:rPr>
        <w:t>Cierre de empalme</w:t>
      </w:r>
      <w:bookmarkEnd w:id="296"/>
      <w:bookmarkEnd w:id="297"/>
      <w:bookmarkEnd w:id="298"/>
    </w:p>
    <w:p w:rsidR="005B0846" w:rsidRPr="00872052" w:rsidRDefault="005B0846" w:rsidP="005B0846">
      <w:pPr>
        <w:rPr>
          <w:rFonts w:ascii="ITC Avant Garde" w:hAnsi="ITC Avant Garde"/>
          <w:lang w:val="es-MX"/>
        </w:rPr>
      </w:pPr>
      <w:r w:rsidRPr="00872052">
        <w:rPr>
          <w:rFonts w:ascii="ITC Avant Garde" w:hAnsi="ITC Avant Garde"/>
          <w:lang w:val="es-MX"/>
        </w:rPr>
        <w:t>Las acometidas del SDP al edificio / dirección se consideran un solo cable dedicado; por lo tanto, no se requiere un cierre de empalme entre el SDP y la construcción / dirección.</w:t>
      </w:r>
    </w:p>
    <w:p w:rsidR="005B0846" w:rsidRPr="00872052" w:rsidRDefault="005B0846" w:rsidP="005B0846">
      <w:pPr>
        <w:rPr>
          <w:rFonts w:ascii="ITC Avant Garde" w:hAnsi="ITC Avant Garde"/>
          <w:lang w:val="es-MX"/>
        </w:rPr>
      </w:pPr>
      <w:r w:rsidRPr="00872052">
        <w:rPr>
          <w:rFonts w:ascii="ITC Avant Garde" w:hAnsi="ITC Avant Garde"/>
          <w:lang w:val="es-MX"/>
        </w:rPr>
        <w:t>Desde el SDP hasta el PDP, se utiliza un cierre de empalme cada vez que se deben agregar dos cables.</w:t>
      </w:r>
    </w:p>
    <w:p w:rsidR="005B0846" w:rsidRPr="00872052" w:rsidRDefault="005B0846" w:rsidP="005B0846">
      <w:pPr>
        <w:rPr>
          <w:rFonts w:ascii="ITC Avant Garde" w:hAnsi="ITC Avant Garde"/>
          <w:lang w:val="es-MX"/>
        </w:rPr>
      </w:pPr>
      <w:r w:rsidRPr="00872052">
        <w:rPr>
          <w:rFonts w:ascii="ITC Avant Garde" w:hAnsi="ITC Avant Garde"/>
          <w:lang w:val="es-MX"/>
        </w:rPr>
        <w:lastRenderedPageBreak/>
        <w:t>Se instala un pozo de registro en cada cierre y cruce donde se instala un cierre. Un pozo se puede compartir para múltiples cierres.</w:t>
      </w:r>
    </w:p>
    <w:p w:rsidR="005B0846" w:rsidRPr="00872052" w:rsidRDefault="005B0846" w:rsidP="005B0846">
      <w:pPr>
        <w:rPr>
          <w:rFonts w:ascii="ITC Avant Garde" w:hAnsi="ITC Avant Garde"/>
          <w:lang w:val="es-MX"/>
        </w:rPr>
      </w:pPr>
    </w:p>
    <w:p w:rsidR="005B0846" w:rsidRPr="00872052" w:rsidRDefault="005B0846" w:rsidP="005B0846">
      <w:pPr>
        <w:pStyle w:val="Ttulo4"/>
        <w:rPr>
          <w:rFonts w:ascii="ITC Avant Garde" w:hAnsi="ITC Avant Garde"/>
          <w:lang w:val="es-MX"/>
        </w:rPr>
      </w:pPr>
      <w:bookmarkStart w:id="299" w:name="_Toc525672885"/>
      <w:bookmarkStart w:id="300" w:name="_Toc525665325"/>
      <w:bookmarkStart w:id="301" w:name="_Toc525665704"/>
      <w:bookmarkStart w:id="302" w:name="_Toc526854405"/>
      <w:r w:rsidRPr="00872052">
        <w:rPr>
          <w:rFonts w:ascii="ITC Avant Garde" w:hAnsi="ITC Avant Garde"/>
          <w:lang w:val="es-MX"/>
        </w:rPr>
        <w:t>Cálculo de la longitud de zanjas / "canalizaciones"</w:t>
      </w:r>
      <w:bookmarkEnd w:id="299"/>
      <w:bookmarkEnd w:id="300"/>
      <w:bookmarkEnd w:id="301"/>
      <w:bookmarkEnd w:id="302"/>
    </w:p>
    <w:p w:rsidR="005B0846" w:rsidRPr="00872052" w:rsidRDefault="005B0846" w:rsidP="005B0846">
      <w:pPr>
        <w:rPr>
          <w:rFonts w:ascii="ITC Avant Garde" w:hAnsi="ITC Avant Garde"/>
          <w:lang w:val="es-MX"/>
        </w:rPr>
      </w:pPr>
      <w:r w:rsidRPr="00872052">
        <w:rPr>
          <w:rFonts w:ascii="ITC Avant Garde" w:hAnsi="ITC Avant Garde"/>
          <w:lang w:val="es-MX"/>
        </w:rPr>
        <w:t>Cuando las zanjas deben ser excavadas en ambos lados de la carretera, hay dos configuraciones principales para la longitud de las zanjas.</w:t>
      </w:r>
    </w:p>
    <w:p w:rsidR="005B0846" w:rsidRPr="00872052" w:rsidRDefault="005B0846" w:rsidP="005B0846">
      <w:pPr>
        <w:rPr>
          <w:rFonts w:ascii="ITC Avant Garde" w:hAnsi="ITC Avant Garde"/>
          <w:lang w:val="es-MX"/>
        </w:rPr>
      </w:pPr>
    </w:p>
    <w:p w:rsidR="005B0846" w:rsidRPr="00872052" w:rsidRDefault="005B0846" w:rsidP="005B0846">
      <w:pPr>
        <w:pStyle w:val="Descripcin"/>
        <w:keepNext/>
        <w:rPr>
          <w:rFonts w:ascii="ITC Avant Garde" w:hAnsi="ITC Avant Garde"/>
          <w:lang w:val="es-MX"/>
        </w:rPr>
      </w:pPr>
      <w:r w:rsidRPr="00872052">
        <w:rPr>
          <w:rFonts w:ascii="ITC Avant Garde" w:hAnsi="ITC Avant Garde"/>
          <w:lang w:val="es-MX"/>
        </w:rPr>
        <w:t xml:space="preserve"> Figura </w:t>
      </w:r>
      <w:r w:rsidR="00E55E52">
        <w:rPr>
          <w:rFonts w:ascii="ITC Avant Garde" w:hAnsi="ITC Avant Garde"/>
          <w:lang w:val="es-MX"/>
        </w:rPr>
        <w:t>50</w:t>
      </w:r>
      <w:r w:rsidRPr="00872052">
        <w:rPr>
          <w:rFonts w:ascii="ITC Avant Garde" w:hAnsi="ITC Avant Garde"/>
          <w:lang w:val="es-MX"/>
        </w:rPr>
        <w:t xml:space="preserve"> - Configuraciones de secciones de camino</w:t>
      </w:r>
    </w:p>
    <w:p w:rsidR="005B0846" w:rsidRPr="00872052" w:rsidRDefault="005B0846" w:rsidP="005B0846">
      <w:pPr>
        <w:rPr>
          <w:rFonts w:ascii="ITC Avant Garde" w:hAnsi="ITC Avant Garde"/>
          <w:lang w:val="es-MX"/>
        </w:rPr>
      </w:pPr>
      <w:r w:rsidRPr="00872052">
        <w:rPr>
          <w:rFonts w:ascii="ITC Avant Garde" w:hAnsi="ITC Avant Garde"/>
          <w:noProof/>
          <w:lang w:val="es-MX" w:eastAsia="es-MX"/>
        </w:rPr>
        <w:drawing>
          <wp:inline distT="0" distB="0" distL="0" distR="0" wp14:anchorId="4A70D8C9" wp14:editId="66398264">
            <wp:extent cx="5399405" cy="1509497"/>
            <wp:effectExtent l="0" t="0" r="0" b="0"/>
            <wp:docPr id="85"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9405" cy="1509497"/>
                    </a:xfrm>
                    <a:prstGeom prst="rect">
                      <a:avLst/>
                    </a:prstGeom>
                    <a:noFill/>
                    <a:ln>
                      <a:noFill/>
                    </a:ln>
                  </pic:spPr>
                </pic:pic>
              </a:graphicData>
            </a:graphic>
          </wp:inline>
        </w:drawing>
      </w:r>
    </w:p>
    <w:p w:rsidR="005B0846" w:rsidRPr="00872052" w:rsidRDefault="005B0846" w:rsidP="005B0846">
      <w:pPr>
        <w:rPr>
          <w:rFonts w:ascii="ITC Avant Garde" w:hAnsi="ITC Avant Garde"/>
          <w:lang w:val="es-MX"/>
        </w:rPr>
      </w:pP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El primer caso (a) corresponde a una situación en la que se cavan </w:t>
      </w:r>
      <w:r w:rsidR="00751425">
        <w:rPr>
          <w:rFonts w:ascii="ITC Avant Garde" w:hAnsi="ITC Avant Garde"/>
          <w:lang w:val="es-MX"/>
        </w:rPr>
        <w:t>zanja</w:t>
      </w:r>
      <w:r w:rsidR="00751425" w:rsidRPr="00872052">
        <w:rPr>
          <w:rFonts w:ascii="ITC Avant Garde" w:hAnsi="ITC Avant Garde"/>
          <w:lang w:val="es-MX"/>
        </w:rPr>
        <w:t xml:space="preserve">s </w:t>
      </w:r>
      <w:r w:rsidRPr="00872052">
        <w:rPr>
          <w:rFonts w:ascii="ITC Avant Garde" w:hAnsi="ITC Avant Garde"/>
          <w:lang w:val="es-MX"/>
        </w:rPr>
        <w:t xml:space="preserve">en ambos lados de la carretera, y luego se cruza la carretera una vez, y el caso (b) corresponde a una situación donde se cavan </w:t>
      </w:r>
      <w:r w:rsidR="00751425">
        <w:rPr>
          <w:rFonts w:ascii="ITC Avant Garde" w:hAnsi="ITC Avant Garde"/>
          <w:lang w:val="es-MX"/>
        </w:rPr>
        <w:t>zanja</w:t>
      </w:r>
      <w:r w:rsidR="00751425" w:rsidRPr="00872052">
        <w:rPr>
          <w:rFonts w:ascii="ITC Avant Garde" w:hAnsi="ITC Avant Garde"/>
          <w:lang w:val="es-MX"/>
        </w:rPr>
        <w:t xml:space="preserve">s </w:t>
      </w:r>
      <w:r w:rsidRPr="00872052">
        <w:rPr>
          <w:rFonts w:ascii="ITC Avant Garde" w:hAnsi="ITC Avant Garde"/>
          <w:lang w:val="es-MX"/>
        </w:rPr>
        <w:t>en el lado principal de la carretera y luego, el camino se cruza una vez para cada dirección en el segundo lado.</w:t>
      </w:r>
    </w:p>
    <w:p w:rsidR="009E4497" w:rsidRPr="00872052" w:rsidRDefault="009E4497" w:rsidP="009E4497">
      <w:pPr>
        <w:rPr>
          <w:rFonts w:ascii="ITC Avant Garde" w:hAnsi="ITC Avant Garde"/>
          <w:lang w:val="es-MX"/>
        </w:rPr>
      </w:pPr>
      <w:r w:rsidRPr="00872052">
        <w:rPr>
          <w:rFonts w:ascii="ITC Avant Garde" w:hAnsi="ITC Avant Garde"/>
          <w:lang w:val="es-MX"/>
        </w:rPr>
        <w:t>Esto se calcula con el fin de minimizar la longitud de las zanjas excavadas, mediante el siguiente proceso:</w:t>
      </w:r>
    </w:p>
    <w:p w:rsidR="005B0846" w:rsidRPr="00872052" w:rsidRDefault="005B0846" w:rsidP="00FE7152">
      <w:pPr>
        <w:pStyle w:val="Prrafodelista"/>
        <w:numPr>
          <w:ilvl w:val="0"/>
          <w:numId w:val="32"/>
        </w:numPr>
        <w:rPr>
          <w:rFonts w:ascii="ITC Avant Garde" w:hAnsi="ITC Avant Garde"/>
          <w:lang w:val="es-MX"/>
        </w:rPr>
      </w:pPr>
      <w:r w:rsidRPr="00872052">
        <w:rPr>
          <w:rFonts w:ascii="ITC Avant Garde" w:hAnsi="ITC Avant Garde"/>
          <w:lang w:val="es-MX"/>
        </w:rPr>
        <w:t>Identificar en ambos lados la dirección más cercana a la CO y la dirección más alejada de la CO.</w:t>
      </w:r>
    </w:p>
    <w:p w:rsidR="005B0846" w:rsidRPr="00872052" w:rsidRDefault="005B0846" w:rsidP="00FE7152">
      <w:pPr>
        <w:pStyle w:val="Prrafodelista"/>
        <w:numPr>
          <w:ilvl w:val="0"/>
          <w:numId w:val="32"/>
        </w:numPr>
        <w:rPr>
          <w:rFonts w:ascii="ITC Avant Garde" w:hAnsi="ITC Avant Garde"/>
          <w:lang w:val="es-MX"/>
        </w:rPr>
      </w:pPr>
      <w:r w:rsidRPr="00872052">
        <w:rPr>
          <w:rFonts w:ascii="ITC Avant Garde" w:hAnsi="ITC Avant Garde"/>
          <w:lang w:val="es-MX"/>
        </w:rPr>
        <w:t>Identificar el número de direcciones en ambos lados.</w:t>
      </w:r>
    </w:p>
    <w:p w:rsidR="005B0846" w:rsidRPr="00872052" w:rsidRDefault="005B0846" w:rsidP="00FE7152">
      <w:pPr>
        <w:pStyle w:val="Prrafodelista"/>
        <w:numPr>
          <w:ilvl w:val="0"/>
          <w:numId w:val="32"/>
        </w:numPr>
        <w:rPr>
          <w:rFonts w:ascii="ITC Avant Garde" w:hAnsi="ITC Avant Garde"/>
          <w:lang w:val="es-MX"/>
        </w:rPr>
      </w:pPr>
      <w:r w:rsidRPr="00872052">
        <w:rPr>
          <w:rFonts w:ascii="ITC Avant Garde" w:hAnsi="ITC Avant Garde"/>
          <w:lang w:val="es-MX"/>
        </w:rPr>
        <w:t xml:space="preserve">Calculando para ambos lados la longitud requerida para enviar todas las direcciones al otro lado usando el caso (a), y el caso (b) (en el SQL referido como </w:t>
      </w:r>
      <w:proofErr w:type="spellStart"/>
      <w:r w:rsidRPr="00872052">
        <w:rPr>
          <w:rFonts w:ascii="ITC Avant Garde" w:hAnsi="ITC Avant Garde"/>
          <w:lang w:val="es-MX"/>
        </w:rPr>
        <w:t>Left_OneCrossLength</w:t>
      </w:r>
      <w:proofErr w:type="spellEnd"/>
      <w:r w:rsidRPr="00872052">
        <w:rPr>
          <w:rFonts w:ascii="ITC Avant Garde" w:hAnsi="ITC Avant Garde"/>
          <w:lang w:val="es-MX"/>
        </w:rPr>
        <w:t xml:space="preserve"> e </w:t>
      </w:r>
      <w:proofErr w:type="spellStart"/>
      <w:r w:rsidRPr="00872052">
        <w:rPr>
          <w:rFonts w:ascii="ITC Avant Garde" w:hAnsi="ITC Avant Garde"/>
          <w:lang w:val="es-MX"/>
        </w:rPr>
        <w:t>Left_ManyCrossLength</w:t>
      </w:r>
      <w:proofErr w:type="spellEnd"/>
      <w:r w:rsidRPr="00872052">
        <w:rPr>
          <w:rFonts w:ascii="ITC Avant Garde" w:hAnsi="ITC Avant Garde"/>
          <w:lang w:val="es-MX"/>
        </w:rPr>
        <w:t>).</w:t>
      </w:r>
    </w:p>
    <w:p w:rsidR="005B0846" w:rsidRPr="00872052" w:rsidRDefault="005B0846" w:rsidP="00FE7152">
      <w:pPr>
        <w:pStyle w:val="Prrafodelista"/>
        <w:numPr>
          <w:ilvl w:val="0"/>
          <w:numId w:val="32"/>
        </w:numPr>
        <w:rPr>
          <w:rFonts w:ascii="ITC Avant Garde" w:hAnsi="ITC Avant Garde"/>
          <w:lang w:val="es-MX"/>
        </w:rPr>
      </w:pPr>
      <w:r w:rsidRPr="00872052">
        <w:rPr>
          <w:rFonts w:ascii="ITC Avant Garde" w:hAnsi="ITC Avant Garde"/>
          <w:lang w:val="es-MX"/>
        </w:rPr>
        <w:t xml:space="preserve">Identificar el lado principal, identificando la combinación más pequeña longitud izquierda + longitud derecha usando el valor descrito arriba e identificando la estrategia de </w:t>
      </w:r>
      <w:r w:rsidR="00751425">
        <w:rPr>
          <w:rFonts w:ascii="ITC Avant Garde" w:hAnsi="ITC Avant Garde"/>
          <w:lang w:val="es-MX"/>
        </w:rPr>
        <w:t>zanja</w:t>
      </w:r>
      <w:r w:rsidR="00751425" w:rsidRPr="00872052">
        <w:rPr>
          <w:rFonts w:ascii="ITC Avant Garde" w:hAnsi="ITC Avant Garde"/>
          <w:lang w:val="es-MX"/>
        </w:rPr>
        <w:t xml:space="preserve"> </w:t>
      </w:r>
      <w:r w:rsidRPr="00872052">
        <w:rPr>
          <w:rFonts w:ascii="ITC Avant Garde" w:hAnsi="ITC Avant Garde"/>
          <w:lang w:val="es-MX"/>
        </w:rPr>
        <w:t>(un cruce o muchas cruces).</w:t>
      </w:r>
    </w:p>
    <w:p w:rsidR="005B0846" w:rsidRPr="00872052" w:rsidRDefault="005B0846" w:rsidP="005B0846">
      <w:pPr>
        <w:rPr>
          <w:rFonts w:ascii="ITC Avant Garde" w:hAnsi="ITC Avant Garde"/>
          <w:lang w:val="es-MX"/>
        </w:rPr>
      </w:pPr>
      <w:r w:rsidRPr="00872052">
        <w:rPr>
          <w:rFonts w:ascii="ITC Avant Garde" w:hAnsi="ITC Avant Garde"/>
          <w:lang w:val="es-MX"/>
        </w:rPr>
        <w:t>La longitud de la zanja en el segundo lado es entonces la seleccionada.</w:t>
      </w:r>
    </w:p>
    <w:p w:rsidR="009E4497" w:rsidRPr="00872052" w:rsidRDefault="009E4497" w:rsidP="009E4497">
      <w:pPr>
        <w:rPr>
          <w:rFonts w:ascii="ITC Avant Garde" w:hAnsi="ITC Avant Garde"/>
          <w:lang w:val="es-MX"/>
        </w:rPr>
      </w:pPr>
      <w:r w:rsidRPr="00872052">
        <w:rPr>
          <w:rFonts w:ascii="ITC Avant Garde" w:hAnsi="ITC Avant Garde"/>
          <w:lang w:val="es-MX"/>
        </w:rPr>
        <w:t xml:space="preserve">Debe tenerse en cuenta que el ancho de la carretera está ponderado por un factor con el fin de tener en cuenta el costo adicional de la construcción de túneles en comparación con las </w:t>
      </w:r>
      <w:r w:rsidR="00751425">
        <w:rPr>
          <w:rFonts w:ascii="ITC Avant Garde" w:hAnsi="ITC Avant Garde"/>
          <w:lang w:val="es-MX"/>
        </w:rPr>
        <w:t>zanja</w:t>
      </w:r>
      <w:r w:rsidR="00751425" w:rsidRPr="00872052">
        <w:rPr>
          <w:rFonts w:ascii="ITC Avant Garde" w:hAnsi="ITC Avant Garde"/>
          <w:lang w:val="es-MX"/>
        </w:rPr>
        <w:t xml:space="preserve">s </w:t>
      </w:r>
      <w:r w:rsidRPr="00872052">
        <w:rPr>
          <w:rFonts w:ascii="ITC Avant Garde" w:hAnsi="ITC Avant Garde"/>
          <w:lang w:val="es-MX"/>
        </w:rPr>
        <w:t>de los caminos. Este factor se calcula como la relación entre el costo de "canalizaciones en Arroyo con Tráfico Pesado" y las "Canalizaciones en Banqueta" utilizadas en el borde de la carretera.</w:t>
      </w:r>
    </w:p>
    <w:p w:rsidR="009E4497" w:rsidRPr="00872052" w:rsidRDefault="009E4497" w:rsidP="009E4497">
      <w:pPr>
        <w:rPr>
          <w:rFonts w:ascii="ITC Avant Garde" w:hAnsi="ITC Avant Garde"/>
          <w:lang w:val="es-MX"/>
        </w:rPr>
      </w:pPr>
      <w:r w:rsidRPr="00872052">
        <w:rPr>
          <w:rFonts w:ascii="ITC Avant Garde" w:hAnsi="ITC Avant Garde"/>
          <w:lang w:val="es-MX"/>
        </w:rPr>
        <w:lastRenderedPageBreak/>
        <w:t xml:space="preserve">En el lado principal, la longitud es la longitud generada al agregar las casas al próximo SDP, o la longitud de la sección si la ruta es utilizada por una ruta PDP </w:t>
      </w:r>
      <w:r w:rsidR="005B0846" w:rsidRPr="00872052">
        <w:rPr>
          <w:rFonts w:ascii="ITC Avant Garde" w:hAnsi="ITC Avant Garde"/>
          <w:lang w:val="es-MX"/>
        </w:rPr>
        <w:t xml:space="preserve">al </w:t>
      </w:r>
      <w:r w:rsidR="00400AEB" w:rsidRPr="00872052">
        <w:rPr>
          <w:rFonts w:ascii="ITC Avant Garde" w:hAnsi="ITC Avant Garde"/>
          <w:lang w:val="es-MX"/>
        </w:rPr>
        <w:t>CO.</w:t>
      </w:r>
    </w:p>
    <w:p w:rsidR="009E4497" w:rsidRPr="00872052" w:rsidRDefault="00A46493" w:rsidP="009E4497">
      <w:pPr>
        <w:pStyle w:val="Ttulo2"/>
        <w:rPr>
          <w:rFonts w:ascii="ITC Avant Garde" w:hAnsi="ITC Avant Garde"/>
          <w:lang w:val="es-MX"/>
        </w:rPr>
      </w:pPr>
      <w:bookmarkStart w:id="303" w:name="_Toc525672886"/>
      <w:bookmarkStart w:id="304" w:name="_Toc525665326"/>
      <w:bookmarkStart w:id="305" w:name="_Toc525665705"/>
      <w:bookmarkStart w:id="306" w:name="_Toc526854406"/>
      <w:r w:rsidRPr="00872052">
        <w:rPr>
          <w:rFonts w:ascii="ITC Avant Garde" w:hAnsi="ITC Avant Garde"/>
          <w:lang w:val="es-MX"/>
        </w:rPr>
        <w:t>Evaluación</w:t>
      </w:r>
      <w:r w:rsidR="003A0FB4" w:rsidRPr="00872052">
        <w:rPr>
          <w:rFonts w:ascii="ITC Avant Garde" w:hAnsi="ITC Avant Garde"/>
          <w:lang w:val="es-MX"/>
        </w:rPr>
        <w:t xml:space="preserve"> de los</w:t>
      </w:r>
      <w:r w:rsidR="009E4497" w:rsidRPr="00872052">
        <w:rPr>
          <w:rFonts w:ascii="ITC Avant Garde" w:hAnsi="ITC Avant Garde"/>
          <w:lang w:val="es-MX"/>
        </w:rPr>
        <w:t xml:space="preserve"> costos</w:t>
      </w:r>
      <w:bookmarkEnd w:id="303"/>
      <w:bookmarkEnd w:id="304"/>
      <w:bookmarkEnd w:id="305"/>
      <w:bookmarkEnd w:id="306"/>
    </w:p>
    <w:p w:rsidR="009E4497" w:rsidRPr="00872052" w:rsidRDefault="009E4497" w:rsidP="009E4497">
      <w:pPr>
        <w:rPr>
          <w:rFonts w:ascii="ITC Avant Garde" w:hAnsi="ITC Avant Garde"/>
          <w:lang w:val="es-MX"/>
        </w:rPr>
      </w:pPr>
      <w:r w:rsidRPr="00872052">
        <w:rPr>
          <w:rFonts w:ascii="ITC Avant Garde" w:hAnsi="ITC Avant Garde"/>
          <w:lang w:val="es-MX"/>
        </w:rPr>
        <w:t xml:space="preserve">Esta sección describe los cálculos de costos usados </w:t>
      </w:r>
      <w:r w:rsidRPr="00872052">
        <w:rPr>
          <w:rFonts w:cs="Arial"/>
          <w:lang w:val="es-MX"/>
        </w:rPr>
        <w:t>​​</w:t>
      </w:r>
      <w:r w:rsidRPr="00872052">
        <w:rPr>
          <w:rFonts w:ascii="ITC Avant Garde" w:hAnsi="ITC Avant Garde"/>
          <w:lang w:val="es-MX"/>
        </w:rPr>
        <w:t>dentro del acceso LRAIC y los modelos de costos de la red central.</w:t>
      </w:r>
    </w:p>
    <w:p w:rsidR="009E4497" w:rsidRPr="00872052" w:rsidRDefault="009E4497" w:rsidP="009E4497">
      <w:pPr>
        <w:rPr>
          <w:rFonts w:ascii="ITC Avant Garde" w:hAnsi="ITC Avant Garde"/>
          <w:lang w:val="es-MX"/>
        </w:rPr>
      </w:pPr>
      <w:r w:rsidRPr="00872052">
        <w:rPr>
          <w:rFonts w:ascii="ITC Avant Garde" w:hAnsi="ITC Avant Garde"/>
          <w:lang w:val="es-MX"/>
        </w:rPr>
        <w:t>Los cálculos de costos determinan las inversiones requeridas para construir las diferentes redes. Las inversiones se anualizan utilizando un cálculo de anualidades inclinadas, cuyos resultados se utilizan para determinar el perfil de recuperación del costo de capital para cada uno de los servicios modelados.</w:t>
      </w:r>
    </w:p>
    <w:p w:rsidR="009E4497" w:rsidRPr="00872052" w:rsidRDefault="009E4497" w:rsidP="009E4497">
      <w:pPr>
        <w:pStyle w:val="Ttulo3"/>
        <w:rPr>
          <w:rFonts w:ascii="ITC Avant Garde" w:hAnsi="ITC Avant Garde"/>
          <w:lang w:val="es-MX"/>
        </w:rPr>
      </w:pPr>
      <w:bookmarkStart w:id="307" w:name="_Toc525672887"/>
      <w:bookmarkStart w:id="308" w:name="_Toc525665327"/>
      <w:bookmarkStart w:id="309" w:name="_Toc525665706"/>
      <w:bookmarkStart w:id="310" w:name="_Toc526854407"/>
      <w:r w:rsidRPr="00872052">
        <w:rPr>
          <w:rFonts w:ascii="ITC Avant Garde" w:hAnsi="ITC Avant Garde"/>
          <w:lang w:val="es-MX"/>
        </w:rPr>
        <w:t>Insumos de costos unitarios</w:t>
      </w:r>
      <w:bookmarkEnd w:id="307"/>
      <w:bookmarkEnd w:id="308"/>
      <w:bookmarkEnd w:id="309"/>
      <w:bookmarkEnd w:id="310"/>
    </w:p>
    <w:p w:rsidR="009E4497" w:rsidRPr="00872052" w:rsidRDefault="009E4497" w:rsidP="009E4497">
      <w:pPr>
        <w:rPr>
          <w:rFonts w:ascii="ITC Avant Garde" w:hAnsi="ITC Avant Garde"/>
          <w:lang w:val="es-MX"/>
        </w:rPr>
      </w:pPr>
      <w:r w:rsidRPr="00872052">
        <w:rPr>
          <w:rFonts w:ascii="ITC Avant Garde" w:hAnsi="ITC Avant Garde"/>
          <w:lang w:val="es-MX"/>
        </w:rPr>
        <w:t>Los costos considerados como inversiones son los correspondientes a la compra de activos durables que se espera estén en uso por varios años. Los costos de operación son costos recurrentes.</w:t>
      </w:r>
    </w:p>
    <w:p w:rsidR="009E4497" w:rsidRPr="00872052" w:rsidRDefault="009E4497" w:rsidP="009E4497">
      <w:pPr>
        <w:rPr>
          <w:rFonts w:ascii="ITC Avant Garde" w:hAnsi="ITC Avant Garde"/>
          <w:lang w:val="es-MX"/>
        </w:rPr>
      </w:pPr>
      <w:r w:rsidRPr="00872052">
        <w:rPr>
          <w:rFonts w:ascii="ITC Avant Garde" w:hAnsi="ITC Avant Garde"/>
          <w:lang w:val="es-MX"/>
        </w:rPr>
        <w:t xml:space="preserve">Esta sección resume los principios generales utilizados para establecer los costos unitarios. Las entradas detalladas de costos unitarios se enumeran en el </w:t>
      </w:r>
      <w:r w:rsidR="00901A79">
        <w:rPr>
          <w:rFonts w:ascii="ITC Avant Garde" w:hAnsi="ITC Avant Garde"/>
          <w:lang w:val="es-MX"/>
        </w:rPr>
        <w:t>anexo</w:t>
      </w:r>
      <w:r w:rsidR="005B0846" w:rsidRPr="00872052">
        <w:rPr>
          <w:rFonts w:ascii="ITC Avant Garde" w:hAnsi="ITC Avant Garde"/>
          <w:lang w:val="es-MX"/>
        </w:rPr>
        <w:t>.</w:t>
      </w:r>
    </w:p>
    <w:p w:rsidR="009E4497" w:rsidRPr="00872052" w:rsidRDefault="009E4497" w:rsidP="009E4497">
      <w:pPr>
        <w:rPr>
          <w:rFonts w:ascii="ITC Avant Garde" w:hAnsi="ITC Avant Garde"/>
          <w:lang w:val="es-MX"/>
        </w:rPr>
      </w:pPr>
    </w:p>
    <w:p w:rsidR="009E4497" w:rsidRPr="00872052" w:rsidRDefault="009E4497" w:rsidP="009E4497">
      <w:pPr>
        <w:pStyle w:val="Ttulo4"/>
        <w:rPr>
          <w:rFonts w:ascii="ITC Avant Garde" w:hAnsi="ITC Avant Garde"/>
          <w:lang w:val="es-MX"/>
        </w:rPr>
      </w:pPr>
      <w:bookmarkStart w:id="311" w:name="_Toc525672888"/>
      <w:bookmarkStart w:id="312" w:name="_Toc525665328"/>
      <w:bookmarkStart w:id="313" w:name="_Toc525665707"/>
      <w:bookmarkStart w:id="314" w:name="_Toc526854408"/>
      <w:r w:rsidRPr="00872052">
        <w:rPr>
          <w:rFonts w:ascii="ITC Avant Garde" w:hAnsi="ITC Avant Garde"/>
          <w:lang w:val="es-MX"/>
        </w:rPr>
        <w:t>Inversión</w:t>
      </w:r>
      <w:bookmarkEnd w:id="311"/>
      <w:bookmarkEnd w:id="312"/>
      <w:bookmarkEnd w:id="313"/>
      <w:bookmarkEnd w:id="314"/>
    </w:p>
    <w:p w:rsidR="009E4497" w:rsidRPr="00872052" w:rsidRDefault="009E4497" w:rsidP="009E4497">
      <w:pPr>
        <w:rPr>
          <w:rFonts w:ascii="ITC Avant Garde" w:hAnsi="ITC Avant Garde"/>
          <w:lang w:val="es-MX"/>
        </w:rPr>
      </w:pPr>
      <w:r w:rsidRPr="00872052">
        <w:rPr>
          <w:rFonts w:ascii="ITC Avant Garde" w:hAnsi="ITC Avant Garde"/>
          <w:lang w:val="es-MX"/>
        </w:rPr>
        <w:t>El costo unitario de capital para un elemento de red corresponde al costo incurrido para:</w:t>
      </w:r>
    </w:p>
    <w:p w:rsidR="005B0846" w:rsidRPr="00F370AD" w:rsidRDefault="005B0846" w:rsidP="005B0846">
      <w:pPr>
        <w:pStyle w:val="Listaconvietas2"/>
        <w:rPr>
          <w:rFonts w:ascii="ITC Avant Garde" w:hAnsi="ITC Avant Garde"/>
          <w:lang w:val="es-MX"/>
        </w:rPr>
      </w:pPr>
      <w:r w:rsidRPr="00F370AD">
        <w:rPr>
          <w:rFonts w:ascii="ITC Avant Garde" w:hAnsi="ITC Avant Garde"/>
          <w:lang w:val="es-MX"/>
        </w:rPr>
        <w:t>Plan de despliegue del activo de red;</w:t>
      </w:r>
    </w:p>
    <w:p w:rsidR="005B0846" w:rsidRPr="00F370AD" w:rsidRDefault="00407294" w:rsidP="005B0846">
      <w:pPr>
        <w:pStyle w:val="Listaconvietas2"/>
        <w:rPr>
          <w:rFonts w:ascii="ITC Avant Garde" w:hAnsi="ITC Avant Garde"/>
          <w:lang w:val="es-MX"/>
        </w:rPr>
      </w:pPr>
      <w:r>
        <w:rPr>
          <w:rFonts w:ascii="ITC Avant Garde" w:hAnsi="ITC Avant Garde"/>
          <w:lang w:val="es-MX"/>
        </w:rPr>
        <w:t>C</w:t>
      </w:r>
      <w:r w:rsidR="005B0846" w:rsidRPr="00F370AD">
        <w:rPr>
          <w:rFonts w:ascii="ITC Avant Garde" w:hAnsi="ITC Avant Garde"/>
          <w:lang w:val="es-MX"/>
        </w:rPr>
        <w:t>omprar una unidad de equipo;</w:t>
      </w:r>
    </w:p>
    <w:p w:rsidR="005B0846" w:rsidRPr="00F370AD" w:rsidRDefault="00407294" w:rsidP="005B0846">
      <w:pPr>
        <w:pStyle w:val="Listaconvietas2"/>
        <w:rPr>
          <w:rFonts w:ascii="ITC Avant Garde" w:hAnsi="ITC Avant Garde"/>
          <w:lang w:val="es-MX"/>
        </w:rPr>
      </w:pPr>
      <w:r>
        <w:rPr>
          <w:rFonts w:ascii="ITC Avant Garde" w:hAnsi="ITC Avant Garde"/>
          <w:lang w:val="es-MX"/>
        </w:rPr>
        <w:t>I</w:t>
      </w:r>
      <w:r w:rsidR="005B0846" w:rsidRPr="00F370AD">
        <w:rPr>
          <w:rFonts w:ascii="ITC Avant Garde" w:hAnsi="ITC Avant Garde"/>
          <w:lang w:val="es-MX"/>
        </w:rPr>
        <w:t>nstale esta unidad de equipo.</w:t>
      </w:r>
    </w:p>
    <w:p w:rsidR="005B0846" w:rsidRPr="00872052" w:rsidRDefault="005B0846" w:rsidP="005B0846">
      <w:pPr>
        <w:rPr>
          <w:rFonts w:ascii="ITC Avant Garde" w:hAnsi="ITC Avant Garde"/>
          <w:lang w:val="es-MX"/>
        </w:rPr>
      </w:pPr>
      <w:r w:rsidRPr="00872052">
        <w:rPr>
          <w:rFonts w:ascii="ITC Avant Garde" w:hAnsi="ITC Avant Garde"/>
          <w:lang w:val="es-MX"/>
        </w:rPr>
        <w:t>Los insumos de costos unitarios en el modelo se basan principalmente en la última información disponible de</w:t>
      </w:r>
      <w:r w:rsidR="003B1FBF">
        <w:rPr>
          <w:rFonts w:ascii="ITC Avant Garde" w:hAnsi="ITC Avant Garde"/>
          <w:lang w:val="es-MX"/>
        </w:rPr>
        <w:t>l AEP</w:t>
      </w:r>
      <w:r w:rsidRPr="00872052">
        <w:rPr>
          <w:rFonts w:ascii="ITC Avant Garde" w:hAnsi="ITC Avant Garde"/>
          <w:lang w:val="es-MX"/>
        </w:rPr>
        <w:t xml:space="preserve"> (es decir, datos de 2018 si están disponibles) que es más probable que reflejen el poder de negociación de un operador que despliega una red nacional en México.</w:t>
      </w:r>
    </w:p>
    <w:p w:rsidR="009E4497" w:rsidRPr="00872052" w:rsidRDefault="009E4497" w:rsidP="009E4497">
      <w:pPr>
        <w:rPr>
          <w:rFonts w:ascii="ITC Avant Garde" w:hAnsi="ITC Avant Garde"/>
          <w:lang w:val="es-MX"/>
        </w:rPr>
      </w:pPr>
      <w:r w:rsidRPr="00872052">
        <w:rPr>
          <w:rFonts w:ascii="ITC Avant Garde" w:hAnsi="ITC Avant Garde"/>
          <w:lang w:val="es-MX"/>
        </w:rPr>
        <w:t>Como consecuencia, estos costos unitarios no corresponden a las listas de precios de los fabricantes, sino a las facturas de</w:t>
      </w:r>
      <w:r w:rsidR="003B1FBF">
        <w:rPr>
          <w:rFonts w:ascii="ITC Avant Garde" w:hAnsi="ITC Avant Garde"/>
          <w:lang w:val="es-MX"/>
        </w:rPr>
        <w:t>l AEP</w:t>
      </w:r>
      <w:r w:rsidRPr="00872052">
        <w:rPr>
          <w:rFonts w:ascii="ITC Avant Garde" w:hAnsi="ITC Avant Garde"/>
          <w:lang w:val="es-MX"/>
        </w:rPr>
        <w:t xml:space="preserve"> (es decir, incluidos los descuentos).</w:t>
      </w:r>
    </w:p>
    <w:p w:rsidR="009E4497" w:rsidRPr="00872052" w:rsidRDefault="009E4497" w:rsidP="009E4497">
      <w:pPr>
        <w:rPr>
          <w:rFonts w:ascii="ITC Avant Garde" w:hAnsi="ITC Avant Garde"/>
          <w:lang w:val="es-MX"/>
        </w:rPr>
      </w:pPr>
      <w:r w:rsidRPr="00872052">
        <w:rPr>
          <w:rFonts w:ascii="ITC Avant Garde" w:hAnsi="ITC Avant Garde"/>
          <w:lang w:val="es-MX"/>
        </w:rPr>
        <w:t>Estos costos han sido ampliamente auditados y comparados con:</w:t>
      </w:r>
    </w:p>
    <w:p w:rsidR="005B0846" w:rsidRPr="00872052" w:rsidRDefault="00407294" w:rsidP="005B0846">
      <w:pPr>
        <w:pStyle w:val="Listaconvietas2"/>
        <w:rPr>
          <w:rFonts w:ascii="ITC Avant Garde" w:hAnsi="ITC Avant Garde"/>
        </w:rPr>
      </w:pPr>
      <w:r>
        <w:rPr>
          <w:rFonts w:ascii="ITC Avant Garde" w:hAnsi="ITC Avant Garde"/>
        </w:rPr>
        <w:t>E</w:t>
      </w:r>
      <w:r w:rsidR="005B0846" w:rsidRPr="00872052">
        <w:rPr>
          <w:rFonts w:ascii="ITC Avant Garde" w:hAnsi="ITC Avant Garde"/>
        </w:rPr>
        <w:t xml:space="preserve">l </w:t>
      </w:r>
      <w:proofErr w:type="spellStart"/>
      <w:r w:rsidR="005B0846" w:rsidRPr="00872052">
        <w:rPr>
          <w:rFonts w:ascii="ITC Avant Garde" w:hAnsi="ITC Avant Garde"/>
        </w:rPr>
        <w:t>modelo</w:t>
      </w:r>
      <w:proofErr w:type="spellEnd"/>
      <w:r w:rsidR="005B0846" w:rsidRPr="00872052">
        <w:rPr>
          <w:rFonts w:ascii="ITC Avant Garde" w:hAnsi="ITC Avant Garde"/>
        </w:rPr>
        <w:t xml:space="preserve"> LRAIC anterior;</w:t>
      </w:r>
    </w:p>
    <w:p w:rsidR="005B0846" w:rsidRPr="00872052" w:rsidRDefault="00407294" w:rsidP="005B0846">
      <w:pPr>
        <w:pStyle w:val="Listaconvietas2"/>
        <w:rPr>
          <w:rFonts w:ascii="ITC Avant Garde" w:hAnsi="ITC Avant Garde"/>
        </w:rPr>
      </w:pPr>
      <w:proofErr w:type="spellStart"/>
      <w:r>
        <w:rPr>
          <w:rFonts w:ascii="ITC Avant Garde" w:hAnsi="ITC Avant Garde"/>
        </w:rPr>
        <w:t>D</w:t>
      </w:r>
      <w:r w:rsidR="005B0846" w:rsidRPr="00872052">
        <w:rPr>
          <w:rFonts w:ascii="ITC Avant Garde" w:hAnsi="ITC Avant Garde"/>
        </w:rPr>
        <w:t>atos</w:t>
      </w:r>
      <w:proofErr w:type="spellEnd"/>
      <w:r w:rsidR="005B0846" w:rsidRPr="00872052">
        <w:rPr>
          <w:rFonts w:ascii="ITC Avant Garde" w:hAnsi="ITC Avant Garde"/>
        </w:rPr>
        <w:t xml:space="preserve"> de </w:t>
      </w:r>
      <w:proofErr w:type="spellStart"/>
      <w:r w:rsidR="005B0846" w:rsidRPr="00872052">
        <w:rPr>
          <w:rFonts w:ascii="ITC Avant Garde" w:hAnsi="ITC Avant Garde"/>
        </w:rPr>
        <w:t>referencia</w:t>
      </w:r>
      <w:proofErr w:type="spellEnd"/>
      <w:r w:rsidR="005B0846" w:rsidRPr="00872052">
        <w:rPr>
          <w:rFonts w:ascii="ITC Avant Garde" w:hAnsi="ITC Avant Garde"/>
        </w:rPr>
        <w:t>;</w:t>
      </w:r>
    </w:p>
    <w:p w:rsidR="009E4497" w:rsidRPr="00F370AD" w:rsidRDefault="00407294" w:rsidP="005B0846">
      <w:pPr>
        <w:pStyle w:val="Listaconvietas2"/>
        <w:rPr>
          <w:rFonts w:ascii="ITC Avant Garde" w:hAnsi="ITC Avant Garde"/>
          <w:lang w:val="es-MX"/>
        </w:rPr>
      </w:pPr>
      <w:r>
        <w:rPr>
          <w:rFonts w:ascii="ITC Avant Garde" w:hAnsi="ITC Avant Garde"/>
          <w:lang w:val="es-MX"/>
        </w:rPr>
        <w:t>D</w:t>
      </w:r>
      <w:r w:rsidR="009E4497" w:rsidRPr="00F370AD">
        <w:rPr>
          <w:rFonts w:ascii="ITC Avant Garde" w:hAnsi="ITC Avant Garde"/>
          <w:lang w:val="es-MX"/>
        </w:rPr>
        <w:t>atos suministrados por los operadores alternativos.</w:t>
      </w:r>
    </w:p>
    <w:p w:rsidR="009E4497" w:rsidRPr="00872052" w:rsidRDefault="009E4497" w:rsidP="009E4497">
      <w:pPr>
        <w:pStyle w:val="Ttulo4"/>
        <w:rPr>
          <w:rFonts w:ascii="ITC Avant Garde" w:hAnsi="ITC Avant Garde"/>
          <w:lang w:val="es-MX"/>
        </w:rPr>
      </w:pPr>
      <w:bookmarkStart w:id="315" w:name="_Toc525672889"/>
      <w:bookmarkStart w:id="316" w:name="_Toc525665329"/>
      <w:bookmarkStart w:id="317" w:name="_Toc525665708"/>
      <w:bookmarkStart w:id="318" w:name="_Toc526854409"/>
      <w:r w:rsidRPr="00872052">
        <w:rPr>
          <w:rFonts w:ascii="ITC Avant Garde" w:hAnsi="ITC Avant Garde"/>
          <w:lang w:val="es-MX"/>
        </w:rPr>
        <w:lastRenderedPageBreak/>
        <w:t>Tendencias de precios</w:t>
      </w:r>
      <w:bookmarkEnd w:id="315"/>
      <w:bookmarkEnd w:id="316"/>
      <w:bookmarkEnd w:id="317"/>
      <w:bookmarkEnd w:id="318"/>
    </w:p>
    <w:p w:rsidR="009E4497" w:rsidRPr="00872052" w:rsidRDefault="009E4497" w:rsidP="009E4497">
      <w:pPr>
        <w:rPr>
          <w:rFonts w:ascii="ITC Avant Garde" w:hAnsi="ITC Avant Garde"/>
          <w:lang w:val="es-MX"/>
        </w:rPr>
      </w:pPr>
      <w:r w:rsidRPr="00872052">
        <w:rPr>
          <w:rFonts w:ascii="ITC Avant Garde" w:hAnsi="ITC Avant Garde"/>
          <w:lang w:val="es-MX"/>
        </w:rPr>
        <w:t xml:space="preserve">Para evaluar las tendencias de los precios utilizados en la fórmula de depreciación, se han utilizado los insumos provistos por </w:t>
      </w:r>
      <w:r w:rsidR="003B1FBF">
        <w:rPr>
          <w:rFonts w:ascii="ITC Avant Garde" w:hAnsi="ITC Avant Garde"/>
          <w:lang w:val="es-MX"/>
        </w:rPr>
        <w:t>el AEP</w:t>
      </w:r>
      <w:r w:rsidRPr="00872052">
        <w:rPr>
          <w:rFonts w:ascii="ITC Avant Garde" w:hAnsi="ITC Avant Garde"/>
          <w:lang w:val="es-MX"/>
        </w:rPr>
        <w:t xml:space="preserve">, a partir de la información de referencia o </w:t>
      </w:r>
      <w:r w:rsidR="005B0846" w:rsidRPr="00872052">
        <w:rPr>
          <w:rFonts w:ascii="ITC Avant Garde" w:hAnsi="ITC Avant Garde"/>
          <w:lang w:val="es-MX"/>
        </w:rPr>
        <w:t>de los modelos anteriores</w:t>
      </w:r>
      <w:r w:rsidRPr="00872052">
        <w:rPr>
          <w:rFonts w:ascii="ITC Avant Garde" w:hAnsi="ITC Avant Garde"/>
          <w:lang w:val="es-MX"/>
        </w:rPr>
        <w:t>.</w:t>
      </w: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Para el modelo de acceso, </w:t>
      </w:r>
      <w:r w:rsidR="003B1FBF">
        <w:rPr>
          <w:rFonts w:ascii="ITC Avant Garde" w:hAnsi="ITC Avant Garde"/>
          <w:lang w:val="es-MX"/>
        </w:rPr>
        <w:t>el AEP</w:t>
      </w:r>
      <w:r w:rsidRPr="00872052">
        <w:rPr>
          <w:rFonts w:ascii="ITC Avant Garde" w:hAnsi="ITC Avant Garde"/>
          <w:lang w:val="es-MX"/>
        </w:rPr>
        <w:t xml:space="preserve"> establece la tendencia del precio para todos los activos en 4.5%. Este valor se toma en consideración en el modelo actualmente.</w:t>
      </w:r>
    </w:p>
    <w:p w:rsidR="009E4497" w:rsidRPr="00872052" w:rsidRDefault="009E4497" w:rsidP="009E4497">
      <w:pPr>
        <w:rPr>
          <w:rFonts w:ascii="ITC Avant Garde" w:hAnsi="ITC Avant Garde"/>
          <w:lang w:val="es-MX"/>
        </w:rPr>
      </w:pPr>
    </w:p>
    <w:p w:rsidR="009E4497" w:rsidRPr="00872052" w:rsidRDefault="009E4497" w:rsidP="009E4497">
      <w:pPr>
        <w:pStyle w:val="Ttulo4"/>
        <w:rPr>
          <w:rFonts w:ascii="ITC Avant Garde" w:hAnsi="ITC Avant Garde"/>
          <w:lang w:val="es-MX"/>
        </w:rPr>
      </w:pPr>
      <w:bookmarkStart w:id="319" w:name="_Toc525672890"/>
      <w:bookmarkStart w:id="320" w:name="_Toc525665330"/>
      <w:bookmarkStart w:id="321" w:name="_Toc525665709"/>
      <w:bookmarkStart w:id="322" w:name="_Toc526854410"/>
      <w:r w:rsidRPr="00872052">
        <w:rPr>
          <w:rFonts w:ascii="ITC Avant Garde" w:hAnsi="ITC Avant Garde"/>
          <w:lang w:val="es-MX"/>
        </w:rPr>
        <w:t>Gastos operacionales (OPEX)</w:t>
      </w:r>
      <w:bookmarkEnd w:id="319"/>
      <w:bookmarkEnd w:id="320"/>
      <w:bookmarkEnd w:id="321"/>
      <w:bookmarkEnd w:id="322"/>
    </w:p>
    <w:p w:rsidR="005B0846" w:rsidRPr="00872052" w:rsidRDefault="005B0846" w:rsidP="005B0846">
      <w:pPr>
        <w:rPr>
          <w:rFonts w:ascii="ITC Avant Garde" w:hAnsi="ITC Avant Garde"/>
          <w:lang w:val="es-MX"/>
        </w:rPr>
      </w:pPr>
      <w:r w:rsidRPr="00872052">
        <w:rPr>
          <w:rFonts w:ascii="ITC Avant Garde" w:hAnsi="ITC Avant Garde"/>
          <w:lang w:val="es-MX"/>
        </w:rPr>
        <w:t>Los gastos operativos para un elemento de red corresponden al costo incurrido, por ejemplo, para:</w:t>
      </w:r>
    </w:p>
    <w:p w:rsidR="005B0846" w:rsidRPr="00872052" w:rsidRDefault="005B0846" w:rsidP="005B0846">
      <w:pPr>
        <w:pStyle w:val="Listaconvietas2"/>
        <w:rPr>
          <w:rFonts w:ascii="ITC Avant Garde" w:hAnsi="ITC Avant Garde"/>
        </w:rPr>
      </w:pPr>
      <w:r w:rsidRPr="00872052">
        <w:rPr>
          <w:rFonts w:ascii="ITC Avant Garde" w:hAnsi="ITC Avant Garde"/>
        </w:rPr>
        <w:t xml:space="preserve">El </w:t>
      </w:r>
      <w:proofErr w:type="spellStart"/>
      <w:r w:rsidRPr="00872052">
        <w:rPr>
          <w:rFonts w:ascii="ITC Avant Garde" w:hAnsi="ITC Avant Garde"/>
        </w:rPr>
        <w:t>mantenimiento</w:t>
      </w:r>
      <w:proofErr w:type="spellEnd"/>
      <w:r w:rsidRPr="00872052">
        <w:rPr>
          <w:rFonts w:ascii="ITC Avant Garde" w:hAnsi="ITC Avant Garde"/>
        </w:rPr>
        <w:t xml:space="preserve"> del </w:t>
      </w:r>
      <w:proofErr w:type="spellStart"/>
      <w:r w:rsidRPr="00872052">
        <w:rPr>
          <w:rFonts w:ascii="ITC Avant Garde" w:hAnsi="ITC Avant Garde"/>
        </w:rPr>
        <w:t>equipo</w:t>
      </w:r>
      <w:proofErr w:type="spellEnd"/>
      <w:r w:rsidRPr="00872052">
        <w:rPr>
          <w:rFonts w:ascii="ITC Avant Garde" w:hAnsi="ITC Avant Garde"/>
        </w:rPr>
        <w:t>;</w:t>
      </w:r>
    </w:p>
    <w:p w:rsidR="005B0846" w:rsidRPr="00F370AD" w:rsidRDefault="005B0846" w:rsidP="005B0846">
      <w:pPr>
        <w:pStyle w:val="Listaconvietas2"/>
        <w:rPr>
          <w:rFonts w:ascii="ITC Avant Garde" w:hAnsi="ITC Avant Garde"/>
          <w:lang w:val="es-MX"/>
        </w:rPr>
      </w:pPr>
      <w:r w:rsidRPr="00F370AD">
        <w:rPr>
          <w:rFonts w:ascii="ITC Avant Garde" w:hAnsi="ITC Avant Garde"/>
          <w:lang w:val="es-MX"/>
        </w:rPr>
        <w:t>El soporte anual del proveedor;</w:t>
      </w:r>
    </w:p>
    <w:p w:rsidR="005B0846" w:rsidRPr="00F370AD" w:rsidRDefault="005B0846" w:rsidP="005B0846">
      <w:pPr>
        <w:pStyle w:val="Listaconvietas2"/>
        <w:rPr>
          <w:rFonts w:ascii="ITC Avant Garde" w:hAnsi="ITC Avant Garde"/>
          <w:lang w:val="es-MX"/>
        </w:rPr>
      </w:pPr>
      <w:r w:rsidRPr="00F370AD">
        <w:rPr>
          <w:rFonts w:ascii="ITC Avant Garde" w:hAnsi="ITC Avant Garde"/>
          <w:lang w:val="es-MX"/>
        </w:rPr>
        <w:t>El costo de alquiler del espacio requerido;</w:t>
      </w:r>
    </w:p>
    <w:p w:rsidR="005B0846" w:rsidRPr="00872052" w:rsidRDefault="005B0846" w:rsidP="005B0846">
      <w:pPr>
        <w:pStyle w:val="Listaconvietas2"/>
        <w:rPr>
          <w:rFonts w:ascii="ITC Avant Garde" w:hAnsi="ITC Avant Garde"/>
        </w:rPr>
      </w:pPr>
      <w:r w:rsidRPr="00872052">
        <w:rPr>
          <w:rFonts w:ascii="ITC Avant Garde" w:hAnsi="ITC Avant Garde"/>
        </w:rPr>
        <w:t xml:space="preserve">El </w:t>
      </w:r>
      <w:proofErr w:type="spellStart"/>
      <w:r w:rsidRPr="00872052">
        <w:rPr>
          <w:rFonts w:ascii="ITC Avant Garde" w:hAnsi="ITC Avant Garde"/>
        </w:rPr>
        <w:t>consumo</w:t>
      </w:r>
      <w:proofErr w:type="spellEnd"/>
      <w:r w:rsidRPr="00872052">
        <w:rPr>
          <w:rFonts w:ascii="ITC Avant Garde" w:hAnsi="ITC Avant Garde"/>
        </w:rPr>
        <w:t xml:space="preserve"> de </w:t>
      </w:r>
      <w:proofErr w:type="spellStart"/>
      <w:r w:rsidRPr="00872052">
        <w:rPr>
          <w:rFonts w:ascii="ITC Avant Garde" w:hAnsi="ITC Avant Garde"/>
        </w:rPr>
        <w:t>energía</w:t>
      </w:r>
      <w:proofErr w:type="spellEnd"/>
      <w:r w:rsidRPr="00872052">
        <w:rPr>
          <w:rFonts w:ascii="ITC Avant Garde" w:hAnsi="ITC Avant Garde"/>
        </w:rPr>
        <w:t>;</w:t>
      </w:r>
    </w:p>
    <w:p w:rsidR="005B0846" w:rsidRPr="00872052" w:rsidRDefault="005B0846" w:rsidP="005B0846">
      <w:pPr>
        <w:pStyle w:val="Listaconvietas2"/>
        <w:rPr>
          <w:rFonts w:ascii="ITC Avant Garde" w:hAnsi="ITC Avant Garde"/>
        </w:rPr>
      </w:pPr>
      <w:r w:rsidRPr="00872052">
        <w:rPr>
          <w:rFonts w:ascii="ITC Avant Garde" w:hAnsi="ITC Avant Garde"/>
        </w:rPr>
        <w:t xml:space="preserve">El </w:t>
      </w:r>
      <w:proofErr w:type="spellStart"/>
      <w:r w:rsidRPr="00872052">
        <w:rPr>
          <w:rFonts w:ascii="ITC Avant Garde" w:hAnsi="ITC Avant Garde"/>
        </w:rPr>
        <w:t>enfriamiento</w:t>
      </w:r>
      <w:proofErr w:type="spellEnd"/>
      <w:r w:rsidRPr="00872052">
        <w:rPr>
          <w:rFonts w:ascii="ITC Avant Garde" w:hAnsi="ITC Avant Garde"/>
        </w:rPr>
        <w:t>;</w:t>
      </w:r>
    </w:p>
    <w:p w:rsidR="005B0846" w:rsidRPr="00872052" w:rsidRDefault="005B0846" w:rsidP="005B0846">
      <w:pPr>
        <w:pStyle w:val="Listaconvietas2"/>
        <w:rPr>
          <w:rFonts w:ascii="ITC Avant Garde" w:hAnsi="ITC Avant Garde"/>
        </w:rPr>
      </w:pPr>
      <w:r w:rsidRPr="00872052">
        <w:rPr>
          <w:rFonts w:ascii="ITC Avant Garde" w:hAnsi="ITC Avant Garde"/>
        </w:rPr>
        <w:t>Etc.</w:t>
      </w:r>
    </w:p>
    <w:p w:rsidR="005B0846" w:rsidRPr="00872052" w:rsidRDefault="005B0846" w:rsidP="005B0846">
      <w:pPr>
        <w:rPr>
          <w:rFonts w:ascii="ITC Avant Garde" w:hAnsi="ITC Avant Garde"/>
          <w:lang w:val="es-MX"/>
        </w:rPr>
      </w:pPr>
    </w:p>
    <w:p w:rsidR="009E4497" w:rsidRPr="00872052" w:rsidRDefault="009E4497" w:rsidP="009E4497">
      <w:pPr>
        <w:rPr>
          <w:rFonts w:ascii="ITC Avant Garde" w:hAnsi="ITC Avant Garde"/>
          <w:lang w:val="es-MX"/>
        </w:rPr>
      </w:pPr>
      <w:r w:rsidRPr="00872052">
        <w:rPr>
          <w:rFonts w:ascii="ITC Avant Garde" w:hAnsi="ITC Avant Garde"/>
          <w:lang w:val="es-MX"/>
        </w:rPr>
        <w:t>En el modelo, los gastos operativos se consideran como un porcentaje global relacionado con el mantenimiento de la red.</w:t>
      </w:r>
    </w:p>
    <w:p w:rsidR="009E4497" w:rsidRPr="00872052" w:rsidRDefault="009E4497" w:rsidP="009E4497">
      <w:pPr>
        <w:rPr>
          <w:rFonts w:ascii="ITC Avant Garde" w:hAnsi="ITC Avant Garde"/>
          <w:lang w:val="es-MX"/>
        </w:rPr>
      </w:pPr>
      <w:r w:rsidRPr="00872052">
        <w:rPr>
          <w:rFonts w:ascii="ITC Avant Garde" w:hAnsi="ITC Avant Garde"/>
          <w:lang w:val="es-MX"/>
        </w:rPr>
        <w:t xml:space="preserve">Además de eso, se toma en consideración un costo de reparación de la falla para considerar el costo de la reparación de la falla que ocurre en la red. El volumen de falla se identifica utilizando un índice LFI (Índice de fallas de línea) estimado según los datos </w:t>
      </w:r>
      <w:r w:rsidR="005B0846" w:rsidRPr="00872052">
        <w:rPr>
          <w:rFonts w:ascii="ITC Avant Garde" w:hAnsi="ITC Avant Garde"/>
          <w:lang w:val="es-MX"/>
        </w:rPr>
        <w:t>d</w:t>
      </w:r>
      <w:r w:rsidR="003B1FBF">
        <w:rPr>
          <w:rFonts w:ascii="ITC Avant Garde" w:hAnsi="ITC Avant Garde"/>
          <w:lang w:val="es-MX"/>
        </w:rPr>
        <w:t>el AEP</w:t>
      </w:r>
      <w:r w:rsidRPr="00872052">
        <w:rPr>
          <w:rFonts w:ascii="ITC Avant Garde" w:hAnsi="ITC Avant Garde"/>
          <w:lang w:val="es-MX"/>
        </w:rPr>
        <w:t>.</w:t>
      </w:r>
    </w:p>
    <w:p w:rsidR="009E4497" w:rsidRPr="00872052" w:rsidRDefault="009E4497" w:rsidP="009E4497">
      <w:pPr>
        <w:rPr>
          <w:rFonts w:ascii="ITC Avant Garde" w:hAnsi="ITC Avant Garde"/>
          <w:lang w:val="es-MX"/>
        </w:rPr>
      </w:pPr>
      <w:r w:rsidRPr="00872052">
        <w:rPr>
          <w:rFonts w:ascii="ITC Avant Garde" w:hAnsi="ITC Avant Garde"/>
          <w:lang w:val="es-MX"/>
        </w:rPr>
        <w:t>Se utiliza un costo de reparación por falla para evaluar el costo total de OPEX debido a la reparación de fallas, este costo es diferente según la red considerada.</w:t>
      </w:r>
    </w:p>
    <w:p w:rsidR="009E4497" w:rsidRPr="00872052" w:rsidRDefault="009E4497" w:rsidP="009E4497">
      <w:pPr>
        <w:rPr>
          <w:rFonts w:ascii="ITC Avant Garde" w:hAnsi="ITC Avant Garde"/>
          <w:lang w:val="es-MX"/>
        </w:rPr>
      </w:pPr>
      <w:r w:rsidRPr="00872052">
        <w:rPr>
          <w:rFonts w:ascii="ITC Avant Garde" w:hAnsi="ITC Avant Garde"/>
          <w:lang w:val="es-MX"/>
        </w:rPr>
        <w:t xml:space="preserve">Finalmente, se agrega un costo de alojamiento para tomar en consideración el costo del alquiler del espacio de </w:t>
      </w:r>
      <w:r w:rsidR="005B0846" w:rsidRPr="00872052">
        <w:rPr>
          <w:rFonts w:ascii="ITC Avant Garde" w:hAnsi="ITC Avant Garde"/>
          <w:lang w:val="es-MX"/>
        </w:rPr>
        <w:t>CO</w:t>
      </w:r>
      <w:r w:rsidRPr="00872052">
        <w:rPr>
          <w:rFonts w:ascii="ITC Avant Garde" w:hAnsi="ITC Avant Garde"/>
          <w:lang w:val="es-MX"/>
        </w:rPr>
        <w:t xml:space="preserve"> (Centrales).</w:t>
      </w:r>
    </w:p>
    <w:p w:rsidR="009E4497" w:rsidRPr="00872052" w:rsidRDefault="009E4497" w:rsidP="009E4497">
      <w:pPr>
        <w:rPr>
          <w:rFonts w:ascii="ITC Avant Garde" w:hAnsi="ITC Avant Garde"/>
          <w:lang w:val="es-MX"/>
        </w:rPr>
      </w:pPr>
    </w:p>
    <w:p w:rsidR="009E4497" w:rsidRPr="00872052" w:rsidRDefault="009E4497" w:rsidP="009E4497">
      <w:pPr>
        <w:pStyle w:val="Ttulo3"/>
        <w:rPr>
          <w:rFonts w:ascii="ITC Avant Garde" w:hAnsi="ITC Avant Garde"/>
          <w:lang w:val="es-MX"/>
        </w:rPr>
      </w:pPr>
      <w:bookmarkStart w:id="323" w:name="_Toc525672891"/>
      <w:bookmarkStart w:id="324" w:name="_Toc525665331"/>
      <w:bookmarkStart w:id="325" w:name="_Toc525665710"/>
      <w:bookmarkStart w:id="326" w:name="_Toc526854411"/>
      <w:r w:rsidRPr="00872052">
        <w:rPr>
          <w:rFonts w:ascii="ITC Avant Garde" w:hAnsi="ITC Avant Garde"/>
          <w:lang w:val="es-MX"/>
        </w:rPr>
        <w:t>Vida útil de los activos</w:t>
      </w:r>
      <w:bookmarkEnd w:id="323"/>
      <w:bookmarkEnd w:id="324"/>
      <w:bookmarkEnd w:id="325"/>
      <w:bookmarkEnd w:id="326"/>
    </w:p>
    <w:p w:rsidR="009E4497" w:rsidRPr="00872052" w:rsidRDefault="009E4497" w:rsidP="009E4497">
      <w:pPr>
        <w:rPr>
          <w:rFonts w:ascii="ITC Avant Garde" w:hAnsi="ITC Avant Garde"/>
          <w:lang w:val="es-MX"/>
        </w:rPr>
      </w:pPr>
      <w:r w:rsidRPr="00872052">
        <w:rPr>
          <w:rFonts w:ascii="ITC Avant Garde" w:hAnsi="ITC Avant Garde"/>
          <w:lang w:val="es-MX"/>
        </w:rPr>
        <w:t>El modelo de costo de acceso y redes centrales utiliza los siguientes valores para los tiempos de vida útil de los activos de red</w:t>
      </w:r>
      <w:r w:rsidR="005B0846" w:rsidRPr="00872052">
        <w:rPr>
          <w:rFonts w:ascii="ITC Avant Garde" w:hAnsi="ITC Avant Garde"/>
          <w:lang w:val="es-MX"/>
        </w:rPr>
        <w:t>:</w:t>
      </w:r>
    </w:p>
    <w:p w:rsidR="009E4497" w:rsidRPr="00872052" w:rsidRDefault="009E4497" w:rsidP="009E4497">
      <w:pPr>
        <w:rPr>
          <w:rFonts w:ascii="ITC Avant Garde" w:hAnsi="ITC Avant Garde"/>
          <w:lang w:val="es-MX"/>
        </w:rPr>
      </w:pPr>
    </w:p>
    <w:p w:rsidR="005B0846" w:rsidRPr="00872052" w:rsidRDefault="00E55E52" w:rsidP="005B0846">
      <w:pPr>
        <w:pStyle w:val="Descripcin"/>
        <w:keepNext/>
        <w:rPr>
          <w:rFonts w:ascii="ITC Avant Garde" w:hAnsi="ITC Avant Garde"/>
          <w:lang w:val="es-MX"/>
        </w:rPr>
      </w:pPr>
      <w:r>
        <w:rPr>
          <w:rFonts w:ascii="ITC Avant Garde" w:hAnsi="ITC Avant Garde"/>
          <w:lang w:val="es-MX"/>
        </w:rPr>
        <w:lastRenderedPageBreak/>
        <w:t>Cuadro 15</w:t>
      </w:r>
      <w:r w:rsidR="005B0846" w:rsidRPr="00872052">
        <w:rPr>
          <w:rFonts w:ascii="ITC Avant Garde" w:hAnsi="ITC Avant Garde"/>
          <w:lang w:val="es-MX"/>
        </w:rPr>
        <w:t xml:space="preserve"> - Vida útil de activos</w:t>
      </w: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13"/>
        <w:gridCol w:w="1334"/>
      </w:tblGrid>
      <w:tr w:rsidR="005B0846" w:rsidRPr="007E0C55" w:rsidTr="005B0846">
        <w:tc>
          <w:tcPr>
            <w:tcW w:w="1050" w:type="dxa"/>
            <w:shd w:val="clear" w:color="auto" w:fill="2F5897" w:themeFill="text2"/>
            <w:vAlign w:val="center"/>
          </w:tcPr>
          <w:p w:rsidR="005B0846" w:rsidRPr="00872052" w:rsidRDefault="005B0846" w:rsidP="005B0846">
            <w:pPr>
              <w:keepNext/>
              <w:keepLines/>
              <w:jc w:val="left"/>
              <w:rPr>
                <w:rFonts w:ascii="ITC Avant Garde" w:hAnsi="ITC Avant Garde"/>
                <w:b/>
                <w:color w:val="FFFFFF"/>
                <w:sz w:val="16"/>
                <w:lang w:val="es-MX"/>
              </w:rPr>
            </w:pPr>
            <w:proofErr w:type="spellStart"/>
            <w:r w:rsidRPr="00872052">
              <w:rPr>
                <w:rFonts w:ascii="ITC Avant Garde" w:hAnsi="ITC Avant Garde"/>
                <w:b/>
                <w:color w:val="FFFFFF"/>
                <w:sz w:val="16"/>
                <w:lang w:val="es-MX"/>
              </w:rPr>
              <w:t>Ntw</w:t>
            </w:r>
            <w:proofErr w:type="spellEnd"/>
            <w:r w:rsidRPr="00872052">
              <w:rPr>
                <w:rFonts w:ascii="ITC Avant Garde" w:hAnsi="ITC Avant Garde"/>
                <w:b/>
                <w:color w:val="FFFFFF"/>
                <w:sz w:val="16"/>
                <w:lang w:val="es-MX"/>
              </w:rPr>
              <w:t>.</w:t>
            </w:r>
          </w:p>
        </w:tc>
        <w:tc>
          <w:tcPr>
            <w:tcW w:w="6713" w:type="dxa"/>
            <w:shd w:val="clear" w:color="auto" w:fill="2F5897" w:themeFill="text2"/>
            <w:vAlign w:val="center"/>
          </w:tcPr>
          <w:p w:rsidR="005B0846" w:rsidRPr="00872052" w:rsidRDefault="004538DA" w:rsidP="005B0846">
            <w:pPr>
              <w:keepNext/>
              <w:keepLines/>
              <w:jc w:val="left"/>
              <w:rPr>
                <w:rFonts w:ascii="ITC Avant Garde" w:hAnsi="ITC Avant Garde"/>
                <w:b/>
                <w:color w:val="FFFFFF"/>
                <w:sz w:val="16"/>
                <w:lang w:val="es-MX"/>
              </w:rPr>
            </w:pPr>
            <w:r>
              <w:rPr>
                <w:rFonts w:ascii="ITC Avant Garde" w:hAnsi="ITC Avant Garde"/>
                <w:b/>
                <w:color w:val="FFFFFF"/>
                <w:sz w:val="16"/>
                <w:lang w:val="es-MX"/>
              </w:rPr>
              <w:t>Categoría del activo</w:t>
            </w:r>
          </w:p>
        </w:tc>
        <w:tc>
          <w:tcPr>
            <w:tcW w:w="1334" w:type="dxa"/>
            <w:shd w:val="clear" w:color="auto" w:fill="2F5897" w:themeFill="text2"/>
            <w:vAlign w:val="center"/>
          </w:tcPr>
          <w:p w:rsidR="005B0846" w:rsidRPr="00872052" w:rsidRDefault="004538DA" w:rsidP="005B0846">
            <w:pPr>
              <w:keepNext/>
              <w:keepLines/>
              <w:jc w:val="left"/>
              <w:rPr>
                <w:rFonts w:ascii="ITC Avant Garde" w:hAnsi="ITC Avant Garde"/>
                <w:b/>
                <w:color w:val="FFFFFF"/>
                <w:sz w:val="16"/>
                <w:lang w:val="es-MX"/>
              </w:rPr>
            </w:pPr>
            <w:r>
              <w:rPr>
                <w:rFonts w:ascii="ITC Avant Garde" w:hAnsi="ITC Avant Garde"/>
                <w:b/>
                <w:color w:val="FFFFFF"/>
                <w:sz w:val="16"/>
                <w:lang w:val="es-MX"/>
              </w:rPr>
              <w:t>Vida útil</w:t>
            </w:r>
          </w:p>
        </w:tc>
      </w:tr>
      <w:tr w:rsidR="005B0846" w:rsidRPr="007E0C55" w:rsidTr="005B0846">
        <w:tc>
          <w:tcPr>
            <w:tcW w:w="1050" w:type="dxa"/>
            <w:shd w:val="clear" w:color="auto" w:fill="auto"/>
            <w:vAlign w:val="center"/>
          </w:tcPr>
          <w:p w:rsidR="005B0846" w:rsidRPr="00872052" w:rsidRDefault="005B0846" w:rsidP="005B0846">
            <w:pPr>
              <w:keepNext/>
              <w:keepLines/>
              <w:jc w:val="left"/>
              <w:rPr>
                <w:rFonts w:ascii="ITC Avant Garde" w:hAnsi="ITC Avant Garde"/>
                <w:sz w:val="16"/>
                <w:lang w:val="es-MX"/>
              </w:rPr>
            </w:pPr>
            <w:r w:rsidRPr="00872052">
              <w:rPr>
                <w:rFonts w:ascii="ITC Avant Garde" w:hAnsi="ITC Avant Garde"/>
                <w:sz w:val="16"/>
                <w:lang w:val="es-MX"/>
              </w:rPr>
              <w:t>Access</w:t>
            </w:r>
          </w:p>
        </w:tc>
        <w:tc>
          <w:tcPr>
            <w:tcW w:w="6713" w:type="dxa"/>
            <w:shd w:val="clear" w:color="auto" w:fill="auto"/>
            <w:vAlign w:val="center"/>
          </w:tcPr>
          <w:p w:rsidR="005B0846" w:rsidRPr="00872052" w:rsidRDefault="005B0846" w:rsidP="005B0846">
            <w:pPr>
              <w:keepNext/>
              <w:keepLines/>
              <w:jc w:val="left"/>
              <w:rPr>
                <w:rFonts w:ascii="ITC Avant Garde" w:hAnsi="ITC Avant Garde"/>
                <w:sz w:val="16"/>
                <w:lang w:val="es-MX"/>
              </w:rPr>
            </w:pPr>
            <w:r w:rsidRPr="00872052">
              <w:rPr>
                <w:rFonts w:ascii="ITC Avant Garde" w:hAnsi="ITC Avant Garde"/>
                <w:sz w:val="16"/>
                <w:lang w:val="es-MX"/>
              </w:rPr>
              <w:t>Canalizaciones, ’Pozos</w:t>
            </w:r>
          </w:p>
        </w:tc>
        <w:tc>
          <w:tcPr>
            <w:tcW w:w="1334" w:type="dxa"/>
            <w:shd w:val="clear" w:color="auto" w:fill="auto"/>
            <w:vAlign w:val="center"/>
          </w:tcPr>
          <w:p w:rsidR="005B0846" w:rsidRPr="00872052" w:rsidRDefault="005B0846" w:rsidP="005B0846">
            <w:pPr>
              <w:keepNext/>
              <w:keepLines/>
              <w:jc w:val="center"/>
              <w:rPr>
                <w:rFonts w:ascii="ITC Avant Garde" w:hAnsi="ITC Avant Garde"/>
                <w:sz w:val="16"/>
                <w:lang w:val="es-MX"/>
              </w:rPr>
            </w:pPr>
            <w:r w:rsidRPr="00872052">
              <w:rPr>
                <w:rFonts w:ascii="ITC Avant Garde" w:hAnsi="ITC Avant Garde"/>
                <w:sz w:val="16"/>
                <w:lang w:val="es-MX"/>
              </w:rPr>
              <w:t>23</w:t>
            </w:r>
          </w:p>
        </w:tc>
      </w:tr>
      <w:tr w:rsidR="005B0846" w:rsidRPr="007E0C55" w:rsidTr="005B0846">
        <w:tc>
          <w:tcPr>
            <w:tcW w:w="1050" w:type="dxa"/>
            <w:shd w:val="clear" w:color="auto" w:fill="auto"/>
            <w:vAlign w:val="center"/>
          </w:tcPr>
          <w:p w:rsidR="005B0846" w:rsidRPr="00872052" w:rsidRDefault="005B0846" w:rsidP="005B0846">
            <w:pPr>
              <w:keepNext/>
              <w:keepLines/>
              <w:jc w:val="left"/>
              <w:rPr>
                <w:rFonts w:ascii="ITC Avant Garde" w:hAnsi="ITC Avant Garde"/>
                <w:sz w:val="16"/>
                <w:lang w:val="es-MX"/>
              </w:rPr>
            </w:pPr>
            <w:r w:rsidRPr="00872052">
              <w:rPr>
                <w:rFonts w:ascii="ITC Avant Garde" w:hAnsi="ITC Avant Garde"/>
                <w:sz w:val="16"/>
                <w:lang w:val="es-MX"/>
              </w:rPr>
              <w:t>Access</w:t>
            </w:r>
          </w:p>
        </w:tc>
        <w:tc>
          <w:tcPr>
            <w:tcW w:w="6713" w:type="dxa"/>
            <w:shd w:val="clear" w:color="auto" w:fill="auto"/>
            <w:vAlign w:val="center"/>
          </w:tcPr>
          <w:p w:rsidR="005B0846" w:rsidRPr="00872052" w:rsidRDefault="005B0846" w:rsidP="005B0846">
            <w:pPr>
              <w:keepNext/>
              <w:keepLines/>
              <w:jc w:val="left"/>
              <w:rPr>
                <w:rFonts w:ascii="ITC Avant Garde" w:hAnsi="ITC Avant Garde"/>
                <w:sz w:val="16"/>
                <w:lang w:val="es-MX"/>
              </w:rPr>
            </w:pPr>
            <w:r w:rsidRPr="00872052">
              <w:rPr>
                <w:rFonts w:ascii="ITC Avant Garde" w:hAnsi="ITC Avant Garde"/>
                <w:sz w:val="16"/>
                <w:lang w:val="es-MX"/>
              </w:rPr>
              <w:t>Sub-</w:t>
            </w:r>
            <w:proofErr w:type="spellStart"/>
            <w:r w:rsidRPr="00872052">
              <w:rPr>
                <w:rFonts w:ascii="ITC Avant Garde" w:hAnsi="ITC Avant Garde"/>
                <w:sz w:val="16"/>
                <w:lang w:val="es-MX"/>
              </w:rPr>
              <w:t>ducts</w:t>
            </w:r>
            <w:proofErr w:type="spellEnd"/>
            <w:r w:rsidRPr="00872052">
              <w:rPr>
                <w:rFonts w:ascii="ITC Avant Garde" w:hAnsi="ITC Avant Garde"/>
                <w:sz w:val="16"/>
                <w:lang w:val="es-MX"/>
              </w:rPr>
              <w:t xml:space="preserve"> </w:t>
            </w:r>
            <w:proofErr w:type="spellStart"/>
            <w:r w:rsidRPr="00872052">
              <w:rPr>
                <w:rFonts w:ascii="ITC Avant Garde" w:hAnsi="ITC Avant Garde"/>
                <w:sz w:val="16"/>
                <w:lang w:val="es-MX"/>
              </w:rPr>
              <w:t>for</w:t>
            </w:r>
            <w:proofErr w:type="spellEnd"/>
            <w:r w:rsidRPr="00872052">
              <w:rPr>
                <w:rFonts w:ascii="ITC Avant Garde" w:hAnsi="ITC Avant Garde"/>
                <w:sz w:val="16"/>
                <w:lang w:val="es-MX"/>
              </w:rPr>
              <w:t xml:space="preserve"> </w:t>
            </w:r>
            <w:proofErr w:type="spellStart"/>
            <w:r w:rsidRPr="00872052">
              <w:rPr>
                <w:rFonts w:ascii="ITC Avant Garde" w:hAnsi="ITC Avant Garde"/>
                <w:sz w:val="16"/>
                <w:lang w:val="es-MX"/>
              </w:rPr>
              <w:t>Fibre</w:t>
            </w:r>
            <w:proofErr w:type="spellEnd"/>
          </w:p>
        </w:tc>
        <w:tc>
          <w:tcPr>
            <w:tcW w:w="1334" w:type="dxa"/>
            <w:shd w:val="clear" w:color="auto" w:fill="auto"/>
            <w:vAlign w:val="center"/>
          </w:tcPr>
          <w:p w:rsidR="005B0846" w:rsidRPr="00872052" w:rsidRDefault="005B0846" w:rsidP="005B0846">
            <w:pPr>
              <w:keepNext/>
              <w:keepLines/>
              <w:jc w:val="center"/>
              <w:rPr>
                <w:rFonts w:ascii="ITC Avant Garde" w:hAnsi="ITC Avant Garde"/>
                <w:sz w:val="16"/>
                <w:lang w:val="es-MX"/>
              </w:rPr>
            </w:pPr>
            <w:r w:rsidRPr="00872052">
              <w:rPr>
                <w:rFonts w:ascii="ITC Avant Garde" w:hAnsi="ITC Avant Garde"/>
                <w:sz w:val="16"/>
                <w:lang w:val="es-MX"/>
              </w:rPr>
              <w:t>10</w:t>
            </w:r>
          </w:p>
        </w:tc>
      </w:tr>
      <w:tr w:rsidR="005B0846" w:rsidRPr="007E0C55" w:rsidTr="005B0846">
        <w:tc>
          <w:tcPr>
            <w:tcW w:w="1050" w:type="dxa"/>
            <w:shd w:val="clear" w:color="auto" w:fill="auto"/>
            <w:vAlign w:val="center"/>
          </w:tcPr>
          <w:p w:rsidR="005B0846" w:rsidRPr="00872052" w:rsidRDefault="005B0846" w:rsidP="005B0846">
            <w:pPr>
              <w:keepNext/>
              <w:keepLines/>
              <w:jc w:val="left"/>
              <w:rPr>
                <w:rFonts w:ascii="ITC Avant Garde" w:hAnsi="ITC Avant Garde"/>
                <w:sz w:val="16"/>
                <w:lang w:val="es-MX"/>
              </w:rPr>
            </w:pPr>
            <w:r w:rsidRPr="00872052">
              <w:rPr>
                <w:rFonts w:ascii="ITC Avant Garde" w:hAnsi="ITC Avant Garde"/>
                <w:sz w:val="16"/>
                <w:lang w:val="es-MX"/>
              </w:rPr>
              <w:t>Access</w:t>
            </w:r>
          </w:p>
        </w:tc>
        <w:tc>
          <w:tcPr>
            <w:tcW w:w="6713" w:type="dxa"/>
            <w:shd w:val="clear" w:color="auto" w:fill="auto"/>
            <w:vAlign w:val="center"/>
          </w:tcPr>
          <w:p w:rsidR="005B0846" w:rsidRPr="00872052" w:rsidRDefault="005B0846" w:rsidP="005B0846">
            <w:pPr>
              <w:keepNext/>
              <w:keepLines/>
              <w:jc w:val="left"/>
              <w:rPr>
                <w:rFonts w:ascii="ITC Avant Garde" w:hAnsi="ITC Avant Garde"/>
                <w:sz w:val="16"/>
                <w:lang w:val="es-MX"/>
              </w:rPr>
            </w:pPr>
            <w:r w:rsidRPr="00872052">
              <w:rPr>
                <w:rFonts w:ascii="ITC Avant Garde" w:hAnsi="ITC Avant Garde"/>
                <w:sz w:val="16"/>
                <w:lang w:val="es-MX"/>
              </w:rPr>
              <w:t>Postes</w:t>
            </w:r>
          </w:p>
        </w:tc>
        <w:tc>
          <w:tcPr>
            <w:tcW w:w="1334" w:type="dxa"/>
            <w:shd w:val="clear" w:color="auto" w:fill="auto"/>
            <w:vAlign w:val="center"/>
          </w:tcPr>
          <w:p w:rsidR="005B0846" w:rsidRPr="00872052" w:rsidRDefault="005B0846" w:rsidP="005B0846">
            <w:pPr>
              <w:keepNext/>
              <w:keepLines/>
              <w:jc w:val="center"/>
              <w:rPr>
                <w:rFonts w:ascii="ITC Avant Garde" w:hAnsi="ITC Avant Garde"/>
                <w:sz w:val="16"/>
                <w:lang w:val="es-MX"/>
              </w:rPr>
            </w:pPr>
            <w:r w:rsidRPr="00872052">
              <w:rPr>
                <w:rFonts w:ascii="ITC Avant Garde" w:hAnsi="ITC Avant Garde"/>
                <w:sz w:val="16"/>
                <w:lang w:val="es-MX"/>
              </w:rPr>
              <w:t>22</w:t>
            </w:r>
          </w:p>
        </w:tc>
      </w:tr>
      <w:tr w:rsidR="005B0846" w:rsidRPr="007E0C55" w:rsidTr="005B0846">
        <w:tc>
          <w:tcPr>
            <w:tcW w:w="1050" w:type="dxa"/>
            <w:shd w:val="clear" w:color="auto" w:fill="auto"/>
            <w:vAlign w:val="center"/>
          </w:tcPr>
          <w:p w:rsidR="005B0846" w:rsidRPr="00872052" w:rsidRDefault="005B0846" w:rsidP="005B0846">
            <w:pPr>
              <w:keepNext/>
              <w:keepLines/>
              <w:jc w:val="left"/>
              <w:rPr>
                <w:rFonts w:ascii="ITC Avant Garde" w:hAnsi="ITC Avant Garde"/>
                <w:sz w:val="16"/>
                <w:lang w:val="es-MX"/>
              </w:rPr>
            </w:pPr>
            <w:r w:rsidRPr="00872052">
              <w:rPr>
                <w:rFonts w:ascii="ITC Avant Garde" w:hAnsi="ITC Avant Garde"/>
                <w:sz w:val="16"/>
                <w:lang w:val="es-MX"/>
              </w:rPr>
              <w:t>Access</w:t>
            </w:r>
          </w:p>
        </w:tc>
        <w:tc>
          <w:tcPr>
            <w:tcW w:w="6713" w:type="dxa"/>
            <w:shd w:val="clear" w:color="auto" w:fill="auto"/>
            <w:vAlign w:val="center"/>
          </w:tcPr>
          <w:p w:rsidR="005B0846" w:rsidRPr="00872052" w:rsidRDefault="005B0846" w:rsidP="005B0846">
            <w:pPr>
              <w:keepNext/>
              <w:keepLines/>
              <w:jc w:val="left"/>
              <w:rPr>
                <w:rFonts w:ascii="ITC Avant Garde" w:hAnsi="ITC Avant Garde"/>
                <w:sz w:val="16"/>
                <w:lang w:val="es-MX"/>
              </w:rPr>
            </w:pPr>
            <w:proofErr w:type="spellStart"/>
            <w:r w:rsidRPr="00872052">
              <w:rPr>
                <w:rFonts w:ascii="ITC Avant Garde" w:hAnsi="ITC Avant Garde"/>
                <w:sz w:val="16"/>
                <w:lang w:val="es-MX"/>
              </w:rPr>
              <w:t>Copper</w:t>
            </w:r>
            <w:proofErr w:type="spellEnd"/>
            <w:r w:rsidRPr="00872052">
              <w:rPr>
                <w:rFonts w:ascii="ITC Avant Garde" w:hAnsi="ITC Avant Garde"/>
                <w:sz w:val="16"/>
                <w:lang w:val="es-MX"/>
              </w:rPr>
              <w:t xml:space="preserve"> cables and </w:t>
            </w:r>
            <w:proofErr w:type="spellStart"/>
            <w:r w:rsidRPr="00872052">
              <w:rPr>
                <w:rFonts w:ascii="ITC Avant Garde" w:hAnsi="ITC Avant Garde"/>
                <w:sz w:val="16"/>
                <w:lang w:val="es-MX"/>
              </w:rPr>
              <w:t>joints</w:t>
            </w:r>
            <w:proofErr w:type="spellEnd"/>
          </w:p>
        </w:tc>
        <w:tc>
          <w:tcPr>
            <w:tcW w:w="1334" w:type="dxa"/>
            <w:shd w:val="clear" w:color="auto" w:fill="auto"/>
            <w:vAlign w:val="center"/>
          </w:tcPr>
          <w:p w:rsidR="005B0846" w:rsidRPr="00872052" w:rsidRDefault="005B0846" w:rsidP="005B0846">
            <w:pPr>
              <w:keepNext/>
              <w:keepLines/>
              <w:jc w:val="center"/>
              <w:rPr>
                <w:rFonts w:ascii="ITC Avant Garde" w:hAnsi="ITC Avant Garde"/>
                <w:sz w:val="16"/>
                <w:lang w:val="es-MX"/>
              </w:rPr>
            </w:pPr>
            <w:r w:rsidRPr="00872052">
              <w:rPr>
                <w:rFonts w:ascii="ITC Avant Garde" w:hAnsi="ITC Avant Garde"/>
                <w:sz w:val="16"/>
                <w:lang w:val="es-MX"/>
              </w:rPr>
              <w:t>14</w:t>
            </w:r>
          </w:p>
        </w:tc>
      </w:tr>
      <w:tr w:rsidR="005B0846" w:rsidRPr="007E0C55" w:rsidTr="005B0846">
        <w:tc>
          <w:tcPr>
            <w:tcW w:w="1050" w:type="dxa"/>
            <w:shd w:val="clear" w:color="auto" w:fill="auto"/>
            <w:vAlign w:val="center"/>
          </w:tcPr>
          <w:p w:rsidR="005B0846" w:rsidRPr="00872052" w:rsidRDefault="005B0846" w:rsidP="005B0846">
            <w:pPr>
              <w:keepNext/>
              <w:keepLines/>
              <w:jc w:val="left"/>
              <w:rPr>
                <w:rFonts w:ascii="ITC Avant Garde" w:hAnsi="ITC Avant Garde"/>
                <w:sz w:val="16"/>
                <w:lang w:val="es-MX"/>
              </w:rPr>
            </w:pPr>
            <w:r w:rsidRPr="00872052">
              <w:rPr>
                <w:rFonts w:ascii="ITC Avant Garde" w:hAnsi="ITC Avant Garde"/>
                <w:sz w:val="16"/>
                <w:lang w:val="es-MX"/>
              </w:rPr>
              <w:t>Access</w:t>
            </w:r>
          </w:p>
        </w:tc>
        <w:tc>
          <w:tcPr>
            <w:tcW w:w="6713" w:type="dxa"/>
            <w:shd w:val="clear" w:color="auto" w:fill="auto"/>
            <w:vAlign w:val="center"/>
          </w:tcPr>
          <w:p w:rsidR="005B0846" w:rsidRPr="00872052" w:rsidRDefault="005B0846" w:rsidP="005B0846">
            <w:pPr>
              <w:keepNext/>
              <w:keepLines/>
              <w:jc w:val="left"/>
              <w:rPr>
                <w:rFonts w:ascii="ITC Avant Garde" w:hAnsi="ITC Avant Garde"/>
                <w:sz w:val="16"/>
                <w:lang w:val="es-MX"/>
              </w:rPr>
            </w:pPr>
            <w:proofErr w:type="spellStart"/>
            <w:r w:rsidRPr="00872052">
              <w:rPr>
                <w:rFonts w:ascii="ITC Avant Garde" w:hAnsi="ITC Avant Garde"/>
                <w:sz w:val="16"/>
                <w:lang w:val="es-MX"/>
              </w:rPr>
              <w:t>Fibre</w:t>
            </w:r>
            <w:proofErr w:type="spellEnd"/>
            <w:r w:rsidRPr="00872052">
              <w:rPr>
                <w:rFonts w:ascii="ITC Avant Garde" w:hAnsi="ITC Avant Garde"/>
                <w:sz w:val="16"/>
                <w:lang w:val="es-MX"/>
              </w:rPr>
              <w:t xml:space="preserve"> cables and </w:t>
            </w:r>
            <w:proofErr w:type="spellStart"/>
            <w:r w:rsidRPr="00872052">
              <w:rPr>
                <w:rFonts w:ascii="ITC Avant Garde" w:hAnsi="ITC Avant Garde"/>
                <w:sz w:val="16"/>
                <w:lang w:val="es-MX"/>
              </w:rPr>
              <w:t>joints</w:t>
            </w:r>
            <w:proofErr w:type="spellEnd"/>
          </w:p>
        </w:tc>
        <w:tc>
          <w:tcPr>
            <w:tcW w:w="1334" w:type="dxa"/>
            <w:shd w:val="clear" w:color="auto" w:fill="auto"/>
            <w:vAlign w:val="center"/>
          </w:tcPr>
          <w:p w:rsidR="005B0846" w:rsidRPr="00872052" w:rsidRDefault="005B0846" w:rsidP="005B0846">
            <w:pPr>
              <w:keepNext/>
              <w:keepLines/>
              <w:jc w:val="center"/>
              <w:rPr>
                <w:rFonts w:ascii="ITC Avant Garde" w:hAnsi="ITC Avant Garde"/>
                <w:sz w:val="16"/>
                <w:lang w:val="es-MX"/>
              </w:rPr>
            </w:pPr>
            <w:r w:rsidRPr="00872052">
              <w:rPr>
                <w:rFonts w:ascii="ITC Avant Garde" w:hAnsi="ITC Avant Garde"/>
                <w:sz w:val="16"/>
                <w:lang w:val="es-MX"/>
              </w:rPr>
              <w:t>17</w:t>
            </w:r>
          </w:p>
        </w:tc>
      </w:tr>
      <w:tr w:rsidR="005B0846" w:rsidRPr="007E0C55" w:rsidTr="005B0846">
        <w:tc>
          <w:tcPr>
            <w:tcW w:w="1050" w:type="dxa"/>
            <w:shd w:val="clear" w:color="auto" w:fill="auto"/>
            <w:vAlign w:val="center"/>
          </w:tcPr>
          <w:p w:rsidR="005B0846" w:rsidRPr="00872052" w:rsidRDefault="005B0846" w:rsidP="005B0846">
            <w:pPr>
              <w:keepNext/>
              <w:keepLines/>
              <w:jc w:val="left"/>
              <w:rPr>
                <w:rFonts w:ascii="ITC Avant Garde" w:hAnsi="ITC Avant Garde"/>
                <w:sz w:val="16"/>
                <w:lang w:val="es-MX"/>
              </w:rPr>
            </w:pPr>
            <w:r w:rsidRPr="00872052">
              <w:rPr>
                <w:rFonts w:ascii="ITC Avant Garde" w:hAnsi="ITC Avant Garde"/>
                <w:sz w:val="16"/>
                <w:lang w:val="es-MX"/>
              </w:rPr>
              <w:t>Access</w:t>
            </w:r>
          </w:p>
        </w:tc>
        <w:tc>
          <w:tcPr>
            <w:tcW w:w="6713" w:type="dxa"/>
            <w:shd w:val="clear" w:color="auto" w:fill="auto"/>
            <w:vAlign w:val="center"/>
          </w:tcPr>
          <w:p w:rsidR="005B0846" w:rsidRPr="0029338F" w:rsidRDefault="005B0846" w:rsidP="005B0846">
            <w:pPr>
              <w:keepNext/>
              <w:keepLines/>
              <w:jc w:val="left"/>
              <w:rPr>
                <w:rFonts w:ascii="ITC Avant Garde" w:hAnsi="ITC Avant Garde"/>
                <w:sz w:val="16"/>
              </w:rPr>
            </w:pPr>
            <w:r w:rsidRPr="0029338F">
              <w:rPr>
                <w:rFonts w:ascii="ITC Avant Garde" w:hAnsi="ITC Avant Garde"/>
                <w:sz w:val="16"/>
              </w:rPr>
              <w:t>Distribution frames, distribution points, splitters</w:t>
            </w:r>
          </w:p>
        </w:tc>
        <w:tc>
          <w:tcPr>
            <w:tcW w:w="1334" w:type="dxa"/>
            <w:shd w:val="clear" w:color="auto" w:fill="auto"/>
            <w:vAlign w:val="center"/>
          </w:tcPr>
          <w:p w:rsidR="005B0846" w:rsidRPr="00872052" w:rsidRDefault="005B0846" w:rsidP="005B0846">
            <w:pPr>
              <w:keepNext/>
              <w:keepLines/>
              <w:jc w:val="center"/>
              <w:rPr>
                <w:rFonts w:ascii="ITC Avant Garde" w:hAnsi="ITC Avant Garde"/>
                <w:sz w:val="16"/>
                <w:lang w:val="es-MX"/>
              </w:rPr>
            </w:pPr>
            <w:r w:rsidRPr="00872052">
              <w:rPr>
                <w:rFonts w:ascii="ITC Avant Garde" w:hAnsi="ITC Avant Garde"/>
                <w:sz w:val="16"/>
                <w:lang w:val="es-MX"/>
              </w:rPr>
              <w:t>14</w:t>
            </w:r>
          </w:p>
        </w:tc>
      </w:tr>
      <w:tr w:rsidR="005B0846" w:rsidRPr="007E0C55" w:rsidTr="005B0846">
        <w:tc>
          <w:tcPr>
            <w:tcW w:w="1050" w:type="dxa"/>
            <w:shd w:val="clear" w:color="auto" w:fill="auto"/>
            <w:vAlign w:val="center"/>
          </w:tcPr>
          <w:p w:rsidR="005B0846" w:rsidRPr="00872052" w:rsidRDefault="005B0846" w:rsidP="005B0846">
            <w:pPr>
              <w:keepNext/>
              <w:keepLines/>
              <w:jc w:val="left"/>
              <w:rPr>
                <w:rFonts w:ascii="ITC Avant Garde" w:hAnsi="ITC Avant Garde"/>
                <w:sz w:val="16"/>
                <w:lang w:val="es-MX"/>
              </w:rPr>
            </w:pPr>
            <w:r w:rsidRPr="00872052">
              <w:rPr>
                <w:rFonts w:ascii="ITC Avant Garde" w:hAnsi="ITC Avant Garde"/>
                <w:sz w:val="16"/>
                <w:lang w:val="es-MX"/>
              </w:rPr>
              <w:t>Access</w:t>
            </w:r>
          </w:p>
        </w:tc>
        <w:tc>
          <w:tcPr>
            <w:tcW w:w="6713" w:type="dxa"/>
            <w:shd w:val="clear" w:color="auto" w:fill="auto"/>
            <w:vAlign w:val="center"/>
          </w:tcPr>
          <w:p w:rsidR="005B0846" w:rsidRPr="00872052" w:rsidRDefault="005B0846" w:rsidP="005B0846">
            <w:pPr>
              <w:keepNext/>
              <w:keepLines/>
              <w:jc w:val="left"/>
              <w:rPr>
                <w:rFonts w:ascii="ITC Avant Garde" w:hAnsi="ITC Avant Garde"/>
                <w:sz w:val="16"/>
                <w:lang w:val="es-MX"/>
              </w:rPr>
            </w:pPr>
            <w:r w:rsidRPr="00872052">
              <w:rPr>
                <w:rFonts w:ascii="ITC Avant Garde" w:hAnsi="ITC Avant Garde"/>
                <w:sz w:val="16"/>
                <w:lang w:val="es-MX"/>
              </w:rPr>
              <w:t xml:space="preserve">Network </w:t>
            </w:r>
            <w:proofErr w:type="spellStart"/>
            <w:r w:rsidRPr="00872052">
              <w:rPr>
                <w:rFonts w:ascii="ITC Avant Garde" w:hAnsi="ITC Avant Garde"/>
                <w:sz w:val="16"/>
                <w:lang w:val="es-MX"/>
              </w:rPr>
              <w:t>termination</w:t>
            </w:r>
            <w:proofErr w:type="spellEnd"/>
            <w:r w:rsidRPr="00872052">
              <w:rPr>
                <w:rFonts w:ascii="ITC Avant Garde" w:hAnsi="ITC Avant Garde"/>
                <w:sz w:val="16"/>
                <w:lang w:val="es-MX"/>
              </w:rPr>
              <w:t xml:space="preserve"> </w:t>
            </w:r>
            <w:proofErr w:type="spellStart"/>
            <w:r w:rsidRPr="00872052">
              <w:rPr>
                <w:rFonts w:ascii="ITC Avant Garde" w:hAnsi="ITC Avant Garde"/>
                <w:sz w:val="16"/>
                <w:lang w:val="es-MX"/>
              </w:rPr>
              <w:t>points</w:t>
            </w:r>
            <w:proofErr w:type="spellEnd"/>
          </w:p>
        </w:tc>
        <w:tc>
          <w:tcPr>
            <w:tcW w:w="1334" w:type="dxa"/>
            <w:shd w:val="clear" w:color="auto" w:fill="auto"/>
            <w:vAlign w:val="center"/>
          </w:tcPr>
          <w:p w:rsidR="005B0846" w:rsidRPr="00872052" w:rsidRDefault="005B0846" w:rsidP="005B0846">
            <w:pPr>
              <w:keepNext/>
              <w:keepLines/>
              <w:jc w:val="center"/>
              <w:rPr>
                <w:rFonts w:ascii="ITC Avant Garde" w:hAnsi="ITC Avant Garde"/>
                <w:sz w:val="16"/>
                <w:lang w:val="es-MX"/>
              </w:rPr>
            </w:pPr>
            <w:r w:rsidRPr="00872052">
              <w:rPr>
                <w:rFonts w:ascii="ITC Avant Garde" w:hAnsi="ITC Avant Garde"/>
                <w:sz w:val="16"/>
                <w:lang w:val="es-MX"/>
              </w:rPr>
              <w:t>14</w:t>
            </w:r>
          </w:p>
        </w:tc>
      </w:tr>
      <w:tr w:rsidR="005B0846" w:rsidRPr="007E0C55" w:rsidTr="005B0846">
        <w:tc>
          <w:tcPr>
            <w:tcW w:w="1050" w:type="dxa"/>
            <w:shd w:val="clear" w:color="auto" w:fill="auto"/>
            <w:vAlign w:val="center"/>
          </w:tcPr>
          <w:p w:rsidR="005B0846" w:rsidRPr="00872052" w:rsidRDefault="005B0846" w:rsidP="005B0846">
            <w:pPr>
              <w:keepNext/>
              <w:keepLines/>
              <w:jc w:val="left"/>
              <w:rPr>
                <w:rFonts w:ascii="ITC Avant Garde" w:hAnsi="ITC Avant Garde"/>
                <w:sz w:val="16"/>
                <w:lang w:val="es-MX"/>
              </w:rPr>
            </w:pPr>
            <w:r w:rsidRPr="00872052">
              <w:rPr>
                <w:rFonts w:ascii="ITC Avant Garde" w:hAnsi="ITC Avant Garde"/>
                <w:sz w:val="16"/>
                <w:lang w:val="es-MX"/>
              </w:rPr>
              <w:t>Access</w:t>
            </w:r>
          </w:p>
        </w:tc>
        <w:tc>
          <w:tcPr>
            <w:tcW w:w="6713" w:type="dxa"/>
            <w:shd w:val="clear" w:color="auto" w:fill="auto"/>
            <w:vAlign w:val="center"/>
          </w:tcPr>
          <w:p w:rsidR="005B0846" w:rsidRPr="00872052" w:rsidRDefault="005B0846" w:rsidP="005B0846">
            <w:pPr>
              <w:keepNext/>
              <w:keepLines/>
              <w:jc w:val="left"/>
              <w:rPr>
                <w:rFonts w:ascii="ITC Avant Garde" w:hAnsi="ITC Avant Garde"/>
                <w:sz w:val="16"/>
                <w:lang w:val="es-MX"/>
              </w:rPr>
            </w:pPr>
            <w:r w:rsidRPr="00872052">
              <w:rPr>
                <w:rFonts w:ascii="ITC Avant Garde" w:hAnsi="ITC Avant Garde"/>
                <w:sz w:val="16"/>
                <w:lang w:val="es-MX"/>
              </w:rPr>
              <w:t>MDF/ODF</w:t>
            </w:r>
          </w:p>
        </w:tc>
        <w:tc>
          <w:tcPr>
            <w:tcW w:w="1334" w:type="dxa"/>
            <w:shd w:val="clear" w:color="auto" w:fill="auto"/>
            <w:vAlign w:val="center"/>
          </w:tcPr>
          <w:p w:rsidR="005B0846" w:rsidRPr="00872052" w:rsidRDefault="005B0846" w:rsidP="005B0846">
            <w:pPr>
              <w:keepNext/>
              <w:keepLines/>
              <w:jc w:val="center"/>
              <w:rPr>
                <w:rFonts w:ascii="ITC Avant Garde" w:hAnsi="ITC Avant Garde"/>
                <w:sz w:val="16"/>
                <w:lang w:val="es-MX"/>
              </w:rPr>
            </w:pPr>
            <w:r w:rsidRPr="00872052">
              <w:rPr>
                <w:rFonts w:ascii="ITC Avant Garde" w:hAnsi="ITC Avant Garde"/>
                <w:sz w:val="16"/>
                <w:lang w:val="es-MX"/>
              </w:rPr>
              <w:t>14</w:t>
            </w:r>
          </w:p>
        </w:tc>
      </w:tr>
    </w:tbl>
    <w:p w:rsidR="00A46493" w:rsidRPr="00872052" w:rsidRDefault="00A46493" w:rsidP="009E4497">
      <w:pPr>
        <w:rPr>
          <w:rFonts w:ascii="ITC Avant Garde" w:hAnsi="ITC Avant Garde"/>
          <w:lang w:val="es-MX"/>
        </w:rPr>
      </w:pPr>
    </w:p>
    <w:p w:rsidR="009E4497" w:rsidRPr="00872052" w:rsidRDefault="009E4497" w:rsidP="009E4497">
      <w:pPr>
        <w:pStyle w:val="Ttulo3"/>
        <w:rPr>
          <w:rFonts w:ascii="ITC Avant Garde" w:hAnsi="ITC Avant Garde"/>
          <w:lang w:val="es-MX"/>
        </w:rPr>
      </w:pPr>
      <w:bookmarkStart w:id="327" w:name="_Toc525672892"/>
      <w:bookmarkStart w:id="328" w:name="_Toc525665332"/>
      <w:bookmarkStart w:id="329" w:name="_Toc525665711"/>
      <w:bookmarkStart w:id="330" w:name="_Toc526854412"/>
      <w:r w:rsidRPr="00872052">
        <w:rPr>
          <w:rFonts w:ascii="ITC Avant Garde" w:hAnsi="ITC Avant Garde"/>
          <w:lang w:val="es-MX"/>
        </w:rPr>
        <w:t>Costo promedio de capital ponderado (WACC)</w:t>
      </w:r>
      <w:bookmarkEnd w:id="327"/>
      <w:bookmarkEnd w:id="328"/>
      <w:bookmarkEnd w:id="329"/>
      <w:bookmarkEnd w:id="330"/>
    </w:p>
    <w:p w:rsidR="009E4497" w:rsidRPr="00872052" w:rsidRDefault="009E4497" w:rsidP="009E4497">
      <w:pPr>
        <w:rPr>
          <w:rFonts w:ascii="ITC Avant Garde" w:hAnsi="ITC Avant Garde"/>
          <w:lang w:val="es-MX"/>
        </w:rPr>
      </w:pPr>
      <w:r w:rsidRPr="00872052">
        <w:rPr>
          <w:rFonts w:ascii="ITC Avant Garde" w:hAnsi="ITC Avant Garde"/>
          <w:lang w:val="es-MX"/>
        </w:rPr>
        <w:t>El costo del capital mide la oportunidad o el costo alternativo de las fuentes de capital (deuda y capital) invertidas en la red.</w:t>
      </w:r>
    </w:p>
    <w:p w:rsidR="009E4497" w:rsidRPr="00872052" w:rsidRDefault="009E4497" w:rsidP="009E4497">
      <w:pPr>
        <w:rPr>
          <w:rFonts w:ascii="ITC Avant Garde" w:hAnsi="ITC Avant Garde"/>
          <w:lang w:val="es-MX"/>
        </w:rPr>
      </w:pPr>
      <w:r w:rsidRPr="00872052">
        <w:rPr>
          <w:rFonts w:ascii="ITC Avant Garde" w:hAnsi="ITC Avant Garde"/>
          <w:lang w:val="es-MX"/>
        </w:rPr>
        <w:t>Considera que el rendimiento de los activos de la empresa debe ser igual al rendimiento total esperado por sus accionistas y acreedores de la deuda, ponderado por su contribución respectiva al financiamiento de la empresa.</w:t>
      </w:r>
    </w:p>
    <w:p w:rsidR="009E4497" w:rsidRPr="00872052" w:rsidRDefault="009E4497" w:rsidP="009E4497">
      <w:pPr>
        <w:rPr>
          <w:rFonts w:ascii="ITC Avant Garde" w:hAnsi="ITC Avant Garde"/>
          <w:lang w:val="es-MX"/>
        </w:rPr>
      </w:pPr>
      <w:r w:rsidRPr="00872052">
        <w:rPr>
          <w:rFonts w:ascii="ITC Avant Garde" w:hAnsi="ITC Avant Garde"/>
          <w:lang w:val="es-MX"/>
        </w:rPr>
        <w:t>El cálculo de la WACC ha sido realizado recientemente por IFT.</w:t>
      </w:r>
    </w:p>
    <w:p w:rsidR="009E4497" w:rsidRPr="00872052" w:rsidRDefault="009E4497" w:rsidP="009E4497">
      <w:pPr>
        <w:rPr>
          <w:rFonts w:ascii="ITC Avant Garde" w:hAnsi="ITC Avant Garde"/>
          <w:lang w:val="es-MX"/>
        </w:rPr>
      </w:pPr>
      <w:r w:rsidRPr="00872052">
        <w:rPr>
          <w:rFonts w:ascii="ITC Avant Garde" w:hAnsi="ITC Avant Garde"/>
          <w:lang w:val="es-MX"/>
        </w:rPr>
        <w:t>IFT considera que el costo de capital calculado debe usarse en el modelo, su valor se establece en 8</w:t>
      </w:r>
      <w:r w:rsidR="004538DA">
        <w:rPr>
          <w:rFonts w:ascii="ITC Avant Garde" w:hAnsi="ITC Avant Garde"/>
          <w:lang w:val="es-MX"/>
        </w:rPr>
        <w:t>.</w:t>
      </w:r>
      <w:r w:rsidR="00F906F3">
        <w:rPr>
          <w:rFonts w:ascii="ITC Avant Garde" w:hAnsi="ITC Avant Garde"/>
          <w:lang w:val="es-MX"/>
        </w:rPr>
        <w:t>34</w:t>
      </w:r>
      <w:r w:rsidR="005B0846" w:rsidRPr="00872052">
        <w:rPr>
          <w:rFonts w:ascii="ITC Avant Garde" w:hAnsi="ITC Avant Garde"/>
          <w:lang w:val="es-MX"/>
        </w:rPr>
        <w:t>%</w:t>
      </w:r>
      <w:r w:rsidR="004538DA">
        <w:rPr>
          <w:rStyle w:val="Refdenotaalpie"/>
          <w:rFonts w:ascii="ITC Avant Garde" w:hAnsi="ITC Avant Garde"/>
          <w:lang w:val="es-MX"/>
        </w:rPr>
        <w:footnoteReference w:id="43"/>
      </w:r>
      <w:r w:rsidR="005B0846" w:rsidRPr="00872052">
        <w:rPr>
          <w:rFonts w:ascii="ITC Avant Garde" w:hAnsi="ITC Avant Garde"/>
          <w:lang w:val="es-MX"/>
        </w:rPr>
        <w:t>.</w:t>
      </w:r>
    </w:p>
    <w:p w:rsidR="009E4497" w:rsidRPr="00872052" w:rsidRDefault="009E4497" w:rsidP="009E4497">
      <w:pPr>
        <w:rPr>
          <w:rFonts w:ascii="ITC Avant Garde" w:hAnsi="ITC Avant Garde"/>
          <w:lang w:val="es-MX"/>
        </w:rPr>
      </w:pPr>
      <w:r w:rsidRPr="00872052">
        <w:rPr>
          <w:rFonts w:ascii="ITC Avant Garde" w:hAnsi="ITC Avant Garde"/>
          <w:lang w:val="es-MX"/>
        </w:rPr>
        <w:t xml:space="preserve">El modelo utiliza un valor único de costo de capital (WACC) para todas las actividades fijas (es decir, tanto para </w:t>
      </w:r>
      <w:r w:rsidR="005B0846" w:rsidRPr="00872052">
        <w:rPr>
          <w:rFonts w:ascii="ITC Avant Garde" w:hAnsi="ITC Avant Garde"/>
          <w:lang w:val="es-MX"/>
        </w:rPr>
        <w:t>la red</w:t>
      </w:r>
      <w:r w:rsidRPr="00872052">
        <w:rPr>
          <w:rFonts w:ascii="ITC Avant Garde" w:hAnsi="ITC Avant Garde"/>
          <w:lang w:val="es-MX"/>
        </w:rPr>
        <w:t xml:space="preserve"> de fibra como para </w:t>
      </w:r>
      <w:r w:rsidR="005B0846" w:rsidRPr="00872052">
        <w:rPr>
          <w:rFonts w:ascii="ITC Avant Garde" w:hAnsi="ITC Avant Garde"/>
          <w:lang w:val="es-MX"/>
        </w:rPr>
        <w:t>la de cobre).</w:t>
      </w:r>
      <w:r w:rsidRPr="00872052">
        <w:rPr>
          <w:rFonts w:ascii="ITC Avant Garde" w:hAnsi="ITC Avant Garde"/>
          <w:lang w:val="es-MX"/>
        </w:rPr>
        <w:t xml:space="preserve"> El parámetro WACC se presenta en la hoja de cálculo "Tablero".</w:t>
      </w:r>
    </w:p>
    <w:p w:rsidR="005B0846" w:rsidRPr="00872052" w:rsidRDefault="005B0846" w:rsidP="005B0846">
      <w:pPr>
        <w:rPr>
          <w:rFonts w:ascii="ITC Avant Garde" w:hAnsi="ITC Avant Garde"/>
          <w:lang w:val="es-MX"/>
        </w:rPr>
      </w:pPr>
    </w:p>
    <w:p w:rsidR="009E4497" w:rsidRPr="00872052" w:rsidRDefault="009E4497" w:rsidP="009E4497">
      <w:pPr>
        <w:pStyle w:val="Ttulo3"/>
        <w:rPr>
          <w:rFonts w:ascii="ITC Avant Garde" w:hAnsi="ITC Avant Garde"/>
          <w:lang w:val="es-MX"/>
        </w:rPr>
      </w:pPr>
      <w:bookmarkStart w:id="331" w:name="_Toc525672893"/>
      <w:bookmarkStart w:id="332" w:name="_Toc525665333"/>
      <w:bookmarkStart w:id="333" w:name="_Toc525665712"/>
      <w:bookmarkStart w:id="334" w:name="_Toc526854413"/>
      <w:r w:rsidRPr="00872052">
        <w:rPr>
          <w:rFonts w:ascii="ITC Avant Garde" w:hAnsi="ITC Avant Garde"/>
          <w:lang w:val="es-MX"/>
        </w:rPr>
        <w:t>Cálculos de anualidad</w:t>
      </w:r>
      <w:bookmarkEnd w:id="331"/>
      <w:bookmarkEnd w:id="332"/>
      <w:bookmarkEnd w:id="333"/>
      <w:bookmarkEnd w:id="334"/>
    </w:p>
    <w:p w:rsidR="009E4497" w:rsidRPr="00872052" w:rsidRDefault="009E4497" w:rsidP="009E4497">
      <w:pPr>
        <w:rPr>
          <w:rFonts w:ascii="ITC Avant Garde" w:hAnsi="ITC Avant Garde"/>
          <w:lang w:val="es-MX"/>
        </w:rPr>
      </w:pPr>
      <w:r w:rsidRPr="00872052">
        <w:rPr>
          <w:rFonts w:ascii="ITC Avant Garde" w:hAnsi="ITC Avant Garde"/>
          <w:lang w:val="es-MX"/>
        </w:rPr>
        <w:t>El enfoque de depreciación de anualidades inclinadas se implementa en el modelo LRAIC. La siguiente fórmula se usa:</w:t>
      </w:r>
    </w:p>
    <w:p w:rsidR="005B0846" w:rsidRPr="00872052" w:rsidRDefault="005B0846" w:rsidP="005B0846">
      <w:pPr>
        <w:rPr>
          <w:rFonts w:ascii="ITC Avant Garde" w:hAnsi="ITC Avant Garde"/>
          <w:lang w:val="es-MX"/>
        </w:rPr>
      </w:pPr>
    </w:p>
    <w:p w:rsidR="005B0846" w:rsidRPr="00872052" w:rsidRDefault="0061735A" w:rsidP="005B0846">
      <w:pPr>
        <w:keepNext/>
        <w:keepLines/>
        <w:rPr>
          <w:rFonts w:ascii="ITC Avant Garde" w:hAnsi="ITC Avant Garde" w:cs="Arial"/>
          <w:lang w:val="en-US"/>
        </w:rPr>
      </w:pPr>
      <m:oMathPara>
        <m:oMath>
          <m:sSub>
            <m:sSubPr>
              <m:ctrlPr>
                <w:rPr>
                  <w:rFonts w:ascii="Cambria Math" w:hAnsi="Cambria Math" w:cs="Arial"/>
                  <w:i/>
                  <w:sz w:val="28"/>
                  <w:lang w:val="en-US"/>
                </w:rPr>
              </m:ctrlPr>
            </m:sSubPr>
            <m:e>
              <m:r>
                <w:rPr>
                  <w:rFonts w:ascii="Cambria Math" w:hAnsi="Cambria Math" w:cs="Arial"/>
                  <w:sz w:val="28"/>
                  <w:lang w:val="en-US"/>
                </w:rPr>
                <m:t>A</m:t>
              </m:r>
            </m:e>
            <m:sub>
              <m:r>
                <w:rPr>
                  <w:rFonts w:ascii="Cambria Math" w:hAnsi="Cambria Math" w:cs="Arial"/>
                  <w:sz w:val="28"/>
                  <w:lang w:val="en-US"/>
                </w:rPr>
                <m:t>t</m:t>
              </m:r>
            </m:sub>
          </m:sSub>
          <m:r>
            <w:rPr>
              <w:rFonts w:ascii="Cambria Math" w:hAnsi="Cambria Math" w:cs="Arial"/>
              <w:sz w:val="28"/>
              <w:lang w:val="en-US"/>
            </w:rPr>
            <m:t>=I×</m:t>
          </m:r>
          <m:f>
            <m:fPr>
              <m:ctrlPr>
                <w:rPr>
                  <w:rFonts w:ascii="Cambria Math" w:hAnsi="Cambria Math" w:cs="Arial"/>
                  <w:i/>
                  <w:sz w:val="28"/>
                  <w:lang w:val="en-US"/>
                </w:rPr>
              </m:ctrlPr>
            </m:fPr>
            <m:num>
              <m:d>
                <m:dPr>
                  <m:ctrlPr>
                    <w:rPr>
                      <w:rFonts w:ascii="Cambria Math" w:hAnsi="Cambria Math" w:cs="Arial"/>
                      <w:i/>
                      <w:sz w:val="28"/>
                      <w:lang w:val="en-US"/>
                    </w:rPr>
                  </m:ctrlPr>
                </m:dPr>
                <m:e>
                  <m:r>
                    <w:rPr>
                      <w:rFonts w:ascii="Cambria Math" w:hAnsi="Cambria Math" w:cs="Arial"/>
                      <w:sz w:val="28"/>
                      <w:lang w:val="en-US"/>
                    </w:rPr>
                    <m:t>ω-p</m:t>
                  </m:r>
                </m:e>
              </m:d>
              <m:sSup>
                <m:sSupPr>
                  <m:ctrlPr>
                    <w:rPr>
                      <w:rFonts w:ascii="Cambria Math" w:hAnsi="Cambria Math" w:cs="Arial"/>
                      <w:i/>
                      <w:sz w:val="28"/>
                      <w:lang w:val="en-US"/>
                    </w:rPr>
                  </m:ctrlPr>
                </m:sSupPr>
                <m:e>
                  <m:r>
                    <w:rPr>
                      <w:rFonts w:ascii="Cambria Math" w:hAnsi="Cambria Math" w:cs="Arial"/>
                      <w:sz w:val="28"/>
                      <w:lang w:val="en-US"/>
                    </w:rPr>
                    <m:t>(1+p)</m:t>
                  </m:r>
                </m:e>
                <m:sup>
                  <m:r>
                    <w:rPr>
                      <w:rFonts w:ascii="Cambria Math" w:hAnsi="Cambria Math" w:cs="Arial"/>
                      <w:sz w:val="28"/>
                      <w:lang w:val="en-US"/>
                    </w:rPr>
                    <m:t>t</m:t>
                  </m:r>
                </m:sup>
              </m:sSup>
            </m:num>
            <m:den>
              <m:r>
                <w:rPr>
                  <w:rFonts w:ascii="Cambria Math" w:hAnsi="Cambria Math" w:cs="Arial"/>
                  <w:sz w:val="28"/>
                  <w:lang w:val="en-US"/>
                </w:rPr>
                <m:t>1-</m:t>
              </m:r>
              <m:sSup>
                <m:sSupPr>
                  <m:ctrlPr>
                    <w:rPr>
                      <w:rFonts w:ascii="Cambria Math" w:hAnsi="Cambria Math" w:cs="Arial"/>
                      <w:i/>
                      <w:sz w:val="28"/>
                      <w:lang w:val="en-US"/>
                    </w:rPr>
                  </m:ctrlPr>
                </m:sSupPr>
                <m:e>
                  <m:d>
                    <m:dPr>
                      <m:ctrlPr>
                        <w:rPr>
                          <w:rFonts w:ascii="Cambria Math" w:hAnsi="Cambria Math" w:cs="Arial"/>
                          <w:i/>
                          <w:sz w:val="28"/>
                          <w:lang w:val="en-US"/>
                        </w:rPr>
                      </m:ctrlPr>
                    </m:dPr>
                    <m:e>
                      <m:f>
                        <m:fPr>
                          <m:ctrlPr>
                            <w:rPr>
                              <w:rFonts w:ascii="Cambria Math" w:hAnsi="Cambria Math" w:cs="Arial"/>
                              <w:i/>
                              <w:sz w:val="28"/>
                              <w:lang w:val="en-US"/>
                            </w:rPr>
                          </m:ctrlPr>
                        </m:fPr>
                        <m:num>
                          <m:r>
                            <w:rPr>
                              <w:rFonts w:ascii="Cambria Math" w:hAnsi="Cambria Math" w:cs="Arial"/>
                              <w:sz w:val="28"/>
                              <w:lang w:val="en-US"/>
                            </w:rPr>
                            <m:t>1+p</m:t>
                          </m:r>
                        </m:num>
                        <m:den>
                          <m:r>
                            <w:rPr>
                              <w:rFonts w:ascii="Cambria Math" w:hAnsi="Cambria Math" w:cs="Arial"/>
                              <w:sz w:val="28"/>
                              <w:lang w:val="en-US"/>
                            </w:rPr>
                            <m:t>1+ω</m:t>
                          </m:r>
                        </m:den>
                      </m:f>
                    </m:e>
                  </m:d>
                </m:e>
                <m:sup>
                  <m:r>
                    <w:rPr>
                      <w:rFonts w:ascii="Cambria Math" w:hAnsi="Cambria Math" w:cs="Arial"/>
                      <w:sz w:val="28"/>
                      <w:lang w:val="en-US"/>
                    </w:rPr>
                    <m:t>n</m:t>
                  </m:r>
                </m:sup>
              </m:sSup>
            </m:den>
          </m:f>
        </m:oMath>
      </m:oMathPara>
    </w:p>
    <w:p w:rsidR="005B0846" w:rsidRPr="00872052" w:rsidRDefault="005B0846" w:rsidP="005B0846">
      <w:pPr>
        <w:pStyle w:val="Source"/>
        <w:rPr>
          <w:rFonts w:ascii="ITC Avant Garde" w:hAnsi="ITC Avant Garde"/>
          <w:lang w:val="es-MX"/>
        </w:rPr>
      </w:pPr>
    </w:p>
    <w:p w:rsidR="009E4497" w:rsidRPr="00872052" w:rsidRDefault="009E4497" w:rsidP="009E4497">
      <w:pPr>
        <w:rPr>
          <w:rFonts w:ascii="ITC Avant Garde" w:hAnsi="ITC Avant Garde"/>
          <w:lang w:val="es-MX"/>
        </w:rPr>
      </w:pPr>
    </w:p>
    <w:p w:rsidR="009E4497" w:rsidRPr="00872052" w:rsidRDefault="009E4497" w:rsidP="009E4497">
      <w:pPr>
        <w:rPr>
          <w:rFonts w:ascii="ITC Avant Garde" w:hAnsi="ITC Avant Garde"/>
          <w:lang w:val="es-MX"/>
        </w:rPr>
      </w:pPr>
      <w:r w:rsidRPr="00872052">
        <w:rPr>
          <w:rFonts w:ascii="ITC Avant Garde" w:hAnsi="ITC Avant Garde"/>
          <w:lang w:val="es-MX"/>
        </w:rPr>
        <w:t>En esta fórmula:</w:t>
      </w:r>
    </w:p>
    <w:p w:rsidR="009E4497" w:rsidRPr="00872052" w:rsidRDefault="009E4497" w:rsidP="005B0846">
      <w:pPr>
        <w:pStyle w:val="Listaconvietas2"/>
        <w:rPr>
          <w:rFonts w:ascii="ITC Avant Garde" w:hAnsi="ITC Avant Garde"/>
          <w:lang w:val="es-MX"/>
        </w:rPr>
      </w:pPr>
      <w:r w:rsidRPr="00872052">
        <w:rPr>
          <w:rFonts w:ascii="ITC Avant Garde" w:hAnsi="ITC Avant Garde"/>
          <w:lang w:val="es-MX"/>
        </w:rPr>
        <w:t>I es la inversión</w:t>
      </w:r>
      <w:r w:rsidR="005B0846" w:rsidRPr="00872052">
        <w:rPr>
          <w:rFonts w:ascii="ITC Avant Garde" w:hAnsi="ITC Avant Garde"/>
          <w:lang w:val="es-MX"/>
        </w:rPr>
        <w:t>;</w:t>
      </w:r>
    </w:p>
    <w:p w:rsidR="005B0846" w:rsidRPr="00872052" w:rsidRDefault="005B0846" w:rsidP="005B0846">
      <w:pPr>
        <w:pStyle w:val="Listaconvietas2"/>
        <w:rPr>
          <w:rFonts w:ascii="ITC Avant Garde" w:hAnsi="ITC Avant Garde"/>
          <w:lang w:val="es-MX"/>
        </w:rPr>
      </w:pPr>
      <w:r w:rsidRPr="00872052">
        <w:rPr>
          <w:rFonts w:ascii="Calibri" w:hAnsi="Calibri" w:cs="Calibri"/>
          <w:lang w:val="es-MX"/>
        </w:rPr>
        <w:t>ω</w:t>
      </w:r>
      <w:r w:rsidRPr="00872052">
        <w:rPr>
          <w:rFonts w:ascii="ITC Avant Garde" w:hAnsi="ITC Avant Garde"/>
          <w:lang w:val="es-MX"/>
        </w:rPr>
        <w:t xml:space="preserve"> es el costo de capital;</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n es la vida útil del activo;</w:t>
      </w:r>
    </w:p>
    <w:p w:rsidR="009E4497" w:rsidRPr="00872052" w:rsidRDefault="009E4497" w:rsidP="005B0846">
      <w:pPr>
        <w:pStyle w:val="Listaconvietas2"/>
        <w:rPr>
          <w:rFonts w:ascii="ITC Avant Garde" w:hAnsi="ITC Avant Garde"/>
          <w:lang w:val="es-MX"/>
        </w:rPr>
      </w:pPr>
      <w:r w:rsidRPr="00872052">
        <w:rPr>
          <w:rFonts w:ascii="ITC Avant Garde" w:hAnsi="ITC Avant Garde"/>
          <w:lang w:val="es-MX"/>
        </w:rPr>
        <w:t>t es el año considerado;</w:t>
      </w:r>
    </w:p>
    <w:p w:rsidR="009E4497" w:rsidRPr="00872052" w:rsidRDefault="009E4497" w:rsidP="005B0846">
      <w:pPr>
        <w:pStyle w:val="Listaconvietas2"/>
        <w:rPr>
          <w:rFonts w:ascii="ITC Avant Garde" w:hAnsi="ITC Avant Garde"/>
          <w:lang w:val="es-MX"/>
        </w:rPr>
      </w:pPr>
      <w:r w:rsidRPr="00872052">
        <w:rPr>
          <w:rFonts w:ascii="ITC Avant Garde" w:hAnsi="ITC Avant Garde"/>
          <w:lang w:val="es-MX"/>
        </w:rPr>
        <w:t>p es la inclinación</w:t>
      </w:r>
      <w:r w:rsidR="005B0846" w:rsidRPr="00872052">
        <w:rPr>
          <w:rFonts w:ascii="ITC Avant Garde" w:hAnsi="ITC Avant Garde"/>
          <w:lang w:val="es-MX"/>
        </w:rPr>
        <w:t>;</w:t>
      </w:r>
    </w:p>
    <w:p w:rsidR="005B0846" w:rsidRPr="00872052" w:rsidRDefault="005B0846" w:rsidP="005B0846">
      <w:pPr>
        <w:pStyle w:val="Listaconvietas2"/>
        <w:rPr>
          <w:rFonts w:ascii="ITC Avant Garde" w:hAnsi="ITC Avant Garde"/>
          <w:lang w:val="es-MX"/>
        </w:rPr>
      </w:pPr>
      <w:r w:rsidRPr="00872052">
        <w:rPr>
          <w:rFonts w:ascii="ITC Avant Garde" w:hAnsi="ITC Avant Garde"/>
          <w:i/>
          <w:lang w:val="es-MX"/>
        </w:rPr>
        <w:t>A</w:t>
      </w:r>
      <w:r w:rsidRPr="00872052">
        <w:rPr>
          <w:rFonts w:ascii="ITC Avant Garde" w:hAnsi="ITC Avant Garde"/>
          <w:i/>
          <w:sz w:val="28"/>
          <w:vertAlign w:val="subscript"/>
          <w:lang w:val="es-MX"/>
        </w:rPr>
        <w:t>t</w:t>
      </w:r>
      <w:r w:rsidRPr="00872052">
        <w:rPr>
          <w:rFonts w:ascii="ITC Avant Garde" w:hAnsi="ITC Avant Garde"/>
          <w:lang w:val="es-MX"/>
        </w:rPr>
        <w:t xml:space="preserve"> es la anualidad del año.</w:t>
      </w:r>
    </w:p>
    <w:p w:rsidR="009E4497" w:rsidRPr="00872052" w:rsidRDefault="009E4497" w:rsidP="009E4497">
      <w:pPr>
        <w:rPr>
          <w:rFonts w:ascii="ITC Avant Garde" w:hAnsi="ITC Avant Garde"/>
          <w:lang w:val="es-MX"/>
        </w:rPr>
      </w:pPr>
    </w:p>
    <w:p w:rsidR="009E4497" w:rsidRPr="00872052" w:rsidRDefault="009E4497" w:rsidP="009E4497">
      <w:pPr>
        <w:pStyle w:val="Ttulo3"/>
        <w:rPr>
          <w:rFonts w:ascii="ITC Avant Garde" w:hAnsi="ITC Avant Garde"/>
          <w:lang w:val="es-MX"/>
        </w:rPr>
      </w:pPr>
      <w:bookmarkStart w:id="335" w:name="_Toc525672895"/>
      <w:bookmarkStart w:id="336" w:name="_Toc525665334"/>
      <w:bookmarkStart w:id="337" w:name="_Toc525665713"/>
      <w:bookmarkStart w:id="338" w:name="_Toc526854414"/>
      <w:r w:rsidRPr="00872052">
        <w:rPr>
          <w:rFonts w:ascii="ITC Avant Garde" w:hAnsi="ITC Avant Garde"/>
          <w:lang w:val="es-MX"/>
        </w:rPr>
        <w:t>Uso compartido y reutilización de activos</w:t>
      </w:r>
      <w:bookmarkEnd w:id="335"/>
      <w:bookmarkEnd w:id="336"/>
      <w:bookmarkEnd w:id="337"/>
      <w:bookmarkEnd w:id="338"/>
    </w:p>
    <w:p w:rsidR="005B0846" w:rsidRPr="00872052" w:rsidRDefault="005B0846" w:rsidP="005B0846">
      <w:pPr>
        <w:pStyle w:val="Ttulo4"/>
        <w:rPr>
          <w:rFonts w:ascii="ITC Avant Garde" w:hAnsi="ITC Avant Garde"/>
          <w:lang w:val="es-MX"/>
        </w:rPr>
      </w:pPr>
      <w:bookmarkStart w:id="339" w:name="_Toc525672896"/>
      <w:bookmarkStart w:id="340" w:name="_Toc525665335"/>
      <w:bookmarkStart w:id="341" w:name="_Toc525665714"/>
      <w:bookmarkStart w:id="342" w:name="_Toc526854415"/>
      <w:r w:rsidRPr="00872052">
        <w:rPr>
          <w:rFonts w:ascii="ITC Avant Garde" w:hAnsi="ITC Avant Garde"/>
          <w:lang w:val="es-MX"/>
        </w:rPr>
        <w:t>Compartici</w:t>
      </w:r>
      <w:r w:rsidR="006F7C8B">
        <w:rPr>
          <w:rFonts w:ascii="ITC Avant Garde" w:hAnsi="ITC Avant Garde"/>
          <w:lang w:val="es-MX"/>
        </w:rPr>
        <w:t>ó</w:t>
      </w:r>
      <w:r w:rsidRPr="00872052">
        <w:rPr>
          <w:rFonts w:ascii="ITC Avant Garde" w:hAnsi="ITC Avant Garde"/>
          <w:lang w:val="es-MX"/>
        </w:rPr>
        <w:t>n de recursos</w:t>
      </w:r>
      <w:bookmarkEnd w:id="339"/>
      <w:bookmarkEnd w:id="340"/>
      <w:bookmarkEnd w:id="341"/>
      <w:bookmarkEnd w:id="342"/>
    </w:p>
    <w:p w:rsidR="005B0846" w:rsidRPr="00872052" w:rsidRDefault="005B0846" w:rsidP="005B0846">
      <w:pPr>
        <w:rPr>
          <w:rFonts w:ascii="ITC Avant Garde" w:hAnsi="ITC Avant Garde"/>
          <w:lang w:val="es-MX"/>
        </w:rPr>
      </w:pPr>
      <w:r w:rsidRPr="00872052">
        <w:rPr>
          <w:rFonts w:ascii="ITC Avant Garde" w:hAnsi="ITC Avant Garde"/>
          <w:lang w:val="es-MX"/>
        </w:rPr>
        <w:t>La compartición de activos se refiere a la infraestructura compartida entre redes coexistentes y otr</w:t>
      </w:r>
      <w:r w:rsidR="00B929A7">
        <w:rPr>
          <w:rFonts w:ascii="ITC Avant Garde" w:hAnsi="ITC Avant Garde"/>
          <w:lang w:val="es-MX"/>
        </w:rPr>
        <w:t>os servicios</w:t>
      </w:r>
      <w:r w:rsidRPr="00872052">
        <w:rPr>
          <w:rFonts w:ascii="ITC Avant Garde" w:hAnsi="ITC Avant Garde"/>
          <w:lang w:val="es-MX"/>
        </w:rPr>
        <w:t>.</w:t>
      </w:r>
    </w:p>
    <w:p w:rsidR="005B0846" w:rsidRPr="00872052" w:rsidRDefault="005B0846" w:rsidP="005B0846">
      <w:pPr>
        <w:rPr>
          <w:rFonts w:ascii="ITC Avant Garde" w:hAnsi="ITC Avant Garde"/>
          <w:lang w:val="es-MX"/>
        </w:rPr>
      </w:pPr>
      <w:r w:rsidRPr="00872052">
        <w:rPr>
          <w:rFonts w:ascii="ITC Avant Garde" w:hAnsi="ITC Avant Garde"/>
          <w:lang w:val="es-MX"/>
        </w:rPr>
        <w:t>Se podrían considerar tres tipos de compartición de infraestructura:</w:t>
      </w: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1. </w:t>
      </w:r>
      <w:r w:rsidR="00062F2B">
        <w:rPr>
          <w:rFonts w:ascii="ITC Avant Garde" w:hAnsi="ITC Avant Garde"/>
          <w:lang w:val="es-MX"/>
        </w:rPr>
        <w:t>C</w:t>
      </w:r>
      <w:r w:rsidRPr="00872052">
        <w:rPr>
          <w:rFonts w:ascii="ITC Avant Garde" w:hAnsi="ITC Avant Garde"/>
          <w:lang w:val="es-MX"/>
        </w:rPr>
        <w:t>ompartición entre cobre y fibra;</w:t>
      </w: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2. </w:t>
      </w:r>
      <w:r w:rsidR="00062F2B">
        <w:rPr>
          <w:rFonts w:ascii="ITC Avant Garde" w:hAnsi="ITC Avant Garde"/>
          <w:lang w:val="es-MX"/>
        </w:rPr>
        <w:t>C</w:t>
      </w:r>
      <w:r w:rsidR="00B929A7">
        <w:rPr>
          <w:rFonts w:ascii="ITC Avant Garde" w:hAnsi="ITC Avant Garde"/>
          <w:lang w:val="es-MX"/>
        </w:rPr>
        <w:t>ompartición con otros</w:t>
      </w:r>
      <w:r w:rsidRPr="00872052">
        <w:rPr>
          <w:rFonts w:ascii="ITC Avant Garde" w:hAnsi="ITC Avant Garde"/>
          <w:lang w:val="es-MX"/>
        </w:rPr>
        <w:t xml:space="preserve"> </w:t>
      </w:r>
      <w:r w:rsidR="00B929A7">
        <w:rPr>
          <w:rFonts w:ascii="ITC Avant Garde" w:hAnsi="ITC Avant Garde"/>
          <w:lang w:val="es-MX"/>
        </w:rPr>
        <w:t>servicios</w:t>
      </w:r>
      <w:r w:rsidRPr="00872052">
        <w:rPr>
          <w:rFonts w:ascii="ITC Avant Garde" w:hAnsi="ITC Avant Garde"/>
          <w:lang w:val="es-MX"/>
        </w:rPr>
        <w:t>;</w:t>
      </w: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3. </w:t>
      </w:r>
      <w:r w:rsidR="00062F2B">
        <w:rPr>
          <w:rFonts w:ascii="ITC Avant Garde" w:hAnsi="ITC Avant Garde"/>
          <w:lang w:val="es-MX"/>
        </w:rPr>
        <w:t>C</w:t>
      </w:r>
      <w:r w:rsidRPr="00872052">
        <w:rPr>
          <w:rFonts w:ascii="ITC Avant Garde" w:hAnsi="ITC Avant Garde"/>
          <w:lang w:val="es-MX"/>
        </w:rPr>
        <w:t>ompartición con la red de transporte.</w:t>
      </w:r>
    </w:p>
    <w:p w:rsidR="005B0846" w:rsidRPr="00872052" w:rsidRDefault="005B0846" w:rsidP="005B0846">
      <w:pPr>
        <w:rPr>
          <w:rFonts w:ascii="ITC Avant Garde" w:hAnsi="ITC Avant Garde"/>
          <w:lang w:val="es-MX"/>
        </w:rPr>
      </w:pPr>
      <w:r w:rsidRPr="00872052">
        <w:rPr>
          <w:rFonts w:ascii="ITC Avant Garde" w:hAnsi="ITC Avant Garde"/>
          <w:lang w:val="es-MX"/>
        </w:rPr>
        <w:t>La compartición de infraestructura se captura en el modelo a través de tres parámetros al evaluar la inversión de la red de acceso local en función de los activos que se compartirán:</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Ducto compartido: que se establece en 0%, teniendo en cuenta que no se comparten realmente los conductos.</w:t>
      </w:r>
    </w:p>
    <w:p w:rsidR="005B0846" w:rsidRPr="00872052" w:rsidRDefault="005B0846" w:rsidP="005B0846">
      <w:pPr>
        <w:pStyle w:val="Listaconvietas2"/>
        <w:numPr>
          <w:ilvl w:val="0"/>
          <w:numId w:val="0"/>
        </w:numPr>
        <w:ind w:left="643"/>
        <w:rPr>
          <w:rFonts w:ascii="ITC Avant Garde" w:hAnsi="ITC Avant Garde"/>
          <w:lang w:val="es-MX"/>
        </w:rPr>
      </w:pPr>
      <w:r w:rsidRPr="00872052">
        <w:rPr>
          <w:rFonts w:ascii="ITC Avant Garde" w:hAnsi="ITC Avant Garde"/>
          <w:lang w:val="es-MX"/>
        </w:rPr>
        <w:t>Según las respuestas de Telmex, la mejor práctica en México consiste en evitar la compartición de conductos entre el cobre y la fibra, ya que los cables de cobre podrían dañar los cables de fibra si se juntan en el mismo conducto;</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t>Compartición de infraestructura aérea: en base a los datos de</w:t>
      </w:r>
      <w:r w:rsidR="003B1FBF">
        <w:rPr>
          <w:rFonts w:ascii="ITC Avant Garde" w:hAnsi="ITC Avant Garde"/>
          <w:lang w:val="es-MX"/>
        </w:rPr>
        <w:t>l AEP</w:t>
      </w:r>
      <w:r w:rsidRPr="00872052">
        <w:rPr>
          <w:rFonts w:ascii="ITC Avant Garde" w:hAnsi="ITC Avant Garde"/>
          <w:lang w:val="es-MX"/>
        </w:rPr>
        <w:t>, el 15% de los postes se consideran compartidos;</w:t>
      </w:r>
    </w:p>
    <w:p w:rsidR="005B0846" w:rsidRPr="00872052" w:rsidRDefault="005B0846" w:rsidP="005B0846">
      <w:pPr>
        <w:pStyle w:val="Listaconvietas2"/>
        <w:rPr>
          <w:rFonts w:ascii="ITC Avant Garde" w:hAnsi="ITC Avant Garde"/>
          <w:lang w:val="es-MX"/>
        </w:rPr>
      </w:pPr>
      <w:r w:rsidRPr="00872052">
        <w:rPr>
          <w:rFonts w:ascii="ITC Avant Garde" w:hAnsi="ITC Avant Garde"/>
          <w:lang w:val="es-MX"/>
        </w:rPr>
        <w:lastRenderedPageBreak/>
        <w:t xml:space="preserve">Compartición con la </w:t>
      </w:r>
      <w:proofErr w:type="spellStart"/>
      <w:r w:rsidRPr="00872052">
        <w:rPr>
          <w:rFonts w:ascii="ITC Avant Garde" w:hAnsi="ITC Avant Garde"/>
          <w:lang w:val="es-MX"/>
        </w:rPr>
        <w:t>redde</w:t>
      </w:r>
      <w:proofErr w:type="spellEnd"/>
      <w:r w:rsidRPr="00872052">
        <w:rPr>
          <w:rFonts w:ascii="ITC Avant Garde" w:hAnsi="ITC Avant Garde"/>
          <w:lang w:val="es-MX"/>
        </w:rPr>
        <w:t xml:space="preserve"> transporte: el modelo considera que el 10% de la red modelada de acceso se comparte con la red de transporte.</w:t>
      </w:r>
    </w:p>
    <w:p w:rsidR="005B0846" w:rsidRPr="00872052" w:rsidRDefault="005B0846" w:rsidP="005B0846">
      <w:pPr>
        <w:pStyle w:val="Listaconvietas2"/>
        <w:numPr>
          <w:ilvl w:val="0"/>
          <w:numId w:val="0"/>
        </w:numPr>
        <w:ind w:left="643"/>
        <w:rPr>
          <w:rFonts w:ascii="ITC Avant Garde" w:hAnsi="ITC Avant Garde"/>
          <w:lang w:val="es-MX"/>
        </w:rPr>
      </w:pPr>
      <w:r w:rsidRPr="00872052">
        <w:rPr>
          <w:rFonts w:ascii="ITC Avant Garde" w:hAnsi="ITC Avant Garde"/>
          <w:lang w:val="es-MX"/>
        </w:rPr>
        <w:t>Esta tasa de compartición se aplica solo a postes, pozos y canalizaciones.</w:t>
      </w:r>
    </w:p>
    <w:p w:rsidR="005B0846" w:rsidRPr="00872052" w:rsidRDefault="005B0846" w:rsidP="005B0846">
      <w:pPr>
        <w:rPr>
          <w:rFonts w:ascii="ITC Avant Garde" w:hAnsi="ITC Avant Garde"/>
          <w:lang w:val="es-MX"/>
        </w:rPr>
      </w:pPr>
      <w:r w:rsidRPr="00872052">
        <w:rPr>
          <w:rFonts w:ascii="ITC Avant Garde" w:hAnsi="ITC Avant Garde"/>
          <w:lang w:val="es-MX"/>
        </w:rPr>
        <w:t xml:space="preserve">Desde el punto de vista del cálculo, estos factores se utilizan para determinar una </w:t>
      </w:r>
      <w:r w:rsidR="00875403" w:rsidRPr="00872052">
        <w:rPr>
          <w:rFonts w:ascii="ITC Avant Garde" w:hAnsi="ITC Avant Garde"/>
          <w:lang w:val="es-MX"/>
        </w:rPr>
        <w:t>proporción relevante</w:t>
      </w:r>
      <w:r w:rsidRPr="00872052">
        <w:rPr>
          <w:rFonts w:ascii="ITC Avant Garde" w:hAnsi="ITC Avant Garde"/>
          <w:lang w:val="es-MX"/>
        </w:rPr>
        <w:t xml:space="preserve"> de zanjas, registros, postes y conductos para que el operador los invierta efectivamente, excluyendo la parte del costo que comparte y financia / soporta otra red de telecomunicaciones / servicios públicos.</w:t>
      </w:r>
    </w:p>
    <w:p w:rsidR="005B0846" w:rsidRPr="00872052" w:rsidRDefault="005B0846" w:rsidP="005B0846">
      <w:pPr>
        <w:rPr>
          <w:rFonts w:ascii="ITC Avant Garde" w:hAnsi="ITC Avant Garde"/>
          <w:lang w:val="es-MX"/>
        </w:rPr>
      </w:pPr>
    </w:p>
    <w:p w:rsidR="005B0846" w:rsidRPr="00872052" w:rsidRDefault="005B0846" w:rsidP="005B0846">
      <w:pPr>
        <w:pStyle w:val="Ttulo4"/>
        <w:rPr>
          <w:rFonts w:ascii="ITC Avant Garde" w:hAnsi="ITC Avant Garde"/>
          <w:lang w:val="es-MX"/>
        </w:rPr>
      </w:pPr>
      <w:bookmarkStart w:id="343" w:name="_Toc525672897"/>
      <w:bookmarkStart w:id="344" w:name="_Toc525665336"/>
      <w:bookmarkStart w:id="345" w:name="_Toc525665715"/>
      <w:bookmarkStart w:id="346" w:name="_Toc526854416"/>
      <w:r w:rsidRPr="00872052">
        <w:rPr>
          <w:rFonts w:ascii="ITC Avant Garde" w:hAnsi="ITC Avant Garde"/>
          <w:lang w:val="es-MX"/>
        </w:rPr>
        <w:t>Reutilización de activos</w:t>
      </w:r>
      <w:bookmarkEnd w:id="343"/>
      <w:bookmarkEnd w:id="344"/>
      <w:bookmarkEnd w:id="345"/>
      <w:bookmarkEnd w:id="346"/>
    </w:p>
    <w:p w:rsidR="005B0846" w:rsidRPr="00872052" w:rsidRDefault="005B0846" w:rsidP="005B0846">
      <w:pPr>
        <w:rPr>
          <w:rFonts w:ascii="ITC Avant Garde" w:hAnsi="ITC Avant Garde"/>
          <w:lang w:val="es-MX"/>
        </w:rPr>
      </w:pPr>
      <w:r w:rsidRPr="00872052">
        <w:rPr>
          <w:rFonts w:ascii="ITC Avant Garde" w:hAnsi="ITC Avant Garde"/>
          <w:lang w:val="es-MX"/>
        </w:rPr>
        <w:t>Como descrito en la sección 2, los RCEA son aquellos activos heredados de ingeniería civil que ya están en vigencia (por ejemplo, se usan para la red de cobre) y que pueden reutilizarse para acomodar una red NGA. Esto se refiere solo a los activos de ingeniería civil (zanjas, conductos, postes, pozos de registro) y no a cables que no podrían reutilizarse a partir de redes heredadas.</w:t>
      </w:r>
    </w:p>
    <w:p w:rsidR="005B0846" w:rsidRPr="00872052" w:rsidRDefault="005B0846" w:rsidP="005B0846">
      <w:pPr>
        <w:rPr>
          <w:rFonts w:ascii="ITC Avant Garde" w:hAnsi="ITC Avant Garde"/>
          <w:lang w:val="es-MX"/>
        </w:rPr>
      </w:pPr>
      <w:r w:rsidRPr="00872052">
        <w:rPr>
          <w:rFonts w:ascii="ITC Avant Garde" w:hAnsi="ITC Avant Garde"/>
          <w:lang w:val="es-MX"/>
        </w:rPr>
        <w:t>De forma consistente con la sección 2, la reutilización de los activos de ingeniería civil se ha tenido en cuenta en el modelo considerando el 20% de la reutilización aplicada en los siguientes activos: postes, pozos y canalizaciones</w:t>
      </w:r>
    </w:p>
    <w:p w:rsidR="009E4497" w:rsidRPr="00872052" w:rsidRDefault="009E4497" w:rsidP="009E4497">
      <w:pPr>
        <w:rPr>
          <w:rFonts w:ascii="ITC Avant Garde" w:hAnsi="ITC Avant Garde"/>
          <w:lang w:val="es-MX"/>
        </w:rPr>
      </w:pPr>
    </w:p>
    <w:p w:rsidR="009E4497" w:rsidRPr="00872052" w:rsidRDefault="009E4497" w:rsidP="009E4497">
      <w:pPr>
        <w:pStyle w:val="Ttulo3"/>
        <w:rPr>
          <w:rFonts w:ascii="ITC Avant Garde" w:hAnsi="ITC Avant Garde"/>
          <w:lang w:val="es-MX"/>
        </w:rPr>
      </w:pPr>
      <w:bookmarkStart w:id="347" w:name="_Toc525672898"/>
      <w:bookmarkStart w:id="348" w:name="_Toc525665337"/>
      <w:bookmarkStart w:id="349" w:name="_Toc525665716"/>
      <w:bookmarkStart w:id="350" w:name="_Toc526854417"/>
      <w:r w:rsidRPr="00872052">
        <w:rPr>
          <w:rFonts w:ascii="ITC Avant Garde" w:hAnsi="ITC Avant Garde"/>
          <w:lang w:val="es-MX"/>
        </w:rPr>
        <w:t>Costos comunes</w:t>
      </w:r>
      <w:bookmarkEnd w:id="347"/>
      <w:bookmarkEnd w:id="348"/>
      <w:bookmarkEnd w:id="349"/>
      <w:bookmarkEnd w:id="350"/>
    </w:p>
    <w:p w:rsidR="009E4497" w:rsidRPr="00872052" w:rsidRDefault="009E4497" w:rsidP="009E4497">
      <w:pPr>
        <w:rPr>
          <w:rFonts w:ascii="ITC Avant Garde" w:hAnsi="ITC Avant Garde"/>
          <w:lang w:val="es-MX"/>
        </w:rPr>
      </w:pPr>
      <w:r w:rsidRPr="00872052">
        <w:rPr>
          <w:rFonts w:ascii="ITC Avant Garde" w:hAnsi="ITC Avant Garde"/>
          <w:lang w:val="es-MX"/>
        </w:rPr>
        <w:t>Además de los costos de red directos, un operador enfrenta costos indirectos de red y costos comunes que no son de red. Estos costos son potencialmente materiales y deben recuperarse. De acuerdo con la metodología tradicionalmente utilizada por las ANR para asignar estos costos, se ha implementado el enfoque EPMU.</w:t>
      </w:r>
    </w:p>
    <w:p w:rsidR="009E4497" w:rsidRPr="00872052" w:rsidRDefault="009E4497" w:rsidP="009E4497">
      <w:pPr>
        <w:rPr>
          <w:rFonts w:ascii="ITC Avant Garde" w:hAnsi="ITC Avant Garde"/>
          <w:lang w:val="es-MX"/>
        </w:rPr>
      </w:pPr>
      <w:r w:rsidRPr="00872052">
        <w:rPr>
          <w:rFonts w:ascii="ITC Avant Garde" w:hAnsi="ITC Avant Garde"/>
          <w:lang w:val="es-MX"/>
        </w:rPr>
        <w:t>Los modelos de costos de LRAIC incluyen dos tipos de costos comunes relacionados con</w:t>
      </w:r>
      <w:r w:rsidR="005B0846" w:rsidRPr="00872052">
        <w:rPr>
          <w:rFonts w:ascii="ITC Avant Garde" w:hAnsi="ITC Avant Garde"/>
          <w:lang w:val="es-MX"/>
        </w:rPr>
        <w:t xml:space="preserve"> el negocio y con la red.</w:t>
      </w:r>
    </w:p>
    <w:p w:rsidR="009E4497" w:rsidRPr="00872052" w:rsidRDefault="009E4497" w:rsidP="009E4497">
      <w:pPr>
        <w:rPr>
          <w:rFonts w:ascii="ITC Avant Garde" w:hAnsi="ITC Avant Garde"/>
          <w:lang w:val="es-MX"/>
        </w:rPr>
      </w:pPr>
      <w:r w:rsidRPr="00872052">
        <w:rPr>
          <w:rFonts w:ascii="ITC Avant Garde" w:hAnsi="ITC Avant Garde"/>
          <w:lang w:val="es-MX"/>
        </w:rPr>
        <w:t xml:space="preserve">El primer recargo incluye todo el costo (personal y material) relacionado con los equipos que no pertenecen a la red. Los costos típicos que se incluyen son los costos de pago del </w:t>
      </w:r>
      <w:r w:rsidR="002A4006">
        <w:rPr>
          <w:rFonts w:ascii="ITC Avant Garde" w:hAnsi="ITC Avant Garde"/>
          <w:lang w:val="es-MX"/>
        </w:rPr>
        <w:t>Director Ejecutivo</w:t>
      </w:r>
      <w:r w:rsidRPr="00872052">
        <w:rPr>
          <w:rFonts w:ascii="ITC Avant Garde" w:hAnsi="ITC Avant Garde"/>
          <w:lang w:val="es-MX"/>
        </w:rPr>
        <w:t xml:space="preserve">, el </w:t>
      </w:r>
      <w:r w:rsidR="002A4006">
        <w:rPr>
          <w:rFonts w:ascii="ITC Avant Garde" w:hAnsi="ITC Avant Garde"/>
          <w:lang w:val="es-MX"/>
        </w:rPr>
        <w:t>Director Financiero</w:t>
      </w:r>
      <w:r w:rsidRPr="00872052">
        <w:rPr>
          <w:rFonts w:ascii="ITC Avant Garde" w:hAnsi="ITC Avant Garde"/>
          <w:lang w:val="es-MX"/>
        </w:rPr>
        <w:t xml:space="preserve">, el </w:t>
      </w:r>
      <w:r w:rsidR="002A4006">
        <w:rPr>
          <w:rFonts w:ascii="ITC Avant Garde" w:hAnsi="ITC Avant Garde"/>
          <w:lang w:val="es-MX"/>
        </w:rPr>
        <w:t>Director de Operaciones</w:t>
      </w:r>
      <w:r w:rsidRPr="00872052">
        <w:rPr>
          <w:rFonts w:ascii="ITC Avant Garde" w:hAnsi="ITC Avant Garde"/>
          <w:lang w:val="es-MX"/>
        </w:rPr>
        <w:t xml:space="preserve">, el </w:t>
      </w:r>
      <w:r w:rsidR="002A4006">
        <w:rPr>
          <w:rFonts w:ascii="ITC Avant Garde" w:hAnsi="ITC Avant Garde"/>
          <w:lang w:val="es-MX"/>
        </w:rPr>
        <w:t>Director de Tecnología</w:t>
      </w:r>
      <w:r w:rsidRPr="00872052">
        <w:rPr>
          <w:rFonts w:ascii="ITC Avant Garde" w:hAnsi="ITC Avant Garde"/>
          <w:lang w:val="es-MX"/>
        </w:rPr>
        <w:t>, el equipo financiero, el equipo regulador, el equipo legal, el equipo de recursos humanos, etc. También incluiría la sede de la empresa.</w:t>
      </w:r>
    </w:p>
    <w:p w:rsidR="009E4497" w:rsidRPr="00872052" w:rsidRDefault="009E4497" w:rsidP="009E4497">
      <w:pPr>
        <w:rPr>
          <w:rFonts w:ascii="ITC Avant Garde" w:hAnsi="ITC Avant Garde"/>
          <w:lang w:val="es-MX"/>
        </w:rPr>
      </w:pPr>
      <w:r w:rsidRPr="00872052">
        <w:rPr>
          <w:rFonts w:ascii="ITC Avant Garde" w:hAnsi="ITC Avant Garde"/>
          <w:lang w:val="es-MX"/>
        </w:rPr>
        <w:t>El segundo tipo de costos comunes incluye todos los costos indirectos relacionados con la administración de la red, la planificación y optimización de la red, etc.</w:t>
      </w:r>
    </w:p>
    <w:p w:rsidR="009E4497" w:rsidRPr="00872052" w:rsidRDefault="009E4497" w:rsidP="009E4497">
      <w:pPr>
        <w:rPr>
          <w:rFonts w:ascii="ITC Avant Garde" w:hAnsi="ITC Avant Garde"/>
          <w:lang w:val="es-MX"/>
        </w:rPr>
      </w:pPr>
      <w:r w:rsidRPr="00872052">
        <w:rPr>
          <w:rFonts w:ascii="ITC Avant Garde" w:hAnsi="ITC Avant Garde"/>
          <w:lang w:val="es-MX"/>
        </w:rPr>
        <w:t>Estos costos han sido evaluados y luego asignados de acuerdo con los márgenes utilizados en el modelo anterior de IFT, las tasas utilizadas para cada uno son:</w:t>
      </w:r>
    </w:p>
    <w:p w:rsidR="009E4497" w:rsidRPr="00872052" w:rsidRDefault="009E4497" w:rsidP="009E4497">
      <w:pPr>
        <w:rPr>
          <w:rFonts w:ascii="ITC Avant Garde" w:hAnsi="ITC Avant Garde"/>
          <w:lang w:val="es-MX"/>
        </w:rPr>
      </w:pPr>
      <w:r w:rsidRPr="00872052">
        <w:rPr>
          <w:rFonts w:ascii="ITC Avant Garde" w:hAnsi="ITC Avant Garde"/>
          <w:lang w:val="es-MX"/>
        </w:rPr>
        <w:t>• Negocio: 8%;</w:t>
      </w:r>
    </w:p>
    <w:p w:rsidR="009E4497" w:rsidRPr="00872052" w:rsidRDefault="009E4497" w:rsidP="009E4497">
      <w:pPr>
        <w:rPr>
          <w:rFonts w:ascii="ITC Avant Garde" w:hAnsi="ITC Avant Garde"/>
          <w:lang w:val="es-MX"/>
        </w:rPr>
      </w:pPr>
      <w:r w:rsidRPr="00872052">
        <w:rPr>
          <w:rFonts w:ascii="ITC Avant Garde" w:hAnsi="ITC Avant Garde"/>
          <w:lang w:val="es-MX"/>
        </w:rPr>
        <w:t>• Red: 7</w:t>
      </w:r>
      <w:r w:rsidR="00F370AD">
        <w:rPr>
          <w:rFonts w:ascii="ITC Avant Garde" w:hAnsi="ITC Avant Garde"/>
          <w:lang w:val="es-MX"/>
        </w:rPr>
        <w:t>.</w:t>
      </w:r>
      <w:r w:rsidRPr="00872052">
        <w:rPr>
          <w:rFonts w:ascii="ITC Avant Garde" w:hAnsi="ITC Avant Garde"/>
          <w:lang w:val="es-MX"/>
        </w:rPr>
        <w:t>5%.</w:t>
      </w:r>
    </w:p>
    <w:p w:rsidR="005B0846" w:rsidRPr="00872052" w:rsidRDefault="005B0846" w:rsidP="005B0846">
      <w:pPr>
        <w:rPr>
          <w:rFonts w:ascii="ITC Avant Garde" w:hAnsi="ITC Avant Garde"/>
          <w:lang w:val="es-MX"/>
        </w:rPr>
      </w:pPr>
      <w:r w:rsidRPr="00872052">
        <w:rPr>
          <w:rFonts w:ascii="ITC Avant Garde" w:hAnsi="ITC Avant Garde"/>
          <w:lang w:val="es-MX"/>
        </w:rPr>
        <w:lastRenderedPageBreak/>
        <w:t>Estos márgenes se encuentran en la hoja de cálculo "</w:t>
      </w:r>
      <w:proofErr w:type="spellStart"/>
      <w:r w:rsidRPr="00872052">
        <w:rPr>
          <w:rFonts w:ascii="ITC Avant Garde" w:hAnsi="ITC Avant Garde"/>
          <w:lang w:val="es-MX"/>
        </w:rPr>
        <w:t>Dashboard</w:t>
      </w:r>
      <w:proofErr w:type="spellEnd"/>
      <w:r w:rsidRPr="00872052">
        <w:rPr>
          <w:rFonts w:ascii="ITC Avant Garde" w:hAnsi="ITC Avant Garde"/>
          <w:lang w:val="es-MX"/>
        </w:rPr>
        <w:t>" y el cálculo se realiza en la hoja de cálculo "Servicios".</w:t>
      </w:r>
    </w:p>
    <w:p w:rsidR="009E4497" w:rsidRPr="00872052" w:rsidRDefault="009E4497" w:rsidP="009E4497">
      <w:pPr>
        <w:pStyle w:val="Ttulo3"/>
        <w:rPr>
          <w:rFonts w:ascii="ITC Avant Garde" w:hAnsi="ITC Avant Garde"/>
          <w:lang w:val="es-MX"/>
        </w:rPr>
      </w:pPr>
      <w:bookmarkStart w:id="351" w:name="_Toc525672899"/>
      <w:bookmarkStart w:id="352" w:name="_Toc525665338"/>
      <w:bookmarkStart w:id="353" w:name="_Toc525665717"/>
      <w:bookmarkStart w:id="354" w:name="_Toc526854418"/>
      <w:r w:rsidRPr="00872052">
        <w:rPr>
          <w:rFonts w:ascii="ITC Avant Garde" w:hAnsi="ITC Avant Garde"/>
          <w:lang w:val="es-MX"/>
        </w:rPr>
        <w:t>Salidas</w:t>
      </w:r>
      <w:bookmarkEnd w:id="351"/>
      <w:bookmarkEnd w:id="352"/>
      <w:bookmarkEnd w:id="353"/>
      <w:bookmarkEnd w:id="354"/>
    </w:p>
    <w:p w:rsidR="009E4497" w:rsidRPr="00872052" w:rsidRDefault="009E4497" w:rsidP="009E4497">
      <w:pPr>
        <w:rPr>
          <w:rFonts w:ascii="ITC Avant Garde" w:hAnsi="ITC Avant Garde"/>
          <w:lang w:val="es-MX"/>
        </w:rPr>
      </w:pPr>
      <w:r w:rsidRPr="00872052">
        <w:rPr>
          <w:rFonts w:ascii="ITC Avant Garde" w:hAnsi="ITC Avant Garde"/>
          <w:lang w:val="es-MX"/>
        </w:rPr>
        <w:t>En el modelo de costo</w:t>
      </w:r>
      <w:r w:rsidR="00AD3890">
        <w:rPr>
          <w:rFonts w:ascii="ITC Avant Garde" w:hAnsi="ITC Avant Garde"/>
          <w:lang w:val="es-MX"/>
        </w:rPr>
        <w:t>s</w:t>
      </w:r>
      <w:r w:rsidRPr="00872052">
        <w:rPr>
          <w:rFonts w:ascii="ITC Avant Garde" w:hAnsi="ITC Avant Garde"/>
          <w:lang w:val="es-MX"/>
        </w:rPr>
        <w:t xml:space="preserve"> de la red de acceso, el costo por línea de acceso se evalúa dividiendo el costo anual de la red por el número de líneas activas.</w:t>
      </w:r>
    </w:p>
    <w:p w:rsidR="009E4497" w:rsidRPr="00872052" w:rsidRDefault="009E4497" w:rsidP="009E4497">
      <w:pPr>
        <w:rPr>
          <w:rFonts w:ascii="ITC Avant Garde" w:hAnsi="ITC Avant Garde"/>
          <w:lang w:val="es-MX"/>
        </w:rPr>
      </w:pPr>
      <w:r w:rsidRPr="00872052">
        <w:rPr>
          <w:rFonts w:ascii="ITC Avant Garde" w:hAnsi="ITC Avant Garde"/>
          <w:lang w:val="es-MX"/>
        </w:rPr>
        <w:t>El costo del alquiler del espacio MDF/ODF, la reparación de fallas, así como un recargo por los costos comunes se aplica para determinar el costo total de los productos de acceso.</w:t>
      </w:r>
    </w:p>
    <w:p w:rsidR="005B0846" w:rsidRPr="00872052" w:rsidRDefault="005B0846" w:rsidP="005B0846">
      <w:pPr>
        <w:rPr>
          <w:rFonts w:ascii="ITC Avant Garde" w:hAnsi="ITC Avant Garde"/>
          <w:lang w:val="es-MX"/>
        </w:rPr>
      </w:pPr>
    </w:p>
    <w:p w:rsidR="005B0846" w:rsidRPr="00872052" w:rsidRDefault="005B0846" w:rsidP="005B0846">
      <w:pPr>
        <w:rPr>
          <w:rFonts w:ascii="ITC Avant Garde" w:hAnsi="ITC Avant Garde"/>
          <w:lang w:val="es-MX"/>
        </w:rPr>
      </w:pPr>
    </w:p>
    <w:p w:rsidR="005B0846" w:rsidRPr="00872052" w:rsidRDefault="005B0846" w:rsidP="005B0846">
      <w:pPr>
        <w:spacing w:before="0" w:line="240" w:lineRule="auto"/>
        <w:jc w:val="left"/>
        <w:rPr>
          <w:rFonts w:ascii="ITC Avant Garde" w:hAnsi="ITC Avant Garde"/>
          <w:b/>
          <w:color w:val="808080"/>
          <w:sz w:val="28"/>
          <w:lang w:val="es-MX"/>
        </w:rPr>
      </w:pPr>
      <w:bookmarkStart w:id="355" w:name="_Toc525672909"/>
      <w:r w:rsidRPr="00872052">
        <w:rPr>
          <w:rFonts w:ascii="ITC Avant Garde" w:hAnsi="ITC Avant Garde"/>
          <w:lang w:val="es-MX"/>
        </w:rPr>
        <w:br w:type="page"/>
      </w:r>
    </w:p>
    <w:p w:rsidR="005B0846" w:rsidRPr="00872052" w:rsidRDefault="005B0846" w:rsidP="005B0846">
      <w:pPr>
        <w:pStyle w:val="Ttulo1"/>
        <w:ind w:left="567"/>
        <w:rPr>
          <w:rFonts w:ascii="ITC Avant Garde" w:hAnsi="ITC Avant Garde"/>
          <w:lang w:val="es-MX"/>
        </w:rPr>
      </w:pPr>
      <w:bookmarkStart w:id="356" w:name="_Toc525665343"/>
      <w:bookmarkStart w:id="357" w:name="_Toc525665722"/>
      <w:bookmarkStart w:id="358" w:name="_Toc526854419"/>
      <w:r w:rsidRPr="00872052">
        <w:rPr>
          <w:rFonts w:ascii="ITC Avant Garde" w:hAnsi="ITC Avant Garde"/>
          <w:lang w:val="es-MX"/>
        </w:rPr>
        <w:lastRenderedPageBreak/>
        <w:t>Anexos</w:t>
      </w:r>
      <w:bookmarkEnd w:id="355"/>
      <w:bookmarkEnd w:id="356"/>
      <w:bookmarkEnd w:id="357"/>
      <w:bookmarkEnd w:id="358"/>
    </w:p>
    <w:p w:rsidR="005B0846" w:rsidRPr="00872052" w:rsidRDefault="005B0846" w:rsidP="005B0846">
      <w:pPr>
        <w:pStyle w:val="Ttulo2"/>
        <w:rPr>
          <w:rFonts w:ascii="ITC Avant Garde" w:hAnsi="ITC Avant Garde"/>
          <w:lang w:val="es-MX"/>
        </w:rPr>
      </w:pPr>
      <w:bookmarkStart w:id="359" w:name="_Toc525665344"/>
      <w:bookmarkStart w:id="360" w:name="_Toc525665723"/>
      <w:bookmarkStart w:id="361" w:name="_Toc526854420"/>
      <w:r w:rsidRPr="00872052">
        <w:rPr>
          <w:rFonts w:ascii="ITC Avant Garde" w:hAnsi="ITC Avant Garde"/>
          <w:lang w:val="es-MX"/>
        </w:rPr>
        <w:t>Lista de par</w:t>
      </w:r>
      <w:r w:rsidR="0083417A">
        <w:rPr>
          <w:rFonts w:ascii="ITC Avant Garde" w:hAnsi="ITC Avant Garde"/>
          <w:lang w:val="es-MX"/>
        </w:rPr>
        <w:t>á</w:t>
      </w:r>
      <w:r w:rsidRPr="00872052">
        <w:rPr>
          <w:rFonts w:ascii="ITC Avant Garde" w:hAnsi="ITC Avant Garde"/>
          <w:lang w:val="es-MX"/>
        </w:rPr>
        <w:t>m</w:t>
      </w:r>
      <w:r w:rsidR="0083417A">
        <w:rPr>
          <w:rFonts w:ascii="ITC Avant Garde" w:hAnsi="ITC Avant Garde"/>
          <w:lang w:val="es-MX"/>
        </w:rPr>
        <w:t>e</w:t>
      </w:r>
      <w:r w:rsidRPr="00872052">
        <w:rPr>
          <w:rFonts w:ascii="ITC Avant Garde" w:hAnsi="ITC Avant Garde"/>
          <w:lang w:val="es-MX"/>
        </w:rPr>
        <w:t>tros técnicos considerados por el dimensionamiento</w:t>
      </w:r>
      <w:bookmarkEnd w:id="359"/>
      <w:bookmarkEnd w:id="360"/>
      <w:bookmarkEnd w:id="361"/>
    </w:p>
    <w:p w:rsidR="005B0846" w:rsidRPr="00872052" w:rsidRDefault="005B0846" w:rsidP="005B0846">
      <w:pPr>
        <w:framePr w:hSpace="141" w:wrap="around" w:vAnchor="text" w:hAnchor="text" w:xAlign="center" w:y="1"/>
        <w:suppressOverlap/>
        <w:rPr>
          <w:rFonts w:ascii="ITC Avant Garde" w:hAnsi="ITC Avant Garde"/>
          <w:lang w:val="es-MX"/>
        </w:rPr>
      </w:pPr>
      <w:r w:rsidRPr="00872052">
        <w:rPr>
          <w:rFonts w:ascii="ITC Avant Garde" w:hAnsi="ITC Avant Garde"/>
          <w:lang w:val="es-MX"/>
        </w:rPr>
        <w:t>Los parámetros incrustados en la tabla "Parámetros" de la base de datos del modelo SQL son los siguientes:</w:t>
      </w:r>
    </w:p>
    <w:p w:rsidR="005B0846" w:rsidRPr="00872052" w:rsidRDefault="005B0846" w:rsidP="005B0846">
      <w:pPr>
        <w:framePr w:hSpace="141" w:wrap="around" w:vAnchor="text" w:hAnchor="text" w:xAlign="center" w:y="1"/>
        <w:suppressOverlap/>
        <w:rPr>
          <w:rFonts w:ascii="ITC Avant Garde" w:hAnsi="ITC Avant Garde"/>
          <w:lang w:val="es-MX"/>
        </w:rPr>
      </w:pP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4"/>
        <w:gridCol w:w="2967"/>
        <w:gridCol w:w="3323"/>
      </w:tblGrid>
      <w:tr w:rsidR="005B0846" w:rsidRPr="00100B21" w:rsidTr="0029338F">
        <w:trPr>
          <w:tblHeader/>
        </w:trPr>
        <w:tc>
          <w:tcPr>
            <w:tcW w:w="2203" w:type="dxa"/>
            <w:shd w:val="clear" w:color="auto" w:fill="2F5897" w:themeFill="text2"/>
            <w:vAlign w:val="bottom"/>
          </w:tcPr>
          <w:p w:rsidR="005B0846" w:rsidRPr="00872052" w:rsidRDefault="008963F5" w:rsidP="005B0846">
            <w:pPr>
              <w:jc w:val="center"/>
              <w:rPr>
                <w:rFonts w:ascii="ITC Avant Garde" w:hAnsi="ITC Avant Garde" w:cs="Arial"/>
                <w:b/>
                <w:color w:val="FFFFFF"/>
                <w:sz w:val="16"/>
                <w:szCs w:val="16"/>
                <w:lang w:val="es-MX"/>
              </w:rPr>
            </w:pPr>
            <w:r>
              <w:rPr>
                <w:rFonts w:ascii="ITC Avant Garde" w:hAnsi="ITC Avant Garde" w:cs="Arial"/>
                <w:b/>
                <w:color w:val="FFFFFF"/>
                <w:sz w:val="16"/>
                <w:szCs w:val="16"/>
                <w:lang w:val="es-MX"/>
              </w:rPr>
              <w:t>Nombre del parámetro</w:t>
            </w:r>
          </w:p>
        </w:tc>
        <w:tc>
          <w:tcPr>
            <w:tcW w:w="2967" w:type="dxa"/>
            <w:shd w:val="clear" w:color="auto" w:fill="2F5897" w:themeFill="text2"/>
            <w:vAlign w:val="bottom"/>
          </w:tcPr>
          <w:p w:rsidR="005B0846" w:rsidRPr="00872052" w:rsidRDefault="008963F5" w:rsidP="005B0846">
            <w:pPr>
              <w:jc w:val="center"/>
              <w:rPr>
                <w:rFonts w:ascii="ITC Avant Garde" w:hAnsi="ITC Avant Garde" w:cs="Arial"/>
                <w:b/>
                <w:color w:val="FFFFFF"/>
                <w:sz w:val="16"/>
                <w:szCs w:val="16"/>
                <w:lang w:val="es-MX"/>
              </w:rPr>
            </w:pPr>
            <w:r>
              <w:rPr>
                <w:rFonts w:ascii="ITC Avant Garde" w:hAnsi="ITC Avant Garde" w:cs="Arial"/>
                <w:b/>
                <w:color w:val="FFFFFF"/>
                <w:sz w:val="16"/>
                <w:szCs w:val="16"/>
                <w:lang w:val="es-MX"/>
              </w:rPr>
              <w:t>Descripción</w:t>
            </w:r>
          </w:p>
        </w:tc>
        <w:tc>
          <w:tcPr>
            <w:tcW w:w="3323" w:type="dxa"/>
            <w:shd w:val="clear" w:color="auto" w:fill="2F5897" w:themeFill="text2"/>
          </w:tcPr>
          <w:p w:rsidR="005B0846" w:rsidRPr="00872052" w:rsidRDefault="008963F5" w:rsidP="005B0846">
            <w:pPr>
              <w:jc w:val="center"/>
              <w:rPr>
                <w:rFonts w:ascii="ITC Avant Garde" w:hAnsi="ITC Avant Garde" w:cs="Arial"/>
                <w:b/>
                <w:color w:val="FFFFFF"/>
                <w:sz w:val="16"/>
                <w:szCs w:val="16"/>
                <w:lang w:val="es-MX"/>
              </w:rPr>
            </w:pPr>
            <w:r>
              <w:rPr>
                <w:rFonts w:ascii="ITC Avant Garde" w:hAnsi="ITC Avant Garde" w:cs="Arial"/>
                <w:b/>
                <w:color w:val="FFFFFF"/>
                <w:sz w:val="16"/>
                <w:szCs w:val="16"/>
                <w:lang w:val="es-MX"/>
              </w:rPr>
              <w:t>Valores</w:t>
            </w:r>
            <w:r w:rsidR="006F2D89">
              <w:rPr>
                <w:rFonts w:ascii="ITC Avant Garde" w:hAnsi="ITC Avant Garde" w:cs="Arial"/>
                <w:b/>
                <w:color w:val="FFFFFF"/>
                <w:sz w:val="16"/>
                <w:szCs w:val="16"/>
                <w:lang w:val="es-MX"/>
              </w:rPr>
              <w:t xml:space="preserve"> considerados</w:t>
            </w:r>
          </w:p>
        </w:tc>
      </w:tr>
      <w:tr w:rsidR="005B0846" w:rsidRPr="00F906F3" w:rsidTr="006B1555">
        <w:tc>
          <w:tcPr>
            <w:tcW w:w="2203" w:type="dxa"/>
            <w:shd w:val="clear" w:color="auto" w:fill="auto"/>
            <w:vAlign w:val="center"/>
          </w:tcPr>
          <w:p w:rsidR="005B0846" w:rsidRPr="00160E5E" w:rsidRDefault="005B0846" w:rsidP="005B0846">
            <w:pPr>
              <w:rPr>
                <w:rFonts w:cs="Arial"/>
                <w:sz w:val="16"/>
                <w:szCs w:val="16"/>
              </w:rPr>
            </w:pPr>
            <w:proofErr w:type="spellStart"/>
            <w:r w:rsidRPr="00160E5E">
              <w:rPr>
                <w:rFonts w:cs="Arial"/>
                <w:color w:val="000000"/>
                <w:sz w:val="16"/>
                <w:szCs w:val="16"/>
              </w:rPr>
              <w:t>CablesRatio_FDP_Cables_Per_Premises</w:t>
            </w:r>
            <w:proofErr w:type="spellEnd"/>
          </w:p>
        </w:tc>
        <w:tc>
          <w:tcPr>
            <w:tcW w:w="2967" w:type="dxa"/>
            <w:shd w:val="clear" w:color="auto" w:fill="auto"/>
            <w:vAlign w:val="center"/>
          </w:tcPr>
          <w:p w:rsidR="005B0846" w:rsidRPr="00D17F0A" w:rsidRDefault="00D17F0A" w:rsidP="002A69EB">
            <w:pPr>
              <w:rPr>
                <w:rFonts w:ascii="ITC Avant Garde" w:hAnsi="ITC Avant Garde" w:cs="Arial"/>
                <w:sz w:val="16"/>
                <w:szCs w:val="16"/>
                <w:lang w:val="es-MX"/>
              </w:rPr>
            </w:pPr>
            <w:r w:rsidRPr="00D17F0A">
              <w:rPr>
                <w:rFonts w:ascii="ITC Avant Garde" w:hAnsi="ITC Avant Garde" w:cs="Arial"/>
                <w:color w:val="000000"/>
                <w:sz w:val="16"/>
                <w:szCs w:val="16"/>
                <w:lang w:val="es-MX"/>
              </w:rPr>
              <w:t xml:space="preserve">Se refiere </w:t>
            </w:r>
            <w:r w:rsidR="002A69EB">
              <w:rPr>
                <w:rFonts w:ascii="ITC Avant Garde" w:hAnsi="ITC Avant Garde" w:cs="Arial"/>
                <w:color w:val="000000"/>
                <w:sz w:val="16"/>
                <w:szCs w:val="16"/>
                <w:lang w:val="es-MX"/>
              </w:rPr>
              <w:t>a la relación de cables (</w:t>
            </w:r>
            <w:r w:rsidR="006B1555">
              <w:rPr>
                <w:rFonts w:ascii="ITC Avant Garde" w:hAnsi="ITC Avant Garde" w:cs="Arial"/>
                <w:color w:val="000000"/>
                <w:sz w:val="16"/>
                <w:szCs w:val="16"/>
                <w:lang w:val="es-MX"/>
              </w:rPr>
              <w:t xml:space="preserve">desde el </w:t>
            </w:r>
            <w:r w:rsidR="005B0846" w:rsidRPr="00D17F0A">
              <w:rPr>
                <w:rFonts w:ascii="ITC Avant Garde" w:hAnsi="ITC Avant Garde" w:cs="Arial"/>
                <w:color w:val="000000"/>
                <w:sz w:val="16"/>
                <w:szCs w:val="16"/>
                <w:lang w:val="es-MX"/>
              </w:rPr>
              <w:t>FDP</w:t>
            </w:r>
            <w:r w:rsidR="002A69EB">
              <w:rPr>
                <w:rFonts w:ascii="ITC Avant Garde" w:hAnsi="ITC Avant Garde" w:cs="Arial"/>
                <w:color w:val="000000"/>
                <w:sz w:val="16"/>
                <w:szCs w:val="16"/>
                <w:lang w:val="es-MX"/>
              </w:rPr>
              <w:t>)</w:t>
            </w:r>
            <w:r w:rsidR="005B0846" w:rsidRPr="00D17F0A">
              <w:rPr>
                <w:rFonts w:ascii="ITC Avant Garde" w:hAnsi="ITC Avant Garde" w:cs="Arial"/>
                <w:color w:val="000000"/>
                <w:sz w:val="16"/>
                <w:szCs w:val="16"/>
                <w:lang w:val="es-MX"/>
              </w:rPr>
              <w:t xml:space="preserve"> / </w:t>
            </w:r>
            <w:r w:rsidR="002A69EB">
              <w:rPr>
                <w:rFonts w:ascii="ITC Avant Garde" w:hAnsi="ITC Avant Garde" w:cs="Arial"/>
                <w:color w:val="000000"/>
                <w:sz w:val="16"/>
                <w:szCs w:val="16"/>
                <w:lang w:val="es-MX"/>
              </w:rPr>
              <w:t>Nú</w:t>
            </w:r>
            <w:r w:rsidR="002A69EB" w:rsidRPr="00D17F0A">
              <w:rPr>
                <w:rFonts w:ascii="ITC Avant Garde" w:hAnsi="ITC Avant Garde" w:cs="Arial"/>
                <w:color w:val="000000"/>
                <w:sz w:val="16"/>
                <w:szCs w:val="16"/>
                <w:lang w:val="es-MX"/>
              </w:rPr>
              <w:t>m</w:t>
            </w:r>
            <w:r w:rsidR="002A69EB">
              <w:rPr>
                <w:rFonts w:ascii="ITC Avant Garde" w:hAnsi="ITC Avant Garde" w:cs="Arial"/>
                <w:color w:val="000000"/>
                <w:sz w:val="16"/>
                <w:szCs w:val="16"/>
                <w:lang w:val="es-MX"/>
              </w:rPr>
              <w:t>ero</w:t>
            </w:r>
            <w:r w:rsidR="002A69EB" w:rsidRPr="00D17F0A">
              <w:rPr>
                <w:rFonts w:ascii="ITC Avant Garde" w:hAnsi="ITC Avant Garde" w:cs="Arial"/>
                <w:color w:val="000000"/>
                <w:sz w:val="16"/>
                <w:szCs w:val="16"/>
                <w:lang w:val="es-MX"/>
              </w:rPr>
              <w:t xml:space="preserve"> </w:t>
            </w:r>
            <w:r w:rsidR="002A69EB">
              <w:rPr>
                <w:rFonts w:ascii="ITC Avant Garde" w:hAnsi="ITC Avant Garde" w:cs="Arial"/>
                <w:color w:val="000000"/>
                <w:sz w:val="16"/>
                <w:szCs w:val="16"/>
                <w:lang w:val="es-MX"/>
              </w:rPr>
              <w:t>de</w:t>
            </w:r>
            <w:r w:rsidR="002A69EB" w:rsidRPr="00D17F0A">
              <w:rPr>
                <w:rFonts w:ascii="ITC Avant Garde" w:hAnsi="ITC Avant Garde" w:cs="Arial"/>
                <w:color w:val="000000"/>
                <w:sz w:val="16"/>
                <w:szCs w:val="16"/>
                <w:lang w:val="es-MX"/>
              </w:rPr>
              <w:t xml:space="preserve"> </w:t>
            </w:r>
            <w:r w:rsidR="005B0846" w:rsidRPr="00D17F0A">
              <w:rPr>
                <w:rFonts w:ascii="ITC Avant Garde" w:hAnsi="ITC Avant Garde" w:cs="Arial"/>
                <w:color w:val="000000"/>
                <w:sz w:val="16"/>
                <w:szCs w:val="16"/>
                <w:lang w:val="es-MX"/>
              </w:rPr>
              <w:t>premis</w:t>
            </w:r>
            <w:r w:rsidR="002A69EB">
              <w:rPr>
                <w:rFonts w:ascii="ITC Avant Garde" w:hAnsi="ITC Avant Garde" w:cs="Arial"/>
                <w:color w:val="000000"/>
                <w:sz w:val="16"/>
                <w:szCs w:val="16"/>
                <w:lang w:val="es-MX"/>
              </w:rPr>
              <w:t>a</w:t>
            </w:r>
            <w:r w:rsidR="005B0846" w:rsidRPr="00D17F0A">
              <w:rPr>
                <w:rFonts w:ascii="ITC Avant Garde" w:hAnsi="ITC Avant Garde" w:cs="Arial"/>
                <w:color w:val="000000"/>
                <w:sz w:val="16"/>
                <w:szCs w:val="16"/>
                <w:lang w:val="es-MX"/>
              </w:rPr>
              <w:t xml:space="preserve">s : </w:t>
            </w:r>
            <w:r w:rsidRPr="00D17F0A">
              <w:rPr>
                <w:rFonts w:ascii="ITC Avant Garde" w:hAnsi="ITC Avant Garde" w:cs="Arial"/>
                <w:color w:val="000000"/>
                <w:sz w:val="16"/>
                <w:szCs w:val="16"/>
                <w:lang w:val="es-MX"/>
              </w:rPr>
              <w:t xml:space="preserve">corresponde al número de cables </w:t>
            </w:r>
            <w:r w:rsidR="005B0846" w:rsidRPr="00D17F0A">
              <w:rPr>
                <w:rFonts w:ascii="ITC Avant Garde" w:hAnsi="ITC Avant Garde" w:cs="Arial"/>
                <w:color w:val="000000"/>
                <w:sz w:val="16"/>
                <w:szCs w:val="16"/>
                <w:lang w:val="es-MX"/>
              </w:rPr>
              <w:t>(</w:t>
            </w:r>
            <w:r w:rsidRPr="00D17F0A">
              <w:rPr>
                <w:rFonts w:ascii="ITC Avant Garde" w:hAnsi="ITC Avant Garde" w:cs="Arial"/>
                <w:color w:val="000000"/>
                <w:sz w:val="16"/>
                <w:szCs w:val="16"/>
                <w:lang w:val="es-MX"/>
              </w:rPr>
              <w:t xml:space="preserve">pares de cobre o </w:t>
            </w:r>
            <w:r>
              <w:rPr>
                <w:rFonts w:ascii="ITC Avant Garde" w:hAnsi="ITC Avant Garde" w:cs="Arial"/>
                <w:color w:val="000000"/>
                <w:sz w:val="16"/>
                <w:szCs w:val="16"/>
                <w:lang w:val="es-MX"/>
              </w:rPr>
              <w:t xml:space="preserve">de </w:t>
            </w:r>
            <w:r w:rsidRPr="00D17F0A">
              <w:rPr>
                <w:rFonts w:ascii="ITC Avant Garde" w:hAnsi="ITC Avant Garde" w:cs="Arial"/>
                <w:color w:val="000000"/>
                <w:sz w:val="16"/>
                <w:szCs w:val="16"/>
                <w:lang w:val="es-MX"/>
              </w:rPr>
              <w:t xml:space="preserve">fibras </w:t>
            </w:r>
            <w:r>
              <w:rPr>
                <w:rFonts w:ascii="ITC Avant Garde" w:hAnsi="ITC Avant Garde" w:cs="Arial"/>
                <w:color w:val="000000"/>
                <w:sz w:val="16"/>
                <w:szCs w:val="16"/>
                <w:lang w:val="es-MX"/>
              </w:rPr>
              <w:t>óptica</w:t>
            </w:r>
            <w:r w:rsidR="005B0846" w:rsidRPr="00D17F0A">
              <w:rPr>
                <w:rFonts w:ascii="ITC Avant Garde" w:hAnsi="ITC Avant Garde" w:cs="Arial"/>
                <w:color w:val="000000"/>
                <w:sz w:val="16"/>
                <w:szCs w:val="16"/>
                <w:lang w:val="es-MX"/>
              </w:rPr>
              <w:t xml:space="preserve">) </w:t>
            </w:r>
            <w:r>
              <w:rPr>
                <w:rFonts w:ascii="ITC Avant Garde" w:hAnsi="ITC Avant Garde" w:cs="Arial"/>
                <w:color w:val="000000"/>
                <w:sz w:val="16"/>
                <w:szCs w:val="16"/>
                <w:lang w:val="es-MX"/>
              </w:rPr>
              <w:t>por premisa.</w:t>
            </w:r>
          </w:p>
        </w:tc>
        <w:tc>
          <w:tcPr>
            <w:tcW w:w="3323" w:type="dxa"/>
            <w:vAlign w:val="center"/>
          </w:tcPr>
          <w:p w:rsidR="005B0846" w:rsidRPr="00F370AD" w:rsidRDefault="00F370AD" w:rsidP="005B0846">
            <w:pPr>
              <w:rPr>
                <w:rFonts w:ascii="ITC Avant Garde" w:hAnsi="ITC Avant Garde" w:cs="Arial"/>
                <w:color w:val="000000"/>
                <w:sz w:val="16"/>
                <w:szCs w:val="16"/>
                <w:lang w:val="es-MX"/>
              </w:rPr>
            </w:pPr>
            <w:r w:rsidRPr="00F370AD">
              <w:rPr>
                <w:rFonts w:ascii="ITC Avant Garde" w:hAnsi="ITC Avant Garde" w:cs="Arial"/>
                <w:color w:val="000000"/>
                <w:sz w:val="16"/>
                <w:szCs w:val="16"/>
                <w:lang w:val="es-MX"/>
              </w:rPr>
              <w:t>Este parám</w:t>
            </w:r>
            <w:r>
              <w:rPr>
                <w:rFonts w:ascii="ITC Avant Garde" w:hAnsi="ITC Avant Garde" w:cs="Arial"/>
                <w:color w:val="000000"/>
                <w:sz w:val="16"/>
                <w:szCs w:val="16"/>
                <w:lang w:val="es-MX"/>
              </w:rPr>
              <w:t>etro se ha establecido en 2 el caso de la red de cobre y 1 para la red de fibra óptica</w:t>
            </w:r>
          </w:p>
        </w:tc>
      </w:tr>
      <w:tr w:rsidR="005B0846" w:rsidRPr="00F906F3" w:rsidTr="006B1555">
        <w:tc>
          <w:tcPr>
            <w:tcW w:w="2203" w:type="dxa"/>
            <w:shd w:val="clear" w:color="auto" w:fill="auto"/>
            <w:vAlign w:val="center"/>
          </w:tcPr>
          <w:p w:rsidR="005B0846" w:rsidRPr="00872052" w:rsidRDefault="005B0846" w:rsidP="005B0846">
            <w:pPr>
              <w:rPr>
                <w:rFonts w:ascii="ITC Avant Garde" w:hAnsi="ITC Avant Garde" w:cs="Arial"/>
                <w:sz w:val="16"/>
                <w:szCs w:val="16"/>
                <w:lang w:val="es-MX"/>
              </w:rPr>
            </w:pPr>
            <w:proofErr w:type="spellStart"/>
            <w:r w:rsidRPr="00872052">
              <w:rPr>
                <w:rFonts w:ascii="ITC Avant Garde" w:hAnsi="ITC Avant Garde" w:cs="Arial"/>
                <w:color w:val="000000"/>
                <w:sz w:val="16"/>
                <w:szCs w:val="16"/>
                <w:lang w:val="es-MX"/>
              </w:rPr>
              <w:t>CablesRatio_SDP_To_FDP</w:t>
            </w:r>
            <w:proofErr w:type="spellEnd"/>
          </w:p>
        </w:tc>
        <w:tc>
          <w:tcPr>
            <w:tcW w:w="2967" w:type="dxa"/>
            <w:shd w:val="clear" w:color="auto" w:fill="auto"/>
            <w:vAlign w:val="center"/>
          </w:tcPr>
          <w:p w:rsidR="005B0846" w:rsidRPr="00D17F0A" w:rsidRDefault="00D17F0A" w:rsidP="002A69EB">
            <w:pPr>
              <w:rPr>
                <w:rFonts w:ascii="ITC Avant Garde" w:hAnsi="ITC Avant Garde" w:cs="Arial"/>
                <w:sz w:val="16"/>
                <w:szCs w:val="16"/>
                <w:lang w:val="es-MX"/>
              </w:rPr>
            </w:pPr>
            <w:r w:rsidRPr="00D17F0A">
              <w:rPr>
                <w:rFonts w:ascii="ITC Avant Garde" w:hAnsi="ITC Avant Garde" w:cs="Arial"/>
                <w:color w:val="000000"/>
                <w:sz w:val="16"/>
                <w:szCs w:val="16"/>
                <w:lang w:val="es-MX"/>
              </w:rPr>
              <w:t xml:space="preserve">Corresponde </w:t>
            </w:r>
            <w:r w:rsidR="002A69EB">
              <w:rPr>
                <w:rFonts w:ascii="ITC Avant Garde" w:hAnsi="ITC Avant Garde" w:cs="Arial"/>
                <w:color w:val="000000"/>
                <w:sz w:val="16"/>
                <w:szCs w:val="16"/>
                <w:lang w:val="es-MX"/>
              </w:rPr>
              <w:t>a la relación del número de cables</w:t>
            </w:r>
            <w:r w:rsidR="005B0846" w:rsidRPr="00D17F0A">
              <w:rPr>
                <w:rFonts w:ascii="ITC Avant Garde" w:hAnsi="ITC Avant Garde" w:cs="Arial"/>
                <w:color w:val="000000"/>
                <w:sz w:val="16"/>
                <w:szCs w:val="16"/>
                <w:lang w:val="es-MX"/>
              </w:rPr>
              <w:t xml:space="preserve"> </w:t>
            </w:r>
            <w:r w:rsidR="002A69EB">
              <w:rPr>
                <w:rFonts w:ascii="ITC Avant Garde" w:hAnsi="ITC Avant Garde" w:cs="Arial"/>
                <w:color w:val="000000"/>
                <w:sz w:val="16"/>
                <w:szCs w:val="16"/>
                <w:lang w:val="es-MX"/>
              </w:rPr>
              <w:t>(</w:t>
            </w:r>
            <w:r w:rsidR="006B1555">
              <w:rPr>
                <w:rFonts w:ascii="ITC Avant Garde" w:hAnsi="ITC Avant Garde" w:cs="Arial"/>
                <w:color w:val="000000"/>
                <w:sz w:val="16"/>
                <w:szCs w:val="16"/>
                <w:lang w:val="es-MX"/>
              </w:rPr>
              <w:t xml:space="preserve">asociado al </w:t>
            </w:r>
            <w:r w:rsidR="005B0846" w:rsidRPr="00D17F0A">
              <w:rPr>
                <w:rFonts w:ascii="ITC Avant Garde" w:hAnsi="ITC Avant Garde" w:cs="Arial"/>
                <w:color w:val="000000"/>
                <w:sz w:val="16"/>
                <w:szCs w:val="16"/>
                <w:lang w:val="es-MX"/>
              </w:rPr>
              <w:t>FDP</w:t>
            </w:r>
            <w:r w:rsidR="002A69EB">
              <w:rPr>
                <w:rFonts w:ascii="ITC Avant Garde" w:hAnsi="ITC Avant Garde" w:cs="Arial"/>
                <w:color w:val="000000"/>
                <w:sz w:val="16"/>
                <w:szCs w:val="16"/>
                <w:lang w:val="es-MX"/>
              </w:rPr>
              <w:t>)</w:t>
            </w:r>
            <w:r w:rsidR="005B0846" w:rsidRPr="00D17F0A">
              <w:rPr>
                <w:rFonts w:ascii="ITC Avant Garde" w:hAnsi="ITC Avant Garde" w:cs="Arial"/>
                <w:color w:val="000000"/>
                <w:sz w:val="16"/>
                <w:szCs w:val="16"/>
                <w:lang w:val="es-MX"/>
              </w:rPr>
              <w:t xml:space="preserve"> </w:t>
            </w:r>
            <w:r w:rsidRPr="00D17F0A">
              <w:rPr>
                <w:rFonts w:ascii="ITC Avant Garde" w:hAnsi="ITC Avant Garde" w:cs="Arial"/>
                <w:color w:val="000000"/>
                <w:sz w:val="16"/>
                <w:szCs w:val="16"/>
                <w:lang w:val="es-MX"/>
              </w:rPr>
              <w:t xml:space="preserve">exterior </w:t>
            </w:r>
            <w:r w:rsidR="005B0846" w:rsidRPr="00D17F0A">
              <w:rPr>
                <w:rFonts w:ascii="ITC Avant Garde" w:hAnsi="ITC Avant Garde" w:cs="Arial"/>
                <w:color w:val="000000"/>
                <w:sz w:val="16"/>
                <w:szCs w:val="16"/>
                <w:lang w:val="es-MX"/>
              </w:rPr>
              <w:t xml:space="preserve">/ </w:t>
            </w:r>
            <w:r w:rsidR="002A69EB">
              <w:rPr>
                <w:rFonts w:ascii="ITC Avant Garde" w:hAnsi="ITC Avant Garde" w:cs="Arial"/>
                <w:color w:val="000000"/>
                <w:sz w:val="16"/>
                <w:szCs w:val="16"/>
                <w:lang w:val="es-MX"/>
              </w:rPr>
              <w:t>número de cables (</w:t>
            </w:r>
            <w:r w:rsidR="006B1555">
              <w:rPr>
                <w:rFonts w:ascii="ITC Avant Garde" w:hAnsi="ITC Avant Garde" w:cs="Arial"/>
                <w:color w:val="000000"/>
                <w:sz w:val="16"/>
                <w:szCs w:val="16"/>
                <w:lang w:val="es-MX"/>
              </w:rPr>
              <w:t xml:space="preserve">asociado al </w:t>
            </w:r>
            <w:r w:rsidR="005B0846" w:rsidRPr="00D17F0A">
              <w:rPr>
                <w:rFonts w:ascii="ITC Avant Garde" w:hAnsi="ITC Avant Garde" w:cs="Arial"/>
                <w:color w:val="000000"/>
                <w:sz w:val="16"/>
                <w:szCs w:val="16"/>
                <w:lang w:val="es-MX"/>
              </w:rPr>
              <w:t>FDP</w:t>
            </w:r>
            <w:r w:rsidR="002A69EB">
              <w:rPr>
                <w:rFonts w:ascii="ITC Avant Garde" w:hAnsi="ITC Avant Garde" w:cs="Arial"/>
                <w:color w:val="000000"/>
                <w:sz w:val="16"/>
                <w:szCs w:val="16"/>
                <w:lang w:val="es-MX"/>
              </w:rPr>
              <w:t>) en</w:t>
            </w:r>
            <w:r w:rsidR="005B0846" w:rsidRPr="00D17F0A">
              <w:rPr>
                <w:rFonts w:ascii="ITC Avant Garde" w:hAnsi="ITC Avant Garde" w:cs="Arial"/>
                <w:color w:val="000000"/>
                <w:sz w:val="16"/>
                <w:szCs w:val="16"/>
                <w:lang w:val="es-MX"/>
              </w:rPr>
              <w:t xml:space="preserve"> </w:t>
            </w:r>
            <w:r w:rsidRPr="00D17F0A">
              <w:rPr>
                <w:rFonts w:ascii="ITC Avant Garde" w:hAnsi="ITC Avant Garde" w:cs="Arial"/>
                <w:color w:val="000000"/>
                <w:sz w:val="16"/>
                <w:szCs w:val="16"/>
                <w:lang w:val="es-MX"/>
              </w:rPr>
              <w:t xml:space="preserve">interior </w:t>
            </w:r>
            <w:r w:rsidR="005B0846" w:rsidRPr="00D17F0A">
              <w:rPr>
                <w:rFonts w:ascii="ITC Avant Garde" w:hAnsi="ITC Avant Garde" w:cs="Arial"/>
                <w:color w:val="000000"/>
                <w:sz w:val="16"/>
                <w:szCs w:val="16"/>
                <w:lang w:val="es-MX"/>
              </w:rPr>
              <w:t>(</w:t>
            </w:r>
            <w:r>
              <w:rPr>
                <w:rFonts w:ascii="ITC Avant Garde" w:hAnsi="ITC Avant Garde" w:cs="Arial"/>
                <w:color w:val="000000"/>
                <w:sz w:val="16"/>
                <w:szCs w:val="16"/>
                <w:lang w:val="es-MX"/>
              </w:rPr>
              <w:t>en la frontera de la propiedad privada</w:t>
            </w:r>
            <w:r w:rsidR="005B0846" w:rsidRPr="00D17F0A">
              <w:rPr>
                <w:rFonts w:ascii="ITC Avant Garde" w:hAnsi="ITC Avant Garde" w:cs="Arial"/>
                <w:color w:val="000000"/>
                <w:sz w:val="16"/>
                <w:szCs w:val="16"/>
                <w:lang w:val="es-MX"/>
              </w:rPr>
              <w:t>)</w:t>
            </w:r>
          </w:p>
        </w:tc>
        <w:tc>
          <w:tcPr>
            <w:tcW w:w="3323" w:type="dxa"/>
            <w:vAlign w:val="center"/>
          </w:tcPr>
          <w:p w:rsidR="005B0846" w:rsidRPr="00F370AD" w:rsidRDefault="00F370AD" w:rsidP="00F370AD">
            <w:pPr>
              <w:rPr>
                <w:rFonts w:ascii="ITC Avant Garde" w:hAnsi="ITC Avant Garde" w:cs="Arial"/>
                <w:color w:val="000000"/>
                <w:sz w:val="16"/>
                <w:szCs w:val="16"/>
                <w:lang w:val="es-MX"/>
              </w:rPr>
            </w:pPr>
            <w:r w:rsidRPr="00F370AD">
              <w:rPr>
                <w:rFonts w:ascii="ITC Avant Garde" w:hAnsi="ITC Avant Garde" w:cs="Arial"/>
                <w:color w:val="000000"/>
                <w:sz w:val="16"/>
                <w:szCs w:val="16"/>
                <w:lang w:val="es-MX"/>
              </w:rPr>
              <w:t xml:space="preserve">Dicho parámetro se estableció </w:t>
            </w:r>
            <w:r>
              <w:rPr>
                <w:rFonts w:ascii="ITC Avant Garde" w:hAnsi="ITC Avant Garde" w:cs="Arial"/>
                <w:color w:val="000000"/>
                <w:sz w:val="16"/>
                <w:szCs w:val="16"/>
                <w:lang w:val="es-MX"/>
              </w:rPr>
              <w:t>tanto para el escenario de cobre como el de fibra.</w:t>
            </w:r>
          </w:p>
        </w:tc>
      </w:tr>
      <w:tr w:rsidR="005B0846" w:rsidRPr="00F906F3" w:rsidTr="006B1555">
        <w:tc>
          <w:tcPr>
            <w:tcW w:w="2203" w:type="dxa"/>
            <w:shd w:val="clear" w:color="auto" w:fill="auto"/>
            <w:vAlign w:val="center"/>
          </w:tcPr>
          <w:p w:rsidR="005B0846" w:rsidRPr="00872052" w:rsidRDefault="005B0846" w:rsidP="005B0846">
            <w:pPr>
              <w:rPr>
                <w:rFonts w:ascii="ITC Avant Garde" w:hAnsi="ITC Avant Garde" w:cs="Arial"/>
                <w:sz w:val="16"/>
                <w:szCs w:val="16"/>
                <w:lang w:val="es-MX"/>
              </w:rPr>
            </w:pPr>
            <w:proofErr w:type="spellStart"/>
            <w:r w:rsidRPr="00872052">
              <w:rPr>
                <w:rFonts w:ascii="ITC Avant Garde" w:hAnsi="ITC Avant Garde" w:cs="Arial"/>
                <w:color w:val="000000"/>
                <w:sz w:val="16"/>
                <w:szCs w:val="16"/>
                <w:lang w:val="es-MX"/>
              </w:rPr>
              <w:t>CablesRatio_SDP_To_PDP</w:t>
            </w:r>
            <w:proofErr w:type="spellEnd"/>
          </w:p>
        </w:tc>
        <w:tc>
          <w:tcPr>
            <w:tcW w:w="2967" w:type="dxa"/>
            <w:shd w:val="clear" w:color="auto" w:fill="auto"/>
            <w:vAlign w:val="center"/>
          </w:tcPr>
          <w:p w:rsidR="005B0846" w:rsidRPr="002A69EB" w:rsidRDefault="002A69EB" w:rsidP="002A69EB">
            <w:pPr>
              <w:rPr>
                <w:rFonts w:ascii="ITC Avant Garde" w:hAnsi="ITC Avant Garde" w:cs="Arial"/>
                <w:sz w:val="16"/>
                <w:szCs w:val="16"/>
                <w:lang w:val="es-MX"/>
              </w:rPr>
            </w:pPr>
            <w:r w:rsidRPr="002A69EB">
              <w:rPr>
                <w:rFonts w:ascii="ITC Avant Garde" w:hAnsi="ITC Avant Garde" w:cs="Arial"/>
                <w:color w:val="000000"/>
                <w:sz w:val="16"/>
                <w:szCs w:val="16"/>
                <w:lang w:val="es-MX"/>
              </w:rPr>
              <w:t>Corresponde a la relaci</w:t>
            </w:r>
            <w:r>
              <w:rPr>
                <w:rFonts w:ascii="ITC Avant Garde" w:hAnsi="ITC Avant Garde" w:cs="Arial"/>
                <w:color w:val="000000"/>
                <w:sz w:val="16"/>
                <w:szCs w:val="16"/>
                <w:lang w:val="es-MX"/>
              </w:rPr>
              <w:t xml:space="preserve">ón de cables existente entre un </w:t>
            </w:r>
            <w:r w:rsidR="005B0846" w:rsidRPr="002A69EB">
              <w:rPr>
                <w:rFonts w:ascii="ITC Avant Garde" w:hAnsi="ITC Avant Garde" w:cs="Arial"/>
                <w:color w:val="000000"/>
                <w:sz w:val="16"/>
                <w:szCs w:val="16"/>
                <w:lang w:val="es-MX"/>
              </w:rPr>
              <w:t xml:space="preserve">SDP </w:t>
            </w:r>
            <w:r>
              <w:rPr>
                <w:rFonts w:ascii="ITC Avant Garde" w:hAnsi="ITC Avant Garde" w:cs="Arial"/>
                <w:color w:val="000000"/>
                <w:sz w:val="16"/>
                <w:szCs w:val="16"/>
                <w:lang w:val="es-MX"/>
              </w:rPr>
              <w:t>exterior</w:t>
            </w:r>
            <w:r w:rsidRPr="002A69EB">
              <w:rPr>
                <w:rFonts w:ascii="ITC Avant Garde" w:hAnsi="ITC Avant Garde" w:cs="Arial"/>
                <w:color w:val="000000"/>
                <w:sz w:val="16"/>
                <w:szCs w:val="16"/>
                <w:lang w:val="es-MX"/>
              </w:rPr>
              <w:t xml:space="preserve"> </w:t>
            </w:r>
            <w:r w:rsidR="005B0846" w:rsidRPr="002A69EB">
              <w:rPr>
                <w:rFonts w:ascii="ITC Avant Garde" w:hAnsi="ITC Avant Garde" w:cs="Arial"/>
                <w:color w:val="000000"/>
                <w:sz w:val="16"/>
                <w:szCs w:val="16"/>
                <w:lang w:val="es-MX"/>
              </w:rPr>
              <w:t xml:space="preserve">/ SDP </w:t>
            </w:r>
            <w:r>
              <w:rPr>
                <w:rFonts w:ascii="ITC Avant Garde" w:hAnsi="ITC Avant Garde" w:cs="Arial"/>
                <w:color w:val="000000"/>
                <w:sz w:val="16"/>
                <w:szCs w:val="16"/>
                <w:lang w:val="es-MX"/>
              </w:rPr>
              <w:t>interior.</w:t>
            </w:r>
          </w:p>
        </w:tc>
        <w:tc>
          <w:tcPr>
            <w:tcW w:w="3323" w:type="dxa"/>
            <w:vAlign w:val="center"/>
          </w:tcPr>
          <w:p w:rsidR="005B0846" w:rsidRPr="002A69EB" w:rsidRDefault="002A69EB" w:rsidP="002A69EB">
            <w:pPr>
              <w:rPr>
                <w:rFonts w:ascii="ITC Avant Garde" w:hAnsi="ITC Avant Garde" w:cs="Arial"/>
                <w:color w:val="000000"/>
                <w:sz w:val="16"/>
                <w:szCs w:val="16"/>
                <w:lang w:val="es-MX"/>
              </w:rPr>
            </w:pPr>
            <w:r>
              <w:rPr>
                <w:rFonts w:ascii="ITC Avant Garde" w:hAnsi="ITC Avant Garde" w:cs="Arial"/>
                <w:color w:val="000000"/>
                <w:sz w:val="16"/>
                <w:szCs w:val="16"/>
                <w:lang w:val="es-MX"/>
              </w:rPr>
              <w:t>Dicho</w:t>
            </w:r>
            <w:r w:rsidRPr="002A69EB">
              <w:rPr>
                <w:rFonts w:ascii="ITC Avant Garde" w:hAnsi="ITC Avant Garde" w:cs="Arial"/>
                <w:color w:val="000000"/>
                <w:sz w:val="16"/>
                <w:szCs w:val="16"/>
                <w:lang w:val="es-MX"/>
              </w:rPr>
              <w:t xml:space="preserve"> parámetro se ha establecido en 1.1 para cobre y 1/8 para el escenario FTTH PON (proporción de división utilizada por Telmex).</w:t>
            </w:r>
          </w:p>
        </w:tc>
      </w:tr>
      <w:tr w:rsidR="005B0846" w:rsidRPr="00F906F3" w:rsidTr="006B1555">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rsidR="005B0846" w:rsidRPr="00872052" w:rsidRDefault="005B0846" w:rsidP="005B0846">
            <w:pPr>
              <w:rPr>
                <w:rFonts w:ascii="ITC Avant Garde" w:hAnsi="ITC Avant Garde" w:cs="Arial"/>
                <w:color w:val="000000"/>
                <w:sz w:val="16"/>
                <w:szCs w:val="16"/>
              </w:rPr>
            </w:pPr>
            <w:proofErr w:type="spellStart"/>
            <w:r w:rsidRPr="00872052">
              <w:rPr>
                <w:rFonts w:ascii="ITC Avant Garde" w:hAnsi="ITC Avant Garde" w:cs="Arial"/>
                <w:color w:val="000000"/>
                <w:sz w:val="16"/>
                <w:szCs w:val="16"/>
              </w:rPr>
              <w:t>CablesRatio_PDP_CopperOut_To_TotalCopperIn</w:t>
            </w:r>
            <w:proofErr w:type="spellEnd"/>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rsidR="005B0846" w:rsidRPr="00747B91" w:rsidRDefault="002A69EB" w:rsidP="005B0846">
            <w:pPr>
              <w:rPr>
                <w:rFonts w:ascii="ITC Avant Garde" w:hAnsi="ITC Avant Garde" w:cs="Arial"/>
                <w:color w:val="000000"/>
                <w:sz w:val="16"/>
                <w:szCs w:val="16"/>
                <w:lang w:val="es-MX"/>
              </w:rPr>
            </w:pPr>
            <w:r w:rsidRPr="00747B91">
              <w:rPr>
                <w:rFonts w:ascii="ITC Avant Garde" w:hAnsi="ITC Avant Garde" w:cs="Arial"/>
                <w:color w:val="000000"/>
                <w:sz w:val="16"/>
                <w:szCs w:val="16"/>
                <w:lang w:val="es-MX"/>
              </w:rPr>
              <w:t>Cociente de cables en</w:t>
            </w:r>
            <w:r w:rsidR="005B0846" w:rsidRPr="00747B91">
              <w:rPr>
                <w:rFonts w:ascii="ITC Avant Garde" w:hAnsi="ITC Avant Garde" w:cs="Arial"/>
                <w:color w:val="000000"/>
                <w:sz w:val="16"/>
                <w:szCs w:val="16"/>
                <w:lang w:val="es-MX"/>
              </w:rPr>
              <w:t xml:space="preserve"> PDP</w:t>
            </w:r>
            <w:r w:rsidR="0048531B">
              <w:rPr>
                <w:rFonts w:ascii="ITC Avant Garde" w:hAnsi="ITC Avant Garde" w:cs="Arial"/>
                <w:color w:val="000000"/>
                <w:sz w:val="16"/>
                <w:szCs w:val="16"/>
                <w:lang w:val="es-MX"/>
              </w:rPr>
              <w:t xml:space="preserve"> asociados a cobre</w:t>
            </w:r>
            <w:r w:rsidR="005B0846" w:rsidRPr="00747B91">
              <w:rPr>
                <w:rFonts w:ascii="ITC Avant Garde" w:hAnsi="ITC Avant Garde" w:cs="Arial"/>
                <w:color w:val="000000"/>
                <w:sz w:val="16"/>
                <w:szCs w:val="16"/>
                <w:lang w:val="es-MX"/>
              </w:rPr>
              <w:t xml:space="preserve">, </w:t>
            </w:r>
            <w:r w:rsidRPr="00747B91">
              <w:rPr>
                <w:rFonts w:ascii="ITC Avant Garde" w:hAnsi="ITC Avant Garde" w:cs="Arial"/>
                <w:color w:val="000000"/>
                <w:sz w:val="16"/>
                <w:szCs w:val="16"/>
                <w:lang w:val="es-MX"/>
              </w:rPr>
              <w:t>para calcular el número de pares de cobre salientes en función del número de pares de cobre entrantes</w:t>
            </w:r>
            <w:r>
              <w:rPr>
                <w:rFonts w:ascii="ITC Avant Garde" w:hAnsi="ITC Avant Garde" w:cs="Arial"/>
                <w:color w:val="000000"/>
                <w:sz w:val="16"/>
                <w:szCs w:val="16"/>
                <w:lang w:val="es-MX"/>
              </w:rPr>
              <w:t>.</w:t>
            </w:r>
          </w:p>
        </w:tc>
        <w:tc>
          <w:tcPr>
            <w:tcW w:w="3323" w:type="dxa"/>
            <w:tcBorders>
              <w:top w:val="single" w:sz="4" w:space="0" w:color="auto"/>
              <w:left w:val="single" w:sz="4" w:space="0" w:color="auto"/>
              <w:bottom w:val="single" w:sz="4" w:space="0" w:color="auto"/>
              <w:right w:val="single" w:sz="4" w:space="0" w:color="auto"/>
            </w:tcBorders>
            <w:vAlign w:val="center"/>
          </w:tcPr>
          <w:p w:rsidR="005B0846" w:rsidRPr="00747B91" w:rsidRDefault="00FC3897" w:rsidP="005B0846">
            <w:pPr>
              <w:rPr>
                <w:rFonts w:ascii="ITC Avant Garde" w:hAnsi="ITC Avant Garde" w:cs="Arial"/>
                <w:color w:val="000000"/>
                <w:sz w:val="16"/>
                <w:szCs w:val="16"/>
                <w:lang w:val="es-MX"/>
              </w:rPr>
            </w:pPr>
            <w:r w:rsidRPr="00747B91">
              <w:rPr>
                <w:rFonts w:ascii="ITC Avant Garde" w:hAnsi="ITC Avant Garde" w:cs="Arial"/>
                <w:color w:val="000000"/>
                <w:sz w:val="16"/>
                <w:szCs w:val="16"/>
                <w:lang w:val="es-MX"/>
              </w:rPr>
              <w:t xml:space="preserve">Este parámetro se ha establecido en 1.1 para cobre y 0 para </w:t>
            </w:r>
            <w:r>
              <w:rPr>
                <w:rFonts w:ascii="ITC Avant Garde" w:hAnsi="ITC Avant Garde" w:cs="Arial"/>
                <w:color w:val="000000"/>
                <w:sz w:val="16"/>
                <w:szCs w:val="16"/>
                <w:lang w:val="es-MX"/>
              </w:rPr>
              <w:t>la red de fibra óptica</w:t>
            </w:r>
            <w:r w:rsidRPr="00747B91">
              <w:rPr>
                <w:rFonts w:ascii="ITC Avant Garde" w:hAnsi="ITC Avant Garde" w:cs="Arial"/>
                <w:color w:val="000000"/>
                <w:sz w:val="16"/>
                <w:szCs w:val="16"/>
                <w:lang w:val="es-MX"/>
              </w:rPr>
              <w:t>.</w:t>
            </w:r>
          </w:p>
        </w:tc>
      </w:tr>
      <w:tr w:rsidR="005B0846" w:rsidRPr="00F906F3" w:rsidTr="006B1555">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rsidR="005B0846" w:rsidRPr="00160E5E" w:rsidRDefault="005B0846" w:rsidP="0048531B">
            <w:pPr>
              <w:rPr>
                <w:rFonts w:cs="Arial"/>
                <w:color w:val="000000"/>
                <w:sz w:val="16"/>
                <w:szCs w:val="16"/>
              </w:rPr>
            </w:pPr>
            <w:proofErr w:type="spellStart"/>
            <w:r w:rsidRPr="0048531B">
              <w:rPr>
                <w:rFonts w:ascii="ITC Avant Garde" w:hAnsi="ITC Avant Garde" w:cs="Arial"/>
                <w:color w:val="000000"/>
                <w:sz w:val="16"/>
                <w:szCs w:val="16"/>
              </w:rPr>
              <w:t>CablesRatio_PDP_FibreOut_To_FibreIn</w:t>
            </w:r>
            <w:proofErr w:type="spellEnd"/>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rsidR="005B0846" w:rsidRPr="0048531B" w:rsidRDefault="0048531B" w:rsidP="0048531B">
            <w:pPr>
              <w:rPr>
                <w:rFonts w:ascii="ITC Avant Garde" w:hAnsi="ITC Avant Garde" w:cs="Arial"/>
                <w:color w:val="000000"/>
                <w:sz w:val="16"/>
                <w:szCs w:val="16"/>
                <w:lang w:val="es-MX"/>
              </w:rPr>
            </w:pPr>
            <w:r w:rsidRPr="0048531B">
              <w:rPr>
                <w:rFonts w:ascii="ITC Avant Garde" w:hAnsi="ITC Avant Garde" w:cs="Arial"/>
                <w:color w:val="000000"/>
                <w:sz w:val="16"/>
                <w:szCs w:val="16"/>
                <w:lang w:val="es-MX"/>
              </w:rPr>
              <w:t>Cociente de cables en PDP asociados a fibra óptica</w:t>
            </w:r>
            <w:r w:rsidR="005B0846" w:rsidRPr="0048531B">
              <w:rPr>
                <w:rFonts w:ascii="ITC Avant Garde" w:hAnsi="ITC Avant Garde" w:cs="Arial"/>
                <w:color w:val="000000"/>
                <w:sz w:val="16"/>
                <w:szCs w:val="16"/>
                <w:lang w:val="es-MX"/>
              </w:rPr>
              <w:t xml:space="preserve">, </w:t>
            </w:r>
            <w:r w:rsidRPr="0048531B">
              <w:rPr>
                <w:rFonts w:ascii="ITC Avant Garde" w:hAnsi="ITC Avant Garde" w:cs="Arial"/>
                <w:color w:val="000000"/>
                <w:sz w:val="16"/>
                <w:szCs w:val="16"/>
                <w:lang w:val="es-MX"/>
              </w:rPr>
              <w:t>para calcular el número de fibras salientes en función del número de fibras entrantes</w:t>
            </w:r>
            <w:r>
              <w:rPr>
                <w:rFonts w:ascii="ITC Avant Garde" w:hAnsi="ITC Avant Garde" w:cs="Arial"/>
                <w:color w:val="000000"/>
                <w:sz w:val="16"/>
                <w:szCs w:val="16"/>
                <w:lang w:val="es-MX"/>
              </w:rPr>
              <w:t>.</w:t>
            </w:r>
          </w:p>
        </w:tc>
        <w:tc>
          <w:tcPr>
            <w:tcW w:w="3323" w:type="dxa"/>
            <w:tcBorders>
              <w:top w:val="single" w:sz="4" w:space="0" w:color="auto"/>
              <w:left w:val="single" w:sz="4" w:space="0" w:color="auto"/>
              <w:bottom w:val="single" w:sz="4" w:space="0" w:color="auto"/>
              <w:right w:val="single" w:sz="4" w:space="0" w:color="auto"/>
            </w:tcBorders>
            <w:vAlign w:val="center"/>
          </w:tcPr>
          <w:p w:rsidR="005B0846" w:rsidRPr="0048531B" w:rsidRDefault="0048531B" w:rsidP="0048531B">
            <w:pPr>
              <w:rPr>
                <w:rFonts w:ascii="ITC Avant Garde" w:hAnsi="ITC Avant Garde" w:cs="Arial"/>
                <w:color w:val="000000"/>
                <w:sz w:val="16"/>
                <w:szCs w:val="16"/>
                <w:lang w:val="es-MX"/>
              </w:rPr>
            </w:pPr>
            <w:r w:rsidRPr="0048531B">
              <w:rPr>
                <w:rFonts w:ascii="ITC Avant Garde" w:hAnsi="ITC Avant Garde" w:cs="Arial"/>
                <w:color w:val="000000"/>
                <w:sz w:val="16"/>
                <w:szCs w:val="16"/>
                <w:lang w:val="es-MX"/>
              </w:rPr>
              <w:t xml:space="preserve">Este parámetro se ha establecido en 1.1 </w:t>
            </w:r>
            <w:r>
              <w:rPr>
                <w:rFonts w:ascii="ITC Avant Garde" w:hAnsi="ITC Avant Garde" w:cs="Arial"/>
                <w:color w:val="000000"/>
                <w:sz w:val="16"/>
                <w:szCs w:val="16"/>
                <w:lang w:val="es-MX"/>
              </w:rPr>
              <w:t>(</w:t>
            </w:r>
            <w:r w:rsidRPr="0048531B">
              <w:rPr>
                <w:rFonts w:ascii="ITC Avant Garde" w:hAnsi="ITC Avant Garde" w:cs="Arial"/>
                <w:color w:val="000000"/>
                <w:sz w:val="16"/>
                <w:szCs w:val="16"/>
                <w:lang w:val="es-MX"/>
              </w:rPr>
              <w:t>para Dong</w:t>
            </w:r>
            <w:r>
              <w:rPr>
                <w:rFonts w:ascii="ITC Avant Garde" w:hAnsi="ITC Avant Garde" w:cs="Arial"/>
                <w:color w:val="000000"/>
                <w:sz w:val="16"/>
                <w:szCs w:val="16"/>
                <w:lang w:val="es-MX"/>
              </w:rPr>
              <w:t>)</w:t>
            </w:r>
            <w:r w:rsidRPr="0048531B">
              <w:rPr>
                <w:rFonts w:ascii="ITC Avant Garde" w:hAnsi="ITC Avant Garde" w:cs="Arial"/>
                <w:color w:val="000000"/>
                <w:sz w:val="16"/>
                <w:szCs w:val="16"/>
                <w:lang w:val="es-MX"/>
              </w:rPr>
              <w:t xml:space="preserve">, 1/8 para FTTH PON y 0 </w:t>
            </w:r>
            <w:r>
              <w:rPr>
                <w:rFonts w:ascii="ITC Avant Garde" w:hAnsi="ITC Avant Garde" w:cs="Arial"/>
                <w:color w:val="000000"/>
                <w:sz w:val="16"/>
                <w:szCs w:val="16"/>
                <w:lang w:val="es-MX"/>
              </w:rPr>
              <w:t>en otro caso</w:t>
            </w:r>
            <w:r w:rsidRPr="0048531B">
              <w:rPr>
                <w:rFonts w:ascii="ITC Avant Garde" w:hAnsi="ITC Avant Garde" w:cs="Arial"/>
                <w:color w:val="000000"/>
                <w:sz w:val="16"/>
                <w:szCs w:val="16"/>
                <w:lang w:val="es-MX"/>
              </w:rPr>
              <w:t>.</w:t>
            </w:r>
          </w:p>
        </w:tc>
      </w:tr>
      <w:tr w:rsidR="005B0846" w:rsidRPr="00F906F3" w:rsidTr="006B1555">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rsidR="005B0846" w:rsidRPr="00872052" w:rsidRDefault="005B0846" w:rsidP="005B0846">
            <w:pPr>
              <w:rPr>
                <w:rFonts w:ascii="ITC Avant Garde" w:hAnsi="ITC Avant Garde" w:cs="Arial"/>
                <w:color w:val="000000"/>
                <w:sz w:val="16"/>
                <w:szCs w:val="16"/>
              </w:rPr>
            </w:pPr>
            <w:proofErr w:type="spellStart"/>
            <w:r w:rsidRPr="00872052">
              <w:rPr>
                <w:rFonts w:ascii="ITC Avant Garde" w:hAnsi="ITC Avant Garde" w:cs="Arial"/>
                <w:color w:val="000000"/>
                <w:sz w:val="16"/>
                <w:szCs w:val="16"/>
              </w:rPr>
              <w:t>CablesRatio_PDP_FibreOut_To_TotalCopperIn</w:t>
            </w:r>
            <w:proofErr w:type="spellEnd"/>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rsidR="005B0846" w:rsidRPr="0048531B" w:rsidRDefault="0048531B" w:rsidP="005B0846">
            <w:pPr>
              <w:rPr>
                <w:rFonts w:ascii="ITC Avant Garde" w:hAnsi="ITC Avant Garde" w:cs="Arial"/>
                <w:color w:val="000000"/>
                <w:sz w:val="16"/>
                <w:szCs w:val="16"/>
                <w:lang w:val="es-MX"/>
              </w:rPr>
            </w:pPr>
            <w:r w:rsidRPr="0048531B">
              <w:rPr>
                <w:rFonts w:ascii="ITC Avant Garde" w:hAnsi="ITC Avant Garde" w:cs="Arial"/>
                <w:color w:val="000000"/>
                <w:sz w:val="16"/>
                <w:szCs w:val="16"/>
                <w:lang w:val="es-MX"/>
              </w:rPr>
              <w:t>Cociente de cables en PDP</w:t>
            </w:r>
            <w:r w:rsidR="005B0846" w:rsidRPr="0048531B">
              <w:rPr>
                <w:rFonts w:ascii="ITC Avant Garde" w:hAnsi="ITC Avant Garde" w:cs="Arial"/>
                <w:color w:val="000000"/>
                <w:sz w:val="16"/>
                <w:szCs w:val="16"/>
                <w:lang w:val="es-MX"/>
              </w:rPr>
              <w:t xml:space="preserve">, </w:t>
            </w:r>
            <w:r w:rsidRPr="0048531B">
              <w:rPr>
                <w:rFonts w:ascii="ITC Avant Garde" w:hAnsi="ITC Avant Garde" w:cs="Arial"/>
                <w:color w:val="000000"/>
                <w:sz w:val="16"/>
                <w:szCs w:val="16"/>
                <w:lang w:val="es-MX"/>
              </w:rPr>
              <w:t>para calcular el número de fibras salientes en función del número de pares de cobre entrantes (en el caso del modelado VDSL)</w:t>
            </w:r>
          </w:p>
        </w:tc>
        <w:tc>
          <w:tcPr>
            <w:tcW w:w="3323" w:type="dxa"/>
            <w:tcBorders>
              <w:top w:val="single" w:sz="4" w:space="0" w:color="auto"/>
              <w:left w:val="single" w:sz="4" w:space="0" w:color="auto"/>
              <w:bottom w:val="single" w:sz="4" w:space="0" w:color="auto"/>
              <w:right w:val="single" w:sz="4" w:space="0" w:color="auto"/>
            </w:tcBorders>
            <w:vAlign w:val="center"/>
          </w:tcPr>
          <w:p w:rsidR="005B0846" w:rsidRPr="0048531B" w:rsidRDefault="0048531B" w:rsidP="0048531B">
            <w:pPr>
              <w:rPr>
                <w:rFonts w:ascii="ITC Avant Garde" w:hAnsi="ITC Avant Garde" w:cs="Arial"/>
                <w:color w:val="000000"/>
                <w:sz w:val="16"/>
                <w:szCs w:val="16"/>
                <w:lang w:val="es-MX"/>
              </w:rPr>
            </w:pPr>
            <w:r w:rsidRPr="0048531B">
              <w:rPr>
                <w:rFonts w:ascii="ITC Avant Garde" w:hAnsi="ITC Avant Garde" w:cs="Arial"/>
                <w:color w:val="000000"/>
                <w:sz w:val="16"/>
                <w:szCs w:val="16"/>
                <w:lang w:val="es-MX"/>
              </w:rPr>
              <w:t>Este parámetro se ha considera como cero en todos los escenari</w:t>
            </w:r>
            <w:r>
              <w:rPr>
                <w:rFonts w:ascii="ITC Avant Garde" w:hAnsi="ITC Avant Garde" w:cs="Arial"/>
                <w:color w:val="000000"/>
                <w:sz w:val="16"/>
                <w:szCs w:val="16"/>
                <w:lang w:val="es-MX"/>
              </w:rPr>
              <w:t>os.</w:t>
            </w:r>
          </w:p>
        </w:tc>
      </w:tr>
      <w:tr w:rsidR="005B0846" w:rsidRPr="00F906F3" w:rsidTr="006B1555">
        <w:tc>
          <w:tcPr>
            <w:tcW w:w="2203" w:type="dxa"/>
            <w:shd w:val="clear" w:color="auto" w:fill="auto"/>
            <w:vAlign w:val="center"/>
          </w:tcPr>
          <w:p w:rsidR="005B0846" w:rsidRPr="00872052" w:rsidRDefault="005B0846" w:rsidP="005B0846">
            <w:pPr>
              <w:rPr>
                <w:rFonts w:ascii="ITC Avant Garde" w:hAnsi="ITC Avant Garde" w:cs="Arial"/>
                <w:sz w:val="16"/>
                <w:szCs w:val="16"/>
                <w:lang w:val="es-MX"/>
              </w:rPr>
            </w:pPr>
            <w:proofErr w:type="spellStart"/>
            <w:r w:rsidRPr="00872052">
              <w:rPr>
                <w:rFonts w:ascii="ITC Avant Garde" w:hAnsi="ITC Avant Garde" w:cs="Arial"/>
                <w:color w:val="000000"/>
                <w:sz w:val="16"/>
                <w:szCs w:val="16"/>
                <w:lang w:val="es-MX"/>
              </w:rPr>
              <w:t>MinSectionLengthForJoint_Core</w:t>
            </w:r>
            <w:proofErr w:type="spellEnd"/>
          </w:p>
        </w:tc>
        <w:tc>
          <w:tcPr>
            <w:tcW w:w="2967" w:type="dxa"/>
            <w:shd w:val="clear" w:color="auto" w:fill="auto"/>
            <w:vAlign w:val="center"/>
          </w:tcPr>
          <w:p w:rsidR="005B0846" w:rsidRPr="00747B91" w:rsidRDefault="00747B91" w:rsidP="00747B91">
            <w:pPr>
              <w:rPr>
                <w:rFonts w:ascii="ITC Avant Garde" w:hAnsi="ITC Avant Garde" w:cs="Arial"/>
                <w:sz w:val="16"/>
                <w:szCs w:val="16"/>
                <w:lang w:val="es-MX"/>
              </w:rPr>
            </w:pPr>
            <w:r w:rsidRPr="00747B91">
              <w:rPr>
                <w:rFonts w:ascii="ITC Avant Garde" w:hAnsi="ITC Avant Garde" w:cs="Arial"/>
                <w:color w:val="000000"/>
                <w:sz w:val="16"/>
                <w:szCs w:val="16"/>
                <w:lang w:val="es-MX"/>
              </w:rPr>
              <w:t>Longitud mínima de una sección para obtener una unión final: si una sección de carretera es utilizada por una ruta Core y su longitud es mayor que el parámetro, se instalará una unión</w:t>
            </w:r>
          </w:p>
        </w:tc>
        <w:tc>
          <w:tcPr>
            <w:tcW w:w="3323" w:type="dxa"/>
            <w:vAlign w:val="center"/>
          </w:tcPr>
          <w:p w:rsidR="005B0846" w:rsidRPr="00872052" w:rsidRDefault="00747B91" w:rsidP="00747B91">
            <w:pPr>
              <w:rPr>
                <w:rFonts w:ascii="ITC Avant Garde" w:hAnsi="ITC Avant Garde" w:cs="Arial"/>
                <w:color w:val="000000"/>
                <w:sz w:val="16"/>
                <w:szCs w:val="16"/>
                <w:lang w:val="es-MX"/>
              </w:rPr>
            </w:pPr>
            <w:r w:rsidRPr="00747B91">
              <w:rPr>
                <w:rFonts w:ascii="ITC Avant Garde" w:hAnsi="ITC Avant Garde" w:cs="Arial"/>
                <w:color w:val="000000"/>
                <w:sz w:val="16"/>
                <w:szCs w:val="16"/>
                <w:lang w:val="es-MX"/>
              </w:rPr>
              <w:t xml:space="preserve">El valor de este parámetro se ha establecido para la calibración del modelo </w:t>
            </w:r>
            <w:r>
              <w:rPr>
                <w:rFonts w:ascii="ITC Avant Garde" w:hAnsi="ITC Avant Garde" w:cs="Arial"/>
                <w:color w:val="000000"/>
                <w:sz w:val="16"/>
                <w:szCs w:val="16"/>
                <w:lang w:val="es-MX"/>
              </w:rPr>
              <w:t>de modo</w:t>
            </w:r>
            <w:r w:rsidRPr="00747B91">
              <w:rPr>
                <w:rFonts w:ascii="ITC Avant Garde" w:hAnsi="ITC Avant Garde" w:cs="Arial"/>
                <w:color w:val="000000"/>
                <w:sz w:val="16"/>
                <w:szCs w:val="16"/>
                <w:lang w:val="es-MX"/>
              </w:rPr>
              <w:t xml:space="preserve"> que sea coherente con la longitud máxima de un tambor de cable.</w:t>
            </w:r>
          </w:p>
        </w:tc>
      </w:tr>
      <w:tr w:rsidR="005B0846" w:rsidRPr="00F906F3" w:rsidTr="006B1555">
        <w:tc>
          <w:tcPr>
            <w:tcW w:w="2203" w:type="dxa"/>
            <w:shd w:val="clear" w:color="auto" w:fill="auto"/>
            <w:vAlign w:val="center"/>
          </w:tcPr>
          <w:p w:rsidR="005B0846" w:rsidRPr="00872052" w:rsidRDefault="005B0846" w:rsidP="005B0846">
            <w:pPr>
              <w:rPr>
                <w:rFonts w:ascii="ITC Avant Garde" w:hAnsi="ITC Avant Garde" w:cs="Arial"/>
                <w:sz w:val="16"/>
                <w:szCs w:val="16"/>
                <w:lang w:val="es-MX"/>
              </w:rPr>
            </w:pPr>
            <w:proofErr w:type="spellStart"/>
            <w:r w:rsidRPr="00872052">
              <w:rPr>
                <w:rFonts w:ascii="ITC Avant Garde" w:hAnsi="ITC Avant Garde" w:cs="Arial"/>
                <w:color w:val="000000"/>
                <w:sz w:val="16"/>
                <w:szCs w:val="16"/>
                <w:lang w:val="es-MX"/>
              </w:rPr>
              <w:t>MinSectionLengthForJoint_PDP</w:t>
            </w:r>
            <w:proofErr w:type="spellEnd"/>
          </w:p>
        </w:tc>
        <w:tc>
          <w:tcPr>
            <w:tcW w:w="2967" w:type="dxa"/>
            <w:shd w:val="clear" w:color="auto" w:fill="auto"/>
            <w:vAlign w:val="center"/>
          </w:tcPr>
          <w:p w:rsidR="005B0846" w:rsidRPr="00541C1A" w:rsidRDefault="00643C80" w:rsidP="005B0846">
            <w:pPr>
              <w:rPr>
                <w:rFonts w:ascii="ITC Avant Garde" w:hAnsi="ITC Avant Garde" w:cs="Arial"/>
                <w:sz w:val="16"/>
                <w:szCs w:val="16"/>
                <w:lang w:val="es-MX"/>
              </w:rPr>
            </w:pPr>
            <w:r w:rsidRPr="00541C1A">
              <w:rPr>
                <w:rFonts w:ascii="ITC Avant Garde" w:hAnsi="ITC Avant Garde" w:cs="Arial"/>
                <w:color w:val="000000"/>
                <w:sz w:val="16"/>
                <w:szCs w:val="16"/>
                <w:lang w:val="es-MX"/>
              </w:rPr>
              <w:t xml:space="preserve">Longitud </w:t>
            </w:r>
            <w:proofErr w:type="spellStart"/>
            <w:r w:rsidRPr="00541C1A">
              <w:rPr>
                <w:rFonts w:ascii="ITC Avant Garde" w:hAnsi="ITC Avant Garde" w:cs="Arial"/>
                <w:color w:val="000000"/>
                <w:sz w:val="16"/>
                <w:szCs w:val="16"/>
                <w:lang w:val="es-MX"/>
              </w:rPr>
              <w:t>minima</w:t>
            </w:r>
            <w:proofErr w:type="spellEnd"/>
            <w:r w:rsidRPr="00541C1A">
              <w:rPr>
                <w:rFonts w:ascii="ITC Avant Garde" w:hAnsi="ITC Avant Garde" w:cs="Arial"/>
                <w:color w:val="000000"/>
                <w:sz w:val="16"/>
                <w:szCs w:val="16"/>
                <w:lang w:val="es-MX"/>
              </w:rPr>
              <w:t xml:space="preserve"> de una sección para obtener una </w:t>
            </w:r>
            <w:proofErr w:type="spellStart"/>
            <w:r w:rsidRPr="00541C1A">
              <w:rPr>
                <w:rFonts w:ascii="ITC Avant Garde" w:hAnsi="ITC Avant Garde" w:cs="Arial"/>
                <w:color w:val="000000"/>
                <w:sz w:val="16"/>
                <w:szCs w:val="16"/>
                <w:lang w:val="es-MX"/>
              </w:rPr>
              <w:t>union</w:t>
            </w:r>
            <w:proofErr w:type="spellEnd"/>
            <w:r w:rsidRPr="00541C1A">
              <w:rPr>
                <w:rFonts w:ascii="ITC Avant Garde" w:hAnsi="ITC Avant Garde" w:cs="Arial"/>
                <w:color w:val="000000"/>
                <w:sz w:val="16"/>
                <w:szCs w:val="16"/>
                <w:lang w:val="es-MX"/>
              </w:rPr>
              <w:t xml:space="preserve"> al final</w:t>
            </w:r>
          </w:p>
        </w:tc>
        <w:tc>
          <w:tcPr>
            <w:tcW w:w="3323" w:type="dxa"/>
            <w:vAlign w:val="center"/>
          </w:tcPr>
          <w:p w:rsidR="005B0846" w:rsidRPr="00872052" w:rsidRDefault="00643C80" w:rsidP="005B0846">
            <w:pPr>
              <w:rPr>
                <w:rFonts w:ascii="ITC Avant Garde" w:hAnsi="ITC Avant Garde" w:cs="Arial"/>
                <w:color w:val="000000"/>
                <w:sz w:val="16"/>
                <w:szCs w:val="16"/>
                <w:lang w:val="es-MX"/>
              </w:rPr>
            </w:pPr>
            <w:r w:rsidRPr="00643C80">
              <w:rPr>
                <w:rFonts w:ascii="ITC Avant Garde" w:hAnsi="ITC Avant Garde" w:cs="Arial"/>
                <w:color w:val="000000"/>
                <w:sz w:val="16"/>
                <w:szCs w:val="16"/>
                <w:lang w:val="es-MX"/>
              </w:rPr>
              <w:t xml:space="preserve">El valor de este parámetro se ha establecido para la calibración del modelo </w:t>
            </w:r>
            <w:r>
              <w:rPr>
                <w:rFonts w:ascii="ITC Avant Garde" w:hAnsi="ITC Avant Garde" w:cs="Arial"/>
                <w:color w:val="000000"/>
                <w:sz w:val="16"/>
                <w:szCs w:val="16"/>
                <w:lang w:val="es-MX"/>
              </w:rPr>
              <w:t>de manera que</w:t>
            </w:r>
            <w:r w:rsidRPr="00643C80">
              <w:rPr>
                <w:rFonts w:ascii="ITC Avant Garde" w:hAnsi="ITC Avant Garde" w:cs="Arial"/>
                <w:color w:val="000000"/>
                <w:sz w:val="16"/>
                <w:szCs w:val="16"/>
                <w:lang w:val="es-MX"/>
              </w:rPr>
              <w:t xml:space="preserve"> sea coherente con la longitud máxima de un tambor de cable.</w:t>
            </w:r>
          </w:p>
        </w:tc>
      </w:tr>
      <w:tr w:rsidR="005B0846" w:rsidRPr="00F906F3" w:rsidTr="006B1555">
        <w:tc>
          <w:tcPr>
            <w:tcW w:w="2203" w:type="dxa"/>
            <w:shd w:val="clear" w:color="auto" w:fill="auto"/>
            <w:vAlign w:val="center"/>
          </w:tcPr>
          <w:p w:rsidR="005B0846" w:rsidRPr="00872052" w:rsidRDefault="005B0846" w:rsidP="005B0846">
            <w:pPr>
              <w:rPr>
                <w:rFonts w:ascii="ITC Avant Garde" w:hAnsi="ITC Avant Garde" w:cs="Arial"/>
                <w:sz w:val="16"/>
                <w:szCs w:val="16"/>
                <w:lang w:val="es-MX"/>
              </w:rPr>
            </w:pPr>
            <w:proofErr w:type="spellStart"/>
            <w:r w:rsidRPr="00872052">
              <w:rPr>
                <w:rFonts w:ascii="ITC Avant Garde" w:hAnsi="ITC Avant Garde" w:cs="Arial"/>
                <w:color w:val="000000"/>
                <w:sz w:val="16"/>
                <w:szCs w:val="16"/>
                <w:lang w:val="es-MX"/>
              </w:rPr>
              <w:lastRenderedPageBreak/>
              <w:t>MinSectionLengthForJoint_SDP</w:t>
            </w:r>
            <w:proofErr w:type="spellEnd"/>
          </w:p>
        </w:tc>
        <w:tc>
          <w:tcPr>
            <w:tcW w:w="2967" w:type="dxa"/>
            <w:shd w:val="clear" w:color="auto" w:fill="auto"/>
            <w:vAlign w:val="center"/>
          </w:tcPr>
          <w:p w:rsidR="005B0846" w:rsidRPr="00643C80" w:rsidRDefault="00643C80" w:rsidP="005B0846">
            <w:pPr>
              <w:rPr>
                <w:rFonts w:ascii="ITC Avant Garde" w:hAnsi="ITC Avant Garde" w:cs="Arial"/>
                <w:sz w:val="16"/>
                <w:szCs w:val="16"/>
                <w:lang w:val="es-MX"/>
              </w:rPr>
            </w:pPr>
            <w:r w:rsidRPr="00643C80">
              <w:rPr>
                <w:rFonts w:ascii="ITC Avant Garde" w:hAnsi="ITC Avant Garde" w:cs="Arial"/>
                <w:color w:val="000000"/>
                <w:sz w:val="16"/>
                <w:szCs w:val="16"/>
                <w:lang w:val="es-MX"/>
              </w:rPr>
              <w:t xml:space="preserve">Longitud </w:t>
            </w:r>
            <w:proofErr w:type="spellStart"/>
            <w:r w:rsidRPr="00643C80">
              <w:rPr>
                <w:rFonts w:ascii="ITC Avant Garde" w:hAnsi="ITC Avant Garde" w:cs="Arial"/>
                <w:color w:val="000000"/>
                <w:sz w:val="16"/>
                <w:szCs w:val="16"/>
                <w:lang w:val="es-MX"/>
              </w:rPr>
              <w:t>minima</w:t>
            </w:r>
            <w:proofErr w:type="spellEnd"/>
            <w:r w:rsidRPr="00643C80">
              <w:rPr>
                <w:rFonts w:ascii="ITC Avant Garde" w:hAnsi="ITC Avant Garde" w:cs="Arial"/>
                <w:color w:val="000000"/>
                <w:sz w:val="16"/>
                <w:szCs w:val="16"/>
                <w:lang w:val="es-MX"/>
              </w:rPr>
              <w:t xml:space="preserve"> de una sección para obtener una </w:t>
            </w:r>
            <w:proofErr w:type="spellStart"/>
            <w:r w:rsidRPr="00643C80">
              <w:rPr>
                <w:rFonts w:ascii="ITC Avant Garde" w:hAnsi="ITC Avant Garde" w:cs="Arial"/>
                <w:color w:val="000000"/>
                <w:sz w:val="16"/>
                <w:szCs w:val="16"/>
                <w:lang w:val="es-MX"/>
              </w:rPr>
              <w:t>union</w:t>
            </w:r>
            <w:proofErr w:type="spellEnd"/>
            <w:r w:rsidRPr="00643C80">
              <w:rPr>
                <w:rFonts w:ascii="ITC Avant Garde" w:hAnsi="ITC Avant Garde" w:cs="Arial"/>
                <w:color w:val="000000"/>
                <w:sz w:val="16"/>
                <w:szCs w:val="16"/>
                <w:lang w:val="es-MX"/>
              </w:rPr>
              <w:t xml:space="preserve"> al final</w:t>
            </w:r>
          </w:p>
        </w:tc>
        <w:tc>
          <w:tcPr>
            <w:tcW w:w="3323" w:type="dxa"/>
            <w:vAlign w:val="center"/>
          </w:tcPr>
          <w:p w:rsidR="005B0846" w:rsidRPr="00643C80" w:rsidRDefault="00643C80" w:rsidP="005B0846">
            <w:pPr>
              <w:rPr>
                <w:rFonts w:ascii="ITC Avant Garde" w:hAnsi="ITC Avant Garde" w:cs="Arial"/>
                <w:color w:val="000000"/>
                <w:sz w:val="16"/>
                <w:szCs w:val="16"/>
                <w:lang w:val="es-MX"/>
              </w:rPr>
            </w:pPr>
            <w:r w:rsidRPr="00643C80">
              <w:rPr>
                <w:lang w:val="es-MX"/>
              </w:rPr>
              <w:t xml:space="preserve"> </w:t>
            </w:r>
            <w:r w:rsidRPr="00643C80">
              <w:rPr>
                <w:rFonts w:ascii="ITC Avant Garde" w:hAnsi="ITC Avant Garde" w:cs="Arial"/>
                <w:color w:val="000000"/>
                <w:sz w:val="16"/>
                <w:szCs w:val="16"/>
                <w:lang w:val="es-MX"/>
              </w:rPr>
              <w:t>Este parámetro se ha establecido después de la calibración a 15 m para evitar la unión en secciones muy pequeñas</w:t>
            </w:r>
            <w:r w:rsidRPr="00643C80" w:rsidDel="00643C80">
              <w:rPr>
                <w:rFonts w:ascii="ITC Avant Garde" w:hAnsi="ITC Avant Garde" w:cs="Arial"/>
                <w:color w:val="000000"/>
                <w:sz w:val="16"/>
                <w:szCs w:val="16"/>
                <w:lang w:val="es-MX"/>
              </w:rPr>
              <w:t xml:space="preserve"> </w:t>
            </w:r>
            <w:r w:rsidR="005B0846" w:rsidRPr="00643C80">
              <w:rPr>
                <w:rFonts w:ascii="ITC Avant Garde" w:hAnsi="ITC Avant Garde" w:cs="Arial"/>
                <w:color w:val="000000"/>
                <w:sz w:val="16"/>
                <w:szCs w:val="16"/>
                <w:lang w:val="es-MX"/>
              </w:rPr>
              <w:t>.</w:t>
            </w:r>
          </w:p>
        </w:tc>
      </w:tr>
      <w:tr w:rsidR="005B0846" w:rsidRPr="00F906F3" w:rsidTr="006B1555">
        <w:tc>
          <w:tcPr>
            <w:tcW w:w="2203" w:type="dxa"/>
            <w:shd w:val="clear" w:color="auto" w:fill="auto"/>
            <w:vAlign w:val="center"/>
          </w:tcPr>
          <w:p w:rsidR="005B0846" w:rsidRPr="00872052" w:rsidRDefault="005B0846" w:rsidP="005B0846">
            <w:pPr>
              <w:rPr>
                <w:rFonts w:ascii="ITC Avant Garde" w:hAnsi="ITC Avant Garde" w:cs="Arial"/>
                <w:color w:val="000000"/>
                <w:sz w:val="16"/>
                <w:szCs w:val="16"/>
                <w:lang w:val="es-MX"/>
              </w:rPr>
            </w:pPr>
            <w:proofErr w:type="spellStart"/>
            <w:r w:rsidRPr="00872052">
              <w:rPr>
                <w:rFonts w:ascii="ITC Avant Garde" w:hAnsi="ITC Avant Garde" w:cs="Arial"/>
                <w:color w:val="000000"/>
                <w:sz w:val="16"/>
                <w:szCs w:val="16"/>
                <w:lang w:val="es-MX"/>
              </w:rPr>
              <w:t>MinSectionLengthForJoint_Aggregation</w:t>
            </w:r>
            <w:proofErr w:type="spellEnd"/>
          </w:p>
        </w:tc>
        <w:tc>
          <w:tcPr>
            <w:tcW w:w="2967" w:type="dxa"/>
            <w:shd w:val="clear" w:color="auto" w:fill="auto"/>
            <w:vAlign w:val="center"/>
          </w:tcPr>
          <w:p w:rsidR="005B0846" w:rsidRPr="00541C1A" w:rsidRDefault="00541C1A" w:rsidP="005B0846">
            <w:pPr>
              <w:rPr>
                <w:rFonts w:ascii="ITC Avant Garde" w:hAnsi="ITC Avant Garde" w:cs="Arial"/>
                <w:color w:val="000000"/>
                <w:sz w:val="16"/>
                <w:szCs w:val="16"/>
                <w:lang w:val="es-MX"/>
              </w:rPr>
            </w:pPr>
            <w:r w:rsidRPr="00541C1A">
              <w:rPr>
                <w:rFonts w:ascii="ITC Avant Garde" w:hAnsi="ITC Avant Garde" w:cs="Arial"/>
                <w:color w:val="000000"/>
                <w:sz w:val="16"/>
                <w:szCs w:val="16"/>
                <w:lang w:val="es-MX"/>
              </w:rPr>
              <w:t xml:space="preserve">Longitud </w:t>
            </w:r>
            <w:proofErr w:type="spellStart"/>
            <w:r w:rsidRPr="00541C1A">
              <w:rPr>
                <w:rFonts w:ascii="ITC Avant Garde" w:hAnsi="ITC Avant Garde" w:cs="Arial"/>
                <w:color w:val="000000"/>
                <w:sz w:val="16"/>
                <w:szCs w:val="16"/>
                <w:lang w:val="es-MX"/>
              </w:rPr>
              <w:t>minima</w:t>
            </w:r>
            <w:proofErr w:type="spellEnd"/>
            <w:r w:rsidRPr="00541C1A">
              <w:rPr>
                <w:rFonts w:ascii="ITC Avant Garde" w:hAnsi="ITC Avant Garde" w:cs="Arial"/>
                <w:color w:val="000000"/>
                <w:sz w:val="16"/>
                <w:szCs w:val="16"/>
                <w:lang w:val="es-MX"/>
              </w:rPr>
              <w:t xml:space="preserve"> de una sección para obtener una </w:t>
            </w:r>
            <w:proofErr w:type="spellStart"/>
            <w:r w:rsidRPr="00541C1A">
              <w:rPr>
                <w:rFonts w:ascii="ITC Avant Garde" w:hAnsi="ITC Avant Garde" w:cs="Arial"/>
                <w:color w:val="000000"/>
                <w:sz w:val="16"/>
                <w:szCs w:val="16"/>
                <w:lang w:val="es-MX"/>
              </w:rPr>
              <w:t>union</w:t>
            </w:r>
            <w:proofErr w:type="spellEnd"/>
            <w:r w:rsidRPr="00541C1A">
              <w:rPr>
                <w:rFonts w:ascii="ITC Avant Garde" w:hAnsi="ITC Avant Garde" w:cs="Arial"/>
                <w:color w:val="000000"/>
                <w:sz w:val="16"/>
                <w:szCs w:val="16"/>
                <w:lang w:val="es-MX"/>
              </w:rPr>
              <w:t xml:space="preserve"> al final</w:t>
            </w:r>
          </w:p>
        </w:tc>
        <w:tc>
          <w:tcPr>
            <w:tcW w:w="3323" w:type="dxa"/>
            <w:vAlign w:val="center"/>
          </w:tcPr>
          <w:p w:rsidR="005B0846" w:rsidRPr="00541C1A" w:rsidRDefault="00541C1A" w:rsidP="005B0846">
            <w:pPr>
              <w:rPr>
                <w:rFonts w:ascii="ITC Avant Garde" w:hAnsi="ITC Avant Garde" w:cs="Arial"/>
                <w:color w:val="000000"/>
                <w:sz w:val="16"/>
                <w:szCs w:val="16"/>
                <w:lang w:val="es-MX"/>
              </w:rPr>
            </w:pPr>
            <w:r w:rsidRPr="00541C1A">
              <w:rPr>
                <w:rFonts w:ascii="ITC Avant Garde" w:hAnsi="ITC Avant Garde" w:cs="Arial"/>
                <w:color w:val="000000"/>
                <w:sz w:val="16"/>
                <w:szCs w:val="16"/>
                <w:lang w:val="es-MX"/>
              </w:rPr>
              <w:t>Este parámetro se ha establecido después de la calibración a 15 m para evitar la unión en secciones muy pequeñas</w:t>
            </w:r>
          </w:p>
        </w:tc>
      </w:tr>
      <w:tr w:rsidR="005B0846" w:rsidRPr="00F906F3" w:rsidTr="006B1555">
        <w:tc>
          <w:tcPr>
            <w:tcW w:w="2203" w:type="dxa"/>
            <w:shd w:val="clear" w:color="auto" w:fill="auto"/>
            <w:vAlign w:val="center"/>
          </w:tcPr>
          <w:p w:rsidR="005B0846" w:rsidRPr="00872052" w:rsidRDefault="005B0846" w:rsidP="005B0846">
            <w:pPr>
              <w:rPr>
                <w:rFonts w:ascii="ITC Avant Garde" w:hAnsi="ITC Avant Garde" w:cs="Arial"/>
                <w:sz w:val="16"/>
                <w:szCs w:val="16"/>
                <w:lang w:val="es-MX"/>
              </w:rPr>
            </w:pPr>
            <w:proofErr w:type="spellStart"/>
            <w:r w:rsidRPr="00872052">
              <w:rPr>
                <w:rFonts w:ascii="ITC Avant Garde" w:hAnsi="ITC Avant Garde" w:cs="Arial"/>
                <w:color w:val="000000"/>
                <w:sz w:val="16"/>
                <w:szCs w:val="16"/>
                <w:lang w:val="es-MX"/>
              </w:rPr>
              <w:t>Scenario</w:t>
            </w:r>
            <w:proofErr w:type="spellEnd"/>
          </w:p>
        </w:tc>
        <w:tc>
          <w:tcPr>
            <w:tcW w:w="2967" w:type="dxa"/>
            <w:shd w:val="clear" w:color="auto" w:fill="auto"/>
            <w:vAlign w:val="center"/>
          </w:tcPr>
          <w:p w:rsidR="005B0846" w:rsidRPr="00541C1A" w:rsidRDefault="00541C1A" w:rsidP="005B0846">
            <w:pPr>
              <w:rPr>
                <w:rFonts w:ascii="ITC Avant Garde" w:hAnsi="ITC Avant Garde" w:cs="Arial"/>
                <w:sz w:val="16"/>
                <w:szCs w:val="16"/>
                <w:lang w:val="es-MX"/>
              </w:rPr>
            </w:pPr>
            <w:r w:rsidRPr="00541C1A">
              <w:rPr>
                <w:rFonts w:ascii="ITC Avant Garde" w:hAnsi="ITC Avant Garde" w:cs="Arial"/>
                <w:color w:val="000000"/>
                <w:sz w:val="16"/>
                <w:szCs w:val="16"/>
                <w:lang w:val="es-MX"/>
              </w:rPr>
              <w:t xml:space="preserve">Indica al algoritmo el </w:t>
            </w:r>
            <w:proofErr w:type="spellStart"/>
            <w:r w:rsidRPr="00541C1A">
              <w:rPr>
                <w:rFonts w:ascii="ITC Avant Garde" w:hAnsi="ITC Avant Garde" w:cs="Arial"/>
                <w:color w:val="000000"/>
                <w:sz w:val="16"/>
                <w:szCs w:val="16"/>
                <w:lang w:val="es-MX"/>
              </w:rPr>
              <w:t>scenario</w:t>
            </w:r>
            <w:proofErr w:type="spellEnd"/>
            <w:r w:rsidRPr="00541C1A">
              <w:rPr>
                <w:rFonts w:ascii="ITC Avant Garde" w:hAnsi="ITC Avant Garde" w:cs="Arial"/>
                <w:color w:val="000000"/>
                <w:sz w:val="16"/>
                <w:szCs w:val="16"/>
                <w:lang w:val="es-MX"/>
              </w:rPr>
              <w:t xml:space="preserve"> que se </w:t>
            </w:r>
            <w:proofErr w:type="spellStart"/>
            <w:r w:rsidRPr="00541C1A">
              <w:rPr>
                <w:rFonts w:ascii="ITC Avant Garde" w:hAnsi="ITC Avant Garde" w:cs="Arial"/>
                <w:color w:val="000000"/>
                <w:sz w:val="16"/>
                <w:szCs w:val="16"/>
                <w:lang w:val="es-MX"/>
              </w:rPr>
              <w:t>esta</w:t>
            </w:r>
            <w:proofErr w:type="spellEnd"/>
            <w:r w:rsidRPr="00541C1A">
              <w:rPr>
                <w:rFonts w:ascii="ITC Avant Garde" w:hAnsi="ITC Avant Garde" w:cs="Arial"/>
                <w:color w:val="000000"/>
                <w:sz w:val="16"/>
                <w:szCs w:val="16"/>
                <w:lang w:val="es-MX"/>
              </w:rPr>
              <w:t xml:space="preserve"> modelando</w:t>
            </w:r>
          </w:p>
        </w:tc>
        <w:tc>
          <w:tcPr>
            <w:tcW w:w="3323" w:type="dxa"/>
            <w:vAlign w:val="center"/>
          </w:tcPr>
          <w:p w:rsidR="005B0846" w:rsidRPr="00541C1A" w:rsidRDefault="00541C1A" w:rsidP="005B0846">
            <w:pPr>
              <w:rPr>
                <w:rFonts w:ascii="ITC Avant Garde" w:hAnsi="ITC Avant Garde" w:cs="Arial"/>
                <w:color w:val="000000"/>
                <w:sz w:val="16"/>
                <w:szCs w:val="16"/>
                <w:lang w:val="es-MX"/>
              </w:rPr>
            </w:pPr>
            <w:r w:rsidRPr="00541C1A">
              <w:rPr>
                <w:rFonts w:ascii="ITC Avant Garde" w:hAnsi="ITC Avant Garde" w:cs="Arial"/>
                <w:color w:val="000000"/>
                <w:sz w:val="16"/>
                <w:szCs w:val="16"/>
                <w:lang w:val="es-MX"/>
              </w:rPr>
              <w:t>Corresponde a un parámetro t</w:t>
            </w:r>
            <w:r>
              <w:rPr>
                <w:rFonts w:ascii="ITC Avant Garde" w:hAnsi="ITC Avant Garde" w:cs="Arial"/>
                <w:color w:val="000000"/>
                <w:sz w:val="16"/>
                <w:szCs w:val="16"/>
                <w:lang w:val="es-MX"/>
              </w:rPr>
              <w:t>écnico del modelo.</w:t>
            </w:r>
          </w:p>
        </w:tc>
      </w:tr>
      <w:tr w:rsidR="005B0846" w:rsidRPr="00F906F3" w:rsidTr="006B1555">
        <w:tc>
          <w:tcPr>
            <w:tcW w:w="2203" w:type="dxa"/>
            <w:shd w:val="clear" w:color="auto" w:fill="auto"/>
            <w:vAlign w:val="center"/>
          </w:tcPr>
          <w:p w:rsidR="005B0846" w:rsidRPr="00872052" w:rsidRDefault="005B0846" w:rsidP="005B0846">
            <w:pPr>
              <w:rPr>
                <w:rFonts w:ascii="ITC Avant Garde" w:hAnsi="ITC Avant Garde" w:cs="Arial"/>
                <w:sz w:val="16"/>
                <w:szCs w:val="16"/>
                <w:lang w:val="es-MX"/>
              </w:rPr>
            </w:pPr>
            <w:proofErr w:type="spellStart"/>
            <w:r w:rsidRPr="00872052">
              <w:rPr>
                <w:rFonts w:ascii="ITC Avant Garde" w:hAnsi="ITC Avant Garde" w:cs="Arial"/>
                <w:color w:val="000000"/>
                <w:sz w:val="16"/>
                <w:szCs w:val="16"/>
                <w:lang w:val="es-MX"/>
              </w:rPr>
              <w:t>SDP_TriggerPerAddress_NbPremises</w:t>
            </w:r>
            <w:proofErr w:type="spellEnd"/>
          </w:p>
        </w:tc>
        <w:tc>
          <w:tcPr>
            <w:tcW w:w="2967" w:type="dxa"/>
            <w:shd w:val="clear" w:color="auto" w:fill="auto"/>
            <w:vAlign w:val="center"/>
          </w:tcPr>
          <w:p w:rsidR="005B0846" w:rsidRPr="00541C1A" w:rsidRDefault="00541C1A" w:rsidP="005B0846">
            <w:pPr>
              <w:rPr>
                <w:rFonts w:ascii="ITC Avant Garde" w:hAnsi="ITC Avant Garde" w:cs="Arial"/>
                <w:sz w:val="16"/>
                <w:szCs w:val="16"/>
                <w:lang w:val="es-MX"/>
              </w:rPr>
            </w:pPr>
            <w:r w:rsidRPr="00541C1A">
              <w:rPr>
                <w:rFonts w:ascii="ITC Avant Garde" w:hAnsi="ITC Avant Garde" w:cs="Arial"/>
                <w:color w:val="000000"/>
                <w:sz w:val="16"/>
                <w:szCs w:val="16"/>
                <w:lang w:val="es-MX"/>
              </w:rPr>
              <w:t xml:space="preserve">Se instala un nuevo SDP cada vez que se sobrepasa este </w:t>
            </w:r>
            <w:r>
              <w:rPr>
                <w:rFonts w:ascii="ITC Avant Garde" w:hAnsi="ITC Avant Garde" w:cs="Arial"/>
                <w:color w:val="000000"/>
                <w:sz w:val="16"/>
                <w:szCs w:val="16"/>
                <w:lang w:val="es-MX"/>
              </w:rPr>
              <w:t>umbral</w:t>
            </w:r>
            <w:r w:rsidRPr="00541C1A">
              <w:rPr>
                <w:rFonts w:ascii="ITC Avant Garde" w:hAnsi="ITC Avant Garde" w:cs="Arial"/>
                <w:color w:val="000000"/>
                <w:sz w:val="16"/>
                <w:szCs w:val="16"/>
                <w:lang w:val="es-MX"/>
              </w:rPr>
              <w:t>. Este parámetro afecta el número de SDP por sección en áreas dens</w:t>
            </w:r>
            <w:r>
              <w:rPr>
                <w:rFonts w:ascii="ITC Avant Garde" w:hAnsi="ITC Avant Garde" w:cs="Arial"/>
                <w:color w:val="000000"/>
                <w:sz w:val="16"/>
                <w:szCs w:val="16"/>
                <w:lang w:val="es-MX"/>
              </w:rPr>
              <w:t>a</w:t>
            </w:r>
            <w:r w:rsidRPr="00541C1A">
              <w:rPr>
                <w:rFonts w:ascii="ITC Avant Garde" w:hAnsi="ITC Avant Garde" w:cs="Arial"/>
                <w:color w:val="000000"/>
                <w:sz w:val="16"/>
                <w:szCs w:val="16"/>
                <w:lang w:val="es-MX"/>
              </w:rPr>
              <w:t>s</w:t>
            </w:r>
          </w:p>
        </w:tc>
        <w:tc>
          <w:tcPr>
            <w:tcW w:w="3323" w:type="dxa"/>
            <w:vAlign w:val="center"/>
          </w:tcPr>
          <w:p w:rsidR="005B0846" w:rsidRPr="00541C1A" w:rsidRDefault="00541C1A" w:rsidP="005B0846">
            <w:pPr>
              <w:rPr>
                <w:rFonts w:ascii="ITC Avant Garde" w:hAnsi="ITC Avant Garde" w:cs="Arial"/>
                <w:color w:val="000000"/>
                <w:sz w:val="16"/>
                <w:szCs w:val="16"/>
                <w:lang w:val="es-MX"/>
              </w:rPr>
            </w:pPr>
            <w:r w:rsidRPr="00541C1A">
              <w:rPr>
                <w:lang w:val="es-MX"/>
              </w:rPr>
              <w:t xml:space="preserve"> </w:t>
            </w:r>
            <w:r w:rsidRPr="00541C1A">
              <w:rPr>
                <w:rFonts w:ascii="ITC Avant Garde" w:hAnsi="ITC Avant Garde" w:cs="Arial"/>
                <w:color w:val="000000"/>
                <w:sz w:val="16"/>
                <w:szCs w:val="16"/>
                <w:lang w:val="es-MX"/>
              </w:rPr>
              <w:t xml:space="preserve">Este valor se ha establecido en 10 para el escenario </w:t>
            </w:r>
            <w:r>
              <w:rPr>
                <w:rFonts w:ascii="ITC Avant Garde" w:hAnsi="ITC Avant Garde" w:cs="Arial"/>
                <w:color w:val="000000"/>
                <w:sz w:val="16"/>
                <w:szCs w:val="16"/>
                <w:lang w:val="es-MX"/>
              </w:rPr>
              <w:t>de la red de cobre (</w:t>
            </w:r>
            <w:r w:rsidRPr="00541C1A">
              <w:rPr>
                <w:rFonts w:ascii="ITC Avant Garde" w:hAnsi="ITC Avant Garde" w:cs="Arial"/>
                <w:color w:val="000000"/>
                <w:sz w:val="16"/>
                <w:szCs w:val="16"/>
                <w:lang w:val="es-MX"/>
              </w:rPr>
              <w:t>según las reglas de ingeniería provistas por Telmex</w:t>
            </w:r>
            <w:r>
              <w:rPr>
                <w:rFonts w:ascii="ITC Avant Garde" w:hAnsi="ITC Avant Garde" w:cs="Arial"/>
                <w:color w:val="000000"/>
                <w:sz w:val="16"/>
                <w:szCs w:val="16"/>
                <w:lang w:val="es-MX"/>
              </w:rPr>
              <w:t>)</w:t>
            </w:r>
            <w:r w:rsidRPr="00541C1A">
              <w:rPr>
                <w:rFonts w:ascii="ITC Avant Garde" w:hAnsi="ITC Avant Garde" w:cs="Arial"/>
                <w:color w:val="000000"/>
                <w:sz w:val="16"/>
                <w:szCs w:val="16"/>
                <w:lang w:val="es-MX"/>
              </w:rPr>
              <w:t xml:space="preserve">. </w:t>
            </w:r>
            <w:r>
              <w:rPr>
                <w:rFonts w:ascii="ITC Avant Garde" w:hAnsi="ITC Avant Garde" w:cs="Arial"/>
                <w:color w:val="000000"/>
                <w:sz w:val="16"/>
                <w:szCs w:val="16"/>
                <w:lang w:val="es-MX"/>
              </w:rPr>
              <w:t xml:space="preserve">Mientras que se emplea un valor de </w:t>
            </w:r>
            <w:r w:rsidRPr="00541C1A">
              <w:rPr>
                <w:rFonts w:ascii="ITC Avant Garde" w:hAnsi="ITC Avant Garde" w:cs="Arial"/>
                <w:color w:val="000000"/>
                <w:sz w:val="16"/>
                <w:szCs w:val="16"/>
                <w:lang w:val="es-MX"/>
              </w:rPr>
              <w:t>8 para el escenario FTTH PON (tamaño del divisor),</w:t>
            </w:r>
          </w:p>
        </w:tc>
      </w:tr>
      <w:tr w:rsidR="005B0846" w:rsidRPr="00F906F3" w:rsidTr="006B1555">
        <w:tc>
          <w:tcPr>
            <w:tcW w:w="2203" w:type="dxa"/>
            <w:shd w:val="clear" w:color="auto" w:fill="auto"/>
            <w:vAlign w:val="center"/>
          </w:tcPr>
          <w:p w:rsidR="005B0846" w:rsidRPr="00872052" w:rsidRDefault="005B0846" w:rsidP="005B0846">
            <w:pPr>
              <w:rPr>
                <w:rFonts w:ascii="ITC Avant Garde" w:hAnsi="ITC Avant Garde" w:cs="Arial"/>
                <w:sz w:val="16"/>
                <w:szCs w:val="16"/>
                <w:lang w:val="es-MX"/>
              </w:rPr>
            </w:pPr>
            <w:proofErr w:type="spellStart"/>
            <w:r w:rsidRPr="00872052">
              <w:rPr>
                <w:rFonts w:ascii="ITC Avant Garde" w:hAnsi="ITC Avant Garde" w:cs="Arial"/>
                <w:color w:val="000000"/>
                <w:sz w:val="16"/>
                <w:szCs w:val="16"/>
                <w:lang w:val="es-MX"/>
              </w:rPr>
              <w:t>SDP_TriggerPerSection_Premises</w:t>
            </w:r>
            <w:proofErr w:type="spellEnd"/>
          </w:p>
        </w:tc>
        <w:tc>
          <w:tcPr>
            <w:tcW w:w="2967" w:type="dxa"/>
            <w:shd w:val="clear" w:color="auto" w:fill="auto"/>
            <w:vAlign w:val="center"/>
          </w:tcPr>
          <w:p w:rsidR="005B0846" w:rsidRPr="00541C1A" w:rsidRDefault="00541C1A" w:rsidP="005B0846">
            <w:pPr>
              <w:rPr>
                <w:rFonts w:ascii="ITC Avant Garde" w:hAnsi="ITC Avant Garde" w:cs="Arial"/>
                <w:sz w:val="16"/>
                <w:szCs w:val="16"/>
                <w:lang w:val="es-MX"/>
              </w:rPr>
            </w:pPr>
            <w:r w:rsidRPr="00541C1A">
              <w:rPr>
                <w:rFonts w:ascii="ITC Avant Garde" w:hAnsi="ITC Avant Garde" w:cs="Arial"/>
                <w:color w:val="000000"/>
                <w:sz w:val="16"/>
                <w:szCs w:val="16"/>
                <w:lang w:val="es-MX"/>
              </w:rPr>
              <w:t>Número mínimo de premisas que desencadena la instalación de SDP en una sección (</w:t>
            </w:r>
            <w:r>
              <w:rPr>
                <w:rFonts w:ascii="ITC Avant Garde" w:hAnsi="ITC Avant Garde" w:cs="Arial"/>
                <w:color w:val="000000"/>
                <w:sz w:val="16"/>
                <w:szCs w:val="16"/>
                <w:lang w:val="es-MX"/>
              </w:rPr>
              <w:t xml:space="preserve">donde </w:t>
            </w:r>
            <w:r w:rsidRPr="00541C1A">
              <w:rPr>
                <w:rFonts w:ascii="ITC Avant Garde" w:hAnsi="ITC Avant Garde" w:cs="Arial"/>
                <w:color w:val="000000"/>
                <w:sz w:val="16"/>
                <w:szCs w:val="16"/>
                <w:lang w:val="es-MX"/>
              </w:rPr>
              <w:t xml:space="preserve">0 o 1 significa </w:t>
            </w:r>
            <w:r>
              <w:rPr>
                <w:rFonts w:ascii="ITC Avant Garde" w:hAnsi="ITC Avant Garde" w:cs="Arial"/>
                <w:color w:val="000000"/>
                <w:sz w:val="16"/>
                <w:szCs w:val="16"/>
                <w:lang w:val="es-MX"/>
              </w:rPr>
              <w:t xml:space="preserve">que </w:t>
            </w:r>
            <w:r w:rsidRPr="00541C1A">
              <w:rPr>
                <w:rFonts w:ascii="ITC Avant Garde" w:hAnsi="ITC Avant Garde" w:cs="Arial"/>
                <w:color w:val="000000"/>
                <w:sz w:val="16"/>
                <w:szCs w:val="16"/>
                <w:lang w:val="es-MX"/>
              </w:rPr>
              <w:t xml:space="preserve">al menos 1 SDP por sección que tiene </w:t>
            </w:r>
            <w:r>
              <w:rPr>
                <w:rFonts w:ascii="ITC Avant Garde" w:hAnsi="ITC Avant Garde" w:cs="Arial"/>
                <w:color w:val="000000"/>
                <w:sz w:val="16"/>
                <w:szCs w:val="16"/>
                <w:lang w:val="es-MX"/>
              </w:rPr>
              <w:t>premisa</w:t>
            </w:r>
            <w:r w:rsidRPr="00541C1A">
              <w:rPr>
                <w:rFonts w:ascii="ITC Avant Garde" w:hAnsi="ITC Avant Garde" w:cs="Arial"/>
                <w:color w:val="000000"/>
                <w:sz w:val="16"/>
                <w:szCs w:val="16"/>
                <w:lang w:val="es-MX"/>
              </w:rPr>
              <w:t xml:space="preserve">s). Este parámetro afecta principalmente el número de SDP en áreas </w:t>
            </w:r>
            <w:r>
              <w:rPr>
                <w:rFonts w:ascii="ITC Avant Garde" w:hAnsi="ITC Avant Garde" w:cs="Arial"/>
                <w:color w:val="000000"/>
                <w:sz w:val="16"/>
                <w:szCs w:val="16"/>
                <w:lang w:val="es-MX"/>
              </w:rPr>
              <w:t>no densas</w:t>
            </w:r>
          </w:p>
        </w:tc>
        <w:tc>
          <w:tcPr>
            <w:tcW w:w="3323" w:type="dxa"/>
            <w:vAlign w:val="center"/>
          </w:tcPr>
          <w:p w:rsidR="005B0846" w:rsidRPr="00541C1A" w:rsidRDefault="00541C1A" w:rsidP="005B0846">
            <w:pPr>
              <w:rPr>
                <w:rFonts w:ascii="ITC Avant Garde" w:hAnsi="ITC Avant Garde" w:cs="Arial"/>
                <w:color w:val="000000"/>
                <w:sz w:val="16"/>
                <w:szCs w:val="16"/>
                <w:lang w:val="es-MX"/>
              </w:rPr>
            </w:pPr>
            <w:r w:rsidRPr="00541C1A">
              <w:rPr>
                <w:lang w:val="es-MX"/>
              </w:rPr>
              <w:t xml:space="preserve"> </w:t>
            </w:r>
            <w:r w:rsidRPr="00541C1A">
              <w:rPr>
                <w:rFonts w:ascii="ITC Avant Garde" w:hAnsi="ITC Avant Garde" w:cs="Arial"/>
                <w:color w:val="000000"/>
                <w:sz w:val="16"/>
                <w:szCs w:val="16"/>
                <w:lang w:val="es-MX"/>
              </w:rPr>
              <w:t xml:space="preserve">Este valor se usa en </w:t>
            </w:r>
            <w:r>
              <w:rPr>
                <w:rFonts w:ascii="ITC Avant Garde" w:hAnsi="ITC Avant Garde" w:cs="Arial"/>
                <w:color w:val="000000"/>
                <w:sz w:val="16"/>
                <w:szCs w:val="16"/>
                <w:lang w:val="es-MX"/>
              </w:rPr>
              <w:t xml:space="preserve">para la red de </w:t>
            </w:r>
            <w:r w:rsidRPr="00541C1A">
              <w:rPr>
                <w:rFonts w:ascii="ITC Avant Garde" w:hAnsi="ITC Avant Garde" w:cs="Arial"/>
                <w:color w:val="000000"/>
                <w:sz w:val="16"/>
                <w:szCs w:val="16"/>
                <w:lang w:val="es-MX"/>
              </w:rPr>
              <w:t>cobre (</w:t>
            </w:r>
            <w:r>
              <w:rPr>
                <w:rFonts w:ascii="ITC Avant Garde" w:hAnsi="ITC Avant Garde" w:cs="Arial"/>
                <w:color w:val="000000"/>
                <w:sz w:val="16"/>
                <w:szCs w:val="16"/>
                <w:lang w:val="es-MX"/>
              </w:rPr>
              <w:t xml:space="preserve">donde </w:t>
            </w:r>
            <w:r w:rsidRPr="00541C1A">
              <w:rPr>
                <w:rFonts w:ascii="ITC Avant Garde" w:hAnsi="ITC Avant Garde" w:cs="Arial"/>
                <w:color w:val="000000"/>
                <w:sz w:val="16"/>
                <w:szCs w:val="16"/>
                <w:lang w:val="es-MX"/>
              </w:rPr>
              <w:t>un SDP está instalado en cada sección si hay un edificio</w:t>
            </w:r>
            <w:r>
              <w:rPr>
                <w:rFonts w:ascii="ITC Avant Garde" w:hAnsi="ITC Avant Garde" w:cs="Arial"/>
                <w:color w:val="000000"/>
                <w:sz w:val="16"/>
                <w:szCs w:val="16"/>
                <w:lang w:val="es-MX"/>
              </w:rPr>
              <w:t xml:space="preserve"> presente). Se ha establecido con un valor de</w:t>
            </w:r>
            <w:r w:rsidRPr="00541C1A">
              <w:rPr>
                <w:rFonts w:ascii="ITC Avant Garde" w:hAnsi="ITC Avant Garde" w:cs="Arial"/>
                <w:color w:val="000000"/>
                <w:sz w:val="16"/>
                <w:szCs w:val="16"/>
                <w:lang w:val="es-MX"/>
              </w:rPr>
              <w:t xml:space="preserve"> 4 para el escenario FTTH PON (se instala un divisor si el número de premisas agregadas en la sección es superior a 4, de lo contrario, la fibra se transfiere a la siguiente sección).</w:t>
            </w:r>
          </w:p>
        </w:tc>
      </w:tr>
      <w:tr w:rsidR="005B0846" w:rsidRPr="00F906F3" w:rsidTr="006B1555">
        <w:tc>
          <w:tcPr>
            <w:tcW w:w="2203" w:type="dxa"/>
            <w:shd w:val="clear" w:color="auto" w:fill="auto"/>
            <w:vAlign w:val="center"/>
          </w:tcPr>
          <w:p w:rsidR="005B0846" w:rsidRPr="00872052" w:rsidRDefault="005B0846" w:rsidP="005B0846">
            <w:pPr>
              <w:rPr>
                <w:rFonts w:ascii="ITC Avant Garde" w:hAnsi="ITC Avant Garde" w:cs="Arial"/>
                <w:sz w:val="16"/>
                <w:szCs w:val="16"/>
                <w:lang w:val="es-MX"/>
              </w:rPr>
            </w:pPr>
            <w:proofErr w:type="spellStart"/>
            <w:r w:rsidRPr="00872052">
              <w:rPr>
                <w:rFonts w:ascii="ITC Avant Garde" w:hAnsi="ITC Avant Garde" w:cs="Arial"/>
                <w:color w:val="000000"/>
                <w:sz w:val="16"/>
                <w:szCs w:val="16"/>
                <w:lang w:val="es-MX"/>
              </w:rPr>
              <w:t>Source_Database</w:t>
            </w:r>
            <w:proofErr w:type="spellEnd"/>
          </w:p>
        </w:tc>
        <w:tc>
          <w:tcPr>
            <w:tcW w:w="2967" w:type="dxa"/>
            <w:shd w:val="clear" w:color="auto" w:fill="auto"/>
            <w:vAlign w:val="center"/>
          </w:tcPr>
          <w:p w:rsidR="005B0846" w:rsidRPr="00541C1A" w:rsidRDefault="00541C1A" w:rsidP="005B0846">
            <w:pPr>
              <w:rPr>
                <w:rFonts w:ascii="ITC Avant Garde" w:hAnsi="ITC Avant Garde" w:cs="Arial"/>
                <w:sz w:val="16"/>
                <w:szCs w:val="16"/>
                <w:lang w:val="es-MX"/>
              </w:rPr>
            </w:pPr>
            <w:r>
              <w:rPr>
                <w:rFonts w:ascii="ITC Avant Garde" w:hAnsi="ITC Avant Garde" w:cs="Arial"/>
                <w:color w:val="000000"/>
                <w:sz w:val="16"/>
                <w:szCs w:val="16"/>
                <w:lang w:val="es-MX"/>
              </w:rPr>
              <w:t>Corresponde a la</w:t>
            </w:r>
            <w:r w:rsidRPr="00541C1A">
              <w:rPr>
                <w:rFonts w:ascii="ITC Avant Garde" w:hAnsi="ITC Avant Garde" w:cs="Arial"/>
                <w:color w:val="000000"/>
                <w:sz w:val="16"/>
                <w:szCs w:val="16"/>
                <w:lang w:val="es-MX"/>
              </w:rPr>
              <w:t xml:space="preserve"> base de datos utilizada como fuente para el escenario</w:t>
            </w:r>
            <w:r w:rsidRPr="00541C1A" w:rsidDel="00541C1A">
              <w:rPr>
                <w:rFonts w:ascii="ITC Avant Garde" w:hAnsi="ITC Avant Garde" w:cs="Arial"/>
                <w:color w:val="000000"/>
                <w:sz w:val="16"/>
                <w:szCs w:val="16"/>
                <w:lang w:val="es-MX"/>
              </w:rPr>
              <w:t xml:space="preserve"> </w:t>
            </w:r>
          </w:p>
        </w:tc>
        <w:tc>
          <w:tcPr>
            <w:tcW w:w="3323" w:type="dxa"/>
            <w:vAlign w:val="center"/>
          </w:tcPr>
          <w:p w:rsidR="005B0846" w:rsidRPr="00541C1A" w:rsidRDefault="00541C1A" w:rsidP="005B0846">
            <w:pPr>
              <w:rPr>
                <w:rFonts w:ascii="ITC Avant Garde" w:hAnsi="ITC Avant Garde" w:cs="Arial"/>
                <w:color w:val="000000"/>
                <w:sz w:val="16"/>
                <w:szCs w:val="16"/>
                <w:lang w:val="es-MX"/>
              </w:rPr>
            </w:pPr>
            <w:r w:rsidRPr="00541C1A">
              <w:rPr>
                <w:rFonts w:ascii="ITC Avant Garde" w:hAnsi="ITC Avant Garde" w:cs="Arial"/>
                <w:color w:val="000000"/>
                <w:sz w:val="16"/>
                <w:szCs w:val="16"/>
                <w:lang w:val="es-MX"/>
              </w:rPr>
              <w:t xml:space="preserve"> Corresponde a un parámetro t</w:t>
            </w:r>
            <w:r>
              <w:rPr>
                <w:rFonts w:ascii="ITC Avant Garde" w:hAnsi="ITC Avant Garde" w:cs="Arial"/>
                <w:color w:val="000000"/>
                <w:sz w:val="16"/>
                <w:szCs w:val="16"/>
                <w:lang w:val="es-MX"/>
              </w:rPr>
              <w:t>écnico del modelo</w:t>
            </w:r>
            <w:r w:rsidRPr="00541C1A" w:rsidDel="00541C1A">
              <w:rPr>
                <w:rFonts w:ascii="ITC Avant Garde" w:hAnsi="ITC Avant Garde" w:cs="Arial"/>
                <w:color w:val="000000"/>
                <w:sz w:val="16"/>
                <w:szCs w:val="16"/>
                <w:lang w:val="es-MX"/>
              </w:rPr>
              <w:t xml:space="preserve"> </w:t>
            </w:r>
          </w:p>
        </w:tc>
      </w:tr>
      <w:tr w:rsidR="005B0846" w:rsidRPr="00F906F3" w:rsidTr="006B1555">
        <w:tc>
          <w:tcPr>
            <w:tcW w:w="2203" w:type="dxa"/>
            <w:shd w:val="clear" w:color="auto" w:fill="auto"/>
            <w:vAlign w:val="center"/>
          </w:tcPr>
          <w:p w:rsidR="005B0846" w:rsidRPr="00872052" w:rsidRDefault="005B0846" w:rsidP="005B0846">
            <w:pPr>
              <w:rPr>
                <w:rFonts w:ascii="ITC Avant Garde" w:hAnsi="ITC Avant Garde" w:cs="Arial"/>
                <w:sz w:val="16"/>
                <w:szCs w:val="16"/>
                <w:lang w:val="es-MX"/>
              </w:rPr>
            </w:pPr>
            <w:proofErr w:type="spellStart"/>
            <w:r w:rsidRPr="00872052">
              <w:rPr>
                <w:rFonts w:ascii="ITC Avant Garde" w:hAnsi="ITC Avant Garde" w:cs="Arial"/>
                <w:color w:val="000000"/>
                <w:sz w:val="16"/>
                <w:szCs w:val="16"/>
                <w:lang w:val="es-MX"/>
              </w:rPr>
              <w:t>Technology_Aggregation</w:t>
            </w:r>
            <w:proofErr w:type="spellEnd"/>
          </w:p>
        </w:tc>
        <w:tc>
          <w:tcPr>
            <w:tcW w:w="2967" w:type="dxa"/>
            <w:shd w:val="clear" w:color="auto" w:fill="auto"/>
            <w:vAlign w:val="center"/>
          </w:tcPr>
          <w:p w:rsidR="005B0846" w:rsidRPr="006B1555" w:rsidRDefault="006B1555" w:rsidP="005B0846">
            <w:pPr>
              <w:rPr>
                <w:rFonts w:ascii="ITC Avant Garde" w:hAnsi="ITC Avant Garde" w:cs="Arial"/>
                <w:sz w:val="16"/>
                <w:szCs w:val="16"/>
                <w:lang w:val="es-MX"/>
              </w:rPr>
            </w:pPr>
            <w:r w:rsidRPr="006B1555">
              <w:rPr>
                <w:rFonts w:ascii="ITC Avant Garde" w:hAnsi="ITC Avant Garde" w:cs="Arial"/>
                <w:color w:val="000000"/>
                <w:sz w:val="16"/>
                <w:szCs w:val="16"/>
                <w:lang w:val="es-MX"/>
              </w:rPr>
              <w:t xml:space="preserve">Tipo de cables del </w:t>
            </w:r>
            <w:r w:rsidR="005B0846" w:rsidRPr="006B1555">
              <w:rPr>
                <w:rFonts w:ascii="ITC Avant Garde" w:hAnsi="ITC Avant Garde" w:cs="Arial"/>
                <w:color w:val="000000"/>
                <w:sz w:val="16"/>
                <w:szCs w:val="16"/>
                <w:lang w:val="es-MX"/>
              </w:rPr>
              <w:t xml:space="preserve">FDP </w:t>
            </w:r>
            <w:r w:rsidRPr="006B1555">
              <w:rPr>
                <w:rFonts w:ascii="ITC Avant Garde" w:hAnsi="ITC Avant Garde" w:cs="Arial"/>
                <w:color w:val="000000"/>
                <w:sz w:val="16"/>
                <w:szCs w:val="16"/>
                <w:lang w:val="es-MX"/>
              </w:rPr>
              <w:t xml:space="preserve">al </w:t>
            </w:r>
            <w:r w:rsidR="005B0846" w:rsidRPr="006B1555">
              <w:rPr>
                <w:rFonts w:ascii="ITC Avant Garde" w:hAnsi="ITC Avant Garde" w:cs="Arial"/>
                <w:color w:val="000000"/>
                <w:sz w:val="16"/>
                <w:szCs w:val="16"/>
                <w:lang w:val="es-MX"/>
              </w:rPr>
              <w:t>SDP (</w:t>
            </w:r>
            <w:r>
              <w:rPr>
                <w:rFonts w:ascii="ITC Avant Garde" w:hAnsi="ITC Avant Garde" w:cs="Arial"/>
                <w:color w:val="000000"/>
                <w:sz w:val="16"/>
                <w:szCs w:val="16"/>
                <w:lang w:val="es-MX"/>
              </w:rPr>
              <w:t>cobre o fibra</w:t>
            </w:r>
            <w:r w:rsidR="005B0846" w:rsidRPr="006B1555">
              <w:rPr>
                <w:rFonts w:ascii="ITC Avant Garde" w:hAnsi="ITC Avant Garde" w:cs="Arial"/>
                <w:color w:val="000000"/>
                <w:sz w:val="16"/>
                <w:szCs w:val="16"/>
                <w:lang w:val="es-MX"/>
              </w:rPr>
              <w:t xml:space="preserve">) </w:t>
            </w:r>
          </w:p>
        </w:tc>
        <w:tc>
          <w:tcPr>
            <w:tcW w:w="3323" w:type="dxa"/>
            <w:vAlign w:val="center"/>
          </w:tcPr>
          <w:p w:rsidR="005B0846" w:rsidRPr="006B1555" w:rsidRDefault="006B1555" w:rsidP="005B0846">
            <w:pPr>
              <w:rPr>
                <w:rFonts w:ascii="ITC Avant Garde" w:hAnsi="ITC Avant Garde" w:cs="Arial"/>
                <w:color w:val="000000"/>
                <w:sz w:val="16"/>
                <w:szCs w:val="16"/>
                <w:lang w:val="es-MX"/>
              </w:rPr>
            </w:pPr>
            <w:r w:rsidRPr="006B1555">
              <w:rPr>
                <w:rFonts w:ascii="ITC Avant Garde" w:hAnsi="ITC Avant Garde" w:cs="Arial"/>
                <w:color w:val="000000"/>
                <w:sz w:val="16"/>
                <w:szCs w:val="16"/>
                <w:lang w:val="es-MX"/>
              </w:rPr>
              <w:t>Este parámetro se ha configurado en cobre (para el escenario de cobre) y fibra (para FTTH).</w:t>
            </w:r>
          </w:p>
        </w:tc>
      </w:tr>
      <w:tr w:rsidR="005B0846" w:rsidRPr="00F906F3" w:rsidTr="006B1555">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rsidR="005B0846" w:rsidRPr="00872052" w:rsidRDefault="005B0846" w:rsidP="005B0846">
            <w:pPr>
              <w:rPr>
                <w:rFonts w:ascii="ITC Avant Garde" w:hAnsi="ITC Avant Garde" w:cs="Arial"/>
                <w:color w:val="000000"/>
                <w:sz w:val="16"/>
                <w:szCs w:val="16"/>
                <w:lang w:val="es-MX"/>
              </w:rPr>
            </w:pPr>
            <w:proofErr w:type="spellStart"/>
            <w:r w:rsidRPr="00872052">
              <w:rPr>
                <w:rFonts w:ascii="ITC Avant Garde" w:hAnsi="ITC Avant Garde" w:cs="Arial"/>
                <w:color w:val="000000"/>
                <w:sz w:val="16"/>
                <w:szCs w:val="16"/>
                <w:lang w:val="es-MX"/>
              </w:rPr>
              <w:t>Technology_SDP_PDP</w:t>
            </w:r>
            <w:proofErr w:type="spellEnd"/>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rsidR="005B0846" w:rsidRPr="006B1555" w:rsidRDefault="006B1555" w:rsidP="005B0846">
            <w:pPr>
              <w:rPr>
                <w:rFonts w:ascii="ITC Avant Garde" w:hAnsi="ITC Avant Garde" w:cs="Arial"/>
                <w:color w:val="000000"/>
                <w:sz w:val="16"/>
                <w:szCs w:val="16"/>
                <w:lang w:val="es-MX"/>
              </w:rPr>
            </w:pPr>
            <w:r w:rsidRPr="006B1555">
              <w:rPr>
                <w:rFonts w:ascii="ITC Avant Garde" w:hAnsi="ITC Avant Garde" w:cs="Arial"/>
                <w:color w:val="000000"/>
                <w:sz w:val="16"/>
                <w:szCs w:val="16"/>
                <w:lang w:val="es-MX"/>
              </w:rPr>
              <w:t xml:space="preserve">Tipo de cable del </w:t>
            </w:r>
            <w:r w:rsidR="005B0846" w:rsidRPr="006B1555">
              <w:rPr>
                <w:rFonts w:ascii="ITC Avant Garde" w:hAnsi="ITC Avant Garde" w:cs="Arial"/>
                <w:color w:val="000000"/>
                <w:sz w:val="16"/>
                <w:szCs w:val="16"/>
                <w:lang w:val="es-MX"/>
              </w:rPr>
              <w:t xml:space="preserve">SDP </w:t>
            </w:r>
            <w:r w:rsidRPr="006B1555">
              <w:rPr>
                <w:rFonts w:ascii="ITC Avant Garde" w:hAnsi="ITC Avant Garde" w:cs="Arial"/>
                <w:color w:val="000000"/>
                <w:sz w:val="16"/>
                <w:szCs w:val="16"/>
                <w:lang w:val="es-MX"/>
              </w:rPr>
              <w:t xml:space="preserve">al </w:t>
            </w:r>
            <w:r w:rsidR="005B0846" w:rsidRPr="006B1555">
              <w:rPr>
                <w:rFonts w:ascii="ITC Avant Garde" w:hAnsi="ITC Avant Garde" w:cs="Arial"/>
                <w:color w:val="000000"/>
                <w:sz w:val="16"/>
                <w:szCs w:val="16"/>
                <w:lang w:val="es-MX"/>
              </w:rPr>
              <w:t>PDP (</w:t>
            </w:r>
            <w:r>
              <w:rPr>
                <w:rFonts w:ascii="ITC Avant Garde" w:hAnsi="ITC Avant Garde" w:cs="Arial"/>
                <w:color w:val="000000"/>
                <w:sz w:val="16"/>
                <w:szCs w:val="16"/>
                <w:lang w:val="es-MX"/>
              </w:rPr>
              <w:t>cobre  o fibra</w:t>
            </w:r>
            <w:r w:rsidR="005B0846" w:rsidRPr="006B1555">
              <w:rPr>
                <w:rFonts w:ascii="ITC Avant Garde" w:hAnsi="ITC Avant Garde" w:cs="Arial"/>
                <w:color w:val="000000"/>
                <w:sz w:val="16"/>
                <w:szCs w:val="16"/>
                <w:lang w:val="es-MX"/>
              </w:rPr>
              <w:t>)</w:t>
            </w:r>
          </w:p>
        </w:tc>
        <w:tc>
          <w:tcPr>
            <w:tcW w:w="3323" w:type="dxa"/>
            <w:tcBorders>
              <w:top w:val="single" w:sz="4" w:space="0" w:color="auto"/>
              <w:left w:val="single" w:sz="4" w:space="0" w:color="auto"/>
              <w:bottom w:val="single" w:sz="4" w:space="0" w:color="auto"/>
              <w:right w:val="single" w:sz="4" w:space="0" w:color="auto"/>
            </w:tcBorders>
          </w:tcPr>
          <w:p w:rsidR="005B0846" w:rsidRPr="00042245" w:rsidRDefault="006B1555" w:rsidP="005B0846">
            <w:pPr>
              <w:rPr>
                <w:rFonts w:ascii="ITC Avant Garde" w:hAnsi="ITC Avant Garde" w:cs="Arial"/>
                <w:color w:val="000000"/>
                <w:sz w:val="16"/>
                <w:szCs w:val="16"/>
                <w:lang w:val="es-MX"/>
              </w:rPr>
            </w:pPr>
            <w:r w:rsidRPr="00201B75">
              <w:rPr>
                <w:rFonts w:ascii="ITC Avant Garde" w:hAnsi="ITC Avant Garde" w:cs="Arial"/>
                <w:color w:val="000000"/>
                <w:sz w:val="16"/>
                <w:szCs w:val="16"/>
                <w:lang w:val="es-MX"/>
              </w:rPr>
              <w:t>Este parámetro se ha configurado en cobre (para el escenario de cobre) y fibra (para FTTH).</w:t>
            </w:r>
          </w:p>
        </w:tc>
      </w:tr>
      <w:tr w:rsidR="005B0846" w:rsidRPr="00F906F3" w:rsidTr="006B1555">
        <w:tc>
          <w:tcPr>
            <w:tcW w:w="2203" w:type="dxa"/>
            <w:shd w:val="clear" w:color="auto" w:fill="auto"/>
            <w:vAlign w:val="center"/>
          </w:tcPr>
          <w:p w:rsidR="005B0846" w:rsidRPr="00872052" w:rsidRDefault="005B0846" w:rsidP="005B0846">
            <w:pPr>
              <w:rPr>
                <w:rFonts w:ascii="ITC Avant Garde" w:hAnsi="ITC Avant Garde" w:cs="Arial"/>
                <w:sz w:val="16"/>
                <w:szCs w:val="16"/>
                <w:lang w:val="es-MX"/>
              </w:rPr>
            </w:pPr>
            <w:proofErr w:type="spellStart"/>
            <w:r w:rsidRPr="00872052">
              <w:rPr>
                <w:rFonts w:ascii="ITC Avant Garde" w:hAnsi="ITC Avant Garde" w:cs="Arial"/>
                <w:color w:val="000000"/>
                <w:sz w:val="16"/>
                <w:szCs w:val="16"/>
                <w:lang w:val="es-MX"/>
              </w:rPr>
              <w:t>Technology_PDP_CO</w:t>
            </w:r>
            <w:proofErr w:type="spellEnd"/>
          </w:p>
        </w:tc>
        <w:tc>
          <w:tcPr>
            <w:tcW w:w="2967" w:type="dxa"/>
            <w:shd w:val="clear" w:color="auto" w:fill="auto"/>
            <w:vAlign w:val="center"/>
          </w:tcPr>
          <w:p w:rsidR="005B0846" w:rsidRPr="00042245" w:rsidRDefault="006B1555" w:rsidP="005B0846">
            <w:pPr>
              <w:rPr>
                <w:rFonts w:ascii="ITC Avant Garde" w:hAnsi="ITC Avant Garde" w:cs="Arial"/>
                <w:sz w:val="16"/>
                <w:szCs w:val="16"/>
                <w:lang w:val="es-MX"/>
              </w:rPr>
            </w:pPr>
            <w:r w:rsidRPr="00B10C0A">
              <w:rPr>
                <w:rFonts w:ascii="ITC Avant Garde" w:hAnsi="ITC Avant Garde" w:cs="Arial"/>
                <w:color w:val="000000"/>
                <w:sz w:val="16"/>
                <w:szCs w:val="16"/>
                <w:lang w:val="es-MX"/>
              </w:rPr>
              <w:t xml:space="preserve">Tipo de cable del </w:t>
            </w:r>
            <w:r w:rsidR="005B0846" w:rsidRPr="00042245">
              <w:rPr>
                <w:rFonts w:ascii="ITC Avant Garde" w:hAnsi="ITC Avant Garde" w:cs="Arial"/>
                <w:color w:val="000000"/>
                <w:sz w:val="16"/>
                <w:szCs w:val="16"/>
                <w:lang w:val="es-MX"/>
              </w:rPr>
              <w:t xml:space="preserve">PDP </w:t>
            </w:r>
            <w:r w:rsidRPr="00042245">
              <w:rPr>
                <w:rFonts w:ascii="ITC Avant Garde" w:hAnsi="ITC Avant Garde" w:cs="Arial"/>
                <w:color w:val="000000"/>
                <w:sz w:val="16"/>
                <w:szCs w:val="16"/>
                <w:lang w:val="es-MX"/>
              </w:rPr>
              <w:t xml:space="preserve">a la </w:t>
            </w:r>
            <w:r>
              <w:rPr>
                <w:rFonts w:ascii="ITC Avant Garde" w:hAnsi="ITC Avant Garde" w:cs="Arial"/>
                <w:color w:val="000000"/>
                <w:sz w:val="16"/>
                <w:szCs w:val="16"/>
                <w:lang w:val="es-MX"/>
              </w:rPr>
              <w:t xml:space="preserve">Oficina </w:t>
            </w:r>
            <w:r w:rsidR="005B0846" w:rsidRPr="00B10C0A">
              <w:rPr>
                <w:rFonts w:ascii="ITC Avant Garde" w:hAnsi="ITC Avant Garde" w:cs="Arial"/>
                <w:color w:val="000000"/>
                <w:sz w:val="16"/>
                <w:szCs w:val="16"/>
                <w:lang w:val="es-MX"/>
              </w:rPr>
              <w:t>Central</w:t>
            </w:r>
            <w:r w:rsidR="005B0846" w:rsidRPr="00042245">
              <w:rPr>
                <w:rFonts w:ascii="ITC Avant Garde" w:hAnsi="ITC Avant Garde" w:cs="Arial"/>
                <w:color w:val="000000"/>
                <w:sz w:val="16"/>
                <w:szCs w:val="16"/>
                <w:lang w:val="es-MX"/>
              </w:rPr>
              <w:t xml:space="preserve"> (</w:t>
            </w:r>
            <w:r>
              <w:rPr>
                <w:rFonts w:ascii="ITC Avant Garde" w:hAnsi="ITC Avant Garde" w:cs="Arial"/>
                <w:color w:val="000000"/>
                <w:sz w:val="16"/>
                <w:szCs w:val="16"/>
                <w:lang w:val="es-MX"/>
              </w:rPr>
              <w:t>cobre o fibra</w:t>
            </w:r>
            <w:r w:rsidR="005B0846" w:rsidRPr="00B10C0A">
              <w:rPr>
                <w:rFonts w:ascii="ITC Avant Garde" w:hAnsi="ITC Avant Garde" w:cs="Arial"/>
                <w:color w:val="000000"/>
                <w:sz w:val="16"/>
                <w:szCs w:val="16"/>
                <w:lang w:val="es-MX"/>
              </w:rPr>
              <w:t>)</w:t>
            </w:r>
          </w:p>
        </w:tc>
        <w:tc>
          <w:tcPr>
            <w:tcW w:w="3323" w:type="dxa"/>
          </w:tcPr>
          <w:p w:rsidR="005B0846" w:rsidRPr="006B1555" w:rsidRDefault="006B1555" w:rsidP="005B0846">
            <w:pPr>
              <w:rPr>
                <w:rFonts w:ascii="ITC Avant Garde" w:hAnsi="ITC Avant Garde" w:cs="Arial"/>
                <w:color w:val="000000"/>
                <w:sz w:val="16"/>
                <w:szCs w:val="16"/>
                <w:lang w:val="es-MX"/>
              </w:rPr>
            </w:pPr>
            <w:r w:rsidRPr="00201B75">
              <w:rPr>
                <w:rFonts w:ascii="ITC Avant Garde" w:hAnsi="ITC Avant Garde" w:cs="Arial"/>
                <w:color w:val="000000"/>
                <w:sz w:val="16"/>
                <w:szCs w:val="16"/>
                <w:lang w:val="es-MX"/>
              </w:rPr>
              <w:t>Este parámetro se ha configurado en cobre (para el escenario de cobre) y fibra (para FTTH).</w:t>
            </w:r>
          </w:p>
        </w:tc>
      </w:tr>
      <w:tr w:rsidR="005B0846" w:rsidRPr="00F906F3" w:rsidTr="006B1555">
        <w:tc>
          <w:tcPr>
            <w:tcW w:w="2203" w:type="dxa"/>
            <w:shd w:val="clear" w:color="auto" w:fill="auto"/>
            <w:vAlign w:val="center"/>
          </w:tcPr>
          <w:p w:rsidR="005B0846" w:rsidRPr="00872052" w:rsidRDefault="005B0846" w:rsidP="005B0846">
            <w:pPr>
              <w:rPr>
                <w:rFonts w:ascii="ITC Avant Garde" w:hAnsi="ITC Avant Garde" w:cs="Arial"/>
                <w:color w:val="000000"/>
                <w:sz w:val="16"/>
                <w:szCs w:val="16"/>
                <w:lang w:val="es-MX"/>
              </w:rPr>
            </w:pPr>
            <w:proofErr w:type="spellStart"/>
            <w:r w:rsidRPr="00872052">
              <w:rPr>
                <w:rFonts w:ascii="ITC Avant Garde" w:hAnsi="ITC Avant Garde" w:cs="Arial"/>
                <w:color w:val="000000"/>
                <w:sz w:val="16"/>
                <w:szCs w:val="16"/>
                <w:lang w:val="es-MX"/>
              </w:rPr>
              <w:t>Access_Use_Ducts</w:t>
            </w:r>
            <w:proofErr w:type="spellEnd"/>
          </w:p>
        </w:tc>
        <w:tc>
          <w:tcPr>
            <w:tcW w:w="2967" w:type="dxa"/>
            <w:shd w:val="clear" w:color="auto" w:fill="auto"/>
            <w:vAlign w:val="center"/>
          </w:tcPr>
          <w:p w:rsidR="005B0846" w:rsidRPr="00245D84" w:rsidRDefault="00245D84" w:rsidP="005B0846">
            <w:pPr>
              <w:rPr>
                <w:rFonts w:ascii="ITC Avant Garde" w:hAnsi="ITC Avant Garde" w:cs="Arial"/>
                <w:color w:val="000000"/>
                <w:sz w:val="16"/>
                <w:szCs w:val="16"/>
                <w:lang w:val="es-MX"/>
              </w:rPr>
            </w:pPr>
            <w:r w:rsidRPr="00245D84">
              <w:rPr>
                <w:rFonts w:ascii="ITC Avant Garde" w:hAnsi="ITC Avant Garde" w:cs="Arial"/>
                <w:color w:val="000000"/>
                <w:sz w:val="16"/>
                <w:szCs w:val="16"/>
                <w:lang w:val="es-MX"/>
              </w:rPr>
              <w:t xml:space="preserve">Independientemente de la agregación, parte de los SDP y PDP de la red usan ductos (para el </w:t>
            </w:r>
            <w:proofErr w:type="spellStart"/>
            <w:r w:rsidRPr="00245D84">
              <w:rPr>
                <w:rFonts w:ascii="ITC Avant Garde" w:hAnsi="ITC Avant Garde" w:cs="Arial"/>
                <w:color w:val="000000"/>
                <w:sz w:val="16"/>
                <w:szCs w:val="16"/>
                <w:lang w:val="es-MX"/>
              </w:rPr>
              <w:t>dimensonamiento</w:t>
            </w:r>
            <w:proofErr w:type="spellEnd"/>
            <w:r w:rsidRPr="00245D84">
              <w:rPr>
                <w:rFonts w:ascii="ITC Avant Garde" w:hAnsi="ITC Avant Garde" w:cs="Arial"/>
                <w:color w:val="000000"/>
                <w:sz w:val="16"/>
                <w:szCs w:val="16"/>
                <w:lang w:val="es-MX"/>
              </w:rPr>
              <w:t xml:space="preserve"> de zanjas)</w:t>
            </w:r>
          </w:p>
        </w:tc>
        <w:tc>
          <w:tcPr>
            <w:tcW w:w="3323" w:type="dxa"/>
            <w:vAlign w:val="center"/>
          </w:tcPr>
          <w:p w:rsidR="005B0846" w:rsidRPr="00245D84" w:rsidRDefault="00245D84" w:rsidP="005B0846">
            <w:pPr>
              <w:rPr>
                <w:rFonts w:ascii="ITC Avant Garde" w:hAnsi="ITC Avant Garde" w:cs="Arial"/>
                <w:color w:val="000000"/>
                <w:sz w:val="16"/>
                <w:szCs w:val="16"/>
                <w:lang w:val="es-MX"/>
              </w:rPr>
            </w:pPr>
            <w:r w:rsidRPr="00245D84">
              <w:rPr>
                <w:rFonts w:ascii="ITC Avant Garde" w:hAnsi="ITC Avant Garde" w:cs="Arial"/>
                <w:color w:val="000000"/>
                <w:sz w:val="16"/>
                <w:szCs w:val="16"/>
                <w:lang w:val="es-MX"/>
              </w:rPr>
              <w:t xml:space="preserve">Este parámetro se establece en 0 para cobre y 1 para fibra ya que no se usan conductos (o </w:t>
            </w:r>
            <w:proofErr w:type="spellStart"/>
            <w:r w:rsidRPr="00245D84">
              <w:rPr>
                <w:rFonts w:ascii="ITC Avant Garde" w:hAnsi="ITC Avant Garde" w:cs="Arial"/>
                <w:color w:val="000000"/>
                <w:sz w:val="16"/>
                <w:szCs w:val="16"/>
                <w:lang w:val="es-MX"/>
              </w:rPr>
              <w:t>subductos</w:t>
            </w:r>
            <w:proofErr w:type="spellEnd"/>
            <w:r w:rsidRPr="00245D84">
              <w:rPr>
                <w:rFonts w:ascii="ITC Avant Garde" w:hAnsi="ITC Avant Garde" w:cs="Arial"/>
                <w:color w:val="000000"/>
                <w:sz w:val="16"/>
                <w:szCs w:val="16"/>
                <w:lang w:val="es-MX"/>
              </w:rPr>
              <w:t>) en las canalizaciones para el escenario de cobre</w:t>
            </w:r>
            <w:r>
              <w:rPr>
                <w:rFonts w:ascii="ITC Avant Garde" w:hAnsi="ITC Avant Garde" w:cs="Arial"/>
                <w:color w:val="000000"/>
                <w:sz w:val="16"/>
                <w:szCs w:val="16"/>
                <w:lang w:val="es-MX"/>
              </w:rPr>
              <w:t>. Sin embargo,</w:t>
            </w:r>
            <w:r w:rsidRPr="00245D84">
              <w:rPr>
                <w:rFonts w:ascii="ITC Avant Garde" w:hAnsi="ITC Avant Garde" w:cs="Arial"/>
                <w:color w:val="000000"/>
                <w:sz w:val="16"/>
                <w:szCs w:val="16"/>
                <w:lang w:val="es-MX"/>
              </w:rPr>
              <w:t xml:space="preserve"> para fibra, se </w:t>
            </w:r>
            <w:r>
              <w:rPr>
                <w:rFonts w:ascii="ITC Avant Garde" w:hAnsi="ITC Avant Garde" w:cs="Arial"/>
                <w:color w:val="000000"/>
                <w:sz w:val="16"/>
                <w:szCs w:val="16"/>
                <w:lang w:val="es-MX"/>
              </w:rPr>
              <w:t xml:space="preserve">asume que se </w:t>
            </w:r>
            <w:r w:rsidRPr="00245D84">
              <w:rPr>
                <w:rFonts w:ascii="ITC Avant Garde" w:hAnsi="ITC Avant Garde" w:cs="Arial"/>
                <w:color w:val="000000"/>
                <w:sz w:val="16"/>
                <w:szCs w:val="16"/>
                <w:lang w:val="es-MX"/>
              </w:rPr>
              <w:t xml:space="preserve">utilizan </w:t>
            </w:r>
            <w:proofErr w:type="spellStart"/>
            <w:r w:rsidRPr="00245D84">
              <w:rPr>
                <w:rFonts w:ascii="ITC Avant Garde" w:hAnsi="ITC Avant Garde" w:cs="Arial"/>
                <w:color w:val="000000"/>
                <w:sz w:val="16"/>
                <w:szCs w:val="16"/>
                <w:lang w:val="es-MX"/>
              </w:rPr>
              <w:t>subductos</w:t>
            </w:r>
            <w:proofErr w:type="spellEnd"/>
            <w:r w:rsidRPr="00245D84">
              <w:rPr>
                <w:rFonts w:ascii="ITC Avant Garde" w:hAnsi="ITC Avant Garde" w:cs="Arial"/>
                <w:color w:val="000000"/>
                <w:sz w:val="16"/>
                <w:szCs w:val="16"/>
                <w:lang w:val="es-MX"/>
              </w:rPr>
              <w:t>.</w:t>
            </w:r>
          </w:p>
        </w:tc>
      </w:tr>
      <w:tr w:rsidR="005B0846" w:rsidRPr="00F906F3" w:rsidTr="006B1555">
        <w:tc>
          <w:tcPr>
            <w:tcW w:w="2203" w:type="dxa"/>
            <w:shd w:val="clear" w:color="auto" w:fill="auto"/>
            <w:vAlign w:val="center"/>
          </w:tcPr>
          <w:p w:rsidR="005B0846" w:rsidRPr="00872052" w:rsidRDefault="005B0846" w:rsidP="005B0846">
            <w:pPr>
              <w:rPr>
                <w:rFonts w:ascii="ITC Avant Garde" w:hAnsi="ITC Avant Garde" w:cs="Arial"/>
                <w:color w:val="000000"/>
                <w:sz w:val="16"/>
                <w:szCs w:val="16"/>
                <w:lang w:val="es-MX"/>
              </w:rPr>
            </w:pPr>
            <w:proofErr w:type="spellStart"/>
            <w:r w:rsidRPr="00872052">
              <w:rPr>
                <w:rFonts w:ascii="ITC Avant Garde" w:hAnsi="ITC Avant Garde" w:cs="Arial"/>
                <w:color w:val="000000"/>
                <w:sz w:val="16"/>
                <w:szCs w:val="16"/>
                <w:lang w:val="es-MX"/>
              </w:rPr>
              <w:t>MaxDistancePoles</w:t>
            </w:r>
            <w:proofErr w:type="spellEnd"/>
          </w:p>
          <w:p w:rsidR="005B0846" w:rsidRPr="00872052" w:rsidRDefault="005B0846" w:rsidP="005B0846">
            <w:pPr>
              <w:rPr>
                <w:rFonts w:ascii="ITC Avant Garde" w:hAnsi="ITC Avant Garde" w:cs="Arial"/>
                <w:sz w:val="16"/>
                <w:szCs w:val="16"/>
                <w:lang w:val="es-MX"/>
              </w:rPr>
            </w:pPr>
          </w:p>
          <w:p w:rsidR="005B0846" w:rsidRPr="00872052" w:rsidRDefault="005B0846" w:rsidP="005B0846">
            <w:pPr>
              <w:rPr>
                <w:rFonts w:ascii="ITC Avant Garde" w:hAnsi="ITC Avant Garde" w:cs="Arial"/>
                <w:sz w:val="16"/>
                <w:szCs w:val="16"/>
                <w:lang w:val="es-MX"/>
              </w:rPr>
            </w:pPr>
          </w:p>
          <w:p w:rsidR="005B0846" w:rsidRPr="00872052" w:rsidRDefault="005B0846" w:rsidP="005B0846">
            <w:pPr>
              <w:rPr>
                <w:rFonts w:ascii="ITC Avant Garde" w:hAnsi="ITC Avant Garde" w:cs="Arial"/>
                <w:sz w:val="16"/>
                <w:szCs w:val="16"/>
                <w:lang w:val="es-MX"/>
              </w:rPr>
            </w:pPr>
          </w:p>
        </w:tc>
        <w:tc>
          <w:tcPr>
            <w:tcW w:w="2967" w:type="dxa"/>
            <w:shd w:val="clear" w:color="auto" w:fill="auto"/>
            <w:vAlign w:val="center"/>
          </w:tcPr>
          <w:p w:rsidR="005B0846" w:rsidRPr="00872052" w:rsidRDefault="00245D84" w:rsidP="005B0846">
            <w:pPr>
              <w:rPr>
                <w:rFonts w:ascii="ITC Avant Garde" w:hAnsi="ITC Avant Garde" w:cs="Arial"/>
                <w:color w:val="000000"/>
                <w:sz w:val="16"/>
                <w:szCs w:val="16"/>
                <w:lang w:val="es-MX"/>
              </w:rPr>
            </w:pPr>
            <w:r>
              <w:rPr>
                <w:rFonts w:ascii="ITC Avant Garde" w:hAnsi="ITC Avant Garde" w:cs="Arial"/>
                <w:color w:val="000000"/>
                <w:sz w:val="16"/>
                <w:szCs w:val="16"/>
                <w:lang w:val="es-MX"/>
              </w:rPr>
              <w:lastRenderedPageBreak/>
              <w:t>Distancia máxima entre postes</w:t>
            </w:r>
          </w:p>
        </w:tc>
        <w:tc>
          <w:tcPr>
            <w:tcW w:w="3323" w:type="dxa"/>
            <w:vAlign w:val="center"/>
          </w:tcPr>
          <w:p w:rsidR="005B0846" w:rsidRPr="00245D84" w:rsidRDefault="00245D84" w:rsidP="005B0846">
            <w:pPr>
              <w:rPr>
                <w:rFonts w:ascii="ITC Avant Garde" w:hAnsi="ITC Avant Garde" w:cs="Arial"/>
                <w:color w:val="000000"/>
                <w:sz w:val="16"/>
                <w:szCs w:val="16"/>
                <w:lang w:val="es-MX"/>
              </w:rPr>
            </w:pPr>
            <w:r w:rsidRPr="0029338F">
              <w:rPr>
                <w:rFonts w:ascii="ITC Avant Garde" w:hAnsi="ITC Avant Garde" w:cs="Arial"/>
                <w:color w:val="000000"/>
                <w:sz w:val="16"/>
                <w:szCs w:val="16"/>
                <w:lang w:val="es-MX"/>
              </w:rPr>
              <w:t xml:space="preserve">Este parámetro condiciona la instalación de </w:t>
            </w:r>
            <w:r>
              <w:rPr>
                <w:rFonts w:ascii="ITC Avant Garde" w:hAnsi="ITC Avant Garde" w:cs="Arial"/>
                <w:color w:val="000000"/>
                <w:sz w:val="16"/>
                <w:szCs w:val="16"/>
                <w:lang w:val="es-MX"/>
              </w:rPr>
              <w:t>postes.</w:t>
            </w:r>
            <w:r w:rsidRPr="00245D84">
              <w:rPr>
                <w:rFonts w:ascii="ITC Avant Garde" w:hAnsi="ITC Avant Garde" w:cs="Arial"/>
                <w:color w:val="000000"/>
                <w:sz w:val="16"/>
                <w:szCs w:val="16"/>
                <w:lang w:val="es-MX"/>
              </w:rPr>
              <w:t xml:space="preserve"> </w:t>
            </w:r>
            <w:r>
              <w:rPr>
                <w:rFonts w:ascii="ITC Avant Garde" w:hAnsi="ITC Avant Garde" w:cs="Arial"/>
                <w:color w:val="000000"/>
                <w:sz w:val="16"/>
                <w:szCs w:val="16"/>
                <w:lang w:val="es-MX"/>
              </w:rPr>
              <w:t>E</w:t>
            </w:r>
            <w:r w:rsidRPr="00245D84">
              <w:rPr>
                <w:rFonts w:ascii="ITC Avant Garde" w:hAnsi="ITC Avant Garde" w:cs="Arial"/>
                <w:color w:val="000000"/>
                <w:sz w:val="16"/>
                <w:szCs w:val="16"/>
                <w:lang w:val="es-MX"/>
              </w:rPr>
              <w:t xml:space="preserve">stá configurado en 60m </w:t>
            </w:r>
            <w:r>
              <w:rPr>
                <w:rFonts w:ascii="ITC Avant Garde" w:hAnsi="ITC Avant Garde" w:cs="Arial"/>
                <w:color w:val="000000"/>
                <w:sz w:val="16"/>
                <w:szCs w:val="16"/>
                <w:lang w:val="es-MX"/>
              </w:rPr>
              <w:t xml:space="preserve">de acuerdo con la información </w:t>
            </w:r>
            <w:r>
              <w:rPr>
                <w:rFonts w:ascii="ITC Avant Garde" w:hAnsi="ITC Avant Garde" w:cs="Arial"/>
                <w:color w:val="000000"/>
                <w:sz w:val="16"/>
                <w:szCs w:val="16"/>
                <w:lang w:val="es-MX"/>
              </w:rPr>
              <w:lastRenderedPageBreak/>
              <w:t>aportada por</w:t>
            </w:r>
            <w:r w:rsidRPr="00245D84">
              <w:rPr>
                <w:rFonts w:ascii="ITC Avant Garde" w:hAnsi="ITC Avant Garde" w:cs="Arial"/>
                <w:color w:val="000000"/>
                <w:sz w:val="16"/>
                <w:szCs w:val="16"/>
                <w:lang w:val="es-MX"/>
              </w:rPr>
              <w:t xml:space="preserve"> Telmex para </w:t>
            </w:r>
            <w:r>
              <w:rPr>
                <w:rFonts w:ascii="ITC Avant Garde" w:hAnsi="ITC Avant Garde" w:cs="Arial"/>
                <w:color w:val="000000"/>
                <w:sz w:val="16"/>
                <w:szCs w:val="16"/>
                <w:lang w:val="es-MX"/>
              </w:rPr>
              <w:t>redes de cobre y fibra</w:t>
            </w:r>
            <w:r w:rsidRPr="00245D84">
              <w:rPr>
                <w:rFonts w:ascii="ITC Avant Garde" w:hAnsi="ITC Avant Garde" w:cs="Arial"/>
                <w:color w:val="000000"/>
                <w:sz w:val="16"/>
                <w:szCs w:val="16"/>
                <w:lang w:val="es-MX"/>
              </w:rPr>
              <w:t>.</w:t>
            </w:r>
          </w:p>
        </w:tc>
      </w:tr>
      <w:tr w:rsidR="005B0846" w:rsidRPr="00F906F3" w:rsidTr="006B1555">
        <w:tc>
          <w:tcPr>
            <w:tcW w:w="2203" w:type="dxa"/>
            <w:shd w:val="clear" w:color="auto" w:fill="auto"/>
            <w:vAlign w:val="center"/>
          </w:tcPr>
          <w:p w:rsidR="005B0846" w:rsidRPr="00872052" w:rsidRDefault="005B0846" w:rsidP="005B0846">
            <w:pPr>
              <w:rPr>
                <w:rFonts w:ascii="ITC Avant Garde" w:hAnsi="ITC Avant Garde" w:cs="Arial"/>
                <w:color w:val="000000"/>
                <w:sz w:val="16"/>
                <w:szCs w:val="16"/>
                <w:lang w:val="es-MX"/>
              </w:rPr>
            </w:pPr>
            <w:proofErr w:type="spellStart"/>
            <w:r w:rsidRPr="00872052">
              <w:rPr>
                <w:rFonts w:ascii="ITC Avant Garde" w:hAnsi="ITC Avant Garde" w:cs="Arial"/>
                <w:color w:val="000000"/>
                <w:sz w:val="16"/>
                <w:szCs w:val="16"/>
                <w:lang w:val="es-MX"/>
              </w:rPr>
              <w:lastRenderedPageBreak/>
              <w:t>MaxNbPoles</w:t>
            </w:r>
            <w:proofErr w:type="spellEnd"/>
          </w:p>
        </w:tc>
        <w:tc>
          <w:tcPr>
            <w:tcW w:w="2967" w:type="dxa"/>
            <w:shd w:val="clear" w:color="auto" w:fill="auto"/>
            <w:vAlign w:val="center"/>
          </w:tcPr>
          <w:p w:rsidR="005B0846" w:rsidRPr="00245D84" w:rsidRDefault="00245D84" w:rsidP="005B0846">
            <w:pPr>
              <w:rPr>
                <w:rFonts w:ascii="ITC Avant Garde" w:hAnsi="ITC Avant Garde" w:cs="Arial"/>
                <w:color w:val="000000"/>
                <w:sz w:val="16"/>
                <w:szCs w:val="16"/>
                <w:lang w:val="es-MX"/>
              </w:rPr>
            </w:pPr>
            <w:r w:rsidRPr="00245D84">
              <w:rPr>
                <w:rFonts w:ascii="ITC Avant Garde" w:hAnsi="ITC Avant Garde" w:cs="Arial"/>
                <w:color w:val="000000"/>
                <w:sz w:val="16"/>
                <w:szCs w:val="16"/>
                <w:lang w:val="es-MX"/>
              </w:rPr>
              <w:t>Número de pos</w:t>
            </w:r>
            <w:r>
              <w:rPr>
                <w:rFonts w:ascii="ITC Avant Garde" w:hAnsi="ITC Avant Garde" w:cs="Arial"/>
                <w:color w:val="000000"/>
                <w:sz w:val="16"/>
                <w:szCs w:val="16"/>
                <w:lang w:val="es-MX"/>
              </w:rPr>
              <w:t>tes</w:t>
            </w:r>
            <w:r w:rsidRPr="00245D84">
              <w:rPr>
                <w:rFonts w:ascii="ITC Avant Garde" w:hAnsi="ITC Avant Garde" w:cs="Arial"/>
                <w:color w:val="000000"/>
                <w:sz w:val="16"/>
                <w:szCs w:val="16"/>
                <w:lang w:val="es-MX"/>
              </w:rPr>
              <w:t xml:space="preserve"> cuya capacidad máxima </w:t>
            </w:r>
            <w:r w:rsidR="008D78BD" w:rsidRPr="00245D84">
              <w:rPr>
                <w:rFonts w:ascii="ITC Avant Garde" w:hAnsi="ITC Avant Garde" w:cs="Arial"/>
                <w:color w:val="000000"/>
                <w:sz w:val="16"/>
                <w:szCs w:val="16"/>
                <w:lang w:val="es-MX"/>
              </w:rPr>
              <w:t xml:space="preserve">es </w:t>
            </w:r>
            <w:proofErr w:type="spellStart"/>
            <w:r w:rsidR="008D78BD" w:rsidRPr="00245D84">
              <w:rPr>
                <w:rFonts w:ascii="ITC Avant Garde" w:hAnsi="ITC Avant Garde" w:cs="Arial"/>
                <w:color w:val="000000"/>
                <w:sz w:val="16"/>
                <w:szCs w:val="16"/>
                <w:lang w:val="es-MX"/>
              </w:rPr>
              <w:t>MaxPoleCapa</w:t>
            </w:r>
            <w:proofErr w:type="spellEnd"/>
            <w:r w:rsidR="005B0846" w:rsidRPr="00245D84">
              <w:rPr>
                <w:rFonts w:ascii="ITC Avant Garde" w:hAnsi="ITC Avant Garde" w:cs="Arial"/>
                <w:color w:val="000000"/>
                <w:sz w:val="16"/>
                <w:szCs w:val="16"/>
                <w:lang w:val="es-MX"/>
              </w:rPr>
              <w:t xml:space="preserve"> </w:t>
            </w:r>
            <w:r>
              <w:rPr>
                <w:rFonts w:ascii="ITC Avant Garde" w:hAnsi="ITC Avant Garde" w:cs="Arial"/>
                <w:color w:val="000000"/>
                <w:sz w:val="16"/>
                <w:szCs w:val="16"/>
                <w:lang w:val="es-MX"/>
              </w:rPr>
              <w:t>y</w:t>
            </w:r>
            <w:r w:rsidRPr="00245D84">
              <w:rPr>
                <w:lang w:val="es-MX"/>
              </w:rPr>
              <w:t xml:space="preserve"> </w:t>
            </w:r>
            <w:r>
              <w:rPr>
                <w:rFonts w:ascii="ITC Avant Garde" w:hAnsi="ITC Avant Garde" w:cs="Arial"/>
                <w:color w:val="000000"/>
                <w:sz w:val="16"/>
                <w:szCs w:val="16"/>
                <w:lang w:val="es-MX"/>
              </w:rPr>
              <w:t xml:space="preserve">que se encuentran </w:t>
            </w:r>
            <w:r w:rsidRPr="00245D84">
              <w:rPr>
                <w:rFonts w:ascii="ITC Avant Garde" w:hAnsi="ITC Avant Garde" w:cs="Arial"/>
                <w:color w:val="000000"/>
                <w:sz w:val="16"/>
                <w:szCs w:val="16"/>
                <w:lang w:val="es-MX"/>
              </w:rPr>
              <w:t>en la red aérea</w:t>
            </w:r>
            <w:r w:rsidR="005B0846" w:rsidRPr="00245D84">
              <w:rPr>
                <w:rFonts w:ascii="ITC Avant Garde" w:hAnsi="ITC Avant Garde" w:cs="Arial"/>
                <w:color w:val="000000"/>
                <w:sz w:val="16"/>
                <w:szCs w:val="16"/>
                <w:lang w:val="es-MX"/>
              </w:rPr>
              <w:t xml:space="preserve">. </w:t>
            </w:r>
            <w:r w:rsidRPr="00245D84">
              <w:rPr>
                <w:lang w:val="es-MX"/>
              </w:rPr>
              <w:t xml:space="preserve"> </w:t>
            </w:r>
            <w:r w:rsidR="008D78BD">
              <w:rPr>
                <w:rFonts w:ascii="ITC Avant Garde" w:hAnsi="ITC Avant Garde" w:cs="Arial"/>
                <w:color w:val="000000"/>
                <w:sz w:val="16"/>
                <w:szCs w:val="16"/>
                <w:lang w:val="es-MX"/>
              </w:rPr>
              <w:t>La</w:t>
            </w:r>
            <w:r w:rsidRPr="00245D84">
              <w:rPr>
                <w:rFonts w:ascii="ITC Avant Garde" w:hAnsi="ITC Avant Garde" w:cs="Arial"/>
                <w:color w:val="000000"/>
                <w:sz w:val="16"/>
                <w:szCs w:val="16"/>
                <w:lang w:val="es-MX"/>
              </w:rPr>
              <w:t xml:space="preserve"> capacidad máxima </w:t>
            </w:r>
            <w:proofErr w:type="spellStart"/>
            <w:r w:rsidRPr="00245D84">
              <w:rPr>
                <w:rFonts w:ascii="ITC Avant Garde" w:hAnsi="ITC Avant Garde" w:cs="Arial"/>
                <w:color w:val="000000"/>
                <w:sz w:val="16"/>
                <w:szCs w:val="16"/>
                <w:lang w:val="es-MX"/>
              </w:rPr>
              <w:t>aéreaes</w:t>
            </w:r>
            <w:proofErr w:type="spellEnd"/>
            <w:r w:rsidRPr="00245D84">
              <w:rPr>
                <w:rFonts w:ascii="ITC Avant Garde" w:hAnsi="ITC Avant Garde" w:cs="Arial"/>
                <w:color w:val="000000"/>
                <w:sz w:val="16"/>
                <w:szCs w:val="16"/>
                <w:lang w:val="es-MX"/>
              </w:rPr>
              <w:t xml:space="preserve"> el </w:t>
            </w:r>
            <w:proofErr w:type="spellStart"/>
            <w:r w:rsidRPr="00245D84">
              <w:rPr>
                <w:rFonts w:ascii="ITC Avant Garde" w:hAnsi="ITC Avant Garde" w:cs="Arial"/>
                <w:color w:val="000000"/>
                <w:sz w:val="16"/>
                <w:szCs w:val="16"/>
                <w:lang w:val="es-MX"/>
              </w:rPr>
              <w:t>product</w:t>
            </w:r>
            <w:proofErr w:type="spellEnd"/>
            <w:r w:rsidRPr="00245D84">
              <w:rPr>
                <w:rFonts w:ascii="ITC Avant Garde" w:hAnsi="ITC Avant Garde" w:cs="Arial"/>
                <w:color w:val="000000"/>
                <w:sz w:val="16"/>
                <w:szCs w:val="16"/>
                <w:lang w:val="es-MX"/>
              </w:rPr>
              <w:t xml:space="preserve"> de ambos parámetros</w:t>
            </w:r>
            <w:r w:rsidRPr="00245D84" w:rsidDel="00245D84">
              <w:rPr>
                <w:rFonts w:ascii="ITC Avant Garde" w:hAnsi="ITC Avant Garde" w:cs="Arial"/>
                <w:color w:val="000000"/>
                <w:sz w:val="16"/>
                <w:szCs w:val="16"/>
                <w:lang w:val="es-MX"/>
              </w:rPr>
              <w:t xml:space="preserve"> </w:t>
            </w:r>
          </w:p>
        </w:tc>
        <w:tc>
          <w:tcPr>
            <w:tcW w:w="3323" w:type="dxa"/>
            <w:vAlign w:val="center"/>
          </w:tcPr>
          <w:p w:rsidR="00245D84" w:rsidRPr="00245D84" w:rsidRDefault="00245D84" w:rsidP="00245D84">
            <w:pPr>
              <w:rPr>
                <w:rFonts w:ascii="ITC Avant Garde" w:hAnsi="ITC Avant Garde" w:cs="Arial"/>
                <w:color w:val="000000"/>
                <w:sz w:val="16"/>
                <w:szCs w:val="16"/>
                <w:lang w:val="es-MX"/>
              </w:rPr>
            </w:pPr>
            <w:r w:rsidRPr="00245D84">
              <w:rPr>
                <w:rFonts w:ascii="ITC Avant Garde" w:hAnsi="ITC Avant Garde" w:cs="Arial"/>
                <w:color w:val="000000"/>
                <w:sz w:val="16"/>
                <w:szCs w:val="16"/>
                <w:lang w:val="es-MX"/>
              </w:rPr>
              <w:t>El número máximo de po</w:t>
            </w:r>
            <w:r>
              <w:rPr>
                <w:rFonts w:ascii="ITC Avant Garde" w:hAnsi="ITC Avant Garde" w:cs="Arial"/>
                <w:color w:val="000000"/>
                <w:sz w:val="16"/>
                <w:szCs w:val="16"/>
                <w:lang w:val="es-MX"/>
              </w:rPr>
              <w:t>stes</w:t>
            </w:r>
            <w:r w:rsidRPr="00245D84">
              <w:rPr>
                <w:rFonts w:ascii="ITC Avant Garde" w:hAnsi="ITC Avant Garde" w:cs="Arial"/>
                <w:color w:val="000000"/>
                <w:sz w:val="16"/>
                <w:szCs w:val="16"/>
                <w:lang w:val="es-MX"/>
              </w:rPr>
              <w:t xml:space="preserve"> que tienen la capacidad "</w:t>
            </w:r>
            <w:proofErr w:type="spellStart"/>
            <w:r w:rsidRPr="00245D84">
              <w:rPr>
                <w:rFonts w:ascii="ITC Avant Garde" w:hAnsi="ITC Avant Garde" w:cs="Arial"/>
                <w:color w:val="000000"/>
                <w:sz w:val="16"/>
                <w:szCs w:val="16"/>
                <w:lang w:val="es-MX"/>
              </w:rPr>
              <w:t>MaxPoleCapa</w:t>
            </w:r>
            <w:proofErr w:type="spellEnd"/>
            <w:r w:rsidRPr="00245D84">
              <w:rPr>
                <w:rFonts w:ascii="ITC Avant Garde" w:hAnsi="ITC Avant Garde" w:cs="Arial"/>
                <w:color w:val="000000"/>
                <w:sz w:val="16"/>
                <w:szCs w:val="16"/>
                <w:lang w:val="es-MX"/>
              </w:rPr>
              <w:t>" que podrían admitir los postes de Telmex.</w:t>
            </w:r>
          </w:p>
          <w:p w:rsidR="005B0846" w:rsidRPr="00245D84" w:rsidRDefault="00245D84" w:rsidP="005B0846">
            <w:pPr>
              <w:rPr>
                <w:rFonts w:ascii="ITC Avant Garde" w:hAnsi="ITC Avant Garde" w:cs="Arial"/>
                <w:color w:val="000000"/>
                <w:sz w:val="16"/>
                <w:szCs w:val="16"/>
                <w:lang w:val="es-MX"/>
              </w:rPr>
            </w:pPr>
            <w:r w:rsidRPr="00245D84">
              <w:rPr>
                <w:rFonts w:ascii="ITC Avant Garde" w:hAnsi="ITC Avant Garde" w:cs="Arial"/>
                <w:color w:val="000000"/>
                <w:sz w:val="16"/>
                <w:szCs w:val="16"/>
                <w:lang w:val="es-MX"/>
              </w:rPr>
              <w:t>Este parámetro se establece en 144 para fibra y 150 para cobre.</w:t>
            </w:r>
          </w:p>
        </w:tc>
      </w:tr>
      <w:tr w:rsidR="005B0846" w:rsidRPr="00F906F3" w:rsidTr="006B1555">
        <w:tc>
          <w:tcPr>
            <w:tcW w:w="2203" w:type="dxa"/>
            <w:shd w:val="clear" w:color="auto" w:fill="auto"/>
            <w:vAlign w:val="center"/>
          </w:tcPr>
          <w:p w:rsidR="005B0846" w:rsidRPr="00872052" w:rsidRDefault="005B0846" w:rsidP="005B0846">
            <w:pPr>
              <w:rPr>
                <w:rFonts w:ascii="ITC Avant Garde" w:hAnsi="ITC Avant Garde" w:cs="Arial"/>
                <w:color w:val="000000"/>
                <w:sz w:val="16"/>
                <w:szCs w:val="16"/>
                <w:lang w:val="es-MX"/>
              </w:rPr>
            </w:pPr>
            <w:proofErr w:type="spellStart"/>
            <w:r w:rsidRPr="00872052">
              <w:rPr>
                <w:rFonts w:ascii="ITC Avant Garde" w:hAnsi="ITC Avant Garde" w:cs="Arial"/>
                <w:color w:val="000000"/>
                <w:sz w:val="16"/>
                <w:szCs w:val="16"/>
                <w:lang w:val="es-MX"/>
              </w:rPr>
              <w:t>MaxPoleCapa</w:t>
            </w:r>
            <w:proofErr w:type="spellEnd"/>
          </w:p>
        </w:tc>
        <w:tc>
          <w:tcPr>
            <w:tcW w:w="2967" w:type="dxa"/>
            <w:shd w:val="clear" w:color="auto" w:fill="auto"/>
            <w:vAlign w:val="center"/>
          </w:tcPr>
          <w:p w:rsidR="005B0846" w:rsidRPr="00245D84" w:rsidRDefault="00245D84" w:rsidP="005B0846">
            <w:pPr>
              <w:rPr>
                <w:rFonts w:ascii="ITC Avant Garde" w:hAnsi="ITC Avant Garde" w:cs="Arial"/>
                <w:color w:val="000000"/>
                <w:sz w:val="16"/>
                <w:szCs w:val="16"/>
                <w:lang w:val="es-MX"/>
              </w:rPr>
            </w:pPr>
            <w:r w:rsidRPr="00245D84">
              <w:rPr>
                <w:rFonts w:ascii="ITC Avant Garde" w:hAnsi="ITC Avant Garde" w:cs="Arial"/>
                <w:color w:val="000000"/>
                <w:sz w:val="16"/>
                <w:szCs w:val="16"/>
                <w:lang w:val="es-MX"/>
              </w:rPr>
              <w:t xml:space="preserve">El tamaño máximo de un cable que podría ser </w:t>
            </w:r>
            <w:r>
              <w:rPr>
                <w:rFonts w:ascii="ITC Avant Garde" w:hAnsi="ITC Avant Garde" w:cs="Arial"/>
                <w:color w:val="000000"/>
                <w:sz w:val="16"/>
                <w:szCs w:val="16"/>
                <w:lang w:val="es-MX"/>
              </w:rPr>
              <w:t>soportado</w:t>
            </w:r>
            <w:r w:rsidRPr="00245D84">
              <w:rPr>
                <w:rFonts w:ascii="ITC Avant Garde" w:hAnsi="ITC Avant Garde" w:cs="Arial"/>
                <w:color w:val="000000"/>
                <w:sz w:val="16"/>
                <w:szCs w:val="16"/>
                <w:lang w:val="es-MX"/>
              </w:rPr>
              <w:t xml:space="preserve"> </w:t>
            </w:r>
            <w:r>
              <w:rPr>
                <w:rFonts w:ascii="ITC Avant Garde" w:hAnsi="ITC Avant Garde" w:cs="Arial"/>
                <w:color w:val="000000"/>
                <w:sz w:val="16"/>
                <w:szCs w:val="16"/>
                <w:lang w:val="es-MX"/>
              </w:rPr>
              <w:t>en</w:t>
            </w:r>
            <w:r w:rsidRPr="00245D84">
              <w:rPr>
                <w:rFonts w:ascii="ITC Avant Garde" w:hAnsi="ITC Avant Garde" w:cs="Arial"/>
                <w:color w:val="000000"/>
                <w:sz w:val="16"/>
                <w:szCs w:val="16"/>
                <w:lang w:val="es-MX"/>
              </w:rPr>
              <w:t xml:space="preserve"> la red aérea</w:t>
            </w:r>
          </w:p>
        </w:tc>
        <w:tc>
          <w:tcPr>
            <w:tcW w:w="3323" w:type="dxa"/>
            <w:vAlign w:val="center"/>
          </w:tcPr>
          <w:p w:rsidR="005B0846" w:rsidRPr="00245D84" w:rsidRDefault="00245D84" w:rsidP="005B0846">
            <w:pPr>
              <w:rPr>
                <w:rFonts w:ascii="ITC Avant Garde" w:hAnsi="ITC Avant Garde" w:cs="Arial"/>
                <w:color w:val="000000"/>
                <w:sz w:val="16"/>
                <w:szCs w:val="16"/>
                <w:lang w:val="es-MX"/>
              </w:rPr>
            </w:pPr>
            <w:r w:rsidRPr="00245D84">
              <w:rPr>
                <w:lang w:val="es-MX"/>
              </w:rPr>
              <w:t xml:space="preserve"> </w:t>
            </w:r>
            <w:r w:rsidRPr="00245D84">
              <w:rPr>
                <w:rFonts w:ascii="ITC Avant Garde" w:hAnsi="ITC Avant Garde" w:cs="Arial"/>
                <w:color w:val="000000"/>
                <w:sz w:val="16"/>
                <w:szCs w:val="16"/>
                <w:lang w:val="es-MX"/>
              </w:rPr>
              <w:t>Este parámetro se establece en 2 para ambos escenarios.</w:t>
            </w:r>
          </w:p>
        </w:tc>
      </w:tr>
    </w:tbl>
    <w:p w:rsidR="000179E6" w:rsidRPr="00872052" w:rsidRDefault="00747B91" w:rsidP="000179E6">
      <w:pPr>
        <w:rPr>
          <w:rFonts w:ascii="ITC Avant Garde" w:hAnsi="ITC Avant Garde"/>
          <w:lang w:val="es-MX"/>
        </w:rPr>
      </w:pPr>
      <w:r w:rsidRPr="00245D84">
        <w:rPr>
          <w:lang w:val="es-MX"/>
        </w:rPr>
        <w:br/>
      </w:r>
      <w:r w:rsidR="000179E6" w:rsidRPr="00872052">
        <w:rPr>
          <w:rFonts w:ascii="ITC Avant Garde" w:hAnsi="ITC Avant Garde"/>
          <w:lang w:val="es-MX"/>
        </w:rPr>
        <w:t>Por otro lado, los parámetros integrados en la tabla "</w:t>
      </w:r>
      <w:proofErr w:type="spellStart"/>
      <w:r w:rsidR="000179E6" w:rsidRPr="00872052">
        <w:rPr>
          <w:rFonts w:ascii="ITC Avant Garde" w:hAnsi="ITC Avant Garde"/>
          <w:lang w:val="es-MX"/>
        </w:rPr>
        <w:t>Parameters_Technical</w:t>
      </w:r>
      <w:proofErr w:type="spellEnd"/>
      <w:r w:rsidR="000179E6" w:rsidRPr="00872052">
        <w:rPr>
          <w:rFonts w:ascii="ITC Avant Garde" w:hAnsi="ITC Avant Garde"/>
          <w:lang w:val="es-MX"/>
        </w:rPr>
        <w:t>" son los siguientes:</w:t>
      </w:r>
    </w:p>
    <w:p w:rsidR="002951CD" w:rsidRPr="00872052" w:rsidRDefault="002951CD" w:rsidP="005B0846">
      <w:pPr>
        <w:rPr>
          <w:rFonts w:ascii="ITC Avant Garde" w:hAnsi="ITC Avant Garde"/>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0"/>
        <w:gridCol w:w="2974"/>
        <w:gridCol w:w="3330"/>
      </w:tblGrid>
      <w:tr w:rsidR="002951CD" w:rsidRPr="004B276B" w:rsidTr="005B0846">
        <w:trPr>
          <w:tblHeader/>
          <w:jc w:val="center"/>
        </w:trPr>
        <w:tc>
          <w:tcPr>
            <w:tcW w:w="2405" w:type="dxa"/>
            <w:shd w:val="clear" w:color="auto" w:fill="2F5897" w:themeFill="text2"/>
            <w:vAlign w:val="bottom"/>
          </w:tcPr>
          <w:p w:rsidR="002951CD" w:rsidRPr="00872052" w:rsidRDefault="006F2D89" w:rsidP="002951CD">
            <w:pPr>
              <w:keepNext/>
              <w:jc w:val="center"/>
              <w:rPr>
                <w:rFonts w:ascii="ITC Avant Garde" w:hAnsi="ITC Avant Garde" w:cs="Arial"/>
                <w:b/>
                <w:color w:val="FFFFFF"/>
                <w:sz w:val="16"/>
                <w:lang w:val="es-MX"/>
              </w:rPr>
            </w:pPr>
            <w:r>
              <w:rPr>
                <w:rFonts w:ascii="ITC Avant Garde" w:hAnsi="ITC Avant Garde" w:cs="Arial"/>
                <w:b/>
                <w:color w:val="FFFFFF"/>
                <w:sz w:val="16"/>
                <w:szCs w:val="22"/>
                <w:lang w:val="es-MX"/>
              </w:rPr>
              <w:t>Nombre del parámetro</w:t>
            </w:r>
          </w:p>
        </w:tc>
        <w:tc>
          <w:tcPr>
            <w:tcW w:w="3275" w:type="dxa"/>
            <w:shd w:val="clear" w:color="auto" w:fill="2F5897" w:themeFill="text2"/>
            <w:vAlign w:val="bottom"/>
          </w:tcPr>
          <w:p w:rsidR="002951CD" w:rsidRPr="00872052" w:rsidRDefault="005B0846" w:rsidP="002951CD">
            <w:pPr>
              <w:keepNext/>
              <w:jc w:val="center"/>
              <w:rPr>
                <w:rFonts w:ascii="ITC Avant Garde" w:hAnsi="ITC Avant Garde" w:cs="Arial"/>
                <w:b/>
                <w:color w:val="FFFFFF"/>
                <w:sz w:val="16"/>
                <w:lang w:val="es-MX"/>
              </w:rPr>
            </w:pPr>
            <w:proofErr w:type="spellStart"/>
            <w:r w:rsidRPr="00872052">
              <w:rPr>
                <w:rFonts w:ascii="ITC Avant Garde" w:hAnsi="ITC Avant Garde" w:cs="Arial"/>
                <w:b/>
                <w:color w:val="FFFFFF"/>
                <w:sz w:val="16"/>
                <w:szCs w:val="22"/>
                <w:lang w:val="es-MX"/>
              </w:rPr>
              <w:t>Descrip</w:t>
            </w:r>
            <w:r w:rsidR="006F2D89">
              <w:rPr>
                <w:rFonts w:ascii="ITC Avant Garde" w:hAnsi="ITC Avant Garde" w:cs="Arial"/>
                <w:b/>
                <w:color w:val="FFFFFF"/>
                <w:sz w:val="16"/>
                <w:szCs w:val="22"/>
                <w:lang w:val="es-MX"/>
              </w:rPr>
              <w:t>có</w:t>
            </w:r>
            <w:r w:rsidRPr="00872052">
              <w:rPr>
                <w:rFonts w:ascii="ITC Avant Garde" w:hAnsi="ITC Avant Garde" w:cs="Arial"/>
                <w:b/>
                <w:color w:val="FFFFFF"/>
                <w:sz w:val="16"/>
                <w:szCs w:val="22"/>
                <w:lang w:val="es-MX"/>
              </w:rPr>
              <w:t>n</w:t>
            </w:r>
            <w:proofErr w:type="spellEnd"/>
          </w:p>
        </w:tc>
        <w:tc>
          <w:tcPr>
            <w:tcW w:w="3671" w:type="dxa"/>
            <w:shd w:val="clear" w:color="auto" w:fill="2F5897" w:themeFill="text2"/>
          </w:tcPr>
          <w:p w:rsidR="002951CD" w:rsidRPr="00872052" w:rsidRDefault="006F2D89" w:rsidP="002951CD">
            <w:pPr>
              <w:keepNext/>
              <w:jc w:val="center"/>
              <w:rPr>
                <w:rFonts w:ascii="ITC Avant Garde" w:hAnsi="ITC Avant Garde" w:cs="Arial"/>
                <w:b/>
                <w:color w:val="FFFFFF"/>
                <w:sz w:val="16"/>
                <w:szCs w:val="22"/>
                <w:lang w:val="es-MX"/>
              </w:rPr>
            </w:pPr>
            <w:r>
              <w:rPr>
                <w:rFonts w:ascii="ITC Avant Garde" w:hAnsi="ITC Avant Garde" w:cs="Arial"/>
                <w:b/>
                <w:color w:val="FFFFFF"/>
                <w:sz w:val="16"/>
                <w:szCs w:val="22"/>
                <w:lang w:val="es-MX"/>
              </w:rPr>
              <w:t>Valores</w:t>
            </w:r>
          </w:p>
        </w:tc>
      </w:tr>
      <w:tr w:rsidR="002951CD" w:rsidRPr="00F906F3" w:rsidTr="00541C1A">
        <w:trPr>
          <w:jc w:val="center"/>
        </w:trPr>
        <w:tc>
          <w:tcPr>
            <w:tcW w:w="2405" w:type="dxa"/>
            <w:shd w:val="clear" w:color="auto" w:fill="auto"/>
            <w:vAlign w:val="center"/>
          </w:tcPr>
          <w:p w:rsidR="002951CD" w:rsidRPr="00872052" w:rsidRDefault="002951CD" w:rsidP="00541C1A">
            <w:pPr>
              <w:keepNext/>
              <w:jc w:val="center"/>
              <w:rPr>
                <w:rFonts w:ascii="ITC Avant Garde" w:hAnsi="ITC Avant Garde" w:cs="Arial"/>
                <w:sz w:val="16"/>
                <w:lang w:val="es-MX"/>
              </w:rPr>
            </w:pPr>
            <w:proofErr w:type="spellStart"/>
            <w:r w:rsidRPr="00872052">
              <w:rPr>
                <w:rFonts w:ascii="ITC Avant Garde" w:hAnsi="ITC Avant Garde" w:cs="Arial"/>
                <w:color w:val="000000"/>
                <w:sz w:val="16"/>
                <w:szCs w:val="22"/>
                <w:lang w:val="es-MX"/>
              </w:rPr>
              <w:t>MarkUp_Aerial_Cables</w:t>
            </w:r>
            <w:proofErr w:type="spellEnd"/>
          </w:p>
        </w:tc>
        <w:tc>
          <w:tcPr>
            <w:tcW w:w="3275" w:type="dxa"/>
            <w:shd w:val="clear" w:color="auto" w:fill="auto"/>
            <w:vAlign w:val="bottom"/>
          </w:tcPr>
          <w:p w:rsidR="002951CD" w:rsidRPr="00872052" w:rsidRDefault="002951CD" w:rsidP="002951CD">
            <w:pPr>
              <w:keepNext/>
              <w:rPr>
                <w:rFonts w:ascii="ITC Avant Garde" w:hAnsi="ITC Avant Garde" w:cs="Arial"/>
                <w:sz w:val="16"/>
                <w:lang w:val="es-MX"/>
              </w:rPr>
            </w:pPr>
            <w:r w:rsidRPr="00872052">
              <w:rPr>
                <w:rFonts w:ascii="ITC Avant Garde" w:hAnsi="ITC Avant Garde"/>
                <w:sz w:val="16"/>
                <w:lang w:val="es-MX"/>
              </w:rPr>
              <w:t>Este parámetro se utiliza como un marcado para que la toma aérea tenga en cuenta la longitud adicional debida a la curvatura de los cables aéreos.</w:t>
            </w:r>
          </w:p>
        </w:tc>
        <w:tc>
          <w:tcPr>
            <w:tcW w:w="3671" w:type="dxa"/>
          </w:tcPr>
          <w:p w:rsidR="002951CD" w:rsidRPr="00872052" w:rsidRDefault="002951CD" w:rsidP="002951CD">
            <w:pPr>
              <w:rPr>
                <w:rFonts w:ascii="ITC Avant Garde" w:hAnsi="ITC Avant Garde"/>
                <w:sz w:val="16"/>
                <w:lang w:val="es-MX"/>
              </w:rPr>
            </w:pPr>
            <w:r w:rsidRPr="00872052">
              <w:rPr>
                <w:rFonts w:ascii="ITC Avant Garde" w:hAnsi="ITC Avant Garde"/>
                <w:sz w:val="16"/>
                <w:lang w:val="es-MX"/>
              </w:rPr>
              <w:t>Como lo expresó Telmex en sus respuestas, se debe agregar un 3</w:t>
            </w:r>
            <w:r w:rsidR="00042245">
              <w:rPr>
                <w:rFonts w:ascii="ITC Avant Garde" w:hAnsi="ITC Avant Garde"/>
                <w:sz w:val="16"/>
                <w:lang w:val="es-MX"/>
              </w:rPr>
              <w:t>.</w:t>
            </w:r>
            <w:r w:rsidRPr="00872052">
              <w:rPr>
                <w:rFonts w:ascii="ITC Avant Garde" w:hAnsi="ITC Avant Garde"/>
                <w:sz w:val="16"/>
                <w:lang w:val="es-MX"/>
              </w:rPr>
              <w:t>5% de longitud adicional a los cables aéreos.</w:t>
            </w:r>
          </w:p>
          <w:p w:rsidR="002951CD" w:rsidRPr="00872052" w:rsidRDefault="002951CD" w:rsidP="002951CD">
            <w:pPr>
              <w:keepNext/>
              <w:rPr>
                <w:rFonts w:ascii="ITC Avant Garde" w:hAnsi="ITC Avant Garde" w:cs="Arial"/>
                <w:color w:val="000000"/>
                <w:sz w:val="16"/>
                <w:szCs w:val="22"/>
                <w:lang w:val="es-MX"/>
              </w:rPr>
            </w:pPr>
            <w:r w:rsidRPr="00872052">
              <w:rPr>
                <w:rFonts w:ascii="ITC Avant Garde" w:hAnsi="ITC Avant Garde"/>
                <w:sz w:val="16"/>
                <w:lang w:val="es-MX"/>
              </w:rPr>
              <w:t>Por lo tanto, este parámetro se ha establecido en 1,035 para ambas redes</w:t>
            </w:r>
          </w:p>
        </w:tc>
      </w:tr>
      <w:tr w:rsidR="002951CD" w:rsidRPr="00F906F3" w:rsidTr="00541C1A">
        <w:trPr>
          <w:jc w:val="center"/>
        </w:trPr>
        <w:tc>
          <w:tcPr>
            <w:tcW w:w="2405" w:type="dxa"/>
            <w:shd w:val="clear" w:color="auto" w:fill="auto"/>
            <w:vAlign w:val="center"/>
          </w:tcPr>
          <w:p w:rsidR="002951CD" w:rsidRPr="00872052" w:rsidRDefault="002951CD" w:rsidP="00541C1A">
            <w:pPr>
              <w:keepNext/>
              <w:jc w:val="center"/>
              <w:rPr>
                <w:rFonts w:ascii="ITC Avant Garde" w:hAnsi="ITC Avant Garde" w:cs="Arial"/>
                <w:sz w:val="16"/>
                <w:lang w:val="es-MX"/>
              </w:rPr>
            </w:pPr>
            <w:proofErr w:type="spellStart"/>
            <w:r w:rsidRPr="00872052">
              <w:rPr>
                <w:rFonts w:ascii="ITC Avant Garde" w:hAnsi="ITC Avant Garde" w:cs="Arial"/>
                <w:color w:val="000000"/>
                <w:sz w:val="16"/>
                <w:szCs w:val="22"/>
                <w:lang w:val="es-MX"/>
              </w:rPr>
              <w:t>Canalizaciones_MaxFill</w:t>
            </w:r>
            <w:proofErr w:type="spellEnd"/>
          </w:p>
        </w:tc>
        <w:tc>
          <w:tcPr>
            <w:tcW w:w="3275" w:type="dxa"/>
            <w:shd w:val="clear" w:color="auto" w:fill="auto"/>
            <w:vAlign w:val="bottom"/>
          </w:tcPr>
          <w:p w:rsidR="002951CD" w:rsidRPr="00872052" w:rsidRDefault="002951CD" w:rsidP="002951CD">
            <w:pPr>
              <w:keepNext/>
              <w:rPr>
                <w:rFonts w:ascii="ITC Avant Garde" w:hAnsi="ITC Avant Garde" w:cs="Arial"/>
                <w:sz w:val="16"/>
                <w:lang w:val="es-MX"/>
              </w:rPr>
            </w:pPr>
            <w:r w:rsidRPr="00872052">
              <w:rPr>
                <w:rFonts w:ascii="ITC Avant Garde" w:hAnsi="ITC Avant Garde"/>
                <w:sz w:val="16"/>
                <w:lang w:val="es-MX"/>
              </w:rPr>
              <w:t>La máxima superficie interior de canalizaciones que se puede rellenar con cables antes de agregar un segundo cable</w:t>
            </w:r>
          </w:p>
        </w:tc>
        <w:tc>
          <w:tcPr>
            <w:tcW w:w="3671" w:type="dxa"/>
          </w:tcPr>
          <w:p w:rsidR="002951CD" w:rsidRPr="00872052" w:rsidRDefault="002951CD" w:rsidP="002951CD">
            <w:pPr>
              <w:keepNext/>
              <w:rPr>
                <w:rFonts w:ascii="ITC Avant Garde" w:hAnsi="ITC Avant Garde" w:cs="Arial"/>
                <w:color w:val="000000"/>
                <w:sz w:val="16"/>
                <w:szCs w:val="22"/>
                <w:lang w:val="es-MX"/>
              </w:rPr>
            </w:pPr>
            <w:r w:rsidRPr="00872052">
              <w:rPr>
                <w:rFonts w:ascii="ITC Avant Garde" w:hAnsi="ITC Avant Garde"/>
                <w:sz w:val="16"/>
                <w:lang w:val="es-MX"/>
              </w:rPr>
              <w:t>Este parámetro se ha configurado en 0.75.</w:t>
            </w:r>
          </w:p>
        </w:tc>
      </w:tr>
      <w:tr w:rsidR="002951CD" w:rsidRPr="00F906F3" w:rsidTr="00541C1A">
        <w:trPr>
          <w:jc w:val="center"/>
        </w:trPr>
        <w:tc>
          <w:tcPr>
            <w:tcW w:w="2405" w:type="dxa"/>
            <w:shd w:val="clear" w:color="auto" w:fill="auto"/>
            <w:vAlign w:val="center"/>
          </w:tcPr>
          <w:p w:rsidR="002951CD" w:rsidRPr="00872052" w:rsidRDefault="002951CD" w:rsidP="00541C1A">
            <w:pPr>
              <w:keepNext/>
              <w:jc w:val="center"/>
              <w:rPr>
                <w:rFonts w:ascii="ITC Avant Garde" w:hAnsi="ITC Avant Garde" w:cs="Arial"/>
                <w:sz w:val="16"/>
                <w:lang w:val="es-MX"/>
              </w:rPr>
            </w:pPr>
            <w:proofErr w:type="spellStart"/>
            <w:r w:rsidRPr="00872052">
              <w:rPr>
                <w:rFonts w:ascii="ITC Avant Garde" w:hAnsi="ITC Avant Garde" w:cs="Arial"/>
                <w:color w:val="000000"/>
                <w:sz w:val="16"/>
                <w:szCs w:val="22"/>
                <w:lang w:val="es-MX"/>
              </w:rPr>
              <w:t>Ducts_MaxFill</w:t>
            </w:r>
            <w:proofErr w:type="spellEnd"/>
          </w:p>
        </w:tc>
        <w:tc>
          <w:tcPr>
            <w:tcW w:w="3275" w:type="dxa"/>
            <w:shd w:val="clear" w:color="auto" w:fill="auto"/>
            <w:vAlign w:val="bottom"/>
          </w:tcPr>
          <w:p w:rsidR="002951CD" w:rsidRPr="00872052" w:rsidRDefault="002951CD" w:rsidP="002951CD">
            <w:pPr>
              <w:keepNext/>
              <w:rPr>
                <w:rFonts w:ascii="ITC Avant Garde" w:hAnsi="ITC Avant Garde" w:cs="Arial"/>
                <w:sz w:val="16"/>
                <w:lang w:val="es-MX"/>
              </w:rPr>
            </w:pPr>
            <w:r w:rsidRPr="00872052">
              <w:rPr>
                <w:rFonts w:ascii="ITC Avant Garde" w:hAnsi="ITC Avant Garde"/>
                <w:sz w:val="16"/>
                <w:lang w:val="es-MX"/>
              </w:rPr>
              <w:t>La superficie interna máxima de los conductos que pueden llenarse con cables antes de agregar un segundo cable.</w:t>
            </w:r>
          </w:p>
        </w:tc>
        <w:tc>
          <w:tcPr>
            <w:tcW w:w="3671" w:type="dxa"/>
          </w:tcPr>
          <w:p w:rsidR="002951CD" w:rsidRPr="00872052" w:rsidRDefault="002951CD" w:rsidP="002951CD">
            <w:pPr>
              <w:keepNext/>
              <w:rPr>
                <w:rFonts w:ascii="ITC Avant Garde" w:hAnsi="ITC Avant Garde" w:cs="Arial"/>
                <w:color w:val="000000"/>
                <w:sz w:val="16"/>
                <w:szCs w:val="22"/>
                <w:lang w:val="es-MX"/>
              </w:rPr>
            </w:pPr>
            <w:r w:rsidRPr="00872052">
              <w:rPr>
                <w:rFonts w:ascii="ITC Avant Garde" w:hAnsi="ITC Avant Garde"/>
                <w:sz w:val="16"/>
                <w:lang w:val="es-MX"/>
              </w:rPr>
              <w:t>Este parámetro se ha establecido en 0.75.</w:t>
            </w:r>
          </w:p>
        </w:tc>
      </w:tr>
      <w:tr w:rsidR="002951CD" w:rsidRPr="00F906F3" w:rsidTr="00541C1A">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2951CD" w:rsidRPr="00872052" w:rsidRDefault="002951CD" w:rsidP="00541C1A">
            <w:pPr>
              <w:keepNext/>
              <w:jc w:val="center"/>
              <w:rPr>
                <w:rFonts w:ascii="ITC Avant Garde" w:hAnsi="ITC Avant Garde" w:cs="Arial"/>
                <w:color w:val="000000"/>
                <w:sz w:val="16"/>
                <w:szCs w:val="22"/>
                <w:lang w:val="es-MX"/>
              </w:rPr>
            </w:pPr>
            <w:proofErr w:type="spellStart"/>
            <w:r w:rsidRPr="00872052">
              <w:rPr>
                <w:rFonts w:ascii="ITC Avant Garde" w:hAnsi="ITC Avant Garde" w:cs="Arial"/>
                <w:color w:val="000000"/>
                <w:sz w:val="16"/>
                <w:szCs w:val="22"/>
                <w:lang w:val="es-MX"/>
              </w:rPr>
              <w:t>Trenches_RoadCrossToSideCostRatio</w:t>
            </w:r>
            <w:proofErr w:type="spellEnd"/>
          </w:p>
        </w:tc>
        <w:tc>
          <w:tcPr>
            <w:tcW w:w="3275" w:type="dxa"/>
            <w:tcBorders>
              <w:top w:val="single" w:sz="4" w:space="0" w:color="auto"/>
              <w:left w:val="single" w:sz="4" w:space="0" w:color="auto"/>
              <w:bottom w:val="single" w:sz="4" w:space="0" w:color="auto"/>
              <w:right w:val="single" w:sz="4" w:space="0" w:color="auto"/>
            </w:tcBorders>
            <w:shd w:val="clear" w:color="auto" w:fill="auto"/>
            <w:vAlign w:val="bottom"/>
          </w:tcPr>
          <w:p w:rsidR="002951CD" w:rsidRPr="00872052" w:rsidRDefault="002951CD" w:rsidP="002951CD">
            <w:pPr>
              <w:keepNext/>
              <w:rPr>
                <w:rFonts w:ascii="ITC Avant Garde" w:hAnsi="ITC Avant Garde" w:cs="Arial"/>
                <w:color w:val="000000"/>
                <w:sz w:val="16"/>
                <w:szCs w:val="22"/>
                <w:lang w:val="es-MX"/>
              </w:rPr>
            </w:pPr>
            <w:r w:rsidRPr="00872052">
              <w:rPr>
                <w:rFonts w:ascii="ITC Avant Garde" w:hAnsi="ITC Avant Garde"/>
                <w:sz w:val="16"/>
                <w:lang w:val="es-MX"/>
              </w:rPr>
              <w:t>La relación del costo unitario del cruce de carreteras dividido por el costo unitario de excavación en el lado de la carretera. La longitud del cruce del camino se multiplicará por esta relación.</w:t>
            </w:r>
          </w:p>
        </w:tc>
        <w:tc>
          <w:tcPr>
            <w:tcW w:w="3671" w:type="dxa"/>
            <w:tcBorders>
              <w:top w:val="single" w:sz="4" w:space="0" w:color="auto"/>
              <w:left w:val="single" w:sz="4" w:space="0" w:color="auto"/>
              <w:bottom w:val="single" w:sz="4" w:space="0" w:color="auto"/>
              <w:right w:val="single" w:sz="4" w:space="0" w:color="auto"/>
            </w:tcBorders>
          </w:tcPr>
          <w:p w:rsidR="002951CD" w:rsidRPr="00872052" w:rsidRDefault="002951CD" w:rsidP="002951CD">
            <w:pPr>
              <w:rPr>
                <w:rFonts w:ascii="ITC Avant Garde" w:hAnsi="ITC Avant Garde"/>
                <w:sz w:val="16"/>
                <w:lang w:val="es-MX"/>
              </w:rPr>
            </w:pPr>
            <w:r w:rsidRPr="00872052">
              <w:rPr>
                <w:rFonts w:ascii="ITC Avant Garde" w:hAnsi="ITC Avant Garde"/>
                <w:sz w:val="16"/>
                <w:lang w:val="es-MX"/>
              </w:rPr>
              <w:t>Este parámetro se ha establecido en 2.42 y se calculó en función de las respuestas de Telmex como una relación entre el costo de las canalizaciones "Arroyo" y "Banqueta".</w:t>
            </w:r>
          </w:p>
        </w:tc>
      </w:tr>
      <w:tr w:rsidR="002951CD" w:rsidRPr="004B276B" w:rsidTr="00541C1A">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2951CD" w:rsidRPr="00872052" w:rsidRDefault="002951CD" w:rsidP="00541C1A">
            <w:pPr>
              <w:keepNext/>
              <w:jc w:val="center"/>
              <w:rPr>
                <w:rFonts w:ascii="ITC Avant Garde" w:hAnsi="ITC Avant Garde" w:cs="Arial"/>
                <w:color w:val="000000"/>
                <w:sz w:val="16"/>
                <w:szCs w:val="22"/>
                <w:lang w:val="es-MX"/>
              </w:rPr>
            </w:pPr>
            <w:proofErr w:type="spellStart"/>
            <w:r w:rsidRPr="00872052">
              <w:rPr>
                <w:rFonts w:ascii="ITC Avant Garde" w:hAnsi="ITC Avant Garde" w:cs="Arial"/>
                <w:color w:val="000000"/>
                <w:sz w:val="16"/>
                <w:szCs w:val="22"/>
                <w:lang w:val="es-MX"/>
              </w:rPr>
              <w:t>Current_Source_Database</w:t>
            </w:r>
            <w:proofErr w:type="spellEnd"/>
          </w:p>
        </w:tc>
        <w:tc>
          <w:tcPr>
            <w:tcW w:w="3275" w:type="dxa"/>
            <w:tcBorders>
              <w:top w:val="single" w:sz="4" w:space="0" w:color="auto"/>
              <w:left w:val="single" w:sz="4" w:space="0" w:color="auto"/>
              <w:bottom w:val="single" w:sz="4" w:space="0" w:color="auto"/>
              <w:right w:val="single" w:sz="4" w:space="0" w:color="auto"/>
            </w:tcBorders>
            <w:shd w:val="clear" w:color="auto" w:fill="auto"/>
            <w:vAlign w:val="bottom"/>
          </w:tcPr>
          <w:p w:rsidR="002951CD" w:rsidRPr="00872052" w:rsidRDefault="002951CD" w:rsidP="002951CD">
            <w:pPr>
              <w:keepNext/>
              <w:rPr>
                <w:rFonts w:ascii="ITC Avant Garde" w:hAnsi="ITC Avant Garde" w:cs="Arial"/>
                <w:color w:val="000000"/>
                <w:sz w:val="16"/>
                <w:szCs w:val="22"/>
                <w:lang w:val="es-MX"/>
              </w:rPr>
            </w:pPr>
            <w:r w:rsidRPr="00872052">
              <w:rPr>
                <w:rFonts w:ascii="ITC Avant Garde" w:hAnsi="ITC Avant Garde"/>
                <w:sz w:val="16"/>
                <w:lang w:val="es-MX"/>
              </w:rPr>
              <w:t>No debería ser modificado. Indica al algoritmo la última base de importación para determinar si es necesario volver a importar o no</w:t>
            </w:r>
          </w:p>
        </w:tc>
        <w:tc>
          <w:tcPr>
            <w:tcW w:w="3671" w:type="dxa"/>
            <w:tcBorders>
              <w:top w:val="single" w:sz="4" w:space="0" w:color="auto"/>
              <w:left w:val="single" w:sz="4" w:space="0" w:color="auto"/>
              <w:bottom w:val="single" w:sz="4" w:space="0" w:color="auto"/>
              <w:right w:val="single" w:sz="4" w:space="0" w:color="auto"/>
            </w:tcBorders>
          </w:tcPr>
          <w:p w:rsidR="002951CD" w:rsidRPr="00872052" w:rsidRDefault="002951CD" w:rsidP="002951CD">
            <w:pPr>
              <w:keepNext/>
              <w:rPr>
                <w:rFonts w:ascii="ITC Avant Garde" w:hAnsi="ITC Avant Garde" w:cs="Arial"/>
                <w:color w:val="000000"/>
                <w:sz w:val="16"/>
                <w:szCs w:val="22"/>
                <w:lang w:val="es-MX"/>
              </w:rPr>
            </w:pPr>
            <w:r w:rsidRPr="00872052">
              <w:rPr>
                <w:rFonts w:ascii="ITC Avant Garde" w:hAnsi="ITC Avant Garde"/>
                <w:sz w:val="16"/>
                <w:lang w:val="es-MX"/>
              </w:rPr>
              <w:t>Parámetro técnico</w:t>
            </w:r>
          </w:p>
        </w:tc>
      </w:tr>
      <w:tr w:rsidR="002951CD" w:rsidRPr="004B276B" w:rsidTr="00541C1A">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2951CD" w:rsidRPr="00872052" w:rsidRDefault="002951CD" w:rsidP="00541C1A">
            <w:pPr>
              <w:keepNext/>
              <w:jc w:val="center"/>
              <w:rPr>
                <w:rFonts w:ascii="ITC Avant Garde" w:hAnsi="ITC Avant Garde" w:cs="Arial"/>
                <w:color w:val="000000"/>
                <w:sz w:val="16"/>
                <w:szCs w:val="22"/>
                <w:lang w:val="es-MX"/>
              </w:rPr>
            </w:pPr>
            <w:proofErr w:type="spellStart"/>
            <w:r w:rsidRPr="00872052">
              <w:rPr>
                <w:rFonts w:ascii="ITC Avant Garde" w:hAnsi="ITC Avant Garde" w:cs="Arial"/>
                <w:color w:val="000000"/>
                <w:sz w:val="16"/>
                <w:szCs w:val="22"/>
                <w:lang w:val="es-MX"/>
              </w:rPr>
              <w:t>Current_Scenario</w:t>
            </w:r>
            <w:proofErr w:type="spellEnd"/>
          </w:p>
        </w:tc>
        <w:tc>
          <w:tcPr>
            <w:tcW w:w="3275" w:type="dxa"/>
            <w:tcBorders>
              <w:top w:val="single" w:sz="4" w:space="0" w:color="auto"/>
              <w:left w:val="single" w:sz="4" w:space="0" w:color="auto"/>
              <w:bottom w:val="single" w:sz="4" w:space="0" w:color="auto"/>
              <w:right w:val="single" w:sz="4" w:space="0" w:color="auto"/>
            </w:tcBorders>
            <w:shd w:val="clear" w:color="auto" w:fill="auto"/>
            <w:vAlign w:val="bottom"/>
          </w:tcPr>
          <w:p w:rsidR="002951CD" w:rsidRPr="00872052" w:rsidRDefault="00245D84" w:rsidP="002951CD">
            <w:pPr>
              <w:keepNext/>
              <w:rPr>
                <w:rFonts w:ascii="ITC Avant Garde" w:hAnsi="ITC Avant Garde" w:cs="Arial"/>
                <w:color w:val="000000"/>
                <w:sz w:val="16"/>
                <w:szCs w:val="22"/>
                <w:lang w:val="es-MX"/>
              </w:rPr>
            </w:pPr>
            <w:r>
              <w:rPr>
                <w:rFonts w:ascii="ITC Avant Garde" w:hAnsi="ITC Avant Garde"/>
                <w:sz w:val="16"/>
                <w:lang w:val="es-MX"/>
              </w:rPr>
              <w:t>N</w:t>
            </w:r>
            <w:r w:rsidRPr="00872052">
              <w:rPr>
                <w:rFonts w:ascii="ITC Avant Garde" w:hAnsi="ITC Avant Garde"/>
                <w:sz w:val="16"/>
                <w:lang w:val="es-MX"/>
              </w:rPr>
              <w:t xml:space="preserve">o </w:t>
            </w:r>
            <w:r w:rsidR="002951CD" w:rsidRPr="00872052">
              <w:rPr>
                <w:rFonts w:ascii="ITC Avant Garde" w:hAnsi="ITC Avant Garde"/>
                <w:sz w:val="16"/>
                <w:lang w:val="es-MX"/>
              </w:rPr>
              <w:t>debe ser modificado</w:t>
            </w:r>
          </w:p>
        </w:tc>
        <w:tc>
          <w:tcPr>
            <w:tcW w:w="3671" w:type="dxa"/>
            <w:tcBorders>
              <w:top w:val="single" w:sz="4" w:space="0" w:color="auto"/>
              <w:left w:val="single" w:sz="4" w:space="0" w:color="auto"/>
              <w:bottom w:val="single" w:sz="4" w:space="0" w:color="auto"/>
              <w:right w:val="single" w:sz="4" w:space="0" w:color="auto"/>
            </w:tcBorders>
          </w:tcPr>
          <w:p w:rsidR="002951CD" w:rsidRPr="00872052" w:rsidRDefault="002951CD" w:rsidP="002951CD">
            <w:pPr>
              <w:keepNext/>
              <w:rPr>
                <w:rFonts w:ascii="ITC Avant Garde" w:hAnsi="ITC Avant Garde" w:cs="Arial"/>
                <w:color w:val="000000"/>
                <w:sz w:val="16"/>
                <w:szCs w:val="22"/>
                <w:lang w:val="es-MX"/>
              </w:rPr>
            </w:pPr>
            <w:r w:rsidRPr="00872052">
              <w:rPr>
                <w:rFonts w:ascii="ITC Avant Garde" w:hAnsi="ITC Avant Garde"/>
                <w:sz w:val="16"/>
                <w:lang w:val="es-MX"/>
              </w:rPr>
              <w:t>Parámetro técnico</w:t>
            </w:r>
          </w:p>
        </w:tc>
      </w:tr>
    </w:tbl>
    <w:p w:rsidR="002951CD" w:rsidRDefault="002951CD" w:rsidP="008D78BD">
      <w:pPr>
        <w:rPr>
          <w:rFonts w:ascii="ITC Avant Garde" w:hAnsi="ITC Avant Garde"/>
          <w:lang w:val="es-MX"/>
        </w:rPr>
      </w:pPr>
    </w:p>
    <w:p w:rsidR="005B0846" w:rsidRDefault="0083417A" w:rsidP="008D78BD">
      <w:pPr>
        <w:pStyle w:val="Ttulo2"/>
        <w:tabs>
          <w:tab w:val="clear" w:pos="567"/>
          <w:tab w:val="num" w:pos="720"/>
        </w:tabs>
        <w:spacing w:before="0" w:after="0"/>
        <w:ind w:left="720" w:hanging="720"/>
        <w:jc w:val="left"/>
        <w:rPr>
          <w:rFonts w:ascii="ITC Avant Garde" w:hAnsi="ITC Avant Garde"/>
          <w:lang w:val="es-MX"/>
        </w:rPr>
      </w:pPr>
      <w:bookmarkStart w:id="362" w:name="_Toc525315220"/>
      <w:bookmarkStart w:id="363" w:name="_Toc525665346"/>
      <w:bookmarkStart w:id="364" w:name="_Toc525665725"/>
      <w:bookmarkStart w:id="365" w:name="_Toc526854421"/>
      <w:r w:rsidRPr="0083417A">
        <w:rPr>
          <w:rFonts w:ascii="ITC Avant Garde" w:hAnsi="ITC Avant Garde"/>
          <w:lang w:val="es-MX"/>
        </w:rPr>
        <w:lastRenderedPageBreak/>
        <w:t>Tipos de canalizaciones em</w:t>
      </w:r>
      <w:r>
        <w:rPr>
          <w:rFonts w:ascii="ITC Avant Garde" w:hAnsi="ITC Avant Garde"/>
          <w:lang w:val="es-MX"/>
        </w:rPr>
        <w:t xml:space="preserve">pleadas en el </w:t>
      </w:r>
      <w:r w:rsidR="005B0846" w:rsidRPr="0083417A">
        <w:rPr>
          <w:rFonts w:ascii="ITC Avant Garde" w:hAnsi="ITC Avant Garde"/>
          <w:lang w:val="es-MX"/>
        </w:rPr>
        <w:t>model</w:t>
      </w:r>
      <w:r w:rsidR="00F370AD">
        <w:rPr>
          <w:rFonts w:ascii="ITC Avant Garde" w:hAnsi="ITC Avant Garde"/>
          <w:lang w:val="es-MX"/>
        </w:rPr>
        <w:t>o</w:t>
      </w:r>
      <w:bookmarkEnd w:id="362"/>
      <w:bookmarkEnd w:id="363"/>
      <w:bookmarkEnd w:id="364"/>
      <w:bookmarkEnd w:id="365"/>
    </w:p>
    <w:tbl>
      <w:tblPr>
        <w:tblStyle w:val="Tablaconcuadrcula"/>
        <w:tblW w:w="0" w:type="auto"/>
        <w:tblLook w:val="04A0" w:firstRow="1" w:lastRow="0" w:firstColumn="1" w:lastColumn="0" w:noHBand="0" w:noVBand="1"/>
      </w:tblPr>
      <w:tblGrid>
        <w:gridCol w:w="2915"/>
        <w:gridCol w:w="2691"/>
        <w:gridCol w:w="2888"/>
      </w:tblGrid>
      <w:tr w:rsidR="005B0846" w:rsidRPr="0049035A" w:rsidTr="0061735A">
        <w:tc>
          <w:tcPr>
            <w:tcW w:w="2915" w:type="dxa"/>
          </w:tcPr>
          <w:p w:rsidR="005B0846" w:rsidRPr="00872052" w:rsidRDefault="005B0846" w:rsidP="007A227B">
            <w:pPr>
              <w:keepNext/>
              <w:spacing w:before="0" w:line="240" w:lineRule="auto"/>
              <w:jc w:val="center"/>
              <w:rPr>
                <w:rFonts w:ascii="ITC Avant Garde" w:hAnsi="ITC Avant Garde"/>
                <w:b/>
                <w:sz w:val="18"/>
                <w:lang w:val="en-US"/>
              </w:rPr>
            </w:pPr>
            <w:r w:rsidRPr="00872052">
              <w:rPr>
                <w:rFonts w:ascii="ITC Avant Garde" w:hAnsi="ITC Avant Garde"/>
                <w:b/>
                <w:sz w:val="18"/>
                <w:lang w:val="en-US"/>
              </w:rPr>
              <w:t>2H4</w:t>
            </w:r>
          </w:p>
        </w:tc>
        <w:tc>
          <w:tcPr>
            <w:tcW w:w="2691" w:type="dxa"/>
          </w:tcPr>
          <w:p w:rsidR="005B0846" w:rsidRPr="00872052" w:rsidRDefault="005B0846" w:rsidP="007A227B">
            <w:pPr>
              <w:keepNext/>
              <w:spacing w:before="0" w:line="240" w:lineRule="auto"/>
              <w:jc w:val="center"/>
              <w:rPr>
                <w:rFonts w:ascii="ITC Avant Garde" w:hAnsi="ITC Avant Garde"/>
                <w:b/>
                <w:sz w:val="18"/>
                <w:lang w:val="en-US"/>
              </w:rPr>
            </w:pPr>
            <w:r w:rsidRPr="00872052">
              <w:rPr>
                <w:rFonts w:ascii="ITC Avant Garde" w:hAnsi="ITC Avant Garde"/>
                <w:b/>
                <w:sz w:val="18"/>
                <w:lang w:val="en-US"/>
              </w:rPr>
              <w:t>3H4</w:t>
            </w:r>
          </w:p>
        </w:tc>
        <w:tc>
          <w:tcPr>
            <w:tcW w:w="2888" w:type="dxa"/>
          </w:tcPr>
          <w:p w:rsidR="005B0846" w:rsidRPr="00872052" w:rsidRDefault="005B0846" w:rsidP="007A227B">
            <w:pPr>
              <w:keepNext/>
              <w:spacing w:before="0" w:line="240" w:lineRule="auto"/>
              <w:jc w:val="center"/>
              <w:rPr>
                <w:rFonts w:ascii="ITC Avant Garde" w:hAnsi="ITC Avant Garde"/>
                <w:b/>
                <w:sz w:val="18"/>
                <w:lang w:val="en-US"/>
              </w:rPr>
            </w:pPr>
            <w:r w:rsidRPr="00872052">
              <w:rPr>
                <w:rFonts w:ascii="ITC Avant Garde" w:hAnsi="ITC Avant Garde"/>
                <w:b/>
                <w:sz w:val="18"/>
                <w:lang w:val="en-US"/>
              </w:rPr>
              <w:t>5H4</w:t>
            </w:r>
          </w:p>
        </w:tc>
      </w:tr>
      <w:tr w:rsidR="005B0846" w:rsidRPr="0049035A" w:rsidTr="0061735A">
        <w:tc>
          <w:tcPr>
            <w:tcW w:w="2915" w:type="dxa"/>
            <w:vAlign w:val="center"/>
          </w:tcPr>
          <w:p w:rsidR="005B0846" w:rsidRPr="00872052" w:rsidRDefault="005B0846" w:rsidP="007A227B">
            <w:pPr>
              <w:keepNext/>
              <w:spacing w:before="0" w:line="240" w:lineRule="auto"/>
              <w:jc w:val="center"/>
              <w:rPr>
                <w:rFonts w:ascii="ITC Avant Garde" w:hAnsi="ITC Avant Garde"/>
                <w:sz w:val="18"/>
                <w:lang w:val="en-US"/>
              </w:rPr>
            </w:pPr>
            <w:r w:rsidRPr="00872052">
              <w:rPr>
                <w:rFonts w:ascii="ITC Avant Garde" w:hAnsi="ITC Avant Garde"/>
                <w:noProof/>
                <w:sz w:val="18"/>
                <w:lang w:val="es-MX" w:eastAsia="es-MX"/>
              </w:rPr>
              <w:drawing>
                <wp:inline distT="0" distB="0" distL="0" distR="0" wp14:anchorId="0E8D9F59" wp14:editId="6A26D2A6">
                  <wp:extent cx="1743075" cy="1603006"/>
                  <wp:effectExtent l="0" t="0" r="0" b="0"/>
                  <wp:docPr id="87"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11015"/>
                          <a:stretch/>
                        </pic:blipFill>
                        <pic:spPr bwMode="auto">
                          <a:xfrm>
                            <a:off x="0" y="0"/>
                            <a:ext cx="1751826" cy="1611053"/>
                          </a:xfrm>
                          <a:prstGeom prst="rect">
                            <a:avLst/>
                          </a:prstGeom>
                          <a:ln>
                            <a:noFill/>
                          </a:ln>
                          <a:extLst>
                            <a:ext uri="{53640926-AAD7-44D8-BBD7-CCE9431645EC}">
                              <a14:shadowObscured xmlns:a14="http://schemas.microsoft.com/office/drawing/2010/main"/>
                            </a:ext>
                          </a:extLst>
                        </pic:spPr>
                      </pic:pic>
                    </a:graphicData>
                  </a:graphic>
                </wp:inline>
              </w:drawing>
            </w:r>
          </w:p>
        </w:tc>
        <w:tc>
          <w:tcPr>
            <w:tcW w:w="2691" w:type="dxa"/>
            <w:vAlign w:val="center"/>
          </w:tcPr>
          <w:p w:rsidR="005B0846" w:rsidRPr="00872052" w:rsidRDefault="005B0846" w:rsidP="007A227B">
            <w:pPr>
              <w:keepNext/>
              <w:spacing w:before="0" w:line="240" w:lineRule="auto"/>
              <w:jc w:val="center"/>
              <w:rPr>
                <w:rFonts w:ascii="ITC Avant Garde" w:hAnsi="ITC Avant Garde"/>
                <w:sz w:val="18"/>
                <w:lang w:val="en-US"/>
              </w:rPr>
            </w:pPr>
            <w:r w:rsidRPr="00872052">
              <w:rPr>
                <w:rFonts w:ascii="ITC Avant Garde" w:hAnsi="ITC Avant Garde"/>
                <w:noProof/>
                <w:sz w:val="18"/>
                <w:lang w:val="es-MX" w:eastAsia="es-MX"/>
              </w:rPr>
              <w:drawing>
                <wp:inline distT="0" distB="0" distL="0" distR="0" wp14:anchorId="6E6C28C8" wp14:editId="466571DF">
                  <wp:extent cx="1676400" cy="1599748"/>
                  <wp:effectExtent l="0" t="0" r="0" b="635"/>
                  <wp:docPr id="8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9888"/>
                          <a:stretch/>
                        </pic:blipFill>
                        <pic:spPr bwMode="auto">
                          <a:xfrm>
                            <a:off x="0" y="0"/>
                            <a:ext cx="1676400" cy="1599748"/>
                          </a:xfrm>
                          <a:prstGeom prst="rect">
                            <a:avLst/>
                          </a:prstGeom>
                          <a:ln>
                            <a:noFill/>
                          </a:ln>
                          <a:extLst>
                            <a:ext uri="{53640926-AAD7-44D8-BBD7-CCE9431645EC}">
                              <a14:shadowObscured xmlns:a14="http://schemas.microsoft.com/office/drawing/2010/main"/>
                            </a:ext>
                          </a:extLst>
                        </pic:spPr>
                      </pic:pic>
                    </a:graphicData>
                  </a:graphic>
                </wp:inline>
              </w:drawing>
            </w:r>
          </w:p>
        </w:tc>
        <w:tc>
          <w:tcPr>
            <w:tcW w:w="2888" w:type="dxa"/>
            <w:vAlign w:val="center"/>
          </w:tcPr>
          <w:p w:rsidR="005B0846" w:rsidRPr="00872052" w:rsidRDefault="005B0846" w:rsidP="007A227B">
            <w:pPr>
              <w:keepNext/>
              <w:spacing w:before="0" w:line="240" w:lineRule="auto"/>
              <w:jc w:val="center"/>
              <w:rPr>
                <w:rFonts w:ascii="ITC Avant Garde" w:hAnsi="ITC Avant Garde"/>
                <w:sz w:val="18"/>
                <w:lang w:val="en-US"/>
              </w:rPr>
            </w:pPr>
            <w:r w:rsidRPr="00872052">
              <w:rPr>
                <w:rFonts w:ascii="ITC Avant Garde" w:hAnsi="ITC Avant Garde"/>
                <w:noProof/>
                <w:sz w:val="18"/>
                <w:lang w:val="es-MX" w:eastAsia="es-MX"/>
              </w:rPr>
              <w:drawing>
                <wp:inline distT="0" distB="0" distL="0" distR="0" wp14:anchorId="3CCE6389" wp14:editId="54CD4B58">
                  <wp:extent cx="1809750" cy="1601088"/>
                  <wp:effectExtent l="0" t="0" r="0" b="0"/>
                  <wp:docPr id="9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8904"/>
                          <a:stretch/>
                        </pic:blipFill>
                        <pic:spPr bwMode="auto">
                          <a:xfrm>
                            <a:off x="0" y="0"/>
                            <a:ext cx="1835247" cy="1623646"/>
                          </a:xfrm>
                          <a:prstGeom prst="rect">
                            <a:avLst/>
                          </a:prstGeom>
                          <a:ln>
                            <a:noFill/>
                          </a:ln>
                          <a:extLst>
                            <a:ext uri="{53640926-AAD7-44D8-BBD7-CCE9431645EC}">
                              <a14:shadowObscured xmlns:a14="http://schemas.microsoft.com/office/drawing/2010/main"/>
                            </a:ext>
                          </a:extLst>
                        </pic:spPr>
                      </pic:pic>
                    </a:graphicData>
                  </a:graphic>
                </wp:inline>
              </w:drawing>
            </w:r>
          </w:p>
        </w:tc>
      </w:tr>
      <w:tr w:rsidR="005B0846" w:rsidRPr="0049035A" w:rsidTr="0061735A">
        <w:tc>
          <w:tcPr>
            <w:tcW w:w="2915" w:type="dxa"/>
            <w:vAlign w:val="center"/>
          </w:tcPr>
          <w:p w:rsidR="005B0846" w:rsidRPr="00872052" w:rsidRDefault="005B0846" w:rsidP="007A227B">
            <w:pPr>
              <w:keepNext/>
              <w:spacing w:line="240" w:lineRule="auto"/>
              <w:jc w:val="center"/>
              <w:rPr>
                <w:rFonts w:ascii="ITC Avant Garde" w:hAnsi="ITC Avant Garde"/>
                <w:b/>
                <w:sz w:val="18"/>
                <w:lang w:val="en-US"/>
              </w:rPr>
            </w:pPr>
            <w:r w:rsidRPr="00872052">
              <w:rPr>
                <w:rFonts w:ascii="ITC Avant Garde" w:hAnsi="ITC Avant Garde"/>
                <w:b/>
                <w:sz w:val="18"/>
                <w:lang w:val="en-US"/>
              </w:rPr>
              <w:t>7H4</w:t>
            </w:r>
          </w:p>
        </w:tc>
        <w:tc>
          <w:tcPr>
            <w:tcW w:w="2691" w:type="dxa"/>
            <w:vAlign w:val="center"/>
          </w:tcPr>
          <w:p w:rsidR="005B0846" w:rsidRPr="00872052" w:rsidRDefault="005B0846" w:rsidP="007A227B">
            <w:pPr>
              <w:keepNext/>
              <w:spacing w:line="240" w:lineRule="auto"/>
              <w:jc w:val="center"/>
              <w:rPr>
                <w:rFonts w:ascii="ITC Avant Garde" w:hAnsi="ITC Avant Garde"/>
                <w:b/>
                <w:sz w:val="18"/>
                <w:lang w:val="en-US"/>
              </w:rPr>
            </w:pPr>
            <w:r w:rsidRPr="00872052">
              <w:rPr>
                <w:rFonts w:ascii="ITC Avant Garde" w:hAnsi="ITC Avant Garde"/>
                <w:b/>
                <w:sz w:val="18"/>
                <w:lang w:val="en-US"/>
              </w:rPr>
              <w:t>15H4</w:t>
            </w:r>
          </w:p>
        </w:tc>
        <w:tc>
          <w:tcPr>
            <w:tcW w:w="2888" w:type="dxa"/>
            <w:vAlign w:val="center"/>
          </w:tcPr>
          <w:p w:rsidR="005B0846" w:rsidRPr="00872052" w:rsidRDefault="005B0846" w:rsidP="007A227B">
            <w:pPr>
              <w:keepNext/>
              <w:spacing w:line="240" w:lineRule="auto"/>
              <w:jc w:val="center"/>
              <w:rPr>
                <w:rFonts w:ascii="ITC Avant Garde" w:hAnsi="ITC Avant Garde"/>
                <w:b/>
                <w:sz w:val="18"/>
                <w:lang w:val="en-US"/>
              </w:rPr>
            </w:pPr>
            <w:r w:rsidRPr="00872052">
              <w:rPr>
                <w:rFonts w:ascii="ITC Avant Garde" w:hAnsi="ITC Avant Garde"/>
                <w:b/>
                <w:sz w:val="18"/>
                <w:lang w:val="en-US"/>
              </w:rPr>
              <w:t>2H6</w:t>
            </w:r>
          </w:p>
        </w:tc>
      </w:tr>
      <w:tr w:rsidR="005B0846" w:rsidRPr="0049035A" w:rsidTr="0061735A">
        <w:tc>
          <w:tcPr>
            <w:tcW w:w="2915" w:type="dxa"/>
            <w:vAlign w:val="center"/>
          </w:tcPr>
          <w:p w:rsidR="005B0846" w:rsidRPr="00872052" w:rsidRDefault="005B0846" w:rsidP="007A227B">
            <w:pPr>
              <w:keepNext/>
              <w:spacing w:line="240" w:lineRule="auto"/>
              <w:jc w:val="center"/>
              <w:rPr>
                <w:rFonts w:ascii="ITC Avant Garde" w:hAnsi="ITC Avant Garde"/>
                <w:sz w:val="18"/>
                <w:lang w:val="en-US"/>
              </w:rPr>
            </w:pPr>
            <w:r w:rsidRPr="00872052">
              <w:rPr>
                <w:rFonts w:ascii="ITC Avant Garde" w:hAnsi="ITC Avant Garde"/>
                <w:noProof/>
                <w:sz w:val="18"/>
                <w:lang w:val="es-MX" w:eastAsia="es-MX"/>
              </w:rPr>
              <w:drawing>
                <wp:inline distT="0" distB="0" distL="0" distR="0" wp14:anchorId="62D0613C" wp14:editId="6F2F14B5">
                  <wp:extent cx="1743075" cy="1482571"/>
                  <wp:effectExtent l="0" t="0" r="0" b="3810"/>
                  <wp:docPr id="91"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0417"/>
                          <a:stretch/>
                        </pic:blipFill>
                        <pic:spPr bwMode="auto">
                          <a:xfrm>
                            <a:off x="0" y="0"/>
                            <a:ext cx="1791563" cy="1523812"/>
                          </a:xfrm>
                          <a:prstGeom prst="rect">
                            <a:avLst/>
                          </a:prstGeom>
                          <a:ln>
                            <a:noFill/>
                          </a:ln>
                          <a:extLst>
                            <a:ext uri="{53640926-AAD7-44D8-BBD7-CCE9431645EC}">
                              <a14:shadowObscured xmlns:a14="http://schemas.microsoft.com/office/drawing/2010/main"/>
                            </a:ext>
                          </a:extLst>
                        </pic:spPr>
                      </pic:pic>
                    </a:graphicData>
                  </a:graphic>
                </wp:inline>
              </w:drawing>
            </w:r>
          </w:p>
        </w:tc>
        <w:tc>
          <w:tcPr>
            <w:tcW w:w="2691" w:type="dxa"/>
            <w:vAlign w:val="center"/>
          </w:tcPr>
          <w:p w:rsidR="005B0846" w:rsidRPr="00872052" w:rsidRDefault="005B0846" w:rsidP="007A227B">
            <w:pPr>
              <w:keepNext/>
              <w:spacing w:line="240" w:lineRule="auto"/>
              <w:jc w:val="center"/>
              <w:rPr>
                <w:rFonts w:ascii="ITC Avant Garde" w:hAnsi="ITC Avant Garde"/>
                <w:sz w:val="18"/>
                <w:lang w:val="en-US"/>
              </w:rPr>
            </w:pPr>
            <w:r w:rsidRPr="00872052">
              <w:rPr>
                <w:rFonts w:ascii="ITC Avant Garde" w:hAnsi="ITC Avant Garde"/>
                <w:noProof/>
                <w:sz w:val="18"/>
                <w:lang w:val="es-MX" w:eastAsia="es-MX"/>
              </w:rPr>
              <w:drawing>
                <wp:inline distT="0" distB="0" distL="0" distR="0" wp14:anchorId="7C3A62C1" wp14:editId="66EB81D1">
                  <wp:extent cx="1524000" cy="1500081"/>
                  <wp:effectExtent l="0" t="0" r="0" b="5080"/>
                  <wp:docPr id="92"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7188"/>
                          <a:stretch/>
                        </pic:blipFill>
                        <pic:spPr bwMode="auto">
                          <a:xfrm>
                            <a:off x="0" y="0"/>
                            <a:ext cx="1533577" cy="1509507"/>
                          </a:xfrm>
                          <a:prstGeom prst="rect">
                            <a:avLst/>
                          </a:prstGeom>
                          <a:ln>
                            <a:noFill/>
                          </a:ln>
                          <a:extLst>
                            <a:ext uri="{53640926-AAD7-44D8-BBD7-CCE9431645EC}">
                              <a14:shadowObscured xmlns:a14="http://schemas.microsoft.com/office/drawing/2010/main"/>
                            </a:ext>
                          </a:extLst>
                        </pic:spPr>
                      </pic:pic>
                    </a:graphicData>
                  </a:graphic>
                </wp:inline>
              </w:drawing>
            </w:r>
          </w:p>
        </w:tc>
        <w:tc>
          <w:tcPr>
            <w:tcW w:w="2888" w:type="dxa"/>
            <w:vAlign w:val="center"/>
          </w:tcPr>
          <w:p w:rsidR="005B0846" w:rsidRPr="00872052" w:rsidRDefault="005B0846" w:rsidP="007A227B">
            <w:pPr>
              <w:keepNext/>
              <w:spacing w:line="240" w:lineRule="auto"/>
              <w:jc w:val="center"/>
              <w:rPr>
                <w:rFonts w:ascii="ITC Avant Garde" w:hAnsi="ITC Avant Garde"/>
                <w:sz w:val="18"/>
                <w:lang w:val="en-US"/>
              </w:rPr>
            </w:pPr>
            <w:r w:rsidRPr="00872052">
              <w:rPr>
                <w:rFonts w:ascii="ITC Avant Garde" w:hAnsi="ITC Avant Garde"/>
                <w:noProof/>
                <w:sz w:val="18"/>
                <w:lang w:val="es-MX" w:eastAsia="es-MX"/>
              </w:rPr>
              <w:drawing>
                <wp:inline distT="0" distB="0" distL="0" distR="0" wp14:anchorId="73E02AEE" wp14:editId="79DBDDE6">
                  <wp:extent cx="1704975" cy="1485710"/>
                  <wp:effectExtent l="0" t="0" r="0" b="635"/>
                  <wp:docPr id="96"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12860"/>
                          <a:stretch/>
                        </pic:blipFill>
                        <pic:spPr bwMode="auto">
                          <a:xfrm>
                            <a:off x="0" y="0"/>
                            <a:ext cx="1725562" cy="1503650"/>
                          </a:xfrm>
                          <a:prstGeom prst="rect">
                            <a:avLst/>
                          </a:prstGeom>
                          <a:ln>
                            <a:noFill/>
                          </a:ln>
                          <a:extLst>
                            <a:ext uri="{53640926-AAD7-44D8-BBD7-CCE9431645EC}">
                              <a14:shadowObscured xmlns:a14="http://schemas.microsoft.com/office/drawing/2010/main"/>
                            </a:ext>
                          </a:extLst>
                        </pic:spPr>
                      </pic:pic>
                    </a:graphicData>
                  </a:graphic>
                </wp:inline>
              </w:drawing>
            </w:r>
          </w:p>
        </w:tc>
      </w:tr>
      <w:tr w:rsidR="005B0846" w:rsidRPr="0049035A" w:rsidTr="0061735A">
        <w:tc>
          <w:tcPr>
            <w:tcW w:w="2915" w:type="dxa"/>
            <w:vAlign w:val="center"/>
          </w:tcPr>
          <w:p w:rsidR="005B0846" w:rsidRPr="00872052" w:rsidRDefault="005B0846" w:rsidP="007A227B">
            <w:pPr>
              <w:keepNext/>
              <w:spacing w:line="240" w:lineRule="auto"/>
              <w:jc w:val="center"/>
              <w:rPr>
                <w:rFonts w:ascii="ITC Avant Garde" w:hAnsi="ITC Avant Garde"/>
                <w:b/>
                <w:sz w:val="18"/>
                <w:lang w:val="en-US"/>
              </w:rPr>
            </w:pPr>
            <w:r w:rsidRPr="00872052">
              <w:rPr>
                <w:rFonts w:ascii="ITC Avant Garde" w:hAnsi="ITC Avant Garde"/>
                <w:b/>
                <w:sz w:val="18"/>
                <w:lang w:val="en-US"/>
              </w:rPr>
              <w:t>3H6</w:t>
            </w:r>
          </w:p>
        </w:tc>
        <w:tc>
          <w:tcPr>
            <w:tcW w:w="2691" w:type="dxa"/>
            <w:vAlign w:val="center"/>
          </w:tcPr>
          <w:p w:rsidR="005B0846" w:rsidRPr="00872052" w:rsidRDefault="005B0846" w:rsidP="007A227B">
            <w:pPr>
              <w:keepNext/>
              <w:spacing w:line="240" w:lineRule="auto"/>
              <w:jc w:val="center"/>
              <w:rPr>
                <w:rFonts w:ascii="ITC Avant Garde" w:hAnsi="ITC Avant Garde"/>
                <w:b/>
                <w:sz w:val="18"/>
                <w:lang w:val="en-US"/>
              </w:rPr>
            </w:pPr>
            <w:r w:rsidRPr="00872052">
              <w:rPr>
                <w:rFonts w:ascii="ITC Avant Garde" w:hAnsi="ITC Avant Garde"/>
                <w:b/>
                <w:sz w:val="18"/>
                <w:lang w:val="en-US"/>
              </w:rPr>
              <w:t>4H6</w:t>
            </w:r>
          </w:p>
        </w:tc>
        <w:tc>
          <w:tcPr>
            <w:tcW w:w="2888" w:type="dxa"/>
            <w:vAlign w:val="center"/>
          </w:tcPr>
          <w:p w:rsidR="005B0846" w:rsidRPr="00872052" w:rsidRDefault="005B0846" w:rsidP="007A227B">
            <w:pPr>
              <w:keepNext/>
              <w:spacing w:line="240" w:lineRule="auto"/>
              <w:jc w:val="center"/>
              <w:rPr>
                <w:rFonts w:ascii="ITC Avant Garde" w:hAnsi="ITC Avant Garde"/>
                <w:b/>
                <w:sz w:val="18"/>
                <w:lang w:val="en-US"/>
              </w:rPr>
            </w:pPr>
            <w:r w:rsidRPr="00872052">
              <w:rPr>
                <w:rFonts w:ascii="ITC Avant Garde" w:hAnsi="ITC Avant Garde"/>
                <w:b/>
                <w:sz w:val="18"/>
                <w:lang w:val="en-US"/>
              </w:rPr>
              <w:t>3H8</w:t>
            </w:r>
          </w:p>
        </w:tc>
      </w:tr>
      <w:tr w:rsidR="005B0846" w:rsidRPr="0049035A" w:rsidTr="0061735A">
        <w:tc>
          <w:tcPr>
            <w:tcW w:w="2915" w:type="dxa"/>
            <w:vAlign w:val="center"/>
          </w:tcPr>
          <w:p w:rsidR="005B0846" w:rsidRPr="00872052" w:rsidRDefault="005B0846" w:rsidP="007A227B">
            <w:pPr>
              <w:keepNext/>
              <w:spacing w:line="240" w:lineRule="auto"/>
              <w:jc w:val="center"/>
              <w:rPr>
                <w:rFonts w:ascii="ITC Avant Garde" w:hAnsi="ITC Avant Garde"/>
                <w:sz w:val="18"/>
                <w:lang w:val="en-US"/>
              </w:rPr>
            </w:pPr>
            <w:r w:rsidRPr="00872052">
              <w:rPr>
                <w:rFonts w:ascii="ITC Avant Garde" w:hAnsi="ITC Avant Garde"/>
                <w:noProof/>
                <w:sz w:val="18"/>
                <w:lang w:val="es-MX" w:eastAsia="es-MX"/>
              </w:rPr>
              <w:drawing>
                <wp:inline distT="0" distB="0" distL="0" distR="0" wp14:anchorId="02DCC110" wp14:editId="69E723B4">
                  <wp:extent cx="1655445" cy="1437624"/>
                  <wp:effectExtent l="0" t="0" r="1905" b="0"/>
                  <wp:docPr id="100"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8545"/>
                          <a:stretch/>
                        </pic:blipFill>
                        <pic:spPr bwMode="auto">
                          <a:xfrm>
                            <a:off x="0" y="0"/>
                            <a:ext cx="1702389" cy="1478392"/>
                          </a:xfrm>
                          <a:prstGeom prst="rect">
                            <a:avLst/>
                          </a:prstGeom>
                          <a:ln>
                            <a:noFill/>
                          </a:ln>
                          <a:extLst>
                            <a:ext uri="{53640926-AAD7-44D8-BBD7-CCE9431645EC}">
                              <a14:shadowObscured xmlns:a14="http://schemas.microsoft.com/office/drawing/2010/main"/>
                            </a:ext>
                          </a:extLst>
                        </pic:spPr>
                      </pic:pic>
                    </a:graphicData>
                  </a:graphic>
                </wp:inline>
              </w:drawing>
            </w:r>
          </w:p>
        </w:tc>
        <w:tc>
          <w:tcPr>
            <w:tcW w:w="2691" w:type="dxa"/>
            <w:vAlign w:val="center"/>
          </w:tcPr>
          <w:p w:rsidR="005B0846" w:rsidRPr="00872052" w:rsidRDefault="005B0846" w:rsidP="007A227B">
            <w:pPr>
              <w:keepNext/>
              <w:spacing w:line="240" w:lineRule="auto"/>
              <w:jc w:val="center"/>
              <w:rPr>
                <w:rFonts w:ascii="ITC Avant Garde" w:hAnsi="ITC Avant Garde"/>
                <w:sz w:val="18"/>
                <w:lang w:val="en-US"/>
              </w:rPr>
            </w:pPr>
            <w:r w:rsidRPr="00872052">
              <w:rPr>
                <w:rFonts w:ascii="ITC Avant Garde" w:hAnsi="ITC Avant Garde"/>
                <w:noProof/>
                <w:sz w:val="18"/>
                <w:lang w:val="es-MX" w:eastAsia="es-MX"/>
              </w:rPr>
              <w:drawing>
                <wp:inline distT="0" distB="0" distL="0" distR="0" wp14:anchorId="6351A6A1" wp14:editId="4E725118">
                  <wp:extent cx="1651514" cy="1433730"/>
                  <wp:effectExtent l="0" t="0" r="6350" b="0"/>
                  <wp:docPr id="101"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8565"/>
                          <a:stretch/>
                        </pic:blipFill>
                        <pic:spPr bwMode="auto">
                          <a:xfrm>
                            <a:off x="0" y="0"/>
                            <a:ext cx="1675875" cy="1454879"/>
                          </a:xfrm>
                          <a:prstGeom prst="rect">
                            <a:avLst/>
                          </a:prstGeom>
                          <a:ln>
                            <a:noFill/>
                          </a:ln>
                          <a:extLst>
                            <a:ext uri="{53640926-AAD7-44D8-BBD7-CCE9431645EC}">
                              <a14:shadowObscured xmlns:a14="http://schemas.microsoft.com/office/drawing/2010/main"/>
                            </a:ext>
                          </a:extLst>
                        </pic:spPr>
                      </pic:pic>
                    </a:graphicData>
                  </a:graphic>
                </wp:inline>
              </w:drawing>
            </w:r>
          </w:p>
        </w:tc>
        <w:tc>
          <w:tcPr>
            <w:tcW w:w="2888" w:type="dxa"/>
            <w:vAlign w:val="center"/>
          </w:tcPr>
          <w:p w:rsidR="005B0846" w:rsidRPr="00872052" w:rsidRDefault="005B0846" w:rsidP="007A227B">
            <w:pPr>
              <w:keepNext/>
              <w:spacing w:line="240" w:lineRule="auto"/>
              <w:jc w:val="center"/>
              <w:rPr>
                <w:rFonts w:ascii="ITC Avant Garde" w:hAnsi="ITC Avant Garde"/>
                <w:sz w:val="18"/>
                <w:lang w:val="en-US"/>
              </w:rPr>
            </w:pPr>
            <w:r w:rsidRPr="00872052">
              <w:rPr>
                <w:rFonts w:ascii="ITC Avant Garde" w:hAnsi="ITC Avant Garde"/>
                <w:noProof/>
                <w:sz w:val="18"/>
                <w:lang w:val="es-MX" w:eastAsia="es-MX"/>
              </w:rPr>
              <w:drawing>
                <wp:inline distT="0" distB="0" distL="0" distR="0" wp14:anchorId="129DE10F" wp14:editId="4DCFC009">
                  <wp:extent cx="1674595" cy="1523365"/>
                  <wp:effectExtent l="0" t="0" r="1905" b="635"/>
                  <wp:docPr id="102"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711977" cy="1557371"/>
                          </a:xfrm>
                          <a:prstGeom prst="rect">
                            <a:avLst/>
                          </a:prstGeom>
                        </pic:spPr>
                      </pic:pic>
                    </a:graphicData>
                  </a:graphic>
                </wp:inline>
              </w:drawing>
            </w:r>
          </w:p>
        </w:tc>
      </w:tr>
      <w:tr w:rsidR="005B0846" w:rsidRPr="0049035A" w:rsidTr="007A227B">
        <w:trPr>
          <w:trHeight w:val="148"/>
        </w:trPr>
        <w:tc>
          <w:tcPr>
            <w:tcW w:w="2915" w:type="dxa"/>
            <w:vAlign w:val="center"/>
          </w:tcPr>
          <w:p w:rsidR="005B0846" w:rsidRPr="00872052" w:rsidRDefault="005B0846" w:rsidP="007A227B">
            <w:pPr>
              <w:keepNext/>
              <w:spacing w:line="240" w:lineRule="auto"/>
              <w:jc w:val="center"/>
              <w:rPr>
                <w:rFonts w:ascii="ITC Avant Garde" w:hAnsi="ITC Avant Garde"/>
                <w:b/>
                <w:sz w:val="18"/>
                <w:lang w:val="en-US"/>
              </w:rPr>
            </w:pPr>
            <w:r w:rsidRPr="00872052">
              <w:rPr>
                <w:rFonts w:ascii="ITC Avant Garde" w:hAnsi="ITC Avant Garde"/>
                <w:b/>
                <w:sz w:val="18"/>
                <w:lang w:val="en-US"/>
              </w:rPr>
              <w:t>4H8</w:t>
            </w:r>
          </w:p>
        </w:tc>
        <w:tc>
          <w:tcPr>
            <w:tcW w:w="2691" w:type="dxa"/>
            <w:vAlign w:val="center"/>
          </w:tcPr>
          <w:p w:rsidR="005B0846" w:rsidRPr="00872052" w:rsidRDefault="005B0846" w:rsidP="007A227B">
            <w:pPr>
              <w:keepNext/>
              <w:spacing w:line="240" w:lineRule="auto"/>
              <w:jc w:val="center"/>
              <w:rPr>
                <w:rFonts w:ascii="ITC Avant Garde" w:hAnsi="ITC Avant Garde"/>
                <w:sz w:val="18"/>
                <w:lang w:val="en-US"/>
              </w:rPr>
            </w:pPr>
          </w:p>
        </w:tc>
        <w:tc>
          <w:tcPr>
            <w:tcW w:w="2888" w:type="dxa"/>
            <w:vAlign w:val="center"/>
          </w:tcPr>
          <w:p w:rsidR="005B0846" w:rsidRPr="00872052" w:rsidRDefault="005B0846" w:rsidP="007A227B">
            <w:pPr>
              <w:keepNext/>
              <w:spacing w:line="240" w:lineRule="auto"/>
              <w:jc w:val="center"/>
              <w:rPr>
                <w:rFonts w:ascii="ITC Avant Garde" w:hAnsi="ITC Avant Garde"/>
                <w:sz w:val="18"/>
                <w:lang w:val="en-US"/>
              </w:rPr>
            </w:pPr>
          </w:p>
        </w:tc>
      </w:tr>
      <w:tr w:rsidR="005B0846" w:rsidRPr="0049035A" w:rsidTr="007A227B">
        <w:trPr>
          <w:trHeight w:val="3003"/>
        </w:trPr>
        <w:tc>
          <w:tcPr>
            <w:tcW w:w="2915" w:type="dxa"/>
            <w:vAlign w:val="center"/>
          </w:tcPr>
          <w:p w:rsidR="005B0846" w:rsidRPr="00872052" w:rsidRDefault="005B0846" w:rsidP="007A227B">
            <w:pPr>
              <w:keepNext/>
              <w:spacing w:line="240" w:lineRule="auto"/>
              <w:jc w:val="center"/>
              <w:rPr>
                <w:rFonts w:ascii="ITC Avant Garde" w:hAnsi="ITC Avant Garde"/>
                <w:sz w:val="18"/>
                <w:lang w:val="en-US"/>
              </w:rPr>
            </w:pPr>
            <w:r w:rsidRPr="00872052">
              <w:rPr>
                <w:rFonts w:ascii="ITC Avant Garde" w:hAnsi="ITC Avant Garde"/>
                <w:noProof/>
                <w:sz w:val="18"/>
                <w:lang w:val="es-MX" w:eastAsia="es-MX"/>
              </w:rPr>
              <w:drawing>
                <wp:inline distT="0" distB="0" distL="0" distR="0" wp14:anchorId="3606ECF7" wp14:editId="42BD9573">
                  <wp:extent cx="1828800" cy="1656725"/>
                  <wp:effectExtent l="0" t="0" r="0" b="635"/>
                  <wp:docPr id="103"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3497"/>
                          <a:stretch/>
                        </pic:blipFill>
                        <pic:spPr bwMode="auto">
                          <a:xfrm>
                            <a:off x="0" y="0"/>
                            <a:ext cx="1849819" cy="1675766"/>
                          </a:xfrm>
                          <a:prstGeom prst="rect">
                            <a:avLst/>
                          </a:prstGeom>
                          <a:ln>
                            <a:noFill/>
                          </a:ln>
                          <a:extLst>
                            <a:ext uri="{53640926-AAD7-44D8-BBD7-CCE9431645EC}">
                              <a14:shadowObscured xmlns:a14="http://schemas.microsoft.com/office/drawing/2010/main"/>
                            </a:ext>
                          </a:extLst>
                        </pic:spPr>
                      </pic:pic>
                    </a:graphicData>
                  </a:graphic>
                </wp:inline>
              </w:drawing>
            </w:r>
          </w:p>
          <w:p w:rsidR="005B0846" w:rsidRPr="00872052" w:rsidRDefault="005B0846" w:rsidP="007A227B">
            <w:pPr>
              <w:keepNext/>
              <w:spacing w:line="240" w:lineRule="auto"/>
              <w:jc w:val="center"/>
              <w:rPr>
                <w:rFonts w:ascii="ITC Avant Garde" w:hAnsi="ITC Avant Garde"/>
                <w:sz w:val="18"/>
                <w:lang w:val="en-US"/>
              </w:rPr>
            </w:pPr>
          </w:p>
        </w:tc>
        <w:tc>
          <w:tcPr>
            <w:tcW w:w="2691" w:type="dxa"/>
            <w:vAlign w:val="center"/>
          </w:tcPr>
          <w:p w:rsidR="005B0846" w:rsidRPr="00872052" w:rsidRDefault="005B0846" w:rsidP="007A227B">
            <w:pPr>
              <w:keepNext/>
              <w:spacing w:line="240" w:lineRule="auto"/>
              <w:jc w:val="center"/>
              <w:rPr>
                <w:rFonts w:ascii="ITC Avant Garde" w:hAnsi="ITC Avant Garde"/>
                <w:sz w:val="18"/>
                <w:lang w:val="en-US"/>
              </w:rPr>
            </w:pPr>
          </w:p>
          <w:p w:rsidR="005B0846" w:rsidRPr="00872052" w:rsidRDefault="005B0846" w:rsidP="007A227B">
            <w:pPr>
              <w:keepNext/>
              <w:spacing w:line="240" w:lineRule="auto"/>
              <w:jc w:val="center"/>
              <w:rPr>
                <w:rFonts w:ascii="ITC Avant Garde" w:hAnsi="ITC Avant Garde"/>
                <w:sz w:val="18"/>
                <w:lang w:val="en-US"/>
              </w:rPr>
            </w:pPr>
          </w:p>
          <w:p w:rsidR="005B0846" w:rsidRPr="00872052" w:rsidRDefault="005B0846" w:rsidP="007A227B">
            <w:pPr>
              <w:keepNext/>
              <w:spacing w:line="240" w:lineRule="auto"/>
              <w:jc w:val="center"/>
              <w:rPr>
                <w:rFonts w:ascii="ITC Avant Garde" w:hAnsi="ITC Avant Garde"/>
                <w:sz w:val="18"/>
                <w:lang w:val="en-US"/>
              </w:rPr>
            </w:pPr>
          </w:p>
        </w:tc>
        <w:tc>
          <w:tcPr>
            <w:tcW w:w="2888" w:type="dxa"/>
            <w:vAlign w:val="center"/>
          </w:tcPr>
          <w:p w:rsidR="005B0846" w:rsidRPr="00872052" w:rsidRDefault="005B0846" w:rsidP="007A227B">
            <w:pPr>
              <w:keepNext/>
              <w:spacing w:line="240" w:lineRule="auto"/>
              <w:jc w:val="center"/>
              <w:rPr>
                <w:rFonts w:ascii="ITC Avant Garde" w:hAnsi="ITC Avant Garde"/>
                <w:sz w:val="18"/>
                <w:lang w:val="en-US"/>
              </w:rPr>
            </w:pPr>
          </w:p>
        </w:tc>
      </w:tr>
    </w:tbl>
    <w:p w:rsidR="003A0FB4" w:rsidRPr="00CD0C09" w:rsidRDefault="003A0FB4" w:rsidP="0061735A">
      <w:pPr>
        <w:pStyle w:val="Ttulo1"/>
        <w:numPr>
          <w:ilvl w:val="0"/>
          <w:numId w:val="0"/>
        </w:numPr>
        <w:rPr>
          <w:rFonts w:ascii="ITC Avant Garde" w:hAnsi="ITC Avant Garde"/>
        </w:rPr>
      </w:pPr>
      <w:bookmarkStart w:id="366" w:name="_GoBack"/>
      <w:bookmarkEnd w:id="366"/>
    </w:p>
    <w:sectPr w:rsidR="003A0FB4" w:rsidRPr="00CD0C09" w:rsidSect="00CF29C8">
      <w:footerReference w:type="even" r:id="rId67"/>
      <w:footerReference w:type="default" r:id="rId68"/>
      <w:footerReference w:type="first" r:id="rId69"/>
      <w:pgSz w:w="11906" w:h="16838" w:code="9"/>
      <w:pgMar w:top="2126" w:right="1701" w:bottom="1418" w:left="1701" w:header="709" w:footer="709"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113599" w16cid:durableId="1F53CC9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35A" w:rsidRDefault="0061735A">
      <w:r>
        <w:separator/>
      </w:r>
    </w:p>
  </w:endnote>
  <w:endnote w:type="continuationSeparator" w:id="0">
    <w:p w:rsidR="0061735A" w:rsidRDefault="0061735A">
      <w:r>
        <w:continuationSeparator/>
      </w:r>
    </w:p>
  </w:endnote>
  <w:endnote w:type="continuationNotice" w:id="1">
    <w:p w:rsidR="0061735A" w:rsidRDefault="0061735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35A" w:rsidRDefault="0061735A">
    <w:pPr>
      <w:pStyle w:val="Piedepgina"/>
      <w:framePr w:wrap="around" w:vAnchor="text" w:hAnchor="margin" w:y="1"/>
    </w:pPr>
    <w:r>
      <w:fldChar w:fldCharType="begin"/>
    </w:r>
    <w:r>
      <w:instrText xml:space="preserve">PAGE  </w:instrText>
    </w:r>
    <w:r>
      <w:fldChar w:fldCharType="end"/>
    </w:r>
  </w:p>
  <w:p w:rsidR="0061735A" w:rsidRDefault="0061735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rPr>
      <w:id w:val="2040699105"/>
      <w:docPartObj>
        <w:docPartGallery w:val="Page Numbers (Bottom of Page)"/>
        <w:docPartUnique/>
      </w:docPartObj>
    </w:sdtPr>
    <w:sdtContent>
      <w:sdt>
        <w:sdtPr>
          <w:rPr>
            <w:rFonts w:ascii="ITC Avant Garde" w:hAnsi="ITC Avant Garde"/>
          </w:rPr>
          <w:id w:val="1041167748"/>
          <w:docPartObj>
            <w:docPartGallery w:val="Page Numbers (Top of Page)"/>
            <w:docPartUnique/>
          </w:docPartObj>
        </w:sdtPr>
        <w:sdtContent>
          <w:p w:rsidR="0061735A" w:rsidRPr="00B44FE5" w:rsidRDefault="0061735A" w:rsidP="0061735A">
            <w:pPr>
              <w:pStyle w:val="Piedepgina"/>
              <w:jc w:val="right"/>
              <w:rPr>
                <w:rFonts w:ascii="ITC Avant Garde" w:hAnsi="ITC Avant Garde"/>
              </w:rPr>
            </w:pPr>
            <w:r w:rsidRPr="00B44FE5">
              <w:rPr>
                <w:rFonts w:ascii="ITC Avant Garde" w:hAnsi="ITC Avant Garde"/>
                <w:lang w:val="es-ES"/>
              </w:rPr>
              <w:t xml:space="preserve">Página </w:t>
            </w:r>
            <w:r w:rsidRPr="00B44FE5">
              <w:rPr>
                <w:rFonts w:ascii="ITC Avant Garde" w:hAnsi="ITC Avant Garde"/>
                <w:b/>
                <w:bCs/>
                <w:sz w:val="24"/>
              </w:rPr>
              <w:fldChar w:fldCharType="begin"/>
            </w:r>
            <w:r w:rsidRPr="00B44FE5">
              <w:rPr>
                <w:rFonts w:ascii="ITC Avant Garde" w:hAnsi="ITC Avant Garde"/>
                <w:b/>
                <w:bCs/>
              </w:rPr>
              <w:instrText>PAGE</w:instrText>
            </w:r>
            <w:r w:rsidRPr="00B44FE5">
              <w:rPr>
                <w:rFonts w:ascii="ITC Avant Garde" w:hAnsi="ITC Avant Garde"/>
                <w:b/>
                <w:bCs/>
                <w:sz w:val="24"/>
              </w:rPr>
              <w:fldChar w:fldCharType="separate"/>
            </w:r>
            <w:r w:rsidR="007A227B">
              <w:rPr>
                <w:rFonts w:ascii="ITC Avant Garde" w:hAnsi="ITC Avant Garde"/>
                <w:b/>
                <w:bCs/>
                <w:noProof/>
              </w:rPr>
              <w:t>114</w:t>
            </w:r>
            <w:r w:rsidRPr="00B44FE5">
              <w:rPr>
                <w:rFonts w:ascii="ITC Avant Garde" w:hAnsi="ITC Avant Garde"/>
                <w:b/>
                <w:bCs/>
                <w:sz w:val="24"/>
              </w:rPr>
              <w:fldChar w:fldCharType="end"/>
            </w:r>
            <w:r w:rsidRPr="00B44FE5">
              <w:rPr>
                <w:rFonts w:ascii="ITC Avant Garde" w:hAnsi="ITC Avant Garde"/>
                <w:lang w:val="es-ES"/>
              </w:rPr>
              <w:t xml:space="preserve"> de </w:t>
            </w:r>
            <w:r w:rsidRPr="00B44FE5">
              <w:rPr>
                <w:rFonts w:ascii="ITC Avant Garde" w:hAnsi="ITC Avant Garde"/>
                <w:b/>
                <w:bCs/>
                <w:sz w:val="24"/>
              </w:rPr>
              <w:fldChar w:fldCharType="begin"/>
            </w:r>
            <w:r w:rsidRPr="00B44FE5">
              <w:rPr>
                <w:rFonts w:ascii="ITC Avant Garde" w:hAnsi="ITC Avant Garde"/>
                <w:b/>
                <w:bCs/>
              </w:rPr>
              <w:instrText>NUMPAGES</w:instrText>
            </w:r>
            <w:r w:rsidRPr="00B44FE5">
              <w:rPr>
                <w:rFonts w:ascii="ITC Avant Garde" w:hAnsi="ITC Avant Garde"/>
                <w:b/>
                <w:bCs/>
                <w:sz w:val="24"/>
              </w:rPr>
              <w:fldChar w:fldCharType="separate"/>
            </w:r>
            <w:r w:rsidR="007A227B">
              <w:rPr>
                <w:rFonts w:ascii="ITC Avant Garde" w:hAnsi="ITC Avant Garde"/>
                <w:b/>
                <w:bCs/>
                <w:noProof/>
              </w:rPr>
              <w:t>114</w:t>
            </w:r>
            <w:r w:rsidRPr="00B44FE5">
              <w:rPr>
                <w:rFonts w:ascii="ITC Avant Garde" w:hAnsi="ITC Avant Garde"/>
                <w:b/>
                <w:bCs/>
                <w:sz w:val="24"/>
              </w:rPr>
              <w:fldChar w:fldCharType="end"/>
            </w:r>
          </w:p>
        </w:sdtContent>
      </w:sdt>
    </w:sdtContent>
  </w:sdt>
  <w:p w:rsidR="0061735A" w:rsidRDefault="0061735A" w:rsidP="0061735A">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35A" w:rsidRPr="00F1532B" w:rsidRDefault="0061735A" w:rsidP="00F1532B">
    <w:pPr>
      <w:pStyle w:val="Piedepgina"/>
      <w:jc w:val="both"/>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35A" w:rsidRDefault="0061735A">
      <w:r>
        <w:separator/>
      </w:r>
    </w:p>
  </w:footnote>
  <w:footnote w:type="continuationSeparator" w:id="0">
    <w:p w:rsidR="0061735A" w:rsidRDefault="0061735A">
      <w:r>
        <w:continuationSeparator/>
      </w:r>
    </w:p>
  </w:footnote>
  <w:footnote w:type="continuationNotice" w:id="1">
    <w:p w:rsidR="0061735A" w:rsidRDefault="0061735A">
      <w:pPr>
        <w:spacing w:before="0" w:line="240" w:lineRule="auto"/>
      </w:pPr>
    </w:p>
  </w:footnote>
  <w:footnote w:id="2">
    <w:p w:rsidR="0061735A" w:rsidRPr="00CD0C09" w:rsidRDefault="0061735A" w:rsidP="00B914E4">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Documento de trabajo del personal de la Comisión que acompaña a la Recomendación de la Comisión sobre el tratamiento reglamentario de las tarifas de terminación fijas y móviles en la U</w:t>
      </w:r>
      <w:r>
        <w:rPr>
          <w:rFonts w:ascii="ITC Avant Garde" w:hAnsi="ITC Avant Garde"/>
          <w:lang w:val="es-MX"/>
        </w:rPr>
        <w:t xml:space="preserve">nión </w:t>
      </w:r>
      <w:r w:rsidRPr="00CD0C09">
        <w:rPr>
          <w:rFonts w:ascii="ITC Avant Garde" w:hAnsi="ITC Avant Garde"/>
          <w:lang w:val="es-MX"/>
        </w:rPr>
        <w:t>E</w:t>
      </w:r>
      <w:r>
        <w:rPr>
          <w:rFonts w:ascii="ITC Avant Garde" w:hAnsi="ITC Avant Garde"/>
          <w:lang w:val="es-MX"/>
        </w:rPr>
        <w:t>uropea</w:t>
      </w:r>
      <w:r w:rsidRPr="00CD0C09">
        <w:rPr>
          <w:rFonts w:ascii="ITC Avant Garde" w:hAnsi="ITC Avant Garde"/>
          <w:lang w:val="es-MX"/>
        </w:rPr>
        <w:t>, Nota Explicativa, C (2009) 3359 final, SEC (2009) 599, mayo de 2009, página 13.</w:t>
      </w:r>
    </w:p>
  </w:footnote>
  <w:footnote w:id="3">
    <w:p w:rsidR="0061735A" w:rsidRPr="00CD0C09" w:rsidRDefault="0061735A">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Comisión Europea, recomendación sobre "obligaciones consistentes de no discriminación y metodologías de cálculo de costos para promover la competencia y mejorar el entorno de la inversión en banda ancha", 11 de septiembre de 2013, </w:t>
      </w:r>
      <w:proofErr w:type="spellStart"/>
      <w:r w:rsidRPr="00CD0C09">
        <w:rPr>
          <w:rFonts w:ascii="ITC Avant Garde" w:hAnsi="ITC Avant Garde"/>
          <w:lang w:val="es-MX"/>
        </w:rPr>
        <w:t>ref</w:t>
      </w:r>
      <w:proofErr w:type="spellEnd"/>
      <w:r w:rsidRPr="00CD0C09">
        <w:rPr>
          <w:rFonts w:ascii="ITC Avant Garde" w:hAnsi="ITC Avant Garde"/>
          <w:lang w:val="es-MX"/>
        </w:rPr>
        <w:t xml:space="preserve"> C (2013) 5761, artículo 6 (k)</w:t>
      </w:r>
    </w:p>
  </w:footnote>
  <w:footnote w:id="4">
    <w:p w:rsidR="0061735A" w:rsidRPr="00CD0C09" w:rsidRDefault="0061735A">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w:t>
      </w:r>
      <w:r>
        <w:rPr>
          <w:rFonts w:ascii="ITC Avant Garde" w:hAnsi="ITC Avant Garde"/>
          <w:lang w:val="es-MX"/>
        </w:rPr>
        <w:t>IFT (</w:t>
      </w:r>
      <w:proofErr w:type="spellStart"/>
      <w:r>
        <w:rPr>
          <w:rFonts w:ascii="ITC Avant Garde" w:hAnsi="ITC Avant Garde"/>
          <w:lang w:val="es-MX"/>
        </w:rPr>
        <w:t>Analysys</w:t>
      </w:r>
      <w:proofErr w:type="spellEnd"/>
      <w:r>
        <w:rPr>
          <w:rFonts w:ascii="ITC Avant Garde" w:hAnsi="ITC Avant Garde"/>
          <w:lang w:val="es-MX"/>
        </w:rPr>
        <w:t xml:space="preserve"> Mason)</w:t>
      </w:r>
      <w:r w:rsidRPr="00CD0C09">
        <w:rPr>
          <w:rFonts w:ascii="ITC Avant Garde" w:hAnsi="ITC Avant Garde"/>
          <w:lang w:val="es-MX"/>
        </w:rPr>
        <w:t>, Informe final del modelo de costos incrementales de largo plazo – red de acceso fij</w:t>
      </w:r>
      <w:r>
        <w:rPr>
          <w:rFonts w:ascii="ITC Avant Garde" w:hAnsi="ITC Avant Garde"/>
          <w:lang w:val="es-MX"/>
        </w:rPr>
        <w:t>a</w:t>
      </w:r>
      <w:r w:rsidRPr="00CD0C09">
        <w:rPr>
          <w:rFonts w:ascii="ITC Avant Garde" w:hAnsi="ITC Avant Garde"/>
          <w:lang w:val="es-MX"/>
        </w:rPr>
        <w:t xml:space="preserve">, 15 </w:t>
      </w:r>
      <w:r>
        <w:rPr>
          <w:rFonts w:ascii="ITC Avant Garde" w:hAnsi="ITC Avant Garde"/>
          <w:lang w:val="es-MX"/>
        </w:rPr>
        <w:t>de diciembre de</w:t>
      </w:r>
      <w:r w:rsidRPr="00CD0C09">
        <w:rPr>
          <w:rFonts w:ascii="ITC Avant Garde" w:hAnsi="ITC Avant Garde"/>
          <w:lang w:val="es-MX"/>
        </w:rPr>
        <w:t xml:space="preserve"> 2015, página 16</w:t>
      </w:r>
    </w:p>
  </w:footnote>
  <w:footnote w:id="5">
    <w:p w:rsidR="0061735A" w:rsidRPr="00CD0C09" w:rsidRDefault="0061735A">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IFT, Desarrollo del modelo de costos para la determinación de las tarifas de acceso a la red de fibra óptica del Agente Económico Preponderante (AEP), Documento metodológico, pagina 10, disponible a través de la siguiente liga: </w:t>
      </w:r>
      <w:hyperlink r:id="rId1" w:history="1">
        <w:r w:rsidRPr="00CD0C09">
          <w:rPr>
            <w:rStyle w:val="Hipervnculo"/>
            <w:rFonts w:ascii="ITC Avant Garde" w:hAnsi="ITC Avant Garde"/>
            <w:lang w:val="es-MX"/>
          </w:rPr>
          <w:t>http://www.ift.org.mx/industria/consultas-publicas/consulta-publica-sobre-el-modelo-de-costos-para-determinar-las-tarifas-de-acceso-para-la</w:t>
        </w:r>
      </w:hyperlink>
      <w:r w:rsidRPr="00CD0C09">
        <w:rPr>
          <w:rFonts w:ascii="ITC Avant Garde" w:hAnsi="ITC Avant Garde"/>
          <w:lang w:val="es-MX"/>
        </w:rPr>
        <w:t xml:space="preserve"> </w:t>
      </w:r>
    </w:p>
  </w:footnote>
  <w:footnote w:id="6">
    <w:p w:rsidR="0061735A" w:rsidRPr="00CD0C09" w:rsidRDefault="0061735A" w:rsidP="009107A2">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Comisión Europea, recomendación sobre "obligaciones consistentes de no discriminación y metodologías de cálculo de costos para promover la competencia y mejorar el entorno de la inversión en banda ancha", 11 de septiembre de 2013, </w:t>
      </w:r>
      <w:proofErr w:type="spellStart"/>
      <w:r w:rsidRPr="00CD0C09">
        <w:rPr>
          <w:rFonts w:ascii="ITC Avant Garde" w:hAnsi="ITC Avant Garde"/>
          <w:lang w:val="es-MX"/>
        </w:rPr>
        <w:t>ref</w:t>
      </w:r>
      <w:proofErr w:type="spellEnd"/>
      <w:r w:rsidRPr="00CD0C09">
        <w:rPr>
          <w:rFonts w:ascii="ITC Avant Garde" w:hAnsi="ITC Avant Garde"/>
          <w:lang w:val="es-MX"/>
        </w:rPr>
        <w:t xml:space="preserve"> C (2013) 5761, artículo 6 (k)</w:t>
      </w:r>
    </w:p>
  </w:footnote>
  <w:footnote w:id="7">
    <w:p w:rsidR="0061735A" w:rsidRPr="00CD0C09" w:rsidRDefault="0061735A">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w:t>
      </w:r>
      <w:r w:rsidRPr="002806BF">
        <w:rPr>
          <w:rFonts w:ascii="ITC Avant Garde" w:hAnsi="ITC Avant Garde"/>
          <w:lang w:val="es-419"/>
        </w:rPr>
        <w:t>I</w:t>
      </w:r>
      <w:r w:rsidRPr="00CD0C09">
        <w:rPr>
          <w:rFonts w:ascii="ITC Avant Garde" w:hAnsi="ITC Avant Garde"/>
          <w:lang w:val="es-419"/>
        </w:rPr>
        <w:t>FT</w:t>
      </w:r>
      <w:r>
        <w:rPr>
          <w:rFonts w:ascii="ITC Avant Garde" w:hAnsi="ITC Avant Garde"/>
          <w:lang w:val="es-419"/>
        </w:rPr>
        <w:t xml:space="preserve"> (</w:t>
      </w:r>
      <w:proofErr w:type="spellStart"/>
      <w:r>
        <w:rPr>
          <w:rFonts w:ascii="ITC Avant Garde" w:hAnsi="ITC Avant Garde"/>
          <w:lang w:val="es-419"/>
        </w:rPr>
        <w:t>Analysys</w:t>
      </w:r>
      <w:proofErr w:type="spellEnd"/>
      <w:r>
        <w:rPr>
          <w:rFonts w:ascii="ITC Avant Garde" w:hAnsi="ITC Avant Garde"/>
          <w:lang w:val="es-419"/>
        </w:rPr>
        <w:t xml:space="preserve"> Mason)</w:t>
      </w:r>
      <w:r w:rsidRPr="00CD0C09">
        <w:rPr>
          <w:rFonts w:ascii="ITC Avant Garde" w:hAnsi="ITC Avant Garde"/>
          <w:lang w:val="es-419"/>
        </w:rPr>
        <w:t>, Informe final del modelo de costos incrementales de largo plazo – red de acceso fij</w:t>
      </w:r>
      <w:r>
        <w:rPr>
          <w:rFonts w:ascii="ITC Avant Garde" w:hAnsi="ITC Avant Garde"/>
          <w:lang w:val="es-419"/>
        </w:rPr>
        <w:t>a</w:t>
      </w:r>
      <w:r w:rsidRPr="00CD0C09">
        <w:rPr>
          <w:rFonts w:ascii="ITC Avant Garde" w:hAnsi="ITC Avant Garde"/>
          <w:lang w:val="es-419"/>
        </w:rPr>
        <w:t>, 15</w:t>
      </w:r>
      <w:r>
        <w:rPr>
          <w:rFonts w:ascii="ITC Avant Garde" w:hAnsi="ITC Avant Garde"/>
          <w:lang w:val="es-419"/>
        </w:rPr>
        <w:t xml:space="preserve"> de diciembre de</w:t>
      </w:r>
      <w:r w:rsidRPr="00CD0C09">
        <w:rPr>
          <w:rFonts w:ascii="ITC Avant Garde" w:hAnsi="ITC Avant Garde"/>
          <w:lang w:val="es-419"/>
        </w:rPr>
        <w:t xml:space="preserve">, 2015, </w:t>
      </w:r>
      <w:r>
        <w:rPr>
          <w:rFonts w:ascii="ITC Avant Garde" w:hAnsi="ITC Avant Garde"/>
          <w:lang w:val="es-419"/>
        </w:rPr>
        <w:t>pá</w:t>
      </w:r>
      <w:r w:rsidRPr="00CD0C09">
        <w:rPr>
          <w:rFonts w:ascii="ITC Avant Garde" w:hAnsi="ITC Avant Garde"/>
          <w:lang w:val="es-419"/>
        </w:rPr>
        <w:t>gina 16</w:t>
      </w:r>
    </w:p>
  </w:footnote>
  <w:footnote w:id="8">
    <w:p w:rsidR="0061735A" w:rsidRPr="00CD0C09" w:rsidRDefault="0061735A">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w:t>
      </w:r>
      <w:r>
        <w:rPr>
          <w:rFonts w:ascii="ITC Avant Garde" w:hAnsi="ITC Avant Garde"/>
          <w:lang w:val="es-MX"/>
        </w:rPr>
        <w:t xml:space="preserve">IFT, </w:t>
      </w:r>
      <w:r w:rsidRPr="00CD0C09">
        <w:rPr>
          <w:rFonts w:ascii="ITC Avant Garde" w:hAnsi="ITC Avant Garde"/>
          <w:lang w:val="es-MX"/>
        </w:rPr>
        <w:t>Documento Metodológico</w:t>
      </w:r>
      <w:r w:rsidRPr="00CD0C09">
        <w:rPr>
          <w:rFonts w:ascii="ITC Avant Garde" w:hAnsi="ITC Avant Garde"/>
          <w:lang w:val="es-419"/>
        </w:rPr>
        <w:t>, Desarrollo del modelo de costos para la determinación de las tarifas de acceso a la red de fibra óptica del Agente Económico Preponderante (AEP), página 12</w:t>
      </w:r>
    </w:p>
  </w:footnote>
  <w:footnote w:id="9">
    <w:p w:rsidR="0061735A" w:rsidRPr="00CD0C09" w:rsidRDefault="0061735A">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w:t>
      </w:r>
      <w:r w:rsidRPr="00CD0C09">
        <w:rPr>
          <w:rFonts w:ascii="ITC Avant Garde" w:hAnsi="ITC Avant Garde"/>
          <w:lang w:val="es-419"/>
        </w:rPr>
        <w:t xml:space="preserve">IFT </w:t>
      </w:r>
      <w:r>
        <w:rPr>
          <w:rFonts w:ascii="ITC Avant Garde" w:hAnsi="ITC Avant Garde"/>
          <w:lang w:val="es-419"/>
        </w:rPr>
        <w:t>(</w:t>
      </w:r>
      <w:proofErr w:type="spellStart"/>
      <w:r>
        <w:rPr>
          <w:rFonts w:ascii="ITC Avant Garde" w:hAnsi="ITC Avant Garde"/>
          <w:lang w:val="es-419"/>
        </w:rPr>
        <w:t>Analysys</w:t>
      </w:r>
      <w:proofErr w:type="spellEnd"/>
      <w:r>
        <w:rPr>
          <w:rFonts w:ascii="ITC Avant Garde" w:hAnsi="ITC Avant Garde"/>
          <w:lang w:val="es-419"/>
        </w:rPr>
        <w:t xml:space="preserve"> Mason), </w:t>
      </w:r>
      <w:r w:rsidRPr="00CD0C09">
        <w:rPr>
          <w:rFonts w:ascii="ITC Avant Garde" w:hAnsi="ITC Avant Garde"/>
          <w:lang w:val="es-419"/>
        </w:rPr>
        <w:t>Informe final del modelo de costos incrementales de largo plazo – red de acceso fij</w:t>
      </w:r>
      <w:r>
        <w:rPr>
          <w:rFonts w:ascii="ITC Avant Garde" w:hAnsi="ITC Avant Garde"/>
          <w:lang w:val="es-419"/>
        </w:rPr>
        <w:t>a</w:t>
      </w:r>
      <w:r w:rsidRPr="00CD0C09">
        <w:rPr>
          <w:rFonts w:ascii="ITC Avant Garde" w:hAnsi="ITC Avant Garde"/>
          <w:lang w:val="es-419"/>
        </w:rPr>
        <w:t xml:space="preserve">, 15 </w:t>
      </w:r>
      <w:r>
        <w:rPr>
          <w:rFonts w:ascii="ITC Avant Garde" w:hAnsi="ITC Avant Garde"/>
          <w:lang w:val="es-419"/>
        </w:rPr>
        <w:t>de diciembre de</w:t>
      </w:r>
      <w:r w:rsidRPr="00CD0C09">
        <w:rPr>
          <w:rFonts w:ascii="ITC Avant Garde" w:hAnsi="ITC Avant Garde"/>
          <w:lang w:val="es-419"/>
        </w:rPr>
        <w:t xml:space="preserve"> 2015</w:t>
      </w:r>
      <w:r>
        <w:rPr>
          <w:rFonts w:ascii="ITC Avant Garde" w:hAnsi="ITC Avant Garde"/>
          <w:lang w:val="es-419"/>
        </w:rPr>
        <w:t>,</w:t>
      </w:r>
      <w:r w:rsidRPr="00CD0C09">
        <w:rPr>
          <w:rFonts w:ascii="ITC Avant Garde" w:hAnsi="ITC Avant Garde"/>
          <w:lang w:val="es-419"/>
        </w:rPr>
        <w:t xml:space="preserve"> página 18</w:t>
      </w:r>
    </w:p>
  </w:footnote>
  <w:footnote w:id="10">
    <w:p w:rsidR="0061735A" w:rsidRPr="00CD0C09" w:rsidRDefault="0061735A">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w:t>
      </w:r>
      <w:r>
        <w:rPr>
          <w:rFonts w:ascii="ITC Avant Garde" w:hAnsi="ITC Avant Garde"/>
          <w:lang w:val="es-MX"/>
        </w:rPr>
        <w:t xml:space="preserve">IFT, </w:t>
      </w:r>
      <w:r w:rsidRPr="00CD0C09">
        <w:rPr>
          <w:rFonts w:ascii="ITC Avant Garde" w:hAnsi="ITC Avant Garde"/>
          <w:lang w:val="es-MX"/>
        </w:rPr>
        <w:t>Documento Metodológico</w:t>
      </w:r>
      <w:r w:rsidRPr="00CD0C09">
        <w:rPr>
          <w:rFonts w:ascii="ITC Avant Garde" w:hAnsi="ITC Avant Garde"/>
          <w:lang w:val="es-419"/>
        </w:rPr>
        <w:t>, Desarrollo del modelo de costos para la determinación de las tarifas de acceso a la red de fibra óptica del Agente Económico Preponderante (AEP), página 15</w:t>
      </w:r>
    </w:p>
  </w:footnote>
  <w:footnote w:id="11">
    <w:p w:rsidR="0061735A" w:rsidRPr="00CD0C09" w:rsidRDefault="0061735A">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Comisión Europea, recomendación sobre "obligaciones consistentes de no discriminación y metodologías de cálculo de costos para promover la competencia y mejorar el entorno de la inversión en banda ancha", 11 de septiembre de 2013, </w:t>
      </w:r>
      <w:proofErr w:type="spellStart"/>
      <w:r w:rsidRPr="00CD0C09">
        <w:rPr>
          <w:rFonts w:ascii="ITC Avant Garde" w:hAnsi="ITC Avant Garde"/>
          <w:lang w:val="es-MX"/>
        </w:rPr>
        <w:t>ref</w:t>
      </w:r>
      <w:proofErr w:type="spellEnd"/>
      <w:r w:rsidRPr="00CD0C09">
        <w:rPr>
          <w:rFonts w:ascii="ITC Avant Garde" w:hAnsi="ITC Avant Garde"/>
          <w:lang w:val="es-MX"/>
        </w:rPr>
        <w:t xml:space="preserve"> C (2013) 5761, artículo 31</w:t>
      </w:r>
    </w:p>
  </w:footnote>
  <w:footnote w:id="12">
    <w:p w:rsidR="0061735A" w:rsidRPr="00CD0C09" w:rsidRDefault="0061735A">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w:t>
      </w:r>
      <w:r w:rsidRPr="00CD0C09">
        <w:rPr>
          <w:rFonts w:ascii="ITC Avant Garde" w:hAnsi="ITC Avant Garde"/>
          <w:lang w:val="es-419"/>
        </w:rPr>
        <w:t>IFT</w:t>
      </w:r>
      <w:r>
        <w:rPr>
          <w:rFonts w:ascii="ITC Avant Garde" w:hAnsi="ITC Avant Garde"/>
          <w:lang w:val="es-419"/>
        </w:rPr>
        <w:t xml:space="preserve"> (</w:t>
      </w:r>
      <w:proofErr w:type="spellStart"/>
      <w:r>
        <w:rPr>
          <w:rFonts w:ascii="ITC Avant Garde" w:hAnsi="ITC Avant Garde"/>
          <w:lang w:val="es-419"/>
        </w:rPr>
        <w:t>Analysys</w:t>
      </w:r>
      <w:proofErr w:type="spellEnd"/>
      <w:r>
        <w:rPr>
          <w:rFonts w:ascii="ITC Avant Garde" w:hAnsi="ITC Avant Garde"/>
          <w:lang w:val="es-419"/>
        </w:rPr>
        <w:t xml:space="preserve"> Mason)</w:t>
      </w:r>
      <w:r w:rsidRPr="00CD0C09">
        <w:rPr>
          <w:rFonts w:ascii="ITC Avant Garde" w:hAnsi="ITC Avant Garde"/>
          <w:lang w:val="es-419"/>
        </w:rPr>
        <w:t>,</w:t>
      </w:r>
      <w:r>
        <w:rPr>
          <w:rFonts w:ascii="ITC Avant Garde" w:hAnsi="ITC Avant Garde"/>
          <w:lang w:val="es-419"/>
        </w:rPr>
        <w:t xml:space="preserve"> </w:t>
      </w:r>
      <w:r w:rsidRPr="00CD0C09">
        <w:rPr>
          <w:rFonts w:ascii="ITC Avant Garde" w:hAnsi="ITC Avant Garde"/>
          <w:lang w:val="es-419"/>
        </w:rPr>
        <w:t>Informe final del modelo de costos incrementales de largo plazo – red de acceso fij</w:t>
      </w:r>
      <w:r>
        <w:rPr>
          <w:rFonts w:ascii="ITC Avant Garde" w:hAnsi="ITC Avant Garde"/>
          <w:lang w:val="es-419"/>
        </w:rPr>
        <w:t>a</w:t>
      </w:r>
      <w:r w:rsidRPr="00CD0C09">
        <w:rPr>
          <w:rFonts w:ascii="ITC Avant Garde" w:hAnsi="ITC Avant Garde"/>
          <w:lang w:val="es-419"/>
        </w:rPr>
        <w:t xml:space="preserve">, 15 </w:t>
      </w:r>
      <w:r>
        <w:rPr>
          <w:rFonts w:ascii="ITC Avant Garde" w:hAnsi="ITC Avant Garde"/>
          <w:lang w:val="es-419"/>
        </w:rPr>
        <w:t>de diciembre de</w:t>
      </w:r>
      <w:r w:rsidRPr="00CD0C09">
        <w:rPr>
          <w:rFonts w:ascii="ITC Avant Garde" w:hAnsi="ITC Avant Garde"/>
          <w:lang w:val="es-419"/>
        </w:rPr>
        <w:t xml:space="preserve"> 2015 páginas 20</w:t>
      </w:r>
      <w:r>
        <w:rPr>
          <w:rFonts w:ascii="ITC Avant Garde" w:hAnsi="ITC Avant Garde"/>
          <w:lang w:val="es-419"/>
        </w:rPr>
        <w:t xml:space="preserve"> a </w:t>
      </w:r>
      <w:r w:rsidRPr="00CD0C09">
        <w:rPr>
          <w:rFonts w:ascii="ITC Avant Garde" w:hAnsi="ITC Avant Garde"/>
          <w:lang w:val="es-419"/>
        </w:rPr>
        <w:t>21</w:t>
      </w:r>
    </w:p>
  </w:footnote>
  <w:footnote w:id="13">
    <w:p w:rsidR="0061735A" w:rsidRPr="00CD0C09" w:rsidRDefault="0061735A">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w:t>
      </w:r>
      <w:r>
        <w:rPr>
          <w:rFonts w:ascii="ITC Avant Garde" w:hAnsi="ITC Avant Garde"/>
          <w:lang w:val="es-MX"/>
        </w:rPr>
        <w:t xml:space="preserve">IFT, </w:t>
      </w:r>
      <w:r w:rsidRPr="00CD0C09">
        <w:rPr>
          <w:rFonts w:ascii="ITC Avant Garde" w:hAnsi="ITC Avant Garde"/>
          <w:lang w:val="es-MX"/>
        </w:rPr>
        <w:t>Documento Metodológico</w:t>
      </w:r>
      <w:r w:rsidRPr="00CD0C09">
        <w:rPr>
          <w:rFonts w:ascii="ITC Avant Garde" w:hAnsi="ITC Avant Garde"/>
          <w:lang w:val="es-419"/>
        </w:rPr>
        <w:t>, Desarrollo del modelo de costos para la determinación de las tarifas de acceso a la red de fibra óptica del Agente Económico Preponderante (AEP), p</w:t>
      </w:r>
      <w:r>
        <w:rPr>
          <w:rFonts w:ascii="ITC Avant Garde" w:hAnsi="ITC Avant Garde"/>
          <w:lang w:val="es-419"/>
        </w:rPr>
        <w:t>ágina</w:t>
      </w:r>
      <w:r w:rsidRPr="00CD0C09">
        <w:rPr>
          <w:rFonts w:ascii="ITC Avant Garde" w:hAnsi="ITC Avant Garde"/>
          <w:lang w:val="es-419"/>
        </w:rPr>
        <w:t xml:space="preserve"> 13</w:t>
      </w:r>
    </w:p>
  </w:footnote>
  <w:footnote w:id="14">
    <w:p w:rsidR="0061735A" w:rsidRPr="00CD0C09" w:rsidRDefault="0061735A">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w:t>
      </w:r>
      <w:r w:rsidRPr="00CD0C09">
        <w:rPr>
          <w:rFonts w:ascii="ITC Avant Garde" w:hAnsi="ITC Avant Garde"/>
          <w:lang w:val="es-419"/>
        </w:rPr>
        <w:t>IFT (</w:t>
      </w:r>
      <w:proofErr w:type="spellStart"/>
      <w:r>
        <w:rPr>
          <w:rFonts w:ascii="ITC Avant Garde" w:hAnsi="ITC Avant Garde"/>
          <w:lang w:val="es-419"/>
        </w:rPr>
        <w:t>A</w:t>
      </w:r>
      <w:r w:rsidRPr="00CD0C09">
        <w:rPr>
          <w:rFonts w:ascii="ITC Avant Garde" w:hAnsi="ITC Avant Garde"/>
          <w:lang w:val="es-419"/>
        </w:rPr>
        <w:t>nalysys</w:t>
      </w:r>
      <w:proofErr w:type="spellEnd"/>
      <w:r w:rsidRPr="00CD0C09">
        <w:rPr>
          <w:rFonts w:ascii="ITC Avant Garde" w:hAnsi="ITC Avant Garde"/>
          <w:lang w:val="es-419"/>
        </w:rPr>
        <w:t xml:space="preserve"> </w:t>
      </w:r>
      <w:r>
        <w:rPr>
          <w:rFonts w:ascii="ITC Avant Garde" w:hAnsi="ITC Avant Garde"/>
          <w:lang w:val="es-419"/>
        </w:rPr>
        <w:t>M</w:t>
      </w:r>
      <w:r w:rsidRPr="00CD0C09">
        <w:rPr>
          <w:rFonts w:ascii="ITC Avant Garde" w:hAnsi="ITC Avant Garde"/>
          <w:lang w:val="es-419"/>
        </w:rPr>
        <w:t xml:space="preserve">ason), Informe final del modelo de costos incrementales de largo plazo – red de acceso </w:t>
      </w:r>
      <w:r w:rsidRPr="006319A2">
        <w:rPr>
          <w:rFonts w:ascii="ITC Avant Garde" w:hAnsi="ITC Avant Garde"/>
          <w:lang w:val="es-419"/>
        </w:rPr>
        <w:t>fija</w:t>
      </w:r>
      <w:r w:rsidRPr="00CD0C09">
        <w:rPr>
          <w:rFonts w:ascii="ITC Avant Garde" w:hAnsi="ITC Avant Garde"/>
          <w:lang w:val="es-419"/>
        </w:rPr>
        <w:t xml:space="preserve">, 15 </w:t>
      </w:r>
      <w:r>
        <w:rPr>
          <w:rFonts w:ascii="ITC Avant Garde" w:hAnsi="ITC Avant Garde"/>
          <w:lang w:val="es-419"/>
        </w:rPr>
        <w:t>de diciembre de</w:t>
      </w:r>
      <w:r w:rsidRPr="00CD0C09">
        <w:rPr>
          <w:rFonts w:ascii="ITC Avant Garde" w:hAnsi="ITC Avant Garde"/>
          <w:lang w:val="es-419"/>
        </w:rPr>
        <w:t xml:space="preserve"> 2015</w:t>
      </w:r>
      <w:r>
        <w:rPr>
          <w:rFonts w:ascii="ITC Avant Garde" w:hAnsi="ITC Avant Garde"/>
          <w:lang w:val="es-419"/>
        </w:rPr>
        <w:t xml:space="preserve">, </w:t>
      </w:r>
      <w:r w:rsidRPr="00CD0C09">
        <w:rPr>
          <w:rFonts w:ascii="ITC Avant Garde" w:hAnsi="ITC Avant Garde"/>
          <w:lang w:val="es-419"/>
        </w:rPr>
        <w:t xml:space="preserve">páginas 26 </w:t>
      </w:r>
      <w:r w:rsidRPr="006319A2">
        <w:rPr>
          <w:rFonts w:ascii="ITC Avant Garde" w:hAnsi="ITC Avant Garde"/>
          <w:lang w:val="es-419"/>
        </w:rPr>
        <w:t xml:space="preserve">a </w:t>
      </w:r>
      <w:r w:rsidRPr="00CD0C09">
        <w:rPr>
          <w:rFonts w:ascii="ITC Avant Garde" w:hAnsi="ITC Avant Garde"/>
          <w:lang w:val="es-419"/>
        </w:rPr>
        <w:t>35</w:t>
      </w:r>
    </w:p>
  </w:footnote>
  <w:footnote w:id="15">
    <w:p w:rsidR="0061735A" w:rsidRPr="00CD0C09" w:rsidRDefault="0061735A">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w:t>
      </w:r>
      <w:r w:rsidRPr="00CD0C09">
        <w:rPr>
          <w:rFonts w:ascii="ITC Avant Garde" w:hAnsi="ITC Avant Garde"/>
          <w:lang w:val="es-419"/>
        </w:rPr>
        <w:t>IFT (</w:t>
      </w:r>
      <w:proofErr w:type="spellStart"/>
      <w:r w:rsidRPr="00CD0C09">
        <w:rPr>
          <w:rFonts w:ascii="ITC Avant Garde" w:hAnsi="ITC Avant Garde"/>
          <w:lang w:val="es-419"/>
        </w:rPr>
        <w:t>Axon</w:t>
      </w:r>
      <w:proofErr w:type="spellEnd"/>
      <w:r w:rsidRPr="00CD0C09">
        <w:rPr>
          <w:rFonts w:ascii="ITC Avant Garde" w:hAnsi="ITC Avant Garde"/>
          <w:lang w:val="es-419"/>
        </w:rPr>
        <w:t xml:space="preserve">), </w:t>
      </w:r>
      <w:r w:rsidRPr="00CD0C09">
        <w:rPr>
          <w:rFonts w:ascii="ITC Avant Garde" w:hAnsi="ITC Avant Garde"/>
          <w:lang w:val="es-MX"/>
        </w:rPr>
        <w:t>Documento Metodológico</w:t>
      </w:r>
      <w:r w:rsidRPr="00CD0C09">
        <w:rPr>
          <w:rFonts w:ascii="ITC Avant Garde" w:hAnsi="ITC Avant Garde"/>
          <w:lang w:val="es-419"/>
        </w:rPr>
        <w:t xml:space="preserve">, Desarrollo del modelo de costos para la determinación de las tarifas de acceso a la red de fibra óptica del Agente Económico Preponderante (AEP), páginas 16 </w:t>
      </w:r>
      <w:r w:rsidRPr="006319A2">
        <w:rPr>
          <w:rFonts w:ascii="ITC Avant Garde" w:hAnsi="ITC Avant Garde"/>
          <w:lang w:val="es-419"/>
        </w:rPr>
        <w:t xml:space="preserve">a </w:t>
      </w:r>
      <w:r w:rsidRPr="00CD0C09">
        <w:rPr>
          <w:rFonts w:ascii="ITC Avant Garde" w:hAnsi="ITC Avant Garde"/>
          <w:lang w:val="es-419"/>
        </w:rPr>
        <w:t>21</w:t>
      </w:r>
    </w:p>
  </w:footnote>
  <w:footnote w:id="16">
    <w:p w:rsidR="0061735A" w:rsidRPr="00CD0C09" w:rsidRDefault="0061735A">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w:t>
      </w:r>
      <w:r w:rsidRPr="006319A2">
        <w:rPr>
          <w:rFonts w:ascii="ITC Avant Garde" w:hAnsi="ITC Avant Garde"/>
          <w:lang w:val="es-MX"/>
        </w:rPr>
        <w:t>Anexo</w:t>
      </w:r>
      <w:r>
        <w:rPr>
          <w:rFonts w:ascii="ITC Avant Garde" w:hAnsi="ITC Avant Garde"/>
          <w:lang w:val="es-MX"/>
        </w:rPr>
        <w:t>s de</w:t>
      </w:r>
      <w:r w:rsidRPr="00CD0C09">
        <w:rPr>
          <w:rFonts w:ascii="ITC Avant Garde" w:hAnsi="ITC Avant Garde"/>
          <w:lang w:val="es-MX"/>
        </w:rPr>
        <w:t xml:space="preserve"> Tarifas ORCI </w:t>
      </w:r>
      <w:r>
        <w:rPr>
          <w:rFonts w:ascii="ITC Avant Garde" w:hAnsi="ITC Avant Garde"/>
          <w:lang w:val="es-MX"/>
        </w:rPr>
        <w:t>y</w:t>
      </w:r>
      <w:r w:rsidRPr="006319A2">
        <w:rPr>
          <w:rFonts w:ascii="ITC Avant Garde" w:hAnsi="ITC Avant Garde"/>
          <w:lang w:val="es-MX"/>
        </w:rPr>
        <w:t xml:space="preserve"> </w:t>
      </w:r>
      <w:r w:rsidRPr="00CD0C09">
        <w:rPr>
          <w:rFonts w:ascii="ITC Avant Garde" w:hAnsi="ITC Avant Garde"/>
          <w:lang w:val="es-MX"/>
        </w:rPr>
        <w:t>OREDA</w:t>
      </w:r>
    </w:p>
  </w:footnote>
  <w:footnote w:id="17">
    <w:p w:rsidR="0061735A" w:rsidRPr="00CD0C09" w:rsidRDefault="0061735A">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Comisión Europea, recomendación sobre "obligaciones consistentes de no discriminación y metodologías de cálculo de costos para promover la competencia y mejorar el entorno de la inversión en banda ancha", 11 de septiembre de 2013, </w:t>
      </w:r>
      <w:proofErr w:type="spellStart"/>
      <w:r w:rsidRPr="00CD0C09">
        <w:rPr>
          <w:rFonts w:ascii="ITC Avant Garde" w:hAnsi="ITC Avant Garde"/>
          <w:lang w:val="es-MX"/>
        </w:rPr>
        <w:t>ref</w:t>
      </w:r>
      <w:proofErr w:type="spellEnd"/>
      <w:r w:rsidRPr="00CD0C09">
        <w:rPr>
          <w:rFonts w:ascii="ITC Avant Garde" w:hAnsi="ITC Avant Garde"/>
          <w:lang w:val="es-MX"/>
        </w:rPr>
        <w:t xml:space="preserve"> C (2013) 5761, artículo 31</w:t>
      </w:r>
    </w:p>
  </w:footnote>
  <w:footnote w:id="18">
    <w:p w:rsidR="0061735A" w:rsidRPr="00CD0C09" w:rsidRDefault="0061735A" w:rsidP="00253E64">
      <w:pPr>
        <w:pStyle w:val="Textonotapie"/>
        <w:rPr>
          <w:rFonts w:ascii="ITC Avant Garde" w:hAnsi="ITC Avant Garde"/>
        </w:rPr>
      </w:pPr>
      <w:r w:rsidRPr="00CD0C09">
        <w:rPr>
          <w:rStyle w:val="Refdenotaalpie"/>
          <w:rFonts w:ascii="ITC Avant Garde" w:hAnsi="ITC Avant Garde"/>
        </w:rPr>
        <w:footnoteRef/>
      </w:r>
      <w:r w:rsidRPr="00CD0C09">
        <w:rPr>
          <w:rFonts w:ascii="ITC Avant Garde" w:hAnsi="ITC Avant Garde"/>
        </w:rPr>
        <w:t xml:space="preserve"> ‘International Telecommunication Union Regulatory Accounting Guide’, 2009</w:t>
      </w:r>
    </w:p>
  </w:footnote>
  <w:footnote w:id="19">
    <w:p w:rsidR="0061735A" w:rsidRPr="00CD0C09" w:rsidRDefault="0061735A">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Comisión Europea, recomendación sobre "obligaciones consistentes de no discriminación y metodologías de cálculo de costos para promover la competencia y mejorar el entorno de la inversión en banda ancha", 11 de septiembre de 2013, </w:t>
      </w:r>
      <w:proofErr w:type="spellStart"/>
      <w:r w:rsidRPr="00CD0C09">
        <w:rPr>
          <w:rFonts w:ascii="ITC Avant Garde" w:hAnsi="ITC Avant Garde"/>
          <w:lang w:val="es-MX"/>
        </w:rPr>
        <w:t>ref</w:t>
      </w:r>
      <w:proofErr w:type="spellEnd"/>
      <w:r w:rsidRPr="00CD0C09">
        <w:rPr>
          <w:rFonts w:ascii="ITC Avant Garde" w:hAnsi="ITC Avant Garde"/>
          <w:lang w:val="es-MX"/>
        </w:rPr>
        <w:t xml:space="preserve"> C (2013) 5761, artículo 37</w:t>
      </w:r>
    </w:p>
  </w:footnote>
  <w:footnote w:id="20">
    <w:p w:rsidR="0061735A" w:rsidRPr="00CD0C09" w:rsidRDefault="0061735A">
      <w:pPr>
        <w:pStyle w:val="Textonotapie"/>
        <w:rPr>
          <w:rFonts w:ascii="ITC Avant Garde" w:hAnsi="ITC Avant Garde"/>
          <w:lang w:val="fr-FR"/>
        </w:rPr>
      </w:pPr>
      <w:r w:rsidRPr="00CD0C09">
        <w:rPr>
          <w:rStyle w:val="Refdenotaalpie"/>
          <w:rFonts w:ascii="ITC Avant Garde" w:hAnsi="ITC Avant Garde"/>
        </w:rPr>
        <w:footnoteRef/>
      </w:r>
      <w:r w:rsidRPr="00CD0C09">
        <w:rPr>
          <w:rFonts w:ascii="ITC Avant Garde" w:hAnsi="ITC Avant Garde"/>
          <w:lang w:val="fr-FR"/>
        </w:rPr>
        <w:t xml:space="preserve"> </w:t>
      </w:r>
      <w:r>
        <w:rPr>
          <w:rFonts w:ascii="ITC Avant Garde" w:hAnsi="ITC Avant Garde"/>
          <w:lang w:val="fr-FR"/>
        </w:rPr>
        <w:t>Banco de Información de Telecomunicaciones, Tercer Informe Estadistico 2017, disponible a través de la siguiente liga :</w:t>
      </w:r>
      <w:r w:rsidRPr="00CD0C09">
        <w:rPr>
          <w:rFonts w:ascii="ITC Avant Garde" w:hAnsi="ITC Avant Garde"/>
          <w:lang w:val="fr-FR"/>
        </w:rPr>
        <w:t xml:space="preserve"> </w:t>
      </w:r>
      <w:hyperlink r:id="rId2" w:history="1">
        <w:r w:rsidRPr="00CD0C09">
          <w:rPr>
            <w:rStyle w:val="Hipervnculo"/>
            <w:rFonts w:ascii="ITC Avant Garde" w:hAnsi="ITC Avant Garde"/>
            <w:lang w:val="fr-FR"/>
          </w:rPr>
          <w:t>http://www.ift.org.mx/sites/default/files/contenidogeneral/estadisticas/3ite2017.pdf</w:t>
        </w:r>
      </w:hyperlink>
    </w:p>
  </w:footnote>
  <w:footnote w:id="21">
    <w:p w:rsidR="0061735A" w:rsidRPr="00CD0C09" w:rsidRDefault="0061735A">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w:t>
      </w:r>
      <w:r w:rsidRPr="00CD0C09">
        <w:rPr>
          <w:rFonts w:ascii="ITC Avant Garde" w:hAnsi="ITC Avant Garde"/>
          <w:lang w:val="es-419"/>
        </w:rPr>
        <w:t>IFT (</w:t>
      </w:r>
      <w:proofErr w:type="spellStart"/>
      <w:r>
        <w:rPr>
          <w:rFonts w:ascii="ITC Avant Garde" w:hAnsi="ITC Avant Garde"/>
          <w:lang w:val="es-419"/>
        </w:rPr>
        <w:t>A</w:t>
      </w:r>
      <w:r w:rsidRPr="00CD0C09">
        <w:rPr>
          <w:rFonts w:ascii="ITC Avant Garde" w:hAnsi="ITC Avant Garde"/>
          <w:lang w:val="es-419"/>
        </w:rPr>
        <w:t>nalysys</w:t>
      </w:r>
      <w:proofErr w:type="spellEnd"/>
      <w:r w:rsidRPr="00CD0C09">
        <w:rPr>
          <w:rFonts w:ascii="ITC Avant Garde" w:hAnsi="ITC Avant Garde"/>
          <w:lang w:val="es-419"/>
        </w:rPr>
        <w:t xml:space="preserve"> </w:t>
      </w:r>
      <w:r>
        <w:rPr>
          <w:rFonts w:ascii="ITC Avant Garde" w:hAnsi="ITC Avant Garde"/>
          <w:lang w:val="es-419"/>
        </w:rPr>
        <w:t>M</w:t>
      </w:r>
      <w:r w:rsidRPr="00CD0C09">
        <w:rPr>
          <w:rFonts w:ascii="ITC Avant Garde" w:hAnsi="ITC Avant Garde"/>
          <w:lang w:val="es-419"/>
        </w:rPr>
        <w:t xml:space="preserve">ason), Informe final del modelo de costos incrementales de largo plazo – red de acceso </w:t>
      </w:r>
      <w:r w:rsidRPr="006319A2">
        <w:rPr>
          <w:rFonts w:ascii="ITC Avant Garde" w:hAnsi="ITC Avant Garde"/>
          <w:lang w:val="es-419"/>
        </w:rPr>
        <w:t>fija</w:t>
      </w:r>
      <w:r w:rsidRPr="00CD0C09">
        <w:rPr>
          <w:rFonts w:ascii="ITC Avant Garde" w:hAnsi="ITC Avant Garde"/>
          <w:lang w:val="es-419"/>
        </w:rPr>
        <w:t xml:space="preserve">, 15 </w:t>
      </w:r>
      <w:r>
        <w:rPr>
          <w:rFonts w:ascii="ITC Avant Garde" w:hAnsi="ITC Avant Garde"/>
          <w:lang w:val="es-419"/>
        </w:rPr>
        <w:t>de diciembre</w:t>
      </w:r>
      <w:r w:rsidRPr="00CD0C09">
        <w:rPr>
          <w:rFonts w:ascii="ITC Avant Garde" w:hAnsi="ITC Avant Garde"/>
          <w:lang w:val="es-419"/>
        </w:rPr>
        <w:t>, 2015</w:t>
      </w:r>
      <w:r>
        <w:rPr>
          <w:rFonts w:ascii="ITC Avant Garde" w:hAnsi="ITC Avant Garde"/>
          <w:lang w:val="es-419"/>
        </w:rPr>
        <w:t xml:space="preserve">, </w:t>
      </w:r>
      <w:r w:rsidRPr="006319A2">
        <w:rPr>
          <w:rFonts w:ascii="ITC Avant Garde" w:hAnsi="ITC Avant Garde"/>
          <w:lang w:val="es-419"/>
        </w:rPr>
        <w:t>p</w:t>
      </w:r>
      <w:r>
        <w:rPr>
          <w:rFonts w:ascii="ITC Avant Garde" w:hAnsi="ITC Avant Garde"/>
          <w:lang w:val="es-419"/>
        </w:rPr>
        <w:t>á</w:t>
      </w:r>
      <w:r w:rsidRPr="006319A2">
        <w:rPr>
          <w:rFonts w:ascii="ITC Avant Garde" w:hAnsi="ITC Avant Garde"/>
          <w:lang w:val="es-419"/>
        </w:rPr>
        <w:t xml:space="preserve">gina </w:t>
      </w:r>
      <w:r w:rsidRPr="00CD0C09">
        <w:rPr>
          <w:rFonts w:ascii="ITC Avant Garde" w:hAnsi="ITC Avant Garde"/>
          <w:lang w:val="es-419"/>
        </w:rPr>
        <w:t>21</w:t>
      </w:r>
    </w:p>
  </w:footnote>
  <w:footnote w:id="22">
    <w:p w:rsidR="0061735A" w:rsidRPr="00CD0C09" w:rsidRDefault="0061735A">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w:t>
      </w:r>
      <w:r w:rsidRPr="00CD0C09">
        <w:rPr>
          <w:rFonts w:ascii="ITC Avant Garde" w:hAnsi="ITC Avant Garde"/>
          <w:lang w:val="es-419"/>
        </w:rPr>
        <w:t>IFT (</w:t>
      </w:r>
      <w:proofErr w:type="spellStart"/>
      <w:r w:rsidRPr="00CD0C09">
        <w:rPr>
          <w:rFonts w:ascii="ITC Avant Garde" w:hAnsi="ITC Avant Garde"/>
          <w:lang w:val="es-419"/>
        </w:rPr>
        <w:t>Axon</w:t>
      </w:r>
      <w:proofErr w:type="spellEnd"/>
      <w:r w:rsidRPr="00CD0C09">
        <w:rPr>
          <w:rFonts w:ascii="ITC Avant Garde" w:hAnsi="ITC Avant Garde"/>
          <w:lang w:val="es-419"/>
        </w:rPr>
        <w:t xml:space="preserve">), Documento Metodológico, Desarrollo del modelo de costos para la determinación de las tarifas de acceso a la red de fibra óptica del Agente Económico Preponderante (AEP), </w:t>
      </w:r>
      <w:r w:rsidRPr="006319A2">
        <w:rPr>
          <w:rFonts w:ascii="ITC Avant Garde" w:hAnsi="ITC Avant Garde"/>
          <w:lang w:val="es-419"/>
        </w:rPr>
        <w:t>p</w:t>
      </w:r>
      <w:r>
        <w:rPr>
          <w:rFonts w:ascii="ITC Avant Garde" w:hAnsi="ITC Avant Garde"/>
          <w:lang w:val="es-419"/>
        </w:rPr>
        <w:t>á</w:t>
      </w:r>
      <w:r w:rsidRPr="006319A2">
        <w:rPr>
          <w:rFonts w:ascii="ITC Avant Garde" w:hAnsi="ITC Avant Garde"/>
          <w:lang w:val="es-419"/>
        </w:rPr>
        <w:t>gina</w:t>
      </w:r>
      <w:r w:rsidRPr="00CD0C09">
        <w:rPr>
          <w:rFonts w:ascii="ITC Avant Garde" w:hAnsi="ITC Avant Garde"/>
          <w:lang w:val="es-419"/>
        </w:rPr>
        <w:t xml:space="preserve"> 14</w:t>
      </w:r>
    </w:p>
  </w:footnote>
  <w:footnote w:id="23">
    <w:p w:rsidR="0061735A" w:rsidRPr="00CD0C09" w:rsidRDefault="0061735A">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Los puntos de flexibilidad son puntos de la red donde los cables se pueden manipular fácilmente.</w:t>
      </w:r>
    </w:p>
  </w:footnote>
  <w:footnote w:id="24">
    <w:p w:rsidR="0061735A" w:rsidRPr="00CD0C09" w:rsidRDefault="0061735A">
      <w:pPr>
        <w:pStyle w:val="Textonotapie"/>
        <w:rPr>
          <w:rFonts w:ascii="ITC Avant Garde" w:hAnsi="ITC Avant Garde"/>
          <w:lang w:val="es-419"/>
        </w:rPr>
      </w:pPr>
      <w:r w:rsidRPr="00CD0C09">
        <w:rPr>
          <w:rStyle w:val="Refdenotaalpie"/>
          <w:rFonts w:ascii="ITC Avant Garde" w:hAnsi="ITC Avant Garde"/>
        </w:rPr>
        <w:footnoteRef/>
      </w:r>
      <w:r w:rsidRPr="00CD0C09">
        <w:rPr>
          <w:rFonts w:ascii="ITC Avant Garde" w:hAnsi="ITC Avant Garde"/>
          <w:lang w:val="es-MX"/>
        </w:rPr>
        <w:t xml:space="preserve"> </w:t>
      </w:r>
      <w:r w:rsidRPr="00CD0C09">
        <w:rPr>
          <w:rFonts w:ascii="ITC Avant Garde" w:hAnsi="ITC Avant Garde"/>
          <w:lang w:val="es-419"/>
        </w:rPr>
        <w:t>IFT (</w:t>
      </w:r>
      <w:proofErr w:type="spellStart"/>
      <w:r>
        <w:rPr>
          <w:rFonts w:ascii="ITC Avant Garde" w:hAnsi="ITC Avant Garde"/>
          <w:lang w:val="es-419"/>
        </w:rPr>
        <w:t>A</w:t>
      </w:r>
      <w:r w:rsidRPr="00CD0C09">
        <w:rPr>
          <w:rFonts w:ascii="ITC Avant Garde" w:hAnsi="ITC Avant Garde"/>
          <w:lang w:val="es-419"/>
        </w:rPr>
        <w:t>nalysys</w:t>
      </w:r>
      <w:proofErr w:type="spellEnd"/>
      <w:r w:rsidRPr="00CD0C09">
        <w:rPr>
          <w:rFonts w:ascii="ITC Avant Garde" w:hAnsi="ITC Avant Garde"/>
          <w:lang w:val="es-419"/>
        </w:rPr>
        <w:t xml:space="preserve"> </w:t>
      </w:r>
      <w:r>
        <w:rPr>
          <w:rFonts w:ascii="ITC Avant Garde" w:hAnsi="ITC Avant Garde"/>
          <w:lang w:val="es-419"/>
        </w:rPr>
        <w:t>M</w:t>
      </w:r>
      <w:r w:rsidRPr="00CD0C09">
        <w:rPr>
          <w:rFonts w:ascii="ITC Avant Garde" w:hAnsi="ITC Avant Garde"/>
          <w:lang w:val="es-419"/>
        </w:rPr>
        <w:t xml:space="preserve">ason), Informe final del modelo de costos incrementales de largo plazo – red de acceso </w:t>
      </w:r>
      <w:r w:rsidRPr="006319A2">
        <w:rPr>
          <w:rFonts w:ascii="ITC Avant Garde" w:hAnsi="ITC Avant Garde"/>
          <w:lang w:val="es-419"/>
        </w:rPr>
        <w:t>fija</w:t>
      </w:r>
      <w:r w:rsidRPr="00CD0C09">
        <w:rPr>
          <w:rFonts w:ascii="ITC Avant Garde" w:hAnsi="ITC Avant Garde"/>
          <w:lang w:val="es-419"/>
        </w:rPr>
        <w:t xml:space="preserve">, 15 </w:t>
      </w:r>
      <w:r>
        <w:rPr>
          <w:rFonts w:ascii="ITC Avant Garde" w:hAnsi="ITC Avant Garde"/>
          <w:lang w:val="es-419"/>
        </w:rPr>
        <w:t>de diciembre de</w:t>
      </w:r>
      <w:r w:rsidRPr="00CD0C09">
        <w:rPr>
          <w:rFonts w:ascii="ITC Avant Garde" w:hAnsi="ITC Avant Garde"/>
          <w:lang w:val="es-419"/>
        </w:rPr>
        <w:t xml:space="preserve"> 2015</w:t>
      </w:r>
      <w:r>
        <w:rPr>
          <w:rFonts w:ascii="ITC Avant Garde" w:hAnsi="ITC Avant Garde"/>
          <w:lang w:val="es-419"/>
        </w:rPr>
        <w:t xml:space="preserve">, </w:t>
      </w:r>
      <w:r w:rsidRPr="00CD0C09">
        <w:rPr>
          <w:rFonts w:ascii="ITC Avant Garde" w:hAnsi="ITC Avant Garde"/>
          <w:lang w:val="es-419"/>
        </w:rPr>
        <w:t>página 22, y</w:t>
      </w:r>
    </w:p>
    <w:p w:rsidR="0061735A" w:rsidRPr="00CD0C09" w:rsidRDefault="0061735A">
      <w:pPr>
        <w:pStyle w:val="Textonotapie"/>
        <w:rPr>
          <w:rFonts w:ascii="ITC Avant Garde" w:hAnsi="ITC Avant Garde"/>
          <w:lang w:val="es-419"/>
        </w:rPr>
      </w:pPr>
      <w:r w:rsidRPr="00CD0C09">
        <w:rPr>
          <w:rFonts w:ascii="ITC Avant Garde" w:hAnsi="ITC Avant Garde"/>
          <w:lang w:val="es-419"/>
        </w:rPr>
        <w:t>IFT (</w:t>
      </w:r>
      <w:proofErr w:type="spellStart"/>
      <w:r w:rsidRPr="00CD0C09">
        <w:rPr>
          <w:rFonts w:ascii="ITC Avant Garde" w:hAnsi="ITC Avant Garde"/>
          <w:lang w:val="es-419"/>
        </w:rPr>
        <w:t>Axon</w:t>
      </w:r>
      <w:proofErr w:type="spellEnd"/>
      <w:r w:rsidRPr="00CD0C09">
        <w:rPr>
          <w:rFonts w:ascii="ITC Avant Garde" w:hAnsi="ITC Avant Garde"/>
          <w:lang w:val="es-419"/>
        </w:rPr>
        <w:t xml:space="preserve">), Documento Metodológico, Desarrollo del modelo de costos para la determinación de las tarifas de acceso a la red de fibra óptica del Agente Económico Preponderante (AEP), </w:t>
      </w:r>
      <w:r>
        <w:rPr>
          <w:rFonts w:ascii="ITC Avant Garde" w:hAnsi="ITC Avant Garde"/>
          <w:lang w:val="es-419"/>
        </w:rPr>
        <w:t>página</w:t>
      </w:r>
      <w:r w:rsidRPr="006319A2">
        <w:rPr>
          <w:rFonts w:ascii="ITC Avant Garde" w:hAnsi="ITC Avant Garde"/>
          <w:lang w:val="es-419"/>
        </w:rPr>
        <w:t xml:space="preserve"> 32</w:t>
      </w:r>
    </w:p>
  </w:footnote>
  <w:footnote w:id="25">
    <w:p w:rsidR="0061735A" w:rsidRPr="00CD0C09" w:rsidRDefault="0061735A">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Las tasas de </w:t>
      </w:r>
      <w:proofErr w:type="spellStart"/>
      <w:r w:rsidRPr="00CD0C09">
        <w:rPr>
          <w:rFonts w:ascii="ITC Avant Garde" w:hAnsi="ITC Avant Garde"/>
          <w:lang w:val="es-MX"/>
        </w:rPr>
        <w:t>Splitting</w:t>
      </w:r>
      <w:proofErr w:type="spellEnd"/>
      <w:r w:rsidRPr="00CD0C09">
        <w:rPr>
          <w:rFonts w:ascii="ITC Avant Garde" w:hAnsi="ITC Avant Garde"/>
          <w:lang w:val="es-MX"/>
        </w:rPr>
        <w:t xml:space="preserve"> presentadas tienen fines informativos solamente</w:t>
      </w:r>
      <w:r>
        <w:rPr>
          <w:rFonts w:ascii="ITC Avant Garde" w:hAnsi="ITC Avant Garde"/>
          <w:lang w:val="es-MX"/>
        </w:rPr>
        <w:t>.</w:t>
      </w:r>
    </w:p>
  </w:footnote>
  <w:footnote w:id="26">
    <w:p w:rsidR="0061735A" w:rsidRPr="00CD0C09" w:rsidRDefault="0061735A">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Esto es simplemente porque el despliegue basado en la demanda activa real significaría tener que volver a desplegar en el mediano plazo la rede necesaria al aumento de demanda activa, lo que sería ineficiente.</w:t>
      </w:r>
    </w:p>
  </w:footnote>
  <w:footnote w:id="27">
    <w:p w:rsidR="0061735A" w:rsidRPr="00CD0C09" w:rsidRDefault="0061735A">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La planificación de la red se puede considerar de dos maneras: 1) Planificación de la red durante la implementación, generalmente directamente asignable a un tipo determinado de activos (zanjas, cables), incluida en el </w:t>
      </w:r>
      <w:r w:rsidRPr="006319A2">
        <w:rPr>
          <w:rFonts w:ascii="ITC Avant Garde" w:hAnsi="ITC Avant Garde"/>
          <w:lang w:val="es-MX"/>
        </w:rPr>
        <w:t>CAPEX</w:t>
      </w:r>
      <w:r w:rsidRPr="00CD0C09">
        <w:rPr>
          <w:rFonts w:ascii="ITC Avant Garde" w:hAnsi="ITC Avant Garde"/>
          <w:lang w:val="es-MX"/>
        </w:rPr>
        <w:t xml:space="preserve"> y, por lo tanto, capitalizada. Debe tenerse en cuenta cuando los costos de implementación se externalizan a los subcontratistas. 2) Planificación de red para la explotación de la red: supervisión de reemplazos regulares de activos de red. Se incurre regularmente, y su costo corresponde al personal permanente de planificación de la red. En esta sección, los costos de planificación de red se consideran como los costos variables de activos incurridos durante la implementación. Es importante evitar la doble recuperación entre los dos tipos de costos de planificación de red.</w:t>
      </w:r>
    </w:p>
  </w:footnote>
  <w:footnote w:id="28">
    <w:p w:rsidR="0061735A" w:rsidRPr="00CD0C09" w:rsidRDefault="0061735A" w:rsidP="00953B02">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Comisión Europea, recomendación sobre "obligaciones consistentes de no discriminación y metodologías de cálculo de costos para promover la competencia y mejorar el entorno de la inversión en banda ancha", 11 de septiembre de 2013, </w:t>
      </w:r>
      <w:proofErr w:type="spellStart"/>
      <w:r w:rsidRPr="00CD0C09">
        <w:rPr>
          <w:rFonts w:ascii="ITC Avant Garde" w:hAnsi="ITC Avant Garde"/>
          <w:lang w:val="es-MX"/>
        </w:rPr>
        <w:t>ref</w:t>
      </w:r>
      <w:proofErr w:type="spellEnd"/>
      <w:r w:rsidRPr="00CD0C09">
        <w:rPr>
          <w:rFonts w:ascii="ITC Avant Garde" w:hAnsi="ITC Avant Garde"/>
          <w:lang w:val="es-MX"/>
        </w:rPr>
        <w:t xml:space="preserve"> C (2013) 5761, artículo 33 y 34</w:t>
      </w:r>
    </w:p>
  </w:footnote>
  <w:footnote w:id="29">
    <w:p w:rsidR="0061735A" w:rsidRPr="00CD0C09" w:rsidRDefault="0061735A">
      <w:pPr>
        <w:pStyle w:val="Textonotapie"/>
        <w:rPr>
          <w:rFonts w:ascii="ITC Avant Garde" w:hAnsi="ITC Avant Garde"/>
        </w:rPr>
      </w:pPr>
      <w:r w:rsidRPr="00CD0C09">
        <w:rPr>
          <w:rStyle w:val="Refdenotaalpie"/>
          <w:rFonts w:ascii="ITC Avant Garde" w:hAnsi="ITC Avant Garde"/>
        </w:rPr>
        <w:footnoteRef/>
      </w:r>
      <w:r w:rsidRPr="00CD0C09">
        <w:rPr>
          <w:rFonts w:ascii="ITC Avant Garde" w:hAnsi="ITC Avant Garde"/>
        </w:rPr>
        <w:t xml:space="preserve"> </w:t>
      </w:r>
      <w:r w:rsidRPr="00CD0C09">
        <w:rPr>
          <w:rFonts w:ascii="ITC Avant Garde" w:hAnsi="ITC Avant Garde"/>
          <w:lang w:val="en-US"/>
        </w:rPr>
        <w:t xml:space="preserve">European Commission, Recommendation, on consistent non-discrimination obligations and costing methodologies to promote competition and enhance the broadband investment environment, </w:t>
      </w:r>
      <w:r>
        <w:rPr>
          <w:rFonts w:ascii="ITC Avant Garde" w:hAnsi="ITC Avant Garde"/>
          <w:lang w:val="en-US"/>
        </w:rPr>
        <w:t xml:space="preserve">11 de </w:t>
      </w:r>
      <w:proofErr w:type="spellStart"/>
      <w:r>
        <w:rPr>
          <w:rFonts w:ascii="ITC Avant Garde" w:hAnsi="ITC Avant Garde"/>
          <w:lang w:val="en-US"/>
        </w:rPr>
        <w:t>septiembre</w:t>
      </w:r>
      <w:proofErr w:type="spellEnd"/>
      <w:r>
        <w:rPr>
          <w:rFonts w:ascii="ITC Avant Garde" w:hAnsi="ITC Avant Garde"/>
          <w:lang w:val="en-US"/>
        </w:rPr>
        <w:t xml:space="preserve"> de</w:t>
      </w:r>
      <w:r w:rsidRPr="00CD0C09">
        <w:rPr>
          <w:rFonts w:ascii="ITC Avant Garde" w:hAnsi="ITC Avant Garde"/>
          <w:lang w:val="en-US"/>
        </w:rPr>
        <w:t xml:space="preserve"> 2013, ref C(2013) 5761, </w:t>
      </w:r>
      <w:proofErr w:type="spellStart"/>
      <w:r w:rsidRPr="00CD0C09">
        <w:rPr>
          <w:rFonts w:ascii="ITC Avant Garde" w:hAnsi="ITC Avant Garde"/>
          <w:lang w:val="en-US"/>
        </w:rPr>
        <w:t>considerando</w:t>
      </w:r>
      <w:proofErr w:type="spellEnd"/>
      <w:r w:rsidRPr="00CD0C09">
        <w:rPr>
          <w:rFonts w:ascii="ITC Avant Garde" w:hAnsi="ITC Avant Garde"/>
          <w:lang w:val="en-US"/>
        </w:rPr>
        <w:t xml:space="preserve"> 35</w:t>
      </w:r>
    </w:p>
  </w:footnote>
  <w:footnote w:id="30">
    <w:p w:rsidR="0061735A" w:rsidRPr="00CD0C09" w:rsidRDefault="0061735A">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w:t>
      </w:r>
      <w:r>
        <w:rPr>
          <w:rFonts w:ascii="ITC Avant Garde" w:hAnsi="ITC Avant Garde"/>
          <w:lang w:val="es-MX"/>
        </w:rPr>
        <w:t>Este término</w:t>
      </w:r>
      <w:r w:rsidRPr="00CD0C09">
        <w:rPr>
          <w:rFonts w:ascii="ITC Avant Garde" w:hAnsi="ITC Avant Garde"/>
          <w:lang w:val="es-MX"/>
        </w:rPr>
        <w:t xml:space="preserve"> significa el uso de las tendencias de los precios para la depreciación de los costos históricos en el momento de la inversión, en lugar de una depreciación constante, es decir, el uso de una anualidad inclinada en lugar de una anualidad constante.</w:t>
      </w:r>
    </w:p>
  </w:footnote>
  <w:footnote w:id="31">
    <w:p w:rsidR="0061735A" w:rsidRPr="00CD0C09" w:rsidRDefault="0061735A">
      <w:pPr>
        <w:pStyle w:val="Textonotapie"/>
        <w:rPr>
          <w:rFonts w:ascii="ITC Avant Garde" w:hAnsi="ITC Avant Garde"/>
        </w:rPr>
      </w:pPr>
      <w:r w:rsidRPr="00CD0C09">
        <w:rPr>
          <w:rStyle w:val="Refdenotaalpie"/>
          <w:rFonts w:ascii="ITC Avant Garde" w:hAnsi="ITC Avant Garde"/>
        </w:rPr>
        <w:footnoteRef/>
      </w:r>
      <w:r w:rsidRPr="00CD0C09">
        <w:rPr>
          <w:rFonts w:ascii="ITC Avant Garde" w:hAnsi="ITC Avant Garde"/>
        </w:rPr>
        <w:t xml:space="preserve"> </w:t>
      </w:r>
      <w:proofErr w:type="spellStart"/>
      <w:r w:rsidRPr="009533FA">
        <w:rPr>
          <w:rFonts w:ascii="ITC Avant Garde" w:hAnsi="ITC Avant Garde"/>
          <w:i/>
          <w:lang w:val="en-US"/>
        </w:rPr>
        <w:t>ComReg</w:t>
      </w:r>
      <w:proofErr w:type="spellEnd"/>
      <w:r w:rsidRPr="00CD0C09">
        <w:rPr>
          <w:rFonts w:ascii="ITC Avant Garde" w:hAnsi="ITC Avant Garde"/>
          <w:lang w:val="en-US"/>
        </w:rPr>
        <w:t xml:space="preserve">, Eircom’s Wholesale Access Services – Further specification and amendment of price control obligations in Market 4 and Market 5 and further specification of price control obligation in Market 2, July 2015, ref </w:t>
      </w:r>
      <w:proofErr w:type="spellStart"/>
      <w:r w:rsidRPr="00CD0C09">
        <w:rPr>
          <w:rFonts w:ascii="ITC Avant Garde" w:hAnsi="ITC Avant Garde"/>
          <w:lang w:val="en-US"/>
        </w:rPr>
        <w:t>ComReg</w:t>
      </w:r>
      <w:proofErr w:type="spellEnd"/>
      <w:r w:rsidRPr="00CD0C09">
        <w:rPr>
          <w:rFonts w:ascii="ITC Avant Garde" w:hAnsi="ITC Avant Garde"/>
          <w:lang w:val="en-US"/>
        </w:rPr>
        <w:t xml:space="preserve"> 15/67, §5.218, </w:t>
      </w:r>
      <w:proofErr w:type="spellStart"/>
      <w:r>
        <w:rPr>
          <w:rFonts w:ascii="ITC Avant Garde" w:hAnsi="ITC Avant Garde"/>
          <w:lang w:val="en-US"/>
        </w:rPr>
        <w:t>disponible</w:t>
      </w:r>
      <w:proofErr w:type="spellEnd"/>
      <w:r>
        <w:rPr>
          <w:rFonts w:ascii="ITC Avant Garde" w:hAnsi="ITC Avant Garde"/>
          <w:lang w:val="en-US"/>
        </w:rPr>
        <w:t xml:space="preserve"> a </w:t>
      </w:r>
      <w:proofErr w:type="spellStart"/>
      <w:r>
        <w:rPr>
          <w:rFonts w:ascii="ITC Avant Garde" w:hAnsi="ITC Avant Garde"/>
          <w:lang w:val="en-US"/>
        </w:rPr>
        <w:t>través</w:t>
      </w:r>
      <w:proofErr w:type="spellEnd"/>
      <w:r>
        <w:rPr>
          <w:rFonts w:ascii="ITC Avant Garde" w:hAnsi="ITC Avant Garde"/>
          <w:lang w:val="en-US"/>
        </w:rPr>
        <w:t xml:space="preserve"> de la </w:t>
      </w:r>
      <w:proofErr w:type="spellStart"/>
      <w:r>
        <w:rPr>
          <w:rFonts w:ascii="ITC Avant Garde" w:hAnsi="ITC Avant Garde"/>
          <w:lang w:val="en-US"/>
        </w:rPr>
        <w:t>siguiente</w:t>
      </w:r>
      <w:proofErr w:type="spellEnd"/>
      <w:r>
        <w:rPr>
          <w:rFonts w:ascii="ITC Avant Garde" w:hAnsi="ITC Avant Garde"/>
          <w:lang w:val="en-US"/>
        </w:rPr>
        <w:t xml:space="preserve"> </w:t>
      </w:r>
      <w:proofErr w:type="spellStart"/>
      <w:r>
        <w:rPr>
          <w:rFonts w:ascii="ITC Avant Garde" w:hAnsi="ITC Avant Garde"/>
          <w:lang w:val="en-US"/>
        </w:rPr>
        <w:t>liga</w:t>
      </w:r>
      <w:proofErr w:type="spellEnd"/>
      <w:r>
        <w:rPr>
          <w:rFonts w:ascii="ITC Avant Garde" w:hAnsi="ITC Avant Garde"/>
          <w:lang w:val="en-US"/>
        </w:rPr>
        <w:t xml:space="preserve">: </w:t>
      </w:r>
      <w:hyperlink r:id="rId3" w:history="1">
        <w:r w:rsidRPr="00CD0C09">
          <w:rPr>
            <w:rStyle w:val="Hipervnculo"/>
            <w:rFonts w:ascii="ITC Avant Garde" w:hAnsi="ITC Avant Garde"/>
            <w:lang w:val="en-US"/>
          </w:rPr>
          <w:t>http://www.comreg.ie/_fileupload/publications/ComReg1567.pdf</w:t>
        </w:r>
      </w:hyperlink>
      <w:r w:rsidRPr="00CD0C09">
        <w:rPr>
          <w:rFonts w:ascii="ITC Avant Garde" w:hAnsi="ITC Avant Garde"/>
          <w:lang w:val="en-US"/>
        </w:rPr>
        <w:t xml:space="preserve"> </w:t>
      </w:r>
    </w:p>
  </w:footnote>
  <w:footnote w:id="32">
    <w:p w:rsidR="0061735A" w:rsidRPr="00CD0C09" w:rsidRDefault="0061735A" w:rsidP="00D876C1">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ARCEP, Decisión n°05-0834, 15 de diciembre de 2015, </w:t>
      </w:r>
      <w:hyperlink r:id="rId4" w:history="1">
        <w:r w:rsidRPr="00CD0C09">
          <w:rPr>
            <w:rStyle w:val="Hipervnculo"/>
            <w:rFonts w:ascii="ITC Avant Garde" w:hAnsi="ITC Avant Garde"/>
            <w:lang w:val="es-MX"/>
          </w:rPr>
          <w:t>http://www.arcep.fr/uploads/tx_gsavis/05-0834.pdf</w:t>
        </w:r>
      </w:hyperlink>
      <w:r w:rsidRPr="00CD0C09">
        <w:rPr>
          <w:rFonts w:ascii="ITC Avant Garde" w:hAnsi="ITC Avant Garde"/>
          <w:lang w:val="es-MX"/>
        </w:rPr>
        <w:t xml:space="preserve"> </w:t>
      </w:r>
    </w:p>
  </w:footnote>
  <w:footnote w:id="33">
    <w:p w:rsidR="0061735A" w:rsidRPr="000406F8" w:rsidRDefault="0061735A">
      <w:pPr>
        <w:pStyle w:val="Textonotapie"/>
        <w:rPr>
          <w:rFonts w:ascii="ITC Avant Garde" w:hAnsi="ITC Avant Garde"/>
          <w:lang w:val="es-MX"/>
        </w:rPr>
      </w:pPr>
      <w:r w:rsidRPr="00CD0C09">
        <w:rPr>
          <w:rStyle w:val="Refdenotaalpie"/>
          <w:rFonts w:ascii="ITC Avant Garde" w:hAnsi="ITC Avant Garde"/>
        </w:rPr>
        <w:footnoteRef/>
      </w:r>
      <w:r w:rsidRPr="000406F8">
        <w:rPr>
          <w:rFonts w:ascii="ITC Avant Garde" w:hAnsi="ITC Avant Garde"/>
          <w:lang w:val="es-MX"/>
        </w:rPr>
        <w:t xml:space="preserve"> NKOM, LRIC-</w:t>
      </w:r>
      <w:proofErr w:type="spellStart"/>
      <w:r w:rsidRPr="000406F8">
        <w:rPr>
          <w:rFonts w:ascii="ITC Avant Garde" w:hAnsi="ITC Avant Garde"/>
          <w:lang w:val="es-MX"/>
        </w:rPr>
        <w:t>modell</w:t>
      </w:r>
      <w:proofErr w:type="spellEnd"/>
      <w:r w:rsidRPr="000406F8">
        <w:rPr>
          <w:rFonts w:ascii="ITC Avant Garde" w:hAnsi="ITC Avant Garde"/>
          <w:lang w:val="es-MX"/>
        </w:rPr>
        <w:t xml:space="preserve"> </w:t>
      </w:r>
      <w:proofErr w:type="spellStart"/>
      <w:r w:rsidRPr="000406F8">
        <w:rPr>
          <w:rFonts w:ascii="ITC Avant Garde" w:hAnsi="ITC Avant Garde"/>
          <w:lang w:val="es-MX"/>
        </w:rPr>
        <w:t>for</w:t>
      </w:r>
      <w:proofErr w:type="spellEnd"/>
      <w:r w:rsidRPr="000406F8">
        <w:rPr>
          <w:rFonts w:ascii="ITC Avant Garde" w:hAnsi="ITC Avant Garde"/>
          <w:lang w:val="es-MX"/>
        </w:rPr>
        <w:t xml:space="preserve"> </w:t>
      </w:r>
      <w:proofErr w:type="spellStart"/>
      <w:r w:rsidRPr="000406F8">
        <w:rPr>
          <w:rFonts w:ascii="ITC Avant Garde" w:hAnsi="ITC Avant Garde"/>
          <w:lang w:val="es-MX"/>
        </w:rPr>
        <w:t>fastnett</w:t>
      </w:r>
      <w:proofErr w:type="spellEnd"/>
      <w:r w:rsidRPr="000406F8">
        <w:rPr>
          <w:rFonts w:ascii="ITC Avant Garde" w:hAnsi="ITC Avant Garde"/>
          <w:lang w:val="es-MX"/>
        </w:rPr>
        <w:t xml:space="preserve"> </w:t>
      </w:r>
      <w:proofErr w:type="spellStart"/>
      <w:r w:rsidRPr="000406F8">
        <w:rPr>
          <w:rFonts w:ascii="ITC Avant Garde" w:hAnsi="ITC Avant Garde"/>
          <w:lang w:val="es-MX"/>
        </w:rPr>
        <w:t>aksess</w:t>
      </w:r>
      <w:proofErr w:type="spellEnd"/>
      <w:r w:rsidRPr="00CD0C09">
        <w:rPr>
          <w:rFonts w:ascii="ITC Avant Garde" w:hAnsi="ITC Avant Garde"/>
          <w:lang w:val="sv-SE"/>
        </w:rPr>
        <w:t xml:space="preserve">, </w:t>
      </w:r>
      <w:r>
        <w:rPr>
          <w:rFonts w:ascii="ITC Avant Garde" w:hAnsi="ITC Avant Garde"/>
          <w:lang w:val="sv-SE"/>
        </w:rPr>
        <w:t xml:space="preserve">disponible a través de la siguiente liga: </w:t>
      </w:r>
      <w:r>
        <w:rPr>
          <w:rStyle w:val="Hipervnculo"/>
          <w:rFonts w:ascii="ITC Avant Garde" w:hAnsi="ITC Avant Garde"/>
          <w:lang w:val="es-MX"/>
        </w:rPr>
        <w:fldChar w:fldCharType="begin"/>
      </w:r>
      <w:r>
        <w:rPr>
          <w:rStyle w:val="Hipervnculo"/>
          <w:rFonts w:ascii="ITC Avant Garde" w:hAnsi="ITC Avant Garde"/>
          <w:lang w:val="es-MX"/>
        </w:rPr>
        <w:instrText xml:space="preserve"> HYPERLINK "http://www.nkom.no/marked/markedsregulering-smp/kostnadsmodeller/lric-fastnett-aksess" </w:instrText>
      </w:r>
      <w:r>
        <w:rPr>
          <w:rStyle w:val="Hipervnculo"/>
          <w:rFonts w:ascii="ITC Avant Garde" w:hAnsi="ITC Avant Garde"/>
          <w:lang w:val="es-MX"/>
        </w:rPr>
        <w:fldChar w:fldCharType="separate"/>
      </w:r>
      <w:r w:rsidRPr="000406F8">
        <w:rPr>
          <w:rStyle w:val="Hipervnculo"/>
          <w:rFonts w:ascii="ITC Avant Garde" w:hAnsi="ITC Avant Garde"/>
          <w:lang w:val="es-MX"/>
        </w:rPr>
        <w:t>http://www.nkom.no/marked/markedsregulering-smp/kostnadsmodeller/lric-fastnett-aksess</w:t>
      </w:r>
      <w:r>
        <w:rPr>
          <w:rStyle w:val="Hipervnculo"/>
          <w:rFonts w:ascii="ITC Avant Garde" w:hAnsi="ITC Avant Garde"/>
          <w:lang w:val="es-MX"/>
        </w:rPr>
        <w:fldChar w:fldCharType="end"/>
      </w:r>
      <w:r w:rsidRPr="000406F8">
        <w:rPr>
          <w:rFonts w:ascii="ITC Avant Garde" w:hAnsi="ITC Avant Garde"/>
          <w:lang w:val="es-MX"/>
        </w:rPr>
        <w:t xml:space="preserve"> </w:t>
      </w:r>
    </w:p>
  </w:footnote>
  <w:footnote w:id="34">
    <w:p w:rsidR="0061735A" w:rsidRPr="0029338F" w:rsidRDefault="0061735A" w:rsidP="009E1A99">
      <w:pPr>
        <w:pStyle w:val="Textonotapie"/>
        <w:rPr>
          <w:rFonts w:ascii="ITC Avant Garde" w:hAnsi="ITC Avant Garde"/>
          <w:lang w:val="es-MX"/>
        </w:rPr>
      </w:pPr>
      <w:r w:rsidRPr="00CD0C09">
        <w:rPr>
          <w:rStyle w:val="Refdenotaalpie"/>
          <w:rFonts w:ascii="ITC Avant Garde" w:hAnsi="ITC Avant Garde"/>
        </w:rPr>
        <w:footnoteRef/>
      </w:r>
      <w:r w:rsidRPr="0029338F">
        <w:rPr>
          <w:rStyle w:val="Hipervnculo"/>
          <w:rFonts w:ascii="ITC Avant Garde" w:hAnsi="ITC Avant Garde"/>
          <w:lang w:val="es-MX"/>
        </w:rPr>
        <w:t xml:space="preserve"> Disponible a través de la siguiente liga: </w:t>
      </w:r>
      <w:hyperlink r:id="rId5" w:history="1">
        <w:r w:rsidRPr="0029338F">
          <w:rPr>
            <w:rStyle w:val="Hipervnculo"/>
            <w:rFonts w:ascii="ITC Avant Garde" w:hAnsi="ITC Avant Garde"/>
            <w:lang w:val="es-MX"/>
          </w:rPr>
          <w:t>https://www.itu.int/en/ITU-D/Regulatory-Market/Documents/CostEvents/2014/Namibia/Session%207-WACC.pdf</w:t>
        </w:r>
      </w:hyperlink>
      <w:r w:rsidRPr="0029338F">
        <w:rPr>
          <w:rFonts w:ascii="ITC Avant Garde" w:hAnsi="ITC Avant Garde"/>
          <w:lang w:val="es-MX"/>
        </w:rPr>
        <w:t xml:space="preserve"> </w:t>
      </w:r>
    </w:p>
  </w:footnote>
  <w:footnote w:id="35">
    <w:p w:rsidR="0061735A" w:rsidRPr="00CD0C09" w:rsidRDefault="0061735A" w:rsidP="00542089">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Comisión Europea, recomendación sobre "obligaciones consistentes de no discriminación y metodologías de cálculo de costos para promover la competencia y mejorar el entorno de la inversión en banda ancha", 11 de septiembre de 2013, </w:t>
      </w:r>
      <w:proofErr w:type="spellStart"/>
      <w:r w:rsidRPr="00CD0C09">
        <w:rPr>
          <w:rFonts w:ascii="ITC Avant Garde" w:hAnsi="ITC Avant Garde"/>
          <w:lang w:val="es-MX"/>
        </w:rPr>
        <w:t>ref</w:t>
      </w:r>
      <w:proofErr w:type="spellEnd"/>
      <w:r w:rsidRPr="00CD0C09">
        <w:rPr>
          <w:rFonts w:ascii="ITC Avant Garde" w:hAnsi="ITC Avant Garde"/>
          <w:lang w:val="es-MX"/>
        </w:rPr>
        <w:t xml:space="preserve"> C (2013) 5761</w:t>
      </w:r>
    </w:p>
  </w:footnote>
  <w:footnote w:id="36">
    <w:p w:rsidR="0061735A" w:rsidRPr="00CD0C09" w:rsidRDefault="0061735A">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Comisión Europea, recomendación sobre "obligaciones consistentes de no discriminación y metodologías de cálculo de costos para promover la competencia y mejorar el entorno de la inversión en banda ancha", 11 de septiembre de 2013, </w:t>
      </w:r>
      <w:proofErr w:type="spellStart"/>
      <w:r w:rsidRPr="00CD0C09">
        <w:rPr>
          <w:rFonts w:ascii="ITC Avant Garde" w:hAnsi="ITC Avant Garde"/>
          <w:lang w:val="es-MX"/>
        </w:rPr>
        <w:t>ref</w:t>
      </w:r>
      <w:proofErr w:type="spellEnd"/>
      <w:r w:rsidRPr="00CD0C09">
        <w:rPr>
          <w:rFonts w:ascii="ITC Avant Garde" w:hAnsi="ITC Avant Garde"/>
          <w:lang w:val="es-MX"/>
        </w:rPr>
        <w:t xml:space="preserve"> C (2013) 5761, articulo 34.</w:t>
      </w:r>
    </w:p>
  </w:footnote>
  <w:footnote w:id="37">
    <w:p w:rsidR="0061735A" w:rsidRPr="00CD0C09" w:rsidRDefault="0061735A" w:rsidP="00B90EB1">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Usar una gran cantidad de factores de costo de mantenimiento puede proporcionar más relevancia, pero hará que el análisis de regresión sea complejo y puede suponer un riesgo de "ajuste excesivo". Por esa razón, se requiere identificar la cantidad relevante de factores de costos.</w:t>
      </w:r>
    </w:p>
  </w:footnote>
  <w:footnote w:id="38">
    <w:p w:rsidR="0061735A" w:rsidRPr="00CD0C09" w:rsidRDefault="0061735A" w:rsidP="002C27B6">
      <w:pPr>
        <w:pStyle w:val="Textonotapie"/>
        <w:rPr>
          <w:rFonts w:ascii="ITC Avant Garde" w:hAnsi="ITC Avant Garde"/>
          <w:lang w:val="es-419"/>
        </w:rPr>
      </w:pPr>
      <w:r w:rsidRPr="00CD0C09">
        <w:rPr>
          <w:rStyle w:val="Refdenotaalpie"/>
          <w:rFonts w:ascii="ITC Avant Garde" w:hAnsi="ITC Avant Garde"/>
        </w:rPr>
        <w:footnoteRef/>
      </w:r>
      <w:r w:rsidRPr="00CD0C09">
        <w:rPr>
          <w:rFonts w:ascii="ITC Avant Garde" w:hAnsi="ITC Avant Garde"/>
          <w:lang w:val="es-MX"/>
        </w:rPr>
        <w:t xml:space="preserve"> </w:t>
      </w:r>
      <w:r w:rsidRPr="00CD0C09">
        <w:rPr>
          <w:rFonts w:ascii="ITC Avant Garde" w:hAnsi="ITC Avant Garde"/>
          <w:lang w:val="es-419"/>
        </w:rPr>
        <w:t>IFT (</w:t>
      </w:r>
      <w:proofErr w:type="spellStart"/>
      <w:r>
        <w:rPr>
          <w:rFonts w:ascii="ITC Avant Garde" w:hAnsi="ITC Avant Garde"/>
          <w:lang w:val="es-419"/>
        </w:rPr>
        <w:t>A</w:t>
      </w:r>
      <w:r w:rsidRPr="00CD0C09">
        <w:rPr>
          <w:rFonts w:ascii="ITC Avant Garde" w:hAnsi="ITC Avant Garde"/>
          <w:lang w:val="es-419"/>
        </w:rPr>
        <w:t>nalysys</w:t>
      </w:r>
      <w:proofErr w:type="spellEnd"/>
      <w:r w:rsidRPr="00CD0C09">
        <w:rPr>
          <w:rFonts w:ascii="ITC Avant Garde" w:hAnsi="ITC Avant Garde"/>
          <w:lang w:val="es-419"/>
        </w:rPr>
        <w:t xml:space="preserve"> </w:t>
      </w:r>
      <w:r>
        <w:rPr>
          <w:rFonts w:ascii="ITC Avant Garde" w:hAnsi="ITC Avant Garde"/>
          <w:lang w:val="es-419"/>
        </w:rPr>
        <w:t>M</w:t>
      </w:r>
      <w:r w:rsidRPr="00CD0C09">
        <w:rPr>
          <w:rFonts w:ascii="ITC Avant Garde" w:hAnsi="ITC Avant Garde"/>
          <w:lang w:val="es-419"/>
        </w:rPr>
        <w:t>ason), I</w:t>
      </w:r>
      <w:r>
        <w:rPr>
          <w:rFonts w:ascii="ITC Avant Garde" w:hAnsi="ITC Avant Garde"/>
          <w:lang w:val="es-419"/>
        </w:rPr>
        <w:t>nforme</w:t>
      </w:r>
      <w:r w:rsidRPr="00CD0C09">
        <w:rPr>
          <w:rFonts w:ascii="ITC Avant Garde" w:hAnsi="ITC Avant Garde"/>
          <w:lang w:val="es-419"/>
        </w:rPr>
        <w:t xml:space="preserve"> para el Instituto Federal de Telecomunicaciones (IFT), Documentación de los modelos de costos de interconexión LRIC, octubre de 2016, página 19</w:t>
      </w:r>
    </w:p>
  </w:footnote>
  <w:footnote w:id="39">
    <w:p w:rsidR="0061735A" w:rsidRPr="00CD0C09" w:rsidRDefault="0061735A" w:rsidP="002C27B6">
      <w:pPr>
        <w:pStyle w:val="Textonotapie"/>
        <w:rPr>
          <w:rFonts w:ascii="ITC Avant Garde" w:hAnsi="ITC Avant Garde"/>
          <w:lang w:val="es-419"/>
        </w:rPr>
      </w:pPr>
      <w:r w:rsidRPr="00CD0C09">
        <w:rPr>
          <w:rStyle w:val="Refdenotaalpie"/>
          <w:rFonts w:ascii="ITC Avant Garde" w:hAnsi="ITC Avant Garde"/>
        </w:rPr>
        <w:footnoteRef/>
      </w:r>
      <w:r w:rsidRPr="00CD0C09">
        <w:rPr>
          <w:rFonts w:ascii="ITC Avant Garde" w:hAnsi="ITC Avant Garde"/>
          <w:lang w:val="es-MX"/>
        </w:rPr>
        <w:t xml:space="preserve"> </w:t>
      </w:r>
      <w:r w:rsidRPr="00CD0C09">
        <w:rPr>
          <w:rFonts w:ascii="ITC Avant Garde" w:hAnsi="ITC Avant Garde"/>
          <w:lang w:val="es-419"/>
        </w:rPr>
        <w:t>IFT (</w:t>
      </w:r>
      <w:proofErr w:type="spellStart"/>
      <w:r w:rsidRPr="00CD0C09">
        <w:rPr>
          <w:rFonts w:ascii="ITC Avant Garde" w:hAnsi="ITC Avant Garde"/>
          <w:lang w:val="es-419"/>
        </w:rPr>
        <w:t>Axon</w:t>
      </w:r>
      <w:proofErr w:type="spellEnd"/>
      <w:r w:rsidRPr="00CD0C09">
        <w:rPr>
          <w:rFonts w:ascii="ITC Avant Garde" w:hAnsi="ITC Avant Garde"/>
          <w:lang w:val="es-419"/>
        </w:rPr>
        <w:t>), Documento Metodológico, Desarrollo del modelo de costos para la determinación de las tarifas de acceso a la red de fibra óptica del Agente Económico Preponderante (AEP), página 11</w:t>
      </w:r>
    </w:p>
  </w:footnote>
  <w:footnote w:id="40">
    <w:p w:rsidR="0061735A" w:rsidRPr="00CD0C09" w:rsidRDefault="0061735A" w:rsidP="002C27B6">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w:t>
      </w:r>
      <w:r w:rsidRPr="00CD0C09">
        <w:rPr>
          <w:rFonts w:ascii="ITC Avant Garde" w:hAnsi="ITC Avant Garde"/>
          <w:lang w:val="es-419"/>
        </w:rPr>
        <w:t>IFT (</w:t>
      </w:r>
      <w:proofErr w:type="spellStart"/>
      <w:r w:rsidRPr="00CD0C09">
        <w:rPr>
          <w:rFonts w:ascii="ITC Avant Garde" w:hAnsi="ITC Avant Garde"/>
          <w:lang w:val="es-419"/>
        </w:rPr>
        <w:t>Axon</w:t>
      </w:r>
      <w:proofErr w:type="spellEnd"/>
      <w:r w:rsidRPr="00CD0C09">
        <w:rPr>
          <w:rFonts w:ascii="ITC Avant Garde" w:hAnsi="ITC Avant Garde"/>
          <w:lang w:val="es-419"/>
        </w:rPr>
        <w:t xml:space="preserve">), Documento Metodológico, Desarrollo del modelo de costos para la determinación de las tarifas de acceso a la red de fibra óptica del Agente Económico Preponderante (AEP), </w:t>
      </w:r>
      <w:r w:rsidRPr="006319A2">
        <w:rPr>
          <w:rFonts w:ascii="ITC Avant Garde" w:hAnsi="ITC Avant Garde"/>
          <w:lang w:val="es-419"/>
        </w:rPr>
        <w:t>p</w:t>
      </w:r>
      <w:r>
        <w:rPr>
          <w:rFonts w:ascii="ITC Avant Garde" w:hAnsi="ITC Avant Garde"/>
          <w:lang w:val="es-419"/>
        </w:rPr>
        <w:t>á</w:t>
      </w:r>
      <w:r w:rsidRPr="006319A2">
        <w:rPr>
          <w:rFonts w:ascii="ITC Avant Garde" w:hAnsi="ITC Avant Garde"/>
          <w:lang w:val="es-419"/>
        </w:rPr>
        <w:t>gina 11</w:t>
      </w:r>
    </w:p>
  </w:footnote>
  <w:footnote w:id="41">
    <w:p w:rsidR="0061735A" w:rsidRPr="00CD0C09" w:rsidRDefault="0061735A" w:rsidP="00CB61CB">
      <w:pPr>
        <w:pStyle w:val="Textonotapie"/>
        <w:rPr>
          <w:rFonts w:ascii="ITC Avant Garde" w:hAnsi="ITC Avant Garde"/>
          <w:lang w:val="es-MX"/>
        </w:rPr>
      </w:pPr>
      <w:r w:rsidRPr="00CD0C09">
        <w:rPr>
          <w:rStyle w:val="Refdenotaalpie"/>
          <w:rFonts w:ascii="ITC Avant Garde" w:hAnsi="ITC Avant Garde"/>
        </w:rPr>
        <w:footnoteRef/>
      </w:r>
      <w:r w:rsidRPr="00CD0C09">
        <w:rPr>
          <w:rFonts w:ascii="ITC Avant Garde" w:hAnsi="ITC Avant Garde"/>
          <w:lang w:val="es-MX"/>
        </w:rPr>
        <w:t xml:space="preserve"> En su decisión de LLU y desagregación del Sub Bucle (SLU) en 2009, </w:t>
      </w:r>
      <w:proofErr w:type="spellStart"/>
      <w:r w:rsidRPr="0029338F">
        <w:rPr>
          <w:rFonts w:ascii="ITC Avant Garde" w:hAnsi="ITC Avant Garde"/>
          <w:i/>
          <w:lang w:val="es-MX"/>
        </w:rPr>
        <w:t>ComReg</w:t>
      </w:r>
      <w:proofErr w:type="spellEnd"/>
      <w:r w:rsidRPr="00CD0C09">
        <w:rPr>
          <w:rFonts w:ascii="ITC Avant Garde" w:hAnsi="ITC Avant Garde"/>
          <w:lang w:val="es-MX"/>
        </w:rPr>
        <w:t xml:space="preserve"> realizó una evaluación comparativa del tratamiento del capital circulante en varios modelos de costos internacionales, incluidos Australia, Francia y Suecia. </w:t>
      </w:r>
      <w:proofErr w:type="spellStart"/>
      <w:r w:rsidRPr="0029338F">
        <w:rPr>
          <w:rFonts w:ascii="ITC Avant Garde" w:hAnsi="ITC Avant Garde"/>
          <w:i/>
          <w:lang w:val="es-MX"/>
        </w:rPr>
        <w:t>ComReg</w:t>
      </w:r>
      <w:proofErr w:type="spellEnd"/>
      <w:r w:rsidRPr="00CD0C09">
        <w:rPr>
          <w:rFonts w:ascii="ITC Avant Garde" w:hAnsi="ITC Avant Garde"/>
          <w:lang w:val="es-MX"/>
        </w:rPr>
        <w:t xml:space="preserve"> concluyó que en estos países el costo del capital circulante se ha establecido en cero (</w:t>
      </w:r>
      <w:proofErr w:type="spellStart"/>
      <w:r w:rsidRPr="00CD0C09">
        <w:rPr>
          <w:rFonts w:ascii="ITC Avant Garde" w:hAnsi="ITC Avant Garde"/>
          <w:lang w:val="es-MX"/>
        </w:rPr>
        <w:t>ComReg</w:t>
      </w:r>
      <w:proofErr w:type="spellEnd"/>
      <w:r w:rsidRPr="00CD0C09">
        <w:rPr>
          <w:rFonts w:ascii="ITC Avant Garde" w:hAnsi="ITC Avant Garde"/>
          <w:lang w:val="es-MX"/>
        </w:rPr>
        <w:t xml:space="preserve"> - Decisión 0939).</w:t>
      </w:r>
    </w:p>
  </w:footnote>
  <w:footnote w:id="42">
    <w:p w:rsidR="0061735A" w:rsidRPr="0029338F" w:rsidRDefault="0061735A" w:rsidP="005B0846">
      <w:pPr>
        <w:pStyle w:val="Textonotapie"/>
        <w:rPr>
          <w:rFonts w:ascii="ITC Avant Garde" w:hAnsi="ITC Avant Garde"/>
          <w:lang w:val="fr-FR"/>
        </w:rPr>
      </w:pPr>
      <w:r w:rsidRPr="0029338F">
        <w:rPr>
          <w:rStyle w:val="Refdenotaalpie"/>
          <w:rFonts w:ascii="ITC Avant Garde" w:hAnsi="ITC Avant Garde"/>
        </w:rPr>
        <w:footnoteRef/>
      </w:r>
      <w:r w:rsidRPr="0029338F">
        <w:rPr>
          <w:rFonts w:ascii="ITC Avant Garde" w:hAnsi="ITC Avant Garde"/>
          <w:lang w:val="es-MX"/>
        </w:rPr>
        <w:t xml:space="preserve"> La cantidad de líneas instaladas consideradas es proporcionada por el IFT con base en las estimaciones de INEGI para el escenario de cobre. Sin embargo, para el escenario de fibra, el número de líneas instaladas en los PDP de fibra se usa a nivel del CO (basado en la base de datos: "7. </w:t>
      </w:r>
      <w:proofErr w:type="spellStart"/>
      <w:r w:rsidRPr="0029338F">
        <w:rPr>
          <w:rFonts w:ascii="ITC Avant Garde" w:hAnsi="ITC Avant Garde"/>
          <w:lang w:val="es-MX"/>
        </w:rPr>
        <w:t>Anexo_Acceso-linea_de_fibra</w:t>
      </w:r>
      <w:proofErr w:type="spellEnd"/>
      <w:r w:rsidRPr="0029338F">
        <w:rPr>
          <w:rFonts w:ascii="ITC Avant Garde" w:hAnsi="ITC Avant Garde"/>
          <w:lang w:val="es-MX"/>
        </w:rPr>
        <w:t>")</w:t>
      </w:r>
    </w:p>
  </w:footnote>
  <w:footnote w:id="43">
    <w:p w:rsidR="0061735A" w:rsidRPr="00E65505" w:rsidRDefault="0061735A">
      <w:pPr>
        <w:pStyle w:val="Textonotapie"/>
        <w:rPr>
          <w:lang w:val="es-MX"/>
        </w:rPr>
      </w:pPr>
      <w:r>
        <w:rPr>
          <w:rStyle w:val="Refdenotaalpie"/>
        </w:rPr>
        <w:footnoteRef/>
      </w:r>
      <w:r w:rsidRPr="00C03D71">
        <w:rPr>
          <w:lang w:val="es-MX"/>
        </w:rPr>
        <w:t xml:space="preserve"> </w:t>
      </w:r>
      <w:r>
        <w:rPr>
          <w:rFonts w:ascii="ITC Avant Garde" w:hAnsi="ITC Avant Garde"/>
          <w:lang w:val="es-MX"/>
        </w:rPr>
        <w:t>De conformidad con el valor para dicho parámetro, propuesto por el IFT a  través en</w:t>
      </w:r>
      <w:r w:rsidRPr="006319A2">
        <w:rPr>
          <w:rFonts w:ascii="ITC Avant Garde" w:hAnsi="ITC Avant Garde"/>
          <w:lang w:val="es-MX"/>
        </w:rPr>
        <w:t xml:space="preserve"> el documento “</w:t>
      </w:r>
      <w:r w:rsidRPr="006319A2">
        <w:rPr>
          <w:rFonts w:ascii="ITC Avant Garde" w:hAnsi="ITC Avant Garde"/>
          <w:i/>
          <w:lang w:val="es-MX"/>
        </w:rPr>
        <w:t>ANTEPROYECTO DE LAS CONDICIONES TÉCNICAS MÍNIMAS PARA LA INTERCONEXIÓN ENTRE CONCESIONARIOS QUE OPEREN REDES PÚBLICAS DE TELECOMUNICACIONES Y LAS TARIFAS QUE RESULTEN DE LAS METODOLOGÍAS DE COSTOS QUE ESTARÁN VIGENTES DEL 1 DE ENERO AL 31 DE DICIEMBRE DE 2019</w:t>
      </w:r>
      <w:r w:rsidRPr="006319A2">
        <w:rPr>
          <w:rFonts w:ascii="ITC Avant Garde" w:hAnsi="ITC Avant Garde"/>
          <w:lang w:val="es-MX"/>
        </w:rPr>
        <w:t xml:space="preserve">”, disponible a través de la dirección electrónica: </w:t>
      </w:r>
      <w:hyperlink r:id="rId6" w:history="1">
        <w:r w:rsidRPr="006319A2">
          <w:rPr>
            <w:rStyle w:val="Hipervnculo"/>
            <w:rFonts w:ascii="ITC Avant Garde" w:hAnsi="ITC Avant Garde"/>
            <w:lang w:val="es-MX"/>
          </w:rPr>
          <w:t>http://www.ift.org.mx/sites/default/files/industria/temasrelevantes/12005/documentos/anexounicoanteproyectoctmytarifas2019engrose.pdf</w:t>
        </w:r>
      </w:hyperlink>
      <w:r w:rsidRPr="006319A2">
        <w:rPr>
          <w:rFonts w:ascii="ITC Avant Garde" w:hAnsi="ITC Avant Garde"/>
          <w:lang w:val="es-MX"/>
        </w:rPr>
        <w:t xml:space="preserve"> </w:t>
      </w:r>
      <w:r>
        <w:rPr>
          <w:rFonts w:ascii="ITC Avant Garde" w:hAnsi="ITC Avant Garde"/>
          <w:lang w:val="es-MX"/>
        </w:rPr>
        <w:t>(ver páginas 59 a 64).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0136"/>
    <w:multiLevelType w:val="hybridMultilevel"/>
    <w:tmpl w:val="AF306E7C"/>
    <w:lvl w:ilvl="0" w:tplc="0AFCA1D0">
      <w:start w:val="1"/>
      <w:numFmt w:val="bullet"/>
      <w:pStyle w:val="Listaconvietas2"/>
      <w:lvlText w:val=""/>
      <w:lvlJc w:val="left"/>
      <w:pPr>
        <w:tabs>
          <w:tab w:val="num" w:pos="643"/>
        </w:tabs>
        <w:ind w:left="643" w:hanging="360"/>
      </w:pPr>
      <w:rPr>
        <w:rFonts w:ascii="Symbol" w:hAnsi="Symbol" w:hint="default"/>
        <w:color w:val="CC330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087542"/>
    <w:multiLevelType w:val="multilevel"/>
    <w:tmpl w:val="5F1C0EF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rFonts w:ascii="ITC Avant Garde" w:hAnsi="ITC Avant Garde"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5885F81"/>
    <w:multiLevelType w:val="hybridMultilevel"/>
    <w:tmpl w:val="7B0268A2"/>
    <w:lvl w:ilvl="0" w:tplc="6C2C66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91313D"/>
    <w:multiLevelType w:val="hybridMultilevel"/>
    <w:tmpl w:val="AB24026A"/>
    <w:lvl w:ilvl="0" w:tplc="6C2C66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9B4A13"/>
    <w:multiLevelType w:val="multilevel"/>
    <w:tmpl w:val="81B80802"/>
    <w:lvl w:ilvl="0">
      <w:start w:val="1"/>
      <w:numFmt w:val="decimal"/>
      <w:pStyle w:val="Ttulo1"/>
      <w:lvlText w:val="%1"/>
      <w:lvlJc w:val="left"/>
      <w:pPr>
        <w:tabs>
          <w:tab w:val="num" w:pos="792"/>
        </w:tabs>
        <w:ind w:left="79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tabs>
          <w:tab w:val="num" w:pos="936"/>
        </w:tabs>
        <w:ind w:left="936" w:hanging="576"/>
      </w:pPr>
      <w:rPr>
        <w:rFonts w:hint="default"/>
        <w:lang w:val="en-GB"/>
      </w:rPr>
    </w:lvl>
    <w:lvl w:ilvl="2">
      <w:start w:val="1"/>
      <w:numFmt w:val="decimal"/>
      <w:pStyle w:val="Ttulo3"/>
      <w:lvlText w:val="%1.%2.%3"/>
      <w:lvlJc w:val="left"/>
      <w:pPr>
        <w:tabs>
          <w:tab w:val="num" w:pos="1080"/>
        </w:tabs>
        <w:ind w:left="1080" w:hanging="720"/>
      </w:pPr>
      <w:rPr>
        <w:rFonts w:hint="default"/>
      </w:rPr>
    </w:lvl>
    <w:lvl w:ilvl="3">
      <w:start w:val="1"/>
      <w:numFmt w:val="decimal"/>
      <w:pStyle w:val="Ttulo4"/>
      <w:lvlText w:val="%1.%2.%3.%4"/>
      <w:lvlJc w:val="left"/>
      <w:pPr>
        <w:tabs>
          <w:tab w:val="num" w:pos="1224"/>
        </w:tabs>
        <w:ind w:left="1224" w:hanging="864"/>
      </w:pPr>
      <w:rPr>
        <w:rFonts w:hint="default"/>
      </w:rPr>
    </w:lvl>
    <w:lvl w:ilvl="4">
      <w:start w:val="1"/>
      <w:numFmt w:val="decimal"/>
      <w:pStyle w:val="Ttulo5"/>
      <w:lvlText w:val="%1.%2.%3.%4.%5"/>
      <w:lvlJc w:val="left"/>
      <w:pPr>
        <w:tabs>
          <w:tab w:val="num" w:pos="1368"/>
        </w:tabs>
        <w:ind w:left="1368" w:hanging="1008"/>
      </w:pPr>
      <w:rPr>
        <w:rFonts w:hint="default"/>
      </w:rPr>
    </w:lvl>
    <w:lvl w:ilvl="5">
      <w:start w:val="1"/>
      <w:numFmt w:val="decimal"/>
      <w:pStyle w:val="Ttulo6"/>
      <w:lvlText w:val="%1.%2.%3.%4.%5.%6"/>
      <w:lvlJc w:val="left"/>
      <w:pPr>
        <w:tabs>
          <w:tab w:val="num" w:pos="1512"/>
        </w:tabs>
        <w:ind w:left="1512" w:hanging="1152"/>
      </w:pPr>
      <w:rPr>
        <w:rFonts w:hint="default"/>
      </w:rPr>
    </w:lvl>
    <w:lvl w:ilvl="6">
      <w:start w:val="1"/>
      <w:numFmt w:val="decimal"/>
      <w:pStyle w:val="Ttulo7"/>
      <w:lvlText w:val="%1.%2.%3.%4.%5.%6.%7"/>
      <w:lvlJc w:val="left"/>
      <w:pPr>
        <w:tabs>
          <w:tab w:val="num" w:pos="1656"/>
        </w:tabs>
        <w:ind w:left="1656" w:hanging="1296"/>
      </w:pPr>
      <w:rPr>
        <w:rFonts w:hint="default"/>
      </w:rPr>
    </w:lvl>
    <w:lvl w:ilvl="7">
      <w:start w:val="1"/>
      <w:numFmt w:val="decimal"/>
      <w:pStyle w:val="Ttulo8"/>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5" w15:restartNumberingAfterBreak="0">
    <w:nsid w:val="0763176C"/>
    <w:multiLevelType w:val="hybridMultilevel"/>
    <w:tmpl w:val="05665376"/>
    <w:lvl w:ilvl="0" w:tplc="080A000F">
      <w:start w:val="1"/>
      <w:numFmt w:val="decimal"/>
      <w:lvlText w:val="%1."/>
      <w:lvlJc w:val="left"/>
      <w:pPr>
        <w:ind w:left="720" w:hanging="360"/>
      </w:pPr>
      <w:rPr>
        <w:rFonts w:hint="default"/>
      </w:rPr>
    </w:lvl>
    <w:lvl w:ilvl="1" w:tplc="074675B0">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161A03"/>
    <w:multiLevelType w:val="hybridMultilevel"/>
    <w:tmpl w:val="2654D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22570B"/>
    <w:multiLevelType w:val="hybridMultilevel"/>
    <w:tmpl w:val="2D1A91DA"/>
    <w:lvl w:ilvl="0" w:tplc="6C2C66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6D55D0"/>
    <w:multiLevelType w:val="hybridMultilevel"/>
    <w:tmpl w:val="0E4826D0"/>
    <w:lvl w:ilvl="0" w:tplc="4B3EE41E">
      <w:start w:val="1"/>
      <w:numFmt w:val="bullet"/>
      <w:pStyle w:val="Puce"/>
      <w:lvlText w:val=""/>
      <w:lvlJc w:val="left"/>
      <w:pPr>
        <w:tabs>
          <w:tab w:val="num" w:pos="720"/>
        </w:tabs>
        <w:ind w:left="720" w:hanging="360"/>
      </w:pPr>
      <w:rPr>
        <w:rFonts w:ascii="Symbol" w:hAnsi="Symbol" w:hint="default"/>
        <w:color w:val="CC330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F012C0"/>
    <w:multiLevelType w:val="hybridMultilevel"/>
    <w:tmpl w:val="E6F28220"/>
    <w:lvl w:ilvl="0" w:tplc="080A000F">
      <w:start w:val="1"/>
      <w:numFmt w:val="decimal"/>
      <w:lvlText w:val="%1."/>
      <w:lvlJc w:val="left"/>
      <w:pPr>
        <w:tabs>
          <w:tab w:val="num" w:pos="643"/>
        </w:tabs>
        <w:ind w:left="643" w:hanging="360"/>
      </w:pPr>
      <w:rPr>
        <w:rFonts w:hint="default"/>
        <w:color w:val="CC330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7735E7"/>
    <w:multiLevelType w:val="hybridMultilevel"/>
    <w:tmpl w:val="C10C7820"/>
    <w:lvl w:ilvl="0" w:tplc="FE20D08A">
      <w:start w:val="1"/>
      <w:numFmt w:val="bullet"/>
      <w:pStyle w:val="Lsi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B66A41"/>
    <w:multiLevelType w:val="hybridMultilevel"/>
    <w:tmpl w:val="3C6C6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CD1625"/>
    <w:multiLevelType w:val="hybridMultilevel"/>
    <w:tmpl w:val="97C4A99A"/>
    <w:lvl w:ilvl="0" w:tplc="6B286696">
      <w:start w:val="1"/>
      <w:numFmt w:val="bullet"/>
      <w:lvlText w:val=""/>
      <w:lvlJc w:val="left"/>
      <w:pPr>
        <w:tabs>
          <w:tab w:val="num" w:pos="1068"/>
        </w:tabs>
        <w:ind w:left="1068" w:hanging="360"/>
      </w:pPr>
      <w:rPr>
        <w:rFonts w:ascii="Symbol" w:hAnsi="Symbol" w:hint="default"/>
        <w:color w:val="auto"/>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pStyle w:val="Ttulo9"/>
      <w:lvlText w:val=""/>
      <w:lvlJc w:val="left"/>
      <w:pPr>
        <w:tabs>
          <w:tab w:val="num" w:pos="6480"/>
        </w:tabs>
        <w:ind w:left="6480" w:hanging="360"/>
      </w:pPr>
      <w:rPr>
        <w:rFonts w:ascii="Wingdings" w:hAnsi="Wingdings" w:hint="default"/>
      </w:rPr>
    </w:lvl>
  </w:abstractNum>
  <w:abstractNum w:abstractNumId="13" w15:restartNumberingAfterBreak="0">
    <w:nsid w:val="28C369D8"/>
    <w:multiLevelType w:val="hybridMultilevel"/>
    <w:tmpl w:val="80CA45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7B3ADC"/>
    <w:multiLevelType w:val="hybridMultilevel"/>
    <w:tmpl w:val="41BAED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CB509B"/>
    <w:multiLevelType w:val="hybridMultilevel"/>
    <w:tmpl w:val="2E109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6D205A"/>
    <w:multiLevelType w:val="hybridMultilevel"/>
    <w:tmpl w:val="A0C65BAA"/>
    <w:lvl w:ilvl="0" w:tplc="040C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0020D6"/>
    <w:multiLevelType w:val="hybridMultilevel"/>
    <w:tmpl w:val="41BAED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1719D1"/>
    <w:multiLevelType w:val="hybridMultilevel"/>
    <w:tmpl w:val="49EC6892"/>
    <w:lvl w:ilvl="0" w:tplc="558AF854">
      <w:start w:val="1"/>
      <w:numFmt w:val="low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3C693558"/>
    <w:multiLevelType w:val="hybridMultilevel"/>
    <w:tmpl w:val="695EA660"/>
    <w:lvl w:ilvl="0" w:tplc="6C2C66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822F3C"/>
    <w:multiLevelType w:val="hybridMultilevel"/>
    <w:tmpl w:val="7932F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00D6E73"/>
    <w:multiLevelType w:val="hybridMultilevel"/>
    <w:tmpl w:val="F10ACC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370CD4"/>
    <w:multiLevelType w:val="hybridMultilevel"/>
    <w:tmpl w:val="6402105A"/>
    <w:lvl w:ilvl="0" w:tplc="6C2C66B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3E7E63"/>
    <w:multiLevelType w:val="hybridMultilevel"/>
    <w:tmpl w:val="892491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4C1C85"/>
    <w:multiLevelType w:val="hybridMultilevel"/>
    <w:tmpl w:val="35DCAA6E"/>
    <w:lvl w:ilvl="0" w:tplc="6C2C66BA">
      <w:start w:val="1"/>
      <w:numFmt w:val="decimal"/>
      <w:lvlText w:val="%1."/>
      <w:lvlJc w:val="left"/>
      <w:pPr>
        <w:ind w:left="720" w:hanging="360"/>
      </w:pPr>
      <w:rPr>
        <w:rFonts w:hint="default"/>
      </w:rPr>
    </w:lvl>
    <w:lvl w:ilvl="1" w:tplc="D2EC41F2">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2DC0E8E"/>
    <w:multiLevelType w:val="hybridMultilevel"/>
    <w:tmpl w:val="45380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4396955"/>
    <w:multiLevelType w:val="hybridMultilevel"/>
    <w:tmpl w:val="77D2582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8D2F9A"/>
    <w:multiLevelType w:val="multilevel"/>
    <w:tmpl w:val="0854E63E"/>
    <w:styleLink w:val="StylePuce"/>
    <w:lvl w:ilvl="0">
      <w:start w:val="1"/>
      <w:numFmt w:val="bullet"/>
      <w:lvlText w:val=""/>
      <w:lvlJc w:val="left"/>
      <w:pPr>
        <w:tabs>
          <w:tab w:val="num" w:pos="814"/>
        </w:tabs>
        <w:ind w:left="814" w:hanging="360"/>
      </w:pPr>
      <w:rPr>
        <w:rFonts w:ascii="Symbol" w:hAnsi="Symbol" w:hint="default"/>
        <w:color w:val="CC3300"/>
      </w:rPr>
    </w:lvl>
    <w:lvl w:ilvl="1">
      <w:start w:val="1"/>
      <w:numFmt w:val="bullet"/>
      <w:lvlText w:val="o"/>
      <w:lvlJc w:val="left"/>
      <w:pPr>
        <w:tabs>
          <w:tab w:val="num" w:pos="1440"/>
        </w:tabs>
        <w:ind w:left="1440" w:hanging="360"/>
      </w:pPr>
      <w:rPr>
        <w:rFonts w:ascii="Courier New" w:hAnsi="Courier New"/>
        <w:color w:val="CC3300"/>
        <w:sz w:val="24"/>
      </w:rPr>
    </w:lvl>
    <w:lvl w:ilvl="2">
      <w:start w:val="1"/>
      <w:numFmt w:val="bullet"/>
      <w:lvlText w:val="–"/>
      <w:lvlJc w:val="left"/>
      <w:pPr>
        <w:tabs>
          <w:tab w:val="num" w:pos="2160"/>
        </w:tabs>
        <w:ind w:left="2160" w:hanging="360"/>
      </w:pPr>
      <w:rPr>
        <w:rFonts w:ascii="Arial" w:hAnsi="Arial" w:hint="default"/>
        <w:color w:val="CC3300"/>
        <w:sz w:val="24"/>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222273"/>
    <w:multiLevelType w:val="hybridMultilevel"/>
    <w:tmpl w:val="9D1604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3BA68AB"/>
    <w:multiLevelType w:val="hybridMultilevel"/>
    <w:tmpl w:val="8EFA988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761D12EF"/>
    <w:multiLevelType w:val="hybridMultilevel"/>
    <w:tmpl w:val="1E6A1EEE"/>
    <w:lvl w:ilvl="0" w:tplc="080A000F">
      <w:start w:val="1"/>
      <w:numFmt w:val="decimal"/>
      <w:lvlText w:val="%1."/>
      <w:lvlJc w:val="left"/>
      <w:pPr>
        <w:ind w:left="720" w:hanging="360"/>
      </w:pPr>
      <w:rPr>
        <w:rFonts w:hint="default"/>
      </w:rPr>
    </w:lvl>
    <w:lvl w:ilvl="1" w:tplc="E5DCB2BA">
      <w:start w:val="3"/>
      <w:numFmt w:val="bullet"/>
      <w:lvlText w:val="•"/>
      <w:lvlJc w:val="left"/>
      <w:pPr>
        <w:ind w:left="1440" w:hanging="360"/>
      </w:pPr>
      <w:rPr>
        <w:rFonts w:ascii="Arial" w:eastAsia="Times New Roman"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B6C37BF"/>
    <w:multiLevelType w:val="hybridMultilevel"/>
    <w:tmpl w:val="5E4C054E"/>
    <w:lvl w:ilvl="0" w:tplc="8FD8F344">
      <w:start w:val="1"/>
      <w:numFmt w:val="bullet"/>
      <w:lvlText w:val=""/>
      <w:lvlJc w:val="left"/>
      <w:pPr>
        <w:ind w:left="360" w:hanging="360"/>
      </w:pPr>
      <w:rPr>
        <w:rFonts w:ascii="Symbol" w:hAnsi="Symbol" w:hint="default"/>
        <w:color w:val="CC33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F443928"/>
    <w:multiLevelType w:val="hybridMultilevel"/>
    <w:tmpl w:val="B10241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2"/>
  </w:num>
  <w:num w:numId="3">
    <w:abstractNumId w:val="4"/>
  </w:num>
  <w:num w:numId="4">
    <w:abstractNumId w:val="8"/>
  </w:num>
  <w:num w:numId="5">
    <w:abstractNumId w:val="10"/>
  </w:num>
  <w:num w:numId="6">
    <w:abstractNumId w:val="27"/>
  </w:num>
  <w:num w:numId="7">
    <w:abstractNumId w:val="31"/>
  </w:num>
  <w:num w:numId="8">
    <w:abstractNumId w:val="18"/>
  </w:num>
  <w:num w:numId="9">
    <w:abstractNumId w:val="17"/>
  </w:num>
  <w:num w:numId="10">
    <w:abstractNumId w:val="14"/>
  </w:num>
  <w:num w:numId="11">
    <w:abstractNumId w:val="29"/>
  </w:num>
  <w:num w:numId="12">
    <w:abstractNumId w:val="6"/>
  </w:num>
  <w:num w:numId="13">
    <w:abstractNumId w:val="13"/>
  </w:num>
  <w:num w:numId="14">
    <w:abstractNumId w:val="20"/>
  </w:num>
  <w:num w:numId="15">
    <w:abstractNumId w:val="25"/>
  </w:num>
  <w:num w:numId="16">
    <w:abstractNumId w:val="15"/>
  </w:num>
  <w:num w:numId="17">
    <w:abstractNumId w:val="32"/>
  </w:num>
  <w:num w:numId="18">
    <w:abstractNumId w:val="26"/>
  </w:num>
  <w:num w:numId="19">
    <w:abstractNumId w:val="23"/>
  </w:num>
  <w:num w:numId="20">
    <w:abstractNumId w:val="28"/>
  </w:num>
  <w:num w:numId="21">
    <w:abstractNumId w:val="16"/>
  </w:num>
  <w:num w:numId="22">
    <w:abstractNumId w:val="19"/>
  </w:num>
  <w:num w:numId="23">
    <w:abstractNumId w:val="24"/>
  </w:num>
  <w:num w:numId="24">
    <w:abstractNumId w:val="7"/>
  </w:num>
  <w:num w:numId="25">
    <w:abstractNumId w:val="3"/>
  </w:num>
  <w:num w:numId="26">
    <w:abstractNumId w:val="22"/>
  </w:num>
  <w:num w:numId="27">
    <w:abstractNumId w:val="2"/>
  </w:num>
  <w:num w:numId="28">
    <w:abstractNumId w:val="11"/>
  </w:num>
  <w:num w:numId="29">
    <w:abstractNumId w:val="9"/>
  </w:num>
  <w:num w:numId="30">
    <w:abstractNumId w:val="30"/>
  </w:num>
  <w:num w:numId="31">
    <w:abstractNumId w:val="5"/>
  </w:num>
  <w:num w:numId="32">
    <w:abstractNumId w:val="21"/>
  </w:num>
  <w:num w:numId="33">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fill="f" fillcolor="white" stroke="f">
      <v:fill color="white" on="f"/>
      <v:stroke on="f"/>
      <o:colormru v:ext="edit" colors="#c3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21C"/>
    <w:rsid w:val="00000C62"/>
    <w:rsid w:val="0000100C"/>
    <w:rsid w:val="000014E8"/>
    <w:rsid w:val="00002157"/>
    <w:rsid w:val="00002313"/>
    <w:rsid w:val="00002C4D"/>
    <w:rsid w:val="00002EE5"/>
    <w:rsid w:val="00003468"/>
    <w:rsid w:val="00003D16"/>
    <w:rsid w:val="0000481D"/>
    <w:rsid w:val="00010865"/>
    <w:rsid w:val="00011293"/>
    <w:rsid w:val="00012A82"/>
    <w:rsid w:val="000135F9"/>
    <w:rsid w:val="00013938"/>
    <w:rsid w:val="000140E7"/>
    <w:rsid w:val="00014722"/>
    <w:rsid w:val="0001530A"/>
    <w:rsid w:val="00016AA5"/>
    <w:rsid w:val="000179E6"/>
    <w:rsid w:val="00017EBF"/>
    <w:rsid w:val="0002016E"/>
    <w:rsid w:val="00020362"/>
    <w:rsid w:val="00022012"/>
    <w:rsid w:val="00024263"/>
    <w:rsid w:val="00030396"/>
    <w:rsid w:val="0003049E"/>
    <w:rsid w:val="00030FB0"/>
    <w:rsid w:val="000312B3"/>
    <w:rsid w:val="000319AE"/>
    <w:rsid w:val="00033049"/>
    <w:rsid w:val="000331BA"/>
    <w:rsid w:val="00034C20"/>
    <w:rsid w:val="000361A8"/>
    <w:rsid w:val="000406F8"/>
    <w:rsid w:val="00040904"/>
    <w:rsid w:val="00042245"/>
    <w:rsid w:val="00042259"/>
    <w:rsid w:val="0004391D"/>
    <w:rsid w:val="00043D07"/>
    <w:rsid w:val="00043D1B"/>
    <w:rsid w:val="000440DC"/>
    <w:rsid w:val="0004438C"/>
    <w:rsid w:val="00045465"/>
    <w:rsid w:val="0004603F"/>
    <w:rsid w:val="000468C0"/>
    <w:rsid w:val="0004745E"/>
    <w:rsid w:val="00050504"/>
    <w:rsid w:val="000506B2"/>
    <w:rsid w:val="000515D5"/>
    <w:rsid w:val="0005309D"/>
    <w:rsid w:val="000544C8"/>
    <w:rsid w:val="00054B12"/>
    <w:rsid w:val="00062F2B"/>
    <w:rsid w:val="00064C14"/>
    <w:rsid w:val="0006521C"/>
    <w:rsid w:val="0006621F"/>
    <w:rsid w:val="00066B95"/>
    <w:rsid w:val="0006783B"/>
    <w:rsid w:val="00067C63"/>
    <w:rsid w:val="000715C5"/>
    <w:rsid w:val="000733B2"/>
    <w:rsid w:val="000734EB"/>
    <w:rsid w:val="00073878"/>
    <w:rsid w:val="00073D8E"/>
    <w:rsid w:val="00073F22"/>
    <w:rsid w:val="00074835"/>
    <w:rsid w:val="00074B1D"/>
    <w:rsid w:val="00074C28"/>
    <w:rsid w:val="000758F7"/>
    <w:rsid w:val="0007652A"/>
    <w:rsid w:val="000769A8"/>
    <w:rsid w:val="00076D61"/>
    <w:rsid w:val="00080E46"/>
    <w:rsid w:val="00081D25"/>
    <w:rsid w:val="00082F15"/>
    <w:rsid w:val="00084606"/>
    <w:rsid w:val="00085C9E"/>
    <w:rsid w:val="000862BC"/>
    <w:rsid w:val="00086436"/>
    <w:rsid w:val="00086BFA"/>
    <w:rsid w:val="0009089D"/>
    <w:rsid w:val="00090AF7"/>
    <w:rsid w:val="00090E86"/>
    <w:rsid w:val="00091516"/>
    <w:rsid w:val="00093CDF"/>
    <w:rsid w:val="0009672A"/>
    <w:rsid w:val="000A1BA5"/>
    <w:rsid w:val="000A1C06"/>
    <w:rsid w:val="000A2595"/>
    <w:rsid w:val="000A35A2"/>
    <w:rsid w:val="000A4319"/>
    <w:rsid w:val="000A7E4A"/>
    <w:rsid w:val="000B048D"/>
    <w:rsid w:val="000B06FA"/>
    <w:rsid w:val="000B1114"/>
    <w:rsid w:val="000B40E8"/>
    <w:rsid w:val="000B536E"/>
    <w:rsid w:val="000B56AD"/>
    <w:rsid w:val="000B58CB"/>
    <w:rsid w:val="000B639A"/>
    <w:rsid w:val="000C0C11"/>
    <w:rsid w:val="000C2825"/>
    <w:rsid w:val="000C3CA1"/>
    <w:rsid w:val="000C48CE"/>
    <w:rsid w:val="000C5011"/>
    <w:rsid w:val="000C52E2"/>
    <w:rsid w:val="000C5336"/>
    <w:rsid w:val="000C5C30"/>
    <w:rsid w:val="000C6CFA"/>
    <w:rsid w:val="000C713A"/>
    <w:rsid w:val="000C73AB"/>
    <w:rsid w:val="000D041B"/>
    <w:rsid w:val="000D04FB"/>
    <w:rsid w:val="000D16F7"/>
    <w:rsid w:val="000D21E6"/>
    <w:rsid w:val="000D292D"/>
    <w:rsid w:val="000D30F8"/>
    <w:rsid w:val="000D35AF"/>
    <w:rsid w:val="000D40E4"/>
    <w:rsid w:val="000D473D"/>
    <w:rsid w:val="000D5F5A"/>
    <w:rsid w:val="000D6A56"/>
    <w:rsid w:val="000D71A4"/>
    <w:rsid w:val="000E2204"/>
    <w:rsid w:val="000E2D2C"/>
    <w:rsid w:val="000E3434"/>
    <w:rsid w:val="000E39AD"/>
    <w:rsid w:val="000E5267"/>
    <w:rsid w:val="000E5BB7"/>
    <w:rsid w:val="000E66FB"/>
    <w:rsid w:val="000E6AD3"/>
    <w:rsid w:val="000E77D5"/>
    <w:rsid w:val="000E7966"/>
    <w:rsid w:val="000E7A99"/>
    <w:rsid w:val="000F2F19"/>
    <w:rsid w:val="000F4E74"/>
    <w:rsid w:val="000F55C2"/>
    <w:rsid w:val="000F57AB"/>
    <w:rsid w:val="000F5AB3"/>
    <w:rsid w:val="000F5BCD"/>
    <w:rsid w:val="000F6D0D"/>
    <w:rsid w:val="000F6F02"/>
    <w:rsid w:val="00102A5B"/>
    <w:rsid w:val="00102BF8"/>
    <w:rsid w:val="00103C7A"/>
    <w:rsid w:val="001042DE"/>
    <w:rsid w:val="00106987"/>
    <w:rsid w:val="00106EAF"/>
    <w:rsid w:val="00107087"/>
    <w:rsid w:val="00116077"/>
    <w:rsid w:val="00116285"/>
    <w:rsid w:val="00117204"/>
    <w:rsid w:val="001177CC"/>
    <w:rsid w:val="00120098"/>
    <w:rsid w:val="001217C4"/>
    <w:rsid w:val="0012305A"/>
    <w:rsid w:val="00124019"/>
    <w:rsid w:val="0012404E"/>
    <w:rsid w:val="00124628"/>
    <w:rsid w:val="00125B6A"/>
    <w:rsid w:val="00125C4F"/>
    <w:rsid w:val="00126ACD"/>
    <w:rsid w:val="00127079"/>
    <w:rsid w:val="0012728E"/>
    <w:rsid w:val="00127BF6"/>
    <w:rsid w:val="00130FCB"/>
    <w:rsid w:val="0013149F"/>
    <w:rsid w:val="0013268E"/>
    <w:rsid w:val="001330A4"/>
    <w:rsid w:val="001340BF"/>
    <w:rsid w:val="001349AD"/>
    <w:rsid w:val="00134CEC"/>
    <w:rsid w:val="00135E2D"/>
    <w:rsid w:val="00137709"/>
    <w:rsid w:val="001416A2"/>
    <w:rsid w:val="0014349A"/>
    <w:rsid w:val="00146FF7"/>
    <w:rsid w:val="00147ADD"/>
    <w:rsid w:val="001503A4"/>
    <w:rsid w:val="00150697"/>
    <w:rsid w:val="00152309"/>
    <w:rsid w:val="00154485"/>
    <w:rsid w:val="00156343"/>
    <w:rsid w:val="00160222"/>
    <w:rsid w:val="00160C7F"/>
    <w:rsid w:val="00160E5E"/>
    <w:rsid w:val="00161ABC"/>
    <w:rsid w:val="00162581"/>
    <w:rsid w:val="00162D36"/>
    <w:rsid w:val="00163B8E"/>
    <w:rsid w:val="0016446C"/>
    <w:rsid w:val="00164E3B"/>
    <w:rsid w:val="00166BFE"/>
    <w:rsid w:val="001670C6"/>
    <w:rsid w:val="0016724B"/>
    <w:rsid w:val="001716C2"/>
    <w:rsid w:val="00173D94"/>
    <w:rsid w:val="00175A33"/>
    <w:rsid w:val="00177122"/>
    <w:rsid w:val="00177E32"/>
    <w:rsid w:val="001808AC"/>
    <w:rsid w:val="00180E4C"/>
    <w:rsid w:val="001826B3"/>
    <w:rsid w:val="00182E73"/>
    <w:rsid w:val="001850D4"/>
    <w:rsid w:val="00185AFD"/>
    <w:rsid w:val="00186435"/>
    <w:rsid w:val="00186E94"/>
    <w:rsid w:val="00186ECB"/>
    <w:rsid w:val="001871C3"/>
    <w:rsid w:val="00193599"/>
    <w:rsid w:val="00193672"/>
    <w:rsid w:val="00195336"/>
    <w:rsid w:val="00195982"/>
    <w:rsid w:val="001A3FDF"/>
    <w:rsid w:val="001A4ACE"/>
    <w:rsid w:val="001A4CFB"/>
    <w:rsid w:val="001A71EB"/>
    <w:rsid w:val="001A7D38"/>
    <w:rsid w:val="001B136B"/>
    <w:rsid w:val="001B1693"/>
    <w:rsid w:val="001B198A"/>
    <w:rsid w:val="001B3E53"/>
    <w:rsid w:val="001B3F60"/>
    <w:rsid w:val="001B4AA8"/>
    <w:rsid w:val="001B5E4D"/>
    <w:rsid w:val="001B6C45"/>
    <w:rsid w:val="001B6D0A"/>
    <w:rsid w:val="001B6F98"/>
    <w:rsid w:val="001B7B4D"/>
    <w:rsid w:val="001B7C76"/>
    <w:rsid w:val="001C005B"/>
    <w:rsid w:val="001C0967"/>
    <w:rsid w:val="001C0D4E"/>
    <w:rsid w:val="001C1695"/>
    <w:rsid w:val="001C2742"/>
    <w:rsid w:val="001C3743"/>
    <w:rsid w:val="001C3776"/>
    <w:rsid w:val="001C5F60"/>
    <w:rsid w:val="001D00CE"/>
    <w:rsid w:val="001D084D"/>
    <w:rsid w:val="001D1598"/>
    <w:rsid w:val="001D41B3"/>
    <w:rsid w:val="001D4759"/>
    <w:rsid w:val="001D4966"/>
    <w:rsid w:val="001D59D2"/>
    <w:rsid w:val="001D62B2"/>
    <w:rsid w:val="001D6A1A"/>
    <w:rsid w:val="001D70AC"/>
    <w:rsid w:val="001E08E5"/>
    <w:rsid w:val="001E186C"/>
    <w:rsid w:val="001E26D5"/>
    <w:rsid w:val="001E5932"/>
    <w:rsid w:val="001F22CA"/>
    <w:rsid w:val="001F2D73"/>
    <w:rsid w:val="001F2EF1"/>
    <w:rsid w:val="001F2F4A"/>
    <w:rsid w:val="001F3622"/>
    <w:rsid w:val="001F3D3C"/>
    <w:rsid w:val="001F50E4"/>
    <w:rsid w:val="001F5AFC"/>
    <w:rsid w:val="001F6029"/>
    <w:rsid w:val="001F7427"/>
    <w:rsid w:val="001F7CB9"/>
    <w:rsid w:val="001F7E26"/>
    <w:rsid w:val="00202FF8"/>
    <w:rsid w:val="00203302"/>
    <w:rsid w:val="00204013"/>
    <w:rsid w:val="00204C3F"/>
    <w:rsid w:val="0020582A"/>
    <w:rsid w:val="00207013"/>
    <w:rsid w:val="0020757A"/>
    <w:rsid w:val="00210928"/>
    <w:rsid w:val="00211AC4"/>
    <w:rsid w:val="00211D76"/>
    <w:rsid w:val="0021357D"/>
    <w:rsid w:val="002149BD"/>
    <w:rsid w:val="00214AE0"/>
    <w:rsid w:val="0021566C"/>
    <w:rsid w:val="00216B9F"/>
    <w:rsid w:val="00217409"/>
    <w:rsid w:val="00220061"/>
    <w:rsid w:val="00220E23"/>
    <w:rsid w:val="00221CA5"/>
    <w:rsid w:val="00224112"/>
    <w:rsid w:val="00224197"/>
    <w:rsid w:val="00224653"/>
    <w:rsid w:val="00225050"/>
    <w:rsid w:val="0022585B"/>
    <w:rsid w:val="002301EE"/>
    <w:rsid w:val="0023030A"/>
    <w:rsid w:val="00232173"/>
    <w:rsid w:val="002334FF"/>
    <w:rsid w:val="0023485D"/>
    <w:rsid w:val="00234B8D"/>
    <w:rsid w:val="002352CD"/>
    <w:rsid w:val="00235347"/>
    <w:rsid w:val="002358A2"/>
    <w:rsid w:val="00236264"/>
    <w:rsid w:val="00236B5A"/>
    <w:rsid w:val="00237DDD"/>
    <w:rsid w:val="00241AF2"/>
    <w:rsid w:val="00242482"/>
    <w:rsid w:val="002427FF"/>
    <w:rsid w:val="00244314"/>
    <w:rsid w:val="002443C4"/>
    <w:rsid w:val="00245923"/>
    <w:rsid w:val="00245D84"/>
    <w:rsid w:val="00246263"/>
    <w:rsid w:val="00246B1C"/>
    <w:rsid w:val="00251384"/>
    <w:rsid w:val="002514D8"/>
    <w:rsid w:val="00252DD5"/>
    <w:rsid w:val="00253B07"/>
    <w:rsid w:val="00253E64"/>
    <w:rsid w:val="002560C2"/>
    <w:rsid w:val="0025701B"/>
    <w:rsid w:val="00257485"/>
    <w:rsid w:val="002576DC"/>
    <w:rsid w:val="00261A66"/>
    <w:rsid w:val="00262D4C"/>
    <w:rsid w:val="0026315D"/>
    <w:rsid w:val="00263A4F"/>
    <w:rsid w:val="00263CF1"/>
    <w:rsid w:val="00267AFE"/>
    <w:rsid w:val="00267E5E"/>
    <w:rsid w:val="002705E3"/>
    <w:rsid w:val="00270AAA"/>
    <w:rsid w:val="002727E2"/>
    <w:rsid w:val="0027288D"/>
    <w:rsid w:val="00275B4C"/>
    <w:rsid w:val="002778FE"/>
    <w:rsid w:val="00277EDD"/>
    <w:rsid w:val="002806BF"/>
    <w:rsid w:val="0028370D"/>
    <w:rsid w:val="00284447"/>
    <w:rsid w:val="00284B9D"/>
    <w:rsid w:val="00286B99"/>
    <w:rsid w:val="002873E0"/>
    <w:rsid w:val="00292032"/>
    <w:rsid w:val="0029338F"/>
    <w:rsid w:val="0029498E"/>
    <w:rsid w:val="00294C41"/>
    <w:rsid w:val="00294D53"/>
    <w:rsid w:val="002951CD"/>
    <w:rsid w:val="002952BA"/>
    <w:rsid w:val="00297106"/>
    <w:rsid w:val="0029753C"/>
    <w:rsid w:val="002A1304"/>
    <w:rsid w:val="002A1977"/>
    <w:rsid w:val="002A1C32"/>
    <w:rsid w:val="002A1DE1"/>
    <w:rsid w:val="002A34D7"/>
    <w:rsid w:val="002A4006"/>
    <w:rsid w:val="002A69EB"/>
    <w:rsid w:val="002A6F9E"/>
    <w:rsid w:val="002A7514"/>
    <w:rsid w:val="002B2F8C"/>
    <w:rsid w:val="002B6EB8"/>
    <w:rsid w:val="002B70DD"/>
    <w:rsid w:val="002C1BD2"/>
    <w:rsid w:val="002C1C95"/>
    <w:rsid w:val="002C1D37"/>
    <w:rsid w:val="002C1D73"/>
    <w:rsid w:val="002C27B6"/>
    <w:rsid w:val="002C585D"/>
    <w:rsid w:val="002C5E69"/>
    <w:rsid w:val="002C7385"/>
    <w:rsid w:val="002D0B44"/>
    <w:rsid w:val="002D0FBA"/>
    <w:rsid w:val="002D1A23"/>
    <w:rsid w:val="002D206B"/>
    <w:rsid w:val="002D21DE"/>
    <w:rsid w:val="002D2568"/>
    <w:rsid w:val="002D29B6"/>
    <w:rsid w:val="002D2AD8"/>
    <w:rsid w:val="002D2DDA"/>
    <w:rsid w:val="002D3C40"/>
    <w:rsid w:val="002D59BC"/>
    <w:rsid w:val="002D654D"/>
    <w:rsid w:val="002D7AED"/>
    <w:rsid w:val="002E0F79"/>
    <w:rsid w:val="002E14B6"/>
    <w:rsid w:val="002E396D"/>
    <w:rsid w:val="002E40A8"/>
    <w:rsid w:val="002E670F"/>
    <w:rsid w:val="002E74D8"/>
    <w:rsid w:val="002E7935"/>
    <w:rsid w:val="002F0033"/>
    <w:rsid w:val="002F086A"/>
    <w:rsid w:val="002F0BCD"/>
    <w:rsid w:val="002F0DE7"/>
    <w:rsid w:val="002F19AF"/>
    <w:rsid w:val="002F2141"/>
    <w:rsid w:val="002F50AA"/>
    <w:rsid w:val="002F5A2E"/>
    <w:rsid w:val="003008BC"/>
    <w:rsid w:val="00301F80"/>
    <w:rsid w:val="003038EB"/>
    <w:rsid w:val="0030486E"/>
    <w:rsid w:val="00305C2F"/>
    <w:rsid w:val="00310AD6"/>
    <w:rsid w:val="00312CE7"/>
    <w:rsid w:val="003133B6"/>
    <w:rsid w:val="003140A5"/>
    <w:rsid w:val="00315CD9"/>
    <w:rsid w:val="003216B7"/>
    <w:rsid w:val="0032203B"/>
    <w:rsid w:val="003221E6"/>
    <w:rsid w:val="0032422E"/>
    <w:rsid w:val="00326912"/>
    <w:rsid w:val="0032791E"/>
    <w:rsid w:val="003305F4"/>
    <w:rsid w:val="00330AAF"/>
    <w:rsid w:val="003315B5"/>
    <w:rsid w:val="0033164B"/>
    <w:rsid w:val="00332CC0"/>
    <w:rsid w:val="0033359E"/>
    <w:rsid w:val="00336079"/>
    <w:rsid w:val="00336659"/>
    <w:rsid w:val="003372C7"/>
    <w:rsid w:val="00337558"/>
    <w:rsid w:val="00337B30"/>
    <w:rsid w:val="00337B8D"/>
    <w:rsid w:val="003407D5"/>
    <w:rsid w:val="00340AEF"/>
    <w:rsid w:val="00343380"/>
    <w:rsid w:val="0034433C"/>
    <w:rsid w:val="0034492C"/>
    <w:rsid w:val="00346833"/>
    <w:rsid w:val="00347E59"/>
    <w:rsid w:val="00350047"/>
    <w:rsid w:val="00350690"/>
    <w:rsid w:val="00350785"/>
    <w:rsid w:val="00351F50"/>
    <w:rsid w:val="00352FDC"/>
    <w:rsid w:val="00353031"/>
    <w:rsid w:val="00353B5D"/>
    <w:rsid w:val="00353E68"/>
    <w:rsid w:val="003545A7"/>
    <w:rsid w:val="003607D2"/>
    <w:rsid w:val="00360A00"/>
    <w:rsid w:val="0036210B"/>
    <w:rsid w:val="00362C99"/>
    <w:rsid w:val="0036418F"/>
    <w:rsid w:val="00364806"/>
    <w:rsid w:val="00365BB6"/>
    <w:rsid w:val="0036691F"/>
    <w:rsid w:val="00366B03"/>
    <w:rsid w:val="00370423"/>
    <w:rsid w:val="00372D1F"/>
    <w:rsid w:val="00375474"/>
    <w:rsid w:val="003756FC"/>
    <w:rsid w:val="00377089"/>
    <w:rsid w:val="003802A4"/>
    <w:rsid w:val="00380E8C"/>
    <w:rsid w:val="00382B0A"/>
    <w:rsid w:val="00384CAC"/>
    <w:rsid w:val="00385D8F"/>
    <w:rsid w:val="00390132"/>
    <w:rsid w:val="003913FE"/>
    <w:rsid w:val="00391858"/>
    <w:rsid w:val="00393312"/>
    <w:rsid w:val="00393741"/>
    <w:rsid w:val="00393BF6"/>
    <w:rsid w:val="00397EC9"/>
    <w:rsid w:val="003A02C7"/>
    <w:rsid w:val="003A0FB4"/>
    <w:rsid w:val="003A1176"/>
    <w:rsid w:val="003A1302"/>
    <w:rsid w:val="003A18C4"/>
    <w:rsid w:val="003A1E88"/>
    <w:rsid w:val="003A282E"/>
    <w:rsid w:val="003A4FF8"/>
    <w:rsid w:val="003A6021"/>
    <w:rsid w:val="003A66EC"/>
    <w:rsid w:val="003A70BF"/>
    <w:rsid w:val="003A7FFA"/>
    <w:rsid w:val="003B018D"/>
    <w:rsid w:val="003B1FBF"/>
    <w:rsid w:val="003B25AC"/>
    <w:rsid w:val="003B3086"/>
    <w:rsid w:val="003B3606"/>
    <w:rsid w:val="003B403F"/>
    <w:rsid w:val="003B4618"/>
    <w:rsid w:val="003B6FDE"/>
    <w:rsid w:val="003B760D"/>
    <w:rsid w:val="003B7FF3"/>
    <w:rsid w:val="003C318A"/>
    <w:rsid w:val="003C32DB"/>
    <w:rsid w:val="003C33E1"/>
    <w:rsid w:val="003C772E"/>
    <w:rsid w:val="003C7D93"/>
    <w:rsid w:val="003D363D"/>
    <w:rsid w:val="003D383E"/>
    <w:rsid w:val="003D409E"/>
    <w:rsid w:val="003D427D"/>
    <w:rsid w:val="003D44A0"/>
    <w:rsid w:val="003D4D25"/>
    <w:rsid w:val="003D5282"/>
    <w:rsid w:val="003D5291"/>
    <w:rsid w:val="003D6E8B"/>
    <w:rsid w:val="003E2062"/>
    <w:rsid w:val="003E2878"/>
    <w:rsid w:val="003E57C3"/>
    <w:rsid w:val="003E59D9"/>
    <w:rsid w:val="003E642B"/>
    <w:rsid w:val="003F3905"/>
    <w:rsid w:val="003F46EF"/>
    <w:rsid w:val="003F4E6F"/>
    <w:rsid w:val="003F6D85"/>
    <w:rsid w:val="003F759B"/>
    <w:rsid w:val="003F7D2B"/>
    <w:rsid w:val="00400AEB"/>
    <w:rsid w:val="00400D04"/>
    <w:rsid w:val="00400FA1"/>
    <w:rsid w:val="00401C2F"/>
    <w:rsid w:val="004035FF"/>
    <w:rsid w:val="00403B98"/>
    <w:rsid w:val="00405C1A"/>
    <w:rsid w:val="00407294"/>
    <w:rsid w:val="00407AD2"/>
    <w:rsid w:val="00411DAA"/>
    <w:rsid w:val="004140A1"/>
    <w:rsid w:val="00416828"/>
    <w:rsid w:val="00416CE8"/>
    <w:rsid w:val="00416D1A"/>
    <w:rsid w:val="00420381"/>
    <w:rsid w:val="0042047F"/>
    <w:rsid w:val="0042114B"/>
    <w:rsid w:val="00421424"/>
    <w:rsid w:val="00421FB9"/>
    <w:rsid w:val="004226EF"/>
    <w:rsid w:val="004238EB"/>
    <w:rsid w:val="00423E4E"/>
    <w:rsid w:val="0042515D"/>
    <w:rsid w:val="0042551A"/>
    <w:rsid w:val="00426B98"/>
    <w:rsid w:val="00427213"/>
    <w:rsid w:val="004303BC"/>
    <w:rsid w:val="00430866"/>
    <w:rsid w:val="0043221E"/>
    <w:rsid w:val="004325EE"/>
    <w:rsid w:val="004333F1"/>
    <w:rsid w:val="00433A6F"/>
    <w:rsid w:val="0043415E"/>
    <w:rsid w:val="004349A1"/>
    <w:rsid w:val="00435A66"/>
    <w:rsid w:val="00436889"/>
    <w:rsid w:val="00436C8B"/>
    <w:rsid w:val="00436CF2"/>
    <w:rsid w:val="00436E88"/>
    <w:rsid w:val="004400C5"/>
    <w:rsid w:val="0044031F"/>
    <w:rsid w:val="0044127A"/>
    <w:rsid w:val="00443D50"/>
    <w:rsid w:val="00443DA3"/>
    <w:rsid w:val="004442BA"/>
    <w:rsid w:val="00445961"/>
    <w:rsid w:val="00446220"/>
    <w:rsid w:val="0044653B"/>
    <w:rsid w:val="004467AC"/>
    <w:rsid w:val="00446E18"/>
    <w:rsid w:val="00447BC8"/>
    <w:rsid w:val="00447E16"/>
    <w:rsid w:val="00450F5D"/>
    <w:rsid w:val="00450FC5"/>
    <w:rsid w:val="004531F6"/>
    <w:rsid w:val="004538DA"/>
    <w:rsid w:val="00453DCB"/>
    <w:rsid w:val="00453F6F"/>
    <w:rsid w:val="004543EE"/>
    <w:rsid w:val="00454C1B"/>
    <w:rsid w:val="0045591B"/>
    <w:rsid w:val="00455E16"/>
    <w:rsid w:val="00456C76"/>
    <w:rsid w:val="00457320"/>
    <w:rsid w:val="00457EF8"/>
    <w:rsid w:val="00460199"/>
    <w:rsid w:val="00460DD1"/>
    <w:rsid w:val="00461121"/>
    <w:rsid w:val="004620F1"/>
    <w:rsid w:val="00463860"/>
    <w:rsid w:val="00463CB8"/>
    <w:rsid w:val="00467150"/>
    <w:rsid w:val="004677F9"/>
    <w:rsid w:val="0047030C"/>
    <w:rsid w:val="00470B87"/>
    <w:rsid w:val="00472011"/>
    <w:rsid w:val="00473233"/>
    <w:rsid w:val="00475992"/>
    <w:rsid w:val="0048168E"/>
    <w:rsid w:val="0048192C"/>
    <w:rsid w:val="00481E3F"/>
    <w:rsid w:val="004832E2"/>
    <w:rsid w:val="0048531B"/>
    <w:rsid w:val="00487ED6"/>
    <w:rsid w:val="004900D4"/>
    <w:rsid w:val="00490957"/>
    <w:rsid w:val="004911F7"/>
    <w:rsid w:val="00492AE4"/>
    <w:rsid w:val="00492BDE"/>
    <w:rsid w:val="004943A6"/>
    <w:rsid w:val="00495293"/>
    <w:rsid w:val="00497F14"/>
    <w:rsid w:val="004A0ACE"/>
    <w:rsid w:val="004A0B43"/>
    <w:rsid w:val="004A163A"/>
    <w:rsid w:val="004A3902"/>
    <w:rsid w:val="004A3E14"/>
    <w:rsid w:val="004A4087"/>
    <w:rsid w:val="004A79E9"/>
    <w:rsid w:val="004B1D83"/>
    <w:rsid w:val="004B240C"/>
    <w:rsid w:val="004B276B"/>
    <w:rsid w:val="004B2AB0"/>
    <w:rsid w:val="004B2FAF"/>
    <w:rsid w:val="004B3E92"/>
    <w:rsid w:val="004B4FA6"/>
    <w:rsid w:val="004B669F"/>
    <w:rsid w:val="004B6876"/>
    <w:rsid w:val="004B7770"/>
    <w:rsid w:val="004C013F"/>
    <w:rsid w:val="004C1614"/>
    <w:rsid w:val="004C409C"/>
    <w:rsid w:val="004C561A"/>
    <w:rsid w:val="004C5CB3"/>
    <w:rsid w:val="004C61CB"/>
    <w:rsid w:val="004C6FC0"/>
    <w:rsid w:val="004D0049"/>
    <w:rsid w:val="004D0450"/>
    <w:rsid w:val="004D0E9D"/>
    <w:rsid w:val="004D2123"/>
    <w:rsid w:val="004D3A69"/>
    <w:rsid w:val="004D3AA2"/>
    <w:rsid w:val="004D476E"/>
    <w:rsid w:val="004D53DE"/>
    <w:rsid w:val="004D6B3D"/>
    <w:rsid w:val="004D6F82"/>
    <w:rsid w:val="004E1025"/>
    <w:rsid w:val="004E38E6"/>
    <w:rsid w:val="004E3D11"/>
    <w:rsid w:val="004E40EB"/>
    <w:rsid w:val="004E441C"/>
    <w:rsid w:val="004E5331"/>
    <w:rsid w:val="004E66EC"/>
    <w:rsid w:val="004E7647"/>
    <w:rsid w:val="004E79FA"/>
    <w:rsid w:val="004E7FC4"/>
    <w:rsid w:val="004F3F2A"/>
    <w:rsid w:val="004F432F"/>
    <w:rsid w:val="004F5AFE"/>
    <w:rsid w:val="004F627A"/>
    <w:rsid w:val="00501E0F"/>
    <w:rsid w:val="00503426"/>
    <w:rsid w:val="005037D4"/>
    <w:rsid w:val="005047E8"/>
    <w:rsid w:val="00504803"/>
    <w:rsid w:val="00504F1D"/>
    <w:rsid w:val="00505DEF"/>
    <w:rsid w:val="005066FC"/>
    <w:rsid w:val="005112D6"/>
    <w:rsid w:val="0051204C"/>
    <w:rsid w:val="00512CE2"/>
    <w:rsid w:val="005134AD"/>
    <w:rsid w:val="00515F6C"/>
    <w:rsid w:val="00517AA2"/>
    <w:rsid w:val="005209E2"/>
    <w:rsid w:val="005212C0"/>
    <w:rsid w:val="0052235D"/>
    <w:rsid w:val="0052458C"/>
    <w:rsid w:val="00526D99"/>
    <w:rsid w:val="005349C5"/>
    <w:rsid w:val="00535FC1"/>
    <w:rsid w:val="00537225"/>
    <w:rsid w:val="0053734A"/>
    <w:rsid w:val="0053781D"/>
    <w:rsid w:val="00537EF9"/>
    <w:rsid w:val="00537FD1"/>
    <w:rsid w:val="00541C1A"/>
    <w:rsid w:val="00542089"/>
    <w:rsid w:val="00542FA6"/>
    <w:rsid w:val="00545D49"/>
    <w:rsid w:val="00546591"/>
    <w:rsid w:val="00546C40"/>
    <w:rsid w:val="00546D6F"/>
    <w:rsid w:val="005475C8"/>
    <w:rsid w:val="0054779A"/>
    <w:rsid w:val="00550979"/>
    <w:rsid w:val="00552E0D"/>
    <w:rsid w:val="0055459D"/>
    <w:rsid w:val="0055644E"/>
    <w:rsid w:val="005564A2"/>
    <w:rsid w:val="00556A48"/>
    <w:rsid w:val="005570A2"/>
    <w:rsid w:val="00560C00"/>
    <w:rsid w:val="00561995"/>
    <w:rsid w:val="005622AC"/>
    <w:rsid w:val="0056339B"/>
    <w:rsid w:val="00563630"/>
    <w:rsid w:val="005662D3"/>
    <w:rsid w:val="00567C4D"/>
    <w:rsid w:val="00567F1B"/>
    <w:rsid w:val="00570745"/>
    <w:rsid w:val="005719D6"/>
    <w:rsid w:val="00572606"/>
    <w:rsid w:val="00573A88"/>
    <w:rsid w:val="00573F3C"/>
    <w:rsid w:val="00574975"/>
    <w:rsid w:val="005757E7"/>
    <w:rsid w:val="00576C7C"/>
    <w:rsid w:val="00576CE6"/>
    <w:rsid w:val="00580FCD"/>
    <w:rsid w:val="005818A8"/>
    <w:rsid w:val="005828C0"/>
    <w:rsid w:val="00584D24"/>
    <w:rsid w:val="005851A6"/>
    <w:rsid w:val="00585AC7"/>
    <w:rsid w:val="00591687"/>
    <w:rsid w:val="0059553F"/>
    <w:rsid w:val="005957E0"/>
    <w:rsid w:val="00595966"/>
    <w:rsid w:val="00595F97"/>
    <w:rsid w:val="0059604C"/>
    <w:rsid w:val="00596282"/>
    <w:rsid w:val="005963B5"/>
    <w:rsid w:val="00597AF3"/>
    <w:rsid w:val="005A00B1"/>
    <w:rsid w:val="005A2E48"/>
    <w:rsid w:val="005A36E0"/>
    <w:rsid w:val="005A428C"/>
    <w:rsid w:val="005A5311"/>
    <w:rsid w:val="005A6F47"/>
    <w:rsid w:val="005A762B"/>
    <w:rsid w:val="005B0846"/>
    <w:rsid w:val="005B2322"/>
    <w:rsid w:val="005B26F0"/>
    <w:rsid w:val="005B29A4"/>
    <w:rsid w:val="005B4427"/>
    <w:rsid w:val="005B527B"/>
    <w:rsid w:val="005B53CD"/>
    <w:rsid w:val="005B5BA7"/>
    <w:rsid w:val="005B727F"/>
    <w:rsid w:val="005C00B0"/>
    <w:rsid w:val="005C04AA"/>
    <w:rsid w:val="005C0B56"/>
    <w:rsid w:val="005C136D"/>
    <w:rsid w:val="005C2174"/>
    <w:rsid w:val="005C2495"/>
    <w:rsid w:val="005C28F9"/>
    <w:rsid w:val="005C2FFD"/>
    <w:rsid w:val="005C319B"/>
    <w:rsid w:val="005C347C"/>
    <w:rsid w:val="005C3DD5"/>
    <w:rsid w:val="005C4554"/>
    <w:rsid w:val="005C485B"/>
    <w:rsid w:val="005C54B8"/>
    <w:rsid w:val="005C5678"/>
    <w:rsid w:val="005C66B9"/>
    <w:rsid w:val="005D08A2"/>
    <w:rsid w:val="005D14BB"/>
    <w:rsid w:val="005D2B89"/>
    <w:rsid w:val="005E0BA6"/>
    <w:rsid w:val="005E2CA1"/>
    <w:rsid w:val="005E4098"/>
    <w:rsid w:val="005E52DA"/>
    <w:rsid w:val="005F0EDC"/>
    <w:rsid w:val="005F1EA8"/>
    <w:rsid w:val="005F2F6E"/>
    <w:rsid w:val="005F5BB7"/>
    <w:rsid w:val="005F629A"/>
    <w:rsid w:val="005F6D82"/>
    <w:rsid w:val="005F7757"/>
    <w:rsid w:val="00601D24"/>
    <w:rsid w:val="006032EB"/>
    <w:rsid w:val="00603FA2"/>
    <w:rsid w:val="00605274"/>
    <w:rsid w:val="00610F79"/>
    <w:rsid w:val="00611BA0"/>
    <w:rsid w:val="00612F2A"/>
    <w:rsid w:val="00613A0D"/>
    <w:rsid w:val="00614078"/>
    <w:rsid w:val="00614D03"/>
    <w:rsid w:val="00614F5B"/>
    <w:rsid w:val="0061735A"/>
    <w:rsid w:val="00617F60"/>
    <w:rsid w:val="0062074B"/>
    <w:rsid w:val="00621289"/>
    <w:rsid w:val="0062140F"/>
    <w:rsid w:val="0062155F"/>
    <w:rsid w:val="00622325"/>
    <w:rsid w:val="00623027"/>
    <w:rsid w:val="00623D88"/>
    <w:rsid w:val="00624313"/>
    <w:rsid w:val="00630886"/>
    <w:rsid w:val="00630F51"/>
    <w:rsid w:val="006319A2"/>
    <w:rsid w:val="006349F3"/>
    <w:rsid w:val="006357BA"/>
    <w:rsid w:val="006360AC"/>
    <w:rsid w:val="00637185"/>
    <w:rsid w:val="00637E28"/>
    <w:rsid w:val="00641525"/>
    <w:rsid w:val="00641E72"/>
    <w:rsid w:val="006420A6"/>
    <w:rsid w:val="00643C80"/>
    <w:rsid w:val="00644254"/>
    <w:rsid w:val="00644808"/>
    <w:rsid w:val="0064628C"/>
    <w:rsid w:val="006501A4"/>
    <w:rsid w:val="0065180C"/>
    <w:rsid w:val="00651C9B"/>
    <w:rsid w:val="006541A9"/>
    <w:rsid w:val="006558AC"/>
    <w:rsid w:val="00656B22"/>
    <w:rsid w:val="00656CCD"/>
    <w:rsid w:val="0065741C"/>
    <w:rsid w:val="00660655"/>
    <w:rsid w:val="00661FD7"/>
    <w:rsid w:val="006624C4"/>
    <w:rsid w:val="00663187"/>
    <w:rsid w:val="00663417"/>
    <w:rsid w:val="00665B25"/>
    <w:rsid w:val="00666FCB"/>
    <w:rsid w:val="00667525"/>
    <w:rsid w:val="0067060F"/>
    <w:rsid w:val="00671A72"/>
    <w:rsid w:val="00673125"/>
    <w:rsid w:val="0067442C"/>
    <w:rsid w:val="006754A5"/>
    <w:rsid w:val="00675910"/>
    <w:rsid w:val="00676AEB"/>
    <w:rsid w:val="00676CD6"/>
    <w:rsid w:val="00677102"/>
    <w:rsid w:val="006771CB"/>
    <w:rsid w:val="00677240"/>
    <w:rsid w:val="00680EA1"/>
    <w:rsid w:val="00680FD6"/>
    <w:rsid w:val="00681886"/>
    <w:rsid w:val="006820B7"/>
    <w:rsid w:val="00682EB6"/>
    <w:rsid w:val="00683F1B"/>
    <w:rsid w:val="00684AC4"/>
    <w:rsid w:val="006861F8"/>
    <w:rsid w:val="0068666A"/>
    <w:rsid w:val="00687237"/>
    <w:rsid w:val="0069018F"/>
    <w:rsid w:val="00693580"/>
    <w:rsid w:val="00693887"/>
    <w:rsid w:val="00693AE9"/>
    <w:rsid w:val="00693F70"/>
    <w:rsid w:val="0069482F"/>
    <w:rsid w:val="00696E2E"/>
    <w:rsid w:val="00697144"/>
    <w:rsid w:val="006A03E6"/>
    <w:rsid w:val="006A31C6"/>
    <w:rsid w:val="006A3B29"/>
    <w:rsid w:val="006A3FBF"/>
    <w:rsid w:val="006A5F1F"/>
    <w:rsid w:val="006A7629"/>
    <w:rsid w:val="006A7805"/>
    <w:rsid w:val="006A7E91"/>
    <w:rsid w:val="006B1013"/>
    <w:rsid w:val="006B1555"/>
    <w:rsid w:val="006B3C2D"/>
    <w:rsid w:val="006B4F78"/>
    <w:rsid w:val="006B6D48"/>
    <w:rsid w:val="006B7C6B"/>
    <w:rsid w:val="006C0F56"/>
    <w:rsid w:val="006C27B2"/>
    <w:rsid w:val="006C3006"/>
    <w:rsid w:val="006C37CA"/>
    <w:rsid w:val="006C3A20"/>
    <w:rsid w:val="006C3D6C"/>
    <w:rsid w:val="006C3EAF"/>
    <w:rsid w:val="006C6132"/>
    <w:rsid w:val="006C6273"/>
    <w:rsid w:val="006C7223"/>
    <w:rsid w:val="006C74E0"/>
    <w:rsid w:val="006C796F"/>
    <w:rsid w:val="006D14F5"/>
    <w:rsid w:val="006D2376"/>
    <w:rsid w:val="006D29C7"/>
    <w:rsid w:val="006D3194"/>
    <w:rsid w:val="006D3439"/>
    <w:rsid w:val="006D3E79"/>
    <w:rsid w:val="006D7CA6"/>
    <w:rsid w:val="006D7F56"/>
    <w:rsid w:val="006E1316"/>
    <w:rsid w:val="006E1A5B"/>
    <w:rsid w:val="006E2495"/>
    <w:rsid w:val="006E3B0A"/>
    <w:rsid w:val="006E4250"/>
    <w:rsid w:val="006E6A15"/>
    <w:rsid w:val="006E6F7E"/>
    <w:rsid w:val="006E7009"/>
    <w:rsid w:val="006E7311"/>
    <w:rsid w:val="006E77C9"/>
    <w:rsid w:val="006F20DA"/>
    <w:rsid w:val="006F2D89"/>
    <w:rsid w:val="006F3EE9"/>
    <w:rsid w:val="006F4305"/>
    <w:rsid w:val="006F4679"/>
    <w:rsid w:val="006F69F3"/>
    <w:rsid w:val="006F7B0E"/>
    <w:rsid w:val="006F7C8B"/>
    <w:rsid w:val="00701012"/>
    <w:rsid w:val="00701426"/>
    <w:rsid w:val="00701ADF"/>
    <w:rsid w:val="007027DF"/>
    <w:rsid w:val="007060BB"/>
    <w:rsid w:val="00707678"/>
    <w:rsid w:val="00707DA6"/>
    <w:rsid w:val="00713802"/>
    <w:rsid w:val="00713D59"/>
    <w:rsid w:val="00713EBC"/>
    <w:rsid w:val="00714EA2"/>
    <w:rsid w:val="007153C8"/>
    <w:rsid w:val="0071617D"/>
    <w:rsid w:val="00716E8A"/>
    <w:rsid w:val="007176DB"/>
    <w:rsid w:val="007178DB"/>
    <w:rsid w:val="007179A7"/>
    <w:rsid w:val="00720839"/>
    <w:rsid w:val="00721CA3"/>
    <w:rsid w:val="00722B75"/>
    <w:rsid w:val="00724174"/>
    <w:rsid w:val="00725680"/>
    <w:rsid w:val="007257CD"/>
    <w:rsid w:val="00725ECC"/>
    <w:rsid w:val="00726530"/>
    <w:rsid w:val="007272B1"/>
    <w:rsid w:val="00727DA9"/>
    <w:rsid w:val="00732779"/>
    <w:rsid w:val="00732B4E"/>
    <w:rsid w:val="00732D32"/>
    <w:rsid w:val="0073312D"/>
    <w:rsid w:val="00734EC8"/>
    <w:rsid w:val="00737331"/>
    <w:rsid w:val="00737FC0"/>
    <w:rsid w:val="00740FEF"/>
    <w:rsid w:val="007414A2"/>
    <w:rsid w:val="00741BCF"/>
    <w:rsid w:val="0074343B"/>
    <w:rsid w:val="00744394"/>
    <w:rsid w:val="00746A10"/>
    <w:rsid w:val="0074771E"/>
    <w:rsid w:val="00747B91"/>
    <w:rsid w:val="00747B9F"/>
    <w:rsid w:val="00751425"/>
    <w:rsid w:val="00753A1E"/>
    <w:rsid w:val="00755754"/>
    <w:rsid w:val="0075656D"/>
    <w:rsid w:val="00760C7F"/>
    <w:rsid w:val="00762AB8"/>
    <w:rsid w:val="00763735"/>
    <w:rsid w:val="007637E4"/>
    <w:rsid w:val="00763E7E"/>
    <w:rsid w:val="00765FD4"/>
    <w:rsid w:val="00767AD2"/>
    <w:rsid w:val="00767B2E"/>
    <w:rsid w:val="00770005"/>
    <w:rsid w:val="00771211"/>
    <w:rsid w:val="007718F1"/>
    <w:rsid w:val="00773F67"/>
    <w:rsid w:val="00774762"/>
    <w:rsid w:val="00774E1C"/>
    <w:rsid w:val="00775DC7"/>
    <w:rsid w:val="00775F67"/>
    <w:rsid w:val="007804BC"/>
    <w:rsid w:val="007804F2"/>
    <w:rsid w:val="0078320B"/>
    <w:rsid w:val="007838F1"/>
    <w:rsid w:val="0078428B"/>
    <w:rsid w:val="00784AA9"/>
    <w:rsid w:val="007859CC"/>
    <w:rsid w:val="00786605"/>
    <w:rsid w:val="0078682C"/>
    <w:rsid w:val="00790C76"/>
    <w:rsid w:val="0079142C"/>
    <w:rsid w:val="00792987"/>
    <w:rsid w:val="00793673"/>
    <w:rsid w:val="00793799"/>
    <w:rsid w:val="00793971"/>
    <w:rsid w:val="00794A44"/>
    <w:rsid w:val="0079718E"/>
    <w:rsid w:val="007975A5"/>
    <w:rsid w:val="00797744"/>
    <w:rsid w:val="007A05CF"/>
    <w:rsid w:val="007A227B"/>
    <w:rsid w:val="007A3772"/>
    <w:rsid w:val="007A46D7"/>
    <w:rsid w:val="007A5864"/>
    <w:rsid w:val="007A5B26"/>
    <w:rsid w:val="007A6844"/>
    <w:rsid w:val="007B04A0"/>
    <w:rsid w:val="007B1517"/>
    <w:rsid w:val="007B3383"/>
    <w:rsid w:val="007B3409"/>
    <w:rsid w:val="007B421A"/>
    <w:rsid w:val="007B46BA"/>
    <w:rsid w:val="007B4F5E"/>
    <w:rsid w:val="007B5C51"/>
    <w:rsid w:val="007B75F8"/>
    <w:rsid w:val="007C0BCD"/>
    <w:rsid w:val="007C1C0F"/>
    <w:rsid w:val="007C307D"/>
    <w:rsid w:val="007C575A"/>
    <w:rsid w:val="007C5D77"/>
    <w:rsid w:val="007D0749"/>
    <w:rsid w:val="007D0A14"/>
    <w:rsid w:val="007D0E22"/>
    <w:rsid w:val="007D15BC"/>
    <w:rsid w:val="007D19B9"/>
    <w:rsid w:val="007D26A7"/>
    <w:rsid w:val="007D2FB4"/>
    <w:rsid w:val="007D3378"/>
    <w:rsid w:val="007D6296"/>
    <w:rsid w:val="007E225D"/>
    <w:rsid w:val="007E23B3"/>
    <w:rsid w:val="007E4351"/>
    <w:rsid w:val="007E5199"/>
    <w:rsid w:val="007E7DB4"/>
    <w:rsid w:val="007F4AA0"/>
    <w:rsid w:val="007F4DCC"/>
    <w:rsid w:val="007F5BE3"/>
    <w:rsid w:val="00802B6B"/>
    <w:rsid w:val="00803FF4"/>
    <w:rsid w:val="008063BE"/>
    <w:rsid w:val="00807578"/>
    <w:rsid w:val="00810632"/>
    <w:rsid w:val="0081196A"/>
    <w:rsid w:val="00813D6F"/>
    <w:rsid w:val="00813F8E"/>
    <w:rsid w:val="008158D4"/>
    <w:rsid w:val="00820262"/>
    <w:rsid w:val="0082426C"/>
    <w:rsid w:val="00825B3B"/>
    <w:rsid w:val="00825B3E"/>
    <w:rsid w:val="008318A5"/>
    <w:rsid w:val="00832184"/>
    <w:rsid w:val="0083329E"/>
    <w:rsid w:val="0083417A"/>
    <w:rsid w:val="00837644"/>
    <w:rsid w:val="00841321"/>
    <w:rsid w:val="00841565"/>
    <w:rsid w:val="0084459F"/>
    <w:rsid w:val="00846948"/>
    <w:rsid w:val="00846E03"/>
    <w:rsid w:val="00850A2C"/>
    <w:rsid w:val="0085181B"/>
    <w:rsid w:val="00851F9D"/>
    <w:rsid w:val="008537EA"/>
    <w:rsid w:val="00854FFC"/>
    <w:rsid w:val="00856D9D"/>
    <w:rsid w:val="00856E10"/>
    <w:rsid w:val="00857F69"/>
    <w:rsid w:val="00861F00"/>
    <w:rsid w:val="0086614D"/>
    <w:rsid w:val="00866EEE"/>
    <w:rsid w:val="00867CFE"/>
    <w:rsid w:val="00872052"/>
    <w:rsid w:val="00872126"/>
    <w:rsid w:val="00872D19"/>
    <w:rsid w:val="00875367"/>
    <w:rsid w:val="00875403"/>
    <w:rsid w:val="008755CC"/>
    <w:rsid w:val="00875932"/>
    <w:rsid w:val="008778D9"/>
    <w:rsid w:val="00883DAC"/>
    <w:rsid w:val="0088441B"/>
    <w:rsid w:val="00884D04"/>
    <w:rsid w:val="00885291"/>
    <w:rsid w:val="008865A6"/>
    <w:rsid w:val="00887375"/>
    <w:rsid w:val="0088770A"/>
    <w:rsid w:val="00887EE2"/>
    <w:rsid w:val="008900F8"/>
    <w:rsid w:val="00890429"/>
    <w:rsid w:val="00890B85"/>
    <w:rsid w:val="0089168E"/>
    <w:rsid w:val="008933AA"/>
    <w:rsid w:val="008933E6"/>
    <w:rsid w:val="00893521"/>
    <w:rsid w:val="00893931"/>
    <w:rsid w:val="00894050"/>
    <w:rsid w:val="00894BEB"/>
    <w:rsid w:val="00895A67"/>
    <w:rsid w:val="00896162"/>
    <w:rsid w:val="008963F5"/>
    <w:rsid w:val="008969DE"/>
    <w:rsid w:val="00896D20"/>
    <w:rsid w:val="00896DE0"/>
    <w:rsid w:val="00897777"/>
    <w:rsid w:val="00897A32"/>
    <w:rsid w:val="008A043F"/>
    <w:rsid w:val="008A0BF3"/>
    <w:rsid w:val="008A1437"/>
    <w:rsid w:val="008A1644"/>
    <w:rsid w:val="008A274D"/>
    <w:rsid w:val="008A27EE"/>
    <w:rsid w:val="008A3AD3"/>
    <w:rsid w:val="008A3C14"/>
    <w:rsid w:val="008A444E"/>
    <w:rsid w:val="008A44BB"/>
    <w:rsid w:val="008A4A04"/>
    <w:rsid w:val="008B003B"/>
    <w:rsid w:val="008B02E8"/>
    <w:rsid w:val="008B04B4"/>
    <w:rsid w:val="008B249B"/>
    <w:rsid w:val="008B2CF2"/>
    <w:rsid w:val="008B663E"/>
    <w:rsid w:val="008B6C77"/>
    <w:rsid w:val="008B6C9A"/>
    <w:rsid w:val="008B7036"/>
    <w:rsid w:val="008C0258"/>
    <w:rsid w:val="008C13BA"/>
    <w:rsid w:val="008C23E4"/>
    <w:rsid w:val="008C2FF5"/>
    <w:rsid w:val="008C3ABD"/>
    <w:rsid w:val="008C5015"/>
    <w:rsid w:val="008C5B01"/>
    <w:rsid w:val="008D4C08"/>
    <w:rsid w:val="008D699B"/>
    <w:rsid w:val="008D6A48"/>
    <w:rsid w:val="008D78BD"/>
    <w:rsid w:val="008E0007"/>
    <w:rsid w:val="008E052A"/>
    <w:rsid w:val="008E0C56"/>
    <w:rsid w:val="008E200E"/>
    <w:rsid w:val="008E2CD6"/>
    <w:rsid w:val="008E420E"/>
    <w:rsid w:val="008E4393"/>
    <w:rsid w:val="008E5D87"/>
    <w:rsid w:val="008E60D0"/>
    <w:rsid w:val="008E6792"/>
    <w:rsid w:val="008F0C77"/>
    <w:rsid w:val="008F254C"/>
    <w:rsid w:val="008F50AA"/>
    <w:rsid w:val="008F6426"/>
    <w:rsid w:val="008F6F09"/>
    <w:rsid w:val="008F707D"/>
    <w:rsid w:val="009000BD"/>
    <w:rsid w:val="00900F49"/>
    <w:rsid w:val="00901A79"/>
    <w:rsid w:val="009027B2"/>
    <w:rsid w:val="009036DC"/>
    <w:rsid w:val="00904F80"/>
    <w:rsid w:val="00905088"/>
    <w:rsid w:val="009107A2"/>
    <w:rsid w:val="00910A75"/>
    <w:rsid w:val="00911F38"/>
    <w:rsid w:val="00912439"/>
    <w:rsid w:val="00912C0E"/>
    <w:rsid w:val="009136FB"/>
    <w:rsid w:val="0091406A"/>
    <w:rsid w:val="00914420"/>
    <w:rsid w:val="0091536E"/>
    <w:rsid w:val="009173AC"/>
    <w:rsid w:val="009174E4"/>
    <w:rsid w:val="009178B8"/>
    <w:rsid w:val="00917C23"/>
    <w:rsid w:val="00923654"/>
    <w:rsid w:val="009239B0"/>
    <w:rsid w:val="00926902"/>
    <w:rsid w:val="0093067F"/>
    <w:rsid w:val="0093083D"/>
    <w:rsid w:val="00932266"/>
    <w:rsid w:val="00935813"/>
    <w:rsid w:val="00935C5C"/>
    <w:rsid w:val="009375DC"/>
    <w:rsid w:val="00937A82"/>
    <w:rsid w:val="009406BC"/>
    <w:rsid w:val="00942BCB"/>
    <w:rsid w:val="00944E2B"/>
    <w:rsid w:val="009451A9"/>
    <w:rsid w:val="009454A0"/>
    <w:rsid w:val="0094720B"/>
    <w:rsid w:val="009478DC"/>
    <w:rsid w:val="009503F4"/>
    <w:rsid w:val="0095253A"/>
    <w:rsid w:val="00952A62"/>
    <w:rsid w:val="00952B92"/>
    <w:rsid w:val="009533FA"/>
    <w:rsid w:val="00953B02"/>
    <w:rsid w:val="0095551B"/>
    <w:rsid w:val="00956CB3"/>
    <w:rsid w:val="00956ECC"/>
    <w:rsid w:val="0096106D"/>
    <w:rsid w:val="00961978"/>
    <w:rsid w:val="0096198C"/>
    <w:rsid w:val="00961A13"/>
    <w:rsid w:val="009629AD"/>
    <w:rsid w:val="00963A3C"/>
    <w:rsid w:val="009650E2"/>
    <w:rsid w:val="00970D15"/>
    <w:rsid w:val="009711C9"/>
    <w:rsid w:val="009749EE"/>
    <w:rsid w:val="009755A0"/>
    <w:rsid w:val="00976B68"/>
    <w:rsid w:val="009777F8"/>
    <w:rsid w:val="009808DE"/>
    <w:rsid w:val="00981224"/>
    <w:rsid w:val="00981E35"/>
    <w:rsid w:val="009825B1"/>
    <w:rsid w:val="00982D57"/>
    <w:rsid w:val="00984BB8"/>
    <w:rsid w:val="0098524E"/>
    <w:rsid w:val="00986A11"/>
    <w:rsid w:val="00990110"/>
    <w:rsid w:val="00991160"/>
    <w:rsid w:val="009915B4"/>
    <w:rsid w:val="00991848"/>
    <w:rsid w:val="00991AA7"/>
    <w:rsid w:val="0099365E"/>
    <w:rsid w:val="0099392D"/>
    <w:rsid w:val="00994853"/>
    <w:rsid w:val="0099592C"/>
    <w:rsid w:val="00995C6C"/>
    <w:rsid w:val="009A12CB"/>
    <w:rsid w:val="009A30A5"/>
    <w:rsid w:val="009A30BE"/>
    <w:rsid w:val="009A3854"/>
    <w:rsid w:val="009A4CA2"/>
    <w:rsid w:val="009A7543"/>
    <w:rsid w:val="009B056F"/>
    <w:rsid w:val="009B0833"/>
    <w:rsid w:val="009B159B"/>
    <w:rsid w:val="009B45CF"/>
    <w:rsid w:val="009B4975"/>
    <w:rsid w:val="009B6A95"/>
    <w:rsid w:val="009B6B12"/>
    <w:rsid w:val="009B70A2"/>
    <w:rsid w:val="009B7990"/>
    <w:rsid w:val="009C06C6"/>
    <w:rsid w:val="009C25D8"/>
    <w:rsid w:val="009C2909"/>
    <w:rsid w:val="009C5594"/>
    <w:rsid w:val="009C573E"/>
    <w:rsid w:val="009C63D6"/>
    <w:rsid w:val="009D082E"/>
    <w:rsid w:val="009D1253"/>
    <w:rsid w:val="009D12BF"/>
    <w:rsid w:val="009D2A58"/>
    <w:rsid w:val="009D585E"/>
    <w:rsid w:val="009D6B53"/>
    <w:rsid w:val="009D7E6A"/>
    <w:rsid w:val="009E01E7"/>
    <w:rsid w:val="009E0F71"/>
    <w:rsid w:val="009E1659"/>
    <w:rsid w:val="009E1766"/>
    <w:rsid w:val="009E1A99"/>
    <w:rsid w:val="009E4497"/>
    <w:rsid w:val="009E5670"/>
    <w:rsid w:val="009E57F2"/>
    <w:rsid w:val="009E61C1"/>
    <w:rsid w:val="009F00A1"/>
    <w:rsid w:val="009F1767"/>
    <w:rsid w:val="009F3154"/>
    <w:rsid w:val="009F36EA"/>
    <w:rsid w:val="009F3963"/>
    <w:rsid w:val="009F3C95"/>
    <w:rsid w:val="009F3CEF"/>
    <w:rsid w:val="009F5817"/>
    <w:rsid w:val="00A014EC"/>
    <w:rsid w:val="00A01685"/>
    <w:rsid w:val="00A01BD3"/>
    <w:rsid w:val="00A03183"/>
    <w:rsid w:val="00A04AD9"/>
    <w:rsid w:val="00A078B7"/>
    <w:rsid w:val="00A10AF4"/>
    <w:rsid w:val="00A11503"/>
    <w:rsid w:val="00A1338A"/>
    <w:rsid w:val="00A13B1C"/>
    <w:rsid w:val="00A14090"/>
    <w:rsid w:val="00A140A7"/>
    <w:rsid w:val="00A1652B"/>
    <w:rsid w:val="00A202CC"/>
    <w:rsid w:val="00A224C2"/>
    <w:rsid w:val="00A22B3A"/>
    <w:rsid w:val="00A23343"/>
    <w:rsid w:val="00A23434"/>
    <w:rsid w:val="00A236A9"/>
    <w:rsid w:val="00A240A1"/>
    <w:rsid w:val="00A25546"/>
    <w:rsid w:val="00A269F9"/>
    <w:rsid w:val="00A26D80"/>
    <w:rsid w:val="00A26E39"/>
    <w:rsid w:val="00A26ECB"/>
    <w:rsid w:val="00A26F34"/>
    <w:rsid w:val="00A27111"/>
    <w:rsid w:val="00A31A39"/>
    <w:rsid w:val="00A330EB"/>
    <w:rsid w:val="00A33D5E"/>
    <w:rsid w:val="00A34662"/>
    <w:rsid w:val="00A347F0"/>
    <w:rsid w:val="00A34C9D"/>
    <w:rsid w:val="00A35ABC"/>
    <w:rsid w:val="00A374A9"/>
    <w:rsid w:val="00A40449"/>
    <w:rsid w:val="00A42431"/>
    <w:rsid w:val="00A43572"/>
    <w:rsid w:val="00A436A2"/>
    <w:rsid w:val="00A436C6"/>
    <w:rsid w:val="00A4450E"/>
    <w:rsid w:val="00A44854"/>
    <w:rsid w:val="00A44F41"/>
    <w:rsid w:val="00A4526B"/>
    <w:rsid w:val="00A45FF3"/>
    <w:rsid w:val="00A46493"/>
    <w:rsid w:val="00A52093"/>
    <w:rsid w:val="00A53018"/>
    <w:rsid w:val="00A5387F"/>
    <w:rsid w:val="00A550F5"/>
    <w:rsid w:val="00A5570A"/>
    <w:rsid w:val="00A57BD6"/>
    <w:rsid w:val="00A600AE"/>
    <w:rsid w:val="00A62B23"/>
    <w:rsid w:val="00A62EB6"/>
    <w:rsid w:val="00A64D6D"/>
    <w:rsid w:val="00A65505"/>
    <w:rsid w:val="00A6595F"/>
    <w:rsid w:val="00A66030"/>
    <w:rsid w:val="00A66B08"/>
    <w:rsid w:val="00A679C8"/>
    <w:rsid w:val="00A73276"/>
    <w:rsid w:val="00A74E73"/>
    <w:rsid w:val="00A752C5"/>
    <w:rsid w:val="00A774A1"/>
    <w:rsid w:val="00A776E3"/>
    <w:rsid w:val="00A806A6"/>
    <w:rsid w:val="00A80F57"/>
    <w:rsid w:val="00A81016"/>
    <w:rsid w:val="00A813C2"/>
    <w:rsid w:val="00A81840"/>
    <w:rsid w:val="00A82FEF"/>
    <w:rsid w:val="00A835B5"/>
    <w:rsid w:val="00A8465E"/>
    <w:rsid w:val="00A87136"/>
    <w:rsid w:val="00A9019C"/>
    <w:rsid w:val="00A91E20"/>
    <w:rsid w:val="00A9244B"/>
    <w:rsid w:val="00A94CB1"/>
    <w:rsid w:val="00A95969"/>
    <w:rsid w:val="00A96275"/>
    <w:rsid w:val="00AA289F"/>
    <w:rsid w:val="00AA342F"/>
    <w:rsid w:val="00AA34D6"/>
    <w:rsid w:val="00AA5557"/>
    <w:rsid w:val="00AA5A31"/>
    <w:rsid w:val="00AA673A"/>
    <w:rsid w:val="00AB2730"/>
    <w:rsid w:val="00AB3DF9"/>
    <w:rsid w:val="00AB46E9"/>
    <w:rsid w:val="00AB4D99"/>
    <w:rsid w:val="00AB4F55"/>
    <w:rsid w:val="00AB5354"/>
    <w:rsid w:val="00AB55F1"/>
    <w:rsid w:val="00AB6A39"/>
    <w:rsid w:val="00AB726C"/>
    <w:rsid w:val="00AC0EBA"/>
    <w:rsid w:val="00AC1260"/>
    <w:rsid w:val="00AC1C39"/>
    <w:rsid w:val="00AC2FC4"/>
    <w:rsid w:val="00AC3C5E"/>
    <w:rsid w:val="00AC4381"/>
    <w:rsid w:val="00AC466A"/>
    <w:rsid w:val="00AC4C26"/>
    <w:rsid w:val="00AC636F"/>
    <w:rsid w:val="00AC71CC"/>
    <w:rsid w:val="00AC78D8"/>
    <w:rsid w:val="00AC7AC0"/>
    <w:rsid w:val="00AD0047"/>
    <w:rsid w:val="00AD03B6"/>
    <w:rsid w:val="00AD22EB"/>
    <w:rsid w:val="00AD3890"/>
    <w:rsid w:val="00AD50B5"/>
    <w:rsid w:val="00AD7BF2"/>
    <w:rsid w:val="00AE07B8"/>
    <w:rsid w:val="00AE1453"/>
    <w:rsid w:val="00AE2148"/>
    <w:rsid w:val="00AE2E08"/>
    <w:rsid w:val="00AE4E56"/>
    <w:rsid w:val="00AE5313"/>
    <w:rsid w:val="00AE635D"/>
    <w:rsid w:val="00AE69A0"/>
    <w:rsid w:val="00AE6C4C"/>
    <w:rsid w:val="00AF119F"/>
    <w:rsid w:val="00AF148B"/>
    <w:rsid w:val="00AF2EAB"/>
    <w:rsid w:val="00AF5676"/>
    <w:rsid w:val="00AF629D"/>
    <w:rsid w:val="00AF7AA0"/>
    <w:rsid w:val="00AF7C69"/>
    <w:rsid w:val="00B01904"/>
    <w:rsid w:val="00B01E26"/>
    <w:rsid w:val="00B01EE1"/>
    <w:rsid w:val="00B02E1A"/>
    <w:rsid w:val="00B04CF3"/>
    <w:rsid w:val="00B05568"/>
    <w:rsid w:val="00B1084C"/>
    <w:rsid w:val="00B10C0A"/>
    <w:rsid w:val="00B113DF"/>
    <w:rsid w:val="00B11743"/>
    <w:rsid w:val="00B12E73"/>
    <w:rsid w:val="00B15D3B"/>
    <w:rsid w:val="00B1639E"/>
    <w:rsid w:val="00B1681A"/>
    <w:rsid w:val="00B2036E"/>
    <w:rsid w:val="00B2065F"/>
    <w:rsid w:val="00B2165C"/>
    <w:rsid w:val="00B21F5B"/>
    <w:rsid w:val="00B22746"/>
    <w:rsid w:val="00B22871"/>
    <w:rsid w:val="00B22A07"/>
    <w:rsid w:val="00B22B34"/>
    <w:rsid w:val="00B2529B"/>
    <w:rsid w:val="00B2736E"/>
    <w:rsid w:val="00B27465"/>
    <w:rsid w:val="00B27E2B"/>
    <w:rsid w:val="00B3052D"/>
    <w:rsid w:val="00B317FA"/>
    <w:rsid w:val="00B35B61"/>
    <w:rsid w:val="00B35C74"/>
    <w:rsid w:val="00B360BC"/>
    <w:rsid w:val="00B36DD9"/>
    <w:rsid w:val="00B36E10"/>
    <w:rsid w:val="00B409BF"/>
    <w:rsid w:val="00B411B6"/>
    <w:rsid w:val="00B414BD"/>
    <w:rsid w:val="00B43094"/>
    <w:rsid w:val="00B439F3"/>
    <w:rsid w:val="00B44824"/>
    <w:rsid w:val="00B465BD"/>
    <w:rsid w:val="00B471D2"/>
    <w:rsid w:val="00B47946"/>
    <w:rsid w:val="00B47967"/>
    <w:rsid w:val="00B50D02"/>
    <w:rsid w:val="00B50F00"/>
    <w:rsid w:val="00B51121"/>
    <w:rsid w:val="00B5148F"/>
    <w:rsid w:val="00B533F3"/>
    <w:rsid w:val="00B53536"/>
    <w:rsid w:val="00B554D1"/>
    <w:rsid w:val="00B564D4"/>
    <w:rsid w:val="00B62081"/>
    <w:rsid w:val="00B63AF2"/>
    <w:rsid w:val="00B63B4E"/>
    <w:rsid w:val="00B6410D"/>
    <w:rsid w:val="00B65E4A"/>
    <w:rsid w:val="00B66138"/>
    <w:rsid w:val="00B66835"/>
    <w:rsid w:val="00B67018"/>
    <w:rsid w:val="00B67D57"/>
    <w:rsid w:val="00B7030D"/>
    <w:rsid w:val="00B706A0"/>
    <w:rsid w:val="00B80397"/>
    <w:rsid w:val="00B80EC4"/>
    <w:rsid w:val="00B8220D"/>
    <w:rsid w:val="00B83303"/>
    <w:rsid w:val="00B83352"/>
    <w:rsid w:val="00B85A25"/>
    <w:rsid w:val="00B87D75"/>
    <w:rsid w:val="00B90EB1"/>
    <w:rsid w:val="00B90F0F"/>
    <w:rsid w:val="00B914E4"/>
    <w:rsid w:val="00B9166B"/>
    <w:rsid w:val="00B91A2D"/>
    <w:rsid w:val="00B921FF"/>
    <w:rsid w:val="00B929A7"/>
    <w:rsid w:val="00B92FAD"/>
    <w:rsid w:val="00B935D9"/>
    <w:rsid w:val="00B949BA"/>
    <w:rsid w:val="00B967D4"/>
    <w:rsid w:val="00BA1ABE"/>
    <w:rsid w:val="00BA3A76"/>
    <w:rsid w:val="00BB3679"/>
    <w:rsid w:val="00BB4353"/>
    <w:rsid w:val="00BB4C9C"/>
    <w:rsid w:val="00BB6113"/>
    <w:rsid w:val="00BC0096"/>
    <w:rsid w:val="00BC146B"/>
    <w:rsid w:val="00BC2022"/>
    <w:rsid w:val="00BC2494"/>
    <w:rsid w:val="00BC3067"/>
    <w:rsid w:val="00BC74BB"/>
    <w:rsid w:val="00BC7E03"/>
    <w:rsid w:val="00BD12A3"/>
    <w:rsid w:val="00BD2FCC"/>
    <w:rsid w:val="00BD537D"/>
    <w:rsid w:val="00BD7C5D"/>
    <w:rsid w:val="00BE1FBD"/>
    <w:rsid w:val="00BE25F3"/>
    <w:rsid w:val="00BE2701"/>
    <w:rsid w:val="00BE3A2C"/>
    <w:rsid w:val="00BE3A79"/>
    <w:rsid w:val="00BE3CC8"/>
    <w:rsid w:val="00BE4949"/>
    <w:rsid w:val="00BE533D"/>
    <w:rsid w:val="00BE63E3"/>
    <w:rsid w:val="00BE6466"/>
    <w:rsid w:val="00BE7585"/>
    <w:rsid w:val="00BF242F"/>
    <w:rsid w:val="00BF473B"/>
    <w:rsid w:val="00BF5111"/>
    <w:rsid w:val="00BF5541"/>
    <w:rsid w:val="00BF5679"/>
    <w:rsid w:val="00BF6F7C"/>
    <w:rsid w:val="00BF7F13"/>
    <w:rsid w:val="00C03D71"/>
    <w:rsid w:val="00C047CE"/>
    <w:rsid w:val="00C05732"/>
    <w:rsid w:val="00C0601C"/>
    <w:rsid w:val="00C06104"/>
    <w:rsid w:val="00C12294"/>
    <w:rsid w:val="00C1352A"/>
    <w:rsid w:val="00C135B7"/>
    <w:rsid w:val="00C15BE4"/>
    <w:rsid w:val="00C160B8"/>
    <w:rsid w:val="00C203F6"/>
    <w:rsid w:val="00C210E6"/>
    <w:rsid w:val="00C2131E"/>
    <w:rsid w:val="00C233EF"/>
    <w:rsid w:val="00C23C0E"/>
    <w:rsid w:val="00C240EB"/>
    <w:rsid w:val="00C262F0"/>
    <w:rsid w:val="00C263EF"/>
    <w:rsid w:val="00C26873"/>
    <w:rsid w:val="00C27AFE"/>
    <w:rsid w:val="00C3229C"/>
    <w:rsid w:val="00C3447A"/>
    <w:rsid w:val="00C3522F"/>
    <w:rsid w:val="00C352C7"/>
    <w:rsid w:val="00C359AC"/>
    <w:rsid w:val="00C35A29"/>
    <w:rsid w:val="00C3608E"/>
    <w:rsid w:val="00C40EC0"/>
    <w:rsid w:val="00C41D40"/>
    <w:rsid w:val="00C445D6"/>
    <w:rsid w:val="00C449BD"/>
    <w:rsid w:val="00C45D1B"/>
    <w:rsid w:val="00C46CB8"/>
    <w:rsid w:val="00C47ED7"/>
    <w:rsid w:val="00C500CC"/>
    <w:rsid w:val="00C51FB4"/>
    <w:rsid w:val="00C52BE3"/>
    <w:rsid w:val="00C53D5E"/>
    <w:rsid w:val="00C54581"/>
    <w:rsid w:val="00C55460"/>
    <w:rsid w:val="00C566D5"/>
    <w:rsid w:val="00C57DFF"/>
    <w:rsid w:val="00C632F5"/>
    <w:rsid w:val="00C64009"/>
    <w:rsid w:val="00C665E9"/>
    <w:rsid w:val="00C66AE5"/>
    <w:rsid w:val="00C67C4D"/>
    <w:rsid w:val="00C718A2"/>
    <w:rsid w:val="00C729F7"/>
    <w:rsid w:val="00C73E49"/>
    <w:rsid w:val="00C7707B"/>
    <w:rsid w:val="00C80575"/>
    <w:rsid w:val="00C80BFE"/>
    <w:rsid w:val="00C81EC8"/>
    <w:rsid w:val="00C83A56"/>
    <w:rsid w:val="00C91066"/>
    <w:rsid w:val="00C91954"/>
    <w:rsid w:val="00C92B69"/>
    <w:rsid w:val="00C92CAA"/>
    <w:rsid w:val="00C94BD6"/>
    <w:rsid w:val="00C94E3C"/>
    <w:rsid w:val="00C9537A"/>
    <w:rsid w:val="00C95FCA"/>
    <w:rsid w:val="00C960B6"/>
    <w:rsid w:val="00C96820"/>
    <w:rsid w:val="00C97193"/>
    <w:rsid w:val="00C974CB"/>
    <w:rsid w:val="00C9773B"/>
    <w:rsid w:val="00CA1A26"/>
    <w:rsid w:val="00CA29CC"/>
    <w:rsid w:val="00CA2AC5"/>
    <w:rsid w:val="00CA2B49"/>
    <w:rsid w:val="00CA2D55"/>
    <w:rsid w:val="00CA317B"/>
    <w:rsid w:val="00CA318C"/>
    <w:rsid w:val="00CA3AD1"/>
    <w:rsid w:val="00CA4D43"/>
    <w:rsid w:val="00CA549A"/>
    <w:rsid w:val="00CA5B80"/>
    <w:rsid w:val="00CA69A7"/>
    <w:rsid w:val="00CA7922"/>
    <w:rsid w:val="00CB0873"/>
    <w:rsid w:val="00CB212A"/>
    <w:rsid w:val="00CB2FBE"/>
    <w:rsid w:val="00CB3340"/>
    <w:rsid w:val="00CB345A"/>
    <w:rsid w:val="00CB61CB"/>
    <w:rsid w:val="00CB6682"/>
    <w:rsid w:val="00CC0010"/>
    <w:rsid w:val="00CC00BE"/>
    <w:rsid w:val="00CC25BE"/>
    <w:rsid w:val="00CC2637"/>
    <w:rsid w:val="00CC2A4B"/>
    <w:rsid w:val="00CC2C0E"/>
    <w:rsid w:val="00CC2F0C"/>
    <w:rsid w:val="00CC68F6"/>
    <w:rsid w:val="00CD0C09"/>
    <w:rsid w:val="00CD125A"/>
    <w:rsid w:val="00CD134A"/>
    <w:rsid w:val="00CD2015"/>
    <w:rsid w:val="00CD3ADE"/>
    <w:rsid w:val="00CD44C6"/>
    <w:rsid w:val="00CD66CC"/>
    <w:rsid w:val="00CE214E"/>
    <w:rsid w:val="00CE3EDA"/>
    <w:rsid w:val="00CE3F43"/>
    <w:rsid w:val="00CE5413"/>
    <w:rsid w:val="00CE58F9"/>
    <w:rsid w:val="00CE61D3"/>
    <w:rsid w:val="00CE6D9D"/>
    <w:rsid w:val="00CE72B9"/>
    <w:rsid w:val="00CE7916"/>
    <w:rsid w:val="00CE7DFB"/>
    <w:rsid w:val="00CF0146"/>
    <w:rsid w:val="00CF29C8"/>
    <w:rsid w:val="00CF596B"/>
    <w:rsid w:val="00CF6372"/>
    <w:rsid w:val="00CF6E31"/>
    <w:rsid w:val="00CF7228"/>
    <w:rsid w:val="00D004D3"/>
    <w:rsid w:val="00D0103C"/>
    <w:rsid w:val="00D015B3"/>
    <w:rsid w:val="00D023EE"/>
    <w:rsid w:val="00D0241D"/>
    <w:rsid w:val="00D03679"/>
    <w:rsid w:val="00D046BB"/>
    <w:rsid w:val="00D055FC"/>
    <w:rsid w:val="00D07580"/>
    <w:rsid w:val="00D10773"/>
    <w:rsid w:val="00D11DEE"/>
    <w:rsid w:val="00D13933"/>
    <w:rsid w:val="00D14972"/>
    <w:rsid w:val="00D15579"/>
    <w:rsid w:val="00D158EA"/>
    <w:rsid w:val="00D17AB3"/>
    <w:rsid w:val="00D17F0A"/>
    <w:rsid w:val="00D2184F"/>
    <w:rsid w:val="00D2228D"/>
    <w:rsid w:val="00D26D44"/>
    <w:rsid w:val="00D30A5B"/>
    <w:rsid w:val="00D3308C"/>
    <w:rsid w:val="00D332A7"/>
    <w:rsid w:val="00D347E7"/>
    <w:rsid w:val="00D35724"/>
    <w:rsid w:val="00D4162F"/>
    <w:rsid w:val="00D4164E"/>
    <w:rsid w:val="00D4175C"/>
    <w:rsid w:val="00D41B1D"/>
    <w:rsid w:val="00D42862"/>
    <w:rsid w:val="00D45597"/>
    <w:rsid w:val="00D45616"/>
    <w:rsid w:val="00D4568D"/>
    <w:rsid w:val="00D47031"/>
    <w:rsid w:val="00D51EA4"/>
    <w:rsid w:val="00D52E38"/>
    <w:rsid w:val="00D52E84"/>
    <w:rsid w:val="00D547DD"/>
    <w:rsid w:val="00D55829"/>
    <w:rsid w:val="00D561E2"/>
    <w:rsid w:val="00D61256"/>
    <w:rsid w:val="00D62214"/>
    <w:rsid w:val="00D6279A"/>
    <w:rsid w:val="00D62987"/>
    <w:rsid w:val="00D62D22"/>
    <w:rsid w:val="00D62D7A"/>
    <w:rsid w:val="00D633C6"/>
    <w:rsid w:val="00D638F7"/>
    <w:rsid w:val="00D65193"/>
    <w:rsid w:val="00D6529E"/>
    <w:rsid w:val="00D65710"/>
    <w:rsid w:val="00D65CA8"/>
    <w:rsid w:val="00D6679D"/>
    <w:rsid w:val="00D67807"/>
    <w:rsid w:val="00D67A7D"/>
    <w:rsid w:val="00D70CBF"/>
    <w:rsid w:val="00D721E7"/>
    <w:rsid w:val="00D73421"/>
    <w:rsid w:val="00D76341"/>
    <w:rsid w:val="00D80623"/>
    <w:rsid w:val="00D82668"/>
    <w:rsid w:val="00D83385"/>
    <w:rsid w:val="00D843A3"/>
    <w:rsid w:val="00D847A2"/>
    <w:rsid w:val="00D866D3"/>
    <w:rsid w:val="00D868CC"/>
    <w:rsid w:val="00D875B9"/>
    <w:rsid w:val="00D876C1"/>
    <w:rsid w:val="00D87780"/>
    <w:rsid w:val="00D919DF"/>
    <w:rsid w:val="00D91C2C"/>
    <w:rsid w:val="00D92585"/>
    <w:rsid w:val="00D92AB3"/>
    <w:rsid w:val="00D92FA5"/>
    <w:rsid w:val="00D935F0"/>
    <w:rsid w:val="00D93B2E"/>
    <w:rsid w:val="00D949BD"/>
    <w:rsid w:val="00D9720E"/>
    <w:rsid w:val="00D97BE0"/>
    <w:rsid w:val="00D97F1E"/>
    <w:rsid w:val="00DA0468"/>
    <w:rsid w:val="00DA1F16"/>
    <w:rsid w:val="00DA2590"/>
    <w:rsid w:val="00DA2BFA"/>
    <w:rsid w:val="00DA35C1"/>
    <w:rsid w:val="00DA3C28"/>
    <w:rsid w:val="00DA4049"/>
    <w:rsid w:val="00DA5F2C"/>
    <w:rsid w:val="00DA6569"/>
    <w:rsid w:val="00DA7C6A"/>
    <w:rsid w:val="00DB41AF"/>
    <w:rsid w:val="00DB57F9"/>
    <w:rsid w:val="00DB6539"/>
    <w:rsid w:val="00DB7083"/>
    <w:rsid w:val="00DC0A4D"/>
    <w:rsid w:val="00DC1CBB"/>
    <w:rsid w:val="00DC3224"/>
    <w:rsid w:val="00DC37A4"/>
    <w:rsid w:val="00DC5299"/>
    <w:rsid w:val="00DC60BE"/>
    <w:rsid w:val="00DC6B35"/>
    <w:rsid w:val="00DD06BB"/>
    <w:rsid w:val="00DD1462"/>
    <w:rsid w:val="00DD1E24"/>
    <w:rsid w:val="00DD2352"/>
    <w:rsid w:val="00DD4EBC"/>
    <w:rsid w:val="00DD5868"/>
    <w:rsid w:val="00DD60A2"/>
    <w:rsid w:val="00DD68FE"/>
    <w:rsid w:val="00DE05CA"/>
    <w:rsid w:val="00DE0A3B"/>
    <w:rsid w:val="00DE0C88"/>
    <w:rsid w:val="00DE0E9A"/>
    <w:rsid w:val="00DE1562"/>
    <w:rsid w:val="00DE156C"/>
    <w:rsid w:val="00DE1C1B"/>
    <w:rsid w:val="00DE3092"/>
    <w:rsid w:val="00DE4492"/>
    <w:rsid w:val="00DE4E3C"/>
    <w:rsid w:val="00DE50DA"/>
    <w:rsid w:val="00DE53F6"/>
    <w:rsid w:val="00DE7A5B"/>
    <w:rsid w:val="00DE7B82"/>
    <w:rsid w:val="00DF0205"/>
    <w:rsid w:val="00DF03CC"/>
    <w:rsid w:val="00DF166A"/>
    <w:rsid w:val="00DF4CC5"/>
    <w:rsid w:val="00DF4F5A"/>
    <w:rsid w:val="00DF53FC"/>
    <w:rsid w:val="00DF58C6"/>
    <w:rsid w:val="00DF74DE"/>
    <w:rsid w:val="00DF7B07"/>
    <w:rsid w:val="00E00EA9"/>
    <w:rsid w:val="00E0157C"/>
    <w:rsid w:val="00E01A2C"/>
    <w:rsid w:val="00E01F4C"/>
    <w:rsid w:val="00E02B02"/>
    <w:rsid w:val="00E0375E"/>
    <w:rsid w:val="00E05D7D"/>
    <w:rsid w:val="00E06854"/>
    <w:rsid w:val="00E07B20"/>
    <w:rsid w:val="00E10470"/>
    <w:rsid w:val="00E10FEB"/>
    <w:rsid w:val="00E13441"/>
    <w:rsid w:val="00E143A0"/>
    <w:rsid w:val="00E1586E"/>
    <w:rsid w:val="00E16F34"/>
    <w:rsid w:val="00E172E3"/>
    <w:rsid w:val="00E21099"/>
    <w:rsid w:val="00E21435"/>
    <w:rsid w:val="00E21E0B"/>
    <w:rsid w:val="00E22228"/>
    <w:rsid w:val="00E23861"/>
    <w:rsid w:val="00E23877"/>
    <w:rsid w:val="00E23C5F"/>
    <w:rsid w:val="00E253B4"/>
    <w:rsid w:val="00E26C30"/>
    <w:rsid w:val="00E2792F"/>
    <w:rsid w:val="00E27B86"/>
    <w:rsid w:val="00E3019C"/>
    <w:rsid w:val="00E31C7E"/>
    <w:rsid w:val="00E331BF"/>
    <w:rsid w:val="00E34EF7"/>
    <w:rsid w:val="00E34F0E"/>
    <w:rsid w:val="00E3539C"/>
    <w:rsid w:val="00E36549"/>
    <w:rsid w:val="00E4184E"/>
    <w:rsid w:val="00E41E8A"/>
    <w:rsid w:val="00E42489"/>
    <w:rsid w:val="00E4438A"/>
    <w:rsid w:val="00E449AB"/>
    <w:rsid w:val="00E455A0"/>
    <w:rsid w:val="00E466C1"/>
    <w:rsid w:val="00E4772D"/>
    <w:rsid w:val="00E47893"/>
    <w:rsid w:val="00E47A71"/>
    <w:rsid w:val="00E504C3"/>
    <w:rsid w:val="00E52297"/>
    <w:rsid w:val="00E525BF"/>
    <w:rsid w:val="00E54877"/>
    <w:rsid w:val="00E55E52"/>
    <w:rsid w:val="00E56659"/>
    <w:rsid w:val="00E56E0D"/>
    <w:rsid w:val="00E57B40"/>
    <w:rsid w:val="00E60262"/>
    <w:rsid w:val="00E61049"/>
    <w:rsid w:val="00E62A48"/>
    <w:rsid w:val="00E62B37"/>
    <w:rsid w:val="00E62F5D"/>
    <w:rsid w:val="00E6359B"/>
    <w:rsid w:val="00E642B2"/>
    <w:rsid w:val="00E64A51"/>
    <w:rsid w:val="00E652BD"/>
    <w:rsid w:val="00E65499"/>
    <w:rsid w:val="00E65505"/>
    <w:rsid w:val="00E657F3"/>
    <w:rsid w:val="00E65C89"/>
    <w:rsid w:val="00E6765C"/>
    <w:rsid w:val="00E67C9B"/>
    <w:rsid w:val="00E67F5F"/>
    <w:rsid w:val="00E70064"/>
    <w:rsid w:val="00E70463"/>
    <w:rsid w:val="00E718F6"/>
    <w:rsid w:val="00E72E2E"/>
    <w:rsid w:val="00E75E80"/>
    <w:rsid w:val="00E77F06"/>
    <w:rsid w:val="00E806C9"/>
    <w:rsid w:val="00E80846"/>
    <w:rsid w:val="00E80F69"/>
    <w:rsid w:val="00E82AE3"/>
    <w:rsid w:val="00E84379"/>
    <w:rsid w:val="00E8437A"/>
    <w:rsid w:val="00E85A6B"/>
    <w:rsid w:val="00E900D7"/>
    <w:rsid w:val="00E92307"/>
    <w:rsid w:val="00E95F86"/>
    <w:rsid w:val="00E95FAF"/>
    <w:rsid w:val="00EA0226"/>
    <w:rsid w:val="00EA333A"/>
    <w:rsid w:val="00EA3733"/>
    <w:rsid w:val="00EA4417"/>
    <w:rsid w:val="00EA44B5"/>
    <w:rsid w:val="00EA44B7"/>
    <w:rsid w:val="00EA4D88"/>
    <w:rsid w:val="00EA594E"/>
    <w:rsid w:val="00EA6A9F"/>
    <w:rsid w:val="00EA724D"/>
    <w:rsid w:val="00EA795C"/>
    <w:rsid w:val="00EB0D4A"/>
    <w:rsid w:val="00EB11C4"/>
    <w:rsid w:val="00EB19D9"/>
    <w:rsid w:val="00EB2A89"/>
    <w:rsid w:val="00EB3F6A"/>
    <w:rsid w:val="00EB6A89"/>
    <w:rsid w:val="00EB7610"/>
    <w:rsid w:val="00EB7AE5"/>
    <w:rsid w:val="00EC001B"/>
    <w:rsid w:val="00EC047F"/>
    <w:rsid w:val="00EC14F5"/>
    <w:rsid w:val="00EC1E92"/>
    <w:rsid w:val="00EC3358"/>
    <w:rsid w:val="00EC3B92"/>
    <w:rsid w:val="00EC694B"/>
    <w:rsid w:val="00EC7234"/>
    <w:rsid w:val="00ED001A"/>
    <w:rsid w:val="00ED2259"/>
    <w:rsid w:val="00ED527F"/>
    <w:rsid w:val="00ED6EE1"/>
    <w:rsid w:val="00EE15FB"/>
    <w:rsid w:val="00EE1C49"/>
    <w:rsid w:val="00EE5922"/>
    <w:rsid w:val="00EE6BDE"/>
    <w:rsid w:val="00EE6E06"/>
    <w:rsid w:val="00EE770E"/>
    <w:rsid w:val="00EE7A88"/>
    <w:rsid w:val="00EF290A"/>
    <w:rsid w:val="00EF41D4"/>
    <w:rsid w:val="00EF5121"/>
    <w:rsid w:val="00EF55DF"/>
    <w:rsid w:val="00EF5917"/>
    <w:rsid w:val="00EF5931"/>
    <w:rsid w:val="00EF6AB8"/>
    <w:rsid w:val="00EF6F03"/>
    <w:rsid w:val="00EF7056"/>
    <w:rsid w:val="00F002DD"/>
    <w:rsid w:val="00F00C5E"/>
    <w:rsid w:val="00F00EB6"/>
    <w:rsid w:val="00F01B18"/>
    <w:rsid w:val="00F01DA2"/>
    <w:rsid w:val="00F03FE9"/>
    <w:rsid w:val="00F0511C"/>
    <w:rsid w:val="00F1012B"/>
    <w:rsid w:val="00F10FC8"/>
    <w:rsid w:val="00F12F90"/>
    <w:rsid w:val="00F1334D"/>
    <w:rsid w:val="00F1532B"/>
    <w:rsid w:val="00F16C82"/>
    <w:rsid w:val="00F17006"/>
    <w:rsid w:val="00F21465"/>
    <w:rsid w:val="00F21949"/>
    <w:rsid w:val="00F225E7"/>
    <w:rsid w:val="00F227C4"/>
    <w:rsid w:val="00F22CF8"/>
    <w:rsid w:val="00F22D2B"/>
    <w:rsid w:val="00F2544C"/>
    <w:rsid w:val="00F257B0"/>
    <w:rsid w:val="00F25A52"/>
    <w:rsid w:val="00F27EDB"/>
    <w:rsid w:val="00F309CB"/>
    <w:rsid w:val="00F313AF"/>
    <w:rsid w:val="00F31427"/>
    <w:rsid w:val="00F34402"/>
    <w:rsid w:val="00F35804"/>
    <w:rsid w:val="00F370AD"/>
    <w:rsid w:val="00F41BF5"/>
    <w:rsid w:val="00F42020"/>
    <w:rsid w:val="00F424CF"/>
    <w:rsid w:val="00F43A07"/>
    <w:rsid w:val="00F43EAC"/>
    <w:rsid w:val="00F44493"/>
    <w:rsid w:val="00F444DB"/>
    <w:rsid w:val="00F44D01"/>
    <w:rsid w:val="00F46634"/>
    <w:rsid w:val="00F46CAE"/>
    <w:rsid w:val="00F475A6"/>
    <w:rsid w:val="00F51AE5"/>
    <w:rsid w:val="00F54221"/>
    <w:rsid w:val="00F5450D"/>
    <w:rsid w:val="00F54759"/>
    <w:rsid w:val="00F54B6B"/>
    <w:rsid w:val="00F551CC"/>
    <w:rsid w:val="00F55BA3"/>
    <w:rsid w:val="00F55EC9"/>
    <w:rsid w:val="00F56257"/>
    <w:rsid w:val="00F574D4"/>
    <w:rsid w:val="00F60405"/>
    <w:rsid w:val="00F610A1"/>
    <w:rsid w:val="00F61AF3"/>
    <w:rsid w:val="00F62FC4"/>
    <w:rsid w:val="00F63AE9"/>
    <w:rsid w:val="00F64121"/>
    <w:rsid w:val="00F64ED1"/>
    <w:rsid w:val="00F7026F"/>
    <w:rsid w:val="00F712D0"/>
    <w:rsid w:val="00F713AD"/>
    <w:rsid w:val="00F71486"/>
    <w:rsid w:val="00F71C13"/>
    <w:rsid w:val="00F72DA5"/>
    <w:rsid w:val="00F755EF"/>
    <w:rsid w:val="00F7667E"/>
    <w:rsid w:val="00F77DFF"/>
    <w:rsid w:val="00F8184A"/>
    <w:rsid w:val="00F82374"/>
    <w:rsid w:val="00F8460A"/>
    <w:rsid w:val="00F85B73"/>
    <w:rsid w:val="00F8768B"/>
    <w:rsid w:val="00F900BD"/>
    <w:rsid w:val="00F906F3"/>
    <w:rsid w:val="00F90B7A"/>
    <w:rsid w:val="00F92051"/>
    <w:rsid w:val="00F92392"/>
    <w:rsid w:val="00F9290D"/>
    <w:rsid w:val="00F92A84"/>
    <w:rsid w:val="00F931C8"/>
    <w:rsid w:val="00F948BB"/>
    <w:rsid w:val="00F95EC0"/>
    <w:rsid w:val="00FA2320"/>
    <w:rsid w:val="00FA2DDA"/>
    <w:rsid w:val="00FA3958"/>
    <w:rsid w:val="00FA4199"/>
    <w:rsid w:val="00FA6F2F"/>
    <w:rsid w:val="00FB1FB9"/>
    <w:rsid w:val="00FB398F"/>
    <w:rsid w:val="00FB3A09"/>
    <w:rsid w:val="00FB771A"/>
    <w:rsid w:val="00FC0B64"/>
    <w:rsid w:val="00FC1916"/>
    <w:rsid w:val="00FC28C8"/>
    <w:rsid w:val="00FC3897"/>
    <w:rsid w:val="00FC461B"/>
    <w:rsid w:val="00FC7952"/>
    <w:rsid w:val="00FD0F74"/>
    <w:rsid w:val="00FD413F"/>
    <w:rsid w:val="00FD4291"/>
    <w:rsid w:val="00FD4BD0"/>
    <w:rsid w:val="00FD6302"/>
    <w:rsid w:val="00FE090D"/>
    <w:rsid w:val="00FE0A2B"/>
    <w:rsid w:val="00FE0FD5"/>
    <w:rsid w:val="00FE40B7"/>
    <w:rsid w:val="00FE5E6C"/>
    <w:rsid w:val="00FE6700"/>
    <w:rsid w:val="00FE7152"/>
    <w:rsid w:val="00FF0CB5"/>
    <w:rsid w:val="00FF3624"/>
    <w:rsid w:val="00FF58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colormru v:ext="edit" colors="#c30"/>
    </o:shapedefaults>
    <o:shapelayout v:ext="edit">
      <o:idmap v:ext="edit" data="1"/>
    </o:shapelayout>
  </w:shapeDefaults>
  <w:decimalSymbol w:val="."/>
  <w:listSeparator w:val=","/>
  <w14:docId w14:val="0F912E58"/>
  <w15:docId w15:val="{8EBFEB35-C5B1-4DBA-8F94-DA00D9336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FF3"/>
    <w:pPr>
      <w:spacing w:before="120" w:line="300" w:lineRule="auto"/>
      <w:jc w:val="both"/>
    </w:pPr>
    <w:rPr>
      <w:rFonts w:ascii="Arial" w:hAnsi="Arial"/>
      <w:szCs w:val="24"/>
      <w:lang w:val="en-GB"/>
    </w:rPr>
  </w:style>
  <w:style w:type="paragraph" w:styleId="Ttulo1">
    <w:name w:val="heading 1"/>
    <w:aliases w:val="TITRE,(cntl 1),h1,Heading A,Heading1,H1-Heading 1,1,Header 1,l1,Legal Line 1,head 1,list 1,II+,H1,Head 1 (Chapter heading),Heading No. L1,Heading One,Attribute Heading 1,Titre§,Box Header,1st level,Chapter title,l1+toc 1,Level 11,Section"/>
    <w:basedOn w:val="Normal"/>
    <w:next w:val="Normal"/>
    <w:link w:val="Ttulo1Car"/>
    <w:autoRedefine/>
    <w:uiPriority w:val="9"/>
    <w:qFormat/>
    <w:rsid w:val="00774E1C"/>
    <w:pPr>
      <w:keepNext/>
      <w:numPr>
        <w:numId w:val="3"/>
      </w:numPr>
      <w:tabs>
        <w:tab w:val="clear" w:pos="792"/>
        <w:tab w:val="num" w:pos="573"/>
      </w:tabs>
      <w:spacing w:before="360" w:after="240"/>
      <w:ind w:left="573" w:hanging="573"/>
      <w:outlineLvl w:val="0"/>
    </w:pPr>
    <w:rPr>
      <w:b/>
      <w:bCs/>
      <w:color w:val="808080"/>
      <w:sz w:val="28"/>
      <w:lang w:val="fr-FR"/>
    </w:rPr>
  </w:style>
  <w:style w:type="paragraph" w:styleId="Ttulo2">
    <w:name w:val="heading 2"/>
    <w:aliases w:val="2,(cntl 2),h2,UNDERRUBRIK 1-2,Header 2,l2,h21,h22,H21,h23,H22,Heading2,list2,H2-Heading 2,Header2,h24,22,heading2,H23,A,o,h25,21,Header 21,l21,h211,h221,H211,h231,H221,Heading21,list21,H2-Heading 21,Header21,h241,221,heading21,H231,A1,o1,???"/>
    <w:basedOn w:val="Normal"/>
    <w:next w:val="Normal"/>
    <w:link w:val="Ttulo2Car"/>
    <w:autoRedefine/>
    <w:uiPriority w:val="9"/>
    <w:qFormat/>
    <w:rsid w:val="006A7E91"/>
    <w:pPr>
      <w:keepNext/>
      <w:numPr>
        <w:ilvl w:val="1"/>
        <w:numId w:val="3"/>
      </w:numPr>
      <w:tabs>
        <w:tab w:val="clear" w:pos="936"/>
        <w:tab w:val="num" w:pos="567"/>
      </w:tabs>
      <w:spacing w:before="480" w:after="480"/>
      <w:ind w:left="567"/>
      <w:outlineLvl w:val="1"/>
    </w:pPr>
    <w:rPr>
      <w:b/>
      <w:bCs/>
      <w:color w:val="CC3300"/>
      <w:sz w:val="24"/>
      <w:lang w:val="fr-FR"/>
    </w:rPr>
  </w:style>
  <w:style w:type="paragraph" w:styleId="Ttulo3">
    <w:name w:val="heading 3"/>
    <w:aliases w:val="H3,TITRE 3,h3,1.2.3.,Underrubrik2,1.1.1 Heading 3,3,l3,CT,l31,CT1,H31,Heading3,H3-Heading 3,l3.3,l32,list 3,list3,Heading No. L3,ITT t3,PA Minor Section,Title2,H32,H33,H34,H35,título 3,h:3,1.1.1 Heading 31,h31,31,l33,CT2,H36,l311,CT11,subhead"/>
    <w:basedOn w:val="Normal"/>
    <w:next w:val="Normal"/>
    <w:link w:val="Ttulo3Car"/>
    <w:autoRedefine/>
    <w:uiPriority w:val="9"/>
    <w:qFormat/>
    <w:rsid w:val="006A7E91"/>
    <w:pPr>
      <w:keepNext/>
      <w:numPr>
        <w:ilvl w:val="2"/>
        <w:numId w:val="3"/>
      </w:numPr>
      <w:tabs>
        <w:tab w:val="clear" w:pos="1080"/>
        <w:tab w:val="num" w:pos="567"/>
        <w:tab w:val="num" w:pos="1429"/>
        <w:tab w:val="left" w:pos="8222"/>
      </w:tabs>
      <w:spacing w:before="240" w:after="240"/>
      <w:ind w:left="567" w:hanging="567"/>
      <w:outlineLvl w:val="2"/>
    </w:pPr>
    <w:rPr>
      <w:b/>
      <w:bCs/>
      <w:color w:val="CC3300"/>
      <w:lang w:val="fr-FR"/>
    </w:rPr>
  </w:style>
  <w:style w:type="paragraph" w:styleId="Ttulo4">
    <w:name w:val="heading 4"/>
    <w:aliases w:val="h4,4,H4,h4 sub sub heading,h41,h42,Para4,(Alt+4),H41,(Alt+4)1,H42,(Alt+4)2,H43,(Alt+4)3,H44,(Alt+4)4,H45,(Alt+4)5,H411,(Alt+4)11,H421,(Alt+4)21,H431,(Alt+4)31,H46,(Alt+4)6,H412,(Alt+4)12,H422,(Alt+4)22,H432,(Alt+4)32,H47,(Alt+4)7,4heading,E4,l4"/>
    <w:basedOn w:val="Normal"/>
    <w:next w:val="Normal"/>
    <w:link w:val="Ttulo4Car"/>
    <w:autoRedefine/>
    <w:uiPriority w:val="9"/>
    <w:qFormat/>
    <w:rsid w:val="00E02B02"/>
    <w:pPr>
      <w:keepNext/>
      <w:numPr>
        <w:ilvl w:val="3"/>
        <w:numId w:val="3"/>
      </w:numPr>
      <w:tabs>
        <w:tab w:val="clear" w:pos="1224"/>
        <w:tab w:val="num" w:pos="851"/>
      </w:tabs>
      <w:spacing w:after="240"/>
      <w:ind w:left="851" w:hanging="851"/>
      <w:jc w:val="left"/>
      <w:outlineLvl w:val="3"/>
    </w:pPr>
    <w:rPr>
      <w:i/>
      <w:iCs/>
      <w:color w:val="CC3300"/>
      <w:szCs w:val="20"/>
    </w:rPr>
  </w:style>
  <w:style w:type="paragraph" w:styleId="Ttulo5">
    <w:name w:val="heading 5"/>
    <w:aliases w:val="Considerando,Apartado_sub"/>
    <w:basedOn w:val="Normal"/>
    <w:next w:val="Normal"/>
    <w:link w:val="Ttulo5Car"/>
    <w:autoRedefine/>
    <w:qFormat/>
    <w:rsid w:val="00073878"/>
    <w:pPr>
      <w:keepNext/>
      <w:numPr>
        <w:ilvl w:val="4"/>
        <w:numId w:val="3"/>
      </w:numPr>
      <w:outlineLvl w:val="4"/>
    </w:pPr>
    <w:rPr>
      <w:b/>
      <w:bCs/>
      <w:color w:val="CC3300"/>
      <w:szCs w:val="20"/>
      <w:lang w:val="en-IE"/>
    </w:rPr>
  </w:style>
  <w:style w:type="paragraph" w:styleId="Ttulo6">
    <w:name w:val="heading 6"/>
    <w:aliases w:val="Legal Level 1.,L1 PIP,Name of Org,H6,Bullet list,6,Requirement,Figure label,h6,l6,hsm,cnp,Caption number (page-wide),list 6,h61,Heading6,L6"/>
    <w:basedOn w:val="Normal"/>
    <w:next w:val="Normal"/>
    <w:link w:val="Ttulo6Car"/>
    <w:qFormat/>
    <w:rsid w:val="00E54877"/>
    <w:pPr>
      <w:keepNext/>
      <w:numPr>
        <w:ilvl w:val="5"/>
        <w:numId w:val="3"/>
      </w:numPr>
      <w:jc w:val="left"/>
      <w:outlineLvl w:val="5"/>
    </w:pPr>
    <w:rPr>
      <w:b/>
      <w:bCs/>
      <w:color w:val="FFFFFF"/>
    </w:rPr>
  </w:style>
  <w:style w:type="paragraph" w:styleId="Ttulo7">
    <w:name w:val="heading 7"/>
    <w:aliases w:val="Legal Level 1.1.,L2 PIP,H7"/>
    <w:basedOn w:val="Normal"/>
    <w:next w:val="Normal"/>
    <w:link w:val="Ttulo7Car"/>
    <w:qFormat/>
    <w:rsid w:val="00E54877"/>
    <w:pPr>
      <w:keepNext/>
      <w:numPr>
        <w:ilvl w:val="6"/>
        <w:numId w:val="3"/>
      </w:numPr>
      <w:spacing w:before="0"/>
      <w:outlineLvl w:val="6"/>
    </w:pPr>
    <w:rPr>
      <w:bCs/>
      <w:sz w:val="16"/>
    </w:rPr>
  </w:style>
  <w:style w:type="paragraph" w:styleId="Ttulo8">
    <w:name w:val="heading 8"/>
    <w:aliases w:val="cover doc subtitle,H8"/>
    <w:basedOn w:val="Normal"/>
    <w:next w:val="Normal"/>
    <w:link w:val="Ttulo8Car"/>
    <w:qFormat/>
    <w:rsid w:val="00E54877"/>
    <w:pPr>
      <w:keepNext/>
      <w:numPr>
        <w:ilvl w:val="7"/>
        <w:numId w:val="3"/>
      </w:numPr>
      <w:outlineLvl w:val="7"/>
    </w:pPr>
    <w:rPr>
      <w:b/>
      <w:bCs/>
      <w:color w:val="CC3300"/>
    </w:rPr>
  </w:style>
  <w:style w:type="paragraph" w:styleId="Ttulo9">
    <w:name w:val="heading 9"/>
    <w:aliases w:val="Citaciones"/>
    <w:basedOn w:val="Normal"/>
    <w:next w:val="Normal"/>
    <w:link w:val="Ttulo9Car"/>
    <w:qFormat/>
    <w:rsid w:val="00E54877"/>
    <w:pPr>
      <w:keepNext/>
      <w:numPr>
        <w:ilvl w:val="8"/>
        <w:numId w:val="2"/>
      </w:numPr>
      <w:tabs>
        <w:tab w:val="clear" w:pos="6480"/>
        <w:tab w:val="num" w:pos="1944"/>
      </w:tabs>
      <w:ind w:left="1944" w:hanging="1584"/>
      <w:jc w:val="center"/>
      <w:outlineLvl w:val="8"/>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aliases w:val="Caption (ALL),Caption (all),Inscription,Beschriftung Char Char Char,Beschriftung Char,Caption2,figura,figura1,figura2,ITT d,Table Title,Caption - Centre Graphic,cp + Justified,Left:  2,5 cm,First ...,cp,ref,Fig &amp; Table Title,CaptionCFMU,Ca,C"/>
    <w:basedOn w:val="Normal"/>
    <w:next w:val="Normal"/>
    <w:link w:val="DescripcinCar"/>
    <w:uiPriority w:val="99"/>
    <w:qFormat/>
    <w:rsid w:val="00E54877"/>
    <w:pPr>
      <w:spacing w:after="120" w:line="360" w:lineRule="auto"/>
      <w:jc w:val="center"/>
    </w:pPr>
    <w:rPr>
      <w:b/>
      <w:bCs/>
      <w:color w:val="CC3300"/>
      <w:szCs w:val="20"/>
    </w:rPr>
  </w:style>
  <w:style w:type="paragraph" w:styleId="Textonotapie">
    <w:name w:val="footnote text"/>
    <w:aliases w:val="Note de bas de page Car,ALTS FOOTNOTE,Footnote text,Footnote Text Char Char Char,Footnote Text Char Char Char Char Char Char Char,Footnote Text Char Char Char Char Char Char Char Char Char,Footnote Text Char Char Char Char Char"/>
    <w:basedOn w:val="Normal"/>
    <w:link w:val="TextonotapieCar"/>
    <w:qFormat/>
    <w:rsid w:val="009B056F"/>
    <w:pPr>
      <w:spacing w:line="240" w:lineRule="auto"/>
    </w:pPr>
    <w:rPr>
      <w:sz w:val="18"/>
      <w:szCs w:val="20"/>
    </w:rPr>
  </w:style>
  <w:style w:type="character" w:styleId="Refdenotaalpie">
    <w:name w:val="footnote reference"/>
    <w:aliases w:val="ftref,Footnote number,ComReg Footnote Reference,Appel note de bas de p,fr,Footnote symbol,Footnote,Nota,ABA Footnote Reference,fr 2,(NECG) Footnote Reference,Style 6,Voetnootverwijzing,Style 12,Style 124,Footnotemark,FR"/>
    <w:qFormat/>
    <w:rPr>
      <w:vertAlign w:val="superscript"/>
    </w:rPr>
  </w:style>
  <w:style w:type="paragraph" w:styleId="Encabezado">
    <w:name w:val="header"/>
    <w:basedOn w:val="Normal"/>
    <w:pPr>
      <w:tabs>
        <w:tab w:val="center" w:pos="4536"/>
        <w:tab w:val="right" w:pos="9072"/>
      </w:tabs>
      <w:spacing w:before="0"/>
      <w:jc w:val="center"/>
    </w:pPr>
    <w:rPr>
      <w:color w:val="808080"/>
    </w:rPr>
  </w:style>
  <w:style w:type="paragraph" w:styleId="Piedepgina">
    <w:name w:val="footer"/>
    <w:basedOn w:val="Normal"/>
    <w:link w:val="PiedepginaCar"/>
    <w:uiPriority w:val="99"/>
    <w:pPr>
      <w:tabs>
        <w:tab w:val="center" w:pos="4536"/>
        <w:tab w:val="right" w:pos="9072"/>
      </w:tabs>
      <w:spacing w:before="0"/>
      <w:ind w:firstLine="357"/>
      <w:jc w:val="center"/>
    </w:pPr>
    <w:rPr>
      <w:rFonts w:cs="Arial"/>
      <w:color w:val="808080"/>
    </w:rPr>
  </w:style>
  <w:style w:type="paragraph" w:styleId="Sangradetextonormal">
    <w:name w:val="Body Text Indent"/>
    <w:basedOn w:val="Normal"/>
    <w:pPr>
      <w:ind w:left="68"/>
    </w:pPr>
  </w:style>
  <w:style w:type="paragraph" w:styleId="Textoindependiente2">
    <w:name w:val="Body Text 2"/>
    <w:aliases w:val="Conclusion"/>
    <w:basedOn w:val="Normal"/>
    <w:next w:val="Normal"/>
    <w:pPr>
      <w:pBdr>
        <w:top w:val="single" w:sz="12" w:space="1" w:color="CC3300"/>
        <w:left w:val="single" w:sz="12" w:space="4" w:color="CC3300"/>
        <w:bottom w:val="single" w:sz="12" w:space="1" w:color="CC3300"/>
        <w:right w:val="single" w:sz="12" w:space="4" w:color="CC3300"/>
      </w:pBdr>
      <w:shd w:val="clear" w:color="auto" w:fill="F3F3F3"/>
    </w:pPr>
    <w:rPr>
      <w:b/>
      <w:i/>
      <w:iCs/>
      <w:shd w:val="clear" w:color="auto" w:fill="F3F3F3"/>
    </w:rPr>
  </w:style>
  <w:style w:type="paragraph" w:customStyle="1" w:styleId="Encadr">
    <w:name w:val="Encadré"/>
    <w:basedOn w:val="Normal"/>
    <w:pPr>
      <w:spacing w:before="0"/>
    </w:pPr>
  </w:style>
  <w:style w:type="paragraph" w:customStyle="1" w:styleId="Tableau">
    <w:name w:val="Tableau"/>
    <w:basedOn w:val="Normal"/>
    <w:link w:val="TableauCar1"/>
    <w:uiPriority w:val="99"/>
    <w:pPr>
      <w:spacing w:before="0" w:line="240" w:lineRule="auto"/>
    </w:pPr>
    <w:rPr>
      <w:rFonts w:cs="Arial"/>
      <w:bCs/>
      <w:szCs w:val="20"/>
    </w:rPr>
  </w:style>
  <w:style w:type="paragraph" w:styleId="Encabezadodenota">
    <w:name w:val="Note Heading"/>
    <w:basedOn w:val="Normal"/>
    <w:next w:val="Normal"/>
  </w:style>
  <w:style w:type="paragraph" w:styleId="TDC1">
    <w:name w:val="toc 1"/>
    <w:basedOn w:val="Normal"/>
    <w:next w:val="Normal"/>
    <w:autoRedefine/>
    <w:uiPriority w:val="39"/>
    <w:rsid w:val="005C54B8"/>
    <w:pPr>
      <w:spacing w:after="120" w:line="240" w:lineRule="auto"/>
      <w:jc w:val="left"/>
    </w:pPr>
    <w:rPr>
      <w:rFonts w:asciiTheme="minorHAnsi" w:hAnsiTheme="minorHAnsi" w:cstheme="minorHAnsi"/>
      <w:b/>
      <w:bCs/>
      <w:iCs/>
      <w:sz w:val="28"/>
    </w:rPr>
  </w:style>
  <w:style w:type="paragraph" w:styleId="TDC2">
    <w:name w:val="toc 2"/>
    <w:basedOn w:val="Normal"/>
    <w:next w:val="Normal"/>
    <w:autoRedefine/>
    <w:uiPriority w:val="39"/>
    <w:rsid w:val="005C54B8"/>
    <w:pPr>
      <w:jc w:val="left"/>
    </w:pPr>
    <w:rPr>
      <w:rFonts w:asciiTheme="minorHAnsi" w:hAnsiTheme="minorHAnsi" w:cstheme="minorHAnsi"/>
      <w:b/>
      <w:bCs/>
      <w:szCs w:val="22"/>
    </w:rPr>
  </w:style>
  <w:style w:type="paragraph" w:styleId="TDC3">
    <w:name w:val="toc 3"/>
    <w:basedOn w:val="Normal"/>
    <w:next w:val="Normal"/>
    <w:autoRedefine/>
    <w:uiPriority w:val="39"/>
    <w:rsid w:val="005C54B8"/>
    <w:pPr>
      <w:spacing w:before="0"/>
      <w:jc w:val="left"/>
    </w:pPr>
    <w:rPr>
      <w:rFonts w:asciiTheme="minorHAnsi" w:hAnsiTheme="minorHAnsi" w:cstheme="minorHAnsi"/>
      <w:szCs w:val="20"/>
    </w:rPr>
  </w:style>
  <w:style w:type="character" w:styleId="Hipervnculo">
    <w:name w:val="Hyperlink"/>
    <w:uiPriority w:val="99"/>
    <w:rPr>
      <w:color w:val="0000FF"/>
      <w:u w:val="single"/>
    </w:rPr>
  </w:style>
  <w:style w:type="paragraph" w:styleId="TDC4">
    <w:name w:val="toc 4"/>
    <w:basedOn w:val="Normal"/>
    <w:next w:val="Normal"/>
    <w:autoRedefine/>
    <w:uiPriority w:val="39"/>
    <w:pPr>
      <w:spacing w:before="0"/>
      <w:ind w:left="660"/>
      <w:jc w:val="left"/>
    </w:pPr>
    <w:rPr>
      <w:rFonts w:asciiTheme="minorHAnsi" w:hAnsiTheme="minorHAnsi" w:cstheme="minorHAnsi"/>
      <w:szCs w:val="20"/>
    </w:rPr>
  </w:style>
  <w:style w:type="paragraph" w:styleId="Tabladeilustraciones">
    <w:name w:val="table of figures"/>
    <w:basedOn w:val="Normal"/>
    <w:next w:val="Normal"/>
    <w:uiPriority w:val="99"/>
    <w:pPr>
      <w:spacing w:before="0"/>
      <w:ind w:left="480" w:hanging="480"/>
    </w:pPr>
  </w:style>
  <w:style w:type="paragraph" w:customStyle="1" w:styleId="Source">
    <w:name w:val="Source"/>
    <w:basedOn w:val="Normal"/>
    <w:link w:val="SourceCar"/>
    <w:qFormat/>
    <w:rsid w:val="00677102"/>
    <w:pPr>
      <w:spacing w:before="240"/>
      <w:jc w:val="right"/>
    </w:pPr>
    <w:rPr>
      <w:color w:val="808080" w:themeColor="background1" w:themeShade="80"/>
      <w:sz w:val="16"/>
      <w:lang w:val="fr-FR"/>
    </w:rPr>
  </w:style>
  <w:style w:type="character" w:styleId="Nmerodepgina">
    <w:name w:val="page number"/>
    <w:basedOn w:val="Fuentedeprrafopredeter"/>
  </w:style>
  <w:style w:type="paragraph" w:customStyle="1" w:styleId="Style2">
    <w:name w:val="Style2"/>
    <w:basedOn w:val="Listaconvietas2"/>
    <w:autoRedefine/>
    <w:pPr>
      <w:widowControl w:val="0"/>
      <w:numPr>
        <w:numId w:val="0"/>
      </w:numPr>
      <w:adjustRightInd w:val="0"/>
      <w:textAlignment w:val="baseline"/>
    </w:pPr>
  </w:style>
  <w:style w:type="paragraph" w:styleId="Listaconvietas2">
    <w:name w:val="List Bullet 2"/>
    <w:basedOn w:val="Normal"/>
    <w:uiPriority w:val="99"/>
    <w:qFormat/>
    <w:pPr>
      <w:numPr>
        <w:numId w:val="1"/>
      </w:numPr>
    </w:pPr>
  </w:style>
  <w:style w:type="table" w:styleId="Tablaconcuadrcula">
    <w:name w:val="Table Grid"/>
    <w:basedOn w:val="Tablanormal"/>
    <w:uiPriority w:val="59"/>
    <w:rsid w:val="00CC00BE"/>
    <w:pPr>
      <w:spacing w:before="240"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basedOn w:val="Textonotapie"/>
    <w:rsid w:val="00393741"/>
    <w:pPr>
      <w:spacing w:line="300" w:lineRule="auto"/>
    </w:pPr>
  </w:style>
  <w:style w:type="table" w:styleId="Tablaclsica1">
    <w:name w:val="Table Classic 1"/>
    <w:basedOn w:val="Tablanormal"/>
    <w:rsid w:val="005C28F9"/>
    <w:pPr>
      <w:spacing w:before="240" w:line="30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2">
    <w:name w:val="Table Colorful 2"/>
    <w:basedOn w:val="Tablanormal"/>
    <w:rsid w:val="005C28F9"/>
    <w:pPr>
      <w:spacing w:before="240" w:line="30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Mapadeldocumento">
    <w:name w:val="Document Map"/>
    <w:basedOn w:val="Normal"/>
    <w:semiHidden/>
    <w:rsid w:val="00F55EC9"/>
    <w:pPr>
      <w:shd w:val="clear" w:color="auto" w:fill="000080"/>
    </w:pPr>
    <w:rPr>
      <w:rFonts w:ascii="Tahoma" w:hAnsi="Tahoma" w:cs="Tahoma"/>
      <w:szCs w:val="20"/>
    </w:rPr>
  </w:style>
  <w:style w:type="paragraph" w:styleId="TDC5">
    <w:name w:val="toc 5"/>
    <w:basedOn w:val="Normal"/>
    <w:next w:val="Normal"/>
    <w:autoRedefine/>
    <w:uiPriority w:val="39"/>
    <w:unhideWhenUsed/>
    <w:rsid w:val="0065741C"/>
    <w:pPr>
      <w:spacing w:before="0"/>
      <w:ind w:left="880"/>
      <w:jc w:val="left"/>
    </w:pPr>
    <w:rPr>
      <w:rFonts w:asciiTheme="minorHAnsi" w:hAnsiTheme="minorHAnsi" w:cstheme="minorHAnsi"/>
      <w:szCs w:val="20"/>
    </w:rPr>
  </w:style>
  <w:style w:type="paragraph" w:styleId="TDC6">
    <w:name w:val="toc 6"/>
    <w:basedOn w:val="Normal"/>
    <w:next w:val="Normal"/>
    <w:autoRedefine/>
    <w:uiPriority w:val="39"/>
    <w:unhideWhenUsed/>
    <w:rsid w:val="0065741C"/>
    <w:pPr>
      <w:spacing w:before="0"/>
      <w:ind w:left="1100"/>
      <w:jc w:val="left"/>
    </w:pPr>
    <w:rPr>
      <w:rFonts w:asciiTheme="minorHAnsi" w:hAnsiTheme="minorHAnsi" w:cstheme="minorHAnsi"/>
      <w:szCs w:val="20"/>
    </w:rPr>
  </w:style>
  <w:style w:type="paragraph" w:styleId="TDC7">
    <w:name w:val="toc 7"/>
    <w:basedOn w:val="Normal"/>
    <w:next w:val="Normal"/>
    <w:autoRedefine/>
    <w:uiPriority w:val="39"/>
    <w:unhideWhenUsed/>
    <w:rsid w:val="0065741C"/>
    <w:pPr>
      <w:spacing w:before="0"/>
      <w:ind w:left="1320"/>
      <w:jc w:val="left"/>
    </w:pPr>
    <w:rPr>
      <w:rFonts w:asciiTheme="minorHAnsi" w:hAnsiTheme="minorHAnsi" w:cstheme="minorHAnsi"/>
      <w:szCs w:val="20"/>
    </w:rPr>
  </w:style>
  <w:style w:type="paragraph" w:styleId="TDC8">
    <w:name w:val="toc 8"/>
    <w:basedOn w:val="Normal"/>
    <w:next w:val="Normal"/>
    <w:autoRedefine/>
    <w:uiPriority w:val="39"/>
    <w:unhideWhenUsed/>
    <w:rsid w:val="0065741C"/>
    <w:pPr>
      <w:spacing w:before="0"/>
      <w:ind w:left="1540"/>
      <w:jc w:val="left"/>
    </w:pPr>
    <w:rPr>
      <w:rFonts w:asciiTheme="minorHAnsi" w:hAnsiTheme="minorHAnsi" w:cstheme="minorHAnsi"/>
      <w:szCs w:val="20"/>
    </w:rPr>
  </w:style>
  <w:style w:type="paragraph" w:styleId="TDC9">
    <w:name w:val="toc 9"/>
    <w:basedOn w:val="Normal"/>
    <w:next w:val="Normal"/>
    <w:autoRedefine/>
    <w:uiPriority w:val="39"/>
    <w:unhideWhenUsed/>
    <w:rsid w:val="0065741C"/>
    <w:pPr>
      <w:spacing w:before="0"/>
      <w:ind w:left="1760"/>
      <w:jc w:val="left"/>
    </w:pPr>
    <w:rPr>
      <w:rFonts w:asciiTheme="minorHAnsi" w:hAnsiTheme="minorHAnsi" w:cstheme="minorHAnsi"/>
      <w:szCs w:val="20"/>
    </w:rPr>
  </w:style>
  <w:style w:type="paragraph" w:customStyle="1" w:styleId="Encadr1">
    <w:name w:val="Encadré 1"/>
    <w:basedOn w:val="Normal"/>
    <w:link w:val="Encadr1Car"/>
    <w:qFormat/>
    <w:rsid w:val="00E54877"/>
    <w:pPr>
      <w:pBdr>
        <w:top w:val="single" w:sz="4" w:space="1" w:color="auto"/>
        <w:left w:val="single" w:sz="4" w:space="4" w:color="auto"/>
        <w:bottom w:val="single" w:sz="4" w:space="1" w:color="auto"/>
        <w:right w:val="single" w:sz="4" w:space="4" w:color="auto"/>
      </w:pBdr>
      <w:shd w:val="clear" w:color="auto" w:fill="FFFF89"/>
    </w:pPr>
    <w:rPr>
      <w:b/>
    </w:rPr>
  </w:style>
  <w:style w:type="character" w:customStyle="1" w:styleId="Encadr1Car">
    <w:name w:val="Encadré 1 Car"/>
    <w:basedOn w:val="Fuentedeprrafopredeter"/>
    <w:link w:val="Encadr1"/>
    <w:rsid w:val="00E54877"/>
    <w:rPr>
      <w:rFonts w:ascii="Arial" w:hAnsi="Arial"/>
      <w:b/>
      <w:sz w:val="22"/>
      <w:szCs w:val="24"/>
      <w:shd w:val="clear" w:color="auto" w:fill="FFFF89"/>
    </w:rPr>
  </w:style>
  <w:style w:type="paragraph" w:customStyle="1" w:styleId="Encadr2">
    <w:name w:val="Encadré 2"/>
    <w:basedOn w:val="Encadr1"/>
    <w:link w:val="Encadr2Car"/>
    <w:qFormat/>
    <w:rsid w:val="00E54877"/>
    <w:pPr>
      <w:shd w:val="clear" w:color="auto" w:fill="FF8D69"/>
    </w:pPr>
  </w:style>
  <w:style w:type="character" w:customStyle="1" w:styleId="Encadr2Car">
    <w:name w:val="Encadré 2 Car"/>
    <w:basedOn w:val="Encadr1Car"/>
    <w:link w:val="Encadr2"/>
    <w:rsid w:val="00E54877"/>
    <w:rPr>
      <w:rFonts w:ascii="Arial" w:hAnsi="Arial"/>
      <w:b/>
      <w:sz w:val="22"/>
      <w:szCs w:val="24"/>
      <w:shd w:val="clear" w:color="auto" w:fill="FF8D69"/>
    </w:rPr>
  </w:style>
  <w:style w:type="paragraph" w:customStyle="1" w:styleId="Encadr3">
    <w:name w:val="Encadré 3"/>
    <w:basedOn w:val="Encadr2"/>
    <w:link w:val="Encadr3Car"/>
    <w:qFormat/>
    <w:rsid w:val="00A776E3"/>
    <w:pPr>
      <w:shd w:val="clear" w:color="auto" w:fill="F2F2F2" w:themeFill="background1" w:themeFillShade="F2"/>
    </w:pPr>
  </w:style>
  <w:style w:type="character" w:customStyle="1" w:styleId="Encadr3Car">
    <w:name w:val="Encadré 3 Car"/>
    <w:basedOn w:val="Encadr2Car"/>
    <w:link w:val="Encadr3"/>
    <w:rsid w:val="00A776E3"/>
    <w:rPr>
      <w:rFonts w:ascii="Arial" w:hAnsi="Arial"/>
      <w:b/>
      <w:sz w:val="22"/>
      <w:szCs w:val="24"/>
      <w:shd w:val="clear" w:color="auto" w:fill="F2F2F2" w:themeFill="background1" w:themeFillShade="F2"/>
      <w:lang w:val="en-GB"/>
    </w:rPr>
  </w:style>
  <w:style w:type="character" w:customStyle="1" w:styleId="Ttulo1Car">
    <w:name w:val="Título 1 Car"/>
    <w:aliases w:val="TITRE Car,(cntl 1) Car,h1 Car,Heading A Car,Heading1 Car,H1-Heading 1 Car,1 Car,Header 1 Car,l1 Car,Legal Line 1 Car,head 1 Car,list 1 Car,II+ Car,H1 Car,Head 1 (Chapter heading) Car,Heading No. L1 Car,Heading One Car,Titre§ Car,Section Car"/>
    <w:basedOn w:val="Fuentedeprrafopredeter"/>
    <w:link w:val="Ttulo1"/>
    <w:uiPriority w:val="9"/>
    <w:rsid w:val="006A7E91"/>
    <w:rPr>
      <w:rFonts w:ascii="Arial" w:hAnsi="Arial"/>
      <w:b/>
      <w:bCs/>
      <w:color w:val="808080"/>
      <w:sz w:val="28"/>
      <w:szCs w:val="24"/>
    </w:rPr>
  </w:style>
  <w:style w:type="character" w:customStyle="1" w:styleId="Ttulo2Car">
    <w:name w:val="Título 2 Car"/>
    <w:aliases w:val="2 Car,(cntl 2) Car,h2 Car,UNDERRUBRIK 1-2 Car,Header 2 Car,l2 Car,h21 Car,h22 Car,H21 Car,h23 Car,H22 Car,Heading2 Car,list2 Car,H2-Heading 2 Car,Header2 Car,h24 Car,22 Car,heading2 Car,H23 Car,A Car,o Car,h25 Car,21 Car,Header 21 Car"/>
    <w:basedOn w:val="Fuentedeprrafopredeter"/>
    <w:link w:val="Ttulo2"/>
    <w:uiPriority w:val="9"/>
    <w:rsid w:val="006A7E91"/>
    <w:rPr>
      <w:rFonts w:ascii="Arial" w:hAnsi="Arial"/>
      <w:b/>
      <w:bCs/>
      <w:color w:val="CC3300"/>
      <w:sz w:val="24"/>
      <w:szCs w:val="24"/>
    </w:rPr>
  </w:style>
  <w:style w:type="character" w:customStyle="1" w:styleId="Ttulo3Car">
    <w:name w:val="Título 3 Car"/>
    <w:aliases w:val="H3 Car,TITRE 3 Car,h3 Car,1.2.3. Car,Underrubrik2 Car,1.1.1 Heading 3 Car,3 Car,l3 Car,CT Car,l31 Car,CT1 Car,H31 Car,Heading3 Car,H3-Heading 3 Car,l3.3 Car,l32 Car,list 3 Car,list3 Car,Heading No. L3 Car,ITT t3 Car,PA Minor Section Car"/>
    <w:basedOn w:val="Fuentedeprrafopredeter"/>
    <w:link w:val="Ttulo3"/>
    <w:uiPriority w:val="9"/>
    <w:rsid w:val="006A7E91"/>
    <w:rPr>
      <w:rFonts w:ascii="Arial" w:hAnsi="Arial"/>
      <w:b/>
      <w:bCs/>
      <w:color w:val="CC3300"/>
      <w:szCs w:val="24"/>
    </w:rPr>
  </w:style>
  <w:style w:type="character" w:customStyle="1" w:styleId="Ttulo4Car">
    <w:name w:val="Título 4 Car"/>
    <w:aliases w:val="h4 Car,4 Car,H4 Car,h4 sub sub heading Car,h41 Car,h42 Car,Para4 Car,(Alt+4) Car,H41 Car,(Alt+4)1 Car,H42 Car,(Alt+4)2 Car,H43 Car,(Alt+4)3 Car,H44 Car,(Alt+4)4 Car,H45 Car,(Alt+4)5 Car,H411 Car,(Alt+4)11 Car,H421 Car,(Alt+4)21 Car,H431 Car"/>
    <w:basedOn w:val="Fuentedeprrafopredeter"/>
    <w:link w:val="Ttulo4"/>
    <w:uiPriority w:val="9"/>
    <w:rsid w:val="00E02B02"/>
    <w:rPr>
      <w:rFonts w:ascii="Arial" w:hAnsi="Arial"/>
      <w:i/>
      <w:iCs/>
      <w:color w:val="CC3300"/>
      <w:lang w:val="en-GB"/>
    </w:rPr>
  </w:style>
  <w:style w:type="character" w:customStyle="1" w:styleId="Ttulo5Car">
    <w:name w:val="Título 5 Car"/>
    <w:aliases w:val="Considerando Car,Apartado_sub Car"/>
    <w:basedOn w:val="Fuentedeprrafopredeter"/>
    <w:link w:val="Ttulo5"/>
    <w:uiPriority w:val="9"/>
    <w:rsid w:val="00073878"/>
    <w:rPr>
      <w:rFonts w:ascii="Arial" w:hAnsi="Arial"/>
      <w:b/>
      <w:bCs/>
      <w:color w:val="CC3300"/>
      <w:lang w:val="en-IE"/>
    </w:rPr>
  </w:style>
  <w:style w:type="character" w:customStyle="1" w:styleId="Ttulo6Car">
    <w:name w:val="Título 6 Car"/>
    <w:aliases w:val="Legal Level 1. Car,L1 PIP Car,Name of Org Car,H6 Car,Bullet list Car,6 Car,Requirement Car,Figure label Car,h6 Car,l6 Car,hsm Car,cnp Car,Caption number (page-wide) Car,list 6 Car,h61 Car,Heading6 Car,L6 Car"/>
    <w:basedOn w:val="Fuentedeprrafopredeter"/>
    <w:link w:val="Ttulo6"/>
    <w:uiPriority w:val="9"/>
    <w:rsid w:val="00E54877"/>
    <w:rPr>
      <w:rFonts w:ascii="Arial" w:hAnsi="Arial"/>
      <w:b/>
      <w:bCs/>
      <w:color w:val="FFFFFF"/>
      <w:szCs w:val="24"/>
      <w:lang w:val="en-GB"/>
    </w:rPr>
  </w:style>
  <w:style w:type="character" w:customStyle="1" w:styleId="Ttulo7Car">
    <w:name w:val="Título 7 Car"/>
    <w:aliases w:val="Legal Level 1.1. Car,L2 PIP Car,H7 Car"/>
    <w:basedOn w:val="Fuentedeprrafopredeter"/>
    <w:link w:val="Ttulo7"/>
    <w:uiPriority w:val="9"/>
    <w:rsid w:val="00E54877"/>
    <w:rPr>
      <w:rFonts w:ascii="Arial" w:hAnsi="Arial"/>
      <w:bCs/>
      <w:sz w:val="16"/>
      <w:szCs w:val="24"/>
      <w:lang w:val="en-GB"/>
    </w:rPr>
  </w:style>
  <w:style w:type="character" w:customStyle="1" w:styleId="Ttulo8Car">
    <w:name w:val="Título 8 Car"/>
    <w:aliases w:val="cover doc subtitle Car,H8 Car"/>
    <w:basedOn w:val="Fuentedeprrafopredeter"/>
    <w:link w:val="Ttulo8"/>
    <w:uiPriority w:val="9"/>
    <w:rsid w:val="00E54877"/>
    <w:rPr>
      <w:rFonts w:ascii="Arial" w:hAnsi="Arial"/>
      <w:b/>
      <w:bCs/>
      <w:color w:val="CC3300"/>
      <w:szCs w:val="24"/>
      <w:lang w:val="en-GB"/>
    </w:rPr>
  </w:style>
  <w:style w:type="character" w:customStyle="1" w:styleId="Ttulo9Car">
    <w:name w:val="Título 9 Car"/>
    <w:aliases w:val="Citaciones Car"/>
    <w:basedOn w:val="Fuentedeprrafopredeter"/>
    <w:link w:val="Ttulo9"/>
    <w:uiPriority w:val="9"/>
    <w:rsid w:val="00E54877"/>
    <w:rPr>
      <w:rFonts w:ascii="Arial" w:hAnsi="Arial"/>
      <w:b/>
      <w:bCs/>
      <w:szCs w:val="24"/>
      <w:lang w:val="en-GB"/>
    </w:rPr>
  </w:style>
  <w:style w:type="paragraph" w:styleId="Prrafodelista">
    <w:name w:val="List Paragraph"/>
    <w:aliases w:val="Puce focus,Contact,texte de base,Normal bullet 2,List Paragraph1,Numbered List,1st level - Bullet List Paragraph,Lettre d'introduction,List Paragraph11,Normal bullet 21,List Paragraph111,Bullet list1,Paragraphe"/>
    <w:basedOn w:val="Normal"/>
    <w:link w:val="PrrafodelistaCar"/>
    <w:uiPriority w:val="34"/>
    <w:qFormat/>
    <w:rsid w:val="00E54877"/>
    <w:pPr>
      <w:ind w:left="720"/>
      <w:contextualSpacing/>
    </w:pPr>
  </w:style>
  <w:style w:type="character" w:customStyle="1" w:styleId="SourceCar">
    <w:name w:val="Source Car"/>
    <w:basedOn w:val="Fuentedeprrafopredeter"/>
    <w:link w:val="Source"/>
    <w:rsid w:val="00677102"/>
    <w:rPr>
      <w:rFonts w:ascii="Arial" w:hAnsi="Arial"/>
      <w:color w:val="808080" w:themeColor="background1" w:themeShade="80"/>
      <w:sz w:val="16"/>
      <w:szCs w:val="24"/>
    </w:rPr>
  </w:style>
  <w:style w:type="paragraph" w:styleId="Textodeglobo">
    <w:name w:val="Balloon Text"/>
    <w:basedOn w:val="Normal"/>
    <w:link w:val="TextodegloboCar"/>
    <w:uiPriority w:val="99"/>
    <w:semiHidden/>
    <w:unhideWhenUsed/>
    <w:rsid w:val="00E54877"/>
    <w:pPr>
      <w:spacing w:before="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4877"/>
    <w:rPr>
      <w:rFonts w:ascii="Tahoma" w:hAnsi="Tahoma" w:cs="Tahoma"/>
      <w:sz w:val="16"/>
      <w:szCs w:val="16"/>
    </w:rPr>
  </w:style>
  <w:style w:type="paragraph" w:customStyle="1" w:styleId="Puce">
    <w:name w:val="Puce"/>
    <w:basedOn w:val="Normal"/>
    <w:rsid w:val="005066FC"/>
    <w:pPr>
      <w:numPr>
        <w:numId w:val="4"/>
      </w:numPr>
      <w:overflowPunct w:val="0"/>
      <w:autoSpaceDE w:val="0"/>
      <w:autoSpaceDN w:val="0"/>
      <w:adjustRightInd w:val="0"/>
      <w:spacing w:line="360" w:lineRule="auto"/>
      <w:textAlignment w:val="baseline"/>
    </w:pPr>
    <w:rPr>
      <w:rFonts w:cs="Arial"/>
      <w:szCs w:val="20"/>
      <w:lang w:val="fr-FR" w:eastAsia="zh-CN"/>
    </w:rPr>
  </w:style>
  <w:style w:type="character" w:customStyle="1" w:styleId="TableauCar1">
    <w:name w:val="Tableau Car1"/>
    <w:link w:val="Tableau"/>
    <w:uiPriority w:val="99"/>
    <w:rsid w:val="005066FC"/>
    <w:rPr>
      <w:rFonts w:ascii="Arial" w:hAnsi="Arial" w:cs="Arial"/>
      <w:bCs/>
      <w:lang w:val="en-GB"/>
    </w:rPr>
  </w:style>
  <w:style w:type="character" w:customStyle="1" w:styleId="DescripcinCar">
    <w:name w:val="Descripción Car"/>
    <w:aliases w:val="Caption (ALL) Car,Caption (all) Car,Inscription Car,Beschriftung Char Char Char Car,Beschriftung Char Car,Caption2 Car,figura Car,figura1 Car,figura2 Car,ITT d Car,Table Title Car,Caption - Centre Graphic Car,cp + Justified Car,5 cm Car"/>
    <w:link w:val="Descripcin"/>
    <w:locked/>
    <w:rsid w:val="005066FC"/>
    <w:rPr>
      <w:rFonts w:ascii="Arial" w:hAnsi="Arial"/>
      <w:b/>
      <w:bCs/>
      <w:color w:val="CC3300"/>
      <w:lang w:val="en-GB"/>
    </w:rPr>
  </w:style>
  <w:style w:type="character" w:customStyle="1" w:styleId="TextonotapieCar">
    <w:name w:val="Texto nota pie Car"/>
    <w:aliases w:val="Note de bas de page Car Car,ALTS FOOTNOTE Car,Footnote text Car,Footnote Text Char Char Char Car,Footnote Text Char Char Char Char Char Char Char Car,Footnote Text Char Char Char Char Char Char Char Char Char Car"/>
    <w:link w:val="Textonotapie"/>
    <w:locked/>
    <w:rsid w:val="005066FC"/>
    <w:rPr>
      <w:rFonts w:ascii="Arial" w:hAnsi="Arial"/>
      <w:sz w:val="18"/>
      <w:lang w:val="en-GB"/>
    </w:rPr>
  </w:style>
  <w:style w:type="paragraph" w:styleId="NormalWeb">
    <w:name w:val="Normal (Web)"/>
    <w:basedOn w:val="Normal"/>
    <w:uiPriority w:val="99"/>
    <w:semiHidden/>
    <w:unhideWhenUsed/>
    <w:rsid w:val="004467AC"/>
    <w:rPr>
      <w:rFonts w:ascii="Times New Roman" w:hAnsi="Times New Roman"/>
      <w:sz w:val="24"/>
    </w:rPr>
  </w:style>
  <w:style w:type="character" w:styleId="Refdecomentario">
    <w:name w:val="annotation reference"/>
    <w:basedOn w:val="Fuentedeprrafopredeter"/>
    <w:uiPriority w:val="99"/>
    <w:semiHidden/>
    <w:unhideWhenUsed/>
    <w:rsid w:val="00AE4E56"/>
    <w:rPr>
      <w:sz w:val="16"/>
      <w:szCs w:val="16"/>
    </w:rPr>
  </w:style>
  <w:style w:type="paragraph" w:styleId="Textocomentario">
    <w:name w:val="annotation text"/>
    <w:basedOn w:val="Normal"/>
    <w:link w:val="TextocomentarioCar"/>
    <w:uiPriority w:val="99"/>
    <w:semiHidden/>
    <w:unhideWhenUsed/>
    <w:rsid w:val="00AE4E56"/>
    <w:pPr>
      <w:spacing w:line="240" w:lineRule="auto"/>
    </w:pPr>
    <w:rPr>
      <w:szCs w:val="20"/>
    </w:rPr>
  </w:style>
  <w:style w:type="character" w:customStyle="1" w:styleId="TextocomentarioCar">
    <w:name w:val="Texto comentario Car"/>
    <w:basedOn w:val="Fuentedeprrafopredeter"/>
    <w:link w:val="Textocomentario"/>
    <w:uiPriority w:val="99"/>
    <w:semiHidden/>
    <w:rsid w:val="00AE4E56"/>
    <w:rPr>
      <w:rFonts w:ascii="Arial" w:hAnsi="Arial"/>
      <w:lang w:val="en-GB"/>
    </w:rPr>
  </w:style>
  <w:style w:type="paragraph" w:styleId="Asuntodelcomentario">
    <w:name w:val="annotation subject"/>
    <w:basedOn w:val="Textocomentario"/>
    <w:next w:val="Textocomentario"/>
    <w:link w:val="AsuntodelcomentarioCar"/>
    <w:uiPriority w:val="99"/>
    <w:semiHidden/>
    <w:unhideWhenUsed/>
    <w:rsid w:val="00AE4E56"/>
    <w:rPr>
      <w:b/>
      <w:bCs/>
    </w:rPr>
  </w:style>
  <w:style w:type="character" w:customStyle="1" w:styleId="AsuntodelcomentarioCar">
    <w:name w:val="Asunto del comentario Car"/>
    <w:basedOn w:val="TextocomentarioCar"/>
    <w:link w:val="Asuntodelcomentario"/>
    <w:uiPriority w:val="99"/>
    <w:semiHidden/>
    <w:rsid w:val="00AE4E56"/>
    <w:rPr>
      <w:rFonts w:ascii="Arial" w:hAnsi="Arial"/>
      <w:b/>
      <w:bCs/>
      <w:lang w:val="en-GB"/>
    </w:rPr>
  </w:style>
  <w:style w:type="paragraph" w:customStyle="1" w:styleId="Lsiet">
    <w:name w:val="Lsiet"/>
    <w:basedOn w:val="Prrafodelista"/>
    <w:qFormat/>
    <w:rsid w:val="00767AD2"/>
    <w:pPr>
      <w:numPr>
        <w:numId w:val="5"/>
      </w:numPr>
    </w:pPr>
    <w:rPr>
      <w:lang w:val="fr-FR"/>
    </w:rPr>
  </w:style>
  <w:style w:type="table" w:customStyle="1" w:styleId="myTable">
    <w:name w:val="myTable"/>
    <w:uiPriority w:val="99"/>
    <w:rsid w:val="00E3019C"/>
    <w:pPr>
      <w:spacing w:after="200" w:line="276" w:lineRule="auto"/>
    </w:pPr>
    <w:rPr>
      <w:rFonts w:ascii="Arial" w:eastAsia="Arial" w:hAnsi="Arial" w:cs="Arial"/>
      <w:sz w:val="22"/>
      <w:szCs w:val="22"/>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CellMar>
        <w:top w:w="50" w:type="dxa"/>
        <w:left w:w="50" w:type="dxa"/>
        <w:bottom w:w="0" w:type="dxa"/>
        <w:right w:w="50" w:type="dxa"/>
      </w:tblCellMar>
    </w:tblPr>
    <w:tblStylePr w:type="firstRow">
      <w:tblPr/>
      <w:tcPr>
        <w:shd w:val="clear" w:color="auto" w:fill="CC3300"/>
      </w:tcPr>
    </w:tblStylePr>
  </w:style>
  <w:style w:type="paragraph" w:customStyle="1" w:styleId="normaltableau">
    <w:name w:val="normal_tableau"/>
    <w:basedOn w:val="Normal"/>
    <w:rsid w:val="00002EE5"/>
    <w:pPr>
      <w:spacing w:after="120" w:line="240" w:lineRule="auto"/>
    </w:pPr>
    <w:rPr>
      <w:rFonts w:ascii="Optima" w:hAnsi="Optima"/>
      <w:sz w:val="22"/>
      <w:szCs w:val="20"/>
      <w:lang w:eastAsia="en-GB"/>
    </w:rPr>
  </w:style>
  <w:style w:type="paragraph" w:customStyle="1" w:styleId="CVNormal">
    <w:name w:val="CV Normal"/>
    <w:basedOn w:val="Normal"/>
    <w:rsid w:val="00002EE5"/>
    <w:pPr>
      <w:suppressAutoHyphens/>
      <w:spacing w:before="0" w:line="240" w:lineRule="auto"/>
      <w:ind w:left="113" w:right="113"/>
      <w:jc w:val="left"/>
    </w:pPr>
    <w:rPr>
      <w:rFonts w:ascii="Arial Narrow" w:hAnsi="Arial Narrow"/>
      <w:szCs w:val="20"/>
      <w:lang w:val="fr-FR" w:eastAsia="ar-SA"/>
    </w:rPr>
  </w:style>
  <w:style w:type="paragraph" w:styleId="TtuloTDC">
    <w:name w:val="TOC Heading"/>
    <w:basedOn w:val="Ttulo1"/>
    <w:next w:val="Normal"/>
    <w:uiPriority w:val="39"/>
    <w:semiHidden/>
    <w:unhideWhenUsed/>
    <w:qFormat/>
    <w:rsid w:val="00981224"/>
    <w:pPr>
      <w:keepLines/>
      <w:numPr>
        <w:numId w:val="0"/>
      </w:numPr>
      <w:spacing w:before="480" w:after="0" w:line="276" w:lineRule="auto"/>
      <w:jc w:val="left"/>
      <w:outlineLvl w:val="9"/>
    </w:pPr>
    <w:rPr>
      <w:rFonts w:asciiTheme="majorHAnsi" w:eastAsiaTheme="majorEastAsia" w:hAnsiTheme="majorHAnsi" w:cstheme="majorBidi"/>
      <w:color w:val="42558C" w:themeColor="accent1" w:themeShade="BF"/>
      <w:szCs w:val="28"/>
    </w:rPr>
  </w:style>
  <w:style w:type="paragraph" w:styleId="Revisin">
    <w:name w:val="Revision"/>
    <w:hidden/>
    <w:uiPriority w:val="99"/>
    <w:semiHidden/>
    <w:rsid w:val="004A3E14"/>
    <w:rPr>
      <w:rFonts w:ascii="Arial" w:hAnsi="Arial"/>
      <w:szCs w:val="24"/>
      <w:lang w:val="en-GB"/>
    </w:rPr>
  </w:style>
  <w:style w:type="character" w:customStyle="1" w:styleId="gd">
    <w:name w:val="gd"/>
    <w:basedOn w:val="Fuentedeprrafopredeter"/>
    <w:rsid w:val="00C66AE5"/>
  </w:style>
  <w:style w:type="character" w:customStyle="1" w:styleId="PrrafodelistaCar">
    <w:name w:val="Párrafo de lista Car"/>
    <w:aliases w:val="Puce focus Car,Contact Car,texte de base Car,Normal bullet 2 Car,List Paragraph1 Car,Numbered List Car,1st level - Bullet List Paragraph Car,Lettre d'introduction Car,List Paragraph11 Car,Normal bullet 21 Car,List Paragraph111 Car"/>
    <w:basedOn w:val="Fuentedeprrafopredeter"/>
    <w:link w:val="Prrafodelista"/>
    <w:uiPriority w:val="34"/>
    <w:locked/>
    <w:rsid w:val="001E186C"/>
    <w:rPr>
      <w:rFonts w:ascii="Arial" w:hAnsi="Arial"/>
      <w:szCs w:val="24"/>
      <w:lang w:val="en-GB"/>
    </w:rPr>
  </w:style>
  <w:style w:type="numbering" w:customStyle="1" w:styleId="StylePuce">
    <w:name w:val="Style Puce"/>
    <w:rsid w:val="001E186C"/>
    <w:pPr>
      <w:numPr>
        <w:numId w:val="6"/>
      </w:numPr>
    </w:pPr>
  </w:style>
  <w:style w:type="character" w:styleId="Textodelmarcadordeposicin">
    <w:name w:val="Placeholder Text"/>
    <w:basedOn w:val="Fuentedeprrafopredeter"/>
    <w:uiPriority w:val="99"/>
    <w:semiHidden/>
    <w:rsid w:val="00986A11"/>
    <w:rPr>
      <w:color w:val="808080"/>
    </w:rPr>
  </w:style>
  <w:style w:type="character" w:customStyle="1" w:styleId="st">
    <w:name w:val="st"/>
    <w:basedOn w:val="Fuentedeprrafopredeter"/>
    <w:rsid w:val="000D30F8"/>
    <w:rPr>
      <w:rFonts w:cs="Times New Roman"/>
    </w:rPr>
  </w:style>
  <w:style w:type="table" w:styleId="Tabladecuadrcula4-nfasis1">
    <w:name w:val="Grid Table 4 Accent 1"/>
    <w:basedOn w:val="Tablanormal"/>
    <w:uiPriority w:val="49"/>
    <w:rsid w:val="00867CFE"/>
    <w:tblPr>
      <w:tblStyleRowBandSize w:val="1"/>
      <w:tblStyleColBandSize w:val="1"/>
      <w:tblBorders>
        <w:top w:val="single" w:sz="4" w:space="0" w:color="9FACD2" w:themeColor="accent1" w:themeTint="99"/>
        <w:left w:val="single" w:sz="4" w:space="0" w:color="9FACD2" w:themeColor="accent1" w:themeTint="99"/>
        <w:bottom w:val="single" w:sz="4" w:space="0" w:color="9FACD2" w:themeColor="accent1" w:themeTint="99"/>
        <w:right w:val="single" w:sz="4" w:space="0" w:color="9FACD2" w:themeColor="accent1" w:themeTint="99"/>
        <w:insideH w:val="single" w:sz="4" w:space="0" w:color="9FACD2" w:themeColor="accent1" w:themeTint="99"/>
        <w:insideV w:val="single" w:sz="4" w:space="0" w:color="9FACD2" w:themeColor="accent1" w:themeTint="99"/>
      </w:tblBorders>
    </w:tblPr>
    <w:tblStylePr w:type="firstRow">
      <w:rPr>
        <w:b/>
        <w:bCs/>
        <w:color w:val="FFFFFF" w:themeColor="background1"/>
      </w:rPr>
      <w:tblPr/>
      <w:tcPr>
        <w:tcBorders>
          <w:top w:val="single" w:sz="4" w:space="0" w:color="6076B4" w:themeColor="accent1"/>
          <w:left w:val="single" w:sz="4" w:space="0" w:color="6076B4" w:themeColor="accent1"/>
          <w:bottom w:val="single" w:sz="4" w:space="0" w:color="6076B4" w:themeColor="accent1"/>
          <w:right w:val="single" w:sz="4" w:space="0" w:color="6076B4" w:themeColor="accent1"/>
          <w:insideH w:val="nil"/>
          <w:insideV w:val="nil"/>
        </w:tcBorders>
        <w:shd w:val="clear" w:color="auto" w:fill="6076B4" w:themeFill="accent1"/>
      </w:tcPr>
    </w:tblStylePr>
    <w:tblStylePr w:type="lastRow">
      <w:rPr>
        <w:b/>
        <w:bCs/>
      </w:rPr>
      <w:tblPr/>
      <w:tcPr>
        <w:tcBorders>
          <w:top w:val="double" w:sz="4" w:space="0" w:color="6076B4" w:themeColor="accent1"/>
        </w:tcBorders>
      </w:tcPr>
    </w:tblStylePr>
    <w:tblStylePr w:type="firstCol">
      <w:rPr>
        <w:b/>
        <w:bCs/>
      </w:rPr>
    </w:tblStylePr>
    <w:tblStylePr w:type="lastCol">
      <w:rPr>
        <w:b/>
        <w:bCs/>
      </w:rPr>
    </w:tblStylePr>
    <w:tblStylePr w:type="band1Vert">
      <w:tblPr/>
      <w:tcPr>
        <w:shd w:val="clear" w:color="auto" w:fill="DFE3F0" w:themeFill="accent1" w:themeFillTint="33"/>
      </w:tcPr>
    </w:tblStylePr>
    <w:tblStylePr w:type="band1Horz">
      <w:tblPr/>
      <w:tcPr>
        <w:shd w:val="clear" w:color="auto" w:fill="DFE3F0" w:themeFill="accent1" w:themeFillTint="33"/>
      </w:tcPr>
    </w:tblStylePr>
  </w:style>
  <w:style w:type="character" w:customStyle="1" w:styleId="UnresolvedMention">
    <w:name w:val="Unresolved Mention"/>
    <w:basedOn w:val="Fuentedeprrafopredeter"/>
    <w:uiPriority w:val="99"/>
    <w:semiHidden/>
    <w:unhideWhenUsed/>
    <w:rsid w:val="00726530"/>
    <w:rPr>
      <w:color w:val="605E5C"/>
      <w:shd w:val="clear" w:color="auto" w:fill="E1DFDD"/>
    </w:rPr>
  </w:style>
  <w:style w:type="paragraph" w:customStyle="1" w:styleId="Default">
    <w:name w:val="Default"/>
    <w:rsid w:val="00CA4D43"/>
    <w:pPr>
      <w:autoSpaceDE w:val="0"/>
      <w:autoSpaceDN w:val="0"/>
      <w:adjustRightInd w:val="0"/>
    </w:pPr>
    <w:rPr>
      <w:rFonts w:ascii="Arial" w:hAnsi="Arial" w:cs="Arial"/>
      <w:color w:val="000000"/>
      <w:sz w:val="24"/>
      <w:szCs w:val="24"/>
    </w:rPr>
  </w:style>
  <w:style w:type="character" w:customStyle="1" w:styleId="css-nowrap">
    <w:name w:val="css-nowrap"/>
    <w:basedOn w:val="Fuentedeprrafopredeter"/>
    <w:rsid w:val="00CE72B9"/>
  </w:style>
  <w:style w:type="character" w:customStyle="1" w:styleId="FootnoteTextCharCharCharCar1">
    <w:name w:val="Footnote Text Char Char Char Car1"/>
    <w:aliases w:val="Footnote Text Char Char Char Char Char Char Char Car1,Footnote Text Char Char Char Char Char Char Char Char Char Car1,Footnote Text Char Char Char Char Char Car1,Footnote Text2 Char Char Car"/>
    <w:uiPriority w:val="99"/>
    <w:locked/>
    <w:rsid w:val="00A04AD9"/>
    <w:rPr>
      <w:rFonts w:ascii="Arial" w:hAnsi="Arial"/>
      <w:sz w:val="18"/>
    </w:rPr>
  </w:style>
  <w:style w:type="paragraph" w:customStyle="1" w:styleId="NombreConcesionario">
    <w:name w:val="NombreConcesionario"/>
    <w:basedOn w:val="Ttulo1"/>
    <w:link w:val="NombreConcesionarioCar"/>
    <w:qFormat/>
    <w:rsid w:val="00263A4F"/>
    <w:pPr>
      <w:keepNext w:val="0"/>
      <w:tabs>
        <w:tab w:val="clear" w:pos="573"/>
      </w:tabs>
      <w:spacing w:before="0" w:after="200" w:line="276" w:lineRule="auto"/>
      <w:ind w:left="432" w:hanging="432"/>
    </w:pPr>
    <w:rPr>
      <w:rFonts w:ascii="ITC Avant Garde" w:eastAsia="Calibri" w:hAnsi="ITC Avant Garde" w:cs="Arial"/>
      <w:bCs w:val="0"/>
      <w:color w:val="000000"/>
      <w:sz w:val="22"/>
      <w:szCs w:val="22"/>
      <w:lang w:val="es-ES" w:eastAsia="es-ES"/>
    </w:rPr>
  </w:style>
  <w:style w:type="character" w:customStyle="1" w:styleId="NombreConcesionarioCar">
    <w:name w:val="NombreConcesionario Car"/>
    <w:link w:val="NombreConcesionario"/>
    <w:rsid w:val="00263A4F"/>
    <w:rPr>
      <w:rFonts w:ascii="ITC Avant Garde" w:eastAsia="Calibri" w:hAnsi="ITC Avant Garde" w:cs="Arial"/>
      <w:b/>
      <w:color w:val="000000"/>
      <w:sz w:val="22"/>
      <w:szCs w:val="22"/>
      <w:lang w:val="es-ES" w:eastAsia="es-ES"/>
    </w:rPr>
  </w:style>
  <w:style w:type="paragraph" w:styleId="Sinespaciado">
    <w:name w:val="No Spacing"/>
    <w:link w:val="SinespaciadoCar"/>
    <w:uiPriority w:val="1"/>
    <w:qFormat/>
    <w:rsid w:val="00263A4F"/>
    <w:rPr>
      <w:rFonts w:ascii="Calibri" w:eastAsia="Calibri" w:hAnsi="Calibri"/>
      <w:sz w:val="22"/>
      <w:szCs w:val="22"/>
      <w:lang w:val="es-MX" w:eastAsia="en-US"/>
    </w:rPr>
  </w:style>
  <w:style w:type="character" w:customStyle="1" w:styleId="SinespaciadoCar">
    <w:name w:val="Sin espaciado Car"/>
    <w:basedOn w:val="Fuentedeprrafopredeter"/>
    <w:link w:val="Sinespaciado"/>
    <w:uiPriority w:val="1"/>
    <w:rsid w:val="00263A4F"/>
    <w:rPr>
      <w:rFonts w:ascii="Calibri" w:eastAsia="Calibri" w:hAnsi="Calibri"/>
      <w:sz w:val="22"/>
      <w:szCs w:val="22"/>
      <w:lang w:val="es-MX" w:eastAsia="en-US"/>
    </w:rPr>
  </w:style>
  <w:style w:type="character" w:styleId="Hipervnculovisitado">
    <w:name w:val="FollowedHyperlink"/>
    <w:basedOn w:val="Fuentedeprrafopredeter"/>
    <w:uiPriority w:val="99"/>
    <w:semiHidden/>
    <w:unhideWhenUsed/>
    <w:rsid w:val="00F906F3"/>
    <w:rPr>
      <w:color w:val="B2B2B2" w:themeColor="followedHyperlink"/>
      <w:u w:val="single"/>
    </w:rPr>
  </w:style>
  <w:style w:type="character" w:customStyle="1" w:styleId="PiedepginaCar">
    <w:name w:val="Pie de página Car"/>
    <w:basedOn w:val="Fuentedeprrafopredeter"/>
    <w:link w:val="Piedepgina"/>
    <w:uiPriority w:val="99"/>
    <w:rsid w:val="0061735A"/>
    <w:rPr>
      <w:rFonts w:ascii="Arial" w:hAnsi="Arial" w:cs="Arial"/>
      <w:color w:val="80808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5088">
      <w:bodyDiv w:val="1"/>
      <w:marLeft w:val="0"/>
      <w:marRight w:val="0"/>
      <w:marTop w:val="0"/>
      <w:marBottom w:val="0"/>
      <w:divBdr>
        <w:top w:val="none" w:sz="0" w:space="0" w:color="auto"/>
        <w:left w:val="none" w:sz="0" w:space="0" w:color="auto"/>
        <w:bottom w:val="none" w:sz="0" w:space="0" w:color="auto"/>
        <w:right w:val="none" w:sz="0" w:space="0" w:color="auto"/>
      </w:divBdr>
      <w:divsChild>
        <w:div w:id="1452557166">
          <w:marLeft w:val="274"/>
          <w:marRight w:val="0"/>
          <w:marTop w:val="38"/>
          <w:marBottom w:val="0"/>
          <w:divBdr>
            <w:top w:val="none" w:sz="0" w:space="0" w:color="auto"/>
            <w:left w:val="none" w:sz="0" w:space="0" w:color="auto"/>
            <w:bottom w:val="none" w:sz="0" w:space="0" w:color="auto"/>
            <w:right w:val="none" w:sz="0" w:space="0" w:color="auto"/>
          </w:divBdr>
        </w:div>
      </w:divsChild>
    </w:div>
    <w:div w:id="24335208">
      <w:bodyDiv w:val="1"/>
      <w:marLeft w:val="0"/>
      <w:marRight w:val="0"/>
      <w:marTop w:val="0"/>
      <w:marBottom w:val="0"/>
      <w:divBdr>
        <w:top w:val="none" w:sz="0" w:space="0" w:color="auto"/>
        <w:left w:val="none" w:sz="0" w:space="0" w:color="auto"/>
        <w:bottom w:val="none" w:sz="0" w:space="0" w:color="auto"/>
        <w:right w:val="none" w:sz="0" w:space="0" w:color="auto"/>
      </w:divBdr>
      <w:divsChild>
        <w:div w:id="1292515872">
          <w:marLeft w:val="274"/>
          <w:marRight w:val="0"/>
          <w:marTop w:val="38"/>
          <w:marBottom w:val="0"/>
          <w:divBdr>
            <w:top w:val="none" w:sz="0" w:space="0" w:color="auto"/>
            <w:left w:val="none" w:sz="0" w:space="0" w:color="auto"/>
            <w:bottom w:val="none" w:sz="0" w:space="0" w:color="auto"/>
            <w:right w:val="none" w:sz="0" w:space="0" w:color="auto"/>
          </w:divBdr>
        </w:div>
      </w:divsChild>
    </w:div>
    <w:div w:id="28920940">
      <w:bodyDiv w:val="1"/>
      <w:marLeft w:val="0"/>
      <w:marRight w:val="0"/>
      <w:marTop w:val="0"/>
      <w:marBottom w:val="0"/>
      <w:divBdr>
        <w:top w:val="none" w:sz="0" w:space="0" w:color="auto"/>
        <w:left w:val="none" w:sz="0" w:space="0" w:color="auto"/>
        <w:bottom w:val="none" w:sz="0" w:space="0" w:color="auto"/>
        <w:right w:val="none" w:sz="0" w:space="0" w:color="auto"/>
      </w:divBdr>
      <w:divsChild>
        <w:div w:id="854005031">
          <w:marLeft w:val="274"/>
          <w:marRight w:val="0"/>
          <w:marTop w:val="38"/>
          <w:marBottom w:val="0"/>
          <w:divBdr>
            <w:top w:val="none" w:sz="0" w:space="0" w:color="auto"/>
            <w:left w:val="none" w:sz="0" w:space="0" w:color="auto"/>
            <w:bottom w:val="none" w:sz="0" w:space="0" w:color="auto"/>
            <w:right w:val="none" w:sz="0" w:space="0" w:color="auto"/>
          </w:divBdr>
        </w:div>
      </w:divsChild>
    </w:div>
    <w:div w:id="50151999">
      <w:bodyDiv w:val="1"/>
      <w:marLeft w:val="0"/>
      <w:marRight w:val="0"/>
      <w:marTop w:val="0"/>
      <w:marBottom w:val="0"/>
      <w:divBdr>
        <w:top w:val="none" w:sz="0" w:space="0" w:color="auto"/>
        <w:left w:val="none" w:sz="0" w:space="0" w:color="auto"/>
        <w:bottom w:val="none" w:sz="0" w:space="0" w:color="auto"/>
        <w:right w:val="none" w:sz="0" w:space="0" w:color="auto"/>
      </w:divBdr>
      <w:divsChild>
        <w:div w:id="1453596004">
          <w:marLeft w:val="274"/>
          <w:marRight w:val="0"/>
          <w:marTop w:val="38"/>
          <w:marBottom w:val="0"/>
          <w:divBdr>
            <w:top w:val="none" w:sz="0" w:space="0" w:color="auto"/>
            <w:left w:val="none" w:sz="0" w:space="0" w:color="auto"/>
            <w:bottom w:val="none" w:sz="0" w:space="0" w:color="auto"/>
            <w:right w:val="none" w:sz="0" w:space="0" w:color="auto"/>
          </w:divBdr>
        </w:div>
      </w:divsChild>
    </w:div>
    <w:div w:id="50201520">
      <w:bodyDiv w:val="1"/>
      <w:marLeft w:val="0"/>
      <w:marRight w:val="0"/>
      <w:marTop w:val="0"/>
      <w:marBottom w:val="0"/>
      <w:divBdr>
        <w:top w:val="none" w:sz="0" w:space="0" w:color="auto"/>
        <w:left w:val="none" w:sz="0" w:space="0" w:color="auto"/>
        <w:bottom w:val="none" w:sz="0" w:space="0" w:color="auto"/>
        <w:right w:val="none" w:sz="0" w:space="0" w:color="auto"/>
      </w:divBdr>
    </w:div>
    <w:div w:id="62022381">
      <w:bodyDiv w:val="1"/>
      <w:marLeft w:val="0"/>
      <w:marRight w:val="0"/>
      <w:marTop w:val="0"/>
      <w:marBottom w:val="0"/>
      <w:divBdr>
        <w:top w:val="none" w:sz="0" w:space="0" w:color="auto"/>
        <w:left w:val="none" w:sz="0" w:space="0" w:color="auto"/>
        <w:bottom w:val="none" w:sz="0" w:space="0" w:color="auto"/>
        <w:right w:val="none" w:sz="0" w:space="0" w:color="auto"/>
      </w:divBdr>
      <w:divsChild>
        <w:div w:id="627011795">
          <w:marLeft w:val="274"/>
          <w:marRight w:val="0"/>
          <w:marTop w:val="38"/>
          <w:marBottom w:val="0"/>
          <w:divBdr>
            <w:top w:val="none" w:sz="0" w:space="0" w:color="auto"/>
            <w:left w:val="none" w:sz="0" w:space="0" w:color="auto"/>
            <w:bottom w:val="none" w:sz="0" w:space="0" w:color="auto"/>
            <w:right w:val="none" w:sz="0" w:space="0" w:color="auto"/>
          </w:divBdr>
        </w:div>
      </w:divsChild>
    </w:div>
    <w:div w:id="65957626">
      <w:bodyDiv w:val="1"/>
      <w:marLeft w:val="0"/>
      <w:marRight w:val="0"/>
      <w:marTop w:val="0"/>
      <w:marBottom w:val="0"/>
      <w:divBdr>
        <w:top w:val="none" w:sz="0" w:space="0" w:color="auto"/>
        <w:left w:val="none" w:sz="0" w:space="0" w:color="auto"/>
        <w:bottom w:val="none" w:sz="0" w:space="0" w:color="auto"/>
        <w:right w:val="none" w:sz="0" w:space="0" w:color="auto"/>
      </w:divBdr>
    </w:div>
    <w:div w:id="81534307">
      <w:bodyDiv w:val="1"/>
      <w:marLeft w:val="0"/>
      <w:marRight w:val="0"/>
      <w:marTop w:val="0"/>
      <w:marBottom w:val="0"/>
      <w:divBdr>
        <w:top w:val="none" w:sz="0" w:space="0" w:color="auto"/>
        <w:left w:val="none" w:sz="0" w:space="0" w:color="auto"/>
        <w:bottom w:val="none" w:sz="0" w:space="0" w:color="auto"/>
        <w:right w:val="none" w:sz="0" w:space="0" w:color="auto"/>
      </w:divBdr>
    </w:div>
    <w:div w:id="82190520">
      <w:bodyDiv w:val="1"/>
      <w:marLeft w:val="0"/>
      <w:marRight w:val="0"/>
      <w:marTop w:val="0"/>
      <w:marBottom w:val="0"/>
      <w:divBdr>
        <w:top w:val="none" w:sz="0" w:space="0" w:color="auto"/>
        <w:left w:val="none" w:sz="0" w:space="0" w:color="auto"/>
        <w:bottom w:val="none" w:sz="0" w:space="0" w:color="auto"/>
        <w:right w:val="none" w:sz="0" w:space="0" w:color="auto"/>
      </w:divBdr>
      <w:divsChild>
        <w:div w:id="1217005922">
          <w:marLeft w:val="274"/>
          <w:marRight w:val="0"/>
          <w:marTop w:val="38"/>
          <w:marBottom w:val="0"/>
          <w:divBdr>
            <w:top w:val="none" w:sz="0" w:space="0" w:color="auto"/>
            <w:left w:val="none" w:sz="0" w:space="0" w:color="auto"/>
            <w:bottom w:val="none" w:sz="0" w:space="0" w:color="auto"/>
            <w:right w:val="none" w:sz="0" w:space="0" w:color="auto"/>
          </w:divBdr>
        </w:div>
      </w:divsChild>
    </w:div>
    <w:div w:id="100616490">
      <w:bodyDiv w:val="1"/>
      <w:marLeft w:val="0"/>
      <w:marRight w:val="0"/>
      <w:marTop w:val="0"/>
      <w:marBottom w:val="0"/>
      <w:divBdr>
        <w:top w:val="none" w:sz="0" w:space="0" w:color="auto"/>
        <w:left w:val="none" w:sz="0" w:space="0" w:color="auto"/>
        <w:bottom w:val="none" w:sz="0" w:space="0" w:color="auto"/>
        <w:right w:val="none" w:sz="0" w:space="0" w:color="auto"/>
      </w:divBdr>
    </w:div>
    <w:div w:id="108548823">
      <w:bodyDiv w:val="1"/>
      <w:marLeft w:val="0"/>
      <w:marRight w:val="0"/>
      <w:marTop w:val="0"/>
      <w:marBottom w:val="0"/>
      <w:divBdr>
        <w:top w:val="none" w:sz="0" w:space="0" w:color="auto"/>
        <w:left w:val="none" w:sz="0" w:space="0" w:color="auto"/>
        <w:bottom w:val="none" w:sz="0" w:space="0" w:color="auto"/>
        <w:right w:val="none" w:sz="0" w:space="0" w:color="auto"/>
      </w:divBdr>
    </w:div>
    <w:div w:id="112479911">
      <w:bodyDiv w:val="1"/>
      <w:marLeft w:val="0"/>
      <w:marRight w:val="0"/>
      <w:marTop w:val="0"/>
      <w:marBottom w:val="0"/>
      <w:divBdr>
        <w:top w:val="none" w:sz="0" w:space="0" w:color="auto"/>
        <w:left w:val="none" w:sz="0" w:space="0" w:color="auto"/>
        <w:bottom w:val="none" w:sz="0" w:space="0" w:color="auto"/>
        <w:right w:val="none" w:sz="0" w:space="0" w:color="auto"/>
      </w:divBdr>
      <w:divsChild>
        <w:div w:id="16085137">
          <w:marLeft w:val="720"/>
          <w:marRight w:val="0"/>
          <w:marTop w:val="101"/>
          <w:marBottom w:val="101"/>
          <w:divBdr>
            <w:top w:val="none" w:sz="0" w:space="0" w:color="auto"/>
            <w:left w:val="none" w:sz="0" w:space="0" w:color="auto"/>
            <w:bottom w:val="none" w:sz="0" w:space="0" w:color="auto"/>
            <w:right w:val="none" w:sz="0" w:space="0" w:color="auto"/>
          </w:divBdr>
        </w:div>
        <w:div w:id="206993469">
          <w:marLeft w:val="720"/>
          <w:marRight w:val="0"/>
          <w:marTop w:val="101"/>
          <w:marBottom w:val="101"/>
          <w:divBdr>
            <w:top w:val="none" w:sz="0" w:space="0" w:color="auto"/>
            <w:left w:val="none" w:sz="0" w:space="0" w:color="auto"/>
            <w:bottom w:val="none" w:sz="0" w:space="0" w:color="auto"/>
            <w:right w:val="none" w:sz="0" w:space="0" w:color="auto"/>
          </w:divBdr>
        </w:div>
        <w:div w:id="227545217">
          <w:marLeft w:val="0"/>
          <w:marRight w:val="0"/>
          <w:marTop w:val="86"/>
          <w:marBottom w:val="86"/>
          <w:divBdr>
            <w:top w:val="none" w:sz="0" w:space="0" w:color="auto"/>
            <w:left w:val="none" w:sz="0" w:space="0" w:color="auto"/>
            <w:bottom w:val="none" w:sz="0" w:space="0" w:color="auto"/>
            <w:right w:val="none" w:sz="0" w:space="0" w:color="auto"/>
          </w:divBdr>
        </w:div>
        <w:div w:id="366486714">
          <w:marLeft w:val="720"/>
          <w:marRight w:val="0"/>
          <w:marTop w:val="101"/>
          <w:marBottom w:val="101"/>
          <w:divBdr>
            <w:top w:val="none" w:sz="0" w:space="0" w:color="auto"/>
            <w:left w:val="none" w:sz="0" w:space="0" w:color="auto"/>
            <w:bottom w:val="none" w:sz="0" w:space="0" w:color="auto"/>
            <w:right w:val="none" w:sz="0" w:space="0" w:color="auto"/>
          </w:divBdr>
        </w:div>
        <w:div w:id="828248570">
          <w:marLeft w:val="720"/>
          <w:marRight w:val="0"/>
          <w:marTop w:val="101"/>
          <w:marBottom w:val="101"/>
          <w:divBdr>
            <w:top w:val="none" w:sz="0" w:space="0" w:color="auto"/>
            <w:left w:val="none" w:sz="0" w:space="0" w:color="auto"/>
            <w:bottom w:val="none" w:sz="0" w:space="0" w:color="auto"/>
            <w:right w:val="none" w:sz="0" w:space="0" w:color="auto"/>
          </w:divBdr>
        </w:div>
        <w:div w:id="1008748372">
          <w:marLeft w:val="720"/>
          <w:marRight w:val="0"/>
          <w:marTop w:val="101"/>
          <w:marBottom w:val="101"/>
          <w:divBdr>
            <w:top w:val="none" w:sz="0" w:space="0" w:color="auto"/>
            <w:left w:val="none" w:sz="0" w:space="0" w:color="auto"/>
            <w:bottom w:val="none" w:sz="0" w:space="0" w:color="auto"/>
            <w:right w:val="none" w:sz="0" w:space="0" w:color="auto"/>
          </w:divBdr>
        </w:div>
        <w:div w:id="1795371279">
          <w:marLeft w:val="720"/>
          <w:marRight w:val="0"/>
          <w:marTop w:val="101"/>
          <w:marBottom w:val="101"/>
          <w:divBdr>
            <w:top w:val="none" w:sz="0" w:space="0" w:color="auto"/>
            <w:left w:val="none" w:sz="0" w:space="0" w:color="auto"/>
            <w:bottom w:val="none" w:sz="0" w:space="0" w:color="auto"/>
            <w:right w:val="none" w:sz="0" w:space="0" w:color="auto"/>
          </w:divBdr>
        </w:div>
      </w:divsChild>
    </w:div>
    <w:div w:id="115607689">
      <w:bodyDiv w:val="1"/>
      <w:marLeft w:val="0"/>
      <w:marRight w:val="0"/>
      <w:marTop w:val="0"/>
      <w:marBottom w:val="0"/>
      <w:divBdr>
        <w:top w:val="none" w:sz="0" w:space="0" w:color="auto"/>
        <w:left w:val="none" w:sz="0" w:space="0" w:color="auto"/>
        <w:bottom w:val="none" w:sz="0" w:space="0" w:color="auto"/>
        <w:right w:val="none" w:sz="0" w:space="0" w:color="auto"/>
      </w:divBdr>
    </w:div>
    <w:div w:id="119157077">
      <w:bodyDiv w:val="1"/>
      <w:marLeft w:val="0"/>
      <w:marRight w:val="0"/>
      <w:marTop w:val="0"/>
      <w:marBottom w:val="0"/>
      <w:divBdr>
        <w:top w:val="none" w:sz="0" w:space="0" w:color="auto"/>
        <w:left w:val="none" w:sz="0" w:space="0" w:color="auto"/>
        <w:bottom w:val="none" w:sz="0" w:space="0" w:color="auto"/>
        <w:right w:val="none" w:sz="0" w:space="0" w:color="auto"/>
      </w:divBdr>
    </w:div>
    <w:div w:id="121114795">
      <w:bodyDiv w:val="1"/>
      <w:marLeft w:val="0"/>
      <w:marRight w:val="0"/>
      <w:marTop w:val="0"/>
      <w:marBottom w:val="0"/>
      <w:divBdr>
        <w:top w:val="none" w:sz="0" w:space="0" w:color="auto"/>
        <w:left w:val="none" w:sz="0" w:space="0" w:color="auto"/>
        <w:bottom w:val="none" w:sz="0" w:space="0" w:color="auto"/>
        <w:right w:val="none" w:sz="0" w:space="0" w:color="auto"/>
      </w:divBdr>
      <w:divsChild>
        <w:div w:id="1839229983">
          <w:marLeft w:val="274"/>
          <w:marRight w:val="0"/>
          <w:marTop w:val="38"/>
          <w:marBottom w:val="0"/>
          <w:divBdr>
            <w:top w:val="none" w:sz="0" w:space="0" w:color="auto"/>
            <w:left w:val="none" w:sz="0" w:space="0" w:color="auto"/>
            <w:bottom w:val="none" w:sz="0" w:space="0" w:color="auto"/>
            <w:right w:val="none" w:sz="0" w:space="0" w:color="auto"/>
          </w:divBdr>
        </w:div>
      </w:divsChild>
    </w:div>
    <w:div w:id="136344882">
      <w:bodyDiv w:val="1"/>
      <w:marLeft w:val="0"/>
      <w:marRight w:val="0"/>
      <w:marTop w:val="0"/>
      <w:marBottom w:val="0"/>
      <w:divBdr>
        <w:top w:val="none" w:sz="0" w:space="0" w:color="auto"/>
        <w:left w:val="none" w:sz="0" w:space="0" w:color="auto"/>
        <w:bottom w:val="none" w:sz="0" w:space="0" w:color="auto"/>
        <w:right w:val="none" w:sz="0" w:space="0" w:color="auto"/>
      </w:divBdr>
    </w:div>
    <w:div w:id="139467894">
      <w:bodyDiv w:val="1"/>
      <w:marLeft w:val="0"/>
      <w:marRight w:val="0"/>
      <w:marTop w:val="0"/>
      <w:marBottom w:val="0"/>
      <w:divBdr>
        <w:top w:val="none" w:sz="0" w:space="0" w:color="auto"/>
        <w:left w:val="none" w:sz="0" w:space="0" w:color="auto"/>
        <w:bottom w:val="none" w:sz="0" w:space="0" w:color="auto"/>
        <w:right w:val="none" w:sz="0" w:space="0" w:color="auto"/>
      </w:divBdr>
      <w:divsChild>
        <w:div w:id="559051802">
          <w:marLeft w:val="274"/>
          <w:marRight w:val="0"/>
          <w:marTop w:val="38"/>
          <w:marBottom w:val="0"/>
          <w:divBdr>
            <w:top w:val="none" w:sz="0" w:space="0" w:color="auto"/>
            <w:left w:val="none" w:sz="0" w:space="0" w:color="auto"/>
            <w:bottom w:val="none" w:sz="0" w:space="0" w:color="auto"/>
            <w:right w:val="none" w:sz="0" w:space="0" w:color="auto"/>
          </w:divBdr>
        </w:div>
        <w:div w:id="1867909182">
          <w:marLeft w:val="274"/>
          <w:marRight w:val="0"/>
          <w:marTop w:val="38"/>
          <w:marBottom w:val="0"/>
          <w:divBdr>
            <w:top w:val="none" w:sz="0" w:space="0" w:color="auto"/>
            <w:left w:val="none" w:sz="0" w:space="0" w:color="auto"/>
            <w:bottom w:val="none" w:sz="0" w:space="0" w:color="auto"/>
            <w:right w:val="none" w:sz="0" w:space="0" w:color="auto"/>
          </w:divBdr>
        </w:div>
        <w:div w:id="2039618705">
          <w:marLeft w:val="274"/>
          <w:marRight w:val="0"/>
          <w:marTop w:val="38"/>
          <w:marBottom w:val="0"/>
          <w:divBdr>
            <w:top w:val="none" w:sz="0" w:space="0" w:color="auto"/>
            <w:left w:val="none" w:sz="0" w:space="0" w:color="auto"/>
            <w:bottom w:val="none" w:sz="0" w:space="0" w:color="auto"/>
            <w:right w:val="none" w:sz="0" w:space="0" w:color="auto"/>
          </w:divBdr>
        </w:div>
      </w:divsChild>
    </w:div>
    <w:div w:id="146478560">
      <w:bodyDiv w:val="1"/>
      <w:marLeft w:val="0"/>
      <w:marRight w:val="0"/>
      <w:marTop w:val="0"/>
      <w:marBottom w:val="0"/>
      <w:divBdr>
        <w:top w:val="none" w:sz="0" w:space="0" w:color="auto"/>
        <w:left w:val="none" w:sz="0" w:space="0" w:color="auto"/>
        <w:bottom w:val="none" w:sz="0" w:space="0" w:color="auto"/>
        <w:right w:val="none" w:sz="0" w:space="0" w:color="auto"/>
      </w:divBdr>
    </w:div>
    <w:div w:id="148327699">
      <w:bodyDiv w:val="1"/>
      <w:marLeft w:val="0"/>
      <w:marRight w:val="0"/>
      <w:marTop w:val="0"/>
      <w:marBottom w:val="0"/>
      <w:divBdr>
        <w:top w:val="none" w:sz="0" w:space="0" w:color="auto"/>
        <w:left w:val="none" w:sz="0" w:space="0" w:color="auto"/>
        <w:bottom w:val="none" w:sz="0" w:space="0" w:color="auto"/>
        <w:right w:val="none" w:sz="0" w:space="0" w:color="auto"/>
      </w:divBdr>
      <w:divsChild>
        <w:div w:id="847331512">
          <w:marLeft w:val="274"/>
          <w:marRight w:val="0"/>
          <w:marTop w:val="0"/>
          <w:marBottom w:val="0"/>
          <w:divBdr>
            <w:top w:val="none" w:sz="0" w:space="0" w:color="auto"/>
            <w:left w:val="none" w:sz="0" w:space="0" w:color="auto"/>
            <w:bottom w:val="none" w:sz="0" w:space="0" w:color="auto"/>
            <w:right w:val="none" w:sz="0" w:space="0" w:color="auto"/>
          </w:divBdr>
        </w:div>
        <w:div w:id="1154948413">
          <w:marLeft w:val="994"/>
          <w:marRight w:val="0"/>
          <w:marTop w:val="0"/>
          <w:marBottom w:val="0"/>
          <w:divBdr>
            <w:top w:val="none" w:sz="0" w:space="0" w:color="auto"/>
            <w:left w:val="none" w:sz="0" w:space="0" w:color="auto"/>
            <w:bottom w:val="none" w:sz="0" w:space="0" w:color="auto"/>
            <w:right w:val="none" w:sz="0" w:space="0" w:color="auto"/>
          </w:divBdr>
        </w:div>
        <w:div w:id="1429352506">
          <w:marLeft w:val="274"/>
          <w:marRight w:val="0"/>
          <w:marTop w:val="0"/>
          <w:marBottom w:val="0"/>
          <w:divBdr>
            <w:top w:val="none" w:sz="0" w:space="0" w:color="auto"/>
            <w:left w:val="none" w:sz="0" w:space="0" w:color="auto"/>
            <w:bottom w:val="none" w:sz="0" w:space="0" w:color="auto"/>
            <w:right w:val="none" w:sz="0" w:space="0" w:color="auto"/>
          </w:divBdr>
        </w:div>
        <w:div w:id="1688753955">
          <w:marLeft w:val="994"/>
          <w:marRight w:val="0"/>
          <w:marTop w:val="0"/>
          <w:marBottom w:val="0"/>
          <w:divBdr>
            <w:top w:val="none" w:sz="0" w:space="0" w:color="auto"/>
            <w:left w:val="none" w:sz="0" w:space="0" w:color="auto"/>
            <w:bottom w:val="none" w:sz="0" w:space="0" w:color="auto"/>
            <w:right w:val="none" w:sz="0" w:space="0" w:color="auto"/>
          </w:divBdr>
        </w:div>
        <w:div w:id="1734768015">
          <w:marLeft w:val="994"/>
          <w:marRight w:val="0"/>
          <w:marTop w:val="0"/>
          <w:marBottom w:val="0"/>
          <w:divBdr>
            <w:top w:val="none" w:sz="0" w:space="0" w:color="auto"/>
            <w:left w:val="none" w:sz="0" w:space="0" w:color="auto"/>
            <w:bottom w:val="none" w:sz="0" w:space="0" w:color="auto"/>
            <w:right w:val="none" w:sz="0" w:space="0" w:color="auto"/>
          </w:divBdr>
        </w:div>
      </w:divsChild>
    </w:div>
    <w:div w:id="165754098">
      <w:bodyDiv w:val="1"/>
      <w:marLeft w:val="0"/>
      <w:marRight w:val="0"/>
      <w:marTop w:val="0"/>
      <w:marBottom w:val="0"/>
      <w:divBdr>
        <w:top w:val="none" w:sz="0" w:space="0" w:color="auto"/>
        <w:left w:val="none" w:sz="0" w:space="0" w:color="auto"/>
        <w:bottom w:val="none" w:sz="0" w:space="0" w:color="auto"/>
        <w:right w:val="none" w:sz="0" w:space="0" w:color="auto"/>
      </w:divBdr>
      <w:divsChild>
        <w:div w:id="1804232902">
          <w:marLeft w:val="274"/>
          <w:marRight w:val="0"/>
          <w:marTop w:val="38"/>
          <w:marBottom w:val="0"/>
          <w:divBdr>
            <w:top w:val="none" w:sz="0" w:space="0" w:color="auto"/>
            <w:left w:val="none" w:sz="0" w:space="0" w:color="auto"/>
            <w:bottom w:val="none" w:sz="0" w:space="0" w:color="auto"/>
            <w:right w:val="none" w:sz="0" w:space="0" w:color="auto"/>
          </w:divBdr>
        </w:div>
      </w:divsChild>
    </w:div>
    <w:div w:id="166675166">
      <w:bodyDiv w:val="1"/>
      <w:marLeft w:val="0"/>
      <w:marRight w:val="0"/>
      <w:marTop w:val="0"/>
      <w:marBottom w:val="0"/>
      <w:divBdr>
        <w:top w:val="none" w:sz="0" w:space="0" w:color="auto"/>
        <w:left w:val="none" w:sz="0" w:space="0" w:color="auto"/>
        <w:bottom w:val="none" w:sz="0" w:space="0" w:color="auto"/>
        <w:right w:val="none" w:sz="0" w:space="0" w:color="auto"/>
      </w:divBdr>
    </w:div>
    <w:div w:id="169375782">
      <w:bodyDiv w:val="1"/>
      <w:marLeft w:val="0"/>
      <w:marRight w:val="0"/>
      <w:marTop w:val="0"/>
      <w:marBottom w:val="0"/>
      <w:divBdr>
        <w:top w:val="none" w:sz="0" w:space="0" w:color="auto"/>
        <w:left w:val="none" w:sz="0" w:space="0" w:color="auto"/>
        <w:bottom w:val="none" w:sz="0" w:space="0" w:color="auto"/>
        <w:right w:val="none" w:sz="0" w:space="0" w:color="auto"/>
      </w:divBdr>
    </w:div>
    <w:div w:id="169836031">
      <w:bodyDiv w:val="1"/>
      <w:marLeft w:val="0"/>
      <w:marRight w:val="0"/>
      <w:marTop w:val="0"/>
      <w:marBottom w:val="0"/>
      <w:divBdr>
        <w:top w:val="none" w:sz="0" w:space="0" w:color="auto"/>
        <w:left w:val="none" w:sz="0" w:space="0" w:color="auto"/>
        <w:bottom w:val="none" w:sz="0" w:space="0" w:color="auto"/>
        <w:right w:val="none" w:sz="0" w:space="0" w:color="auto"/>
      </w:divBdr>
    </w:div>
    <w:div w:id="171990215">
      <w:bodyDiv w:val="1"/>
      <w:marLeft w:val="0"/>
      <w:marRight w:val="0"/>
      <w:marTop w:val="0"/>
      <w:marBottom w:val="0"/>
      <w:divBdr>
        <w:top w:val="none" w:sz="0" w:space="0" w:color="auto"/>
        <w:left w:val="none" w:sz="0" w:space="0" w:color="auto"/>
        <w:bottom w:val="none" w:sz="0" w:space="0" w:color="auto"/>
        <w:right w:val="none" w:sz="0" w:space="0" w:color="auto"/>
      </w:divBdr>
    </w:div>
    <w:div w:id="179853822">
      <w:bodyDiv w:val="1"/>
      <w:marLeft w:val="0"/>
      <w:marRight w:val="0"/>
      <w:marTop w:val="0"/>
      <w:marBottom w:val="0"/>
      <w:divBdr>
        <w:top w:val="none" w:sz="0" w:space="0" w:color="auto"/>
        <w:left w:val="none" w:sz="0" w:space="0" w:color="auto"/>
        <w:bottom w:val="none" w:sz="0" w:space="0" w:color="auto"/>
        <w:right w:val="none" w:sz="0" w:space="0" w:color="auto"/>
      </w:divBdr>
      <w:divsChild>
        <w:div w:id="717709179">
          <w:marLeft w:val="274"/>
          <w:marRight w:val="0"/>
          <w:marTop w:val="38"/>
          <w:marBottom w:val="0"/>
          <w:divBdr>
            <w:top w:val="none" w:sz="0" w:space="0" w:color="auto"/>
            <w:left w:val="none" w:sz="0" w:space="0" w:color="auto"/>
            <w:bottom w:val="none" w:sz="0" w:space="0" w:color="auto"/>
            <w:right w:val="none" w:sz="0" w:space="0" w:color="auto"/>
          </w:divBdr>
        </w:div>
      </w:divsChild>
    </w:div>
    <w:div w:id="189804692">
      <w:bodyDiv w:val="1"/>
      <w:marLeft w:val="0"/>
      <w:marRight w:val="0"/>
      <w:marTop w:val="0"/>
      <w:marBottom w:val="0"/>
      <w:divBdr>
        <w:top w:val="none" w:sz="0" w:space="0" w:color="auto"/>
        <w:left w:val="none" w:sz="0" w:space="0" w:color="auto"/>
        <w:bottom w:val="none" w:sz="0" w:space="0" w:color="auto"/>
        <w:right w:val="none" w:sz="0" w:space="0" w:color="auto"/>
      </w:divBdr>
      <w:divsChild>
        <w:div w:id="1454900792">
          <w:marLeft w:val="547"/>
          <w:marRight w:val="0"/>
          <w:marTop w:val="86"/>
          <w:marBottom w:val="0"/>
          <w:divBdr>
            <w:top w:val="none" w:sz="0" w:space="0" w:color="auto"/>
            <w:left w:val="none" w:sz="0" w:space="0" w:color="auto"/>
            <w:bottom w:val="none" w:sz="0" w:space="0" w:color="auto"/>
            <w:right w:val="none" w:sz="0" w:space="0" w:color="auto"/>
          </w:divBdr>
        </w:div>
      </w:divsChild>
    </w:div>
    <w:div w:id="190536665">
      <w:bodyDiv w:val="1"/>
      <w:marLeft w:val="0"/>
      <w:marRight w:val="0"/>
      <w:marTop w:val="0"/>
      <w:marBottom w:val="0"/>
      <w:divBdr>
        <w:top w:val="none" w:sz="0" w:space="0" w:color="auto"/>
        <w:left w:val="none" w:sz="0" w:space="0" w:color="auto"/>
        <w:bottom w:val="none" w:sz="0" w:space="0" w:color="auto"/>
        <w:right w:val="none" w:sz="0" w:space="0" w:color="auto"/>
      </w:divBdr>
    </w:div>
    <w:div w:id="192962034">
      <w:bodyDiv w:val="1"/>
      <w:marLeft w:val="0"/>
      <w:marRight w:val="0"/>
      <w:marTop w:val="0"/>
      <w:marBottom w:val="0"/>
      <w:divBdr>
        <w:top w:val="none" w:sz="0" w:space="0" w:color="auto"/>
        <w:left w:val="none" w:sz="0" w:space="0" w:color="auto"/>
        <w:bottom w:val="none" w:sz="0" w:space="0" w:color="auto"/>
        <w:right w:val="none" w:sz="0" w:space="0" w:color="auto"/>
      </w:divBdr>
      <w:divsChild>
        <w:div w:id="475803057">
          <w:marLeft w:val="274"/>
          <w:marRight w:val="0"/>
          <w:marTop w:val="38"/>
          <w:marBottom w:val="0"/>
          <w:divBdr>
            <w:top w:val="none" w:sz="0" w:space="0" w:color="auto"/>
            <w:left w:val="none" w:sz="0" w:space="0" w:color="auto"/>
            <w:bottom w:val="none" w:sz="0" w:space="0" w:color="auto"/>
            <w:right w:val="none" w:sz="0" w:space="0" w:color="auto"/>
          </w:divBdr>
        </w:div>
        <w:div w:id="1688166704">
          <w:marLeft w:val="274"/>
          <w:marRight w:val="0"/>
          <w:marTop w:val="38"/>
          <w:marBottom w:val="0"/>
          <w:divBdr>
            <w:top w:val="none" w:sz="0" w:space="0" w:color="auto"/>
            <w:left w:val="none" w:sz="0" w:space="0" w:color="auto"/>
            <w:bottom w:val="none" w:sz="0" w:space="0" w:color="auto"/>
            <w:right w:val="none" w:sz="0" w:space="0" w:color="auto"/>
          </w:divBdr>
        </w:div>
      </w:divsChild>
    </w:div>
    <w:div w:id="195434971">
      <w:bodyDiv w:val="1"/>
      <w:marLeft w:val="0"/>
      <w:marRight w:val="0"/>
      <w:marTop w:val="0"/>
      <w:marBottom w:val="0"/>
      <w:divBdr>
        <w:top w:val="none" w:sz="0" w:space="0" w:color="auto"/>
        <w:left w:val="none" w:sz="0" w:space="0" w:color="auto"/>
        <w:bottom w:val="none" w:sz="0" w:space="0" w:color="auto"/>
        <w:right w:val="none" w:sz="0" w:space="0" w:color="auto"/>
      </w:divBdr>
      <w:divsChild>
        <w:div w:id="1789814024">
          <w:marLeft w:val="274"/>
          <w:marRight w:val="0"/>
          <w:marTop w:val="38"/>
          <w:marBottom w:val="0"/>
          <w:divBdr>
            <w:top w:val="none" w:sz="0" w:space="0" w:color="auto"/>
            <w:left w:val="none" w:sz="0" w:space="0" w:color="auto"/>
            <w:bottom w:val="none" w:sz="0" w:space="0" w:color="auto"/>
            <w:right w:val="none" w:sz="0" w:space="0" w:color="auto"/>
          </w:divBdr>
        </w:div>
      </w:divsChild>
    </w:div>
    <w:div w:id="200559818">
      <w:bodyDiv w:val="1"/>
      <w:marLeft w:val="0"/>
      <w:marRight w:val="0"/>
      <w:marTop w:val="0"/>
      <w:marBottom w:val="0"/>
      <w:divBdr>
        <w:top w:val="none" w:sz="0" w:space="0" w:color="auto"/>
        <w:left w:val="none" w:sz="0" w:space="0" w:color="auto"/>
        <w:bottom w:val="none" w:sz="0" w:space="0" w:color="auto"/>
        <w:right w:val="none" w:sz="0" w:space="0" w:color="auto"/>
      </w:divBdr>
      <w:divsChild>
        <w:div w:id="1755082620">
          <w:marLeft w:val="274"/>
          <w:marRight w:val="0"/>
          <w:marTop w:val="38"/>
          <w:marBottom w:val="0"/>
          <w:divBdr>
            <w:top w:val="none" w:sz="0" w:space="0" w:color="auto"/>
            <w:left w:val="none" w:sz="0" w:space="0" w:color="auto"/>
            <w:bottom w:val="none" w:sz="0" w:space="0" w:color="auto"/>
            <w:right w:val="none" w:sz="0" w:space="0" w:color="auto"/>
          </w:divBdr>
        </w:div>
      </w:divsChild>
    </w:div>
    <w:div w:id="220949829">
      <w:bodyDiv w:val="1"/>
      <w:marLeft w:val="0"/>
      <w:marRight w:val="0"/>
      <w:marTop w:val="0"/>
      <w:marBottom w:val="0"/>
      <w:divBdr>
        <w:top w:val="none" w:sz="0" w:space="0" w:color="auto"/>
        <w:left w:val="none" w:sz="0" w:space="0" w:color="auto"/>
        <w:bottom w:val="none" w:sz="0" w:space="0" w:color="auto"/>
        <w:right w:val="none" w:sz="0" w:space="0" w:color="auto"/>
      </w:divBdr>
      <w:divsChild>
        <w:div w:id="591936556">
          <w:marLeft w:val="274"/>
          <w:marRight w:val="0"/>
          <w:marTop w:val="38"/>
          <w:marBottom w:val="0"/>
          <w:divBdr>
            <w:top w:val="none" w:sz="0" w:space="0" w:color="auto"/>
            <w:left w:val="none" w:sz="0" w:space="0" w:color="auto"/>
            <w:bottom w:val="none" w:sz="0" w:space="0" w:color="auto"/>
            <w:right w:val="none" w:sz="0" w:space="0" w:color="auto"/>
          </w:divBdr>
        </w:div>
      </w:divsChild>
    </w:div>
    <w:div w:id="221449496">
      <w:bodyDiv w:val="1"/>
      <w:marLeft w:val="0"/>
      <w:marRight w:val="0"/>
      <w:marTop w:val="0"/>
      <w:marBottom w:val="0"/>
      <w:divBdr>
        <w:top w:val="none" w:sz="0" w:space="0" w:color="auto"/>
        <w:left w:val="none" w:sz="0" w:space="0" w:color="auto"/>
        <w:bottom w:val="none" w:sz="0" w:space="0" w:color="auto"/>
        <w:right w:val="none" w:sz="0" w:space="0" w:color="auto"/>
      </w:divBdr>
      <w:divsChild>
        <w:div w:id="941256342">
          <w:marLeft w:val="274"/>
          <w:marRight w:val="0"/>
          <w:marTop w:val="38"/>
          <w:marBottom w:val="0"/>
          <w:divBdr>
            <w:top w:val="none" w:sz="0" w:space="0" w:color="auto"/>
            <w:left w:val="none" w:sz="0" w:space="0" w:color="auto"/>
            <w:bottom w:val="none" w:sz="0" w:space="0" w:color="auto"/>
            <w:right w:val="none" w:sz="0" w:space="0" w:color="auto"/>
          </w:divBdr>
        </w:div>
        <w:div w:id="1741054991">
          <w:marLeft w:val="274"/>
          <w:marRight w:val="0"/>
          <w:marTop w:val="38"/>
          <w:marBottom w:val="0"/>
          <w:divBdr>
            <w:top w:val="none" w:sz="0" w:space="0" w:color="auto"/>
            <w:left w:val="none" w:sz="0" w:space="0" w:color="auto"/>
            <w:bottom w:val="none" w:sz="0" w:space="0" w:color="auto"/>
            <w:right w:val="none" w:sz="0" w:space="0" w:color="auto"/>
          </w:divBdr>
        </w:div>
        <w:div w:id="1771705993">
          <w:marLeft w:val="274"/>
          <w:marRight w:val="0"/>
          <w:marTop w:val="38"/>
          <w:marBottom w:val="0"/>
          <w:divBdr>
            <w:top w:val="none" w:sz="0" w:space="0" w:color="auto"/>
            <w:left w:val="none" w:sz="0" w:space="0" w:color="auto"/>
            <w:bottom w:val="none" w:sz="0" w:space="0" w:color="auto"/>
            <w:right w:val="none" w:sz="0" w:space="0" w:color="auto"/>
          </w:divBdr>
        </w:div>
      </w:divsChild>
    </w:div>
    <w:div w:id="223227019">
      <w:bodyDiv w:val="1"/>
      <w:marLeft w:val="0"/>
      <w:marRight w:val="0"/>
      <w:marTop w:val="0"/>
      <w:marBottom w:val="0"/>
      <w:divBdr>
        <w:top w:val="none" w:sz="0" w:space="0" w:color="auto"/>
        <w:left w:val="none" w:sz="0" w:space="0" w:color="auto"/>
        <w:bottom w:val="none" w:sz="0" w:space="0" w:color="auto"/>
        <w:right w:val="none" w:sz="0" w:space="0" w:color="auto"/>
      </w:divBdr>
      <w:divsChild>
        <w:div w:id="2110544883">
          <w:marLeft w:val="274"/>
          <w:marRight w:val="0"/>
          <w:marTop w:val="38"/>
          <w:marBottom w:val="0"/>
          <w:divBdr>
            <w:top w:val="none" w:sz="0" w:space="0" w:color="auto"/>
            <w:left w:val="none" w:sz="0" w:space="0" w:color="auto"/>
            <w:bottom w:val="none" w:sz="0" w:space="0" w:color="auto"/>
            <w:right w:val="none" w:sz="0" w:space="0" w:color="auto"/>
          </w:divBdr>
        </w:div>
      </w:divsChild>
    </w:div>
    <w:div w:id="225654692">
      <w:bodyDiv w:val="1"/>
      <w:marLeft w:val="0"/>
      <w:marRight w:val="0"/>
      <w:marTop w:val="0"/>
      <w:marBottom w:val="0"/>
      <w:divBdr>
        <w:top w:val="none" w:sz="0" w:space="0" w:color="auto"/>
        <w:left w:val="none" w:sz="0" w:space="0" w:color="auto"/>
        <w:bottom w:val="none" w:sz="0" w:space="0" w:color="auto"/>
        <w:right w:val="none" w:sz="0" w:space="0" w:color="auto"/>
      </w:divBdr>
      <w:divsChild>
        <w:div w:id="1540320968">
          <w:marLeft w:val="274"/>
          <w:marRight w:val="0"/>
          <w:marTop w:val="38"/>
          <w:marBottom w:val="0"/>
          <w:divBdr>
            <w:top w:val="none" w:sz="0" w:space="0" w:color="auto"/>
            <w:left w:val="none" w:sz="0" w:space="0" w:color="auto"/>
            <w:bottom w:val="none" w:sz="0" w:space="0" w:color="auto"/>
            <w:right w:val="none" w:sz="0" w:space="0" w:color="auto"/>
          </w:divBdr>
        </w:div>
      </w:divsChild>
    </w:div>
    <w:div w:id="234634337">
      <w:bodyDiv w:val="1"/>
      <w:marLeft w:val="0"/>
      <w:marRight w:val="0"/>
      <w:marTop w:val="0"/>
      <w:marBottom w:val="0"/>
      <w:divBdr>
        <w:top w:val="none" w:sz="0" w:space="0" w:color="auto"/>
        <w:left w:val="none" w:sz="0" w:space="0" w:color="auto"/>
        <w:bottom w:val="none" w:sz="0" w:space="0" w:color="auto"/>
        <w:right w:val="none" w:sz="0" w:space="0" w:color="auto"/>
      </w:divBdr>
    </w:div>
    <w:div w:id="249508243">
      <w:bodyDiv w:val="1"/>
      <w:marLeft w:val="0"/>
      <w:marRight w:val="0"/>
      <w:marTop w:val="0"/>
      <w:marBottom w:val="0"/>
      <w:divBdr>
        <w:top w:val="none" w:sz="0" w:space="0" w:color="auto"/>
        <w:left w:val="none" w:sz="0" w:space="0" w:color="auto"/>
        <w:bottom w:val="none" w:sz="0" w:space="0" w:color="auto"/>
        <w:right w:val="none" w:sz="0" w:space="0" w:color="auto"/>
      </w:divBdr>
      <w:divsChild>
        <w:div w:id="1926717547">
          <w:marLeft w:val="274"/>
          <w:marRight w:val="0"/>
          <w:marTop w:val="38"/>
          <w:marBottom w:val="0"/>
          <w:divBdr>
            <w:top w:val="none" w:sz="0" w:space="0" w:color="auto"/>
            <w:left w:val="none" w:sz="0" w:space="0" w:color="auto"/>
            <w:bottom w:val="none" w:sz="0" w:space="0" w:color="auto"/>
            <w:right w:val="none" w:sz="0" w:space="0" w:color="auto"/>
          </w:divBdr>
        </w:div>
      </w:divsChild>
    </w:div>
    <w:div w:id="257713841">
      <w:bodyDiv w:val="1"/>
      <w:marLeft w:val="0"/>
      <w:marRight w:val="0"/>
      <w:marTop w:val="0"/>
      <w:marBottom w:val="0"/>
      <w:divBdr>
        <w:top w:val="none" w:sz="0" w:space="0" w:color="auto"/>
        <w:left w:val="none" w:sz="0" w:space="0" w:color="auto"/>
        <w:bottom w:val="none" w:sz="0" w:space="0" w:color="auto"/>
        <w:right w:val="none" w:sz="0" w:space="0" w:color="auto"/>
      </w:divBdr>
      <w:divsChild>
        <w:div w:id="39745890">
          <w:marLeft w:val="274"/>
          <w:marRight w:val="0"/>
          <w:marTop w:val="38"/>
          <w:marBottom w:val="0"/>
          <w:divBdr>
            <w:top w:val="none" w:sz="0" w:space="0" w:color="auto"/>
            <w:left w:val="none" w:sz="0" w:space="0" w:color="auto"/>
            <w:bottom w:val="none" w:sz="0" w:space="0" w:color="auto"/>
            <w:right w:val="none" w:sz="0" w:space="0" w:color="auto"/>
          </w:divBdr>
        </w:div>
        <w:div w:id="236592711">
          <w:marLeft w:val="274"/>
          <w:marRight w:val="0"/>
          <w:marTop w:val="38"/>
          <w:marBottom w:val="0"/>
          <w:divBdr>
            <w:top w:val="none" w:sz="0" w:space="0" w:color="auto"/>
            <w:left w:val="none" w:sz="0" w:space="0" w:color="auto"/>
            <w:bottom w:val="none" w:sz="0" w:space="0" w:color="auto"/>
            <w:right w:val="none" w:sz="0" w:space="0" w:color="auto"/>
          </w:divBdr>
        </w:div>
        <w:div w:id="266038356">
          <w:marLeft w:val="274"/>
          <w:marRight w:val="0"/>
          <w:marTop w:val="38"/>
          <w:marBottom w:val="0"/>
          <w:divBdr>
            <w:top w:val="none" w:sz="0" w:space="0" w:color="auto"/>
            <w:left w:val="none" w:sz="0" w:space="0" w:color="auto"/>
            <w:bottom w:val="none" w:sz="0" w:space="0" w:color="auto"/>
            <w:right w:val="none" w:sz="0" w:space="0" w:color="auto"/>
          </w:divBdr>
        </w:div>
      </w:divsChild>
    </w:div>
    <w:div w:id="265695661">
      <w:bodyDiv w:val="1"/>
      <w:marLeft w:val="0"/>
      <w:marRight w:val="0"/>
      <w:marTop w:val="0"/>
      <w:marBottom w:val="0"/>
      <w:divBdr>
        <w:top w:val="none" w:sz="0" w:space="0" w:color="auto"/>
        <w:left w:val="none" w:sz="0" w:space="0" w:color="auto"/>
        <w:bottom w:val="none" w:sz="0" w:space="0" w:color="auto"/>
        <w:right w:val="none" w:sz="0" w:space="0" w:color="auto"/>
      </w:divBdr>
      <w:divsChild>
        <w:div w:id="2069379303">
          <w:marLeft w:val="274"/>
          <w:marRight w:val="0"/>
          <w:marTop w:val="38"/>
          <w:marBottom w:val="0"/>
          <w:divBdr>
            <w:top w:val="none" w:sz="0" w:space="0" w:color="auto"/>
            <w:left w:val="none" w:sz="0" w:space="0" w:color="auto"/>
            <w:bottom w:val="none" w:sz="0" w:space="0" w:color="auto"/>
            <w:right w:val="none" w:sz="0" w:space="0" w:color="auto"/>
          </w:divBdr>
        </w:div>
      </w:divsChild>
    </w:div>
    <w:div w:id="266347839">
      <w:bodyDiv w:val="1"/>
      <w:marLeft w:val="0"/>
      <w:marRight w:val="0"/>
      <w:marTop w:val="0"/>
      <w:marBottom w:val="0"/>
      <w:divBdr>
        <w:top w:val="none" w:sz="0" w:space="0" w:color="auto"/>
        <w:left w:val="none" w:sz="0" w:space="0" w:color="auto"/>
        <w:bottom w:val="none" w:sz="0" w:space="0" w:color="auto"/>
        <w:right w:val="none" w:sz="0" w:space="0" w:color="auto"/>
      </w:divBdr>
      <w:divsChild>
        <w:div w:id="1062754524">
          <w:marLeft w:val="547"/>
          <w:marRight w:val="0"/>
          <w:marTop w:val="67"/>
          <w:marBottom w:val="0"/>
          <w:divBdr>
            <w:top w:val="none" w:sz="0" w:space="0" w:color="auto"/>
            <w:left w:val="none" w:sz="0" w:space="0" w:color="auto"/>
            <w:bottom w:val="none" w:sz="0" w:space="0" w:color="auto"/>
            <w:right w:val="none" w:sz="0" w:space="0" w:color="auto"/>
          </w:divBdr>
        </w:div>
      </w:divsChild>
    </w:div>
    <w:div w:id="268396888">
      <w:bodyDiv w:val="1"/>
      <w:marLeft w:val="0"/>
      <w:marRight w:val="0"/>
      <w:marTop w:val="0"/>
      <w:marBottom w:val="0"/>
      <w:divBdr>
        <w:top w:val="none" w:sz="0" w:space="0" w:color="auto"/>
        <w:left w:val="none" w:sz="0" w:space="0" w:color="auto"/>
        <w:bottom w:val="none" w:sz="0" w:space="0" w:color="auto"/>
        <w:right w:val="none" w:sz="0" w:space="0" w:color="auto"/>
      </w:divBdr>
      <w:divsChild>
        <w:div w:id="632909245">
          <w:marLeft w:val="274"/>
          <w:marRight w:val="0"/>
          <w:marTop w:val="38"/>
          <w:marBottom w:val="0"/>
          <w:divBdr>
            <w:top w:val="none" w:sz="0" w:space="0" w:color="auto"/>
            <w:left w:val="none" w:sz="0" w:space="0" w:color="auto"/>
            <w:bottom w:val="none" w:sz="0" w:space="0" w:color="auto"/>
            <w:right w:val="none" w:sz="0" w:space="0" w:color="auto"/>
          </w:divBdr>
        </w:div>
        <w:div w:id="798453197">
          <w:marLeft w:val="274"/>
          <w:marRight w:val="0"/>
          <w:marTop w:val="38"/>
          <w:marBottom w:val="0"/>
          <w:divBdr>
            <w:top w:val="none" w:sz="0" w:space="0" w:color="auto"/>
            <w:left w:val="none" w:sz="0" w:space="0" w:color="auto"/>
            <w:bottom w:val="none" w:sz="0" w:space="0" w:color="auto"/>
            <w:right w:val="none" w:sz="0" w:space="0" w:color="auto"/>
          </w:divBdr>
        </w:div>
        <w:div w:id="945308713">
          <w:marLeft w:val="274"/>
          <w:marRight w:val="0"/>
          <w:marTop w:val="38"/>
          <w:marBottom w:val="0"/>
          <w:divBdr>
            <w:top w:val="none" w:sz="0" w:space="0" w:color="auto"/>
            <w:left w:val="none" w:sz="0" w:space="0" w:color="auto"/>
            <w:bottom w:val="none" w:sz="0" w:space="0" w:color="auto"/>
            <w:right w:val="none" w:sz="0" w:space="0" w:color="auto"/>
          </w:divBdr>
        </w:div>
        <w:div w:id="1035813897">
          <w:marLeft w:val="274"/>
          <w:marRight w:val="0"/>
          <w:marTop w:val="38"/>
          <w:marBottom w:val="0"/>
          <w:divBdr>
            <w:top w:val="none" w:sz="0" w:space="0" w:color="auto"/>
            <w:left w:val="none" w:sz="0" w:space="0" w:color="auto"/>
            <w:bottom w:val="none" w:sz="0" w:space="0" w:color="auto"/>
            <w:right w:val="none" w:sz="0" w:space="0" w:color="auto"/>
          </w:divBdr>
        </w:div>
        <w:div w:id="1145128453">
          <w:marLeft w:val="274"/>
          <w:marRight w:val="0"/>
          <w:marTop w:val="38"/>
          <w:marBottom w:val="0"/>
          <w:divBdr>
            <w:top w:val="none" w:sz="0" w:space="0" w:color="auto"/>
            <w:left w:val="none" w:sz="0" w:space="0" w:color="auto"/>
            <w:bottom w:val="none" w:sz="0" w:space="0" w:color="auto"/>
            <w:right w:val="none" w:sz="0" w:space="0" w:color="auto"/>
          </w:divBdr>
        </w:div>
      </w:divsChild>
    </w:div>
    <w:div w:id="274291112">
      <w:bodyDiv w:val="1"/>
      <w:marLeft w:val="0"/>
      <w:marRight w:val="0"/>
      <w:marTop w:val="0"/>
      <w:marBottom w:val="0"/>
      <w:divBdr>
        <w:top w:val="none" w:sz="0" w:space="0" w:color="auto"/>
        <w:left w:val="none" w:sz="0" w:space="0" w:color="auto"/>
        <w:bottom w:val="none" w:sz="0" w:space="0" w:color="auto"/>
        <w:right w:val="none" w:sz="0" w:space="0" w:color="auto"/>
      </w:divBdr>
      <w:divsChild>
        <w:div w:id="991564682">
          <w:marLeft w:val="274"/>
          <w:marRight w:val="0"/>
          <w:marTop w:val="38"/>
          <w:marBottom w:val="0"/>
          <w:divBdr>
            <w:top w:val="none" w:sz="0" w:space="0" w:color="auto"/>
            <w:left w:val="none" w:sz="0" w:space="0" w:color="auto"/>
            <w:bottom w:val="none" w:sz="0" w:space="0" w:color="auto"/>
            <w:right w:val="none" w:sz="0" w:space="0" w:color="auto"/>
          </w:divBdr>
        </w:div>
        <w:div w:id="1412236614">
          <w:marLeft w:val="274"/>
          <w:marRight w:val="0"/>
          <w:marTop w:val="38"/>
          <w:marBottom w:val="0"/>
          <w:divBdr>
            <w:top w:val="none" w:sz="0" w:space="0" w:color="auto"/>
            <w:left w:val="none" w:sz="0" w:space="0" w:color="auto"/>
            <w:bottom w:val="none" w:sz="0" w:space="0" w:color="auto"/>
            <w:right w:val="none" w:sz="0" w:space="0" w:color="auto"/>
          </w:divBdr>
        </w:div>
        <w:div w:id="1828666973">
          <w:marLeft w:val="274"/>
          <w:marRight w:val="0"/>
          <w:marTop w:val="38"/>
          <w:marBottom w:val="0"/>
          <w:divBdr>
            <w:top w:val="none" w:sz="0" w:space="0" w:color="auto"/>
            <w:left w:val="none" w:sz="0" w:space="0" w:color="auto"/>
            <w:bottom w:val="none" w:sz="0" w:space="0" w:color="auto"/>
            <w:right w:val="none" w:sz="0" w:space="0" w:color="auto"/>
          </w:divBdr>
        </w:div>
        <w:div w:id="2108305866">
          <w:marLeft w:val="274"/>
          <w:marRight w:val="0"/>
          <w:marTop w:val="38"/>
          <w:marBottom w:val="0"/>
          <w:divBdr>
            <w:top w:val="none" w:sz="0" w:space="0" w:color="auto"/>
            <w:left w:val="none" w:sz="0" w:space="0" w:color="auto"/>
            <w:bottom w:val="none" w:sz="0" w:space="0" w:color="auto"/>
            <w:right w:val="none" w:sz="0" w:space="0" w:color="auto"/>
          </w:divBdr>
        </w:div>
      </w:divsChild>
    </w:div>
    <w:div w:id="280304741">
      <w:bodyDiv w:val="1"/>
      <w:marLeft w:val="0"/>
      <w:marRight w:val="0"/>
      <w:marTop w:val="0"/>
      <w:marBottom w:val="0"/>
      <w:divBdr>
        <w:top w:val="none" w:sz="0" w:space="0" w:color="auto"/>
        <w:left w:val="none" w:sz="0" w:space="0" w:color="auto"/>
        <w:bottom w:val="none" w:sz="0" w:space="0" w:color="auto"/>
        <w:right w:val="none" w:sz="0" w:space="0" w:color="auto"/>
      </w:divBdr>
      <w:divsChild>
        <w:div w:id="1996906493">
          <w:marLeft w:val="274"/>
          <w:marRight w:val="0"/>
          <w:marTop w:val="38"/>
          <w:marBottom w:val="0"/>
          <w:divBdr>
            <w:top w:val="none" w:sz="0" w:space="0" w:color="auto"/>
            <w:left w:val="none" w:sz="0" w:space="0" w:color="auto"/>
            <w:bottom w:val="none" w:sz="0" w:space="0" w:color="auto"/>
            <w:right w:val="none" w:sz="0" w:space="0" w:color="auto"/>
          </w:divBdr>
        </w:div>
      </w:divsChild>
    </w:div>
    <w:div w:id="281769660">
      <w:bodyDiv w:val="1"/>
      <w:marLeft w:val="0"/>
      <w:marRight w:val="0"/>
      <w:marTop w:val="0"/>
      <w:marBottom w:val="0"/>
      <w:divBdr>
        <w:top w:val="none" w:sz="0" w:space="0" w:color="auto"/>
        <w:left w:val="none" w:sz="0" w:space="0" w:color="auto"/>
        <w:bottom w:val="none" w:sz="0" w:space="0" w:color="auto"/>
        <w:right w:val="none" w:sz="0" w:space="0" w:color="auto"/>
      </w:divBdr>
      <w:divsChild>
        <w:div w:id="1316102086">
          <w:marLeft w:val="274"/>
          <w:marRight w:val="0"/>
          <w:marTop w:val="38"/>
          <w:marBottom w:val="0"/>
          <w:divBdr>
            <w:top w:val="none" w:sz="0" w:space="0" w:color="auto"/>
            <w:left w:val="none" w:sz="0" w:space="0" w:color="auto"/>
            <w:bottom w:val="none" w:sz="0" w:space="0" w:color="auto"/>
            <w:right w:val="none" w:sz="0" w:space="0" w:color="auto"/>
          </w:divBdr>
        </w:div>
      </w:divsChild>
    </w:div>
    <w:div w:id="286200113">
      <w:bodyDiv w:val="1"/>
      <w:marLeft w:val="0"/>
      <w:marRight w:val="0"/>
      <w:marTop w:val="0"/>
      <w:marBottom w:val="0"/>
      <w:divBdr>
        <w:top w:val="none" w:sz="0" w:space="0" w:color="auto"/>
        <w:left w:val="none" w:sz="0" w:space="0" w:color="auto"/>
        <w:bottom w:val="none" w:sz="0" w:space="0" w:color="auto"/>
        <w:right w:val="none" w:sz="0" w:space="0" w:color="auto"/>
      </w:divBdr>
    </w:div>
    <w:div w:id="295910509">
      <w:bodyDiv w:val="1"/>
      <w:marLeft w:val="0"/>
      <w:marRight w:val="0"/>
      <w:marTop w:val="0"/>
      <w:marBottom w:val="0"/>
      <w:divBdr>
        <w:top w:val="none" w:sz="0" w:space="0" w:color="auto"/>
        <w:left w:val="none" w:sz="0" w:space="0" w:color="auto"/>
        <w:bottom w:val="none" w:sz="0" w:space="0" w:color="auto"/>
        <w:right w:val="none" w:sz="0" w:space="0" w:color="auto"/>
      </w:divBdr>
    </w:div>
    <w:div w:id="306591354">
      <w:bodyDiv w:val="1"/>
      <w:marLeft w:val="0"/>
      <w:marRight w:val="0"/>
      <w:marTop w:val="0"/>
      <w:marBottom w:val="0"/>
      <w:divBdr>
        <w:top w:val="none" w:sz="0" w:space="0" w:color="auto"/>
        <w:left w:val="none" w:sz="0" w:space="0" w:color="auto"/>
        <w:bottom w:val="none" w:sz="0" w:space="0" w:color="auto"/>
        <w:right w:val="none" w:sz="0" w:space="0" w:color="auto"/>
      </w:divBdr>
    </w:div>
    <w:div w:id="310063145">
      <w:bodyDiv w:val="1"/>
      <w:marLeft w:val="0"/>
      <w:marRight w:val="0"/>
      <w:marTop w:val="0"/>
      <w:marBottom w:val="0"/>
      <w:divBdr>
        <w:top w:val="none" w:sz="0" w:space="0" w:color="auto"/>
        <w:left w:val="none" w:sz="0" w:space="0" w:color="auto"/>
        <w:bottom w:val="none" w:sz="0" w:space="0" w:color="auto"/>
        <w:right w:val="none" w:sz="0" w:space="0" w:color="auto"/>
      </w:divBdr>
      <w:divsChild>
        <w:div w:id="3172089">
          <w:marLeft w:val="994"/>
          <w:marRight w:val="0"/>
          <w:marTop w:val="38"/>
          <w:marBottom w:val="0"/>
          <w:divBdr>
            <w:top w:val="none" w:sz="0" w:space="0" w:color="auto"/>
            <w:left w:val="none" w:sz="0" w:space="0" w:color="auto"/>
            <w:bottom w:val="none" w:sz="0" w:space="0" w:color="auto"/>
            <w:right w:val="none" w:sz="0" w:space="0" w:color="auto"/>
          </w:divBdr>
        </w:div>
        <w:div w:id="39205529">
          <w:marLeft w:val="994"/>
          <w:marRight w:val="0"/>
          <w:marTop w:val="38"/>
          <w:marBottom w:val="0"/>
          <w:divBdr>
            <w:top w:val="none" w:sz="0" w:space="0" w:color="auto"/>
            <w:left w:val="none" w:sz="0" w:space="0" w:color="auto"/>
            <w:bottom w:val="none" w:sz="0" w:space="0" w:color="auto"/>
            <w:right w:val="none" w:sz="0" w:space="0" w:color="auto"/>
          </w:divBdr>
        </w:div>
        <w:div w:id="67659641">
          <w:marLeft w:val="994"/>
          <w:marRight w:val="0"/>
          <w:marTop w:val="38"/>
          <w:marBottom w:val="0"/>
          <w:divBdr>
            <w:top w:val="none" w:sz="0" w:space="0" w:color="auto"/>
            <w:left w:val="none" w:sz="0" w:space="0" w:color="auto"/>
            <w:bottom w:val="none" w:sz="0" w:space="0" w:color="auto"/>
            <w:right w:val="none" w:sz="0" w:space="0" w:color="auto"/>
          </w:divBdr>
        </w:div>
        <w:div w:id="160895843">
          <w:marLeft w:val="994"/>
          <w:marRight w:val="0"/>
          <w:marTop w:val="38"/>
          <w:marBottom w:val="0"/>
          <w:divBdr>
            <w:top w:val="none" w:sz="0" w:space="0" w:color="auto"/>
            <w:left w:val="none" w:sz="0" w:space="0" w:color="auto"/>
            <w:bottom w:val="none" w:sz="0" w:space="0" w:color="auto"/>
            <w:right w:val="none" w:sz="0" w:space="0" w:color="auto"/>
          </w:divBdr>
        </w:div>
        <w:div w:id="214703018">
          <w:marLeft w:val="994"/>
          <w:marRight w:val="0"/>
          <w:marTop w:val="38"/>
          <w:marBottom w:val="0"/>
          <w:divBdr>
            <w:top w:val="none" w:sz="0" w:space="0" w:color="auto"/>
            <w:left w:val="none" w:sz="0" w:space="0" w:color="auto"/>
            <w:bottom w:val="none" w:sz="0" w:space="0" w:color="auto"/>
            <w:right w:val="none" w:sz="0" w:space="0" w:color="auto"/>
          </w:divBdr>
        </w:div>
        <w:div w:id="338965113">
          <w:marLeft w:val="994"/>
          <w:marRight w:val="0"/>
          <w:marTop w:val="38"/>
          <w:marBottom w:val="0"/>
          <w:divBdr>
            <w:top w:val="none" w:sz="0" w:space="0" w:color="auto"/>
            <w:left w:val="none" w:sz="0" w:space="0" w:color="auto"/>
            <w:bottom w:val="none" w:sz="0" w:space="0" w:color="auto"/>
            <w:right w:val="none" w:sz="0" w:space="0" w:color="auto"/>
          </w:divBdr>
        </w:div>
        <w:div w:id="345205924">
          <w:marLeft w:val="994"/>
          <w:marRight w:val="0"/>
          <w:marTop w:val="38"/>
          <w:marBottom w:val="0"/>
          <w:divBdr>
            <w:top w:val="none" w:sz="0" w:space="0" w:color="auto"/>
            <w:left w:val="none" w:sz="0" w:space="0" w:color="auto"/>
            <w:bottom w:val="none" w:sz="0" w:space="0" w:color="auto"/>
            <w:right w:val="none" w:sz="0" w:space="0" w:color="auto"/>
          </w:divBdr>
        </w:div>
        <w:div w:id="391195112">
          <w:marLeft w:val="994"/>
          <w:marRight w:val="0"/>
          <w:marTop w:val="38"/>
          <w:marBottom w:val="0"/>
          <w:divBdr>
            <w:top w:val="none" w:sz="0" w:space="0" w:color="auto"/>
            <w:left w:val="none" w:sz="0" w:space="0" w:color="auto"/>
            <w:bottom w:val="none" w:sz="0" w:space="0" w:color="auto"/>
            <w:right w:val="none" w:sz="0" w:space="0" w:color="auto"/>
          </w:divBdr>
        </w:div>
        <w:div w:id="517619333">
          <w:marLeft w:val="994"/>
          <w:marRight w:val="0"/>
          <w:marTop w:val="38"/>
          <w:marBottom w:val="0"/>
          <w:divBdr>
            <w:top w:val="none" w:sz="0" w:space="0" w:color="auto"/>
            <w:left w:val="none" w:sz="0" w:space="0" w:color="auto"/>
            <w:bottom w:val="none" w:sz="0" w:space="0" w:color="auto"/>
            <w:right w:val="none" w:sz="0" w:space="0" w:color="auto"/>
          </w:divBdr>
        </w:div>
        <w:div w:id="544219861">
          <w:marLeft w:val="994"/>
          <w:marRight w:val="0"/>
          <w:marTop w:val="38"/>
          <w:marBottom w:val="0"/>
          <w:divBdr>
            <w:top w:val="none" w:sz="0" w:space="0" w:color="auto"/>
            <w:left w:val="none" w:sz="0" w:space="0" w:color="auto"/>
            <w:bottom w:val="none" w:sz="0" w:space="0" w:color="auto"/>
            <w:right w:val="none" w:sz="0" w:space="0" w:color="auto"/>
          </w:divBdr>
        </w:div>
        <w:div w:id="559754207">
          <w:marLeft w:val="994"/>
          <w:marRight w:val="0"/>
          <w:marTop w:val="38"/>
          <w:marBottom w:val="0"/>
          <w:divBdr>
            <w:top w:val="none" w:sz="0" w:space="0" w:color="auto"/>
            <w:left w:val="none" w:sz="0" w:space="0" w:color="auto"/>
            <w:bottom w:val="none" w:sz="0" w:space="0" w:color="auto"/>
            <w:right w:val="none" w:sz="0" w:space="0" w:color="auto"/>
          </w:divBdr>
        </w:div>
        <w:div w:id="583688154">
          <w:marLeft w:val="994"/>
          <w:marRight w:val="0"/>
          <w:marTop w:val="38"/>
          <w:marBottom w:val="0"/>
          <w:divBdr>
            <w:top w:val="none" w:sz="0" w:space="0" w:color="auto"/>
            <w:left w:val="none" w:sz="0" w:space="0" w:color="auto"/>
            <w:bottom w:val="none" w:sz="0" w:space="0" w:color="auto"/>
            <w:right w:val="none" w:sz="0" w:space="0" w:color="auto"/>
          </w:divBdr>
        </w:div>
        <w:div w:id="591353931">
          <w:marLeft w:val="994"/>
          <w:marRight w:val="0"/>
          <w:marTop w:val="38"/>
          <w:marBottom w:val="0"/>
          <w:divBdr>
            <w:top w:val="none" w:sz="0" w:space="0" w:color="auto"/>
            <w:left w:val="none" w:sz="0" w:space="0" w:color="auto"/>
            <w:bottom w:val="none" w:sz="0" w:space="0" w:color="auto"/>
            <w:right w:val="none" w:sz="0" w:space="0" w:color="auto"/>
          </w:divBdr>
        </w:div>
        <w:div w:id="778992428">
          <w:marLeft w:val="274"/>
          <w:marRight w:val="0"/>
          <w:marTop w:val="38"/>
          <w:marBottom w:val="0"/>
          <w:divBdr>
            <w:top w:val="none" w:sz="0" w:space="0" w:color="auto"/>
            <w:left w:val="none" w:sz="0" w:space="0" w:color="auto"/>
            <w:bottom w:val="none" w:sz="0" w:space="0" w:color="auto"/>
            <w:right w:val="none" w:sz="0" w:space="0" w:color="auto"/>
          </w:divBdr>
        </w:div>
        <w:div w:id="838422259">
          <w:marLeft w:val="994"/>
          <w:marRight w:val="0"/>
          <w:marTop w:val="38"/>
          <w:marBottom w:val="0"/>
          <w:divBdr>
            <w:top w:val="none" w:sz="0" w:space="0" w:color="auto"/>
            <w:left w:val="none" w:sz="0" w:space="0" w:color="auto"/>
            <w:bottom w:val="none" w:sz="0" w:space="0" w:color="auto"/>
            <w:right w:val="none" w:sz="0" w:space="0" w:color="auto"/>
          </w:divBdr>
        </w:div>
        <w:div w:id="950673251">
          <w:marLeft w:val="994"/>
          <w:marRight w:val="0"/>
          <w:marTop w:val="38"/>
          <w:marBottom w:val="0"/>
          <w:divBdr>
            <w:top w:val="none" w:sz="0" w:space="0" w:color="auto"/>
            <w:left w:val="none" w:sz="0" w:space="0" w:color="auto"/>
            <w:bottom w:val="none" w:sz="0" w:space="0" w:color="auto"/>
            <w:right w:val="none" w:sz="0" w:space="0" w:color="auto"/>
          </w:divBdr>
        </w:div>
        <w:div w:id="1141074493">
          <w:marLeft w:val="994"/>
          <w:marRight w:val="0"/>
          <w:marTop w:val="38"/>
          <w:marBottom w:val="0"/>
          <w:divBdr>
            <w:top w:val="none" w:sz="0" w:space="0" w:color="auto"/>
            <w:left w:val="none" w:sz="0" w:space="0" w:color="auto"/>
            <w:bottom w:val="none" w:sz="0" w:space="0" w:color="auto"/>
            <w:right w:val="none" w:sz="0" w:space="0" w:color="auto"/>
          </w:divBdr>
        </w:div>
        <w:div w:id="1311642024">
          <w:marLeft w:val="994"/>
          <w:marRight w:val="0"/>
          <w:marTop w:val="38"/>
          <w:marBottom w:val="0"/>
          <w:divBdr>
            <w:top w:val="none" w:sz="0" w:space="0" w:color="auto"/>
            <w:left w:val="none" w:sz="0" w:space="0" w:color="auto"/>
            <w:bottom w:val="none" w:sz="0" w:space="0" w:color="auto"/>
            <w:right w:val="none" w:sz="0" w:space="0" w:color="auto"/>
          </w:divBdr>
        </w:div>
        <w:div w:id="1338271996">
          <w:marLeft w:val="994"/>
          <w:marRight w:val="0"/>
          <w:marTop w:val="38"/>
          <w:marBottom w:val="0"/>
          <w:divBdr>
            <w:top w:val="none" w:sz="0" w:space="0" w:color="auto"/>
            <w:left w:val="none" w:sz="0" w:space="0" w:color="auto"/>
            <w:bottom w:val="none" w:sz="0" w:space="0" w:color="auto"/>
            <w:right w:val="none" w:sz="0" w:space="0" w:color="auto"/>
          </w:divBdr>
        </w:div>
        <w:div w:id="1510169806">
          <w:marLeft w:val="994"/>
          <w:marRight w:val="0"/>
          <w:marTop w:val="38"/>
          <w:marBottom w:val="0"/>
          <w:divBdr>
            <w:top w:val="none" w:sz="0" w:space="0" w:color="auto"/>
            <w:left w:val="none" w:sz="0" w:space="0" w:color="auto"/>
            <w:bottom w:val="none" w:sz="0" w:space="0" w:color="auto"/>
            <w:right w:val="none" w:sz="0" w:space="0" w:color="auto"/>
          </w:divBdr>
        </w:div>
        <w:div w:id="1520924800">
          <w:marLeft w:val="994"/>
          <w:marRight w:val="0"/>
          <w:marTop w:val="38"/>
          <w:marBottom w:val="0"/>
          <w:divBdr>
            <w:top w:val="none" w:sz="0" w:space="0" w:color="auto"/>
            <w:left w:val="none" w:sz="0" w:space="0" w:color="auto"/>
            <w:bottom w:val="none" w:sz="0" w:space="0" w:color="auto"/>
            <w:right w:val="none" w:sz="0" w:space="0" w:color="auto"/>
          </w:divBdr>
        </w:div>
        <w:div w:id="1578859989">
          <w:marLeft w:val="994"/>
          <w:marRight w:val="0"/>
          <w:marTop w:val="38"/>
          <w:marBottom w:val="0"/>
          <w:divBdr>
            <w:top w:val="none" w:sz="0" w:space="0" w:color="auto"/>
            <w:left w:val="none" w:sz="0" w:space="0" w:color="auto"/>
            <w:bottom w:val="none" w:sz="0" w:space="0" w:color="auto"/>
            <w:right w:val="none" w:sz="0" w:space="0" w:color="auto"/>
          </w:divBdr>
        </w:div>
        <w:div w:id="1582252464">
          <w:marLeft w:val="994"/>
          <w:marRight w:val="0"/>
          <w:marTop w:val="38"/>
          <w:marBottom w:val="0"/>
          <w:divBdr>
            <w:top w:val="none" w:sz="0" w:space="0" w:color="auto"/>
            <w:left w:val="none" w:sz="0" w:space="0" w:color="auto"/>
            <w:bottom w:val="none" w:sz="0" w:space="0" w:color="auto"/>
            <w:right w:val="none" w:sz="0" w:space="0" w:color="auto"/>
          </w:divBdr>
        </w:div>
        <w:div w:id="1848982230">
          <w:marLeft w:val="994"/>
          <w:marRight w:val="0"/>
          <w:marTop w:val="38"/>
          <w:marBottom w:val="0"/>
          <w:divBdr>
            <w:top w:val="none" w:sz="0" w:space="0" w:color="auto"/>
            <w:left w:val="none" w:sz="0" w:space="0" w:color="auto"/>
            <w:bottom w:val="none" w:sz="0" w:space="0" w:color="auto"/>
            <w:right w:val="none" w:sz="0" w:space="0" w:color="auto"/>
          </w:divBdr>
        </w:div>
        <w:div w:id="2103336366">
          <w:marLeft w:val="994"/>
          <w:marRight w:val="0"/>
          <w:marTop w:val="38"/>
          <w:marBottom w:val="0"/>
          <w:divBdr>
            <w:top w:val="none" w:sz="0" w:space="0" w:color="auto"/>
            <w:left w:val="none" w:sz="0" w:space="0" w:color="auto"/>
            <w:bottom w:val="none" w:sz="0" w:space="0" w:color="auto"/>
            <w:right w:val="none" w:sz="0" w:space="0" w:color="auto"/>
          </w:divBdr>
        </w:div>
        <w:div w:id="2138793719">
          <w:marLeft w:val="994"/>
          <w:marRight w:val="0"/>
          <w:marTop w:val="38"/>
          <w:marBottom w:val="0"/>
          <w:divBdr>
            <w:top w:val="none" w:sz="0" w:space="0" w:color="auto"/>
            <w:left w:val="none" w:sz="0" w:space="0" w:color="auto"/>
            <w:bottom w:val="none" w:sz="0" w:space="0" w:color="auto"/>
            <w:right w:val="none" w:sz="0" w:space="0" w:color="auto"/>
          </w:divBdr>
        </w:div>
      </w:divsChild>
    </w:div>
    <w:div w:id="315189691">
      <w:bodyDiv w:val="1"/>
      <w:marLeft w:val="0"/>
      <w:marRight w:val="0"/>
      <w:marTop w:val="0"/>
      <w:marBottom w:val="0"/>
      <w:divBdr>
        <w:top w:val="none" w:sz="0" w:space="0" w:color="auto"/>
        <w:left w:val="none" w:sz="0" w:space="0" w:color="auto"/>
        <w:bottom w:val="none" w:sz="0" w:space="0" w:color="auto"/>
        <w:right w:val="none" w:sz="0" w:space="0" w:color="auto"/>
      </w:divBdr>
      <w:divsChild>
        <w:div w:id="520514404">
          <w:marLeft w:val="274"/>
          <w:marRight w:val="0"/>
          <w:marTop w:val="38"/>
          <w:marBottom w:val="0"/>
          <w:divBdr>
            <w:top w:val="none" w:sz="0" w:space="0" w:color="auto"/>
            <w:left w:val="none" w:sz="0" w:space="0" w:color="auto"/>
            <w:bottom w:val="none" w:sz="0" w:space="0" w:color="auto"/>
            <w:right w:val="none" w:sz="0" w:space="0" w:color="auto"/>
          </w:divBdr>
        </w:div>
      </w:divsChild>
    </w:div>
    <w:div w:id="327364791">
      <w:bodyDiv w:val="1"/>
      <w:marLeft w:val="0"/>
      <w:marRight w:val="0"/>
      <w:marTop w:val="0"/>
      <w:marBottom w:val="0"/>
      <w:divBdr>
        <w:top w:val="none" w:sz="0" w:space="0" w:color="auto"/>
        <w:left w:val="none" w:sz="0" w:space="0" w:color="auto"/>
        <w:bottom w:val="none" w:sz="0" w:space="0" w:color="auto"/>
        <w:right w:val="none" w:sz="0" w:space="0" w:color="auto"/>
      </w:divBdr>
    </w:div>
    <w:div w:id="333605311">
      <w:bodyDiv w:val="1"/>
      <w:marLeft w:val="0"/>
      <w:marRight w:val="0"/>
      <w:marTop w:val="0"/>
      <w:marBottom w:val="0"/>
      <w:divBdr>
        <w:top w:val="none" w:sz="0" w:space="0" w:color="auto"/>
        <w:left w:val="none" w:sz="0" w:space="0" w:color="auto"/>
        <w:bottom w:val="none" w:sz="0" w:space="0" w:color="auto"/>
        <w:right w:val="none" w:sz="0" w:space="0" w:color="auto"/>
      </w:divBdr>
    </w:div>
    <w:div w:id="345642684">
      <w:bodyDiv w:val="1"/>
      <w:marLeft w:val="0"/>
      <w:marRight w:val="0"/>
      <w:marTop w:val="0"/>
      <w:marBottom w:val="0"/>
      <w:divBdr>
        <w:top w:val="none" w:sz="0" w:space="0" w:color="auto"/>
        <w:left w:val="none" w:sz="0" w:space="0" w:color="auto"/>
        <w:bottom w:val="none" w:sz="0" w:space="0" w:color="auto"/>
        <w:right w:val="none" w:sz="0" w:space="0" w:color="auto"/>
      </w:divBdr>
    </w:div>
    <w:div w:id="347950817">
      <w:bodyDiv w:val="1"/>
      <w:marLeft w:val="0"/>
      <w:marRight w:val="0"/>
      <w:marTop w:val="0"/>
      <w:marBottom w:val="0"/>
      <w:divBdr>
        <w:top w:val="none" w:sz="0" w:space="0" w:color="auto"/>
        <w:left w:val="none" w:sz="0" w:space="0" w:color="auto"/>
        <w:bottom w:val="none" w:sz="0" w:space="0" w:color="auto"/>
        <w:right w:val="none" w:sz="0" w:space="0" w:color="auto"/>
      </w:divBdr>
      <w:divsChild>
        <w:div w:id="1609118671">
          <w:marLeft w:val="274"/>
          <w:marRight w:val="0"/>
          <w:marTop w:val="38"/>
          <w:marBottom w:val="0"/>
          <w:divBdr>
            <w:top w:val="none" w:sz="0" w:space="0" w:color="auto"/>
            <w:left w:val="none" w:sz="0" w:space="0" w:color="auto"/>
            <w:bottom w:val="none" w:sz="0" w:space="0" w:color="auto"/>
            <w:right w:val="none" w:sz="0" w:space="0" w:color="auto"/>
          </w:divBdr>
        </w:div>
      </w:divsChild>
    </w:div>
    <w:div w:id="363555236">
      <w:bodyDiv w:val="1"/>
      <w:marLeft w:val="0"/>
      <w:marRight w:val="0"/>
      <w:marTop w:val="0"/>
      <w:marBottom w:val="0"/>
      <w:divBdr>
        <w:top w:val="none" w:sz="0" w:space="0" w:color="auto"/>
        <w:left w:val="none" w:sz="0" w:space="0" w:color="auto"/>
        <w:bottom w:val="none" w:sz="0" w:space="0" w:color="auto"/>
        <w:right w:val="none" w:sz="0" w:space="0" w:color="auto"/>
      </w:divBdr>
    </w:div>
    <w:div w:id="373848480">
      <w:bodyDiv w:val="1"/>
      <w:marLeft w:val="0"/>
      <w:marRight w:val="0"/>
      <w:marTop w:val="0"/>
      <w:marBottom w:val="0"/>
      <w:divBdr>
        <w:top w:val="none" w:sz="0" w:space="0" w:color="auto"/>
        <w:left w:val="none" w:sz="0" w:space="0" w:color="auto"/>
        <w:bottom w:val="none" w:sz="0" w:space="0" w:color="auto"/>
        <w:right w:val="none" w:sz="0" w:space="0" w:color="auto"/>
      </w:divBdr>
      <w:divsChild>
        <w:div w:id="805662091">
          <w:marLeft w:val="274"/>
          <w:marRight w:val="0"/>
          <w:marTop w:val="38"/>
          <w:marBottom w:val="0"/>
          <w:divBdr>
            <w:top w:val="none" w:sz="0" w:space="0" w:color="auto"/>
            <w:left w:val="none" w:sz="0" w:space="0" w:color="auto"/>
            <w:bottom w:val="none" w:sz="0" w:space="0" w:color="auto"/>
            <w:right w:val="none" w:sz="0" w:space="0" w:color="auto"/>
          </w:divBdr>
        </w:div>
      </w:divsChild>
    </w:div>
    <w:div w:id="374087079">
      <w:bodyDiv w:val="1"/>
      <w:marLeft w:val="0"/>
      <w:marRight w:val="0"/>
      <w:marTop w:val="0"/>
      <w:marBottom w:val="0"/>
      <w:divBdr>
        <w:top w:val="none" w:sz="0" w:space="0" w:color="auto"/>
        <w:left w:val="none" w:sz="0" w:space="0" w:color="auto"/>
        <w:bottom w:val="none" w:sz="0" w:space="0" w:color="auto"/>
        <w:right w:val="none" w:sz="0" w:space="0" w:color="auto"/>
      </w:divBdr>
    </w:div>
    <w:div w:id="379786449">
      <w:bodyDiv w:val="1"/>
      <w:marLeft w:val="0"/>
      <w:marRight w:val="0"/>
      <w:marTop w:val="0"/>
      <w:marBottom w:val="0"/>
      <w:divBdr>
        <w:top w:val="none" w:sz="0" w:space="0" w:color="auto"/>
        <w:left w:val="none" w:sz="0" w:space="0" w:color="auto"/>
        <w:bottom w:val="none" w:sz="0" w:space="0" w:color="auto"/>
        <w:right w:val="none" w:sz="0" w:space="0" w:color="auto"/>
      </w:divBdr>
      <w:divsChild>
        <w:div w:id="158616468">
          <w:marLeft w:val="274"/>
          <w:marRight w:val="0"/>
          <w:marTop w:val="38"/>
          <w:marBottom w:val="0"/>
          <w:divBdr>
            <w:top w:val="none" w:sz="0" w:space="0" w:color="auto"/>
            <w:left w:val="none" w:sz="0" w:space="0" w:color="auto"/>
            <w:bottom w:val="none" w:sz="0" w:space="0" w:color="auto"/>
            <w:right w:val="none" w:sz="0" w:space="0" w:color="auto"/>
          </w:divBdr>
        </w:div>
      </w:divsChild>
    </w:div>
    <w:div w:id="380598514">
      <w:bodyDiv w:val="1"/>
      <w:marLeft w:val="0"/>
      <w:marRight w:val="0"/>
      <w:marTop w:val="0"/>
      <w:marBottom w:val="0"/>
      <w:divBdr>
        <w:top w:val="none" w:sz="0" w:space="0" w:color="auto"/>
        <w:left w:val="none" w:sz="0" w:space="0" w:color="auto"/>
        <w:bottom w:val="none" w:sz="0" w:space="0" w:color="auto"/>
        <w:right w:val="none" w:sz="0" w:space="0" w:color="auto"/>
      </w:divBdr>
    </w:div>
    <w:div w:id="388378753">
      <w:bodyDiv w:val="1"/>
      <w:marLeft w:val="0"/>
      <w:marRight w:val="0"/>
      <w:marTop w:val="0"/>
      <w:marBottom w:val="0"/>
      <w:divBdr>
        <w:top w:val="none" w:sz="0" w:space="0" w:color="auto"/>
        <w:left w:val="none" w:sz="0" w:space="0" w:color="auto"/>
        <w:bottom w:val="none" w:sz="0" w:space="0" w:color="auto"/>
        <w:right w:val="none" w:sz="0" w:space="0" w:color="auto"/>
      </w:divBdr>
    </w:div>
    <w:div w:id="398864494">
      <w:bodyDiv w:val="1"/>
      <w:marLeft w:val="0"/>
      <w:marRight w:val="0"/>
      <w:marTop w:val="0"/>
      <w:marBottom w:val="0"/>
      <w:divBdr>
        <w:top w:val="none" w:sz="0" w:space="0" w:color="auto"/>
        <w:left w:val="none" w:sz="0" w:space="0" w:color="auto"/>
        <w:bottom w:val="none" w:sz="0" w:space="0" w:color="auto"/>
        <w:right w:val="none" w:sz="0" w:space="0" w:color="auto"/>
      </w:divBdr>
    </w:div>
    <w:div w:id="400714772">
      <w:bodyDiv w:val="1"/>
      <w:marLeft w:val="0"/>
      <w:marRight w:val="0"/>
      <w:marTop w:val="0"/>
      <w:marBottom w:val="0"/>
      <w:divBdr>
        <w:top w:val="none" w:sz="0" w:space="0" w:color="auto"/>
        <w:left w:val="none" w:sz="0" w:space="0" w:color="auto"/>
        <w:bottom w:val="none" w:sz="0" w:space="0" w:color="auto"/>
        <w:right w:val="none" w:sz="0" w:space="0" w:color="auto"/>
      </w:divBdr>
    </w:div>
    <w:div w:id="408161953">
      <w:bodyDiv w:val="1"/>
      <w:marLeft w:val="0"/>
      <w:marRight w:val="0"/>
      <w:marTop w:val="0"/>
      <w:marBottom w:val="0"/>
      <w:divBdr>
        <w:top w:val="none" w:sz="0" w:space="0" w:color="auto"/>
        <w:left w:val="none" w:sz="0" w:space="0" w:color="auto"/>
        <w:bottom w:val="none" w:sz="0" w:space="0" w:color="auto"/>
        <w:right w:val="none" w:sz="0" w:space="0" w:color="auto"/>
      </w:divBdr>
      <w:divsChild>
        <w:div w:id="706881559">
          <w:marLeft w:val="274"/>
          <w:marRight w:val="0"/>
          <w:marTop w:val="38"/>
          <w:marBottom w:val="0"/>
          <w:divBdr>
            <w:top w:val="none" w:sz="0" w:space="0" w:color="auto"/>
            <w:left w:val="none" w:sz="0" w:space="0" w:color="auto"/>
            <w:bottom w:val="none" w:sz="0" w:space="0" w:color="auto"/>
            <w:right w:val="none" w:sz="0" w:space="0" w:color="auto"/>
          </w:divBdr>
        </w:div>
      </w:divsChild>
    </w:div>
    <w:div w:id="424348543">
      <w:bodyDiv w:val="1"/>
      <w:marLeft w:val="0"/>
      <w:marRight w:val="0"/>
      <w:marTop w:val="0"/>
      <w:marBottom w:val="0"/>
      <w:divBdr>
        <w:top w:val="none" w:sz="0" w:space="0" w:color="auto"/>
        <w:left w:val="none" w:sz="0" w:space="0" w:color="auto"/>
        <w:bottom w:val="none" w:sz="0" w:space="0" w:color="auto"/>
        <w:right w:val="none" w:sz="0" w:space="0" w:color="auto"/>
      </w:divBdr>
    </w:div>
    <w:div w:id="437216155">
      <w:bodyDiv w:val="1"/>
      <w:marLeft w:val="0"/>
      <w:marRight w:val="0"/>
      <w:marTop w:val="0"/>
      <w:marBottom w:val="0"/>
      <w:divBdr>
        <w:top w:val="none" w:sz="0" w:space="0" w:color="auto"/>
        <w:left w:val="none" w:sz="0" w:space="0" w:color="auto"/>
        <w:bottom w:val="none" w:sz="0" w:space="0" w:color="auto"/>
        <w:right w:val="none" w:sz="0" w:space="0" w:color="auto"/>
      </w:divBdr>
      <w:divsChild>
        <w:div w:id="2129347749">
          <w:marLeft w:val="446"/>
          <w:marRight w:val="0"/>
          <w:marTop w:val="67"/>
          <w:marBottom w:val="0"/>
          <w:divBdr>
            <w:top w:val="none" w:sz="0" w:space="0" w:color="auto"/>
            <w:left w:val="none" w:sz="0" w:space="0" w:color="auto"/>
            <w:bottom w:val="none" w:sz="0" w:space="0" w:color="auto"/>
            <w:right w:val="none" w:sz="0" w:space="0" w:color="auto"/>
          </w:divBdr>
        </w:div>
      </w:divsChild>
    </w:div>
    <w:div w:id="465584532">
      <w:bodyDiv w:val="1"/>
      <w:marLeft w:val="0"/>
      <w:marRight w:val="0"/>
      <w:marTop w:val="0"/>
      <w:marBottom w:val="0"/>
      <w:divBdr>
        <w:top w:val="none" w:sz="0" w:space="0" w:color="auto"/>
        <w:left w:val="none" w:sz="0" w:space="0" w:color="auto"/>
        <w:bottom w:val="none" w:sz="0" w:space="0" w:color="auto"/>
        <w:right w:val="none" w:sz="0" w:space="0" w:color="auto"/>
      </w:divBdr>
      <w:divsChild>
        <w:div w:id="927885090">
          <w:marLeft w:val="274"/>
          <w:marRight w:val="0"/>
          <w:marTop w:val="38"/>
          <w:marBottom w:val="0"/>
          <w:divBdr>
            <w:top w:val="none" w:sz="0" w:space="0" w:color="auto"/>
            <w:left w:val="none" w:sz="0" w:space="0" w:color="auto"/>
            <w:bottom w:val="none" w:sz="0" w:space="0" w:color="auto"/>
            <w:right w:val="none" w:sz="0" w:space="0" w:color="auto"/>
          </w:divBdr>
        </w:div>
      </w:divsChild>
    </w:div>
    <w:div w:id="472212871">
      <w:bodyDiv w:val="1"/>
      <w:marLeft w:val="0"/>
      <w:marRight w:val="0"/>
      <w:marTop w:val="0"/>
      <w:marBottom w:val="0"/>
      <w:divBdr>
        <w:top w:val="none" w:sz="0" w:space="0" w:color="auto"/>
        <w:left w:val="none" w:sz="0" w:space="0" w:color="auto"/>
        <w:bottom w:val="none" w:sz="0" w:space="0" w:color="auto"/>
        <w:right w:val="none" w:sz="0" w:space="0" w:color="auto"/>
      </w:divBdr>
      <w:divsChild>
        <w:div w:id="2054112415">
          <w:marLeft w:val="274"/>
          <w:marRight w:val="0"/>
          <w:marTop w:val="38"/>
          <w:marBottom w:val="0"/>
          <w:divBdr>
            <w:top w:val="none" w:sz="0" w:space="0" w:color="auto"/>
            <w:left w:val="none" w:sz="0" w:space="0" w:color="auto"/>
            <w:bottom w:val="none" w:sz="0" w:space="0" w:color="auto"/>
            <w:right w:val="none" w:sz="0" w:space="0" w:color="auto"/>
          </w:divBdr>
        </w:div>
      </w:divsChild>
    </w:div>
    <w:div w:id="487477920">
      <w:bodyDiv w:val="1"/>
      <w:marLeft w:val="0"/>
      <w:marRight w:val="0"/>
      <w:marTop w:val="0"/>
      <w:marBottom w:val="0"/>
      <w:divBdr>
        <w:top w:val="none" w:sz="0" w:space="0" w:color="auto"/>
        <w:left w:val="none" w:sz="0" w:space="0" w:color="auto"/>
        <w:bottom w:val="none" w:sz="0" w:space="0" w:color="auto"/>
        <w:right w:val="none" w:sz="0" w:space="0" w:color="auto"/>
      </w:divBdr>
      <w:divsChild>
        <w:div w:id="1006132785">
          <w:marLeft w:val="274"/>
          <w:marRight w:val="0"/>
          <w:marTop w:val="38"/>
          <w:marBottom w:val="0"/>
          <w:divBdr>
            <w:top w:val="none" w:sz="0" w:space="0" w:color="auto"/>
            <w:left w:val="none" w:sz="0" w:space="0" w:color="auto"/>
            <w:bottom w:val="none" w:sz="0" w:space="0" w:color="auto"/>
            <w:right w:val="none" w:sz="0" w:space="0" w:color="auto"/>
          </w:divBdr>
        </w:div>
      </w:divsChild>
    </w:div>
    <w:div w:id="488324126">
      <w:bodyDiv w:val="1"/>
      <w:marLeft w:val="0"/>
      <w:marRight w:val="0"/>
      <w:marTop w:val="0"/>
      <w:marBottom w:val="0"/>
      <w:divBdr>
        <w:top w:val="none" w:sz="0" w:space="0" w:color="auto"/>
        <w:left w:val="none" w:sz="0" w:space="0" w:color="auto"/>
        <w:bottom w:val="none" w:sz="0" w:space="0" w:color="auto"/>
        <w:right w:val="none" w:sz="0" w:space="0" w:color="auto"/>
      </w:divBdr>
    </w:div>
    <w:div w:id="498813186">
      <w:bodyDiv w:val="1"/>
      <w:marLeft w:val="0"/>
      <w:marRight w:val="0"/>
      <w:marTop w:val="0"/>
      <w:marBottom w:val="0"/>
      <w:divBdr>
        <w:top w:val="none" w:sz="0" w:space="0" w:color="auto"/>
        <w:left w:val="none" w:sz="0" w:space="0" w:color="auto"/>
        <w:bottom w:val="none" w:sz="0" w:space="0" w:color="auto"/>
        <w:right w:val="none" w:sz="0" w:space="0" w:color="auto"/>
      </w:divBdr>
      <w:divsChild>
        <w:div w:id="685834244">
          <w:marLeft w:val="274"/>
          <w:marRight w:val="0"/>
          <w:marTop w:val="38"/>
          <w:marBottom w:val="0"/>
          <w:divBdr>
            <w:top w:val="none" w:sz="0" w:space="0" w:color="auto"/>
            <w:left w:val="none" w:sz="0" w:space="0" w:color="auto"/>
            <w:bottom w:val="none" w:sz="0" w:space="0" w:color="auto"/>
            <w:right w:val="none" w:sz="0" w:space="0" w:color="auto"/>
          </w:divBdr>
        </w:div>
        <w:div w:id="1279140206">
          <w:marLeft w:val="274"/>
          <w:marRight w:val="0"/>
          <w:marTop w:val="38"/>
          <w:marBottom w:val="0"/>
          <w:divBdr>
            <w:top w:val="none" w:sz="0" w:space="0" w:color="auto"/>
            <w:left w:val="none" w:sz="0" w:space="0" w:color="auto"/>
            <w:bottom w:val="none" w:sz="0" w:space="0" w:color="auto"/>
            <w:right w:val="none" w:sz="0" w:space="0" w:color="auto"/>
          </w:divBdr>
        </w:div>
      </w:divsChild>
    </w:div>
    <w:div w:id="510219185">
      <w:bodyDiv w:val="1"/>
      <w:marLeft w:val="0"/>
      <w:marRight w:val="0"/>
      <w:marTop w:val="0"/>
      <w:marBottom w:val="0"/>
      <w:divBdr>
        <w:top w:val="none" w:sz="0" w:space="0" w:color="auto"/>
        <w:left w:val="none" w:sz="0" w:space="0" w:color="auto"/>
        <w:bottom w:val="none" w:sz="0" w:space="0" w:color="auto"/>
        <w:right w:val="none" w:sz="0" w:space="0" w:color="auto"/>
      </w:divBdr>
    </w:div>
    <w:div w:id="514346793">
      <w:bodyDiv w:val="1"/>
      <w:marLeft w:val="0"/>
      <w:marRight w:val="0"/>
      <w:marTop w:val="0"/>
      <w:marBottom w:val="0"/>
      <w:divBdr>
        <w:top w:val="none" w:sz="0" w:space="0" w:color="auto"/>
        <w:left w:val="none" w:sz="0" w:space="0" w:color="auto"/>
        <w:bottom w:val="none" w:sz="0" w:space="0" w:color="auto"/>
        <w:right w:val="none" w:sz="0" w:space="0" w:color="auto"/>
      </w:divBdr>
    </w:div>
    <w:div w:id="515847685">
      <w:bodyDiv w:val="1"/>
      <w:marLeft w:val="0"/>
      <w:marRight w:val="0"/>
      <w:marTop w:val="0"/>
      <w:marBottom w:val="0"/>
      <w:divBdr>
        <w:top w:val="none" w:sz="0" w:space="0" w:color="auto"/>
        <w:left w:val="none" w:sz="0" w:space="0" w:color="auto"/>
        <w:bottom w:val="none" w:sz="0" w:space="0" w:color="auto"/>
        <w:right w:val="none" w:sz="0" w:space="0" w:color="auto"/>
      </w:divBdr>
      <w:divsChild>
        <w:div w:id="572082632">
          <w:marLeft w:val="274"/>
          <w:marRight w:val="0"/>
          <w:marTop w:val="38"/>
          <w:marBottom w:val="0"/>
          <w:divBdr>
            <w:top w:val="none" w:sz="0" w:space="0" w:color="auto"/>
            <w:left w:val="none" w:sz="0" w:space="0" w:color="auto"/>
            <w:bottom w:val="none" w:sz="0" w:space="0" w:color="auto"/>
            <w:right w:val="none" w:sz="0" w:space="0" w:color="auto"/>
          </w:divBdr>
        </w:div>
      </w:divsChild>
    </w:div>
    <w:div w:id="528831979">
      <w:bodyDiv w:val="1"/>
      <w:marLeft w:val="0"/>
      <w:marRight w:val="0"/>
      <w:marTop w:val="0"/>
      <w:marBottom w:val="0"/>
      <w:divBdr>
        <w:top w:val="none" w:sz="0" w:space="0" w:color="auto"/>
        <w:left w:val="none" w:sz="0" w:space="0" w:color="auto"/>
        <w:bottom w:val="none" w:sz="0" w:space="0" w:color="auto"/>
        <w:right w:val="none" w:sz="0" w:space="0" w:color="auto"/>
      </w:divBdr>
    </w:div>
    <w:div w:id="529802931">
      <w:bodyDiv w:val="1"/>
      <w:marLeft w:val="0"/>
      <w:marRight w:val="0"/>
      <w:marTop w:val="0"/>
      <w:marBottom w:val="0"/>
      <w:divBdr>
        <w:top w:val="none" w:sz="0" w:space="0" w:color="auto"/>
        <w:left w:val="none" w:sz="0" w:space="0" w:color="auto"/>
        <w:bottom w:val="none" w:sz="0" w:space="0" w:color="auto"/>
        <w:right w:val="none" w:sz="0" w:space="0" w:color="auto"/>
      </w:divBdr>
      <w:divsChild>
        <w:div w:id="1791514050">
          <w:marLeft w:val="274"/>
          <w:marRight w:val="0"/>
          <w:marTop w:val="38"/>
          <w:marBottom w:val="0"/>
          <w:divBdr>
            <w:top w:val="none" w:sz="0" w:space="0" w:color="auto"/>
            <w:left w:val="none" w:sz="0" w:space="0" w:color="auto"/>
            <w:bottom w:val="none" w:sz="0" w:space="0" w:color="auto"/>
            <w:right w:val="none" w:sz="0" w:space="0" w:color="auto"/>
          </w:divBdr>
        </w:div>
      </w:divsChild>
    </w:div>
    <w:div w:id="537199978">
      <w:bodyDiv w:val="1"/>
      <w:marLeft w:val="0"/>
      <w:marRight w:val="0"/>
      <w:marTop w:val="0"/>
      <w:marBottom w:val="0"/>
      <w:divBdr>
        <w:top w:val="none" w:sz="0" w:space="0" w:color="auto"/>
        <w:left w:val="none" w:sz="0" w:space="0" w:color="auto"/>
        <w:bottom w:val="none" w:sz="0" w:space="0" w:color="auto"/>
        <w:right w:val="none" w:sz="0" w:space="0" w:color="auto"/>
      </w:divBdr>
      <w:divsChild>
        <w:div w:id="36778019">
          <w:marLeft w:val="0"/>
          <w:marRight w:val="0"/>
          <w:marTop w:val="0"/>
          <w:marBottom w:val="0"/>
          <w:divBdr>
            <w:top w:val="none" w:sz="0" w:space="0" w:color="auto"/>
            <w:left w:val="none" w:sz="0" w:space="0" w:color="auto"/>
            <w:bottom w:val="none" w:sz="0" w:space="0" w:color="auto"/>
            <w:right w:val="none" w:sz="0" w:space="0" w:color="auto"/>
          </w:divBdr>
        </w:div>
        <w:div w:id="54477822">
          <w:marLeft w:val="0"/>
          <w:marRight w:val="0"/>
          <w:marTop w:val="0"/>
          <w:marBottom w:val="0"/>
          <w:divBdr>
            <w:top w:val="none" w:sz="0" w:space="0" w:color="auto"/>
            <w:left w:val="none" w:sz="0" w:space="0" w:color="auto"/>
            <w:bottom w:val="none" w:sz="0" w:space="0" w:color="auto"/>
            <w:right w:val="none" w:sz="0" w:space="0" w:color="auto"/>
          </w:divBdr>
        </w:div>
        <w:div w:id="108550363">
          <w:marLeft w:val="0"/>
          <w:marRight w:val="0"/>
          <w:marTop w:val="0"/>
          <w:marBottom w:val="0"/>
          <w:divBdr>
            <w:top w:val="none" w:sz="0" w:space="0" w:color="auto"/>
            <w:left w:val="none" w:sz="0" w:space="0" w:color="auto"/>
            <w:bottom w:val="none" w:sz="0" w:space="0" w:color="auto"/>
            <w:right w:val="none" w:sz="0" w:space="0" w:color="auto"/>
          </w:divBdr>
        </w:div>
        <w:div w:id="214514395">
          <w:marLeft w:val="0"/>
          <w:marRight w:val="0"/>
          <w:marTop w:val="0"/>
          <w:marBottom w:val="0"/>
          <w:divBdr>
            <w:top w:val="none" w:sz="0" w:space="0" w:color="auto"/>
            <w:left w:val="none" w:sz="0" w:space="0" w:color="auto"/>
            <w:bottom w:val="none" w:sz="0" w:space="0" w:color="auto"/>
            <w:right w:val="none" w:sz="0" w:space="0" w:color="auto"/>
          </w:divBdr>
        </w:div>
        <w:div w:id="291443869">
          <w:marLeft w:val="0"/>
          <w:marRight w:val="0"/>
          <w:marTop w:val="0"/>
          <w:marBottom w:val="0"/>
          <w:divBdr>
            <w:top w:val="none" w:sz="0" w:space="0" w:color="auto"/>
            <w:left w:val="none" w:sz="0" w:space="0" w:color="auto"/>
            <w:bottom w:val="none" w:sz="0" w:space="0" w:color="auto"/>
            <w:right w:val="none" w:sz="0" w:space="0" w:color="auto"/>
          </w:divBdr>
        </w:div>
        <w:div w:id="342512476">
          <w:marLeft w:val="0"/>
          <w:marRight w:val="0"/>
          <w:marTop w:val="0"/>
          <w:marBottom w:val="0"/>
          <w:divBdr>
            <w:top w:val="none" w:sz="0" w:space="0" w:color="auto"/>
            <w:left w:val="none" w:sz="0" w:space="0" w:color="auto"/>
            <w:bottom w:val="none" w:sz="0" w:space="0" w:color="auto"/>
            <w:right w:val="none" w:sz="0" w:space="0" w:color="auto"/>
          </w:divBdr>
        </w:div>
        <w:div w:id="614361153">
          <w:marLeft w:val="0"/>
          <w:marRight w:val="0"/>
          <w:marTop w:val="0"/>
          <w:marBottom w:val="0"/>
          <w:divBdr>
            <w:top w:val="none" w:sz="0" w:space="0" w:color="auto"/>
            <w:left w:val="none" w:sz="0" w:space="0" w:color="auto"/>
            <w:bottom w:val="none" w:sz="0" w:space="0" w:color="auto"/>
            <w:right w:val="none" w:sz="0" w:space="0" w:color="auto"/>
          </w:divBdr>
        </w:div>
        <w:div w:id="790512923">
          <w:marLeft w:val="0"/>
          <w:marRight w:val="0"/>
          <w:marTop w:val="0"/>
          <w:marBottom w:val="0"/>
          <w:divBdr>
            <w:top w:val="none" w:sz="0" w:space="0" w:color="auto"/>
            <w:left w:val="none" w:sz="0" w:space="0" w:color="auto"/>
            <w:bottom w:val="none" w:sz="0" w:space="0" w:color="auto"/>
            <w:right w:val="none" w:sz="0" w:space="0" w:color="auto"/>
          </w:divBdr>
        </w:div>
        <w:div w:id="856892382">
          <w:marLeft w:val="0"/>
          <w:marRight w:val="0"/>
          <w:marTop w:val="0"/>
          <w:marBottom w:val="0"/>
          <w:divBdr>
            <w:top w:val="none" w:sz="0" w:space="0" w:color="auto"/>
            <w:left w:val="none" w:sz="0" w:space="0" w:color="auto"/>
            <w:bottom w:val="none" w:sz="0" w:space="0" w:color="auto"/>
            <w:right w:val="none" w:sz="0" w:space="0" w:color="auto"/>
          </w:divBdr>
        </w:div>
        <w:div w:id="997196678">
          <w:marLeft w:val="0"/>
          <w:marRight w:val="0"/>
          <w:marTop w:val="0"/>
          <w:marBottom w:val="0"/>
          <w:divBdr>
            <w:top w:val="none" w:sz="0" w:space="0" w:color="auto"/>
            <w:left w:val="none" w:sz="0" w:space="0" w:color="auto"/>
            <w:bottom w:val="none" w:sz="0" w:space="0" w:color="auto"/>
            <w:right w:val="none" w:sz="0" w:space="0" w:color="auto"/>
          </w:divBdr>
        </w:div>
        <w:div w:id="1038357429">
          <w:marLeft w:val="0"/>
          <w:marRight w:val="0"/>
          <w:marTop w:val="0"/>
          <w:marBottom w:val="0"/>
          <w:divBdr>
            <w:top w:val="none" w:sz="0" w:space="0" w:color="auto"/>
            <w:left w:val="none" w:sz="0" w:space="0" w:color="auto"/>
            <w:bottom w:val="none" w:sz="0" w:space="0" w:color="auto"/>
            <w:right w:val="none" w:sz="0" w:space="0" w:color="auto"/>
          </w:divBdr>
        </w:div>
        <w:div w:id="1126313631">
          <w:marLeft w:val="0"/>
          <w:marRight w:val="0"/>
          <w:marTop w:val="0"/>
          <w:marBottom w:val="0"/>
          <w:divBdr>
            <w:top w:val="none" w:sz="0" w:space="0" w:color="auto"/>
            <w:left w:val="none" w:sz="0" w:space="0" w:color="auto"/>
            <w:bottom w:val="none" w:sz="0" w:space="0" w:color="auto"/>
            <w:right w:val="none" w:sz="0" w:space="0" w:color="auto"/>
          </w:divBdr>
        </w:div>
        <w:div w:id="1207261346">
          <w:marLeft w:val="0"/>
          <w:marRight w:val="0"/>
          <w:marTop w:val="0"/>
          <w:marBottom w:val="0"/>
          <w:divBdr>
            <w:top w:val="none" w:sz="0" w:space="0" w:color="auto"/>
            <w:left w:val="none" w:sz="0" w:space="0" w:color="auto"/>
            <w:bottom w:val="none" w:sz="0" w:space="0" w:color="auto"/>
            <w:right w:val="none" w:sz="0" w:space="0" w:color="auto"/>
          </w:divBdr>
        </w:div>
        <w:div w:id="1342396270">
          <w:marLeft w:val="0"/>
          <w:marRight w:val="0"/>
          <w:marTop w:val="0"/>
          <w:marBottom w:val="0"/>
          <w:divBdr>
            <w:top w:val="none" w:sz="0" w:space="0" w:color="auto"/>
            <w:left w:val="none" w:sz="0" w:space="0" w:color="auto"/>
            <w:bottom w:val="none" w:sz="0" w:space="0" w:color="auto"/>
            <w:right w:val="none" w:sz="0" w:space="0" w:color="auto"/>
          </w:divBdr>
        </w:div>
        <w:div w:id="1367830162">
          <w:marLeft w:val="0"/>
          <w:marRight w:val="0"/>
          <w:marTop w:val="0"/>
          <w:marBottom w:val="0"/>
          <w:divBdr>
            <w:top w:val="none" w:sz="0" w:space="0" w:color="auto"/>
            <w:left w:val="none" w:sz="0" w:space="0" w:color="auto"/>
            <w:bottom w:val="none" w:sz="0" w:space="0" w:color="auto"/>
            <w:right w:val="none" w:sz="0" w:space="0" w:color="auto"/>
          </w:divBdr>
        </w:div>
        <w:div w:id="1373577679">
          <w:marLeft w:val="0"/>
          <w:marRight w:val="0"/>
          <w:marTop w:val="0"/>
          <w:marBottom w:val="0"/>
          <w:divBdr>
            <w:top w:val="none" w:sz="0" w:space="0" w:color="auto"/>
            <w:left w:val="none" w:sz="0" w:space="0" w:color="auto"/>
            <w:bottom w:val="none" w:sz="0" w:space="0" w:color="auto"/>
            <w:right w:val="none" w:sz="0" w:space="0" w:color="auto"/>
          </w:divBdr>
        </w:div>
        <w:div w:id="1408990824">
          <w:marLeft w:val="0"/>
          <w:marRight w:val="0"/>
          <w:marTop w:val="0"/>
          <w:marBottom w:val="0"/>
          <w:divBdr>
            <w:top w:val="none" w:sz="0" w:space="0" w:color="auto"/>
            <w:left w:val="none" w:sz="0" w:space="0" w:color="auto"/>
            <w:bottom w:val="none" w:sz="0" w:space="0" w:color="auto"/>
            <w:right w:val="none" w:sz="0" w:space="0" w:color="auto"/>
          </w:divBdr>
        </w:div>
        <w:div w:id="1500121565">
          <w:marLeft w:val="0"/>
          <w:marRight w:val="0"/>
          <w:marTop w:val="0"/>
          <w:marBottom w:val="0"/>
          <w:divBdr>
            <w:top w:val="none" w:sz="0" w:space="0" w:color="auto"/>
            <w:left w:val="none" w:sz="0" w:space="0" w:color="auto"/>
            <w:bottom w:val="none" w:sz="0" w:space="0" w:color="auto"/>
            <w:right w:val="none" w:sz="0" w:space="0" w:color="auto"/>
          </w:divBdr>
        </w:div>
        <w:div w:id="1773623077">
          <w:marLeft w:val="0"/>
          <w:marRight w:val="0"/>
          <w:marTop w:val="0"/>
          <w:marBottom w:val="0"/>
          <w:divBdr>
            <w:top w:val="none" w:sz="0" w:space="0" w:color="auto"/>
            <w:left w:val="none" w:sz="0" w:space="0" w:color="auto"/>
            <w:bottom w:val="none" w:sz="0" w:space="0" w:color="auto"/>
            <w:right w:val="none" w:sz="0" w:space="0" w:color="auto"/>
          </w:divBdr>
        </w:div>
        <w:div w:id="1806312556">
          <w:marLeft w:val="0"/>
          <w:marRight w:val="0"/>
          <w:marTop w:val="0"/>
          <w:marBottom w:val="0"/>
          <w:divBdr>
            <w:top w:val="none" w:sz="0" w:space="0" w:color="auto"/>
            <w:left w:val="none" w:sz="0" w:space="0" w:color="auto"/>
            <w:bottom w:val="none" w:sz="0" w:space="0" w:color="auto"/>
            <w:right w:val="none" w:sz="0" w:space="0" w:color="auto"/>
          </w:divBdr>
        </w:div>
        <w:div w:id="1847474488">
          <w:marLeft w:val="0"/>
          <w:marRight w:val="0"/>
          <w:marTop w:val="0"/>
          <w:marBottom w:val="0"/>
          <w:divBdr>
            <w:top w:val="none" w:sz="0" w:space="0" w:color="auto"/>
            <w:left w:val="none" w:sz="0" w:space="0" w:color="auto"/>
            <w:bottom w:val="none" w:sz="0" w:space="0" w:color="auto"/>
            <w:right w:val="none" w:sz="0" w:space="0" w:color="auto"/>
          </w:divBdr>
        </w:div>
        <w:div w:id="2049721008">
          <w:marLeft w:val="0"/>
          <w:marRight w:val="0"/>
          <w:marTop w:val="0"/>
          <w:marBottom w:val="0"/>
          <w:divBdr>
            <w:top w:val="none" w:sz="0" w:space="0" w:color="auto"/>
            <w:left w:val="none" w:sz="0" w:space="0" w:color="auto"/>
            <w:bottom w:val="none" w:sz="0" w:space="0" w:color="auto"/>
            <w:right w:val="none" w:sz="0" w:space="0" w:color="auto"/>
          </w:divBdr>
        </w:div>
        <w:div w:id="2118521768">
          <w:marLeft w:val="0"/>
          <w:marRight w:val="0"/>
          <w:marTop w:val="0"/>
          <w:marBottom w:val="0"/>
          <w:divBdr>
            <w:top w:val="none" w:sz="0" w:space="0" w:color="auto"/>
            <w:left w:val="none" w:sz="0" w:space="0" w:color="auto"/>
            <w:bottom w:val="none" w:sz="0" w:space="0" w:color="auto"/>
            <w:right w:val="none" w:sz="0" w:space="0" w:color="auto"/>
          </w:divBdr>
        </w:div>
        <w:div w:id="2135252736">
          <w:marLeft w:val="0"/>
          <w:marRight w:val="0"/>
          <w:marTop w:val="0"/>
          <w:marBottom w:val="0"/>
          <w:divBdr>
            <w:top w:val="none" w:sz="0" w:space="0" w:color="auto"/>
            <w:left w:val="none" w:sz="0" w:space="0" w:color="auto"/>
            <w:bottom w:val="none" w:sz="0" w:space="0" w:color="auto"/>
            <w:right w:val="none" w:sz="0" w:space="0" w:color="auto"/>
          </w:divBdr>
        </w:div>
      </w:divsChild>
    </w:div>
    <w:div w:id="538862506">
      <w:bodyDiv w:val="1"/>
      <w:marLeft w:val="0"/>
      <w:marRight w:val="0"/>
      <w:marTop w:val="0"/>
      <w:marBottom w:val="0"/>
      <w:divBdr>
        <w:top w:val="none" w:sz="0" w:space="0" w:color="auto"/>
        <w:left w:val="none" w:sz="0" w:space="0" w:color="auto"/>
        <w:bottom w:val="none" w:sz="0" w:space="0" w:color="auto"/>
        <w:right w:val="none" w:sz="0" w:space="0" w:color="auto"/>
      </w:divBdr>
    </w:div>
    <w:div w:id="551616751">
      <w:bodyDiv w:val="1"/>
      <w:marLeft w:val="0"/>
      <w:marRight w:val="0"/>
      <w:marTop w:val="0"/>
      <w:marBottom w:val="0"/>
      <w:divBdr>
        <w:top w:val="none" w:sz="0" w:space="0" w:color="auto"/>
        <w:left w:val="none" w:sz="0" w:space="0" w:color="auto"/>
        <w:bottom w:val="none" w:sz="0" w:space="0" w:color="auto"/>
        <w:right w:val="none" w:sz="0" w:space="0" w:color="auto"/>
      </w:divBdr>
    </w:div>
    <w:div w:id="551884324">
      <w:bodyDiv w:val="1"/>
      <w:marLeft w:val="0"/>
      <w:marRight w:val="0"/>
      <w:marTop w:val="0"/>
      <w:marBottom w:val="0"/>
      <w:divBdr>
        <w:top w:val="none" w:sz="0" w:space="0" w:color="auto"/>
        <w:left w:val="none" w:sz="0" w:space="0" w:color="auto"/>
        <w:bottom w:val="none" w:sz="0" w:space="0" w:color="auto"/>
        <w:right w:val="none" w:sz="0" w:space="0" w:color="auto"/>
      </w:divBdr>
      <w:divsChild>
        <w:div w:id="1345479628">
          <w:marLeft w:val="274"/>
          <w:marRight w:val="0"/>
          <w:marTop w:val="38"/>
          <w:marBottom w:val="0"/>
          <w:divBdr>
            <w:top w:val="none" w:sz="0" w:space="0" w:color="auto"/>
            <w:left w:val="none" w:sz="0" w:space="0" w:color="auto"/>
            <w:bottom w:val="none" w:sz="0" w:space="0" w:color="auto"/>
            <w:right w:val="none" w:sz="0" w:space="0" w:color="auto"/>
          </w:divBdr>
        </w:div>
      </w:divsChild>
    </w:div>
    <w:div w:id="554243555">
      <w:bodyDiv w:val="1"/>
      <w:marLeft w:val="0"/>
      <w:marRight w:val="0"/>
      <w:marTop w:val="0"/>
      <w:marBottom w:val="0"/>
      <w:divBdr>
        <w:top w:val="none" w:sz="0" w:space="0" w:color="auto"/>
        <w:left w:val="none" w:sz="0" w:space="0" w:color="auto"/>
        <w:bottom w:val="none" w:sz="0" w:space="0" w:color="auto"/>
        <w:right w:val="none" w:sz="0" w:space="0" w:color="auto"/>
      </w:divBdr>
    </w:div>
    <w:div w:id="559558129">
      <w:bodyDiv w:val="1"/>
      <w:marLeft w:val="0"/>
      <w:marRight w:val="0"/>
      <w:marTop w:val="0"/>
      <w:marBottom w:val="0"/>
      <w:divBdr>
        <w:top w:val="none" w:sz="0" w:space="0" w:color="auto"/>
        <w:left w:val="none" w:sz="0" w:space="0" w:color="auto"/>
        <w:bottom w:val="none" w:sz="0" w:space="0" w:color="auto"/>
        <w:right w:val="none" w:sz="0" w:space="0" w:color="auto"/>
      </w:divBdr>
      <w:divsChild>
        <w:div w:id="794904443">
          <w:marLeft w:val="274"/>
          <w:marRight w:val="0"/>
          <w:marTop w:val="38"/>
          <w:marBottom w:val="0"/>
          <w:divBdr>
            <w:top w:val="none" w:sz="0" w:space="0" w:color="auto"/>
            <w:left w:val="none" w:sz="0" w:space="0" w:color="auto"/>
            <w:bottom w:val="none" w:sz="0" w:space="0" w:color="auto"/>
            <w:right w:val="none" w:sz="0" w:space="0" w:color="auto"/>
          </w:divBdr>
        </w:div>
        <w:div w:id="914978141">
          <w:marLeft w:val="274"/>
          <w:marRight w:val="0"/>
          <w:marTop w:val="38"/>
          <w:marBottom w:val="0"/>
          <w:divBdr>
            <w:top w:val="none" w:sz="0" w:space="0" w:color="auto"/>
            <w:left w:val="none" w:sz="0" w:space="0" w:color="auto"/>
            <w:bottom w:val="none" w:sz="0" w:space="0" w:color="auto"/>
            <w:right w:val="none" w:sz="0" w:space="0" w:color="auto"/>
          </w:divBdr>
        </w:div>
        <w:div w:id="1805811484">
          <w:marLeft w:val="274"/>
          <w:marRight w:val="0"/>
          <w:marTop w:val="38"/>
          <w:marBottom w:val="0"/>
          <w:divBdr>
            <w:top w:val="none" w:sz="0" w:space="0" w:color="auto"/>
            <w:left w:val="none" w:sz="0" w:space="0" w:color="auto"/>
            <w:bottom w:val="none" w:sz="0" w:space="0" w:color="auto"/>
            <w:right w:val="none" w:sz="0" w:space="0" w:color="auto"/>
          </w:divBdr>
        </w:div>
      </w:divsChild>
    </w:div>
    <w:div w:id="599025738">
      <w:bodyDiv w:val="1"/>
      <w:marLeft w:val="0"/>
      <w:marRight w:val="0"/>
      <w:marTop w:val="0"/>
      <w:marBottom w:val="0"/>
      <w:divBdr>
        <w:top w:val="none" w:sz="0" w:space="0" w:color="auto"/>
        <w:left w:val="none" w:sz="0" w:space="0" w:color="auto"/>
        <w:bottom w:val="none" w:sz="0" w:space="0" w:color="auto"/>
        <w:right w:val="none" w:sz="0" w:space="0" w:color="auto"/>
      </w:divBdr>
      <w:divsChild>
        <w:div w:id="991981954">
          <w:marLeft w:val="274"/>
          <w:marRight w:val="0"/>
          <w:marTop w:val="38"/>
          <w:marBottom w:val="0"/>
          <w:divBdr>
            <w:top w:val="none" w:sz="0" w:space="0" w:color="auto"/>
            <w:left w:val="none" w:sz="0" w:space="0" w:color="auto"/>
            <w:bottom w:val="none" w:sz="0" w:space="0" w:color="auto"/>
            <w:right w:val="none" w:sz="0" w:space="0" w:color="auto"/>
          </w:divBdr>
        </w:div>
      </w:divsChild>
    </w:div>
    <w:div w:id="604657118">
      <w:bodyDiv w:val="1"/>
      <w:marLeft w:val="0"/>
      <w:marRight w:val="0"/>
      <w:marTop w:val="0"/>
      <w:marBottom w:val="0"/>
      <w:divBdr>
        <w:top w:val="none" w:sz="0" w:space="0" w:color="auto"/>
        <w:left w:val="none" w:sz="0" w:space="0" w:color="auto"/>
        <w:bottom w:val="none" w:sz="0" w:space="0" w:color="auto"/>
        <w:right w:val="none" w:sz="0" w:space="0" w:color="auto"/>
      </w:divBdr>
    </w:div>
    <w:div w:id="608975696">
      <w:bodyDiv w:val="1"/>
      <w:marLeft w:val="0"/>
      <w:marRight w:val="0"/>
      <w:marTop w:val="0"/>
      <w:marBottom w:val="0"/>
      <w:divBdr>
        <w:top w:val="none" w:sz="0" w:space="0" w:color="auto"/>
        <w:left w:val="none" w:sz="0" w:space="0" w:color="auto"/>
        <w:bottom w:val="none" w:sz="0" w:space="0" w:color="auto"/>
        <w:right w:val="none" w:sz="0" w:space="0" w:color="auto"/>
      </w:divBdr>
      <w:divsChild>
        <w:div w:id="500704693">
          <w:marLeft w:val="0"/>
          <w:marRight w:val="0"/>
          <w:marTop w:val="0"/>
          <w:marBottom w:val="0"/>
          <w:divBdr>
            <w:top w:val="none" w:sz="0" w:space="0" w:color="auto"/>
            <w:left w:val="none" w:sz="0" w:space="0" w:color="auto"/>
            <w:bottom w:val="none" w:sz="0" w:space="0" w:color="auto"/>
            <w:right w:val="none" w:sz="0" w:space="0" w:color="auto"/>
          </w:divBdr>
        </w:div>
        <w:div w:id="1560943615">
          <w:marLeft w:val="0"/>
          <w:marRight w:val="0"/>
          <w:marTop w:val="0"/>
          <w:marBottom w:val="0"/>
          <w:divBdr>
            <w:top w:val="none" w:sz="0" w:space="0" w:color="auto"/>
            <w:left w:val="none" w:sz="0" w:space="0" w:color="auto"/>
            <w:bottom w:val="none" w:sz="0" w:space="0" w:color="auto"/>
            <w:right w:val="none" w:sz="0" w:space="0" w:color="auto"/>
          </w:divBdr>
        </w:div>
      </w:divsChild>
    </w:div>
    <w:div w:id="613513377">
      <w:bodyDiv w:val="1"/>
      <w:marLeft w:val="0"/>
      <w:marRight w:val="0"/>
      <w:marTop w:val="0"/>
      <w:marBottom w:val="0"/>
      <w:divBdr>
        <w:top w:val="none" w:sz="0" w:space="0" w:color="auto"/>
        <w:left w:val="none" w:sz="0" w:space="0" w:color="auto"/>
        <w:bottom w:val="none" w:sz="0" w:space="0" w:color="auto"/>
        <w:right w:val="none" w:sz="0" w:space="0" w:color="auto"/>
      </w:divBdr>
    </w:div>
    <w:div w:id="614606525">
      <w:bodyDiv w:val="1"/>
      <w:marLeft w:val="0"/>
      <w:marRight w:val="0"/>
      <w:marTop w:val="0"/>
      <w:marBottom w:val="0"/>
      <w:divBdr>
        <w:top w:val="none" w:sz="0" w:space="0" w:color="auto"/>
        <w:left w:val="none" w:sz="0" w:space="0" w:color="auto"/>
        <w:bottom w:val="none" w:sz="0" w:space="0" w:color="auto"/>
        <w:right w:val="none" w:sz="0" w:space="0" w:color="auto"/>
      </w:divBdr>
      <w:divsChild>
        <w:div w:id="934090364">
          <w:marLeft w:val="274"/>
          <w:marRight w:val="0"/>
          <w:marTop w:val="38"/>
          <w:marBottom w:val="0"/>
          <w:divBdr>
            <w:top w:val="none" w:sz="0" w:space="0" w:color="auto"/>
            <w:left w:val="none" w:sz="0" w:space="0" w:color="auto"/>
            <w:bottom w:val="none" w:sz="0" w:space="0" w:color="auto"/>
            <w:right w:val="none" w:sz="0" w:space="0" w:color="auto"/>
          </w:divBdr>
        </w:div>
      </w:divsChild>
    </w:div>
    <w:div w:id="617876096">
      <w:bodyDiv w:val="1"/>
      <w:marLeft w:val="0"/>
      <w:marRight w:val="0"/>
      <w:marTop w:val="0"/>
      <w:marBottom w:val="0"/>
      <w:divBdr>
        <w:top w:val="none" w:sz="0" w:space="0" w:color="auto"/>
        <w:left w:val="none" w:sz="0" w:space="0" w:color="auto"/>
        <w:bottom w:val="none" w:sz="0" w:space="0" w:color="auto"/>
        <w:right w:val="none" w:sz="0" w:space="0" w:color="auto"/>
      </w:divBdr>
      <w:divsChild>
        <w:div w:id="1594431414">
          <w:marLeft w:val="274"/>
          <w:marRight w:val="0"/>
          <w:marTop w:val="38"/>
          <w:marBottom w:val="0"/>
          <w:divBdr>
            <w:top w:val="none" w:sz="0" w:space="0" w:color="auto"/>
            <w:left w:val="none" w:sz="0" w:space="0" w:color="auto"/>
            <w:bottom w:val="none" w:sz="0" w:space="0" w:color="auto"/>
            <w:right w:val="none" w:sz="0" w:space="0" w:color="auto"/>
          </w:divBdr>
        </w:div>
      </w:divsChild>
    </w:div>
    <w:div w:id="626547311">
      <w:bodyDiv w:val="1"/>
      <w:marLeft w:val="0"/>
      <w:marRight w:val="0"/>
      <w:marTop w:val="0"/>
      <w:marBottom w:val="0"/>
      <w:divBdr>
        <w:top w:val="none" w:sz="0" w:space="0" w:color="auto"/>
        <w:left w:val="none" w:sz="0" w:space="0" w:color="auto"/>
        <w:bottom w:val="none" w:sz="0" w:space="0" w:color="auto"/>
        <w:right w:val="none" w:sz="0" w:space="0" w:color="auto"/>
      </w:divBdr>
      <w:divsChild>
        <w:div w:id="775833566">
          <w:marLeft w:val="274"/>
          <w:marRight w:val="0"/>
          <w:marTop w:val="38"/>
          <w:marBottom w:val="0"/>
          <w:divBdr>
            <w:top w:val="none" w:sz="0" w:space="0" w:color="auto"/>
            <w:left w:val="none" w:sz="0" w:space="0" w:color="auto"/>
            <w:bottom w:val="none" w:sz="0" w:space="0" w:color="auto"/>
            <w:right w:val="none" w:sz="0" w:space="0" w:color="auto"/>
          </w:divBdr>
        </w:div>
      </w:divsChild>
    </w:div>
    <w:div w:id="632364638">
      <w:bodyDiv w:val="1"/>
      <w:marLeft w:val="0"/>
      <w:marRight w:val="0"/>
      <w:marTop w:val="0"/>
      <w:marBottom w:val="0"/>
      <w:divBdr>
        <w:top w:val="none" w:sz="0" w:space="0" w:color="auto"/>
        <w:left w:val="none" w:sz="0" w:space="0" w:color="auto"/>
        <w:bottom w:val="none" w:sz="0" w:space="0" w:color="auto"/>
        <w:right w:val="none" w:sz="0" w:space="0" w:color="auto"/>
      </w:divBdr>
    </w:div>
    <w:div w:id="633025915">
      <w:bodyDiv w:val="1"/>
      <w:marLeft w:val="0"/>
      <w:marRight w:val="0"/>
      <w:marTop w:val="0"/>
      <w:marBottom w:val="0"/>
      <w:divBdr>
        <w:top w:val="none" w:sz="0" w:space="0" w:color="auto"/>
        <w:left w:val="none" w:sz="0" w:space="0" w:color="auto"/>
        <w:bottom w:val="none" w:sz="0" w:space="0" w:color="auto"/>
        <w:right w:val="none" w:sz="0" w:space="0" w:color="auto"/>
      </w:divBdr>
      <w:divsChild>
        <w:div w:id="1229876022">
          <w:marLeft w:val="274"/>
          <w:marRight w:val="0"/>
          <w:marTop w:val="38"/>
          <w:marBottom w:val="0"/>
          <w:divBdr>
            <w:top w:val="none" w:sz="0" w:space="0" w:color="auto"/>
            <w:left w:val="none" w:sz="0" w:space="0" w:color="auto"/>
            <w:bottom w:val="none" w:sz="0" w:space="0" w:color="auto"/>
            <w:right w:val="none" w:sz="0" w:space="0" w:color="auto"/>
          </w:divBdr>
        </w:div>
        <w:div w:id="1850757500">
          <w:marLeft w:val="274"/>
          <w:marRight w:val="0"/>
          <w:marTop w:val="38"/>
          <w:marBottom w:val="0"/>
          <w:divBdr>
            <w:top w:val="none" w:sz="0" w:space="0" w:color="auto"/>
            <w:left w:val="none" w:sz="0" w:space="0" w:color="auto"/>
            <w:bottom w:val="none" w:sz="0" w:space="0" w:color="auto"/>
            <w:right w:val="none" w:sz="0" w:space="0" w:color="auto"/>
          </w:divBdr>
        </w:div>
      </w:divsChild>
    </w:div>
    <w:div w:id="642467897">
      <w:bodyDiv w:val="1"/>
      <w:marLeft w:val="0"/>
      <w:marRight w:val="0"/>
      <w:marTop w:val="0"/>
      <w:marBottom w:val="0"/>
      <w:divBdr>
        <w:top w:val="none" w:sz="0" w:space="0" w:color="auto"/>
        <w:left w:val="none" w:sz="0" w:space="0" w:color="auto"/>
        <w:bottom w:val="none" w:sz="0" w:space="0" w:color="auto"/>
        <w:right w:val="none" w:sz="0" w:space="0" w:color="auto"/>
      </w:divBdr>
      <w:divsChild>
        <w:div w:id="77678011">
          <w:marLeft w:val="1800"/>
          <w:marRight w:val="0"/>
          <w:marTop w:val="67"/>
          <w:marBottom w:val="0"/>
          <w:divBdr>
            <w:top w:val="none" w:sz="0" w:space="0" w:color="auto"/>
            <w:left w:val="none" w:sz="0" w:space="0" w:color="auto"/>
            <w:bottom w:val="none" w:sz="0" w:space="0" w:color="auto"/>
            <w:right w:val="none" w:sz="0" w:space="0" w:color="auto"/>
          </w:divBdr>
        </w:div>
        <w:div w:id="724328715">
          <w:marLeft w:val="1800"/>
          <w:marRight w:val="0"/>
          <w:marTop w:val="67"/>
          <w:marBottom w:val="0"/>
          <w:divBdr>
            <w:top w:val="none" w:sz="0" w:space="0" w:color="auto"/>
            <w:left w:val="none" w:sz="0" w:space="0" w:color="auto"/>
            <w:bottom w:val="none" w:sz="0" w:space="0" w:color="auto"/>
            <w:right w:val="none" w:sz="0" w:space="0" w:color="auto"/>
          </w:divBdr>
        </w:div>
        <w:div w:id="949505777">
          <w:marLeft w:val="547"/>
          <w:marRight w:val="0"/>
          <w:marTop w:val="77"/>
          <w:marBottom w:val="0"/>
          <w:divBdr>
            <w:top w:val="none" w:sz="0" w:space="0" w:color="auto"/>
            <w:left w:val="none" w:sz="0" w:space="0" w:color="auto"/>
            <w:bottom w:val="none" w:sz="0" w:space="0" w:color="auto"/>
            <w:right w:val="none" w:sz="0" w:space="0" w:color="auto"/>
          </w:divBdr>
        </w:div>
        <w:div w:id="1015766879">
          <w:marLeft w:val="1166"/>
          <w:marRight w:val="0"/>
          <w:marTop w:val="67"/>
          <w:marBottom w:val="0"/>
          <w:divBdr>
            <w:top w:val="none" w:sz="0" w:space="0" w:color="auto"/>
            <w:left w:val="none" w:sz="0" w:space="0" w:color="auto"/>
            <w:bottom w:val="none" w:sz="0" w:space="0" w:color="auto"/>
            <w:right w:val="none" w:sz="0" w:space="0" w:color="auto"/>
          </w:divBdr>
        </w:div>
        <w:div w:id="1173643476">
          <w:marLeft w:val="1166"/>
          <w:marRight w:val="0"/>
          <w:marTop w:val="67"/>
          <w:marBottom w:val="0"/>
          <w:divBdr>
            <w:top w:val="none" w:sz="0" w:space="0" w:color="auto"/>
            <w:left w:val="none" w:sz="0" w:space="0" w:color="auto"/>
            <w:bottom w:val="none" w:sz="0" w:space="0" w:color="auto"/>
            <w:right w:val="none" w:sz="0" w:space="0" w:color="auto"/>
          </w:divBdr>
        </w:div>
        <w:div w:id="1364282801">
          <w:marLeft w:val="547"/>
          <w:marRight w:val="0"/>
          <w:marTop w:val="77"/>
          <w:marBottom w:val="0"/>
          <w:divBdr>
            <w:top w:val="none" w:sz="0" w:space="0" w:color="auto"/>
            <w:left w:val="none" w:sz="0" w:space="0" w:color="auto"/>
            <w:bottom w:val="none" w:sz="0" w:space="0" w:color="auto"/>
            <w:right w:val="none" w:sz="0" w:space="0" w:color="auto"/>
          </w:divBdr>
        </w:div>
        <w:div w:id="1885405500">
          <w:marLeft w:val="1800"/>
          <w:marRight w:val="0"/>
          <w:marTop w:val="67"/>
          <w:marBottom w:val="0"/>
          <w:divBdr>
            <w:top w:val="none" w:sz="0" w:space="0" w:color="auto"/>
            <w:left w:val="none" w:sz="0" w:space="0" w:color="auto"/>
            <w:bottom w:val="none" w:sz="0" w:space="0" w:color="auto"/>
            <w:right w:val="none" w:sz="0" w:space="0" w:color="auto"/>
          </w:divBdr>
        </w:div>
        <w:div w:id="1896503629">
          <w:marLeft w:val="1800"/>
          <w:marRight w:val="0"/>
          <w:marTop w:val="67"/>
          <w:marBottom w:val="0"/>
          <w:divBdr>
            <w:top w:val="none" w:sz="0" w:space="0" w:color="auto"/>
            <w:left w:val="none" w:sz="0" w:space="0" w:color="auto"/>
            <w:bottom w:val="none" w:sz="0" w:space="0" w:color="auto"/>
            <w:right w:val="none" w:sz="0" w:space="0" w:color="auto"/>
          </w:divBdr>
        </w:div>
        <w:div w:id="2076004631">
          <w:marLeft w:val="1800"/>
          <w:marRight w:val="0"/>
          <w:marTop w:val="67"/>
          <w:marBottom w:val="0"/>
          <w:divBdr>
            <w:top w:val="none" w:sz="0" w:space="0" w:color="auto"/>
            <w:left w:val="none" w:sz="0" w:space="0" w:color="auto"/>
            <w:bottom w:val="none" w:sz="0" w:space="0" w:color="auto"/>
            <w:right w:val="none" w:sz="0" w:space="0" w:color="auto"/>
          </w:divBdr>
        </w:div>
      </w:divsChild>
    </w:div>
    <w:div w:id="642734120">
      <w:bodyDiv w:val="1"/>
      <w:marLeft w:val="0"/>
      <w:marRight w:val="0"/>
      <w:marTop w:val="0"/>
      <w:marBottom w:val="0"/>
      <w:divBdr>
        <w:top w:val="none" w:sz="0" w:space="0" w:color="auto"/>
        <w:left w:val="none" w:sz="0" w:space="0" w:color="auto"/>
        <w:bottom w:val="none" w:sz="0" w:space="0" w:color="auto"/>
        <w:right w:val="none" w:sz="0" w:space="0" w:color="auto"/>
      </w:divBdr>
    </w:div>
    <w:div w:id="644508519">
      <w:bodyDiv w:val="1"/>
      <w:marLeft w:val="0"/>
      <w:marRight w:val="0"/>
      <w:marTop w:val="0"/>
      <w:marBottom w:val="0"/>
      <w:divBdr>
        <w:top w:val="none" w:sz="0" w:space="0" w:color="auto"/>
        <w:left w:val="none" w:sz="0" w:space="0" w:color="auto"/>
        <w:bottom w:val="none" w:sz="0" w:space="0" w:color="auto"/>
        <w:right w:val="none" w:sz="0" w:space="0" w:color="auto"/>
      </w:divBdr>
      <w:divsChild>
        <w:div w:id="506020655">
          <w:marLeft w:val="994"/>
          <w:marRight w:val="0"/>
          <w:marTop w:val="38"/>
          <w:marBottom w:val="0"/>
          <w:divBdr>
            <w:top w:val="none" w:sz="0" w:space="0" w:color="auto"/>
            <w:left w:val="none" w:sz="0" w:space="0" w:color="auto"/>
            <w:bottom w:val="none" w:sz="0" w:space="0" w:color="auto"/>
            <w:right w:val="none" w:sz="0" w:space="0" w:color="auto"/>
          </w:divBdr>
        </w:div>
        <w:div w:id="848258173">
          <w:marLeft w:val="994"/>
          <w:marRight w:val="0"/>
          <w:marTop w:val="38"/>
          <w:marBottom w:val="0"/>
          <w:divBdr>
            <w:top w:val="none" w:sz="0" w:space="0" w:color="auto"/>
            <w:left w:val="none" w:sz="0" w:space="0" w:color="auto"/>
            <w:bottom w:val="none" w:sz="0" w:space="0" w:color="auto"/>
            <w:right w:val="none" w:sz="0" w:space="0" w:color="auto"/>
          </w:divBdr>
        </w:div>
        <w:div w:id="2124224652">
          <w:marLeft w:val="274"/>
          <w:marRight w:val="0"/>
          <w:marTop w:val="38"/>
          <w:marBottom w:val="0"/>
          <w:divBdr>
            <w:top w:val="none" w:sz="0" w:space="0" w:color="auto"/>
            <w:left w:val="none" w:sz="0" w:space="0" w:color="auto"/>
            <w:bottom w:val="none" w:sz="0" w:space="0" w:color="auto"/>
            <w:right w:val="none" w:sz="0" w:space="0" w:color="auto"/>
          </w:divBdr>
        </w:div>
      </w:divsChild>
    </w:div>
    <w:div w:id="675613826">
      <w:bodyDiv w:val="1"/>
      <w:marLeft w:val="0"/>
      <w:marRight w:val="0"/>
      <w:marTop w:val="0"/>
      <w:marBottom w:val="0"/>
      <w:divBdr>
        <w:top w:val="none" w:sz="0" w:space="0" w:color="auto"/>
        <w:left w:val="none" w:sz="0" w:space="0" w:color="auto"/>
        <w:bottom w:val="none" w:sz="0" w:space="0" w:color="auto"/>
        <w:right w:val="none" w:sz="0" w:space="0" w:color="auto"/>
      </w:divBdr>
    </w:div>
    <w:div w:id="706221492">
      <w:bodyDiv w:val="1"/>
      <w:marLeft w:val="0"/>
      <w:marRight w:val="0"/>
      <w:marTop w:val="0"/>
      <w:marBottom w:val="0"/>
      <w:divBdr>
        <w:top w:val="none" w:sz="0" w:space="0" w:color="auto"/>
        <w:left w:val="none" w:sz="0" w:space="0" w:color="auto"/>
        <w:bottom w:val="none" w:sz="0" w:space="0" w:color="auto"/>
        <w:right w:val="none" w:sz="0" w:space="0" w:color="auto"/>
      </w:divBdr>
    </w:div>
    <w:div w:id="710036131">
      <w:bodyDiv w:val="1"/>
      <w:marLeft w:val="0"/>
      <w:marRight w:val="0"/>
      <w:marTop w:val="0"/>
      <w:marBottom w:val="0"/>
      <w:divBdr>
        <w:top w:val="none" w:sz="0" w:space="0" w:color="auto"/>
        <w:left w:val="none" w:sz="0" w:space="0" w:color="auto"/>
        <w:bottom w:val="none" w:sz="0" w:space="0" w:color="auto"/>
        <w:right w:val="none" w:sz="0" w:space="0" w:color="auto"/>
      </w:divBdr>
    </w:div>
    <w:div w:id="731579715">
      <w:bodyDiv w:val="1"/>
      <w:marLeft w:val="0"/>
      <w:marRight w:val="0"/>
      <w:marTop w:val="0"/>
      <w:marBottom w:val="0"/>
      <w:divBdr>
        <w:top w:val="none" w:sz="0" w:space="0" w:color="auto"/>
        <w:left w:val="none" w:sz="0" w:space="0" w:color="auto"/>
        <w:bottom w:val="none" w:sz="0" w:space="0" w:color="auto"/>
        <w:right w:val="none" w:sz="0" w:space="0" w:color="auto"/>
      </w:divBdr>
      <w:divsChild>
        <w:div w:id="191186153">
          <w:marLeft w:val="274"/>
          <w:marRight w:val="0"/>
          <w:marTop w:val="38"/>
          <w:marBottom w:val="0"/>
          <w:divBdr>
            <w:top w:val="none" w:sz="0" w:space="0" w:color="auto"/>
            <w:left w:val="none" w:sz="0" w:space="0" w:color="auto"/>
            <w:bottom w:val="none" w:sz="0" w:space="0" w:color="auto"/>
            <w:right w:val="none" w:sz="0" w:space="0" w:color="auto"/>
          </w:divBdr>
        </w:div>
      </w:divsChild>
    </w:div>
    <w:div w:id="748160209">
      <w:bodyDiv w:val="1"/>
      <w:marLeft w:val="0"/>
      <w:marRight w:val="0"/>
      <w:marTop w:val="0"/>
      <w:marBottom w:val="0"/>
      <w:divBdr>
        <w:top w:val="none" w:sz="0" w:space="0" w:color="auto"/>
        <w:left w:val="none" w:sz="0" w:space="0" w:color="auto"/>
        <w:bottom w:val="none" w:sz="0" w:space="0" w:color="auto"/>
        <w:right w:val="none" w:sz="0" w:space="0" w:color="auto"/>
      </w:divBdr>
      <w:divsChild>
        <w:div w:id="1889762531">
          <w:marLeft w:val="274"/>
          <w:marRight w:val="0"/>
          <w:marTop w:val="38"/>
          <w:marBottom w:val="0"/>
          <w:divBdr>
            <w:top w:val="none" w:sz="0" w:space="0" w:color="auto"/>
            <w:left w:val="none" w:sz="0" w:space="0" w:color="auto"/>
            <w:bottom w:val="none" w:sz="0" w:space="0" w:color="auto"/>
            <w:right w:val="none" w:sz="0" w:space="0" w:color="auto"/>
          </w:divBdr>
        </w:div>
      </w:divsChild>
    </w:div>
    <w:div w:id="753167914">
      <w:bodyDiv w:val="1"/>
      <w:marLeft w:val="0"/>
      <w:marRight w:val="0"/>
      <w:marTop w:val="0"/>
      <w:marBottom w:val="0"/>
      <w:divBdr>
        <w:top w:val="none" w:sz="0" w:space="0" w:color="auto"/>
        <w:left w:val="none" w:sz="0" w:space="0" w:color="auto"/>
        <w:bottom w:val="none" w:sz="0" w:space="0" w:color="auto"/>
        <w:right w:val="none" w:sz="0" w:space="0" w:color="auto"/>
      </w:divBdr>
    </w:div>
    <w:div w:id="753287229">
      <w:bodyDiv w:val="1"/>
      <w:marLeft w:val="0"/>
      <w:marRight w:val="0"/>
      <w:marTop w:val="0"/>
      <w:marBottom w:val="0"/>
      <w:divBdr>
        <w:top w:val="none" w:sz="0" w:space="0" w:color="auto"/>
        <w:left w:val="none" w:sz="0" w:space="0" w:color="auto"/>
        <w:bottom w:val="none" w:sz="0" w:space="0" w:color="auto"/>
        <w:right w:val="none" w:sz="0" w:space="0" w:color="auto"/>
      </w:divBdr>
      <w:divsChild>
        <w:div w:id="1135222416">
          <w:marLeft w:val="274"/>
          <w:marRight w:val="0"/>
          <w:marTop w:val="38"/>
          <w:marBottom w:val="0"/>
          <w:divBdr>
            <w:top w:val="none" w:sz="0" w:space="0" w:color="auto"/>
            <w:left w:val="none" w:sz="0" w:space="0" w:color="auto"/>
            <w:bottom w:val="none" w:sz="0" w:space="0" w:color="auto"/>
            <w:right w:val="none" w:sz="0" w:space="0" w:color="auto"/>
          </w:divBdr>
        </w:div>
        <w:div w:id="1207989472">
          <w:marLeft w:val="274"/>
          <w:marRight w:val="0"/>
          <w:marTop w:val="38"/>
          <w:marBottom w:val="0"/>
          <w:divBdr>
            <w:top w:val="none" w:sz="0" w:space="0" w:color="auto"/>
            <w:left w:val="none" w:sz="0" w:space="0" w:color="auto"/>
            <w:bottom w:val="none" w:sz="0" w:space="0" w:color="auto"/>
            <w:right w:val="none" w:sz="0" w:space="0" w:color="auto"/>
          </w:divBdr>
        </w:div>
        <w:div w:id="1396510151">
          <w:marLeft w:val="274"/>
          <w:marRight w:val="0"/>
          <w:marTop w:val="38"/>
          <w:marBottom w:val="0"/>
          <w:divBdr>
            <w:top w:val="none" w:sz="0" w:space="0" w:color="auto"/>
            <w:left w:val="none" w:sz="0" w:space="0" w:color="auto"/>
            <w:bottom w:val="none" w:sz="0" w:space="0" w:color="auto"/>
            <w:right w:val="none" w:sz="0" w:space="0" w:color="auto"/>
          </w:divBdr>
        </w:div>
        <w:div w:id="1466510217">
          <w:marLeft w:val="274"/>
          <w:marRight w:val="0"/>
          <w:marTop w:val="38"/>
          <w:marBottom w:val="0"/>
          <w:divBdr>
            <w:top w:val="none" w:sz="0" w:space="0" w:color="auto"/>
            <w:left w:val="none" w:sz="0" w:space="0" w:color="auto"/>
            <w:bottom w:val="none" w:sz="0" w:space="0" w:color="auto"/>
            <w:right w:val="none" w:sz="0" w:space="0" w:color="auto"/>
          </w:divBdr>
        </w:div>
        <w:div w:id="1625118828">
          <w:marLeft w:val="274"/>
          <w:marRight w:val="0"/>
          <w:marTop w:val="38"/>
          <w:marBottom w:val="0"/>
          <w:divBdr>
            <w:top w:val="none" w:sz="0" w:space="0" w:color="auto"/>
            <w:left w:val="none" w:sz="0" w:space="0" w:color="auto"/>
            <w:bottom w:val="none" w:sz="0" w:space="0" w:color="auto"/>
            <w:right w:val="none" w:sz="0" w:space="0" w:color="auto"/>
          </w:divBdr>
        </w:div>
      </w:divsChild>
    </w:div>
    <w:div w:id="756561306">
      <w:bodyDiv w:val="1"/>
      <w:marLeft w:val="0"/>
      <w:marRight w:val="0"/>
      <w:marTop w:val="0"/>
      <w:marBottom w:val="0"/>
      <w:divBdr>
        <w:top w:val="none" w:sz="0" w:space="0" w:color="auto"/>
        <w:left w:val="none" w:sz="0" w:space="0" w:color="auto"/>
        <w:bottom w:val="none" w:sz="0" w:space="0" w:color="auto"/>
        <w:right w:val="none" w:sz="0" w:space="0" w:color="auto"/>
      </w:divBdr>
      <w:divsChild>
        <w:div w:id="448354458">
          <w:marLeft w:val="274"/>
          <w:marRight w:val="0"/>
          <w:marTop w:val="38"/>
          <w:marBottom w:val="0"/>
          <w:divBdr>
            <w:top w:val="none" w:sz="0" w:space="0" w:color="auto"/>
            <w:left w:val="none" w:sz="0" w:space="0" w:color="auto"/>
            <w:bottom w:val="none" w:sz="0" w:space="0" w:color="auto"/>
            <w:right w:val="none" w:sz="0" w:space="0" w:color="auto"/>
          </w:divBdr>
        </w:div>
      </w:divsChild>
    </w:div>
    <w:div w:id="759107924">
      <w:bodyDiv w:val="1"/>
      <w:marLeft w:val="0"/>
      <w:marRight w:val="0"/>
      <w:marTop w:val="0"/>
      <w:marBottom w:val="0"/>
      <w:divBdr>
        <w:top w:val="none" w:sz="0" w:space="0" w:color="auto"/>
        <w:left w:val="none" w:sz="0" w:space="0" w:color="auto"/>
        <w:bottom w:val="none" w:sz="0" w:space="0" w:color="auto"/>
        <w:right w:val="none" w:sz="0" w:space="0" w:color="auto"/>
      </w:divBdr>
      <w:divsChild>
        <w:div w:id="1331255240">
          <w:marLeft w:val="274"/>
          <w:marRight w:val="0"/>
          <w:marTop w:val="38"/>
          <w:marBottom w:val="0"/>
          <w:divBdr>
            <w:top w:val="none" w:sz="0" w:space="0" w:color="auto"/>
            <w:left w:val="none" w:sz="0" w:space="0" w:color="auto"/>
            <w:bottom w:val="none" w:sz="0" w:space="0" w:color="auto"/>
            <w:right w:val="none" w:sz="0" w:space="0" w:color="auto"/>
          </w:divBdr>
        </w:div>
      </w:divsChild>
    </w:div>
    <w:div w:id="766265929">
      <w:bodyDiv w:val="1"/>
      <w:marLeft w:val="0"/>
      <w:marRight w:val="0"/>
      <w:marTop w:val="0"/>
      <w:marBottom w:val="0"/>
      <w:divBdr>
        <w:top w:val="none" w:sz="0" w:space="0" w:color="auto"/>
        <w:left w:val="none" w:sz="0" w:space="0" w:color="auto"/>
        <w:bottom w:val="none" w:sz="0" w:space="0" w:color="auto"/>
        <w:right w:val="none" w:sz="0" w:space="0" w:color="auto"/>
      </w:divBdr>
      <w:divsChild>
        <w:div w:id="1021392611">
          <w:marLeft w:val="274"/>
          <w:marRight w:val="0"/>
          <w:marTop w:val="38"/>
          <w:marBottom w:val="0"/>
          <w:divBdr>
            <w:top w:val="none" w:sz="0" w:space="0" w:color="auto"/>
            <w:left w:val="none" w:sz="0" w:space="0" w:color="auto"/>
            <w:bottom w:val="none" w:sz="0" w:space="0" w:color="auto"/>
            <w:right w:val="none" w:sz="0" w:space="0" w:color="auto"/>
          </w:divBdr>
        </w:div>
      </w:divsChild>
    </w:div>
    <w:div w:id="768962782">
      <w:bodyDiv w:val="1"/>
      <w:marLeft w:val="0"/>
      <w:marRight w:val="0"/>
      <w:marTop w:val="0"/>
      <w:marBottom w:val="0"/>
      <w:divBdr>
        <w:top w:val="none" w:sz="0" w:space="0" w:color="auto"/>
        <w:left w:val="none" w:sz="0" w:space="0" w:color="auto"/>
        <w:bottom w:val="none" w:sz="0" w:space="0" w:color="auto"/>
        <w:right w:val="none" w:sz="0" w:space="0" w:color="auto"/>
      </w:divBdr>
      <w:divsChild>
        <w:div w:id="248078154">
          <w:marLeft w:val="994"/>
          <w:marRight w:val="0"/>
          <w:marTop w:val="38"/>
          <w:marBottom w:val="0"/>
          <w:divBdr>
            <w:top w:val="none" w:sz="0" w:space="0" w:color="auto"/>
            <w:left w:val="none" w:sz="0" w:space="0" w:color="auto"/>
            <w:bottom w:val="none" w:sz="0" w:space="0" w:color="auto"/>
            <w:right w:val="none" w:sz="0" w:space="0" w:color="auto"/>
          </w:divBdr>
        </w:div>
        <w:div w:id="1241910536">
          <w:marLeft w:val="994"/>
          <w:marRight w:val="0"/>
          <w:marTop w:val="38"/>
          <w:marBottom w:val="0"/>
          <w:divBdr>
            <w:top w:val="none" w:sz="0" w:space="0" w:color="auto"/>
            <w:left w:val="none" w:sz="0" w:space="0" w:color="auto"/>
            <w:bottom w:val="none" w:sz="0" w:space="0" w:color="auto"/>
            <w:right w:val="none" w:sz="0" w:space="0" w:color="auto"/>
          </w:divBdr>
        </w:div>
        <w:div w:id="1638141772">
          <w:marLeft w:val="274"/>
          <w:marRight w:val="0"/>
          <w:marTop w:val="38"/>
          <w:marBottom w:val="0"/>
          <w:divBdr>
            <w:top w:val="none" w:sz="0" w:space="0" w:color="auto"/>
            <w:left w:val="none" w:sz="0" w:space="0" w:color="auto"/>
            <w:bottom w:val="none" w:sz="0" w:space="0" w:color="auto"/>
            <w:right w:val="none" w:sz="0" w:space="0" w:color="auto"/>
          </w:divBdr>
        </w:div>
        <w:div w:id="2016884388">
          <w:marLeft w:val="274"/>
          <w:marRight w:val="0"/>
          <w:marTop w:val="38"/>
          <w:marBottom w:val="0"/>
          <w:divBdr>
            <w:top w:val="none" w:sz="0" w:space="0" w:color="auto"/>
            <w:left w:val="none" w:sz="0" w:space="0" w:color="auto"/>
            <w:bottom w:val="none" w:sz="0" w:space="0" w:color="auto"/>
            <w:right w:val="none" w:sz="0" w:space="0" w:color="auto"/>
          </w:divBdr>
        </w:div>
      </w:divsChild>
    </w:div>
    <w:div w:id="773524933">
      <w:bodyDiv w:val="1"/>
      <w:marLeft w:val="0"/>
      <w:marRight w:val="0"/>
      <w:marTop w:val="0"/>
      <w:marBottom w:val="0"/>
      <w:divBdr>
        <w:top w:val="none" w:sz="0" w:space="0" w:color="auto"/>
        <w:left w:val="none" w:sz="0" w:space="0" w:color="auto"/>
        <w:bottom w:val="none" w:sz="0" w:space="0" w:color="auto"/>
        <w:right w:val="none" w:sz="0" w:space="0" w:color="auto"/>
      </w:divBdr>
      <w:divsChild>
        <w:div w:id="518198555">
          <w:marLeft w:val="274"/>
          <w:marRight w:val="0"/>
          <w:marTop w:val="38"/>
          <w:marBottom w:val="0"/>
          <w:divBdr>
            <w:top w:val="none" w:sz="0" w:space="0" w:color="auto"/>
            <w:left w:val="none" w:sz="0" w:space="0" w:color="auto"/>
            <w:bottom w:val="none" w:sz="0" w:space="0" w:color="auto"/>
            <w:right w:val="none" w:sz="0" w:space="0" w:color="auto"/>
          </w:divBdr>
        </w:div>
        <w:div w:id="1565141383">
          <w:marLeft w:val="274"/>
          <w:marRight w:val="0"/>
          <w:marTop w:val="38"/>
          <w:marBottom w:val="0"/>
          <w:divBdr>
            <w:top w:val="none" w:sz="0" w:space="0" w:color="auto"/>
            <w:left w:val="none" w:sz="0" w:space="0" w:color="auto"/>
            <w:bottom w:val="none" w:sz="0" w:space="0" w:color="auto"/>
            <w:right w:val="none" w:sz="0" w:space="0" w:color="auto"/>
          </w:divBdr>
        </w:div>
      </w:divsChild>
    </w:div>
    <w:div w:id="779766300">
      <w:bodyDiv w:val="1"/>
      <w:marLeft w:val="0"/>
      <w:marRight w:val="0"/>
      <w:marTop w:val="0"/>
      <w:marBottom w:val="0"/>
      <w:divBdr>
        <w:top w:val="none" w:sz="0" w:space="0" w:color="auto"/>
        <w:left w:val="none" w:sz="0" w:space="0" w:color="auto"/>
        <w:bottom w:val="none" w:sz="0" w:space="0" w:color="auto"/>
        <w:right w:val="none" w:sz="0" w:space="0" w:color="auto"/>
      </w:divBdr>
      <w:divsChild>
        <w:div w:id="7801799">
          <w:marLeft w:val="274"/>
          <w:marRight w:val="0"/>
          <w:marTop w:val="38"/>
          <w:marBottom w:val="0"/>
          <w:divBdr>
            <w:top w:val="none" w:sz="0" w:space="0" w:color="auto"/>
            <w:left w:val="none" w:sz="0" w:space="0" w:color="auto"/>
            <w:bottom w:val="none" w:sz="0" w:space="0" w:color="auto"/>
            <w:right w:val="none" w:sz="0" w:space="0" w:color="auto"/>
          </w:divBdr>
        </w:div>
        <w:div w:id="611713936">
          <w:marLeft w:val="274"/>
          <w:marRight w:val="0"/>
          <w:marTop w:val="38"/>
          <w:marBottom w:val="0"/>
          <w:divBdr>
            <w:top w:val="none" w:sz="0" w:space="0" w:color="auto"/>
            <w:left w:val="none" w:sz="0" w:space="0" w:color="auto"/>
            <w:bottom w:val="none" w:sz="0" w:space="0" w:color="auto"/>
            <w:right w:val="none" w:sz="0" w:space="0" w:color="auto"/>
          </w:divBdr>
        </w:div>
        <w:div w:id="1067220667">
          <w:marLeft w:val="994"/>
          <w:marRight w:val="0"/>
          <w:marTop w:val="38"/>
          <w:marBottom w:val="0"/>
          <w:divBdr>
            <w:top w:val="none" w:sz="0" w:space="0" w:color="auto"/>
            <w:left w:val="none" w:sz="0" w:space="0" w:color="auto"/>
            <w:bottom w:val="none" w:sz="0" w:space="0" w:color="auto"/>
            <w:right w:val="none" w:sz="0" w:space="0" w:color="auto"/>
          </w:divBdr>
        </w:div>
        <w:div w:id="1305887502">
          <w:marLeft w:val="274"/>
          <w:marRight w:val="0"/>
          <w:marTop w:val="38"/>
          <w:marBottom w:val="0"/>
          <w:divBdr>
            <w:top w:val="none" w:sz="0" w:space="0" w:color="auto"/>
            <w:left w:val="none" w:sz="0" w:space="0" w:color="auto"/>
            <w:bottom w:val="none" w:sz="0" w:space="0" w:color="auto"/>
            <w:right w:val="none" w:sz="0" w:space="0" w:color="auto"/>
          </w:divBdr>
        </w:div>
        <w:div w:id="2065368805">
          <w:marLeft w:val="274"/>
          <w:marRight w:val="0"/>
          <w:marTop w:val="38"/>
          <w:marBottom w:val="0"/>
          <w:divBdr>
            <w:top w:val="none" w:sz="0" w:space="0" w:color="auto"/>
            <w:left w:val="none" w:sz="0" w:space="0" w:color="auto"/>
            <w:bottom w:val="none" w:sz="0" w:space="0" w:color="auto"/>
            <w:right w:val="none" w:sz="0" w:space="0" w:color="auto"/>
          </w:divBdr>
        </w:div>
      </w:divsChild>
    </w:div>
    <w:div w:id="781147428">
      <w:bodyDiv w:val="1"/>
      <w:marLeft w:val="0"/>
      <w:marRight w:val="0"/>
      <w:marTop w:val="0"/>
      <w:marBottom w:val="0"/>
      <w:divBdr>
        <w:top w:val="none" w:sz="0" w:space="0" w:color="auto"/>
        <w:left w:val="none" w:sz="0" w:space="0" w:color="auto"/>
        <w:bottom w:val="none" w:sz="0" w:space="0" w:color="auto"/>
        <w:right w:val="none" w:sz="0" w:space="0" w:color="auto"/>
      </w:divBdr>
      <w:divsChild>
        <w:div w:id="1684278904">
          <w:marLeft w:val="274"/>
          <w:marRight w:val="0"/>
          <w:marTop w:val="38"/>
          <w:marBottom w:val="0"/>
          <w:divBdr>
            <w:top w:val="none" w:sz="0" w:space="0" w:color="auto"/>
            <w:left w:val="none" w:sz="0" w:space="0" w:color="auto"/>
            <w:bottom w:val="none" w:sz="0" w:space="0" w:color="auto"/>
            <w:right w:val="none" w:sz="0" w:space="0" w:color="auto"/>
          </w:divBdr>
        </w:div>
      </w:divsChild>
    </w:div>
    <w:div w:id="796607596">
      <w:bodyDiv w:val="1"/>
      <w:marLeft w:val="0"/>
      <w:marRight w:val="0"/>
      <w:marTop w:val="0"/>
      <w:marBottom w:val="0"/>
      <w:divBdr>
        <w:top w:val="none" w:sz="0" w:space="0" w:color="auto"/>
        <w:left w:val="none" w:sz="0" w:space="0" w:color="auto"/>
        <w:bottom w:val="none" w:sz="0" w:space="0" w:color="auto"/>
        <w:right w:val="none" w:sz="0" w:space="0" w:color="auto"/>
      </w:divBdr>
      <w:divsChild>
        <w:div w:id="1925918564">
          <w:marLeft w:val="274"/>
          <w:marRight w:val="0"/>
          <w:marTop w:val="38"/>
          <w:marBottom w:val="0"/>
          <w:divBdr>
            <w:top w:val="none" w:sz="0" w:space="0" w:color="auto"/>
            <w:left w:val="none" w:sz="0" w:space="0" w:color="auto"/>
            <w:bottom w:val="none" w:sz="0" w:space="0" w:color="auto"/>
            <w:right w:val="none" w:sz="0" w:space="0" w:color="auto"/>
          </w:divBdr>
        </w:div>
      </w:divsChild>
    </w:div>
    <w:div w:id="799691645">
      <w:bodyDiv w:val="1"/>
      <w:marLeft w:val="0"/>
      <w:marRight w:val="0"/>
      <w:marTop w:val="0"/>
      <w:marBottom w:val="0"/>
      <w:divBdr>
        <w:top w:val="none" w:sz="0" w:space="0" w:color="auto"/>
        <w:left w:val="none" w:sz="0" w:space="0" w:color="auto"/>
        <w:bottom w:val="none" w:sz="0" w:space="0" w:color="auto"/>
        <w:right w:val="none" w:sz="0" w:space="0" w:color="auto"/>
      </w:divBdr>
      <w:divsChild>
        <w:div w:id="919631498">
          <w:marLeft w:val="274"/>
          <w:marRight w:val="0"/>
          <w:marTop w:val="38"/>
          <w:marBottom w:val="0"/>
          <w:divBdr>
            <w:top w:val="none" w:sz="0" w:space="0" w:color="auto"/>
            <w:left w:val="none" w:sz="0" w:space="0" w:color="auto"/>
            <w:bottom w:val="none" w:sz="0" w:space="0" w:color="auto"/>
            <w:right w:val="none" w:sz="0" w:space="0" w:color="auto"/>
          </w:divBdr>
        </w:div>
      </w:divsChild>
    </w:div>
    <w:div w:id="805664132">
      <w:bodyDiv w:val="1"/>
      <w:marLeft w:val="0"/>
      <w:marRight w:val="0"/>
      <w:marTop w:val="0"/>
      <w:marBottom w:val="0"/>
      <w:divBdr>
        <w:top w:val="none" w:sz="0" w:space="0" w:color="auto"/>
        <w:left w:val="none" w:sz="0" w:space="0" w:color="auto"/>
        <w:bottom w:val="none" w:sz="0" w:space="0" w:color="auto"/>
        <w:right w:val="none" w:sz="0" w:space="0" w:color="auto"/>
      </w:divBdr>
      <w:divsChild>
        <w:div w:id="2146964340">
          <w:marLeft w:val="446"/>
          <w:marRight w:val="0"/>
          <w:marTop w:val="120"/>
          <w:marBottom w:val="0"/>
          <w:divBdr>
            <w:top w:val="none" w:sz="0" w:space="0" w:color="auto"/>
            <w:left w:val="none" w:sz="0" w:space="0" w:color="auto"/>
            <w:bottom w:val="none" w:sz="0" w:space="0" w:color="auto"/>
            <w:right w:val="none" w:sz="0" w:space="0" w:color="auto"/>
          </w:divBdr>
        </w:div>
        <w:div w:id="1766344263">
          <w:marLeft w:val="1166"/>
          <w:marRight w:val="0"/>
          <w:marTop w:val="120"/>
          <w:marBottom w:val="0"/>
          <w:divBdr>
            <w:top w:val="none" w:sz="0" w:space="0" w:color="auto"/>
            <w:left w:val="none" w:sz="0" w:space="0" w:color="auto"/>
            <w:bottom w:val="none" w:sz="0" w:space="0" w:color="auto"/>
            <w:right w:val="none" w:sz="0" w:space="0" w:color="auto"/>
          </w:divBdr>
        </w:div>
        <w:div w:id="29191649">
          <w:marLeft w:val="1166"/>
          <w:marRight w:val="0"/>
          <w:marTop w:val="120"/>
          <w:marBottom w:val="0"/>
          <w:divBdr>
            <w:top w:val="none" w:sz="0" w:space="0" w:color="auto"/>
            <w:left w:val="none" w:sz="0" w:space="0" w:color="auto"/>
            <w:bottom w:val="none" w:sz="0" w:space="0" w:color="auto"/>
            <w:right w:val="none" w:sz="0" w:space="0" w:color="auto"/>
          </w:divBdr>
        </w:div>
        <w:div w:id="1771003245">
          <w:marLeft w:val="446"/>
          <w:marRight w:val="0"/>
          <w:marTop w:val="120"/>
          <w:marBottom w:val="0"/>
          <w:divBdr>
            <w:top w:val="none" w:sz="0" w:space="0" w:color="auto"/>
            <w:left w:val="none" w:sz="0" w:space="0" w:color="auto"/>
            <w:bottom w:val="none" w:sz="0" w:space="0" w:color="auto"/>
            <w:right w:val="none" w:sz="0" w:space="0" w:color="auto"/>
          </w:divBdr>
        </w:div>
      </w:divsChild>
    </w:div>
    <w:div w:id="810562411">
      <w:bodyDiv w:val="1"/>
      <w:marLeft w:val="0"/>
      <w:marRight w:val="0"/>
      <w:marTop w:val="0"/>
      <w:marBottom w:val="0"/>
      <w:divBdr>
        <w:top w:val="none" w:sz="0" w:space="0" w:color="auto"/>
        <w:left w:val="none" w:sz="0" w:space="0" w:color="auto"/>
        <w:bottom w:val="none" w:sz="0" w:space="0" w:color="auto"/>
        <w:right w:val="none" w:sz="0" w:space="0" w:color="auto"/>
      </w:divBdr>
      <w:divsChild>
        <w:div w:id="1461265478">
          <w:marLeft w:val="274"/>
          <w:marRight w:val="0"/>
          <w:marTop w:val="38"/>
          <w:marBottom w:val="0"/>
          <w:divBdr>
            <w:top w:val="none" w:sz="0" w:space="0" w:color="auto"/>
            <w:left w:val="none" w:sz="0" w:space="0" w:color="auto"/>
            <w:bottom w:val="none" w:sz="0" w:space="0" w:color="auto"/>
            <w:right w:val="none" w:sz="0" w:space="0" w:color="auto"/>
          </w:divBdr>
        </w:div>
        <w:div w:id="2051418373">
          <w:marLeft w:val="274"/>
          <w:marRight w:val="0"/>
          <w:marTop w:val="38"/>
          <w:marBottom w:val="0"/>
          <w:divBdr>
            <w:top w:val="none" w:sz="0" w:space="0" w:color="auto"/>
            <w:left w:val="none" w:sz="0" w:space="0" w:color="auto"/>
            <w:bottom w:val="none" w:sz="0" w:space="0" w:color="auto"/>
            <w:right w:val="none" w:sz="0" w:space="0" w:color="auto"/>
          </w:divBdr>
        </w:div>
      </w:divsChild>
    </w:div>
    <w:div w:id="815994775">
      <w:bodyDiv w:val="1"/>
      <w:marLeft w:val="0"/>
      <w:marRight w:val="0"/>
      <w:marTop w:val="0"/>
      <w:marBottom w:val="0"/>
      <w:divBdr>
        <w:top w:val="none" w:sz="0" w:space="0" w:color="auto"/>
        <w:left w:val="none" w:sz="0" w:space="0" w:color="auto"/>
        <w:bottom w:val="none" w:sz="0" w:space="0" w:color="auto"/>
        <w:right w:val="none" w:sz="0" w:space="0" w:color="auto"/>
      </w:divBdr>
      <w:divsChild>
        <w:div w:id="911156464">
          <w:marLeft w:val="274"/>
          <w:marRight w:val="0"/>
          <w:marTop w:val="38"/>
          <w:marBottom w:val="0"/>
          <w:divBdr>
            <w:top w:val="none" w:sz="0" w:space="0" w:color="auto"/>
            <w:left w:val="none" w:sz="0" w:space="0" w:color="auto"/>
            <w:bottom w:val="none" w:sz="0" w:space="0" w:color="auto"/>
            <w:right w:val="none" w:sz="0" w:space="0" w:color="auto"/>
          </w:divBdr>
        </w:div>
        <w:div w:id="1080639707">
          <w:marLeft w:val="994"/>
          <w:marRight w:val="0"/>
          <w:marTop w:val="38"/>
          <w:marBottom w:val="0"/>
          <w:divBdr>
            <w:top w:val="none" w:sz="0" w:space="0" w:color="auto"/>
            <w:left w:val="none" w:sz="0" w:space="0" w:color="auto"/>
            <w:bottom w:val="none" w:sz="0" w:space="0" w:color="auto"/>
            <w:right w:val="none" w:sz="0" w:space="0" w:color="auto"/>
          </w:divBdr>
        </w:div>
        <w:div w:id="1151101252">
          <w:marLeft w:val="994"/>
          <w:marRight w:val="0"/>
          <w:marTop w:val="38"/>
          <w:marBottom w:val="0"/>
          <w:divBdr>
            <w:top w:val="none" w:sz="0" w:space="0" w:color="auto"/>
            <w:left w:val="none" w:sz="0" w:space="0" w:color="auto"/>
            <w:bottom w:val="none" w:sz="0" w:space="0" w:color="auto"/>
            <w:right w:val="none" w:sz="0" w:space="0" w:color="auto"/>
          </w:divBdr>
        </w:div>
      </w:divsChild>
    </w:div>
    <w:div w:id="820119290">
      <w:bodyDiv w:val="1"/>
      <w:marLeft w:val="0"/>
      <w:marRight w:val="0"/>
      <w:marTop w:val="0"/>
      <w:marBottom w:val="0"/>
      <w:divBdr>
        <w:top w:val="none" w:sz="0" w:space="0" w:color="auto"/>
        <w:left w:val="none" w:sz="0" w:space="0" w:color="auto"/>
        <w:bottom w:val="none" w:sz="0" w:space="0" w:color="auto"/>
        <w:right w:val="none" w:sz="0" w:space="0" w:color="auto"/>
      </w:divBdr>
      <w:divsChild>
        <w:div w:id="1633292317">
          <w:marLeft w:val="274"/>
          <w:marRight w:val="0"/>
          <w:marTop w:val="38"/>
          <w:marBottom w:val="0"/>
          <w:divBdr>
            <w:top w:val="none" w:sz="0" w:space="0" w:color="auto"/>
            <w:left w:val="none" w:sz="0" w:space="0" w:color="auto"/>
            <w:bottom w:val="none" w:sz="0" w:space="0" w:color="auto"/>
            <w:right w:val="none" w:sz="0" w:space="0" w:color="auto"/>
          </w:divBdr>
        </w:div>
      </w:divsChild>
    </w:div>
    <w:div w:id="820853716">
      <w:bodyDiv w:val="1"/>
      <w:marLeft w:val="0"/>
      <w:marRight w:val="0"/>
      <w:marTop w:val="0"/>
      <w:marBottom w:val="0"/>
      <w:divBdr>
        <w:top w:val="none" w:sz="0" w:space="0" w:color="auto"/>
        <w:left w:val="none" w:sz="0" w:space="0" w:color="auto"/>
        <w:bottom w:val="none" w:sz="0" w:space="0" w:color="auto"/>
        <w:right w:val="none" w:sz="0" w:space="0" w:color="auto"/>
      </w:divBdr>
    </w:div>
    <w:div w:id="821383852">
      <w:bodyDiv w:val="1"/>
      <w:marLeft w:val="0"/>
      <w:marRight w:val="0"/>
      <w:marTop w:val="0"/>
      <w:marBottom w:val="0"/>
      <w:divBdr>
        <w:top w:val="none" w:sz="0" w:space="0" w:color="auto"/>
        <w:left w:val="none" w:sz="0" w:space="0" w:color="auto"/>
        <w:bottom w:val="none" w:sz="0" w:space="0" w:color="auto"/>
        <w:right w:val="none" w:sz="0" w:space="0" w:color="auto"/>
      </w:divBdr>
      <w:divsChild>
        <w:div w:id="579825660">
          <w:marLeft w:val="274"/>
          <w:marRight w:val="0"/>
          <w:marTop w:val="38"/>
          <w:marBottom w:val="0"/>
          <w:divBdr>
            <w:top w:val="none" w:sz="0" w:space="0" w:color="auto"/>
            <w:left w:val="none" w:sz="0" w:space="0" w:color="auto"/>
            <w:bottom w:val="none" w:sz="0" w:space="0" w:color="auto"/>
            <w:right w:val="none" w:sz="0" w:space="0" w:color="auto"/>
          </w:divBdr>
        </w:div>
      </w:divsChild>
    </w:div>
    <w:div w:id="822701514">
      <w:bodyDiv w:val="1"/>
      <w:marLeft w:val="0"/>
      <w:marRight w:val="0"/>
      <w:marTop w:val="0"/>
      <w:marBottom w:val="0"/>
      <w:divBdr>
        <w:top w:val="none" w:sz="0" w:space="0" w:color="auto"/>
        <w:left w:val="none" w:sz="0" w:space="0" w:color="auto"/>
        <w:bottom w:val="none" w:sz="0" w:space="0" w:color="auto"/>
        <w:right w:val="none" w:sz="0" w:space="0" w:color="auto"/>
      </w:divBdr>
    </w:div>
    <w:div w:id="859899656">
      <w:bodyDiv w:val="1"/>
      <w:marLeft w:val="0"/>
      <w:marRight w:val="0"/>
      <w:marTop w:val="0"/>
      <w:marBottom w:val="0"/>
      <w:divBdr>
        <w:top w:val="none" w:sz="0" w:space="0" w:color="auto"/>
        <w:left w:val="none" w:sz="0" w:space="0" w:color="auto"/>
        <w:bottom w:val="none" w:sz="0" w:space="0" w:color="auto"/>
        <w:right w:val="none" w:sz="0" w:space="0" w:color="auto"/>
      </w:divBdr>
    </w:div>
    <w:div w:id="865479959">
      <w:bodyDiv w:val="1"/>
      <w:marLeft w:val="0"/>
      <w:marRight w:val="0"/>
      <w:marTop w:val="0"/>
      <w:marBottom w:val="0"/>
      <w:divBdr>
        <w:top w:val="none" w:sz="0" w:space="0" w:color="auto"/>
        <w:left w:val="none" w:sz="0" w:space="0" w:color="auto"/>
        <w:bottom w:val="none" w:sz="0" w:space="0" w:color="auto"/>
        <w:right w:val="none" w:sz="0" w:space="0" w:color="auto"/>
      </w:divBdr>
      <w:divsChild>
        <w:div w:id="1615600263">
          <w:marLeft w:val="274"/>
          <w:marRight w:val="0"/>
          <w:marTop w:val="38"/>
          <w:marBottom w:val="0"/>
          <w:divBdr>
            <w:top w:val="none" w:sz="0" w:space="0" w:color="auto"/>
            <w:left w:val="none" w:sz="0" w:space="0" w:color="auto"/>
            <w:bottom w:val="none" w:sz="0" w:space="0" w:color="auto"/>
            <w:right w:val="none" w:sz="0" w:space="0" w:color="auto"/>
          </w:divBdr>
        </w:div>
      </w:divsChild>
    </w:div>
    <w:div w:id="879783774">
      <w:bodyDiv w:val="1"/>
      <w:marLeft w:val="0"/>
      <w:marRight w:val="0"/>
      <w:marTop w:val="0"/>
      <w:marBottom w:val="0"/>
      <w:divBdr>
        <w:top w:val="none" w:sz="0" w:space="0" w:color="auto"/>
        <w:left w:val="none" w:sz="0" w:space="0" w:color="auto"/>
        <w:bottom w:val="none" w:sz="0" w:space="0" w:color="auto"/>
        <w:right w:val="none" w:sz="0" w:space="0" w:color="auto"/>
      </w:divBdr>
      <w:divsChild>
        <w:div w:id="2009558402">
          <w:marLeft w:val="274"/>
          <w:marRight w:val="0"/>
          <w:marTop w:val="38"/>
          <w:marBottom w:val="0"/>
          <w:divBdr>
            <w:top w:val="none" w:sz="0" w:space="0" w:color="auto"/>
            <w:left w:val="none" w:sz="0" w:space="0" w:color="auto"/>
            <w:bottom w:val="none" w:sz="0" w:space="0" w:color="auto"/>
            <w:right w:val="none" w:sz="0" w:space="0" w:color="auto"/>
          </w:divBdr>
        </w:div>
      </w:divsChild>
    </w:div>
    <w:div w:id="879971287">
      <w:bodyDiv w:val="1"/>
      <w:marLeft w:val="0"/>
      <w:marRight w:val="0"/>
      <w:marTop w:val="0"/>
      <w:marBottom w:val="0"/>
      <w:divBdr>
        <w:top w:val="none" w:sz="0" w:space="0" w:color="auto"/>
        <w:left w:val="none" w:sz="0" w:space="0" w:color="auto"/>
        <w:bottom w:val="none" w:sz="0" w:space="0" w:color="auto"/>
        <w:right w:val="none" w:sz="0" w:space="0" w:color="auto"/>
      </w:divBdr>
      <w:divsChild>
        <w:div w:id="1759331429">
          <w:marLeft w:val="274"/>
          <w:marRight w:val="0"/>
          <w:marTop w:val="58"/>
          <w:marBottom w:val="0"/>
          <w:divBdr>
            <w:top w:val="none" w:sz="0" w:space="0" w:color="auto"/>
            <w:left w:val="none" w:sz="0" w:space="0" w:color="auto"/>
            <w:bottom w:val="none" w:sz="0" w:space="0" w:color="auto"/>
            <w:right w:val="none" w:sz="0" w:space="0" w:color="auto"/>
          </w:divBdr>
        </w:div>
        <w:div w:id="1146632004">
          <w:marLeft w:val="274"/>
          <w:marRight w:val="0"/>
          <w:marTop w:val="58"/>
          <w:marBottom w:val="0"/>
          <w:divBdr>
            <w:top w:val="none" w:sz="0" w:space="0" w:color="auto"/>
            <w:left w:val="none" w:sz="0" w:space="0" w:color="auto"/>
            <w:bottom w:val="none" w:sz="0" w:space="0" w:color="auto"/>
            <w:right w:val="none" w:sz="0" w:space="0" w:color="auto"/>
          </w:divBdr>
        </w:div>
        <w:div w:id="1771857096">
          <w:marLeft w:val="274"/>
          <w:marRight w:val="0"/>
          <w:marTop w:val="58"/>
          <w:marBottom w:val="0"/>
          <w:divBdr>
            <w:top w:val="none" w:sz="0" w:space="0" w:color="auto"/>
            <w:left w:val="none" w:sz="0" w:space="0" w:color="auto"/>
            <w:bottom w:val="none" w:sz="0" w:space="0" w:color="auto"/>
            <w:right w:val="none" w:sz="0" w:space="0" w:color="auto"/>
          </w:divBdr>
        </w:div>
        <w:div w:id="1292134202">
          <w:marLeft w:val="994"/>
          <w:marRight w:val="0"/>
          <w:marTop w:val="0"/>
          <w:marBottom w:val="0"/>
          <w:divBdr>
            <w:top w:val="none" w:sz="0" w:space="0" w:color="auto"/>
            <w:left w:val="none" w:sz="0" w:space="0" w:color="auto"/>
            <w:bottom w:val="none" w:sz="0" w:space="0" w:color="auto"/>
            <w:right w:val="none" w:sz="0" w:space="0" w:color="auto"/>
          </w:divBdr>
        </w:div>
        <w:div w:id="571548669">
          <w:marLeft w:val="994"/>
          <w:marRight w:val="0"/>
          <w:marTop w:val="0"/>
          <w:marBottom w:val="0"/>
          <w:divBdr>
            <w:top w:val="none" w:sz="0" w:space="0" w:color="auto"/>
            <w:left w:val="none" w:sz="0" w:space="0" w:color="auto"/>
            <w:bottom w:val="none" w:sz="0" w:space="0" w:color="auto"/>
            <w:right w:val="none" w:sz="0" w:space="0" w:color="auto"/>
          </w:divBdr>
        </w:div>
      </w:divsChild>
    </w:div>
    <w:div w:id="884217525">
      <w:bodyDiv w:val="1"/>
      <w:marLeft w:val="0"/>
      <w:marRight w:val="0"/>
      <w:marTop w:val="0"/>
      <w:marBottom w:val="0"/>
      <w:divBdr>
        <w:top w:val="none" w:sz="0" w:space="0" w:color="auto"/>
        <w:left w:val="none" w:sz="0" w:space="0" w:color="auto"/>
        <w:bottom w:val="none" w:sz="0" w:space="0" w:color="auto"/>
        <w:right w:val="none" w:sz="0" w:space="0" w:color="auto"/>
      </w:divBdr>
    </w:div>
    <w:div w:id="885874069">
      <w:bodyDiv w:val="1"/>
      <w:marLeft w:val="0"/>
      <w:marRight w:val="0"/>
      <w:marTop w:val="0"/>
      <w:marBottom w:val="0"/>
      <w:divBdr>
        <w:top w:val="none" w:sz="0" w:space="0" w:color="auto"/>
        <w:left w:val="none" w:sz="0" w:space="0" w:color="auto"/>
        <w:bottom w:val="none" w:sz="0" w:space="0" w:color="auto"/>
        <w:right w:val="none" w:sz="0" w:space="0" w:color="auto"/>
      </w:divBdr>
      <w:divsChild>
        <w:div w:id="1529878277">
          <w:marLeft w:val="274"/>
          <w:marRight w:val="0"/>
          <w:marTop w:val="38"/>
          <w:marBottom w:val="0"/>
          <w:divBdr>
            <w:top w:val="none" w:sz="0" w:space="0" w:color="auto"/>
            <w:left w:val="none" w:sz="0" w:space="0" w:color="auto"/>
            <w:bottom w:val="none" w:sz="0" w:space="0" w:color="auto"/>
            <w:right w:val="none" w:sz="0" w:space="0" w:color="auto"/>
          </w:divBdr>
        </w:div>
      </w:divsChild>
    </w:div>
    <w:div w:id="887180807">
      <w:bodyDiv w:val="1"/>
      <w:marLeft w:val="0"/>
      <w:marRight w:val="0"/>
      <w:marTop w:val="0"/>
      <w:marBottom w:val="0"/>
      <w:divBdr>
        <w:top w:val="none" w:sz="0" w:space="0" w:color="auto"/>
        <w:left w:val="none" w:sz="0" w:space="0" w:color="auto"/>
        <w:bottom w:val="none" w:sz="0" w:space="0" w:color="auto"/>
        <w:right w:val="none" w:sz="0" w:space="0" w:color="auto"/>
      </w:divBdr>
      <w:divsChild>
        <w:div w:id="1835878563">
          <w:marLeft w:val="274"/>
          <w:marRight w:val="0"/>
          <w:marTop w:val="38"/>
          <w:marBottom w:val="0"/>
          <w:divBdr>
            <w:top w:val="none" w:sz="0" w:space="0" w:color="auto"/>
            <w:left w:val="none" w:sz="0" w:space="0" w:color="auto"/>
            <w:bottom w:val="none" w:sz="0" w:space="0" w:color="auto"/>
            <w:right w:val="none" w:sz="0" w:space="0" w:color="auto"/>
          </w:divBdr>
        </w:div>
      </w:divsChild>
    </w:div>
    <w:div w:id="904298145">
      <w:bodyDiv w:val="1"/>
      <w:marLeft w:val="0"/>
      <w:marRight w:val="0"/>
      <w:marTop w:val="0"/>
      <w:marBottom w:val="0"/>
      <w:divBdr>
        <w:top w:val="none" w:sz="0" w:space="0" w:color="auto"/>
        <w:left w:val="none" w:sz="0" w:space="0" w:color="auto"/>
        <w:bottom w:val="none" w:sz="0" w:space="0" w:color="auto"/>
        <w:right w:val="none" w:sz="0" w:space="0" w:color="auto"/>
      </w:divBdr>
    </w:div>
    <w:div w:id="905529559">
      <w:bodyDiv w:val="1"/>
      <w:marLeft w:val="0"/>
      <w:marRight w:val="0"/>
      <w:marTop w:val="0"/>
      <w:marBottom w:val="0"/>
      <w:divBdr>
        <w:top w:val="none" w:sz="0" w:space="0" w:color="auto"/>
        <w:left w:val="none" w:sz="0" w:space="0" w:color="auto"/>
        <w:bottom w:val="none" w:sz="0" w:space="0" w:color="auto"/>
        <w:right w:val="none" w:sz="0" w:space="0" w:color="auto"/>
      </w:divBdr>
      <w:divsChild>
        <w:div w:id="297687893">
          <w:marLeft w:val="274"/>
          <w:marRight w:val="0"/>
          <w:marTop w:val="38"/>
          <w:marBottom w:val="0"/>
          <w:divBdr>
            <w:top w:val="none" w:sz="0" w:space="0" w:color="auto"/>
            <w:left w:val="none" w:sz="0" w:space="0" w:color="auto"/>
            <w:bottom w:val="none" w:sz="0" w:space="0" w:color="auto"/>
            <w:right w:val="none" w:sz="0" w:space="0" w:color="auto"/>
          </w:divBdr>
        </w:div>
        <w:div w:id="318507217">
          <w:marLeft w:val="274"/>
          <w:marRight w:val="0"/>
          <w:marTop w:val="38"/>
          <w:marBottom w:val="0"/>
          <w:divBdr>
            <w:top w:val="none" w:sz="0" w:space="0" w:color="auto"/>
            <w:left w:val="none" w:sz="0" w:space="0" w:color="auto"/>
            <w:bottom w:val="none" w:sz="0" w:space="0" w:color="auto"/>
            <w:right w:val="none" w:sz="0" w:space="0" w:color="auto"/>
          </w:divBdr>
        </w:div>
        <w:div w:id="465508478">
          <w:marLeft w:val="274"/>
          <w:marRight w:val="0"/>
          <w:marTop w:val="38"/>
          <w:marBottom w:val="0"/>
          <w:divBdr>
            <w:top w:val="none" w:sz="0" w:space="0" w:color="auto"/>
            <w:left w:val="none" w:sz="0" w:space="0" w:color="auto"/>
            <w:bottom w:val="none" w:sz="0" w:space="0" w:color="auto"/>
            <w:right w:val="none" w:sz="0" w:space="0" w:color="auto"/>
          </w:divBdr>
        </w:div>
        <w:div w:id="880476505">
          <w:marLeft w:val="274"/>
          <w:marRight w:val="0"/>
          <w:marTop w:val="38"/>
          <w:marBottom w:val="0"/>
          <w:divBdr>
            <w:top w:val="none" w:sz="0" w:space="0" w:color="auto"/>
            <w:left w:val="none" w:sz="0" w:space="0" w:color="auto"/>
            <w:bottom w:val="none" w:sz="0" w:space="0" w:color="auto"/>
            <w:right w:val="none" w:sz="0" w:space="0" w:color="auto"/>
          </w:divBdr>
        </w:div>
        <w:div w:id="884757129">
          <w:marLeft w:val="274"/>
          <w:marRight w:val="0"/>
          <w:marTop w:val="38"/>
          <w:marBottom w:val="0"/>
          <w:divBdr>
            <w:top w:val="none" w:sz="0" w:space="0" w:color="auto"/>
            <w:left w:val="none" w:sz="0" w:space="0" w:color="auto"/>
            <w:bottom w:val="none" w:sz="0" w:space="0" w:color="auto"/>
            <w:right w:val="none" w:sz="0" w:space="0" w:color="auto"/>
          </w:divBdr>
        </w:div>
        <w:div w:id="1012218497">
          <w:marLeft w:val="274"/>
          <w:marRight w:val="0"/>
          <w:marTop w:val="38"/>
          <w:marBottom w:val="0"/>
          <w:divBdr>
            <w:top w:val="none" w:sz="0" w:space="0" w:color="auto"/>
            <w:left w:val="none" w:sz="0" w:space="0" w:color="auto"/>
            <w:bottom w:val="none" w:sz="0" w:space="0" w:color="auto"/>
            <w:right w:val="none" w:sz="0" w:space="0" w:color="auto"/>
          </w:divBdr>
        </w:div>
        <w:div w:id="1041899953">
          <w:marLeft w:val="274"/>
          <w:marRight w:val="0"/>
          <w:marTop w:val="38"/>
          <w:marBottom w:val="0"/>
          <w:divBdr>
            <w:top w:val="none" w:sz="0" w:space="0" w:color="auto"/>
            <w:left w:val="none" w:sz="0" w:space="0" w:color="auto"/>
            <w:bottom w:val="none" w:sz="0" w:space="0" w:color="auto"/>
            <w:right w:val="none" w:sz="0" w:space="0" w:color="auto"/>
          </w:divBdr>
        </w:div>
        <w:div w:id="2066296079">
          <w:marLeft w:val="274"/>
          <w:marRight w:val="0"/>
          <w:marTop w:val="38"/>
          <w:marBottom w:val="0"/>
          <w:divBdr>
            <w:top w:val="none" w:sz="0" w:space="0" w:color="auto"/>
            <w:left w:val="none" w:sz="0" w:space="0" w:color="auto"/>
            <w:bottom w:val="none" w:sz="0" w:space="0" w:color="auto"/>
            <w:right w:val="none" w:sz="0" w:space="0" w:color="auto"/>
          </w:divBdr>
        </w:div>
      </w:divsChild>
    </w:div>
    <w:div w:id="929580871">
      <w:bodyDiv w:val="1"/>
      <w:marLeft w:val="0"/>
      <w:marRight w:val="0"/>
      <w:marTop w:val="0"/>
      <w:marBottom w:val="0"/>
      <w:divBdr>
        <w:top w:val="none" w:sz="0" w:space="0" w:color="auto"/>
        <w:left w:val="none" w:sz="0" w:space="0" w:color="auto"/>
        <w:bottom w:val="none" w:sz="0" w:space="0" w:color="auto"/>
        <w:right w:val="none" w:sz="0" w:space="0" w:color="auto"/>
      </w:divBdr>
    </w:div>
    <w:div w:id="929897871">
      <w:bodyDiv w:val="1"/>
      <w:marLeft w:val="0"/>
      <w:marRight w:val="0"/>
      <w:marTop w:val="0"/>
      <w:marBottom w:val="0"/>
      <w:divBdr>
        <w:top w:val="none" w:sz="0" w:space="0" w:color="auto"/>
        <w:left w:val="none" w:sz="0" w:space="0" w:color="auto"/>
        <w:bottom w:val="none" w:sz="0" w:space="0" w:color="auto"/>
        <w:right w:val="none" w:sz="0" w:space="0" w:color="auto"/>
      </w:divBdr>
      <w:divsChild>
        <w:div w:id="1082681951">
          <w:marLeft w:val="446"/>
          <w:marRight w:val="0"/>
          <w:marTop w:val="120"/>
          <w:marBottom w:val="0"/>
          <w:divBdr>
            <w:top w:val="none" w:sz="0" w:space="0" w:color="auto"/>
            <w:left w:val="none" w:sz="0" w:space="0" w:color="auto"/>
            <w:bottom w:val="none" w:sz="0" w:space="0" w:color="auto"/>
            <w:right w:val="none" w:sz="0" w:space="0" w:color="auto"/>
          </w:divBdr>
        </w:div>
        <w:div w:id="1321928969">
          <w:marLeft w:val="446"/>
          <w:marRight w:val="0"/>
          <w:marTop w:val="120"/>
          <w:marBottom w:val="0"/>
          <w:divBdr>
            <w:top w:val="none" w:sz="0" w:space="0" w:color="auto"/>
            <w:left w:val="none" w:sz="0" w:space="0" w:color="auto"/>
            <w:bottom w:val="none" w:sz="0" w:space="0" w:color="auto"/>
            <w:right w:val="none" w:sz="0" w:space="0" w:color="auto"/>
          </w:divBdr>
        </w:div>
      </w:divsChild>
    </w:div>
    <w:div w:id="930969548">
      <w:bodyDiv w:val="1"/>
      <w:marLeft w:val="0"/>
      <w:marRight w:val="0"/>
      <w:marTop w:val="0"/>
      <w:marBottom w:val="0"/>
      <w:divBdr>
        <w:top w:val="none" w:sz="0" w:space="0" w:color="auto"/>
        <w:left w:val="none" w:sz="0" w:space="0" w:color="auto"/>
        <w:bottom w:val="none" w:sz="0" w:space="0" w:color="auto"/>
        <w:right w:val="none" w:sz="0" w:space="0" w:color="auto"/>
      </w:divBdr>
      <w:divsChild>
        <w:div w:id="24789950">
          <w:marLeft w:val="1166"/>
          <w:marRight w:val="0"/>
          <w:marTop w:val="67"/>
          <w:marBottom w:val="0"/>
          <w:divBdr>
            <w:top w:val="none" w:sz="0" w:space="0" w:color="auto"/>
            <w:left w:val="none" w:sz="0" w:space="0" w:color="auto"/>
            <w:bottom w:val="none" w:sz="0" w:space="0" w:color="auto"/>
            <w:right w:val="none" w:sz="0" w:space="0" w:color="auto"/>
          </w:divBdr>
        </w:div>
        <w:div w:id="538857253">
          <w:marLeft w:val="1166"/>
          <w:marRight w:val="0"/>
          <w:marTop w:val="67"/>
          <w:marBottom w:val="0"/>
          <w:divBdr>
            <w:top w:val="none" w:sz="0" w:space="0" w:color="auto"/>
            <w:left w:val="none" w:sz="0" w:space="0" w:color="auto"/>
            <w:bottom w:val="none" w:sz="0" w:space="0" w:color="auto"/>
            <w:right w:val="none" w:sz="0" w:space="0" w:color="auto"/>
          </w:divBdr>
        </w:div>
        <w:div w:id="742143125">
          <w:marLeft w:val="1166"/>
          <w:marRight w:val="0"/>
          <w:marTop w:val="67"/>
          <w:marBottom w:val="0"/>
          <w:divBdr>
            <w:top w:val="none" w:sz="0" w:space="0" w:color="auto"/>
            <w:left w:val="none" w:sz="0" w:space="0" w:color="auto"/>
            <w:bottom w:val="none" w:sz="0" w:space="0" w:color="auto"/>
            <w:right w:val="none" w:sz="0" w:space="0" w:color="auto"/>
          </w:divBdr>
        </w:div>
        <w:div w:id="1177885347">
          <w:marLeft w:val="1166"/>
          <w:marRight w:val="0"/>
          <w:marTop w:val="67"/>
          <w:marBottom w:val="0"/>
          <w:divBdr>
            <w:top w:val="none" w:sz="0" w:space="0" w:color="auto"/>
            <w:left w:val="none" w:sz="0" w:space="0" w:color="auto"/>
            <w:bottom w:val="none" w:sz="0" w:space="0" w:color="auto"/>
            <w:right w:val="none" w:sz="0" w:space="0" w:color="auto"/>
          </w:divBdr>
        </w:div>
        <w:div w:id="1573396070">
          <w:marLeft w:val="547"/>
          <w:marRight w:val="0"/>
          <w:marTop w:val="77"/>
          <w:marBottom w:val="0"/>
          <w:divBdr>
            <w:top w:val="none" w:sz="0" w:space="0" w:color="auto"/>
            <w:left w:val="none" w:sz="0" w:space="0" w:color="auto"/>
            <w:bottom w:val="none" w:sz="0" w:space="0" w:color="auto"/>
            <w:right w:val="none" w:sz="0" w:space="0" w:color="auto"/>
          </w:divBdr>
        </w:div>
        <w:div w:id="1639988531">
          <w:marLeft w:val="1166"/>
          <w:marRight w:val="0"/>
          <w:marTop w:val="67"/>
          <w:marBottom w:val="0"/>
          <w:divBdr>
            <w:top w:val="none" w:sz="0" w:space="0" w:color="auto"/>
            <w:left w:val="none" w:sz="0" w:space="0" w:color="auto"/>
            <w:bottom w:val="none" w:sz="0" w:space="0" w:color="auto"/>
            <w:right w:val="none" w:sz="0" w:space="0" w:color="auto"/>
          </w:divBdr>
        </w:div>
        <w:div w:id="1814909135">
          <w:marLeft w:val="547"/>
          <w:marRight w:val="0"/>
          <w:marTop w:val="77"/>
          <w:marBottom w:val="0"/>
          <w:divBdr>
            <w:top w:val="none" w:sz="0" w:space="0" w:color="auto"/>
            <w:left w:val="none" w:sz="0" w:space="0" w:color="auto"/>
            <w:bottom w:val="none" w:sz="0" w:space="0" w:color="auto"/>
            <w:right w:val="none" w:sz="0" w:space="0" w:color="auto"/>
          </w:divBdr>
        </w:div>
      </w:divsChild>
    </w:div>
    <w:div w:id="936065247">
      <w:bodyDiv w:val="1"/>
      <w:marLeft w:val="0"/>
      <w:marRight w:val="0"/>
      <w:marTop w:val="0"/>
      <w:marBottom w:val="0"/>
      <w:divBdr>
        <w:top w:val="none" w:sz="0" w:space="0" w:color="auto"/>
        <w:left w:val="none" w:sz="0" w:space="0" w:color="auto"/>
        <w:bottom w:val="none" w:sz="0" w:space="0" w:color="auto"/>
        <w:right w:val="none" w:sz="0" w:space="0" w:color="auto"/>
      </w:divBdr>
      <w:divsChild>
        <w:div w:id="845166485">
          <w:marLeft w:val="274"/>
          <w:marRight w:val="0"/>
          <w:marTop w:val="38"/>
          <w:marBottom w:val="0"/>
          <w:divBdr>
            <w:top w:val="none" w:sz="0" w:space="0" w:color="auto"/>
            <w:left w:val="none" w:sz="0" w:space="0" w:color="auto"/>
            <w:bottom w:val="none" w:sz="0" w:space="0" w:color="auto"/>
            <w:right w:val="none" w:sz="0" w:space="0" w:color="auto"/>
          </w:divBdr>
        </w:div>
        <w:div w:id="1090271257">
          <w:marLeft w:val="274"/>
          <w:marRight w:val="0"/>
          <w:marTop w:val="38"/>
          <w:marBottom w:val="0"/>
          <w:divBdr>
            <w:top w:val="none" w:sz="0" w:space="0" w:color="auto"/>
            <w:left w:val="none" w:sz="0" w:space="0" w:color="auto"/>
            <w:bottom w:val="none" w:sz="0" w:space="0" w:color="auto"/>
            <w:right w:val="none" w:sz="0" w:space="0" w:color="auto"/>
          </w:divBdr>
        </w:div>
        <w:div w:id="1474980918">
          <w:marLeft w:val="274"/>
          <w:marRight w:val="0"/>
          <w:marTop w:val="38"/>
          <w:marBottom w:val="0"/>
          <w:divBdr>
            <w:top w:val="none" w:sz="0" w:space="0" w:color="auto"/>
            <w:left w:val="none" w:sz="0" w:space="0" w:color="auto"/>
            <w:bottom w:val="none" w:sz="0" w:space="0" w:color="auto"/>
            <w:right w:val="none" w:sz="0" w:space="0" w:color="auto"/>
          </w:divBdr>
        </w:div>
      </w:divsChild>
    </w:div>
    <w:div w:id="970094484">
      <w:bodyDiv w:val="1"/>
      <w:marLeft w:val="0"/>
      <w:marRight w:val="0"/>
      <w:marTop w:val="0"/>
      <w:marBottom w:val="0"/>
      <w:divBdr>
        <w:top w:val="none" w:sz="0" w:space="0" w:color="auto"/>
        <w:left w:val="none" w:sz="0" w:space="0" w:color="auto"/>
        <w:bottom w:val="none" w:sz="0" w:space="0" w:color="auto"/>
        <w:right w:val="none" w:sz="0" w:space="0" w:color="auto"/>
      </w:divBdr>
    </w:div>
    <w:div w:id="980496065">
      <w:bodyDiv w:val="1"/>
      <w:marLeft w:val="0"/>
      <w:marRight w:val="0"/>
      <w:marTop w:val="0"/>
      <w:marBottom w:val="0"/>
      <w:divBdr>
        <w:top w:val="none" w:sz="0" w:space="0" w:color="auto"/>
        <w:left w:val="none" w:sz="0" w:space="0" w:color="auto"/>
        <w:bottom w:val="none" w:sz="0" w:space="0" w:color="auto"/>
        <w:right w:val="none" w:sz="0" w:space="0" w:color="auto"/>
      </w:divBdr>
    </w:div>
    <w:div w:id="981159185">
      <w:bodyDiv w:val="1"/>
      <w:marLeft w:val="0"/>
      <w:marRight w:val="0"/>
      <w:marTop w:val="0"/>
      <w:marBottom w:val="0"/>
      <w:divBdr>
        <w:top w:val="none" w:sz="0" w:space="0" w:color="auto"/>
        <w:left w:val="none" w:sz="0" w:space="0" w:color="auto"/>
        <w:bottom w:val="none" w:sz="0" w:space="0" w:color="auto"/>
        <w:right w:val="none" w:sz="0" w:space="0" w:color="auto"/>
      </w:divBdr>
      <w:divsChild>
        <w:div w:id="256251373">
          <w:marLeft w:val="274"/>
          <w:marRight w:val="0"/>
          <w:marTop w:val="38"/>
          <w:marBottom w:val="0"/>
          <w:divBdr>
            <w:top w:val="none" w:sz="0" w:space="0" w:color="auto"/>
            <w:left w:val="none" w:sz="0" w:space="0" w:color="auto"/>
            <w:bottom w:val="none" w:sz="0" w:space="0" w:color="auto"/>
            <w:right w:val="none" w:sz="0" w:space="0" w:color="auto"/>
          </w:divBdr>
        </w:div>
        <w:div w:id="364255541">
          <w:marLeft w:val="994"/>
          <w:marRight w:val="0"/>
          <w:marTop w:val="38"/>
          <w:marBottom w:val="0"/>
          <w:divBdr>
            <w:top w:val="none" w:sz="0" w:space="0" w:color="auto"/>
            <w:left w:val="none" w:sz="0" w:space="0" w:color="auto"/>
            <w:bottom w:val="none" w:sz="0" w:space="0" w:color="auto"/>
            <w:right w:val="none" w:sz="0" w:space="0" w:color="auto"/>
          </w:divBdr>
        </w:div>
        <w:div w:id="488210312">
          <w:marLeft w:val="994"/>
          <w:marRight w:val="0"/>
          <w:marTop w:val="38"/>
          <w:marBottom w:val="0"/>
          <w:divBdr>
            <w:top w:val="none" w:sz="0" w:space="0" w:color="auto"/>
            <w:left w:val="none" w:sz="0" w:space="0" w:color="auto"/>
            <w:bottom w:val="none" w:sz="0" w:space="0" w:color="auto"/>
            <w:right w:val="none" w:sz="0" w:space="0" w:color="auto"/>
          </w:divBdr>
        </w:div>
      </w:divsChild>
    </w:div>
    <w:div w:id="983049865">
      <w:bodyDiv w:val="1"/>
      <w:marLeft w:val="0"/>
      <w:marRight w:val="0"/>
      <w:marTop w:val="0"/>
      <w:marBottom w:val="0"/>
      <w:divBdr>
        <w:top w:val="none" w:sz="0" w:space="0" w:color="auto"/>
        <w:left w:val="none" w:sz="0" w:space="0" w:color="auto"/>
        <w:bottom w:val="none" w:sz="0" w:space="0" w:color="auto"/>
        <w:right w:val="none" w:sz="0" w:space="0" w:color="auto"/>
      </w:divBdr>
    </w:div>
    <w:div w:id="999579435">
      <w:bodyDiv w:val="1"/>
      <w:marLeft w:val="0"/>
      <w:marRight w:val="0"/>
      <w:marTop w:val="0"/>
      <w:marBottom w:val="0"/>
      <w:divBdr>
        <w:top w:val="none" w:sz="0" w:space="0" w:color="auto"/>
        <w:left w:val="none" w:sz="0" w:space="0" w:color="auto"/>
        <w:bottom w:val="none" w:sz="0" w:space="0" w:color="auto"/>
        <w:right w:val="none" w:sz="0" w:space="0" w:color="auto"/>
      </w:divBdr>
      <w:divsChild>
        <w:div w:id="1927184361">
          <w:marLeft w:val="274"/>
          <w:marRight w:val="0"/>
          <w:marTop w:val="38"/>
          <w:marBottom w:val="0"/>
          <w:divBdr>
            <w:top w:val="none" w:sz="0" w:space="0" w:color="auto"/>
            <w:left w:val="none" w:sz="0" w:space="0" w:color="auto"/>
            <w:bottom w:val="none" w:sz="0" w:space="0" w:color="auto"/>
            <w:right w:val="none" w:sz="0" w:space="0" w:color="auto"/>
          </w:divBdr>
        </w:div>
      </w:divsChild>
    </w:div>
    <w:div w:id="1002202818">
      <w:bodyDiv w:val="1"/>
      <w:marLeft w:val="0"/>
      <w:marRight w:val="0"/>
      <w:marTop w:val="0"/>
      <w:marBottom w:val="0"/>
      <w:divBdr>
        <w:top w:val="none" w:sz="0" w:space="0" w:color="auto"/>
        <w:left w:val="none" w:sz="0" w:space="0" w:color="auto"/>
        <w:bottom w:val="none" w:sz="0" w:space="0" w:color="auto"/>
        <w:right w:val="none" w:sz="0" w:space="0" w:color="auto"/>
      </w:divBdr>
    </w:div>
    <w:div w:id="1002969153">
      <w:bodyDiv w:val="1"/>
      <w:marLeft w:val="0"/>
      <w:marRight w:val="0"/>
      <w:marTop w:val="0"/>
      <w:marBottom w:val="0"/>
      <w:divBdr>
        <w:top w:val="none" w:sz="0" w:space="0" w:color="auto"/>
        <w:left w:val="none" w:sz="0" w:space="0" w:color="auto"/>
        <w:bottom w:val="none" w:sz="0" w:space="0" w:color="auto"/>
        <w:right w:val="none" w:sz="0" w:space="0" w:color="auto"/>
      </w:divBdr>
    </w:div>
    <w:div w:id="1004354991">
      <w:bodyDiv w:val="1"/>
      <w:marLeft w:val="0"/>
      <w:marRight w:val="0"/>
      <w:marTop w:val="0"/>
      <w:marBottom w:val="0"/>
      <w:divBdr>
        <w:top w:val="none" w:sz="0" w:space="0" w:color="auto"/>
        <w:left w:val="none" w:sz="0" w:space="0" w:color="auto"/>
        <w:bottom w:val="none" w:sz="0" w:space="0" w:color="auto"/>
        <w:right w:val="none" w:sz="0" w:space="0" w:color="auto"/>
      </w:divBdr>
    </w:div>
    <w:div w:id="1015884231">
      <w:bodyDiv w:val="1"/>
      <w:marLeft w:val="0"/>
      <w:marRight w:val="0"/>
      <w:marTop w:val="0"/>
      <w:marBottom w:val="0"/>
      <w:divBdr>
        <w:top w:val="none" w:sz="0" w:space="0" w:color="auto"/>
        <w:left w:val="none" w:sz="0" w:space="0" w:color="auto"/>
        <w:bottom w:val="none" w:sz="0" w:space="0" w:color="auto"/>
        <w:right w:val="none" w:sz="0" w:space="0" w:color="auto"/>
      </w:divBdr>
      <w:divsChild>
        <w:div w:id="880635676">
          <w:marLeft w:val="446"/>
          <w:marRight w:val="0"/>
          <w:marTop w:val="120"/>
          <w:marBottom w:val="0"/>
          <w:divBdr>
            <w:top w:val="none" w:sz="0" w:space="0" w:color="auto"/>
            <w:left w:val="none" w:sz="0" w:space="0" w:color="auto"/>
            <w:bottom w:val="none" w:sz="0" w:space="0" w:color="auto"/>
            <w:right w:val="none" w:sz="0" w:space="0" w:color="auto"/>
          </w:divBdr>
        </w:div>
      </w:divsChild>
    </w:div>
    <w:div w:id="1022634542">
      <w:bodyDiv w:val="1"/>
      <w:marLeft w:val="0"/>
      <w:marRight w:val="0"/>
      <w:marTop w:val="0"/>
      <w:marBottom w:val="0"/>
      <w:divBdr>
        <w:top w:val="none" w:sz="0" w:space="0" w:color="auto"/>
        <w:left w:val="none" w:sz="0" w:space="0" w:color="auto"/>
        <w:bottom w:val="none" w:sz="0" w:space="0" w:color="auto"/>
        <w:right w:val="none" w:sz="0" w:space="0" w:color="auto"/>
      </w:divBdr>
      <w:divsChild>
        <w:div w:id="833648930">
          <w:marLeft w:val="274"/>
          <w:marRight w:val="0"/>
          <w:marTop w:val="38"/>
          <w:marBottom w:val="0"/>
          <w:divBdr>
            <w:top w:val="none" w:sz="0" w:space="0" w:color="auto"/>
            <w:left w:val="none" w:sz="0" w:space="0" w:color="auto"/>
            <w:bottom w:val="none" w:sz="0" w:space="0" w:color="auto"/>
            <w:right w:val="none" w:sz="0" w:space="0" w:color="auto"/>
          </w:divBdr>
        </w:div>
      </w:divsChild>
    </w:div>
    <w:div w:id="1027215376">
      <w:bodyDiv w:val="1"/>
      <w:marLeft w:val="0"/>
      <w:marRight w:val="0"/>
      <w:marTop w:val="0"/>
      <w:marBottom w:val="0"/>
      <w:divBdr>
        <w:top w:val="none" w:sz="0" w:space="0" w:color="auto"/>
        <w:left w:val="none" w:sz="0" w:space="0" w:color="auto"/>
        <w:bottom w:val="none" w:sz="0" w:space="0" w:color="auto"/>
        <w:right w:val="none" w:sz="0" w:space="0" w:color="auto"/>
      </w:divBdr>
      <w:divsChild>
        <w:div w:id="585072313">
          <w:marLeft w:val="274"/>
          <w:marRight w:val="0"/>
          <w:marTop w:val="38"/>
          <w:marBottom w:val="0"/>
          <w:divBdr>
            <w:top w:val="none" w:sz="0" w:space="0" w:color="auto"/>
            <w:left w:val="none" w:sz="0" w:space="0" w:color="auto"/>
            <w:bottom w:val="none" w:sz="0" w:space="0" w:color="auto"/>
            <w:right w:val="none" w:sz="0" w:space="0" w:color="auto"/>
          </w:divBdr>
        </w:div>
        <w:div w:id="1082139395">
          <w:marLeft w:val="274"/>
          <w:marRight w:val="0"/>
          <w:marTop w:val="38"/>
          <w:marBottom w:val="0"/>
          <w:divBdr>
            <w:top w:val="none" w:sz="0" w:space="0" w:color="auto"/>
            <w:left w:val="none" w:sz="0" w:space="0" w:color="auto"/>
            <w:bottom w:val="none" w:sz="0" w:space="0" w:color="auto"/>
            <w:right w:val="none" w:sz="0" w:space="0" w:color="auto"/>
          </w:divBdr>
        </w:div>
      </w:divsChild>
    </w:div>
    <w:div w:id="1036277072">
      <w:bodyDiv w:val="1"/>
      <w:marLeft w:val="0"/>
      <w:marRight w:val="0"/>
      <w:marTop w:val="0"/>
      <w:marBottom w:val="0"/>
      <w:divBdr>
        <w:top w:val="none" w:sz="0" w:space="0" w:color="auto"/>
        <w:left w:val="none" w:sz="0" w:space="0" w:color="auto"/>
        <w:bottom w:val="none" w:sz="0" w:space="0" w:color="auto"/>
        <w:right w:val="none" w:sz="0" w:space="0" w:color="auto"/>
      </w:divBdr>
      <w:divsChild>
        <w:div w:id="1791702435">
          <w:marLeft w:val="274"/>
          <w:marRight w:val="0"/>
          <w:marTop w:val="38"/>
          <w:marBottom w:val="0"/>
          <w:divBdr>
            <w:top w:val="none" w:sz="0" w:space="0" w:color="auto"/>
            <w:left w:val="none" w:sz="0" w:space="0" w:color="auto"/>
            <w:bottom w:val="none" w:sz="0" w:space="0" w:color="auto"/>
            <w:right w:val="none" w:sz="0" w:space="0" w:color="auto"/>
          </w:divBdr>
        </w:div>
      </w:divsChild>
    </w:div>
    <w:div w:id="1039360144">
      <w:bodyDiv w:val="1"/>
      <w:marLeft w:val="0"/>
      <w:marRight w:val="0"/>
      <w:marTop w:val="0"/>
      <w:marBottom w:val="0"/>
      <w:divBdr>
        <w:top w:val="none" w:sz="0" w:space="0" w:color="auto"/>
        <w:left w:val="none" w:sz="0" w:space="0" w:color="auto"/>
        <w:bottom w:val="none" w:sz="0" w:space="0" w:color="auto"/>
        <w:right w:val="none" w:sz="0" w:space="0" w:color="auto"/>
      </w:divBdr>
      <w:divsChild>
        <w:div w:id="21320721">
          <w:marLeft w:val="274"/>
          <w:marRight w:val="0"/>
          <w:marTop w:val="38"/>
          <w:marBottom w:val="0"/>
          <w:divBdr>
            <w:top w:val="none" w:sz="0" w:space="0" w:color="auto"/>
            <w:left w:val="none" w:sz="0" w:space="0" w:color="auto"/>
            <w:bottom w:val="none" w:sz="0" w:space="0" w:color="auto"/>
            <w:right w:val="none" w:sz="0" w:space="0" w:color="auto"/>
          </w:divBdr>
        </w:div>
        <w:div w:id="1417244958">
          <w:marLeft w:val="274"/>
          <w:marRight w:val="0"/>
          <w:marTop w:val="38"/>
          <w:marBottom w:val="0"/>
          <w:divBdr>
            <w:top w:val="none" w:sz="0" w:space="0" w:color="auto"/>
            <w:left w:val="none" w:sz="0" w:space="0" w:color="auto"/>
            <w:bottom w:val="none" w:sz="0" w:space="0" w:color="auto"/>
            <w:right w:val="none" w:sz="0" w:space="0" w:color="auto"/>
          </w:divBdr>
        </w:div>
      </w:divsChild>
    </w:div>
    <w:div w:id="1040015764">
      <w:bodyDiv w:val="1"/>
      <w:marLeft w:val="0"/>
      <w:marRight w:val="0"/>
      <w:marTop w:val="0"/>
      <w:marBottom w:val="0"/>
      <w:divBdr>
        <w:top w:val="none" w:sz="0" w:space="0" w:color="auto"/>
        <w:left w:val="none" w:sz="0" w:space="0" w:color="auto"/>
        <w:bottom w:val="none" w:sz="0" w:space="0" w:color="auto"/>
        <w:right w:val="none" w:sz="0" w:space="0" w:color="auto"/>
      </w:divBdr>
      <w:divsChild>
        <w:div w:id="54397291">
          <w:marLeft w:val="274"/>
          <w:marRight w:val="0"/>
          <w:marTop w:val="38"/>
          <w:marBottom w:val="0"/>
          <w:divBdr>
            <w:top w:val="none" w:sz="0" w:space="0" w:color="auto"/>
            <w:left w:val="none" w:sz="0" w:space="0" w:color="auto"/>
            <w:bottom w:val="none" w:sz="0" w:space="0" w:color="auto"/>
            <w:right w:val="none" w:sz="0" w:space="0" w:color="auto"/>
          </w:divBdr>
        </w:div>
        <w:div w:id="598682565">
          <w:marLeft w:val="274"/>
          <w:marRight w:val="0"/>
          <w:marTop w:val="38"/>
          <w:marBottom w:val="0"/>
          <w:divBdr>
            <w:top w:val="none" w:sz="0" w:space="0" w:color="auto"/>
            <w:left w:val="none" w:sz="0" w:space="0" w:color="auto"/>
            <w:bottom w:val="none" w:sz="0" w:space="0" w:color="auto"/>
            <w:right w:val="none" w:sz="0" w:space="0" w:color="auto"/>
          </w:divBdr>
        </w:div>
        <w:div w:id="1527479426">
          <w:marLeft w:val="274"/>
          <w:marRight w:val="0"/>
          <w:marTop w:val="38"/>
          <w:marBottom w:val="0"/>
          <w:divBdr>
            <w:top w:val="none" w:sz="0" w:space="0" w:color="auto"/>
            <w:left w:val="none" w:sz="0" w:space="0" w:color="auto"/>
            <w:bottom w:val="none" w:sz="0" w:space="0" w:color="auto"/>
            <w:right w:val="none" w:sz="0" w:space="0" w:color="auto"/>
          </w:divBdr>
        </w:div>
      </w:divsChild>
    </w:div>
    <w:div w:id="1078283801">
      <w:bodyDiv w:val="1"/>
      <w:marLeft w:val="0"/>
      <w:marRight w:val="0"/>
      <w:marTop w:val="0"/>
      <w:marBottom w:val="0"/>
      <w:divBdr>
        <w:top w:val="none" w:sz="0" w:space="0" w:color="auto"/>
        <w:left w:val="none" w:sz="0" w:space="0" w:color="auto"/>
        <w:bottom w:val="none" w:sz="0" w:space="0" w:color="auto"/>
        <w:right w:val="none" w:sz="0" w:space="0" w:color="auto"/>
      </w:divBdr>
      <w:divsChild>
        <w:div w:id="565335398">
          <w:marLeft w:val="274"/>
          <w:marRight w:val="0"/>
          <w:marTop w:val="38"/>
          <w:marBottom w:val="0"/>
          <w:divBdr>
            <w:top w:val="none" w:sz="0" w:space="0" w:color="auto"/>
            <w:left w:val="none" w:sz="0" w:space="0" w:color="auto"/>
            <w:bottom w:val="none" w:sz="0" w:space="0" w:color="auto"/>
            <w:right w:val="none" w:sz="0" w:space="0" w:color="auto"/>
          </w:divBdr>
        </w:div>
      </w:divsChild>
    </w:div>
    <w:div w:id="1081609571">
      <w:bodyDiv w:val="1"/>
      <w:marLeft w:val="0"/>
      <w:marRight w:val="0"/>
      <w:marTop w:val="0"/>
      <w:marBottom w:val="0"/>
      <w:divBdr>
        <w:top w:val="none" w:sz="0" w:space="0" w:color="auto"/>
        <w:left w:val="none" w:sz="0" w:space="0" w:color="auto"/>
        <w:bottom w:val="none" w:sz="0" w:space="0" w:color="auto"/>
        <w:right w:val="none" w:sz="0" w:space="0" w:color="auto"/>
      </w:divBdr>
      <w:divsChild>
        <w:div w:id="357511653">
          <w:marLeft w:val="274"/>
          <w:marRight w:val="0"/>
          <w:marTop w:val="38"/>
          <w:marBottom w:val="0"/>
          <w:divBdr>
            <w:top w:val="none" w:sz="0" w:space="0" w:color="auto"/>
            <w:left w:val="none" w:sz="0" w:space="0" w:color="auto"/>
            <w:bottom w:val="none" w:sz="0" w:space="0" w:color="auto"/>
            <w:right w:val="none" w:sz="0" w:space="0" w:color="auto"/>
          </w:divBdr>
        </w:div>
      </w:divsChild>
    </w:div>
    <w:div w:id="1112095075">
      <w:bodyDiv w:val="1"/>
      <w:marLeft w:val="0"/>
      <w:marRight w:val="0"/>
      <w:marTop w:val="0"/>
      <w:marBottom w:val="0"/>
      <w:divBdr>
        <w:top w:val="none" w:sz="0" w:space="0" w:color="auto"/>
        <w:left w:val="none" w:sz="0" w:space="0" w:color="auto"/>
        <w:bottom w:val="none" w:sz="0" w:space="0" w:color="auto"/>
        <w:right w:val="none" w:sz="0" w:space="0" w:color="auto"/>
      </w:divBdr>
    </w:div>
    <w:div w:id="1160804763">
      <w:bodyDiv w:val="1"/>
      <w:marLeft w:val="0"/>
      <w:marRight w:val="0"/>
      <w:marTop w:val="0"/>
      <w:marBottom w:val="0"/>
      <w:divBdr>
        <w:top w:val="none" w:sz="0" w:space="0" w:color="auto"/>
        <w:left w:val="none" w:sz="0" w:space="0" w:color="auto"/>
        <w:bottom w:val="none" w:sz="0" w:space="0" w:color="auto"/>
        <w:right w:val="none" w:sz="0" w:space="0" w:color="auto"/>
      </w:divBdr>
    </w:div>
    <w:div w:id="1161770768">
      <w:bodyDiv w:val="1"/>
      <w:marLeft w:val="0"/>
      <w:marRight w:val="0"/>
      <w:marTop w:val="0"/>
      <w:marBottom w:val="0"/>
      <w:divBdr>
        <w:top w:val="none" w:sz="0" w:space="0" w:color="auto"/>
        <w:left w:val="none" w:sz="0" w:space="0" w:color="auto"/>
        <w:bottom w:val="none" w:sz="0" w:space="0" w:color="auto"/>
        <w:right w:val="none" w:sz="0" w:space="0" w:color="auto"/>
      </w:divBdr>
      <w:divsChild>
        <w:div w:id="497624058">
          <w:marLeft w:val="274"/>
          <w:marRight w:val="0"/>
          <w:marTop w:val="38"/>
          <w:marBottom w:val="0"/>
          <w:divBdr>
            <w:top w:val="none" w:sz="0" w:space="0" w:color="auto"/>
            <w:left w:val="none" w:sz="0" w:space="0" w:color="auto"/>
            <w:bottom w:val="none" w:sz="0" w:space="0" w:color="auto"/>
            <w:right w:val="none" w:sz="0" w:space="0" w:color="auto"/>
          </w:divBdr>
        </w:div>
        <w:div w:id="1667126179">
          <w:marLeft w:val="274"/>
          <w:marRight w:val="0"/>
          <w:marTop w:val="38"/>
          <w:marBottom w:val="0"/>
          <w:divBdr>
            <w:top w:val="none" w:sz="0" w:space="0" w:color="auto"/>
            <w:left w:val="none" w:sz="0" w:space="0" w:color="auto"/>
            <w:bottom w:val="none" w:sz="0" w:space="0" w:color="auto"/>
            <w:right w:val="none" w:sz="0" w:space="0" w:color="auto"/>
          </w:divBdr>
        </w:div>
      </w:divsChild>
    </w:div>
    <w:div w:id="1162547493">
      <w:bodyDiv w:val="1"/>
      <w:marLeft w:val="0"/>
      <w:marRight w:val="0"/>
      <w:marTop w:val="0"/>
      <w:marBottom w:val="0"/>
      <w:divBdr>
        <w:top w:val="none" w:sz="0" w:space="0" w:color="auto"/>
        <w:left w:val="none" w:sz="0" w:space="0" w:color="auto"/>
        <w:bottom w:val="none" w:sz="0" w:space="0" w:color="auto"/>
        <w:right w:val="none" w:sz="0" w:space="0" w:color="auto"/>
      </w:divBdr>
      <w:divsChild>
        <w:div w:id="383062658">
          <w:marLeft w:val="994"/>
          <w:marRight w:val="0"/>
          <w:marTop w:val="38"/>
          <w:marBottom w:val="0"/>
          <w:divBdr>
            <w:top w:val="none" w:sz="0" w:space="0" w:color="auto"/>
            <w:left w:val="none" w:sz="0" w:space="0" w:color="auto"/>
            <w:bottom w:val="none" w:sz="0" w:space="0" w:color="auto"/>
            <w:right w:val="none" w:sz="0" w:space="0" w:color="auto"/>
          </w:divBdr>
        </w:div>
        <w:div w:id="418596568">
          <w:marLeft w:val="994"/>
          <w:marRight w:val="0"/>
          <w:marTop w:val="38"/>
          <w:marBottom w:val="0"/>
          <w:divBdr>
            <w:top w:val="none" w:sz="0" w:space="0" w:color="auto"/>
            <w:left w:val="none" w:sz="0" w:space="0" w:color="auto"/>
            <w:bottom w:val="none" w:sz="0" w:space="0" w:color="auto"/>
            <w:right w:val="none" w:sz="0" w:space="0" w:color="auto"/>
          </w:divBdr>
        </w:div>
        <w:div w:id="516620499">
          <w:marLeft w:val="994"/>
          <w:marRight w:val="0"/>
          <w:marTop w:val="38"/>
          <w:marBottom w:val="0"/>
          <w:divBdr>
            <w:top w:val="none" w:sz="0" w:space="0" w:color="auto"/>
            <w:left w:val="none" w:sz="0" w:space="0" w:color="auto"/>
            <w:bottom w:val="none" w:sz="0" w:space="0" w:color="auto"/>
            <w:right w:val="none" w:sz="0" w:space="0" w:color="auto"/>
          </w:divBdr>
        </w:div>
        <w:div w:id="623652795">
          <w:marLeft w:val="994"/>
          <w:marRight w:val="0"/>
          <w:marTop w:val="38"/>
          <w:marBottom w:val="0"/>
          <w:divBdr>
            <w:top w:val="none" w:sz="0" w:space="0" w:color="auto"/>
            <w:left w:val="none" w:sz="0" w:space="0" w:color="auto"/>
            <w:bottom w:val="none" w:sz="0" w:space="0" w:color="auto"/>
            <w:right w:val="none" w:sz="0" w:space="0" w:color="auto"/>
          </w:divBdr>
        </w:div>
        <w:div w:id="730470695">
          <w:marLeft w:val="994"/>
          <w:marRight w:val="0"/>
          <w:marTop w:val="38"/>
          <w:marBottom w:val="0"/>
          <w:divBdr>
            <w:top w:val="none" w:sz="0" w:space="0" w:color="auto"/>
            <w:left w:val="none" w:sz="0" w:space="0" w:color="auto"/>
            <w:bottom w:val="none" w:sz="0" w:space="0" w:color="auto"/>
            <w:right w:val="none" w:sz="0" w:space="0" w:color="auto"/>
          </w:divBdr>
        </w:div>
        <w:div w:id="767193457">
          <w:marLeft w:val="994"/>
          <w:marRight w:val="0"/>
          <w:marTop w:val="38"/>
          <w:marBottom w:val="0"/>
          <w:divBdr>
            <w:top w:val="none" w:sz="0" w:space="0" w:color="auto"/>
            <w:left w:val="none" w:sz="0" w:space="0" w:color="auto"/>
            <w:bottom w:val="none" w:sz="0" w:space="0" w:color="auto"/>
            <w:right w:val="none" w:sz="0" w:space="0" w:color="auto"/>
          </w:divBdr>
        </w:div>
        <w:div w:id="780031449">
          <w:marLeft w:val="994"/>
          <w:marRight w:val="0"/>
          <w:marTop w:val="38"/>
          <w:marBottom w:val="0"/>
          <w:divBdr>
            <w:top w:val="none" w:sz="0" w:space="0" w:color="auto"/>
            <w:left w:val="none" w:sz="0" w:space="0" w:color="auto"/>
            <w:bottom w:val="none" w:sz="0" w:space="0" w:color="auto"/>
            <w:right w:val="none" w:sz="0" w:space="0" w:color="auto"/>
          </w:divBdr>
        </w:div>
        <w:div w:id="858931361">
          <w:marLeft w:val="994"/>
          <w:marRight w:val="0"/>
          <w:marTop w:val="38"/>
          <w:marBottom w:val="0"/>
          <w:divBdr>
            <w:top w:val="none" w:sz="0" w:space="0" w:color="auto"/>
            <w:left w:val="none" w:sz="0" w:space="0" w:color="auto"/>
            <w:bottom w:val="none" w:sz="0" w:space="0" w:color="auto"/>
            <w:right w:val="none" w:sz="0" w:space="0" w:color="auto"/>
          </w:divBdr>
        </w:div>
        <w:div w:id="937367626">
          <w:marLeft w:val="994"/>
          <w:marRight w:val="0"/>
          <w:marTop w:val="38"/>
          <w:marBottom w:val="0"/>
          <w:divBdr>
            <w:top w:val="none" w:sz="0" w:space="0" w:color="auto"/>
            <w:left w:val="none" w:sz="0" w:space="0" w:color="auto"/>
            <w:bottom w:val="none" w:sz="0" w:space="0" w:color="auto"/>
            <w:right w:val="none" w:sz="0" w:space="0" w:color="auto"/>
          </w:divBdr>
        </w:div>
        <w:div w:id="1018433741">
          <w:marLeft w:val="994"/>
          <w:marRight w:val="0"/>
          <w:marTop w:val="38"/>
          <w:marBottom w:val="0"/>
          <w:divBdr>
            <w:top w:val="none" w:sz="0" w:space="0" w:color="auto"/>
            <w:left w:val="none" w:sz="0" w:space="0" w:color="auto"/>
            <w:bottom w:val="none" w:sz="0" w:space="0" w:color="auto"/>
            <w:right w:val="none" w:sz="0" w:space="0" w:color="auto"/>
          </w:divBdr>
        </w:div>
        <w:div w:id="1028603716">
          <w:marLeft w:val="994"/>
          <w:marRight w:val="0"/>
          <w:marTop w:val="38"/>
          <w:marBottom w:val="0"/>
          <w:divBdr>
            <w:top w:val="none" w:sz="0" w:space="0" w:color="auto"/>
            <w:left w:val="none" w:sz="0" w:space="0" w:color="auto"/>
            <w:bottom w:val="none" w:sz="0" w:space="0" w:color="auto"/>
            <w:right w:val="none" w:sz="0" w:space="0" w:color="auto"/>
          </w:divBdr>
        </w:div>
        <w:div w:id="1295066814">
          <w:marLeft w:val="994"/>
          <w:marRight w:val="0"/>
          <w:marTop w:val="38"/>
          <w:marBottom w:val="0"/>
          <w:divBdr>
            <w:top w:val="none" w:sz="0" w:space="0" w:color="auto"/>
            <w:left w:val="none" w:sz="0" w:space="0" w:color="auto"/>
            <w:bottom w:val="none" w:sz="0" w:space="0" w:color="auto"/>
            <w:right w:val="none" w:sz="0" w:space="0" w:color="auto"/>
          </w:divBdr>
        </w:div>
        <w:div w:id="1299915831">
          <w:marLeft w:val="994"/>
          <w:marRight w:val="0"/>
          <w:marTop w:val="38"/>
          <w:marBottom w:val="0"/>
          <w:divBdr>
            <w:top w:val="none" w:sz="0" w:space="0" w:color="auto"/>
            <w:left w:val="none" w:sz="0" w:space="0" w:color="auto"/>
            <w:bottom w:val="none" w:sz="0" w:space="0" w:color="auto"/>
            <w:right w:val="none" w:sz="0" w:space="0" w:color="auto"/>
          </w:divBdr>
        </w:div>
        <w:div w:id="1370106271">
          <w:marLeft w:val="994"/>
          <w:marRight w:val="0"/>
          <w:marTop w:val="38"/>
          <w:marBottom w:val="0"/>
          <w:divBdr>
            <w:top w:val="none" w:sz="0" w:space="0" w:color="auto"/>
            <w:left w:val="none" w:sz="0" w:space="0" w:color="auto"/>
            <w:bottom w:val="none" w:sz="0" w:space="0" w:color="auto"/>
            <w:right w:val="none" w:sz="0" w:space="0" w:color="auto"/>
          </w:divBdr>
        </w:div>
        <w:div w:id="1384452449">
          <w:marLeft w:val="994"/>
          <w:marRight w:val="0"/>
          <w:marTop w:val="38"/>
          <w:marBottom w:val="0"/>
          <w:divBdr>
            <w:top w:val="none" w:sz="0" w:space="0" w:color="auto"/>
            <w:left w:val="none" w:sz="0" w:space="0" w:color="auto"/>
            <w:bottom w:val="none" w:sz="0" w:space="0" w:color="auto"/>
            <w:right w:val="none" w:sz="0" w:space="0" w:color="auto"/>
          </w:divBdr>
        </w:div>
        <w:div w:id="1422799912">
          <w:marLeft w:val="994"/>
          <w:marRight w:val="0"/>
          <w:marTop w:val="38"/>
          <w:marBottom w:val="0"/>
          <w:divBdr>
            <w:top w:val="none" w:sz="0" w:space="0" w:color="auto"/>
            <w:left w:val="none" w:sz="0" w:space="0" w:color="auto"/>
            <w:bottom w:val="none" w:sz="0" w:space="0" w:color="auto"/>
            <w:right w:val="none" w:sz="0" w:space="0" w:color="auto"/>
          </w:divBdr>
        </w:div>
        <w:div w:id="1453785779">
          <w:marLeft w:val="994"/>
          <w:marRight w:val="0"/>
          <w:marTop w:val="38"/>
          <w:marBottom w:val="0"/>
          <w:divBdr>
            <w:top w:val="none" w:sz="0" w:space="0" w:color="auto"/>
            <w:left w:val="none" w:sz="0" w:space="0" w:color="auto"/>
            <w:bottom w:val="none" w:sz="0" w:space="0" w:color="auto"/>
            <w:right w:val="none" w:sz="0" w:space="0" w:color="auto"/>
          </w:divBdr>
        </w:div>
        <w:div w:id="1537037123">
          <w:marLeft w:val="994"/>
          <w:marRight w:val="0"/>
          <w:marTop w:val="38"/>
          <w:marBottom w:val="0"/>
          <w:divBdr>
            <w:top w:val="none" w:sz="0" w:space="0" w:color="auto"/>
            <w:left w:val="none" w:sz="0" w:space="0" w:color="auto"/>
            <w:bottom w:val="none" w:sz="0" w:space="0" w:color="auto"/>
            <w:right w:val="none" w:sz="0" w:space="0" w:color="auto"/>
          </w:divBdr>
        </w:div>
        <w:div w:id="1566993963">
          <w:marLeft w:val="994"/>
          <w:marRight w:val="0"/>
          <w:marTop w:val="38"/>
          <w:marBottom w:val="0"/>
          <w:divBdr>
            <w:top w:val="none" w:sz="0" w:space="0" w:color="auto"/>
            <w:left w:val="none" w:sz="0" w:space="0" w:color="auto"/>
            <w:bottom w:val="none" w:sz="0" w:space="0" w:color="auto"/>
            <w:right w:val="none" w:sz="0" w:space="0" w:color="auto"/>
          </w:divBdr>
        </w:div>
        <w:div w:id="1629119989">
          <w:marLeft w:val="994"/>
          <w:marRight w:val="0"/>
          <w:marTop w:val="38"/>
          <w:marBottom w:val="0"/>
          <w:divBdr>
            <w:top w:val="none" w:sz="0" w:space="0" w:color="auto"/>
            <w:left w:val="none" w:sz="0" w:space="0" w:color="auto"/>
            <w:bottom w:val="none" w:sz="0" w:space="0" w:color="auto"/>
            <w:right w:val="none" w:sz="0" w:space="0" w:color="auto"/>
          </w:divBdr>
        </w:div>
        <w:div w:id="1782143003">
          <w:marLeft w:val="994"/>
          <w:marRight w:val="0"/>
          <w:marTop w:val="38"/>
          <w:marBottom w:val="0"/>
          <w:divBdr>
            <w:top w:val="none" w:sz="0" w:space="0" w:color="auto"/>
            <w:left w:val="none" w:sz="0" w:space="0" w:color="auto"/>
            <w:bottom w:val="none" w:sz="0" w:space="0" w:color="auto"/>
            <w:right w:val="none" w:sz="0" w:space="0" w:color="auto"/>
          </w:divBdr>
        </w:div>
        <w:div w:id="1889143965">
          <w:marLeft w:val="994"/>
          <w:marRight w:val="0"/>
          <w:marTop w:val="38"/>
          <w:marBottom w:val="0"/>
          <w:divBdr>
            <w:top w:val="none" w:sz="0" w:space="0" w:color="auto"/>
            <w:left w:val="none" w:sz="0" w:space="0" w:color="auto"/>
            <w:bottom w:val="none" w:sz="0" w:space="0" w:color="auto"/>
            <w:right w:val="none" w:sz="0" w:space="0" w:color="auto"/>
          </w:divBdr>
        </w:div>
        <w:div w:id="2048096438">
          <w:marLeft w:val="994"/>
          <w:marRight w:val="0"/>
          <w:marTop w:val="38"/>
          <w:marBottom w:val="0"/>
          <w:divBdr>
            <w:top w:val="none" w:sz="0" w:space="0" w:color="auto"/>
            <w:left w:val="none" w:sz="0" w:space="0" w:color="auto"/>
            <w:bottom w:val="none" w:sz="0" w:space="0" w:color="auto"/>
            <w:right w:val="none" w:sz="0" w:space="0" w:color="auto"/>
          </w:divBdr>
        </w:div>
        <w:div w:id="2080207085">
          <w:marLeft w:val="274"/>
          <w:marRight w:val="0"/>
          <w:marTop w:val="38"/>
          <w:marBottom w:val="0"/>
          <w:divBdr>
            <w:top w:val="none" w:sz="0" w:space="0" w:color="auto"/>
            <w:left w:val="none" w:sz="0" w:space="0" w:color="auto"/>
            <w:bottom w:val="none" w:sz="0" w:space="0" w:color="auto"/>
            <w:right w:val="none" w:sz="0" w:space="0" w:color="auto"/>
          </w:divBdr>
        </w:div>
        <w:div w:id="2083330105">
          <w:marLeft w:val="994"/>
          <w:marRight w:val="0"/>
          <w:marTop w:val="38"/>
          <w:marBottom w:val="0"/>
          <w:divBdr>
            <w:top w:val="none" w:sz="0" w:space="0" w:color="auto"/>
            <w:left w:val="none" w:sz="0" w:space="0" w:color="auto"/>
            <w:bottom w:val="none" w:sz="0" w:space="0" w:color="auto"/>
            <w:right w:val="none" w:sz="0" w:space="0" w:color="auto"/>
          </w:divBdr>
        </w:div>
        <w:div w:id="2132506315">
          <w:marLeft w:val="994"/>
          <w:marRight w:val="0"/>
          <w:marTop w:val="38"/>
          <w:marBottom w:val="0"/>
          <w:divBdr>
            <w:top w:val="none" w:sz="0" w:space="0" w:color="auto"/>
            <w:left w:val="none" w:sz="0" w:space="0" w:color="auto"/>
            <w:bottom w:val="none" w:sz="0" w:space="0" w:color="auto"/>
            <w:right w:val="none" w:sz="0" w:space="0" w:color="auto"/>
          </w:divBdr>
        </w:div>
      </w:divsChild>
    </w:div>
    <w:div w:id="1164780303">
      <w:bodyDiv w:val="1"/>
      <w:marLeft w:val="0"/>
      <w:marRight w:val="0"/>
      <w:marTop w:val="0"/>
      <w:marBottom w:val="0"/>
      <w:divBdr>
        <w:top w:val="none" w:sz="0" w:space="0" w:color="auto"/>
        <w:left w:val="none" w:sz="0" w:space="0" w:color="auto"/>
        <w:bottom w:val="none" w:sz="0" w:space="0" w:color="auto"/>
        <w:right w:val="none" w:sz="0" w:space="0" w:color="auto"/>
      </w:divBdr>
      <w:divsChild>
        <w:div w:id="217130004">
          <w:marLeft w:val="274"/>
          <w:marRight w:val="0"/>
          <w:marTop w:val="38"/>
          <w:marBottom w:val="0"/>
          <w:divBdr>
            <w:top w:val="none" w:sz="0" w:space="0" w:color="auto"/>
            <w:left w:val="none" w:sz="0" w:space="0" w:color="auto"/>
            <w:bottom w:val="none" w:sz="0" w:space="0" w:color="auto"/>
            <w:right w:val="none" w:sz="0" w:space="0" w:color="auto"/>
          </w:divBdr>
        </w:div>
        <w:div w:id="348027563">
          <w:marLeft w:val="274"/>
          <w:marRight w:val="0"/>
          <w:marTop w:val="38"/>
          <w:marBottom w:val="0"/>
          <w:divBdr>
            <w:top w:val="none" w:sz="0" w:space="0" w:color="auto"/>
            <w:left w:val="none" w:sz="0" w:space="0" w:color="auto"/>
            <w:bottom w:val="none" w:sz="0" w:space="0" w:color="auto"/>
            <w:right w:val="none" w:sz="0" w:space="0" w:color="auto"/>
          </w:divBdr>
        </w:div>
        <w:div w:id="1480076356">
          <w:marLeft w:val="274"/>
          <w:marRight w:val="0"/>
          <w:marTop w:val="38"/>
          <w:marBottom w:val="0"/>
          <w:divBdr>
            <w:top w:val="none" w:sz="0" w:space="0" w:color="auto"/>
            <w:left w:val="none" w:sz="0" w:space="0" w:color="auto"/>
            <w:bottom w:val="none" w:sz="0" w:space="0" w:color="auto"/>
            <w:right w:val="none" w:sz="0" w:space="0" w:color="auto"/>
          </w:divBdr>
        </w:div>
      </w:divsChild>
    </w:div>
    <w:div w:id="1166240496">
      <w:bodyDiv w:val="1"/>
      <w:marLeft w:val="0"/>
      <w:marRight w:val="0"/>
      <w:marTop w:val="0"/>
      <w:marBottom w:val="0"/>
      <w:divBdr>
        <w:top w:val="none" w:sz="0" w:space="0" w:color="auto"/>
        <w:left w:val="none" w:sz="0" w:space="0" w:color="auto"/>
        <w:bottom w:val="none" w:sz="0" w:space="0" w:color="auto"/>
        <w:right w:val="none" w:sz="0" w:space="0" w:color="auto"/>
      </w:divBdr>
    </w:div>
    <w:div w:id="1181433622">
      <w:bodyDiv w:val="1"/>
      <w:marLeft w:val="0"/>
      <w:marRight w:val="0"/>
      <w:marTop w:val="0"/>
      <w:marBottom w:val="0"/>
      <w:divBdr>
        <w:top w:val="none" w:sz="0" w:space="0" w:color="auto"/>
        <w:left w:val="none" w:sz="0" w:space="0" w:color="auto"/>
        <w:bottom w:val="none" w:sz="0" w:space="0" w:color="auto"/>
        <w:right w:val="none" w:sz="0" w:space="0" w:color="auto"/>
      </w:divBdr>
      <w:divsChild>
        <w:div w:id="1039430893">
          <w:marLeft w:val="274"/>
          <w:marRight w:val="0"/>
          <w:marTop w:val="38"/>
          <w:marBottom w:val="0"/>
          <w:divBdr>
            <w:top w:val="none" w:sz="0" w:space="0" w:color="auto"/>
            <w:left w:val="none" w:sz="0" w:space="0" w:color="auto"/>
            <w:bottom w:val="none" w:sz="0" w:space="0" w:color="auto"/>
            <w:right w:val="none" w:sz="0" w:space="0" w:color="auto"/>
          </w:divBdr>
        </w:div>
      </w:divsChild>
    </w:div>
    <w:div w:id="1190335935">
      <w:bodyDiv w:val="1"/>
      <w:marLeft w:val="0"/>
      <w:marRight w:val="0"/>
      <w:marTop w:val="0"/>
      <w:marBottom w:val="0"/>
      <w:divBdr>
        <w:top w:val="none" w:sz="0" w:space="0" w:color="auto"/>
        <w:left w:val="none" w:sz="0" w:space="0" w:color="auto"/>
        <w:bottom w:val="none" w:sz="0" w:space="0" w:color="auto"/>
        <w:right w:val="none" w:sz="0" w:space="0" w:color="auto"/>
      </w:divBdr>
    </w:div>
    <w:div w:id="1195267043">
      <w:bodyDiv w:val="1"/>
      <w:marLeft w:val="0"/>
      <w:marRight w:val="0"/>
      <w:marTop w:val="0"/>
      <w:marBottom w:val="0"/>
      <w:divBdr>
        <w:top w:val="none" w:sz="0" w:space="0" w:color="auto"/>
        <w:left w:val="none" w:sz="0" w:space="0" w:color="auto"/>
        <w:bottom w:val="none" w:sz="0" w:space="0" w:color="auto"/>
        <w:right w:val="none" w:sz="0" w:space="0" w:color="auto"/>
      </w:divBdr>
      <w:divsChild>
        <w:div w:id="1562708908">
          <w:marLeft w:val="274"/>
          <w:marRight w:val="0"/>
          <w:marTop w:val="38"/>
          <w:marBottom w:val="0"/>
          <w:divBdr>
            <w:top w:val="none" w:sz="0" w:space="0" w:color="auto"/>
            <w:left w:val="none" w:sz="0" w:space="0" w:color="auto"/>
            <w:bottom w:val="none" w:sz="0" w:space="0" w:color="auto"/>
            <w:right w:val="none" w:sz="0" w:space="0" w:color="auto"/>
          </w:divBdr>
        </w:div>
      </w:divsChild>
    </w:div>
    <w:div w:id="1195268318">
      <w:bodyDiv w:val="1"/>
      <w:marLeft w:val="0"/>
      <w:marRight w:val="0"/>
      <w:marTop w:val="0"/>
      <w:marBottom w:val="0"/>
      <w:divBdr>
        <w:top w:val="none" w:sz="0" w:space="0" w:color="auto"/>
        <w:left w:val="none" w:sz="0" w:space="0" w:color="auto"/>
        <w:bottom w:val="none" w:sz="0" w:space="0" w:color="auto"/>
        <w:right w:val="none" w:sz="0" w:space="0" w:color="auto"/>
      </w:divBdr>
      <w:divsChild>
        <w:div w:id="1179657220">
          <w:marLeft w:val="274"/>
          <w:marRight w:val="0"/>
          <w:marTop w:val="38"/>
          <w:marBottom w:val="0"/>
          <w:divBdr>
            <w:top w:val="none" w:sz="0" w:space="0" w:color="auto"/>
            <w:left w:val="none" w:sz="0" w:space="0" w:color="auto"/>
            <w:bottom w:val="none" w:sz="0" w:space="0" w:color="auto"/>
            <w:right w:val="none" w:sz="0" w:space="0" w:color="auto"/>
          </w:divBdr>
        </w:div>
      </w:divsChild>
    </w:div>
    <w:div w:id="1201480154">
      <w:bodyDiv w:val="1"/>
      <w:marLeft w:val="0"/>
      <w:marRight w:val="0"/>
      <w:marTop w:val="0"/>
      <w:marBottom w:val="0"/>
      <w:divBdr>
        <w:top w:val="none" w:sz="0" w:space="0" w:color="auto"/>
        <w:left w:val="none" w:sz="0" w:space="0" w:color="auto"/>
        <w:bottom w:val="none" w:sz="0" w:space="0" w:color="auto"/>
        <w:right w:val="none" w:sz="0" w:space="0" w:color="auto"/>
      </w:divBdr>
    </w:div>
    <w:div w:id="1202206623">
      <w:bodyDiv w:val="1"/>
      <w:marLeft w:val="0"/>
      <w:marRight w:val="0"/>
      <w:marTop w:val="0"/>
      <w:marBottom w:val="0"/>
      <w:divBdr>
        <w:top w:val="none" w:sz="0" w:space="0" w:color="auto"/>
        <w:left w:val="none" w:sz="0" w:space="0" w:color="auto"/>
        <w:bottom w:val="none" w:sz="0" w:space="0" w:color="auto"/>
        <w:right w:val="none" w:sz="0" w:space="0" w:color="auto"/>
      </w:divBdr>
      <w:divsChild>
        <w:div w:id="727269149">
          <w:marLeft w:val="274"/>
          <w:marRight w:val="0"/>
          <w:marTop w:val="38"/>
          <w:marBottom w:val="0"/>
          <w:divBdr>
            <w:top w:val="none" w:sz="0" w:space="0" w:color="auto"/>
            <w:left w:val="none" w:sz="0" w:space="0" w:color="auto"/>
            <w:bottom w:val="none" w:sz="0" w:space="0" w:color="auto"/>
            <w:right w:val="none" w:sz="0" w:space="0" w:color="auto"/>
          </w:divBdr>
        </w:div>
      </w:divsChild>
    </w:div>
    <w:div w:id="1216041895">
      <w:bodyDiv w:val="1"/>
      <w:marLeft w:val="0"/>
      <w:marRight w:val="0"/>
      <w:marTop w:val="0"/>
      <w:marBottom w:val="0"/>
      <w:divBdr>
        <w:top w:val="none" w:sz="0" w:space="0" w:color="auto"/>
        <w:left w:val="none" w:sz="0" w:space="0" w:color="auto"/>
        <w:bottom w:val="none" w:sz="0" w:space="0" w:color="auto"/>
        <w:right w:val="none" w:sz="0" w:space="0" w:color="auto"/>
      </w:divBdr>
      <w:divsChild>
        <w:div w:id="86971132">
          <w:marLeft w:val="274"/>
          <w:marRight w:val="0"/>
          <w:marTop w:val="38"/>
          <w:marBottom w:val="0"/>
          <w:divBdr>
            <w:top w:val="none" w:sz="0" w:space="0" w:color="auto"/>
            <w:left w:val="none" w:sz="0" w:space="0" w:color="auto"/>
            <w:bottom w:val="none" w:sz="0" w:space="0" w:color="auto"/>
            <w:right w:val="none" w:sz="0" w:space="0" w:color="auto"/>
          </w:divBdr>
        </w:div>
        <w:div w:id="817962625">
          <w:marLeft w:val="274"/>
          <w:marRight w:val="0"/>
          <w:marTop w:val="38"/>
          <w:marBottom w:val="0"/>
          <w:divBdr>
            <w:top w:val="none" w:sz="0" w:space="0" w:color="auto"/>
            <w:left w:val="none" w:sz="0" w:space="0" w:color="auto"/>
            <w:bottom w:val="none" w:sz="0" w:space="0" w:color="auto"/>
            <w:right w:val="none" w:sz="0" w:space="0" w:color="auto"/>
          </w:divBdr>
        </w:div>
        <w:div w:id="1186212219">
          <w:marLeft w:val="274"/>
          <w:marRight w:val="0"/>
          <w:marTop w:val="38"/>
          <w:marBottom w:val="0"/>
          <w:divBdr>
            <w:top w:val="none" w:sz="0" w:space="0" w:color="auto"/>
            <w:left w:val="none" w:sz="0" w:space="0" w:color="auto"/>
            <w:bottom w:val="none" w:sz="0" w:space="0" w:color="auto"/>
            <w:right w:val="none" w:sz="0" w:space="0" w:color="auto"/>
          </w:divBdr>
        </w:div>
        <w:div w:id="1401903479">
          <w:marLeft w:val="274"/>
          <w:marRight w:val="0"/>
          <w:marTop w:val="38"/>
          <w:marBottom w:val="0"/>
          <w:divBdr>
            <w:top w:val="none" w:sz="0" w:space="0" w:color="auto"/>
            <w:left w:val="none" w:sz="0" w:space="0" w:color="auto"/>
            <w:bottom w:val="none" w:sz="0" w:space="0" w:color="auto"/>
            <w:right w:val="none" w:sz="0" w:space="0" w:color="auto"/>
          </w:divBdr>
        </w:div>
        <w:div w:id="1637568897">
          <w:marLeft w:val="274"/>
          <w:marRight w:val="0"/>
          <w:marTop w:val="38"/>
          <w:marBottom w:val="0"/>
          <w:divBdr>
            <w:top w:val="none" w:sz="0" w:space="0" w:color="auto"/>
            <w:left w:val="none" w:sz="0" w:space="0" w:color="auto"/>
            <w:bottom w:val="none" w:sz="0" w:space="0" w:color="auto"/>
            <w:right w:val="none" w:sz="0" w:space="0" w:color="auto"/>
          </w:divBdr>
        </w:div>
      </w:divsChild>
    </w:div>
    <w:div w:id="1218201566">
      <w:bodyDiv w:val="1"/>
      <w:marLeft w:val="0"/>
      <w:marRight w:val="0"/>
      <w:marTop w:val="0"/>
      <w:marBottom w:val="0"/>
      <w:divBdr>
        <w:top w:val="none" w:sz="0" w:space="0" w:color="auto"/>
        <w:left w:val="none" w:sz="0" w:space="0" w:color="auto"/>
        <w:bottom w:val="none" w:sz="0" w:space="0" w:color="auto"/>
        <w:right w:val="none" w:sz="0" w:space="0" w:color="auto"/>
      </w:divBdr>
    </w:div>
    <w:div w:id="1218400197">
      <w:bodyDiv w:val="1"/>
      <w:marLeft w:val="0"/>
      <w:marRight w:val="0"/>
      <w:marTop w:val="0"/>
      <w:marBottom w:val="0"/>
      <w:divBdr>
        <w:top w:val="none" w:sz="0" w:space="0" w:color="auto"/>
        <w:left w:val="none" w:sz="0" w:space="0" w:color="auto"/>
        <w:bottom w:val="none" w:sz="0" w:space="0" w:color="auto"/>
        <w:right w:val="none" w:sz="0" w:space="0" w:color="auto"/>
      </w:divBdr>
      <w:divsChild>
        <w:div w:id="2024822902">
          <w:marLeft w:val="274"/>
          <w:marRight w:val="0"/>
          <w:marTop w:val="38"/>
          <w:marBottom w:val="0"/>
          <w:divBdr>
            <w:top w:val="none" w:sz="0" w:space="0" w:color="auto"/>
            <w:left w:val="none" w:sz="0" w:space="0" w:color="auto"/>
            <w:bottom w:val="none" w:sz="0" w:space="0" w:color="auto"/>
            <w:right w:val="none" w:sz="0" w:space="0" w:color="auto"/>
          </w:divBdr>
        </w:div>
      </w:divsChild>
    </w:div>
    <w:div w:id="1220170505">
      <w:bodyDiv w:val="1"/>
      <w:marLeft w:val="0"/>
      <w:marRight w:val="0"/>
      <w:marTop w:val="0"/>
      <w:marBottom w:val="0"/>
      <w:divBdr>
        <w:top w:val="none" w:sz="0" w:space="0" w:color="auto"/>
        <w:left w:val="none" w:sz="0" w:space="0" w:color="auto"/>
        <w:bottom w:val="none" w:sz="0" w:space="0" w:color="auto"/>
        <w:right w:val="none" w:sz="0" w:space="0" w:color="auto"/>
      </w:divBdr>
      <w:divsChild>
        <w:div w:id="1647196613">
          <w:marLeft w:val="274"/>
          <w:marRight w:val="0"/>
          <w:marTop w:val="38"/>
          <w:marBottom w:val="0"/>
          <w:divBdr>
            <w:top w:val="none" w:sz="0" w:space="0" w:color="auto"/>
            <w:left w:val="none" w:sz="0" w:space="0" w:color="auto"/>
            <w:bottom w:val="none" w:sz="0" w:space="0" w:color="auto"/>
            <w:right w:val="none" w:sz="0" w:space="0" w:color="auto"/>
          </w:divBdr>
        </w:div>
      </w:divsChild>
    </w:div>
    <w:div w:id="1225726137">
      <w:bodyDiv w:val="1"/>
      <w:marLeft w:val="0"/>
      <w:marRight w:val="0"/>
      <w:marTop w:val="0"/>
      <w:marBottom w:val="0"/>
      <w:divBdr>
        <w:top w:val="none" w:sz="0" w:space="0" w:color="auto"/>
        <w:left w:val="none" w:sz="0" w:space="0" w:color="auto"/>
        <w:bottom w:val="none" w:sz="0" w:space="0" w:color="auto"/>
        <w:right w:val="none" w:sz="0" w:space="0" w:color="auto"/>
      </w:divBdr>
      <w:divsChild>
        <w:div w:id="1176383046">
          <w:marLeft w:val="274"/>
          <w:marRight w:val="0"/>
          <w:marTop w:val="0"/>
          <w:marBottom w:val="0"/>
          <w:divBdr>
            <w:top w:val="none" w:sz="0" w:space="0" w:color="auto"/>
            <w:left w:val="none" w:sz="0" w:space="0" w:color="auto"/>
            <w:bottom w:val="none" w:sz="0" w:space="0" w:color="auto"/>
            <w:right w:val="none" w:sz="0" w:space="0" w:color="auto"/>
          </w:divBdr>
        </w:div>
      </w:divsChild>
    </w:div>
    <w:div w:id="1227061602">
      <w:bodyDiv w:val="1"/>
      <w:marLeft w:val="0"/>
      <w:marRight w:val="0"/>
      <w:marTop w:val="0"/>
      <w:marBottom w:val="0"/>
      <w:divBdr>
        <w:top w:val="none" w:sz="0" w:space="0" w:color="auto"/>
        <w:left w:val="none" w:sz="0" w:space="0" w:color="auto"/>
        <w:bottom w:val="none" w:sz="0" w:space="0" w:color="auto"/>
        <w:right w:val="none" w:sz="0" w:space="0" w:color="auto"/>
      </w:divBdr>
    </w:div>
    <w:div w:id="1244754293">
      <w:bodyDiv w:val="1"/>
      <w:marLeft w:val="0"/>
      <w:marRight w:val="0"/>
      <w:marTop w:val="0"/>
      <w:marBottom w:val="0"/>
      <w:divBdr>
        <w:top w:val="none" w:sz="0" w:space="0" w:color="auto"/>
        <w:left w:val="none" w:sz="0" w:space="0" w:color="auto"/>
        <w:bottom w:val="none" w:sz="0" w:space="0" w:color="auto"/>
        <w:right w:val="none" w:sz="0" w:space="0" w:color="auto"/>
      </w:divBdr>
      <w:divsChild>
        <w:div w:id="1130130018">
          <w:marLeft w:val="274"/>
          <w:marRight w:val="0"/>
          <w:marTop w:val="38"/>
          <w:marBottom w:val="0"/>
          <w:divBdr>
            <w:top w:val="none" w:sz="0" w:space="0" w:color="auto"/>
            <w:left w:val="none" w:sz="0" w:space="0" w:color="auto"/>
            <w:bottom w:val="none" w:sz="0" w:space="0" w:color="auto"/>
            <w:right w:val="none" w:sz="0" w:space="0" w:color="auto"/>
          </w:divBdr>
        </w:div>
      </w:divsChild>
    </w:div>
    <w:div w:id="1255287261">
      <w:bodyDiv w:val="1"/>
      <w:marLeft w:val="0"/>
      <w:marRight w:val="0"/>
      <w:marTop w:val="0"/>
      <w:marBottom w:val="0"/>
      <w:divBdr>
        <w:top w:val="none" w:sz="0" w:space="0" w:color="auto"/>
        <w:left w:val="none" w:sz="0" w:space="0" w:color="auto"/>
        <w:bottom w:val="none" w:sz="0" w:space="0" w:color="auto"/>
        <w:right w:val="none" w:sz="0" w:space="0" w:color="auto"/>
      </w:divBdr>
      <w:divsChild>
        <w:div w:id="252977143">
          <w:marLeft w:val="274"/>
          <w:marRight w:val="0"/>
          <w:marTop w:val="38"/>
          <w:marBottom w:val="0"/>
          <w:divBdr>
            <w:top w:val="none" w:sz="0" w:space="0" w:color="auto"/>
            <w:left w:val="none" w:sz="0" w:space="0" w:color="auto"/>
            <w:bottom w:val="none" w:sz="0" w:space="0" w:color="auto"/>
            <w:right w:val="none" w:sz="0" w:space="0" w:color="auto"/>
          </w:divBdr>
        </w:div>
      </w:divsChild>
    </w:div>
    <w:div w:id="1258638836">
      <w:bodyDiv w:val="1"/>
      <w:marLeft w:val="0"/>
      <w:marRight w:val="0"/>
      <w:marTop w:val="0"/>
      <w:marBottom w:val="0"/>
      <w:divBdr>
        <w:top w:val="none" w:sz="0" w:space="0" w:color="auto"/>
        <w:left w:val="none" w:sz="0" w:space="0" w:color="auto"/>
        <w:bottom w:val="none" w:sz="0" w:space="0" w:color="auto"/>
        <w:right w:val="none" w:sz="0" w:space="0" w:color="auto"/>
      </w:divBdr>
      <w:divsChild>
        <w:div w:id="852960720">
          <w:marLeft w:val="994"/>
          <w:marRight w:val="0"/>
          <w:marTop w:val="0"/>
          <w:marBottom w:val="0"/>
          <w:divBdr>
            <w:top w:val="none" w:sz="0" w:space="0" w:color="auto"/>
            <w:left w:val="none" w:sz="0" w:space="0" w:color="auto"/>
            <w:bottom w:val="none" w:sz="0" w:space="0" w:color="auto"/>
            <w:right w:val="none" w:sz="0" w:space="0" w:color="auto"/>
          </w:divBdr>
        </w:div>
        <w:div w:id="1103916929">
          <w:marLeft w:val="994"/>
          <w:marRight w:val="0"/>
          <w:marTop w:val="0"/>
          <w:marBottom w:val="0"/>
          <w:divBdr>
            <w:top w:val="none" w:sz="0" w:space="0" w:color="auto"/>
            <w:left w:val="none" w:sz="0" w:space="0" w:color="auto"/>
            <w:bottom w:val="none" w:sz="0" w:space="0" w:color="auto"/>
            <w:right w:val="none" w:sz="0" w:space="0" w:color="auto"/>
          </w:divBdr>
        </w:div>
        <w:div w:id="1246919781">
          <w:marLeft w:val="274"/>
          <w:marRight w:val="0"/>
          <w:marTop w:val="0"/>
          <w:marBottom w:val="0"/>
          <w:divBdr>
            <w:top w:val="none" w:sz="0" w:space="0" w:color="auto"/>
            <w:left w:val="none" w:sz="0" w:space="0" w:color="auto"/>
            <w:bottom w:val="none" w:sz="0" w:space="0" w:color="auto"/>
            <w:right w:val="none" w:sz="0" w:space="0" w:color="auto"/>
          </w:divBdr>
        </w:div>
        <w:div w:id="1423574759">
          <w:marLeft w:val="274"/>
          <w:marRight w:val="0"/>
          <w:marTop w:val="0"/>
          <w:marBottom w:val="0"/>
          <w:divBdr>
            <w:top w:val="none" w:sz="0" w:space="0" w:color="auto"/>
            <w:left w:val="none" w:sz="0" w:space="0" w:color="auto"/>
            <w:bottom w:val="none" w:sz="0" w:space="0" w:color="auto"/>
            <w:right w:val="none" w:sz="0" w:space="0" w:color="auto"/>
          </w:divBdr>
        </w:div>
      </w:divsChild>
    </w:div>
    <w:div w:id="1268124208">
      <w:bodyDiv w:val="1"/>
      <w:marLeft w:val="0"/>
      <w:marRight w:val="0"/>
      <w:marTop w:val="0"/>
      <w:marBottom w:val="0"/>
      <w:divBdr>
        <w:top w:val="none" w:sz="0" w:space="0" w:color="auto"/>
        <w:left w:val="none" w:sz="0" w:space="0" w:color="auto"/>
        <w:bottom w:val="none" w:sz="0" w:space="0" w:color="auto"/>
        <w:right w:val="none" w:sz="0" w:space="0" w:color="auto"/>
      </w:divBdr>
    </w:div>
    <w:div w:id="1268538948">
      <w:bodyDiv w:val="1"/>
      <w:marLeft w:val="0"/>
      <w:marRight w:val="0"/>
      <w:marTop w:val="0"/>
      <w:marBottom w:val="0"/>
      <w:divBdr>
        <w:top w:val="none" w:sz="0" w:space="0" w:color="auto"/>
        <w:left w:val="none" w:sz="0" w:space="0" w:color="auto"/>
        <w:bottom w:val="none" w:sz="0" w:space="0" w:color="auto"/>
        <w:right w:val="none" w:sz="0" w:space="0" w:color="auto"/>
      </w:divBdr>
    </w:div>
    <w:div w:id="1269194499">
      <w:bodyDiv w:val="1"/>
      <w:marLeft w:val="0"/>
      <w:marRight w:val="0"/>
      <w:marTop w:val="0"/>
      <w:marBottom w:val="0"/>
      <w:divBdr>
        <w:top w:val="none" w:sz="0" w:space="0" w:color="auto"/>
        <w:left w:val="none" w:sz="0" w:space="0" w:color="auto"/>
        <w:bottom w:val="none" w:sz="0" w:space="0" w:color="auto"/>
        <w:right w:val="none" w:sz="0" w:space="0" w:color="auto"/>
      </w:divBdr>
      <w:divsChild>
        <w:div w:id="247811597">
          <w:marLeft w:val="274"/>
          <w:marRight w:val="0"/>
          <w:marTop w:val="38"/>
          <w:marBottom w:val="0"/>
          <w:divBdr>
            <w:top w:val="none" w:sz="0" w:space="0" w:color="auto"/>
            <w:left w:val="none" w:sz="0" w:space="0" w:color="auto"/>
            <w:bottom w:val="none" w:sz="0" w:space="0" w:color="auto"/>
            <w:right w:val="none" w:sz="0" w:space="0" w:color="auto"/>
          </w:divBdr>
        </w:div>
        <w:div w:id="2133094076">
          <w:marLeft w:val="274"/>
          <w:marRight w:val="0"/>
          <w:marTop w:val="38"/>
          <w:marBottom w:val="0"/>
          <w:divBdr>
            <w:top w:val="none" w:sz="0" w:space="0" w:color="auto"/>
            <w:left w:val="none" w:sz="0" w:space="0" w:color="auto"/>
            <w:bottom w:val="none" w:sz="0" w:space="0" w:color="auto"/>
            <w:right w:val="none" w:sz="0" w:space="0" w:color="auto"/>
          </w:divBdr>
        </w:div>
      </w:divsChild>
    </w:div>
    <w:div w:id="1269586806">
      <w:bodyDiv w:val="1"/>
      <w:marLeft w:val="0"/>
      <w:marRight w:val="0"/>
      <w:marTop w:val="0"/>
      <w:marBottom w:val="0"/>
      <w:divBdr>
        <w:top w:val="none" w:sz="0" w:space="0" w:color="auto"/>
        <w:left w:val="none" w:sz="0" w:space="0" w:color="auto"/>
        <w:bottom w:val="none" w:sz="0" w:space="0" w:color="auto"/>
        <w:right w:val="none" w:sz="0" w:space="0" w:color="auto"/>
      </w:divBdr>
      <w:divsChild>
        <w:div w:id="1827941181">
          <w:marLeft w:val="274"/>
          <w:marRight w:val="0"/>
          <w:marTop w:val="38"/>
          <w:marBottom w:val="0"/>
          <w:divBdr>
            <w:top w:val="none" w:sz="0" w:space="0" w:color="auto"/>
            <w:left w:val="none" w:sz="0" w:space="0" w:color="auto"/>
            <w:bottom w:val="none" w:sz="0" w:space="0" w:color="auto"/>
            <w:right w:val="none" w:sz="0" w:space="0" w:color="auto"/>
          </w:divBdr>
        </w:div>
        <w:div w:id="1960069811">
          <w:marLeft w:val="274"/>
          <w:marRight w:val="0"/>
          <w:marTop w:val="38"/>
          <w:marBottom w:val="0"/>
          <w:divBdr>
            <w:top w:val="none" w:sz="0" w:space="0" w:color="auto"/>
            <w:left w:val="none" w:sz="0" w:space="0" w:color="auto"/>
            <w:bottom w:val="none" w:sz="0" w:space="0" w:color="auto"/>
            <w:right w:val="none" w:sz="0" w:space="0" w:color="auto"/>
          </w:divBdr>
        </w:div>
      </w:divsChild>
    </w:div>
    <w:div w:id="1275945757">
      <w:bodyDiv w:val="1"/>
      <w:marLeft w:val="0"/>
      <w:marRight w:val="0"/>
      <w:marTop w:val="0"/>
      <w:marBottom w:val="0"/>
      <w:divBdr>
        <w:top w:val="none" w:sz="0" w:space="0" w:color="auto"/>
        <w:left w:val="none" w:sz="0" w:space="0" w:color="auto"/>
        <w:bottom w:val="none" w:sz="0" w:space="0" w:color="auto"/>
        <w:right w:val="none" w:sz="0" w:space="0" w:color="auto"/>
      </w:divBdr>
      <w:divsChild>
        <w:div w:id="620768661">
          <w:marLeft w:val="274"/>
          <w:marRight w:val="0"/>
          <w:marTop w:val="38"/>
          <w:marBottom w:val="0"/>
          <w:divBdr>
            <w:top w:val="none" w:sz="0" w:space="0" w:color="auto"/>
            <w:left w:val="none" w:sz="0" w:space="0" w:color="auto"/>
            <w:bottom w:val="none" w:sz="0" w:space="0" w:color="auto"/>
            <w:right w:val="none" w:sz="0" w:space="0" w:color="auto"/>
          </w:divBdr>
        </w:div>
      </w:divsChild>
    </w:div>
    <w:div w:id="1276519884">
      <w:bodyDiv w:val="1"/>
      <w:marLeft w:val="0"/>
      <w:marRight w:val="0"/>
      <w:marTop w:val="0"/>
      <w:marBottom w:val="0"/>
      <w:divBdr>
        <w:top w:val="none" w:sz="0" w:space="0" w:color="auto"/>
        <w:left w:val="none" w:sz="0" w:space="0" w:color="auto"/>
        <w:bottom w:val="none" w:sz="0" w:space="0" w:color="auto"/>
        <w:right w:val="none" w:sz="0" w:space="0" w:color="auto"/>
      </w:divBdr>
    </w:div>
    <w:div w:id="1280600943">
      <w:bodyDiv w:val="1"/>
      <w:marLeft w:val="0"/>
      <w:marRight w:val="0"/>
      <w:marTop w:val="0"/>
      <w:marBottom w:val="0"/>
      <w:divBdr>
        <w:top w:val="none" w:sz="0" w:space="0" w:color="auto"/>
        <w:left w:val="none" w:sz="0" w:space="0" w:color="auto"/>
        <w:bottom w:val="none" w:sz="0" w:space="0" w:color="auto"/>
        <w:right w:val="none" w:sz="0" w:space="0" w:color="auto"/>
      </w:divBdr>
      <w:divsChild>
        <w:div w:id="1659379119">
          <w:marLeft w:val="274"/>
          <w:marRight w:val="0"/>
          <w:marTop w:val="38"/>
          <w:marBottom w:val="0"/>
          <w:divBdr>
            <w:top w:val="none" w:sz="0" w:space="0" w:color="auto"/>
            <w:left w:val="none" w:sz="0" w:space="0" w:color="auto"/>
            <w:bottom w:val="none" w:sz="0" w:space="0" w:color="auto"/>
            <w:right w:val="none" w:sz="0" w:space="0" w:color="auto"/>
          </w:divBdr>
        </w:div>
      </w:divsChild>
    </w:div>
    <w:div w:id="1281037227">
      <w:bodyDiv w:val="1"/>
      <w:marLeft w:val="0"/>
      <w:marRight w:val="0"/>
      <w:marTop w:val="0"/>
      <w:marBottom w:val="0"/>
      <w:divBdr>
        <w:top w:val="none" w:sz="0" w:space="0" w:color="auto"/>
        <w:left w:val="none" w:sz="0" w:space="0" w:color="auto"/>
        <w:bottom w:val="none" w:sz="0" w:space="0" w:color="auto"/>
        <w:right w:val="none" w:sz="0" w:space="0" w:color="auto"/>
      </w:divBdr>
    </w:div>
    <w:div w:id="1287466543">
      <w:bodyDiv w:val="1"/>
      <w:marLeft w:val="0"/>
      <w:marRight w:val="0"/>
      <w:marTop w:val="0"/>
      <w:marBottom w:val="0"/>
      <w:divBdr>
        <w:top w:val="none" w:sz="0" w:space="0" w:color="auto"/>
        <w:left w:val="none" w:sz="0" w:space="0" w:color="auto"/>
        <w:bottom w:val="none" w:sz="0" w:space="0" w:color="auto"/>
        <w:right w:val="none" w:sz="0" w:space="0" w:color="auto"/>
      </w:divBdr>
      <w:divsChild>
        <w:div w:id="1507670511">
          <w:marLeft w:val="0"/>
          <w:marRight w:val="0"/>
          <w:marTop w:val="0"/>
          <w:marBottom w:val="0"/>
          <w:divBdr>
            <w:top w:val="none" w:sz="0" w:space="0" w:color="auto"/>
            <w:left w:val="none" w:sz="0" w:space="0" w:color="auto"/>
            <w:bottom w:val="none" w:sz="0" w:space="0" w:color="auto"/>
            <w:right w:val="none" w:sz="0" w:space="0" w:color="auto"/>
          </w:divBdr>
          <w:divsChild>
            <w:div w:id="415057273">
              <w:marLeft w:val="0"/>
              <w:marRight w:val="60"/>
              <w:marTop w:val="0"/>
              <w:marBottom w:val="0"/>
              <w:divBdr>
                <w:top w:val="none" w:sz="0" w:space="0" w:color="auto"/>
                <w:left w:val="none" w:sz="0" w:space="0" w:color="auto"/>
                <w:bottom w:val="none" w:sz="0" w:space="0" w:color="auto"/>
                <w:right w:val="none" w:sz="0" w:space="0" w:color="auto"/>
              </w:divBdr>
              <w:divsChild>
                <w:div w:id="2063094136">
                  <w:marLeft w:val="0"/>
                  <w:marRight w:val="0"/>
                  <w:marTop w:val="0"/>
                  <w:marBottom w:val="120"/>
                  <w:divBdr>
                    <w:top w:val="single" w:sz="6" w:space="0" w:color="A0A0A0"/>
                    <w:left w:val="single" w:sz="6" w:space="0" w:color="B9B9B9"/>
                    <w:bottom w:val="single" w:sz="6" w:space="0" w:color="B9B9B9"/>
                    <w:right w:val="single" w:sz="6" w:space="0" w:color="B9B9B9"/>
                  </w:divBdr>
                  <w:divsChild>
                    <w:div w:id="802649895">
                      <w:marLeft w:val="0"/>
                      <w:marRight w:val="0"/>
                      <w:marTop w:val="0"/>
                      <w:marBottom w:val="0"/>
                      <w:divBdr>
                        <w:top w:val="none" w:sz="0" w:space="0" w:color="auto"/>
                        <w:left w:val="none" w:sz="0" w:space="0" w:color="auto"/>
                        <w:bottom w:val="none" w:sz="0" w:space="0" w:color="auto"/>
                        <w:right w:val="none" w:sz="0" w:space="0" w:color="auto"/>
                      </w:divBdr>
                    </w:div>
                    <w:div w:id="126507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80911">
          <w:marLeft w:val="0"/>
          <w:marRight w:val="0"/>
          <w:marTop w:val="0"/>
          <w:marBottom w:val="0"/>
          <w:divBdr>
            <w:top w:val="none" w:sz="0" w:space="0" w:color="auto"/>
            <w:left w:val="none" w:sz="0" w:space="0" w:color="auto"/>
            <w:bottom w:val="none" w:sz="0" w:space="0" w:color="auto"/>
            <w:right w:val="none" w:sz="0" w:space="0" w:color="auto"/>
          </w:divBdr>
          <w:divsChild>
            <w:div w:id="721562580">
              <w:marLeft w:val="60"/>
              <w:marRight w:val="0"/>
              <w:marTop w:val="0"/>
              <w:marBottom w:val="0"/>
              <w:divBdr>
                <w:top w:val="none" w:sz="0" w:space="0" w:color="auto"/>
                <w:left w:val="none" w:sz="0" w:space="0" w:color="auto"/>
                <w:bottom w:val="none" w:sz="0" w:space="0" w:color="auto"/>
                <w:right w:val="none" w:sz="0" w:space="0" w:color="auto"/>
              </w:divBdr>
              <w:divsChild>
                <w:div w:id="63183615">
                  <w:marLeft w:val="0"/>
                  <w:marRight w:val="0"/>
                  <w:marTop w:val="0"/>
                  <w:marBottom w:val="0"/>
                  <w:divBdr>
                    <w:top w:val="none" w:sz="0" w:space="0" w:color="auto"/>
                    <w:left w:val="none" w:sz="0" w:space="0" w:color="auto"/>
                    <w:bottom w:val="none" w:sz="0" w:space="0" w:color="auto"/>
                    <w:right w:val="none" w:sz="0" w:space="0" w:color="auto"/>
                  </w:divBdr>
                  <w:divsChild>
                    <w:div w:id="690491737">
                      <w:marLeft w:val="0"/>
                      <w:marRight w:val="0"/>
                      <w:marTop w:val="0"/>
                      <w:marBottom w:val="120"/>
                      <w:divBdr>
                        <w:top w:val="single" w:sz="6" w:space="0" w:color="F5F5F5"/>
                        <w:left w:val="single" w:sz="6" w:space="0" w:color="F5F5F5"/>
                        <w:bottom w:val="single" w:sz="6" w:space="0" w:color="F5F5F5"/>
                        <w:right w:val="single" w:sz="6" w:space="0" w:color="F5F5F5"/>
                      </w:divBdr>
                      <w:divsChild>
                        <w:div w:id="1956715383">
                          <w:marLeft w:val="0"/>
                          <w:marRight w:val="0"/>
                          <w:marTop w:val="0"/>
                          <w:marBottom w:val="0"/>
                          <w:divBdr>
                            <w:top w:val="none" w:sz="0" w:space="0" w:color="auto"/>
                            <w:left w:val="none" w:sz="0" w:space="0" w:color="auto"/>
                            <w:bottom w:val="none" w:sz="0" w:space="0" w:color="auto"/>
                            <w:right w:val="none" w:sz="0" w:space="0" w:color="auto"/>
                          </w:divBdr>
                          <w:divsChild>
                            <w:div w:id="23339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894117">
      <w:bodyDiv w:val="1"/>
      <w:marLeft w:val="0"/>
      <w:marRight w:val="0"/>
      <w:marTop w:val="0"/>
      <w:marBottom w:val="0"/>
      <w:divBdr>
        <w:top w:val="none" w:sz="0" w:space="0" w:color="auto"/>
        <w:left w:val="none" w:sz="0" w:space="0" w:color="auto"/>
        <w:bottom w:val="none" w:sz="0" w:space="0" w:color="auto"/>
        <w:right w:val="none" w:sz="0" w:space="0" w:color="auto"/>
      </w:divBdr>
      <w:divsChild>
        <w:div w:id="1657881857">
          <w:marLeft w:val="274"/>
          <w:marRight w:val="0"/>
          <w:marTop w:val="38"/>
          <w:marBottom w:val="0"/>
          <w:divBdr>
            <w:top w:val="none" w:sz="0" w:space="0" w:color="auto"/>
            <w:left w:val="none" w:sz="0" w:space="0" w:color="auto"/>
            <w:bottom w:val="none" w:sz="0" w:space="0" w:color="auto"/>
            <w:right w:val="none" w:sz="0" w:space="0" w:color="auto"/>
          </w:divBdr>
        </w:div>
      </w:divsChild>
    </w:div>
    <w:div w:id="1310161806">
      <w:bodyDiv w:val="1"/>
      <w:marLeft w:val="0"/>
      <w:marRight w:val="0"/>
      <w:marTop w:val="0"/>
      <w:marBottom w:val="0"/>
      <w:divBdr>
        <w:top w:val="none" w:sz="0" w:space="0" w:color="auto"/>
        <w:left w:val="none" w:sz="0" w:space="0" w:color="auto"/>
        <w:bottom w:val="none" w:sz="0" w:space="0" w:color="auto"/>
        <w:right w:val="none" w:sz="0" w:space="0" w:color="auto"/>
      </w:divBdr>
      <w:divsChild>
        <w:div w:id="635524928">
          <w:marLeft w:val="274"/>
          <w:marRight w:val="0"/>
          <w:marTop w:val="38"/>
          <w:marBottom w:val="0"/>
          <w:divBdr>
            <w:top w:val="none" w:sz="0" w:space="0" w:color="auto"/>
            <w:left w:val="none" w:sz="0" w:space="0" w:color="auto"/>
            <w:bottom w:val="none" w:sz="0" w:space="0" w:color="auto"/>
            <w:right w:val="none" w:sz="0" w:space="0" w:color="auto"/>
          </w:divBdr>
        </w:div>
        <w:div w:id="1235581465">
          <w:marLeft w:val="274"/>
          <w:marRight w:val="0"/>
          <w:marTop w:val="38"/>
          <w:marBottom w:val="0"/>
          <w:divBdr>
            <w:top w:val="none" w:sz="0" w:space="0" w:color="auto"/>
            <w:left w:val="none" w:sz="0" w:space="0" w:color="auto"/>
            <w:bottom w:val="none" w:sz="0" w:space="0" w:color="auto"/>
            <w:right w:val="none" w:sz="0" w:space="0" w:color="auto"/>
          </w:divBdr>
        </w:div>
      </w:divsChild>
    </w:div>
    <w:div w:id="1313294612">
      <w:bodyDiv w:val="1"/>
      <w:marLeft w:val="0"/>
      <w:marRight w:val="0"/>
      <w:marTop w:val="0"/>
      <w:marBottom w:val="0"/>
      <w:divBdr>
        <w:top w:val="none" w:sz="0" w:space="0" w:color="auto"/>
        <w:left w:val="none" w:sz="0" w:space="0" w:color="auto"/>
        <w:bottom w:val="none" w:sz="0" w:space="0" w:color="auto"/>
        <w:right w:val="none" w:sz="0" w:space="0" w:color="auto"/>
      </w:divBdr>
      <w:divsChild>
        <w:div w:id="1115716515">
          <w:marLeft w:val="274"/>
          <w:marRight w:val="0"/>
          <w:marTop w:val="38"/>
          <w:marBottom w:val="0"/>
          <w:divBdr>
            <w:top w:val="none" w:sz="0" w:space="0" w:color="auto"/>
            <w:left w:val="none" w:sz="0" w:space="0" w:color="auto"/>
            <w:bottom w:val="none" w:sz="0" w:space="0" w:color="auto"/>
            <w:right w:val="none" w:sz="0" w:space="0" w:color="auto"/>
          </w:divBdr>
        </w:div>
      </w:divsChild>
    </w:div>
    <w:div w:id="1314481238">
      <w:bodyDiv w:val="1"/>
      <w:marLeft w:val="0"/>
      <w:marRight w:val="0"/>
      <w:marTop w:val="0"/>
      <w:marBottom w:val="0"/>
      <w:divBdr>
        <w:top w:val="none" w:sz="0" w:space="0" w:color="auto"/>
        <w:left w:val="none" w:sz="0" w:space="0" w:color="auto"/>
        <w:bottom w:val="none" w:sz="0" w:space="0" w:color="auto"/>
        <w:right w:val="none" w:sz="0" w:space="0" w:color="auto"/>
      </w:divBdr>
    </w:div>
    <w:div w:id="1330912092">
      <w:bodyDiv w:val="1"/>
      <w:marLeft w:val="0"/>
      <w:marRight w:val="0"/>
      <w:marTop w:val="0"/>
      <w:marBottom w:val="0"/>
      <w:divBdr>
        <w:top w:val="none" w:sz="0" w:space="0" w:color="auto"/>
        <w:left w:val="none" w:sz="0" w:space="0" w:color="auto"/>
        <w:bottom w:val="none" w:sz="0" w:space="0" w:color="auto"/>
        <w:right w:val="none" w:sz="0" w:space="0" w:color="auto"/>
      </w:divBdr>
      <w:divsChild>
        <w:div w:id="1275794419">
          <w:marLeft w:val="274"/>
          <w:marRight w:val="0"/>
          <w:marTop w:val="38"/>
          <w:marBottom w:val="0"/>
          <w:divBdr>
            <w:top w:val="none" w:sz="0" w:space="0" w:color="auto"/>
            <w:left w:val="none" w:sz="0" w:space="0" w:color="auto"/>
            <w:bottom w:val="none" w:sz="0" w:space="0" w:color="auto"/>
            <w:right w:val="none" w:sz="0" w:space="0" w:color="auto"/>
          </w:divBdr>
        </w:div>
      </w:divsChild>
    </w:div>
    <w:div w:id="1353216466">
      <w:bodyDiv w:val="1"/>
      <w:marLeft w:val="0"/>
      <w:marRight w:val="0"/>
      <w:marTop w:val="0"/>
      <w:marBottom w:val="0"/>
      <w:divBdr>
        <w:top w:val="none" w:sz="0" w:space="0" w:color="auto"/>
        <w:left w:val="none" w:sz="0" w:space="0" w:color="auto"/>
        <w:bottom w:val="none" w:sz="0" w:space="0" w:color="auto"/>
        <w:right w:val="none" w:sz="0" w:space="0" w:color="auto"/>
      </w:divBdr>
      <w:divsChild>
        <w:div w:id="502623652">
          <w:marLeft w:val="274"/>
          <w:marRight w:val="0"/>
          <w:marTop w:val="38"/>
          <w:marBottom w:val="0"/>
          <w:divBdr>
            <w:top w:val="none" w:sz="0" w:space="0" w:color="auto"/>
            <w:left w:val="none" w:sz="0" w:space="0" w:color="auto"/>
            <w:bottom w:val="none" w:sz="0" w:space="0" w:color="auto"/>
            <w:right w:val="none" w:sz="0" w:space="0" w:color="auto"/>
          </w:divBdr>
        </w:div>
      </w:divsChild>
    </w:div>
    <w:div w:id="1353610607">
      <w:bodyDiv w:val="1"/>
      <w:marLeft w:val="0"/>
      <w:marRight w:val="0"/>
      <w:marTop w:val="0"/>
      <w:marBottom w:val="0"/>
      <w:divBdr>
        <w:top w:val="none" w:sz="0" w:space="0" w:color="auto"/>
        <w:left w:val="none" w:sz="0" w:space="0" w:color="auto"/>
        <w:bottom w:val="none" w:sz="0" w:space="0" w:color="auto"/>
        <w:right w:val="none" w:sz="0" w:space="0" w:color="auto"/>
      </w:divBdr>
    </w:div>
    <w:div w:id="1359697839">
      <w:bodyDiv w:val="1"/>
      <w:marLeft w:val="0"/>
      <w:marRight w:val="0"/>
      <w:marTop w:val="0"/>
      <w:marBottom w:val="0"/>
      <w:divBdr>
        <w:top w:val="none" w:sz="0" w:space="0" w:color="auto"/>
        <w:left w:val="none" w:sz="0" w:space="0" w:color="auto"/>
        <w:bottom w:val="none" w:sz="0" w:space="0" w:color="auto"/>
        <w:right w:val="none" w:sz="0" w:space="0" w:color="auto"/>
      </w:divBdr>
      <w:divsChild>
        <w:div w:id="1126001100">
          <w:marLeft w:val="274"/>
          <w:marRight w:val="0"/>
          <w:marTop w:val="38"/>
          <w:marBottom w:val="0"/>
          <w:divBdr>
            <w:top w:val="none" w:sz="0" w:space="0" w:color="auto"/>
            <w:left w:val="none" w:sz="0" w:space="0" w:color="auto"/>
            <w:bottom w:val="none" w:sz="0" w:space="0" w:color="auto"/>
            <w:right w:val="none" w:sz="0" w:space="0" w:color="auto"/>
          </w:divBdr>
        </w:div>
      </w:divsChild>
    </w:div>
    <w:div w:id="1370570027">
      <w:bodyDiv w:val="1"/>
      <w:marLeft w:val="0"/>
      <w:marRight w:val="0"/>
      <w:marTop w:val="0"/>
      <w:marBottom w:val="0"/>
      <w:divBdr>
        <w:top w:val="none" w:sz="0" w:space="0" w:color="auto"/>
        <w:left w:val="none" w:sz="0" w:space="0" w:color="auto"/>
        <w:bottom w:val="none" w:sz="0" w:space="0" w:color="auto"/>
        <w:right w:val="none" w:sz="0" w:space="0" w:color="auto"/>
      </w:divBdr>
      <w:divsChild>
        <w:div w:id="589513064">
          <w:marLeft w:val="274"/>
          <w:marRight w:val="0"/>
          <w:marTop w:val="38"/>
          <w:marBottom w:val="0"/>
          <w:divBdr>
            <w:top w:val="none" w:sz="0" w:space="0" w:color="auto"/>
            <w:left w:val="none" w:sz="0" w:space="0" w:color="auto"/>
            <w:bottom w:val="none" w:sz="0" w:space="0" w:color="auto"/>
            <w:right w:val="none" w:sz="0" w:space="0" w:color="auto"/>
          </w:divBdr>
        </w:div>
      </w:divsChild>
    </w:div>
    <w:div w:id="1374308592">
      <w:bodyDiv w:val="1"/>
      <w:marLeft w:val="0"/>
      <w:marRight w:val="0"/>
      <w:marTop w:val="0"/>
      <w:marBottom w:val="0"/>
      <w:divBdr>
        <w:top w:val="none" w:sz="0" w:space="0" w:color="auto"/>
        <w:left w:val="none" w:sz="0" w:space="0" w:color="auto"/>
        <w:bottom w:val="none" w:sz="0" w:space="0" w:color="auto"/>
        <w:right w:val="none" w:sz="0" w:space="0" w:color="auto"/>
      </w:divBdr>
      <w:divsChild>
        <w:div w:id="1869414929">
          <w:marLeft w:val="274"/>
          <w:marRight w:val="0"/>
          <w:marTop w:val="38"/>
          <w:marBottom w:val="0"/>
          <w:divBdr>
            <w:top w:val="none" w:sz="0" w:space="0" w:color="auto"/>
            <w:left w:val="none" w:sz="0" w:space="0" w:color="auto"/>
            <w:bottom w:val="none" w:sz="0" w:space="0" w:color="auto"/>
            <w:right w:val="none" w:sz="0" w:space="0" w:color="auto"/>
          </w:divBdr>
        </w:div>
      </w:divsChild>
    </w:div>
    <w:div w:id="1385760066">
      <w:bodyDiv w:val="1"/>
      <w:marLeft w:val="0"/>
      <w:marRight w:val="0"/>
      <w:marTop w:val="0"/>
      <w:marBottom w:val="0"/>
      <w:divBdr>
        <w:top w:val="none" w:sz="0" w:space="0" w:color="auto"/>
        <w:left w:val="none" w:sz="0" w:space="0" w:color="auto"/>
        <w:bottom w:val="none" w:sz="0" w:space="0" w:color="auto"/>
        <w:right w:val="none" w:sz="0" w:space="0" w:color="auto"/>
      </w:divBdr>
      <w:divsChild>
        <w:div w:id="91558568">
          <w:marLeft w:val="274"/>
          <w:marRight w:val="0"/>
          <w:marTop w:val="38"/>
          <w:marBottom w:val="0"/>
          <w:divBdr>
            <w:top w:val="none" w:sz="0" w:space="0" w:color="auto"/>
            <w:left w:val="none" w:sz="0" w:space="0" w:color="auto"/>
            <w:bottom w:val="none" w:sz="0" w:space="0" w:color="auto"/>
            <w:right w:val="none" w:sz="0" w:space="0" w:color="auto"/>
          </w:divBdr>
        </w:div>
      </w:divsChild>
    </w:div>
    <w:div w:id="1404528633">
      <w:bodyDiv w:val="1"/>
      <w:marLeft w:val="0"/>
      <w:marRight w:val="0"/>
      <w:marTop w:val="0"/>
      <w:marBottom w:val="0"/>
      <w:divBdr>
        <w:top w:val="none" w:sz="0" w:space="0" w:color="auto"/>
        <w:left w:val="none" w:sz="0" w:space="0" w:color="auto"/>
        <w:bottom w:val="none" w:sz="0" w:space="0" w:color="auto"/>
        <w:right w:val="none" w:sz="0" w:space="0" w:color="auto"/>
      </w:divBdr>
    </w:div>
    <w:div w:id="1405297681">
      <w:bodyDiv w:val="1"/>
      <w:marLeft w:val="0"/>
      <w:marRight w:val="0"/>
      <w:marTop w:val="0"/>
      <w:marBottom w:val="0"/>
      <w:divBdr>
        <w:top w:val="none" w:sz="0" w:space="0" w:color="auto"/>
        <w:left w:val="none" w:sz="0" w:space="0" w:color="auto"/>
        <w:bottom w:val="none" w:sz="0" w:space="0" w:color="auto"/>
        <w:right w:val="none" w:sz="0" w:space="0" w:color="auto"/>
      </w:divBdr>
      <w:divsChild>
        <w:div w:id="17393653">
          <w:marLeft w:val="274"/>
          <w:marRight w:val="0"/>
          <w:marTop w:val="38"/>
          <w:marBottom w:val="0"/>
          <w:divBdr>
            <w:top w:val="none" w:sz="0" w:space="0" w:color="auto"/>
            <w:left w:val="none" w:sz="0" w:space="0" w:color="auto"/>
            <w:bottom w:val="none" w:sz="0" w:space="0" w:color="auto"/>
            <w:right w:val="none" w:sz="0" w:space="0" w:color="auto"/>
          </w:divBdr>
        </w:div>
      </w:divsChild>
    </w:div>
    <w:div w:id="1408041787">
      <w:bodyDiv w:val="1"/>
      <w:marLeft w:val="0"/>
      <w:marRight w:val="0"/>
      <w:marTop w:val="0"/>
      <w:marBottom w:val="0"/>
      <w:divBdr>
        <w:top w:val="none" w:sz="0" w:space="0" w:color="auto"/>
        <w:left w:val="none" w:sz="0" w:space="0" w:color="auto"/>
        <w:bottom w:val="none" w:sz="0" w:space="0" w:color="auto"/>
        <w:right w:val="none" w:sz="0" w:space="0" w:color="auto"/>
      </w:divBdr>
      <w:divsChild>
        <w:div w:id="1196506672">
          <w:marLeft w:val="274"/>
          <w:marRight w:val="0"/>
          <w:marTop w:val="38"/>
          <w:marBottom w:val="0"/>
          <w:divBdr>
            <w:top w:val="none" w:sz="0" w:space="0" w:color="auto"/>
            <w:left w:val="none" w:sz="0" w:space="0" w:color="auto"/>
            <w:bottom w:val="none" w:sz="0" w:space="0" w:color="auto"/>
            <w:right w:val="none" w:sz="0" w:space="0" w:color="auto"/>
          </w:divBdr>
        </w:div>
      </w:divsChild>
    </w:div>
    <w:div w:id="1409033279">
      <w:bodyDiv w:val="1"/>
      <w:marLeft w:val="0"/>
      <w:marRight w:val="0"/>
      <w:marTop w:val="0"/>
      <w:marBottom w:val="0"/>
      <w:divBdr>
        <w:top w:val="none" w:sz="0" w:space="0" w:color="auto"/>
        <w:left w:val="none" w:sz="0" w:space="0" w:color="auto"/>
        <w:bottom w:val="none" w:sz="0" w:space="0" w:color="auto"/>
        <w:right w:val="none" w:sz="0" w:space="0" w:color="auto"/>
      </w:divBdr>
      <w:divsChild>
        <w:div w:id="109974940">
          <w:marLeft w:val="274"/>
          <w:marRight w:val="0"/>
          <w:marTop w:val="38"/>
          <w:marBottom w:val="0"/>
          <w:divBdr>
            <w:top w:val="none" w:sz="0" w:space="0" w:color="auto"/>
            <w:left w:val="none" w:sz="0" w:space="0" w:color="auto"/>
            <w:bottom w:val="none" w:sz="0" w:space="0" w:color="auto"/>
            <w:right w:val="none" w:sz="0" w:space="0" w:color="auto"/>
          </w:divBdr>
        </w:div>
        <w:div w:id="2044940059">
          <w:marLeft w:val="274"/>
          <w:marRight w:val="0"/>
          <w:marTop w:val="38"/>
          <w:marBottom w:val="0"/>
          <w:divBdr>
            <w:top w:val="none" w:sz="0" w:space="0" w:color="auto"/>
            <w:left w:val="none" w:sz="0" w:space="0" w:color="auto"/>
            <w:bottom w:val="none" w:sz="0" w:space="0" w:color="auto"/>
            <w:right w:val="none" w:sz="0" w:space="0" w:color="auto"/>
          </w:divBdr>
        </w:div>
      </w:divsChild>
    </w:div>
    <w:div w:id="1438409225">
      <w:bodyDiv w:val="1"/>
      <w:marLeft w:val="0"/>
      <w:marRight w:val="0"/>
      <w:marTop w:val="0"/>
      <w:marBottom w:val="0"/>
      <w:divBdr>
        <w:top w:val="none" w:sz="0" w:space="0" w:color="auto"/>
        <w:left w:val="none" w:sz="0" w:space="0" w:color="auto"/>
        <w:bottom w:val="none" w:sz="0" w:space="0" w:color="auto"/>
        <w:right w:val="none" w:sz="0" w:space="0" w:color="auto"/>
      </w:divBdr>
    </w:div>
    <w:div w:id="1444812025">
      <w:bodyDiv w:val="1"/>
      <w:marLeft w:val="0"/>
      <w:marRight w:val="0"/>
      <w:marTop w:val="0"/>
      <w:marBottom w:val="0"/>
      <w:divBdr>
        <w:top w:val="none" w:sz="0" w:space="0" w:color="auto"/>
        <w:left w:val="none" w:sz="0" w:space="0" w:color="auto"/>
        <w:bottom w:val="none" w:sz="0" w:space="0" w:color="auto"/>
        <w:right w:val="none" w:sz="0" w:space="0" w:color="auto"/>
      </w:divBdr>
      <w:divsChild>
        <w:div w:id="732509548">
          <w:marLeft w:val="274"/>
          <w:marRight w:val="0"/>
          <w:marTop w:val="38"/>
          <w:marBottom w:val="0"/>
          <w:divBdr>
            <w:top w:val="none" w:sz="0" w:space="0" w:color="auto"/>
            <w:left w:val="none" w:sz="0" w:space="0" w:color="auto"/>
            <w:bottom w:val="none" w:sz="0" w:space="0" w:color="auto"/>
            <w:right w:val="none" w:sz="0" w:space="0" w:color="auto"/>
          </w:divBdr>
        </w:div>
        <w:div w:id="1704748772">
          <w:marLeft w:val="274"/>
          <w:marRight w:val="0"/>
          <w:marTop w:val="38"/>
          <w:marBottom w:val="0"/>
          <w:divBdr>
            <w:top w:val="none" w:sz="0" w:space="0" w:color="auto"/>
            <w:left w:val="none" w:sz="0" w:space="0" w:color="auto"/>
            <w:bottom w:val="none" w:sz="0" w:space="0" w:color="auto"/>
            <w:right w:val="none" w:sz="0" w:space="0" w:color="auto"/>
          </w:divBdr>
        </w:div>
      </w:divsChild>
    </w:div>
    <w:div w:id="1447584412">
      <w:bodyDiv w:val="1"/>
      <w:marLeft w:val="0"/>
      <w:marRight w:val="0"/>
      <w:marTop w:val="0"/>
      <w:marBottom w:val="0"/>
      <w:divBdr>
        <w:top w:val="none" w:sz="0" w:space="0" w:color="auto"/>
        <w:left w:val="none" w:sz="0" w:space="0" w:color="auto"/>
        <w:bottom w:val="none" w:sz="0" w:space="0" w:color="auto"/>
        <w:right w:val="none" w:sz="0" w:space="0" w:color="auto"/>
      </w:divBdr>
      <w:divsChild>
        <w:div w:id="280378284">
          <w:marLeft w:val="274"/>
          <w:marRight w:val="0"/>
          <w:marTop w:val="38"/>
          <w:marBottom w:val="0"/>
          <w:divBdr>
            <w:top w:val="none" w:sz="0" w:space="0" w:color="auto"/>
            <w:left w:val="none" w:sz="0" w:space="0" w:color="auto"/>
            <w:bottom w:val="none" w:sz="0" w:space="0" w:color="auto"/>
            <w:right w:val="none" w:sz="0" w:space="0" w:color="auto"/>
          </w:divBdr>
        </w:div>
      </w:divsChild>
    </w:div>
    <w:div w:id="1457673937">
      <w:bodyDiv w:val="1"/>
      <w:marLeft w:val="0"/>
      <w:marRight w:val="0"/>
      <w:marTop w:val="0"/>
      <w:marBottom w:val="0"/>
      <w:divBdr>
        <w:top w:val="none" w:sz="0" w:space="0" w:color="auto"/>
        <w:left w:val="none" w:sz="0" w:space="0" w:color="auto"/>
        <w:bottom w:val="none" w:sz="0" w:space="0" w:color="auto"/>
        <w:right w:val="none" w:sz="0" w:space="0" w:color="auto"/>
      </w:divBdr>
    </w:div>
    <w:div w:id="1487742168">
      <w:bodyDiv w:val="1"/>
      <w:marLeft w:val="0"/>
      <w:marRight w:val="0"/>
      <w:marTop w:val="0"/>
      <w:marBottom w:val="0"/>
      <w:divBdr>
        <w:top w:val="none" w:sz="0" w:space="0" w:color="auto"/>
        <w:left w:val="none" w:sz="0" w:space="0" w:color="auto"/>
        <w:bottom w:val="none" w:sz="0" w:space="0" w:color="auto"/>
        <w:right w:val="none" w:sz="0" w:space="0" w:color="auto"/>
      </w:divBdr>
    </w:div>
    <w:div w:id="1513762582">
      <w:bodyDiv w:val="1"/>
      <w:marLeft w:val="0"/>
      <w:marRight w:val="0"/>
      <w:marTop w:val="0"/>
      <w:marBottom w:val="0"/>
      <w:divBdr>
        <w:top w:val="none" w:sz="0" w:space="0" w:color="auto"/>
        <w:left w:val="none" w:sz="0" w:space="0" w:color="auto"/>
        <w:bottom w:val="none" w:sz="0" w:space="0" w:color="auto"/>
        <w:right w:val="none" w:sz="0" w:space="0" w:color="auto"/>
      </w:divBdr>
      <w:divsChild>
        <w:div w:id="368185961">
          <w:marLeft w:val="274"/>
          <w:marRight w:val="0"/>
          <w:marTop w:val="38"/>
          <w:marBottom w:val="0"/>
          <w:divBdr>
            <w:top w:val="none" w:sz="0" w:space="0" w:color="auto"/>
            <w:left w:val="none" w:sz="0" w:space="0" w:color="auto"/>
            <w:bottom w:val="none" w:sz="0" w:space="0" w:color="auto"/>
            <w:right w:val="none" w:sz="0" w:space="0" w:color="auto"/>
          </w:divBdr>
        </w:div>
      </w:divsChild>
    </w:div>
    <w:div w:id="1521359409">
      <w:bodyDiv w:val="1"/>
      <w:marLeft w:val="0"/>
      <w:marRight w:val="0"/>
      <w:marTop w:val="0"/>
      <w:marBottom w:val="0"/>
      <w:divBdr>
        <w:top w:val="none" w:sz="0" w:space="0" w:color="auto"/>
        <w:left w:val="none" w:sz="0" w:space="0" w:color="auto"/>
        <w:bottom w:val="none" w:sz="0" w:space="0" w:color="auto"/>
        <w:right w:val="none" w:sz="0" w:space="0" w:color="auto"/>
      </w:divBdr>
      <w:divsChild>
        <w:div w:id="2119135070">
          <w:marLeft w:val="547"/>
          <w:marRight w:val="0"/>
          <w:marTop w:val="58"/>
          <w:marBottom w:val="0"/>
          <w:divBdr>
            <w:top w:val="none" w:sz="0" w:space="0" w:color="auto"/>
            <w:left w:val="none" w:sz="0" w:space="0" w:color="auto"/>
            <w:bottom w:val="none" w:sz="0" w:space="0" w:color="auto"/>
            <w:right w:val="none" w:sz="0" w:space="0" w:color="auto"/>
          </w:divBdr>
        </w:div>
        <w:div w:id="1223981710">
          <w:marLeft w:val="547"/>
          <w:marRight w:val="0"/>
          <w:marTop w:val="58"/>
          <w:marBottom w:val="0"/>
          <w:divBdr>
            <w:top w:val="none" w:sz="0" w:space="0" w:color="auto"/>
            <w:left w:val="none" w:sz="0" w:space="0" w:color="auto"/>
            <w:bottom w:val="none" w:sz="0" w:space="0" w:color="auto"/>
            <w:right w:val="none" w:sz="0" w:space="0" w:color="auto"/>
          </w:divBdr>
        </w:div>
        <w:div w:id="1181941815">
          <w:marLeft w:val="547"/>
          <w:marRight w:val="0"/>
          <w:marTop w:val="58"/>
          <w:marBottom w:val="0"/>
          <w:divBdr>
            <w:top w:val="none" w:sz="0" w:space="0" w:color="auto"/>
            <w:left w:val="none" w:sz="0" w:space="0" w:color="auto"/>
            <w:bottom w:val="none" w:sz="0" w:space="0" w:color="auto"/>
            <w:right w:val="none" w:sz="0" w:space="0" w:color="auto"/>
          </w:divBdr>
        </w:div>
        <w:div w:id="2116318967">
          <w:marLeft w:val="547"/>
          <w:marRight w:val="0"/>
          <w:marTop w:val="58"/>
          <w:marBottom w:val="0"/>
          <w:divBdr>
            <w:top w:val="none" w:sz="0" w:space="0" w:color="auto"/>
            <w:left w:val="none" w:sz="0" w:space="0" w:color="auto"/>
            <w:bottom w:val="none" w:sz="0" w:space="0" w:color="auto"/>
            <w:right w:val="none" w:sz="0" w:space="0" w:color="auto"/>
          </w:divBdr>
        </w:div>
        <w:div w:id="2001500741">
          <w:marLeft w:val="547"/>
          <w:marRight w:val="0"/>
          <w:marTop w:val="58"/>
          <w:marBottom w:val="0"/>
          <w:divBdr>
            <w:top w:val="none" w:sz="0" w:space="0" w:color="auto"/>
            <w:left w:val="none" w:sz="0" w:space="0" w:color="auto"/>
            <w:bottom w:val="none" w:sz="0" w:space="0" w:color="auto"/>
            <w:right w:val="none" w:sz="0" w:space="0" w:color="auto"/>
          </w:divBdr>
        </w:div>
      </w:divsChild>
    </w:div>
    <w:div w:id="1521815898">
      <w:bodyDiv w:val="1"/>
      <w:marLeft w:val="0"/>
      <w:marRight w:val="0"/>
      <w:marTop w:val="0"/>
      <w:marBottom w:val="0"/>
      <w:divBdr>
        <w:top w:val="none" w:sz="0" w:space="0" w:color="auto"/>
        <w:left w:val="none" w:sz="0" w:space="0" w:color="auto"/>
        <w:bottom w:val="none" w:sz="0" w:space="0" w:color="auto"/>
        <w:right w:val="none" w:sz="0" w:space="0" w:color="auto"/>
      </w:divBdr>
      <w:divsChild>
        <w:div w:id="364254799">
          <w:marLeft w:val="274"/>
          <w:marRight w:val="0"/>
          <w:marTop w:val="38"/>
          <w:marBottom w:val="0"/>
          <w:divBdr>
            <w:top w:val="none" w:sz="0" w:space="0" w:color="auto"/>
            <w:left w:val="none" w:sz="0" w:space="0" w:color="auto"/>
            <w:bottom w:val="none" w:sz="0" w:space="0" w:color="auto"/>
            <w:right w:val="none" w:sz="0" w:space="0" w:color="auto"/>
          </w:divBdr>
        </w:div>
      </w:divsChild>
    </w:div>
    <w:div w:id="1525947544">
      <w:bodyDiv w:val="1"/>
      <w:marLeft w:val="0"/>
      <w:marRight w:val="0"/>
      <w:marTop w:val="0"/>
      <w:marBottom w:val="0"/>
      <w:divBdr>
        <w:top w:val="none" w:sz="0" w:space="0" w:color="auto"/>
        <w:left w:val="none" w:sz="0" w:space="0" w:color="auto"/>
        <w:bottom w:val="none" w:sz="0" w:space="0" w:color="auto"/>
        <w:right w:val="none" w:sz="0" w:space="0" w:color="auto"/>
      </w:divBdr>
    </w:div>
    <w:div w:id="1528324596">
      <w:bodyDiv w:val="1"/>
      <w:marLeft w:val="0"/>
      <w:marRight w:val="0"/>
      <w:marTop w:val="0"/>
      <w:marBottom w:val="0"/>
      <w:divBdr>
        <w:top w:val="none" w:sz="0" w:space="0" w:color="auto"/>
        <w:left w:val="none" w:sz="0" w:space="0" w:color="auto"/>
        <w:bottom w:val="none" w:sz="0" w:space="0" w:color="auto"/>
        <w:right w:val="none" w:sz="0" w:space="0" w:color="auto"/>
      </w:divBdr>
    </w:div>
    <w:div w:id="1529218592">
      <w:bodyDiv w:val="1"/>
      <w:marLeft w:val="0"/>
      <w:marRight w:val="0"/>
      <w:marTop w:val="0"/>
      <w:marBottom w:val="0"/>
      <w:divBdr>
        <w:top w:val="none" w:sz="0" w:space="0" w:color="auto"/>
        <w:left w:val="none" w:sz="0" w:space="0" w:color="auto"/>
        <w:bottom w:val="none" w:sz="0" w:space="0" w:color="auto"/>
        <w:right w:val="none" w:sz="0" w:space="0" w:color="auto"/>
      </w:divBdr>
      <w:divsChild>
        <w:div w:id="887179999">
          <w:marLeft w:val="274"/>
          <w:marRight w:val="0"/>
          <w:marTop w:val="38"/>
          <w:marBottom w:val="0"/>
          <w:divBdr>
            <w:top w:val="none" w:sz="0" w:space="0" w:color="auto"/>
            <w:left w:val="none" w:sz="0" w:space="0" w:color="auto"/>
            <w:bottom w:val="none" w:sz="0" w:space="0" w:color="auto"/>
            <w:right w:val="none" w:sz="0" w:space="0" w:color="auto"/>
          </w:divBdr>
        </w:div>
        <w:div w:id="1567647025">
          <w:marLeft w:val="274"/>
          <w:marRight w:val="0"/>
          <w:marTop w:val="38"/>
          <w:marBottom w:val="0"/>
          <w:divBdr>
            <w:top w:val="none" w:sz="0" w:space="0" w:color="auto"/>
            <w:left w:val="none" w:sz="0" w:space="0" w:color="auto"/>
            <w:bottom w:val="none" w:sz="0" w:space="0" w:color="auto"/>
            <w:right w:val="none" w:sz="0" w:space="0" w:color="auto"/>
          </w:divBdr>
        </w:div>
      </w:divsChild>
    </w:div>
    <w:div w:id="1557397922">
      <w:bodyDiv w:val="1"/>
      <w:marLeft w:val="0"/>
      <w:marRight w:val="0"/>
      <w:marTop w:val="0"/>
      <w:marBottom w:val="0"/>
      <w:divBdr>
        <w:top w:val="none" w:sz="0" w:space="0" w:color="auto"/>
        <w:left w:val="none" w:sz="0" w:space="0" w:color="auto"/>
        <w:bottom w:val="none" w:sz="0" w:space="0" w:color="auto"/>
        <w:right w:val="none" w:sz="0" w:space="0" w:color="auto"/>
      </w:divBdr>
      <w:divsChild>
        <w:div w:id="1883900021">
          <w:marLeft w:val="0"/>
          <w:marRight w:val="0"/>
          <w:marTop w:val="0"/>
          <w:marBottom w:val="0"/>
          <w:divBdr>
            <w:top w:val="none" w:sz="0" w:space="0" w:color="auto"/>
            <w:left w:val="none" w:sz="0" w:space="0" w:color="auto"/>
            <w:bottom w:val="none" w:sz="0" w:space="0" w:color="auto"/>
            <w:right w:val="none" w:sz="0" w:space="0" w:color="auto"/>
          </w:divBdr>
          <w:divsChild>
            <w:div w:id="1230655947">
              <w:marLeft w:val="0"/>
              <w:marRight w:val="60"/>
              <w:marTop w:val="0"/>
              <w:marBottom w:val="0"/>
              <w:divBdr>
                <w:top w:val="none" w:sz="0" w:space="0" w:color="auto"/>
                <w:left w:val="none" w:sz="0" w:space="0" w:color="auto"/>
                <w:bottom w:val="none" w:sz="0" w:space="0" w:color="auto"/>
                <w:right w:val="none" w:sz="0" w:space="0" w:color="auto"/>
              </w:divBdr>
              <w:divsChild>
                <w:div w:id="774985265">
                  <w:marLeft w:val="0"/>
                  <w:marRight w:val="0"/>
                  <w:marTop w:val="0"/>
                  <w:marBottom w:val="120"/>
                  <w:divBdr>
                    <w:top w:val="single" w:sz="6" w:space="0" w:color="A0A0A0"/>
                    <w:left w:val="single" w:sz="6" w:space="0" w:color="B9B9B9"/>
                    <w:bottom w:val="single" w:sz="6" w:space="0" w:color="B9B9B9"/>
                    <w:right w:val="single" w:sz="6" w:space="0" w:color="B9B9B9"/>
                  </w:divBdr>
                  <w:divsChild>
                    <w:div w:id="767195001">
                      <w:marLeft w:val="0"/>
                      <w:marRight w:val="0"/>
                      <w:marTop w:val="0"/>
                      <w:marBottom w:val="0"/>
                      <w:divBdr>
                        <w:top w:val="none" w:sz="0" w:space="0" w:color="auto"/>
                        <w:left w:val="none" w:sz="0" w:space="0" w:color="auto"/>
                        <w:bottom w:val="none" w:sz="0" w:space="0" w:color="auto"/>
                        <w:right w:val="none" w:sz="0" w:space="0" w:color="auto"/>
                      </w:divBdr>
                    </w:div>
                    <w:div w:id="1770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09818">
          <w:marLeft w:val="0"/>
          <w:marRight w:val="0"/>
          <w:marTop w:val="0"/>
          <w:marBottom w:val="0"/>
          <w:divBdr>
            <w:top w:val="none" w:sz="0" w:space="0" w:color="auto"/>
            <w:left w:val="none" w:sz="0" w:space="0" w:color="auto"/>
            <w:bottom w:val="none" w:sz="0" w:space="0" w:color="auto"/>
            <w:right w:val="none" w:sz="0" w:space="0" w:color="auto"/>
          </w:divBdr>
          <w:divsChild>
            <w:div w:id="2015917745">
              <w:marLeft w:val="60"/>
              <w:marRight w:val="0"/>
              <w:marTop w:val="0"/>
              <w:marBottom w:val="0"/>
              <w:divBdr>
                <w:top w:val="none" w:sz="0" w:space="0" w:color="auto"/>
                <w:left w:val="none" w:sz="0" w:space="0" w:color="auto"/>
                <w:bottom w:val="none" w:sz="0" w:space="0" w:color="auto"/>
                <w:right w:val="none" w:sz="0" w:space="0" w:color="auto"/>
              </w:divBdr>
              <w:divsChild>
                <w:div w:id="1825462755">
                  <w:marLeft w:val="0"/>
                  <w:marRight w:val="0"/>
                  <w:marTop w:val="0"/>
                  <w:marBottom w:val="0"/>
                  <w:divBdr>
                    <w:top w:val="none" w:sz="0" w:space="0" w:color="auto"/>
                    <w:left w:val="none" w:sz="0" w:space="0" w:color="auto"/>
                    <w:bottom w:val="none" w:sz="0" w:space="0" w:color="auto"/>
                    <w:right w:val="none" w:sz="0" w:space="0" w:color="auto"/>
                  </w:divBdr>
                  <w:divsChild>
                    <w:div w:id="1313363006">
                      <w:marLeft w:val="0"/>
                      <w:marRight w:val="0"/>
                      <w:marTop w:val="0"/>
                      <w:marBottom w:val="120"/>
                      <w:divBdr>
                        <w:top w:val="single" w:sz="6" w:space="0" w:color="F5F5F5"/>
                        <w:left w:val="single" w:sz="6" w:space="0" w:color="F5F5F5"/>
                        <w:bottom w:val="single" w:sz="6" w:space="0" w:color="F5F5F5"/>
                        <w:right w:val="single" w:sz="6" w:space="0" w:color="F5F5F5"/>
                      </w:divBdr>
                      <w:divsChild>
                        <w:div w:id="1258172475">
                          <w:marLeft w:val="0"/>
                          <w:marRight w:val="0"/>
                          <w:marTop w:val="0"/>
                          <w:marBottom w:val="0"/>
                          <w:divBdr>
                            <w:top w:val="none" w:sz="0" w:space="0" w:color="auto"/>
                            <w:left w:val="none" w:sz="0" w:space="0" w:color="auto"/>
                            <w:bottom w:val="none" w:sz="0" w:space="0" w:color="auto"/>
                            <w:right w:val="none" w:sz="0" w:space="0" w:color="auto"/>
                          </w:divBdr>
                          <w:divsChild>
                            <w:div w:id="214723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285317">
      <w:bodyDiv w:val="1"/>
      <w:marLeft w:val="0"/>
      <w:marRight w:val="0"/>
      <w:marTop w:val="0"/>
      <w:marBottom w:val="0"/>
      <w:divBdr>
        <w:top w:val="none" w:sz="0" w:space="0" w:color="auto"/>
        <w:left w:val="none" w:sz="0" w:space="0" w:color="auto"/>
        <w:bottom w:val="none" w:sz="0" w:space="0" w:color="auto"/>
        <w:right w:val="none" w:sz="0" w:space="0" w:color="auto"/>
      </w:divBdr>
      <w:divsChild>
        <w:div w:id="600335207">
          <w:marLeft w:val="274"/>
          <w:marRight w:val="0"/>
          <w:marTop w:val="38"/>
          <w:marBottom w:val="0"/>
          <w:divBdr>
            <w:top w:val="none" w:sz="0" w:space="0" w:color="auto"/>
            <w:left w:val="none" w:sz="0" w:space="0" w:color="auto"/>
            <w:bottom w:val="none" w:sz="0" w:space="0" w:color="auto"/>
            <w:right w:val="none" w:sz="0" w:space="0" w:color="auto"/>
          </w:divBdr>
        </w:div>
        <w:div w:id="675032903">
          <w:marLeft w:val="274"/>
          <w:marRight w:val="0"/>
          <w:marTop w:val="38"/>
          <w:marBottom w:val="0"/>
          <w:divBdr>
            <w:top w:val="none" w:sz="0" w:space="0" w:color="auto"/>
            <w:left w:val="none" w:sz="0" w:space="0" w:color="auto"/>
            <w:bottom w:val="none" w:sz="0" w:space="0" w:color="auto"/>
            <w:right w:val="none" w:sz="0" w:space="0" w:color="auto"/>
          </w:divBdr>
        </w:div>
        <w:div w:id="928807900">
          <w:marLeft w:val="274"/>
          <w:marRight w:val="0"/>
          <w:marTop w:val="38"/>
          <w:marBottom w:val="0"/>
          <w:divBdr>
            <w:top w:val="none" w:sz="0" w:space="0" w:color="auto"/>
            <w:left w:val="none" w:sz="0" w:space="0" w:color="auto"/>
            <w:bottom w:val="none" w:sz="0" w:space="0" w:color="auto"/>
            <w:right w:val="none" w:sz="0" w:space="0" w:color="auto"/>
          </w:divBdr>
        </w:div>
      </w:divsChild>
    </w:div>
    <w:div w:id="1572352304">
      <w:bodyDiv w:val="1"/>
      <w:marLeft w:val="0"/>
      <w:marRight w:val="0"/>
      <w:marTop w:val="0"/>
      <w:marBottom w:val="0"/>
      <w:divBdr>
        <w:top w:val="none" w:sz="0" w:space="0" w:color="auto"/>
        <w:left w:val="none" w:sz="0" w:space="0" w:color="auto"/>
        <w:bottom w:val="none" w:sz="0" w:space="0" w:color="auto"/>
        <w:right w:val="none" w:sz="0" w:space="0" w:color="auto"/>
      </w:divBdr>
    </w:div>
    <w:div w:id="1578513269">
      <w:bodyDiv w:val="1"/>
      <w:marLeft w:val="0"/>
      <w:marRight w:val="0"/>
      <w:marTop w:val="0"/>
      <w:marBottom w:val="0"/>
      <w:divBdr>
        <w:top w:val="none" w:sz="0" w:space="0" w:color="auto"/>
        <w:left w:val="none" w:sz="0" w:space="0" w:color="auto"/>
        <w:bottom w:val="none" w:sz="0" w:space="0" w:color="auto"/>
        <w:right w:val="none" w:sz="0" w:space="0" w:color="auto"/>
      </w:divBdr>
      <w:divsChild>
        <w:div w:id="788084839">
          <w:marLeft w:val="274"/>
          <w:marRight w:val="0"/>
          <w:marTop w:val="38"/>
          <w:marBottom w:val="0"/>
          <w:divBdr>
            <w:top w:val="none" w:sz="0" w:space="0" w:color="auto"/>
            <w:left w:val="none" w:sz="0" w:space="0" w:color="auto"/>
            <w:bottom w:val="none" w:sz="0" w:space="0" w:color="auto"/>
            <w:right w:val="none" w:sz="0" w:space="0" w:color="auto"/>
          </w:divBdr>
        </w:div>
      </w:divsChild>
    </w:div>
    <w:div w:id="1580870105">
      <w:bodyDiv w:val="1"/>
      <w:marLeft w:val="0"/>
      <w:marRight w:val="0"/>
      <w:marTop w:val="0"/>
      <w:marBottom w:val="0"/>
      <w:divBdr>
        <w:top w:val="none" w:sz="0" w:space="0" w:color="auto"/>
        <w:left w:val="none" w:sz="0" w:space="0" w:color="auto"/>
        <w:bottom w:val="none" w:sz="0" w:space="0" w:color="auto"/>
        <w:right w:val="none" w:sz="0" w:space="0" w:color="auto"/>
      </w:divBdr>
      <w:divsChild>
        <w:div w:id="782961434">
          <w:marLeft w:val="274"/>
          <w:marRight w:val="0"/>
          <w:marTop w:val="38"/>
          <w:marBottom w:val="0"/>
          <w:divBdr>
            <w:top w:val="none" w:sz="0" w:space="0" w:color="auto"/>
            <w:left w:val="none" w:sz="0" w:space="0" w:color="auto"/>
            <w:bottom w:val="none" w:sz="0" w:space="0" w:color="auto"/>
            <w:right w:val="none" w:sz="0" w:space="0" w:color="auto"/>
          </w:divBdr>
        </w:div>
      </w:divsChild>
    </w:div>
    <w:div w:id="1608348115">
      <w:bodyDiv w:val="1"/>
      <w:marLeft w:val="0"/>
      <w:marRight w:val="0"/>
      <w:marTop w:val="0"/>
      <w:marBottom w:val="0"/>
      <w:divBdr>
        <w:top w:val="none" w:sz="0" w:space="0" w:color="auto"/>
        <w:left w:val="none" w:sz="0" w:space="0" w:color="auto"/>
        <w:bottom w:val="none" w:sz="0" w:space="0" w:color="auto"/>
        <w:right w:val="none" w:sz="0" w:space="0" w:color="auto"/>
      </w:divBdr>
      <w:divsChild>
        <w:div w:id="972180284">
          <w:marLeft w:val="446"/>
          <w:marRight w:val="0"/>
          <w:marTop w:val="120"/>
          <w:marBottom w:val="0"/>
          <w:divBdr>
            <w:top w:val="none" w:sz="0" w:space="0" w:color="auto"/>
            <w:left w:val="none" w:sz="0" w:space="0" w:color="auto"/>
            <w:bottom w:val="none" w:sz="0" w:space="0" w:color="auto"/>
            <w:right w:val="none" w:sz="0" w:space="0" w:color="auto"/>
          </w:divBdr>
        </w:div>
      </w:divsChild>
    </w:div>
    <w:div w:id="1621761483">
      <w:bodyDiv w:val="1"/>
      <w:marLeft w:val="0"/>
      <w:marRight w:val="0"/>
      <w:marTop w:val="0"/>
      <w:marBottom w:val="0"/>
      <w:divBdr>
        <w:top w:val="none" w:sz="0" w:space="0" w:color="auto"/>
        <w:left w:val="none" w:sz="0" w:space="0" w:color="auto"/>
        <w:bottom w:val="none" w:sz="0" w:space="0" w:color="auto"/>
        <w:right w:val="none" w:sz="0" w:space="0" w:color="auto"/>
      </w:divBdr>
      <w:divsChild>
        <w:div w:id="247428690">
          <w:marLeft w:val="274"/>
          <w:marRight w:val="0"/>
          <w:marTop w:val="38"/>
          <w:marBottom w:val="0"/>
          <w:divBdr>
            <w:top w:val="none" w:sz="0" w:space="0" w:color="auto"/>
            <w:left w:val="none" w:sz="0" w:space="0" w:color="auto"/>
            <w:bottom w:val="none" w:sz="0" w:space="0" w:color="auto"/>
            <w:right w:val="none" w:sz="0" w:space="0" w:color="auto"/>
          </w:divBdr>
        </w:div>
      </w:divsChild>
    </w:div>
    <w:div w:id="1631283956">
      <w:bodyDiv w:val="1"/>
      <w:marLeft w:val="0"/>
      <w:marRight w:val="0"/>
      <w:marTop w:val="0"/>
      <w:marBottom w:val="0"/>
      <w:divBdr>
        <w:top w:val="none" w:sz="0" w:space="0" w:color="auto"/>
        <w:left w:val="none" w:sz="0" w:space="0" w:color="auto"/>
        <w:bottom w:val="none" w:sz="0" w:space="0" w:color="auto"/>
        <w:right w:val="none" w:sz="0" w:space="0" w:color="auto"/>
      </w:divBdr>
      <w:divsChild>
        <w:div w:id="1567449431">
          <w:marLeft w:val="274"/>
          <w:marRight w:val="0"/>
          <w:marTop w:val="38"/>
          <w:marBottom w:val="0"/>
          <w:divBdr>
            <w:top w:val="none" w:sz="0" w:space="0" w:color="auto"/>
            <w:left w:val="none" w:sz="0" w:space="0" w:color="auto"/>
            <w:bottom w:val="none" w:sz="0" w:space="0" w:color="auto"/>
            <w:right w:val="none" w:sz="0" w:space="0" w:color="auto"/>
          </w:divBdr>
        </w:div>
        <w:div w:id="1636175538">
          <w:marLeft w:val="994"/>
          <w:marRight w:val="0"/>
          <w:marTop w:val="38"/>
          <w:marBottom w:val="0"/>
          <w:divBdr>
            <w:top w:val="none" w:sz="0" w:space="0" w:color="auto"/>
            <w:left w:val="none" w:sz="0" w:space="0" w:color="auto"/>
            <w:bottom w:val="none" w:sz="0" w:space="0" w:color="auto"/>
            <w:right w:val="none" w:sz="0" w:space="0" w:color="auto"/>
          </w:divBdr>
        </w:div>
        <w:div w:id="1964537682">
          <w:marLeft w:val="994"/>
          <w:marRight w:val="0"/>
          <w:marTop w:val="38"/>
          <w:marBottom w:val="0"/>
          <w:divBdr>
            <w:top w:val="none" w:sz="0" w:space="0" w:color="auto"/>
            <w:left w:val="none" w:sz="0" w:space="0" w:color="auto"/>
            <w:bottom w:val="none" w:sz="0" w:space="0" w:color="auto"/>
            <w:right w:val="none" w:sz="0" w:space="0" w:color="auto"/>
          </w:divBdr>
        </w:div>
      </w:divsChild>
    </w:div>
    <w:div w:id="1638604518">
      <w:bodyDiv w:val="1"/>
      <w:marLeft w:val="0"/>
      <w:marRight w:val="0"/>
      <w:marTop w:val="0"/>
      <w:marBottom w:val="0"/>
      <w:divBdr>
        <w:top w:val="none" w:sz="0" w:space="0" w:color="auto"/>
        <w:left w:val="none" w:sz="0" w:space="0" w:color="auto"/>
        <w:bottom w:val="none" w:sz="0" w:space="0" w:color="auto"/>
        <w:right w:val="none" w:sz="0" w:space="0" w:color="auto"/>
      </w:divBdr>
    </w:div>
    <w:div w:id="1638872635">
      <w:bodyDiv w:val="1"/>
      <w:marLeft w:val="0"/>
      <w:marRight w:val="0"/>
      <w:marTop w:val="0"/>
      <w:marBottom w:val="0"/>
      <w:divBdr>
        <w:top w:val="none" w:sz="0" w:space="0" w:color="auto"/>
        <w:left w:val="none" w:sz="0" w:space="0" w:color="auto"/>
        <w:bottom w:val="none" w:sz="0" w:space="0" w:color="auto"/>
        <w:right w:val="none" w:sz="0" w:space="0" w:color="auto"/>
      </w:divBdr>
      <w:divsChild>
        <w:div w:id="743839671">
          <w:marLeft w:val="274"/>
          <w:marRight w:val="0"/>
          <w:marTop w:val="38"/>
          <w:marBottom w:val="0"/>
          <w:divBdr>
            <w:top w:val="none" w:sz="0" w:space="0" w:color="auto"/>
            <w:left w:val="none" w:sz="0" w:space="0" w:color="auto"/>
            <w:bottom w:val="none" w:sz="0" w:space="0" w:color="auto"/>
            <w:right w:val="none" w:sz="0" w:space="0" w:color="auto"/>
          </w:divBdr>
        </w:div>
      </w:divsChild>
    </w:div>
    <w:div w:id="1650986241">
      <w:bodyDiv w:val="1"/>
      <w:marLeft w:val="0"/>
      <w:marRight w:val="0"/>
      <w:marTop w:val="0"/>
      <w:marBottom w:val="0"/>
      <w:divBdr>
        <w:top w:val="none" w:sz="0" w:space="0" w:color="auto"/>
        <w:left w:val="none" w:sz="0" w:space="0" w:color="auto"/>
        <w:bottom w:val="none" w:sz="0" w:space="0" w:color="auto"/>
        <w:right w:val="none" w:sz="0" w:space="0" w:color="auto"/>
      </w:divBdr>
      <w:divsChild>
        <w:div w:id="893081635">
          <w:marLeft w:val="274"/>
          <w:marRight w:val="0"/>
          <w:marTop w:val="38"/>
          <w:marBottom w:val="0"/>
          <w:divBdr>
            <w:top w:val="none" w:sz="0" w:space="0" w:color="auto"/>
            <w:left w:val="none" w:sz="0" w:space="0" w:color="auto"/>
            <w:bottom w:val="none" w:sz="0" w:space="0" w:color="auto"/>
            <w:right w:val="none" w:sz="0" w:space="0" w:color="auto"/>
          </w:divBdr>
        </w:div>
      </w:divsChild>
    </w:div>
    <w:div w:id="1663772181">
      <w:bodyDiv w:val="1"/>
      <w:marLeft w:val="0"/>
      <w:marRight w:val="0"/>
      <w:marTop w:val="0"/>
      <w:marBottom w:val="0"/>
      <w:divBdr>
        <w:top w:val="none" w:sz="0" w:space="0" w:color="auto"/>
        <w:left w:val="none" w:sz="0" w:space="0" w:color="auto"/>
        <w:bottom w:val="none" w:sz="0" w:space="0" w:color="auto"/>
        <w:right w:val="none" w:sz="0" w:space="0" w:color="auto"/>
      </w:divBdr>
      <w:divsChild>
        <w:div w:id="214512594">
          <w:marLeft w:val="547"/>
          <w:marRight w:val="0"/>
          <w:marTop w:val="0"/>
          <w:marBottom w:val="0"/>
          <w:divBdr>
            <w:top w:val="none" w:sz="0" w:space="0" w:color="auto"/>
            <w:left w:val="none" w:sz="0" w:space="0" w:color="auto"/>
            <w:bottom w:val="none" w:sz="0" w:space="0" w:color="auto"/>
            <w:right w:val="none" w:sz="0" w:space="0" w:color="auto"/>
          </w:divBdr>
        </w:div>
        <w:div w:id="291593064">
          <w:marLeft w:val="547"/>
          <w:marRight w:val="0"/>
          <w:marTop w:val="0"/>
          <w:marBottom w:val="0"/>
          <w:divBdr>
            <w:top w:val="none" w:sz="0" w:space="0" w:color="auto"/>
            <w:left w:val="none" w:sz="0" w:space="0" w:color="auto"/>
            <w:bottom w:val="none" w:sz="0" w:space="0" w:color="auto"/>
            <w:right w:val="none" w:sz="0" w:space="0" w:color="auto"/>
          </w:divBdr>
        </w:div>
        <w:div w:id="777218588">
          <w:marLeft w:val="547"/>
          <w:marRight w:val="0"/>
          <w:marTop w:val="0"/>
          <w:marBottom w:val="0"/>
          <w:divBdr>
            <w:top w:val="none" w:sz="0" w:space="0" w:color="auto"/>
            <w:left w:val="none" w:sz="0" w:space="0" w:color="auto"/>
            <w:bottom w:val="none" w:sz="0" w:space="0" w:color="auto"/>
            <w:right w:val="none" w:sz="0" w:space="0" w:color="auto"/>
          </w:divBdr>
        </w:div>
        <w:div w:id="1321541370">
          <w:marLeft w:val="547"/>
          <w:marRight w:val="0"/>
          <w:marTop w:val="0"/>
          <w:marBottom w:val="0"/>
          <w:divBdr>
            <w:top w:val="none" w:sz="0" w:space="0" w:color="auto"/>
            <w:left w:val="none" w:sz="0" w:space="0" w:color="auto"/>
            <w:bottom w:val="none" w:sz="0" w:space="0" w:color="auto"/>
            <w:right w:val="none" w:sz="0" w:space="0" w:color="auto"/>
          </w:divBdr>
        </w:div>
        <w:div w:id="1443064625">
          <w:marLeft w:val="547"/>
          <w:marRight w:val="0"/>
          <w:marTop w:val="0"/>
          <w:marBottom w:val="0"/>
          <w:divBdr>
            <w:top w:val="none" w:sz="0" w:space="0" w:color="auto"/>
            <w:left w:val="none" w:sz="0" w:space="0" w:color="auto"/>
            <w:bottom w:val="none" w:sz="0" w:space="0" w:color="auto"/>
            <w:right w:val="none" w:sz="0" w:space="0" w:color="auto"/>
          </w:divBdr>
        </w:div>
        <w:div w:id="1990086078">
          <w:marLeft w:val="547"/>
          <w:marRight w:val="0"/>
          <w:marTop w:val="0"/>
          <w:marBottom w:val="0"/>
          <w:divBdr>
            <w:top w:val="none" w:sz="0" w:space="0" w:color="auto"/>
            <w:left w:val="none" w:sz="0" w:space="0" w:color="auto"/>
            <w:bottom w:val="none" w:sz="0" w:space="0" w:color="auto"/>
            <w:right w:val="none" w:sz="0" w:space="0" w:color="auto"/>
          </w:divBdr>
        </w:div>
        <w:div w:id="2005544582">
          <w:marLeft w:val="547"/>
          <w:marRight w:val="0"/>
          <w:marTop w:val="0"/>
          <w:marBottom w:val="0"/>
          <w:divBdr>
            <w:top w:val="none" w:sz="0" w:space="0" w:color="auto"/>
            <w:left w:val="none" w:sz="0" w:space="0" w:color="auto"/>
            <w:bottom w:val="none" w:sz="0" w:space="0" w:color="auto"/>
            <w:right w:val="none" w:sz="0" w:space="0" w:color="auto"/>
          </w:divBdr>
        </w:div>
      </w:divsChild>
    </w:div>
    <w:div w:id="1682320407">
      <w:bodyDiv w:val="1"/>
      <w:marLeft w:val="0"/>
      <w:marRight w:val="0"/>
      <w:marTop w:val="0"/>
      <w:marBottom w:val="0"/>
      <w:divBdr>
        <w:top w:val="none" w:sz="0" w:space="0" w:color="auto"/>
        <w:left w:val="none" w:sz="0" w:space="0" w:color="auto"/>
        <w:bottom w:val="none" w:sz="0" w:space="0" w:color="auto"/>
        <w:right w:val="none" w:sz="0" w:space="0" w:color="auto"/>
      </w:divBdr>
      <w:divsChild>
        <w:div w:id="46682743">
          <w:marLeft w:val="1166"/>
          <w:marRight w:val="0"/>
          <w:marTop w:val="58"/>
          <w:marBottom w:val="0"/>
          <w:divBdr>
            <w:top w:val="none" w:sz="0" w:space="0" w:color="auto"/>
            <w:left w:val="none" w:sz="0" w:space="0" w:color="auto"/>
            <w:bottom w:val="none" w:sz="0" w:space="0" w:color="auto"/>
            <w:right w:val="none" w:sz="0" w:space="0" w:color="auto"/>
          </w:divBdr>
        </w:div>
        <w:div w:id="750277147">
          <w:marLeft w:val="547"/>
          <w:marRight w:val="0"/>
          <w:marTop w:val="67"/>
          <w:marBottom w:val="0"/>
          <w:divBdr>
            <w:top w:val="none" w:sz="0" w:space="0" w:color="auto"/>
            <w:left w:val="none" w:sz="0" w:space="0" w:color="auto"/>
            <w:bottom w:val="none" w:sz="0" w:space="0" w:color="auto"/>
            <w:right w:val="none" w:sz="0" w:space="0" w:color="auto"/>
          </w:divBdr>
        </w:div>
        <w:div w:id="1129592555">
          <w:marLeft w:val="547"/>
          <w:marRight w:val="0"/>
          <w:marTop w:val="67"/>
          <w:marBottom w:val="0"/>
          <w:divBdr>
            <w:top w:val="none" w:sz="0" w:space="0" w:color="auto"/>
            <w:left w:val="none" w:sz="0" w:space="0" w:color="auto"/>
            <w:bottom w:val="none" w:sz="0" w:space="0" w:color="auto"/>
            <w:right w:val="none" w:sz="0" w:space="0" w:color="auto"/>
          </w:divBdr>
        </w:div>
        <w:div w:id="1608198198">
          <w:marLeft w:val="1166"/>
          <w:marRight w:val="0"/>
          <w:marTop w:val="58"/>
          <w:marBottom w:val="0"/>
          <w:divBdr>
            <w:top w:val="none" w:sz="0" w:space="0" w:color="auto"/>
            <w:left w:val="none" w:sz="0" w:space="0" w:color="auto"/>
            <w:bottom w:val="none" w:sz="0" w:space="0" w:color="auto"/>
            <w:right w:val="none" w:sz="0" w:space="0" w:color="auto"/>
          </w:divBdr>
        </w:div>
        <w:div w:id="1690450540">
          <w:marLeft w:val="547"/>
          <w:marRight w:val="0"/>
          <w:marTop w:val="67"/>
          <w:marBottom w:val="0"/>
          <w:divBdr>
            <w:top w:val="none" w:sz="0" w:space="0" w:color="auto"/>
            <w:left w:val="none" w:sz="0" w:space="0" w:color="auto"/>
            <w:bottom w:val="none" w:sz="0" w:space="0" w:color="auto"/>
            <w:right w:val="none" w:sz="0" w:space="0" w:color="auto"/>
          </w:divBdr>
        </w:div>
        <w:div w:id="1702516142">
          <w:marLeft w:val="547"/>
          <w:marRight w:val="0"/>
          <w:marTop w:val="67"/>
          <w:marBottom w:val="0"/>
          <w:divBdr>
            <w:top w:val="none" w:sz="0" w:space="0" w:color="auto"/>
            <w:left w:val="none" w:sz="0" w:space="0" w:color="auto"/>
            <w:bottom w:val="none" w:sz="0" w:space="0" w:color="auto"/>
            <w:right w:val="none" w:sz="0" w:space="0" w:color="auto"/>
          </w:divBdr>
        </w:div>
      </w:divsChild>
    </w:div>
    <w:div w:id="1684479831">
      <w:bodyDiv w:val="1"/>
      <w:marLeft w:val="0"/>
      <w:marRight w:val="0"/>
      <w:marTop w:val="0"/>
      <w:marBottom w:val="0"/>
      <w:divBdr>
        <w:top w:val="none" w:sz="0" w:space="0" w:color="auto"/>
        <w:left w:val="none" w:sz="0" w:space="0" w:color="auto"/>
        <w:bottom w:val="none" w:sz="0" w:space="0" w:color="auto"/>
        <w:right w:val="none" w:sz="0" w:space="0" w:color="auto"/>
      </w:divBdr>
      <w:divsChild>
        <w:div w:id="1317303640">
          <w:marLeft w:val="446"/>
          <w:marRight w:val="0"/>
          <w:marTop w:val="120"/>
          <w:marBottom w:val="0"/>
          <w:divBdr>
            <w:top w:val="none" w:sz="0" w:space="0" w:color="auto"/>
            <w:left w:val="none" w:sz="0" w:space="0" w:color="auto"/>
            <w:bottom w:val="none" w:sz="0" w:space="0" w:color="auto"/>
            <w:right w:val="none" w:sz="0" w:space="0" w:color="auto"/>
          </w:divBdr>
        </w:div>
      </w:divsChild>
    </w:div>
    <w:div w:id="1695304539">
      <w:bodyDiv w:val="1"/>
      <w:marLeft w:val="0"/>
      <w:marRight w:val="0"/>
      <w:marTop w:val="0"/>
      <w:marBottom w:val="0"/>
      <w:divBdr>
        <w:top w:val="none" w:sz="0" w:space="0" w:color="auto"/>
        <w:left w:val="none" w:sz="0" w:space="0" w:color="auto"/>
        <w:bottom w:val="none" w:sz="0" w:space="0" w:color="auto"/>
        <w:right w:val="none" w:sz="0" w:space="0" w:color="auto"/>
      </w:divBdr>
      <w:divsChild>
        <w:div w:id="1374386307">
          <w:marLeft w:val="274"/>
          <w:marRight w:val="0"/>
          <w:marTop w:val="38"/>
          <w:marBottom w:val="0"/>
          <w:divBdr>
            <w:top w:val="none" w:sz="0" w:space="0" w:color="auto"/>
            <w:left w:val="none" w:sz="0" w:space="0" w:color="auto"/>
            <w:bottom w:val="none" w:sz="0" w:space="0" w:color="auto"/>
            <w:right w:val="none" w:sz="0" w:space="0" w:color="auto"/>
          </w:divBdr>
        </w:div>
      </w:divsChild>
    </w:div>
    <w:div w:id="1702590964">
      <w:bodyDiv w:val="1"/>
      <w:marLeft w:val="0"/>
      <w:marRight w:val="0"/>
      <w:marTop w:val="0"/>
      <w:marBottom w:val="0"/>
      <w:divBdr>
        <w:top w:val="none" w:sz="0" w:space="0" w:color="auto"/>
        <w:left w:val="none" w:sz="0" w:space="0" w:color="auto"/>
        <w:bottom w:val="none" w:sz="0" w:space="0" w:color="auto"/>
        <w:right w:val="none" w:sz="0" w:space="0" w:color="auto"/>
      </w:divBdr>
      <w:divsChild>
        <w:div w:id="1868642441">
          <w:marLeft w:val="274"/>
          <w:marRight w:val="0"/>
          <w:marTop w:val="38"/>
          <w:marBottom w:val="0"/>
          <w:divBdr>
            <w:top w:val="none" w:sz="0" w:space="0" w:color="auto"/>
            <w:left w:val="none" w:sz="0" w:space="0" w:color="auto"/>
            <w:bottom w:val="none" w:sz="0" w:space="0" w:color="auto"/>
            <w:right w:val="none" w:sz="0" w:space="0" w:color="auto"/>
          </w:divBdr>
        </w:div>
      </w:divsChild>
    </w:div>
    <w:div w:id="1723212419">
      <w:bodyDiv w:val="1"/>
      <w:marLeft w:val="0"/>
      <w:marRight w:val="0"/>
      <w:marTop w:val="0"/>
      <w:marBottom w:val="0"/>
      <w:divBdr>
        <w:top w:val="none" w:sz="0" w:space="0" w:color="auto"/>
        <w:left w:val="none" w:sz="0" w:space="0" w:color="auto"/>
        <w:bottom w:val="none" w:sz="0" w:space="0" w:color="auto"/>
        <w:right w:val="none" w:sz="0" w:space="0" w:color="auto"/>
      </w:divBdr>
    </w:div>
    <w:div w:id="1752653847">
      <w:bodyDiv w:val="1"/>
      <w:marLeft w:val="0"/>
      <w:marRight w:val="0"/>
      <w:marTop w:val="0"/>
      <w:marBottom w:val="0"/>
      <w:divBdr>
        <w:top w:val="none" w:sz="0" w:space="0" w:color="auto"/>
        <w:left w:val="none" w:sz="0" w:space="0" w:color="auto"/>
        <w:bottom w:val="none" w:sz="0" w:space="0" w:color="auto"/>
        <w:right w:val="none" w:sz="0" w:space="0" w:color="auto"/>
      </w:divBdr>
      <w:divsChild>
        <w:div w:id="1932423185">
          <w:marLeft w:val="274"/>
          <w:marRight w:val="0"/>
          <w:marTop w:val="38"/>
          <w:marBottom w:val="0"/>
          <w:divBdr>
            <w:top w:val="none" w:sz="0" w:space="0" w:color="auto"/>
            <w:left w:val="none" w:sz="0" w:space="0" w:color="auto"/>
            <w:bottom w:val="none" w:sz="0" w:space="0" w:color="auto"/>
            <w:right w:val="none" w:sz="0" w:space="0" w:color="auto"/>
          </w:divBdr>
        </w:div>
      </w:divsChild>
    </w:div>
    <w:div w:id="1756239295">
      <w:bodyDiv w:val="1"/>
      <w:marLeft w:val="0"/>
      <w:marRight w:val="0"/>
      <w:marTop w:val="0"/>
      <w:marBottom w:val="0"/>
      <w:divBdr>
        <w:top w:val="none" w:sz="0" w:space="0" w:color="auto"/>
        <w:left w:val="none" w:sz="0" w:space="0" w:color="auto"/>
        <w:bottom w:val="none" w:sz="0" w:space="0" w:color="auto"/>
        <w:right w:val="none" w:sz="0" w:space="0" w:color="auto"/>
      </w:divBdr>
      <w:divsChild>
        <w:div w:id="2017803551">
          <w:marLeft w:val="274"/>
          <w:marRight w:val="0"/>
          <w:marTop w:val="38"/>
          <w:marBottom w:val="0"/>
          <w:divBdr>
            <w:top w:val="none" w:sz="0" w:space="0" w:color="auto"/>
            <w:left w:val="none" w:sz="0" w:space="0" w:color="auto"/>
            <w:bottom w:val="none" w:sz="0" w:space="0" w:color="auto"/>
            <w:right w:val="none" w:sz="0" w:space="0" w:color="auto"/>
          </w:divBdr>
        </w:div>
      </w:divsChild>
    </w:div>
    <w:div w:id="1762949924">
      <w:bodyDiv w:val="1"/>
      <w:marLeft w:val="0"/>
      <w:marRight w:val="0"/>
      <w:marTop w:val="0"/>
      <w:marBottom w:val="0"/>
      <w:divBdr>
        <w:top w:val="none" w:sz="0" w:space="0" w:color="auto"/>
        <w:left w:val="none" w:sz="0" w:space="0" w:color="auto"/>
        <w:bottom w:val="none" w:sz="0" w:space="0" w:color="auto"/>
        <w:right w:val="none" w:sz="0" w:space="0" w:color="auto"/>
      </w:divBdr>
      <w:divsChild>
        <w:div w:id="374163484">
          <w:marLeft w:val="274"/>
          <w:marRight w:val="0"/>
          <w:marTop w:val="38"/>
          <w:marBottom w:val="0"/>
          <w:divBdr>
            <w:top w:val="none" w:sz="0" w:space="0" w:color="auto"/>
            <w:left w:val="none" w:sz="0" w:space="0" w:color="auto"/>
            <w:bottom w:val="none" w:sz="0" w:space="0" w:color="auto"/>
            <w:right w:val="none" w:sz="0" w:space="0" w:color="auto"/>
          </w:divBdr>
        </w:div>
      </w:divsChild>
    </w:div>
    <w:div w:id="1767189629">
      <w:bodyDiv w:val="1"/>
      <w:marLeft w:val="0"/>
      <w:marRight w:val="0"/>
      <w:marTop w:val="0"/>
      <w:marBottom w:val="0"/>
      <w:divBdr>
        <w:top w:val="none" w:sz="0" w:space="0" w:color="auto"/>
        <w:left w:val="none" w:sz="0" w:space="0" w:color="auto"/>
        <w:bottom w:val="none" w:sz="0" w:space="0" w:color="auto"/>
        <w:right w:val="none" w:sz="0" w:space="0" w:color="auto"/>
      </w:divBdr>
    </w:div>
    <w:div w:id="1773478471">
      <w:bodyDiv w:val="1"/>
      <w:marLeft w:val="0"/>
      <w:marRight w:val="0"/>
      <w:marTop w:val="0"/>
      <w:marBottom w:val="0"/>
      <w:divBdr>
        <w:top w:val="none" w:sz="0" w:space="0" w:color="auto"/>
        <w:left w:val="none" w:sz="0" w:space="0" w:color="auto"/>
        <w:bottom w:val="none" w:sz="0" w:space="0" w:color="auto"/>
        <w:right w:val="none" w:sz="0" w:space="0" w:color="auto"/>
      </w:divBdr>
    </w:div>
    <w:div w:id="1782412399">
      <w:bodyDiv w:val="1"/>
      <w:marLeft w:val="0"/>
      <w:marRight w:val="0"/>
      <w:marTop w:val="0"/>
      <w:marBottom w:val="0"/>
      <w:divBdr>
        <w:top w:val="none" w:sz="0" w:space="0" w:color="auto"/>
        <w:left w:val="none" w:sz="0" w:space="0" w:color="auto"/>
        <w:bottom w:val="none" w:sz="0" w:space="0" w:color="auto"/>
        <w:right w:val="none" w:sz="0" w:space="0" w:color="auto"/>
      </w:divBdr>
      <w:divsChild>
        <w:div w:id="646665548">
          <w:marLeft w:val="274"/>
          <w:marRight w:val="0"/>
          <w:marTop w:val="38"/>
          <w:marBottom w:val="0"/>
          <w:divBdr>
            <w:top w:val="none" w:sz="0" w:space="0" w:color="auto"/>
            <w:left w:val="none" w:sz="0" w:space="0" w:color="auto"/>
            <w:bottom w:val="none" w:sz="0" w:space="0" w:color="auto"/>
            <w:right w:val="none" w:sz="0" w:space="0" w:color="auto"/>
          </w:divBdr>
        </w:div>
      </w:divsChild>
    </w:div>
    <w:div w:id="1798984050">
      <w:bodyDiv w:val="1"/>
      <w:marLeft w:val="0"/>
      <w:marRight w:val="0"/>
      <w:marTop w:val="0"/>
      <w:marBottom w:val="0"/>
      <w:divBdr>
        <w:top w:val="none" w:sz="0" w:space="0" w:color="auto"/>
        <w:left w:val="none" w:sz="0" w:space="0" w:color="auto"/>
        <w:bottom w:val="none" w:sz="0" w:space="0" w:color="auto"/>
        <w:right w:val="none" w:sz="0" w:space="0" w:color="auto"/>
      </w:divBdr>
    </w:div>
    <w:div w:id="1802650901">
      <w:bodyDiv w:val="1"/>
      <w:marLeft w:val="0"/>
      <w:marRight w:val="0"/>
      <w:marTop w:val="0"/>
      <w:marBottom w:val="0"/>
      <w:divBdr>
        <w:top w:val="none" w:sz="0" w:space="0" w:color="auto"/>
        <w:left w:val="none" w:sz="0" w:space="0" w:color="auto"/>
        <w:bottom w:val="none" w:sz="0" w:space="0" w:color="auto"/>
        <w:right w:val="none" w:sz="0" w:space="0" w:color="auto"/>
      </w:divBdr>
    </w:div>
    <w:div w:id="1804422003">
      <w:bodyDiv w:val="1"/>
      <w:marLeft w:val="0"/>
      <w:marRight w:val="0"/>
      <w:marTop w:val="0"/>
      <w:marBottom w:val="0"/>
      <w:divBdr>
        <w:top w:val="none" w:sz="0" w:space="0" w:color="auto"/>
        <w:left w:val="none" w:sz="0" w:space="0" w:color="auto"/>
        <w:bottom w:val="none" w:sz="0" w:space="0" w:color="auto"/>
        <w:right w:val="none" w:sz="0" w:space="0" w:color="auto"/>
      </w:divBdr>
      <w:divsChild>
        <w:div w:id="1779981274">
          <w:marLeft w:val="274"/>
          <w:marRight w:val="0"/>
          <w:marTop w:val="38"/>
          <w:marBottom w:val="0"/>
          <w:divBdr>
            <w:top w:val="none" w:sz="0" w:space="0" w:color="auto"/>
            <w:left w:val="none" w:sz="0" w:space="0" w:color="auto"/>
            <w:bottom w:val="none" w:sz="0" w:space="0" w:color="auto"/>
            <w:right w:val="none" w:sz="0" w:space="0" w:color="auto"/>
          </w:divBdr>
        </w:div>
      </w:divsChild>
    </w:div>
    <w:div w:id="1814367826">
      <w:bodyDiv w:val="1"/>
      <w:marLeft w:val="0"/>
      <w:marRight w:val="0"/>
      <w:marTop w:val="0"/>
      <w:marBottom w:val="0"/>
      <w:divBdr>
        <w:top w:val="none" w:sz="0" w:space="0" w:color="auto"/>
        <w:left w:val="none" w:sz="0" w:space="0" w:color="auto"/>
        <w:bottom w:val="none" w:sz="0" w:space="0" w:color="auto"/>
        <w:right w:val="none" w:sz="0" w:space="0" w:color="auto"/>
      </w:divBdr>
    </w:div>
    <w:div w:id="1815445136">
      <w:bodyDiv w:val="1"/>
      <w:marLeft w:val="0"/>
      <w:marRight w:val="0"/>
      <w:marTop w:val="0"/>
      <w:marBottom w:val="0"/>
      <w:divBdr>
        <w:top w:val="none" w:sz="0" w:space="0" w:color="auto"/>
        <w:left w:val="none" w:sz="0" w:space="0" w:color="auto"/>
        <w:bottom w:val="none" w:sz="0" w:space="0" w:color="auto"/>
        <w:right w:val="none" w:sz="0" w:space="0" w:color="auto"/>
      </w:divBdr>
      <w:divsChild>
        <w:div w:id="1600529280">
          <w:marLeft w:val="274"/>
          <w:marRight w:val="0"/>
          <w:marTop w:val="38"/>
          <w:marBottom w:val="0"/>
          <w:divBdr>
            <w:top w:val="none" w:sz="0" w:space="0" w:color="auto"/>
            <w:left w:val="none" w:sz="0" w:space="0" w:color="auto"/>
            <w:bottom w:val="none" w:sz="0" w:space="0" w:color="auto"/>
            <w:right w:val="none" w:sz="0" w:space="0" w:color="auto"/>
          </w:divBdr>
        </w:div>
      </w:divsChild>
    </w:div>
    <w:div w:id="1823692131">
      <w:bodyDiv w:val="1"/>
      <w:marLeft w:val="0"/>
      <w:marRight w:val="0"/>
      <w:marTop w:val="0"/>
      <w:marBottom w:val="0"/>
      <w:divBdr>
        <w:top w:val="none" w:sz="0" w:space="0" w:color="auto"/>
        <w:left w:val="none" w:sz="0" w:space="0" w:color="auto"/>
        <w:bottom w:val="none" w:sz="0" w:space="0" w:color="auto"/>
        <w:right w:val="none" w:sz="0" w:space="0" w:color="auto"/>
      </w:divBdr>
      <w:divsChild>
        <w:div w:id="770395381">
          <w:marLeft w:val="274"/>
          <w:marRight w:val="0"/>
          <w:marTop w:val="38"/>
          <w:marBottom w:val="0"/>
          <w:divBdr>
            <w:top w:val="none" w:sz="0" w:space="0" w:color="auto"/>
            <w:left w:val="none" w:sz="0" w:space="0" w:color="auto"/>
            <w:bottom w:val="none" w:sz="0" w:space="0" w:color="auto"/>
            <w:right w:val="none" w:sz="0" w:space="0" w:color="auto"/>
          </w:divBdr>
        </w:div>
      </w:divsChild>
    </w:div>
    <w:div w:id="1843426551">
      <w:bodyDiv w:val="1"/>
      <w:marLeft w:val="0"/>
      <w:marRight w:val="0"/>
      <w:marTop w:val="0"/>
      <w:marBottom w:val="0"/>
      <w:divBdr>
        <w:top w:val="none" w:sz="0" w:space="0" w:color="auto"/>
        <w:left w:val="none" w:sz="0" w:space="0" w:color="auto"/>
        <w:bottom w:val="none" w:sz="0" w:space="0" w:color="auto"/>
        <w:right w:val="none" w:sz="0" w:space="0" w:color="auto"/>
      </w:divBdr>
    </w:div>
    <w:div w:id="1844279605">
      <w:bodyDiv w:val="1"/>
      <w:marLeft w:val="0"/>
      <w:marRight w:val="0"/>
      <w:marTop w:val="0"/>
      <w:marBottom w:val="0"/>
      <w:divBdr>
        <w:top w:val="none" w:sz="0" w:space="0" w:color="auto"/>
        <w:left w:val="none" w:sz="0" w:space="0" w:color="auto"/>
        <w:bottom w:val="none" w:sz="0" w:space="0" w:color="auto"/>
        <w:right w:val="none" w:sz="0" w:space="0" w:color="auto"/>
      </w:divBdr>
    </w:div>
    <w:div w:id="1857037916">
      <w:bodyDiv w:val="1"/>
      <w:marLeft w:val="0"/>
      <w:marRight w:val="0"/>
      <w:marTop w:val="0"/>
      <w:marBottom w:val="0"/>
      <w:divBdr>
        <w:top w:val="none" w:sz="0" w:space="0" w:color="auto"/>
        <w:left w:val="none" w:sz="0" w:space="0" w:color="auto"/>
        <w:bottom w:val="none" w:sz="0" w:space="0" w:color="auto"/>
        <w:right w:val="none" w:sz="0" w:space="0" w:color="auto"/>
      </w:divBdr>
      <w:divsChild>
        <w:div w:id="130631591">
          <w:marLeft w:val="274"/>
          <w:marRight w:val="0"/>
          <w:marTop w:val="38"/>
          <w:marBottom w:val="0"/>
          <w:divBdr>
            <w:top w:val="none" w:sz="0" w:space="0" w:color="auto"/>
            <w:left w:val="none" w:sz="0" w:space="0" w:color="auto"/>
            <w:bottom w:val="none" w:sz="0" w:space="0" w:color="auto"/>
            <w:right w:val="none" w:sz="0" w:space="0" w:color="auto"/>
          </w:divBdr>
        </w:div>
        <w:div w:id="1097948440">
          <w:marLeft w:val="274"/>
          <w:marRight w:val="0"/>
          <w:marTop w:val="38"/>
          <w:marBottom w:val="0"/>
          <w:divBdr>
            <w:top w:val="none" w:sz="0" w:space="0" w:color="auto"/>
            <w:left w:val="none" w:sz="0" w:space="0" w:color="auto"/>
            <w:bottom w:val="none" w:sz="0" w:space="0" w:color="auto"/>
            <w:right w:val="none" w:sz="0" w:space="0" w:color="auto"/>
          </w:divBdr>
        </w:div>
      </w:divsChild>
    </w:div>
    <w:div w:id="1862277261">
      <w:bodyDiv w:val="1"/>
      <w:marLeft w:val="0"/>
      <w:marRight w:val="0"/>
      <w:marTop w:val="0"/>
      <w:marBottom w:val="0"/>
      <w:divBdr>
        <w:top w:val="none" w:sz="0" w:space="0" w:color="auto"/>
        <w:left w:val="none" w:sz="0" w:space="0" w:color="auto"/>
        <w:bottom w:val="none" w:sz="0" w:space="0" w:color="auto"/>
        <w:right w:val="none" w:sz="0" w:space="0" w:color="auto"/>
      </w:divBdr>
      <w:divsChild>
        <w:div w:id="1336760115">
          <w:marLeft w:val="274"/>
          <w:marRight w:val="0"/>
          <w:marTop w:val="38"/>
          <w:marBottom w:val="0"/>
          <w:divBdr>
            <w:top w:val="none" w:sz="0" w:space="0" w:color="auto"/>
            <w:left w:val="none" w:sz="0" w:space="0" w:color="auto"/>
            <w:bottom w:val="none" w:sz="0" w:space="0" w:color="auto"/>
            <w:right w:val="none" w:sz="0" w:space="0" w:color="auto"/>
          </w:divBdr>
        </w:div>
      </w:divsChild>
    </w:div>
    <w:div w:id="1862667587">
      <w:bodyDiv w:val="1"/>
      <w:marLeft w:val="0"/>
      <w:marRight w:val="0"/>
      <w:marTop w:val="0"/>
      <w:marBottom w:val="0"/>
      <w:divBdr>
        <w:top w:val="none" w:sz="0" w:space="0" w:color="auto"/>
        <w:left w:val="none" w:sz="0" w:space="0" w:color="auto"/>
        <w:bottom w:val="none" w:sz="0" w:space="0" w:color="auto"/>
        <w:right w:val="none" w:sz="0" w:space="0" w:color="auto"/>
      </w:divBdr>
    </w:div>
    <w:div w:id="1866670880">
      <w:bodyDiv w:val="1"/>
      <w:marLeft w:val="0"/>
      <w:marRight w:val="0"/>
      <w:marTop w:val="0"/>
      <w:marBottom w:val="0"/>
      <w:divBdr>
        <w:top w:val="none" w:sz="0" w:space="0" w:color="auto"/>
        <w:left w:val="none" w:sz="0" w:space="0" w:color="auto"/>
        <w:bottom w:val="none" w:sz="0" w:space="0" w:color="auto"/>
        <w:right w:val="none" w:sz="0" w:space="0" w:color="auto"/>
      </w:divBdr>
    </w:div>
    <w:div w:id="1877622726">
      <w:bodyDiv w:val="1"/>
      <w:marLeft w:val="0"/>
      <w:marRight w:val="0"/>
      <w:marTop w:val="0"/>
      <w:marBottom w:val="0"/>
      <w:divBdr>
        <w:top w:val="none" w:sz="0" w:space="0" w:color="auto"/>
        <w:left w:val="none" w:sz="0" w:space="0" w:color="auto"/>
        <w:bottom w:val="none" w:sz="0" w:space="0" w:color="auto"/>
        <w:right w:val="none" w:sz="0" w:space="0" w:color="auto"/>
      </w:divBdr>
      <w:divsChild>
        <w:div w:id="1400395715">
          <w:marLeft w:val="274"/>
          <w:marRight w:val="0"/>
          <w:marTop w:val="38"/>
          <w:marBottom w:val="0"/>
          <w:divBdr>
            <w:top w:val="none" w:sz="0" w:space="0" w:color="auto"/>
            <w:left w:val="none" w:sz="0" w:space="0" w:color="auto"/>
            <w:bottom w:val="none" w:sz="0" w:space="0" w:color="auto"/>
            <w:right w:val="none" w:sz="0" w:space="0" w:color="auto"/>
          </w:divBdr>
        </w:div>
      </w:divsChild>
    </w:div>
    <w:div w:id="1884056274">
      <w:bodyDiv w:val="1"/>
      <w:marLeft w:val="0"/>
      <w:marRight w:val="0"/>
      <w:marTop w:val="0"/>
      <w:marBottom w:val="0"/>
      <w:divBdr>
        <w:top w:val="none" w:sz="0" w:space="0" w:color="auto"/>
        <w:left w:val="none" w:sz="0" w:space="0" w:color="auto"/>
        <w:bottom w:val="none" w:sz="0" w:space="0" w:color="auto"/>
        <w:right w:val="none" w:sz="0" w:space="0" w:color="auto"/>
      </w:divBdr>
      <w:divsChild>
        <w:div w:id="1165515512">
          <w:marLeft w:val="274"/>
          <w:marRight w:val="0"/>
          <w:marTop w:val="38"/>
          <w:marBottom w:val="0"/>
          <w:divBdr>
            <w:top w:val="none" w:sz="0" w:space="0" w:color="auto"/>
            <w:left w:val="none" w:sz="0" w:space="0" w:color="auto"/>
            <w:bottom w:val="none" w:sz="0" w:space="0" w:color="auto"/>
            <w:right w:val="none" w:sz="0" w:space="0" w:color="auto"/>
          </w:divBdr>
        </w:div>
      </w:divsChild>
    </w:div>
    <w:div w:id="1886603294">
      <w:bodyDiv w:val="1"/>
      <w:marLeft w:val="0"/>
      <w:marRight w:val="0"/>
      <w:marTop w:val="0"/>
      <w:marBottom w:val="0"/>
      <w:divBdr>
        <w:top w:val="none" w:sz="0" w:space="0" w:color="auto"/>
        <w:left w:val="none" w:sz="0" w:space="0" w:color="auto"/>
        <w:bottom w:val="none" w:sz="0" w:space="0" w:color="auto"/>
        <w:right w:val="none" w:sz="0" w:space="0" w:color="auto"/>
      </w:divBdr>
    </w:div>
    <w:div w:id="1901557720">
      <w:bodyDiv w:val="1"/>
      <w:marLeft w:val="0"/>
      <w:marRight w:val="0"/>
      <w:marTop w:val="0"/>
      <w:marBottom w:val="0"/>
      <w:divBdr>
        <w:top w:val="none" w:sz="0" w:space="0" w:color="auto"/>
        <w:left w:val="none" w:sz="0" w:space="0" w:color="auto"/>
        <w:bottom w:val="none" w:sz="0" w:space="0" w:color="auto"/>
        <w:right w:val="none" w:sz="0" w:space="0" w:color="auto"/>
      </w:divBdr>
      <w:divsChild>
        <w:div w:id="726536952">
          <w:marLeft w:val="446"/>
          <w:marRight w:val="0"/>
          <w:marTop w:val="120"/>
          <w:marBottom w:val="0"/>
          <w:divBdr>
            <w:top w:val="none" w:sz="0" w:space="0" w:color="auto"/>
            <w:left w:val="none" w:sz="0" w:space="0" w:color="auto"/>
            <w:bottom w:val="none" w:sz="0" w:space="0" w:color="auto"/>
            <w:right w:val="none" w:sz="0" w:space="0" w:color="auto"/>
          </w:divBdr>
        </w:div>
        <w:div w:id="1684353617">
          <w:marLeft w:val="1166"/>
          <w:marRight w:val="0"/>
          <w:marTop w:val="120"/>
          <w:marBottom w:val="0"/>
          <w:divBdr>
            <w:top w:val="none" w:sz="0" w:space="0" w:color="auto"/>
            <w:left w:val="none" w:sz="0" w:space="0" w:color="auto"/>
            <w:bottom w:val="none" w:sz="0" w:space="0" w:color="auto"/>
            <w:right w:val="none" w:sz="0" w:space="0" w:color="auto"/>
          </w:divBdr>
        </w:div>
        <w:div w:id="1402286572">
          <w:marLeft w:val="1166"/>
          <w:marRight w:val="0"/>
          <w:marTop w:val="120"/>
          <w:marBottom w:val="0"/>
          <w:divBdr>
            <w:top w:val="none" w:sz="0" w:space="0" w:color="auto"/>
            <w:left w:val="none" w:sz="0" w:space="0" w:color="auto"/>
            <w:bottom w:val="none" w:sz="0" w:space="0" w:color="auto"/>
            <w:right w:val="none" w:sz="0" w:space="0" w:color="auto"/>
          </w:divBdr>
        </w:div>
        <w:div w:id="1350254444">
          <w:marLeft w:val="1166"/>
          <w:marRight w:val="0"/>
          <w:marTop w:val="120"/>
          <w:marBottom w:val="0"/>
          <w:divBdr>
            <w:top w:val="none" w:sz="0" w:space="0" w:color="auto"/>
            <w:left w:val="none" w:sz="0" w:space="0" w:color="auto"/>
            <w:bottom w:val="none" w:sz="0" w:space="0" w:color="auto"/>
            <w:right w:val="none" w:sz="0" w:space="0" w:color="auto"/>
          </w:divBdr>
        </w:div>
        <w:div w:id="1975017787">
          <w:marLeft w:val="1166"/>
          <w:marRight w:val="0"/>
          <w:marTop w:val="120"/>
          <w:marBottom w:val="0"/>
          <w:divBdr>
            <w:top w:val="none" w:sz="0" w:space="0" w:color="auto"/>
            <w:left w:val="none" w:sz="0" w:space="0" w:color="auto"/>
            <w:bottom w:val="none" w:sz="0" w:space="0" w:color="auto"/>
            <w:right w:val="none" w:sz="0" w:space="0" w:color="auto"/>
          </w:divBdr>
        </w:div>
        <w:div w:id="2059351567">
          <w:marLeft w:val="1166"/>
          <w:marRight w:val="0"/>
          <w:marTop w:val="120"/>
          <w:marBottom w:val="0"/>
          <w:divBdr>
            <w:top w:val="none" w:sz="0" w:space="0" w:color="auto"/>
            <w:left w:val="none" w:sz="0" w:space="0" w:color="auto"/>
            <w:bottom w:val="none" w:sz="0" w:space="0" w:color="auto"/>
            <w:right w:val="none" w:sz="0" w:space="0" w:color="auto"/>
          </w:divBdr>
        </w:div>
      </w:divsChild>
    </w:div>
    <w:div w:id="1916351715">
      <w:bodyDiv w:val="1"/>
      <w:marLeft w:val="0"/>
      <w:marRight w:val="0"/>
      <w:marTop w:val="0"/>
      <w:marBottom w:val="0"/>
      <w:divBdr>
        <w:top w:val="none" w:sz="0" w:space="0" w:color="auto"/>
        <w:left w:val="none" w:sz="0" w:space="0" w:color="auto"/>
        <w:bottom w:val="none" w:sz="0" w:space="0" w:color="auto"/>
        <w:right w:val="none" w:sz="0" w:space="0" w:color="auto"/>
      </w:divBdr>
      <w:divsChild>
        <w:div w:id="634139244">
          <w:marLeft w:val="274"/>
          <w:marRight w:val="0"/>
          <w:marTop w:val="38"/>
          <w:marBottom w:val="0"/>
          <w:divBdr>
            <w:top w:val="none" w:sz="0" w:space="0" w:color="auto"/>
            <w:left w:val="none" w:sz="0" w:space="0" w:color="auto"/>
            <w:bottom w:val="none" w:sz="0" w:space="0" w:color="auto"/>
            <w:right w:val="none" w:sz="0" w:space="0" w:color="auto"/>
          </w:divBdr>
        </w:div>
        <w:div w:id="1058287109">
          <w:marLeft w:val="274"/>
          <w:marRight w:val="0"/>
          <w:marTop w:val="38"/>
          <w:marBottom w:val="0"/>
          <w:divBdr>
            <w:top w:val="none" w:sz="0" w:space="0" w:color="auto"/>
            <w:left w:val="none" w:sz="0" w:space="0" w:color="auto"/>
            <w:bottom w:val="none" w:sz="0" w:space="0" w:color="auto"/>
            <w:right w:val="none" w:sz="0" w:space="0" w:color="auto"/>
          </w:divBdr>
        </w:div>
        <w:div w:id="1984771645">
          <w:marLeft w:val="274"/>
          <w:marRight w:val="0"/>
          <w:marTop w:val="38"/>
          <w:marBottom w:val="0"/>
          <w:divBdr>
            <w:top w:val="none" w:sz="0" w:space="0" w:color="auto"/>
            <w:left w:val="none" w:sz="0" w:space="0" w:color="auto"/>
            <w:bottom w:val="none" w:sz="0" w:space="0" w:color="auto"/>
            <w:right w:val="none" w:sz="0" w:space="0" w:color="auto"/>
          </w:divBdr>
        </w:div>
      </w:divsChild>
    </w:div>
    <w:div w:id="1923678335">
      <w:bodyDiv w:val="1"/>
      <w:marLeft w:val="0"/>
      <w:marRight w:val="0"/>
      <w:marTop w:val="0"/>
      <w:marBottom w:val="0"/>
      <w:divBdr>
        <w:top w:val="none" w:sz="0" w:space="0" w:color="auto"/>
        <w:left w:val="none" w:sz="0" w:space="0" w:color="auto"/>
        <w:bottom w:val="none" w:sz="0" w:space="0" w:color="auto"/>
        <w:right w:val="none" w:sz="0" w:space="0" w:color="auto"/>
      </w:divBdr>
    </w:div>
    <w:div w:id="1941714944">
      <w:bodyDiv w:val="1"/>
      <w:marLeft w:val="0"/>
      <w:marRight w:val="0"/>
      <w:marTop w:val="0"/>
      <w:marBottom w:val="0"/>
      <w:divBdr>
        <w:top w:val="none" w:sz="0" w:space="0" w:color="auto"/>
        <w:left w:val="none" w:sz="0" w:space="0" w:color="auto"/>
        <w:bottom w:val="none" w:sz="0" w:space="0" w:color="auto"/>
        <w:right w:val="none" w:sz="0" w:space="0" w:color="auto"/>
      </w:divBdr>
      <w:divsChild>
        <w:div w:id="975181939">
          <w:marLeft w:val="274"/>
          <w:marRight w:val="0"/>
          <w:marTop w:val="38"/>
          <w:marBottom w:val="0"/>
          <w:divBdr>
            <w:top w:val="none" w:sz="0" w:space="0" w:color="auto"/>
            <w:left w:val="none" w:sz="0" w:space="0" w:color="auto"/>
            <w:bottom w:val="none" w:sz="0" w:space="0" w:color="auto"/>
            <w:right w:val="none" w:sz="0" w:space="0" w:color="auto"/>
          </w:divBdr>
        </w:div>
      </w:divsChild>
    </w:div>
    <w:div w:id="1944535796">
      <w:bodyDiv w:val="1"/>
      <w:marLeft w:val="0"/>
      <w:marRight w:val="0"/>
      <w:marTop w:val="0"/>
      <w:marBottom w:val="0"/>
      <w:divBdr>
        <w:top w:val="none" w:sz="0" w:space="0" w:color="auto"/>
        <w:left w:val="none" w:sz="0" w:space="0" w:color="auto"/>
        <w:bottom w:val="none" w:sz="0" w:space="0" w:color="auto"/>
        <w:right w:val="none" w:sz="0" w:space="0" w:color="auto"/>
      </w:divBdr>
      <w:divsChild>
        <w:div w:id="1464346443">
          <w:marLeft w:val="274"/>
          <w:marRight w:val="0"/>
          <w:marTop w:val="38"/>
          <w:marBottom w:val="0"/>
          <w:divBdr>
            <w:top w:val="none" w:sz="0" w:space="0" w:color="auto"/>
            <w:left w:val="none" w:sz="0" w:space="0" w:color="auto"/>
            <w:bottom w:val="none" w:sz="0" w:space="0" w:color="auto"/>
            <w:right w:val="none" w:sz="0" w:space="0" w:color="auto"/>
          </w:divBdr>
        </w:div>
      </w:divsChild>
    </w:div>
    <w:div w:id="1955092985">
      <w:bodyDiv w:val="1"/>
      <w:marLeft w:val="0"/>
      <w:marRight w:val="0"/>
      <w:marTop w:val="0"/>
      <w:marBottom w:val="0"/>
      <w:divBdr>
        <w:top w:val="none" w:sz="0" w:space="0" w:color="auto"/>
        <w:left w:val="none" w:sz="0" w:space="0" w:color="auto"/>
        <w:bottom w:val="none" w:sz="0" w:space="0" w:color="auto"/>
        <w:right w:val="none" w:sz="0" w:space="0" w:color="auto"/>
      </w:divBdr>
    </w:div>
    <w:div w:id="1962875358">
      <w:bodyDiv w:val="1"/>
      <w:marLeft w:val="0"/>
      <w:marRight w:val="0"/>
      <w:marTop w:val="0"/>
      <w:marBottom w:val="0"/>
      <w:divBdr>
        <w:top w:val="none" w:sz="0" w:space="0" w:color="auto"/>
        <w:left w:val="none" w:sz="0" w:space="0" w:color="auto"/>
        <w:bottom w:val="none" w:sz="0" w:space="0" w:color="auto"/>
        <w:right w:val="none" w:sz="0" w:space="0" w:color="auto"/>
      </w:divBdr>
      <w:divsChild>
        <w:div w:id="393747698">
          <w:marLeft w:val="274"/>
          <w:marRight w:val="0"/>
          <w:marTop w:val="38"/>
          <w:marBottom w:val="0"/>
          <w:divBdr>
            <w:top w:val="none" w:sz="0" w:space="0" w:color="auto"/>
            <w:left w:val="none" w:sz="0" w:space="0" w:color="auto"/>
            <w:bottom w:val="none" w:sz="0" w:space="0" w:color="auto"/>
            <w:right w:val="none" w:sz="0" w:space="0" w:color="auto"/>
          </w:divBdr>
        </w:div>
        <w:div w:id="567228686">
          <w:marLeft w:val="274"/>
          <w:marRight w:val="0"/>
          <w:marTop w:val="38"/>
          <w:marBottom w:val="0"/>
          <w:divBdr>
            <w:top w:val="none" w:sz="0" w:space="0" w:color="auto"/>
            <w:left w:val="none" w:sz="0" w:space="0" w:color="auto"/>
            <w:bottom w:val="none" w:sz="0" w:space="0" w:color="auto"/>
            <w:right w:val="none" w:sz="0" w:space="0" w:color="auto"/>
          </w:divBdr>
        </w:div>
        <w:div w:id="1186863515">
          <w:marLeft w:val="274"/>
          <w:marRight w:val="0"/>
          <w:marTop w:val="38"/>
          <w:marBottom w:val="0"/>
          <w:divBdr>
            <w:top w:val="none" w:sz="0" w:space="0" w:color="auto"/>
            <w:left w:val="none" w:sz="0" w:space="0" w:color="auto"/>
            <w:bottom w:val="none" w:sz="0" w:space="0" w:color="auto"/>
            <w:right w:val="none" w:sz="0" w:space="0" w:color="auto"/>
          </w:divBdr>
        </w:div>
      </w:divsChild>
    </w:div>
    <w:div w:id="1962876693">
      <w:bodyDiv w:val="1"/>
      <w:marLeft w:val="0"/>
      <w:marRight w:val="0"/>
      <w:marTop w:val="0"/>
      <w:marBottom w:val="0"/>
      <w:divBdr>
        <w:top w:val="none" w:sz="0" w:space="0" w:color="auto"/>
        <w:left w:val="none" w:sz="0" w:space="0" w:color="auto"/>
        <w:bottom w:val="none" w:sz="0" w:space="0" w:color="auto"/>
        <w:right w:val="none" w:sz="0" w:space="0" w:color="auto"/>
      </w:divBdr>
    </w:div>
    <w:div w:id="1964337881">
      <w:bodyDiv w:val="1"/>
      <w:marLeft w:val="0"/>
      <w:marRight w:val="0"/>
      <w:marTop w:val="0"/>
      <w:marBottom w:val="0"/>
      <w:divBdr>
        <w:top w:val="none" w:sz="0" w:space="0" w:color="auto"/>
        <w:left w:val="none" w:sz="0" w:space="0" w:color="auto"/>
        <w:bottom w:val="none" w:sz="0" w:space="0" w:color="auto"/>
        <w:right w:val="none" w:sz="0" w:space="0" w:color="auto"/>
      </w:divBdr>
    </w:div>
    <w:div w:id="1965572865">
      <w:bodyDiv w:val="1"/>
      <w:marLeft w:val="0"/>
      <w:marRight w:val="0"/>
      <w:marTop w:val="0"/>
      <w:marBottom w:val="0"/>
      <w:divBdr>
        <w:top w:val="none" w:sz="0" w:space="0" w:color="auto"/>
        <w:left w:val="none" w:sz="0" w:space="0" w:color="auto"/>
        <w:bottom w:val="none" w:sz="0" w:space="0" w:color="auto"/>
        <w:right w:val="none" w:sz="0" w:space="0" w:color="auto"/>
      </w:divBdr>
      <w:divsChild>
        <w:div w:id="603852627">
          <w:marLeft w:val="274"/>
          <w:marRight w:val="0"/>
          <w:marTop w:val="38"/>
          <w:marBottom w:val="0"/>
          <w:divBdr>
            <w:top w:val="none" w:sz="0" w:space="0" w:color="auto"/>
            <w:left w:val="none" w:sz="0" w:space="0" w:color="auto"/>
            <w:bottom w:val="none" w:sz="0" w:space="0" w:color="auto"/>
            <w:right w:val="none" w:sz="0" w:space="0" w:color="auto"/>
          </w:divBdr>
        </w:div>
      </w:divsChild>
    </w:div>
    <w:div w:id="1988893878">
      <w:bodyDiv w:val="1"/>
      <w:marLeft w:val="0"/>
      <w:marRight w:val="0"/>
      <w:marTop w:val="0"/>
      <w:marBottom w:val="0"/>
      <w:divBdr>
        <w:top w:val="none" w:sz="0" w:space="0" w:color="auto"/>
        <w:left w:val="none" w:sz="0" w:space="0" w:color="auto"/>
        <w:bottom w:val="none" w:sz="0" w:space="0" w:color="auto"/>
        <w:right w:val="none" w:sz="0" w:space="0" w:color="auto"/>
      </w:divBdr>
    </w:div>
    <w:div w:id="1997368531">
      <w:bodyDiv w:val="1"/>
      <w:marLeft w:val="0"/>
      <w:marRight w:val="0"/>
      <w:marTop w:val="0"/>
      <w:marBottom w:val="0"/>
      <w:divBdr>
        <w:top w:val="none" w:sz="0" w:space="0" w:color="auto"/>
        <w:left w:val="none" w:sz="0" w:space="0" w:color="auto"/>
        <w:bottom w:val="none" w:sz="0" w:space="0" w:color="auto"/>
        <w:right w:val="none" w:sz="0" w:space="0" w:color="auto"/>
      </w:divBdr>
      <w:divsChild>
        <w:div w:id="1156458432">
          <w:marLeft w:val="274"/>
          <w:marRight w:val="0"/>
          <w:marTop w:val="38"/>
          <w:marBottom w:val="0"/>
          <w:divBdr>
            <w:top w:val="none" w:sz="0" w:space="0" w:color="auto"/>
            <w:left w:val="none" w:sz="0" w:space="0" w:color="auto"/>
            <w:bottom w:val="none" w:sz="0" w:space="0" w:color="auto"/>
            <w:right w:val="none" w:sz="0" w:space="0" w:color="auto"/>
          </w:divBdr>
        </w:div>
        <w:div w:id="1866020355">
          <w:marLeft w:val="274"/>
          <w:marRight w:val="0"/>
          <w:marTop w:val="38"/>
          <w:marBottom w:val="0"/>
          <w:divBdr>
            <w:top w:val="none" w:sz="0" w:space="0" w:color="auto"/>
            <w:left w:val="none" w:sz="0" w:space="0" w:color="auto"/>
            <w:bottom w:val="none" w:sz="0" w:space="0" w:color="auto"/>
            <w:right w:val="none" w:sz="0" w:space="0" w:color="auto"/>
          </w:divBdr>
        </w:div>
      </w:divsChild>
    </w:div>
    <w:div w:id="2001537106">
      <w:bodyDiv w:val="1"/>
      <w:marLeft w:val="0"/>
      <w:marRight w:val="0"/>
      <w:marTop w:val="0"/>
      <w:marBottom w:val="0"/>
      <w:divBdr>
        <w:top w:val="none" w:sz="0" w:space="0" w:color="auto"/>
        <w:left w:val="none" w:sz="0" w:space="0" w:color="auto"/>
        <w:bottom w:val="none" w:sz="0" w:space="0" w:color="auto"/>
        <w:right w:val="none" w:sz="0" w:space="0" w:color="auto"/>
      </w:divBdr>
      <w:divsChild>
        <w:div w:id="48848328">
          <w:marLeft w:val="274"/>
          <w:marRight w:val="0"/>
          <w:marTop w:val="38"/>
          <w:marBottom w:val="0"/>
          <w:divBdr>
            <w:top w:val="none" w:sz="0" w:space="0" w:color="auto"/>
            <w:left w:val="none" w:sz="0" w:space="0" w:color="auto"/>
            <w:bottom w:val="none" w:sz="0" w:space="0" w:color="auto"/>
            <w:right w:val="none" w:sz="0" w:space="0" w:color="auto"/>
          </w:divBdr>
        </w:div>
        <w:div w:id="902906445">
          <w:marLeft w:val="274"/>
          <w:marRight w:val="0"/>
          <w:marTop w:val="38"/>
          <w:marBottom w:val="0"/>
          <w:divBdr>
            <w:top w:val="none" w:sz="0" w:space="0" w:color="auto"/>
            <w:left w:val="none" w:sz="0" w:space="0" w:color="auto"/>
            <w:bottom w:val="none" w:sz="0" w:space="0" w:color="auto"/>
            <w:right w:val="none" w:sz="0" w:space="0" w:color="auto"/>
          </w:divBdr>
        </w:div>
      </w:divsChild>
    </w:div>
    <w:div w:id="2006081705">
      <w:bodyDiv w:val="1"/>
      <w:marLeft w:val="0"/>
      <w:marRight w:val="0"/>
      <w:marTop w:val="0"/>
      <w:marBottom w:val="0"/>
      <w:divBdr>
        <w:top w:val="none" w:sz="0" w:space="0" w:color="auto"/>
        <w:left w:val="none" w:sz="0" w:space="0" w:color="auto"/>
        <w:bottom w:val="none" w:sz="0" w:space="0" w:color="auto"/>
        <w:right w:val="none" w:sz="0" w:space="0" w:color="auto"/>
      </w:divBdr>
    </w:div>
    <w:div w:id="2006351714">
      <w:bodyDiv w:val="1"/>
      <w:marLeft w:val="0"/>
      <w:marRight w:val="0"/>
      <w:marTop w:val="0"/>
      <w:marBottom w:val="0"/>
      <w:divBdr>
        <w:top w:val="none" w:sz="0" w:space="0" w:color="auto"/>
        <w:left w:val="none" w:sz="0" w:space="0" w:color="auto"/>
        <w:bottom w:val="none" w:sz="0" w:space="0" w:color="auto"/>
        <w:right w:val="none" w:sz="0" w:space="0" w:color="auto"/>
      </w:divBdr>
      <w:divsChild>
        <w:div w:id="1341616162">
          <w:marLeft w:val="274"/>
          <w:marRight w:val="0"/>
          <w:marTop w:val="38"/>
          <w:marBottom w:val="0"/>
          <w:divBdr>
            <w:top w:val="none" w:sz="0" w:space="0" w:color="auto"/>
            <w:left w:val="none" w:sz="0" w:space="0" w:color="auto"/>
            <w:bottom w:val="none" w:sz="0" w:space="0" w:color="auto"/>
            <w:right w:val="none" w:sz="0" w:space="0" w:color="auto"/>
          </w:divBdr>
        </w:div>
      </w:divsChild>
    </w:div>
    <w:div w:id="2011443958">
      <w:bodyDiv w:val="1"/>
      <w:marLeft w:val="0"/>
      <w:marRight w:val="0"/>
      <w:marTop w:val="0"/>
      <w:marBottom w:val="0"/>
      <w:divBdr>
        <w:top w:val="none" w:sz="0" w:space="0" w:color="auto"/>
        <w:left w:val="none" w:sz="0" w:space="0" w:color="auto"/>
        <w:bottom w:val="none" w:sz="0" w:space="0" w:color="auto"/>
        <w:right w:val="none" w:sz="0" w:space="0" w:color="auto"/>
      </w:divBdr>
    </w:div>
    <w:div w:id="2021202603">
      <w:bodyDiv w:val="1"/>
      <w:marLeft w:val="0"/>
      <w:marRight w:val="0"/>
      <w:marTop w:val="0"/>
      <w:marBottom w:val="0"/>
      <w:divBdr>
        <w:top w:val="none" w:sz="0" w:space="0" w:color="auto"/>
        <w:left w:val="none" w:sz="0" w:space="0" w:color="auto"/>
        <w:bottom w:val="none" w:sz="0" w:space="0" w:color="auto"/>
        <w:right w:val="none" w:sz="0" w:space="0" w:color="auto"/>
      </w:divBdr>
      <w:divsChild>
        <w:div w:id="1629436778">
          <w:marLeft w:val="274"/>
          <w:marRight w:val="0"/>
          <w:marTop w:val="38"/>
          <w:marBottom w:val="0"/>
          <w:divBdr>
            <w:top w:val="none" w:sz="0" w:space="0" w:color="auto"/>
            <w:left w:val="none" w:sz="0" w:space="0" w:color="auto"/>
            <w:bottom w:val="none" w:sz="0" w:space="0" w:color="auto"/>
            <w:right w:val="none" w:sz="0" w:space="0" w:color="auto"/>
          </w:divBdr>
        </w:div>
        <w:div w:id="1826816425">
          <w:marLeft w:val="274"/>
          <w:marRight w:val="0"/>
          <w:marTop w:val="38"/>
          <w:marBottom w:val="0"/>
          <w:divBdr>
            <w:top w:val="none" w:sz="0" w:space="0" w:color="auto"/>
            <w:left w:val="none" w:sz="0" w:space="0" w:color="auto"/>
            <w:bottom w:val="none" w:sz="0" w:space="0" w:color="auto"/>
            <w:right w:val="none" w:sz="0" w:space="0" w:color="auto"/>
          </w:divBdr>
        </w:div>
        <w:div w:id="1905136731">
          <w:marLeft w:val="274"/>
          <w:marRight w:val="0"/>
          <w:marTop w:val="38"/>
          <w:marBottom w:val="0"/>
          <w:divBdr>
            <w:top w:val="none" w:sz="0" w:space="0" w:color="auto"/>
            <w:left w:val="none" w:sz="0" w:space="0" w:color="auto"/>
            <w:bottom w:val="none" w:sz="0" w:space="0" w:color="auto"/>
            <w:right w:val="none" w:sz="0" w:space="0" w:color="auto"/>
          </w:divBdr>
        </w:div>
      </w:divsChild>
    </w:div>
    <w:div w:id="2023429516">
      <w:bodyDiv w:val="1"/>
      <w:marLeft w:val="0"/>
      <w:marRight w:val="0"/>
      <w:marTop w:val="0"/>
      <w:marBottom w:val="0"/>
      <w:divBdr>
        <w:top w:val="none" w:sz="0" w:space="0" w:color="auto"/>
        <w:left w:val="none" w:sz="0" w:space="0" w:color="auto"/>
        <w:bottom w:val="none" w:sz="0" w:space="0" w:color="auto"/>
        <w:right w:val="none" w:sz="0" w:space="0" w:color="auto"/>
      </w:divBdr>
      <w:divsChild>
        <w:div w:id="1727601589">
          <w:marLeft w:val="446"/>
          <w:marRight w:val="0"/>
          <w:marTop w:val="120"/>
          <w:marBottom w:val="0"/>
          <w:divBdr>
            <w:top w:val="none" w:sz="0" w:space="0" w:color="auto"/>
            <w:left w:val="none" w:sz="0" w:space="0" w:color="auto"/>
            <w:bottom w:val="none" w:sz="0" w:space="0" w:color="auto"/>
            <w:right w:val="none" w:sz="0" w:space="0" w:color="auto"/>
          </w:divBdr>
        </w:div>
      </w:divsChild>
    </w:div>
    <w:div w:id="2025204420">
      <w:bodyDiv w:val="1"/>
      <w:marLeft w:val="0"/>
      <w:marRight w:val="0"/>
      <w:marTop w:val="0"/>
      <w:marBottom w:val="0"/>
      <w:divBdr>
        <w:top w:val="none" w:sz="0" w:space="0" w:color="auto"/>
        <w:left w:val="none" w:sz="0" w:space="0" w:color="auto"/>
        <w:bottom w:val="none" w:sz="0" w:space="0" w:color="auto"/>
        <w:right w:val="none" w:sz="0" w:space="0" w:color="auto"/>
      </w:divBdr>
      <w:divsChild>
        <w:div w:id="264770917">
          <w:marLeft w:val="274"/>
          <w:marRight w:val="0"/>
          <w:marTop w:val="38"/>
          <w:marBottom w:val="0"/>
          <w:divBdr>
            <w:top w:val="none" w:sz="0" w:space="0" w:color="auto"/>
            <w:left w:val="none" w:sz="0" w:space="0" w:color="auto"/>
            <w:bottom w:val="none" w:sz="0" w:space="0" w:color="auto"/>
            <w:right w:val="none" w:sz="0" w:space="0" w:color="auto"/>
          </w:divBdr>
        </w:div>
        <w:div w:id="281503641">
          <w:marLeft w:val="274"/>
          <w:marRight w:val="0"/>
          <w:marTop w:val="38"/>
          <w:marBottom w:val="0"/>
          <w:divBdr>
            <w:top w:val="none" w:sz="0" w:space="0" w:color="auto"/>
            <w:left w:val="none" w:sz="0" w:space="0" w:color="auto"/>
            <w:bottom w:val="none" w:sz="0" w:space="0" w:color="auto"/>
            <w:right w:val="none" w:sz="0" w:space="0" w:color="auto"/>
          </w:divBdr>
        </w:div>
      </w:divsChild>
    </w:div>
    <w:div w:id="2034921466">
      <w:bodyDiv w:val="1"/>
      <w:marLeft w:val="0"/>
      <w:marRight w:val="0"/>
      <w:marTop w:val="0"/>
      <w:marBottom w:val="0"/>
      <w:divBdr>
        <w:top w:val="none" w:sz="0" w:space="0" w:color="auto"/>
        <w:left w:val="none" w:sz="0" w:space="0" w:color="auto"/>
        <w:bottom w:val="none" w:sz="0" w:space="0" w:color="auto"/>
        <w:right w:val="none" w:sz="0" w:space="0" w:color="auto"/>
      </w:divBdr>
      <w:divsChild>
        <w:div w:id="1320498176">
          <w:marLeft w:val="274"/>
          <w:marRight w:val="0"/>
          <w:marTop w:val="38"/>
          <w:marBottom w:val="0"/>
          <w:divBdr>
            <w:top w:val="none" w:sz="0" w:space="0" w:color="auto"/>
            <w:left w:val="none" w:sz="0" w:space="0" w:color="auto"/>
            <w:bottom w:val="none" w:sz="0" w:space="0" w:color="auto"/>
            <w:right w:val="none" w:sz="0" w:space="0" w:color="auto"/>
          </w:divBdr>
        </w:div>
      </w:divsChild>
    </w:div>
    <w:div w:id="2040664021">
      <w:bodyDiv w:val="1"/>
      <w:marLeft w:val="0"/>
      <w:marRight w:val="0"/>
      <w:marTop w:val="0"/>
      <w:marBottom w:val="0"/>
      <w:divBdr>
        <w:top w:val="none" w:sz="0" w:space="0" w:color="auto"/>
        <w:left w:val="none" w:sz="0" w:space="0" w:color="auto"/>
        <w:bottom w:val="none" w:sz="0" w:space="0" w:color="auto"/>
        <w:right w:val="none" w:sz="0" w:space="0" w:color="auto"/>
      </w:divBdr>
      <w:divsChild>
        <w:div w:id="435370708">
          <w:marLeft w:val="274"/>
          <w:marRight w:val="0"/>
          <w:marTop w:val="38"/>
          <w:marBottom w:val="0"/>
          <w:divBdr>
            <w:top w:val="none" w:sz="0" w:space="0" w:color="auto"/>
            <w:left w:val="none" w:sz="0" w:space="0" w:color="auto"/>
            <w:bottom w:val="none" w:sz="0" w:space="0" w:color="auto"/>
            <w:right w:val="none" w:sz="0" w:space="0" w:color="auto"/>
          </w:divBdr>
        </w:div>
        <w:div w:id="1472871308">
          <w:marLeft w:val="274"/>
          <w:marRight w:val="0"/>
          <w:marTop w:val="38"/>
          <w:marBottom w:val="0"/>
          <w:divBdr>
            <w:top w:val="none" w:sz="0" w:space="0" w:color="auto"/>
            <w:left w:val="none" w:sz="0" w:space="0" w:color="auto"/>
            <w:bottom w:val="none" w:sz="0" w:space="0" w:color="auto"/>
            <w:right w:val="none" w:sz="0" w:space="0" w:color="auto"/>
          </w:divBdr>
        </w:div>
      </w:divsChild>
    </w:div>
    <w:div w:id="2042509311">
      <w:bodyDiv w:val="1"/>
      <w:marLeft w:val="0"/>
      <w:marRight w:val="0"/>
      <w:marTop w:val="0"/>
      <w:marBottom w:val="0"/>
      <w:divBdr>
        <w:top w:val="none" w:sz="0" w:space="0" w:color="auto"/>
        <w:left w:val="none" w:sz="0" w:space="0" w:color="auto"/>
        <w:bottom w:val="none" w:sz="0" w:space="0" w:color="auto"/>
        <w:right w:val="none" w:sz="0" w:space="0" w:color="auto"/>
      </w:divBdr>
      <w:divsChild>
        <w:div w:id="1001851156">
          <w:marLeft w:val="547"/>
          <w:marRight w:val="0"/>
          <w:marTop w:val="77"/>
          <w:marBottom w:val="0"/>
          <w:divBdr>
            <w:top w:val="none" w:sz="0" w:space="0" w:color="auto"/>
            <w:left w:val="none" w:sz="0" w:space="0" w:color="auto"/>
            <w:bottom w:val="none" w:sz="0" w:space="0" w:color="auto"/>
            <w:right w:val="none" w:sz="0" w:space="0" w:color="auto"/>
          </w:divBdr>
        </w:div>
        <w:div w:id="1755081385">
          <w:marLeft w:val="1166"/>
          <w:marRight w:val="0"/>
          <w:marTop w:val="67"/>
          <w:marBottom w:val="0"/>
          <w:divBdr>
            <w:top w:val="none" w:sz="0" w:space="0" w:color="auto"/>
            <w:left w:val="none" w:sz="0" w:space="0" w:color="auto"/>
            <w:bottom w:val="none" w:sz="0" w:space="0" w:color="auto"/>
            <w:right w:val="none" w:sz="0" w:space="0" w:color="auto"/>
          </w:divBdr>
        </w:div>
      </w:divsChild>
    </w:div>
    <w:div w:id="2055808940">
      <w:bodyDiv w:val="1"/>
      <w:marLeft w:val="0"/>
      <w:marRight w:val="0"/>
      <w:marTop w:val="0"/>
      <w:marBottom w:val="0"/>
      <w:divBdr>
        <w:top w:val="none" w:sz="0" w:space="0" w:color="auto"/>
        <w:left w:val="none" w:sz="0" w:space="0" w:color="auto"/>
        <w:bottom w:val="none" w:sz="0" w:space="0" w:color="auto"/>
        <w:right w:val="none" w:sz="0" w:space="0" w:color="auto"/>
      </w:divBdr>
    </w:div>
    <w:div w:id="2067140083">
      <w:bodyDiv w:val="1"/>
      <w:marLeft w:val="0"/>
      <w:marRight w:val="0"/>
      <w:marTop w:val="0"/>
      <w:marBottom w:val="0"/>
      <w:divBdr>
        <w:top w:val="none" w:sz="0" w:space="0" w:color="auto"/>
        <w:left w:val="none" w:sz="0" w:space="0" w:color="auto"/>
        <w:bottom w:val="none" w:sz="0" w:space="0" w:color="auto"/>
        <w:right w:val="none" w:sz="0" w:space="0" w:color="auto"/>
      </w:divBdr>
      <w:divsChild>
        <w:div w:id="1901357383">
          <w:marLeft w:val="274"/>
          <w:marRight w:val="0"/>
          <w:marTop w:val="58"/>
          <w:marBottom w:val="0"/>
          <w:divBdr>
            <w:top w:val="none" w:sz="0" w:space="0" w:color="auto"/>
            <w:left w:val="none" w:sz="0" w:space="0" w:color="auto"/>
            <w:bottom w:val="none" w:sz="0" w:space="0" w:color="auto"/>
            <w:right w:val="none" w:sz="0" w:space="0" w:color="auto"/>
          </w:divBdr>
        </w:div>
      </w:divsChild>
    </w:div>
    <w:div w:id="2073963654">
      <w:bodyDiv w:val="1"/>
      <w:marLeft w:val="0"/>
      <w:marRight w:val="0"/>
      <w:marTop w:val="0"/>
      <w:marBottom w:val="0"/>
      <w:divBdr>
        <w:top w:val="none" w:sz="0" w:space="0" w:color="auto"/>
        <w:left w:val="none" w:sz="0" w:space="0" w:color="auto"/>
        <w:bottom w:val="none" w:sz="0" w:space="0" w:color="auto"/>
        <w:right w:val="none" w:sz="0" w:space="0" w:color="auto"/>
      </w:divBdr>
      <w:divsChild>
        <w:div w:id="261766562">
          <w:marLeft w:val="274"/>
          <w:marRight w:val="0"/>
          <w:marTop w:val="38"/>
          <w:marBottom w:val="0"/>
          <w:divBdr>
            <w:top w:val="none" w:sz="0" w:space="0" w:color="auto"/>
            <w:left w:val="none" w:sz="0" w:space="0" w:color="auto"/>
            <w:bottom w:val="none" w:sz="0" w:space="0" w:color="auto"/>
            <w:right w:val="none" w:sz="0" w:space="0" w:color="auto"/>
          </w:divBdr>
        </w:div>
      </w:divsChild>
    </w:div>
    <w:div w:id="2085105356">
      <w:bodyDiv w:val="1"/>
      <w:marLeft w:val="0"/>
      <w:marRight w:val="0"/>
      <w:marTop w:val="0"/>
      <w:marBottom w:val="0"/>
      <w:divBdr>
        <w:top w:val="none" w:sz="0" w:space="0" w:color="auto"/>
        <w:left w:val="none" w:sz="0" w:space="0" w:color="auto"/>
        <w:bottom w:val="none" w:sz="0" w:space="0" w:color="auto"/>
        <w:right w:val="none" w:sz="0" w:space="0" w:color="auto"/>
      </w:divBdr>
      <w:divsChild>
        <w:div w:id="414936939">
          <w:marLeft w:val="274"/>
          <w:marRight w:val="0"/>
          <w:marTop w:val="38"/>
          <w:marBottom w:val="0"/>
          <w:divBdr>
            <w:top w:val="none" w:sz="0" w:space="0" w:color="auto"/>
            <w:left w:val="none" w:sz="0" w:space="0" w:color="auto"/>
            <w:bottom w:val="none" w:sz="0" w:space="0" w:color="auto"/>
            <w:right w:val="none" w:sz="0" w:space="0" w:color="auto"/>
          </w:divBdr>
        </w:div>
      </w:divsChild>
    </w:div>
    <w:div w:id="2086149243">
      <w:bodyDiv w:val="1"/>
      <w:marLeft w:val="0"/>
      <w:marRight w:val="0"/>
      <w:marTop w:val="0"/>
      <w:marBottom w:val="0"/>
      <w:divBdr>
        <w:top w:val="none" w:sz="0" w:space="0" w:color="auto"/>
        <w:left w:val="none" w:sz="0" w:space="0" w:color="auto"/>
        <w:bottom w:val="none" w:sz="0" w:space="0" w:color="auto"/>
        <w:right w:val="none" w:sz="0" w:space="0" w:color="auto"/>
      </w:divBdr>
    </w:div>
    <w:div w:id="2105372076">
      <w:bodyDiv w:val="1"/>
      <w:marLeft w:val="0"/>
      <w:marRight w:val="0"/>
      <w:marTop w:val="0"/>
      <w:marBottom w:val="0"/>
      <w:divBdr>
        <w:top w:val="none" w:sz="0" w:space="0" w:color="auto"/>
        <w:left w:val="none" w:sz="0" w:space="0" w:color="auto"/>
        <w:bottom w:val="none" w:sz="0" w:space="0" w:color="auto"/>
        <w:right w:val="none" w:sz="0" w:space="0" w:color="auto"/>
      </w:divBdr>
      <w:divsChild>
        <w:div w:id="916208410">
          <w:marLeft w:val="0"/>
          <w:marRight w:val="0"/>
          <w:marTop w:val="0"/>
          <w:marBottom w:val="0"/>
          <w:divBdr>
            <w:top w:val="none" w:sz="0" w:space="0" w:color="auto"/>
            <w:left w:val="none" w:sz="0" w:space="0" w:color="auto"/>
            <w:bottom w:val="none" w:sz="0" w:space="0" w:color="auto"/>
            <w:right w:val="none" w:sz="0" w:space="0" w:color="auto"/>
          </w:divBdr>
        </w:div>
        <w:div w:id="1073624094">
          <w:marLeft w:val="0"/>
          <w:marRight w:val="0"/>
          <w:marTop w:val="0"/>
          <w:marBottom w:val="0"/>
          <w:divBdr>
            <w:top w:val="none" w:sz="0" w:space="0" w:color="auto"/>
            <w:left w:val="none" w:sz="0" w:space="0" w:color="auto"/>
            <w:bottom w:val="none" w:sz="0" w:space="0" w:color="auto"/>
            <w:right w:val="none" w:sz="0" w:space="0" w:color="auto"/>
          </w:divBdr>
        </w:div>
        <w:div w:id="1543441887">
          <w:marLeft w:val="0"/>
          <w:marRight w:val="0"/>
          <w:marTop w:val="0"/>
          <w:marBottom w:val="0"/>
          <w:divBdr>
            <w:top w:val="none" w:sz="0" w:space="0" w:color="auto"/>
            <w:left w:val="none" w:sz="0" w:space="0" w:color="auto"/>
            <w:bottom w:val="none" w:sz="0" w:space="0" w:color="auto"/>
            <w:right w:val="none" w:sz="0" w:space="0" w:color="auto"/>
          </w:divBdr>
        </w:div>
        <w:div w:id="2054428597">
          <w:marLeft w:val="0"/>
          <w:marRight w:val="0"/>
          <w:marTop w:val="0"/>
          <w:marBottom w:val="0"/>
          <w:divBdr>
            <w:top w:val="none" w:sz="0" w:space="0" w:color="auto"/>
            <w:left w:val="none" w:sz="0" w:space="0" w:color="auto"/>
            <w:bottom w:val="none" w:sz="0" w:space="0" w:color="auto"/>
            <w:right w:val="none" w:sz="0" w:space="0" w:color="auto"/>
          </w:divBdr>
        </w:div>
        <w:div w:id="2057123468">
          <w:marLeft w:val="0"/>
          <w:marRight w:val="0"/>
          <w:marTop w:val="0"/>
          <w:marBottom w:val="0"/>
          <w:divBdr>
            <w:top w:val="none" w:sz="0" w:space="0" w:color="auto"/>
            <w:left w:val="none" w:sz="0" w:space="0" w:color="auto"/>
            <w:bottom w:val="none" w:sz="0" w:space="0" w:color="auto"/>
            <w:right w:val="none" w:sz="0" w:space="0" w:color="auto"/>
          </w:divBdr>
        </w:div>
      </w:divsChild>
    </w:div>
    <w:div w:id="2128809114">
      <w:bodyDiv w:val="1"/>
      <w:marLeft w:val="0"/>
      <w:marRight w:val="0"/>
      <w:marTop w:val="0"/>
      <w:marBottom w:val="0"/>
      <w:divBdr>
        <w:top w:val="none" w:sz="0" w:space="0" w:color="auto"/>
        <w:left w:val="none" w:sz="0" w:space="0" w:color="auto"/>
        <w:bottom w:val="none" w:sz="0" w:space="0" w:color="auto"/>
        <w:right w:val="none" w:sz="0" w:space="0" w:color="auto"/>
      </w:divBdr>
      <w:divsChild>
        <w:div w:id="1680964043">
          <w:marLeft w:val="274"/>
          <w:marRight w:val="0"/>
          <w:marTop w:val="38"/>
          <w:marBottom w:val="0"/>
          <w:divBdr>
            <w:top w:val="none" w:sz="0" w:space="0" w:color="auto"/>
            <w:left w:val="none" w:sz="0" w:space="0" w:color="auto"/>
            <w:bottom w:val="none" w:sz="0" w:space="0" w:color="auto"/>
            <w:right w:val="none" w:sz="0" w:space="0" w:color="auto"/>
          </w:divBdr>
        </w:div>
      </w:divsChild>
    </w:div>
    <w:div w:id="2132817082">
      <w:bodyDiv w:val="1"/>
      <w:marLeft w:val="0"/>
      <w:marRight w:val="0"/>
      <w:marTop w:val="0"/>
      <w:marBottom w:val="0"/>
      <w:divBdr>
        <w:top w:val="none" w:sz="0" w:space="0" w:color="auto"/>
        <w:left w:val="none" w:sz="0" w:space="0" w:color="auto"/>
        <w:bottom w:val="none" w:sz="0" w:space="0" w:color="auto"/>
        <w:right w:val="none" w:sz="0" w:space="0" w:color="auto"/>
      </w:divBdr>
      <w:divsChild>
        <w:div w:id="109007714">
          <w:marLeft w:val="274"/>
          <w:marRight w:val="0"/>
          <w:marTop w:val="38"/>
          <w:marBottom w:val="0"/>
          <w:divBdr>
            <w:top w:val="none" w:sz="0" w:space="0" w:color="auto"/>
            <w:left w:val="none" w:sz="0" w:space="0" w:color="auto"/>
            <w:bottom w:val="none" w:sz="0" w:space="0" w:color="auto"/>
            <w:right w:val="none" w:sz="0" w:space="0" w:color="auto"/>
          </w:divBdr>
        </w:div>
      </w:divsChild>
    </w:div>
    <w:div w:id="2135638984">
      <w:bodyDiv w:val="1"/>
      <w:marLeft w:val="0"/>
      <w:marRight w:val="0"/>
      <w:marTop w:val="0"/>
      <w:marBottom w:val="0"/>
      <w:divBdr>
        <w:top w:val="none" w:sz="0" w:space="0" w:color="auto"/>
        <w:left w:val="none" w:sz="0" w:space="0" w:color="auto"/>
        <w:bottom w:val="none" w:sz="0" w:space="0" w:color="auto"/>
        <w:right w:val="none" w:sz="0" w:space="0" w:color="auto"/>
      </w:divBdr>
      <w:divsChild>
        <w:div w:id="1622611696">
          <w:marLeft w:val="274"/>
          <w:marRight w:val="0"/>
          <w:marTop w:val="58"/>
          <w:marBottom w:val="0"/>
          <w:divBdr>
            <w:top w:val="none" w:sz="0" w:space="0" w:color="auto"/>
            <w:left w:val="none" w:sz="0" w:space="0" w:color="auto"/>
            <w:bottom w:val="none" w:sz="0" w:space="0" w:color="auto"/>
            <w:right w:val="none" w:sz="0" w:space="0" w:color="auto"/>
          </w:divBdr>
        </w:div>
        <w:div w:id="1608659224">
          <w:marLeft w:val="274"/>
          <w:marRight w:val="0"/>
          <w:marTop w:val="58"/>
          <w:marBottom w:val="0"/>
          <w:divBdr>
            <w:top w:val="none" w:sz="0" w:space="0" w:color="auto"/>
            <w:left w:val="none" w:sz="0" w:space="0" w:color="auto"/>
            <w:bottom w:val="none" w:sz="0" w:space="0" w:color="auto"/>
            <w:right w:val="none" w:sz="0" w:space="0" w:color="auto"/>
          </w:divBdr>
        </w:div>
      </w:divsChild>
    </w:div>
    <w:div w:id="2139444516">
      <w:bodyDiv w:val="1"/>
      <w:marLeft w:val="0"/>
      <w:marRight w:val="0"/>
      <w:marTop w:val="0"/>
      <w:marBottom w:val="0"/>
      <w:divBdr>
        <w:top w:val="none" w:sz="0" w:space="0" w:color="auto"/>
        <w:left w:val="none" w:sz="0" w:space="0" w:color="auto"/>
        <w:bottom w:val="none" w:sz="0" w:space="0" w:color="auto"/>
        <w:right w:val="none" w:sz="0" w:space="0" w:color="auto"/>
      </w:divBdr>
      <w:divsChild>
        <w:div w:id="464852249">
          <w:marLeft w:val="720"/>
          <w:marRight w:val="0"/>
          <w:marTop w:val="101"/>
          <w:marBottom w:val="101"/>
          <w:divBdr>
            <w:top w:val="none" w:sz="0" w:space="0" w:color="auto"/>
            <w:left w:val="none" w:sz="0" w:space="0" w:color="auto"/>
            <w:bottom w:val="none" w:sz="0" w:space="0" w:color="auto"/>
            <w:right w:val="none" w:sz="0" w:space="0" w:color="auto"/>
          </w:divBdr>
        </w:div>
        <w:div w:id="1109819291">
          <w:marLeft w:val="720"/>
          <w:marRight w:val="0"/>
          <w:marTop w:val="101"/>
          <w:marBottom w:val="101"/>
          <w:divBdr>
            <w:top w:val="none" w:sz="0" w:space="0" w:color="auto"/>
            <w:left w:val="none" w:sz="0" w:space="0" w:color="auto"/>
            <w:bottom w:val="none" w:sz="0" w:space="0" w:color="auto"/>
            <w:right w:val="none" w:sz="0" w:space="0" w:color="auto"/>
          </w:divBdr>
        </w:div>
        <w:div w:id="1198734854">
          <w:marLeft w:val="720"/>
          <w:marRight w:val="0"/>
          <w:marTop w:val="101"/>
          <w:marBottom w:val="101"/>
          <w:divBdr>
            <w:top w:val="none" w:sz="0" w:space="0" w:color="auto"/>
            <w:left w:val="none" w:sz="0" w:space="0" w:color="auto"/>
            <w:bottom w:val="none" w:sz="0" w:space="0" w:color="auto"/>
            <w:right w:val="none" w:sz="0" w:space="0" w:color="auto"/>
          </w:divBdr>
        </w:div>
        <w:div w:id="1479541662">
          <w:marLeft w:val="0"/>
          <w:marRight w:val="0"/>
          <w:marTop w:val="86"/>
          <w:marBottom w:val="86"/>
          <w:divBdr>
            <w:top w:val="none" w:sz="0" w:space="0" w:color="auto"/>
            <w:left w:val="none" w:sz="0" w:space="0" w:color="auto"/>
            <w:bottom w:val="none" w:sz="0" w:space="0" w:color="auto"/>
            <w:right w:val="none" w:sz="0" w:space="0" w:color="auto"/>
          </w:divBdr>
        </w:div>
        <w:div w:id="1904562410">
          <w:marLeft w:val="720"/>
          <w:marRight w:val="0"/>
          <w:marTop w:val="101"/>
          <w:marBottom w:val="101"/>
          <w:divBdr>
            <w:top w:val="none" w:sz="0" w:space="0" w:color="auto"/>
            <w:left w:val="none" w:sz="0" w:space="0" w:color="auto"/>
            <w:bottom w:val="none" w:sz="0" w:space="0" w:color="auto"/>
            <w:right w:val="none" w:sz="0" w:space="0" w:color="auto"/>
          </w:divBdr>
        </w:div>
        <w:div w:id="1962689366">
          <w:marLeft w:val="720"/>
          <w:marRight w:val="0"/>
          <w:marTop w:val="101"/>
          <w:marBottom w:val="101"/>
          <w:divBdr>
            <w:top w:val="none" w:sz="0" w:space="0" w:color="auto"/>
            <w:left w:val="none" w:sz="0" w:space="0" w:color="auto"/>
            <w:bottom w:val="none" w:sz="0" w:space="0" w:color="auto"/>
            <w:right w:val="none" w:sz="0" w:space="0" w:color="auto"/>
          </w:divBdr>
        </w:div>
        <w:div w:id="2109620313">
          <w:marLeft w:val="720"/>
          <w:marRight w:val="0"/>
          <w:marTop w:val="101"/>
          <w:marBottom w:val="101"/>
          <w:divBdr>
            <w:top w:val="none" w:sz="0" w:space="0" w:color="auto"/>
            <w:left w:val="none" w:sz="0" w:space="0" w:color="auto"/>
            <w:bottom w:val="none" w:sz="0" w:space="0" w:color="auto"/>
            <w:right w:val="none" w:sz="0" w:space="0" w:color="auto"/>
          </w:divBdr>
        </w:div>
      </w:divsChild>
    </w:div>
    <w:div w:id="214712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59" Type="http://schemas.openxmlformats.org/officeDocument/2006/relationships/image" Target="media/image49.png"/><Relationship Id="rId67"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image" Target="media/image44.emf"/><Relationship Id="rId62" Type="http://schemas.openxmlformats.org/officeDocument/2006/relationships/image" Target="media/image5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8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emf"/><Relationship Id="rId55" Type="http://schemas.openxmlformats.org/officeDocument/2006/relationships/image" Target="media/image45.png"/><Relationship Id="rId7" Type="http://schemas.openxmlformats.org/officeDocument/2006/relationships/settings" Target="settings.xml"/><Relationship Id="rId71"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www.comreg.ie/_fileupload/publications/ComReg1567.pdf" TargetMode="External"/><Relationship Id="rId2" Type="http://schemas.openxmlformats.org/officeDocument/2006/relationships/hyperlink" Target="http://www.ift.org.mx/sites/default/files/contenidogeneral/estadisticas/3ite2017.pdf" TargetMode="External"/><Relationship Id="rId1" Type="http://schemas.openxmlformats.org/officeDocument/2006/relationships/hyperlink" Target="http://www.ift.org.mx/industria/consultas-publicas/consulta-publica-sobre-el-modelo-de-costos-para-determinar-las-tarifas-de-acceso-para-la" TargetMode="External"/><Relationship Id="rId6" Type="http://schemas.openxmlformats.org/officeDocument/2006/relationships/hyperlink" Target="http://www.ift.org.mx/sites/default/files/industria/temasrelevantes/12005/documentos/anexounicoanteproyectoctmytarifas2019engrose.pdf" TargetMode="External"/><Relationship Id="rId5" Type="http://schemas.openxmlformats.org/officeDocument/2006/relationships/hyperlink" Target="https://www.itu.int/en/ITU-D/Regulatory-Market/Documents/CostEvents/2014/Namibia/Session%207-WACC.pdf" TargetMode="External"/><Relationship Id="rId4" Type="http://schemas.openxmlformats.org/officeDocument/2006/relationships/hyperlink" Target="http://www.arcep.fr/uploads/tx_gsavis/05-0834.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EC70944162046B8A824D4D76463CBDB"/>
        <w:category>
          <w:name w:val="General"/>
          <w:gallery w:val="placeholder"/>
        </w:category>
        <w:types>
          <w:type w:val="bbPlcHdr"/>
        </w:types>
        <w:behaviors>
          <w:behavior w:val="content"/>
        </w:behaviors>
        <w:guid w:val="{DB987DF1-5EEB-4089-A9ED-B3785CB43628}"/>
      </w:docPartPr>
      <w:docPartBody>
        <w:p w:rsidR="00852972" w:rsidRDefault="000442DC" w:rsidP="000442DC">
          <w:pPr>
            <w:pStyle w:val="BEC70944162046B8A824D4D76463CBDB"/>
          </w:pPr>
          <w:r>
            <w:rPr>
              <w:color w:val="2E74B5" w:themeColor="accent1" w:themeShade="BF"/>
              <w:sz w:val="24"/>
              <w:szCs w:val="24"/>
              <w:lang w:val="es-ES"/>
            </w:rPr>
            <w:t>[Nombre de la compañía]</w:t>
          </w:r>
        </w:p>
      </w:docPartBody>
    </w:docPart>
    <w:docPart>
      <w:docPartPr>
        <w:name w:val="DBEFF528EB5D43D38C0734919140DA68"/>
        <w:category>
          <w:name w:val="General"/>
          <w:gallery w:val="placeholder"/>
        </w:category>
        <w:types>
          <w:type w:val="bbPlcHdr"/>
        </w:types>
        <w:behaviors>
          <w:behavior w:val="content"/>
        </w:behaviors>
        <w:guid w:val="{7908BE8D-CAD3-4AD6-A7C1-A59B7F545185}"/>
      </w:docPartPr>
      <w:docPartBody>
        <w:p w:rsidR="00852972" w:rsidRDefault="000442DC" w:rsidP="000442DC">
          <w:pPr>
            <w:pStyle w:val="DBEFF528EB5D43D38C0734919140DA68"/>
          </w:pPr>
          <w:r>
            <w:rPr>
              <w:rFonts w:asciiTheme="majorHAnsi" w:eastAsiaTheme="majorEastAsia" w:hAnsiTheme="majorHAnsi" w:cstheme="majorBidi"/>
              <w:color w:val="5B9BD5" w:themeColor="accent1"/>
              <w:sz w:val="88"/>
              <w:szCs w:val="88"/>
              <w:lang w:val="es-ES"/>
            </w:rPr>
            <w:t>[Título del documento]</w:t>
          </w:r>
        </w:p>
      </w:docPartBody>
    </w:docPart>
    <w:docPart>
      <w:docPartPr>
        <w:name w:val="5137B845285747D3B8BD1DDFA3E1FF10"/>
        <w:category>
          <w:name w:val="General"/>
          <w:gallery w:val="placeholder"/>
        </w:category>
        <w:types>
          <w:type w:val="bbPlcHdr"/>
        </w:types>
        <w:behaviors>
          <w:behavior w:val="content"/>
        </w:behaviors>
        <w:guid w:val="{749768AB-638A-4EB8-963F-BC86C45CD601}"/>
      </w:docPartPr>
      <w:docPartBody>
        <w:p w:rsidR="00852972" w:rsidRDefault="000442DC" w:rsidP="000442DC">
          <w:pPr>
            <w:pStyle w:val="5137B845285747D3B8BD1DDFA3E1FF10"/>
          </w:pPr>
          <w:r>
            <w:rPr>
              <w:color w:val="2E74B5" w:themeColor="accent1" w:themeShade="BF"/>
              <w:sz w:val="24"/>
              <w:szCs w:val="24"/>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2DC"/>
    <w:rsid w:val="000442DC"/>
    <w:rsid w:val="00190255"/>
    <w:rsid w:val="002D1741"/>
    <w:rsid w:val="00852972"/>
    <w:rsid w:val="00B2568F"/>
    <w:rsid w:val="00B74A9D"/>
    <w:rsid w:val="00F95D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29ED2C87C2F46FCAA97E7849188585C">
    <w:name w:val="529ED2C87C2F46FCAA97E7849188585C"/>
    <w:rsid w:val="000442DC"/>
  </w:style>
  <w:style w:type="paragraph" w:customStyle="1" w:styleId="1D9A89ECEC3940919F13F91F50476D90">
    <w:name w:val="1D9A89ECEC3940919F13F91F50476D90"/>
    <w:rsid w:val="000442DC"/>
  </w:style>
  <w:style w:type="paragraph" w:customStyle="1" w:styleId="6A3A2B84680F4CD9814989B7B6A9A8BC">
    <w:name w:val="6A3A2B84680F4CD9814989B7B6A9A8BC"/>
    <w:rsid w:val="000442DC"/>
  </w:style>
  <w:style w:type="paragraph" w:customStyle="1" w:styleId="E1B26A9CDB6D4AF98D1BD62090FABD9A">
    <w:name w:val="E1B26A9CDB6D4AF98D1BD62090FABD9A"/>
    <w:rsid w:val="000442DC"/>
  </w:style>
  <w:style w:type="paragraph" w:customStyle="1" w:styleId="EA9E258F61EE410E89F59EC6F16DD107">
    <w:name w:val="EA9E258F61EE410E89F59EC6F16DD107"/>
    <w:rsid w:val="000442DC"/>
  </w:style>
  <w:style w:type="paragraph" w:customStyle="1" w:styleId="1063EAAB53CA484D940672BC27A78BBF">
    <w:name w:val="1063EAAB53CA484D940672BC27A78BBF"/>
    <w:rsid w:val="000442DC"/>
  </w:style>
  <w:style w:type="paragraph" w:customStyle="1" w:styleId="17AC7DDBCE96498AADFCA3BD88E9F192">
    <w:name w:val="17AC7DDBCE96498AADFCA3BD88E9F192"/>
    <w:rsid w:val="000442DC"/>
  </w:style>
  <w:style w:type="paragraph" w:customStyle="1" w:styleId="338051D6B2B34C02A38545FBCC135325">
    <w:name w:val="338051D6B2B34C02A38545FBCC135325"/>
    <w:rsid w:val="000442DC"/>
  </w:style>
  <w:style w:type="paragraph" w:customStyle="1" w:styleId="EC0AA84957F3423F92F88F35FD62AF35">
    <w:name w:val="EC0AA84957F3423F92F88F35FD62AF35"/>
    <w:rsid w:val="000442DC"/>
  </w:style>
  <w:style w:type="paragraph" w:customStyle="1" w:styleId="BEC70944162046B8A824D4D76463CBDB">
    <w:name w:val="BEC70944162046B8A824D4D76463CBDB"/>
    <w:rsid w:val="000442DC"/>
  </w:style>
  <w:style w:type="paragraph" w:customStyle="1" w:styleId="DBEFF528EB5D43D38C0734919140DA68">
    <w:name w:val="DBEFF528EB5D43D38C0734919140DA68"/>
    <w:rsid w:val="000442DC"/>
  </w:style>
  <w:style w:type="paragraph" w:customStyle="1" w:styleId="5137B845285747D3B8BD1DDFA3E1FF10">
    <w:name w:val="5137B845285747D3B8BD1DDFA3E1FF10"/>
    <w:rsid w:val="000442DC"/>
  </w:style>
  <w:style w:type="paragraph" w:customStyle="1" w:styleId="0FB8AE58A0364298AAE027E3F1906670">
    <w:name w:val="0FB8AE58A0364298AAE027E3F1906670"/>
    <w:rsid w:val="00F95D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Exécutif">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EC9DD-C799-4927-A446-298F12112834}">
  <ds:schemaRefs>
    <ds:schemaRef ds:uri="http://schemas.microsoft.com/sharepoint/v3/contenttype/forms"/>
  </ds:schemaRefs>
</ds:datastoreItem>
</file>

<file path=customXml/itemProps2.xml><?xml version="1.0" encoding="utf-8"?>
<ds:datastoreItem xmlns:ds="http://schemas.openxmlformats.org/officeDocument/2006/customXml" ds:itemID="{3EC9241F-88DA-42CC-ACDF-DB4AAB1964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EF7C2B1-1D5D-4E55-9D39-406CB5804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038CB4B-88B9-4EBF-B890-EADBAE2DB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114</Pages>
  <Words>30830</Words>
  <Characters>163100</Characters>
  <Application>Microsoft Office Word</Application>
  <DocSecurity>0</DocSecurity>
  <Lines>1359</Lines>
  <Paragraphs>387</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Modelo de Costos Integral de la Red de Acceso Fija</vt:lpstr>
      <vt:lpstr>I)</vt:lpstr>
      <vt:lpstr>I)</vt:lpstr>
    </vt:vector>
  </TitlesOfParts>
  <Company>Instituto Federal de Telecomunicaciones</Company>
  <LinksUpToDate>false</LinksUpToDate>
  <CharactersWithSpaces>193543</CharactersWithSpaces>
  <SharedDoc>false</SharedDoc>
  <HLinks>
    <vt:vector size="72" baseType="variant">
      <vt:variant>
        <vt:i4>1638460</vt:i4>
      </vt:variant>
      <vt:variant>
        <vt:i4>86</vt:i4>
      </vt:variant>
      <vt:variant>
        <vt:i4>0</vt:i4>
      </vt:variant>
      <vt:variant>
        <vt:i4>5</vt:i4>
      </vt:variant>
      <vt:variant>
        <vt:lpwstr/>
      </vt:variant>
      <vt:variant>
        <vt:lpwstr>_Toc246407892</vt:lpwstr>
      </vt:variant>
      <vt:variant>
        <vt:i4>1638460</vt:i4>
      </vt:variant>
      <vt:variant>
        <vt:i4>77</vt:i4>
      </vt:variant>
      <vt:variant>
        <vt:i4>0</vt:i4>
      </vt:variant>
      <vt:variant>
        <vt:i4>5</vt:i4>
      </vt:variant>
      <vt:variant>
        <vt:lpwstr/>
      </vt:variant>
      <vt:variant>
        <vt:lpwstr>_Toc246407891</vt:lpwstr>
      </vt:variant>
      <vt:variant>
        <vt:i4>1638460</vt:i4>
      </vt:variant>
      <vt:variant>
        <vt:i4>68</vt:i4>
      </vt:variant>
      <vt:variant>
        <vt:i4>0</vt:i4>
      </vt:variant>
      <vt:variant>
        <vt:i4>5</vt:i4>
      </vt:variant>
      <vt:variant>
        <vt:lpwstr/>
      </vt:variant>
      <vt:variant>
        <vt:lpwstr>_Toc246407890</vt:lpwstr>
      </vt:variant>
      <vt:variant>
        <vt:i4>1572924</vt:i4>
      </vt:variant>
      <vt:variant>
        <vt:i4>50</vt:i4>
      </vt:variant>
      <vt:variant>
        <vt:i4>0</vt:i4>
      </vt:variant>
      <vt:variant>
        <vt:i4>5</vt:i4>
      </vt:variant>
      <vt:variant>
        <vt:lpwstr/>
      </vt:variant>
      <vt:variant>
        <vt:lpwstr>_Toc246407889</vt:lpwstr>
      </vt:variant>
      <vt:variant>
        <vt:i4>1572924</vt:i4>
      </vt:variant>
      <vt:variant>
        <vt:i4>44</vt:i4>
      </vt:variant>
      <vt:variant>
        <vt:i4>0</vt:i4>
      </vt:variant>
      <vt:variant>
        <vt:i4>5</vt:i4>
      </vt:variant>
      <vt:variant>
        <vt:lpwstr/>
      </vt:variant>
      <vt:variant>
        <vt:lpwstr>_Toc246407888</vt:lpwstr>
      </vt:variant>
      <vt:variant>
        <vt:i4>1572924</vt:i4>
      </vt:variant>
      <vt:variant>
        <vt:i4>38</vt:i4>
      </vt:variant>
      <vt:variant>
        <vt:i4>0</vt:i4>
      </vt:variant>
      <vt:variant>
        <vt:i4>5</vt:i4>
      </vt:variant>
      <vt:variant>
        <vt:lpwstr/>
      </vt:variant>
      <vt:variant>
        <vt:lpwstr>_Toc246407887</vt:lpwstr>
      </vt:variant>
      <vt:variant>
        <vt:i4>1572924</vt:i4>
      </vt:variant>
      <vt:variant>
        <vt:i4>32</vt:i4>
      </vt:variant>
      <vt:variant>
        <vt:i4>0</vt:i4>
      </vt:variant>
      <vt:variant>
        <vt:i4>5</vt:i4>
      </vt:variant>
      <vt:variant>
        <vt:lpwstr/>
      </vt:variant>
      <vt:variant>
        <vt:lpwstr>_Toc246407886</vt:lpwstr>
      </vt:variant>
      <vt:variant>
        <vt:i4>1572924</vt:i4>
      </vt:variant>
      <vt:variant>
        <vt:i4>26</vt:i4>
      </vt:variant>
      <vt:variant>
        <vt:i4>0</vt:i4>
      </vt:variant>
      <vt:variant>
        <vt:i4>5</vt:i4>
      </vt:variant>
      <vt:variant>
        <vt:lpwstr/>
      </vt:variant>
      <vt:variant>
        <vt:lpwstr>_Toc246407885</vt:lpwstr>
      </vt:variant>
      <vt:variant>
        <vt:i4>1572924</vt:i4>
      </vt:variant>
      <vt:variant>
        <vt:i4>20</vt:i4>
      </vt:variant>
      <vt:variant>
        <vt:i4>0</vt:i4>
      </vt:variant>
      <vt:variant>
        <vt:i4>5</vt:i4>
      </vt:variant>
      <vt:variant>
        <vt:lpwstr/>
      </vt:variant>
      <vt:variant>
        <vt:lpwstr>_Toc246407884</vt:lpwstr>
      </vt:variant>
      <vt:variant>
        <vt:i4>1572924</vt:i4>
      </vt:variant>
      <vt:variant>
        <vt:i4>14</vt:i4>
      </vt:variant>
      <vt:variant>
        <vt:i4>0</vt:i4>
      </vt:variant>
      <vt:variant>
        <vt:i4>5</vt:i4>
      </vt:variant>
      <vt:variant>
        <vt:lpwstr/>
      </vt:variant>
      <vt:variant>
        <vt:lpwstr>_Toc246407883</vt:lpwstr>
      </vt:variant>
      <vt:variant>
        <vt:i4>1572924</vt:i4>
      </vt:variant>
      <vt:variant>
        <vt:i4>8</vt:i4>
      </vt:variant>
      <vt:variant>
        <vt:i4>0</vt:i4>
      </vt:variant>
      <vt:variant>
        <vt:i4>5</vt:i4>
      </vt:variant>
      <vt:variant>
        <vt:lpwstr/>
      </vt:variant>
      <vt:variant>
        <vt:lpwstr>_Toc246407882</vt:lpwstr>
      </vt:variant>
      <vt:variant>
        <vt:i4>1572924</vt:i4>
      </vt:variant>
      <vt:variant>
        <vt:i4>2</vt:i4>
      </vt:variant>
      <vt:variant>
        <vt:i4>0</vt:i4>
      </vt:variant>
      <vt:variant>
        <vt:i4>5</vt:i4>
      </vt:variant>
      <vt:variant>
        <vt:lpwstr/>
      </vt:variant>
      <vt:variant>
        <vt:lpwstr>_Toc246407881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Costos Integral de la Red de Acceso Fija</dc:title>
  <dc:subject>Documento metodológico y descriptivo del modelo para el proceso de consulta pública</dc:subject>
  <dc:creator>Paul DUMOULIN</dc:creator>
  <cp:keywords/>
  <dc:description/>
  <cp:lastModifiedBy>Karen Beatriz Martinez Munguia</cp:lastModifiedBy>
  <cp:revision>6</cp:revision>
  <cp:lastPrinted>2018-07-11T08:22:00Z</cp:lastPrinted>
  <dcterms:created xsi:type="dcterms:W3CDTF">2018-10-01T22:47:00Z</dcterms:created>
  <dcterms:modified xsi:type="dcterms:W3CDTF">2018-10-09T18:29:00Z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