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178D4" w14:textId="07E16C49" w:rsidR="008B7623" w:rsidRDefault="00256283" w:rsidP="008B7623">
      <w:pPr>
        <w:pStyle w:val="N1IFT"/>
      </w:pPr>
      <w:r>
        <w:t xml:space="preserve">ANTEPROYECTO DE </w:t>
      </w:r>
      <w:r w:rsidR="008B7623" w:rsidRPr="00A84755">
        <w:t>LINEAMIENTOS PARA EL DESPLIEGUE</w:t>
      </w:r>
      <w:r w:rsidR="00824BCE">
        <w:t>,</w:t>
      </w:r>
      <w:r w:rsidR="008B7623" w:rsidRPr="00A84755">
        <w:t xml:space="preserve"> ACCESO Y USO COMPARTIDO DE INFRAESTRUCTURA DE TELECOMUNICACIONES Y RADIODIFUSIÓN</w:t>
      </w:r>
    </w:p>
    <w:p w14:paraId="6E03CEC2" w14:textId="77777777" w:rsidR="009B0F61" w:rsidRPr="00A84755" w:rsidRDefault="009B0F61" w:rsidP="008B7623">
      <w:pPr>
        <w:pStyle w:val="N1IFT"/>
      </w:pPr>
    </w:p>
    <w:p w14:paraId="0E75240D" w14:textId="77777777" w:rsidR="008B7623" w:rsidRPr="00A84755" w:rsidRDefault="008B7623" w:rsidP="008B7623">
      <w:pPr>
        <w:pStyle w:val="N1IFT"/>
      </w:pPr>
      <w:r w:rsidRPr="00A84755">
        <w:t>CAPÍTULO I. Disposiciones generales</w:t>
      </w:r>
    </w:p>
    <w:p w14:paraId="3EF4C1B1" w14:textId="13F85A82" w:rsidR="008B7623" w:rsidRPr="00773CBA" w:rsidRDefault="008B7623" w:rsidP="00311853">
      <w:pPr>
        <w:pStyle w:val="IFTnormal"/>
        <w:rPr>
          <w:color w:val="auto"/>
          <w:lang w:val="es-MX"/>
        </w:rPr>
      </w:pPr>
      <w:r w:rsidRPr="00A84755">
        <w:rPr>
          <w:b/>
          <w:color w:val="auto"/>
        </w:rPr>
        <w:t>Artículo 1. Objeto</w:t>
      </w:r>
      <w:r w:rsidR="00311853" w:rsidRPr="00A84755">
        <w:rPr>
          <w:b/>
          <w:color w:val="auto"/>
        </w:rPr>
        <w:t xml:space="preserve"> y Alcance</w:t>
      </w:r>
      <w:r w:rsidRPr="00A84755">
        <w:rPr>
          <w:b/>
          <w:color w:val="auto"/>
        </w:rPr>
        <w:t xml:space="preserve">. </w:t>
      </w:r>
      <w:r w:rsidRPr="00A84755">
        <w:t xml:space="preserve">Los presentes </w:t>
      </w:r>
      <w:r w:rsidRPr="00A84755">
        <w:rPr>
          <w:lang w:val="es-MX"/>
        </w:rPr>
        <w:t xml:space="preserve">Lineamientos son de orden público, de observancia general y obligatoria en todo el territorio nacional </w:t>
      </w:r>
      <w:r w:rsidR="005E12BE" w:rsidRPr="00A84755">
        <w:rPr>
          <w:lang w:val="es-MX"/>
        </w:rPr>
        <w:t>p</w:t>
      </w:r>
      <w:r w:rsidR="00C4234B" w:rsidRPr="00A84755">
        <w:rPr>
          <w:lang w:val="es-MX"/>
        </w:rPr>
        <w:t xml:space="preserve">or parte de todos </w:t>
      </w:r>
      <w:r w:rsidR="001A3B52" w:rsidRPr="00A84755">
        <w:rPr>
          <w:lang w:val="es-MX"/>
        </w:rPr>
        <w:t xml:space="preserve">los </w:t>
      </w:r>
      <w:r w:rsidR="00377270" w:rsidRPr="00A84755">
        <w:rPr>
          <w:lang w:val="es-MX"/>
        </w:rPr>
        <w:t>concesionarios</w:t>
      </w:r>
      <w:r w:rsidR="004A7EC3">
        <w:rPr>
          <w:lang w:val="es-MX"/>
        </w:rPr>
        <w:t xml:space="preserve"> y autorizados,</w:t>
      </w:r>
      <w:r w:rsidR="00773CBA">
        <w:rPr>
          <w:lang w:val="es-MX"/>
        </w:rPr>
        <w:t xml:space="preserve"> y t</w:t>
      </w:r>
      <w:r w:rsidRPr="00A84755">
        <w:rPr>
          <w:lang w:val="es-MX"/>
        </w:rPr>
        <w:t>ienen</w:t>
      </w:r>
      <w:r w:rsidRPr="00A84755">
        <w:t xml:space="preserve"> por objeto </w:t>
      </w:r>
      <w:r w:rsidRPr="00A84755">
        <w:rPr>
          <w:lang w:val="es-419"/>
        </w:rPr>
        <w:t>promover</w:t>
      </w:r>
      <w:r w:rsidRPr="00A84755">
        <w:t xml:space="preserve"> el</w:t>
      </w:r>
      <w:r w:rsidR="00311853" w:rsidRPr="00A84755">
        <w:t xml:space="preserve"> Despliegue de Infraestructura y </w:t>
      </w:r>
      <w:r w:rsidRPr="00A84755">
        <w:t xml:space="preserve">fomentar </w:t>
      </w:r>
      <w:r w:rsidRPr="00A84755">
        <w:rPr>
          <w:lang w:val="es-419"/>
        </w:rPr>
        <w:t>el Acceso y Uso</w:t>
      </w:r>
      <w:r w:rsidRPr="00A84755">
        <w:t xml:space="preserve"> </w:t>
      </w:r>
      <w:r w:rsidR="00B93A59" w:rsidRPr="00A84755">
        <w:rPr>
          <w:lang w:val="es-MX"/>
        </w:rPr>
        <w:t>Compartido</w:t>
      </w:r>
      <w:r w:rsidRPr="00A84755">
        <w:rPr>
          <w:lang w:val="es-MX"/>
        </w:rPr>
        <w:t xml:space="preserve"> de</w:t>
      </w:r>
      <w:r w:rsidR="001613A3" w:rsidRPr="00A84755">
        <w:rPr>
          <w:lang w:val="es-419"/>
        </w:rPr>
        <w:t xml:space="preserve"> </w:t>
      </w:r>
      <w:r w:rsidR="00DD4C01" w:rsidRPr="00A84755">
        <w:rPr>
          <w:lang w:val="es-419"/>
        </w:rPr>
        <w:t>E</w:t>
      </w:r>
      <w:r w:rsidRPr="00A84755">
        <w:rPr>
          <w:lang w:val="es-419"/>
        </w:rPr>
        <w:t>lementos de</w:t>
      </w:r>
      <w:r w:rsidR="008A5390">
        <w:rPr>
          <w:lang w:val="es-MX"/>
        </w:rPr>
        <w:t xml:space="preserve"> I</w:t>
      </w:r>
      <w:r w:rsidRPr="00A84755">
        <w:rPr>
          <w:lang w:val="es-MX"/>
        </w:rPr>
        <w:t>nfraestructura</w:t>
      </w:r>
      <w:r w:rsidRPr="00A84755">
        <w:t xml:space="preserve"> asociada a redes públicas de telecomunicaciones, estaciones de radiodifusión y equipos complementarios, </w:t>
      </w:r>
      <w:r w:rsidR="00311853" w:rsidRPr="00A84755">
        <w:rPr>
          <w:color w:val="auto"/>
          <w:lang w:val="es-MX"/>
        </w:rPr>
        <w:t xml:space="preserve">con el fin de promover </w:t>
      </w:r>
      <w:r w:rsidR="00257F56" w:rsidRPr="00A84755">
        <w:rPr>
          <w:color w:val="auto"/>
          <w:lang w:val="es-MX"/>
        </w:rPr>
        <w:t>el desarrollo eficiente de las telecomunicaciones y radiodifusión</w:t>
      </w:r>
      <w:r w:rsidR="00773CBA">
        <w:rPr>
          <w:color w:val="auto"/>
          <w:lang w:val="es-MX"/>
        </w:rPr>
        <w:t>, así como</w:t>
      </w:r>
      <w:r w:rsidR="00257F56" w:rsidRPr="00A84755">
        <w:rPr>
          <w:color w:val="auto"/>
          <w:lang w:val="es-MX"/>
        </w:rPr>
        <w:t xml:space="preserve"> </w:t>
      </w:r>
      <w:r w:rsidR="00311853" w:rsidRPr="00A84755">
        <w:rPr>
          <w:color w:val="auto"/>
          <w:lang w:val="es-MX"/>
        </w:rPr>
        <w:t xml:space="preserve">la provisión de </w:t>
      </w:r>
      <w:r w:rsidR="00257F56">
        <w:rPr>
          <w:color w:val="auto"/>
          <w:lang w:val="es-MX"/>
        </w:rPr>
        <w:t>dichos</w:t>
      </w:r>
      <w:r w:rsidR="00257F56" w:rsidRPr="00A84755">
        <w:rPr>
          <w:color w:val="auto"/>
          <w:lang w:val="es-MX"/>
        </w:rPr>
        <w:t xml:space="preserve"> </w:t>
      </w:r>
      <w:r w:rsidR="00311853" w:rsidRPr="00A84755">
        <w:rPr>
          <w:color w:val="auto"/>
          <w:lang w:val="es-MX"/>
        </w:rPr>
        <w:t>servicios en condiciones d</w:t>
      </w:r>
      <w:bookmarkStart w:id="0" w:name="_GoBack"/>
      <w:bookmarkEnd w:id="0"/>
      <w:r w:rsidR="00311853" w:rsidRPr="00A84755">
        <w:rPr>
          <w:color w:val="auto"/>
          <w:lang w:val="es-MX"/>
        </w:rPr>
        <w:t>e competencia y libre concurrencia.</w:t>
      </w:r>
    </w:p>
    <w:p w14:paraId="4EB77B44" w14:textId="700ABE7C" w:rsidR="001048A3" w:rsidRPr="00A84755" w:rsidRDefault="00C73B7D" w:rsidP="00257F56">
      <w:pPr>
        <w:pStyle w:val="IFTnormal"/>
        <w:rPr>
          <w:color w:val="auto"/>
          <w:lang w:val="es-MX"/>
        </w:rPr>
      </w:pPr>
      <w:r>
        <w:rPr>
          <w:lang w:val="es-MX"/>
        </w:rPr>
        <w:t>E</w:t>
      </w:r>
      <w:r w:rsidR="00257F56" w:rsidRPr="00257F56">
        <w:rPr>
          <w:lang w:val="es-MX"/>
        </w:rPr>
        <w:t xml:space="preserve">l Instituto fomentará </w:t>
      </w:r>
      <w:r w:rsidR="00584E80" w:rsidRPr="00A84755">
        <w:rPr>
          <w:color w:val="auto"/>
          <w:lang w:val="es-MX"/>
        </w:rPr>
        <w:t>la celebración de convenios entre concesionarios</w:t>
      </w:r>
      <w:r w:rsidR="004A7EC3">
        <w:rPr>
          <w:color w:val="auto"/>
          <w:lang w:val="es-MX"/>
        </w:rPr>
        <w:t xml:space="preserve"> y</w:t>
      </w:r>
      <w:r w:rsidR="00F717EE">
        <w:rPr>
          <w:color w:val="auto"/>
          <w:lang w:val="es-MX"/>
        </w:rPr>
        <w:t>/o</w:t>
      </w:r>
      <w:r w:rsidR="004A7EC3">
        <w:rPr>
          <w:color w:val="auto"/>
          <w:lang w:val="es-MX"/>
        </w:rPr>
        <w:t xml:space="preserve"> autorizados</w:t>
      </w:r>
      <w:r w:rsidR="00584E80" w:rsidRPr="00A84755">
        <w:rPr>
          <w:color w:val="auto"/>
          <w:lang w:val="es-MX"/>
        </w:rPr>
        <w:t xml:space="preserve"> </w:t>
      </w:r>
      <w:r w:rsidR="00803A8D">
        <w:rPr>
          <w:lang w:val="es-MX"/>
        </w:rPr>
        <w:t>para e</w:t>
      </w:r>
      <w:r w:rsidR="00803A8D" w:rsidRPr="00A84755">
        <w:rPr>
          <w:lang w:val="es-MX"/>
        </w:rPr>
        <w:t>l</w:t>
      </w:r>
      <w:r w:rsidR="00803A8D" w:rsidRPr="00A84755">
        <w:rPr>
          <w:lang w:val="es-419"/>
        </w:rPr>
        <w:t xml:space="preserve"> Acceso y Uso</w:t>
      </w:r>
      <w:r w:rsidR="00803A8D" w:rsidRPr="00A84755">
        <w:t xml:space="preserve"> </w:t>
      </w:r>
      <w:r w:rsidR="00803A8D" w:rsidRPr="00A84755">
        <w:rPr>
          <w:lang w:val="es-MX"/>
        </w:rPr>
        <w:t>Compartido de</w:t>
      </w:r>
      <w:r w:rsidR="00803A8D" w:rsidRPr="00A84755">
        <w:rPr>
          <w:lang w:val="es-419"/>
        </w:rPr>
        <w:t xml:space="preserve"> Elementos de</w:t>
      </w:r>
      <w:r w:rsidR="00803A8D">
        <w:rPr>
          <w:lang w:val="es-MX"/>
        </w:rPr>
        <w:t xml:space="preserve"> I</w:t>
      </w:r>
      <w:r w:rsidR="00803A8D" w:rsidRPr="00A84755">
        <w:rPr>
          <w:lang w:val="es-MX"/>
        </w:rPr>
        <w:t>nfraestructura</w:t>
      </w:r>
      <w:r w:rsidR="00803A8D">
        <w:rPr>
          <w:lang w:val="es-MX"/>
        </w:rPr>
        <w:t xml:space="preserve">, </w:t>
      </w:r>
      <w:r w:rsidR="00584E80" w:rsidRPr="00A84755">
        <w:rPr>
          <w:color w:val="auto"/>
          <w:lang w:val="es-MX"/>
        </w:rPr>
        <w:t xml:space="preserve">y </w:t>
      </w:r>
      <w:r w:rsidR="00803A8D">
        <w:rPr>
          <w:color w:val="auto"/>
          <w:lang w:val="es-MX"/>
        </w:rPr>
        <w:t xml:space="preserve">resolverá los </w:t>
      </w:r>
      <w:r w:rsidR="009E0F54" w:rsidRPr="00A84755">
        <w:rPr>
          <w:color w:val="auto"/>
          <w:lang w:val="es-MX"/>
        </w:rPr>
        <w:t xml:space="preserve">desacuerdos </w:t>
      </w:r>
      <w:r w:rsidR="00803A8D">
        <w:rPr>
          <w:color w:val="auto"/>
          <w:lang w:val="es-MX"/>
        </w:rPr>
        <w:t xml:space="preserve">que se susciten </w:t>
      </w:r>
      <w:r w:rsidR="009E0F54" w:rsidRPr="00A84755">
        <w:rPr>
          <w:color w:val="auto"/>
          <w:lang w:val="es-MX"/>
        </w:rPr>
        <w:t>en los siguientes casos</w:t>
      </w:r>
      <w:r w:rsidR="001048A3" w:rsidRPr="00A84755">
        <w:rPr>
          <w:color w:val="auto"/>
          <w:lang w:val="es-MX"/>
        </w:rPr>
        <w:t>:</w:t>
      </w:r>
    </w:p>
    <w:p w14:paraId="7000C2FB" w14:textId="1B051313" w:rsidR="009E0F54" w:rsidRPr="00A84755" w:rsidRDefault="004F2449" w:rsidP="007C3C66">
      <w:pPr>
        <w:pStyle w:val="IFTnormal"/>
        <w:numPr>
          <w:ilvl w:val="1"/>
          <w:numId w:val="33"/>
        </w:numPr>
        <w:rPr>
          <w:color w:val="auto"/>
          <w:lang w:val="es-MX"/>
        </w:rPr>
      </w:pPr>
      <w:r>
        <w:rPr>
          <w:color w:val="auto"/>
          <w:lang w:val="es-MX"/>
        </w:rPr>
        <w:t>Cuando s</w:t>
      </w:r>
      <w:r w:rsidR="00377270" w:rsidRPr="00A84755">
        <w:rPr>
          <w:color w:val="auto"/>
          <w:lang w:val="es-MX"/>
        </w:rPr>
        <w:t>ea I</w:t>
      </w:r>
      <w:r w:rsidR="009E0F54" w:rsidRPr="00A84755">
        <w:rPr>
          <w:color w:val="auto"/>
          <w:lang w:val="es-MX"/>
        </w:rPr>
        <w:t xml:space="preserve">nfraestructura </w:t>
      </w:r>
      <w:r w:rsidR="00854547">
        <w:rPr>
          <w:color w:val="auto"/>
          <w:lang w:val="es-MX"/>
        </w:rPr>
        <w:t>Necesaria</w:t>
      </w:r>
      <w:r w:rsidR="009E0F54" w:rsidRPr="00A84755">
        <w:rPr>
          <w:color w:val="auto"/>
          <w:lang w:val="es-MX"/>
        </w:rPr>
        <w:t>, no existan sustitutos y exista Capacidad</w:t>
      </w:r>
      <w:r w:rsidR="00773CBA">
        <w:rPr>
          <w:color w:val="auto"/>
          <w:lang w:val="es-MX"/>
        </w:rPr>
        <w:t xml:space="preserve"> Susceptible de Utilización</w:t>
      </w:r>
      <w:r w:rsidR="00697656" w:rsidRPr="00A84755">
        <w:rPr>
          <w:color w:val="auto"/>
          <w:lang w:val="es-MX"/>
        </w:rPr>
        <w:t>;</w:t>
      </w:r>
    </w:p>
    <w:p w14:paraId="68450ADF" w14:textId="77777777" w:rsidR="00B93A59" w:rsidRPr="00A84755" w:rsidRDefault="004F2449" w:rsidP="007C3C66">
      <w:pPr>
        <w:pStyle w:val="IFTnormal"/>
        <w:numPr>
          <w:ilvl w:val="1"/>
          <w:numId w:val="33"/>
        </w:numPr>
        <w:rPr>
          <w:color w:val="auto"/>
          <w:lang w:val="es-419"/>
        </w:rPr>
      </w:pPr>
      <w:r>
        <w:rPr>
          <w:color w:val="auto"/>
          <w:lang w:val="es-MX"/>
        </w:rPr>
        <w:t>Cuando l</w:t>
      </w:r>
      <w:r w:rsidR="00B93A59" w:rsidRPr="00A84755">
        <w:rPr>
          <w:color w:val="auto"/>
          <w:lang w:val="es-MX"/>
        </w:rPr>
        <w:t xml:space="preserve">a infraestructura </w:t>
      </w:r>
      <w:r w:rsidR="0019679A" w:rsidRPr="00A84755">
        <w:rPr>
          <w:color w:val="auto"/>
          <w:lang w:val="es-419"/>
        </w:rPr>
        <w:t>se</w:t>
      </w:r>
      <w:r w:rsidR="00161EB7" w:rsidRPr="00A84755">
        <w:rPr>
          <w:color w:val="auto"/>
          <w:lang w:val="es-419"/>
        </w:rPr>
        <w:t xml:space="preserve"> despliegue e</w:t>
      </w:r>
      <w:r w:rsidR="00161EB7" w:rsidRPr="00A84755">
        <w:rPr>
          <w:lang w:val="es-419"/>
        </w:rPr>
        <w:t>n inmuebles</w:t>
      </w:r>
      <w:r w:rsidR="00161EB7" w:rsidRPr="00A84755">
        <w:rPr>
          <w:color w:val="auto"/>
          <w:lang w:val="es-419"/>
        </w:rPr>
        <w:t xml:space="preserve">, </w:t>
      </w:r>
      <w:r w:rsidR="004C1F11" w:rsidRPr="00A84755">
        <w:t>Ducto</w:t>
      </w:r>
      <w:r w:rsidR="00161EB7" w:rsidRPr="00A84755">
        <w:rPr>
          <w:color w:val="auto"/>
          <w:lang w:val="es-419"/>
        </w:rPr>
        <w:t xml:space="preserve">s, </w:t>
      </w:r>
      <w:r w:rsidR="005F137A" w:rsidRPr="00A84755">
        <w:rPr>
          <w:color w:val="auto"/>
          <w:lang w:val="es-419"/>
        </w:rPr>
        <w:t>Postes</w:t>
      </w:r>
      <w:r w:rsidR="00161EB7" w:rsidRPr="00A84755">
        <w:rPr>
          <w:color w:val="auto"/>
          <w:lang w:val="es-419"/>
        </w:rPr>
        <w:t xml:space="preserve"> o Derechos de Vía federales</w:t>
      </w:r>
      <w:r w:rsidR="00697656" w:rsidRPr="00A84755">
        <w:rPr>
          <w:color w:val="auto"/>
          <w:lang w:val="es-419"/>
        </w:rPr>
        <w:t>, o</w:t>
      </w:r>
    </w:p>
    <w:p w14:paraId="3BBEF83C" w14:textId="5F11B155" w:rsidR="00311853" w:rsidRPr="00A84755" w:rsidRDefault="004F2449" w:rsidP="007C3C66">
      <w:pPr>
        <w:pStyle w:val="IFTnormal"/>
        <w:numPr>
          <w:ilvl w:val="1"/>
          <w:numId w:val="33"/>
        </w:numPr>
        <w:rPr>
          <w:color w:val="auto"/>
          <w:lang w:val="es-MX"/>
        </w:rPr>
      </w:pPr>
      <w:r>
        <w:rPr>
          <w:color w:val="auto"/>
          <w:lang w:val="es-MX"/>
        </w:rPr>
        <w:t>Cuando s</w:t>
      </w:r>
      <w:r w:rsidR="00F8727E" w:rsidRPr="00A84755">
        <w:rPr>
          <w:color w:val="auto"/>
          <w:lang w:val="es-MX"/>
        </w:rPr>
        <w:t xml:space="preserve">e trate de redes de telecomunicaciones desplegadas en infraestructura de inmuebles </w:t>
      </w:r>
      <w:r w:rsidR="006B17C6" w:rsidRPr="00A84755">
        <w:rPr>
          <w:color w:val="auto"/>
          <w:lang w:val="es-MX"/>
        </w:rPr>
        <w:t xml:space="preserve">a los que se refiere la fracción IX del artículo 118 de la LFTR </w:t>
      </w:r>
      <w:r w:rsidR="00F8727E" w:rsidRPr="00A84755">
        <w:rPr>
          <w:color w:val="auto"/>
          <w:lang w:val="es-MX"/>
        </w:rPr>
        <w:t xml:space="preserve">y </w:t>
      </w:r>
      <w:r w:rsidR="00861993" w:rsidRPr="00A84755">
        <w:rPr>
          <w:color w:val="auto"/>
          <w:lang w:val="es-MX"/>
        </w:rPr>
        <w:t>se limite el acceso</w:t>
      </w:r>
      <w:r w:rsidR="00F8727E" w:rsidRPr="00A84755">
        <w:rPr>
          <w:color w:val="auto"/>
          <w:lang w:val="es-MX"/>
        </w:rPr>
        <w:t xml:space="preserve"> a esta infraestructura por la existencia de </w:t>
      </w:r>
      <w:r w:rsidR="00861993" w:rsidRPr="00A84755">
        <w:rPr>
          <w:color w:val="auto"/>
          <w:lang w:val="es-MX"/>
        </w:rPr>
        <w:t xml:space="preserve">tratos </w:t>
      </w:r>
      <w:r w:rsidR="00F8727E" w:rsidRPr="00A84755">
        <w:rPr>
          <w:color w:val="auto"/>
          <w:lang w:val="es-MX"/>
        </w:rPr>
        <w:t>de exclusividad</w:t>
      </w:r>
      <w:r w:rsidR="00861993" w:rsidRPr="00A84755">
        <w:rPr>
          <w:color w:val="auto"/>
          <w:lang w:val="es-MX"/>
        </w:rPr>
        <w:t xml:space="preserve">, por trato </w:t>
      </w:r>
      <w:r w:rsidR="009100A0" w:rsidRPr="00A84755">
        <w:rPr>
          <w:color w:val="auto"/>
          <w:lang w:val="es-MX"/>
        </w:rPr>
        <w:t>discriminatorio del</w:t>
      </w:r>
      <w:r w:rsidR="00861993" w:rsidRPr="00A84755">
        <w:rPr>
          <w:color w:val="auto"/>
          <w:lang w:val="es-MX"/>
        </w:rPr>
        <w:t xml:space="preserve"> due</w:t>
      </w:r>
      <w:r w:rsidR="00AD2F07">
        <w:rPr>
          <w:color w:val="auto"/>
          <w:lang w:val="es-MX"/>
        </w:rPr>
        <w:t>ño</w:t>
      </w:r>
      <w:r w:rsidR="00D65EEF">
        <w:rPr>
          <w:color w:val="auto"/>
          <w:lang w:val="es-MX"/>
        </w:rPr>
        <w:t>, poseedor o administrador</w:t>
      </w:r>
      <w:r w:rsidR="00AD2F07">
        <w:rPr>
          <w:color w:val="auto"/>
          <w:lang w:val="es-MX"/>
        </w:rPr>
        <w:t xml:space="preserve"> del inmueble o por falta de C</w:t>
      </w:r>
      <w:r w:rsidR="00861993" w:rsidRPr="00A84755">
        <w:rPr>
          <w:color w:val="auto"/>
          <w:lang w:val="es-MX"/>
        </w:rPr>
        <w:t xml:space="preserve">apacidad en la infraestructura del </w:t>
      </w:r>
      <w:r w:rsidR="00175418">
        <w:rPr>
          <w:color w:val="auto"/>
          <w:lang w:val="es-MX"/>
        </w:rPr>
        <w:t>mismo</w:t>
      </w:r>
      <w:r w:rsidR="00B93A59" w:rsidRPr="00A84755">
        <w:rPr>
          <w:color w:val="auto"/>
          <w:lang w:val="es-MX"/>
        </w:rPr>
        <w:t>.</w:t>
      </w:r>
    </w:p>
    <w:p w14:paraId="1D9CB6AD" w14:textId="0B9505E6" w:rsidR="009838A6" w:rsidRDefault="00377270" w:rsidP="00200A1D">
      <w:pPr>
        <w:pStyle w:val="IFTnormal"/>
        <w:rPr>
          <w:lang w:val="es-419"/>
        </w:rPr>
      </w:pPr>
      <w:r w:rsidRPr="00A84755">
        <w:rPr>
          <w:b/>
        </w:rPr>
        <w:t xml:space="preserve">Artículo </w:t>
      </w:r>
      <w:r w:rsidR="005E36BB" w:rsidRPr="00A84755">
        <w:rPr>
          <w:b/>
        </w:rPr>
        <w:t>2</w:t>
      </w:r>
      <w:r w:rsidRPr="00A84755">
        <w:rPr>
          <w:b/>
        </w:rPr>
        <w:t>.</w:t>
      </w:r>
      <w:r w:rsidRPr="00A84755">
        <w:t xml:space="preserve"> </w:t>
      </w:r>
      <w:r w:rsidRPr="00A84755">
        <w:rPr>
          <w:b/>
        </w:rPr>
        <w:t xml:space="preserve">Aplicabilidad. </w:t>
      </w:r>
      <w:r w:rsidR="00AE5FAF">
        <w:t>L</w:t>
      </w:r>
      <w:r w:rsidRPr="00A84755">
        <w:rPr>
          <w:lang w:val="es-419"/>
        </w:rPr>
        <w:t xml:space="preserve">os procedimientos, derechos y obligaciones </w:t>
      </w:r>
      <w:r w:rsidR="00AE5FAF">
        <w:rPr>
          <w:lang w:val="es-419"/>
        </w:rPr>
        <w:t xml:space="preserve">establecidos </w:t>
      </w:r>
      <w:r w:rsidRPr="00A84755">
        <w:rPr>
          <w:lang w:val="es-419"/>
        </w:rPr>
        <w:t>en los presentes Lineamientos</w:t>
      </w:r>
      <w:r w:rsidR="00887913" w:rsidRPr="00A84755">
        <w:rPr>
          <w:lang w:val="es-419"/>
        </w:rPr>
        <w:t xml:space="preserve"> </w:t>
      </w:r>
      <w:r w:rsidR="00AE5FAF">
        <w:rPr>
          <w:lang w:val="es-419"/>
        </w:rPr>
        <w:t xml:space="preserve">son aplicables </w:t>
      </w:r>
      <w:r w:rsidR="00887913" w:rsidRPr="00A84755">
        <w:rPr>
          <w:lang w:val="es-419"/>
        </w:rPr>
        <w:t>a todos los concesionarios</w:t>
      </w:r>
      <w:r w:rsidR="004A7EC3">
        <w:rPr>
          <w:lang w:val="es-419"/>
        </w:rPr>
        <w:t xml:space="preserve"> y autorizados</w:t>
      </w:r>
      <w:r w:rsidR="00887913" w:rsidRPr="00A84755">
        <w:rPr>
          <w:lang w:val="es-419"/>
        </w:rPr>
        <w:t>.</w:t>
      </w:r>
    </w:p>
    <w:p w14:paraId="2018BCE7" w14:textId="77777777" w:rsidR="00377270" w:rsidRPr="00A84755" w:rsidRDefault="009838A6" w:rsidP="00200A1D">
      <w:pPr>
        <w:pStyle w:val="IFTnormal"/>
        <w:rPr>
          <w:b/>
          <w:color w:val="auto"/>
        </w:rPr>
      </w:pPr>
      <w:r>
        <w:rPr>
          <w:lang w:val="es-419"/>
        </w:rPr>
        <w:t xml:space="preserve">Para el </w:t>
      </w:r>
      <w:r w:rsidR="00887913" w:rsidRPr="00A84755">
        <w:rPr>
          <w:lang w:val="es-419"/>
        </w:rPr>
        <w:t>caso de l</w:t>
      </w:r>
      <w:r w:rsidR="00377270" w:rsidRPr="00A84755">
        <w:t>os agentes</w:t>
      </w:r>
      <w:r w:rsidR="00887913" w:rsidRPr="00A84755">
        <w:t xml:space="preserve"> declarados </w:t>
      </w:r>
      <w:r>
        <w:t xml:space="preserve">por el Instituto </w:t>
      </w:r>
      <w:r w:rsidR="00887913" w:rsidRPr="00A84755">
        <w:t>como preponderantes o</w:t>
      </w:r>
      <w:r w:rsidR="00377270" w:rsidRPr="00A84755">
        <w:t xml:space="preserve"> </w:t>
      </w:r>
      <w:r w:rsidR="00887913" w:rsidRPr="00A84755">
        <w:t xml:space="preserve">con </w:t>
      </w:r>
      <w:r w:rsidR="00377270" w:rsidRPr="00A84755">
        <w:t>poder sustancial</w:t>
      </w:r>
      <w:r>
        <w:t>, los presentes lineamientos</w:t>
      </w:r>
      <w:r w:rsidR="00377270" w:rsidRPr="00A84755">
        <w:t xml:space="preserve"> </w:t>
      </w:r>
      <w:r>
        <w:t xml:space="preserve">resultarán aplicables </w:t>
      </w:r>
      <w:r w:rsidR="00887913" w:rsidRPr="00A84755">
        <w:t>únicamente</w:t>
      </w:r>
      <w:r w:rsidR="00377270" w:rsidRPr="00A84755">
        <w:rPr>
          <w:lang w:val="es-419"/>
        </w:rPr>
        <w:t xml:space="preserve"> cuando los elementos de infraestructura que se traten no estén regulados asimétricamente</w:t>
      </w:r>
      <w:r w:rsidR="00B75955" w:rsidRPr="00A84755">
        <w:rPr>
          <w:lang w:val="es-419"/>
        </w:rPr>
        <w:t>.</w:t>
      </w:r>
    </w:p>
    <w:p w14:paraId="7013AA47" w14:textId="44CCEBA9" w:rsidR="00200A1D" w:rsidRPr="00A84755" w:rsidRDefault="005E36BB" w:rsidP="00200A1D">
      <w:pPr>
        <w:pStyle w:val="IFTnormal"/>
      </w:pPr>
      <w:r w:rsidRPr="00A84755">
        <w:rPr>
          <w:b/>
          <w:color w:val="auto"/>
        </w:rPr>
        <w:t>Artículo 3</w:t>
      </w:r>
      <w:r w:rsidR="00200A1D" w:rsidRPr="00A84755">
        <w:rPr>
          <w:b/>
          <w:color w:val="auto"/>
        </w:rPr>
        <w:t>.</w:t>
      </w:r>
      <w:r w:rsidR="00200A1D" w:rsidRPr="00A84755">
        <w:rPr>
          <w:color w:val="auto"/>
        </w:rPr>
        <w:t xml:space="preserve"> </w:t>
      </w:r>
      <w:r w:rsidR="00200A1D" w:rsidRPr="00A84755">
        <w:rPr>
          <w:b/>
          <w:color w:val="auto"/>
        </w:rPr>
        <w:t>Definiciones</w:t>
      </w:r>
      <w:r w:rsidR="00556612">
        <w:rPr>
          <w:b/>
          <w:color w:val="auto"/>
        </w:rPr>
        <w:t xml:space="preserve"> y Acrónimos</w:t>
      </w:r>
      <w:r w:rsidR="00200A1D" w:rsidRPr="00A84755">
        <w:rPr>
          <w:b/>
          <w:color w:val="auto"/>
        </w:rPr>
        <w:t>.</w:t>
      </w:r>
      <w:r w:rsidR="00200A1D" w:rsidRPr="00A84755">
        <w:rPr>
          <w:color w:val="auto"/>
        </w:rPr>
        <w:t xml:space="preserve"> Para efectos de </w:t>
      </w:r>
      <w:r w:rsidRPr="00A84755">
        <w:rPr>
          <w:color w:val="auto"/>
        </w:rPr>
        <w:t>los presentes Lineamientos y su Anexo Único</w:t>
      </w:r>
      <w:r w:rsidR="00200A1D" w:rsidRPr="00A84755">
        <w:rPr>
          <w:color w:val="auto"/>
        </w:rPr>
        <w:t xml:space="preserve">, además de las definiciones previstas en la </w:t>
      </w:r>
      <w:r w:rsidR="00FE78C5" w:rsidRPr="00D605AA">
        <w:rPr>
          <w:rFonts w:eastAsia="ITC Avant Garde" w:cs="ITC Avant Garde"/>
        </w:rPr>
        <w:t xml:space="preserve">Ley Federal de </w:t>
      </w:r>
      <w:r w:rsidR="00FE78C5" w:rsidRPr="00D605AA">
        <w:rPr>
          <w:rFonts w:eastAsia="ITC Avant Garde" w:cs="ITC Avant Garde"/>
        </w:rPr>
        <w:lastRenderedPageBreak/>
        <w:t>Telecomunicaciones y Radiodifusión</w:t>
      </w:r>
      <w:r w:rsidR="00200A1D" w:rsidRPr="00A84755">
        <w:rPr>
          <w:color w:val="auto"/>
        </w:rPr>
        <w:t xml:space="preserve"> y demás disposiciones </w:t>
      </w:r>
      <w:r w:rsidR="00FE78C5">
        <w:rPr>
          <w:color w:val="auto"/>
        </w:rPr>
        <w:t>aplicables</w:t>
      </w:r>
      <w:r w:rsidR="00256283">
        <w:rPr>
          <w:color w:val="auto"/>
        </w:rPr>
        <w:t xml:space="preserve"> </w:t>
      </w:r>
      <w:r w:rsidR="00FE78C5">
        <w:rPr>
          <w:color w:val="auto"/>
        </w:rPr>
        <w:t>se entenderá por:</w:t>
      </w:r>
    </w:p>
    <w:p w14:paraId="3D78671F" w14:textId="5A8FDD43" w:rsidR="00200A1D" w:rsidRPr="00A84755" w:rsidRDefault="00200A1D" w:rsidP="00F65007">
      <w:pPr>
        <w:pStyle w:val="IFTnormal"/>
        <w:numPr>
          <w:ilvl w:val="0"/>
          <w:numId w:val="30"/>
        </w:numPr>
        <w:rPr>
          <w:color w:val="auto"/>
        </w:rPr>
      </w:pPr>
      <w:r w:rsidRPr="00A84755">
        <w:rPr>
          <w:b/>
          <w:color w:val="auto"/>
        </w:rPr>
        <w:t>Acceso y Uso Compartido de Elementos de Infraestructura</w:t>
      </w:r>
      <w:r w:rsidRPr="00A84755">
        <w:rPr>
          <w:color w:val="auto"/>
        </w:rPr>
        <w:t xml:space="preserve">: Uso por una o más redes públicas de telecomunicaciones de elementos de </w:t>
      </w:r>
      <w:r w:rsidR="006272E1">
        <w:rPr>
          <w:color w:val="auto"/>
        </w:rPr>
        <w:t>i</w:t>
      </w:r>
      <w:r w:rsidRPr="00A84755">
        <w:rPr>
          <w:color w:val="auto"/>
        </w:rPr>
        <w:t>nfraestructura de un Titular de Infraestructura;</w:t>
      </w:r>
    </w:p>
    <w:p w14:paraId="4F18D785" w14:textId="77777777" w:rsidR="00200A1D" w:rsidRPr="00A84755" w:rsidRDefault="00200A1D" w:rsidP="00F65007">
      <w:pPr>
        <w:pStyle w:val="IFTnormal"/>
        <w:numPr>
          <w:ilvl w:val="0"/>
          <w:numId w:val="30"/>
        </w:numPr>
        <w:rPr>
          <w:color w:val="auto"/>
        </w:rPr>
      </w:pPr>
      <w:r w:rsidRPr="00A84755">
        <w:rPr>
          <w:b/>
          <w:color w:val="auto"/>
        </w:rPr>
        <w:t>Cable</w:t>
      </w:r>
      <w:r w:rsidRPr="00A84755">
        <w:rPr>
          <w:color w:val="auto"/>
        </w:rPr>
        <w:t>: Conjunto de conductores aislados integrados en un núcleo compacto y envuelt</w:t>
      </w:r>
      <w:r w:rsidR="00390D6D">
        <w:rPr>
          <w:color w:val="auto"/>
        </w:rPr>
        <w:t>os por una cubierta protectora;</w:t>
      </w:r>
    </w:p>
    <w:p w14:paraId="0710D932" w14:textId="5C237D0A" w:rsidR="00200A1D" w:rsidRPr="00A84755" w:rsidRDefault="00200A1D" w:rsidP="00F65007">
      <w:pPr>
        <w:pStyle w:val="IFTnormal"/>
        <w:numPr>
          <w:ilvl w:val="0"/>
          <w:numId w:val="30"/>
        </w:numPr>
        <w:rPr>
          <w:color w:val="auto"/>
        </w:rPr>
      </w:pPr>
      <w:r w:rsidRPr="00A84755">
        <w:rPr>
          <w:b/>
          <w:color w:val="auto"/>
        </w:rPr>
        <w:t>Capacidad</w:t>
      </w:r>
      <w:r w:rsidRPr="00A84755">
        <w:rPr>
          <w:color w:val="auto"/>
        </w:rPr>
        <w:t>: Espacio físico</w:t>
      </w:r>
      <w:r w:rsidR="00FE78C5">
        <w:rPr>
          <w:color w:val="auto"/>
        </w:rPr>
        <w:t xml:space="preserve"> y/o</w:t>
      </w:r>
      <w:r w:rsidR="00824BCE">
        <w:rPr>
          <w:color w:val="auto"/>
        </w:rPr>
        <w:t xml:space="preserve"> </w:t>
      </w:r>
      <w:r w:rsidRPr="00A84755">
        <w:rPr>
          <w:color w:val="auto"/>
        </w:rPr>
        <w:t xml:space="preserve">potencial para soportar carga de cada elemento de </w:t>
      </w:r>
      <w:r w:rsidR="003323B0">
        <w:rPr>
          <w:color w:val="auto"/>
        </w:rPr>
        <w:t>i</w:t>
      </w:r>
      <w:r w:rsidRPr="00A84755">
        <w:rPr>
          <w:color w:val="auto"/>
        </w:rPr>
        <w:t>nfraestructura;</w:t>
      </w:r>
    </w:p>
    <w:p w14:paraId="2C68F868" w14:textId="654FD733" w:rsidR="00200A1D" w:rsidRPr="00A84755" w:rsidRDefault="00200A1D" w:rsidP="00F65007">
      <w:pPr>
        <w:pStyle w:val="IFTnormal"/>
        <w:numPr>
          <w:ilvl w:val="0"/>
          <w:numId w:val="30"/>
        </w:numPr>
        <w:rPr>
          <w:color w:val="auto"/>
        </w:rPr>
      </w:pPr>
      <w:r w:rsidRPr="00A84755">
        <w:rPr>
          <w:b/>
          <w:color w:val="auto"/>
        </w:rPr>
        <w:t>Capacidad Susceptible de Utilización</w:t>
      </w:r>
      <w:r w:rsidRPr="00A84755">
        <w:rPr>
          <w:color w:val="auto"/>
        </w:rPr>
        <w:t>: Capacidad en cada elemento de infraestructura que no está siendo utilizada, incluyendo aquella que requiera previo reacomodo para su utilización, co</w:t>
      </w:r>
      <w:r w:rsidR="008C1D36" w:rsidRPr="00A84755">
        <w:rPr>
          <w:color w:val="auto"/>
        </w:rPr>
        <w:t>nforme a lo especificado en el A</w:t>
      </w:r>
      <w:r w:rsidRPr="00A84755">
        <w:rPr>
          <w:color w:val="auto"/>
        </w:rPr>
        <w:t>rtículo 1</w:t>
      </w:r>
      <w:r w:rsidR="00815CEE">
        <w:rPr>
          <w:color w:val="auto"/>
        </w:rPr>
        <w:t>0</w:t>
      </w:r>
      <w:r w:rsidRPr="00A84755">
        <w:rPr>
          <w:color w:val="auto"/>
        </w:rPr>
        <w:t xml:space="preserve"> de los presentes Lineamientos;</w:t>
      </w:r>
    </w:p>
    <w:p w14:paraId="0E4B406B" w14:textId="77777777" w:rsidR="00200A1D" w:rsidRPr="00F52D98" w:rsidDel="007D6DCB" w:rsidRDefault="00200A1D" w:rsidP="00F52D98">
      <w:pPr>
        <w:pStyle w:val="IFTnormal"/>
        <w:numPr>
          <w:ilvl w:val="0"/>
          <w:numId w:val="30"/>
        </w:numPr>
        <w:rPr>
          <w:color w:val="auto"/>
        </w:rPr>
      </w:pPr>
      <w:r w:rsidRPr="00A84755">
        <w:rPr>
          <w:b/>
          <w:color w:val="auto"/>
        </w:rPr>
        <w:t>Decreto</w:t>
      </w:r>
      <w:r w:rsidRPr="00A84755">
        <w:rPr>
          <w:color w:val="auto"/>
        </w:rPr>
        <w:t>: Decreto por el que se reforman y adicionan diversas disposiciones de los artículos 6o., 7o., 27, 28, 73, 78, 94 y 105 de la Constitución Política de los Estados Unidos Mexicanos, en materia de telecomunicaciones. Fue publicado en el Diario Oficial de la Federación el 11 de junio de 2013;</w:t>
      </w:r>
    </w:p>
    <w:p w14:paraId="77F2F646" w14:textId="77777777" w:rsidR="00200A1D" w:rsidRPr="00225817" w:rsidRDefault="00200A1D" w:rsidP="00F65007">
      <w:pPr>
        <w:pStyle w:val="IFTnormal"/>
        <w:numPr>
          <w:ilvl w:val="0"/>
          <w:numId w:val="30"/>
        </w:numPr>
        <w:rPr>
          <w:color w:val="auto"/>
        </w:rPr>
      </w:pPr>
      <w:r w:rsidRPr="00A84755" w:rsidDel="007D6DCB">
        <w:rPr>
          <w:b/>
          <w:color w:val="auto"/>
        </w:rPr>
        <w:t>Derecho de Vía</w:t>
      </w:r>
      <w:r w:rsidRPr="00A84755" w:rsidDel="007D6DCB">
        <w:rPr>
          <w:color w:val="auto"/>
        </w:rPr>
        <w:t xml:space="preserve">: El espacio físico de anchura y/o profundidad variable que </w:t>
      </w:r>
      <w:r w:rsidR="00B93A59" w:rsidRPr="00A84755" w:rsidDel="007D6DCB">
        <w:rPr>
          <w:color w:val="auto"/>
        </w:rPr>
        <w:t xml:space="preserve">cuenta </w:t>
      </w:r>
      <w:r w:rsidR="00B93A59" w:rsidRPr="00A84755">
        <w:rPr>
          <w:color w:val="auto"/>
        </w:rPr>
        <w:t>con</w:t>
      </w:r>
      <w:r w:rsidRPr="00A84755">
        <w:rPr>
          <w:color w:val="auto"/>
        </w:rPr>
        <w:t xml:space="preserve"> </w:t>
      </w:r>
      <w:r w:rsidR="00FF7BE5">
        <w:rPr>
          <w:color w:val="auto"/>
        </w:rPr>
        <w:t>d</w:t>
      </w:r>
      <w:r w:rsidRPr="00A84755" w:rsidDel="007D6DCB">
        <w:rPr>
          <w:color w:val="auto"/>
        </w:rPr>
        <w:t xml:space="preserve">erecho de </w:t>
      </w:r>
      <w:r w:rsidR="00FF7BE5">
        <w:rPr>
          <w:color w:val="auto"/>
        </w:rPr>
        <w:t>p</w:t>
      </w:r>
      <w:r w:rsidRPr="00A84755" w:rsidDel="007D6DCB">
        <w:rPr>
          <w:color w:val="auto"/>
        </w:rPr>
        <w:t>aso y</w:t>
      </w:r>
      <w:r w:rsidRPr="00A84755">
        <w:rPr>
          <w:color w:val="auto"/>
        </w:rPr>
        <w:t xml:space="preserve"> </w:t>
      </w:r>
      <w:r w:rsidR="00FF7BE5">
        <w:rPr>
          <w:color w:val="auto"/>
        </w:rPr>
        <w:t>d</w:t>
      </w:r>
      <w:r w:rsidRPr="00A84755">
        <w:rPr>
          <w:color w:val="auto"/>
        </w:rPr>
        <w:t>erecho de</w:t>
      </w:r>
      <w:r w:rsidRPr="00A84755" w:rsidDel="007D6DCB">
        <w:rPr>
          <w:color w:val="auto"/>
        </w:rPr>
        <w:t xml:space="preserve"> </w:t>
      </w:r>
      <w:r w:rsidR="00FF7BE5">
        <w:rPr>
          <w:color w:val="auto"/>
        </w:rPr>
        <w:t>u</w:t>
      </w:r>
      <w:r w:rsidRPr="00A84755" w:rsidDel="007D6DCB">
        <w:rPr>
          <w:color w:val="auto"/>
        </w:rPr>
        <w:t>so necesarios o susceptibles de utilización para la instalación, operación</w:t>
      </w:r>
      <w:r w:rsidRPr="00A84755">
        <w:rPr>
          <w:color w:val="auto"/>
        </w:rPr>
        <w:t xml:space="preserve"> </w:t>
      </w:r>
      <w:r w:rsidR="00B93A59" w:rsidRPr="00A84755">
        <w:rPr>
          <w:color w:val="auto"/>
        </w:rPr>
        <w:t>y</w:t>
      </w:r>
      <w:r w:rsidR="00B93A59" w:rsidRPr="00A84755" w:rsidDel="007D6DCB">
        <w:rPr>
          <w:color w:val="auto"/>
        </w:rPr>
        <w:t xml:space="preserve"> mantenimiento</w:t>
      </w:r>
      <w:r w:rsidRPr="00A84755">
        <w:rPr>
          <w:color w:val="auto"/>
        </w:rPr>
        <w:t>,</w:t>
      </w:r>
      <w:r w:rsidRPr="00A84755" w:rsidDel="007D6DCB">
        <w:rPr>
          <w:color w:val="auto"/>
        </w:rPr>
        <w:t xml:space="preserve"> incluyendo la construcción, conservación, ampliación,</w:t>
      </w:r>
      <w:r w:rsidRPr="00A84755">
        <w:rPr>
          <w:color w:val="auto"/>
        </w:rPr>
        <w:t xml:space="preserve"> </w:t>
      </w:r>
      <w:r w:rsidR="00B93A59" w:rsidRPr="00A84755">
        <w:rPr>
          <w:color w:val="auto"/>
        </w:rPr>
        <w:t xml:space="preserve">y </w:t>
      </w:r>
      <w:r w:rsidR="00B93A59" w:rsidRPr="00A84755" w:rsidDel="007D6DCB">
        <w:rPr>
          <w:color w:val="auto"/>
        </w:rPr>
        <w:t>protección</w:t>
      </w:r>
      <w:r w:rsidRPr="00A84755" w:rsidDel="007D6DCB">
        <w:rPr>
          <w:color w:val="auto"/>
        </w:rPr>
        <w:t xml:space="preserve"> de </w:t>
      </w:r>
      <w:r w:rsidR="00B93A59" w:rsidRPr="00A84755" w:rsidDel="007D6DCB">
        <w:rPr>
          <w:color w:val="auto"/>
        </w:rPr>
        <w:t>las redes</w:t>
      </w:r>
      <w:r w:rsidRPr="00A84755" w:rsidDel="007D6DCB">
        <w:rPr>
          <w:color w:val="auto"/>
        </w:rPr>
        <w:t xml:space="preserve"> públicas de telecomunicaciones, estaciones </w:t>
      </w:r>
      <w:r w:rsidRPr="00225817" w:rsidDel="007D6DCB">
        <w:rPr>
          <w:color w:val="auto"/>
        </w:rPr>
        <w:t>de radiodifusión y equipos complementarios;</w:t>
      </w:r>
    </w:p>
    <w:p w14:paraId="3EDEDE7B" w14:textId="3EA7CC6E" w:rsidR="00200A1D" w:rsidRPr="00225817" w:rsidRDefault="00200A1D" w:rsidP="00F65007">
      <w:pPr>
        <w:pStyle w:val="IFTnormal"/>
        <w:numPr>
          <w:ilvl w:val="0"/>
          <w:numId w:val="30"/>
        </w:numPr>
        <w:rPr>
          <w:color w:val="auto"/>
        </w:rPr>
      </w:pPr>
      <w:r w:rsidRPr="00225817">
        <w:rPr>
          <w:b/>
          <w:color w:val="auto"/>
        </w:rPr>
        <w:t>Despliegue de Infraestructura</w:t>
      </w:r>
      <w:r w:rsidRPr="00225817">
        <w:rPr>
          <w:color w:val="auto"/>
        </w:rPr>
        <w:t>: Actividad de interés y utilidad pública consistente en la colocación de infraestructura destinada al servicio de redes públicas de telecomunicaciones, estaciones de radiodifusión y equipos complementa</w:t>
      </w:r>
      <w:r w:rsidR="00390D6D" w:rsidRPr="00225817">
        <w:rPr>
          <w:color w:val="auto"/>
        </w:rPr>
        <w:t>rios;</w:t>
      </w:r>
    </w:p>
    <w:p w14:paraId="0709E2B0" w14:textId="3C1DE41F" w:rsidR="00200A1D" w:rsidRPr="00A84755" w:rsidRDefault="00200A1D" w:rsidP="00F65007">
      <w:pPr>
        <w:pStyle w:val="IFTnormal"/>
        <w:numPr>
          <w:ilvl w:val="0"/>
          <w:numId w:val="30"/>
        </w:numPr>
        <w:rPr>
          <w:color w:val="auto"/>
        </w:rPr>
      </w:pPr>
      <w:r w:rsidRPr="00A84755">
        <w:rPr>
          <w:b/>
          <w:color w:val="auto"/>
        </w:rPr>
        <w:t>Ducto</w:t>
      </w:r>
      <w:r w:rsidRPr="00A84755">
        <w:rPr>
          <w:color w:val="auto"/>
        </w:rPr>
        <w:t xml:space="preserve">: </w:t>
      </w:r>
      <w:r w:rsidR="00236510" w:rsidRPr="00A84755">
        <w:rPr>
          <w:color w:val="auto"/>
        </w:rPr>
        <w:t>Estructura de canalización</w:t>
      </w:r>
      <w:r w:rsidRPr="00A84755">
        <w:rPr>
          <w:color w:val="auto"/>
        </w:rPr>
        <w:t xml:space="preserve"> cerrada </w:t>
      </w:r>
      <w:r w:rsidR="00236510" w:rsidRPr="00A84755">
        <w:rPr>
          <w:color w:val="auto"/>
        </w:rPr>
        <w:t xml:space="preserve">de un diámetro específico, </w:t>
      </w:r>
      <w:r w:rsidRPr="00A84755">
        <w:rPr>
          <w:color w:val="auto"/>
        </w:rPr>
        <w:t xml:space="preserve">que se </w:t>
      </w:r>
      <w:r w:rsidR="00236510" w:rsidRPr="00A84755">
        <w:rPr>
          <w:color w:val="auto"/>
        </w:rPr>
        <w:t>emplea</w:t>
      </w:r>
      <w:r w:rsidRPr="00A84755">
        <w:rPr>
          <w:color w:val="auto"/>
        </w:rPr>
        <w:t xml:space="preserve"> como vía para alojar y proteger </w:t>
      </w:r>
      <w:r w:rsidR="008137B7">
        <w:rPr>
          <w:color w:val="auto"/>
        </w:rPr>
        <w:t>C</w:t>
      </w:r>
      <w:r w:rsidR="00236510" w:rsidRPr="00A84755">
        <w:rPr>
          <w:color w:val="auto"/>
        </w:rPr>
        <w:t>ables</w:t>
      </w:r>
      <w:r w:rsidRPr="00A84755">
        <w:rPr>
          <w:color w:val="auto"/>
        </w:rPr>
        <w:t xml:space="preserve"> de material </w:t>
      </w:r>
      <w:r w:rsidR="00236510" w:rsidRPr="00A84755">
        <w:rPr>
          <w:color w:val="auto"/>
        </w:rPr>
        <w:t>y tamaños variables</w:t>
      </w:r>
      <w:r w:rsidRPr="00A84755">
        <w:rPr>
          <w:color w:val="auto"/>
        </w:rPr>
        <w:t>;</w:t>
      </w:r>
    </w:p>
    <w:p w14:paraId="363E675C" w14:textId="77777777" w:rsidR="00200A1D" w:rsidRPr="00A84755" w:rsidRDefault="00200A1D" w:rsidP="00F65007">
      <w:pPr>
        <w:pStyle w:val="IFTnormal"/>
        <w:numPr>
          <w:ilvl w:val="0"/>
          <w:numId w:val="30"/>
        </w:numPr>
        <w:rPr>
          <w:color w:val="auto"/>
        </w:rPr>
      </w:pPr>
      <w:r w:rsidRPr="00A84755">
        <w:rPr>
          <w:b/>
          <w:color w:val="auto"/>
        </w:rPr>
        <w:t>Infraestructura Activa</w:t>
      </w:r>
      <w:r w:rsidRPr="00A84755">
        <w:rPr>
          <w:color w:val="auto"/>
        </w:rPr>
        <w:t>: Elementos de las redes de telecomunicaciones o radiodifusión que almacenan, emiten, procesan, reciben o transmiten escritos, imágenes, sonidos, señales, signos o información de cualquier naturaleza;</w:t>
      </w:r>
    </w:p>
    <w:p w14:paraId="1310142F" w14:textId="0421BDF8" w:rsidR="00200A1D" w:rsidRPr="00A84755" w:rsidRDefault="00200A1D" w:rsidP="00F65007">
      <w:pPr>
        <w:pStyle w:val="IFTnormal"/>
        <w:numPr>
          <w:ilvl w:val="0"/>
          <w:numId w:val="30"/>
        </w:numPr>
        <w:rPr>
          <w:color w:val="auto"/>
        </w:rPr>
      </w:pPr>
      <w:r w:rsidRPr="00A84755">
        <w:rPr>
          <w:b/>
          <w:color w:val="auto"/>
        </w:rPr>
        <w:lastRenderedPageBreak/>
        <w:t>Infraestructura Necesaria</w:t>
      </w:r>
      <w:r w:rsidRPr="00A84755">
        <w:rPr>
          <w:color w:val="auto"/>
        </w:rPr>
        <w:t>: Para efectos de lo dispuesto en el artículo 139 de la LFTR, aquellos elementos de infraestructura esenciales para la prestación de servicios públicos de telecomunicaciones y/o radiodifusión</w:t>
      </w:r>
      <w:r w:rsidR="00390D6D">
        <w:rPr>
          <w:color w:val="auto"/>
        </w:rPr>
        <w:t>;</w:t>
      </w:r>
    </w:p>
    <w:p w14:paraId="6AE307CB" w14:textId="04798DD0" w:rsidR="00200A1D" w:rsidRPr="00A84755" w:rsidRDefault="00200A1D" w:rsidP="00F65007">
      <w:pPr>
        <w:pStyle w:val="IFTnormal"/>
        <w:numPr>
          <w:ilvl w:val="0"/>
          <w:numId w:val="30"/>
        </w:numPr>
        <w:rPr>
          <w:color w:val="auto"/>
        </w:rPr>
      </w:pPr>
      <w:r w:rsidRPr="00A84755">
        <w:rPr>
          <w:b/>
          <w:color w:val="auto"/>
        </w:rPr>
        <w:t>Infraestructura Pasiva</w:t>
      </w:r>
      <w:r w:rsidRPr="00A84755">
        <w:rPr>
          <w:color w:val="auto"/>
        </w:rPr>
        <w:t xml:space="preserve">: Elementos accesorios que proporcionan soporte a la </w:t>
      </w:r>
      <w:r w:rsidR="00B93A59" w:rsidRPr="00A84755">
        <w:rPr>
          <w:color w:val="auto"/>
        </w:rPr>
        <w:t>Infraestructura Activa</w:t>
      </w:r>
      <w:r w:rsidRPr="00A84755">
        <w:rPr>
          <w:color w:val="auto"/>
        </w:rPr>
        <w:t xml:space="preserve">, entre otros, bastidores, cableado subterráneo y aéreo, canalizaciones, construcciones, Ductos, obras, Postes, sistemas de suministro y respaldo de energía eléctrica, sistemas de climatización, </w:t>
      </w:r>
      <w:r w:rsidR="00B461A7">
        <w:rPr>
          <w:color w:val="auto"/>
        </w:rPr>
        <w:t>S</w:t>
      </w:r>
      <w:r w:rsidRPr="00A84755">
        <w:rPr>
          <w:color w:val="auto"/>
        </w:rPr>
        <w:t xml:space="preserve">itios, </w:t>
      </w:r>
      <w:r w:rsidR="00236510" w:rsidRPr="00A84755">
        <w:rPr>
          <w:color w:val="auto"/>
        </w:rPr>
        <w:t>T</w:t>
      </w:r>
      <w:r w:rsidRPr="00A84755">
        <w:rPr>
          <w:color w:val="auto"/>
        </w:rPr>
        <w:t>orres y demás aditamentos, incluyendo Derechos de Vía, que sean necesarios para la instalación y operación de las redes, así como para la prestación de servicios de telecomunicaciones y radiodifusión;</w:t>
      </w:r>
    </w:p>
    <w:p w14:paraId="22AEE3D8" w14:textId="00539BE8" w:rsidR="00200A1D" w:rsidRPr="00A84755" w:rsidRDefault="00200A1D" w:rsidP="00F65007">
      <w:pPr>
        <w:pStyle w:val="IFTnormal"/>
        <w:numPr>
          <w:ilvl w:val="0"/>
          <w:numId w:val="30"/>
        </w:numPr>
        <w:rPr>
          <w:color w:val="auto"/>
        </w:rPr>
      </w:pPr>
      <w:r w:rsidRPr="00A84755">
        <w:rPr>
          <w:b/>
          <w:color w:val="auto"/>
        </w:rPr>
        <w:t>Lineamientos</w:t>
      </w:r>
      <w:r w:rsidRPr="00A84755">
        <w:rPr>
          <w:color w:val="auto"/>
        </w:rPr>
        <w:t>: Los presentes lineamientos para el despliegue</w:t>
      </w:r>
      <w:r w:rsidR="00803A8D">
        <w:rPr>
          <w:color w:val="auto"/>
        </w:rPr>
        <w:t>,</w:t>
      </w:r>
      <w:r w:rsidRPr="00A84755">
        <w:rPr>
          <w:color w:val="auto"/>
        </w:rPr>
        <w:t xml:space="preserve"> acceso y uso compartido de infraestructura de telecomunicaciones y radiodifusión;</w:t>
      </w:r>
    </w:p>
    <w:p w14:paraId="356C9162" w14:textId="464208C1" w:rsidR="00D44DB4" w:rsidRPr="00A84755" w:rsidRDefault="00D44DB4" w:rsidP="00D44DB4">
      <w:pPr>
        <w:pStyle w:val="IFTnormal"/>
        <w:numPr>
          <w:ilvl w:val="0"/>
          <w:numId w:val="30"/>
        </w:numPr>
      </w:pPr>
      <w:r w:rsidRPr="00A84755">
        <w:rPr>
          <w:b/>
        </w:rPr>
        <w:t>LFTR</w:t>
      </w:r>
      <w:r w:rsidRPr="00A84755">
        <w:t>: Ley Federal de Telecomunicaciones y Radiodifusión</w:t>
      </w:r>
      <w:r w:rsidR="00E47665">
        <w:t>;</w:t>
      </w:r>
    </w:p>
    <w:p w14:paraId="2A679AEE" w14:textId="366F2C48" w:rsidR="00D561BB" w:rsidRPr="00225817" w:rsidRDefault="00D561BB" w:rsidP="00F65007">
      <w:pPr>
        <w:pStyle w:val="IFTnormal"/>
        <w:numPr>
          <w:ilvl w:val="0"/>
          <w:numId w:val="30"/>
        </w:numPr>
        <w:rPr>
          <w:color w:val="auto"/>
        </w:rPr>
      </w:pPr>
      <w:r w:rsidRPr="00A84755">
        <w:rPr>
          <w:b/>
          <w:color w:val="auto"/>
        </w:rPr>
        <w:t>Módulo de Obras Civiles</w:t>
      </w:r>
      <w:r w:rsidRPr="00A84755">
        <w:rPr>
          <w:color w:val="auto"/>
        </w:rPr>
        <w:t xml:space="preserve">: </w:t>
      </w:r>
      <w:r w:rsidR="00084B96">
        <w:rPr>
          <w:color w:val="auto"/>
        </w:rPr>
        <w:t>Micrositio</w:t>
      </w:r>
      <w:r w:rsidR="00084B96" w:rsidRPr="00A84755">
        <w:rPr>
          <w:color w:val="auto"/>
        </w:rPr>
        <w:t xml:space="preserve"> </w:t>
      </w:r>
      <w:r w:rsidRPr="00A84755">
        <w:rPr>
          <w:color w:val="auto"/>
        </w:rPr>
        <w:t xml:space="preserve">en el SNII que permitirá a concesionarios </w:t>
      </w:r>
      <w:r w:rsidR="004A7EC3">
        <w:rPr>
          <w:color w:val="auto"/>
        </w:rPr>
        <w:t xml:space="preserve">y autorizados </w:t>
      </w:r>
      <w:r w:rsidRPr="00A84755">
        <w:rPr>
          <w:color w:val="auto"/>
        </w:rPr>
        <w:t>publicar información relevante acerca de Obras Civiles</w:t>
      </w:r>
      <w:r w:rsidR="00084B96">
        <w:rPr>
          <w:color w:val="auto"/>
        </w:rPr>
        <w:t>,</w:t>
      </w:r>
      <w:r w:rsidRPr="00A84755">
        <w:rPr>
          <w:color w:val="auto"/>
        </w:rPr>
        <w:t xml:space="preserve"> con el objeto de que las mismas sean realizadas </w:t>
      </w:r>
      <w:r w:rsidR="00084B96">
        <w:rPr>
          <w:color w:val="auto"/>
        </w:rPr>
        <w:t xml:space="preserve">con otros </w:t>
      </w:r>
      <w:r w:rsidR="00084B96" w:rsidRPr="00225817">
        <w:rPr>
          <w:color w:val="auto"/>
        </w:rPr>
        <w:t>concesionarios</w:t>
      </w:r>
      <w:r w:rsidR="004A7EC3">
        <w:rPr>
          <w:color w:val="auto"/>
        </w:rPr>
        <w:t xml:space="preserve"> y</w:t>
      </w:r>
      <w:r w:rsidR="00F717EE">
        <w:rPr>
          <w:color w:val="auto"/>
        </w:rPr>
        <w:t>/o</w:t>
      </w:r>
      <w:r w:rsidR="004A7EC3">
        <w:rPr>
          <w:color w:val="auto"/>
        </w:rPr>
        <w:t xml:space="preserve"> autorizados</w:t>
      </w:r>
      <w:r w:rsidR="00084B96" w:rsidRPr="00225817">
        <w:rPr>
          <w:color w:val="auto"/>
        </w:rPr>
        <w:t xml:space="preserve"> </w:t>
      </w:r>
      <w:r w:rsidRPr="00225817">
        <w:rPr>
          <w:color w:val="auto"/>
        </w:rPr>
        <w:t>de manera coordinada</w:t>
      </w:r>
      <w:r w:rsidR="009153D5" w:rsidRPr="00225817">
        <w:rPr>
          <w:color w:val="auto"/>
        </w:rPr>
        <w:t>;</w:t>
      </w:r>
    </w:p>
    <w:p w14:paraId="63AF5E8C" w14:textId="4820244C" w:rsidR="00200A1D" w:rsidRPr="00225817" w:rsidRDefault="00200A1D" w:rsidP="00F65007">
      <w:pPr>
        <w:pStyle w:val="IFTnormal"/>
        <w:numPr>
          <w:ilvl w:val="0"/>
          <w:numId w:val="30"/>
        </w:numPr>
        <w:rPr>
          <w:color w:val="auto"/>
        </w:rPr>
      </w:pPr>
      <w:r w:rsidRPr="00225817">
        <w:rPr>
          <w:b/>
          <w:color w:val="auto"/>
        </w:rPr>
        <w:t>Obra Civil</w:t>
      </w:r>
      <w:r w:rsidRPr="00225817">
        <w:rPr>
          <w:color w:val="auto"/>
        </w:rPr>
        <w:t>: Actividad que comprende la realización de cualquier construcción, excavación, cimentación, reforzamiento, adecuación de estructuras, otra obra o combinación de ellas</w:t>
      </w:r>
      <w:r w:rsidR="00D71FF7" w:rsidRPr="00225817">
        <w:rPr>
          <w:color w:val="auto"/>
        </w:rPr>
        <w:t xml:space="preserve"> que requiera de alguna autorización federal, estatal o municipal y</w:t>
      </w:r>
      <w:r w:rsidRPr="00225817">
        <w:rPr>
          <w:color w:val="auto"/>
        </w:rPr>
        <w:t xml:space="preserve"> </w:t>
      </w:r>
      <w:r w:rsidR="00D71FF7" w:rsidRPr="00225817">
        <w:rPr>
          <w:color w:val="auto"/>
        </w:rPr>
        <w:t>que servirán para el desarrollo de redes públicas de telecomunicaciones, estaciones de radiodifusión y equipos complementarios</w:t>
      </w:r>
      <w:r w:rsidRPr="00225817">
        <w:rPr>
          <w:color w:val="auto"/>
        </w:rPr>
        <w:t>;</w:t>
      </w:r>
    </w:p>
    <w:p w14:paraId="59CB02A4" w14:textId="77777777" w:rsidR="00200A1D" w:rsidRPr="00A84755" w:rsidRDefault="00200A1D" w:rsidP="00F65007">
      <w:pPr>
        <w:pStyle w:val="IFTnormal"/>
        <w:numPr>
          <w:ilvl w:val="0"/>
          <w:numId w:val="30"/>
        </w:numPr>
        <w:rPr>
          <w:color w:val="auto"/>
        </w:rPr>
      </w:pPr>
      <w:r w:rsidRPr="00A84755">
        <w:rPr>
          <w:b/>
          <w:color w:val="auto"/>
        </w:rPr>
        <w:t>Poste</w:t>
      </w:r>
      <w:r w:rsidRPr="00A84755">
        <w:rPr>
          <w:color w:val="auto"/>
        </w:rPr>
        <w:t xml:space="preserve">: </w:t>
      </w:r>
      <w:r w:rsidR="00236510" w:rsidRPr="00A84755">
        <w:rPr>
          <w:color w:val="auto"/>
        </w:rPr>
        <w:t>Estructura</w:t>
      </w:r>
      <w:r w:rsidRPr="00A84755">
        <w:rPr>
          <w:color w:val="auto"/>
        </w:rPr>
        <w:t xml:space="preserve"> </w:t>
      </w:r>
      <w:r w:rsidR="00B94CC8" w:rsidRPr="00A84755">
        <w:rPr>
          <w:color w:val="auto"/>
        </w:rPr>
        <w:t xml:space="preserve">de material variable </w:t>
      </w:r>
      <w:r w:rsidRPr="00A84755">
        <w:rPr>
          <w:color w:val="auto"/>
        </w:rPr>
        <w:t>que funge como soporte</w:t>
      </w:r>
      <w:r w:rsidR="00236510" w:rsidRPr="00A84755">
        <w:rPr>
          <w:color w:val="auto"/>
        </w:rPr>
        <w:t>, utilizada</w:t>
      </w:r>
      <w:r w:rsidRPr="00A84755">
        <w:rPr>
          <w:color w:val="auto"/>
        </w:rPr>
        <w:t xml:space="preserve"> para </w:t>
      </w:r>
      <w:r w:rsidR="00236510" w:rsidRPr="00A84755">
        <w:rPr>
          <w:color w:val="auto"/>
        </w:rPr>
        <w:t>el tendido</w:t>
      </w:r>
      <w:r w:rsidRPr="00A84755">
        <w:rPr>
          <w:color w:val="auto"/>
        </w:rPr>
        <w:t xml:space="preserve"> de </w:t>
      </w:r>
      <w:r w:rsidR="00236510" w:rsidRPr="00A84755">
        <w:rPr>
          <w:color w:val="auto"/>
        </w:rPr>
        <w:t xml:space="preserve">cableado eléctrico y </w:t>
      </w:r>
      <w:r w:rsidRPr="00A84755">
        <w:rPr>
          <w:color w:val="auto"/>
        </w:rPr>
        <w:t>de telecomunicaciones;</w:t>
      </w:r>
    </w:p>
    <w:p w14:paraId="5C3128FD" w14:textId="1F08B218" w:rsidR="00200A1D" w:rsidRPr="00F52D98" w:rsidRDefault="00200A1D" w:rsidP="00F65007">
      <w:pPr>
        <w:pStyle w:val="IFTnormal"/>
        <w:numPr>
          <w:ilvl w:val="0"/>
          <w:numId w:val="30"/>
        </w:numPr>
        <w:rPr>
          <w:color w:val="auto"/>
        </w:rPr>
      </w:pPr>
      <w:r w:rsidRPr="00A84755">
        <w:rPr>
          <w:b/>
          <w:color w:val="auto"/>
        </w:rPr>
        <w:t>Pozo</w:t>
      </w:r>
      <w:r w:rsidRPr="00A84755">
        <w:rPr>
          <w:color w:val="auto"/>
        </w:rPr>
        <w:t xml:space="preserve">: Recinto subterráneo accesible desde el exterior al personal para ejecutar maniobras de instalación, terminación, distribución y tendido de Cables, así como mantenimiento de equipos, elementos de </w:t>
      </w:r>
      <w:r w:rsidR="007A773B">
        <w:rPr>
          <w:color w:val="auto"/>
        </w:rPr>
        <w:t>c</w:t>
      </w:r>
      <w:r w:rsidRPr="00A84755">
        <w:rPr>
          <w:color w:val="auto"/>
        </w:rPr>
        <w:t xml:space="preserve">onexión, </w:t>
      </w:r>
      <w:r w:rsidR="007A773B">
        <w:rPr>
          <w:color w:val="auto"/>
        </w:rPr>
        <w:t>d</w:t>
      </w:r>
      <w:r w:rsidRPr="00A84755">
        <w:rPr>
          <w:color w:val="auto"/>
        </w:rPr>
        <w:t xml:space="preserve">ispersión, protección a tierra, Cables y sus accesorios. </w:t>
      </w:r>
      <w:r w:rsidRPr="00E17502">
        <w:rPr>
          <w:color w:val="auto"/>
        </w:rPr>
        <w:t xml:space="preserve">Por sus dimensiones se dividen en </w:t>
      </w:r>
      <w:r w:rsidR="00397C9E" w:rsidRPr="00E17502">
        <w:rPr>
          <w:color w:val="auto"/>
        </w:rPr>
        <w:t xml:space="preserve">Pozos pequeños donde no cabe una persona (handhole), </w:t>
      </w:r>
      <w:r w:rsidRPr="00F52D98">
        <w:rPr>
          <w:color w:val="auto"/>
        </w:rPr>
        <w:t>Pozos de acceso o visita</w:t>
      </w:r>
      <w:r w:rsidR="00397C9E" w:rsidRPr="00F52D98">
        <w:rPr>
          <w:color w:val="auto"/>
        </w:rPr>
        <w:t xml:space="preserve"> donde cabe una persona</w:t>
      </w:r>
      <w:r w:rsidRPr="00F52D98">
        <w:rPr>
          <w:color w:val="auto"/>
        </w:rPr>
        <w:t xml:space="preserve"> (manhole) y Pozos de mayores dimensiones o bóvedas (búnker);</w:t>
      </w:r>
    </w:p>
    <w:p w14:paraId="2BA50422" w14:textId="020BAFD9" w:rsidR="00E47665" w:rsidRPr="00F52D98" w:rsidRDefault="00E47665" w:rsidP="00E47665">
      <w:pPr>
        <w:pStyle w:val="IFTnormal"/>
        <w:numPr>
          <w:ilvl w:val="0"/>
          <w:numId w:val="30"/>
        </w:numPr>
        <w:rPr>
          <w:color w:val="auto"/>
        </w:rPr>
      </w:pPr>
      <w:r w:rsidRPr="00D238DE">
        <w:rPr>
          <w:b/>
          <w:color w:val="auto"/>
        </w:rPr>
        <w:t>Sitio</w:t>
      </w:r>
      <w:r>
        <w:rPr>
          <w:color w:val="auto"/>
        </w:rPr>
        <w:t xml:space="preserve">: </w:t>
      </w:r>
      <w:r w:rsidRPr="00E47665">
        <w:rPr>
          <w:color w:val="auto"/>
        </w:rPr>
        <w:t xml:space="preserve">Inmueble que contiene al conjunto de equipos y en algunos casos a las antenas, torres, instalaciones de equipo y de alimentaciones </w:t>
      </w:r>
      <w:r w:rsidRPr="00E47665">
        <w:rPr>
          <w:color w:val="auto"/>
        </w:rPr>
        <w:lastRenderedPageBreak/>
        <w:t>conexas, seguridad, equipos auxiliares o equipos de control, espacios físicos salvo estudios, así como fuentes de energía y sistemas de aire acondicionado que son utilizados para proveer el servicio de televisión y/o radio</w:t>
      </w:r>
      <w:r>
        <w:rPr>
          <w:color w:val="auto"/>
        </w:rPr>
        <w:t>;</w:t>
      </w:r>
    </w:p>
    <w:p w14:paraId="3A6CE5C5" w14:textId="6E56A3AF" w:rsidR="00D44DB4" w:rsidRPr="00A84755" w:rsidRDefault="00D44DB4" w:rsidP="00D44DB4">
      <w:pPr>
        <w:pStyle w:val="IFTnormal"/>
        <w:numPr>
          <w:ilvl w:val="0"/>
          <w:numId w:val="30"/>
        </w:numPr>
        <w:rPr>
          <w:color w:val="auto"/>
        </w:rPr>
      </w:pPr>
      <w:r w:rsidRPr="00A84755">
        <w:rPr>
          <w:b/>
          <w:color w:val="auto"/>
        </w:rPr>
        <w:t>SNII</w:t>
      </w:r>
      <w:r w:rsidRPr="00A84755">
        <w:rPr>
          <w:color w:val="auto"/>
        </w:rPr>
        <w:t>: Sistema Nacional de Información de Infraestructura</w:t>
      </w:r>
      <w:r w:rsidR="00E47665">
        <w:rPr>
          <w:color w:val="auto"/>
        </w:rPr>
        <w:t>;</w:t>
      </w:r>
    </w:p>
    <w:p w14:paraId="64FE62D3" w14:textId="04562651" w:rsidR="00200A1D" w:rsidRPr="00A84755" w:rsidRDefault="00200A1D" w:rsidP="00F65007">
      <w:pPr>
        <w:pStyle w:val="IFTnormal"/>
        <w:numPr>
          <w:ilvl w:val="0"/>
          <w:numId w:val="30"/>
        </w:numPr>
        <w:rPr>
          <w:color w:val="auto"/>
        </w:rPr>
      </w:pPr>
      <w:r w:rsidRPr="00A84755">
        <w:rPr>
          <w:b/>
          <w:color w:val="auto"/>
        </w:rPr>
        <w:t>Solicitante de Acceso y Uso Compartido</w:t>
      </w:r>
      <w:r w:rsidRPr="00A84755">
        <w:rPr>
          <w:color w:val="auto"/>
        </w:rPr>
        <w:t xml:space="preserve">: Concesionario </w:t>
      </w:r>
      <w:r w:rsidR="004A7EC3">
        <w:rPr>
          <w:color w:val="auto"/>
        </w:rPr>
        <w:t xml:space="preserve">o autorizado </w:t>
      </w:r>
      <w:r w:rsidRPr="00A84755">
        <w:rPr>
          <w:color w:val="auto"/>
        </w:rPr>
        <w:t>que solicita a un Titular de Infraestructura información o directamente el Acceso y Uso Compartido de Elementos de Infraestructura;</w:t>
      </w:r>
    </w:p>
    <w:p w14:paraId="0E222E98" w14:textId="25CC19CF" w:rsidR="00236510" w:rsidRPr="00A84755" w:rsidRDefault="00200A1D" w:rsidP="00F65007">
      <w:pPr>
        <w:pStyle w:val="IFTnormal"/>
        <w:numPr>
          <w:ilvl w:val="0"/>
          <w:numId w:val="30"/>
        </w:numPr>
        <w:rPr>
          <w:color w:val="auto"/>
        </w:rPr>
      </w:pPr>
      <w:r w:rsidRPr="00A84755">
        <w:rPr>
          <w:b/>
          <w:color w:val="auto"/>
        </w:rPr>
        <w:t>Titular de Infraestructura</w:t>
      </w:r>
      <w:r w:rsidRPr="00A84755">
        <w:rPr>
          <w:color w:val="auto"/>
        </w:rPr>
        <w:t>: Todos aquellos concesionarios</w:t>
      </w:r>
      <w:r w:rsidR="001A586A">
        <w:rPr>
          <w:color w:val="auto"/>
        </w:rPr>
        <w:t xml:space="preserve"> o</w:t>
      </w:r>
      <w:r w:rsidR="004A7EC3">
        <w:rPr>
          <w:color w:val="auto"/>
        </w:rPr>
        <w:t xml:space="preserve"> autorizados</w:t>
      </w:r>
      <w:r w:rsidRPr="00A84755">
        <w:rPr>
          <w:color w:val="auto"/>
        </w:rPr>
        <w:t xml:space="preserve"> que ostenten el control, la propiedad, la posesión, la tenencia o que a través de cualquier título</w:t>
      </w:r>
      <w:r w:rsidR="00B94CC8">
        <w:rPr>
          <w:color w:val="auto"/>
        </w:rPr>
        <w:t>,</w:t>
      </w:r>
      <w:r w:rsidRPr="00A84755">
        <w:rPr>
          <w:color w:val="auto"/>
        </w:rPr>
        <w:t xml:space="preserve"> ejerzan derechos sob</w:t>
      </w:r>
      <w:r w:rsidR="005E36BB" w:rsidRPr="00A84755">
        <w:rPr>
          <w:color w:val="auto"/>
        </w:rPr>
        <w:t>re elementos de infraestructura</w:t>
      </w:r>
      <w:r w:rsidR="00236510" w:rsidRPr="00A84755">
        <w:rPr>
          <w:color w:val="auto"/>
        </w:rPr>
        <w:t>;</w:t>
      </w:r>
    </w:p>
    <w:p w14:paraId="50622CF3" w14:textId="77777777" w:rsidR="00200A1D" w:rsidRPr="00A84755" w:rsidRDefault="00236510" w:rsidP="00F65007">
      <w:pPr>
        <w:pStyle w:val="IFTnormal"/>
        <w:numPr>
          <w:ilvl w:val="0"/>
          <w:numId w:val="30"/>
        </w:numPr>
        <w:rPr>
          <w:color w:val="auto"/>
        </w:rPr>
      </w:pPr>
      <w:r w:rsidRPr="00A84755">
        <w:rPr>
          <w:b/>
          <w:color w:val="auto"/>
        </w:rPr>
        <w:t>Torre</w:t>
      </w:r>
      <w:r w:rsidRPr="00A84755">
        <w:rPr>
          <w:color w:val="auto"/>
        </w:rPr>
        <w:t>: Estructura de material variable que puede fungir como sistema radiador o como soporte para sostener cableado eléctrico, infraestructura o medios de transmisión de telecomunicaciones y/o radiodifusión</w:t>
      </w:r>
      <w:r w:rsidR="005E36BB" w:rsidRPr="00A84755">
        <w:rPr>
          <w:color w:val="auto"/>
        </w:rPr>
        <w:t>, y</w:t>
      </w:r>
    </w:p>
    <w:p w14:paraId="2420FFAA" w14:textId="7028F9F2" w:rsidR="00D44DB4" w:rsidRPr="00D44DB4" w:rsidRDefault="00200A1D" w:rsidP="00D44DB4">
      <w:pPr>
        <w:pStyle w:val="IFTnormal"/>
        <w:numPr>
          <w:ilvl w:val="0"/>
          <w:numId w:val="30"/>
        </w:numPr>
        <w:rPr>
          <w:color w:val="auto"/>
        </w:rPr>
      </w:pPr>
      <w:r w:rsidRPr="00A84755">
        <w:rPr>
          <w:b/>
          <w:color w:val="auto"/>
        </w:rPr>
        <w:t>Visita Técnica</w:t>
      </w:r>
      <w:r w:rsidRPr="00A84755">
        <w:rPr>
          <w:color w:val="auto"/>
        </w:rPr>
        <w:t xml:space="preserve">: Actividad conjunta por parte del Solicitante de Acceso y Uso Compartido y del Titular de Infraestructura a fin de analizar y determinar </w:t>
      </w:r>
      <w:r w:rsidRPr="00806529">
        <w:rPr>
          <w:i/>
          <w:color w:val="auto"/>
        </w:rPr>
        <w:t>in situ</w:t>
      </w:r>
      <w:r w:rsidRPr="00A84755">
        <w:rPr>
          <w:color w:val="auto"/>
        </w:rPr>
        <w:t xml:space="preserve"> los elementos de infraestructura sobre los que efectivamente se podría ejercer el Acceso y Uso Compartido de Elementos de Infraestructura.</w:t>
      </w:r>
    </w:p>
    <w:p w14:paraId="0B08B08D" w14:textId="71F9DD6D" w:rsidR="00A00095" w:rsidRPr="00A84755" w:rsidRDefault="00A00095" w:rsidP="00A00095">
      <w:pPr>
        <w:pStyle w:val="IFTnormal"/>
        <w:rPr>
          <w:b/>
          <w:color w:val="auto"/>
        </w:rPr>
      </w:pPr>
      <w:r w:rsidRPr="00A84755">
        <w:rPr>
          <w:b/>
          <w:color w:val="auto"/>
        </w:rPr>
        <w:t>Artícu</w:t>
      </w:r>
      <w:r w:rsidR="005E36BB" w:rsidRPr="00A84755">
        <w:rPr>
          <w:b/>
          <w:color w:val="auto"/>
        </w:rPr>
        <w:t xml:space="preserve">lo </w:t>
      </w:r>
      <w:r w:rsidR="00815CEE">
        <w:rPr>
          <w:b/>
          <w:color w:val="auto"/>
        </w:rPr>
        <w:t>4</w:t>
      </w:r>
      <w:r w:rsidRPr="00A84755">
        <w:rPr>
          <w:b/>
          <w:color w:val="auto"/>
        </w:rPr>
        <w:t>.</w:t>
      </w:r>
      <w:r w:rsidRPr="00A84755">
        <w:rPr>
          <w:color w:val="auto"/>
        </w:rPr>
        <w:t xml:space="preserve"> </w:t>
      </w:r>
      <w:r w:rsidRPr="00A84755">
        <w:rPr>
          <w:b/>
          <w:color w:val="auto"/>
        </w:rPr>
        <w:t>Del Instituto.</w:t>
      </w:r>
      <w:r w:rsidRPr="00A84755">
        <w:rPr>
          <w:color w:val="auto"/>
        </w:rPr>
        <w:t xml:space="preserve"> Para la aplicación e interpretación de los presentes Lineamientos de manera enunciativa mas no limitativa</w:t>
      </w:r>
      <w:r w:rsidRPr="00A84755">
        <w:rPr>
          <w:color w:val="auto"/>
          <w:lang w:val="es-419"/>
        </w:rPr>
        <w:t xml:space="preserve"> corresponde al </w:t>
      </w:r>
      <w:r w:rsidRPr="00A84755">
        <w:rPr>
          <w:color w:val="auto"/>
        </w:rPr>
        <w:t>Instituto</w:t>
      </w:r>
      <w:r w:rsidRPr="00A84755">
        <w:rPr>
          <w:color w:val="auto"/>
          <w:lang w:val="es-419"/>
        </w:rPr>
        <w:t>:</w:t>
      </w:r>
    </w:p>
    <w:p w14:paraId="6769C1C6" w14:textId="38420513" w:rsidR="00A00095" w:rsidRPr="00A84755" w:rsidRDefault="002D432C" w:rsidP="002D432C">
      <w:pPr>
        <w:pStyle w:val="IFTnormal"/>
        <w:numPr>
          <w:ilvl w:val="0"/>
          <w:numId w:val="34"/>
        </w:numPr>
        <w:rPr>
          <w:color w:val="auto"/>
        </w:rPr>
      </w:pPr>
      <w:r>
        <w:rPr>
          <w:color w:val="auto"/>
        </w:rPr>
        <w:t>Promover</w:t>
      </w:r>
      <w:r w:rsidRPr="00A84755">
        <w:rPr>
          <w:color w:val="auto"/>
        </w:rPr>
        <w:t xml:space="preserve"> </w:t>
      </w:r>
      <w:r w:rsidR="00A00095" w:rsidRPr="00A84755">
        <w:rPr>
          <w:color w:val="auto"/>
        </w:rPr>
        <w:t>el despliegue</w:t>
      </w:r>
      <w:r w:rsidR="004406F0">
        <w:rPr>
          <w:color w:val="auto"/>
        </w:rPr>
        <w:t>, acceso</w:t>
      </w:r>
      <w:r w:rsidR="00A00095" w:rsidRPr="00A84755">
        <w:rPr>
          <w:color w:val="auto"/>
        </w:rPr>
        <w:t xml:space="preserve"> y uso eficiente de redes públicas de telecomunicaciones, estaciones de radiodifusión y equipos complementarios, así como </w:t>
      </w:r>
      <w:r>
        <w:rPr>
          <w:color w:val="auto"/>
        </w:rPr>
        <w:t xml:space="preserve">fomentar </w:t>
      </w:r>
      <w:r w:rsidRPr="002D432C">
        <w:rPr>
          <w:color w:val="auto"/>
        </w:rPr>
        <w:t>la celebración de convenios entre concesionarios</w:t>
      </w:r>
      <w:r w:rsidR="004A7EC3">
        <w:rPr>
          <w:color w:val="auto"/>
        </w:rPr>
        <w:t xml:space="preserve"> y</w:t>
      </w:r>
      <w:r w:rsidR="00F717EE">
        <w:rPr>
          <w:color w:val="auto"/>
        </w:rPr>
        <w:t>/o</w:t>
      </w:r>
      <w:r w:rsidR="004A7EC3">
        <w:rPr>
          <w:color w:val="auto"/>
        </w:rPr>
        <w:t xml:space="preserve"> autorizados</w:t>
      </w:r>
      <w:r w:rsidRPr="002D432C">
        <w:rPr>
          <w:color w:val="auto"/>
        </w:rPr>
        <w:t xml:space="preserve"> </w:t>
      </w:r>
      <w:r>
        <w:rPr>
          <w:color w:val="auto"/>
        </w:rPr>
        <w:t xml:space="preserve">para </w:t>
      </w:r>
      <w:r w:rsidR="00A00095" w:rsidRPr="00A84755">
        <w:rPr>
          <w:color w:val="auto"/>
        </w:rPr>
        <w:t>el Acceso y Uso Compartido de Elementos de Infraestructura</w:t>
      </w:r>
      <w:r w:rsidR="00370971" w:rsidRPr="00A84755">
        <w:rPr>
          <w:color w:val="auto"/>
        </w:rPr>
        <w:t>;</w:t>
      </w:r>
    </w:p>
    <w:p w14:paraId="5F3BBDBE" w14:textId="674F10BA" w:rsidR="00A00095" w:rsidRPr="00A84755" w:rsidRDefault="00C5751D" w:rsidP="00973C16">
      <w:pPr>
        <w:pStyle w:val="IFTnormal"/>
        <w:numPr>
          <w:ilvl w:val="0"/>
          <w:numId w:val="34"/>
        </w:numPr>
        <w:rPr>
          <w:color w:val="auto"/>
        </w:rPr>
      </w:pPr>
      <w:r w:rsidRPr="00A84755">
        <w:rPr>
          <w:color w:val="auto"/>
        </w:rPr>
        <w:t>E</w:t>
      </w:r>
      <w:r w:rsidR="00A00095" w:rsidRPr="00A84755">
        <w:rPr>
          <w:color w:val="auto"/>
        </w:rPr>
        <w:t>stablecer los términos y condiciones de uso de compartición del espacio físic</w:t>
      </w:r>
      <w:r w:rsidR="00887913" w:rsidRPr="00A84755">
        <w:rPr>
          <w:color w:val="auto"/>
        </w:rPr>
        <w:t>o y tarifa correspondiente en los casos en que sea procedente resolver un desacuerdo</w:t>
      </w:r>
      <w:r w:rsidR="002D432C">
        <w:rPr>
          <w:color w:val="auto"/>
        </w:rPr>
        <w:t xml:space="preserve"> entre concesionarios</w:t>
      </w:r>
      <w:r w:rsidR="004A7EC3">
        <w:rPr>
          <w:color w:val="auto"/>
        </w:rPr>
        <w:t xml:space="preserve"> y</w:t>
      </w:r>
      <w:r w:rsidR="00F717EE">
        <w:rPr>
          <w:color w:val="auto"/>
        </w:rPr>
        <w:t>/o</w:t>
      </w:r>
      <w:r w:rsidR="004A7EC3">
        <w:rPr>
          <w:color w:val="auto"/>
        </w:rPr>
        <w:t xml:space="preserve"> autorizados</w:t>
      </w:r>
      <w:r w:rsidR="007870DD">
        <w:rPr>
          <w:color w:val="auto"/>
        </w:rPr>
        <w:t>,</w:t>
      </w:r>
      <w:r w:rsidR="00887913" w:rsidRPr="00A84755">
        <w:rPr>
          <w:color w:val="auto"/>
        </w:rPr>
        <w:t xml:space="preserve"> </w:t>
      </w:r>
      <w:r w:rsidR="008D30C3">
        <w:rPr>
          <w:color w:val="auto"/>
        </w:rPr>
        <w:t>en términos de</w:t>
      </w:r>
      <w:r w:rsidR="008D30C3" w:rsidRPr="00A84755">
        <w:rPr>
          <w:color w:val="auto"/>
        </w:rPr>
        <w:t xml:space="preserve"> </w:t>
      </w:r>
      <w:r w:rsidR="00887913" w:rsidRPr="00A84755">
        <w:rPr>
          <w:color w:val="auto"/>
        </w:rPr>
        <w:t>lo establecido en los presentes Lineamientos</w:t>
      </w:r>
      <w:r w:rsidR="00370971" w:rsidRPr="00A84755">
        <w:rPr>
          <w:color w:val="auto"/>
        </w:rPr>
        <w:t>;</w:t>
      </w:r>
      <w:r w:rsidR="00A00095" w:rsidRPr="00A84755">
        <w:rPr>
          <w:color w:val="auto"/>
        </w:rPr>
        <w:t xml:space="preserve"> </w:t>
      </w:r>
    </w:p>
    <w:p w14:paraId="11EB02AF" w14:textId="23F0B129" w:rsidR="00A00095" w:rsidRPr="00A84755" w:rsidRDefault="00A00095" w:rsidP="00973C16">
      <w:pPr>
        <w:pStyle w:val="IFTnormal"/>
        <w:numPr>
          <w:ilvl w:val="0"/>
          <w:numId w:val="34"/>
        </w:numPr>
        <w:rPr>
          <w:color w:val="auto"/>
        </w:rPr>
      </w:pPr>
      <w:r w:rsidRPr="00A84755">
        <w:rPr>
          <w:color w:val="auto"/>
        </w:rPr>
        <w:t xml:space="preserve">Expedir disposiciones técnicas </w:t>
      </w:r>
      <w:r w:rsidR="0058622C" w:rsidRPr="00A84755">
        <w:rPr>
          <w:color w:val="auto"/>
        </w:rPr>
        <w:t>y recomendaciones</w:t>
      </w:r>
      <w:r w:rsidR="00146491">
        <w:rPr>
          <w:color w:val="auto"/>
        </w:rPr>
        <w:t xml:space="preserve">, </w:t>
      </w:r>
      <w:r w:rsidRPr="00A84755">
        <w:rPr>
          <w:color w:val="auto"/>
        </w:rPr>
        <w:t xml:space="preserve">en el ámbito </w:t>
      </w:r>
      <w:r w:rsidR="00146491">
        <w:rPr>
          <w:color w:val="auto"/>
        </w:rPr>
        <w:t xml:space="preserve">de sus atribuciones, para </w:t>
      </w:r>
      <w:r w:rsidRPr="00A84755">
        <w:rPr>
          <w:color w:val="auto"/>
        </w:rPr>
        <w:t>e</w:t>
      </w:r>
      <w:r w:rsidR="0058622C" w:rsidRPr="00A84755">
        <w:rPr>
          <w:color w:val="auto"/>
        </w:rPr>
        <w:t>l</w:t>
      </w:r>
      <w:r w:rsidRPr="00A84755">
        <w:rPr>
          <w:color w:val="auto"/>
        </w:rPr>
        <w:t xml:space="preserve"> Despliegue de Infraestructura</w:t>
      </w:r>
      <w:r w:rsidR="0004581E">
        <w:rPr>
          <w:color w:val="auto"/>
        </w:rPr>
        <w:t>,</w:t>
      </w:r>
      <w:r w:rsidRPr="00A84755">
        <w:rPr>
          <w:color w:val="auto"/>
        </w:rPr>
        <w:t xml:space="preserve"> y el Acceso y Uso Compartido de Elementos de Infraestructura</w:t>
      </w:r>
      <w:r w:rsidR="00C175C6" w:rsidRPr="00A84755">
        <w:rPr>
          <w:color w:val="auto"/>
        </w:rPr>
        <w:t>,</w:t>
      </w:r>
      <w:r w:rsidR="00370971" w:rsidRPr="00A84755">
        <w:rPr>
          <w:color w:val="auto"/>
        </w:rPr>
        <w:t xml:space="preserve"> y</w:t>
      </w:r>
    </w:p>
    <w:p w14:paraId="7FD2B32F" w14:textId="2C7F8730" w:rsidR="0058622C" w:rsidRPr="004255D7" w:rsidRDefault="0058622C" w:rsidP="00973C16">
      <w:pPr>
        <w:pStyle w:val="IFTnormal"/>
        <w:numPr>
          <w:ilvl w:val="0"/>
          <w:numId w:val="34"/>
        </w:numPr>
        <w:rPr>
          <w:color w:val="auto"/>
        </w:rPr>
      </w:pPr>
      <w:r w:rsidRPr="004255D7">
        <w:rPr>
          <w:color w:val="auto"/>
        </w:rPr>
        <w:lastRenderedPageBreak/>
        <w:t>Establecer</w:t>
      </w:r>
      <w:r w:rsidR="00077D86" w:rsidRPr="004255D7">
        <w:rPr>
          <w:color w:val="auto"/>
        </w:rPr>
        <w:t xml:space="preserve"> </w:t>
      </w:r>
      <w:r w:rsidRPr="004255D7">
        <w:rPr>
          <w:color w:val="auto"/>
        </w:rPr>
        <w:t>espacio</w:t>
      </w:r>
      <w:r w:rsidR="004255D7" w:rsidRPr="004255D7">
        <w:rPr>
          <w:color w:val="auto"/>
        </w:rPr>
        <w:t>s</w:t>
      </w:r>
      <w:r w:rsidRPr="004255D7">
        <w:rPr>
          <w:color w:val="auto"/>
        </w:rPr>
        <w:t xml:space="preserve"> para la publicación de</w:t>
      </w:r>
      <w:r w:rsidR="00A00095" w:rsidRPr="004255D7">
        <w:rPr>
          <w:color w:val="auto"/>
        </w:rPr>
        <w:t xml:space="preserve"> información relacionad</w:t>
      </w:r>
      <w:r w:rsidRPr="004255D7">
        <w:rPr>
          <w:color w:val="auto"/>
        </w:rPr>
        <w:t>a</w:t>
      </w:r>
      <w:r w:rsidR="00A00095" w:rsidRPr="004255D7">
        <w:rPr>
          <w:color w:val="auto"/>
        </w:rPr>
        <w:t xml:space="preserve"> con Despliegue de Infraestructura, así como definir los mecanismos para su </w:t>
      </w:r>
      <w:r w:rsidRPr="004255D7">
        <w:rPr>
          <w:color w:val="auto"/>
        </w:rPr>
        <w:t>consulta</w:t>
      </w:r>
      <w:r w:rsidR="00A00095" w:rsidRPr="004255D7">
        <w:rPr>
          <w:color w:val="auto"/>
        </w:rPr>
        <w:t xml:space="preserve"> y actualización</w:t>
      </w:r>
      <w:r w:rsidR="00C175C6" w:rsidRPr="004255D7">
        <w:rPr>
          <w:color w:val="auto"/>
        </w:rPr>
        <w:t>.</w:t>
      </w:r>
    </w:p>
    <w:p w14:paraId="51311A71" w14:textId="73073E72" w:rsidR="007846C9" w:rsidRDefault="005E36BB" w:rsidP="007846C9">
      <w:pPr>
        <w:pStyle w:val="IFTnormal"/>
        <w:rPr>
          <w:rFonts w:eastAsia="ITC Avant Garde" w:cs="ITC Avant Garde"/>
        </w:rPr>
      </w:pPr>
      <w:r w:rsidRPr="00A84755">
        <w:rPr>
          <w:b/>
        </w:rPr>
        <w:t xml:space="preserve">Artículo </w:t>
      </w:r>
      <w:r w:rsidR="00815CEE">
        <w:rPr>
          <w:b/>
        </w:rPr>
        <w:t>5</w:t>
      </w:r>
      <w:r w:rsidR="007846C9" w:rsidRPr="00A84755">
        <w:rPr>
          <w:b/>
        </w:rPr>
        <w:t>. Verificación y Sanciones</w:t>
      </w:r>
      <w:r w:rsidR="007846C9" w:rsidRPr="00A84755">
        <w:t xml:space="preserve">. </w:t>
      </w:r>
      <w:r w:rsidR="006217FE" w:rsidRPr="006217FE">
        <w:t>Para el cumplimiento de los presentes Lineamientos, el Instituto llevará a cabo las acciones de verificación y supervisión conforme a sus atribuciones</w:t>
      </w:r>
      <w:r w:rsidR="007A773B">
        <w:t>,</w:t>
      </w:r>
      <w:r w:rsidR="006217FE" w:rsidRPr="006217FE">
        <w:t xml:space="preserve"> y en su caso las infracciones serán sancionadas en términos de lo dispuesto por el Título Décimo Quinto de la LFTR</w:t>
      </w:r>
      <w:r w:rsidR="007846C9" w:rsidRPr="00A84755">
        <w:rPr>
          <w:rFonts w:eastAsia="ITC Avant Garde" w:cs="ITC Avant Garde"/>
        </w:rPr>
        <w:t>.</w:t>
      </w:r>
    </w:p>
    <w:p w14:paraId="77F38BF4" w14:textId="77777777" w:rsidR="009B0F61" w:rsidRPr="00A84755" w:rsidRDefault="009B0F61" w:rsidP="007846C9">
      <w:pPr>
        <w:pStyle w:val="IFTnormal"/>
      </w:pPr>
    </w:p>
    <w:p w14:paraId="63D0515E" w14:textId="77777777" w:rsidR="00A00095" w:rsidRPr="00A84755" w:rsidRDefault="00A00095" w:rsidP="00A00095">
      <w:pPr>
        <w:pStyle w:val="N1IFT"/>
      </w:pPr>
      <w:r w:rsidRPr="00A84755">
        <w:t xml:space="preserve">CAPÍTULO II. </w:t>
      </w:r>
      <w:r w:rsidRPr="00A84755">
        <w:rPr>
          <w:lang w:val="es-419"/>
        </w:rPr>
        <w:t>Acceso y Uso Compartido de Elementos de Infraestructura</w:t>
      </w:r>
    </w:p>
    <w:p w14:paraId="218D77A5" w14:textId="4BCDBBA2" w:rsidR="00AE5FAF" w:rsidRDefault="00A00095" w:rsidP="00A00095">
      <w:pPr>
        <w:pStyle w:val="Ttulo2"/>
      </w:pPr>
      <w:r w:rsidRPr="00A84755">
        <w:t xml:space="preserve">Sección </w:t>
      </w:r>
      <w:r w:rsidR="00AE5FAF">
        <w:t>I</w:t>
      </w:r>
    </w:p>
    <w:p w14:paraId="49CE67B4" w14:textId="25AF6855" w:rsidR="00A00095" w:rsidRPr="00A84755" w:rsidRDefault="00A00095" w:rsidP="00A00095">
      <w:pPr>
        <w:pStyle w:val="Ttulo2"/>
        <w:rPr>
          <w:lang w:val="es-419"/>
        </w:rPr>
      </w:pPr>
      <w:r w:rsidRPr="00A84755">
        <w:t xml:space="preserve"> Acciones de fomento a</w:t>
      </w:r>
      <w:r w:rsidRPr="00A84755">
        <w:rPr>
          <w:lang w:val="es-419"/>
        </w:rPr>
        <w:t>l Acceso y Uso Compartido de Elementos de Infraestructura</w:t>
      </w:r>
    </w:p>
    <w:p w14:paraId="0E6D3517" w14:textId="476AC572" w:rsidR="00630D2A" w:rsidRPr="00A84755" w:rsidRDefault="005E36BB" w:rsidP="00630D2A">
      <w:pPr>
        <w:pStyle w:val="IFTnormal"/>
        <w:rPr>
          <w:rStyle w:val="IFTnormalCar"/>
          <w:color w:val="auto"/>
          <w:lang w:val="es-MX"/>
        </w:rPr>
      </w:pPr>
      <w:r w:rsidRPr="00A84755">
        <w:rPr>
          <w:b/>
          <w:color w:val="auto"/>
        </w:rPr>
        <w:t xml:space="preserve">Artículo </w:t>
      </w:r>
      <w:r w:rsidR="00815CEE">
        <w:rPr>
          <w:b/>
          <w:color w:val="auto"/>
        </w:rPr>
        <w:t>6</w:t>
      </w:r>
      <w:r w:rsidR="00630D2A" w:rsidRPr="00A84755">
        <w:rPr>
          <w:b/>
          <w:color w:val="auto"/>
        </w:rPr>
        <w:t xml:space="preserve">. Disponibilidad de información. </w:t>
      </w:r>
      <w:r w:rsidR="00630D2A" w:rsidRPr="00A84755">
        <w:rPr>
          <w:color w:val="auto"/>
          <w:lang w:val="es-MX"/>
        </w:rPr>
        <w:t xml:space="preserve">Para fomentar la celebración de </w:t>
      </w:r>
      <w:r w:rsidR="00440B51">
        <w:rPr>
          <w:color w:val="auto"/>
          <w:lang w:val="es-MX"/>
        </w:rPr>
        <w:t>c</w:t>
      </w:r>
      <w:r w:rsidR="00630D2A" w:rsidRPr="00A84755">
        <w:rPr>
          <w:color w:val="auto"/>
          <w:lang w:val="es-MX"/>
        </w:rPr>
        <w:t xml:space="preserve">onvenios, </w:t>
      </w:r>
      <w:r w:rsidR="00630D2A" w:rsidRPr="00A84755">
        <w:rPr>
          <w:color w:val="auto"/>
        </w:rPr>
        <w:t xml:space="preserve">conforme a los </w:t>
      </w:r>
      <w:r w:rsidR="00630D2A" w:rsidRPr="00A84755">
        <w:rPr>
          <w:rFonts w:eastAsia="Times New Roman" w:cs="Calibri"/>
          <w:color w:val="auto"/>
        </w:rPr>
        <w:t>lineamientos que emita el Instituto para la conformación del SNII, los concesionarios</w:t>
      </w:r>
      <w:r w:rsidR="004A7EC3">
        <w:rPr>
          <w:rFonts w:eastAsia="Times New Roman" w:cs="Calibri"/>
          <w:color w:val="auto"/>
        </w:rPr>
        <w:t>, autorizados</w:t>
      </w:r>
      <w:r w:rsidR="006217FE" w:rsidRPr="006217FE">
        <w:t xml:space="preserve"> </w:t>
      </w:r>
      <w:r w:rsidR="006217FE" w:rsidRPr="006217FE">
        <w:rPr>
          <w:rFonts w:eastAsia="Times New Roman" w:cs="Calibri"/>
          <w:color w:val="auto"/>
        </w:rPr>
        <w:t>y aquellas personas que hayan acreditado ante el Instituto su interés en ser concesionarios o autorizados</w:t>
      </w:r>
      <w:r w:rsidR="00630D2A" w:rsidRPr="00A84755">
        <w:rPr>
          <w:rFonts w:eastAsia="Times New Roman" w:cs="Calibri"/>
          <w:color w:val="auto"/>
        </w:rPr>
        <w:t xml:space="preserve"> podrán consultar la información proporcionada </w:t>
      </w:r>
      <w:r w:rsidR="00630D2A" w:rsidRPr="00A84755">
        <w:rPr>
          <w:rStyle w:val="IFTnormalCar"/>
          <w:color w:val="auto"/>
        </w:rPr>
        <w:t xml:space="preserve">respecto a </w:t>
      </w:r>
      <w:r w:rsidR="00630D2A" w:rsidRPr="00A84755">
        <w:rPr>
          <w:rStyle w:val="IFTnormalCar"/>
          <w:color w:val="auto"/>
          <w:lang w:val="es-419"/>
        </w:rPr>
        <w:t xml:space="preserve">la ubicación de </w:t>
      </w:r>
      <w:r w:rsidR="00630D2A" w:rsidRPr="00A84755">
        <w:rPr>
          <w:rStyle w:val="IFTnormalCar"/>
          <w:color w:val="auto"/>
          <w:lang w:val="es-MX"/>
        </w:rPr>
        <w:t>la</w:t>
      </w:r>
      <w:r w:rsidR="00630D2A" w:rsidRPr="00A84755">
        <w:rPr>
          <w:rStyle w:val="IFTnormalCar"/>
          <w:color w:val="auto"/>
          <w:lang w:val="es-419"/>
        </w:rPr>
        <w:t xml:space="preserve"> infraestructura </w:t>
      </w:r>
      <w:r w:rsidR="00757845" w:rsidRPr="00A84755">
        <w:rPr>
          <w:rStyle w:val="IFTnormalCar"/>
          <w:color w:val="auto"/>
          <w:lang w:val="es-MX"/>
        </w:rPr>
        <w:t xml:space="preserve">de </w:t>
      </w:r>
      <w:r w:rsidR="007A773B">
        <w:rPr>
          <w:rStyle w:val="IFTnormalCar"/>
          <w:color w:val="auto"/>
          <w:lang w:val="es-MX"/>
        </w:rPr>
        <w:t>otros</w:t>
      </w:r>
      <w:r w:rsidR="00806529">
        <w:rPr>
          <w:rStyle w:val="IFTnormalCar"/>
          <w:color w:val="auto"/>
          <w:lang w:val="es-MX"/>
        </w:rPr>
        <w:t xml:space="preserve"> </w:t>
      </w:r>
      <w:r w:rsidR="00757845" w:rsidRPr="00A84755">
        <w:rPr>
          <w:rStyle w:val="IFTnormalCar"/>
          <w:color w:val="auto"/>
          <w:lang w:val="es-MX"/>
        </w:rPr>
        <w:t>concesionarios</w:t>
      </w:r>
      <w:r w:rsidR="001A586A">
        <w:rPr>
          <w:rStyle w:val="IFTnormalCar"/>
          <w:color w:val="auto"/>
          <w:lang w:val="es-MX"/>
        </w:rPr>
        <w:t xml:space="preserve"> </w:t>
      </w:r>
      <w:r w:rsidR="00F717EE">
        <w:rPr>
          <w:rStyle w:val="IFTnormalCar"/>
          <w:color w:val="auto"/>
          <w:lang w:val="es-MX"/>
        </w:rPr>
        <w:t>o</w:t>
      </w:r>
      <w:r w:rsidR="004A7EC3">
        <w:rPr>
          <w:rStyle w:val="IFTnormalCar"/>
          <w:color w:val="auto"/>
          <w:lang w:val="es-MX"/>
        </w:rPr>
        <w:t xml:space="preserve"> autorizados</w:t>
      </w:r>
      <w:r w:rsidR="00630D2A" w:rsidRPr="00A84755">
        <w:rPr>
          <w:rStyle w:val="IFTnormalCar"/>
          <w:color w:val="auto"/>
        </w:rPr>
        <w:t>.</w:t>
      </w:r>
    </w:p>
    <w:p w14:paraId="0E9A7EE3" w14:textId="4BCB01C4" w:rsidR="00630D2A" w:rsidRPr="00A84755" w:rsidRDefault="005E36BB" w:rsidP="00630D2A">
      <w:pPr>
        <w:pStyle w:val="IFTnormal"/>
        <w:rPr>
          <w:color w:val="auto"/>
          <w:lang w:val="es-MX"/>
        </w:rPr>
      </w:pPr>
      <w:r w:rsidRPr="00A84755">
        <w:rPr>
          <w:b/>
          <w:color w:val="auto"/>
          <w:lang w:val="es-MX"/>
        </w:rPr>
        <w:t xml:space="preserve">Artículo </w:t>
      </w:r>
      <w:r w:rsidR="00815CEE">
        <w:rPr>
          <w:b/>
          <w:color w:val="auto"/>
          <w:lang w:val="es-MX"/>
        </w:rPr>
        <w:t>7</w:t>
      </w:r>
      <w:r w:rsidR="00630D2A" w:rsidRPr="00A84755">
        <w:rPr>
          <w:b/>
          <w:color w:val="auto"/>
          <w:lang w:val="es-MX"/>
        </w:rPr>
        <w:t xml:space="preserve">. </w:t>
      </w:r>
      <w:r w:rsidR="00B151D7" w:rsidRPr="00A84755">
        <w:rPr>
          <w:b/>
          <w:color w:val="auto"/>
          <w:lang w:val="es-419"/>
        </w:rPr>
        <w:t>Derecho de solicitud</w:t>
      </w:r>
      <w:r w:rsidR="00630D2A" w:rsidRPr="00A84755">
        <w:rPr>
          <w:b/>
        </w:rPr>
        <w:t>.</w:t>
      </w:r>
      <w:r w:rsidR="00630D2A" w:rsidRPr="00A84755">
        <w:t xml:space="preserve"> Cualquier concesionario</w:t>
      </w:r>
      <w:r w:rsidR="00B151D7" w:rsidRPr="00A84755">
        <w:t xml:space="preserve"> </w:t>
      </w:r>
      <w:r w:rsidR="00F717EE">
        <w:t>o</w:t>
      </w:r>
      <w:r w:rsidR="004A7EC3">
        <w:t xml:space="preserve"> autorizado </w:t>
      </w:r>
      <w:r w:rsidR="00630D2A" w:rsidRPr="00A84755">
        <w:t xml:space="preserve">podrá solicitar </w:t>
      </w:r>
      <w:r w:rsidR="00630D2A" w:rsidRPr="00A84755">
        <w:rPr>
          <w:lang w:val="es-419"/>
        </w:rPr>
        <w:t xml:space="preserve">el </w:t>
      </w:r>
      <w:r w:rsidR="00B151D7" w:rsidRPr="00A84755">
        <w:rPr>
          <w:lang w:val="es-419"/>
        </w:rPr>
        <w:t xml:space="preserve">inicio de negociaciones para </w:t>
      </w:r>
      <w:r w:rsidR="00AE5FAF">
        <w:rPr>
          <w:lang w:val="es-419"/>
        </w:rPr>
        <w:t>el</w:t>
      </w:r>
      <w:r w:rsidR="00B151D7" w:rsidRPr="00A84755">
        <w:rPr>
          <w:lang w:val="es-419"/>
        </w:rPr>
        <w:t xml:space="preserve"> </w:t>
      </w:r>
      <w:r w:rsidR="00630D2A" w:rsidRPr="00A84755">
        <w:rPr>
          <w:lang w:val="es-419"/>
        </w:rPr>
        <w:t>Acceso y Uso Compartido de Elementos de Infraestructura</w:t>
      </w:r>
      <w:r w:rsidR="00630D2A" w:rsidRPr="00A84755">
        <w:t xml:space="preserve"> a cualquier Titular de Infraestructura</w:t>
      </w:r>
      <w:r w:rsidR="00B151D7" w:rsidRPr="00A84755">
        <w:t xml:space="preserve">. </w:t>
      </w:r>
      <w:r w:rsidR="00B151D7" w:rsidRPr="00A84755">
        <w:rPr>
          <w:color w:val="auto"/>
          <w:lang w:val="es-MX"/>
        </w:rPr>
        <w:t>Las solicitudes deberán realizarse por escrito especificando los elementos de red que requiere.</w:t>
      </w:r>
      <w:r w:rsidR="004406F0">
        <w:rPr>
          <w:color w:val="auto"/>
          <w:lang w:val="es-MX"/>
        </w:rPr>
        <w:t xml:space="preserve"> </w:t>
      </w:r>
      <w:r w:rsidR="004406F0" w:rsidRPr="00A84755">
        <w:rPr>
          <w:color w:val="auto"/>
          <w:lang w:val="es-MX"/>
        </w:rPr>
        <w:t>Las solicitudes deberán realizarse por escrito especificando los elementos de red que requiere.</w:t>
      </w:r>
    </w:p>
    <w:p w14:paraId="4B59124E" w14:textId="3CF1DE37" w:rsidR="00F9332F" w:rsidRPr="00A84755" w:rsidRDefault="00F9332F" w:rsidP="00630D2A">
      <w:pPr>
        <w:pStyle w:val="IFTnormal"/>
        <w:rPr>
          <w:color w:val="auto"/>
          <w:lang w:val="es-MX"/>
        </w:rPr>
      </w:pPr>
      <w:r w:rsidRPr="00A84755">
        <w:rPr>
          <w:color w:val="auto"/>
          <w:lang w:val="es-MX"/>
        </w:rPr>
        <w:t>Se entenderá como inicio de las negociaciones</w:t>
      </w:r>
      <w:r>
        <w:rPr>
          <w:color w:val="auto"/>
          <w:lang w:val="es-MX"/>
        </w:rPr>
        <w:t xml:space="preserve"> </w:t>
      </w:r>
      <w:r w:rsidRPr="00A84755">
        <w:rPr>
          <w:color w:val="auto"/>
          <w:lang w:val="es-MX"/>
        </w:rPr>
        <w:t>el día hábil siguiente a la recepción de la solicitud de</w:t>
      </w:r>
      <w:r w:rsidRPr="00A84755">
        <w:rPr>
          <w:color w:val="auto"/>
          <w:lang w:val="es-419"/>
        </w:rPr>
        <w:t xml:space="preserve"> Acceso y Uso Compartido de Elementos de Infraestructura por parte del Titular de Infraestructura.</w:t>
      </w:r>
      <w:r w:rsidR="00873827" w:rsidDel="00873827">
        <w:rPr>
          <w:color w:val="auto"/>
          <w:lang w:val="es-419"/>
        </w:rPr>
        <w:t xml:space="preserve"> </w:t>
      </w:r>
    </w:p>
    <w:p w14:paraId="58028189" w14:textId="6206BF65" w:rsidR="00714C32" w:rsidRPr="00A84755" w:rsidRDefault="005E36BB" w:rsidP="00630D2A">
      <w:pPr>
        <w:pStyle w:val="IFTnormal"/>
        <w:rPr>
          <w:b/>
          <w:color w:val="auto"/>
          <w:lang w:val="es-MX"/>
        </w:rPr>
      </w:pPr>
      <w:r w:rsidRPr="00A84755">
        <w:rPr>
          <w:b/>
          <w:color w:val="auto"/>
          <w:lang w:val="es-MX"/>
        </w:rPr>
        <w:t xml:space="preserve">Artículo </w:t>
      </w:r>
      <w:r w:rsidR="00815CEE">
        <w:rPr>
          <w:b/>
          <w:color w:val="auto"/>
          <w:lang w:val="es-MX"/>
        </w:rPr>
        <w:t>8</w:t>
      </w:r>
      <w:r w:rsidR="00714C32" w:rsidRPr="00A84755">
        <w:rPr>
          <w:b/>
          <w:color w:val="auto"/>
          <w:lang w:val="es-MX"/>
        </w:rPr>
        <w:t xml:space="preserve">. Registro de los </w:t>
      </w:r>
      <w:r w:rsidR="00440B51">
        <w:rPr>
          <w:b/>
          <w:color w:val="auto"/>
          <w:lang w:val="es-MX"/>
        </w:rPr>
        <w:t>c</w:t>
      </w:r>
      <w:r w:rsidR="00714C32" w:rsidRPr="00A84755">
        <w:rPr>
          <w:b/>
          <w:color w:val="auto"/>
          <w:lang w:val="es-MX"/>
        </w:rPr>
        <w:t>onvenios.</w:t>
      </w:r>
      <w:r w:rsidR="00714C32" w:rsidRPr="00A84755">
        <w:rPr>
          <w:color w:val="auto"/>
          <w:lang w:val="es-MX"/>
        </w:rPr>
        <w:t xml:space="preserve"> Los Titulares de Infraestructura </w:t>
      </w:r>
      <w:r w:rsidR="00AE5FAF">
        <w:rPr>
          <w:color w:val="auto"/>
          <w:lang w:val="es-MX"/>
        </w:rPr>
        <w:t>deberán</w:t>
      </w:r>
      <w:r w:rsidR="00714C32" w:rsidRPr="00A84755">
        <w:rPr>
          <w:color w:val="auto"/>
          <w:lang w:val="es-MX"/>
        </w:rPr>
        <w:t xml:space="preserve"> registrar ante el Instituto los </w:t>
      </w:r>
      <w:r w:rsidR="00440B51">
        <w:rPr>
          <w:color w:val="auto"/>
          <w:lang w:val="es-MX"/>
        </w:rPr>
        <w:t>c</w:t>
      </w:r>
      <w:r w:rsidR="00714C32" w:rsidRPr="00A84755">
        <w:rPr>
          <w:color w:val="auto"/>
          <w:lang w:val="es-MX"/>
        </w:rPr>
        <w:t>onvenios y sus modificaciones, en un plazo máximo de treinta días hábiles posteriores a su suscripción</w:t>
      </w:r>
      <w:r w:rsidR="00714C32" w:rsidRPr="00A84755">
        <w:rPr>
          <w:b/>
          <w:color w:val="auto"/>
          <w:lang w:val="es-MX"/>
        </w:rPr>
        <w:t>.</w:t>
      </w:r>
    </w:p>
    <w:p w14:paraId="73305203" w14:textId="362195AF" w:rsidR="00630D2A" w:rsidRPr="00A84755" w:rsidRDefault="005E36BB" w:rsidP="00630D2A">
      <w:pPr>
        <w:pStyle w:val="IFTnormal"/>
        <w:rPr>
          <w:color w:val="auto"/>
          <w:lang w:val="es-MX"/>
        </w:rPr>
      </w:pPr>
      <w:r w:rsidRPr="00A84755">
        <w:rPr>
          <w:b/>
          <w:color w:val="auto"/>
          <w:lang w:val="es-MX"/>
        </w:rPr>
        <w:t xml:space="preserve">Artículo </w:t>
      </w:r>
      <w:r w:rsidR="00815CEE">
        <w:rPr>
          <w:b/>
          <w:color w:val="auto"/>
          <w:lang w:val="es-MX"/>
        </w:rPr>
        <w:t>9</w:t>
      </w:r>
      <w:r w:rsidR="00630D2A" w:rsidRPr="00A84755">
        <w:rPr>
          <w:b/>
          <w:color w:val="auto"/>
          <w:lang w:val="es-MX"/>
        </w:rPr>
        <w:t xml:space="preserve">. Verificación de las condiciones de los </w:t>
      </w:r>
      <w:r w:rsidR="00440B51">
        <w:rPr>
          <w:b/>
          <w:color w:val="auto"/>
          <w:lang w:val="es-MX"/>
        </w:rPr>
        <w:t>c</w:t>
      </w:r>
      <w:r w:rsidR="00630D2A" w:rsidRPr="00A84755">
        <w:rPr>
          <w:b/>
          <w:color w:val="auto"/>
          <w:lang w:val="es-MX"/>
        </w:rPr>
        <w:t>onvenios.</w:t>
      </w:r>
      <w:r w:rsidR="00630D2A" w:rsidRPr="00A84755">
        <w:rPr>
          <w:color w:val="auto"/>
          <w:lang w:val="es-MX"/>
        </w:rPr>
        <w:t xml:space="preserve"> El Instituto podrá verificar en cualquier momento las condiciones de los </w:t>
      </w:r>
      <w:r w:rsidR="00440B51">
        <w:rPr>
          <w:color w:val="auto"/>
          <w:lang w:val="es-MX"/>
        </w:rPr>
        <w:t>c</w:t>
      </w:r>
      <w:r w:rsidR="00630D2A" w:rsidRPr="00A84755">
        <w:rPr>
          <w:color w:val="auto"/>
          <w:lang w:val="es-MX"/>
        </w:rPr>
        <w:t xml:space="preserve">onvenios a efecto de valorar su impacto sobre la competencia efectiva en el sector de que se trate, así como establecer medidas para que </w:t>
      </w:r>
      <w:r w:rsidR="00630D2A" w:rsidRPr="00A84755">
        <w:rPr>
          <w:color w:val="auto"/>
          <w:lang w:val="es-419"/>
        </w:rPr>
        <w:t>el</w:t>
      </w:r>
      <w:r w:rsidR="00630D2A" w:rsidRPr="00A84755">
        <w:rPr>
          <w:color w:val="auto"/>
          <w:lang w:val="es-MX"/>
        </w:rPr>
        <w:t xml:space="preserve"> </w:t>
      </w:r>
      <w:r w:rsidR="00630D2A" w:rsidRPr="00A84755">
        <w:rPr>
          <w:color w:val="auto"/>
          <w:lang w:val="es-419"/>
        </w:rPr>
        <w:t xml:space="preserve">Acceso y Uso Compartido de Elementos de </w:t>
      </w:r>
      <w:r w:rsidR="00630D2A" w:rsidRPr="00A84755">
        <w:rPr>
          <w:color w:val="auto"/>
          <w:lang w:val="es-419"/>
        </w:rPr>
        <w:lastRenderedPageBreak/>
        <w:t>Infraestructura</w:t>
      </w:r>
      <w:r w:rsidR="00630D2A" w:rsidRPr="00A84755">
        <w:rPr>
          <w:color w:val="auto"/>
          <w:lang w:val="es-MX"/>
        </w:rPr>
        <w:t xml:space="preserve"> </w:t>
      </w:r>
      <w:r w:rsidR="00630D2A" w:rsidRPr="00A84755">
        <w:rPr>
          <w:color w:val="auto"/>
          <w:lang w:val="es-419"/>
        </w:rPr>
        <w:t xml:space="preserve">se </w:t>
      </w:r>
      <w:r w:rsidR="00630D2A" w:rsidRPr="00A84755">
        <w:rPr>
          <w:color w:val="auto"/>
          <w:lang w:val="es-MX"/>
        </w:rPr>
        <w:t>realice y se otorgue bajo condiciones no discriminatorias</w:t>
      </w:r>
      <w:r w:rsidR="007A773B">
        <w:rPr>
          <w:color w:val="auto"/>
          <w:lang w:val="es-MX"/>
        </w:rPr>
        <w:t xml:space="preserve"> o </w:t>
      </w:r>
      <w:r w:rsidR="00630D2A" w:rsidRPr="00A84755">
        <w:rPr>
          <w:color w:val="auto"/>
          <w:lang w:val="es-MX"/>
        </w:rPr>
        <w:t>para prevenir o remediar efectos contra</w:t>
      </w:r>
      <w:r w:rsidR="00390D6D">
        <w:rPr>
          <w:color w:val="auto"/>
          <w:lang w:val="es-MX"/>
        </w:rPr>
        <w:t>rios al proceso de competencia.</w:t>
      </w:r>
    </w:p>
    <w:p w14:paraId="1DF204A3" w14:textId="756DE330" w:rsidR="00AE5FAF" w:rsidRDefault="00342C96" w:rsidP="00342C96">
      <w:pPr>
        <w:pStyle w:val="Ttulo2"/>
      </w:pPr>
      <w:r w:rsidRPr="00A84755">
        <w:t xml:space="preserve">Sección </w:t>
      </w:r>
      <w:r w:rsidR="00AE5FAF">
        <w:t>II</w:t>
      </w:r>
      <w:r w:rsidRPr="00A84755">
        <w:t xml:space="preserve"> </w:t>
      </w:r>
    </w:p>
    <w:p w14:paraId="1FC736DA" w14:textId="4BBFF39F" w:rsidR="00342C96" w:rsidRPr="00A84755" w:rsidRDefault="00342C96" w:rsidP="00342C96">
      <w:pPr>
        <w:pStyle w:val="Ttulo2"/>
        <w:rPr>
          <w:lang w:val="es-419"/>
        </w:rPr>
      </w:pPr>
      <w:r w:rsidRPr="00A84755">
        <w:t>Especificaciones de casos para</w:t>
      </w:r>
      <w:r w:rsidRPr="00A84755">
        <w:rPr>
          <w:lang w:val="es-419"/>
        </w:rPr>
        <w:t xml:space="preserve"> Acceso y Uso Compartido de Elementos de Infraestructura</w:t>
      </w:r>
    </w:p>
    <w:p w14:paraId="3890031E" w14:textId="13B18F78" w:rsidR="00826CA2" w:rsidRPr="00A84755" w:rsidRDefault="00826CA2" w:rsidP="00826CA2">
      <w:pPr>
        <w:pStyle w:val="IFTnormal"/>
        <w:rPr>
          <w:b/>
          <w:color w:val="auto"/>
          <w:lang w:val="es-MX"/>
        </w:rPr>
      </w:pPr>
      <w:r w:rsidRPr="00A84755">
        <w:rPr>
          <w:b/>
          <w:color w:val="auto"/>
          <w:lang w:val="es-MX"/>
        </w:rPr>
        <w:t>Artículo 1</w:t>
      </w:r>
      <w:r w:rsidR="00815CEE">
        <w:rPr>
          <w:b/>
          <w:color w:val="auto"/>
          <w:lang w:val="es-MX"/>
        </w:rPr>
        <w:t>0</w:t>
      </w:r>
      <w:r w:rsidRPr="00A84755">
        <w:rPr>
          <w:b/>
          <w:color w:val="auto"/>
          <w:lang w:val="es-MX"/>
        </w:rPr>
        <w:t xml:space="preserve">. Existencia de </w:t>
      </w:r>
      <w:r w:rsidRPr="00A84755">
        <w:rPr>
          <w:b/>
          <w:color w:val="auto"/>
          <w:lang w:val="es-419"/>
        </w:rPr>
        <w:t>Capacidad para Acceso y Uso Compartido de Elementos de Infraestructura</w:t>
      </w:r>
      <w:r w:rsidRPr="00A84755">
        <w:rPr>
          <w:b/>
          <w:color w:val="auto"/>
          <w:lang w:val="es-MX"/>
        </w:rPr>
        <w:t xml:space="preserve">. </w:t>
      </w:r>
      <w:r w:rsidRPr="00A84755">
        <w:rPr>
          <w:color w:val="auto"/>
          <w:lang w:val="es-MX"/>
        </w:rPr>
        <w:t>El Instituto considerará que existe Capacidad Susceptible de Utilización</w:t>
      </w:r>
      <w:r w:rsidR="009D745B">
        <w:rPr>
          <w:color w:val="auto"/>
          <w:lang w:val="es-MX"/>
        </w:rPr>
        <w:t xml:space="preserve"> p</w:t>
      </w:r>
      <w:r w:rsidRPr="00A84755">
        <w:rPr>
          <w:color w:val="auto"/>
          <w:lang w:val="es-MX"/>
        </w:rPr>
        <w:t xml:space="preserve">ara el caso de Ductos, Postes y </w:t>
      </w:r>
      <w:r w:rsidR="00236510" w:rsidRPr="00A84755">
        <w:rPr>
          <w:color w:val="auto"/>
          <w:lang w:val="es-MX"/>
        </w:rPr>
        <w:t>T</w:t>
      </w:r>
      <w:r w:rsidRPr="00A84755">
        <w:rPr>
          <w:color w:val="auto"/>
          <w:lang w:val="es-MX"/>
        </w:rPr>
        <w:t xml:space="preserve">orres conforme a lo dispuesto en el Anexo </w:t>
      </w:r>
      <w:r w:rsidR="00C175C6" w:rsidRPr="00A84755">
        <w:rPr>
          <w:color w:val="auto"/>
          <w:lang w:val="es-MX"/>
        </w:rPr>
        <w:t>Único</w:t>
      </w:r>
      <w:r w:rsidRPr="00A84755">
        <w:rPr>
          <w:color w:val="auto"/>
          <w:lang w:val="es-MX"/>
        </w:rPr>
        <w:t xml:space="preserve"> de los presentes Lineamientos. Para otro tipo de elementos de infraestructura, la Capacidad Susceptible de Utilización podrá estimarse con las prácticas comunes de la industria.</w:t>
      </w:r>
    </w:p>
    <w:p w14:paraId="07D4590A" w14:textId="7FAD9A81" w:rsidR="00826CA2" w:rsidRPr="00A84755" w:rsidRDefault="006700CC" w:rsidP="00826CA2">
      <w:pPr>
        <w:pStyle w:val="IFTnormal"/>
        <w:rPr>
          <w:color w:val="auto"/>
          <w:lang w:val="es-MX"/>
        </w:rPr>
      </w:pPr>
      <w:r w:rsidRPr="00A84755">
        <w:rPr>
          <w:color w:val="auto"/>
          <w:lang w:val="es-MX"/>
        </w:rPr>
        <w:t>Asimismo,</w:t>
      </w:r>
      <w:r w:rsidR="00826CA2" w:rsidRPr="00A84755">
        <w:rPr>
          <w:color w:val="auto"/>
          <w:lang w:val="es-MX"/>
        </w:rPr>
        <w:t xml:space="preserve"> y bajo el supuesto de que un desacuerdo </w:t>
      </w:r>
      <w:r w:rsidR="00D70643">
        <w:rPr>
          <w:color w:val="auto"/>
          <w:lang w:val="es-MX"/>
        </w:rPr>
        <w:t>sea</w:t>
      </w:r>
      <w:r w:rsidR="00D70643" w:rsidRPr="00A84755">
        <w:rPr>
          <w:color w:val="auto"/>
          <w:lang w:val="es-MX"/>
        </w:rPr>
        <w:t xml:space="preserve"> </w:t>
      </w:r>
      <w:r w:rsidR="00826CA2" w:rsidRPr="00A84755">
        <w:rPr>
          <w:color w:val="auto"/>
          <w:lang w:val="es-MX"/>
        </w:rPr>
        <w:t xml:space="preserve">admisible, el Instituto podrá evaluar la eficiencia en la disposición de los elementos de infraestructura correspondientes para determinar la </w:t>
      </w:r>
      <w:r w:rsidR="007A773B">
        <w:rPr>
          <w:color w:val="auto"/>
          <w:lang w:val="es-MX"/>
        </w:rPr>
        <w:t xml:space="preserve">posible </w:t>
      </w:r>
      <w:r w:rsidR="00826CA2" w:rsidRPr="00A84755">
        <w:rPr>
          <w:color w:val="auto"/>
          <w:lang w:val="es-MX"/>
        </w:rPr>
        <w:t>existencia de Capacidad Susceptible de Utilización para</w:t>
      </w:r>
      <w:r w:rsidR="00826CA2" w:rsidRPr="00A84755">
        <w:rPr>
          <w:color w:val="auto"/>
          <w:lang w:val="es-419"/>
        </w:rPr>
        <w:t xml:space="preserve"> el Acceso y Uso Compartido de Elementos de Infraestructura</w:t>
      </w:r>
      <w:r w:rsidR="00826CA2" w:rsidRPr="00A84755">
        <w:rPr>
          <w:color w:val="auto"/>
          <w:lang w:val="es-MX"/>
        </w:rPr>
        <w:t xml:space="preserve">. Como resultado de tal evaluación, en la resolución correspondiente el Instituto podrá ordenar al Titular de Infraestructura el reacomodo de elementos necesarios con la finalidad de hacer disponible la </w:t>
      </w:r>
      <w:r w:rsidR="00826CA2" w:rsidRPr="00A84755">
        <w:rPr>
          <w:color w:val="auto"/>
          <w:lang w:val="es-419"/>
        </w:rPr>
        <w:t>Capacidad</w:t>
      </w:r>
      <w:r w:rsidR="00390D6D">
        <w:rPr>
          <w:color w:val="auto"/>
          <w:lang w:val="es-MX"/>
        </w:rPr>
        <w:t xml:space="preserve"> existente</w:t>
      </w:r>
      <w:r w:rsidR="00426CA5">
        <w:rPr>
          <w:color w:val="auto"/>
          <w:lang w:val="es-MX"/>
        </w:rPr>
        <w:t xml:space="preserve">, </w:t>
      </w:r>
      <w:r w:rsidR="00426CA5" w:rsidRPr="00E0025F">
        <w:rPr>
          <w:color w:val="auto"/>
          <w:lang w:val="es-MX"/>
        </w:rPr>
        <w:t xml:space="preserve">con cargo al </w:t>
      </w:r>
      <w:r w:rsidR="00256283">
        <w:rPr>
          <w:color w:val="auto"/>
          <w:lang w:val="es-MX"/>
        </w:rPr>
        <w:t>S</w:t>
      </w:r>
      <w:r w:rsidR="00426CA5" w:rsidRPr="00E0025F">
        <w:rPr>
          <w:color w:val="auto"/>
          <w:lang w:val="es-MX"/>
        </w:rPr>
        <w:t>olicitante</w:t>
      </w:r>
      <w:r w:rsidR="00256283">
        <w:rPr>
          <w:color w:val="auto"/>
          <w:lang w:val="es-MX"/>
        </w:rPr>
        <w:t xml:space="preserve"> de Acceso y Uso Compartido</w:t>
      </w:r>
      <w:r w:rsidR="00390D6D" w:rsidRPr="00E0025F">
        <w:rPr>
          <w:color w:val="auto"/>
          <w:lang w:val="es-MX"/>
        </w:rPr>
        <w:t>.</w:t>
      </w:r>
    </w:p>
    <w:p w14:paraId="78687E84" w14:textId="048B9600" w:rsidR="0028091E" w:rsidRPr="00A84755" w:rsidRDefault="005E36BB" w:rsidP="0028091E">
      <w:pPr>
        <w:pStyle w:val="IFTnormal"/>
        <w:rPr>
          <w:color w:val="auto"/>
          <w:lang w:val="es-MX"/>
        </w:rPr>
      </w:pPr>
      <w:r w:rsidRPr="00A84755">
        <w:rPr>
          <w:b/>
          <w:color w:val="auto"/>
          <w:lang w:val="es-MX"/>
        </w:rPr>
        <w:t>Artículo 1</w:t>
      </w:r>
      <w:r w:rsidR="00815CEE">
        <w:rPr>
          <w:b/>
          <w:color w:val="auto"/>
          <w:lang w:val="es-MX"/>
        </w:rPr>
        <w:t>1</w:t>
      </w:r>
      <w:r w:rsidR="0028091E" w:rsidRPr="00A84755">
        <w:rPr>
          <w:b/>
          <w:color w:val="auto"/>
          <w:lang w:val="es-MX"/>
        </w:rPr>
        <w:t xml:space="preserve">. </w:t>
      </w:r>
      <w:r w:rsidR="0028091E" w:rsidRPr="00A84755">
        <w:rPr>
          <w:b/>
          <w:color w:val="auto"/>
          <w:lang w:val="es-419"/>
        </w:rPr>
        <w:t>Acceso y Uso Compartido de Elementos de Infraestructura</w:t>
      </w:r>
      <w:r w:rsidR="002D4703" w:rsidRPr="00A84755">
        <w:rPr>
          <w:b/>
          <w:color w:val="auto"/>
          <w:lang w:val="es-419"/>
        </w:rPr>
        <w:t xml:space="preserve"> Necesaria sin sustitutos.</w:t>
      </w:r>
      <w:r w:rsidR="0028091E" w:rsidRPr="00A84755">
        <w:rPr>
          <w:b/>
          <w:color w:val="auto"/>
          <w:lang w:val="es-MX"/>
        </w:rPr>
        <w:t xml:space="preserve"> </w:t>
      </w:r>
      <w:r w:rsidR="0028091E" w:rsidRPr="00A84755">
        <w:rPr>
          <w:color w:val="auto"/>
          <w:lang w:val="es-419"/>
        </w:rPr>
        <w:t xml:space="preserve">En caso de que los concesionarios </w:t>
      </w:r>
      <w:r w:rsidR="004A7EC3">
        <w:rPr>
          <w:color w:val="auto"/>
          <w:lang w:val="es-419"/>
        </w:rPr>
        <w:t>y</w:t>
      </w:r>
      <w:r w:rsidR="00F717EE">
        <w:rPr>
          <w:color w:val="auto"/>
          <w:lang w:val="es-419"/>
        </w:rPr>
        <w:t>/o</w:t>
      </w:r>
      <w:r w:rsidR="004A7EC3">
        <w:rPr>
          <w:color w:val="auto"/>
          <w:lang w:val="es-419"/>
        </w:rPr>
        <w:t xml:space="preserve"> autorizados </w:t>
      </w:r>
      <w:r w:rsidR="0028091E" w:rsidRPr="00A84755">
        <w:rPr>
          <w:color w:val="auto"/>
          <w:lang w:val="es-419"/>
        </w:rPr>
        <w:t>no puedan convenir</w:t>
      </w:r>
      <w:r w:rsidR="007A773B">
        <w:rPr>
          <w:color w:val="auto"/>
          <w:lang w:val="es-419"/>
        </w:rPr>
        <w:t xml:space="preserve"> términos y condiciones para</w:t>
      </w:r>
      <w:r w:rsidR="0028091E" w:rsidRPr="00A84755">
        <w:rPr>
          <w:color w:val="auto"/>
          <w:lang w:val="es-419"/>
        </w:rPr>
        <w:t xml:space="preserve"> el Acceso y Uso Compartido de Elementos de Infraestructura </w:t>
      </w:r>
      <w:r w:rsidR="002B61A5" w:rsidRPr="00A84755">
        <w:rPr>
          <w:color w:val="auto"/>
          <w:lang w:val="es-419"/>
        </w:rPr>
        <w:t xml:space="preserve">con </w:t>
      </w:r>
      <w:r w:rsidR="002B61A5" w:rsidRPr="00A84755">
        <w:rPr>
          <w:color w:val="auto"/>
          <w:lang w:val="es-MX"/>
        </w:rPr>
        <w:t>Capacidad Susceptible de Utilización</w:t>
      </w:r>
      <w:r w:rsidR="002B61A5" w:rsidRPr="00A84755">
        <w:rPr>
          <w:color w:val="auto"/>
          <w:lang w:val="es-419"/>
        </w:rPr>
        <w:t xml:space="preserve"> que sea</w:t>
      </w:r>
      <w:r w:rsidR="0028091E" w:rsidRPr="00A84755">
        <w:rPr>
          <w:color w:val="auto"/>
          <w:lang w:val="es-419"/>
        </w:rPr>
        <w:t xml:space="preserve"> Infraestructura Necesaria</w:t>
      </w:r>
      <w:r w:rsidR="002B61A5" w:rsidRPr="00A84755">
        <w:rPr>
          <w:color w:val="auto"/>
          <w:lang w:val="es-419"/>
        </w:rPr>
        <w:t xml:space="preserve"> y sin sustitutos</w:t>
      </w:r>
      <w:r w:rsidR="0028091E" w:rsidRPr="00A84755">
        <w:rPr>
          <w:color w:val="auto"/>
          <w:lang w:val="es-MX"/>
        </w:rPr>
        <w:t xml:space="preserve">, </w:t>
      </w:r>
      <w:r w:rsidR="0028091E" w:rsidRPr="00A84755">
        <w:rPr>
          <w:color w:val="auto"/>
          <w:lang w:val="es-419"/>
        </w:rPr>
        <w:t>podrán solicitar la intervención del Instituto para la resolución de un desacuerdo</w:t>
      </w:r>
      <w:r w:rsidR="002B61A5" w:rsidRPr="00A84755">
        <w:rPr>
          <w:i/>
          <w:color w:val="auto"/>
          <w:lang w:val="es-419"/>
        </w:rPr>
        <w:t xml:space="preserve"> </w:t>
      </w:r>
      <w:r w:rsidR="0028091E" w:rsidRPr="00A84755">
        <w:rPr>
          <w:color w:val="auto"/>
          <w:lang w:val="es-MX"/>
        </w:rPr>
        <w:t>de conformidad con</w:t>
      </w:r>
      <w:r w:rsidR="007A773B">
        <w:rPr>
          <w:color w:val="auto"/>
          <w:lang w:val="es-MX"/>
        </w:rPr>
        <w:t xml:space="preserve"> lo establecido en</w:t>
      </w:r>
      <w:r w:rsidR="0028091E" w:rsidRPr="00A84755">
        <w:rPr>
          <w:color w:val="auto"/>
          <w:lang w:val="es-MX"/>
        </w:rPr>
        <w:t xml:space="preserve"> el artículo 139 de la LFTR.</w:t>
      </w:r>
    </w:p>
    <w:p w14:paraId="5BCA7C65" w14:textId="45EA9CCF" w:rsidR="006B180D" w:rsidRPr="00A84755" w:rsidRDefault="006B180D" w:rsidP="006B180D">
      <w:pPr>
        <w:pStyle w:val="IFTnormal"/>
        <w:rPr>
          <w:color w:val="auto"/>
          <w:lang w:val="es-MX"/>
        </w:rPr>
      </w:pPr>
      <w:r w:rsidRPr="00A84755">
        <w:rPr>
          <w:b/>
          <w:color w:val="auto"/>
          <w:lang w:val="es-MX"/>
        </w:rPr>
        <w:t>Artículo 1</w:t>
      </w:r>
      <w:r w:rsidR="00815CEE">
        <w:rPr>
          <w:b/>
          <w:color w:val="auto"/>
          <w:lang w:val="es-MX"/>
        </w:rPr>
        <w:t>2</w:t>
      </w:r>
      <w:r w:rsidRPr="00A84755">
        <w:rPr>
          <w:b/>
          <w:color w:val="auto"/>
          <w:lang w:val="es-MX"/>
        </w:rPr>
        <w:t>. Listado de elementos de Infraestructura Necesaria.</w:t>
      </w:r>
      <w:r w:rsidRPr="00A84755">
        <w:rPr>
          <w:color w:val="auto"/>
          <w:lang w:val="es-MX"/>
        </w:rPr>
        <w:t xml:space="preserve"> </w:t>
      </w:r>
      <w:r w:rsidRPr="00A84755">
        <w:rPr>
          <w:color w:val="auto"/>
          <w:lang w:val="es-419"/>
        </w:rPr>
        <w:t>Para</w:t>
      </w:r>
      <w:r w:rsidR="008C1D36" w:rsidRPr="00A84755">
        <w:rPr>
          <w:color w:val="auto"/>
          <w:lang w:val="es-MX"/>
        </w:rPr>
        <w:t xml:space="preserve"> el supuesto previsto en el </w:t>
      </w:r>
      <w:r w:rsidR="00AE5FAF">
        <w:rPr>
          <w:color w:val="auto"/>
          <w:lang w:val="es-MX"/>
        </w:rPr>
        <w:t>a</w:t>
      </w:r>
      <w:r w:rsidRPr="00A84755">
        <w:rPr>
          <w:color w:val="auto"/>
          <w:lang w:val="es-MX"/>
        </w:rPr>
        <w:t>rtículo 1</w:t>
      </w:r>
      <w:r w:rsidR="00815CEE">
        <w:rPr>
          <w:color w:val="auto"/>
          <w:lang w:val="es-MX"/>
        </w:rPr>
        <w:t>1</w:t>
      </w:r>
      <w:r w:rsidR="00285E04" w:rsidRPr="00A84755">
        <w:rPr>
          <w:color w:val="auto"/>
          <w:lang w:val="es-MX"/>
        </w:rPr>
        <w:t xml:space="preserve"> de los presentes Lineamientos</w:t>
      </w:r>
      <w:r w:rsidRPr="00A84755">
        <w:rPr>
          <w:color w:val="auto"/>
          <w:lang w:val="es-MX"/>
        </w:rPr>
        <w:t>, los siguientes elementos de infraestructura podrán ser considerados por el Instituto como Infraestructura Necesaria:</w:t>
      </w:r>
    </w:p>
    <w:p w14:paraId="02132502" w14:textId="77777777" w:rsidR="006B180D" w:rsidRPr="00A84755" w:rsidRDefault="00390D6D" w:rsidP="001904D9">
      <w:pPr>
        <w:pStyle w:val="IFTnormal"/>
        <w:numPr>
          <w:ilvl w:val="0"/>
          <w:numId w:val="28"/>
        </w:numPr>
        <w:rPr>
          <w:color w:val="auto"/>
        </w:rPr>
      </w:pPr>
      <w:r>
        <w:rPr>
          <w:color w:val="auto"/>
        </w:rPr>
        <w:t>Derechos de Vía;</w:t>
      </w:r>
    </w:p>
    <w:p w14:paraId="337F69EF" w14:textId="77777777" w:rsidR="006B180D" w:rsidRPr="00A84755" w:rsidRDefault="006B180D" w:rsidP="001904D9">
      <w:pPr>
        <w:pStyle w:val="IFTnormal"/>
        <w:numPr>
          <w:ilvl w:val="0"/>
          <w:numId w:val="28"/>
        </w:numPr>
        <w:rPr>
          <w:color w:val="auto"/>
        </w:rPr>
      </w:pPr>
      <w:r w:rsidRPr="00A84755">
        <w:rPr>
          <w:color w:val="auto"/>
        </w:rPr>
        <w:t>Torres o es</w:t>
      </w:r>
      <w:r w:rsidR="00AA36D5">
        <w:rPr>
          <w:color w:val="auto"/>
        </w:rPr>
        <w:t>tructuras de soporte de antena;</w:t>
      </w:r>
    </w:p>
    <w:p w14:paraId="3A0FD61C" w14:textId="77777777" w:rsidR="006B180D" w:rsidRPr="00A84755" w:rsidRDefault="006B180D" w:rsidP="001904D9">
      <w:pPr>
        <w:pStyle w:val="IFTnormal"/>
        <w:numPr>
          <w:ilvl w:val="0"/>
          <w:numId w:val="28"/>
        </w:numPr>
        <w:rPr>
          <w:color w:val="auto"/>
        </w:rPr>
      </w:pPr>
      <w:r w:rsidRPr="00A84755">
        <w:rPr>
          <w:color w:val="auto"/>
        </w:rPr>
        <w:t>Postes;</w:t>
      </w:r>
    </w:p>
    <w:p w14:paraId="0C95CA50" w14:textId="77777777" w:rsidR="006B180D" w:rsidRPr="00A84755" w:rsidRDefault="006B180D" w:rsidP="001904D9">
      <w:pPr>
        <w:pStyle w:val="IFTnormal"/>
        <w:numPr>
          <w:ilvl w:val="0"/>
          <w:numId w:val="28"/>
        </w:numPr>
        <w:rPr>
          <w:color w:val="auto"/>
        </w:rPr>
      </w:pPr>
      <w:r w:rsidRPr="00A84755">
        <w:rPr>
          <w:color w:val="auto"/>
        </w:rPr>
        <w:t>Pozos;</w:t>
      </w:r>
    </w:p>
    <w:p w14:paraId="697F263E" w14:textId="77777777" w:rsidR="006B180D" w:rsidRPr="00A84755" w:rsidRDefault="006B180D" w:rsidP="001904D9">
      <w:pPr>
        <w:pStyle w:val="IFTnormal"/>
        <w:numPr>
          <w:ilvl w:val="0"/>
          <w:numId w:val="28"/>
        </w:numPr>
        <w:rPr>
          <w:color w:val="auto"/>
        </w:rPr>
      </w:pPr>
      <w:r w:rsidRPr="00A84755">
        <w:rPr>
          <w:color w:val="auto"/>
        </w:rPr>
        <w:lastRenderedPageBreak/>
        <w:t>Ductos;</w:t>
      </w:r>
    </w:p>
    <w:p w14:paraId="4DEB07CB" w14:textId="77777777" w:rsidR="006B180D" w:rsidRPr="00A84755" w:rsidRDefault="006B180D" w:rsidP="001904D9">
      <w:pPr>
        <w:pStyle w:val="IFTnormal"/>
        <w:numPr>
          <w:ilvl w:val="0"/>
          <w:numId w:val="28"/>
        </w:numPr>
        <w:rPr>
          <w:color w:val="auto"/>
        </w:rPr>
      </w:pPr>
      <w:r w:rsidRPr="00A84755">
        <w:rPr>
          <w:color w:val="auto"/>
        </w:rPr>
        <w:t>Espacio en Obra Civil incluyendo e</w:t>
      </w:r>
      <w:r w:rsidR="000962A2" w:rsidRPr="00A84755">
        <w:rPr>
          <w:color w:val="auto"/>
        </w:rPr>
        <w:t>dificios y cobertizos de equipo,</w:t>
      </w:r>
      <w:r w:rsidRPr="00A84755">
        <w:rPr>
          <w:color w:val="auto"/>
        </w:rPr>
        <w:t xml:space="preserve"> </w:t>
      </w:r>
      <w:r w:rsidR="007A78D3" w:rsidRPr="00A84755">
        <w:rPr>
          <w:color w:val="auto"/>
        </w:rPr>
        <w:t>o</w:t>
      </w:r>
    </w:p>
    <w:p w14:paraId="4C96C678" w14:textId="77777777" w:rsidR="006B180D" w:rsidRPr="00A84755" w:rsidRDefault="006B180D" w:rsidP="001904D9">
      <w:pPr>
        <w:pStyle w:val="IFTnormal"/>
        <w:numPr>
          <w:ilvl w:val="0"/>
          <w:numId w:val="28"/>
        </w:numPr>
        <w:rPr>
          <w:color w:val="auto"/>
        </w:rPr>
      </w:pPr>
      <w:r w:rsidRPr="00A84755">
        <w:rPr>
          <w:color w:val="auto"/>
        </w:rPr>
        <w:t>Cualquier otra que demuestre el Solicitante de Acceso y Uso Compartido qu</w:t>
      </w:r>
      <w:r w:rsidR="00AA36D5">
        <w:rPr>
          <w:color w:val="auto"/>
        </w:rPr>
        <w:t>e es Infraestructura Necesaria.</w:t>
      </w:r>
    </w:p>
    <w:p w14:paraId="4F48CD9F" w14:textId="5D359ADB" w:rsidR="006B180D" w:rsidRPr="00A84755" w:rsidRDefault="006B180D" w:rsidP="0028091E">
      <w:pPr>
        <w:pStyle w:val="IFTnormal"/>
        <w:rPr>
          <w:color w:val="auto"/>
          <w:lang w:val="es-419"/>
        </w:rPr>
      </w:pPr>
      <w:r w:rsidRPr="00A84755">
        <w:rPr>
          <w:b/>
          <w:color w:val="auto"/>
          <w:lang w:val="es-MX"/>
        </w:rPr>
        <w:t>Artículo 1</w:t>
      </w:r>
      <w:r w:rsidR="00815CEE">
        <w:rPr>
          <w:b/>
          <w:color w:val="auto"/>
          <w:lang w:val="es-MX"/>
        </w:rPr>
        <w:t>3</w:t>
      </w:r>
      <w:r w:rsidRPr="00A84755">
        <w:rPr>
          <w:b/>
          <w:color w:val="auto"/>
          <w:lang w:val="es-MX"/>
        </w:rPr>
        <w:t>. No existencia de sustitutos.</w:t>
      </w:r>
      <w:r w:rsidR="00291804" w:rsidRPr="00A84755">
        <w:rPr>
          <w:color w:val="auto"/>
          <w:lang w:val="es-419"/>
        </w:rPr>
        <w:t xml:space="preserve"> Para</w:t>
      </w:r>
      <w:r w:rsidR="002553E7" w:rsidRPr="00A84755">
        <w:rPr>
          <w:color w:val="auto"/>
          <w:lang w:val="es-MX"/>
        </w:rPr>
        <w:t xml:space="preserve"> el supuesto previsto en el </w:t>
      </w:r>
      <w:r w:rsidR="006A399C">
        <w:rPr>
          <w:color w:val="auto"/>
          <w:lang w:val="es-MX"/>
        </w:rPr>
        <w:t>a</w:t>
      </w:r>
      <w:r w:rsidR="00291804" w:rsidRPr="00A84755">
        <w:rPr>
          <w:color w:val="auto"/>
          <w:lang w:val="es-MX"/>
        </w:rPr>
        <w:t xml:space="preserve">rtículo </w:t>
      </w:r>
      <w:r w:rsidR="000962A2" w:rsidRPr="00A84755">
        <w:rPr>
          <w:color w:val="auto"/>
          <w:lang w:val="es-MX"/>
        </w:rPr>
        <w:t>1</w:t>
      </w:r>
      <w:r w:rsidR="00815CEE">
        <w:rPr>
          <w:color w:val="auto"/>
          <w:lang w:val="es-MX"/>
        </w:rPr>
        <w:t>1</w:t>
      </w:r>
      <w:r w:rsidR="00285E04" w:rsidRPr="00A84755">
        <w:rPr>
          <w:color w:val="auto"/>
          <w:lang w:val="es-MX"/>
        </w:rPr>
        <w:t xml:space="preserve"> de los presentes Lineamientos</w:t>
      </w:r>
      <w:r w:rsidR="00291804" w:rsidRPr="00A84755">
        <w:rPr>
          <w:color w:val="auto"/>
          <w:lang w:val="es-MX"/>
        </w:rPr>
        <w:t>,</w:t>
      </w:r>
      <w:r w:rsidRPr="00A84755">
        <w:rPr>
          <w:color w:val="auto"/>
          <w:lang w:val="es-MX"/>
        </w:rPr>
        <w:t xml:space="preserve"> la determinación de la no existencia de sustitutos para los elementos de Infraestructura Necesaria objeto del desacuerdo,</w:t>
      </w:r>
      <w:r w:rsidRPr="00A84755" w:rsidDel="00C11E20">
        <w:rPr>
          <w:color w:val="auto"/>
          <w:lang w:val="es-MX"/>
        </w:rPr>
        <w:t xml:space="preserve"> </w:t>
      </w:r>
      <w:r w:rsidRPr="00A84755">
        <w:rPr>
          <w:color w:val="auto"/>
          <w:lang w:val="es-MX"/>
        </w:rPr>
        <w:t xml:space="preserve">el Instituto deberá considerar, si al momento de la presentación del mismo, han sido desplegados otros elementos de infraestructura técnicamente equivalentes que permitan la provisión del servicio de telecomunicaciones y/o radiodifusión para el mercado de interés; así como las restricciones </w:t>
      </w:r>
      <w:r w:rsidRPr="00A84755">
        <w:rPr>
          <w:color w:val="auto"/>
          <w:lang w:val="es-419"/>
        </w:rPr>
        <w:t xml:space="preserve">técnicas, legales o económicas </w:t>
      </w:r>
      <w:r w:rsidRPr="00A84755">
        <w:rPr>
          <w:color w:val="auto"/>
          <w:lang w:val="es-MX"/>
        </w:rPr>
        <w:t xml:space="preserve">para </w:t>
      </w:r>
      <w:r w:rsidR="008319FC">
        <w:rPr>
          <w:color w:val="auto"/>
          <w:lang w:val="es-419"/>
        </w:rPr>
        <w:t>hacer uso de los mismos</w:t>
      </w:r>
      <w:r w:rsidRPr="00A84755">
        <w:rPr>
          <w:color w:val="auto"/>
          <w:lang w:val="es-419"/>
        </w:rPr>
        <w:t>.</w:t>
      </w:r>
    </w:p>
    <w:p w14:paraId="37053969" w14:textId="6D4DF35B" w:rsidR="00342C96" w:rsidRPr="00A84755" w:rsidRDefault="005E36BB" w:rsidP="005B23DF">
      <w:pPr>
        <w:pStyle w:val="IFTnormal"/>
        <w:rPr>
          <w:color w:val="auto"/>
          <w:lang w:val="es-419"/>
        </w:rPr>
      </w:pPr>
      <w:r w:rsidRPr="00A84755">
        <w:rPr>
          <w:b/>
          <w:color w:val="auto"/>
          <w:lang w:val="es-MX"/>
        </w:rPr>
        <w:t>Artículo 1</w:t>
      </w:r>
      <w:r w:rsidR="00815CEE">
        <w:rPr>
          <w:b/>
          <w:color w:val="auto"/>
          <w:lang w:val="es-MX"/>
        </w:rPr>
        <w:t>4</w:t>
      </w:r>
      <w:r w:rsidR="00342C96" w:rsidRPr="00A84755">
        <w:rPr>
          <w:b/>
          <w:color w:val="auto"/>
          <w:lang w:val="es-MX"/>
        </w:rPr>
        <w:t xml:space="preserve">. </w:t>
      </w:r>
      <w:r w:rsidR="00342C96" w:rsidRPr="00A84755">
        <w:rPr>
          <w:b/>
          <w:color w:val="auto"/>
          <w:lang w:val="es-419"/>
        </w:rPr>
        <w:t>Acceso y Uso Compartido de Elementos de Infraestructura</w:t>
      </w:r>
      <w:r w:rsidR="00342C96" w:rsidRPr="00A84755">
        <w:rPr>
          <w:b/>
          <w:color w:val="auto"/>
          <w:lang w:val="es-MX"/>
        </w:rPr>
        <w:t xml:space="preserve"> </w:t>
      </w:r>
      <w:r w:rsidR="002B61A5" w:rsidRPr="00A84755">
        <w:rPr>
          <w:b/>
          <w:color w:val="auto"/>
          <w:lang w:val="es-MX"/>
        </w:rPr>
        <w:t>federal</w:t>
      </w:r>
      <w:r w:rsidR="00291804" w:rsidRPr="00A84755">
        <w:rPr>
          <w:b/>
          <w:color w:val="auto"/>
          <w:lang w:val="es-MX"/>
        </w:rPr>
        <w:t>.</w:t>
      </w:r>
      <w:r w:rsidR="00342C96" w:rsidRPr="00A84755">
        <w:rPr>
          <w:color w:val="auto"/>
          <w:lang w:val="es-419"/>
        </w:rPr>
        <w:t xml:space="preserve"> </w:t>
      </w:r>
      <w:r w:rsidR="005B23DF" w:rsidRPr="00A84755">
        <w:rPr>
          <w:color w:val="auto"/>
          <w:lang w:val="es-419"/>
        </w:rPr>
        <w:t>En caso de que l</w:t>
      </w:r>
      <w:r w:rsidR="00342C96" w:rsidRPr="00A84755">
        <w:rPr>
          <w:color w:val="auto"/>
          <w:lang w:val="es-419"/>
        </w:rPr>
        <w:t>os concesionarios</w:t>
      </w:r>
      <w:r w:rsidR="004A7EC3">
        <w:rPr>
          <w:color w:val="auto"/>
          <w:lang w:val="es-419"/>
        </w:rPr>
        <w:t xml:space="preserve"> y</w:t>
      </w:r>
      <w:r w:rsidR="00F717EE">
        <w:rPr>
          <w:color w:val="auto"/>
          <w:lang w:val="es-419"/>
        </w:rPr>
        <w:t>/o</w:t>
      </w:r>
      <w:r w:rsidR="004A7EC3">
        <w:rPr>
          <w:color w:val="auto"/>
          <w:lang w:val="es-419"/>
        </w:rPr>
        <w:t xml:space="preserve"> autorizados</w:t>
      </w:r>
      <w:r w:rsidR="00342C96" w:rsidRPr="00A84755">
        <w:rPr>
          <w:color w:val="auto"/>
          <w:lang w:val="es-419"/>
        </w:rPr>
        <w:t xml:space="preserve"> </w:t>
      </w:r>
      <w:r w:rsidR="005B23DF" w:rsidRPr="00A84755">
        <w:rPr>
          <w:color w:val="auto"/>
          <w:lang w:val="es-419"/>
        </w:rPr>
        <w:t xml:space="preserve">no puedan convenir el Acceso y Uso Compartido de Elementos de Infraestructura </w:t>
      </w:r>
      <w:r w:rsidR="002B61A5" w:rsidRPr="00A84755">
        <w:rPr>
          <w:color w:val="auto"/>
          <w:lang w:val="es-419"/>
        </w:rPr>
        <w:t xml:space="preserve">con </w:t>
      </w:r>
      <w:r w:rsidR="002B61A5" w:rsidRPr="00A84755">
        <w:rPr>
          <w:color w:val="auto"/>
          <w:lang w:val="es-MX"/>
        </w:rPr>
        <w:t>Capacidad Susceptible de Utilización</w:t>
      </w:r>
      <w:r w:rsidR="002B61A5" w:rsidRPr="00A84755">
        <w:rPr>
          <w:color w:val="auto"/>
          <w:lang w:val="es-419"/>
        </w:rPr>
        <w:t xml:space="preserve"> </w:t>
      </w:r>
      <w:r w:rsidR="005B23DF" w:rsidRPr="00A84755">
        <w:rPr>
          <w:color w:val="auto"/>
          <w:lang w:val="es-419"/>
        </w:rPr>
        <w:t xml:space="preserve">desplegada en </w:t>
      </w:r>
      <w:r w:rsidR="00342C96" w:rsidRPr="00A84755">
        <w:rPr>
          <w:color w:val="auto"/>
          <w:lang w:val="es-MX"/>
        </w:rPr>
        <w:t>inmuebles</w:t>
      </w:r>
      <w:r w:rsidR="007D1824" w:rsidRPr="00A84755">
        <w:rPr>
          <w:color w:val="auto"/>
          <w:lang w:val="es-419"/>
        </w:rPr>
        <w:t xml:space="preserve">, </w:t>
      </w:r>
      <w:r w:rsidR="004C1F11" w:rsidRPr="00A84755">
        <w:rPr>
          <w:color w:val="auto"/>
          <w:lang w:val="es-419"/>
        </w:rPr>
        <w:t>D</w:t>
      </w:r>
      <w:r w:rsidR="007D1824" w:rsidRPr="00A84755">
        <w:rPr>
          <w:color w:val="auto"/>
          <w:lang w:val="es-419"/>
        </w:rPr>
        <w:t xml:space="preserve">uctos, </w:t>
      </w:r>
      <w:r w:rsidR="005F137A" w:rsidRPr="00A84755">
        <w:rPr>
          <w:color w:val="auto"/>
          <w:lang w:val="es-419"/>
        </w:rPr>
        <w:t>Postes</w:t>
      </w:r>
      <w:r w:rsidR="007D1824" w:rsidRPr="00A84755">
        <w:rPr>
          <w:color w:val="auto"/>
          <w:lang w:val="es-419"/>
        </w:rPr>
        <w:t xml:space="preserve"> o Derechos de Vía federales</w:t>
      </w:r>
      <w:r w:rsidR="002B61A5" w:rsidRPr="00A84755">
        <w:rPr>
          <w:color w:val="auto"/>
          <w:lang w:val="es-419"/>
        </w:rPr>
        <w:t xml:space="preserve">, </w:t>
      </w:r>
      <w:r w:rsidR="005B23DF" w:rsidRPr="00A84755">
        <w:rPr>
          <w:color w:val="auto"/>
          <w:lang w:val="es-419"/>
        </w:rPr>
        <w:t>podrán solicitar la intervención del Instituto para la resolución de un desacuerdo</w:t>
      </w:r>
      <w:r w:rsidR="002B61A5" w:rsidRPr="00A84755">
        <w:rPr>
          <w:color w:val="auto"/>
          <w:lang w:val="es-419"/>
        </w:rPr>
        <w:t>.</w:t>
      </w:r>
    </w:p>
    <w:p w14:paraId="5E783328" w14:textId="374C810B" w:rsidR="00342C96" w:rsidRPr="00A84755" w:rsidRDefault="00342C96" w:rsidP="00342C96">
      <w:pPr>
        <w:pStyle w:val="IFTnormal"/>
        <w:rPr>
          <w:color w:val="auto"/>
          <w:lang w:val="es-MX"/>
        </w:rPr>
      </w:pPr>
      <w:r w:rsidRPr="00A84755">
        <w:rPr>
          <w:color w:val="auto"/>
          <w:lang w:val="es-MX"/>
        </w:rPr>
        <w:t xml:space="preserve">En el acceso a su propia infraestructura, los </w:t>
      </w:r>
      <w:r w:rsidR="004A7EC3" w:rsidRPr="00A84755">
        <w:rPr>
          <w:color w:val="auto"/>
          <w:lang w:val="es-MX"/>
        </w:rPr>
        <w:t xml:space="preserve">concesionarios </w:t>
      </w:r>
      <w:r w:rsidR="004A7EC3">
        <w:rPr>
          <w:color w:val="auto"/>
          <w:lang w:val="es-MX"/>
        </w:rPr>
        <w:t xml:space="preserve">y autorizados </w:t>
      </w:r>
      <w:r w:rsidRPr="00A84755">
        <w:rPr>
          <w:color w:val="auto"/>
          <w:lang w:val="es-MX"/>
        </w:rPr>
        <w:t>deberán ofrecer</w:t>
      </w:r>
      <w:r w:rsidR="008319FC">
        <w:rPr>
          <w:color w:val="auto"/>
          <w:lang w:val="es-MX"/>
        </w:rPr>
        <w:t xml:space="preserve"> precios y</w:t>
      </w:r>
      <w:r w:rsidR="005B23DF" w:rsidRPr="00A84755">
        <w:rPr>
          <w:color w:val="auto"/>
          <w:lang w:val="es-419"/>
        </w:rPr>
        <w:t xml:space="preserve"> acceso no discriminatorio </w:t>
      </w:r>
      <w:r w:rsidRPr="00A84755">
        <w:rPr>
          <w:color w:val="auto"/>
          <w:lang w:val="es-MX"/>
        </w:rPr>
        <w:t>a otros concesionarios</w:t>
      </w:r>
      <w:r w:rsidR="001A586A">
        <w:rPr>
          <w:color w:val="auto"/>
          <w:lang w:val="es-MX"/>
        </w:rPr>
        <w:t xml:space="preserve"> o</w:t>
      </w:r>
      <w:r w:rsidR="004A7EC3">
        <w:rPr>
          <w:color w:val="auto"/>
          <w:lang w:val="es-MX"/>
        </w:rPr>
        <w:t xml:space="preserve"> autorizados</w:t>
      </w:r>
      <w:r w:rsidR="002E68AC">
        <w:rPr>
          <w:color w:val="auto"/>
          <w:lang w:val="es-419"/>
        </w:rPr>
        <w:t xml:space="preserve">, en términos de lo dispuesto por la </w:t>
      </w:r>
      <w:r w:rsidRPr="00A84755">
        <w:rPr>
          <w:color w:val="auto"/>
          <w:lang w:val="es-MX"/>
        </w:rPr>
        <w:t>fracción III del artículo Décimo S</w:t>
      </w:r>
      <w:r w:rsidR="005B23DF" w:rsidRPr="00A84755">
        <w:rPr>
          <w:color w:val="auto"/>
          <w:lang w:val="es-MX"/>
        </w:rPr>
        <w:t>éptimo Transitorio del Decreto</w:t>
      </w:r>
      <w:r w:rsidR="00047694" w:rsidRPr="00A84755">
        <w:rPr>
          <w:color w:val="auto"/>
          <w:lang w:val="es-MX"/>
        </w:rPr>
        <w:t>.</w:t>
      </w:r>
    </w:p>
    <w:p w14:paraId="444F6058" w14:textId="5A710EBA" w:rsidR="007669A5" w:rsidRPr="00A84755" w:rsidRDefault="00714C32" w:rsidP="003056A3">
      <w:pPr>
        <w:pStyle w:val="IFTnormal"/>
        <w:rPr>
          <w:color w:val="auto"/>
          <w:lang w:val="es-MX"/>
        </w:rPr>
      </w:pPr>
      <w:r w:rsidRPr="00A84755">
        <w:rPr>
          <w:b/>
          <w:color w:val="auto"/>
          <w:lang w:val="es-MX"/>
        </w:rPr>
        <w:t>Artículo 1</w:t>
      </w:r>
      <w:r w:rsidR="00815CEE">
        <w:rPr>
          <w:b/>
          <w:color w:val="auto"/>
          <w:lang w:val="es-MX"/>
        </w:rPr>
        <w:t>5</w:t>
      </w:r>
      <w:r w:rsidRPr="00A84755">
        <w:rPr>
          <w:b/>
          <w:color w:val="auto"/>
          <w:lang w:val="es-MX"/>
        </w:rPr>
        <w:t xml:space="preserve">. </w:t>
      </w:r>
      <w:r w:rsidRPr="00A84755">
        <w:rPr>
          <w:b/>
          <w:color w:val="auto"/>
          <w:lang w:val="es-419"/>
        </w:rPr>
        <w:t>Acceso y Uso Compartido de Elementos de Infraestructura</w:t>
      </w:r>
      <w:r w:rsidRPr="00A84755">
        <w:rPr>
          <w:b/>
          <w:color w:val="auto"/>
          <w:lang w:val="es-MX"/>
        </w:rPr>
        <w:t xml:space="preserve"> en inmuebles. </w:t>
      </w:r>
      <w:r w:rsidR="00CE32EA" w:rsidRPr="00A84755">
        <w:rPr>
          <w:color w:val="auto"/>
          <w:lang w:val="es-419"/>
        </w:rPr>
        <w:t>En caso de que los concesionarios</w:t>
      </w:r>
      <w:r w:rsidR="004A7EC3">
        <w:rPr>
          <w:color w:val="auto"/>
          <w:lang w:val="es-419"/>
        </w:rPr>
        <w:t xml:space="preserve"> y</w:t>
      </w:r>
      <w:r w:rsidR="00F717EE">
        <w:rPr>
          <w:color w:val="auto"/>
          <w:lang w:val="es-419"/>
        </w:rPr>
        <w:t>/o</w:t>
      </w:r>
      <w:r w:rsidR="004A7EC3">
        <w:rPr>
          <w:color w:val="auto"/>
          <w:lang w:val="es-419"/>
        </w:rPr>
        <w:t xml:space="preserve"> autorizados</w:t>
      </w:r>
      <w:r w:rsidR="00CE32EA" w:rsidRPr="00A84755">
        <w:rPr>
          <w:color w:val="auto"/>
          <w:lang w:val="es-419"/>
        </w:rPr>
        <w:t xml:space="preserve"> no puedan convenir el Acceso y Uso Compartido de Elementos de Infraestructura </w:t>
      </w:r>
      <w:r w:rsidR="002B61A5" w:rsidRPr="00A84755">
        <w:rPr>
          <w:color w:val="auto"/>
          <w:lang w:val="es-419"/>
        </w:rPr>
        <w:t xml:space="preserve">con </w:t>
      </w:r>
      <w:r w:rsidR="002B61A5" w:rsidRPr="00A84755">
        <w:rPr>
          <w:color w:val="auto"/>
          <w:lang w:val="es-MX"/>
        </w:rPr>
        <w:t xml:space="preserve">Capacidad </w:t>
      </w:r>
      <w:r w:rsidR="000962A2" w:rsidRPr="00A84755">
        <w:rPr>
          <w:color w:val="auto"/>
          <w:lang w:val="es-MX"/>
        </w:rPr>
        <w:t xml:space="preserve">Susceptible </w:t>
      </w:r>
      <w:r w:rsidR="002B61A5" w:rsidRPr="00A84755">
        <w:rPr>
          <w:color w:val="auto"/>
          <w:lang w:val="es-MX"/>
        </w:rPr>
        <w:t>de Utilización</w:t>
      </w:r>
      <w:r w:rsidR="002B61A5" w:rsidRPr="00A84755">
        <w:rPr>
          <w:color w:val="auto"/>
          <w:lang w:val="es-419"/>
        </w:rPr>
        <w:t xml:space="preserve"> </w:t>
      </w:r>
      <w:r w:rsidR="00CE32EA" w:rsidRPr="00A84755">
        <w:rPr>
          <w:color w:val="auto"/>
          <w:lang w:val="es-419"/>
        </w:rPr>
        <w:t xml:space="preserve">desplegada en inmuebles </w:t>
      </w:r>
      <w:r w:rsidR="004901AE" w:rsidRPr="00A84755">
        <w:rPr>
          <w:color w:val="auto"/>
          <w:lang w:val="es-419"/>
        </w:rPr>
        <w:t>a los que hace referencia la fracción IX del artículo 118 de la LFTR</w:t>
      </w:r>
      <w:r w:rsidR="00484AE1">
        <w:rPr>
          <w:color w:val="auto"/>
          <w:lang w:val="es-419"/>
        </w:rPr>
        <w:t>,</w:t>
      </w:r>
      <w:r w:rsidR="00CE32EA" w:rsidRPr="00A84755">
        <w:rPr>
          <w:color w:val="auto"/>
          <w:lang w:val="es-419"/>
        </w:rPr>
        <w:t xml:space="preserve"> </w:t>
      </w:r>
      <w:r w:rsidR="003056A3" w:rsidRPr="00A84755">
        <w:rPr>
          <w:color w:val="auto"/>
          <w:lang w:val="es-419"/>
        </w:rPr>
        <w:t>existan tratos</w:t>
      </w:r>
      <w:r w:rsidR="00CE32EA" w:rsidRPr="00A84755">
        <w:rPr>
          <w:color w:val="auto"/>
          <w:lang w:val="es-MX"/>
        </w:rPr>
        <w:t xml:space="preserve"> de exclusividad, trato</w:t>
      </w:r>
      <w:r w:rsidR="003056A3" w:rsidRPr="00A84755">
        <w:rPr>
          <w:color w:val="auto"/>
          <w:lang w:val="es-MX"/>
        </w:rPr>
        <w:t>s</w:t>
      </w:r>
      <w:r w:rsidR="00CE32EA" w:rsidRPr="00A84755">
        <w:rPr>
          <w:color w:val="auto"/>
          <w:lang w:val="es-MX"/>
        </w:rPr>
        <w:t xml:space="preserve"> discriminatorio</w:t>
      </w:r>
      <w:r w:rsidR="003056A3" w:rsidRPr="00A84755">
        <w:rPr>
          <w:color w:val="auto"/>
          <w:lang w:val="es-MX"/>
        </w:rPr>
        <w:t>s</w:t>
      </w:r>
      <w:r w:rsidR="00CE32EA" w:rsidRPr="00A84755">
        <w:rPr>
          <w:color w:val="auto"/>
          <w:lang w:val="es-MX"/>
        </w:rPr>
        <w:t xml:space="preserve"> </w:t>
      </w:r>
      <w:r w:rsidR="003056A3" w:rsidRPr="00A84755">
        <w:rPr>
          <w:color w:val="auto"/>
          <w:lang w:val="es-MX"/>
        </w:rPr>
        <w:t xml:space="preserve">por parte </w:t>
      </w:r>
      <w:r w:rsidR="00CE32EA" w:rsidRPr="00A84755">
        <w:rPr>
          <w:color w:val="auto"/>
          <w:lang w:val="es-MX"/>
        </w:rPr>
        <w:t>del dueño</w:t>
      </w:r>
      <w:r w:rsidR="004406F0">
        <w:rPr>
          <w:color w:val="auto"/>
          <w:lang w:val="es-MX"/>
        </w:rPr>
        <w:t>, poseedor o administrador</w:t>
      </w:r>
      <w:r w:rsidR="00CE32EA" w:rsidRPr="00A84755">
        <w:rPr>
          <w:color w:val="auto"/>
          <w:lang w:val="es-MX"/>
        </w:rPr>
        <w:t xml:space="preserve"> del inmueble </w:t>
      </w:r>
      <w:r w:rsidR="00291804" w:rsidRPr="00A84755">
        <w:rPr>
          <w:color w:val="auto"/>
          <w:lang w:val="es-MX"/>
        </w:rPr>
        <w:t>o falta</w:t>
      </w:r>
      <w:r w:rsidR="00CE32EA" w:rsidRPr="00A84755">
        <w:rPr>
          <w:color w:val="auto"/>
          <w:lang w:val="es-MX"/>
        </w:rPr>
        <w:t xml:space="preserve"> de </w:t>
      </w:r>
      <w:r w:rsidR="00B05616">
        <w:rPr>
          <w:color w:val="auto"/>
          <w:lang w:val="es-MX"/>
        </w:rPr>
        <w:t>C</w:t>
      </w:r>
      <w:r w:rsidR="00CE32EA" w:rsidRPr="00A84755">
        <w:rPr>
          <w:color w:val="auto"/>
          <w:lang w:val="es-MX"/>
        </w:rPr>
        <w:t>apacidad en la infraestructura del inmueble</w:t>
      </w:r>
      <w:r w:rsidR="003056A3" w:rsidRPr="00A84755">
        <w:rPr>
          <w:color w:val="auto"/>
          <w:lang w:val="es-MX"/>
        </w:rPr>
        <w:t xml:space="preserve">, los concesionarios </w:t>
      </w:r>
      <w:r w:rsidR="001A586A">
        <w:rPr>
          <w:color w:val="auto"/>
          <w:lang w:val="es-MX"/>
        </w:rPr>
        <w:t>o</w:t>
      </w:r>
      <w:r w:rsidR="004A7EC3">
        <w:rPr>
          <w:color w:val="auto"/>
          <w:lang w:val="es-MX"/>
        </w:rPr>
        <w:t xml:space="preserve"> autorizados </w:t>
      </w:r>
      <w:r w:rsidR="003056A3" w:rsidRPr="00A84755">
        <w:rPr>
          <w:color w:val="auto"/>
          <w:lang w:val="es-419"/>
        </w:rPr>
        <w:t>podrán solicitar la intervención del Instituto para la resolución de un desacuerdo</w:t>
      </w:r>
      <w:r w:rsidR="003056A3" w:rsidRPr="00A84755">
        <w:rPr>
          <w:i/>
          <w:color w:val="auto"/>
          <w:lang w:val="es-419"/>
        </w:rPr>
        <w:t>.</w:t>
      </w:r>
    </w:p>
    <w:p w14:paraId="342FEF81" w14:textId="424E1A5E" w:rsidR="005D27DD" w:rsidRPr="00A84755" w:rsidRDefault="005D27DD" w:rsidP="005D27DD">
      <w:pPr>
        <w:pStyle w:val="IFTnormal"/>
        <w:rPr>
          <w:color w:val="auto"/>
          <w:lang w:val="es-MX"/>
        </w:rPr>
      </w:pPr>
      <w:r w:rsidRPr="00A84755">
        <w:rPr>
          <w:b/>
          <w:color w:val="auto"/>
          <w:lang w:val="es-MX"/>
        </w:rPr>
        <w:t>Artículo 1</w:t>
      </w:r>
      <w:r w:rsidR="00815CEE">
        <w:rPr>
          <w:b/>
          <w:color w:val="auto"/>
          <w:lang w:val="es-MX"/>
        </w:rPr>
        <w:t>6</w:t>
      </w:r>
      <w:r w:rsidRPr="00A84755">
        <w:rPr>
          <w:b/>
          <w:color w:val="auto"/>
          <w:lang w:val="es-MX"/>
        </w:rPr>
        <w:t xml:space="preserve">. </w:t>
      </w:r>
      <w:r w:rsidR="00E3583C" w:rsidRPr="00A84755">
        <w:rPr>
          <w:b/>
          <w:color w:val="auto"/>
          <w:lang w:val="es-419"/>
        </w:rPr>
        <w:t>Acceso y Uso Compartido de Elementos de Infraestructura</w:t>
      </w:r>
      <w:r w:rsidR="00E3583C" w:rsidRPr="00A84755">
        <w:rPr>
          <w:color w:val="auto"/>
          <w:lang w:val="es-MX"/>
        </w:rPr>
        <w:t xml:space="preserve"> </w:t>
      </w:r>
      <w:r w:rsidRPr="00A84755">
        <w:rPr>
          <w:b/>
          <w:color w:val="auto"/>
          <w:lang w:val="es-419"/>
        </w:rPr>
        <w:t>por desacuerdo</w:t>
      </w:r>
      <w:r w:rsidRPr="00A84755">
        <w:rPr>
          <w:b/>
          <w:color w:val="auto"/>
          <w:lang w:val="es-MX"/>
        </w:rPr>
        <w:t>.</w:t>
      </w:r>
      <w:r w:rsidRPr="00A84755">
        <w:rPr>
          <w:color w:val="auto"/>
          <w:lang w:val="es-MX"/>
        </w:rPr>
        <w:t xml:space="preserve"> </w:t>
      </w:r>
      <w:r w:rsidRPr="00E17502">
        <w:rPr>
          <w:color w:val="auto"/>
          <w:lang w:val="es-MX"/>
        </w:rPr>
        <w:t xml:space="preserve">El </w:t>
      </w:r>
      <w:r w:rsidRPr="00E17502">
        <w:rPr>
          <w:color w:val="auto"/>
          <w:lang w:val="es-419"/>
        </w:rPr>
        <w:t>Acceso y Uso Compartido de Elementos de Infraestructura</w:t>
      </w:r>
      <w:r w:rsidRPr="00E17502">
        <w:rPr>
          <w:color w:val="auto"/>
          <w:lang w:val="es-MX"/>
        </w:rPr>
        <w:t xml:space="preserve"> se establecerá mediante la suscripción de </w:t>
      </w:r>
      <w:r w:rsidR="00440B51">
        <w:rPr>
          <w:color w:val="auto"/>
          <w:lang w:val="es-MX"/>
        </w:rPr>
        <w:t>c</w:t>
      </w:r>
      <w:r w:rsidRPr="00E17502">
        <w:rPr>
          <w:color w:val="auto"/>
          <w:lang w:val="es-MX"/>
        </w:rPr>
        <w:t xml:space="preserve">onvenios entre los concesionarios </w:t>
      </w:r>
      <w:r w:rsidR="004A7EC3">
        <w:rPr>
          <w:color w:val="auto"/>
          <w:lang w:val="es-MX"/>
        </w:rPr>
        <w:t>y</w:t>
      </w:r>
      <w:r w:rsidR="00F717EE">
        <w:rPr>
          <w:color w:val="auto"/>
          <w:lang w:val="es-MX"/>
        </w:rPr>
        <w:t>/o</w:t>
      </w:r>
      <w:r w:rsidR="004A7EC3">
        <w:rPr>
          <w:color w:val="auto"/>
          <w:lang w:val="es-MX"/>
        </w:rPr>
        <w:t xml:space="preserve"> autorizados </w:t>
      </w:r>
      <w:r w:rsidRPr="00E17502">
        <w:rPr>
          <w:color w:val="auto"/>
          <w:lang w:val="es-MX"/>
        </w:rPr>
        <w:t>interesados. Sin embargo, también podrá realizarse mediante resolución emitida por el Instituto de confor</w:t>
      </w:r>
      <w:r w:rsidR="002553E7" w:rsidRPr="00E17502">
        <w:rPr>
          <w:color w:val="auto"/>
          <w:lang w:val="es-MX"/>
        </w:rPr>
        <w:t xml:space="preserve">midad con lo dispuesto por los </w:t>
      </w:r>
      <w:r w:rsidR="006A399C">
        <w:rPr>
          <w:color w:val="auto"/>
          <w:lang w:val="es-MX"/>
        </w:rPr>
        <w:t>a</w:t>
      </w:r>
      <w:r w:rsidRPr="00F52D98">
        <w:rPr>
          <w:color w:val="auto"/>
          <w:lang w:val="es-MX"/>
        </w:rPr>
        <w:t xml:space="preserve">rtículos </w:t>
      </w:r>
      <w:r w:rsidR="00011119" w:rsidRPr="00F52D98">
        <w:rPr>
          <w:color w:val="auto"/>
          <w:lang w:val="es-MX"/>
        </w:rPr>
        <w:t>1</w:t>
      </w:r>
      <w:r w:rsidR="00815CEE">
        <w:rPr>
          <w:color w:val="auto"/>
          <w:lang w:val="es-MX"/>
        </w:rPr>
        <w:t>7</w:t>
      </w:r>
      <w:r w:rsidR="00011119" w:rsidRPr="00F52D98">
        <w:rPr>
          <w:color w:val="auto"/>
          <w:lang w:val="es-MX"/>
        </w:rPr>
        <w:t xml:space="preserve">, </w:t>
      </w:r>
      <w:r w:rsidR="00CD639A" w:rsidRPr="00F52D98">
        <w:rPr>
          <w:color w:val="auto"/>
          <w:lang w:val="es-MX"/>
        </w:rPr>
        <w:t>1</w:t>
      </w:r>
      <w:r w:rsidR="00815CEE">
        <w:rPr>
          <w:color w:val="auto"/>
          <w:lang w:val="es-MX"/>
        </w:rPr>
        <w:t>8</w:t>
      </w:r>
      <w:r w:rsidR="00011119" w:rsidRPr="00F52D98">
        <w:rPr>
          <w:color w:val="auto"/>
          <w:lang w:val="es-MX"/>
        </w:rPr>
        <w:t xml:space="preserve"> y </w:t>
      </w:r>
      <w:r w:rsidR="00815CEE">
        <w:rPr>
          <w:color w:val="auto"/>
          <w:lang w:val="es-MX"/>
        </w:rPr>
        <w:t>19</w:t>
      </w:r>
      <w:r w:rsidR="00AA36D5" w:rsidRPr="00F52D98">
        <w:rPr>
          <w:color w:val="auto"/>
          <w:lang w:val="es-MX"/>
        </w:rPr>
        <w:t xml:space="preserve"> de los presentes Lineamientos.</w:t>
      </w:r>
    </w:p>
    <w:p w14:paraId="55794A88" w14:textId="6F8B30B5" w:rsidR="00B75955" w:rsidRPr="00A84755" w:rsidRDefault="00301D9B" w:rsidP="00B75955">
      <w:pPr>
        <w:pStyle w:val="IFTnormal"/>
        <w:rPr>
          <w:color w:val="auto"/>
          <w:lang w:val="es-MX"/>
        </w:rPr>
      </w:pPr>
      <w:r w:rsidRPr="00A84755">
        <w:rPr>
          <w:color w:val="auto"/>
          <w:lang w:val="es-MX"/>
        </w:rPr>
        <w:lastRenderedPageBreak/>
        <w:t xml:space="preserve">Los concesionarios </w:t>
      </w:r>
      <w:r w:rsidR="00F717EE">
        <w:rPr>
          <w:color w:val="auto"/>
          <w:lang w:val="es-MX"/>
        </w:rPr>
        <w:t>o</w:t>
      </w:r>
      <w:r w:rsidR="004A7EC3">
        <w:rPr>
          <w:color w:val="auto"/>
          <w:lang w:val="es-MX"/>
        </w:rPr>
        <w:t xml:space="preserve"> autorizados </w:t>
      </w:r>
      <w:r w:rsidRPr="00A84755">
        <w:rPr>
          <w:color w:val="auto"/>
          <w:lang w:val="es-MX"/>
        </w:rPr>
        <w:t xml:space="preserve">podrán </w:t>
      </w:r>
      <w:r>
        <w:rPr>
          <w:color w:val="auto"/>
          <w:lang w:val="es-MX"/>
        </w:rPr>
        <w:t xml:space="preserve">solicitar la intervención del </w:t>
      </w:r>
      <w:r w:rsidRPr="00A84755">
        <w:rPr>
          <w:color w:val="auto"/>
          <w:lang w:val="es-MX"/>
        </w:rPr>
        <w:t xml:space="preserve">Instituto </w:t>
      </w:r>
      <w:r>
        <w:rPr>
          <w:color w:val="auto"/>
          <w:lang w:val="es-MX"/>
        </w:rPr>
        <w:t>para resolver sobre las condiciones no convenidas con la otra parte en el</w:t>
      </w:r>
      <w:r w:rsidRPr="00A84755">
        <w:rPr>
          <w:color w:val="auto"/>
          <w:lang w:val="es-MX"/>
        </w:rPr>
        <w:t xml:space="preserve"> </w:t>
      </w:r>
      <w:r w:rsidRPr="00A84755">
        <w:rPr>
          <w:color w:val="auto"/>
          <w:lang w:val="es-419"/>
        </w:rPr>
        <w:t>Acceso y Uso Compartido de Elementos de Infraestructura</w:t>
      </w:r>
      <w:r w:rsidRPr="00A84755">
        <w:rPr>
          <w:color w:val="auto"/>
          <w:lang w:val="es-MX"/>
        </w:rPr>
        <w:t xml:space="preserve"> </w:t>
      </w:r>
      <w:r w:rsidRPr="00A84755">
        <w:rPr>
          <w:lang w:val="es-419"/>
        </w:rPr>
        <w:t xml:space="preserve">para los casos establecidos en los </w:t>
      </w:r>
      <w:r>
        <w:rPr>
          <w:lang w:val="es-419"/>
        </w:rPr>
        <w:t>a</w:t>
      </w:r>
      <w:r w:rsidRPr="00A84755">
        <w:rPr>
          <w:lang w:val="es-419"/>
        </w:rPr>
        <w:t>rtículos 1</w:t>
      </w:r>
      <w:r w:rsidR="009D3478">
        <w:rPr>
          <w:lang w:val="es-419"/>
        </w:rPr>
        <w:t>1</w:t>
      </w:r>
      <w:r w:rsidRPr="00A84755">
        <w:rPr>
          <w:lang w:val="es-419"/>
        </w:rPr>
        <w:t>, 1</w:t>
      </w:r>
      <w:r w:rsidR="009D3478">
        <w:rPr>
          <w:lang w:val="es-419"/>
        </w:rPr>
        <w:t>4</w:t>
      </w:r>
      <w:r w:rsidRPr="00A84755">
        <w:rPr>
          <w:lang w:val="es-419"/>
        </w:rPr>
        <w:t xml:space="preserve"> y 1</w:t>
      </w:r>
      <w:r w:rsidR="009D3478">
        <w:rPr>
          <w:lang w:val="es-419"/>
        </w:rPr>
        <w:t>5</w:t>
      </w:r>
      <w:r w:rsidRPr="00A84755">
        <w:rPr>
          <w:lang w:val="es-419"/>
        </w:rPr>
        <w:t xml:space="preserve"> de los presentes Lineamientos</w:t>
      </w:r>
      <w:r>
        <w:rPr>
          <w:lang w:val="es-419"/>
        </w:rPr>
        <w:t xml:space="preserve">, una vez que </w:t>
      </w:r>
      <w:r>
        <w:rPr>
          <w:color w:val="auto"/>
          <w:lang w:val="es-MX"/>
        </w:rPr>
        <w:t>t</w:t>
      </w:r>
      <w:r w:rsidRPr="00A84755">
        <w:rPr>
          <w:color w:val="auto"/>
          <w:lang w:val="es-MX"/>
        </w:rPr>
        <w:t xml:space="preserve">ermine </w:t>
      </w:r>
      <w:r>
        <w:rPr>
          <w:color w:val="auto"/>
          <w:lang w:val="es-MX"/>
        </w:rPr>
        <w:t>el plazo</w:t>
      </w:r>
      <w:r w:rsidRPr="00A84755">
        <w:rPr>
          <w:color w:val="auto"/>
          <w:lang w:val="es-MX"/>
        </w:rPr>
        <w:t xml:space="preserve"> de negociación de sesenta días naturales</w:t>
      </w:r>
      <w:r>
        <w:rPr>
          <w:color w:val="auto"/>
          <w:lang w:val="es-MX"/>
        </w:rPr>
        <w:t xml:space="preserve"> </w:t>
      </w:r>
      <w:r w:rsidR="00873827">
        <w:rPr>
          <w:color w:val="auto"/>
          <w:lang w:val="es-MX"/>
        </w:rPr>
        <w:t>y</w:t>
      </w:r>
      <w:r w:rsidR="00F9332F">
        <w:rPr>
          <w:lang w:val="es-419"/>
        </w:rPr>
        <w:t xml:space="preserve"> dentro de los cuarenta y cinco días hábiles </w:t>
      </w:r>
      <w:r w:rsidR="00F9332F" w:rsidRPr="00FB33E9">
        <w:rPr>
          <w:lang w:val="es-419"/>
        </w:rPr>
        <w:t>contados a partir del día hábil</w:t>
      </w:r>
      <w:r w:rsidR="00F9332F">
        <w:rPr>
          <w:lang w:val="es-419"/>
        </w:rPr>
        <w:t xml:space="preserve"> siguiente</w:t>
      </w:r>
      <w:r w:rsidR="008319FC">
        <w:rPr>
          <w:lang w:val="es-419"/>
        </w:rPr>
        <w:t xml:space="preserve"> una vez</w:t>
      </w:r>
      <w:r w:rsidR="00F9332F" w:rsidRPr="00651B3D">
        <w:rPr>
          <w:lang w:val="es-419"/>
        </w:rPr>
        <w:t xml:space="preserve"> que hubiere concluido el plazo </w:t>
      </w:r>
      <w:r w:rsidR="00873827">
        <w:rPr>
          <w:lang w:val="es-419"/>
        </w:rPr>
        <w:t xml:space="preserve">antes </w:t>
      </w:r>
      <w:r w:rsidR="00F9332F" w:rsidRPr="00651B3D">
        <w:rPr>
          <w:lang w:val="es-419"/>
        </w:rPr>
        <w:t>señalado</w:t>
      </w:r>
      <w:r w:rsidR="00F9332F">
        <w:rPr>
          <w:lang w:val="es-419"/>
        </w:rPr>
        <w:t>.</w:t>
      </w:r>
    </w:p>
    <w:p w14:paraId="292D1933" w14:textId="07F147AC" w:rsidR="00B46FA6" w:rsidRPr="00A84755" w:rsidRDefault="00B46FA6" w:rsidP="00B46FA6">
      <w:pPr>
        <w:pStyle w:val="IFTnormal"/>
        <w:rPr>
          <w:color w:val="auto"/>
          <w:lang w:val="es-MX"/>
        </w:rPr>
      </w:pPr>
      <w:r w:rsidRPr="00A84755">
        <w:rPr>
          <w:b/>
          <w:color w:val="auto"/>
          <w:lang w:val="es-MX"/>
        </w:rPr>
        <w:t xml:space="preserve">Artículo </w:t>
      </w:r>
      <w:r w:rsidR="005E36BB" w:rsidRPr="00A84755">
        <w:rPr>
          <w:b/>
          <w:color w:val="auto"/>
          <w:lang w:val="es-MX"/>
        </w:rPr>
        <w:t>1</w:t>
      </w:r>
      <w:r w:rsidR="00815CEE">
        <w:rPr>
          <w:b/>
          <w:color w:val="auto"/>
          <w:lang w:val="es-MX"/>
        </w:rPr>
        <w:t>7</w:t>
      </w:r>
      <w:r w:rsidRPr="00A84755">
        <w:rPr>
          <w:b/>
          <w:color w:val="auto"/>
          <w:lang w:val="es-MX"/>
        </w:rPr>
        <w:t>. Presentación de desacuerdo ante el Instituto.</w:t>
      </w:r>
      <w:r w:rsidRPr="00A84755">
        <w:rPr>
          <w:color w:val="auto"/>
          <w:lang w:val="es-MX"/>
        </w:rPr>
        <w:t xml:space="preserve"> Sin perjuicio de que el Instituto requiera cualquier otra información complementaria que resulte pertinente para resolver desacuerdos, de conformidad con la legislación vigente y los presentes Lineamientos, la solicitud de resolución de un desacuerdo ante el Institu</w:t>
      </w:r>
      <w:r w:rsidR="00AA36D5">
        <w:rPr>
          <w:color w:val="auto"/>
          <w:lang w:val="es-MX"/>
        </w:rPr>
        <w:t xml:space="preserve">to deberá </w:t>
      </w:r>
      <w:r w:rsidR="006A399C">
        <w:rPr>
          <w:color w:val="auto"/>
          <w:lang w:val="es-MX"/>
        </w:rPr>
        <w:t>señalar</w:t>
      </w:r>
      <w:r w:rsidR="00AA36D5">
        <w:rPr>
          <w:color w:val="auto"/>
          <w:lang w:val="es-MX"/>
        </w:rPr>
        <w:t>:</w:t>
      </w:r>
    </w:p>
    <w:p w14:paraId="422C928B" w14:textId="3F26A237" w:rsidR="00B46FA6" w:rsidRPr="00A84755" w:rsidRDefault="00B46FA6" w:rsidP="00B46FA6">
      <w:pPr>
        <w:pStyle w:val="IFTnormal"/>
        <w:numPr>
          <w:ilvl w:val="0"/>
          <w:numId w:val="7"/>
        </w:numPr>
        <w:rPr>
          <w:color w:val="auto"/>
          <w:lang w:val="es-MX"/>
        </w:rPr>
      </w:pPr>
      <w:r w:rsidRPr="00A84755">
        <w:rPr>
          <w:color w:val="auto"/>
          <w:lang w:val="es-MX"/>
        </w:rPr>
        <w:t xml:space="preserve">Los nombres o razón social del Solicitante de Acceso y Uso Compartido, </w:t>
      </w:r>
      <w:r w:rsidR="006A399C">
        <w:rPr>
          <w:color w:val="auto"/>
          <w:lang w:val="es-MX"/>
        </w:rPr>
        <w:t>y</w:t>
      </w:r>
      <w:r w:rsidRPr="00A84755">
        <w:rPr>
          <w:color w:val="auto"/>
          <w:lang w:val="es-MX"/>
        </w:rPr>
        <w:t xml:space="preserve"> del Titular de Infraestructura, así como el nombre, domicilio y datos de contacto de </w:t>
      </w:r>
      <w:r w:rsidR="006A399C">
        <w:rPr>
          <w:color w:val="auto"/>
          <w:lang w:val="es-MX"/>
        </w:rPr>
        <w:t>los</w:t>
      </w:r>
      <w:r w:rsidR="006A399C" w:rsidRPr="00A84755">
        <w:rPr>
          <w:color w:val="auto"/>
          <w:lang w:val="es-MX"/>
        </w:rPr>
        <w:t xml:space="preserve"> </w:t>
      </w:r>
      <w:r w:rsidRPr="00A84755">
        <w:rPr>
          <w:color w:val="auto"/>
          <w:lang w:val="es-MX"/>
        </w:rPr>
        <w:t>representantes legales</w:t>
      </w:r>
      <w:r w:rsidR="006A399C">
        <w:rPr>
          <w:color w:val="auto"/>
          <w:lang w:val="es-MX"/>
        </w:rPr>
        <w:t xml:space="preserve"> de ambos</w:t>
      </w:r>
      <w:r w:rsidRPr="00A84755">
        <w:rPr>
          <w:color w:val="auto"/>
          <w:lang w:val="es-MX"/>
        </w:rPr>
        <w:t>;</w:t>
      </w:r>
    </w:p>
    <w:p w14:paraId="42FEB03E" w14:textId="31B2835F" w:rsidR="00B46FA6" w:rsidRPr="00A84755" w:rsidRDefault="00B46FA6" w:rsidP="00B46FA6">
      <w:pPr>
        <w:pStyle w:val="IFTnormal"/>
        <w:numPr>
          <w:ilvl w:val="0"/>
          <w:numId w:val="7"/>
        </w:numPr>
        <w:rPr>
          <w:color w:val="auto"/>
          <w:lang w:val="es-MX"/>
        </w:rPr>
      </w:pPr>
      <w:r w:rsidRPr="00A84755">
        <w:rPr>
          <w:color w:val="auto"/>
          <w:lang w:val="es-MX"/>
        </w:rPr>
        <w:t xml:space="preserve">Los antecedentes </w:t>
      </w:r>
      <w:r w:rsidR="008319FC">
        <w:rPr>
          <w:color w:val="auto"/>
          <w:lang w:val="es-MX"/>
        </w:rPr>
        <w:t xml:space="preserve">asociados al periodo de negociación entre las partes, </w:t>
      </w:r>
      <w:r w:rsidRPr="00A84755">
        <w:rPr>
          <w:color w:val="auto"/>
          <w:lang w:val="es-MX"/>
        </w:rPr>
        <w:t>de la solicitud de resolución de desacuerdo para e</w:t>
      </w:r>
      <w:r w:rsidRPr="00A84755">
        <w:rPr>
          <w:color w:val="auto"/>
          <w:lang w:val="es-419"/>
        </w:rPr>
        <w:t>l Acceso y Uso Compartido de Elementos de Infraestructura</w:t>
      </w:r>
      <w:r w:rsidRPr="00A84755">
        <w:rPr>
          <w:color w:val="auto"/>
          <w:lang w:val="es-MX"/>
        </w:rPr>
        <w:t>;</w:t>
      </w:r>
    </w:p>
    <w:p w14:paraId="3FBC1AE2" w14:textId="77777777" w:rsidR="00B46FA6" w:rsidRPr="00A84755" w:rsidRDefault="00B46FA6" w:rsidP="00B46FA6">
      <w:pPr>
        <w:pStyle w:val="IFTnormal"/>
        <w:numPr>
          <w:ilvl w:val="0"/>
          <w:numId w:val="7"/>
        </w:numPr>
        <w:rPr>
          <w:color w:val="auto"/>
          <w:lang w:val="es-MX"/>
        </w:rPr>
      </w:pPr>
      <w:r w:rsidRPr="00A84755">
        <w:rPr>
          <w:color w:val="auto"/>
          <w:lang w:val="es-MX"/>
        </w:rPr>
        <w:t>El tipo de infraestructura solicitada, detallando el espacio y/o cantidad según sea relevante para los elementos de infraestructura solicitados enumerando cada uno de los mismos individualmente;</w:t>
      </w:r>
    </w:p>
    <w:p w14:paraId="2E601A35" w14:textId="77777777" w:rsidR="00826CA2" w:rsidRPr="00A84755" w:rsidRDefault="00901139" w:rsidP="00826CA2">
      <w:pPr>
        <w:pStyle w:val="IFTnormal"/>
        <w:numPr>
          <w:ilvl w:val="0"/>
          <w:numId w:val="7"/>
        </w:numPr>
        <w:rPr>
          <w:color w:val="auto"/>
          <w:lang w:val="es-MX"/>
        </w:rPr>
      </w:pPr>
      <w:r w:rsidRPr="00A84755">
        <w:rPr>
          <w:color w:val="auto"/>
          <w:lang w:val="es-MX"/>
        </w:rPr>
        <w:t>L</w:t>
      </w:r>
      <w:r w:rsidR="00B46FA6" w:rsidRPr="00A84755">
        <w:rPr>
          <w:color w:val="auto"/>
          <w:lang w:val="es-MX"/>
        </w:rPr>
        <w:t>istado de los térmi</w:t>
      </w:r>
      <w:r w:rsidR="00826CA2" w:rsidRPr="00A84755">
        <w:rPr>
          <w:color w:val="auto"/>
          <w:lang w:val="es-MX"/>
        </w:rPr>
        <w:t>nos y condiciones no convenidos y para cada uno de estos</w:t>
      </w:r>
      <w:r w:rsidR="00D947E6">
        <w:rPr>
          <w:color w:val="auto"/>
          <w:lang w:val="es-MX"/>
        </w:rPr>
        <w:t>,</w:t>
      </w:r>
      <w:r w:rsidR="00826CA2" w:rsidRPr="00A84755">
        <w:rPr>
          <w:color w:val="auto"/>
          <w:lang w:val="es-MX"/>
        </w:rPr>
        <w:t xml:space="preserve"> el razonamiento </w:t>
      </w:r>
      <w:r w:rsidRPr="00A84755">
        <w:rPr>
          <w:color w:val="auto"/>
          <w:lang w:val="es-MX"/>
        </w:rPr>
        <w:t xml:space="preserve">técnico y/o económico </w:t>
      </w:r>
      <w:r w:rsidR="00826CA2" w:rsidRPr="00A84755">
        <w:rPr>
          <w:color w:val="auto"/>
          <w:lang w:val="es-MX"/>
        </w:rPr>
        <w:t xml:space="preserve">que trate de demostrar </w:t>
      </w:r>
      <w:r w:rsidR="00B46FA6" w:rsidRPr="00A84755">
        <w:rPr>
          <w:color w:val="auto"/>
          <w:lang w:val="es-MX"/>
        </w:rPr>
        <w:t>la posición del Solicitante de Acceso y Uso Compartido</w:t>
      </w:r>
      <w:r w:rsidRPr="00A84755">
        <w:rPr>
          <w:color w:val="auto"/>
          <w:lang w:val="es-MX"/>
        </w:rPr>
        <w:t>;</w:t>
      </w:r>
    </w:p>
    <w:p w14:paraId="37DA2F62" w14:textId="0FC8A73E" w:rsidR="00B46FA6" w:rsidRPr="00A84755" w:rsidRDefault="006D4FCF" w:rsidP="00B46FA6">
      <w:pPr>
        <w:pStyle w:val="IFTnormal"/>
        <w:numPr>
          <w:ilvl w:val="0"/>
          <w:numId w:val="7"/>
        </w:numPr>
        <w:rPr>
          <w:color w:val="auto"/>
          <w:lang w:val="es-MX"/>
        </w:rPr>
      </w:pPr>
      <w:r w:rsidRPr="00A84755">
        <w:rPr>
          <w:color w:val="auto"/>
          <w:lang w:val="es-MX"/>
        </w:rPr>
        <w:t>De resultar aplicable l</w:t>
      </w:r>
      <w:r w:rsidR="00901139" w:rsidRPr="00A84755">
        <w:rPr>
          <w:color w:val="auto"/>
          <w:lang w:val="es-MX"/>
        </w:rPr>
        <w:t xml:space="preserve">a ubicación del </w:t>
      </w:r>
      <w:r w:rsidR="00B461A7">
        <w:rPr>
          <w:color w:val="auto"/>
          <w:lang w:val="es-MX"/>
        </w:rPr>
        <w:t>S</w:t>
      </w:r>
      <w:r w:rsidR="00901139" w:rsidRPr="00A84755">
        <w:rPr>
          <w:color w:val="auto"/>
          <w:lang w:val="es-MX"/>
        </w:rPr>
        <w:t>itio o ruta</w:t>
      </w:r>
      <w:r w:rsidRPr="00A84755">
        <w:rPr>
          <w:color w:val="auto"/>
          <w:lang w:val="es-MX"/>
        </w:rPr>
        <w:t xml:space="preserve"> georreferenciada</w:t>
      </w:r>
      <w:r w:rsidR="00B46FA6" w:rsidRPr="00A84755">
        <w:rPr>
          <w:color w:val="auto"/>
          <w:lang w:val="es-MX"/>
        </w:rPr>
        <w:t>;</w:t>
      </w:r>
    </w:p>
    <w:p w14:paraId="48588B0F" w14:textId="77777777" w:rsidR="00B46FA6" w:rsidRPr="00A84755" w:rsidRDefault="00B46FA6" w:rsidP="00B46FA6">
      <w:pPr>
        <w:pStyle w:val="IFTnormal"/>
        <w:numPr>
          <w:ilvl w:val="0"/>
          <w:numId w:val="7"/>
        </w:numPr>
        <w:rPr>
          <w:color w:val="auto"/>
          <w:lang w:val="es-MX"/>
        </w:rPr>
      </w:pPr>
      <w:r w:rsidRPr="00A84755">
        <w:rPr>
          <w:color w:val="auto"/>
          <w:lang w:val="es-MX"/>
        </w:rPr>
        <w:t>El informe técnico producto de l</w:t>
      </w:r>
      <w:r w:rsidR="006D4FCF" w:rsidRPr="00A84755">
        <w:rPr>
          <w:color w:val="auto"/>
          <w:lang w:val="es-MX"/>
        </w:rPr>
        <w:t xml:space="preserve">a Visita Técnica </w:t>
      </w:r>
      <w:r w:rsidR="00011119" w:rsidRPr="00A84755">
        <w:rPr>
          <w:color w:val="auto"/>
          <w:lang w:val="es-MX"/>
        </w:rPr>
        <w:t>de haberse llevado a cabo,</w:t>
      </w:r>
      <w:r w:rsidRPr="00A84755">
        <w:rPr>
          <w:color w:val="auto"/>
          <w:lang w:val="es-MX"/>
        </w:rPr>
        <w:t xml:space="preserve"> firmado</w:t>
      </w:r>
      <w:r w:rsidR="006D4FCF" w:rsidRPr="00A84755">
        <w:rPr>
          <w:color w:val="auto"/>
          <w:lang w:val="es-MX"/>
        </w:rPr>
        <w:t xml:space="preserve"> por las partes</w:t>
      </w:r>
      <w:r w:rsidR="00484165" w:rsidRPr="00A84755">
        <w:rPr>
          <w:color w:val="auto"/>
          <w:lang w:val="es-MX"/>
        </w:rPr>
        <w:t>,</w:t>
      </w:r>
      <w:r w:rsidRPr="00A84755">
        <w:rPr>
          <w:color w:val="auto"/>
          <w:lang w:val="es-MX"/>
        </w:rPr>
        <w:t xml:space="preserve"> </w:t>
      </w:r>
      <w:r w:rsidR="00B75955" w:rsidRPr="00A84755">
        <w:rPr>
          <w:color w:val="auto"/>
          <w:lang w:val="es-MX"/>
        </w:rPr>
        <w:t>y</w:t>
      </w:r>
    </w:p>
    <w:p w14:paraId="07DB8ABB" w14:textId="61EF869C" w:rsidR="00B46FA6" w:rsidRPr="00A84755" w:rsidRDefault="008319FC" w:rsidP="00B46FA6">
      <w:pPr>
        <w:pStyle w:val="IFTnormal"/>
        <w:numPr>
          <w:ilvl w:val="0"/>
          <w:numId w:val="7"/>
        </w:numPr>
        <w:rPr>
          <w:color w:val="auto"/>
          <w:lang w:val="es-MX"/>
        </w:rPr>
      </w:pPr>
      <w:r>
        <w:rPr>
          <w:color w:val="auto"/>
          <w:lang w:val="es-MX"/>
        </w:rPr>
        <w:t>L</w:t>
      </w:r>
      <w:r w:rsidR="00B46FA6" w:rsidRPr="00A84755">
        <w:rPr>
          <w:color w:val="auto"/>
          <w:lang w:val="es-MX"/>
        </w:rPr>
        <w:t>os medios de prueba con los</w:t>
      </w:r>
      <w:r w:rsidR="00B46FA6" w:rsidRPr="00A84755">
        <w:rPr>
          <w:color w:val="auto"/>
          <w:lang w:val="es-419"/>
        </w:rPr>
        <w:t xml:space="preserve"> que </w:t>
      </w:r>
      <w:r w:rsidR="00B46FA6" w:rsidRPr="00A84755">
        <w:rPr>
          <w:color w:val="auto"/>
          <w:lang w:val="es-MX"/>
        </w:rPr>
        <w:t>se pretenda acreditar</w:t>
      </w:r>
      <w:r w:rsidR="00B46FA6" w:rsidRPr="00A84755">
        <w:rPr>
          <w:color w:val="auto"/>
          <w:lang w:val="es-419"/>
        </w:rPr>
        <w:t xml:space="preserve"> que la infrae</w:t>
      </w:r>
      <w:r w:rsidR="00F11BED" w:rsidRPr="00A84755">
        <w:rPr>
          <w:color w:val="auto"/>
          <w:lang w:val="es-419"/>
        </w:rPr>
        <w:t xml:space="preserve">structura solicitada cuenta con </w:t>
      </w:r>
      <w:r w:rsidR="00B46FA6" w:rsidRPr="00A84755">
        <w:rPr>
          <w:color w:val="auto"/>
          <w:lang w:val="es-419"/>
        </w:rPr>
        <w:t>Capacidad Susceptible de Utilización.</w:t>
      </w:r>
    </w:p>
    <w:p w14:paraId="0C65D7F7" w14:textId="180FAFE8" w:rsidR="00C208F9" w:rsidRPr="00A84755" w:rsidRDefault="00C208F9" w:rsidP="00894EA8">
      <w:pPr>
        <w:pStyle w:val="IFTnormal"/>
        <w:rPr>
          <w:color w:val="auto"/>
          <w:lang w:val="es-MX"/>
        </w:rPr>
      </w:pPr>
      <w:r w:rsidRPr="00A84755">
        <w:rPr>
          <w:color w:val="auto"/>
          <w:lang w:val="es-MX"/>
        </w:rPr>
        <w:t>Además de lo anterior, los concesionarios</w:t>
      </w:r>
      <w:r w:rsidR="001A586A">
        <w:rPr>
          <w:color w:val="auto"/>
          <w:lang w:val="es-MX"/>
        </w:rPr>
        <w:t xml:space="preserve"> </w:t>
      </w:r>
      <w:r w:rsidR="00F717EE">
        <w:rPr>
          <w:color w:val="auto"/>
          <w:lang w:val="es-MX"/>
        </w:rPr>
        <w:t>o</w:t>
      </w:r>
      <w:r w:rsidR="004A7EC3">
        <w:rPr>
          <w:color w:val="auto"/>
          <w:lang w:val="es-MX"/>
        </w:rPr>
        <w:t xml:space="preserve"> autorizados</w:t>
      </w:r>
      <w:r w:rsidRPr="00A84755">
        <w:rPr>
          <w:color w:val="auto"/>
          <w:lang w:val="es-MX"/>
        </w:rPr>
        <w:t xml:space="preserve"> deberán presentar los documentos aplicables a cada uno de los siguientes casos.</w:t>
      </w:r>
    </w:p>
    <w:p w14:paraId="3A1AE2C4" w14:textId="06C6EDC1" w:rsidR="00894EA8" w:rsidRPr="00A84755" w:rsidRDefault="00894EA8" w:rsidP="00E30B05">
      <w:pPr>
        <w:pStyle w:val="IFTnormal"/>
        <w:numPr>
          <w:ilvl w:val="0"/>
          <w:numId w:val="18"/>
        </w:numPr>
        <w:rPr>
          <w:color w:val="auto"/>
          <w:lang w:val="es-MX"/>
        </w:rPr>
      </w:pPr>
      <w:r w:rsidRPr="00A84755">
        <w:rPr>
          <w:color w:val="auto"/>
          <w:lang w:val="es-MX"/>
        </w:rPr>
        <w:t xml:space="preserve">Para los casos contemplados en el </w:t>
      </w:r>
      <w:r w:rsidR="00011119" w:rsidRPr="00A84755">
        <w:rPr>
          <w:color w:val="auto"/>
          <w:lang w:val="es-MX"/>
        </w:rPr>
        <w:t>Artículo 1</w:t>
      </w:r>
      <w:r w:rsidR="007D3FCD">
        <w:rPr>
          <w:color w:val="auto"/>
          <w:lang w:val="es-MX"/>
        </w:rPr>
        <w:t>1</w:t>
      </w:r>
      <w:r w:rsidR="00285E04" w:rsidRPr="00A84755">
        <w:rPr>
          <w:color w:val="auto"/>
          <w:lang w:val="es-MX"/>
        </w:rPr>
        <w:t xml:space="preserve"> de los presentes Lineamientos</w:t>
      </w:r>
      <w:r w:rsidRPr="00A84755">
        <w:rPr>
          <w:color w:val="auto"/>
          <w:lang w:val="es-MX"/>
        </w:rPr>
        <w:t>:</w:t>
      </w:r>
    </w:p>
    <w:p w14:paraId="509C1B0A" w14:textId="77B86CFB" w:rsidR="00E30B05" w:rsidRDefault="006A399C" w:rsidP="00031C64">
      <w:pPr>
        <w:pStyle w:val="IFTnormal"/>
        <w:ind w:left="1276"/>
        <w:rPr>
          <w:color w:val="auto"/>
          <w:lang w:val="es-MX"/>
        </w:rPr>
      </w:pPr>
      <w:r>
        <w:rPr>
          <w:color w:val="auto"/>
          <w:lang w:val="es-MX"/>
        </w:rPr>
        <w:lastRenderedPageBreak/>
        <w:t xml:space="preserve">a) Dictamen </w:t>
      </w:r>
      <w:r w:rsidRPr="00A84755">
        <w:rPr>
          <w:color w:val="auto"/>
          <w:lang w:val="es-MX"/>
        </w:rPr>
        <w:t>técnic</w:t>
      </w:r>
      <w:r>
        <w:rPr>
          <w:color w:val="auto"/>
          <w:lang w:val="es-MX"/>
        </w:rPr>
        <w:t>o</w:t>
      </w:r>
      <w:r w:rsidR="00E30B05">
        <w:rPr>
          <w:color w:val="auto"/>
          <w:lang w:val="es-MX"/>
        </w:rPr>
        <w:t xml:space="preserve"> que </w:t>
      </w:r>
      <w:r w:rsidR="00227178">
        <w:rPr>
          <w:color w:val="auto"/>
          <w:lang w:val="es-MX"/>
        </w:rPr>
        <w:t>demuestre</w:t>
      </w:r>
      <w:r w:rsidR="00E30B05">
        <w:rPr>
          <w:color w:val="auto"/>
          <w:lang w:val="es-MX"/>
        </w:rPr>
        <w:t xml:space="preserve"> </w:t>
      </w:r>
      <w:r w:rsidR="00894EA8" w:rsidRPr="00A84755">
        <w:rPr>
          <w:color w:val="auto"/>
          <w:lang w:val="es-419"/>
        </w:rPr>
        <w:t>que l</w:t>
      </w:r>
      <w:r w:rsidR="00894EA8" w:rsidRPr="00A84755">
        <w:rPr>
          <w:color w:val="auto"/>
          <w:lang w:val="es-MX"/>
        </w:rPr>
        <w:t>os elementos de</w:t>
      </w:r>
      <w:r w:rsidR="00894EA8" w:rsidRPr="00A84755">
        <w:rPr>
          <w:color w:val="auto"/>
          <w:lang w:val="es-419"/>
        </w:rPr>
        <w:t xml:space="preserve"> infraestructura solicitad</w:t>
      </w:r>
      <w:r w:rsidR="00894EA8" w:rsidRPr="00A84755">
        <w:rPr>
          <w:color w:val="auto"/>
          <w:lang w:val="es-MX"/>
        </w:rPr>
        <w:t>os</w:t>
      </w:r>
      <w:r w:rsidR="00894EA8" w:rsidRPr="00A84755">
        <w:rPr>
          <w:color w:val="auto"/>
          <w:lang w:val="es-419"/>
        </w:rPr>
        <w:t xml:space="preserve"> </w:t>
      </w:r>
      <w:r w:rsidR="002E793E" w:rsidRPr="00A84755">
        <w:rPr>
          <w:color w:val="auto"/>
          <w:lang w:val="es-MX"/>
        </w:rPr>
        <w:t>son</w:t>
      </w:r>
      <w:r w:rsidR="00894EA8" w:rsidRPr="00A84755">
        <w:rPr>
          <w:color w:val="auto"/>
          <w:lang w:val="es-MX"/>
        </w:rPr>
        <w:t xml:space="preserve"> Infraestructura Necesaria</w:t>
      </w:r>
      <w:r w:rsidR="00894EA8" w:rsidRPr="00A84755">
        <w:rPr>
          <w:color w:val="auto"/>
          <w:lang w:val="es-419"/>
        </w:rPr>
        <w:t>;</w:t>
      </w:r>
    </w:p>
    <w:p w14:paraId="53692353" w14:textId="3D4156A3" w:rsidR="00894EA8" w:rsidRPr="00A84755" w:rsidRDefault="00E30B05" w:rsidP="00031C64">
      <w:pPr>
        <w:pStyle w:val="IFTnormal"/>
        <w:ind w:left="1276"/>
        <w:rPr>
          <w:color w:val="auto"/>
          <w:lang w:val="es-MX"/>
        </w:rPr>
      </w:pPr>
      <w:r>
        <w:rPr>
          <w:color w:val="auto"/>
          <w:lang w:val="es-MX"/>
        </w:rPr>
        <w:t xml:space="preserve">b) </w:t>
      </w:r>
      <w:r w:rsidR="00A655E9">
        <w:rPr>
          <w:color w:val="auto"/>
          <w:lang w:val="es-MX"/>
        </w:rPr>
        <w:t>Para</w:t>
      </w:r>
      <w:r w:rsidR="00894EA8" w:rsidRPr="00A84755">
        <w:rPr>
          <w:color w:val="auto"/>
          <w:lang w:val="es-419"/>
        </w:rPr>
        <w:t xml:space="preserve"> la inexistencia de sustitutos</w:t>
      </w:r>
      <w:r w:rsidR="00894EA8" w:rsidRPr="00A84755">
        <w:rPr>
          <w:color w:val="auto"/>
          <w:lang w:val="es-MX"/>
        </w:rPr>
        <w:t xml:space="preserve">, </w:t>
      </w:r>
      <w:r>
        <w:rPr>
          <w:color w:val="auto"/>
          <w:lang w:val="es-MX"/>
        </w:rPr>
        <w:t xml:space="preserve">se </w:t>
      </w:r>
      <w:r w:rsidR="00894EA8" w:rsidRPr="00A84755">
        <w:rPr>
          <w:color w:val="auto"/>
          <w:lang w:val="es-MX"/>
        </w:rPr>
        <w:t xml:space="preserve">deberá incluir </w:t>
      </w:r>
      <w:r w:rsidR="00AA36D5">
        <w:rPr>
          <w:color w:val="auto"/>
          <w:lang w:val="es-MX"/>
        </w:rPr>
        <w:t>al menos uno de los siguientes:</w:t>
      </w:r>
    </w:p>
    <w:p w14:paraId="037CFB73" w14:textId="2A9751FA" w:rsidR="00160892" w:rsidRPr="00A84755" w:rsidRDefault="00E30B05" w:rsidP="00031C64">
      <w:pPr>
        <w:pStyle w:val="IFTnormal"/>
        <w:ind w:left="1701"/>
        <w:rPr>
          <w:color w:val="auto"/>
          <w:lang w:val="es-MX"/>
        </w:rPr>
      </w:pPr>
      <w:r>
        <w:rPr>
          <w:color w:val="auto"/>
          <w:lang w:val="es-MX"/>
        </w:rPr>
        <w:t xml:space="preserve">1. Dictamen pericial que establezca la </w:t>
      </w:r>
      <w:r w:rsidR="00160892" w:rsidRPr="00A84755">
        <w:rPr>
          <w:color w:val="auto"/>
          <w:lang w:val="es-MX"/>
        </w:rPr>
        <w:t>no existen</w:t>
      </w:r>
      <w:r>
        <w:rPr>
          <w:color w:val="auto"/>
          <w:lang w:val="es-MX"/>
        </w:rPr>
        <w:t>cia de</w:t>
      </w:r>
      <w:r w:rsidR="00160892" w:rsidRPr="00A84755">
        <w:rPr>
          <w:color w:val="auto"/>
          <w:lang w:val="es-MX"/>
        </w:rPr>
        <w:t xml:space="preserve"> otros elementos de infraestructura a los que se pueda tener acceso y sirvan como sustitut</w:t>
      </w:r>
      <w:r w:rsidR="0038471A">
        <w:rPr>
          <w:color w:val="auto"/>
          <w:lang w:val="es-MX"/>
        </w:rPr>
        <w:t>os a los elementos solicitados;</w:t>
      </w:r>
    </w:p>
    <w:p w14:paraId="6CC72B83" w14:textId="0CEE5C85" w:rsidR="00894EA8" w:rsidRPr="00A84755" w:rsidRDefault="00E30B05" w:rsidP="00031C64">
      <w:pPr>
        <w:pStyle w:val="IFTnormal"/>
        <w:ind w:left="1701"/>
        <w:rPr>
          <w:color w:val="auto"/>
          <w:lang w:val="es-MX"/>
        </w:rPr>
      </w:pPr>
      <w:r>
        <w:rPr>
          <w:color w:val="auto"/>
          <w:lang w:val="es-MX"/>
        </w:rPr>
        <w:t xml:space="preserve">2. </w:t>
      </w:r>
      <w:r w:rsidR="00D826B0">
        <w:rPr>
          <w:color w:val="auto"/>
          <w:lang w:val="es-MX"/>
        </w:rPr>
        <w:t>Diagnóstico</w:t>
      </w:r>
      <w:r>
        <w:rPr>
          <w:color w:val="auto"/>
          <w:lang w:val="es-MX"/>
        </w:rPr>
        <w:t xml:space="preserve"> sobre</w:t>
      </w:r>
      <w:r w:rsidR="00894EA8" w:rsidRPr="00A84755">
        <w:rPr>
          <w:color w:val="auto"/>
          <w:lang w:val="es-MX"/>
        </w:rPr>
        <w:t xml:space="preserve"> las condiciones naturales o geográficas</w:t>
      </w:r>
      <w:r>
        <w:rPr>
          <w:color w:val="auto"/>
          <w:lang w:val="es-MX"/>
        </w:rPr>
        <w:t xml:space="preserve"> que</w:t>
      </w:r>
      <w:r w:rsidR="00894EA8" w:rsidRPr="00A84755">
        <w:rPr>
          <w:color w:val="auto"/>
          <w:lang w:val="es-MX"/>
        </w:rPr>
        <w:t xml:space="preserve"> impiden la reproducción de lo</w:t>
      </w:r>
      <w:r w:rsidR="00AA36D5">
        <w:rPr>
          <w:color w:val="auto"/>
          <w:lang w:val="es-MX"/>
        </w:rPr>
        <w:t>s elementos de infraestructura;</w:t>
      </w:r>
    </w:p>
    <w:p w14:paraId="2FDD3E65" w14:textId="047ABA02" w:rsidR="00894EA8" w:rsidRPr="00A84755" w:rsidRDefault="00E30B05" w:rsidP="00031C64">
      <w:pPr>
        <w:pStyle w:val="IFTnormal"/>
        <w:ind w:left="1701"/>
        <w:rPr>
          <w:color w:val="auto"/>
          <w:lang w:val="es-MX"/>
        </w:rPr>
      </w:pPr>
      <w:r>
        <w:rPr>
          <w:color w:val="auto"/>
          <w:lang w:val="es-MX"/>
        </w:rPr>
        <w:t>3. Informe que contenga la justificación jurídica de</w:t>
      </w:r>
      <w:r w:rsidR="00894EA8" w:rsidRPr="00A84755">
        <w:rPr>
          <w:color w:val="auto"/>
          <w:lang w:val="es-MX"/>
        </w:rPr>
        <w:t xml:space="preserve"> las causas de interés público, o por restricciones de propiedad intelectual </w:t>
      </w:r>
      <w:r w:rsidR="005D6D08" w:rsidRPr="00A84755">
        <w:rPr>
          <w:color w:val="auto"/>
          <w:lang w:val="es-MX"/>
        </w:rPr>
        <w:t>que impiden</w:t>
      </w:r>
      <w:r w:rsidR="00894EA8" w:rsidRPr="00A84755">
        <w:rPr>
          <w:color w:val="auto"/>
          <w:lang w:val="es-MX"/>
        </w:rPr>
        <w:t xml:space="preserve"> replicar la infraestructura </w:t>
      </w:r>
      <w:r w:rsidR="008319FC">
        <w:rPr>
          <w:color w:val="auto"/>
          <w:lang w:val="es-MX"/>
        </w:rPr>
        <w:t>solicitada</w:t>
      </w:r>
      <w:r w:rsidR="00507295">
        <w:rPr>
          <w:color w:val="auto"/>
          <w:lang w:val="es-MX"/>
        </w:rPr>
        <w:t>,</w:t>
      </w:r>
      <w:r w:rsidR="00894EA8" w:rsidRPr="00A84755">
        <w:rPr>
          <w:color w:val="auto"/>
          <w:lang w:val="es-MX"/>
        </w:rPr>
        <w:t xml:space="preserve"> y/o</w:t>
      </w:r>
    </w:p>
    <w:p w14:paraId="55AF81A1" w14:textId="2FAD7970" w:rsidR="00894EA8" w:rsidRPr="00A84755" w:rsidRDefault="00E30B05" w:rsidP="00031C64">
      <w:pPr>
        <w:pStyle w:val="IFTnormal"/>
        <w:ind w:left="1701"/>
        <w:rPr>
          <w:color w:val="auto"/>
          <w:lang w:val="es-MX"/>
        </w:rPr>
      </w:pPr>
      <w:r>
        <w:rPr>
          <w:color w:val="auto"/>
          <w:lang w:val="es-MX"/>
        </w:rPr>
        <w:t>4. Dictamen pericial que contenga</w:t>
      </w:r>
      <w:r w:rsidR="00894EA8" w:rsidRPr="00A84755">
        <w:rPr>
          <w:color w:val="auto"/>
          <w:lang w:val="es-MX"/>
        </w:rPr>
        <w:t xml:space="preserve"> los costos incurridos en la duplicación de los elementos de infraestructura bajo análisis</w:t>
      </w:r>
      <w:r w:rsidR="0049348B">
        <w:rPr>
          <w:color w:val="auto"/>
          <w:lang w:val="es-MX"/>
        </w:rPr>
        <w:t xml:space="preserve"> que permita demostrar que</w:t>
      </w:r>
      <w:r w:rsidR="00894EA8" w:rsidRPr="00A84755">
        <w:rPr>
          <w:color w:val="auto"/>
          <w:lang w:val="es-MX"/>
        </w:rPr>
        <w:t xml:space="preserve"> resultarían prohibitivos</w:t>
      </w:r>
      <w:r w:rsidR="0049348B">
        <w:rPr>
          <w:color w:val="auto"/>
          <w:lang w:val="es-MX"/>
        </w:rPr>
        <w:t>,</w:t>
      </w:r>
      <w:r w:rsidR="00894EA8" w:rsidRPr="00A84755">
        <w:rPr>
          <w:color w:val="auto"/>
          <w:lang w:val="es-MX"/>
        </w:rPr>
        <w:t xml:space="preserve"> dada la capacidad económica del concesionario</w:t>
      </w:r>
      <w:r w:rsidR="004A7EC3">
        <w:rPr>
          <w:color w:val="auto"/>
          <w:lang w:val="es-MX"/>
        </w:rPr>
        <w:t xml:space="preserve"> o autorizado</w:t>
      </w:r>
      <w:r w:rsidR="00894EA8" w:rsidRPr="00A84755">
        <w:rPr>
          <w:color w:val="auto"/>
          <w:lang w:val="es-MX"/>
        </w:rPr>
        <w:t xml:space="preserve"> y/o los beneficios esperados de manera que se impida la entrada a un mercado concreto.</w:t>
      </w:r>
    </w:p>
    <w:p w14:paraId="3F4C8603" w14:textId="1FC4B1EB" w:rsidR="009D5C0A" w:rsidRPr="00A84755" w:rsidRDefault="00894EA8" w:rsidP="00031C64">
      <w:pPr>
        <w:pStyle w:val="IFTnormal"/>
        <w:numPr>
          <w:ilvl w:val="0"/>
          <w:numId w:val="18"/>
        </w:numPr>
        <w:rPr>
          <w:color w:val="auto"/>
          <w:lang w:val="es-MX"/>
        </w:rPr>
      </w:pPr>
      <w:r w:rsidRPr="00A84755">
        <w:rPr>
          <w:color w:val="auto"/>
          <w:lang w:val="es-MX"/>
        </w:rPr>
        <w:t xml:space="preserve">Para los casos contemplados en el </w:t>
      </w:r>
      <w:r w:rsidR="00E30B05">
        <w:rPr>
          <w:color w:val="auto"/>
          <w:lang w:val="es-MX"/>
        </w:rPr>
        <w:t>a</w:t>
      </w:r>
      <w:r w:rsidR="00011119" w:rsidRPr="00A84755">
        <w:rPr>
          <w:color w:val="auto"/>
          <w:lang w:val="es-MX"/>
        </w:rPr>
        <w:t>rtículo 1</w:t>
      </w:r>
      <w:r w:rsidR="007D3FCD">
        <w:rPr>
          <w:color w:val="auto"/>
          <w:lang w:val="es-MX"/>
        </w:rPr>
        <w:t>4</w:t>
      </w:r>
      <w:r w:rsidR="00285E04" w:rsidRPr="00A84755">
        <w:rPr>
          <w:color w:val="auto"/>
          <w:lang w:val="es-MX"/>
        </w:rPr>
        <w:t xml:space="preserve"> de los presentes Lineamientos</w:t>
      </w:r>
      <w:r w:rsidR="00E30B05">
        <w:rPr>
          <w:color w:val="auto"/>
          <w:lang w:val="es-MX"/>
        </w:rPr>
        <w:t>, el diagnostico técnico respecto a que</w:t>
      </w:r>
      <w:r w:rsidR="00B46FA6" w:rsidRPr="00A84755">
        <w:rPr>
          <w:color w:val="auto"/>
          <w:lang w:val="es-MX"/>
        </w:rPr>
        <w:t xml:space="preserve"> </w:t>
      </w:r>
      <w:r w:rsidRPr="00A84755">
        <w:rPr>
          <w:color w:val="auto"/>
          <w:lang w:val="es-MX"/>
        </w:rPr>
        <w:t>la infraestructura</w:t>
      </w:r>
      <w:r w:rsidR="00B46FA6" w:rsidRPr="00A84755">
        <w:rPr>
          <w:color w:val="auto"/>
          <w:lang w:val="es-MX"/>
        </w:rPr>
        <w:t xml:space="preserve"> </w:t>
      </w:r>
      <w:r w:rsidR="00641EEE">
        <w:rPr>
          <w:color w:val="auto"/>
          <w:lang w:val="es-MX"/>
        </w:rPr>
        <w:t xml:space="preserve">a la que se pretende acceder, </w:t>
      </w:r>
      <w:r w:rsidRPr="00A84755">
        <w:rPr>
          <w:color w:val="auto"/>
          <w:lang w:val="es-MX"/>
        </w:rPr>
        <w:t>está desplegada</w:t>
      </w:r>
      <w:r w:rsidR="00676BA8" w:rsidRPr="00A84755">
        <w:rPr>
          <w:color w:val="auto"/>
          <w:lang w:val="es-MX"/>
        </w:rPr>
        <w:t xml:space="preserve"> en </w:t>
      </w:r>
      <w:r w:rsidRPr="00031C64">
        <w:rPr>
          <w:color w:val="auto"/>
          <w:lang w:val="es-MX"/>
        </w:rPr>
        <w:t>inmuebles</w:t>
      </w:r>
      <w:r w:rsidR="00B75955" w:rsidRPr="00031C64">
        <w:rPr>
          <w:color w:val="auto"/>
          <w:lang w:val="es-MX"/>
        </w:rPr>
        <w:t>, D</w:t>
      </w:r>
      <w:r w:rsidRPr="00031C64">
        <w:rPr>
          <w:color w:val="auto"/>
          <w:lang w:val="es-MX"/>
        </w:rPr>
        <w:t xml:space="preserve">uctos, </w:t>
      </w:r>
      <w:r w:rsidR="005F137A" w:rsidRPr="00031C64">
        <w:rPr>
          <w:color w:val="auto"/>
          <w:lang w:val="es-MX"/>
        </w:rPr>
        <w:t>Postes</w:t>
      </w:r>
      <w:r w:rsidRPr="00031C64">
        <w:rPr>
          <w:color w:val="auto"/>
          <w:lang w:val="es-MX"/>
        </w:rPr>
        <w:t xml:space="preserve"> o Derechos de Vía federales.</w:t>
      </w:r>
    </w:p>
    <w:p w14:paraId="00282988" w14:textId="62C4D29D" w:rsidR="00DB7E21" w:rsidRPr="00A84755" w:rsidDel="004406F0" w:rsidRDefault="004406F0" w:rsidP="009D5C0A">
      <w:pPr>
        <w:pStyle w:val="IFTnormal"/>
        <w:numPr>
          <w:ilvl w:val="0"/>
          <w:numId w:val="18"/>
        </w:numPr>
        <w:rPr>
          <w:color w:val="auto"/>
          <w:lang w:val="es-MX"/>
        </w:rPr>
      </w:pPr>
      <w:r w:rsidRPr="00A84755">
        <w:rPr>
          <w:color w:val="auto"/>
          <w:lang w:val="es-MX"/>
        </w:rPr>
        <w:t>Para los casos contemplados en el Artículo 1</w:t>
      </w:r>
      <w:r>
        <w:rPr>
          <w:color w:val="auto"/>
          <w:lang w:val="es-MX"/>
        </w:rPr>
        <w:t>5</w:t>
      </w:r>
      <w:r w:rsidRPr="00A84755">
        <w:rPr>
          <w:color w:val="auto"/>
          <w:lang w:val="es-MX"/>
        </w:rPr>
        <w:t xml:space="preserve"> de los presentes Lineamientos</w:t>
      </w:r>
      <w:r>
        <w:rPr>
          <w:color w:val="auto"/>
          <w:lang w:val="es-MX"/>
        </w:rPr>
        <w:t xml:space="preserve"> relacionados con las barreras de acceso a los inmuebles deberá adjuntar al menos un informe pericial sobre</w:t>
      </w:r>
      <w:r w:rsidRPr="00A84755" w:rsidDel="00DE7501">
        <w:rPr>
          <w:color w:val="auto"/>
          <w:lang w:val="es-MX"/>
        </w:rPr>
        <w:t xml:space="preserve"> </w:t>
      </w:r>
      <w:r w:rsidR="004620CE">
        <w:rPr>
          <w:color w:val="auto"/>
          <w:lang w:val="es-MX"/>
        </w:rPr>
        <w:t>l</w:t>
      </w:r>
      <w:r w:rsidR="00DB7E21" w:rsidRPr="00A84755" w:rsidDel="004406F0">
        <w:rPr>
          <w:color w:val="auto"/>
          <w:lang w:val="es-MX"/>
        </w:rPr>
        <w:t xml:space="preserve">a </w:t>
      </w:r>
      <w:r w:rsidR="00A70CA5" w:rsidRPr="00A84755" w:rsidDel="004406F0">
        <w:rPr>
          <w:color w:val="auto"/>
          <w:lang w:val="es-MX"/>
        </w:rPr>
        <w:t xml:space="preserve">falta de </w:t>
      </w:r>
      <w:r w:rsidR="00B05616" w:rsidDel="004406F0">
        <w:rPr>
          <w:color w:val="auto"/>
          <w:lang w:val="es-MX"/>
        </w:rPr>
        <w:t>C</w:t>
      </w:r>
      <w:r w:rsidR="00A70CA5" w:rsidRPr="00A84755" w:rsidDel="004406F0">
        <w:rPr>
          <w:color w:val="auto"/>
          <w:lang w:val="es-MX"/>
        </w:rPr>
        <w:t>apacidad en la infraestructura del inmueble</w:t>
      </w:r>
      <w:r w:rsidR="00DB7E21" w:rsidRPr="00A84755" w:rsidDel="004406F0">
        <w:rPr>
          <w:color w:val="auto"/>
          <w:lang w:val="es-MX"/>
        </w:rPr>
        <w:t>.</w:t>
      </w:r>
    </w:p>
    <w:p w14:paraId="3666CB69" w14:textId="33D0BD28" w:rsidR="004620CE" w:rsidRDefault="009D5C0A" w:rsidP="004620CE">
      <w:pPr>
        <w:pStyle w:val="IFTnormal"/>
        <w:rPr>
          <w:color w:val="auto"/>
          <w:lang w:val="es-MX"/>
        </w:rPr>
      </w:pPr>
      <w:r>
        <w:rPr>
          <w:color w:val="auto"/>
          <w:lang w:val="es-MX"/>
        </w:rPr>
        <w:t>O</w:t>
      </w:r>
      <w:r w:rsidR="004620CE">
        <w:rPr>
          <w:color w:val="auto"/>
          <w:lang w:val="es-MX"/>
        </w:rPr>
        <w:t>, se deberá adjuntar un informe sobre:</w:t>
      </w:r>
    </w:p>
    <w:p w14:paraId="2825F796" w14:textId="77777777" w:rsidR="004620CE" w:rsidRPr="00A84755" w:rsidRDefault="004620CE" w:rsidP="004620CE">
      <w:pPr>
        <w:pStyle w:val="IFTnormal"/>
        <w:numPr>
          <w:ilvl w:val="0"/>
          <w:numId w:val="40"/>
        </w:numPr>
        <w:rPr>
          <w:color w:val="auto"/>
          <w:lang w:val="es-MX"/>
        </w:rPr>
      </w:pPr>
      <w:r>
        <w:rPr>
          <w:color w:val="auto"/>
          <w:lang w:val="es-MX"/>
        </w:rPr>
        <w:t>L</w:t>
      </w:r>
      <w:r w:rsidRPr="00A84755">
        <w:rPr>
          <w:color w:val="auto"/>
          <w:lang w:val="es-MX"/>
        </w:rPr>
        <w:t>a existencia de tratos de exclusividad en el acceso a la infraestructura del inmueble;</w:t>
      </w:r>
      <w:r>
        <w:rPr>
          <w:color w:val="auto"/>
          <w:lang w:val="es-MX"/>
        </w:rPr>
        <w:t xml:space="preserve"> y/o</w:t>
      </w:r>
    </w:p>
    <w:p w14:paraId="37707FA2" w14:textId="5AC39FF7" w:rsidR="004620CE" w:rsidRPr="004620CE" w:rsidRDefault="004620CE" w:rsidP="004620CE">
      <w:pPr>
        <w:pStyle w:val="IFTnormal"/>
        <w:numPr>
          <w:ilvl w:val="0"/>
          <w:numId w:val="40"/>
        </w:numPr>
        <w:rPr>
          <w:color w:val="auto"/>
          <w:lang w:val="es-MX"/>
        </w:rPr>
      </w:pPr>
      <w:r w:rsidRPr="00A84755">
        <w:rPr>
          <w:color w:val="auto"/>
          <w:lang w:val="es-MX"/>
        </w:rPr>
        <w:t>la existencia de tratos discriminatorios p</w:t>
      </w:r>
      <w:r>
        <w:rPr>
          <w:color w:val="auto"/>
          <w:lang w:val="es-MX"/>
        </w:rPr>
        <w:t xml:space="preserve">or parte del dueño del inmueble.    </w:t>
      </w:r>
    </w:p>
    <w:p w14:paraId="1FCDE654" w14:textId="32B5E9EC" w:rsidR="00B46FA6" w:rsidRPr="00A84755" w:rsidRDefault="00B46FA6" w:rsidP="00DB7E21">
      <w:pPr>
        <w:pStyle w:val="IFTnormal"/>
        <w:rPr>
          <w:color w:val="auto"/>
          <w:lang w:val="es-MX"/>
        </w:rPr>
      </w:pPr>
      <w:r w:rsidRPr="00A84755">
        <w:rPr>
          <w:color w:val="auto"/>
          <w:lang w:val="es-MX"/>
        </w:rPr>
        <w:t>En caso de que la solicitud no contenga alguno de los requisitos antes mencionados</w:t>
      </w:r>
      <w:r w:rsidR="008938E2" w:rsidRPr="00A84755">
        <w:rPr>
          <w:color w:val="auto"/>
          <w:lang w:val="es-MX"/>
        </w:rPr>
        <w:t xml:space="preserve"> o que a consideración del Instituto sea insuficiente</w:t>
      </w:r>
      <w:r w:rsidRPr="00A84755">
        <w:rPr>
          <w:color w:val="auto"/>
          <w:lang w:val="es-MX"/>
        </w:rPr>
        <w:t>, el Instituto prevendrá al interesado por una sola vez para que subsane la omisión, misma que deberá ser desahogada dentro de los diez días hábiles siguientes</w:t>
      </w:r>
      <w:r w:rsidR="0049348B">
        <w:rPr>
          <w:color w:val="auto"/>
          <w:lang w:val="es-MX"/>
        </w:rPr>
        <w:t xml:space="preserve"> a su notificación</w:t>
      </w:r>
      <w:r w:rsidRPr="00A84755">
        <w:rPr>
          <w:color w:val="auto"/>
          <w:lang w:val="es-MX"/>
        </w:rPr>
        <w:t xml:space="preserve">. </w:t>
      </w:r>
      <w:r w:rsidRPr="00A84755">
        <w:rPr>
          <w:color w:val="auto"/>
          <w:lang w:val="es-MX"/>
        </w:rPr>
        <w:lastRenderedPageBreak/>
        <w:t xml:space="preserve">En caso de que la información faltante no haya sido entregada en dicho plazo, el Instituto tendrá por no presentada la solicitud de resolución del desacuerdo. Lo anterior, no </w:t>
      </w:r>
      <w:r w:rsidR="0070470E">
        <w:rPr>
          <w:color w:val="auto"/>
          <w:lang w:val="es-MX"/>
        </w:rPr>
        <w:t xml:space="preserve">es impedimento para que </w:t>
      </w:r>
      <w:r w:rsidRPr="00A84755">
        <w:rPr>
          <w:color w:val="auto"/>
          <w:lang w:val="es-MX"/>
        </w:rPr>
        <w:t xml:space="preserve">se presente nuevamente </w:t>
      </w:r>
      <w:r w:rsidR="0070470E">
        <w:rPr>
          <w:color w:val="auto"/>
          <w:lang w:val="es-MX"/>
        </w:rPr>
        <w:t>la solicitud</w:t>
      </w:r>
      <w:r w:rsidRPr="00A84755">
        <w:rPr>
          <w:color w:val="auto"/>
          <w:lang w:val="es-MX"/>
        </w:rPr>
        <w:t xml:space="preserve"> cuando se cuente con la información correspondiente.</w:t>
      </w:r>
    </w:p>
    <w:p w14:paraId="3909E688" w14:textId="0A4223FB" w:rsidR="00B46FA6" w:rsidRPr="00A84755" w:rsidRDefault="00B46FA6" w:rsidP="00B46FA6">
      <w:pPr>
        <w:pStyle w:val="Default"/>
        <w:spacing w:after="200" w:line="276" w:lineRule="auto"/>
        <w:jc w:val="both"/>
        <w:rPr>
          <w:sz w:val="22"/>
          <w:szCs w:val="22"/>
        </w:rPr>
      </w:pPr>
      <w:r w:rsidRPr="00A84755">
        <w:rPr>
          <w:b/>
          <w:sz w:val="22"/>
          <w:szCs w:val="22"/>
        </w:rPr>
        <w:t xml:space="preserve">Artículo </w:t>
      </w:r>
      <w:r w:rsidR="005E36BB" w:rsidRPr="00A84755">
        <w:rPr>
          <w:b/>
          <w:sz w:val="22"/>
          <w:szCs w:val="22"/>
        </w:rPr>
        <w:t>1</w:t>
      </w:r>
      <w:r w:rsidR="00815CEE">
        <w:rPr>
          <w:b/>
          <w:sz w:val="22"/>
          <w:szCs w:val="22"/>
        </w:rPr>
        <w:t>8</w:t>
      </w:r>
      <w:r w:rsidRPr="00A84755">
        <w:rPr>
          <w:b/>
          <w:sz w:val="22"/>
          <w:szCs w:val="22"/>
        </w:rPr>
        <w:t>.</w:t>
      </w:r>
      <w:r w:rsidRPr="00A84755">
        <w:rPr>
          <w:sz w:val="22"/>
          <w:szCs w:val="22"/>
        </w:rPr>
        <w:t xml:space="preserve"> </w:t>
      </w:r>
      <w:r w:rsidRPr="00A84755">
        <w:rPr>
          <w:b/>
          <w:sz w:val="22"/>
          <w:szCs w:val="22"/>
        </w:rPr>
        <w:t>Resolución de desacuerdos de</w:t>
      </w:r>
      <w:r w:rsidRPr="00A84755">
        <w:rPr>
          <w:b/>
          <w:sz w:val="22"/>
          <w:szCs w:val="22"/>
          <w:lang w:val="es-419"/>
        </w:rPr>
        <w:t xml:space="preserve"> Acceso y Uso Compartido de Elementos de Infraestructura</w:t>
      </w:r>
      <w:r w:rsidRPr="00A84755">
        <w:rPr>
          <w:b/>
          <w:sz w:val="22"/>
          <w:szCs w:val="22"/>
        </w:rPr>
        <w:t xml:space="preserve">. </w:t>
      </w:r>
      <w:r w:rsidRPr="00A84755">
        <w:rPr>
          <w:sz w:val="22"/>
          <w:szCs w:val="22"/>
        </w:rPr>
        <w:t xml:space="preserve">En </w:t>
      </w:r>
      <w:r w:rsidR="002E3B81" w:rsidRPr="00A84755">
        <w:rPr>
          <w:sz w:val="22"/>
          <w:szCs w:val="22"/>
        </w:rPr>
        <w:t xml:space="preserve">la resolución de desacuerdos </w:t>
      </w:r>
      <w:r w:rsidRPr="00A84755">
        <w:rPr>
          <w:sz w:val="22"/>
          <w:szCs w:val="22"/>
        </w:rPr>
        <w:t>el Instituto podrá establecer</w:t>
      </w:r>
      <w:r w:rsidR="002E3B81" w:rsidRPr="00A84755">
        <w:rPr>
          <w:sz w:val="22"/>
          <w:szCs w:val="22"/>
        </w:rPr>
        <w:t xml:space="preserve"> en </w:t>
      </w:r>
      <w:r w:rsidR="002E3B81" w:rsidRPr="00A84755">
        <w:rPr>
          <w:sz w:val="22"/>
          <w:szCs w:val="22"/>
          <w:lang w:val="es-419"/>
        </w:rPr>
        <w:t>el Acceso y Uso Compartido de Elementos de Infraestructura</w:t>
      </w:r>
      <w:r w:rsidRPr="00A84755">
        <w:rPr>
          <w:sz w:val="22"/>
          <w:szCs w:val="22"/>
        </w:rPr>
        <w:t>:</w:t>
      </w:r>
    </w:p>
    <w:p w14:paraId="4BDDB23E" w14:textId="77777777" w:rsidR="00B46FA6" w:rsidRPr="00A84755" w:rsidRDefault="00B46FA6" w:rsidP="00B46FA6">
      <w:pPr>
        <w:pStyle w:val="IFTnormal"/>
        <w:numPr>
          <w:ilvl w:val="0"/>
          <w:numId w:val="8"/>
        </w:numPr>
        <w:rPr>
          <w:color w:val="auto"/>
          <w:lang w:val="es-MX"/>
        </w:rPr>
      </w:pPr>
      <w:r w:rsidRPr="00A84755">
        <w:rPr>
          <w:color w:val="auto"/>
          <w:lang w:val="es-MX"/>
        </w:rPr>
        <w:t>Condiciones de uso;</w:t>
      </w:r>
    </w:p>
    <w:p w14:paraId="130BCF44" w14:textId="77777777" w:rsidR="00B46FA6" w:rsidRPr="00A84755" w:rsidRDefault="00347E2F" w:rsidP="00B46FA6">
      <w:pPr>
        <w:pStyle w:val="IFTnormal"/>
        <w:numPr>
          <w:ilvl w:val="0"/>
          <w:numId w:val="8"/>
        </w:numPr>
        <w:rPr>
          <w:color w:val="auto"/>
          <w:lang w:val="es-MX"/>
        </w:rPr>
      </w:pPr>
      <w:r>
        <w:rPr>
          <w:color w:val="auto"/>
          <w:lang w:val="es-MX"/>
        </w:rPr>
        <w:t>Compartición del espacio físico,</w:t>
      </w:r>
      <w:r w:rsidR="00B46FA6" w:rsidRPr="00A84755">
        <w:rPr>
          <w:color w:val="auto"/>
          <w:lang w:val="es-MX"/>
        </w:rPr>
        <w:t xml:space="preserve"> y</w:t>
      </w:r>
      <w:r w:rsidR="00B76CCF" w:rsidRPr="00A84755">
        <w:rPr>
          <w:color w:val="auto"/>
          <w:lang w:val="es-MX"/>
        </w:rPr>
        <w:t>/o</w:t>
      </w:r>
    </w:p>
    <w:p w14:paraId="471B15E8" w14:textId="77777777" w:rsidR="00B46FA6" w:rsidRPr="00A84755" w:rsidRDefault="00B46FA6" w:rsidP="00B46FA6">
      <w:pPr>
        <w:pStyle w:val="IFTnormal"/>
        <w:numPr>
          <w:ilvl w:val="0"/>
          <w:numId w:val="8"/>
        </w:numPr>
        <w:rPr>
          <w:color w:val="auto"/>
          <w:lang w:val="es-MX"/>
        </w:rPr>
      </w:pPr>
      <w:r w:rsidRPr="00A84755">
        <w:rPr>
          <w:color w:val="auto"/>
          <w:lang w:val="es-MX"/>
        </w:rPr>
        <w:t>Tarifa correspondiente.</w:t>
      </w:r>
    </w:p>
    <w:p w14:paraId="75243394" w14:textId="428E8211" w:rsidR="00B46FA6" w:rsidRPr="00A84755" w:rsidRDefault="00B46FA6" w:rsidP="00B46FA6">
      <w:pPr>
        <w:pStyle w:val="IFTnormal"/>
        <w:rPr>
          <w:color w:val="auto"/>
        </w:rPr>
      </w:pPr>
      <w:r w:rsidRPr="00A84755">
        <w:rPr>
          <w:color w:val="auto"/>
        </w:rPr>
        <w:t>En casos donde el Instituto deba resolver tarifas por no haber sido acordadas entre los concesionarios</w:t>
      </w:r>
      <w:r w:rsidR="004A7EC3">
        <w:rPr>
          <w:color w:val="auto"/>
        </w:rPr>
        <w:t xml:space="preserve"> y</w:t>
      </w:r>
      <w:r w:rsidR="00F717EE">
        <w:rPr>
          <w:color w:val="auto"/>
        </w:rPr>
        <w:t>/o</w:t>
      </w:r>
      <w:r w:rsidR="004A7EC3">
        <w:rPr>
          <w:color w:val="auto"/>
        </w:rPr>
        <w:t xml:space="preserve"> autorizados</w:t>
      </w:r>
      <w:r w:rsidRPr="00A84755">
        <w:rPr>
          <w:color w:val="auto"/>
        </w:rPr>
        <w:t>, lo hará considerando los elementos e información disponible. Para tal efecto, el Instituto podrá analizar el contexto del mercado, los objetivos regulatorios en materia de competencia y las mejores prácticas en la materia, tomando en consideración los sig</w:t>
      </w:r>
      <w:r w:rsidR="00AA36D5">
        <w:rPr>
          <w:color w:val="auto"/>
        </w:rPr>
        <w:t>uientes criterios:</w:t>
      </w:r>
    </w:p>
    <w:p w14:paraId="08DBADDA" w14:textId="77777777" w:rsidR="00B46FA6" w:rsidRPr="00A84755" w:rsidRDefault="00B46FA6" w:rsidP="00F52D98">
      <w:pPr>
        <w:pStyle w:val="IFTnormal"/>
        <w:numPr>
          <w:ilvl w:val="0"/>
          <w:numId w:val="37"/>
        </w:numPr>
        <w:rPr>
          <w:color w:val="auto"/>
        </w:rPr>
      </w:pPr>
      <w:r w:rsidRPr="00A84755">
        <w:rPr>
          <w:color w:val="auto"/>
        </w:rPr>
        <w:t xml:space="preserve">Que los Titulares de </w:t>
      </w:r>
      <w:r w:rsidR="00010460" w:rsidRPr="00A84755">
        <w:rPr>
          <w:color w:val="auto"/>
          <w:lang w:val="es-419"/>
        </w:rPr>
        <w:t>Infraestructura</w:t>
      </w:r>
      <w:r w:rsidR="00010460" w:rsidRPr="00A84755">
        <w:rPr>
          <w:color w:val="auto"/>
        </w:rPr>
        <w:t xml:space="preserve"> </w:t>
      </w:r>
      <w:r w:rsidRPr="00A84755">
        <w:rPr>
          <w:color w:val="auto"/>
        </w:rPr>
        <w:t xml:space="preserve">recuperen los costos proporcionales al Acceso y Uso </w:t>
      </w:r>
      <w:r w:rsidRPr="00A84755">
        <w:rPr>
          <w:color w:val="auto"/>
          <w:lang w:val="es-419"/>
        </w:rPr>
        <w:t xml:space="preserve">Compartido de Elementos </w:t>
      </w:r>
      <w:r w:rsidRPr="00A84755">
        <w:rPr>
          <w:color w:val="auto"/>
        </w:rPr>
        <w:t>de Infraestructura</w:t>
      </w:r>
      <w:r w:rsidR="00B052C4" w:rsidRPr="00A84755">
        <w:rPr>
          <w:color w:val="auto"/>
        </w:rPr>
        <w:t>,</w:t>
      </w:r>
      <w:r w:rsidR="00AA36D5">
        <w:rPr>
          <w:color w:val="auto"/>
        </w:rPr>
        <w:t xml:space="preserve"> y</w:t>
      </w:r>
    </w:p>
    <w:p w14:paraId="6EA94C0D" w14:textId="7325CF29" w:rsidR="00B46FA6" w:rsidRPr="00A84755" w:rsidRDefault="00B46FA6" w:rsidP="00F52D98">
      <w:pPr>
        <w:pStyle w:val="IFTnormal"/>
        <w:numPr>
          <w:ilvl w:val="0"/>
          <w:numId w:val="37"/>
        </w:numPr>
        <w:rPr>
          <w:color w:val="auto"/>
        </w:rPr>
      </w:pPr>
      <w:r w:rsidRPr="00A84755">
        <w:rPr>
          <w:color w:val="auto"/>
        </w:rPr>
        <w:t xml:space="preserve">Que se recompense el riesgo incurrido por realizar inversiones de despliegue en localidades donde </w:t>
      </w:r>
      <w:r w:rsidR="00F82D34">
        <w:rPr>
          <w:color w:val="auto"/>
        </w:rPr>
        <w:t>no haya este</w:t>
      </w:r>
      <w:r w:rsidR="00F82D34" w:rsidRPr="00A84755">
        <w:rPr>
          <w:color w:val="auto"/>
        </w:rPr>
        <w:t xml:space="preserve"> </w:t>
      </w:r>
      <w:r w:rsidRPr="00A84755">
        <w:rPr>
          <w:color w:val="auto"/>
        </w:rPr>
        <w:t>tipo de inversiones, así como en aquellas cuyos índices de marginación sean más altos.</w:t>
      </w:r>
    </w:p>
    <w:p w14:paraId="6FD76FFA" w14:textId="70D33159" w:rsidR="00B46FA6" w:rsidRDefault="00B46FA6" w:rsidP="00AD52C2">
      <w:pPr>
        <w:pStyle w:val="IFTnormal"/>
      </w:pPr>
      <w:r w:rsidRPr="00A84755">
        <w:rPr>
          <w:b/>
        </w:rPr>
        <w:t xml:space="preserve">Artículo </w:t>
      </w:r>
      <w:r w:rsidR="00815CEE">
        <w:rPr>
          <w:b/>
        </w:rPr>
        <w:t>19</w:t>
      </w:r>
      <w:r w:rsidRPr="00A84755">
        <w:rPr>
          <w:b/>
        </w:rPr>
        <w:t>.</w:t>
      </w:r>
      <w:r w:rsidRPr="00A84755">
        <w:t xml:space="preserve"> </w:t>
      </w:r>
      <w:r w:rsidRPr="00A84755">
        <w:rPr>
          <w:b/>
        </w:rPr>
        <w:t xml:space="preserve">Procedimiento para la resolución de desacuerdos. </w:t>
      </w:r>
      <w:r w:rsidR="00676BA8" w:rsidRPr="00A84755">
        <w:t>En l</w:t>
      </w:r>
      <w:r w:rsidRPr="00A84755">
        <w:t>os desacuerdos presentado</w:t>
      </w:r>
      <w:r w:rsidR="002553E7" w:rsidRPr="00A84755">
        <w:t>s conforme a</w:t>
      </w:r>
      <w:r w:rsidR="00802A95">
        <w:t>l supuesto</w:t>
      </w:r>
      <w:r w:rsidR="0070470E">
        <w:t xml:space="preserve"> </w:t>
      </w:r>
      <w:r w:rsidR="002553E7" w:rsidRPr="00A84755">
        <w:t>de</w:t>
      </w:r>
      <w:r w:rsidR="00802A95">
        <w:t>l</w:t>
      </w:r>
      <w:r w:rsidR="002553E7" w:rsidRPr="00A84755">
        <w:t xml:space="preserve"> </w:t>
      </w:r>
      <w:r w:rsidR="0070470E">
        <w:t>a</w:t>
      </w:r>
      <w:r w:rsidRPr="00A84755">
        <w:t>rtículo 1</w:t>
      </w:r>
      <w:r w:rsidR="007D3FCD">
        <w:t>6</w:t>
      </w:r>
      <w:r w:rsidR="002553E7" w:rsidRPr="00A84755">
        <w:t xml:space="preserve"> </w:t>
      </w:r>
      <w:r w:rsidRPr="00A84755">
        <w:t xml:space="preserve">de los presentes Lineamientos, </w:t>
      </w:r>
      <w:r w:rsidR="00434778">
        <w:t>se seguirá</w:t>
      </w:r>
      <w:r w:rsidRPr="00A84755">
        <w:t xml:space="preserve"> </w:t>
      </w:r>
      <w:r w:rsidR="00AD52C2" w:rsidRPr="00A84755">
        <w:t>el procedimiento</w:t>
      </w:r>
      <w:r w:rsidR="00676BA8" w:rsidRPr="00A84755">
        <w:t xml:space="preserve"> establecido en el artículo 129 de la LFTR</w:t>
      </w:r>
      <w:r w:rsidR="008938E2" w:rsidRPr="00A84755">
        <w:t xml:space="preserve"> salvo lo previsto para el plazo de resolución, el cual será de hasta treinta días hábiles</w:t>
      </w:r>
      <w:r w:rsidR="00676BA8" w:rsidRPr="00A84755">
        <w:t>.</w:t>
      </w:r>
    </w:p>
    <w:p w14:paraId="71191572" w14:textId="77777777" w:rsidR="009B0F61" w:rsidRPr="00A84755" w:rsidRDefault="009B0F61" w:rsidP="00AD52C2">
      <w:pPr>
        <w:pStyle w:val="IFTnormal"/>
      </w:pPr>
    </w:p>
    <w:p w14:paraId="36EFC155" w14:textId="77777777" w:rsidR="000B7362" w:rsidRPr="00A84755" w:rsidRDefault="000B7362" w:rsidP="000B7362">
      <w:pPr>
        <w:pStyle w:val="N1IFT"/>
      </w:pPr>
      <w:r w:rsidRPr="00A84755">
        <w:t>CAPÍTULO III. Despliegue de Infraestructura</w:t>
      </w:r>
    </w:p>
    <w:p w14:paraId="1B3D9EDE" w14:textId="0D543491" w:rsidR="0070470E" w:rsidRDefault="000B7362" w:rsidP="000B7362">
      <w:pPr>
        <w:pStyle w:val="Ttulo2"/>
      </w:pPr>
      <w:r w:rsidRPr="00A84755">
        <w:t xml:space="preserve">Sección </w:t>
      </w:r>
      <w:r w:rsidR="0070470E">
        <w:t>I</w:t>
      </w:r>
    </w:p>
    <w:p w14:paraId="26D8A8EE" w14:textId="349BD718" w:rsidR="000B7362" w:rsidRPr="00A84755" w:rsidRDefault="000B7362" w:rsidP="000B7362">
      <w:pPr>
        <w:pStyle w:val="Ttulo2"/>
        <w:rPr>
          <w:rFonts w:eastAsiaTheme="minorHAnsi"/>
        </w:rPr>
      </w:pPr>
      <w:r w:rsidRPr="00A84755">
        <w:t>Disposiciones generales para e</w:t>
      </w:r>
      <w:r w:rsidR="00794571">
        <w:t>l Despliegue de Infraestructura</w:t>
      </w:r>
    </w:p>
    <w:p w14:paraId="3CDE9F93" w14:textId="3C979454" w:rsidR="00164995" w:rsidRPr="00A84755" w:rsidRDefault="005E36BB" w:rsidP="00164995">
      <w:pPr>
        <w:pStyle w:val="IFTnormal"/>
      </w:pPr>
      <w:r w:rsidRPr="00A84755">
        <w:rPr>
          <w:b/>
        </w:rPr>
        <w:t>Artículo 2</w:t>
      </w:r>
      <w:r w:rsidR="00815CEE">
        <w:rPr>
          <w:b/>
        </w:rPr>
        <w:t>0</w:t>
      </w:r>
      <w:r w:rsidR="009C2313" w:rsidRPr="00A84755">
        <w:rPr>
          <w:b/>
        </w:rPr>
        <w:t>.</w:t>
      </w:r>
      <w:r w:rsidR="009C2313" w:rsidRPr="00A84755">
        <w:t xml:space="preserve"> </w:t>
      </w:r>
      <w:r w:rsidR="00C75186" w:rsidRPr="00A84755">
        <w:rPr>
          <w:b/>
        </w:rPr>
        <w:t>De la no restricción al Despliegue de Infraestructura</w:t>
      </w:r>
      <w:r w:rsidR="00A17B6E" w:rsidRPr="00A84755">
        <w:rPr>
          <w:b/>
        </w:rPr>
        <w:t>.</w:t>
      </w:r>
      <w:r w:rsidR="00A17B6E" w:rsidRPr="00A84755">
        <w:t xml:space="preserve"> </w:t>
      </w:r>
      <w:r w:rsidR="00164995" w:rsidRPr="00A84755">
        <w:t xml:space="preserve">Las autoridades de orden federal, estatal o municipal sólo podrán imponer contribuciones previstas en normas de carácter general de esos órdenes de gobierno que hayan sido publicadas en el medio oficial correspondiente, las cuales no podrán ser </w:t>
      </w:r>
      <w:r w:rsidR="004406F0">
        <w:lastRenderedPageBreak/>
        <w:t>discriminatorias ni</w:t>
      </w:r>
      <w:r w:rsidR="004406F0" w:rsidRPr="00A84755">
        <w:t xml:space="preserve"> </w:t>
      </w:r>
      <w:r w:rsidR="00164995" w:rsidRPr="00A84755">
        <w:t>restrictivas por su monto a la inversión para la instalación y Despliegue de Infraestructura.</w:t>
      </w:r>
    </w:p>
    <w:p w14:paraId="439C8E5D" w14:textId="0B0F0413" w:rsidR="009C2313" w:rsidRPr="00A84755" w:rsidRDefault="00164995" w:rsidP="00164995">
      <w:pPr>
        <w:pStyle w:val="IFTnormal"/>
        <w:rPr>
          <w:color w:val="auto"/>
        </w:rPr>
      </w:pPr>
      <w:r w:rsidRPr="00A84755">
        <w:t>El Ejecutivo Federal, los Estados, Municipios y el Gobierno de la Ciudad de México, en el ámbito de sus competencias en materia de desarrollo urbano, no podrán impedir, obstaculizar o restringir la instalación y Despliegue de Infraestructura para la prestación de los servicios públicos de telecomunicaciones y radiodifusión, por cualquier acto jurídico o disposición legal</w:t>
      </w:r>
      <w:r w:rsidR="004406F0">
        <w:t xml:space="preserve"> incluyendo materias</w:t>
      </w:r>
      <w:r w:rsidRPr="00A84755">
        <w:t xml:space="preserve"> distinta</w:t>
      </w:r>
      <w:r w:rsidR="004406F0">
        <w:t>s</w:t>
      </w:r>
      <w:r w:rsidRPr="00A84755">
        <w:t xml:space="preserve"> a</w:t>
      </w:r>
      <w:r w:rsidR="004406F0">
        <w:t>l</w:t>
      </w:r>
      <w:r w:rsidRPr="00A84755">
        <w:t xml:space="preserve"> desarrollo urbano.</w:t>
      </w:r>
    </w:p>
    <w:p w14:paraId="4A8B60FF" w14:textId="6D8C5D27" w:rsidR="00164995" w:rsidRPr="00A84755" w:rsidRDefault="005E36BB" w:rsidP="00256283">
      <w:pPr>
        <w:pStyle w:val="IFTnormal"/>
        <w:rPr>
          <w:rStyle w:val="IFTnormalCar"/>
          <w:color w:val="auto"/>
        </w:rPr>
      </w:pPr>
      <w:r w:rsidRPr="00A84755">
        <w:rPr>
          <w:b/>
          <w:color w:val="auto"/>
          <w:lang w:val="es-MX"/>
        </w:rPr>
        <w:t>Artículo 2</w:t>
      </w:r>
      <w:r w:rsidR="00815CEE">
        <w:rPr>
          <w:b/>
          <w:color w:val="auto"/>
          <w:lang w:val="es-MX"/>
        </w:rPr>
        <w:t>1</w:t>
      </w:r>
      <w:r w:rsidR="00164995" w:rsidRPr="00A84755">
        <w:rPr>
          <w:b/>
          <w:color w:val="auto"/>
          <w:lang w:val="es-MX"/>
        </w:rPr>
        <w:t>.</w:t>
      </w:r>
      <w:r w:rsidR="00164995" w:rsidRPr="00A84755">
        <w:rPr>
          <w:color w:val="auto"/>
          <w:lang w:val="es-MX"/>
        </w:rPr>
        <w:t xml:space="preserve"> </w:t>
      </w:r>
      <w:r w:rsidR="00164995" w:rsidRPr="00A84755">
        <w:rPr>
          <w:b/>
          <w:color w:val="auto"/>
          <w:lang w:val="es-MX"/>
        </w:rPr>
        <w:t>Compatibilidad de uso de suelo.</w:t>
      </w:r>
      <w:r w:rsidR="00164995" w:rsidRPr="00A84755">
        <w:rPr>
          <w:color w:val="auto"/>
          <w:lang w:val="es-MX"/>
        </w:rPr>
        <w:t xml:space="preserve"> En e</w:t>
      </w:r>
      <w:r w:rsidR="00164995" w:rsidRPr="00A84755">
        <w:rPr>
          <w:color w:val="auto"/>
          <w:lang w:val="es-419"/>
        </w:rPr>
        <w:t xml:space="preserve">l </w:t>
      </w:r>
      <w:r w:rsidR="00164995" w:rsidRPr="00A84755">
        <w:rPr>
          <w:color w:val="auto"/>
        </w:rPr>
        <w:t>Despliegue de Infraestructura se deberá</w:t>
      </w:r>
      <w:r w:rsidR="0049348B">
        <w:rPr>
          <w:color w:val="auto"/>
        </w:rPr>
        <w:t>n</w:t>
      </w:r>
      <w:r w:rsidR="00164995" w:rsidRPr="00A84755">
        <w:rPr>
          <w:color w:val="auto"/>
        </w:rPr>
        <w:t xml:space="preserve"> de observar las disposiciones emitidas por las legislaciones estatales relacionadas con la </w:t>
      </w:r>
      <w:r w:rsidR="00164995" w:rsidRPr="00A84755">
        <w:rPr>
          <w:color w:val="auto"/>
          <w:lang w:val="es-MX"/>
        </w:rPr>
        <w:t>compatibilidad de la infraestructura de telecomunicaciones y de radiodifusión, en cualquier uso de suelo, para zonas urbanizables y no urbanizables</w:t>
      </w:r>
      <w:r w:rsidR="00164995" w:rsidRPr="00A84755">
        <w:rPr>
          <w:color w:val="auto"/>
          <w:lang w:val="es-419"/>
        </w:rPr>
        <w:t>;</w:t>
      </w:r>
      <w:r w:rsidR="00164995" w:rsidRPr="00A84755">
        <w:rPr>
          <w:color w:val="auto"/>
          <w:lang w:val="es-MX"/>
        </w:rPr>
        <w:t xml:space="preserve"> de acuerdo </w:t>
      </w:r>
      <w:r w:rsidR="0049348B">
        <w:rPr>
          <w:color w:val="auto"/>
          <w:lang w:val="es-MX"/>
        </w:rPr>
        <w:t>con</w:t>
      </w:r>
      <w:r w:rsidR="00164995" w:rsidRPr="00A84755">
        <w:rPr>
          <w:color w:val="auto"/>
          <w:lang w:val="es-419"/>
        </w:rPr>
        <w:t xml:space="preserve"> lo establecido en la fracción VII del artículo 52 de la </w:t>
      </w:r>
      <w:r w:rsidR="00164995" w:rsidRPr="00A84755">
        <w:t>Ley General de Asentamientos Humanos, Ordenamiento Territorial y Desarrollo Urbano.</w:t>
      </w:r>
    </w:p>
    <w:p w14:paraId="6014EAC8" w14:textId="2EEF06B0" w:rsidR="00164995" w:rsidRPr="00A84755" w:rsidRDefault="000B7362" w:rsidP="00164995">
      <w:pPr>
        <w:pStyle w:val="IncisosIFT"/>
        <w:ind w:left="0"/>
        <w:rPr>
          <w:rStyle w:val="IFTnormalCar"/>
          <w:color w:val="auto"/>
        </w:rPr>
      </w:pPr>
      <w:r w:rsidRPr="00A84755">
        <w:rPr>
          <w:rStyle w:val="IFTnormalCar"/>
          <w:b/>
          <w:color w:val="auto"/>
        </w:rPr>
        <w:t>Artículo 2</w:t>
      </w:r>
      <w:r w:rsidR="00815CEE">
        <w:rPr>
          <w:rStyle w:val="IFTnormalCar"/>
          <w:b/>
          <w:color w:val="auto"/>
        </w:rPr>
        <w:t>2</w:t>
      </w:r>
      <w:r w:rsidRPr="00A84755">
        <w:rPr>
          <w:rStyle w:val="IFTnormalCar"/>
          <w:color w:val="auto"/>
        </w:rPr>
        <w:t xml:space="preserve">. </w:t>
      </w:r>
      <w:r w:rsidRPr="00A84755">
        <w:rPr>
          <w:rStyle w:val="IFTnormalCar"/>
          <w:b/>
          <w:color w:val="auto"/>
        </w:rPr>
        <w:t xml:space="preserve">Controversias. </w:t>
      </w:r>
      <w:r w:rsidRPr="00A84755">
        <w:rPr>
          <w:rStyle w:val="IFTnormalCar"/>
          <w:color w:val="auto"/>
        </w:rPr>
        <w:t>De conformidad con lo dispuesto en el artículo 5 de la LFTR, en caso de que se suscite alguna controversia entre los concesionarios</w:t>
      </w:r>
      <w:r w:rsidR="001A586A">
        <w:rPr>
          <w:rStyle w:val="IFTnormalCar"/>
          <w:color w:val="auto"/>
        </w:rPr>
        <w:t xml:space="preserve"> </w:t>
      </w:r>
      <w:r w:rsidR="00F717EE">
        <w:rPr>
          <w:rStyle w:val="IFTnormalCar"/>
          <w:color w:val="auto"/>
        </w:rPr>
        <w:t>o</w:t>
      </w:r>
      <w:r w:rsidR="004A7EC3">
        <w:rPr>
          <w:rStyle w:val="IFTnormalCar"/>
          <w:color w:val="auto"/>
        </w:rPr>
        <w:t xml:space="preserve"> autorizados</w:t>
      </w:r>
      <w:r w:rsidRPr="00A84755">
        <w:rPr>
          <w:rStyle w:val="IFTnormalCar"/>
          <w:color w:val="auto"/>
        </w:rPr>
        <w:t xml:space="preserve"> y la Federación, las entidades federativas o los municipios sobre la instalación, operación y/o </w:t>
      </w:r>
      <w:r w:rsidRPr="00A84755">
        <w:rPr>
          <w:rStyle w:val="IFTnormalCar"/>
          <w:color w:val="auto"/>
          <w:lang w:val="es-MX"/>
        </w:rPr>
        <w:t>mantenimiento</w:t>
      </w:r>
      <w:r w:rsidRPr="00A84755">
        <w:rPr>
          <w:rStyle w:val="IFTnormalCar"/>
          <w:color w:val="auto"/>
        </w:rPr>
        <w:t xml:space="preserve"> de </w:t>
      </w:r>
      <w:r w:rsidRPr="00A84755">
        <w:rPr>
          <w:rStyle w:val="IFTnormalCar"/>
          <w:color w:val="auto"/>
          <w:lang w:val="es-MX"/>
        </w:rPr>
        <w:t xml:space="preserve">infraestructura </w:t>
      </w:r>
      <w:r w:rsidRPr="00A84755">
        <w:rPr>
          <w:rStyle w:val="IFTnormalCar"/>
          <w:color w:val="auto"/>
        </w:rPr>
        <w:t>destinada a brindar servicios de telecomunicaciones y/o radiodifusión, ésta será resuelta por los tribunales especializados en materia de competencia económica, radi</w:t>
      </w:r>
      <w:r w:rsidR="00AA36D5">
        <w:rPr>
          <w:rStyle w:val="IFTnormalCar"/>
          <w:color w:val="auto"/>
        </w:rPr>
        <w:t>odifusión y telecomunicaciones.</w:t>
      </w:r>
    </w:p>
    <w:p w14:paraId="4BEDFEF9" w14:textId="744DB331" w:rsidR="000B7362" w:rsidRPr="00947776" w:rsidRDefault="000B7362" w:rsidP="000B7362">
      <w:pPr>
        <w:pStyle w:val="IFTnormal"/>
        <w:rPr>
          <w:color w:val="auto"/>
        </w:rPr>
      </w:pPr>
      <w:r w:rsidRPr="00A84755">
        <w:rPr>
          <w:b/>
          <w:color w:val="auto"/>
        </w:rPr>
        <w:t>Artículo 2</w:t>
      </w:r>
      <w:r w:rsidR="00815CEE">
        <w:rPr>
          <w:b/>
          <w:color w:val="auto"/>
        </w:rPr>
        <w:t>3</w:t>
      </w:r>
      <w:r w:rsidRPr="00A84755">
        <w:rPr>
          <w:b/>
          <w:color w:val="auto"/>
        </w:rPr>
        <w:t>.</w:t>
      </w:r>
      <w:r w:rsidRPr="00A84755">
        <w:rPr>
          <w:color w:val="auto"/>
        </w:rPr>
        <w:t xml:space="preserve"> </w:t>
      </w:r>
      <w:r w:rsidRPr="00A84755">
        <w:rPr>
          <w:b/>
          <w:color w:val="auto"/>
        </w:rPr>
        <w:t>Daños.</w:t>
      </w:r>
      <w:r w:rsidRPr="00A84755">
        <w:rPr>
          <w:color w:val="auto"/>
          <w:lang w:val="es-419"/>
        </w:rPr>
        <w:t xml:space="preserve"> </w:t>
      </w:r>
      <w:r w:rsidRPr="00A84755">
        <w:rPr>
          <w:color w:val="auto"/>
        </w:rPr>
        <w:t>Quien dañe, perjudique o destruya cualquier vía general de comunicación en materia de telecomunicaciones y radiodifusión, cualquier bien inmueble o mueble usado en la instalación u operación de una concesión</w:t>
      </w:r>
      <w:r w:rsidR="001A586A">
        <w:rPr>
          <w:color w:val="auto"/>
        </w:rPr>
        <w:t xml:space="preserve"> o autorización</w:t>
      </w:r>
      <w:r w:rsidRPr="00A84755">
        <w:rPr>
          <w:color w:val="auto"/>
        </w:rPr>
        <w:t>, interrumpiendo total o parcialmente sus servicios, quedará sujeto a lo establecido</w:t>
      </w:r>
      <w:r w:rsidR="00AA36D5">
        <w:rPr>
          <w:color w:val="auto"/>
        </w:rPr>
        <w:t xml:space="preserve"> en el artículo 306 de la LFTR.</w:t>
      </w:r>
    </w:p>
    <w:p w14:paraId="42ADC842" w14:textId="6C3E454B" w:rsidR="000B7362" w:rsidRPr="00A84755" w:rsidRDefault="000B7362" w:rsidP="000B7362">
      <w:pPr>
        <w:pStyle w:val="IFTnormal"/>
        <w:rPr>
          <w:color w:val="auto"/>
        </w:rPr>
      </w:pPr>
      <w:r w:rsidRPr="00A84755">
        <w:rPr>
          <w:b/>
          <w:color w:val="auto"/>
        </w:rPr>
        <w:t>Artículo 2</w:t>
      </w:r>
      <w:r w:rsidR="00815CEE">
        <w:rPr>
          <w:b/>
          <w:color w:val="auto"/>
        </w:rPr>
        <w:t>4</w:t>
      </w:r>
      <w:r w:rsidRPr="00A84755">
        <w:rPr>
          <w:b/>
          <w:color w:val="auto"/>
        </w:rPr>
        <w:t>. Seguridad.</w:t>
      </w:r>
      <w:r w:rsidRPr="00A84755">
        <w:rPr>
          <w:color w:val="auto"/>
        </w:rPr>
        <w:t xml:space="preserve"> Respecto a los requisitos de seguridad para protección de la vida se deberá observar lo dispuesto en </w:t>
      </w:r>
      <w:r w:rsidRPr="00A84755">
        <w:t xml:space="preserve">las disposiciones técnicas que emita el Instituto relacionadas con los límites de exposición máxima para seres humanos a radiaciones electromagnéticas de radiofrecuencia no ionizantes </w:t>
      </w:r>
      <w:r w:rsidRPr="00A84755">
        <w:rPr>
          <w:color w:val="auto"/>
        </w:rPr>
        <w:t xml:space="preserve">o cualquiera que la sustituya o actualice, así como demás disposiciones en materia de seguridad </w:t>
      </w:r>
      <w:r w:rsidR="00794571">
        <w:rPr>
          <w:color w:val="auto"/>
        </w:rPr>
        <w:t>humana que resulten aplicables.</w:t>
      </w:r>
    </w:p>
    <w:p w14:paraId="19705E58" w14:textId="64F76E6E" w:rsidR="0070470E" w:rsidRDefault="000B7362" w:rsidP="000B7362">
      <w:pPr>
        <w:pStyle w:val="Ttulo2"/>
      </w:pPr>
      <w:r w:rsidRPr="00A84755">
        <w:lastRenderedPageBreak/>
        <w:t xml:space="preserve">Sección </w:t>
      </w:r>
      <w:r w:rsidR="0070470E">
        <w:t>II</w:t>
      </w:r>
    </w:p>
    <w:p w14:paraId="1FE85110" w14:textId="2BF5404A" w:rsidR="000B7362" w:rsidRPr="00A84755" w:rsidRDefault="000B7362" w:rsidP="000B7362">
      <w:pPr>
        <w:pStyle w:val="Ttulo2"/>
      </w:pPr>
      <w:r w:rsidRPr="00A84755">
        <w:t>De los términos y condiciones para el Despliegue de Infraestructura</w:t>
      </w:r>
    </w:p>
    <w:p w14:paraId="2E7A986C" w14:textId="7AB01C0A" w:rsidR="000B7362" w:rsidRPr="00A84755" w:rsidRDefault="005E36BB" w:rsidP="000B7362">
      <w:pPr>
        <w:pStyle w:val="IFTnormal"/>
        <w:rPr>
          <w:color w:val="auto"/>
        </w:rPr>
      </w:pPr>
      <w:r w:rsidRPr="00A84755">
        <w:rPr>
          <w:b/>
          <w:color w:val="auto"/>
        </w:rPr>
        <w:t>Artículo 2</w:t>
      </w:r>
      <w:r w:rsidR="00815CEE">
        <w:rPr>
          <w:b/>
          <w:color w:val="auto"/>
        </w:rPr>
        <w:t>5</w:t>
      </w:r>
      <w:r w:rsidR="000B7362" w:rsidRPr="00A84755">
        <w:rPr>
          <w:b/>
          <w:color w:val="auto"/>
        </w:rPr>
        <w:t>.</w:t>
      </w:r>
      <w:r w:rsidR="000B7362" w:rsidRPr="00A84755">
        <w:rPr>
          <w:color w:val="auto"/>
        </w:rPr>
        <w:t xml:space="preserve"> </w:t>
      </w:r>
      <w:r w:rsidR="000B7362" w:rsidRPr="00A84755">
        <w:rPr>
          <w:b/>
          <w:color w:val="auto"/>
        </w:rPr>
        <w:t>Escenarios de Despliegue de Infraestructura.</w:t>
      </w:r>
      <w:r w:rsidR="000B7362" w:rsidRPr="00A84755">
        <w:rPr>
          <w:color w:val="auto"/>
        </w:rPr>
        <w:t xml:space="preserve"> El Despliegue de Infraestructura comprende al menos los siguientes escenarios:</w:t>
      </w:r>
    </w:p>
    <w:p w14:paraId="30363742" w14:textId="77777777" w:rsidR="000B7362" w:rsidRPr="00A84755" w:rsidRDefault="000B7362" w:rsidP="000B7362">
      <w:pPr>
        <w:pStyle w:val="IFTnormal"/>
        <w:numPr>
          <w:ilvl w:val="0"/>
          <w:numId w:val="11"/>
        </w:numPr>
        <w:rPr>
          <w:color w:val="auto"/>
        </w:rPr>
      </w:pPr>
      <w:r w:rsidRPr="00A84755">
        <w:rPr>
          <w:color w:val="auto"/>
        </w:rPr>
        <w:t>Establecimiento de Obra Civil y colocación de Infraestructura Pasiva y Activa;</w:t>
      </w:r>
    </w:p>
    <w:p w14:paraId="2AF2B884" w14:textId="77777777" w:rsidR="000B7362" w:rsidRPr="00A84755" w:rsidRDefault="000B7362" w:rsidP="000B7362">
      <w:pPr>
        <w:pStyle w:val="IFTnormal"/>
        <w:numPr>
          <w:ilvl w:val="0"/>
          <w:numId w:val="11"/>
        </w:numPr>
        <w:rPr>
          <w:color w:val="auto"/>
        </w:rPr>
      </w:pPr>
      <w:r w:rsidRPr="00A84755">
        <w:rPr>
          <w:color w:val="auto"/>
        </w:rPr>
        <w:t>Establecimiento de Obra Civil y colocación de Infraestructura Pasiva;</w:t>
      </w:r>
    </w:p>
    <w:p w14:paraId="3C9D7C1E" w14:textId="77777777" w:rsidR="000B7362" w:rsidRPr="00A84755" w:rsidRDefault="000B7362" w:rsidP="000B7362">
      <w:pPr>
        <w:pStyle w:val="IFTnormal"/>
        <w:numPr>
          <w:ilvl w:val="0"/>
          <w:numId w:val="11"/>
        </w:numPr>
        <w:rPr>
          <w:color w:val="auto"/>
        </w:rPr>
      </w:pPr>
      <w:r w:rsidRPr="00A84755">
        <w:rPr>
          <w:color w:val="auto"/>
        </w:rPr>
        <w:t>Establecimiento de Obra Civil;</w:t>
      </w:r>
    </w:p>
    <w:p w14:paraId="00AF4E6A" w14:textId="77777777" w:rsidR="000B7362" w:rsidRPr="00A84755" w:rsidRDefault="000B7362" w:rsidP="000B7362">
      <w:pPr>
        <w:pStyle w:val="IFTnormal"/>
        <w:numPr>
          <w:ilvl w:val="0"/>
          <w:numId w:val="11"/>
        </w:numPr>
        <w:rPr>
          <w:color w:val="auto"/>
        </w:rPr>
      </w:pPr>
      <w:r w:rsidRPr="00A84755">
        <w:rPr>
          <w:color w:val="auto"/>
        </w:rPr>
        <w:t>Colocación de Infraestructura Pasiva, y</w:t>
      </w:r>
    </w:p>
    <w:p w14:paraId="605FDEDF" w14:textId="77777777" w:rsidR="000B7362" w:rsidRPr="00A84755" w:rsidRDefault="000B7362" w:rsidP="000B7362">
      <w:pPr>
        <w:pStyle w:val="IFTnormal"/>
        <w:numPr>
          <w:ilvl w:val="0"/>
          <w:numId w:val="11"/>
        </w:numPr>
        <w:rPr>
          <w:color w:val="auto"/>
        </w:rPr>
      </w:pPr>
      <w:r w:rsidRPr="00A84755">
        <w:rPr>
          <w:color w:val="auto"/>
        </w:rPr>
        <w:t>Colocación de Infraestructura Activa.</w:t>
      </w:r>
    </w:p>
    <w:p w14:paraId="58F5EADA" w14:textId="05BF2E88" w:rsidR="000B7362" w:rsidRPr="00A84755" w:rsidRDefault="005E36BB" w:rsidP="000B7362">
      <w:pPr>
        <w:pStyle w:val="IFTnormal"/>
        <w:rPr>
          <w:lang w:val="es-419"/>
        </w:rPr>
      </w:pPr>
      <w:r w:rsidRPr="00A84755">
        <w:rPr>
          <w:b/>
          <w:color w:val="auto"/>
        </w:rPr>
        <w:t>Artículo 2</w:t>
      </w:r>
      <w:r w:rsidR="00815CEE">
        <w:rPr>
          <w:b/>
          <w:color w:val="auto"/>
        </w:rPr>
        <w:t>6</w:t>
      </w:r>
      <w:r w:rsidR="000B7362" w:rsidRPr="00A84755">
        <w:rPr>
          <w:b/>
          <w:color w:val="auto"/>
        </w:rPr>
        <w:t xml:space="preserve">. </w:t>
      </w:r>
      <w:r w:rsidR="00BA1A99" w:rsidRPr="00A84755">
        <w:rPr>
          <w:b/>
          <w:color w:val="auto"/>
        </w:rPr>
        <w:t>D</w:t>
      </w:r>
      <w:r w:rsidR="000B7362" w:rsidRPr="00A84755">
        <w:rPr>
          <w:b/>
          <w:color w:val="auto"/>
        </w:rPr>
        <w:t xml:space="preserve">isposiciones para el Despliegue de Infraestructura. </w:t>
      </w:r>
      <w:r w:rsidR="000B7362" w:rsidRPr="00A84755">
        <w:rPr>
          <w:lang w:val="es-419"/>
        </w:rPr>
        <w:t>La infraestructura se desplegará</w:t>
      </w:r>
      <w:r w:rsidR="000B7362" w:rsidRPr="00A84755">
        <w:t xml:space="preserve"> con sujeción </w:t>
      </w:r>
      <w:r w:rsidR="0049348B">
        <w:t xml:space="preserve">a </w:t>
      </w:r>
      <w:r w:rsidR="000B7362" w:rsidRPr="00A84755">
        <w:rPr>
          <w:lang w:val="es-419"/>
        </w:rPr>
        <w:t>los presentes Lineamientos, disposiciones</w:t>
      </w:r>
      <w:r w:rsidR="000B7362" w:rsidRPr="00A84755">
        <w:t xml:space="preserve"> técnicas que fije el Instituto, tratados internacionales, normas oficiales mexicanas </w:t>
      </w:r>
      <w:r w:rsidR="00EF195A" w:rsidRPr="00A84755">
        <w:t>y</w:t>
      </w:r>
      <w:r w:rsidR="000B7362" w:rsidRPr="00A84755">
        <w:t xml:space="preserve"> demás disposiciones aplicables</w:t>
      </w:r>
      <w:r w:rsidR="000B7362" w:rsidRPr="00A84755">
        <w:rPr>
          <w:lang w:val="es-419"/>
        </w:rPr>
        <w:t>.</w:t>
      </w:r>
    </w:p>
    <w:p w14:paraId="6D3F8A54" w14:textId="5AEE689D" w:rsidR="00BF2B8D" w:rsidRPr="00A84755" w:rsidRDefault="005E36BB" w:rsidP="00BF2B8D">
      <w:pPr>
        <w:pStyle w:val="IFTnormal"/>
        <w:rPr>
          <w:color w:val="auto"/>
          <w:lang w:val="es-MX"/>
        </w:rPr>
      </w:pPr>
      <w:r w:rsidRPr="00A84755">
        <w:rPr>
          <w:b/>
          <w:color w:val="auto"/>
          <w:lang w:val="es-MX"/>
        </w:rPr>
        <w:t xml:space="preserve">Artículo </w:t>
      </w:r>
      <w:r w:rsidR="00815CEE">
        <w:rPr>
          <w:b/>
          <w:color w:val="auto"/>
          <w:lang w:val="es-MX"/>
        </w:rPr>
        <w:t>27</w:t>
      </w:r>
      <w:r w:rsidR="00BF2B8D" w:rsidRPr="00A84755">
        <w:rPr>
          <w:b/>
          <w:color w:val="auto"/>
          <w:lang w:val="es-MX"/>
        </w:rPr>
        <w:t xml:space="preserve">. </w:t>
      </w:r>
      <w:r w:rsidR="00BF2B8D" w:rsidRPr="00A84755">
        <w:rPr>
          <w:b/>
          <w:color w:val="auto"/>
          <w:lang w:val="es-419"/>
        </w:rPr>
        <w:t>Despliegue y acceso a infraestructura de telecomunicaciones en inmuebles</w:t>
      </w:r>
      <w:r w:rsidR="00BF2B8D" w:rsidRPr="00A84755">
        <w:rPr>
          <w:b/>
          <w:color w:val="auto"/>
          <w:lang w:val="es-MX"/>
        </w:rPr>
        <w:t>.</w:t>
      </w:r>
      <w:r w:rsidR="00BF2B8D" w:rsidRPr="00A84755">
        <w:rPr>
          <w:color w:val="auto"/>
          <w:lang w:val="es-MX"/>
        </w:rPr>
        <w:t xml:space="preserve"> Al realizar </w:t>
      </w:r>
      <w:r w:rsidR="00F9332F">
        <w:rPr>
          <w:color w:val="auto"/>
          <w:lang w:val="es-MX"/>
        </w:rPr>
        <w:t>el</w:t>
      </w:r>
      <w:r w:rsidR="00BF2B8D" w:rsidRPr="00A84755">
        <w:rPr>
          <w:color w:val="auto"/>
          <w:lang w:val="es-MX"/>
        </w:rPr>
        <w:t xml:space="preserve"> Despliegue de Infraestructura </w:t>
      </w:r>
      <w:r w:rsidR="00BF2B8D" w:rsidRPr="00A84755">
        <w:rPr>
          <w:color w:val="auto"/>
          <w:lang w:val="es-419"/>
        </w:rPr>
        <w:t xml:space="preserve">o prestar servicios de telecomunicaciones </w:t>
      </w:r>
      <w:r w:rsidR="00BF2B8D" w:rsidRPr="00A84755">
        <w:rPr>
          <w:color w:val="auto"/>
          <w:lang w:val="es-MX"/>
        </w:rPr>
        <w:t>en edificios, centros comerciales, fraccionamientos, hoteles o cualquier otro inmueble, los concesionarios</w:t>
      </w:r>
      <w:r w:rsidR="001A586A">
        <w:rPr>
          <w:color w:val="auto"/>
          <w:lang w:val="es-MX"/>
        </w:rPr>
        <w:t xml:space="preserve"> o</w:t>
      </w:r>
      <w:r w:rsidR="004A7EC3">
        <w:rPr>
          <w:color w:val="auto"/>
          <w:lang w:val="es-MX"/>
        </w:rPr>
        <w:t xml:space="preserve"> autorizados</w:t>
      </w:r>
      <w:r w:rsidR="00BF2B8D" w:rsidRPr="00A84755">
        <w:rPr>
          <w:color w:val="auto"/>
          <w:lang w:val="es-MX"/>
        </w:rPr>
        <w:t xml:space="preserve"> deberán abstenerse de establecer barreras contractuales, técnicas o de cualquier otra naturaleza que impidan que otros concesionarios</w:t>
      </w:r>
      <w:r w:rsidR="001A586A">
        <w:rPr>
          <w:color w:val="auto"/>
          <w:lang w:val="es-MX"/>
        </w:rPr>
        <w:t xml:space="preserve"> </w:t>
      </w:r>
      <w:r w:rsidR="00F717EE">
        <w:rPr>
          <w:color w:val="auto"/>
          <w:lang w:val="es-MX"/>
        </w:rPr>
        <w:t>o autorizados</w:t>
      </w:r>
      <w:r w:rsidR="00BF2B8D" w:rsidRPr="00A84755">
        <w:rPr>
          <w:color w:val="auto"/>
          <w:lang w:val="es-MX"/>
        </w:rPr>
        <w:t xml:space="preserve"> instalen o accedan a</w:t>
      </w:r>
      <w:r w:rsidR="00BF2B8D" w:rsidRPr="00A84755">
        <w:rPr>
          <w:color w:val="auto"/>
          <w:lang w:val="es-419"/>
        </w:rPr>
        <w:t xml:space="preserve"> la</w:t>
      </w:r>
      <w:r w:rsidR="00BF2B8D" w:rsidRPr="00A84755">
        <w:rPr>
          <w:color w:val="auto"/>
          <w:lang w:val="es-MX"/>
        </w:rPr>
        <w:t xml:space="preserve"> infraestructura de telecomunicaciones</w:t>
      </w:r>
      <w:r w:rsidR="00DA5483" w:rsidRPr="00A84755">
        <w:rPr>
          <w:color w:val="auto"/>
          <w:lang w:val="es-419"/>
        </w:rPr>
        <w:t xml:space="preserve"> en</w:t>
      </w:r>
      <w:r w:rsidR="00BF2B8D" w:rsidRPr="00A84755">
        <w:rPr>
          <w:color w:val="auto"/>
          <w:lang w:val="es-419"/>
        </w:rPr>
        <w:t xml:space="preserve"> estos inmuebles o </w:t>
      </w:r>
      <w:r w:rsidR="00F9332F">
        <w:rPr>
          <w:color w:val="auto"/>
          <w:lang w:val="es-419"/>
        </w:rPr>
        <w:t xml:space="preserve">que </w:t>
      </w:r>
      <w:r w:rsidR="00BF2B8D" w:rsidRPr="00A84755">
        <w:rPr>
          <w:color w:val="auto"/>
          <w:lang w:val="es-419"/>
        </w:rPr>
        <w:t>limiten la libertad de los usuarios de servicios de telecomunicaciones de elegir a su proveedor de servicios</w:t>
      </w:r>
      <w:r w:rsidR="00794571">
        <w:rPr>
          <w:color w:val="auto"/>
          <w:lang w:val="es-MX"/>
        </w:rPr>
        <w:t>.</w:t>
      </w:r>
    </w:p>
    <w:p w14:paraId="1A033509" w14:textId="2F0770D3" w:rsidR="00F66FC9" w:rsidRPr="00A84755" w:rsidRDefault="00BF2B8D" w:rsidP="00F66FC9">
      <w:pPr>
        <w:pStyle w:val="IFTnormal"/>
        <w:rPr>
          <w:color w:val="auto"/>
          <w:lang w:val="es-MX"/>
        </w:rPr>
      </w:pPr>
      <w:r w:rsidRPr="00A84755">
        <w:rPr>
          <w:color w:val="auto"/>
          <w:lang w:val="es-MX"/>
        </w:rPr>
        <w:t>Para efectos de lo dispuesto en el párrafo anterior</w:t>
      </w:r>
      <w:r w:rsidR="002E294A">
        <w:rPr>
          <w:color w:val="auto"/>
          <w:lang w:val="es-MX"/>
        </w:rPr>
        <w:t xml:space="preserve"> respecto a las barreras </w:t>
      </w:r>
      <w:r w:rsidR="002F43DF">
        <w:rPr>
          <w:color w:val="auto"/>
          <w:lang w:val="es-MX"/>
        </w:rPr>
        <w:t>contractuales</w:t>
      </w:r>
      <w:r w:rsidRPr="00A84755">
        <w:rPr>
          <w:color w:val="auto"/>
          <w:lang w:val="es-MX"/>
        </w:rPr>
        <w:t>, los concesionarios</w:t>
      </w:r>
      <w:r w:rsidR="001A586A">
        <w:rPr>
          <w:color w:val="auto"/>
          <w:lang w:val="es-MX"/>
        </w:rPr>
        <w:t xml:space="preserve"> o</w:t>
      </w:r>
      <w:r w:rsidR="00F717EE">
        <w:rPr>
          <w:color w:val="auto"/>
          <w:lang w:val="es-MX"/>
        </w:rPr>
        <w:t xml:space="preserve"> autorizados</w:t>
      </w:r>
      <w:r w:rsidRPr="00A84755">
        <w:rPr>
          <w:color w:val="auto"/>
          <w:lang w:val="es-MX"/>
        </w:rPr>
        <w:t xml:space="preserve"> deberán abstenerse en los contratos respectivos que llega</w:t>
      </w:r>
      <w:r w:rsidR="0049348B">
        <w:rPr>
          <w:color w:val="auto"/>
          <w:lang w:val="es-MX"/>
        </w:rPr>
        <w:t>s</w:t>
      </w:r>
      <w:r w:rsidR="00F9332F">
        <w:rPr>
          <w:color w:val="auto"/>
          <w:lang w:val="es-MX"/>
        </w:rPr>
        <w:t>e</w:t>
      </w:r>
      <w:r w:rsidRPr="00A84755">
        <w:rPr>
          <w:color w:val="auto"/>
          <w:lang w:val="es-MX"/>
        </w:rPr>
        <w:t>n a celebrar</w:t>
      </w:r>
      <w:r w:rsidR="0049348B">
        <w:rPr>
          <w:color w:val="auto"/>
          <w:lang w:val="es-MX"/>
        </w:rPr>
        <w:t xml:space="preserve"> de</w:t>
      </w:r>
      <w:r w:rsidRPr="00A84755">
        <w:rPr>
          <w:color w:val="auto"/>
          <w:lang w:val="es-MX"/>
        </w:rPr>
        <w:t xml:space="preserve"> estipular cláusulas que establezcan derechos de exclusividad</w:t>
      </w:r>
      <w:r w:rsidRPr="00A84755" w:rsidDel="00AF39C9">
        <w:rPr>
          <w:color w:val="auto"/>
          <w:lang w:val="es-MX"/>
        </w:rPr>
        <w:t xml:space="preserve"> </w:t>
      </w:r>
      <w:r w:rsidR="002F43DF">
        <w:rPr>
          <w:color w:val="auto"/>
          <w:lang w:val="es-MX"/>
        </w:rPr>
        <w:t xml:space="preserve">o cualquier otra barrera </w:t>
      </w:r>
      <w:r w:rsidRPr="00A84755">
        <w:rPr>
          <w:color w:val="auto"/>
          <w:lang w:val="es-MX"/>
        </w:rPr>
        <w:t>para instalar y/o acceder a infraestructura desplegada en inmuebles, por medio de la cual se brindan servicios de telecomunicacione</w:t>
      </w:r>
      <w:r w:rsidR="00794571">
        <w:rPr>
          <w:color w:val="auto"/>
          <w:lang w:val="es-MX"/>
        </w:rPr>
        <w:t>s a los usuarios de los mismos.</w:t>
      </w:r>
    </w:p>
    <w:p w14:paraId="13ABA512" w14:textId="77777777" w:rsidR="00F9332F" w:rsidRDefault="00F9332F" w:rsidP="00F9332F">
      <w:pPr>
        <w:pStyle w:val="IFTnormal"/>
        <w:rPr>
          <w:color w:val="auto"/>
          <w:highlight w:val="yellow"/>
          <w:lang w:val="es-MX"/>
        </w:rPr>
      </w:pPr>
      <w:r w:rsidRPr="000476D6">
        <w:rPr>
          <w:color w:val="auto"/>
          <w:lang w:val="es-MX"/>
        </w:rPr>
        <w:t xml:space="preserve">Adicionalmente, dado que las telecomunicaciones son servicios públicos de interés general que deben ser prestados en condiciones de competencia y se debe garantizar el derecho de los usuarios </w:t>
      </w:r>
      <w:r w:rsidRPr="00667433">
        <w:rPr>
          <w:color w:val="auto"/>
          <w:lang w:val="es-MX"/>
        </w:rPr>
        <w:t>a elegir libremente a su proveedor de servicios</w:t>
      </w:r>
      <w:r w:rsidRPr="007B14E6">
        <w:rPr>
          <w:color w:val="auto"/>
          <w:lang w:val="es-MX"/>
        </w:rPr>
        <w:t xml:space="preserve">, toda persona física o moral, con o sin fines de lucro, dependencias y entidades gubernamentales o cualquier otra forma de participación en la actividad </w:t>
      </w:r>
      <w:r w:rsidRPr="007B14E6">
        <w:rPr>
          <w:color w:val="auto"/>
          <w:lang w:val="es-MX"/>
        </w:rPr>
        <w:lastRenderedPageBreak/>
        <w:t xml:space="preserve">económica, deberán abstenerse de realizar cualquier hecho o acto que tenga por objeto o efecto impedir el despliegue, acceso y uso compartido de la infraestructura en inmuebles, </w:t>
      </w:r>
      <w:r w:rsidRPr="00667433">
        <w:rPr>
          <w:color w:val="auto"/>
          <w:lang w:val="es-MX"/>
        </w:rPr>
        <w:t>con la finalidad de que en los proyectos para la instalación de dicha infraestructura, ésta sea suficiente para que pueda convivir con más de una red de telecomunicaciones</w:t>
      </w:r>
      <w:r>
        <w:rPr>
          <w:color w:val="auto"/>
          <w:lang w:val="es-MX"/>
        </w:rPr>
        <w:t>. Lo anterior, sin perjuicio del ejercicio de las atribuciones del Instituto en materia de competencia económica.</w:t>
      </w:r>
    </w:p>
    <w:p w14:paraId="63786F70" w14:textId="4B702AAE" w:rsidR="00840987" w:rsidRPr="00A84755" w:rsidRDefault="000B7362" w:rsidP="00840987">
      <w:pPr>
        <w:pStyle w:val="IFTnormal"/>
        <w:rPr>
          <w:color w:val="auto"/>
          <w:lang w:val="es-419"/>
        </w:rPr>
      </w:pPr>
      <w:r w:rsidRPr="00A84755">
        <w:rPr>
          <w:b/>
          <w:color w:val="auto"/>
        </w:rPr>
        <w:t xml:space="preserve">Artículo </w:t>
      </w:r>
      <w:r w:rsidR="00815CEE">
        <w:rPr>
          <w:b/>
          <w:color w:val="auto"/>
        </w:rPr>
        <w:t>28</w:t>
      </w:r>
      <w:r w:rsidRPr="00A84755">
        <w:rPr>
          <w:b/>
          <w:color w:val="auto"/>
        </w:rPr>
        <w:t>.</w:t>
      </w:r>
      <w:r w:rsidRPr="00A84755">
        <w:rPr>
          <w:color w:val="auto"/>
        </w:rPr>
        <w:t xml:space="preserve"> </w:t>
      </w:r>
      <w:r w:rsidR="008055D4" w:rsidRPr="00A84755">
        <w:rPr>
          <w:b/>
          <w:color w:val="auto"/>
        </w:rPr>
        <w:t>Publicación</w:t>
      </w:r>
      <w:r w:rsidRPr="00A84755">
        <w:rPr>
          <w:b/>
          <w:color w:val="auto"/>
        </w:rPr>
        <w:t xml:space="preserve"> de </w:t>
      </w:r>
      <w:r w:rsidR="000D357A" w:rsidRPr="00A84755">
        <w:rPr>
          <w:b/>
          <w:color w:val="auto"/>
        </w:rPr>
        <w:t>Obras Civiles</w:t>
      </w:r>
      <w:r w:rsidRPr="00A84755">
        <w:rPr>
          <w:b/>
          <w:color w:val="auto"/>
        </w:rPr>
        <w:t xml:space="preserve">. </w:t>
      </w:r>
      <w:r w:rsidR="000D357A" w:rsidRPr="00A84755">
        <w:rPr>
          <w:color w:val="auto"/>
        </w:rPr>
        <w:t xml:space="preserve">Con el objetivo de </w:t>
      </w:r>
      <w:r w:rsidR="00002F30" w:rsidRPr="00A84755">
        <w:rPr>
          <w:color w:val="auto"/>
        </w:rPr>
        <w:t xml:space="preserve">fomentar </w:t>
      </w:r>
      <w:r w:rsidR="000D357A" w:rsidRPr="00A84755">
        <w:rPr>
          <w:color w:val="auto"/>
        </w:rPr>
        <w:t>Obras Civiles conjuntas, l</w:t>
      </w:r>
      <w:r w:rsidRPr="00A84755">
        <w:rPr>
          <w:color w:val="auto"/>
        </w:rPr>
        <w:t xml:space="preserve">os concesionarios </w:t>
      </w:r>
      <w:r w:rsidR="001A586A">
        <w:rPr>
          <w:color w:val="auto"/>
        </w:rPr>
        <w:t>o</w:t>
      </w:r>
      <w:r w:rsidR="00F717EE">
        <w:rPr>
          <w:color w:val="auto"/>
        </w:rPr>
        <w:t xml:space="preserve"> autorizados </w:t>
      </w:r>
      <w:r w:rsidRPr="00A84755">
        <w:rPr>
          <w:color w:val="auto"/>
        </w:rPr>
        <w:t xml:space="preserve">que </w:t>
      </w:r>
      <w:r w:rsidR="000D357A" w:rsidRPr="00A84755">
        <w:rPr>
          <w:color w:val="auto"/>
        </w:rPr>
        <w:t>realicen Despliegue de Infraestructura</w:t>
      </w:r>
      <w:r w:rsidRPr="00A84755">
        <w:rPr>
          <w:color w:val="auto"/>
          <w:lang w:val="es-419"/>
        </w:rPr>
        <w:t xml:space="preserve"> que implique el desarrollo de Obra Civil</w:t>
      </w:r>
      <w:r w:rsidRPr="00A84755">
        <w:rPr>
          <w:color w:val="auto"/>
        </w:rPr>
        <w:t xml:space="preserve"> </w:t>
      </w:r>
      <w:r w:rsidR="00840987" w:rsidRPr="00A84755">
        <w:rPr>
          <w:color w:val="auto"/>
        </w:rPr>
        <w:t>podrán hacer uso del Módulo</w:t>
      </w:r>
      <w:r w:rsidR="00002F30" w:rsidRPr="00A84755">
        <w:rPr>
          <w:color w:val="auto"/>
        </w:rPr>
        <w:t xml:space="preserve"> de Obras Civiles d</w:t>
      </w:r>
      <w:r w:rsidR="00840987" w:rsidRPr="00A84755">
        <w:rPr>
          <w:color w:val="auto"/>
        </w:rPr>
        <w:t>el SNII para publicar</w:t>
      </w:r>
      <w:r w:rsidR="00CE6737" w:rsidRPr="00A84755">
        <w:rPr>
          <w:color w:val="auto"/>
        </w:rPr>
        <w:t>,</w:t>
      </w:r>
      <w:r w:rsidR="00840987" w:rsidRPr="00A84755">
        <w:rPr>
          <w:color w:val="auto"/>
        </w:rPr>
        <w:t xml:space="preserve"> </w:t>
      </w:r>
      <w:r w:rsidR="005243F8" w:rsidRPr="00A84755">
        <w:rPr>
          <w:color w:val="auto"/>
          <w:lang w:val="es-419"/>
        </w:rPr>
        <w:t>con al menos diez días hábiles</w:t>
      </w:r>
      <w:r w:rsidRPr="00A84755">
        <w:rPr>
          <w:color w:val="auto"/>
          <w:lang w:val="es-419"/>
        </w:rPr>
        <w:t xml:space="preserve"> </w:t>
      </w:r>
      <w:r w:rsidR="005243F8" w:rsidRPr="00A84755">
        <w:rPr>
          <w:color w:val="auto"/>
          <w:lang w:val="es-419"/>
        </w:rPr>
        <w:t xml:space="preserve">antes </w:t>
      </w:r>
      <w:r w:rsidRPr="00A84755">
        <w:rPr>
          <w:color w:val="auto"/>
          <w:lang w:val="es-419"/>
        </w:rPr>
        <w:t>de</w:t>
      </w:r>
      <w:r w:rsidRPr="00A84755">
        <w:rPr>
          <w:color w:val="auto"/>
        </w:rPr>
        <w:t xml:space="preserve"> la elaboración del </w:t>
      </w:r>
      <w:r w:rsidRPr="00A84755">
        <w:rPr>
          <w:color w:val="auto"/>
          <w:lang w:val="es-MX"/>
        </w:rPr>
        <w:t>plan de obras o proyecto</w:t>
      </w:r>
      <w:r w:rsidRPr="00A84755">
        <w:rPr>
          <w:color w:val="auto"/>
        </w:rPr>
        <w:t xml:space="preserve"> técnico </w:t>
      </w:r>
      <w:r w:rsidRPr="00A84755">
        <w:rPr>
          <w:color w:val="auto"/>
          <w:lang w:val="es-419"/>
        </w:rPr>
        <w:t xml:space="preserve">asociado a la </w:t>
      </w:r>
      <w:r w:rsidRPr="00A84755">
        <w:rPr>
          <w:color w:val="auto"/>
        </w:rPr>
        <w:t xml:space="preserve">ejecución de una Obra Civil, </w:t>
      </w:r>
      <w:r w:rsidR="00840987" w:rsidRPr="00A84755">
        <w:rPr>
          <w:color w:val="auto"/>
        </w:rPr>
        <w:t>la siguiente información</w:t>
      </w:r>
      <w:r w:rsidR="00840987" w:rsidRPr="00A84755">
        <w:rPr>
          <w:color w:val="auto"/>
          <w:lang w:val="es-419"/>
        </w:rPr>
        <w:t>:</w:t>
      </w:r>
    </w:p>
    <w:p w14:paraId="1E580411" w14:textId="20DB0D07" w:rsidR="00CE6737" w:rsidRPr="00A84755" w:rsidRDefault="00CE6737" w:rsidP="00840987">
      <w:pPr>
        <w:pStyle w:val="Prrafodelista"/>
        <w:numPr>
          <w:ilvl w:val="0"/>
          <w:numId w:val="14"/>
        </w:numPr>
        <w:spacing w:after="160" w:line="259" w:lineRule="auto"/>
        <w:outlineLvl w:val="9"/>
      </w:pPr>
      <w:r w:rsidRPr="00A84755">
        <w:rPr>
          <w:rFonts w:cs="Arial"/>
        </w:rPr>
        <w:t>Ubicación</w:t>
      </w:r>
      <w:r w:rsidR="00802A95">
        <w:rPr>
          <w:rFonts w:cs="Arial"/>
        </w:rPr>
        <w:t xml:space="preserve"> </w:t>
      </w:r>
      <w:r w:rsidRPr="00A84755">
        <w:rPr>
          <w:rFonts w:cs="Arial"/>
        </w:rPr>
        <w:t>georreferencia</w:t>
      </w:r>
      <w:r w:rsidR="0049348B">
        <w:rPr>
          <w:rFonts w:cs="Arial"/>
        </w:rPr>
        <w:t>da</w:t>
      </w:r>
      <w:r w:rsidRPr="00A84755">
        <w:rPr>
          <w:rFonts w:cs="Arial"/>
        </w:rPr>
        <w:t xml:space="preserve"> del inmueble, predio y/o las rutas asociadas a los Derechos de Vía que se pretendan utiliz</w:t>
      </w:r>
      <w:r w:rsidR="00794571">
        <w:rPr>
          <w:rFonts w:cs="Arial"/>
        </w:rPr>
        <w:t>ar para realizar la Obra Civil;</w:t>
      </w:r>
    </w:p>
    <w:p w14:paraId="31A0B4A0" w14:textId="77777777" w:rsidR="00CE6737" w:rsidRPr="00A84755" w:rsidRDefault="00CE6737" w:rsidP="00CE6737">
      <w:pPr>
        <w:pStyle w:val="Prrafodelista"/>
        <w:spacing w:after="160" w:line="259" w:lineRule="auto"/>
        <w:ind w:left="720"/>
        <w:outlineLvl w:val="9"/>
      </w:pPr>
    </w:p>
    <w:p w14:paraId="7D3E3DA8" w14:textId="77777777" w:rsidR="00CE6737" w:rsidRPr="00A84755" w:rsidRDefault="00CE6737" w:rsidP="00CE6737">
      <w:pPr>
        <w:pStyle w:val="Prrafodelista"/>
        <w:numPr>
          <w:ilvl w:val="0"/>
          <w:numId w:val="14"/>
        </w:numPr>
        <w:spacing w:after="160" w:line="259" w:lineRule="auto"/>
        <w:outlineLvl w:val="9"/>
      </w:pPr>
      <w:r w:rsidRPr="00A84755">
        <w:rPr>
          <w:rFonts w:cs="Arial"/>
        </w:rPr>
        <w:t xml:space="preserve">Descripción </w:t>
      </w:r>
      <w:r w:rsidR="00D84EBE" w:rsidRPr="00A84755">
        <w:rPr>
          <w:rFonts w:cs="Arial"/>
        </w:rPr>
        <w:t>d</w:t>
      </w:r>
      <w:r w:rsidRPr="00A84755">
        <w:rPr>
          <w:rFonts w:cs="Arial"/>
        </w:rPr>
        <w:t>el tipo de Obra Civil que se pretende desplegar</w:t>
      </w:r>
      <w:r w:rsidRPr="00A84755">
        <w:t>;</w:t>
      </w:r>
    </w:p>
    <w:p w14:paraId="57D04693" w14:textId="77777777" w:rsidR="00CE6737" w:rsidRPr="00A84755" w:rsidRDefault="00CE6737" w:rsidP="00CE6737">
      <w:pPr>
        <w:pStyle w:val="Prrafodelista"/>
        <w:spacing w:after="160" w:line="259" w:lineRule="auto"/>
        <w:ind w:left="720"/>
        <w:outlineLvl w:val="9"/>
      </w:pPr>
    </w:p>
    <w:p w14:paraId="6C3048A5" w14:textId="24B36E35" w:rsidR="004A0D2E" w:rsidRPr="00A84755" w:rsidRDefault="00CE6737" w:rsidP="004A0D2E">
      <w:pPr>
        <w:pStyle w:val="Prrafodelista"/>
        <w:numPr>
          <w:ilvl w:val="0"/>
          <w:numId w:val="14"/>
        </w:numPr>
        <w:spacing w:after="160" w:line="259" w:lineRule="auto"/>
        <w:outlineLvl w:val="9"/>
      </w:pPr>
      <w:r w:rsidRPr="00A84755">
        <w:rPr>
          <w:rFonts w:cs="Arial"/>
        </w:rPr>
        <w:t xml:space="preserve">Fecha: </w:t>
      </w:r>
      <w:r w:rsidR="00E6126D">
        <w:rPr>
          <w:rFonts w:cs="Arial"/>
        </w:rPr>
        <w:t>periodo</w:t>
      </w:r>
      <w:r w:rsidR="0070470E">
        <w:rPr>
          <w:rFonts w:cs="Arial"/>
        </w:rPr>
        <w:t xml:space="preserve"> </w:t>
      </w:r>
      <w:r w:rsidRPr="00A84755">
        <w:rPr>
          <w:rFonts w:cs="Arial"/>
        </w:rPr>
        <w:t>en que está planeado realizarse el</w:t>
      </w:r>
      <w:r w:rsidR="00E6126D">
        <w:rPr>
          <w:rFonts w:cs="Arial"/>
        </w:rPr>
        <w:t xml:space="preserve"> inicio del</w:t>
      </w:r>
      <w:r w:rsidRPr="00A84755">
        <w:rPr>
          <w:rFonts w:cs="Arial"/>
        </w:rPr>
        <w:t xml:space="preserve"> Despliegue de Infraestructura</w:t>
      </w:r>
      <w:r w:rsidR="00477D6B" w:rsidRPr="00A84755">
        <w:t>;</w:t>
      </w:r>
    </w:p>
    <w:p w14:paraId="135FDA94" w14:textId="77777777" w:rsidR="004A0D2E" w:rsidRPr="00A84755" w:rsidRDefault="004A0D2E" w:rsidP="004A0D2E">
      <w:pPr>
        <w:pStyle w:val="Prrafodelista"/>
        <w:spacing w:after="160" w:line="259" w:lineRule="auto"/>
        <w:ind w:left="1134"/>
        <w:outlineLvl w:val="9"/>
      </w:pPr>
    </w:p>
    <w:p w14:paraId="5F512453" w14:textId="733AEA2D" w:rsidR="00477D6B" w:rsidRPr="00A84755" w:rsidRDefault="00CE6737" w:rsidP="004A0D2E">
      <w:pPr>
        <w:pStyle w:val="Prrafodelista"/>
        <w:numPr>
          <w:ilvl w:val="0"/>
          <w:numId w:val="14"/>
        </w:numPr>
        <w:spacing w:after="160" w:line="259" w:lineRule="auto"/>
        <w:outlineLvl w:val="9"/>
      </w:pPr>
      <w:r w:rsidRPr="00A84755">
        <w:rPr>
          <w:rFonts w:cs="Arial"/>
        </w:rPr>
        <w:t xml:space="preserve">Medio de contacto: </w:t>
      </w:r>
      <w:r w:rsidR="0070470E">
        <w:rPr>
          <w:rFonts w:cs="Arial"/>
        </w:rPr>
        <w:t xml:space="preserve">correo electrónico </w:t>
      </w:r>
      <w:r w:rsidR="0049348B">
        <w:rPr>
          <w:rFonts w:cs="Arial"/>
        </w:rPr>
        <w:t>y</w:t>
      </w:r>
      <w:r w:rsidR="0070470E">
        <w:rPr>
          <w:rFonts w:cs="Arial"/>
        </w:rPr>
        <w:t xml:space="preserve"> algún otro dato que permita la</w:t>
      </w:r>
      <w:r w:rsidRPr="00A84755">
        <w:rPr>
          <w:rFonts w:cs="Arial"/>
        </w:rPr>
        <w:t xml:space="preserve"> comunicación </w:t>
      </w:r>
      <w:r w:rsidR="0070470E">
        <w:rPr>
          <w:rFonts w:cs="Arial"/>
        </w:rPr>
        <w:t xml:space="preserve">con </w:t>
      </w:r>
      <w:r w:rsidRPr="00A84755">
        <w:rPr>
          <w:rFonts w:cs="Arial"/>
        </w:rPr>
        <w:t>los concesionarios</w:t>
      </w:r>
      <w:r w:rsidR="001A586A">
        <w:rPr>
          <w:rFonts w:cs="Arial"/>
        </w:rPr>
        <w:t xml:space="preserve"> </w:t>
      </w:r>
      <w:r w:rsidR="00F717EE">
        <w:rPr>
          <w:rFonts w:cs="Arial"/>
        </w:rPr>
        <w:t>o autorizados</w:t>
      </w:r>
      <w:r w:rsidRPr="00A84755">
        <w:rPr>
          <w:rFonts w:cs="Arial"/>
        </w:rPr>
        <w:t xml:space="preserve"> para coordinar la Obra Civil</w:t>
      </w:r>
      <w:r w:rsidR="00794571">
        <w:t>, y</w:t>
      </w:r>
    </w:p>
    <w:p w14:paraId="46EB65B5" w14:textId="77777777" w:rsidR="000F2AD9" w:rsidRPr="00A84755" w:rsidRDefault="000F2AD9" w:rsidP="000F2AD9">
      <w:pPr>
        <w:pStyle w:val="Prrafodelista"/>
        <w:spacing w:after="160" w:line="259" w:lineRule="auto"/>
        <w:ind w:left="720"/>
        <w:outlineLvl w:val="9"/>
      </w:pPr>
    </w:p>
    <w:p w14:paraId="4FA9BDA0" w14:textId="3EA432E7" w:rsidR="00477D6B" w:rsidRPr="00A84755" w:rsidRDefault="000103D2" w:rsidP="00834B7A">
      <w:pPr>
        <w:pStyle w:val="Prrafodelista"/>
        <w:numPr>
          <w:ilvl w:val="0"/>
          <w:numId w:val="14"/>
        </w:numPr>
        <w:spacing w:after="160" w:line="259" w:lineRule="auto"/>
        <w:outlineLvl w:val="9"/>
      </w:pPr>
      <w:r w:rsidRPr="00A84755">
        <w:t xml:space="preserve">Cualquier otra </w:t>
      </w:r>
      <w:r w:rsidR="00477D6B" w:rsidRPr="00A84755">
        <w:t xml:space="preserve">Información que los concesionarios </w:t>
      </w:r>
      <w:r w:rsidR="00F717EE">
        <w:t xml:space="preserve">o autorizados </w:t>
      </w:r>
      <w:r w:rsidR="00EA4B33" w:rsidRPr="00A84755">
        <w:t>consideren relevante para</w:t>
      </w:r>
      <w:r w:rsidR="00477D6B" w:rsidRPr="00A84755">
        <w:t xml:space="preserve"> los interesados en adherirse </w:t>
      </w:r>
      <w:r w:rsidR="00EA4B33" w:rsidRPr="00A84755">
        <w:t>a</w:t>
      </w:r>
      <w:r w:rsidR="00477D6B" w:rsidRPr="00A84755">
        <w:t xml:space="preserve"> Obra</w:t>
      </w:r>
      <w:r w:rsidR="00EA4B33" w:rsidRPr="00A84755">
        <w:t>s</w:t>
      </w:r>
      <w:r w:rsidR="00477D6B" w:rsidRPr="00A84755">
        <w:t xml:space="preserve"> Civil</w:t>
      </w:r>
      <w:r w:rsidR="00EA4B33" w:rsidRPr="00A84755">
        <w:t>es conjuntas</w:t>
      </w:r>
      <w:r w:rsidR="00710586">
        <w:t>.</w:t>
      </w:r>
    </w:p>
    <w:p w14:paraId="3DDC7A0B" w14:textId="34C81DDC" w:rsidR="006B781C" w:rsidRPr="00A84755" w:rsidRDefault="005E36BB" w:rsidP="006B781C">
      <w:pPr>
        <w:jc w:val="both"/>
        <w:rPr>
          <w:rFonts w:ascii="ITC Avant Garde" w:eastAsia="Calibri" w:hAnsi="ITC Avant Garde" w:cs="Arial"/>
          <w:lang w:val="es-419" w:eastAsia="es-ES"/>
        </w:rPr>
      </w:pPr>
      <w:r w:rsidRPr="00A84755">
        <w:rPr>
          <w:rFonts w:ascii="ITC Avant Garde" w:eastAsia="Calibri" w:hAnsi="ITC Avant Garde" w:cs="Arial"/>
          <w:b/>
          <w:lang w:val="es-ES_tradnl" w:eastAsia="es-ES"/>
        </w:rPr>
        <w:t xml:space="preserve">Artículo </w:t>
      </w:r>
      <w:r w:rsidR="00815CEE">
        <w:rPr>
          <w:rFonts w:ascii="ITC Avant Garde" w:eastAsia="Calibri" w:hAnsi="ITC Avant Garde" w:cs="Arial"/>
          <w:b/>
          <w:lang w:val="es-ES_tradnl" w:eastAsia="es-ES"/>
        </w:rPr>
        <w:t>29</w:t>
      </w:r>
      <w:r w:rsidR="006B781C" w:rsidRPr="00A84755">
        <w:rPr>
          <w:rFonts w:ascii="ITC Avant Garde" w:eastAsia="Calibri" w:hAnsi="ITC Avant Garde" w:cs="Arial"/>
          <w:b/>
          <w:lang w:val="es-ES_tradnl" w:eastAsia="es-ES"/>
        </w:rPr>
        <w:t xml:space="preserve">. Plazo de manifestación de interés. </w:t>
      </w:r>
      <w:r w:rsidR="00C33E54" w:rsidRPr="00A84755">
        <w:rPr>
          <w:rFonts w:ascii="ITC Avant Garde" w:eastAsia="Calibri" w:hAnsi="ITC Avant Garde" w:cs="Arial"/>
          <w:lang w:val="es-419" w:eastAsia="es-ES"/>
        </w:rPr>
        <w:t>L</w:t>
      </w:r>
      <w:r w:rsidR="006B781C" w:rsidRPr="00A84755">
        <w:rPr>
          <w:rFonts w:ascii="ITC Avant Garde" w:eastAsia="Calibri" w:hAnsi="ITC Avant Garde" w:cs="Arial"/>
          <w:lang w:val="es-419" w:eastAsia="es-ES"/>
        </w:rPr>
        <w:t>os concesionarios</w:t>
      </w:r>
      <w:r w:rsidR="00722D84">
        <w:rPr>
          <w:rFonts w:ascii="ITC Avant Garde" w:eastAsia="Calibri" w:hAnsi="ITC Avant Garde" w:cs="Arial"/>
          <w:lang w:val="es-419" w:eastAsia="es-ES"/>
        </w:rPr>
        <w:t xml:space="preserve"> </w:t>
      </w:r>
      <w:r w:rsidR="001A586A">
        <w:rPr>
          <w:rFonts w:ascii="ITC Avant Garde" w:eastAsia="Calibri" w:hAnsi="ITC Avant Garde" w:cs="Arial"/>
          <w:lang w:val="es-419" w:eastAsia="es-ES"/>
        </w:rPr>
        <w:t>o</w:t>
      </w:r>
      <w:r w:rsidR="00F717EE">
        <w:rPr>
          <w:rFonts w:ascii="ITC Avant Garde" w:eastAsia="Calibri" w:hAnsi="ITC Avant Garde" w:cs="Arial"/>
          <w:lang w:val="es-419" w:eastAsia="es-ES"/>
        </w:rPr>
        <w:t xml:space="preserve"> autorizados </w:t>
      </w:r>
      <w:r w:rsidR="00002F30" w:rsidRPr="00A84755">
        <w:rPr>
          <w:rFonts w:ascii="ITC Avant Garde" w:eastAsia="Calibri" w:hAnsi="ITC Avant Garde" w:cs="Arial"/>
          <w:lang w:val="es-419" w:eastAsia="es-ES"/>
        </w:rPr>
        <w:t xml:space="preserve">interesados en adherirse a los trabajos de Obra Civil </w:t>
      </w:r>
      <w:r w:rsidR="00E147C8" w:rsidRPr="00A84755">
        <w:rPr>
          <w:rFonts w:ascii="ITC Avant Garde" w:eastAsia="Calibri" w:hAnsi="ITC Avant Garde" w:cs="Arial"/>
          <w:lang w:val="es-419" w:eastAsia="es-ES"/>
        </w:rPr>
        <w:t>publicados en el Mó</w:t>
      </w:r>
      <w:r w:rsidR="006B781C" w:rsidRPr="00A84755">
        <w:rPr>
          <w:rFonts w:ascii="ITC Avant Garde" w:eastAsia="Calibri" w:hAnsi="ITC Avant Garde" w:cs="Arial"/>
          <w:lang w:val="es-419" w:eastAsia="es-ES"/>
        </w:rPr>
        <w:t>dulo de Obras Civiles</w:t>
      </w:r>
      <w:r w:rsidR="005243F8" w:rsidRPr="00A84755">
        <w:rPr>
          <w:rFonts w:ascii="ITC Avant Garde" w:eastAsia="Calibri" w:hAnsi="ITC Avant Garde" w:cs="Arial"/>
          <w:lang w:val="es-419" w:eastAsia="es-ES"/>
        </w:rPr>
        <w:t xml:space="preserve"> del SNII</w:t>
      </w:r>
      <w:r w:rsidR="00CF4884">
        <w:rPr>
          <w:rFonts w:ascii="ITC Avant Garde" w:eastAsia="Calibri" w:hAnsi="ITC Avant Garde" w:cs="Arial"/>
          <w:lang w:val="es-419" w:eastAsia="es-ES"/>
        </w:rPr>
        <w:t xml:space="preserve">, una vez que haya sido publicada </w:t>
      </w:r>
      <w:r w:rsidR="00030615">
        <w:rPr>
          <w:rFonts w:ascii="ITC Avant Garde" w:eastAsia="Calibri" w:hAnsi="ITC Avant Garde" w:cs="Arial"/>
          <w:lang w:val="es-419" w:eastAsia="es-ES"/>
        </w:rPr>
        <w:t>la información en éste</w:t>
      </w:r>
      <w:r w:rsidR="006B781C" w:rsidRPr="00CF4884">
        <w:rPr>
          <w:rFonts w:ascii="ITC Avant Garde" w:eastAsia="Calibri" w:hAnsi="ITC Avant Garde" w:cs="Arial"/>
          <w:lang w:val="es-419" w:eastAsia="es-ES"/>
        </w:rPr>
        <w:t>,</w:t>
      </w:r>
      <w:r w:rsidR="006B781C" w:rsidRPr="00A84755">
        <w:rPr>
          <w:rFonts w:ascii="ITC Avant Garde" w:eastAsia="Calibri" w:hAnsi="ITC Avant Garde" w:cs="Arial"/>
          <w:lang w:val="es-419" w:eastAsia="es-ES"/>
        </w:rPr>
        <w:t xml:space="preserve"> contarán con un plazo de </w:t>
      </w:r>
      <w:r w:rsidR="005243F8" w:rsidRPr="00A84755">
        <w:rPr>
          <w:rFonts w:ascii="ITC Avant Garde" w:eastAsia="Calibri" w:hAnsi="ITC Avant Garde" w:cs="Arial"/>
          <w:lang w:val="es-419" w:eastAsia="es-ES"/>
        </w:rPr>
        <w:t xml:space="preserve">diez </w:t>
      </w:r>
      <w:r w:rsidR="006B781C" w:rsidRPr="00A84755">
        <w:rPr>
          <w:rFonts w:ascii="ITC Avant Garde" w:eastAsia="Calibri" w:hAnsi="ITC Avant Garde" w:cs="Arial"/>
          <w:lang w:val="es-419" w:eastAsia="es-ES"/>
        </w:rPr>
        <w:t>días hábiles para manifestar, a través del medio de contacto indicado en la publicación</w:t>
      </w:r>
      <w:r w:rsidR="005243F8" w:rsidRPr="00A84755">
        <w:rPr>
          <w:rFonts w:ascii="ITC Avant Garde" w:eastAsia="Calibri" w:hAnsi="ITC Avant Garde" w:cs="Arial"/>
          <w:lang w:val="es-419" w:eastAsia="es-ES"/>
        </w:rPr>
        <w:t>, su</w:t>
      </w:r>
      <w:r w:rsidR="006B781C" w:rsidRPr="00A84755">
        <w:rPr>
          <w:rFonts w:ascii="ITC Avant Garde" w:eastAsia="Calibri" w:hAnsi="ITC Avant Garde" w:cs="Arial"/>
          <w:lang w:val="es-419" w:eastAsia="es-ES"/>
        </w:rPr>
        <w:t xml:space="preserve"> intención</w:t>
      </w:r>
      <w:r w:rsidR="005243F8" w:rsidRPr="00A84755">
        <w:rPr>
          <w:rFonts w:ascii="ITC Avant Garde" w:eastAsia="Calibri" w:hAnsi="ITC Avant Garde" w:cs="Arial"/>
          <w:lang w:val="es-419" w:eastAsia="es-ES"/>
        </w:rPr>
        <w:t xml:space="preserve"> de adherirse al proyecto</w:t>
      </w:r>
      <w:r w:rsidR="006B781C" w:rsidRPr="00A84755">
        <w:rPr>
          <w:rFonts w:ascii="ITC Avant Garde" w:eastAsia="Calibri" w:hAnsi="ITC Avant Garde" w:cs="Arial"/>
          <w:lang w:val="es-419" w:eastAsia="es-ES"/>
        </w:rPr>
        <w:t>.</w:t>
      </w:r>
    </w:p>
    <w:p w14:paraId="4E42C672" w14:textId="665C8877" w:rsidR="00BF2B8D" w:rsidRPr="00A84755" w:rsidRDefault="005E36BB" w:rsidP="005D27DD">
      <w:pPr>
        <w:pStyle w:val="IFTnormal"/>
        <w:rPr>
          <w:lang w:val="es-MX"/>
        </w:rPr>
      </w:pPr>
      <w:r w:rsidRPr="00A84755">
        <w:rPr>
          <w:b/>
        </w:rPr>
        <w:t>Artículo 3</w:t>
      </w:r>
      <w:r w:rsidR="00815CEE">
        <w:rPr>
          <w:b/>
        </w:rPr>
        <w:t>0</w:t>
      </w:r>
      <w:r w:rsidR="00C33E54" w:rsidRPr="00A84755">
        <w:rPr>
          <w:b/>
        </w:rPr>
        <w:t>. Ex</w:t>
      </w:r>
      <w:r w:rsidR="007106C9" w:rsidRPr="00A84755">
        <w:rPr>
          <w:b/>
        </w:rPr>
        <w:t>ención de</w:t>
      </w:r>
      <w:r w:rsidR="00C33E54" w:rsidRPr="00A84755">
        <w:rPr>
          <w:b/>
        </w:rPr>
        <w:t xml:space="preserve"> </w:t>
      </w:r>
      <w:r w:rsidR="007106C9" w:rsidRPr="00A84755">
        <w:rPr>
          <w:b/>
          <w:lang w:val="es-419"/>
        </w:rPr>
        <w:t>Acceso y Uso Compartido de Elementos de Infraestructura</w:t>
      </w:r>
      <w:r w:rsidR="00C33E54" w:rsidRPr="00A84755">
        <w:rPr>
          <w:b/>
        </w:rPr>
        <w:t>.</w:t>
      </w:r>
      <w:r w:rsidR="00C33E54" w:rsidRPr="00A84755">
        <w:rPr>
          <w:lang w:val="es-419"/>
        </w:rPr>
        <w:t xml:space="preserve"> </w:t>
      </w:r>
      <w:r w:rsidR="00D0636E">
        <w:rPr>
          <w:lang w:val="es-419"/>
        </w:rPr>
        <w:t>Aquella</w:t>
      </w:r>
      <w:r w:rsidR="00D0636E" w:rsidRPr="00A84755">
        <w:rPr>
          <w:lang w:val="es-419"/>
        </w:rPr>
        <w:t xml:space="preserve"> Obra Civil </w:t>
      </w:r>
      <w:r w:rsidR="00D0636E">
        <w:rPr>
          <w:lang w:val="es-419"/>
        </w:rPr>
        <w:t xml:space="preserve">desarrollada que en su momento fue </w:t>
      </w:r>
      <w:r w:rsidR="00D0636E" w:rsidRPr="00A84755">
        <w:rPr>
          <w:lang w:val="es-419"/>
        </w:rPr>
        <w:t>publicada en el Módulo de Obras Civiles del SNII</w:t>
      </w:r>
      <w:r w:rsidR="00D0636E">
        <w:rPr>
          <w:lang w:val="es-419"/>
        </w:rPr>
        <w:t xml:space="preserve"> y que sea Infraestructura Necesaria y sin </w:t>
      </w:r>
      <w:r w:rsidR="009B0F61">
        <w:rPr>
          <w:lang w:val="es-419"/>
        </w:rPr>
        <w:t>sustitutos,</w:t>
      </w:r>
      <w:r w:rsidR="00BD153D" w:rsidRPr="00A84755">
        <w:rPr>
          <w:lang w:val="es-419"/>
        </w:rPr>
        <w:t xml:space="preserve"> </w:t>
      </w:r>
      <w:r w:rsidR="004E3B58" w:rsidRPr="00A84755">
        <w:rPr>
          <w:lang w:val="es-419"/>
        </w:rPr>
        <w:t>contarán con exención de</w:t>
      </w:r>
      <w:r w:rsidR="00DA5483" w:rsidRPr="00A84755">
        <w:t xml:space="preserve"> </w:t>
      </w:r>
      <w:r w:rsidR="00DA5483" w:rsidRPr="00A84755">
        <w:rPr>
          <w:lang w:val="es-419"/>
        </w:rPr>
        <w:t>Acceso y Uso Compartido de Elementos de Infraestructura</w:t>
      </w:r>
      <w:r w:rsidR="004E3B58" w:rsidRPr="00A84755">
        <w:rPr>
          <w:lang w:val="es-419"/>
        </w:rPr>
        <w:t xml:space="preserve"> </w:t>
      </w:r>
      <w:r w:rsidR="00BD153D" w:rsidRPr="00A84755">
        <w:rPr>
          <w:lang w:val="es-419"/>
        </w:rPr>
        <w:t>po</w:t>
      </w:r>
      <w:r w:rsidR="004E3B58" w:rsidRPr="00A84755">
        <w:rPr>
          <w:lang w:val="es-419"/>
        </w:rPr>
        <w:t xml:space="preserve">r un periodo de </w:t>
      </w:r>
      <w:r w:rsidR="00D10D2D" w:rsidRPr="00A84755">
        <w:rPr>
          <w:lang w:val="es-419"/>
        </w:rPr>
        <w:t>tres</w:t>
      </w:r>
      <w:r w:rsidR="004E3B58" w:rsidRPr="00A84755">
        <w:rPr>
          <w:lang w:val="es-419"/>
        </w:rPr>
        <w:t xml:space="preserve"> años</w:t>
      </w:r>
      <w:r w:rsidR="00030615" w:rsidRPr="00A84755">
        <w:rPr>
          <w:lang w:val="es-419"/>
        </w:rPr>
        <w:t>.</w:t>
      </w:r>
      <w:r w:rsidR="00030615">
        <w:rPr>
          <w:lang w:val="es-419"/>
        </w:rPr>
        <w:t xml:space="preserve"> </w:t>
      </w:r>
      <w:r w:rsidR="00063852">
        <w:rPr>
          <w:lang w:val="es-419"/>
        </w:rPr>
        <w:t xml:space="preserve"> </w:t>
      </w:r>
      <w:r w:rsidR="004F225B" w:rsidRPr="00A84755">
        <w:rPr>
          <w:color w:val="auto"/>
        </w:rPr>
        <w:t>El i</w:t>
      </w:r>
      <w:r w:rsidR="00BD153D" w:rsidRPr="00A84755">
        <w:rPr>
          <w:color w:val="auto"/>
        </w:rPr>
        <w:t xml:space="preserve">nicio de </w:t>
      </w:r>
      <w:r w:rsidR="004F225B" w:rsidRPr="00A84755">
        <w:rPr>
          <w:color w:val="auto"/>
          <w:lang w:val="es-MX"/>
        </w:rPr>
        <w:t>exención</w:t>
      </w:r>
      <w:r w:rsidR="00BD153D" w:rsidRPr="00A84755">
        <w:rPr>
          <w:color w:val="auto"/>
          <w:lang w:val="es-MX"/>
        </w:rPr>
        <w:t xml:space="preserve"> </w:t>
      </w:r>
      <w:r w:rsidR="004F225B" w:rsidRPr="00A84755">
        <w:rPr>
          <w:color w:val="auto"/>
        </w:rPr>
        <w:t>se contabilizará a partir de</w:t>
      </w:r>
      <w:r w:rsidR="00BD153D" w:rsidRPr="00A84755">
        <w:rPr>
          <w:color w:val="auto"/>
        </w:rPr>
        <w:t xml:space="preserve"> l</w:t>
      </w:r>
      <w:r w:rsidR="007106C9" w:rsidRPr="00A84755">
        <w:rPr>
          <w:lang w:val="es-MX"/>
        </w:rPr>
        <w:t>a conclusión de la Obra Civil a</w:t>
      </w:r>
      <w:r w:rsidR="00BD153D" w:rsidRPr="00A84755">
        <w:rPr>
          <w:lang w:val="es-MX"/>
        </w:rPr>
        <w:t>sociada a actividades de Despliegue de Infraestructura</w:t>
      </w:r>
      <w:r w:rsidR="007106C9" w:rsidRPr="00A84755">
        <w:rPr>
          <w:lang w:val="es-MX"/>
        </w:rPr>
        <w:t xml:space="preserve">, por lo </w:t>
      </w:r>
      <w:r w:rsidR="007106C9" w:rsidRPr="00A84755">
        <w:rPr>
          <w:lang w:val="es-MX"/>
        </w:rPr>
        <w:lastRenderedPageBreak/>
        <w:t xml:space="preserve">cual, en caso de que no exista un documento probatorio de dicha conclusión no </w:t>
      </w:r>
      <w:r w:rsidR="00030615">
        <w:rPr>
          <w:lang w:val="es-MX"/>
        </w:rPr>
        <w:t xml:space="preserve">se </w:t>
      </w:r>
      <w:r w:rsidR="007106C9" w:rsidRPr="00A84755">
        <w:rPr>
          <w:lang w:val="es-MX"/>
        </w:rPr>
        <w:t>aplicará la exención</w:t>
      </w:r>
      <w:r w:rsidR="00794571">
        <w:rPr>
          <w:lang w:val="es-MX"/>
        </w:rPr>
        <w:t>.</w:t>
      </w:r>
    </w:p>
    <w:p w14:paraId="72C3E412" w14:textId="742C8174" w:rsidR="002016D3" w:rsidRPr="00A84755" w:rsidRDefault="002016D3" w:rsidP="002016D3">
      <w:pPr>
        <w:pStyle w:val="IFTnormal"/>
        <w:rPr>
          <w:lang w:val="es-419"/>
        </w:rPr>
      </w:pPr>
      <w:r w:rsidRPr="00A84755">
        <w:rPr>
          <w:lang w:val="es-419"/>
        </w:rPr>
        <w:t xml:space="preserve">El Instituto podrá </w:t>
      </w:r>
      <w:r w:rsidR="00215E2A">
        <w:rPr>
          <w:lang w:val="es-419"/>
        </w:rPr>
        <w:t xml:space="preserve">dejar sin efectos </w:t>
      </w:r>
      <w:r w:rsidRPr="00A84755">
        <w:rPr>
          <w:lang w:val="es-419"/>
        </w:rPr>
        <w:t xml:space="preserve">la exención de compartición cuando en el proceso de resolución de desacuerdo, el Solicitante de Acceso </w:t>
      </w:r>
      <w:r w:rsidR="00F008F5">
        <w:rPr>
          <w:lang w:val="es-419"/>
        </w:rPr>
        <w:t xml:space="preserve">y Uso Compartido </w:t>
      </w:r>
      <w:r w:rsidRPr="00A84755">
        <w:rPr>
          <w:lang w:val="es-419"/>
        </w:rPr>
        <w:t xml:space="preserve">acredite indicios de </w:t>
      </w:r>
      <w:r w:rsidR="00F14FB3">
        <w:rPr>
          <w:lang w:val="es-419"/>
        </w:rPr>
        <w:t xml:space="preserve">la intención de imponer </w:t>
      </w:r>
      <w:r w:rsidRPr="00A84755">
        <w:rPr>
          <w:lang w:val="es-419"/>
        </w:rPr>
        <w:t>condiciones desventajosas por parte del Titular de Infraestructura</w:t>
      </w:r>
      <w:r w:rsidR="00FD1452" w:rsidRPr="00A84755">
        <w:rPr>
          <w:lang w:val="es-419"/>
        </w:rPr>
        <w:t xml:space="preserve"> en la coordinación de Obra Civil</w:t>
      </w:r>
      <w:r w:rsidRPr="00A84755">
        <w:rPr>
          <w:lang w:val="es-419"/>
        </w:rPr>
        <w:t>.</w:t>
      </w:r>
    </w:p>
    <w:p w14:paraId="1B6716C3" w14:textId="4A70D128" w:rsidR="00AD6F7D" w:rsidRDefault="00AD6F7D" w:rsidP="005D27DD">
      <w:pPr>
        <w:pStyle w:val="IFTnormal"/>
        <w:rPr>
          <w:lang w:val="es-419"/>
        </w:rPr>
      </w:pPr>
    </w:p>
    <w:p w14:paraId="6514C525" w14:textId="6454C258" w:rsidR="009B0F61" w:rsidRDefault="009B0F61" w:rsidP="005D27DD">
      <w:pPr>
        <w:pStyle w:val="IFTnormal"/>
        <w:rPr>
          <w:lang w:val="es-419"/>
        </w:rPr>
      </w:pPr>
    </w:p>
    <w:p w14:paraId="22B0A12F" w14:textId="77777777" w:rsidR="009B0F61" w:rsidRDefault="009B0F61" w:rsidP="005D27DD">
      <w:pPr>
        <w:pStyle w:val="IFTnormal"/>
        <w:rPr>
          <w:lang w:val="es-419"/>
        </w:rPr>
      </w:pPr>
    </w:p>
    <w:p w14:paraId="3D9DBF2C" w14:textId="77777777" w:rsidR="00AD6F7D" w:rsidRPr="00A84755" w:rsidRDefault="00AD6F7D" w:rsidP="005D27DD">
      <w:pPr>
        <w:pStyle w:val="IFTnormal"/>
        <w:rPr>
          <w:lang w:val="es-419"/>
        </w:rPr>
      </w:pPr>
    </w:p>
    <w:p w14:paraId="177CE609" w14:textId="77777777" w:rsidR="00BF2B8D" w:rsidRPr="00A84755" w:rsidRDefault="00BF2B8D" w:rsidP="00BF2B8D">
      <w:pPr>
        <w:pStyle w:val="N1IFT"/>
        <w:rPr>
          <w:lang w:val="es-ES_tradnl"/>
        </w:rPr>
      </w:pPr>
      <w:r w:rsidRPr="00A84755">
        <w:rPr>
          <w:lang w:val="es-ES_tradnl"/>
        </w:rPr>
        <w:t>TRANSITORIOS</w:t>
      </w:r>
    </w:p>
    <w:p w14:paraId="2D91B832" w14:textId="77777777" w:rsidR="00BF2B8D" w:rsidRPr="00A84755" w:rsidRDefault="00BF2B8D" w:rsidP="00BB0438">
      <w:pPr>
        <w:rPr>
          <w:lang w:val="es-ES_tradnl"/>
        </w:rPr>
      </w:pPr>
    </w:p>
    <w:p w14:paraId="4A54103C" w14:textId="096C4BBA" w:rsidR="00BF2B8D" w:rsidRPr="00A84755" w:rsidRDefault="00BF2B8D" w:rsidP="00B63942">
      <w:pPr>
        <w:pStyle w:val="IFTnormal"/>
        <w:rPr>
          <w:b/>
          <w:color w:val="auto"/>
        </w:rPr>
      </w:pPr>
      <w:r w:rsidRPr="00A84755">
        <w:rPr>
          <w:b/>
          <w:color w:val="auto"/>
        </w:rPr>
        <w:t xml:space="preserve">PRIMERO. </w:t>
      </w:r>
      <w:r w:rsidRPr="00A84755">
        <w:rPr>
          <w:color w:val="auto"/>
        </w:rPr>
        <w:t>Los presentes Lineamientos entrarán en vigor a los treinta días naturales siguientes a su fecha de publicación en el Diario Oficial de la Federación.</w:t>
      </w:r>
    </w:p>
    <w:p w14:paraId="0E7E4AEA" w14:textId="2C462234" w:rsidR="00412813" w:rsidRPr="00225817" w:rsidRDefault="009C7FAB" w:rsidP="00AA7386">
      <w:pPr>
        <w:pStyle w:val="IFTnormal"/>
        <w:rPr>
          <w:lang w:val="es-419"/>
        </w:rPr>
      </w:pPr>
      <w:r>
        <w:rPr>
          <w:b/>
          <w:color w:val="auto"/>
          <w:lang w:val="es-MX"/>
        </w:rPr>
        <w:t>SEGUND</w:t>
      </w:r>
      <w:r w:rsidR="00FB6475" w:rsidRPr="00A84755">
        <w:rPr>
          <w:b/>
          <w:color w:val="auto"/>
          <w:lang w:val="es-MX"/>
        </w:rPr>
        <w:t>O</w:t>
      </w:r>
      <w:r w:rsidR="00BD153D" w:rsidRPr="00A84755">
        <w:rPr>
          <w:b/>
          <w:color w:val="auto"/>
          <w:lang w:val="es-MX"/>
        </w:rPr>
        <w:t>.</w:t>
      </w:r>
      <w:r w:rsidR="00BD153D" w:rsidRPr="00A84755">
        <w:rPr>
          <w:color w:val="auto"/>
          <w:lang w:val="es-MX"/>
        </w:rPr>
        <w:t xml:space="preserve"> El Instituto</w:t>
      </w:r>
      <w:r w:rsidR="00E147C8" w:rsidRPr="00A84755">
        <w:rPr>
          <w:color w:val="auto"/>
          <w:lang w:val="es-MX"/>
        </w:rPr>
        <w:t xml:space="preserve"> habilitará</w:t>
      </w:r>
      <w:r w:rsidR="000D357A" w:rsidRPr="00A84755">
        <w:rPr>
          <w:lang w:val="es-419"/>
        </w:rPr>
        <w:t xml:space="preserve"> en el Micrositio de</w:t>
      </w:r>
      <w:r w:rsidR="00002F30" w:rsidRPr="00A84755">
        <w:rPr>
          <w:lang w:val="es-419"/>
        </w:rPr>
        <w:t xml:space="preserve"> Despliegue de</w:t>
      </w:r>
      <w:r w:rsidR="000D357A" w:rsidRPr="00A84755">
        <w:rPr>
          <w:lang w:val="es-419"/>
        </w:rPr>
        <w:t xml:space="preserve"> Infraestructura</w:t>
      </w:r>
      <w:r w:rsidR="00E147C8" w:rsidRPr="00A84755">
        <w:rPr>
          <w:lang w:val="es-419"/>
        </w:rPr>
        <w:t xml:space="preserve"> un módulo</w:t>
      </w:r>
      <w:r w:rsidR="000D357A" w:rsidRPr="00A84755">
        <w:rPr>
          <w:lang w:val="es-419"/>
        </w:rPr>
        <w:t xml:space="preserve"> como medio de publicación </w:t>
      </w:r>
      <w:r w:rsidR="00002F30" w:rsidRPr="00A84755">
        <w:rPr>
          <w:lang w:val="es-419"/>
        </w:rPr>
        <w:t xml:space="preserve">de Obras Civiles hasta que entre en operación el </w:t>
      </w:r>
      <w:r w:rsidR="00E147C8" w:rsidRPr="00A84755">
        <w:rPr>
          <w:lang w:val="es-419"/>
        </w:rPr>
        <w:t xml:space="preserve">Módulo de Obras Civiles del </w:t>
      </w:r>
      <w:r w:rsidR="00002F30" w:rsidRPr="00A84755">
        <w:rPr>
          <w:lang w:val="es-419"/>
        </w:rPr>
        <w:t>SNII</w:t>
      </w:r>
      <w:r w:rsidR="007455E9">
        <w:rPr>
          <w:lang w:val="es-419"/>
        </w:rPr>
        <w:t xml:space="preserve"> y en dicho Micrositio se definirán los mecanismos de publicación y acceso a la información</w:t>
      </w:r>
      <w:r w:rsidR="00002F30" w:rsidRPr="00A84755">
        <w:rPr>
          <w:lang w:val="es-419"/>
        </w:rPr>
        <w:t>.</w:t>
      </w:r>
    </w:p>
    <w:sectPr w:rsidR="00412813" w:rsidRPr="002258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7B3C2" w14:textId="77777777" w:rsidR="00615D7D" w:rsidRDefault="00615D7D" w:rsidP="006F512D">
      <w:pPr>
        <w:spacing w:after="0" w:line="240" w:lineRule="auto"/>
      </w:pPr>
      <w:r>
        <w:separator/>
      </w:r>
    </w:p>
  </w:endnote>
  <w:endnote w:type="continuationSeparator" w:id="0">
    <w:p w14:paraId="02989984" w14:textId="77777777" w:rsidR="00615D7D" w:rsidRDefault="00615D7D" w:rsidP="006F512D">
      <w:pPr>
        <w:spacing w:after="0" w:line="240" w:lineRule="auto"/>
      </w:pPr>
      <w:r>
        <w:continuationSeparator/>
      </w:r>
    </w:p>
  </w:endnote>
  <w:endnote w:type="continuationNotice" w:id="1">
    <w:p w14:paraId="1FF73466" w14:textId="77777777" w:rsidR="00615D7D" w:rsidRDefault="00615D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E4984" w14:textId="77777777" w:rsidR="00F74C26" w:rsidRDefault="00F74C2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3315666"/>
      <w:docPartObj>
        <w:docPartGallery w:val="Page Numbers (Bottom of Page)"/>
        <w:docPartUnique/>
      </w:docPartObj>
    </w:sdtPr>
    <w:sdtEndPr/>
    <w:sdtContent>
      <w:p w14:paraId="444AC7E9" w14:textId="676ED8AD" w:rsidR="00F97407" w:rsidRDefault="00F9740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C26" w:rsidRPr="00F74C26">
          <w:rPr>
            <w:noProof/>
            <w:lang w:val="es-ES"/>
          </w:rPr>
          <w:t>2</w:t>
        </w:r>
        <w:r>
          <w:fldChar w:fldCharType="end"/>
        </w:r>
      </w:p>
    </w:sdtContent>
  </w:sdt>
  <w:p w14:paraId="31DDF6AB" w14:textId="77777777" w:rsidR="00F97407" w:rsidRDefault="00F974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A7325" w14:textId="77777777" w:rsidR="00F74C26" w:rsidRDefault="00F74C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BBA1D" w14:textId="77777777" w:rsidR="00615D7D" w:rsidRDefault="00615D7D" w:rsidP="006F512D">
      <w:pPr>
        <w:spacing w:after="0" w:line="240" w:lineRule="auto"/>
      </w:pPr>
      <w:r>
        <w:separator/>
      </w:r>
    </w:p>
  </w:footnote>
  <w:footnote w:type="continuationSeparator" w:id="0">
    <w:p w14:paraId="22A45D1D" w14:textId="77777777" w:rsidR="00615D7D" w:rsidRDefault="00615D7D" w:rsidP="006F512D">
      <w:pPr>
        <w:spacing w:after="0" w:line="240" w:lineRule="auto"/>
      </w:pPr>
      <w:r>
        <w:continuationSeparator/>
      </w:r>
    </w:p>
  </w:footnote>
  <w:footnote w:type="continuationNotice" w:id="1">
    <w:p w14:paraId="6721413C" w14:textId="77777777" w:rsidR="00615D7D" w:rsidRDefault="00615D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7E759" w14:textId="5F353EEC" w:rsidR="00F74C26" w:rsidRDefault="00F74C26">
    <w:pPr>
      <w:pStyle w:val="Encabezado"/>
    </w:pPr>
    <w:r>
      <w:rPr>
        <w:noProof/>
      </w:rPr>
      <w:pict w14:anchorId="06289D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8864079" o:spid="_x0000_s2050" type="#_x0000_t136" style="position:absolute;margin-left:0;margin-top:0;width:497.45pt;height:125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91273" w14:textId="116166C2" w:rsidR="00F74C26" w:rsidRDefault="00F74C26">
    <w:pPr>
      <w:pStyle w:val="Encabezado"/>
    </w:pPr>
    <w:r>
      <w:rPr>
        <w:noProof/>
      </w:rPr>
      <w:pict w14:anchorId="605754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8864080" o:spid="_x0000_s2051" type="#_x0000_t136" style="position:absolute;margin-left:0;margin-top:0;width:497.45pt;height:125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37433" w14:textId="7BA19D97" w:rsidR="00F74C26" w:rsidRDefault="00F74C26">
    <w:pPr>
      <w:pStyle w:val="Encabezado"/>
    </w:pPr>
    <w:r>
      <w:rPr>
        <w:noProof/>
      </w:rPr>
      <w:pict w14:anchorId="3B7110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8864078" o:spid="_x0000_s2049" type="#_x0000_t136" style="position:absolute;margin-left:0;margin-top:0;width:497.45pt;height:125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AD9"/>
    <w:multiLevelType w:val="hybridMultilevel"/>
    <w:tmpl w:val="40C2DDE0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6677F"/>
    <w:multiLevelType w:val="hybridMultilevel"/>
    <w:tmpl w:val="E0C0B0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91B6C"/>
    <w:multiLevelType w:val="hybridMultilevel"/>
    <w:tmpl w:val="D848E4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F6F10"/>
    <w:multiLevelType w:val="hybridMultilevel"/>
    <w:tmpl w:val="4F0A8EFC"/>
    <w:lvl w:ilvl="0" w:tplc="3E000028">
      <w:start w:val="1"/>
      <w:numFmt w:val="upperRoman"/>
      <w:lvlText w:val="%1."/>
      <w:lvlJc w:val="right"/>
      <w:pPr>
        <w:ind w:left="1134" w:hanging="56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C4B77"/>
    <w:multiLevelType w:val="multilevel"/>
    <w:tmpl w:val="DBEC8B3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22"/>
      </w:rPr>
    </w:lvl>
    <w:lvl w:ilvl="1">
      <w:start w:val="1"/>
      <w:numFmt w:val="lowerLetter"/>
      <w:lvlText w:val="%2)"/>
      <w:lvlJc w:val="left"/>
      <w:pPr>
        <w:ind w:left="2268" w:hanging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none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9F35D38"/>
    <w:multiLevelType w:val="hybridMultilevel"/>
    <w:tmpl w:val="9DA0AE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34C3B"/>
    <w:multiLevelType w:val="hybridMultilevel"/>
    <w:tmpl w:val="7B7A9D2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D1125"/>
    <w:multiLevelType w:val="hybridMultilevel"/>
    <w:tmpl w:val="DA78BE48"/>
    <w:lvl w:ilvl="0" w:tplc="6BE4848E">
      <w:start w:val="1"/>
      <w:numFmt w:val="upperRoman"/>
      <w:lvlText w:val="%1."/>
      <w:lvlJc w:val="right"/>
      <w:pPr>
        <w:ind w:left="1134" w:hanging="567"/>
      </w:pPr>
      <w:rPr>
        <w:rFonts w:hint="default"/>
        <w:i w:val="0"/>
        <w:sz w:val="22"/>
      </w:rPr>
    </w:lvl>
    <w:lvl w:ilvl="1" w:tplc="E55A6F8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7507A"/>
    <w:multiLevelType w:val="hybridMultilevel"/>
    <w:tmpl w:val="DA78BE48"/>
    <w:lvl w:ilvl="0" w:tplc="6BE4848E">
      <w:start w:val="1"/>
      <w:numFmt w:val="upperRoman"/>
      <w:lvlText w:val="%1."/>
      <w:lvlJc w:val="right"/>
      <w:pPr>
        <w:ind w:left="1134" w:hanging="567"/>
      </w:pPr>
      <w:rPr>
        <w:rFonts w:hint="default"/>
        <w:i w:val="0"/>
        <w:sz w:val="22"/>
      </w:rPr>
    </w:lvl>
    <w:lvl w:ilvl="1" w:tplc="E55A6F8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D5256"/>
    <w:multiLevelType w:val="hybridMultilevel"/>
    <w:tmpl w:val="A5C6345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247E97"/>
    <w:multiLevelType w:val="hybridMultilevel"/>
    <w:tmpl w:val="AB78C642"/>
    <w:lvl w:ilvl="0" w:tplc="73DC1E1E">
      <w:start w:val="1"/>
      <w:numFmt w:val="upperRoman"/>
      <w:lvlText w:val="%1."/>
      <w:lvlJc w:val="right"/>
      <w:pPr>
        <w:ind w:left="1134" w:hanging="567"/>
      </w:pPr>
      <w:rPr>
        <w:rFonts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5230E"/>
    <w:multiLevelType w:val="hybridMultilevel"/>
    <w:tmpl w:val="8A46219C"/>
    <w:lvl w:ilvl="0" w:tplc="E29062D2">
      <w:start w:val="1"/>
      <w:numFmt w:val="upperRoman"/>
      <w:lvlText w:val="%1."/>
      <w:lvlJc w:val="right"/>
      <w:pPr>
        <w:ind w:left="1134" w:hanging="567"/>
      </w:pPr>
      <w:rPr>
        <w:rFonts w:hint="default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035FE"/>
    <w:multiLevelType w:val="hybridMultilevel"/>
    <w:tmpl w:val="1EFE3E3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D35C7"/>
    <w:multiLevelType w:val="multilevel"/>
    <w:tmpl w:val="895C31B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none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29B51C9"/>
    <w:multiLevelType w:val="multilevel"/>
    <w:tmpl w:val="06402AD6"/>
    <w:lvl w:ilvl="0">
      <w:start w:val="1"/>
      <w:numFmt w:val="upperRoman"/>
      <w:lvlText w:val="%1."/>
      <w:lvlJc w:val="right"/>
      <w:pPr>
        <w:ind w:left="1134" w:hanging="567"/>
      </w:pPr>
      <w:rPr>
        <w:rFonts w:hint="default"/>
        <w:i w:val="0"/>
        <w:sz w:val="22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none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B8B3D8A"/>
    <w:multiLevelType w:val="multilevel"/>
    <w:tmpl w:val="DBEC8B3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22"/>
      </w:rPr>
    </w:lvl>
    <w:lvl w:ilvl="1">
      <w:start w:val="1"/>
      <w:numFmt w:val="lowerLetter"/>
      <w:lvlText w:val="%2)"/>
      <w:lvlJc w:val="left"/>
      <w:pPr>
        <w:ind w:left="2268" w:hanging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none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57D2B95"/>
    <w:multiLevelType w:val="hybridMultilevel"/>
    <w:tmpl w:val="02A28374"/>
    <w:lvl w:ilvl="0" w:tplc="94FC1EB2">
      <w:start w:val="1"/>
      <w:numFmt w:val="upperRoman"/>
      <w:lvlText w:val="%1."/>
      <w:lvlJc w:val="left"/>
      <w:pPr>
        <w:ind w:left="1134" w:hanging="567"/>
      </w:pPr>
      <w:rPr>
        <w:rFonts w:hint="default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D0D0C"/>
    <w:multiLevelType w:val="hybridMultilevel"/>
    <w:tmpl w:val="8D660462"/>
    <w:lvl w:ilvl="0" w:tplc="35C66D5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F4538"/>
    <w:multiLevelType w:val="hybridMultilevel"/>
    <w:tmpl w:val="84120BFA"/>
    <w:lvl w:ilvl="0" w:tplc="735C0574">
      <w:start w:val="1"/>
      <w:numFmt w:val="upperRoman"/>
      <w:lvlText w:val="%1."/>
      <w:lvlJc w:val="right"/>
      <w:pPr>
        <w:ind w:left="1134" w:hanging="567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27401"/>
    <w:multiLevelType w:val="hybridMultilevel"/>
    <w:tmpl w:val="C4DCA84C"/>
    <w:lvl w:ilvl="0" w:tplc="3CAC0F86">
      <w:start w:val="1"/>
      <w:numFmt w:val="upperRoman"/>
      <w:lvlText w:val="%1."/>
      <w:lvlJc w:val="right"/>
      <w:pPr>
        <w:ind w:left="1134" w:hanging="56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1318C"/>
    <w:multiLevelType w:val="hybridMultilevel"/>
    <w:tmpl w:val="EA44EA4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27D51"/>
    <w:multiLevelType w:val="multilevel"/>
    <w:tmpl w:val="79844A7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none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4F15D7F"/>
    <w:multiLevelType w:val="hybridMultilevel"/>
    <w:tmpl w:val="B58C3F3A"/>
    <w:lvl w:ilvl="0" w:tplc="3864A4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32BC1"/>
    <w:multiLevelType w:val="multilevel"/>
    <w:tmpl w:val="DBEC8B3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22"/>
      </w:rPr>
    </w:lvl>
    <w:lvl w:ilvl="1">
      <w:start w:val="1"/>
      <w:numFmt w:val="lowerLetter"/>
      <w:lvlText w:val="%2)"/>
      <w:lvlJc w:val="left"/>
      <w:pPr>
        <w:ind w:left="2268" w:hanging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none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6FD7569"/>
    <w:multiLevelType w:val="multilevel"/>
    <w:tmpl w:val="46CC6BB8"/>
    <w:lvl w:ilvl="0">
      <w:start w:val="1"/>
      <w:numFmt w:val="upperRoman"/>
      <w:lvlText w:val="%1."/>
      <w:lvlJc w:val="left"/>
      <w:pPr>
        <w:ind w:left="643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8BF5A4C"/>
    <w:multiLevelType w:val="multilevel"/>
    <w:tmpl w:val="E2D6A702"/>
    <w:lvl w:ilvl="0">
      <w:start w:val="1"/>
      <w:numFmt w:val="upperRoman"/>
      <w:lvlText w:val="%1."/>
      <w:lvlJc w:val="right"/>
      <w:pPr>
        <w:ind w:left="1134" w:hanging="567"/>
      </w:pPr>
      <w:rPr>
        <w:rFonts w:hint="default"/>
        <w:i w:val="0"/>
        <w:sz w:val="22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none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E0C405E"/>
    <w:multiLevelType w:val="multilevel"/>
    <w:tmpl w:val="839801AA"/>
    <w:lvl w:ilvl="0">
      <w:start w:val="1"/>
      <w:numFmt w:val="upperRoman"/>
      <w:lvlText w:val="%1."/>
      <w:lvlJc w:val="right"/>
      <w:pPr>
        <w:ind w:left="1134" w:hanging="567"/>
      </w:pPr>
      <w:rPr>
        <w:rFonts w:hint="default"/>
        <w:i w:val="0"/>
        <w:sz w:val="22"/>
      </w:rPr>
    </w:lvl>
    <w:lvl w:ilvl="1">
      <w:start w:val="1"/>
      <w:numFmt w:val="lowerLetter"/>
      <w:lvlText w:val="%2)"/>
      <w:lvlJc w:val="left"/>
      <w:pPr>
        <w:ind w:left="2268" w:hanging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none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EC5794C"/>
    <w:multiLevelType w:val="hybridMultilevel"/>
    <w:tmpl w:val="7CDEC568"/>
    <w:lvl w:ilvl="0" w:tplc="CF28AF56">
      <w:start w:val="1"/>
      <w:numFmt w:val="upperRoman"/>
      <w:lvlText w:val="%1."/>
      <w:lvlJc w:val="right"/>
      <w:pPr>
        <w:ind w:left="1134" w:hanging="567"/>
      </w:pPr>
      <w:rPr>
        <w:rFonts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C57DE"/>
    <w:multiLevelType w:val="multilevel"/>
    <w:tmpl w:val="895C31B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none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668018D0"/>
    <w:multiLevelType w:val="multilevel"/>
    <w:tmpl w:val="79844A7C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  <w:sz w:val="22"/>
      </w:rPr>
    </w:lvl>
    <w:lvl w:ilvl="1">
      <w:start w:val="1"/>
      <w:numFmt w:val="lowerRoman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none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none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none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none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none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828" w:hanging="180"/>
      </w:pPr>
      <w:rPr>
        <w:rFonts w:hint="default"/>
      </w:rPr>
    </w:lvl>
  </w:abstractNum>
  <w:abstractNum w:abstractNumId="30" w15:restartNumberingAfterBreak="0">
    <w:nsid w:val="682A6263"/>
    <w:multiLevelType w:val="hybridMultilevel"/>
    <w:tmpl w:val="59F45E20"/>
    <w:lvl w:ilvl="0" w:tplc="1E40E5FA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F970DF"/>
    <w:multiLevelType w:val="hybridMultilevel"/>
    <w:tmpl w:val="C916C928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2F6633"/>
    <w:multiLevelType w:val="hybridMultilevel"/>
    <w:tmpl w:val="BBBC9DC8"/>
    <w:lvl w:ilvl="0" w:tplc="175CA202">
      <w:start w:val="1"/>
      <w:numFmt w:val="upperRoman"/>
      <w:lvlText w:val="%1."/>
      <w:lvlJc w:val="right"/>
      <w:pPr>
        <w:ind w:left="1134" w:hanging="56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828ED"/>
    <w:multiLevelType w:val="multilevel"/>
    <w:tmpl w:val="FEEEA998"/>
    <w:lvl w:ilvl="0">
      <w:start w:val="1"/>
      <w:numFmt w:val="upperRoman"/>
      <w:lvlText w:val="%1."/>
      <w:lvlJc w:val="right"/>
      <w:pPr>
        <w:ind w:left="1134" w:hanging="567"/>
      </w:pPr>
      <w:rPr>
        <w:rFonts w:ascii="ITC Avant Garde" w:eastAsia="Calibri" w:hAnsi="ITC Avant Garde" w:cs="Arial"/>
        <w:i w:val="0"/>
        <w:sz w:val="22"/>
      </w:rPr>
    </w:lvl>
    <w:lvl w:ilvl="1">
      <w:start w:val="1"/>
      <w:numFmt w:val="lowerLetter"/>
      <w:lvlText w:val="%2)"/>
      <w:lvlJc w:val="left"/>
      <w:pPr>
        <w:ind w:left="2268" w:hanging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none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CAC56D2"/>
    <w:multiLevelType w:val="hybridMultilevel"/>
    <w:tmpl w:val="0358A0EA"/>
    <w:lvl w:ilvl="0" w:tplc="080A0013">
      <w:start w:val="1"/>
      <w:numFmt w:val="upperRoman"/>
      <w:lvlText w:val="%1."/>
      <w:lvlJc w:val="righ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D9962AF"/>
    <w:multiLevelType w:val="hybridMultilevel"/>
    <w:tmpl w:val="A9467DD6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67F35"/>
    <w:multiLevelType w:val="multilevel"/>
    <w:tmpl w:val="DDB4E4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4F06B33"/>
    <w:multiLevelType w:val="hybridMultilevel"/>
    <w:tmpl w:val="C3869DD2"/>
    <w:lvl w:ilvl="0" w:tplc="F48E6CBC">
      <w:start w:val="1"/>
      <w:numFmt w:val="upperRoman"/>
      <w:lvlText w:val="%1."/>
      <w:lvlJc w:val="right"/>
      <w:pPr>
        <w:ind w:left="1134" w:hanging="567"/>
      </w:pPr>
      <w:rPr>
        <w:rFonts w:hint="default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B3264"/>
    <w:multiLevelType w:val="multilevel"/>
    <w:tmpl w:val="59D26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ED4652D"/>
    <w:multiLevelType w:val="hybridMultilevel"/>
    <w:tmpl w:val="1FEAC542"/>
    <w:lvl w:ilvl="0" w:tplc="08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6"/>
  </w:num>
  <w:num w:numId="3">
    <w:abstractNumId w:val="24"/>
  </w:num>
  <w:num w:numId="4">
    <w:abstractNumId w:val="30"/>
  </w:num>
  <w:num w:numId="5">
    <w:abstractNumId w:val="27"/>
  </w:num>
  <w:num w:numId="6">
    <w:abstractNumId w:val="16"/>
  </w:num>
  <w:num w:numId="7">
    <w:abstractNumId w:val="14"/>
  </w:num>
  <w:num w:numId="8">
    <w:abstractNumId w:val="8"/>
  </w:num>
  <w:num w:numId="9">
    <w:abstractNumId w:val="19"/>
  </w:num>
  <w:num w:numId="10">
    <w:abstractNumId w:val="22"/>
  </w:num>
  <w:num w:numId="11">
    <w:abstractNumId w:val="32"/>
  </w:num>
  <w:num w:numId="12">
    <w:abstractNumId w:val="2"/>
  </w:num>
  <w:num w:numId="13">
    <w:abstractNumId w:val="9"/>
  </w:num>
  <w:num w:numId="14">
    <w:abstractNumId w:val="3"/>
  </w:num>
  <w:num w:numId="15">
    <w:abstractNumId w:val="18"/>
  </w:num>
  <w:num w:numId="16">
    <w:abstractNumId w:val="39"/>
  </w:num>
  <w:num w:numId="17">
    <w:abstractNumId w:val="5"/>
  </w:num>
  <w:num w:numId="18">
    <w:abstractNumId w:val="33"/>
  </w:num>
  <w:num w:numId="19">
    <w:abstractNumId w:val="31"/>
  </w:num>
  <w:num w:numId="20">
    <w:abstractNumId w:val="21"/>
  </w:num>
  <w:num w:numId="21">
    <w:abstractNumId w:val="0"/>
  </w:num>
  <w:num w:numId="22">
    <w:abstractNumId w:val="25"/>
  </w:num>
  <w:num w:numId="23">
    <w:abstractNumId w:val="29"/>
  </w:num>
  <w:num w:numId="24">
    <w:abstractNumId w:val="26"/>
  </w:num>
  <w:num w:numId="25">
    <w:abstractNumId w:val="15"/>
  </w:num>
  <w:num w:numId="26">
    <w:abstractNumId w:val="13"/>
  </w:num>
  <w:num w:numId="27">
    <w:abstractNumId w:val="28"/>
  </w:num>
  <w:num w:numId="28">
    <w:abstractNumId w:val="11"/>
  </w:num>
  <w:num w:numId="29">
    <w:abstractNumId w:val="34"/>
  </w:num>
  <w:num w:numId="30">
    <w:abstractNumId w:val="10"/>
  </w:num>
  <w:num w:numId="31">
    <w:abstractNumId w:val="35"/>
  </w:num>
  <w:num w:numId="32">
    <w:abstractNumId w:val="20"/>
  </w:num>
  <w:num w:numId="33">
    <w:abstractNumId w:val="38"/>
  </w:num>
  <w:num w:numId="34">
    <w:abstractNumId w:val="37"/>
  </w:num>
  <w:num w:numId="35">
    <w:abstractNumId w:val="4"/>
  </w:num>
  <w:num w:numId="36">
    <w:abstractNumId w:val="23"/>
  </w:num>
  <w:num w:numId="37">
    <w:abstractNumId w:val="7"/>
  </w:num>
  <w:num w:numId="38">
    <w:abstractNumId w:val="12"/>
  </w:num>
  <w:num w:numId="39">
    <w:abstractNumId w:val="1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23"/>
    <w:rsid w:val="00002F30"/>
    <w:rsid w:val="0000791A"/>
    <w:rsid w:val="000103D2"/>
    <w:rsid w:val="00010460"/>
    <w:rsid w:val="00011119"/>
    <w:rsid w:val="000138FD"/>
    <w:rsid w:val="00013C6F"/>
    <w:rsid w:val="00021AF0"/>
    <w:rsid w:val="00026482"/>
    <w:rsid w:val="00030101"/>
    <w:rsid w:val="00030615"/>
    <w:rsid w:val="00030956"/>
    <w:rsid w:val="00031C64"/>
    <w:rsid w:val="00033107"/>
    <w:rsid w:val="00033D0C"/>
    <w:rsid w:val="0003539E"/>
    <w:rsid w:val="0003640B"/>
    <w:rsid w:val="00037EDF"/>
    <w:rsid w:val="000420BB"/>
    <w:rsid w:val="0004581E"/>
    <w:rsid w:val="00047694"/>
    <w:rsid w:val="000479A6"/>
    <w:rsid w:val="00047F6B"/>
    <w:rsid w:val="00052893"/>
    <w:rsid w:val="00063852"/>
    <w:rsid w:val="00066296"/>
    <w:rsid w:val="000702ED"/>
    <w:rsid w:val="0007075C"/>
    <w:rsid w:val="0007625F"/>
    <w:rsid w:val="00077D86"/>
    <w:rsid w:val="00084B96"/>
    <w:rsid w:val="0009217E"/>
    <w:rsid w:val="00094BC7"/>
    <w:rsid w:val="000962A2"/>
    <w:rsid w:val="000A6A92"/>
    <w:rsid w:val="000B45A6"/>
    <w:rsid w:val="000B4ACA"/>
    <w:rsid w:val="000B6212"/>
    <w:rsid w:val="000B6A00"/>
    <w:rsid w:val="000B7362"/>
    <w:rsid w:val="000B79D7"/>
    <w:rsid w:val="000C3FC0"/>
    <w:rsid w:val="000D2D83"/>
    <w:rsid w:val="000D357A"/>
    <w:rsid w:val="000E3964"/>
    <w:rsid w:val="000E5CCA"/>
    <w:rsid w:val="000F2AD9"/>
    <w:rsid w:val="000F3B95"/>
    <w:rsid w:val="000F3DCD"/>
    <w:rsid w:val="000F5543"/>
    <w:rsid w:val="000F5E50"/>
    <w:rsid w:val="00100755"/>
    <w:rsid w:val="001048A3"/>
    <w:rsid w:val="00110B63"/>
    <w:rsid w:val="00113D97"/>
    <w:rsid w:val="00114991"/>
    <w:rsid w:val="0011584E"/>
    <w:rsid w:val="0011590B"/>
    <w:rsid w:val="00116B93"/>
    <w:rsid w:val="0012060B"/>
    <w:rsid w:val="00123954"/>
    <w:rsid w:val="00140769"/>
    <w:rsid w:val="00144D1E"/>
    <w:rsid w:val="00146491"/>
    <w:rsid w:val="00146DCE"/>
    <w:rsid w:val="00147FFC"/>
    <w:rsid w:val="001575F9"/>
    <w:rsid w:val="00157DD5"/>
    <w:rsid w:val="00160892"/>
    <w:rsid w:val="001613A3"/>
    <w:rsid w:val="001618B5"/>
    <w:rsid w:val="001619C1"/>
    <w:rsid w:val="00161EB7"/>
    <w:rsid w:val="00164995"/>
    <w:rsid w:val="00165C60"/>
    <w:rsid w:val="001703DE"/>
    <w:rsid w:val="00172424"/>
    <w:rsid w:val="00173A66"/>
    <w:rsid w:val="00175418"/>
    <w:rsid w:val="001763CA"/>
    <w:rsid w:val="001904D9"/>
    <w:rsid w:val="00190DB1"/>
    <w:rsid w:val="0019679A"/>
    <w:rsid w:val="001970C9"/>
    <w:rsid w:val="001A0A28"/>
    <w:rsid w:val="001A0E68"/>
    <w:rsid w:val="001A1837"/>
    <w:rsid w:val="001A3B52"/>
    <w:rsid w:val="001A586A"/>
    <w:rsid w:val="001B509C"/>
    <w:rsid w:val="001C5720"/>
    <w:rsid w:val="001D021A"/>
    <w:rsid w:val="001D6B9C"/>
    <w:rsid w:val="001D6EA0"/>
    <w:rsid w:val="001F0ACE"/>
    <w:rsid w:val="001F3413"/>
    <w:rsid w:val="001F7B1B"/>
    <w:rsid w:val="001F7E79"/>
    <w:rsid w:val="00200A1D"/>
    <w:rsid w:val="00201007"/>
    <w:rsid w:val="002016D3"/>
    <w:rsid w:val="00202B53"/>
    <w:rsid w:val="00203740"/>
    <w:rsid w:val="00215E2A"/>
    <w:rsid w:val="00216A08"/>
    <w:rsid w:val="00225817"/>
    <w:rsid w:val="00227178"/>
    <w:rsid w:val="00234487"/>
    <w:rsid w:val="00236510"/>
    <w:rsid w:val="0024725B"/>
    <w:rsid w:val="002516CA"/>
    <w:rsid w:val="0025292A"/>
    <w:rsid w:val="00254A15"/>
    <w:rsid w:val="002553E7"/>
    <w:rsid w:val="0025548C"/>
    <w:rsid w:val="00256283"/>
    <w:rsid w:val="00257F56"/>
    <w:rsid w:val="00257FDC"/>
    <w:rsid w:val="002669AE"/>
    <w:rsid w:val="00270AC6"/>
    <w:rsid w:val="00276A94"/>
    <w:rsid w:val="00280057"/>
    <w:rsid w:val="0028091E"/>
    <w:rsid w:val="00285E04"/>
    <w:rsid w:val="002865D8"/>
    <w:rsid w:val="002908CF"/>
    <w:rsid w:val="00290DB7"/>
    <w:rsid w:val="00291804"/>
    <w:rsid w:val="002948DA"/>
    <w:rsid w:val="00295118"/>
    <w:rsid w:val="002957C3"/>
    <w:rsid w:val="002B4E40"/>
    <w:rsid w:val="002B61A5"/>
    <w:rsid w:val="002B626E"/>
    <w:rsid w:val="002B6461"/>
    <w:rsid w:val="002C4B7A"/>
    <w:rsid w:val="002D3302"/>
    <w:rsid w:val="002D432C"/>
    <w:rsid w:val="002D4703"/>
    <w:rsid w:val="002E294A"/>
    <w:rsid w:val="002E3599"/>
    <w:rsid w:val="002E3B81"/>
    <w:rsid w:val="002E458F"/>
    <w:rsid w:val="002E68AC"/>
    <w:rsid w:val="002E69A4"/>
    <w:rsid w:val="002E69D9"/>
    <w:rsid w:val="002E793E"/>
    <w:rsid w:val="002F43DF"/>
    <w:rsid w:val="00301D9B"/>
    <w:rsid w:val="003056A3"/>
    <w:rsid w:val="00306997"/>
    <w:rsid w:val="0030717B"/>
    <w:rsid w:val="00311853"/>
    <w:rsid w:val="00314687"/>
    <w:rsid w:val="00330F84"/>
    <w:rsid w:val="0033119C"/>
    <w:rsid w:val="003323B0"/>
    <w:rsid w:val="00342C96"/>
    <w:rsid w:val="00343DDF"/>
    <w:rsid w:val="003460E0"/>
    <w:rsid w:val="003474B3"/>
    <w:rsid w:val="00347E2F"/>
    <w:rsid w:val="00354225"/>
    <w:rsid w:val="00355524"/>
    <w:rsid w:val="00370971"/>
    <w:rsid w:val="003734D8"/>
    <w:rsid w:val="0037484B"/>
    <w:rsid w:val="00374ED6"/>
    <w:rsid w:val="00377270"/>
    <w:rsid w:val="0038471A"/>
    <w:rsid w:val="00387A28"/>
    <w:rsid w:val="00390D6D"/>
    <w:rsid w:val="00395C79"/>
    <w:rsid w:val="00397C9E"/>
    <w:rsid w:val="003A3143"/>
    <w:rsid w:val="003B1221"/>
    <w:rsid w:val="003B200D"/>
    <w:rsid w:val="003B5045"/>
    <w:rsid w:val="003C0038"/>
    <w:rsid w:val="003C0961"/>
    <w:rsid w:val="003C1501"/>
    <w:rsid w:val="003C38AC"/>
    <w:rsid w:val="003D6D1C"/>
    <w:rsid w:val="003D76FF"/>
    <w:rsid w:val="003E418A"/>
    <w:rsid w:val="003E569E"/>
    <w:rsid w:val="003F0B73"/>
    <w:rsid w:val="003F12FA"/>
    <w:rsid w:val="003F1D67"/>
    <w:rsid w:val="003F4A7F"/>
    <w:rsid w:val="003F78D0"/>
    <w:rsid w:val="00406726"/>
    <w:rsid w:val="00412813"/>
    <w:rsid w:val="00416E19"/>
    <w:rsid w:val="004202D1"/>
    <w:rsid w:val="0042098F"/>
    <w:rsid w:val="0042333F"/>
    <w:rsid w:val="004255D7"/>
    <w:rsid w:val="00426CA5"/>
    <w:rsid w:val="00432B94"/>
    <w:rsid w:val="00434778"/>
    <w:rsid w:val="00434FA3"/>
    <w:rsid w:val="0044034B"/>
    <w:rsid w:val="004406F0"/>
    <w:rsid w:val="00440B51"/>
    <w:rsid w:val="00442E41"/>
    <w:rsid w:val="004432D6"/>
    <w:rsid w:val="004455BC"/>
    <w:rsid w:val="00447933"/>
    <w:rsid w:val="00452FE5"/>
    <w:rsid w:val="004532AB"/>
    <w:rsid w:val="00460683"/>
    <w:rsid w:val="004620CE"/>
    <w:rsid w:val="00472534"/>
    <w:rsid w:val="004742C1"/>
    <w:rsid w:val="004754C6"/>
    <w:rsid w:val="00477D6B"/>
    <w:rsid w:val="004809D7"/>
    <w:rsid w:val="00482B11"/>
    <w:rsid w:val="00484165"/>
    <w:rsid w:val="00484AE1"/>
    <w:rsid w:val="004901AE"/>
    <w:rsid w:val="0049348B"/>
    <w:rsid w:val="00493675"/>
    <w:rsid w:val="00494616"/>
    <w:rsid w:val="00496293"/>
    <w:rsid w:val="004A0D2E"/>
    <w:rsid w:val="004A262D"/>
    <w:rsid w:val="004A75D6"/>
    <w:rsid w:val="004A7EC3"/>
    <w:rsid w:val="004B3306"/>
    <w:rsid w:val="004B784B"/>
    <w:rsid w:val="004C1F11"/>
    <w:rsid w:val="004D35D2"/>
    <w:rsid w:val="004E34DC"/>
    <w:rsid w:val="004E3B58"/>
    <w:rsid w:val="004E3CC7"/>
    <w:rsid w:val="004F225B"/>
    <w:rsid w:val="004F2449"/>
    <w:rsid w:val="004F6799"/>
    <w:rsid w:val="0050195E"/>
    <w:rsid w:val="00501F8F"/>
    <w:rsid w:val="00504DD8"/>
    <w:rsid w:val="00507295"/>
    <w:rsid w:val="00511C38"/>
    <w:rsid w:val="00523D3C"/>
    <w:rsid w:val="005243F8"/>
    <w:rsid w:val="005533EF"/>
    <w:rsid w:val="00556612"/>
    <w:rsid w:val="005705A2"/>
    <w:rsid w:val="005706DD"/>
    <w:rsid w:val="00573881"/>
    <w:rsid w:val="00584E80"/>
    <w:rsid w:val="00585FB1"/>
    <w:rsid w:val="0058622C"/>
    <w:rsid w:val="005B0D46"/>
    <w:rsid w:val="005B23DF"/>
    <w:rsid w:val="005B32D6"/>
    <w:rsid w:val="005B43AE"/>
    <w:rsid w:val="005B5C5A"/>
    <w:rsid w:val="005C46C6"/>
    <w:rsid w:val="005C518C"/>
    <w:rsid w:val="005D1128"/>
    <w:rsid w:val="005D27DD"/>
    <w:rsid w:val="005D39AA"/>
    <w:rsid w:val="005D6D08"/>
    <w:rsid w:val="005E12BE"/>
    <w:rsid w:val="005E267F"/>
    <w:rsid w:val="005E36BB"/>
    <w:rsid w:val="005E7EE6"/>
    <w:rsid w:val="005F137A"/>
    <w:rsid w:val="005F49E1"/>
    <w:rsid w:val="00604915"/>
    <w:rsid w:val="00605C33"/>
    <w:rsid w:val="0061002D"/>
    <w:rsid w:val="00615D7D"/>
    <w:rsid w:val="00620B64"/>
    <w:rsid w:val="00620E7A"/>
    <w:rsid w:val="006217FE"/>
    <w:rsid w:val="00623CC9"/>
    <w:rsid w:val="0062472C"/>
    <w:rsid w:val="00625AE0"/>
    <w:rsid w:val="006267C2"/>
    <w:rsid w:val="006272E1"/>
    <w:rsid w:val="00630C84"/>
    <w:rsid w:val="00630D2A"/>
    <w:rsid w:val="00634FB9"/>
    <w:rsid w:val="00637318"/>
    <w:rsid w:val="00641EEE"/>
    <w:rsid w:val="00644690"/>
    <w:rsid w:val="006464B4"/>
    <w:rsid w:val="006607E6"/>
    <w:rsid w:val="00660BED"/>
    <w:rsid w:val="00661391"/>
    <w:rsid w:val="006627EE"/>
    <w:rsid w:val="00662F29"/>
    <w:rsid w:val="00667433"/>
    <w:rsid w:val="006700CC"/>
    <w:rsid w:val="006727DE"/>
    <w:rsid w:val="00673B31"/>
    <w:rsid w:val="00676BA8"/>
    <w:rsid w:val="00680CC6"/>
    <w:rsid w:val="00686C2A"/>
    <w:rsid w:val="0069155A"/>
    <w:rsid w:val="006920F7"/>
    <w:rsid w:val="00692F7B"/>
    <w:rsid w:val="00693B52"/>
    <w:rsid w:val="00695A34"/>
    <w:rsid w:val="00697656"/>
    <w:rsid w:val="006A1BE5"/>
    <w:rsid w:val="006A399C"/>
    <w:rsid w:val="006A3B40"/>
    <w:rsid w:val="006A3CDE"/>
    <w:rsid w:val="006A5C8A"/>
    <w:rsid w:val="006A6016"/>
    <w:rsid w:val="006A67D9"/>
    <w:rsid w:val="006B17C6"/>
    <w:rsid w:val="006B180D"/>
    <w:rsid w:val="006B1867"/>
    <w:rsid w:val="006B1EA3"/>
    <w:rsid w:val="006B27A0"/>
    <w:rsid w:val="006B781C"/>
    <w:rsid w:val="006D0B82"/>
    <w:rsid w:val="006D248C"/>
    <w:rsid w:val="006D4E1A"/>
    <w:rsid w:val="006D4FCF"/>
    <w:rsid w:val="006E66A1"/>
    <w:rsid w:val="006F512D"/>
    <w:rsid w:val="006F72AD"/>
    <w:rsid w:val="007016FC"/>
    <w:rsid w:val="0070470E"/>
    <w:rsid w:val="00710586"/>
    <w:rsid w:val="007106C9"/>
    <w:rsid w:val="00714C32"/>
    <w:rsid w:val="007158EA"/>
    <w:rsid w:val="00722D84"/>
    <w:rsid w:val="00724AE3"/>
    <w:rsid w:val="00732BE8"/>
    <w:rsid w:val="00732CE8"/>
    <w:rsid w:val="007343B9"/>
    <w:rsid w:val="00743130"/>
    <w:rsid w:val="007455E9"/>
    <w:rsid w:val="00746910"/>
    <w:rsid w:val="00747E4C"/>
    <w:rsid w:val="00751604"/>
    <w:rsid w:val="00757845"/>
    <w:rsid w:val="007669A5"/>
    <w:rsid w:val="00773CBA"/>
    <w:rsid w:val="00774A42"/>
    <w:rsid w:val="007805C3"/>
    <w:rsid w:val="007820CC"/>
    <w:rsid w:val="007846C9"/>
    <w:rsid w:val="007870DD"/>
    <w:rsid w:val="00794571"/>
    <w:rsid w:val="00796BCF"/>
    <w:rsid w:val="00797B17"/>
    <w:rsid w:val="007A163B"/>
    <w:rsid w:val="007A6BB6"/>
    <w:rsid w:val="007A773B"/>
    <w:rsid w:val="007A78D3"/>
    <w:rsid w:val="007B14E6"/>
    <w:rsid w:val="007B30D5"/>
    <w:rsid w:val="007B52F4"/>
    <w:rsid w:val="007C3C66"/>
    <w:rsid w:val="007D1824"/>
    <w:rsid w:val="007D3FCD"/>
    <w:rsid w:val="007E0D0A"/>
    <w:rsid w:val="007E2C75"/>
    <w:rsid w:val="007F5E6B"/>
    <w:rsid w:val="00802A95"/>
    <w:rsid w:val="00803A8D"/>
    <w:rsid w:val="00805538"/>
    <w:rsid w:val="008055D4"/>
    <w:rsid w:val="00806529"/>
    <w:rsid w:val="008115A2"/>
    <w:rsid w:val="008137B7"/>
    <w:rsid w:val="00815CEE"/>
    <w:rsid w:val="008177E2"/>
    <w:rsid w:val="008202A9"/>
    <w:rsid w:val="008202B9"/>
    <w:rsid w:val="008222BF"/>
    <w:rsid w:val="00824862"/>
    <w:rsid w:val="00824BCE"/>
    <w:rsid w:val="0082509F"/>
    <w:rsid w:val="008257D7"/>
    <w:rsid w:val="00826CA2"/>
    <w:rsid w:val="00827AF6"/>
    <w:rsid w:val="008319FC"/>
    <w:rsid w:val="008349E4"/>
    <w:rsid w:val="00834B7A"/>
    <w:rsid w:val="00836F31"/>
    <w:rsid w:val="00837410"/>
    <w:rsid w:val="00840987"/>
    <w:rsid w:val="00842224"/>
    <w:rsid w:val="008447BC"/>
    <w:rsid w:val="008455B8"/>
    <w:rsid w:val="00845756"/>
    <w:rsid w:val="00852F28"/>
    <w:rsid w:val="00853366"/>
    <w:rsid w:val="00854547"/>
    <w:rsid w:val="00861993"/>
    <w:rsid w:val="00873827"/>
    <w:rsid w:val="00887913"/>
    <w:rsid w:val="008938E2"/>
    <w:rsid w:val="00894EA8"/>
    <w:rsid w:val="008969DA"/>
    <w:rsid w:val="008A4125"/>
    <w:rsid w:val="008A5390"/>
    <w:rsid w:val="008A6F69"/>
    <w:rsid w:val="008B7623"/>
    <w:rsid w:val="008C0F9F"/>
    <w:rsid w:val="008C1D36"/>
    <w:rsid w:val="008C3420"/>
    <w:rsid w:val="008C4436"/>
    <w:rsid w:val="008C506F"/>
    <w:rsid w:val="008D0FAC"/>
    <w:rsid w:val="008D1BDA"/>
    <w:rsid w:val="008D30C3"/>
    <w:rsid w:val="008D42CF"/>
    <w:rsid w:val="008D71B5"/>
    <w:rsid w:val="008E3929"/>
    <w:rsid w:val="008E66CC"/>
    <w:rsid w:val="008F27E3"/>
    <w:rsid w:val="008F5498"/>
    <w:rsid w:val="008F54CF"/>
    <w:rsid w:val="00901139"/>
    <w:rsid w:val="00902B26"/>
    <w:rsid w:val="009100A0"/>
    <w:rsid w:val="00911078"/>
    <w:rsid w:val="00912604"/>
    <w:rsid w:val="00914B08"/>
    <w:rsid w:val="009153D5"/>
    <w:rsid w:val="00926D1A"/>
    <w:rsid w:val="00935256"/>
    <w:rsid w:val="009404E1"/>
    <w:rsid w:val="00943D8B"/>
    <w:rsid w:val="00947776"/>
    <w:rsid w:val="0095075F"/>
    <w:rsid w:val="00952D1A"/>
    <w:rsid w:val="00961EAD"/>
    <w:rsid w:val="009706C6"/>
    <w:rsid w:val="0097086E"/>
    <w:rsid w:val="00972884"/>
    <w:rsid w:val="0097355C"/>
    <w:rsid w:val="00973C16"/>
    <w:rsid w:val="00974EFE"/>
    <w:rsid w:val="00975434"/>
    <w:rsid w:val="00975AF6"/>
    <w:rsid w:val="009806F1"/>
    <w:rsid w:val="009838A6"/>
    <w:rsid w:val="0099249A"/>
    <w:rsid w:val="0099341F"/>
    <w:rsid w:val="009940E1"/>
    <w:rsid w:val="009A05F8"/>
    <w:rsid w:val="009B0F61"/>
    <w:rsid w:val="009B6D57"/>
    <w:rsid w:val="009C02D6"/>
    <w:rsid w:val="009C2059"/>
    <w:rsid w:val="009C2313"/>
    <w:rsid w:val="009C74D2"/>
    <w:rsid w:val="009C7FAB"/>
    <w:rsid w:val="009D3478"/>
    <w:rsid w:val="009D4B54"/>
    <w:rsid w:val="009D4D3F"/>
    <w:rsid w:val="009D58AB"/>
    <w:rsid w:val="009D5C0A"/>
    <w:rsid w:val="009D745B"/>
    <w:rsid w:val="009E0F54"/>
    <w:rsid w:val="00A00095"/>
    <w:rsid w:val="00A10DB9"/>
    <w:rsid w:val="00A11266"/>
    <w:rsid w:val="00A1316D"/>
    <w:rsid w:val="00A17B6E"/>
    <w:rsid w:val="00A24BB7"/>
    <w:rsid w:val="00A25A74"/>
    <w:rsid w:val="00A34294"/>
    <w:rsid w:val="00A35CA8"/>
    <w:rsid w:val="00A37B10"/>
    <w:rsid w:val="00A45EB1"/>
    <w:rsid w:val="00A47906"/>
    <w:rsid w:val="00A532E4"/>
    <w:rsid w:val="00A57670"/>
    <w:rsid w:val="00A63C0C"/>
    <w:rsid w:val="00A651D9"/>
    <w:rsid w:val="00A655E9"/>
    <w:rsid w:val="00A707AF"/>
    <w:rsid w:val="00A70CA5"/>
    <w:rsid w:val="00A70DB4"/>
    <w:rsid w:val="00A712B0"/>
    <w:rsid w:val="00A81DDA"/>
    <w:rsid w:val="00A84755"/>
    <w:rsid w:val="00A92FB6"/>
    <w:rsid w:val="00AA36D5"/>
    <w:rsid w:val="00AA6218"/>
    <w:rsid w:val="00AA7386"/>
    <w:rsid w:val="00AC1D34"/>
    <w:rsid w:val="00AC2BDC"/>
    <w:rsid w:val="00AC3A71"/>
    <w:rsid w:val="00AC3DFC"/>
    <w:rsid w:val="00AD2F07"/>
    <w:rsid w:val="00AD378E"/>
    <w:rsid w:val="00AD52C2"/>
    <w:rsid w:val="00AD6F7D"/>
    <w:rsid w:val="00AE0897"/>
    <w:rsid w:val="00AE5FAF"/>
    <w:rsid w:val="00B052C4"/>
    <w:rsid w:val="00B05616"/>
    <w:rsid w:val="00B068CA"/>
    <w:rsid w:val="00B070A1"/>
    <w:rsid w:val="00B10B42"/>
    <w:rsid w:val="00B1265F"/>
    <w:rsid w:val="00B151D7"/>
    <w:rsid w:val="00B176AD"/>
    <w:rsid w:val="00B20DFD"/>
    <w:rsid w:val="00B339E6"/>
    <w:rsid w:val="00B346D6"/>
    <w:rsid w:val="00B34E14"/>
    <w:rsid w:val="00B37EF6"/>
    <w:rsid w:val="00B461A7"/>
    <w:rsid w:val="00B46FA6"/>
    <w:rsid w:val="00B53F14"/>
    <w:rsid w:val="00B55268"/>
    <w:rsid w:val="00B63942"/>
    <w:rsid w:val="00B63990"/>
    <w:rsid w:val="00B748C4"/>
    <w:rsid w:val="00B74C08"/>
    <w:rsid w:val="00B75955"/>
    <w:rsid w:val="00B76CCF"/>
    <w:rsid w:val="00B80830"/>
    <w:rsid w:val="00B82A66"/>
    <w:rsid w:val="00B84167"/>
    <w:rsid w:val="00B84497"/>
    <w:rsid w:val="00B84E7C"/>
    <w:rsid w:val="00B93A59"/>
    <w:rsid w:val="00B94CC8"/>
    <w:rsid w:val="00BA1A99"/>
    <w:rsid w:val="00BB0438"/>
    <w:rsid w:val="00BB6051"/>
    <w:rsid w:val="00BC536A"/>
    <w:rsid w:val="00BD153D"/>
    <w:rsid w:val="00BE21DA"/>
    <w:rsid w:val="00BE6972"/>
    <w:rsid w:val="00BF2B8D"/>
    <w:rsid w:val="00C02DD9"/>
    <w:rsid w:val="00C175C6"/>
    <w:rsid w:val="00C208F9"/>
    <w:rsid w:val="00C2457A"/>
    <w:rsid w:val="00C32EA4"/>
    <w:rsid w:val="00C33E54"/>
    <w:rsid w:val="00C406C9"/>
    <w:rsid w:val="00C4234B"/>
    <w:rsid w:val="00C427F5"/>
    <w:rsid w:val="00C5751D"/>
    <w:rsid w:val="00C60C18"/>
    <w:rsid w:val="00C6160D"/>
    <w:rsid w:val="00C6249B"/>
    <w:rsid w:val="00C63678"/>
    <w:rsid w:val="00C67327"/>
    <w:rsid w:val="00C723DF"/>
    <w:rsid w:val="00C73B7D"/>
    <w:rsid w:val="00C73EDC"/>
    <w:rsid w:val="00C75186"/>
    <w:rsid w:val="00C860CA"/>
    <w:rsid w:val="00C909C0"/>
    <w:rsid w:val="00C953AF"/>
    <w:rsid w:val="00C96E4D"/>
    <w:rsid w:val="00CA3279"/>
    <w:rsid w:val="00CB0025"/>
    <w:rsid w:val="00CB3023"/>
    <w:rsid w:val="00CC2E57"/>
    <w:rsid w:val="00CC56B3"/>
    <w:rsid w:val="00CD639A"/>
    <w:rsid w:val="00CE32EA"/>
    <w:rsid w:val="00CE3F90"/>
    <w:rsid w:val="00CE55AE"/>
    <w:rsid w:val="00CE6737"/>
    <w:rsid w:val="00CF45A3"/>
    <w:rsid w:val="00CF4884"/>
    <w:rsid w:val="00CF60A1"/>
    <w:rsid w:val="00CF755C"/>
    <w:rsid w:val="00D0636E"/>
    <w:rsid w:val="00D06A20"/>
    <w:rsid w:val="00D10D2D"/>
    <w:rsid w:val="00D10F71"/>
    <w:rsid w:val="00D15026"/>
    <w:rsid w:val="00D238DE"/>
    <w:rsid w:val="00D26680"/>
    <w:rsid w:val="00D344FF"/>
    <w:rsid w:val="00D35D6C"/>
    <w:rsid w:val="00D36DC1"/>
    <w:rsid w:val="00D44DB4"/>
    <w:rsid w:val="00D50818"/>
    <w:rsid w:val="00D561BB"/>
    <w:rsid w:val="00D609A2"/>
    <w:rsid w:val="00D61A6E"/>
    <w:rsid w:val="00D65EEF"/>
    <w:rsid w:val="00D67697"/>
    <w:rsid w:val="00D703AA"/>
    <w:rsid w:val="00D70643"/>
    <w:rsid w:val="00D710C6"/>
    <w:rsid w:val="00D71FF7"/>
    <w:rsid w:val="00D73316"/>
    <w:rsid w:val="00D807E9"/>
    <w:rsid w:val="00D826B0"/>
    <w:rsid w:val="00D84EBE"/>
    <w:rsid w:val="00D947E6"/>
    <w:rsid w:val="00DA5483"/>
    <w:rsid w:val="00DB7E21"/>
    <w:rsid w:val="00DC7400"/>
    <w:rsid w:val="00DD4C01"/>
    <w:rsid w:val="00DD552D"/>
    <w:rsid w:val="00DD6526"/>
    <w:rsid w:val="00DE05DF"/>
    <w:rsid w:val="00DE3FCE"/>
    <w:rsid w:val="00DE6F2D"/>
    <w:rsid w:val="00DF6C8C"/>
    <w:rsid w:val="00E0025F"/>
    <w:rsid w:val="00E00A1D"/>
    <w:rsid w:val="00E07940"/>
    <w:rsid w:val="00E147C8"/>
    <w:rsid w:val="00E17502"/>
    <w:rsid w:val="00E30B05"/>
    <w:rsid w:val="00E32378"/>
    <w:rsid w:val="00E3583C"/>
    <w:rsid w:val="00E40F8E"/>
    <w:rsid w:val="00E438EF"/>
    <w:rsid w:val="00E47665"/>
    <w:rsid w:val="00E50628"/>
    <w:rsid w:val="00E50C4D"/>
    <w:rsid w:val="00E535F6"/>
    <w:rsid w:val="00E55914"/>
    <w:rsid w:val="00E55F14"/>
    <w:rsid w:val="00E6126D"/>
    <w:rsid w:val="00E62139"/>
    <w:rsid w:val="00E649E6"/>
    <w:rsid w:val="00E824C3"/>
    <w:rsid w:val="00E87284"/>
    <w:rsid w:val="00E87608"/>
    <w:rsid w:val="00E9065F"/>
    <w:rsid w:val="00EA22A5"/>
    <w:rsid w:val="00EA3600"/>
    <w:rsid w:val="00EA4B33"/>
    <w:rsid w:val="00EA56AB"/>
    <w:rsid w:val="00EC01CE"/>
    <w:rsid w:val="00EC0DC4"/>
    <w:rsid w:val="00EC563F"/>
    <w:rsid w:val="00ED0821"/>
    <w:rsid w:val="00ED0823"/>
    <w:rsid w:val="00ED0953"/>
    <w:rsid w:val="00ED40F1"/>
    <w:rsid w:val="00EF195A"/>
    <w:rsid w:val="00EF4634"/>
    <w:rsid w:val="00EF6EF9"/>
    <w:rsid w:val="00F008F5"/>
    <w:rsid w:val="00F00DEC"/>
    <w:rsid w:val="00F11BED"/>
    <w:rsid w:val="00F14380"/>
    <w:rsid w:val="00F14FB3"/>
    <w:rsid w:val="00F17D2F"/>
    <w:rsid w:val="00F36B9E"/>
    <w:rsid w:val="00F442D9"/>
    <w:rsid w:val="00F4470A"/>
    <w:rsid w:val="00F52708"/>
    <w:rsid w:val="00F52D98"/>
    <w:rsid w:val="00F541E0"/>
    <w:rsid w:val="00F565A9"/>
    <w:rsid w:val="00F6226E"/>
    <w:rsid w:val="00F65007"/>
    <w:rsid w:val="00F66434"/>
    <w:rsid w:val="00F66FC9"/>
    <w:rsid w:val="00F71255"/>
    <w:rsid w:val="00F717EE"/>
    <w:rsid w:val="00F729F5"/>
    <w:rsid w:val="00F74C26"/>
    <w:rsid w:val="00F82D34"/>
    <w:rsid w:val="00F84089"/>
    <w:rsid w:val="00F8727E"/>
    <w:rsid w:val="00F9332F"/>
    <w:rsid w:val="00F94449"/>
    <w:rsid w:val="00F97407"/>
    <w:rsid w:val="00FB57F7"/>
    <w:rsid w:val="00FB5BB1"/>
    <w:rsid w:val="00FB6475"/>
    <w:rsid w:val="00FB69C0"/>
    <w:rsid w:val="00FC2FC5"/>
    <w:rsid w:val="00FD1452"/>
    <w:rsid w:val="00FD5EC4"/>
    <w:rsid w:val="00FE3DE1"/>
    <w:rsid w:val="00FE6CCA"/>
    <w:rsid w:val="00FE78C5"/>
    <w:rsid w:val="00FE7F99"/>
    <w:rsid w:val="00FF538A"/>
    <w:rsid w:val="00FF5D95"/>
    <w:rsid w:val="00FF5EC2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C3D49EE"/>
  <w15:chartTrackingRefBased/>
  <w15:docId w15:val="{C8378E38-B053-46A9-9BE3-5FD533B6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76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aliases w:val="N2 IFT,2TitSec"/>
    <w:basedOn w:val="Normal"/>
    <w:next w:val="Normal"/>
    <w:link w:val="Ttulo2Car"/>
    <w:autoRedefine/>
    <w:uiPriority w:val="9"/>
    <w:unhideWhenUsed/>
    <w:qFormat/>
    <w:rsid w:val="008B7623"/>
    <w:pPr>
      <w:keepNext/>
      <w:spacing w:after="200" w:line="276" w:lineRule="auto"/>
      <w:jc w:val="center"/>
      <w:outlineLvl w:val="1"/>
    </w:pPr>
    <w:rPr>
      <w:rFonts w:ascii="ITC Avant Garde" w:eastAsia="Times New Roman" w:hAnsi="ITC Avant Garde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N2 IFT Car,2TitSec Car"/>
    <w:basedOn w:val="Fuentedeprrafopredeter"/>
    <w:link w:val="Ttulo2"/>
    <w:uiPriority w:val="9"/>
    <w:rsid w:val="008B7623"/>
    <w:rPr>
      <w:rFonts w:ascii="ITC Avant Garde" w:eastAsia="Times New Roman" w:hAnsi="ITC Avant Garde" w:cs="Arial"/>
      <w:b/>
      <w:bCs/>
    </w:rPr>
  </w:style>
  <w:style w:type="paragraph" w:customStyle="1" w:styleId="N1IFT">
    <w:name w:val="N1 IFT"/>
    <w:basedOn w:val="Ttulo1"/>
    <w:link w:val="N1IFTCar"/>
    <w:autoRedefine/>
    <w:qFormat/>
    <w:rsid w:val="008B7623"/>
    <w:pPr>
      <w:keepNext w:val="0"/>
      <w:keepLines w:val="0"/>
      <w:spacing w:before="0" w:after="200" w:line="276" w:lineRule="auto"/>
      <w:jc w:val="center"/>
    </w:pPr>
    <w:rPr>
      <w:rFonts w:ascii="ITC Avant Garde" w:eastAsia="Calibri" w:hAnsi="ITC Avant Garde" w:cs="Arial"/>
      <w:b/>
      <w:color w:val="auto"/>
      <w:sz w:val="22"/>
      <w:szCs w:val="22"/>
      <w:lang w:eastAsia="es-ES"/>
    </w:rPr>
  </w:style>
  <w:style w:type="character" w:customStyle="1" w:styleId="N1IFTCar">
    <w:name w:val="N1 IFT Car"/>
    <w:link w:val="N1IFT"/>
    <w:rsid w:val="008B7623"/>
    <w:rPr>
      <w:rFonts w:ascii="ITC Avant Garde" w:eastAsia="Calibri" w:hAnsi="ITC Avant Garde" w:cs="Arial"/>
      <w:b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B76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IFTnormal">
    <w:name w:val="IFT normal"/>
    <w:basedOn w:val="Normal"/>
    <w:link w:val="IFTnormalCar"/>
    <w:qFormat/>
    <w:rsid w:val="008B7623"/>
    <w:pPr>
      <w:spacing w:after="200" w:line="276" w:lineRule="auto"/>
      <w:jc w:val="both"/>
    </w:pPr>
    <w:rPr>
      <w:rFonts w:ascii="ITC Avant Garde" w:eastAsia="Calibri" w:hAnsi="ITC Avant Garde" w:cs="Arial"/>
      <w:color w:val="000000"/>
      <w:lang w:val="es-ES_tradnl" w:eastAsia="es-ES"/>
    </w:rPr>
  </w:style>
  <w:style w:type="character" w:customStyle="1" w:styleId="IFTnormalCar">
    <w:name w:val="IFT normal Car"/>
    <w:basedOn w:val="Fuentedeprrafopredeter"/>
    <w:link w:val="IFTnormal"/>
    <w:qFormat/>
    <w:rsid w:val="008B7623"/>
    <w:rPr>
      <w:rFonts w:ascii="ITC Avant Garde" w:eastAsia="Calibri" w:hAnsi="ITC Avant Garde" w:cs="Arial"/>
      <w:color w:val="000000"/>
      <w:lang w:val="es-ES_tradnl" w:eastAsia="es-ES"/>
    </w:rPr>
  </w:style>
  <w:style w:type="character" w:styleId="Refdecomentario">
    <w:name w:val="annotation reference"/>
    <w:uiPriority w:val="99"/>
    <w:unhideWhenUsed/>
    <w:rsid w:val="001967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9679A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9679A"/>
    <w:rPr>
      <w:rFonts w:ascii="Calibri" w:eastAsia="Times New Roman" w:hAnsi="Calibri" w:cs="Times New Roman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79A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prueba1,4 Viñ 1nivel,Numeración 1,Cuadrícula media 1 - Énfasis 21,Listas,lp1"/>
    <w:basedOn w:val="IFTnormal"/>
    <w:link w:val="PrrafodelistaCar"/>
    <w:uiPriority w:val="34"/>
    <w:qFormat/>
    <w:rsid w:val="00200A1D"/>
    <w:pPr>
      <w:spacing w:after="0" w:line="360" w:lineRule="auto"/>
      <w:contextualSpacing/>
      <w:outlineLvl w:val="3"/>
    </w:pPr>
    <w:rPr>
      <w:rFonts w:cs="Times New Roman"/>
    </w:rPr>
  </w:style>
  <w:style w:type="character" w:customStyle="1" w:styleId="PrrafodelistaCar">
    <w:name w:val="Párrafo de lista Car"/>
    <w:aliases w:val="prueba1 Car,4 Viñ 1nivel Car,Numeración 1 Car,Cuadrícula media 1 - Énfasis 21 Car,Listas Car,lp1 Car"/>
    <w:link w:val="Prrafodelista"/>
    <w:uiPriority w:val="34"/>
    <w:qFormat/>
    <w:rsid w:val="00200A1D"/>
    <w:rPr>
      <w:rFonts w:ascii="ITC Avant Garde" w:eastAsia="Calibri" w:hAnsi="ITC Avant Garde" w:cs="Times New Roman"/>
      <w:color w:val="00000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0D2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0D2A"/>
    <w:rPr>
      <w:rFonts w:ascii="Calibri" w:eastAsia="Times New Roman" w:hAnsi="Calibri" w:cs="Times New Roman"/>
      <w:b/>
      <w:bCs/>
      <w:sz w:val="20"/>
      <w:szCs w:val="20"/>
      <w:lang w:eastAsia="es-MX"/>
    </w:rPr>
  </w:style>
  <w:style w:type="paragraph" w:customStyle="1" w:styleId="Default">
    <w:name w:val="Default"/>
    <w:rsid w:val="00B46FA6"/>
    <w:pPr>
      <w:autoSpaceDE w:val="0"/>
      <w:autoSpaceDN w:val="0"/>
      <w:adjustRightInd w:val="0"/>
      <w:spacing w:after="0" w:line="240" w:lineRule="auto"/>
    </w:pPr>
    <w:rPr>
      <w:rFonts w:ascii="ITC Avant Garde" w:hAnsi="ITC Avant Garde" w:cs="ITC Avant Garde"/>
      <w:color w:val="000000"/>
      <w:sz w:val="24"/>
      <w:szCs w:val="24"/>
    </w:rPr>
  </w:style>
  <w:style w:type="paragraph" w:customStyle="1" w:styleId="IncisosIFT">
    <w:name w:val="Incisos IFT"/>
    <w:basedOn w:val="IFTnormal"/>
    <w:link w:val="IncisosIFTCar"/>
    <w:qFormat/>
    <w:rsid w:val="000B7362"/>
    <w:pPr>
      <w:ind w:left="426"/>
    </w:pPr>
  </w:style>
  <w:style w:type="character" w:customStyle="1" w:styleId="IncisosIFTCar">
    <w:name w:val="Incisos IFT Car"/>
    <w:basedOn w:val="IFTnormalCar"/>
    <w:link w:val="IncisosIFT"/>
    <w:rsid w:val="000B7362"/>
    <w:rPr>
      <w:rFonts w:ascii="ITC Avant Garde" w:eastAsia="Calibri" w:hAnsi="ITC Avant Garde" w:cs="Arial"/>
      <w:color w:val="00000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6F51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512D"/>
  </w:style>
  <w:style w:type="paragraph" w:styleId="Piedepgina">
    <w:name w:val="footer"/>
    <w:basedOn w:val="Normal"/>
    <w:link w:val="PiedepginaCar"/>
    <w:uiPriority w:val="99"/>
    <w:unhideWhenUsed/>
    <w:rsid w:val="006F51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512D"/>
  </w:style>
  <w:style w:type="paragraph" w:styleId="Revisin">
    <w:name w:val="Revision"/>
    <w:hidden/>
    <w:uiPriority w:val="99"/>
    <w:semiHidden/>
    <w:rsid w:val="00B841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EEB889474DA94B9F68B747786921B0" ma:contentTypeVersion="0" ma:contentTypeDescription="Crear nuevo documento." ma:contentTypeScope="" ma:versionID="6ec2e770e8c827b4c671df3dc9465b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726AF-D8D0-4396-95FE-A47D8C0A1D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DC5B0F-CB7C-46D0-921E-85A2B7686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79E181-BDF6-4B06-BC4B-99209B0E4D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4199A3-8E77-4593-86EC-67B9FC7A1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4536</Words>
  <Characters>24948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Anaid Karina Limon Rivera</dc:creator>
  <cp:keywords/>
  <dc:description/>
  <cp:lastModifiedBy>Alexis Pina Vega</cp:lastModifiedBy>
  <cp:revision>2</cp:revision>
  <cp:lastPrinted>2018-09-11T17:56:00Z</cp:lastPrinted>
  <dcterms:created xsi:type="dcterms:W3CDTF">2018-10-09T18:01:00Z</dcterms:created>
  <dcterms:modified xsi:type="dcterms:W3CDTF">2018-10-09T18:01:00Z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0x010100ECEEB889474DA94B9F68B747786921B0</vt:lpwstr>
  </property>
</Properties>
</file>