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8BA83" w14:textId="77777777" w:rsidR="00B223F1" w:rsidRPr="00E37A38" w:rsidRDefault="00E37A38" w:rsidP="00B223F1">
      <w:pPr>
        <w:pStyle w:val="N1IFT"/>
        <w:rPr>
          <w:b w:val="0"/>
        </w:rPr>
      </w:pPr>
      <w:r w:rsidRPr="00B223F1">
        <w:t>ANEXO ÚNICO. CAPACIDAD SUCEPTIBLE DE UTILIZACIÓN</w:t>
      </w:r>
    </w:p>
    <w:p w14:paraId="7A6808EE" w14:textId="0E517F59" w:rsidR="001315D2" w:rsidRDefault="00E37A38" w:rsidP="00E37A38">
      <w:pPr>
        <w:pStyle w:val="IFTnormal"/>
        <w:rPr>
          <w:lang w:val="es-419"/>
        </w:rPr>
      </w:pPr>
      <w:r>
        <w:rPr>
          <w:lang w:val="es-419"/>
        </w:rPr>
        <w:t>E</w:t>
      </w:r>
      <w:r w:rsidR="00365F4A">
        <w:t>l presente A</w:t>
      </w:r>
      <w:r>
        <w:t>nexo</w:t>
      </w:r>
      <w:r w:rsidR="00365F4A">
        <w:t xml:space="preserve"> Único</w:t>
      </w:r>
      <w:r>
        <w:t xml:space="preserve"> describe</w:t>
      </w:r>
      <w:r w:rsidRPr="00972FAC">
        <w:t xml:space="preserve"> </w:t>
      </w:r>
      <w:r w:rsidRPr="00972FAC">
        <w:rPr>
          <w:lang w:val="es-419"/>
        </w:rPr>
        <w:t xml:space="preserve">los </w:t>
      </w:r>
      <w:r>
        <w:rPr>
          <w:lang w:val="es-419"/>
        </w:rPr>
        <w:t>criterios</w:t>
      </w:r>
      <w:r w:rsidR="006472CB">
        <w:rPr>
          <w:lang w:val="es-419"/>
        </w:rPr>
        <w:t xml:space="preserve"> para determinar la</w:t>
      </w:r>
      <w:r>
        <w:rPr>
          <w:lang w:val="es-419"/>
        </w:rPr>
        <w:t xml:space="preserve"> Capacidad Susceptible de Utilización de </w:t>
      </w:r>
      <w:r w:rsidR="00FE6972">
        <w:rPr>
          <w:lang w:val="es-419"/>
        </w:rPr>
        <w:t>Ductos, Postes</w:t>
      </w:r>
      <w:r>
        <w:rPr>
          <w:lang w:val="es-419"/>
        </w:rPr>
        <w:t xml:space="preserve"> y </w:t>
      </w:r>
      <w:r w:rsidR="00E844DC">
        <w:rPr>
          <w:lang w:val="es-419"/>
        </w:rPr>
        <w:t>T</w:t>
      </w:r>
      <w:r>
        <w:rPr>
          <w:lang w:val="es-419"/>
        </w:rPr>
        <w:t>orres</w:t>
      </w:r>
      <w:r w:rsidR="0090306A">
        <w:rPr>
          <w:lang w:val="es-419"/>
        </w:rPr>
        <w:t xml:space="preserve"> para el posible Acceso y Uso Compartido de Elementos de Infraestructura</w:t>
      </w:r>
      <w:r>
        <w:rPr>
          <w:lang w:val="es-419"/>
        </w:rPr>
        <w:t>.</w:t>
      </w:r>
    </w:p>
    <w:p w14:paraId="042B8E65" w14:textId="77777777" w:rsidR="00FE6972" w:rsidRPr="00365F4A" w:rsidRDefault="00FE6972" w:rsidP="00365F4A">
      <w:pPr>
        <w:pStyle w:val="01TitPrin"/>
        <w:numPr>
          <w:ilvl w:val="0"/>
          <w:numId w:val="0"/>
        </w:numPr>
        <w:ind w:left="360" w:hanging="360"/>
      </w:pPr>
      <w:r>
        <w:t>CAPACIDAD SUSCEPTIBLE DE UTILIZACIÓN EN DUCTOS</w:t>
      </w:r>
    </w:p>
    <w:p w14:paraId="16027CF4" w14:textId="77777777" w:rsidR="00FE6972" w:rsidRPr="001736AC" w:rsidRDefault="00FE6972" w:rsidP="003E013F">
      <w:pPr>
        <w:pStyle w:val="IFTnormal"/>
        <w:rPr>
          <w:b/>
        </w:rPr>
      </w:pPr>
      <w:r w:rsidRPr="001736AC">
        <w:rPr>
          <w:b/>
        </w:rPr>
        <w:t>Sección útil de un Ducto</w:t>
      </w:r>
    </w:p>
    <w:p w14:paraId="78806252" w14:textId="77777777" w:rsidR="00FE6972" w:rsidRPr="00691C14" w:rsidRDefault="00FE6972" w:rsidP="00FE6972">
      <w:pPr>
        <w:pStyle w:val="IFTnormal"/>
      </w:pPr>
      <w:r>
        <w:rPr>
          <w:lang w:val="es-419"/>
        </w:rPr>
        <w:t xml:space="preserve">La </w:t>
      </w:r>
      <w:r>
        <w:t xml:space="preserve">sección </w:t>
      </w:r>
      <w:r>
        <w:rPr>
          <w:lang w:val="es-419"/>
        </w:rPr>
        <w:t>útil</w:t>
      </w:r>
      <w:r w:rsidRPr="00691C14">
        <w:t xml:space="preserve"> </w:t>
      </w:r>
      <w:r>
        <w:rPr>
          <w:lang w:val="es-419"/>
        </w:rPr>
        <w:t xml:space="preserve">de un Ducto </w:t>
      </w:r>
      <w:r w:rsidR="00365F4A">
        <w:rPr>
          <w:lang w:val="es-419"/>
        </w:rPr>
        <w:t xml:space="preserve">para compartir </w:t>
      </w:r>
      <w:r>
        <w:rPr>
          <w:lang w:val="es-419"/>
        </w:rPr>
        <w:t xml:space="preserve">es </w:t>
      </w:r>
      <w:r w:rsidR="00A02FCE">
        <w:rPr>
          <w:lang w:val="es-419"/>
        </w:rPr>
        <w:t>el porcentaje</w:t>
      </w:r>
      <w:r w:rsidRPr="00691C14">
        <w:t xml:space="preserve"> del área de la sección interior total de un Ducto que puede utilizarse para instalar </w:t>
      </w:r>
      <w:r w:rsidR="00365F4A">
        <w:t xml:space="preserve">nuevos </w:t>
      </w:r>
      <w:r w:rsidRPr="00691C14">
        <w:t xml:space="preserve">cables o </w:t>
      </w:r>
      <w:proofErr w:type="spellStart"/>
      <w:r w:rsidRPr="00691C14">
        <w:t>subductos</w:t>
      </w:r>
      <w:proofErr w:type="spellEnd"/>
      <w:r w:rsidR="0038723D">
        <w:t>.</w:t>
      </w:r>
    </w:p>
    <w:p w14:paraId="7048E124" w14:textId="77777777" w:rsidR="00FE6972" w:rsidRDefault="00FE6972" w:rsidP="00FE6972">
      <w:pPr>
        <w:pStyle w:val="IFTnormal"/>
      </w:pPr>
      <w:r>
        <w:t xml:space="preserve">Se establece como </w:t>
      </w:r>
      <w:r w:rsidR="00365F4A">
        <w:t xml:space="preserve">sección útil de un Ducto para </w:t>
      </w:r>
      <w:r w:rsidR="00B9723C">
        <w:t>posible compartición</w:t>
      </w:r>
      <w:r w:rsidR="00365F4A">
        <w:t xml:space="preserve"> el 80% de la C</w:t>
      </w:r>
      <w:r>
        <w:t xml:space="preserve">apacidad del mismo, </w:t>
      </w:r>
      <w:r w:rsidR="00365F4A">
        <w:t xml:space="preserve">por lo que se podrá determinar que no existe </w:t>
      </w:r>
      <w:r w:rsidR="00365F4A" w:rsidRPr="00365F4A">
        <w:t xml:space="preserve">Capacidad Susceptible de Utilización </w:t>
      </w:r>
      <w:r w:rsidR="00365F4A">
        <w:t xml:space="preserve">en un </w:t>
      </w:r>
      <w:r w:rsidR="00832091">
        <w:t>D</w:t>
      </w:r>
      <w:r w:rsidR="00365F4A">
        <w:t>ucto para el Acceso y Uso Compartido de Elementos de Infraestructura</w:t>
      </w:r>
      <w:r>
        <w:t xml:space="preserve"> </w:t>
      </w:r>
      <w:r w:rsidR="00365F4A">
        <w:t xml:space="preserve">cuando </w:t>
      </w:r>
      <w:r w:rsidR="008600AA">
        <w:t xml:space="preserve">el </w:t>
      </w:r>
      <w:r>
        <w:t xml:space="preserve">porcentaje </w:t>
      </w:r>
      <w:r w:rsidR="00832091">
        <w:t xml:space="preserve">de ocupación sea </w:t>
      </w:r>
      <w:r>
        <w:t xml:space="preserve">mayor a la sección útil establecida. </w:t>
      </w:r>
    </w:p>
    <w:p w14:paraId="36F21DEF" w14:textId="77777777" w:rsidR="00FE6972" w:rsidRPr="00130977" w:rsidRDefault="00FE6972" w:rsidP="003E013F">
      <w:pPr>
        <w:pStyle w:val="IFTnormal"/>
        <w:rPr>
          <w:b/>
        </w:rPr>
      </w:pPr>
      <w:r w:rsidRPr="00130977">
        <w:rPr>
          <w:b/>
        </w:rPr>
        <w:t xml:space="preserve">Cálculo </w:t>
      </w:r>
      <w:r>
        <w:rPr>
          <w:b/>
        </w:rPr>
        <w:t>de Capacidad Susceptible de Utilización</w:t>
      </w:r>
    </w:p>
    <w:p w14:paraId="01733D68" w14:textId="77777777" w:rsidR="00FE6972" w:rsidRDefault="002D05A7" w:rsidP="00FE6972">
      <w:pPr>
        <w:pStyle w:val="IFTnormal"/>
      </w:pPr>
      <w:r>
        <w:t xml:space="preserve">Para </w:t>
      </w:r>
      <w:r w:rsidR="00FE6972">
        <w:t xml:space="preserve">determinar si </w:t>
      </w:r>
      <w:r w:rsidR="00FE6972" w:rsidRPr="001736AC">
        <w:t>existe Capacidad Susceptible de Utilización</w:t>
      </w:r>
      <w:r w:rsidR="0090306A">
        <w:t xml:space="preserve"> para </w:t>
      </w:r>
      <w:r>
        <w:t>posible compartición se debe considerar</w:t>
      </w:r>
      <w:r w:rsidR="00FE6972" w:rsidRPr="001736AC">
        <w:t xml:space="preserve"> la sección útil</w:t>
      </w:r>
      <w:r w:rsidR="00FE6972">
        <w:t xml:space="preserve"> del Ducto</w:t>
      </w:r>
      <w:r>
        <w:t>, el</w:t>
      </w:r>
      <w:r w:rsidR="00FE6972">
        <w:t xml:space="preserve"> </w:t>
      </w:r>
      <w:r>
        <w:t>área interna total de un Ducto (AIT)</w:t>
      </w:r>
      <w:r w:rsidR="00FE6972">
        <w:t xml:space="preserve"> y el área </w:t>
      </w:r>
      <w:r w:rsidRPr="00F43F0A">
        <w:t xml:space="preserve">ocupada </w:t>
      </w:r>
      <w:r>
        <w:t xml:space="preserve">del Ducto </w:t>
      </w:r>
      <w:r w:rsidRPr="00F43F0A">
        <w:t>(AO</w:t>
      </w:r>
      <w:r>
        <w:t>)</w:t>
      </w:r>
      <w:r w:rsidR="00FE6972">
        <w:t xml:space="preserve">. </w:t>
      </w:r>
    </w:p>
    <w:p w14:paraId="3D07819E" w14:textId="6CB7FE48" w:rsidR="00FE6972" w:rsidRPr="00F43F0A" w:rsidRDefault="002D05A7" w:rsidP="00FE6972">
      <w:pPr>
        <w:pStyle w:val="IFTnormal"/>
      </w:pPr>
      <w:r>
        <w:t xml:space="preserve">Para el </w:t>
      </w:r>
      <w:r w:rsidR="00FE6972">
        <w:t xml:space="preserve">AIT se tomarán las áreas calculadas </w:t>
      </w:r>
      <w:r w:rsidR="008600AA">
        <w:t xml:space="preserve">a partir de las mediciones previstas </w:t>
      </w:r>
      <w:r w:rsidR="00FE6972">
        <w:t xml:space="preserve">en el capítulo 10 de la </w:t>
      </w:r>
      <w:r w:rsidR="00FE6972" w:rsidRPr="00F43F0A">
        <w:t xml:space="preserve">NOM-001-SEDE-2012. </w:t>
      </w:r>
      <w:r w:rsidR="008600AA">
        <w:t xml:space="preserve">En caso de que dichas mediciones </w:t>
      </w:r>
      <w:r w:rsidR="00FE6972" w:rsidRPr="00F43F0A">
        <w:t xml:space="preserve">no </w:t>
      </w:r>
      <w:r w:rsidR="008600AA">
        <w:t>sean</w:t>
      </w:r>
      <w:r w:rsidR="00FE6972" w:rsidRPr="00F43F0A">
        <w:t xml:space="preserve"> aplicable</w:t>
      </w:r>
      <w:r w:rsidR="00FE6972">
        <w:rPr>
          <w:lang w:val="es-419"/>
        </w:rPr>
        <w:t>s</w:t>
      </w:r>
      <w:r w:rsidR="00FE6972" w:rsidRPr="00F43F0A">
        <w:t xml:space="preserve"> </w:t>
      </w:r>
      <w:r w:rsidR="00FE6972">
        <w:rPr>
          <w:lang w:val="es-419"/>
        </w:rPr>
        <w:t xml:space="preserve">se </w:t>
      </w:r>
      <w:r w:rsidR="00FE6972" w:rsidRPr="00F43F0A">
        <w:t>deber</w:t>
      </w:r>
      <w:r w:rsidR="00FE6972">
        <w:rPr>
          <w:lang w:val="es-419"/>
        </w:rPr>
        <w:t>á</w:t>
      </w:r>
      <w:r w:rsidR="00FE6972" w:rsidRPr="00F43F0A">
        <w:t xml:space="preserve"> utilizar </w:t>
      </w:r>
      <w:r w:rsidR="00FE6972">
        <w:t>algún</w:t>
      </w:r>
      <w:r w:rsidR="00FE6972">
        <w:rPr>
          <w:lang w:val="es-419"/>
        </w:rPr>
        <w:t xml:space="preserve"> probador de vía</w:t>
      </w:r>
      <w:r w:rsidR="00FE6972" w:rsidRPr="00F43F0A">
        <w:t xml:space="preserve"> </w:t>
      </w:r>
      <w:r w:rsidR="00FE6972">
        <w:rPr>
          <w:lang w:val="es-419"/>
        </w:rPr>
        <w:t xml:space="preserve">y calcular </w:t>
      </w:r>
      <w:r w:rsidR="00FE6972" w:rsidRPr="00AE7E14">
        <w:t xml:space="preserve">el diámetro </w:t>
      </w:r>
      <w:r w:rsidR="00FE6972">
        <w:rPr>
          <w:lang w:val="es-419"/>
        </w:rPr>
        <w:t xml:space="preserve">medio siguiendo en lo aplicable la norma </w:t>
      </w:r>
      <w:r w:rsidR="00FE6972" w:rsidRPr="00AE7E14">
        <w:t>N-CRT-CAR-1-08-001/07</w:t>
      </w:r>
      <w:r w:rsidR="00FE6972">
        <w:rPr>
          <w:lang w:val="es-419"/>
        </w:rPr>
        <w:t xml:space="preserve">, </w:t>
      </w:r>
      <w:r w:rsidR="008600AA">
        <w:rPr>
          <w:lang w:val="es-419"/>
        </w:rPr>
        <w:t xml:space="preserve">el cual </w:t>
      </w:r>
      <w:r w:rsidR="00FE6972">
        <w:rPr>
          <w:lang w:val="es-419"/>
        </w:rPr>
        <w:t>será</w:t>
      </w:r>
      <w:r w:rsidR="00FE6972" w:rsidRPr="00AE7E14">
        <w:t xml:space="preserve"> el que garantiza la </w:t>
      </w:r>
      <w:r w:rsidR="00A02FCE">
        <w:rPr>
          <w:lang w:val="es-419"/>
        </w:rPr>
        <w:t>Capacidad</w:t>
      </w:r>
      <w:r w:rsidR="00FE6972" w:rsidRPr="00AE7E14">
        <w:t xml:space="preserve"> de</w:t>
      </w:r>
      <w:r w:rsidR="00FE6972">
        <w:rPr>
          <w:lang w:val="es-419"/>
        </w:rPr>
        <w:t>l</w:t>
      </w:r>
      <w:r w:rsidR="00FE6972">
        <w:t xml:space="preserve"> D</w:t>
      </w:r>
      <w:r w:rsidR="00FE6972" w:rsidRPr="00AE7E14">
        <w:t xml:space="preserve">ucto </w:t>
      </w:r>
      <w:r w:rsidR="00FE6972">
        <w:rPr>
          <w:lang w:val="es-419"/>
        </w:rPr>
        <w:t>para</w:t>
      </w:r>
      <w:r w:rsidR="00FE6972">
        <w:t xml:space="preserve"> la instalación de C</w:t>
      </w:r>
      <w:r w:rsidR="00FE6972" w:rsidRPr="00AE7E14">
        <w:t>able</w:t>
      </w:r>
      <w:r w:rsidR="00FE6972">
        <w:rPr>
          <w:lang w:val="es-419"/>
        </w:rPr>
        <w:t>s</w:t>
      </w:r>
      <w:r w:rsidR="00FE6972">
        <w:t xml:space="preserve"> y con el cual se calcular</w:t>
      </w:r>
      <w:r w:rsidR="00FE6972">
        <w:rPr>
          <w:lang w:val="es-419"/>
        </w:rPr>
        <w:t xml:space="preserve">á el AIT </w:t>
      </w:r>
      <w:r w:rsidR="008600AA">
        <w:rPr>
          <w:lang w:val="es-419"/>
        </w:rPr>
        <w:t xml:space="preserve">a partir de </w:t>
      </w:r>
      <w:r w:rsidR="00FE6972">
        <w:rPr>
          <w:lang w:val="es-419"/>
        </w:rPr>
        <w:t xml:space="preserve">la formula </w:t>
      </w:r>
      <w:r w:rsidR="00FE6972">
        <w:t xml:space="preserve">AIT = </w:t>
      </w:r>
      <m:oMath>
        <m:r>
          <w:rPr>
            <w:rFonts w:ascii="Cambria Math" w:hAnsi="Cambria Math"/>
          </w:rPr>
          <m:t>π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/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  <m:r>
          <w:rPr>
            <w:rFonts w:ascii="Cambria Math" w:hAnsi="Cambria Math"/>
          </w:rPr>
          <m:t>,</m:t>
        </m:r>
      </m:oMath>
      <w:r w:rsidR="00FE6972">
        <w:rPr>
          <w:lang w:val="es-419"/>
        </w:rPr>
        <w:t xml:space="preserve"> donde (d) es el diámetro medio del probador de vía. </w:t>
      </w:r>
    </w:p>
    <w:p w14:paraId="64046523" w14:textId="2B75FC1C" w:rsidR="00FE6972" w:rsidRPr="005656A0" w:rsidRDefault="00FE6972" w:rsidP="00FE6972">
      <w:pPr>
        <w:pStyle w:val="IFTnormal"/>
      </w:pPr>
      <w:r w:rsidRPr="00F43F0A">
        <w:t xml:space="preserve">El AO que contiene (n) Cables o </w:t>
      </w:r>
      <w:proofErr w:type="spellStart"/>
      <w:r w:rsidRPr="00F43F0A">
        <w:t>subductos</w:t>
      </w:r>
      <w:proofErr w:type="spellEnd"/>
      <w:r w:rsidRPr="00F43F0A">
        <w:t xml:space="preserve"> queda determinada por la suma de las áreas</w:t>
      </w:r>
      <w:r>
        <w:t xml:space="preserve"> que ocupan los C</w:t>
      </w:r>
      <w:r w:rsidRPr="00F43F0A">
        <w:t xml:space="preserve">ables y </w:t>
      </w:r>
      <w:proofErr w:type="spellStart"/>
      <w:r w:rsidRPr="00F43F0A">
        <w:t>subductos</w:t>
      </w:r>
      <w:proofErr w:type="spellEnd"/>
      <w:r w:rsidRPr="00F43F0A">
        <w:t xml:space="preserve"> que se encuentran instalados. Para el cálculo de la AO se tomarán </w:t>
      </w:r>
      <w:r w:rsidR="008600AA">
        <w:t xml:space="preserve">las mediciones para estimar </w:t>
      </w:r>
      <w:r w:rsidRPr="00F43F0A">
        <w:t xml:space="preserve">las áreas </w:t>
      </w:r>
      <w:r>
        <w:t>para C</w:t>
      </w:r>
      <w:r w:rsidRPr="00F43F0A">
        <w:t xml:space="preserve">ables aislados </w:t>
      </w:r>
      <w:r w:rsidR="008600AA">
        <w:t xml:space="preserve">señaladas </w:t>
      </w:r>
      <w:r w:rsidRPr="00F43F0A">
        <w:t xml:space="preserve">en el capítulo 10 de la NOM-001-SEDE-2012 </w:t>
      </w:r>
      <w:r w:rsidR="001373B5">
        <w:t>multiplicado por 1.27</w:t>
      </w:r>
      <w:r w:rsidR="008600AA">
        <w:t>,</w:t>
      </w:r>
      <w:r w:rsidR="001373B5">
        <w:t xml:space="preserve"> </w:t>
      </w:r>
      <w:r w:rsidRPr="00F43F0A">
        <w:t>y si</w:t>
      </w:r>
      <w:r>
        <w:t xml:space="preserve"> no son aplicables para algún caso dichas mediciones deberán de</w:t>
      </w:r>
      <w:r w:rsidRPr="00D36CE6">
        <w:t xml:space="preserve"> utilizar</w:t>
      </w:r>
      <w:r>
        <w:t xml:space="preserve"> las</w:t>
      </w:r>
      <w:r w:rsidRPr="00D36CE6">
        <w:t xml:space="preserve"> dimensiones reales </w:t>
      </w:r>
      <w:r>
        <w:t xml:space="preserve">del Cable o </w:t>
      </w:r>
      <w:proofErr w:type="spellStart"/>
      <w:r>
        <w:t>subducto</w:t>
      </w:r>
      <w:proofErr w:type="spellEnd"/>
      <w:r>
        <w:t xml:space="preserve"> bajo la siguiente formula:</w:t>
      </w:r>
    </w:p>
    <w:p w14:paraId="17A8D3BF" w14:textId="77777777" w:rsidR="00FE6972" w:rsidRPr="00791343" w:rsidRDefault="006058BF" w:rsidP="00FE6972">
      <w:pPr>
        <w:spacing w:before="200" w:line="240" w:lineRule="auto"/>
        <w:contextualSpacing/>
        <w:jc w:val="both"/>
        <w:rPr>
          <w:rFonts w:ascii="ITC Avant Garde" w:eastAsia="Calibri" w:hAnsi="ITC Avant Garde" w:cs="Calibri"/>
          <w:color w:val="000000"/>
          <w:lang w:val="es-ES_tradnl" w:eastAsia="es-ES"/>
        </w:rPr>
      </w:pPr>
      <m:oMathPara>
        <m:oMath>
          <m:r>
            <w:rPr>
              <w:rFonts w:ascii="Cambria Math" w:eastAsia="Calibri" w:hAnsi="Cambria Math" w:cs="Arial"/>
              <w:color w:val="000000"/>
              <w:lang w:val="es-ES_tradnl" w:eastAsia="es-ES"/>
            </w:rPr>
            <w:lastRenderedPageBreak/>
            <m:t>Área ocupada por cables y subductos no especificados=(1.27)</m:t>
          </m:r>
          <m:f>
            <m:fPr>
              <m:ctrlPr>
                <w:rPr>
                  <w:rFonts w:ascii="Cambria Math" w:eastAsia="Calibri" w:hAnsi="Cambria Math" w:cs="Arial"/>
                  <w:i/>
                  <w:color w:val="000000"/>
                  <w:lang w:val="es-ES_tradnl" w:eastAsia="es-ES"/>
                </w:rPr>
              </m:ctrlPr>
            </m:fPr>
            <m:num>
              <m:r>
                <w:rPr>
                  <w:rFonts w:ascii="Cambria Math" w:eastAsia="Calibri" w:hAnsi="Cambria Math" w:cs="Arial"/>
                  <w:color w:val="000000"/>
                  <w:lang w:val="es-ES_tradnl" w:eastAsia="es-ES"/>
                </w:rPr>
                <m:t>π</m:t>
              </m:r>
            </m:num>
            <m:den>
              <m:r>
                <w:rPr>
                  <w:rFonts w:ascii="Cambria Math" w:eastAsia="Calibri" w:hAnsi="Cambria Math" w:cs="Arial"/>
                  <w:color w:val="000000"/>
                  <w:lang w:val="es-ES_tradnl" w:eastAsia="es-ES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color w:val="000000"/>
                  <w:lang w:val="es-ES_tradnl" w:eastAsia="es-ES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color w:val="000000"/>
                      <w:lang w:val="es-ES_tradnl" w:eastAsia="es-ES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color w:val="000000"/>
                      <w:lang w:val="es-ES_tradnl" w:eastAsia="es-ES"/>
                    </w:rPr>
                    <m:t>1</m:t>
                  </m:r>
                </m:sub>
                <m:sup>
                  <m:r>
                    <w:rPr>
                      <w:rFonts w:ascii="Cambria Math" w:eastAsia="Calibri" w:hAnsi="Cambria Math" w:cs="Arial"/>
                      <w:color w:val="000000"/>
                      <w:lang w:val="es-ES_tradnl" w:eastAsia="es-E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color w:val="000000"/>
                          <w:lang w:val="es-ES_tradnl" w:eastAsia="es-ES"/>
                        </w:rPr>
                      </m:ctrlPr>
                    </m:sSubSupPr>
                    <m:e>
                      <m:r>
                        <w:rPr>
                          <w:rFonts w:ascii="Cambria Math" w:eastAsia="Calibri" w:hAnsi="Cambria Math" w:cs="Arial"/>
                          <w:color w:val="000000"/>
                          <w:lang w:val="es-ES_tradnl" w:eastAsia="es-E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color w:val="000000"/>
                          <w:lang w:val="es-ES_tradnl" w:eastAsia="es-E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color w:val="000000"/>
                          <w:lang w:val="es-ES_tradnl" w:eastAsia="es-ES"/>
                        </w:rPr>
                        <m:t>2</m:t>
                      </m:r>
                    </m:sup>
                  </m:sSubSup>
                </m:e>
              </m:nary>
            </m:e>
          </m:d>
        </m:oMath>
      </m:oMathPara>
    </w:p>
    <w:p w14:paraId="42D00CAB" w14:textId="77777777" w:rsidR="00FE6972" w:rsidRDefault="00FE6972" w:rsidP="00FE6972">
      <w:pPr>
        <w:pStyle w:val="IFTnormal"/>
      </w:pPr>
      <w:r>
        <w:t>Donde:</w:t>
      </w:r>
    </w:p>
    <w:p w14:paraId="3284B6F3" w14:textId="2E72CD93" w:rsidR="00FE6972" w:rsidRPr="00B632F2" w:rsidRDefault="00185DCC" w:rsidP="00F730BD">
      <w:pPr>
        <w:pStyle w:val="IFTnormal"/>
        <w:ind w:left="708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E6972">
        <w:t>: es el diámetro de cada Cable o subducto instalados en el Ducto principal que no tienen área especificada.</w:t>
      </w:r>
    </w:p>
    <w:p w14:paraId="286B67D0" w14:textId="77777777" w:rsidR="00FE6972" w:rsidRPr="00B632F2" w:rsidRDefault="00FE6972" w:rsidP="00FE6972">
      <w:pPr>
        <w:pStyle w:val="IFTnormal"/>
      </w:pPr>
      <w:r w:rsidRPr="00B632F2">
        <w:t xml:space="preserve">Cuando el porcentaje de </w:t>
      </w:r>
      <w:r>
        <w:t>AO</w:t>
      </w:r>
      <w:r w:rsidRPr="00B632F2">
        <w:t xml:space="preserve"> con respecto al </w:t>
      </w:r>
      <w:r>
        <w:t>AIT</w:t>
      </w:r>
      <w:r w:rsidRPr="00B632F2">
        <w:t xml:space="preserve"> es menor al Porcentaje de la </w:t>
      </w:r>
      <w:r w:rsidR="001707D2">
        <w:rPr>
          <w:lang w:val="es-419"/>
        </w:rPr>
        <w:t>sección útil</w:t>
      </w:r>
      <w:r w:rsidRPr="00B632F2">
        <w:t xml:space="preserve">, existe Capacidad Susceptible de Utilización </w:t>
      </w:r>
      <w:r w:rsidR="002D05A7">
        <w:t xml:space="preserve">para posible compartición </w:t>
      </w:r>
      <w:r w:rsidRPr="00B632F2">
        <w:t>en el Ducto.</w:t>
      </w:r>
    </w:p>
    <w:p w14:paraId="3B7A60BE" w14:textId="77777777" w:rsidR="00FE6972" w:rsidRDefault="00185DCC" w:rsidP="00FE6972">
      <w:pPr>
        <w:pStyle w:val="IFTnormal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AO</m:t>
                  </m:r>
                </m:num>
                <m:den>
                  <m:r>
                    <w:rPr>
                      <w:rFonts w:ascii="Cambria Math" w:hAnsi="Cambria Math"/>
                    </w:rPr>
                    <m:t>AIT</m:t>
                  </m:r>
                </m:den>
              </m:f>
              <m:r>
                <w:rPr>
                  <w:rFonts w:ascii="Cambria Math" w:hAnsi="Cambria Math"/>
                </w:rPr>
                <m:t>x100</m:t>
              </m:r>
            </m:e>
          </m:d>
          <m:r>
            <w:rPr>
              <w:rFonts w:ascii="Cambria Math" w:hAnsi="Cambria Math"/>
            </w:rPr>
            <m:t>&lt;Procentaje de Sección Útil</m:t>
          </m:r>
        </m:oMath>
      </m:oMathPara>
    </w:p>
    <w:p w14:paraId="60DE2C1E" w14:textId="77777777" w:rsidR="00FE6972" w:rsidRPr="00E3156D" w:rsidRDefault="00FE6972" w:rsidP="00FE6972">
      <w:pPr>
        <w:pStyle w:val="IFTnormal"/>
      </w:pPr>
      <w:r w:rsidRPr="00B632F2">
        <w:t xml:space="preserve">Por otro lado, cuando se quieran instalar nuevos </w:t>
      </w:r>
      <w:r>
        <w:t>Cable</w:t>
      </w:r>
      <w:r w:rsidRPr="00B632F2">
        <w:t xml:space="preserve">s o </w:t>
      </w:r>
      <w:proofErr w:type="spellStart"/>
      <w:r w:rsidRPr="00B632F2">
        <w:t>sub</w:t>
      </w:r>
      <w:r>
        <w:t>ducto</w:t>
      </w:r>
      <w:r w:rsidRPr="00B632F2">
        <w:t>s</w:t>
      </w:r>
      <w:proofErr w:type="spellEnd"/>
      <w:r w:rsidRPr="00B632F2">
        <w:t xml:space="preserve"> en un Ducto, se deberá calcular el área que </w:t>
      </w:r>
      <w:r w:rsidR="002D05A7">
        <w:t>utilizarían</w:t>
      </w:r>
      <w:r w:rsidRPr="00B632F2">
        <w:t xml:space="preserve"> los (</w:t>
      </w:r>
      <w:r>
        <w:t>n</w:t>
      </w:r>
      <w:r w:rsidRPr="00B632F2">
        <w:t xml:space="preserve">) </w:t>
      </w:r>
      <w:r>
        <w:t>Cable</w:t>
      </w:r>
      <w:r w:rsidRPr="00B632F2">
        <w:t xml:space="preserve">s y/o </w:t>
      </w:r>
      <w:proofErr w:type="spellStart"/>
      <w:r w:rsidRPr="00B632F2">
        <w:t>sub</w:t>
      </w:r>
      <w:r>
        <w:t>ducto</w:t>
      </w:r>
      <w:r w:rsidRPr="00B632F2">
        <w:t>s</w:t>
      </w:r>
      <w:proofErr w:type="spellEnd"/>
      <w:r w:rsidRPr="00B632F2">
        <w:t xml:space="preserve"> entrantes, </w:t>
      </w:r>
      <w:r>
        <w:t>bajo las mismas premisas que el cálculo del AO.</w:t>
      </w:r>
    </w:p>
    <w:p w14:paraId="464F6599" w14:textId="33883113" w:rsidR="00FE6972" w:rsidRPr="00B632F2" w:rsidRDefault="00F12BC2" w:rsidP="00FE6972">
      <w:pPr>
        <w:pStyle w:val="IFTnormal"/>
      </w:pPr>
      <w:r>
        <w:t xml:space="preserve">Es decir, </w:t>
      </w:r>
      <w:r w:rsidR="00FE6972" w:rsidRPr="00B632F2">
        <w:t xml:space="preserve">cuando la suma de los porcentajes del </w:t>
      </w:r>
      <w:r w:rsidR="00FE6972">
        <w:t>AO</w:t>
      </w:r>
      <w:r w:rsidR="00FE6972" w:rsidRPr="00B632F2">
        <w:t xml:space="preserve"> con respecto al </w:t>
      </w:r>
      <w:r w:rsidR="00FE6972">
        <w:t>AIT y área de l</w:t>
      </w:r>
      <w:r w:rsidR="00E54E83">
        <w:t xml:space="preserve">os nuevos Cables o </w:t>
      </w:r>
      <w:proofErr w:type="spellStart"/>
      <w:r w:rsidR="00E54E83">
        <w:t>subductos</w:t>
      </w:r>
      <w:proofErr w:type="spellEnd"/>
      <w:r w:rsidR="00E54E83">
        <w:t xml:space="preserve"> (NC</w:t>
      </w:r>
      <w:r w:rsidR="00FE6972">
        <w:t>)</w:t>
      </w:r>
      <w:r w:rsidR="00FE6972" w:rsidRPr="00B632F2">
        <w:t xml:space="preserve"> respecto al </w:t>
      </w:r>
      <w:r w:rsidR="00FE6972">
        <w:t>AIT</w:t>
      </w:r>
      <w:r w:rsidR="00FE6972" w:rsidRPr="00B632F2">
        <w:t xml:space="preserve"> es menor</w:t>
      </w:r>
      <w:r w:rsidR="00FE6972">
        <w:t xml:space="preserve"> o igual</w:t>
      </w:r>
      <w:r w:rsidR="00FE6972" w:rsidRPr="00B632F2">
        <w:t xml:space="preserve"> al </w:t>
      </w:r>
      <w:r w:rsidR="00D44469">
        <w:t>p</w:t>
      </w:r>
      <w:r w:rsidR="00FE6972" w:rsidRPr="00B632F2">
        <w:t xml:space="preserve">orcentaje de </w:t>
      </w:r>
      <w:r w:rsidR="00FE6972">
        <w:rPr>
          <w:lang w:val="es-419"/>
        </w:rPr>
        <w:t>s</w:t>
      </w:r>
      <w:proofErr w:type="spellStart"/>
      <w:r w:rsidR="00FE6972" w:rsidRPr="00B632F2">
        <w:t>ección</w:t>
      </w:r>
      <w:proofErr w:type="spellEnd"/>
      <w:r w:rsidR="00FE6972" w:rsidRPr="00B632F2">
        <w:t xml:space="preserve"> </w:t>
      </w:r>
      <w:r w:rsidR="00FE6972">
        <w:rPr>
          <w:lang w:val="es-419"/>
        </w:rPr>
        <w:t>ú</w:t>
      </w:r>
      <w:proofErr w:type="spellStart"/>
      <w:r w:rsidR="00FE6972" w:rsidRPr="00674915">
        <w:t>til</w:t>
      </w:r>
      <w:proofErr w:type="spellEnd"/>
      <w:r w:rsidR="00FE6972" w:rsidRPr="00674915">
        <w:t>,</w:t>
      </w:r>
      <w:r w:rsidR="00FE6972" w:rsidRPr="00B632F2">
        <w:t xml:space="preserve"> es factible la Instalación de </w:t>
      </w:r>
      <w:r w:rsidR="00E54E83">
        <w:t>NC</w:t>
      </w:r>
      <w:r w:rsidR="00FE6972" w:rsidRPr="00B632F2">
        <w:t xml:space="preserve"> y/o </w:t>
      </w:r>
      <w:proofErr w:type="spellStart"/>
      <w:r w:rsidR="00FE6972" w:rsidRPr="00B632F2">
        <w:t>sub</w:t>
      </w:r>
      <w:r w:rsidR="00FE6972">
        <w:t>ductos</w:t>
      </w:r>
      <w:proofErr w:type="spellEnd"/>
      <w:r w:rsidR="00FE6972">
        <w:t xml:space="preserve"> si se cumple:</w:t>
      </w:r>
    </w:p>
    <w:p w14:paraId="6EF96B3B" w14:textId="26E80775" w:rsidR="00FE6972" w:rsidRDefault="00FE6972" w:rsidP="00FE6972">
      <w:pPr>
        <w:pStyle w:val="IFTnormal"/>
        <w:jc w:val="center"/>
      </w:pPr>
      <m:oMath>
        <m:r>
          <w:rPr>
            <w:rFonts w:ascii="Cambria Math" w:hAnsi="Cambria Math"/>
          </w:rPr>
          <m:t xml:space="preserve">Factible: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AO</m:t>
                </m:r>
              </m:num>
              <m:den>
                <m:r>
                  <w:rPr>
                    <w:rFonts w:ascii="Cambria Math" w:hAnsi="Cambria Math"/>
                  </w:rPr>
                  <m:t>AIT</m:t>
                </m:r>
              </m:den>
            </m:f>
            <m:r>
              <w:rPr>
                <w:rFonts w:ascii="Cambria Math" w:hAnsi="Cambria Math"/>
              </w:rPr>
              <m:t>x100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NC</m:t>
                </m:r>
              </m:num>
              <m:den>
                <m:r>
                  <w:rPr>
                    <w:rFonts w:ascii="Cambria Math" w:hAnsi="Cambria Math"/>
                  </w:rPr>
                  <m:t>AIT</m:t>
                </m:r>
              </m:den>
            </m:f>
            <m:r>
              <w:rPr>
                <w:rFonts w:ascii="Cambria Math" w:hAnsi="Cambria Math"/>
              </w:rPr>
              <m:t>x100</m:t>
            </m:r>
          </m:e>
        </m:d>
        <m:r>
          <w:rPr>
            <w:rFonts w:ascii="Cambria Math" w:hAnsi="Cambria Math"/>
          </w:rPr>
          <m:t xml:space="preserve">≤Porcentaje de Sección Útil </m:t>
        </m:r>
      </m:oMath>
      <w:r>
        <w:t xml:space="preserve"> </w:t>
      </w:r>
    </w:p>
    <w:p w14:paraId="7193AFAA" w14:textId="50FBC858" w:rsidR="00FE6972" w:rsidRPr="00B632F2" w:rsidRDefault="00FE6972" w:rsidP="00FE6972">
      <w:pPr>
        <w:pStyle w:val="IFTnormal"/>
      </w:pPr>
      <w:r w:rsidRPr="00B632F2">
        <w:t xml:space="preserve">De lo contrario, </w:t>
      </w:r>
      <w:r w:rsidR="00F12BC2">
        <w:t xml:space="preserve">se podrá considerar que </w:t>
      </w:r>
      <w:r w:rsidRPr="00B632F2">
        <w:t xml:space="preserve">no es factible la Instalación de los </w:t>
      </w:r>
      <w:r w:rsidR="00E54E83">
        <w:t>NC</w:t>
      </w:r>
      <w:r w:rsidRPr="00B632F2">
        <w:t>.</w:t>
      </w:r>
    </w:p>
    <w:p w14:paraId="49C70910" w14:textId="77777777" w:rsidR="00FE6972" w:rsidRPr="00C37912" w:rsidRDefault="00FE6972" w:rsidP="00C37912">
      <w:pPr>
        <w:pStyle w:val="IFTnormal"/>
        <w:jc w:val="center"/>
      </w:pPr>
      <m:oMathPara>
        <m:oMath>
          <m:r>
            <w:rPr>
              <w:rFonts w:ascii="Cambria Math" w:hAnsi="Cambria Math"/>
            </w:rPr>
            <m:t xml:space="preserve">No factible: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AO</m:t>
                  </m:r>
                </m:num>
                <m:den>
                  <m:r>
                    <w:rPr>
                      <w:rFonts w:ascii="Cambria Math" w:hAnsi="Cambria Math"/>
                    </w:rPr>
                    <m:t>AIT</m:t>
                  </m:r>
                </m:den>
              </m:f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NC</m:t>
                  </m:r>
                </m:num>
                <m:den>
                  <m:r>
                    <w:rPr>
                      <w:rFonts w:ascii="Cambria Math" w:hAnsi="Cambria Math"/>
                    </w:rPr>
                    <m:t>AIT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&gt;Porcentaje de Sección Útil </m:t>
          </m:r>
        </m:oMath>
      </m:oMathPara>
    </w:p>
    <w:p w14:paraId="73B391D6" w14:textId="77777777" w:rsidR="00E37A38" w:rsidRPr="00273ACA" w:rsidRDefault="00E37A38" w:rsidP="00FF00CB">
      <w:pPr>
        <w:pStyle w:val="01TitPrin"/>
        <w:numPr>
          <w:ilvl w:val="0"/>
          <w:numId w:val="0"/>
        </w:numPr>
        <w:ind w:left="360" w:hanging="360"/>
      </w:pPr>
      <w:r w:rsidRPr="00273ACA">
        <w:t xml:space="preserve">CAPACIDAD SUSCEPTIBLE DE UTILIZACIÓN </w:t>
      </w:r>
      <w:r>
        <w:t>EN POSTES</w:t>
      </w:r>
    </w:p>
    <w:p w14:paraId="4AEEB594" w14:textId="047F7F25" w:rsidR="00E37A38" w:rsidRDefault="00E37A38" w:rsidP="00E37A38">
      <w:pPr>
        <w:pStyle w:val="IFTnormal"/>
      </w:pPr>
      <w:r w:rsidRPr="00C01E49">
        <w:t xml:space="preserve">El Poste </w:t>
      </w:r>
      <w:r>
        <w:t xml:space="preserve">tendrá Capacidad Susceptible de Utilización </w:t>
      </w:r>
      <w:r w:rsidR="0005244E">
        <w:t>para posible compartición</w:t>
      </w:r>
      <w:r>
        <w:t xml:space="preserve"> siempre que se cumplan </w:t>
      </w:r>
      <w:r w:rsidR="00F12BC2">
        <w:t xml:space="preserve">las </w:t>
      </w:r>
      <w:r>
        <w:t xml:space="preserve">siguientes </w:t>
      </w:r>
      <w:r w:rsidR="00F12BC2">
        <w:t>premisas</w:t>
      </w:r>
      <w:r>
        <w:t>:</w:t>
      </w:r>
    </w:p>
    <w:p w14:paraId="42B8CBE7" w14:textId="77777777" w:rsidR="00E37A38" w:rsidRDefault="00E37A38" w:rsidP="00E37A38">
      <w:pPr>
        <w:pStyle w:val="IFTnormal"/>
        <w:numPr>
          <w:ilvl w:val="0"/>
          <w:numId w:val="1"/>
        </w:numPr>
      </w:pPr>
      <w:r>
        <w:t xml:space="preserve">Que los Cables, Infraestructura, </w:t>
      </w:r>
      <w:r w:rsidRPr="00C01E49">
        <w:t xml:space="preserve">elementos de sujeción </w:t>
      </w:r>
      <w:r>
        <w:t>y/o cualquier accesorio colocado</w:t>
      </w:r>
      <w:r w:rsidRPr="00C01E49">
        <w:t xml:space="preserve"> en el Poste no sobrepase</w:t>
      </w:r>
      <w:r>
        <w:t>n las cargas soportadas por el P</w:t>
      </w:r>
      <w:r w:rsidRPr="00C01E49">
        <w:t>oste seg</w:t>
      </w:r>
      <w:r>
        <w:t>ún sus características técnicas</w:t>
      </w:r>
      <w:r w:rsidR="00A47E63">
        <w:t>, y</w:t>
      </w:r>
    </w:p>
    <w:p w14:paraId="46732E4A" w14:textId="77777777" w:rsidR="00E37A38" w:rsidRDefault="00E37A38" w:rsidP="00E37A38">
      <w:pPr>
        <w:pStyle w:val="IFTnormal"/>
        <w:numPr>
          <w:ilvl w:val="0"/>
          <w:numId w:val="1"/>
        </w:numPr>
      </w:pPr>
      <w:r>
        <w:t xml:space="preserve">La </w:t>
      </w:r>
      <w:r w:rsidRPr="004A1A5D">
        <w:t xml:space="preserve">instalación de cables no resulte menor a la altura </w:t>
      </w:r>
      <w:r>
        <w:t>mínima de colocación.</w:t>
      </w:r>
    </w:p>
    <w:p w14:paraId="52F408A1" w14:textId="77777777" w:rsidR="00185DCC" w:rsidRDefault="00185DCC" w:rsidP="008775F4">
      <w:pPr>
        <w:pStyle w:val="03TitPrin"/>
        <w:numPr>
          <w:ilvl w:val="0"/>
          <w:numId w:val="0"/>
        </w:numPr>
      </w:pPr>
    </w:p>
    <w:p w14:paraId="38D01A8F" w14:textId="77777777" w:rsidR="00185DCC" w:rsidRDefault="00185DCC" w:rsidP="008775F4">
      <w:pPr>
        <w:pStyle w:val="03TitPrin"/>
        <w:numPr>
          <w:ilvl w:val="0"/>
          <w:numId w:val="0"/>
        </w:numPr>
      </w:pPr>
    </w:p>
    <w:p w14:paraId="4BC3B0C3" w14:textId="76FBE6BF" w:rsidR="00E37A38" w:rsidRDefault="00E37A38" w:rsidP="008775F4">
      <w:pPr>
        <w:pStyle w:val="03TitPrin"/>
        <w:numPr>
          <w:ilvl w:val="0"/>
          <w:numId w:val="0"/>
        </w:numPr>
      </w:pPr>
      <w:bookmarkStart w:id="0" w:name="_GoBack"/>
      <w:bookmarkEnd w:id="0"/>
      <w:r>
        <w:lastRenderedPageBreak/>
        <w:t xml:space="preserve">Atura mínima de cables </w:t>
      </w:r>
    </w:p>
    <w:p w14:paraId="2D61078D" w14:textId="47925088" w:rsidR="00E37A38" w:rsidRDefault="00E37A38" w:rsidP="00E37A38">
      <w:pPr>
        <w:pStyle w:val="IFTnormal"/>
        <w:numPr>
          <w:ilvl w:val="0"/>
          <w:numId w:val="4"/>
        </w:numPr>
      </w:pPr>
      <w:r>
        <w:t>La instalación del C</w:t>
      </w:r>
      <w:r w:rsidRPr="00EA26B9">
        <w:t xml:space="preserve">able </w:t>
      </w:r>
      <w:r>
        <w:t xml:space="preserve">sobre el Poste deberá </w:t>
      </w:r>
      <w:r w:rsidR="00F9038A">
        <w:t>garantizar</w:t>
      </w:r>
      <w:r>
        <w:t xml:space="preserve"> las siguientes distancias mínimas</w:t>
      </w:r>
      <w:r w:rsidR="00F9038A">
        <w:t xml:space="preserve"> del Cable</w:t>
      </w:r>
      <w:r>
        <w:t xml:space="preserve"> </w:t>
      </w:r>
      <w:r w:rsidRPr="00EA26B9">
        <w:t>respecto de</w:t>
      </w:r>
      <w:r w:rsidR="00F9038A">
        <w:t>l suelo</w:t>
      </w:r>
      <w:r>
        <w:t>:</w:t>
      </w:r>
    </w:p>
    <w:p w14:paraId="7E6B7679" w14:textId="065EF302" w:rsidR="00E37A38" w:rsidRPr="00701069" w:rsidRDefault="00E37A38" w:rsidP="008775F4">
      <w:pPr>
        <w:pStyle w:val="IFTnormal"/>
        <w:numPr>
          <w:ilvl w:val="0"/>
          <w:numId w:val="13"/>
        </w:numPr>
      </w:pPr>
      <w:r w:rsidRPr="00EA26B9">
        <w:t>4.</w:t>
      </w:r>
      <w:r w:rsidR="00CB7DED">
        <w:t>5</w:t>
      </w:r>
      <w:r w:rsidRPr="00EA26B9">
        <w:t xml:space="preserve"> metros como alt</w:t>
      </w:r>
      <w:r>
        <w:t xml:space="preserve">ura mínima </w:t>
      </w:r>
      <w:r w:rsidRPr="00EA26B9">
        <w:t xml:space="preserve">cuando el cable </w:t>
      </w:r>
      <w:r>
        <w:t>vaya distribuido sobre banqueta</w:t>
      </w:r>
      <w:r w:rsidR="00563BF4">
        <w:t>, y</w:t>
      </w:r>
      <w:r w:rsidRPr="00701069">
        <w:t xml:space="preserve"> </w:t>
      </w:r>
    </w:p>
    <w:p w14:paraId="7BAD0061" w14:textId="77777777" w:rsidR="00E37A38" w:rsidRPr="00EA26B9" w:rsidRDefault="00E37A38" w:rsidP="008775F4">
      <w:pPr>
        <w:pStyle w:val="IFTnormal"/>
        <w:numPr>
          <w:ilvl w:val="0"/>
          <w:numId w:val="13"/>
        </w:numPr>
      </w:pPr>
      <w:r w:rsidRPr="00EA26B9">
        <w:t>5.50 m</w:t>
      </w:r>
      <w:r>
        <w:t>etros como altura mínima</w:t>
      </w:r>
      <w:r w:rsidR="000A5578">
        <w:t xml:space="preserve"> en caso de que el C</w:t>
      </w:r>
      <w:r w:rsidRPr="00EA26B9">
        <w:t xml:space="preserve">able deba </w:t>
      </w:r>
      <w:r>
        <w:t>cruce</w:t>
      </w:r>
      <w:r w:rsidRPr="00EA26B9">
        <w:t xml:space="preserve"> alguna calle.</w:t>
      </w:r>
    </w:p>
    <w:p w14:paraId="5741FE9F" w14:textId="439720A4" w:rsidR="00E37A38" w:rsidRPr="00CB7DED" w:rsidRDefault="00E37A38" w:rsidP="00CB7DED">
      <w:pPr>
        <w:pStyle w:val="Default"/>
        <w:rPr>
          <w:rFonts w:eastAsia="Calibri" w:cs="Arial"/>
          <w:sz w:val="22"/>
          <w:szCs w:val="22"/>
          <w:lang w:val="es-ES_tradnl" w:eastAsia="es-ES"/>
        </w:rPr>
      </w:pPr>
      <w:r w:rsidRPr="00EA26B9">
        <w:rPr>
          <w:rFonts w:eastAsia="Calibri" w:cs="Arial"/>
          <w:sz w:val="22"/>
          <w:szCs w:val="22"/>
          <w:lang w:val="es-ES_tradnl" w:eastAsia="es-ES"/>
        </w:rPr>
        <w:t xml:space="preserve"> </w:t>
      </w:r>
    </w:p>
    <w:p w14:paraId="19D1F9E6" w14:textId="77777777" w:rsidR="00E37A38" w:rsidRPr="00C10AB0" w:rsidRDefault="000A5578" w:rsidP="00E37A38">
      <w:pPr>
        <w:pStyle w:val="IFTnormal"/>
        <w:numPr>
          <w:ilvl w:val="0"/>
          <w:numId w:val="4"/>
        </w:numPr>
      </w:pPr>
      <w:r>
        <w:t>L</w:t>
      </w:r>
      <w:r w:rsidR="00E37A38">
        <w:t xml:space="preserve">a altura </w:t>
      </w:r>
      <w:r w:rsidR="00E37A38" w:rsidRPr="00BF393A">
        <w:rPr>
          <w:lang w:val="es-MX"/>
        </w:rPr>
        <w:t>mínima de</w:t>
      </w:r>
      <w:r w:rsidR="00E37A38">
        <w:t>l</w:t>
      </w:r>
      <w:r w:rsidR="00E37A38" w:rsidRPr="00BF393A">
        <w:rPr>
          <w:lang w:val="es-MX"/>
        </w:rPr>
        <w:t xml:space="preserve"> </w:t>
      </w:r>
      <w:r w:rsidR="00E37A38">
        <w:t>Cable</w:t>
      </w:r>
      <w:r w:rsidR="00E37A38" w:rsidRPr="00BF393A">
        <w:rPr>
          <w:lang w:val="es-MX"/>
        </w:rPr>
        <w:t xml:space="preserve"> sobre el suelo, agua o vías férreas</w:t>
      </w:r>
      <w:r w:rsidR="00E37A38">
        <w:t xml:space="preserve"> nunca serán menores a las indicadas en la </w:t>
      </w:r>
      <w:r w:rsidR="00E37A38" w:rsidRPr="007F7EEE">
        <w:t>NOM-001-SEDE-2012</w:t>
      </w:r>
      <w:r w:rsidR="00E37A38">
        <w:t xml:space="preserve"> para </w:t>
      </w:r>
      <w:r w:rsidR="00E37A38" w:rsidRPr="00C10AB0">
        <w:rPr>
          <w:i/>
        </w:rPr>
        <w:t>“conductores para comunicación</w:t>
      </w:r>
      <w:r w:rsidR="00E37A38">
        <w:t>”.</w:t>
      </w:r>
    </w:p>
    <w:p w14:paraId="276CA1C1" w14:textId="77777777" w:rsidR="00E37A38" w:rsidRPr="00A7099E" w:rsidRDefault="00E37A38" w:rsidP="00A7099E">
      <w:pPr>
        <w:spacing w:after="0" w:line="240" w:lineRule="auto"/>
        <w:rPr>
          <w:lang w:val="es-ES_tradnl" w:eastAsia="es-ES"/>
        </w:rPr>
      </w:pPr>
    </w:p>
    <w:p w14:paraId="0D86419B" w14:textId="77777777" w:rsidR="00E37A38" w:rsidRPr="00273ACA" w:rsidRDefault="00E37A38" w:rsidP="00FF00CB">
      <w:pPr>
        <w:pStyle w:val="01TitPrin"/>
        <w:numPr>
          <w:ilvl w:val="0"/>
          <w:numId w:val="0"/>
        </w:numPr>
        <w:ind w:left="360" w:hanging="360"/>
      </w:pPr>
      <w:r w:rsidRPr="00273ACA">
        <w:t xml:space="preserve">CAPACIDAD SUSCEPTIBLE DE UTILIZACIÓN </w:t>
      </w:r>
      <w:r>
        <w:t>EN TORRES</w:t>
      </w:r>
    </w:p>
    <w:p w14:paraId="728F9EA3" w14:textId="12A5663B" w:rsidR="00E37A38" w:rsidRDefault="00E37A38" w:rsidP="00E37A38">
      <w:pPr>
        <w:pStyle w:val="IFTnormal"/>
        <w:rPr>
          <w:lang w:val="es-419"/>
        </w:rPr>
      </w:pPr>
      <w:r>
        <w:rPr>
          <w:lang w:val="es-419"/>
        </w:rPr>
        <w:t xml:space="preserve">Las </w:t>
      </w:r>
      <w:r w:rsidR="00E844DC">
        <w:rPr>
          <w:lang w:val="es-419"/>
        </w:rPr>
        <w:t>T</w:t>
      </w:r>
      <w:r>
        <w:rPr>
          <w:lang w:val="es-419"/>
        </w:rPr>
        <w:t>orres</w:t>
      </w:r>
      <w:r w:rsidRPr="00C01E49">
        <w:t xml:space="preserve"> </w:t>
      </w:r>
      <w:r>
        <w:rPr>
          <w:lang w:val="es-419"/>
        </w:rPr>
        <w:t xml:space="preserve">tendrán Capacidad Susceptible de Utilización </w:t>
      </w:r>
      <w:r w:rsidR="0005244E">
        <w:rPr>
          <w:lang w:val="es-419"/>
        </w:rPr>
        <w:t xml:space="preserve">para posible compartición </w:t>
      </w:r>
      <w:r>
        <w:t>siempre</w:t>
      </w:r>
      <w:r>
        <w:rPr>
          <w:lang w:val="es-419"/>
        </w:rPr>
        <w:t xml:space="preserve"> que se cumplan </w:t>
      </w:r>
      <w:r w:rsidR="00F12BC2">
        <w:rPr>
          <w:lang w:val="es-419"/>
        </w:rPr>
        <w:t xml:space="preserve">las </w:t>
      </w:r>
      <w:r>
        <w:rPr>
          <w:lang w:val="es-419"/>
        </w:rPr>
        <w:t xml:space="preserve">siguientes </w:t>
      </w:r>
      <w:r w:rsidR="00F12BC2">
        <w:rPr>
          <w:lang w:val="es-419"/>
        </w:rPr>
        <w:t>premisas</w:t>
      </w:r>
      <w:r>
        <w:rPr>
          <w:lang w:val="es-419"/>
        </w:rPr>
        <w:t>:</w:t>
      </w:r>
    </w:p>
    <w:p w14:paraId="0AC5D06C" w14:textId="77777777" w:rsidR="00E37A38" w:rsidRDefault="00E37A38" w:rsidP="00E37A38">
      <w:pPr>
        <w:pStyle w:val="IFTnormal"/>
        <w:numPr>
          <w:ilvl w:val="0"/>
          <w:numId w:val="10"/>
        </w:numPr>
      </w:pPr>
      <w:r>
        <w:rPr>
          <w:lang w:val="es-MX"/>
        </w:rPr>
        <w:t>Espacio</w:t>
      </w:r>
      <w:r>
        <w:t xml:space="preserve"> </w:t>
      </w:r>
      <w:r>
        <w:rPr>
          <w:lang w:val="es-419"/>
        </w:rPr>
        <w:t xml:space="preserve">vertical y horizontal </w:t>
      </w:r>
      <w:r>
        <w:t xml:space="preserve">en </w:t>
      </w:r>
      <w:r w:rsidR="00E844DC">
        <w:t>T</w:t>
      </w:r>
      <w:r>
        <w:t>orre suficiente para colocar los sistemas radiantes</w:t>
      </w:r>
      <w:r>
        <w:rPr>
          <w:lang w:val="es-419"/>
        </w:rPr>
        <w:t>;</w:t>
      </w:r>
    </w:p>
    <w:p w14:paraId="61D986CA" w14:textId="77777777" w:rsidR="00E37A38" w:rsidRPr="002133FC" w:rsidRDefault="00E37A38" w:rsidP="00E37A38">
      <w:pPr>
        <w:pStyle w:val="IFTnormal"/>
        <w:numPr>
          <w:ilvl w:val="0"/>
          <w:numId w:val="10"/>
        </w:numPr>
      </w:pPr>
      <w:r>
        <w:rPr>
          <w:lang w:val="es-419"/>
        </w:rPr>
        <w:t xml:space="preserve">Espacio en </w:t>
      </w:r>
      <w:r>
        <w:t xml:space="preserve">piso </w:t>
      </w:r>
      <w:r>
        <w:rPr>
          <w:lang w:val="es-419"/>
        </w:rPr>
        <w:t xml:space="preserve">suficiente </w:t>
      </w:r>
      <w:r>
        <w:t>que permita la colocación e instalación de los elementos de la infraestructura que servirá para la prestación de servicios de telecomunicaciones y radiodifusión</w:t>
      </w:r>
      <w:r w:rsidR="00E2068C">
        <w:rPr>
          <w:lang w:val="es-419"/>
        </w:rPr>
        <w:t>,</w:t>
      </w:r>
      <w:r>
        <w:rPr>
          <w:lang w:val="es-419"/>
        </w:rPr>
        <w:t xml:space="preserve"> y</w:t>
      </w:r>
    </w:p>
    <w:p w14:paraId="7114DF21" w14:textId="77777777" w:rsidR="00E37A38" w:rsidRPr="00E37A38" w:rsidRDefault="00E37A38" w:rsidP="00E37A38">
      <w:pPr>
        <w:pStyle w:val="IFTnormal"/>
        <w:numPr>
          <w:ilvl w:val="0"/>
          <w:numId w:val="10"/>
        </w:numPr>
      </w:pPr>
      <w:r>
        <w:rPr>
          <w:lang w:val="es-419"/>
        </w:rPr>
        <w:t xml:space="preserve">Que la colocación de elementos de infraestructura en la </w:t>
      </w:r>
      <w:r w:rsidR="00E844DC">
        <w:rPr>
          <w:lang w:val="es-419"/>
        </w:rPr>
        <w:t>T</w:t>
      </w:r>
      <w:r>
        <w:rPr>
          <w:lang w:val="es-419"/>
        </w:rPr>
        <w:t>orre no comprometa la Capacidad de carga de la misma.</w:t>
      </w:r>
    </w:p>
    <w:sectPr w:rsidR="00E37A38" w:rsidRPr="00E37A38" w:rsidSect="00185DCC"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1FF5"/>
    <w:multiLevelType w:val="hybridMultilevel"/>
    <w:tmpl w:val="7966BF0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7136"/>
    <w:multiLevelType w:val="multilevel"/>
    <w:tmpl w:val="4530B79A"/>
    <w:lvl w:ilvl="0">
      <w:start w:val="1"/>
      <w:numFmt w:val="decimal"/>
      <w:pStyle w:val="01TitPri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03TitPri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8C6250"/>
    <w:multiLevelType w:val="hybridMultilevel"/>
    <w:tmpl w:val="EAC642F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F1D26"/>
    <w:multiLevelType w:val="hybridMultilevel"/>
    <w:tmpl w:val="E8D83A9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2BCD"/>
    <w:multiLevelType w:val="hybridMultilevel"/>
    <w:tmpl w:val="49269BE8"/>
    <w:lvl w:ilvl="0" w:tplc="74989032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273D4"/>
    <w:multiLevelType w:val="hybridMultilevel"/>
    <w:tmpl w:val="BFB4FC9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6744F"/>
    <w:multiLevelType w:val="hybridMultilevel"/>
    <w:tmpl w:val="FDD4551C"/>
    <w:lvl w:ilvl="0" w:tplc="AA782AB6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7892"/>
    <w:multiLevelType w:val="hybridMultilevel"/>
    <w:tmpl w:val="B50AB622"/>
    <w:lvl w:ilvl="0" w:tplc="5DE0E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C356C"/>
    <w:multiLevelType w:val="hybridMultilevel"/>
    <w:tmpl w:val="D5001D04"/>
    <w:lvl w:ilvl="0" w:tplc="9378CF32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1002"/>
    <w:multiLevelType w:val="hybridMultilevel"/>
    <w:tmpl w:val="39780AC6"/>
    <w:lvl w:ilvl="0" w:tplc="9378CF32">
      <w:start w:val="1"/>
      <w:numFmt w:val="upperRoman"/>
      <w:lvlText w:val="%1."/>
      <w:lvlJc w:val="right"/>
      <w:pPr>
        <w:ind w:left="1134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5047D"/>
    <w:multiLevelType w:val="hybridMultilevel"/>
    <w:tmpl w:val="F3FEE274"/>
    <w:lvl w:ilvl="0" w:tplc="ED8A698E">
      <w:start w:val="1"/>
      <w:numFmt w:val="lowerLetter"/>
      <w:lvlText w:val="%1)"/>
      <w:lvlJc w:val="left"/>
      <w:pPr>
        <w:ind w:left="2268" w:hanging="567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B57322B"/>
    <w:multiLevelType w:val="hybridMultilevel"/>
    <w:tmpl w:val="A37AF90C"/>
    <w:lvl w:ilvl="0" w:tplc="81C84BC2">
      <w:start w:val="1"/>
      <w:numFmt w:val="lowerLetter"/>
      <w:lvlText w:val="%1)"/>
      <w:lvlJc w:val="left"/>
      <w:pPr>
        <w:tabs>
          <w:tab w:val="num" w:pos="567"/>
        </w:tabs>
        <w:ind w:left="2268" w:hanging="56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64448"/>
    <w:multiLevelType w:val="hybridMultilevel"/>
    <w:tmpl w:val="7F4CEBE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38"/>
    <w:rsid w:val="000241FA"/>
    <w:rsid w:val="0005244E"/>
    <w:rsid w:val="000A5578"/>
    <w:rsid w:val="001315D2"/>
    <w:rsid w:val="001373B5"/>
    <w:rsid w:val="00146FE6"/>
    <w:rsid w:val="001707D2"/>
    <w:rsid w:val="00185DCC"/>
    <w:rsid w:val="00226811"/>
    <w:rsid w:val="002C5D0A"/>
    <w:rsid w:val="002D05A7"/>
    <w:rsid w:val="00365F4A"/>
    <w:rsid w:val="0038723D"/>
    <w:rsid w:val="003B7BDD"/>
    <w:rsid w:val="003E013F"/>
    <w:rsid w:val="004624A5"/>
    <w:rsid w:val="00563BF4"/>
    <w:rsid w:val="00591217"/>
    <w:rsid w:val="006058BF"/>
    <w:rsid w:val="00632162"/>
    <w:rsid w:val="006472CB"/>
    <w:rsid w:val="006D7DCE"/>
    <w:rsid w:val="007C0CC4"/>
    <w:rsid w:val="007E40E6"/>
    <w:rsid w:val="00832091"/>
    <w:rsid w:val="008600AA"/>
    <w:rsid w:val="008775F4"/>
    <w:rsid w:val="008877FA"/>
    <w:rsid w:val="008E3929"/>
    <w:rsid w:val="0090306A"/>
    <w:rsid w:val="00970355"/>
    <w:rsid w:val="00A02FCE"/>
    <w:rsid w:val="00A47E63"/>
    <w:rsid w:val="00A7099E"/>
    <w:rsid w:val="00AB6A02"/>
    <w:rsid w:val="00B223F1"/>
    <w:rsid w:val="00B82D15"/>
    <w:rsid w:val="00B9723C"/>
    <w:rsid w:val="00C37912"/>
    <w:rsid w:val="00C40811"/>
    <w:rsid w:val="00C67327"/>
    <w:rsid w:val="00CB7DED"/>
    <w:rsid w:val="00CC1D37"/>
    <w:rsid w:val="00D2308B"/>
    <w:rsid w:val="00D44469"/>
    <w:rsid w:val="00DC79A3"/>
    <w:rsid w:val="00E2068C"/>
    <w:rsid w:val="00E37A38"/>
    <w:rsid w:val="00E54E83"/>
    <w:rsid w:val="00E844DC"/>
    <w:rsid w:val="00E9000F"/>
    <w:rsid w:val="00EA052A"/>
    <w:rsid w:val="00F12BC2"/>
    <w:rsid w:val="00F25CE5"/>
    <w:rsid w:val="00F730BD"/>
    <w:rsid w:val="00F76E52"/>
    <w:rsid w:val="00F9038A"/>
    <w:rsid w:val="00FE6972"/>
    <w:rsid w:val="00FF00CB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C9EF7"/>
  <w15:chartTrackingRefBased/>
  <w15:docId w15:val="{2B77C8F9-528C-48D3-9C42-BCABF336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37A38"/>
  </w:style>
  <w:style w:type="paragraph" w:styleId="Ttulo1">
    <w:name w:val="heading 1"/>
    <w:basedOn w:val="Normal"/>
    <w:next w:val="Normal"/>
    <w:link w:val="Ttulo1Car"/>
    <w:uiPriority w:val="9"/>
    <w:qFormat/>
    <w:rsid w:val="00E37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FTnormal">
    <w:name w:val="IFT normal"/>
    <w:basedOn w:val="Normal"/>
    <w:link w:val="IFTnormalCar"/>
    <w:qFormat/>
    <w:rsid w:val="00E37A38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qFormat/>
    <w:rsid w:val="00E37A38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03TitPrin">
    <w:name w:val="03TitPrin"/>
    <w:basedOn w:val="Normal"/>
    <w:next w:val="Normal"/>
    <w:link w:val="03TitPrinCar"/>
    <w:qFormat/>
    <w:rsid w:val="00E37A38"/>
    <w:pPr>
      <w:numPr>
        <w:ilvl w:val="1"/>
        <w:numId w:val="2"/>
      </w:numPr>
    </w:pPr>
    <w:rPr>
      <w:rFonts w:ascii="ITC Avant Garde" w:hAnsi="ITC Avant Garde"/>
      <w:b/>
    </w:rPr>
  </w:style>
  <w:style w:type="paragraph" w:customStyle="1" w:styleId="01TitPrin">
    <w:name w:val="01TitPrin"/>
    <w:basedOn w:val="Ttulo1"/>
    <w:link w:val="01TitPrinCar"/>
    <w:qFormat/>
    <w:rsid w:val="00E37A38"/>
    <w:pPr>
      <w:keepNext w:val="0"/>
      <w:keepLines w:val="0"/>
      <w:numPr>
        <w:numId w:val="2"/>
      </w:numPr>
      <w:spacing w:before="0" w:after="200" w:line="276" w:lineRule="auto"/>
      <w:jc w:val="both"/>
    </w:pPr>
    <w:rPr>
      <w:rFonts w:ascii="ITC Avant Garde" w:eastAsia="Calibri" w:hAnsi="ITC Avant Garde" w:cs="Arial"/>
      <w:b/>
      <w:color w:val="000000"/>
      <w:sz w:val="22"/>
      <w:szCs w:val="22"/>
      <w:lang w:val="es-ES" w:eastAsia="es-ES"/>
    </w:rPr>
  </w:style>
  <w:style w:type="character" w:customStyle="1" w:styleId="01TitPrinCar">
    <w:name w:val="01TitPrin Car"/>
    <w:link w:val="01TitPrin"/>
    <w:rsid w:val="00E37A38"/>
    <w:rPr>
      <w:rFonts w:ascii="ITC Avant Garde" w:eastAsia="Calibri" w:hAnsi="ITC Avant Garde" w:cs="Arial"/>
      <w:b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37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aliases w:val="prueba1"/>
    <w:basedOn w:val="Normal"/>
    <w:link w:val="PrrafodelistaCar"/>
    <w:uiPriority w:val="34"/>
    <w:qFormat/>
    <w:rsid w:val="00E37A3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prueba1 Car"/>
    <w:link w:val="Prrafodelista"/>
    <w:uiPriority w:val="34"/>
    <w:qFormat/>
    <w:rsid w:val="00E37A38"/>
    <w:rPr>
      <w:rFonts w:ascii="Calibri" w:eastAsia="Calibri" w:hAnsi="Calibri" w:cs="Times New Roman"/>
    </w:rPr>
  </w:style>
  <w:style w:type="paragraph" w:customStyle="1" w:styleId="Default">
    <w:name w:val="Default"/>
    <w:rsid w:val="00E37A38"/>
    <w:pPr>
      <w:autoSpaceDE w:val="0"/>
      <w:autoSpaceDN w:val="0"/>
      <w:adjustRightInd w:val="0"/>
      <w:spacing w:after="0" w:line="240" w:lineRule="auto"/>
    </w:pPr>
    <w:rPr>
      <w:rFonts w:ascii="ITC Avant Garde" w:hAnsi="ITC Avant Garde" w:cs="ITC Avant Garde"/>
      <w:color w:val="000000"/>
      <w:sz w:val="24"/>
      <w:szCs w:val="24"/>
    </w:rPr>
  </w:style>
  <w:style w:type="character" w:customStyle="1" w:styleId="03TitPrinCar">
    <w:name w:val="03TitPrin Car"/>
    <w:basedOn w:val="Fuentedeprrafopredeter"/>
    <w:link w:val="03TitPrin"/>
    <w:rsid w:val="00E37A38"/>
    <w:rPr>
      <w:rFonts w:ascii="ITC Avant Garde" w:hAnsi="ITC Avant Garde"/>
      <w:b/>
    </w:rPr>
  </w:style>
  <w:style w:type="table" w:styleId="Tablaconcuadrcula">
    <w:name w:val="Table Grid"/>
    <w:basedOn w:val="Tablanormal"/>
    <w:uiPriority w:val="39"/>
    <w:rsid w:val="00E3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IFT">
    <w:name w:val="N1 IFT"/>
    <w:basedOn w:val="Ttulo1"/>
    <w:link w:val="N1IFTCar"/>
    <w:autoRedefine/>
    <w:qFormat/>
    <w:rsid w:val="00B223F1"/>
    <w:pPr>
      <w:keepNext w:val="0"/>
      <w:keepLines w:val="0"/>
      <w:spacing w:before="0" w:after="200" w:line="276" w:lineRule="auto"/>
      <w:jc w:val="center"/>
    </w:pPr>
    <w:rPr>
      <w:rFonts w:ascii="ITC Avant Garde" w:eastAsia="Calibri" w:hAnsi="ITC Avant Garde" w:cs="Arial"/>
      <w:b/>
      <w:color w:val="auto"/>
      <w:sz w:val="22"/>
      <w:szCs w:val="22"/>
      <w:lang w:val="es-ES" w:eastAsia="es-ES"/>
    </w:rPr>
  </w:style>
  <w:style w:type="character" w:customStyle="1" w:styleId="N1IFTCar">
    <w:name w:val="N1 IFT Car"/>
    <w:link w:val="N1IFT"/>
    <w:rsid w:val="00B223F1"/>
    <w:rPr>
      <w:rFonts w:ascii="ITC Avant Garde" w:eastAsia="Calibri" w:hAnsi="ITC Avant Garde" w:cs="Arial"/>
      <w:b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B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BC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B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B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B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EEB889474DA94B9F68B747786921B0" ma:contentTypeVersion="0" ma:contentTypeDescription="Crear nuevo documento." ma:contentTypeScope="" ma:versionID="6ec2e770e8c827b4c671df3dc9465b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C9951-6F96-4EF8-810C-F1030D102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73166B-3B1B-4A2B-BC85-9E6EEA93C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5C01BE-5772-4B78-9769-B9A2ED6AE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Anaid Karina Limon Rivera</dc:creator>
  <cp:keywords/>
  <dc:description/>
  <cp:lastModifiedBy>Karen Beatriz Martinez Munguia</cp:lastModifiedBy>
  <cp:revision>3</cp:revision>
  <dcterms:created xsi:type="dcterms:W3CDTF">2018-10-08T20:14:00Z</dcterms:created>
  <dcterms:modified xsi:type="dcterms:W3CDTF">2018-10-09T16:50:00Z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0x010100ECEEB889474DA94B9F68B747786921B0</vt:lpwstr>
  </property>
</Properties>
</file>