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6674F" w14:textId="5D91377E" w:rsidR="00030DD9" w:rsidRDefault="00296088" w:rsidP="00AC0936">
      <w:pPr>
        <w:rPr>
          <w:rFonts w:ascii="ITC Avant Garde" w:hAnsi="ITC Avant Garde"/>
          <w:b/>
        </w:rPr>
      </w:pPr>
      <w:bookmarkStart w:id="0" w:name="_Toc323285056"/>
      <w:bookmarkStart w:id="1" w:name="_GoBack"/>
      <w:r w:rsidRPr="00C45224">
        <w:rPr>
          <w:rFonts w:ascii="ITC Avant Garde" w:hAnsi="ITC Avant Garde"/>
          <w:b/>
        </w:rPr>
        <w:t>INFORME DE CONSIDERACIONES SOBRE LAS MANIFESTACIONES, OPINIONES, COMENTARIOS Y PROPUESTAS, PRESENTADAS DU</w:t>
      </w:r>
      <w:r>
        <w:rPr>
          <w:rFonts w:ascii="ITC Avant Garde" w:hAnsi="ITC Avant Garde"/>
          <w:b/>
        </w:rPr>
        <w:t xml:space="preserve">RANTE LA CONSULTA PÚBLICA </w:t>
      </w:r>
      <w:r w:rsidR="00EF160B">
        <w:rPr>
          <w:rFonts w:ascii="ITC Avant Garde" w:hAnsi="ITC Avant Garde"/>
          <w:b/>
        </w:rPr>
        <w:t>DE</w:t>
      </w:r>
      <w:r w:rsidR="001A78FD">
        <w:rPr>
          <w:rFonts w:ascii="ITC Avant Garde" w:hAnsi="ITC Avant Garde"/>
          <w:b/>
        </w:rPr>
        <w:t xml:space="preserve">L </w:t>
      </w:r>
      <w:r w:rsidR="00EF160B">
        <w:rPr>
          <w:rFonts w:ascii="ITC Avant Garde" w:hAnsi="ITC Avant Garde"/>
          <w:b/>
        </w:rPr>
        <w:t>“</w:t>
      </w:r>
      <w:r w:rsidR="00EF160B" w:rsidRPr="00EF160B">
        <w:rPr>
          <w:rFonts w:ascii="ITC Avant Garde" w:hAnsi="ITC Avant Garde"/>
          <w:b/>
        </w:rPr>
        <w:t>ANTEPROYECTO DE LINEAMIENTOS PARA EL DESPLIEGUE, ACCESO Y USO COMPARTIDO DE INFRAESTRUCTURA DE TELECOMUNICACIONES Y RADIODIFUSIÓN”.</w:t>
      </w:r>
    </w:p>
    <w:p w14:paraId="46D26FB0" w14:textId="77777777" w:rsidR="00130F9C" w:rsidRPr="008F17B2" w:rsidRDefault="00130F9C" w:rsidP="00130F9C">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Fecha de elaboración:</w:t>
      </w:r>
    </w:p>
    <w:p w14:paraId="121396D2" w14:textId="3054DD52" w:rsidR="00130F9C" w:rsidRDefault="00AA062D" w:rsidP="00130F9C">
      <w:pPr>
        <w:rPr>
          <w:rFonts w:ascii="ITC Avant Garde" w:eastAsiaTheme="majorEastAsia" w:hAnsi="ITC Avant Garde" w:cstheme="majorBidi"/>
          <w:b/>
          <w:lang w:val="es-ES"/>
        </w:rPr>
      </w:pPr>
      <w:r w:rsidRPr="00E0480B">
        <w:rPr>
          <w:rFonts w:ascii="ITC Avant Garde" w:eastAsiaTheme="majorEastAsia" w:hAnsi="ITC Avant Garde" w:cstheme="majorBidi"/>
        </w:rPr>
        <w:t>11 de febrero de 2019</w:t>
      </w:r>
    </w:p>
    <w:p w14:paraId="148DAEA3" w14:textId="77777777" w:rsidR="00130F9C" w:rsidRPr="00195C02" w:rsidRDefault="00130F9C" w:rsidP="00130F9C">
      <w:pPr>
        <w:rPr>
          <w:rFonts w:ascii="ITC Avant Garde" w:eastAsiaTheme="majorEastAsia" w:hAnsi="ITC Avant Garde" w:cstheme="majorBidi"/>
          <w:b/>
          <w:lang w:val="es-ES"/>
        </w:rPr>
      </w:pPr>
      <w:r w:rsidRPr="00195C02">
        <w:rPr>
          <w:rFonts w:ascii="ITC Avant Garde" w:eastAsiaTheme="majorEastAsia" w:hAnsi="ITC Avant Garde" w:cstheme="majorBidi"/>
          <w:b/>
          <w:lang w:val="es-ES"/>
        </w:rPr>
        <w:t>Título o denominación de la consulta pública:</w:t>
      </w:r>
    </w:p>
    <w:p w14:paraId="1A716D79" w14:textId="6DC3A07F" w:rsidR="00130F9C" w:rsidRPr="008F17B2" w:rsidRDefault="00130F9C" w:rsidP="00130F9C">
      <w:pPr>
        <w:rPr>
          <w:rFonts w:ascii="ITC Avant Garde" w:eastAsiaTheme="majorEastAsia" w:hAnsi="ITC Avant Garde" w:cstheme="majorBidi"/>
          <w:i/>
          <w:lang w:val="es-ES"/>
        </w:rPr>
      </w:pPr>
      <w:r w:rsidRPr="008F17B2">
        <w:rPr>
          <w:rFonts w:ascii="ITC Avant Garde" w:eastAsiaTheme="majorEastAsia" w:hAnsi="ITC Avant Garde" w:cstheme="majorBidi"/>
          <w:i/>
          <w:lang w:val="es-ES"/>
        </w:rPr>
        <w:t>“</w:t>
      </w:r>
      <w:r>
        <w:rPr>
          <w:rFonts w:ascii="ITC Avant Garde" w:eastAsiaTheme="majorEastAsia" w:hAnsi="ITC Avant Garde" w:cstheme="majorBidi"/>
          <w:i/>
          <w:lang w:val="es-ES"/>
        </w:rPr>
        <w:t>Anteproyecto de Lineamientos para el Despliegue, Acceso y</w:t>
      </w:r>
      <w:r w:rsidRPr="00130F9C">
        <w:rPr>
          <w:rFonts w:ascii="ITC Avant Garde" w:eastAsiaTheme="majorEastAsia" w:hAnsi="ITC Avant Garde" w:cstheme="majorBidi"/>
          <w:i/>
          <w:lang w:val="es-ES"/>
        </w:rPr>
        <w:t xml:space="preserve"> Uso Compartido </w:t>
      </w:r>
      <w:r>
        <w:rPr>
          <w:rFonts w:ascii="ITC Avant Garde" w:eastAsiaTheme="majorEastAsia" w:hAnsi="ITC Avant Garde" w:cstheme="majorBidi"/>
          <w:i/>
          <w:lang w:val="es-ES"/>
        </w:rPr>
        <w:t>de Infraestructura de Telecomunicaciones y</w:t>
      </w:r>
      <w:r w:rsidRPr="00130F9C">
        <w:rPr>
          <w:rFonts w:ascii="ITC Avant Garde" w:eastAsiaTheme="majorEastAsia" w:hAnsi="ITC Avant Garde" w:cstheme="majorBidi"/>
          <w:i/>
          <w:lang w:val="es-ES"/>
        </w:rPr>
        <w:t xml:space="preserve"> Radiodifusión</w:t>
      </w:r>
      <w:r w:rsidRPr="008F17B2">
        <w:rPr>
          <w:rFonts w:ascii="ITC Avant Garde" w:eastAsiaTheme="majorEastAsia" w:hAnsi="ITC Avant Garde" w:cstheme="majorBidi"/>
          <w:i/>
          <w:lang w:val="es-ES"/>
        </w:rPr>
        <w:t>”</w:t>
      </w:r>
      <w:r w:rsidR="00642F6E">
        <w:rPr>
          <w:rFonts w:ascii="ITC Avant Garde" w:eastAsiaTheme="majorEastAsia" w:hAnsi="ITC Avant Garde" w:cstheme="majorBidi"/>
          <w:i/>
          <w:lang w:val="es-ES"/>
        </w:rPr>
        <w:t>.</w:t>
      </w:r>
    </w:p>
    <w:p w14:paraId="4D551B3B" w14:textId="399AA748" w:rsidR="00A06418" w:rsidRDefault="00A06418" w:rsidP="00A06418">
      <w:pPr>
        <w:rPr>
          <w:rFonts w:ascii="ITC Avant Garde" w:eastAsiaTheme="majorEastAsia" w:hAnsi="ITC Avant Garde" w:cstheme="majorBidi"/>
          <w:b/>
          <w:lang w:val="es-ES"/>
        </w:rPr>
      </w:pPr>
      <w:r w:rsidRPr="00195C02">
        <w:rPr>
          <w:rFonts w:ascii="ITC Avant Garde" w:eastAsiaTheme="majorEastAsia" w:hAnsi="ITC Avant Garde" w:cstheme="majorBidi"/>
          <w:b/>
          <w:lang w:val="es-ES"/>
        </w:rPr>
        <w:t>Descripción de la consulta pública:</w:t>
      </w:r>
    </w:p>
    <w:p w14:paraId="4A438C16" w14:textId="1285CA6C" w:rsidR="00EE41E8" w:rsidRDefault="00EE41E8" w:rsidP="00EE41E8">
      <w:pPr>
        <w:rPr>
          <w:rFonts w:ascii="ITC Avant Garde" w:hAnsi="ITC Avant Garde"/>
        </w:rPr>
      </w:pPr>
      <w:r w:rsidRPr="00A06418">
        <w:rPr>
          <w:rFonts w:ascii="ITC Avant Garde" w:hAnsi="ITC Avant Garde"/>
        </w:rPr>
        <w:t xml:space="preserve">El Instituto Federal de Telecomunicaciones (en lo sucesivo, el “Instituto”) convencido de la importancia y relevancia de transparentar su proceso de elaboración </w:t>
      </w:r>
      <w:r>
        <w:rPr>
          <w:rFonts w:ascii="ITC Avant Garde" w:hAnsi="ITC Avant Garde"/>
        </w:rPr>
        <w:t>de nuevas regulaciones, recibió</w:t>
      </w:r>
      <w:r w:rsidRPr="00A06418">
        <w:rPr>
          <w:rFonts w:ascii="ITC Avant Garde" w:hAnsi="ITC Avant Garde"/>
        </w:rPr>
        <w:t xml:space="preserve"> comentarios, opiniones y aportaciones de </w:t>
      </w:r>
      <w:r>
        <w:rPr>
          <w:rFonts w:ascii="ITC Avant Garde" w:hAnsi="ITC Avant Garde"/>
        </w:rPr>
        <w:t>diversos</w:t>
      </w:r>
      <w:r w:rsidRPr="00A06418">
        <w:rPr>
          <w:rFonts w:ascii="ITC Avant Garde" w:hAnsi="ITC Avant Garde"/>
        </w:rPr>
        <w:t xml:space="preserve"> interesado</w:t>
      </w:r>
      <w:r>
        <w:rPr>
          <w:rFonts w:ascii="ITC Avant Garde" w:hAnsi="ITC Avant Garde"/>
        </w:rPr>
        <w:t>s</w:t>
      </w:r>
      <w:r w:rsidRPr="00A06418">
        <w:rPr>
          <w:rFonts w:ascii="ITC Avant Garde" w:hAnsi="ITC Avant Garde"/>
        </w:rPr>
        <w:t xml:space="preserve"> a propósito del “Anteproyecto de Lineamientos para el Despliegue, Acceso y Uso Compartido de Infraestructura de Telecomunicaciones y Radiodifusión” (en lo sucesivo, “Anteproyecto”), </w:t>
      </w:r>
      <w:r>
        <w:rPr>
          <w:rFonts w:ascii="ITC Avant Garde" w:hAnsi="ITC Avant Garde"/>
        </w:rPr>
        <w:t xml:space="preserve">a través del proceso de consulta pública llevado a cabo </w:t>
      </w:r>
      <w:r>
        <w:rPr>
          <w:rFonts w:ascii="ITC Avant Garde" w:eastAsiaTheme="majorEastAsia" w:hAnsi="ITC Avant Garde" w:cstheme="majorBidi"/>
          <w:lang w:val="es-ES"/>
        </w:rPr>
        <w:t xml:space="preserve">del </w:t>
      </w:r>
      <w:r>
        <w:rPr>
          <w:rFonts w:ascii="ITC Avant Garde" w:eastAsiaTheme="majorEastAsia" w:hAnsi="ITC Avant Garde" w:cstheme="majorBidi"/>
        </w:rPr>
        <w:t>1</w:t>
      </w:r>
      <w:r w:rsidRPr="00412C32">
        <w:rPr>
          <w:rFonts w:ascii="ITC Avant Garde" w:eastAsiaTheme="majorEastAsia" w:hAnsi="ITC Avant Garde" w:cstheme="majorBidi"/>
        </w:rPr>
        <w:t>1 de octubre al 22 de noviembre de 2018</w:t>
      </w:r>
      <w:r>
        <w:rPr>
          <w:rFonts w:ascii="ITC Avant Garde" w:eastAsiaTheme="majorEastAsia" w:hAnsi="ITC Avant Garde" w:cstheme="majorBidi"/>
          <w:lang w:val="es-ES"/>
        </w:rPr>
        <w:t xml:space="preserve">, </w:t>
      </w:r>
      <w:r w:rsidR="008D3B64">
        <w:rPr>
          <w:rFonts w:ascii="ITC Avant Garde" w:hAnsi="ITC Avant Garde"/>
        </w:rPr>
        <w:t>materia del presente informe de c</w:t>
      </w:r>
      <w:r>
        <w:rPr>
          <w:rFonts w:ascii="ITC Avant Garde" w:hAnsi="ITC Avant Garde"/>
        </w:rPr>
        <w:t>onsideraciones.</w:t>
      </w:r>
    </w:p>
    <w:p w14:paraId="7330D440" w14:textId="359D1621" w:rsidR="00A06418" w:rsidRPr="00195C02" w:rsidRDefault="00A06418" w:rsidP="00A06418">
      <w:pPr>
        <w:rPr>
          <w:rFonts w:ascii="ITC Avant Garde" w:eastAsiaTheme="majorEastAsia" w:hAnsi="ITC Avant Garde" w:cstheme="majorBidi"/>
          <w:lang w:val="es-ES"/>
        </w:rPr>
      </w:pPr>
      <w:r>
        <w:rPr>
          <w:rFonts w:ascii="ITC Avant Garde" w:hAnsi="ITC Avant Garde"/>
        </w:rPr>
        <w:t xml:space="preserve">El Instituto recibió participaciones </w:t>
      </w:r>
      <w:r>
        <w:rPr>
          <w:rFonts w:ascii="ITC Avant Garde" w:eastAsiaTheme="majorEastAsia" w:hAnsi="ITC Avant Garde" w:cstheme="majorBidi"/>
          <w:lang w:val="es-ES"/>
        </w:rPr>
        <w:t>a través de la</w:t>
      </w:r>
      <w:r w:rsidRPr="00195C02">
        <w:rPr>
          <w:rFonts w:ascii="ITC Avant Garde" w:eastAsiaTheme="majorEastAsia" w:hAnsi="ITC Avant Garde" w:cstheme="majorBidi"/>
          <w:lang w:val="es-ES"/>
        </w:rPr>
        <w:t xml:space="preserve"> dirección de correo electrónico </w:t>
      </w:r>
      <w:r w:rsidR="008D3B64">
        <w:rPr>
          <w:rFonts w:ascii="ITC Avant Garde" w:eastAsiaTheme="majorEastAsia" w:hAnsi="ITC Avant Garde" w:cstheme="majorBidi"/>
          <w:lang w:val="es-ES"/>
        </w:rPr>
        <w:t>info.upr</w:t>
      </w:r>
      <w:r>
        <w:rPr>
          <w:rFonts w:ascii="ITC Avant Garde" w:eastAsiaTheme="majorEastAsia" w:hAnsi="ITC Avant Garde" w:cstheme="majorBidi"/>
          <w:lang w:val="es-ES"/>
        </w:rPr>
        <w:t>@ift.org.mx</w:t>
      </w:r>
      <w:r w:rsidRPr="00195C02">
        <w:rPr>
          <w:rFonts w:ascii="ITC Avant Garde" w:eastAsiaTheme="majorEastAsia" w:hAnsi="ITC Avant Garde" w:cstheme="majorBidi"/>
          <w:lang w:val="es-ES"/>
        </w:rPr>
        <w:t xml:space="preserve"> </w:t>
      </w:r>
      <w:r w:rsidR="004A62FC">
        <w:rPr>
          <w:rFonts w:ascii="ITC Avant Garde" w:eastAsiaTheme="majorEastAsia" w:hAnsi="ITC Avant Garde" w:cstheme="majorBidi"/>
          <w:lang w:val="es-ES"/>
        </w:rPr>
        <w:t>y</w:t>
      </w:r>
      <w:r w:rsidRPr="00195C02">
        <w:rPr>
          <w:rFonts w:ascii="ITC Avant Garde" w:eastAsiaTheme="majorEastAsia" w:hAnsi="ITC Avant Garde" w:cstheme="majorBidi"/>
          <w:lang w:val="es-ES"/>
        </w:rPr>
        <w:t xml:space="preserve"> mediante escrito</w:t>
      </w:r>
      <w:r w:rsidR="008E3987">
        <w:rPr>
          <w:rFonts w:ascii="ITC Avant Garde" w:eastAsiaTheme="majorEastAsia" w:hAnsi="ITC Avant Garde" w:cstheme="majorBidi"/>
          <w:lang w:val="es-ES"/>
        </w:rPr>
        <w:t>s</w:t>
      </w:r>
      <w:r w:rsidRPr="00195C02">
        <w:rPr>
          <w:rFonts w:ascii="ITC Avant Garde" w:eastAsiaTheme="majorEastAsia" w:hAnsi="ITC Avant Garde" w:cstheme="majorBidi"/>
          <w:lang w:val="es-ES"/>
        </w:rPr>
        <w:t xml:space="preserve"> presentado</w:t>
      </w:r>
      <w:r w:rsidR="008E3987">
        <w:rPr>
          <w:rFonts w:ascii="ITC Avant Garde" w:eastAsiaTheme="majorEastAsia" w:hAnsi="ITC Avant Garde" w:cstheme="majorBidi"/>
          <w:lang w:val="es-ES"/>
        </w:rPr>
        <w:t>s</w:t>
      </w:r>
      <w:r w:rsidRPr="00195C02">
        <w:rPr>
          <w:rFonts w:ascii="ITC Avant Garde" w:eastAsiaTheme="majorEastAsia" w:hAnsi="ITC Avant Garde" w:cstheme="majorBidi"/>
          <w:lang w:val="es-ES"/>
        </w:rPr>
        <w:t xml:space="preserve"> en la Oficialía de Partes Común del Instituto ubicada en Insurgentes Sur 1143, colonia Nochebuena, </w:t>
      </w:r>
      <w:r w:rsidR="008E3987">
        <w:rPr>
          <w:rFonts w:ascii="ITC Avant Garde" w:eastAsiaTheme="majorEastAsia" w:hAnsi="ITC Avant Garde" w:cstheme="majorBidi"/>
          <w:lang w:val="es-ES"/>
        </w:rPr>
        <w:t>Alcaldía</w:t>
      </w:r>
      <w:r w:rsidR="008E3987" w:rsidRPr="00195C02">
        <w:rPr>
          <w:rFonts w:ascii="ITC Avant Garde" w:eastAsiaTheme="majorEastAsia" w:hAnsi="ITC Avant Garde" w:cstheme="majorBidi"/>
          <w:lang w:val="es-ES"/>
        </w:rPr>
        <w:t xml:space="preserve"> </w:t>
      </w:r>
      <w:r w:rsidRPr="00195C02">
        <w:rPr>
          <w:rFonts w:ascii="ITC Avant Garde" w:eastAsiaTheme="majorEastAsia" w:hAnsi="ITC Avant Garde" w:cstheme="majorBidi"/>
          <w:lang w:val="es-ES"/>
        </w:rPr>
        <w:t>Benito Juárez, C.P. 03720, Ciudad de México, de lunes a jueves de las 9:00 a las 18:30 horas y los viernes de las 9:00 a las 15:00 horas.</w:t>
      </w:r>
    </w:p>
    <w:p w14:paraId="2259F269" w14:textId="4F932C77" w:rsidR="00A06418" w:rsidRDefault="00A06418" w:rsidP="00A06418">
      <w:pPr>
        <w:rPr>
          <w:rFonts w:ascii="ITC Avant Garde" w:eastAsiaTheme="majorEastAsia" w:hAnsi="ITC Avant Garde" w:cstheme="majorBidi"/>
          <w:lang w:val="es-ES"/>
        </w:rPr>
      </w:pPr>
      <w:r w:rsidRPr="00195C02">
        <w:rPr>
          <w:rFonts w:ascii="ITC Avant Garde" w:eastAsiaTheme="majorEastAsia" w:hAnsi="ITC Avant Garde" w:cstheme="majorBidi"/>
          <w:lang w:val="es-ES"/>
        </w:rPr>
        <w:t xml:space="preserve">La información que los interesados </w:t>
      </w:r>
      <w:r>
        <w:rPr>
          <w:rFonts w:ascii="ITC Avant Garde" w:eastAsiaTheme="majorEastAsia" w:hAnsi="ITC Avant Garde" w:cstheme="majorBidi"/>
          <w:lang w:val="es-ES"/>
        </w:rPr>
        <w:t>hicieron</w:t>
      </w:r>
      <w:r w:rsidRPr="00195C02">
        <w:rPr>
          <w:rFonts w:ascii="ITC Avant Garde" w:eastAsiaTheme="majorEastAsia" w:hAnsi="ITC Avant Garde" w:cstheme="majorBidi"/>
          <w:lang w:val="es-ES"/>
        </w:rPr>
        <w:t xml:space="preserve"> llegar al Instituto –de acuerdo a los plazos y términos descritos - con relación al proceso consultivo</w:t>
      </w:r>
      <w:r w:rsidR="00B81E31">
        <w:rPr>
          <w:rFonts w:ascii="ITC Avant Garde" w:eastAsiaTheme="majorEastAsia" w:hAnsi="ITC Avant Garde" w:cstheme="majorBidi"/>
          <w:lang w:val="es-ES"/>
        </w:rPr>
        <w:t>,</w:t>
      </w:r>
      <w:r w:rsidRPr="00195C02">
        <w:rPr>
          <w:rFonts w:ascii="ITC Avant Garde" w:eastAsiaTheme="majorEastAsia" w:hAnsi="ITC Avant Garde" w:cstheme="majorBidi"/>
          <w:lang w:val="es-ES"/>
        </w:rPr>
        <w:t xml:space="preserve"> no t</w:t>
      </w:r>
      <w:r>
        <w:rPr>
          <w:rFonts w:ascii="ITC Avant Garde" w:eastAsiaTheme="majorEastAsia" w:hAnsi="ITC Avant Garde" w:cstheme="majorBidi"/>
          <w:lang w:val="es-ES"/>
        </w:rPr>
        <w:t xml:space="preserve">iene </w:t>
      </w:r>
      <w:r w:rsidRPr="00195C02">
        <w:rPr>
          <w:rFonts w:ascii="ITC Avant Garde" w:eastAsiaTheme="majorEastAsia" w:hAnsi="ITC Avant Garde" w:cstheme="majorBidi"/>
          <w:lang w:val="es-ES"/>
        </w:rPr>
        <w:t xml:space="preserve">carácter vinculante, sin perjuicio de que el Instituto pueda ponderarla </w:t>
      </w:r>
      <w:r w:rsidR="008E3987">
        <w:rPr>
          <w:rFonts w:ascii="ITC Avant Garde" w:eastAsiaTheme="majorEastAsia" w:hAnsi="ITC Avant Garde" w:cstheme="majorBidi"/>
          <w:lang w:val="es-ES"/>
        </w:rPr>
        <w:t>para en su caso realizar ajustes al Anteproyecto cuando así se considere procedente</w:t>
      </w:r>
      <w:r w:rsidRPr="00195C02">
        <w:rPr>
          <w:rFonts w:ascii="ITC Avant Garde" w:eastAsiaTheme="majorEastAsia" w:hAnsi="ITC Avant Garde" w:cstheme="majorBidi"/>
          <w:lang w:val="es-ES"/>
        </w:rPr>
        <w:t>.</w:t>
      </w:r>
    </w:p>
    <w:p w14:paraId="42255364" w14:textId="4CA32C35" w:rsidR="00A06418" w:rsidRPr="008F17B2" w:rsidRDefault="00A06418" w:rsidP="00A06418">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Objetivo de la consulta pública:</w:t>
      </w:r>
    </w:p>
    <w:bookmarkEnd w:id="0"/>
    <w:p w14:paraId="32FC87FC" w14:textId="77777777" w:rsidR="00642F6E" w:rsidRDefault="00642F6E" w:rsidP="00642F6E">
      <w:pPr>
        <w:rPr>
          <w:rFonts w:ascii="ITC Avant Garde" w:hAnsi="ITC Avant Garde"/>
        </w:rPr>
      </w:pPr>
      <w:r w:rsidRPr="00642F6E">
        <w:rPr>
          <w:rFonts w:ascii="ITC Avant Garde" w:hAnsi="ITC Avant Garde"/>
        </w:rPr>
        <w:t xml:space="preserve">Los objetivos principales del Anteproyecto consisten en: </w:t>
      </w:r>
    </w:p>
    <w:p w14:paraId="49036994" w14:textId="73E0289A" w:rsidR="00642F6E" w:rsidRPr="00642F6E" w:rsidRDefault="00642F6E" w:rsidP="00642F6E">
      <w:pPr>
        <w:pStyle w:val="Prrafodelista"/>
        <w:numPr>
          <w:ilvl w:val="0"/>
          <w:numId w:val="24"/>
        </w:numPr>
        <w:rPr>
          <w:rFonts w:ascii="ITC Avant Garde" w:hAnsi="ITC Avant Garde"/>
        </w:rPr>
      </w:pPr>
      <w:r>
        <w:rPr>
          <w:rFonts w:ascii="ITC Avant Garde" w:hAnsi="ITC Avant Garde"/>
        </w:rPr>
        <w:t>E</w:t>
      </w:r>
      <w:r w:rsidRPr="00642F6E">
        <w:rPr>
          <w:rFonts w:ascii="ITC Avant Garde" w:hAnsi="ITC Avant Garde"/>
        </w:rPr>
        <w:t xml:space="preserve">stablecer las bases que fomenten el acceso y uso compartido de elementos de infraestructura pasiva, así como promover actividades asociadas al despliegue de infraestructura de redes públicas de telecomunicaciones, estaciones de radiodifusión y equipos complementarios, y </w:t>
      </w:r>
    </w:p>
    <w:p w14:paraId="46EF3903" w14:textId="77777777" w:rsidR="00E712AC" w:rsidRPr="00642F6E" w:rsidRDefault="00E712AC" w:rsidP="00E712AC">
      <w:pPr>
        <w:pStyle w:val="Prrafodelista"/>
        <w:ind w:left="1080"/>
        <w:rPr>
          <w:rFonts w:ascii="ITC Avant Garde" w:hAnsi="ITC Avant Garde"/>
        </w:rPr>
      </w:pPr>
    </w:p>
    <w:p w14:paraId="6026DA93" w14:textId="150FF6B2" w:rsidR="00A726AA" w:rsidRDefault="008E3987" w:rsidP="00642F6E">
      <w:pPr>
        <w:pStyle w:val="Prrafodelista"/>
        <w:numPr>
          <w:ilvl w:val="0"/>
          <w:numId w:val="24"/>
        </w:numPr>
        <w:rPr>
          <w:rFonts w:ascii="ITC Avant Garde" w:hAnsi="ITC Avant Garde"/>
        </w:rPr>
      </w:pPr>
      <w:r>
        <w:rPr>
          <w:rFonts w:ascii="ITC Avant Garde" w:hAnsi="ITC Avant Garde"/>
        </w:rPr>
        <w:t>Definir</w:t>
      </w:r>
      <w:r w:rsidRPr="00642F6E">
        <w:rPr>
          <w:rFonts w:ascii="ITC Avant Garde" w:hAnsi="ITC Avant Garde"/>
        </w:rPr>
        <w:t xml:space="preserve"> </w:t>
      </w:r>
      <w:r>
        <w:rPr>
          <w:rFonts w:ascii="ITC Avant Garde" w:hAnsi="ITC Avant Garde"/>
        </w:rPr>
        <w:t xml:space="preserve">los casos en los que intervendría el Instituto para resolver términos y condiciones no convenidos entre concesionarios en materia de compartición de infraestructura, así como </w:t>
      </w:r>
      <w:r w:rsidR="00642F6E" w:rsidRPr="00642F6E">
        <w:rPr>
          <w:rFonts w:ascii="ITC Avant Garde" w:hAnsi="ITC Avant Garde"/>
        </w:rPr>
        <w:t xml:space="preserve">los procedimientos </w:t>
      </w:r>
      <w:r>
        <w:rPr>
          <w:rFonts w:ascii="ITC Avant Garde" w:hAnsi="ITC Avant Garde"/>
        </w:rPr>
        <w:t xml:space="preserve">para atender </w:t>
      </w:r>
      <w:r w:rsidR="00642F6E" w:rsidRPr="00642F6E">
        <w:rPr>
          <w:rFonts w:ascii="ITC Avant Garde" w:hAnsi="ITC Avant Garde"/>
        </w:rPr>
        <w:t>solicitud</w:t>
      </w:r>
      <w:r>
        <w:rPr>
          <w:rFonts w:ascii="ITC Avant Garde" w:hAnsi="ITC Avant Garde"/>
        </w:rPr>
        <w:t>es</w:t>
      </w:r>
      <w:r w:rsidR="00642F6E" w:rsidRPr="00642F6E">
        <w:rPr>
          <w:rFonts w:ascii="ITC Avant Garde" w:hAnsi="ITC Avant Garde"/>
        </w:rPr>
        <w:t xml:space="preserve"> de desacuerdo.</w:t>
      </w:r>
    </w:p>
    <w:p w14:paraId="30FC4744" w14:textId="77777777" w:rsidR="00642F6E" w:rsidRPr="008F17B2" w:rsidRDefault="00642F6E" w:rsidP="00642F6E">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Unidades y/o Coordinaciones Generales responsables de la consulta pública</w:t>
      </w:r>
      <w:r>
        <w:rPr>
          <w:rFonts w:ascii="ITC Avant Garde" w:eastAsiaTheme="majorEastAsia" w:hAnsi="ITC Avant Garde" w:cstheme="majorBidi"/>
          <w:b/>
          <w:lang w:val="es-ES"/>
        </w:rPr>
        <w:t>:</w:t>
      </w:r>
    </w:p>
    <w:p w14:paraId="7741A11B" w14:textId="77777777" w:rsidR="00E712AC" w:rsidRPr="00E712AC" w:rsidRDefault="00642F6E" w:rsidP="00425C8F">
      <w:pPr>
        <w:pStyle w:val="Prrafodelista"/>
        <w:rPr>
          <w:rFonts w:ascii="ITC Avant Garde" w:eastAsiaTheme="majorEastAsia" w:hAnsi="ITC Avant Garde" w:cstheme="majorBidi"/>
        </w:rPr>
      </w:pPr>
      <w:r w:rsidRPr="00E712AC">
        <w:rPr>
          <w:rFonts w:ascii="ITC Avant Garde" w:eastAsiaTheme="majorEastAsia" w:hAnsi="ITC Avant Garde" w:cstheme="majorBidi"/>
        </w:rPr>
        <w:t>Unidad Política Regulatoria</w:t>
      </w:r>
    </w:p>
    <w:p w14:paraId="0978D557" w14:textId="77777777" w:rsidR="00642F6E" w:rsidRPr="008F17B2" w:rsidRDefault="00642F6E" w:rsidP="00642F6E">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Descripción de los participantes en la consulta pública</w:t>
      </w:r>
      <w:r>
        <w:rPr>
          <w:rFonts w:ascii="ITC Avant Garde" w:eastAsiaTheme="majorEastAsia" w:hAnsi="ITC Avant Garde" w:cstheme="majorBidi"/>
          <w:b/>
          <w:lang w:val="es-ES"/>
        </w:rPr>
        <w:t>:</w:t>
      </w:r>
    </w:p>
    <w:p w14:paraId="4FD50848" w14:textId="4C243DBC" w:rsidR="00B029FD" w:rsidRPr="00BF7935" w:rsidRDefault="00585E45" w:rsidP="00B029FD">
      <w:pPr>
        <w:rPr>
          <w:rFonts w:ascii="ITC Avant Garde" w:eastAsia="Calibri" w:hAnsi="ITC Avant Garde" w:cs="Times New Roman"/>
          <w:lang w:val="es-ES"/>
        </w:rPr>
      </w:pPr>
      <w:r>
        <w:rPr>
          <w:rFonts w:ascii="ITC Avant Garde" w:eastAsiaTheme="majorEastAsia" w:hAnsi="ITC Avant Garde" w:cstheme="majorBidi"/>
          <w:lang w:val="es-ES"/>
        </w:rPr>
        <w:t>D</w:t>
      </w:r>
      <w:r w:rsidR="00AE57D0" w:rsidRPr="00AE57D0">
        <w:rPr>
          <w:rFonts w:ascii="ITC Avant Garde" w:eastAsia="Calibri" w:hAnsi="ITC Avant Garde" w:cs="Times New Roman"/>
          <w:lang w:val="es-ES"/>
        </w:rPr>
        <w:t>urante</w:t>
      </w:r>
      <w:r w:rsidR="00B029FD" w:rsidRPr="00BF7935">
        <w:rPr>
          <w:rFonts w:ascii="ITC Avant Garde" w:eastAsia="Calibri" w:hAnsi="ITC Avant Garde" w:cs="Times New Roman"/>
          <w:lang w:val="es-ES"/>
        </w:rPr>
        <w:t xml:space="preserve"> el </w:t>
      </w:r>
      <w:r w:rsidR="00AE57D0" w:rsidRPr="00AE57D0">
        <w:rPr>
          <w:rFonts w:ascii="ITC Avant Garde" w:eastAsia="Calibri" w:hAnsi="ITC Avant Garde" w:cs="Times New Roman"/>
          <w:lang w:val="es-ES"/>
        </w:rPr>
        <w:t>periodo</w:t>
      </w:r>
      <w:r w:rsidR="00B029FD" w:rsidRPr="00BF7935">
        <w:rPr>
          <w:rFonts w:ascii="ITC Avant Garde" w:eastAsia="Calibri" w:hAnsi="ITC Avant Garde" w:cs="Times New Roman"/>
          <w:lang w:val="es-ES"/>
        </w:rPr>
        <w:t xml:space="preserve"> de la consulta pública de mérito se recibieron </w:t>
      </w:r>
      <w:r w:rsidR="00A64D68">
        <w:rPr>
          <w:rFonts w:ascii="ITC Avant Garde" w:eastAsia="Calibri" w:hAnsi="ITC Avant Garde" w:cs="Times New Roman"/>
          <w:lang w:val="es-ES"/>
        </w:rPr>
        <w:t>comentarios</w:t>
      </w:r>
      <w:r w:rsidR="00A2453D">
        <w:rPr>
          <w:rFonts w:ascii="ITC Avant Garde" w:eastAsia="Calibri" w:hAnsi="ITC Avant Garde" w:cs="Times New Roman"/>
          <w:lang w:val="es-ES"/>
        </w:rPr>
        <w:t xml:space="preserve"> por parte de lo</w:t>
      </w:r>
      <w:r w:rsidR="00AE57D0" w:rsidRPr="00AE57D0">
        <w:rPr>
          <w:rFonts w:ascii="ITC Avant Garde" w:eastAsia="Calibri" w:hAnsi="ITC Avant Garde" w:cs="Times New Roman"/>
          <w:lang w:val="es-ES"/>
        </w:rPr>
        <w:t>s</w:t>
      </w:r>
      <w:r w:rsidR="00B029FD" w:rsidRPr="00BF7935">
        <w:rPr>
          <w:rFonts w:ascii="ITC Avant Garde" w:eastAsia="Calibri" w:hAnsi="ITC Avant Garde" w:cs="Times New Roman"/>
          <w:lang w:val="es-ES"/>
        </w:rPr>
        <w:t xml:space="preserve"> siguientes </w:t>
      </w:r>
      <w:r w:rsidR="00A64D68">
        <w:rPr>
          <w:rFonts w:ascii="ITC Avant Garde" w:eastAsia="Calibri" w:hAnsi="ITC Avant Garde" w:cs="Times New Roman"/>
          <w:lang w:val="es-ES"/>
        </w:rPr>
        <w:t>participantes</w:t>
      </w:r>
      <w:r w:rsidR="00B029FD" w:rsidRPr="00BF7935">
        <w:rPr>
          <w:rFonts w:ascii="ITC Avant Garde" w:eastAsia="Calibri" w:hAnsi="ITC Avant Garde" w:cs="Times New Roman"/>
          <w:lang w:val="es-ES"/>
        </w:rPr>
        <w:t>:</w:t>
      </w:r>
    </w:p>
    <w:p w14:paraId="3AAB91C4" w14:textId="602768C0" w:rsidR="00C05A76" w:rsidRPr="00BF7935" w:rsidRDefault="00A2453D" w:rsidP="00C05A76">
      <w:pPr>
        <w:pStyle w:val="Prrafodelista"/>
        <w:numPr>
          <w:ilvl w:val="0"/>
          <w:numId w:val="10"/>
        </w:numPr>
        <w:rPr>
          <w:rFonts w:ascii="ITC Avant Garde" w:hAnsi="ITC Avant Garde"/>
        </w:rPr>
      </w:pPr>
      <w:r>
        <w:rPr>
          <w:rFonts w:ascii="ITC Avant Garde" w:hAnsi="ITC Avant Garde"/>
        </w:rPr>
        <w:t>David Amado Monroy.</w:t>
      </w:r>
    </w:p>
    <w:p w14:paraId="6303DD59" w14:textId="3BD355BE" w:rsidR="00574C9A" w:rsidRDefault="00A2453D" w:rsidP="00C05A76">
      <w:pPr>
        <w:pStyle w:val="Prrafodelista"/>
        <w:numPr>
          <w:ilvl w:val="0"/>
          <w:numId w:val="10"/>
        </w:numPr>
        <w:rPr>
          <w:rFonts w:ascii="ITC Avant Garde" w:hAnsi="ITC Avant Garde"/>
        </w:rPr>
      </w:pPr>
      <w:r>
        <w:rPr>
          <w:rFonts w:ascii="ITC Avant Garde" w:hAnsi="ITC Avant Garde"/>
        </w:rPr>
        <w:t>Telecomunicaciones Júpiter, S.A. de C.V.</w:t>
      </w:r>
    </w:p>
    <w:p w14:paraId="358D3630" w14:textId="5B3FC140" w:rsidR="00A2453D" w:rsidRDefault="00A2453D" w:rsidP="00C05A76">
      <w:pPr>
        <w:pStyle w:val="Prrafodelista"/>
        <w:numPr>
          <w:ilvl w:val="0"/>
          <w:numId w:val="10"/>
        </w:numPr>
        <w:rPr>
          <w:rFonts w:ascii="ITC Avant Garde" w:hAnsi="ITC Avant Garde"/>
        </w:rPr>
      </w:pPr>
      <w:r>
        <w:rPr>
          <w:rFonts w:ascii="ITC Avant Garde" w:hAnsi="ITC Avant Garde"/>
        </w:rPr>
        <w:t>Organismo Promotor de Inversiones en Telecomunicaciones</w:t>
      </w:r>
      <w:r w:rsidR="0093445A">
        <w:rPr>
          <w:rFonts w:ascii="ITC Avant Garde" w:hAnsi="ITC Avant Garde"/>
        </w:rPr>
        <w:t xml:space="preserve"> (PROMTEL).</w:t>
      </w:r>
    </w:p>
    <w:p w14:paraId="3FF239E0" w14:textId="08113731" w:rsidR="00A2453D" w:rsidRDefault="00A2453D" w:rsidP="00C05A76">
      <w:pPr>
        <w:pStyle w:val="Prrafodelista"/>
        <w:numPr>
          <w:ilvl w:val="0"/>
          <w:numId w:val="10"/>
        </w:numPr>
        <w:rPr>
          <w:rFonts w:ascii="ITC Avant Garde" w:hAnsi="ITC Avant Garde"/>
        </w:rPr>
      </w:pPr>
      <w:r>
        <w:rPr>
          <w:rFonts w:ascii="ITC Avant Garde" w:hAnsi="ITC Avant Garde"/>
        </w:rPr>
        <w:t>Facebook México, S. de R.L. de C.V.</w:t>
      </w:r>
    </w:p>
    <w:p w14:paraId="177F02FC" w14:textId="5FB5A42E" w:rsidR="00A2453D" w:rsidRDefault="00A2453D" w:rsidP="00C05A76">
      <w:pPr>
        <w:pStyle w:val="Prrafodelista"/>
        <w:numPr>
          <w:ilvl w:val="0"/>
          <w:numId w:val="10"/>
        </w:numPr>
        <w:rPr>
          <w:rFonts w:ascii="ITC Avant Garde" w:hAnsi="ITC Avant Garde"/>
        </w:rPr>
      </w:pPr>
      <w:r>
        <w:rPr>
          <w:rFonts w:ascii="ITC Avant Garde" w:hAnsi="ITC Avant Garde"/>
        </w:rPr>
        <w:t>Total Play Telecomunicaciones, S.A. de C.</w:t>
      </w:r>
      <w:r w:rsidR="007F3ADA">
        <w:rPr>
          <w:rFonts w:ascii="ITC Avant Garde" w:hAnsi="ITC Avant Garde"/>
        </w:rPr>
        <w:t>V.</w:t>
      </w:r>
    </w:p>
    <w:p w14:paraId="566870BF" w14:textId="4364ADA8" w:rsidR="007F3ADA" w:rsidRDefault="007F3ADA" w:rsidP="00C05A76">
      <w:pPr>
        <w:pStyle w:val="Prrafodelista"/>
        <w:numPr>
          <w:ilvl w:val="0"/>
          <w:numId w:val="10"/>
        </w:numPr>
        <w:rPr>
          <w:rFonts w:ascii="ITC Avant Garde" w:hAnsi="ITC Avant Garde"/>
        </w:rPr>
      </w:pPr>
      <w:r>
        <w:rPr>
          <w:rFonts w:ascii="ITC Avant Garde" w:hAnsi="ITC Avant Garde"/>
        </w:rPr>
        <w:t>Mega Cable, S.A. de C.V.</w:t>
      </w:r>
    </w:p>
    <w:p w14:paraId="0866CFB1" w14:textId="50216BF6" w:rsidR="007F3ADA" w:rsidRDefault="007F3ADA" w:rsidP="00C05A76">
      <w:pPr>
        <w:pStyle w:val="Prrafodelista"/>
        <w:numPr>
          <w:ilvl w:val="0"/>
          <w:numId w:val="10"/>
        </w:numPr>
        <w:rPr>
          <w:rFonts w:ascii="ITC Avant Garde" w:hAnsi="ITC Avant Garde"/>
        </w:rPr>
      </w:pPr>
      <w:r>
        <w:rPr>
          <w:rFonts w:ascii="ITC Avant Garde" w:hAnsi="ITC Avant Garde"/>
        </w:rPr>
        <w:t>Pegaso PCS, S.A. de C.V.</w:t>
      </w:r>
    </w:p>
    <w:p w14:paraId="2D37A4E5" w14:textId="4DE4928B" w:rsidR="007F3ADA" w:rsidRDefault="007F3ADA" w:rsidP="00C05A76">
      <w:pPr>
        <w:pStyle w:val="Prrafodelista"/>
        <w:numPr>
          <w:ilvl w:val="0"/>
          <w:numId w:val="10"/>
        </w:numPr>
        <w:rPr>
          <w:rFonts w:ascii="ITC Avant Garde" w:hAnsi="ITC Avant Garde"/>
        </w:rPr>
      </w:pPr>
      <w:r>
        <w:rPr>
          <w:rFonts w:ascii="ITC Avant Garde" w:hAnsi="ITC Avant Garde"/>
        </w:rPr>
        <w:t>Axtel, S.A.B de C.V.</w:t>
      </w:r>
    </w:p>
    <w:p w14:paraId="54D6ACA5" w14:textId="3795BF06" w:rsidR="007F3ADA" w:rsidRDefault="007F3ADA" w:rsidP="00C05A76">
      <w:pPr>
        <w:pStyle w:val="Prrafodelista"/>
        <w:numPr>
          <w:ilvl w:val="0"/>
          <w:numId w:val="10"/>
        </w:numPr>
        <w:rPr>
          <w:rFonts w:ascii="ITC Avant Garde" w:hAnsi="ITC Avant Garde"/>
        </w:rPr>
      </w:pPr>
      <w:r>
        <w:rPr>
          <w:rFonts w:ascii="ITC Avant Garde" w:hAnsi="ITC Avant Garde"/>
        </w:rPr>
        <w:t>IP Matrix, S.A. de C.V.</w:t>
      </w:r>
    </w:p>
    <w:p w14:paraId="06CE0ABF" w14:textId="206FACCA" w:rsidR="007F3ADA" w:rsidRDefault="007F3ADA" w:rsidP="00C05A76">
      <w:pPr>
        <w:pStyle w:val="Prrafodelista"/>
        <w:numPr>
          <w:ilvl w:val="0"/>
          <w:numId w:val="10"/>
        </w:numPr>
        <w:rPr>
          <w:rFonts w:ascii="ITC Avant Garde" w:hAnsi="ITC Avant Garde"/>
        </w:rPr>
      </w:pPr>
      <w:r>
        <w:rPr>
          <w:rFonts w:ascii="ITC Avant Garde" w:hAnsi="ITC Avant Garde"/>
        </w:rPr>
        <w:t>QMC Das México, S.A. de C.V.</w:t>
      </w:r>
    </w:p>
    <w:p w14:paraId="7744960C" w14:textId="52A0F3C7" w:rsidR="0093445A" w:rsidRDefault="0093445A" w:rsidP="00C05A76">
      <w:pPr>
        <w:pStyle w:val="Prrafodelista"/>
        <w:numPr>
          <w:ilvl w:val="0"/>
          <w:numId w:val="10"/>
        </w:numPr>
        <w:rPr>
          <w:rFonts w:ascii="ITC Avant Garde" w:hAnsi="ITC Avant Garde"/>
        </w:rPr>
      </w:pPr>
      <w:r>
        <w:rPr>
          <w:rFonts w:ascii="ITC Avant Garde" w:hAnsi="ITC Avant Garde"/>
        </w:rPr>
        <w:t>Cámara Nacional de la Industria Electrónica, de Telecomunicaciones y Tecnologías de la Información (CANIETI).</w:t>
      </w:r>
    </w:p>
    <w:p w14:paraId="03B502CC" w14:textId="0E483DA0" w:rsidR="0093445A" w:rsidRDefault="0093445A" w:rsidP="00C05A76">
      <w:pPr>
        <w:pStyle w:val="Prrafodelista"/>
        <w:numPr>
          <w:ilvl w:val="0"/>
          <w:numId w:val="10"/>
        </w:numPr>
        <w:rPr>
          <w:rFonts w:ascii="ITC Avant Garde" w:hAnsi="ITC Avant Garde"/>
        </w:rPr>
      </w:pPr>
      <w:r>
        <w:rPr>
          <w:rFonts w:ascii="ITC Avant Garde" w:hAnsi="ITC Avant Garde"/>
        </w:rPr>
        <w:t>Televisión Azteca, S.A. de C.V.</w:t>
      </w:r>
    </w:p>
    <w:p w14:paraId="0470EB5C" w14:textId="5AF6347F" w:rsidR="0093445A" w:rsidRDefault="0093445A" w:rsidP="00C05A76">
      <w:pPr>
        <w:pStyle w:val="Prrafodelista"/>
        <w:numPr>
          <w:ilvl w:val="0"/>
          <w:numId w:val="10"/>
        </w:numPr>
        <w:rPr>
          <w:rFonts w:ascii="ITC Avant Garde" w:hAnsi="ITC Avant Garde"/>
        </w:rPr>
      </w:pPr>
      <w:r>
        <w:rPr>
          <w:rFonts w:ascii="ITC Avant Garde" w:hAnsi="ITC Avant Garde"/>
        </w:rPr>
        <w:t>Altán Redes, S.A.P.I. de C.V.</w:t>
      </w:r>
    </w:p>
    <w:p w14:paraId="3248D45D" w14:textId="086C4ED5" w:rsidR="0093445A" w:rsidRDefault="0093445A" w:rsidP="00C05A76">
      <w:pPr>
        <w:pStyle w:val="Prrafodelista"/>
        <w:numPr>
          <w:ilvl w:val="0"/>
          <w:numId w:val="10"/>
        </w:numPr>
        <w:rPr>
          <w:rFonts w:ascii="ITC Avant Garde" w:hAnsi="ITC Avant Garde"/>
        </w:rPr>
      </w:pPr>
      <w:r>
        <w:rPr>
          <w:rFonts w:ascii="ITC Avant Garde" w:hAnsi="ITC Avant Garde"/>
        </w:rPr>
        <w:t>UC Telecomunicaciones, S.A.P.I. de C.V.</w:t>
      </w:r>
    </w:p>
    <w:p w14:paraId="3E18F71A" w14:textId="578A09D1" w:rsidR="0093445A" w:rsidRDefault="0093445A" w:rsidP="00C05A76">
      <w:pPr>
        <w:pStyle w:val="Prrafodelista"/>
        <w:numPr>
          <w:ilvl w:val="0"/>
          <w:numId w:val="10"/>
        </w:numPr>
        <w:rPr>
          <w:rFonts w:ascii="ITC Avant Garde" w:hAnsi="ITC Avant Garde"/>
        </w:rPr>
      </w:pPr>
      <w:r>
        <w:rPr>
          <w:rFonts w:ascii="ITC Avant Garde" w:hAnsi="ITC Avant Garde"/>
        </w:rPr>
        <w:t>Teléfonos de México, S.A.B. de C.V.</w:t>
      </w:r>
    </w:p>
    <w:p w14:paraId="65A775A2" w14:textId="6128B820" w:rsidR="0093445A" w:rsidRDefault="0093445A" w:rsidP="00C05A76">
      <w:pPr>
        <w:pStyle w:val="Prrafodelista"/>
        <w:numPr>
          <w:ilvl w:val="0"/>
          <w:numId w:val="10"/>
        </w:numPr>
        <w:rPr>
          <w:rFonts w:ascii="ITC Avant Garde" w:hAnsi="ITC Avant Garde"/>
        </w:rPr>
      </w:pPr>
      <w:r>
        <w:rPr>
          <w:rFonts w:ascii="ITC Avant Garde" w:hAnsi="ITC Avant Garde"/>
        </w:rPr>
        <w:t>Comisión Federal de Electricidad.</w:t>
      </w:r>
    </w:p>
    <w:p w14:paraId="722C822F" w14:textId="2FA73BA6" w:rsidR="0093445A" w:rsidRDefault="0093445A" w:rsidP="00C05A76">
      <w:pPr>
        <w:pStyle w:val="Prrafodelista"/>
        <w:numPr>
          <w:ilvl w:val="0"/>
          <w:numId w:val="10"/>
        </w:numPr>
        <w:rPr>
          <w:rFonts w:ascii="ITC Avant Garde" w:hAnsi="ITC Avant Garde"/>
        </w:rPr>
      </w:pPr>
      <w:r>
        <w:rPr>
          <w:rFonts w:ascii="ITC Avant Garde" w:hAnsi="ITC Avant Garde"/>
        </w:rPr>
        <w:t>Teleimagen del Noroeste, S.A. de C.V.</w:t>
      </w:r>
    </w:p>
    <w:p w14:paraId="3DA8137D" w14:textId="29870CDD" w:rsidR="0093445A" w:rsidRDefault="0093445A" w:rsidP="00C05A76">
      <w:pPr>
        <w:pStyle w:val="Prrafodelista"/>
        <w:numPr>
          <w:ilvl w:val="0"/>
          <w:numId w:val="10"/>
        </w:numPr>
        <w:rPr>
          <w:rFonts w:ascii="ITC Avant Garde" w:hAnsi="ITC Avant Garde"/>
        </w:rPr>
      </w:pPr>
      <w:r>
        <w:rPr>
          <w:rFonts w:ascii="ITC Avant Garde" w:hAnsi="ITC Avant Garde"/>
        </w:rPr>
        <w:t>AT&amp;T Comunicaciones Digitales, S. de R.L. de C.V., Grupo AT&amp;T Celullar, S. de R.L. de C.V., AT&amp;T Norte, S. de R.L. de C.V., AT&amp;T Comercialización Móvil, S. de R.L. de C.V. y AT&amp;T Desarrollo en Comunicaciones de México, S. de R.L. de C.V.</w:t>
      </w:r>
    </w:p>
    <w:p w14:paraId="3D17A607" w14:textId="77777777" w:rsidR="00E55228" w:rsidRDefault="0093445A" w:rsidP="00B0121D">
      <w:pPr>
        <w:pStyle w:val="Prrafodelista"/>
        <w:numPr>
          <w:ilvl w:val="0"/>
          <w:numId w:val="10"/>
        </w:numPr>
        <w:rPr>
          <w:rFonts w:ascii="ITC Avant Garde" w:hAnsi="ITC Avant Garde"/>
        </w:rPr>
      </w:pPr>
      <w:r w:rsidRPr="00E55228">
        <w:rPr>
          <w:rFonts w:ascii="ITC Avant Garde" w:hAnsi="ITC Avant Garde"/>
        </w:rPr>
        <w:t>Cámara Nacional de la Industria de Radio y Televisión.</w:t>
      </w:r>
    </w:p>
    <w:p w14:paraId="33771C1A" w14:textId="29402311" w:rsidR="00E55228" w:rsidRDefault="00E55228" w:rsidP="00E55228">
      <w:pPr>
        <w:pStyle w:val="Prrafodelista"/>
        <w:numPr>
          <w:ilvl w:val="0"/>
          <w:numId w:val="10"/>
        </w:numPr>
        <w:rPr>
          <w:rFonts w:ascii="ITC Avant Garde" w:hAnsi="ITC Avant Garde"/>
        </w:rPr>
      </w:pPr>
      <w:r w:rsidRPr="00E55228">
        <w:rPr>
          <w:rFonts w:ascii="ITC Avant Garde" w:hAnsi="ITC Avant Garde"/>
        </w:rPr>
        <w:t xml:space="preserve">Bestphone, S.A. DE C.V., </w:t>
      </w:r>
      <w:r w:rsidRPr="00E55228">
        <w:rPr>
          <w:rFonts w:ascii="ITC Avant Garde" w:eastAsiaTheme="minorHAnsi" w:hAnsi="ITC Avant Garde" w:cs="ITC Avant Garde"/>
        </w:rPr>
        <w:t>Operbes, S.A. de C.V., Cablevisión, S.A. de C.V., Cable y Comunicación de Campeche, S.A. de C.V., Cablemás Telecomunicaciones, S.A. de C.V.</w:t>
      </w:r>
      <w:r w:rsidRPr="00E55228">
        <w:rPr>
          <w:rFonts w:ascii="ITC Avant Garde" w:hAnsi="ITC Avant Garde"/>
        </w:rPr>
        <w:t xml:space="preserve">, </w:t>
      </w:r>
      <w:r w:rsidRPr="00E55228">
        <w:rPr>
          <w:rFonts w:ascii="ITC Avant Garde" w:eastAsiaTheme="minorHAnsi" w:hAnsi="ITC Avant Garde" w:cs="ITC Avant Garde"/>
        </w:rPr>
        <w:t>Cablevisión Red, S.A. de C.V.</w:t>
      </w:r>
      <w:r w:rsidRPr="00E55228">
        <w:rPr>
          <w:rFonts w:ascii="ITC Avant Garde" w:hAnsi="ITC Avant Garde"/>
        </w:rPr>
        <w:t>, Tele Azteca, S.A. de C.V., Televisión Internacional, S.A. de C.V., México Red de Telecomunicaciones, S. de R.L. de C.V. y T.V. Cable de Oriente, S.A. de C.V.</w:t>
      </w:r>
    </w:p>
    <w:p w14:paraId="7A85D3F5" w14:textId="2078D6A5" w:rsidR="00E712AC" w:rsidRDefault="00585E45" w:rsidP="00BE3795">
      <w:pPr>
        <w:rPr>
          <w:rStyle w:val="Hipervnculo"/>
          <w:rFonts w:ascii="ITC Avant Garde" w:hAnsi="ITC Avant Garde"/>
        </w:rPr>
      </w:pPr>
      <w:r>
        <w:rPr>
          <w:rFonts w:ascii="ITC Avant Garde" w:hAnsi="ITC Avant Garde"/>
        </w:rPr>
        <w:t xml:space="preserve">Dichos comentarios se encuentran </w:t>
      </w:r>
      <w:r w:rsidRPr="00AE57D0">
        <w:rPr>
          <w:rFonts w:ascii="ITC Avant Garde" w:hAnsi="ITC Avant Garde"/>
        </w:rPr>
        <w:t xml:space="preserve">disponibles para su consulta en </w:t>
      </w:r>
      <w:r>
        <w:rPr>
          <w:rFonts w:ascii="ITC Avant Garde" w:hAnsi="ITC Avant Garde"/>
        </w:rPr>
        <w:t>la</w:t>
      </w:r>
      <w:r w:rsidRPr="00AE57D0">
        <w:rPr>
          <w:rFonts w:ascii="ITC Avant Garde" w:hAnsi="ITC Avant Garde"/>
        </w:rPr>
        <w:t xml:space="preserve"> página de </w:t>
      </w:r>
      <w:r>
        <w:rPr>
          <w:rFonts w:ascii="ITC Avant Garde" w:hAnsi="ITC Avant Garde"/>
        </w:rPr>
        <w:t>I</w:t>
      </w:r>
      <w:r w:rsidRPr="00AE57D0">
        <w:rPr>
          <w:rFonts w:ascii="ITC Avant Garde" w:hAnsi="ITC Avant Garde"/>
        </w:rPr>
        <w:t>nternet</w:t>
      </w:r>
      <w:r w:rsidR="00E712AC">
        <w:rPr>
          <w:rFonts w:ascii="ITC Avant Garde" w:hAnsi="ITC Avant Garde"/>
        </w:rPr>
        <w:t xml:space="preserve"> </w:t>
      </w:r>
      <w:hyperlink r:id="rId11" w:history="1">
        <w:r w:rsidR="00E712AC" w:rsidRPr="000474FC">
          <w:rPr>
            <w:rStyle w:val="Hipervnculo"/>
            <w:rFonts w:ascii="ITC Avant Garde" w:hAnsi="ITC Avant Garde"/>
          </w:rPr>
          <w:t>http://www.ift.org.mx/industria/consultas-publicas/consulta-publica-sobre-el-anteproyecto-de-lineamientos-para-el-despliegue-acceso-y-uso-compartido-de</w:t>
        </w:r>
      </w:hyperlink>
    </w:p>
    <w:p w14:paraId="2042AE43" w14:textId="77777777" w:rsidR="009F2E49" w:rsidRPr="00FA71BF" w:rsidRDefault="009F2E49" w:rsidP="009F2E49">
      <w:pPr>
        <w:rPr>
          <w:rFonts w:ascii="ITC Avant Garde" w:eastAsia="Calibri" w:hAnsi="ITC Avant Garde" w:cs="Times New Roman"/>
          <w:b/>
          <w:lang w:val="es-ES"/>
        </w:rPr>
      </w:pPr>
      <w:r w:rsidRPr="00FA71BF">
        <w:rPr>
          <w:rFonts w:ascii="ITC Avant Garde" w:eastAsia="Calibri" w:hAnsi="ITC Avant Garde" w:cs="Times New Roman"/>
          <w:b/>
          <w:lang w:val="es-ES"/>
        </w:rPr>
        <w:t>Respuestas o posicionamientos por parte del Instituto</w:t>
      </w:r>
    </w:p>
    <w:p w14:paraId="36524F40" w14:textId="286404B5" w:rsidR="00342E7C" w:rsidRPr="00E55228" w:rsidRDefault="00342E7C" w:rsidP="00342E7C">
      <w:pPr>
        <w:rPr>
          <w:rFonts w:ascii="ITC Avant Garde" w:hAnsi="ITC Avant Garde"/>
        </w:rPr>
      </w:pPr>
      <w:r w:rsidRPr="00E55228">
        <w:rPr>
          <w:rFonts w:ascii="ITC Avant Garde" w:hAnsi="ITC Avant Garde"/>
        </w:rPr>
        <w:t xml:space="preserve">Por lo anterior, el Instituto emite las siguientes respuestas </w:t>
      </w:r>
      <w:r>
        <w:rPr>
          <w:rFonts w:ascii="ITC Avant Garde" w:hAnsi="ITC Avant Garde"/>
        </w:rPr>
        <w:t>a las participaciones recibidas, mismas que fueron revisadas y agrupadas por temas de interés general para la mayoría de los participantes en la consulta pública:</w:t>
      </w:r>
      <w:r w:rsidRPr="00E55228">
        <w:rPr>
          <w:rFonts w:ascii="ITC Avant Garde" w:hAnsi="ITC Avant Garde"/>
        </w:rPr>
        <w:t xml:space="preserve"> </w:t>
      </w:r>
    </w:p>
    <w:p w14:paraId="42071950" w14:textId="6E315817" w:rsidR="005056FC" w:rsidRDefault="00A11AF9" w:rsidP="009F3C0C">
      <w:pPr>
        <w:spacing w:after="120"/>
        <w:rPr>
          <w:rFonts w:ascii="ITC Avant Garde" w:hAnsi="ITC Avant Garde"/>
          <w:b/>
          <w:lang w:val="es-ES_tradnl"/>
        </w:rPr>
      </w:pPr>
      <w:r>
        <w:rPr>
          <w:rFonts w:ascii="ITC Avant Garde" w:hAnsi="ITC Avant Garde"/>
          <w:b/>
          <w:lang w:val="es-ES_tradnl"/>
        </w:rPr>
        <w:t xml:space="preserve">Manifestaciones sobre la </w:t>
      </w:r>
      <w:r w:rsidR="00877BC3">
        <w:rPr>
          <w:rFonts w:ascii="ITC Avant Garde" w:hAnsi="ITC Avant Garde"/>
          <w:b/>
          <w:lang w:val="es-ES_tradnl"/>
        </w:rPr>
        <w:t>competencia l</w:t>
      </w:r>
      <w:r w:rsidR="00342E7C" w:rsidRPr="00541B80">
        <w:rPr>
          <w:rFonts w:ascii="ITC Avant Garde" w:hAnsi="ITC Avant Garde"/>
          <w:b/>
          <w:lang w:val="es-ES_tradnl"/>
        </w:rPr>
        <w:t>egal</w:t>
      </w:r>
      <w:r>
        <w:rPr>
          <w:rFonts w:ascii="ITC Avant Garde" w:hAnsi="ITC Avant Garde"/>
          <w:b/>
          <w:lang w:val="es-ES_tradnl"/>
        </w:rPr>
        <w:t xml:space="preserve"> del Instituto en </w:t>
      </w:r>
      <w:r w:rsidR="00DD6BE1">
        <w:rPr>
          <w:rFonts w:ascii="ITC Avant Garde" w:hAnsi="ITC Avant Garde"/>
          <w:b/>
          <w:lang w:val="es-ES_tradnl"/>
        </w:rPr>
        <w:t>el Anteproyecto</w:t>
      </w:r>
    </w:p>
    <w:p w14:paraId="60D46EA1" w14:textId="384FB821" w:rsidR="008C1867" w:rsidRDefault="008C1867" w:rsidP="008C1867">
      <w:pPr>
        <w:pStyle w:val="IFTnormal"/>
      </w:pPr>
      <w:r>
        <w:t>Dentro de la consulta pública que nos ocupa fueron recibidos diversos señalamientos en torno a las atribuciones jurídicas de las que ha sido dotado el Instituto, mismos que han sido englobados en los subtemas que se exponen y responden a continuación:</w:t>
      </w:r>
    </w:p>
    <w:p w14:paraId="1B8DDD4B" w14:textId="3465336A" w:rsidR="00CA78DC" w:rsidRPr="00541B80" w:rsidRDefault="004C7606" w:rsidP="009F3C0C">
      <w:pPr>
        <w:spacing w:after="120"/>
        <w:rPr>
          <w:rFonts w:ascii="ITC Avant Garde" w:hAnsi="ITC Avant Garde"/>
          <w:u w:val="single"/>
          <w:lang w:val="es-ES_tradnl"/>
        </w:rPr>
      </w:pPr>
      <w:r>
        <w:rPr>
          <w:rFonts w:ascii="ITC Avant Garde" w:hAnsi="ITC Avant Garde"/>
          <w:u w:val="single"/>
          <w:lang w:val="es-ES_tradnl"/>
        </w:rPr>
        <w:t>Facultades del i</w:t>
      </w:r>
      <w:r w:rsidR="00CA78DC" w:rsidRPr="00541B80">
        <w:rPr>
          <w:rFonts w:ascii="ITC Avant Garde" w:hAnsi="ITC Avant Garde"/>
          <w:u w:val="single"/>
          <w:lang w:val="es-ES_tradnl"/>
        </w:rPr>
        <w:t>nstituto</w:t>
      </w:r>
      <w:r>
        <w:rPr>
          <w:rFonts w:ascii="ITC Avant Garde" w:hAnsi="ITC Avant Garde"/>
          <w:u w:val="single"/>
          <w:lang w:val="es-ES_tradnl"/>
        </w:rPr>
        <w:t xml:space="preserve"> para la emisión de Lineamientos</w:t>
      </w:r>
    </w:p>
    <w:p w14:paraId="4467C178" w14:textId="3517E344" w:rsidR="00342E7C" w:rsidRDefault="00342E7C">
      <w:pPr>
        <w:spacing w:after="120"/>
        <w:rPr>
          <w:rFonts w:ascii="ITC Avant Garde" w:hAnsi="ITC Avant Garde"/>
          <w:lang w:val="es-ES_tradnl"/>
        </w:rPr>
      </w:pPr>
      <w:r>
        <w:rPr>
          <w:rFonts w:ascii="ITC Avant Garde" w:hAnsi="ITC Avant Garde"/>
          <w:lang w:val="es-ES_tradnl"/>
        </w:rPr>
        <w:t>Respecto al contenido del artículo 1° del</w:t>
      </w:r>
      <w:r w:rsidR="009A079A">
        <w:rPr>
          <w:rFonts w:ascii="ITC Avant Garde" w:hAnsi="ITC Avant Garde"/>
          <w:lang w:val="es-ES_tradnl"/>
        </w:rPr>
        <w:t xml:space="preserve"> Anteproyecto</w:t>
      </w:r>
      <w:r w:rsidR="00BF53DB">
        <w:rPr>
          <w:rFonts w:ascii="ITC Avant Garde" w:hAnsi="ITC Avant Garde"/>
          <w:lang w:val="es-ES_tradnl"/>
        </w:rPr>
        <w:t>, d</w:t>
      </w:r>
      <w:r w:rsidR="00CC6CD2" w:rsidRPr="00541B80">
        <w:rPr>
          <w:rFonts w:ascii="ITC Avant Garde" w:hAnsi="ITC Avant Garde"/>
          <w:lang w:val="es-ES_tradnl"/>
        </w:rPr>
        <w:t>iversos participantes señalaron que</w:t>
      </w:r>
      <w:r w:rsidRPr="00541B80">
        <w:rPr>
          <w:rFonts w:ascii="ITC Avant Garde" w:hAnsi="ITC Avant Garde"/>
          <w:lang w:val="es-ES_tradnl"/>
        </w:rPr>
        <w:t xml:space="preserve"> </w:t>
      </w:r>
      <w:r w:rsidRPr="0067130B">
        <w:rPr>
          <w:rFonts w:ascii="ITC Avant Garde" w:hAnsi="ITC Avant Garde"/>
          <w:lang w:val="es-ES_tradnl"/>
        </w:rPr>
        <w:t>al no establecerse expresamente en la legislación</w:t>
      </w:r>
      <w:r w:rsidRPr="00415130">
        <w:rPr>
          <w:rFonts w:ascii="ITC Avant Garde" w:hAnsi="ITC Avant Garde"/>
          <w:lang w:val="es-ES_tradnl"/>
        </w:rPr>
        <w:t xml:space="preserve">, el Instituto carece de facultades para emitir </w:t>
      </w:r>
      <w:r w:rsidRPr="00BF53DB">
        <w:rPr>
          <w:rFonts w:ascii="ITC Avant Garde" w:hAnsi="ITC Avant Garde"/>
          <w:lang w:val="es-ES_tradnl"/>
        </w:rPr>
        <w:t xml:space="preserve">lineamientos en </w:t>
      </w:r>
      <w:r w:rsidRPr="008C1867">
        <w:rPr>
          <w:rFonts w:ascii="ITC Avant Garde" w:hAnsi="ITC Avant Garde"/>
          <w:lang w:val="es-ES_tradnl"/>
        </w:rPr>
        <w:t>materia</w:t>
      </w:r>
      <w:r w:rsidR="008C1867">
        <w:rPr>
          <w:rFonts w:ascii="ITC Avant Garde" w:hAnsi="ITC Avant Garde"/>
          <w:lang w:val="es-ES_tradnl"/>
        </w:rPr>
        <w:t>s</w:t>
      </w:r>
      <w:r w:rsidRPr="00541B80">
        <w:rPr>
          <w:rFonts w:ascii="ITC Avant Garde" w:hAnsi="ITC Avant Garde"/>
          <w:lang w:val="es-ES_tradnl"/>
        </w:rPr>
        <w:t xml:space="preserve"> </w:t>
      </w:r>
      <w:r w:rsidR="008C1867" w:rsidRPr="00541B80">
        <w:rPr>
          <w:rFonts w:ascii="ITC Avant Garde" w:hAnsi="ITC Avant Garde"/>
          <w:lang w:val="es-ES_tradnl"/>
        </w:rPr>
        <w:t xml:space="preserve">de </w:t>
      </w:r>
      <w:r w:rsidR="008C1867">
        <w:rPr>
          <w:rFonts w:ascii="ITC Avant Garde" w:hAnsi="ITC Avant Garde"/>
          <w:lang w:val="es-ES_tradnl"/>
        </w:rPr>
        <w:t xml:space="preserve">compartición y </w:t>
      </w:r>
      <w:r w:rsidRPr="00541B80">
        <w:rPr>
          <w:rFonts w:ascii="ITC Avant Garde" w:hAnsi="ITC Avant Garde"/>
          <w:lang w:val="es-ES_tradnl"/>
        </w:rPr>
        <w:t xml:space="preserve">despliegue </w:t>
      </w:r>
      <w:r w:rsidR="008C1867">
        <w:rPr>
          <w:rFonts w:ascii="ITC Avant Garde" w:hAnsi="ITC Avant Garde"/>
          <w:lang w:val="es-ES_tradnl"/>
        </w:rPr>
        <w:t>de infraestructura</w:t>
      </w:r>
      <w:r w:rsidR="008D2750">
        <w:rPr>
          <w:rFonts w:ascii="ITC Avant Garde" w:hAnsi="ITC Avant Garde"/>
          <w:lang w:val="es-ES_tradnl"/>
        </w:rPr>
        <w:t>, además de mencionar que la entrada en vigor del Anteproyecto implicaría una sobrerregulación, toda vez que la compartición ya se da a través de acuerdos voluntarios y privados</w:t>
      </w:r>
      <w:r w:rsidRPr="00541B80">
        <w:rPr>
          <w:rFonts w:ascii="ITC Avant Garde" w:hAnsi="ITC Avant Garde"/>
          <w:lang w:val="es-ES_tradnl"/>
        </w:rPr>
        <w:t>.</w:t>
      </w:r>
    </w:p>
    <w:p w14:paraId="5EE8F0F1" w14:textId="77777777" w:rsidR="00BF53DB" w:rsidRPr="00541B80" w:rsidRDefault="00BF53DB" w:rsidP="00BF53DB">
      <w:pPr>
        <w:spacing w:after="120"/>
        <w:rPr>
          <w:rFonts w:ascii="ITC Avant Garde" w:hAnsi="ITC Avant Garde"/>
          <w:i/>
          <w:lang w:val="es-ES_tradnl"/>
        </w:rPr>
      </w:pPr>
      <w:r w:rsidRPr="00541B80">
        <w:rPr>
          <w:rFonts w:ascii="ITC Avant Garde" w:hAnsi="ITC Avant Garde"/>
          <w:i/>
          <w:lang w:val="es-ES_tradnl"/>
        </w:rPr>
        <w:t>Respuesta del Instituto</w:t>
      </w:r>
    </w:p>
    <w:p w14:paraId="29702704" w14:textId="53C782C8" w:rsidR="00BF53DB" w:rsidRDefault="00BF53DB" w:rsidP="00BF53DB">
      <w:pPr>
        <w:spacing w:after="120"/>
        <w:rPr>
          <w:rFonts w:ascii="ITC Avant Garde" w:hAnsi="ITC Avant Garde"/>
          <w:lang w:val="es-ES_tradnl"/>
        </w:rPr>
      </w:pPr>
      <w:r>
        <w:rPr>
          <w:rFonts w:ascii="ITC Avant Garde" w:hAnsi="ITC Avant Garde"/>
          <w:lang w:val="es-ES_tradnl"/>
        </w:rPr>
        <w:t>El Instituto señala que contrario a lo manifestado, la Ley Federal de Telecomunicaciones y Radiodifusión (</w:t>
      </w:r>
      <w:r w:rsidR="00F7304C">
        <w:rPr>
          <w:rFonts w:ascii="ITC Avant Garde" w:hAnsi="ITC Avant Garde"/>
          <w:lang w:val="es-ES_tradnl"/>
        </w:rPr>
        <w:t>e</w:t>
      </w:r>
      <w:r>
        <w:rPr>
          <w:rFonts w:ascii="ITC Avant Garde" w:hAnsi="ITC Avant Garde"/>
          <w:lang w:val="es-ES_tradnl"/>
        </w:rPr>
        <w:t>n lo sucesivo</w:t>
      </w:r>
      <w:r w:rsidR="00F7304C">
        <w:rPr>
          <w:rFonts w:ascii="ITC Avant Garde" w:hAnsi="ITC Avant Garde"/>
          <w:lang w:val="es-ES_tradnl"/>
        </w:rPr>
        <w:t>,</w:t>
      </w:r>
      <w:r>
        <w:rPr>
          <w:rFonts w:ascii="ITC Avant Garde" w:hAnsi="ITC Avant Garde"/>
          <w:lang w:val="es-ES_tradnl"/>
        </w:rPr>
        <w:t xml:space="preserve"> “LFTR”) establece dentro </w:t>
      </w:r>
      <w:r w:rsidR="008C1867">
        <w:rPr>
          <w:rFonts w:ascii="ITC Avant Garde" w:hAnsi="ITC Avant Garde"/>
          <w:lang w:val="es-ES_tradnl"/>
        </w:rPr>
        <w:t xml:space="preserve">de </w:t>
      </w:r>
      <w:r>
        <w:rPr>
          <w:rFonts w:ascii="ITC Avant Garde" w:hAnsi="ITC Avant Garde"/>
          <w:lang w:val="es-ES_tradnl"/>
        </w:rPr>
        <w:t>la</w:t>
      </w:r>
      <w:r w:rsidR="008C1867">
        <w:rPr>
          <w:rFonts w:ascii="ITC Avant Garde" w:hAnsi="ITC Avant Garde"/>
          <w:lang w:val="es-ES_tradnl"/>
        </w:rPr>
        <w:t>s fraccio</w:t>
      </w:r>
      <w:r>
        <w:rPr>
          <w:rFonts w:ascii="ITC Avant Garde" w:hAnsi="ITC Avant Garde"/>
          <w:lang w:val="es-ES_tradnl"/>
        </w:rPr>
        <w:t>n</w:t>
      </w:r>
      <w:r w:rsidR="008C1867">
        <w:rPr>
          <w:rFonts w:ascii="ITC Avant Garde" w:hAnsi="ITC Avant Garde"/>
          <w:lang w:val="es-ES_tradnl"/>
        </w:rPr>
        <w:t>es XI y</w:t>
      </w:r>
      <w:r>
        <w:rPr>
          <w:rFonts w:ascii="ITC Avant Garde" w:hAnsi="ITC Avant Garde"/>
          <w:lang w:val="es-ES_tradnl"/>
        </w:rPr>
        <w:t xml:space="preserve"> XLV de su artículo 15 la atribución con que cuenta Instituto para</w:t>
      </w:r>
      <w:r w:rsidR="00F7304C">
        <w:rPr>
          <w:rFonts w:ascii="ITC Avant Garde" w:hAnsi="ITC Avant Garde"/>
          <w:lang w:val="es-ES_tradnl"/>
        </w:rPr>
        <w:t xml:space="preserve"> </w:t>
      </w:r>
      <w:r w:rsidR="008C1867">
        <w:rPr>
          <w:rFonts w:ascii="ITC Avant Garde" w:hAnsi="ITC Avant Garde"/>
          <w:lang w:val="es-ES_tradnl"/>
        </w:rPr>
        <w:t>“Emitir lineamientos de carácter general para el acceso y, en su caso, uso compartido de la infraestructura activa y pasiva”, y para</w:t>
      </w:r>
      <w:r>
        <w:rPr>
          <w:rFonts w:ascii="ITC Avant Garde" w:hAnsi="ITC Avant Garde"/>
          <w:lang w:val="es-ES_tradnl"/>
        </w:rPr>
        <w:t xml:space="preserve"> “</w:t>
      </w:r>
      <w:r w:rsidRPr="008F6681">
        <w:rPr>
          <w:rFonts w:ascii="ITC Avant Garde" w:hAnsi="ITC Avant Garde"/>
          <w:i/>
          <w:lang w:val="es-ES_tradnl"/>
        </w:rPr>
        <w:t>Expedir los lineamientos para el despliegue de la infraestructura de telecomunicaciones y radiodifusión</w:t>
      </w:r>
      <w:r>
        <w:rPr>
          <w:rFonts w:ascii="ITC Avant Garde" w:hAnsi="ITC Avant Garde"/>
          <w:lang w:val="es-ES_tradnl"/>
        </w:rPr>
        <w:t xml:space="preserve">”, por lo que la entrada en vigor del Anteproyecto no implica un conflicto competencial. </w:t>
      </w:r>
    </w:p>
    <w:p w14:paraId="24013FD6" w14:textId="1B2D23CC" w:rsidR="00BF53DB" w:rsidRPr="00541B80" w:rsidRDefault="004C7606">
      <w:pPr>
        <w:spacing w:after="120"/>
        <w:rPr>
          <w:rFonts w:ascii="ITC Avant Garde" w:hAnsi="ITC Avant Garde"/>
          <w:u w:val="single"/>
          <w:lang w:val="es-ES_tradnl"/>
        </w:rPr>
      </w:pPr>
      <w:r>
        <w:rPr>
          <w:rFonts w:ascii="ITC Avant Garde" w:hAnsi="ITC Avant Garde"/>
          <w:u w:val="single"/>
          <w:lang w:val="es-ES_tradnl"/>
        </w:rPr>
        <w:t>Sujetos o</w:t>
      </w:r>
      <w:r w:rsidR="00BF53DB" w:rsidRPr="00541B80">
        <w:rPr>
          <w:rFonts w:ascii="ITC Avant Garde" w:hAnsi="ITC Avant Garde"/>
          <w:u w:val="single"/>
          <w:lang w:val="es-ES_tradnl"/>
        </w:rPr>
        <w:t>bligados</w:t>
      </w:r>
      <w:r>
        <w:rPr>
          <w:rFonts w:ascii="ITC Avant Garde" w:hAnsi="ITC Avant Garde"/>
          <w:u w:val="single"/>
          <w:lang w:val="es-ES_tradnl"/>
        </w:rPr>
        <w:t xml:space="preserve"> al cumplimiento del contenido del Anteproyecto</w:t>
      </w:r>
    </w:p>
    <w:p w14:paraId="00F69366" w14:textId="346B4A26" w:rsidR="009A079A" w:rsidRDefault="009A079A">
      <w:pPr>
        <w:pStyle w:val="IFTnormal"/>
      </w:pPr>
      <w:r>
        <w:t>Diversos participantes</w:t>
      </w:r>
      <w:r w:rsidR="00FC4733">
        <w:t xml:space="preserve"> </w:t>
      </w:r>
      <w:r w:rsidR="00C0421A">
        <w:t>sugirie</w:t>
      </w:r>
      <w:r w:rsidR="00FC4733">
        <w:t>ro</w:t>
      </w:r>
      <w:r w:rsidR="00C0421A">
        <w:t xml:space="preserve">n </w:t>
      </w:r>
      <w:r w:rsidR="00FC4733">
        <w:t xml:space="preserve">la eliminación de </w:t>
      </w:r>
      <w:r>
        <w:t xml:space="preserve">la figura de los autorizados </w:t>
      </w:r>
      <w:r w:rsidR="00FC4733">
        <w:t xml:space="preserve">del artículo 1° del Anteproyecto </w:t>
      </w:r>
      <w:r w:rsidR="00C0421A">
        <w:t>como</w:t>
      </w:r>
      <w:r>
        <w:t xml:space="preserve"> sujetos obligados al cumplimiento de lo establecido dentro de los lineamientos</w:t>
      </w:r>
      <w:r w:rsidR="00C0421A">
        <w:t xml:space="preserve">, además de mencionar que </w:t>
      </w:r>
      <w:r w:rsidR="00CC6CD2">
        <w:t>no se establece con claridad qu</w:t>
      </w:r>
      <w:r w:rsidR="00F7304C">
        <w:t>é</w:t>
      </w:r>
      <w:r w:rsidR="00CC6CD2">
        <w:t xml:space="preserve"> medi</w:t>
      </w:r>
      <w:r w:rsidR="00A11AF9">
        <w:t>d</w:t>
      </w:r>
      <w:r w:rsidR="00CC6CD2">
        <w:t>as son aplicables al Agente Económico Preponderante</w:t>
      </w:r>
      <w:r w:rsidR="00FC4733">
        <w:t xml:space="preserve"> (</w:t>
      </w:r>
      <w:r w:rsidR="00F7304C">
        <w:t>e</w:t>
      </w:r>
      <w:r w:rsidR="00FC4733">
        <w:t>n lo sucesivo</w:t>
      </w:r>
      <w:r w:rsidR="00F7304C">
        <w:t>,</w:t>
      </w:r>
      <w:r w:rsidR="00FC4733">
        <w:t xml:space="preserve"> “AEP”)</w:t>
      </w:r>
      <w:r w:rsidR="00CC6CD2">
        <w:t xml:space="preserve"> y cu</w:t>
      </w:r>
      <w:r w:rsidR="00F7304C">
        <w:t>á</w:t>
      </w:r>
      <w:r w:rsidR="00CC6CD2">
        <w:t>les a los concesionarios.</w:t>
      </w:r>
    </w:p>
    <w:p w14:paraId="3AD0296E" w14:textId="77777777" w:rsidR="00BF53DB" w:rsidRPr="00541B80" w:rsidRDefault="00BF53DB" w:rsidP="00541B80">
      <w:pPr>
        <w:spacing w:after="120"/>
        <w:rPr>
          <w:i/>
        </w:rPr>
      </w:pPr>
      <w:r w:rsidRPr="00541B80">
        <w:rPr>
          <w:rFonts w:ascii="ITC Avant Garde" w:hAnsi="ITC Avant Garde"/>
          <w:i/>
          <w:lang w:val="es-ES_tradnl"/>
        </w:rPr>
        <w:t>Respuesta del Instituto</w:t>
      </w:r>
    </w:p>
    <w:p w14:paraId="6C797800" w14:textId="69585ADD" w:rsidR="00FC4733" w:rsidRPr="00752378" w:rsidRDefault="00066A52" w:rsidP="00752378">
      <w:pPr>
        <w:spacing w:after="120"/>
        <w:ind w:right="45"/>
        <w:rPr>
          <w:rFonts w:ascii="ITC Avant Garde" w:hAnsi="ITC Avant Garde"/>
          <w:lang w:val="es-ES_tradnl"/>
        </w:rPr>
      </w:pPr>
      <w:r>
        <w:rPr>
          <w:rFonts w:ascii="ITC Avant Garde" w:hAnsi="ITC Avant Garde"/>
          <w:lang w:val="es-ES_tradnl"/>
        </w:rPr>
        <w:t>En concordancia con</w:t>
      </w:r>
      <w:r w:rsidR="00BF53DB" w:rsidRPr="00752378">
        <w:rPr>
          <w:rFonts w:ascii="ITC Avant Garde" w:hAnsi="ITC Avant Garde"/>
          <w:lang w:val="es-ES_tradnl"/>
        </w:rPr>
        <w:t xml:space="preserve"> las </w:t>
      </w:r>
      <w:r w:rsidR="00CA78DC" w:rsidRPr="00752378">
        <w:rPr>
          <w:rFonts w:ascii="ITC Avant Garde" w:hAnsi="ITC Avant Garde"/>
          <w:lang w:val="es-ES_tradnl"/>
        </w:rPr>
        <w:t>afirmaciones</w:t>
      </w:r>
      <w:r w:rsidR="00BF53DB" w:rsidRPr="00752378">
        <w:rPr>
          <w:rFonts w:ascii="ITC Avant Garde" w:hAnsi="ITC Avant Garde"/>
          <w:lang w:val="es-ES_tradnl"/>
        </w:rPr>
        <w:t xml:space="preserve"> </w:t>
      </w:r>
      <w:r w:rsidR="00CA78DC" w:rsidRPr="00752378">
        <w:rPr>
          <w:rFonts w:ascii="ITC Avant Garde" w:hAnsi="ITC Avant Garde"/>
          <w:lang w:val="es-ES_tradnl"/>
        </w:rPr>
        <w:t>planteadas</w:t>
      </w:r>
      <w:r w:rsidR="00BF53DB" w:rsidRPr="00752378">
        <w:rPr>
          <w:rFonts w:ascii="ITC Avant Garde" w:hAnsi="ITC Avant Garde"/>
          <w:lang w:val="es-ES_tradnl"/>
        </w:rPr>
        <w:t xml:space="preserve"> por los participantes, </w:t>
      </w:r>
      <w:r w:rsidR="007F3883" w:rsidRPr="00752378">
        <w:rPr>
          <w:rFonts w:ascii="ITC Avant Garde" w:hAnsi="ITC Avant Garde"/>
          <w:lang w:val="es-ES_tradnl"/>
        </w:rPr>
        <w:t>si bien los autorizados para operar una comercializadora de servicios de telecomunicaciones no están impedidos para ser poseedores o propietarios de infraestructura para la reventa de servicios de telecomunicaciones y la prestación de servicios propios</w:t>
      </w:r>
      <w:r w:rsidR="00752378" w:rsidRPr="00752378">
        <w:rPr>
          <w:rFonts w:ascii="ITC Avant Garde" w:hAnsi="ITC Avant Garde"/>
          <w:lang w:val="es-ES_tradnl"/>
        </w:rPr>
        <w:t>,</w:t>
      </w:r>
      <w:r w:rsidR="007F3883" w:rsidRPr="00752378">
        <w:rPr>
          <w:rFonts w:ascii="ITC Avant Garde" w:hAnsi="ITC Avant Garde"/>
          <w:lang w:val="es-ES_tradnl"/>
        </w:rPr>
        <w:t xml:space="preserve"> en términos de la LFTR no estarían obligados a compartir dicha infraestructura con otros concesionarios o autorizados</w:t>
      </w:r>
      <w:r w:rsidR="00F7304C">
        <w:rPr>
          <w:rFonts w:ascii="ITC Avant Garde" w:hAnsi="ITC Avant Garde"/>
          <w:lang w:val="es-ES_tradnl"/>
        </w:rPr>
        <w:t xml:space="preserve"> bajo los criterios previstos por el artículo 139 de la LFTR</w:t>
      </w:r>
      <w:r>
        <w:rPr>
          <w:rFonts w:ascii="ITC Avant Garde" w:hAnsi="ITC Avant Garde"/>
          <w:lang w:val="es-ES_tradnl"/>
        </w:rPr>
        <w:t xml:space="preserve"> ya que este último hace referencia exclusivamente a la figura de concesionario</w:t>
      </w:r>
      <w:r w:rsidR="007F3883" w:rsidRPr="00752378">
        <w:rPr>
          <w:rFonts w:ascii="ITC Avant Garde" w:hAnsi="ITC Avant Garde"/>
          <w:lang w:val="es-ES_tradnl"/>
        </w:rPr>
        <w:t xml:space="preserve">. </w:t>
      </w:r>
    </w:p>
    <w:p w14:paraId="2DE2AC0F" w14:textId="77777777" w:rsidR="00415130" w:rsidRPr="009E676D" w:rsidRDefault="00415130" w:rsidP="009E676D">
      <w:pPr>
        <w:spacing w:after="0" w:line="240" w:lineRule="auto"/>
        <w:ind w:right="48"/>
        <w:rPr>
          <w:rFonts w:ascii="ITC Avant Garde" w:hAnsi="ITC Avant Garde"/>
        </w:rPr>
      </w:pPr>
    </w:p>
    <w:p w14:paraId="28E8478D" w14:textId="68E8EB4E" w:rsidR="00FC4733" w:rsidRDefault="00FC4733" w:rsidP="00541B80">
      <w:pPr>
        <w:spacing w:after="120"/>
        <w:rPr>
          <w:rFonts w:ascii="ITC Avant Garde" w:hAnsi="ITC Avant Garde"/>
          <w:lang w:val="es-ES_tradnl"/>
        </w:rPr>
      </w:pPr>
      <w:r>
        <w:rPr>
          <w:rFonts w:ascii="ITC Avant Garde" w:hAnsi="ITC Avant Garde"/>
          <w:lang w:val="es-ES_tradnl"/>
        </w:rPr>
        <w:t xml:space="preserve">Respecto de la confusión que pudiera provocar al AEP la entrada en vigor del Anteproyecto, </w:t>
      </w:r>
      <w:r w:rsidR="00F7304C">
        <w:rPr>
          <w:rFonts w:ascii="ITC Avant Garde" w:hAnsi="ITC Avant Garde"/>
          <w:lang w:val="es-ES_tradnl"/>
        </w:rPr>
        <w:t xml:space="preserve">se precisa que el contenido de este último </w:t>
      </w:r>
      <w:r>
        <w:rPr>
          <w:rFonts w:ascii="ITC Avant Garde" w:hAnsi="ITC Avant Garde"/>
          <w:lang w:val="es-ES_tradnl"/>
        </w:rPr>
        <w:t xml:space="preserve">solamente le será aplicable </w:t>
      </w:r>
      <w:r w:rsidRPr="00FC4733">
        <w:rPr>
          <w:rFonts w:ascii="ITC Avant Garde" w:hAnsi="ITC Avant Garde"/>
          <w:lang w:val="es-ES_tradnl"/>
        </w:rPr>
        <w:t xml:space="preserve">cuando los elementos de infraestructura de que se trate no </w:t>
      </w:r>
      <w:r>
        <w:rPr>
          <w:rFonts w:ascii="ITC Avant Garde" w:hAnsi="ITC Avant Garde"/>
          <w:lang w:val="es-ES_tradnl"/>
        </w:rPr>
        <w:t xml:space="preserve">se encuentren </w:t>
      </w:r>
      <w:r w:rsidRPr="00FC4733">
        <w:rPr>
          <w:rFonts w:ascii="ITC Avant Garde" w:hAnsi="ITC Avant Garde"/>
          <w:lang w:val="es-ES_tradnl"/>
        </w:rPr>
        <w:t>regulados asimétricamente</w:t>
      </w:r>
      <w:r w:rsidR="00066A52">
        <w:rPr>
          <w:rFonts w:ascii="ITC Avant Garde" w:hAnsi="ITC Avant Garde"/>
          <w:lang w:val="es-ES_tradnl"/>
        </w:rPr>
        <w:t xml:space="preserve"> por lo que se trata de lineamientos generales</w:t>
      </w:r>
      <w:r w:rsidRPr="00FC4733">
        <w:rPr>
          <w:rFonts w:ascii="ITC Avant Garde" w:hAnsi="ITC Avant Garde"/>
          <w:lang w:val="es-ES_tradnl"/>
        </w:rPr>
        <w:t>.</w:t>
      </w:r>
    </w:p>
    <w:p w14:paraId="4986A8C2" w14:textId="77777777" w:rsidR="00066A52" w:rsidRDefault="00066A52" w:rsidP="00541B80">
      <w:pPr>
        <w:spacing w:after="120"/>
        <w:rPr>
          <w:rFonts w:ascii="ITC Avant Garde" w:hAnsi="ITC Avant Garde"/>
          <w:lang w:val="es-ES_tradnl"/>
        </w:rPr>
      </w:pPr>
    </w:p>
    <w:p w14:paraId="2585FCBD" w14:textId="0AE64203" w:rsidR="0043498B" w:rsidRPr="00541B80" w:rsidRDefault="004C7606" w:rsidP="00CA78DC">
      <w:pPr>
        <w:spacing w:after="120"/>
        <w:rPr>
          <w:rFonts w:ascii="ITC Avant Garde" w:hAnsi="ITC Avant Garde"/>
          <w:u w:val="single"/>
          <w:lang w:val="es-ES_tradnl"/>
        </w:rPr>
      </w:pPr>
      <w:r>
        <w:rPr>
          <w:rFonts w:ascii="ITC Avant Garde" w:hAnsi="ITC Avant Garde"/>
          <w:u w:val="single"/>
          <w:lang w:val="es-ES_tradnl"/>
        </w:rPr>
        <w:t>Barreras contractuales para la entrada en edificios</w:t>
      </w:r>
    </w:p>
    <w:p w14:paraId="6BD9C266" w14:textId="35ECA50E" w:rsidR="0043498B" w:rsidRPr="00541B80" w:rsidRDefault="006632AE" w:rsidP="00CA78DC">
      <w:pPr>
        <w:spacing w:after="120"/>
        <w:rPr>
          <w:rFonts w:ascii="ITC Avant Garde" w:hAnsi="ITC Avant Garde"/>
          <w:lang w:val="es-ES_tradnl"/>
        </w:rPr>
      </w:pPr>
      <w:r w:rsidRPr="00541B80">
        <w:rPr>
          <w:rFonts w:ascii="ITC Avant Garde" w:hAnsi="ITC Avant Garde"/>
          <w:lang w:val="es-ES_tradnl"/>
        </w:rPr>
        <w:t>Dentro de</w:t>
      </w:r>
      <w:r>
        <w:rPr>
          <w:rFonts w:ascii="ITC Avant Garde" w:hAnsi="ITC Avant Garde"/>
          <w:lang w:val="es-ES_tradnl"/>
        </w:rPr>
        <w:t xml:space="preserve"> los comentarios recibidos, </w:t>
      </w:r>
      <w:r w:rsidR="009E676D">
        <w:rPr>
          <w:rFonts w:ascii="ITC Avant Garde" w:hAnsi="ITC Avant Garde"/>
          <w:lang w:val="es-ES_tradnl"/>
        </w:rPr>
        <w:t xml:space="preserve">diversos participantes </w:t>
      </w:r>
      <w:r>
        <w:rPr>
          <w:rFonts w:ascii="ITC Avant Garde" w:hAnsi="ITC Avant Garde"/>
          <w:lang w:val="es-ES_tradnl"/>
        </w:rPr>
        <w:t>m</w:t>
      </w:r>
      <w:r w:rsidR="009E676D">
        <w:rPr>
          <w:rFonts w:ascii="ITC Avant Garde" w:hAnsi="ITC Avant Garde"/>
          <w:lang w:val="es-ES_tradnl"/>
        </w:rPr>
        <w:t>anifestar</w:t>
      </w:r>
      <w:r w:rsidR="00F7304C">
        <w:rPr>
          <w:rFonts w:ascii="ITC Avant Garde" w:hAnsi="ITC Avant Garde"/>
          <w:lang w:val="es-ES_tradnl"/>
        </w:rPr>
        <w:t>o</w:t>
      </w:r>
      <w:r w:rsidR="009E676D">
        <w:rPr>
          <w:rFonts w:ascii="ITC Avant Garde" w:hAnsi="ITC Avant Garde"/>
          <w:lang w:val="es-ES_tradnl"/>
        </w:rPr>
        <w:t>n</w:t>
      </w:r>
      <w:r>
        <w:rPr>
          <w:rFonts w:ascii="ITC Avant Garde" w:hAnsi="ITC Avant Garde"/>
          <w:lang w:val="es-ES_tradnl"/>
        </w:rPr>
        <w:t xml:space="preserve"> su inconformidad con lo establecido dentro del artículo 23 del Anteproyecto en la parte tendiente a que los concesionarios deberán </w:t>
      </w:r>
      <w:r w:rsidR="00F4389C">
        <w:rPr>
          <w:rFonts w:ascii="ITC Avant Garde" w:hAnsi="ITC Avant Garde"/>
          <w:lang w:val="es-ES_tradnl"/>
        </w:rPr>
        <w:t>abstenerse de celebrar contratos que contengan cláusulas de exclusividad</w:t>
      </w:r>
      <w:r>
        <w:rPr>
          <w:rFonts w:ascii="ITC Avant Garde" w:hAnsi="ITC Avant Garde"/>
          <w:lang w:val="es-ES_tradnl"/>
        </w:rPr>
        <w:t>, al considerar que el derecho de propiedad de los dueños de inmuebles no puede limitarse y por esta razón no debería imponerse la no exclusividad</w:t>
      </w:r>
      <w:r w:rsidR="00AF1E0E">
        <w:rPr>
          <w:rFonts w:ascii="ITC Avant Garde" w:hAnsi="ITC Avant Garde"/>
          <w:lang w:val="es-ES_tradnl"/>
        </w:rPr>
        <w:t>.</w:t>
      </w:r>
    </w:p>
    <w:p w14:paraId="5A97900F" w14:textId="77777777" w:rsidR="00AF61BB" w:rsidRPr="00541B80" w:rsidRDefault="00AF61BB" w:rsidP="00AF61BB">
      <w:pPr>
        <w:spacing w:after="120"/>
        <w:rPr>
          <w:rFonts w:ascii="ITC Avant Garde" w:hAnsi="ITC Avant Garde"/>
          <w:i/>
          <w:lang w:val="es-ES_tradnl"/>
        </w:rPr>
      </w:pPr>
      <w:r w:rsidRPr="00541B80">
        <w:rPr>
          <w:rFonts w:ascii="ITC Avant Garde" w:hAnsi="ITC Avant Garde"/>
          <w:i/>
          <w:lang w:val="es-ES_tradnl"/>
        </w:rPr>
        <w:t>Respuesta del Instituto</w:t>
      </w:r>
    </w:p>
    <w:p w14:paraId="6BECAA25" w14:textId="4A98080C" w:rsidR="003E6246" w:rsidRDefault="00AF61BB" w:rsidP="008C1867">
      <w:pPr>
        <w:pStyle w:val="IFTnormal"/>
      </w:pPr>
      <w:r w:rsidRPr="00982193">
        <w:t xml:space="preserve">Respecto a los señalamientos </w:t>
      </w:r>
      <w:r w:rsidR="00406C93">
        <w:t xml:space="preserve">se precisa </w:t>
      </w:r>
      <w:r w:rsidR="00D23844" w:rsidRPr="00982193">
        <w:t>que esa no es la intención regulatoria del Anteproyecto</w:t>
      </w:r>
      <w:r w:rsidR="00982193" w:rsidRPr="00982193">
        <w:t>.</w:t>
      </w:r>
      <w:r w:rsidR="003E6246">
        <w:t xml:space="preserve"> En ese sentido, el Instituto modifica el Anteproyecto para incluir que en el caso de que </w:t>
      </w:r>
      <w:r w:rsidR="00066A52">
        <w:t xml:space="preserve">se trate de </w:t>
      </w:r>
      <w:r w:rsidR="003E6246">
        <w:t xml:space="preserve">infraestructura de </w:t>
      </w:r>
      <w:r w:rsidR="00FB790A">
        <w:rPr>
          <w:b/>
        </w:rPr>
        <w:t>concesionario</w:t>
      </w:r>
      <w:r w:rsidR="00066A52">
        <w:rPr>
          <w:b/>
        </w:rPr>
        <w:t>s</w:t>
      </w:r>
      <w:r w:rsidR="003E6246" w:rsidRPr="003E6246">
        <w:t xml:space="preserve"> </w:t>
      </w:r>
      <w:r w:rsidR="00066A52">
        <w:t xml:space="preserve">desplegada </w:t>
      </w:r>
      <w:r w:rsidR="003E6246" w:rsidRPr="003E6246">
        <w:t xml:space="preserve">en edificios, centros comerciales, fraccionamientos, hoteles o cualquier otro inmueble de un tercero, </w:t>
      </w:r>
      <w:r w:rsidR="00066A52">
        <w:t xml:space="preserve">que </w:t>
      </w:r>
      <w:r w:rsidR="00406C93">
        <w:t>sea</w:t>
      </w:r>
      <w:r w:rsidR="003E6246" w:rsidRPr="003E6246">
        <w:t xml:space="preserve"> el único medio para brindar servicios de telecomunicaciones a los usuarios, derivado de la existencia de convenios de exclusividad y/o tratos discriminatorios por parte del dueño, poseedor o administrador</w:t>
      </w:r>
      <w:r w:rsidR="003E6246">
        <w:t xml:space="preserve"> de un inmueble o por falta de c</w:t>
      </w:r>
      <w:r w:rsidR="003E6246" w:rsidRPr="003E6246">
        <w:t>apacidad en la infra</w:t>
      </w:r>
      <w:r w:rsidR="003E6246">
        <w:t xml:space="preserve">estructura del propio inmueble, </w:t>
      </w:r>
      <w:r w:rsidR="00406C93">
        <w:t xml:space="preserve">la infraestructura del concesionario </w:t>
      </w:r>
      <w:r w:rsidR="003E6246">
        <w:t>se entenderá como infraestructura sin sustitutos</w:t>
      </w:r>
      <w:r w:rsidR="00FB790A">
        <w:t xml:space="preserve"> por lo que podría ser susceptible de compartición</w:t>
      </w:r>
      <w:r w:rsidR="003E6246">
        <w:t>.</w:t>
      </w:r>
    </w:p>
    <w:p w14:paraId="2350C408" w14:textId="61264528" w:rsidR="00982193" w:rsidRDefault="00066A52" w:rsidP="008C1867">
      <w:pPr>
        <w:pStyle w:val="IFTnormal"/>
      </w:pPr>
      <w:r>
        <w:t xml:space="preserve">Es por ello que </w:t>
      </w:r>
      <w:r w:rsidR="00AE2A75">
        <w:t xml:space="preserve">en la </w:t>
      </w:r>
      <w:r w:rsidR="00406C93">
        <w:t xml:space="preserve">sección </w:t>
      </w:r>
      <w:r w:rsidR="00AE2A75">
        <w:t>correspondiente al</w:t>
      </w:r>
      <w:r w:rsidR="00982193">
        <w:t xml:space="preserve"> despliegue</w:t>
      </w:r>
      <w:r w:rsidR="0062569F">
        <w:t xml:space="preserve"> de infraestructura,</w:t>
      </w:r>
      <w:r w:rsidR="00982193">
        <w:t xml:space="preserve"> </w:t>
      </w:r>
      <w:r w:rsidR="00406C93">
        <w:t xml:space="preserve">con el fin de disuadir </w:t>
      </w:r>
      <w:r w:rsidR="00AE2A75">
        <w:t>prácticas que pued</w:t>
      </w:r>
      <w:r w:rsidR="00406C93">
        <w:t>a</w:t>
      </w:r>
      <w:r w:rsidR="00AE2A75">
        <w:t xml:space="preserve">n incurrir en tratos discriminatorios por parte de concesionarios, </w:t>
      </w:r>
      <w:r w:rsidR="00406C93">
        <w:t xml:space="preserve">y para </w:t>
      </w:r>
      <w:r w:rsidR="00AE2A75">
        <w:t>garantizar el derecho que tienen los usuarios para elegir libremente al proveedor de servicios de telecomunicaciones</w:t>
      </w:r>
      <w:r w:rsidR="00406C93">
        <w:t>,</w:t>
      </w:r>
      <w:r w:rsidR="00AE2A75">
        <w:t xml:space="preserve"> </w:t>
      </w:r>
      <w:r w:rsidR="003E6246">
        <w:t xml:space="preserve">se incluye en el </w:t>
      </w:r>
      <w:r w:rsidR="00AE2A75">
        <w:t>Anteproyect</w:t>
      </w:r>
      <w:r w:rsidR="0062569F">
        <w:t xml:space="preserve">o </w:t>
      </w:r>
      <w:r w:rsidR="0062569F" w:rsidRPr="0062569F">
        <w:t>que al realizar despliegues o prestar servicios de telecomunicaciones en edificios, centros comerciales, fraccionamientos, hoteles o cualquier otro inmueble, los concesionarios deberán abstenerse de establecer barreras contractuales, técnicas o de cualquier otra naturaleza, en seguimiento de lo establecido en el artículo 118 fracción IX y el artículo 191 fracción IV de la LFTR.</w:t>
      </w:r>
    </w:p>
    <w:p w14:paraId="12F8C3DF" w14:textId="27BD26E3" w:rsidR="0062569F" w:rsidRDefault="0062569F" w:rsidP="008C1867">
      <w:pPr>
        <w:pStyle w:val="IFTnormal"/>
      </w:pPr>
      <w:r>
        <w:t>En conclusión</w:t>
      </w:r>
      <w:r w:rsidR="004C7606">
        <w:t>,</w:t>
      </w:r>
      <w:r>
        <w:t xml:space="preserve"> el Instituto atiende el comentario y modifica el contenido del Anteproyecto para </w:t>
      </w:r>
      <w:r w:rsidR="00406C93">
        <w:t xml:space="preserve">otorgar </w:t>
      </w:r>
      <w:r>
        <w:t xml:space="preserve">mayor </w:t>
      </w:r>
      <w:r w:rsidR="00406C93">
        <w:t>claridad y certeza a</w:t>
      </w:r>
      <w:r>
        <w:t xml:space="preserve"> las partes.</w:t>
      </w:r>
    </w:p>
    <w:p w14:paraId="6AC5D91A" w14:textId="275E7568" w:rsidR="001B6EB0" w:rsidRPr="00541B80" w:rsidRDefault="004C7606" w:rsidP="00541B80">
      <w:pPr>
        <w:pStyle w:val="IFTnormal"/>
        <w:rPr>
          <w:u w:val="single"/>
        </w:rPr>
      </w:pPr>
      <w:r>
        <w:rPr>
          <w:u w:val="single"/>
        </w:rPr>
        <w:t>Imposición de obligaciones a diversas autoridades</w:t>
      </w:r>
    </w:p>
    <w:p w14:paraId="7B8A5A07" w14:textId="5A9E2392" w:rsidR="001B6EB0" w:rsidRDefault="001B6EB0" w:rsidP="00541B80">
      <w:pPr>
        <w:pStyle w:val="IFTnormal"/>
      </w:pPr>
      <w:r>
        <w:t>Respecto de lo dispuesto por el artículo 20 del Anteproyecto, diversos participantes en la consulta pública refirieron que los Lineamientos únicamente son aplicables a concesionarios, por lo que no se podría establecer una obligación a autoridades del orden federal, estatal o municipal, por lo que este artículo debería estar alineado con lo establecido por el artículo 5° de la LFTR a fin de dejar clara la soberanía de las entidades federativas y la autonomía de los municipios.</w:t>
      </w:r>
    </w:p>
    <w:p w14:paraId="226D7E36" w14:textId="77777777" w:rsidR="001B6EB0" w:rsidRPr="00541B80" w:rsidRDefault="001B6EB0" w:rsidP="001B6EB0">
      <w:pPr>
        <w:spacing w:after="120"/>
        <w:rPr>
          <w:rFonts w:ascii="ITC Avant Garde" w:hAnsi="ITC Avant Garde"/>
          <w:i/>
          <w:lang w:val="es-ES_tradnl"/>
        </w:rPr>
      </w:pPr>
      <w:r w:rsidRPr="00541B80">
        <w:rPr>
          <w:rFonts w:ascii="ITC Avant Garde" w:hAnsi="ITC Avant Garde"/>
          <w:i/>
          <w:lang w:val="es-ES_tradnl"/>
        </w:rPr>
        <w:t>Respuesta del Instituto</w:t>
      </w:r>
    </w:p>
    <w:p w14:paraId="7FC78787" w14:textId="3D79366E" w:rsidR="001B6EB0" w:rsidRDefault="001B6EB0" w:rsidP="00541B80">
      <w:pPr>
        <w:pStyle w:val="IFTnormal"/>
      </w:pPr>
      <w:r>
        <w:t xml:space="preserve">Respecto de los comentarios vertidos en torno al alcance del contenido del artículo 20 del Anteproyecto, si bien el Instituto carece de las facultades constitucionales para establecer obligaciones a autoridades de los distintos niveles de gobierno, </w:t>
      </w:r>
      <w:r w:rsidRPr="001B6EB0">
        <w:t xml:space="preserve">desde su creación como órgano constitucional autónomo le fue conferido el objetivo de promover y desarrollar de manera eficiente los sectores de telecomunicaciones y radiodifusión en México, siendo </w:t>
      </w:r>
      <w:r w:rsidR="006302BD">
        <w:t xml:space="preserve">la generación de incentivos para </w:t>
      </w:r>
      <w:r w:rsidRPr="001B6EB0">
        <w:t xml:space="preserve">el despliegue de nueva infraestructura una manera de reducir </w:t>
      </w:r>
      <w:r w:rsidR="006302BD">
        <w:t xml:space="preserve">la brecha digital  que enfrentan diversos segmentos de </w:t>
      </w:r>
      <w:r w:rsidRPr="001B6EB0">
        <w:t>la población</w:t>
      </w:r>
      <w:r w:rsidR="006302BD">
        <w:t>,</w:t>
      </w:r>
      <w:r w:rsidRPr="001B6EB0">
        <w:t xml:space="preserve"> y así promover el respeto de sus garantías de libertad y acceso a la información.</w:t>
      </w:r>
    </w:p>
    <w:p w14:paraId="3F0ED3A5" w14:textId="1E899454" w:rsidR="001B6EB0" w:rsidRDefault="001B6EB0" w:rsidP="00541B80">
      <w:pPr>
        <w:pStyle w:val="IFTnormal"/>
      </w:pPr>
      <w:r>
        <w:t xml:space="preserve">En ese sentido, </w:t>
      </w:r>
      <w:r w:rsidRPr="001B6EB0">
        <w:t xml:space="preserve">el artículo </w:t>
      </w:r>
      <w:r>
        <w:t xml:space="preserve">20 </w:t>
      </w:r>
      <w:r w:rsidRPr="001B6EB0">
        <w:t>del Anteproyecto ha sido redactado</w:t>
      </w:r>
      <w:r>
        <w:t xml:space="preserve"> siguiendo el espíritu de lo dispuesto por el artículo 5° de la LFTR y</w:t>
      </w:r>
      <w:r w:rsidRPr="001B6EB0">
        <w:t xml:space="preserve"> con el propósito de establecer la postura del Instituto en contra de tratos discriminatorios y restrictivos que pudieran derivar de actos emitidos por autoridades del orden federal, estatal, municipal y de la Ciudad de México y que como consecuencia establecieran </w:t>
      </w:r>
      <w:r w:rsidR="00406C93">
        <w:t>restricciones</w:t>
      </w:r>
      <w:r w:rsidR="00406C93" w:rsidRPr="001B6EB0">
        <w:t xml:space="preserve"> </w:t>
      </w:r>
      <w:r w:rsidRPr="001B6EB0">
        <w:t xml:space="preserve">a la competencia entre concesionarios y </w:t>
      </w:r>
      <w:r w:rsidR="00406C93">
        <w:t xml:space="preserve">a </w:t>
      </w:r>
      <w:r w:rsidRPr="001B6EB0">
        <w:t>la libre concurrencia.</w:t>
      </w:r>
    </w:p>
    <w:p w14:paraId="51B76AF9" w14:textId="77777777" w:rsidR="009E676D" w:rsidRPr="008C1867" w:rsidRDefault="009E676D" w:rsidP="009E676D">
      <w:pPr>
        <w:pStyle w:val="IFTnormal"/>
        <w:rPr>
          <w:u w:val="single"/>
        </w:rPr>
      </w:pPr>
      <w:r w:rsidRPr="008C1867">
        <w:rPr>
          <w:u w:val="single"/>
        </w:rPr>
        <w:t>Verificación de Convenios</w:t>
      </w:r>
    </w:p>
    <w:p w14:paraId="048FC03B" w14:textId="77777777" w:rsidR="009E676D" w:rsidRDefault="009E676D" w:rsidP="009E676D">
      <w:pPr>
        <w:pStyle w:val="IFTnormal"/>
      </w:pPr>
      <w:r>
        <w:t>Derivado de lo dispuesto por el artículo 9 del Anteproyecto, diversos participantes manifestaron su inconformidad respecto a la facultad que tiene el Instituto para verificar los convenios que sean celebrados entre concesionarios, al considerar que se permitiría al Instituto intervenir directamente en acuerdos comerciales que ya han sido negociados previamente entre concesionarios.</w:t>
      </w:r>
    </w:p>
    <w:p w14:paraId="19CE4EE2" w14:textId="77777777" w:rsidR="009E676D" w:rsidRPr="008C1867" w:rsidRDefault="009E676D" w:rsidP="009E676D">
      <w:pPr>
        <w:spacing w:after="120"/>
        <w:rPr>
          <w:rFonts w:ascii="ITC Avant Garde" w:hAnsi="ITC Avant Garde"/>
          <w:i/>
          <w:lang w:val="es-ES_tradnl"/>
        </w:rPr>
      </w:pPr>
      <w:r w:rsidRPr="008C1867">
        <w:rPr>
          <w:rFonts w:ascii="ITC Avant Garde" w:hAnsi="ITC Avant Garde"/>
          <w:i/>
          <w:lang w:val="es-ES_tradnl"/>
        </w:rPr>
        <w:t>Respuesta del Instituto</w:t>
      </w:r>
    </w:p>
    <w:p w14:paraId="1AB4F777" w14:textId="6C300BF9" w:rsidR="009E676D" w:rsidRDefault="00897994" w:rsidP="009E676D">
      <w:pPr>
        <w:spacing w:after="120"/>
        <w:rPr>
          <w:rFonts w:ascii="ITC Avant Garde" w:hAnsi="ITC Avant Garde"/>
          <w:lang w:val="es-ES_tradnl"/>
        </w:rPr>
      </w:pPr>
      <w:r>
        <w:rPr>
          <w:rFonts w:ascii="ITC Avant Garde" w:hAnsi="ITC Avant Garde"/>
          <w:lang w:val="es-ES_tradnl"/>
        </w:rPr>
        <w:t xml:space="preserve">El Instituto manifiesta que el artículo 139 de la LFTR establece que “el Instituto podrá verificar en cualquier momento las condiciones de los convenios de compartición” por lo que reitera que el artículo 9 del Anteproyecto fue establecido en </w:t>
      </w:r>
      <w:r w:rsidR="00406C93">
        <w:rPr>
          <w:rFonts w:ascii="ITC Avant Garde" w:hAnsi="ITC Avant Garde"/>
          <w:lang w:val="es-ES_tradnl"/>
        </w:rPr>
        <w:t xml:space="preserve">atención a los dispuesto en la propia </w:t>
      </w:r>
      <w:r>
        <w:rPr>
          <w:rFonts w:ascii="ITC Avant Garde" w:hAnsi="ITC Avant Garde"/>
          <w:lang w:val="es-ES_tradnl"/>
        </w:rPr>
        <w:t xml:space="preserve">LFTR y con el objeto de </w:t>
      </w:r>
      <w:r w:rsidRPr="00897994">
        <w:rPr>
          <w:rFonts w:ascii="ITC Avant Garde" w:hAnsi="ITC Avant Garde"/>
          <w:lang w:val="es-ES_tradnl"/>
        </w:rPr>
        <w:t xml:space="preserve">asegurar que </w:t>
      </w:r>
      <w:r w:rsidR="00406C93">
        <w:rPr>
          <w:rFonts w:ascii="ITC Avant Garde" w:hAnsi="ITC Avant Garde"/>
          <w:lang w:val="es-ES_tradnl"/>
        </w:rPr>
        <w:t>lo suscrito en los convenios</w:t>
      </w:r>
      <w:r w:rsidR="00406C93" w:rsidRPr="00897994">
        <w:rPr>
          <w:rFonts w:ascii="ITC Avant Garde" w:hAnsi="ITC Avant Garde"/>
          <w:lang w:val="es-ES_tradnl"/>
        </w:rPr>
        <w:t xml:space="preserve"> </w:t>
      </w:r>
      <w:r w:rsidRPr="00897994">
        <w:rPr>
          <w:rFonts w:ascii="ITC Avant Garde" w:hAnsi="ITC Avant Garde"/>
          <w:lang w:val="es-ES_tradnl"/>
        </w:rPr>
        <w:t>no impacte negativamen</w:t>
      </w:r>
      <w:r>
        <w:rPr>
          <w:rFonts w:ascii="ITC Avant Garde" w:hAnsi="ITC Avant Garde"/>
          <w:lang w:val="es-ES_tradnl"/>
        </w:rPr>
        <w:t>te la competencia en el sector. En consecuencia, el Instituto no considera pertinente realizar modificaciones a dicho artículo.</w:t>
      </w:r>
    </w:p>
    <w:p w14:paraId="0A484B2B" w14:textId="77777777" w:rsidR="006302BD" w:rsidRDefault="006302BD" w:rsidP="009E676D">
      <w:pPr>
        <w:spacing w:after="120"/>
        <w:rPr>
          <w:rFonts w:ascii="ITC Avant Garde" w:hAnsi="ITC Avant Garde"/>
          <w:lang w:val="es-ES_tradnl"/>
        </w:rPr>
      </w:pPr>
    </w:p>
    <w:p w14:paraId="72C4FE13" w14:textId="44A1C442" w:rsidR="00FC4733" w:rsidRDefault="00DD6BE1" w:rsidP="00541B80">
      <w:pPr>
        <w:pStyle w:val="IFTnormal"/>
        <w:rPr>
          <w:b/>
        </w:rPr>
      </w:pPr>
      <w:r>
        <w:rPr>
          <w:b/>
        </w:rPr>
        <w:t xml:space="preserve">Manifestaciones sobre </w:t>
      </w:r>
      <w:r w:rsidR="00FC4733">
        <w:rPr>
          <w:b/>
        </w:rPr>
        <w:t>Capacidad Susceptible de Utilización</w:t>
      </w:r>
    </w:p>
    <w:p w14:paraId="2F3459DC" w14:textId="288A1F28" w:rsidR="0062569F" w:rsidRDefault="0062569F" w:rsidP="0062569F">
      <w:pPr>
        <w:pStyle w:val="IFTnormal"/>
      </w:pPr>
      <w:r>
        <w:t>Dentro de la consulta pública fueron recibidos diversos señalamientos en torno a lo planteado por el Instituto acerca de la Capacidad Susceptible de Utilización, mismos que han sido englobados en los subtemas que se exponen y responden a continuación:</w:t>
      </w:r>
    </w:p>
    <w:p w14:paraId="346D761E" w14:textId="1429261C" w:rsidR="00541B80" w:rsidRPr="00D470E6" w:rsidRDefault="00541B80" w:rsidP="0062569F">
      <w:pPr>
        <w:pStyle w:val="IFTnormal"/>
        <w:rPr>
          <w:u w:val="single"/>
        </w:rPr>
      </w:pPr>
      <w:r w:rsidRPr="00D470E6">
        <w:rPr>
          <w:u w:val="single"/>
        </w:rPr>
        <w:t>Dictamen Técnico de Factibilidad</w:t>
      </w:r>
    </w:p>
    <w:p w14:paraId="09A7BF31" w14:textId="107F9FF8" w:rsidR="00541B80" w:rsidRDefault="00541B80" w:rsidP="0062569F">
      <w:pPr>
        <w:pStyle w:val="IFTnormal"/>
      </w:pPr>
      <w:r>
        <w:t>Respecto del contenido de los artículos 3 y 10 del Anteproyecto, un participante en la consulta pública refirió que la capacidad susceptible de utilización deberá estar sujeta en todos los casos a un dictamen técnico de factibilidad llevado a cabo por el titular de infraestructura.</w:t>
      </w:r>
    </w:p>
    <w:p w14:paraId="0B28B255" w14:textId="6A13C309" w:rsidR="00541B80" w:rsidRDefault="00541B80" w:rsidP="00541B80">
      <w:pPr>
        <w:spacing w:after="120"/>
        <w:rPr>
          <w:rFonts w:ascii="ITC Avant Garde" w:hAnsi="ITC Avant Garde"/>
          <w:i/>
          <w:lang w:val="es-ES_tradnl"/>
        </w:rPr>
      </w:pPr>
      <w:r>
        <w:rPr>
          <w:rFonts w:ascii="ITC Avant Garde" w:hAnsi="ITC Avant Garde"/>
          <w:i/>
          <w:lang w:val="es-ES_tradnl"/>
        </w:rPr>
        <w:t>Respuesta del Instituto</w:t>
      </w:r>
    </w:p>
    <w:p w14:paraId="132E1234" w14:textId="0945BCF6" w:rsidR="00541B80" w:rsidRPr="00541B80" w:rsidRDefault="00541B80" w:rsidP="00541B80">
      <w:pPr>
        <w:spacing w:after="120"/>
        <w:rPr>
          <w:rFonts w:ascii="ITC Avant Garde" w:hAnsi="ITC Avant Garde"/>
          <w:i/>
          <w:lang w:val="es-ES_tradnl"/>
        </w:rPr>
      </w:pPr>
      <w:r>
        <w:rPr>
          <w:rFonts w:ascii="ITC Avant Garde" w:hAnsi="ITC Avant Garde"/>
          <w:lang w:val="es-ES_tradnl"/>
        </w:rPr>
        <w:t xml:space="preserve">Del análisis al comentario planteado por el participante, este Instituto refiere que </w:t>
      </w:r>
      <w:r w:rsidR="00E9724B">
        <w:rPr>
          <w:rFonts w:ascii="ITC Avant Garde" w:hAnsi="ITC Avant Garde"/>
          <w:lang w:val="es-ES_tradnl"/>
        </w:rPr>
        <w:t>los elementos probatorios</w:t>
      </w:r>
      <w:r>
        <w:rPr>
          <w:rFonts w:ascii="ITC Avant Garde" w:hAnsi="ITC Avant Garde"/>
          <w:lang w:val="es-ES_tradnl"/>
        </w:rPr>
        <w:t xml:space="preserve"> para la correcta resolución de los desacuerdos plasmados dentro del contenido de los artículos 13 y 14 del Anteproyecto</w:t>
      </w:r>
      <w:r w:rsidR="00897994">
        <w:rPr>
          <w:rFonts w:ascii="ITC Avant Garde" w:hAnsi="ITC Avant Garde"/>
          <w:lang w:val="es-ES_tradnl"/>
        </w:rPr>
        <w:t xml:space="preserve"> son suficientes para el análisis y posterior resolución del Instituto</w:t>
      </w:r>
      <w:r>
        <w:rPr>
          <w:rFonts w:ascii="ITC Avant Garde" w:hAnsi="ITC Avant Garde"/>
          <w:lang w:val="es-ES_tradnl"/>
        </w:rPr>
        <w:t xml:space="preserve">, por lo que no resulta necesaria la inserción </w:t>
      </w:r>
      <w:r w:rsidR="001C47EF">
        <w:rPr>
          <w:rFonts w:ascii="ITC Avant Garde" w:hAnsi="ITC Avant Garde"/>
          <w:lang w:val="es-ES_tradnl"/>
        </w:rPr>
        <w:t xml:space="preserve">adicional </w:t>
      </w:r>
      <w:r>
        <w:rPr>
          <w:rFonts w:ascii="ITC Avant Garde" w:hAnsi="ITC Avant Garde"/>
          <w:lang w:val="es-ES_tradnl"/>
        </w:rPr>
        <w:t>de otros documentos.</w:t>
      </w:r>
    </w:p>
    <w:p w14:paraId="40187AA7" w14:textId="04278903" w:rsidR="005A06F7" w:rsidRPr="00541B80" w:rsidRDefault="005A06F7" w:rsidP="00541B80">
      <w:pPr>
        <w:pStyle w:val="IFTnormal"/>
        <w:rPr>
          <w:b/>
          <w:u w:val="single"/>
        </w:rPr>
      </w:pPr>
      <w:r w:rsidRPr="00541B80">
        <w:rPr>
          <w:u w:val="single"/>
        </w:rPr>
        <w:t>Determinación</w:t>
      </w:r>
      <w:r w:rsidR="004C7606">
        <w:rPr>
          <w:u w:val="single"/>
        </w:rPr>
        <w:t xml:space="preserve"> de la capacidad susceptible de utilización</w:t>
      </w:r>
    </w:p>
    <w:p w14:paraId="3379B3EA" w14:textId="55DA0A6F" w:rsidR="00050902" w:rsidRDefault="00050902" w:rsidP="00050902">
      <w:pPr>
        <w:pStyle w:val="IFTnormal"/>
      </w:pPr>
      <w:r>
        <w:t>Del análisis realizado a los comentarios vertidos por diversos participantes en la consulta pública, se advirtió que exist</w:t>
      </w:r>
      <w:r w:rsidR="001C47EF">
        <w:t>e</w:t>
      </w:r>
      <w:r>
        <w:t xml:space="preserve"> una preocupación recurrente relacionada con la determinación de la capacidad susceptible de utilización contenida dentro del artículo 10 del Anteproyecto</w:t>
      </w:r>
      <w:r w:rsidR="0067130B">
        <w:t xml:space="preserve">, en torno a </w:t>
      </w:r>
      <w:r>
        <w:t>que para su determinación en elementos de infraestructura diferentes a los ductos, postes y torres pudieran ser observadas las prácticas comunes en la industria, toda vez que este concepto les generaba incertidumbre, al referir que no existen parámetros que permitan definir a ciencia cierta tales prácticas.</w:t>
      </w:r>
    </w:p>
    <w:p w14:paraId="5FD2CFDE" w14:textId="77777777" w:rsidR="00050902" w:rsidRPr="00541B80" w:rsidRDefault="00050902" w:rsidP="00050902">
      <w:pPr>
        <w:spacing w:after="120"/>
        <w:rPr>
          <w:rFonts w:ascii="ITC Avant Garde" w:hAnsi="ITC Avant Garde"/>
          <w:i/>
          <w:lang w:val="es-ES_tradnl"/>
        </w:rPr>
      </w:pPr>
      <w:r w:rsidRPr="00541B80">
        <w:rPr>
          <w:rFonts w:ascii="ITC Avant Garde" w:hAnsi="ITC Avant Garde"/>
          <w:i/>
          <w:lang w:val="es-ES_tradnl"/>
        </w:rPr>
        <w:t>Respuesta del Instituto</w:t>
      </w:r>
    </w:p>
    <w:p w14:paraId="216DD13E" w14:textId="5BA5C3B1" w:rsidR="0062569F" w:rsidRDefault="00050902" w:rsidP="00541B80">
      <w:pPr>
        <w:pStyle w:val="IFTnormal"/>
      </w:pPr>
      <w:r>
        <w:t xml:space="preserve">En ese sentido, el Instituto determinó realizar modificaciones al artículo 10 del Anteproyecto </w:t>
      </w:r>
      <w:r w:rsidR="001C47EF">
        <w:t xml:space="preserve">para </w:t>
      </w:r>
      <w:r>
        <w:t xml:space="preserve">hacer explícito el derecho que gozan las partes para firmar un convenio estableciendo sus propias condiciones y que únicamente en caso de no llegar a un acuerdo y se presentara ante el Instituto un desacuerdo conforme a </w:t>
      </w:r>
      <w:r w:rsidR="00D0385F">
        <w:t xml:space="preserve">lo </w:t>
      </w:r>
      <w:r>
        <w:t xml:space="preserve">establecido dentro de los artículos 13 y 14 de los Lineamientos, la capacidad susceptible de utilización en ductos, postes y torres sería determinada siguiendo las pautas establecidas dentro del Anexo Único y para elementos de infraestructura diferentes a éstos el Instituto se allegará de la mejor información que se encuentre disponible a su alcance para cada </w:t>
      </w:r>
      <w:r w:rsidR="00FB790A">
        <w:t xml:space="preserve">desacuerdo </w:t>
      </w:r>
      <w:r>
        <w:t>específico.</w:t>
      </w:r>
    </w:p>
    <w:p w14:paraId="32A68EE8" w14:textId="5B550E8B" w:rsidR="005A06F7" w:rsidRPr="00541B80" w:rsidRDefault="004C7606" w:rsidP="00541B80">
      <w:pPr>
        <w:pStyle w:val="IFTnormal"/>
        <w:rPr>
          <w:u w:val="single"/>
        </w:rPr>
      </w:pPr>
      <w:r>
        <w:rPr>
          <w:u w:val="single"/>
        </w:rPr>
        <w:t>Invasión de p</w:t>
      </w:r>
      <w:r w:rsidR="005A06F7" w:rsidRPr="00541B80">
        <w:rPr>
          <w:u w:val="single"/>
        </w:rPr>
        <w:t xml:space="preserve">lanes </w:t>
      </w:r>
      <w:r>
        <w:rPr>
          <w:u w:val="single"/>
        </w:rPr>
        <w:t>e</w:t>
      </w:r>
      <w:r w:rsidR="005A06F7">
        <w:rPr>
          <w:u w:val="single"/>
        </w:rPr>
        <w:t xml:space="preserve">mpresariales </w:t>
      </w:r>
      <w:r w:rsidR="005A06F7" w:rsidRPr="009C437D">
        <w:rPr>
          <w:u w:val="single"/>
        </w:rPr>
        <w:t xml:space="preserve">de </w:t>
      </w:r>
      <w:r>
        <w:rPr>
          <w:u w:val="single"/>
        </w:rPr>
        <w:t>c</w:t>
      </w:r>
      <w:r w:rsidR="005A06F7" w:rsidRPr="00541B80">
        <w:rPr>
          <w:u w:val="single"/>
        </w:rPr>
        <w:t>recimiento</w:t>
      </w:r>
    </w:p>
    <w:p w14:paraId="3921C3C0" w14:textId="2D579F8E" w:rsidR="00D04498" w:rsidRDefault="00C6435F" w:rsidP="00D04498">
      <w:pPr>
        <w:spacing w:after="120"/>
        <w:rPr>
          <w:rFonts w:ascii="ITC Avant Garde" w:hAnsi="ITC Avant Garde"/>
          <w:lang w:val="es-ES_tradnl"/>
        </w:rPr>
      </w:pPr>
      <w:r>
        <w:rPr>
          <w:rFonts w:ascii="ITC Avant Garde" w:hAnsi="ITC Avant Garde"/>
          <w:lang w:val="es-ES_tradnl"/>
        </w:rPr>
        <w:t>D</w:t>
      </w:r>
      <w:r w:rsidR="00D04498">
        <w:rPr>
          <w:rFonts w:ascii="ITC Avant Garde" w:hAnsi="ITC Avant Garde"/>
          <w:lang w:val="es-ES_tradnl"/>
        </w:rPr>
        <w:t xml:space="preserve">entro de la consulta pública se recibieron </w:t>
      </w:r>
      <w:r>
        <w:rPr>
          <w:rFonts w:ascii="ITC Avant Garde" w:hAnsi="ITC Avant Garde"/>
          <w:lang w:val="es-ES_tradnl"/>
        </w:rPr>
        <w:t xml:space="preserve">diversos </w:t>
      </w:r>
      <w:r w:rsidR="00D04498">
        <w:rPr>
          <w:rFonts w:ascii="ITC Avant Garde" w:hAnsi="ITC Avant Garde"/>
          <w:lang w:val="es-ES_tradnl"/>
        </w:rPr>
        <w:t>comentarios en torno a que el Instituto no ha previsto que la capacidad susceptible de utilización es creada por los operadores con una visión de planes de crecimiento de sus redes a futuro, con la finalidad de no tener que volver a construir o invertir capital durante un tiempo determinado</w:t>
      </w:r>
      <w:r w:rsidR="005D6EEE">
        <w:rPr>
          <w:rFonts w:ascii="ITC Avant Garde" w:hAnsi="ITC Avant Garde"/>
          <w:lang w:val="es-ES_tradnl"/>
        </w:rPr>
        <w:t xml:space="preserve"> y que compartir dicha capacidad imposibilita sus planes de crecimiento</w:t>
      </w:r>
      <w:r w:rsidR="00D04498">
        <w:rPr>
          <w:rFonts w:ascii="ITC Avant Garde" w:hAnsi="ITC Avant Garde"/>
          <w:lang w:val="es-ES_tradnl"/>
        </w:rPr>
        <w:t>.</w:t>
      </w:r>
    </w:p>
    <w:p w14:paraId="55365C79" w14:textId="77777777" w:rsidR="00D04498" w:rsidRPr="00541B80" w:rsidRDefault="00D04498" w:rsidP="00D04498">
      <w:pPr>
        <w:spacing w:after="120"/>
        <w:rPr>
          <w:rFonts w:ascii="ITC Avant Garde" w:hAnsi="ITC Avant Garde"/>
          <w:i/>
          <w:lang w:val="es-ES_tradnl"/>
        </w:rPr>
      </w:pPr>
      <w:r w:rsidRPr="00541B80">
        <w:rPr>
          <w:rFonts w:ascii="ITC Avant Garde" w:hAnsi="ITC Avant Garde"/>
          <w:i/>
          <w:lang w:val="es-ES_tradnl"/>
        </w:rPr>
        <w:t>Respuesta del Instituto</w:t>
      </w:r>
    </w:p>
    <w:p w14:paraId="6A58876A" w14:textId="2F68D7A8" w:rsidR="00D04498" w:rsidRDefault="00D04498" w:rsidP="00D04498">
      <w:pPr>
        <w:spacing w:after="120"/>
        <w:rPr>
          <w:rFonts w:ascii="ITC Avant Garde" w:hAnsi="ITC Avant Garde"/>
          <w:lang w:val="es-ES_tradnl"/>
        </w:rPr>
      </w:pPr>
      <w:r>
        <w:rPr>
          <w:rFonts w:ascii="ITC Avant Garde" w:hAnsi="ITC Avant Garde"/>
          <w:lang w:val="es-ES_tradnl"/>
        </w:rPr>
        <w:t xml:space="preserve">A ese respecto, el Instituto considera pertinente </w:t>
      </w:r>
      <w:r w:rsidR="001C47EF">
        <w:rPr>
          <w:rFonts w:ascii="ITC Avant Garde" w:hAnsi="ITC Avant Garde"/>
          <w:lang w:val="es-ES_tradnl"/>
        </w:rPr>
        <w:t xml:space="preserve">precisar </w:t>
      </w:r>
      <w:r>
        <w:rPr>
          <w:rFonts w:ascii="ITC Avant Garde" w:hAnsi="ITC Avant Garde"/>
          <w:lang w:val="es-ES_tradnl"/>
        </w:rPr>
        <w:t>que de conformidad con lo establecido dentro del artículo 1° del Anteproyecto, el Instituto res</w:t>
      </w:r>
      <w:r w:rsidR="00C6435F">
        <w:rPr>
          <w:rFonts w:ascii="ITC Avant Garde" w:hAnsi="ITC Avant Garde"/>
          <w:lang w:val="es-ES_tradnl"/>
        </w:rPr>
        <w:t>olverá sobre la obligación del titular de i</w:t>
      </w:r>
      <w:r>
        <w:rPr>
          <w:rFonts w:ascii="ITC Avant Garde" w:hAnsi="ITC Avant Garde"/>
          <w:lang w:val="es-ES_tradnl"/>
        </w:rPr>
        <w:t xml:space="preserve">nfraestructura de brindar el acceso y uso compartido de infraestructura solamente en </w:t>
      </w:r>
      <w:r w:rsidR="00415130">
        <w:rPr>
          <w:rFonts w:ascii="ITC Avant Garde" w:hAnsi="ITC Avant Garde"/>
          <w:lang w:val="es-ES_tradnl"/>
        </w:rPr>
        <w:t xml:space="preserve">los </w:t>
      </w:r>
      <w:r>
        <w:rPr>
          <w:rFonts w:ascii="ITC Avant Garde" w:hAnsi="ITC Avant Garde"/>
          <w:lang w:val="es-ES_tradnl"/>
        </w:rPr>
        <w:t xml:space="preserve">casos </w:t>
      </w:r>
      <w:r w:rsidR="00415130">
        <w:rPr>
          <w:rFonts w:ascii="ITC Avant Garde" w:hAnsi="ITC Avant Garde"/>
          <w:lang w:val="es-ES_tradnl"/>
        </w:rPr>
        <w:t>establecidos dentro del mismo artículo</w:t>
      </w:r>
      <w:r>
        <w:rPr>
          <w:rFonts w:ascii="ITC Avant Garde" w:hAnsi="ITC Avant Garde"/>
          <w:lang w:val="es-ES_tradnl"/>
        </w:rPr>
        <w:t xml:space="preserve">, para lo cual el Instituto </w:t>
      </w:r>
      <w:r w:rsidR="007663AC">
        <w:rPr>
          <w:rFonts w:ascii="ITC Avant Garde" w:hAnsi="ITC Avant Garde"/>
          <w:lang w:val="es-ES_tradnl"/>
        </w:rPr>
        <w:t xml:space="preserve">hará la evaluación </w:t>
      </w:r>
      <w:r w:rsidR="00415130">
        <w:rPr>
          <w:rFonts w:ascii="ITC Avant Garde" w:hAnsi="ITC Avant Garde"/>
          <w:lang w:val="es-ES_tradnl"/>
        </w:rPr>
        <w:t xml:space="preserve">de acuerdo </w:t>
      </w:r>
      <w:r w:rsidR="007663AC">
        <w:rPr>
          <w:rFonts w:ascii="ITC Avant Garde" w:hAnsi="ITC Avant Garde"/>
          <w:lang w:val="es-ES_tradnl"/>
        </w:rPr>
        <w:t>con</w:t>
      </w:r>
      <w:r w:rsidR="00415130">
        <w:rPr>
          <w:rFonts w:ascii="ITC Avant Garde" w:hAnsi="ITC Avant Garde"/>
          <w:lang w:val="es-ES_tradnl"/>
        </w:rPr>
        <w:t xml:space="preserve"> lo establecido en los artículos contenidos dentro de la sección II del Anteproyecto</w:t>
      </w:r>
      <w:r>
        <w:rPr>
          <w:rFonts w:ascii="ITC Avant Garde" w:hAnsi="ITC Avant Garde"/>
          <w:lang w:val="es-ES_tradnl"/>
        </w:rPr>
        <w:t>.</w:t>
      </w:r>
    </w:p>
    <w:p w14:paraId="072DA08A" w14:textId="4B667928" w:rsidR="00415130" w:rsidRDefault="00415130" w:rsidP="00D04498">
      <w:pPr>
        <w:spacing w:after="120"/>
        <w:rPr>
          <w:rFonts w:ascii="ITC Avant Garde" w:hAnsi="ITC Avant Garde"/>
          <w:lang w:val="es-ES_tradnl"/>
        </w:rPr>
      </w:pPr>
      <w:r>
        <w:rPr>
          <w:rFonts w:ascii="ITC Avant Garde" w:hAnsi="ITC Avant Garde"/>
          <w:lang w:val="es-ES_tradnl"/>
        </w:rPr>
        <w:t xml:space="preserve">Es de destacarse que los casos específicos en los que se determina la compartición de infraestructura son establecidos </w:t>
      </w:r>
      <w:r w:rsidR="00411635">
        <w:rPr>
          <w:rFonts w:ascii="ITC Avant Garde" w:hAnsi="ITC Avant Garde"/>
          <w:lang w:val="es-ES_tradnl"/>
        </w:rPr>
        <w:t>para el fomento de la competencia</w:t>
      </w:r>
      <w:r w:rsidR="00D8015E">
        <w:rPr>
          <w:rFonts w:ascii="ITC Avant Garde" w:hAnsi="ITC Avant Garde"/>
          <w:lang w:val="es-ES_tradnl"/>
        </w:rPr>
        <w:t xml:space="preserve"> en atención a lo previsto por el artículo 139 de la LFTR</w:t>
      </w:r>
      <w:r w:rsidR="00411635">
        <w:rPr>
          <w:rFonts w:ascii="ITC Avant Garde" w:hAnsi="ITC Avant Garde"/>
          <w:lang w:val="es-ES_tradnl"/>
        </w:rPr>
        <w:t xml:space="preserve">, </w:t>
      </w:r>
      <w:r>
        <w:rPr>
          <w:rFonts w:ascii="ITC Avant Garde" w:hAnsi="ITC Avant Garde"/>
          <w:lang w:val="es-ES_tradnl"/>
        </w:rPr>
        <w:t>al identificar que la infraestructura puede ser esencial para la prestación de servicios, no tiene sustitutos</w:t>
      </w:r>
      <w:r w:rsidR="00D40819">
        <w:rPr>
          <w:rFonts w:ascii="ITC Avant Garde" w:hAnsi="ITC Avant Garde"/>
          <w:lang w:val="es-ES_tradnl"/>
        </w:rPr>
        <w:t>,</w:t>
      </w:r>
      <w:r>
        <w:rPr>
          <w:rFonts w:ascii="ITC Avant Garde" w:hAnsi="ITC Avant Garde"/>
          <w:lang w:val="es-ES_tradnl"/>
        </w:rPr>
        <w:t xml:space="preserve"> </w:t>
      </w:r>
      <w:r w:rsidR="007663AC">
        <w:rPr>
          <w:rFonts w:ascii="ITC Avant Garde" w:hAnsi="ITC Avant Garde"/>
          <w:lang w:val="es-ES_tradnl"/>
        </w:rPr>
        <w:t xml:space="preserve">y </w:t>
      </w:r>
      <w:r>
        <w:rPr>
          <w:rFonts w:ascii="ITC Avant Garde" w:hAnsi="ITC Avant Garde"/>
          <w:lang w:val="es-ES_tradnl"/>
        </w:rPr>
        <w:t>cuenta con capacidad susceptible de utilización</w:t>
      </w:r>
      <w:r w:rsidR="007663AC">
        <w:rPr>
          <w:rFonts w:ascii="ITC Avant Garde" w:hAnsi="ITC Avant Garde"/>
          <w:lang w:val="es-ES_tradnl"/>
        </w:rPr>
        <w:t>,</w:t>
      </w:r>
      <w:r w:rsidR="00D40819">
        <w:rPr>
          <w:rFonts w:ascii="ITC Avant Garde" w:hAnsi="ITC Avant Garde"/>
          <w:lang w:val="es-ES_tradnl"/>
        </w:rPr>
        <w:t xml:space="preserve"> o en su caso que se trate de inmuebles, ductos, postes o derechos de vía de propiedad federal con capacidad susceptible de utilización; por lo que al ser casos específicos y por el carácter que tiene dicha infraestructura es necesario que se lleve a cabo la compartición de así considerarlo pertinente de acuerdo al procedimiento establecido dentro del Anteproyecto</w:t>
      </w:r>
      <w:r>
        <w:rPr>
          <w:rFonts w:ascii="ITC Avant Garde" w:hAnsi="ITC Avant Garde"/>
          <w:lang w:val="es-ES_tradnl"/>
        </w:rPr>
        <w:t>.</w:t>
      </w:r>
    </w:p>
    <w:p w14:paraId="56A99846" w14:textId="7FB83F64" w:rsidR="00D40819" w:rsidRDefault="00D40819" w:rsidP="00D04498">
      <w:pPr>
        <w:spacing w:after="120"/>
        <w:rPr>
          <w:rFonts w:ascii="ITC Avant Garde" w:hAnsi="ITC Avant Garde"/>
          <w:lang w:val="es-ES_tradnl"/>
        </w:rPr>
      </w:pPr>
      <w:r>
        <w:rPr>
          <w:rFonts w:ascii="ITC Avant Garde" w:hAnsi="ITC Avant Garde"/>
          <w:lang w:val="es-ES_tradnl"/>
        </w:rPr>
        <w:t xml:space="preserve">Aunado a lo anterior, el Instituto menciona que de determinarse la compartición de infraestructura se llevara a cabo siempre estableciendo una contraprestación para el titular del elemento de infraestructura, por lo que de esta forma </w:t>
      </w:r>
      <w:r w:rsidR="00E62C41">
        <w:rPr>
          <w:rFonts w:ascii="ITC Avant Garde" w:hAnsi="ITC Avant Garde"/>
          <w:lang w:val="es-ES_tradnl"/>
        </w:rPr>
        <w:t>el Instituto no considera que exista una afectación direct</w:t>
      </w:r>
      <w:r w:rsidR="00897994">
        <w:rPr>
          <w:rFonts w:ascii="ITC Avant Garde" w:hAnsi="ITC Avant Garde"/>
          <w:lang w:val="es-ES_tradnl"/>
        </w:rPr>
        <w:t>a al titular de infraestructura.</w:t>
      </w:r>
    </w:p>
    <w:p w14:paraId="72C737E2" w14:textId="1FA19A20" w:rsidR="00897994" w:rsidRDefault="00897994" w:rsidP="00D04498">
      <w:pPr>
        <w:spacing w:after="120"/>
        <w:rPr>
          <w:rFonts w:ascii="ITC Avant Garde" w:hAnsi="ITC Avant Garde"/>
          <w:lang w:val="es-ES_tradnl"/>
        </w:rPr>
      </w:pPr>
      <w:r>
        <w:rPr>
          <w:rFonts w:ascii="ITC Avant Garde" w:hAnsi="ITC Avant Garde"/>
          <w:lang w:val="es-ES_tradnl"/>
        </w:rPr>
        <w:t xml:space="preserve">En </w:t>
      </w:r>
      <w:r w:rsidR="0069021D">
        <w:rPr>
          <w:rFonts w:ascii="ITC Avant Garde" w:hAnsi="ITC Avant Garde"/>
          <w:lang w:val="es-ES_tradnl"/>
        </w:rPr>
        <w:t>consecuencia,</w:t>
      </w:r>
      <w:r>
        <w:rPr>
          <w:rFonts w:ascii="ITC Avant Garde" w:hAnsi="ITC Avant Garde"/>
          <w:lang w:val="es-ES_tradnl"/>
        </w:rPr>
        <w:t xml:space="preserve"> el Instituto no considera pertinente realizar modificaciones al contenido del Anteproyecto al respecto.</w:t>
      </w:r>
    </w:p>
    <w:p w14:paraId="3893AE68" w14:textId="77777777" w:rsidR="00D8015E" w:rsidRDefault="00D8015E" w:rsidP="00D04498">
      <w:pPr>
        <w:spacing w:after="120"/>
        <w:rPr>
          <w:rFonts w:ascii="ITC Avant Garde" w:hAnsi="ITC Avant Garde"/>
          <w:lang w:val="es-ES_tradnl"/>
        </w:rPr>
      </w:pPr>
    </w:p>
    <w:p w14:paraId="783C2243" w14:textId="148585F5" w:rsidR="00D04498" w:rsidRDefault="00FB790A" w:rsidP="00541B80">
      <w:pPr>
        <w:pStyle w:val="IFTnormal"/>
        <w:rPr>
          <w:b/>
        </w:rPr>
      </w:pPr>
      <w:r>
        <w:rPr>
          <w:b/>
        </w:rPr>
        <w:t xml:space="preserve">Manifestaciones sobre </w:t>
      </w:r>
      <w:r w:rsidR="00D94CFE">
        <w:rPr>
          <w:b/>
        </w:rPr>
        <w:t>Infraestructura Necesaria</w:t>
      </w:r>
    </w:p>
    <w:p w14:paraId="7E62CD66" w14:textId="2544A151" w:rsidR="00E16D6D" w:rsidRDefault="00D94CFE" w:rsidP="00541B80">
      <w:pPr>
        <w:pStyle w:val="IFTnormal"/>
      </w:pPr>
      <w:r>
        <w:t xml:space="preserve">Dentro de la consulta pública fueron recibidos diversos </w:t>
      </w:r>
      <w:r w:rsidR="00E16D6D">
        <w:t>señalamientos en torno a lo planteado por el Instituto como infraestructura necesaria, mismos que han sido englobados en los subtemas que se exponen y responden a continuación:</w:t>
      </w:r>
    </w:p>
    <w:p w14:paraId="0C4F1321" w14:textId="149A8CAE" w:rsidR="00E16D6D" w:rsidRDefault="00DB43E9" w:rsidP="00541B80">
      <w:pPr>
        <w:pStyle w:val="IFTnormal"/>
        <w:rPr>
          <w:u w:val="single"/>
        </w:rPr>
      </w:pPr>
      <w:r>
        <w:rPr>
          <w:u w:val="single"/>
        </w:rPr>
        <w:t>De</w:t>
      </w:r>
      <w:r w:rsidR="00BF76BD">
        <w:rPr>
          <w:u w:val="single"/>
        </w:rPr>
        <w:t>finici</w:t>
      </w:r>
      <w:r>
        <w:rPr>
          <w:u w:val="single"/>
        </w:rPr>
        <w:t>ón</w:t>
      </w:r>
    </w:p>
    <w:p w14:paraId="45E230CD" w14:textId="67AE2D1F" w:rsidR="00DB43E9" w:rsidRDefault="00DB43E9" w:rsidP="00541B80">
      <w:pPr>
        <w:pStyle w:val="IFTnormal"/>
      </w:pPr>
      <w:r>
        <w:t xml:space="preserve">Respecto de la definición establecida dentro de la fracción IX del artículo 3° del Anteproyecto </w:t>
      </w:r>
      <w:r w:rsidRPr="00DB43E9">
        <w:t>diversos operadores sugirieron la posibilidad de modificar el texto de la definición para dejar en claro que la infraestructura necesaria será determinada por el Instituto bajo el procedimiento establecido dentro de los propios Lineamientos.</w:t>
      </w:r>
    </w:p>
    <w:p w14:paraId="7D9D6407" w14:textId="77777777" w:rsidR="00DB43E9" w:rsidRPr="00486C2F" w:rsidRDefault="00DB43E9" w:rsidP="00DB43E9">
      <w:pPr>
        <w:spacing w:after="120"/>
        <w:rPr>
          <w:rFonts w:ascii="ITC Avant Garde" w:hAnsi="ITC Avant Garde"/>
          <w:i/>
          <w:lang w:val="es-ES_tradnl"/>
        </w:rPr>
      </w:pPr>
      <w:r w:rsidRPr="00486C2F">
        <w:rPr>
          <w:rFonts w:ascii="ITC Avant Garde" w:hAnsi="ITC Avant Garde"/>
          <w:i/>
          <w:lang w:val="es-ES_tradnl"/>
        </w:rPr>
        <w:t>Respuesta del Instituto</w:t>
      </w:r>
    </w:p>
    <w:p w14:paraId="5C23751E" w14:textId="47650BFC" w:rsidR="00D94CFE" w:rsidRDefault="00DB43E9" w:rsidP="00541B80">
      <w:pPr>
        <w:pStyle w:val="IFTnormal"/>
      </w:pPr>
      <w:r>
        <w:t xml:space="preserve">El Instituto ha considerado que realizar tal modificación a la definición podría otorgar mayor </w:t>
      </w:r>
      <w:r w:rsidR="007663AC">
        <w:t xml:space="preserve">certeza </w:t>
      </w:r>
      <w:r>
        <w:t xml:space="preserve">a los sujetos obligados </w:t>
      </w:r>
      <w:r w:rsidR="007663AC">
        <w:t>para e</w:t>
      </w:r>
      <w:r>
        <w:t xml:space="preserve">l cumplimiento de los Lineamientos, por lo que se </w:t>
      </w:r>
      <w:r w:rsidR="00D077FA">
        <w:t>toman en cuenta las sugerencias realizadas y se modifica el texto de la fracción IX del artículo 3° del Anteproyecto</w:t>
      </w:r>
      <w:r w:rsidR="00E16D6D">
        <w:t xml:space="preserve"> </w:t>
      </w:r>
      <w:r w:rsidR="00D077FA">
        <w:t>en el sentido de establecer que será el Instituto quien determinará cu</w:t>
      </w:r>
      <w:r w:rsidR="007663AC">
        <w:t>á</w:t>
      </w:r>
      <w:r w:rsidR="00D077FA">
        <w:t>l puede ser considerada como infraestructura necesaria siguiendo el procedimiento para la resolución de desacuerdos establecido en el mismo Anteproyecto.</w:t>
      </w:r>
    </w:p>
    <w:p w14:paraId="054C6112" w14:textId="0A89A8FA" w:rsidR="00D077FA" w:rsidRDefault="007663AC" w:rsidP="00541B80">
      <w:pPr>
        <w:pStyle w:val="IFTnormal"/>
        <w:rPr>
          <w:u w:val="single"/>
        </w:rPr>
      </w:pPr>
      <w:r>
        <w:rPr>
          <w:u w:val="single"/>
        </w:rPr>
        <w:t xml:space="preserve">Asociación </w:t>
      </w:r>
      <w:r w:rsidR="00FC63EB">
        <w:rPr>
          <w:u w:val="single"/>
        </w:rPr>
        <w:t xml:space="preserve">con el concepto de </w:t>
      </w:r>
      <w:r w:rsidR="00F457A6" w:rsidRPr="00541B80">
        <w:rPr>
          <w:u w:val="single"/>
        </w:rPr>
        <w:t>Insumo Esencial</w:t>
      </w:r>
    </w:p>
    <w:p w14:paraId="3A14E2EB" w14:textId="0151569D" w:rsidR="00F457A6" w:rsidRDefault="00F457A6" w:rsidP="00F457A6">
      <w:pPr>
        <w:spacing w:after="120"/>
        <w:rPr>
          <w:rFonts w:ascii="ITC Avant Garde" w:hAnsi="ITC Avant Garde"/>
          <w:lang w:val="es-ES_tradnl"/>
        </w:rPr>
      </w:pPr>
      <w:r>
        <w:rPr>
          <w:rFonts w:ascii="ITC Avant Garde" w:hAnsi="ITC Avant Garde"/>
          <w:lang w:val="es-ES_tradnl"/>
        </w:rPr>
        <w:t xml:space="preserve">Fueron recibidos diversos comentarios en torno a una </w:t>
      </w:r>
      <w:r w:rsidR="00D8015E">
        <w:rPr>
          <w:rFonts w:ascii="ITC Avant Garde" w:hAnsi="ITC Avant Garde"/>
          <w:lang w:val="es-ES_tradnl"/>
        </w:rPr>
        <w:t xml:space="preserve">aparente </w:t>
      </w:r>
      <w:r>
        <w:rPr>
          <w:rFonts w:ascii="ITC Avant Garde" w:hAnsi="ITC Avant Garde"/>
          <w:lang w:val="es-ES_tradnl"/>
        </w:rPr>
        <w:t xml:space="preserve">confusión existente por parte de los participantes </w:t>
      </w:r>
      <w:r w:rsidR="00D8015E">
        <w:rPr>
          <w:rFonts w:ascii="ITC Avant Garde" w:hAnsi="ITC Avant Garde"/>
          <w:lang w:val="es-ES_tradnl"/>
        </w:rPr>
        <w:t xml:space="preserve">sobre </w:t>
      </w:r>
      <w:r>
        <w:rPr>
          <w:rFonts w:ascii="ITC Avant Garde" w:hAnsi="ITC Avant Garde"/>
          <w:lang w:val="es-ES_tradnl"/>
        </w:rPr>
        <w:t>la definición de infraestructura necesaria con la figura de “Insumo Esencial” establecida en la Ley Federal de Competencia Económica (en lo sucesivo, “LFCE”).</w:t>
      </w:r>
    </w:p>
    <w:p w14:paraId="5987CFC1" w14:textId="77777777" w:rsidR="00F457A6" w:rsidRPr="00486C2F" w:rsidRDefault="00F457A6" w:rsidP="00F457A6">
      <w:pPr>
        <w:spacing w:after="120"/>
        <w:rPr>
          <w:rFonts w:ascii="ITC Avant Garde" w:hAnsi="ITC Avant Garde"/>
          <w:i/>
          <w:lang w:val="es-ES_tradnl"/>
        </w:rPr>
      </w:pPr>
      <w:r w:rsidRPr="00486C2F">
        <w:rPr>
          <w:rFonts w:ascii="ITC Avant Garde" w:hAnsi="ITC Avant Garde"/>
          <w:i/>
          <w:lang w:val="es-ES_tradnl"/>
        </w:rPr>
        <w:t>Respuesta del Instituto</w:t>
      </w:r>
    </w:p>
    <w:p w14:paraId="2C993B2A" w14:textId="457A9FCB" w:rsidR="00F457A6" w:rsidRDefault="00F457A6" w:rsidP="00541B80">
      <w:pPr>
        <w:pStyle w:val="IFTnormal"/>
      </w:pPr>
      <w:r>
        <w:t xml:space="preserve">Al respecto, el Instituto menciona que la figura de “Infraestructura Necesaria” establecida en los Lineamientos encuentra su origen en el artículo 139 de la LFTR al señalar que </w:t>
      </w:r>
      <w:r w:rsidRPr="00F457A6">
        <w:t xml:space="preserve">los concesionarios podrán establecer el uso compartido de infraestructura y que solo en caso de desacuerdo y cuando la infraestructura de la que se trate sea </w:t>
      </w:r>
      <w:r w:rsidR="007663AC">
        <w:t>“</w:t>
      </w:r>
      <w:r w:rsidRPr="00F457A6">
        <w:t>esencial para la prestación de servicios</w:t>
      </w:r>
      <w:r w:rsidR="007663AC">
        <w:t>”</w:t>
      </w:r>
      <w:r w:rsidRPr="00F457A6">
        <w:t xml:space="preserve"> el Instituto podrá determinar las condiciones de uso a través de la resolución de desacuerdos.</w:t>
      </w:r>
      <w:r>
        <w:t xml:space="preserve"> E</w:t>
      </w:r>
      <w:r w:rsidRPr="00F457A6">
        <w:t>s importante mencionar que a través del artículo 139 de la LFTR se prevé un procedimiento específico al que debe sujetarse el Instituto para resolver los desacuerdos de coubicación y uso compartido de infraestructura, por lo que no resulta aplicable el procedimiento para determinar la existencia de insumos esenciales previsto en el artículo 94 de la LFCE.</w:t>
      </w:r>
    </w:p>
    <w:p w14:paraId="3EB46D7B" w14:textId="2F67EB3D" w:rsidR="00F457A6" w:rsidRDefault="007663AC" w:rsidP="00541B80">
      <w:pPr>
        <w:pStyle w:val="IFTnormal"/>
      </w:pPr>
      <w:r>
        <w:t>P</w:t>
      </w:r>
      <w:r w:rsidR="00F457A6" w:rsidRPr="00541B80">
        <w:t>or lo que no es procedente considerar que para la atención y resolución de los desacuerdos de coubicación y uso compartido de infraestructura, sea necesaria la previa determinación de existencia de insumos esenciales de acuerdo al procedimiento establecido en el artículo 94 de la LFCE.</w:t>
      </w:r>
    </w:p>
    <w:p w14:paraId="5D67AAA1" w14:textId="2DD4E9C6" w:rsidR="00BF76BD" w:rsidRDefault="00BF76BD" w:rsidP="00541B80">
      <w:pPr>
        <w:pStyle w:val="IFTnormal"/>
        <w:rPr>
          <w:u w:val="single"/>
        </w:rPr>
      </w:pPr>
      <w:r w:rsidRPr="00541B80">
        <w:rPr>
          <w:u w:val="single"/>
        </w:rPr>
        <w:t>Determinación</w:t>
      </w:r>
      <w:r w:rsidR="00FC63EB">
        <w:rPr>
          <w:u w:val="single"/>
        </w:rPr>
        <w:t xml:space="preserve"> de la Infraestructura Necesaria</w:t>
      </w:r>
    </w:p>
    <w:p w14:paraId="7CC08305" w14:textId="40B84399" w:rsidR="00BF76BD" w:rsidRPr="00404BD5" w:rsidRDefault="00BF76BD" w:rsidP="00BF76BD">
      <w:pPr>
        <w:spacing w:after="120"/>
        <w:rPr>
          <w:rFonts w:ascii="ITC Avant Garde" w:hAnsi="ITC Avant Garde"/>
          <w:lang w:val="es-ES_tradnl"/>
        </w:rPr>
      </w:pPr>
      <w:r>
        <w:rPr>
          <w:rFonts w:ascii="ITC Avant Garde" w:hAnsi="ITC Avant Garde"/>
          <w:lang w:val="es-ES_tradnl"/>
        </w:rPr>
        <w:t>Diversos participantes de la consulta pública manifestaron su inconformidad con el concepto de infraestructura necesaria, al referir que no es clara la forma en que sería determinada por el Instituto.</w:t>
      </w:r>
    </w:p>
    <w:p w14:paraId="5CB51B30" w14:textId="77777777" w:rsidR="00BF76BD" w:rsidRPr="00486C2F" w:rsidRDefault="00BF76BD" w:rsidP="00BF76BD">
      <w:pPr>
        <w:spacing w:after="120"/>
        <w:rPr>
          <w:rFonts w:ascii="ITC Avant Garde" w:hAnsi="ITC Avant Garde"/>
          <w:i/>
          <w:lang w:val="es-ES_tradnl"/>
        </w:rPr>
      </w:pPr>
      <w:r w:rsidRPr="00486C2F">
        <w:rPr>
          <w:rFonts w:ascii="ITC Avant Garde" w:hAnsi="ITC Avant Garde"/>
          <w:i/>
          <w:lang w:val="es-ES_tradnl"/>
        </w:rPr>
        <w:t>Respuesta del Instituto</w:t>
      </w:r>
    </w:p>
    <w:p w14:paraId="53B67A51" w14:textId="6E5E0794" w:rsidR="00780096" w:rsidRDefault="00BF76BD" w:rsidP="00EB5D28">
      <w:pPr>
        <w:pStyle w:val="IFTnormal"/>
        <w:rPr>
          <w:u w:val="single"/>
        </w:rPr>
      </w:pPr>
      <w:r>
        <w:t xml:space="preserve">El Instituto </w:t>
      </w:r>
      <w:r w:rsidR="004C7606">
        <w:t xml:space="preserve">considera que dentro del Anteproyecto se ha determinado claramente el concepto de infraestructura necesaria como aquella que sea esencial </w:t>
      </w:r>
      <w:r w:rsidR="004C7606" w:rsidRPr="004C7606">
        <w:t>para la prestación de servicios de telecomunicaciones y/o radiodifusión</w:t>
      </w:r>
      <w:r w:rsidR="004C7606">
        <w:t xml:space="preserve">, derivado de la </w:t>
      </w:r>
      <w:r w:rsidR="00F778E3">
        <w:t>apreciación que el Instituto lleve a cabo de acuerdo al procedimiento establecido dentro del artículo</w:t>
      </w:r>
      <w:r w:rsidR="00897994">
        <w:t xml:space="preserve"> 13</w:t>
      </w:r>
      <w:r w:rsidR="00F778E3">
        <w:t xml:space="preserve"> del </w:t>
      </w:r>
      <w:r w:rsidR="00D8015E">
        <w:t xml:space="preserve">propio </w:t>
      </w:r>
      <w:r w:rsidR="00F778E3">
        <w:t>Anteproyecto.</w:t>
      </w:r>
      <w:r w:rsidR="004C7606" w:rsidRPr="004C7606">
        <w:t xml:space="preserve"> </w:t>
      </w:r>
    </w:p>
    <w:p w14:paraId="72EF2041" w14:textId="39ED9CC3" w:rsidR="00780096" w:rsidRPr="00EB5D28" w:rsidRDefault="00780096" w:rsidP="00EB5D28">
      <w:pPr>
        <w:pStyle w:val="IFTnormal"/>
        <w:rPr>
          <w:b/>
        </w:rPr>
      </w:pPr>
      <w:r w:rsidRPr="00EB5D28">
        <w:rPr>
          <w:b/>
        </w:rPr>
        <w:t xml:space="preserve">Manifestaciones sobre la resolución de desacuerdos por parte del Instituto </w:t>
      </w:r>
    </w:p>
    <w:p w14:paraId="27A4149F" w14:textId="11DF9EC6" w:rsidR="008701A9" w:rsidRPr="00EB5D28" w:rsidRDefault="00042B70" w:rsidP="00EB5D28">
      <w:pPr>
        <w:pStyle w:val="IFTnormal"/>
      </w:pPr>
      <w:r>
        <w:t xml:space="preserve">Dentro de la consulta pública del Anteproyecto fueron recibidos diversos señalamientos en torno a lo planteado </w:t>
      </w:r>
      <w:r w:rsidR="00897994">
        <w:t>por el Instituto respecto la resolución de desacuerdos</w:t>
      </w:r>
      <w:r>
        <w:t>, mismos que han sido englobados en los subtemas que se exponen y responden a continuación:</w:t>
      </w:r>
    </w:p>
    <w:p w14:paraId="3550A11B" w14:textId="77777777" w:rsidR="00E96818" w:rsidRDefault="00E96818" w:rsidP="00EB5D28">
      <w:pPr>
        <w:pStyle w:val="IFTnormal"/>
        <w:rPr>
          <w:u w:val="single"/>
        </w:rPr>
      </w:pPr>
      <w:r>
        <w:rPr>
          <w:u w:val="single"/>
        </w:rPr>
        <w:t>Reacomodo de elementos de infraestructura</w:t>
      </w:r>
    </w:p>
    <w:p w14:paraId="6A6EB897" w14:textId="1F9BBB30" w:rsidR="006345DB" w:rsidRDefault="00E96818" w:rsidP="00EB5D28">
      <w:pPr>
        <w:pStyle w:val="IFTnormal"/>
      </w:pPr>
      <w:r>
        <w:t xml:space="preserve">Respecto del </w:t>
      </w:r>
      <w:r w:rsidR="00953B85">
        <w:t>segundo</w:t>
      </w:r>
      <w:r>
        <w:t xml:space="preserve"> párrafo del art</w:t>
      </w:r>
      <w:r w:rsidR="00953B85">
        <w:t>ículo 10</w:t>
      </w:r>
      <w:r>
        <w:t xml:space="preserve"> del Anteproyecto, </w:t>
      </w:r>
      <w:r w:rsidR="006345DB">
        <w:t>diversos participantes en la consulta pública manifestaron que no han sido establecidos plazos específicos para llevar a cabo el reacomodo de elementos de infraestructura una vez que sea ordenado por el Instituto, además de sugerir que se indicara que dicho reacomodo se realizará siempre y cuando no se afecte el correcto desempeño de la red.</w:t>
      </w:r>
    </w:p>
    <w:p w14:paraId="032B7E22" w14:textId="77777777" w:rsidR="006345DB" w:rsidRPr="00486C2F" w:rsidRDefault="006345DB" w:rsidP="006345DB">
      <w:pPr>
        <w:spacing w:after="120"/>
        <w:rPr>
          <w:rFonts w:ascii="ITC Avant Garde" w:hAnsi="ITC Avant Garde"/>
          <w:i/>
          <w:lang w:val="es-ES_tradnl"/>
        </w:rPr>
      </w:pPr>
      <w:r w:rsidRPr="00486C2F">
        <w:rPr>
          <w:rFonts w:ascii="ITC Avant Garde" w:hAnsi="ITC Avant Garde"/>
          <w:i/>
          <w:lang w:val="es-ES_tradnl"/>
        </w:rPr>
        <w:t>Respuesta del Instituto</w:t>
      </w:r>
    </w:p>
    <w:p w14:paraId="6118B093" w14:textId="02837FEF" w:rsidR="00DE6274" w:rsidRDefault="006345DB" w:rsidP="00EB5D28">
      <w:pPr>
        <w:pStyle w:val="IFTnormal"/>
      </w:pPr>
      <w:r>
        <w:t>En relación con los comentarios señalados, este Instituto refiere que no puede establecerse un plazo específico para llevar a cabo el reacomodo de algún elemento de infraestructura</w:t>
      </w:r>
      <w:r w:rsidR="00DE6274">
        <w:t xml:space="preserve">, toda vez que este plazo dependerá de cada caso específico </w:t>
      </w:r>
      <w:r w:rsidR="007663AC">
        <w:t xml:space="preserve">en función </w:t>
      </w:r>
      <w:r w:rsidR="00DE6274">
        <w:t xml:space="preserve">de la complejidad que implique llevar a cabo tal acción. En ese sentido, será dentro de la propia resolución del desacuerdo donde el Instituto habiendo estudiado el caso </w:t>
      </w:r>
      <w:r w:rsidR="007663AC">
        <w:t xml:space="preserve">particular determinará </w:t>
      </w:r>
      <w:r w:rsidR="0074689D">
        <w:t xml:space="preserve">en su caso </w:t>
      </w:r>
      <w:r w:rsidR="00DE6274">
        <w:t>el plazo que tendrá el titular de infraestructura para llevar a cabo el reacomodo del elemento de infraestructura de que se trate.</w:t>
      </w:r>
    </w:p>
    <w:p w14:paraId="297D4AE2" w14:textId="28747B6F" w:rsidR="00DE6274" w:rsidRDefault="00DE6274" w:rsidP="00EB5D28">
      <w:pPr>
        <w:pStyle w:val="IFTnormal"/>
      </w:pPr>
      <w:r>
        <w:t xml:space="preserve">Por otro lado, </w:t>
      </w:r>
      <w:r w:rsidR="00953B85">
        <w:t xml:space="preserve">con la finalidad de otorgar mayor </w:t>
      </w:r>
      <w:r w:rsidR="007663AC">
        <w:t xml:space="preserve">certeza </w:t>
      </w:r>
      <w:r w:rsidR="00953B85">
        <w:t xml:space="preserve">a las partes, este Instituto </w:t>
      </w:r>
      <w:r w:rsidR="0074689D">
        <w:t xml:space="preserve">considera procedente </w:t>
      </w:r>
      <w:r w:rsidR="00953B85">
        <w:t>incluir el apartado tendiente al reacomodo de infraestructura dentro del artículo</w:t>
      </w:r>
      <w:r w:rsidR="001610B9">
        <w:t xml:space="preserve"> que corresponde a la tramitación de desacuerdos ante el Instituto, además de incorporar</w:t>
      </w:r>
      <w:r>
        <w:t xml:space="preserve"> expresa</w:t>
      </w:r>
      <w:r w:rsidR="001610B9">
        <w:t>mente</w:t>
      </w:r>
      <w:r>
        <w:t xml:space="preserve"> que el reacomodo se llevará a cabo siempre y cuando no se afecte el desempeño de la red.</w:t>
      </w:r>
    </w:p>
    <w:p w14:paraId="2AEEA39F" w14:textId="2E3BC206" w:rsidR="00D67967" w:rsidRPr="00EB5D28" w:rsidRDefault="00D67967" w:rsidP="00EB5D28">
      <w:pPr>
        <w:pStyle w:val="IFTnormal"/>
        <w:rPr>
          <w:u w:val="single"/>
        </w:rPr>
      </w:pPr>
      <w:r w:rsidRPr="00EB5D28">
        <w:rPr>
          <w:u w:val="single"/>
        </w:rPr>
        <w:t>Determinación de tarifas derivado de una resolución de desacuerdo</w:t>
      </w:r>
    </w:p>
    <w:p w14:paraId="2BE1DE8F" w14:textId="17B02639" w:rsidR="00D67967" w:rsidRDefault="00C4787F" w:rsidP="00EB5D28">
      <w:pPr>
        <w:pStyle w:val="IFTnormal"/>
      </w:pPr>
      <w:r>
        <w:t>Diversos participantes en la consulta pública refirieron que el hecho de que no se indique dentro del Anteproyecto la metodología que utilizará el Instituto para la determinación de tarifas derivado de la resolución de un desacuerdo genera incertidumbre.</w:t>
      </w:r>
    </w:p>
    <w:p w14:paraId="091A6717" w14:textId="77777777" w:rsidR="00E74D56" w:rsidRPr="00486C2F" w:rsidRDefault="00E74D56" w:rsidP="00E74D56">
      <w:pPr>
        <w:spacing w:after="120"/>
        <w:rPr>
          <w:rFonts w:ascii="ITC Avant Garde" w:hAnsi="ITC Avant Garde"/>
          <w:i/>
          <w:lang w:val="es-ES_tradnl"/>
        </w:rPr>
      </w:pPr>
      <w:r w:rsidRPr="00486C2F">
        <w:rPr>
          <w:rFonts w:ascii="ITC Avant Garde" w:hAnsi="ITC Avant Garde"/>
          <w:i/>
          <w:lang w:val="es-ES_tradnl"/>
        </w:rPr>
        <w:t>Respuesta del Instituto</w:t>
      </w:r>
    </w:p>
    <w:p w14:paraId="53B2E4B9" w14:textId="5F7848A7" w:rsidR="00C4787F" w:rsidRDefault="00E74D56" w:rsidP="00EB5D28">
      <w:pPr>
        <w:pStyle w:val="IFTnormal"/>
      </w:pPr>
      <w:r>
        <w:t xml:space="preserve">Respecto de los planteamientos realizados por los participantes en la consulta, </w:t>
      </w:r>
      <w:r w:rsidRPr="00290410">
        <w:t xml:space="preserve">el Instituto menciona que </w:t>
      </w:r>
      <w:r>
        <w:t>las tarifas</w:t>
      </w:r>
      <w:r w:rsidRPr="00290410">
        <w:t xml:space="preserve"> deberán establecerse contemplando en todo mom</w:t>
      </w:r>
      <w:r>
        <w:t xml:space="preserve">ento la información disponible </w:t>
      </w:r>
      <w:r w:rsidRPr="00290410">
        <w:t>a partir del análisis especifico de cada caso que se someta al análisis del Instituto.</w:t>
      </w:r>
      <w:r>
        <w:t xml:space="preserve"> </w:t>
      </w:r>
    </w:p>
    <w:p w14:paraId="66E1B22A" w14:textId="18EC6238" w:rsidR="00EA190C" w:rsidRPr="00BA2CD5" w:rsidRDefault="00E74D56" w:rsidP="00EB5D28">
      <w:pPr>
        <w:pStyle w:val="IFTnormal"/>
        <w:rPr>
          <w:lang w:val="es-ES"/>
        </w:rPr>
      </w:pPr>
      <w:r>
        <w:t xml:space="preserve">En ese sentido, es importante </w:t>
      </w:r>
      <w:r w:rsidR="003C04EC">
        <w:t xml:space="preserve">señalar </w:t>
      </w:r>
      <w:r>
        <w:t xml:space="preserve">que el Instituto </w:t>
      </w:r>
      <w:r w:rsidR="00DE1A73">
        <w:t>busc</w:t>
      </w:r>
      <w:r>
        <w:t xml:space="preserve">ará, por un lado, </w:t>
      </w:r>
      <w:r w:rsidRPr="00290410">
        <w:t xml:space="preserve">que </w:t>
      </w:r>
      <w:r>
        <w:t xml:space="preserve">los </w:t>
      </w:r>
      <w:r w:rsidRPr="00290410">
        <w:t xml:space="preserve">concesionarios puedan recuperar los costos proporcionales al acceso y uso </w:t>
      </w:r>
      <w:r w:rsidRPr="00290410">
        <w:rPr>
          <w:lang w:val="es-419"/>
        </w:rPr>
        <w:t xml:space="preserve">compartido </w:t>
      </w:r>
      <w:r w:rsidRPr="00290410">
        <w:t xml:space="preserve">de infraestructura, así como un margen de rentabilidad, </w:t>
      </w:r>
      <w:r w:rsidRPr="00290410">
        <w:rPr>
          <w:lang w:val="es-ES"/>
        </w:rPr>
        <w:t>para así evitar condiciones desproporcionadas en la compartición de infraestructura</w:t>
      </w:r>
      <w:r w:rsidR="00DE1A73">
        <w:rPr>
          <w:lang w:val="es-ES"/>
        </w:rPr>
        <w:t xml:space="preserve">; y por otro lado, </w:t>
      </w:r>
      <w:r w:rsidR="00DE1A73" w:rsidRPr="00290410">
        <w:t xml:space="preserve">que se recompense el riesgo incurrido por realizar inversiones de despliegue en localidades o municipios donde no haya este tipo de inversiones y/o en localidades o municipios con </w:t>
      </w:r>
      <w:r w:rsidR="0074689D">
        <w:t xml:space="preserve">bajos niveles en </w:t>
      </w:r>
      <w:r w:rsidR="00DE1A73" w:rsidRPr="00290410">
        <w:t>índices sobre condiciones socioeconómicas</w:t>
      </w:r>
      <w:r w:rsidR="00DE1A73">
        <w:t>.</w:t>
      </w:r>
      <w:r w:rsidRPr="00290410">
        <w:rPr>
          <w:lang w:val="es-ES"/>
        </w:rPr>
        <w:t xml:space="preserve"> </w:t>
      </w:r>
    </w:p>
    <w:p w14:paraId="34EA7FF6" w14:textId="23F3180C" w:rsidR="00BF76BD" w:rsidRDefault="0018760D" w:rsidP="00EB5D28">
      <w:pPr>
        <w:pStyle w:val="IFTnormal"/>
        <w:rPr>
          <w:u w:val="single"/>
        </w:rPr>
      </w:pPr>
      <w:r>
        <w:rPr>
          <w:u w:val="single"/>
        </w:rPr>
        <w:t>Elementos de prueba dentro del desacuerdo</w:t>
      </w:r>
    </w:p>
    <w:p w14:paraId="3FEE54C2" w14:textId="481C8412" w:rsidR="0018760D" w:rsidRDefault="0018760D" w:rsidP="00EB5D28">
      <w:pPr>
        <w:pStyle w:val="IFTnormal"/>
      </w:pPr>
      <w:r>
        <w:t>Respecto del</w:t>
      </w:r>
      <w:r w:rsidR="001610B9">
        <w:t xml:space="preserve"> procedimiento</w:t>
      </w:r>
      <w:r>
        <w:t xml:space="preserve"> de d</w:t>
      </w:r>
      <w:r w:rsidR="001610B9">
        <w:t>escuerdo establecido</w:t>
      </w:r>
      <w:r>
        <w:t xml:space="preserve"> dentro de</w:t>
      </w:r>
      <w:r w:rsidR="001610B9">
        <w:t>l</w:t>
      </w:r>
      <w:r>
        <w:t xml:space="preserve"> art</w:t>
      </w:r>
      <w:r w:rsidR="001610B9">
        <w:t>ículo</w:t>
      </w:r>
      <w:r>
        <w:t xml:space="preserve"> </w:t>
      </w:r>
      <w:r w:rsidR="001610B9">
        <w:t>17</w:t>
      </w:r>
      <w:r>
        <w:t xml:space="preserve"> del Anteproyecto, </w:t>
      </w:r>
      <w:r w:rsidRPr="00EB5D28">
        <w:t xml:space="preserve">fueron recibidos diversos comentarios respecto de los documentos que han sido establecidos como elementos probatorios </w:t>
      </w:r>
      <w:r w:rsidR="001610B9" w:rsidRPr="00EB5D28">
        <w:t>para</w:t>
      </w:r>
      <w:r w:rsidRPr="00EB5D28">
        <w:t xml:space="preserve"> valorar</w:t>
      </w:r>
      <w:r w:rsidR="001610B9" w:rsidRPr="00EB5D28">
        <w:t xml:space="preserve"> por el Instituto</w:t>
      </w:r>
      <w:r w:rsidRPr="00EB5D28">
        <w:t xml:space="preserve"> a efecto de emitir la resolución del desacuerdo de que se trate</w:t>
      </w:r>
      <w:r w:rsidR="003C04EC">
        <w:t>. A</w:t>
      </w:r>
      <w:r w:rsidRPr="00EB5D28">
        <w:t>lgunos de estos comentarios se realizaron en torno a la imposibilidad de proporcionar documentos tales como el informe de existencia de tratos de exclusividad</w:t>
      </w:r>
      <w:r w:rsidR="003C04EC">
        <w:t>. Asimismo</w:t>
      </w:r>
      <w:r w:rsidRPr="00EB5D28">
        <w:t>,</w:t>
      </w:r>
      <w:r>
        <w:t xml:space="preserve"> </w:t>
      </w:r>
      <w:r w:rsidR="00017A43">
        <w:t>se recibió un comentario en el que se establece que no es claro qu</w:t>
      </w:r>
      <w:r w:rsidR="003C04EC">
        <w:t>é</w:t>
      </w:r>
      <w:r w:rsidR="00017A43">
        <w:t xml:space="preserve"> sujetos serán los facultados para realizar los dictámenes periciales </w:t>
      </w:r>
      <w:r w:rsidR="001610B9">
        <w:t>y, por último,</w:t>
      </w:r>
      <w:r w:rsidR="00017A43" w:rsidRPr="00017A43">
        <w:t xml:space="preserve"> </w:t>
      </w:r>
      <w:r w:rsidR="00017A43">
        <w:t>diversos comentarios fueron en el sentido de establecer dentro del Anteproyecto un artículo con la prohibición a concesionarios de presentar desacuerdos que carezcan del debido sustento</w:t>
      </w:r>
      <w:r w:rsidR="001C2AA9">
        <w:t>.</w:t>
      </w:r>
    </w:p>
    <w:p w14:paraId="73AD22E6" w14:textId="77777777" w:rsidR="001C2AA9" w:rsidRPr="00486C2F" w:rsidRDefault="001C2AA9" w:rsidP="001C2AA9">
      <w:pPr>
        <w:spacing w:after="120"/>
        <w:rPr>
          <w:rFonts w:ascii="ITC Avant Garde" w:hAnsi="ITC Avant Garde"/>
          <w:i/>
          <w:lang w:val="es-ES_tradnl"/>
        </w:rPr>
      </w:pPr>
      <w:r w:rsidRPr="00486C2F">
        <w:rPr>
          <w:rFonts w:ascii="ITC Avant Garde" w:hAnsi="ITC Avant Garde"/>
          <w:i/>
          <w:lang w:val="es-ES_tradnl"/>
        </w:rPr>
        <w:t>Respuesta del Instituto</w:t>
      </w:r>
    </w:p>
    <w:p w14:paraId="3960D86D" w14:textId="5507A16D" w:rsidR="001B3DC7" w:rsidRDefault="001C2AA9" w:rsidP="00EB5D28">
      <w:pPr>
        <w:pStyle w:val="IFTnormal"/>
      </w:pPr>
      <w:r>
        <w:t xml:space="preserve">En relación con los comentarios anteriormente expuestos, este Instituto </w:t>
      </w:r>
      <w:r w:rsidR="001610B9">
        <w:t xml:space="preserve">señala </w:t>
      </w:r>
      <w:r>
        <w:t xml:space="preserve">que </w:t>
      </w:r>
      <w:r w:rsidR="00017A43">
        <w:t xml:space="preserve">con la finalidad de que los concesionarios interesados se encuentren en posibilidad de presentar ante el Instituto todos aquellos elementos probatorios que sustenten sus dichos en la tramitación de un desacuerdo ha sido eliminado de los requisitos el </w:t>
      </w:r>
      <w:r w:rsidR="001B3DC7">
        <w:t>informe con la justificación jurídica de las causas que impiden replicar la infraestructura solicitada; con la misma finalidad se ha decidido modificar el requisito de presentar dentro de los desacuerdos establecidos en el Anteproyecto dictámenes periciales</w:t>
      </w:r>
      <w:r w:rsidR="00EA190C">
        <w:t xml:space="preserve"> para que en su lugar se presente un dictamen técnico.</w:t>
      </w:r>
    </w:p>
    <w:p w14:paraId="0808AEE6" w14:textId="090377C4" w:rsidR="00BC52F3" w:rsidRDefault="00BC52F3" w:rsidP="00EB5D28">
      <w:pPr>
        <w:pStyle w:val="IFTnormal"/>
      </w:pPr>
      <w:r>
        <w:t xml:space="preserve">Ahora bien, respecto del comentario recibido en torno a que debería establecerse un artículo con la prohibición de presentar desacuerdos que carezcan de sustento, este Instituto refiere que se han realizado modificaciones a la redacción del procedimiento de resolución de desacuerdos, quedando </w:t>
      </w:r>
      <w:r w:rsidR="003C04EC">
        <w:t xml:space="preserve">a salvo </w:t>
      </w:r>
      <w:r>
        <w:t xml:space="preserve">la facultad que goza el Instituto para pronunciarse sobre la procedencia de los desacuerdos recibidos, por lo que en caso de estimar que un desacuerdo fue presentado sin el debido sustento este podrá ser desechado por el Instituto. </w:t>
      </w:r>
    </w:p>
    <w:p w14:paraId="3B8BCF7C" w14:textId="397FBE92" w:rsidR="0018760D" w:rsidRDefault="008701A9" w:rsidP="00EB5D28">
      <w:pPr>
        <w:pStyle w:val="IFTnormal"/>
        <w:rPr>
          <w:b/>
        </w:rPr>
      </w:pPr>
      <w:r>
        <w:rPr>
          <w:b/>
        </w:rPr>
        <w:t>Manifestaciones sobre el desarrollo de o</w:t>
      </w:r>
      <w:r w:rsidR="001B3DC7" w:rsidRPr="00EB5D28">
        <w:rPr>
          <w:b/>
        </w:rPr>
        <w:t>bra civil</w:t>
      </w:r>
    </w:p>
    <w:p w14:paraId="273F9328" w14:textId="097584E4" w:rsidR="001B3DC7" w:rsidRPr="00486C2F" w:rsidRDefault="001B3DC7" w:rsidP="001B3DC7">
      <w:pPr>
        <w:pStyle w:val="IFTnormal"/>
      </w:pPr>
      <w:r>
        <w:t>Dentro de la consulta pública del Anteproyecto fueron recibidos diversos señalamientos en torno a lo planteado por el Instituto respecto de la realización de obra civil, mismos que han sido englobados en los subtemas que se exponen y responden a continuación:</w:t>
      </w:r>
    </w:p>
    <w:p w14:paraId="00E2095B" w14:textId="01D7E500" w:rsidR="00E24F85" w:rsidRDefault="00E24F85" w:rsidP="00EB5D28">
      <w:pPr>
        <w:pStyle w:val="IFTnormal"/>
        <w:rPr>
          <w:u w:val="single"/>
        </w:rPr>
      </w:pPr>
      <w:r>
        <w:rPr>
          <w:u w:val="single"/>
        </w:rPr>
        <w:t>Exención de compartición:</w:t>
      </w:r>
    </w:p>
    <w:p w14:paraId="6C1D3D1A" w14:textId="77777777" w:rsidR="00524117" w:rsidRDefault="00E24F85" w:rsidP="00EB5D28">
      <w:pPr>
        <w:pStyle w:val="IFTnormal"/>
      </w:pPr>
      <w:r w:rsidRPr="00EB5D28">
        <w:t>Respecto de la exención de otorgar el acceso y uso compartido de infraestructura</w:t>
      </w:r>
      <w:r>
        <w:t xml:space="preserve"> que ha sido establecida dentro del artículo 30 del Anteproyecto, diversos participantes emitieron comentarios </w:t>
      </w:r>
      <w:r w:rsidR="00524117">
        <w:t>sugiriendo la eliminación de dicha exención al considerar que no es una práctica positiva para los concesionarios.</w:t>
      </w:r>
    </w:p>
    <w:p w14:paraId="771EF95E" w14:textId="5DFD4BFB" w:rsidR="00524117" w:rsidRDefault="00524117" w:rsidP="00EB5D28">
      <w:pPr>
        <w:pStyle w:val="IFTnormal"/>
        <w:rPr>
          <w:i/>
        </w:rPr>
      </w:pPr>
      <w:r w:rsidRPr="00BA2CD5">
        <w:rPr>
          <w:i/>
        </w:rPr>
        <w:t xml:space="preserve">Respuesta del Instituto </w:t>
      </w:r>
      <w:r w:rsidR="00CF5E24" w:rsidRPr="00BA2CD5">
        <w:rPr>
          <w:i/>
        </w:rPr>
        <w:t xml:space="preserve"> </w:t>
      </w:r>
    </w:p>
    <w:p w14:paraId="5958BC51" w14:textId="0529867F" w:rsidR="00524117" w:rsidRDefault="00524117" w:rsidP="00EB5D28">
      <w:pPr>
        <w:pStyle w:val="IFTnormal"/>
        <w:rPr>
          <w:lang w:val="es-419"/>
        </w:rPr>
      </w:pPr>
      <w:r>
        <w:t xml:space="preserve">Respecto de los planteamientos realizados por diversos participantes en la consulta, este Instituto señala que </w:t>
      </w:r>
      <w:r w:rsidRPr="00B144B1">
        <w:rPr>
          <w:lang w:val="es-419"/>
        </w:rPr>
        <w:t xml:space="preserve">el objetivo de </w:t>
      </w:r>
      <w:r>
        <w:rPr>
          <w:lang w:val="es-419"/>
        </w:rPr>
        <w:t xml:space="preserve">la creación de la exención es el de promover que se puedan llevar a cabo obras civiles conjuntas </w:t>
      </w:r>
      <w:r w:rsidRPr="00B144B1">
        <w:rPr>
          <w:lang w:val="es-419"/>
        </w:rPr>
        <w:t>y con ello generar los beneficios que su implementación conlleva</w:t>
      </w:r>
      <w:r>
        <w:rPr>
          <w:lang w:val="es-419"/>
        </w:rPr>
        <w:t xml:space="preserve">. </w:t>
      </w:r>
    </w:p>
    <w:p w14:paraId="25196B1D" w14:textId="5BDA17FD" w:rsidR="00524117" w:rsidRDefault="00524117" w:rsidP="00EB5D28">
      <w:pPr>
        <w:pStyle w:val="IFTnormal"/>
        <w:rPr>
          <w:lang w:val="es-419"/>
        </w:rPr>
      </w:pPr>
      <w:r>
        <w:rPr>
          <w:lang w:val="es-419"/>
        </w:rPr>
        <w:t xml:space="preserve">En ese sentido, el Instituto considera que a través de la exención </w:t>
      </w:r>
      <w:r w:rsidRPr="00524117">
        <w:rPr>
          <w:lang w:val="es-419"/>
        </w:rPr>
        <w:t xml:space="preserve">se establece un incentivo adicional a la publicación de obras civiles, </w:t>
      </w:r>
      <w:r>
        <w:rPr>
          <w:lang w:val="es-419"/>
        </w:rPr>
        <w:t>además de generar</w:t>
      </w:r>
      <w:r w:rsidRPr="00524117">
        <w:rPr>
          <w:lang w:val="es-419"/>
        </w:rPr>
        <w:t xml:space="preserve"> incentivos para que los concesionarios se adhieran a proyectos de obra civil publicados</w:t>
      </w:r>
      <w:r w:rsidR="00536F62">
        <w:rPr>
          <w:lang w:val="es-419"/>
        </w:rPr>
        <w:t>, por lo que no considera necesaria la eliminación de esta figura establecida en el Anteproyecto</w:t>
      </w:r>
      <w:r w:rsidRPr="00524117">
        <w:rPr>
          <w:lang w:val="es-419"/>
        </w:rPr>
        <w:t>.</w:t>
      </w:r>
    </w:p>
    <w:p w14:paraId="58D72E2F" w14:textId="7583A9E5" w:rsidR="0055777D" w:rsidRDefault="0055777D" w:rsidP="00EB5D28">
      <w:pPr>
        <w:pStyle w:val="IFTnormal"/>
        <w:rPr>
          <w:u w:val="single"/>
          <w:lang w:val="es-419"/>
        </w:rPr>
      </w:pPr>
      <w:r w:rsidRPr="00BA2CD5">
        <w:rPr>
          <w:u w:val="single"/>
          <w:lang w:val="es-419"/>
        </w:rPr>
        <w:t>Elementos probatorios del termino de obra</w:t>
      </w:r>
    </w:p>
    <w:p w14:paraId="5719B126" w14:textId="51A1624B" w:rsidR="0055777D" w:rsidRDefault="0055777D" w:rsidP="00EB5D28">
      <w:pPr>
        <w:pStyle w:val="IFTnormal"/>
        <w:rPr>
          <w:lang w:val="es-419"/>
        </w:rPr>
      </w:pPr>
      <w:r>
        <w:rPr>
          <w:lang w:val="es-419"/>
        </w:rPr>
        <w:t>Respecto del inicio del plazo de tres años durante el que estará vigente la exención de compartición de infraestructura, se han recibido comentarios tendientes a que el Instituto debería requerir un documento probatorio para comprobar la fecha en que la obra civil fue terminada.</w:t>
      </w:r>
    </w:p>
    <w:p w14:paraId="1C16A2C8" w14:textId="77777777" w:rsidR="0055777D" w:rsidRDefault="0055777D" w:rsidP="0055777D">
      <w:pPr>
        <w:pStyle w:val="IFTnormal"/>
        <w:rPr>
          <w:i/>
        </w:rPr>
      </w:pPr>
      <w:r w:rsidRPr="00486C2F">
        <w:rPr>
          <w:i/>
        </w:rPr>
        <w:t xml:space="preserve">Respuesta del Instituto  </w:t>
      </w:r>
    </w:p>
    <w:p w14:paraId="3744C205" w14:textId="31D3CCED" w:rsidR="0055777D" w:rsidRDefault="0055777D" w:rsidP="00EB5D28">
      <w:pPr>
        <w:pStyle w:val="IFTnormal"/>
      </w:pPr>
      <w:r>
        <w:t xml:space="preserve">El Instituto concuerda con los comentarios recibidos, por lo </w:t>
      </w:r>
      <w:r w:rsidR="00D161ED">
        <w:t>que,</w:t>
      </w:r>
      <w:r>
        <w:t xml:space="preserve"> a efecto de otorgar mayor seguridad a las partes, se establece que </w:t>
      </w:r>
      <w:r w:rsidRPr="001538E5">
        <w:t>en caso de que no exista un documento que acredite la conclusión de la obra no operará la exención de compartición de infraestructura</w:t>
      </w:r>
      <w:r>
        <w:t>.</w:t>
      </w:r>
    </w:p>
    <w:p w14:paraId="45328254" w14:textId="7C8E1EAD" w:rsidR="008701A9" w:rsidRDefault="0055777D" w:rsidP="00EB5D28">
      <w:pPr>
        <w:pStyle w:val="IFTnormal"/>
        <w:rPr>
          <w:lang w:val="es-419"/>
        </w:rPr>
      </w:pPr>
      <w:r>
        <w:t xml:space="preserve">Aunado a lo anterior, </w:t>
      </w:r>
      <w:r w:rsidRPr="00B144B1">
        <w:rPr>
          <w:lang w:val="es-419"/>
        </w:rPr>
        <w:t xml:space="preserve">se ha establecido que si el titular de infraestructura generó condiciones desventajosas </w:t>
      </w:r>
      <w:r w:rsidR="001538E5">
        <w:rPr>
          <w:lang w:val="es-419"/>
        </w:rPr>
        <w:t xml:space="preserve">al solicitante de acceso </w:t>
      </w:r>
      <w:r w:rsidRPr="00B144B1">
        <w:rPr>
          <w:lang w:val="es-419"/>
        </w:rPr>
        <w:t xml:space="preserve">en la coordinación de obra civil por la que fue instalada la infraestructura en cuestión, </w:t>
      </w:r>
      <w:r w:rsidR="001538E5">
        <w:rPr>
          <w:lang w:val="es-419"/>
        </w:rPr>
        <w:t>no será aplicable la exención</w:t>
      </w:r>
      <w:r w:rsidRPr="00B144B1">
        <w:rPr>
          <w:lang w:val="es-419"/>
        </w:rPr>
        <w:t>.</w:t>
      </w:r>
    </w:p>
    <w:p w14:paraId="1FD66FFB" w14:textId="7C0B3674" w:rsidR="00553503" w:rsidRDefault="00553503" w:rsidP="00EB5D28">
      <w:pPr>
        <w:pStyle w:val="IFTnormal"/>
        <w:rPr>
          <w:b/>
          <w:lang w:val="es-419"/>
        </w:rPr>
      </w:pPr>
      <w:r w:rsidRPr="00BA2CD5">
        <w:rPr>
          <w:b/>
          <w:lang w:val="es-419"/>
        </w:rPr>
        <w:t xml:space="preserve">Manifestaciones </w:t>
      </w:r>
      <w:r w:rsidR="00EB1F94">
        <w:rPr>
          <w:b/>
          <w:lang w:val="es-419"/>
        </w:rPr>
        <w:t xml:space="preserve">sobre el </w:t>
      </w:r>
      <w:r w:rsidRPr="00BA2CD5">
        <w:rPr>
          <w:b/>
          <w:lang w:val="es-419"/>
        </w:rPr>
        <w:t>Sistema Nacional de Información de Infraestructura</w:t>
      </w:r>
    </w:p>
    <w:p w14:paraId="2C81BDF3" w14:textId="0D8CA118" w:rsidR="005D440A" w:rsidRPr="00486C2F" w:rsidRDefault="005D440A" w:rsidP="005D440A">
      <w:pPr>
        <w:pStyle w:val="IFTnormal"/>
      </w:pPr>
      <w:r>
        <w:t>Dentro de la consulta pública del Anteproyecto fueron recibidos diversos señalamientos en torno a lo planteado por el Instituto respecto del Sistema Nacional de I</w:t>
      </w:r>
      <w:r w:rsidR="0021002D">
        <w:t>nformación de Infraestructura (e</w:t>
      </w:r>
      <w:r>
        <w:t>n lo sucesivo</w:t>
      </w:r>
      <w:r w:rsidR="0021002D">
        <w:t>,</w:t>
      </w:r>
      <w:r>
        <w:t xml:space="preserve"> “SNII”), mismos que han sido englobados en los subtemas que se exponen y responden a continuación:</w:t>
      </w:r>
    </w:p>
    <w:p w14:paraId="685AD239" w14:textId="129B9FC0" w:rsidR="005D440A" w:rsidRDefault="005D440A" w:rsidP="00EB5D28">
      <w:pPr>
        <w:pStyle w:val="IFTnormal"/>
        <w:rPr>
          <w:u w:val="single"/>
          <w:lang w:val="es-419"/>
        </w:rPr>
      </w:pPr>
      <w:r>
        <w:rPr>
          <w:u w:val="single"/>
          <w:lang w:val="es-419"/>
        </w:rPr>
        <w:t>Distinción del contenido de los Lineamientos</w:t>
      </w:r>
    </w:p>
    <w:p w14:paraId="774C5313" w14:textId="3F80B44B" w:rsidR="005D440A" w:rsidRDefault="0074689D" w:rsidP="00EB5D28">
      <w:pPr>
        <w:pStyle w:val="IFTnormal"/>
        <w:rPr>
          <w:lang w:val="es-419"/>
        </w:rPr>
      </w:pPr>
      <w:r>
        <w:rPr>
          <w:lang w:val="es-419"/>
        </w:rPr>
        <w:t>U</w:t>
      </w:r>
      <w:r w:rsidR="005D440A">
        <w:rPr>
          <w:lang w:val="es-419"/>
        </w:rPr>
        <w:t>n participante en la consulta pública refirió que estos temas deberían ser incluidos dentro de los Lineamientos para el SNII y no dentro del Anteproyecto; en un sentido similar, otro de los parti</w:t>
      </w:r>
      <w:r w:rsidR="00637652">
        <w:rPr>
          <w:lang w:val="es-419"/>
        </w:rPr>
        <w:t>cipantes señal</w:t>
      </w:r>
      <w:r w:rsidR="005D440A">
        <w:rPr>
          <w:lang w:val="es-419"/>
        </w:rPr>
        <w:t xml:space="preserve">ó que </w:t>
      </w:r>
      <w:r w:rsidR="00637652">
        <w:rPr>
          <w:lang w:val="es-419"/>
        </w:rPr>
        <w:t>el Módulo de Obras Civiles que se contempla dentro del Anteproyecto debería ser incluido dentro de los Lineamientos para el SNII y no dentro del Anteproyecto.</w:t>
      </w:r>
    </w:p>
    <w:p w14:paraId="2CABD9A6" w14:textId="04972226" w:rsidR="00637652" w:rsidRDefault="00637652" w:rsidP="00EB5D28">
      <w:pPr>
        <w:pStyle w:val="IFTnormal"/>
        <w:rPr>
          <w:i/>
          <w:lang w:val="es-419"/>
        </w:rPr>
      </w:pPr>
      <w:r w:rsidRPr="00BA2CD5">
        <w:rPr>
          <w:i/>
          <w:lang w:val="es-419"/>
        </w:rPr>
        <w:t>Respuesta del Instituto</w:t>
      </w:r>
    </w:p>
    <w:p w14:paraId="3505BEC2" w14:textId="567609FD" w:rsidR="00637652" w:rsidRDefault="00637652" w:rsidP="00EB5D28">
      <w:pPr>
        <w:pStyle w:val="IFTnormal"/>
        <w:rPr>
          <w:lang w:val="es-419"/>
        </w:rPr>
      </w:pPr>
      <w:r>
        <w:rPr>
          <w:lang w:val="es-419"/>
        </w:rPr>
        <w:t xml:space="preserve">Respecto de los comentarios </w:t>
      </w:r>
      <w:r w:rsidR="00E43141">
        <w:rPr>
          <w:lang w:val="es-419"/>
        </w:rPr>
        <w:t>realizados por los participantes en la consulta pública</w:t>
      </w:r>
      <w:r>
        <w:rPr>
          <w:lang w:val="es-419"/>
        </w:rPr>
        <w:t xml:space="preserve">, el Instituto refiere que por la naturaleza de los temas que se tratan dentro de </w:t>
      </w:r>
      <w:r w:rsidR="00E43141">
        <w:rPr>
          <w:lang w:val="es-419"/>
        </w:rPr>
        <w:t xml:space="preserve">ambos proyectos, existe cierta </w:t>
      </w:r>
      <w:r w:rsidR="003C04EC">
        <w:rPr>
          <w:lang w:val="es-419"/>
        </w:rPr>
        <w:t xml:space="preserve">vinculación </w:t>
      </w:r>
      <w:r w:rsidR="00E43141">
        <w:rPr>
          <w:lang w:val="es-419"/>
        </w:rPr>
        <w:t xml:space="preserve">entre estos, por lo que es necesario establecer dentro del Anteproyecto diversas referencias al SNII, incluso cuando existen temas que </w:t>
      </w:r>
      <w:r w:rsidR="003C04EC">
        <w:rPr>
          <w:lang w:val="es-419"/>
        </w:rPr>
        <w:t xml:space="preserve">pudieran ser </w:t>
      </w:r>
      <w:r w:rsidR="00E43141">
        <w:rPr>
          <w:lang w:val="es-419"/>
        </w:rPr>
        <w:t>desarrollados a mayor detalle dentro de los lineamientos del SNII, tal como es el caso del Módulo de Obras Civiles que ha referido otro de los participantes en la consulta pública.</w:t>
      </w:r>
    </w:p>
    <w:p w14:paraId="0FE6AD34" w14:textId="5B1F6661" w:rsidR="00E43141" w:rsidRDefault="00E43141" w:rsidP="00EB5D28">
      <w:pPr>
        <w:pStyle w:val="IFTnormal"/>
        <w:rPr>
          <w:i/>
          <w:u w:val="single"/>
          <w:lang w:val="es-419"/>
        </w:rPr>
      </w:pPr>
      <w:r>
        <w:rPr>
          <w:i/>
          <w:u w:val="single"/>
          <w:lang w:val="es-419"/>
        </w:rPr>
        <w:t>Acceso a la información disponible dentro del SNII</w:t>
      </w:r>
    </w:p>
    <w:p w14:paraId="5EA7750C" w14:textId="2DCC14E7" w:rsidR="00E43141" w:rsidRDefault="00E43141" w:rsidP="00EB5D28">
      <w:pPr>
        <w:pStyle w:val="IFTnormal"/>
        <w:rPr>
          <w:lang w:val="es-419"/>
        </w:rPr>
      </w:pPr>
      <w:r>
        <w:rPr>
          <w:lang w:val="es-419"/>
        </w:rPr>
        <w:t>Respecto del contenido del artículo 6° del Antep</w:t>
      </w:r>
      <w:r w:rsidR="00F03F39">
        <w:rPr>
          <w:lang w:val="es-419"/>
        </w:rPr>
        <w:t xml:space="preserve">royecto, diversos participantes en la consulta pública </w:t>
      </w:r>
      <w:r>
        <w:rPr>
          <w:lang w:val="es-419"/>
        </w:rPr>
        <w:t>señalaron su preocupación respecto a los sujetos que tendr</w:t>
      </w:r>
      <w:r w:rsidR="00F03F39">
        <w:rPr>
          <w:lang w:val="es-419"/>
        </w:rPr>
        <w:t>án acceso a la información que estará disponible dentro del SNII</w:t>
      </w:r>
      <w:r w:rsidR="00964C08">
        <w:rPr>
          <w:lang w:val="es-419"/>
        </w:rPr>
        <w:t>, además de señalar la forma en que será otorgado este acceso</w:t>
      </w:r>
      <w:r w:rsidR="00F03F39">
        <w:rPr>
          <w:lang w:val="es-419"/>
        </w:rPr>
        <w:t>, a efecto de que está no pueda ser consultada por terceros ajenos a sus intereses.</w:t>
      </w:r>
    </w:p>
    <w:p w14:paraId="01EC0B6D" w14:textId="2D092B03" w:rsidR="00F03F39" w:rsidRDefault="00F03F39" w:rsidP="00EB5D28">
      <w:pPr>
        <w:pStyle w:val="IFTnormal"/>
        <w:rPr>
          <w:i/>
          <w:lang w:val="es-419"/>
        </w:rPr>
      </w:pPr>
      <w:r>
        <w:rPr>
          <w:i/>
          <w:lang w:val="es-419"/>
        </w:rPr>
        <w:t>Respuesta del Instituto</w:t>
      </w:r>
    </w:p>
    <w:p w14:paraId="011AEE38" w14:textId="2230123E" w:rsidR="00964C08" w:rsidRDefault="00F03F39" w:rsidP="00EB5D28">
      <w:pPr>
        <w:pStyle w:val="IFTnormal"/>
        <w:rPr>
          <w:lang w:val="es-419"/>
        </w:rPr>
      </w:pPr>
      <w:r>
        <w:rPr>
          <w:lang w:val="es-419"/>
        </w:rPr>
        <w:t xml:space="preserve">Del análisis a los comentarios vertidos respecto del artículo 6° del Anteproyecto, el Instituto ha considerado realizar modificaciones a efecto de otorgar una mayor seguridad a la información proporcionada por los concesionarios y que se encuentre disponible dentro del SNII, limitando el acceso </w:t>
      </w:r>
      <w:r w:rsidR="00964C08">
        <w:rPr>
          <w:lang w:val="es-419"/>
        </w:rPr>
        <w:t>únicamente a otros concesionarios, siendo que la parte relativa al otorgamiento del acceso será desarrollada dentro de los Lineamientos referentes al SNII.</w:t>
      </w:r>
    </w:p>
    <w:p w14:paraId="2938AB11" w14:textId="6B68142B" w:rsidR="00964C08" w:rsidRDefault="00964C08" w:rsidP="00EB5D28">
      <w:pPr>
        <w:pStyle w:val="IFTnormal"/>
        <w:rPr>
          <w:u w:val="single"/>
          <w:lang w:val="es-419"/>
        </w:rPr>
      </w:pPr>
      <w:r w:rsidRPr="00BA2CD5">
        <w:rPr>
          <w:u w:val="single"/>
          <w:lang w:val="es-419"/>
        </w:rPr>
        <w:t>Publicación en el módulo de obras civiles del SNII</w:t>
      </w:r>
    </w:p>
    <w:p w14:paraId="12DAA6B1" w14:textId="5ED3DBF3" w:rsidR="00964C08" w:rsidRDefault="00964C08" w:rsidP="00EB5D28">
      <w:pPr>
        <w:pStyle w:val="IFTnormal"/>
        <w:rPr>
          <w:lang w:val="es-419"/>
        </w:rPr>
      </w:pPr>
      <w:r>
        <w:rPr>
          <w:lang w:val="es-419"/>
        </w:rPr>
        <w:t>Diversos participantes manifestaron que el Anteproyecto no es claro en establecer si la publicación den</w:t>
      </w:r>
      <w:r w:rsidR="00816D71">
        <w:rPr>
          <w:lang w:val="es-419"/>
        </w:rPr>
        <w:t>tro del módulo de obras civiles del SNII es una obligación y que en caso de serlo no lo consideran conveniente ya que todos los operadores tendrían conocimiento de los planes de expansión de los demás, generando un ambiente negativo a llevar conectividad a zonas de bajo interés.</w:t>
      </w:r>
    </w:p>
    <w:p w14:paraId="00A9F284" w14:textId="6DD4093A" w:rsidR="00816D71" w:rsidRDefault="00816D71" w:rsidP="00EB5D28">
      <w:pPr>
        <w:pStyle w:val="IFTnormal"/>
        <w:rPr>
          <w:i/>
          <w:lang w:val="es-419"/>
        </w:rPr>
      </w:pPr>
      <w:r>
        <w:rPr>
          <w:i/>
          <w:lang w:val="es-419"/>
        </w:rPr>
        <w:t>Respuesta del Instituto</w:t>
      </w:r>
    </w:p>
    <w:p w14:paraId="7A72EC9B" w14:textId="46855804" w:rsidR="00816D71" w:rsidRDefault="00816D71" w:rsidP="00EB5D28">
      <w:pPr>
        <w:pStyle w:val="IFTnormal"/>
        <w:rPr>
          <w:lang w:val="es-419"/>
        </w:rPr>
      </w:pPr>
      <w:r>
        <w:rPr>
          <w:lang w:val="es-419"/>
        </w:rPr>
        <w:t xml:space="preserve">Este Instituto señala que el Anteproyecto es claro en cuanto a que la publicación de obras civiles en el SNII no es una obligación y únicamente es una herramienta que ha sido creada a efecto de fomentar la realización de obras civiles de forma conjunta y que incluso </w:t>
      </w:r>
      <w:r w:rsidR="00040C69">
        <w:rPr>
          <w:lang w:val="es-419"/>
        </w:rPr>
        <w:t>se ha establecido dentro del Anteproyecto la exención de compartición de infraestructura como un incentivo para los concesionarios que opten por dicha herramienta.</w:t>
      </w:r>
    </w:p>
    <w:p w14:paraId="753D076F" w14:textId="6DA94411" w:rsidR="00763051" w:rsidRDefault="00763051" w:rsidP="00763051">
      <w:pPr>
        <w:pStyle w:val="IFTnormal"/>
        <w:rPr>
          <w:u w:val="single"/>
          <w:lang w:val="es-419"/>
        </w:rPr>
      </w:pPr>
      <w:r>
        <w:rPr>
          <w:u w:val="single"/>
          <w:lang w:val="es-419"/>
        </w:rPr>
        <w:t>Sanciones por el indebido cumplimiento del Anteproyecto</w:t>
      </w:r>
    </w:p>
    <w:p w14:paraId="2B1EA71C" w14:textId="34E13885" w:rsidR="00763051" w:rsidRDefault="00937C00" w:rsidP="00763051">
      <w:pPr>
        <w:pStyle w:val="IFTnormal"/>
        <w:rPr>
          <w:lang w:val="es-419"/>
        </w:rPr>
      </w:pPr>
      <w:r w:rsidRPr="00BA2CD5">
        <w:rPr>
          <w:lang w:val="es-419"/>
        </w:rPr>
        <w:t xml:space="preserve">Diversos participantes señalaron que no se ha establecido de manera clara cuáles serán </w:t>
      </w:r>
      <w:r w:rsidR="00763051" w:rsidRPr="00BA2CD5">
        <w:rPr>
          <w:lang w:val="es-419"/>
        </w:rPr>
        <w:t xml:space="preserve">las sanciones que </w:t>
      </w:r>
      <w:r w:rsidRPr="00BA2CD5">
        <w:rPr>
          <w:lang w:val="es-419"/>
        </w:rPr>
        <w:t>se aplicarán</w:t>
      </w:r>
      <w:r w:rsidR="00763051" w:rsidRPr="00BA2CD5">
        <w:rPr>
          <w:lang w:val="es-419"/>
        </w:rPr>
        <w:t xml:space="preserve"> por el Instituto en caso de que los sujetos obligados al cumplimiento del Anteproyecto no lo hicieran en los términos que han sido </w:t>
      </w:r>
      <w:r w:rsidRPr="00BA2CD5">
        <w:rPr>
          <w:lang w:val="es-419"/>
        </w:rPr>
        <w:t xml:space="preserve">estipulados, </w:t>
      </w:r>
      <w:r>
        <w:rPr>
          <w:lang w:val="es-419"/>
        </w:rPr>
        <w:t>específicamente para el caso en que un concesionario no cumpliera con el contenido de un convenio o que no se permitiera el acceso y uso compartido de infraestructura.</w:t>
      </w:r>
    </w:p>
    <w:p w14:paraId="2A8BD23C" w14:textId="547A8AE7" w:rsidR="00937C00" w:rsidRPr="00BA2CD5" w:rsidRDefault="00937C00" w:rsidP="00763051">
      <w:pPr>
        <w:pStyle w:val="IFTnormal"/>
        <w:rPr>
          <w:i/>
          <w:lang w:val="es-419"/>
        </w:rPr>
      </w:pPr>
      <w:r w:rsidRPr="00BA2CD5">
        <w:rPr>
          <w:i/>
          <w:lang w:val="es-419"/>
        </w:rPr>
        <w:t>Respuesta del Instituto</w:t>
      </w:r>
    </w:p>
    <w:p w14:paraId="628899A9" w14:textId="002408A1" w:rsidR="00763051" w:rsidRPr="00BA2CD5" w:rsidRDefault="00937C00" w:rsidP="00EB5D28">
      <w:pPr>
        <w:pStyle w:val="IFTnormal"/>
        <w:rPr>
          <w:u w:val="single"/>
          <w:lang w:val="es-419"/>
        </w:rPr>
      </w:pPr>
      <w:r>
        <w:rPr>
          <w:lang w:val="es-419"/>
        </w:rPr>
        <w:t xml:space="preserve">A ese respecto, este Instituto menciona que </w:t>
      </w:r>
      <w:r w:rsidR="005D6EEE">
        <w:rPr>
          <w:lang w:val="es-419"/>
        </w:rPr>
        <w:t>en el Anteproyecto ha qu</w:t>
      </w:r>
      <w:r w:rsidR="00F619E7">
        <w:rPr>
          <w:lang w:val="es-419"/>
        </w:rPr>
        <w:t>e</w:t>
      </w:r>
      <w:r w:rsidR="005D6EEE">
        <w:rPr>
          <w:lang w:val="es-419"/>
        </w:rPr>
        <w:t>dado establecido que en caso de que</w:t>
      </w:r>
      <w:r w:rsidR="005B24EB">
        <w:rPr>
          <w:lang w:val="es-419"/>
        </w:rPr>
        <w:t xml:space="preserve"> los sujetos obligados al cumplimiento de lo establecido dentro del Anteproyecto no lo hicieran tal como se ha estipulado, se estará a lo dispuesto dentro del Título Décimo Quinto de la LFTR “Régimen de sanciones”</w:t>
      </w:r>
      <w:r w:rsidR="0074689D">
        <w:rPr>
          <w:lang w:val="es-419"/>
        </w:rPr>
        <w:t xml:space="preserve"> donde se hace referencia a las facultades del Instituto en materia de cumplimiento de obligaciones</w:t>
      </w:r>
      <w:r w:rsidR="005D6EEE">
        <w:rPr>
          <w:lang w:val="es-419"/>
        </w:rPr>
        <w:t>, por lo que el Instituto considera que</w:t>
      </w:r>
      <w:r w:rsidR="006F0DDC">
        <w:rPr>
          <w:lang w:val="es-419"/>
        </w:rPr>
        <w:t xml:space="preserve"> los términos y condiciones son claros al respecto</w:t>
      </w:r>
      <w:r w:rsidR="005B24EB">
        <w:rPr>
          <w:lang w:val="es-419"/>
        </w:rPr>
        <w:t>.</w:t>
      </w:r>
      <w:bookmarkEnd w:id="1"/>
    </w:p>
    <w:sectPr w:rsidR="00763051" w:rsidRPr="00BA2CD5" w:rsidSect="001438D2">
      <w:headerReference w:type="default" r:id="rId12"/>
      <w:footerReference w:type="default" r:id="rId13"/>
      <w:footerReference w:type="first" r:id="rId14"/>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1DF4" w14:textId="77777777" w:rsidR="001E4C67" w:rsidRDefault="001E4C67" w:rsidP="003C6172">
      <w:pPr>
        <w:spacing w:after="0" w:line="240" w:lineRule="auto"/>
      </w:pPr>
      <w:r>
        <w:separator/>
      </w:r>
    </w:p>
  </w:endnote>
  <w:endnote w:type="continuationSeparator" w:id="0">
    <w:p w14:paraId="4B42635C" w14:textId="77777777" w:rsidR="001E4C67" w:rsidRDefault="001E4C67" w:rsidP="003C6172">
      <w:pPr>
        <w:spacing w:after="0" w:line="240" w:lineRule="auto"/>
      </w:pPr>
      <w:r>
        <w:continuationSeparator/>
      </w:r>
    </w:p>
  </w:endnote>
  <w:endnote w:type="continuationNotice" w:id="1">
    <w:p w14:paraId="5E9474DD" w14:textId="77777777" w:rsidR="001E4C67" w:rsidRDefault="001E4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482973"/>
      <w:docPartObj>
        <w:docPartGallery w:val="Page Numbers (Bottom of Page)"/>
        <w:docPartUnique/>
      </w:docPartObj>
    </w:sdtPr>
    <w:sdtEndPr/>
    <w:sdtContent>
      <w:p w14:paraId="2A073733" w14:textId="6A59A62E" w:rsidR="00FC63EB" w:rsidRDefault="00FC63EB" w:rsidP="008958B5">
        <w:pPr>
          <w:pStyle w:val="Piedepgina"/>
          <w:jc w:val="right"/>
        </w:pPr>
        <w:r>
          <w:fldChar w:fldCharType="begin"/>
        </w:r>
        <w:r>
          <w:instrText>PAGE   \* MERGEFORMAT</w:instrText>
        </w:r>
        <w:r>
          <w:fldChar w:fldCharType="separate"/>
        </w:r>
        <w:r w:rsidR="009C3F51" w:rsidRPr="009C3F51">
          <w:rPr>
            <w:noProof/>
            <w:lang w:val="es-ES"/>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92483"/>
      <w:docPartObj>
        <w:docPartGallery w:val="Page Numbers (Bottom of Page)"/>
        <w:docPartUnique/>
      </w:docPartObj>
    </w:sdtPr>
    <w:sdtEndPr/>
    <w:sdtContent>
      <w:p w14:paraId="572A0C78" w14:textId="66BE13F6" w:rsidR="00FC63EB" w:rsidRPr="008958B5" w:rsidRDefault="00FC63EB" w:rsidP="008958B5">
        <w:pPr>
          <w:pStyle w:val="Piedepgina"/>
          <w:jc w:val="right"/>
        </w:pPr>
        <w:r>
          <w:fldChar w:fldCharType="begin"/>
        </w:r>
        <w:r>
          <w:instrText>PAGE   \* MERGEFORMAT</w:instrText>
        </w:r>
        <w:r>
          <w:fldChar w:fldCharType="separate"/>
        </w:r>
        <w:r w:rsidR="001E4C67" w:rsidRPr="001E4C67">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2DC7" w14:textId="77777777" w:rsidR="001E4C67" w:rsidRDefault="001E4C67" w:rsidP="003C6172">
      <w:pPr>
        <w:spacing w:after="0" w:line="240" w:lineRule="auto"/>
      </w:pPr>
      <w:r>
        <w:separator/>
      </w:r>
    </w:p>
  </w:footnote>
  <w:footnote w:type="continuationSeparator" w:id="0">
    <w:p w14:paraId="48BA6B4D" w14:textId="77777777" w:rsidR="001E4C67" w:rsidRDefault="001E4C67" w:rsidP="003C6172">
      <w:pPr>
        <w:spacing w:after="0" w:line="240" w:lineRule="auto"/>
      </w:pPr>
      <w:r>
        <w:continuationSeparator/>
      </w:r>
    </w:p>
  </w:footnote>
  <w:footnote w:type="continuationNotice" w:id="1">
    <w:p w14:paraId="24198016" w14:textId="77777777" w:rsidR="001E4C67" w:rsidRDefault="001E4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CEF0" w14:textId="77777777" w:rsidR="00FC63EB" w:rsidRPr="00FD6F5F" w:rsidRDefault="00FC63EB"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5025C18"/>
    <w:multiLevelType w:val="hybridMultilevel"/>
    <w:tmpl w:val="B17437D6"/>
    <w:lvl w:ilvl="0" w:tplc="BF2EF9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C495C"/>
    <w:multiLevelType w:val="hybridMultilevel"/>
    <w:tmpl w:val="0596A578"/>
    <w:lvl w:ilvl="0" w:tplc="19924FB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3247E97"/>
    <w:multiLevelType w:val="hybridMultilevel"/>
    <w:tmpl w:val="AB78C642"/>
    <w:lvl w:ilvl="0" w:tplc="73DC1E1E">
      <w:start w:val="1"/>
      <w:numFmt w:val="upperRoman"/>
      <w:lvlText w:val="%1."/>
      <w:lvlJc w:val="right"/>
      <w:pPr>
        <w:ind w:left="1134" w:hanging="567"/>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955B6"/>
    <w:multiLevelType w:val="hybridMultilevel"/>
    <w:tmpl w:val="1F545D86"/>
    <w:lvl w:ilvl="0" w:tplc="0366A7F6">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E6B182D"/>
    <w:multiLevelType w:val="hybridMultilevel"/>
    <w:tmpl w:val="23B8AFE8"/>
    <w:lvl w:ilvl="0" w:tplc="07F48D0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8E59F8"/>
    <w:multiLevelType w:val="hybridMultilevel"/>
    <w:tmpl w:val="53708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4B4BFD"/>
    <w:multiLevelType w:val="hybridMultilevel"/>
    <w:tmpl w:val="3328D7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72581F"/>
    <w:multiLevelType w:val="hybridMultilevel"/>
    <w:tmpl w:val="48880346"/>
    <w:lvl w:ilvl="0" w:tplc="DC5C3C56">
      <w:start w:val="1"/>
      <w:numFmt w:val="upp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4" w15:restartNumberingAfterBreak="0">
    <w:nsid w:val="2FFF0F65"/>
    <w:multiLevelType w:val="hybridMultilevel"/>
    <w:tmpl w:val="AC3E3DAE"/>
    <w:lvl w:ilvl="0" w:tplc="FB405816">
      <w:start w:val="9"/>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32F646C7"/>
    <w:multiLevelType w:val="hybridMultilevel"/>
    <w:tmpl w:val="B0C89450"/>
    <w:lvl w:ilvl="0" w:tplc="BC6C07A8">
      <w:start w:val="17"/>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974BC6"/>
    <w:multiLevelType w:val="hybridMultilevel"/>
    <w:tmpl w:val="9754EDE0"/>
    <w:lvl w:ilvl="0" w:tplc="546E5EF6">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023153"/>
    <w:multiLevelType w:val="hybridMultilevel"/>
    <w:tmpl w:val="D11C99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70A06"/>
    <w:multiLevelType w:val="hybridMultilevel"/>
    <w:tmpl w:val="AE4E9556"/>
    <w:lvl w:ilvl="0" w:tplc="BF2EF9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AC015C"/>
    <w:multiLevelType w:val="hybridMultilevel"/>
    <w:tmpl w:val="8D5A58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CDB278A"/>
    <w:multiLevelType w:val="hybridMultilevel"/>
    <w:tmpl w:val="2620DC9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50F759CB"/>
    <w:multiLevelType w:val="multilevel"/>
    <w:tmpl w:val="AC801622"/>
    <w:lvl w:ilvl="0">
      <w:start w:val="1"/>
      <w:numFmt w:val="decimal"/>
      <w:lvlText w:val="%1."/>
      <w:lvlJc w:val="left"/>
      <w:pPr>
        <w:ind w:left="1080" w:hanging="720"/>
      </w:pPr>
      <w:rPr>
        <w:rFonts w:hint="default"/>
      </w:rPr>
    </w:lvl>
    <w:lvl w:ilvl="1">
      <w:start w:val="11"/>
      <w:numFmt w:val="decimal"/>
      <w:isLgl/>
      <w:lvlText w:val="%1.%2"/>
      <w:lvlJc w:val="left"/>
      <w:pPr>
        <w:ind w:left="1155" w:hanging="55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060" w:hanging="72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10" w:hanging="108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3760" w:hanging="1440"/>
      </w:pPr>
      <w:rPr>
        <w:rFonts w:hint="default"/>
      </w:rPr>
    </w:lvl>
  </w:abstractNum>
  <w:abstractNum w:abstractNumId="24" w15:restartNumberingAfterBreak="0">
    <w:nsid w:val="5C015CA2"/>
    <w:multiLevelType w:val="hybridMultilevel"/>
    <w:tmpl w:val="8F8C806E"/>
    <w:lvl w:ilvl="0" w:tplc="DBC0DA9E">
      <w:start w:val="1"/>
      <w:numFmt w:val="bullet"/>
      <w:lvlText w:val="-"/>
      <w:lvlJc w:val="left"/>
      <w:pPr>
        <w:ind w:left="1080" w:hanging="360"/>
      </w:pPr>
      <w:rPr>
        <w:rFonts w:ascii="ITC Avant Garde" w:eastAsia="Calibri" w:hAnsi="ITC Avant Garde" w:cs="Aria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44EEA"/>
    <w:multiLevelType w:val="multilevel"/>
    <w:tmpl w:val="7C30BCE0"/>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7" w15:restartNumberingAfterBreak="0">
    <w:nsid w:val="71510765"/>
    <w:multiLevelType w:val="hybridMultilevel"/>
    <w:tmpl w:val="0DF841B4"/>
    <w:lvl w:ilvl="0" w:tplc="D8CEEFD2">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9C69E0"/>
    <w:multiLevelType w:val="hybridMultilevel"/>
    <w:tmpl w:val="EB12B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7E3BD7"/>
    <w:multiLevelType w:val="hybridMultilevel"/>
    <w:tmpl w:val="D35CF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BA6AE1"/>
    <w:multiLevelType w:val="hybridMultilevel"/>
    <w:tmpl w:val="07B87E84"/>
    <w:lvl w:ilvl="0" w:tplc="FD6E04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8"/>
  </w:num>
  <w:num w:numId="5">
    <w:abstractNumId w:val="19"/>
  </w:num>
  <w:num w:numId="6">
    <w:abstractNumId w:val="6"/>
  </w:num>
  <w:num w:numId="7">
    <w:abstractNumId w:val="13"/>
  </w:num>
  <w:num w:numId="8">
    <w:abstractNumId w:val="25"/>
  </w:num>
  <w:num w:numId="9">
    <w:abstractNumId w:val="21"/>
  </w:num>
  <w:num w:numId="10">
    <w:abstractNumId w:val="23"/>
  </w:num>
  <w:num w:numId="11">
    <w:abstractNumId w:val="15"/>
  </w:num>
  <w:num w:numId="12">
    <w:abstractNumId w:val="3"/>
  </w:num>
  <w:num w:numId="13">
    <w:abstractNumId w:val="7"/>
  </w:num>
  <w:num w:numId="14">
    <w:abstractNumId w:val="16"/>
  </w:num>
  <w:num w:numId="15">
    <w:abstractNumId w:val="10"/>
  </w:num>
  <w:num w:numId="16">
    <w:abstractNumId w:val="30"/>
  </w:num>
  <w:num w:numId="17">
    <w:abstractNumId w:val="26"/>
  </w:num>
  <w:num w:numId="18">
    <w:abstractNumId w:val="22"/>
  </w:num>
  <w:num w:numId="19">
    <w:abstractNumId w:val="24"/>
  </w:num>
  <w:num w:numId="20">
    <w:abstractNumId w:val="17"/>
  </w:num>
  <w:num w:numId="21">
    <w:abstractNumId w:val="18"/>
  </w:num>
  <w:num w:numId="22">
    <w:abstractNumId w:val="2"/>
  </w:num>
  <w:num w:numId="23">
    <w:abstractNumId w:val="12"/>
  </w:num>
  <w:num w:numId="24">
    <w:abstractNumId w:val="9"/>
  </w:num>
  <w:num w:numId="25">
    <w:abstractNumId w:val="29"/>
  </w:num>
  <w:num w:numId="26">
    <w:abstractNumId w:val="5"/>
  </w:num>
  <w:num w:numId="27">
    <w:abstractNumId w:val="14"/>
  </w:num>
  <w:num w:numId="28">
    <w:abstractNumId w:val="27"/>
  </w:num>
  <w:num w:numId="29">
    <w:abstractNumId w:val="11"/>
  </w:num>
  <w:num w:numId="30">
    <w:abstractNumId w:val="28"/>
  </w:num>
  <w:num w:numId="3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1E14"/>
    <w:rsid w:val="00004E98"/>
    <w:rsid w:val="000056FC"/>
    <w:rsid w:val="00005E3D"/>
    <w:rsid w:val="00007C69"/>
    <w:rsid w:val="00011374"/>
    <w:rsid w:val="0001177D"/>
    <w:rsid w:val="00012F9A"/>
    <w:rsid w:val="00013675"/>
    <w:rsid w:val="00014B39"/>
    <w:rsid w:val="000164CB"/>
    <w:rsid w:val="00016DF3"/>
    <w:rsid w:val="00017A43"/>
    <w:rsid w:val="00021D46"/>
    <w:rsid w:val="00025921"/>
    <w:rsid w:val="00025D89"/>
    <w:rsid w:val="00030012"/>
    <w:rsid w:val="00030DD9"/>
    <w:rsid w:val="0003128C"/>
    <w:rsid w:val="000318C3"/>
    <w:rsid w:val="00033AFD"/>
    <w:rsid w:val="00035201"/>
    <w:rsid w:val="00035F53"/>
    <w:rsid w:val="0003714D"/>
    <w:rsid w:val="00040C69"/>
    <w:rsid w:val="0004267F"/>
    <w:rsid w:val="00042B70"/>
    <w:rsid w:val="00043A7C"/>
    <w:rsid w:val="000455F4"/>
    <w:rsid w:val="000459FA"/>
    <w:rsid w:val="00045A6C"/>
    <w:rsid w:val="000466BB"/>
    <w:rsid w:val="000474FC"/>
    <w:rsid w:val="00050902"/>
    <w:rsid w:val="00050F2F"/>
    <w:rsid w:val="000524C6"/>
    <w:rsid w:val="0005524C"/>
    <w:rsid w:val="00057B29"/>
    <w:rsid w:val="00057B5C"/>
    <w:rsid w:val="0006054F"/>
    <w:rsid w:val="000606B4"/>
    <w:rsid w:val="0006115B"/>
    <w:rsid w:val="00062C62"/>
    <w:rsid w:val="00064D98"/>
    <w:rsid w:val="00064EE6"/>
    <w:rsid w:val="00066589"/>
    <w:rsid w:val="00066A52"/>
    <w:rsid w:val="000703E1"/>
    <w:rsid w:val="000708E6"/>
    <w:rsid w:val="000717ED"/>
    <w:rsid w:val="000721ED"/>
    <w:rsid w:val="00072505"/>
    <w:rsid w:val="00073654"/>
    <w:rsid w:val="00075AB9"/>
    <w:rsid w:val="000774F6"/>
    <w:rsid w:val="00077AA6"/>
    <w:rsid w:val="00077F62"/>
    <w:rsid w:val="000809B1"/>
    <w:rsid w:val="00082955"/>
    <w:rsid w:val="00084741"/>
    <w:rsid w:val="0008655F"/>
    <w:rsid w:val="00092643"/>
    <w:rsid w:val="00093FE8"/>
    <w:rsid w:val="00094348"/>
    <w:rsid w:val="00094B13"/>
    <w:rsid w:val="000979CE"/>
    <w:rsid w:val="000A0E4D"/>
    <w:rsid w:val="000A2AC3"/>
    <w:rsid w:val="000A392B"/>
    <w:rsid w:val="000A4770"/>
    <w:rsid w:val="000A59A7"/>
    <w:rsid w:val="000A744D"/>
    <w:rsid w:val="000A7C0A"/>
    <w:rsid w:val="000B0F9F"/>
    <w:rsid w:val="000B2BF0"/>
    <w:rsid w:val="000B2F3C"/>
    <w:rsid w:val="000B3373"/>
    <w:rsid w:val="000C0B39"/>
    <w:rsid w:val="000C21E9"/>
    <w:rsid w:val="000C2333"/>
    <w:rsid w:val="000C49E3"/>
    <w:rsid w:val="000C4FF1"/>
    <w:rsid w:val="000C6B1B"/>
    <w:rsid w:val="000C6C0D"/>
    <w:rsid w:val="000C7813"/>
    <w:rsid w:val="000C7D84"/>
    <w:rsid w:val="000D137F"/>
    <w:rsid w:val="000D3E75"/>
    <w:rsid w:val="000D6252"/>
    <w:rsid w:val="000E00D4"/>
    <w:rsid w:val="000E07F7"/>
    <w:rsid w:val="000E3160"/>
    <w:rsid w:val="000E7A23"/>
    <w:rsid w:val="000F08B8"/>
    <w:rsid w:val="000F1744"/>
    <w:rsid w:val="000F34B4"/>
    <w:rsid w:val="000F44F2"/>
    <w:rsid w:val="000F4CB9"/>
    <w:rsid w:val="000F5D76"/>
    <w:rsid w:val="0010011E"/>
    <w:rsid w:val="00101199"/>
    <w:rsid w:val="0010257A"/>
    <w:rsid w:val="00103F80"/>
    <w:rsid w:val="001042DF"/>
    <w:rsid w:val="001122ED"/>
    <w:rsid w:val="00112C83"/>
    <w:rsid w:val="0011334D"/>
    <w:rsid w:val="00113B00"/>
    <w:rsid w:val="00114B2A"/>
    <w:rsid w:val="00115749"/>
    <w:rsid w:val="0011678E"/>
    <w:rsid w:val="001167C4"/>
    <w:rsid w:val="001178BC"/>
    <w:rsid w:val="00120164"/>
    <w:rsid w:val="0012213D"/>
    <w:rsid w:val="001226FC"/>
    <w:rsid w:val="001241DB"/>
    <w:rsid w:val="001246EF"/>
    <w:rsid w:val="00126AAC"/>
    <w:rsid w:val="0012797F"/>
    <w:rsid w:val="00130F9C"/>
    <w:rsid w:val="00131DDE"/>
    <w:rsid w:val="0013223C"/>
    <w:rsid w:val="0013240E"/>
    <w:rsid w:val="0013763A"/>
    <w:rsid w:val="00137ACA"/>
    <w:rsid w:val="00137ED3"/>
    <w:rsid w:val="00140483"/>
    <w:rsid w:val="001438D2"/>
    <w:rsid w:val="00143AB7"/>
    <w:rsid w:val="00145144"/>
    <w:rsid w:val="001451F8"/>
    <w:rsid w:val="00145268"/>
    <w:rsid w:val="00150628"/>
    <w:rsid w:val="001537A7"/>
    <w:rsid w:val="001538E5"/>
    <w:rsid w:val="00154D3B"/>
    <w:rsid w:val="00157B25"/>
    <w:rsid w:val="00157D64"/>
    <w:rsid w:val="00160FCD"/>
    <w:rsid w:val="001610B9"/>
    <w:rsid w:val="00161AC2"/>
    <w:rsid w:val="00163B82"/>
    <w:rsid w:val="00165F67"/>
    <w:rsid w:val="00166905"/>
    <w:rsid w:val="00166C6E"/>
    <w:rsid w:val="00166F41"/>
    <w:rsid w:val="0017023A"/>
    <w:rsid w:val="00171AC0"/>
    <w:rsid w:val="001726EE"/>
    <w:rsid w:val="001735AA"/>
    <w:rsid w:val="001748FD"/>
    <w:rsid w:val="0017547F"/>
    <w:rsid w:val="00176438"/>
    <w:rsid w:val="00177636"/>
    <w:rsid w:val="00181E5E"/>
    <w:rsid w:val="0018207D"/>
    <w:rsid w:val="001820C8"/>
    <w:rsid w:val="00182F0F"/>
    <w:rsid w:val="00183149"/>
    <w:rsid w:val="00184807"/>
    <w:rsid w:val="00186A11"/>
    <w:rsid w:val="0018760D"/>
    <w:rsid w:val="00187F10"/>
    <w:rsid w:val="00193324"/>
    <w:rsid w:val="001944EE"/>
    <w:rsid w:val="00194ED8"/>
    <w:rsid w:val="00197B95"/>
    <w:rsid w:val="001A0249"/>
    <w:rsid w:val="001A096F"/>
    <w:rsid w:val="001A0DC4"/>
    <w:rsid w:val="001A1F90"/>
    <w:rsid w:val="001A42F1"/>
    <w:rsid w:val="001A4A59"/>
    <w:rsid w:val="001A5353"/>
    <w:rsid w:val="001A6A44"/>
    <w:rsid w:val="001A78FD"/>
    <w:rsid w:val="001B0607"/>
    <w:rsid w:val="001B3DC7"/>
    <w:rsid w:val="001B4446"/>
    <w:rsid w:val="001B4D64"/>
    <w:rsid w:val="001B5FDD"/>
    <w:rsid w:val="001B61BB"/>
    <w:rsid w:val="001B6EB0"/>
    <w:rsid w:val="001B7A6E"/>
    <w:rsid w:val="001C0022"/>
    <w:rsid w:val="001C05BC"/>
    <w:rsid w:val="001C0946"/>
    <w:rsid w:val="001C0A8F"/>
    <w:rsid w:val="001C12FC"/>
    <w:rsid w:val="001C1315"/>
    <w:rsid w:val="001C2AA9"/>
    <w:rsid w:val="001C47EF"/>
    <w:rsid w:val="001C49F8"/>
    <w:rsid w:val="001C54DD"/>
    <w:rsid w:val="001C5753"/>
    <w:rsid w:val="001C5876"/>
    <w:rsid w:val="001C6BE6"/>
    <w:rsid w:val="001C6FC1"/>
    <w:rsid w:val="001D3F75"/>
    <w:rsid w:val="001D72F2"/>
    <w:rsid w:val="001D7C61"/>
    <w:rsid w:val="001E0D16"/>
    <w:rsid w:val="001E3327"/>
    <w:rsid w:val="001E35A0"/>
    <w:rsid w:val="001E4098"/>
    <w:rsid w:val="001E42C6"/>
    <w:rsid w:val="001E4C67"/>
    <w:rsid w:val="001F06DC"/>
    <w:rsid w:val="001F0BA5"/>
    <w:rsid w:val="001F37C4"/>
    <w:rsid w:val="001F57FB"/>
    <w:rsid w:val="001F77DB"/>
    <w:rsid w:val="00200A76"/>
    <w:rsid w:val="00201BDE"/>
    <w:rsid w:val="00202E94"/>
    <w:rsid w:val="002043E0"/>
    <w:rsid w:val="00205843"/>
    <w:rsid w:val="002061B5"/>
    <w:rsid w:val="0021002D"/>
    <w:rsid w:val="00210F78"/>
    <w:rsid w:val="00213E01"/>
    <w:rsid w:val="00217218"/>
    <w:rsid w:val="0022058F"/>
    <w:rsid w:val="002211DC"/>
    <w:rsid w:val="002222A7"/>
    <w:rsid w:val="00222572"/>
    <w:rsid w:val="002234E3"/>
    <w:rsid w:val="00224159"/>
    <w:rsid w:val="00227FDB"/>
    <w:rsid w:val="002315AC"/>
    <w:rsid w:val="00231B56"/>
    <w:rsid w:val="00233139"/>
    <w:rsid w:val="00235F54"/>
    <w:rsid w:val="00237A2C"/>
    <w:rsid w:val="00240C9C"/>
    <w:rsid w:val="0024251D"/>
    <w:rsid w:val="00245939"/>
    <w:rsid w:val="00250C3D"/>
    <w:rsid w:val="00251212"/>
    <w:rsid w:val="00252425"/>
    <w:rsid w:val="0025274D"/>
    <w:rsid w:val="00253DC7"/>
    <w:rsid w:val="002549FC"/>
    <w:rsid w:val="00257057"/>
    <w:rsid w:val="0025753D"/>
    <w:rsid w:val="00261D11"/>
    <w:rsid w:val="00261F43"/>
    <w:rsid w:val="00263060"/>
    <w:rsid w:val="002640AC"/>
    <w:rsid w:val="0026545D"/>
    <w:rsid w:val="00265ABD"/>
    <w:rsid w:val="00265B26"/>
    <w:rsid w:val="002662FB"/>
    <w:rsid w:val="00266C8E"/>
    <w:rsid w:val="00266D6A"/>
    <w:rsid w:val="00266DEE"/>
    <w:rsid w:val="00266FA3"/>
    <w:rsid w:val="002678EB"/>
    <w:rsid w:val="00270092"/>
    <w:rsid w:val="002712DD"/>
    <w:rsid w:val="00271D19"/>
    <w:rsid w:val="00273C1F"/>
    <w:rsid w:val="00273C56"/>
    <w:rsid w:val="00274AE2"/>
    <w:rsid w:val="00274DA3"/>
    <w:rsid w:val="002750D4"/>
    <w:rsid w:val="002765F0"/>
    <w:rsid w:val="00276C41"/>
    <w:rsid w:val="00276C6E"/>
    <w:rsid w:val="00276E91"/>
    <w:rsid w:val="002800BD"/>
    <w:rsid w:val="00282365"/>
    <w:rsid w:val="00282B1C"/>
    <w:rsid w:val="00284517"/>
    <w:rsid w:val="0029238A"/>
    <w:rsid w:val="0029355D"/>
    <w:rsid w:val="002938A6"/>
    <w:rsid w:val="00294667"/>
    <w:rsid w:val="00296088"/>
    <w:rsid w:val="002966F9"/>
    <w:rsid w:val="00296EF6"/>
    <w:rsid w:val="002972DD"/>
    <w:rsid w:val="002A028E"/>
    <w:rsid w:val="002A0EF5"/>
    <w:rsid w:val="002A1FA3"/>
    <w:rsid w:val="002A2171"/>
    <w:rsid w:val="002A2A20"/>
    <w:rsid w:val="002A570F"/>
    <w:rsid w:val="002A69EB"/>
    <w:rsid w:val="002B14D2"/>
    <w:rsid w:val="002B2056"/>
    <w:rsid w:val="002B258A"/>
    <w:rsid w:val="002B53BC"/>
    <w:rsid w:val="002B56EE"/>
    <w:rsid w:val="002B61FA"/>
    <w:rsid w:val="002C1549"/>
    <w:rsid w:val="002C2016"/>
    <w:rsid w:val="002C5826"/>
    <w:rsid w:val="002C5F6E"/>
    <w:rsid w:val="002C7B2A"/>
    <w:rsid w:val="002D092A"/>
    <w:rsid w:val="002D0B3E"/>
    <w:rsid w:val="002D0D81"/>
    <w:rsid w:val="002D18F6"/>
    <w:rsid w:val="002D4050"/>
    <w:rsid w:val="002D4935"/>
    <w:rsid w:val="002D4F88"/>
    <w:rsid w:val="002D5AAC"/>
    <w:rsid w:val="002D74CC"/>
    <w:rsid w:val="002D7683"/>
    <w:rsid w:val="002E2507"/>
    <w:rsid w:val="002E2EE9"/>
    <w:rsid w:val="002E5CEF"/>
    <w:rsid w:val="002E6322"/>
    <w:rsid w:val="002E7936"/>
    <w:rsid w:val="002F084D"/>
    <w:rsid w:val="002F1ED4"/>
    <w:rsid w:val="002F1F37"/>
    <w:rsid w:val="002F24A5"/>
    <w:rsid w:val="002F367A"/>
    <w:rsid w:val="002F4E92"/>
    <w:rsid w:val="002F6530"/>
    <w:rsid w:val="002F7BCA"/>
    <w:rsid w:val="0030180E"/>
    <w:rsid w:val="003027D0"/>
    <w:rsid w:val="0030518E"/>
    <w:rsid w:val="00307792"/>
    <w:rsid w:val="003110D4"/>
    <w:rsid w:val="00311803"/>
    <w:rsid w:val="003122D5"/>
    <w:rsid w:val="003136A0"/>
    <w:rsid w:val="00313EB7"/>
    <w:rsid w:val="00314973"/>
    <w:rsid w:val="00317994"/>
    <w:rsid w:val="00320F3B"/>
    <w:rsid w:val="003226EB"/>
    <w:rsid w:val="00323CBE"/>
    <w:rsid w:val="003242AE"/>
    <w:rsid w:val="00324B8A"/>
    <w:rsid w:val="00327B18"/>
    <w:rsid w:val="00330717"/>
    <w:rsid w:val="00332DFC"/>
    <w:rsid w:val="00332E22"/>
    <w:rsid w:val="0033323C"/>
    <w:rsid w:val="00333935"/>
    <w:rsid w:val="00333F88"/>
    <w:rsid w:val="00335961"/>
    <w:rsid w:val="00336042"/>
    <w:rsid w:val="00337289"/>
    <w:rsid w:val="00337756"/>
    <w:rsid w:val="0033789D"/>
    <w:rsid w:val="00342D97"/>
    <w:rsid w:val="00342E7C"/>
    <w:rsid w:val="00343F42"/>
    <w:rsid w:val="00344071"/>
    <w:rsid w:val="003442D2"/>
    <w:rsid w:val="00347686"/>
    <w:rsid w:val="00350098"/>
    <w:rsid w:val="00351B6F"/>
    <w:rsid w:val="00354834"/>
    <w:rsid w:val="00355028"/>
    <w:rsid w:val="00355284"/>
    <w:rsid w:val="00356232"/>
    <w:rsid w:val="00356377"/>
    <w:rsid w:val="0035691F"/>
    <w:rsid w:val="00356CC9"/>
    <w:rsid w:val="0035710A"/>
    <w:rsid w:val="00361F30"/>
    <w:rsid w:val="00363744"/>
    <w:rsid w:val="00363A2A"/>
    <w:rsid w:val="0036402A"/>
    <w:rsid w:val="00364258"/>
    <w:rsid w:val="00365395"/>
    <w:rsid w:val="0036737C"/>
    <w:rsid w:val="00367404"/>
    <w:rsid w:val="00371888"/>
    <w:rsid w:val="00372B67"/>
    <w:rsid w:val="00372BF7"/>
    <w:rsid w:val="00372E2A"/>
    <w:rsid w:val="00374205"/>
    <w:rsid w:val="00375395"/>
    <w:rsid w:val="003754A8"/>
    <w:rsid w:val="003756C8"/>
    <w:rsid w:val="0038108B"/>
    <w:rsid w:val="00381E23"/>
    <w:rsid w:val="003832B8"/>
    <w:rsid w:val="00383FFA"/>
    <w:rsid w:val="0038482A"/>
    <w:rsid w:val="00386C98"/>
    <w:rsid w:val="00387DBC"/>
    <w:rsid w:val="0039122B"/>
    <w:rsid w:val="00391310"/>
    <w:rsid w:val="00391623"/>
    <w:rsid w:val="0039281E"/>
    <w:rsid w:val="003934A0"/>
    <w:rsid w:val="00394E69"/>
    <w:rsid w:val="00397782"/>
    <w:rsid w:val="003A2843"/>
    <w:rsid w:val="003A3073"/>
    <w:rsid w:val="003A49B6"/>
    <w:rsid w:val="003A4B20"/>
    <w:rsid w:val="003A5D6B"/>
    <w:rsid w:val="003A6427"/>
    <w:rsid w:val="003A66EA"/>
    <w:rsid w:val="003A6E79"/>
    <w:rsid w:val="003A745F"/>
    <w:rsid w:val="003B13F8"/>
    <w:rsid w:val="003B1AD2"/>
    <w:rsid w:val="003B4EFA"/>
    <w:rsid w:val="003B4F10"/>
    <w:rsid w:val="003B5645"/>
    <w:rsid w:val="003B6396"/>
    <w:rsid w:val="003B63AE"/>
    <w:rsid w:val="003B7BDF"/>
    <w:rsid w:val="003C04EC"/>
    <w:rsid w:val="003C1F76"/>
    <w:rsid w:val="003C304F"/>
    <w:rsid w:val="003C6172"/>
    <w:rsid w:val="003D05E2"/>
    <w:rsid w:val="003D2CB9"/>
    <w:rsid w:val="003D521E"/>
    <w:rsid w:val="003D68C6"/>
    <w:rsid w:val="003E397A"/>
    <w:rsid w:val="003E3A99"/>
    <w:rsid w:val="003E3C3E"/>
    <w:rsid w:val="003E3EFD"/>
    <w:rsid w:val="003E4F87"/>
    <w:rsid w:val="003E51A3"/>
    <w:rsid w:val="003E6246"/>
    <w:rsid w:val="003E74AF"/>
    <w:rsid w:val="003F2680"/>
    <w:rsid w:val="003F2EF7"/>
    <w:rsid w:val="003F51D3"/>
    <w:rsid w:val="003F544E"/>
    <w:rsid w:val="003F5875"/>
    <w:rsid w:val="003F5FF4"/>
    <w:rsid w:val="003F62BB"/>
    <w:rsid w:val="00400098"/>
    <w:rsid w:val="004005AA"/>
    <w:rsid w:val="00402EB0"/>
    <w:rsid w:val="00404BD5"/>
    <w:rsid w:val="00404CFC"/>
    <w:rsid w:val="00405B6A"/>
    <w:rsid w:val="00406C93"/>
    <w:rsid w:val="004077A1"/>
    <w:rsid w:val="0041134F"/>
    <w:rsid w:val="00411635"/>
    <w:rsid w:val="0041250B"/>
    <w:rsid w:val="004125B6"/>
    <w:rsid w:val="0041413B"/>
    <w:rsid w:val="00414199"/>
    <w:rsid w:val="00414DBD"/>
    <w:rsid w:val="00415130"/>
    <w:rsid w:val="00415243"/>
    <w:rsid w:val="00415A2B"/>
    <w:rsid w:val="004160D8"/>
    <w:rsid w:val="00417405"/>
    <w:rsid w:val="00417CB6"/>
    <w:rsid w:val="004203F7"/>
    <w:rsid w:val="00420B97"/>
    <w:rsid w:val="00422108"/>
    <w:rsid w:val="0042328E"/>
    <w:rsid w:val="00423489"/>
    <w:rsid w:val="00423E7F"/>
    <w:rsid w:val="004244F2"/>
    <w:rsid w:val="004251A9"/>
    <w:rsid w:val="00425C8F"/>
    <w:rsid w:val="00430F1F"/>
    <w:rsid w:val="00432706"/>
    <w:rsid w:val="0043403A"/>
    <w:rsid w:val="004347CD"/>
    <w:rsid w:val="0043498B"/>
    <w:rsid w:val="00435CB8"/>
    <w:rsid w:val="00436AEE"/>
    <w:rsid w:val="00437703"/>
    <w:rsid w:val="00440717"/>
    <w:rsid w:val="00444DA5"/>
    <w:rsid w:val="004457BE"/>
    <w:rsid w:val="00447110"/>
    <w:rsid w:val="004511F9"/>
    <w:rsid w:val="004537A3"/>
    <w:rsid w:val="00453F3C"/>
    <w:rsid w:val="004544D0"/>
    <w:rsid w:val="00456296"/>
    <w:rsid w:val="00457F76"/>
    <w:rsid w:val="004630CC"/>
    <w:rsid w:val="004634D6"/>
    <w:rsid w:val="004635A0"/>
    <w:rsid w:val="00472070"/>
    <w:rsid w:val="00472109"/>
    <w:rsid w:val="004727D7"/>
    <w:rsid w:val="00472BAF"/>
    <w:rsid w:val="004735C5"/>
    <w:rsid w:val="00473CAC"/>
    <w:rsid w:val="00473E02"/>
    <w:rsid w:val="00475B37"/>
    <w:rsid w:val="004803DB"/>
    <w:rsid w:val="00480565"/>
    <w:rsid w:val="00482D9A"/>
    <w:rsid w:val="00485E26"/>
    <w:rsid w:val="00486181"/>
    <w:rsid w:val="00486AAD"/>
    <w:rsid w:val="00491F91"/>
    <w:rsid w:val="00493D87"/>
    <w:rsid w:val="004955CB"/>
    <w:rsid w:val="00495BBE"/>
    <w:rsid w:val="00496224"/>
    <w:rsid w:val="00496AA4"/>
    <w:rsid w:val="00496AB3"/>
    <w:rsid w:val="004A0261"/>
    <w:rsid w:val="004A0591"/>
    <w:rsid w:val="004A0684"/>
    <w:rsid w:val="004A4A39"/>
    <w:rsid w:val="004A4DD7"/>
    <w:rsid w:val="004A62D1"/>
    <w:rsid w:val="004A62FC"/>
    <w:rsid w:val="004A69CB"/>
    <w:rsid w:val="004A78B8"/>
    <w:rsid w:val="004B1994"/>
    <w:rsid w:val="004B3D61"/>
    <w:rsid w:val="004B3FBE"/>
    <w:rsid w:val="004B6FC9"/>
    <w:rsid w:val="004C0023"/>
    <w:rsid w:val="004C0A30"/>
    <w:rsid w:val="004C143A"/>
    <w:rsid w:val="004C228B"/>
    <w:rsid w:val="004C3635"/>
    <w:rsid w:val="004C3DB8"/>
    <w:rsid w:val="004C5EF2"/>
    <w:rsid w:val="004C7191"/>
    <w:rsid w:val="004C73E5"/>
    <w:rsid w:val="004C749C"/>
    <w:rsid w:val="004C7606"/>
    <w:rsid w:val="004D110C"/>
    <w:rsid w:val="004D3402"/>
    <w:rsid w:val="004D35C9"/>
    <w:rsid w:val="004D3F42"/>
    <w:rsid w:val="004D4129"/>
    <w:rsid w:val="004D6425"/>
    <w:rsid w:val="004E0BD2"/>
    <w:rsid w:val="004E17BB"/>
    <w:rsid w:val="004E19F3"/>
    <w:rsid w:val="004E2604"/>
    <w:rsid w:val="004E28DE"/>
    <w:rsid w:val="004E3222"/>
    <w:rsid w:val="004E3839"/>
    <w:rsid w:val="004E5D44"/>
    <w:rsid w:val="004E6780"/>
    <w:rsid w:val="004F1639"/>
    <w:rsid w:val="004F1793"/>
    <w:rsid w:val="004F1823"/>
    <w:rsid w:val="004F1D23"/>
    <w:rsid w:val="004F2277"/>
    <w:rsid w:val="004F2DF6"/>
    <w:rsid w:val="004F4F75"/>
    <w:rsid w:val="004F55E9"/>
    <w:rsid w:val="004F64B4"/>
    <w:rsid w:val="00500212"/>
    <w:rsid w:val="00500519"/>
    <w:rsid w:val="005013F3"/>
    <w:rsid w:val="005056FC"/>
    <w:rsid w:val="00506345"/>
    <w:rsid w:val="00511829"/>
    <w:rsid w:val="0051361D"/>
    <w:rsid w:val="00513D41"/>
    <w:rsid w:val="00513E19"/>
    <w:rsid w:val="00513E42"/>
    <w:rsid w:val="00514DD9"/>
    <w:rsid w:val="005155E8"/>
    <w:rsid w:val="00515DE2"/>
    <w:rsid w:val="0051672C"/>
    <w:rsid w:val="00517391"/>
    <w:rsid w:val="00520A74"/>
    <w:rsid w:val="005228A6"/>
    <w:rsid w:val="00523476"/>
    <w:rsid w:val="00523B52"/>
    <w:rsid w:val="00524117"/>
    <w:rsid w:val="0052799C"/>
    <w:rsid w:val="0053181C"/>
    <w:rsid w:val="00533764"/>
    <w:rsid w:val="005366B7"/>
    <w:rsid w:val="00536F62"/>
    <w:rsid w:val="00541B80"/>
    <w:rsid w:val="0054254E"/>
    <w:rsid w:val="00544386"/>
    <w:rsid w:val="005446DB"/>
    <w:rsid w:val="005463D0"/>
    <w:rsid w:val="00551D29"/>
    <w:rsid w:val="00551D43"/>
    <w:rsid w:val="00553458"/>
    <w:rsid w:val="00553503"/>
    <w:rsid w:val="0055595A"/>
    <w:rsid w:val="00556D53"/>
    <w:rsid w:val="00556DFE"/>
    <w:rsid w:val="0055777D"/>
    <w:rsid w:val="00557C1C"/>
    <w:rsid w:val="00557D87"/>
    <w:rsid w:val="00560BAE"/>
    <w:rsid w:val="005655EE"/>
    <w:rsid w:val="00565A3C"/>
    <w:rsid w:val="00567249"/>
    <w:rsid w:val="00572001"/>
    <w:rsid w:val="005722CB"/>
    <w:rsid w:val="0057330A"/>
    <w:rsid w:val="00574C9A"/>
    <w:rsid w:val="00574DE8"/>
    <w:rsid w:val="00576FB4"/>
    <w:rsid w:val="0058057E"/>
    <w:rsid w:val="005806BE"/>
    <w:rsid w:val="00581CE1"/>
    <w:rsid w:val="00582E9C"/>
    <w:rsid w:val="005839B3"/>
    <w:rsid w:val="00584946"/>
    <w:rsid w:val="00585431"/>
    <w:rsid w:val="00585E45"/>
    <w:rsid w:val="00586307"/>
    <w:rsid w:val="00587D27"/>
    <w:rsid w:val="00592F58"/>
    <w:rsid w:val="00595C90"/>
    <w:rsid w:val="005A06F7"/>
    <w:rsid w:val="005A07C1"/>
    <w:rsid w:val="005A0EF0"/>
    <w:rsid w:val="005A2D79"/>
    <w:rsid w:val="005A58F0"/>
    <w:rsid w:val="005A5979"/>
    <w:rsid w:val="005A5E82"/>
    <w:rsid w:val="005A7081"/>
    <w:rsid w:val="005B135C"/>
    <w:rsid w:val="005B24EB"/>
    <w:rsid w:val="005C291B"/>
    <w:rsid w:val="005C3F58"/>
    <w:rsid w:val="005C4F3F"/>
    <w:rsid w:val="005C513E"/>
    <w:rsid w:val="005C65AD"/>
    <w:rsid w:val="005D02B4"/>
    <w:rsid w:val="005D07A3"/>
    <w:rsid w:val="005D1ADC"/>
    <w:rsid w:val="005D225C"/>
    <w:rsid w:val="005D440A"/>
    <w:rsid w:val="005D45C8"/>
    <w:rsid w:val="005D6EEE"/>
    <w:rsid w:val="005E3B94"/>
    <w:rsid w:val="005F08DB"/>
    <w:rsid w:val="005F0D61"/>
    <w:rsid w:val="005F0E87"/>
    <w:rsid w:val="005F217A"/>
    <w:rsid w:val="005F3068"/>
    <w:rsid w:val="005F73F3"/>
    <w:rsid w:val="005F79F0"/>
    <w:rsid w:val="00600331"/>
    <w:rsid w:val="00602399"/>
    <w:rsid w:val="00603E8F"/>
    <w:rsid w:val="00604CD2"/>
    <w:rsid w:val="00607E5F"/>
    <w:rsid w:val="00610037"/>
    <w:rsid w:val="00610A85"/>
    <w:rsid w:val="00610E5C"/>
    <w:rsid w:val="00611FD8"/>
    <w:rsid w:val="00614C22"/>
    <w:rsid w:val="00616818"/>
    <w:rsid w:val="00616B98"/>
    <w:rsid w:val="00620036"/>
    <w:rsid w:val="00620ABE"/>
    <w:rsid w:val="00620C1C"/>
    <w:rsid w:val="00622D11"/>
    <w:rsid w:val="0062569F"/>
    <w:rsid w:val="00625D84"/>
    <w:rsid w:val="006302BD"/>
    <w:rsid w:val="006303EA"/>
    <w:rsid w:val="0063054D"/>
    <w:rsid w:val="00632C3B"/>
    <w:rsid w:val="006345DB"/>
    <w:rsid w:val="00634925"/>
    <w:rsid w:val="00635831"/>
    <w:rsid w:val="00636521"/>
    <w:rsid w:val="00636D57"/>
    <w:rsid w:val="00637652"/>
    <w:rsid w:val="00637B9E"/>
    <w:rsid w:val="00637CEA"/>
    <w:rsid w:val="0064046D"/>
    <w:rsid w:val="0064112D"/>
    <w:rsid w:val="00641CB9"/>
    <w:rsid w:val="00642265"/>
    <w:rsid w:val="00642F6E"/>
    <w:rsid w:val="00643405"/>
    <w:rsid w:val="006435B5"/>
    <w:rsid w:val="006436F3"/>
    <w:rsid w:val="00647B4E"/>
    <w:rsid w:val="00650772"/>
    <w:rsid w:val="00650C3B"/>
    <w:rsid w:val="006528FC"/>
    <w:rsid w:val="00653353"/>
    <w:rsid w:val="006534F4"/>
    <w:rsid w:val="00654BA9"/>
    <w:rsid w:val="006552AA"/>
    <w:rsid w:val="00655826"/>
    <w:rsid w:val="0065606D"/>
    <w:rsid w:val="00656AB9"/>
    <w:rsid w:val="00656E80"/>
    <w:rsid w:val="00657A72"/>
    <w:rsid w:val="0066009B"/>
    <w:rsid w:val="006626B7"/>
    <w:rsid w:val="006632AE"/>
    <w:rsid w:val="00670815"/>
    <w:rsid w:val="00670838"/>
    <w:rsid w:val="00670B01"/>
    <w:rsid w:val="0067121E"/>
    <w:rsid w:val="0067130B"/>
    <w:rsid w:val="0067149E"/>
    <w:rsid w:val="00671F39"/>
    <w:rsid w:val="00672149"/>
    <w:rsid w:val="006725F9"/>
    <w:rsid w:val="00672A2C"/>
    <w:rsid w:val="00677547"/>
    <w:rsid w:val="00677978"/>
    <w:rsid w:val="0068076C"/>
    <w:rsid w:val="00682B77"/>
    <w:rsid w:val="006839E0"/>
    <w:rsid w:val="0068491B"/>
    <w:rsid w:val="00685F22"/>
    <w:rsid w:val="00686395"/>
    <w:rsid w:val="00687312"/>
    <w:rsid w:val="0069021D"/>
    <w:rsid w:val="00690B0C"/>
    <w:rsid w:val="006911E5"/>
    <w:rsid w:val="00692774"/>
    <w:rsid w:val="0069434D"/>
    <w:rsid w:val="0069500B"/>
    <w:rsid w:val="00696783"/>
    <w:rsid w:val="00696966"/>
    <w:rsid w:val="006A1C1E"/>
    <w:rsid w:val="006A3B77"/>
    <w:rsid w:val="006A3FAB"/>
    <w:rsid w:val="006A5331"/>
    <w:rsid w:val="006A64D8"/>
    <w:rsid w:val="006B39E3"/>
    <w:rsid w:val="006B3C08"/>
    <w:rsid w:val="006B4487"/>
    <w:rsid w:val="006B48D2"/>
    <w:rsid w:val="006B51E1"/>
    <w:rsid w:val="006B5229"/>
    <w:rsid w:val="006B6CC5"/>
    <w:rsid w:val="006C03BB"/>
    <w:rsid w:val="006C1DDD"/>
    <w:rsid w:val="006C2924"/>
    <w:rsid w:val="006C364E"/>
    <w:rsid w:val="006C558C"/>
    <w:rsid w:val="006C5E5F"/>
    <w:rsid w:val="006C7103"/>
    <w:rsid w:val="006C718D"/>
    <w:rsid w:val="006D1D1F"/>
    <w:rsid w:val="006D4AE8"/>
    <w:rsid w:val="006D4EF0"/>
    <w:rsid w:val="006D5382"/>
    <w:rsid w:val="006D5613"/>
    <w:rsid w:val="006D757D"/>
    <w:rsid w:val="006D7C3C"/>
    <w:rsid w:val="006E1769"/>
    <w:rsid w:val="006E3221"/>
    <w:rsid w:val="006E3416"/>
    <w:rsid w:val="006E7727"/>
    <w:rsid w:val="006E7B3D"/>
    <w:rsid w:val="006F0DDC"/>
    <w:rsid w:val="006F33E0"/>
    <w:rsid w:val="006F358C"/>
    <w:rsid w:val="006F56C4"/>
    <w:rsid w:val="006F6B48"/>
    <w:rsid w:val="006F740C"/>
    <w:rsid w:val="0070208E"/>
    <w:rsid w:val="00703750"/>
    <w:rsid w:val="0070625E"/>
    <w:rsid w:val="0070692B"/>
    <w:rsid w:val="007077C7"/>
    <w:rsid w:val="00707DD2"/>
    <w:rsid w:val="00711130"/>
    <w:rsid w:val="007114F6"/>
    <w:rsid w:val="007126C0"/>
    <w:rsid w:val="00712E1E"/>
    <w:rsid w:val="00717A74"/>
    <w:rsid w:val="007224FA"/>
    <w:rsid w:val="00722F0D"/>
    <w:rsid w:val="007236F8"/>
    <w:rsid w:val="00723C4E"/>
    <w:rsid w:val="00725297"/>
    <w:rsid w:val="0072570D"/>
    <w:rsid w:val="0072745C"/>
    <w:rsid w:val="00730B43"/>
    <w:rsid w:val="007329DD"/>
    <w:rsid w:val="00733D25"/>
    <w:rsid w:val="007353E5"/>
    <w:rsid w:val="0074046F"/>
    <w:rsid w:val="00740540"/>
    <w:rsid w:val="00741FFC"/>
    <w:rsid w:val="00742BF5"/>
    <w:rsid w:val="00742EB4"/>
    <w:rsid w:val="007431AB"/>
    <w:rsid w:val="00743DCD"/>
    <w:rsid w:val="00744208"/>
    <w:rsid w:val="00744BF9"/>
    <w:rsid w:val="0074689D"/>
    <w:rsid w:val="00752327"/>
    <w:rsid w:val="00752378"/>
    <w:rsid w:val="007532AA"/>
    <w:rsid w:val="0075333F"/>
    <w:rsid w:val="00753400"/>
    <w:rsid w:val="00753AA0"/>
    <w:rsid w:val="00757C1B"/>
    <w:rsid w:val="00761CAB"/>
    <w:rsid w:val="00761EAE"/>
    <w:rsid w:val="00763051"/>
    <w:rsid w:val="00764C06"/>
    <w:rsid w:val="0076581D"/>
    <w:rsid w:val="007663AC"/>
    <w:rsid w:val="007663DE"/>
    <w:rsid w:val="00766668"/>
    <w:rsid w:val="007713C5"/>
    <w:rsid w:val="00772BA2"/>
    <w:rsid w:val="00772EDF"/>
    <w:rsid w:val="007753AE"/>
    <w:rsid w:val="007772B0"/>
    <w:rsid w:val="00780096"/>
    <w:rsid w:val="007803C3"/>
    <w:rsid w:val="007807B4"/>
    <w:rsid w:val="00780B5F"/>
    <w:rsid w:val="00780C2A"/>
    <w:rsid w:val="00780CD0"/>
    <w:rsid w:val="007810F8"/>
    <w:rsid w:val="00781C49"/>
    <w:rsid w:val="00782204"/>
    <w:rsid w:val="00782410"/>
    <w:rsid w:val="007858A7"/>
    <w:rsid w:val="007935F3"/>
    <w:rsid w:val="00793F88"/>
    <w:rsid w:val="007A0C81"/>
    <w:rsid w:val="007A291D"/>
    <w:rsid w:val="007A2BB9"/>
    <w:rsid w:val="007B138B"/>
    <w:rsid w:val="007B1D81"/>
    <w:rsid w:val="007B2DD1"/>
    <w:rsid w:val="007B533C"/>
    <w:rsid w:val="007B6BDE"/>
    <w:rsid w:val="007B7656"/>
    <w:rsid w:val="007B7CA4"/>
    <w:rsid w:val="007C0C23"/>
    <w:rsid w:val="007C324B"/>
    <w:rsid w:val="007C397F"/>
    <w:rsid w:val="007C705E"/>
    <w:rsid w:val="007C7D26"/>
    <w:rsid w:val="007D0D90"/>
    <w:rsid w:val="007D1957"/>
    <w:rsid w:val="007D2579"/>
    <w:rsid w:val="007D382C"/>
    <w:rsid w:val="007D697A"/>
    <w:rsid w:val="007D7E12"/>
    <w:rsid w:val="007E130C"/>
    <w:rsid w:val="007E2539"/>
    <w:rsid w:val="007E38A3"/>
    <w:rsid w:val="007E50D1"/>
    <w:rsid w:val="007E5B50"/>
    <w:rsid w:val="007E6A10"/>
    <w:rsid w:val="007E72BD"/>
    <w:rsid w:val="007E7A3C"/>
    <w:rsid w:val="007F1122"/>
    <w:rsid w:val="007F2502"/>
    <w:rsid w:val="007F2A33"/>
    <w:rsid w:val="007F3883"/>
    <w:rsid w:val="007F39E1"/>
    <w:rsid w:val="007F3ADA"/>
    <w:rsid w:val="007F3D26"/>
    <w:rsid w:val="007F6C1D"/>
    <w:rsid w:val="007F6F92"/>
    <w:rsid w:val="008034AB"/>
    <w:rsid w:val="00805793"/>
    <w:rsid w:val="00805AE8"/>
    <w:rsid w:val="0080772B"/>
    <w:rsid w:val="008116DA"/>
    <w:rsid w:val="00812832"/>
    <w:rsid w:val="00813050"/>
    <w:rsid w:val="00816737"/>
    <w:rsid w:val="00816925"/>
    <w:rsid w:val="00816D71"/>
    <w:rsid w:val="00817475"/>
    <w:rsid w:val="008175E8"/>
    <w:rsid w:val="008213D7"/>
    <w:rsid w:val="008222A9"/>
    <w:rsid w:val="008266A7"/>
    <w:rsid w:val="0082787C"/>
    <w:rsid w:val="00830B7D"/>
    <w:rsid w:val="0083441B"/>
    <w:rsid w:val="008359DD"/>
    <w:rsid w:val="008366CB"/>
    <w:rsid w:val="008405C5"/>
    <w:rsid w:val="0084114E"/>
    <w:rsid w:val="00842C36"/>
    <w:rsid w:val="0084492C"/>
    <w:rsid w:val="008472FF"/>
    <w:rsid w:val="00847F11"/>
    <w:rsid w:val="0085033B"/>
    <w:rsid w:val="008506E7"/>
    <w:rsid w:val="00850ECB"/>
    <w:rsid w:val="00851767"/>
    <w:rsid w:val="00851B71"/>
    <w:rsid w:val="00852647"/>
    <w:rsid w:val="00852FC1"/>
    <w:rsid w:val="00854518"/>
    <w:rsid w:val="00854F1D"/>
    <w:rsid w:val="00861DA1"/>
    <w:rsid w:val="00861F3B"/>
    <w:rsid w:val="0086269E"/>
    <w:rsid w:val="00863720"/>
    <w:rsid w:val="0086385E"/>
    <w:rsid w:val="008659AE"/>
    <w:rsid w:val="00866C53"/>
    <w:rsid w:val="008701A9"/>
    <w:rsid w:val="00870324"/>
    <w:rsid w:val="00871925"/>
    <w:rsid w:val="00871A12"/>
    <w:rsid w:val="008737D0"/>
    <w:rsid w:val="008745A0"/>
    <w:rsid w:val="00874992"/>
    <w:rsid w:val="00876B8D"/>
    <w:rsid w:val="008773DB"/>
    <w:rsid w:val="00877BC3"/>
    <w:rsid w:val="00880D6C"/>
    <w:rsid w:val="008811F2"/>
    <w:rsid w:val="0088307C"/>
    <w:rsid w:val="00886324"/>
    <w:rsid w:val="0088698F"/>
    <w:rsid w:val="00886B3B"/>
    <w:rsid w:val="0089056E"/>
    <w:rsid w:val="0089104A"/>
    <w:rsid w:val="008912DA"/>
    <w:rsid w:val="00892A1B"/>
    <w:rsid w:val="008958B5"/>
    <w:rsid w:val="008969D4"/>
    <w:rsid w:val="00896B81"/>
    <w:rsid w:val="00897994"/>
    <w:rsid w:val="008A14A4"/>
    <w:rsid w:val="008A23A2"/>
    <w:rsid w:val="008A3674"/>
    <w:rsid w:val="008A4A3F"/>
    <w:rsid w:val="008A4C86"/>
    <w:rsid w:val="008A515A"/>
    <w:rsid w:val="008A7699"/>
    <w:rsid w:val="008B03F7"/>
    <w:rsid w:val="008B1EDD"/>
    <w:rsid w:val="008B3F33"/>
    <w:rsid w:val="008B4A48"/>
    <w:rsid w:val="008B6A54"/>
    <w:rsid w:val="008B74FA"/>
    <w:rsid w:val="008C0457"/>
    <w:rsid w:val="008C107C"/>
    <w:rsid w:val="008C15FF"/>
    <w:rsid w:val="008C1867"/>
    <w:rsid w:val="008C386F"/>
    <w:rsid w:val="008C4621"/>
    <w:rsid w:val="008C59F4"/>
    <w:rsid w:val="008C5AAE"/>
    <w:rsid w:val="008C6A95"/>
    <w:rsid w:val="008C78CA"/>
    <w:rsid w:val="008D2750"/>
    <w:rsid w:val="008D2A2F"/>
    <w:rsid w:val="008D3B64"/>
    <w:rsid w:val="008D3D7E"/>
    <w:rsid w:val="008D3F8A"/>
    <w:rsid w:val="008D721B"/>
    <w:rsid w:val="008D723D"/>
    <w:rsid w:val="008E087D"/>
    <w:rsid w:val="008E0DD6"/>
    <w:rsid w:val="008E1FBD"/>
    <w:rsid w:val="008E296D"/>
    <w:rsid w:val="008E306F"/>
    <w:rsid w:val="008E3987"/>
    <w:rsid w:val="008E45F8"/>
    <w:rsid w:val="008E5165"/>
    <w:rsid w:val="008E75C9"/>
    <w:rsid w:val="008E7A89"/>
    <w:rsid w:val="008E7AE6"/>
    <w:rsid w:val="008F0058"/>
    <w:rsid w:val="008F0150"/>
    <w:rsid w:val="008F104C"/>
    <w:rsid w:val="008F41D1"/>
    <w:rsid w:val="008F43F3"/>
    <w:rsid w:val="008F4C6E"/>
    <w:rsid w:val="008F4FCF"/>
    <w:rsid w:val="008F5BAC"/>
    <w:rsid w:val="008F66F9"/>
    <w:rsid w:val="008F6FBD"/>
    <w:rsid w:val="008F777C"/>
    <w:rsid w:val="009017A6"/>
    <w:rsid w:val="00903A19"/>
    <w:rsid w:val="0090501A"/>
    <w:rsid w:val="00911298"/>
    <w:rsid w:val="00911B92"/>
    <w:rsid w:val="0091295E"/>
    <w:rsid w:val="009135B4"/>
    <w:rsid w:val="009148A2"/>
    <w:rsid w:val="00917514"/>
    <w:rsid w:val="00920D59"/>
    <w:rsid w:val="0092380C"/>
    <w:rsid w:val="009256D4"/>
    <w:rsid w:val="009258E7"/>
    <w:rsid w:val="00927C6A"/>
    <w:rsid w:val="0093182A"/>
    <w:rsid w:val="00931AF2"/>
    <w:rsid w:val="009325E6"/>
    <w:rsid w:val="00932E6C"/>
    <w:rsid w:val="00932FED"/>
    <w:rsid w:val="00933612"/>
    <w:rsid w:val="0093445A"/>
    <w:rsid w:val="00935D4B"/>
    <w:rsid w:val="00936300"/>
    <w:rsid w:val="00936A7C"/>
    <w:rsid w:val="00936AD5"/>
    <w:rsid w:val="00937017"/>
    <w:rsid w:val="00937C00"/>
    <w:rsid w:val="00943F9D"/>
    <w:rsid w:val="00945E96"/>
    <w:rsid w:val="00946DD7"/>
    <w:rsid w:val="009472D0"/>
    <w:rsid w:val="00951EE4"/>
    <w:rsid w:val="00952A8C"/>
    <w:rsid w:val="00952B60"/>
    <w:rsid w:val="00953B85"/>
    <w:rsid w:val="00954E58"/>
    <w:rsid w:val="00961542"/>
    <w:rsid w:val="00961903"/>
    <w:rsid w:val="00961CBF"/>
    <w:rsid w:val="00964315"/>
    <w:rsid w:val="00964C08"/>
    <w:rsid w:val="00965DF6"/>
    <w:rsid w:val="00970481"/>
    <w:rsid w:val="0097052A"/>
    <w:rsid w:val="0097064E"/>
    <w:rsid w:val="00970CCD"/>
    <w:rsid w:val="009710EE"/>
    <w:rsid w:val="0097437A"/>
    <w:rsid w:val="00975189"/>
    <w:rsid w:val="00976F27"/>
    <w:rsid w:val="009803EB"/>
    <w:rsid w:val="00982193"/>
    <w:rsid w:val="00983C74"/>
    <w:rsid w:val="00985537"/>
    <w:rsid w:val="009859CA"/>
    <w:rsid w:val="00987891"/>
    <w:rsid w:val="00991C96"/>
    <w:rsid w:val="00991D90"/>
    <w:rsid w:val="00994555"/>
    <w:rsid w:val="009962D7"/>
    <w:rsid w:val="009964B3"/>
    <w:rsid w:val="00996F5D"/>
    <w:rsid w:val="009A079A"/>
    <w:rsid w:val="009A10B5"/>
    <w:rsid w:val="009A5290"/>
    <w:rsid w:val="009A7698"/>
    <w:rsid w:val="009A77B7"/>
    <w:rsid w:val="009B0DA3"/>
    <w:rsid w:val="009B234A"/>
    <w:rsid w:val="009B28CD"/>
    <w:rsid w:val="009B3FBD"/>
    <w:rsid w:val="009B454B"/>
    <w:rsid w:val="009B5711"/>
    <w:rsid w:val="009B6E56"/>
    <w:rsid w:val="009C14F9"/>
    <w:rsid w:val="009C3F51"/>
    <w:rsid w:val="009C437D"/>
    <w:rsid w:val="009D1589"/>
    <w:rsid w:val="009D6BAF"/>
    <w:rsid w:val="009D6CD7"/>
    <w:rsid w:val="009D6EB2"/>
    <w:rsid w:val="009D75EF"/>
    <w:rsid w:val="009D7A9F"/>
    <w:rsid w:val="009E1AE7"/>
    <w:rsid w:val="009E4796"/>
    <w:rsid w:val="009E48D1"/>
    <w:rsid w:val="009E53C1"/>
    <w:rsid w:val="009E5591"/>
    <w:rsid w:val="009E676D"/>
    <w:rsid w:val="009E75CE"/>
    <w:rsid w:val="009E7860"/>
    <w:rsid w:val="009E7889"/>
    <w:rsid w:val="009F2E49"/>
    <w:rsid w:val="009F3C0C"/>
    <w:rsid w:val="009F4E52"/>
    <w:rsid w:val="009F6DB4"/>
    <w:rsid w:val="009F75E4"/>
    <w:rsid w:val="009F798F"/>
    <w:rsid w:val="00A00A4F"/>
    <w:rsid w:val="00A01142"/>
    <w:rsid w:val="00A01F5A"/>
    <w:rsid w:val="00A01FE4"/>
    <w:rsid w:val="00A02A1D"/>
    <w:rsid w:val="00A03254"/>
    <w:rsid w:val="00A0397A"/>
    <w:rsid w:val="00A0450C"/>
    <w:rsid w:val="00A06418"/>
    <w:rsid w:val="00A069CD"/>
    <w:rsid w:val="00A07629"/>
    <w:rsid w:val="00A0764E"/>
    <w:rsid w:val="00A079B6"/>
    <w:rsid w:val="00A07AFC"/>
    <w:rsid w:val="00A114D4"/>
    <w:rsid w:val="00A11AF9"/>
    <w:rsid w:val="00A11FE9"/>
    <w:rsid w:val="00A14682"/>
    <w:rsid w:val="00A15173"/>
    <w:rsid w:val="00A16328"/>
    <w:rsid w:val="00A20395"/>
    <w:rsid w:val="00A21B4F"/>
    <w:rsid w:val="00A22E6C"/>
    <w:rsid w:val="00A239F1"/>
    <w:rsid w:val="00A2453D"/>
    <w:rsid w:val="00A31828"/>
    <w:rsid w:val="00A31F2A"/>
    <w:rsid w:val="00A321F0"/>
    <w:rsid w:val="00A3227C"/>
    <w:rsid w:val="00A35A1F"/>
    <w:rsid w:val="00A363D3"/>
    <w:rsid w:val="00A365B0"/>
    <w:rsid w:val="00A36CBD"/>
    <w:rsid w:val="00A37939"/>
    <w:rsid w:val="00A40456"/>
    <w:rsid w:val="00A40576"/>
    <w:rsid w:val="00A406A5"/>
    <w:rsid w:val="00A418AD"/>
    <w:rsid w:val="00A429E6"/>
    <w:rsid w:val="00A42BF0"/>
    <w:rsid w:val="00A43C5D"/>
    <w:rsid w:val="00A443BB"/>
    <w:rsid w:val="00A4583C"/>
    <w:rsid w:val="00A465B1"/>
    <w:rsid w:val="00A465CE"/>
    <w:rsid w:val="00A46724"/>
    <w:rsid w:val="00A46A18"/>
    <w:rsid w:val="00A47C2E"/>
    <w:rsid w:val="00A50287"/>
    <w:rsid w:val="00A52EAF"/>
    <w:rsid w:val="00A57B75"/>
    <w:rsid w:val="00A605C5"/>
    <w:rsid w:val="00A64D68"/>
    <w:rsid w:val="00A651B1"/>
    <w:rsid w:val="00A66381"/>
    <w:rsid w:val="00A6743B"/>
    <w:rsid w:val="00A67B2A"/>
    <w:rsid w:val="00A705E9"/>
    <w:rsid w:val="00A724C9"/>
    <w:rsid w:val="00A726AA"/>
    <w:rsid w:val="00A72918"/>
    <w:rsid w:val="00A72BDD"/>
    <w:rsid w:val="00A73836"/>
    <w:rsid w:val="00A73CDD"/>
    <w:rsid w:val="00A73DB2"/>
    <w:rsid w:val="00A75587"/>
    <w:rsid w:val="00A75AF2"/>
    <w:rsid w:val="00A76038"/>
    <w:rsid w:val="00A7640C"/>
    <w:rsid w:val="00A8191D"/>
    <w:rsid w:val="00A82721"/>
    <w:rsid w:val="00A84B18"/>
    <w:rsid w:val="00A86529"/>
    <w:rsid w:val="00A879F9"/>
    <w:rsid w:val="00A87F8A"/>
    <w:rsid w:val="00A91214"/>
    <w:rsid w:val="00A91308"/>
    <w:rsid w:val="00A913C0"/>
    <w:rsid w:val="00A91ADF"/>
    <w:rsid w:val="00A921D4"/>
    <w:rsid w:val="00A92FE7"/>
    <w:rsid w:val="00A94AEC"/>
    <w:rsid w:val="00AA02E1"/>
    <w:rsid w:val="00AA045A"/>
    <w:rsid w:val="00AA062D"/>
    <w:rsid w:val="00AA2629"/>
    <w:rsid w:val="00AA7C68"/>
    <w:rsid w:val="00AB061A"/>
    <w:rsid w:val="00AB3012"/>
    <w:rsid w:val="00AB3D6F"/>
    <w:rsid w:val="00AB745D"/>
    <w:rsid w:val="00AC0936"/>
    <w:rsid w:val="00AC1318"/>
    <w:rsid w:val="00AC45B0"/>
    <w:rsid w:val="00AC4A09"/>
    <w:rsid w:val="00AC6407"/>
    <w:rsid w:val="00AD06B7"/>
    <w:rsid w:val="00AD2E01"/>
    <w:rsid w:val="00AD5A72"/>
    <w:rsid w:val="00AD7E0E"/>
    <w:rsid w:val="00AD7E1B"/>
    <w:rsid w:val="00AE01AD"/>
    <w:rsid w:val="00AE03D4"/>
    <w:rsid w:val="00AE0F00"/>
    <w:rsid w:val="00AE1407"/>
    <w:rsid w:val="00AE1783"/>
    <w:rsid w:val="00AE2A75"/>
    <w:rsid w:val="00AE3316"/>
    <w:rsid w:val="00AE5562"/>
    <w:rsid w:val="00AE57D0"/>
    <w:rsid w:val="00AE66BC"/>
    <w:rsid w:val="00AE6796"/>
    <w:rsid w:val="00AE77F9"/>
    <w:rsid w:val="00AE7FCE"/>
    <w:rsid w:val="00AF1E0E"/>
    <w:rsid w:val="00AF1EA6"/>
    <w:rsid w:val="00AF23C9"/>
    <w:rsid w:val="00AF3408"/>
    <w:rsid w:val="00AF3C4D"/>
    <w:rsid w:val="00AF57D5"/>
    <w:rsid w:val="00AF5EA9"/>
    <w:rsid w:val="00AF61BB"/>
    <w:rsid w:val="00AF728E"/>
    <w:rsid w:val="00B001F8"/>
    <w:rsid w:val="00B00BDF"/>
    <w:rsid w:val="00B00FC2"/>
    <w:rsid w:val="00B0121D"/>
    <w:rsid w:val="00B02122"/>
    <w:rsid w:val="00B02595"/>
    <w:rsid w:val="00B029E7"/>
    <w:rsid w:val="00B029F2"/>
    <w:rsid w:val="00B029FD"/>
    <w:rsid w:val="00B02A58"/>
    <w:rsid w:val="00B03471"/>
    <w:rsid w:val="00B03489"/>
    <w:rsid w:val="00B0389E"/>
    <w:rsid w:val="00B07286"/>
    <w:rsid w:val="00B10E77"/>
    <w:rsid w:val="00B13207"/>
    <w:rsid w:val="00B155E6"/>
    <w:rsid w:val="00B203C5"/>
    <w:rsid w:val="00B2076F"/>
    <w:rsid w:val="00B209A2"/>
    <w:rsid w:val="00B227C7"/>
    <w:rsid w:val="00B22B00"/>
    <w:rsid w:val="00B251E8"/>
    <w:rsid w:val="00B27F62"/>
    <w:rsid w:val="00B36AE6"/>
    <w:rsid w:val="00B4038E"/>
    <w:rsid w:val="00B40810"/>
    <w:rsid w:val="00B4265F"/>
    <w:rsid w:val="00B4647A"/>
    <w:rsid w:val="00B503F6"/>
    <w:rsid w:val="00B55172"/>
    <w:rsid w:val="00B55949"/>
    <w:rsid w:val="00B562C5"/>
    <w:rsid w:val="00B66265"/>
    <w:rsid w:val="00B662C0"/>
    <w:rsid w:val="00B6639A"/>
    <w:rsid w:val="00B6781B"/>
    <w:rsid w:val="00B67870"/>
    <w:rsid w:val="00B70987"/>
    <w:rsid w:val="00B711DE"/>
    <w:rsid w:val="00B734D2"/>
    <w:rsid w:val="00B741B0"/>
    <w:rsid w:val="00B7734B"/>
    <w:rsid w:val="00B77CDB"/>
    <w:rsid w:val="00B81015"/>
    <w:rsid w:val="00B81E31"/>
    <w:rsid w:val="00B87550"/>
    <w:rsid w:val="00B87C5E"/>
    <w:rsid w:val="00B9051D"/>
    <w:rsid w:val="00B91989"/>
    <w:rsid w:val="00B91D9C"/>
    <w:rsid w:val="00B926B5"/>
    <w:rsid w:val="00B928DC"/>
    <w:rsid w:val="00B92CFA"/>
    <w:rsid w:val="00B93220"/>
    <w:rsid w:val="00B93BD1"/>
    <w:rsid w:val="00B943D1"/>
    <w:rsid w:val="00B95D00"/>
    <w:rsid w:val="00B96939"/>
    <w:rsid w:val="00B972B2"/>
    <w:rsid w:val="00B97BF8"/>
    <w:rsid w:val="00B97D1A"/>
    <w:rsid w:val="00BA15E8"/>
    <w:rsid w:val="00BA2CD5"/>
    <w:rsid w:val="00BA3693"/>
    <w:rsid w:val="00BA40E9"/>
    <w:rsid w:val="00BA4B2D"/>
    <w:rsid w:val="00BA5269"/>
    <w:rsid w:val="00BA6121"/>
    <w:rsid w:val="00BA6AD0"/>
    <w:rsid w:val="00BA6B09"/>
    <w:rsid w:val="00BA6F72"/>
    <w:rsid w:val="00BB098A"/>
    <w:rsid w:val="00BB1C4F"/>
    <w:rsid w:val="00BB2F97"/>
    <w:rsid w:val="00BB38B5"/>
    <w:rsid w:val="00BB3B88"/>
    <w:rsid w:val="00BB4033"/>
    <w:rsid w:val="00BB505A"/>
    <w:rsid w:val="00BB567D"/>
    <w:rsid w:val="00BB7CB5"/>
    <w:rsid w:val="00BC07C7"/>
    <w:rsid w:val="00BC0E32"/>
    <w:rsid w:val="00BC2AFE"/>
    <w:rsid w:val="00BC5274"/>
    <w:rsid w:val="00BC52F3"/>
    <w:rsid w:val="00BC5411"/>
    <w:rsid w:val="00BC56F6"/>
    <w:rsid w:val="00BC7748"/>
    <w:rsid w:val="00BD2CCA"/>
    <w:rsid w:val="00BD73D8"/>
    <w:rsid w:val="00BE1643"/>
    <w:rsid w:val="00BE28F4"/>
    <w:rsid w:val="00BE2FE3"/>
    <w:rsid w:val="00BE30D5"/>
    <w:rsid w:val="00BE3108"/>
    <w:rsid w:val="00BE3795"/>
    <w:rsid w:val="00BE4026"/>
    <w:rsid w:val="00BE4AB6"/>
    <w:rsid w:val="00BE64B0"/>
    <w:rsid w:val="00BE7B4C"/>
    <w:rsid w:val="00BF0AB8"/>
    <w:rsid w:val="00BF15F7"/>
    <w:rsid w:val="00BF2404"/>
    <w:rsid w:val="00BF2438"/>
    <w:rsid w:val="00BF2746"/>
    <w:rsid w:val="00BF2C4A"/>
    <w:rsid w:val="00BF3520"/>
    <w:rsid w:val="00BF4055"/>
    <w:rsid w:val="00BF45FB"/>
    <w:rsid w:val="00BF53DB"/>
    <w:rsid w:val="00BF5A19"/>
    <w:rsid w:val="00BF5ED7"/>
    <w:rsid w:val="00BF5FDA"/>
    <w:rsid w:val="00BF7449"/>
    <w:rsid w:val="00BF76BD"/>
    <w:rsid w:val="00BF7935"/>
    <w:rsid w:val="00C014E9"/>
    <w:rsid w:val="00C018A2"/>
    <w:rsid w:val="00C019EC"/>
    <w:rsid w:val="00C01C68"/>
    <w:rsid w:val="00C02C66"/>
    <w:rsid w:val="00C036A6"/>
    <w:rsid w:val="00C0421A"/>
    <w:rsid w:val="00C04D64"/>
    <w:rsid w:val="00C05A76"/>
    <w:rsid w:val="00C07666"/>
    <w:rsid w:val="00C1254F"/>
    <w:rsid w:val="00C12F65"/>
    <w:rsid w:val="00C13FED"/>
    <w:rsid w:val="00C14ABC"/>
    <w:rsid w:val="00C14BC4"/>
    <w:rsid w:val="00C1523D"/>
    <w:rsid w:val="00C15B53"/>
    <w:rsid w:val="00C164D3"/>
    <w:rsid w:val="00C1764E"/>
    <w:rsid w:val="00C20722"/>
    <w:rsid w:val="00C2174A"/>
    <w:rsid w:val="00C21F9B"/>
    <w:rsid w:val="00C24E65"/>
    <w:rsid w:val="00C2553E"/>
    <w:rsid w:val="00C26B4C"/>
    <w:rsid w:val="00C349B9"/>
    <w:rsid w:val="00C41EE5"/>
    <w:rsid w:val="00C42781"/>
    <w:rsid w:val="00C43BE0"/>
    <w:rsid w:val="00C43E41"/>
    <w:rsid w:val="00C4453B"/>
    <w:rsid w:val="00C44ACE"/>
    <w:rsid w:val="00C45082"/>
    <w:rsid w:val="00C4520A"/>
    <w:rsid w:val="00C45283"/>
    <w:rsid w:val="00C46257"/>
    <w:rsid w:val="00C4782F"/>
    <w:rsid w:val="00C4787F"/>
    <w:rsid w:val="00C47C10"/>
    <w:rsid w:val="00C50030"/>
    <w:rsid w:val="00C50C93"/>
    <w:rsid w:val="00C515D5"/>
    <w:rsid w:val="00C555B5"/>
    <w:rsid w:val="00C5565B"/>
    <w:rsid w:val="00C556AB"/>
    <w:rsid w:val="00C55B5D"/>
    <w:rsid w:val="00C56987"/>
    <w:rsid w:val="00C57867"/>
    <w:rsid w:val="00C60256"/>
    <w:rsid w:val="00C602BE"/>
    <w:rsid w:val="00C61037"/>
    <w:rsid w:val="00C61241"/>
    <w:rsid w:val="00C62435"/>
    <w:rsid w:val="00C625D2"/>
    <w:rsid w:val="00C63343"/>
    <w:rsid w:val="00C6387C"/>
    <w:rsid w:val="00C6435F"/>
    <w:rsid w:val="00C664CC"/>
    <w:rsid w:val="00C67C4F"/>
    <w:rsid w:val="00C70C73"/>
    <w:rsid w:val="00C7283B"/>
    <w:rsid w:val="00C72B26"/>
    <w:rsid w:val="00C73865"/>
    <w:rsid w:val="00C77F62"/>
    <w:rsid w:val="00C80269"/>
    <w:rsid w:val="00C81F10"/>
    <w:rsid w:val="00C82FCD"/>
    <w:rsid w:val="00C83088"/>
    <w:rsid w:val="00C832DC"/>
    <w:rsid w:val="00C83A51"/>
    <w:rsid w:val="00C8448E"/>
    <w:rsid w:val="00C855DD"/>
    <w:rsid w:val="00C86653"/>
    <w:rsid w:val="00C911BF"/>
    <w:rsid w:val="00C969B1"/>
    <w:rsid w:val="00C970D8"/>
    <w:rsid w:val="00C97CC0"/>
    <w:rsid w:val="00CA0AB5"/>
    <w:rsid w:val="00CA0B92"/>
    <w:rsid w:val="00CA2269"/>
    <w:rsid w:val="00CA2892"/>
    <w:rsid w:val="00CA2AEF"/>
    <w:rsid w:val="00CA3F64"/>
    <w:rsid w:val="00CA5EC8"/>
    <w:rsid w:val="00CA78DC"/>
    <w:rsid w:val="00CB367F"/>
    <w:rsid w:val="00CB5C96"/>
    <w:rsid w:val="00CB6CCB"/>
    <w:rsid w:val="00CB7257"/>
    <w:rsid w:val="00CB7AE8"/>
    <w:rsid w:val="00CC09F0"/>
    <w:rsid w:val="00CC2310"/>
    <w:rsid w:val="00CC4A7B"/>
    <w:rsid w:val="00CC6B6C"/>
    <w:rsid w:val="00CC6CD2"/>
    <w:rsid w:val="00CC6F60"/>
    <w:rsid w:val="00CD09B7"/>
    <w:rsid w:val="00CD0FE8"/>
    <w:rsid w:val="00CD1ED7"/>
    <w:rsid w:val="00CD3809"/>
    <w:rsid w:val="00CD58B3"/>
    <w:rsid w:val="00CD5D80"/>
    <w:rsid w:val="00CD650B"/>
    <w:rsid w:val="00CE3EBB"/>
    <w:rsid w:val="00CE6974"/>
    <w:rsid w:val="00CE7255"/>
    <w:rsid w:val="00CE7411"/>
    <w:rsid w:val="00CE750E"/>
    <w:rsid w:val="00CE782F"/>
    <w:rsid w:val="00CF1858"/>
    <w:rsid w:val="00CF3B7D"/>
    <w:rsid w:val="00CF497E"/>
    <w:rsid w:val="00CF547E"/>
    <w:rsid w:val="00CF5E24"/>
    <w:rsid w:val="00CF6277"/>
    <w:rsid w:val="00D02D6E"/>
    <w:rsid w:val="00D0385F"/>
    <w:rsid w:val="00D04498"/>
    <w:rsid w:val="00D04C21"/>
    <w:rsid w:val="00D05F54"/>
    <w:rsid w:val="00D068DB"/>
    <w:rsid w:val="00D077FA"/>
    <w:rsid w:val="00D07A2A"/>
    <w:rsid w:val="00D14DBB"/>
    <w:rsid w:val="00D161ED"/>
    <w:rsid w:val="00D163B7"/>
    <w:rsid w:val="00D1695A"/>
    <w:rsid w:val="00D170C8"/>
    <w:rsid w:val="00D173C3"/>
    <w:rsid w:val="00D17968"/>
    <w:rsid w:val="00D17D19"/>
    <w:rsid w:val="00D21702"/>
    <w:rsid w:val="00D23844"/>
    <w:rsid w:val="00D247C6"/>
    <w:rsid w:val="00D2549A"/>
    <w:rsid w:val="00D32FAB"/>
    <w:rsid w:val="00D34F31"/>
    <w:rsid w:val="00D40819"/>
    <w:rsid w:val="00D413C6"/>
    <w:rsid w:val="00D42ECD"/>
    <w:rsid w:val="00D43558"/>
    <w:rsid w:val="00D440B1"/>
    <w:rsid w:val="00D445BE"/>
    <w:rsid w:val="00D4486D"/>
    <w:rsid w:val="00D470E6"/>
    <w:rsid w:val="00D47AF5"/>
    <w:rsid w:val="00D5055F"/>
    <w:rsid w:val="00D53197"/>
    <w:rsid w:val="00D5396B"/>
    <w:rsid w:val="00D549D8"/>
    <w:rsid w:val="00D55CCD"/>
    <w:rsid w:val="00D57979"/>
    <w:rsid w:val="00D63674"/>
    <w:rsid w:val="00D6400E"/>
    <w:rsid w:val="00D65539"/>
    <w:rsid w:val="00D67154"/>
    <w:rsid w:val="00D67967"/>
    <w:rsid w:val="00D70A15"/>
    <w:rsid w:val="00D72240"/>
    <w:rsid w:val="00D74D08"/>
    <w:rsid w:val="00D779BB"/>
    <w:rsid w:val="00D77C8F"/>
    <w:rsid w:val="00D8015E"/>
    <w:rsid w:val="00D80A94"/>
    <w:rsid w:val="00D80EB5"/>
    <w:rsid w:val="00D81352"/>
    <w:rsid w:val="00D827A5"/>
    <w:rsid w:val="00D829E5"/>
    <w:rsid w:val="00D84096"/>
    <w:rsid w:val="00D84F7B"/>
    <w:rsid w:val="00D8718E"/>
    <w:rsid w:val="00D873E1"/>
    <w:rsid w:val="00D9098B"/>
    <w:rsid w:val="00D91746"/>
    <w:rsid w:val="00D92EA9"/>
    <w:rsid w:val="00D93E36"/>
    <w:rsid w:val="00D9468C"/>
    <w:rsid w:val="00D94CFE"/>
    <w:rsid w:val="00D95A3C"/>
    <w:rsid w:val="00D95F90"/>
    <w:rsid w:val="00DA2AEF"/>
    <w:rsid w:val="00DA448E"/>
    <w:rsid w:val="00DA790E"/>
    <w:rsid w:val="00DB0127"/>
    <w:rsid w:val="00DB2804"/>
    <w:rsid w:val="00DB4001"/>
    <w:rsid w:val="00DB43E9"/>
    <w:rsid w:val="00DB4EDB"/>
    <w:rsid w:val="00DB60F2"/>
    <w:rsid w:val="00DC0E74"/>
    <w:rsid w:val="00DC0F0D"/>
    <w:rsid w:val="00DC1A0B"/>
    <w:rsid w:val="00DC6AE7"/>
    <w:rsid w:val="00DC7D0E"/>
    <w:rsid w:val="00DD156C"/>
    <w:rsid w:val="00DD225D"/>
    <w:rsid w:val="00DD359B"/>
    <w:rsid w:val="00DD45D9"/>
    <w:rsid w:val="00DD4667"/>
    <w:rsid w:val="00DD6BE1"/>
    <w:rsid w:val="00DD72DB"/>
    <w:rsid w:val="00DE1A73"/>
    <w:rsid w:val="00DE240D"/>
    <w:rsid w:val="00DE301F"/>
    <w:rsid w:val="00DE571B"/>
    <w:rsid w:val="00DE5B61"/>
    <w:rsid w:val="00DE6274"/>
    <w:rsid w:val="00DF00E7"/>
    <w:rsid w:val="00DF1C73"/>
    <w:rsid w:val="00DF26F1"/>
    <w:rsid w:val="00DF3294"/>
    <w:rsid w:val="00DF39D9"/>
    <w:rsid w:val="00DF5956"/>
    <w:rsid w:val="00E00B04"/>
    <w:rsid w:val="00E0119D"/>
    <w:rsid w:val="00E01DCE"/>
    <w:rsid w:val="00E04040"/>
    <w:rsid w:val="00E0480B"/>
    <w:rsid w:val="00E048BC"/>
    <w:rsid w:val="00E0543D"/>
    <w:rsid w:val="00E05F55"/>
    <w:rsid w:val="00E07DF8"/>
    <w:rsid w:val="00E122F6"/>
    <w:rsid w:val="00E134B7"/>
    <w:rsid w:val="00E16D6D"/>
    <w:rsid w:val="00E17267"/>
    <w:rsid w:val="00E21885"/>
    <w:rsid w:val="00E22502"/>
    <w:rsid w:val="00E2282F"/>
    <w:rsid w:val="00E23445"/>
    <w:rsid w:val="00E24B61"/>
    <w:rsid w:val="00E24F85"/>
    <w:rsid w:val="00E2748A"/>
    <w:rsid w:val="00E32852"/>
    <w:rsid w:val="00E32FF0"/>
    <w:rsid w:val="00E33B44"/>
    <w:rsid w:val="00E348D3"/>
    <w:rsid w:val="00E353B2"/>
    <w:rsid w:val="00E360C0"/>
    <w:rsid w:val="00E41214"/>
    <w:rsid w:val="00E42C2F"/>
    <w:rsid w:val="00E430AE"/>
    <w:rsid w:val="00E43141"/>
    <w:rsid w:val="00E43A41"/>
    <w:rsid w:val="00E43D39"/>
    <w:rsid w:val="00E43DB9"/>
    <w:rsid w:val="00E47FC2"/>
    <w:rsid w:val="00E50025"/>
    <w:rsid w:val="00E50BE7"/>
    <w:rsid w:val="00E51C51"/>
    <w:rsid w:val="00E520E8"/>
    <w:rsid w:val="00E5291E"/>
    <w:rsid w:val="00E52A15"/>
    <w:rsid w:val="00E5383D"/>
    <w:rsid w:val="00E5398A"/>
    <w:rsid w:val="00E55228"/>
    <w:rsid w:val="00E609D2"/>
    <w:rsid w:val="00E61238"/>
    <w:rsid w:val="00E61BF1"/>
    <w:rsid w:val="00E62C41"/>
    <w:rsid w:val="00E63E6D"/>
    <w:rsid w:val="00E661EC"/>
    <w:rsid w:val="00E668F4"/>
    <w:rsid w:val="00E66E09"/>
    <w:rsid w:val="00E67F5D"/>
    <w:rsid w:val="00E712AC"/>
    <w:rsid w:val="00E71E25"/>
    <w:rsid w:val="00E74082"/>
    <w:rsid w:val="00E74967"/>
    <w:rsid w:val="00E74D56"/>
    <w:rsid w:val="00E76063"/>
    <w:rsid w:val="00E764B2"/>
    <w:rsid w:val="00E819D2"/>
    <w:rsid w:val="00E81A68"/>
    <w:rsid w:val="00E81B4B"/>
    <w:rsid w:val="00E8223B"/>
    <w:rsid w:val="00E8302F"/>
    <w:rsid w:val="00E83F7A"/>
    <w:rsid w:val="00E84F60"/>
    <w:rsid w:val="00E8732C"/>
    <w:rsid w:val="00E92C82"/>
    <w:rsid w:val="00E92DAB"/>
    <w:rsid w:val="00E93F05"/>
    <w:rsid w:val="00E96093"/>
    <w:rsid w:val="00E96818"/>
    <w:rsid w:val="00E96BC4"/>
    <w:rsid w:val="00E96D98"/>
    <w:rsid w:val="00E96FDD"/>
    <w:rsid w:val="00E9724B"/>
    <w:rsid w:val="00EA03AA"/>
    <w:rsid w:val="00EA03B5"/>
    <w:rsid w:val="00EA1157"/>
    <w:rsid w:val="00EA190C"/>
    <w:rsid w:val="00EA3B12"/>
    <w:rsid w:val="00EA56AF"/>
    <w:rsid w:val="00EA6EF9"/>
    <w:rsid w:val="00EA7B6F"/>
    <w:rsid w:val="00EB05CC"/>
    <w:rsid w:val="00EB1884"/>
    <w:rsid w:val="00EB1F94"/>
    <w:rsid w:val="00EB4DCA"/>
    <w:rsid w:val="00EB52A7"/>
    <w:rsid w:val="00EB5BF3"/>
    <w:rsid w:val="00EB5D28"/>
    <w:rsid w:val="00EB780F"/>
    <w:rsid w:val="00EC2B62"/>
    <w:rsid w:val="00EC31C6"/>
    <w:rsid w:val="00EC31CB"/>
    <w:rsid w:val="00EC7E10"/>
    <w:rsid w:val="00ED002D"/>
    <w:rsid w:val="00ED223D"/>
    <w:rsid w:val="00ED34F4"/>
    <w:rsid w:val="00ED41CD"/>
    <w:rsid w:val="00ED5A91"/>
    <w:rsid w:val="00EE00CC"/>
    <w:rsid w:val="00EE0BEB"/>
    <w:rsid w:val="00EE1056"/>
    <w:rsid w:val="00EE41E8"/>
    <w:rsid w:val="00EE4AA5"/>
    <w:rsid w:val="00EE5676"/>
    <w:rsid w:val="00EE7027"/>
    <w:rsid w:val="00EE74BA"/>
    <w:rsid w:val="00EF160B"/>
    <w:rsid w:val="00EF22BE"/>
    <w:rsid w:val="00EF2362"/>
    <w:rsid w:val="00EF3C0E"/>
    <w:rsid w:val="00EF69DF"/>
    <w:rsid w:val="00EF764D"/>
    <w:rsid w:val="00F03DFC"/>
    <w:rsid w:val="00F03F39"/>
    <w:rsid w:val="00F0426A"/>
    <w:rsid w:val="00F04DDF"/>
    <w:rsid w:val="00F054FE"/>
    <w:rsid w:val="00F06000"/>
    <w:rsid w:val="00F0613B"/>
    <w:rsid w:val="00F06C36"/>
    <w:rsid w:val="00F07078"/>
    <w:rsid w:val="00F1055E"/>
    <w:rsid w:val="00F1127F"/>
    <w:rsid w:val="00F13FF6"/>
    <w:rsid w:val="00F15014"/>
    <w:rsid w:val="00F153BF"/>
    <w:rsid w:val="00F1570E"/>
    <w:rsid w:val="00F2049F"/>
    <w:rsid w:val="00F21D36"/>
    <w:rsid w:val="00F21F86"/>
    <w:rsid w:val="00F230C6"/>
    <w:rsid w:val="00F2318F"/>
    <w:rsid w:val="00F232A4"/>
    <w:rsid w:val="00F24051"/>
    <w:rsid w:val="00F24FCD"/>
    <w:rsid w:val="00F26789"/>
    <w:rsid w:val="00F26A1A"/>
    <w:rsid w:val="00F26B1D"/>
    <w:rsid w:val="00F30CAB"/>
    <w:rsid w:val="00F34E92"/>
    <w:rsid w:val="00F366FF"/>
    <w:rsid w:val="00F43706"/>
    <w:rsid w:val="00F4389C"/>
    <w:rsid w:val="00F43A22"/>
    <w:rsid w:val="00F44F69"/>
    <w:rsid w:val="00F457A6"/>
    <w:rsid w:val="00F5530C"/>
    <w:rsid w:val="00F60FF4"/>
    <w:rsid w:val="00F619E7"/>
    <w:rsid w:val="00F62E55"/>
    <w:rsid w:val="00F647AF"/>
    <w:rsid w:val="00F6492F"/>
    <w:rsid w:val="00F64F41"/>
    <w:rsid w:val="00F65066"/>
    <w:rsid w:val="00F6509D"/>
    <w:rsid w:val="00F6744D"/>
    <w:rsid w:val="00F67700"/>
    <w:rsid w:val="00F67EE5"/>
    <w:rsid w:val="00F704EC"/>
    <w:rsid w:val="00F7078F"/>
    <w:rsid w:val="00F70C4A"/>
    <w:rsid w:val="00F72E69"/>
    <w:rsid w:val="00F7304C"/>
    <w:rsid w:val="00F739F7"/>
    <w:rsid w:val="00F73E57"/>
    <w:rsid w:val="00F741A1"/>
    <w:rsid w:val="00F77466"/>
    <w:rsid w:val="00F778E3"/>
    <w:rsid w:val="00F80067"/>
    <w:rsid w:val="00F82347"/>
    <w:rsid w:val="00F83FF3"/>
    <w:rsid w:val="00F84B14"/>
    <w:rsid w:val="00F85C68"/>
    <w:rsid w:val="00F86409"/>
    <w:rsid w:val="00F86B41"/>
    <w:rsid w:val="00F903B2"/>
    <w:rsid w:val="00F90A2E"/>
    <w:rsid w:val="00F90E24"/>
    <w:rsid w:val="00F914B5"/>
    <w:rsid w:val="00F91A02"/>
    <w:rsid w:val="00F9278A"/>
    <w:rsid w:val="00F92864"/>
    <w:rsid w:val="00F9589E"/>
    <w:rsid w:val="00F97458"/>
    <w:rsid w:val="00F97585"/>
    <w:rsid w:val="00F97C60"/>
    <w:rsid w:val="00FA19B9"/>
    <w:rsid w:val="00FA1F4F"/>
    <w:rsid w:val="00FA276E"/>
    <w:rsid w:val="00FA32F8"/>
    <w:rsid w:val="00FA3692"/>
    <w:rsid w:val="00FA3BFC"/>
    <w:rsid w:val="00FA3CB0"/>
    <w:rsid w:val="00FA4881"/>
    <w:rsid w:val="00FA48A0"/>
    <w:rsid w:val="00FA573C"/>
    <w:rsid w:val="00FA65B9"/>
    <w:rsid w:val="00FB05AD"/>
    <w:rsid w:val="00FB25C4"/>
    <w:rsid w:val="00FB321F"/>
    <w:rsid w:val="00FB34D2"/>
    <w:rsid w:val="00FB5314"/>
    <w:rsid w:val="00FB6A66"/>
    <w:rsid w:val="00FB790A"/>
    <w:rsid w:val="00FC226E"/>
    <w:rsid w:val="00FC4733"/>
    <w:rsid w:val="00FC5BEE"/>
    <w:rsid w:val="00FC63EB"/>
    <w:rsid w:val="00FC68EE"/>
    <w:rsid w:val="00FC6E17"/>
    <w:rsid w:val="00FC75E0"/>
    <w:rsid w:val="00FC7642"/>
    <w:rsid w:val="00FC7BFF"/>
    <w:rsid w:val="00FD0C35"/>
    <w:rsid w:val="00FD16A2"/>
    <w:rsid w:val="00FD170E"/>
    <w:rsid w:val="00FD2088"/>
    <w:rsid w:val="00FD29A9"/>
    <w:rsid w:val="00FD42CE"/>
    <w:rsid w:val="00FD5EC2"/>
    <w:rsid w:val="00FD6F5F"/>
    <w:rsid w:val="00FE002D"/>
    <w:rsid w:val="00FE1F05"/>
    <w:rsid w:val="00FE3A64"/>
    <w:rsid w:val="00FE5BAC"/>
    <w:rsid w:val="00FF1E8A"/>
    <w:rsid w:val="00FF223F"/>
    <w:rsid w:val="00FF24DA"/>
    <w:rsid w:val="00FF3309"/>
    <w:rsid w:val="00FF5185"/>
    <w:rsid w:val="00FF59D4"/>
    <w:rsid w:val="00FF5F78"/>
    <w:rsid w:val="00FF6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4B2BC"/>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lang w:val="es-MX"/>
    </w:rPr>
  </w:style>
  <w:style w:type="paragraph" w:styleId="Ttulo1">
    <w:name w:val="heading 1"/>
    <w:next w:val="Normal"/>
    <w:link w:val="Ttulo1Car"/>
    <w:uiPriority w:val="99"/>
    <w:qFormat/>
    <w:rsid w:val="00DE301F"/>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7"/>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7"/>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7"/>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2"/>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lang w:val="es-MX"/>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9"/>
      </w:numPr>
      <w:spacing w:after="0"/>
      <w:ind w:left="714" w:hanging="357"/>
    </w:pPr>
  </w:style>
  <w:style w:type="paragraph" w:styleId="Listaconnmeros">
    <w:name w:val="List Number"/>
    <w:basedOn w:val="Normal"/>
    <w:uiPriority w:val="99"/>
    <w:semiHidden/>
    <w:unhideWhenUsed/>
    <w:rsid w:val="003934A0"/>
    <w:pPr>
      <w:numPr>
        <w:numId w:val="3"/>
      </w:numPr>
      <w:contextualSpacing/>
    </w:pPr>
  </w:style>
  <w:style w:type="paragraph" w:customStyle="1" w:styleId="Annex1">
    <w:name w:val="Annex 1"/>
    <w:next w:val="Normal"/>
    <w:qFormat/>
    <w:rsid w:val="00444DA5"/>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9"/>
    <w:rsid w:val="00BE4026"/>
    <w:rPr>
      <w:rFonts w:ascii="Times New Roman" w:eastAsiaTheme="majorEastAsia" w:hAnsi="Times New Roman" w:cstheme="majorBidi"/>
      <w:b/>
      <w:bCs/>
      <w:sz w:val="24"/>
      <w:szCs w:val="26"/>
      <w:lang w:val="es-MX"/>
    </w:rPr>
  </w:style>
  <w:style w:type="character" w:customStyle="1" w:styleId="Ttulo3Car">
    <w:name w:val="Título 3 Car"/>
    <w:basedOn w:val="Fuentedeprrafopredeter"/>
    <w:link w:val="Ttulo3"/>
    <w:uiPriority w:val="99"/>
    <w:rsid w:val="0013763A"/>
    <w:rPr>
      <w:rFonts w:ascii="Times New Roman" w:eastAsiaTheme="majorEastAsia" w:hAnsi="Times New Roman" w:cstheme="majorBidi"/>
      <w:b/>
      <w:bCs/>
      <w:lang w:val="es-MX"/>
    </w:rPr>
  </w:style>
  <w:style w:type="numbering" w:styleId="1ai">
    <w:name w:val="Outline List 1"/>
    <w:basedOn w:val="Sinlista"/>
    <w:uiPriority w:val="99"/>
    <w:unhideWhenUsed/>
    <w:rsid w:val="003C6172"/>
    <w:pPr>
      <w:numPr>
        <w:numId w:val="5"/>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lang w:val="es-MX"/>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6"/>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8"/>
      </w:numPr>
      <w:spacing w:after="200"/>
      <w:ind w:left="357" w:hanging="357"/>
    </w:pPr>
    <w:rPr>
      <w:i/>
    </w:rPr>
  </w:style>
  <w:style w:type="character" w:customStyle="1" w:styleId="H5Char">
    <w:name w:val="H5 Char"/>
    <w:basedOn w:val="Fuentedeprrafopredeter"/>
    <w:link w:val="H5"/>
    <w:rsid w:val="00696966"/>
    <w:rPr>
      <w:rFonts w:ascii="Times New Roman" w:hAnsi="Times New Roman"/>
      <w:i/>
      <w:lang w:val="es-MX"/>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lang w:val="es-MX"/>
    </w:rPr>
  </w:style>
  <w:style w:type="paragraph" w:customStyle="1" w:styleId="Annex2">
    <w:name w:val="Annex 2"/>
    <w:next w:val="Normal"/>
    <w:qFormat/>
    <w:rsid w:val="000C49E3"/>
    <w:pPr>
      <w:keepNext/>
      <w:numPr>
        <w:ilvl w:val="1"/>
        <w:numId w:val="4"/>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4"/>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4"/>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styleId="Textoindependiente">
    <w:name w:val="Body Text"/>
    <w:basedOn w:val="Normal"/>
    <w:link w:val="TextoindependienteCar"/>
    <w:uiPriority w:val="99"/>
    <w:unhideWhenUsed/>
    <w:rsid w:val="00E50025"/>
    <w:pPr>
      <w:spacing w:after="120"/>
    </w:pPr>
  </w:style>
  <w:style w:type="character" w:customStyle="1" w:styleId="TextoindependienteCar">
    <w:name w:val="Texto independiente Car"/>
    <w:basedOn w:val="Fuentedeprrafopredeter"/>
    <w:link w:val="Textoindependiente"/>
    <w:uiPriority w:val="99"/>
    <w:rsid w:val="00E50025"/>
    <w:rPr>
      <w:rFonts w:ascii="Times New Roman" w:hAnsi="Times New Roman"/>
    </w:rPr>
  </w:style>
  <w:style w:type="paragraph" w:styleId="Cita">
    <w:name w:val="Quote"/>
    <w:basedOn w:val="Normal"/>
    <w:next w:val="Normal"/>
    <w:link w:val="CitaCar"/>
    <w:uiPriority w:val="29"/>
    <w:qFormat/>
    <w:rsid w:val="008F4FC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F4FCF"/>
    <w:rPr>
      <w:rFonts w:ascii="Times New Roman" w:hAnsi="Times New Roman"/>
      <w:i/>
      <w:iCs/>
      <w:color w:val="404040" w:themeColor="text1" w:themeTint="BF"/>
    </w:rPr>
  </w:style>
  <w:style w:type="paragraph" w:customStyle="1" w:styleId="CitaIFT">
    <w:name w:val="Cita IFT"/>
    <w:basedOn w:val="Normal"/>
    <w:link w:val="CitaIFTCar"/>
    <w:qFormat/>
    <w:rsid w:val="00005E3D"/>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005E3D"/>
    <w:rPr>
      <w:rFonts w:ascii="ITC Avant Garde" w:eastAsia="Times New Roman" w:hAnsi="ITC Avant Garde" w:cs="Arial"/>
      <w:bCs/>
      <w:i/>
      <w:color w:val="000000"/>
      <w:sz w:val="18"/>
      <w:szCs w:val="18"/>
      <w:lang w:val="es-ES_tradnl" w:eastAsia="es-ES"/>
    </w:rPr>
  </w:style>
  <w:style w:type="paragraph" w:customStyle="1" w:styleId="CondicionesFinales">
    <w:name w:val="CondicionesFinales"/>
    <w:basedOn w:val="Normal"/>
    <w:qFormat/>
    <w:rsid w:val="00043A7C"/>
    <w:pPr>
      <w:adjustRightInd w:val="0"/>
      <w:spacing w:after="200" w:line="276" w:lineRule="auto"/>
      <w:ind w:left="851" w:right="760"/>
    </w:pPr>
    <w:rPr>
      <w:rFonts w:ascii="ITC Avant Garde" w:eastAsia="Times New Roman" w:hAnsi="ITC Avant Garde" w:cs="Arial"/>
      <w:bCs/>
      <w:color w:val="000000"/>
      <w:lang w:val="es-ES_tradnl" w:eastAsia="es-ES"/>
    </w:rPr>
  </w:style>
  <w:style w:type="character" w:customStyle="1" w:styleId="lbl-encabezado-negro2">
    <w:name w:val="lbl-encabezado-negro2"/>
    <w:basedOn w:val="Fuentedeprrafopredeter"/>
    <w:rsid w:val="006C718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466510833">
      <w:bodyDiv w:val="1"/>
      <w:marLeft w:val="0"/>
      <w:marRight w:val="0"/>
      <w:marTop w:val="0"/>
      <w:marBottom w:val="0"/>
      <w:divBdr>
        <w:top w:val="none" w:sz="0" w:space="0" w:color="auto"/>
        <w:left w:val="none" w:sz="0" w:space="0" w:color="auto"/>
        <w:bottom w:val="none" w:sz="0" w:space="0" w:color="auto"/>
        <w:right w:val="none" w:sz="0" w:space="0" w:color="auto"/>
      </w:divBdr>
    </w:div>
    <w:div w:id="485436534">
      <w:bodyDiv w:val="1"/>
      <w:marLeft w:val="0"/>
      <w:marRight w:val="0"/>
      <w:marTop w:val="0"/>
      <w:marBottom w:val="0"/>
      <w:divBdr>
        <w:top w:val="none" w:sz="0" w:space="0" w:color="auto"/>
        <w:left w:val="none" w:sz="0" w:space="0" w:color="auto"/>
        <w:bottom w:val="none" w:sz="0" w:space="0" w:color="auto"/>
        <w:right w:val="none" w:sz="0" w:space="0" w:color="auto"/>
      </w:divBdr>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521358241">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693579363">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88383481">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consulta-publica-sobre-el-anteproyecto-de-lineamientos-para-el-despliegue-acceso-y-uso-compartid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3.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591617-DDBA-4E91-8D4C-C6BF2CE9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SimpleA4.dotx</Template>
  <TotalTime>96</TotalTime>
  <Pages>13</Pages>
  <Words>4843</Words>
  <Characters>26640</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c:creator>
  <cp:lastModifiedBy>Anaid Karina Limon Rivera</cp:lastModifiedBy>
  <cp:revision>7</cp:revision>
  <cp:lastPrinted>2011-01-06T16:36:00Z</cp:lastPrinted>
  <dcterms:created xsi:type="dcterms:W3CDTF">2019-10-28T19:55:00Z</dcterms:created>
  <dcterms:modified xsi:type="dcterms:W3CDTF">2019-10-28T22:45:00Z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