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3021"/>
      </w:tblGrid>
      <w:tr w:rsidR="00860477" w:rsidRPr="008329D2" w14:paraId="3ACAE7CD" w14:textId="77777777" w:rsidTr="003F0819">
        <w:trPr>
          <w:trHeight w:val="816"/>
        </w:trPr>
        <w:tc>
          <w:tcPr>
            <w:tcW w:w="2689" w:type="dxa"/>
            <w:shd w:val="clear" w:color="auto" w:fill="DBDBDB" w:themeFill="accent3" w:themeFillTint="66"/>
          </w:tcPr>
          <w:p w14:paraId="3AA60541" w14:textId="77777777" w:rsidR="00860477" w:rsidRPr="009D3DBF" w:rsidRDefault="00860477" w:rsidP="003F0819">
            <w:pPr>
              <w:jc w:val="both"/>
              <w:rPr>
                <w:rFonts w:ascii="ITC Avant Garde" w:hAnsi="ITC Avant Garde"/>
                <w:sz w:val="18"/>
                <w:szCs w:val="18"/>
              </w:rPr>
            </w:pPr>
            <w:bookmarkStart w:id="0" w:name="_GoBack"/>
            <w:bookmarkEnd w:id="0"/>
            <w:r w:rsidRPr="009D3DBF">
              <w:rPr>
                <w:rFonts w:ascii="ITC Avant Garde" w:hAnsi="ITC Avant Garde"/>
                <w:sz w:val="18"/>
                <w:szCs w:val="18"/>
              </w:rPr>
              <w:t xml:space="preserve">Unidad Administrativa o Coordinación General del Instituto: </w:t>
            </w:r>
          </w:p>
          <w:p w14:paraId="0E24501B" w14:textId="77777777" w:rsidR="00860477" w:rsidRDefault="00860477" w:rsidP="003F0819">
            <w:pPr>
              <w:jc w:val="both"/>
              <w:rPr>
                <w:rFonts w:ascii="ITC Avant Garde" w:hAnsi="ITC Avant Garde"/>
                <w:b/>
                <w:sz w:val="18"/>
                <w:szCs w:val="18"/>
              </w:rPr>
            </w:pPr>
          </w:p>
          <w:p w14:paraId="2221C5D8" w14:textId="77777777" w:rsidR="00860477" w:rsidRPr="00590DD1" w:rsidRDefault="00860477" w:rsidP="003F0819">
            <w:pPr>
              <w:jc w:val="both"/>
              <w:rPr>
                <w:rFonts w:ascii="ITC Avant Garde" w:hAnsi="ITC Avant Garde"/>
                <w:b/>
                <w:sz w:val="18"/>
                <w:szCs w:val="18"/>
              </w:rPr>
            </w:pPr>
            <w:r w:rsidRPr="008329D2">
              <w:rPr>
                <w:rFonts w:ascii="ITC Avant Garde" w:hAnsi="ITC Avant Garde"/>
                <w:b/>
                <w:sz w:val="18"/>
                <w:szCs w:val="18"/>
              </w:rPr>
              <w:t>Autoridad Investigadora</w:t>
            </w:r>
          </w:p>
        </w:tc>
        <w:tc>
          <w:tcPr>
            <w:tcW w:w="6139" w:type="dxa"/>
            <w:gridSpan w:val="2"/>
            <w:shd w:val="clear" w:color="auto" w:fill="DBDBDB" w:themeFill="accent3" w:themeFillTint="66"/>
          </w:tcPr>
          <w:p w14:paraId="04AFC57E" w14:textId="77777777" w:rsidR="00860477" w:rsidRPr="00BB7D51" w:rsidRDefault="00860477" w:rsidP="003F0819">
            <w:pPr>
              <w:jc w:val="both"/>
              <w:rPr>
                <w:rFonts w:ascii="ITC Avant Garde" w:hAnsi="ITC Avant Garde"/>
                <w:sz w:val="18"/>
                <w:szCs w:val="18"/>
              </w:rPr>
            </w:pPr>
            <w:r w:rsidRPr="00BB7D51">
              <w:rPr>
                <w:rFonts w:ascii="ITC Avant Garde" w:hAnsi="ITC Avant Garde"/>
                <w:sz w:val="18"/>
                <w:szCs w:val="18"/>
              </w:rPr>
              <w:t>Título de la propuesta de regulación:</w:t>
            </w:r>
          </w:p>
          <w:p w14:paraId="663813F7" w14:textId="77777777" w:rsidR="00860477" w:rsidRPr="00BB7D51" w:rsidRDefault="00860477" w:rsidP="003F0819">
            <w:pPr>
              <w:jc w:val="both"/>
              <w:rPr>
                <w:rFonts w:ascii="ITC Avant Garde" w:hAnsi="ITC Avant Garde"/>
                <w:sz w:val="18"/>
                <w:szCs w:val="18"/>
              </w:rPr>
            </w:pPr>
          </w:p>
          <w:p w14:paraId="1062D67B" w14:textId="77777777" w:rsidR="00860477" w:rsidRPr="00BB7D51" w:rsidRDefault="00860477" w:rsidP="00860477">
            <w:pPr>
              <w:jc w:val="both"/>
              <w:rPr>
                <w:rFonts w:ascii="ITC Avant Garde" w:hAnsi="ITC Avant Garde"/>
                <w:b/>
                <w:sz w:val="18"/>
                <w:szCs w:val="18"/>
              </w:rPr>
            </w:pPr>
            <w:r w:rsidRPr="00160C6C">
              <w:rPr>
                <w:rFonts w:ascii="ITC Avant Garde" w:hAnsi="ITC Avant Garde"/>
                <w:b/>
                <w:sz w:val="18"/>
                <w:szCs w:val="18"/>
              </w:rPr>
              <w:t>“</w:t>
            </w:r>
            <w:r w:rsidRPr="0071056F">
              <w:rPr>
                <w:rFonts w:ascii="ITC Avant Garde" w:hAnsi="ITC Avant Garde"/>
                <w:b/>
                <w:sz w:val="18"/>
                <w:szCs w:val="18"/>
              </w:rPr>
              <w:t>PROYECTO DE GUÍA DEL PROCEDIMIENTO DE DISPENSA O REDUCCIÓN DEL IMPORTE DE MULTAS</w:t>
            </w:r>
            <w:r>
              <w:rPr>
                <w:rFonts w:ascii="ITC Avant Garde" w:hAnsi="ITC Avant Garde"/>
                <w:b/>
                <w:sz w:val="18"/>
                <w:szCs w:val="18"/>
              </w:rPr>
              <w:t xml:space="preserve"> </w:t>
            </w:r>
            <w:r w:rsidRPr="00142774">
              <w:rPr>
                <w:rFonts w:ascii="ITC Avant Garde" w:eastAsiaTheme="majorEastAsia" w:hAnsi="ITC Avant Garde" w:cstheme="majorBidi"/>
                <w:b/>
                <w:smallCaps/>
                <w:sz w:val="18"/>
              </w:rPr>
              <w:t>EN INVESTIGACIONES DE PRÁCTICAS MONOPÓLICAS RELATIVAS O CONCENTRACIONES ILÍCITAS</w:t>
            </w:r>
            <w:r w:rsidRPr="0071056F">
              <w:rPr>
                <w:rFonts w:ascii="ITC Avant Garde" w:hAnsi="ITC Avant Garde"/>
                <w:b/>
                <w:sz w:val="18"/>
                <w:szCs w:val="18"/>
              </w:rPr>
              <w:t>, PARA LOS SECTORES DE TELECOMUNICACIONES Y RADIODIFUSIÓN</w:t>
            </w:r>
            <w:r w:rsidRPr="00160C6C">
              <w:rPr>
                <w:rFonts w:ascii="ITC Avant Garde" w:hAnsi="ITC Avant Garde"/>
                <w:b/>
                <w:sz w:val="18"/>
                <w:szCs w:val="18"/>
              </w:rPr>
              <w:t>”</w:t>
            </w:r>
            <w:r>
              <w:rPr>
                <w:rFonts w:ascii="ITC Avant Garde" w:hAnsi="ITC Avant Garde"/>
                <w:b/>
                <w:sz w:val="18"/>
                <w:szCs w:val="18"/>
              </w:rPr>
              <w:t>.</w:t>
            </w:r>
          </w:p>
        </w:tc>
      </w:tr>
      <w:tr w:rsidR="00860477" w:rsidRPr="008329D2" w14:paraId="4BE4C849" w14:textId="77777777" w:rsidTr="003F0819">
        <w:trPr>
          <w:trHeight w:val="889"/>
        </w:trPr>
        <w:tc>
          <w:tcPr>
            <w:tcW w:w="2689" w:type="dxa"/>
            <w:vMerge w:val="restart"/>
            <w:shd w:val="clear" w:color="auto" w:fill="DBDBDB" w:themeFill="accent3" w:themeFillTint="66"/>
          </w:tcPr>
          <w:p w14:paraId="152B8961" w14:textId="77777777" w:rsidR="00860477" w:rsidRPr="008329D2" w:rsidRDefault="00860477" w:rsidP="003F0819">
            <w:pPr>
              <w:jc w:val="both"/>
              <w:rPr>
                <w:rFonts w:ascii="ITC Avant Garde" w:hAnsi="ITC Avant Garde"/>
                <w:b/>
                <w:sz w:val="18"/>
                <w:szCs w:val="18"/>
              </w:rPr>
            </w:pPr>
            <w:r w:rsidRPr="008329D2">
              <w:rPr>
                <w:rFonts w:ascii="ITC Avant Garde" w:hAnsi="ITC Avant Garde"/>
                <w:b/>
                <w:sz w:val="18"/>
                <w:szCs w:val="18"/>
              </w:rPr>
              <w:t>Responsable de la propuesta de regulación:</w:t>
            </w:r>
          </w:p>
          <w:p w14:paraId="424202EA" w14:textId="77777777" w:rsidR="00860477" w:rsidRPr="008329D2" w:rsidRDefault="00860477" w:rsidP="003F0819">
            <w:pPr>
              <w:jc w:val="both"/>
              <w:rPr>
                <w:rFonts w:ascii="ITC Avant Garde" w:hAnsi="ITC Avant Garde"/>
                <w:b/>
                <w:sz w:val="18"/>
                <w:szCs w:val="18"/>
              </w:rPr>
            </w:pPr>
          </w:p>
          <w:p w14:paraId="79769914" w14:textId="77777777" w:rsidR="00860477" w:rsidRDefault="00860477" w:rsidP="003F0819">
            <w:pPr>
              <w:jc w:val="both"/>
              <w:rPr>
                <w:rFonts w:ascii="ITC Avant Garde" w:hAnsi="ITC Avant Garde"/>
                <w:sz w:val="18"/>
                <w:szCs w:val="18"/>
              </w:rPr>
            </w:pPr>
            <w:r w:rsidRPr="008329D2">
              <w:rPr>
                <w:rFonts w:ascii="ITC Avant Garde" w:hAnsi="ITC Avant Garde"/>
                <w:sz w:val="18"/>
                <w:szCs w:val="18"/>
              </w:rPr>
              <w:t xml:space="preserve">Nombre: </w:t>
            </w:r>
          </w:p>
          <w:p w14:paraId="55DB9ECF" w14:textId="77777777" w:rsidR="00860477" w:rsidRPr="009D3DBF" w:rsidRDefault="00860477" w:rsidP="003F0819">
            <w:pPr>
              <w:jc w:val="both"/>
              <w:rPr>
                <w:rFonts w:ascii="ITC Avant Garde" w:hAnsi="ITC Avant Garde"/>
                <w:b/>
                <w:sz w:val="18"/>
                <w:szCs w:val="18"/>
              </w:rPr>
            </w:pPr>
            <w:r w:rsidRPr="009D3DBF">
              <w:rPr>
                <w:rFonts w:ascii="ITC Avant Garde" w:hAnsi="ITC Avant Garde"/>
                <w:b/>
                <w:sz w:val="18"/>
                <w:szCs w:val="18"/>
              </w:rPr>
              <w:t>Paulina Martínez Youn</w:t>
            </w:r>
          </w:p>
          <w:p w14:paraId="65683F7E" w14:textId="77777777" w:rsidR="00860477" w:rsidRDefault="00860477" w:rsidP="003F0819">
            <w:pPr>
              <w:jc w:val="both"/>
              <w:rPr>
                <w:rFonts w:ascii="ITC Avant Garde" w:hAnsi="ITC Avant Garde"/>
                <w:sz w:val="18"/>
                <w:szCs w:val="18"/>
              </w:rPr>
            </w:pPr>
            <w:r w:rsidRPr="008329D2">
              <w:rPr>
                <w:rFonts w:ascii="ITC Avant Garde" w:hAnsi="ITC Avant Garde"/>
                <w:sz w:val="18"/>
                <w:szCs w:val="18"/>
              </w:rPr>
              <w:t xml:space="preserve">Teléfono: </w:t>
            </w:r>
          </w:p>
          <w:p w14:paraId="6B58ABDF" w14:textId="77777777" w:rsidR="00860477" w:rsidRPr="009D3DBF" w:rsidRDefault="00860477" w:rsidP="003F0819">
            <w:pPr>
              <w:jc w:val="both"/>
              <w:rPr>
                <w:rFonts w:ascii="ITC Avant Garde" w:hAnsi="ITC Avant Garde"/>
                <w:b/>
                <w:sz w:val="18"/>
                <w:szCs w:val="18"/>
              </w:rPr>
            </w:pPr>
            <w:r w:rsidRPr="009D3DBF">
              <w:rPr>
                <w:rFonts w:ascii="ITC Avant Garde" w:hAnsi="ITC Avant Garde"/>
                <w:b/>
                <w:sz w:val="18"/>
                <w:szCs w:val="18"/>
              </w:rPr>
              <w:t>5015-4000</w:t>
            </w:r>
            <w:r>
              <w:rPr>
                <w:rFonts w:ascii="ITC Avant Garde" w:hAnsi="ITC Avant Garde"/>
                <w:b/>
                <w:sz w:val="18"/>
                <w:szCs w:val="18"/>
              </w:rPr>
              <w:t xml:space="preserve"> extensión 4192</w:t>
            </w:r>
          </w:p>
          <w:p w14:paraId="43C687D1" w14:textId="77777777" w:rsidR="00860477" w:rsidRPr="008329D2" w:rsidRDefault="00860477" w:rsidP="003F0819">
            <w:pPr>
              <w:jc w:val="both"/>
              <w:rPr>
                <w:rFonts w:ascii="ITC Avant Garde" w:hAnsi="ITC Avant Garde"/>
                <w:sz w:val="18"/>
                <w:szCs w:val="18"/>
              </w:rPr>
            </w:pPr>
            <w:r w:rsidRPr="008329D2">
              <w:rPr>
                <w:rFonts w:ascii="ITC Avant Garde" w:hAnsi="ITC Avant Garde"/>
                <w:sz w:val="18"/>
                <w:szCs w:val="18"/>
              </w:rPr>
              <w:t>Correo electrónico:</w:t>
            </w:r>
          </w:p>
          <w:p w14:paraId="325535DE" w14:textId="77777777" w:rsidR="00860477" w:rsidRDefault="00860477" w:rsidP="003F0819">
            <w:pPr>
              <w:jc w:val="both"/>
              <w:rPr>
                <w:rFonts w:ascii="ITC Avant Garde" w:hAnsi="ITC Avant Garde"/>
                <w:b/>
                <w:sz w:val="18"/>
                <w:szCs w:val="18"/>
              </w:rPr>
            </w:pPr>
            <w:r w:rsidRPr="009D3DBF">
              <w:rPr>
                <w:rFonts w:ascii="ITC Avant Garde" w:hAnsi="ITC Avant Garde"/>
                <w:b/>
                <w:sz w:val="18"/>
                <w:szCs w:val="18"/>
              </w:rPr>
              <w:t xml:space="preserve">paulina.martinez@ift.org.mx </w:t>
            </w:r>
          </w:p>
          <w:p w14:paraId="0A00506E" w14:textId="77777777" w:rsidR="00860477" w:rsidRPr="009D3DBF" w:rsidRDefault="00860477" w:rsidP="003F0819">
            <w:pPr>
              <w:jc w:val="both"/>
              <w:rPr>
                <w:rFonts w:ascii="ITC Avant Garde" w:hAnsi="ITC Avant Garde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DBDBDB" w:themeFill="accent3" w:themeFillTint="66"/>
            <w:vAlign w:val="center"/>
          </w:tcPr>
          <w:p w14:paraId="491A4A14" w14:textId="77777777" w:rsidR="00860477" w:rsidRPr="008329D2" w:rsidRDefault="00860477" w:rsidP="003F0819">
            <w:pPr>
              <w:jc w:val="both"/>
              <w:rPr>
                <w:rFonts w:ascii="ITC Avant Garde" w:hAnsi="ITC Avant Garde"/>
                <w:b/>
                <w:sz w:val="18"/>
                <w:szCs w:val="18"/>
              </w:rPr>
            </w:pPr>
            <w:r w:rsidRPr="008329D2">
              <w:rPr>
                <w:rFonts w:ascii="ITC Avant Garde" w:hAnsi="ITC Avant Garde"/>
                <w:b/>
                <w:sz w:val="18"/>
                <w:szCs w:val="18"/>
              </w:rPr>
              <w:t>Fecha de elaboración del análisis de impacto regulatorio:</w:t>
            </w:r>
          </w:p>
        </w:tc>
        <w:tc>
          <w:tcPr>
            <w:tcW w:w="3021" w:type="dxa"/>
            <w:shd w:val="clear" w:color="auto" w:fill="DBDBDB" w:themeFill="accent3" w:themeFillTint="66"/>
            <w:vAlign w:val="center"/>
          </w:tcPr>
          <w:p w14:paraId="1098AB00" w14:textId="77777777" w:rsidR="00860477" w:rsidRPr="008329D2" w:rsidRDefault="00860477" w:rsidP="003F0819">
            <w:pPr>
              <w:jc w:val="center"/>
              <w:rPr>
                <w:rFonts w:ascii="ITC Avant Garde" w:hAnsi="ITC Avant Garde"/>
                <w:sz w:val="18"/>
                <w:szCs w:val="18"/>
              </w:rPr>
            </w:pPr>
            <w:r w:rsidRPr="008329D2">
              <w:rPr>
                <w:rFonts w:ascii="ITC Avant Garde" w:hAnsi="ITC Avant Garde"/>
                <w:sz w:val="18"/>
                <w:szCs w:val="18"/>
              </w:rPr>
              <w:t>06/09/2018</w:t>
            </w:r>
          </w:p>
        </w:tc>
      </w:tr>
      <w:tr w:rsidR="00860477" w:rsidRPr="008329D2" w14:paraId="2E8AA128" w14:textId="77777777" w:rsidTr="003F0819">
        <w:trPr>
          <w:trHeight w:val="390"/>
        </w:trPr>
        <w:tc>
          <w:tcPr>
            <w:tcW w:w="2689" w:type="dxa"/>
            <w:vMerge/>
            <w:shd w:val="clear" w:color="auto" w:fill="DBDBDB" w:themeFill="accent3" w:themeFillTint="66"/>
          </w:tcPr>
          <w:p w14:paraId="22E47595" w14:textId="77777777" w:rsidR="00860477" w:rsidRPr="008329D2" w:rsidRDefault="00860477" w:rsidP="003F0819">
            <w:pPr>
              <w:jc w:val="both"/>
              <w:rPr>
                <w:rFonts w:ascii="ITC Avant Garde" w:hAnsi="ITC Avant Garde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DBDBDB" w:themeFill="accent3" w:themeFillTint="66"/>
            <w:vAlign w:val="center"/>
          </w:tcPr>
          <w:p w14:paraId="317F9F89" w14:textId="77777777" w:rsidR="00860477" w:rsidRPr="008329D2" w:rsidRDefault="00860477" w:rsidP="003F0819">
            <w:pPr>
              <w:jc w:val="both"/>
              <w:rPr>
                <w:rFonts w:ascii="ITC Avant Garde" w:hAnsi="ITC Avant Garde"/>
                <w:b/>
                <w:sz w:val="18"/>
                <w:szCs w:val="18"/>
              </w:rPr>
            </w:pPr>
            <w:r w:rsidRPr="008329D2">
              <w:rPr>
                <w:rFonts w:ascii="ITC Avant Garde" w:hAnsi="ITC Avant Garde"/>
                <w:b/>
                <w:sz w:val="18"/>
                <w:szCs w:val="18"/>
              </w:rPr>
              <w:t>En su caso, fecha de inicio y conclusión de la consulta pública:</w:t>
            </w:r>
          </w:p>
        </w:tc>
        <w:tc>
          <w:tcPr>
            <w:tcW w:w="3021" w:type="dxa"/>
            <w:shd w:val="clear" w:color="auto" w:fill="DBDBDB" w:themeFill="accent3" w:themeFillTint="66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795"/>
            </w:tblGrid>
            <w:tr w:rsidR="00D92B8F" w:rsidRPr="008329D2" w14:paraId="1DA0D01E" w14:textId="77777777" w:rsidTr="00EC53A4">
              <w:trPr>
                <w:trHeight w:val="390"/>
              </w:trPr>
              <w:tc>
                <w:tcPr>
                  <w:tcW w:w="3021" w:type="dxa"/>
                  <w:shd w:val="clear" w:color="auto" w:fill="DBDBDB" w:themeFill="accent3" w:themeFillTint="66"/>
                  <w:vAlign w:val="center"/>
                </w:tcPr>
                <w:p w14:paraId="08180C69" w14:textId="77777777" w:rsidR="00D92B8F" w:rsidRPr="008329D2" w:rsidRDefault="005C1605" w:rsidP="00D8558F">
                  <w:pPr>
                    <w:spacing w:after="160" w:line="259" w:lineRule="auto"/>
                    <w:jc w:val="center"/>
                    <w:rPr>
                      <w:rFonts w:ascii="ITC Avant Garde" w:hAnsi="ITC Avant Garde"/>
                      <w:sz w:val="18"/>
                      <w:szCs w:val="18"/>
                    </w:rPr>
                  </w:pPr>
                  <w:r>
                    <w:rPr>
                      <w:rFonts w:ascii="ITC Avant Garde" w:hAnsi="ITC Avant Garde"/>
                      <w:sz w:val="18"/>
                      <w:szCs w:val="18"/>
                    </w:rPr>
                    <w:t>02</w:t>
                  </w:r>
                  <w:r w:rsidR="00D8558F" w:rsidRPr="008329D2">
                    <w:rPr>
                      <w:rFonts w:ascii="ITC Avant Garde" w:hAnsi="ITC Avant Garde"/>
                      <w:sz w:val="18"/>
                      <w:szCs w:val="18"/>
                    </w:rPr>
                    <w:t>/</w:t>
                  </w:r>
                  <w:r w:rsidR="00D8558F">
                    <w:rPr>
                      <w:rFonts w:ascii="ITC Avant Garde" w:hAnsi="ITC Avant Garde"/>
                      <w:sz w:val="18"/>
                      <w:szCs w:val="18"/>
                    </w:rPr>
                    <w:t>10</w:t>
                  </w:r>
                  <w:r w:rsidR="00D8558F" w:rsidRPr="008329D2">
                    <w:rPr>
                      <w:rFonts w:ascii="ITC Avant Garde" w:hAnsi="ITC Avant Garde"/>
                      <w:sz w:val="18"/>
                      <w:szCs w:val="18"/>
                    </w:rPr>
                    <w:t>/</w:t>
                  </w:r>
                  <w:r w:rsidR="00D8558F">
                    <w:rPr>
                      <w:rFonts w:ascii="ITC Avant Garde" w:hAnsi="ITC Avant Garde"/>
                      <w:sz w:val="18"/>
                      <w:szCs w:val="18"/>
                    </w:rPr>
                    <w:t>2018</w:t>
                  </w:r>
                  <w:r w:rsidR="00D8558F" w:rsidRPr="008329D2">
                    <w:rPr>
                      <w:rFonts w:ascii="ITC Avant Garde" w:hAnsi="ITC Avant Garde"/>
                      <w:sz w:val="18"/>
                      <w:szCs w:val="18"/>
                    </w:rPr>
                    <w:t xml:space="preserve"> a </w:t>
                  </w:r>
                  <w:r>
                    <w:rPr>
                      <w:rFonts w:ascii="ITC Avant Garde" w:hAnsi="ITC Avant Garde"/>
                      <w:sz w:val="18"/>
                      <w:szCs w:val="18"/>
                    </w:rPr>
                    <w:t>12</w:t>
                  </w:r>
                  <w:r w:rsidR="00D8558F" w:rsidRPr="008329D2">
                    <w:rPr>
                      <w:rFonts w:ascii="ITC Avant Garde" w:hAnsi="ITC Avant Garde"/>
                      <w:sz w:val="18"/>
                      <w:szCs w:val="18"/>
                    </w:rPr>
                    <w:t>/</w:t>
                  </w:r>
                  <w:r w:rsidR="00D8558F">
                    <w:rPr>
                      <w:rFonts w:ascii="ITC Avant Garde" w:hAnsi="ITC Avant Garde"/>
                      <w:sz w:val="18"/>
                      <w:szCs w:val="18"/>
                    </w:rPr>
                    <w:t>11</w:t>
                  </w:r>
                  <w:r w:rsidR="00D8558F" w:rsidRPr="008329D2">
                    <w:rPr>
                      <w:rFonts w:ascii="ITC Avant Garde" w:hAnsi="ITC Avant Garde"/>
                      <w:sz w:val="18"/>
                      <w:szCs w:val="18"/>
                    </w:rPr>
                    <w:t>/</w:t>
                  </w:r>
                  <w:r w:rsidR="00D8558F">
                    <w:rPr>
                      <w:rFonts w:ascii="ITC Avant Garde" w:hAnsi="ITC Avant Garde"/>
                      <w:sz w:val="18"/>
                      <w:szCs w:val="18"/>
                    </w:rPr>
                    <w:t>2018</w:t>
                  </w:r>
                </w:p>
              </w:tc>
            </w:tr>
          </w:tbl>
          <w:p w14:paraId="3D5CDCAD" w14:textId="77777777" w:rsidR="00860477" w:rsidRPr="008329D2" w:rsidRDefault="00860477" w:rsidP="00D92B8F">
            <w:pPr>
              <w:jc w:val="center"/>
              <w:rPr>
                <w:rFonts w:ascii="ITC Avant Garde" w:hAnsi="ITC Avant Garde"/>
                <w:sz w:val="18"/>
                <w:szCs w:val="18"/>
              </w:rPr>
            </w:pPr>
          </w:p>
        </w:tc>
      </w:tr>
    </w:tbl>
    <w:p w14:paraId="175539E0" w14:textId="77777777" w:rsidR="00860477" w:rsidRPr="00451B7D" w:rsidRDefault="00860477" w:rsidP="00501ADF">
      <w:pPr>
        <w:jc w:val="both"/>
        <w:rPr>
          <w:rFonts w:ascii="ITC Avant Garde" w:hAnsi="ITC Avant Garde"/>
          <w:sz w:val="18"/>
          <w:szCs w:val="18"/>
        </w:rPr>
      </w:pPr>
    </w:p>
    <w:p w14:paraId="3B99FEA6" w14:textId="77777777" w:rsidR="001932FC" w:rsidRPr="00451B7D" w:rsidRDefault="001932FC" w:rsidP="0068307E">
      <w:pPr>
        <w:shd w:val="clear" w:color="auto" w:fill="A8D08D" w:themeFill="accent6" w:themeFillTint="99"/>
        <w:jc w:val="both"/>
        <w:rPr>
          <w:rFonts w:ascii="ITC Avant Garde" w:hAnsi="ITC Avant Garde"/>
          <w:b/>
          <w:sz w:val="18"/>
          <w:szCs w:val="18"/>
        </w:rPr>
      </w:pPr>
      <w:r w:rsidRPr="00451B7D">
        <w:rPr>
          <w:rFonts w:ascii="ITC Avant Garde" w:hAnsi="ITC Avant Garde"/>
          <w:b/>
          <w:sz w:val="18"/>
          <w:szCs w:val="18"/>
        </w:rPr>
        <w:t xml:space="preserve">I. DEFINICIÓN DEL PROBLEMA Y OBJETIVOS GENERALES DE LA </w:t>
      </w:r>
      <w:r w:rsidR="00D23BD5" w:rsidRPr="00451B7D">
        <w:rPr>
          <w:rFonts w:ascii="ITC Avant Garde" w:hAnsi="ITC Avant Garde"/>
          <w:b/>
          <w:sz w:val="18"/>
          <w:szCs w:val="18"/>
        </w:rPr>
        <w:t xml:space="preserve">PROPUESTA DE </w:t>
      </w:r>
      <w:r w:rsidRPr="00451B7D">
        <w:rPr>
          <w:rFonts w:ascii="ITC Avant Garde" w:hAnsi="ITC Avant Garde"/>
          <w:b/>
          <w:sz w:val="18"/>
          <w:szCs w:val="18"/>
        </w:rPr>
        <w:t>REGULACIÓN.</w:t>
      </w:r>
    </w:p>
    <w:tbl>
      <w:tblPr>
        <w:tblStyle w:val="Tablaconcuadrcul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8828"/>
      </w:tblGrid>
      <w:tr w:rsidR="001932FC" w:rsidRPr="00451B7D" w14:paraId="5C1082F4" w14:textId="77777777" w:rsidTr="008A48B0">
        <w:tc>
          <w:tcPr>
            <w:tcW w:w="8828" w:type="dxa"/>
            <w:shd w:val="clear" w:color="auto" w:fill="FFFFFF" w:themeFill="background1"/>
          </w:tcPr>
          <w:p w14:paraId="1DCAE998" w14:textId="77777777" w:rsidR="001932FC" w:rsidRDefault="001932FC" w:rsidP="008A48B0">
            <w:pPr>
              <w:shd w:val="clear" w:color="auto" w:fill="FFFFFF" w:themeFill="background1"/>
              <w:jc w:val="both"/>
              <w:rPr>
                <w:rFonts w:ascii="ITC Avant Garde" w:hAnsi="ITC Avant Garde"/>
                <w:b/>
                <w:sz w:val="18"/>
                <w:szCs w:val="18"/>
              </w:rPr>
            </w:pPr>
            <w:r w:rsidRPr="00451B7D">
              <w:rPr>
                <w:rFonts w:ascii="ITC Avant Garde" w:hAnsi="ITC Avant Garde"/>
                <w:b/>
                <w:sz w:val="18"/>
                <w:szCs w:val="18"/>
              </w:rPr>
              <w:t>1.</w:t>
            </w:r>
            <w:r w:rsidR="00E6080B" w:rsidRPr="00451B7D">
              <w:rPr>
                <w:rFonts w:ascii="ITC Avant Garde" w:hAnsi="ITC Avant Garde"/>
                <w:b/>
                <w:sz w:val="18"/>
                <w:szCs w:val="18"/>
              </w:rPr>
              <w:t>-</w:t>
            </w:r>
            <w:r w:rsidRPr="00451B7D">
              <w:rPr>
                <w:rFonts w:ascii="ITC Avant Garde" w:hAnsi="ITC Avant Garde"/>
                <w:b/>
                <w:sz w:val="18"/>
                <w:szCs w:val="18"/>
              </w:rPr>
              <w:t xml:space="preserve"> </w:t>
            </w:r>
            <w:r w:rsidR="00D221B5" w:rsidRPr="00451B7D">
              <w:rPr>
                <w:rFonts w:ascii="ITC Avant Garde" w:hAnsi="ITC Avant Garde"/>
                <w:b/>
                <w:sz w:val="18"/>
                <w:szCs w:val="18"/>
              </w:rPr>
              <w:t xml:space="preserve">Explique brevemente </w:t>
            </w:r>
            <w:r w:rsidR="00BE7D1C" w:rsidRPr="00451B7D">
              <w:rPr>
                <w:rFonts w:ascii="ITC Avant Garde" w:hAnsi="ITC Avant Garde"/>
                <w:b/>
                <w:sz w:val="18"/>
                <w:szCs w:val="18"/>
              </w:rPr>
              <w:t xml:space="preserve">la problemática que pretende prevenir o resolver la propuesta de regulación, así como </w:t>
            </w:r>
            <w:r w:rsidR="00D221B5" w:rsidRPr="00451B7D">
              <w:rPr>
                <w:rFonts w:ascii="ITC Avant Garde" w:hAnsi="ITC Avant Garde"/>
                <w:b/>
                <w:sz w:val="18"/>
                <w:szCs w:val="18"/>
              </w:rPr>
              <w:t xml:space="preserve">en qué consiste </w:t>
            </w:r>
            <w:r w:rsidR="005319D5" w:rsidRPr="00451B7D">
              <w:rPr>
                <w:rFonts w:ascii="ITC Avant Garde" w:hAnsi="ITC Avant Garde"/>
                <w:b/>
                <w:sz w:val="18"/>
                <w:szCs w:val="18"/>
              </w:rPr>
              <w:t xml:space="preserve">ésta </w:t>
            </w:r>
            <w:r w:rsidR="00BE7D1C" w:rsidRPr="00451B7D">
              <w:rPr>
                <w:rFonts w:ascii="ITC Avant Garde" w:hAnsi="ITC Avant Garde"/>
                <w:b/>
                <w:sz w:val="18"/>
                <w:szCs w:val="18"/>
              </w:rPr>
              <w:t>y</w:t>
            </w:r>
            <w:r w:rsidR="00D221B5" w:rsidRPr="00451B7D">
              <w:rPr>
                <w:rFonts w:ascii="ITC Avant Garde" w:hAnsi="ITC Avant Garde"/>
                <w:b/>
                <w:sz w:val="18"/>
                <w:szCs w:val="18"/>
              </w:rPr>
              <w:t xml:space="preserve"> sus objetivos generales</w:t>
            </w:r>
            <w:r w:rsidRPr="00451B7D">
              <w:rPr>
                <w:rFonts w:ascii="ITC Avant Garde" w:hAnsi="ITC Avant Garde"/>
                <w:b/>
                <w:sz w:val="18"/>
                <w:szCs w:val="18"/>
              </w:rPr>
              <w:t>:</w:t>
            </w:r>
          </w:p>
          <w:p w14:paraId="0C70240B" w14:textId="77777777" w:rsidR="00B54A92" w:rsidRPr="00B54A92" w:rsidRDefault="00B54A92" w:rsidP="008A48B0">
            <w:pPr>
              <w:shd w:val="clear" w:color="auto" w:fill="FFFFFF" w:themeFill="background1"/>
              <w:jc w:val="both"/>
              <w:rPr>
                <w:rFonts w:ascii="ITC Avant Garde" w:hAnsi="ITC Avant Garde"/>
                <w:b/>
                <w:sz w:val="20"/>
                <w:szCs w:val="20"/>
              </w:rPr>
            </w:pPr>
          </w:p>
          <w:p w14:paraId="452379D6" w14:textId="77777777" w:rsidR="00B54A92" w:rsidRDefault="00B54A92" w:rsidP="00B54A92">
            <w:pPr>
              <w:spacing w:after="120"/>
              <w:jc w:val="both"/>
              <w:rPr>
                <w:rFonts w:ascii="ITC Avant Garde" w:hAnsi="ITC Avant Garde"/>
                <w:sz w:val="18"/>
                <w:szCs w:val="18"/>
              </w:rPr>
            </w:pPr>
            <w:r w:rsidRPr="00B54A92">
              <w:rPr>
                <w:rFonts w:ascii="ITC Avant Garde" w:hAnsi="ITC Avant Garde"/>
                <w:sz w:val="18"/>
                <w:szCs w:val="18"/>
              </w:rPr>
              <w:t>El Instituto</w:t>
            </w:r>
            <w:r w:rsidR="00FB2B57">
              <w:rPr>
                <w:rFonts w:ascii="ITC Avant Garde" w:hAnsi="ITC Avant Garde"/>
                <w:sz w:val="18"/>
                <w:szCs w:val="18"/>
              </w:rPr>
              <w:t xml:space="preserve"> Federal de Telecomunicaciones (Instituto)</w:t>
            </w:r>
            <w:r w:rsidRPr="00B54A92">
              <w:rPr>
                <w:rFonts w:ascii="ITC Avant Garde" w:hAnsi="ITC Avant Garde"/>
                <w:sz w:val="18"/>
                <w:szCs w:val="18"/>
              </w:rPr>
              <w:t xml:space="preserve"> es la autoridad en materia de competencia económica en los sectores de telecomunicaciones y radiodifusión, por lo que en ellos tiene por objeto garantizar la libre competencia y concurrencia, así como prevenir, investigar y combatir las prácticas monopólicas, las concentraciones</w:t>
            </w:r>
            <w:r w:rsidR="00142774">
              <w:rPr>
                <w:rFonts w:ascii="ITC Avant Garde" w:hAnsi="ITC Avant Garde"/>
                <w:sz w:val="18"/>
                <w:szCs w:val="18"/>
              </w:rPr>
              <w:t xml:space="preserve"> ilícitas</w:t>
            </w:r>
            <w:r w:rsidRPr="00B54A92">
              <w:rPr>
                <w:rFonts w:ascii="ITC Avant Garde" w:hAnsi="ITC Avant Garde"/>
                <w:sz w:val="18"/>
                <w:szCs w:val="18"/>
              </w:rPr>
              <w:t xml:space="preserve"> y demás restricciones al funcionamiento eficiente de los mercados. </w:t>
            </w:r>
          </w:p>
          <w:p w14:paraId="7D05D749" w14:textId="77777777" w:rsidR="0071056F" w:rsidRDefault="0071056F" w:rsidP="0071056F">
            <w:pPr>
              <w:spacing w:after="120"/>
              <w:jc w:val="both"/>
              <w:rPr>
                <w:rFonts w:ascii="ITC Avant Garde" w:hAnsi="ITC Avant Garde"/>
                <w:sz w:val="18"/>
              </w:rPr>
            </w:pPr>
            <w:r>
              <w:rPr>
                <w:rFonts w:ascii="ITC Avant Garde" w:hAnsi="ITC Avant Garde"/>
                <w:sz w:val="18"/>
                <w:szCs w:val="18"/>
              </w:rPr>
              <w:t xml:space="preserve">Para cumplir sus funciones como autoridad en materia de competencia económica el Instituto cuenta, entre otras unidades administrativas, con la Autoridad Investigadora, encargada de sustanciar </w:t>
            </w:r>
            <w:r w:rsidRPr="009F5069">
              <w:rPr>
                <w:rFonts w:ascii="ITC Avant Garde" w:hAnsi="ITC Avant Garde"/>
                <w:sz w:val="18"/>
              </w:rPr>
              <w:t>la investigación</w:t>
            </w:r>
            <w:r w:rsidR="00F611C7">
              <w:rPr>
                <w:rFonts w:ascii="ITC Avant Garde" w:hAnsi="ITC Avant Garde"/>
                <w:sz w:val="18"/>
              </w:rPr>
              <w:t xml:space="preserve">, durante la cual </w:t>
            </w:r>
            <w:r w:rsidR="00195F53">
              <w:rPr>
                <w:rFonts w:ascii="ITC Avant Garde" w:hAnsi="ITC Avant Garde"/>
                <w:sz w:val="18"/>
              </w:rPr>
              <w:t>puede tener</w:t>
            </w:r>
            <w:r w:rsidR="007F3179">
              <w:rPr>
                <w:rFonts w:ascii="ITC Avant Garde" w:hAnsi="ITC Avant Garde"/>
                <w:sz w:val="18"/>
              </w:rPr>
              <w:t xml:space="preserve"> lugar</w:t>
            </w:r>
            <w:r>
              <w:rPr>
                <w:rFonts w:ascii="ITC Avant Garde" w:hAnsi="ITC Avant Garde"/>
                <w:sz w:val="18"/>
              </w:rPr>
              <w:t xml:space="preserve"> el procedimiento de dispensa o</w:t>
            </w:r>
            <w:r w:rsidRPr="009F5069">
              <w:rPr>
                <w:rFonts w:ascii="ITC Avant Garde" w:hAnsi="ITC Avant Garde"/>
                <w:sz w:val="18"/>
              </w:rPr>
              <w:t xml:space="preserve"> reducción del importe de multas</w:t>
            </w:r>
            <w:r w:rsidR="00F611C7">
              <w:rPr>
                <w:rFonts w:ascii="ITC Avant Garde" w:hAnsi="ITC Avant Garde"/>
                <w:sz w:val="18"/>
              </w:rPr>
              <w:t>, beneficio que puede solicitar el agente económico sujeto a una investigación de prácticas monopólicas relativas o concentraciones ilícitas</w:t>
            </w:r>
            <w:r w:rsidRPr="009F5069">
              <w:rPr>
                <w:rFonts w:ascii="ITC Avant Garde" w:hAnsi="ITC Avant Garde"/>
                <w:sz w:val="18"/>
              </w:rPr>
              <w:t>.</w:t>
            </w:r>
          </w:p>
          <w:p w14:paraId="642115D6" w14:textId="77777777" w:rsidR="00F506AD" w:rsidRDefault="00BA43D1" w:rsidP="0071056F">
            <w:pPr>
              <w:spacing w:after="120"/>
              <w:jc w:val="both"/>
              <w:rPr>
                <w:rFonts w:ascii="ITC Avant Garde" w:hAnsi="ITC Avant Garde"/>
                <w:sz w:val="18"/>
                <w:szCs w:val="18"/>
              </w:rPr>
            </w:pPr>
            <w:r>
              <w:rPr>
                <w:rFonts w:ascii="ITC Avant Garde" w:hAnsi="ITC Avant Garde"/>
                <w:sz w:val="18"/>
                <w:szCs w:val="18"/>
              </w:rPr>
              <w:t>La problemática que se pretende resolver consiste en que</w:t>
            </w:r>
            <w:r w:rsidR="00FF4F19">
              <w:rPr>
                <w:rFonts w:ascii="ITC Avant Garde" w:hAnsi="ITC Avant Garde"/>
                <w:sz w:val="18"/>
                <w:szCs w:val="18"/>
              </w:rPr>
              <w:t>,</w:t>
            </w:r>
            <w:r w:rsidR="00F506AD">
              <w:rPr>
                <w:rFonts w:ascii="ITC Avant Garde" w:hAnsi="ITC Avant Garde"/>
                <w:sz w:val="18"/>
              </w:rPr>
              <w:t xml:space="preserve"> </w:t>
            </w:r>
            <w:r w:rsidR="0071056F">
              <w:rPr>
                <w:rFonts w:ascii="ITC Avant Garde" w:hAnsi="ITC Avant Garde"/>
                <w:sz w:val="18"/>
                <w:szCs w:val="18"/>
              </w:rPr>
              <w:t>en ocasiones</w:t>
            </w:r>
            <w:r>
              <w:rPr>
                <w:rFonts w:ascii="ITC Avant Garde" w:hAnsi="ITC Avant Garde"/>
                <w:sz w:val="18"/>
                <w:szCs w:val="18"/>
              </w:rPr>
              <w:t>,</w:t>
            </w:r>
            <w:r w:rsidR="0071056F">
              <w:rPr>
                <w:rFonts w:ascii="ITC Avant Garde" w:hAnsi="ITC Avant Garde"/>
                <w:sz w:val="18"/>
                <w:szCs w:val="18"/>
              </w:rPr>
              <w:t xml:space="preserve"> los agentes económicos, los litigantes, las autoridades y el público en general no tienen conocimiento claro sobre </w:t>
            </w:r>
            <w:r w:rsidR="00E95C25">
              <w:rPr>
                <w:rFonts w:ascii="ITC Avant Garde" w:hAnsi="ITC Avant Garde"/>
                <w:sz w:val="18"/>
                <w:szCs w:val="18"/>
              </w:rPr>
              <w:t xml:space="preserve">el procedimiento de dispensa o reducción del importe de multas mencionado. </w:t>
            </w:r>
          </w:p>
          <w:p w14:paraId="644F9891" w14:textId="77777777" w:rsidR="00F506AD" w:rsidRPr="00F506AD" w:rsidRDefault="00F611C7" w:rsidP="00F506AD">
            <w:pPr>
              <w:spacing w:after="120"/>
              <w:jc w:val="both"/>
              <w:rPr>
                <w:rFonts w:ascii="ITC Avant Garde" w:hAnsi="ITC Avant Garde"/>
                <w:sz w:val="18"/>
                <w:szCs w:val="18"/>
              </w:rPr>
            </w:pPr>
            <w:r>
              <w:rPr>
                <w:rFonts w:ascii="ITC Avant Garde" w:hAnsi="ITC Avant Garde"/>
                <w:sz w:val="18"/>
                <w:szCs w:val="18"/>
              </w:rPr>
              <w:t>E</w:t>
            </w:r>
            <w:r w:rsidR="00F506AD" w:rsidRPr="00F506AD">
              <w:rPr>
                <w:rFonts w:ascii="ITC Avant Garde" w:hAnsi="ITC Avant Garde"/>
                <w:sz w:val="18"/>
                <w:szCs w:val="18"/>
              </w:rPr>
              <w:t xml:space="preserve">l </w:t>
            </w:r>
            <w:r w:rsidR="00F506AD">
              <w:rPr>
                <w:rFonts w:ascii="ITC Avant Garde" w:hAnsi="ITC Avant Garde"/>
                <w:sz w:val="18"/>
                <w:szCs w:val="18"/>
              </w:rPr>
              <w:t>“</w:t>
            </w:r>
            <w:r w:rsidR="005B34E9">
              <w:rPr>
                <w:rFonts w:ascii="ITC Avant Garde" w:hAnsi="ITC Avant Garde"/>
                <w:sz w:val="18"/>
                <w:szCs w:val="18"/>
              </w:rPr>
              <w:t>Proyecto</w:t>
            </w:r>
            <w:r w:rsidR="00F506AD" w:rsidRPr="00F506AD">
              <w:rPr>
                <w:rFonts w:ascii="ITC Avant Garde" w:hAnsi="ITC Avant Garde"/>
                <w:sz w:val="18"/>
                <w:szCs w:val="18"/>
              </w:rPr>
              <w:t xml:space="preserve"> de guía del procedimiento de dispensa o reducción del importe de multas</w:t>
            </w:r>
            <w:r w:rsidR="00142774">
              <w:rPr>
                <w:rFonts w:ascii="ITC Avant Garde" w:hAnsi="ITC Avant Garde"/>
                <w:sz w:val="18"/>
                <w:szCs w:val="18"/>
              </w:rPr>
              <w:t xml:space="preserve"> </w:t>
            </w:r>
            <w:r w:rsidR="00142774" w:rsidRPr="00142774">
              <w:rPr>
                <w:rFonts w:ascii="ITC Avant Garde" w:hAnsi="ITC Avant Garde"/>
                <w:sz w:val="18"/>
                <w:szCs w:val="18"/>
              </w:rPr>
              <w:t>en investigaciones de prácticas monopólicas relativas o concentraciones ilícitas</w:t>
            </w:r>
            <w:r w:rsidR="00F506AD" w:rsidRPr="00F506AD">
              <w:rPr>
                <w:rFonts w:ascii="ITC Avant Garde" w:hAnsi="ITC Avant Garde"/>
                <w:sz w:val="18"/>
                <w:szCs w:val="18"/>
              </w:rPr>
              <w:t>, para los sectores de telecomunicaciones y radiodifusión</w:t>
            </w:r>
            <w:r w:rsidR="00F506AD">
              <w:rPr>
                <w:rFonts w:ascii="ITC Avant Garde" w:hAnsi="ITC Avant Garde"/>
                <w:sz w:val="18"/>
                <w:szCs w:val="18"/>
              </w:rPr>
              <w:t xml:space="preserve">” que se somete a consulta pública, tiene como objetivo </w:t>
            </w:r>
            <w:r w:rsidR="00F506AD" w:rsidRPr="00F506AD">
              <w:rPr>
                <w:rFonts w:ascii="ITC Avant Garde" w:hAnsi="ITC Avant Garde"/>
                <w:sz w:val="18"/>
                <w:szCs w:val="18"/>
              </w:rPr>
              <w:t>orientar al público en general sobre</w:t>
            </w:r>
            <w:r w:rsidR="007F3179">
              <w:rPr>
                <w:rFonts w:ascii="ITC Avant Garde" w:hAnsi="ITC Avant Garde"/>
                <w:sz w:val="18"/>
                <w:szCs w:val="18"/>
              </w:rPr>
              <w:t xml:space="preserve"> </w:t>
            </w:r>
            <w:r>
              <w:rPr>
                <w:rFonts w:ascii="ITC Avant Garde" w:hAnsi="ITC Avant Garde"/>
                <w:sz w:val="18"/>
                <w:szCs w:val="18"/>
              </w:rPr>
              <w:t>el referido</w:t>
            </w:r>
            <w:r w:rsidRPr="00F506AD">
              <w:rPr>
                <w:rFonts w:ascii="ITC Avant Garde" w:hAnsi="ITC Avant Garde"/>
                <w:sz w:val="18"/>
                <w:szCs w:val="18"/>
              </w:rPr>
              <w:t xml:space="preserve"> </w:t>
            </w:r>
            <w:r w:rsidR="00F506AD" w:rsidRPr="00F506AD">
              <w:rPr>
                <w:rFonts w:ascii="ITC Avant Garde" w:hAnsi="ITC Avant Garde"/>
                <w:sz w:val="18"/>
                <w:szCs w:val="18"/>
              </w:rPr>
              <w:t>procedimiento, particularmente sobre la información y documentos adecuados para satisfacer los requisitos establecidos en</w:t>
            </w:r>
            <w:r>
              <w:rPr>
                <w:rFonts w:ascii="ITC Avant Garde" w:hAnsi="ITC Avant Garde"/>
                <w:sz w:val="18"/>
                <w:szCs w:val="18"/>
              </w:rPr>
              <w:t xml:space="preserve"> el artículo 100 de</w:t>
            </w:r>
            <w:r w:rsidR="00F506AD" w:rsidRPr="00F506AD">
              <w:rPr>
                <w:rFonts w:ascii="ITC Avant Garde" w:hAnsi="ITC Avant Garde"/>
                <w:sz w:val="18"/>
                <w:szCs w:val="18"/>
              </w:rPr>
              <w:t xml:space="preserve"> la </w:t>
            </w:r>
            <w:r>
              <w:rPr>
                <w:rFonts w:ascii="ITC Avant Garde" w:hAnsi="ITC Avant Garde"/>
                <w:sz w:val="18"/>
                <w:szCs w:val="18"/>
              </w:rPr>
              <w:t>Ley Federal de Competencia Económica (</w:t>
            </w:r>
            <w:r w:rsidR="00F506AD" w:rsidRPr="00F506AD">
              <w:rPr>
                <w:rFonts w:ascii="ITC Avant Garde" w:hAnsi="ITC Avant Garde"/>
                <w:sz w:val="18"/>
                <w:szCs w:val="18"/>
              </w:rPr>
              <w:t>LFCE</w:t>
            </w:r>
            <w:r>
              <w:rPr>
                <w:rFonts w:ascii="ITC Avant Garde" w:hAnsi="ITC Avant Garde"/>
                <w:sz w:val="18"/>
                <w:szCs w:val="18"/>
              </w:rPr>
              <w:t>)</w:t>
            </w:r>
            <w:r w:rsidR="00F506AD" w:rsidRPr="00F506AD">
              <w:rPr>
                <w:rFonts w:ascii="ITC Avant Garde" w:hAnsi="ITC Avant Garde"/>
                <w:sz w:val="18"/>
                <w:szCs w:val="18"/>
              </w:rPr>
              <w:t xml:space="preserve">. </w:t>
            </w:r>
          </w:p>
          <w:p w14:paraId="5C9CED1B" w14:textId="77777777" w:rsidR="00F506AD" w:rsidRDefault="0064680F" w:rsidP="00F506AD">
            <w:pPr>
              <w:spacing w:after="120"/>
              <w:jc w:val="both"/>
              <w:rPr>
                <w:rFonts w:ascii="ITC Avant Garde" w:hAnsi="ITC Avant Garde"/>
                <w:sz w:val="18"/>
                <w:szCs w:val="18"/>
              </w:rPr>
            </w:pPr>
            <w:r>
              <w:rPr>
                <w:rFonts w:ascii="ITC Avant Garde" w:hAnsi="ITC Avant Garde"/>
                <w:sz w:val="18"/>
                <w:szCs w:val="18"/>
              </w:rPr>
              <w:t xml:space="preserve">Para ello, </w:t>
            </w:r>
            <w:r w:rsidR="00F506AD" w:rsidRPr="00F506AD">
              <w:rPr>
                <w:rFonts w:ascii="ITC Avant Garde" w:hAnsi="ITC Avant Garde"/>
                <w:sz w:val="18"/>
                <w:szCs w:val="18"/>
              </w:rPr>
              <w:t xml:space="preserve">en el </w:t>
            </w:r>
            <w:r w:rsidR="005B34E9">
              <w:rPr>
                <w:rFonts w:ascii="ITC Avant Garde" w:hAnsi="ITC Avant Garde"/>
                <w:sz w:val="18"/>
                <w:szCs w:val="18"/>
              </w:rPr>
              <w:t>proyecto</w:t>
            </w:r>
            <w:r w:rsidR="00F506AD" w:rsidRPr="00F506AD">
              <w:rPr>
                <w:rFonts w:ascii="ITC Avant Garde" w:hAnsi="ITC Avant Garde"/>
                <w:sz w:val="18"/>
                <w:szCs w:val="18"/>
              </w:rPr>
              <w:t xml:space="preserve"> se </w:t>
            </w:r>
            <w:r w:rsidR="00142774">
              <w:rPr>
                <w:rFonts w:ascii="ITC Avant Garde" w:hAnsi="ITC Avant Garde"/>
                <w:sz w:val="18"/>
                <w:szCs w:val="18"/>
              </w:rPr>
              <w:t>identifican</w:t>
            </w:r>
            <w:r w:rsidR="00F506AD" w:rsidRPr="00F506AD">
              <w:rPr>
                <w:rFonts w:ascii="ITC Avant Garde" w:hAnsi="ITC Avant Garde"/>
                <w:sz w:val="18"/>
                <w:szCs w:val="18"/>
              </w:rPr>
              <w:t xml:space="preserve"> las conductas anticompetitivas que pueden ser objeto del beneficio de dispensa o reducción del importe de multas;</w:t>
            </w:r>
            <w:r w:rsidR="00860477">
              <w:rPr>
                <w:rFonts w:ascii="ITC Avant Garde" w:hAnsi="ITC Avant Garde"/>
                <w:sz w:val="18"/>
                <w:szCs w:val="18"/>
              </w:rPr>
              <w:t xml:space="preserve"> </w:t>
            </w:r>
            <w:r w:rsidR="00860477" w:rsidRPr="00860477">
              <w:rPr>
                <w:rFonts w:ascii="ITC Avant Garde" w:hAnsi="ITC Avant Garde"/>
                <w:sz w:val="18"/>
                <w:szCs w:val="18"/>
              </w:rPr>
              <w:t>los requisitos que debe cumplir el escrito de solicitud; las actuaciones que puede realizar la Autoridad Investigadora y el solicitante durante el procedimiento; el sentido de la resolución que puede emitir el Pleno del Instituto y los elementos que puede tomar en consideración para ello; así como la conclusión o reanudación de la i</w:t>
            </w:r>
            <w:r w:rsidR="00860477">
              <w:rPr>
                <w:rFonts w:ascii="ITC Avant Garde" w:hAnsi="ITC Avant Garde"/>
                <w:sz w:val="18"/>
                <w:szCs w:val="18"/>
              </w:rPr>
              <w:t xml:space="preserve">nvestigación, según corresponda; </w:t>
            </w:r>
            <w:r w:rsidR="00F506AD" w:rsidRPr="00F506AD">
              <w:rPr>
                <w:rFonts w:ascii="ITC Avant Garde" w:hAnsi="ITC Avant Garde"/>
                <w:sz w:val="18"/>
                <w:szCs w:val="18"/>
              </w:rPr>
              <w:t>la verificación del cumplimiento de los compromisos, así como lo relativo a la clasificación de la información presentada.</w:t>
            </w:r>
          </w:p>
          <w:p w14:paraId="0B411D5F" w14:textId="77777777" w:rsidR="001932FC" w:rsidRPr="00451B7D" w:rsidRDefault="00F611C7" w:rsidP="000E4ED8">
            <w:pPr>
              <w:spacing w:after="120"/>
              <w:jc w:val="both"/>
              <w:rPr>
                <w:rFonts w:ascii="ITC Avant Garde" w:hAnsi="ITC Avant Garde"/>
                <w:sz w:val="18"/>
                <w:szCs w:val="18"/>
              </w:rPr>
            </w:pPr>
            <w:r>
              <w:rPr>
                <w:rFonts w:ascii="ITC Avant Garde" w:hAnsi="ITC Avant Garde"/>
                <w:sz w:val="18"/>
                <w:szCs w:val="18"/>
              </w:rPr>
              <w:t>L</w:t>
            </w:r>
            <w:r w:rsidR="00B54A92" w:rsidRPr="00B54A92">
              <w:rPr>
                <w:rFonts w:ascii="ITC Avant Garde" w:hAnsi="ITC Avant Garde"/>
                <w:sz w:val="18"/>
                <w:szCs w:val="18"/>
              </w:rPr>
              <w:t>a guía no interpreta ni sustituye el marco jurídico aplicable.</w:t>
            </w:r>
          </w:p>
        </w:tc>
      </w:tr>
    </w:tbl>
    <w:tbl>
      <w:tblPr>
        <w:tblStyle w:val="Tablaconcuadrcula"/>
        <w:tblpPr w:leftFromText="141" w:rightFromText="141" w:vertAnchor="text" w:horzAnchor="margin" w:tblpY="356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41497" w:rsidRPr="00451B7D" w14:paraId="5F9CECAD" w14:textId="77777777" w:rsidTr="00B41497">
        <w:tc>
          <w:tcPr>
            <w:tcW w:w="8828" w:type="dxa"/>
          </w:tcPr>
          <w:p w14:paraId="007CA263" w14:textId="77777777" w:rsidR="00B41497" w:rsidRPr="00451B7D" w:rsidRDefault="00B41497" w:rsidP="00B41497">
            <w:pPr>
              <w:jc w:val="both"/>
              <w:rPr>
                <w:rFonts w:ascii="ITC Avant Garde" w:hAnsi="ITC Avant Garde"/>
                <w:b/>
                <w:sz w:val="18"/>
                <w:szCs w:val="18"/>
              </w:rPr>
            </w:pPr>
            <w:r w:rsidRPr="00451B7D">
              <w:rPr>
                <w:rFonts w:ascii="ITC Avant Garde" w:hAnsi="ITC Avant Garde"/>
                <w:b/>
                <w:sz w:val="18"/>
                <w:szCs w:val="18"/>
              </w:rPr>
              <w:t xml:space="preserve">2.- </w:t>
            </w:r>
            <w:r w:rsidR="00A81C3A" w:rsidRPr="00A81C3A">
              <w:rPr>
                <w:rFonts w:ascii="ITC Avant Garde" w:hAnsi="ITC Avant Garde"/>
                <w:b/>
                <w:sz w:val="18"/>
                <w:szCs w:val="18"/>
              </w:rPr>
              <w:t>Según sea el caso, conforme a lo señalado por los artículos 51 de la Ley Federal de Telecomunicaciones y Radiodifusión y 12, fracción XXII, de la Ley Federal de Competencia Económica,</w:t>
            </w:r>
            <w:r w:rsidRPr="00451B7D">
              <w:rPr>
                <w:rFonts w:ascii="ITC Avant Garde" w:hAnsi="ITC Avant Garde"/>
                <w:b/>
                <w:sz w:val="18"/>
                <w:szCs w:val="18"/>
              </w:rPr>
              <w:t xml:space="preserve"> ¿considera que la publicidad de la propuesta de regulación pueda comprometer los efectos que se pretenden </w:t>
            </w:r>
            <w:r w:rsidR="004226AE" w:rsidRPr="00451B7D">
              <w:rPr>
                <w:rFonts w:ascii="ITC Avant Garde" w:hAnsi="ITC Avant Garde"/>
                <w:b/>
                <w:sz w:val="18"/>
                <w:szCs w:val="18"/>
              </w:rPr>
              <w:t xml:space="preserve">resolver o prevenir </w:t>
            </w:r>
            <w:r w:rsidRPr="00451B7D">
              <w:rPr>
                <w:rFonts w:ascii="ITC Avant Garde" w:hAnsi="ITC Avant Garde"/>
                <w:b/>
                <w:sz w:val="18"/>
                <w:szCs w:val="18"/>
              </w:rPr>
              <w:t xml:space="preserve">con </w:t>
            </w:r>
            <w:r w:rsidR="00372BF7" w:rsidRPr="00451B7D">
              <w:rPr>
                <w:rFonts w:ascii="ITC Avant Garde" w:hAnsi="ITC Avant Garde"/>
                <w:b/>
                <w:sz w:val="18"/>
                <w:szCs w:val="18"/>
              </w:rPr>
              <w:t>su</w:t>
            </w:r>
            <w:r w:rsidRPr="00451B7D">
              <w:rPr>
                <w:rFonts w:ascii="ITC Avant Garde" w:hAnsi="ITC Avant Garde"/>
                <w:b/>
                <w:sz w:val="18"/>
                <w:szCs w:val="18"/>
              </w:rPr>
              <w:t xml:space="preserve"> entrada en vigor?</w:t>
            </w:r>
          </w:p>
          <w:tbl>
            <w:tblPr>
              <w:tblStyle w:val="Tablaconcuadrcula"/>
              <w:tblpPr w:leftFromText="141" w:rightFromText="141" w:vertAnchor="text" w:horzAnchor="margin" w:tblpXSpec="center" w:tblpY="34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462"/>
            </w:tblGrid>
            <w:tr w:rsidR="00B41497" w:rsidRPr="00451B7D" w14:paraId="4C31EB83" w14:textId="77777777" w:rsidTr="00B41497">
              <w:tc>
                <w:tcPr>
                  <w:tcW w:w="1462" w:type="dxa"/>
                  <w:shd w:val="clear" w:color="auto" w:fill="A8D08D" w:themeFill="accent6" w:themeFillTint="99"/>
                </w:tcPr>
                <w:p w14:paraId="486E57FA" w14:textId="77777777" w:rsidR="00B41497" w:rsidRPr="00451B7D" w:rsidRDefault="00B41497" w:rsidP="00B41497">
                  <w:pPr>
                    <w:jc w:val="center"/>
                    <w:rPr>
                      <w:rFonts w:ascii="ITC Avant Garde" w:hAnsi="ITC Avant Garde"/>
                      <w:b/>
                      <w:sz w:val="18"/>
                      <w:szCs w:val="18"/>
                    </w:rPr>
                  </w:pPr>
                  <w:r w:rsidRPr="00451B7D">
                    <w:rPr>
                      <w:rFonts w:ascii="ITC Avant Garde" w:hAnsi="ITC Avant Garde"/>
                      <w:b/>
                      <w:sz w:val="18"/>
                      <w:szCs w:val="18"/>
                    </w:rPr>
                    <w:t>Seleccione</w:t>
                  </w:r>
                </w:p>
              </w:tc>
            </w:tr>
            <w:tr w:rsidR="00B41497" w:rsidRPr="00451B7D" w14:paraId="494451FF" w14:textId="77777777" w:rsidTr="00B41497">
              <w:tc>
                <w:tcPr>
                  <w:tcW w:w="1462" w:type="dxa"/>
                </w:tcPr>
                <w:p w14:paraId="3224CFCA" w14:textId="77777777" w:rsidR="00B41497" w:rsidRPr="00451B7D" w:rsidRDefault="00B41497" w:rsidP="00B41497">
                  <w:pPr>
                    <w:jc w:val="center"/>
                    <w:rPr>
                      <w:rFonts w:ascii="ITC Avant Garde" w:hAnsi="ITC Avant Garde"/>
                      <w:sz w:val="18"/>
                      <w:szCs w:val="18"/>
                    </w:rPr>
                  </w:pPr>
                  <w:r w:rsidRPr="00451B7D">
                    <w:rPr>
                      <w:rFonts w:ascii="ITC Avant Garde" w:hAnsi="ITC Avant Garde"/>
                      <w:sz w:val="18"/>
                      <w:szCs w:val="18"/>
                    </w:rPr>
                    <w:t>S</w:t>
                  </w:r>
                  <w:r w:rsidR="00FB58BA">
                    <w:rPr>
                      <w:rFonts w:ascii="ITC Avant Garde" w:hAnsi="ITC Avant Garde"/>
                      <w:sz w:val="18"/>
                      <w:szCs w:val="18"/>
                    </w:rPr>
                    <w:t>í</w:t>
                  </w:r>
                  <w:r w:rsidR="00861445">
                    <w:rPr>
                      <w:rFonts w:ascii="ITC Avant Garde" w:hAnsi="ITC Avant Garde"/>
                      <w:sz w:val="18"/>
                      <w:szCs w:val="18"/>
                    </w:rPr>
                    <w:t xml:space="preserve"> ( ) No (x</w:t>
                  </w:r>
                  <w:r w:rsidRPr="00451B7D">
                    <w:rPr>
                      <w:rFonts w:ascii="ITC Avant Garde" w:hAnsi="ITC Avant Garde"/>
                      <w:sz w:val="18"/>
                      <w:szCs w:val="18"/>
                    </w:rPr>
                    <w:t>)</w:t>
                  </w:r>
                </w:p>
              </w:tc>
            </w:tr>
          </w:tbl>
          <w:p w14:paraId="5D0A86C4" w14:textId="77777777" w:rsidR="00B41497" w:rsidRPr="00451B7D" w:rsidRDefault="00B41497" w:rsidP="00B41497">
            <w:pPr>
              <w:jc w:val="both"/>
              <w:rPr>
                <w:rFonts w:ascii="ITC Avant Garde" w:hAnsi="ITC Avant Garde"/>
                <w:sz w:val="18"/>
                <w:szCs w:val="18"/>
              </w:rPr>
            </w:pPr>
          </w:p>
          <w:p w14:paraId="77E0F2F4" w14:textId="77777777" w:rsidR="00B41497" w:rsidRPr="00451B7D" w:rsidRDefault="00B41497" w:rsidP="00B41497">
            <w:pPr>
              <w:jc w:val="both"/>
              <w:rPr>
                <w:rFonts w:ascii="ITC Avant Garde" w:hAnsi="ITC Avant Garde"/>
                <w:sz w:val="18"/>
                <w:szCs w:val="18"/>
              </w:rPr>
            </w:pPr>
          </w:p>
          <w:p w14:paraId="0BD56E1C" w14:textId="77777777" w:rsidR="00B41497" w:rsidRPr="00451B7D" w:rsidRDefault="00B41497" w:rsidP="00B41497">
            <w:pPr>
              <w:jc w:val="both"/>
              <w:rPr>
                <w:rFonts w:ascii="ITC Avant Garde" w:hAnsi="ITC Avant Garde"/>
                <w:sz w:val="18"/>
                <w:szCs w:val="18"/>
              </w:rPr>
            </w:pPr>
          </w:p>
          <w:p w14:paraId="15EDD834" w14:textId="77777777" w:rsidR="00B41497" w:rsidRPr="00451B7D" w:rsidRDefault="00B41497" w:rsidP="00B41497">
            <w:pPr>
              <w:jc w:val="both"/>
              <w:rPr>
                <w:rFonts w:ascii="ITC Avant Garde" w:hAnsi="ITC Avant Garde"/>
                <w:sz w:val="18"/>
                <w:szCs w:val="18"/>
              </w:rPr>
            </w:pPr>
          </w:p>
          <w:p w14:paraId="608C06ED" w14:textId="77777777" w:rsidR="000C16BC" w:rsidRDefault="000C16BC" w:rsidP="00B41497">
            <w:pPr>
              <w:jc w:val="both"/>
              <w:rPr>
                <w:rFonts w:ascii="ITC Avant Garde" w:hAnsi="ITC Avant Garde"/>
                <w:b/>
                <w:sz w:val="18"/>
                <w:szCs w:val="18"/>
              </w:rPr>
            </w:pPr>
          </w:p>
          <w:p w14:paraId="76F2893C" w14:textId="77777777" w:rsidR="00B41497" w:rsidRPr="00451B7D" w:rsidRDefault="00B41497" w:rsidP="00B41497">
            <w:pPr>
              <w:jc w:val="both"/>
              <w:rPr>
                <w:rFonts w:ascii="ITC Avant Garde" w:hAnsi="ITC Avant Garde"/>
                <w:sz w:val="18"/>
                <w:szCs w:val="18"/>
              </w:rPr>
            </w:pPr>
            <w:r w:rsidRPr="00451B7D">
              <w:rPr>
                <w:rFonts w:ascii="ITC Avant Garde" w:hAnsi="ITC Avant Garde"/>
                <w:b/>
                <w:sz w:val="18"/>
                <w:szCs w:val="18"/>
              </w:rPr>
              <w:t>En caso de que la respuesta sea afirmativa, justifique y fundamente</w:t>
            </w:r>
            <w:r w:rsidR="00372BF7" w:rsidRPr="00451B7D">
              <w:rPr>
                <w:rFonts w:ascii="ITC Avant Garde" w:hAnsi="ITC Avant Garde"/>
                <w:b/>
                <w:sz w:val="18"/>
                <w:szCs w:val="18"/>
              </w:rPr>
              <w:t xml:space="preserve"> las razones por las cuales su publicidad puede comprometer los efectos que se pretenden </w:t>
            </w:r>
            <w:r w:rsidR="004226AE" w:rsidRPr="00451B7D">
              <w:rPr>
                <w:rFonts w:ascii="ITC Avant Garde" w:hAnsi="ITC Avant Garde"/>
                <w:b/>
                <w:sz w:val="18"/>
                <w:szCs w:val="18"/>
              </w:rPr>
              <w:t xml:space="preserve">resolver o prevenir </w:t>
            </w:r>
            <w:r w:rsidR="00372BF7" w:rsidRPr="00451B7D">
              <w:rPr>
                <w:rFonts w:ascii="ITC Avant Garde" w:hAnsi="ITC Avant Garde"/>
                <w:b/>
                <w:sz w:val="18"/>
                <w:szCs w:val="18"/>
              </w:rPr>
              <w:t>con la propuesta regulatoria</w:t>
            </w:r>
            <w:r w:rsidRPr="00451B7D">
              <w:rPr>
                <w:rFonts w:ascii="ITC Avant Garde" w:hAnsi="ITC Avant Garde"/>
                <w:b/>
                <w:sz w:val="18"/>
                <w:szCs w:val="18"/>
              </w:rPr>
              <w:t>:</w:t>
            </w:r>
          </w:p>
          <w:p w14:paraId="5187CC84" w14:textId="77777777" w:rsidR="00B41497" w:rsidRPr="00451B7D" w:rsidRDefault="00B41497" w:rsidP="00B41497">
            <w:pPr>
              <w:jc w:val="both"/>
              <w:rPr>
                <w:rFonts w:ascii="ITC Avant Garde" w:hAnsi="ITC Avant Garde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602"/>
            </w:tblGrid>
            <w:tr w:rsidR="00596FDE" w:rsidRPr="00451B7D" w14:paraId="0002F9F8" w14:textId="77777777" w:rsidTr="00596FDE">
              <w:tc>
                <w:tcPr>
                  <w:tcW w:w="8602" w:type="dxa"/>
                </w:tcPr>
                <w:p w14:paraId="61BDB865" w14:textId="77777777" w:rsidR="00596FDE" w:rsidRPr="00451B7D" w:rsidRDefault="00596FDE" w:rsidP="00B852D7">
                  <w:pPr>
                    <w:framePr w:hSpace="141" w:wrap="around" w:vAnchor="text" w:hAnchor="margin" w:y="356"/>
                    <w:jc w:val="both"/>
                    <w:rPr>
                      <w:rFonts w:ascii="ITC Avant Garde" w:hAnsi="ITC Avant Garde"/>
                      <w:sz w:val="18"/>
                      <w:szCs w:val="18"/>
                    </w:rPr>
                  </w:pPr>
                </w:p>
                <w:p w14:paraId="4657EFBB" w14:textId="77777777" w:rsidR="00596FDE" w:rsidRDefault="00596FDE" w:rsidP="00B852D7">
                  <w:pPr>
                    <w:framePr w:hSpace="141" w:wrap="around" w:vAnchor="text" w:hAnchor="margin" w:y="356"/>
                    <w:jc w:val="both"/>
                    <w:rPr>
                      <w:rFonts w:ascii="ITC Avant Garde" w:hAnsi="ITC Avant Garde"/>
                      <w:sz w:val="18"/>
                      <w:szCs w:val="18"/>
                    </w:rPr>
                  </w:pPr>
                </w:p>
                <w:p w14:paraId="3694A822" w14:textId="77777777" w:rsidR="000C16BC" w:rsidRPr="00451B7D" w:rsidRDefault="000C16BC" w:rsidP="00B852D7">
                  <w:pPr>
                    <w:framePr w:hSpace="141" w:wrap="around" w:vAnchor="text" w:hAnchor="margin" w:y="356"/>
                    <w:jc w:val="both"/>
                    <w:rPr>
                      <w:rFonts w:ascii="ITC Avant Garde" w:hAnsi="ITC Avant Garde"/>
                      <w:sz w:val="18"/>
                      <w:szCs w:val="18"/>
                    </w:rPr>
                  </w:pPr>
                </w:p>
              </w:tc>
            </w:tr>
          </w:tbl>
          <w:p w14:paraId="0D3C5BDD" w14:textId="77777777" w:rsidR="009656B1" w:rsidRPr="00451B7D" w:rsidRDefault="009656B1" w:rsidP="00B41497">
            <w:pPr>
              <w:jc w:val="both"/>
              <w:rPr>
                <w:rFonts w:ascii="ITC Avant Garde" w:hAnsi="ITC Avant Garde"/>
                <w:sz w:val="18"/>
                <w:szCs w:val="18"/>
              </w:rPr>
            </w:pPr>
          </w:p>
        </w:tc>
      </w:tr>
    </w:tbl>
    <w:p w14:paraId="223083C9" w14:textId="77777777" w:rsidR="00B41497" w:rsidRPr="00451B7D" w:rsidRDefault="00B41497" w:rsidP="001932FC">
      <w:pPr>
        <w:jc w:val="both"/>
        <w:rPr>
          <w:rFonts w:ascii="ITC Avant Garde" w:hAnsi="ITC Avant Garde"/>
          <w:sz w:val="18"/>
          <w:szCs w:val="18"/>
        </w:rPr>
      </w:pPr>
    </w:p>
    <w:p w14:paraId="3A3C75B6" w14:textId="77777777" w:rsidR="001932FC" w:rsidRPr="00451B7D" w:rsidRDefault="001932FC" w:rsidP="00A1622C">
      <w:pPr>
        <w:shd w:val="clear" w:color="auto" w:fill="A8D08D" w:themeFill="accent6" w:themeFillTint="99"/>
        <w:jc w:val="both"/>
        <w:rPr>
          <w:rFonts w:ascii="ITC Avant Garde" w:hAnsi="ITC Avant Garde"/>
          <w:b/>
          <w:sz w:val="18"/>
          <w:szCs w:val="18"/>
        </w:rPr>
      </w:pPr>
      <w:r w:rsidRPr="00451B7D">
        <w:rPr>
          <w:rFonts w:ascii="ITC Avant Garde" w:hAnsi="ITC Avant Garde"/>
          <w:b/>
          <w:sz w:val="18"/>
          <w:szCs w:val="18"/>
        </w:rPr>
        <w:t xml:space="preserve">II. </w:t>
      </w:r>
      <w:r w:rsidR="00E21B49" w:rsidRPr="00451B7D">
        <w:rPr>
          <w:rFonts w:ascii="ITC Avant Garde" w:hAnsi="ITC Avant Garde"/>
          <w:b/>
          <w:sz w:val="18"/>
          <w:szCs w:val="18"/>
        </w:rPr>
        <w:t xml:space="preserve">IMPACTO DE LA </w:t>
      </w:r>
      <w:r w:rsidR="00D23BD5" w:rsidRPr="00451B7D">
        <w:rPr>
          <w:rFonts w:ascii="ITC Avant Garde" w:hAnsi="ITC Avant Garde"/>
          <w:b/>
          <w:sz w:val="18"/>
          <w:szCs w:val="18"/>
        </w:rPr>
        <w:t xml:space="preserve">PROPUESTA DE </w:t>
      </w:r>
      <w:r w:rsidR="00E21B49" w:rsidRPr="00451B7D">
        <w:rPr>
          <w:rFonts w:ascii="ITC Avant Garde" w:hAnsi="ITC Avant Garde"/>
          <w:b/>
          <w:sz w:val="18"/>
          <w:szCs w:val="18"/>
        </w:rPr>
        <w:t>REGULACIÓN</w:t>
      </w:r>
      <w:r w:rsidRPr="00451B7D">
        <w:rPr>
          <w:rFonts w:ascii="ITC Avant Garde" w:hAnsi="ITC Avant Garde"/>
          <w:b/>
          <w:sz w:val="18"/>
          <w:szCs w:val="18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E7D1C" w:rsidRPr="00451B7D" w14:paraId="560092D9" w14:textId="77777777" w:rsidTr="003F600A">
        <w:tc>
          <w:tcPr>
            <w:tcW w:w="8828" w:type="dxa"/>
          </w:tcPr>
          <w:p w14:paraId="3C7C89BB" w14:textId="77777777" w:rsidR="00BE7D1C" w:rsidRPr="00451B7D" w:rsidRDefault="00BE7D1C" w:rsidP="003F600A">
            <w:pPr>
              <w:jc w:val="both"/>
              <w:rPr>
                <w:rFonts w:ascii="ITC Avant Garde" w:hAnsi="ITC Avant Garde"/>
                <w:b/>
                <w:sz w:val="18"/>
                <w:szCs w:val="18"/>
              </w:rPr>
            </w:pPr>
            <w:r w:rsidRPr="00451B7D">
              <w:rPr>
                <w:rFonts w:ascii="ITC Avant Garde" w:hAnsi="ITC Avant Garde"/>
                <w:b/>
                <w:sz w:val="18"/>
                <w:szCs w:val="18"/>
              </w:rPr>
              <w:t>3.- Para solucionar la problemática identificada, describa las alternativas valoradas y señale las razones por las cuales fueron descartadas.</w:t>
            </w:r>
          </w:p>
          <w:p w14:paraId="10BC90C5" w14:textId="77777777" w:rsidR="00BE7D1C" w:rsidRPr="00451B7D" w:rsidRDefault="00BE7D1C" w:rsidP="003F600A">
            <w:pPr>
              <w:jc w:val="both"/>
              <w:rPr>
                <w:rFonts w:ascii="ITC Avant Garde" w:hAnsi="ITC Avant Garde"/>
                <w:sz w:val="18"/>
                <w:szCs w:val="18"/>
              </w:rPr>
            </w:pPr>
            <w:r w:rsidRPr="00451B7D">
              <w:rPr>
                <w:rFonts w:ascii="ITC Avant Garde" w:hAnsi="ITC Avant Garde"/>
                <w:sz w:val="18"/>
                <w:szCs w:val="18"/>
              </w:rPr>
              <w:t>Seleccione las alternativas aplicables y, en su c</w:t>
            </w:r>
            <w:r w:rsidR="004E0AA9" w:rsidRPr="00451B7D">
              <w:rPr>
                <w:rFonts w:ascii="ITC Avant Garde" w:hAnsi="ITC Avant Garde"/>
                <w:sz w:val="18"/>
                <w:szCs w:val="18"/>
              </w:rPr>
              <w:t>aso, seleccione y describa</w:t>
            </w:r>
            <w:r w:rsidR="00E046F4" w:rsidRPr="00451B7D">
              <w:rPr>
                <w:rFonts w:ascii="ITC Avant Garde" w:hAnsi="ITC Avant Garde"/>
                <w:sz w:val="18"/>
                <w:szCs w:val="18"/>
              </w:rPr>
              <w:t xml:space="preserve"> otra</w:t>
            </w:r>
            <w:r w:rsidR="004E0AA9" w:rsidRPr="00451B7D">
              <w:rPr>
                <w:rFonts w:ascii="ITC Avant Garde" w:hAnsi="ITC Avant Garde"/>
                <w:sz w:val="18"/>
                <w:szCs w:val="18"/>
              </w:rPr>
              <w:t>.</w:t>
            </w:r>
            <w:r w:rsidRPr="00451B7D">
              <w:rPr>
                <w:rFonts w:ascii="ITC Avant Garde" w:hAnsi="ITC Avant Garde"/>
                <w:sz w:val="18"/>
                <w:szCs w:val="18"/>
              </w:rPr>
              <w:t xml:space="preserve"> </w:t>
            </w:r>
            <w:r w:rsidR="004E0AA9" w:rsidRPr="00451B7D">
              <w:rPr>
                <w:rFonts w:ascii="ITC Avant Garde" w:hAnsi="ITC Avant Garde"/>
                <w:sz w:val="18"/>
                <w:szCs w:val="18"/>
              </w:rPr>
              <w:t>C</w:t>
            </w:r>
            <w:r w:rsidRPr="00451B7D">
              <w:rPr>
                <w:rFonts w:ascii="ITC Avant Garde" w:hAnsi="ITC Avant Garde"/>
                <w:sz w:val="18"/>
                <w:szCs w:val="18"/>
              </w:rPr>
              <w:t xml:space="preserve">onsidere al menos </w:t>
            </w:r>
            <w:r w:rsidR="004E0AA9" w:rsidRPr="00451B7D">
              <w:rPr>
                <w:rFonts w:ascii="ITC Avant Garde" w:hAnsi="ITC Avant Garde"/>
                <w:sz w:val="18"/>
                <w:szCs w:val="18"/>
              </w:rPr>
              <w:t>dos</w:t>
            </w:r>
            <w:r w:rsidRPr="00451B7D">
              <w:rPr>
                <w:rFonts w:ascii="ITC Avant Garde" w:hAnsi="ITC Avant Garde"/>
                <w:sz w:val="18"/>
                <w:szCs w:val="18"/>
              </w:rPr>
              <w:t xml:space="preserve"> opciones entre las cuales se encuentre la opción de no intervención.</w:t>
            </w:r>
            <w:r w:rsidR="00FB58BA">
              <w:rPr>
                <w:rFonts w:ascii="ITC Avant Garde" w:hAnsi="ITC Avant Garde"/>
                <w:sz w:val="18"/>
                <w:szCs w:val="18"/>
              </w:rPr>
              <w:t xml:space="preserve"> Agregue las filas que considere necesarias.</w:t>
            </w:r>
          </w:p>
          <w:p w14:paraId="2D0A9422" w14:textId="77777777" w:rsidR="00BE7D1C" w:rsidRPr="00451B7D" w:rsidRDefault="00BE7D1C" w:rsidP="003F600A">
            <w:pPr>
              <w:jc w:val="both"/>
              <w:rPr>
                <w:rFonts w:ascii="ITC Avant Garde" w:hAnsi="ITC Avant Garde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76"/>
              <w:gridCol w:w="2684"/>
              <w:gridCol w:w="3969"/>
            </w:tblGrid>
            <w:tr w:rsidR="00BE7D1C" w:rsidRPr="00451B7D" w14:paraId="26EE204B" w14:textId="77777777" w:rsidTr="003F600A">
              <w:tc>
                <w:tcPr>
                  <w:tcW w:w="1876" w:type="dxa"/>
                  <w:tcBorders>
                    <w:bottom w:val="single" w:sz="12" w:space="0" w:color="auto"/>
                  </w:tcBorders>
                  <w:shd w:val="clear" w:color="auto" w:fill="A8D08D" w:themeFill="accent6" w:themeFillTint="99"/>
                </w:tcPr>
                <w:p w14:paraId="09E1A988" w14:textId="77777777" w:rsidR="00BE7D1C" w:rsidRPr="00451B7D" w:rsidRDefault="00BE7D1C" w:rsidP="003F600A">
                  <w:pPr>
                    <w:jc w:val="center"/>
                    <w:rPr>
                      <w:rFonts w:ascii="ITC Avant Garde" w:hAnsi="ITC Avant Garde"/>
                      <w:b/>
                      <w:sz w:val="18"/>
                      <w:szCs w:val="18"/>
                    </w:rPr>
                  </w:pPr>
                  <w:r w:rsidRPr="00451B7D">
                    <w:rPr>
                      <w:rFonts w:ascii="ITC Avant Garde" w:hAnsi="ITC Avant Garde"/>
                      <w:b/>
                      <w:sz w:val="18"/>
                      <w:szCs w:val="18"/>
                    </w:rPr>
                    <w:t xml:space="preserve">Alternativa evaluada </w:t>
                  </w:r>
                </w:p>
              </w:tc>
              <w:tc>
                <w:tcPr>
                  <w:tcW w:w="2684" w:type="dxa"/>
                  <w:shd w:val="clear" w:color="auto" w:fill="A8D08D" w:themeFill="accent6" w:themeFillTint="99"/>
                </w:tcPr>
                <w:p w14:paraId="31317D54" w14:textId="77777777" w:rsidR="00BE7D1C" w:rsidRPr="00451B7D" w:rsidRDefault="00BE7D1C" w:rsidP="003F600A">
                  <w:pPr>
                    <w:jc w:val="center"/>
                    <w:rPr>
                      <w:rFonts w:ascii="ITC Avant Garde" w:hAnsi="ITC Avant Garde"/>
                      <w:b/>
                      <w:sz w:val="18"/>
                      <w:szCs w:val="18"/>
                    </w:rPr>
                  </w:pPr>
                  <w:r w:rsidRPr="00451B7D">
                    <w:rPr>
                      <w:rFonts w:ascii="ITC Avant Garde" w:hAnsi="ITC Avant Garde"/>
                      <w:b/>
                      <w:sz w:val="18"/>
                      <w:szCs w:val="18"/>
                    </w:rPr>
                    <w:t>Descripción</w:t>
                  </w:r>
                </w:p>
              </w:tc>
              <w:tc>
                <w:tcPr>
                  <w:tcW w:w="3969" w:type="dxa"/>
                  <w:shd w:val="clear" w:color="auto" w:fill="A8D08D" w:themeFill="accent6" w:themeFillTint="99"/>
                </w:tcPr>
                <w:p w14:paraId="52A1DED3" w14:textId="77777777" w:rsidR="00BE7D1C" w:rsidRPr="00451B7D" w:rsidRDefault="00BE7D1C" w:rsidP="003F600A">
                  <w:pPr>
                    <w:jc w:val="center"/>
                    <w:rPr>
                      <w:rFonts w:ascii="ITC Avant Garde" w:hAnsi="ITC Avant Garde"/>
                      <w:b/>
                      <w:sz w:val="18"/>
                      <w:szCs w:val="18"/>
                    </w:rPr>
                  </w:pPr>
                  <w:r w:rsidRPr="00451B7D">
                    <w:rPr>
                      <w:rFonts w:ascii="ITC Avant Garde" w:hAnsi="ITC Avant Garde"/>
                      <w:b/>
                      <w:sz w:val="18"/>
                      <w:szCs w:val="18"/>
                    </w:rPr>
                    <w:t>Razones</w:t>
                  </w:r>
                </w:p>
              </w:tc>
            </w:tr>
            <w:tr w:rsidR="00D80D3B" w:rsidRPr="00451B7D" w14:paraId="34D4166C" w14:textId="77777777" w:rsidTr="003F600A">
              <w:tc>
                <w:tcPr>
                  <w:tcW w:w="18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2EFD9" w:themeFill="accent6" w:themeFillTint="33"/>
                </w:tcPr>
                <w:p w14:paraId="18599658" w14:textId="77777777" w:rsidR="00D80D3B" w:rsidRDefault="00D80D3B" w:rsidP="00D80D3B">
                  <w:pPr>
                    <w:rPr>
                      <w:rFonts w:ascii="ITC Avant Garde" w:hAnsi="ITC Avant Garde"/>
                      <w:i/>
                      <w:sz w:val="18"/>
                      <w:szCs w:val="18"/>
                    </w:rPr>
                  </w:pPr>
                  <w:r>
                    <w:rPr>
                      <w:rFonts w:ascii="ITC Avant Garde" w:hAnsi="ITC Avant Garde"/>
                      <w:i/>
                      <w:sz w:val="18"/>
                      <w:szCs w:val="18"/>
                    </w:rPr>
                    <w:lastRenderedPageBreak/>
                    <w:t xml:space="preserve">No emitir el </w:t>
                  </w:r>
                  <w:r w:rsidR="005B34E9">
                    <w:rPr>
                      <w:rFonts w:ascii="ITC Avant Garde" w:hAnsi="ITC Avant Garde"/>
                      <w:i/>
                      <w:sz w:val="18"/>
                      <w:szCs w:val="18"/>
                    </w:rPr>
                    <w:t>proyecto</w:t>
                  </w:r>
                  <w:r w:rsidR="00D83CC8">
                    <w:rPr>
                      <w:rFonts w:ascii="ITC Avant Garde" w:hAnsi="ITC Avant Garde"/>
                      <w:i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684" w:type="dxa"/>
                  <w:tcBorders>
                    <w:left w:val="single" w:sz="12" w:space="0" w:color="auto"/>
                  </w:tcBorders>
                </w:tcPr>
                <w:p w14:paraId="3FE9712E" w14:textId="77777777" w:rsidR="00D80D3B" w:rsidRPr="00451B7D" w:rsidRDefault="00D83CC8" w:rsidP="001C0074">
                  <w:pPr>
                    <w:jc w:val="both"/>
                    <w:rPr>
                      <w:rFonts w:ascii="ITC Avant Garde" w:hAnsi="ITC Avant Garde"/>
                      <w:sz w:val="18"/>
                      <w:szCs w:val="18"/>
                    </w:rPr>
                  </w:pPr>
                  <w:r>
                    <w:rPr>
                      <w:rFonts w:ascii="ITC Avant Garde" w:hAnsi="ITC Avant Garde"/>
                      <w:sz w:val="18"/>
                      <w:szCs w:val="18"/>
                    </w:rPr>
                    <w:t xml:space="preserve">No emitir </w:t>
                  </w:r>
                  <w:r w:rsidR="00A45E72">
                    <w:rPr>
                      <w:rFonts w:ascii="ITC Avant Garde" w:hAnsi="ITC Avant Garde"/>
                      <w:sz w:val="18"/>
                      <w:szCs w:val="18"/>
                    </w:rPr>
                    <w:t>una</w:t>
                  </w:r>
                  <w:r>
                    <w:rPr>
                      <w:rFonts w:ascii="ITC Avant Garde" w:hAnsi="ITC Avant Garde"/>
                      <w:sz w:val="18"/>
                      <w:szCs w:val="18"/>
                    </w:rPr>
                    <w:t xml:space="preserve"> guía que orient</w:t>
                  </w:r>
                  <w:r w:rsidR="00A45E72">
                    <w:rPr>
                      <w:rFonts w:ascii="ITC Avant Garde" w:hAnsi="ITC Avant Garde"/>
                      <w:sz w:val="18"/>
                      <w:szCs w:val="18"/>
                    </w:rPr>
                    <w:t>e</w:t>
                  </w:r>
                  <w:r>
                    <w:rPr>
                      <w:rFonts w:ascii="ITC Avant Garde" w:hAnsi="ITC Avant Garde"/>
                      <w:sz w:val="18"/>
                      <w:szCs w:val="18"/>
                    </w:rPr>
                    <w:t xml:space="preserve"> a</w:t>
                  </w:r>
                  <w:r w:rsidR="00A45E72">
                    <w:rPr>
                      <w:rFonts w:ascii="ITC Avant Garde" w:hAnsi="ITC Avant Garde"/>
                      <w:sz w:val="18"/>
                      <w:szCs w:val="18"/>
                    </w:rPr>
                    <w:t>l público en general</w:t>
                  </w:r>
                  <w:r>
                    <w:rPr>
                      <w:rFonts w:ascii="ITC Avant Garde" w:hAnsi="ITC Avant Garde"/>
                      <w:sz w:val="18"/>
                      <w:szCs w:val="18"/>
                    </w:rPr>
                    <w:t xml:space="preserve"> sobre</w:t>
                  </w:r>
                  <w:r w:rsidR="00FA0329">
                    <w:rPr>
                      <w:rFonts w:ascii="ITC Avant Garde" w:hAnsi="ITC Avant Garde"/>
                      <w:sz w:val="18"/>
                      <w:szCs w:val="18"/>
                    </w:rPr>
                    <w:t xml:space="preserve"> </w:t>
                  </w:r>
                  <w:r w:rsidR="0064680F">
                    <w:rPr>
                      <w:rFonts w:ascii="ITC Avant Garde" w:hAnsi="ITC Avant Garde"/>
                      <w:sz w:val="18"/>
                      <w:szCs w:val="18"/>
                    </w:rPr>
                    <w:t>el procedimiento de dispensa o</w:t>
                  </w:r>
                  <w:r w:rsidR="00FB2B57" w:rsidRPr="00FB2B57">
                    <w:rPr>
                      <w:rFonts w:ascii="ITC Avant Garde" w:hAnsi="ITC Avant Garde"/>
                      <w:sz w:val="18"/>
                      <w:szCs w:val="18"/>
                    </w:rPr>
                    <w:t xml:space="preserve"> reducción del importe de multas</w:t>
                  </w:r>
                  <w:r w:rsidR="00142774">
                    <w:rPr>
                      <w:rFonts w:ascii="ITC Avant Garde" w:hAnsi="ITC Avant Garde"/>
                      <w:sz w:val="18"/>
                      <w:szCs w:val="18"/>
                    </w:rPr>
                    <w:t xml:space="preserve"> </w:t>
                  </w:r>
                  <w:r w:rsidR="00142774" w:rsidRPr="00142774">
                    <w:rPr>
                      <w:rFonts w:ascii="ITC Avant Garde" w:hAnsi="ITC Avant Garde"/>
                      <w:sz w:val="18"/>
                      <w:szCs w:val="18"/>
                    </w:rPr>
                    <w:t>en investigaciones de prácticas monopólicas relativas o concentraciones ilícitas</w:t>
                  </w:r>
                  <w:r w:rsidR="00FB2B57" w:rsidRPr="00FB2B57">
                    <w:rPr>
                      <w:rFonts w:ascii="ITC Avant Garde" w:hAnsi="ITC Avant Garde"/>
                      <w:sz w:val="18"/>
                      <w:szCs w:val="18"/>
                    </w:rPr>
                    <w:t xml:space="preserve"> para los sectores de telecomunicaciones y radiodifusión</w:t>
                  </w:r>
                  <w:r w:rsidR="007F3179">
                    <w:rPr>
                      <w:rFonts w:ascii="ITC Avant Garde" w:hAnsi="ITC Avant Garde"/>
                      <w:sz w:val="18"/>
                      <w:szCs w:val="18"/>
                    </w:rPr>
                    <w:t xml:space="preserve"> y contar</w:t>
                  </w:r>
                  <w:r w:rsidR="00A45E72">
                    <w:rPr>
                      <w:rFonts w:ascii="ITC Avant Garde" w:hAnsi="ITC Avant Garde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ITC Avant Garde" w:hAnsi="ITC Avant Garde"/>
                      <w:sz w:val="18"/>
                      <w:szCs w:val="18"/>
                    </w:rPr>
                    <w:t xml:space="preserve">únicamente con la </w:t>
                  </w:r>
                  <w:r w:rsidR="00580B49">
                    <w:rPr>
                      <w:rFonts w:ascii="ITC Avant Garde" w:hAnsi="ITC Avant Garde"/>
                      <w:sz w:val="18"/>
                      <w:szCs w:val="18"/>
                    </w:rPr>
                    <w:t xml:space="preserve">información </w:t>
                  </w:r>
                  <w:r>
                    <w:rPr>
                      <w:rFonts w:ascii="ITC Avant Garde" w:hAnsi="ITC Avant Garde"/>
                      <w:sz w:val="18"/>
                      <w:szCs w:val="18"/>
                    </w:rPr>
                    <w:t>del marco jurídico aplicable.</w:t>
                  </w:r>
                </w:p>
              </w:tc>
              <w:tc>
                <w:tcPr>
                  <w:tcW w:w="3969" w:type="dxa"/>
                </w:tcPr>
                <w:p w14:paraId="79A7C8ED" w14:textId="77777777" w:rsidR="00D80D3B" w:rsidRDefault="00D80D3B" w:rsidP="00B17ADF">
                  <w:pPr>
                    <w:jc w:val="both"/>
                    <w:rPr>
                      <w:rFonts w:ascii="ITC Avant Garde" w:hAnsi="ITC Avant Garde"/>
                      <w:sz w:val="18"/>
                      <w:szCs w:val="18"/>
                    </w:rPr>
                  </w:pPr>
                  <w:r>
                    <w:rPr>
                      <w:rFonts w:ascii="ITC Avant Garde" w:hAnsi="ITC Avant Garde"/>
                      <w:sz w:val="18"/>
                      <w:szCs w:val="18"/>
                    </w:rPr>
                    <w:t>Dicha alternativa fue descartada, toda vez que el Instituto</w:t>
                  </w:r>
                  <w:r w:rsidR="003B01F2">
                    <w:rPr>
                      <w:rFonts w:ascii="ITC Avant Garde" w:hAnsi="ITC Avant Garde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ITC Avant Garde" w:hAnsi="ITC Avant Garde"/>
                      <w:sz w:val="18"/>
                      <w:szCs w:val="18"/>
                    </w:rPr>
                    <w:t xml:space="preserve">tiene la </w:t>
                  </w:r>
                  <w:r w:rsidR="00580B49">
                    <w:rPr>
                      <w:rFonts w:ascii="ITC Avant Garde" w:hAnsi="ITC Avant Garde"/>
                      <w:sz w:val="18"/>
                      <w:szCs w:val="18"/>
                    </w:rPr>
                    <w:t xml:space="preserve">atribución </w:t>
                  </w:r>
                  <w:r w:rsidR="00D83CC8">
                    <w:rPr>
                      <w:rFonts w:ascii="ITC Avant Garde" w:hAnsi="ITC Avant Garde"/>
                      <w:sz w:val="18"/>
                      <w:szCs w:val="18"/>
                    </w:rPr>
                    <w:t>de expedir directrices, guías, lineamientos o criterios técnicos</w:t>
                  </w:r>
                  <w:r w:rsidR="003B01F2">
                    <w:rPr>
                      <w:rFonts w:ascii="ITC Avant Garde" w:hAnsi="ITC Avant Garde"/>
                      <w:sz w:val="18"/>
                      <w:szCs w:val="18"/>
                    </w:rPr>
                    <w:t>, entre otras,</w:t>
                  </w:r>
                  <w:r w:rsidR="00D83CC8">
                    <w:rPr>
                      <w:rFonts w:ascii="ITC Avant Garde" w:hAnsi="ITC Avant Garde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ITC Avant Garde" w:hAnsi="ITC Avant Garde"/>
                      <w:sz w:val="18"/>
                      <w:szCs w:val="18"/>
                    </w:rPr>
                    <w:t xml:space="preserve">en materia </w:t>
                  </w:r>
                  <w:r w:rsidR="00FA0329">
                    <w:rPr>
                      <w:rFonts w:ascii="ITC Avant Garde" w:hAnsi="ITC Avant Garde"/>
                      <w:sz w:val="18"/>
                      <w:szCs w:val="18"/>
                    </w:rPr>
                    <w:t>del b</w:t>
                  </w:r>
                  <w:r w:rsidR="00FA0329" w:rsidRPr="00FA0329">
                    <w:rPr>
                      <w:rFonts w:ascii="ITC Avant Garde" w:hAnsi="ITC Avant Garde"/>
                      <w:sz w:val="18"/>
                      <w:szCs w:val="18"/>
                    </w:rPr>
                    <w:t xml:space="preserve">eneficio de dispensa </w:t>
                  </w:r>
                  <w:r w:rsidR="0064680F">
                    <w:rPr>
                      <w:rFonts w:ascii="ITC Avant Garde" w:hAnsi="ITC Avant Garde"/>
                      <w:sz w:val="18"/>
                      <w:szCs w:val="18"/>
                    </w:rPr>
                    <w:t>o</w:t>
                  </w:r>
                  <w:r w:rsidR="00FA0329" w:rsidRPr="00FA0329">
                    <w:rPr>
                      <w:rFonts w:ascii="ITC Avant Garde" w:hAnsi="ITC Avant Garde"/>
                      <w:sz w:val="18"/>
                      <w:szCs w:val="18"/>
                    </w:rPr>
                    <w:t xml:space="preserve"> reducción del importe de las multas</w:t>
                  </w:r>
                  <w:r w:rsidR="00142774">
                    <w:rPr>
                      <w:rFonts w:ascii="ITC Avant Garde" w:hAnsi="ITC Avant Garde"/>
                      <w:sz w:val="18"/>
                      <w:szCs w:val="18"/>
                    </w:rPr>
                    <w:t xml:space="preserve"> </w:t>
                  </w:r>
                  <w:r w:rsidR="00142774" w:rsidRPr="00142774">
                    <w:rPr>
                      <w:rFonts w:ascii="ITC Avant Garde" w:hAnsi="ITC Avant Garde"/>
                      <w:sz w:val="18"/>
                      <w:szCs w:val="18"/>
                    </w:rPr>
                    <w:t>en investigaciones de prácticas monopólicas relativas o concentraciones ilícitas</w:t>
                  </w:r>
                  <w:r w:rsidR="00D83CC8">
                    <w:rPr>
                      <w:rFonts w:ascii="ITC Avant Garde" w:hAnsi="ITC Avant Garde"/>
                      <w:sz w:val="18"/>
                      <w:szCs w:val="18"/>
                    </w:rPr>
                    <w:t>, de conformidad con el artículo 12, fracción XXII</w:t>
                  </w:r>
                  <w:r w:rsidR="00B17ADF">
                    <w:rPr>
                      <w:rFonts w:ascii="ITC Avant Garde" w:hAnsi="ITC Avant Garde"/>
                      <w:sz w:val="18"/>
                      <w:szCs w:val="18"/>
                    </w:rPr>
                    <w:t>, párrafo tercero,</w:t>
                  </w:r>
                  <w:r w:rsidR="00D83CC8">
                    <w:rPr>
                      <w:rFonts w:ascii="ITC Avant Garde" w:hAnsi="ITC Avant Garde"/>
                      <w:sz w:val="18"/>
                      <w:szCs w:val="18"/>
                    </w:rPr>
                    <w:t xml:space="preserve"> </w:t>
                  </w:r>
                  <w:r w:rsidR="00FA0329">
                    <w:rPr>
                      <w:rFonts w:ascii="ITC Avant Garde" w:hAnsi="ITC Avant Garde"/>
                      <w:sz w:val="18"/>
                      <w:szCs w:val="18"/>
                    </w:rPr>
                    <w:t>inciso c)</w:t>
                  </w:r>
                  <w:r w:rsidR="00B17ADF">
                    <w:rPr>
                      <w:rFonts w:ascii="ITC Avant Garde" w:hAnsi="ITC Avant Garde"/>
                      <w:sz w:val="18"/>
                      <w:szCs w:val="18"/>
                    </w:rPr>
                    <w:t>,</w:t>
                  </w:r>
                  <w:r w:rsidR="00FA0329">
                    <w:rPr>
                      <w:rFonts w:ascii="ITC Avant Garde" w:hAnsi="ITC Avant Garde"/>
                      <w:sz w:val="18"/>
                      <w:szCs w:val="18"/>
                    </w:rPr>
                    <w:t xml:space="preserve"> </w:t>
                  </w:r>
                  <w:r w:rsidR="00D83CC8">
                    <w:rPr>
                      <w:rFonts w:ascii="ITC Avant Garde" w:hAnsi="ITC Avant Garde"/>
                      <w:sz w:val="18"/>
                      <w:szCs w:val="18"/>
                    </w:rPr>
                    <w:t>de la L</w:t>
                  </w:r>
                  <w:r w:rsidR="00B17ADF">
                    <w:rPr>
                      <w:rFonts w:ascii="ITC Avant Garde" w:hAnsi="ITC Avant Garde"/>
                      <w:sz w:val="18"/>
                      <w:szCs w:val="18"/>
                    </w:rPr>
                    <w:t>FCE</w:t>
                  </w:r>
                  <w:r w:rsidR="00D83CC8">
                    <w:rPr>
                      <w:rFonts w:ascii="ITC Avant Garde" w:hAnsi="ITC Avant Garde"/>
                      <w:sz w:val="18"/>
                      <w:szCs w:val="18"/>
                    </w:rPr>
                    <w:t xml:space="preserve">. En este sentido, es </w:t>
                  </w:r>
                  <w:r w:rsidR="00580B49">
                    <w:rPr>
                      <w:rFonts w:ascii="ITC Avant Garde" w:hAnsi="ITC Avant Garde"/>
                      <w:sz w:val="18"/>
                      <w:szCs w:val="18"/>
                    </w:rPr>
                    <w:t xml:space="preserve">pertinente </w:t>
                  </w:r>
                  <w:r w:rsidR="00D83CC8">
                    <w:rPr>
                      <w:rFonts w:ascii="ITC Avant Garde" w:hAnsi="ITC Avant Garde"/>
                      <w:sz w:val="18"/>
                      <w:szCs w:val="18"/>
                    </w:rPr>
                    <w:t xml:space="preserve">emitir una guía con fines de orientación sobre </w:t>
                  </w:r>
                  <w:r w:rsidR="00B17ADF">
                    <w:rPr>
                      <w:rFonts w:ascii="ITC Avant Garde" w:hAnsi="ITC Avant Garde"/>
                      <w:sz w:val="18"/>
                      <w:szCs w:val="18"/>
                    </w:rPr>
                    <w:t>el procedimiento de dispensa o</w:t>
                  </w:r>
                  <w:r w:rsidR="00FA0329" w:rsidRPr="00FB2B57">
                    <w:rPr>
                      <w:rFonts w:ascii="ITC Avant Garde" w:hAnsi="ITC Avant Garde"/>
                      <w:sz w:val="18"/>
                      <w:szCs w:val="18"/>
                    </w:rPr>
                    <w:t xml:space="preserve"> reducción del importe de multas</w:t>
                  </w:r>
                  <w:r w:rsidR="00142774">
                    <w:rPr>
                      <w:rFonts w:ascii="ITC Avant Garde" w:hAnsi="ITC Avant Garde"/>
                      <w:sz w:val="18"/>
                      <w:szCs w:val="18"/>
                    </w:rPr>
                    <w:t xml:space="preserve"> </w:t>
                  </w:r>
                  <w:r w:rsidR="00142774" w:rsidRPr="00142774">
                    <w:rPr>
                      <w:rFonts w:ascii="ITC Avant Garde" w:hAnsi="ITC Avant Garde"/>
                      <w:sz w:val="18"/>
                      <w:szCs w:val="18"/>
                    </w:rPr>
                    <w:t>en investigaciones de prácticas monopólicas relativas o concentraciones ilícitas</w:t>
                  </w:r>
                  <w:r w:rsidR="00B17ADF">
                    <w:rPr>
                      <w:rFonts w:ascii="ITC Avant Garde" w:hAnsi="ITC Avant Garde"/>
                      <w:sz w:val="18"/>
                      <w:szCs w:val="18"/>
                    </w:rPr>
                    <w:t>,</w:t>
                  </w:r>
                  <w:r w:rsidR="00FA0329" w:rsidRPr="00FB2B57">
                    <w:rPr>
                      <w:rFonts w:ascii="ITC Avant Garde" w:hAnsi="ITC Avant Garde"/>
                      <w:sz w:val="18"/>
                      <w:szCs w:val="18"/>
                    </w:rPr>
                    <w:t xml:space="preserve"> para los sectores de telecomunicaciones y radiodifusión</w:t>
                  </w:r>
                  <w:r w:rsidR="00FA0329">
                    <w:rPr>
                      <w:rFonts w:ascii="ITC Avant Garde" w:hAnsi="ITC Avant Garde"/>
                      <w:sz w:val="18"/>
                      <w:szCs w:val="18"/>
                    </w:rPr>
                    <w:t>.</w:t>
                  </w:r>
                </w:p>
              </w:tc>
            </w:tr>
            <w:tr w:rsidR="00D80D3B" w:rsidRPr="00451B7D" w14:paraId="7D4601A4" w14:textId="77777777" w:rsidTr="003F600A">
              <w:tc>
                <w:tcPr>
                  <w:tcW w:w="18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2EFD9" w:themeFill="accent6" w:themeFillTint="33"/>
                </w:tcPr>
                <w:p w14:paraId="476CFD7C" w14:textId="77777777" w:rsidR="00D80D3B" w:rsidRDefault="00D80D3B" w:rsidP="00D80D3B">
                  <w:pPr>
                    <w:rPr>
                      <w:rFonts w:ascii="ITC Avant Garde" w:hAnsi="ITC Avant Garde"/>
                      <w:i/>
                      <w:sz w:val="18"/>
                      <w:szCs w:val="18"/>
                    </w:rPr>
                  </w:pPr>
                  <w:r>
                    <w:rPr>
                      <w:rFonts w:ascii="ITC Avant Garde" w:hAnsi="ITC Avant Garde"/>
                      <w:i/>
                      <w:sz w:val="18"/>
                      <w:szCs w:val="18"/>
                    </w:rPr>
                    <w:t>Emitir criterios técnicos, lineamientos o directrices</w:t>
                  </w:r>
                  <w:r w:rsidR="00D83CC8">
                    <w:rPr>
                      <w:rFonts w:ascii="ITC Avant Garde" w:hAnsi="ITC Avant Garde"/>
                      <w:i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684" w:type="dxa"/>
                  <w:tcBorders>
                    <w:left w:val="single" w:sz="12" w:space="0" w:color="auto"/>
                  </w:tcBorders>
                </w:tcPr>
                <w:p w14:paraId="3B454621" w14:textId="77777777" w:rsidR="00D80D3B" w:rsidRPr="00451B7D" w:rsidRDefault="00D83CC8" w:rsidP="00D83CC8">
                  <w:pPr>
                    <w:jc w:val="both"/>
                    <w:rPr>
                      <w:rFonts w:ascii="ITC Avant Garde" w:hAnsi="ITC Avant Garde"/>
                      <w:sz w:val="18"/>
                      <w:szCs w:val="18"/>
                    </w:rPr>
                  </w:pPr>
                  <w:r>
                    <w:rPr>
                      <w:rFonts w:ascii="ITC Avant Garde" w:hAnsi="ITC Avant Garde"/>
                      <w:sz w:val="18"/>
                      <w:szCs w:val="18"/>
                    </w:rPr>
                    <w:t>Emitir criterios técnicos, lineamientos o directrices</w:t>
                  </w:r>
                  <w:r w:rsidR="00754682">
                    <w:rPr>
                      <w:rFonts w:ascii="ITC Avant Garde" w:hAnsi="ITC Avant Garde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969" w:type="dxa"/>
                </w:tcPr>
                <w:p w14:paraId="6BA02FC9" w14:textId="77777777" w:rsidR="00754682" w:rsidRDefault="00754682" w:rsidP="007F3179">
                  <w:pPr>
                    <w:spacing w:after="120"/>
                    <w:jc w:val="both"/>
                    <w:rPr>
                      <w:rFonts w:ascii="ITC Avant Garde" w:hAnsi="ITC Avant Garde"/>
                      <w:sz w:val="18"/>
                      <w:szCs w:val="18"/>
                    </w:rPr>
                  </w:pPr>
                  <w:r>
                    <w:rPr>
                      <w:rFonts w:ascii="ITC Avant Garde" w:hAnsi="ITC Avant Garde"/>
                      <w:sz w:val="18"/>
                      <w:szCs w:val="18"/>
                    </w:rPr>
                    <w:t xml:space="preserve">Esta alternativa fue descartada, toda vez que los criterios técnicos, lineamientos o directrices tienen como propósito establecer términos, normas, límites, características y/o requisitos </w:t>
                  </w:r>
                  <w:r w:rsidR="00A45E72">
                    <w:rPr>
                      <w:rFonts w:ascii="ITC Avant Garde" w:hAnsi="ITC Avant Garde"/>
                      <w:sz w:val="18"/>
                      <w:szCs w:val="18"/>
                    </w:rPr>
                    <w:t>de observancia obligatoria</w:t>
                  </w:r>
                  <w:r>
                    <w:rPr>
                      <w:rFonts w:ascii="ITC Avant Garde" w:hAnsi="ITC Avant Garde"/>
                      <w:sz w:val="18"/>
                      <w:szCs w:val="18"/>
                    </w:rPr>
                    <w:t xml:space="preserve">, lo cual, en su caso, modificaría o adicionaría el marco jurídico aplicable </w:t>
                  </w:r>
                  <w:r w:rsidR="00FA0329">
                    <w:rPr>
                      <w:rFonts w:ascii="ITC Avant Garde" w:hAnsi="ITC Avant Garde"/>
                      <w:sz w:val="18"/>
                      <w:szCs w:val="18"/>
                    </w:rPr>
                    <w:t>al</w:t>
                  </w:r>
                  <w:r w:rsidR="00FA0329" w:rsidRPr="00FB2B57">
                    <w:rPr>
                      <w:rFonts w:ascii="ITC Avant Garde" w:hAnsi="ITC Avant Garde"/>
                      <w:sz w:val="18"/>
                      <w:szCs w:val="18"/>
                    </w:rPr>
                    <w:t xml:space="preserve"> procedimiento de dispensa </w:t>
                  </w:r>
                  <w:r w:rsidR="00B17ADF">
                    <w:rPr>
                      <w:rFonts w:ascii="ITC Avant Garde" w:hAnsi="ITC Avant Garde"/>
                      <w:sz w:val="18"/>
                      <w:szCs w:val="18"/>
                    </w:rPr>
                    <w:t>o</w:t>
                  </w:r>
                  <w:r w:rsidR="00FA0329" w:rsidRPr="00FB2B57">
                    <w:rPr>
                      <w:rFonts w:ascii="ITC Avant Garde" w:hAnsi="ITC Avant Garde"/>
                      <w:sz w:val="18"/>
                      <w:szCs w:val="18"/>
                    </w:rPr>
                    <w:t xml:space="preserve"> reducción del importe de multas</w:t>
                  </w:r>
                  <w:r w:rsidR="00142774">
                    <w:rPr>
                      <w:rFonts w:ascii="ITC Avant Garde" w:hAnsi="ITC Avant Garde"/>
                      <w:sz w:val="18"/>
                      <w:szCs w:val="18"/>
                    </w:rPr>
                    <w:t xml:space="preserve"> </w:t>
                  </w:r>
                  <w:r w:rsidR="00142774" w:rsidRPr="00142774">
                    <w:rPr>
                      <w:rFonts w:ascii="ITC Avant Garde" w:hAnsi="ITC Avant Garde"/>
                      <w:sz w:val="18"/>
                      <w:szCs w:val="18"/>
                    </w:rPr>
                    <w:t>en investigaciones de prácticas monopólicas relativas o concentraciones ilícitas</w:t>
                  </w:r>
                  <w:r w:rsidR="00FA0329" w:rsidRPr="00FB2B57">
                    <w:rPr>
                      <w:rFonts w:ascii="ITC Avant Garde" w:hAnsi="ITC Avant Garde"/>
                      <w:sz w:val="18"/>
                      <w:szCs w:val="18"/>
                    </w:rPr>
                    <w:t xml:space="preserve"> para los sectores de telecomunicaciones y radiodifusión</w:t>
                  </w:r>
                  <w:r w:rsidR="00FA0329">
                    <w:rPr>
                      <w:rFonts w:ascii="ITC Avant Garde" w:hAnsi="ITC Avant Garde"/>
                      <w:sz w:val="18"/>
                      <w:szCs w:val="18"/>
                    </w:rPr>
                    <w:t>,</w:t>
                  </w:r>
                  <w:r w:rsidR="00580B49">
                    <w:rPr>
                      <w:rFonts w:ascii="ITC Avant Garde" w:hAnsi="ITC Avant Garde"/>
                      <w:sz w:val="18"/>
                      <w:szCs w:val="18"/>
                    </w:rPr>
                    <w:t xml:space="preserve"> situación que no resulta jurídicamente procedente</w:t>
                  </w:r>
                  <w:r>
                    <w:rPr>
                      <w:rFonts w:ascii="ITC Avant Garde" w:hAnsi="ITC Avant Garde"/>
                      <w:sz w:val="18"/>
                      <w:szCs w:val="18"/>
                    </w:rPr>
                    <w:t>.</w:t>
                  </w:r>
                </w:p>
                <w:p w14:paraId="7B561D04" w14:textId="77777777" w:rsidR="007F3179" w:rsidRDefault="00580B49" w:rsidP="007F3179">
                  <w:pPr>
                    <w:spacing w:after="120"/>
                    <w:jc w:val="both"/>
                    <w:rPr>
                      <w:rFonts w:ascii="ITC Avant Garde" w:hAnsi="ITC Avant Garde"/>
                      <w:sz w:val="18"/>
                      <w:szCs w:val="18"/>
                    </w:rPr>
                  </w:pPr>
                  <w:r>
                    <w:rPr>
                      <w:rFonts w:ascii="ITC Avant Garde" w:hAnsi="ITC Avant Garde"/>
                      <w:sz w:val="18"/>
                      <w:szCs w:val="18"/>
                    </w:rPr>
                    <w:t>Lo anterior, toda vez que</w:t>
                  </w:r>
                  <w:r w:rsidR="00FA0329">
                    <w:rPr>
                      <w:rFonts w:ascii="ITC Avant Garde" w:hAnsi="ITC Avant Garde"/>
                      <w:sz w:val="18"/>
                      <w:szCs w:val="18"/>
                    </w:rPr>
                    <w:t xml:space="preserve"> </w:t>
                  </w:r>
                  <w:r w:rsidR="001C0074">
                    <w:rPr>
                      <w:rFonts w:ascii="ITC Avant Garde" w:hAnsi="ITC Avant Garde"/>
                      <w:sz w:val="18"/>
                      <w:szCs w:val="18"/>
                    </w:rPr>
                    <w:t xml:space="preserve">los requisitos correspondientes ya se encuentran previstos en </w:t>
                  </w:r>
                  <w:r w:rsidR="00FA0329">
                    <w:rPr>
                      <w:rFonts w:ascii="ITC Avant Garde" w:hAnsi="ITC Avant Garde"/>
                      <w:sz w:val="18"/>
                      <w:szCs w:val="18"/>
                    </w:rPr>
                    <w:t xml:space="preserve">la </w:t>
                  </w:r>
                  <w:r w:rsidR="00966B46">
                    <w:rPr>
                      <w:rFonts w:ascii="ITC Avant Garde" w:hAnsi="ITC Avant Garde"/>
                      <w:sz w:val="18"/>
                      <w:szCs w:val="18"/>
                    </w:rPr>
                    <w:t>L</w:t>
                  </w:r>
                  <w:r w:rsidR="00B17ADF">
                    <w:rPr>
                      <w:rFonts w:ascii="ITC Avant Garde" w:hAnsi="ITC Avant Garde"/>
                      <w:sz w:val="18"/>
                      <w:szCs w:val="18"/>
                    </w:rPr>
                    <w:t>FCE</w:t>
                  </w:r>
                  <w:r w:rsidR="00FA0329">
                    <w:rPr>
                      <w:rFonts w:ascii="ITC Avant Garde" w:hAnsi="ITC Avant Garde"/>
                      <w:sz w:val="18"/>
                      <w:szCs w:val="18"/>
                    </w:rPr>
                    <w:t xml:space="preserve">. </w:t>
                  </w:r>
                </w:p>
                <w:p w14:paraId="31A40AFB" w14:textId="77777777" w:rsidR="00D80D3B" w:rsidRPr="00451B7D" w:rsidRDefault="00A45E72" w:rsidP="007F3179">
                  <w:pPr>
                    <w:spacing w:after="120"/>
                    <w:jc w:val="both"/>
                    <w:rPr>
                      <w:rFonts w:ascii="ITC Avant Garde" w:hAnsi="ITC Avant Garde"/>
                      <w:sz w:val="18"/>
                      <w:szCs w:val="18"/>
                    </w:rPr>
                  </w:pPr>
                  <w:r>
                    <w:rPr>
                      <w:rFonts w:ascii="ITC Avant Garde" w:hAnsi="ITC Avant Garde"/>
                      <w:sz w:val="18"/>
                      <w:szCs w:val="18"/>
                    </w:rPr>
                    <w:t xml:space="preserve">Por lo tanto, </w:t>
                  </w:r>
                  <w:r w:rsidR="00754682">
                    <w:rPr>
                      <w:rFonts w:ascii="ITC Avant Garde" w:hAnsi="ITC Avant Garde"/>
                      <w:sz w:val="18"/>
                      <w:szCs w:val="18"/>
                    </w:rPr>
                    <w:t>se optó por emitir una guía que</w:t>
                  </w:r>
                  <w:r w:rsidR="00087D82">
                    <w:rPr>
                      <w:rFonts w:ascii="ITC Avant Garde" w:hAnsi="ITC Avant Garde"/>
                      <w:sz w:val="18"/>
                      <w:szCs w:val="18"/>
                    </w:rPr>
                    <w:t>,</w:t>
                  </w:r>
                  <w:r w:rsidR="00D83CC8">
                    <w:rPr>
                      <w:rFonts w:ascii="ITC Avant Garde" w:hAnsi="ITC Avant Garde"/>
                      <w:sz w:val="18"/>
                      <w:szCs w:val="18"/>
                    </w:rPr>
                    <w:t xml:space="preserve"> por </w:t>
                  </w:r>
                  <w:r w:rsidR="00754682">
                    <w:rPr>
                      <w:rFonts w:ascii="ITC Avant Garde" w:hAnsi="ITC Avant Garde"/>
                      <w:sz w:val="18"/>
                      <w:szCs w:val="18"/>
                    </w:rPr>
                    <w:t xml:space="preserve">su </w:t>
                  </w:r>
                  <w:r w:rsidR="00D83CC8">
                    <w:rPr>
                      <w:rFonts w:ascii="ITC Avant Garde" w:hAnsi="ITC Avant Garde"/>
                      <w:sz w:val="18"/>
                      <w:szCs w:val="18"/>
                    </w:rPr>
                    <w:t>naturaleza</w:t>
                  </w:r>
                  <w:r w:rsidR="00087D82">
                    <w:rPr>
                      <w:rFonts w:ascii="ITC Avant Garde" w:hAnsi="ITC Avant Garde"/>
                      <w:sz w:val="18"/>
                      <w:szCs w:val="18"/>
                    </w:rPr>
                    <w:t>, explique</w:t>
                  </w:r>
                  <w:r w:rsidR="00754682">
                    <w:rPr>
                      <w:rFonts w:ascii="ITC Avant Garde" w:hAnsi="ITC Avant Garde"/>
                      <w:sz w:val="18"/>
                      <w:szCs w:val="18"/>
                    </w:rPr>
                    <w:t xml:space="preserve"> y orient</w:t>
                  </w:r>
                  <w:r w:rsidR="00087D82">
                    <w:rPr>
                      <w:rFonts w:ascii="ITC Avant Garde" w:hAnsi="ITC Avant Garde"/>
                      <w:sz w:val="18"/>
                      <w:szCs w:val="18"/>
                    </w:rPr>
                    <w:t>e</w:t>
                  </w:r>
                  <w:r w:rsidR="00754682">
                    <w:rPr>
                      <w:rFonts w:ascii="ITC Avant Garde" w:hAnsi="ITC Avant Garde"/>
                      <w:sz w:val="18"/>
                      <w:szCs w:val="18"/>
                    </w:rPr>
                    <w:t xml:space="preserve"> al </w:t>
                  </w:r>
                  <w:r>
                    <w:rPr>
                      <w:rFonts w:ascii="ITC Avant Garde" w:hAnsi="ITC Avant Garde"/>
                      <w:sz w:val="18"/>
                      <w:szCs w:val="18"/>
                    </w:rPr>
                    <w:t xml:space="preserve">público en general </w:t>
                  </w:r>
                  <w:r w:rsidR="00FA0329">
                    <w:rPr>
                      <w:rFonts w:ascii="ITC Avant Garde" w:hAnsi="ITC Avant Garde"/>
                      <w:sz w:val="18"/>
                      <w:szCs w:val="18"/>
                    </w:rPr>
                    <w:t xml:space="preserve">sobre el </w:t>
                  </w:r>
                  <w:r w:rsidR="00B17ADF">
                    <w:rPr>
                      <w:rFonts w:ascii="ITC Avant Garde" w:hAnsi="ITC Avant Garde"/>
                      <w:sz w:val="18"/>
                      <w:szCs w:val="18"/>
                    </w:rPr>
                    <w:t>procedimiento de dispensa o</w:t>
                  </w:r>
                  <w:r w:rsidR="00FA0329" w:rsidRPr="00FB2B57">
                    <w:rPr>
                      <w:rFonts w:ascii="ITC Avant Garde" w:hAnsi="ITC Avant Garde"/>
                      <w:sz w:val="18"/>
                      <w:szCs w:val="18"/>
                    </w:rPr>
                    <w:t xml:space="preserve"> reducción del importe de multas</w:t>
                  </w:r>
                  <w:r w:rsidR="00142774">
                    <w:rPr>
                      <w:rFonts w:ascii="ITC Avant Garde" w:hAnsi="ITC Avant Garde"/>
                      <w:sz w:val="18"/>
                      <w:szCs w:val="18"/>
                    </w:rPr>
                    <w:t xml:space="preserve"> </w:t>
                  </w:r>
                  <w:r w:rsidR="00142774" w:rsidRPr="00142774">
                    <w:rPr>
                      <w:rFonts w:ascii="ITC Avant Garde" w:hAnsi="ITC Avant Garde"/>
                      <w:sz w:val="18"/>
                      <w:szCs w:val="18"/>
                    </w:rPr>
                    <w:t>en investigaciones de prácticas monopólicas relativas o concentraciones ilícitas</w:t>
                  </w:r>
                  <w:r w:rsidR="00B17ADF">
                    <w:rPr>
                      <w:rFonts w:ascii="ITC Avant Garde" w:hAnsi="ITC Avant Garde"/>
                      <w:sz w:val="18"/>
                      <w:szCs w:val="18"/>
                    </w:rPr>
                    <w:t>,</w:t>
                  </w:r>
                  <w:r w:rsidR="00FA0329" w:rsidRPr="00FB2B57">
                    <w:rPr>
                      <w:rFonts w:ascii="ITC Avant Garde" w:hAnsi="ITC Avant Garde"/>
                      <w:sz w:val="18"/>
                      <w:szCs w:val="18"/>
                    </w:rPr>
                    <w:t xml:space="preserve"> para los sectores de telecomunicaciones y radiodifusión</w:t>
                  </w:r>
                  <w:r w:rsidR="00B17ADF">
                    <w:rPr>
                      <w:rFonts w:ascii="ITC Avant Garde" w:hAnsi="ITC Avant Garde"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01B9F535" w14:textId="77777777" w:rsidR="00BE7D1C" w:rsidRPr="00451B7D" w:rsidRDefault="00BE7D1C" w:rsidP="003F600A">
            <w:pPr>
              <w:jc w:val="both"/>
              <w:rPr>
                <w:rFonts w:ascii="ITC Avant Garde" w:hAnsi="ITC Avant Garde"/>
                <w:sz w:val="18"/>
                <w:szCs w:val="18"/>
              </w:rPr>
            </w:pPr>
          </w:p>
        </w:tc>
      </w:tr>
    </w:tbl>
    <w:p w14:paraId="6F0E6932" w14:textId="77777777" w:rsidR="00634DE8" w:rsidRPr="00451B7D" w:rsidRDefault="00634DE8" w:rsidP="00E21B49">
      <w:pPr>
        <w:jc w:val="both"/>
        <w:rPr>
          <w:rFonts w:ascii="ITC Avant Garde" w:hAnsi="ITC Avant Garde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E7D1C" w:rsidRPr="00451B7D" w14:paraId="7480AE8D" w14:textId="77777777" w:rsidTr="003F600A">
        <w:tc>
          <w:tcPr>
            <w:tcW w:w="8828" w:type="dxa"/>
          </w:tcPr>
          <w:p w14:paraId="16E69642" w14:textId="77777777" w:rsidR="00BE7D1C" w:rsidRDefault="00BE7D1C" w:rsidP="003F600A">
            <w:pPr>
              <w:jc w:val="both"/>
              <w:rPr>
                <w:rFonts w:ascii="ITC Avant Garde" w:hAnsi="ITC Avant Garde"/>
                <w:b/>
                <w:sz w:val="18"/>
                <w:szCs w:val="18"/>
              </w:rPr>
            </w:pPr>
            <w:r w:rsidRPr="00451B7D">
              <w:rPr>
                <w:rFonts w:ascii="ITC Avant Garde" w:hAnsi="ITC Avant Garde"/>
                <w:b/>
                <w:sz w:val="18"/>
                <w:szCs w:val="18"/>
              </w:rPr>
              <w:t>4.- Justifique las razones por las que considera que la propuesta de regulación no genera costos de cumplimiento, independientemente de los beneficios que ésta genere:</w:t>
            </w:r>
          </w:p>
          <w:p w14:paraId="271F1574" w14:textId="77777777" w:rsidR="00373D03" w:rsidRPr="00451B7D" w:rsidRDefault="00373D03" w:rsidP="003F600A">
            <w:pPr>
              <w:jc w:val="both"/>
              <w:rPr>
                <w:rFonts w:ascii="ITC Avant Garde" w:hAnsi="ITC Avant Garde"/>
                <w:b/>
                <w:sz w:val="18"/>
                <w:szCs w:val="18"/>
              </w:rPr>
            </w:pPr>
          </w:p>
          <w:p w14:paraId="6E86D4CF" w14:textId="77777777" w:rsidR="00966B46" w:rsidRDefault="00861445" w:rsidP="003F600A">
            <w:pPr>
              <w:jc w:val="both"/>
              <w:rPr>
                <w:rFonts w:ascii="ITC Avant Garde" w:hAnsi="ITC Avant Garde"/>
                <w:sz w:val="18"/>
                <w:szCs w:val="18"/>
              </w:rPr>
            </w:pPr>
            <w:r>
              <w:rPr>
                <w:rFonts w:ascii="ITC Avant Garde" w:hAnsi="ITC Avant Garde"/>
                <w:sz w:val="18"/>
                <w:szCs w:val="18"/>
              </w:rPr>
              <w:t>Como se mencionó al inicio del presente documento, el</w:t>
            </w:r>
            <w:r w:rsidR="00FA0329">
              <w:rPr>
                <w:rFonts w:ascii="ITC Avant Garde" w:hAnsi="ITC Avant Garde"/>
                <w:sz w:val="18"/>
                <w:szCs w:val="18"/>
              </w:rPr>
              <w:t xml:space="preserve"> </w:t>
            </w:r>
            <w:r w:rsidR="002155A7">
              <w:rPr>
                <w:rFonts w:ascii="ITC Avant Garde" w:hAnsi="ITC Avant Garde"/>
                <w:sz w:val="18"/>
                <w:szCs w:val="18"/>
              </w:rPr>
              <w:t>“</w:t>
            </w:r>
            <w:r w:rsidR="005B34E9">
              <w:rPr>
                <w:rFonts w:ascii="ITC Avant Garde" w:hAnsi="ITC Avant Garde"/>
                <w:sz w:val="18"/>
                <w:szCs w:val="18"/>
              </w:rPr>
              <w:t>Proyecto</w:t>
            </w:r>
            <w:r w:rsidR="00B17ADF" w:rsidRPr="00F506AD">
              <w:rPr>
                <w:rFonts w:ascii="ITC Avant Garde" w:hAnsi="ITC Avant Garde"/>
                <w:sz w:val="18"/>
                <w:szCs w:val="18"/>
              </w:rPr>
              <w:t xml:space="preserve"> de guía del procedimiento de dispensa o reducción del importe de multas</w:t>
            </w:r>
            <w:r w:rsidR="00142774">
              <w:rPr>
                <w:rFonts w:ascii="ITC Avant Garde" w:hAnsi="ITC Avant Garde"/>
                <w:sz w:val="18"/>
                <w:szCs w:val="18"/>
              </w:rPr>
              <w:t xml:space="preserve"> </w:t>
            </w:r>
            <w:r w:rsidR="00142774" w:rsidRPr="00142774">
              <w:rPr>
                <w:rFonts w:ascii="ITC Avant Garde" w:hAnsi="ITC Avant Garde"/>
                <w:sz w:val="18"/>
                <w:szCs w:val="18"/>
              </w:rPr>
              <w:t>en investigaciones de prácticas monopólicas relativas o concentraciones ilícitas</w:t>
            </w:r>
            <w:r w:rsidR="00B17ADF" w:rsidRPr="00F506AD">
              <w:rPr>
                <w:rFonts w:ascii="ITC Avant Garde" w:hAnsi="ITC Avant Garde"/>
                <w:sz w:val="18"/>
                <w:szCs w:val="18"/>
              </w:rPr>
              <w:t>, para los sectores de telecomunicaciones y radiodifusión</w:t>
            </w:r>
            <w:r w:rsidR="00FA0329" w:rsidRPr="00FB2B57">
              <w:rPr>
                <w:rFonts w:ascii="ITC Avant Garde" w:hAnsi="ITC Avant Garde"/>
                <w:sz w:val="18"/>
                <w:szCs w:val="18"/>
              </w:rPr>
              <w:t>”</w:t>
            </w:r>
            <w:r w:rsidR="002155A7">
              <w:rPr>
                <w:rFonts w:ascii="ITC Avant Garde" w:hAnsi="ITC Avant Garde"/>
                <w:sz w:val="18"/>
                <w:szCs w:val="18"/>
              </w:rPr>
              <w:t xml:space="preserve"> </w:t>
            </w:r>
            <w:r w:rsidR="00D335D8" w:rsidRPr="00B54A92">
              <w:rPr>
                <w:rFonts w:ascii="ITC Avant Garde" w:hAnsi="ITC Avant Garde"/>
                <w:sz w:val="18"/>
                <w:szCs w:val="18"/>
              </w:rPr>
              <w:t xml:space="preserve">tiene como principal objetivo </w:t>
            </w:r>
            <w:r w:rsidR="00B17ADF" w:rsidRPr="00F506AD">
              <w:rPr>
                <w:rFonts w:ascii="ITC Avant Garde" w:hAnsi="ITC Avant Garde"/>
                <w:sz w:val="18"/>
                <w:szCs w:val="18"/>
              </w:rPr>
              <w:t>orientar al público en general sobre el procedimiento de dispensa o reducción del importe de multas</w:t>
            </w:r>
            <w:r w:rsidR="00142774">
              <w:rPr>
                <w:rFonts w:ascii="ITC Avant Garde" w:hAnsi="ITC Avant Garde"/>
                <w:sz w:val="18"/>
                <w:szCs w:val="18"/>
              </w:rPr>
              <w:t xml:space="preserve"> </w:t>
            </w:r>
            <w:r w:rsidR="00142774" w:rsidRPr="00142774">
              <w:rPr>
                <w:rFonts w:ascii="ITC Avant Garde" w:hAnsi="ITC Avant Garde"/>
                <w:sz w:val="18"/>
                <w:szCs w:val="18"/>
              </w:rPr>
              <w:t>en investigaciones de prácticas monopólicas relativas o concentraciones ilícitas</w:t>
            </w:r>
            <w:r w:rsidR="00B17ADF" w:rsidRPr="00F506AD">
              <w:rPr>
                <w:rFonts w:ascii="ITC Avant Garde" w:hAnsi="ITC Avant Garde"/>
                <w:sz w:val="18"/>
                <w:szCs w:val="18"/>
              </w:rPr>
              <w:t xml:space="preserve"> para los sectores de telecomunicaciones y radiodifusión</w:t>
            </w:r>
            <w:r w:rsidR="00966B46">
              <w:rPr>
                <w:rFonts w:ascii="ITC Avant Garde" w:hAnsi="ITC Avant Garde"/>
                <w:sz w:val="18"/>
                <w:szCs w:val="18"/>
              </w:rPr>
              <w:t>.</w:t>
            </w:r>
          </w:p>
          <w:p w14:paraId="459F08F4" w14:textId="77777777" w:rsidR="00D335D8" w:rsidRDefault="00D335D8" w:rsidP="003F600A">
            <w:pPr>
              <w:jc w:val="both"/>
              <w:rPr>
                <w:rFonts w:ascii="ITC Avant Garde" w:hAnsi="ITC Avant Garde"/>
                <w:sz w:val="18"/>
                <w:szCs w:val="18"/>
              </w:rPr>
            </w:pPr>
          </w:p>
          <w:p w14:paraId="012746F2" w14:textId="77777777" w:rsidR="00B17ADF" w:rsidRDefault="00D335D8" w:rsidP="00A86F52">
            <w:pPr>
              <w:jc w:val="both"/>
              <w:rPr>
                <w:rFonts w:ascii="ITC Avant Garde" w:hAnsi="ITC Avant Garde"/>
                <w:sz w:val="18"/>
                <w:szCs w:val="18"/>
              </w:rPr>
            </w:pPr>
            <w:r w:rsidRPr="00D335D8">
              <w:rPr>
                <w:rFonts w:ascii="ITC Avant Garde" w:hAnsi="ITC Avant Garde"/>
                <w:sz w:val="18"/>
                <w:szCs w:val="18"/>
              </w:rPr>
              <w:t>Espec</w:t>
            </w:r>
            <w:r w:rsidR="00373D03">
              <w:rPr>
                <w:rFonts w:ascii="ITC Avant Garde" w:hAnsi="ITC Avant Garde"/>
                <w:sz w:val="18"/>
                <w:szCs w:val="18"/>
              </w:rPr>
              <w:t xml:space="preserve">íficamente, </w:t>
            </w:r>
            <w:r w:rsidR="00A86F52">
              <w:rPr>
                <w:rFonts w:ascii="ITC Avant Garde" w:hAnsi="ITC Avant Garde"/>
                <w:sz w:val="18"/>
                <w:szCs w:val="18"/>
              </w:rPr>
              <w:t xml:space="preserve">el </w:t>
            </w:r>
            <w:r w:rsidR="005B34E9">
              <w:rPr>
                <w:rFonts w:ascii="ITC Avant Garde" w:hAnsi="ITC Avant Garde"/>
                <w:sz w:val="18"/>
                <w:szCs w:val="18"/>
              </w:rPr>
              <w:t>proyecto</w:t>
            </w:r>
            <w:r w:rsidR="00A86F52">
              <w:rPr>
                <w:rFonts w:ascii="ITC Avant Garde" w:hAnsi="ITC Avant Garde"/>
                <w:sz w:val="18"/>
                <w:szCs w:val="18"/>
              </w:rPr>
              <w:t xml:space="preserve"> orienta </w:t>
            </w:r>
            <w:r w:rsidR="00A86F52" w:rsidRPr="00F506AD">
              <w:rPr>
                <w:rFonts w:ascii="ITC Avant Garde" w:hAnsi="ITC Avant Garde"/>
                <w:sz w:val="18"/>
                <w:szCs w:val="18"/>
              </w:rPr>
              <w:t>sobre la información y documentos adecuados para satisfacer los requ</w:t>
            </w:r>
            <w:r w:rsidR="00A86F52">
              <w:rPr>
                <w:rFonts w:ascii="ITC Avant Garde" w:hAnsi="ITC Avant Garde"/>
                <w:sz w:val="18"/>
                <w:szCs w:val="18"/>
              </w:rPr>
              <w:t xml:space="preserve">isitos establecidos en </w:t>
            </w:r>
            <w:r w:rsidR="001C0074">
              <w:rPr>
                <w:rFonts w:ascii="ITC Avant Garde" w:hAnsi="ITC Avant Garde"/>
                <w:sz w:val="18"/>
                <w:szCs w:val="18"/>
              </w:rPr>
              <w:t xml:space="preserve">el artículo 100 de </w:t>
            </w:r>
            <w:r w:rsidR="00A86F52">
              <w:rPr>
                <w:rFonts w:ascii="ITC Avant Garde" w:hAnsi="ITC Avant Garde"/>
                <w:sz w:val="18"/>
                <w:szCs w:val="18"/>
              </w:rPr>
              <w:t xml:space="preserve">la LFCE, para ello también </w:t>
            </w:r>
            <w:r w:rsidR="00142774">
              <w:rPr>
                <w:rFonts w:ascii="ITC Avant Garde" w:hAnsi="ITC Avant Garde"/>
                <w:sz w:val="18"/>
                <w:szCs w:val="18"/>
              </w:rPr>
              <w:t>identifica</w:t>
            </w:r>
            <w:r w:rsidR="00B17ADF" w:rsidRPr="00F506AD">
              <w:rPr>
                <w:rFonts w:ascii="ITC Avant Garde" w:hAnsi="ITC Avant Garde"/>
                <w:sz w:val="18"/>
                <w:szCs w:val="18"/>
              </w:rPr>
              <w:t xml:space="preserve"> las conductas anticompetitivas que pueden ser objeto del beneficio de dispensa o reducción del importe de multas; los requisitos que debe cumplir el escrito de solicitud; las actuaciones que puede realizar la Autoridad Investigadora una vez que recibe la solicitud; el sentido de la resolución que puede emitir el Pleno</w:t>
            </w:r>
            <w:r w:rsidR="00B17ADF">
              <w:rPr>
                <w:rFonts w:ascii="ITC Avant Garde" w:hAnsi="ITC Avant Garde"/>
                <w:sz w:val="18"/>
                <w:szCs w:val="18"/>
              </w:rPr>
              <w:t xml:space="preserve"> del Instituto</w:t>
            </w:r>
            <w:r w:rsidR="00B17ADF" w:rsidRPr="00F506AD">
              <w:rPr>
                <w:rFonts w:ascii="ITC Avant Garde" w:hAnsi="ITC Avant Garde"/>
                <w:sz w:val="18"/>
                <w:szCs w:val="18"/>
              </w:rPr>
              <w:t>; la verificación del cumplimiento de los compromisos, así como lo relativo a la clasificación de la información presentada.</w:t>
            </w:r>
          </w:p>
          <w:p w14:paraId="5AD95E45" w14:textId="77777777" w:rsidR="00B17ADF" w:rsidRDefault="00B17ADF" w:rsidP="003F600A">
            <w:pPr>
              <w:jc w:val="both"/>
              <w:rPr>
                <w:rFonts w:ascii="ITC Avant Garde" w:hAnsi="ITC Avant Garde"/>
                <w:sz w:val="18"/>
                <w:szCs w:val="18"/>
              </w:rPr>
            </w:pPr>
          </w:p>
          <w:p w14:paraId="60026B49" w14:textId="77777777" w:rsidR="00D80D3B" w:rsidRDefault="00373D03" w:rsidP="00D80D3B">
            <w:pPr>
              <w:jc w:val="both"/>
              <w:rPr>
                <w:rFonts w:ascii="ITC Avant Garde" w:hAnsi="ITC Avant Garde"/>
                <w:sz w:val="18"/>
                <w:szCs w:val="18"/>
              </w:rPr>
            </w:pPr>
            <w:r>
              <w:rPr>
                <w:rFonts w:ascii="ITC Avant Garde" w:hAnsi="ITC Avant Garde"/>
                <w:sz w:val="18"/>
                <w:szCs w:val="18"/>
              </w:rPr>
              <w:t xml:space="preserve">Así, </w:t>
            </w:r>
            <w:r w:rsidR="00087D82">
              <w:rPr>
                <w:rFonts w:ascii="ITC Avant Garde" w:hAnsi="ITC Avant Garde"/>
                <w:sz w:val="18"/>
                <w:szCs w:val="18"/>
              </w:rPr>
              <w:t xml:space="preserve">el contenido de la guía, </w:t>
            </w:r>
            <w:r>
              <w:rPr>
                <w:rFonts w:ascii="ITC Avant Garde" w:hAnsi="ITC Avant Garde"/>
                <w:sz w:val="18"/>
                <w:szCs w:val="18"/>
              </w:rPr>
              <w:t xml:space="preserve">al ser </w:t>
            </w:r>
            <w:r w:rsidR="00087D82">
              <w:rPr>
                <w:rFonts w:ascii="ITC Avant Garde" w:hAnsi="ITC Avant Garde"/>
                <w:sz w:val="18"/>
                <w:szCs w:val="18"/>
              </w:rPr>
              <w:t>un documento</w:t>
            </w:r>
            <w:r>
              <w:rPr>
                <w:rFonts w:ascii="ITC Avant Garde" w:hAnsi="ITC Avant Garde"/>
                <w:sz w:val="18"/>
                <w:szCs w:val="18"/>
              </w:rPr>
              <w:t xml:space="preserve"> de carácter </w:t>
            </w:r>
            <w:r w:rsidR="00A86F52">
              <w:rPr>
                <w:rFonts w:ascii="ITC Avant Garde" w:hAnsi="ITC Avant Garde"/>
                <w:sz w:val="18"/>
                <w:szCs w:val="18"/>
              </w:rPr>
              <w:t>orientador e informativo</w:t>
            </w:r>
            <w:r>
              <w:rPr>
                <w:rFonts w:ascii="ITC Avant Garde" w:hAnsi="ITC Avant Garde"/>
                <w:sz w:val="18"/>
                <w:szCs w:val="18"/>
              </w:rPr>
              <w:t>, no constituye una regulación nueva o que modifique o adicione el marco jurídico existente</w:t>
            </w:r>
            <w:r w:rsidR="00A45E72">
              <w:rPr>
                <w:rFonts w:ascii="ITC Avant Garde" w:hAnsi="ITC Avant Garde"/>
                <w:sz w:val="18"/>
                <w:szCs w:val="18"/>
              </w:rPr>
              <w:t>,</w:t>
            </w:r>
            <w:r>
              <w:rPr>
                <w:rFonts w:ascii="ITC Avant Garde" w:hAnsi="ITC Avant Garde"/>
                <w:sz w:val="18"/>
                <w:szCs w:val="18"/>
              </w:rPr>
              <w:t xml:space="preserve"> y tampoco lo sustituye ni interpreta, sino que explica y detalla los requisitos de procedibilidad</w:t>
            </w:r>
            <w:r w:rsidR="00C604E6">
              <w:rPr>
                <w:rFonts w:ascii="ITC Avant Garde" w:hAnsi="ITC Avant Garde"/>
                <w:sz w:val="18"/>
                <w:szCs w:val="18"/>
              </w:rPr>
              <w:t xml:space="preserve"> de la solicitud y su sustanciación,</w:t>
            </w:r>
            <w:r>
              <w:rPr>
                <w:rFonts w:ascii="ITC Avant Garde" w:hAnsi="ITC Avant Garde"/>
                <w:sz w:val="18"/>
                <w:szCs w:val="18"/>
              </w:rPr>
              <w:t xml:space="preserve"> previstos en la L</w:t>
            </w:r>
            <w:r w:rsidR="00C604E6">
              <w:rPr>
                <w:rFonts w:ascii="ITC Avant Garde" w:hAnsi="ITC Avant Garde"/>
                <w:sz w:val="18"/>
                <w:szCs w:val="18"/>
              </w:rPr>
              <w:t>FCE.</w:t>
            </w:r>
          </w:p>
          <w:p w14:paraId="57DABC3D" w14:textId="77777777" w:rsidR="00C604E6" w:rsidRDefault="00C604E6" w:rsidP="00D80D3B">
            <w:pPr>
              <w:jc w:val="both"/>
              <w:rPr>
                <w:rFonts w:ascii="ITC Avant Garde" w:hAnsi="ITC Avant Garde"/>
                <w:sz w:val="18"/>
                <w:szCs w:val="18"/>
              </w:rPr>
            </w:pPr>
          </w:p>
          <w:p w14:paraId="7D745F80" w14:textId="77777777" w:rsidR="00BE7D1C" w:rsidRPr="00451B7D" w:rsidRDefault="00D80D3B" w:rsidP="00A86F52">
            <w:pPr>
              <w:jc w:val="both"/>
              <w:rPr>
                <w:rFonts w:ascii="ITC Avant Garde" w:hAnsi="ITC Avant Garde"/>
                <w:sz w:val="18"/>
                <w:szCs w:val="18"/>
              </w:rPr>
            </w:pPr>
            <w:r>
              <w:rPr>
                <w:rFonts w:ascii="ITC Avant Garde" w:hAnsi="ITC Avant Garde"/>
                <w:sz w:val="18"/>
                <w:szCs w:val="18"/>
              </w:rPr>
              <w:t>En ese sentido,</w:t>
            </w:r>
            <w:r w:rsidR="00A86F52">
              <w:rPr>
                <w:rFonts w:ascii="ITC Avant Garde" w:hAnsi="ITC Avant Garde"/>
                <w:sz w:val="18"/>
                <w:szCs w:val="18"/>
              </w:rPr>
              <w:t xml:space="preserve"> al no establecer obligaciones o requisitos adicionales a los establecidos en la LFCE,</w:t>
            </w:r>
            <w:r>
              <w:rPr>
                <w:rFonts w:ascii="ITC Avant Garde" w:hAnsi="ITC Avant Garde"/>
                <w:sz w:val="18"/>
                <w:szCs w:val="18"/>
              </w:rPr>
              <w:t xml:space="preserve"> la guía propuesta</w:t>
            </w:r>
            <w:r w:rsidR="00373D03">
              <w:rPr>
                <w:rFonts w:ascii="ITC Avant Garde" w:hAnsi="ITC Avant Garde"/>
                <w:sz w:val="18"/>
                <w:szCs w:val="18"/>
              </w:rPr>
              <w:t xml:space="preserve"> no genera costos o cargas adicionales</w:t>
            </w:r>
            <w:r w:rsidR="00A86F52">
              <w:rPr>
                <w:rFonts w:ascii="ITC Avant Garde" w:hAnsi="ITC Avant Garde"/>
                <w:sz w:val="18"/>
                <w:szCs w:val="18"/>
              </w:rPr>
              <w:t xml:space="preserve"> de cumplimiento. </w:t>
            </w:r>
            <w:r w:rsidR="00373D03" w:rsidRPr="00451B7D">
              <w:rPr>
                <w:rFonts w:ascii="ITC Avant Garde" w:hAnsi="ITC Avant Garde"/>
                <w:sz w:val="18"/>
                <w:szCs w:val="18"/>
              </w:rPr>
              <w:t xml:space="preserve"> </w:t>
            </w:r>
          </w:p>
        </w:tc>
      </w:tr>
    </w:tbl>
    <w:p w14:paraId="07B55D93" w14:textId="77777777" w:rsidR="00BE7D1C" w:rsidRPr="00451B7D" w:rsidRDefault="00BE7D1C" w:rsidP="00E21B49">
      <w:pPr>
        <w:jc w:val="both"/>
        <w:rPr>
          <w:rFonts w:ascii="ITC Avant Garde" w:hAnsi="ITC Avant Garde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5670"/>
        <w:gridCol w:w="1462"/>
      </w:tblGrid>
      <w:tr w:rsidR="00804F49" w:rsidRPr="00451B7D" w14:paraId="607ED638" w14:textId="77777777" w:rsidTr="003949C0">
        <w:tc>
          <w:tcPr>
            <w:tcW w:w="1696" w:type="dxa"/>
            <w:vMerge w:val="restart"/>
          </w:tcPr>
          <w:p w14:paraId="53D377BD" w14:textId="77777777" w:rsidR="00804F49" w:rsidRPr="00451B7D" w:rsidRDefault="00BE7D1C" w:rsidP="00BE7D1C">
            <w:pPr>
              <w:rPr>
                <w:rFonts w:ascii="ITC Avant Garde" w:hAnsi="ITC Avant Garde"/>
                <w:b/>
                <w:sz w:val="18"/>
                <w:szCs w:val="18"/>
              </w:rPr>
            </w:pPr>
            <w:r w:rsidRPr="00451B7D">
              <w:rPr>
                <w:rFonts w:ascii="ITC Avant Garde" w:hAnsi="ITC Avant Garde"/>
                <w:b/>
                <w:sz w:val="18"/>
                <w:szCs w:val="18"/>
              </w:rPr>
              <w:t>5</w:t>
            </w:r>
            <w:r w:rsidR="00D23BD5" w:rsidRPr="00451B7D">
              <w:rPr>
                <w:rFonts w:ascii="ITC Avant Garde" w:hAnsi="ITC Avant Garde"/>
                <w:b/>
                <w:sz w:val="18"/>
                <w:szCs w:val="18"/>
              </w:rPr>
              <w:t>.- Indique cuál(es) de los siguientes</w:t>
            </w:r>
            <w:r w:rsidR="00804F49" w:rsidRPr="00451B7D">
              <w:rPr>
                <w:rFonts w:ascii="ITC Avant Garde" w:hAnsi="ITC Avant Garde"/>
                <w:b/>
                <w:sz w:val="18"/>
                <w:szCs w:val="18"/>
              </w:rPr>
              <w:t xml:space="preserve"> </w:t>
            </w:r>
            <w:r w:rsidR="00D23BD5" w:rsidRPr="00451B7D">
              <w:rPr>
                <w:rFonts w:ascii="ITC Avant Garde" w:hAnsi="ITC Avant Garde"/>
                <w:b/>
                <w:sz w:val="18"/>
                <w:szCs w:val="18"/>
              </w:rPr>
              <w:lastRenderedPageBreak/>
              <w:t>criterios</w:t>
            </w:r>
            <w:r w:rsidR="00804F49" w:rsidRPr="00451B7D">
              <w:rPr>
                <w:rFonts w:ascii="ITC Avant Garde" w:hAnsi="ITC Avant Garde"/>
                <w:b/>
                <w:sz w:val="18"/>
                <w:szCs w:val="18"/>
              </w:rPr>
              <w:t xml:space="preserve"> </w:t>
            </w:r>
            <w:r w:rsidR="00D23BD5" w:rsidRPr="00451B7D">
              <w:rPr>
                <w:rFonts w:ascii="ITC Avant Garde" w:hAnsi="ITC Avant Garde"/>
                <w:b/>
                <w:sz w:val="18"/>
                <w:szCs w:val="18"/>
              </w:rPr>
              <w:t>actualiza la propuesta</w:t>
            </w:r>
            <w:r w:rsidR="00804F49" w:rsidRPr="00451B7D">
              <w:rPr>
                <w:rFonts w:ascii="ITC Avant Garde" w:hAnsi="ITC Avant Garde"/>
                <w:b/>
                <w:sz w:val="18"/>
                <w:szCs w:val="18"/>
              </w:rPr>
              <w:t xml:space="preserve"> de </w:t>
            </w:r>
            <w:r w:rsidR="00D23BD5" w:rsidRPr="00451B7D">
              <w:rPr>
                <w:rFonts w:ascii="ITC Avant Garde" w:hAnsi="ITC Avant Garde"/>
                <w:b/>
                <w:sz w:val="18"/>
                <w:szCs w:val="18"/>
              </w:rPr>
              <w:t>regulación</w:t>
            </w:r>
            <w:r w:rsidR="0006478F" w:rsidRPr="00451B7D">
              <w:rPr>
                <w:rFonts w:ascii="ITC Avant Garde" w:hAnsi="ITC Avant Garde"/>
                <w:b/>
                <w:sz w:val="18"/>
                <w:szCs w:val="18"/>
              </w:rPr>
              <w:t>:</w:t>
            </w:r>
          </w:p>
        </w:tc>
        <w:tc>
          <w:tcPr>
            <w:tcW w:w="5670" w:type="dxa"/>
            <w:shd w:val="clear" w:color="auto" w:fill="A8D08D" w:themeFill="accent6" w:themeFillTint="99"/>
          </w:tcPr>
          <w:p w14:paraId="72A5755C" w14:textId="77777777" w:rsidR="00804F49" w:rsidRPr="00451B7D" w:rsidRDefault="00804F49" w:rsidP="00804F49">
            <w:pPr>
              <w:jc w:val="center"/>
              <w:rPr>
                <w:rFonts w:ascii="ITC Avant Garde" w:hAnsi="ITC Avant Garde"/>
                <w:b/>
                <w:sz w:val="18"/>
                <w:szCs w:val="18"/>
              </w:rPr>
            </w:pPr>
            <w:r w:rsidRPr="00451B7D">
              <w:rPr>
                <w:rFonts w:ascii="ITC Avant Garde" w:hAnsi="ITC Avant Garde"/>
                <w:b/>
                <w:sz w:val="18"/>
                <w:szCs w:val="18"/>
              </w:rPr>
              <w:lastRenderedPageBreak/>
              <w:t>Acciones</w:t>
            </w:r>
          </w:p>
        </w:tc>
        <w:tc>
          <w:tcPr>
            <w:tcW w:w="1462" w:type="dxa"/>
            <w:shd w:val="clear" w:color="auto" w:fill="A8D08D" w:themeFill="accent6" w:themeFillTint="99"/>
          </w:tcPr>
          <w:p w14:paraId="5094333F" w14:textId="77777777" w:rsidR="00804F49" w:rsidRPr="00451B7D" w:rsidRDefault="00804F49" w:rsidP="00804F49">
            <w:pPr>
              <w:jc w:val="center"/>
              <w:rPr>
                <w:rFonts w:ascii="ITC Avant Garde" w:hAnsi="ITC Avant Garde"/>
                <w:b/>
                <w:sz w:val="18"/>
                <w:szCs w:val="18"/>
              </w:rPr>
            </w:pPr>
            <w:r w:rsidRPr="00451B7D">
              <w:rPr>
                <w:rFonts w:ascii="ITC Avant Garde" w:hAnsi="ITC Avant Garde"/>
                <w:b/>
                <w:sz w:val="18"/>
                <w:szCs w:val="18"/>
              </w:rPr>
              <w:t>Seleccione</w:t>
            </w:r>
          </w:p>
        </w:tc>
      </w:tr>
      <w:tr w:rsidR="00804F49" w:rsidRPr="00451B7D" w14:paraId="0034B790" w14:textId="77777777" w:rsidTr="003949C0">
        <w:tc>
          <w:tcPr>
            <w:tcW w:w="1696" w:type="dxa"/>
            <w:vMerge/>
          </w:tcPr>
          <w:p w14:paraId="7CED167B" w14:textId="77777777" w:rsidR="00804F49" w:rsidRPr="00451B7D" w:rsidRDefault="00804F49" w:rsidP="00E21B49">
            <w:pPr>
              <w:jc w:val="both"/>
              <w:rPr>
                <w:rFonts w:ascii="ITC Avant Garde" w:hAnsi="ITC Avant Garde"/>
                <w:sz w:val="18"/>
                <w:szCs w:val="18"/>
              </w:rPr>
            </w:pPr>
          </w:p>
        </w:tc>
        <w:tc>
          <w:tcPr>
            <w:tcW w:w="5670" w:type="dxa"/>
          </w:tcPr>
          <w:p w14:paraId="2E845B5B" w14:textId="77777777" w:rsidR="00804F49" w:rsidRPr="00451B7D" w:rsidRDefault="00804F49" w:rsidP="004A7C30">
            <w:pPr>
              <w:jc w:val="both"/>
              <w:rPr>
                <w:rFonts w:ascii="ITC Avant Garde" w:hAnsi="ITC Avant Garde"/>
                <w:sz w:val="18"/>
                <w:szCs w:val="18"/>
              </w:rPr>
            </w:pPr>
            <w:r w:rsidRPr="00451B7D">
              <w:rPr>
                <w:rFonts w:ascii="ITC Avant Garde" w:hAnsi="ITC Avant Garde"/>
                <w:sz w:val="18"/>
                <w:szCs w:val="18"/>
              </w:rPr>
              <w:t>Crea nuevas obligaciones y/o sanciones o hace más estrictas las existentes.</w:t>
            </w:r>
          </w:p>
        </w:tc>
        <w:tc>
          <w:tcPr>
            <w:tcW w:w="1462" w:type="dxa"/>
          </w:tcPr>
          <w:p w14:paraId="26B1707A" w14:textId="77777777" w:rsidR="00804F49" w:rsidRPr="00451B7D" w:rsidRDefault="00804F49" w:rsidP="00861445">
            <w:pPr>
              <w:jc w:val="center"/>
              <w:rPr>
                <w:rFonts w:ascii="ITC Avant Garde" w:hAnsi="ITC Avant Garde"/>
                <w:sz w:val="18"/>
                <w:szCs w:val="18"/>
              </w:rPr>
            </w:pPr>
            <w:r w:rsidRPr="00451B7D">
              <w:rPr>
                <w:rFonts w:ascii="ITC Avant Garde" w:hAnsi="ITC Avant Garde"/>
                <w:sz w:val="18"/>
                <w:szCs w:val="18"/>
              </w:rPr>
              <w:t xml:space="preserve">Si ( </w:t>
            </w:r>
            <w:r w:rsidR="004A7C30" w:rsidRPr="00451B7D">
              <w:rPr>
                <w:rFonts w:ascii="ITC Avant Garde" w:hAnsi="ITC Avant Garde"/>
                <w:sz w:val="18"/>
                <w:szCs w:val="18"/>
              </w:rPr>
              <w:t xml:space="preserve"> </w:t>
            </w:r>
            <w:r w:rsidRPr="00451B7D">
              <w:rPr>
                <w:rFonts w:ascii="ITC Avant Garde" w:hAnsi="ITC Avant Garde"/>
                <w:sz w:val="18"/>
                <w:szCs w:val="18"/>
              </w:rPr>
              <w:t>) No (</w:t>
            </w:r>
            <w:r w:rsidR="00861445">
              <w:rPr>
                <w:rFonts w:ascii="ITC Avant Garde" w:hAnsi="ITC Avant Garde"/>
                <w:sz w:val="18"/>
                <w:szCs w:val="18"/>
              </w:rPr>
              <w:t>X</w:t>
            </w:r>
            <w:r w:rsidRPr="00451B7D">
              <w:rPr>
                <w:rFonts w:ascii="ITC Avant Garde" w:hAnsi="ITC Avant Garde"/>
                <w:sz w:val="18"/>
                <w:szCs w:val="18"/>
              </w:rPr>
              <w:t>)</w:t>
            </w:r>
          </w:p>
        </w:tc>
      </w:tr>
      <w:tr w:rsidR="00804F49" w:rsidRPr="00451B7D" w14:paraId="0EBF21DF" w14:textId="77777777" w:rsidTr="003949C0">
        <w:tc>
          <w:tcPr>
            <w:tcW w:w="1696" w:type="dxa"/>
            <w:vMerge/>
          </w:tcPr>
          <w:p w14:paraId="0172CE7B" w14:textId="77777777" w:rsidR="00804F49" w:rsidRPr="00451B7D" w:rsidRDefault="00804F49" w:rsidP="00804F49">
            <w:pPr>
              <w:jc w:val="both"/>
              <w:rPr>
                <w:rFonts w:ascii="ITC Avant Garde" w:hAnsi="ITC Avant Garde"/>
                <w:sz w:val="18"/>
                <w:szCs w:val="18"/>
              </w:rPr>
            </w:pPr>
          </w:p>
        </w:tc>
        <w:tc>
          <w:tcPr>
            <w:tcW w:w="5670" w:type="dxa"/>
          </w:tcPr>
          <w:p w14:paraId="2C67FCE2" w14:textId="77777777" w:rsidR="00804F49" w:rsidRPr="00451B7D" w:rsidRDefault="00804F49" w:rsidP="004A7C30">
            <w:pPr>
              <w:jc w:val="both"/>
              <w:rPr>
                <w:rFonts w:ascii="ITC Avant Garde" w:hAnsi="ITC Avant Garde"/>
                <w:sz w:val="18"/>
                <w:szCs w:val="18"/>
              </w:rPr>
            </w:pPr>
            <w:r w:rsidRPr="00451B7D">
              <w:rPr>
                <w:rFonts w:ascii="ITC Avant Garde" w:hAnsi="ITC Avant Garde"/>
                <w:sz w:val="18"/>
                <w:szCs w:val="18"/>
              </w:rPr>
              <w:t xml:space="preserve">Modifica o crea </w:t>
            </w:r>
            <w:r w:rsidR="00814A48">
              <w:rPr>
                <w:rFonts w:ascii="ITC Avant Garde" w:hAnsi="ITC Avant Garde"/>
                <w:sz w:val="18"/>
                <w:szCs w:val="18"/>
              </w:rPr>
              <w:t>T</w:t>
            </w:r>
            <w:r w:rsidRPr="00451B7D">
              <w:rPr>
                <w:rFonts w:ascii="ITC Avant Garde" w:hAnsi="ITC Avant Garde"/>
                <w:sz w:val="18"/>
                <w:szCs w:val="18"/>
              </w:rPr>
              <w:t>rámites</w:t>
            </w:r>
            <w:r w:rsidR="008E1AD3" w:rsidRPr="00451B7D">
              <w:rPr>
                <w:rFonts w:ascii="ITC Avant Garde" w:hAnsi="ITC Avant Garde"/>
                <w:sz w:val="18"/>
                <w:szCs w:val="18"/>
              </w:rPr>
              <w:t xml:space="preserve"> </w:t>
            </w:r>
            <w:r w:rsidRPr="00451B7D">
              <w:rPr>
                <w:rFonts w:ascii="ITC Avant Garde" w:hAnsi="ITC Avant Garde"/>
                <w:sz w:val="18"/>
                <w:szCs w:val="18"/>
              </w:rPr>
              <w:t>que signifiquen mayores cargas administrativas o costos de cumplimiento</w:t>
            </w:r>
            <w:r w:rsidR="008E1AD3" w:rsidRPr="00451B7D">
              <w:rPr>
                <w:rFonts w:ascii="ITC Avant Garde" w:hAnsi="ITC Avant Garde"/>
                <w:sz w:val="18"/>
                <w:szCs w:val="18"/>
                <w:vertAlign w:val="superscript"/>
              </w:rPr>
              <w:footnoteReference w:id="1"/>
            </w:r>
            <w:r w:rsidRPr="00451B7D">
              <w:rPr>
                <w:rFonts w:ascii="ITC Avant Garde" w:hAnsi="ITC Avant Garde"/>
                <w:sz w:val="18"/>
                <w:szCs w:val="18"/>
              </w:rPr>
              <w:t>.</w:t>
            </w:r>
          </w:p>
        </w:tc>
        <w:tc>
          <w:tcPr>
            <w:tcW w:w="1462" w:type="dxa"/>
          </w:tcPr>
          <w:p w14:paraId="2C5D34CB" w14:textId="77777777" w:rsidR="00804F49" w:rsidRPr="00451B7D" w:rsidRDefault="00804F49" w:rsidP="00804F49">
            <w:pPr>
              <w:jc w:val="center"/>
              <w:rPr>
                <w:rFonts w:ascii="ITC Avant Garde" w:hAnsi="ITC Avant Garde"/>
                <w:sz w:val="18"/>
                <w:szCs w:val="18"/>
              </w:rPr>
            </w:pPr>
            <w:r w:rsidRPr="00451B7D">
              <w:rPr>
                <w:rFonts w:ascii="ITC Avant Garde" w:hAnsi="ITC Avant Garde"/>
                <w:sz w:val="18"/>
                <w:szCs w:val="18"/>
              </w:rPr>
              <w:t>Si (</w:t>
            </w:r>
            <w:r w:rsidR="004A7C30" w:rsidRPr="00451B7D">
              <w:rPr>
                <w:rFonts w:ascii="ITC Avant Garde" w:hAnsi="ITC Avant Garde"/>
                <w:sz w:val="18"/>
                <w:szCs w:val="18"/>
              </w:rPr>
              <w:t xml:space="preserve"> </w:t>
            </w:r>
            <w:r w:rsidRPr="00451B7D">
              <w:rPr>
                <w:rFonts w:ascii="ITC Avant Garde" w:hAnsi="ITC Avant Garde"/>
                <w:sz w:val="18"/>
                <w:szCs w:val="18"/>
              </w:rPr>
              <w:t xml:space="preserve"> ) No (</w:t>
            </w:r>
            <w:r w:rsidR="00861445">
              <w:rPr>
                <w:rFonts w:ascii="ITC Avant Garde" w:hAnsi="ITC Avant Garde"/>
                <w:sz w:val="18"/>
                <w:szCs w:val="18"/>
              </w:rPr>
              <w:t>X</w:t>
            </w:r>
            <w:r w:rsidRPr="00451B7D">
              <w:rPr>
                <w:rFonts w:ascii="ITC Avant Garde" w:hAnsi="ITC Avant Garde"/>
                <w:sz w:val="18"/>
                <w:szCs w:val="18"/>
              </w:rPr>
              <w:t>)</w:t>
            </w:r>
          </w:p>
        </w:tc>
      </w:tr>
      <w:tr w:rsidR="00804F49" w:rsidRPr="00451B7D" w14:paraId="7729F526" w14:textId="77777777" w:rsidTr="003949C0">
        <w:tc>
          <w:tcPr>
            <w:tcW w:w="1696" w:type="dxa"/>
            <w:vMerge/>
          </w:tcPr>
          <w:p w14:paraId="55831E7C" w14:textId="77777777" w:rsidR="00804F49" w:rsidRPr="00451B7D" w:rsidRDefault="00804F49" w:rsidP="00804F49">
            <w:pPr>
              <w:jc w:val="both"/>
              <w:rPr>
                <w:rFonts w:ascii="ITC Avant Garde" w:hAnsi="ITC Avant Garde"/>
                <w:sz w:val="18"/>
                <w:szCs w:val="18"/>
              </w:rPr>
            </w:pPr>
          </w:p>
        </w:tc>
        <w:tc>
          <w:tcPr>
            <w:tcW w:w="5670" w:type="dxa"/>
          </w:tcPr>
          <w:p w14:paraId="223556E9" w14:textId="77777777" w:rsidR="00804F49" w:rsidRPr="00451B7D" w:rsidRDefault="00804F49" w:rsidP="004A7C30">
            <w:pPr>
              <w:jc w:val="both"/>
              <w:rPr>
                <w:rFonts w:ascii="ITC Avant Garde" w:hAnsi="ITC Avant Garde"/>
                <w:sz w:val="18"/>
                <w:szCs w:val="18"/>
              </w:rPr>
            </w:pPr>
            <w:r w:rsidRPr="00451B7D">
              <w:rPr>
                <w:rFonts w:ascii="ITC Avant Garde" w:hAnsi="ITC Avant Garde"/>
                <w:sz w:val="18"/>
                <w:szCs w:val="18"/>
              </w:rPr>
              <w:t>Reduce o re</w:t>
            </w:r>
            <w:r w:rsidR="004A7C30" w:rsidRPr="00451B7D">
              <w:rPr>
                <w:rFonts w:ascii="ITC Avant Garde" w:hAnsi="ITC Avant Garde"/>
                <w:sz w:val="18"/>
                <w:szCs w:val="18"/>
              </w:rPr>
              <w:t>stringe prestaciones o derechos</w:t>
            </w:r>
            <w:r w:rsidRPr="00451B7D">
              <w:rPr>
                <w:rFonts w:ascii="ITC Avant Garde" w:hAnsi="ITC Avant Garde"/>
                <w:sz w:val="18"/>
                <w:szCs w:val="18"/>
              </w:rPr>
              <w:t>.</w:t>
            </w:r>
          </w:p>
        </w:tc>
        <w:tc>
          <w:tcPr>
            <w:tcW w:w="1462" w:type="dxa"/>
          </w:tcPr>
          <w:p w14:paraId="7353F6A4" w14:textId="77777777" w:rsidR="00804F49" w:rsidRPr="00451B7D" w:rsidRDefault="00804F49" w:rsidP="00861445">
            <w:pPr>
              <w:jc w:val="center"/>
              <w:rPr>
                <w:rFonts w:ascii="ITC Avant Garde" w:hAnsi="ITC Avant Garde"/>
                <w:sz w:val="18"/>
                <w:szCs w:val="18"/>
              </w:rPr>
            </w:pPr>
            <w:r w:rsidRPr="00451B7D">
              <w:rPr>
                <w:rFonts w:ascii="ITC Avant Garde" w:hAnsi="ITC Avant Garde"/>
                <w:sz w:val="18"/>
                <w:szCs w:val="18"/>
              </w:rPr>
              <w:t>Si (</w:t>
            </w:r>
            <w:r w:rsidR="004A7C30" w:rsidRPr="00451B7D">
              <w:rPr>
                <w:rFonts w:ascii="ITC Avant Garde" w:hAnsi="ITC Avant Garde"/>
                <w:sz w:val="18"/>
                <w:szCs w:val="18"/>
              </w:rPr>
              <w:t xml:space="preserve"> </w:t>
            </w:r>
            <w:r w:rsidRPr="00451B7D">
              <w:rPr>
                <w:rFonts w:ascii="ITC Avant Garde" w:hAnsi="ITC Avant Garde"/>
                <w:sz w:val="18"/>
                <w:szCs w:val="18"/>
              </w:rPr>
              <w:t xml:space="preserve"> ) No (</w:t>
            </w:r>
            <w:r w:rsidR="00861445">
              <w:rPr>
                <w:rFonts w:ascii="ITC Avant Garde" w:hAnsi="ITC Avant Garde"/>
                <w:sz w:val="18"/>
                <w:szCs w:val="18"/>
              </w:rPr>
              <w:t>X</w:t>
            </w:r>
            <w:r w:rsidRPr="00451B7D">
              <w:rPr>
                <w:rFonts w:ascii="ITC Avant Garde" w:hAnsi="ITC Avant Garde"/>
                <w:sz w:val="18"/>
                <w:szCs w:val="18"/>
              </w:rPr>
              <w:t>)</w:t>
            </w:r>
          </w:p>
        </w:tc>
      </w:tr>
      <w:tr w:rsidR="00804F49" w:rsidRPr="00451B7D" w14:paraId="3F66707A" w14:textId="77777777" w:rsidTr="003949C0">
        <w:tc>
          <w:tcPr>
            <w:tcW w:w="1696" w:type="dxa"/>
            <w:vMerge/>
          </w:tcPr>
          <w:p w14:paraId="1FAEB183" w14:textId="77777777" w:rsidR="00804F49" w:rsidRPr="00451B7D" w:rsidRDefault="00804F49" w:rsidP="00804F49">
            <w:pPr>
              <w:jc w:val="both"/>
              <w:rPr>
                <w:rFonts w:ascii="ITC Avant Garde" w:hAnsi="ITC Avant Garde"/>
                <w:sz w:val="18"/>
                <w:szCs w:val="18"/>
              </w:rPr>
            </w:pPr>
          </w:p>
        </w:tc>
        <w:tc>
          <w:tcPr>
            <w:tcW w:w="5670" w:type="dxa"/>
          </w:tcPr>
          <w:p w14:paraId="0BDCA810" w14:textId="77777777" w:rsidR="00804F49" w:rsidRPr="00451B7D" w:rsidRDefault="00804F49" w:rsidP="004A7C30">
            <w:pPr>
              <w:jc w:val="both"/>
              <w:rPr>
                <w:rFonts w:ascii="ITC Avant Garde" w:hAnsi="ITC Avant Garde"/>
                <w:sz w:val="18"/>
                <w:szCs w:val="18"/>
              </w:rPr>
            </w:pPr>
            <w:r w:rsidRPr="00451B7D">
              <w:rPr>
                <w:rFonts w:ascii="ITC Avant Garde" w:hAnsi="ITC Avant Garde"/>
                <w:sz w:val="18"/>
                <w:szCs w:val="18"/>
              </w:rPr>
              <w:t>Establece o modifica definiciones, clasificaciones, metodologías, criterios, caracterizaciones o cualquier otro término de referencia, afectando derechos, obliga</w:t>
            </w:r>
            <w:r w:rsidR="004A7C30" w:rsidRPr="00451B7D">
              <w:rPr>
                <w:rFonts w:ascii="ITC Avant Garde" w:hAnsi="ITC Avant Garde"/>
                <w:sz w:val="18"/>
                <w:szCs w:val="18"/>
              </w:rPr>
              <w:t>ciones, prestaciones o trámites</w:t>
            </w:r>
            <w:r w:rsidRPr="00451B7D">
              <w:rPr>
                <w:rFonts w:ascii="ITC Avant Garde" w:hAnsi="ITC Avant Garde"/>
                <w:sz w:val="18"/>
                <w:szCs w:val="18"/>
              </w:rPr>
              <w:t>.</w:t>
            </w:r>
          </w:p>
        </w:tc>
        <w:tc>
          <w:tcPr>
            <w:tcW w:w="1462" w:type="dxa"/>
          </w:tcPr>
          <w:p w14:paraId="2B282D81" w14:textId="77777777" w:rsidR="00804F49" w:rsidRPr="00451B7D" w:rsidRDefault="00804F49" w:rsidP="00804F49">
            <w:pPr>
              <w:jc w:val="center"/>
              <w:rPr>
                <w:rFonts w:ascii="ITC Avant Garde" w:hAnsi="ITC Avant Garde"/>
                <w:sz w:val="18"/>
                <w:szCs w:val="18"/>
              </w:rPr>
            </w:pPr>
            <w:r w:rsidRPr="00451B7D">
              <w:rPr>
                <w:rFonts w:ascii="ITC Avant Garde" w:hAnsi="ITC Avant Garde"/>
                <w:sz w:val="18"/>
                <w:szCs w:val="18"/>
              </w:rPr>
              <w:t xml:space="preserve">Si ( </w:t>
            </w:r>
            <w:r w:rsidR="004A7C30" w:rsidRPr="00451B7D">
              <w:rPr>
                <w:rFonts w:ascii="ITC Avant Garde" w:hAnsi="ITC Avant Garde"/>
                <w:sz w:val="18"/>
                <w:szCs w:val="18"/>
              </w:rPr>
              <w:t xml:space="preserve"> </w:t>
            </w:r>
            <w:r w:rsidR="00861445">
              <w:rPr>
                <w:rFonts w:ascii="ITC Avant Garde" w:hAnsi="ITC Avant Garde"/>
                <w:sz w:val="18"/>
                <w:szCs w:val="18"/>
              </w:rPr>
              <w:t>) No (X</w:t>
            </w:r>
            <w:r w:rsidRPr="00451B7D">
              <w:rPr>
                <w:rFonts w:ascii="ITC Avant Garde" w:hAnsi="ITC Avant Garde"/>
                <w:sz w:val="18"/>
                <w:szCs w:val="18"/>
              </w:rPr>
              <w:t>)</w:t>
            </w:r>
          </w:p>
        </w:tc>
      </w:tr>
    </w:tbl>
    <w:p w14:paraId="57F5BE27" w14:textId="77777777" w:rsidR="00A73AD8" w:rsidRPr="00451B7D" w:rsidRDefault="00A73AD8" w:rsidP="00A73AD8">
      <w:pPr>
        <w:shd w:val="clear" w:color="auto" w:fill="A8D08D" w:themeFill="accent6" w:themeFillTint="99"/>
        <w:jc w:val="both"/>
        <w:rPr>
          <w:rFonts w:ascii="ITC Avant Garde" w:hAnsi="ITC Avant Garde"/>
          <w:b/>
          <w:sz w:val="18"/>
          <w:szCs w:val="18"/>
        </w:rPr>
      </w:pPr>
      <w:r w:rsidRPr="00451B7D">
        <w:rPr>
          <w:rFonts w:ascii="ITC Avant Garde" w:hAnsi="ITC Avant Garde"/>
          <w:b/>
          <w:sz w:val="18"/>
          <w:szCs w:val="18"/>
        </w:rPr>
        <w:t>I</w:t>
      </w:r>
      <w:r w:rsidR="00804F49" w:rsidRPr="00451B7D">
        <w:rPr>
          <w:rFonts w:ascii="ITC Avant Garde" w:hAnsi="ITC Avant Garde"/>
          <w:b/>
          <w:sz w:val="18"/>
          <w:szCs w:val="18"/>
        </w:rPr>
        <w:t>I</w:t>
      </w:r>
      <w:r w:rsidRPr="00451B7D">
        <w:rPr>
          <w:rFonts w:ascii="ITC Avant Garde" w:hAnsi="ITC Avant Garde"/>
          <w:b/>
          <w:sz w:val="18"/>
          <w:szCs w:val="18"/>
        </w:rPr>
        <w:t xml:space="preserve">I. </w:t>
      </w:r>
      <w:r w:rsidR="003E1D84" w:rsidRPr="00451B7D">
        <w:rPr>
          <w:rFonts w:ascii="ITC Avant Garde" w:hAnsi="ITC Avant Garde"/>
          <w:b/>
          <w:sz w:val="18"/>
          <w:szCs w:val="18"/>
        </w:rPr>
        <w:t>BIBLIOGRAFÍA O REFERENCIAS DE CUALQUIER ÍNDOLE QUE SE HAYAN UTILIZADO EN LA ELABORACIÓN DE LA PROPUESTA DE REGULACIÓN</w:t>
      </w:r>
      <w:r w:rsidRPr="00451B7D">
        <w:rPr>
          <w:rFonts w:ascii="ITC Avant Garde" w:hAnsi="ITC Avant Garde"/>
          <w:b/>
          <w:sz w:val="18"/>
          <w:szCs w:val="18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73AD8" w:rsidRPr="00451B7D" w14:paraId="3D8D5B4D" w14:textId="77777777" w:rsidTr="00A73AD8">
        <w:tc>
          <w:tcPr>
            <w:tcW w:w="8828" w:type="dxa"/>
          </w:tcPr>
          <w:p w14:paraId="098CC31A" w14:textId="77777777" w:rsidR="00B74C55" w:rsidRDefault="00BE7D1C" w:rsidP="00A73AD8">
            <w:pPr>
              <w:jc w:val="both"/>
              <w:rPr>
                <w:rFonts w:ascii="ITC Avant Garde" w:hAnsi="ITC Avant Garde"/>
                <w:b/>
                <w:sz w:val="18"/>
                <w:szCs w:val="18"/>
              </w:rPr>
            </w:pPr>
            <w:r w:rsidRPr="00451B7D">
              <w:rPr>
                <w:rFonts w:ascii="ITC Avant Garde" w:hAnsi="ITC Avant Garde"/>
                <w:b/>
                <w:sz w:val="18"/>
                <w:szCs w:val="18"/>
              </w:rPr>
              <w:t>6</w:t>
            </w:r>
            <w:r w:rsidR="00A73AD8" w:rsidRPr="00451B7D">
              <w:rPr>
                <w:rFonts w:ascii="ITC Avant Garde" w:hAnsi="ITC Avant Garde"/>
                <w:b/>
                <w:sz w:val="18"/>
                <w:szCs w:val="18"/>
              </w:rPr>
              <w:t xml:space="preserve">.- Enliste </w:t>
            </w:r>
            <w:r w:rsidR="00B74C55" w:rsidRPr="00451B7D">
              <w:rPr>
                <w:rFonts w:ascii="ITC Avant Garde" w:hAnsi="ITC Avant Garde"/>
                <w:b/>
                <w:sz w:val="18"/>
                <w:szCs w:val="18"/>
              </w:rPr>
              <w:t>los datos bibliográficos o las direcciones electrónicas consultadas para el diseño y redacción</w:t>
            </w:r>
            <w:r w:rsidR="00804F49" w:rsidRPr="00451B7D">
              <w:rPr>
                <w:rFonts w:ascii="ITC Avant Garde" w:hAnsi="ITC Avant Garde"/>
                <w:b/>
                <w:sz w:val="18"/>
                <w:szCs w:val="18"/>
              </w:rPr>
              <w:t xml:space="preserve"> </w:t>
            </w:r>
            <w:r w:rsidR="00D23BD5" w:rsidRPr="00451B7D">
              <w:rPr>
                <w:rFonts w:ascii="ITC Avant Garde" w:hAnsi="ITC Avant Garde"/>
                <w:b/>
                <w:sz w:val="18"/>
                <w:szCs w:val="18"/>
              </w:rPr>
              <w:t>de la propuesta</w:t>
            </w:r>
            <w:r w:rsidR="00804F49" w:rsidRPr="00451B7D">
              <w:rPr>
                <w:rFonts w:ascii="ITC Avant Garde" w:hAnsi="ITC Avant Garde"/>
                <w:b/>
                <w:sz w:val="18"/>
                <w:szCs w:val="18"/>
              </w:rPr>
              <w:t xml:space="preserve"> de regulación, así como cualquier otra documentación que se considere de interés.</w:t>
            </w:r>
          </w:p>
          <w:p w14:paraId="78256341" w14:textId="77777777" w:rsidR="004423A7" w:rsidRDefault="004423A7" w:rsidP="00A73AD8">
            <w:pPr>
              <w:jc w:val="both"/>
              <w:rPr>
                <w:rFonts w:ascii="ITC Avant Garde" w:hAnsi="ITC Avant Garde"/>
                <w:b/>
                <w:sz w:val="18"/>
                <w:szCs w:val="18"/>
              </w:rPr>
            </w:pPr>
          </w:p>
          <w:p w14:paraId="4D5DB843" w14:textId="77777777" w:rsidR="004423A7" w:rsidRPr="008329D2" w:rsidRDefault="004423A7" w:rsidP="004423A7">
            <w:pPr>
              <w:jc w:val="both"/>
              <w:rPr>
                <w:rFonts w:ascii="ITC Avant Garde" w:hAnsi="ITC Avant Garde"/>
                <w:sz w:val="18"/>
                <w:szCs w:val="18"/>
              </w:rPr>
            </w:pPr>
            <w:r w:rsidRPr="008329D2">
              <w:rPr>
                <w:rFonts w:ascii="ITC Avant Garde" w:hAnsi="ITC Avant Garde"/>
                <w:sz w:val="18"/>
                <w:szCs w:val="18"/>
              </w:rPr>
              <w:t xml:space="preserve">Decreto por el que se reforman y adicionan diversas disposiciones de los artículos 6o., 7o., 27, 28, 73, 78, 94 y 105 de la Constitución Política de los Estados Unidos Mexicanos, en materia de telecomunicaciones, publicado en el Diario Oficial de la Federación el 11 de junio de 2013. Disponible en: </w:t>
            </w:r>
            <w:hyperlink r:id="rId11" w:history="1">
              <w:r w:rsidRPr="008329D2">
                <w:rPr>
                  <w:rStyle w:val="Hipervnculo"/>
                  <w:rFonts w:ascii="ITC Avant Garde" w:hAnsi="ITC Avant Garde"/>
                  <w:color w:val="auto"/>
                  <w:sz w:val="18"/>
                  <w:szCs w:val="18"/>
                </w:rPr>
                <w:t>http://www.dof.gob.mx/nota_detalle.php?codigo=5301941</w:t>
              </w:r>
            </w:hyperlink>
            <w:r w:rsidRPr="008329D2">
              <w:rPr>
                <w:rFonts w:ascii="ITC Avant Garde" w:hAnsi="ITC Avant Garde"/>
                <w:sz w:val="18"/>
                <w:szCs w:val="18"/>
              </w:rPr>
              <w:t xml:space="preserve"> </w:t>
            </w:r>
          </w:p>
          <w:p w14:paraId="1F72C1BA" w14:textId="77777777" w:rsidR="004423A7" w:rsidRPr="008329D2" w:rsidRDefault="004423A7" w:rsidP="004423A7">
            <w:pPr>
              <w:jc w:val="both"/>
              <w:rPr>
                <w:rFonts w:ascii="ITC Avant Garde" w:hAnsi="ITC Avant Garde"/>
                <w:sz w:val="18"/>
                <w:szCs w:val="18"/>
              </w:rPr>
            </w:pPr>
          </w:p>
          <w:p w14:paraId="107EB8D1" w14:textId="77777777" w:rsidR="004423A7" w:rsidRPr="008329D2" w:rsidRDefault="004423A7" w:rsidP="004423A7">
            <w:pPr>
              <w:jc w:val="both"/>
              <w:rPr>
                <w:rFonts w:ascii="ITC Avant Garde" w:hAnsi="ITC Avant Garde"/>
                <w:sz w:val="18"/>
                <w:szCs w:val="18"/>
              </w:rPr>
            </w:pPr>
            <w:r w:rsidRPr="008329D2">
              <w:rPr>
                <w:rFonts w:ascii="ITC Avant Garde" w:hAnsi="ITC Avant Garde"/>
                <w:sz w:val="18"/>
                <w:szCs w:val="18"/>
              </w:rPr>
              <w:t xml:space="preserve">Ley Federal de Competencia Económica, publicada en el Diario Oficial de la Federación el 23 de mayo de 2014. Disponible en: </w:t>
            </w:r>
            <w:hyperlink r:id="rId12" w:history="1">
              <w:r w:rsidRPr="008329D2">
                <w:rPr>
                  <w:rStyle w:val="Hipervnculo"/>
                  <w:rFonts w:ascii="ITC Avant Garde" w:hAnsi="ITC Avant Garde"/>
                  <w:color w:val="auto"/>
                  <w:sz w:val="18"/>
                  <w:szCs w:val="18"/>
                </w:rPr>
                <w:t>http://www.diputados.gob.mx/LeyesBiblio/pdf/LFCE_270117.pdf</w:t>
              </w:r>
            </w:hyperlink>
            <w:r w:rsidRPr="008329D2">
              <w:rPr>
                <w:rFonts w:ascii="ITC Avant Garde" w:hAnsi="ITC Avant Garde"/>
                <w:sz w:val="18"/>
                <w:szCs w:val="18"/>
              </w:rPr>
              <w:t xml:space="preserve"> </w:t>
            </w:r>
          </w:p>
          <w:p w14:paraId="6884DEE6" w14:textId="77777777" w:rsidR="004423A7" w:rsidRPr="008329D2" w:rsidRDefault="004423A7" w:rsidP="004423A7">
            <w:pPr>
              <w:jc w:val="both"/>
              <w:rPr>
                <w:rFonts w:ascii="ITC Avant Garde" w:hAnsi="ITC Avant Garde"/>
                <w:sz w:val="18"/>
                <w:szCs w:val="18"/>
              </w:rPr>
            </w:pPr>
          </w:p>
          <w:p w14:paraId="4C680781" w14:textId="77777777" w:rsidR="004423A7" w:rsidRPr="008329D2" w:rsidRDefault="004423A7" w:rsidP="004423A7">
            <w:pPr>
              <w:jc w:val="both"/>
              <w:rPr>
                <w:rFonts w:ascii="ITC Avant Garde" w:hAnsi="ITC Avant Garde"/>
                <w:sz w:val="18"/>
                <w:szCs w:val="18"/>
              </w:rPr>
            </w:pPr>
            <w:r w:rsidRPr="008329D2">
              <w:rPr>
                <w:rFonts w:ascii="ITC Avant Garde" w:hAnsi="ITC Avant Garde"/>
                <w:sz w:val="18"/>
                <w:szCs w:val="18"/>
              </w:rPr>
              <w:t>Acuerdo mediante el cual el Pleno del Instituto Federal de Telecomunicaciones expide las Disposiciones Regulatorias de la Ley Federal de Competencia Económica para los sectores de telecomunicaciones y radiodifusión, publicado en el Diario Oficial de la Federación el 12 de enero de 2015. Disponible en:</w:t>
            </w:r>
          </w:p>
          <w:p w14:paraId="4DF4B38F" w14:textId="77777777" w:rsidR="004423A7" w:rsidRPr="008329D2" w:rsidRDefault="00B852D7" w:rsidP="004423A7">
            <w:pPr>
              <w:jc w:val="both"/>
              <w:rPr>
                <w:rFonts w:ascii="ITC Avant Garde" w:hAnsi="ITC Avant Garde"/>
                <w:sz w:val="18"/>
                <w:szCs w:val="18"/>
              </w:rPr>
            </w:pPr>
            <w:hyperlink r:id="rId13" w:history="1">
              <w:r w:rsidR="004423A7" w:rsidRPr="008329D2">
                <w:rPr>
                  <w:rStyle w:val="Hipervnculo"/>
                  <w:rFonts w:ascii="ITC Avant Garde" w:hAnsi="ITC Avant Garde"/>
                  <w:color w:val="auto"/>
                  <w:sz w:val="18"/>
                  <w:szCs w:val="18"/>
                </w:rPr>
                <w:t>http://www.dof.gob.mx/nota_detalle.php?codigo=5378340&amp;fecha=12/01/2015</w:t>
              </w:r>
            </w:hyperlink>
          </w:p>
          <w:p w14:paraId="3F994AAB" w14:textId="77777777" w:rsidR="004423A7" w:rsidRPr="008329D2" w:rsidRDefault="004423A7" w:rsidP="004423A7">
            <w:pPr>
              <w:jc w:val="both"/>
              <w:rPr>
                <w:rFonts w:ascii="ITC Avant Garde" w:hAnsi="ITC Avant Garde"/>
                <w:sz w:val="18"/>
                <w:szCs w:val="18"/>
              </w:rPr>
            </w:pPr>
          </w:p>
          <w:p w14:paraId="76D2542A" w14:textId="77777777" w:rsidR="004423A7" w:rsidRDefault="004423A7" w:rsidP="004423A7">
            <w:pPr>
              <w:jc w:val="both"/>
              <w:rPr>
                <w:rFonts w:ascii="ITC Avant Garde" w:hAnsi="ITC Avant Garde"/>
                <w:sz w:val="18"/>
                <w:szCs w:val="18"/>
              </w:rPr>
            </w:pPr>
            <w:r>
              <w:rPr>
                <w:rFonts w:ascii="ITC Avant Garde" w:hAnsi="ITC Avant Garde"/>
                <w:sz w:val="18"/>
                <w:szCs w:val="18"/>
              </w:rPr>
              <w:t>Así como la información contenida en las direcciones electrónicas siguientes:</w:t>
            </w:r>
          </w:p>
          <w:p w14:paraId="7DF3CB7C" w14:textId="77777777" w:rsidR="004423A7" w:rsidRPr="008329D2" w:rsidRDefault="004423A7" w:rsidP="004423A7">
            <w:pPr>
              <w:jc w:val="both"/>
              <w:rPr>
                <w:rFonts w:ascii="ITC Avant Garde" w:hAnsi="ITC Avant Garde"/>
                <w:sz w:val="18"/>
                <w:szCs w:val="18"/>
              </w:rPr>
            </w:pPr>
          </w:p>
          <w:p w14:paraId="0CD25A8C" w14:textId="77777777" w:rsidR="00870931" w:rsidRPr="00623D14" w:rsidRDefault="00B852D7" w:rsidP="00F8154D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ITC Avant Garde" w:hAnsi="ITC Avant Garde"/>
                <w:sz w:val="16"/>
              </w:rPr>
            </w:pPr>
            <w:hyperlink r:id="rId14" w:history="1">
              <w:r w:rsidR="00F8154D" w:rsidRPr="00623D14">
                <w:rPr>
                  <w:rStyle w:val="Hipervnculo"/>
                  <w:rFonts w:ascii="ITC Avant Garde" w:hAnsi="ITC Avant Garde"/>
                  <w:sz w:val="16"/>
                </w:rPr>
                <w:t>https://www.ftc.gov/enforcement/rules/rules-and-guides</w:t>
              </w:r>
            </w:hyperlink>
          </w:p>
          <w:p w14:paraId="7CE86221" w14:textId="77777777" w:rsidR="00F8154D" w:rsidRPr="00623D14" w:rsidRDefault="00B852D7" w:rsidP="00F8154D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ITC Avant Garde" w:hAnsi="ITC Avant Garde"/>
                <w:sz w:val="16"/>
              </w:rPr>
            </w:pPr>
            <w:hyperlink r:id="rId15" w:history="1">
              <w:r w:rsidR="00F8154D" w:rsidRPr="00623D14">
                <w:rPr>
                  <w:rStyle w:val="Hipervnculo"/>
                  <w:rFonts w:ascii="ITC Avant Garde" w:hAnsi="ITC Avant Garde"/>
                  <w:sz w:val="16"/>
                </w:rPr>
                <w:t>http://ec.europa.eu/competition/antitrust/antitrust_manproc_3_2012_en.pdf</w:t>
              </w:r>
            </w:hyperlink>
          </w:p>
          <w:p w14:paraId="7A0991CF" w14:textId="77777777" w:rsidR="00F8154D" w:rsidRPr="00623D14" w:rsidRDefault="00B852D7" w:rsidP="00F8154D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ITC Avant Garde" w:hAnsi="ITC Avant Garde"/>
                <w:sz w:val="16"/>
              </w:rPr>
            </w:pPr>
            <w:hyperlink r:id="rId16" w:history="1">
              <w:r w:rsidR="00F8154D" w:rsidRPr="00623D14">
                <w:rPr>
                  <w:rStyle w:val="Hipervnculo"/>
                  <w:rFonts w:ascii="ITC Avant Garde" w:hAnsi="ITC Avant Garde"/>
                  <w:sz w:val="16"/>
                </w:rPr>
                <w:t>http://ec.europa.eu/competition/antitrust/guidance_en.pdf</w:t>
              </w:r>
            </w:hyperlink>
          </w:p>
          <w:p w14:paraId="5C2B9BEC" w14:textId="77777777" w:rsidR="00F8154D" w:rsidRPr="00623D14" w:rsidRDefault="00B852D7" w:rsidP="00F8154D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ITC Avant Garde" w:hAnsi="ITC Avant Garde"/>
                <w:sz w:val="16"/>
              </w:rPr>
            </w:pPr>
            <w:hyperlink r:id="rId17" w:history="1">
              <w:r w:rsidR="00F8154D" w:rsidRPr="00623D14">
                <w:rPr>
                  <w:rStyle w:val="Hipervnculo"/>
                  <w:rFonts w:ascii="ITC Avant Garde" w:hAnsi="ITC Avant Garde"/>
                  <w:sz w:val="16"/>
                </w:rPr>
                <w:t>http://ec.europa.eu/competition/antitrust/legislation/handbook_vol_1_en.pdf</w:t>
              </w:r>
            </w:hyperlink>
            <w:r w:rsidR="00F8154D" w:rsidRPr="00623D14">
              <w:rPr>
                <w:rFonts w:ascii="ITC Avant Garde" w:hAnsi="ITC Avant Garde"/>
                <w:sz w:val="16"/>
              </w:rPr>
              <w:t xml:space="preserve"> </w:t>
            </w:r>
          </w:p>
          <w:p w14:paraId="100991F7" w14:textId="77777777" w:rsidR="00F8154D" w:rsidRPr="00623D14" w:rsidRDefault="00B852D7" w:rsidP="00F8154D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ITC Avant Garde" w:hAnsi="ITC Avant Garde"/>
                <w:sz w:val="16"/>
              </w:rPr>
            </w:pPr>
            <w:hyperlink r:id="rId18" w:history="1">
              <w:r w:rsidR="00623D14" w:rsidRPr="00623D14">
                <w:rPr>
                  <w:rStyle w:val="Hipervnculo"/>
                  <w:rFonts w:ascii="ITC Avant Garde" w:hAnsi="ITC Avant Garde"/>
                  <w:sz w:val="16"/>
                </w:rPr>
                <w:t>http://www.fne.gob.cl/wp-content/uploads/2017/10/Guía-Restricciones-Verticales.pdf</w:t>
              </w:r>
            </w:hyperlink>
            <w:r w:rsidR="00F8154D" w:rsidRPr="00623D14">
              <w:rPr>
                <w:rFonts w:ascii="ITC Avant Garde" w:hAnsi="ITC Avant Garde"/>
                <w:sz w:val="16"/>
              </w:rPr>
              <w:t xml:space="preserve"> </w:t>
            </w:r>
          </w:p>
          <w:p w14:paraId="5A31736A" w14:textId="77777777" w:rsidR="0001716D" w:rsidRPr="00623D14" w:rsidRDefault="00B852D7" w:rsidP="0001716D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ITC Avant Garde" w:hAnsi="ITC Avant Garde"/>
                <w:sz w:val="16"/>
              </w:rPr>
            </w:pPr>
            <w:hyperlink r:id="rId19" w:history="1">
              <w:r w:rsidR="0001716D" w:rsidRPr="00623D14">
                <w:rPr>
                  <w:rStyle w:val="Hipervnculo"/>
                  <w:rFonts w:ascii="ITC Avant Garde" w:hAnsi="ITC Avant Garde"/>
                  <w:sz w:val="16"/>
                </w:rPr>
                <w:t>http://www.sic.gov.co/sites/default/files/files/UNCTAD.pdf</w:t>
              </w:r>
            </w:hyperlink>
            <w:r w:rsidR="0001716D" w:rsidRPr="00623D14">
              <w:rPr>
                <w:rFonts w:ascii="ITC Avant Garde" w:hAnsi="ITC Avant Garde"/>
                <w:sz w:val="16"/>
              </w:rPr>
              <w:t xml:space="preserve"> </w:t>
            </w:r>
          </w:p>
          <w:p w14:paraId="36259CAC" w14:textId="77777777" w:rsidR="0001716D" w:rsidRPr="00623D14" w:rsidRDefault="00B852D7" w:rsidP="0001716D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ITC Avant Garde" w:hAnsi="ITC Avant Garde"/>
                <w:sz w:val="16"/>
              </w:rPr>
            </w:pPr>
            <w:hyperlink r:id="rId20" w:history="1">
              <w:r w:rsidR="0001716D" w:rsidRPr="00623D14">
                <w:rPr>
                  <w:rStyle w:val="Hipervnculo"/>
                  <w:rFonts w:ascii="ITC Avant Garde" w:hAnsi="ITC Avant Garde"/>
                  <w:sz w:val="16"/>
                </w:rPr>
                <w:t>http://www.sic.gov.co/sites/default/files/files/Manual.pdf</w:t>
              </w:r>
            </w:hyperlink>
          </w:p>
          <w:p w14:paraId="5BF8534A" w14:textId="77777777" w:rsidR="000E1E51" w:rsidRPr="00623D14" w:rsidRDefault="00B852D7" w:rsidP="000E1E51">
            <w:pPr>
              <w:pStyle w:val="Prrafodelista"/>
              <w:numPr>
                <w:ilvl w:val="0"/>
                <w:numId w:val="3"/>
              </w:numPr>
              <w:jc w:val="both"/>
              <w:rPr>
                <w:rStyle w:val="Hipervnculo"/>
                <w:rFonts w:ascii="ITC Avant Garde" w:hAnsi="ITC Avant Garde"/>
                <w:color w:val="auto"/>
                <w:sz w:val="16"/>
                <w:u w:val="none"/>
              </w:rPr>
            </w:pPr>
            <w:hyperlink r:id="rId21" w:history="1">
              <w:r w:rsidR="000E1E51" w:rsidRPr="00623D14">
                <w:rPr>
                  <w:rStyle w:val="Hipervnculo"/>
                  <w:rFonts w:ascii="ITC Avant Garde" w:hAnsi="ITC Avant Garde"/>
                  <w:sz w:val="16"/>
                </w:rPr>
                <w:t>http://www.sic.gov.co/sites/default/files/files/Guia_OECD.pdf</w:t>
              </w:r>
            </w:hyperlink>
          </w:p>
          <w:p w14:paraId="60A031CC" w14:textId="77777777" w:rsidR="00623D14" w:rsidRPr="00623D14" w:rsidRDefault="00B852D7" w:rsidP="00623D1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ITC Avant Garde" w:hAnsi="ITC Avant Garde"/>
                <w:sz w:val="16"/>
              </w:rPr>
            </w:pPr>
            <w:hyperlink r:id="rId22" w:history="1">
              <w:r w:rsidR="00623D14" w:rsidRPr="00623D14">
                <w:rPr>
                  <w:rStyle w:val="Hipervnculo"/>
                  <w:rFonts w:ascii="ITC Avant Garde" w:hAnsi="ITC Avant Garde"/>
                  <w:sz w:val="16"/>
                </w:rPr>
                <w:t>http://ec.europa.eu/competition/antitrust/legislation/guidelines_vertical_en.pdf</w:t>
              </w:r>
            </w:hyperlink>
          </w:p>
          <w:p w14:paraId="7CA338DF" w14:textId="77777777" w:rsidR="00623D14" w:rsidRPr="00623D14" w:rsidRDefault="00B852D7" w:rsidP="00623D1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ITC Avant Garde" w:hAnsi="ITC Avant Garde"/>
                <w:sz w:val="16"/>
              </w:rPr>
            </w:pPr>
            <w:hyperlink r:id="rId23" w:history="1">
              <w:r w:rsidR="00CD66AF" w:rsidRPr="0078709C">
                <w:rPr>
                  <w:rStyle w:val="Hipervnculo"/>
                  <w:rFonts w:ascii="ITC Avant Garde" w:hAnsi="ITC Avant Garde"/>
                  <w:sz w:val="16"/>
                </w:rPr>
                <w:t>http://wrap.warwick.ac.uk/19/1/WRAP_Waterson_oft177.pdf</w:t>
              </w:r>
            </w:hyperlink>
          </w:p>
          <w:p w14:paraId="1CC9B415" w14:textId="77777777" w:rsidR="00623D14" w:rsidRPr="00623D14" w:rsidRDefault="00B852D7" w:rsidP="00623D1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ITC Avant Garde" w:hAnsi="ITC Avant Garde"/>
                <w:sz w:val="16"/>
              </w:rPr>
            </w:pPr>
            <w:hyperlink r:id="rId24" w:history="1">
              <w:r w:rsidR="00623D14" w:rsidRPr="00623D14">
                <w:rPr>
                  <w:rStyle w:val="Hipervnculo"/>
                  <w:rFonts w:ascii="ITC Avant Garde" w:hAnsi="ITC Avant Garde"/>
                  <w:sz w:val="16"/>
                </w:rPr>
                <w:t>%20Law%20Conceptual%20Foundations%20and%20Practical%20Framework.pdf</w:t>
              </w:r>
            </w:hyperlink>
          </w:p>
          <w:p w14:paraId="010E40DB" w14:textId="77777777" w:rsidR="00623D14" w:rsidRPr="00623D14" w:rsidRDefault="00B852D7" w:rsidP="00623D1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ITC Avant Garde" w:hAnsi="ITC Avant Garde"/>
                <w:sz w:val="16"/>
              </w:rPr>
            </w:pPr>
            <w:hyperlink r:id="rId25" w:history="1">
              <w:r w:rsidR="00623D14" w:rsidRPr="00623D14">
                <w:rPr>
                  <w:rStyle w:val="Hipervnculo"/>
                  <w:rFonts w:ascii="ITC Avant Garde" w:hAnsi="ITC Avant Garde"/>
                  <w:sz w:val="16"/>
                </w:rPr>
                <w:t>http://www.competitionbureau.gc.ca/eic/site/cb-bc.nsf/eng/03766.html</w:t>
              </w:r>
            </w:hyperlink>
          </w:p>
          <w:p w14:paraId="1ADAC004" w14:textId="77777777" w:rsidR="00623D14" w:rsidRPr="00623D14" w:rsidRDefault="00B852D7" w:rsidP="00623D1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ITC Avant Garde" w:hAnsi="ITC Avant Garde"/>
                <w:sz w:val="16"/>
              </w:rPr>
            </w:pPr>
            <w:hyperlink r:id="rId26" w:history="1">
              <w:r w:rsidR="00623D14" w:rsidRPr="00623D14">
                <w:rPr>
                  <w:rStyle w:val="Hipervnculo"/>
                  <w:rFonts w:ascii="ITC Avant Garde" w:hAnsi="ITC Avant Garde"/>
                  <w:sz w:val="16"/>
                </w:rPr>
                <w:t>http://www.bundeskartellamt.de/SharedDocs/Publikation/EN/Diskussions_Hintergrundpapiere/Vertical%20Restraints%20in%20the%20Internet%20Economy.pdf?__blob=publicationFile&amp;v=2</w:t>
              </w:r>
            </w:hyperlink>
          </w:p>
          <w:p w14:paraId="5505249B" w14:textId="77777777" w:rsidR="00623D14" w:rsidRPr="00623D14" w:rsidRDefault="00B852D7" w:rsidP="00623D1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ITC Avant Garde" w:hAnsi="ITC Avant Garde"/>
                <w:sz w:val="16"/>
              </w:rPr>
            </w:pPr>
            <w:hyperlink r:id="rId27" w:history="1">
              <w:r w:rsidR="00623D14" w:rsidRPr="00623D14">
                <w:rPr>
                  <w:rStyle w:val="Hipervnculo"/>
                  <w:rFonts w:ascii="ITC Avant Garde" w:hAnsi="ITC Avant Garde"/>
                  <w:sz w:val="16"/>
                </w:rPr>
                <w:t>http://www.eucomplaw.com/horizontal-and-vertical-cooperation/</w:t>
              </w:r>
            </w:hyperlink>
          </w:p>
          <w:p w14:paraId="415A3AC4" w14:textId="77777777" w:rsidR="00F8154D" w:rsidRPr="009D3C22" w:rsidRDefault="00B852D7" w:rsidP="00623D1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ITC Avant Garde" w:hAnsi="ITC Avant Garde"/>
                <w:sz w:val="20"/>
              </w:rPr>
            </w:pPr>
            <w:hyperlink r:id="rId28" w:history="1">
              <w:r w:rsidR="00623D14" w:rsidRPr="00623D14">
                <w:rPr>
                  <w:rStyle w:val="Hipervnculo"/>
                  <w:rFonts w:ascii="ITC Avant Garde" w:hAnsi="ITC Avant Garde"/>
                  <w:sz w:val="16"/>
                </w:rPr>
                <w:t>https://www.ab.gov.tr/files/ardb/evt/1_avrupa_birligi/1_6_raporlar/1_2_green_papers/com1997_green_paper_on_vertical_restraints_ec_competition_policy.pdf</w:t>
              </w:r>
            </w:hyperlink>
          </w:p>
        </w:tc>
      </w:tr>
    </w:tbl>
    <w:p w14:paraId="72F47A9A" w14:textId="77777777" w:rsidR="0086684A" w:rsidRPr="00451B7D" w:rsidRDefault="0086684A" w:rsidP="0086684A">
      <w:pPr>
        <w:jc w:val="both"/>
        <w:rPr>
          <w:rFonts w:ascii="ITC Avant Garde" w:hAnsi="ITC Avant Garde"/>
          <w:sz w:val="18"/>
          <w:szCs w:val="18"/>
        </w:rPr>
      </w:pPr>
    </w:p>
    <w:sectPr w:rsidR="0086684A" w:rsidRPr="00451B7D">
      <w:headerReference w:type="default" r:id="rId29"/>
      <w:footerReference w:type="default" r:id="rId3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ECE3F" w14:textId="77777777" w:rsidR="00351E55" w:rsidRDefault="00351E55" w:rsidP="00501ADF">
      <w:pPr>
        <w:spacing w:after="0" w:line="240" w:lineRule="auto"/>
      </w:pPr>
      <w:r>
        <w:separator/>
      </w:r>
    </w:p>
  </w:endnote>
  <w:endnote w:type="continuationSeparator" w:id="0">
    <w:p w14:paraId="7E968E48" w14:textId="77777777" w:rsidR="00351E55" w:rsidRDefault="00351E55" w:rsidP="0050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3F360" w14:textId="77777777" w:rsidR="00995E52" w:rsidRPr="00DF5B3F" w:rsidRDefault="00995E52" w:rsidP="00995E52">
    <w:pPr>
      <w:tabs>
        <w:tab w:val="center" w:pos="4550"/>
        <w:tab w:val="left" w:pos="5818"/>
      </w:tabs>
      <w:ind w:right="260"/>
      <w:jc w:val="right"/>
      <w:rPr>
        <w:rFonts w:ascii="ITC Avant Garde" w:hAnsi="ITC Avant Garde"/>
        <w:color w:val="222A35"/>
        <w:sz w:val="14"/>
        <w:szCs w:val="24"/>
      </w:rPr>
    </w:pPr>
    <w:r w:rsidRPr="00DF5B3F">
      <w:rPr>
        <w:rFonts w:ascii="ITC Avant Garde" w:hAnsi="ITC Avant Garde"/>
        <w:color w:val="8496B0"/>
        <w:spacing w:val="60"/>
        <w:sz w:val="14"/>
        <w:szCs w:val="24"/>
        <w:lang w:val="es-ES"/>
      </w:rPr>
      <w:t>Página</w:t>
    </w:r>
    <w:r w:rsidRPr="00DF5B3F">
      <w:rPr>
        <w:rFonts w:ascii="ITC Avant Garde" w:hAnsi="ITC Avant Garde"/>
        <w:color w:val="8496B0"/>
        <w:sz w:val="14"/>
        <w:szCs w:val="24"/>
        <w:lang w:val="es-ES"/>
      </w:rPr>
      <w:t xml:space="preserve"> </w:t>
    </w:r>
    <w:r w:rsidRPr="00DF5B3F">
      <w:rPr>
        <w:rFonts w:ascii="ITC Avant Garde" w:hAnsi="ITC Avant Garde"/>
        <w:color w:val="323E4F"/>
        <w:sz w:val="14"/>
        <w:szCs w:val="24"/>
      </w:rPr>
      <w:fldChar w:fldCharType="begin"/>
    </w:r>
    <w:r>
      <w:rPr>
        <w:rFonts w:ascii="ITC Avant Garde" w:hAnsi="ITC Avant Garde"/>
        <w:color w:val="323E4F"/>
        <w:sz w:val="14"/>
        <w:szCs w:val="24"/>
      </w:rPr>
      <w:instrText>PAGE</w:instrText>
    </w:r>
    <w:r w:rsidRPr="00DF5B3F">
      <w:rPr>
        <w:rFonts w:ascii="ITC Avant Garde" w:hAnsi="ITC Avant Garde"/>
        <w:color w:val="323E4F"/>
        <w:sz w:val="14"/>
        <w:szCs w:val="24"/>
      </w:rPr>
      <w:instrText xml:space="preserve">   \* MERGEFORMAT</w:instrText>
    </w:r>
    <w:r w:rsidRPr="00DF5B3F">
      <w:rPr>
        <w:rFonts w:ascii="ITC Avant Garde" w:hAnsi="ITC Avant Garde"/>
        <w:color w:val="323E4F"/>
        <w:sz w:val="14"/>
        <w:szCs w:val="24"/>
      </w:rPr>
      <w:fldChar w:fldCharType="separate"/>
    </w:r>
    <w:r w:rsidR="00B852D7" w:rsidRPr="00B852D7">
      <w:rPr>
        <w:rFonts w:ascii="ITC Avant Garde" w:hAnsi="ITC Avant Garde"/>
        <w:noProof/>
        <w:color w:val="323E4F"/>
        <w:sz w:val="14"/>
        <w:szCs w:val="24"/>
        <w:lang w:val="es-ES"/>
      </w:rPr>
      <w:t>1</w:t>
    </w:r>
    <w:r w:rsidRPr="00DF5B3F">
      <w:rPr>
        <w:rFonts w:ascii="ITC Avant Garde" w:hAnsi="ITC Avant Garde"/>
        <w:color w:val="323E4F"/>
        <w:sz w:val="14"/>
        <w:szCs w:val="24"/>
      </w:rPr>
      <w:fldChar w:fldCharType="end"/>
    </w:r>
    <w:r w:rsidRPr="00DF5B3F">
      <w:rPr>
        <w:rFonts w:ascii="ITC Avant Garde" w:hAnsi="ITC Avant Garde"/>
        <w:color w:val="323E4F"/>
        <w:sz w:val="14"/>
        <w:szCs w:val="24"/>
        <w:lang w:val="es-ES"/>
      </w:rPr>
      <w:t xml:space="preserve"> | </w:t>
    </w:r>
    <w:r w:rsidRPr="00DF5B3F">
      <w:rPr>
        <w:rFonts w:ascii="ITC Avant Garde" w:hAnsi="ITC Avant Garde"/>
        <w:color w:val="323E4F"/>
        <w:sz w:val="14"/>
        <w:szCs w:val="24"/>
      </w:rPr>
      <w:fldChar w:fldCharType="begin"/>
    </w:r>
    <w:r>
      <w:rPr>
        <w:rFonts w:ascii="ITC Avant Garde" w:hAnsi="ITC Avant Garde"/>
        <w:color w:val="323E4F"/>
        <w:sz w:val="14"/>
        <w:szCs w:val="24"/>
      </w:rPr>
      <w:instrText>NUMPAGES</w:instrText>
    </w:r>
    <w:r w:rsidRPr="00DF5B3F">
      <w:rPr>
        <w:rFonts w:ascii="ITC Avant Garde" w:hAnsi="ITC Avant Garde"/>
        <w:color w:val="323E4F"/>
        <w:sz w:val="14"/>
        <w:szCs w:val="24"/>
      </w:rPr>
      <w:instrText xml:space="preserve">  \* Arabic  \* MERGEFORMAT</w:instrText>
    </w:r>
    <w:r w:rsidRPr="00DF5B3F">
      <w:rPr>
        <w:rFonts w:ascii="ITC Avant Garde" w:hAnsi="ITC Avant Garde"/>
        <w:color w:val="323E4F"/>
        <w:sz w:val="14"/>
        <w:szCs w:val="24"/>
      </w:rPr>
      <w:fldChar w:fldCharType="separate"/>
    </w:r>
    <w:r w:rsidR="00B852D7" w:rsidRPr="00B852D7">
      <w:rPr>
        <w:rFonts w:ascii="ITC Avant Garde" w:hAnsi="ITC Avant Garde"/>
        <w:noProof/>
        <w:color w:val="323E4F"/>
        <w:sz w:val="14"/>
        <w:szCs w:val="24"/>
        <w:lang w:val="es-ES"/>
      </w:rPr>
      <w:t>4</w:t>
    </w:r>
    <w:r w:rsidRPr="00DF5B3F">
      <w:rPr>
        <w:rFonts w:ascii="ITC Avant Garde" w:hAnsi="ITC Avant Garde"/>
        <w:color w:val="323E4F"/>
        <w:sz w:val="14"/>
        <w:szCs w:val="24"/>
      </w:rPr>
      <w:fldChar w:fldCharType="end"/>
    </w:r>
  </w:p>
  <w:p w14:paraId="0C7CA5CF" w14:textId="77777777" w:rsidR="0006478F" w:rsidRPr="00E717C0" w:rsidRDefault="0006478F">
    <w:pPr>
      <w:pStyle w:val="Piedepgina"/>
      <w:rPr>
        <w:rFonts w:ascii="ITC Avant Garde" w:hAnsi="ITC Avant Gard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059C9" w14:textId="77777777" w:rsidR="00351E55" w:rsidRDefault="00351E55" w:rsidP="00501ADF">
      <w:pPr>
        <w:spacing w:after="0" w:line="240" w:lineRule="auto"/>
      </w:pPr>
      <w:r>
        <w:separator/>
      </w:r>
    </w:p>
  </w:footnote>
  <w:footnote w:type="continuationSeparator" w:id="0">
    <w:p w14:paraId="471C4E7E" w14:textId="77777777" w:rsidR="00351E55" w:rsidRDefault="00351E55" w:rsidP="00501ADF">
      <w:pPr>
        <w:spacing w:after="0" w:line="240" w:lineRule="auto"/>
      </w:pPr>
      <w:r>
        <w:continuationSeparator/>
      </w:r>
    </w:p>
  </w:footnote>
  <w:footnote w:id="1">
    <w:p w14:paraId="21E4B958" w14:textId="77777777" w:rsidR="008E1AD3" w:rsidRPr="00451B7D" w:rsidRDefault="008E1AD3" w:rsidP="00BA4E93">
      <w:pPr>
        <w:pStyle w:val="Textonotapie"/>
        <w:jc w:val="both"/>
        <w:rPr>
          <w:rFonts w:ascii="ITC Avant Garde" w:hAnsi="ITC Avant Garde"/>
          <w:sz w:val="16"/>
          <w:szCs w:val="16"/>
        </w:rPr>
      </w:pPr>
      <w:r w:rsidRPr="00451B7D">
        <w:rPr>
          <w:rStyle w:val="Refdenotaalpie"/>
          <w:rFonts w:ascii="ITC Avant Garde" w:hAnsi="ITC Avant Garde"/>
          <w:sz w:val="16"/>
          <w:szCs w:val="16"/>
        </w:rPr>
        <w:footnoteRef/>
      </w:r>
      <w:r w:rsidRPr="00451B7D">
        <w:rPr>
          <w:rFonts w:ascii="ITC Avant Garde" w:hAnsi="ITC Avant Garde"/>
          <w:sz w:val="16"/>
          <w:szCs w:val="16"/>
        </w:rPr>
        <w:t xml:space="preserve"> </w:t>
      </w:r>
      <w:r w:rsidR="00BA4E93" w:rsidRPr="00451B7D">
        <w:rPr>
          <w:rFonts w:ascii="ITC Avant Garde" w:hAnsi="ITC Avant Garde"/>
          <w:sz w:val="16"/>
          <w:szCs w:val="16"/>
        </w:rPr>
        <w:t xml:space="preserve">Se entenderá por trámite a cualquier solicitud o entrega de información que las personas físicas o morales hagan ante el Instituto, ya sea para cumplir con una obligación, obtener un beneficio o servicio o, en general, a fin de que se emita una resolución, así como cualquier documento que dichas personas estén obligadas a conservar, no comprendiéndose aquella documentación o información que sólo tenga que presentarse en caso de un requerimiento en términos de lo dispuesto en las diversas leyes y disposiciones administrativas de carácter general.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0F57" w14:textId="77777777" w:rsidR="00501ADF" w:rsidRPr="00501ADF" w:rsidRDefault="00911216" w:rsidP="00501ADF">
    <w:pPr>
      <w:spacing w:line="240" w:lineRule="auto"/>
      <w:rPr>
        <w:rFonts w:ascii="Arial" w:eastAsia="Times New Roman" w:hAnsi="Arial" w:cs="Arial"/>
        <w:color w:val="222222"/>
        <w:sz w:val="24"/>
        <w:szCs w:val="24"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6432" behindDoc="1" locked="0" layoutInCell="1" allowOverlap="1" wp14:anchorId="5BFA526F" wp14:editId="2D3940FF">
          <wp:simplePos x="0" y="0"/>
          <wp:positionH relativeFrom="margin">
            <wp:align>left</wp:align>
          </wp:positionH>
          <wp:positionV relativeFrom="paragraph">
            <wp:posOffset>-187960</wp:posOffset>
          </wp:positionV>
          <wp:extent cx="1362075" cy="93903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Servle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939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4F49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87F33DB" wp14:editId="12F51B66">
              <wp:simplePos x="0" y="0"/>
              <wp:positionH relativeFrom="margin">
                <wp:posOffset>3006090</wp:posOffset>
              </wp:positionH>
              <wp:positionV relativeFrom="paragraph">
                <wp:posOffset>140970</wp:posOffset>
              </wp:positionV>
              <wp:extent cx="2695575" cy="466725"/>
              <wp:effectExtent l="0" t="0" r="28575" b="2857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557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104928" w14:textId="77777777" w:rsidR="00804F49" w:rsidRPr="00451B7D" w:rsidRDefault="0006478F" w:rsidP="00804F49">
                          <w:pPr>
                            <w:jc w:val="right"/>
                            <w:rPr>
                              <w:rFonts w:ascii="ITC Avant Garde" w:hAnsi="ITC Avant Garde"/>
                              <w:sz w:val="20"/>
                            </w:rPr>
                          </w:pPr>
                          <w:r w:rsidRPr="00451B7D">
                            <w:rPr>
                              <w:rFonts w:ascii="ITC Avant Garde" w:hAnsi="ITC Avant Garde"/>
                              <w:sz w:val="20"/>
                            </w:rPr>
                            <w:t>ANÁ</w:t>
                          </w:r>
                          <w:r w:rsidR="00804F49" w:rsidRPr="00451B7D">
                            <w:rPr>
                              <w:rFonts w:ascii="ITC Avant Garde" w:hAnsi="ITC Avant Garde"/>
                              <w:sz w:val="20"/>
                            </w:rPr>
                            <w:t xml:space="preserve">LISIS DE </w:t>
                          </w:r>
                          <w:r w:rsidR="00F31821" w:rsidRPr="00451B7D">
                            <w:rPr>
                              <w:rFonts w:ascii="ITC Avant Garde" w:hAnsi="ITC Avant Garde"/>
                              <w:sz w:val="20"/>
                            </w:rPr>
                            <w:t xml:space="preserve">NULO </w:t>
                          </w:r>
                          <w:r w:rsidR="00804F49" w:rsidRPr="00451B7D">
                            <w:rPr>
                              <w:rFonts w:ascii="ITC Avant Garde" w:hAnsi="ITC Avant Garde"/>
                              <w:sz w:val="20"/>
                            </w:rPr>
                            <w:t>IMPACTO REGULATORIO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1DBD0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36.7pt;margin-top:11.1pt;width:212.25pt;height:3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" strokecolor="white [3212]">
              <v:textbox>
                <w:txbxContent>
                  <w:p w:rsidR="00804F49" w:rsidRPr="00451B7D" w:rsidRDefault="0006478F" w:rsidP="00804F49">
                    <w:pPr>
                      <w:jc w:val="right"/>
                      <w:rPr>
                        <w:rFonts w:ascii="ITC Avant Garde" w:hAnsi="ITC Avant Garde"/>
                        <w:sz w:val="20"/>
                      </w:rPr>
                    </w:pPr>
                    <w:r w:rsidRPr="00451B7D">
                      <w:rPr>
                        <w:rFonts w:ascii="ITC Avant Garde" w:hAnsi="ITC Avant Garde"/>
                        <w:sz w:val="20"/>
                      </w:rPr>
                      <w:t>ANÁ</w:t>
                    </w:r>
                    <w:r w:rsidR="00804F49" w:rsidRPr="00451B7D">
                      <w:rPr>
                        <w:rFonts w:ascii="ITC Avant Garde" w:hAnsi="ITC Avant Garde"/>
                        <w:sz w:val="20"/>
                      </w:rPr>
                      <w:t xml:space="preserve">LISIS DE </w:t>
                    </w:r>
                    <w:r w:rsidR="00F31821" w:rsidRPr="00451B7D">
                      <w:rPr>
                        <w:rFonts w:ascii="ITC Avant Garde" w:hAnsi="ITC Avant Garde"/>
                        <w:sz w:val="20"/>
                      </w:rPr>
                      <w:t xml:space="preserve">NULO </w:t>
                    </w:r>
                    <w:r w:rsidR="00804F49" w:rsidRPr="00451B7D">
                      <w:rPr>
                        <w:rFonts w:ascii="ITC Avant Garde" w:hAnsi="ITC Avant Garde"/>
                        <w:sz w:val="20"/>
                      </w:rPr>
                      <w:t>IMPACTO REGULATORIO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1877A1C" w14:textId="77777777" w:rsidR="00501ADF" w:rsidRDefault="00501ADF">
    <w:pPr>
      <w:pStyle w:val="Encabezado"/>
    </w:pPr>
  </w:p>
  <w:p w14:paraId="2564679B" w14:textId="77777777" w:rsidR="00804F49" w:rsidRDefault="00804F49">
    <w:pPr>
      <w:pStyle w:val="Encabezado"/>
    </w:pPr>
  </w:p>
  <w:p w14:paraId="17E75A36" w14:textId="77777777" w:rsidR="00501ADF" w:rsidRDefault="00501ADF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28CC6E" wp14:editId="18377087">
              <wp:simplePos x="0" y="0"/>
              <wp:positionH relativeFrom="margin">
                <wp:align>left</wp:align>
              </wp:positionH>
              <wp:positionV relativeFrom="paragraph">
                <wp:posOffset>132714</wp:posOffset>
              </wp:positionV>
              <wp:extent cx="5629275" cy="9525"/>
              <wp:effectExtent l="0" t="0" r="28575" b="2857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29275" cy="952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97A08D" id="Conector recto 2" o:spid="_x0000_s1026" style="position:absolute;flip:y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0.45pt" to="443.2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" strokecolor="#70ad47 [3209]" strokeweight="1.5pt">
              <v:stroke joinstyle="miter"/>
              <w10:wrap anchorx="margin"/>
            </v:line>
          </w:pict>
        </mc:Fallback>
      </mc:AlternateContent>
    </w:r>
  </w:p>
  <w:p w14:paraId="217C863D" w14:textId="77777777" w:rsidR="00501ADF" w:rsidRDefault="00501A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C3060"/>
    <w:multiLevelType w:val="hybridMultilevel"/>
    <w:tmpl w:val="20723F58"/>
    <w:lvl w:ilvl="0" w:tplc="5C360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A792C"/>
    <w:multiLevelType w:val="hybridMultilevel"/>
    <w:tmpl w:val="A3A22DE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36396"/>
    <w:multiLevelType w:val="hybridMultilevel"/>
    <w:tmpl w:val="5AC82B56"/>
    <w:lvl w:ilvl="0" w:tplc="5BC88A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42B0E"/>
    <w:multiLevelType w:val="hybridMultilevel"/>
    <w:tmpl w:val="4C8AD290"/>
    <w:lvl w:ilvl="0" w:tplc="197C0D5E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90E73"/>
    <w:multiLevelType w:val="hybridMultilevel"/>
    <w:tmpl w:val="0BE2409C"/>
    <w:lvl w:ilvl="0" w:tplc="8E5C0740">
      <w:start w:val="1"/>
      <w:numFmt w:val="lowerRoman"/>
      <w:lvlText w:val="%1)"/>
      <w:lvlJc w:val="righ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DF"/>
    <w:rsid w:val="00002572"/>
    <w:rsid w:val="0001716D"/>
    <w:rsid w:val="00021824"/>
    <w:rsid w:val="00021FB4"/>
    <w:rsid w:val="00031FC3"/>
    <w:rsid w:val="00044D30"/>
    <w:rsid w:val="0006478F"/>
    <w:rsid w:val="00067CE3"/>
    <w:rsid w:val="000750FC"/>
    <w:rsid w:val="000774F5"/>
    <w:rsid w:val="00087D82"/>
    <w:rsid w:val="000C16BC"/>
    <w:rsid w:val="000D401B"/>
    <w:rsid w:val="000E1E51"/>
    <w:rsid w:val="000E4ED8"/>
    <w:rsid w:val="000E6A13"/>
    <w:rsid w:val="000F669B"/>
    <w:rsid w:val="00142774"/>
    <w:rsid w:val="00152D2E"/>
    <w:rsid w:val="00160C6C"/>
    <w:rsid w:val="00177F7B"/>
    <w:rsid w:val="00180231"/>
    <w:rsid w:val="00181A32"/>
    <w:rsid w:val="001932FC"/>
    <w:rsid w:val="00195F53"/>
    <w:rsid w:val="001B4A51"/>
    <w:rsid w:val="001C0074"/>
    <w:rsid w:val="001C2F18"/>
    <w:rsid w:val="001C7A17"/>
    <w:rsid w:val="001E26FE"/>
    <w:rsid w:val="00206C6C"/>
    <w:rsid w:val="00211C96"/>
    <w:rsid w:val="002155A7"/>
    <w:rsid w:val="00247B33"/>
    <w:rsid w:val="00267806"/>
    <w:rsid w:val="00280FB9"/>
    <w:rsid w:val="00286496"/>
    <w:rsid w:val="00295E97"/>
    <w:rsid w:val="002C2EC9"/>
    <w:rsid w:val="002C6F88"/>
    <w:rsid w:val="002D0379"/>
    <w:rsid w:val="002D28C7"/>
    <w:rsid w:val="0030055F"/>
    <w:rsid w:val="003039BF"/>
    <w:rsid w:val="00323167"/>
    <w:rsid w:val="00333B41"/>
    <w:rsid w:val="00351E55"/>
    <w:rsid w:val="00372BF7"/>
    <w:rsid w:val="00373D03"/>
    <w:rsid w:val="003949C0"/>
    <w:rsid w:val="003A72BC"/>
    <w:rsid w:val="003B01F2"/>
    <w:rsid w:val="003B48A5"/>
    <w:rsid w:val="003E1D84"/>
    <w:rsid w:val="003F05E7"/>
    <w:rsid w:val="0041746A"/>
    <w:rsid w:val="004226AE"/>
    <w:rsid w:val="004423A7"/>
    <w:rsid w:val="00451B7D"/>
    <w:rsid w:val="004603F7"/>
    <w:rsid w:val="00476A49"/>
    <w:rsid w:val="0049127C"/>
    <w:rsid w:val="004A7C30"/>
    <w:rsid w:val="004B6836"/>
    <w:rsid w:val="004C733F"/>
    <w:rsid w:val="004D71DB"/>
    <w:rsid w:val="004E0AA9"/>
    <w:rsid w:val="004E0DA9"/>
    <w:rsid w:val="00501ADF"/>
    <w:rsid w:val="005319D5"/>
    <w:rsid w:val="00541620"/>
    <w:rsid w:val="00542420"/>
    <w:rsid w:val="00580B49"/>
    <w:rsid w:val="00585495"/>
    <w:rsid w:val="00596FDE"/>
    <w:rsid w:val="005A06B2"/>
    <w:rsid w:val="005A40FB"/>
    <w:rsid w:val="005B2C92"/>
    <w:rsid w:val="005B34E9"/>
    <w:rsid w:val="005C1605"/>
    <w:rsid w:val="005C44A8"/>
    <w:rsid w:val="005E1F40"/>
    <w:rsid w:val="006220C6"/>
    <w:rsid w:val="00623D14"/>
    <w:rsid w:val="00623EB8"/>
    <w:rsid w:val="00634DE8"/>
    <w:rsid w:val="00641D09"/>
    <w:rsid w:val="0064680F"/>
    <w:rsid w:val="006717D5"/>
    <w:rsid w:val="0068307E"/>
    <w:rsid w:val="00687048"/>
    <w:rsid w:val="006A3A0E"/>
    <w:rsid w:val="006D7556"/>
    <w:rsid w:val="006D7A08"/>
    <w:rsid w:val="007018A1"/>
    <w:rsid w:val="0071056F"/>
    <w:rsid w:val="00712636"/>
    <w:rsid w:val="00714252"/>
    <w:rsid w:val="0074323F"/>
    <w:rsid w:val="00754682"/>
    <w:rsid w:val="0076488A"/>
    <w:rsid w:val="007906D0"/>
    <w:rsid w:val="007A37D6"/>
    <w:rsid w:val="007B1182"/>
    <w:rsid w:val="007D4E5B"/>
    <w:rsid w:val="007F3179"/>
    <w:rsid w:val="007F37BF"/>
    <w:rsid w:val="00801FED"/>
    <w:rsid w:val="00804F49"/>
    <w:rsid w:val="008135FB"/>
    <w:rsid w:val="00814A48"/>
    <w:rsid w:val="00827470"/>
    <w:rsid w:val="0084560D"/>
    <w:rsid w:val="00860477"/>
    <w:rsid w:val="00861445"/>
    <w:rsid w:val="0086684A"/>
    <w:rsid w:val="00867907"/>
    <w:rsid w:val="00870931"/>
    <w:rsid w:val="00876D05"/>
    <w:rsid w:val="008A48B0"/>
    <w:rsid w:val="008C76AF"/>
    <w:rsid w:val="008D4B5E"/>
    <w:rsid w:val="008E1AD3"/>
    <w:rsid w:val="008E3011"/>
    <w:rsid w:val="009058DB"/>
    <w:rsid w:val="00911216"/>
    <w:rsid w:val="00924C33"/>
    <w:rsid w:val="009368D0"/>
    <w:rsid w:val="009442FD"/>
    <w:rsid w:val="0095370A"/>
    <w:rsid w:val="009656B1"/>
    <w:rsid w:val="009658FF"/>
    <w:rsid w:val="00966B46"/>
    <w:rsid w:val="00967892"/>
    <w:rsid w:val="009806B7"/>
    <w:rsid w:val="00986E23"/>
    <w:rsid w:val="009939A5"/>
    <w:rsid w:val="00995E52"/>
    <w:rsid w:val="009A28DF"/>
    <w:rsid w:val="009C67ED"/>
    <w:rsid w:val="009D10E1"/>
    <w:rsid w:val="009D3C22"/>
    <w:rsid w:val="009D5C70"/>
    <w:rsid w:val="009D73E5"/>
    <w:rsid w:val="009E2F8A"/>
    <w:rsid w:val="009E4740"/>
    <w:rsid w:val="009F237F"/>
    <w:rsid w:val="009F5069"/>
    <w:rsid w:val="00A01F04"/>
    <w:rsid w:val="00A1622C"/>
    <w:rsid w:val="00A40076"/>
    <w:rsid w:val="00A45E72"/>
    <w:rsid w:val="00A7004C"/>
    <w:rsid w:val="00A7211D"/>
    <w:rsid w:val="00A73AD8"/>
    <w:rsid w:val="00A81A2D"/>
    <w:rsid w:val="00A81C3A"/>
    <w:rsid w:val="00A83888"/>
    <w:rsid w:val="00A84C6A"/>
    <w:rsid w:val="00A855B0"/>
    <w:rsid w:val="00A86F52"/>
    <w:rsid w:val="00A969BF"/>
    <w:rsid w:val="00AA4CB3"/>
    <w:rsid w:val="00AD2F3B"/>
    <w:rsid w:val="00AD4129"/>
    <w:rsid w:val="00B01F0F"/>
    <w:rsid w:val="00B05D39"/>
    <w:rsid w:val="00B17ADF"/>
    <w:rsid w:val="00B2360F"/>
    <w:rsid w:val="00B24AB5"/>
    <w:rsid w:val="00B32137"/>
    <w:rsid w:val="00B32DDD"/>
    <w:rsid w:val="00B41497"/>
    <w:rsid w:val="00B54A92"/>
    <w:rsid w:val="00B6461E"/>
    <w:rsid w:val="00B74C55"/>
    <w:rsid w:val="00B74F10"/>
    <w:rsid w:val="00B77B4B"/>
    <w:rsid w:val="00B852D7"/>
    <w:rsid w:val="00BA0F10"/>
    <w:rsid w:val="00BA43D1"/>
    <w:rsid w:val="00BA4E93"/>
    <w:rsid w:val="00BA7D21"/>
    <w:rsid w:val="00BB73BA"/>
    <w:rsid w:val="00BC2FF7"/>
    <w:rsid w:val="00BD48DB"/>
    <w:rsid w:val="00BE7D1C"/>
    <w:rsid w:val="00C37872"/>
    <w:rsid w:val="00C53388"/>
    <w:rsid w:val="00C5470D"/>
    <w:rsid w:val="00C604E6"/>
    <w:rsid w:val="00C62A75"/>
    <w:rsid w:val="00C917FC"/>
    <w:rsid w:val="00CA1FD6"/>
    <w:rsid w:val="00CA4215"/>
    <w:rsid w:val="00CD66AF"/>
    <w:rsid w:val="00CE2EA1"/>
    <w:rsid w:val="00D02DA9"/>
    <w:rsid w:val="00D0386B"/>
    <w:rsid w:val="00D221B5"/>
    <w:rsid w:val="00D23BD5"/>
    <w:rsid w:val="00D31AE9"/>
    <w:rsid w:val="00D335D8"/>
    <w:rsid w:val="00D55CA7"/>
    <w:rsid w:val="00D80D3B"/>
    <w:rsid w:val="00D83CC8"/>
    <w:rsid w:val="00D8558F"/>
    <w:rsid w:val="00D92B8F"/>
    <w:rsid w:val="00D973EB"/>
    <w:rsid w:val="00DB01FA"/>
    <w:rsid w:val="00DE33C2"/>
    <w:rsid w:val="00DE6F24"/>
    <w:rsid w:val="00E02424"/>
    <w:rsid w:val="00E046F4"/>
    <w:rsid w:val="00E16506"/>
    <w:rsid w:val="00E21B49"/>
    <w:rsid w:val="00E27972"/>
    <w:rsid w:val="00E6080B"/>
    <w:rsid w:val="00E717C0"/>
    <w:rsid w:val="00E74CD8"/>
    <w:rsid w:val="00E75766"/>
    <w:rsid w:val="00E768BA"/>
    <w:rsid w:val="00E8340B"/>
    <w:rsid w:val="00E95C25"/>
    <w:rsid w:val="00EA3D0C"/>
    <w:rsid w:val="00EA6F2D"/>
    <w:rsid w:val="00EB27A9"/>
    <w:rsid w:val="00EE6FE8"/>
    <w:rsid w:val="00F03289"/>
    <w:rsid w:val="00F31821"/>
    <w:rsid w:val="00F342A4"/>
    <w:rsid w:val="00F506AD"/>
    <w:rsid w:val="00F54D63"/>
    <w:rsid w:val="00F54D77"/>
    <w:rsid w:val="00F56CCA"/>
    <w:rsid w:val="00F611C7"/>
    <w:rsid w:val="00F720AA"/>
    <w:rsid w:val="00F75427"/>
    <w:rsid w:val="00F75C80"/>
    <w:rsid w:val="00F8154D"/>
    <w:rsid w:val="00F84A66"/>
    <w:rsid w:val="00F9299E"/>
    <w:rsid w:val="00F94A28"/>
    <w:rsid w:val="00FA0329"/>
    <w:rsid w:val="00FB158A"/>
    <w:rsid w:val="00FB2B57"/>
    <w:rsid w:val="00FB4FEA"/>
    <w:rsid w:val="00FB58BA"/>
    <w:rsid w:val="00FC0EDB"/>
    <w:rsid w:val="00FE174F"/>
    <w:rsid w:val="00FE3DBE"/>
    <w:rsid w:val="00FF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104A88"/>
  <w15:chartTrackingRefBased/>
  <w15:docId w15:val="{74977E64-1795-42D2-ADC6-DC87B40D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1A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ADF"/>
  </w:style>
  <w:style w:type="paragraph" w:styleId="Piedepgina">
    <w:name w:val="footer"/>
    <w:basedOn w:val="Normal"/>
    <w:link w:val="PiedepginaCar"/>
    <w:uiPriority w:val="99"/>
    <w:unhideWhenUsed/>
    <w:rsid w:val="00501A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ADF"/>
  </w:style>
  <w:style w:type="table" w:styleId="Tablaconcuadrcula">
    <w:name w:val="Table Grid"/>
    <w:basedOn w:val="Tablanormal"/>
    <w:uiPriority w:val="39"/>
    <w:rsid w:val="00501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932F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8307E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8E1AD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E1AD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E1AD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7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55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8135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35F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35F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35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35FB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BE7D1C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E7D1C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F815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0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4959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571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32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63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6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17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555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52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110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of.gob.mx/nota_detalle.php?codigo=5378340&amp;fecha=12/01/2015" TargetMode="External"/><Relationship Id="rId18" Type="http://schemas.openxmlformats.org/officeDocument/2006/relationships/hyperlink" Target="http://www.fne.gob.cl/wp-content/uploads/2017/10/Gu&#237;a-Restricciones-Verticales.pdf" TargetMode="External"/><Relationship Id="rId26" Type="http://schemas.openxmlformats.org/officeDocument/2006/relationships/hyperlink" Target="http://www.bundeskartellamt.de/SharedDocs/Publikation/EN/Diskussions_Hintergrundpapiere/Vertical%20Restraints%20in%20the%20Internet%20Economy.pdf?__blob=publicationFile&amp;v=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sic.gov.co/sites/default/files/files/Guia_OECD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diputados.gob.mx/LeyesBiblio/pdf/LFCE_270117.pdf" TargetMode="External"/><Relationship Id="rId17" Type="http://schemas.openxmlformats.org/officeDocument/2006/relationships/hyperlink" Target="http://ec.europa.eu/competition/antitrust/legislation/handbook_vol_1_en.pdf" TargetMode="External"/><Relationship Id="rId25" Type="http://schemas.openxmlformats.org/officeDocument/2006/relationships/hyperlink" Target="http://www.competitionbureau.gc.ca/eic/site/cb-bc.nsf/eng/03766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ec.europa.eu/competition/antitrust/guidance_en.pdf" TargetMode="External"/><Relationship Id="rId20" Type="http://schemas.openxmlformats.org/officeDocument/2006/relationships/hyperlink" Target="http://www.sic.gov.co/sites/default/files/files/Manual.pdf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of.gob.mx/nota_detalle.php?codigo=5301941" TargetMode="External"/><Relationship Id="rId24" Type="http://schemas.openxmlformats.org/officeDocument/2006/relationships/hyperlink" Target="https://orbi.uliege.be/bitstream/2268/207363/1/Vertical%20Restraints%20under%20EU%20Competition%20Law%20Conceptual%20Foundations%20and%20Practical%20Framework.pdf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ec.europa.eu/competition/antitrust/antitrust_manproc_3_2012_en.pdf" TargetMode="External"/><Relationship Id="rId23" Type="http://schemas.openxmlformats.org/officeDocument/2006/relationships/hyperlink" Target="http://wrap.warwick.ac.uk/19/1/WRAP_Waterson_oft177.pdf" TargetMode="External"/><Relationship Id="rId28" Type="http://schemas.openxmlformats.org/officeDocument/2006/relationships/hyperlink" Target="https://www.ab.gov.tr/files/ardb/evt/1_avrupa_birligi/1_6_raporlar/1_2_green_papers/com1997_green_paper_on_vertical_restraints_ec_competition_policy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sic.gov.co/sites/default/files/files/UNCTAD.pdf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tc.gov/enforcement/rules/rules-and-guides" TargetMode="External"/><Relationship Id="rId22" Type="http://schemas.openxmlformats.org/officeDocument/2006/relationships/hyperlink" Target="http://ec.europa.eu/competition/antitrust/legislation/guidelines_vertical_en.pdf" TargetMode="External"/><Relationship Id="rId27" Type="http://schemas.openxmlformats.org/officeDocument/2006/relationships/hyperlink" Target="http://www.eucomplaw.com/horizontal-and-vertical-cooperation/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8D52F1F70D3147B871117FD1E36B4C" ma:contentTypeVersion="0" ma:contentTypeDescription="Crear nuevo documento." ma:contentTypeScope="" ma:versionID="27a96c2f1942c4513954155dc98c088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ad187ede1053dd323176c0832b983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Asunto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2AEE7-5484-4F59-8B6C-5DF166446E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9259B3-C177-46A1-8B2C-D09ED1C299FD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ECFB480-D6C9-469F-9696-5DFC98CA3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FB8141-B777-46C3-AC99-36F69FC54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2021</Words>
  <Characters>11118</Characters>
  <Application>Microsoft Office Word</Application>
  <DocSecurity>4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Rosas Yanez</dc:creator>
  <cp:keywords/>
  <dc:description/>
  <cp:lastModifiedBy>Jonathan Lopez Torres</cp:lastModifiedBy>
  <cp:revision>2</cp:revision>
  <cp:lastPrinted>2018-03-02T16:47:00Z</cp:lastPrinted>
  <dcterms:created xsi:type="dcterms:W3CDTF">2018-12-03T20:12:00Z</dcterms:created>
  <dcterms:modified xsi:type="dcterms:W3CDTF">2018-12-03T20:12:00Z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0x010100538D52F1F70D3147B871117FD1E36B4C</vt:lpwstr>
  </property>
</Properties>
</file>